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99512" w14:textId="57955931" w:rsidR="00265FB2" w:rsidRDefault="00265FB2" w:rsidP="0068355A">
      <w:pPr>
        <w:spacing w:line="276" w:lineRule="auto"/>
        <w:rPr>
          <w:rFonts w:asciiTheme="minorHAnsi" w:hAnsiTheme="minorHAnsi" w:cstheme="minorHAnsi"/>
          <w:lang w:val="bs-Latn-BA"/>
        </w:rPr>
      </w:pPr>
      <w:bookmarkStart w:id="0" w:name="_Hlk94288926"/>
      <w:bookmarkEnd w:id="0"/>
    </w:p>
    <w:p w14:paraId="178BA24B" w14:textId="77777777" w:rsidR="003A09F3" w:rsidRPr="000A0DEF" w:rsidRDefault="003A09F3" w:rsidP="0068355A">
      <w:pPr>
        <w:spacing w:line="276" w:lineRule="auto"/>
        <w:rPr>
          <w:rFonts w:asciiTheme="minorHAnsi" w:hAnsiTheme="minorHAnsi" w:cstheme="minorHAnsi"/>
          <w:lang w:val="bs-Latn-BA"/>
        </w:rPr>
      </w:pPr>
    </w:p>
    <w:p w14:paraId="6E68A450" w14:textId="77777777" w:rsidR="00265FB2" w:rsidRPr="00590DCE" w:rsidRDefault="00265FB2" w:rsidP="0068355A">
      <w:pPr>
        <w:spacing w:line="276" w:lineRule="auto"/>
        <w:rPr>
          <w:rFonts w:asciiTheme="minorHAnsi" w:hAnsiTheme="minorHAnsi" w:cstheme="minorHAnsi"/>
        </w:rPr>
      </w:pPr>
    </w:p>
    <w:p w14:paraId="3F747A90" w14:textId="77777777" w:rsidR="00265FB2" w:rsidRPr="00590DCE" w:rsidRDefault="00265FB2" w:rsidP="0068355A">
      <w:pPr>
        <w:spacing w:line="276" w:lineRule="auto"/>
        <w:rPr>
          <w:rFonts w:asciiTheme="minorHAnsi" w:hAnsiTheme="minorHAnsi" w:cstheme="minorHAnsi"/>
        </w:rPr>
      </w:pPr>
    </w:p>
    <w:p w14:paraId="728EB68F" w14:textId="77777777" w:rsidR="00265FB2" w:rsidRPr="00590DCE" w:rsidRDefault="00265FB2" w:rsidP="0068355A">
      <w:pPr>
        <w:spacing w:line="276" w:lineRule="auto"/>
        <w:rPr>
          <w:rFonts w:asciiTheme="minorHAnsi" w:hAnsiTheme="minorHAnsi" w:cstheme="minorHAnsi"/>
        </w:rPr>
      </w:pPr>
    </w:p>
    <w:p w14:paraId="67FE7A64" w14:textId="77777777" w:rsidR="0089157E" w:rsidRPr="00590DCE" w:rsidRDefault="0089157E" w:rsidP="0068355A">
      <w:pPr>
        <w:spacing w:line="276" w:lineRule="auto"/>
        <w:rPr>
          <w:rFonts w:asciiTheme="minorHAnsi" w:hAnsiTheme="minorHAnsi" w:cstheme="minorHAnsi"/>
        </w:rPr>
      </w:pPr>
    </w:p>
    <w:p w14:paraId="28AA44A4" w14:textId="77777777" w:rsidR="0089157E" w:rsidRPr="00590DCE" w:rsidRDefault="0089157E" w:rsidP="0068355A">
      <w:pPr>
        <w:spacing w:line="276" w:lineRule="auto"/>
        <w:rPr>
          <w:rFonts w:asciiTheme="minorHAnsi" w:hAnsiTheme="minorHAnsi" w:cstheme="minorHAnsi"/>
        </w:rPr>
      </w:pPr>
    </w:p>
    <w:p w14:paraId="27181A27" w14:textId="77777777" w:rsidR="00265FB2" w:rsidRPr="00590DCE" w:rsidRDefault="00265FB2" w:rsidP="0068355A">
      <w:pPr>
        <w:spacing w:line="276" w:lineRule="auto"/>
        <w:rPr>
          <w:rFonts w:asciiTheme="minorHAnsi" w:hAnsiTheme="minorHAnsi" w:cstheme="minorHAnsi"/>
        </w:rPr>
      </w:pPr>
    </w:p>
    <w:p w14:paraId="62B00416" w14:textId="77777777" w:rsidR="00265FB2" w:rsidRPr="00590DCE" w:rsidRDefault="00265FB2" w:rsidP="0068355A">
      <w:pPr>
        <w:spacing w:line="276" w:lineRule="auto"/>
        <w:rPr>
          <w:rFonts w:asciiTheme="minorHAnsi" w:hAnsiTheme="minorHAnsi" w:cstheme="minorHAnsi"/>
        </w:rPr>
      </w:pPr>
    </w:p>
    <w:p w14:paraId="1599A97E" w14:textId="77777777" w:rsidR="00265FB2" w:rsidRPr="00590DCE" w:rsidRDefault="00265FB2" w:rsidP="0068355A">
      <w:pPr>
        <w:spacing w:line="276" w:lineRule="auto"/>
        <w:rPr>
          <w:rFonts w:asciiTheme="minorHAnsi" w:hAnsiTheme="minorHAnsi" w:cstheme="minorHAnsi"/>
        </w:rPr>
      </w:pPr>
    </w:p>
    <w:p w14:paraId="43081706" w14:textId="77777777" w:rsidR="00265FB2" w:rsidRPr="00590DCE" w:rsidRDefault="00265FB2" w:rsidP="0068355A">
      <w:pPr>
        <w:spacing w:line="276" w:lineRule="auto"/>
        <w:rPr>
          <w:rFonts w:asciiTheme="minorHAnsi" w:hAnsiTheme="minorHAnsi" w:cstheme="minorHAnsi"/>
        </w:rPr>
      </w:pPr>
    </w:p>
    <w:p w14:paraId="28680943" w14:textId="2B45E636" w:rsidR="005B21C8" w:rsidRPr="007C4D65" w:rsidRDefault="00E14E3A" w:rsidP="0068355A">
      <w:pPr>
        <w:pStyle w:val="Title"/>
        <w:spacing w:line="276" w:lineRule="auto"/>
        <w:jc w:val="center"/>
        <w:rPr>
          <w:rFonts w:asciiTheme="minorHAnsi" w:hAnsiTheme="minorHAnsi" w:cstheme="minorHAnsi"/>
          <w:b/>
          <w:bCs/>
          <w:color w:val="00694D"/>
        </w:rPr>
      </w:pPr>
      <w:r w:rsidRPr="007C4D65">
        <w:rPr>
          <w:rFonts w:asciiTheme="minorHAnsi" w:hAnsiTheme="minorHAnsi" w:cstheme="minorHAnsi"/>
          <w:b/>
          <w:color w:val="00694D"/>
        </w:rPr>
        <w:t xml:space="preserve">Environmental strategy </w:t>
      </w:r>
      <w:r w:rsidR="007436F1" w:rsidRPr="007C4D65">
        <w:rPr>
          <w:rFonts w:asciiTheme="minorHAnsi" w:hAnsiTheme="minorHAnsi" w:cstheme="minorHAnsi"/>
          <w:b/>
          <w:color w:val="00694D"/>
        </w:rPr>
        <w:t>of the Federation of BiH</w:t>
      </w:r>
    </w:p>
    <w:p w14:paraId="160F6CB7" w14:textId="0D785692" w:rsidR="005B21C8" w:rsidRPr="007C4D65" w:rsidRDefault="005B21C8" w:rsidP="0068355A">
      <w:pPr>
        <w:pStyle w:val="Title"/>
        <w:spacing w:line="276" w:lineRule="auto"/>
        <w:jc w:val="center"/>
        <w:rPr>
          <w:rFonts w:asciiTheme="minorHAnsi" w:hAnsiTheme="minorHAnsi" w:cstheme="minorHAnsi"/>
          <w:b/>
          <w:bCs/>
          <w:color w:val="00694D"/>
        </w:rPr>
      </w:pPr>
      <w:r w:rsidRPr="007C4D65">
        <w:rPr>
          <w:rFonts w:asciiTheme="minorHAnsi" w:hAnsiTheme="minorHAnsi" w:cstheme="minorHAnsi"/>
          <w:b/>
          <w:color w:val="00694D"/>
        </w:rPr>
        <w:t>2022‒ 2032</w:t>
      </w:r>
    </w:p>
    <w:p w14:paraId="68CA6AA4" w14:textId="77777777" w:rsidR="003B1D0B" w:rsidRPr="007C4D65" w:rsidRDefault="003B1D0B" w:rsidP="0068355A">
      <w:pPr>
        <w:spacing w:line="276" w:lineRule="auto"/>
        <w:rPr>
          <w:rFonts w:asciiTheme="minorHAnsi" w:hAnsiTheme="minorHAnsi" w:cstheme="minorHAnsi"/>
        </w:rPr>
      </w:pPr>
    </w:p>
    <w:p w14:paraId="3869FE54" w14:textId="77777777" w:rsidR="0089157E" w:rsidRPr="007C4D65" w:rsidRDefault="0089157E" w:rsidP="0068355A">
      <w:pPr>
        <w:spacing w:line="276" w:lineRule="auto"/>
        <w:rPr>
          <w:rFonts w:asciiTheme="minorHAnsi" w:hAnsiTheme="minorHAnsi" w:cstheme="minorHAnsi"/>
        </w:rPr>
      </w:pPr>
    </w:p>
    <w:p w14:paraId="554EB3CE" w14:textId="77777777" w:rsidR="005B21C8" w:rsidRPr="007C4D65" w:rsidRDefault="005B21C8" w:rsidP="0068355A">
      <w:pPr>
        <w:spacing w:line="276" w:lineRule="auto"/>
        <w:rPr>
          <w:rFonts w:asciiTheme="minorHAnsi" w:hAnsiTheme="minorHAnsi" w:cstheme="minorHAnsi"/>
        </w:rPr>
      </w:pPr>
    </w:p>
    <w:p w14:paraId="4754D721" w14:textId="77777777" w:rsidR="005B21C8" w:rsidRPr="007C4D65" w:rsidRDefault="005B21C8" w:rsidP="0068355A">
      <w:pPr>
        <w:spacing w:line="276" w:lineRule="auto"/>
        <w:rPr>
          <w:rFonts w:asciiTheme="minorHAnsi" w:hAnsiTheme="minorHAnsi" w:cstheme="minorHAnsi"/>
        </w:rPr>
      </w:pPr>
    </w:p>
    <w:p w14:paraId="1CCDD90B" w14:textId="77777777" w:rsidR="005B21C8" w:rsidRPr="007C4D65" w:rsidRDefault="005B21C8" w:rsidP="0068355A">
      <w:pPr>
        <w:spacing w:line="276" w:lineRule="auto"/>
        <w:rPr>
          <w:rFonts w:asciiTheme="minorHAnsi" w:hAnsiTheme="minorHAnsi" w:cstheme="minorHAnsi"/>
        </w:rPr>
      </w:pPr>
    </w:p>
    <w:p w14:paraId="200C3C7C" w14:textId="77777777" w:rsidR="005B21C8" w:rsidRPr="007C4D65" w:rsidRDefault="005B21C8" w:rsidP="0068355A">
      <w:pPr>
        <w:spacing w:line="276" w:lineRule="auto"/>
        <w:rPr>
          <w:rFonts w:asciiTheme="minorHAnsi" w:hAnsiTheme="minorHAnsi" w:cstheme="minorHAnsi"/>
        </w:rPr>
      </w:pPr>
    </w:p>
    <w:p w14:paraId="10793173" w14:textId="77777777" w:rsidR="005B21C8" w:rsidRPr="007C4D65" w:rsidRDefault="005B21C8" w:rsidP="0068355A">
      <w:pPr>
        <w:spacing w:line="276" w:lineRule="auto"/>
        <w:rPr>
          <w:rFonts w:asciiTheme="minorHAnsi" w:hAnsiTheme="minorHAnsi" w:cstheme="minorHAnsi"/>
        </w:rPr>
      </w:pPr>
    </w:p>
    <w:p w14:paraId="146AB86F" w14:textId="77777777" w:rsidR="005B21C8" w:rsidRPr="007C4D65" w:rsidRDefault="005B21C8" w:rsidP="0068355A">
      <w:pPr>
        <w:spacing w:line="276" w:lineRule="auto"/>
        <w:rPr>
          <w:rFonts w:asciiTheme="minorHAnsi" w:hAnsiTheme="minorHAnsi" w:cstheme="minorHAnsi"/>
        </w:rPr>
      </w:pPr>
    </w:p>
    <w:p w14:paraId="5D3241E1" w14:textId="77777777" w:rsidR="005B21C8" w:rsidRPr="007C4D65" w:rsidRDefault="005B21C8" w:rsidP="0068355A">
      <w:pPr>
        <w:spacing w:line="276" w:lineRule="auto"/>
        <w:rPr>
          <w:rFonts w:asciiTheme="minorHAnsi" w:hAnsiTheme="minorHAnsi" w:cstheme="minorHAnsi"/>
        </w:rPr>
      </w:pPr>
    </w:p>
    <w:p w14:paraId="6C16407C" w14:textId="77777777" w:rsidR="005B21C8" w:rsidRPr="007C4D65" w:rsidRDefault="005B21C8" w:rsidP="0068355A">
      <w:pPr>
        <w:spacing w:line="276" w:lineRule="auto"/>
        <w:rPr>
          <w:rFonts w:asciiTheme="minorHAnsi" w:hAnsiTheme="minorHAnsi" w:cstheme="minorHAnsi"/>
        </w:rPr>
      </w:pPr>
    </w:p>
    <w:p w14:paraId="2CB4B688" w14:textId="77777777" w:rsidR="005B21C8" w:rsidRPr="007C4D65" w:rsidRDefault="005B21C8" w:rsidP="0068355A">
      <w:pPr>
        <w:spacing w:line="276" w:lineRule="auto"/>
        <w:rPr>
          <w:rFonts w:asciiTheme="minorHAnsi" w:hAnsiTheme="minorHAnsi" w:cstheme="minorHAnsi"/>
        </w:rPr>
      </w:pPr>
    </w:p>
    <w:p w14:paraId="2BCB3F06" w14:textId="77777777" w:rsidR="005B21C8" w:rsidRPr="007C4D65" w:rsidRDefault="005B21C8" w:rsidP="0068355A">
      <w:pPr>
        <w:spacing w:line="276" w:lineRule="auto"/>
        <w:rPr>
          <w:rFonts w:asciiTheme="minorHAnsi" w:hAnsiTheme="minorHAnsi" w:cstheme="minorHAnsi"/>
        </w:rPr>
      </w:pPr>
    </w:p>
    <w:p w14:paraId="2F3D84D3" w14:textId="77777777" w:rsidR="0045404F" w:rsidRPr="007C4D65" w:rsidRDefault="0045404F" w:rsidP="0068355A">
      <w:pPr>
        <w:spacing w:line="276" w:lineRule="auto"/>
        <w:jc w:val="center"/>
        <w:rPr>
          <w:rFonts w:asciiTheme="minorHAnsi" w:hAnsiTheme="minorHAnsi" w:cstheme="minorHAnsi"/>
          <w:color w:val="808080"/>
          <w:sz w:val="32"/>
          <w:szCs w:val="32"/>
        </w:rPr>
      </w:pPr>
    </w:p>
    <w:p w14:paraId="661D5C9B" w14:textId="77777777" w:rsidR="0045404F" w:rsidRPr="007C4D65" w:rsidRDefault="0045404F" w:rsidP="0068355A">
      <w:pPr>
        <w:spacing w:line="276" w:lineRule="auto"/>
        <w:jc w:val="center"/>
        <w:rPr>
          <w:rFonts w:asciiTheme="minorHAnsi" w:hAnsiTheme="minorHAnsi" w:cstheme="minorHAnsi"/>
          <w:color w:val="808080"/>
          <w:sz w:val="32"/>
          <w:szCs w:val="32"/>
        </w:rPr>
      </w:pPr>
    </w:p>
    <w:p w14:paraId="6A2A5F13" w14:textId="77777777" w:rsidR="0045404F" w:rsidRPr="007C4D65" w:rsidRDefault="0045404F" w:rsidP="0068355A">
      <w:pPr>
        <w:spacing w:line="276" w:lineRule="auto"/>
        <w:jc w:val="center"/>
        <w:rPr>
          <w:rFonts w:asciiTheme="minorHAnsi" w:hAnsiTheme="minorHAnsi" w:cstheme="minorHAnsi"/>
          <w:color w:val="808080"/>
          <w:sz w:val="32"/>
          <w:szCs w:val="32"/>
        </w:rPr>
      </w:pPr>
    </w:p>
    <w:p w14:paraId="768E3956" w14:textId="77777777" w:rsidR="0045404F" w:rsidRPr="007C4D65" w:rsidRDefault="0045404F" w:rsidP="0068355A">
      <w:pPr>
        <w:spacing w:line="276" w:lineRule="auto"/>
        <w:jc w:val="center"/>
        <w:rPr>
          <w:rFonts w:asciiTheme="minorHAnsi" w:hAnsiTheme="minorHAnsi" w:cstheme="minorHAnsi"/>
          <w:color w:val="808080"/>
          <w:sz w:val="32"/>
          <w:szCs w:val="32"/>
        </w:rPr>
      </w:pPr>
    </w:p>
    <w:p w14:paraId="493A857D" w14:textId="77777777" w:rsidR="0045404F" w:rsidRPr="007C4D65" w:rsidRDefault="0045404F" w:rsidP="0068355A">
      <w:pPr>
        <w:spacing w:line="276" w:lineRule="auto"/>
        <w:jc w:val="center"/>
        <w:rPr>
          <w:rFonts w:asciiTheme="minorHAnsi" w:hAnsiTheme="minorHAnsi" w:cstheme="minorHAnsi"/>
          <w:color w:val="808080"/>
          <w:sz w:val="32"/>
          <w:szCs w:val="32"/>
        </w:rPr>
      </w:pPr>
    </w:p>
    <w:p w14:paraId="651FDFF4" w14:textId="77777777" w:rsidR="0045404F" w:rsidRPr="007C4D65" w:rsidRDefault="0045404F" w:rsidP="0068355A">
      <w:pPr>
        <w:spacing w:line="276" w:lineRule="auto"/>
        <w:jc w:val="center"/>
        <w:rPr>
          <w:rFonts w:asciiTheme="minorHAnsi" w:hAnsiTheme="minorHAnsi" w:cstheme="minorHAnsi"/>
          <w:color w:val="808080"/>
          <w:sz w:val="32"/>
          <w:szCs w:val="32"/>
        </w:rPr>
      </w:pPr>
    </w:p>
    <w:p w14:paraId="3A5F4221" w14:textId="77777777" w:rsidR="00E14E3A" w:rsidRPr="007C4D65" w:rsidRDefault="00E14E3A" w:rsidP="0068355A">
      <w:pPr>
        <w:spacing w:line="276" w:lineRule="auto"/>
        <w:jc w:val="center"/>
        <w:rPr>
          <w:rFonts w:asciiTheme="minorHAnsi" w:hAnsiTheme="minorHAnsi" w:cstheme="minorHAnsi"/>
          <w:color w:val="808080"/>
          <w:sz w:val="32"/>
          <w:szCs w:val="32"/>
        </w:rPr>
      </w:pPr>
    </w:p>
    <w:p w14:paraId="7C249DDB" w14:textId="77777777" w:rsidR="00E14E3A" w:rsidRPr="007C4D65" w:rsidRDefault="00E14E3A" w:rsidP="0068355A">
      <w:pPr>
        <w:spacing w:line="276" w:lineRule="auto"/>
        <w:jc w:val="center"/>
        <w:rPr>
          <w:rFonts w:asciiTheme="minorHAnsi" w:hAnsiTheme="minorHAnsi" w:cstheme="minorHAnsi"/>
          <w:color w:val="808080"/>
          <w:sz w:val="32"/>
          <w:szCs w:val="32"/>
        </w:rPr>
      </w:pPr>
    </w:p>
    <w:p w14:paraId="12DF81CA" w14:textId="47F5BF45" w:rsidR="002A6380" w:rsidRPr="007C4D65" w:rsidRDefault="00524598" w:rsidP="0068355A">
      <w:pPr>
        <w:spacing w:line="276" w:lineRule="auto"/>
        <w:jc w:val="center"/>
        <w:rPr>
          <w:rFonts w:asciiTheme="minorHAnsi" w:hAnsiTheme="minorHAnsi" w:cstheme="minorHAnsi"/>
          <w:color w:val="808080"/>
          <w:sz w:val="32"/>
          <w:szCs w:val="32"/>
        </w:rPr>
      </w:pPr>
      <w:proofErr w:type="gramStart"/>
      <w:r w:rsidRPr="007C4D65">
        <w:rPr>
          <w:rFonts w:asciiTheme="minorHAnsi" w:hAnsiTheme="minorHAnsi" w:cstheme="minorHAnsi"/>
          <w:color w:val="808080"/>
          <w:sz w:val="32"/>
        </w:rPr>
        <w:lastRenderedPageBreak/>
        <w:t>August,</w:t>
      </w:r>
      <w:proofErr w:type="gramEnd"/>
      <w:r w:rsidRPr="007C4D65">
        <w:rPr>
          <w:rFonts w:asciiTheme="minorHAnsi" w:hAnsiTheme="minorHAnsi" w:cstheme="minorHAnsi"/>
          <w:color w:val="808080"/>
          <w:sz w:val="32"/>
        </w:rPr>
        <w:t xml:space="preserve"> 2022</w:t>
      </w:r>
    </w:p>
    <w:sdt>
      <w:sdtPr>
        <w:rPr>
          <w:rFonts w:asciiTheme="minorHAnsi" w:hAnsiTheme="minorHAnsi" w:cstheme="minorHAnsi"/>
        </w:rPr>
        <w:id w:val="99536040"/>
        <w:docPartObj>
          <w:docPartGallery w:val="Table of Contents"/>
          <w:docPartUnique/>
        </w:docPartObj>
      </w:sdtPr>
      <w:sdtEndPr>
        <w:rPr>
          <w:b/>
          <w:sz w:val="18"/>
          <w:szCs w:val="18"/>
        </w:rPr>
      </w:sdtEndPr>
      <w:sdtContent>
        <w:p w14:paraId="6D6469D1" w14:textId="646E5EDE" w:rsidR="00D63420" w:rsidRPr="007C4D65" w:rsidRDefault="00D63420" w:rsidP="0068355A">
          <w:pPr>
            <w:spacing w:line="276" w:lineRule="auto"/>
            <w:rPr>
              <w:rFonts w:asciiTheme="minorHAnsi" w:hAnsiTheme="minorHAnsi" w:cstheme="minorHAnsi"/>
            </w:rPr>
          </w:pPr>
          <w:r w:rsidRPr="007C4D65">
            <w:rPr>
              <w:rFonts w:asciiTheme="minorHAnsi" w:hAnsiTheme="minorHAnsi" w:cstheme="minorHAnsi"/>
              <w:b/>
              <w:color w:val="808080"/>
              <w:sz w:val="32"/>
            </w:rPr>
            <w:t>Table of Contents</w:t>
          </w:r>
        </w:p>
        <w:p w14:paraId="7EC3541D" w14:textId="679F1B5A" w:rsidR="00355203" w:rsidRPr="007C4D65" w:rsidRDefault="00D63420">
          <w:pPr>
            <w:pStyle w:val="TOC1"/>
            <w:rPr>
              <w:rFonts w:eastAsiaTheme="minorEastAsia" w:cstheme="minorBidi"/>
              <w:b w:val="0"/>
              <w:bCs w:val="0"/>
              <w:sz w:val="22"/>
              <w:szCs w:val="22"/>
              <w:lang w:val="bs-Latn-BA" w:eastAsia="bs-Latn-BA"/>
            </w:rPr>
          </w:pPr>
          <w:r w:rsidRPr="007C4D65">
            <w:rPr>
              <w:sz w:val="18"/>
            </w:rPr>
            <w:fldChar w:fldCharType="begin"/>
          </w:r>
          <w:r w:rsidRPr="007C4D65">
            <w:rPr>
              <w:sz w:val="18"/>
            </w:rPr>
            <w:instrText xml:space="preserve"> TOC \o "1-3" \h \z \u </w:instrText>
          </w:r>
          <w:r w:rsidRPr="007C4D65">
            <w:rPr>
              <w:sz w:val="18"/>
            </w:rPr>
            <w:fldChar w:fldCharType="separate"/>
          </w:r>
          <w:hyperlink w:anchor="_Toc117445320" w:history="1">
            <w:r w:rsidR="00355203" w:rsidRPr="007C4D65">
              <w:rPr>
                <w:rStyle w:val="Hyperlink"/>
              </w:rPr>
              <w:t>1. INTRODUCTION</w:t>
            </w:r>
            <w:r w:rsidR="00355203" w:rsidRPr="007C4D65">
              <w:rPr>
                <w:webHidden/>
              </w:rPr>
              <w:tab/>
            </w:r>
            <w:r w:rsidR="00355203" w:rsidRPr="007C4D65">
              <w:rPr>
                <w:webHidden/>
              </w:rPr>
              <w:fldChar w:fldCharType="begin"/>
            </w:r>
            <w:r w:rsidR="00355203" w:rsidRPr="007C4D65">
              <w:rPr>
                <w:webHidden/>
              </w:rPr>
              <w:instrText xml:space="preserve"> PAGEREF _Toc117445320 \h </w:instrText>
            </w:r>
            <w:r w:rsidR="00355203" w:rsidRPr="007C4D65">
              <w:rPr>
                <w:webHidden/>
              </w:rPr>
            </w:r>
            <w:r w:rsidR="00355203" w:rsidRPr="007C4D65">
              <w:rPr>
                <w:webHidden/>
              </w:rPr>
              <w:fldChar w:fldCharType="separate"/>
            </w:r>
            <w:r w:rsidR="00355203" w:rsidRPr="007C4D65">
              <w:rPr>
                <w:webHidden/>
              </w:rPr>
              <w:t>1</w:t>
            </w:r>
            <w:r w:rsidR="00355203" w:rsidRPr="007C4D65">
              <w:rPr>
                <w:webHidden/>
              </w:rPr>
              <w:fldChar w:fldCharType="end"/>
            </w:r>
          </w:hyperlink>
        </w:p>
        <w:p w14:paraId="267EDC24" w14:textId="7D0BC642" w:rsidR="00355203" w:rsidRPr="007C4D65" w:rsidRDefault="00000000">
          <w:pPr>
            <w:pStyle w:val="TOC1"/>
            <w:rPr>
              <w:rFonts w:eastAsiaTheme="minorEastAsia" w:cstheme="minorBidi"/>
              <w:b w:val="0"/>
              <w:bCs w:val="0"/>
              <w:sz w:val="22"/>
              <w:szCs w:val="22"/>
              <w:lang w:val="bs-Latn-BA" w:eastAsia="bs-Latn-BA"/>
            </w:rPr>
          </w:pPr>
          <w:hyperlink w:anchor="_Toc117445321" w:history="1">
            <w:r w:rsidR="00355203" w:rsidRPr="007C4D65">
              <w:rPr>
                <w:rStyle w:val="Hyperlink"/>
                <w:rFonts w:ascii="Calibri" w:eastAsiaTheme="majorEastAsia" w:hAnsi="Calibri"/>
              </w:rPr>
              <w:t>2.</w:t>
            </w:r>
            <w:r w:rsidR="00355203" w:rsidRPr="007C4D65">
              <w:rPr>
                <w:rStyle w:val="Hyperlink"/>
              </w:rPr>
              <w:t xml:space="preserve"> METHODOLOGY OF STRATEGY DEVELOPMENT</w:t>
            </w:r>
            <w:r w:rsidR="00355203" w:rsidRPr="007C4D65">
              <w:rPr>
                <w:webHidden/>
              </w:rPr>
              <w:tab/>
            </w:r>
            <w:r w:rsidR="00355203" w:rsidRPr="007C4D65">
              <w:rPr>
                <w:webHidden/>
              </w:rPr>
              <w:fldChar w:fldCharType="begin"/>
            </w:r>
            <w:r w:rsidR="00355203" w:rsidRPr="007C4D65">
              <w:rPr>
                <w:webHidden/>
              </w:rPr>
              <w:instrText xml:space="preserve"> PAGEREF _Toc117445321 \h </w:instrText>
            </w:r>
            <w:r w:rsidR="00355203" w:rsidRPr="007C4D65">
              <w:rPr>
                <w:webHidden/>
              </w:rPr>
            </w:r>
            <w:r w:rsidR="00355203" w:rsidRPr="007C4D65">
              <w:rPr>
                <w:webHidden/>
              </w:rPr>
              <w:fldChar w:fldCharType="separate"/>
            </w:r>
            <w:r w:rsidR="00355203" w:rsidRPr="007C4D65">
              <w:rPr>
                <w:webHidden/>
              </w:rPr>
              <w:t>3</w:t>
            </w:r>
            <w:r w:rsidR="00355203" w:rsidRPr="007C4D65">
              <w:rPr>
                <w:webHidden/>
              </w:rPr>
              <w:fldChar w:fldCharType="end"/>
            </w:r>
          </w:hyperlink>
        </w:p>
        <w:p w14:paraId="6BD01170" w14:textId="29F3047F" w:rsidR="00355203" w:rsidRPr="007C4D65" w:rsidRDefault="00000000">
          <w:pPr>
            <w:pStyle w:val="TOC1"/>
            <w:rPr>
              <w:rFonts w:eastAsiaTheme="minorEastAsia" w:cstheme="minorBidi"/>
              <w:b w:val="0"/>
              <w:bCs w:val="0"/>
              <w:sz w:val="22"/>
              <w:szCs w:val="22"/>
              <w:lang w:val="bs-Latn-BA" w:eastAsia="bs-Latn-BA"/>
            </w:rPr>
          </w:pPr>
          <w:hyperlink w:anchor="_Toc117445322" w:history="1">
            <w:r w:rsidR="00355203" w:rsidRPr="007C4D65">
              <w:rPr>
                <w:rStyle w:val="Hyperlink"/>
              </w:rPr>
              <w:t>3. STRATEGIC PLATFORM</w:t>
            </w:r>
            <w:r w:rsidR="00355203" w:rsidRPr="007C4D65">
              <w:rPr>
                <w:webHidden/>
              </w:rPr>
              <w:tab/>
            </w:r>
            <w:r w:rsidR="00355203" w:rsidRPr="007C4D65">
              <w:rPr>
                <w:webHidden/>
              </w:rPr>
              <w:fldChar w:fldCharType="begin"/>
            </w:r>
            <w:r w:rsidR="00355203" w:rsidRPr="007C4D65">
              <w:rPr>
                <w:webHidden/>
              </w:rPr>
              <w:instrText xml:space="preserve"> PAGEREF _Toc117445322 \h </w:instrText>
            </w:r>
            <w:r w:rsidR="00355203" w:rsidRPr="007C4D65">
              <w:rPr>
                <w:webHidden/>
              </w:rPr>
            </w:r>
            <w:r w:rsidR="00355203" w:rsidRPr="007C4D65">
              <w:rPr>
                <w:webHidden/>
              </w:rPr>
              <w:fldChar w:fldCharType="separate"/>
            </w:r>
            <w:r w:rsidR="00355203" w:rsidRPr="007C4D65">
              <w:rPr>
                <w:webHidden/>
              </w:rPr>
              <w:t>8</w:t>
            </w:r>
            <w:r w:rsidR="00355203" w:rsidRPr="007C4D65">
              <w:rPr>
                <w:webHidden/>
              </w:rPr>
              <w:fldChar w:fldCharType="end"/>
            </w:r>
          </w:hyperlink>
        </w:p>
        <w:p w14:paraId="2839F704" w14:textId="0F882544" w:rsidR="00355203" w:rsidRPr="007C4D65" w:rsidRDefault="00000000">
          <w:pPr>
            <w:pStyle w:val="TOC2"/>
            <w:rPr>
              <w:rFonts w:eastAsiaTheme="minorEastAsia" w:cstheme="minorBidi"/>
              <w:sz w:val="22"/>
              <w:szCs w:val="22"/>
              <w:lang w:val="bs-Latn-BA" w:eastAsia="bs-Latn-BA"/>
            </w:rPr>
          </w:pPr>
          <w:hyperlink w:anchor="_Toc117445323" w:history="1">
            <w:r w:rsidR="00355203" w:rsidRPr="007C4D65">
              <w:rPr>
                <w:rStyle w:val="Hyperlink"/>
              </w:rPr>
              <w:t>3.1. Strategic focusing</w:t>
            </w:r>
            <w:r w:rsidR="00355203" w:rsidRPr="007C4D65">
              <w:rPr>
                <w:webHidden/>
              </w:rPr>
              <w:tab/>
            </w:r>
            <w:r w:rsidR="00355203" w:rsidRPr="007C4D65">
              <w:rPr>
                <w:webHidden/>
              </w:rPr>
              <w:fldChar w:fldCharType="begin"/>
            </w:r>
            <w:r w:rsidR="00355203" w:rsidRPr="007C4D65">
              <w:rPr>
                <w:webHidden/>
              </w:rPr>
              <w:instrText xml:space="preserve"> PAGEREF _Toc117445323 \h </w:instrText>
            </w:r>
            <w:r w:rsidR="00355203" w:rsidRPr="007C4D65">
              <w:rPr>
                <w:webHidden/>
              </w:rPr>
            </w:r>
            <w:r w:rsidR="00355203" w:rsidRPr="007C4D65">
              <w:rPr>
                <w:webHidden/>
              </w:rPr>
              <w:fldChar w:fldCharType="separate"/>
            </w:r>
            <w:r w:rsidR="00355203" w:rsidRPr="007C4D65">
              <w:rPr>
                <w:webHidden/>
              </w:rPr>
              <w:t>8</w:t>
            </w:r>
            <w:r w:rsidR="00355203" w:rsidRPr="007C4D65">
              <w:rPr>
                <w:webHidden/>
              </w:rPr>
              <w:fldChar w:fldCharType="end"/>
            </w:r>
          </w:hyperlink>
        </w:p>
        <w:p w14:paraId="52C61BB6" w14:textId="1A69D19B" w:rsidR="00355203" w:rsidRPr="007C4D65" w:rsidRDefault="00000000">
          <w:pPr>
            <w:pStyle w:val="TOC3"/>
            <w:rPr>
              <w:rFonts w:eastAsiaTheme="minorEastAsia" w:cstheme="minorBidi"/>
              <w:lang w:val="bs-Latn-BA" w:eastAsia="bs-Latn-BA"/>
            </w:rPr>
          </w:pPr>
          <w:hyperlink w:anchor="_Toc117445324" w:history="1">
            <w:r w:rsidR="00355203" w:rsidRPr="007C4D65">
              <w:rPr>
                <w:rStyle w:val="Hyperlink"/>
              </w:rPr>
              <w:t>3.1.1. EU context</w:t>
            </w:r>
            <w:r w:rsidR="00355203" w:rsidRPr="007C4D65">
              <w:rPr>
                <w:webHidden/>
              </w:rPr>
              <w:tab/>
            </w:r>
            <w:r w:rsidR="00355203" w:rsidRPr="007C4D65">
              <w:rPr>
                <w:webHidden/>
              </w:rPr>
              <w:fldChar w:fldCharType="begin"/>
            </w:r>
            <w:r w:rsidR="00355203" w:rsidRPr="007C4D65">
              <w:rPr>
                <w:webHidden/>
              </w:rPr>
              <w:instrText xml:space="preserve"> PAGEREF _Toc117445324 \h </w:instrText>
            </w:r>
            <w:r w:rsidR="00355203" w:rsidRPr="007C4D65">
              <w:rPr>
                <w:webHidden/>
              </w:rPr>
            </w:r>
            <w:r w:rsidR="00355203" w:rsidRPr="007C4D65">
              <w:rPr>
                <w:webHidden/>
              </w:rPr>
              <w:fldChar w:fldCharType="separate"/>
            </w:r>
            <w:r w:rsidR="00355203" w:rsidRPr="007C4D65">
              <w:rPr>
                <w:webHidden/>
              </w:rPr>
              <w:t>8</w:t>
            </w:r>
            <w:r w:rsidR="00355203" w:rsidRPr="007C4D65">
              <w:rPr>
                <w:webHidden/>
              </w:rPr>
              <w:fldChar w:fldCharType="end"/>
            </w:r>
          </w:hyperlink>
        </w:p>
        <w:p w14:paraId="1521E4FE" w14:textId="3C25DD3C" w:rsidR="00355203" w:rsidRPr="007C4D65" w:rsidRDefault="00000000">
          <w:pPr>
            <w:pStyle w:val="TOC3"/>
            <w:rPr>
              <w:rFonts w:eastAsiaTheme="minorEastAsia" w:cstheme="minorBidi"/>
              <w:lang w:val="bs-Latn-BA" w:eastAsia="bs-Latn-BA"/>
            </w:rPr>
          </w:pPr>
          <w:hyperlink w:anchor="_Toc117445325" w:history="1">
            <w:r w:rsidR="00355203" w:rsidRPr="007C4D65">
              <w:rPr>
                <w:rStyle w:val="Hyperlink"/>
              </w:rPr>
              <w:t>3.1.2. Context of the Federation of BiH</w:t>
            </w:r>
            <w:r w:rsidR="00355203" w:rsidRPr="007C4D65">
              <w:rPr>
                <w:webHidden/>
              </w:rPr>
              <w:tab/>
            </w:r>
            <w:r w:rsidR="00355203" w:rsidRPr="007C4D65">
              <w:rPr>
                <w:webHidden/>
              </w:rPr>
              <w:fldChar w:fldCharType="begin"/>
            </w:r>
            <w:r w:rsidR="00355203" w:rsidRPr="007C4D65">
              <w:rPr>
                <w:webHidden/>
              </w:rPr>
              <w:instrText xml:space="preserve"> PAGEREF _Toc117445325 \h </w:instrText>
            </w:r>
            <w:r w:rsidR="00355203" w:rsidRPr="007C4D65">
              <w:rPr>
                <w:webHidden/>
              </w:rPr>
            </w:r>
            <w:r w:rsidR="00355203" w:rsidRPr="007C4D65">
              <w:rPr>
                <w:webHidden/>
              </w:rPr>
              <w:fldChar w:fldCharType="separate"/>
            </w:r>
            <w:r w:rsidR="00355203" w:rsidRPr="007C4D65">
              <w:rPr>
                <w:webHidden/>
              </w:rPr>
              <w:t>8</w:t>
            </w:r>
            <w:r w:rsidR="00355203" w:rsidRPr="007C4D65">
              <w:rPr>
                <w:webHidden/>
              </w:rPr>
              <w:fldChar w:fldCharType="end"/>
            </w:r>
          </w:hyperlink>
        </w:p>
        <w:p w14:paraId="505AAFE0" w14:textId="45F18FC3" w:rsidR="00355203" w:rsidRPr="007C4D65" w:rsidRDefault="00000000">
          <w:pPr>
            <w:pStyle w:val="TOC2"/>
            <w:rPr>
              <w:rFonts w:eastAsiaTheme="minorEastAsia" w:cstheme="minorBidi"/>
              <w:sz w:val="22"/>
              <w:szCs w:val="22"/>
              <w:lang w:val="bs-Latn-BA" w:eastAsia="bs-Latn-BA"/>
            </w:rPr>
          </w:pPr>
          <w:hyperlink w:anchor="_Toc117445326" w:history="1">
            <w:r w:rsidR="00355203" w:rsidRPr="007C4D65">
              <w:rPr>
                <w:rStyle w:val="Hyperlink"/>
              </w:rPr>
              <w:t>3.2. Vision</w:t>
            </w:r>
            <w:r w:rsidR="00355203" w:rsidRPr="007C4D65">
              <w:rPr>
                <w:webHidden/>
              </w:rPr>
              <w:tab/>
            </w:r>
            <w:r w:rsidR="00355203" w:rsidRPr="007C4D65">
              <w:rPr>
                <w:webHidden/>
              </w:rPr>
              <w:fldChar w:fldCharType="begin"/>
            </w:r>
            <w:r w:rsidR="00355203" w:rsidRPr="007C4D65">
              <w:rPr>
                <w:webHidden/>
              </w:rPr>
              <w:instrText xml:space="preserve"> PAGEREF _Toc117445326 \h </w:instrText>
            </w:r>
            <w:r w:rsidR="00355203" w:rsidRPr="007C4D65">
              <w:rPr>
                <w:webHidden/>
              </w:rPr>
            </w:r>
            <w:r w:rsidR="00355203" w:rsidRPr="007C4D65">
              <w:rPr>
                <w:webHidden/>
              </w:rPr>
              <w:fldChar w:fldCharType="separate"/>
            </w:r>
            <w:r w:rsidR="00355203" w:rsidRPr="007C4D65">
              <w:rPr>
                <w:webHidden/>
              </w:rPr>
              <w:t>9</w:t>
            </w:r>
            <w:r w:rsidR="00355203" w:rsidRPr="007C4D65">
              <w:rPr>
                <w:webHidden/>
              </w:rPr>
              <w:fldChar w:fldCharType="end"/>
            </w:r>
          </w:hyperlink>
        </w:p>
        <w:p w14:paraId="421A08C7" w14:textId="5E636A65" w:rsidR="00355203" w:rsidRPr="007C4D65" w:rsidRDefault="00000000">
          <w:pPr>
            <w:pStyle w:val="TOC2"/>
            <w:rPr>
              <w:rFonts w:eastAsiaTheme="minorEastAsia" w:cstheme="minorBidi"/>
              <w:sz w:val="22"/>
              <w:szCs w:val="22"/>
              <w:lang w:val="bs-Latn-BA" w:eastAsia="bs-Latn-BA"/>
            </w:rPr>
          </w:pPr>
          <w:hyperlink w:anchor="_Toc117445327" w:history="1">
            <w:r w:rsidR="00355203" w:rsidRPr="007C4D65">
              <w:rPr>
                <w:rStyle w:val="Hyperlink"/>
              </w:rPr>
              <w:t>3.3. Strategic Goals</w:t>
            </w:r>
            <w:r w:rsidR="00355203" w:rsidRPr="007C4D65">
              <w:rPr>
                <w:webHidden/>
              </w:rPr>
              <w:tab/>
            </w:r>
            <w:r w:rsidR="00355203" w:rsidRPr="007C4D65">
              <w:rPr>
                <w:webHidden/>
              </w:rPr>
              <w:fldChar w:fldCharType="begin"/>
            </w:r>
            <w:r w:rsidR="00355203" w:rsidRPr="007C4D65">
              <w:rPr>
                <w:webHidden/>
              </w:rPr>
              <w:instrText xml:space="preserve"> PAGEREF _Toc117445327 \h </w:instrText>
            </w:r>
            <w:r w:rsidR="00355203" w:rsidRPr="007C4D65">
              <w:rPr>
                <w:webHidden/>
              </w:rPr>
            </w:r>
            <w:r w:rsidR="00355203" w:rsidRPr="007C4D65">
              <w:rPr>
                <w:webHidden/>
              </w:rPr>
              <w:fldChar w:fldCharType="separate"/>
            </w:r>
            <w:r w:rsidR="00355203" w:rsidRPr="007C4D65">
              <w:rPr>
                <w:webHidden/>
              </w:rPr>
              <w:t>10</w:t>
            </w:r>
            <w:r w:rsidR="00355203" w:rsidRPr="007C4D65">
              <w:rPr>
                <w:webHidden/>
              </w:rPr>
              <w:fldChar w:fldCharType="end"/>
            </w:r>
          </w:hyperlink>
        </w:p>
        <w:p w14:paraId="7BCFA36A" w14:textId="148E2819" w:rsidR="00355203" w:rsidRPr="007C4D65" w:rsidRDefault="00000000">
          <w:pPr>
            <w:pStyle w:val="TOC2"/>
            <w:rPr>
              <w:rFonts w:eastAsiaTheme="minorEastAsia" w:cstheme="minorBidi"/>
              <w:sz w:val="22"/>
              <w:szCs w:val="22"/>
              <w:lang w:val="bs-Latn-BA" w:eastAsia="bs-Latn-BA"/>
            </w:rPr>
          </w:pPr>
          <w:hyperlink w:anchor="_Toc117445328" w:history="1">
            <w:r w:rsidR="00355203" w:rsidRPr="007C4D65">
              <w:rPr>
                <w:rStyle w:val="Hyperlink"/>
              </w:rPr>
              <w:t>3.5. Priorities of strategic goals</w:t>
            </w:r>
            <w:r w:rsidR="00355203" w:rsidRPr="007C4D65">
              <w:rPr>
                <w:webHidden/>
              </w:rPr>
              <w:tab/>
            </w:r>
            <w:r w:rsidR="00355203" w:rsidRPr="007C4D65">
              <w:rPr>
                <w:webHidden/>
              </w:rPr>
              <w:fldChar w:fldCharType="begin"/>
            </w:r>
            <w:r w:rsidR="00355203" w:rsidRPr="007C4D65">
              <w:rPr>
                <w:webHidden/>
              </w:rPr>
              <w:instrText xml:space="preserve"> PAGEREF _Toc117445328 \h </w:instrText>
            </w:r>
            <w:r w:rsidR="00355203" w:rsidRPr="007C4D65">
              <w:rPr>
                <w:webHidden/>
              </w:rPr>
            </w:r>
            <w:r w:rsidR="00355203" w:rsidRPr="007C4D65">
              <w:rPr>
                <w:webHidden/>
              </w:rPr>
              <w:fldChar w:fldCharType="separate"/>
            </w:r>
            <w:r w:rsidR="00355203" w:rsidRPr="007C4D65">
              <w:rPr>
                <w:webHidden/>
              </w:rPr>
              <w:t>11</w:t>
            </w:r>
            <w:r w:rsidR="00355203" w:rsidRPr="007C4D65">
              <w:rPr>
                <w:webHidden/>
              </w:rPr>
              <w:fldChar w:fldCharType="end"/>
            </w:r>
          </w:hyperlink>
        </w:p>
        <w:p w14:paraId="67BD13A4" w14:textId="2E7F1E65" w:rsidR="00355203" w:rsidRPr="007C4D65" w:rsidRDefault="00000000">
          <w:pPr>
            <w:pStyle w:val="TOC1"/>
            <w:rPr>
              <w:rFonts w:eastAsiaTheme="minorEastAsia" w:cstheme="minorBidi"/>
              <w:b w:val="0"/>
              <w:bCs w:val="0"/>
              <w:sz w:val="22"/>
              <w:szCs w:val="22"/>
              <w:lang w:val="bs-Latn-BA" w:eastAsia="bs-Latn-BA"/>
            </w:rPr>
          </w:pPr>
          <w:hyperlink w:anchor="_Toc117445329" w:history="1">
            <w:r w:rsidR="00355203" w:rsidRPr="007C4D65">
              <w:rPr>
                <w:rStyle w:val="Hyperlink"/>
              </w:rPr>
              <w:t>4. WATER MANAGEMENT</w:t>
            </w:r>
            <w:r w:rsidR="00355203" w:rsidRPr="007C4D65">
              <w:rPr>
                <w:webHidden/>
              </w:rPr>
              <w:tab/>
            </w:r>
            <w:r w:rsidR="00355203" w:rsidRPr="007C4D65">
              <w:rPr>
                <w:webHidden/>
              </w:rPr>
              <w:fldChar w:fldCharType="begin"/>
            </w:r>
            <w:r w:rsidR="00355203" w:rsidRPr="007C4D65">
              <w:rPr>
                <w:webHidden/>
              </w:rPr>
              <w:instrText xml:space="preserve"> PAGEREF _Toc117445329 \h </w:instrText>
            </w:r>
            <w:r w:rsidR="00355203" w:rsidRPr="007C4D65">
              <w:rPr>
                <w:webHidden/>
              </w:rPr>
            </w:r>
            <w:r w:rsidR="00355203" w:rsidRPr="007C4D65">
              <w:rPr>
                <w:webHidden/>
              </w:rPr>
              <w:fldChar w:fldCharType="separate"/>
            </w:r>
            <w:r w:rsidR="00355203" w:rsidRPr="007C4D65">
              <w:rPr>
                <w:webHidden/>
              </w:rPr>
              <w:t>15</w:t>
            </w:r>
            <w:r w:rsidR="00355203" w:rsidRPr="007C4D65">
              <w:rPr>
                <w:webHidden/>
              </w:rPr>
              <w:fldChar w:fldCharType="end"/>
            </w:r>
          </w:hyperlink>
        </w:p>
        <w:p w14:paraId="5BA7576A" w14:textId="0A626D25" w:rsidR="00355203" w:rsidRPr="007C4D65" w:rsidRDefault="00000000">
          <w:pPr>
            <w:pStyle w:val="TOC2"/>
            <w:rPr>
              <w:rFonts w:eastAsiaTheme="minorEastAsia" w:cstheme="minorBidi"/>
              <w:sz w:val="22"/>
              <w:szCs w:val="22"/>
              <w:lang w:val="bs-Latn-BA" w:eastAsia="bs-Latn-BA"/>
            </w:rPr>
          </w:pPr>
          <w:hyperlink w:anchor="_Toc117445330" w:history="1">
            <w:r w:rsidR="00355203" w:rsidRPr="007C4D65">
              <w:rPr>
                <w:rStyle w:val="Hyperlink"/>
              </w:rPr>
              <w:t>4.1. Situation analysis</w:t>
            </w:r>
            <w:r w:rsidR="00355203" w:rsidRPr="007C4D65">
              <w:rPr>
                <w:webHidden/>
              </w:rPr>
              <w:tab/>
            </w:r>
            <w:r w:rsidR="00355203" w:rsidRPr="007C4D65">
              <w:rPr>
                <w:webHidden/>
              </w:rPr>
              <w:fldChar w:fldCharType="begin"/>
            </w:r>
            <w:r w:rsidR="00355203" w:rsidRPr="007C4D65">
              <w:rPr>
                <w:webHidden/>
              </w:rPr>
              <w:instrText xml:space="preserve"> PAGEREF _Toc117445330 \h </w:instrText>
            </w:r>
            <w:r w:rsidR="00355203" w:rsidRPr="007C4D65">
              <w:rPr>
                <w:webHidden/>
              </w:rPr>
            </w:r>
            <w:r w:rsidR="00355203" w:rsidRPr="007C4D65">
              <w:rPr>
                <w:webHidden/>
              </w:rPr>
              <w:fldChar w:fldCharType="separate"/>
            </w:r>
            <w:r w:rsidR="00355203" w:rsidRPr="007C4D65">
              <w:rPr>
                <w:webHidden/>
              </w:rPr>
              <w:t>15</w:t>
            </w:r>
            <w:r w:rsidR="00355203" w:rsidRPr="007C4D65">
              <w:rPr>
                <w:webHidden/>
              </w:rPr>
              <w:fldChar w:fldCharType="end"/>
            </w:r>
          </w:hyperlink>
        </w:p>
        <w:p w14:paraId="3DD1595F" w14:textId="22033ED4" w:rsidR="00355203" w:rsidRPr="007C4D65" w:rsidRDefault="00000000">
          <w:pPr>
            <w:pStyle w:val="TOC2"/>
            <w:rPr>
              <w:rFonts w:eastAsiaTheme="minorEastAsia" w:cstheme="minorBidi"/>
              <w:sz w:val="22"/>
              <w:szCs w:val="22"/>
              <w:lang w:val="bs-Latn-BA" w:eastAsia="bs-Latn-BA"/>
            </w:rPr>
          </w:pPr>
          <w:hyperlink w:anchor="_Toc117445331" w:history="1">
            <w:r w:rsidR="00355203" w:rsidRPr="007C4D65">
              <w:rPr>
                <w:rStyle w:val="Hyperlink"/>
              </w:rPr>
              <w:t>4.2. Strategic goal 1</w:t>
            </w:r>
            <w:r w:rsidR="00355203" w:rsidRPr="007C4D65">
              <w:rPr>
                <w:webHidden/>
              </w:rPr>
              <w:tab/>
            </w:r>
            <w:r w:rsidR="00355203" w:rsidRPr="007C4D65">
              <w:rPr>
                <w:webHidden/>
              </w:rPr>
              <w:fldChar w:fldCharType="begin"/>
            </w:r>
            <w:r w:rsidR="00355203" w:rsidRPr="007C4D65">
              <w:rPr>
                <w:webHidden/>
              </w:rPr>
              <w:instrText xml:space="preserve"> PAGEREF _Toc117445331 \h </w:instrText>
            </w:r>
            <w:r w:rsidR="00355203" w:rsidRPr="007C4D65">
              <w:rPr>
                <w:webHidden/>
              </w:rPr>
            </w:r>
            <w:r w:rsidR="00355203" w:rsidRPr="007C4D65">
              <w:rPr>
                <w:webHidden/>
              </w:rPr>
              <w:fldChar w:fldCharType="separate"/>
            </w:r>
            <w:r w:rsidR="00355203" w:rsidRPr="007C4D65">
              <w:rPr>
                <w:webHidden/>
              </w:rPr>
              <w:t>34</w:t>
            </w:r>
            <w:r w:rsidR="00355203" w:rsidRPr="007C4D65">
              <w:rPr>
                <w:webHidden/>
              </w:rPr>
              <w:fldChar w:fldCharType="end"/>
            </w:r>
          </w:hyperlink>
        </w:p>
        <w:p w14:paraId="235E5F84" w14:textId="1CEF8EF0" w:rsidR="00355203" w:rsidRPr="007C4D65" w:rsidRDefault="00000000">
          <w:pPr>
            <w:pStyle w:val="TOC3"/>
            <w:rPr>
              <w:rFonts w:eastAsiaTheme="minorEastAsia" w:cstheme="minorBidi"/>
              <w:lang w:val="bs-Latn-BA" w:eastAsia="bs-Latn-BA"/>
            </w:rPr>
          </w:pPr>
          <w:hyperlink w:anchor="_Toc117445332" w:history="1">
            <w:r w:rsidR="00355203" w:rsidRPr="007C4D65">
              <w:rPr>
                <w:rStyle w:val="Hyperlink"/>
              </w:rPr>
              <w:t>Priorities for strategic goal 1</w:t>
            </w:r>
            <w:r w:rsidR="00355203" w:rsidRPr="007C4D65">
              <w:rPr>
                <w:webHidden/>
              </w:rPr>
              <w:tab/>
            </w:r>
            <w:r w:rsidR="00355203" w:rsidRPr="007C4D65">
              <w:rPr>
                <w:webHidden/>
              </w:rPr>
              <w:fldChar w:fldCharType="begin"/>
            </w:r>
            <w:r w:rsidR="00355203" w:rsidRPr="007C4D65">
              <w:rPr>
                <w:webHidden/>
              </w:rPr>
              <w:instrText xml:space="preserve"> PAGEREF _Toc117445332 \h </w:instrText>
            </w:r>
            <w:r w:rsidR="00355203" w:rsidRPr="007C4D65">
              <w:rPr>
                <w:webHidden/>
              </w:rPr>
            </w:r>
            <w:r w:rsidR="00355203" w:rsidRPr="007C4D65">
              <w:rPr>
                <w:webHidden/>
              </w:rPr>
              <w:fldChar w:fldCharType="separate"/>
            </w:r>
            <w:r w:rsidR="00355203" w:rsidRPr="007C4D65">
              <w:rPr>
                <w:webHidden/>
              </w:rPr>
              <w:t>35</w:t>
            </w:r>
            <w:r w:rsidR="00355203" w:rsidRPr="007C4D65">
              <w:rPr>
                <w:webHidden/>
              </w:rPr>
              <w:fldChar w:fldCharType="end"/>
            </w:r>
          </w:hyperlink>
        </w:p>
        <w:p w14:paraId="768301CC" w14:textId="425C8079" w:rsidR="00355203" w:rsidRPr="007C4D65" w:rsidRDefault="00000000">
          <w:pPr>
            <w:pStyle w:val="TOC3"/>
            <w:rPr>
              <w:rFonts w:eastAsiaTheme="minorEastAsia" w:cstheme="minorBidi"/>
              <w:lang w:val="bs-Latn-BA" w:eastAsia="bs-Latn-BA"/>
            </w:rPr>
          </w:pPr>
          <w:hyperlink w:anchor="_Toc117445333" w:history="1">
            <w:r w:rsidR="00355203" w:rsidRPr="007C4D65">
              <w:rPr>
                <w:rStyle w:val="Hyperlink"/>
              </w:rPr>
              <w:t>4.2.1. Description of measures</w:t>
            </w:r>
            <w:r w:rsidR="00355203" w:rsidRPr="007C4D65">
              <w:rPr>
                <w:webHidden/>
              </w:rPr>
              <w:tab/>
            </w:r>
            <w:r w:rsidR="00355203" w:rsidRPr="007C4D65">
              <w:rPr>
                <w:webHidden/>
              </w:rPr>
              <w:fldChar w:fldCharType="begin"/>
            </w:r>
            <w:r w:rsidR="00355203" w:rsidRPr="007C4D65">
              <w:rPr>
                <w:webHidden/>
              </w:rPr>
              <w:instrText xml:space="preserve"> PAGEREF _Toc117445333 \h </w:instrText>
            </w:r>
            <w:r w:rsidR="00355203" w:rsidRPr="007C4D65">
              <w:rPr>
                <w:webHidden/>
              </w:rPr>
            </w:r>
            <w:r w:rsidR="00355203" w:rsidRPr="007C4D65">
              <w:rPr>
                <w:webHidden/>
              </w:rPr>
              <w:fldChar w:fldCharType="separate"/>
            </w:r>
            <w:r w:rsidR="00355203" w:rsidRPr="007C4D65">
              <w:rPr>
                <w:webHidden/>
              </w:rPr>
              <w:t>41</w:t>
            </w:r>
            <w:r w:rsidR="00355203" w:rsidRPr="007C4D65">
              <w:rPr>
                <w:webHidden/>
              </w:rPr>
              <w:fldChar w:fldCharType="end"/>
            </w:r>
          </w:hyperlink>
        </w:p>
        <w:p w14:paraId="1AE8EDD1" w14:textId="55B6693F" w:rsidR="00355203" w:rsidRPr="007C4D65" w:rsidRDefault="00000000">
          <w:pPr>
            <w:pStyle w:val="TOC2"/>
            <w:rPr>
              <w:rFonts w:eastAsiaTheme="minorEastAsia" w:cstheme="minorBidi"/>
              <w:sz w:val="22"/>
              <w:szCs w:val="22"/>
              <w:lang w:val="bs-Latn-BA" w:eastAsia="bs-Latn-BA"/>
            </w:rPr>
          </w:pPr>
          <w:hyperlink w:anchor="_Toc117445334" w:history="1">
            <w:r w:rsidR="00355203" w:rsidRPr="007C4D65">
              <w:rPr>
                <w:rStyle w:val="Hyperlink"/>
              </w:rPr>
              <w:t>4.3. Indicative financial framework</w:t>
            </w:r>
            <w:r w:rsidR="00355203" w:rsidRPr="007C4D65">
              <w:rPr>
                <w:webHidden/>
              </w:rPr>
              <w:tab/>
            </w:r>
            <w:r w:rsidR="00355203" w:rsidRPr="007C4D65">
              <w:rPr>
                <w:webHidden/>
              </w:rPr>
              <w:fldChar w:fldCharType="begin"/>
            </w:r>
            <w:r w:rsidR="00355203" w:rsidRPr="007C4D65">
              <w:rPr>
                <w:webHidden/>
              </w:rPr>
              <w:instrText xml:space="preserve"> PAGEREF _Toc117445334 \h </w:instrText>
            </w:r>
            <w:r w:rsidR="00355203" w:rsidRPr="007C4D65">
              <w:rPr>
                <w:webHidden/>
              </w:rPr>
            </w:r>
            <w:r w:rsidR="00355203" w:rsidRPr="007C4D65">
              <w:rPr>
                <w:webHidden/>
              </w:rPr>
              <w:fldChar w:fldCharType="separate"/>
            </w:r>
            <w:r w:rsidR="00355203" w:rsidRPr="007C4D65">
              <w:rPr>
                <w:webHidden/>
              </w:rPr>
              <w:t>44</w:t>
            </w:r>
            <w:r w:rsidR="00355203" w:rsidRPr="007C4D65">
              <w:rPr>
                <w:webHidden/>
              </w:rPr>
              <w:fldChar w:fldCharType="end"/>
            </w:r>
          </w:hyperlink>
        </w:p>
        <w:p w14:paraId="74F82465" w14:textId="4B4FBE3F" w:rsidR="00355203" w:rsidRPr="007C4D65" w:rsidRDefault="00000000">
          <w:pPr>
            <w:pStyle w:val="TOC1"/>
            <w:rPr>
              <w:rFonts w:eastAsiaTheme="minorEastAsia" w:cstheme="minorBidi"/>
              <w:b w:val="0"/>
              <w:bCs w:val="0"/>
              <w:sz w:val="22"/>
              <w:szCs w:val="22"/>
              <w:lang w:val="bs-Latn-BA" w:eastAsia="bs-Latn-BA"/>
            </w:rPr>
          </w:pPr>
          <w:hyperlink w:anchor="_Toc117445335" w:history="1">
            <w:r w:rsidR="00355203" w:rsidRPr="007C4D65">
              <w:rPr>
                <w:rStyle w:val="Hyperlink"/>
              </w:rPr>
              <w:t>5. WASTE MANAGEMENT</w:t>
            </w:r>
            <w:r w:rsidR="00355203" w:rsidRPr="007C4D65">
              <w:rPr>
                <w:webHidden/>
              </w:rPr>
              <w:tab/>
            </w:r>
            <w:r w:rsidR="00355203" w:rsidRPr="007C4D65">
              <w:rPr>
                <w:webHidden/>
              </w:rPr>
              <w:fldChar w:fldCharType="begin"/>
            </w:r>
            <w:r w:rsidR="00355203" w:rsidRPr="007C4D65">
              <w:rPr>
                <w:webHidden/>
              </w:rPr>
              <w:instrText xml:space="preserve"> PAGEREF _Toc117445335 \h </w:instrText>
            </w:r>
            <w:r w:rsidR="00355203" w:rsidRPr="007C4D65">
              <w:rPr>
                <w:webHidden/>
              </w:rPr>
            </w:r>
            <w:r w:rsidR="00355203" w:rsidRPr="007C4D65">
              <w:rPr>
                <w:webHidden/>
              </w:rPr>
              <w:fldChar w:fldCharType="separate"/>
            </w:r>
            <w:r w:rsidR="00355203" w:rsidRPr="007C4D65">
              <w:rPr>
                <w:webHidden/>
              </w:rPr>
              <w:t>45</w:t>
            </w:r>
            <w:r w:rsidR="00355203" w:rsidRPr="007C4D65">
              <w:rPr>
                <w:webHidden/>
              </w:rPr>
              <w:fldChar w:fldCharType="end"/>
            </w:r>
          </w:hyperlink>
        </w:p>
        <w:p w14:paraId="6E991CBE" w14:textId="018DC87E" w:rsidR="00355203" w:rsidRPr="007C4D65" w:rsidRDefault="00000000">
          <w:pPr>
            <w:pStyle w:val="TOC2"/>
            <w:rPr>
              <w:rFonts w:eastAsiaTheme="minorEastAsia" w:cstheme="minorBidi"/>
              <w:sz w:val="22"/>
              <w:szCs w:val="22"/>
              <w:lang w:val="bs-Latn-BA" w:eastAsia="bs-Latn-BA"/>
            </w:rPr>
          </w:pPr>
          <w:hyperlink w:anchor="_Toc117445336" w:history="1">
            <w:r w:rsidR="00355203" w:rsidRPr="007C4D65">
              <w:rPr>
                <w:rStyle w:val="Hyperlink"/>
              </w:rPr>
              <w:t>5.1. Situation analysis</w:t>
            </w:r>
            <w:r w:rsidR="00355203" w:rsidRPr="007C4D65">
              <w:rPr>
                <w:webHidden/>
              </w:rPr>
              <w:tab/>
            </w:r>
            <w:r w:rsidR="00355203" w:rsidRPr="007C4D65">
              <w:rPr>
                <w:webHidden/>
              </w:rPr>
              <w:fldChar w:fldCharType="begin"/>
            </w:r>
            <w:r w:rsidR="00355203" w:rsidRPr="007C4D65">
              <w:rPr>
                <w:webHidden/>
              </w:rPr>
              <w:instrText xml:space="preserve"> PAGEREF _Toc117445336 \h </w:instrText>
            </w:r>
            <w:r w:rsidR="00355203" w:rsidRPr="007C4D65">
              <w:rPr>
                <w:webHidden/>
              </w:rPr>
            </w:r>
            <w:r w:rsidR="00355203" w:rsidRPr="007C4D65">
              <w:rPr>
                <w:webHidden/>
              </w:rPr>
              <w:fldChar w:fldCharType="separate"/>
            </w:r>
            <w:r w:rsidR="00355203" w:rsidRPr="007C4D65">
              <w:rPr>
                <w:webHidden/>
              </w:rPr>
              <w:t>45</w:t>
            </w:r>
            <w:r w:rsidR="00355203" w:rsidRPr="007C4D65">
              <w:rPr>
                <w:webHidden/>
              </w:rPr>
              <w:fldChar w:fldCharType="end"/>
            </w:r>
          </w:hyperlink>
        </w:p>
        <w:p w14:paraId="02F08E27" w14:textId="083D2461" w:rsidR="00355203" w:rsidRPr="007C4D65" w:rsidRDefault="00000000">
          <w:pPr>
            <w:pStyle w:val="TOC2"/>
            <w:rPr>
              <w:rFonts w:eastAsiaTheme="minorEastAsia" w:cstheme="minorBidi"/>
              <w:sz w:val="22"/>
              <w:szCs w:val="22"/>
              <w:lang w:val="bs-Latn-BA" w:eastAsia="bs-Latn-BA"/>
            </w:rPr>
          </w:pPr>
          <w:hyperlink w:anchor="_Toc117445337" w:history="1">
            <w:r w:rsidR="00355203" w:rsidRPr="007C4D65">
              <w:rPr>
                <w:rStyle w:val="Hyperlink"/>
              </w:rPr>
              <w:t>5.2. Strategic goal 2</w:t>
            </w:r>
            <w:r w:rsidR="00355203" w:rsidRPr="007C4D65">
              <w:rPr>
                <w:webHidden/>
              </w:rPr>
              <w:tab/>
            </w:r>
            <w:r w:rsidR="00355203" w:rsidRPr="007C4D65">
              <w:rPr>
                <w:webHidden/>
              </w:rPr>
              <w:fldChar w:fldCharType="begin"/>
            </w:r>
            <w:r w:rsidR="00355203" w:rsidRPr="007C4D65">
              <w:rPr>
                <w:webHidden/>
              </w:rPr>
              <w:instrText xml:space="preserve"> PAGEREF _Toc117445337 \h </w:instrText>
            </w:r>
            <w:r w:rsidR="00355203" w:rsidRPr="007C4D65">
              <w:rPr>
                <w:webHidden/>
              </w:rPr>
            </w:r>
            <w:r w:rsidR="00355203" w:rsidRPr="007C4D65">
              <w:rPr>
                <w:webHidden/>
              </w:rPr>
              <w:fldChar w:fldCharType="separate"/>
            </w:r>
            <w:r w:rsidR="00355203" w:rsidRPr="007C4D65">
              <w:rPr>
                <w:webHidden/>
              </w:rPr>
              <w:t>51</w:t>
            </w:r>
            <w:r w:rsidR="00355203" w:rsidRPr="007C4D65">
              <w:rPr>
                <w:webHidden/>
              </w:rPr>
              <w:fldChar w:fldCharType="end"/>
            </w:r>
          </w:hyperlink>
        </w:p>
        <w:p w14:paraId="618A1BA6" w14:textId="67FA97C8" w:rsidR="00355203" w:rsidRPr="007C4D65" w:rsidRDefault="00000000">
          <w:pPr>
            <w:pStyle w:val="TOC3"/>
            <w:rPr>
              <w:rFonts w:eastAsiaTheme="minorEastAsia" w:cstheme="minorBidi"/>
              <w:lang w:val="bs-Latn-BA" w:eastAsia="bs-Latn-BA"/>
            </w:rPr>
          </w:pPr>
          <w:hyperlink w:anchor="_Toc117445338" w:history="1">
            <w:r w:rsidR="00355203" w:rsidRPr="007C4D65">
              <w:rPr>
                <w:rStyle w:val="Hyperlink"/>
              </w:rPr>
              <w:t>5.2.1. Priorities for strategic goal 2</w:t>
            </w:r>
            <w:r w:rsidR="00355203" w:rsidRPr="007C4D65">
              <w:rPr>
                <w:webHidden/>
              </w:rPr>
              <w:tab/>
            </w:r>
            <w:r w:rsidR="00355203" w:rsidRPr="007C4D65">
              <w:rPr>
                <w:webHidden/>
              </w:rPr>
              <w:fldChar w:fldCharType="begin"/>
            </w:r>
            <w:r w:rsidR="00355203" w:rsidRPr="007C4D65">
              <w:rPr>
                <w:webHidden/>
              </w:rPr>
              <w:instrText xml:space="preserve"> PAGEREF _Toc117445338 \h </w:instrText>
            </w:r>
            <w:r w:rsidR="00355203" w:rsidRPr="007C4D65">
              <w:rPr>
                <w:webHidden/>
              </w:rPr>
            </w:r>
            <w:r w:rsidR="00355203" w:rsidRPr="007C4D65">
              <w:rPr>
                <w:webHidden/>
              </w:rPr>
              <w:fldChar w:fldCharType="separate"/>
            </w:r>
            <w:r w:rsidR="00355203" w:rsidRPr="007C4D65">
              <w:rPr>
                <w:webHidden/>
              </w:rPr>
              <w:t>51</w:t>
            </w:r>
            <w:r w:rsidR="00355203" w:rsidRPr="007C4D65">
              <w:rPr>
                <w:webHidden/>
              </w:rPr>
              <w:fldChar w:fldCharType="end"/>
            </w:r>
          </w:hyperlink>
        </w:p>
        <w:p w14:paraId="0A5392F7" w14:textId="3DFB1DD2" w:rsidR="00355203" w:rsidRPr="007C4D65" w:rsidRDefault="00000000">
          <w:pPr>
            <w:pStyle w:val="TOC3"/>
            <w:rPr>
              <w:rFonts w:eastAsiaTheme="minorEastAsia" w:cstheme="minorBidi"/>
              <w:lang w:val="bs-Latn-BA" w:eastAsia="bs-Latn-BA"/>
            </w:rPr>
          </w:pPr>
          <w:hyperlink w:anchor="_Toc117445339" w:history="1">
            <w:r w:rsidR="00355203" w:rsidRPr="007C4D65">
              <w:rPr>
                <w:rStyle w:val="Hyperlink"/>
              </w:rPr>
              <w:t>5.2.2. Description of measures</w:t>
            </w:r>
            <w:r w:rsidR="00355203" w:rsidRPr="007C4D65">
              <w:rPr>
                <w:webHidden/>
              </w:rPr>
              <w:tab/>
            </w:r>
            <w:r w:rsidR="00355203" w:rsidRPr="007C4D65">
              <w:rPr>
                <w:webHidden/>
              </w:rPr>
              <w:fldChar w:fldCharType="begin"/>
            </w:r>
            <w:r w:rsidR="00355203" w:rsidRPr="007C4D65">
              <w:rPr>
                <w:webHidden/>
              </w:rPr>
              <w:instrText xml:space="preserve"> PAGEREF _Toc117445339 \h </w:instrText>
            </w:r>
            <w:r w:rsidR="00355203" w:rsidRPr="007C4D65">
              <w:rPr>
                <w:webHidden/>
              </w:rPr>
            </w:r>
            <w:r w:rsidR="00355203" w:rsidRPr="007C4D65">
              <w:rPr>
                <w:webHidden/>
              </w:rPr>
              <w:fldChar w:fldCharType="separate"/>
            </w:r>
            <w:r w:rsidR="00355203" w:rsidRPr="007C4D65">
              <w:rPr>
                <w:webHidden/>
              </w:rPr>
              <w:t>53</w:t>
            </w:r>
            <w:r w:rsidR="00355203" w:rsidRPr="007C4D65">
              <w:rPr>
                <w:webHidden/>
              </w:rPr>
              <w:fldChar w:fldCharType="end"/>
            </w:r>
          </w:hyperlink>
        </w:p>
        <w:p w14:paraId="4339C82D" w14:textId="091FAB44" w:rsidR="00355203" w:rsidRPr="007C4D65" w:rsidRDefault="00000000">
          <w:pPr>
            <w:pStyle w:val="TOC2"/>
            <w:rPr>
              <w:rFonts w:eastAsiaTheme="minorEastAsia" w:cstheme="minorBidi"/>
              <w:sz w:val="22"/>
              <w:szCs w:val="22"/>
              <w:lang w:val="bs-Latn-BA" w:eastAsia="bs-Latn-BA"/>
            </w:rPr>
          </w:pPr>
          <w:hyperlink w:anchor="_Toc117445340" w:history="1">
            <w:r w:rsidR="00355203" w:rsidRPr="007C4D65">
              <w:rPr>
                <w:rStyle w:val="Hyperlink"/>
              </w:rPr>
              <w:t>5.3. Indicative Financial Framework</w:t>
            </w:r>
            <w:r w:rsidR="00355203" w:rsidRPr="007C4D65">
              <w:rPr>
                <w:webHidden/>
              </w:rPr>
              <w:tab/>
            </w:r>
            <w:r w:rsidR="00355203" w:rsidRPr="007C4D65">
              <w:rPr>
                <w:webHidden/>
              </w:rPr>
              <w:fldChar w:fldCharType="begin"/>
            </w:r>
            <w:r w:rsidR="00355203" w:rsidRPr="007C4D65">
              <w:rPr>
                <w:webHidden/>
              </w:rPr>
              <w:instrText xml:space="preserve"> PAGEREF _Toc117445340 \h </w:instrText>
            </w:r>
            <w:r w:rsidR="00355203" w:rsidRPr="007C4D65">
              <w:rPr>
                <w:webHidden/>
              </w:rPr>
            </w:r>
            <w:r w:rsidR="00355203" w:rsidRPr="007C4D65">
              <w:rPr>
                <w:webHidden/>
              </w:rPr>
              <w:fldChar w:fldCharType="separate"/>
            </w:r>
            <w:r w:rsidR="00355203" w:rsidRPr="007C4D65">
              <w:rPr>
                <w:webHidden/>
              </w:rPr>
              <w:t>57</w:t>
            </w:r>
            <w:r w:rsidR="00355203" w:rsidRPr="007C4D65">
              <w:rPr>
                <w:webHidden/>
              </w:rPr>
              <w:fldChar w:fldCharType="end"/>
            </w:r>
          </w:hyperlink>
        </w:p>
        <w:p w14:paraId="1AC133E7" w14:textId="7A605D50" w:rsidR="00355203" w:rsidRPr="007C4D65" w:rsidRDefault="00000000">
          <w:pPr>
            <w:pStyle w:val="TOC1"/>
            <w:rPr>
              <w:rFonts w:eastAsiaTheme="minorEastAsia" w:cstheme="minorBidi"/>
              <w:b w:val="0"/>
              <w:bCs w:val="0"/>
              <w:sz w:val="22"/>
              <w:szCs w:val="22"/>
              <w:lang w:val="bs-Latn-BA" w:eastAsia="bs-Latn-BA"/>
            </w:rPr>
          </w:pPr>
          <w:hyperlink w:anchor="_Toc117445341" w:history="1">
            <w:r w:rsidR="00355203" w:rsidRPr="007C4D65">
              <w:rPr>
                <w:rStyle w:val="Hyperlink"/>
              </w:rPr>
              <w:t>6. BIODIVERSITY AND NATURE CONSERVATION</w:t>
            </w:r>
            <w:r w:rsidR="00355203" w:rsidRPr="007C4D65">
              <w:rPr>
                <w:webHidden/>
              </w:rPr>
              <w:tab/>
            </w:r>
            <w:r w:rsidR="00355203" w:rsidRPr="007C4D65">
              <w:rPr>
                <w:webHidden/>
              </w:rPr>
              <w:fldChar w:fldCharType="begin"/>
            </w:r>
            <w:r w:rsidR="00355203" w:rsidRPr="007C4D65">
              <w:rPr>
                <w:webHidden/>
              </w:rPr>
              <w:instrText xml:space="preserve"> PAGEREF _Toc117445341 \h </w:instrText>
            </w:r>
            <w:r w:rsidR="00355203" w:rsidRPr="007C4D65">
              <w:rPr>
                <w:webHidden/>
              </w:rPr>
            </w:r>
            <w:r w:rsidR="00355203" w:rsidRPr="007C4D65">
              <w:rPr>
                <w:webHidden/>
              </w:rPr>
              <w:fldChar w:fldCharType="separate"/>
            </w:r>
            <w:r w:rsidR="00355203" w:rsidRPr="007C4D65">
              <w:rPr>
                <w:webHidden/>
              </w:rPr>
              <w:t>58</w:t>
            </w:r>
            <w:r w:rsidR="00355203" w:rsidRPr="007C4D65">
              <w:rPr>
                <w:webHidden/>
              </w:rPr>
              <w:fldChar w:fldCharType="end"/>
            </w:r>
          </w:hyperlink>
        </w:p>
        <w:p w14:paraId="00F0D853" w14:textId="0676B349" w:rsidR="00355203" w:rsidRPr="007C4D65" w:rsidRDefault="00000000">
          <w:pPr>
            <w:pStyle w:val="TOC2"/>
            <w:rPr>
              <w:rFonts w:eastAsiaTheme="minorEastAsia" w:cstheme="minorBidi"/>
              <w:sz w:val="22"/>
              <w:szCs w:val="22"/>
              <w:lang w:val="bs-Latn-BA" w:eastAsia="bs-Latn-BA"/>
            </w:rPr>
          </w:pPr>
          <w:hyperlink w:anchor="_Toc117445342" w:history="1">
            <w:r w:rsidR="00355203" w:rsidRPr="007C4D65">
              <w:rPr>
                <w:rStyle w:val="Hyperlink"/>
              </w:rPr>
              <w:t>6.1. Situation Analysis</w:t>
            </w:r>
            <w:r w:rsidR="00355203" w:rsidRPr="007C4D65">
              <w:rPr>
                <w:webHidden/>
              </w:rPr>
              <w:tab/>
            </w:r>
            <w:r w:rsidR="00355203" w:rsidRPr="007C4D65">
              <w:rPr>
                <w:webHidden/>
              </w:rPr>
              <w:fldChar w:fldCharType="begin"/>
            </w:r>
            <w:r w:rsidR="00355203" w:rsidRPr="007C4D65">
              <w:rPr>
                <w:webHidden/>
              </w:rPr>
              <w:instrText xml:space="preserve"> PAGEREF _Toc117445342 \h </w:instrText>
            </w:r>
            <w:r w:rsidR="00355203" w:rsidRPr="007C4D65">
              <w:rPr>
                <w:webHidden/>
              </w:rPr>
            </w:r>
            <w:r w:rsidR="00355203" w:rsidRPr="007C4D65">
              <w:rPr>
                <w:webHidden/>
              </w:rPr>
              <w:fldChar w:fldCharType="separate"/>
            </w:r>
            <w:r w:rsidR="00355203" w:rsidRPr="007C4D65">
              <w:rPr>
                <w:webHidden/>
              </w:rPr>
              <w:t>58</w:t>
            </w:r>
            <w:r w:rsidR="00355203" w:rsidRPr="007C4D65">
              <w:rPr>
                <w:webHidden/>
              </w:rPr>
              <w:fldChar w:fldCharType="end"/>
            </w:r>
          </w:hyperlink>
        </w:p>
        <w:p w14:paraId="32A78C7E" w14:textId="07256539" w:rsidR="00355203" w:rsidRPr="007C4D65" w:rsidRDefault="00000000">
          <w:pPr>
            <w:pStyle w:val="TOC2"/>
            <w:rPr>
              <w:rFonts w:eastAsiaTheme="minorEastAsia" w:cstheme="minorBidi"/>
              <w:sz w:val="22"/>
              <w:szCs w:val="22"/>
              <w:lang w:val="bs-Latn-BA" w:eastAsia="bs-Latn-BA"/>
            </w:rPr>
          </w:pPr>
          <w:hyperlink w:anchor="_Toc117445343" w:history="1">
            <w:r w:rsidR="00355203" w:rsidRPr="007C4D65">
              <w:rPr>
                <w:rStyle w:val="Hyperlink"/>
              </w:rPr>
              <w:t>6.2. Strategic goal 3</w:t>
            </w:r>
            <w:r w:rsidR="00355203" w:rsidRPr="007C4D65">
              <w:rPr>
                <w:webHidden/>
              </w:rPr>
              <w:tab/>
            </w:r>
            <w:r w:rsidR="00355203" w:rsidRPr="007C4D65">
              <w:rPr>
                <w:webHidden/>
              </w:rPr>
              <w:fldChar w:fldCharType="begin"/>
            </w:r>
            <w:r w:rsidR="00355203" w:rsidRPr="007C4D65">
              <w:rPr>
                <w:webHidden/>
              </w:rPr>
              <w:instrText xml:space="preserve"> PAGEREF _Toc117445343 \h </w:instrText>
            </w:r>
            <w:r w:rsidR="00355203" w:rsidRPr="007C4D65">
              <w:rPr>
                <w:webHidden/>
              </w:rPr>
            </w:r>
            <w:r w:rsidR="00355203" w:rsidRPr="007C4D65">
              <w:rPr>
                <w:webHidden/>
              </w:rPr>
              <w:fldChar w:fldCharType="separate"/>
            </w:r>
            <w:r w:rsidR="00355203" w:rsidRPr="007C4D65">
              <w:rPr>
                <w:webHidden/>
              </w:rPr>
              <w:t>67</w:t>
            </w:r>
            <w:r w:rsidR="00355203" w:rsidRPr="007C4D65">
              <w:rPr>
                <w:webHidden/>
              </w:rPr>
              <w:fldChar w:fldCharType="end"/>
            </w:r>
          </w:hyperlink>
        </w:p>
        <w:p w14:paraId="60C59B49" w14:textId="06C18091" w:rsidR="00355203" w:rsidRPr="007C4D65" w:rsidRDefault="00000000">
          <w:pPr>
            <w:pStyle w:val="TOC3"/>
            <w:rPr>
              <w:rFonts w:eastAsiaTheme="minorEastAsia" w:cstheme="minorBidi"/>
              <w:lang w:val="bs-Latn-BA" w:eastAsia="bs-Latn-BA"/>
            </w:rPr>
          </w:pPr>
          <w:hyperlink w:anchor="_Toc117445344" w:history="1">
            <w:r w:rsidR="00355203" w:rsidRPr="007C4D65">
              <w:rPr>
                <w:rStyle w:val="Hyperlink"/>
              </w:rPr>
              <w:t>6.2.1. Priorities for strategic goal 3</w:t>
            </w:r>
            <w:r w:rsidR="00355203" w:rsidRPr="007C4D65">
              <w:rPr>
                <w:webHidden/>
              </w:rPr>
              <w:tab/>
            </w:r>
            <w:r w:rsidR="00355203" w:rsidRPr="007C4D65">
              <w:rPr>
                <w:webHidden/>
              </w:rPr>
              <w:fldChar w:fldCharType="begin"/>
            </w:r>
            <w:r w:rsidR="00355203" w:rsidRPr="007C4D65">
              <w:rPr>
                <w:webHidden/>
              </w:rPr>
              <w:instrText xml:space="preserve"> PAGEREF _Toc117445344 \h </w:instrText>
            </w:r>
            <w:r w:rsidR="00355203" w:rsidRPr="007C4D65">
              <w:rPr>
                <w:webHidden/>
              </w:rPr>
            </w:r>
            <w:r w:rsidR="00355203" w:rsidRPr="007C4D65">
              <w:rPr>
                <w:webHidden/>
              </w:rPr>
              <w:fldChar w:fldCharType="separate"/>
            </w:r>
            <w:r w:rsidR="00355203" w:rsidRPr="007C4D65">
              <w:rPr>
                <w:webHidden/>
              </w:rPr>
              <w:t>67</w:t>
            </w:r>
            <w:r w:rsidR="00355203" w:rsidRPr="007C4D65">
              <w:rPr>
                <w:webHidden/>
              </w:rPr>
              <w:fldChar w:fldCharType="end"/>
            </w:r>
          </w:hyperlink>
        </w:p>
        <w:p w14:paraId="17E318E0" w14:textId="606535B0" w:rsidR="00355203" w:rsidRPr="007C4D65" w:rsidRDefault="00000000">
          <w:pPr>
            <w:pStyle w:val="TOC3"/>
            <w:rPr>
              <w:rFonts w:eastAsiaTheme="minorEastAsia" w:cstheme="minorBidi"/>
              <w:lang w:val="bs-Latn-BA" w:eastAsia="bs-Latn-BA"/>
            </w:rPr>
          </w:pPr>
          <w:hyperlink w:anchor="_Toc117445345" w:history="1">
            <w:r w:rsidR="00355203" w:rsidRPr="007C4D65">
              <w:rPr>
                <w:rStyle w:val="Hyperlink"/>
              </w:rPr>
              <w:t>6.2.2. Description of Measures</w:t>
            </w:r>
            <w:r w:rsidR="00355203" w:rsidRPr="007C4D65">
              <w:rPr>
                <w:webHidden/>
              </w:rPr>
              <w:tab/>
            </w:r>
            <w:r w:rsidR="00355203" w:rsidRPr="007C4D65">
              <w:rPr>
                <w:webHidden/>
              </w:rPr>
              <w:fldChar w:fldCharType="begin"/>
            </w:r>
            <w:r w:rsidR="00355203" w:rsidRPr="007C4D65">
              <w:rPr>
                <w:webHidden/>
              </w:rPr>
              <w:instrText xml:space="preserve"> PAGEREF _Toc117445345 \h </w:instrText>
            </w:r>
            <w:r w:rsidR="00355203" w:rsidRPr="007C4D65">
              <w:rPr>
                <w:webHidden/>
              </w:rPr>
            </w:r>
            <w:r w:rsidR="00355203" w:rsidRPr="007C4D65">
              <w:rPr>
                <w:webHidden/>
              </w:rPr>
              <w:fldChar w:fldCharType="separate"/>
            </w:r>
            <w:r w:rsidR="00355203" w:rsidRPr="007C4D65">
              <w:rPr>
                <w:webHidden/>
              </w:rPr>
              <w:t>69</w:t>
            </w:r>
            <w:r w:rsidR="00355203" w:rsidRPr="007C4D65">
              <w:rPr>
                <w:webHidden/>
              </w:rPr>
              <w:fldChar w:fldCharType="end"/>
            </w:r>
          </w:hyperlink>
        </w:p>
        <w:p w14:paraId="7E3E00F8" w14:textId="1B823C2E" w:rsidR="00355203" w:rsidRPr="007C4D65" w:rsidRDefault="00000000">
          <w:pPr>
            <w:pStyle w:val="TOC2"/>
            <w:rPr>
              <w:rFonts w:eastAsiaTheme="minorEastAsia" w:cstheme="minorBidi"/>
              <w:sz w:val="22"/>
              <w:szCs w:val="22"/>
              <w:lang w:val="bs-Latn-BA" w:eastAsia="bs-Latn-BA"/>
            </w:rPr>
          </w:pPr>
          <w:hyperlink w:anchor="_Toc117445346" w:history="1">
            <w:r w:rsidR="00355203" w:rsidRPr="007C4D65">
              <w:rPr>
                <w:rStyle w:val="Hyperlink"/>
              </w:rPr>
              <w:t>6.3. Indicative Financial Framework</w:t>
            </w:r>
            <w:r w:rsidR="00355203" w:rsidRPr="007C4D65">
              <w:rPr>
                <w:webHidden/>
              </w:rPr>
              <w:tab/>
            </w:r>
            <w:r w:rsidR="00355203" w:rsidRPr="007C4D65">
              <w:rPr>
                <w:webHidden/>
              </w:rPr>
              <w:fldChar w:fldCharType="begin"/>
            </w:r>
            <w:r w:rsidR="00355203" w:rsidRPr="007C4D65">
              <w:rPr>
                <w:webHidden/>
              </w:rPr>
              <w:instrText xml:space="preserve"> PAGEREF _Toc117445346 \h </w:instrText>
            </w:r>
            <w:r w:rsidR="00355203" w:rsidRPr="007C4D65">
              <w:rPr>
                <w:webHidden/>
              </w:rPr>
            </w:r>
            <w:r w:rsidR="00355203" w:rsidRPr="007C4D65">
              <w:rPr>
                <w:webHidden/>
              </w:rPr>
              <w:fldChar w:fldCharType="separate"/>
            </w:r>
            <w:r w:rsidR="00355203" w:rsidRPr="007C4D65">
              <w:rPr>
                <w:webHidden/>
              </w:rPr>
              <w:t>76</w:t>
            </w:r>
            <w:r w:rsidR="00355203" w:rsidRPr="007C4D65">
              <w:rPr>
                <w:webHidden/>
              </w:rPr>
              <w:fldChar w:fldCharType="end"/>
            </w:r>
          </w:hyperlink>
        </w:p>
        <w:p w14:paraId="2BB821C1" w14:textId="562C2A76" w:rsidR="00355203" w:rsidRPr="007C4D65" w:rsidRDefault="00000000">
          <w:pPr>
            <w:pStyle w:val="TOC1"/>
            <w:rPr>
              <w:rFonts w:eastAsiaTheme="minorEastAsia" w:cstheme="minorBidi"/>
              <w:b w:val="0"/>
              <w:bCs w:val="0"/>
              <w:sz w:val="22"/>
              <w:szCs w:val="22"/>
              <w:lang w:val="bs-Latn-BA" w:eastAsia="bs-Latn-BA"/>
            </w:rPr>
          </w:pPr>
          <w:hyperlink w:anchor="_Toc117445347" w:history="1">
            <w:r w:rsidR="00355203" w:rsidRPr="007C4D65">
              <w:rPr>
                <w:rStyle w:val="Hyperlink"/>
              </w:rPr>
              <w:t>7. AIR QUALITY, CLIMATE CHANGE, AND ENERGY</w:t>
            </w:r>
            <w:r w:rsidR="00355203" w:rsidRPr="007C4D65">
              <w:rPr>
                <w:webHidden/>
              </w:rPr>
              <w:tab/>
            </w:r>
            <w:r w:rsidR="00355203" w:rsidRPr="007C4D65">
              <w:rPr>
                <w:webHidden/>
              </w:rPr>
              <w:fldChar w:fldCharType="begin"/>
            </w:r>
            <w:r w:rsidR="00355203" w:rsidRPr="007C4D65">
              <w:rPr>
                <w:webHidden/>
              </w:rPr>
              <w:instrText xml:space="preserve"> PAGEREF _Toc117445347 \h </w:instrText>
            </w:r>
            <w:r w:rsidR="00355203" w:rsidRPr="007C4D65">
              <w:rPr>
                <w:webHidden/>
              </w:rPr>
            </w:r>
            <w:r w:rsidR="00355203" w:rsidRPr="007C4D65">
              <w:rPr>
                <w:webHidden/>
              </w:rPr>
              <w:fldChar w:fldCharType="separate"/>
            </w:r>
            <w:r w:rsidR="00355203" w:rsidRPr="007C4D65">
              <w:rPr>
                <w:webHidden/>
              </w:rPr>
              <w:t>77</w:t>
            </w:r>
            <w:r w:rsidR="00355203" w:rsidRPr="007C4D65">
              <w:rPr>
                <w:webHidden/>
              </w:rPr>
              <w:fldChar w:fldCharType="end"/>
            </w:r>
          </w:hyperlink>
        </w:p>
        <w:p w14:paraId="51F3C619" w14:textId="3AB75ADE" w:rsidR="00355203" w:rsidRPr="007C4D65" w:rsidRDefault="00000000">
          <w:pPr>
            <w:pStyle w:val="TOC2"/>
            <w:rPr>
              <w:rFonts w:eastAsiaTheme="minorEastAsia" w:cstheme="minorBidi"/>
              <w:sz w:val="22"/>
              <w:szCs w:val="22"/>
              <w:lang w:val="bs-Latn-BA" w:eastAsia="bs-Latn-BA"/>
            </w:rPr>
          </w:pPr>
          <w:hyperlink w:anchor="_Toc117445348" w:history="1">
            <w:r w:rsidR="00355203" w:rsidRPr="007C4D65">
              <w:rPr>
                <w:rStyle w:val="Hyperlink"/>
              </w:rPr>
              <w:t>7.1. Situation Analysis</w:t>
            </w:r>
            <w:r w:rsidR="00355203" w:rsidRPr="007C4D65">
              <w:rPr>
                <w:webHidden/>
              </w:rPr>
              <w:tab/>
            </w:r>
            <w:r w:rsidR="00355203" w:rsidRPr="007C4D65">
              <w:rPr>
                <w:webHidden/>
              </w:rPr>
              <w:fldChar w:fldCharType="begin"/>
            </w:r>
            <w:r w:rsidR="00355203" w:rsidRPr="007C4D65">
              <w:rPr>
                <w:webHidden/>
              </w:rPr>
              <w:instrText xml:space="preserve"> PAGEREF _Toc117445348 \h </w:instrText>
            </w:r>
            <w:r w:rsidR="00355203" w:rsidRPr="007C4D65">
              <w:rPr>
                <w:webHidden/>
              </w:rPr>
            </w:r>
            <w:r w:rsidR="00355203" w:rsidRPr="007C4D65">
              <w:rPr>
                <w:webHidden/>
              </w:rPr>
              <w:fldChar w:fldCharType="separate"/>
            </w:r>
            <w:r w:rsidR="00355203" w:rsidRPr="007C4D65">
              <w:rPr>
                <w:webHidden/>
              </w:rPr>
              <w:t>77</w:t>
            </w:r>
            <w:r w:rsidR="00355203" w:rsidRPr="007C4D65">
              <w:rPr>
                <w:webHidden/>
              </w:rPr>
              <w:fldChar w:fldCharType="end"/>
            </w:r>
          </w:hyperlink>
        </w:p>
        <w:p w14:paraId="100396E2" w14:textId="4C29ECB8" w:rsidR="00355203" w:rsidRPr="007C4D65" w:rsidRDefault="00000000">
          <w:pPr>
            <w:pStyle w:val="TOC2"/>
            <w:rPr>
              <w:rFonts w:eastAsiaTheme="minorEastAsia" w:cstheme="minorBidi"/>
              <w:sz w:val="22"/>
              <w:szCs w:val="22"/>
              <w:lang w:val="bs-Latn-BA" w:eastAsia="bs-Latn-BA"/>
            </w:rPr>
          </w:pPr>
          <w:hyperlink w:anchor="_Toc117445349" w:history="1">
            <w:r w:rsidR="00355203" w:rsidRPr="007C4D65">
              <w:rPr>
                <w:rStyle w:val="Hyperlink"/>
              </w:rPr>
              <w:t>7.2. Strategic goal 4</w:t>
            </w:r>
            <w:r w:rsidR="00355203" w:rsidRPr="007C4D65">
              <w:rPr>
                <w:webHidden/>
              </w:rPr>
              <w:tab/>
            </w:r>
            <w:r w:rsidR="00355203" w:rsidRPr="007C4D65">
              <w:rPr>
                <w:webHidden/>
              </w:rPr>
              <w:fldChar w:fldCharType="begin"/>
            </w:r>
            <w:r w:rsidR="00355203" w:rsidRPr="007C4D65">
              <w:rPr>
                <w:webHidden/>
              </w:rPr>
              <w:instrText xml:space="preserve"> PAGEREF _Toc117445349 \h </w:instrText>
            </w:r>
            <w:r w:rsidR="00355203" w:rsidRPr="007C4D65">
              <w:rPr>
                <w:webHidden/>
              </w:rPr>
            </w:r>
            <w:r w:rsidR="00355203" w:rsidRPr="007C4D65">
              <w:rPr>
                <w:webHidden/>
              </w:rPr>
              <w:fldChar w:fldCharType="separate"/>
            </w:r>
            <w:r w:rsidR="00355203" w:rsidRPr="007C4D65">
              <w:rPr>
                <w:webHidden/>
              </w:rPr>
              <w:t>88</w:t>
            </w:r>
            <w:r w:rsidR="00355203" w:rsidRPr="007C4D65">
              <w:rPr>
                <w:webHidden/>
              </w:rPr>
              <w:fldChar w:fldCharType="end"/>
            </w:r>
          </w:hyperlink>
        </w:p>
        <w:p w14:paraId="74C021DB" w14:textId="19FFB9F9" w:rsidR="00355203" w:rsidRPr="007C4D65" w:rsidRDefault="00000000">
          <w:pPr>
            <w:pStyle w:val="TOC3"/>
            <w:rPr>
              <w:rFonts w:eastAsiaTheme="minorEastAsia" w:cstheme="minorBidi"/>
              <w:lang w:val="bs-Latn-BA" w:eastAsia="bs-Latn-BA"/>
            </w:rPr>
          </w:pPr>
          <w:hyperlink w:anchor="_Toc117445350" w:history="1">
            <w:r w:rsidR="00355203" w:rsidRPr="007C4D65">
              <w:rPr>
                <w:rStyle w:val="Hyperlink"/>
              </w:rPr>
              <w:t>7.2.1. Priorities for strategic goal 4</w:t>
            </w:r>
            <w:r w:rsidR="00355203" w:rsidRPr="007C4D65">
              <w:rPr>
                <w:webHidden/>
              </w:rPr>
              <w:tab/>
            </w:r>
            <w:r w:rsidR="00355203" w:rsidRPr="007C4D65">
              <w:rPr>
                <w:webHidden/>
              </w:rPr>
              <w:fldChar w:fldCharType="begin"/>
            </w:r>
            <w:r w:rsidR="00355203" w:rsidRPr="007C4D65">
              <w:rPr>
                <w:webHidden/>
              </w:rPr>
              <w:instrText xml:space="preserve"> PAGEREF _Toc117445350 \h </w:instrText>
            </w:r>
            <w:r w:rsidR="00355203" w:rsidRPr="007C4D65">
              <w:rPr>
                <w:webHidden/>
              </w:rPr>
            </w:r>
            <w:r w:rsidR="00355203" w:rsidRPr="007C4D65">
              <w:rPr>
                <w:webHidden/>
              </w:rPr>
              <w:fldChar w:fldCharType="separate"/>
            </w:r>
            <w:r w:rsidR="00355203" w:rsidRPr="007C4D65">
              <w:rPr>
                <w:webHidden/>
              </w:rPr>
              <w:t>88</w:t>
            </w:r>
            <w:r w:rsidR="00355203" w:rsidRPr="007C4D65">
              <w:rPr>
                <w:webHidden/>
              </w:rPr>
              <w:fldChar w:fldCharType="end"/>
            </w:r>
          </w:hyperlink>
        </w:p>
        <w:p w14:paraId="09DFD2E3" w14:textId="629CE5FE" w:rsidR="00355203" w:rsidRPr="007C4D65" w:rsidRDefault="00000000">
          <w:pPr>
            <w:pStyle w:val="TOC3"/>
            <w:rPr>
              <w:rFonts w:eastAsiaTheme="minorEastAsia" w:cstheme="minorBidi"/>
              <w:lang w:val="bs-Latn-BA" w:eastAsia="bs-Latn-BA"/>
            </w:rPr>
          </w:pPr>
          <w:hyperlink w:anchor="_Toc117445351" w:history="1">
            <w:r w:rsidR="00355203" w:rsidRPr="007C4D65">
              <w:rPr>
                <w:rStyle w:val="Hyperlink"/>
              </w:rPr>
              <w:t>7.2.2. Measures</w:t>
            </w:r>
            <w:r w:rsidR="00355203" w:rsidRPr="007C4D65">
              <w:rPr>
                <w:webHidden/>
              </w:rPr>
              <w:tab/>
            </w:r>
            <w:r w:rsidR="00355203" w:rsidRPr="007C4D65">
              <w:rPr>
                <w:webHidden/>
              </w:rPr>
              <w:fldChar w:fldCharType="begin"/>
            </w:r>
            <w:r w:rsidR="00355203" w:rsidRPr="007C4D65">
              <w:rPr>
                <w:webHidden/>
              </w:rPr>
              <w:instrText xml:space="preserve"> PAGEREF _Toc117445351 \h </w:instrText>
            </w:r>
            <w:r w:rsidR="00355203" w:rsidRPr="007C4D65">
              <w:rPr>
                <w:webHidden/>
              </w:rPr>
            </w:r>
            <w:r w:rsidR="00355203" w:rsidRPr="007C4D65">
              <w:rPr>
                <w:webHidden/>
              </w:rPr>
              <w:fldChar w:fldCharType="separate"/>
            </w:r>
            <w:r w:rsidR="00355203" w:rsidRPr="007C4D65">
              <w:rPr>
                <w:webHidden/>
              </w:rPr>
              <w:t>91</w:t>
            </w:r>
            <w:r w:rsidR="00355203" w:rsidRPr="007C4D65">
              <w:rPr>
                <w:webHidden/>
              </w:rPr>
              <w:fldChar w:fldCharType="end"/>
            </w:r>
          </w:hyperlink>
        </w:p>
        <w:p w14:paraId="6AA9F98C" w14:textId="368F5B2C" w:rsidR="00355203" w:rsidRPr="007C4D65" w:rsidRDefault="00000000">
          <w:pPr>
            <w:pStyle w:val="TOC2"/>
            <w:rPr>
              <w:rFonts w:eastAsiaTheme="minorEastAsia" w:cstheme="minorBidi"/>
              <w:sz w:val="22"/>
              <w:szCs w:val="22"/>
              <w:lang w:val="bs-Latn-BA" w:eastAsia="bs-Latn-BA"/>
            </w:rPr>
          </w:pPr>
          <w:hyperlink w:anchor="_Toc117445352" w:history="1">
            <w:r w:rsidR="00355203" w:rsidRPr="007C4D65">
              <w:rPr>
                <w:rStyle w:val="Hyperlink"/>
              </w:rPr>
              <w:t>7.3. Indicative Financial Framework</w:t>
            </w:r>
            <w:r w:rsidR="00355203" w:rsidRPr="007C4D65">
              <w:rPr>
                <w:webHidden/>
              </w:rPr>
              <w:tab/>
            </w:r>
            <w:r w:rsidR="00355203" w:rsidRPr="007C4D65">
              <w:rPr>
                <w:webHidden/>
              </w:rPr>
              <w:fldChar w:fldCharType="begin"/>
            </w:r>
            <w:r w:rsidR="00355203" w:rsidRPr="007C4D65">
              <w:rPr>
                <w:webHidden/>
              </w:rPr>
              <w:instrText xml:space="preserve"> PAGEREF _Toc117445352 \h </w:instrText>
            </w:r>
            <w:r w:rsidR="00355203" w:rsidRPr="007C4D65">
              <w:rPr>
                <w:webHidden/>
              </w:rPr>
            </w:r>
            <w:r w:rsidR="00355203" w:rsidRPr="007C4D65">
              <w:rPr>
                <w:webHidden/>
              </w:rPr>
              <w:fldChar w:fldCharType="separate"/>
            </w:r>
            <w:r w:rsidR="00355203" w:rsidRPr="007C4D65">
              <w:rPr>
                <w:webHidden/>
              </w:rPr>
              <w:t>98</w:t>
            </w:r>
            <w:r w:rsidR="00355203" w:rsidRPr="007C4D65">
              <w:rPr>
                <w:webHidden/>
              </w:rPr>
              <w:fldChar w:fldCharType="end"/>
            </w:r>
          </w:hyperlink>
        </w:p>
        <w:p w14:paraId="15D75AB6" w14:textId="1C18FDC2" w:rsidR="00355203" w:rsidRPr="007C4D65" w:rsidRDefault="00000000">
          <w:pPr>
            <w:pStyle w:val="TOC1"/>
            <w:rPr>
              <w:rFonts w:eastAsiaTheme="minorEastAsia" w:cstheme="minorBidi"/>
              <w:b w:val="0"/>
              <w:bCs w:val="0"/>
              <w:sz w:val="22"/>
              <w:szCs w:val="22"/>
              <w:lang w:val="bs-Latn-BA" w:eastAsia="bs-Latn-BA"/>
            </w:rPr>
          </w:pPr>
          <w:hyperlink w:anchor="_Toc117445353" w:history="1">
            <w:r w:rsidR="00355203" w:rsidRPr="007C4D65">
              <w:rPr>
                <w:rStyle w:val="Hyperlink"/>
              </w:rPr>
              <w:t>8. CHEMICAL SAFETY AND NOISE</w:t>
            </w:r>
            <w:r w:rsidR="00355203" w:rsidRPr="007C4D65">
              <w:rPr>
                <w:webHidden/>
              </w:rPr>
              <w:tab/>
            </w:r>
            <w:r w:rsidR="00355203" w:rsidRPr="007C4D65">
              <w:rPr>
                <w:webHidden/>
              </w:rPr>
              <w:fldChar w:fldCharType="begin"/>
            </w:r>
            <w:r w:rsidR="00355203" w:rsidRPr="007C4D65">
              <w:rPr>
                <w:webHidden/>
              </w:rPr>
              <w:instrText xml:space="preserve"> PAGEREF _Toc117445353 \h </w:instrText>
            </w:r>
            <w:r w:rsidR="00355203" w:rsidRPr="007C4D65">
              <w:rPr>
                <w:webHidden/>
              </w:rPr>
            </w:r>
            <w:r w:rsidR="00355203" w:rsidRPr="007C4D65">
              <w:rPr>
                <w:webHidden/>
              </w:rPr>
              <w:fldChar w:fldCharType="separate"/>
            </w:r>
            <w:r w:rsidR="00355203" w:rsidRPr="007C4D65">
              <w:rPr>
                <w:webHidden/>
              </w:rPr>
              <w:t>99</w:t>
            </w:r>
            <w:r w:rsidR="00355203" w:rsidRPr="007C4D65">
              <w:rPr>
                <w:webHidden/>
              </w:rPr>
              <w:fldChar w:fldCharType="end"/>
            </w:r>
          </w:hyperlink>
        </w:p>
        <w:p w14:paraId="01BFAC59" w14:textId="4C5148B9" w:rsidR="00355203" w:rsidRPr="007C4D65" w:rsidRDefault="00000000">
          <w:pPr>
            <w:pStyle w:val="TOC2"/>
            <w:rPr>
              <w:rFonts w:eastAsiaTheme="minorEastAsia" w:cstheme="minorBidi"/>
              <w:sz w:val="22"/>
              <w:szCs w:val="22"/>
              <w:lang w:val="bs-Latn-BA" w:eastAsia="bs-Latn-BA"/>
            </w:rPr>
          </w:pPr>
          <w:hyperlink w:anchor="_Toc117445354" w:history="1">
            <w:r w:rsidR="00355203" w:rsidRPr="007C4D65">
              <w:rPr>
                <w:rStyle w:val="Hyperlink"/>
              </w:rPr>
              <w:t>8.1. Situation Analysis</w:t>
            </w:r>
            <w:r w:rsidR="00355203" w:rsidRPr="007C4D65">
              <w:rPr>
                <w:webHidden/>
              </w:rPr>
              <w:tab/>
            </w:r>
            <w:r w:rsidR="00355203" w:rsidRPr="007C4D65">
              <w:rPr>
                <w:webHidden/>
              </w:rPr>
              <w:fldChar w:fldCharType="begin"/>
            </w:r>
            <w:r w:rsidR="00355203" w:rsidRPr="007C4D65">
              <w:rPr>
                <w:webHidden/>
              </w:rPr>
              <w:instrText xml:space="preserve"> PAGEREF _Toc117445354 \h </w:instrText>
            </w:r>
            <w:r w:rsidR="00355203" w:rsidRPr="007C4D65">
              <w:rPr>
                <w:webHidden/>
              </w:rPr>
            </w:r>
            <w:r w:rsidR="00355203" w:rsidRPr="007C4D65">
              <w:rPr>
                <w:webHidden/>
              </w:rPr>
              <w:fldChar w:fldCharType="separate"/>
            </w:r>
            <w:r w:rsidR="00355203" w:rsidRPr="007C4D65">
              <w:rPr>
                <w:webHidden/>
              </w:rPr>
              <w:t>99</w:t>
            </w:r>
            <w:r w:rsidR="00355203" w:rsidRPr="007C4D65">
              <w:rPr>
                <w:webHidden/>
              </w:rPr>
              <w:fldChar w:fldCharType="end"/>
            </w:r>
          </w:hyperlink>
        </w:p>
        <w:p w14:paraId="31437699" w14:textId="552B456B" w:rsidR="00355203" w:rsidRPr="007C4D65" w:rsidRDefault="00000000">
          <w:pPr>
            <w:pStyle w:val="TOC2"/>
            <w:rPr>
              <w:rFonts w:eastAsiaTheme="minorEastAsia" w:cstheme="minorBidi"/>
              <w:sz w:val="22"/>
              <w:szCs w:val="22"/>
              <w:lang w:val="bs-Latn-BA" w:eastAsia="bs-Latn-BA"/>
            </w:rPr>
          </w:pPr>
          <w:hyperlink w:anchor="_Toc117445355" w:history="1">
            <w:r w:rsidR="00355203" w:rsidRPr="007C4D65">
              <w:rPr>
                <w:rStyle w:val="Hyperlink"/>
              </w:rPr>
              <w:t>8.2. Strategic goal 5</w:t>
            </w:r>
            <w:r w:rsidR="00355203" w:rsidRPr="007C4D65">
              <w:rPr>
                <w:webHidden/>
              </w:rPr>
              <w:tab/>
            </w:r>
            <w:r w:rsidR="00355203" w:rsidRPr="007C4D65">
              <w:rPr>
                <w:webHidden/>
              </w:rPr>
              <w:fldChar w:fldCharType="begin"/>
            </w:r>
            <w:r w:rsidR="00355203" w:rsidRPr="007C4D65">
              <w:rPr>
                <w:webHidden/>
              </w:rPr>
              <w:instrText xml:space="preserve"> PAGEREF _Toc117445355 \h </w:instrText>
            </w:r>
            <w:r w:rsidR="00355203" w:rsidRPr="007C4D65">
              <w:rPr>
                <w:webHidden/>
              </w:rPr>
            </w:r>
            <w:r w:rsidR="00355203" w:rsidRPr="007C4D65">
              <w:rPr>
                <w:webHidden/>
              </w:rPr>
              <w:fldChar w:fldCharType="separate"/>
            </w:r>
            <w:r w:rsidR="00355203" w:rsidRPr="007C4D65">
              <w:rPr>
                <w:webHidden/>
              </w:rPr>
              <w:t>108</w:t>
            </w:r>
            <w:r w:rsidR="00355203" w:rsidRPr="007C4D65">
              <w:rPr>
                <w:webHidden/>
              </w:rPr>
              <w:fldChar w:fldCharType="end"/>
            </w:r>
          </w:hyperlink>
        </w:p>
        <w:p w14:paraId="0429A221" w14:textId="02135541" w:rsidR="00355203" w:rsidRPr="007C4D65" w:rsidRDefault="00000000">
          <w:pPr>
            <w:pStyle w:val="TOC3"/>
            <w:rPr>
              <w:rFonts w:eastAsiaTheme="minorEastAsia" w:cstheme="minorBidi"/>
              <w:lang w:val="bs-Latn-BA" w:eastAsia="bs-Latn-BA"/>
            </w:rPr>
          </w:pPr>
          <w:hyperlink w:anchor="_Toc117445356" w:history="1">
            <w:r w:rsidR="00355203" w:rsidRPr="007C4D65">
              <w:rPr>
                <w:rStyle w:val="Hyperlink"/>
              </w:rPr>
              <w:t>8.2.1. Priorities for strategic goal 5</w:t>
            </w:r>
            <w:r w:rsidR="00355203" w:rsidRPr="007C4D65">
              <w:rPr>
                <w:webHidden/>
              </w:rPr>
              <w:tab/>
            </w:r>
            <w:r w:rsidR="00355203" w:rsidRPr="007C4D65">
              <w:rPr>
                <w:webHidden/>
              </w:rPr>
              <w:fldChar w:fldCharType="begin"/>
            </w:r>
            <w:r w:rsidR="00355203" w:rsidRPr="007C4D65">
              <w:rPr>
                <w:webHidden/>
              </w:rPr>
              <w:instrText xml:space="preserve"> PAGEREF _Toc117445356 \h </w:instrText>
            </w:r>
            <w:r w:rsidR="00355203" w:rsidRPr="007C4D65">
              <w:rPr>
                <w:webHidden/>
              </w:rPr>
            </w:r>
            <w:r w:rsidR="00355203" w:rsidRPr="007C4D65">
              <w:rPr>
                <w:webHidden/>
              </w:rPr>
              <w:fldChar w:fldCharType="separate"/>
            </w:r>
            <w:r w:rsidR="00355203" w:rsidRPr="007C4D65">
              <w:rPr>
                <w:webHidden/>
              </w:rPr>
              <w:t>108</w:t>
            </w:r>
            <w:r w:rsidR="00355203" w:rsidRPr="007C4D65">
              <w:rPr>
                <w:webHidden/>
              </w:rPr>
              <w:fldChar w:fldCharType="end"/>
            </w:r>
          </w:hyperlink>
        </w:p>
        <w:p w14:paraId="4C3D8E99" w14:textId="77BD2A38" w:rsidR="00355203" w:rsidRPr="007C4D65" w:rsidRDefault="00000000">
          <w:pPr>
            <w:pStyle w:val="TOC3"/>
            <w:rPr>
              <w:rFonts w:eastAsiaTheme="minorEastAsia" w:cstheme="minorBidi"/>
              <w:lang w:val="bs-Latn-BA" w:eastAsia="bs-Latn-BA"/>
            </w:rPr>
          </w:pPr>
          <w:hyperlink w:anchor="_Toc117445357" w:history="1">
            <w:r w:rsidR="00355203" w:rsidRPr="007C4D65">
              <w:rPr>
                <w:rStyle w:val="Hyperlink"/>
              </w:rPr>
              <w:t>8.2.2. Description of measures</w:t>
            </w:r>
            <w:r w:rsidR="00355203" w:rsidRPr="007C4D65">
              <w:rPr>
                <w:webHidden/>
              </w:rPr>
              <w:tab/>
            </w:r>
            <w:r w:rsidR="00355203" w:rsidRPr="007C4D65">
              <w:rPr>
                <w:webHidden/>
              </w:rPr>
              <w:fldChar w:fldCharType="begin"/>
            </w:r>
            <w:r w:rsidR="00355203" w:rsidRPr="007C4D65">
              <w:rPr>
                <w:webHidden/>
              </w:rPr>
              <w:instrText xml:space="preserve"> PAGEREF _Toc117445357 \h </w:instrText>
            </w:r>
            <w:r w:rsidR="00355203" w:rsidRPr="007C4D65">
              <w:rPr>
                <w:webHidden/>
              </w:rPr>
            </w:r>
            <w:r w:rsidR="00355203" w:rsidRPr="007C4D65">
              <w:rPr>
                <w:webHidden/>
              </w:rPr>
              <w:fldChar w:fldCharType="separate"/>
            </w:r>
            <w:r w:rsidR="00355203" w:rsidRPr="007C4D65">
              <w:rPr>
                <w:webHidden/>
              </w:rPr>
              <w:t>114</w:t>
            </w:r>
            <w:r w:rsidR="00355203" w:rsidRPr="007C4D65">
              <w:rPr>
                <w:webHidden/>
              </w:rPr>
              <w:fldChar w:fldCharType="end"/>
            </w:r>
          </w:hyperlink>
        </w:p>
        <w:p w14:paraId="70946FC7" w14:textId="5A9BFFB5" w:rsidR="00355203" w:rsidRPr="007C4D65" w:rsidRDefault="00000000">
          <w:pPr>
            <w:pStyle w:val="TOC2"/>
            <w:rPr>
              <w:rFonts w:eastAsiaTheme="minorEastAsia" w:cstheme="minorBidi"/>
              <w:sz w:val="22"/>
              <w:szCs w:val="22"/>
              <w:lang w:val="bs-Latn-BA" w:eastAsia="bs-Latn-BA"/>
            </w:rPr>
          </w:pPr>
          <w:hyperlink w:anchor="_Toc117445358" w:history="1">
            <w:r w:rsidR="00355203" w:rsidRPr="007C4D65">
              <w:rPr>
                <w:rStyle w:val="Hyperlink"/>
              </w:rPr>
              <w:t>8.3. Indicative Financial Framework</w:t>
            </w:r>
            <w:r w:rsidR="00355203" w:rsidRPr="007C4D65">
              <w:rPr>
                <w:webHidden/>
              </w:rPr>
              <w:tab/>
            </w:r>
            <w:r w:rsidR="00355203" w:rsidRPr="007C4D65">
              <w:rPr>
                <w:webHidden/>
              </w:rPr>
              <w:fldChar w:fldCharType="begin"/>
            </w:r>
            <w:r w:rsidR="00355203" w:rsidRPr="007C4D65">
              <w:rPr>
                <w:webHidden/>
              </w:rPr>
              <w:instrText xml:space="preserve"> PAGEREF _Toc117445358 \h </w:instrText>
            </w:r>
            <w:r w:rsidR="00355203" w:rsidRPr="007C4D65">
              <w:rPr>
                <w:webHidden/>
              </w:rPr>
            </w:r>
            <w:r w:rsidR="00355203" w:rsidRPr="007C4D65">
              <w:rPr>
                <w:webHidden/>
              </w:rPr>
              <w:fldChar w:fldCharType="separate"/>
            </w:r>
            <w:r w:rsidR="00355203" w:rsidRPr="007C4D65">
              <w:rPr>
                <w:webHidden/>
              </w:rPr>
              <w:t>121</w:t>
            </w:r>
            <w:r w:rsidR="00355203" w:rsidRPr="007C4D65">
              <w:rPr>
                <w:webHidden/>
              </w:rPr>
              <w:fldChar w:fldCharType="end"/>
            </w:r>
          </w:hyperlink>
        </w:p>
        <w:p w14:paraId="09910A3A" w14:textId="614788F6" w:rsidR="00355203" w:rsidRPr="007C4D65" w:rsidRDefault="00000000">
          <w:pPr>
            <w:pStyle w:val="TOC1"/>
            <w:rPr>
              <w:rFonts w:eastAsiaTheme="minorEastAsia" w:cstheme="minorBidi"/>
              <w:b w:val="0"/>
              <w:bCs w:val="0"/>
              <w:sz w:val="22"/>
              <w:szCs w:val="22"/>
              <w:lang w:val="bs-Latn-BA" w:eastAsia="bs-Latn-BA"/>
            </w:rPr>
          </w:pPr>
          <w:hyperlink w:anchor="_Toc117445359" w:history="1">
            <w:r w:rsidR="00355203" w:rsidRPr="007C4D65">
              <w:rPr>
                <w:rStyle w:val="Hyperlink"/>
              </w:rPr>
              <w:t>9. SUSTAINABLE RESOURCE MANAGEMENT</w:t>
            </w:r>
            <w:r w:rsidR="00355203" w:rsidRPr="007C4D65">
              <w:rPr>
                <w:webHidden/>
              </w:rPr>
              <w:tab/>
            </w:r>
            <w:r w:rsidR="00355203" w:rsidRPr="007C4D65">
              <w:rPr>
                <w:webHidden/>
              </w:rPr>
              <w:fldChar w:fldCharType="begin"/>
            </w:r>
            <w:r w:rsidR="00355203" w:rsidRPr="007C4D65">
              <w:rPr>
                <w:webHidden/>
              </w:rPr>
              <w:instrText xml:space="preserve"> PAGEREF _Toc117445359 \h </w:instrText>
            </w:r>
            <w:r w:rsidR="00355203" w:rsidRPr="007C4D65">
              <w:rPr>
                <w:webHidden/>
              </w:rPr>
            </w:r>
            <w:r w:rsidR="00355203" w:rsidRPr="007C4D65">
              <w:rPr>
                <w:webHidden/>
              </w:rPr>
              <w:fldChar w:fldCharType="separate"/>
            </w:r>
            <w:r w:rsidR="00355203" w:rsidRPr="007C4D65">
              <w:rPr>
                <w:webHidden/>
              </w:rPr>
              <w:t>122</w:t>
            </w:r>
            <w:r w:rsidR="00355203" w:rsidRPr="007C4D65">
              <w:rPr>
                <w:webHidden/>
              </w:rPr>
              <w:fldChar w:fldCharType="end"/>
            </w:r>
          </w:hyperlink>
        </w:p>
        <w:p w14:paraId="1C41F9F6" w14:textId="0AE662BF" w:rsidR="00355203" w:rsidRPr="007C4D65" w:rsidRDefault="00000000">
          <w:pPr>
            <w:pStyle w:val="TOC2"/>
            <w:rPr>
              <w:rFonts w:eastAsiaTheme="minorEastAsia" w:cstheme="minorBidi"/>
              <w:sz w:val="22"/>
              <w:szCs w:val="22"/>
              <w:lang w:val="bs-Latn-BA" w:eastAsia="bs-Latn-BA"/>
            </w:rPr>
          </w:pPr>
          <w:hyperlink w:anchor="_Toc117445360" w:history="1">
            <w:r w:rsidR="00355203" w:rsidRPr="007C4D65">
              <w:rPr>
                <w:rStyle w:val="Hyperlink"/>
              </w:rPr>
              <w:t>9.1. Situation analysis</w:t>
            </w:r>
            <w:r w:rsidR="00355203" w:rsidRPr="007C4D65">
              <w:rPr>
                <w:webHidden/>
              </w:rPr>
              <w:tab/>
            </w:r>
            <w:r w:rsidR="00355203" w:rsidRPr="007C4D65">
              <w:rPr>
                <w:webHidden/>
              </w:rPr>
              <w:fldChar w:fldCharType="begin"/>
            </w:r>
            <w:r w:rsidR="00355203" w:rsidRPr="007C4D65">
              <w:rPr>
                <w:webHidden/>
              </w:rPr>
              <w:instrText xml:space="preserve"> PAGEREF _Toc117445360 \h </w:instrText>
            </w:r>
            <w:r w:rsidR="00355203" w:rsidRPr="007C4D65">
              <w:rPr>
                <w:webHidden/>
              </w:rPr>
            </w:r>
            <w:r w:rsidR="00355203" w:rsidRPr="007C4D65">
              <w:rPr>
                <w:webHidden/>
              </w:rPr>
              <w:fldChar w:fldCharType="separate"/>
            </w:r>
            <w:r w:rsidR="00355203" w:rsidRPr="007C4D65">
              <w:rPr>
                <w:webHidden/>
              </w:rPr>
              <w:t>122</w:t>
            </w:r>
            <w:r w:rsidR="00355203" w:rsidRPr="007C4D65">
              <w:rPr>
                <w:webHidden/>
              </w:rPr>
              <w:fldChar w:fldCharType="end"/>
            </w:r>
          </w:hyperlink>
        </w:p>
        <w:p w14:paraId="2A1F1042" w14:textId="4166E368" w:rsidR="00355203" w:rsidRPr="007C4D65" w:rsidRDefault="00000000">
          <w:pPr>
            <w:pStyle w:val="TOC2"/>
            <w:rPr>
              <w:rFonts w:eastAsiaTheme="minorEastAsia" w:cstheme="minorBidi"/>
              <w:sz w:val="22"/>
              <w:szCs w:val="22"/>
              <w:lang w:val="bs-Latn-BA" w:eastAsia="bs-Latn-BA"/>
            </w:rPr>
          </w:pPr>
          <w:hyperlink w:anchor="_Toc117445361" w:history="1">
            <w:r w:rsidR="00355203" w:rsidRPr="007C4D65">
              <w:rPr>
                <w:rStyle w:val="Hyperlink"/>
              </w:rPr>
              <w:t>9.2. Strategic goal 6</w:t>
            </w:r>
            <w:r w:rsidR="00355203" w:rsidRPr="007C4D65">
              <w:rPr>
                <w:webHidden/>
              </w:rPr>
              <w:tab/>
            </w:r>
            <w:r w:rsidR="00355203" w:rsidRPr="007C4D65">
              <w:rPr>
                <w:webHidden/>
              </w:rPr>
              <w:fldChar w:fldCharType="begin"/>
            </w:r>
            <w:r w:rsidR="00355203" w:rsidRPr="007C4D65">
              <w:rPr>
                <w:webHidden/>
              </w:rPr>
              <w:instrText xml:space="preserve"> PAGEREF _Toc117445361 \h </w:instrText>
            </w:r>
            <w:r w:rsidR="00355203" w:rsidRPr="007C4D65">
              <w:rPr>
                <w:webHidden/>
              </w:rPr>
            </w:r>
            <w:r w:rsidR="00355203" w:rsidRPr="007C4D65">
              <w:rPr>
                <w:webHidden/>
              </w:rPr>
              <w:fldChar w:fldCharType="separate"/>
            </w:r>
            <w:r w:rsidR="00355203" w:rsidRPr="007C4D65">
              <w:rPr>
                <w:webHidden/>
              </w:rPr>
              <w:t>133</w:t>
            </w:r>
            <w:r w:rsidR="00355203" w:rsidRPr="007C4D65">
              <w:rPr>
                <w:webHidden/>
              </w:rPr>
              <w:fldChar w:fldCharType="end"/>
            </w:r>
          </w:hyperlink>
        </w:p>
        <w:p w14:paraId="04BF8F2B" w14:textId="472AF5B3" w:rsidR="00355203" w:rsidRPr="007C4D65" w:rsidRDefault="00000000">
          <w:pPr>
            <w:pStyle w:val="TOC3"/>
            <w:rPr>
              <w:rFonts w:eastAsiaTheme="minorEastAsia" w:cstheme="minorBidi"/>
              <w:lang w:val="bs-Latn-BA" w:eastAsia="bs-Latn-BA"/>
            </w:rPr>
          </w:pPr>
          <w:hyperlink w:anchor="_Toc117445362" w:history="1">
            <w:r w:rsidR="00355203" w:rsidRPr="007C4D65">
              <w:rPr>
                <w:rStyle w:val="Hyperlink"/>
              </w:rPr>
              <w:t>9.2.1. Priorities for strategic goal 6</w:t>
            </w:r>
            <w:r w:rsidR="00355203" w:rsidRPr="007C4D65">
              <w:rPr>
                <w:webHidden/>
              </w:rPr>
              <w:tab/>
            </w:r>
            <w:r w:rsidR="00355203" w:rsidRPr="007C4D65">
              <w:rPr>
                <w:webHidden/>
              </w:rPr>
              <w:fldChar w:fldCharType="begin"/>
            </w:r>
            <w:r w:rsidR="00355203" w:rsidRPr="007C4D65">
              <w:rPr>
                <w:webHidden/>
              </w:rPr>
              <w:instrText xml:space="preserve"> PAGEREF _Toc117445362 \h </w:instrText>
            </w:r>
            <w:r w:rsidR="00355203" w:rsidRPr="007C4D65">
              <w:rPr>
                <w:webHidden/>
              </w:rPr>
            </w:r>
            <w:r w:rsidR="00355203" w:rsidRPr="007C4D65">
              <w:rPr>
                <w:webHidden/>
              </w:rPr>
              <w:fldChar w:fldCharType="separate"/>
            </w:r>
            <w:r w:rsidR="00355203" w:rsidRPr="007C4D65">
              <w:rPr>
                <w:webHidden/>
              </w:rPr>
              <w:t>133</w:t>
            </w:r>
            <w:r w:rsidR="00355203" w:rsidRPr="007C4D65">
              <w:rPr>
                <w:webHidden/>
              </w:rPr>
              <w:fldChar w:fldCharType="end"/>
            </w:r>
          </w:hyperlink>
        </w:p>
        <w:p w14:paraId="43E41A45" w14:textId="321D2627" w:rsidR="00355203" w:rsidRPr="007C4D65" w:rsidRDefault="00000000">
          <w:pPr>
            <w:pStyle w:val="TOC3"/>
            <w:rPr>
              <w:rFonts w:eastAsiaTheme="minorEastAsia" w:cstheme="minorBidi"/>
              <w:lang w:val="bs-Latn-BA" w:eastAsia="bs-Latn-BA"/>
            </w:rPr>
          </w:pPr>
          <w:hyperlink w:anchor="_Toc117445363" w:history="1">
            <w:r w:rsidR="00355203" w:rsidRPr="007C4D65">
              <w:rPr>
                <w:rStyle w:val="Hyperlink"/>
              </w:rPr>
              <w:t>9.2.2. Description of measures</w:t>
            </w:r>
            <w:r w:rsidR="00355203" w:rsidRPr="007C4D65">
              <w:rPr>
                <w:webHidden/>
              </w:rPr>
              <w:tab/>
            </w:r>
            <w:r w:rsidR="00355203" w:rsidRPr="007C4D65">
              <w:rPr>
                <w:webHidden/>
              </w:rPr>
              <w:fldChar w:fldCharType="begin"/>
            </w:r>
            <w:r w:rsidR="00355203" w:rsidRPr="007C4D65">
              <w:rPr>
                <w:webHidden/>
              </w:rPr>
              <w:instrText xml:space="preserve"> PAGEREF _Toc117445363 \h </w:instrText>
            </w:r>
            <w:r w:rsidR="00355203" w:rsidRPr="007C4D65">
              <w:rPr>
                <w:webHidden/>
              </w:rPr>
            </w:r>
            <w:r w:rsidR="00355203" w:rsidRPr="007C4D65">
              <w:rPr>
                <w:webHidden/>
              </w:rPr>
              <w:fldChar w:fldCharType="separate"/>
            </w:r>
            <w:r w:rsidR="00355203" w:rsidRPr="007C4D65">
              <w:rPr>
                <w:webHidden/>
              </w:rPr>
              <w:t>137</w:t>
            </w:r>
            <w:r w:rsidR="00355203" w:rsidRPr="007C4D65">
              <w:rPr>
                <w:webHidden/>
              </w:rPr>
              <w:fldChar w:fldCharType="end"/>
            </w:r>
          </w:hyperlink>
        </w:p>
        <w:p w14:paraId="20D0A501" w14:textId="3D25B605" w:rsidR="00355203" w:rsidRPr="007C4D65" w:rsidRDefault="00000000">
          <w:pPr>
            <w:pStyle w:val="TOC2"/>
            <w:rPr>
              <w:rFonts w:eastAsiaTheme="minorEastAsia" w:cstheme="minorBidi"/>
              <w:sz w:val="22"/>
              <w:szCs w:val="22"/>
              <w:lang w:val="bs-Latn-BA" w:eastAsia="bs-Latn-BA"/>
            </w:rPr>
          </w:pPr>
          <w:hyperlink w:anchor="_Toc117445364" w:history="1">
            <w:r w:rsidR="00355203" w:rsidRPr="007C4D65">
              <w:rPr>
                <w:rStyle w:val="Hyperlink"/>
              </w:rPr>
              <w:t>9.3. Indicative financial framework</w:t>
            </w:r>
            <w:r w:rsidR="00355203" w:rsidRPr="007C4D65">
              <w:rPr>
                <w:webHidden/>
              </w:rPr>
              <w:tab/>
            </w:r>
            <w:r w:rsidR="00355203" w:rsidRPr="007C4D65">
              <w:rPr>
                <w:webHidden/>
              </w:rPr>
              <w:fldChar w:fldCharType="begin"/>
            </w:r>
            <w:r w:rsidR="00355203" w:rsidRPr="007C4D65">
              <w:rPr>
                <w:webHidden/>
              </w:rPr>
              <w:instrText xml:space="preserve"> PAGEREF _Toc117445364 \h </w:instrText>
            </w:r>
            <w:r w:rsidR="00355203" w:rsidRPr="007C4D65">
              <w:rPr>
                <w:webHidden/>
              </w:rPr>
            </w:r>
            <w:r w:rsidR="00355203" w:rsidRPr="007C4D65">
              <w:rPr>
                <w:webHidden/>
              </w:rPr>
              <w:fldChar w:fldCharType="separate"/>
            </w:r>
            <w:r w:rsidR="00355203" w:rsidRPr="007C4D65">
              <w:rPr>
                <w:webHidden/>
              </w:rPr>
              <w:t>144</w:t>
            </w:r>
            <w:r w:rsidR="00355203" w:rsidRPr="007C4D65">
              <w:rPr>
                <w:webHidden/>
              </w:rPr>
              <w:fldChar w:fldCharType="end"/>
            </w:r>
          </w:hyperlink>
        </w:p>
        <w:p w14:paraId="7F56EC54" w14:textId="1794A582" w:rsidR="00355203" w:rsidRPr="007C4D65" w:rsidRDefault="00000000">
          <w:pPr>
            <w:pStyle w:val="TOC1"/>
            <w:rPr>
              <w:rFonts w:eastAsiaTheme="minorEastAsia" w:cstheme="minorBidi"/>
              <w:b w:val="0"/>
              <w:bCs w:val="0"/>
              <w:sz w:val="22"/>
              <w:szCs w:val="22"/>
              <w:lang w:val="bs-Latn-BA" w:eastAsia="bs-Latn-BA"/>
            </w:rPr>
          </w:pPr>
          <w:hyperlink w:anchor="_Toc117445365" w:history="1">
            <w:r w:rsidR="00355203" w:rsidRPr="007C4D65">
              <w:rPr>
                <w:rStyle w:val="Hyperlink"/>
              </w:rPr>
              <w:t>10. ENVIRONMENTAL MANAGEMENT</w:t>
            </w:r>
            <w:r w:rsidR="00355203" w:rsidRPr="007C4D65">
              <w:rPr>
                <w:webHidden/>
              </w:rPr>
              <w:tab/>
            </w:r>
            <w:r w:rsidR="00355203" w:rsidRPr="007C4D65">
              <w:rPr>
                <w:webHidden/>
              </w:rPr>
              <w:fldChar w:fldCharType="begin"/>
            </w:r>
            <w:r w:rsidR="00355203" w:rsidRPr="007C4D65">
              <w:rPr>
                <w:webHidden/>
              </w:rPr>
              <w:instrText xml:space="preserve"> PAGEREF _Toc117445365 \h </w:instrText>
            </w:r>
            <w:r w:rsidR="00355203" w:rsidRPr="007C4D65">
              <w:rPr>
                <w:webHidden/>
              </w:rPr>
            </w:r>
            <w:r w:rsidR="00355203" w:rsidRPr="007C4D65">
              <w:rPr>
                <w:webHidden/>
              </w:rPr>
              <w:fldChar w:fldCharType="separate"/>
            </w:r>
            <w:r w:rsidR="00355203" w:rsidRPr="007C4D65">
              <w:rPr>
                <w:webHidden/>
              </w:rPr>
              <w:t>145</w:t>
            </w:r>
            <w:r w:rsidR="00355203" w:rsidRPr="007C4D65">
              <w:rPr>
                <w:webHidden/>
              </w:rPr>
              <w:fldChar w:fldCharType="end"/>
            </w:r>
          </w:hyperlink>
        </w:p>
        <w:p w14:paraId="44B551F8" w14:textId="2B46C9EA" w:rsidR="00355203" w:rsidRPr="007C4D65" w:rsidRDefault="00000000">
          <w:pPr>
            <w:pStyle w:val="TOC2"/>
            <w:rPr>
              <w:rFonts w:eastAsiaTheme="minorEastAsia" w:cstheme="minorBidi"/>
              <w:sz w:val="22"/>
              <w:szCs w:val="22"/>
              <w:lang w:val="bs-Latn-BA" w:eastAsia="bs-Latn-BA"/>
            </w:rPr>
          </w:pPr>
          <w:hyperlink w:anchor="_Toc117445366" w:history="1">
            <w:r w:rsidR="00355203" w:rsidRPr="007C4D65">
              <w:rPr>
                <w:rStyle w:val="Hyperlink"/>
              </w:rPr>
              <w:t>10.1. Situation analysis</w:t>
            </w:r>
            <w:r w:rsidR="00355203" w:rsidRPr="007C4D65">
              <w:rPr>
                <w:webHidden/>
              </w:rPr>
              <w:tab/>
            </w:r>
            <w:r w:rsidR="00355203" w:rsidRPr="007C4D65">
              <w:rPr>
                <w:webHidden/>
              </w:rPr>
              <w:fldChar w:fldCharType="begin"/>
            </w:r>
            <w:r w:rsidR="00355203" w:rsidRPr="007C4D65">
              <w:rPr>
                <w:webHidden/>
              </w:rPr>
              <w:instrText xml:space="preserve"> PAGEREF _Toc117445366 \h </w:instrText>
            </w:r>
            <w:r w:rsidR="00355203" w:rsidRPr="007C4D65">
              <w:rPr>
                <w:webHidden/>
              </w:rPr>
            </w:r>
            <w:r w:rsidR="00355203" w:rsidRPr="007C4D65">
              <w:rPr>
                <w:webHidden/>
              </w:rPr>
              <w:fldChar w:fldCharType="separate"/>
            </w:r>
            <w:r w:rsidR="00355203" w:rsidRPr="007C4D65">
              <w:rPr>
                <w:webHidden/>
              </w:rPr>
              <w:t>145</w:t>
            </w:r>
            <w:r w:rsidR="00355203" w:rsidRPr="007C4D65">
              <w:rPr>
                <w:webHidden/>
              </w:rPr>
              <w:fldChar w:fldCharType="end"/>
            </w:r>
          </w:hyperlink>
        </w:p>
        <w:p w14:paraId="7B166FE1" w14:textId="5252B724" w:rsidR="00355203" w:rsidRPr="007C4D65" w:rsidRDefault="00000000">
          <w:pPr>
            <w:pStyle w:val="TOC2"/>
            <w:rPr>
              <w:rFonts w:eastAsiaTheme="minorEastAsia" w:cstheme="minorBidi"/>
              <w:sz w:val="22"/>
              <w:szCs w:val="22"/>
              <w:lang w:val="bs-Latn-BA" w:eastAsia="bs-Latn-BA"/>
            </w:rPr>
          </w:pPr>
          <w:hyperlink w:anchor="_Toc117445367" w:history="1">
            <w:r w:rsidR="00355203" w:rsidRPr="007C4D65">
              <w:rPr>
                <w:rStyle w:val="Hyperlink"/>
              </w:rPr>
              <w:t>10.2. Strategic goal 7</w:t>
            </w:r>
            <w:r w:rsidR="00355203" w:rsidRPr="007C4D65">
              <w:rPr>
                <w:webHidden/>
              </w:rPr>
              <w:tab/>
            </w:r>
            <w:r w:rsidR="00355203" w:rsidRPr="007C4D65">
              <w:rPr>
                <w:webHidden/>
              </w:rPr>
              <w:fldChar w:fldCharType="begin"/>
            </w:r>
            <w:r w:rsidR="00355203" w:rsidRPr="007C4D65">
              <w:rPr>
                <w:webHidden/>
              </w:rPr>
              <w:instrText xml:space="preserve"> PAGEREF _Toc117445367 \h </w:instrText>
            </w:r>
            <w:r w:rsidR="00355203" w:rsidRPr="007C4D65">
              <w:rPr>
                <w:webHidden/>
              </w:rPr>
            </w:r>
            <w:r w:rsidR="00355203" w:rsidRPr="007C4D65">
              <w:rPr>
                <w:webHidden/>
              </w:rPr>
              <w:fldChar w:fldCharType="separate"/>
            </w:r>
            <w:r w:rsidR="00355203" w:rsidRPr="007C4D65">
              <w:rPr>
                <w:webHidden/>
              </w:rPr>
              <w:t>156</w:t>
            </w:r>
            <w:r w:rsidR="00355203" w:rsidRPr="007C4D65">
              <w:rPr>
                <w:webHidden/>
              </w:rPr>
              <w:fldChar w:fldCharType="end"/>
            </w:r>
          </w:hyperlink>
        </w:p>
        <w:p w14:paraId="26CF144F" w14:textId="4D64E21E" w:rsidR="00355203" w:rsidRPr="007C4D65" w:rsidRDefault="00000000">
          <w:pPr>
            <w:pStyle w:val="TOC3"/>
            <w:rPr>
              <w:rFonts w:eastAsiaTheme="minorEastAsia" w:cstheme="minorBidi"/>
              <w:lang w:val="bs-Latn-BA" w:eastAsia="bs-Latn-BA"/>
            </w:rPr>
          </w:pPr>
          <w:hyperlink w:anchor="_Toc117445368" w:history="1">
            <w:r w:rsidR="00355203" w:rsidRPr="007C4D65">
              <w:rPr>
                <w:rStyle w:val="Hyperlink"/>
              </w:rPr>
              <w:t>10.2.1. Priorities for strategic goal 7</w:t>
            </w:r>
            <w:r w:rsidR="00355203" w:rsidRPr="007C4D65">
              <w:rPr>
                <w:webHidden/>
              </w:rPr>
              <w:tab/>
            </w:r>
            <w:r w:rsidR="00355203" w:rsidRPr="007C4D65">
              <w:rPr>
                <w:webHidden/>
              </w:rPr>
              <w:fldChar w:fldCharType="begin"/>
            </w:r>
            <w:r w:rsidR="00355203" w:rsidRPr="007C4D65">
              <w:rPr>
                <w:webHidden/>
              </w:rPr>
              <w:instrText xml:space="preserve"> PAGEREF _Toc117445368 \h </w:instrText>
            </w:r>
            <w:r w:rsidR="00355203" w:rsidRPr="007C4D65">
              <w:rPr>
                <w:webHidden/>
              </w:rPr>
            </w:r>
            <w:r w:rsidR="00355203" w:rsidRPr="007C4D65">
              <w:rPr>
                <w:webHidden/>
              </w:rPr>
              <w:fldChar w:fldCharType="separate"/>
            </w:r>
            <w:r w:rsidR="00355203" w:rsidRPr="007C4D65">
              <w:rPr>
                <w:webHidden/>
              </w:rPr>
              <w:t>156</w:t>
            </w:r>
            <w:r w:rsidR="00355203" w:rsidRPr="007C4D65">
              <w:rPr>
                <w:webHidden/>
              </w:rPr>
              <w:fldChar w:fldCharType="end"/>
            </w:r>
          </w:hyperlink>
        </w:p>
        <w:p w14:paraId="714AE10E" w14:textId="3C4E3E96" w:rsidR="00355203" w:rsidRPr="007C4D65" w:rsidRDefault="00000000">
          <w:pPr>
            <w:pStyle w:val="TOC3"/>
            <w:rPr>
              <w:rFonts w:eastAsiaTheme="minorEastAsia" w:cstheme="minorBidi"/>
              <w:lang w:val="bs-Latn-BA" w:eastAsia="bs-Latn-BA"/>
            </w:rPr>
          </w:pPr>
          <w:hyperlink w:anchor="_Toc117445369" w:history="1">
            <w:r w:rsidR="00355203" w:rsidRPr="007C4D65">
              <w:rPr>
                <w:rStyle w:val="Hyperlink"/>
              </w:rPr>
              <w:t>10.2.2. Description of measures</w:t>
            </w:r>
            <w:r w:rsidR="00355203" w:rsidRPr="007C4D65">
              <w:rPr>
                <w:webHidden/>
              </w:rPr>
              <w:tab/>
            </w:r>
            <w:r w:rsidR="00355203" w:rsidRPr="007C4D65">
              <w:rPr>
                <w:webHidden/>
              </w:rPr>
              <w:fldChar w:fldCharType="begin"/>
            </w:r>
            <w:r w:rsidR="00355203" w:rsidRPr="007C4D65">
              <w:rPr>
                <w:webHidden/>
              </w:rPr>
              <w:instrText xml:space="preserve"> PAGEREF _Toc117445369 \h </w:instrText>
            </w:r>
            <w:r w:rsidR="00355203" w:rsidRPr="007C4D65">
              <w:rPr>
                <w:webHidden/>
              </w:rPr>
            </w:r>
            <w:r w:rsidR="00355203" w:rsidRPr="007C4D65">
              <w:rPr>
                <w:webHidden/>
              </w:rPr>
              <w:fldChar w:fldCharType="separate"/>
            </w:r>
            <w:r w:rsidR="00355203" w:rsidRPr="007C4D65">
              <w:rPr>
                <w:webHidden/>
              </w:rPr>
              <w:t>164</w:t>
            </w:r>
            <w:r w:rsidR="00355203" w:rsidRPr="007C4D65">
              <w:rPr>
                <w:webHidden/>
              </w:rPr>
              <w:fldChar w:fldCharType="end"/>
            </w:r>
          </w:hyperlink>
        </w:p>
        <w:p w14:paraId="60A8C56D" w14:textId="1A31C118" w:rsidR="00355203" w:rsidRPr="007C4D65" w:rsidRDefault="00000000">
          <w:pPr>
            <w:pStyle w:val="TOC2"/>
            <w:rPr>
              <w:rFonts w:eastAsiaTheme="minorEastAsia" w:cstheme="minorBidi"/>
              <w:sz w:val="22"/>
              <w:szCs w:val="22"/>
              <w:lang w:val="bs-Latn-BA" w:eastAsia="bs-Latn-BA"/>
            </w:rPr>
          </w:pPr>
          <w:hyperlink w:anchor="_Toc117445370" w:history="1">
            <w:r w:rsidR="00355203" w:rsidRPr="007C4D65">
              <w:rPr>
                <w:rStyle w:val="Hyperlink"/>
              </w:rPr>
              <w:t>10.3. Indicative financial framework</w:t>
            </w:r>
            <w:r w:rsidR="00355203" w:rsidRPr="007C4D65">
              <w:rPr>
                <w:webHidden/>
              </w:rPr>
              <w:tab/>
            </w:r>
            <w:r w:rsidR="00355203" w:rsidRPr="007C4D65">
              <w:rPr>
                <w:webHidden/>
              </w:rPr>
              <w:fldChar w:fldCharType="begin"/>
            </w:r>
            <w:r w:rsidR="00355203" w:rsidRPr="007C4D65">
              <w:rPr>
                <w:webHidden/>
              </w:rPr>
              <w:instrText xml:space="preserve"> PAGEREF _Toc117445370 \h </w:instrText>
            </w:r>
            <w:r w:rsidR="00355203" w:rsidRPr="007C4D65">
              <w:rPr>
                <w:webHidden/>
              </w:rPr>
            </w:r>
            <w:r w:rsidR="00355203" w:rsidRPr="007C4D65">
              <w:rPr>
                <w:webHidden/>
              </w:rPr>
              <w:fldChar w:fldCharType="separate"/>
            </w:r>
            <w:r w:rsidR="00355203" w:rsidRPr="007C4D65">
              <w:rPr>
                <w:webHidden/>
              </w:rPr>
              <w:t>174</w:t>
            </w:r>
            <w:r w:rsidR="00355203" w:rsidRPr="007C4D65">
              <w:rPr>
                <w:webHidden/>
              </w:rPr>
              <w:fldChar w:fldCharType="end"/>
            </w:r>
          </w:hyperlink>
        </w:p>
        <w:p w14:paraId="45AAE3CE" w14:textId="0FDCB7D9" w:rsidR="00355203" w:rsidRPr="007C4D65" w:rsidRDefault="00000000">
          <w:pPr>
            <w:pStyle w:val="TOC1"/>
            <w:rPr>
              <w:rFonts w:eastAsiaTheme="minorEastAsia" w:cstheme="minorBidi"/>
              <w:b w:val="0"/>
              <w:bCs w:val="0"/>
              <w:sz w:val="22"/>
              <w:szCs w:val="22"/>
              <w:lang w:val="bs-Latn-BA" w:eastAsia="bs-Latn-BA"/>
            </w:rPr>
          </w:pPr>
          <w:hyperlink w:anchor="_Toc117445371" w:history="1">
            <w:r w:rsidR="00355203" w:rsidRPr="007C4D65">
              <w:rPr>
                <w:rStyle w:val="Hyperlink"/>
              </w:rPr>
              <w:t>11. ALIGNMENT WITH OTHER DOCUMENTS</w:t>
            </w:r>
            <w:r w:rsidR="00355203" w:rsidRPr="007C4D65">
              <w:rPr>
                <w:webHidden/>
              </w:rPr>
              <w:tab/>
            </w:r>
            <w:r w:rsidR="00355203" w:rsidRPr="007C4D65">
              <w:rPr>
                <w:webHidden/>
              </w:rPr>
              <w:fldChar w:fldCharType="begin"/>
            </w:r>
            <w:r w:rsidR="00355203" w:rsidRPr="007C4D65">
              <w:rPr>
                <w:webHidden/>
              </w:rPr>
              <w:instrText xml:space="preserve"> PAGEREF _Toc117445371 \h </w:instrText>
            </w:r>
            <w:r w:rsidR="00355203" w:rsidRPr="007C4D65">
              <w:rPr>
                <w:webHidden/>
              </w:rPr>
            </w:r>
            <w:r w:rsidR="00355203" w:rsidRPr="007C4D65">
              <w:rPr>
                <w:webHidden/>
              </w:rPr>
              <w:fldChar w:fldCharType="separate"/>
            </w:r>
            <w:r w:rsidR="00355203" w:rsidRPr="007C4D65">
              <w:rPr>
                <w:webHidden/>
              </w:rPr>
              <w:t>175</w:t>
            </w:r>
            <w:r w:rsidR="00355203" w:rsidRPr="007C4D65">
              <w:rPr>
                <w:webHidden/>
              </w:rPr>
              <w:fldChar w:fldCharType="end"/>
            </w:r>
          </w:hyperlink>
        </w:p>
        <w:p w14:paraId="47F21D51" w14:textId="49547C2E" w:rsidR="00355203" w:rsidRPr="007C4D65" w:rsidRDefault="00000000">
          <w:pPr>
            <w:pStyle w:val="TOC1"/>
            <w:rPr>
              <w:rFonts w:eastAsiaTheme="minorEastAsia" w:cstheme="minorBidi"/>
              <w:b w:val="0"/>
              <w:bCs w:val="0"/>
              <w:sz w:val="22"/>
              <w:szCs w:val="22"/>
              <w:lang w:val="bs-Latn-BA" w:eastAsia="bs-Latn-BA"/>
            </w:rPr>
          </w:pPr>
          <w:hyperlink w:anchor="_Toc117445372" w:history="1">
            <w:r w:rsidR="00355203" w:rsidRPr="007C4D65">
              <w:rPr>
                <w:rStyle w:val="Hyperlink"/>
              </w:rPr>
              <w:t>12. FRAMEWORK FOR IMPLEMENTATION, MONITORING, REPORTING AND EVALUATION</w:t>
            </w:r>
            <w:r w:rsidR="00355203" w:rsidRPr="007C4D65">
              <w:rPr>
                <w:webHidden/>
              </w:rPr>
              <w:tab/>
            </w:r>
            <w:r w:rsidR="00355203" w:rsidRPr="007C4D65">
              <w:rPr>
                <w:webHidden/>
              </w:rPr>
              <w:fldChar w:fldCharType="begin"/>
            </w:r>
            <w:r w:rsidR="00355203" w:rsidRPr="007C4D65">
              <w:rPr>
                <w:webHidden/>
              </w:rPr>
              <w:instrText xml:space="preserve"> PAGEREF _Toc117445372 \h </w:instrText>
            </w:r>
            <w:r w:rsidR="00355203" w:rsidRPr="007C4D65">
              <w:rPr>
                <w:webHidden/>
              </w:rPr>
            </w:r>
            <w:r w:rsidR="00355203" w:rsidRPr="007C4D65">
              <w:rPr>
                <w:webHidden/>
              </w:rPr>
              <w:fldChar w:fldCharType="separate"/>
            </w:r>
            <w:r w:rsidR="00355203" w:rsidRPr="007C4D65">
              <w:rPr>
                <w:webHidden/>
              </w:rPr>
              <w:t>185</w:t>
            </w:r>
            <w:r w:rsidR="00355203" w:rsidRPr="007C4D65">
              <w:rPr>
                <w:webHidden/>
              </w:rPr>
              <w:fldChar w:fldCharType="end"/>
            </w:r>
          </w:hyperlink>
        </w:p>
        <w:p w14:paraId="2E5B9135" w14:textId="01E0120F" w:rsidR="00355203" w:rsidRPr="007C4D65" w:rsidRDefault="00000000">
          <w:pPr>
            <w:pStyle w:val="TOC2"/>
            <w:rPr>
              <w:rFonts w:eastAsiaTheme="minorEastAsia" w:cstheme="minorBidi"/>
              <w:sz w:val="22"/>
              <w:szCs w:val="22"/>
              <w:lang w:val="bs-Latn-BA" w:eastAsia="bs-Latn-BA"/>
            </w:rPr>
          </w:pPr>
          <w:hyperlink w:anchor="_Toc117445373" w:history="1">
            <w:r w:rsidR="00355203" w:rsidRPr="007C4D65">
              <w:rPr>
                <w:rStyle w:val="Hyperlink"/>
              </w:rPr>
              <w:t>12.1. Monitoring and reporting</w:t>
            </w:r>
            <w:r w:rsidR="00355203" w:rsidRPr="007C4D65">
              <w:rPr>
                <w:webHidden/>
              </w:rPr>
              <w:tab/>
            </w:r>
            <w:r w:rsidR="00355203" w:rsidRPr="007C4D65">
              <w:rPr>
                <w:webHidden/>
              </w:rPr>
              <w:fldChar w:fldCharType="begin"/>
            </w:r>
            <w:r w:rsidR="00355203" w:rsidRPr="007C4D65">
              <w:rPr>
                <w:webHidden/>
              </w:rPr>
              <w:instrText xml:space="preserve"> PAGEREF _Toc117445373 \h </w:instrText>
            </w:r>
            <w:r w:rsidR="00355203" w:rsidRPr="007C4D65">
              <w:rPr>
                <w:webHidden/>
              </w:rPr>
            </w:r>
            <w:r w:rsidR="00355203" w:rsidRPr="007C4D65">
              <w:rPr>
                <w:webHidden/>
              </w:rPr>
              <w:fldChar w:fldCharType="separate"/>
            </w:r>
            <w:r w:rsidR="00355203" w:rsidRPr="007C4D65">
              <w:rPr>
                <w:webHidden/>
              </w:rPr>
              <w:t>185</w:t>
            </w:r>
            <w:r w:rsidR="00355203" w:rsidRPr="007C4D65">
              <w:rPr>
                <w:webHidden/>
              </w:rPr>
              <w:fldChar w:fldCharType="end"/>
            </w:r>
          </w:hyperlink>
        </w:p>
        <w:p w14:paraId="09DE5D7F" w14:textId="4BF33865" w:rsidR="00355203" w:rsidRPr="007C4D65" w:rsidRDefault="00000000">
          <w:pPr>
            <w:pStyle w:val="TOC2"/>
            <w:rPr>
              <w:rFonts w:eastAsiaTheme="minorEastAsia" w:cstheme="minorBidi"/>
              <w:sz w:val="22"/>
              <w:szCs w:val="22"/>
              <w:lang w:val="bs-Latn-BA" w:eastAsia="bs-Latn-BA"/>
            </w:rPr>
          </w:pPr>
          <w:hyperlink w:anchor="_Toc117445374" w:history="1">
            <w:r w:rsidR="00355203" w:rsidRPr="007C4D65">
              <w:rPr>
                <w:rStyle w:val="Hyperlink"/>
              </w:rPr>
              <w:t>12.2. Evaluation</w:t>
            </w:r>
            <w:r w:rsidR="00355203" w:rsidRPr="007C4D65">
              <w:rPr>
                <w:webHidden/>
              </w:rPr>
              <w:tab/>
            </w:r>
            <w:r w:rsidR="00355203" w:rsidRPr="007C4D65">
              <w:rPr>
                <w:webHidden/>
              </w:rPr>
              <w:fldChar w:fldCharType="begin"/>
            </w:r>
            <w:r w:rsidR="00355203" w:rsidRPr="007C4D65">
              <w:rPr>
                <w:webHidden/>
              </w:rPr>
              <w:instrText xml:space="preserve"> PAGEREF _Toc117445374 \h </w:instrText>
            </w:r>
            <w:r w:rsidR="00355203" w:rsidRPr="007C4D65">
              <w:rPr>
                <w:webHidden/>
              </w:rPr>
            </w:r>
            <w:r w:rsidR="00355203" w:rsidRPr="007C4D65">
              <w:rPr>
                <w:webHidden/>
              </w:rPr>
              <w:fldChar w:fldCharType="separate"/>
            </w:r>
            <w:r w:rsidR="00355203" w:rsidRPr="007C4D65">
              <w:rPr>
                <w:webHidden/>
              </w:rPr>
              <w:t>187</w:t>
            </w:r>
            <w:r w:rsidR="00355203" w:rsidRPr="007C4D65">
              <w:rPr>
                <w:webHidden/>
              </w:rPr>
              <w:fldChar w:fldCharType="end"/>
            </w:r>
          </w:hyperlink>
        </w:p>
        <w:p w14:paraId="32B5904D" w14:textId="32E8C969" w:rsidR="00355203" w:rsidRPr="007C4D65" w:rsidRDefault="00000000">
          <w:pPr>
            <w:pStyle w:val="TOC1"/>
            <w:rPr>
              <w:rFonts w:eastAsiaTheme="minorEastAsia" w:cstheme="minorBidi"/>
              <w:b w:val="0"/>
              <w:bCs w:val="0"/>
              <w:sz w:val="22"/>
              <w:szCs w:val="22"/>
              <w:lang w:val="bs-Latn-BA" w:eastAsia="bs-Latn-BA"/>
            </w:rPr>
          </w:pPr>
          <w:hyperlink w:anchor="_Toc117445375" w:history="1">
            <w:r w:rsidR="00355203" w:rsidRPr="007C4D65">
              <w:rPr>
                <w:rStyle w:val="Hyperlink"/>
              </w:rPr>
              <w:t>13. ANNEXES</w:t>
            </w:r>
            <w:r w:rsidR="00355203" w:rsidRPr="007C4D65">
              <w:rPr>
                <w:webHidden/>
              </w:rPr>
              <w:tab/>
            </w:r>
            <w:r w:rsidR="00355203" w:rsidRPr="007C4D65">
              <w:rPr>
                <w:webHidden/>
              </w:rPr>
              <w:fldChar w:fldCharType="begin"/>
            </w:r>
            <w:r w:rsidR="00355203" w:rsidRPr="007C4D65">
              <w:rPr>
                <w:webHidden/>
              </w:rPr>
              <w:instrText xml:space="preserve"> PAGEREF _Toc117445375 \h </w:instrText>
            </w:r>
            <w:r w:rsidR="00355203" w:rsidRPr="007C4D65">
              <w:rPr>
                <w:webHidden/>
              </w:rPr>
            </w:r>
            <w:r w:rsidR="00355203" w:rsidRPr="007C4D65">
              <w:rPr>
                <w:webHidden/>
              </w:rPr>
              <w:fldChar w:fldCharType="separate"/>
            </w:r>
            <w:r w:rsidR="00355203" w:rsidRPr="007C4D65">
              <w:rPr>
                <w:webHidden/>
              </w:rPr>
              <w:t>188</w:t>
            </w:r>
            <w:r w:rsidR="00355203" w:rsidRPr="007C4D65">
              <w:rPr>
                <w:webHidden/>
              </w:rPr>
              <w:fldChar w:fldCharType="end"/>
            </w:r>
          </w:hyperlink>
        </w:p>
        <w:p w14:paraId="7A6DB887" w14:textId="44554772" w:rsidR="00355203" w:rsidRPr="007C4D65" w:rsidRDefault="00000000">
          <w:pPr>
            <w:pStyle w:val="TOC2"/>
            <w:rPr>
              <w:rFonts w:eastAsiaTheme="minorEastAsia" w:cstheme="minorBidi"/>
              <w:sz w:val="22"/>
              <w:szCs w:val="22"/>
              <w:lang w:val="bs-Latn-BA" w:eastAsia="bs-Latn-BA"/>
            </w:rPr>
          </w:pPr>
          <w:hyperlink w:anchor="_Toc117445376" w:history="1">
            <w:r w:rsidR="00355203" w:rsidRPr="007C4D65">
              <w:rPr>
                <w:rStyle w:val="Hyperlink"/>
              </w:rPr>
              <w:t>13.1. Annex 1 Detailed overview of measures for Water Management</w:t>
            </w:r>
            <w:r w:rsidR="00355203" w:rsidRPr="007C4D65">
              <w:rPr>
                <w:webHidden/>
              </w:rPr>
              <w:tab/>
            </w:r>
            <w:r w:rsidR="00355203" w:rsidRPr="007C4D65">
              <w:rPr>
                <w:webHidden/>
              </w:rPr>
              <w:fldChar w:fldCharType="begin"/>
            </w:r>
            <w:r w:rsidR="00355203" w:rsidRPr="007C4D65">
              <w:rPr>
                <w:webHidden/>
              </w:rPr>
              <w:instrText xml:space="preserve"> PAGEREF _Toc117445376 \h </w:instrText>
            </w:r>
            <w:r w:rsidR="00355203" w:rsidRPr="007C4D65">
              <w:rPr>
                <w:webHidden/>
              </w:rPr>
            </w:r>
            <w:r w:rsidR="00355203" w:rsidRPr="007C4D65">
              <w:rPr>
                <w:webHidden/>
              </w:rPr>
              <w:fldChar w:fldCharType="separate"/>
            </w:r>
            <w:r w:rsidR="00355203" w:rsidRPr="007C4D65">
              <w:rPr>
                <w:webHidden/>
              </w:rPr>
              <w:t>188</w:t>
            </w:r>
            <w:r w:rsidR="00355203" w:rsidRPr="007C4D65">
              <w:rPr>
                <w:webHidden/>
              </w:rPr>
              <w:fldChar w:fldCharType="end"/>
            </w:r>
          </w:hyperlink>
        </w:p>
        <w:p w14:paraId="5E4D1C16" w14:textId="76FF95FB" w:rsidR="00355203" w:rsidRPr="007C4D65" w:rsidRDefault="00000000">
          <w:pPr>
            <w:pStyle w:val="TOC2"/>
            <w:rPr>
              <w:rFonts w:eastAsiaTheme="minorEastAsia" w:cstheme="minorBidi"/>
              <w:sz w:val="22"/>
              <w:szCs w:val="22"/>
              <w:lang w:val="bs-Latn-BA" w:eastAsia="bs-Latn-BA"/>
            </w:rPr>
          </w:pPr>
          <w:hyperlink w:anchor="_Toc117445377" w:history="1">
            <w:r w:rsidR="00355203" w:rsidRPr="007C4D65">
              <w:rPr>
                <w:rStyle w:val="Hyperlink"/>
              </w:rPr>
              <w:t>13.2. Annex 2 A detailed overview of measures for Waste Management</w:t>
            </w:r>
            <w:r w:rsidR="00355203" w:rsidRPr="007C4D65">
              <w:rPr>
                <w:webHidden/>
              </w:rPr>
              <w:tab/>
            </w:r>
            <w:r w:rsidR="00355203" w:rsidRPr="007C4D65">
              <w:rPr>
                <w:webHidden/>
              </w:rPr>
              <w:fldChar w:fldCharType="begin"/>
            </w:r>
            <w:r w:rsidR="00355203" w:rsidRPr="007C4D65">
              <w:rPr>
                <w:webHidden/>
              </w:rPr>
              <w:instrText xml:space="preserve"> PAGEREF _Toc117445377 \h </w:instrText>
            </w:r>
            <w:r w:rsidR="00355203" w:rsidRPr="007C4D65">
              <w:rPr>
                <w:webHidden/>
              </w:rPr>
            </w:r>
            <w:r w:rsidR="00355203" w:rsidRPr="007C4D65">
              <w:rPr>
                <w:webHidden/>
              </w:rPr>
              <w:fldChar w:fldCharType="separate"/>
            </w:r>
            <w:r w:rsidR="00355203" w:rsidRPr="007C4D65">
              <w:rPr>
                <w:webHidden/>
              </w:rPr>
              <w:t>218</w:t>
            </w:r>
            <w:r w:rsidR="00355203" w:rsidRPr="007C4D65">
              <w:rPr>
                <w:webHidden/>
              </w:rPr>
              <w:fldChar w:fldCharType="end"/>
            </w:r>
          </w:hyperlink>
        </w:p>
        <w:p w14:paraId="4F3B5A5F" w14:textId="05DFBE29" w:rsidR="00355203" w:rsidRPr="007C4D65" w:rsidRDefault="00000000">
          <w:pPr>
            <w:pStyle w:val="TOC2"/>
            <w:rPr>
              <w:rFonts w:eastAsiaTheme="minorEastAsia" w:cstheme="minorBidi"/>
              <w:sz w:val="22"/>
              <w:szCs w:val="22"/>
              <w:lang w:val="bs-Latn-BA" w:eastAsia="bs-Latn-BA"/>
            </w:rPr>
          </w:pPr>
          <w:hyperlink w:anchor="_Toc117445378" w:history="1">
            <w:r w:rsidR="00355203" w:rsidRPr="007C4D65">
              <w:rPr>
                <w:rStyle w:val="Hyperlink"/>
              </w:rPr>
              <w:t>13.3. Annex 3 Detailed overview of measures for Biodiversity and Nature Conservation</w:t>
            </w:r>
            <w:r w:rsidR="00355203" w:rsidRPr="007C4D65">
              <w:rPr>
                <w:webHidden/>
              </w:rPr>
              <w:tab/>
            </w:r>
            <w:r w:rsidR="00355203" w:rsidRPr="007C4D65">
              <w:rPr>
                <w:webHidden/>
              </w:rPr>
              <w:fldChar w:fldCharType="begin"/>
            </w:r>
            <w:r w:rsidR="00355203" w:rsidRPr="007C4D65">
              <w:rPr>
                <w:webHidden/>
              </w:rPr>
              <w:instrText xml:space="preserve"> PAGEREF _Toc117445378 \h </w:instrText>
            </w:r>
            <w:r w:rsidR="00355203" w:rsidRPr="007C4D65">
              <w:rPr>
                <w:webHidden/>
              </w:rPr>
            </w:r>
            <w:r w:rsidR="00355203" w:rsidRPr="007C4D65">
              <w:rPr>
                <w:webHidden/>
              </w:rPr>
              <w:fldChar w:fldCharType="separate"/>
            </w:r>
            <w:r w:rsidR="00355203" w:rsidRPr="007C4D65">
              <w:rPr>
                <w:webHidden/>
              </w:rPr>
              <w:t>238</w:t>
            </w:r>
            <w:r w:rsidR="00355203" w:rsidRPr="007C4D65">
              <w:rPr>
                <w:webHidden/>
              </w:rPr>
              <w:fldChar w:fldCharType="end"/>
            </w:r>
          </w:hyperlink>
        </w:p>
        <w:p w14:paraId="3306DB4F" w14:textId="06A1450F" w:rsidR="00355203" w:rsidRPr="007C4D65" w:rsidRDefault="00000000">
          <w:pPr>
            <w:pStyle w:val="TOC2"/>
            <w:rPr>
              <w:rFonts w:eastAsiaTheme="minorEastAsia" w:cstheme="minorBidi"/>
              <w:sz w:val="22"/>
              <w:szCs w:val="22"/>
              <w:lang w:val="bs-Latn-BA" w:eastAsia="bs-Latn-BA"/>
            </w:rPr>
          </w:pPr>
          <w:hyperlink w:anchor="_Toc117445379" w:history="1">
            <w:r w:rsidR="00355203" w:rsidRPr="007C4D65">
              <w:rPr>
                <w:rStyle w:val="Hyperlink"/>
              </w:rPr>
              <w:t>13.4. Annex 4: A detailed overview of measures for Air Quality, Climate Change and Energy</w:t>
            </w:r>
            <w:r w:rsidR="00355203" w:rsidRPr="007C4D65">
              <w:rPr>
                <w:webHidden/>
              </w:rPr>
              <w:tab/>
            </w:r>
            <w:r w:rsidR="00355203" w:rsidRPr="007C4D65">
              <w:rPr>
                <w:webHidden/>
              </w:rPr>
              <w:fldChar w:fldCharType="begin"/>
            </w:r>
            <w:r w:rsidR="00355203" w:rsidRPr="007C4D65">
              <w:rPr>
                <w:webHidden/>
              </w:rPr>
              <w:instrText xml:space="preserve"> PAGEREF _Toc117445379 \h </w:instrText>
            </w:r>
            <w:r w:rsidR="00355203" w:rsidRPr="007C4D65">
              <w:rPr>
                <w:webHidden/>
              </w:rPr>
            </w:r>
            <w:r w:rsidR="00355203" w:rsidRPr="007C4D65">
              <w:rPr>
                <w:webHidden/>
              </w:rPr>
              <w:fldChar w:fldCharType="separate"/>
            </w:r>
            <w:r w:rsidR="00355203" w:rsidRPr="007C4D65">
              <w:rPr>
                <w:webHidden/>
              </w:rPr>
              <w:t>268</w:t>
            </w:r>
            <w:r w:rsidR="00355203" w:rsidRPr="007C4D65">
              <w:rPr>
                <w:webHidden/>
              </w:rPr>
              <w:fldChar w:fldCharType="end"/>
            </w:r>
          </w:hyperlink>
        </w:p>
        <w:p w14:paraId="291835A6" w14:textId="13DF8C63" w:rsidR="00355203" w:rsidRPr="007C4D65" w:rsidRDefault="00000000">
          <w:pPr>
            <w:pStyle w:val="TOC2"/>
            <w:rPr>
              <w:rFonts w:eastAsiaTheme="minorEastAsia" w:cstheme="minorBidi"/>
              <w:sz w:val="22"/>
              <w:szCs w:val="22"/>
              <w:lang w:val="bs-Latn-BA" w:eastAsia="bs-Latn-BA"/>
            </w:rPr>
          </w:pPr>
          <w:hyperlink w:anchor="_Toc117445380" w:history="1">
            <w:r w:rsidR="00355203" w:rsidRPr="007C4D65">
              <w:rPr>
                <w:rStyle w:val="Hyperlink"/>
              </w:rPr>
              <w:t>13.5. Annex 5 A detailed overview of measures for Chemical Safety and Noise</w:t>
            </w:r>
            <w:r w:rsidR="00355203" w:rsidRPr="007C4D65">
              <w:rPr>
                <w:webHidden/>
              </w:rPr>
              <w:tab/>
            </w:r>
            <w:r w:rsidR="00355203" w:rsidRPr="007C4D65">
              <w:rPr>
                <w:webHidden/>
              </w:rPr>
              <w:fldChar w:fldCharType="begin"/>
            </w:r>
            <w:r w:rsidR="00355203" w:rsidRPr="007C4D65">
              <w:rPr>
                <w:webHidden/>
              </w:rPr>
              <w:instrText xml:space="preserve"> PAGEREF _Toc117445380 \h </w:instrText>
            </w:r>
            <w:r w:rsidR="00355203" w:rsidRPr="007C4D65">
              <w:rPr>
                <w:webHidden/>
              </w:rPr>
            </w:r>
            <w:r w:rsidR="00355203" w:rsidRPr="007C4D65">
              <w:rPr>
                <w:webHidden/>
              </w:rPr>
              <w:fldChar w:fldCharType="separate"/>
            </w:r>
            <w:r w:rsidR="00355203" w:rsidRPr="007C4D65">
              <w:rPr>
                <w:webHidden/>
              </w:rPr>
              <w:t>293</w:t>
            </w:r>
            <w:r w:rsidR="00355203" w:rsidRPr="007C4D65">
              <w:rPr>
                <w:webHidden/>
              </w:rPr>
              <w:fldChar w:fldCharType="end"/>
            </w:r>
          </w:hyperlink>
        </w:p>
        <w:p w14:paraId="20CEF3E1" w14:textId="2698C2F7" w:rsidR="00355203" w:rsidRPr="007C4D65" w:rsidRDefault="00000000">
          <w:pPr>
            <w:pStyle w:val="TOC2"/>
            <w:rPr>
              <w:rFonts w:eastAsiaTheme="minorEastAsia" w:cstheme="minorBidi"/>
              <w:sz w:val="22"/>
              <w:szCs w:val="22"/>
              <w:lang w:val="bs-Latn-BA" w:eastAsia="bs-Latn-BA"/>
            </w:rPr>
          </w:pPr>
          <w:hyperlink w:anchor="_Toc117445381" w:history="1">
            <w:r w:rsidR="00355203" w:rsidRPr="007C4D65">
              <w:rPr>
                <w:rStyle w:val="Hyperlink"/>
              </w:rPr>
              <w:t>13.6. Annex 6  A detailed overview of measures for Sustainable resource management</w:t>
            </w:r>
            <w:r w:rsidR="00355203" w:rsidRPr="007C4D65">
              <w:rPr>
                <w:webHidden/>
              </w:rPr>
              <w:tab/>
            </w:r>
            <w:r w:rsidR="00355203" w:rsidRPr="007C4D65">
              <w:rPr>
                <w:webHidden/>
              </w:rPr>
              <w:fldChar w:fldCharType="begin"/>
            </w:r>
            <w:r w:rsidR="00355203" w:rsidRPr="007C4D65">
              <w:rPr>
                <w:webHidden/>
              </w:rPr>
              <w:instrText xml:space="preserve"> PAGEREF _Toc117445381 \h </w:instrText>
            </w:r>
            <w:r w:rsidR="00355203" w:rsidRPr="007C4D65">
              <w:rPr>
                <w:webHidden/>
              </w:rPr>
            </w:r>
            <w:r w:rsidR="00355203" w:rsidRPr="007C4D65">
              <w:rPr>
                <w:webHidden/>
              </w:rPr>
              <w:fldChar w:fldCharType="separate"/>
            </w:r>
            <w:r w:rsidR="00355203" w:rsidRPr="007C4D65">
              <w:rPr>
                <w:webHidden/>
              </w:rPr>
              <w:t>320</w:t>
            </w:r>
            <w:r w:rsidR="00355203" w:rsidRPr="007C4D65">
              <w:rPr>
                <w:webHidden/>
              </w:rPr>
              <w:fldChar w:fldCharType="end"/>
            </w:r>
          </w:hyperlink>
        </w:p>
        <w:p w14:paraId="3E6EB8A9" w14:textId="670217FD" w:rsidR="00355203" w:rsidRPr="007C4D65" w:rsidRDefault="00000000">
          <w:pPr>
            <w:pStyle w:val="TOC2"/>
            <w:rPr>
              <w:rFonts w:eastAsiaTheme="minorEastAsia" w:cstheme="minorBidi"/>
              <w:sz w:val="22"/>
              <w:szCs w:val="22"/>
              <w:lang w:val="bs-Latn-BA" w:eastAsia="bs-Latn-BA"/>
            </w:rPr>
          </w:pPr>
          <w:hyperlink w:anchor="_Toc117445382" w:history="1">
            <w:r w:rsidR="00355203" w:rsidRPr="007C4D65">
              <w:rPr>
                <w:rStyle w:val="Hyperlink"/>
              </w:rPr>
              <w:t>13.7. Annex 7 A detailed overview of measures in Environmental Management</w:t>
            </w:r>
            <w:r w:rsidR="00355203" w:rsidRPr="007C4D65">
              <w:rPr>
                <w:webHidden/>
              </w:rPr>
              <w:tab/>
            </w:r>
            <w:r w:rsidR="00355203" w:rsidRPr="007C4D65">
              <w:rPr>
                <w:webHidden/>
              </w:rPr>
              <w:fldChar w:fldCharType="begin"/>
            </w:r>
            <w:r w:rsidR="00355203" w:rsidRPr="007C4D65">
              <w:rPr>
                <w:webHidden/>
              </w:rPr>
              <w:instrText xml:space="preserve"> PAGEREF _Toc117445382 \h </w:instrText>
            </w:r>
            <w:r w:rsidR="00355203" w:rsidRPr="007C4D65">
              <w:rPr>
                <w:webHidden/>
              </w:rPr>
            </w:r>
            <w:r w:rsidR="00355203" w:rsidRPr="007C4D65">
              <w:rPr>
                <w:webHidden/>
              </w:rPr>
              <w:fldChar w:fldCharType="separate"/>
            </w:r>
            <w:r w:rsidR="00355203" w:rsidRPr="007C4D65">
              <w:rPr>
                <w:webHidden/>
              </w:rPr>
              <w:t>347</w:t>
            </w:r>
            <w:r w:rsidR="00355203" w:rsidRPr="007C4D65">
              <w:rPr>
                <w:webHidden/>
              </w:rPr>
              <w:fldChar w:fldCharType="end"/>
            </w:r>
          </w:hyperlink>
        </w:p>
        <w:p w14:paraId="38AEEE88" w14:textId="172F8A86" w:rsidR="00355203" w:rsidRPr="007C4D65" w:rsidRDefault="00000000">
          <w:pPr>
            <w:pStyle w:val="TOC2"/>
            <w:rPr>
              <w:rFonts w:eastAsiaTheme="minorEastAsia" w:cstheme="minorBidi"/>
              <w:sz w:val="22"/>
              <w:szCs w:val="22"/>
              <w:lang w:val="bs-Latn-BA" w:eastAsia="bs-Latn-BA"/>
            </w:rPr>
          </w:pPr>
          <w:hyperlink w:anchor="_Toc117445383" w:history="1">
            <w:r w:rsidR="00355203" w:rsidRPr="007C4D65">
              <w:rPr>
                <w:rStyle w:val="Hyperlink"/>
              </w:rPr>
              <w:t>13.8</w:t>
            </w:r>
            <w:r w:rsidR="00355203" w:rsidRPr="007C4D65">
              <w:rPr>
                <w:rFonts w:eastAsiaTheme="minorEastAsia" w:cstheme="minorBidi"/>
                <w:sz w:val="22"/>
                <w:szCs w:val="22"/>
                <w:lang w:val="bs-Latn-BA" w:eastAsia="bs-Latn-BA"/>
              </w:rPr>
              <w:tab/>
            </w:r>
            <w:r w:rsidR="00355203" w:rsidRPr="007C4D65">
              <w:rPr>
                <w:rStyle w:val="Hyperlink"/>
              </w:rPr>
              <w:t>Annex 8 Summary of the Strategy</w:t>
            </w:r>
            <w:r w:rsidR="00355203" w:rsidRPr="007C4D65">
              <w:rPr>
                <w:webHidden/>
              </w:rPr>
              <w:tab/>
            </w:r>
            <w:r w:rsidR="00355203" w:rsidRPr="007C4D65">
              <w:rPr>
                <w:webHidden/>
              </w:rPr>
              <w:fldChar w:fldCharType="begin"/>
            </w:r>
            <w:r w:rsidR="00355203" w:rsidRPr="007C4D65">
              <w:rPr>
                <w:webHidden/>
              </w:rPr>
              <w:instrText xml:space="preserve"> PAGEREF _Toc117445383 \h </w:instrText>
            </w:r>
            <w:r w:rsidR="00355203" w:rsidRPr="007C4D65">
              <w:rPr>
                <w:webHidden/>
              </w:rPr>
            </w:r>
            <w:r w:rsidR="00355203" w:rsidRPr="007C4D65">
              <w:rPr>
                <w:webHidden/>
              </w:rPr>
              <w:fldChar w:fldCharType="separate"/>
            </w:r>
            <w:r w:rsidR="00355203" w:rsidRPr="007C4D65">
              <w:rPr>
                <w:webHidden/>
              </w:rPr>
              <w:t>414</w:t>
            </w:r>
            <w:r w:rsidR="00355203" w:rsidRPr="007C4D65">
              <w:rPr>
                <w:webHidden/>
              </w:rPr>
              <w:fldChar w:fldCharType="end"/>
            </w:r>
          </w:hyperlink>
        </w:p>
        <w:p w14:paraId="2A01A7A8" w14:textId="0DF1087F" w:rsidR="00355203" w:rsidRPr="007C4D65" w:rsidRDefault="00000000">
          <w:pPr>
            <w:pStyle w:val="TOC3"/>
            <w:rPr>
              <w:rFonts w:eastAsiaTheme="minorEastAsia" w:cstheme="minorBidi"/>
              <w:lang w:val="bs-Latn-BA" w:eastAsia="bs-Latn-BA"/>
            </w:rPr>
          </w:pPr>
          <w:hyperlink w:anchor="_Toc117445384" w:history="1">
            <w:r w:rsidR="00355203" w:rsidRPr="007C4D65">
              <w:rPr>
                <w:rStyle w:val="Hyperlink"/>
              </w:rPr>
              <w:t>13.8.1. Water Management</w:t>
            </w:r>
            <w:r w:rsidR="00355203" w:rsidRPr="007C4D65">
              <w:rPr>
                <w:webHidden/>
              </w:rPr>
              <w:tab/>
            </w:r>
            <w:r w:rsidR="00355203" w:rsidRPr="007C4D65">
              <w:rPr>
                <w:webHidden/>
              </w:rPr>
              <w:fldChar w:fldCharType="begin"/>
            </w:r>
            <w:r w:rsidR="00355203" w:rsidRPr="007C4D65">
              <w:rPr>
                <w:webHidden/>
              </w:rPr>
              <w:instrText xml:space="preserve"> PAGEREF _Toc117445384 \h </w:instrText>
            </w:r>
            <w:r w:rsidR="00355203" w:rsidRPr="007C4D65">
              <w:rPr>
                <w:webHidden/>
              </w:rPr>
            </w:r>
            <w:r w:rsidR="00355203" w:rsidRPr="007C4D65">
              <w:rPr>
                <w:webHidden/>
              </w:rPr>
              <w:fldChar w:fldCharType="separate"/>
            </w:r>
            <w:r w:rsidR="00355203" w:rsidRPr="007C4D65">
              <w:rPr>
                <w:webHidden/>
              </w:rPr>
              <w:t>414</w:t>
            </w:r>
            <w:r w:rsidR="00355203" w:rsidRPr="007C4D65">
              <w:rPr>
                <w:webHidden/>
              </w:rPr>
              <w:fldChar w:fldCharType="end"/>
            </w:r>
          </w:hyperlink>
        </w:p>
        <w:p w14:paraId="1C89A01D" w14:textId="735ECB91" w:rsidR="00355203" w:rsidRPr="007C4D65" w:rsidRDefault="00000000">
          <w:pPr>
            <w:pStyle w:val="TOC3"/>
            <w:rPr>
              <w:rFonts w:eastAsiaTheme="minorEastAsia" w:cstheme="minorBidi"/>
              <w:lang w:val="bs-Latn-BA" w:eastAsia="bs-Latn-BA"/>
            </w:rPr>
          </w:pPr>
          <w:hyperlink w:anchor="_Toc117445385" w:history="1">
            <w:r w:rsidR="00355203" w:rsidRPr="007C4D65">
              <w:rPr>
                <w:rStyle w:val="Hyperlink"/>
              </w:rPr>
              <w:t>13.8.2. Waste management</w:t>
            </w:r>
            <w:r w:rsidR="00355203" w:rsidRPr="007C4D65">
              <w:rPr>
                <w:webHidden/>
              </w:rPr>
              <w:tab/>
            </w:r>
            <w:r w:rsidR="00355203" w:rsidRPr="007C4D65">
              <w:rPr>
                <w:webHidden/>
              </w:rPr>
              <w:fldChar w:fldCharType="begin"/>
            </w:r>
            <w:r w:rsidR="00355203" w:rsidRPr="007C4D65">
              <w:rPr>
                <w:webHidden/>
              </w:rPr>
              <w:instrText xml:space="preserve"> PAGEREF _Toc117445385 \h </w:instrText>
            </w:r>
            <w:r w:rsidR="00355203" w:rsidRPr="007C4D65">
              <w:rPr>
                <w:webHidden/>
              </w:rPr>
            </w:r>
            <w:r w:rsidR="00355203" w:rsidRPr="007C4D65">
              <w:rPr>
                <w:webHidden/>
              </w:rPr>
              <w:fldChar w:fldCharType="separate"/>
            </w:r>
            <w:r w:rsidR="00355203" w:rsidRPr="007C4D65">
              <w:rPr>
                <w:webHidden/>
              </w:rPr>
              <w:t>434</w:t>
            </w:r>
            <w:r w:rsidR="00355203" w:rsidRPr="007C4D65">
              <w:rPr>
                <w:webHidden/>
              </w:rPr>
              <w:fldChar w:fldCharType="end"/>
            </w:r>
          </w:hyperlink>
        </w:p>
        <w:p w14:paraId="66D04855" w14:textId="636C5527" w:rsidR="00355203" w:rsidRPr="007C4D65" w:rsidRDefault="00000000">
          <w:pPr>
            <w:pStyle w:val="TOC3"/>
            <w:rPr>
              <w:rFonts w:eastAsiaTheme="minorEastAsia" w:cstheme="minorBidi"/>
              <w:lang w:val="bs-Latn-BA" w:eastAsia="bs-Latn-BA"/>
            </w:rPr>
          </w:pPr>
          <w:hyperlink w:anchor="_Toc117445386" w:history="1">
            <w:r w:rsidR="00355203" w:rsidRPr="007C4D65">
              <w:rPr>
                <w:rStyle w:val="Hyperlink"/>
              </w:rPr>
              <w:t>13.8.3. Biodiversity and nature conservation</w:t>
            </w:r>
            <w:r w:rsidR="00355203" w:rsidRPr="007C4D65">
              <w:rPr>
                <w:webHidden/>
              </w:rPr>
              <w:tab/>
            </w:r>
            <w:r w:rsidR="00355203" w:rsidRPr="007C4D65">
              <w:rPr>
                <w:webHidden/>
              </w:rPr>
              <w:fldChar w:fldCharType="begin"/>
            </w:r>
            <w:r w:rsidR="00355203" w:rsidRPr="007C4D65">
              <w:rPr>
                <w:webHidden/>
              </w:rPr>
              <w:instrText xml:space="preserve"> PAGEREF _Toc117445386 \h </w:instrText>
            </w:r>
            <w:r w:rsidR="00355203" w:rsidRPr="007C4D65">
              <w:rPr>
                <w:webHidden/>
              </w:rPr>
            </w:r>
            <w:r w:rsidR="00355203" w:rsidRPr="007C4D65">
              <w:rPr>
                <w:webHidden/>
              </w:rPr>
              <w:fldChar w:fldCharType="separate"/>
            </w:r>
            <w:r w:rsidR="00355203" w:rsidRPr="007C4D65">
              <w:rPr>
                <w:webHidden/>
              </w:rPr>
              <w:t>444</w:t>
            </w:r>
            <w:r w:rsidR="00355203" w:rsidRPr="007C4D65">
              <w:rPr>
                <w:webHidden/>
              </w:rPr>
              <w:fldChar w:fldCharType="end"/>
            </w:r>
          </w:hyperlink>
        </w:p>
        <w:p w14:paraId="5F73CFE0" w14:textId="0B91D5CA" w:rsidR="00355203" w:rsidRPr="007C4D65" w:rsidRDefault="00000000">
          <w:pPr>
            <w:pStyle w:val="TOC3"/>
            <w:rPr>
              <w:rFonts w:eastAsiaTheme="minorEastAsia" w:cstheme="minorBidi"/>
              <w:lang w:val="bs-Latn-BA" w:eastAsia="bs-Latn-BA"/>
            </w:rPr>
          </w:pPr>
          <w:hyperlink w:anchor="_Toc117445387" w:history="1">
            <w:r w:rsidR="00355203" w:rsidRPr="007C4D65">
              <w:rPr>
                <w:rStyle w:val="Hyperlink"/>
              </w:rPr>
              <w:t>13.8.4. Air quality, climate and energy</w:t>
            </w:r>
            <w:r w:rsidR="00355203" w:rsidRPr="007C4D65">
              <w:rPr>
                <w:webHidden/>
              </w:rPr>
              <w:tab/>
            </w:r>
            <w:r w:rsidR="00355203" w:rsidRPr="007C4D65">
              <w:rPr>
                <w:webHidden/>
              </w:rPr>
              <w:fldChar w:fldCharType="begin"/>
            </w:r>
            <w:r w:rsidR="00355203" w:rsidRPr="007C4D65">
              <w:rPr>
                <w:webHidden/>
              </w:rPr>
              <w:instrText xml:space="preserve"> PAGEREF _Toc117445387 \h </w:instrText>
            </w:r>
            <w:r w:rsidR="00355203" w:rsidRPr="007C4D65">
              <w:rPr>
                <w:webHidden/>
              </w:rPr>
            </w:r>
            <w:r w:rsidR="00355203" w:rsidRPr="007C4D65">
              <w:rPr>
                <w:webHidden/>
              </w:rPr>
              <w:fldChar w:fldCharType="separate"/>
            </w:r>
            <w:r w:rsidR="00355203" w:rsidRPr="007C4D65">
              <w:rPr>
                <w:webHidden/>
              </w:rPr>
              <w:t>454</w:t>
            </w:r>
            <w:r w:rsidR="00355203" w:rsidRPr="007C4D65">
              <w:rPr>
                <w:webHidden/>
              </w:rPr>
              <w:fldChar w:fldCharType="end"/>
            </w:r>
          </w:hyperlink>
        </w:p>
        <w:p w14:paraId="78FAACE6" w14:textId="7FF5601D" w:rsidR="00355203" w:rsidRPr="007C4D65" w:rsidRDefault="00000000">
          <w:pPr>
            <w:pStyle w:val="TOC3"/>
            <w:rPr>
              <w:rFonts w:eastAsiaTheme="minorEastAsia" w:cstheme="minorBidi"/>
              <w:lang w:val="bs-Latn-BA" w:eastAsia="bs-Latn-BA"/>
            </w:rPr>
          </w:pPr>
          <w:hyperlink w:anchor="_Toc117445388" w:history="1">
            <w:r w:rsidR="00355203" w:rsidRPr="007C4D65">
              <w:rPr>
                <w:rStyle w:val="Hyperlink"/>
              </w:rPr>
              <w:t>13.8.5. Chemicals safety and noise</w:t>
            </w:r>
            <w:r w:rsidR="00355203" w:rsidRPr="007C4D65">
              <w:rPr>
                <w:webHidden/>
              </w:rPr>
              <w:tab/>
            </w:r>
            <w:r w:rsidR="00355203" w:rsidRPr="007C4D65">
              <w:rPr>
                <w:webHidden/>
              </w:rPr>
              <w:fldChar w:fldCharType="begin"/>
            </w:r>
            <w:r w:rsidR="00355203" w:rsidRPr="007C4D65">
              <w:rPr>
                <w:webHidden/>
              </w:rPr>
              <w:instrText xml:space="preserve"> PAGEREF _Toc117445388 \h </w:instrText>
            </w:r>
            <w:r w:rsidR="00355203" w:rsidRPr="007C4D65">
              <w:rPr>
                <w:webHidden/>
              </w:rPr>
            </w:r>
            <w:r w:rsidR="00355203" w:rsidRPr="007C4D65">
              <w:rPr>
                <w:webHidden/>
              </w:rPr>
              <w:fldChar w:fldCharType="separate"/>
            </w:r>
            <w:r w:rsidR="00355203" w:rsidRPr="007C4D65">
              <w:rPr>
                <w:webHidden/>
              </w:rPr>
              <w:t>467</w:t>
            </w:r>
            <w:r w:rsidR="00355203" w:rsidRPr="007C4D65">
              <w:rPr>
                <w:webHidden/>
              </w:rPr>
              <w:fldChar w:fldCharType="end"/>
            </w:r>
          </w:hyperlink>
        </w:p>
        <w:p w14:paraId="43C7DC4E" w14:textId="643A864C" w:rsidR="00355203" w:rsidRPr="007C4D65" w:rsidRDefault="00000000">
          <w:pPr>
            <w:pStyle w:val="TOC3"/>
            <w:rPr>
              <w:rFonts w:eastAsiaTheme="minorEastAsia" w:cstheme="minorBidi"/>
              <w:lang w:val="bs-Latn-BA" w:eastAsia="bs-Latn-BA"/>
            </w:rPr>
          </w:pPr>
          <w:hyperlink w:anchor="_Toc117445389" w:history="1">
            <w:r w:rsidR="00355203" w:rsidRPr="007C4D65">
              <w:rPr>
                <w:rStyle w:val="Hyperlink"/>
              </w:rPr>
              <w:t>13.8.6. Sustainable resource management</w:t>
            </w:r>
            <w:r w:rsidR="00355203" w:rsidRPr="007C4D65">
              <w:rPr>
                <w:webHidden/>
              </w:rPr>
              <w:tab/>
            </w:r>
            <w:r w:rsidR="00355203" w:rsidRPr="007C4D65">
              <w:rPr>
                <w:webHidden/>
              </w:rPr>
              <w:fldChar w:fldCharType="begin"/>
            </w:r>
            <w:r w:rsidR="00355203" w:rsidRPr="007C4D65">
              <w:rPr>
                <w:webHidden/>
              </w:rPr>
              <w:instrText xml:space="preserve"> PAGEREF _Toc117445389 \h </w:instrText>
            </w:r>
            <w:r w:rsidR="00355203" w:rsidRPr="007C4D65">
              <w:rPr>
                <w:webHidden/>
              </w:rPr>
            </w:r>
            <w:r w:rsidR="00355203" w:rsidRPr="007C4D65">
              <w:rPr>
                <w:webHidden/>
              </w:rPr>
              <w:fldChar w:fldCharType="separate"/>
            </w:r>
            <w:r w:rsidR="00355203" w:rsidRPr="007C4D65">
              <w:rPr>
                <w:webHidden/>
              </w:rPr>
              <w:t>485</w:t>
            </w:r>
            <w:r w:rsidR="00355203" w:rsidRPr="007C4D65">
              <w:rPr>
                <w:webHidden/>
              </w:rPr>
              <w:fldChar w:fldCharType="end"/>
            </w:r>
          </w:hyperlink>
        </w:p>
        <w:p w14:paraId="655B73C6" w14:textId="658D3F05" w:rsidR="00355203" w:rsidRPr="007C4D65" w:rsidRDefault="00000000">
          <w:pPr>
            <w:pStyle w:val="TOC3"/>
            <w:rPr>
              <w:rFonts w:eastAsiaTheme="minorEastAsia" w:cstheme="minorBidi"/>
              <w:lang w:val="bs-Latn-BA" w:eastAsia="bs-Latn-BA"/>
            </w:rPr>
          </w:pPr>
          <w:hyperlink w:anchor="_Toc117445390" w:history="1">
            <w:r w:rsidR="00355203" w:rsidRPr="007C4D65">
              <w:rPr>
                <w:rStyle w:val="Hyperlink"/>
              </w:rPr>
              <w:t>13.8.7. Environmental management</w:t>
            </w:r>
            <w:r w:rsidR="00355203" w:rsidRPr="007C4D65">
              <w:rPr>
                <w:webHidden/>
              </w:rPr>
              <w:tab/>
            </w:r>
            <w:r w:rsidR="00355203" w:rsidRPr="007C4D65">
              <w:rPr>
                <w:webHidden/>
              </w:rPr>
              <w:fldChar w:fldCharType="begin"/>
            </w:r>
            <w:r w:rsidR="00355203" w:rsidRPr="007C4D65">
              <w:rPr>
                <w:webHidden/>
              </w:rPr>
              <w:instrText xml:space="preserve"> PAGEREF _Toc117445390 \h </w:instrText>
            </w:r>
            <w:r w:rsidR="00355203" w:rsidRPr="007C4D65">
              <w:rPr>
                <w:webHidden/>
              </w:rPr>
            </w:r>
            <w:r w:rsidR="00355203" w:rsidRPr="007C4D65">
              <w:rPr>
                <w:webHidden/>
              </w:rPr>
              <w:fldChar w:fldCharType="separate"/>
            </w:r>
            <w:r w:rsidR="00355203" w:rsidRPr="007C4D65">
              <w:rPr>
                <w:webHidden/>
              </w:rPr>
              <w:t>500</w:t>
            </w:r>
            <w:r w:rsidR="00355203" w:rsidRPr="007C4D65">
              <w:rPr>
                <w:webHidden/>
              </w:rPr>
              <w:fldChar w:fldCharType="end"/>
            </w:r>
          </w:hyperlink>
        </w:p>
        <w:p w14:paraId="0075722A" w14:textId="494A89DD" w:rsidR="00355203" w:rsidRPr="007C4D65" w:rsidRDefault="00000000">
          <w:pPr>
            <w:pStyle w:val="TOC2"/>
            <w:rPr>
              <w:rFonts w:eastAsiaTheme="minorEastAsia" w:cstheme="minorBidi"/>
              <w:sz w:val="22"/>
              <w:szCs w:val="22"/>
              <w:lang w:val="bs-Latn-BA" w:eastAsia="bs-Latn-BA"/>
            </w:rPr>
          </w:pPr>
          <w:hyperlink w:anchor="_Toc117445391" w:history="1">
            <w:r w:rsidR="00355203" w:rsidRPr="007C4D65">
              <w:rPr>
                <w:rStyle w:val="Hyperlink"/>
              </w:rPr>
              <w:t>13.9. Annex 9 Indicative financial framework</w:t>
            </w:r>
            <w:r w:rsidR="00355203" w:rsidRPr="007C4D65">
              <w:rPr>
                <w:webHidden/>
              </w:rPr>
              <w:tab/>
            </w:r>
            <w:r w:rsidR="00355203" w:rsidRPr="007C4D65">
              <w:rPr>
                <w:webHidden/>
              </w:rPr>
              <w:fldChar w:fldCharType="begin"/>
            </w:r>
            <w:r w:rsidR="00355203" w:rsidRPr="007C4D65">
              <w:rPr>
                <w:webHidden/>
              </w:rPr>
              <w:instrText xml:space="preserve"> PAGEREF _Toc117445391 \h </w:instrText>
            </w:r>
            <w:r w:rsidR="00355203" w:rsidRPr="007C4D65">
              <w:rPr>
                <w:webHidden/>
              </w:rPr>
            </w:r>
            <w:r w:rsidR="00355203" w:rsidRPr="007C4D65">
              <w:rPr>
                <w:webHidden/>
              </w:rPr>
              <w:fldChar w:fldCharType="separate"/>
            </w:r>
            <w:r w:rsidR="00355203" w:rsidRPr="007C4D65">
              <w:rPr>
                <w:webHidden/>
              </w:rPr>
              <w:t>531</w:t>
            </w:r>
            <w:r w:rsidR="00355203" w:rsidRPr="007C4D65">
              <w:rPr>
                <w:webHidden/>
              </w:rPr>
              <w:fldChar w:fldCharType="end"/>
            </w:r>
          </w:hyperlink>
        </w:p>
        <w:p w14:paraId="1D6599D0" w14:textId="34A952B5" w:rsidR="00D63420" w:rsidRPr="007C4D65" w:rsidRDefault="00D63420" w:rsidP="0068355A">
          <w:pPr>
            <w:rPr>
              <w:rFonts w:asciiTheme="minorHAnsi" w:hAnsiTheme="minorHAnsi" w:cstheme="minorHAnsi"/>
              <w:sz w:val="18"/>
            </w:rPr>
          </w:pPr>
          <w:r w:rsidRPr="007C4D65">
            <w:rPr>
              <w:rFonts w:asciiTheme="minorHAnsi" w:hAnsiTheme="minorHAnsi" w:cstheme="minorHAnsi"/>
              <w:b/>
              <w:sz w:val="18"/>
            </w:rPr>
            <w:fldChar w:fldCharType="end"/>
          </w:r>
        </w:p>
      </w:sdtContent>
    </w:sdt>
    <w:p w14:paraId="5DCA729D" w14:textId="77777777" w:rsidR="00BF1288" w:rsidRPr="007C4D65" w:rsidRDefault="00BF1288" w:rsidP="0068355A">
      <w:pPr>
        <w:spacing w:line="276" w:lineRule="auto"/>
        <w:jc w:val="center"/>
        <w:rPr>
          <w:rFonts w:asciiTheme="minorHAnsi" w:hAnsiTheme="minorHAnsi" w:cstheme="minorHAnsi"/>
          <w:color w:val="808080"/>
          <w:sz w:val="18"/>
          <w:szCs w:val="18"/>
        </w:rPr>
      </w:pPr>
    </w:p>
    <w:p w14:paraId="3A9BD7C3" w14:textId="77777777" w:rsidR="00E61D50" w:rsidRPr="007C4D65" w:rsidRDefault="00E61D50" w:rsidP="0068355A">
      <w:pPr>
        <w:spacing w:line="276" w:lineRule="auto"/>
        <w:rPr>
          <w:rFonts w:asciiTheme="minorHAnsi" w:hAnsiTheme="minorHAnsi" w:cstheme="minorHAnsi"/>
          <w:b/>
          <w:color w:val="808080"/>
          <w:sz w:val="18"/>
          <w:szCs w:val="18"/>
        </w:rPr>
        <w:sectPr w:rsidR="00E61D50" w:rsidRPr="007C4D65" w:rsidSect="002524A5">
          <w:footerReference w:type="default" r:id="rId11"/>
          <w:pgSz w:w="11906" w:h="16838"/>
          <w:pgMar w:top="1440" w:right="1440" w:bottom="1440" w:left="1440" w:header="708" w:footer="708" w:gutter="0"/>
          <w:cols w:space="708"/>
          <w:docGrid w:linePitch="360"/>
        </w:sectPr>
      </w:pPr>
    </w:p>
    <w:p w14:paraId="07B12ECE" w14:textId="77777777" w:rsidR="00E61D50" w:rsidRPr="007C4D65" w:rsidRDefault="005B21C8" w:rsidP="0068355A">
      <w:pPr>
        <w:spacing w:line="276" w:lineRule="auto"/>
        <w:rPr>
          <w:rFonts w:asciiTheme="minorHAnsi" w:hAnsiTheme="minorHAnsi" w:cstheme="minorHAnsi"/>
          <w:b/>
          <w:color w:val="808080"/>
          <w:sz w:val="32"/>
          <w:szCs w:val="32"/>
        </w:rPr>
      </w:pPr>
      <w:r w:rsidRPr="007C4D65">
        <w:rPr>
          <w:rFonts w:asciiTheme="minorHAnsi" w:hAnsiTheme="minorHAnsi" w:cstheme="minorHAnsi"/>
          <w:b/>
          <w:color w:val="808080"/>
          <w:sz w:val="32"/>
        </w:rPr>
        <w:lastRenderedPageBreak/>
        <w:t xml:space="preserve">Abbreviations and Acronyms </w:t>
      </w:r>
    </w:p>
    <w:p w14:paraId="335D5BF2" w14:textId="77777777" w:rsidR="001F77A8" w:rsidRPr="007C4D65" w:rsidRDefault="001F77A8" w:rsidP="0068355A">
      <w:pPr>
        <w:spacing w:line="276" w:lineRule="auto"/>
        <w:rPr>
          <w:rFonts w:asciiTheme="minorHAnsi" w:hAnsiTheme="minorHAnsi" w:cstheme="minorHAnsi"/>
          <w:i/>
          <w:sz w:val="22"/>
          <w:szCs w:val="22"/>
        </w:rPr>
      </w:pPr>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9"/>
        <w:gridCol w:w="7400"/>
      </w:tblGrid>
      <w:tr w:rsidR="000F35FA" w:rsidRPr="007C4D65" w14:paraId="12F3968B" w14:textId="77777777" w:rsidTr="00E14E3A">
        <w:tc>
          <w:tcPr>
            <w:tcW w:w="1809" w:type="dxa"/>
            <w:vAlign w:val="center"/>
          </w:tcPr>
          <w:p w14:paraId="053B24E4"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AFAs</w:t>
            </w:r>
          </w:p>
        </w:tc>
        <w:tc>
          <w:tcPr>
            <w:tcW w:w="7400" w:type="dxa"/>
            <w:vAlign w:val="center"/>
            <w:hideMark/>
          </w:tcPr>
          <w:p w14:paraId="4902FEBE"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Area for Further Assessment</w:t>
            </w:r>
          </w:p>
        </w:tc>
      </w:tr>
      <w:tr w:rsidR="000F35FA" w:rsidRPr="007C4D65" w14:paraId="784529A1" w14:textId="77777777" w:rsidTr="00E14E3A">
        <w:tc>
          <w:tcPr>
            <w:tcW w:w="1809" w:type="dxa"/>
            <w:vAlign w:val="center"/>
          </w:tcPr>
          <w:p w14:paraId="25E30BF8"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APID</w:t>
            </w:r>
          </w:p>
        </w:tc>
        <w:tc>
          <w:tcPr>
            <w:tcW w:w="7400" w:type="dxa"/>
            <w:vAlign w:val="center"/>
            <w:hideMark/>
          </w:tcPr>
          <w:p w14:paraId="124EE8C9"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Action Plans for the Implementation of Directive</w:t>
            </w:r>
          </w:p>
        </w:tc>
      </w:tr>
      <w:tr w:rsidR="000F35FA" w:rsidRPr="007C4D65" w14:paraId="111E410B" w14:textId="77777777" w:rsidTr="00E14E3A">
        <w:tc>
          <w:tcPr>
            <w:tcW w:w="1809" w:type="dxa"/>
            <w:vAlign w:val="center"/>
          </w:tcPr>
          <w:p w14:paraId="105AF1B0"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ASWA</w:t>
            </w:r>
          </w:p>
        </w:tc>
        <w:tc>
          <w:tcPr>
            <w:tcW w:w="7400" w:type="dxa"/>
            <w:vAlign w:val="center"/>
            <w:hideMark/>
          </w:tcPr>
          <w:p w14:paraId="0BF6AB82" w14:textId="77777777" w:rsidR="000F35FA" w:rsidRPr="007C4D65" w:rsidRDefault="000F35FA" w:rsidP="0068355A">
            <w:pPr>
              <w:spacing w:line="276" w:lineRule="auto"/>
              <w:rPr>
                <w:rFonts w:asciiTheme="minorHAnsi" w:hAnsiTheme="minorHAnsi" w:cstheme="minorHAnsi"/>
                <w:iCs/>
                <w:sz w:val="18"/>
                <w:szCs w:val="18"/>
              </w:rPr>
            </w:pPr>
            <w:bookmarkStart w:id="1" w:name="_Hlk116886137"/>
            <w:r w:rsidRPr="007C4D65">
              <w:rPr>
                <w:rFonts w:asciiTheme="minorHAnsi" w:hAnsiTheme="minorHAnsi" w:cstheme="minorHAnsi"/>
                <w:iCs/>
                <w:sz w:val="18"/>
              </w:rPr>
              <w:t>Adriatic Sea Watershed Agency</w:t>
            </w:r>
            <w:bookmarkEnd w:id="1"/>
          </w:p>
        </w:tc>
      </w:tr>
      <w:tr w:rsidR="000F35FA" w:rsidRPr="007C4D65" w14:paraId="26746DDA" w14:textId="77777777" w:rsidTr="00E14E3A">
        <w:tc>
          <w:tcPr>
            <w:tcW w:w="1809" w:type="dxa"/>
            <w:vAlign w:val="center"/>
          </w:tcPr>
          <w:p w14:paraId="50B1F9EB"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BAT</w:t>
            </w:r>
          </w:p>
        </w:tc>
        <w:tc>
          <w:tcPr>
            <w:tcW w:w="7400" w:type="dxa"/>
            <w:vAlign w:val="center"/>
            <w:hideMark/>
          </w:tcPr>
          <w:p w14:paraId="56CD8BAE"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Best available techniques</w:t>
            </w:r>
          </w:p>
        </w:tc>
      </w:tr>
      <w:tr w:rsidR="000F35FA" w:rsidRPr="007C4D65" w14:paraId="04BC04B9" w14:textId="77777777" w:rsidTr="00E14E3A">
        <w:tc>
          <w:tcPr>
            <w:tcW w:w="1809" w:type="dxa"/>
            <w:vAlign w:val="center"/>
          </w:tcPr>
          <w:p w14:paraId="5BA6FD4A"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BiH</w:t>
            </w:r>
          </w:p>
        </w:tc>
        <w:tc>
          <w:tcPr>
            <w:tcW w:w="7400" w:type="dxa"/>
            <w:vAlign w:val="center"/>
            <w:hideMark/>
          </w:tcPr>
          <w:p w14:paraId="304FE975"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Bosnia and Herzegovina</w:t>
            </w:r>
          </w:p>
        </w:tc>
      </w:tr>
      <w:tr w:rsidR="000F35FA" w:rsidRPr="007C4D65" w14:paraId="0DAF293A" w14:textId="77777777" w:rsidTr="00E14E3A">
        <w:tc>
          <w:tcPr>
            <w:tcW w:w="1809" w:type="dxa"/>
            <w:vAlign w:val="center"/>
          </w:tcPr>
          <w:p w14:paraId="3C0DF12B"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Brcko District BiH</w:t>
            </w:r>
          </w:p>
        </w:tc>
        <w:tc>
          <w:tcPr>
            <w:tcW w:w="7400" w:type="dxa"/>
            <w:vAlign w:val="center"/>
            <w:hideMark/>
          </w:tcPr>
          <w:p w14:paraId="7DE9CECA"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Brcko District of Bosnia and Herzegovina</w:t>
            </w:r>
          </w:p>
        </w:tc>
      </w:tr>
      <w:tr w:rsidR="000F35FA" w:rsidRPr="007C4D65" w14:paraId="734F6452" w14:textId="77777777" w:rsidTr="00E14E3A">
        <w:tc>
          <w:tcPr>
            <w:tcW w:w="1809" w:type="dxa"/>
            <w:vAlign w:val="center"/>
          </w:tcPr>
          <w:p w14:paraId="13CD43B4"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BREF</w:t>
            </w:r>
          </w:p>
        </w:tc>
        <w:tc>
          <w:tcPr>
            <w:tcW w:w="7400" w:type="dxa"/>
            <w:vAlign w:val="center"/>
            <w:hideMark/>
          </w:tcPr>
          <w:p w14:paraId="44AB1B9E"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 xml:space="preserve">Best available techniques reference documents </w:t>
            </w:r>
          </w:p>
        </w:tc>
      </w:tr>
      <w:tr w:rsidR="000F35FA" w:rsidRPr="007C4D65" w14:paraId="6E7138A7" w14:textId="77777777" w:rsidTr="00E14E3A">
        <w:tc>
          <w:tcPr>
            <w:tcW w:w="1809" w:type="dxa"/>
            <w:vAlign w:val="center"/>
          </w:tcPr>
          <w:p w14:paraId="47C89B85"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CISV</w:t>
            </w:r>
          </w:p>
        </w:tc>
        <w:tc>
          <w:tcPr>
            <w:tcW w:w="7400" w:type="dxa"/>
            <w:vAlign w:val="center"/>
            <w:hideMark/>
          </w:tcPr>
          <w:p w14:paraId="76030F5C" w14:textId="74680342"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Central Water Information System of the Federation of BiH</w:t>
            </w:r>
          </w:p>
        </w:tc>
      </w:tr>
      <w:tr w:rsidR="000F35FA" w:rsidRPr="007C4D65" w14:paraId="1B6383A2" w14:textId="77777777" w:rsidTr="00E14E3A">
        <w:tc>
          <w:tcPr>
            <w:tcW w:w="1809" w:type="dxa"/>
            <w:vAlign w:val="center"/>
          </w:tcPr>
          <w:p w14:paraId="08973ECE" w14:textId="77777777" w:rsidR="000F35FA" w:rsidRPr="007C4D65" w:rsidRDefault="000F35FA" w:rsidP="0068355A">
            <w:pPr>
              <w:tabs>
                <w:tab w:val="left" w:pos="284"/>
              </w:tabs>
              <w:spacing w:after="255" w:line="276" w:lineRule="auto"/>
              <w:contextualSpacing/>
              <w:jc w:val="both"/>
              <w:rPr>
                <w:rFonts w:asciiTheme="minorHAnsi" w:eastAsia="Calibri" w:hAnsiTheme="minorHAnsi" w:cstheme="minorHAnsi"/>
                <w:b/>
                <w:bCs/>
                <w:sz w:val="18"/>
                <w:szCs w:val="18"/>
              </w:rPr>
            </w:pPr>
            <w:r w:rsidRPr="007C4D65">
              <w:rPr>
                <w:rFonts w:asciiTheme="minorHAnsi" w:hAnsiTheme="minorHAnsi" w:cstheme="minorHAnsi"/>
                <w:b/>
                <w:sz w:val="18"/>
              </w:rPr>
              <w:t>DEI BiH</w:t>
            </w:r>
          </w:p>
        </w:tc>
        <w:tc>
          <w:tcPr>
            <w:tcW w:w="7400" w:type="dxa"/>
            <w:vAlign w:val="center"/>
            <w:hideMark/>
          </w:tcPr>
          <w:p w14:paraId="2D511A1D" w14:textId="77777777" w:rsidR="000F35FA" w:rsidRPr="007C4D65" w:rsidRDefault="000F35FA" w:rsidP="0068355A">
            <w:pPr>
              <w:tabs>
                <w:tab w:val="left" w:pos="284"/>
              </w:tabs>
              <w:spacing w:after="255" w:line="276" w:lineRule="auto"/>
              <w:contextualSpacing/>
              <w:jc w:val="both"/>
              <w:rPr>
                <w:rFonts w:asciiTheme="minorHAnsi" w:eastAsia="Calibri" w:hAnsiTheme="minorHAnsi" w:cstheme="minorHAnsi"/>
                <w:iCs/>
                <w:sz w:val="18"/>
                <w:szCs w:val="18"/>
              </w:rPr>
            </w:pPr>
            <w:r w:rsidRPr="007C4D65">
              <w:rPr>
                <w:rFonts w:asciiTheme="minorHAnsi" w:hAnsiTheme="minorHAnsi" w:cstheme="minorHAnsi"/>
                <w:iCs/>
                <w:sz w:val="18"/>
              </w:rPr>
              <w:t>Directorate of European Integration of Bosnia and Herzegovina</w:t>
            </w:r>
          </w:p>
        </w:tc>
      </w:tr>
      <w:tr w:rsidR="000F35FA" w:rsidRPr="007C4D65" w14:paraId="116588DF" w14:textId="77777777" w:rsidTr="00E14E3A">
        <w:tc>
          <w:tcPr>
            <w:tcW w:w="1809" w:type="dxa"/>
            <w:vAlign w:val="center"/>
          </w:tcPr>
          <w:p w14:paraId="53BDA110"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DSIP</w:t>
            </w:r>
          </w:p>
        </w:tc>
        <w:tc>
          <w:tcPr>
            <w:tcW w:w="7400" w:type="dxa"/>
            <w:vAlign w:val="center"/>
            <w:hideMark/>
          </w:tcPr>
          <w:p w14:paraId="2CD8BA08"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 xml:space="preserve">Directive Specific Implementation Plan </w:t>
            </w:r>
          </w:p>
        </w:tc>
      </w:tr>
      <w:tr w:rsidR="000F35FA" w:rsidRPr="007C4D65" w14:paraId="19901233" w14:textId="77777777" w:rsidTr="00E14E3A">
        <w:tc>
          <w:tcPr>
            <w:tcW w:w="1809" w:type="dxa"/>
            <w:vAlign w:val="center"/>
          </w:tcPr>
          <w:p w14:paraId="7F407CD1"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EAS BiH</w:t>
            </w:r>
          </w:p>
        </w:tc>
        <w:tc>
          <w:tcPr>
            <w:tcW w:w="7400" w:type="dxa"/>
            <w:vAlign w:val="center"/>
            <w:hideMark/>
          </w:tcPr>
          <w:p w14:paraId="68016BC3"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Environmental Approximation Strategy for Bosnia and Herzegovina</w:t>
            </w:r>
          </w:p>
        </w:tc>
      </w:tr>
      <w:tr w:rsidR="000F35FA" w:rsidRPr="007C4D65" w14:paraId="3C96DC00" w14:textId="77777777" w:rsidTr="00E14E3A">
        <w:tc>
          <w:tcPr>
            <w:tcW w:w="1809" w:type="dxa"/>
            <w:vAlign w:val="center"/>
          </w:tcPr>
          <w:p w14:paraId="4716F9C1"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EE</w:t>
            </w:r>
          </w:p>
        </w:tc>
        <w:tc>
          <w:tcPr>
            <w:tcW w:w="7400" w:type="dxa"/>
            <w:vAlign w:val="center"/>
            <w:hideMark/>
          </w:tcPr>
          <w:p w14:paraId="5778490A"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Electrical and electronic waste</w:t>
            </w:r>
          </w:p>
        </w:tc>
      </w:tr>
      <w:tr w:rsidR="000F35FA" w:rsidRPr="007C4D65" w14:paraId="7FD2C545" w14:textId="77777777" w:rsidTr="00E14E3A">
        <w:tc>
          <w:tcPr>
            <w:tcW w:w="1809" w:type="dxa"/>
            <w:vAlign w:val="center"/>
          </w:tcPr>
          <w:p w14:paraId="0282BDE7"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EF FBiH</w:t>
            </w:r>
          </w:p>
        </w:tc>
        <w:tc>
          <w:tcPr>
            <w:tcW w:w="7400" w:type="dxa"/>
            <w:vAlign w:val="center"/>
            <w:hideMark/>
          </w:tcPr>
          <w:p w14:paraId="6CBBE87C" w14:textId="0D41AC55"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 xml:space="preserve">Environmental Protection Fund of the Federation </w:t>
            </w:r>
            <w:proofErr w:type="gramStart"/>
            <w:r w:rsidRPr="007C4D65">
              <w:rPr>
                <w:rFonts w:asciiTheme="minorHAnsi" w:hAnsiTheme="minorHAnsi" w:cstheme="minorHAnsi"/>
                <w:iCs/>
                <w:sz w:val="18"/>
              </w:rPr>
              <w:t>of  BiH</w:t>
            </w:r>
            <w:proofErr w:type="gramEnd"/>
          </w:p>
        </w:tc>
      </w:tr>
      <w:tr w:rsidR="000F35FA" w:rsidRPr="007C4D65" w14:paraId="0CF52946" w14:textId="77777777" w:rsidTr="00E14E3A">
        <w:tc>
          <w:tcPr>
            <w:tcW w:w="1809" w:type="dxa"/>
            <w:vAlign w:val="center"/>
          </w:tcPr>
          <w:p w14:paraId="53E6F24F"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EIA</w:t>
            </w:r>
          </w:p>
        </w:tc>
        <w:tc>
          <w:tcPr>
            <w:tcW w:w="7400" w:type="dxa"/>
            <w:vAlign w:val="center"/>
            <w:hideMark/>
          </w:tcPr>
          <w:p w14:paraId="5DEA9F7B"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Environmental Impact Assessment</w:t>
            </w:r>
          </w:p>
        </w:tc>
      </w:tr>
      <w:tr w:rsidR="000F35FA" w:rsidRPr="007C4D65" w14:paraId="6CC185B7" w14:textId="77777777" w:rsidTr="00E14E3A">
        <w:tc>
          <w:tcPr>
            <w:tcW w:w="1809" w:type="dxa"/>
            <w:vAlign w:val="center"/>
          </w:tcPr>
          <w:p w14:paraId="343D1203"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EIONET</w:t>
            </w:r>
          </w:p>
        </w:tc>
        <w:tc>
          <w:tcPr>
            <w:tcW w:w="7400" w:type="dxa"/>
            <w:vAlign w:val="center"/>
            <w:hideMark/>
          </w:tcPr>
          <w:p w14:paraId="25E8BDAE"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 xml:space="preserve">European Environment Information and Observation Network </w:t>
            </w:r>
          </w:p>
        </w:tc>
      </w:tr>
      <w:tr w:rsidR="000F35FA" w:rsidRPr="007C4D65" w14:paraId="2CEA05A7" w14:textId="77777777" w:rsidTr="00E14E3A">
        <w:tc>
          <w:tcPr>
            <w:tcW w:w="1809" w:type="dxa"/>
            <w:vAlign w:val="center"/>
          </w:tcPr>
          <w:p w14:paraId="57339E96"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EMEP</w:t>
            </w:r>
          </w:p>
        </w:tc>
        <w:tc>
          <w:tcPr>
            <w:tcW w:w="7400" w:type="dxa"/>
            <w:vAlign w:val="center"/>
            <w:hideMark/>
          </w:tcPr>
          <w:p w14:paraId="7257C9EA"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European Monitoring and Evaluation Programme</w:t>
            </w:r>
          </w:p>
        </w:tc>
      </w:tr>
      <w:tr w:rsidR="000F35FA" w:rsidRPr="007C4D65" w14:paraId="7247719F" w14:textId="77777777" w:rsidTr="00E14E3A">
        <w:tc>
          <w:tcPr>
            <w:tcW w:w="1809" w:type="dxa"/>
            <w:vAlign w:val="center"/>
          </w:tcPr>
          <w:p w14:paraId="28E7A406"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EU</w:t>
            </w:r>
          </w:p>
        </w:tc>
        <w:tc>
          <w:tcPr>
            <w:tcW w:w="7400" w:type="dxa"/>
            <w:vAlign w:val="center"/>
            <w:hideMark/>
          </w:tcPr>
          <w:p w14:paraId="598C312D"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European Union</w:t>
            </w:r>
          </w:p>
        </w:tc>
      </w:tr>
      <w:tr w:rsidR="000F35FA" w:rsidRPr="007C4D65" w14:paraId="22ABB733" w14:textId="77777777" w:rsidTr="00E14E3A">
        <w:tc>
          <w:tcPr>
            <w:tcW w:w="1809" w:type="dxa"/>
            <w:vAlign w:val="center"/>
          </w:tcPr>
          <w:p w14:paraId="39DEDEA4"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EUROSTAT</w:t>
            </w:r>
          </w:p>
        </w:tc>
        <w:tc>
          <w:tcPr>
            <w:tcW w:w="7400" w:type="dxa"/>
            <w:vAlign w:val="center"/>
            <w:hideMark/>
          </w:tcPr>
          <w:p w14:paraId="3610196A"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Statistical Office of the European Union</w:t>
            </w:r>
          </w:p>
        </w:tc>
      </w:tr>
      <w:tr w:rsidR="000F35FA" w:rsidRPr="007C4D65" w14:paraId="78678392" w14:textId="77777777" w:rsidTr="00E14E3A">
        <w:tc>
          <w:tcPr>
            <w:tcW w:w="1809" w:type="dxa"/>
            <w:vAlign w:val="center"/>
          </w:tcPr>
          <w:p w14:paraId="309FE224"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FBD</w:t>
            </w:r>
          </w:p>
        </w:tc>
        <w:tc>
          <w:tcPr>
            <w:tcW w:w="7400" w:type="dxa"/>
            <w:vAlign w:val="center"/>
            <w:hideMark/>
          </w:tcPr>
          <w:p w14:paraId="00B344EA" w14:textId="33A700E0"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 xml:space="preserve">Framework Budget </w:t>
            </w:r>
            <w:r w:rsidR="005E3E5F" w:rsidRPr="007C4D65">
              <w:rPr>
                <w:rFonts w:asciiTheme="minorHAnsi" w:hAnsiTheme="minorHAnsi" w:cstheme="minorHAnsi"/>
                <w:iCs/>
                <w:sz w:val="18"/>
              </w:rPr>
              <w:t>Document</w:t>
            </w:r>
          </w:p>
        </w:tc>
      </w:tr>
      <w:tr w:rsidR="000F35FA" w:rsidRPr="007C4D65" w14:paraId="0E60801E" w14:textId="77777777" w:rsidTr="00E14E3A">
        <w:tc>
          <w:tcPr>
            <w:tcW w:w="1809" w:type="dxa"/>
            <w:vAlign w:val="center"/>
          </w:tcPr>
          <w:p w14:paraId="362F6B95"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Federation of BiH</w:t>
            </w:r>
          </w:p>
        </w:tc>
        <w:tc>
          <w:tcPr>
            <w:tcW w:w="7400" w:type="dxa"/>
            <w:vAlign w:val="center"/>
            <w:hideMark/>
          </w:tcPr>
          <w:p w14:paraId="543EF597"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Federation of Bosnia and Herzegovina</w:t>
            </w:r>
          </w:p>
        </w:tc>
      </w:tr>
      <w:tr w:rsidR="000F35FA" w:rsidRPr="007C4D65" w14:paraId="0CFF320B" w14:textId="77777777" w:rsidTr="00E14E3A">
        <w:tc>
          <w:tcPr>
            <w:tcW w:w="1809" w:type="dxa"/>
            <w:vAlign w:val="center"/>
          </w:tcPr>
          <w:p w14:paraId="271FC5B5"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FHMI</w:t>
            </w:r>
          </w:p>
        </w:tc>
        <w:tc>
          <w:tcPr>
            <w:tcW w:w="7400" w:type="dxa"/>
            <w:vAlign w:val="center"/>
            <w:hideMark/>
          </w:tcPr>
          <w:p w14:paraId="08F07D2F"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szCs w:val="18"/>
              </w:rPr>
              <w:t xml:space="preserve">Federation </w:t>
            </w:r>
            <w:r w:rsidRPr="007C4D65">
              <w:rPr>
                <w:rFonts w:asciiTheme="minorHAnsi" w:hAnsiTheme="minorHAnsi" w:cstheme="minorHAnsi"/>
                <w:iCs/>
                <w:sz w:val="18"/>
              </w:rPr>
              <w:t>Hydrometeorological Institute</w:t>
            </w:r>
            <w:r w:rsidRPr="007C4D65">
              <w:rPr>
                <w:rFonts w:asciiTheme="minorHAnsi" w:hAnsiTheme="minorHAnsi" w:cstheme="minorHAnsi"/>
                <w:iCs/>
                <w:sz w:val="18"/>
                <w:szCs w:val="18"/>
              </w:rPr>
              <w:t xml:space="preserve"> </w:t>
            </w:r>
          </w:p>
        </w:tc>
      </w:tr>
      <w:tr w:rsidR="000F35FA" w:rsidRPr="007C4D65" w14:paraId="710205BD" w14:textId="77777777" w:rsidTr="00E14E3A">
        <w:tc>
          <w:tcPr>
            <w:tcW w:w="1809" w:type="dxa"/>
            <w:vAlign w:val="center"/>
          </w:tcPr>
          <w:p w14:paraId="352F8BCA" w14:textId="77777777" w:rsidR="000F35FA" w:rsidRPr="007C4D65" w:rsidRDefault="000F35FA" w:rsidP="0068355A">
            <w:pPr>
              <w:tabs>
                <w:tab w:val="left" w:pos="284"/>
              </w:tabs>
              <w:spacing w:after="255" w:line="276" w:lineRule="auto"/>
              <w:contextualSpacing/>
              <w:jc w:val="both"/>
              <w:rPr>
                <w:rFonts w:asciiTheme="minorHAnsi" w:eastAsia="Calibri" w:hAnsiTheme="minorHAnsi" w:cstheme="minorHAnsi"/>
                <w:b/>
                <w:bCs/>
                <w:sz w:val="18"/>
                <w:szCs w:val="18"/>
              </w:rPr>
            </w:pPr>
            <w:r w:rsidRPr="007C4D65">
              <w:rPr>
                <w:rFonts w:asciiTheme="minorHAnsi" w:hAnsiTheme="minorHAnsi" w:cstheme="minorHAnsi"/>
                <w:b/>
                <w:sz w:val="18"/>
              </w:rPr>
              <w:t>FIDP</w:t>
            </w:r>
          </w:p>
        </w:tc>
        <w:tc>
          <w:tcPr>
            <w:tcW w:w="7400" w:type="dxa"/>
            <w:vAlign w:val="center"/>
            <w:hideMark/>
          </w:tcPr>
          <w:p w14:paraId="7C129C45" w14:textId="77777777" w:rsidR="000F35FA" w:rsidRPr="007C4D65" w:rsidRDefault="000F35FA" w:rsidP="0068355A">
            <w:pPr>
              <w:tabs>
                <w:tab w:val="left" w:pos="284"/>
              </w:tabs>
              <w:spacing w:after="255" w:line="276" w:lineRule="auto"/>
              <w:contextualSpacing/>
              <w:jc w:val="both"/>
              <w:rPr>
                <w:rFonts w:asciiTheme="minorHAnsi" w:eastAsia="Calibri" w:hAnsiTheme="minorHAnsi" w:cstheme="minorHAnsi"/>
                <w:iCs/>
                <w:sz w:val="18"/>
                <w:szCs w:val="18"/>
              </w:rPr>
            </w:pPr>
            <w:r w:rsidRPr="007C4D65">
              <w:rPr>
                <w:rFonts w:asciiTheme="minorHAnsi" w:hAnsiTheme="minorHAnsi" w:cstheme="minorHAnsi"/>
                <w:iCs/>
                <w:sz w:val="18"/>
              </w:rPr>
              <w:t xml:space="preserve">FIDP Institute for Development Programming </w:t>
            </w:r>
            <w:r w:rsidRPr="007C4D65">
              <w:rPr>
                <w:rFonts w:asciiTheme="minorHAnsi" w:eastAsia="Calibri" w:hAnsiTheme="minorHAnsi" w:cstheme="minorHAnsi"/>
                <w:iCs/>
                <w:sz w:val="18"/>
                <w:szCs w:val="18"/>
              </w:rPr>
              <w:t>of the Federation of BiH</w:t>
            </w:r>
          </w:p>
        </w:tc>
      </w:tr>
      <w:tr w:rsidR="000F35FA" w:rsidRPr="007C4D65" w14:paraId="787D6A95" w14:textId="77777777" w:rsidTr="00E14E3A">
        <w:tc>
          <w:tcPr>
            <w:tcW w:w="1809" w:type="dxa"/>
            <w:vAlign w:val="center"/>
          </w:tcPr>
          <w:p w14:paraId="75A31B78" w14:textId="77777777" w:rsidR="000F35FA" w:rsidRPr="007C4D65" w:rsidRDefault="000F35FA" w:rsidP="0068355A">
            <w:pPr>
              <w:tabs>
                <w:tab w:val="left" w:pos="284"/>
              </w:tabs>
              <w:spacing w:after="255" w:line="276" w:lineRule="auto"/>
              <w:contextualSpacing/>
              <w:jc w:val="both"/>
              <w:rPr>
                <w:rFonts w:asciiTheme="minorHAnsi" w:eastAsia="Calibri" w:hAnsiTheme="minorHAnsi" w:cstheme="minorHAnsi"/>
                <w:b/>
                <w:bCs/>
                <w:sz w:val="18"/>
                <w:szCs w:val="18"/>
              </w:rPr>
            </w:pPr>
            <w:r w:rsidRPr="007C4D65">
              <w:rPr>
                <w:rFonts w:asciiTheme="minorHAnsi" w:hAnsiTheme="minorHAnsi" w:cstheme="minorHAnsi"/>
                <w:b/>
                <w:sz w:val="18"/>
              </w:rPr>
              <w:t>FMAWMF</w:t>
            </w:r>
          </w:p>
        </w:tc>
        <w:tc>
          <w:tcPr>
            <w:tcW w:w="7400" w:type="dxa"/>
            <w:vAlign w:val="center"/>
            <w:hideMark/>
          </w:tcPr>
          <w:p w14:paraId="0D61B585" w14:textId="77777777" w:rsidR="000F35FA" w:rsidRPr="007C4D65" w:rsidRDefault="000F35FA" w:rsidP="0068355A">
            <w:pPr>
              <w:tabs>
                <w:tab w:val="left" w:pos="284"/>
              </w:tabs>
              <w:spacing w:after="255" w:line="276" w:lineRule="auto"/>
              <w:contextualSpacing/>
              <w:jc w:val="both"/>
              <w:rPr>
                <w:rFonts w:asciiTheme="minorHAnsi" w:eastAsia="Calibri" w:hAnsiTheme="minorHAnsi" w:cstheme="minorHAnsi"/>
                <w:iCs/>
                <w:sz w:val="18"/>
                <w:szCs w:val="18"/>
              </w:rPr>
            </w:pPr>
            <w:r w:rsidRPr="007C4D65">
              <w:rPr>
                <w:rFonts w:asciiTheme="minorHAnsi" w:hAnsiTheme="minorHAnsi" w:cstheme="minorHAnsi"/>
                <w:iCs/>
                <w:sz w:val="18"/>
              </w:rPr>
              <w:t xml:space="preserve">Federation Ministry of agriculture, forestry and water management </w:t>
            </w:r>
          </w:p>
        </w:tc>
      </w:tr>
      <w:tr w:rsidR="000F35FA" w:rsidRPr="007C4D65" w14:paraId="6E261677" w14:textId="77777777" w:rsidTr="00E14E3A">
        <w:tc>
          <w:tcPr>
            <w:tcW w:w="1809" w:type="dxa"/>
            <w:vAlign w:val="center"/>
          </w:tcPr>
          <w:p w14:paraId="7E6EC9F7" w14:textId="77777777" w:rsidR="000F35FA" w:rsidRPr="007C4D65" w:rsidRDefault="000F35FA" w:rsidP="0068355A">
            <w:pPr>
              <w:tabs>
                <w:tab w:val="left" w:pos="284"/>
              </w:tabs>
              <w:spacing w:after="255" w:line="276" w:lineRule="auto"/>
              <w:contextualSpacing/>
              <w:jc w:val="both"/>
              <w:rPr>
                <w:rFonts w:asciiTheme="minorHAnsi" w:eastAsia="Calibri" w:hAnsiTheme="minorHAnsi" w:cstheme="minorHAnsi"/>
                <w:b/>
                <w:bCs/>
                <w:sz w:val="18"/>
                <w:szCs w:val="18"/>
              </w:rPr>
            </w:pPr>
            <w:r w:rsidRPr="007C4D65">
              <w:rPr>
                <w:rFonts w:asciiTheme="minorHAnsi" w:hAnsiTheme="minorHAnsi" w:cstheme="minorHAnsi"/>
                <w:b/>
                <w:sz w:val="18"/>
              </w:rPr>
              <w:t>FMEMI</w:t>
            </w:r>
          </w:p>
        </w:tc>
        <w:tc>
          <w:tcPr>
            <w:tcW w:w="7400" w:type="dxa"/>
            <w:vAlign w:val="center"/>
            <w:hideMark/>
          </w:tcPr>
          <w:p w14:paraId="7B470209" w14:textId="77777777" w:rsidR="000F35FA" w:rsidRPr="007C4D65" w:rsidRDefault="000F35FA" w:rsidP="0068355A">
            <w:pPr>
              <w:tabs>
                <w:tab w:val="left" w:pos="284"/>
              </w:tabs>
              <w:spacing w:after="255" w:line="276" w:lineRule="auto"/>
              <w:contextualSpacing/>
              <w:jc w:val="both"/>
              <w:rPr>
                <w:rFonts w:asciiTheme="minorHAnsi" w:eastAsia="Calibri" w:hAnsiTheme="minorHAnsi" w:cstheme="minorHAnsi"/>
                <w:iCs/>
                <w:sz w:val="18"/>
                <w:szCs w:val="18"/>
              </w:rPr>
            </w:pPr>
            <w:r w:rsidRPr="007C4D65">
              <w:rPr>
                <w:rFonts w:asciiTheme="minorHAnsi" w:hAnsiTheme="minorHAnsi" w:cstheme="minorHAnsi"/>
                <w:iCs/>
                <w:sz w:val="18"/>
              </w:rPr>
              <w:t xml:space="preserve">Federation Ministry of Energy and Mining </w:t>
            </w:r>
          </w:p>
        </w:tc>
      </w:tr>
      <w:tr w:rsidR="000F35FA" w:rsidRPr="007C4D65" w14:paraId="6712F6D5" w14:textId="77777777" w:rsidTr="00E14E3A">
        <w:tc>
          <w:tcPr>
            <w:tcW w:w="1809" w:type="dxa"/>
            <w:vAlign w:val="center"/>
          </w:tcPr>
          <w:p w14:paraId="4638D588" w14:textId="77777777" w:rsidR="000F35FA" w:rsidRPr="007C4D65" w:rsidRDefault="000F35FA" w:rsidP="0068355A">
            <w:pPr>
              <w:tabs>
                <w:tab w:val="left" w:pos="284"/>
              </w:tabs>
              <w:spacing w:after="255" w:line="276" w:lineRule="auto"/>
              <w:contextualSpacing/>
              <w:jc w:val="both"/>
              <w:rPr>
                <w:rFonts w:asciiTheme="minorHAnsi" w:eastAsia="Calibri" w:hAnsiTheme="minorHAnsi" w:cstheme="minorHAnsi"/>
                <w:b/>
                <w:bCs/>
                <w:sz w:val="18"/>
                <w:szCs w:val="18"/>
              </w:rPr>
            </w:pPr>
            <w:r w:rsidRPr="007C4D65">
              <w:rPr>
                <w:rFonts w:asciiTheme="minorHAnsi" w:hAnsiTheme="minorHAnsi" w:cstheme="minorHAnsi"/>
                <w:b/>
                <w:sz w:val="18"/>
              </w:rPr>
              <w:t>FMET</w:t>
            </w:r>
          </w:p>
        </w:tc>
        <w:tc>
          <w:tcPr>
            <w:tcW w:w="7400" w:type="dxa"/>
            <w:vAlign w:val="center"/>
            <w:hideMark/>
          </w:tcPr>
          <w:p w14:paraId="0D649774" w14:textId="77777777" w:rsidR="000F35FA" w:rsidRPr="007C4D65" w:rsidRDefault="000F35FA" w:rsidP="0068355A">
            <w:pPr>
              <w:tabs>
                <w:tab w:val="left" w:pos="284"/>
              </w:tabs>
              <w:spacing w:after="255" w:line="276" w:lineRule="auto"/>
              <w:contextualSpacing/>
              <w:jc w:val="both"/>
              <w:rPr>
                <w:rFonts w:asciiTheme="minorHAnsi" w:eastAsia="Calibri" w:hAnsiTheme="minorHAnsi" w:cstheme="minorHAnsi"/>
                <w:iCs/>
                <w:sz w:val="18"/>
                <w:szCs w:val="18"/>
              </w:rPr>
            </w:pPr>
            <w:r w:rsidRPr="007C4D65">
              <w:rPr>
                <w:rFonts w:asciiTheme="minorHAnsi" w:hAnsiTheme="minorHAnsi" w:cstheme="minorHAnsi"/>
                <w:iCs/>
                <w:sz w:val="18"/>
              </w:rPr>
              <w:t xml:space="preserve">Federation Ministry of Environment and Tourism </w:t>
            </w:r>
          </w:p>
        </w:tc>
      </w:tr>
      <w:tr w:rsidR="000F35FA" w:rsidRPr="007C4D65" w14:paraId="717F5F83" w14:textId="77777777" w:rsidTr="00E14E3A">
        <w:tc>
          <w:tcPr>
            <w:tcW w:w="1809" w:type="dxa"/>
            <w:vAlign w:val="center"/>
          </w:tcPr>
          <w:p w14:paraId="5D944456" w14:textId="77777777" w:rsidR="000F35FA" w:rsidRPr="007C4D65" w:rsidRDefault="000F35FA" w:rsidP="0068355A">
            <w:pPr>
              <w:tabs>
                <w:tab w:val="left" w:pos="284"/>
              </w:tabs>
              <w:spacing w:after="255" w:line="276" w:lineRule="auto"/>
              <w:contextualSpacing/>
              <w:jc w:val="both"/>
              <w:rPr>
                <w:rFonts w:asciiTheme="minorHAnsi" w:eastAsia="Calibri" w:hAnsiTheme="minorHAnsi" w:cstheme="minorHAnsi"/>
                <w:b/>
                <w:bCs/>
                <w:sz w:val="18"/>
                <w:szCs w:val="18"/>
              </w:rPr>
            </w:pPr>
            <w:r w:rsidRPr="007C4D65">
              <w:rPr>
                <w:rFonts w:asciiTheme="minorHAnsi" w:hAnsiTheme="minorHAnsi" w:cstheme="minorHAnsi"/>
                <w:b/>
                <w:sz w:val="18"/>
              </w:rPr>
              <w:t>FMH</w:t>
            </w:r>
          </w:p>
        </w:tc>
        <w:tc>
          <w:tcPr>
            <w:tcW w:w="7400" w:type="dxa"/>
            <w:vAlign w:val="center"/>
            <w:hideMark/>
          </w:tcPr>
          <w:p w14:paraId="1C0E73DB" w14:textId="77777777" w:rsidR="000F35FA" w:rsidRPr="007C4D65" w:rsidRDefault="000F35FA" w:rsidP="0068355A">
            <w:pPr>
              <w:tabs>
                <w:tab w:val="left" w:pos="284"/>
              </w:tabs>
              <w:spacing w:after="255" w:line="276" w:lineRule="auto"/>
              <w:contextualSpacing/>
              <w:jc w:val="both"/>
              <w:rPr>
                <w:rFonts w:asciiTheme="minorHAnsi" w:eastAsia="Calibri" w:hAnsiTheme="minorHAnsi" w:cstheme="minorHAnsi"/>
                <w:iCs/>
                <w:sz w:val="18"/>
                <w:szCs w:val="18"/>
              </w:rPr>
            </w:pPr>
            <w:r w:rsidRPr="007C4D65">
              <w:rPr>
                <w:rFonts w:asciiTheme="minorHAnsi" w:hAnsiTheme="minorHAnsi" w:cstheme="minorHAnsi"/>
                <w:iCs/>
                <w:sz w:val="18"/>
              </w:rPr>
              <w:t xml:space="preserve">Federation Ministry of Health </w:t>
            </w:r>
          </w:p>
        </w:tc>
      </w:tr>
      <w:tr w:rsidR="000F35FA" w:rsidRPr="007C4D65" w14:paraId="7202F43C" w14:textId="77777777" w:rsidTr="00E14E3A">
        <w:tc>
          <w:tcPr>
            <w:tcW w:w="1809" w:type="dxa"/>
            <w:vAlign w:val="center"/>
          </w:tcPr>
          <w:p w14:paraId="3E802551" w14:textId="77777777" w:rsidR="000F35FA" w:rsidRPr="007C4D65" w:rsidRDefault="000F35FA" w:rsidP="0068355A">
            <w:pPr>
              <w:tabs>
                <w:tab w:val="left" w:pos="284"/>
              </w:tabs>
              <w:spacing w:after="255" w:line="276" w:lineRule="auto"/>
              <w:contextualSpacing/>
              <w:jc w:val="both"/>
              <w:rPr>
                <w:rFonts w:asciiTheme="minorHAnsi" w:eastAsia="Calibri" w:hAnsiTheme="minorHAnsi" w:cstheme="minorHAnsi"/>
                <w:b/>
                <w:bCs/>
                <w:sz w:val="18"/>
                <w:szCs w:val="18"/>
              </w:rPr>
            </w:pPr>
            <w:r w:rsidRPr="007C4D65">
              <w:rPr>
                <w:rFonts w:asciiTheme="minorHAnsi" w:hAnsiTheme="minorHAnsi" w:cstheme="minorHAnsi"/>
                <w:b/>
                <w:sz w:val="18"/>
              </w:rPr>
              <w:t>FMSP</w:t>
            </w:r>
          </w:p>
        </w:tc>
        <w:tc>
          <w:tcPr>
            <w:tcW w:w="7400" w:type="dxa"/>
            <w:vAlign w:val="center"/>
            <w:hideMark/>
          </w:tcPr>
          <w:p w14:paraId="552470A9" w14:textId="77777777" w:rsidR="000F35FA" w:rsidRPr="007C4D65" w:rsidRDefault="000F35FA" w:rsidP="0068355A">
            <w:pPr>
              <w:tabs>
                <w:tab w:val="left" w:pos="284"/>
              </w:tabs>
              <w:spacing w:after="255" w:line="276" w:lineRule="auto"/>
              <w:contextualSpacing/>
              <w:jc w:val="both"/>
              <w:rPr>
                <w:rFonts w:asciiTheme="minorHAnsi" w:eastAsia="Calibri" w:hAnsiTheme="minorHAnsi" w:cstheme="minorHAnsi"/>
                <w:iCs/>
                <w:sz w:val="18"/>
                <w:szCs w:val="18"/>
              </w:rPr>
            </w:pPr>
            <w:r w:rsidRPr="007C4D65">
              <w:rPr>
                <w:rFonts w:asciiTheme="minorHAnsi" w:hAnsiTheme="minorHAnsi" w:cstheme="minorHAnsi"/>
                <w:iCs/>
                <w:sz w:val="18"/>
              </w:rPr>
              <w:t xml:space="preserve">Federation Ministry of Spatial Planning </w:t>
            </w:r>
          </w:p>
        </w:tc>
      </w:tr>
      <w:tr w:rsidR="000F35FA" w:rsidRPr="007C4D65" w14:paraId="6A0D7BF7" w14:textId="77777777" w:rsidTr="00E14E3A">
        <w:tc>
          <w:tcPr>
            <w:tcW w:w="1809" w:type="dxa"/>
            <w:vAlign w:val="center"/>
          </w:tcPr>
          <w:p w14:paraId="766090C3"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FTI</w:t>
            </w:r>
          </w:p>
        </w:tc>
        <w:tc>
          <w:tcPr>
            <w:tcW w:w="7400" w:type="dxa"/>
            <w:vAlign w:val="center"/>
            <w:hideMark/>
          </w:tcPr>
          <w:p w14:paraId="719E897D"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Forest transport infrastructure</w:t>
            </w:r>
          </w:p>
        </w:tc>
      </w:tr>
      <w:tr w:rsidR="000F35FA" w:rsidRPr="007C4D65" w14:paraId="741D63FC" w14:textId="77777777" w:rsidTr="00E14E3A">
        <w:tc>
          <w:tcPr>
            <w:tcW w:w="1809" w:type="dxa"/>
            <w:vAlign w:val="center"/>
          </w:tcPr>
          <w:p w14:paraId="2259A0CD"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GAP</w:t>
            </w:r>
          </w:p>
        </w:tc>
        <w:tc>
          <w:tcPr>
            <w:tcW w:w="7400" w:type="dxa"/>
            <w:vAlign w:val="center"/>
            <w:hideMark/>
          </w:tcPr>
          <w:p w14:paraId="637AABCB"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Gender Action Plan</w:t>
            </w:r>
          </w:p>
        </w:tc>
      </w:tr>
      <w:tr w:rsidR="000F35FA" w:rsidRPr="007C4D65" w14:paraId="669AA0A6" w14:textId="77777777" w:rsidTr="00E14E3A">
        <w:tc>
          <w:tcPr>
            <w:tcW w:w="1809" w:type="dxa"/>
            <w:vAlign w:val="center"/>
          </w:tcPr>
          <w:p w14:paraId="2691A133"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GC FBiH</w:t>
            </w:r>
          </w:p>
        </w:tc>
        <w:tc>
          <w:tcPr>
            <w:tcW w:w="7400" w:type="dxa"/>
            <w:vAlign w:val="center"/>
            <w:hideMark/>
          </w:tcPr>
          <w:p w14:paraId="3BE1F5AC" w14:textId="3470A7EF"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Gender Cent</w:t>
            </w:r>
            <w:r w:rsidR="0010686C">
              <w:rPr>
                <w:rFonts w:asciiTheme="minorHAnsi" w:hAnsiTheme="minorHAnsi" w:cstheme="minorHAnsi"/>
                <w:iCs/>
                <w:sz w:val="18"/>
              </w:rPr>
              <w:t>re</w:t>
            </w:r>
            <w:r w:rsidRPr="007C4D65">
              <w:rPr>
                <w:rFonts w:asciiTheme="minorHAnsi" w:hAnsiTheme="minorHAnsi" w:cstheme="minorHAnsi"/>
                <w:iCs/>
                <w:sz w:val="18"/>
              </w:rPr>
              <w:t xml:space="preserve"> of the Federation of Bosnia and Herzegovina</w:t>
            </w:r>
          </w:p>
        </w:tc>
      </w:tr>
      <w:tr w:rsidR="000F35FA" w:rsidRPr="007C4D65" w14:paraId="62F56865" w14:textId="77777777" w:rsidTr="00E14E3A">
        <w:tc>
          <w:tcPr>
            <w:tcW w:w="1809" w:type="dxa"/>
            <w:vAlign w:val="center"/>
          </w:tcPr>
          <w:p w14:paraId="5511DFFD"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GEF</w:t>
            </w:r>
          </w:p>
        </w:tc>
        <w:tc>
          <w:tcPr>
            <w:tcW w:w="7400" w:type="dxa"/>
            <w:vAlign w:val="center"/>
            <w:hideMark/>
          </w:tcPr>
          <w:p w14:paraId="29CAC507"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Global Environment Facility</w:t>
            </w:r>
          </w:p>
        </w:tc>
      </w:tr>
      <w:tr w:rsidR="000F35FA" w:rsidRPr="007C4D65" w14:paraId="74647808" w14:textId="77777777" w:rsidTr="00E14E3A">
        <w:tc>
          <w:tcPr>
            <w:tcW w:w="1809" w:type="dxa"/>
            <w:vAlign w:val="center"/>
          </w:tcPr>
          <w:p w14:paraId="7BB2D623"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GFP</w:t>
            </w:r>
          </w:p>
        </w:tc>
        <w:tc>
          <w:tcPr>
            <w:tcW w:w="7400" w:type="dxa"/>
            <w:vAlign w:val="center"/>
            <w:hideMark/>
          </w:tcPr>
          <w:p w14:paraId="16CDE8B0"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Gender focal point</w:t>
            </w:r>
          </w:p>
        </w:tc>
      </w:tr>
      <w:tr w:rsidR="000F35FA" w:rsidRPr="007C4D65" w14:paraId="3FCB8221" w14:textId="77777777" w:rsidTr="00E14E3A">
        <w:tc>
          <w:tcPr>
            <w:tcW w:w="1809" w:type="dxa"/>
            <w:vAlign w:val="center"/>
          </w:tcPr>
          <w:p w14:paraId="4D5DD1C7"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GHG</w:t>
            </w:r>
          </w:p>
        </w:tc>
        <w:tc>
          <w:tcPr>
            <w:tcW w:w="7400" w:type="dxa"/>
            <w:vAlign w:val="center"/>
            <w:hideMark/>
          </w:tcPr>
          <w:p w14:paraId="23459756"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Greenhouse gases</w:t>
            </w:r>
          </w:p>
        </w:tc>
      </w:tr>
      <w:tr w:rsidR="000F35FA" w:rsidRPr="007C4D65" w14:paraId="32EED09A" w14:textId="77777777" w:rsidTr="00E14E3A">
        <w:tc>
          <w:tcPr>
            <w:tcW w:w="1809" w:type="dxa"/>
            <w:vAlign w:val="center"/>
          </w:tcPr>
          <w:p w14:paraId="7D4BF531"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GIZ</w:t>
            </w:r>
          </w:p>
        </w:tc>
        <w:tc>
          <w:tcPr>
            <w:tcW w:w="7400" w:type="dxa"/>
            <w:vAlign w:val="center"/>
            <w:hideMark/>
          </w:tcPr>
          <w:p w14:paraId="660A4465"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 xml:space="preserve">German Development Agency (Deutsche Gesellschaft für Internationale </w:t>
            </w:r>
            <w:proofErr w:type="spellStart"/>
            <w:r w:rsidRPr="007C4D65">
              <w:rPr>
                <w:rFonts w:asciiTheme="minorHAnsi" w:hAnsiTheme="minorHAnsi" w:cstheme="minorHAnsi"/>
                <w:iCs/>
                <w:sz w:val="18"/>
              </w:rPr>
              <w:t>Zusammenarbeit</w:t>
            </w:r>
            <w:proofErr w:type="spellEnd"/>
            <w:r w:rsidRPr="007C4D65">
              <w:rPr>
                <w:rFonts w:asciiTheme="minorHAnsi" w:hAnsiTheme="minorHAnsi" w:cstheme="minorHAnsi"/>
                <w:iCs/>
                <w:sz w:val="18"/>
              </w:rPr>
              <w:t>)</w:t>
            </w:r>
          </w:p>
        </w:tc>
      </w:tr>
      <w:tr w:rsidR="000F35FA" w:rsidRPr="007C4D65" w14:paraId="326F050B" w14:textId="77777777" w:rsidTr="00E14E3A">
        <w:tc>
          <w:tcPr>
            <w:tcW w:w="1809" w:type="dxa"/>
            <w:vAlign w:val="center"/>
          </w:tcPr>
          <w:p w14:paraId="0EC56BBB"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GVTPV</w:t>
            </w:r>
          </w:p>
        </w:tc>
        <w:tc>
          <w:tcPr>
            <w:tcW w:w="7400" w:type="dxa"/>
            <w:vAlign w:val="center"/>
            <w:hideMark/>
          </w:tcPr>
          <w:p w14:paraId="46C298DC"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Water bodies group</w:t>
            </w:r>
          </w:p>
        </w:tc>
      </w:tr>
      <w:tr w:rsidR="000F35FA" w:rsidRPr="007C4D65" w14:paraId="71EA07A2" w14:textId="77777777" w:rsidTr="00E14E3A">
        <w:tc>
          <w:tcPr>
            <w:tcW w:w="1809" w:type="dxa"/>
            <w:vAlign w:val="center"/>
          </w:tcPr>
          <w:p w14:paraId="682137A8"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HMWB</w:t>
            </w:r>
          </w:p>
        </w:tc>
        <w:tc>
          <w:tcPr>
            <w:tcW w:w="7400" w:type="dxa"/>
            <w:vAlign w:val="center"/>
            <w:hideMark/>
          </w:tcPr>
          <w:p w14:paraId="5D611EDE"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Heavily modified water bodies</w:t>
            </w:r>
          </w:p>
        </w:tc>
      </w:tr>
      <w:tr w:rsidR="000F35FA" w:rsidRPr="007C4D65" w14:paraId="7CCD228E" w14:textId="77777777" w:rsidTr="00E14E3A">
        <w:tc>
          <w:tcPr>
            <w:tcW w:w="1809" w:type="dxa"/>
            <w:vAlign w:val="center"/>
          </w:tcPr>
          <w:p w14:paraId="3A33BBA7"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HPP</w:t>
            </w:r>
          </w:p>
        </w:tc>
        <w:tc>
          <w:tcPr>
            <w:tcW w:w="7400" w:type="dxa"/>
            <w:vAlign w:val="center"/>
            <w:hideMark/>
          </w:tcPr>
          <w:p w14:paraId="6DB2BB6C"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Hydro power plant</w:t>
            </w:r>
          </w:p>
        </w:tc>
      </w:tr>
      <w:tr w:rsidR="000F35FA" w:rsidRPr="007C4D65" w14:paraId="6E3B4297" w14:textId="77777777" w:rsidTr="00E14E3A">
        <w:tc>
          <w:tcPr>
            <w:tcW w:w="1809" w:type="dxa"/>
            <w:vAlign w:val="center"/>
          </w:tcPr>
          <w:p w14:paraId="64B39965"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IED</w:t>
            </w:r>
          </w:p>
        </w:tc>
        <w:tc>
          <w:tcPr>
            <w:tcW w:w="7400" w:type="dxa"/>
            <w:vAlign w:val="center"/>
            <w:hideMark/>
          </w:tcPr>
          <w:p w14:paraId="5910A29D"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Industrial Emissions Directive</w:t>
            </w:r>
          </w:p>
        </w:tc>
      </w:tr>
      <w:tr w:rsidR="000F35FA" w:rsidRPr="007C4D65" w14:paraId="1DAB86CF" w14:textId="77777777" w:rsidTr="00E14E3A">
        <w:tc>
          <w:tcPr>
            <w:tcW w:w="1809" w:type="dxa"/>
            <w:vAlign w:val="center"/>
          </w:tcPr>
          <w:p w14:paraId="727687B9"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IMW</w:t>
            </w:r>
          </w:p>
        </w:tc>
        <w:tc>
          <w:tcPr>
            <w:tcW w:w="7400" w:type="dxa"/>
            <w:vAlign w:val="center"/>
            <w:hideMark/>
          </w:tcPr>
          <w:p w14:paraId="4841C190"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Infectious medical waste</w:t>
            </w:r>
          </w:p>
        </w:tc>
      </w:tr>
      <w:tr w:rsidR="000F35FA" w:rsidRPr="007C4D65" w14:paraId="35183F9A" w14:textId="77777777" w:rsidTr="00E14E3A">
        <w:tc>
          <w:tcPr>
            <w:tcW w:w="1809" w:type="dxa"/>
            <w:vAlign w:val="center"/>
          </w:tcPr>
          <w:p w14:paraId="585F7057"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IPA</w:t>
            </w:r>
          </w:p>
        </w:tc>
        <w:tc>
          <w:tcPr>
            <w:tcW w:w="7400" w:type="dxa"/>
            <w:vAlign w:val="center"/>
            <w:hideMark/>
          </w:tcPr>
          <w:p w14:paraId="60659BD6"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Instrument for Pre-Accession Assistance</w:t>
            </w:r>
          </w:p>
        </w:tc>
      </w:tr>
      <w:tr w:rsidR="000F35FA" w:rsidRPr="007C4D65" w14:paraId="6F32C618" w14:textId="77777777" w:rsidTr="00E14E3A">
        <w:tc>
          <w:tcPr>
            <w:tcW w:w="1809" w:type="dxa"/>
            <w:vAlign w:val="center"/>
          </w:tcPr>
          <w:p w14:paraId="7E4CCF22"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IPPC</w:t>
            </w:r>
          </w:p>
        </w:tc>
        <w:tc>
          <w:tcPr>
            <w:tcW w:w="7400" w:type="dxa"/>
            <w:vAlign w:val="center"/>
            <w:hideMark/>
          </w:tcPr>
          <w:p w14:paraId="63B34389"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Integrated pollution prevention and control</w:t>
            </w:r>
          </w:p>
        </w:tc>
      </w:tr>
      <w:tr w:rsidR="000F35FA" w:rsidRPr="007C4D65" w14:paraId="6CA6DAE2" w14:textId="77777777" w:rsidTr="00E14E3A">
        <w:tc>
          <w:tcPr>
            <w:tcW w:w="1809" w:type="dxa"/>
            <w:vAlign w:val="center"/>
          </w:tcPr>
          <w:p w14:paraId="09E67312"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LGUs</w:t>
            </w:r>
          </w:p>
        </w:tc>
        <w:tc>
          <w:tcPr>
            <w:tcW w:w="7400" w:type="dxa"/>
            <w:vAlign w:val="center"/>
            <w:hideMark/>
          </w:tcPr>
          <w:p w14:paraId="68D91FD3"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Local government units</w:t>
            </w:r>
          </w:p>
        </w:tc>
      </w:tr>
      <w:tr w:rsidR="000F35FA" w:rsidRPr="007C4D65" w14:paraId="0EAD79E5" w14:textId="77777777" w:rsidTr="00E14E3A">
        <w:tc>
          <w:tcPr>
            <w:tcW w:w="1809" w:type="dxa"/>
            <w:vAlign w:val="center"/>
          </w:tcPr>
          <w:p w14:paraId="58280C42" w14:textId="77777777" w:rsidR="000F35FA" w:rsidRPr="007C4D65" w:rsidRDefault="000F35FA" w:rsidP="0068355A">
            <w:pPr>
              <w:spacing w:line="276" w:lineRule="auto"/>
              <w:rPr>
                <w:rFonts w:asciiTheme="minorHAnsi" w:hAnsiTheme="minorHAnsi" w:cstheme="minorHAnsi"/>
                <w:b/>
                <w:bCs/>
                <w:sz w:val="18"/>
                <w:szCs w:val="18"/>
              </w:rPr>
            </w:pPr>
            <w:proofErr w:type="spellStart"/>
            <w:r w:rsidRPr="007C4D65">
              <w:rPr>
                <w:rFonts w:asciiTheme="minorHAnsi" w:hAnsiTheme="minorHAnsi" w:cstheme="minorHAnsi"/>
                <w:b/>
                <w:sz w:val="18"/>
              </w:rPr>
              <w:t>LoW</w:t>
            </w:r>
            <w:proofErr w:type="spellEnd"/>
            <w:r w:rsidRPr="007C4D65">
              <w:rPr>
                <w:rFonts w:asciiTheme="minorHAnsi" w:hAnsiTheme="minorHAnsi" w:cstheme="minorHAnsi"/>
                <w:b/>
                <w:sz w:val="18"/>
              </w:rPr>
              <w:t xml:space="preserve"> FBiH</w:t>
            </w:r>
          </w:p>
        </w:tc>
        <w:tc>
          <w:tcPr>
            <w:tcW w:w="7400" w:type="dxa"/>
            <w:vAlign w:val="center"/>
            <w:hideMark/>
          </w:tcPr>
          <w:p w14:paraId="136B1912"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Low on Waters of the Federation of Bosnia and Herzegovina</w:t>
            </w:r>
          </w:p>
        </w:tc>
      </w:tr>
      <w:tr w:rsidR="000F35FA" w:rsidRPr="007C4D65" w14:paraId="0A7F0FA4" w14:textId="77777777" w:rsidTr="00E14E3A">
        <w:tc>
          <w:tcPr>
            <w:tcW w:w="1809" w:type="dxa"/>
            <w:vAlign w:val="center"/>
          </w:tcPr>
          <w:p w14:paraId="3029FC11"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MCPFE</w:t>
            </w:r>
          </w:p>
        </w:tc>
        <w:tc>
          <w:tcPr>
            <w:tcW w:w="7400" w:type="dxa"/>
            <w:vAlign w:val="center"/>
            <w:hideMark/>
          </w:tcPr>
          <w:p w14:paraId="55B7E2A7"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Ministerial Conference on the Protection of Forests in Europe</w:t>
            </w:r>
          </w:p>
        </w:tc>
      </w:tr>
      <w:tr w:rsidR="000F35FA" w:rsidRPr="007C4D65" w14:paraId="71940951" w14:textId="77777777" w:rsidTr="00E14E3A">
        <w:tc>
          <w:tcPr>
            <w:tcW w:w="1809" w:type="dxa"/>
            <w:vAlign w:val="center"/>
          </w:tcPr>
          <w:p w14:paraId="4787BA6E"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MOFTER</w:t>
            </w:r>
          </w:p>
        </w:tc>
        <w:tc>
          <w:tcPr>
            <w:tcW w:w="7400" w:type="dxa"/>
            <w:vAlign w:val="center"/>
            <w:hideMark/>
          </w:tcPr>
          <w:p w14:paraId="3D07DC1D"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Ministry of Foreign Trade and Economic Relations</w:t>
            </w:r>
          </w:p>
        </w:tc>
      </w:tr>
      <w:tr w:rsidR="000F35FA" w:rsidRPr="007C4D65" w14:paraId="302BAA5F" w14:textId="77777777" w:rsidTr="00E14E3A">
        <w:tc>
          <w:tcPr>
            <w:tcW w:w="1809" w:type="dxa"/>
            <w:vAlign w:val="center"/>
          </w:tcPr>
          <w:p w14:paraId="57365EE3"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MSFD</w:t>
            </w:r>
          </w:p>
        </w:tc>
        <w:tc>
          <w:tcPr>
            <w:tcW w:w="7400" w:type="dxa"/>
            <w:vAlign w:val="center"/>
            <w:hideMark/>
          </w:tcPr>
          <w:p w14:paraId="5BE30B0C"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Marine Strategy Framework Directive</w:t>
            </w:r>
          </w:p>
        </w:tc>
      </w:tr>
      <w:tr w:rsidR="000F35FA" w:rsidRPr="007C4D65" w14:paraId="50B1EB96" w14:textId="77777777" w:rsidTr="00E14E3A">
        <w:tc>
          <w:tcPr>
            <w:tcW w:w="1809" w:type="dxa"/>
            <w:vAlign w:val="center"/>
          </w:tcPr>
          <w:p w14:paraId="1633BE47"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NBSAP</w:t>
            </w:r>
          </w:p>
        </w:tc>
        <w:tc>
          <w:tcPr>
            <w:tcW w:w="7400" w:type="dxa"/>
            <w:vAlign w:val="center"/>
            <w:hideMark/>
          </w:tcPr>
          <w:p w14:paraId="5A17735F"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National Biodiversity Strategies and Action Plans</w:t>
            </w:r>
          </w:p>
        </w:tc>
      </w:tr>
      <w:tr w:rsidR="000F35FA" w:rsidRPr="007C4D65" w14:paraId="7A6664E1" w14:textId="77777777" w:rsidTr="00E14E3A">
        <w:tc>
          <w:tcPr>
            <w:tcW w:w="1809" w:type="dxa"/>
            <w:vAlign w:val="center"/>
          </w:tcPr>
          <w:p w14:paraId="54A7BECB"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NERP</w:t>
            </w:r>
          </w:p>
        </w:tc>
        <w:tc>
          <w:tcPr>
            <w:tcW w:w="7400" w:type="dxa"/>
            <w:vAlign w:val="center"/>
            <w:hideMark/>
          </w:tcPr>
          <w:p w14:paraId="424F61C4"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National Emission Reduction Plan</w:t>
            </w:r>
          </w:p>
        </w:tc>
      </w:tr>
      <w:tr w:rsidR="000F35FA" w:rsidRPr="007C4D65" w14:paraId="22364341" w14:textId="77777777" w:rsidTr="00E14E3A">
        <w:tc>
          <w:tcPr>
            <w:tcW w:w="1809" w:type="dxa"/>
            <w:vAlign w:val="center"/>
          </w:tcPr>
          <w:p w14:paraId="45391349"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NGO</w:t>
            </w:r>
          </w:p>
        </w:tc>
        <w:tc>
          <w:tcPr>
            <w:tcW w:w="7400" w:type="dxa"/>
            <w:vAlign w:val="center"/>
            <w:hideMark/>
          </w:tcPr>
          <w:p w14:paraId="39A5A1A0"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Non-governmental organization</w:t>
            </w:r>
          </w:p>
        </w:tc>
      </w:tr>
      <w:tr w:rsidR="000F35FA" w:rsidRPr="007C4D65" w14:paraId="64857351" w14:textId="77777777" w:rsidTr="00E14E3A">
        <w:tc>
          <w:tcPr>
            <w:tcW w:w="1809" w:type="dxa"/>
            <w:vAlign w:val="center"/>
          </w:tcPr>
          <w:p w14:paraId="16BEDD12"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ODS</w:t>
            </w:r>
          </w:p>
        </w:tc>
        <w:tc>
          <w:tcPr>
            <w:tcW w:w="7400" w:type="dxa"/>
            <w:vAlign w:val="center"/>
            <w:hideMark/>
          </w:tcPr>
          <w:p w14:paraId="3333C7D1"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Ozone depleting substances</w:t>
            </w:r>
          </w:p>
        </w:tc>
      </w:tr>
      <w:tr w:rsidR="000F35FA" w:rsidRPr="007C4D65" w14:paraId="0D67442E" w14:textId="77777777" w:rsidTr="00E14E3A">
        <w:tc>
          <w:tcPr>
            <w:tcW w:w="1809" w:type="dxa"/>
            <w:vAlign w:val="center"/>
          </w:tcPr>
          <w:p w14:paraId="6EA5D4D2"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lastRenderedPageBreak/>
              <w:t>PAH</w:t>
            </w:r>
          </w:p>
        </w:tc>
        <w:tc>
          <w:tcPr>
            <w:tcW w:w="7400" w:type="dxa"/>
            <w:vAlign w:val="center"/>
            <w:hideMark/>
          </w:tcPr>
          <w:p w14:paraId="6AE279CB"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Polycyclic Aromatic Hydrocarbons</w:t>
            </w:r>
          </w:p>
        </w:tc>
      </w:tr>
      <w:tr w:rsidR="000F35FA" w:rsidRPr="007C4D65" w14:paraId="25071460" w14:textId="77777777" w:rsidTr="00E14E3A">
        <w:tc>
          <w:tcPr>
            <w:tcW w:w="1809" w:type="dxa"/>
            <w:vAlign w:val="center"/>
          </w:tcPr>
          <w:p w14:paraId="4DAF4DAF"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PCB</w:t>
            </w:r>
          </w:p>
        </w:tc>
        <w:tc>
          <w:tcPr>
            <w:tcW w:w="7400" w:type="dxa"/>
            <w:vAlign w:val="center"/>
            <w:hideMark/>
          </w:tcPr>
          <w:p w14:paraId="59441C86"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Polychlorinated biphenyls</w:t>
            </w:r>
          </w:p>
        </w:tc>
      </w:tr>
      <w:tr w:rsidR="000F35FA" w:rsidRPr="007C4D65" w14:paraId="2535F793" w14:textId="77777777" w:rsidTr="00E14E3A">
        <w:tc>
          <w:tcPr>
            <w:tcW w:w="1809" w:type="dxa"/>
            <w:vAlign w:val="center"/>
          </w:tcPr>
          <w:p w14:paraId="1BA57C98" w14:textId="77777777" w:rsidR="000F35FA" w:rsidRPr="007C4D65" w:rsidRDefault="000F35FA" w:rsidP="0068355A">
            <w:pPr>
              <w:tabs>
                <w:tab w:val="left" w:pos="1947"/>
              </w:tabs>
              <w:spacing w:line="276" w:lineRule="auto"/>
              <w:rPr>
                <w:rFonts w:asciiTheme="minorHAnsi" w:hAnsiTheme="minorHAnsi" w:cstheme="minorHAnsi"/>
                <w:b/>
                <w:bCs/>
                <w:sz w:val="18"/>
                <w:szCs w:val="18"/>
              </w:rPr>
            </w:pPr>
            <w:r w:rsidRPr="007C4D65">
              <w:rPr>
                <w:rFonts w:asciiTheme="minorHAnsi" w:hAnsiTheme="minorHAnsi" w:cstheme="minorHAnsi"/>
                <w:b/>
                <w:sz w:val="18"/>
              </w:rPr>
              <w:t>POPs</w:t>
            </w:r>
          </w:p>
        </w:tc>
        <w:tc>
          <w:tcPr>
            <w:tcW w:w="7400" w:type="dxa"/>
            <w:vAlign w:val="center"/>
            <w:hideMark/>
          </w:tcPr>
          <w:p w14:paraId="36A9A544" w14:textId="77777777" w:rsidR="000F35FA" w:rsidRPr="007C4D65" w:rsidRDefault="000F35FA" w:rsidP="0068355A">
            <w:pPr>
              <w:tabs>
                <w:tab w:val="left" w:pos="1947"/>
              </w:tabs>
              <w:spacing w:line="276" w:lineRule="auto"/>
              <w:rPr>
                <w:rFonts w:asciiTheme="minorHAnsi" w:hAnsiTheme="minorHAnsi" w:cstheme="minorHAnsi"/>
                <w:iCs/>
                <w:sz w:val="18"/>
                <w:szCs w:val="18"/>
              </w:rPr>
            </w:pPr>
            <w:r w:rsidRPr="007C4D65">
              <w:rPr>
                <w:rFonts w:asciiTheme="minorHAnsi" w:hAnsiTheme="minorHAnsi" w:cstheme="minorHAnsi"/>
                <w:iCs/>
                <w:sz w:val="18"/>
              </w:rPr>
              <w:t>Persistent Organic Pollutants</w:t>
            </w:r>
          </w:p>
        </w:tc>
      </w:tr>
      <w:tr w:rsidR="000F35FA" w:rsidRPr="007C4D65" w14:paraId="65842291" w14:textId="77777777" w:rsidTr="00E14E3A">
        <w:tc>
          <w:tcPr>
            <w:tcW w:w="1809" w:type="dxa"/>
            <w:vAlign w:val="center"/>
          </w:tcPr>
          <w:p w14:paraId="22677C06"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PRTR</w:t>
            </w:r>
          </w:p>
        </w:tc>
        <w:tc>
          <w:tcPr>
            <w:tcW w:w="7400" w:type="dxa"/>
            <w:vAlign w:val="center"/>
            <w:hideMark/>
          </w:tcPr>
          <w:p w14:paraId="770DBFCD"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Pollutant Release and Transfer Register</w:t>
            </w:r>
          </w:p>
        </w:tc>
      </w:tr>
      <w:tr w:rsidR="000F35FA" w:rsidRPr="007C4D65" w14:paraId="10AB2A87" w14:textId="77777777" w:rsidTr="00E14E3A">
        <w:tc>
          <w:tcPr>
            <w:tcW w:w="1809" w:type="dxa"/>
            <w:vAlign w:val="center"/>
          </w:tcPr>
          <w:p w14:paraId="192F01B3"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PWC/PUC</w:t>
            </w:r>
          </w:p>
        </w:tc>
        <w:tc>
          <w:tcPr>
            <w:tcW w:w="7400" w:type="dxa"/>
            <w:vAlign w:val="center"/>
            <w:hideMark/>
          </w:tcPr>
          <w:p w14:paraId="3B60EE85"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Public Water / Utility Companies</w:t>
            </w:r>
          </w:p>
        </w:tc>
      </w:tr>
      <w:tr w:rsidR="000F35FA" w:rsidRPr="007C4D65" w14:paraId="2CF29D42" w14:textId="77777777" w:rsidTr="00E14E3A">
        <w:tc>
          <w:tcPr>
            <w:tcW w:w="1809" w:type="dxa"/>
            <w:vAlign w:val="center"/>
          </w:tcPr>
          <w:p w14:paraId="118B3817"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RBMP</w:t>
            </w:r>
          </w:p>
        </w:tc>
        <w:tc>
          <w:tcPr>
            <w:tcW w:w="7400" w:type="dxa"/>
            <w:vAlign w:val="center"/>
            <w:hideMark/>
          </w:tcPr>
          <w:p w14:paraId="24F382EE"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River Basin Management Plan</w:t>
            </w:r>
          </w:p>
        </w:tc>
      </w:tr>
      <w:tr w:rsidR="000F35FA" w:rsidRPr="007C4D65" w14:paraId="2297F1B0" w14:textId="77777777" w:rsidTr="00E14E3A">
        <w:tc>
          <w:tcPr>
            <w:tcW w:w="1809" w:type="dxa"/>
            <w:vAlign w:val="center"/>
          </w:tcPr>
          <w:p w14:paraId="7287BAAD"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RES</w:t>
            </w:r>
          </w:p>
        </w:tc>
        <w:tc>
          <w:tcPr>
            <w:tcW w:w="7400" w:type="dxa"/>
            <w:vAlign w:val="center"/>
            <w:hideMark/>
          </w:tcPr>
          <w:p w14:paraId="5C11668C"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Renewable energy sources</w:t>
            </w:r>
          </w:p>
        </w:tc>
      </w:tr>
      <w:tr w:rsidR="000F35FA" w:rsidRPr="007C4D65" w14:paraId="7D6829A5" w14:textId="77777777" w:rsidTr="00E14E3A">
        <w:tc>
          <w:tcPr>
            <w:tcW w:w="1809" w:type="dxa"/>
            <w:vAlign w:val="center"/>
          </w:tcPr>
          <w:p w14:paraId="3A1FA4D6"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SAA</w:t>
            </w:r>
          </w:p>
        </w:tc>
        <w:tc>
          <w:tcPr>
            <w:tcW w:w="7400" w:type="dxa"/>
            <w:vAlign w:val="center"/>
            <w:hideMark/>
          </w:tcPr>
          <w:p w14:paraId="6B036C8C"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Stabilization and Association Agreement</w:t>
            </w:r>
          </w:p>
        </w:tc>
      </w:tr>
      <w:tr w:rsidR="000F35FA" w:rsidRPr="007C4D65" w14:paraId="08119A7E" w14:textId="77777777" w:rsidTr="00E14E3A">
        <w:tc>
          <w:tcPr>
            <w:tcW w:w="1809" w:type="dxa"/>
            <w:vAlign w:val="center"/>
          </w:tcPr>
          <w:p w14:paraId="2012A9A3"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SDG</w:t>
            </w:r>
          </w:p>
        </w:tc>
        <w:tc>
          <w:tcPr>
            <w:tcW w:w="7400" w:type="dxa"/>
            <w:vAlign w:val="center"/>
            <w:hideMark/>
          </w:tcPr>
          <w:p w14:paraId="07028E16"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 xml:space="preserve">Sustainable Development Goals </w:t>
            </w:r>
          </w:p>
        </w:tc>
      </w:tr>
      <w:tr w:rsidR="000F35FA" w:rsidRPr="007C4D65" w14:paraId="6A2BE487" w14:textId="77777777" w:rsidTr="00E14E3A">
        <w:tc>
          <w:tcPr>
            <w:tcW w:w="1809" w:type="dxa"/>
            <w:vAlign w:val="center"/>
          </w:tcPr>
          <w:p w14:paraId="2660859A"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SEA</w:t>
            </w:r>
          </w:p>
        </w:tc>
        <w:tc>
          <w:tcPr>
            <w:tcW w:w="7400" w:type="dxa"/>
            <w:vAlign w:val="center"/>
            <w:hideMark/>
          </w:tcPr>
          <w:p w14:paraId="5FF236C4"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Strategic Impact Assessment</w:t>
            </w:r>
          </w:p>
        </w:tc>
      </w:tr>
      <w:tr w:rsidR="000F35FA" w:rsidRPr="007C4D65" w14:paraId="3CC26B50" w14:textId="77777777" w:rsidTr="00E14E3A">
        <w:tc>
          <w:tcPr>
            <w:tcW w:w="1809" w:type="dxa"/>
            <w:vAlign w:val="center"/>
          </w:tcPr>
          <w:p w14:paraId="30EAFB64"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SEI</w:t>
            </w:r>
          </w:p>
        </w:tc>
        <w:tc>
          <w:tcPr>
            <w:tcW w:w="7400" w:type="dxa"/>
            <w:vAlign w:val="center"/>
            <w:hideMark/>
          </w:tcPr>
          <w:p w14:paraId="41BAF7D5"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Stockholm Environment Institute</w:t>
            </w:r>
          </w:p>
        </w:tc>
      </w:tr>
      <w:tr w:rsidR="000F35FA" w:rsidRPr="007C4D65" w14:paraId="30221420" w14:textId="77777777" w:rsidTr="00E14E3A">
        <w:tc>
          <w:tcPr>
            <w:tcW w:w="1809" w:type="dxa"/>
            <w:vAlign w:val="center"/>
          </w:tcPr>
          <w:p w14:paraId="099BBA1A"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SHPP</w:t>
            </w:r>
          </w:p>
        </w:tc>
        <w:tc>
          <w:tcPr>
            <w:tcW w:w="7400" w:type="dxa"/>
            <w:vAlign w:val="center"/>
            <w:hideMark/>
          </w:tcPr>
          <w:p w14:paraId="363F2959"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Small (mini) hydro power plants</w:t>
            </w:r>
          </w:p>
        </w:tc>
      </w:tr>
      <w:tr w:rsidR="000F35FA" w:rsidRPr="007C4D65" w14:paraId="3C79A29F" w14:textId="77777777" w:rsidTr="00E14E3A">
        <w:tc>
          <w:tcPr>
            <w:tcW w:w="1809" w:type="dxa"/>
            <w:vAlign w:val="center"/>
          </w:tcPr>
          <w:p w14:paraId="266ACC78" w14:textId="77777777" w:rsidR="000F35FA" w:rsidRPr="007C4D65" w:rsidRDefault="000F35FA" w:rsidP="0068355A">
            <w:pPr>
              <w:spacing w:line="276" w:lineRule="auto"/>
              <w:rPr>
                <w:rFonts w:asciiTheme="minorHAnsi" w:hAnsiTheme="minorHAnsi" w:cstheme="minorHAnsi"/>
                <w:b/>
                <w:bCs/>
                <w:sz w:val="18"/>
                <w:szCs w:val="18"/>
              </w:rPr>
            </w:pPr>
            <w:proofErr w:type="spellStart"/>
            <w:r w:rsidRPr="007C4D65">
              <w:rPr>
                <w:rFonts w:asciiTheme="minorHAnsi" w:hAnsiTheme="minorHAnsi" w:cstheme="minorHAnsi"/>
                <w:b/>
                <w:sz w:val="18"/>
              </w:rPr>
              <w:t>Sida</w:t>
            </w:r>
            <w:proofErr w:type="spellEnd"/>
          </w:p>
        </w:tc>
        <w:tc>
          <w:tcPr>
            <w:tcW w:w="7400" w:type="dxa"/>
            <w:vAlign w:val="center"/>
            <w:hideMark/>
          </w:tcPr>
          <w:p w14:paraId="6A32DDF3"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Swedish International Development Cooperation Agency</w:t>
            </w:r>
          </w:p>
        </w:tc>
      </w:tr>
      <w:tr w:rsidR="000F35FA" w:rsidRPr="007C4D65" w14:paraId="65145761" w14:textId="77777777" w:rsidTr="00E14E3A">
        <w:tc>
          <w:tcPr>
            <w:tcW w:w="1809" w:type="dxa"/>
            <w:vAlign w:val="center"/>
          </w:tcPr>
          <w:p w14:paraId="21608475" w14:textId="77777777" w:rsidR="000F35FA" w:rsidRPr="007C4D65" w:rsidRDefault="000F35FA" w:rsidP="0068355A">
            <w:pPr>
              <w:spacing w:line="276" w:lineRule="auto"/>
              <w:rPr>
                <w:rFonts w:asciiTheme="minorHAnsi" w:hAnsiTheme="minorHAnsi" w:cstheme="minorHAnsi"/>
                <w:b/>
                <w:bCs/>
                <w:sz w:val="18"/>
                <w:szCs w:val="18"/>
              </w:rPr>
            </w:pPr>
            <w:proofErr w:type="spellStart"/>
            <w:r w:rsidRPr="007C4D65">
              <w:rPr>
                <w:rFonts w:asciiTheme="minorHAnsi" w:hAnsiTheme="minorHAnsi" w:cstheme="minorHAnsi"/>
                <w:b/>
                <w:sz w:val="18"/>
              </w:rPr>
              <w:t>SoER</w:t>
            </w:r>
            <w:proofErr w:type="spellEnd"/>
          </w:p>
        </w:tc>
        <w:tc>
          <w:tcPr>
            <w:tcW w:w="7400" w:type="dxa"/>
            <w:vAlign w:val="center"/>
          </w:tcPr>
          <w:p w14:paraId="0EC6360D"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European Environment – State and Outlook</w:t>
            </w:r>
          </w:p>
        </w:tc>
      </w:tr>
      <w:tr w:rsidR="000F35FA" w:rsidRPr="007C4D65" w14:paraId="0B339C82" w14:textId="77777777" w:rsidTr="00E14E3A">
        <w:tc>
          <w:tcPr>
            <w:tcW w:w="1809" w:type="dxa"/>
            <w:vAlign w:val="center"/>
          </w:tcPr>
          <w:p w14:paraId="58690917"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SRBA</w:t>
            </w:r>
          </w:p>
        </w:tc>
        <w:tc>
          <w:tcPr>
            <w:tcW w:w="7400" w:type="dxa"/>
            <w:vAlign w:val="center"/>
            <w:hideMark/>
          </w:tcPr>
          <w:p w14:paraId="508EA3ED"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Sava River Basin Agency</w:t>
            </w:r>
          </w:p>
        </w:tc>
      </w:tr>
      <w:tr w:rsidR="000F35FA" w:rsidRPr="007C4D65" w14:paraId="297648C5" w14:textId="77777777" w:rsidTr="00E14E3A">
        <w:tc>
          <w:tcPr>
            <w:tcW w:w="1809" w:type="dxa"/>
            <w:vAlign w:val="center"/>
          </w:tcPr>
          <w:p w14:paraId="5607DFCC"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TPH</w:t>
            </w:r>
          </w:p>
        </w:tc>
        <w:tc>
          <w:tcPr>
            <w:tcW w:w="7400" w:type="dxa"/>
            <w:vAlign w:val="center"/>
            <w:hideMark/>
          </w:tcPr>
          <w:p w14:paraId="07217446"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Total Petroleum Hydrocarbon</w:t>
            </w:r>
          </w:p>
        </w:tc>
      </w:tr>
      <w:tr w:rsidR="000F35FA" w:rsidRPr="007C4D65" w14:paraId="5CBF6348" w14:textId="77777777" w:rsidTr="00E14E3A">
        <w:tc>
          <w:tcPr>
            <w:tcW w:w="1809" w:type="dxa"/>
            <w:vAlign w:val="center"/>
          </w:tcPr>
          <w:p w14:paraId="39D26EE8"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UN</w:t>
            </w:r>
          </w:p>
        </w:tc>
        <w:tc>
          <w:tcPr>
            <w:tcW w:w="7400" w:type="dxa"/>
            <w:vAlign w:val="center"/>
            <w:hideMark/>
          </w:tcPr>
          <w:p w14:paraId="58F57CBE"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United Nations</w:t>
            </w:r>
          </w:p>
        </w:tc>
      </w:tr>
      <w:tr w:rsidR="000F35FA" w:rsidRPr="007C4D65" w14:paraId="76C439E0" w14:textId="77777777" w:rsidTr="00E14E3A">
        <w:tc>
          <w:tcPr>
            <w:tcW w:w="1809" w:type="dxa"/>
            <w:vAlign w:val="center"/>
          </w:tcPr>
          <w:p w14:paraId="3550AE54"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UNCBD</w:t>
            </w:r>
          </w:p>
        </w:tc>
        <w:tc>
          <w:tcPr>
            <w:tcW w:w="7400" w:type="dxa"/>
            <w:vAlign w:val="center"/>
            <w:hideMark/>
          </w:tcPr>
          <w:p w14:paraId="733C98F1"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United Nations Convention on Biodiversity</w:t>
            </w:r>
          </w:p>
        </w:tc>
      </w:tr>
      <w:tr w:rsidR="000F35FA" w:rsidRPr="007C4D65" w14:paraId="68796EB3" w14:textId="77777777" w:rsidTr="00E14E3A">
        <w:tc>
          <w:tcPr>
            <w:tcW w:w="1809" w:type="dxa"/>
            <w:vAlign w:val="center"/>
          </w:tcPr>
          <w:p w14:paraId="60ED4EF8"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UNDP</w:t>
            </w:r>
          </w:p>
        </w:tc>
        <w:tc>
          <w:tcPr>
            <w:tcW w:w="7400" w:type="dxa"/>
            <w:vAlign w:val="center"/>
            <w:hideMark/>
          </w:tcPr>
          <w:p w14:paraId="0AFB5F08"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 xml:space="preserve">United Nations Development Programme </w:t>
            </w:r>
          </w:p>
        </w:tc>
      </w:tr>
      <w:tr w:rsidR="000F35FA" w:rsidRPr="007C4D65" w14:paraId="18D118EA" w14:textId="77777777" w:rsidTr="00E14E3A">
        <w:tc>
          <w:tcPr>
            <w:tcW w:w="1809" w:type="dxa"/>
            <w:vAlign w:val="center"/>
          </w:tcPr>
          <w:p w14:paraId="1598BD18"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UNECE</w:t>
            </w:r>
          </w:p>
        </w:tc>
        <w:tc>
          <w:tcPr>
            <w:tcW w:w="7400" w:type="dxa"/>
            <w:vAlign w:val="center"/>
            <w:hideMark/>
          </w:tcPr>
          <w:p w14:paraId="1F9B030F"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United Nations Economic Commission for Europe</w:t>
            </w:r>
          </w:p>
        </w:tc>
      </w:tr>
      <w:tr w:rsidR="000F35FA" w:rsidRPr="007C4D65" w14:paraId="7FF93DC7" w14:textId="77777777" w:rsidTr="00E14E3A">
        <w:tc>
          <w:tcPr>
            <w:tcW w:w="1809" w:type="dxa"/>
            <w:vAlign w:val="center"/>
          </w:tcPr>
          <w:p w14:paraId="28B580E8"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UNEP</w:t>
            </w:r>
          </w:p>
        </w:tc>
        <w:tc>
          <w:tcPr>
            <w:tcW w:w="7400" w:type="dxa"/>
            <w:vAlign w:val="center"/>
            <w:hideMark/>
          </w:tcPr>
          <w:p w14:paraId="561F0B16"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United Nations Environment Programme</w:t>
            </w:r>
          </w:p>
        </w:tc>
      </w:tr>
      <w:tr w:rsidR="000F35FA" w:rsidRPr="007C4D65" w14:paraId="1CA78F28" w14:textId="77777777" w:rsidTr="00E14E3A">
        <w:tc>
          <w:tcPr>
            <w:tcW w:w="1809" w:type="dxa"/>
            <w:vAlign w:val="center"/>
          </w:tcPr>
          <w:p w14:paraId="17C405FD"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UNEP/MAP</w:t>
            </w:r>
          </w:p>
        </w:tc>
        <w:tc>
          <w:tcPr>
            <w:tcW w:w="7400" w:type="dxa"/>
            <w:vAlign w:val="center"/>
            <w:hideMark/>
          </w:tcPr>
          <w:p w14:paraId="562676C7"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Mediterranean Action Plan</w:t>
            </w:r>
          </w:p>
        </w:tc>
      </w:tr>
      <w:tr w:rsidR="000F35FA" w:rsidRPr="007C4D65" w14:paraId="185C7BDA" w14:textId="77777777" w:rsidTr="00E14E3A">
        <w:tc>
          <w:tcPr>
            <w:tcW w:w="1809" w:type="dxa"/>
            <w:vAlign w:val="center"/>
          </w:tcPr>
          <w:p w14:paraId="632BA35B"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USAID</w:t>
            </w:r>
          </w:p>
        </w:tc>
        <w:tc>
          <w:tcPr>
            <w:tcW w:w="7400" w:type="dxa"/>
            <w:vAlign w:val="center"/>
            <w:hideMark/>
          </w:tcPr>
          <w:p w14:paraId="1C26D23F"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United States Agency for International Development</w:t>
            </w:r>
          </w:p>
        </w:tc>
      </w:tr>
      <w:tr w:rsidR="000F35FA" w:rsidRPr="007C4D65" w14:paraId="2A836FEB" w14:textId="77777777" w:rsidTr="00E14E3A">
        <w:tc>
          <w:tcPr>
            <w:tcW w:w="1809" w:type="dxa"/>
            <w:vAlign w:val="center"/>
          </w:tcPr>
          <w:p w14:paraId="2F08202E"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WB</w:t>
            </w:r>
          </w:p>
        </w:tc>
        <w:tc>
          <w:tcPr>
            <w:tcW w:w="7400" w:type="dxa"/>
            <w:vAlign w:val="center"/>
            <w:hideMark/>
          </w:tcPr>
          <w:p w14:paraId="65C75136"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Water bodies</w:t>
            </w:r>
          </w:p>
        </w:tc>
      </w:tr>
      <w:tr w:rsidR="000F35FA" w:rsidRPr="007C4D65" w14:paraId="236D7B22" w14:textId="77777777" w:rsidTr="00E14E3A">
        <w:tc>
          <w:tcPr>
            <w:tcW w:w="1809" w:type="dxa"/>
            <w:vAlign w:val="center"/>
          </w:tcPr>
          <w:p w14:paraId="0F69420C"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WFD</w:t>
            </w:r>
          </w:p>
        </w:tc>
        <w:tc>
          <w:tcPr>
            <w:tcW w:w="7400" w:type="dxa"/>
            <w:vAlign w:val="center"/>
            <w:hideMark/>
          </w:tcPr>
          <w:p w14:paraId="54177843"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Water Framework Directive</w:t>
            </w:r>
          </w:p>
        </w:tc>
      </w:tr>
      <w:tr w:rsidR="000F35FA" w:rsidRPr="007C4D65" w14:paraId="641235A8" w14:textId="77777777" w:rsidTr="00E14E3A">
        <w:tc>
          <w:tcPr>
            <w:tcW w:w="1809" w:type="dxa"/>
            <w:vAlign w:val="center"/>
          </w:tcPr>
          <w:p w14:paraId="3A198432"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WIS</w:t>
            </w:r>
          </w:p>
        </w:tc>
        <w:tc>
          <w:tcPr>
            <w:tcW w:w="7400" w:type="dxa"/>
            <w:vAlign w:val="center"/>
            <w:hideMark/>
          </w:tcPr>
          <w:p w14:paraId="7FF13885"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Water Information System</w:t>
            </w:r>
          </w:p>
        </w:tc>
      </w:tr>
      <w:tr w:rsidR="000F35FA" w:rsidRPr="007C4D65" w14:paraId="63B9DA5B" w14:textId="77777777" w:rsidTr="00E14E3A">
        <w:tc>
          <w:tcPr>
            <w:tcW w:w="1809" w:type="dxa"/>
            <w:vAlign w:val="center"/>
          </w:tcPr>
          <w:p w14:paraId="29A16B3D" w14:textId="77777777" w:rsidR="000F35FA" w:rsidRPr="007C4D65" w:rsidRDefault="000F35FA" w:rsidP="0068355A">
            <w:pPr>
              <w:spacing w:line="276" w:lineRule="auto"/>
              <w:rPr>
                <w:rFonts w:asciiTheme="minorHAnsi" w:hAnsiTheme="minorHAnsi" w:cstheme="minorHAnsi"/>
                <w:b/>
                <w:bCs/>
                <w:sz w:val="18"/>
                <w:szCs w:val="18"/>
              </w:rPr>
            </w:pPr>
            <w:r w:rsidRPr="007C4D65">
              <w:rPr>
                <w:rFonts w:asciiTheme="minorHAnsi" w:hAnsiTheme="minorHAnsi" w:cstheme="minorHAnsi"/>
                <w:b/>
                <w:sz w:val="18"/>
              </w:rPr>
              <w:t>WMS</w:t>
            </w:r>
          </w:p>
        </w:tc>
        <w:tc>
          <w:tcPr>
            <w:tcW w:w="7400" w:type="dxa"/>
            <w:vAlign w:val="center"/>
            <w:hideMark/>
          </w:tcPr>
          <w:p w14:paraId="309BCAA5" w14:textId="77777777" w:rsidR="000F35FA" w:rsidRPr="007C4D65" w:rsidRDefault="000F35FA" w:rsidP="0068355A">
            <w:pPr>
              <w:spacing w:line="276" w:lineRule="auto"/>
              <w:rPr>
                <w:rFonts w:asciiTheme="minorHAnsi" w:hAnsiTheme="minorHAnsi" w:cstheme="minorHAnsi"/>
                <w:iCs/>
                <w:sz w:val="18"/>
                <w:szCs w:val="18"/>
              </w:rPr>
            </w:pPr>
            <w:r w:rsidRPr="007C4D65">
              <w:rPr>
                <w:rFonts w:asciiTheme="minorHAnsi" w:hAnsiTheme="minorHAnsi" w:cstheme="minorHAnsi"/>
                <w:iCs/>
                <w:sz w:val="18"/>
              </w:rPr>
              <w:t>Water Management Strategy</w:t>
            </w:r>
          </w:p>
        </w:tc>
      </w:tr>
    </w:tbl>
    <w:p w14:paraId="3915A3A4" w14:textId="77777777" w:rsidR="00514AA2" w:rsidRPr="007C4D65" w:rsidRDefault="00514AA2" w:rsidP="0068355A">
      <w:pPr>
        <w:spacing w:line="276" w:lineRule="auto"/>
        <w:rPr>
          <w:rFonts w:asciiTheme="minorHAnsi" w:hAnsiTheme="minorHAnsi" w:cstheme="minorHAnsi"/>
          <w:i/>
          <w:sz w:val="22"/>
          <w:szCs w:val="22"/>
        </w:rPr>
        <w:sectPr w:rsidR="00514AA2" w:rsidRPr="007C4D65" w:rsidSect="002524A5">
          <w:pgSz w:w="11906" w:h="16838"/>
          <w:pgMar w:top="1440" w:right="1440" w:bottom="1440" w:left="1440" w:header="708" w:footer="708" w:gutter="0"/>
          <w:cols w:space="708"/>
          <w:docGrid w:linePitch="360"/>
        </w:sectPr>
      </w:pPr>
    </w:p>
    <w:p w14:paraId="0E33A8C4" w14:textId="77777777" w:rsidR="001F77A8" w:rsidRPr="007C4D65" w:rsidRDefault="001F77A8" w:rsidP="0068355A">
      <w:pPr>
        <w:spacing w:line="276" w:lineRule="auto"/>
        <w:rPr>
          <w:rFonts w:asciiTheme="minorHAnsi" w:hAnsiTheme="minorHAnsi" w:cstheme="minorHAnsi"/>
          <w:b/>
          <w:color w:val="808080"/>
          <w:sz w:val="32"/>
          <w:szCs w:val="32"/>
        </w:rPr>
      </w:pPr>
      <w:r w:rsidRPr="007C4D65">
        <w:rPr>
          <w:rFonts w:asciiTheme="minorHAnsi" w:hAnsiTheme="minorHAnsi" w:cstheme="minorHAnsi"/>
          <w:b/>
          <w:color w:val="808080"/>
          <w:sz w:val="32"/>
        </w:rPr>
        <w:lastRenderedPageBreak/>
        <w:t>List of Tables</w:t>
      </w:r>
    </w:p>
    <w:p w14:paraId="6EDE270A" w14:textId="77777777" w:rsidR="007A7D73" w:rsidRPr="007C4D65" w:rsidRDefault="007A7D73" w:rsidP="0068355A">
      <w:pPr>
        <w:spacing w:line="276" w:lineRule="auto"/>
        <w:rPr>
          <w:rFonts w:asciiTheme="minorHAnsi" w:hAnsiTheme="minorHAnsi" w:cstheme="minorHAnsi"/>
          <w:i/>
          <w:sz w:val="18"/>
          <w:szCs w:val="18"/>
        </w:rPr>
      </w:pPr>
    </w:p>
    <w:bookmarkStart w:id="2" w:name="_Hlk103628727"/>
    <w:p w14:paraId="364C3538" w14:textId="0665CF2B" w:rsidR="00F36FD1" w:rsidRPr="007C4D65" w:rsidRDefault="001F0C02">
      <w:pPr>
        <w:pStyle w:val="TableofFigures"/>
        <w:tabs>
          <w:tab w:val="right" w:leader="dot" w:pos="9016"/>
        </w:tabs>
        <w:rPr>
          <w:rFonts w:asciiTheme="minorHAnsi" w:eastAsiaTheme="minorEastAsia" w:hAnsiTheme="minorHAnsi" w:cstheme="minorHAnsi"/>
          <w:i/>
          <w:noProof/>
          <w:sz w:val="20"/>
          <w:szCs w:val="20"/>
          <w:lang w:val="bs-Latn-BA" w:eastAsia="bs-Latn-BA"/>
        </w:rPr>
      </w:pPr>
      <w:r w:rsidRPr="007C4D65">
        <w:rPr>
          <w:rFonts w:asciiTheme="minorHAnsi" w:hAnsiTheme="minorHAnsi" w:cstheme="minorHAnsi"/>
          <w:i/>
          <w:sz w:val="20"/>
          <w:szCs w:val="20"/>
        </w:rPr>
        <w:fldChar w:fldCharType="begin"/>
      </w:r>
      <w:r w:rsidRPr="007C4D65">
        <w:rPr>
          <w:rFonts w:asciiTheme="minorHAnsi" w:hAnsiTheme="minorHAnsi" w:cstheme="minorHAnsi"/>
          <w:i/>
          <w:sz w:val="20"/>
          <w:szCs w:val="20"/>
        </w:rPr>
        <w:instrText xml:space="preserve"> TOC \h \z \c "Tabela" </w:instrText>
      </w:r>
      <w:r w:rsidRPr="007C4D65">
        <w:rPr>
          <w:rFonts w:asciiTheme="minorHAnsi" w:hAnsiTheme="minorHAnsi" w:cstheme="minorHAnsi"/>
          <w:i/>
          <w:sz w:val="20"/>
          <w:szCs w:val="20"/>
        </w:rPr>
        <w:fldChar w:fldCharType="separate"/>
      </w:r>
      <w:hyperlink w:anchor="_Toc117011580" w:history="1">
        <w:r w:rsidR="00F36FD1" w:rsidRPr="007C4D65">
          <w:rPr>
            <w:rStyle w:val="Hyperlink"/>
            <w:rFonts w:asciiTheme="minorHAnsi" w:eastAsiaTheme="majorEastAsia" w:hAnsiTheme="minorHAnsi" w:cstheme="minorHAnsi"/>
            <w:i/>
            <w:noProof/>
            <w:sz w:val="20"/>
            <w:szCs w:val="20"/>
          </w:rPr>
          <w:t>Table 1: Summary of strategic goals by thematic areas</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_Toc117011580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10</w:t>
        </w:r>
        <w:r w:rsidR="00F36FD1" w:rsidRPr="007C4D65">
          <w:rPr>
            <w:rStyle w:val="Hyperlink"/>
            <w:rFonts w:asciiTheme="minorHAnsi" w:eastAsiaTheme="majorEastAsia" w:hAnsiTheme="minorHAnsi" w:cstheme="minorHAnsi"/>
            <w:i/>
            <w:noProof/>
            <w:sz w:val="20"/>
            <w:szCs w:val="20"/>
          </w:rPr>
          <w:fldChar w:fldCharType="end"/>
        </w:r>
      </w:hyperlink>
    </w:p>
    <w:p w14:paraId="24A28122" w14:textId="5C05BB48"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81" w:history="1">
        <w:r w:rsidR="00F36FD1" w:rsidRPr="007C4D65">
          <w:rPr>
            <w:rStyle w:val="Hyperlink"/>
            <w:rFonts w:asciiTheme="minorHAnsi" w:eastAsiaTheme="majorEastAsia" w:hAnsiTheme="minorHAnsi" w:cstheme="minorHAnsi"/>
            <w:i/>
            <w:noProof/>
            <w:sz w:val="20"/>
            <w:szCs w:val="20"/>
          </w:rPr>
          <w:t>Table 2: Priorities classified by the relevant strategic goals– and/or environmental thematic areas</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_Toc117011581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11</w:t>
        </w:r>
        <w:r w:rsidR="00F36FD1" w:rsidRPr="007C4D65">
          <w:rPr>
            <w:rStyle w:val="Hyperlink"/>
            <w:rFonts w:asciiTheme="minorHAnsi" w:eastAsiaTheme="majorEastAsia" w:hAnsiTheme="minorHAnsi" w:cstheme="minorHAnsi"/>
            <w:i/>
            <w:noProof/>
            <w:sz w:val="20"/>
            <w:szCs w:val="20"/>
          </w:rPr>
          <w:fldChar w:fldCharType="end"/>
        </w:r>
      </w:hyperlink>
    </w:p>
    <w:p w14:paraId="0940BC63" w14:textId="595CEF69"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82" w:history="1">
        <w:r w:rsidR="00F36FD1" w:rsidRPr="007C4D65">
          <w:rPr>
            <w:rStyle w:val="Hyperlink"/>
            <w:rFonts w:asciiTheme="minorHAnsi" w:eastAsiaTheme="majorEastAsia" w:hAnsiTheme="minorHAnsi" w:cstheme="minorHAnsi"/>
            <w:i/>
            <w:noProof/>
            <w:sz w:val="20"/>
            <w:szCs w:val="20"/>
          </w:rPr>
          <w:t xml:space="preserve">Table 3: </w:t>
        </w:r>
        <w:r w:rsidR="00F36FD1" w:rsidRPr="007C4D65">
          <w:rPr>
            <w:rStyle w:val="Hyperlink"/>
            <w:rFonts w:asciiTheme="minorHAnsi" w:eastAsiaTheme="majorEastAsia" w:hAnsiTheme="minorHAnsi" w:cstheme="minorHAnsi"/>
            <w:bCs/>
            <w:i/>
            <w:noProof/>
            <w:sz w:val="20"/>
            <w:szCs w:val="20"/>
          </w:rPr>
          <w:t>Balance of surface waters for the territory of the Federation of BiH</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_Toc117011582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17</w:t>
        </w:r>
        <w:r w:rsidR="00F36FD1" w:rsidRPr="007C4D65">
          <w:rPr>
            <w:rStyle w:val="Hyperlink"/>
            <w:rFonts w:asciiTheme="minorHAnsi" w:eastAsiaTheme="majorEastAsia" w:hAnsiTheme="minorHAnsi" w:cstheme="minorHAnsi"/>
            <w:i/>
            <w:noProof/>
            <w:sz w:val="20"/>
            <w:szCs w:val="20"/>
          </w:rPr>
          <w:fldChar w:fldCharType="end"/>
        </w:r>
      </w:hyperlink>
    </w:p>
    <w:p w14:paraId="1387DCF0" w14:textId="4BA9958C"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83" w:history="1">
        <w:r w:rsidR="00F36FD1" w:rsidRPr="007C4D65">
          <w:rPr>
            <w:rStyle w:val="Hyperlink"/>
            <w:rFonts w:asciiTheme="minorHAnsi" w:eastAsiaTheme="majorEastAsia" w:hAnsiTheme="minorHAnsi" w:cstheme="minorHAnsi"/>
            <w:i/>
            <w:noProof/>
            <w:sz w:val="20"/>
            <w:szCs w:val="20"/>
          </w:rPr>
          <w:t>Table 4: Number and type/character of surface and ground water bodies in the areas of the Sava River and Adriatic Sea</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_Toc117011583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17</w:t>
        </w:r>
        <w:r w:rsidR="00F36FD1" w:rsidRPr="007C4D65">
          <w:rPr>
            <w:rStyle w:val="Hyperlink"/>
            <w:rFonts w:asciiTheme="minorHAnsi" w:eastAsiaTheme="majorEastAsia" w:hAnsiTheme="minorHAnsi" w:cstheme="minorHAnsi"/>
            <w:i/>
            <w:noProof/>
            <w:sz w:val="20"/>
            <w:szCs w:val="20"/>
          </w:rPr>
          <w:fldChar w:fldCharType="end"/>
        </w:r>
      </w:hyperlink>
    </w:p>
    <w:p w14:paraId="5E3394CA" w14:textId="0DF2E21F"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84" w:history="1">
        <w:r w:rsidR="00F36FD1" w:rsidRPr="007C4D65">
          <w:rPr>
            <w:rStyle w:val="Hyperlink"/>
            <w:rFonts w:asciiTheme="minorHAnsi" w:eastAsiaTheme="majorEastAsia" w:hAnsiTheme="minorHAnsi" w:cstheme="minorHAnsi"/>
            <w:i/>
            <w:noProof/>
            <w:sz w:val="20"/>
            <w:szCs w:val="20"/>
          </w:rPr>
          <w:t>Table 5: Main characteristics of the water services sector in the Federation of BiH</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_Toc117011584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25</w:t>
        </w:r>
        <w:r w:rsidR="00F36FD1" w:rsidRPr="007C4D65">
          <w:rPr>
            <w:rStyle w:val="Hyperlink"/>
            <w:rFonts w:asciiTheme="minorHAnsi" w:eastAsiaTheme="majorEastAsia" w:hAnsiTheme="minorHAnsi" w:cstheme="minorHAnsi"/>
            <w:i/>
            <w:noProof/>
            <w:sz w:val="20"/>
            <w:szCs w:val="20"/>
          </w:rPr>
          <w:fldChar w:fldCharType="end"/>
        </w:r>
      </w:hyperlink>
    </w:p>
    <w:p w14:paraId="7BDFECA9" w14:textId="5B35F94A"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85" w:history="1">
        <w:r w:rsidR="00F36FD1" w:rsidRPr="007C4D65">
          <w:rPr>
            <w:rStyle w:val="Hyperlink"/>
            <w:rFonts w:asciiTheme="minorHAnsi" w:eastAsiaTheme="majorEastAsia" w:hAnsiTheme="minorHAnsi" w:cstheme="minorHAnsi"/>
            <w:i/>
            <w:noProof/>
            <w:sz w:val="20"/>
            <w:szCs w:val="20"/>
          </w:rPr>
          <w:t>Table 6: Transposition status of EU water directives in legislation of the Federation of BiH</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_Toc117011585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27</w:t>
        </w:r>
        <w:r w:rsidR="00F36FD1" w:rsidRPr="007C4D65">
          <w:rPr>
            <w:rStyle w:val="Hyperlink"/>
            <w:rFonts w:asciiTheme="minorHAnsi" w:eastAsiaTheme="majorEastAsia" w:hAnsiTheme="minorHAnsi" w:cstheme="minorHAnsi"/>
            <w:i/>
            <w:noProof/>
            <w:sz w:val="20"/>
            <w:szCs w:val="20"/>
          </w:rPr>
          <w:fldChar w:fldCharType="end"/>
        </w:r>
      </w:hyperlink>
    </w:p>
    <w:p w14:paraId="58870315" w14:textId="1CF52436"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86" w:history="1">
        <w:r w:rsidR="00F36FD1" w:rsidRPr="007C4D65">
          <w:rPr>
            <w:rStyle w:val="Hyperlink"/>
            <w:rFonts w:asciiTheme="minorHAnsi" w:eastAsiaTheme="majorEastAsia" w:hAnsiTheme="minorHAnsi" w:cstheme="minorHAnsi"/>
            <w:i/>
            <w:noProof/>
            <w:sz w:val="20"/>
            <w:szCs w:val="20"/>
          </w:rPr>
          <w:t>Table 7: Implementation of river basin management plans (I cycle)</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_Toc117011586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29</w:t>
        </w:r>
        <w:r w:rsidR="00F36FD1" w:rsidRPr="007C4D65">
          <w:rPr>
            <w:rStyle w:val="Hyperlink"/>
            <w:rFonts w:asciiTheme="minorHAnsi" w:eastAsiaTheme="majorEastAsia" w:hAnsiTheme="minorHAnsi" w:cstheme="minorHAnsi"/>
            <w:i/>
            <w:noProof/>
            <w:sz w:val="20"/>
            <w:szCs w:val="20"/>
          </w:rPr>
          <w:fldChar w:fldCharType="end"/>
        </w:r>
      </w:hyperlink>
    </w:p>
    <w:p w14:paraId="4E8E27DA" w14:textId="424C2D7C"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87" w:history="1">
        <w:r w:rsidR="00F36FD1" w:rsidRPr="007C4D65">
          <w:rPr>
            <w:rStyle w:val="Hyperlink"/>
            <w:rFonts w:asciiTheme="minorHAnsi" w:eastAsiaTheme="majorEastAsia" w:hAnsiTheme="minorHAnsi" w:cstheme="minorHAnsi"/>
            <w:i/>
            <w:noProof/>
            <w:sz w:val="20"/>
            <w:szCs w:val="20"/>
          </w:rPr>
          <w:t>Table 8: Impact indicators for Strategic objective 1</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_Toc117011587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36</w:t>
        </w:r>
        <w:r w:rsidR="00F36FD1" w:rsidRPr="007C4D65">
          <w:rPr>
            <w:rStyle w:val="Hyperlink"/>
            <w:rFonts w:asciiTheme="minorHAnsi" w:eastAsiaTheme="majorEastAsia" w:hAnsiTheme="minorHAnsi" w:cstheme="minorHAnsi"/>
            <w:i/>
            <w:noProof/>
            <w:sz w:val="20"/>
            <w:szCs w:val="20"/>
          </w:rPr>
          <w:fldChar w:fldCharType="end"/>
        </w:r>
      </w:hyperlink>
    </w:p>
    <w:p w14:paraId="3E9BAD43" w14:textId="7D527F46"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88" w:history="1">
        <w:r w:rsidR="00F36FD1" w:rsidRPr="007C4D65">
          <w:rPr>
            <w:rStyle w:val="Hyperlink"/>
            <w:rFonts w:asciiTheme="minorHAnsi" w:eastAsiaTheme="majorEastAsia" w:hAnsiTheme="minorHAnsi" w:cstheme="minorHAnsi"/>
            <w:i/>
            <w:noProof/>
            <w:sz w:val="20"/>
            <w:szCs w:val="20"/>
          </w:rPr>
          <w:t>Table 9: Priorities with relevant indicators</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_Toc117011588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37</w:t>
        </w:r>
        <w:r w:rsidR="00F36FD1" w:rsidRPr="007C4D65">
          <w:rPr>
            <w:rStyle w:val="Hyperlink"/>
            <w:rFonts w:asciiTheme="minorHAnsi" w:eastAsiaTheme="majorEastAsia" w:hAnsiTheme="minorHAnsi" w:cstheme="minorHAnsi"/>
            <w:i/>
            <w:noProof/>
            <w:sz w:val="20"/>
            <w:szCs w:val="20"/>
          </w:rPr>
          <w:fldChar w:fldCharType="end"/>
        </w:r>
      </w:hyperlink>
    </w:p>
    <w:p w14:paraId="7552BFB9" w14:textId="53EF29CF"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89" w:history="1">
        <w:r w:rsidR="00F36FD1" w:rsidRPr="007C4D65">
          <w:rPr>
            <w:rStyle w:val="Hyperlink"/>
            <w:rFonts w:asciiTheme="minorHAnsi" w:eastAsiaTheme="majorEastAsia" w:hAnsiTheme="minorHAnsi" w:cstheme="minorHAnsi"/>
            <w:i/>
            <w:noProof/>
            <w:sz w:val="20"/>
            <w:szCs w:val="20"/>
          </w:rPr>
          <w:t>Table 10: Indicators of the current situation in the waste sector in Federation of BiH:</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_Toc117011589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47</w:t>
        </w:r>
        <w:r w:rsidR="00F36FD1" w:rsidRPr="007C4D65">
          <w:rPr>
            <w:rStyle w:val="Hyperlink"/>
            <w:rFonts w:asciiTheme="minorHAnsi" w:eastAsiaTheme="majorEastAsia" w:hAnsiTheme="minorHAnsi" w:cstheme="minorHAnsi"/>
            <w:i/>
            <w:noProof/>
            <w:sz w:val="20"/>
            <w:szCs w:val="20"/>
          </w:rPr>
          <w:fldChar w:fldCharType="end"/>
        </w:r>
      </w:hyperlink>
    </w:p>
    <w:p w14:paraId="02921AFD" w14:textId="7575B61C"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90" w:history="1">
        <w:r w:rsidR="00F36FD1" w:rsidRPr="007C4D65">
          <w:rPr>
            <w:rStyle w:val="Hyperlink"/>
            <w:rFonts w:asciiTheme="minorHAnsi" w:eastAsiaTheme="majorEastAsia" w:hAnsiTheme="minorHAnsi" w:cstheme="minorHAnsi"/>
            <w:i/>
            <w:noProof/>
            <w:sz w:val="20"/>
            <w:szCs w:val="20"/>
          </w:rPr>
          <w:t>Table 11: Impact indicators for strategic goal 2</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_Toc117011590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52</w:t>
        </w:r>
        <w:r w:rsidR="00F36FD1" w:rsidRPr="007C4D65">
          <w:rPr>
            <w:rStyle w:val="Hyperlink"/>
            <w:rFonts w:asciiTheme="minorHAnsi" w:eastAsiaTheme="majorEastAsia" w:hAnsiTheme="minorHAnsi" w:cstheme="minorHAnsi"/>
            <w:i/>
            <w:noProof/>
            <w:sz w:val="20"/>
            <w:szCs w:val="20"/>
          </w:rPr>
          <w:fldChar w:fldCharType="end"/>
        </w:r>
      </w:hyperlink>
    </w:p>
    <w:p w14:paraId="3A221C46" w14:textId="712D87C6"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91" w:history="1">
        <w:r w:rsidR="00F36FD1" w:rsidRPr="007C4D65">
          <w:rPr>
            <w:rStyle w:val="Hyperlink"/>
            <w:rFonts w:asciiTheme="minorHAnsi" w:eastAsiaTheme="majorEastAsia" w:hAnsiTheme="minorHAnsi" w:cstheme="minorHAnsi"/>
            <w:i/>
            <w:noProof/>
            <w:sz w:val="20"/>
            <w:szCs w:val="20"/>
          </w:rPr>
          <w:t>Table 12: Priorities with relevant indicators</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_Toc117011591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53</w:t>
        </w:r>
        <w:r w:rsidR="00F36FD1" w:rsidRPr="007C4D65">
          <w:rPr>
            <w:rStyle w:val="Hyperlink"/>
            <w:rFonts w:asciiTheme="minorHAnsi" w:eastAsiaTheme="majorEastAsia" w:hAnsiTheme="minorHAnsi" w:cstheme="minorHAnsi"/>
            <w:i/>
            <w:noProof/>
            <w:sz w:val="20"/>
            <w:szCs w:val="20"/>
          </w:rPr>
          <w:fldChar w:fldCharType="end"/>
        </w:r>
      </w:hyperlink>
    </w:p>
    <w:p w14:paraId="49A38465" w14:textId="5F1732E0"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92" w:history="1">
        <w:r w:rsidR="00F36FD1" w:rsidRPr="007C4D65">
          <w:rPr>
            <w:rStyle w:val="Hyperlink"/>
            <w:rFonts w:asciiTheme="minorHAnsi" w:eastAsiaTheme="majorEastAsia" w:hAnsiTheme="minorHAnsi" w:cstheme="minorHAnsi"/>
            <w:i/>
            <w:noProof/>
            <w:sz w:val="20"/>
            <w:szCs w:val="20"/>
          </w:rPr>
          <w:t xml:space="preserve">Table 13: The ratio of the total number of species of certain groups of organisms and the number of endangered species in the </w:t>
        </w:r>
        <w:r w:rsidR="008C23C0" w:rsidRPr="007C4D65">
          <w:rPr>
            <w:rStyle w:val="Hyperlink"/>
            <w:rFonts w:asciiTheme="minorHAnsi" w:eastAsiaTheme="majorEastAsia" w:hAnsiTheme="minorHAnsi" w:cstheme="minorHAnsi"/>
            <w:i/>
            <w:noProof/>
            <w:sz w:val="20"/>
            <w:szCs w:val="20"/>
          </w:rPr>
          <w:t>the Federation of BiH</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_Toc117011592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60</w:t>
        </w:r>
        <w:r w:rsidR="00F36FD1" w:rsidRPr="007C4D65">
          <w:rPr>
            <w:rStyle w:val="Hyperlink"/>
            <w:rFonts w:asciiTheme="minorHAnsi" w:eastAsiaTheme="majorEastAsia" w:hAnsiTheme="minorHAnsi" w:cstheme="minorHAnsi"/>
            <w:i/>
            <w:noProof/>
            <w:sz w:val="20"/>
            <w:szCs w:val="20"/>
          </w:rPr>
          <w:fldChar w:fldCharType="end"/>
        </w:r>
      </w:hyperlink>
    </w:p>
    <w:p w14:paraId="211AF4CE" w14:textId="6A5BE0F2"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93" w:history="1">
        <w:r w:rsidR="00F36FD1" w:rsidRPr="007C4D65">
          <w:rPr>
            <w:rStyle w:val="Hyperlink"/>
            <w:rFonts w:asciiTheme="minorHAnsi" w:eastAsiaTheme="majorEastAsia" w:hAnsiTheme="minorHAnsi" w:cstheme="minorHAnsi"/>
            <w:i/>
            <w:noProof/>
            <w:sz w:val="20"/>
            <w:szCs w:val="20"/>
          </w:rPr>
          <w:t>Table 14: Indicators of impacts for the strategic goal 3</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_Toc117011593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68</w:t>
        </w:r>
        <w:r w:rsidR="00F36FD1" w:rsidRPr="007C4D65">
          <w:rPr>
            <w:rStyle w:val="Hyperlink"/>
            <w:rFonts w:asciiTheme="minorHAnsi" w:eastAsiaTheme="majorEastAsia" w:hAnsiTheme="minorHAnsi" w:cstheme="minorHAnsi"/>
            <w:i/>
            <w:noProof/>
            <w:sz w:val="20"/>
            <w:szCs w:val="20"/>
          </w:rPr>
          <w:fldChar w:fldCharType="end"/>
        </w:r>
      </w:hyperlink>
    </w:p>
    <w:p w14:paraId="222E3BB5" w14:textId="4642ADB6"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94" w:history="1">
        <w:r w:rsidR="00F36FD1" w:rsidRPr="007C4D65">
          <w:rPr>
            <w:rStyle w:val="Hyperlink"/>
            <w:rFonts w:asciiTheme="minorHAnsi" w:eastAsiaTheme="majorEastAsia" w:hAnsiTheme="minorHAnsi" w:cstheme="minorHAnsi"/>
            <w:i/>
            <w:noProof/>
            <w:sz w:val="20"/>
            <w:szCs w:val="20"/>
          </w:rPr>
          <w:t>Table 15: Priorities with relevant indicators</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_Toc117011594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69</w:t>
        </w:r>
        <w:r w:rsidR="00F36FD1" w:rsidRPr="007C4D65">
          <w:rPr>
            <w:rStyle w:val="Hyperlink"/>
            <w:rFonts w:asciiTheme="minorHAnsi" w:eastAsiaTheme="majorEastAsia" w:hAnsiTheme="minorHAnsi" w:cstheme="minorHAnsi"/>
            <w:i/>
            <w:noProof/>
            <w:sz w:val="20"/>
            <w:szCs w:val="20"/>
          </w:rPr>
          <w:fldChar w:fldCharType="end"/>
        </w:r>
      </w:hyperlink>
    </w:p>
    <w:p w14:paraId="62B5636C" w14:textId="7BB9B884"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95" w:history="1">
        <w:r w:rsidR="00F36FD1" w:rsidRPr="007C4D65">
          <w:rPr>
            <w:rStyle w:val="Hyperlink"/>
            <w:rFonts w:asciiTheme="minorHAnsi" w:eastAsiaTheme="majorEastAsia" w:hAnsiTheme="minorHAnsi" w:cstheme="minorHAnsi"/>
            <w:i/>
            <w:noProof/>
            <w:sz w:val="20"/>
            <w:szCs w:val="20"/>
          </w:rPr>
          <w:t>Table 16: Air quality limit values in the Federation of BiH</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_Toc117011595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79</w:t>
        </w:r>
        <w:r w:rsidR="00F36FD1" w:rsidRPr="007C4D65">
          <w:rPr>
            <w:rStyle w:val="Hyperlink"/>
            <w:rFonts w:asciiTheme="minorHAnsi" w:eastAsiaTheme="majorEastAsia" w:hAnsiTheme="minorHAnsi" w:cstheme="minorHAnsi"/>
            <w:i/>
            <w:noProof/>
            <w:sz w:val="20"/>
            <w:szCs w:val="20"/>
          </w:rPr>
          <w:fldChar w:fldCharType="end"/>
        </w:r>
      </w:hyperlink>
    </w:p>
    <w:p w14:paraId="63B409D0" w14:textId="41B7A3DC"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96" w:history="1">
        <w:r w:rsidR="00F36FD1" w:rsidRPr="007C4D65">
          <w:rPr>
            <w:rStyle w:val="Hyperlink"/>
            <w:rFonts w:asciiTheme="minorHAnsi" w:eastAsiaTheme="majorEastAsia" w:hAnsiTheme="minorHAnsi" w:cstheme="minorHAnsi"/>
            <w:i/>
            <w:noProof/>
            <w:sz w:val="20"/>
            <w:szCs w:val="20"/>
          </w:rPr>
          <w:t>Table 17: Emission from household stoves in the Cantons which have the Air Pollution Registers</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_Toc117011596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81</w:t>
        </w:r>
        <w:r w:rsidR="00F36FD1" w:rsidRPr="007C4D65">
          <w:rPr>
            <w:rStyle w:val="Hyperlink"/>
            <w:rFonts w:asciiTheme="minorHAnsi" w:eastAsiaTheme="majorEastAsia" w:hAnsiTheme="minorHAnsi" w:cstheme="minorHAnsi"/>
            <w:i/>
            <w:noProof/>
            <w:sz w:val="20"/>
            <w:szCs w:val="20"/>
          </w:rPr>
          <w:fldChar w:fldCharType="end"/>
        </w:r>
      </w:hyperlink>
    </w:p>
    <w:p w14:paraId="0CE959C4" w14:textId="710FA918"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97" w:history="1">
        <w:r w:rsidR="00F36FD1" w:rsidRPr="007C4D65">
          <w:rPr>
            <w:rStyle w:val="Hyperlink"/>
            <w:rFonts w:asciiTheme="minorHAnsi" w:eastAsiaTheme="majorEastAsia" w:hAnsiTheme="minorHAnsi" w:cstheme="minorHAnsi"/>
            <w:i/>
            <w:noProof/>
            <w:sz w:val="20"/>
            <w:szCs w:val="20"/>
          </w:rPr>
          <w:t>Table 18: Indicators of impacts for strategic goal 4</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_Toc117011597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89</w:t>
        </w:r>
        <w:r w:rsidR="00F36FD1" w:rsidRPr="007C4D65">
          <w:rPr>
            <w:rStyle w:val="Hyperlink"/>
            <w:rFonts w:asciiTheme="minorHAnsi" w:eastAsiaTheme="majorEastAsia" w:hAnsiTheme="minorHAnsi" w:cstheme="minorHAnsi"/>
            <w:i/>
            <w:noProof/>
            <w:sz w:val="20"/>
            <w:szCs w:val="20"/>
          </w:rPr>
          <w:fldChar w:fldCharType="end"/>
        </w:r>
      </w:hyperlink>
    </w:p>
    <w:p w14:paraId="6F256893" w14:textId="794E116D"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98" w:history="1">
        <w:r w:rsidR="00F36FD1" w:rsidRPr="007C4D65">
          <w:rPr>
            <w:rStyle w:val="Hyperlink"/>
            <w:rFonts w:asciiTheme="minorHAnsi" w:eastAsiaTheme="majorEastAsia" w:hAnsiTheme="minorHAnsi" w:cstheme="minorHAnsi"/>
            <w:i/>
            <w:noProof/>
            <w:sz w:val="20"/>
            <w:szCs w:val="20"/>
          </w:rPr>
          <w:t>Table 19: Priorities with relevant indicators</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_Toc117011598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90</w:t>
        </w:r>
        <w:r w:rsidR="00F36FD1" w:rsidRPr="007C4D65">
          <w:rPr>
            <w:rStyle w:val="Hyperlink"/>
            <w:rFonts w:asciiTheme="minorHAnsi" w:eastAsiaTheme="majorEastAsia" w:hAnsiTheme="minorHAnsi" w:cstheme="minorHAnsi"/>
            <w:i/>
            <w:noProof/>
            <w:sz w:val="20"/>
            <w:szCs w:val="20"/>
          </w:rPr>
          <w:fldChar w:fldCharType="end"/>
        </w:r>
      </w:hyperlink>
    </w:p>
    <w:p w14:paraId="0929CE56" w14:textId="712B9A65"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599" w:history="1">
        <w:r w:rsidR="00F36FD1" w:rsidRPr="007C4D65">
          <w:rPr>
            <w:rStyle w:val="Hyperlink"/>
            <w:rFonts w:asciiTheme="minorHAnsi" w:eastAsiaTheme="majorEastAsia" w:hAnsiTheme="minorHAnsi" w:cstheme="minorHAnsi"/>
            <w:i/>
            <w:noProof/>
            <w:sz w:val="20"/>
            <w:szCs w:val="20"/>
          </w:rPr>
          <w:t xml:space="preserve">Table </w:t>
        </w:r>
        <w:r w:rsidR="00F36FD1" w:rsidRPr="007C4D65">
          <w:rPr>
            <w:rStyle w:val="Hyperlink"/>
            <w:rFonts w:asciiTheme="minorHAnsi" w:eastAsiaTheme="majorEastAsia" w:hAnsiTheme="minorHAnsi" w:cstheme="minorHAnsi"/>
            <w:i/>
            <w:noProof/>
            <w:sz w:val="20"/>
            <w:szCs w:val="20"/>
            <w:lang w:val="hr-HR"/>
          </w:rPr>
          <w:t>20</w:t>
        </w:r>
        <w:r w:rsidR="00F36FD1" w:rsidRPr="007C4D65">
          <w:rPr>
            <w:rStyle w:val="Hyperlink"/>
            <w:rFonts w:asciiTheme="minorHAnsi" w:eastAsiaTheme="majorEastAsia" w:hAnsiTheme="minorHAnsi" w:cstheme="minorHAnsi"/>
            <w:i/>
            <w:noProof/>
            <w:sz w:val="20"/>
            <w:szCs w:val="20"/>
          </w:rPr>
          <w:t xml:space="preserve">: Performance indicators for </w:t>
        </w:r>
        <w:r w:rsidR="008C23C0" w:rsidRPr="007C4D65">
          <w:rPr>
            <w:rStyle w:val="Hyperlink"/>
            <w:rFonts w:asciiTheme="minorHAnsi" w:eastAsiaTheme="majorEastAsia" w:hAnsiTheme="minorHAnsi" w:cstheme="minorHAnsi"/>
            <w:i/>
            <w:noProof/>
            <w:sz w:val="20"/>
            <w:szCs w:val="20"/>
          </w:rPr>
          <w:t>s</w:t>
        </w:r>
        <w:r w:rsidR="00F36FD1" w:rsidRPr="007C4D65">
          <w:rPr>
            <w:rStyle w:val="Hyperlink"/>
            <w:rFonts w:asciiTheme="minorHAnsi" w:eastAsiaTheme="majorEastAsia" w:hAnsiTheme="minorHAnsi" w:cstheme="minorHAnsi"/>
            <w:i/>
            <w:noProof/>
            <w:sz w:val="20"/>
            <w:szCs w:val="20"/>
          </w:rPr>
          <w:t xml:space="preserve">trategic </w:t>
        </w:r>
        <w:r w:rsidR="008C23C0" w:rsidRPr="007C4D65">
          <w:rPr>
            <w:rStyle w:val="Hyperlink"/>
            <w:rFonts w:asciiTheme="minorHAnsi" w:eastAsiaTheme="majorEastAsia" w:hAnsiTheme="minorHAnsi" w:cstheme="minorHAnsi"/>
            <w:i/>
            <w:noProof/>
            <w:sz w:val="20"/>
            <w:szCs w:val="20"/>
          </w:rPr>
          <w:t>g</w:t>
        </w:r>
        <w:r w:rsidR="00F36FD1" w:rsidRPr="007C4D65">
          <w:rPr>
            <w:rStyle w:val="Hyperlink"/>
            <w:rFonts w:asciiTheme="minorHAnsi" w:eastAsiaTheme="majorEastAsia" w:hAnsiTheme="minorHAnsi" w:cstheme="minorHAnsi"/>
            <w:i/>
            <w:noProof/>
            <w:sz w:val="20"/>
            <w:szCs w:val="20"/>
          </w:rPr>
          <w:t>oal 5.</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_Toc117011599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109</w:t>
        </w:r>
        <w:r w:rsidR="00F36FD1" w:rsidRPr="007C4D65">
          <w:rPr>
            <w:rStyle w:val="Hyperlink"/>
            <w:rFonts w:asciiTheme="minorHAnsi" w:eastAsiaTheme="majorEastAsia" w:hAnsiTheme="minorHAnsi" w:cstheme="minorHAnsi"/>
            <w:i/>
            <w:noProof/>
            <w:sz w:val="20"/>
            <w:szCs w:val="20"/>
          </w:rPr>
          <w:fldChar w:fldCharType="end"/>
        </w:r>
      </w:hyperlink>
    </w:p>
    <w:p w14:paraId="23DD6155" w14:textId="21938DB3"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600" w:history="1">
        <w:r w:rsidR="00F36FD1" w:rsidRPr="007C4D65">
          <w:rPr>
            <w:rStyle w:val="Hyperlink"/>
            <w:rFonts w:asciiTheme="minorHAnsi" w:eastAsiaTheme="majorEastAsia" w:hAnsiTheme="minorHAnsi" w:cstheme="minorHAnsi"/>
            <w:i/>
            <w:noProof/>
            <w:sz w:val="20"/>
            <w:szCs w:val="20"/>
          </w:rPr>
          <w:t xml:space="preserve">Table </w:t>
        </w:r>
        <w:r w:rsidR="00F36FD1" w:rsidRPr="007C4D65">
          <w:rPr>
            <w:rStyle w:val="Hyperlink"/>
            <w:rFonts w:asciiTheme="minorHAnsi" w:eastAsiaTheme="majorEastAsia" w:hAnsiTheme="minorHAnsi" w:cstheme="minorHAnsi"/>
            <w:i/>
            <w:noProof/>
            <w:sz w:val="20"/>
            <w:szCs w:val="20"/>
            <w:lang w:val="hr-HR"/>
          </w:rPr>
          <w:t>21</w:t>
        </w:r>
        <w:r w:rsidR="00F36FD1" w:rsidRPr="007C4D65">
          <w:rPr>
            <w:rStyle w:val="Hyperlink"/>
            <w:rFonts w:asciiTheme="minorHAnsi" w:eastAsiaTheme="majorEastAsia" w:hAnsiTheme="minorHAnsi" w:cstheme="minorHAnsi"/>
            <w:i/>
            <w:noProof/>
            <w:sz w:val="20"/>
            <w:szCs w:val="20"/>
          </w:rPr>
          <w:t>: Priorities with relevant indicators</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_Toc117011600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110</w:t>
        </w:r>
        <w:r w:rsidR="00F36FD1" w:rsidRPr="007C4D65">
          <w:rPr>
            <w:rStyle w:val="Hyperlink"/>
            <w:rFonts w:asciiTheme="minorHAnsi" w:eastAsiaTheme="majorEastAsia" w:hAnsiTheme="minorHAnsi" w:cstheme="minorHAnsi"/>
            <w:i/>
            <w:noProof/>
            <w:sz w:val="20"/>
            <w:szCs w:val="20"/>
          </w:rPr>
          <w:fldChar w:fldCharType="end"/>
        </w:r>
      </w:hyperlink>
    </w:p>
    <w:p w14:paraId="7EEBB42B" w14:textId="420C6289"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601" w:history="1">
        <w:r w:rsidR="00F36FD1" w:rsidRPr="007C4D65">
          <w:rPr>
            <w:rStyle w:val="Hyperlink"/>
            <w:rFonts w:asciiTheme="minorHAnsi" w:eastAsiaTheme="majorEastAsia" w:hAnsiTheme="minorHAnsi" w:cstheme="minorHAnsi"/>
            <w:i/>
            <w:noProof/>
            <w:sz w:val="20"/>
            <w:szCs w:val="20"/>
          </w:rPr>
          <w:t xml:space="preserve">Table </w:t>
        </w:r>
        <w:r w:rsidR="00F36FD1" w:rsidRPr="007C4D65">
          <w:rPr>
            <w:rStyle w:val="Hyperlink"/>
            <w:rFonts w:asciiTheme="minorHAnsi" w:eastAsiaTheme="majorEastAsia" w:hAnsiTheme="minorHAnsi" w:cstheme="minorHAnsi"/>
            <w:i/>
            <w:noProof/>
            <w:sz w:val="20"/>
            <w:szCs w:val="20"/>
            <w:lang w:val="hr-HR"/>
          </w:rPr>
          <w:t>22</w:t>
        </w:r>
        <w:r w:rsidR="00F36FD1" w:rsidRPr="007C4D65">
          <w:rPr>
            <w:rStyle w:val="Hyperlink"/>
            <w:rFonts w:asciiTheme="minorHAnsi" w:eastAsiaTheme="majorEastAsia" w:hAnsiTheme="minorHAnsi" w:cstheme="minorHAnsi"/>
            <w:i/>
            <w:noProof/>
            <w:sz w:val="20"/>
            <w:szCs w:val="20"/>
          </w:rPr>
          <w:t xml:space="preserve">: Performance indicators for </w:t>
        </w:r>
        <w:r w:rsidR="008C23C0" w:rsidRPr="007C4D65">
          <w:rPr>
            <w:rStyle w:val="Hyperlink"/>
            <w:rFonts w:asciiTheme="minorHAnsi" w:eastAsiaTheme="majorEastAsia" w:hAnsiTheme="minorHAnsi" w:cstheme="minorHAnsi"/>
            <w:i/>
            <w:noProof/>
            <w:sz w:val="20"/>
            <w:szCs w:val="20"/>
          </w:rPr>
          <w:t>s</w:t>
        </w:r>
        <w:r w:rsidR="00F36FD1" w:rsidRPr="007C4D65">
          <w:rPr>
            <w:rStyle w:val="Hyperlink"/>
            <w:rFonts w:asciiTheme="minorHAnsi" w:eastAsiaTheme="majorEastAsia" w:hAnsiTheme="minorHAnsi" w:cstheme="minorHAnsi"/>
            <w:i/>
            <w:noProof/>
            <w:sz w:val="20"/>
            <w:szCs w:val="20"/>
          </w:rPr>
          <w:t xml:space="preserve">trategic </w:t>
        </w:r>
        <w:r w:rsidR="008C23C0" w:rsidRPr="007C4D65">
          <w:rPr>
            <w:rStyle w:val="Hyperlink"/>
            <w:rFonts w:asciiTheme="minorHAnsi" w:eastAsiaTheme="majorEastAsia" w:hAnsiTheme="minorHAnsi" w:cstheme="minorHAnsi"/>
            <w:i/>
            <w:noProof/>
            <w:sz w:val="20"/>
            <w:szCs w:val="20"/>
          </w:rPr>
          <w:t>g</w:t>
        </w:r>
        <w:r w:rsidR="00F36FD1" w:rsidRPr="007C4D65">
          <w:rPr>
            <w:rStyle w:val="Hyperlink"/>
            <w:rFonts w:asciiTheme="minorHAnsi" w:eastAsiaTheme="majorEastAsia" w:hAnsiTheme="minorHAnsi" w:cstheme="minorHAnsi"/>
            <w:i/>
            <w:noProof/>
            <w:sz w:val="20"/>
            <w:szCs w:val="20"/>
          </w:rPr>
          <w:t>oal 6.</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_Toc117011601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134</w:t>
        </w:r>
        <w:r w:rsidR="00F36FD1" w:rsidRPr="007C4D65">
          <w:rPr>
            <w:rStyle w:val="Hyperlink"/>
            <w:rFonts w:asciiTheme="minorHAnsi" w:eastAsiaTheme="majorEastAsia" w:hAnsiTheme="minorHAnsi" w:cstheme="minorHAnsi"/>
            <w:i/>
            <w:noProof/>
            <w:sz w:val="20"/>
            <w:szCs w:val="20"/>
          </w:rPr>
          <w:fldChar w:fldCharType="end"/>
        </w:r>
      </w:hyperlink>
    </w:p>
    <w:p w14:paraId="336BE1F6" w14:textId="0A275CF7"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602" w:history="1">
        <w:r w:rsidR="00F36FD1" w:rsidRPr="007C4D65">
          <w:rPr>
            <w:rStyle w:val="Hyperlink"/>
            <w:rFonts w:asciiTheme="minorHAnsi" w:eastAsiaTheme="majorEastAsia" w:hAnsiTheme="minorHAnsi" w:cstheme="minorHAnsi"/>
            <w:i/>
            <w:noProof/>
            <w:sz w:val="20"/>
            <w:szCs w:val="20"/>
          </w:rPr>
          <w:t xml:space="preserve">Table </w:t>
        </w:r>
        <w:r w:rsidR="00F36FD1" w:rsidRPr="007C4D65">
          <w:rPr>
            <w:rStyle w:val="Hyperlink"/>
            <w:rFonts w:asciiTheme="minorHAnsi" w:eastAsiaTheme="majorEastAsia" w:hAnsiTheme="minorHAnsi" w:cstheme="minorHAnsi"/>
            <w:i/>
            <w:noProof/>
            <w:sz w:val="20"/>
            <w:szCs w:val="20"/>
            <w:lang w:val="hr-HR"/>
          </w:rPr>
          <w:t>23</w:t>
        </w:r>
        <w:r w:rsidR="00F36FD1" w:rsidRPr="007C4D65">
          <w:rPr>
            <w:rStyle w:val="Hyperlink"/>
            <w:rFonts w:asciiTheme="minorHAnsi" w:eastAsiaTheme="majorEastAsia" w:hAnsiTheme="minorHAnsi" w:cstheme="minorHAnsi"/>
            <w:i/>
            <w:noProof/>
            <w:sz w:val="20"/>
            <w:szCs w:val="20"/>
          </w:rPr>
          <w:t>: Priorities with relevant indicators</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_Toc117011602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135</w:t>
        </w:r>
        <w:r w:rsidR="00F36FD1" w:rsidRPr="007C4D65">
          <w:rPr>
            <w:rStyle w:val="Hyperlink"/>
            <w:rFonts w:asciiTheme="minorHAnsi" w:eastAsiaTheme="majorEastAsia" w:hAnsiTheme="minorHAnsi" w:cstheme="minorHAnsi"/>
            <w:i/>
            <w:noProof/>
            <w:sz w:val="20"/>
            <w:szCs w:val="20"/>
          </w:rPr>
          <w:fldChar w:fldCharType="end"/>
        </w:r>
      </w:hyperlink>
    </w:p>
    <w:p w14:paraId="4CC87C73" w14:textId="14E078A5"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603" w:history="1">
        <w:r w:rsidR="00F36FD1" w:rsidRPr="007C4D65">
          <w:rPr>
            <w:rStyle w:val="Hyperlink"/>
            <w:rFonts w:asciiTheme="minorHAnsi" w:eastAsiaTheme="majorEastAsia" w:hAnsiTheme="minorHAnsi" w:cstheme="minorHAnsi"/>
            <w:i/>
            <w:noProof/>
            <w:sz w:val="20"/>
            <w:szCs w:val="20"/>
          </w:rPr>
          <w:t xml:space="preserve">Table </w:t>
        </w:r>
        <w:r w:rsidR="00F36FD1" w:rsidRPr="007C4D65">
          <w:rPr>
            <w:rStyle w:val="Hyperlink"/>
            <w:rFonts w:asciiTheme="minorHAnsi" w:eastAsiaTheme="majorEastAsia" w:hAnsiTheme="minorHAnsi" w:cstheme="minorHAnsi"/>
            <w:i/>
            <w:noProof/>
            <w:sz w:val="20"/>
            <w:szCs w:val="20"/>
            <w:lang w:val="hr-HR"/>
          </w:rPr>
          <w:t>24</w:t>
        </w:r>
        <w:r w:rsidR="00F36FD1" w:rsidRPr="007C4D65">
          <w:rPr>
            <w:rStyle w:val="Hyperlink"/>
            <w:rFonts w:asciiTheme="minorHAnsi" w:eastAsiaTheme="majorEastAsia" w:hAnsiTheme="minorHAnsi" w:cstheme="minorHAnsi"/>
            <w:i/>
            <w:noProof/>
            <w:sz w:val="20"/>
            <w:szCs w:val="20"/>
          </w:rPr>
          <w:t>: Responsibilities for environmental data collection in the Federation of BiH</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_Toc117011603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152</w:t>
        </w:r>
        <w:r w:rsidR="00F36FD1" w:rsidRPr="007C4D65">
          <w:rPr>
            <w:rStyle w:val="Hyperlink"/>
            <w:rFonts w:asciiTheme="minorHAnsi" w:eastAsiaTheme="majorEastAsia" w:hAnsiTheme="minorHAnsi" w:cstheme="minorHAnsi"/>
            <w:i/>
            <w:noProof/>
            <w:sz w:val="20"/>
            <w:szCs w:val="20"/>
          </w:rPr>
          <w:fldChar w:fldCharType="end"/>
        </w:r>
      </w:hyperlink>
    </w:p>
    <w:p w14:paraId="425B18B3" w14:textId="39835D82"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604" w:history="1">
        <w:r w:rsidR="00F36FD1" w:rsidRPr="007C4D65">
          <w:rPr>
            <w:rStyle w:val="Hyperlink"/>
            <w:rFonts w:asciiTheme="minorHAnsi" w:eastAsiaTheme="majorEastAsia" w:hAnsiTheme="minorHAnsi" w:cstheme="minorHAnsi"/>
            <w:i/>
            <w:noProof/>
            <w:sz w:val="20"/>
            <w:szCs w:val="20"/>
          </w:rPr>
          <w:t xml:space="preserve">Table </w:t>
        </w:r>
        <w:r w:rsidR="00F36FD1" w:rsidRPr="007C4D65">
          <w:rPr>
            <w:rStyle w:val="Hyperlink"/>
            <w:rFonts w:asciiTheme="minorHAnsi" w:eastAsiaTheme="majorEastAsia" w:hAnsiTheme="minorHAnsi" w:cstheme="minorHAnsi"/>
            <w:i/>
            <w:noProof/>
            <w:sz w:val="20"/>
            <w:szCs w:val="20"/>
            <w:lang w:val="hr-HR"/>
          </w:rPr>
          <w:t>25</w:t>
        </w:r>
        <w:r w:rsidR="00F36FD1" w:rsidRPr="007C4D65">
          <w:rPr>
            <w:rStyle w:val="Hyperlink"/>
            <w:rFonts w:asciiTheme="minorHAnsi" w:eastAsiaTheme="majorEastAsia" w:hAnsiTheme="minorHAnsi" w:cstheme="minorHAnsi"/>
            <w:i/>
            <w:noProof/>
            <w:sz w:val="20"/>
            <w:szCs w:val="20"/>
          </w:rPr>
          <w:t>: Indicators of impacts for strategic goal 7</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_Toc117011604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157</w:t>
        </w:r>
        <w:r w:rsidR="00F36FD1" w:rsidRPr="007C4D65">
          <w:rPr>
            <w:rStyle w:val="Hyperlink"/>
            <w:rFonts w:asciiTheme="minorHAnsi" w:eastAsiaTheme="majorEastAsia" w:hAnsiTheme="minorHAnsi" w:cstheme="minorHAnsi"/>
            <w:i/>
            <w:noProof/>
            <w:sz w:val="20"/>
            <w:szCs w:val="20"/>
          </w:rPr>
          <w:fldChar w:fldCharType="end"/>
        </w:r>
      </w:hyperlink>
    </w:p>
    <w:p w14:paraId="3BCF6B76" w14:textId="1C1EE802"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605" w:history="1">
        <w:r w:rsidR="00F36FD1" w:rsidRPr="007C4D65">
          <w:rPr>
            <w:rStyle w:val="Hyperlink"/>
            <w:rFonts w:asciiTheme="minorHAnsi" w:eastAsiaTheme="majorEastAsia" w:hAnsiTheme="minorHAnsi" w:cstheme="minorHAnsi"/>
            <w:i/>
            <w:noProof/>
            <w:sz w:val="20"/>
            <w:szCs w:val="20"/>
          </w:rPr>
          <w:t xml:space="preserve">Table </w:t>
        </w:r>
        <w:r w:rsidR="00F36FD1" w:rsidRPr="007C4D65">
          <w:rPr>
            <w:rStyle w:val="Hyperlink"/>
            <w:rFonts w:asciiTheme="minorHAnsi" w:eastAsiaTheme="majorEastAsia" w:hAnsiTheme="minorHAnsi" w:cstheme="minorHAnsi"/>
            <w:i/>
            <w:noProof/>
            <w:sz w:val="20"/>
            <w:szCs w:val="20"/>
            <w:lang w:val="hr-HR"/>
          </w:rPr>
          <w:t>26</w:t>
        </w:r>
        <w:r w:rsidR="00F36FD1" w:rsidRPr="007C4D65">
          <w:rPr>
            <w:rStyle w:val="Hyperlink"/>
            <w:rFonts w:asciiTheme="minorHAnsi" w:eastAsiaTheme="majorEastAsia" w:hAnsiTheme="minorHAnsi" w:cstheme="minorHAnsi"/>
            <w:i/>
            <w:noProof/>
            <w:sz w:val="20"/>
            <w:szCs w:val="20"/>
          </w:rPr>
          <w:t>: Priorities with relevant indicators</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_Toc117011605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159</w:t>
        </w:r>
        <w:r w:rsidR="00F36FD1" w:rsidRPr="007C4D65">
          <w:rPr>
            <w:rStyle w:val="Hyperlink"/>
            <w:rFonts w:asciiTheme="minorHAnsi" w:eastAsiaTheme="majorEastAsia" w:hAnsiTheme="minorHAnsi" w:cstheme="minorHAnsi"/>
            <w:i/>
            <w:noProof/>
            <w:sz w:val="20"/>
            <w:szCs w:val="20"/>
          </w:rPr>
          <w:fldChar w:fldCharType="end"/>
        </w:r>
      </w:hyperlink>
    </w:p>
    <w:p w14:paraId="1F5A5EF1" w14:textId="264E0517"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606" w:history="1">
        <w:r w:rsidR="00F36FD1" w:rsidRPr="007C4D65">
          <w:rPr>
            <w:rStyle w:val="Hyperlink"/>
            <w:rFonts w:asciiTheme="minorHAnsi" w:eastAsiaTheme="majorEastAsia" w:hAnsiTheme="minorHAnsi" w:cstheme="minorHAnsi"/>
            <w:i/>
            <w:noProof/>
            <w:sz w:val="20"/>
            <w:szCs w:val="20"/>
          </w:rPr>
          <w:t>Table 27:  Overview of relevant strategic documents of the Federation of BiH</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_Toc117011606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180</w:t>
        </w:r>
        <w:r w:rsidR="00F36FD1" w:rsidRPr="007C4D65">
          <w:rPr>
            <w:rStyle w:val="Hyperlink"/>
            <w:rFonts w:asciiTheme="minorHAnsi" w:eastAsiaTheme="majorEastAsia" w:hAnsiTheme="minorHAnsi" w:cstheme="minorHAnsi"/>
            <w:i/>
            <w:noProof/>
            <w:sz w:val="20"/>
            <w:szCs w:val="20"/>
          </w:rPr>
          <w:fldChar w:fldCharType="end"/>
        </w:r>
      </w:hyperlink>
    </w:p>
    <w:p w14:paraId="68F90B8E" w14:textId="0A28295B" w:rsidR="00F36FD1" w:rsidRPr="007C4D65" w:rsidRDefault="00000000">
      <w:pPr>
        <w:pStyle w:val="TableofFigures"/>
        <w:tabs>
          <w:tab w:val="right" w:leader="dot" w:pos="9016"/>
        </w:tabs>
        <w:rPr>
          <w:rFonts w:asciiTheme="minorHAnsi" w:eastAsiaTheme="minorEastAsia" w:hAnsiTheme="minorHAnsi" w:cstheme="minorHAnsi"/>
          <w:i/>
          <w:noProof/>
          <w:sz w:val="20"/>
          <w:szCs w:val="20"/>
          <w:lang w:val="bs-Latn-BA" w:eastAsia="bs-Latn-BA"/>
        </w:rPr>
      </w:pPr>
      <w:hyperlink w:anchor="_Toc117011607" w:history="1">
        <w:r w:rsidR="00F36FD1" w:rsidRPr="007C4D65">
          <w:rPr>
            <w:rStyle w:val="Hyperlink"/>
            <w:rFonts w:asciiTheme="minorHAnsi" w:eastAsiaTheme="majorEastAsia" w:hAnsiTheme="minorHAnsi" w:cstheme="minorHAnsi"/>
            <w:i/>
            <w:noProof/>
            <w:sz w:val="20"/>
            <w:szCs w:val="20"/>
          </w:rPr>
          <w:t>Table 28: Monitoring and Reporting Plan in the Federation of BiH</w:t>
        </w:r>
        <w:r w:rsidR="00F36FD1" w:rsidRPr="007C4D65">
          <w:rPr>
            <w:rFonts w:asciiTheme="minorHAnsi" w:hAnsiTheme="minorHAnsi" w:cstheme="minorHAnsi"/>
            <w:i/>
            <w:noProof/>
            <w:webHidden/>
            <w:sz w:val="20"/>
            <w:szCs w:val="20"/>
          </w:rPr>
          <w:tab/>
        </w:r>
        <w:r w:rsidR="00F36FD1" w:rsidRPr="007C4D65">
          <w:rPr>
            <w:rStyle w:val="Hyperlink"/>
            <w:rFonts w:asciiTheme="minorHAnsi" w:eastAsiaTheme="majorEastAsia" w:hAnsiTheme="minorHAnsi" w:cstheme="minorHAnsi"/>
            <w:i/>
            <w:noProof/>
            <w:sz w:val="20"/>
            <w:szCs w:val="20"/>
          </w:rPr>
          <w:fldChar w:fldCharType="begin"/>
        </w:r>
        <w:r w:rsidR="00F36FD1" w:rsidRPr="007C4D65">
          <w:rPr>
            <w:rFonts w:asciiTheme="minorHAnsi" w:hAnsiTheme="minorHAnsi" w:cstheme="minorHAnsi"/>
            <w:i/>
            <w:noProof/>
            <w:webHidden/>
            <w:sz w:val="20"/>
            <w:szCs w:val="20"/>
          </w:rPr>
          <w:instrText xml:space="preserve"> PAGEREF _Toc117011607 \h </w:instrText>
        </w:r>
        <w:r w:rsidR="00F36FD1" w:rsidRPr="007C4D65">
          <w:rPr>
            <w:rStyle w:val="Hyperlink"/>
            <w:rFonts w:asciiTheme="minorHAnsi" w:eastAsiaTheme="majorEastAsia" w:hAnsiTheme="minorHAnsi" w:cstheme="minorHAnsi"/>
            <w:i/>
            <w:noProof/>
            <w:sz w:val="20"/>
            <w:szCs w:val="20"/>
          </w:rPr>
        </w:r>
        <w:r w:rsidR="00F36FD1" w:rsidRPr="007C4D65">
          <w:rPr>
            <w:rStyle w:val="Hyperlink"/>
            <w:rFonts w:asciiTheme="minorHAnsi" w:eastAsiaTheme="majorEastAsia" w:hAnsiTheme="minorHAnsi" w:cstheme="minorHAnsi"/>
            <w:i/>
            <w:noProof/>
            <w:sz w:val="20"/>
            <w:szCs w:val="20"/>
          </w:rPr>
          <w:fldChar w:fldCharType="separate"/>
        </w:r>
        <w:r w:rsidR="00F36FD1" w:rsidRPr="007C4D65">
          <w:rPr>
            <w:rFonts w:asciiTheme="minorHAnsi" w:hAnsiTheme="minorHAnsi" w:cstheme="minorHAnsi"/>
            <w:i/>
            <w:noProof/>
            <w:webHidden/>
            <w:sz w:val="20"/>
            <w:szCs w:val="20"/>
          </w:rPr>
          <w:t>188</w:t>
        </w:r>
        <w:r w:rsidR="00F36FD1" w:rsidRPr="007C4D65">
          <w:rPr>
            <w:rStyle w:val="Hyperlink"/>
            <w:rFonts w:asciiTheme="minorHAnsi" w:eastAsiaTheme="majorEastAsia" w:hAnsiTheme="minorHAnsi" w:cstheme="minorHAnsi"/>
            <w:i/>
            <w:noProof/>
            <w:sz w:val="20"/>
            <w:szCs w:val="20"/>
          </w:rPr>
          <w:fldChar w:fldCharType="end"/>
        </w:r>
      </w:hyperlink>
    </w:p>
    <w:p w14:paraId="57E7CA28" w14:textId="353D35C8" w:rsidR="007A7D73" w:rsidRPr="007C4D65" w:rsidRDefault="001F0C02" w:rsidP="0068355A">
      <w:pPr>
        <w:rPr>
          <w:rFonts w:asciiTheme="minorHAnsi" w:hAnsiTheme="minorHAnsi" w:cstheme="minorHAnsi"/>
          <w:i/>
          <w:sz w:val="20"/>
          <w:szCs w:val="20"/>
        </w:rPr>
        <w:sectPr w:rsidR="007A7D73" w:rsidRPr="007C4D65" w:rsidSect="002524A5">
          <w:pgSz w:w="11906" w:h="16838"/>
          <w:pgMar w:top="1440" w:right="1440" w:bottom="1440" w:left="1440" w:header="708" w:footer="708" w:gutter="0"/>
          <w:cols w:space="708"/>
          <w:docGrid w:linePitch="360"/>
        </w:sectPr>
      </w:pPr>
      <w:r w:rsidRPr="007C4D65">
        <w:rPr>
          <w:rFonts w:asciiTheme="minorHAnsi" w:hAnsiTheme="minorHAnsi" w:cstheme="minorHAnsi"/>
          <w:i/>
          <w:sz w:val="20"/>
          <w:szCs w:val="20"/>
        </w:rPr>
        <w:fldChar w:fldCharType="end"/>
      </w:r>
    </w:p>
    <w:bookmarkEnd w:id="2"/>
    <w:p w14:paraId="7243393E" w14:textId="77777777" w:rsidR="001F77A8" w:rsidRPr="007C4D65" w:rsidRDefault="001F77A8" w:rsidP="0068355A">
      <w:pPr>
        <w:spacing w:line="276" w:lineRule="auto"/>
        <w:rPr>
          <w:rFonts w:asciiTheme="minorHAnsi" w:hAnsiTheme="minorHAnsi" w:cstheme="minorHAnsi"/>
          <w:b/>
          <w:color w:val="808080"/>
          <w:sz w:val="32"/>
          <w:szCs w:val="32"/>
        </w:rPr>
      </w:pPr>
      <w:r w:rsidRPr="007C4D65">
        <w:rPr>
          <w:rFonts w:asciiTheme="minorHAnsi" w:hAnsiTheme="minorHAnsi" w:cstheme="minorHAnsi"/>
          <w:b/>
          <w:color w:val="808080"/>
          <w:sz w:val="32"/>
        </w:rPr>
        <w:lastRenderedPageBreak/>
        <w:t>List of Figures</w:t>
      </w:r>
    </w:p>
    <w:p w14:paraId="17F80220" w14:textId="77777777" w:rsidR="001F0C02" w:rsidRPr="007C4D65" w:rsidRDefault="001F0C02" w:rsidP="0068355A">
      <w:pPr>
        <w:spacing w:line="276" w:lineRule="auto"/>
        <w:rPr>
          <w:rFonts w:asciiTheme="minorHAnsi" w:hAnsiTheme="minorHAnsi" w:cstheme="minorHAnsi"/>
          <w:bCs/>
          <w:sz w:val="22"/>
          <w:szCs w:val="22"/>
        </w:rPr>
      </w:pPr>
    </w:p>
    <w:p w14:paraId="7AA35DCF" w14:textId="73DB26BE" w:rsidR="00A66041" w:rsidRPr="007C4D65" w:rsidRDefault="001F0C02">
      <w:pPr>
        <w:pStyle w:val="TableofFigures"/>
        <w:tabs>
          <w:tab w:val="right" w:leader="dot" w:pos="9016"/>
        </w:tabs>
        <w:rPr>
          <w:rFonts w:asciiTheme="minorHAnsi" w:eastAsiaTheme="minorEastAsia" w:hAnsiTheme="minorHAnsi" w:cstheme="minorHAnsi"/>
          <w:i/>
          <w:iCs/>
          <w:noProof/>
          <w:sz w:val="22"/>
          <w:szCs w:val="22"/>
          <w:lang w:val="bs-Latn-BA" w:eastAsia="bs-Latn-BA"/>
        </w:rPr>
      </w:pPr>
      <w:r w:rsidRPr="007C4D65">
        <w:rPr>
          <w:rFonts w:asciiTheme="minorHAnsi" w:hAnsiTheme="minorHAnsi" w:cstheme="minorHAnsi"/>
          <w:bCs/>
          <w:sz w:val="22"/>
          <w:szCs w:val="22"/>
        </w:rPr>
        <w:fldChar w:fldCharType="begin"/>
      </w:r>
      <w:r w:rsidRPr="007C4D65">
        <w:rPr>
          <w:rFonts w:asciiTheme="minorHAnsi" w:hAnsiTheme="minorHAnsi" w:cstheme="minorHAnsi"/>
          <w:bCs/>
          <w:sz w:val="22"/>
          <w:szCs w:val="22"/>
        </w:rPr>
        <w:instrText xml:space="preserve"> TOC \h \z \c "Slika" </w:instrText>
      </w:r>
      <w:r w:rsidRPr="007C4D65">
        <w:rPr>
          <w:rFonts w:asciiTheme="minorHAnsi" w:hAnsiTheme="minorHAnsi" w:cstheme="minorHAnsi"/>
          <w:bCs/>
          <w:sz w:val="22"/>
          <w:szCs w:val="22"/>
        </w:rPr>
        <w:fldChar w:fldCharType="separate"/>
      </w:r>
      <w:hyperlink w:anchor="_Toc117445043" w:history="1">
        <w:r w:rsidR="00A66041" w:rsidRPr="007C4D65">
          <w:rPr>
            <w:rStyle w:val="Hyperlink"/>
            <w:rFonts w:asciiTheme="minorHAnsi" w:eastAsiaTheme="majorEastAsia" w:hAnsiTheme="minorHAnsi" w:cstheme="minorHAnsi"/>
            <w:i/>
            <w:iCs/>
            <w:noProof/>
            <w:sz w:val="22"/>
            <w:szCs w:val="22"/>
          </w:rPr>
          <w:t xml:space="preserve">Figure </w:t>
        </w:r>
        <w:r w:rsidR="00A66041" w:rsidRPr="007C4D65">
          <w:rPr>
            <w:rStyle w:val="Hyperlink"/>
            <w:rFonts w:asciiTheme="minorHAnsi" w:eastAsiaTheme="majorEastAsia" w:hAnsiTheme="minorHAnsi" w:cstheme="minorHAnsi"/>
            <w:i/>
            <w:iCs/>
            <w:noProof/>
            <w:sz w:val="22"/>
            <w:szCs w:val="22"/>
            <w:lang w:val="hr-HR"/>
          </w:rPr>
          <w:t>1</w:t>
        </w:r>
        <w:r w:rsidR="00A66041" w:rsidRPr="007C4D65">
          <w:rPr>
            <w:rStyle w:val="Hyperlink"/>
            <w:rFonts w:asciiTheme="minorHAnsi" w:eastAsiaTheme="majorEastAsia" w:hAnsiTheme="minorHAnsi" w:cstheme="minorHAnsi"/>
            <w:i/>
            <w:iCs/>
            <w:noProof/>
            <w:sz w:val="22"/>
            <w:szCs w:val="22"/>
          </w:rPr>
          <w:t>: Ecological status of surface WB, according to the monitoring in the Sava River Basin</w:t>
        </w:r>
        <w:r w:rsidR="00A66041" w:rsidRPr="007C4D65">
          <w:rPr>
            <w:rFonts w:asciiTheme="minorHAnsi" w:hAnsiTheme="minorHAnsi" w:cstheme="minorHAnsi"/>
            <w:i/>
            <w:iCs/>
            <w:noProof/>
            <w:webHidden/>
            <w:sz w:val="22"/>
            <w:szCs w:val="22"/>
          </w:rPr>
          <w:tab/>
        </w:r>
        <w:r w:rsidR="00A66041" w:rsidRPr="007C4D65">
          <w:rPr>
            <w:rStyle w:val="Hyperlink"/>
            <w:rFonts w:asciiTheme="minorHAnsi" w:eastAsiaTheme="majorEastAsia" w:hAnsiTheme="minorHAnsi" w:cstheme="minorHAnsi"/>
            <w:i/>
            <w:iCs/>
            <w:noProof/>
            <w:sz w:val="22"/>
            <w:szCs w:val="22"/>
          </w:rPr>
          <w:fldChar w:fldCharType="begin"/>
        </w:r>
        <w:r w:rsidR="00A66041" w:rsidRPr="007C4D65">
          <w:rPr>
            <w:rFonts w:asciiTheme="minorHAnsi" w:hAnsiTheme="minorHAnsi" w:cstheme="minorHAnsi"/>
            <w:i/>
            <w:iCs/>
            <w:noProof/>
            <w:webHidden/>
            <w:sz w:val="22"/>
            <w:szCs w:val="22"/>
          </w:rPr>
          <w:instrText xml:space="preserve"> PAGEREF _Toc117445043 \h </w:instrText>
        </w:r>
        <w:r w:rsidR="00A66041" w:rsidRPr="007C4D65">
          <w:rPr>
            <w:rStyle w:val="Hyperlink"/>
            <w:rFonts w:asciiTheme="minorHAnsi" w:eastAsiaTheme="majorEastAsia" w:hAnsiTheme="minorHAnsi" w:cstheme="minorHAnsi"/>
            <w:i/>
            <w:iCs/>
            <w:noProof/>
            <w:sz w:val="22"/>
            <w:szCs w:val="22"/>
          </w:rPr>
        </w:r>
        <w:r w:rsidR="00A66041" w:rsidRPr="007C4D65">
          <w:rPr>
            <w:rStyle w:val="Hyperlink"/>
            <w:rFonts w:asciiTheme="minorHAnsi" w:eastAsiaTheme="majorEastAsia" w:hAnsiTheme="minorHAnsi" w:cstheme="minorHAnsi"/>
            <w:i/>
            <w:iCs/>
            <w:noProof/>
            <w:sz w:val="22"/>
            <w:szCs w:val="22"/>
          </w:rPr>
          <w:fldChar w:fldCharType="separate"/>
        </w:r>
        <w:r w:rsidR="00A66041" w:rsidRPr="007C4D65">
          <w:rPr>
            <w:rFonts w:asciiTheme="minorHAnsi" w:hAnsiTheme="minorHAnsi" w:cstheme="minorHAnsi"/>
            <w:i/>
            <w:iCs/>
            <w:noProof/>
            <w:webHidden/>
            <w:sz w:val="22"/>
            <w:szCs w:val="22"/>
          </w:rPr>
          <w:t>21</w:t>
        </w:r>
        <w:r w:rsidR="00A66041" w:rsidRPr="007C4D65">
          <w:rPr>
            <w:rStyle w:val="Hyperlink"/>
            <w:rFonts w:asciiTheme="minorHAnsi" w:eastAsiaTheme="majorEastAsia" w:hAnsiTheme="minorHAnsi" w:cstheme="minorHAnsi"/>
            <w:i/>
            <w:iCs/>
            <w:noProof/>
            <w:sz w:val="22"/>
            <w:szCs w:val="22"/>
          </w:rPr>
          <w:fldChar w:fldCharType="end"/>
        </w:r>
      </w:hyperlink>
    </w:p>
    <w:p w14:paraId="6852C6E8" w14:textId="6146A6A7" w:rsidR="00A66041" w:rsidRPr="007C4D65" w:rsidRDefault="00000000">
      <w:pPr>
        <w:pStyle w:val="TableofFigures"/>
        <w:tabs>
          <w:tab w:val="right" w:leader="dot" w:pos="9016"/>
        </w:tabs>
        <w:rPr>
          <w:rFonts w:asciiTheme="minorHAnsi" w:eastAsiaTheme="minorEastAsia" w:hAnsiTheme="minorHAnsi" w:cstheme="minorHAnsi"/>
          <w:i/>
          <w:iCs/>
          <w:noProof/>
          <w:sz w:val="22"/>
          <w:szCs w:val="22"/>
          <w:lang w:val="bs-Latn-BA" w:eastAsia="bs-Latn-BA"/>
        </w:rPr>
      </w:pPr>
      <w:hyperlink w:anchor="_Toc117445044" w:history="1">
        <w:r w:rsidR="00A66041" w:rsidRPr="007C4D65">
          <w:rPr>
            <w:rStyle w:val="Hyperlink"/>
            <w:rFonts w:asciiTheme="minorHAnsi" w:eastAsia="Calibri" w:hAnsiTheme="minorHAnsi" w:cstheme="minorHAnsi"/>
            <w:i/>
            <w:iCs/>
            <w:noProof/>
            <w:sz w:val="22"/>
            <w:szCs w:val="22"/>
            <w:lang w:eastAsia="en-US"/>
          </w:rPr>
          <w:t xml:space="preserve">Figure </w:t>
        </w:r>
        <w:r w:rsidR="00A66041" w:rsidRPr="007C4D65">
          <w:rPr>
            <w:rStyle w:val="Hyperlink"/>
            <w:rFonts w:asciiTheme="minorHAnsi" w:eastAsiaTheme="majorEastAsia" w:hAnsiTheme="minorHAnsi" w:cstheme="minorHAnsi"/>
            <w:i/>
            <w:iCs/>
            <w:noProof/>
            <w:sz w:val="22"/>
            <w:szCs w:val="22"/>
            <w:lang w:val="hr-HR"/>
          </w:rPr>
          <w:t>2</w:t>
        </w:r>
        <w:r w:rsidR="00A66041" w:rsidRPr="007C4D65">
          <w:rPr>
            <w:rStyle w:val="Hyperlink"/>
            <w:rFonts w:asciiTheme="minorHAnsi" w:eastAsia="Calibri" w:hAnsiTheme="minorHAnsi" w:cstheme="minorHAnsi"/>
            <w:i/>
            <w:iCs/>
            <w:noProof/>
            <w:sz w:val="22"/>
            <w:szCs w:val="22"/>
            <w:lang w:eastAsia="en-US"/>
          </w:rPr>
          <w:t>: Chemical status of surface water bodies, according to Sava River Basin monitoring (2011-2018)</w:t>
        </w:r>
        <w:r w:rsidR="00A66041" w:rsidRPr="007C4D65">
          <w:rPr>
            <w:rFonts w:asciiTheme="minorHAnsi" w:hAnsiTheme="minorHAnsi" w:cstheme="minorHAnsi"/>
            <w:i/>
            <w:iCs/>
            <w:noProof/>
            <w:webHidden/>
            <w:sz w:val="22"/>
            <w:szCs w:val="22"/>
          </w:rPr>
          <w:tab/>
        </w:r>
        <w:r w:rsidR="00A66041" w:rsidRPr="007C4D65">
          <w:rPr>
            <w:rStyle w:val="Hyperlink"/>
            <w:rFonts w:asciiTheme="minorHAnsi" w:eastAsiaTheme="majorEastAsia" w:hAnsiTheme="minorHAnsi" w:cstheme="minorHAnsi"/>
            <w:i/>
            <w:iCs/>
            <w:noProof/>
            <w:sz w:val="22"/>
            <w:szCs w:val="22"/>
          </w:rPr>
          <w:fldChar w:fldCharType="begin"/>
        </w:r>
        <w:r w:rsidR="00A66041" w:rsidRPr="007C4D65">
          <w:rPr>
            <w:rFonts w:asciiTheme="minorHAnsi" w:hAnsiTheme="minorHAnsi" w:cstheme="minorHAnsi"/>
            <w:i/>
            <w:iCs/>
            <w:noProof/>
            <w:webHidden/>
            <w:sz w:val="22"/>
            <w:szCs w:val="22"/>
          </w:rPr>
          <w:instrText xml:space="preserve"> PAGEREF _Toc117445044 \h </w:instrText>
        </w:r>
        <w:r w:rsidR="00A66041" w:rsidRPr="007C4D65">
          <w:rPr>
            <w:rStyle w:val="Hyperlink"/>
            <w:rFonts w:asciiTheme="minorHAnsi" w:eastAsiaTheme="majorEastAsia" w:hAnsiTheme="minorHAnsi" w:cstheme="minorHAnsi"/>
            <w:i/>
            <w:iCs/>
            <w:noProof/>
            <w:sz w:val="22"/>
            <w:szCs w:val="22"/>
          </w:rPr>
        </w:r>
        <w:r w:rsidR="00A66041" w:rsidRPr="007C4D65">
          <w:rPr>
            <w:rStyle w:val="Hyperlink"/>
            <w:rFonts w:asciiTheme="minorHAnsi" w:eastAsiaTheme="majorEastAsia" w:hAnsiTheme="minorHAnsi" w:cstheme="minorHAnsi"/>
            <w:i/>
            <w:iCs/>
            <w:noProof/>
            <w:sz w:val="22"/>
            <w:szCs w:val="22"/>
          </w:rPr>
          <w:fldChar w:fldCharType="separate"/>
        </w:r>
        <w:r w:rsidR="00A66041" w:rsidRPr="007C4D65">
          <w:rPr>
            <w:rFonts w:asciiTheme="minorHAnsi" w:hAnsiTheme="minorHAnsi" w:cstheme="minorHAnsi"/>
            <w:i/>
            <w:iCs/>
            <w:noProof/>
            <w:webHidden/>
            <w:sz w:val="22"/>
            <w:szCs w:val="22"/>
          </w:rPr>
          <w:t>21</w:t>
        </w:r>
        <w:r w:rsidR="00A66041" w:rsidRPr="007C4D65">
          <w:rPr>
            <w:rStyle w:val="Hyperlink"/>
            <w:rFonts w:asciiTheme="minorHAnsi" w:eastAsiaTheme="majorEastAsia" w:hAnsiTheme="minorHAnsi" w:cstheme="minorHAnsi"/>
            <w:i/>
            <w:iCs/>
            <w:noProof/>
            <w:sz w:val="22"/>
            <w:szCs w:val="22"/>
          </w:rPr>
          <w:fldChar w:fldCharType="end"/>
        </w:r>
      </w:hyperlink>
    </w:p>
    <w:p w14:paraId="4AA5A419" w14:textId="607E311D" w:rsidR="00A66041" w:rsidRPr="007C4D65" w:rsidRDefault="00000000">
      <w:pPr>
        <w:pStyle w:val="TableofFigures"/>
        <w:tabs>
          <w:tab w:val="right" w:leader="dot" w:pos="9016"/>
        </w:tabs>
        <w:rPr>
          <w:rFonts w:asciiTheme="minorHAnsi" w:eastAsiaTheme="minorEastAsia" w:hAnsiTheme="minorHAnsi" w:cstheme="minorHAnsi"/>
          <w:i/>
          <w:iCs/>
          <w:noProof/>
          <w:sz w:val="22"/>
          <w:szCs w:val="22"/>
          <w:lang w:val="bs-Latn-BA" w:eastAsia="bs-Latn-BA"/>
        </w:rPr>
      </w:pPr>
      <w:hyperlink w:anchor="_Toc117445045" w:history="1">
        <w:r w:rsidR="00A66041" w:rsidRPr="007C4D65">
          <w:rPr>
            <w:rStyle w:val="Hyperlink"/>
            <w:rFonts w:asciiTheme="minorHAnsi" w:eastAsia="Calibri" w:hAnsiTheme="minorHAnsi" w:cstheme="minorHAnsi"/>
            <w:i/>
            <w:iCs/>
            <w:noProof/>
            <w:sz w:val="22"/>
            <w:szCs w:val="22"/>
            <w:lang w:eastAsia="en-US"/>
          </w:rPr>
          <w:t xml:space="preserve">Figure </w:t>
        </w:r>
        <w:r w:rsidR="00A66041" w:rsidRPr="007C4D65">
          <w:rPr>
            <w:rStyle w:val="Hyperlink"/>
            <w:rFonts w:asciiTheme="minorHAnsi" w:eastAsiaTheme="majorEastAsia" w:hAnsiTheme="minorHAnsi" w:cstheme="minorHAnsi"/>
            <w:i/>
            <w:iCs/>
            <w:noProof/>
            <w:sz w:val="22"/>
            <w:szCs w:val="22"/>
            <w:lang w:val="hr-HR"/>
          </w:rPr>
          <w:t>3</w:t>
        </w:r>
        <w:r w:rsidR="00A66041" w:rsidRPr="007C4D65">
          <w:rPr>
            <w:rStyle w:val="Hyperlink"/>
            <w:rFonts w:asciiTheme="minorHAnsi" w:eastAsia="Calibri" w:hAnsiTheme="minorHAnsi" w:cstheme="minorHAnsi"/>
            <w:i/>
            <w:iCs/>
            <w:noProof/>
            <w:sz w:val="22"/>
            <w:szCs w:val="22"/>
            <w:lang w:eastAsia="en-US"/>
          </w:rPr>
          <w:t>: Overall assessment of status of surface water bodies, according to the monitoring in the Sava River Basin (2011-2018)</w:t>
        </w:r>
        <w:r w:rsidR="00A66041" w:rsidRPr="007C4D65">
          <w:rPr>
            <w:rFonts w:asciiTheme="minorHAnsi" w:hAnsiTheme="minorHAnsi" w:cstheme="minorHAnsi"/>
            <w:i/>
            <w:iCs/>
            <w:noProof/>
            <w:webHidden/>
            <w:sz w:val="22"/>
            <w:szCs w:val="22"/>
          </w:rPr>
          <w:tab/>
        </w:r>
        <w:r w:rsidR="00A66041" w:rsidRPr="007C4D65">
          <w:rPr>
            <w:rStyle w:val="Hyperlink"/>
            <w:rFonts w:asciiTheme="minorHAnsi" w:eastAsiaTheme="majorEastAsia" w:hAnsiTheme="minorHAnsi" w:cstheme="minorHAnsi"/>
            <w:i/>
            <w:iCs/>
            <w:noProof/>
            <w:sz w:val="22"/>
            <w:szCs w:val="22"/>
          </w:rPr>
          <w:fldChar w:fldCharType="begin"/>
        </w:r>
        <w:r w:rsidR="00A66041" w:rsidRPr="007C4D65">
          <w:rPr>
            <w:rFonts w:asciiTheme="minorHAnsi" w:hAnsiTheme="minorHAnsi" w:cstheme="minorHAnsi"/>
            <w:i/>
            <w:iCs/>
            <w:noProof/>
            <w:webHidden/>
            <w:sz w:val="22"/>
            <w:szCs w:val="22"/>
          </w:rPr>
          <w:instrText xml:space="preserve"> PAGEREF _Toc117445045 \h </w:instrText>
        </w:r>
        <w:r w:rsidR="00A66041" w:rsidRPr="007C4D65">
          <w:rPr>
            <w:rStyle w:val="Hyperlink"/>
            <w:rFonts w:asciiTheme="minorHAnsi" w:eastAsiaTheme="majorEastAsia" w:hAnsiTheme="minorHAnsi" w:cstheme="minorHAnsi"/>
            <w:i/>
            <w:iCs/>
            <w:noProof/>
            <w:sz w:val="22"/>
            <w:szCs w:val="22"/>
          </w:rPr>
        </w:r>
        <w:r w:rsidR="00A66041" w:rsidRPr="007C4D65">
          <w:rPr>
            <w:rStyle w:val="Hyperlink"/>
            <w:rFonts w:asciiTheme="minorHAnsi" w:eastAsiaTheme="majorEastAsia" w:hAnsiTheme="minorHAnsi" w:cstheme="minorHAnsi"/>
            <w:i/>
            <w:iCs/>
            <w:noProof/>
            <w:sz w:val="22"/>
            <w:szCs w:val="22"/>
          </w:rPr>
          <w:fldChar w:fldCharType="separate"/>
        </w:r>
        <w:r w:rsidR="00A66041" w:rsidRPr="007C4D65">
          <w:rPr>
            <w:rFonts w:asciiTheme="minorHAnsi" w:hAnsiTheme="minorHAnsi" w:cstheme="minorHAnsi"/>
            <w:i/>
            <w:iCs/>
            <w:noProof/>
            <w:webHidden/>
            <w:sz w:val="22"/>
            <w:szCs w:val="22"/>
          </w:rPr>
          <w:t>21</w:t>
        </w:r>
        <w:r w:rsidR="00A66041" w:rsidRPr="007C4D65">
          <w:rPr>
            <w:rStyle w:val="Hyperlink"/>
            <w:rFonts w:asciiTheme="minorHAnsi" w:eastAsiaTheme="majorEastAsia" w:hAnsiTheme="minorHAnsi" w:cstheme="minorHAnsi"/>
            <w:i/>
            <w:iCs/>
            <w:noProof/>
            <w:sz w:val="22"/>
            <w:szCs w:val="22"/>
          </w:rPr>
          <w:fldChar w:fldCharType="end"/>
        </w:r>
      </w:hyperlink>
    </w:p>
    <w:p w14:paraId="4F95298C" w14:textId="63364928" w:rsidR="00A66041" w:rsidRPr="007C4D65" w:rsidRDefault="00000000">
      <w:pPr>
        <w:pStyle w:val="TableofFigures"/>
        <w:tabs>
          <w:tab w:val="right" w:leader="dot" w:pos="9016"/>
        </w:tabs>
        <w:rPr>
          <w:rFonts w:asciiTheme="minorHAnsi" w:eastAsiaTheme="minorEastAsia" w:hAnsiTheme="minorHAnsi" w:cstheme="minorHAnsi"/>
          <w:i/>
          <w:iCs/>
          <w:noProof/>
          <w:sz w:val="22"/>
          <w:szCs w:val="22"/>
          <w:lang w:val="bs-Latn-BA" w:eastAsia="bs-Latn-BA"/>
        </w:rPr>
      </w:pPr>
      <w:hyperlink w:anchor="_Toc117445046" w:history="1">
        <w:r w:rsidR="00A66041" w:rsidRPr="007C4D65">
          <w:rPr>
            <w:rStyle w:val="Hyperlink"/>
            <w:rFonts w:asciiTheme="minorHAnsi" w:eastAsia="Calibri" w:hAnsiTheme="minorHAnsi" w:cstheme="minorHAnsi"/>
            <w:i/>
            <w:iCs/>
            <w:noProof/>
            <w:sz w:val="22"/>
            <w:szCs w:val="22"/>
            <w:lang w:eastAsia="en-US"/>
          </w:rPr>
          <w:t>Figure</w:t>
        </w:r>
        <w:r w:rsidR="00A66041" w:rsidRPr="007C4D65">
          <w:rPr>
            <w:rStyle w:val="Hyperlink"/>
            <w:rFonts w:asciiTheme="minorHAnsi" w:eastAsiaTheme="majorEastAsia" w:hAnsiTheme="minorHAnsi" w:cstheme="minorHAnsi"/>
            <w:i/>
            <w:iCs/>
            <w:noProof/>
            <w:sz w:val="22"/>
            <w:szCs w:val="22"/>
          </w:rPr>
          <w:t xml:space="preserve"> </w:t>
        </w:r>
        <w:r w:rsidR="00A66041" w:rsidRPr="007C4D65">
          <w:rPr>
            <w:rStyle w:val="Hyperlink"/>
            <w:rFonts w:asciiTheme="minorHAnsi" w:eastAsiaTheme="majorEastAsia" w:hAnsiTheme="minorHAnsi" w:cstheme="minorHAnsi"/>
            <w:i/>
            <w:iCs/>
            <w:noProof/>
            <w:sz w:val="22"/>
            <w:szCs w:val="22"/>
            <w:lang w:val="hr-HR"/>
          </w:rPr>
          <w:t>4</w:t>
        </w:r>
        <w:r w:rsidR="00A66041" w:rsidRPr="007C4D65">
          <w:rPr>
            <w:rStyle w:val="Hyperlink"/>
            <w:rFonts w:asciiTheme="minorHAnsi" w:eastAsia="Calibri" w:hAnsiTheme="minorHAnsi" w:cstheme="minorHAnsi"/>
            <w:i/>
            <w:iCs/>
            <w:noProof/>
            <w:sz w:val="22"/>
            <w:szCs w:val="22"/>
            <w:lang w:eastAsia="en-US"/>
          </w:rPr>
          <w:t xml:space="preserve">: Ecological status of natural surface water bodies according to the Adriatic Sea Basin  (2016-2019) </w:t>
        </w:r>
        <w:r w:rsidR="00A66041" w:rsidRPr="007C4D65">
          <w:rPr>
            <w:rStyle w:val="Hyperlink"/>
            <w:rFonts w:asciiTheme="minorHAnsi" w:eastAsiaTheme="majorEastAsia" w:hAnsiTheme="minorHAnsi" w:cstheme="minorHAnsi"/>
            <w:i/>
            <w:iCs/>
            <w:noProof/>
            <w:sz w:val="22"/>
            <w:szCs w:val="22"/>
          </w:rPr>
          <w:t>(Adriatic Sea Watershed Agency, 2021)</w:t>
        </w:r>
        <w:r w:rsidR="00A66041" w:rsidRPr="007C4D65">
          <w:rPr>
            <w:rFonts w:asciiTheme="minorHAnsi" w:hAnsiTheme="minorHAnsi" w:cstheme="minorHAnsi"/>
            <w:i/>
            <w:iCs/>
            <w:noProof/>
            <w:webHidden/>
            <w:sz w:val="22"/>
            <w:szCs w:val="22"/>
          </w:rPr>
          <w:tab/>
        </w:r>
        <w:r w:rsidR="00A66041" w:rsidRPr="007C4D65">
          <w:rPr>
            <w:rStyle w:val="Hyperlink"/>
            <w:rFonts w:asciiTheme="minorHAnsi" w:eastAsiaTheme="majorEastAsia" w:hAnsiTheme="minorHAnsi" w:cstheme="minorHAnsi"/>
            <w:i/>
            <w:iCs/>
            <w:noProof/>
            <w:sz w:val="22"/>
            <w:szCs w:val="22"/>
          </w:rPr>
          <w:fldChar w:fldCharType="begin"/>
        </w:r>
        <w:r w:rsidR="00A66041" w:rsidRPr="007C4D65">
          <w:rPr>
            <w:rFonts w:asciiTheme="minorHAnsi" w:hAnsiTheme="minorHAnsi" w:cstheme="minorHAnsi"/>
            <w:i/>
            <w:iCs/>
            <w:noProof/>
            <w:webHidden/>
            <w:sz w:val="22"/>
            <w:szCs w:val="22"/>
          </w:rPr>
          <w:instrText xml:space="preserve"> PAGEREF _Toc117445046 \h </w:instrText>
        </w:r>
        <w:r w:rsidR="00A66041" w:rsidRPr="007C4D65">
          <w:rPr>
            <w:rStyle w:val="Hyperlink"/>
            <w:rFonts w:asciiTheme="minorHAnsi" w:eastAsiaTheme="majorEastAsia" w:hAnsiTheme="minorHAnsi" w:cstheme="minorHAnsi"/>
            <w:i/>
            <w:iCs/>
            <w:noProof/>
            <w:sz w:val="22"/>
            <w:szCs w:val="22"/>
          </w:rPr>
        </w:r>
        <w:r w:rsidR="00A66041" w:rsidRPr="007C4D65">
          <w:rPr>
            <w:rStyle w:val="Hyperlink"/>
            <w:rFonts w:asciiTheme="minorHAnsi" w:eastAsiaTheme="majorEastAsia" w:hAnsiTheme="minorHAnsi" w:cstheme="minorHAnsi"/>
            <w:i/>
            <w:iCs/>
            <w:noProof/>
            <w:sz w:val="22"/>
            <w:szCs w:val="22"/>
          </w:rPr>
          <w:fldChar w:fldCharType="separate"/>
        </w:r>
        <w:r w:rsidR="00A66041" w:rsidRPr="007C4D65">
          <w:rPr>
            <w:rFonts w:asciiTheme="minorHAnsi" w:hAnsiTheme="minorHAnsi" w:cstheme="minorHAnsi"/>
            <w:i/>
            <w:iCs/>
            <w:noProof/>
            <w:webHidden/>
            <w:sz w:val="22"/>
            <w:szCs w:val="22"/>
          </w:rPr>
          <w:t>22</w:t>
        </w:r>
        <w:r w:rsidR="00A66041" w:rsidRPr="007C4D65">
          <w:rPr>
            <w:rStyle w:val="Hyperlink"/>
            <w:rFonts w:asciiTheme="minorHAnsi" w:eastAsiaTheme="majorEastAsia" w:hAnsiTheme="minorHAnsi" w:cstheme="minorHAnsi"/>
            <w:i/>
            <w:iCs/>
            <w:noProof/>
            <w:sz w:val="22"/>
            <w:szCs w:val="22"/>
          </w:rPr>
          <w:fldChar w:fldCharType="end"/>
        </w:r>
      </w:hyperlink>
    </w:p>
    <w:p w14:paraId="2867D13A" w14:textId="2F429264" w:rsidR="00A66041" w:rsidRPr="007C4D65" w:rsidRDefault="00000000">
      <w:pPr>
        <w:pStyle w:val="TableofFigures"/>
        <w:tabs>
          <w:tab w:val="right" w:leader="dot" w:pos="9016"/>
        </w:tabs>
        <w:rPr>
          <w:rFonts w:asciiTheme="minorHAnsi" w:eastAsiaTheme="minorEastAsia" w:hAnsiTheme="minorHAnsi" w:cstheme="minorHAnsi"/>
          <w:i/>
          <w:iCs/>
          <w:noProof/>
          <w:sz w:val="22"/>
          <w:szCs w:val="22"/>
          <w:lang w:val="bs-Latn-BA" w:eastAsia="bs-Latn-BA"/>
        </w:rPr>
      </w:pPr>
      <w:hyperlink w:anchor="_Toc117445047" w:history="1">
        <w:r w:rsidR="00A66041" w:rsidRPr="007C4D65">
          <w:rPr>
            <w:rStyle w:val="Hyperlink"/>
            <w:rFonts w:asciiTheme="minorHAnsi" w:eastAsiaTheme="majorEastAsia" w:hAnsiTheme="minorHAnsi" w:cstheme="minorHAnsi"/>
            <w:i/>
            <w:iCs/>
            <w:noProof/>
            <w:sz w:val="22"/>
            <w:szCs w:val="22"/>
          </w:rPr>
          <w:t xml:space="preserve">Figure </w:t>
        </w:r>
        <w:r w:rsidR="00A66041" w:rsidRPr="007C4D65">
          <w:rPr>
            <w:rStyle w:val="Hyperlink"/>
            <w:rFonts w:asciiTheme="minorHAnsi" w:eastAsiaTheme="majorEastAsia" w:hAnsiTheme="minorHAnsi" w:cstheme="minorHAnsi"/>
            <w:i/>
            <w:iCs/>
            <w:noProof/>
            <w:sz w:val="22"/>
            <w:szCs w:val="22"/>
            <w:lang w:val="hr-HR"/>
          </w:rPr>
          <w:t>5</w:t>
        </w:r>
        <w:r w:rsidR="00A66041" w:rsidRPr="007C4D65">
          <w:rPr>
            <w:rStyle w:val="Hyperlink"/>
            <w:rFonts w:asciiTheme="minorHAnsi" w:eastAsiaTheme="majorEastAsia" w:hAnsiTheme="minorHAnsi" w:cstheme="minorHAnsi"/>
            <w:i/>
            <w:iCs/>
            <w:noProof/>
            <w:sz w:val="22"/>
            <w:szCs w:val="22"/>
          </w:rPr>
          <w:t>: Ecological potential of heavily modified and artificial surface water bodies according to the monitoring in the Adriatic Sea Basin (2016-2019)</w:t>
        </w:r>
        <w:r w:rsidR="00A66041" w:rsidRPr="007C4D65">
          <w:rPr>
            <w:rFonts w:asciiTheme="minorHAnsi" w:hAnsiTheme="minorHAnsi" w:cstheme="minorHAnsi"/>
            <w:i/>
            <w:iCs/>
            <w:noProof/>
            <w:webHidden/>
            <w:sz w:val="22"/>
            <w:szCs w:val="22"/>
          </w:rPr>
          <w:tab/>
        </w:r>
        <w:r w:rsidR="00A66041" w:rsidRPr="007C4D65">
          <w:rPr>
            <w:rStyle w:val="Hyperlink"/>
            <w:rFonts w:asciiTheme="minorHAnsi" w:eastAsiaTheme="majorEastAsia" w:hAnsiTheme="minorHAnsi" w:cstheme="minorHAnsi"/>
            <w:i/>
            <w:iCs/>
            <w:noProof/>
            <w:sz w:val="22"/>
            <w:szCs w:val="22"/>
          </w:rPr>
          <w:fldChar w:fldCharType="begin"/>
        </w:r>
        <w:r w:rsidR="00A66041" w:rsidRPr="007C4D65">
          <w:rPr>
            <w:rFonts w:asciiTheme="minorHAnsi" w:hAnsiTheme="minorHAnsi" w:cstheme="minorHAnsi"/>
            <w:i/>
            <w:iCs/>
            <w:noProof/>
            <w:webHidden/>
            <w:sz w:val="22"/>
            <w:szCs w:val="22"/>
          </w:rPr>
          <w:instrText xml:space="preserve"> PAGEREF _Toc117445047 \h </w:instrText>
        </w:r>
        <w:r w:rsidR="00A66041" w:rsidRPr="007C4D65">
          <w:rPr>
            <w:rStyle w:val="Hyperlink"/>
            <w:rFonts w:asciiTheme="minorHAnsi" w:eastAsiaTheme="majorEastAsia" w:hAnsiTheme="minorHAnsi" w:cstheme="minorHAnsi"/>
            <w:i/>
            <w:iCs/>
            <w:noProof/>
            <w:sz w:val="22"/>
            <w:szCs w:val="22"/>
          </w:rPr>
        </w:r>
        <w:r w:rsidR="00A66041" w:rsidRPr="007C4D65">
          <w:rPr>
            <w:rStyle w:val="Hyperlink"/>
            <w:rFonts w:asciiTheme="minorHAnsi" w:eastAsiaTheme="majorEastAsia" w:hAnsiTheme="minorHAnsi" w:cstheme="minorHAnsi"/>
            <w:i/>
            <w:iCs/>
            <w:noProof/>
            <w:sz w:val="22"/>
            <w:szCs w:val="22"/>
          </w:rPr>
          <w:fldChar w:fldCharType="separate"/>
        </w:r>
        <w:r w:rsidR="00A66041" w:rsidRPr="007C4D65">
          <w:rPr>
            <w:rFonts w:asciiTheme="minorHAnsi" w:hAnsiTheme="minorHAnsi" w:cstheme="minorHAnsi"/>
            <w:i/>
            <w:iCs/>
            <w:noProof/>
            <w:webHidden/>
            <w:sz w:val="22"/>
            <w:szCs w:val="22"/>
          </w:rPr>
          <w:t>22</w:t>
        </w:r>
        <w:r w:rsidR="00A66041" w:rsidRPr="007C4D65">
          <w:rPr>
            <w:rStyle w:val="Hyperlink"/>
            <w:rFonts w:asciiTheme="minorHAnsi" w:eastAsiaTheme="majorEastAsia" w:hAnsiTheme="minorHAnsi" w:cstheme="minorHAnsi"/>
            <w:i/>
            <w:iCs/>
            <w:noProof/>
            <w:sz w:val="22"/>
            <w:szCs w:val="22"/>
          </w:rPr>
          <w:fldChar w:fldCharType="end"/>
        </w:r>
      </w:hyperlink>
    </w:p>
    <w:p w14:paraId="31D27118" w14:textId="51707075" w:rsidR="00A66041" w:rsidRPr="007C4D65" w:rsidRDefault="00000000">
      <w:pPr>
        <w:pStyle w:val="TableofFigures"/>
        <w:tabs>
          <w:tab w:val="right" w:leader="dot" w:pos="9016"/>
        </w:tabs>
        <w:rPr>
          <w:rFonts w:asciiTheme="minorHAnsi" w:eastAsiaTheme="minorEastAsia" w:hAnsiTheme="minorHAnsi" w:cstheme="minorHAnsi"/>
          <w:i/>
          <w:iCs/>
          <w:noProof/>
          <w:sz w:val="22"/>
          <w:szCs w:val="22"/>
          <w:lang w:val="bs-Latn-BA" w:eastAsia="bs-Latn-BA"/>
        </w:rPr>
      </w:pPr>
      <w:hyperlink w:anchor="_Toc117445048" w:history="1">
        <w:r w:rsidR="00A66041" w:rsidRPr="007C4D65">
          <w:rPr>
            <w:rStyle w:val="Hyperlink"/>
            <w:rFonts w:asciiTheme="minorHAnsi" w:eastAsiaTheme="majorEastAsia" w:hAnsiTheme="minorHAnsi" w:cstheme="minorHAnsi"/>
            <w:i/>
            <w:iCs/>
            <w:noProof/>
            <w:sz w:val="22"/>
            <w:szCs w:val="22"/>
          </w:rPr>
          <w:t xml:space="preserve">Figure </w:t>
        </w:r>
        <w:r w:rsidR="00A66041" w:rsidRPr="007C4D65">
          <w:rPr>
            <w:rStyle w:val="Hyperlink"/>
            <w:rFonts w:asciiTheme="minorHAnsi" w:eastAsiaTheme="majorEastAsia" w:hAnsiTheme="minorHAnsi" w:cstheme="minorHAnsi"/>
            <w:bCs/>
            <w:i/>
            <w:iCs/>
            <w:noProof/>
            <w:sz w:val="22"/>
            <w:szCs w:val="22"/>
            <w:lang w:val="hr-HR"/>
          </w:rPr>
          <w:t>6:</w:t>
        </w:r>
        <w:r w:rsidR="00A66041" w:rsidRPr="007C4D65">
          <w:rPr>
            <w:rStyle w:val="Hyperlink"/>
            <w:rFonts w:asciiTheme="minorHAnsi" w:eastAsiaTheme="majorEastAsia" w:hAnsiTheme="minorHAnsi" w:cstheme="minorHAnsi"/>
            <w:i/>
            <w:iCs/>
            <w:noProof/>
            <w:sz w:val="22"/>
            <w:szCs w:val="22"/>
          </w:rPr>
          <w:t xml:space="preserve"> Emissions of pollutants from existing large combustion plants in 2014 in the FBiH</w:t>
        </w:r>
        <w:r w:rsidR="00A66041" w:rsidRPr="007C4D65">
          <w:rPr>
            <w:rFonts w:asciiTheme="minorHAnsi" w:hAnsiTheme="minorHAnsi" w:cstheme="minorHAnsi"/>
            <w:i/>
            <w:iCs/>
            <w:noProof/>
            <w:webHidden/>
            <w:sz w:val="22"/>
            <w:szCs w:val="22"/>
          </w:rPr>
          <w:tab/>
        </w:r>
        <w:r w:rsidR="00A66041" w:rsidRPr="007C4D65">
          <w:rPr>
            <w:rStyle w:val="Hyperlink"/>
            <w:rFonts w:asciiTheme="minorHAnsi" w:eastAsiaTheme="majorEastAsia" w:hAnsiTheme="minorHAnsi" w:cstheme="minorHAnsi"/>
            <w:i/>
            <w:iCs/>
            <w:noProof/>
            <w:sz w:val="22"/>
            <w:szCs w:val="22"/>
          </w:rPr>
          <w:fldChar w:fldCharType="begin"/>
        </w:r>
        <w:r w:rsidR="00A66041" w:rsidRPr="007C4D65">
          <w:rPr>
            <w:rFonts w:asciiTheme="minorHAnsi" w:hAnsiTheme="minorHAnsi" w:cstheme="minorHAnsi"/>
            <w:i/>
            <w:iCs/>
            <w:noProof/>
            <w:webHidden/>
            <w:sz w:val="22"/>
            <w:szCs w:val="22"/>
          </w:rPr>
          <w:instrText xml:space="preserve"> PAGEREF _Toc117445048 \h </w:instrText>
        </w:r>
        <w:r w:rsidR="00A66041" w:rsidRPr="007C4D65">
          <w:rPr>
            <w:rStyle w:val="Hyperlink"/>
            <w:rFonts w:asciiTheme="minorHAnsi" w:eastAsiaTheme="majorEastAsia" w:hAnsiTheme="minorHAnsi" w:cstheme="minorHAnsi"/>
            <w:i/>
            <w:iCs/>
            <w:noProof/>
            <w:sz w:val="22"/>
            <w:szCs w:val="22"/>
          </w:rPr>
        </w:r>
        <w:r w:rsidR="00A66041" w:rsidRPr="007C4D65">
          <w:rPr>
            <w:rStyle w:val="Hyperlink"/>
            <w:rFonts w:asciiTheme="minorHAnsi" w:eastAsiaTheme="majorEastAsia" w:hAnsiTheme="minorHAnsi" w:cstheme="minorHAnsi"/>
            <w:i/>
            <w:iCs/>
            <w:noProof/>
            <w:sz w:val="22"/>
            <w:szCs w:val="22"/>
          </w:rPr>
          <w:fldChar w:fldCharType="separate"/>
        </w:r>
        <w:r w:rsidR="00A66041" w:rsidRPr="007C4D65">
          <w:rPr>
            <w:rFonts w:asciiTheme="minorHAnsi" w:hAnsiTheme="minorHAnsi" w:cstheme="minorHAnsi"/>
            <w:i/>
            <w:iCs/>
            <w:noProof/>
            <w:webHidden/>
            <w:sz w:val="22"/>
            <w:szCs w:val="22"/>
          </w:rPr>
          <w:t>81</w:t>
        </w:r>
        <w:r w:rsidR="00A66041" w:rsidRPr="007C4D65">
          <w:rPr>
            <w:rStyle w:val="Hyperlink"/>
            <w:rFonts w:asciiTheme="minorHAnsi" w:eastAsiaTheme="majorEastAsia" w:hAnsiTheme="minorHAnsi" w:cstheme="minorHAnsi"/>
            <w:i/>
            <w:iCs/>
            <w:noProof/>
            <w:sz w:val="22"/>
            <w:szCs w:val="22"/>
          </w:rPr>
          <w:fldChar w:fldCharType="end"/>
        </w:r>
      </w:hyperlink>
    </w:p>
    <w:p w14:paraId="71496315" w14:textId="2367ED66" w:rsidR="00A66041" w:rsidRPr="007C4D65" w:rsidRDefault="00000000">
      <w:pPr>
        <w:pStyle w:val="TableofFigures"/>
        <w:tabs>
          <w:tab w:val="right" w:leader="dot" w:pos="9016"/>
        </w:tabs>
        <w:rPr>
          <w:rFonts w:asciiTheme="minorHAnsi" w:eastAsiaTheme="minorEastAsia" w:hAnsiTheme="minorHAnsi" w:cstheme="minorHAnsi"/>
          <w:i/>
          <w:iCs/>
          <w:noProof/>
          <w:sz w:val="22"/>
          <w:szCs w:val="22"/>
          <w:lang w:val="bs-Latn-BA" w:eastAsia="bs-Latn-BA"/>
        </w:rPr>
      </w:pPr>
      <w:hyperlink w:anchor="_Toc117445049" w:history="1">
        <w:r w:rsidR="00A66041" w:rsidRPr="007C4D65">
          <w:rPr>
            <w:rStyle w:val="Hyperlink"/>
            <w:rFonts w:asciiTheme="minorHAnsi" w:eastAsiaTheme="majorEastAsia" w:hAnsiTheme="minorHAnsi" w:cstheme="minorHAnsi"/>
            <w:i/>
            <w:iCs/>
            <w:noProof/>
            <w:sz w:val="22"/>
            <w:szCs w:val="22"/>
          </w:rPr>
          <w:t>Figure 7: Trends in air temperature changes in the FBiH, 1961‒2016 (Sarajevo, Mostar)</w:t>
        </w:r>
        <w:r w:rsidR="00A66041" w:rsidRPr="007C4D65">
          <w:rPr>
            <w:rFonts w:asciiTheme="minorHAnsi" w:hAnsiTheme="minorHAnsi" w:cstheme="minorHAnsi"/>
            <w:i/>
            <w:iCs/>
            <w:noProof/>
            <w:webHidden/>
            <w:sz w:val="22"/>
            <w:szCs w:val="22"/>
          </w:rPr>
          <w:tab/>
        </w:r>
        <w:r w:rsidR="00A66041" w:rsidRPr="007C4D65">
          <w:rPr>
            <w:rStyle w:val="Hyperlink"/>
            <w:rFonts w:asciiTheme="minorHAnsi" w:eastAsiaTheme="majorEastAsia" w:hAnsiTheme="minorHAnsi" w:cstheme="minorHAnsi"/>
            <w:i/>
            <w:iCs/>
            <w:noProof/>
            <w:sz w:val="22"/>
            <w:szCs w:val="22"/>
          </w:rPr>
          <w:fldChar w:fldCharType="begin"/>
        </w:r>
        <w:r w:rsidR="00A66041" w:rsidRPr="007C4D65">
          <w:rPr>
            <w:rFonts w:asciiTheme="minorHAnsi" w:hAnsiTheme="minorHAnsi" w:cstheme="minorHAnsi"/>
            <w:i/>
            <w:iCs/>
            <w:noProof/>
            <w:webHidden/>
            <w:sz w:val="22"/>
            <w:szCs w:val="22"/>
          </w:rPr>
          <w:instrText xml:space="preserve"> PAGEREF _Toc117445049 \h </w:instrText>
        </w:r>
        <w:r w:rsidR="00A66041" w:rsidRPr="007C4D65">
          <w:rPr>
            <w:rStyle w:val="Hyperlink"/>
            <w:rFonts w:asciiTheme="minorHAnsi" w:eastAsiaTheme="majorEastAsia" w:hAnsiTheme="minorHAnsi" w:cstheme="minorHAnsi"/>
            <w:i/>
            <w:iCs/>
            <w:noProof/>
            <w:sz w:val="22"/>
            <w:szCs w:val="22"/>
          </w:rPr>
        </w:r>
        <w:r w:rsidR="00A66041" w:rsidRPr="007C4D65">
          <w:rPr>
            <w:rStyle w:val="Hyperlink"/>
            <w:rFonts w:asciiTheme="minorHAnsi" w:eastAsiaTheme="majorEastAsia" w:hAnsiTheme="minorHAnsi" w:cstheme="minorHAnsi"/>
            <w:i/>
            <w:iCs/>
            <w:noProof/>
            <w:sz w:val="22"/>
            <w:szCs w:val="22"/>
          </w:rPr>
          <w:fldChar w:fldCharType="separate"/>
        </w:r>
        <w:r w:rsidR="00A66041" w:rsidRPr="007C4D65">
          <w:rPr>
            <w:rFonts w:asciiTheme="minorHAnsi" w:hAnsiTheme="minorHAnsi" w:cstheme="minorHAnsi"/>
            <w:i/>
            <w:iCs/>
            <w:noProof/>
            <w:webHidden/>
            <w:sz w:val="22"/>
            <w:szCs w:val="22"/>
          </w:rPr>
          <w:t>82</w:t>
        </w:r>
        <w:r w:rsidR="00A66041" w:rsidRPr="007C4D65">
          <w:rPr>
            <w:rStyle w:val="Hyperlink"/>
            <w:rFonts w:asciiTheme="minorHAnsi" w:eastAsiaTheme="majorEastAsia" w:hAnsiTheme="minorHAnsi" w:cstheme="minorHAnsi"/>
            <w:i/>
            <w:iCs/>
            <w:noProof/>
            <w:sz w:val="22"/>
            <w:szCs w:val="22"/>
          </w:rPr>
          <w:fldChar w:fldCharType="end"/>
        </w:r>
      </w:hyperlink>
    </w:p>
    <w:p w14:paraId="276B13C4" w14:textId="1D286669" w:rsidR="00A66041" w:rsidRPr="007C4D65" w:rsidRDefault="00000000">
      <w:pPr>
        <w:pStyle w:val="TableofFigures"/>
        <w:tabs>
          <w:tab w:val="right" w:leader="dot" w:pos="9016"/>
        </w:tabs>
        <w:rPr>
          <w:rFonts w:asciiTheme="minorHAnsi" w:eastAsiaTheme="minorEastAsia" w:hAnsiTheme="minorHAnsi" w:cstheme="minorHAnsi"/>
          <w:i/>
          <w:iCs/>
          <w:noProof/>
          <w:sz w:val="22"/>
          <w:szCs w:val="22"/>
          <w:lang w:val="bs-Latn-BA" w:eastAsia="bs-Latn-BA"/>
        </w:rPr>
      </w:pPr>
      <w:hyperlink w:anchor="_Toc117445050" w:history="1">
        <w:r w:rsidR="00A66041" w:rsidRPr="007C4D65">
          <w:rPr>
            <w:rStyle w:val="Hyperlink"/>
            <w:rFonts w:asciiTheme="minorHAnsi" w:eastAsiaTheme="majorEastAsia" w:hAnsiTheme="minorHAnsi" w:cstheme="minorHAnsi"/>
            <w:i/>
            <w:iCs/>
            <w:noProof/>
            <w:sz w:val="22"/>
            <w:szCs w:val="22"/>
          </w:rPr>
          <w:t>Figure 8: Trends in precipitation changes in FBiH, 1961-2016. (Sarajevo, Mostar) FBiH,</w:t>
        </w:r>
        <w:r w:rsidR="00A66041" w:rsidRPr="007C4D65">
          <w:rPr>
            <w:rFonts w:asciiTheme="minorHAnsi" w:hAnsiTheme="minorHAnsi" w:cstheme="minorHAnsi"/>
            <w:i/>
            <w:iCs/>
            <w:noProof/>
            <w:webHidden/>
            <w:sz w:val="22"/>
            <w:szCs w:val="22"/>
          </w:rPr>
          <w:tab/>
        </w:r>
        <w:r w:rsidR="00A66041" w:rsidRPr="007C4D65">
          <w:rPr>
            <w:rStyle w:val="Hyperlink"/>
            <w:rFonts w:asciiTheme="minorHAnsi" w:eastAsiaTheme="majorEastAsia" w:hAnsiTheme="minorHAnsi" w:cstheme="minorHAnsi"/>
            <w:i/>
            <w:iCs/>
            <w:noProof/>
            <w:sz w:val="22"/>
            <w:szCs w:val="22"/>
          </w:rPr>
          <w:fldChar w:fldCharType="begin"/>
        </w:r>
        <w:r w:rsidR="00A66041" w:rsidRPr="007C4D65">
          <w:rPr>
            <w:rFonts w:asciiTheme="minorHAnsi" w:hAnsiTheme="minorHAnsi" w:cstheme="minorHAnsi"/>
            <w:i/>
            <w:iCs/>
            <w:noProof/>
            <w:webHidden/>
            <w:sz w:val="22"/>
            <w:szCs w:val="22"/>
          </w:rPr>
          <w:instrText xml:space="preserve"> PAGEREF _Toc117445050 \h </w:instrText>
        </w:r>
        <w:r w:rsidR="00A66041" w:rsidRPr="007C4D65">
          <w:rPr>
            <w:rStyle w:val="Hyperlink"/>
            <w:rFonts w:asciiTheme="minorHAnsi" w:eastAsiaTheme="majorEastAsia" w:hAnsiTheme="minorHAnsi" w:cstheme="minorHAnsi"/>
            <w:i/>
            <w:iCs/>
            <w:noProof/>
            <w:sz w:val="22"/>
            <w:szCs w:val="22"/>
          </w:rPr>
        </w:r>
        <w:r w:rsidR="00A66041" w:rsidRPr="007C4D65">
          <w:rPr>
            <w:rStyle w:val="Hyperlink"/>
            <w:rFonts w:asciiTheme="minorHAnsi" w:eastAsiaTheme="majorEastAsia" w:hAnsiTheme="minorHAnsi" w:cstheme="minorHAnsi"/>
            <w:i/>
            <w:iCs/>
            <w:noProof/>
            <w:sz w:val="22"/>
            <w:szCs w:val="22"/>
          </w:rPr>
          <w:fldChar w:fldCharType="separate"/>
        </w:r>
        <w:r w:rsidR="00A66041" w:rsidRPr="007C4D65">
          <w:rPr>
            <w:rFonts w:asciiTheme="minorHAnsi" w:hAnsiTheme="minorHAnsi" w:cstheme="minorHAnsi"/>
            <w:i/>
            <w:iCs/>
            <w:noProof/>
            <w:webHidden/>
            <w:sz w:val="22"/>
            <w:szCs w:val="22"/>
          </w:rPr>
          <w:t>82</w:t>
        </w:r>
        <w:r w:rsidR="00A66041" w:rsidRPr="007C4D65">
          <w:rPr>
            <w:rStyle w:val="Hyperlink"/>
            <w:rFonts w:asciiTheme="minorHAnsi" w:eastAsiaTheme="majorEastAsia" w:hAnsiTheme="minorHAnsi" w:cstheme="minorHAnsi"/>
            <w:i/>
            <w:iCs/>
            <w:noProof/>
            <w:sz w:val="22"/>
            <w:szCs w:val="22"/>
          </w:rPr>
          <w:fldChar w:fldCharType="end"/>
        </w:r>
      </w:hyperlink>
    </w:p>
    <w:p w14:paraId="51E218D9" w14:textId="24F90A13" w:rsidR="00A66041" w:rsidRPr="007C4D65" w:rsidRDefault="00000000">
      <w:pPr>
        <w:pStyle w:val="TableofFigures"/>
        <w:tabs>
          <w:tab w:val="right" w:leader="dot" w:pos="9016"/>
        </w:tabs>
        <w:rPr>
          <w:rFonts w:asciiTheme="minorHAnsi" w:eastAsiaTheme="minorEastAsia" w:hAnsiTheme="minorHAnsi" w:cstheme="minorHAnsi"/>
          <w:i/>
          <w:iCs/>
          <w:noProof/>
          <w:sz w:val="22"/>
          <w:szCs w:val="22"/>
          <w:lang w:val="bs-Latn-BA" w:eastAsia="bs-Latn-BA"/>
        </w:rPr>
      </w:pPr>
      <w:hyperlink w:anchor="_Toc117445051" w:history="1">
        <w:r w:rsidR="00A66041" w:rsidRPr="007C4D65">
          <w:rPr>
            <w:rStyle w:val="Hyperlink"/>
            <w:rFonts w:asciiTheme="minorHAnsi" w:eastAsiaTheme="majorEastAsia" w:hAnsiTheme="minorHAnsi" w:cstheme="minorHAnsi"/>
            <w:i/>
            <w:iCs/>
            <w:noProof/>
            <w:sz w:val="22"/>
            <w:szCs w:val="22"/>
          </w:rPr>
          <w:t>Figure 9: Expected air temperature changes in BiH in line with RCP8.5 scenario</w:t>
        </w:r>
        <w:r w:rsidR="00A66041" w:rsidRPr="007C4D65">
          <w:rPr>
            <w:rFonts w:asciiTheme="minorHAnsi" w:hAnsiTheme="minorHAnsi" w:cstheme="minorHAnsi"/>
            <w:i/>
            <w:iCs/>
            <w:noProof/>
            <w:webHidden/>
            <w:sz w:val="22"/>
            <w:szCs w:val="22"/>
          </w:rPr>
          <w:tab/>
        </w:r>
        <w:r w:rsidR="00A66041" w:rsidRPr="007C4D65">
          <w:rPr>
            <w:rStyle w:val="Hyperlink"/>
            <w:rFonts w:asciiTheme="minorHAnsi" w:eastAsiaTheme="majorEastAsia" w:hAnsiTheme="minorHAnsi" w:cstheme="minorHAnsi"/>
            <w:i/>
            <w:iCs/>
            <w:noProof/>
            <w:sz w:val="22"/>
            <w:szCs w:val="22"/>
          </w:rPr>
          <w:fldChar w:fldCharType="begin"/>
        </w:r>
        <w:r w:rsidR="00A66041" w:rsidRPr="007C4D65">
          <w:rPr>
            <w:rFonts w:asciiTheme="minorHAnsi" w:hAnsiTheme="minorHAnsi" w:cstheme="minorHAnsi"/>
            <w:i/>
            <w:iCs/>
            <w:noProof/>
            <w:webHidden/>
            <w:sz w:val="22"/>
            <w:szCs w:val="22"/>
          </w:rPr>
          <w:instrText xml:space="preserve"> PAGEREF _Toc117445051 \h </w:instrText>
        </w:r>
        <w:r w:rsidR="00A66041" w:rsidRPr="007C4D65">
          <w:rPr>
            <w:rStyle w:val="Hyperlink"/>
            <w:rFonts w:asciiTheme="minorHAnsi" w:eastAsiaTheme="majorEastAsia" w:hAnsiTheme="minorHAnsi" w:cstheme="minorHAnsi"/>
            <w:i/>
            <w:iCs/>
            <w:noProof/>
            <w:sz w:val="22"/>
            <w:szCs w:val="22"/>
          </w:rPr>
        </w:r>
        <w:r w:rsidR="00A66041" w:rsidRPr="007C4D65">
          <w:rPr>
            <w:rStyle w:val="Hyperlink"/>
            <w:rFonts w:asciiTheme="minorHAnsi" w:eastAsiaTheme="majorEastAsia" w:hAnsiTheme="minorHAnsi" w:cstheme="minorHAnsi"/>
            <w:i/>
            <w:iCs/>
            <w:noProof/>
            <w:sz w:val="22"/>
            <w:szCs w:val="22"/>
          </w:rPr>
          <w:fldChar w:fldCharType="separate"/>
        </w:r>
        <w:r w:rsidR="00A66041" w:rsidRPr="007C4D65">
          <w:rPr>
            <w:rFonts w:asciiTheme="minorHAnsi" w:hAnsiTheme="minorHAnsi" w:cstheme="minorHAnsi"/>
            <w:i/>
            <w:iCs/>
            <w:noProof/>
            <w:webHidden/>
            <w:sz w:val="22"/>
            <w:szCs w:val="22"/>
          </w:rPr>
          <w:t>83</w:t>
        </w:r>
        <w:r w:rsidR="00A66041" w:rsidRPr="007C4D65">
          <w:rPr>
            <w:rStyle w:val="Hyperlink"/>
            <w:rFonts w:asciiTheme="minorHAnsi" w:eastAsiaTheme="majorEastAsia" w:hAnsiTheme="minorHAnsi" w:cstheme="minorHAnsi"/>
            <w:i/>
            <w:iCs/>
            <w:noProof/>
            <w:sz w:val="22"/>
            <w:szCs w:val="22"/>
          </w:rPr>
          <w:fldChar w:fldCharType="end"/>
        </w:r>
      </w:hyperlink>
    </w:p>
    <w:p w14:paraId="69E02415" w14:textId="5DD63EAC" w:rsidR="00A66041" w:rsidRPr="007C4D65" w:rsidRDefault="00000000">
      <w:pPr>
        <w:pStyle w:val="TableofFigures"/>
        <w:tabs>
          <w:tab w:val="right" w:leader="dot" w:pos="9016"/>
        </w:tabs>
        <w:rPr>
          <w:rFonts w:asciiTheme="minorHAnsi" w:eastAsiaTheme="minorEastAsia" w:hAnsiTheme="minorHAnsi" w:cstheme="minorHAnsi"/>
          <w:i/>
          <w:iCs/>
          <w:noProof/>
          <w:sz w:val="22"/>
          <w:szCs w:val="22"/>
          <w:lang w:val="bs-Latn-BA" w:eastAsia="bs-Latn-BA"/>
        </w:rPr>
      </w:pPr>
      <w:hyperlink w:anchor="_Toc117445052" w:history="1">
        <w:r w:rsidR="00A66041" w:rsidRPr="007C4D65">
          <w:rPr>
            <w:rStyle w:val="Hyperlink"/>
            <w:rFonts w:asciiTheme="minorHAnsi" w:eastAsiaTheme="majorEastAsia" w:hAnsiTheme="minorHAnsi" w:cstheme="minorHAnsi"/>
            <w:i/>
            <w:iCs/>
            <w:noProof/>
            <w:sz w:val="22"/>
            <w:szCs w:val="22"/>
          </w:rPr>
          <w:t>Figure 10: Expected air temperature changes in BiH in line with the RCP8.5 scenario</w:t>
        </w:r>
        <w:r w:rsidR="00A66041" w:rsidRPr="007C4D65">
          <w:rPr>
            <w:rFonts w:asciiTheme="minorHAnsi" w:hAnsiTheme="minorHAnsi" w:cstheme="minorHAnsi"/>
            <w:i/>
            <w:iCs/>
            <w:noProof/>
            <w:webHidden/>
            <w:sz w:val="22"/>
            <w:szCs w:val="22"/>
          </w:rPr>
          <w:tab/>
        </w:r>
        <w:r w:rsidR="00A66041" w:rsidRPr="007C4D65">
          <w:rPr>
            <w:rStyle w:val="Hyperlink"/>
            <w:rFonts w:asciiTheme="minorHAnsi" w:eastAsiaTheme="majorEastAsia" w:hAnsiTheme="minorHAnsi" w:cstheme="minorHAnsi"/>
            <w:i/>
            <w:iCs/>
            <w:noProof/>
            <w:sz w:val="22"/>
            <w:szCs w:val="22"/>
          </w:rPr>
          <w:fldChar w:fldCharType="begin"/>
        </w:r>
        <w:r w:rsidR="00A66041" w:rsidRPr="007C4D65">
          <w:rPr>
            <w:rFonts w:asciiTheme="minorHAnsi" w:hAnsiTheme="minorHAnsi" w:cstheme="minorHAnsi"/>
            <w:i/>
            <w:iCs/>
            <w:noProof/>
            <w:webHidden/>
            <w:sz w:val="22"/>
            <w:szCs w:val="22"/>
          </w:rPr>
          <w:instrText xml:space="preserve"> PAGEREF _Toc117445052 \h </w:instrText>
        </w:r>
        <w:r w:rsidR="00A66041" w:rsidRPr="007C4D65">
          <w:rPr>
            <w:rStyle w:val="Hyperlink"/>
            <w:rFonts w:asciiTheme="minorHAnsi" w:eastAsiaTheme="majorEastAsia" w:hAnsiTheme="minorHAnsi" w:cstheme="minorHAnsi"/>
            <w:i/>
            <w:iCs/>
            <w:noProof/>
            <w:sz w:val="22"/>
            <w:szCs w:val="22"/>
          </w:rPr>
        </w:r>
        <w:r w:rsidR="00A66041" w:rsidRPr="007C4D65">
          <w:rPr>
            <w:rStyle w:val="Hyperlink"/>
            <w:rFonts w:asciiTheme="minorHAnsi" w:eastAsiaTheme="majorEastAsia" w:hAnsiTheme="minorHAnsi" w:cstheme="minorHAnsi"/>
            <w:i/>
            <w:iCs/>
            <w:noProof/>
            <w:sz w:val="22"/>
            <w:szCs w:val="22"/>
          </w:rPr>
          <w:fldChar w:fldCharType="separate"/>
        </w:r>
        <w:r w:rsidR="00A66041" w:rsidRPr="007C4D65">
          <w:rPr>
            <w:rFonts w:asciiTheme="minorHAnsi" w:hAnsiTheme="minorHAnsi" w:cstheme="minorHAnsi"/>
            <w:i/>
            <w:iCs/>
            <w:noProof/>
            <w:webHidden/>
            <w:sz w:val="22"/>
            <w:szCs w:val="22"/>
          </w:rPr>
          <w:t>83</w:t>
        </w:r>
        <w:r w:rsidR="00A66041" w:rsidRPr="007C4D65">
          <w:rPr>
            <w:rStyle w:val="Hyperlink"/>
            <w:rFonts w:asciiTheme="minorHAnsi" w:eastAsiaTheme="majorEastAsia" w:hAnsiTheme="minorHAnsi" w:cstheme="minorHAnsi"/>
            <w:i/>
            <w:iCs/>
            <w:noProof/>
            <w:sz w:val="22"/>
            <w:szCs w:val="22"/>
          </w:rPr>
          <w:fldChar w:fldCharType="end"/>
        </w:r>
      </w:hyperlink>
    </w:p>
    <w:p w14:paraId="56D51F01" w14:textId="10B917D2" w:rsidR="00A66041" w:rsidRPr="007C4D65" w:rsidRDefault="00000000">
      <w:pPr>
        <w:pStyle w:val="TableofFigures"/>
        <w:tabs>
          <w:tab w:val="right" w:leader="dot" w:pos="9016"/>
        </w:tabs>
        <w:rPr>
          <w:rFonts w:asciiTheme="minorHAnsi" w:eastAsiaTheme="minorEastAsia" w:hAnsiTheme="minorHAnsi" w:cstheme="minorHAnsi"/>
          <w:i/>
          <w:iCs/>
          <w:noProof/>
          <w:sz w:val="22"/>
          <w:szCs w:val="22"/>
          <w:lang w:val="bs-Latn-BA" w:eastAsia="bs-Latn-BA"/>
        </w:rPr>
      </w:pPr>
      <w:hyperlink w:anchor="_Toc117445053" w:history="1">
        <w:r w:rsidR="00A66041" w:rsidRPr="007C4D65">
          <w:rPr>
            <w:rStyle w:val="Hyperlink"/>
            <w:rFonts w:asciiTheme="minorHAnsi" w:eastAsiaTheme="majorEastAsia" w:hAnsiTheme="minorHAnsi" w:cstheme="minorHAnsi"/>
            <w:i/>
            <w:iCs/>
            <w:noProof/>
            <w:sz w:val="22"/>
            <w:szCs w:val="22"/>
          </w:rPr>
          <w:t xml:space="preserve">Figure </w:t>
        </w:r>
        <w:r w:rsidR="00A66041" w:rsidRPr="007C4D65">
          <w:rPr>
            <w:rStyle w:val="Hyperlink"/>
            <w:rFonts w:asciiTheme="minorHAnsi" w:eastAsiaTheme="majorEastAsia" w:hAnsiTheme="minorHAnsi" w:cstheme="minorHAnsi"/>
            <w:bCs/>
            <w:i/>
            <w:iCs/>
            <w:noProof/>
            <w:sz w:val="22"/>
            <w:szCs w:val="22"/>
            <w:lang w:val="hr-HR"/>
          </w:rPr>
          <w:t>11</w:t>
        </w:r>
        <w:r w:rsidR="00A66041" w:rsidRPr="007C4D65">
          <w:rPr>
            <w:rStyle w:val="Hyperlink"/>
            <w:rFonts w:asciiTheme="minorHAnsi" w:eastAsiaTheme="majorEastAsia" w:hAnsiTheme="minorHAnsi" w:cstheme="minorHAnsi"/>
            <w:i/>
            <w:iCs/>
            <w:noProof/>
            <w:sz w:val="22"/>
            <w:szCs w:val="22"/>
          </w:rPr>
          <w:t>: Noise Map for Sarajevo Canton (2009)</w:t>
        </w:r>
        <w:r w:rsidR="00A66041" w:rsidRPr="007C4D65">
          <w:rPr>
            <w:rFonts w:asciiTheme="minorHAnsi" w:hAnsiTheme="minorHAnsi" w:cstheme="minorHAnsi"/>
            <w:i/>
            <w:iCs/>
            <w:noProof/>
            <w:webHidden/>
            <w:sz w:val="22"/>
            <w:szCs w:val="22"/>
          </w:rPr>
          <w:tab/>
        </w:r>
        <w:r w:rsidR="00A66041" w:rsidRPr="007C4D65">
          <w:rPr>
            <w:rStyle w:val="Hyperlink"/>
            <w:rFonts w:asciiTheme="minorHAnsi" w:eastAsiaTheme="majorEastAsia" w:hAnsiTheme="minorHAnsi" w:cstheme="minorHAnsi"/>
            <w:i/>
            <w:iCs/>
            <w:noProof/>
            <w:sz w:val="22"/>
            <w:szCs w:val="22"/>
          </w:rPr>
          <w:fldChar w:fldCharType="begin"/>
        </w:r>
        <w:r w:rsidR="00A66041" w:rsidRPr="007C4D65">
          <w:rPr>
            <w:rFonts w:asciiTheme="minorHAnsi" w:hAnsiTheme="minorHAnsi" w:cstheme="minorHAnsi"/>
            <w:i/>
            <w:iCs/>
            <w:noProof/>
            <w:webHidden/>
            <w:sz w:val="22"/>
            <w:szCs w:val="22"/>
          </w:rPr>
          <w:instrText xml:space="preserve"> PAGEREF _Toc117445053 \h </w:instrText>
        </w:r>
        <w:r w:rsidR="00A66041" w:rsidRPr="007C4D65">
          <w:rPr>
            <w:rStyle w:val="Hyperlink"/>
            <w:rFonts w:asciiTheme="minorHAnsi" w:eastAsiaTheme="majorEastAsia" w:hAnsiTheme="minorHAnsi" w:cstheme="minorHAnsi"/>
            <w:i/>
            <w:iCs/>
            <w:noProof/>
            <w:sz w:val="22"/>
            <w:szCs w:val="22"/>
          </w:rPr>
        </w:r>
        <w:r w:rsidR="00A66041" w:rsidRPr="007C4D65">
          <w:rPr>
            <w:rStyle w:val="Hyperlink"/>
            <w:rFonts w:asciiTheme="minorHAnsi" w:eastAsiaTheme="majorEastAsia" w:hAnsiTheme="minorHAnsi" w:cstheme="minorHAnsi"/>
            <w:i/>
            <w:iCs/>
            <w:noProof/>
            <w:sz w:val="22"/>
            <w:szCs w:val="22"/>
          </w:rPr>
          <w:fldChar w:fldCharType="separate"/>
        </w:r>
        <w:r w:rsidR="00A66041" w:rsidRPr="007C4D65">
          <w:rPr>
            <w:rFonts w:asciiTheme="minorHAnsi" w:hAnsiTheme="minorHAnsi" w:cstheme="minorHAnsi"/>
            <w:i/>
            <w:iCs/>
            <w:noProof/>
            <w:webHidden/>
            <w:sz w:val="22"/>
            <w:szCs w:val="22"/>
          </w:rPr>
          <w:t>104</w:t>
        </w:r>
        <w:r w:rsidR="00A66041" w:rsidRPr="007C4D65">
          <w:rPr>
            <w:rStyle w:val="Hyperlink"/>
            <w:rFonts w:asciiTheme="minorHAnsi" w:eastAsiaTheme="majorEastAsia" w:hAnsiTheme="minorHAnsi" w:cstheme="minorHAnsi"/>
            <w:i/>
            <w:iCs/>
            <w:noProof/>
            <w:sz w:val="22"/>
            <w:szCs w:val="22"/>
          </w:rPr>
          <w:fldChar w:fldCharType="end"/>
        </w:r>
      </w:hyperlink>
    </w:p>
    <w:p w14:paraId="49136059" w14:textId="7E20D6CE" w:rsidR="00A66041" w:rsidRPr="007C4D65" w:rsidRDefault="00000000">
      <w:pPr>
        <w:pStyle w:val="TableofFigures"/>
        <w:tabs>
          <w:tab w:val="right" w:leader="dot" w:pos="9016"/>
        </w:tabs>
        <w:rPr>
          <w:rFonts w:asciiTheme="minorHAnsi" w:eastAsiaTheme="minorEastAsia" w:hAnsiTheme="minorHAnsi" w:cstheme="minorHAnsi"/>
          <w:i/>
          <w:iCs/>
          <w:noProof/>
          <w:sz w:val="22"/>
          <w:szCs w:val="22"/>
          <w:lang w:val="bs-Latn-BA" w:eastAsia="bs-Latn-BA"/>
        </w:rPr>
      </w:pPr>
      <w:hyperlink w:anchor="_Toc117445054" w:history="1">
        <w:r w:rsidR="00A66041" w:rsidRPr="007C4D65">
          <w:rPr>
            <w:rStyle w:val="Hyperlink"/>
            <w:rFonts w:asciiTheme="minorHAnsi" w:eastAsiaTheme="majorEastAsia" w:hAnsiTheme="minorHAnsi" w:cstheme="minorHAnsi"/>
            <w:i/>
            <w:iCs/>
            <w:noProof/>
            <w:sz w:val="22"/>
            <w:szCs w:val="22"/>
          </w:rPr>
          <w:t xml:space="preserve">Figure </w:t>
        </w:r>
        <w:r w:rsidR="00A66041" w:rsidRPr="007C4D65">
          <w:rPr>
            <w:rStyle w:val="Hyperlink"/>
            <w:rFonts w:asciiTheme="minorHAnsi" w:eastAsiaTheme="majorEastAsia" w:hAnsiTheme="minorHAnsi" w:cstheme="minorHAnsi"/>
            <w:bCs/>
            <w:i/>
            <w:iCs/>
            <w:noProof/>
            <w:sz w:val="22"/>
            <w:szCs w:val="22"/>
            <w:lang w:val="hr-HR"/>
          </w:rPr>
          <w:t>12</w:t>
        </w:r>
        <w:r w:rsidR="00A66041" w:rsidRPr="007C4D65">
          <w:rPr>
            <w:rStyle w:val="Hyperlink"/>
            <w:rFonts w:asciiTheme="minorHAnsi" w:eastAsiaTheme="majorEastAsia" w:hAnsiTheme="minorHAnsi" w:cstheme="minorHAnsi"/>
            <w:i/>
            <w:iCs/>
            <w:noProof/>
            <w:sz w:val="22"/>
            <w:szCs w:val="22"/>
          </w:rPr>
          <w:t>: Map of traffic intensity on main roads in the FBiH for 2019</w:t>
        </w:r>
        <w:r w:rsidR="00A66041" w:rsidRPr="007C4D65">
          <w:rPr>
            <w:rFonts w:asciiTheme="minorHAnsi" w:hAnsiTheme="minorHAnsi" w:cstheme="minorHAnsi"/>
            <w:i/>
            <w:iCs/>
            <w:noProof/>
            <w:webHidden/>
            <w:sz w:val="22"/>
            <w:szCs w:val="22"/>
          </w:rPr>
          <w:tab/>
        </w:r>
        <w:r w:rsidR="00A66041" w:rsidRPr="007C4D65">
          <w:rPr>
            <w:rStyle w:val="Hyperlink"/>
            <w:rFonts w:asciiTheme="minorHAnsi" w:eastAsiaTheme="majorEastAsia" w:hAnsiTheme="minorHAnsi" w:cstheme="minorHAnsi"/>
            <w:i/>
            <w:iCs/>
            <w:noProof/>
            <w:sz w:val="22"/>
            <w:szCs w:val="22"/>
          </w:rPr>
          <w:fldChar w:fldCharType="begin"/>
        </w:r>
        <w:r w:rsidR="00A66041" w:rsidRPr="007C4D65">
          <w:rPr>
            <w:rFonts w:asciiTheme="minorHAnsi" w:hAnsiTheme="minorHAnsi" w:cstheme="minorHAnsi"/>
            <w:i/>
            <w:iCs/>
            <w:noProof/>
            <w:webHidden/>
            <w:sz w:val="22"/>
            <w:szCs w:val="22"/>
          </w:rPr>
          <w:instrText xml:space="preserve"> PAGEREF _Toc117445054 \h </w:instrText>
        </w:r>
        <w:r w:rsidR="00A66041" w:rsidRPr="007C4D65">
          <w:rPr>
            <w:rStyle w:val="Hyperlink"/>
            <w:rFonts w:asciiTheme="minorHAnsi" w:eastAsiaTheme="majorEastAsia" w:hAnsiTheme="minorHAnsi" w:cstheme="minorHAnsi"/>
            <w:i/>
            <w:iCs/>
            <w:noProof/>
            <w:sz w:val="22"/>
            <w:szCs w:val="22"/>
          </w:rPr>
        </w:r>
        <w:r w:rsidR="00A66041" w:rsidRPr="007C4D65">
          <w:rPr>
            <w:rStyle w:val="Hyperlink"/>
            <w:rFonts w:asciiTheme="minorHAnsi" w:eastAsiaTheme="majorEastAsia" w:hAnsiTheme="minorHAnsi" w:cstheme="minorHAnsi"/>
            <w:i/>
            <w:iCs/>
            <w:noProof/>
            <w:sz w:val="22"/>
            <w:szCs w:val="22"/>
          </w:rPr>
          <w:fldChar w:fldCharType="separate"/>
        </w:r>
        <w:r w:rsidR="00A66041" w:rsidRPr="007C4D65">
          <w:rPr>
            <w:rFonts w:asciiTheme="minorHAnsi" w:hAnsiTheme="minorHAnsi" w:cstheme="minorHAnsi"/>
            <w:i/>
            <w:iCs/>
            <w:noProof/>
            <w:webHidden/>
            <w:sz w:val="22"/>
            <w:szCs w:val="22"/>
          </w:rPr>
          <w:t>106</w:t>
        </w:r>
        <w:r w:rsidR="00A66041" w:rsidRPr="007C4D65">
          <w:rPr>
            <w:rStyle w:val="Hyperlink"/>
            <w:rFonts w:asciiTheme="minorHAnsi" w:eastAsiaTheme="majorEastAsia" w:hAnsiTheme="minorHAnsi" w:cstheme="minorHAnsi"/>
            <w:i/>
            <w:iCs/>
            <w:noProof/>
            <w:sz w:val="22"/>
            <w:szCs w:val="22"/>
          </w:rPr>
          <w:fldChar w:fldCharType="end"/>
        </w:r>
      </w:hyperlink>
    </w:p>
    <w:p w14:paraId="07642142" w14:textId="29EE22AC" w:rsidR="00A66041" w:rsidRPr="007C4D65" w:rsidRDefault="00000000">
      <w:pPr>
        <w:pStyle w:val="TableofFigures"/>
        <w:tabs>
          <w:tab w:val="right" w:leader="dot" w:pos="9016"/>
        </w:tabs>
        <w:rPr>
          <w:rFonts w:asciiTheme="minorHAnsi" w:eastAsiaTheme="minorEastAsia" w:hAnsiTheme="minorHAnsi" w:cstheme="minorHAnsi"/>
          <w:i/>
          <w:iCs/>
          <w:noProof/>
          <w:sz w:val="22"/>
          <w:szCs w:val="22"/>
          <w:lang w:val="bs-Latn-BA" w:eastAsia="bs-Latn-BA"/>
        </w:rPr>
      </w:pPr>
      <w:hyperlink w:anchor="_Toc117445055" w:history="1">
        <w:r w:rsidR="00A66041" w:rsidRPr="007C4D65">
          <w:rPr>
            <w:rStyle w:val="Hyperlink"/>
            <w:rFonts w:asciiTheme="minorHAnsi" w:eastAsiaTheme="majorEastAsia" w:hAnsiTheme="minorHAnsi" w:cstheme="minorHAnsi"/>
            <w:i/>
            <w:iCs/>
            <w:noProof/>
            <w:sz w:val="22"/>
            <w:szCs w:val="22"/>
          </w:rPr>
          <w:t xml:space="preserve">Figure </w:t>
        </w:r>
        <w:r w:rsidR="00A66041" w:rsidRPr="007C4D65">
          <w:rPr>
            <w:rStyle w:val="Hyperlink"/>
            <w:rFonts w:asciiTheme="minorHAnsi" w:eastAsiaTheme="majorEastAsia" w:hAnsiTheme="minorHAnsi" w:cstheme="minorHAnsi"/>
            <w:bCs/>
            <w:i/>
            <w:iCs/>
            <w:noProof/>
            <w:sz w:val="22"/>
            <w:szCs w:val="22"/>
            <w:lang w:val="hr-HR"/>
          </w:rPr>
          <w:t>13</w:t>
        </w:r>
        <w:r w:rsidR="00A66041" w:rsidRPr="007C4D65">
          <w:rPr>
            <w:rStyle w:val="Hyperlink"/>
            <w:rFonts w:asciiTheme="minorHAnsi" w:eastAsiaTheme="majorEastAsia" w:hAnsiTheme="minorHAnsi" w:cstheme="minorHAnsi"/>
            <w:i/>
            <w:iCs/>
            <w:noProof/>
            <w:sz w:val="22"/>
            <w:szCs w:val="22"/>
          </w:rPr>
          <w:t xml:space="preserve">: </w:t>
        </w:r>
        <w:r w:rsidR="00A66041" w:rsidRPr="007C4D65">
          <w:rPr>
            <w:rStyle w:val="Hyperlink"/>
            <w:rFonts w:asciiTheme="minorHAnsi" w:eastAsiaTheme="majorEastAsia" w:hAnsiTheme="minorHAnsi" w:cstheme="minorHAnsi"/>
            <w:bCs/>
            <w:i/>
            <w:iCs/>
            <w:noProof/>
            <w:sz w:val="22"/>
            <w:szCs w:val="22"/>
          </w:rPr>
          <w:t>Micro locations in FBiH with registered higher values of organic and inorganic polluters in soil</w:t>
        </w:r>
        <w:r w:rsidR="00A66041" w:rsidRPr="007C4D65">
          <w:rPr>
            <w:rFonts w:asciiTheme="minorHAnsi" w:hAnsiTheme="minorHAnsi" w:cstheme="minorHAnsi"/>
            <w:i/>
            <w:iCs/>
            <w:noProof/>
            <w:webHidden/>
            <w:sz w:val="22"/>
            <w:szCs w:val="22"/>
          </w:rPr>
          <w:tab/>
        </w:r>
        <w:r w:rsidR="00A66041" w:rsidRPr="007C4D65">
          <w:rPr>
            <w:rStyle w:val="Hyperlink"/>
            <w:rFonts w:asciiTheme="minorHAnsi" w:eastAsiaTheme="majorEastAsia" w:hAnsiTheme="minorHAnsi" w:cstheme="minorHAnsi"/>
            <w:i/>
            <w:iCs/>
            <w:noProof/>
            <w:sz w:val="22"/>
            <w:szCs w:val="22"/>
          </w:rPr>
          <w:fldChar w:fldCharType="begin"/>
        </w:r>
        <w:r w:rsidR="00A66041" w:rsidRPr="007C4D65">
          <w:rPr>
            <w:rFonts w:asciiTheme="minorHAnsi" w:hAnsiTheme="minorHAnsi" w:cstheme="minorHAnsi"/>
            <w:i/>
            <w:iCs/>
            <w:noProof/>
            <w:webHidden/>
            <w:sz w:val="22"/>
            <w:szCs w:val="22"/>
          </w:rPr>
          <w:instrText xml:space="preserve"> PAGEREF _Toc117445055 \h </w:instrText>
        </w:r>
        <w:r w:rsidR="00A66041" w:rsidRPr="007C4D65">
          <w:rPr>
            <w:rStyle w:val="Hyperlink"/>
            <w:rFonts w:asciiTheme="minorHAnsi" w:eastAsiaTheme="majorEastAsia" w:hAnsiTheme="minorHAnsi" w:cstheme="minorHAnsi"/>
            <w:i/>
            <w:iCs/>
            <w:noProof/>
            <w:sz w:val="22"/>
            <w:szCs w:val="22"/>
          </w:rPr>
        </w:r>
        <w:r w:rsidR="00A66041" w:rsidRPr="007C4D65">
          <w:rPr>
            <w:rStyle w:val="Hyperlink"/>
            <w:rFonts w:asciiTheme="minorHAnsi" w:eastAsiaTheme="majorEastAsia" w:hAnsiTheme="minorHAnsi" w:cstheme="minorHAnsi"/>
            <w:i/>
            <w:iCs/>
            <w:noProof/>
            <w:sz w:val="22"/>
            <w:szCs w:val="22"/>
          </w:rPr>
          <w:fldChar w:fldCharType="separate"/>
        </w:r>
        <w:r w:rsidR="00A66041" w:rsidRPr="007C4D65">
          <w:rPr>
            <w:rFonts w:asciiTheme="minorHAnsi" w:hAnsiTheme="minorHAnsi" w:cstheme="minorHAnsi"/>
            <w:i/>
            <w:iCs/>
            <w:noProof/>
            <w:webHidden/>
            <w:sz w:val="22"/>
            <w:szCs w:val="22"/>
          </w:rPr>
          <w:t>129</w:t>
        </w:r>
        <w:r w:rsidR="00A66041" w:rsidRPr="007C4D65">
          <w:rPr>
            <w:rStyle w:val="Hyperlink"/>
            <w:rFonts w:asciiTheme="minorHAnsi" w:eastAsiaTheme="majorEastAsia" w:hAnsiTheme="minorHAnsi" w:cstheme="minorHAnsi"/>
            <w:i/>
            <w:iCs/>
            <w:noProof/>
            <w:sz w:val="22"/>
            <w:szCs w:val="22"/>
          </w:rPr>
          <w:fldChar w:fldCharType="end"/>
        </w:r>
      </w:hyperlink>
    </w:p>
    <w:p w14:paraId="275C9C2C" w14:textId="32AD00C4" w:rsidR="00A66041" w:rsidRPr="007C4D65" w:rsidRDefault="00000000">
      <w:pPr>
        <w:pStyle w:val="TableofFigures"/>
        <w:tabs>
          <w:tab w:val="right" w:leader="dot" w:pos="9016"/>
        </w:tabs>
        <w:rPr>
          <w:rFonts w:asciiTheme="minorHAnsi" w:eastAsiaTheme="minorEastAsia" w:hAnsiTheme="minorHAnsi" w:cstheme="minorHAnsi"/>
          <w:noProof/>
          <w:sz w:val="22"/>
          <w:szCs w:val="22"/>
          <w:lang w:val="bs-Latn-BA" w:eastAsia="bs-Latn-BA"/>
        </w:rPr>
      </w:pPr>
      <w:hyperlink w:anchor="_Toc117445056" w:history="1">
        <w:r w:rsidR="00A66041" w:rsidRPr="007C4D65">
          <w:rPr>
            <w:rStyle w:val="Hyperlink"/>
            <w:rFonts w:asciiTheme="minorHAnsi" w:eastAsiaTheme="majorEastAsia" w:hAnsiTheme="minorHAnsi" w:cstheme="minorHAnsi"/>
            <w:i/>
            <w:iCs/>
            <w:noProof/>
            <w:sz w:val="22"/>
            <w:szCs w:val="22"/>
          </w:rPr>
          <w:t xml:space="preserve">Figure </w:t>
        </w:r>
        <w:r w:rsidR="00A66041" w:rsidRPr="007C4D65">
          <w:rPr>
            <w:rStyle w:val="Hyperlink"/>
            <w:rFonts w:asciiTheme="minorHAnsi" w:eastAsiaTheme="majorEastAsia" w:hAnsiTheme="minorHAnsi" w:cstheme="minorHAnsi"/>
            <w:i/>
            <w:iCs/>
            <w:noProof/>
            <w:sz w:val="22"/>
            <w:szCs w:val="22"/>
            <w:u w:val="none"/>
            <w:lang w:val="hr-HR"/>
          </w:rPr>
          <w:t>14</w:t>
        </w:r>
        <w:r w:rsidR="00A66041" w:rsidRPr="007C4D65">
          <w:rPr>
            <w:rStyle w:val="Hyperlink"/>
            <w:rFonts w:asciiTheme="minorHAnsi" w:eastAsiaTheme="majorEastAsia" w:hAnsiTheme="minorHAnsi" w:cstheme="minorHAnsi"/>
            <w:i/>
            <w:iCs/>
            <w:noProof/>
            <w:sz w:val="22"/>
            <w:szCs w:val="22"/>
            <w:u w:val="none"/>
          </w:rPr>
          <w:t>: Structure of funding (u %) in FBiH</w:t>
        </w:r>
        <w:r w:rsidR="00A66041" w:rsidRPr="007C4D65">
          <w:rPr>
            <w:rFonts w:asciiTheme="minorHAnsi" w:hAnsiTheme="minorHAnsi" w:cstheme="minorHAnsi"/>
            <w:i/>
            <w:iCs/>
            <w:noProof/>
            <w:webHidden/>
            <w:sz w:val="22"/>
            <w:szCs w:val="22"/>
          </w:rPr>
          <w:tab/>
        </w:r>
        <w:r w:rsidR="00A66041" w:rsidRPr="007C4D65">
          <w:rPr>
            <w:rStyle w:val="Hyperlink"/>
            <w:rFonts w:asciiTheme="minorHAnsi" w:eastAsiaTheme="majorEastAsia" w:hAnsiTheme="minorHAnsi" w:cstheme="minorHAnsi"/>
            <w:i/>
            <w:iCs/>
            <w:noProof/>
            <w:sz w:val="22"/>
            <w:szCs w:val="22"/>
          </w:rPr>
          <w:fldChar w:fldCharType="begin"/>
        </w:r>
        <w:r w:rsidR="00A66041" w:rsidRPr="007C4D65">
          <w:rPr>
            <w:rFonts w:asciiTheme="minorHAnsi" w:hAnsiTheme="minorHAnsi" w:cstheme="minorHAnsi"/>
            <w:i/>
            <w:iCs/>
            <w:noProof/>
            <w:webHidden/>
            <w:sz w:val="22"/>
            <w:szCs w:val="22"/>
          </w:rPr>
          <w:instrText xml:space="preserve"> PAGEREF _Toc117445056 \h </w:instrText>
        </w:r>
        <w:r w:rsidR="00A66041" w:rsidRPr="007C4D65">
          <w:rPr>
            <w:rStyle w:val="Hyperlink"/>
            <w:rFonts w:asciiTheme="minorHAnsi" w:eastAsiaTheme="majorEastAsia" w:hAnsiTheme="minorHAnsi" w:cstheme="minorHAnsi"/>
            <w:i/>
            <w:iCs/>
            <w:noProof/>
            <w:sz w:val="22"/>
            <w:szCs w:val="22"/>
          </w:rPr>
        </w:r>
        <w:r w:rsidR="00A66041" w:rsidRPr="007C4D65">
          <w:rPr>
            <w:rStyle w:val="Hyperlink"/>
            <w:rFonts w:asciiTheme="minorHAnsi" w:eastAsiaTheme="majorEastAsia" w:hAnsiTheme="minorHAnsi" w:cstheme="minorHAnsi"/>
            <w:i/>
            <w:iCs/>
            <w:noProof/>
            <w:sz w:val="22"/>
            <w:szCs w:val="22"/>
          </w:rPr>
          <w:fldChar w:fldCharType="separate"/>
        </w:r>
        <w:r w:rsidR="00A66041" w:rsidRPr="007C4D65">
          <w:rPr>
            <w:rFonts w:asciiTheme="minorHAnsi" w:hAnsiTheme="minorHAnsi" w:cstheme="minorHAnsi"/>
            <w:i/>
            <w:iCs/>
            <w:noProof/>
            <w:webHidden/>
            <w:sz w:val="22"/>
            <w:szCs w:val="22"/>
          </w:rPr>
          <w:t>541</w:t>
        </w:r>
        <w:r w:rsidR="00A66041" w:rsidRPr="007C4D65">
          <w:rPr>
            <w:rStyle w:val="Hyperlink"/>
            <w:rFonts w:asciiTheme="minorHAnsi" w:eastAsiaTheme="majorEastAsia" w:hAnsiTheme="minorHAnsi" w:cstheme="minorHAnsi"/>
            <w:i/>
            <w:iCs/>
            <w:noProof/>
            <w:sz w:val="22"/>
            <w:szCs w:val="22"/>
          </w:rPr>
          <w:fldChar w:fldCharType="end"/>
        </w:r>
      </w:hyperlink>
    </w:p>
    <w:p w14:paraId="1C2875B9" w14:textId="26E00A7E" w:rsidR="001F0C02" w:rsidRPr="007C4D65" w:rsidRDefault="001F0C02" w:rsidP="0068355A">
      <w:pPr>
        <w:rPr>
          <w:rFonts w:asciiTheme="minorHAnsi" w:hAnsiTheme="minorHAnsi" w:cstheme="minorHAnsi"/>
          <w:i/>
          <w:sz w:val="22"/>
          <w:szCs w:val="22"/>
        </w:rPr>
        <w:sectPr w:rsidR="001F0C02" w:rsidRPr="007C4D65" w:rsidSect="002524A5">
          <w:pgSz w:w="11906" w:h="16838"/>
          <w:pgMar w:top="1440" w:right="1440" w:bottom="1440" w:left="1440" w:header="708" w:footer="708" w:gutter="0"/>
          <w:cols w:space="708"/>
          <w:docGrid w:linePitch="360"/>
        </w:sectPr>
      </w:pPr>
      <w:r w:rsidRPr="007C4D65">
        <w:rPr>
          <w:rFonts w:asciiTheme="minorHAnsi" w:hAnsiTheme="minorHAnsi" w:cstheme="minorHAnsi"/>
          <w:bCs/>
          <w:sz w:val="22"/>
          <w:szCs w:val="22"/>
        </w:rPr>
        <w:fldChar w:fldCharType="end"/>
      </w:r>
    </w:p>
    <w:p w14:paraId="57390848" w14:textId="77777777" w:rsidR="003B1D0B" w:rsidRPr="007C4D65" w:rsidRDefault="003B1D0B">
      <w:pPr>
        <w:pStyle w:val="Head1"/>
        <w:spacing w:after="240" w:line="276" w:lineRule="auto"/>
        <w:rPr>
          <w:rFonts w:asciiTheme="minorHAnsi" w:hAnsiTheme="minorHAnsi" w:cstheme="minorHAnsi"/>
        </w:rPr>
      </w:pPr>
      <w:bookmarkStart w:id="3" w:name="_Toc117445320"/>
      <w:r w:rsidRPr="007C4D65">
        <w:rPr>
          <w:rFonts w:asciiTheme="minorHAnsi" w:hAnsiTheme="minorHAnsi" w:cstheme="minorHAnsi"/>
        </w:rPr>
        <w:lastRenderedPageBreak/>
        <w:t>INTRODUCTION</w:t>
      </w:r>
      <w:bookmarkEnd w:id="3"/>
    </w:p>
    <w:p w14:paraId="492D6975" w14:textId="389D5B31" w:rsidR="00BB28BC" w:rsidRPr="007C4D65" w:rsidRDefault="00BB28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In 2003</w:t>
      </w:r>
      <w:r w:rsidR="00116A22" w:rsidRPr="007C4D65">
        <w:rPr>
          <w:rFonts w:asciiTheme="minorHAnsi" w:hAnsiTheme="minorHAnsi" w:cstheme="minorHAnsi"/>
          <w:sz w:val="22"/>
        </w:rPr>
        <w:t>,</w:t>
      </w:r>
      <w:r w:rsidRPr="007C4D65">
        <w:rPr>
          <w:rFonts w:asciiTheme="minorHAnsi" w:hAnsiTheme="minorHAnsi" w:cstheme="minorHAnsi"/>
          <w:sz w:val="22"/>
        </w:rPr>
        <w:t xml:space="preserve"> the </w:t>
      </w:r>
      <w:r w:rsidR="00116A22" w:rsidRPr="007C4D65">
        <w:rPr>
          <w:rFonts w:asciiTheme="minorHAnsi" w:hAnsiTheme="minorHAnsi" w:cstheme="minorHAnsi"/>
          <w:sz w:val="22"/>
        </w:rPr>
        <w:t>Council of Europe</w:t>
      </w:r>
      <w:r w:rsidRPr="007C4D65">
        <w:rPr>
          <w:rFonts w:asciiTheme="minorHAnsi" w:hAnsiTheme="minorHAnsi" w:cstheme="minorHAnsi"/>
          <w:sz w:val="22"/>
        </w:rPr>
        <w:t xml:space="preserve"> identified Bosnia and Herzegovina (BiH) as a potential candidate for (EU)</w:t>
      </w:r>
      <w:r w:rsidR="00116A22" w:rsidRPr="007C4D65">
        <w:rPr>
          <w:rFonts w:asciiTheme="minorHAnsi" w:hAnsiTheme="minorHAnsi" w:cstheme="minorHAnsi"/>
          <w:sz w:val="22"/>
        </w:rPr>
        <w:t xml:space="preserve"> </w:t>
      </w:r>
      <w:r w:rsidRPr="007C4D65">
        <w:rPr>
          <w:rFonts w:asciiTheme="minorHAnsi" w:hAnsiTheme="minorHAnsi" w:cstheme="minorHAnsi"/>
          <w:sz w:val="22"/>
        </w:rPr>
        <w:t xml:space="preserve">membership. Accession </w:t>
      </w:r>
      <w:r w:rsidR="00116A22" w:rsidRPr="007C4D65">
        <w:rPr>
          <w:rFonts w:asciiTheme="minorHAnsi" w:hAnsiTheme="minorHAnsi" w:cstheme="minorHAnsi"/>
          <w:sz w:val="22"/>
        </w:rPr>
        <w:t>negotiations</w:t>
      </w:r>
      <w:r w:rsidRPr="007C4D65">
        <w:rPr>
          <w:rFonts w:asciiTheme="minorHAnsi" w:hAnsiTheme="minorHAnsi" w:cstheme="minorHAnsi"/>
          <w:sz w:val="22"/>
        </w:rPr>
        <w:t xml:space="preserve"> started in November 2005, and </w:t>
      </w:r>
      <w:r w:rsidR="00355203" w:rsidRPr="007C4D65">
        <w:rPr>
          <w:rFonts w:asciiTheme="minorHAnsi" w:hAnsiTheme="minorHAnsi" w:cstheme="minorHAnsi"/>
          <w:sz w:val="22"/>
        </w:rPr>
        <w:t>several</w:t>
      </w:r>
      <w:r w:rsidRPr="007C4D65">
        <w:rPr>
          <w:rFonts w:asciiTheme="minorHAnsi" w:hAnsiTheme="minorHAnsi" w:cstheme="minorHAnsi"/>
          <w:sz w:val="22"/>
        </w:rPr>
        <w:t xml:space="preserve"> agreements </w:t>
      </w:r>
      <w:r w:rsidR="00355203" w:rsidRPr="007C4D65">
        <w:rPr>
          <w:rFonts w:asciiTheme="minorHAnsi" w:hAnsiTheme="minorHAnsi" w:cstheme="minorHAnsi"/>
          <w:sz w:val="22"/>
        </w:rPr>
        <w:t xml:space="preserve">were signed </w:t>
      </w:r>
      <w:r w:rsidRPr="007C4D65">
        <w:rPr>
          <w:rFonts w:asciiTheme="minorHAnsi" w:hAnsiTheme="minorHAnsi" w:cstheme="minorHAnsi"/>
          <w:sz w:val="22"/>
        </w:rPr>
        <w:t>between BiH and EU since that point. The Stabilization and Association Agreement (SAA), which serves as a basis for the accession process</w:t>
      </w:r>
      <w:r w:rsidR="00522ADA" w:rsidRPr="007C4D65">
        <w:rPr>
          <w:rFonts w:asciiTheme="minorHAnsi" w:hAnsiTheme="minorHAnsi" w:cstheme="minorHAnsi"/>
          <w:sz w:val="22"/>
        </w:rPr>
        <w:t>,</w:t>
      </w:r>
      <w:r w:rsidRPr="007C4D65">
        <w:rPr>
          <w:rFonts w:asciiTheme="minorHAnsi" w:hAnsiTheme="minorHAnsi" w:cstheme="minorHAnsi"/>
          <w:sz w:val="22"/>
        </w:rPr>
        <w:t xml:space="preserve"> entered into force on 1 June 2015. According to SAA, the accession process </w:t>
      </w:r>
      <w:r w:rsidR="00116A22" w:rsidRPr="007C4D65">
        <w:rPr>
          <w:rFonts w:asciiTheme="minorHAnsi" w:hAnsiTheme="minorHAnsi" w:cstheme="minorHAnsi"/>
          <w:sz w:val="22"/>
        </w:rPr>
        <w:t>was to be</w:t>
      </w:r>
      <w:r w:rsidRPr="007C4D65">
        <w:rPr>
          <w:rFonts w:asciiTheme="minorHAnsi" w:hAnsiTheme="minorHAnsi" w:cstheme="minorHAnsi"/>
          <w:sz w:val="22"/>
        </w:rPr>
        <w:t xml:space="preserve"> completed </w:t>
      </w:r>
      <w:r w:rsidR="00522ADA" w:rsidRPr="007C4D65">
        <w:rPr>
          <w:rFonts w:asciiTheme="minorHAnsi" w:hAnsiTheme="minorHAnsi" w:cstheme="minorHAnsi"/>
          <w:sz w:val="22"/>
        </w:rPr>
        <w:t xml:space="preserve">progressively </w:t>
      </w:r>
      <w:r w:rsidRPr="007C4D65">
        <w:rPr>
          <w:rFonts w:asciiTheme="minorHAnsi" w:hAnsiTheme="minorHAnsi" w:cstheme="minorHAnsi"/>
          <w:sz w:val="22"/>
        </w:rPr>
        <w:t xml:space="preserve">over the period of six years. In addition, BiH signed several international environmental agreements. The aspiration for EU membership has been the main catalyst of improvements and efforts on </w:t>
      </w:r>
      <w:r w:rsidR="005E3E5F" w:rsidRPr="007C4D65">
        <w:rPr>
          <w:rFonts w:asciiTheme="minorHAnsi" w:hAnsiTheme="minorHAnsi" w:cstheme="minorHAnsi"/>
          <w:sz w:val="22"/>
        </w:rPr>
        <w:t>finalising</w:t>
      </w:r>
      <w:r w:rsidRPr="007C4D65">
        <w:rPr>
          <w:rFonts w:asciiTheme="minorHAnsi" w:hAnsiTheme="minorHAnsi" w:cstheme="minorHAnsi"/>
          <w:sz w:val="22"/>
        </w:rPr>
        <w:t xml:space="preserve"> </w:t>
      </w:r>
      <w:r w:rsidR="005E3E5F" w:rsidRPr="007C4D65">
        <w:rPr>
          <w:rFonts w:asciiTheme="minorHAnsi" w:hAnsiTheme="minorHAnsi" w:cstheme="minorHAnsi"/>
          <w:sz w:val="22"/>
        </w:rPr>
        <w:t>the</w:t>
      </w:r>
      <w:r w:rsidRPr="007C4D65">
        <w:rPr>
          <w:rFonts w:asciiTheme="minorHAnsi" w:hAnsiTheme="minorHAnsi" w:cstheme="minorHAnsi"/>
          <w:sz w:val="22"/>
        </w:rPr>
        <w:t xml:space="preserve"> strategic and legal framework </w:t>
      </w:r>
      <w:proofErr w:type="gramStart"/>
      <w:r w:rsidR="005E3E5F" w:rsidRPr="007C4D65">
        <w:rPr>
          <w:rFonts w:asciiTheme="minorHAnsi" w:hAnsiTheme="minorHAnsi" w:cstheme="minorHAnsi"/>
          <w:sz w:val="22"/>
        </w:rPr>
        <w:t xml:space="preserve">for </w:t>
      </w:r>
      <w:r w:rsidRPr="007C4D65">
        <w:rPr>
          <w:rFonts w:asciiTheme="minorHAnsi" w:hAnsiTheme="minorHAnsi" w:cstheme="minorHAnsi"/>
          <w:sz w:val="22"/>
        </w:rPr>
        <w:t xml:space="preserve"> environmental</w:t>
      </w:r>
      <w:proofErr w:type="gramEnd"/>
      <w:r w:rsidRPr="007C4D65">
        <w:rPr>
          <w:rFonts w:asciiTheme="minorHAnsi" w:hAnsiTheme="minorHAnsi" w:cstheme="minorHAnsi"/>
          <w:sz w:val="22"/>
        </w:rPr>
        <w:t xml:space="preserve"> protection in the country.</w:t>
      </w:r>
    </w:p>
    <w:p w14:paraId="77FDC0BE" w14:textId="335E8B38" w:rsidR="00BB28BC" w:rsidRPr="007C4D65" w:rsidRDefault="00D810A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In early 2019, </w:t>
      </w:r>
      <w:proofErr w:type="gramStart"/>
      <w:r w:rsidRPr="007C4D65">
        <w:rPr>
          <w:rFonts w:asciiTheme="minorHAnsi" w:hAnsiTheme="minorHAnsi" w:cstheme="minorHAnsi"/>
          <w:sz w:val="22"/>
        </w:rPr>
        <w:t>i</w:t>
      </w:r>
      <w:r w:rsidR="00BB28BC" w:rsidRPr="007C4D65">
        <w:rPr>
          <w:rFonts w:asciiTheme="minorHAnsi" w:hAnsiTheme="minorHAnsi" w:cstheme="minorHAnsi"/>
          <w:sz w:val="22"/>
        </w:rPr>
        <w:t>n order to</w:t>
      </w:r>
      <w:proofErr w:type="gramEnd"/>
      <w:r w:rsidR="00BB28BC" w:rsidRPr="007C4D65">
        <w:rPr>
          <w:rFonts w:asciiTheme="minorHAnsi" w:hAnsiTheme="minorHAnsi" w:cstheme="minorHAnsi"/>
          <w:sz w:val="22"/>
        </w:rPr>
        <w:t xml:space="preserve"> facilitate the implementation of the</w:t>
      </w:r>
      <w:r w:rsidR="0011449C" w:rsidRPr="007C4D65">
        <w:rPr>
          <w:rFonts w:asciiTheme="minorHAnsi" w:hAnsiTheme="minorHAnsi" w:cstheme="minorHAnsi"/>
          <w:sz w:val="22"/>
        </w:rPr>
        <w:t xml:space="preserve"> environmental</w:t>
      </w:r>
      <w:r w:rsidR="00BB28BC" w:rsidRPr="007C4D65">
        <w:rPr>
          <w:rFonts w:asciiTheme="minorHAnsi" w:hAnsiTheme="minorHAnsi" w:cstheme="minorHAnsi"/>
          <w:sz w:val="22"/>
        </w:rPr>
        <w:t xml:space="preserve"> policy and regulations in accordance with the EU acquis, </w:t>
      </w:r>
      <w:r w:rsidR="005E3E5F" w:rsidRPr="007C4D65">
        <w:rPr>
          <w:rFonts w:asciiTheme="minorHAnsi" w:hAnsiTheme="minorHAnsi" w:cstheme="minorHAnsi"/>
          <w:sz w:val="22"/>
        </w:rPr>
        <w:t>and</w:t>
      </w:r>
      <w:r w:rsidR="00355203" w:rsidRPr="007C4D65">
        <w:rPr>
          <w:rFonts w:asciiTheme="minorHAnsi" w:hAnsiTheme="minorHAnsi" w:cstheme="minorHAnsi"/>
          <w:sz w:val="22"/>
        </w:rPr>
        <w:t xml:space="preserve"> to</w:t>
      </w:r>
      <w:r w:rsidR="005E3E5F" w:rsidRPr="007C4D65">
        <w:rPr>
          <w:rFonts w:asciiTheme="minorHAnsi" w:hAnsiTheme="minorHAnsi" w:cstheme="minorHAnsi"/>
          <w:sz w:val="22"/>
        </w:rPr>
        <w:t xml:space="preserve"> meet the EU requirements in this sector, </w:t>
      </w:r>
      <w:r w:rsidR="0011449C" w:rsidRPr="007C4D65">
        <w:rPr>
          <w:rFonts w:asciiTheme="minorHAnsi" w:hAnsiTheme="minorHAnsi" w:cstheme="minorHAnsi"/>
          <w:sz w:val="22"/>
        </w:rPr>
        <w:t xml:space="preserve">governments at all levels </w:t>
      </w:r>
      <w:r w:rsidR="00BB28BC" w:rsidRPr="007C4D65">
        <w:rPr>
          <w:rFonts w:asciiTheme="minorHAnsi" w:hAnsiTheme="minorHAnsi" w:cstheme="minorHAnsi"/>
          <w:sz w:val="22"/>
        </w:rPr>
        <w:t>in Bosnia and Herzegovina</w:t>
      </w:r>
      <w:r w:rsidRPr="007C4D65">
        <w:rPr>
          <w:rFonts w:asciiTheme="minorHAnsi" w:hAnsiTheme="minorHAnsi" w:cstheme="minorHAnsi"/>
          <w:sz w:val="22"/>
        </w:rPr>
        <w:t xml:space="preserve">, </w:t>
      </w:r>
      <w:r w:rsidR="00BB28BC" w:rsidRPr="007C4D65">
        <w:rPr>
          <w:rFonts w:asciiTheme="minorHAnsi" w:hAnsiTheme="minorHAnsi" w:cstheme="minorHAnsi"/>
          <w:sz w:val="22"/>
        </w:rPr>
        <w:t>with the assistance of the Embassy of the Kingdom of Sweden</w:t>
      </w:r>
      <w:r w:rsidRPr="007C4D65">
        <w:rPr>
          <w:rFonts w:asciiTheme="minorHAnsi" w:hAnsiTheme="minorHAnsi" w:cstheme="minorHAnsi"/>
          <w:sz w:val="22"/>
        </w:rPr>
        <w:t>,</w:t>
      </w:r>
      <w:r w:rsidR="00BB28BC" w:rsidRPr="007C4D65">
        <w:rPr>
          <w:rFonts w:asciiTheme="minorHAnsi" w:hAnsiTheme="minorHAnsi" w:cstheme="minorHAnsi"/>
          <w:sz w:val="22"/>
        </w:rPr>
        <w:t xml:space="preserve"> </w:t>
      </w:r>
      <w:r w:rsidR="00355203" w:rsidRPr="007C4D65">
        <w:rPr>
          <w:rFonts w:asciiTheme="minorHAnsi" w:hAnsiTheme="minorHAnsi" w:cstheme="minorHAnsi"/>
          <w:sz w:val="22"/>
        </w:rPr>
        <w:t>embarked</w:t>
      </w:r>
      <w:r w:rsidR="00BB28BC" w:rsidRPr="007C4D65">
        <w:rPr>
          <w:rFonts w:asciiTheme="minorHAnsi" w:hAnsiTheme="minorHAnsi" w:cstheme="minorHAnsi"/>
          <w:sz w:val="22"/>
        </w:rPr>
        <w:t xml:space="preserve"> on the </w:t>
      </w:r>
      <w:r w:rsidR="00116A22" w:rsidRPr="007C4D65">
        <w:rPr>
          <w:rFonts w:asciiTheme="minorHAnsi" w:hAnsiTheme="minorHAnsi" w:cstheme="minorHAnsi"/>
          <w:sz w:val="22"/>
        </w:rPr>
        <w:t>development</w:t>
      </w:r>
      <w:r w:rsidR="00BB28BC" w:rsidRPr="007C4D65">
        <w:rPr>
          <w:rFonts w:asciiTheme="minorHAnsi" w:hAnsiTheme="minorHAnsi" w:cstheme="minorHAnsi"/>
          <w:sz w:val="22"/>
        </w:rPr>
        <w:t xml:space="preserve"> of an overarching environmental strategy of BiH (BiH ESAP 2030+)</w:t>
      </w:r>
      <w:r w:rsidRPr="007C4D65">
        <w:rPr>
          <w:rFonts w:asciiTheme="minorHAnsi" w:hAnsiTheme="minorHAnsi" w:cstheme="minorHAnsi"/>
          <w:sz w:val="22"/>
        </w:rPr>
        <w:t xml:space="preserve">. </w:t>
      </w:r>
      <w:r w:rsidR="005E3E5F" w:rsidRPr="007C4D65">
        <w:rPr>
          <w:rFonts w:asciiTheme="minorHAnsi" w:hAnsiTheme="minorHAnsi" w:cstheme="minorHAnsi"/>
          <w:sz w:val="22"/>
        </w:rPr>
        <w:t xml:space="preserve">The </w:t>
      </w:r>
      <w:r w:rsidR="00BB28BC" w:rsidRPr="007C4D65">
        <w:rPr>
          <w:rFonts w:asciiTheme="minorHAnsi" w:hAnsiTheme="minorHAnsi" w:cstheme="minorHAnsi"/>
          <w:sz w:val="22"/>
        </w:rPr>
        <w:t>strategy compris</w:t>
      </w:r>
      <w:r w:rsidR="005E3E5F" w:rsidRPr="007C4D65">
        <w:rPr>
          <w:rFonts w:asciiTheme="minorHAnsi" w:hAnsiTheme="minorHAnsi" w:cstheme="minorHAnsi"/>
          <w:sz w:val="22"/>
        </w:rPr>
        <w:t xml:space="preserve">es </w:t>
      </w:r>
      <w:r w:rsidR="00BB28BC" w:rsidRPr="007C4D65">
        <w:rPr>
          <w:rFonts w:asciiTheme="minorHAnsi" w:hAnsiTheme="minorHAnsi" w:cstheme="minorHAnsi"/>
          <w:sz w:val="22"/>
        </w:rPr>
        <w:t xml:space="preserve">four components for the four levels of government (BiH, </w:t>
      </w:r>
      <w:r w:rsidR="00355203" w:rsidRPr="007C4D65">
        <w:rPr>
          <w:rFonts w:asciiTheme="minorHAnsi" w:hAnsiTheme="minorHAnsi" w:cstheme="minorHAnsi"/>
          <w:sz w:val="22"/>
        </w:rPr>
        <w:t xml:space="preserve">the </w:t>
      </w:r>
      <w:r w:rsidR="00BB28BC" w:rsidRPr="007C4D65">
        <w:rPr>
          <w:rFonts w:asciiTheme="minorHAnsi" w:hAnsiTheme="minorHAnsi" w:cstheme="minorHAnsi"/>
          <w:sz w:val="22"/>
        </w:rPr>
        <w:t xml:space="preserve">Federation of BiH, </w:t>
      </w:r>
      <w:proofErr w:type="spellStart"/>
      <w:r w:rsidR="00BB28BC" w:rsidRPr="007C4D65">
        <w:rPr>
          <w:rFonts w:asciiTheme="minorHAnsi" w:hAnsiTheme="minorHAnsi" w:cstheme="minorHAnsi"/>
          <w:sz w:val="22"/>
        </w:rPr>
        <w:t>Republika</w:t>
      </w:r>
      <w:proofErr w:type="spellEnd"/>
      <w:r w:rsidR="00BB28BC" w:rsidRPr="007C4D65">
        <w:rPr>
          <w:rFonts w:asciiTheme="minorHAnsi" w:hAnsiTheme="minorHAnsi" w:cstheme="minorHAnsi"/>
          <w:sz w:val="22"/>
        </w:rPr>
        <w:t xml:space="preserve"> Srpska and Br</w:t>
      </w:r>
      <w:r w:rsidRPr="007C4D65">
        <w:rPr>
          <w:rFonts w:asciiTheme="minorHAnsi" w:hAnsiTheme="minorHAnsi" w:cstheme="minorHAnsi"/>
          <w:sz w:val="22"/>
        </w:rPr>
        <w:t>c</w:t>
      </w:r>
      <w:r w:rsidR="00BB28BC" w:rsidRPr="007C4D65">
        <w:rPr>
          <w:rFonts w:asciiTheme="minorHAnsi" w:hAnsiTheme="minorHAnsi" w:cstheme="minorHAnsi"/>
          <w:sz w:val="22"/>
        </w:rPr>
        <w:t>ko District</w:t>
      </w:r>
      <w:r w:rsidR="005E3E5F" w:rsidRPr="007C4D65">
        <w:rPr>
          <w:rFonts w:asciiTheme="minorHAnsi" w:hAnsiTheme="minorHAnsi" w:cstheme="minorHAnsi"/>
          <w:sz w:val="22"/>
        </w:rPr>
        <w:t>)</w:t>
      </w:r>
      <w:r w:rsidR="00BB28BC" w:rsidRPr="007C4D65">
        <w:rPr>
          <w:rFonts w:asciiTheme="minorHAnsi" w:hAnsiTheme="minorHAnsi" w:cstheme="minorHAnsi"/>
          <w:sz w:val="22"/>
        </w:rPr>
        <w:t xml:space="preserve">, and an overview of the </w:t>
      </w:r>
      <w:r w:rsidRPr="007C4D65">
        <w:rPr>
          <w:rFonts w:asciiTheme="minorHAnsi" w:hAnsiTheme="minorHAnsi" w:cstheme="minorHAnsi"/>
          <w:sz w:val="22"/>
        </w:rPr>
        <w:t>state of environment</w:t>
      </w:r>
      <w:r w:rsidR="00BB28BC" w:rsidRPr="007C4D65">
        <w:rPr>
          <w:rFonts w:asciiTheme="minorHAnsi" w:hAnsiTheme="minorHAnsi" w:cstheme="minorHAnsi"/>
          <w:sz w:val="22"/>
        </w:rPr>
        <w:t xml:space="preserve"> and </w:t>
      </w:r>
      <w:r w:rsidRPr="007C4D65">
        <w:rPr>
          <w:rFonts w:asciiTheme="minorHAnsi" w:hAnsiTheme="minorHAnsi" w:cstheme="minorHAnsi"/>
          <w:sz w:val="22"/>
        </w:rPr>
        <w:t>overall</w:t>
      </w:r>
      <w:r w:rsidR="00BB28BC" w:rsidRPr="007C4D65">
        <w:rPr>
          <w:rFonts w:asciiTheme="minorHAnsi" w:hAnsiTheme="minorHAnsi" w:cstheme="minorHAnsi"/>
          <w:sz w:val="22"/>
        </w:rPr>
        <w:t xml:space="preserve"> strategic </w:t>
      </w:r>
      <w:r w:rsidRPr="007C4D65">
        <w:rPr>
          <w:rFonts w:asciiTheme="minorHAnsi" w:hAnsiTheme="minorHAnsi" w:cstheme="minorHAnsi"/>
          <w:sz w:val="22"/>
        </w:rPr>
        <w:t>goals</w:t>
      </w:r>
      <w:r w:rsidR="00BB28BC" w:rsidRPr="007C4D65">
        <w:rPr>
          <w:rFonts w:asciiTheme="minorHAnsi" w:hAnsiTheme="minorHAnsi" w:cstheme="minorHAnsi"/>
          <w:sz w:val="22"/>
        </w:rPr>
        <w:t xml:space="preserve">, as well as priorities and measures which will </w:t>
      </w:r>
      <w:r w:rsidR="0099009F" w:rsidRPr="007C4D65">
        <w:rPr>
          <w:rFonts w:asciiTheme="minorHAnsi" w:hAnsiTheme="minorHAnsi" w:cstheme="minorHAnsi"/>
          <w:sz w:val="22"/>
        </w:rPr>
        <w:t>help achieve</w:t>
      </w:r>
      <w:r w:rsidR="00BB28BC" w:rsidRPr="007C4D65">
        <w:rPr>
          <w:rFonts w:asciiTheme="minorHAnsi" w:hAnsiTheme="minorHAnsi" w:cstheme="minorHAnsi"/>
          <w:sz w:val="22"/>
        </w:rPr>
        <w:t xml:space="preserve"> these goals in the next ten years. The preparation of the Environmental Strategy, including the Environmental Strategy</w:t>
      </w:r>
      <w:r w:rsidR="0099009F" w:rsidRPr="007C4D65">
        <w:rPr>
          <w:rFonts w:asciiTheme="minorHAnsi" w:hAnsiTheme="minorHAnsi" w:cstheme="minorHAnsi"/>
          <w:sz w:val="22"/>
        </w:rPr>
        <w:t xml:space="preserve"> of the Federation of BiH</w:t>
      </w:r>
      <w:r w:rsidR="00BB28BC" w:rsidRPr="007C4D65">
        <w:rPr>
          <w:rFonts w:asciiTheme="minorHAnsi" w:hAnsiTheme="minorHAnsi" w:cstheme="minorHAnsi"/>
          <w:sz w:val="22"/>
        </w:rPr>
        <w:t xml:space="preserve">, was entrusted to the Stockholm Environment Institute (SEI) in cooperation with national experts and representatives of all the relevant institutions. </w:t>
      </w:r>
    </w:p>
    <w:p w14:paraId="1D6C3179" w14:textId="121EB94D" w:rsidR="00A16599" w:rsidRPr="007C4D65" w:rsidRDefault="00BB28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Article 44 of the Law on Environmental Protection of the Federation of BiH </w:t>
      </w:r>
      <w:r w:rsidRPr="007C4D65">
        <w:rPr>
          <w:rFonts w:asciiTheme="minorHAnsi" w:hAnsiTheme="minorHAnsi" w:cstheme="minorHAnsi"/>
          <w:sz w:val="22"/>
          <w:szCs w:val="22"/>
        </w:rPr>
        <w:fldChar w:fldCharType="begin"/>
      </w:r>
      <w:r w:rsidR="00CE1A95" w:rsidRPr="007C4D65">
        <w:rPr>
          <w:rFonts w:asciiTheme="minorHAnsi" w:hAnsiTheme="minorHAnsi" w:cstheme="minorHAnsi"/>
          <w:sz w:val="22"/>
          <w:szCs w:val="22"/>
        </w:rPr>
        <w:instrText xml:space="preserve"> ADDIN ZOTERO_ITEM CSL_CITATION {"citationID":"BOZIxSxK","properties":{"formattedCitation":"(Sl. novine FBiH, br. 15/21 2021)","plainCitation":"(Sl. novine FBiH, br. 15/21 2021)","dontUpdate":true,"noteIndex":0},"citationItems":[{"id":1311,"uris":["http://zotero.org/users/7192877/items/937YMYL6"],"itemData":{"id":1311,"type":"legislation","title":"Zakon o zaštiti okoliša Federacije BiH","URL":"https://www.fmoit.gov.ba/upload/file/2021/Zakon%20o%20zastiti%20okolisa%2015_21.pdf","author":[{"family":"\"Sl. novine Federacije BiH\", broj 15/21","given":""}],"issued":{"date-parts":[["2021"]]}}}],"schema":"https://github.com/citation-style-language/schema/raw/master/csl-citation.json"}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szCs w:val="22"/>
        </w:rPr>
        <w:t>(</w:t>
      </w:r>
      <w:r w:rsidR="00EF6C03" w:rsidRPr="007C4D65">
        <w:rPr>
          <w:rFonts w:asciiTheme="minorHAnsi" w:hAnsiTheme="minorHAnsi" w:cstheme="minorHAnsi"/>
          <w:sz w:val="22"/>
          <w:szCs w:val="22"/>
        </w:rPr>
        <w:t>"</w:t>
      </w:r>
      <w:r w:rsidR="00116A22" w:rsidRPr="007C4D65">
        <w:rPr>
          <w:rFonts w:asciiTheme="minorHAnsi" w:hAnsiTheme="minorHAnsi" w:cstheme="minorHAnsi"/>
          <w:sz w:val="22"/>
          <w:szCs w:val="22"/>
        </w:rPr>
        <w:t xml:space="preserve">Official Gazette of the </w:t>
      </w:r>
      <w:r w:rsidR="007F4BA8" w:rsidRPr="007C4D65">
        <w:rPr>
          <w:rFonts w:asciiTheme="minorHAnsi" w:hAnsiTheme="minorHAnsi" w:cstheme="minorHAnsi"/>
          <w:sz w:val="22"/>
          <w:szCs w:val="22"/>
        </w:rPr>
        <w:t xml:space="preserve">Federation of BiH“, </w:t>
      </w:r>
      <w:r w:rsidRPr="007C4D65">
        <w:rPr>
          <w:rFonts w:asciiTheme="minorHAnsi" w:hAnsiTheme="minorHAnsi" w:cstheme="minorHAnsi"/>
          <w:sz w:val="22"/>
          <w:szCs w:val="22"/>
        </w:rPr>
        <w:t>15/21)</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w:t>
      </w:r>
      <w:r w:rsidR="00BE137C" w:rsidRPr="007C4D65">
        <w:rPr>
          <w:rFonts w:asciiTheme="minorHAnsi" w:hAnsiTheme="minorHAnsi" w:cstheme="minorHAnsi"/>
          <w:sz w:val="22"/>
          <w:szCs w:val="22"/>
        </w:rPr>
        <w:t>sets out the obligation of the Federation of BiH to formulate</w:t>
      </w:r>
      <w:r w:rsidR="0099009F" w:rsidRPr="007C4D65">
        <w:rPr>
          <w:rFonts w:asciiTheme="minorHAnsi" w:hAnsiTheme="minorHAnsi" w:cstheme="minorHAnsi"/>
          <w:sz w:val="22"/>
          <w:szCs w:val="22"/>
        </w:rPr>
        <w:t xml:space="preserve"> </w:t>
      </w:r>
      <w:r w:rsidR="00A16599" w:rsidRPr="007C4D65">
        <w:rPr>
          <w:rFonts w:asciiTheme="minorHAnsi" w:hAnsiTheme="minorHAnsi" w:cstheme="minorHAnsi"/>
          <w:sz w:val="22"/>
          <w:szCs w:val="22"/>
        </w:rPr>
        <w:t>an</w:t>
      </w:r>
      <w:r w:rsidR="0099009F" w:rsidRPr="007C4D65">
        <w:rPr>
          <w:rFonts w:asciiTheme="minorHAnsi" w:hAnsiTheme="minorHAnsi" w:cstheme="minorHAnsi"/>
          <w:sz w:val="22"/>
          <w:szCs w:val="22"/>
        </w:rPr>
        <w:t xml:space="preserve"> </w:t>
      </w:r>
      <w:r w:rsidR="0099009F" w:rsidRPr="007C4D65">
        <w:rPr>
          <w:rFonts w:asciiTheme="minorHAnsi" w:hAnsiTheme="minorHAnsi" w:cstheme="minorHAnsi"/>
          <w:b/>
          <w:sz w:val="22"/>
          <w:szCs w:val="22"/>
        </w:rPr>
        <w:t>Environmental Strategy</w:t>
      </w:r>
      <w:r w:rsidR="00A16599" w:rsidRPr="007C4D65">
        <w:rPr>
          <w:rFonts w:asciiTheme="minorHAnsi" w:hAnsiTheme="minorHAnsi" w:cstheme="minorHAnsi"/>
          <w:sz w:val="22"/>
          <w:szCs w:val="22"/>
        </w:rPr>
        <w:t xml:space="preserve">. </w:t>
      </w:r>
      <w:r w:rsidRPr="007C4D65">
        <w:rPr>
          <w:rFonts w:asciiTheme="minorHAnsi" w:hAnsiTheme="minorHAnsi" w:cstheme="minorHAnsi"/>
          <w:sz w:val="22"/>
          <w:szCs w:val="22"/>
        </w:rPr>
        <w:t>Pursuant to</w:t>
      </w:r>
      <w:r w:rsidR="0099009F" w:rsidRPr="007C4D65">
        <w:rPr>
          <w:rFonts w:asciiTheme="minorHAnsi" w:hAnsiTheme="minorHAnsi" w:cstheme="minorHAnsi"/>
          <w:sz w:val="22"/>
          <w:szCs w:val="22"/>
        </w:rPr>
        <w:t xml:space="preserve"> </w:t>
      </w:r>
      <w:r w:rsidR="00A16599" w:rsidRPr="007C4D65">
        <w:rPr>
          <w:rFonts w:asciiTheme="minorHAnsi" w:hAnsiTheme="minorHAnsi" w:cstheme="minorHAnsi"/>
          <w:sz w:val="22"/>
          <w:szCs w:val="22"/>
        </w:rPr>
        <w:t>the</w:t>
      </w:r>
      <w:r w:rsidRPr="007C4D65">
        <w:rPr>
          <w:rFonts w:asciiTheme="minorHAnsi" w:hAnsiTheme="minorHAnsi" w:cstheme="minorHAnsi"/>
          <w:sz w:val="22"/>
          <w:szCs w:val="22"/>
        </w:rPr>
        <w:t xml:space="preserve"> Law, the Strategy shall define environmental </w:t>
      </w:r>
      <w:r w:rsidR="00BE137C" w:rsidRPr="007C4D65">
        <w:rPr>
          <w:rFonts w:asciiTheme="minorHAnsi" w:hAnsiTheme="minorHAnsi" w:cstheme="minorHAnsi"/>
          <w:sz w:val="22"/>
          <w:szCs w:val="22"/>
        </w:rPr>
        <w:t>goals</w:t>
      </w:r>
      <w:r w:rsidRPr="007C4D65">
        <w:rPr>
          <w:rFonts w:asciiTheme="minorHAnsi" w:hAnsiTheme="minorHAnsi" w:cstheme="minorHAnsi"/>
          <w:sz w:val="22"/>
          <w:szCs w:val="22"/>
        </w:rPr>
        <w:t xml:space="preserve"> a</w:t>
      </w:r>
      <w:r w:rsidR="00241D70" w:rsidRPr="007C4D65">
        <w:rPr>
          <w:rFonts w:asciiTheme="minorHAnsi" w:hAnsiTheme="minorHAnsi" w:cstheme="minorHAnsi"/>
          <w:sz w:val="22"/>
          <w:szCs w:val="22"/>
        </w:rPr>
        <w:t>n</w:t>
      </w:r>
      <w:r w:rsidRPr="007C4D65">
        <w:rPr>
          <w:rFonts w:asciiTheme="minorHAnsi" w:hAnsiTheme="minorHAnsi" w:cstheme="minorHAnsi"/>
          <w:sz w:val="22"/>
          <w:szCs w:val="22"/>
        </w:rPr>
        <w:t xml:space="preserve">d </w:t>
      </w:r>
      <w:r w:rsidR="00A16599" w:rsidRPr="007C4D65">
        <w:rPr>
          <w:rFonts w:asciiTheme="minorHAnsi" w:hAnsiTheme="minorHAnsi" w:cstheme="minorHAnsi"/>
          <w:sz w:val="22"/>
          <w:szCs w:val="22"/>
        </w:rPr>
        <w:t>priorities</w:t>
      </w:r>
      <w:r w:rsidRPr="007C4D65">
        <w:rPr>
          <w:rFonts w:asciiTheme="minorHAnsi" w:hAnsiTheme="minorHAnsi" w:cstheme="minorHAnsi"/>
          <w:sz w:val="22"/>
          <w:szCs w:val="22"/>
        </w:rPr>
        <w:t xml:space="preserve"> in the Federation of BiH, means of achieving them, financial and institutional framework for the implementation, monitoring, evaluation, and reporting. </w:t>
      </w:r>
    </w:p>
    <w:p w14:paraId="6BB9B307" w14:textId="33D0BA39" w:rsidR="00BB28BC" w:rsidRPr="007C4D65" w:rsidRDefault="00BB28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Article 24 of the Law on Waters of the Federation of BiH </w:t>
      </w:r>
      <w:r w:rsidRPr="007C4D65">
        <w:rPr>
          <w:rFonts w:asciiTheme="minorHAnsi" w:hAnsiTheme="minorHAnsi" w:cstheme="minorHAnsi"/>
          <w:sz w:val="22"/>
          <w:szCs w:val="22"/>
        </w:rPr>
        <w:fldChar w:fldCharType="begin"/>
      </w:r>
      <w:r w:rsidR="00CE1A95" w:rsidRPr="007C4D65">
        <w:rPr>
          <w:rFonts w:asciiTheme="minorHAnsi" w:hAnsiTheme="minorHAnsi" w:cstheme="minorHAnsi"/>
          <w:sz w:val="22"/>
          <w:szCs w:val="22"/>
        </w:rPr>
        <w:instrText xml:space="preserve"> ADDIN ZOTERO_ITEM CSL_CITATION {"citationID":"UsGX3dJq","properties":{"formattedCitation":"(Sl. novine FBiH, br. 70/06 2006)","plainCitation":"(Sl. novine FBiH, br. 70/06 2006)","dontUpdate":true,"noteIndex":0},"citationItems":[{"id":1315,"uris":["http://zotero.org/users/7192877/items/I5IJAAHQ"],"itemData":{"id":1315,"type":"legislation","title":"Zakon o vodama Federacije BiH","URL":"https://www.fmoit.gov.ba/upload/file/2020/0_Zakon%20o%20vodama%20Sl.%20novine%20br.%20FBiH%2070%2006.pdf","author":[{"family":"\"Sl. novine Federacije BiH\", broj 70/06","given":""}],"issued":{"date-parts":[["2006"]]}}}],"schema":"https://github.com/citation-style-language/schema/raw/master/csl-citation.json"}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szCs w:val="22"/>
        </w:rPr>
        <w:t>(</w:t>
      </w:r>
      <w:r w:rsidR="00EF6C03" w:rsidRPr="007C4D65">
        <w:rPr>
          <w:rFonts w:asciiTheme="minorHAnsi" w:hAnsiTheme="minorHAnsi" w:cstheme="minorHAnsi"/>
          <w:sz w:val="22"/>
          <w:szCs w:val="22"/>
        </w:rPr>
        <w:t>"</w:t>
      </w:r>
      <w:r w:rsidR="00116A22" w:rsidRPr="007C4D65">
        <w:rPr>
          <w:rFonts w:asciiTheme="minorHAnsi" w:hAnsiTheme="minorHAnsi" w:cstheme="minorHAnsi"/>
          <w:sz w:val="22"/>
          <w:szCs w:val="22"/>
        </w:rPr>
        <w:t xml:space="preserve">Official Gazette of the </w:t>
      </w:r>
      <w:r w:rsidR="007F4BA8" w:rsidRPr="007C4D65">
        <w:rPr>
          <w:rFonts w:asciiTheme="minorHAnsi" w:hAnsiTheme="minorHAnsi" w:cstheme="minorHAnsi"/>
          <w:sz w:val="22"/>
          <w:szCs w:val="22"/>
        </w:rPr>
        <w:t xml:space="preserve">Federation of BiH“, </w:t>
      </w:r>
      <w:r w:rsidRPr="007C4D65">
        <w:rPr>
          <w:rFonts w:asciiTheme="minorHAnsi" w:hAnsiTheme="minorHAnsi" w:cstheme="minorHAnsi"/>
          <w:sz w:val="22"/>
          <w:szCs w:val="22"/>
        </w:rPr>
        <w:t>70/06)</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w:t>
      </w:r>
      <w:r w:rsidR="00BE137C" w:rsidRPr="007C4D65">
        <w:rPr>
          <w:rFonts w:asciiTheme="minorHAnsi" w:hAnsiTheme="minorHAnsi" w:cstheme="minorHAnsi"/>
          <w:sz w:val="22"/>
          <w:szCs w:val="22"/>
        </w:rPr>
        <w:t>requires the Federation to develop</w:t>
      </w:r>
      <w:r w:rsidR="00A16599" w:rsidRPr="007C4D65">
        <w:rPr>
          <w:rFonts w:asciiTheme="minorHAnsi" w:hAnsiTheme="minorHAnsi" w:cstheme="minorHAnsi"/>
          <w:sz w:val="22"/>
          <w:szCs w:val="22"/>
        </w:rPr>
        <w:t xml:space="preserve"> a</w:t>
      </w:r>
      <w:r w:rsidRPr="007C4D65">
        <w:rPr>
          <w:rFonts w:asciiTheme="minorHAnsi" w:hAnsiTheme="minorHAnsi" w:cstheme="minorHAnsi"/>
          <w:sz w:val="22"/>
          <w:szCs w:val="22"/>
        </w:rPr>
        <w:t xml:space="preserve"> </w:t>
      </w:r>
      <w:r w:rsidRPr="007C4D65">
        <w:rPr>
          <w:rFonts w:asciiTheme="minorHAnsi" w:hAnsiTheme="minorHAnsi" w:cstheme="minorHAnsi"/>
          <w:b/>
          <w:sz w:val="22"/>
          <w:szCs w:val="22"/>
        </w:rPr>
        <w:t>Water Management Strategy</w:t>
      </w:r>
      <w:r w:rsidRPr="007C4D65">
        <w:rPr>
          <w:rFonts w:asciiTheme="minorHAnsi" w:hAnsiTheme="minorHAnsi" w:cstheme="minorHAnsi"/>
          <w:sz w:val="22"/>
          <w:szCs w:val="22"/>
        </w:rPr>
        <w:t xml:space="preserve">. </w:t>
      </w:r>
      <w:r w:rsidRPr="007C4D65">
        <w:rPr>
          <w:rFonts w:asciiTheme="minorHAnsi" w:hAnsiTheme="minorHAnsi" w:cstheme="minorHAnsi"/>
          <w:sz w:val="22"/>
        </w:rPr>
        <w:t xml:space="preserve">Paragraph 9 of this Article also defines that the Water </w:t>
      </w:r>
      <w:r w:rsidR="00E87DA4" w:rsidRPr="007C4D65">
        <w:rPr>
          <w:rFonts w:asciiTheme="minorHAnsi" w:hAnsiTheme="minorHAnsi" w:cstheme="minorHAnsi"/>
          <w:sz w:val="22"/>
        </w:rPr>
        <w:t>Management</w:t>
      </w:r>
      <w:r w:rsidRPr="007C4D65">
        <w:rPr>
          <w:rFonts w:asciiTheme="minorHAnsi" w:hAnsiTheme="minorHAnsi" w:cstheme="minorHAnsi"/>
          <w:sz w:val="22"/>
        </w:rPr>
        <w:t xml:space="preserve"> Strategy shall be </w:t>
      </w:r>
      <w:proofErr w:type="gramStart"/>
      <w:r w:rsidRPr="007C4D65">
        <w:rPr>
          <w:rFonts w:asciiTheme="minorHAnsi" w:hAnsiTheme="minorHAnsi" w:cstheme="minorHAnsi"/>
          <w:sz w:val="22"/>
        </w:rPr>
        <w:t>the</w:t>
      </w:r>
      <w:proofErr w:type="gramEnd"/>
      <w:r w:rsidRPr="007C4D65">
        <w:rPr>
          <w:rFonts w:asciiTheme="minorHAnsi" w:hAnsiTheme="minorHAnsi" w:cstheme="minorHAnsi"/>
          <w:sz w:val="22"/>
        </w:rPr>
        <w:t xml:space="preserve"> integral part of the </w:t>
      </w:r>
      <w:r w:rsidR="00E87DA4" w:rsidRPr="007C4D65">
        <w:rPr>
          <w:rFonts w:asciiTheme="minorHAnsi" w:hAnsiTheme="minorHAnsi" w:cstheme="minorHAnsi"/>
          <w:sz w:val="22"/>
        </w:rPr>
        <w:t>Environmental</w:t>
      </w:r>
      <w:r w:rsidRPr="007C4D65">
        <w:rPr>
          <w:rFonts w:asciiTheme="minorHAnsi" w:hAnsiTheme="minorHAnsi" w:cstheme="minorHAnsi"/>
          <w:sz w:val="22"/>
        </w:rPr>
        <w:t xml:space="preserve"> Strategy</w:t>
      </w:r>
      <w:r w:rsidR="00A16599" w:rsidRPr="007C4D65">
        <w:rPr>
          <w:rFonts w:asciiTheme="minorHAnsi" w:hAnsiTheme="minorHAnsi" w:cstheme="minorHAnsi"/>
          <w:sz w:val="22"/>
        </w:rPr>
        <w:t xml:space="preserve"> of the Federation of BiH.</w:t>
      </w:r>
      <w:r w:rsidRPr="007C4D65">
        <w:rPr>
          <w:rFonts w:asciiTheme="minorHAnsi" w:hAnsiTheme="minorHAnsi" w:cstheme="minorHAnsi"/>
          <w:sz w:val="22"/>
        </w:rPr>
        <w:t xml:space="preserve"> Pursuant to the Law on Waters, the Strategy shall comprise an assessment of the situation in the water management sector, objectives and policies of water </w:t>
      </w:r>
      <w:r w:rsidR="00E87DA4" w:rsidRPr="007C4D65">
        <w:rPr>
          <w:rFonts w:asciiTheme="minorHAnsi" w:hAnsiTheme="minorHAnsi" w:cstheme="minorHAnsi"/>
          <w:sz w:val="22"/>
        </w:rPr>
        <w:t>protection</w:t>
      </w:r>
      <w:r w:rsidRPr="007C4D65">
        <w:rPr>
          <w:rFonts w:asciiTheme="minorHAnsi" w:hAnsiTheme="minorHAnsi" w:cstheme="minorHAnsi"/>
          <w:sz w:val="22"/>
        </w:rPr>
        <w:t xml:space="preserve">, protection from harmful effects of water and sustainable use of waters, priorities for the achievement of water management objectives, </w:t>
      </w:r>
      <w:r w:rsidR="00A16599" w:rsidRPr="007C4D65">
        <w:rPr>
          <w:rFonts w:asciiTheme="minorHAnsi" w:hAnsiTheme="minorHAnsi" w:cstheme="minorHAnsi"/>
          <w:sz w:val="22"/>
        </w:rPr>
        <w:t>estimated</w:t>
      </w:r>
      <w:r w:rsidRPr="007C4D65">
        <w:rPr>
          <w:rFonts w:asciiTheme="minorHAnsi" w:hAnsiTheme="minorHAnsi" w:cstheme="minorHAnsi"/>
          <w:sz w:val="22"/>
        </w:rPr>
        <w:t xml:space="preserve"> funds for the </w:t>
      </w:r>
      <w:r w:rsidR="00E87DA4" w:rsidRPr="007C4D65">
        <w:rPr>
          <w:rFonts w:asciiTheme="minorHAnsi" w:hAnsiTheme="minorHAnsi" w:cstheme="minorHAnsi"/>
          <w:sz w:val="22"/>
        </w:rPr>
        <w:t>implementation</w:t>
      </w:r>
      <w:r w:rsidRPr="007C4D65">
        <w:rPr>
          <w:rFonts w:asciiTheme="minorHAnsi" w:hAnsiTheme="minorHAnsi" w:cstheme="minorHAnsi"/>
          <w:sz w:val="22"/>
        </w:rPr>
        <w:t xml:space="preserve"> of programmes, </w:t>
      </w:r>
      <w:r w:rsidR="00A16599" w:rsidRPr="007C4D65">
        <w:rPr>
          <w:rFonts w:asciiTheme="minorHAnsi" w:hAnsiTheme="minorHAnsi" w:cstheme="minorHAnsi"/>
          <w:sz w:val="22"/>
        </w:rPr>
        <w:t>timelines</w:t>
      </w:r>
      <w:r w:rsidRPr="007C4D65">
        <w:rPr>
          <w:rFonts w:asciiTheme="minorHAnsi" w:hAnsiTheme="minorHAnsi" w:cstheme="minorHAnsi"/>
          <w:sz w:val="22"/>
        </w:rPr>
        <w:t xml:space="preserve"> for the achievement of the objectives, and activities which need to be </w:t>
      </w:r>
      <w:r w:rsidR="00A16599" w:rsidRPr="007C4D65">
        <w:rPr>
          <w:rFonts w:asciiTheme="minorHAnsi" w:hAnsiTheme="minorHAnsi" w:cstheme="minorHAnsi"/>
          <w:sz w:val="22"/>
        </w:rPr>
        <w:t>completed</w:t>
      </w:r>
      <w:r w:rsidRPr="007C4D65">
        <w:rPr>
          <w:rFonts w:asciiTheme="minorHAnsi" w:hAnsiTheme="minorHAnsi" w:cstheme="minorHAnsi"/>
          <w:sz w:val="22"/>
        </w:rPr>
        <w:t xml:space="preserve"> in order to fulfil the obligations arising from the international </w:t>
      </w:r>
      <w:r w:rsidR="00E87DA4" w:rsidRPr="007C4D65">
        <w:rPr>
          <w:rFonts w:asciiTheme="minorHAnsi" w:hAnsiTheme="minorHAnsi" w:cstheme="minorHAnsi"/>
          <w:sz w:val="22"/>
        </w:rPr>
        <w:t>agreements</w:t>
      </w:r>
      <w:r w:rsidRPr="007C4D65">
        <w:rPr>
          <w:rFonts w:asciiTheme="minorHAnsi" w:hAnsiTheme="minorHAnsi" w:cstheme="minorHAnsi"/>
          <w:sz w:val="22"/>
        </w:rPr>
        <w:t xml:space="preserve"> </w:t>
      </w:r>
      <w:r w:rsidR="00B1691B" w:rsidRPr="007C4D65">
        <w:rPr>
          <w:rFonts w:asciiTheme="minorHAnsi" w:hAnsiTheme="minorHAnsi" w:cstheme="minorHAnsi"/>
          <w:sz w:val="22"/>
        </w:rPr>
        <w:t>o</w:t>
      </w:r>
      <w:r w:rsidR="00A16599" w:rsidRPr="007C4D65">
        <w:rPr>
          <w:rFonts w:asciiTheme="minorHAnsi" w:hAnsiTheme="minorHAnsi" w:cstheme="minorHAnsi"/>
          <w:sz w:val="22"/>
        </w:rPr>
        <w:t>n</w:t>
      </w:r>
      <w:r w:rsidRPr="007C4D65">
        <w:rPr>
          <w:rFonts w:asciiTheme="minorHAnsi" w:hAnsiTheme="minorHAnsi" w:cstheme="minorHAnsi"/>
          <w:sz w:val="22"/>
        </w:rPr>
        <w:t xml:space="preserve"> water management.</w:t>
      </w:r>
    </w:p>
    <w:p w14:paraId="4E16067C" w14:textId="65A6268A" w:rsidR="00BB28BC" w:rsidRPr="007C4D65" w:rsidRDefault="003A13D7" w:rsidP="0068355A">
      <w:pPr>
        <w:spacing w:after="240" w:line="276" w:lineRule="auto"/>
        <w:jc w:val="both"/>
        <w:rPr>
          <w:rFonts w:asciiTheme="minorHAnsi" w:hAnsiTheme="minorHAnsi" w:cstheme="minorHAnsi"/>
          <w:sz w:val="22"/>
          <w:szCs w:val="22"/>
        </w:rPr>
      </w:pPr>
      <w:bookmarkStart w:id="4" w:name="_Hlk108772379"/>
      <w:r w:rsidRPr="007C4D65">
        <w:rPr>
          <w:rFonts w:asciiTheme="minorHAnsi" w:hAnsiTheme="minorHAnsi" w:cstheme="minorHAnsi"/>
          <w:sz w:val="22"/>
        </w:rPr>
        <w:t xml:space="preserve">Furthermore, </w:t>
      </w:r>
      <w:r w:rsidRPr="007C4D65">
        <w:rPr>
          <w:rFonts w:asciiTheme="minorHAnsi" w:hAnsiTheme="minorHAnsi" w:cstheme="minorHAnsi"/>
          <w:b/>
          <w:sz w:val="22"/>
        </w:rPr>
        <w:t xml:space="preserve">the present Strategy is </w:t>
      </w:r>
      <w:proofErr w:type="gramStart"/>
      <w:r w:rsidRPr="007C4D65">
        <w:rPr>
          <w:rFonts w:asciiTheme="minorHAnsi" w:hAnsiTheme="minorHAnsi" w:cstheme="minorHAnsi"/>
          <w:b/>
          <w:sz w:val="22"/>
        </w:rPr>
        <w:t>the</w:t>
      </w:r>
      <w:proofErr w:type="gramEnd"/>
      <w:r w:rsidRPr="007C4D65">
        <w:rPr>
          <w:rFonts w:asciiTheme="minorHAnsi" w:hAnsiTheme="minorHAnsi" w:cstheme="minorHAnsi"/>
          <w:b/>
          <w:sz w:val="22"/>
        </w:rPr>
        <w:t xml:space="preserve"> integral part of the Environmental Strategy of BiH 2022-2032.</w:t>
      </w:r>
      <w:r w:rsidRPr="007C4D65">
        <w:rPr>
          <w:rFonts w:asciiTheme="minorHAnsi" w:hAnsiTheme="minorHAnsi" w:cstheme="minorHAnsi"/>
          <w:sz w:val="22"/>
        </w:rPr>
        <w:t xml:space="preserve"> </w:t>
      </w:r>
      <w:bookmarkEnd w:id="4"/>
      <w:r w:rsidRPr="007C4D65">
        <w:rPr>
          <w:rFonts w:asciiTheme="minorHAnsi" w:hAnsiTheme="minorHAnsi" w:cstheme="minorHAnsi"/>
          <w:sz w:val="22"/>
        </w:rPr>
        <w:t xml:space="preserve">The document covers the period 2022-2032, and it includes </w:t>
      </w:r>
      <w:r w:rsidR="00B1691B" w:rsidRPr="007C4D65">
        <w:rPr>
          <w:rFonts w:asciiTheme="minorHAnsi" w:hAnsiTheme="minorHAnsi" w:cstheme="minorHAnsi"/>
          <w:sz w:val="22"/>
        </w:rPr>
        <w:t xml:space="preserve">overarching environmental </w:t>
      </w:r>
      <w:r w:rsidRPr="007C4D65">
        <w:rPr>
          <w:rFonts w:asciiTheme="minorHAnsi" w:hAnsiTheme="minorHAnsi" w:cstheme="minorHAnsi"/>
          <w:sz w:val="22"/>
        </w:rPr>
        <w:t xml:space="preserve">strategic goals and </w:t>
      </w:r>
      <w:r w:rsidR="00D137D5" w:rsidRPr="007C4D65">
        <w:rPr>
          <w:rFonts w:asciiTheme="minorHAnsi" w:hAnsiTheme="minorHAnsi" w:cstheme="minorHAnsi"/>
          <w:sz w:val="22"/>
        </w:rPr>
        <w:t>defines</w:t>
      </w:r>
      <w:r w:rsidRPr="007C4D65">
        <w:rPr>
          <w:rFonts w:asciiTheme="minorHAnsi" w:hAnsiTheme="minorHAnsi" w:cstheme="minorHAnsi"/>
          <w:sz w:val="22"/>
        </w:rPr>
        <w:t xml:space="preserve"> specific actions which will contribute to achieving these goals in the Federation of BiH. </w:t>
      </w:r>
      <w:r w:rsidR="00BE137C" w:rsidRPr="007C4D65">
        <w:rPr>
          <w:rFonts w:asciiTheme="minorHAnsi" w:hAnsiTheme="minorHAnsi" w:cstheme="minorHAnsi"/>
          <w:sz w:val="22"/>
        </w:rPr>
        <w:t>T</w:t>
      </w:r>
      <w:r w:rsidRPr="007C4D65">
        <w:rPr>
          <w:rFonts w:asciiTheme="minorHAnsi" w:hAnsiTheme="minorHAnsi" w:cstheme="minorHAnsi"/>
          <w:sz w:val="22"/>
        </w:rPr>
        <w:t>his document is</w:t>
      </w:r>
      <w:r w:rsidR="00BE137C" w:rsidRPr="007C4D65">
        <w:rPr>
          <w:rFonts w:asciiTheme="minorHAnsi" w:hAnsiTheme="minorHAnsi" w:cstheme="minorHAnsi"/>
          <w:sz w:val="22"/>
        </w:rPr>
        <w:t xml:space="preserve"> an</w:t>
      </w:r>
      <w:r w:rsidRPr="007C4D65">
        <w:rPr>
          <w:rFonts w:asciiTheme="minorHAnsi" w:hAnsiTheme="minorHAnsi" w:cstheme="minorHAnsi"/>
          <w:sz w:val="22"/>
        </w:rPr>
        <w:t xml:space="preserve"> essential </w:t>
      </w:r>
      <w:r w:rsidR="00B1691B" w:rsidRPr="007C4D65">
        <w:rPr>
          <w:rFonts w:asciiTheme="minorHAnsi" w:hAnsiTheme="minorHAnsi" w:cstheme="minorHAnsi"/>
          <w:sz w:val="22"/>
        </w:rPr>
        <w:t>tool which should help the</w:t>
      </w:r>
      <w:r w:rsidRPr="007C4D65">
        <w:rPr>
          <w:rFonts w:asciiTheme="minorHAnsi" w:hAnsiTheme="minorHAnsi" w:cstheme="minorHAnsi"/>
          <w:sz w:val="22"/>
        </w:rPr>
        <w:t xml:space="preserve"> relevant </w:t>
      </w:r>
      <w:proofErr w:type="gramStart"/>
      <w:r w:rsidRPr="007C4D65">
        <w:rPr>
          <w:rFonts w:asciiTheme="minorHAnsi" w:hAnsiTheme="minorHAnsi" w:cstheme="minorHAnsi"/>
          <w:sz w:val="22"/>
        </w:rPr>
        <w:t xml:space="preserve">institutions </w:t>
      </w:r>
      <w:r w:rsidR="00B1691B" w:rsidRPr="007C4D65">
        <w:rPr>
          <w:rFonts w:asciiTheme="minorHAnsi" w:hAnsiTheme="minorHAnsi" w:cstheme="minorHAnsi"/>
          <w:sz w:val="22"/>
        </w:rPr>
        <w:t xml:space="preserve"> to</w:t>
      </w:r>
      <w:proofErr w:type="gramEnd"/>
      <w:r w:rsidR="00B1691B" w:rsidRPr="007C4D65">
        <w:rPr>
          <w:rFonts w:asciiTheme="minorHAnsi" w:hAnsiTheme="minorHAnsi" w:cstheme="minorHAnsi"/>
          <w:sz w:val="22"/>
        </w:rPr>
        <w:t xml:space="preserve"> </w:t>
      </w:r>
      <w:r w:rsidRPr="007C4D65">
        <w:rPr>
          <w:rFonts w:asciiTheme="minorHAnsi" w:hAnsiTheme="minorHAnsi" w:cstheme="minorHAnsi"/>
          <w:sz w:val="22"/>
        </w:rPr>
        <w:t>creat</w:t>
      </w:r>
      <w:r w:rsidR="00B1691B" w:rsidRPr="007C4D65">
        <w:rPr>
          <w:rFonts w:asciiTheme="minorHAnsi" w:hAnsiTheme="minorHAnsi" w:cstheme="minorHAnsi"/>
          <w:sz w:val="22"/>
        </w:rPr>
        <w:t>e</w:t>
      </w:r>
      <w:r w:rsidRPr="007C4D65">
        <w:rPr>
          <w:rFonts w:asciiTheme="minorHAnsi" w:hAnsiTheme="minorHAnsi" w:cstheme="minorHAnsi"/>
          <w:sz w:val="22"/>
        </w:rPr>
        <w:t xml:space="preserve"> conditions </w:t>
      </w:r>
      <w:r w:rsidR="00B1691B" w:rsidRPr="007C4D65">
        <w:rPr>
          <w:rFonts w:asciiTheme="minorHAnsi" w:hAnsiTheme="minorHAnsi" w:cstheme="minorHAnsi"/>
          <w:sz w:val="22"/>
        </w:rPr>
        <w:t>for</w:t>
      </w:r>
      <w:r w:rsidRPr="007C4D65">
        <w:rPr>
          <w:rFonts w:asciiTheme="minorHAnsi" w:hAnsiTheme="minorHAnsi" w:cstheme="minorHAnsi"/>
          <w:sz w:val="22"/>
        </w:rPr>
        <w:t xml:space="preserve"> sustainability, as well as </w:t>
      </w:r>
      <w:r w:rsidR="00D137D5" w:rsidRPr="007C4D65">
        <w:rPr>
          <w:rFonts w:asciiTheme="minorHAnsi" w:hAnsiTheme="minorHAnsi" w:cstheme="minorHAnsi"/>
          <w:sz w:val="22"/>
        </w:rPr>
        <w:t xml:space="preserve">for the </w:t>
      </w:r>
      <w:r w:rsidRPr="007C4D65">
        <w:rPr>
          <w:rFonts w:asciiTheme="minorHAnsi" w:hAnsiTheme="minorHAnsi" w:cstheme="minorHAnsi"/>
          <w:sz w:val="22"/>
        </w:rPr>
        <w:t>improvement of health and welfare of citizens</w:t>
      </w:r>
      <w:r w:rsidR="00B1691B" w:rsidRPr="007C4D65">
        <w:rPr>
          <w:rFonts w:asciiTheme="minorHAnsi" w:hAnsiTheme="minorHAnsi" w:cstheme="minorHAnsi"/>
          <w:sz w:val="22"/>
        </w:rPr>
        <w:t xml:space="preserve"> in the next decade</w:t>
      </w:r>
      <w:r w:rsidRPr="007C4D65">
        <w:rPr>
          <w:rFonts w:asciiTheme="minorHAnsi" w:hAnsiTheme="minorHAnsi" w:cstheme="minorHAnsi"/>
          <w:sz w:val="22"/>
        </w:rPr>
        <w:t xml:space="preserve">. The efforts particularly focus on public </w:t>
      </w:r>
      <w:proofErr w:type="gramStart"/>
      <w:r w:rsidRPr="007C4D65">
        <w:rPr>
          <w:rFonts w:asciiTheme="minorHAnsi" w:hAnsiTheme="minorHAnsi" w:cstheme="minorHAnsi"/>
          <w:sz w:val="22"/>
        </w:rPr>
        <w:t>policy-making</w:t>
      </w:r>
      <w:proofErr w:type="gramEnd"/>
      <w:r w:rsidRPr="007C4D65">
        <w:rPr>
          <w:rFonts w:asciiTheme="minorHAnsi" w:hAnsiTheme="minorHAnsi" w:cstheme="minorHAnsi"/>
          <w:sz w:val="22"/>
        </w:rPr>
        <w:t xml:space="preserve"> </w:t>
      </w:r>
      <w:r w:rsidR="00B1691B" w:rsidRPr="007C4D65">
        <w:rPr>
          <w:rFonts w:asciiTheme="minorHAnsi" w:hAnsiTheme="minorHAnsi" w:cstheme="minorHAnsi"/>
          <w:sz w:val="22"/>
        </w:rPr>
        <w:t>aimed at</w:t>
      </w:r>
      <w:r w:rsidRPr="007C4D65">
        <w:rPr>
          <w:rFonts w:asciiTheme="minorHAnsi" w:hAnsiTheme="minorHAnsi" w:cstheme="minorHAnsi"/>
          <w:sz w:val="22"/>
        </w:rPr>
        <w:t xml:space="preserve"> mitigat</w:t>
      </w:r>
      <w:r w:rsidR="00B1691B" w:rsidRPr="007C4D65">
        <w:rPr>
          <w:rFonts w:asciiTheme="minorHAnsi" w:hAnsiTheme="minorHAnsi" w:cstheme="minorHAnsi"/>
          <w:sz w:val="22"/>
        </w:rPr>
        <w:t>ing</w:t>
      </w:r>
      <w:r w:rsidRPr="007C4D65">
        <w:rPr>
          <w:rFonts w:asciiTheme="minorHAnsi" w:hAnsiTheme="minorHAnsi" w:cstheme="minorHAnsi"/>
          <w:sz w:val="22"/>
        </w:rPr>
        <w:t xml:space="preserve"> and reduc</w:t>
      </w:r>
      <w:r w:rsidR="00B1691B" w:rsidRPr="007C4D65">
        <w:rPr>
          <w:rFonts w:asciiTheme="minorHAnsi" w:hAnsiTheme="minorHAnsi" w:cstheme="minorHAnsi"/>
          <w:sz w:val="22"/>
        </w:rPr>
        <w:t>ing</w:t>
      </w:r>
      <w:r w:rsidRPr="007C4D65">
        <w:rPr>
          <w:rFonts w:asciiTheme="minorHAnsi" w:hAnsiTheme="minorHAnsi" w:cstheme="minorHAnsi"/>
          <w:sz w:val="22"/>
        </w:rPr>
        <w:t xml:space="preserve"> the impact of</w:t>
      </w:r>
      <w:r w:rsidR="00BE137C" w:rsidRPr="007C4D65">
        <w:rPr>
          <w:rFonts w:asciiTheme="minorHAnsi" w:hAnsiTheme="minorHAnsi" w:cstheme="minorHAnsi"/>
          <w:sz w:val="22"/>
        </w:rPr>
        <w:t xml:space="preserve"> </w:t>
      </w:r>
      <w:r w:rsidR="00BE137C" w:rsidRPr="007C4D65">
        <w:rPr>
          <w:rFonts w:asciiTheme="minorHAnsi" w:hAnsiTheme="minorHAnsi" w:cstheme="minorHAnsi"/>
          <w:sz w:val="22"/>
        </w:rPr>
        <w:lastRenderedPageBreak/>
        <w:t>climate change and climate proofing</w:t>
      </w:r>
      <w:r w:rsidRPr="007C4D65">
        <w:rPr>
          <w:rFonts w:asciiTheme="minorHAnsi" w:hAnsiTheme="minorHAnsi" w:cstheme="minorHAnsi"/>
          <w:sz w:val="22"/>
        </w:rPr>
        <w:t>, better align</w:t>
      </w:r>
      <w:r w:rsidR="00B1691B" w:rsidRPr="007C4D65">
        <w:rPr>
          <w:rFonts w:asciiTheme="minorHAnsi" w:hAnsiTheme="minorHAnsi" w:cstheme="minorHAnsi"/>
          <w:sz w:val="22"/>
        </w:rPr>
        <w:t>ing</w:t>
      </w:r>
      <w:r w:rsidRPr="007C4D65">
        <w:rPr>
          <w:rFonts w:asciiTheme="minorHAnsi" w:hAnsiTheme="minorHAnsi" w:cstheme="minorHAnsi"/>
          <w:sz w:val="22"/>
        </w:rPr>
        <w:t xml:space="preserve"> </w:t>
      </w:r>
      <w:r w:rsidR="00D137D5" w:rsidRPr="007C4D65">
        <w:rPr>
          <w:rFonts w:asciiTheme="minorHAnsi" w:hAnsiTheme="minorHAnsi" w:cstheme="minorHAnsi"/>
          <w:sz w:val="22"/>
        </w:rPr>
        <w:t xml:space="preserve">of </w:t>
      </w:r>
      <w:r w:rsidRPr="007C4D65">
        <w:rPr>
          <w:rFonts w:asciiTheme="minorHAnsi" w:hAnsiTheme="minorHAnsi" w:cstheme="minorHAnsi"/>
          <w:sz w:val="22"/>
        </w:rPr>
        <w:t>actions in the Federation of BiH with the EU regulations and relevant international agreements, and</w:t>
      </w:r>
      <w:r w:rsidR="00B1691B" w:rsidRPr="007C4D65">
        <w:rPr>
          <w:rFonts w:asciiTheme="minorHAnsi" w:hAnsiTheme="minorHAnsi" w:cstheme="minorHAnsi"/>
          <w:sz w:val="22"/>
        </w:rPr>
        <w:t xml:space="preserve"> at</w:t>
      </w:r>
      <w:r w:rsidRPr="007C4D65">
        <w:rPr>
          <w:rFonts w:asciiTheme="minorHAnsi" w:hAnsiTheme="minorHAnsi" w:cstheme="minorHAnsi"/>
          <w:sz w:val="22"/>
        </w:rPr>
        <w:t xml:space="preserve"> </w:t>
      </w:r>
      <w:r w:rsidR="00B1691B" w:rsidRPr="007C4D65">
        <w:rPr>
          <w:rFonts w:asciiTheme="minorHAnsi" w:hAnsiTheme="minorHAnsi" w:cstheme="minorHAnsi"/>
          <w:sz w:val="22"/>
        </w:rPr>
        <w:t>providing for</w:t>
      </w:r>
      <w:r w:rsidRPr="007C4D65">
        <w:rPr>
          <w:rFonts w:asciiTheme="minorHAnsi" w:hAnsiTheme="minorHAnsi" w:cstheme="minorHAnsi"/>
          <w:sz w:val="22"/>
        </w:rPr>
        <w:t xml:space="preserve"> more sustainable public services, but also </w:t>
      </w:r>
      <w:r w:rsidR="00B1691B" w:rsidRPr="007C4D65">
        <w:rPr>
          <w:rFonts w:asciiTheme="minorHAnsi" w:hAnsiTheme="minorHAnsi" w:cstheme="minorHAnsi"/>
          <w:sz w:val="22"/>
        </w:rPr>
        <w:t>at</w:t>
      </w:r>
      <w:r w:rsidRPr="007C4D65">
        <w:rPr>
          <w:rFonts w:asciiTheme="minorHAnsi" w:hAnsiTheme="minorHAnsi" w:cstheme="minorHAnsi"/>
          <w:sz w:val="22"/>
        </w:rPr>
        <w:t xml:space="preserve"> </w:t>
      </w:r>
      <w:r w:rsidR="00D137D5" w:rsidRPr="007C4D65">
        <w:rPr>
          <w:rFonts w:asciiTheme="minorHAnsi" w:hAnsiTheme="minorHAnsi" w:cstheme="minorHAnsi"/>
          <w:sz w:val="22"/>
        </w:rPr>
        <w:t>improving</w:t>
      </w:r>
      <w:r w:rsidRPr="007C4D65">
        <w:rPr>
          <w:rFonts w:asciiTheme="minorHAnsi" w:hAnsiTheme="minorHAnsi" w:cstheme="minorHAnsi"/>
          <w:sz w:val="22"/>
        </w:rPr>
        <w:t xml:space="preserve"> the environmental protection framework and facilitat</w:t>
      </w:r>
      <w:r w:rsidR="00B1691B" w:rsidRPr="007C4D65">
        <w:rPr>
          <w:rFonts w:asciiTheme="minorHAnsi" w:hAnsiTheme="minorHAnsi" w:cstheme="minorHAnsi"/>
          <w:sz w:val="22"/>
        </w:rPr>
        <w:t>ing</w:t>
      </w:r>
      <w:r w:rsidRPr="007C4D65">
        <w:rPr>
          <w:rFonts w:asciiTheme="minorHAnsi" w:hAnsiTheme="minorHAnsi" w:cstheme="minorHAnsi"/>
          <w:sz w:val="22"/>
        </w:rPr>
        <w:t xml:space="preserve"> the transposition of the EU acquis.   </w:t>
      </w:r>
    </w:p>
    <w:p w14:paraId="3E038F19" w14:textId="606E4F95" w:rsidR="00BB28BC" w:rsidRPr="007C4D65" w:rsidRDefault="00BB28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The Environmental Strategy</w:t>
      </w:r>
      <w:r w:rsidR="00B1691B" w:rsidRPr="007C4D65">
        <w:rPr>
          <w:rFonts w:asciiTheme="minorHAnsi" w:hAnsiTheme="minorHAnsi" w:cstheme="minorHAnsi"/>
          <w:sz w:val="22"/>
        </w:rPr>
        <w:t xml:space="preserve"> of the Federation</w:t>
      </w:r>
      <w:r w:rsidRPr="007C4D65">
        <w:rPr>
          <w:rFonts w:asciiTheme="minorHAnsi" w:hAnsiTheme="minorHAnsi" w:cstheme="minorHAnsi"/>
          <w:sz w:val="22"/>
        </w:rPr>
        <w:t xml:space="preserve"> </w:t>
      </w:r>
      <w:r w:rsidR="00D137D5" w:rsidRPr="007C4D65">
        <w:rPr>
          <w:rFonts w:asciiTheme="minorHAnsi" w:hAnsiTheme="minorHAnsi" w:cstheme="minorHAnsi"/>
          <w:sz w:val="22"/>
        </w:rPr>
        <w:t xml:space="preserve">of BiH </w:t>
      </w:r>
      <w:r w:rsidR="0028515A" w:rsidRPr="007C4D65">
        <w:rPr>
          <w:rFonts w:asciiTheme="minorHAnsi" w:hAnsiTheme="minorHAnsi" w:cstheme="minorHAnsi"/>
          <w:sz w:val="22"/>
        </w:rPr>
        <w:t>covers a wide range of environmental issues</w:t>
      </w:r>
      <w:r w:rsidRPr="007C4D65">
        <w:rPr>
          <w:rFonts w:asciiTheme="minorHAnsi" w:hAnsiTheme="minorHAnsi" w:cstheme="minorHAnsi"/>
          <w:sz w:val="22"/>
        </w:rPr>
        <w:t xml:space="preserve"> which coincide with the seven thematic areas of the EU acquis and the above set of strategic activities, and these are: </w:t>
      </w:r>
      <w:r w:rsidRPr="007C4D65">
        <w:rPr>
          <w:rFonts w:asciiTheme="minorHAnsi" w:hAnsiTheme="minorHAnsi" w:cstheme="minorHAnsi"/>
          <w:b/>
          <w:sz w:val="22"/>
        </w:rPr>
        <w:t>water management; waste management; biodiversity and nature conservation; air quality, climate change and energy; chemicals safety and noise, sustainable use of natural resources</w:t>
      </w:r>
      <w:r w:rsidRPr="007C4D65">
        <w:rPr>
          <w:rFonts w:asciiTheme="minorHAnsi" w:hAnsiTheme="minorHAnsi" w:cstheme="minorHAnsi"/>
          <w:sz w:val="22"/>
        </w:rPr>
        <w:t xml:space="preserve"> (including agriculture, forestry, fishery, and mining activities); </w:t>
      </w:r>
      <w:r w:rsidRPr="007C4D65">
        <w:rPr>
          <w:rFonts w:asciiTheme="minorHAnsi" w:hAnsiTheme="minorHAnsi" w:cstheme="minorHAnsi"/>
          <w:b/>
          <w:sz w:val="22"/>
        </w:rPr>
        <w:t>and environmental management</w:t>
      </w:r>
      <w:r w:rsidRPr="007C4D65">
        <w:rPr>
          <w:rFonts w:asciiTheme="minorHAnsi" w:hAnsiTheme="minorHAnsi" w:cstheme="minorHAnsi"/>
          <w:sz w:val="22"/>
        </w:rPr>
        <w:t xml:space="preserve"> (as a </w:t>
      </w:r>
      <w:r w:rsidR="00E87DA4" w:rsidRPr="007C4D65">
        <w:rPr>
          <w:rFonts w:asciiTheme="minorHAnsi" w:hAnsiTheme="minorHAnsi" w:cstheme="minorHAnsi"/>
          <w:sz w:val="22"/>
        </w:rPr>
        <w:t>horizontal</w:t>
      </w:r>
      <w:r w:rsidRPr="007C4D65">
        <w:rPr>
          <w:rFonts w:asciiTheme="minorHAnsi" w:hAnsiTheme="minorHAnsi" w:cstheme="minorHAnsi"/>
          <w:sz w:val="22"/>
        </w:rPr>
        <w:t xml:space="preserve"> policy). </w:t>
      </w:r>
    </w:p>
    <w:p w14:paraId="299599EF" w14:textId="1457CC08" w:rsidR="00BB28BC" w:rsidRPr="007C4D65" w:rsidRDefault="0028515A" w:rsidP="0068355A">
      <w:pPr>
        <w:spacing w:line="276" w:lineRule="auto"/>
        <w:jc w:val="both"/>
        <w:rPr>
          <w:rFonts w:asciiTheme="minorHAnsi" w:hAnsiTheme="minorHAnsi" w:cstheme="minorHAnsi"/>
          <w:sz w:val="22"/>
          <w:szCs w:val="22"/>
        </w:rPr>
      </w:pPr>
      <w:r w:rsidRPr="007C4D65">
        <w:rPr>
          <w:rFonts w:asciiTheme="minorHAnsi" w:hAnsiTheme="minorHAnsi" w:cstheme="minorHAnsi"/>
          <w:sz w:val="22"/>
        </w:rPr>
        <w:t>T</w:t>
      </w:r>
      <w:r w:rsidR="00BB28BC" w:rsidRPr="007C4D65">
        <w:rPr>
          <w:rFonts w:asciiTheme="minorHAnsi" w:hAnsiTheme="minorHAnsi" w:cstheme="minorHAnsi"/>
          <w:sz w:val="22"/>
        </w:rPr>
        <w:t>he Environmental Strategy has been</w:t>
      </w:r>
      <w:r w:rsidRPr="007C4D65">
        <w:rPr>
          <w:rFonts w:asciiTheme="minorHAnsi" w:hAnsiTheme="minorHAnsi" w:cstheme="minorHAnsi"/>
          <w:sz w:val="22"/>
        </w:rPr>
        <w:t xml:space="preserve"> worked out</w:t>
      </w:r>
      <w:r w:rsidR="00BB28BC" w:rsidRPr="007C4D65">
        <w:rPr>
          <w:rFonts w:asciiTheme="minorHAnsi" w:hAnsiTheme="minorHAnsi" w:cstheme="minorHAnsi"/>
          <w:sz w:val="22"/>
        </w:rPr>
        <w:t xml:space="preserve"> in compliance with the principles </w:t>
      </w:r>
      <w:r w:rsidR="00E87DA4" w:rsidRPr="007C4D65">
        <w:rPr>
          <w:rFonts w:asciiTheme="minorHAnsi" w:hAnsiTheme="minorHAnsi" w:cstheme="minorHAnsi"/>
          <w:sz w:val="22"/>
        </w:rPr>
        <w:t>laid</w:t>
      </w:r>
      <w:r w:rsidR="00BB28BC" w:rsidRPr="007C4D65">
        <w:rPr>
          <w:rFonts w:asciiTheme="minorHAnsi" w:hAnsiTheme="minorHAnsi" w:cstheme="minorHAnsi"/>
          <w:sz w:val="22"/>
        </w:rPr>
        <w:t xml:space="preserve"> down in the entity’s legislation and environmental documents. The present Strategy also includes a new component which </w:t>
      </w:r>
      <w:r w:rsidR="00E87DA4" w:rsidRPr="007C4D65">
        <w:rPr>
          <w:rFonts w:asciiTheme="minorHAnsi" w:hAnsiTheme="minorHAnsi" w:cstheme="minorHAnsi"/>
          <w:sz w:val="22"/>
        </w:rPr>
        <w:t>covers</w:t>
      </w:r>
      <w:r w:rsidR="00BB28BC" w:rsidRPr="007C4D65">
        <w:rPr>
          <w:rFonts w:asciiTheme="minorHAnsi" w:hAnsiTheme="minorHAnsi" w:cstheme="minorHAnsi"/>
          <w:sz w:val="22"/>
        </w:rPr>
        <w:t xml:space="preserve"> interlinkages of environmental issues and gender equality, social equity, and poverty. The Strategy identifies key priority </w:t>
      </w:r>
      <w:proofErr w:type="gramStart"/>
      <w:r w:rsidR="00BB28BC" w:rsidRPr="007C4D65">
        <w:rPr>
          <w:rFonts w:asciiTheme="minorHAnsi" w:hAnsiTheme="minorHAnsi" w:cstheme="minorHAnsi"/>
          <w:sz w:val="22"/>
        </w:rPr>
        <w:t xml:space="preserve">actions, </w:t>
      </w:r>
      <w:r w:rsidR="004A7248" w:rsidRPr="007C4D65">
        <w:rPr>
          <w:rFonts w:asciiTheme="minorHAnsi" w:hAnsiTheme="minorHAnsi" w:cstheme="minorHAnsi"/>
          <w:sz w:val="22"/>
        </w:rPr>
        <w:t>and</w:t>
      </w:r>
      <w:proofErr w:type="gramEnd"/>
      <w:r w:rsidR="00BB28BC" w:rsidRPr="007C4D65">
        <w:rPr>
          <w:rFonts w:asciiTheme="minorHAnsi" w:hAnsiTheme="minorHAnsi" w:cstheme="minorHAnsi"/>
          <w:sz w:val="22"/>
        </w:rPr>
        <w:t xml:space="preserve"> </w:t>
      </w:r>
      <w:r w:rsidR="00E91024" w:rsidRPr="007C4D65">
        <w:rPr>
          <w:rFonts w:asciiTheme="minorHAnsi" w:hAnsiTheme="minorHAnsi" w:cstheme="minorHAnsi"/>
          <w:sz w:val="22"/>
        </w:rPr>
        <w:t xml:space="preserve">defines funding needs </w:t>
      </w:r>
      <w:r w:rsidR="00D137D5" w:rsidRPr="007C4D65">
        <w:rPr>
          <w:rFonts w:asciiTheme="minorHAnsi" w:hAnsiTheme="minorHAnsi" w:cstheme="minorHAnsi"/>
          <w:sz w:val="22"/>
        </w:rPr>
        <w:t>which ma</w:t>
      </w:r>
      <w:r w:rsidR="00D137D5" w:rsidRPr="007C4D65">
        <w:rPr>
          <w:rFonts w:asciiTheme="minorHAnsi" w:hAnsiTheme="minorHAnsi" w:cstheme="minorHAnsi"/>
          <w:sz w:val="22"/>
          <w:lang w:val="bs-Latn-BA"/>
        </w:rPr>
        <w:t xml:space="preserve">y </w:t>
      </w:r>
      <w:r w:rsidR="00D137D5" w:rsidRPr="009E313F">
        <w:rPr>
          <w:rFonts w:asciiTheme="minorHAnsi" w:hAnsiTheme="minorHAnsi" w:cstheme="minorHAnsi"/>
          <w:sz w:val="22"/>
        </w:rPr>
        <w:t>come</w:t>
      </w:r>
      <w:r w:rsidR="00D137D5" w:rsidRPr="007C4D65">
        <w:rPr>
          <w:rFonts w:asciiTheme="minorHAnsi" w:hAnsiTheme="minorHAnsi" w:cstheme="minorHAnsi"/>
          <w:sz w:val="22"/>
          <w:lang w:val="bs-Latn-BA"/>
        </w:rPr>
        <w:t xml:space="preserve"> </w:t>
      </w:r>
      <w:r w:rsidR="00E91024" w:rsidRPr="007C4D65">
        <w:rPr>
          <w:rFonts w:asciiTheme="minorHAnsi" w:hAnsiTheme="minorHAnsi" w:cstheme="minorHAnsi"/>
          <w:sz w:val="22"/>
        </w:rPr>
        <w:t xml:space="preserve">from </w:t>
      </w:r>
      <w:r w:rsidR="00BB28BC" w:rsidRPr="007C4D65">
        <w:rPr>
          <w:rFonts w:asciiTheme="minorHAnsi" w:hAnsiTheme="minorHAnsi" w:cstheme="minorHAnsi"/>
          <w:sz w:val="22"/>
        </w:rPr>
        <w:t xml:space="preserve">both national and international </w:t>
      </w:r>
      <w:r w:rsidR="00E91024" w:rsidRPr="007C4D65">
        <w:rPr>
          <w:rFonts w:asciiTheme="minorHAnsi" w:hAnsiTheme="minorHAnsi" w:cstheme="minorHAnsi"/>
          <w:sz w:val="22"/>
        </w:rPr>
        <w:t>sources</w:t>
      </w:r>
      <w:r w:rsidR="00BB28BC" w:rsidRPr="007C4D65">
        <w:rPr>
          <w:rFonts w:asciiTheme="minorHAnsi" w:hAnsiTheme="minorHAnsi" w:cstheme="minorHAnsi"/>
          <w:sz w:val="22"/>
        </w:rPr>
        <w:t xml:space="preserve"> </w:t>
      </w:r>
      <w:r w:rsidR="004A7248" w:rsidRPr="007C4D65">
        <w:rPr>
          <w:rFonts w:asciiTheme="minorHAnsi" w:hAnsiTheme="minorHAnsi" w:cstheme="minorHAnsi"/>
          <w:sz w:val="22"/>
        </w:rPr>
        <w:t>for</w:t>
      </w:r>
      <w:r w:rsidR="00BB28BC" w:rsidRPr="007C4D65">
        <w:rPr>
          <w:rFonts w:asciiTheme="minorHAnsi" w:hAnsiTheme="minorHAnsi" w:cstheme="minorHAnsi"/>
          <w:sz w:val="22"/>
        </w:rPr>
        <w:t xml:space="preserve"> specific measures for improvement of the </w:t>
      </w:r>
      <w:r w:rsidR="004A7248" w:rsidRPr="007C4D65">
        <w:rPr>
          <w:rFonts w:asciiTheme="minorHAnsi" w:hAnsiTheme="minorHAnsi" w:cstheme="minorHAnsi"/>
          <w:sz w:val="22"/>
        </w:rPr>
        <w:t>state of environment</w:t>
      </w:r>
      <w:r w:rsidR="00BB28BC" w:rsidRPr="007C4D65">
        <w:rPr>
          <w:rFonts w:asciiTheme="minorHAnsi" w:hAnsiTheme="minorHAnsi" w:cstheme="minorHAnsi"/>
          <w:sz w:val="22"/>
        </w:rPr>
        <w:t xml:space="preserve">, </w:t>
      </w:r>
      <w:r w:rsidR="004A7248" w:rsidRPr="007C4D65">
        <w:rPr>
          <w:rFonts w:asciiTheme="minorHAnsi" w:hAnsiTheme="minorHAnsi" w:cstheme="minorHAnsi"/>
          <w:sz w:val="22"/>
        </w:rPr>
        <w:t>facilitating a</w:t>
      </w:r>
      <w:r w:rsidR="00BB28BC" w:rsidRPr="007C4D65">
        <w:rPr>
          <w:rFonts w:asciiTheme="minorHAnsi" w:hAnsiTheme="minorHAnsi" w:cstheme="minorHAnsi"/>
          <w:sz w:val="22"/>
        </w:rPr>
        <w:t xml:space="preserve"> harmonised implementation of the </w:t>
      </w:r>
      <w:r w:rsidR="00E87DA4" w:rsidRPr="007C4D65">
        <w:rPr>
          <w:rFonts w:asciiTheme="minorHAnsi" w:hAnsiTheme="minorHAnsi" w:cstheme="minorHAnsi"/>
          <w:sz w:val="22"/>
        </w:rPr>
        <w:t>European</w:t>
      </w:r>
      <w:r w:rsidR="00BB28BC" w:rsidRPr="007C4D65">
        <w:rPr>
          <w:rFonts w:asciiTheme="minorHAnsi" w:hAnsiTheme="minorHAnsi" w:cstheme="minorHAnsi"/>
          <w:sz w:val="22"/>
        </w:rPr>
        <w:t xml:space="preserve"> Union environmental acquis, and supporting a more coherent and efficient management of the environmental sector in the Federation of BiH. </w:t>
      </w:r>
      <w:r w:rsidRPr="007C4D65">
        <w:rPr>
          <w:rFonts w:asciiTheme="minorHAnsi" w:hAnsiTheme="minorHAnsi" w:cstheme="minorHAnsi"/>
          <w:sz w:val="22"/>
        </w:rPr>
        <w:t>This strategic document will also be</w:t>
      </w:r>
      <w:r w:rsidR="00BB28BC" w:rsidRPr="007C4D65">
        <w:rPr>
          <w:rFonts w:asciiTheme="minorHAnsi" w:hAnsiTheme="minorHAnsi" w:cstheme="minorHAnsi"/>
          <w:sz w:val="22"/>
        </w:rPr>
        <w:t xml:space="preserve"> </w:t>
      </w:r>
      <w:proofErr w:type="gramStart"/>
      <w:r w:rsidR="00BB28BC" w:rsidRPr="007C4D65">
        <w:rPr>
          <w:rFonts w:asciiTheme="minorHAnsi" w:hAnsiTheme="minorHAnsi" w:cstheme="minorHAnsi"/>
          <w:sz w:val="22"/>
        </w:rPr>
        <w:t>taken into account</w:t>
      </w:r>
      <w:proofErr w:type="gramEnd"/>
      <w:r w:rsidR="00BB28BC" w:rsidRPr="007C4D65">
        <w:rPr>
          <w:rFonts w:asciiTheme="minorHAnsi" w:hAnsiTheme="minorHAnsi" w:cstheme="minorHAnsi"/>
          <w:sz w:val="22"/>
        </w:rPr>
        <w:t xml:space="preserve"> </w:t>
      </w:r>
      <w:r w:rsidRPr="007C4D65">
        <w:rPr>
          <w:rFonts w:asciiTheme="minorHAnsi" w:hAnsiTheme="minorHAnsi" w:cstheme="minorHAnsi"/>
          <w:sz w:val="22"/>
        </w:rPr>
        <w:t>in the preparation of</w:t>
      </w:r>
      <w:r w:rsidR="00BB28BC" w:rsidRPr="007C4D65">
        <w:rPr>
          <w:rFonts w:asciiTheme="minorHAnsi" w:hAnsiTheme="minorHAnsi" w:cstheme="minorHAnsi"/>
          <w:sz w:val="22"/>
        </w:rPr>
        <w:t xml:space="preserve"> operational plans of the </w:t>
      </w:r>
      <w:r w:rsidRPr="007C4D65">
        <w:rPr>
          <w:rFonts w:asciiTheme="minorHAnsi" w:hAnsiTheme="minorHAnsi" w:cstheme="minorHAnsi"/>
          <w:sz w:val="22"/>
        </w:rPr>
        <w:t>relevant</w:t>
      </w:r>
      <w:r w:rsidR="00BB28BC" w:rsidRPr="007C4D65">
        <w:rPr>
          <w:rFonts w:asciiTheme="minorHAnsi" w:hAnsiTheme="minorHAnsi" w:cstheme="minorHAnsi"/>
          <w:sz w:val="22"/>
        </w:rPr>
        <w:t xml:space="preserve"> government authorities, </w:t>
      </w:r>
      <w:r w:rsidRPr="007C4D65">
        <w:rPr>
          <w:rFonts w:asciiTheme="minorHAnsi" w:hAnsiTheme="minorHAnsi" w:cstheme="minorHAnsi"/>
          <w:sz w:val="22"/>
        </w:rPr>
        <w:t>as well as</w:t>
      </w:r>
      <w:r w:rsidR="00BB28BC" w:rsidRPr="007C4D65">
        <w:rPr>
          <w:rFonts w:asciiTheme="minorHAnsi" w:hAnsiTheme="minorHAnsi" w:cstheme="minorHAnsi"/>
          <w:sz w:val="22"/>
        </w:rPr>
        <w:t xml:space="preserve"> </w:t>
      </w:r>
      <w:r w:rsidR="00D137D5" w:rsidRPr="007C4D65">
        <w:rPr>
          <w:rFonts w:asciiTheme="minorHAnsi" w:hAnsiTheme="minorHAnsi" w:cstheme="minorHAnsi"/>
          <w:sz w:val="22"/>
        </w:rPr>
        <w:t>in the preparation of the</w:t>
      </w:r>
      <w:r w:rsidR="00BB28BC" w:rsidRPr="007C4D65">
        <w:rPr>
          <w:rFonts w:asciiTheme="minorHAnsi" w:hAnsiTheme="minorHAnsi" w:cstheme="minorHAnsi"/>
          <w:sz w:val="22"/>
        </w:rPr>
        <w:t xml:space="preserve"> Framework Budget Document (FBD) and the annual budget</w:t>
      </w:r>
      <w:r w:rsidR="00D137D5" w:rsidRPr="007C4D65">
        <w:rPr>
          <w:rFonts w:asciiTheme="minorHAnsi" w:hAnsiTheme="minorHAnsi" w:cstheme="minorHAnsi"/>
          <w:sz w:val="22"/>
        </w:rPr>
        <w:t xml:space="preserve"> of the Federation of BiH</w:t>
      </w:r>
      <w:r w:rsidR="00BB28BC" w:rsidRPr="007C4D65">
        <w:rPr>
          <w:rFonts w:asciiTheme="minorHAnsi" w:hAnsiTheme="minorHAnsi" w:cstheme="minorHAnsi"/>
          <w:sz w:val="22"/>
        </w:rPr>
        <w:t>.</w:t>
      </w:r>
    </w:p>
    <w:p w14:paraId="0F31E52C" w14:textId="77777777" w:rsidR="001D5535" w:rsidRPr="007C4D65" w:rsidRDefault="001D5535" w:rsidP="0068355A">
      <w:pPr>
        <w:spacing w:line="276" w:lineRule="auto"/>
        <w:rPr>
          <w:rFonts w:asciiTheme="minorHAnsi" w:eastAsia="Calibri" w:hAnsiTheme="minorHAnsi" w:cstheme="minorHAnsi"/>
          <w:color w:val="000000"/>
        </w:rPr>
      </w:pPr>
      <w:r w:rsidRPr="007C4D65">
        <w:rPr>
          <w:rFonts w:asciiTheme="minorHAnsi" w:hAnsiTheme="minorHAnsi" w:cstheme="minorHAnsi"/>
        </w:rPr>
        <w:br w:type="page"/>
      </w:r>
    </w:p>
    <w:p w14:paraId="08317977" w14:textId="77777777" w:rsidR="00FF6EBD" w:rsidRPr="007C4D65" w:rsidRDefault="00FF6EBD">
      <w:pPr>
        <w:keepNext/>
        <w:keepLines/>
        <w:numPr>
          <w:ilvl w:val="0"/>
          <w:numId w:val="34"/>
        </w:numPr>
        <w:spacing w:after="240" w:line="276" w:lineRule="auto"/>
        <w:outlineLvl w:val="0"/>
        <w:rPr>
          <w:rFonts w:asciiTheme="minorHAnsi" w:eastAsiaTheme="majorEastAsia" w:hAnsiTheme="minorHAnsi" w:cstheme="minorHAnsi"/>
          <w:b/>
          <w:color w:val="00694D"/>
          <w:sz w:val="32"/>
          <w:szCs w:val="32"/>
        </w:rPr>
      </w:pPr>
      <w:bookmarkStart w:id="5" w:name="_Toc98152391"/>
      <w:bookmarkStart w:id="6" w:name="_Toc117445321"/>
      <w:r w:rsidRPr="007C4D65">
        <w:rPr>
          <w:rFonts w:asciiTheme="minorHAnsi" w:hAnsiTheme="minorHAnsi" w:cstheme="minorHAnsi"/>
          <w:b/>
          <w:color w:val="00694D"/>
          <w:sz w:val="32"/>
        </w:rPr>
        <w:lastRenderedPageBreak/>
        <w:t>METHODOLOGY OF STRATEGY DEVELOPMENT</w:t>
      </w:r>
      <w:bookmarkEnd w:id="5"/>
      <w:bookmarkEnd w:id="6"/>
    </w:p>
    <w:p w14:paraId="6D0D91B6" w14:textId="5F1D37B6" w:rsidR="004F46E2" w:rsidRPr="007C4D65" w:rsidRDefault="004F46E2"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color w:val="000000" w:themeColor="text1"/>
          <w:sz w:val="22"/>
          <w:szCs w:val="22"/>
        </w:rPr>
        <w:t xml:space="preserve">Given </w:t>
      </w:r>
      <w:r w:rsidR="00137030" w:rsidRPr="007C4D65">
        <w:rPr>
          <w:rFonts w:asciiTheme="minorHAnsi" w:hAnsiTheme="minorHAnsi" w:cstheme="minorHAnsi"/>
          <w:color w:val="000000" w:themeColor="text1"/>
          <w:sz w:val="22"/>
          <w:szCs w:val="22"/>
        </w:rPr>
        <w:t>a</w:t>
      </w:r>
      <w:r w:rsidRPr="007C4D65">
        <w:rPr>
          <w:rFonts w:asciiTheme="minorHAnsi" w:hAnsiTheme="minorHAnsi" w:cstheme="minorHAnsi"/>
          <w:color w:val="000000" w:themeColor="text1"/>
          <w:sz w:val="22"/>
          <w:szCs w:val="22"/>
        </w:rPr>
        <w:t xml:space="preserve"> broad range of </w:t>
      </w:r>
      <w:r w:rsidR="00A47848" w:rsidRPr="007C4D65">
        <w:rPr>
          <w:rFonts w:asciiTheme="minorHAnsi" w:hAnsiTheme="minorHAnsi" w:cstheme="minorHAnsi"/>
          <w:color w:val="000000" w:themeColor="text1"/>
          <w:sz w:val="22"/>
          <w:szCs w:val="22"/>
        </w:rPr>
        <w:t>topics</w:t>
      </w:r>
      <w:r w:rsidRPr="007C4D65">
        <w:rPr>
          <w:rFonts w:asciiTheme="minorHAnsi" w:hAnsiTheme="minorHAnsi" w:cstheme="minorHAnsi"/>
          <w:color w:val="000000" w:themeColor="text1"/>
          <w:sz w:val="22"/>
          <w:szCs w:val="22"/>
        </w:rPr>
        <w:t xml:space="preserve"> and issues that need to be addressed, the methodology </w:t>
      </w:r>
      <w:r w:rsidR="00137030" w:rsidRPr="007C4D65">
        <w:rPr>
          <w:rFonts w:asciiTheme="minorHAnsi" w:hAnsiTheme="minorHAnsi" w:cstheme="minorHAnsi"/>
          <w:color w:val="000000" w:themeColor="text1"/>
          <w:sz w:val="22"/>
          <w:szCs w:val="22"/>
        </w:rPr>
        <w:t>used in the</w:t>
      </w:r>
      <w:r w:rsidRPr="007C4D65">
        <w:rPr>
          <w:rFonts w:asciiTheme="minorHAnsi" w:hAnsiTheme="minorHAnsi" w:cstheme="minorHAnsi"/>
          <w:color w:val="000000" w:themeColor="text1"/>
          <w:sz w:val="22"/>
          <w:szCs w:val="22"/>
        </w:rPr>
        <w:t xml:space="preserve"> development of the Environmental Strategy of the Federation</w:t>
      </w:r>
      <w:r w:rsidR="00D137D5" w:rsidRPr="007C4D65">
        <w:rPr>
          <w:rFonts w:asciiTheme="minorHAnsi" w:hAnsiTheme="minorHAnsi" w:cstheme="minorHAnsi"/>
          <w:color w:val="000000" w:themeColor="text1"/>
          <w:sz w:val="22"/>
          <w:szCs w:val="22"/>
        </w:rPr>
        <w:t xml:space="preserve"> of BiH</w:t>
      </w:r>
      <w:r w:rsidRPr="007C4D65">
        <w:rPr>
          <w:rFonts w:asciiTheme="minorHAnsi" w:hAnsiTheme="minorHAnsi" w:cstheme="minorHAnsi"/>
          <w:color w:val="000000" w:themeColor="text1"/>
          <w:sz w:val="22"/>
          <w:szCs w:val="22"/>
        </w:rPr>
        <w:t xml:space="preserve"> </w:t>
      </w:r>
      <w:r w:rsidR="00A47848" w:rsidRPr="007C4D65">
        <w:rPr>
          <w:rFonts w:asciiTheme="minorHAnsi" w:hAnsiTheme="minorHAnsi" w:cstheme="minorHAnsi"/>
          <w:color w:val="000000" w:themeColor="text1"/>
          <w:sz w:val="22"/>
          <w:szCs w:val="22"/>
        </w:rPr>
        <w:t>included various</w:t>
      </w:r>
      <w:r w:rsidR="00137030" w:rsidRPr="007C4D65">
        <w:rPr>
          <w:rFonts w:asciiTheme="minorHAnsi" w:hAnsiTheme="minorHAnsi" w:cstheme="minorHAnsi"/>
          <w:color w:val="000000" w:themeColor="text1"/>
          <w:sz w:val="22"/>
          <w:szCs w:val="22"/>
        </w:rPr>
        <w:t xml:space="preserve"> activities</w:t>
      </w:r>
      <w:r w:rsidRPr="007C4D65">
        <w:rPr>
          <w:rFonts w:asciiTheme="minorHAnsi" w:hAnsiTheme="minorHAnsi" w:cstheme="minorHAnsi"/>
          <w:color w:val="000000" w:themeColor="text1"/>
          <w:sz w:val="22"/>
          <w:szCs w:val="22"/>
        </w:rPr>
        <w:t xml:space="preserve">, stakeholders, information, and data. </w:t>
      </w:r>
      <w:r w:rsidR="002D6CE0" w:rsidRPr="007C4D65">
        <w:rPr>
          <w:rFonts w:asciiTheme="minorHAnsi" w:hAnsiTheme="minorHAnsi" w:cstheme="minorHAnsi"/>
          <w:color w:val="000000" w:themeColor="text1"/>
          <w:sz w:val="22"/>
          <w:szCs w:val="22"/>
        </w:rPr>
        <w:t>The preparation of t</w:t>
      </w:r>
      <w:r w:rsidRPr="007C4D65">
        <w:rPr>
          <w:rFonts w:asciiTheme="minorHAnsi" w:hAnsiTheme="minorHAnsi" w:cstheme="minorHAnsi"/>
          <w:color w:val="000000" w:themeColor="text1"/>
          <w:sz w:val="22"/>
          <w:szCs w:val="22"/>
        </w:rPr>
        <w:t>his document relied on a</w:t>
      </w:r>
      <w:r w:rsidR="00E87DA4" w:rsidRPr="007C4D65">
        <w:rPr>
          <w:rFonts w:asciiTheme="minorHAnsi" w:hAnsiTheme="minorHAnsi" w:cstheme="minorHAnsi"/>
          <w:color w:val="000000" w:themeColor="text1"/>
          <w:sz w:val="22"/>
          <w:szCs w:val="22"/>
        </w:rPr>
        <w:t xml:space="preserve"> desk </w:t>
      </w:r>
      <w:r w:rsidRPr="007C4D65">
        <w:rPr>
          <w:rFonts w:asciiTheme="minorHAnsi" w:hAnsiTheme="minorHAnsi" w:cstheme="minorHAnsi"/>
          <w:color w:val="000000" w:themeColor="text1"/>
          <w:sz w:val="22"/>
          <w:szCs w:val="22"/>
        </w:rPr>
        <w:t xml:space="preserve">review of relevant documents, laws and regulations, as well as multiple activities. </w:t>
      </w:r>
      <w:bookmarkStart w:id="7" w:name="_Hlk99974005"/>
      <w:r w:rsidR="003D77EB" w:rsidRPr="007C4D65">
        <w:rPr>
          <w:rFonts w:asciiTheme="minorHAnsi" w:hAnsiTheme="minorHAnsi" w:cstheme="minorHAnsi"/>
          <w:color w:val="000000" w:themeColor="text1"/>
          <w:sz w:val="22"/>
          <w:szCs w:val="22"/>
        </w:rPr>
        <w:t>A</w:t>
      </w:r>
      <w:r w:rsidRPr="007C4D65">
        <w:rPr>
          <w:rFonts w:asciiTheme="minorHAnsi" w:hAnsiTheme="minorHAnsi" w:cstheme="minorHAnsi"/>
          <w:color w:val="000000" w:themeColor="text1"/>
          <w:sz w:val="22"/>
          <w:szCs w:val="22"/>
        </w:rPr>
        <w:t xml:space="preserve"> participatory approach</w:t>
      </w:r>
      <w:r w:rsidR="003D77EB" w:rsidRPr="007C4D65">
        <w:rPr>
          <w:rFonts w:asciiTheme="minorHAnsi" w:hAnsiTheme="minorHAnsi" w:cstheme="minorHAnsi"/>
          <w:color w:val="000000" w:themeColor="text1"/>
          <w:sz w:val="22"/>
          <w:szCs w:val="22"/>
        </w:rPr>
        <w:t xml:space="preserve"> was used throughout the development of the Strategy</w:t>
      </w:r>
      <w:r w:rsidRPr="007C4D65">
        <w:rPr>
          <w:rFonts w:asciiTheme="minorHAnsi" w:hAnsiTheme="minorHAnsi" w:cstheme="minorHAnsi"/>
          <w:color w:val="000000" w:themeColor="text1"/>
          <w:sz w:val="22"/>
          <w:szCs w:val="22"/>
        </w:rPr>
        <w:t xml:space="preserve">, while individual elements of the Strategy were </w:t>
      </w:r>
      <w:r w:rsidR="002D6CE0" w:rsidRPr="007C4D65">
        <w:rPr>
          <w:rFonts w:asciiTheme="minorHAnsi" w:hAnsiTheme="minorHAnsi" w:cstheme="minorHAnsi"/>
          <w:color w:val="000000" w:themeColor="text1"/>
          <w:sz w:val="22"/>
          <w:szCs w:val="22"/>
        </w:rPr>
        <w:t>formulated</w:t>
      </w:r>
      <w:r w:rsidRPr="007C4D65">
        <w:rPr>
          <w:rFonts w:asciiTheme="minorHAnsi" w:hAnsiTheme="minorHAnsi" w:cstheme="minorHAnsi"/>
          <w:color w:val="000000" w:themeColor="text1"/>
          <w:sz w:val="22"/>
          <w:szCs w:val="22"/>
        </w:rPr>
        <w:t xml:space="preserve"> applying the vertical principle </w:t>
      </w:r>
      <w:proofErr w:type="gramStart"/>
      <w:r w:rsidRPr="007C4D65">
        <w:rPr>
          <w:rFonts w:asciiTheme="minorHAnsi" w:hAnsiTheme="minorHAnsi" w:cstheme="minorHAnsi"/>
          <w:color w:val="000000" w:themeColor="text1"/>
          <w:sz w:val="22"/>
          <w:szCs w:val="22"/>
        </w:rPr>
        <w:t>in order to</w:t>
      </w:r>
      <w:proofErr w:type="gramEnd"/>
      <w:r w:rsidRPr="007C4D65">
        <w:rPr>
          <w:rFonts w:asciiTheme="minorHAnsi" w:hAnsiTheme="minorHAnsi" w:cstheme="minorHAnsi"/>
          <w:color w:val="000000" w:themeColor="text1"/>
          <w:sz w:val="22"/>
          <w:szCs w:val="22"/>
        </w:rPr>
        <w:t xml:space="preserve"> take into account </w:t>
      </w:r>
      <w:r w:rsidR="003D77EB" w:rsidRPr="007C4D65">
        <w:rPr>
          <w:rFonts w:asciiTheme="minorHAnsi" w:hAnsiTheme="minorHAnsi" w:cstheme="minorHAnsi"/>
          <w:color w:val="000000" w:themeColor="text1"/>
          <w:sz w:val="22"/>
          <w:szCs w:val="22"/>
        </w:rPr>
        <w:t>inputs</w:t>
      </w:r>
      <w:r w:rsidRPr="007C4D65">
        <w:rPr>
          <w:rFonts w:asciiTheme="minorHAnsi" w:hAnsiTheme="minorHAnsi" w:cstheme="minorHAnsi"/>
          <w:color w:val="000000" w:themeColor="text1"/>
          <w:sz w:val="22"/>
          <w:szCs w:val="22"/>
        </w:rPr>
        <w:t xml:space="preserve"> of all the stakeholders involved. The development of the Strategy involved the use of different data collection and processing</w:t>
      </w:r>
      <w:r w:rsidR="003D77EB" w:rsidRPr="007C4D65">
        <w:rPr>
          <w:rFonts w:asciiTheme="minorHAnsi" w:hAnsiTheme="minorHAnsi" w:cstheme="minorHAnsi"/>
          <w:color w:val="000000" w:themeColor="text1"/>
          <w:sz w:val="22"/>
          <w:szCs w:val="22"/>
        </w:rPr>
        <w:t xml:space="preserve"> </w:t>
      </w:r>
      <w:proofErr w:type="gramStart"/>
      <w:r w:rsidR="003D77EB" w:rsidRPr="007C4D65">
        <w:rPr>
          <w:rFonts w:asciiTheme="minorHAnsi" w:hAnsiTheme="minorHAnsi" w:cstheme="minorHAnsi"/>
          <w:color w:val="000000" w:themeColor="text1"/>
          <w:sz w:val="22"/>
          <w:szCs w:val="22"/>
        </w:rPr>
        <w:t>techniques</w:t>
      </w:r>
      <w:r w:rsidRPr="007C4D65">
        <w:rPr>
          <w:rFonts w:asciiTheme="minorHAnsi" w:hAnsiTheme="minorHAnsi" w:cstheme="minorHAnsi"/>
          <w:color w:val="000000" w:themeColor="text1"/>
          <w:sz w:val="22"/>
          <w:szCs w:val="22"/>
        </w:rPr>
        <w:t>, and</w:t>
      </w:r>
      <w:proofErr w:type="gramEnd"/>
      <w:r w:rsidRPr="007C4D65">
        <w:rPr>
          <w:rFonts w:asciiTheme="minorHAnsi" w:hAnsiTheme="minorHAnsi" w:cstheme="minorHAnsi"/>
          <w:color w:val="000000" w:themeColor="text1"/>
          <w:sz w:val="22"/>
          <w:szCs w:val="22"/>
        </w:rPr>
        <w:t xml:space="preserve"> ensured transparency throughout the preparation and </w:t>
      </w:r>
      <w:r w:rsidR="002D6CE0" w:rsidRPr="007C4D65">
        <w:rPr>
          <w:rFonts w:asciiTheme="minorHAnsi" w:hAnsiTheme="minorHAnsi" w:cstheme="minorHAnsi"/>
          <w:color w:val="000000" w:themeColor="text1"/>
          <w:sz w:val="22"/>
          <w:szCs w:val="22"/>
        </w:rPr>
        <w:t>endorsement</w:t>
      </w:r>
      <w:r w:rsidRPr="007C4D65">
        <w:rPr>
          <w:rFonts w:asciiTheme="minorHAnsi" w:hAnsiTheme="minorHAnsi" w:cstheme="minorHAnsi"/>
          <w:color w:val="000000" w:themeColor="text1"/>
          <w:sz w:val="22"/>
          <w:szCs w:val="22"/>
        </w:rPr>
        <w:t xml:space="preserve"> of </w:t>
      </w:r>
      <w:r w:rsidR="003D77EB" w:rsidRPr="007C4D65">
        <w:rPr>
          <w:rFonts w:asciiTheme="minorHAnsi" w:hAnsiTheme="minorHAnsi" w:cstheme="minorHAnsi"/>
          <w:color w:val="000000" w:themeColor="text1"/>
          <w:sz w:val="22"/>
          <w:szCs w:val="22"/>
        </w:rPr>
        <w:t>its</w:t>
      </w:r>
      <w:r w:rsidRPr="007C4D65">
        <w:rPr>
          <w:rFonts w:asciiTheme="minorHAnsi" w:hAnsiTheme="minorHAnsi" w:cstheme="minorHAnsi"/>
          <w:color w:val="000000" w:themeColor="text1"/>
          <w:sz w:val="22"/>
          <w:szCs w:val="22"/>
        </w:rPr>
        <w:t xml:space="preserve"> key elements. </w:t>
      </w:r>
      <w:bookmarkEnd w:id="7"/>
      <w:r w:rsidR="00D137D5" w:rsidRPr="007C4D65">
        <w:rPr>
          <w:rFonts w:asciiTheme="minorHAnsi" w:hAnsiTheme="minorHAnsi" w:cstheme="minorHAnsi"/>
          <w:sz w:val="22"/>
          <w:szCs w:val="22"/>
        </w:rPr>
        <w:t>It</w:t>
      </w:r>
      <w:r w:rsidRPr="007C4D65">
        <w:rPr>
          <w:rFonts w:asciiTheme="minorHAnsi" w:hAnsiTheme="minorHAnsi" w:cstheme="minorHAnsi"/>
          <w:sz w:val="22"/>
          <w:szCs w:val="22"/>
        </w:rPr>
        <w:t xml:space="preserve"> mainly relied on </w:t>
      </w:r>
      <w:r w:rsidRPr="007C4D65">
        <w:rPr>
          <w:rFonts w:asciiTheme="minorHAnsi" w:hAnsiTheme="minorHAnsi" w:cstheme="minorHAnsi"/>
          <w:color w:val="000000" w:themeColor="text1"/>
          <w:sz w:val="22"/>
          <w:szCs w:val="22"/>
        </w:rPr>
        <w:t xml:space="preserve">the Law on Development Planning and Management in the Federation of BiH </w:t>
      </w:r>
      <w:r w:rsidR="0012660E" w:rsidRPr="007C4D65">
        <w:rPr>
          <w:rFonts w:asciiTheme="minorHAnsi" w:hAnsiTheme="minorHAnsi" w:cstheme="minorHAnsi"/>
          <w:color w:val="000000" w:themeColor="text1"/>
          <w:sz w:val="22"/>
          <w:szCs w:val="22"/>
        </w:rPr>
        <w:fldChar w:fldCharType="begin"/>
      </w:r>
      <w:r w:rsidR="00CE1A95" w:rsidRPr="007C4D65">
        <w:rPr>
          <w:rFonts w:asciiTheme="minorHAnsi" w:hAnsiTheme="minorHAnsi" w:cstheme="minorHAnsi"/>
          <w:color w:val="000000" w:themeColor="text1"/>
          <w:sz w:val="22"/>
          <w:szCs w:val="22"/>
        </w:rPr>
        <w:instrText xml:space="preserve"> ADDIN ZOTERO_ITEM CSL_CITATION {"citationID":"L3gv8Qcx","properties":{"formattedCitation":"(Sl. glasnik FBiH, br. 32/21 n.d.)","plainCitation":"(Sl. glasnik FBiH, br. 32/21 n.d.)","dontUpdate":true,"noteIndex":0},"citationItems":[{"id":1312,"uris":["http://zotero.org/users/7192877/items/VGBVDA62"],"itemData":{"id":1312,"type":"legislation","title":"Zakon o razvojnom planiranju i upravljanju razvojem u Federacije BiH","URL":"http://extwprlegs1.fao.org/docs/pdf/bih179972.pdf","author":[{"family":"\"Sl. novine Federacije BiH\", broj 32/21","given":""}],"issued":{"date-parts":[["2021"]]}}}],"schema":"https://github.com/citation-style-language/schema/raw/master/csl-citation.json"} </w:instrText>
      </w:r>
      <w:r w:rsidR="0012660E" w:rsidRPr="007C4D65">
        <w:rPr>
          <w:rFonts w:asciiTheme="minorHAnsi" w:hAnsiTheme="minorHAnsi" w:cstheme="minorHAnsi"/>
          <w:color w:val="000000" w:themeColor="text1"/>
          <w:sz w:val="22"/>
          <w:szCs w:val="22"/>
        </w:rPr>
        <w:fldChar w:fldCharType="separate"/>
      </w:r>
      <w:r w:rsidR="0012660E" w:rsidRPr="007C4D65">
        <w:rPr>
          <w:rFonts w:asciiTheme="minorHAnsi" w:hAnsiTheme="minorHAnsi" w:cstheme="minorHAnsi"/>
          <w:sz w:val="22"/>
          <w:szCs w:val="22"/>
        </w:rPr>
        <w:t>(</w:t>
      </w:r>
      <w:r w:rsidR="00EF6C03" w:rsidRPr="007C4D65">
        <w:rPr>
          <w:rFonts w:asciiTheme="minorHAnsi" w:hAnsiTheme="minorHAnsi" w:cstheme="minorHAnsi"/>
          <w:sz w:val="22"/>
          <w:szCs w:val="22"/>
        </w:rPr>
        <w:t>"</w:t>
      </w:r>
      <w:r w:rsidR="00116A22" w:rsidRPr="007C4D65">
        <w:rPr>
          <w:rFonts w:asciiTheme="minorHAnsi" w:hAnsiTheme="minorHAnsi" w:cstheme="minorHAnsi"/>
          <w:sz w:val="22"/>
          <w:szCs w:val="22"/>
        </w:rPr>
        <w:t xml:space="preserve">Official Gazette of the </w:t>
      </w:r>
      <w:r w:rsidR="007F4BA8" w:rsidRPr="007C4D65">
        <w:rPr>
          <w:rFonts w:asciiTheme="minorHAnsi" w:hAnsiTheme="minorHAnsi" w:cstheme="minorHAnsi"/>
          <w:sz w:val="22"/>
          <w:szCs w:val="22"/>
        </w:rPr>
        <w:t xml:space="preserve">Federation of BiH“, </w:t>
      </w:r>
      <w:r w:rsidR="0012660E" w:rsidRPr="007C4D65">
        <w:rPr>
          <w:rFonts w:asciiTheme="minorHAnsi" w:hAnsiTheme="minorHAnsi" w:cstheme="minorHAnsi"/>
          <w:sz w:val="22"/>
          <w:szCs w:val="22"/>
        </w:rPr>
        <w:t>32/21)</w:t>
      </w:r>
      <w:r w:rsidR="0012660E" w:rsidRPr="007C4D65">
        <w:rPr>
          <w:rFonts w:asciiTheme="minorHAnsi" w:hAnsiTheme="minorHAnsi" w:cstheme="minorHAnsi"/>
          <w:color w:val="000000" w:themeColor="text1"/>
          <w:sz w:val="22"/>
          <w:szCs w:val="22"/>
        </w:rPr>
        <w:fldChar w:fldCharType="end"/>
      </w:r>
      <w:r w:rsidR="00D137D5" w:rsidRPr="007C4D65">
        <w:rPr>
          <w:rFonts w:asciiTheme="minorHAnsi" w:hAnsiTheme="minorHAnsi" w:cstheme="minorHAnsi"/>
          <w:color w:val="000000" w:themeColor="text1"/>
          <w:sz w:val="22"/>
          <w:szCs w:val="22"/>
        </w:rPr>
        <w:t>,</w:t>
      </w:r>
      <w:r w:rsidRPr="007C4D65">
        <w:rPr>
          <w:rFonts w:asciiTheme="minorHAnsi" w:hAnsiTheme="minorHAnsi" w:cstheme="minorHAnsi"/>
          <w:color w:val="000000" w:themeColor="text1"/>
          <w:sz w:val="22"/>
          <w:szCs w:val="22"/>
        </w:rPr>
        <w:t xml:space="preserve"> and the Decree on Development of Strategic Documents in the Federation of BiH </w:t>
      </w:r>
      <w:r w:rsidR="0012660E" w:rsidRPr="007C4D65">
        <w:rPr>
          <w:rFonts w:asciiTheme="minorHAnsi" w:hAnsiTheme="minorHAnsi" w:cstheme="minorHAnsi"/>
          <w:color w:val="000000" w:themeColor="text1"/>
          <w:sz w:val="22"/>
          <w:szCs w:val="22"/>
        </w:rPr>
        <w:fldChar w:fldCharType="begin"/>
      </w:r>
      <w:r w:rsidR="00CE1A95" w:rsidRPr="007C4D65">
        <w:rPr>
          <w:rFonts w:asciiTheme="minorHAnsi" w:hAnsiTheme="minorHAnsi" w:cstheme="minorHAnsi"/>
          <w:color w:val="000000" w:themeColor="text1"/>
          <w:sz w:val="22"/>
          <w:szCs w:val="22"/>
        </w:rPr>
        <w:instrText xml:space="preserve"> ADDIN ZOTERO_ITEM CSL_CITATION {"citationID":"9CKg7fmk","properties":{"formattedCitation":"(Sl. glasnik FBiH, br. 74/19 n.d.)","plainCitation":"(Sl. glasnik FBiH, br. 74/19 n.d.)","dontUpdate":true,"noteIndex":0},"citationItems":[{"id":1313,"uris":["http://zotero.org/users/7192877/items/8IKMQLBX"],"itemData":{"id":1313,"type":"legislation","title":"Uredba o izradi strateških dokumenata u Federaciji BiH","URL":"https://propisi.ks.gov.ba/sites/propisi.ks.gov.ba/files/uredba_o_izradi_strateskih_dokumenata.pdf","author":[{"family":"\"Sl. novine Federacije BiH\", broj 74/19","given":""}]}}],"schema":"https://github.com/citation-style-language/schema/raw/master/csl-citation.json"} </w:instrText>
      </w:r>
      <w:r w:rsidR="0012660E" w:rsidRPr="007C4D65">
        <w:rPr>
          <w:rFonts w:asciiTheme="minorHAnsi" w:hAnsiTheme="minorHAnsi" w:cstheme="minorHAnsi"/>
          <w:color w:val="000000" w:themeColor="text1"/>
          <w:sz w:val="22"/>
          <w:szCs w:val="22"/>
        </w:rPr>
        <w:fldChar w:fldCharType="separate"/>
      </w:r>
      <w:r w:rsidR="0012660E" w:rsidRPr="007C4D65">
        <w:rPr>
          <w:rFonts w:asciiTheme="minorHAnsi" w:hAnsiTheme="minorHAnsi" w:cstheme="minorHAnsi"/>
          <w:sz w:val="22"/>
          <w:szCs w:val="22"/>
        </w:rPr>
        <w:t>(</w:t>
      </w:r>
      <w:r w:rsidR="00CE1A95" w:rsidRPr="007C4D65">
        <w:rPr>
          <w:rFonts w:asciiTheme="minorHAnsi" w:hAnsiTheme="minorHAnsi" w:cstheme="minorHAnsi"/>
          <w:sz w:val="22"/>
          <w:szCs w:val="22"/>
        </w:rPr>
        <w:t>"</w:t>
      </w:r>
      <w:r w:rsidR="00116A22" w:rsidRPr="007C4D65">
        <w:rPr>
          <w:rFonts w:asciiTheme="minorHAnsi" w:hAnsiTheme="minorHAnsi" w:cstheme="minorHAnsi"/>
          <w:sz w:val="22"/>
          <w:szCs w:val="22"/>
        </w:rPr>
        <w:t xml:space="preserve">Official Gazette of the </w:t>
      </w:r>
      <w:r w:rsidR="007F4BA8" w:rsidRPr="007C4D65">
        <w:rPr>
          <w:rFonts w:asciiTheme="minorHAnsi" w:hAnsiTheme="minorHAnsi" w:cstheme="minorHAnsi"/>
          <w:sz w:val="22"/>
          <w:szCs w:val="22"/>
        </w:rPr>
        <w:t xml:space="preserve">Federation of BiH“, </w:t>
      </w:r>
      <w:r w:rsidR="0012660E" w:rsidRPr="007C4D65">
        <w:rPr>
          <w:rFonts w:asciiTheme="minorHAnsi" w:hAnsiTheme="minorHAnsi" w:cstheme="minorHAnsi"/>
          <w:sz w:val="22"/>
          <w:szCs w:val="22"/>
        </w:rPr>
        <w:t>74/19)</w:t>
      </w:r>
      <w:r w:rsidR="0012660E" w:rsidRPr="007C4D65">
        <w:rPr>
          <w:rFonts w:asciiTheme="minorHAnsi" w:hAnsiTheme="minorHAnsi" w:cstheme="minorHAnsi"/>
          <w:color w:val="000000" w:themeColor="text1"/>
          <w:sz w:val="22"/>
          <w:szCs w:val="22"/>
        </w:rPr>
        <w:fldChar w:fldCharType="end"/>
      </w:r>
      <w:r w:rsidRPr="007C4D65">
        <w:rPr>
          <w:rFonts w:asciiTheme="minorHAnsi" w:hAnsiTheme="minorHAnsi" w:cstheme="minorHAnsi"/>
          <w:color w:val="000000" w:themeColor="text1"/>
          <w:sz w:val="22"/>
          <w:szCs w:val="22"/>
        </w:rPr>
        <w:t xml:space="preserve">. Article 20 of </w:t>
      </w:r>
      <w:r w:rsidR="00D137D5" w:rsidRPr="007C4D65">
        <w:rPr>
          <w:rFonts w:asciiTheme="minorHAnsi" w:hAnsiTheme="minorHAnsi" w:cstheme="minorHAnsi"/>
          <w:color w:val="000000" w:themeColor="text1"/>
          <w:sz w:val="22"/>
          <w:szCs w:val="22"/>
        </w:rPr>
        <w:t>this</w:t>
      </w:r>
      <w:r w:rsidRPr="007C4D65">
        <w:rPr>
          <w:rFonts w:asciiTheme="minorHAnsi" w:hAnsiTheme="minorHAnsi" w:cstheme="minorHAnsi"/>
          <w:color w:val="000000" w:themeColor="text1"/>
          <w:sz w:val="22"/>
          <w:szCs w:val="22"/>
        </w:rPr>
        <w:t xml:space="preserve"> Decree</w:t>
      </w:r>
      <w:r w:rsidR="001F1A30" w:rsidRPr="007C4D65">
        <w:rPr>
          <w:rFonts w:asciiTheme="minorHAnsi" w:hAnsiTheme="minorHAnsi" w:cstheme="minorHAnsi"/>
          <w:color w:val="000000" w:themeColor="text1"/>
          <w:sz w:val="22"/>
          <w:szCs w:val="22"/>
        </w:rPr>
        <w:t xml:space="preserve"> </w:t>
      </w:r>
      <w:r w:rsidR="00D137D5" w:rsidRPr="007C4D65">
        <w:rPr>
          <w:rFonts w:asciiTheme="minorHAnsi" w:hAnsiTheme="minorHAnsi" w:cstheme="minorHAnsi"/>
          <w:color w:val="000000" w:themeColor="text1"/>
          <w:sz w:val="22"/>
          <w:szCs w:val="22"/>
        </w:rPr>
        <w:t>defines</w:t>
      </w:r>
      <w:r w:rsidR="001F1A30" w:rsidRPr="007C4D65">
        <w:rPr>
          <w:rFonts w:asciiTheme="minorHAnsi" w:hAnsiTheme="minorHAnsi" w:cstheme="minorHAnsi"/>
          <w:color w:val="000000" w:themeColor="text1"/>
          <w:sz w:val="22"/>
          <w:szCs w:val="22"/>
        </w:rPr>
        <w:t xml:space="preserve"> the content of the Strategy</w:t>
      </w:r>
      <w:r w:rsidRPr="007C4D65">
        <w:rPr>
          <w:rFonts w:asciiTheme="minorHAnsi" w:hAnsiTheme="minorHAnsi" w:cstheme="minorHAnsi"/>
          <w:color w:val="000000" w:themeColor="text1"/>
          <w:sz w:val="22"/>
          <w:szCs w:val="22"/>
        </w:rPr>
        <w:t xml:space="preserve">. This and other chapters will explain </w:t>
      </w:r>
      <w:r w:rsidR="001F1A30" w:rsidRPr="007C4D65">
        <w:rPr>
          <w:rFonts w:asciiTheme="minorHAnsi" w:hAnsiTheme="minorHAnsi" w:cstheme="minorHAnsi"/>
          <w:color w:val="000000" w:themeColor="text1"/>
          <w:sz w:val="22"/>
          <w:szCs w:val="22"/>
        </w:rPr>
        <w:t>the process</w:t>
      </w:r>
      <w:r w:rsidRPr="007C4D65">
        <w:rPr>
          <w:rFonts w:asciiTheme="minorHAnsi" w:hAnsiTheme="minorHAnsi" w:cstheme="minorHAnsi"/>
          <w:color w:val="000000" w:themeColor="text1"/>
          <w:sz w:val="22"/>
          <w:szCs w:val="22"/>
        </w:rPr>
        <w:t xml:space="preserve"> and activities </w:t>
      </w:r>
      <w:r w:rsidR="001F1A30" w:rsidRPr="007C4D65">
        <w:rPr>
          <w:rFonts w:asciiTheme="minorHAnsi" w:hAnsiTheme="minorHAnsi" w:cstheme="minorHAnsi"/>
          <w:color w:val="000000" w:themeColor="text1"/>
          <w:sz w:val="22"/>
          <w:szCs w:val="22"/>
        </w:rPr>
        <w:t>in more detail</w:t>
      </w:r>
      <w:r w:rsidRPr="007C4D65">
        <w:rPr>
          <w:rFonts w:asciiTheme="minorHAnsi" w:hAnsiTheme="minorHAnsi" w:cstheme="minorHAnsi"/>
          <w:color w:val="000000" w:themeColor="text1"/>
          <w:sz w:val="22"/>
          <w:szCs w:val="22"/>
        </w:rPr>
        <w:t xml:space="preserve">. </w:t>
      </w:r>
    </w:p>
    <w:p w14:paraId="3C9BD7E5" w14:textId="586ECE08" w:rsidR="009B7CE6" w:rsidRPr="007C4D65" w:rsidRDefault="009B7CE6" w:rsidP="0068355A">
      <w:pPr>
        <w:spacing w:after="240" w:line="276" w:lineRule="auto"/>
        <w:rPr>
          <w:rFonts w:asciiTheme="minorHAnsi" w:eastAsia="Calibri" w:hAnsiTheme="minorHAnsi" w:cstheme="minorHAnsi"/>
          <w:b/>
          <w:bCs/>
          <w:i/>
          <w:iCs/>
          <w:color w:val="000000" w:themeColor="text1"/>
          <w:sz w:val="22"/>
          <w:szCs w:val="22"/>
          <w:u w:val="single"/>
        </w:rPr>
      </w:pPr>
      <w:r w:rsidRPr="007C4D65">
        <w:rPr>
          <w:rFonts w:asciiTheme="minorHAnsi" w:hAnsiTheme="minorHAnsi" w:cstheme="minorHAnsi"/>
          <w:b/>
          <w:i/>
          <w:color w:val="000000" w:themeColor="text1"/>
          <w:sz w:val="22"/>
          <w:u w:val="single"/>
        </w:rPr>
        <w:t>Development of the Environmental Strategy of the Federation of BIH</w:t>
      </w:r>
    </w:p>
    <w:p w14:paraId="41B651DF" w14:textId="76A954B8" w:rsidR="004F46E2" w:rsidRPr="007C4D65" w:rsidRDefault="004F46E2" w:rsidP="0068355A">
      <w:pPr>
        <w:spacing w:after="240" w:line="276" w:lineRule="auto"/>
        <w:jc w:val="both"/>
        <w:rPr>
          <w:rFonts w:asciiTheme="minorHAnsi" w:eastAsia="Calibri" w:hAnsiTheme="minorHAnsi" w:cstheme="minorHAnsi"/>
          <w:sz w:val="22"/>
          <w:szCs w:val="22"/>
        </w:rPr>
      </w:pPr>
      <w:bookmarkStart w:id="8" w:name="_Hlk86443558"/>
      <w:r w:rsidRPr="007C4D65">
        <w:rPr>
          <w:rFonts w:asciiTheme="minorHAnsi" w:hAnsiTheme="minorHAnsi" w:cstheme="minorHAnsi"/>
          <w:sz w:val="22"/>
        </w:rPr>
        <w:t xml:space="preserve">The Environmental Strategy is a single document </w:t>
      </w:r>
      <w:r w:rsidR="00564B5D" w:rsidRPr="007C4D65">
        <w:rPr>
          <w:rFonts w:asciiTheme="minorHAnsi" w:hAnsiTheme="minorHAnsi" w:cstheme="minorHAnsi"/>
          <w:sz w:val="22"/>
        </w:rPr>
        <w:t>with</w:t>
      </w:r>
      <w:r w:rsidRPr="007C4D65">
        <w:rPr>
          <w:rFonts w:asciiTheme="minorHAnsi" w:hAnsiTheme="minorHAnsi" w:cstheme="minorHAnsi"/>
          <w:sz w:val="22"/>
        </w:rPr>
        <w:t xml:space="preserve"> strategic goals </w:t>
      </w:r>
      <w:r w:rsidR="00564B5D" w:rsidRPr="007C4D65">
        <w:rPr>
          <w:rFonts w:asciiTheme="minorHAnsi" w:hAnsiTheme="minorHAnsi" w:cstheme="minorHAnsi"/>
          <w:sz w:val="22"/>
        </w:rPr>
        <w:t>and</w:t>
      </w:r>
      <w:r w:rsidRPr="007C4D65">
        <w:rPr>
          <w:rFonts w:asciiTheme="minorHAnsi" w:hAnsiTheme="minorHAnsi" w:cstheme="minorHAnsi"/>
          <w:sz w:val="22"/>
        </w:rPr>
        <w:t xml:space="preserve"> measures for their achievement. </w:t>
      </w:r>
      <w:r w:rsidR="00564B5D" w:rsidRPr="007C4D65">
        <w:rPr>
          <w:rFonts w:asciiTheme="minorHAnsi" w:hAnsiTheme="minorHAnsi" w:cstheme="minorHAnsi"/>
          <w:sz w:val="22"/>
        </w:rPr>
        <w:t>In addition to being</w:t>
      </w:r>
      <w:r w:rsidRPr="007C4D65">
        <w:rPr>
          <w:rFonts w:asciiTheme="minorHAnsi" w:hAnsiTheme="minorHAnsi" w:cstheme="minorHAnsi"/>
          <w:sz w:val="22"/>
        </w:rPr>
        <w:t xml:space="preserve"> an essential tool </w:t>
      </w:r>
      <w:r w:rsidR="00564B5D" w:rsidRPr="007C4D65">
        <w:rPr>
          <w:rFonts w:asciiTheme="minorHAnsi" w:hAnsiTheme="minorHAnsi" w:cstheme="minorHAnsi"/>
          <w:sz w:val="22"/>
        </w:rPr>
        <w:t xml:space="preserve">that </w:t>
      </w:r>
      <w:r w:rsidRPr="007C4D65">
        <w:rPr>
          <w:rFonts w:asciiTheme="minorHAnsi" w:hAnsiTheme="minorHAnsi" w:cstheme="minorHAnsi"/>
          <w:sz w:val="22"/>
        </w:rPr>
        <w:t xml:space="preserve">the </w:t>
      </w:r>
      <w:r w:rsidR="00564B5D" w:rsidRPr="007C4D65">
        <w:rPr>
          <w:rFonts w:asciiTheme="minorHAnsi" w:hAnsiTheme="minorHAnsi" w:cstheme="minorHAnsi"/>
          <w:sz w:val="22"/>
        </w:rPr>
        <w:t>competent</w:t>
      </w:r>
      <w:r w:rsidRPr="007C4D65">
        <w:rPr>
          <w:rFonts w:asciiTheme="minorHAnsi" w:hAnsiTheme="minorHAnsi" w:cstheme="minorHAnsi"/>
          <w:sz w:val="22"/>
        </w:rPr>
        <w:t xml:space="preserve"> institutions </w:t>
      </w:r>
      <w:r w:rsidR="00564B5D" w:rsidRPr="007C4D65">
        <w:rPr>
          <w:rFonts w:asciiTheme="minorHAnsi" w:hAnsiTheme="minorHAnsi" w:cstheme="minorHAnsi"/>
          <w:sz w:val="22"/>
        </w:rPr>
        <w:t xml:space="preserve">can use to set priorities and </w:t>
      </w:r>
      <w:r w:rsidR="001C1A6F" w:rsidRPr="007C4D65">
        <w:rPr>
          <w:rFonts w:asciiTheme="minorHAnsi" w:hAnsiTheme="minorHAnsi" w:cstheme="minorHAnsi"/>
          <w:sz w:val="22"/>
        </w:rPr>
        <w:t>to better target investments from</w:t>
      </w:r>
      <w:r w:rsidRPr="007C4D65">
        <w:rPr>
          <w:rFonts w:asciiTheme="minorHAnsi" w:hAnsiTheme="minorHAnsi" w:cstheme="minorHAnsi"/>
          <w:sz w:val="22"/>
        </w:rPr>
        <w:t xml:space="preserve"> national/international </w:t>
      </w:r>
      <w:r w:rsidR="001C1A6F" w:rsidRPr="007C4D65">
        <w:rPr>
          <w:rFonts w:asciiTheme="minorHAnsi" w:hAnsiTheme="minorHAnsi" w:cstheme="minorHAnsi"/>
          <w:sz w:val="22"/>
        </w:rPr>
        <w:t>sources, and</w:t>
      </w:r>
      <w:r w:rsidRPr="007C4D65">
        <w:rPr>
          <w:rFonts w:asciiTheme="minorHAnsi" w:hAnsiTheme="minorHAnsi" w:cstheme="minorHAnsi"/>
          <w:sz w:val="22"/>
        </w:rPr>
        <w:t xml:space="preserve"> </w:t>
      </w:r>
      <w:r w:rsidR="00D137D5" w:rsidRPr="007C4D65">
        <w:rPr>
          <w:rFonts w:asciiTheme="minorHAnsi" w:hAnsiTheme="minorHAnsi" w:cstheme="minorHAnsi"/>
          <w:sz w:val="22"/>
        </w:rPr>
        <w:t xml:space="preserve">to being </w:t>
      </w:r>
      <w:r w:rsidRPr="007C4D65">
        <w:rPr>
          <w:rFonts w:asciiTheme="minorHAnsi" w:hAnsiTheme="minorHAnsi" w:cstheme="minorHAnsi"/>
          <w:sz w:val="22"/>
        </w:rPr>
        <w:t xml:space="preserve">instrumental </w:t>
      </w:r>
      <w:r w:rsidR="001C1A6F" w:rsidRPr="007C4D65">
        <w:rPr>
          <w:rFonts w:asciiTheme="minorHAnsi" w:hAnsiTheme="minorHAnsi" w:cstheme="minorHAnsi"/>
          <w:sz w:val="22"/>
        </w:rPr>
        <w:t>in</w:t>
      </w:r>
      <w:r w:rsidRPr="007C4D65">
        <w:rPr>
          <w:rFonts w:asciiTheme="minorHAnsi" w:hAnsiTheme="minorHAnsi" w:cstheme="minorHAnsi"/>
          <w:sz w:val="22"/>
        </w:rPr>
        <w:t xml:space="preserve"> the alignment with the EU acquis, it is also expected to enhance the capacit</w:t>
      </w:r>
      <w:r w:rsidR="00D11C26" w:rsidRPr="007C4D65">
        <w:rPr>
          <w:rFonts w:asciiTheme="minorHAnsi" w:hAnsiTheme="minorHAnsi" w:cstheme="minorHAnsi"/>
          <w:sz w:val="22"/>
        </w:rPr>
        <w:t>y</w:t>
      </w:r>
      <w:r w:rsidRPr="007C4D65">
        <w:rPr>
          <w:rFonts w:asciiTheme="minorHAnsi" w:hAnsiTheme="minorHAnsi" w:cstheme="minorHAnsi"/>
          <w:sz w:val="22"/>
        </w:rPr>
        <w:t xml:space="preserve"> of organisations and institutions and raise the awareness on the environment. </w:t>
      </w:r>
    </w:p>
    <w:p w14:paraId="0A6F9E26" w14:textId="618312A4" w:rsidR="004F46E2" w:rsidRPr="007C4D65" w:rsidRDefault="004F46E2" w:rsidP="0068355A">
      <w:pPr>
        <w:spacing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The process included the following activities: </w:t>
      </w:r>
    </w:p>
    <w:p w14:paraId="7712CBE0" w14:textId="2B2A28AA" w:rsidR="004F46E2" w:rsidRPr="007C4D65" w:rsidRDefault="00D11C26"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O</w:t>
      </w:r>
      <w:r w:rsidR="00E7591D" w:rsidRPr="007C4D65">
        <w:rPr>
          <w:rFonts w:asciiTheme="minorHAnsi" w:hAnsiTheme="minorHAnsi" w:cstheme="minorHAnsi"/>
          <w:color w:val="000000"/>
          <w:sz w:val="22"/>
        </w:rPr>
        <w:t xml:space="preserve">verarching strategic goals and key principles </w:t>
      </w:r>
      <w:r w:rsidRPr="007C4D65">
        <w:rPr>
          <w:rFonts w:asciiTheme="minorHAnsi" w:hAnsiTheme="minorHAnsi" w:cstheme="minorHAnsi"/>
          <w:color w:val="000000"/>
          <w:sz w:val="22"/>
        </w:rPr>
        <w:t>to</w:t>
      </w:r>
      <w:r w:rsidR="00E7591D" w:rsidRPr="007C4D65">
        <w:rPr>
          <w:rFonts w:asciiTheme="minorHAnsi" w:hAnsiTheme="minorHAnsi" w:cstheme="minorHAnsi"/>
          <w:color w:val="000000"/>
          <w:sz w:val="22"/>
        </w:rPr>
        <w:t xml:space="preserve"> be integrated in the Strategy</w:t>
      </w:r>
      <w:r w:rsidRPr="007C4D65">
        <w:rPr>
          <w:rFonts w:asciiTheme="minorHAnsi" w:hAnsiTheme="minorHAnsi" w:cstheme="minorHAnsi"/>
          <w:color w:val="000000"/>
          <w:sz w:val="22"/>
        </w:rPr>
        <w:t xml:space="preserve"> were defined and </w:t>
      </w:r>
      <w:proofErr w:type="gramStart"/>
      <w:r w:rsidRPr="007C4D65">
        <w:rPr>
          <w:rFonts w:asciiTheme="minorHAnsi" w:hAnsiTheme="minorHAnsi" w:cstheme="minorHAnsi"/>
          <w:color w:val="000000"/>
          <w:sz w:val="22"/>
        </w:rPr>
        <w:t>harmonised</w:t>
      </w:r>
      <w:r w:rsidR="00E7591D" w:rsidRPr="007C4D65">
        <w:rPr>
          <w:rFonts w:asciiTheme="minorHAnsi" w:hAnsiTheme="minorHAnsi" w:cstheme="minorHAnsi"/>
          <w:color w:val="000000"/>
          <w:sz w:val="22"/>
        </w:rPr>
        <w:t>;</w:t>
      </w:r>
      <w:proofErr w:type="gramEnd"/>
    </w:p>
    <w:p w14:paraId="272459CC" w14:textId="7B65DAB4" w:rsidR="004F46E2" w:rsidRPr="007C4D65" w:rsidRDefault="00D11C26"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T</w:t>
      </w:r>
      <w:r w:rsidR="004F46E2" w:rsidRPr="007C4D65">
        <w:rPr>
          <w:rFonts w:asciiTheme="minorHAnsi" w:hAnsiTheme="minorHAnsi" w:cstheme="minorHAnsi"/>
          <w:color w:val="000000"/>
          <w:sz w:val="22"/>
        </w:rPr>
        <w:t xml:space="preserve">erms of reference for Working Groups </w:t>
      </w:r>
      <w:r w:rsidR="001C1A6F" w:rsidRPr="007C4D65">
        <w:rPr>
          <w:rFonts w:asciiTheme="minorHAnsi" w:hAnsiTheme="minorHAnsi" w:cstheme="minorHAnsi"/>
          <w:color w:val="000000"/>
          <w:sz w:val="22"/>
        </w:rPr>
        <w:t xml:space="preserve">in seven thematic areas </w:t>
      </w:r>
      <w:r w:rsidR="004F46E2" w:rsidRPr="007C4D65">
        <w:rPr>
          <w:rFonts w:asciiTheme="minorHAnsi" w:hAnsiTheme="minorHAnsi" w:cstheme="minorHAnsi"/>
          <w:color w:val="000000"/>
          <w:sz w:val="22"/>
        </w:rPr>
        <w:t>tasked with defining measures</w:t>
      </w:r>
      <w:r w:rsidRPr="007C4D65">
        <w:rPr>
          <w:rFonts w:asciiTheme="minorHAnsi" w:hAnsiTheme="minorHAnsi" w:cstheme="minorHAnsi"/>
          <w:color w:val="000000"/>
          <w:sz w:val="22"/>
        </w:rPr>
        <w:t xml:space="preserve"> were </w:t>
      </w:r>
      <w:proofErr w:type="gramStart"/>
      <w:r w:rsidRPr="007C4D65">
        <w:rPr>
          <w:rFonts w:asciiTheme="minorHAnsi" w:hAnsiTheme="minorHAnsi" w:cstheme="minorHAnsi"/>
          <w:color w:val="000000"/>
          <w:sz w:val="22"/>
        </w:rPr>
        <w:t>outlined</w:t>
      </w:r>
      <w:r w:rsidR="004F46E2" w:rsidRPr="007C4D65">
        <w:rPr>
          <w:rFonts w:asciiTheme="minorHAnsi" w:hAnsiTheme="minorHAnsi" w:cstheme="minorHAnsi"/>
          <w:color w:val="000000"/>
          <w:sz w:val="22"/>
        </w:rPr>
        <w:t>;</w:t>
      </w:r>
      <w:proofErr w:type="gramEnd"/>
    </w:p>
    <w:p w14:paraId="38959FAE" w14:textId="3C5CD3F2" w:rsidR="004F46E2" w:rsidRPr="007C4D65" w:rsidRDefault="00D11C26"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Seven</w:t>
      </w:r>
      <w:r w:rsidR="004F46E2" w:rsidRPr="007C4D65">
        <w:rPr>
          <w:rFonts w:asciiTheme="minorHAnsi" w:hAnsiTheme="minorHAnsi" w:cstheme="minorHAnsi"/>
          <w:color w:val="000000"/>
          <w:sz w:val="22"/>
        </w:rPr>
        <w:t xml:space="preserve"> Working Groups for the Federation of BiH</w:t>
      </w:r>
      <w:r w:rsidRPr="007C4D65">
        <w:rPr>
          <w:rFonts w:asciiTheme="minorHAnsi" w:hAnsiTheme="minorHAnsi" w:cstheme="minorHAnsi"/>
          <w:color w:val="000000"/>
          <w:sz w:val="22"/>
        </w:rPr>
        <w:t xml:space="preserve"> were formed</w:t>
      </w:r>
      <w:r w:rsidR="004F46E2" w:rsidRPr="007C4D65">
        <w:rPr>
          <w:rFonts w:asciiTheme="minorHAnsi" w:hAnsiTheme="minorHAnsi" w:cstheme="minorHAnsi"/>
          <w:color w:val="000000"/>
          <w:sz w:val="22"/>
        </w:rPr>
        <w:t xml:space="preserve"> in order to ensure a </w:t>
      </w:r>
      <w:r w:rsidR="001C1A6F" w:rsidRPr="007C4D65">
        <w:rPr>
          <w:rFonts w:asciiTheme="minorHAnsi" w:hAnsiTheme="minorHAnsi" w:cstheme="minorHAnsi"/>
          <w:color w:val="000000"/>
          <w:sz w:val="22"/>
        </w:rPr>
        <w:t>participative</w:t>
      </w:r>
      <w:r w:rsidR="004F46E2" w:rsidRPr="007C4D65">
        <w:rPr>
          <w:rFonts w:asciiTheme="minorHAnsi" w:hAnsiTheme="minorHAnsi" w:cstheme="minorHAnsi"/>
          <w:color w:val="000000"/>
          <w:sz w:val="22"/>
        </w:rPr>
        <w:t xml:space="preserve"> </w:t>
      </w:r>
      <w:proofErr w:type="gramStart"/>
      <w:r w:rsidR="004F46E2" w:rsidRPr="007C4D65">
        <w:rPr>
          <w:rFonts w:asciiTheme="minorHAnsi" w:hAnsiTheme="minorHAnsi" w:cstheme="minorHAnsi"/>
          <w:color w:val="000000"/>
          <w:sz w:val="22"/>
        </w:rPr>
        <w:t>process;</w:t>
      </w:r>
      <w:proofErr w:type="gramEnd"/>
    </w:p>
    <w:p w14:paraId="5F1BB55E" w14:textId="3D3792E2" w:rsidR="004F46E2" w:rsidRPr="007C4D65" w:rsidRDefault="00D11C26"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A</w:t>
      </w:r>
      <w:r w:rsidR="004F46E2" w:rsidRPr="007C4D65">
        <w:rPr>
          <w:rFonts w:asciiTheme="minorHAnsi" w:hAnsiTheme="minorHAnsi" w:cstheme="minorHAnsi"/>
          <w:color w:val="000000"/>
          <w:sz w:val="22"/>
        </w:rPr>
        <w:t xml:space="preserve"> Policy Group for the Federation of BiH</w:t>
      </w:r>
      <w:r w:rsidRPr="007C4D65">
        <w:rPr>
          <w:rFonts w:asciiTheme="minorHAnsi" w:hAnsiTheme="minorHAnsi" w:cstheme="minorHAnsi"/>
          <w:color w:val="000000"/>
          <w:sz w:val="22"/>
        </w:rPr>
        <w:t xml:space="preserve"> was set </w:t>
      </w:r>
      <w:proofErr w:type="gramStart"/>
      <w:r w:rsidRPr="007C4D65">
        <w:rPr>
          <w:rFonts w:asciiTheme="minorHAnsi" w:hAnsiTheme="minorHAnsi" w:cstheme="minorHAnsi"/>
          <w:color w:val="000000"/>
          <w:sz w:val="22"/>
        </w:rPr>
        <w:t>up</w:t>
      </w:r>
      <w:r w:rsidR="004F46E2" w:rsidRPr="007C4D65">
        <w:rPr>
          <w:rFonts w:asciiTheme="minorHAnsi" w:hAnsiTheme="minorHAnsi" w:cstheme="minorHAnsi"/>
          <w:color w:val="000000"/>
          <w:sz w:val="22"/>
        </w:rPr>
        <w:t>;</w:t>
      </w:r>
      <w:proofErr w:type="gramEnd"/>
    </w:p>
    <w:p w14:paraId="4509CB36" w14:textId="32B1BB83" w:rsidR="004F46E2" w:rsidRPr="007C4D65" w:rsidRDefault="00D11C26"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A</w:t>
      </w:r>
      <w:r w:rsidR="00E7591D" w:rsidRPr="007C4D65">
        <w:rPr>
          <w:rFonts w:asciiTheme="minorHAnsi" w:hAnsiTheme="minorHAnsi" w:cstheme="minorHAnsi"/>
          <w:color w:val="000000"/>
          <w:sz w:val="22"/>
        </w:rPr>
        <w:t xml:space="preserve"> communication strategy</w:t>
      </w:r>
      <w:r w:rsidRPr="007C4D65">
        <w:rPr>
          <w:rFonts w:asciiTheme="minorHAnsi" w:hAnsiTheme="minorHAnsi" w:cstheme="minorHAnsi"/>
          <w:color w:val="000000"/>
          <w:sz w:val="22"/>
        </w:rPr>
        <w:t xml:space="preserve"> was devised</w:t>
      </w:r>
      <w:r w:rsidR="00E7591D" w:rsidRPr="007C4D65">
        <w:rPr>
          <w:rFonts w:asciiTheme="minorHAnsi" w:hAnsiTheme="minorHAnsi" w:cstheme="minorHAnsi"/>
          <w:color w:val="000000"/>
          <w:sz w:val="22"/>
        </w:rPr>
        <w:t xml:space="preserve"> and communication channels with the stakeholders and general public</w:t>
      </w:r>
      <w:r w:rsidRPr="007C4D65">
        <w:rPr>
          <w:rFonts w:asciiTheme="minorHAnsi" w:hAnsiTheme="minorHAnsi" w:cstheme="minorHAnsi"/>
          <w:color w:val="000000"/>
          <w:sz w:val="22"/>
        </w:rPr>
        <w:t xml:space="preserve"> </w:t>
      </w:r>
      <w:proofErr w:type="gramStart"/>
      <w:r w:rsidRPr="007C4D65">
        <w:rPr>
          <w:rFonts w:asciiTheme="minorHAnsi" w:hAnsiTheme="minorHAnsi" w:cstheme="minorHAnsi"/>
          <w:color w:val="000000"/>
          <w:sz w:val="22"/>
        </w:rPr>
        <w:t>identified</w:t>
      </w:r>
      <w:r w:rsidR="00E7591D" w:rsidRPr="007C4D65">
        <w:rPr>
          <w:rFonts w:asciiTheme="minorHAnsi" w:hAnsiTheme="minorHAnsi" w:cstheme="minorHAnsi"/>
          <w:color w:val="000000"/>
          <w:sz w:val="22"/>
        </w:rPr>
        <w:t>;</w:t>
      </w:r>
      <w:proofErr w:type="gramEnd"/>
    </w:p>
    <w:p w14:paraId="23C5BE52" w14:textId="423F2B83" w:rsidR="004F46E2" w:rsidRPr="007C4D65" w:rsidRDefault="00450870"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5 rounds of meetings of the Working Groups for the Federation of BiH (42 meetings in total)</w:t>
      </w:r>
      <w:r w:rsidR="00D11C26" w:rsidRPr="007C4D65">
        <w:rPr>
          <w:rFonts w:asciiTheme="minorHAnsi" w:hAnsiTheme="minorHAnsi" w:cstheme="minorHAnsi"/>
          <w:color w:val="000000"/>
          <w:sz w:val="22"/>
        </w:rPr>
        <w:t xml:space="preserve"> were </w:t>
      </w:r>
      <w:proofErr w:type="gramStart"/>
      <w:r w:rsidR="00D11C26" w:rsidRPr="007C4D65">
        <w:rPr>
          <w:rFonts w:asciiTheme="minorHAnsi" w:hAnsiTheme="minorHAnsi" w:cstheme="minorHAnsi"/>
          <w:color w:val="000000"/>
          <w:sz w:val="22"/>
        </w:rPr>
        <w:t>held</w:t>
      </w:r>
      <w:r w:rsidRPr="007C4D65">
        <w:rPr>
          <w:rFonts w:asciiTheme="minorHAnsi" w:hAnsiTheme="minorHAnsi" w:cstheme="minorHAnsi"/>
          <w:color w:val="000000"/>
          <w:sz w:val="22"/>
        </w:rPr>
        <w:t>;</w:t>
      </w:r>
      <w:proofErr w:type="gramEnd"/>
    </w:p>
    <w:p w14:paraId="7423123F" w14:textId="7BEEBDD4" w:rsidR="004F46E2" w:rsidRPr="007C4D65" w:rsidRDefault="004F46E2"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5 rounds of meetings of the Policy Group for the Federation of BiH</w:t>
      </w:r>
      <w:r w:rsidR="00D11C26" w:rsidRPr="007C4D65">
        <w:rPr>
          <w:rFonts w:asciiTheme="minorHAnsi" w:hAnsiTheme="minorHAnsi" w:cstheme="minorHAnsi"/>
          <w:color w:val="000000"/>
          <w:sz w:val="22"/>
        </w:rPr>
        <w:t xml:space="preserve"> were </w:t>
      </w:r>
      <w:proofErr w:type="gramStart"/>
      <w:r w:rsidR="00D11C26" w:rsidRPr="007C4D65">
        <w:rPr>
          <w:rFonts w:asciiTheme="minorHAnsi" w:hAnsiTheme="minorHAnsi" w:cstheme="minorHAnsi"/>
          <w:color w:val="000000"/>
          <w:sz w:val="22"/>
        </w:rPr>
        <w:t>held</w:t>
      </w:r>
      <w:r w:rsidRPr="007C4D65">
        <w:rPr>
          <w:rFonts w:asciiTheme="minorHAnsi" w:hAnsiTheme="minorHAnsi" w:cstheme="minorHAnsi"/>
          <w:color w:val="000000"/>
          <w:sz w:val="22"/>
        </w:rPr>
        <w:t>;</w:t>
      </w:r>
      <w:proofErr w:type="gramEnd"/>
    </w:p>
    <w:p w14:paraId="007FFF84" w14:textId="29B167AB" w:rsidR="004F46E2" w:rsidRPr="007C4D65" w:rsidRDefault="00D11C26"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K</w:t>
      </w:r>
      <w:r w:rsidR="004F46E2" w:rsidRPr="007C4D65">
        <w:rPr>
          <w:rFonts w:asciiTheme="minorHAnsi" w:hAnsiTheme="minorHAnsi" w:cstheme="minorHAnsi"/>
          <w:color w:val="000000"/>
          <w:sz w:val="22"/>
        </w:rPr>
        <w:t>ey challenges and baseline situation</w:t>
      </w:r>
      <w:r w:rsidRPr="007C4D65">
        <w:rPr>
          <w:rFonts w:asciiTheme="minorHAnsi" w:hAnsiTheme="minorHAnsi" w:cstheme="minorHAnsi"/>
          <w:color w:val="000000"/>
          <w:sz w:val="22"/>
        </w:rPr>
        <w:t xml:space="preserve"> were identified</w:t>
      </w:r>
      <w:r w:rsidR="004F46E2" w:rsidRPr="007C4D65">
        <w:rPr>
          <w:rFonts w:asciiTheme="minorHAnsi" w:hAnsiTheme="minorHAnsi" w:cstheme="minorHAnsi"/>
          <w:color w:val="000000"/>
          <w:sz w:val="22"/>
        </w:rPr>
        <w:t xml:space="preserve">, priorities, targets for each thematic area in accordance with their responsibilities, as well as measures with deliverables, and responsible institutions and the </w:t>
      </w:r>
      <w:r w:rsidR="00E87DA4" w:rsidRPr="007C4D65">
        <w:rPr>
          <w:rFonts w:asciiTheme="minorHAnsi" w:hAnsiTheme="minorHAnsi" w:cstheme="minorHAnsi"/>
          <w:color w:val="000000"/>
          <w:sz w:val="22"/>
        </w:rPr>
        <w:t>timeframes</w:t>
      </w:r>
      <w:r w:rsidR="004F46E2" w:rsidRPr="007C4D65">
        <w:rPr>
          <w:rFonts w:asciiTheme="minorHAnsi" w:hAnsiTheme="minorHAnsi" w:cstheme="minorHAnsi"/>
          <w:color w:val="000000"/>
          <w:sz w:val="22"/>
        </w:rPr>
        <w:t xml:space="preserve"> for their implementation</w:t>
      </w:r>
      <w:r w:rsidRPr="007C4D65">
        <w:t xml:space="preserve"> </w:t>
      </w:r>
      <w:proofErr w:type="gramStart"/>
      <w:r w:rsidRPr="007C4D65">
        <w:rPr>
          <w:rFonts w:asciiTheme="minorHAnsi" w:hAnsiTheme="minorHAnsi" w:cstheme="minorHAnsi"/>
          <w:color w:val="000000"/>
          <w:sz w:val="22"/>
        </w:rPr>
        <w:t>defined</w:t>
      </w:r>
      <w:r w:rsidR="004F46E2" w:rsidRPr="007C4D65">
        <w:rPr>
          <w:rFonts w:asciiTheme="minorHAnsi" w:hAnsiTheme="minorHAnsi" w:cstheme="minorHAnsi"/>
          <w:color w:val="000000"/>
          <w:sz w:val="22"/>
        </w:rPr>
        <w:t>;</w:t>
      </w:r>
      <w:proofErr w:type="gramEnd"/>
    </w:p>
    <w:p w14:paraId="497A0B8C" w14:textId="236B4EB5" w:rsidR="004F46E2" w:rsidRPr="007C4D65" w:rsidRDefault="004F46E2"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 xml:space="preserve">Integration of gender equality, social equity and poverty in the measures, and efforts on </w:t>
      </w:r>
      <w:r w:rsidR="001C1A6F" w:rsidRPr="007C4D65">
        <w:rPr>
          <w:rFonts w:asciiTheme="minorHAnsi" w:hAnsiTheme="minorHAnsi" w:cstheme="minorHAnsi"/>
          <w:color w:val="000000"/>
          <w:sz w:val="22"/>
        </w:rPr>
        <w:t>stakeholders’</w:t>
      </w:r>
      <w:r w:rsidRPr="007C4D65">
        <w:rPr>
          <w:rFonts w:asciiTheme="minorHAnsi" w:hAnsiTheme="minorHAnsi" w:cstheme="minorHAnsi"/>
          <w:color w:val="000000"/>
          <w:sz w:val="22"/>
        </w:rPr>
        <w:t xml:space="preserve"> capacity building and public awareness raising on these </w:t>
      </w:r>
      <w:proofErr w:type="gramStart"/>
      <w:r w:rsidRPr="007C4D65">
        <w:rPr>
          <w:rFonts w:asciiTheme="minorHAnsi" w:hAnsiTheme="minorHAnsi" w:cstheme="minorHAnsi"/>
          <w:color w:val="000000"/>
          <w:sz w:val="22"/>
        </w:rPr>
        <w:t>issues;</w:t>
      </w:r>
      <w:proofErr w:type="gramEnd"/>
    </w:p>
    <w:p w14:paraId="6A19D439" w14:textId="00BF69A4" w:rsidR="004F46E2" w:rsidRPr="007C4D65" w:rsidRDefault="004F46E2"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 xml:space="preserve">Activities aimed at </w:t>
      </w:r>
      <w:r w:rsidR="001C1A6F" w:rsidRPr="007C4D65">
        <w:rPr>
          <w:rFonts w:asciiTheme="minorHAnsi" w:hAnsiTheme="minorHAnsi" w:cstheme="minorHAnsi"/>
          <w:color w:val="000000"/>
          <w:sz w:val="22"/>
        </w:rPr>
        <w:t>stakeholders’</w:t>
      </w:r>
      <w:r w:rsidRPr="007C4D65">
        <w:rPr>
          <w:rFonts w:asciiTheme="minorHAnsi" w:hAnsiTheme="minorHAnsi" w:cstheme="minorHAnsi"/>
          <w:color w:val="000000"/>
          <w:sz w:val="22"/>
        </w:rPr>
        <w:t xml:space="preserve"> capacity building, focusing on Working Groups </w:t>
      </w:r>
      <w:proofErr w:type="gramStart"/>
      <w:r w:rsidRPr="007C4D65">
        <w:rPr>
          <w:rFonts w:asciiTheme="minorHAnsi" w:hAnsiTheme="minorHAnsi" w:cstheme="minorHAnsi"/>
          <w:color w:val="000000"/>
          <w:sz w:val="22"/>
        </w:rPr>
        <w:t>members;</w:t>
      </w:r>
      <w:proofErr w:type="gramEnd"/>
    </w:p>
    <w:p w14:paraId="7BEF7641" w14:textId="18C708CF" w:rsidR="004F46E2" w:rsidRPr="007C4D65" w:rsidRDefault="00D137D5"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The i</w:t>
      </w:r>
      <w:r w:rsidR="00450870" w:rsidRPr="007C4D65">
        <w:rPr>
          <w:rFonts w:asciiTheme="minorHAnsi" w:hAnsiTheme="minorHAnsi" w:cstheme="minorHAnsi"/>
          <w:color w:val="000000"/>
          <w:sz w:val="22"/>
          <w:szCs w:val="22"/>
        </w:rPr>
        <w:t>ssue of interlinkages between the thematic areas</w:t>
      </w:r>
      <w:r w:rsidRPr="007C4D65">
        <w:rPr>
          <w:rFonts w:asciiTheme="minorHAnsi" w:hAnsiTheme="minorHAnsi" w:cstheme="minorHAnsi"/>
          <w:color w:val="000000"/>
          <w:sz w:val="22"/>
          <w:szCs w:val="22"/>
        </w:rPr>
        <w:t xml:space="preserve"> was </w:t>
      </w:r>
      <w:proofErr w:type="gramStart"/>
      <w:r w:rsidRPr="007C4D65">
        <w:rPr>
          <w:rFonts w:asciiTheme="minorHAnsi" w:hAnsiTheme="minorHAnsi" w:cstheme="minorHAnsi"/>
          <w:color w:val="000000"/>
          <w:sz w:val="22"/>
          <w:szCs w:val="22"/>
        </w:rPr>
        <w:t>addressed</w:t>
      </w:r>
      <w:r w:rsidR="00450870" w:rsidRPr="007C4D65">
        <w:rPr>
          <w:rFonts w:asciiTheme="minorHAnsi" w:hAnsiTheme="minorHAnsi" w:cstheme="minorHAnsi"/>
          <w:color w:val="000000"/>
          <w:sz w:val="22"/>
          <w:szCs w:val="22"/>
        </w:rPr>
        <w:t>;</w:t>
      </w:r>
      <w:proofErr w:type="gramEnd"/>
    </w:p>
    <w:p w14:paraId="2C989CDE" w14:textId="77777777" w:rsidR="004F46E2" w:rsidRPr="007C4D65" w:rsidRDefault="004F46E2"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lastRenderedPageBreak/>
        <w:t xml:space="preserve">Prioritization of </w:t>
      </w:r>
      <w:proofErr w:type="gramStart"/>
      <w:r w:rsidRPr="007C4D65">
        <w:rPr>
          <w:rFonts w:asciiTheme="minorHAnsi" w:hAnsiTheme="minorHAnsi" w:cstheme="minorHAnsi"/>
          <w:color w:val="000000"/>
          <w:sz w:val="22"/>
          <w:szCs w:val="22"/>
        </w:rPr>
        <w:t>measures;</w:t>
      </w:r>
      <w:proofErr w:type="gramEnd"/>
    </w:p>
    <w:p w14:paraId="75C6B0DC" w14:textId="494DB374" w:rsidR="004F46E2" w:rsidRPr="007C4D65" w:rsidRDefault="004F46E2"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 xml:space="preserve">Financial evaluation of the </w:t>
      </w:r>
      <w:proofErr w:type="gramStart"/>
      <w:r w:rsidRPr="007C4D65">
        <w:rPr>
          <w:rFonts w:asciiTheme="minorHAnsi" w:hAnsiTheme="minorHAnsi" w:cstheme="minorHAnsi"/>
          <w:color w:val="000000"/>
          <w:sz w:val="22"/>
          <w:szCs w:val="22"/>
        </w:rPr>
        <w:t>measures;</w:t>
      </w:r>
      <w:proofErr w:type="gramEnd"/>
    </w:p>
    <w:p w14:paraId="44EA466D" w14:textId="1BCE92DE" w:rsidR="007625A2" w:rsidRPr="007C4D65" w:rsidRDefault="007625A2" w:rsidP="0068355A">
      <w:pPr>
        <w:pStyle w:val="ListParagraph"/>
        <w:numPr>
          <w:ilvl w:val="0"/>
          <w:numId w:val="10"/>
        </w:numPr>
        <w:spacing w:line="276" w:lineRule="auto"/>
        <w:rPr>
          <w:rFonts w:asciiTheme="minorHAnsi" w:eastAsia="Calibri" w:hAnsiTheme="minorHAnsi" w:cstheme="minorHAnsi"/>
          <w:color w:val="000000"/>
          <w:sz w:val="22"/>
          <w:szCs w:val="22"/>
        </w:rPr>
      </w:pPr>
      <w:r w:rsidRPr="007C4D65">
        <w:rPr>
          <w:rFonts w:asciiTheme="minorHAnsi" w:hAnsiTheme="minorHAnsi" w:cstheme="minorHAnsi"/>
          <w:sz w:val="22"/>
          <w:szCs w:val="22"/>
        </w:rPr>
        <w:t xml:space="preserve">An </w:t>
      </w:r>
      <w:r w:rsidRPr="007C4D65">
        <w:rPr>
          <w:rFonts w:asciiTheme="minorHAnsi" w:hAnsiTheme="minorHAnsi" w:cstheme="minorHAnsi"/>
          <w:i/>
          <w:sz w:val="22"/>
          <w:szCs w:val="22"/>
        </w:rPr>
        <w:t>ex-ante</w:t>
      </w:r>
      <w:r w:rsidRPr="007C4D65">
        <w:rPr>
          <w:rFonts w:asciiTheme="minorHAnsi" w:hAnsiTheme="minorHAnsi" w:cstheme="minorHAnsi"/>
          <w:sz w:val="22"/>
          <w:szCs w:val="22"/>
        </w:rPr>
        <w:t xml:space="preserve"> evaluation was also performed pursuant to the Decree on the Evaluation of Strategic Documents in the Federation of BiH (“Official Gazette of the Federation of BiH</w:t>
      </w:r>
      <w:r w:rsidR="007436F1" w:rsidRPr="007C4D65">
        <w:rPr>
          <w:rFonts w:asciiTheme="minorHAnsi" w:hAnsiTheme="minorHAnsi" w:cstheme="minorHAnsi"/>
          <w:sz w:val="22"/>
          <w:szCs w:val="22"/>
        </w:rPr>
        <w:t>”</w:t>
      </w:r>
      <w:r w:rsidRPr="007C4D65">
        <w:rPr>
          <w:rFonts w:asciiTheme="minorHAnsi" w:hAnsiTheme="minorHAnsi" w:cstheme="minorHAnsi"/>
          <w:sz w:val="22"/>
          <w:szCs w:val="22"/>
        </w:rPr>
        <w:t xml:space="preserve"> 74/19) and the Handbook on the Evaluation of Strategic Documents</w:t>
      </w:r>
      <w:r w:rsidRPr="007C4D65">
        <w:rPr>
          <w:rFonts w:asciiTheme="minorHAnsi" w:hAnsiTheme="minorHAnsi" w:cstheme="minorHAnsi"/>
          <w:color w:val="000000"/>
          <w:sz w:val="22"/>
          <w:szCs w:val="22"/>
        </w:rPr>
        <w:t xml:space="preserve"> </w:t>
      </w:r>
      <w:r w:rsidR="00CE1A95" w:rsidRPr="007C4D65">
        <w:rPr>
          <w:rFonts w:asciiTheme="minorHAnsi" w:eastAsia="Calibri" w:hAnsiTheme="minorHAnsi" w:cstheme="minorHAnsi"/>
          <w:color w:val="000000"/>
          <w:sz w:val="22"/>
          <w:szCs w:val="22"/>
        </w:rPr>
        <w:fldChar w:fldCharType="begin"/>
      </w:r>
      <w:r w:rsidR="00CE1A95" w:rsidRPr="007C4D65">
        <w:rPr>
          <w:rFonts w:asciiTheme="minorHAnsi" w:eastAsia="Calibri" w:hAnsiTheme="minorHAnsi" w:cstheme="minorHAnsi"/>
          <w:color w:val="000000"/>
          <w:sz w:val="22"/>
          <w:szCs w:val="22"/>
        </w:rPr>
        <w:instrText xml:space="preserve"> ADDIN ZOTERO_ITEM CSL_CITATION {"citationID":"AFkSEl6n","properties":{"formattedCitation":"(Federalni zavod za programiranje razvoja 2021)","plainCitation":"(Federalni zavod za programiranje razvoja 2021)","noteIndex":0},"citationItems":[{"id":1721,"uris":["http://zotero.org/users/7192877/items/86CKQG5C"],"itemData":{"id":1721,"type":"document","title":"Evaluacija strateških dokumenata u Federaciji BiH - Priručnik za praktičare javnog sektora","URL":"https://www.fzzpr.gov.ba/files/Ostalo/Prirucnik%20za%20evaluaciju%20strateskih%20dokumenata%20u%20FBiH_2021.pdf","author":[{"family":"Federalni zavod za programiranje razvoja","given":""}],"issued":{"date-parts":[["2021"]]}}}],"schema":"https://github.com/citation-style-language/schema/raw/master/csl-citation.json"} </w:instrText>
      </w:r>
      <w:r w:rsidR="00CE1A95" w:rsidRPr="007C4D65">
        <w:rPr>
          <w:rFonts w:asciiTheme="minorHAnsi" w:eastAsia="Calibri" w:hAnsiTheme="minorHAnsi" w:cstheme="minorHAnsi"/>
          <w:color w:val="000000"/>
          <w:sz w:val="22"/>
          <w:szCs w:val="22"/>
        </w:rPr>
        <w:fldChar w:fldCharType="separate"/>
      </w:r>
      <w:r w:rsidR="00CE1A95" w:rsidRPr="007C4D65">
        <w:rPr>
          <w:rFonts w:asciiTheme="minorHAnsi" w:eastAsia="Calibri" w:hAnsiTheme="minorHAnsi" w:cstheme="minorHAnsi"/>
          <w:sz w:val="22"/>
          <w:szCs w:val="22"/>
        </w:rPr>
        <w:t>(</w:t>
      </w:r>
      <w:r w:rsidR="001C1A6F" w:rsidRPr="007C4D65">
        <w:rPr>
          <w:rFonts w:asciiTheme="minorHAnsi" w:eastAsia="Calibri" w:hAnsiTheme="minorHAnsi" w:cstheme="minorHAnsi"/>
          <w:sz w:val="22"/>
          <w:szCs w:val="22"/>
        </w:rPr>
        <w:t>Institute for Development Programming of the Federation of BiH</w:t>
      </w:r>
      <w:r w:rsidR="00CE1A95" w:rsidRPr="007C4D65">
        <w:rPr>
          <w:rFonts w:asciiTheme="minorHAnsi" w:eastAsia="Calibri" w:hAnsiTheme="minorHAnsi" w:cstheme="minorHAnsi"/>
          <w:sz w:val="22"/>
          <w:szCs w:val="22"/>
        </w:rPr>
        <w:t>, 2021)</w:t>
      </w:r>
      <w:r w:rsidR="00CE1A95" w:rsidRPr="007C4D65">
        <w:rPr>
          <w:rFonts w:asciiTheme="minorHAnsi" w:eastAsia="Calibri" w:hAnsiTheme="minorHAnsi" w:cstheme="minorHAnsi"/>
          <w:color w:val="000000"/>
          <w:sz w:val="22"/>
          <w:szCs w:val="22"/>
        </w:rPr>
        <w:fldChar w:fldCharType="end"/>
      </w:r>
      <w:r w:rsidRPr="007C4D65">
        <w:rPr>
          <w:rFonts w:asciiTheme="minorHAnsi" w:hAnsiTheme="minorHAnsi" w:cstheme="minorHAnsi"/>
          <w:color w:val="000000"/>
          <w:sz w:val="22"/>
          <w:szCs w:val="22"/>
        </w:rPr>
        <w:t>;</w:t>
      </w:r>
    </w:p>
    <w:p w14:paraId="627BDB4F" w14:textId="77777777" w:rsidR="008214EB" w:rsidRPr="007C4D65" w:rsidRDefault="008214EB"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 xml:space="preserve">Public </w:t>
      </w:r>
      <w:proofErr w:type="gramStart"/>
      <w:r w:rsidRPr="007C4D65">
        <w:rPr>
          <w:rFonts w:asciiTheme="minorHAnsi" w:hAnsiTheme="minorHAnsi" w:cstheme="minorHAnsi"/>
          <w:color w:val="000000"/>
          <w:sz w:val="22"/>
          <w:szCs w:val="22"/>
        </w:rPr>
        <w:t>hearing;</w:t>
      </w:r>
      <w:proofErr w:type="gramEnd"/>
    </w:p>
    <w:p w14:paraId="44995B69" w14:textId="77777777" w:rsidR="00655F67" w:rsidRPr="007C4D65" w:rsidRDefault="004F46E2" w:rsidP="0068355A">
      <w:pPr>
        <w:numPr>
          <w:ilvl w:val="0"/>
          <w:numId w:val="10"/>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Preparation of the final version of the Strategy.</w:t>
      </w:r>
      <w:r w:rsidRPr="007C4D65">
        <w:rPr>
          <w:rFonts w:asciiTheme="minorHAnsi" w:hAnsiTheme="minorHAnsi" w:cstheme="minorHAnsi"/>
          <w:color w:val="000000"/>
          <w:sz w:val="22"/>
        </w:rPr>
        <w:t xml:space="preserve"> </w:t>
      </w:r>
    </w:p>
    <w:p w14:paraId="4A54B2B2" w14:textId="0C05992E" w:rsidR="00FF6EBD" w:rsidRPr="007C4D65" w:rsidRDefault="00FF6EBD" w:rsidP="0068355A">
      <w:pPr>
        <w:spacing w:before="240" w:after="240" w:line="276" w:lineRule="auto"/>
        <w:rPr>
          <w:rFonts w:asciiTheme="minorHAnsi" w:eastAsia="Calibri" w:hAnsiTheme="minorHAnsi" w:cstheme="minorHAnsi"/>
          <w:i/>
          <w:iCs/>
          <w:color w:val="000000"/>
          <w:sz w:val="22"/>
          <w:szCs w:val="22"/>
          <w:u w:val="single"/>
        </w:rPr>
      </w:pPr>
      <w:r w:rsidRPr="007C4D65">
        <w:rPr>
          <w:rFonts w:asciiTheme="minorHAnsi" w:hAnsiTheme="minorHAnsi" w:cstheme="minorHAnsi"/>
          <w:i/>
          <w:color w:val="000000"/>
          <w:sz w:val="22"/>
          <w:u w:val="single"/>
        </w:rPr>
        <w:t xml:space="preserve">Key </w:t>
      </w:r>
      <w:r w:rsidR="001C1A6F" w:rsidRPr="007C4D65">
        <w:rPr>
          <w:rFonts w:asciiTheme="minorHAnsi" w:hAnsiTheme="minorHAnsi" w:cstheme="minorHAnsi"/>
          <w:i/>
          <w:color w:val="000000"/>
          <w:sz w:val="22"/>
          <w:u w:val="single"/>
        </w:rPr>
        <w:t>principles and strategic goals</w:t>
      </w:r>
    </w:p>
    <w:p w14:paraId="2E58318E" w14:textId="2C905BB9" w:rsidR="004F46E2" w:rsidRPr="007C4D65" w:rsidRDefault="004F46E2" w:rsidP="0068355A">
      <w:pPr>
        <w:spacing w:after="240" w:line="276" w:lineRule="auto"/>
        <w:jc w:val="both"/>
        <w:rPr>
          <w:rFonts w:asciiTheme="minorHAnsi" w:eastAsia="Calibri" w:hAnsiTheme="minorHAnsi" w:cstheme="minorHAnsi"/>
          <w:color w:val="000000"/>
          <w:sz w:val="22"/>
          <w:szCs w:val="22"/>
        </w:rPr>
      </w:pPr>
      <w:proofErr w:type="gramStart"/>
      <w:r w:rsidRPr="007C4D65">
        <w:rPr>
          <w:rFonts w:asciiTheme="minorHAnsi" w:hAnsiTheme="minorHAnsi" w:cstheme="minorHAnsi"/>
          <w:sz w:val="22"/>
          <w:szCs w:val="22"/>
        </w:rPr>
        <w:t>In order to</w:t>
      </w:r>
      <w:proofErr w:type="gramEnd"/>
      <w:r w:rsidRPr="007C4D65">
        <w:rPr>
          <w:rFonts w:asciiTheme="minorHAnsi" w:hAnsiTheme="minorHAnsi" w:cstheme="minorHAnsi"/>
          <w:sz w:val="22"/>
          <w:szCs w:val="22"/>
        </w:rPr>
        <w:t xml:space="preserve"> provide further guidance for future </w:t>
      </w:r>
      <w:r w:rsidR="00D11C26" w:rsidRPr="007C4D65">
        <w:rPr>
          <w:rFonts w:asciiTheme="minorHAnsi" w:hAnsiTheme="minorHAnsi" w:cstheme="minorHAnsi"/>
          <w:sz w:val="22"/>
          <w:szCs w:val="22"/>
        </w:rPr>
        <w:t xml:space="preserve">environmental </w:t>
      </w:r>
      <w:r w:rsidRPr="007C4D65">
        <w:rPr>
          <w:rFonts w:asciiTheme="minorHAnsi" w:hAnsiTheme="minorHAnsi" w:cstheme="minorHAnsi"/>
          <w:sz w:val="22"/>
          <w:szCs w:val="22"/>
        </w:rPr>
        <w:t xml:space="preserve">decision-making, </w:t>
      </w:r>
      <w:bookmarkEnd w:id="8"/>
      <w:r w:rsidRPr="007C4D65">
        <w:rPr>
          <w:rFonts w:asciiTheme="minorHAnsi" w:hAnsiTheme="minorHAnsi" w:cstheme="minorHAnsi"/>
          <w:sz w:val="22"/>
          <w:szCs w:val="22"/>
        </w:rPr>
        <w:t xml:space="preserve">the Strategy </w:t>
      </w:r>
      <w:r w:rsidR="00A7507A" w:rsidRPr="007C4D65">
        <w:rPr>
          <w:rFonts w:asciiTheme="minorHAnsi" w:hAnsiTheme="minorHAnsi" w:cstheme="minorHAnsi"/>
          <w:sz w:val="22"/>
          <w:szCs w:val="22"/>
        </w:rPr>
        <w:t>used</w:t>
      </w:r>
      <w:r w:rsidRPr="007C4D65">
        <w:rPr>
          <w:rFonts w:asciiTheme="minorHAnsi" w:hAnsiTheme="minorHAnsi" w:cstheme="minorHAnsi"/>
          <w:sz w:val="22"/>
          <w:szCs w:val="22"/>
        </w:rPr>
        <w:t xml:space="preserve"> a set of </w:t>
      </w:r>
      <w:r w:rsidRPr="007C4D65">
        <w:rPr>
          <w:rFonts w:asciiTheme="minorHAnsi" w:hAnsiTheme="minorHAnsi" w:cstheme="minorHAnsi"/>
          <w:b/>
          <w:sz w:val="22"/>
          <w:szCs w:val="22"/>
        </w:rPr>
        <w:t>key principles</w:t>
      </w:r>
      <w:r w:rsidR="0015048D" w:rsidRPr="007C4D65">
        <w:rPr>
          <w:rStyle w:val="FootnoteReference"/>
          <w:rFonts w:asciiTheme="minorHAnsi" w:eastAsia="Calibri" w:hAnsiTheme="minorHAnsi" w:cstheme="minorHAnsi"/>
          <w:bCs/>
          <w:color w:val="000000"/>
          <w:sz w:val="22"/>
          <w:szCs w:val="22"/>
        </w:rPr>
        <w:footnoteReference w:id="2"/>
      </w:r>
      <w:r w:rsidRPr="007C4D65">
        <w:rPr>
          <w:rFonts w:asciiTheme="minorHAnsi" w:hAnsiTheme="minorHAnsi" w:cstheme="minorHAnsi"/>
          <w:color w:val="000000"/>
          <w:sz w:val="22"/>
          <w:szCs w:val="22"/>
        </w:rPr>
        <w:t xml:space="preserve">. </w:t>
      </w:r>
      <w:r w:rsidRPr="007C4D65">
        <w:rPr>
          <w:rFonts w:asciiTheme="minorHAnsi" w:hAnsiTheme="minorHAnsi" w:cstheme="minorHAnsi"/>
          <w:sz w:val="22"/>
          <w:szCs w:val="22"/>
        </w:rPr>
        <w:t xml:space="preserve">In the Federation of BiH, these are the principles contained in the Law on Environmental Protection of the Federation of BiH, </w:t>
      </w:r>
      <w:r w:rsidR="00282995" w:rsidRPr="007C4D65">
        <w:rPr>
          <w:rFonts w:asciiTheme="minorHAnsi" w:eastAsia="Calibri" w:hAnsiTheme="minorHAnsi" w:cstheme="minorHAnsi"/>
          <w:color w:val="000000"/>
          <w:sz w:val="22"/>
          <w:szCs w:val="22"/>
        </w:rPr>
        <w:fldChar w:fldCharType="begin"/>
      </w:r>
      <w:r w:rsidR="00CE1A95" w:rsidRPr="007C4D65">
        <w:rPr>
          <w:rFonts w:asciiTheme="minorHAnsi" w:eastAsia="Calibri" w:hAnsiTheme="minorHAnsi" w:cstheme="minorHAnsi"/>
          <w:color w:val="000000"/>
          <w:sz w:val="22"/>
          <w:szCs w:val="22"/>
        </w:rPr>
        <w:instrText xml:space="preserve"> ADDIN ZOTERO_ITEM CSL_CITATION {"citationID":"q3ZDhpFS","properties":{"formattedCitation":"(\\uc0\\u8216{}Sl. novine Federacije BiH\\uc0\\u8217{}, broj 15/21 2021)","plainCitation":"(‘Sl. novine Federacije BiH’, broj 15/21 2021)","noteIndex":0},"citationItems":[{"id":1311,"uris":["http://zotero.org/users/7192877/items/937YMYL6"],"itemData":{"id":1311,"type":"legislation","title":"Zakon o zaštiti okoliša Federacije BiH","URL":"https://www.fmoit.gov.ba/upload/file/2021/Zakon%20o%20zastiti%20okolisa%2015_21.pdf","author":[{"family":"\"Sl. novine Federacije BiH\", broj 15/21","given":""}],"issued":{"date-parts":[["2021"]]}}}],"schema":"https://github.com/citation-style-language/schema/raw/master/csl-citation.json"} </w:instrText>
      </w:r>
      <w:r w:rsidR="00282995" w:rsidRPr="007C4D65">
        <w:rPr>
          <w:rFonts w:asciiTheme="minorHAnsi" w:eastAsia="Calibri" w:hAnsiTheme="minorHAnsi" w:cstheme="minorHAnsi"/>
          <w:color w:val="000000"/>
          <w:sz w:val="22"/>
          <w:szCs w:val="22"/>
        </w:rPr>
        <w:fldChar w:fldCharType="separate"/>
      </w:r>
      <w:r w:rsidR="00CE1A95" w:rsidRPr="007C4D65">
        <w:rPr>
          <w:rFonts w:asciiTheme="minorHAnsi" w:hAnsiTheme="minorHAnsi" w:cstheme="minorHAnsi"/>
          <w:sz w:val="22"/>
          <w:szCs w:val="22"/>
        </w:rPr>
        <w:t>("</w:t>
      </w:r>
      <w:r w:rsidR="00116A22" w:rsidRPr="007C4D65">
        <w:rPr>
          <w:rFonts w:asciiTheme="minorHAnsi" w:hAnsiTheme="minorHAnsi" w:cstheme="minorHAnsi"/>
          <w:sz w:val="22"/>
          <w:szCs w:val="22"/>
        </w:rPr>
        <w:t xml:space="preserve">Official Gazette of the </w:t>
      </w:r>
      <w:r w:rsidR="007F4BA8" w:rsidRPr="007C4D65">
        <w:rPr>
          <w:rFonts w:asciiTheme="minorHAnsi" w:hAnsiTheme="minorHAnsi" w:cstheme="minorHAnsi"/>
          <w:sz w:val="22"/>
          <w:szCs w:val="22"/>
        </w:rPr>
        <w:t xml:space="preserve">Federation of BiH“, </w:t>
      </w:r>
      <w:r w:rsidR="00CE1A95" w:rsidRPr="007C4D65">
        <w:rPr>
          <w:rFonts w:asciiTheme="minorHAnsi" w:hAnsiTheme="minorHAnsi" w:cstheme="minorHAnsi"/>
          <w:sz w:val="22"/>
          <w:szCs w:val="22"/>
        </w:rPr>
        <w:t>15/21)</w:t>
      </w:r>
      <w:r w:rsidR="00282995" w:rsidRPr="007C4D65">
        <w:rPr>
          <w:rFonts w:asciiTheme="minorHAnsi" w:eastAsia="Calibri" w:hAnsiTheme="minorHAnsi" w:cstheme="minorHAnsi"/>
          <w:color w:val="000000"/>
          <w:sz w:val="22"/>
          <w:szCs w:val="22"/>
        </w:rPr>
        <w:fldChar w:fldCharType="end"/>
      </w:r>
      <w:r w:rsidRPr="007C4D65">
        <w:rPr>
          <w:rFonts w:asciiTheme="minorHAnsi" w:hAnsiTheme="minorHAnsi" w:cstheme="minorHAnsi"/>
          <w:color w:val="000000"/>
          <w:sz w:val="22"/>
          <w:szCs w:val="22"/>
        </w:rPr>
        <w:t xml:space="preserve">, while two additional principles (*) were proposed to achieve a stronger alignment with the principles of the EU Sustainable Development Strategy and Agenda 2030 (inclusion, no one will be left out). The </w:t>
      </w:r>
      <w:r w:rsidR="00A7507A" w:rsidRPr="007C4D65">
        <w:rPr>
          <w:rFonts w:asciiTheme="minorHAnsi" w:hAnsiTheme="minorHAnsi" w:cstheme="minorHAnsi"/>
          <w:color w:val="000000"/>
          <w:sz w:val="22"/>
          <w:szCs w:val="22"/>
        </w:rPr>
        <w:t>main</w:t>
      </w:r>
      <w:r w:rsidRPr="007C4D65">
        <w:rPr>
          <w:rFonts w:asciiTheme="minorHAnsi" w:hAnsiTheme="minorHAnsi" w:cstheme="minorHAnsi"/>
          <w:color w:val="000000"/>
          <w:sz w:val="22"/>
          <w:szCs w:val="22"/>
        </w:rPr>
        <w:t xml:space="preserve"> principles of the Strategy are:</w:t>
      </w:r>
    </w:p>
    <w:p w14:paraId="0871D4BA" w14:textId="77777777" w:rsidR="00FF6EBD" w:rsidRPr="007C4D65" w:rsidRDefault="00FF6EBD" w:rsidP="0068355A">
      <w:pPr>
        <w:numPr>
          <w:ilvl w:val="0"/>
          <w:numId w:val="11"/>
        </w:numPr>
        <w:spacing w:after="160" w:line="276" w:lineRule="auto"/>
        <w:contextualSpacing/>
        <w:jc w:val="both"/>
        <w:rPr>
          <w:rFonts w:asciiTheme="minorHAnsi" w:eastAsia="Calibri" w:hAnsiTheme="minorHAnsi" w:cstheme="minorHAnsi"/>
          <w:color w:val="000000"/>
          <w:sz w:val="22"/>
          <w:szCs w:val="22"/>
        </w:rPr>
      </w:pPr>
      <w:bookmarkStart w:id="9" w:name="_Hlk86442806"/>
      <w:r w:rsidRPr="007C4D65">
        <w:rPr>
          <w:rFonts w:asciiTheme="minorHAnsi" w:hAnsiTheme="minorHAnsi" w:cstheme="minorHAnsi"/>
          <w:color w:val="000000"/>
          <w:sz w:val="22"/>
          <w:szCs w:val="22"/>
        </w:rPr>
        <w:t xml:space="preserve">Principle of sustainable </w:t>
      </w:r>
      <w:proofErr w:type="gramStart"/>
      <w:r w:rsidRPr="007C4D65">
        <w:rPr>
          <w:rFonts w:asciiTheme="minorHAnsi" w:hAnsiTheme="minorHAnsi" w:cstheme="minorHAnsi"/>
          <w:color w:val="000000"/>
          <w:sz w:val="22"/>
          <w:szCs w:val="22"/>
        </w:rPr>
        <w:t>development;</w:t>
      </w:r>
      <w:proofErr w:type="gramEnd"/>
    </w:p>
    <w:p w14:paraId="11FAA9A2" w14:textId="70C0B501" w:rsidR="00FF6EBD" w:rsidRPr="007C4D65" w:rsidRDefault="00FF6EBD" w:rsidP="0068355A">
      <w:pPr>
        <w:numPr>
          <w:ilvl w:val="0"/>
          <w:numId w:val="11"/>
        </w:numPr>
        <w:spacing w:after="160"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Principle of prevention and precaution –</w:t>
      </w:r>
      <w:bookmarkStart w:id="10" w:name="_Hlk100509694"/>
      <w:r w:rsidRPr="007C4D65">
        <w:rPr>
          <w:rFonts w:asciiTheme="minorHAnsi" w:hAnsiTheme="minorHAnsi" w:cstheme="minorHAnsi"/>
          <w:color w:val="000000"/>
          <w:sz w:val="22"/>
          <w:szCs w:val="22"/>
        </w:rPr>
        <w:t xml:space="preserve"> prevention and precautionary measures </w:t>
      </w:r>
      <w:r w:rsidR="00A7507A" w:rsidRPr="007C4D65">
        <w:rPr>
          <w:rFonts w:asciiTheme="minorHAnsi" w:hAnsiTheme="minorHAnsi" w:cstheme="minorHAnsi"/>
          <w:color w:val="000000"/>
          <w:sz w:val="22"/>
          <w:szCs w:val="22"/>
        </w:rPr>
        <w:t xml:space="preserve">are </w:t>
      </w:r>
      <w:r w:rsidRPr="007C4D65">
        <w:rPr>
          <w:rFonts w:asciiTheme="minorHAnsi" w:hAnsiTheme="minorHAnsi" w:cstheme="minorHAnsi"/>
          <w:color w:val="000000"/>
          <w:sz w:val="22"/>
          <w:szCs w:val="22"/>
        </w:rPr>
        <w:t xml:space="preserve">applied in situations </w:t>
      </w:r>
      <w:r w:rsidR="00A7507A" w:rsidRPr="007C4D65">
        <w:rPr>
          <w:rFonts w:asciiTheme="minorHAnsi" w:hAnsiTheme="minorHAnsi" w:cstheme="minorHAnsi"/>
          <w:color w:val="000000"/>
          <w:sz w:val="22"/>
          <w:szCs w:val="22"/>
        </w:rPr>
        <w:t xml:space="preserve">when there </w:t>
      </w:r>
      <w:r w:rsidR="0042097B" w:rsidRPr="007C4D65">
        <w:rPr>
          <w:rFonts w:asciiTheme="minorHAnsi" w:hAnsiTheme="minorHAnsi" w:cstheme="minorHAnsi"/>
          <w:color w:val="000000"/>
          <w:sz w:val="22"/>
          <w:szCs w:val="22"/>
        </w:rPr>
        <w:t>is</w:t>
      </w:r>
      <w:r w:rsidRPr="007C4D65">
        <w:rPr>
          <w:rFonts w:asciiTheme="minorHAnsi" w:hAnsiTheme="minorHAnsi" w:cstheme="minorHAnsi"/>
          <w:color w:val="000000"/>
          <w:sz w:val="22"/>
          <w:szCs w:val="22"/>
        </w:rPr>
        <w:t xml:space="preserve"> (scientific) evidence</w:t>
      </w:r>
      <w:r w:rsidR="0042097B" w:rsidRPr="007C4D65">
        <w:rPr>
          <w:rFonts w:asciiTheme="minorHAnsi" w:hAnsiTheme="minorHAnsi" w:cstheme="minorHAnsi"/>
          <w:color w:val="000000"/>
          <w:sz w:val="22"/>
          <w:szCs w:val="22"/>
        </w:rPr>
        <w:t xml:space="preserve"> of an emerging threat to</w:t>
      </w:r>
      <w:r w:rsidRPr="007C4D65">
        <w:rPr>
          <w:rFonts w:asciiTheme="minorHAnsi" w:hAnsiTheme="minorHAnsi" w:cstheme="minorHAnsi"/>
          <w:color w:val="000000"/>
          <w:sz w:val="22"/>
          <w:szCs w:val="22"/>
        </w:rPr>
        <w:t xml:space="preserve"> </w:t>
      </w:r>
      <w:r w:rsidR="0021297B" w:rsidRPr="007C4D65">
        <w:rPr>
          <w:rFonts w:asciiTheme="minorHAnsi" w:hAnsiTheme="minorHAnsi" w:cstheme="minorHAnsi"/>
          <w:color w:val="000000"/>
          <w:sz w:val="22"/>
          <w:szCs w:val="22"/>
        </w:rPr>
        <w:t xml:space="preserve">environment </w:t>
      </w:r>
      <w:r w:rsidRPr="007C4D65">
        <w:rPr>
          <w:rFonts w:asciiTheme="minorHAnsi" w:hAnsiTheme="minorHAnsi" w:cstheme="minorHAnsi"/>
          <w:color w:val="000000"/>
          <w:sz w:val="22"/>
          <w:szCs w:val="22"/>
        </w:rPr>
        <w:t xml:space="preserve">and human health, but </w:t>
      </w:r>
      <w:r w:rsidR="0042097B" w:rsidRPr="007C4D65">
        <w:rPr>
          <w:rFonts w:asciiTheme="minorHAnsi" w:hAnsiTheme="minorHAnsi" w:cstheme="minorHAnsi"/>
          <w:color w:val="000000"/>
          <w:sz w:val="22"/>
          <w:szCs w:val="22"/>
        </w:rPr>
        <w:t>it is</w:t>
      </w:r>
      <w:r w:rsidRPr="007C4D65">
        <w:rPr>
          <w:rFonts w:asciiTheme="minorHAnsi" w:hAnsiTheme="minorHAnsi" w:cstheme="minorHAnsi"/>
          <w:color w:val="000000"/>
          <w:sz w:val="22"/>
          <w:szCs w:val="22"/>
        </w:rPr>
        <w:t xml:space="preserve"> uncertain and likely to significantly affect the </w:t>
      </w:r>
      <w:proofErr w:type="gramStart"/>
      <w:r w:rsidRPr="007C4D65">
        <w:rPr>
          <w:rFonts w:asciiTheme="minorHAnsi" w:hAnsiTheme="minorHAnsi" w:cstheme="minorHAnsi"/>
          <w:color w:val="000000"/>
          <w:sz w:val="22"/>
          <w:szCs w:val="22"/>
        </w:rPr>
        <w:t xml:space="preserve">environment </w:t>
      </w:r>
      <w:bookmarkEnd w:id="10"/>
      <w:r w:rsidRPr="007C4D65">
        <w:rPr>
          <w:rFonts w:asciiTheme="minorHAnsi" w:hAnsiTheme="minorHAnsi" w:cstheme="minorHAnsi"/>
          <w:color w:val="000000"/>
          <w:sz w:val="22"/>
          <w:szCs w:val="22"/>
        </w:rPr>
        <w:t>;</w:t>
      </w:r>
      <w:proofErr w:type="gramEnd"/>
    </w:p>
    <w:p w14:paraId="584A58F5" w14:textId="1F6C2E7E" w:rsidR="00FF6EBD" w:rsidRPr="007C4D65" w:rsidRDefault="00FF6EBD" w:rsidP="0068355A">
      <w:pPr>
        <w:numPr>
          <w:ilvl w:val="0"/>
          <w:numId w:val="11"/>
        </w:numPr>
        <w:spacing w:after="160"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 xml:space="preserve">Principle of replacement - every activity which may have adverse effects on the </w:t>
      </w:r>
      <w:proofErr w:type="gramStart"/>
      <w:r w:rsidRPr="007C4D65">
        <w:rPr>
          <w:rFonts w:asciiTheme="minorHAnsi" w:hAnsiTheme="minorHAnsi" w:cstheme="minorHAnsi"/>
          <w:color w:val="000000"/>
          <w:sz w:val="22"/>
          <w:szCs w:val="22"/>
        </w:rPr>
        <w:t>environment  should</w:t>
      </w:r>
      <w:proofErr w:type="gramEnd"/>
      <w:r w:rsidRPr="007C4D65">
        <w:rPr>
          <w:rFonts w:asciiTheme="minorHAnsi" w:hAnsiTheme="minorHAnsi" w:cstheme="minorHAnsi"/>
          <w:color w:val="000000"/>
          <w:sz w:val="22"/>
          <w:szCs w:val="22"/>
        </w:rPr>
        <w:t xml:space="preserve"> be replaced with another activity which poses </w:t>
      </w:r>
      <w:r w:rsidR="0021297B" w:rsidRPr="007C4D65">
        <w:rPr>
          <w:rFonts w:asciiTheme="minorHAnsi" w:hAnsiTheme="minorHAnsi" w:cstheme="minorHAnsi"/>
          <w:color w:val="000000"/>
          <w:sz w:val="22"/>
          <w:szCs w:val="22"/>
        </w:rPr>
        <w:t>a significantly</w:t>
      </w:r>
      <w:r w:rsidRPr="007C4D65">
        <w:rPr>
          <w:rFonts w:asciiTheme="minorHAnsi" w:hAnsiTheme="minorHAnsi" w:cstheme="minorHAnsi"/>
          <w:color w:val="000000"/>
          <w:sz w:val="22"/>
          <w:szCs w:val="22"/>
        </w:rPr>
        <w:t xml:space="preserve"> smaller risk;</w:t>
      </w:r>
    </w:p>
    <w:p w14:paraId="3743962E" w14:textId="77777777" w:rsidR="00FF6EBD" w:rsidRPr="007C4D65" w:rsidRDefault="00FF6EBD" w:rsidP="0068355A">
      <w:pPr>
        <w:numPr>
          <w:ilvl w:val="0"/>
          <w:numId w:val="11"/>
        </w:numPr>
        <w:spacing w:after="160"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sz w:val="22"/>
          <w:szCs w:val="22"/>
        </w:rPr>
        <w:t>Principle of integrated approach</w:t>
      </w:r>
      <w:r w:rsidRPr="007C4D65">
        <w:rPr>
          <w:rFonts w:asciiTheme="minorHAnsi" w:hAnsiTheme="minorHAnsi" w:cstheme="minorHAnsi"/>
          <w:color w:val="000000"/>
          <w:sz w:val="22"/>
          <w:szCs w:val="22"/>
        </w:rPr>
        <w:t xml:space="preserve"> </w:t>
      </w:r>
      <w:proofErr w:type="gramStart"/>
      <w:r w:rsidRPr="007C4D65">
        <w:rPr>
          <w:rFonts w:asciiTheme="minorHAnsi" w:hAnsiTheme="minorHAnsi" w:cstheme="minorHAnsi"/>
          <w:color w:val="000000"/>
          <w:sz w:val="22"/>
          <w:szCs w:val="22"/>
        </w:rPr>
        <w:t xml:space="preserve">– </w:t>
      </w:r>
      <w:bookmarkStart w:id="11" w:name="_Hlk100573232"/>
      <w:bookmarkStart w:id="12" w:name="_Hlk100510234"/>
      <w:r w:rsidRPr="007C4D65">
        <w:rPr>
          <w:rFonts w:asciiTheme="minorHAnsi" w:hAnsiTheme="minorHAnsi" w:cstheme="minorHAnsi"/>
          <w:sz w:val="22"/>
          <w:szCs w:val="22"/>
        </w:rPr>
        <w:t xml:space="preserve"> preventing</w:t>
      </w:r>
      <w:proofErr w:type="gramEnd"/>
      <w:r w:rsidRPr="007C4D65">
        <w:rPr>
          <w:rFonts w:asciiTheme="minorHAnsi" w:hAnsiTheme="minorHAnsi" w:cstheme="minorHAnsi"/>
          <w:sz w:val="22"/>
          <w:szCs w:val="22"/>
        </w:rPr>
        <w:t xml:space="preserve"> or minimising environmental damage</w:t>
      </w:r>
      <w:bookmarkEnd w:id="11"/>
      <w:bookmarkEnd w:id="12"/>
      <w:r w:rsidRPr="007C4D65">
        <w:rPr>
          <w:rFonts w:asciiTheme="minorHAnsi" w:hAnsiTheme="minorHAnsi" w:cstheme="minorHAnsi"/>
          <w:color w:val="000000"/>
          <w:sz w:val="22"/>
          <w:szCs w:val="22"/>
        </w:rPr>
        <w:t>;</w:t>
      </w:r>
    </w:p>
    <w:p w14:paraId="36E5411F" w14:textId="2F427308" w:rsidR="00FF6EBD" w:rsidRPr="007C4D65" w:rsidRDefault="00FF6EBD" w:rsidP="0068355A">
      <w:pPr>
        <w:numPr>
          <w:ilvl w:val="0"/>
          <w:numId w:val="11"/>
        </w:numPr>
        <w:spacing w:after="160"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Principle of cooperation and shar</w:t>
      </w:r>
      <w:r w:rsidR="0021297B" w:rsidRPr="007C4D65">
        <w:rPr>
          <w:rFonts w:asciiTheme="minorHAnsi" w:hAnsiTheme="minorHAnsi" w:cstheme="minorHAnsi"/>
          <w:color w:val="000000"/>
          <w:sz w:val="22"/>
          <w:szCs w:val="22"/>
        </w:rPr>
        <w:t>ed</w:t>
      </w:r>
      <w:r w:rsidRPr="007C4D65">
        <w:rPr>
          <w:rFonts w:asciiTheme="minorHAnsi" w:hAnsiTheme="minorHAnsi" w:cstheme="minorHAnsi"/>
          <w:color w:val="000000"/>
          <w:sz w:val="22"/>
          <w:szCs w:val="22"/>
        </w:rPr>
        <w:t xml:space="preserve"> responsibilities - cooperation and joint action of all stakeholders aimed at </w:t>
      </w:r>
      <w:r w:rsidR="0021297B" w:rsidRPr="007C4D65">
        <w:rPr>
          <w:rFonts w:asciiTheme="minorHAnsi" w:hAnsiTheme="minorHAnsi" w:cstheme="minorHAnsi"/>
          <w:color w:val="000000"/>
          <w:sz w:val="22"/>
          <w:szCs w:val="22"/>
        </w:rPr>
        <w:t>protecting the</w:t>
      </w:r>
      <w:r w:rsidRPr="007C4D65">
        <w:rPr>
          <w:rFonts w:asciiTheme="minorHAnsi" w:hAnsiTheme="minorHAnsi" w:cstheme="minorHAnsi"/>
          <w:color w:val="000000"/>
          <w:sz w:val="22"/>
          <w:szCs w:val="22"/>
        </w:rPr>
        <w:t xml:space="preserve"> </w:t>
      </w:r>
      <w:proofErr w:type="gramStart"/>
      <w:r w:rsidRPr="007C4D65">
        <w:rPr>
          <w:rFonts w:asciiTheme="minorHAnsi" w:hAnsiTheme="minorHAnsi" w:cstheme="minorHAnsi"/>
          <w:color w:val="000000"/>
          <w:sz w:val="22"/>
          <w:szCs w:val="22"/>
        </w:rPr>
        <w:t>environment;</w:t>
      </w:r>
      <w:proofErr w:type="gramEnd"/>
    </w:p>
    <w:p w14:paraId="14001702" w14:textId="7BDFDAE7" w:rsidR="00FF6EBD" w:rsidRPr="007C4D65" w:rsidRDefault="00FF6EBD" w:rsidP="0068355A">
      <w:pPr>
        <w:numPr>
          <w:ilvl w:val="0"/>
          <w:numId w:val="11"/>
        </w:numPr>
        <w:spacing w:after="160"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 xml:space="preserve">Principle of public participation and access to information - participation of all interested citizens, every </w:t>
      </w:r>
      <w:r w:rsidR="0021297B" w:rsidRPr="007C4D65">
        <w:rPr>
          <w:rFonts w:asciiTheme="minorHAnsi" w:hAnsiTheme="minorHAnsi" w:cstheme="minorHAnsi"/>
          <w:color w:val="000000"/>
          <w:sz w:val="22"/>
          <w:szCs w:val="22"/>
        </w:rPr>
        <w:t>individual</w:t>
      </w:r>
      <w:r w:rsidRPr="007C4D65">
        <w:rPr>
          <w:rFonts w:asciiTheme="minorHAnsi" w:hAnsiTheme="minorHAnsi" w:cstheme="minorHAnsi"/>
          <w:color w:val="000000"/>
          <w:sz w:val="22"/>
          <w:szCs w:val="22"/>
        </w:rPr>
        <w:t xml:space="preserve"> and organisation must have adequate access to environmental </w:t>
      </w:r>
      <w:proofErr w:type="gramStart"/>
      <w:r w:rsidRPr="007C4D65">
        <w:rPr>
          <w:rFonts w:asciiTheme="minorHAnsi" w:hAnsiTheme="minorHAnsi" w:cstheme="minorHAnsi"/>
          <w:color w:val="000000"/>
          <w:sz w:val="22"/>
          <w:szCs w:val="22"/>
        </w:rPr>
        <w:t>information;</w:t>
      </w:r>
      <w:proofErr w:type="gramEnd"/>
    </w:p>
    <w:p w14:paraId="627F6BE9" w14:textId="55DDB73E" w:rsidR="00FF6EBD" w:rsidRPr="007C4D65" w:rsidRDefault="00FF6EBD" w:rsidP="0068355A">
      <w:pPr>
        <w:numPr>
          <w:ilvl w:val="0"/>
          <w:numId w:val="11"/>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 xml:space="preserve">Principle ‘polluter pays’ - polluter pays costs of pollution control and </w:t>
      </w:r>
      <w:proofErr w:type="gramStart"/>
      <w:r w:rsidRPr="007C4D65">
        <w:rPr>
          <w:rFonts w:asciiTheme="minorHAnsi" w:hAnsiTheme="minorHAnsi" w:cstheme="minorHAnsi"/>
          <w:sz w:val="22"/>
          <w:szCs w:val="22"/>
        </w:rPr>
        <w:t>prevention;</w:t>
      </w:r>
      <w:proofErr w:type="gramEnd"/>
    </w:p>
    <w:p w14:paraId="4D5BAEB9" w14:textId="77777777" w:rsidR="00FF6EBD" w:rsidRPr="007C4D65" w:rsidRDefault="00FF6EBD" w:rsidP="0068355A">
      <w:pPr>
        <w:numPr>
          <w:ilvl w:val="0"/>
          <w:numId w:val="11"/>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 xml:space="preserve">Principle of human rights promotion and protection*‒ through the lens of gender equality, social equity, and </w:t>
      </w:r>
      <w:proofErr w:type="gramStart"/>
      <w:r w:rsidRPr="007C4D65">
        <w:rPr>
          <w:rFonts w:asciiTheme="minorHAnsi" w:hAnsiTheme="minorHAnsi" w:cstheme="minorHAnsi"/>
          <w:sz w:val="22"/>
          <w:szCs w:val="22"/>
        </w:rPr>
        <w:t>poverty;</w:t>
      </w:r>
      <w:proofErr w:type="gramEnd"/>
    </w:p>
    <w:p w14:paraId="514ACA52" w14:textId="77777777" w:rsidR="004F46E2" w:rsidRPr="007C4D65" w:rsidRDefault="00FF6EBD" w:rsidP="0068355A">
      <w:pPr>
        <w:numPr>
          <w:ilvl w:val="0"/>
          <w:numId w:val="11"/>
        </w:numPr>
        <w:spacing w:before="240" w:after="160"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Principle of internal and intergenerational equality*.</w:t>
      </w:r>
      <w:bookmarkEnd w:id="9"/>
    </w:p>
    <w:p w14:paraId="3D4080D5" w14:textId="02ED4E94" w:rsidR="004F46E2" w:rsidRPr="007C4D65" w:rsidRDefault="004F46E2" w:rsidP="0068355A">
      <w:pPr>
        <w:spacing w:before="240" w:after="240" w:line="276" w:lineRule="auto"/>
        <w:jc w:val="both"/>
        <w:rPr>
          <w:rFonts w:asciiTheme="minorHAnsi" w:eastAsia="Calibri" w:hAnsiTheme="minorHAnsi" w:cstheme="minorHAnsi"/>
          <w:color w:val="000000"/>
          <w:sz w:val="22"/>
          <w:szCs w:val="22"/>
        </w:rPr>
      </w:pPr>
      <w:bookmarkStart w:id="13" w:name="_Hlk86442833"/>
      <w:bookmarkStart w:id="14" w:name="_Hlk86443645"/>
      <w:r w:rsidRPr="007C4D65">
        <w:rPr>
          <w:rFonts w:asciiTheme="minorHAnsi" w:hAnsiTheme="minorHAnsi" w:cstheme="minorHAnsi"/>
          <w:color w:val="000000"/>
          <w:sz w:val="22"/>
          <w:szCs w:val="22"/>
        </w:rPr>
        <w:t xml:space="preserve">In addition to the key principles, the </w:t>
      </w:r>
      <w:r w:rsidR="0042097B" w:rsidRPr="007C4D65">
        <w:rPr>
          <w:rFonts w:asciiTheme="minorHAnsi" w:hAnsiTheme="minorHAnsi" w:cstheme="minorHAnsi"/>
          <w:color w:val="000000"/>
          <w:sz w:val="22"/>
          <w:szCs w:val="22"/>
        </w:rPr>
        <w:t>drafters</w:t>
      </w:r>
      <w:r w:rsidRPr="007C4D65">
        <w:rPr>
          <w:rFonts w:asciiTheme="minorHAnsi" w:hAnsiTheme="minorHAnsi" w:cstheme="minorHAnsi"/>
          <w:color w:val="000000"/>
          <w:sz w:val="22"/>
          <w:szCs w:val="22"/>
        </w:rPr>
        <w:t xml:space="preserve"> and owners of the document were provided with a set of </w:t>
      </w:r>
      <w:r w:rsidRPr="007C4D65">
        <w:rPr>
          <w:rFonts w:asciiTheme="minorHAnsi" w:hAnsiTheme="minorHAnsi" w:cstheme="minorHAnsi"/>
          <w:b/>
          <w:color w:val="000000"/>
          <w:sz w:val="22"/>
          <w:szCs w:val="22"/>
        </w:rPr>
        <w:t>strategic goals</w:t>
      </w:r>
      <w:r w:rsidRPr="007C4D65">
        <w:rPr>
          <w:rFonts w:asciiTheme="minorHAnsi" w:hAnsiTheme="minorHAnsi" w:cstheme="minorHAnsi"/>
          <w:color w:val="000000"/>
          <w:sz w:val="22"/>
          <w:szCs w:val="22"/>
        </w:rPr>
        <w:t xml:space="preserve"> which ensured a platform and general policy to lead their efforts. The strategic goals of this Strategy are:</w:t>
      </w:r>
    </w:p>
    <w:p w14:paraId="6E9B4B6F" w14:textId="77777777" w:rsidR="004F46E2" w:rsidRPr="007C4D65" w:rsidRDefault="004F46E2" w:rsidP="0068355A">
      <w:pPr>
        <w:numPr>
          <w:ilvl w:val="0"/>
          <w:numId w:val="12"/>
        </w:numPr>
        <w:spacing w:line="276" w:lineRule="auto"/>
        <w:contextualSpacing/>
        <w:jc w:val="both"/>
        <w:rPr>
          <w:rFonts w:asciiTheme="minorHAnsi" w:eastAsia="Calibri" w:hAnsiTheme="minorHAnsi" w:cstheme="minorHAnsi"/>
          <w:color w:val="000000"/>
          <w:sz w:val="22"/>
          <w:szCs w:val="22"/>
        </w:rPr>
      </w:pPr>
      <w:bookmarkStart w:id="15" w:name="_Hlk117013795"/>
      <w:r w:rsidRPr="007C4D65">
        <w:rPr>
          <w:rFonts w:asciiTheme="minorHAnsi" w:hAnsiTheme="minorHAnsi" w:cstheme="minorHAnsi"/>
          <w:color w:val="000000"/>
          <w:sz w:val="22"/>
          <w:szCs w:val="22"/>
        </w:rPr>
        <w:t xml:space="preserve">Protecting water quality and ensuring access to and sustainable management of water </w:t>
      </w:r>
      <w:proofErr w:type="gramStart"/>
      <w:r w:rsidRPr="007C4D65">
        <w:rPr>
          <w:rFonts w:asciiTheme="minorHAnsi" w:hAnsiTheme="minorHAnsi" w:cstheme="minorHAnsi"/>
          <w:color w:val="000000"/>
          <w:sz w:val="22"/>
          <w:szCs w:val="22"/>
        </w:rPr>
        <w:t>resources</w:t>
      </w:r>
      <w:bookmarkEnd w:id="15"/>
      <w:r w:rsidRPr="007C4D65">
        <w:rPr>
          <w:rFonts w:asciiTheme="minorHAnsi" w:hAnsiTheme="minorHAnsi" w:cstheme="minorHAnsi"/>
          <w:color w:val="000000"/>
          <w:sz w:val="22"/>
          <w:szCs w:val="22"/>
        </w:rPr>
        <w:t>;</w:t>
      </w:r>
      <w:proofErr w:type="gramEnd"/>
    </w:p>
    <w:p w14:paraId="56A9DC48" w14:textId="019C4EA3" w:rsidR="004F46E2" w:rsidRPr="007C4D65" w:rsidRDefault="004F46E2" w:rsidP="0068355A">
      <w:pPr>
        <w:numPr>
          <w:ilvl w:val="0"/>
          <w:numId w:val="12"/>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 xml:space="preserve">Reducing waste and increasing the </w:t>
      </w:r>
      <w:r w:rsidR="0021297B" w:rsidRPr="007C4D65">
        <w:rPr>
          <w:rFonts w:asciiTheme="minorHAnsi" w:hAnsiTheme="minorHAnsi" w:cstheme="minorHAnsi"/>
          <w:color w:val="000000"/>
          <w:sz w:val="22"/>
          <w:szCs w:val="22"/>
        </w:rPr>
        <w:t>amount</w:t>
      </w:r>
      <w:r w:rsidRPr="007C4D65">
        <w:rPr>
          <w:rFonts w:asciiTheme="minorHAnsi" w:hAnsiTheme="minorHAnsi" w:cstheme="minorHAnsi"/>
          <w:color w:val="000000"/>
          <w:sz w:val="22"/>
          <w:szCs w:val="22"/>
        </w:rPr>
        <w:t xml:space="preserve"> of reused of </w:t>
      </w:r>
      <w:proofErr w:type="gramStart"/>
      <w:r w:rsidRPr="007C4D65">
        <w:rPr>
          <w:rFonts w:asciiTheme="minorHAnsi" w:hAnsiTheme="minorHAnsi" w:cstheme="minorHAnsi"/>
          <w:color w:val="000000"/>
          <w:sz w:val="22"/>
          <w:szCs w:val="22"/>
        </w:rPr>
        <w:t>materials;</w:t>
      </w:r>
      <w:proofErr w:type="gramEnd"/>
    </w:p>
    <w:p w14:paraId="4D7492D8" w14:textId="77777777" w:rsidR="00294908" w:rsidRPr="007C4D65" w:rsidRDefault="005E22EF" w:rsidP="0068355A">
      <w:pPr>
        <w:numPr>
          <w:ilvl w:val="0"/>
          <w:numId w:val="12"/>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 xml:space="preserve">Maintaining and enhancing biodiversity and protecting </w:t>
      </w:r>
      <w:proofErr w:type="gramStart"/>
      <w:r w:rsidRPr="007C4D65">
        <w:rPr>
          <w:rFonts w:asciiTheme="minorHAnsi" w:hAnsiTheme="minorHAnsi" w:cstheme="minorHAnsi"/>
          <w:color w:val="000000"/>
          <w:sz w:val="22"/>
          <w:szCs w:val="22"/>
        </w:rPr>
        <w:t>ecosystems;</w:t>
      </w:r>
      <w:proofErr w:type="gramEnd"/>
    </w:p>
    <w:p w14:paraId="0C323666" w14:textId="77777777" w:rsidR="004F46E2" w:rsidRPr="007C4D65" w:rsidRDefault="004F46E2" w:rsidP="0068355A">
      <w:pPr>
        <w:numPr>
          <w:ilvl w:val="0"/>
          <w:numId w:val="12"/>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 xml:space="preserve">Mitigating and adapting to climate change and improving air </w:t>
      </w:r>
      <w:proofErr w:type="gramStart"/>
      <w:r w:rsidRPr="007C4D65">
        <w:rPr>
          <w:rFonts w:asciiTheme="minorHAnsi" w:hAnsiTheme="minorHAnsi" w:cstheme="minorHAnsi"/>
          <w:color w:val="000000"/>
          <w:sz w:val="22"/>
          <w:szCs w:val="22"/>
        </w:rPr>
        <w:t>quality;</w:t>
      </w:r>
      <w:proofErr w:type="gramEnd"/>
    </w:p>
    <w:p w14:paraId="7D5D96EE" w14:textId="77777777" w:rsidR="004F46E2" w:rsidRPr="007C4D65" w:rsidRDefault="004F46E2" w:rsidP="0068355A">
      <w:pPr>
        <w:numPr>
          <w:ilvl w:val="0"/>
          <w:numId w:val="12"/>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lastRenderedPageBreak/>
        <w:t xml:space="preserve">Human health protection and improving well-being and quality of life for </w:t>
      </w:r>
      <w:proofErr w:type="gramStart"/>
      <w:r w:rsidRPr="007C4D65">
        <w:rPr>
          <w:rFonts w:asciiTheme="minorHAnsi" w:hAnsiTheme="minorHAnsi" w:cstheme="minorHAnsi"/>
          <w:color w:val="000000"/>
          <w:sz w:val="22"/>
          <w:szCs w:val="22"/>
        </w:rPr>
        <w:t>all;</w:t>
      </w:r>
      <w:proofErr w:type="gramEnd"/>
    </w:p>
    <w:p w14:paraId="0A742B4A" w14:textId="77777777" w:rsidR="004F46E2" w:rsidRPr="007C4D65" w:rsidRDefault="00450870" w:rsidP="0068355A">
      <w:pPr>
        <w:numPr>
          <w:ilvl w:val="0"/>
          <w:numId w:val="12"/>
        </w:numPr>
        <w:spacing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 xml:space="preserve">Ensuring sustainable use of natural </w:t>
      </w:r>
      <w:proofErr w:type="gramStart"/>
      <w:r w:rsidRPr="007C4D65">
        <w:rPr>
          <w:rFonts w:asciiTheme="minorHAnsi" w:hAnsiTheme="minorHAnsi" w:cstheme="minorHAnsi"/>
          <w:color w:val="000000"/>
          <w:sz w:val="22"/>
          <w:szCs w:val="22"/>
        </w:rPr>
        <w:t>resources;</w:t>
      </w:r>
      <w:proofErr w:type="gramEnd"/>
    </w:p>
    <w:p w14:paraId="25AD6F0E" w14:textId="77777777" w:rsidR="004F46E2" w:rsidRPr="007C4D65" w:rsidRDefault="00E7591D" w:rsidP="0068355A">
      <w:pPr>
        <w:numPr>
          <w:ilvl w:val="0"/>
          <w:numId w:val="12"/>
        </w:numPr>
        <w:spacing w:line="276" w:lineRule="auto"/>
        <w:ind w:left="714" w:hanging="357"/>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Improving environmental management.</w:t>
      </w:r>
    </w:p>
    <w:p w14:paraId="098A3645" w14:textId="3FB6DBF0" w:rsidR="004F46E2" w:rsidRPr="007C4D65" w:rsidRDefault="004F46E2" w:rsidP="0068355A">
      <w:pPr>
        <w:spacing w:before="240" w:after="240" w:line="276" w:lineRule="auto"/>
        <w:rPr>
          <w:rFonts w:asciiTheme="minorHAnsi" w:eastAsia="Calibri" w:hAnsiTheme="minorHAnsi" w:cstheme="minorHAnsi"/>
          <w:i/>
          <w:color w:val="000000"/>
          <w:sz w:val="22"/>
          <w:szCs w:val="22"/>
          <w:u w:val="single"/>
        </w:rPr>
      </w:pPr>
      <w:bookmarkStart w:id="16" w:name="_Hlk93562886"/>
      <w:bookmarkEnd w:id="13"/>
      <w:bookmarkEnd w:id="14"/>
      <w:r w:rsidRPr="007C4D65">
        <w:rPr>
          <w:rFonts w:asciiTheme="minorHAnsi" w:hAnsiTheme="minorHAnsi" w:cstheme="minorHAnsi"/>
          <w:i/>
          <w:color w:val="000000"/>
          <w:sz w:val="22"/>
          <w:szCs w:val="22"/>
          <w:u w:val="single"/>
        </w:rPr>
        <w:t xml:space="preserve">Participatory </w:t>
      </w:r>
      <w:r w:rsidR="0021297B" w:rsidRPr="007C4D65">
        <w:rPr>
          <w:rFonts w:asciiTheme="minorHAnsi" w:hAnsiTheme="minorHAnsi" w:cstheme="minorHAnsi"/>
          <w:i/>
          <w:color w:val="000000"/>
          <w:sz w:val="22"/>
          <w:szCs w:val="22"/>
          <w:u w:val="single"/>
        </w:rPr>
        <w:t>process</w:t>
      </w:r>
    </w:p>
    <w:bookmarkEnd w:id="16"/>
    <w:p w14:paraId="1650A1CD" w14:textId="0CE7EF5E" w:rsidR="004F46E2" w:rsidRPr="007C4D65" w:rsidRDefault="0042097B" w:rsidP="0068355A">
      <w:pPr>
        <w:spacing w:after="240" w:line="276" w:lineRule="auto"/>
        <w:jc w:val="both"/>
        <w:rPr>
          <w:rFonts w:asciiTheme="minorHAnsi" w:hAnsiTheme="minorHAnsi" w:cstheme="minorHAnsi"/>
          <w:color w:val="000000" w:themeColor="text1"/>
          <w:sz w:val="22"/>
          <w:szCs w:val="22"/>
        </w:rPr>
      </w:pPr>
      <w:r w:rsidRPr="007C4D65">
        <w:rPr>
          <w:rFonts w:asciiTheme="minorHAnsi" w:hAnsiTheme="minorHAnsi" w:cstheme="minorHAnsi"/>
          <w:color w:val="000000" w:themeColor="text1"/>
          <w:sz w:val="22"/>
          <w:szCs w:val="22"/>
        </w:rPr>
        <w:t>T</w:t>
      </w:r>
      <w:r w:rsidR="004F46E2" w:rsidRPr="007C4D65">
        <w:rPr>
          <w:rFonts w:asciiTheme="minorHAnsi" w:hAnsiTheme="minorHAnsi" w:cstheme="minorHAnsi"/>
          <w:color w:val="000000" w:themeColor="text1"/>
          <w:sz w:val="22"/>
          <w:szCs w:val="22"/>
        </w:rPr>
        <w:t xml:space="preserve">he Strategy </w:t>
      </w:r>
      <w:r w:rsidRPr="007C4D65">
        <w:rPr>
          <w:rFonts w:asciiTheme="minorHAnsi" w:hAnsiTheme="minorHAnsi" w:cstheme="minorHAnsi"/>
          <w:color w:val="000000" w:themeColor="text1"/>
          <w:sz w:val="22"/>
          <w:szCs w:val="22"/>
        </w:rPr>
        <w:t>was formulated by</w:t>
      </w:r>
      <w:r w:rsidR="004F46E2" w:rsidRPr="007C4D65">
        <w:rPr>
          <w:rFonts w:asciiTheme="minorHAnsi" w:hAnsiTheme="minorHAnsi" w:cstheme="minorHAnsi"/>
          <w:color w:val="000000" w:themeColor="text1"/>
          <w:sz w:val="22"/>
          <w:szCs w:val="22"/>
        </w:rPr>
        <w:t xml:space="preserve"> seven Working Groups</w:t>
      </w:r>
      <w:r w:rsidR="0021297B" w:rsidRPr="007C4D65">
        <w:rPr>
          <w:rFonts w:asciiTheme="minorHAnsi" w:hAnsiTheme="minorHAnsi" w:cstheme="minorHAnsi"/>
          <w:color w:val="000000" w:themeColor="text1"/>
          <w:sz w:val="22"/>
          <w:szCs w:val="22"/>
        </w:rPr>
        <w:t>, one</w:t>
      </w:r>
      <w:r w:rsidR="004F46E2" w:rsidRPr="007C4D65">
        <w:rPr>
          <w:rFonts w:asciiTheme="minorHAnsi" w:hAnsiTheme="minorHAnsi" w:cstheme="minorHAnsi"/>
          <w:color w:val="000000" w:themeColor="text1"/>
          <w:sz w:val="22"/>
          <w:szCs w:val="22"/>
        </w:rPr>
        <w:t xml:space="preserve"> for each individual thematic area in the Federation of BiH, </w:t>
      </w:r>
      <w:r w:rsidRPr="007C4D65">
        <w:rPr>
          <w:rFonts w:asciiTheme="minorHAnsi" w:hAnsiTheme="minorHAnsi" w:cstheme="minorHAnsi"/>
          <w:color w:val="000000" w:themeColor="text1"/>
          <w:sz w:val="22"/>
          <w:szCs w:val="22"/>
        </w:rPr>
        <w:t xml:space="preserve">and the process was managed by </w:t>
      </w:r>
      <w:r w:rsidR="0021297B" w:rsidRPr="007C4D65">
        <w:rPr>
          <w:rFonts w:asciiTheme="minorHAnsi" w:hAnsiTheme="minorHAnsi" w:cstheme="minorHAnsi"/>
          <w:color w:val="000000" w:themeColor="text1"/>
          <w:sz w:val="22"/>
          <w:szCs w:val="22"/>
        </w:rPr>
        <w:t>the</w:t>
      </w:r>
      <w:r w:rsidR="004F46E2" w:rsidRPr="007C4D65">
        <w:rPr>
          <w:rFonts w:asciiTheme="minorHAnsi" w:hAnsiTheme="minorHAnsi" w:cstheme="minorHAnsi"/>
          <w:color w:val="000000" w:themeColor="text1"/>
          <w:sz w:val="22"/>
          <w:szCs w:val="22"/>
        </w:rPr>
        <w:t xml:space="preserve"> Policy Group for the Federation of BiH. In addition, the </w:t>
      </w:r>
      <w:proofErr w:type="gramStart"/>
      <w:r w:rsidR="004F46E2" w:rsidRPr="007C4D65">
        <w:rPr>
          <w:rFonts w:asciiTheme="minorHAnsi" w:hAnsiTheme="minorHAnsi" w:cstheme="minorHAnsi"/>
          <w:color w:val="000000" w:themeColor="text1"/>
          <w:sz w:val="22"/>
          <w:szCs w:val="22"/>
        </w:rPr>
        <w:t>general public</w:t>
      </w:r>
      <w:proofErr w:type="gramEnd"/>
      <w:r w:rsidR="004F46E2" w:rsidRPr="007C4D65">
        <w:rPr>
          <w:rFonts w:asciiTheme="minorHAnsi" w:hAnsiTheme="minorHAnsi" w:cstheme="minorHAnsi"/>
          <w:color w:val="000000" w:themeColor="text1"/>
          <w:sz w:val="22"/>
          <w:szCs w:val="22"/>
        </w:rPr>
        <w:t xml:space="preserve">, including civil society organisations, was provided </w:t>
      </w:r>
      <w:r w:rsidR="0021297B" w:rsidRPr="007C4D65">
        <w:rPr>
          <w:rFonts w:asciiTheme="minorHAnsi" w:hAnsiTheme="minorHAnsi" w:cstheme="minorHAnsi"/>
          <w:color w:val="000000" w:themeColor="text1"/>
          <w:sz w:val="22"/>
          <w:szCs w:val="22"/>
        </w:rPr>
        <w:t>with</w:t>
      </w:r>
      <w:r w:rsidR="004F46E2" w:rsidRPr="007C4D65">
        <w:rPr>
          <w:rFonts w:asciiTheme="minorHAnsi" w:hAnsiTheme="minorHAnsi" w:cstheme="minorHAnsi"/>
          <w:color w:val="000000" w:themeColor="text1"/>
          <w:sz w:val="22"/>
          <w:szCs w:val="22"/>
        </w:rPr>
        <w:t xml:space="preserve"> an opportunity to engage in the process though public hearings, with a full support of the Swedish institutions. </w:t>
      </w:r>
    </w:p>
    <w:p w14:paraId="2E5BF9CF" w14:textId="38D6AD2F" w:rsidR="004F46E2" w:rsidRPr="007C4D65" w:rsidRDefault="004F46E2" w:rsidP="0068355A">
      <w:pPr>
        <w:spacing w:after="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szCs w:val="22"/>
          <w:u w:val="single"/>
        </w:rPr>
        <w:t>Policy Group - Federation of BiH (assistant ministers)</w:t>
      </w:r>
    </w:p>
    <w:p w14:paraId="198B46DB" w14:textId="38143615" w:rsidR="004F46E2" w:rsidRPr="007C4D65" w:rsidRDefault="004F46E2" w:rsidP="0068355A">
      <w:pPr>
        <w:spacing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szCs w:val="22"/>
        </w:rPr>
        <w:t xml:space="preserve">The Policy </w:t>
      </w:r>
      <w:r w:rsidR="0042097B" w:rsidRPr="007C4D65">
        <w:rPr>
          <w:rFonts w:asciiTheme="minorHAnsi" w:hAnsiTheme="minorHAnsi" w:cstheme="minorHAnsi"/>
          <w:sz w:val="22"/>
          <w:szCs w:val="22"/>
        </w:rPr>
        <w:t xml:space="preserve">Group </w:t>
      </w:r>
      <w:r w:rsidRPr="007C4D65">
        <w:rPr>
          <w:rFonts w:asciiTheme="minorHAnsi" w:hAnsiTheme="minorHAnsi" w:cstheme="minorHAnsi"/>
          <w:sz w:val="22"/>
          <w:szCs w:val="22"/>
        </w:rPr>
        <w:t xml:space="preserve">of the </w:t>
      </w:r>
      <w:r w:rsidR="008B417A" w:rsidRPr="007C4D65">
        <w:rPr>
          <w:rFonts w:asciiTheme="minorHAnsi" w:hAnsiTheme="minorHAnsi" w:cstheme="minorHAnsi"/>
          <w:sz w:val="22"/>
          <w:szCs w:val="22"/>
        </w:rPr>
        <w:t>Federation</w:t>
      </w:r>
      <w:r w:rsidRPr="007C4D65">
        <w:rPr>
          <w:rFonts w:asciiTheme="minorHAnsi" w:hAnsiTheme="minorHAnsi" w:cstheme="minorHAnsi"/>
          <w:sz w:val="22"/>
          <w:szCs w:val="22"/>
        </w:rPr>
        <w:t xml:space="preserve"> of BiH comprised assistant ministers from the line ministries and senior public officials from </w:t>
      </w:r>
      <w:r w:rsidR="008B417A" w:rsidRPr="007C4D65">
        <w:rPr>
          <w:rFonts w:asciiTheme="minorHAnsi" w:hAnsiTheme="minorHAnsi" w:cstheme="minorHAnsi"/>
          <w:sz w:val="22"/>
          <w:szCs w:val="22"/>
        </w:rPr>
        <w:t>relevant</w:t>
      </w:r>
      <w:r w:rsidRPr="007C4D65">
        <w:rPr>
          <w:rFonts w:asciiTheme="minorHAnsi" w:hAnsiTheme="minorHAnsi" w:cstheme="minorHAnsi"/>
          <w:sz w:val="22"/>
          <w:szCs w:val="22"/>
        </w:rPr>
        <w:t xml:space="preserve"> government bodies and institutions, as well as representatives of the NGO - sector/EKO BiH Network (a network of non-governmental organisations focusing on the environment). </w:t>
      </w:r>
      <w:bookmarkStart w:id="17" w:name="_Hlk94721331"/>
      <w:r w:rsidRPr="007C4D65">
        <w:rPr>
          <w:rFonts w:asciiTheme="minorHAnsi" w:hAnsiTheme="minorHAnsi" w:cstheme="minorHAnsi"/>
          <w:sz w:val="22"/>
          <w:szCs w:val="22"/>
        </w:rPr>
        <w:t>This group reviewed inputs of the working groups’ members and decided on activities and results in their competence. The</w:t>
      </w:r>
      <w:r w:rsidR="008B417A" w:rsidRPr="007C4D65">
        <w:rPr>
          <w:rFonts w:asciiTheme="minorHAnsi" w:hAnsiTheme="minorHAnsi" w:cstheme="minorHAnsi"/>
          <w:sz w:val="22"/>
          <w:szCs w:val="22"/>
        </w:rPr>
        <w:t>y</w:t>
      </w:r>
      <w:r w:rsidRPr="007C4D65">
        <w:rPr>
          <w:rFonts w:asciiTheme="minorHAnsi" w:hAnsiTheme="minorHAnsi" w:cstheme="minorHAnsi"/>
          <w:sz w:val="22"/>
          <w:szCs w:val="22"/>
        </w:rPr>
        <w:t xml:space="preserve"> also worked together to reconcile divergent </w:t>
      </w:r>
      <w:r w:rsidR="008B417A" w:rsidRPr="007C4D65">
        <w:rPr>
          <w:rFonts w:asciiTheme="minorHAnsi" w:hAnsiTheme="minorHAnsi" w:cstheme="minorHAnsi"/>
          <w:sz w:val="22"/>
          <w:szCs w:val="22"/>
        </w:rPr>
        <w:t>views</w:t>
      </w:r>
      <w:r w:rsidRPr="007C4D65">
        <w:rPr>
          <w:rFonts w:asciiTheme="minorHAnsi" w:hAnsiTheme="minorHAnsi" w:cstheme="minorHAnsi"/>
          <w:sz w:val="22"/>
          <w:szCs w:val="22"/>
        </w:rPr>
        <w:t xml:space="preserve"> on issues which remained unresolved in the working groups</w:t>
      </w:r>
      <w:bookmarkEnd w:id="17"/>
      <w:r w:rsidRPr="007C4D65">
        <w:rPr>
          <w:rFonts w:asciiTheme="minorHAnsi" w:hAnsiTheme="minorHAnsi" w:cstheme="minorHAnsi"/>
          <w:sz w:val="22"/>
          <w:szCs w:val="22"/>
        </w:rPr>
        <w:t xml:space="preserve">. </w:t>
      </w:r>
    </w:p>
    <w:p w14:paraId="0F29EC12" w14:textId="16A5517A" w:rsidR="004F46E2" w:rsidRPr="007C4D65" w:rsidRDefault="004F46E2" w:rsidP="0068355A">
      <w:pPr>
        <w:spacing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szCs w:val="22"/>
        </w:rPr>
        <w:t>The Policy Group for the Federation of BiH comprised representatives of the following authorities and organisations:</w:t>
      </w:r>
    </w:p>
    <w:p w14:paraId="56521DF8" w14:textId="53FFD9B9" w:rsidR="004F46E2" w:rsidRPr="007C4D65" w:rsidRDefault="001E6E20"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Federation Ministry</w:t>
      </w:r>
      <w:r w:rsidR="004F46E2" w:rsidRPr="007C4D65">
        <w:rPr>
          <w:rFonts w:asciiTheme="minorHAnsi" w:hAnsiTheme="minorHAnsi" w:cstheme="minorHAnsi"/>
          <w:sz w:val="22"/>
          <w:szCs w:val="22"/>
        </w:rPr>
        <w:t xml:space="preserve"> of Environment and Tourism (FMET)</w:t>
      </w:r>
    </w:p>
    <w:p w14:paraId="27548C1C" w14:textId="3C19387B" w:rsidR="004F46E2" w:rsidRPr="007C4D65" w:rsidRDefault="001E6E20"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Federation Ministry</w:t>
      </w:r>
      <w:r w:rsidR="004F46E2" w:rsidRPr="007C4D65">
        <w:rPr>
          <w:rFonts w:asciiTheme="minorHAnsi" w:hAnsiTheme="minorHAnsi" w:cstheme="minorHAnsi"/>
          <w:sz w:val="22"/>
          <w:szCs w:val="22"/>
        </w:rPr>
        <w:t xml:space="preserve"> of Agriculture, Water Management and Forestry (FMAWMF)</w:t>
      </w:r>
    </w:p>
    <w:p w14:paraId="718FDFEA" w14:textId="2DE90228" w:rsidR="004F46E2" w:rsidRPr="007C4D65" w:rsidRDefault="001E6E20"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Federation Ministry</w:t>
      </w:r>
      <w:r w:rsidR="004F46E2" w:rsidRPr="007C4D65">
        <w:rPr>
          <w:rFonts w:asciiTheme="minorHAnsi" w:hAnsiTheme="minorHAnsi" w:cstheme="minorHAnsi"/>
          <w:sz w:val="22"/>
          <w:szCs w:val="22"/>
        </w:rPr>
        <w:t xml:space="preserve"> of Energy and Mining (FMEMI)</w:t>
      </w:r>
    </w:p>
    <w:p w14:paraId="378E1ABB" w14:textId="7B63BACF" w:rsidR="004F46E2" w:rsidRPr="007C4D65" w:rsidRDefault="001E6E20"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Federation Ministry</w:t>
      </w:r>
      <w:r w:rsidR="004F46E2" w:rsidRPr="007C4D65">
        <w:rPr>
          <w:rFonts w:asciiTheme="minorHAnsi" w:hAnsiTheme="minorHAnsi" w:cstheme="minorHAnsi"/>
          <w:sz w:val="22"/>
          <w:szCs w:val="22"/>
        </w:rPr>
        <w:t xml:space="preserve"> of Health (FM</w:t>
      </w:r>
      <w:r w:rsidR="00241D70" w:rsidRPr="007C4D65">
        <w:rPr>
          <w:rFonts w:asciiTheme="minorHAnsi" w:hAnsiTheme="minorHAnsi" w:cstheme="minorHAnsi"/>
          <w:sz w:val="22"/>
          <w:szCs w:val="22"/>
        </w:rPr>
        <w:t>H</w:t>
      </w:r>
      <w:r w:rsidR="004F46E2" w:rsidRPr="007C4D65">
        <w:rPr>
          <w:rFonts w:asciiTheme="minorHAnsi" w:hAnsiTheme="minorHAnsi" w:cstheme="minorHAnsi"/>
          <w:sz w:val="22"/>
          <w:szCs w:val="22"/>
        </w:rPr>
        <w:t>)</w:t>
      </w:r>
    </w:p>
    <w:p w14:paraId="61A44230" w14:textId="75A16475" w:rsidR="004F46E2" w:rsidRPr="007C4D65" w:rsidRDefault="001E6E20"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Federation Ministry</w:t>
      </w:r>
      <w:r w:rsidR="004F46E2" w:rsidRPr="007C4D65">
        <w:rPr>
          <w:rFonts w:asciiTheme="minorHAnsi" w:hAnsiTheme="minorHAnsi" w:cstheme="minorHAnsi"/>
          <w:sz w:val="22"/>
          <w:szCs w:val="22"/>
        </w:rPr>
        <w:t xml:space="preserve"> of Spatial Planning (FM</w:t>
      </w:r>
      <w:r w:rsidR="00A46B27" w:rsidRPr="007C4D65">
        <w:rPr>
          <w:rFonts w:asciiTheme="minorHAnsi" w:hAnsiTheme="minorHAnsi" w:cstheme="minorHAnsi"/>
          <w:sz w:val="22"/>
          <w:szCs w:val="22"/>
        </w:rPr>
        <w:t>SP</w:t>
      </w:r>
      <w:r w:rsidR="004F46E2" w:rsidRPr="007C4D65">
        <w:rPr>
          <w:rFonts w:asciiTheme="minorHAnsi" w:hAnsiTheme="minorHAnsi" w:cstheme="minorHAnsi"/>
          <w:sz w:val="22"/>
          <w:szCs w:val="22"/>
        </w:rPr>
        <w:t>)</w:t>
      </w:r>
    </w:p>
    <w:p w14:paraId="758C0580" w14:textId="59A89EC7" w:rsidR="004F46E2" w:rsidRPr="007C4D65" w:rsidRDefault="00295360"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Federation</w:t>
      </w:r>
      <w:r w:rsidR="004F46E2" w:rsidRPr="007C4D65">
        <w:rPr>
          <w:rFonts w:asciiTheme="minorHAnsi" w:hAnsiTheme="minorHAnsi" w:cstheme="minorHAnsi"/>
          <w:sz w:val="22"/>
          <w:szCs w:val="22"/>
        </w:rPr>
        <w:t xml:space="preserve"> Institute for Development Programming (F</w:t>
      </w:r>
      <w:r w:rsidRPr="007C4D65">
        <w:rPr>
          <w:rFonts w:asciiTheme="minorHAnsi" w:hAnsiTheme="minorHAnsi" w:cstheme="minorHAnsi"/>
          <w:sz w:val="22"/>
          <w:szCs w:val="22"/>
        </w:rPr>
        <w:t>IDP</w:t>
      </w:r>
      <w:r w:rsidR="004F46E2" w:rsidRPr="007C4D65">
        <w:rPr>
          <w:rFonts w:asciiTheme="minorHAnsi" w:hAnsiTheme="minorHAnsi" w:cstheme="minorHAnsi"/>
          <w:sz w:val="22"/>
          <w:szCs w:val="22"/>
        </w:rPr>
        <w:t>)</w:t>
      </w:r>
    </w:p>
    <w:p w14:paraId="17BBE614" w14:textId="77777777" w:rsidR="004F46E2" w:rsidRPr="007C4D65" w:rsidRDefault="004F46E2"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Directorate of European Integration of BiH (DEI BiH)</w:t>
      </w:r>
    </w:p>
    <w:p w14:paraId="1E765A5F" w14:textId="77777777" w:rsidR="004F46E2" w:rsidRPr="007C4D65" w:rsidRDefault="004F46E2"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Association of Municipalities and Cities of the Federation of BiH</w:t>
      </w:r>
    </w:p>
    <w:p w14:paraId="3D759E77" w14:textId="77777777" w:rsidR="004F46E2" w:rsidRPr="007C4D65" w:rsidRDefault="004F46E2"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Sarajevo Canton Ministry of Spatial Planning, Construction and Environmental Protection</w:t>
      </w:r>
    </w:p>
    <w:p w14:paraId="644D1EA9" w14:textId="77777777" w:rsidR="004F46E2" w:rsidRPr="007C4D65" w:rsidRDefault="004F46E2"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Tuzla Canton Ministry of Spatial Planning, Environment of the Tuzla Canton</w:t>
      </w:r>
    </w:p>
    <w:p w14:paraId="7D9E14A7" w14:textId="77777777" w:rsidR="004F46E2" w:rsidRPr="007C4D65" w:rsidRDefault="004F46E2"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Ministry of Spatial Planning, Construction and Environmental Protection of the West Herzegovina Canton</w:t>
      </w:r>
    </w:p>
    <w:p w14:paraId="348B5403" w14:textId="00973847" w:rsidR="004F46E2" w:rsidRPr="007C4D65" w:rsidRDefault="00442227"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Ministry</w:t>
      </w:r>
      <w:r w:rsidR="004F46E2" w:rsidRPr="007C4D65">
        <w:rPr>
          <w:rFonts w:asciiTheme="minorHAnsi" w:hAnsiTheme="minorHAnsi" w:cstheme="minorHAnsi"/>
          <w:sz w:val="22"/>
          <w:szCs w:val="22"/>
        </w:rPr>
        <w:t xml:space="preserve"> of Spatial Planning, Transport and Communication, and Environmental Protection of the </w:t>
      </w:r>
      <w:proofErr w:type="spellStart"/>
      <w:r w:rsidR="004F46E2" w:rsidRPr="007C4D65">
        <w:rPr>
          <w:rFonts w:asciiTheme="minorHAnsi" w:hAnsiTheme="minorHAnsi" w:cstheme="minorHAnsi"/>
          <w:sz w:val="22"/>
          <w:szCs w:val="22"/>
        </w:rPr>
        <w:t>Zenica</w:t>
      </w:r>
      <w:proofErr w:type="spellEnd"/>
      <w:r w:rsidR="004F46E2" w:rsidRPr="007C4D65">
        <w:rPr>
          <w:rFonts w:asciiTheme="minorHAnsi" w:hAnsiTheme="minorHAnsi" w:cstheme="minorHAnsi"/>
          <w:sz w:val="22"/>
          <w:szCs w:val="22"/>
        </w:rPr>
        <w:t>-Doboj Canton</w:t>
      </w:r>
    </w:p>
    <w:p w14:paraId="6022CEFB" w14:textId="77777777" w:rsidR="004F46E2" w:rsidRPr="007C4D65" w:rsidRDefault="004F46E2"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Ministry of Construction, Spatial Planning, and Environment of the Una-Sana Canton</w:t>
      </w:r>
    </w:p>
    <w:p w14:paraId="326B4F7F" w14:textId="77777777" w:rsidR="004F46E2" w:rsidRPr="007C4D65" w:rsidRDefault="004F46E2"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Ministry of Spatial Planning, Construction, Environment, Return, and Housing Affairs of the Central-Bosnian Canton</w:t>
      </w:r>
    </w:p>
    <w:p w14:paraId="59D58C95" w14:textId="77777777" w:rsidR="004F46E2" w:rsidRPr="007C4D65" w:rsidRDefault="004F46E2"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 xml:space="preserve">Ministry of Transport, Communications, and Environment of the </w:t>
      </w:r>
      <w:proofErr w:type="spellStart"/>
      <w:r w:rsidRPr="007C4D65">
        <w:rPr>
          <w:rFonts w:asciiTheme="minorHAnsi" w:hAnsiTheme="minorHAnsi" w:cstheme="minorHAnsi"/>
          <w:sz w:val="22"/>
          <w:szCs w:val="22"/>
        </w:rPr>
        <w:t>Posavina</w:t>
      </w:r>
      <w:proofErr w:type="spellEnd"/>
      <w:r w:rsidRPr="007C4D65">
        <w:rPr>
          <w:rFonts w:asciiTheme="minorHAnsi" w:hAnsiTheme="minorHAnsi" w:cstheme="minorHAnsi"/>
          <w:sz w:val="22"/>
          <w:szCs w:val="22"/>
        </w:rPr>
        <w:t xml:space="preserve"> Canton</w:t>
      </w:r>
    </w:p>
    <w:p w14:paraId="707F1AF9" w14:textId="77777777" w:rsidR="004F46E2" w:rsidRPr="007C4D65" w:rsidRDefault="004F46E2"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Ministry of Construction, Reconstruction, Spatial Planning and Environment of the Canton 10</w:t>
      </w:r>
    </w:p>
    <w:p w14:paraId="573AC368" w14:textId="77777777" w:rsidR="004F46E2" w:rsidRPr="007C4D65" w:rsidRDefault="004F46E2"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Ministry of Urbanism, Spatial Planning, and Environment of the Bosnian-</w:t>
      </w:r>
      <w:proofErr w:type="spellStart"/>
      <w:r w:rsidRPr="007C4D65">
        <w:rPr>
          <w:rFonts w:asciiTheme="minorHAnsi" w:hAnsiTheme="minorHAnsi" w:cstheme="minorHAnsi"/>
          <w:sz w:val="22"/>
          <w:szCs w:val="22"/>
        </w:rPr>
        <w:t>Podrinje</w:t>
      </w:r>
      <w:proofErr w:type="spellEnd"/>
      <w:r w:rsidRPr="007C4D65">
        <w:rPr>
          <w:rFonts w:asciiTheme="minorHAnsi" w:hAnsiTheme="minorHAnsi" w:cstheme="minorHAnsi"/>
          <w:sz w:val="22"/>
          <w:szCs w:val="22"/>
        </w:rPr>
        <w:t xml:space="preserve"> Canton</w:t>
      </w:r>
    </w:p>
    <w:p w14:paraId="04675DDA" w14:textId="77777777" w:rsidR="004F46E2" w:rsidRPr="007C4D65" w:rsidRDefault="004F46E2"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Agency of Statistics of BiH</w:t>
      </w:r>
    </w:p>
    <w:p w14:paraId="0C882B59" w14:textId="77777777" w:rsidR="004F46E2" w:rsidRPr="007C4D65" w:rsidRDefault="004F46E2"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iCs/>
          <w:sz w:val="22"/>
          <w:szCs w:val="22"/>
        </w:rPr>
        <w:t>Gender Centre</w:t>
      </w:r>
      <w:r w:rsidRPr="007C4D65">
        <w:rPr>
          <w:rFonts w:asciiTheme="minorHAnsi" w:hAnsiTheme="minorHAnsi" w:cstheme="minorHAnsi"/>
          <w:sz w:val="22"/>
          <w:szCs w:val="22"/>
        </w:rPr>
        <w:t xml:space="preserve"> </w:t>
      </w:r>
      <w:proofErr w:type="gramStart"/>
      <w:r w:rsidRPr="007C4D65">
        <w:rPr>
          <w:rFonts w:asciiTheme="minorHAnsi" w:hAnsiTheme="minorHAnsi" w:cstheme="minorHAnsi"/>
          <w:sz w:val="22"/>
          <w:szCs w:val="22"/>
        </w:rPr>
        <w:t>of  the</w:t>
      </w:r>
      <w:proofErr w:type="gramEnd"/>
      <w:r w:rsidRPr="007C4D65">
        <w:rPr>
          <w:rFonts w:asciiTheme="minorHAnsi" w:hAnsiTheme="minorHAnsi" w:cstheme="minorHAnsi"/>
          <w:sz w:val="22"/>
          <w:szCs w:val="22"/>
        </w:rPr>
        <w:t xml:space="preserve"> Federation of BiH (GC of the Federation of BiH)</w:t>
      </w:r>
    </w:p>
    <w:p w14:paraId="2801A6D1" w14:textId="612892BC" w:rsidR="00D34259" w:rsidRPr="007C4D65" w:rsidRDefault="004F46E2" w:rsidP="0068355A">
      <w:pPr>
        <w:numPr>
          <w:ilvl w:val="0"/>
          <w:numId w:val="13"/>
        </w:num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lastRenderedPageBreak/>
        <w:t>Eco BiH Network (representatives of the nongovernmental sector).</w:t>
      </w:r>
    </w:p>
    <w:p w14:paraId="3210B986" w14:textId="09D288B0" w:rsidR="00983EEA" w:rsidRPr="007C4D65" w:rsidRDefault="00983EEA" w:rsidP="0068355A">
      <w:pPr>
        <w:tabs>
          <w:tab w:val="left" w:pos="284"/>
        </w:tabs>
        <w:spacing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 xml:space="preserve">Out of 27 members of the Policy Group for the Federation of BiH, 18 were women and 9 men. </w:t>
      </w:r>
    </w:p>
    <w:p w14:paraId="42D3F390" w14:textId="4BDC83C2" w:rsidR="004F46E2" w:rsidRPr="007C4D65" w:rsidRDefault="004F46E2" w:rsidP="0068355A">
      <w:pPr>
        <w:spacing w:before="240" w:after="240" w:line="276" w:lineRule="auto"/>
        <w:rPr>
          <w:rFonts w:asciiTheme="minorHAnsi" w:eastAsia="Calibri" w:hAnsiTheme="minorHAnsi" w:cstheme="minorHAnsi"/>
          <w:i/>
          <w:color w:val="000000" w:themeColor="text1"/>
          <w:sz w:val="22"/>
          <w:szCs w:val="22"/>
          <w:u w:val="single"/>
        </w:rPr>
      </w:pPr>
      <w:r w:rsidRPr="007C4D65">
        <w:rPr>
          <w:rFonts w:asciiTheme="minorHAnsi" w:hAnsiTheme="minorHAnsi" w:cstheme="minorHAnsi"/>
          <w:i/>
          <w:color w:val="000000" w:themeColor="text1"/>
          <w:sz w:val="22"/>
          <w:szCs w:val="22"/>
          <w:u w:val="single"/>
        </w:rPr>
        <w:t xml:space="preserve">Working </w:t>
      </w:r>
      <w:r w:rsidR="00442227" w:rsidRPr="007C4D65">
        <w:rPr>
          <w:rFonts w:asciiTheme="minorHAnsi" w:hAnsiTheme="minorHAnsi" w:cstheme="minorHAnsi"/>
          <w:i/>
          <w:color w:val="000000" w:themeColor="text1"/>
          <w:sz w:val="22"/>
          <w:szCs w:val="22"/>
          <w:u w:val="single"/>
        </w:rPr>
        <w:t>g</w:t>
      </w:r>
      <w:r w:rsidRPr="007C4D65">
        <w:rPr>
          <w:rFonts w:asciiTheme="minorHAnsi" w:hAnsiTheme="minorHAnsi" w:cstheme="minorHAnsi"/>
          <w:i/>
          <w:color w:val="000000" w:themeColor="text1"/>
          <w:sz w:val="22"/>
          <w:szCs w:val="22"/>
          <w:u w:val="single"/>
        </w:rPr>
        <w:t>roups</w:t>
      </w:r>
    </w:p>
    <w:p w14:paraId="5833BBE5" w14:textId="77777777" w:rsidR="004F46E2" w:rsidRPr="007C4D65" w:rsidRDefault="004F46E2" w:rsidP="0068355A">
      <w:pPr>
        <w:spacing w:after="240" w:line="276" w:lineRule="auto"/>
        <w:jc w:val="both"/>
        <w:rPr>
          <w:rFonts w:asciiTheme="minorHAnsi" w:eastAsia="Calibri" w:hAnsiTheme="minorHAnsi" w:cstheme="minorHAnsi"/>
          <w:color w:val="000000" w:themeColor="text1"/>
          <w:sz w:val="22"/>
          <w:szCs w:val="22"/>
        </w:rPr>
      </w:pPr>
      <w:r w:rsidRPr="007C4D65">
        <w:rPr>
          <w:rFonts w:asciiTheme="minorHAnsi" w:hAnsiTheme="minorHAnsi" w:cstheme="minorHAnsi"/>
          <w:color w:val="000000" w:themeColor="text1"/>
          <w:sz w:val="22"/>
          <w:szCs w:val="22"/>
        </w:rPr>
        <w:t>Working Groups were divided to cover seven thematic areas:</w:t>
      </w:r>
    </w:p>
    <w:p w14:paraId="53BC1F33" w14:textId="77777777" w:rsidR="004F46E2" w:rsidRPr="007C4D65" w:rsidRDefault="004F46E2" w:rsidP="0068355A">
      <w:pPr>
        <w:numPr>
          <w:ilvl w:val="0"/>
          <w:numId w:val="14"/>
        </w:numPr>
        <w:spacing w:line="276" w:lineRule="auto"/>
        <w:contextualSpacing/>
        <w:jc w:val="both"/>
        <w:rPr>
          <w:rFonts w:asciiTheme="minorHAnsi" w:eastAsia="Calibri" w:hAnsiTheme="minorHAnsi" w:cstheme="minorHAnsi"/>
          <w:color w:val="000000" w:themeColor="text1"/>
          <w:sz w:val="22"/>
          <w:szCs w:val="22"/>
        </w:rPr>
      </w:pPr>
      <w:r w:rsidRPr="007C4D65">
        <w:rPr>
          <w:rFonts w:asciiTheme="minorHAnsi" w:hAnsiTheme="minorHAnsi" w:cstheme="minorHAnsi"/>
          <w:color w:val="000000" w:themeColor="text1"/>
          <w:sz w:val="22"/>
          <w:szCs w:val="22"/>
        </w:rPr>
        <w:t>WG1: Water Management</w:t>
      </w:r>
    </w:p>
    <w:p w14:paraId="7305CDA7" w14:textId="77777777" w:rsidR="004F46E2" w:rsidRPr="007C4D65" w:rsidRDefault="004F46E2" w:rsidP="0068355A">
      <w:pPr>
        <w:numPr>
          <w:ilvl w:val="0"/>
          <w:numId w:val="14"/>
        </w:numPr>
        <w:spacing w:line="276" w:lineRule="auto"/>
        <w:contextualSpacing/>
        <w:jc w:val="both"/>
        <w:rPr>
          <w:rFonts w:asciiTheme="minorHAnsi" w:eastAsia="Calibri" w:hAnsiTheme="minorHAnsi" w:cstheme="minorHAnsi"/>
          <w:color w:val="000000" w:themeColor="text1"/>
          <w:sz w:val="22"/>
          <w:szCs w:val="22"/>
        </w:rPr>
      </w:pPr>
      <w:r w:rsidRPr="007C4D65">
        <w:rPr>
          <w:rFonts w:asciiTheme="minorHAnsi" w:hAnsiTheme="minorHAnsi" w:cstheme="minorHAnsi"/>
          <w:color w:val="000000" w:themeColor="text1"/>
          <w:sz w:val="22"/>
          <w:szCs w:val="22"/>
        </w:rPr>
        <w:t>WG2: Waste Management</w:t>
      </w:r>
    </w:p>
    <w:p w14:paraId="40AF6F9C" w14:textId="77777777" w:rsidR="004F46E2" w:rsidRPr="007C4D65" w:rsidRDefault="004F46E2" w:rsidP="0068355A">
      <w:pPr>
        <w:numPr>
          <w:ilvl w:val="0"/>
          <w:numId w:val="14"/>
        </w:numPr>
        <w:spacing w:line="276" w:lineRule="auto"/>
        <w:contextualSpacing/>
        <w:jc w:val="both"/>
        <w:rPr>
          <w:rFonts w:asciiTheme="minorHAnsi" w:eastAsia="Calibri" w:hAnsiTheme="minorHAnsi" w:cstheme="minorHAnsi"/>
          <w:color w:val="000000" w:themeColor="text1"/>
          <w:sz w:val="22"/>
          <w:szCs w:val="22"/>
        </w:rPr>
      </w:pPr>
      <w:r w:rsidRPr="007C4D65">
        <w:rPr>
          <w:rFonts w:asciiTheme="minorHAnsi" w:hAnsiTheme="minorHAnsi" w:cstheme="minorHAnsi"/>
          <w:color w:val="000000" w:themeColor="text1"/>
          <w:sz w:val="22"/>
          <w:szCs w:val="22"/>
        </w:rPr>
        <w:t>WG3: Biodiversity and Nature Conservation</w:t>
      </w:r>
    </w:p>
    <w:p w14:paraId="25599BE6" w14:textId="7BF4F484" w:rsidR="004F46E2" w:rsidRPr="007C4D65" w:rsidRDefault="004F46E2" w:rsidP="0068355A">
      <w:pPr>
        <w:numPr>
          <w:ilvl w:val="0"/>
          <w:numId w:val="14"/>
        </w:numPr>
        <w:spacing w:line="276" w:lineRule="auto"/>
        <w:contextualSpacing/>
        <w:jc w:val="both"/>
        <w:rPr>
          <w:rFonts w:asciiTheme="minorHAnsi" w:eastAsia="Calibri" w:hAnsiTheme="minorHAnsi" w:cstheme="minorHAnsi"/>
          <w:color w:val="000000" w:themeColor="text1"/>
          <w:sz w:val="22"/>
          <w:szCs w:val="22"/>
        </w:rPr>
      </w:pPr>
      <w:r w:rsidRPr="007C4D65">
        <w:rPr>
          <w:rFonts w:asciiTheme="minorHAnsi" w:hAnsiTheme="minorHAnsi" w:cstheme="minorHAnsi"/>
          <w:color w:val="000000" w:themeColor="text1"/>
          <w:sz w:val="22"/>
          <w:szCs w:val="22"/>
        </w:rPr>
        <w:t xml:space="preserve">WG4: Air </w:t>
      </w:r>
      <w:r w:rsidR="00442227" w:rsidRPr="007C4D65">
        <w:rPr>
          <w:rFonts w:asciiTheme="minorHAnsi" w:hAnsiTheme="minorHAnsi" w:cstheme="minorHAnsi"/>
          <w:color w:val="000000" w:themeColor="text1"/>
          <w:sz w:val="22"/>
          <w:szCs w:val="22"/>
        </w:rPr>
        <w:t>Q</w:t>
      </w:r>
      <w:r w:rsidRPr="007C4D65">
        <w:rPr>
          <w:rFonts w:asciiTheme="minorHAnsi" w:hAnsiTheme="minorHAnsi" w:cstheme="minorHAnsi"/>
          <w:color w:val="000000" w:themeColor="text1"/>
          <w:sz w:val="22"/>
          <w:szCs w:val="22"/>
        </w:rPr>
        <w:t xml:space="preserve">uality, </w:t>
      </w:r>
      <w:r w:rsidR="00442227" w:rsidRPr="007C4D65">
        <w:rPr>
          <w:rFonts w:asciiTheme="minorHAnsi" w:hAnsiTheme="minorHAnsi" w:cstheme="minorHAnsi"/>
          <w:color w:val="000000" w:themeColor="text1"/>
          <w:sz w:val="22"/>
          <w:szCs w:val="22"/>
        </w:rPr>
        <w:t>C</w:t>
      </w:r>
      <w:r w:rsidRPr="007C4D65">
        <w:rPr>
          <w:rFonts w:asciiTheme="minorHAnsi" w:hAnsiTheme="minorHAnsi" w:cstheme="minorHAnsi"/>
          <w:color w:val="000000" w:themeColor="text1"/>
          <w:sz w:val="22"/>
          <w:szCs w:val="22"/>
        </w:rPr>
        <w:t xml:space="preserve">limate and </w:t>
      </w:r>
      <w:r w:rsidR="00442227" w:rsidRPr="007C4D65">
        <w:rPr>
          <w:rFonts w:asciiTheme="minorHAnsi" w:hAnsiTheme="minorHAnsi" w:cstheme="minorHAnsi"/>
          <w:color w:val="000000" w:themeColor="text1"/>
          <w:sz w:val="22"/>
          <w:szCs w:val="22"/>
        </w:rPr>
        <w:t>E</w:t>
      </w:r>
      <w:r w:rsidRPr="007C4D65">
        <w:rPr>
          <w:rFonts w:asciiTheme="minorHAnsi" w:hAnsiTheme="minorHAnsi" w:cstheme="minorHAnsi"/>
          <w:color w:val="000000" w:themeColor="text1"/>
          <w:sz w:val="22"/>
          <w:szCs w:val="22"/>
        </w:rPr>
        <w:t>nergy</w:t>
      </w:r>
    </w:p>
    <w:p w14:paraId="79BE936E" w14:textId="0A5F9513" w:rsidR="004F46E2" w:rsidRPr="007C4D65" w:rsidRDefault="004F46E2" w:rsidP="0068355A">
      <w:pPr>
        <w:numPr>
          <w:ilvl w:val="0"/>
          <w:numId w:val="14"/>
        </w:numPr>
        <w:spacing w:line="276" w:lineRule="auto"/>
        <w:contextualSpacing/>
        <w:jc w:val="both"/>
        <w:rPr>
          <w:rFonts w:asciiTheme="minorHAnsi" w:eastAsia="Calibri" w:hAnsiTheme="minorHAnsi" w:cstheme="minorHAnsi"/>
          <w:color w:val="000000" w:themeColor="text1"/>
          <w:sz w:val="22"/>
          <w:szCs w:val="22"/>
        </w:rPr>
      </w:pPr>
      <w:r w:rsidRPr="007C4D65">
        <w:rPr>
          <w:rFonts w:asciiTheme="minorHAnsi" w:hAnsiTheme="minorHAnsi" w:cstheme="minorHAnsi"/>
          <w:color w:val="000000" w:themeColor="text1"/>
          <w:sz w:val="22"/>
          <w:szCs w:val="22"/>
        </w:rPr>
        <w:t xml:space="preserve">WG5: Chemicals </w:t>
      </w:r>
      <w:r w:rsidR="00442227" w:rsidRPr="007C4D65">
        <w:rPr>
          <w:rFonts w:asciiTheme="minorHAnsi" w:hAnsiTheme="minorHAnsi" w:cstheme="minorHAnsi"/>
          <w:color w:val="000000" w:themeColor="text1"/>
          <w:sz w:val="22"/>
          <w:szCs w:val="22"/>
        </w:rPr>
        <w:t>S</w:t>
      </w:r>
      <w:r w:rsidRPr="007C4D65">
        <w:rPr>
          <w:rFonts w:asciiTheme="minorHAnsi" w:hAnsiTheme="minorHAnsi" w:cstheme="minorHAnsi"/>
          <w:color w:val="000000" w:themeColor="text1"/>
          <w:sz w:val="22"/>
          <w:szCs w:val="22"/>
        </w:rPr>
        <w:t>afety and Noise</w:t>
      </w:r>
    </w:p>
    <w:p w14:paraId="1F2ACABD" w14:textId="77777777" w:rsidR="004F46E2" w:rsidRPr="007C4D65" w:rsidRDefault="004F46E2" w:rsidP="0068355A">
      <w:pPr>
        <w:numPr>
          <w:ilvl w:val="0"/>
          <w:numId w:val="14"/>
        </w:numPr>
        <w:spacing w:line="276" w:lineRule="auto"/>
        <w:contextualSpacing/>
        <w:jc w:val="both"/>
        <w:rPr>
          <w:rFonts w:asciiTheme="minorHAnsi" w:eastAsia="Calibri" w:hAnsiTheme="minorHAnsi" w:cstheme="minorHAnsi"/>
          <w:color w:val="000000" w:themeColor="text1"/>
          <w:sz w:val="22"/>
          <w:szCs w:val="22"/>
        </w:rPr>
      </w:pPr>
      <w:r w:rsidRPr="007C4D65">
        <w:rPr>
          <w:rFonts w:asciiTheme="minorHAnsi" w:hAnsiTheme="minorHAnsi" w:cstheme="minorHAnsi"/>
          <w:color w:val="000000" w:themeColor="text1"/>
          <w:sz w:val="22"/>
          <w:szCs w:val="22"/>
        </w:rPr>
        <w:t>WG6: Sustainable Resource Management (SRM)</w:t>
      </w:r>
    </w:p>
    <w:p w14:paraId="47B07E2A" w14:textId="2253945B" w:rsidR="004F46E2" w:rsidRPr="007C4D65" w:rsidRDefault="004F46E2" w:rsidP="0068355A">
      <w:pPr>
        <w:numPr>
          <w:ilvl w:val="0"/>
          <w:numId w:val="14"/>
        </w:numPr>
        <w:spacing w:line="276" w:lineRule="auto"/>
        <w:contextualSpacing/>
        <w:jc w:val="both"/>
        <w:rPr>
          <w:rFonts w:asciiTheme="minorHAnsi" w:eastAsia="Calibri" w:hAnsiTheme="minorHAnsi" w:cstheme="minorHAnsi"/>
          <w:color w:val="000000" w:themeColor="text1"/>
          <w:sz w:val="22"/>
          <w:szCs w:val="22"/>
        </w:rPr>
      </w:pPr>
      <w:r w:rsidRPr="007C4D65">
        <w:rPr>
          <w:rFonts w:asciiTheme="minorHAnsi" w:hAnsiTheme="minorHAnsi" w:cstheme="minorHAnsi"/>
          <w:color w:val="000000" w:themeColor="text1"/>
          <w:sz w:val="22"/>
          <w:szCs w:val="22"/>
        </w:rPr>
        <w:t xml:space="preserve">WG7: Environmental </w:t>
      </w:r>
      <w:r w:rsidR="00442227" w:rsidRPr="007C4D65">
        <w:rPr>
          <w:rFonts w:asciiTheme="minorHAnsi" w:hAnsiTheme="minorHAnsi" w:cstheme="minorHAnsi"/>
          <w:color w:val="000000" w:themeColor="text1"/>
          <w:sz w:val="22"/>
          <w:szCs w:val="22"/>
        </w:rPr>
        <w:t>M</w:t>
      </w:r>
      <w:r w:rsidRPr="007C4D65">
        <w:rPr>
          <w:rFonts w:asciiTheme="minorHAnsi" w:hAnsiTheme="minorHAnsi" w:cstheme="minorHAnsi"/>
          <w:color w:val="000000" w:themeColor="text1"/>
          <w:sz w:val="22"/>
          <w:szCs w:val="22"/>
        </w:rPr>
        <w:t>anagement.</w:t>
      </w:r>
    </w:p>
    <w:p w14:paraId="58E4F25D" w14:textId="4E4E189E" w:rsidR="004F46E2" w:rsidRPr="007C4D65" w:rsidRDefault="004F46E2"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szCs w:val="22"/>
        </w:rPr>
        <w:t xml:space="preserve">The development of the Strategy saw the participation of 436 Working Groups members, including representatives of the institutions, scientific and research institutions and faculties, public and private companies, and the civil sector. </w:t>
      </w:r>
      <w:r w:rsidR="007113CD" w:rsidRPr="007C4D65">
        <w:rPr>
          <w:rFonts w:asciiTheme="minorHAnsi" w:hAnsiTheme="minorHAnsi" w:cstheme="minorHAnsi"/>
          <w:sz w:val="22"/>
          <w:szCs w:val="22"/>
        </w:rPr>
        <w:t>Also,</w:t>
      </w:r>
      <w:r w:rsidRPr="007C4D65">
        <w:rPr>
          <w:rFonts w:asciiTheme="minorHAnsi" w:hAnsiTheme="minorHAnsi" w:cstheme="minorHAnsi"/>
          <w:sz w:val="22"/>
          <w:szCs w:val="22"/>
        </w:rPr>
        <w:t xml:space="preserve"> in accordance with the principles laid down in the Law on Gender Equality of BiH </w:t>
      </w:r>
      <w:r w:rsidR="00983EEA" w:rsidRPr="007C4D65">
        <w:rPr>
          <w:rFonts w:asciiTheme="minorHAnsi" w:eastAsia="Calibri" w:hAnsiTheme="minorHAnsi" w:cstheme="minorHAnsi"/>
          <w:sz w:val="22"/>
          <w:szCs w:val="22"/>
        </w:rPr>
        <w:fldChar w:fldCharType="begin"/>
      </w:r>
      <w:r w:rsidR="00CE1A95" w:rsidRPr="007C4D65">
        <w:rPr>
          <w:rFonts w:asciiTheme="minorHAnsi" w:eastAsia="Calibri" w:hAnsiTheme="minorHAnsi" w:cstheme="minorHAnsi"/>
          <w:sz w:val="22"/>
          <w:szCs w:val="22"/>
        </w:rPr>
        <w:instrText xml:space="preserve"> ADDIN ZOTERO_ITEM CSL_CITATION {"citationID":"ATEvtGaz","properties":{"formattedCitation":"(Sl. glasnik BiH, br. 32/10 2010)","plainCitation":"(Sl. glasnik BiH, br. 32/10 2010)","dontUpdate":true,"noteIndex":0},"citationItems":[{"id":1553,"uris":["http://zotero.org/users/7192877/items/D9RPIAYU"],"itemData":{"id":1553,"type":"legislation","title":"Zakon o ravnopravnosti spolova u BiH","URL":"http://sluzbenilist.ba/page/akt/Ogl6BLfO0gztz5k76kjn45hI=","author":[{"family":"\"Sl. glasnik BiH\", broj 32/10","given":""}],"issued":{"date-parts":[["2010"]]}}}],"schema":"https://github.com/citation-style-language/schema/raw/master/csl-citation.json"} </w:instrText>
      </w:r>
      <w:r w:rsidR="00983EEA" w:rsidRPr="007C4D65">
        <w:rPr>
          <w:rFonts w:asciiTheme="minorHAnsi" w:eastAsia="Calibri" w:hAnsiTheme="minorHAnsi" w:cstheme="minorHAnsi"/>
          <w:sz w:val="22"/>
          <w:szCs w:val="22"/>
        </w:rPr>
        <w:fldChar w:fldCharType="separate"/>
      </w:r>
      <w:r w:rsidR="00983EEA" w:rsidRPr="007C4D65">
        <w:rPr>
          <w:rFonts w:asciiTheme="minorHAnsi" w:eastAsia="Calibri" w:hAnsiTheme="minorHAnsi" w:cstheme="minorHAnsi"/>
          <w:sz w:val="22"/>
          <w:szCs w:val="22"/>
        </w:rPr>
        <w:t>(</w:t>
      </w:r>
      <w:r w:rsidR="008B7275" w:rsidRPr="007C4D65">
        <w:rPr>
          <w:rFonts w:asciiTheme="minorHAnsi" w:eastAsia="Calibri" w:hAnsiTheme="minorHAnsi" w:cstheme="minorHAnsi"/>
          <w:sz w:val="22"/>
          <w:szCs w:val="22"/>
        </w:rPr>
        <w:t>"</w:t>
      </w:r>
      <w:r w:rsidR="00AE25FA" w:rsidRPr="007C4D65">
        <w:rPr>
          <w:rFonts w:asciiTheme="minorHAnsi" w:eastAsia="Calibri" w:hAnsiTheme="minorHAnsi" w:cstheme="minorHAnsi"/>
          <w:sz w:val="22"/>
          <w:szCs w:val="22"/>
        </w:rPr>
        <w:t>Official Gazette of BiH</w:t>
      </w:r>
      <w:r w:rsidR="008B7275" w:rsidRPr="007C4D65">
        <w:rPr>
          <w:rFonts w:asciiTheme="minorHAnsi" w:eastAsia="Calibri" w:hAnsiTheme="minorHAnsi" w:cstheme="minorHAnsi"/>
          <w:sz w:val="22"/>
          <w:szCs w:val="22"/>
        </w:rPr>
        <w:t>"</w:t>
      </w:r>
      <w:r w:rsidR="00983EEA" w:rsidRPr="007C4D65">
        <w:rPr>
          <w:rFonts w:asciiTheme="minorHAnsi" w:eastAsia="Calibri" w:hAnsiTheme="minorHAnsi" w:cstheme="minorHAnsi"/>
          <w:sz w:val="22"/>
          <w:szCs w:val="22"/>
        </w:rPr>
        <w:t>,</w:t>
      </w:r>
      <w:r w:rsidR="007F4BA8" w:rsidRPr="007C4D65">
        <w:rPr>
          <w:rFonts w:asciiTheme="minorHAnsi" w:eastAsia="Calibri" w:hAnsiTheme="minorHAnsi" w:cstheme="minorHAnsi"/>
          <w:sz w:val="22"/>
          <w:szCs w:val="22"/>
        </w:rPr>
        <w:t xml:space="preserve"> </w:t>
      </w:r>
      <w:r w:rsidR="00983EEA" w:rsidRPr="007C4D65">
        <w:rPr>
          <w:rFonts w:asciiTheme="minorHAnsi" w:eastAsia="Calibri" w:hAnsiTheme="minorHAnsi" w:cstheme="minorHAnsi"/>
          <w:sz w:val="22"/>
          <w:szCs w:val="22"/>
        </w:rPr>
        <w:t>32/10)</w:t>
      </w:r>
      <w:r w:rsidR="00983EEA" w:rsidRPr="007C4D65">
        <w:rPr>
          <w:rFonts w:asciiTheme="minorHAnsi" w:eastAsia="Calibri" w:hAnsiTheme="minorHAnsi" w:cstheme="minorHAnsi"/>
          <w:sz w:val="22"/>
          <w:szCs w:val="22"/>
        </w:rPr>
        <w:fldChar w:fldCharType="end"/>
      </w:r>
      <w:r w:rsidR="007113CD" w:rsidRPr="007C4D65">
        <w:rPr>
          <w:rFonts w:asciiTheme="minorHAnsi" w:hAnsiTheme="minorHAnsi" w:cstheme="minorHAnsi"/>
          <w:sz w:val="22"/>
          <w:szCs w:val="22"/>
        </w:rPr>
        <w:t>,</w:t>
      </w:r>
      <w:r w:rsidRPr="007C4D65">
        <w:rPr>
          <w:rFonts w:asciiTheme="minorHAnsi" w:hAnsiTheme="minorHAnsi" w:cstheme="minorHAnsi"/>
          <w:sz w:val="22"/>
          <w:szCs w:val="22"/>
        </w:rPr>
        <w:t xml:space="preserve"> </w:t>
      </w:r>
      <w:r w:rsidR="007113CD" w:rsidRPr="007C4D65">
        <w:rPr>
          <w:rFonts w:asciiTheme="minorHAnsi" w:hAnsiTheme="minorHAnsi" w:cstheme="minorHAnsi"/>
          <w:sz w:val="22"/>
          <w:szCs w:val="22"/>
        </w:rPr>
        <w:t xml:space="preserve">191 WG members were men and 245 women. </w:t>
      </w:r>
      <w:r w:rsidRPr="007C4D65">
        <w:rPr>
          <w:rFonts w:asciiTheme="minorHAnsi" w:hAnsiTheme="minorHAnsi" w:cstheme="minorHAnsi"/>
          <w:sz w:val="22"/>
          <w:szCs w:val="22"/>
        </w:rPr>
        <w:t xml:space="preserve">Regular meetings of the Working Groups ensured continued information and data </w:t>
      </w:r>
      <w:r w:rsidR="00442227" w:rsidRPr="007C4D65">
        <w:rPr>
          <w:rFonts w:asciiTheme="minorHAnsi" w:hAnsiTheme="minorHAnsi" w:cstheme="minorHAnsi"/>
          <w:sz w:val="22"/>
          <w:szCs w:val="22"/>
        </w:rPr>
        <w:t>exchange</w:t>
      </w:r>
      <w:r w:rsidRPr="007C4D65">
        <w:rPr>
          <w:rFonts w:asciiTheme="minorHAnsi" w:hAnsiTheme="minorHAnsi" w:cstheme="minorHAnsi"/>
          <w:sz w:val="22"/>
          <w:szCs w:val="22"/>
        </w:rPr>
        <w:t xml:space="preserve">, but they were also an opportunity to </w:t>
      </w:r>
      <w:r w:rsidR="00442227" w:rsidRPr="007C4D65">
        <w:rPr>
          <w:rFonts w:asciiTheme="minorHAnsi" w:hAnsiTheme="minorHAnsi" w:cstheme="minorHAnsi"/>
          <w:sz w:val="22"/>
          <w:szCs w:val="22"/>
        </w:rPr>
        <w:t>discuss</w:t>
      </w:r>
      <w:r w:rsidRPr="007C4D65">
        <w:rPr>
          <w:rFonts w:asciiTheme="minorHAnsi" w:hAnsiTheme="minorHAnsi" w:cstheme="minorHAnsi"/>
          <w:sz w:val="22"/>
          <w:szCs w:val="22"/>
        </w:rPr>
        <w:t xml:space="preserve"> the challenges and to address these </w:t>
      </w:r>
      <w:r w:rsidR="007113CD" w:rsidRPr="007C4D65">
        <w:rPr>
          <w:rFonts w:asciiTheme="minorHAnsi" w:hAnsiTheme="minorHAnsi" w:cstheme="minorHAnsi"/>
          <w:sz w:val="22"/>
          <w:szCs w:val="22"/>
        </w:rPr>
        <w:t>in collective efforts</w:t>
      </w:r>
      <w:r w:rsidRPr="007C4D65">
        <w:rPr>
          <w:rFonts w:asciiTheme="minorHAnsi" w:hAnsiTheme="minorHAnsi" w:cstheme="minorHAnsi"/>
          <w:sz w:val="22"/>
          <w:szCs w:val="22"/>
        </w:rPr>
        <w:t xml:space="preserve">. The Working Groups </w:t>
      </w:r>
      <w:r w:rsidR="00442227" w:rsidRPr="007C4D65">
        <w:rPr>
          <w:rFonts w:asciiTheme="minorHAnsi" w:hAnsiTheme="minorHAnsi" w:cstheme="minorHAnsi"/>
          <w:sz w:val="22"/>
          <w:szCs w:val="22"/>
        </w:rPr>
        <w:t>drafted</w:t>
      </w:r>
      <w:r w:rsidRPr="007C4D65">
        <w:rPr>
          <w:rFonts w:asciiTheme="minorHAnsi" w:hAnsiTheme="minorHAnsi" w:cstheme="minorHAnsi"/>
          <w:sz w:val="22"/>
          <w:szCs w:val="22"/>
        </w:rPr>
        <w:t xml:space="preserve"> and defined the strategic goals, priorities, measures and deliverables. </w:t>
      </w:r>
    </w:p>
    <w:p w14:paraId="6232C335" w14:textId="77777777" w:rsidR="009B7CE6" w:rsidRPr="007C4D65" w:rsidRDefault="009B7CE6" w:rsidP="0068355A">
      <w:pPr>
        <w:spacing w:after="240" w:line="276" w:lineRule="auto"/>
        <w:rPr>
          <w:rFonts w:asciiTheme="minorHAnsi" w:eastAsia="Calibri" w:hAnsiTheme="minorHAnsi" w:cstheme="minorHAnsi"/>
          <w:b/>
          <w:bCs/>
          <w:i/>
          <w:iCs/>
          <w:sz w:val="22"/>
          <w:szCs w:val="22"/>
          <w:u w:val="single"/>
        </w:rPr>
      </w:pPr>
      <w:r w:rsidRPr="007C4D65">
        <w:rPr>
          <w:rFonts w:asciiTheme="minorHAnsi" w:hAnsiTheme="minorHAnsi" w:cstheme="minorHAnsi"/>
          <w:b/>
          <w:i/>
          <w:sz w:val="22"/>
          <w:szCs w:val="22"/>
          <w:u w:val="single"/>
        </w:rPr>
        <w:t xml:space="preserve">Facts </w:t>
      </w:r>
      <w:proofErr w:type="gramStart"/>
      <w:r w:rsidRPr="007C4D65">
        <w:rPr>
          <w:rFonts w:asciiTheme="minorHAnsi" w:hAnsiTheme="minorHAnsi" w:cstheme="minorHAnsi"/>
          <w:b/>
          <w:i/>
          <w:sz w:val="22"/>
          <w:szCs w:val="22"/>
          <w:u w:val="single"/>
        </w:rPr>
        <w:t>taken into account</w:t>
      </w:r>
      <w:proofErr w:type="gramEnd"/>
      <w:r w:rsidRPr="007C4D65">
        <w:rPr>
          <w:rFonts w:asciiTheme="minorHAnsi" w:hAnsiTheme="minorHAnsi" w:cstheme="minorHAnsi"/>
          <w:b/>
          <w:i/>
          <w:sz w:val="22"/>
          <w:szCs w:val="22"/>
          <w:u w:val="single"/>
        </w:rPr>
        <w:t xml:space="preserve"> in the development of Strategy</w:t>
      </w:r>
    </w:p>
    <w:p w14:paraId="5077B7E5" w14:textId="77777777" w:rsidR="004F46E2" w:rsidRPr="007C4D65" w:rsidRDefault="004F46E2" w:rsidP="0068355A">
      <w:pPr>
        <w:spacing w:after="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szCs w:val="22"/>
          <w:u w:val="single"/>
        </w:rPr>
        <w:t>Transposition of the environmental EU acquis</w:t>
      </w:r>
    </w:p>
    <w:p w14:paraId="1BD6BEC2" w14:textId="5415088E" w:rsidR="004F46E2" w:rsidRPr="007C4D65" w:rsidRDefault="004F46E2" w:rsidP="0068355A">
      <w:pPr>
        <w:spacing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szCs w:val="22"/>
        </w:rPr>
        <w:t xml:space="preserve">Due to the importance of the EU acquis transposition and the role </w:t>
      </w:r>
      <w:r w:rsidR="00CA78DB" w:rsidRPr="007C4D65">
        <w:rPr>
          <w:rFonts w:asciiTheme="minorHAnsi" w:hAnsiTheme="minorHAnsi" w:cstheme="minorHAnsi"/>
          <w:sz w:val="22"/>
          <w:szCs w:val="22"/>
        </w:rPr>
        <w:t>they</w:t>
      </w:r>
      <w:r w:rsidRPr="007C4D65">
        <w:rPr>
          <w:rFonts w:asciiTheme="minorHAnsi" w:hAnsiTheme="minorHAnsi" w:cstheme="minorHAnsi"/>
          <w:sz w:val="22"/>
          <w:szCs w:val="22"/>
        </w:rPr>
        <w:t xml:space="preserve"> play in the development of strategies, in addition to covering seven thematic areas, the Strategy also addresses horizontal issues (such as </w:t>
      </w:r>
      <w:r w:rsidR="00613E9F" w:rsidRPr="007C4D65">
        <w:rPr>
          <w:rFonts w:asciiTheme="minorHAnsi" w:hAnsiTheme="minorHAnsi" w:cstheme="minorHAnsi"/>
          <w:sz w:val="22"/>
          <w:szCs w:val="22"/>
        </w:rPr>
        <w:t>environmental impact assessment, strategic environmental assessment</w:t>
      </w:r>
      <w:r w:rsidRPr="007C4D65">
        <w:rPr>
          <w:rFonts w:asciiTheme="minorHAnsi" w:hAnsiTheme="minorHAnsi" w:cstheme="minorHAnsi"/>
          <w:sz w:val="22"/>
          <w:szCs w:val="22"/>
        </w:rPr>
        <w:t xml:space="preserve">, accountability, access to information, enforcement, etc.). The Strategy also </w:t>
      </w:r>
      <w:bookmarkStart w:id="18" w:name="_Hlk99974724"/>
      <w:proofErr w:type="gramStart"/>
      <w:r w:rsidR="00F45671" w:rsidRPr="007C4D65">
        <w:rPr>
          <w:rFonts w:asciiTheme="minorHAnsi" w:hAnsiTheme="minorHAnsi" w:cstheme="minorHAnsi"/>
          <w:sz w:val="22"/>
          <w:szCs w:val="22"/>
        </w:rPr>
        <w:t>took into account</w:t>
      </w:r>
      <w:proofErr w:type="gramEnd"/>
      <w:r w:rsidR="00613E9F" w:rsidRPr="007C4D65">
        <w:rPr>
          <w:rFonts w:asciiTheme="minorHAnsi" w:hAnsiTheme="minorHAnsi" w:cstheme="minorHAnsi"/>
          <w:sz w:val="22"/>
          <w:szCs w:val="22"/>
        </w:rPr>
        <w:t xml:space="preserve"> the</w:t>
      </w:r>
      <w:r w:rsidRPr="007C4D65">
        <w:rPr>
          <w:rFonts w:asciiTheme="minorHAnsi" w:hAnsiTheme="minorHAnsi" w:cstheme="minorHAnsi"/>
          <w:sz w:val="22"/>
          <w:szCs w:val="22"/>
        </w:rPr>
        <w:t xml:space="preserve"> recommendations from the Environmental Approximation Strategy of BiH (EAS BiH), </w:t>
      </w:r>
      <w:bookmarkEnd w:id="18"/>
      <w:r w:rsidR="00F45671" w:rsidRPr="007C4D65">
        <w:rPr>
          <w:rFonts w:asciiTheme="minorHAnsi" w:hAnsiTheme="minorHAnsi" w:cstheme="minorHAnsi"/>
          <w:sz w:val="22"/>
          <w:szCs w:val="22"/>
        </w:rPr>
        <w:t>and</w:t>
      </w:r>
      <w:r w:rsidRPr="007C4D65">
        <w:rPr>
          <w:rFonts w:asciiTheme="minorHAnsi" w:hAnsiTheme="minorHAnsi" w:cstheme="minorHAnsi"/>
          <w:sz w:val="22"/>
          <w:szCs w:val="22"/>
        </w:rPr>
        <w:t xml:space="preserve"> the most recent update of the </w:t>
      </w:r>
      <w:r w:rsidR="00613E9F" w:rsidRPr="007C4D65">
        <w:rPr>
          <w:rFonts w:asciiTheme="minorHAnsi" w:hAnsiTheme="minorHAnsi" w:cstheme="minorHAnsi"/>
          <w:sz w:val="22"/>
          <w:szCs w:val="22"/>
        </w:rPr>
        <w:t>environmental</w:t>
      </w:r>
      <w:r w:rsidRPr="007C4D65">
        <w:rPr>
          <w:rFonts w:asciiTheme="minorHAnsi" w:hAnsiTheme="minorHAnsi" w:cstheme="minorHAnsi"/>
          <w:sz w:val="22"/>
          <w:szCs w:val="22"/>
        </w:rPr>
        <w:t xml:space="preserve"> EU acquis, particularly in the </w:t>
      </w:r>
      <w:r w:rsidR="00613E9F" w:rsidRPr="007C4D65">
        <w:rPr>
          <w:rFonts w:asciiTheme="minorHAnsi" w:hAnsiTheme="minorHAnsi" w:cstheme="minorHAnsi"/>
          <w:sz w:val="22"/>
          <w:szCs w:val="22"/>
        </w:rPr>
        <w:t>provisions allowing</w:t>
      </w:r>
      <w:r w:rsidRPr="007C4D65">
        <w:rPr>
          <w:rFonts w:asciiTheme="minorHAnsi" w:hAnsiTheme="minorHAnsi" w:cstheme="minorHAnsi"/>
          <w:sz w:val="22"/>
          <w:szCs w:val="22"/>
        </w:rPr>
        <w:t xml:space="preserve"> the public to have a greater influence on decisions of the government authorities, transparency, and accountability.</w:t>
      </w:r>
      <w:r w:rsidR="00F45671" w:rsidRPr="007C4D65">
        <w:rPr>
          <w:rFonts w:asciiTheme="minorHAnsi" w:hAnsiTheme="minorHAnsi" w:cstheme="minorHAnsi"/>
          <w:sz w:val="22"/>
          <w:szCs w:val="22"/>
        </w:rPr>
        <w:t xml:space="preserve"> While</w:t>
      </w:r>
      <w:r w:rsidRPr="007C4D65">
        <w:rPr>
          <w:rFonts w:asciiTheme="minorHAnsi" w:hAnsiTheme="minorHAnsi" w:cstheme="minorHAnsi"/>
          <w:sz w:val="22"/>
          <w:szCs w:val="22"/>
        </w:rPr>
        <w:t xml:space="preserve"> </w:t>
      </w:r>
      <w:r w:rsidR="00F45671" w:rsidRPr="007C4D65">
        <w:rPr>
          <w:rFonts w:asciiTheme="minorHAnsi" w:hAnsiTheme="minorHAnsi" w:cstheme="minorHAnsi"/>
          <w:sz w:val="22"/>
          <w:szCs w:val="22"/>
        </w:rPr>
        <w:t xml:space="preserve">complying with </w:t>
      </w:r>
      <w:r w:rsidR="00F45671" w:rsidRPr="007C4D65">
        <w:rPr>
          <w:rFonts w:asciiTheme="minorHAnsi" w:hAnsiTheme="minorHAnsi" w:cstheme="minorHAnsi"/>
          <w:b/>
          <w:sz w:val="22"/>
          <w:szCs w:val="22"/>
        </w:rPr>
        <w:t>the</w:t>
      </w:r>
      <w:r w:rsidRPr="007C4D65">
        <w:rPr>
          <w:rFonts w:asciiTheme="minorHAnsi" w:hAnsiTheme="minorHAnsi" w:cstheme="minorHAnsi"/>
          <w:b/>
          <w:sz w:val="22"/>
          <w:szCs w:val="22"/>
        </w:rPr>
        <w:t xml:space="preserve"> </w:t>
      </w:r>
      <w:r w:rsidR="00F45671" w:rsidRPr="007C4D65">
        <w:rPr>
          <w:rFonts w:asciiTheme="minorHAnsi" w:hAnsiTheme="minorHAnsi" w:cstheme="minorHAnsi"/>
          <w:b/>
          <w:sz w:val="22"/>
          <w:szCs w:val="22"/>
        </w:rPr>
        <w:t>existing</w:t>
      </w:r>
      <w:r w:rsidRPr="007C4D65">
        <w:rPr>
          <w:rFonts w:asciiTheme="minorHAnsi" w:hAnsiTheme="minorHAnsi" w:cstheme="minorHAnsi"/>
          <w:b/>
          <w:sz w:val="22"/>
          <w:szCs w:val="22"/>
        </w:rPr>
        <w:t xml:space="preserve">/previous strategic </w:t>
      </w:r>
      <w:r w:rsidR="00613E9F" w:rsidRPr="007C4D65">
        <w:rPr>
          <w:rFonts w:asciiTheme="minorHAnsi" w:hAnsiTheme="minorHAnsi" w:cstheme="minorHAnsi"/>
          <w:b/>
          <w:sz w:val="22"/>
          <w:szCs w:val="22"/>
        </w:rPr>
        <w:t>documents</w:t>
      </w:r>
      <w:r w:rsidRPr="007C4D65">
        <w:rPr>
          <w:rFonts w:asciiTheme="minorHAnsi" w:hAnsiTheme="minorHAnsi" w:cstheme="minorHAnsi"/>
          <w:sz w:val="22"/>
          <w:szCs w:val="22"/>
        </w:rPr>
        <w:t xml:space="preserve"> and </w:t>
      </w:r>
      <w:r w:rsidRPr="007C4D65">
        <w:rPr>
          <w:rFonts w:asciiTheme="minorHAnsi" w:hAnsiTheme="minorHAnsi" w:cstheme="minorHAnsi"/>
          <w:b/>
          <w:bCs/>
          <w:sz w:val="22"/>
          <w:szCs w:val="22"/>
        </w:rPr>
        <w:t>in compliance with the environmental laws</w:t>
      </w:r>
      <w:r w:rsidRPr="007C4D65">
        <w:rPr>
          <w:rFonts w:asciiTheme="minorHAnsi" w:hAnsiTheme="minorHAnsi" w:cstheme="minorHAnsi"/>
          <w:sz w:val="22"/>
          <w:szCs w:val="22"/>
        </w:rPr>
        <w:t xml:space="preserve">, </w:t>
      </w:r>
      <w:bookmarkStart w:id="19" w:name="_Hlk99974775"/>
      <w:bookmarkStart w:id="20" w:name="_Hlk99965216"/>
      <w:r w:rsidRPr="007C4D65">
        <w:rPr>
          <w:rFonts w:asciiTheme="minorHAnsi" w:hAnsiTheme="minorHAnsi" w:cstheme="minorHAnsi"/>
          <w:sz w:val="22"/>
          <w:szCs w:val="22"/>
        </w:rPr>
        <w:t xml:space="preserve">the </w:t>
      </w:r>
      <w:r w:rsidR="00613E9F" w:rsidRPr="007C4D65">
        <w:rPr>
          <w:rFonts w:asciiTheme="minorHAnsi" w:hAnsiTheme="minorHAnsi" w:cstheme="minorHAnsi"/>
          <w:sz w:val="22"/>
          <w:szCs w:val="22"/>
        </w:rPr>
        <w:t>Strategy</w:t>
      </w:r>
      <w:r w:rsidRPr="007C4D65">
        <w:rPr>
          <w:rFonts w:asciiTheme="minorHAnsi" w:hAnsiTheme="minorHAnsi" w:cstheme="minorHAnsi"/>
          <w:sz w:val="22"/>
          <w:szCs w:val="22"/>
        </w:rPr>
        <w:t xml:space="preserve"> also addresse</w:t>
      </w:r>
      <w:r w:rsidR="00613E9F" w:rsidRPr="007C4D65">
        <w:rPr>
          <w:rFonts w:asciiTheme="minorHAnsi" w:hAnsiTheme="minorHAnsi" w:cstheme="minorHAnsi"/>
          <w:sz w:val="22"/>
          <w:szCs w:val="22"/>
        </w:rPr>
        <w:t>s</w:t>
      </w:r>
      <w:r w:rsidRPr="007C4D65">
        <w:rPr>
          <w:rFonts w:asciiTheme="minorHAnsi" w:hAnsiTheme="minorHAnsi" w:cstheme="minorHAnsi"/>
          <w:sz w:val="22"/>
          <w:szCs w:val="22"/>
        </w:rPr>
        <w:t xml:space="preserve"> the issue of its future </w:t>
      </w:r>
      <w:bookmarkEnd w:id="19"/>
      <w:bookmarkEnd w:id="20"/>
      <w:r w:rsidR="00750BB4" w:rsidRPr="007C4D65">
        <w:rPr>
          <w:rFonts w:asciiTheme="minorHAnsi" w:hAnsiTheme="minorHAnsi" w:cstheme="minorHAnsi"/>
          <w:sz w:val="22"/>
          <w:szCs w:val="22"/>
        </w:rPr>
        <w:t>viability</w:t>
      </w:r>
      <w:r w:rsidRPr="007C4D65">
        <w:rPr>
          <w:rFonts w:asciiTheme="minorHAnsi" w:hAnsiTheme="minorHAnsi" w:cstheme="minorHAnsi"/>
          <w:sz w:val="22"/>
          <w:szCs w:val="22"/>
        </w:rPr>
        <w:t xml:space="preserve">. In addition to this, a </w:t>
      </w:r>
      <w:r w:rsidR="00613E9F" w:rsidRPr="007C4D65">
        <w:rPr>
          <w:rFonts w:asciiTheme="minorHAnsi" w:hAnsiTheme="minorHAnsi" w:cstheme="minorHAnsi"/>
          <w:sz w:val="22"/>
          <w:szCs w:val="22"/>
        </w:rPr>
        <w:t>f</w:t>
      </w:r>
      <w:r w:rsidRPr="007C4D65">
        <w:rPr>
          <w:rFonts w:asciiTheme="minorHAnsi" w:hAnsiTheme="minorHAnsi" w:cstheme="minorHAnsi"/>
          <w:sz w:val="22"/>
          <w:szCs w:val="22"/>
        </w:rPr>
        <w:t xml:space="preserve">ull compliance with the </w:t>
      </w:r>
      <w:r w:rsidR="00613E9F" w:rsidRPr="007C4D65">
        <w:rPr>
          <w:rFonts w:asciiTheme="minorHAnsi" w:hAnsiTheme="minorHAnsi" w:cstheme="minorHAnsi"/>
          <w:b/>
          <w:sz w:val="22"/>
          <w:szCs w:val="22"/>
        </w:rPr>
        <w:t>division</w:t>
      </w:r>
      <w:r w:rsidRPr="007C4D65">
        <w:rPr>
          <w:rFonts w:asciiTheme="minorHAnsi" w:hAnsiTheme="minorHAnsi" w:cstheme="minorHAnsi"/>
          <w:b/>
          <w:sz w:val="22"/>
          <w:szCs w:val="22"/>
        </w:rPr>
        <w:t xml:space="preserve"> of responsibilities</w:t>
      </w:r>
      <w:r w:rsidRPr="007C4D65">
        <w:rPr>
          <w:rFonts w:asciiTheme="minorHAnsi" w:hAnsiTheme="minorHAnsi" w:cstheme="minorHAnsi"/>
          <w:sz w:val="22"/>
          <w:szCs w:val="22"/>
        </w:rPr>
        <w:t xml:space="preserve"> in the environmental sector among the institutions </w:t>
      </w:r>
      <w:r w:rsidR="00613E9F" w:rsidRPr="007C4D65">
        <w:rPr>
          <w:rFonts w:asciiTheme="minorHAnsi" w:hAnsiTheme="minorHAnsi" w:cstheme="minorHAnsi"/>
          <w:sz w:val="22"/>
          <w:szCs w:val="22"/>
        </w:rPr>
        <w:t>across</w:t>
      </w:r>
      <w:r w:rsidRPr="007C4D65">
        <w:rPr>
          <w:rFonts w:asciiTheme="minorHAnsi" w:hAnsiTheme="minorHAnsi" w:cstheme="minorHAnsi"/>
          <w:sz w:val="22"/>
          <w:szCs w:val="22"/>
        </w:rPr>
        <w:t xml:space="preserve"> the levels of government in BiH facilitated exchange of views, joint planning of activities</w:t>
      </w:r>
      <w:r w:rsidR="00750BB4" w:rsidRPr="007C4D65">
        <w:rPr>
          <w:rFonts w:asciiTheme="minorHAnsi" w:hAnsiTheme="minorHAnsi" w:cstheme="minorHAnsi"/>
          <w:sz w:val="22"/>
          <w:szCs w:val="22"/>
        </w:rPr>
        <w:t>,</w:t>
      </w:r>
      <w:r w:rsidRPr="007C4D65">
        <w:rPr>
          <w:rFonts w:asciiTheme="minorHAnsi" w:hAnsiTheme="minorHAnsi" w:cstheme="minorHAnsi"/>
          <w:sz w:val="22"/>
          <w:szCs w:val="22"/>
        </w:rPr>
        <w:t xml:space="preserve"> </w:t>
      </w:r>
      <w:bookmarkStart w:id="21" w:name="_Hlk99974820"/>
      <w:r w:rsidRPr="007C4D65">
        <w:rPr>
          <w:rFonts w:asciiTheme="minorHAnsi" w:hAnsiTheme="minorHAnsi" w:cstheme="minorHAnsi"/>
          <w:sz w:val="22"/>
          <w:szCs w:val="22"/>
        </w:rPr>
        <w:t xml:space="preserve">and </w:t>
      </w:r>
      <w:r w:rsidR="00750BB4" w:rsidRPr="007C4D65">
        <w:rPr>
          <w:rFonts w:asciiTheme="minorHAnsi" w:hAnsiTheme="minorHAnsi" w:cstheme="minorHAnsi"/>
          <w:sz w:val="22"/>
          <w:szCs w:val="22"/>
        </w:rPr>
        <w:t xml:space="preserve">secured the basis for </w:t>
      </w:r>
      <w:r w:rsidRPr="007C4D65">
        <w:rPr>
          <w:rFonts w:asciiTheme="minorHAnsi" w:hAnsiTheme="minorHAnsi" w:cstheme="minorHAnsi"/>
          <w:sz w:val="22"/>
          <w:szCs w:val="22"/>
        </w:rPr>
        <w:t xml:space="preserve">coordinated </w:t>
      </w:r>
      <w:bookmarkEnd w:id="21"/>
      <w:r w:rsidRPr="007C4D65">
        <w:rPr>
          <w:rFonts w:asciiTheme="minorHAnsi" w:hAnsiTheme="minorHAnsi" w:cstheme="minorHAnsi"/>
          <w:sz w:val="22"/>
          <w:szCs w:val="22"/>
        </w:rPr>
        <w:t xml:space="preserve">implementation of the Strategy at all levels. </w:t>
      </w:r>
    </w:p>
    <w:p w14:paraId="1860E7E7" w14:textId="051A25D2" w:rsidR="004F46E2" w:rsidRPr="007C4D65" w:rsidRDefault="00613E9F" w:rsidP="0068355A">
      <w:pPr>
        <w:spacing w:after="240" w:line="276" w:lineRule="auto"/>
        <w:rPr>
          <w:rFonts w:asciiTheme="minorHAnsi" w:eastAsia="Calibri" w:hAnsiTheme="minorHAnsi" w:cstheme="minorHAnsi"/>
          <w:i/>
          <w:color w:val="000000"/>
          <w:sz w:val="22"/>
          <w:szCs w:val="22"/>
          <w:u w:val="single"/>
        </w:rPr>
      </w:pPr>
      <w:r w:rsidRPr="007C4D65">
        <w:rPr>
          <w:rFonts w:asciiTheme="minorHAnsi" w:hAnsiTheme="minorHAnsi" w:cstheme="minorHAnsi"/>
          <w:i/>
          <w:color w:val="000000"/>
          <w:sz w:val="22"/>
          <w:szCs w:val="22"/>
          <w:u w:val="single"/>
        </w:rPr>
        <w:t>Stakeholders’</w:t>
      </w:r>
      <w:r w:rsidR="004F46E2" w:rsidRPr="007C4D65">
        <w:rPr>
          <w:rFonts w:asciiTheme="minorHAnsi" w:hAnsiTheme="minorHAnsi" w:cstheme="minorHAnsi"/>
          <w:i/>
          <w:color w:val="000000"/>
          <w:sz w:val="22"/>
          <w:szCs w:val="22"/>
          <w:u w:val="single"/>
        </w:rPr>
        <w:t xml:space="preserve"> capacity building</w:t>
      </w:r>
    </w:p>
    <w:p w14:paraId="58AD5113" w14:textId="45F6108B" w:rsidR="004F46E2" w:rsidRPr="007C4D65" w:rsidRDefault="00613E9F" w:rsidP="0068355A">
      <w:pPr>
        <w:spacing w:after="240" w:line="276" w:lineRule="auto"/>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Furthermore</w:t>
      </w:r>
      <w:r w:rsidR="004F46E2" w:rsidRPr="007C4D65">
        <w:rPr>
          <w:rFonts w:asciiTheme="minorHAnsi" w:hAnsiTheme="minorHAnsi" w:cstheme="minorHAnsi"/>
          <w:color w:val="000000"/>
          <w:sz w:val="22"/>
          <w:szCs w:val="22"/>
        </w:rPr>
        <w:t>,</w:t>
      </w:r>
      <w:r w:rsidRPr="007C4D65">
        <w:rPr>
          <w:rFonts w:asciiTheme="minorHAnsi" w:hAnsiTheme="minorHAnsi" w:cstheme="minorHAnsi"/>
          <w:color w:val="000000"/>
          <w:sz w:val="22"/>
          <w:szCs w:val="22"/>
        </w:rPr>
        <w:t xml:space="preserve"> simultaneously with </w:t>
      </w:r>
      <w:r w:rsidR="004F46E2" w:rsidRPr="007C4D65">
        <w:rPr>
          <w:rFonts w:asciiTheme="minorHAnsi" w:hAnsiTheme="minorHAnsi" w:cstheme="minorHAnsi"/>
          <w:color w:val="000000"/>
          <w:sz w:val="22"/>
          <w:szCs w:val="22"/>
        </w:rPr>
        <w:t xml:space="preserve">the development of the </w:t>
      </w:r>
      <w:r w:rsidRPr="007C4D65">
        <w:rPr>
          <w:rFonts w:asciiTheme="minorHAnsi" w:hAnsiTheme="minorHAnsi" w:cstheme="minorHAnsi"/>
          <w:color w:val="000000"/>
          <w:sz w:val="22"/>
          <w:szCs w:val="22"/>
        </w:rPr>
        <w:t>S</w:t>
      </w:r>
      <w:r w:rsidR="004F46E2" w:rsidRPr="007C4D65">
        <w:rPr>
          <w:rFonts w:asciiTheme="minorHAnsi" w:hAnsiTheme="minorHAnsi" w:cstheme="minorHAnsi"/>
          <w:color w:val="000000"/>
          <w:sz w:val="22"/>
          <w:szCs w:val="22"/>
        </w:rPr>
        <w:t>trategy</w:t>
      </w:r>
      <w:r w:rsidR="00CA78DB" w:rsidRPr="007C4D65">
        <w:rPr>
          <w:rFonts w:asciiTheme="minorHAnsi" w:hAnsiTheme="minorHAnsi" w:cstheme="minorHAnsi"/>
          <w:color w:val="000000"/>
          <w:sz w:val="22"/>
          <w:szCs w:val="22"/>
        </w:rPr>
        <w:t>,</w:t>
      </w:r>
      <w:r w:rsidR="004F46E2" w:rsidRPr="007C4D65">
        <w:rPr>
          <w:rFonts w:asciiTheme="minorHAnsi" w:hAnsiTheme="minorHAnsi" w:cstheme="minorHAnsi"/>
          <w:color w:val="000000"/>
          <w:sz w:val="22"/>
          <w:szCs w:val="22"/>
        </w:rPr>
        <w:t xml:space="preserve"> vigorous </w:t>
      </w:r>
      <w:r w:rsidRPr="007C4D65">
        <w:rPr>
          <w:rFonts w:asciiTheme="minorHAnsi" w:hAnsiTheme="minorHAnsi" w:cstheme="minorHAnsi"/>
          <w:color w:val="000000"/>
          <w:sz w:val="22"/>
          <w:szCs w:val="22"/>
        </w:rPr>
        <w:t>efforts focused</w:t>
      </w:r>
      <w:r w:rsidR="004F46E2" w:rsidRPr="007C4D65">
        <w:rPr>
          <w:rFonts w:asciiTheme="minorHAnsi" w:hAnsiTheme="minorHAnsi" w:cstheme="minorHAnsi"/>
          <w:color w:val="000000"/>
          <w:sz w:val="22"/>
          <w:szCs w:val="22"/>
        </w:rPr>
        <w:t xml:space="preserve"> on capacity building to support the implementation of the document. These activities were aimed at informing the </w:t>
      </w:r>
      <w:proofErr w:type="gramStart"/>
      <w:r w:rsidR="004F46E2" w:rsidRPr="007C4D65">
        <w:rPr>
          <w:rFonts w:asciiTheme="minorHAnsi" w:hAnsiTheme="minorHAnsi" w:cstheme="minorHAnsi"/>
          <w:color w:val="000000"/>
          <w:sz w:val="22"/>
          <w:szCs w:val="22"/>
        </w:rPr>
        <w:t>general public</w:t>
      </w:r>
      <w:proofErr w:type="gramEnd"/>
      <w:r w:rsidR="004F46E2" w:rsidRPr="007C4D65">
        <w:rPr>
          <w:rFonts w:asciiTheme="minorHAnsi" w:hAnsiTheme="minorHAnsi" w:cstheme="minorHAnsi"/>
          <w:color w:val="000000"/>
          <w:sz w:val="22"/>
          <w:szCs w:val="22"/>
        </w:rPr>
        <w:t xml:space="preserve"> and stakeholders of different </w:t>
      </w:r>
      <w:r w:rsidR="0054781A" w:rsidRPr="007C4D65">
        <w:rPr>
          <w:rFonts w:asciiTheme="minorHAnsi" w:hAnsiTheme="minorHAnsi" w:cstheme="minorHAnsi"/>
          <w:color w:val="000000"/>
          <w:sz w:val="22"/>
          <w:szCs w:val="22"/>
        </w:rPr>
        <w:t>modalities to improve performance</w:t>
      </w:r>
      <w:r w:rsidR="004F46E2" w:rsidRPr="007C4D65">
        <w:rPr>
          <w:rFonts w:asciiTheme="minorHAnsi" w:hAnsiTheme="minorHAnsi" w:cstheme="minorHAnsi"/>
          <w:color w:val="000000"/>
          <w:sz w:val="22"/>
          <w:szCs w:val="22"/>
        </w:rPr>
        <w:t xml:space="preserve">, of best practices and lessons learned from other countries. The lessons </w:t>
      </w:r>
      <w:proofErr w:type="gramStart"/>
      <w:r w:rsidR="004F46E2" w:rsidRPr="007C4D65">
        <w:rPr>
          <w:rFonts w:asciiTheme="minorHAnsi" w:hAnsiTheme="minorHAnsi" w:cstheme="minorHAnsi"/>
          <w:color w:val="000000"/>
          <w:sz w:val="22"/>
          <w:szCs w:val="22"/>
        </w:rPr>
        <w:t>learned  in</w:t>
      </w:r>
      <w:proofErr w:type="gramEnd"/>
      <w:r w:rsidR="004F46E2" w:rsidRPr="007C4D65">
        <w:rPr>
          <w:rFonts w:asciiTheme="minorHAnsi" w:hAnsiTheme="minorHAnsi" w:cstheme="minorHAnsi"/>
          <w:color w:val="000000"/>
          <w:sz w:val="22"/>
          <w:szCs w:val="22"/>
        </w:rPr>
        <w:t xml:space="preserve"> relation to the alignment with and implementation of the EU regulations, benefits of ecological networks, benefits of public </w:t>
      </w:r>
      <w:r w:rsidR="004F46E2" w:rsidRPr="007C4D65">
        <w:rPr>
          <w:rFonts w:asciiTheme="minorHAnsi" w:hAnsiTheme="minorHAnsi" w:cstheme="minorHAnsi"/>
          <w:color w:val="000000"/>
          <w:sz w:val="22"/>
          <w:szCs w:val="22"/>
        </w:rPr>
        <w:lastRenderedPageBreak/>
        <w:t xml:space="preserve">participation, and challenges other countries faced, were presented </w:t>
      </w:r>
      <w:r w:rsidR="0054781A" w:rsidRPr="007C4D65">
        <w:rPr>
          <w:rFonts w:asciiTheme="minorHAnsi" w:hAnsiTheme="minorHAnsi" w:cstheme="minorHAnsi"/>
          <w:color w:val="000000"/>
          <w:sz w:val="22"/>
          <w:szCs w:val="22"/>
        </w:rPr>
        <w:t>in</w:t>
      </w:r>
      <w:r w:rsidR="004F46E2" w:rsidRPr="007C4D65">
        <w:rPr>
          <w:rFonts w:asciiTheme="minorHAnsi" w:hAnsiTheme="minorHAnsi" w:cstheme="minorHAnsi"/>
          <w:color w:val="000000"/>
          <w:sz w:val="22"/>
          <w:szCs w:val="22"/>
        </w:rPr>
        <w:t xml:space="preserve"> </w:t>
      </w:r>
      <w:r w:rsidR="00396E44" w:rsidRPr="007C4D65">
        <w:rPr>
          <w:rFonts w:asciiTheme="minorHAnsi" w:hAnsiTheme="minorHAnsi" w:cstheme="minorHAnsi"/>
          <w:color w:val="000000"/>
          <w:sz w:val="22"/>
          <w:szCs w:val="22"/>
        </w:rPr>
        <w:t>several</w:t>
      </w:r>
      <w:r w:rsidR="004F46E2" w:rsidRPr="007C4D65">
        <w:rPr>
          <w:rFonts w:asciiTheme="minorHAnsi" w:hAnsiTheme="minorHAnsi" w:cstheme="minorHAnsi"/>
          <w:color w:val="000000"/>
          <w:sz w:val="22"/>
          <w:szCs w:val="22"/>
        </w:rPr>
        <w:t xml:space="preserve"> capacity building </w:t>
      </w:r>
      <w:r w:rsidR="0054781A" w:rsidRPr="007C4D65">
        <w:rPr>
          <w:rFonts w:asciiTheme="minorHAnsi" w:hAnsiTheme="minorHAnsi" w:cstheme="minorHAnsi"/>
          <w:color w:val="000000"/>
          <w:sz w:val="22"/>
          <w:szCs w:val="22"/>
        </w:rPr>
        <w:t>workshops</w:t>
      </w:r>
      <w:r w:rsidR="004F46E2" w:rsidRPr="007C4D65">
        <w:rPr>
          <w:rFonts w:asciiTheme="minorHAnsi" w:hAnsiTheme="minorHAnsi" w:cstheme="minorHAnsi"/>
          <w:color w:val="000000"/>
          <w:sz w:val="22"/>
          <w:szCs w:val="22"/>
        </w:rPr>
        <w:t xml:space="preserve">, with the participation of experts in the seven environmental management areas </w:t>
      </w:r>
      <w:r w:rsidR="00396E44" w:rsidRPr="007C4D65">
        <w:rPr>
          <w:rFonts w:asciiTheme="minorHAnsi" w:hAnsiTheme="minorHAnsi" w:cstheme="minorHAnsi"/>
          <w:color w:val="000000"/>
          <w:sz w:val="22"/>
          <w:szCs w:val="22"/>
        </w:rPr>
        <w:t>from several countries</w:t>
      </w:r>
      <w:r w:rsidR="004F46E2" w:rsidRPr="007C4D65">
        <w:rPr>
          <w:rFonts w:asciiTheme="minorHAnsi" w:hAnsiTheme="minorHAnsi" w:cstheme="minorHAnsi"/>
          <w:color w:val="000000"/>
          <w:sz w:val="22"/>
          <w:szCs w:val="22"/>
        </w:rPr>
        <w:t xml:space="preserve">. The aim of the </w:t>
      </w:r>
      <w:r w:rsidR="0054781A" w:rsidRPr="007C4D65">
        <w:rPr>
          <w:rFonts w:asciiTheme="minorHAnsi" w:hAnsiTheme="minorHAnsi" w:cstheme="minorHAnsi"/>
          <w:color w:val="000000"/>
          <w:sz w:val="22"/>
          <w:szCs w:val="22"/>
        </w:rPr>
        <w:t>workshops</w:t>
      </w:r>
      <w:r w:rsidR="004F46E2" w:rsidRPr="007C4D65">
        <w:rPr>
          <w:rFonts w:asciiTheme="minorHAnsi" w:hAnsiTheme="minorHAnsi" w:cstheme="minorHAnsi"/>
          <w:color w:val="000000"/>
          <w:sz w:val="22"/>
          <w:szCs w:val="22"/>
        </w:rPr>
        <w:t xml:space="preserve"> was to further build </w:t>
      </w:r>
      <w:r w:rsidR="00396E44" w:rsidRPr="007C4D65">
        <w:rPr>
          <w:rFonts w:asciiTheme="minorHAnsi" w:hAnsiTheme="minorHAnsi" w:cstheme="minorHAnsi"/>
          <w:color w:val="000000"/>
          <w:sz w:val="22"/>
          <w:szCs w:val="22"/>
        </w:rPr>
        <w:t>the capacity</w:t>
      </w:r>
      <w:r w:rsidR="004F46E2" w:rsidRPr="007C4D65">
        <w:rPr>
          <w:rFonts w:asciiTheme="minorHAnsi" w:hAnsiTheme="minorHAnsi" w:cstheme="minorHAnsi"/>
          <w:color w:val="000000"/>
          <w:sz w:val="22"/>
          <w:szCs w:val="22"/>
        </w:rPr>
        <w:t xml:space="preserve"> of the Working Groups members, </w:t>
      </w:r>
      <w:r w:rsidR="00396E44" w:rsidRPr="007C4D65">
        <w:rPr>
          <w:rFonts w:asciiTheme="minorHAnsi" w:hAnsiTheme="minorHAnsi" w:cstheme="minorHAnsi"/>
          <w:color w:val="000000"/>
          <w:sz w:val="22"/>
          <w:szCs w:val="22"/>
        </w:rPr>
        <w:t>and all</w:t>
      </w:r>
      <w:r w:rsidR="004F46E2" w:rsidRPr="007C4D65">
        <w:rPr>
          <w:rFonts w:asciiTheme="minorHAnsi" w:hAnsiTheme="minorHAnsi" w:cstheme="minorHAnsi"/>
          <w:color w:val="000000"/>
          <w:sz w:val="22"/>
          <w:szCs w:val="22"/>
        </w:rPr>
        <w:t xml:space="preserve"> other stakeholders, and ultimately enhance the quality of the Strategy.  </w:t>
      </w:r>
    </w:p>
    <w:p w14:paraId="0C0C1CAC" w14:textId="77777777" w:rsidR="004F46E2" w:rsidRPr="007C4D65" w:rsidRDefault="004F46E2" w:rsidP="0068355A">
      <w:pPr>
        <w:spacing w:after="240" w:line="276" w:lineRule="auto"/>
        <w:rPr>
          <w:rFonts w:asciiTheme="minorHAnsi" w:eastAsia="Calibri" w:hAnsiTheme="minorHAnsi" w:cstheme="minorHAnsi"/>
          <w:i/>
          <w:color w:val="000000"/>
          <w:sz w:val="22"/>
          <w:szCs w:val="22"/>
          <w:u w:val="single"/>
        </w:rPr>
      </w:pPr>
      <w:r w:rsidRPr="007C4D65">
        <w:rPr>
          <w:rFonts w:asciiTheme="minorHAnsi" w:hAnsiTheme="minorHAnsi" w:cstheme="minorHAnsi"/>
          <w:i/>
          <w:color w:val="000000"/>
          <w:sz w:val="22"/>
          <w:szCs w:val="22"/>
          <w:u w:val="single"/>
        </w:rPr>
        <w:t>Gender equality, social equity and poverty</w:t>
      </w:r>
    </w:p>
    <w:p w14:paraId="47B4B2FF" w14:textId="63310BF3" w:rsidR="004F46E2" w:rsidRPr="007C4D65" w:rsidRDefault="004F46E2" w:rsidP="0068355A">
      <w:pPr>
        <w:spacing w:after="240" w:line="276" w:lineRule="auto"/>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 xml:space="preserve">Integration of gender equality, social equity and poverty is a response to the UN Agenda 2030, which underlines the importance of </w:t>
      </w:r>
      <w:proofErr w:type="gramStart"/>
      <w:r w:rsidRPr="007C4D65">
        <w:rPr>
          <w:rFonts w:asciiTheme="minorHAnsi" w:hAnsiTheme="minorHAnsi" w:cstheme="minorHAnsi"/>
          <w:color w:val="000000"/>
          <w:sz w:val="22"/>
          <w:szCs w:val="22"/>
        </w:rPr>
        <w:t>taking into account</w:t>
      </w:r>
      <w:proofErr w:type="gramEnd"/>
      <w:r w:rsidRPr="007C4D65">
        <w:rPr>
          <w:rFonts w:asciiTheme="minorHAnsi" w:hAnsiTheme="minorHAnsi" w:cstheme="minorHAnsi"/>
          <w:color w:val="000000"/>
          <w:sz w:val="22"/>
          <w:szCs w:val="22"/>
        </w:rPr>
        <w:t xml:space="preserve"> all social groups and enabling equal opportunities to all. These perspectives were integrated in the activities of the Working Groups, and subsequently </w:t>
      </w:r>
      <w:r w:rsidR="00C31137" w:rsidRPr="007C4D65">
        <w:rPr>
          <w:rFonts w:asciiTheme="minorHAnsi" w:hAnsiTheme="minorHAnsi" w:cstheme="minorHAnsi"/>
          <w:color w:val="000000"/>
          <w:sz w:val="22"/>
          <w:szCs w:val="22"/>
        </w:rPr>
        <w:t>in</w:t>
      </w:r>
      <w:r w:rsidRPr="007C4D65">
        <w:rPr>
          <w:rFonts w:asciiTheme="minorHAnsi" w:hAnsiTheme="minorHAnsi" w:cstheme="minorHAnsi"/>
          <w:color w:val="000000"/>
          <w:sz w:val="22"/>
          <w:szCs w:val="22"/>
        </w:rPr>
        <w:t xml:space="preserve"> the capacity building activities </w:t>
      </w:r>
      <w:r w:rsidR="00C31137" w:rsidRPr="007C4D65">
        <w:rPr>
          <w:rFonts w:asciiTheme="minorHAnsi" w:hAnsiTheme="minorHAnsi" w:cstheme="minorHAnsi"/>
          <w:color w:val="000000"/>
          <w:sz w:val="22"/>
          <w:szCs w:val="22"/>
        </w:rPr>
        <w:t>and the strategic document</w:t>
      </w:r>
      <w:r w:rsidRPr="007C4D65">
        <w:rPr>
          <w:rFonts w:asciiTheme="minorHAnsi" w:hAnsiTheme="minorHAnsi" w:cstheme="minorHAnsi"/>
          <w:color w:val="000000"/>
          <w:sz w:val="22"/>
          <w:szCs w:val="22"/>
        </w:rPr>
        <w:t xml:space="preserve">. The integration of these perspectives is a way to gain a better understanding of the situation on the ground and interlinkages with the environment and its problems, as well as means to open a dialogue on potential solutions to these problems. </w:t>
      </w:r>
    </w:p>
    <w:p w14:paraId="7A43C988" w14:textId="4640A5C4" w:rsidR="004F46E2" w:rsidRPr="007C4D65" w:rsidRDefault="009743A7" w:rsidP="0068355A">
      <w:pPr>
        <w:spacing w:after="240" w:line="276" w:lineRule="auto"/>
        <w:jc w:val="both"/>
        <w:rPr>
          <w:rFonts w:asciiTheme="minorHAnsi" w:eastAsia="Calibri" w:hAnsiTheme="minorHAnsi" w:cstheme="minorHAnsi"/>
          <w:color w:val="000000"/>
          <w:sz w:val="22"/>
          <w:szCs w:val="22"/>
        </w:rPr>
      </w:pPr>
      <w:r w:rsidRPr="007C4D65">
        <w:rPr>
          <w:rFonts w:asciiTheme="minorHAnsi" w:hAnsiTheme="minorHAnsi" w:cstheme="minorHAnsi"/>
          <w:sz w:val="22"/>
          <w:szCs w:val="22"/>
        </w:rPr>
        <w:t xml:space="preserve">Thus, the Strategy focused on several most disadvantaged </w:t>
      </w:r>
      <w:r w:rsidRPr="007C4D65">
        <w:rPr>
          <w:rFonts w:asciiTheme="minorHAnsi" w:hAnsiTheme="minorHAnsi" w:cstheme="minorHAnsi"/>
          <w:color w:val="000000"/>
          <w:sz w:val="22"/>
          <w:szCs w:val="22"/>
        </w:rPr>
        <w:t xml:space="preserve">groups of the population affected by the lack of gender equality (a situation in which women and men and girls and boys do not have equal rights, responsibilities and opportunities), poor social equity (which implies unfair outcomes for persons from different subgroups), and the problem of multidimensional poverty (due to the lack of </w:t>
      </w:r>
      <w:proofErr w:type="gramStart"/>
      <w:r w:rsidRPr="007C4D65">
        <w:rPr>
          <w:rFonts w:asciiTheme="minorHAnsi" w:hAnsiTheme="minorHAnsi" w:cstheme="minorHAnsi"/>
          <w:color w:val="000000"/>
          <w:sz w:val="22"/>
          <w:szCs w:val="22"/>
        </w:rPr>
        <w:t xml:space="preserve">resources,  </w:t>
      </w:r>
      <w:bookmarkStart w:id="22" w:name="_Hlk100511735"/>
      <w:r w:rsidRPr="007C4D65">
        <w:rPr>
          <w:rFonts w:asciiTheme="minorHAnsi" w:hAnsiTheme="minorHAnsi" w:cstheme="minorHAnsi"/>
          <w:color w:val="000000"/>
          <w:sz w:val="22"/>
          <w:szCs w:val="22"/>
        </w:rPr>
        <w:t>lack</w:t>
      </w:r>
      <w:proofErr w:type="gramEnd"/>
      <w:r w:rsidRPr="007C4D65">
        <w:rPr>
          <w:rFonts w:asciiTheme="minorHAnsi" w:hAnsiTheme="minorHAnsi" w:cstheme="minorHAnsi"/>
          <w:color w:val="000000"/>
          <w:sz w:val="22"/>
          <w:szCs w:val="22"/>
        </w:rPr>
        <w:t xml:space="preserve"> of representation in planning and decision</w:t>
      </w:r>
      <w:r w:rsidR="00945539" w:rsidRPr="007C4D65">
        <w:rPr>
          <w:rFonts w:asciiTheme="minorHAnsi" w:hAnsiTheme="minorHAnsi" w:cstheme="minorHAnsi"/>
          <w:color w:val="000000"/>
          <w:sz w:val="22"/>
          <w:szCs w:val="22"/>
        </w:rPr>
        <w:t>-</w:t>
      </w:r>
      <w:r w:rsidRPr="007C4D65">
        <w:rPr>
          <w:rFonts w:asciiTheme="minorHAnsi" w:hAnsiTheme="minorHAnsi" w:cstheme="minorHAnsi"/>
          <w:color w:val="000000"/>
          <w:sz w:val="22"/>
          <w:szCs w:val="22"/>
        </w:rPr>
        <w:t xml:space="preserve">making processes, </w:t>
      </w:r>
      <w:bookmarkEnd w:id="22"/>
      <w:r w:rsidRPr="007C4D65">
        <w:rPr>
          <w:rFonts w:asciiTheme="minorHAnsi" w:hAnsiTheme="minorHAnsi" w:cstheme="minorHAnsi"/>
          <w:sz w:val="22"/>
          <w:szCs w:val="22"/>
        </w:rPr>
        <w:t>and human security</w:t>
      </w:r>
      <w:r w:rsidRPr="007C4D65">
        <w:rPr>
          <w:rFonts w:asciiTheme="minorHAnsi" w:hAnsiTheme="minorHAnsi" w:cstheme="minorHAnsi"/>
          <w:color w:val="000000"/>
          <w:sz w:val="22"/>
          <w:szCs w:val="22"/>
        </w:rPr>
        <w:t>).</w:t>
      </w:r>
    </w:p>
    <w:p w14:paraId="15977200" w14:textId="56E8A8EC" w:rsidR="004F46E2" w:rsidRPr="007C4D65" w:rsidRDefault="004F46E2" w:rsidP="0068355A">
      <w:pPr>
        <w:spacing w:after="240" w:line="276" w:lineRule="auto"/>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 xml:space="preserve">The process of the Strategy development involved the participation of different interest groups and the gender </w:t>
      </w:r>
      <w:r w:rsidR="0098214E" w:rsidRPr="007C4D65">
        <w:rPr>
          <w:rFonts w:asciiTheme="minorHAnsi" w:hAnsiTheme="minorHAnsi" w:cstheme="minorHAnsi"/>
          <w:color w:val="000000"/>
          <w:sz w:val="22"/>
          <w:szCs w:val="22"/>
        </w:rPr>
        <w:t>mechanism</w:t>
      </w:r>
      <w:r w:rsidRPr="007C4D65">
        <w:rPr>
          <w:rFonts w:asciiTheme="minorHAnsi" w:hAnsiTheme="minorHAnsi" w:cstheme="minorHAnsi"/>
          <w:color w:val="000000"/>
          <w:sz w:val="22"/>
          <w:szCs w:val="22"/>
        </w:rPr>
        <w:t xml:space="preserve">, the </w:t>
      </w:r>
      <w:r w:rsidRPr="007C4D65">
        <w:rPr>
          <w:rFonts w:asciiTheme="minorHAnsi" w:hAnsiTheme="minorHAnsi" w:cstheme="minorHAnsi"/>
          <w:iCs/>
          <w:color w:val="000000"/>
          <w:sz w:val="22"/>
          <w:szCs w:val="22"/>
        </w:rPr>
        <w:t>Gender</w:t>
      </w:r>
      <w:r w:rsidRPr="007C4D65">
        <w:rPr>
          <w:rFonts w:asciiTheme="minorHAnsi" w:hAnsiTheme="minorHAnsi" w:cstheme="minorHAnsi"/>
          <w:color w:val="000000"/>
          <w:sz w:val="22"/>
          <w:szCs w:val="22"/>
        </w:rPr>
        <w:t xml:space="preserve"> Centre </w:t>
      </w:r>
      <w:proofErr w:type="gramStart"/>
      <w:r w:rsidRPr="007C4D65">
        <w:rPr>
          <w:rFonts w:asciiTheme="minorHAnsi" w:hAnsiTheme="minorHAnsi" w:cstheme="minorHAnsi"/>
          <w:color w:val="000000"/>
          <w:sz w:val="22"/>
          <w:szCs w:val="22"/>
        </w:rPr>
        <w:t>of  the</w:t>
      </w:r>
      <w:proofErr w:type="gramEnd"/>
      <w:r w:rsidRPr="007C4D65">
        <w:rPr>
          <w:rFonts w:asciiTheme="minorHAnsi" w:hAnsiTheme="minorHAnsi" w:cstheme="minorHAnsi"/>
          <w:color w:val="000000"/>
          <w:sz w:val="22"/>
          <w:szCs w:val="22"/>
        </w:rPr>
        <w:t xml:space="preserve"> Federation of BiH, through routine communication, information sharing, and events such as online workshops (so-called webinars) and round tables. </w:t>
      </w:r>
    </w:p>
    <w:p w14:paraId="6DFD2CC2" w14:textId="77777777" w:rsidR="004F46E2" w:rsidRPr="007C4D65" w:rsidRDefault="004F46E2" w:rsidP="0068355A">
      <w:pPr>
        <w:spacing w:after="240" w:line="276" w:lineRule="auto"/>
        <w:rPr>
          <w:rFonts w:asciiTheme="minorHAnsi" w:eastAsia="Calibri" w:hAnsiTheme="minorHAnsi" w:cstheme="minorHAnsi"/>
          <w:i/>
          <w:color w:val="000000"/>
          <w:sz w:val="22"/>
          <w:szCs w:val="22"/>
          <w:u w:val="single"/>
        </w:rPr>
      </w:pPr>
      <w:r w:rsidRPr="007C4D65">
        <w:rPr>
          <w:rFonts w:asciiTheme="minorHAnsi" w:hAnsiTheme="minorHAnsi" w:cstheme="minorHAnsi"/>
          <w:i/>
          <w:color w:val="000000"/>
          <w:sz w:val="22"/>
          <w:szCs w:val="22"/>
          <w:u w:val="single"/>
        </w:rPr>
        <w:t>COVID-19 pandemic</w:t>
      </w:r>
    </w:p>
    <w:p w14:paraId="24AB089D" w14:textId="1E60CACC" w:rsidR="004F46E2" w:rsidRPr="007C4D65" w:rsidRDefault="004F46E2" w:rsidP="0068355A">
      <w:pPr>
        <w:spacing w:line="276" w:lineRule="auto"/>
        <w:jc w:val="both"/>
        <w:rPr>
          <w:rFonts w:asciiTheme="minorHAnsi" w:eastAsia="Calibri" w:hAnsiTheme="minorHAnsi" w:cstheme="minorHAnsi"/>
          <w:sz w:val="22"/>
          <w:szCs w:val="22"/>
        </w:rPr>
      </w:pPr>
      <w:r w:rsidRPr="007C4D65">
        <w:rPr>
          <w:rFonts w:asciiTheme="minorHAnsi" w:hAnsiTheme="minorHAnsi" w:cstheme="minorHAnsi"/>
          <w:sz w:val="22"/>
          <w:szCs w:val="22"/>
        </w:rPr>
        <w:t>In early days, the outbreak of the CoVID-19 pandemic</w:t>
      </w:r>
      <w:r w:rsidR="0098214E" w:rsidRPr="007C4D65">
        <w:rPr>
          <w:rFonts w:asciiTheme="minorHAnsi" w:hAnsiTheme="minorHAnsi" w:cstheme="minorHAnsi"/>
          <w:sz w:val="22"/>
          <w:szCs w:val="22"/>
        </w:rPr>
        <w:t xml:space="preserve"> affected the </w:t>
      </w:r>
      <w:proofErr w:type="gramStart"/>
      <w:r w:rsidR="0098214E" w:rsidRPr="007C4D65">
        <w:rPr>
          <w:rFonts w:asciiTheme="minorHAnsi" w:hAnsiTheme="minorHAnsi" w:cstheme="minorHAnsi"/>
          <w:sz w:val="22"/>
          <w:szCs w:val="22"/>
        </w:rPr>
        <w:t>process</w:t>
      </w:r>
      <w:r w:rsidRPr="007C4D65">
        <w:rPr>
          <w:rFonts w:asciiTheme="minorHAnsi" w:hAnsiTheme="minorHAnsi" w:cstheme="minorHAnsi"/>
          <w:sz w:val="22"/>
          <w:szCs w:val="22"/>
        </w:rPr>
        <w:t xml:space="preserve">, </w:t>
      </w:r>
      <w:r w:rsidR="0098214E" w:rsidRPr="007C4D65">
        <w:rPr>
          <w:rFonts w:asciiTheme="minorHAnsi" w:hAnsiTheme="minorHAnsi" w:cstheme="minorHAnsi"/>
          <w:sz w:val="22"/>
          <w:szCs w:val="22"/>
        </w:rPr>
        <w:t>and</w:t>
      </w:r>
      <w:proofErr w:type="gramEnd"/>
      <w:r w:rsidRPr="007C4D65">
        <w:rPr>
          <w:rFonts w:asciiTheme="minorHAnsi" w:hAnsiTheme="minorHAnsi" w:cstheme="minorHAnsi"/>
          <w:sz w:val="22"/>
          <w:szCs w:val="22"/>
        </w:rPr>
        <w:t xml:space="preserve"> compelled all the participants to adjust to the so-called online mode of work. This meant that the members of the Working Groups and Policy Group had to meet on an online platform. However, the process continued smoothly after the arrangements had been made for this mode of work, with very few exceptions when in person meetings were organised (Policy Group meetings with </w:t>
      </w:r>
      <w:r w:rsidR="0098214E" w:rsidRPr="007C4D65">
        <w:rPr>
          <w:rFonts w:asciiTheme="minorHAnsi" w:hAnsiTheme="minorHAnsi" w:cstheme="minorHAnsi"/>
          <w:sz w:val="22"/>
          <w:szCs w:val="22"/>
        </w:rPr>
        <w:t>fewer</w:t>
      </w:r>
      <w:r w:rsidRPr="007C4D65">
        <w:rPr>
          <w:rFonts w:asciiTheme="minorHAnsi" w:hAnsiTheme="minorHAnsi" w:cstheme="minorHAnsi"/>
          <w:sz w:val="22"/>
          <w:szCs w:val="22"/>
        </w:rPr>
        <w:t xml:space="preserve"> </w:t>
      </w:r>
      <w:r w:rsidR="0098214E" w:rsidRPr="007C4D65">
        <w:rPr>
          <w:rFonts w:asciiTheme="minorHAnsi" w:hAnsiTheme="minorHAnsi" w:cstheme="minorHAnsi"/>
          <w:sz w:val="22"/>
          <w:szCs w:val="22"/>
        </w:rPr>
        <w:t>participants</w:t>
      </w:r>
      <w:r w:rsidRPr="007C4D65">
        <w:rPr>
          <w:rFonts w:asciiTheme="minorHAnsi" w:hAnsiTheme="minorHAnsi" w:cstheme="minorHAnsi"/>
          <w:sz w:val="22"/>
          <w:szCs w:val="22"/>
        </w:rPr>
        <w:t xml:space="preserve">, in compliance with all the applicable epidemiological measures). </w:t>
      </w:r>
    </w:p>
    <w:p w14:paraId="50762582" w14:textId="77777777" w:rsidR="003B1D0B" w:rsidRPr="007C4D65" w:rsidRDefault="003B1D0B" w:rsidP="0068355A">
      <w:pPr>
        <w:spacing w:line="276" w:lineRule="auto"/>
        <w:rPr>
          <w:rFonts w:asciiTheme="minorHAnsi" w:eastAsiaTheme="majorEastAsia" w:hAnsiTheme="minorHAnsi" w:cstheme="minorHAnsi"/>
          <w:i/>
          <w:color w:val="2F5496" w:themeColor="accent1" w:themeShade="BF"/>
          <w:sz w:val="22"/>
          <w:szCs w:val="22"/>
        </w:rPr>
      </w:pPr>
      <w:r w:rsidRPr="007C4D65">
        <w:rPr>
          <w:rFonts w:asciiTheme="minorHAnsi" w:hAnsiTheme="minorHAnsi" w:cstheme="minorHAnsi"/>
          <w:sz w:val="22"/>
          <w:szCs w:val="22"/>
        </w:rPr>
        <w:br w:type="page"/>
      </w:r>
    </w:p>
    <w:p w14:paraId="5F89C816" w14:textId="77777777" w:rsidR="003B1D0B" w:rsidRPr="007C4D65" w:rsidRDefault="003B1D0B">
      <w:pPr>
        <w:pStyle w:val="Head1"/>
        <w:spacing w:after="240" w:line="276" w:lineRule="auto"/>
        <w:rPr>
          <w:rFonts w:asciiTheme="minorHAnsi" w:hAnsiTheme="minorHAnsi" w:cstheme="minorHAnsi"/>
        </w:rPr>
      </w:pPr>
      <w:bookmarkStart w:id="23" w:name="_Toc117445322"/>
      <w:r w:rsidRPr="007C4D65">
        <w:rPr>
          <w:rFonts w:asciiTheme="minorHAnsi" w:hAnsiTheme="minorHAnsi" w:cstheme="minorHAnsi"/>
        </w:rPr>
        <w:lastRenderedPageBreak/>
        <w:t>STRATEGIC PLATFORM</w:t>
      </w:r>
      <w:bookmarkEnd w:id="23"/>
    </w:p>
    <w:p w14:paraId="43CDE85B" w14:textId="77777777" w:rsidR="001019C7" w:rsidRPr="007C4D65" w:rsidRDefault="001019C7">
      <w:pPr>
        <w:pStyle w:val="Head2"/>
        <w:spacing w:line="276" w:lineRule="auto"/>
        <w:rPr>
          <w:rFonts w:asciiTheme="minorHAnsi" w:hAnsiTheme="minorHAnsi"/>
        </w:rPr>
      </w:pPr>
      <w:bookmarkStart w:id="24" w:name="_Toc117445323"/>
      <w:r w:rsidRPr="007C4D65">
        <w:rPr>
          <w:rFonts w:asciiTheme="minorHAnsi" w:hAnsiTheme="minorHAnsi"/>
        </w:rPr>
        <w:t>Strategic focusing</w:t>
      </w:r>
      <w:bookmarkEnd w:id="24"/>
    </w:p>
    <w:p w14:paraId="4D57C845" w14:textId="77777777" w:rsidR="001019C7" w:rsidRPr="007C4D65" w:rsidRDefault="001019C7">
      <w:pPr>
        <w:pStyle w:val="Head3"/>
        <w:spacing w:line="276" w:lineRule="auto"/>
        <w:rPr>
          <w:rFonts w:asciiTheme="minorHAnsi" w:hAnsiTheme="minorHAnsi"/>
        </w:rPr>
      </w:pPr>
      <w:bookmarkStart w:id="25" w:name="_Toc117445324"/>
      <w:r w:rsidRPr="007C4D65">
        <w:rPr>
          <w:rFonts w:asciiTheme="minorHAnsi" w:hAnsiTheme="minorHAnsi"/>
        </w:rPr>
        <w:t>EU context</w:t>
      </w:r>
      <w:bookmarkEnd w:id="25"/>
    </w:p>
    <w:p w14:paraId="3BAAD768" w14:textId="46F1158E" w:rsidR="00F82E2E" w:rsidRPr="007C4D65" w:rsidRDefault="0098214E"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w:t>
      </w:r>
      <w:r w:rsidR="0039544F" w:rsidRPr="007C4D65">
        <w:rPr>
          <w:rFonts w:asciiTheme="minorHAnsi" w:hAnsiTheme="minorHAnsi" w:cstheme="minorHAnsi"/>
          <w:sz w:val="22"/>
        </w:rPr>
        <w:t xml:space="preserve">State of </w:t>
      </w:r>
      <w:r w:rsidR="00650CEA" w:rsidRPr="007C4D65">
        <w:rPr>
          <w:rFonts w:asciiTheme="minorHAnsi" w:hAnsiTheme="minorHAnsi" w:cstheme="minorHAnsi"/>
          <w:sz w:val="22"/>
        </w:rPr>
        <w:t xml:space="preserve">the </w:t>
      </w:r>
      <w:r w:rsidR="0039544F" w:rsidRPr="007C4D65">
        <w:rPr>
          <w:rFonts w:asciiTheme="minorHAnsi" w:hAnsiTheme="minorHAnsi" w:cstheme="minorHAnsi"/>
          <w:sz w:val="22"/>
        </w:rPr>
        <w:t>Environment Report (</w:t>
      </w:r>
      <w:proofErr w:type="spellStart"/>
      <w:r w:rsidR="0039544F" w:rsidRPr="007C4D65">
        <w:rPr>
          <w:rFonts w:asciiTheme="minorHAnsi" w:hAnsiTheme="minorHAnsi" w:cstheme="minorHAnsi"/>
          <w:sz w:val="22"/>
        </w:rPr>
        <w:t>SoER</w:t>
      </w:r>
      <w:proofErr w:type="spellEnd"/>
      <w:r w:rsidR="0039544F" w:rsidRPr="007C4D65">
        <w:rPr>
          <w:rFonts w:asciiTheme="minorHAnsi" w:hAnsiTheme="minorHAnsi" w:cstheme="minorHAnsi"/>
          <w:sz w:val="22"/>
        </w:rPr>
        <w:t xml:space="preserve">) is a comprehensive assessment of the health of every aspect of the environment in Europe, particularly in terms of the </w:t>
      </w:r>
      <w:r w:rsidRPr="007C4D65">
        <w:rPr>
          <w:rFonts w:asciiTheme="minorHAnsi" w:hAnsiTheme="minorHAnsi" w:cstheme="minorHAnsi"/>
          <w:sz w:val="22"/>
        </w:rPr>
        <w:t>policy</w:t>
      </w:r>
      <w:r w:rsidR="0039544F" w:rsidRPr="007C4D65">
        <w:rPr>
          <w:rFonts w:asciiTheme="minorHAnsi" w:hAnsiTheme="minorHAnsi" w:cstheme="minorHAnsi"/>
          <w:sz w:val="22"/>
        </w:rPr>
        <w:t xml:space="preserve"> goals set for 2020 and 2030, as well as long term goals set for 2050. The Report states that over the past 20 years Europa made a significant progress in climate change mitigation efforts and reduction of greenhouse gas emission. However, this is not </w:t>
      </w:r>
      <w:r w:rsidRPr="007C4D65">
        <w:rPr>
          <w:rFonts w:asciiTheme="minorHAnsi" w:hAnsiTheme="minorHAnsi" w:cstheme="minorHAnsi"/>
          <w:sz w:val="22"/>
        </w:rPr>
        <w:t>truth</w:t>
      </w:r>
      <w:r w:rsidR="0039544F" w:rsidRPr="007C4D65">
        <w:rPr>
          <w:rFonts w:asciiTheme="minorHAnsi" w:hAnsiTheme="minorHAnsi" w:cstheme="minorHAnsi"/>
          <w:sz w:val="22"/>
        </w:rPr>
        <w:t xml:space="preserve"> for water and air pollution, plastic waste and circular economy.</w:t>
      </w:r>
    </w:p>
    <w:p w14:paraId="2416908B" w14:textId="6BA44C2F" w:rsidR="009C02B3" w:rsidRPr="007C4D65" w:rsidRDefault="0098214E" w:rsidP="0068355A">
      <w:pPr>
        <w:spacing w:line="276" w:lineRule="auto"/>
        <w:jc w:val="both"/>
        <w:rPr>
          <w:rFonts w:asciiTheme="minorHAnsi" w:hAnsiTheme="minorHAnsi" w:cstheme="minorHAnsi"/>
          <w:sz w:val="22"/>
          <w:szCs w:val="22"/>
        </w:rPr>
      </w:pPr>
      <w:r w:rsidRPr="007C4D65">
        <w:rPr>
          <w:rFonts w:asciiTheme="minorHAnsi" w:hAnsiTheme="minorHAnsi" w:cstheme="minorHAnsi"/>
          <w:sz w:val="22"/>
        </w:rPr>
        <w:t>Nevertheless</w:t>
      </w:r>
      <w:r w:rsidR="009C02B3" w:rsidRPr="007C4D65">
        <w:rPr>
          <w:rFonts w:asciiTheme="minorHAnsi" w:hAnsiTheme="minorHAnsi" w:cstheme="minorHAnsi"/>
          <w:sz w:val="22"/>
        </w:rPr>
        <w:t xml:space="preserve">, the Report states that it is necessary to take </w:t>
      </w:r>
      <w:r w:rsidRPr="007C4D65">
        <w:rPr>
          <w:rFonts w:asciiTheme="minorHAnsi" w:hAnsiTheme="minorHAnsi" w:cstheme="minorHAnsi"/>
          <w:sz w:val="22"/>
        </w:rPr>
        <w:t>further</w:t>
      </w:r>
      <w:r w:rsidR="009C02B3" w:rsidRPr="007C4D65">
        <w:rPr>
          <w:rFonts w:asciiTheme="minorHAnsi" w:hAnsiTheme="minorHAnsi" w:cstheme="minorHAnsi"/>
          <w:sz w:val="22"/>
        </w:rPr>
        <w:t xml:space="preserve"> steps </w:t>
      </w:r>
      <w:r w:rsidRPr="007C4D65">
        <w:rPr>
          <w:rFonts w:asciiTheme="minorHAnsi" w:hAnsiTheme="minorHAnsi" w:cstheme="minorHAnsi"/>
          <w:sz w:val="22"/>
        </w:rPr>
        <w:t>to achieve</w:t>
      </w:r>
      <w:r w:rsidR="009C02B3" w:rsidRPr="007C4D65">
        <w:rPr>
          <w:rFonts w:asciiTheme="minorHAnsi" w:hAnsiTheme="minorHAnsi" w:cstheme="minorHAnsi"/>
          <w:sz w:val="22"/>
        </w:rPr>
        <w:t xml:space="preserve"> these goals, including better coordination, and actions which will </w:t>
      </w:r>
      <w:r w:rsidR="00650CEA" w:rsidRPr="007C4D65">
        <w:rPr>
          <w:rFonts w:asciiTheme="minorHAnsi" w:hAnsiTheme="minorHAnsi" w:cstheme="minorHAnsi"/>
          <w:sz w:val="22"/>
        </w:rPr>
        <w:t>improve the conditions</w:t>
      </w:r>
      <w:r w:rsidR="009C02B3" w:rsidRPr="007C4D65">
        <w:rPr>
          <w:rFonts w:asciiTheme="minorHAnsi" w:hAnsiTheme="minorHAnsi" w:cstheme="minorHAnsi"/>
          <w:sz w:val="22"/>
        </w:rPr>
        <w:t xml:space="preserve"> in the area</w:t>
      </w:r>
      <w:r w:rsidR="00C31137" w:rsidRPr="007C4D65">
        <w:rPr>
          <w:rFonts w:asciiTheme="minorHAnsi" w:hAnsiTheme="minorHAnsi" w:cstheme="minorHAnsi"/>
          <w:sz w:val="22"/>
        </w:rPr>
        <w:t>s</w:t>
      </w:r>
      <w:r w:rsidR="009C02B3" w:rsidRPr="007C4D65">
        <w:rPr>
          <w:rFonts w:asciiTheme="minorHAnsi" w:hAnsiTheme="minorHAnsi" w:cstheme="minorHAnsi"/>
          <w:sz w:val="22"/>
        </w:rPr>
        <w:t xml:space="preserve"> of food, energy and mobility. It is also necessary to implement and transition to more sustainable technologies, improve production processes and research. Putting an end to the use of public funds to subsidise activities which harm the environment should also be </w:t>
      </w:r>
      <w:r w:rsidR="00650CEA" w:rsidRPr="007C4D65">
        <w:rPr>
          <w:rFonts w:asciiTheme="minorHAnsi" w:hAnsiTheme="minorHAnsi" w:cstheme="minorHAnsi"/>
          <w:sz w:val="22"/>
        </w:rPr>
        <w:t>among these actions</w:t>
      </w:r>
      <w:r w:rsidR="009C02B3" w:rsidRPr="007C4D65">
        <w:rPr>
          <w:rFonts w:asciiTheme="minorHAnsi" w:hAnsiTheme="minorHAnsi" w:cstheme="minorHAnsi"/>
          <w:sz w:val="22"/>
        </w:rPr>
        <w:t xml:space="preserve">. </w:t>
      </w:r>
    </w:p>
    <w:p w14:paraId="4F6D388C" w14:textId="41D3D476" w:rsidR="001A3E5F" w:rsidRPr="007C4D65" w:rsidRDefault="00E75774"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State of the Environment Report of BiH </w:t>
      </w:r>
      <w:r w:rsidRPr="007C4D65">
        <w:rPr>
          <w:rFonts w:asciiTheme="minorHAnsi" w:hAnsiTheme="minorHAnsi" w:cstheme="minorHAnsi"/>
          <w:sz w:val="22"/>
        </w:rPr>
        <w:fldChar w:fldCharType="begin"/>
      </w:r>
      <w:r w:rsidRPr="007C4D65">
        <w:rPr>
          <w:rFonts w:asciiTheme="minorHAnsi" w:hAnsiTheme="minorHAnsi" w:cstheme="minorHAnsi"/>
          <w:sz w:val="22"/>
        </w:rPr>
        <w:instrText xml:space="preserve"> ADDIN ZOTERO_ITEM CSL_CITATION {"citationID":"KylQ3yOF","properties":{"formattedCitation":"(UNEP 2012)","plainCitation":"(UNEP 2012)","noteIndex":0},"citationItems":[{"id":897,"uris":["http://zotero.org/groups/2653216/items/LENTKMIN"],"itemData":{"id":897,"type":"report","title":"Izvještaj o stanju okoliša u Bosni i Hercegovini","author":[{"literal":"UNEP"}],"issued":{"date-parts":[["2012"]]}}}],"schema":"https://github.com/citation-style-language/schema/raw/master/csl-citation.json"} </w:instrText>
      </w:r>
      <w:r w:rsidRPr="007C4D65">
        <w:rPr>
          <w:rFonts w:asciiTheme="minorHAnsi" w:hAnsiTheme="minorHAnsi" w:cstheme="minorHAnsi"/>
          <w:sz w:val="22"/>
        </w:rPr>
        <w:fldChar w:fldCharType="separate"/>
      </w:r>
      <w:r w:rsidRPr="007C4D65">
        <w:rPr>
          <w:rFonts w:asciiTheme="minorHAnsi" w:hAnsiTheme="minorHAnsi" w:cstheme="minorHAnsi"/>
          <w:sz w:val="22"/>
        </w:rPr>
        <w:t>(UNEP</w:t>
      </w:r>
      <w:r w:rsidR="00BD024E" w:rsidRPr="007C4D65">
        <w:rPr>
          <w:rFonts w:asciiTheme="minorHAnsi" w:hAnsiTheme="minorHAnsi" w:cstheme="minorHAnsi"/>
          <w:sz w:val="22"/>
        </w:rPr>
        <w:t>,</w:t>
      </w:r>
      <w:r w:rsidRPr="007C4D65">
        <w:rPr>
          <w:rFonts w:asciiTheme="minorHAnsi" w:hAnsiTheme="minorHAnsi" w:cstheme="minorHAnsi"/>
          <w:sz w:val="22"/>
        </w:rPr>
        <w:t xml:space="preserve"> 2012)</w:t>
      </w:r>
      <w:r w:rsidRPr="007C4D65">
        <w:rPr>
          <w:rFonts w:asciiTheme="minorHAnsi" w:hAnsiTheme="minorHAnsi" w:cstheme="minorHAnsi"/>
          <w:sz w:val="22"/>
        </w:rPr>
        <w:fldChar w:fldCharType="end"/>
      </w:r>
      <w:r w:rsidRPr="007C4D65">
        <w:rPr>
          <w:rFonts w:asciiTheme="minorHAnsi" w:hAnsiTheme="minorHAnsi" w:cstheme="minorHAnsi"/>
          <w:sz w:val="22"/>
        </w:rPr>
        <w:t xml:space="preserve">, adopted in 2014 </w:t>
      </w:r>
      <w:r w:rsidR="00650CEA" w:rsidRPr="007C4D65">
        <w:rPr>
          <w:rFonts w:asciiTheme="minorHAnsi" w:hAnsiTheme="minorHAnsi" w:cstheme="minorHAnsi"/>
          <w:sz w:val="22"/>
        </w:rPr>
        <w:t>is</w:t>
      </w:r>
      <w:r w:rsidRPr="007C4D65">
        <w:rPr>
          <w:rFonts w:asciiTheme="minorHAnsi" w:hAnsiTheme="minorHAnsi" w:cstheme="minorHAnsi"/>
          <w:sz w:val="22"/>
        </w:rPr>
        <w:t xml:space="preserve"> an important </w:t>
      </w:r>
      <w:r w:rsidR="00C31137" w:rsidRPr="007C4D65">
        <w:rPr>
          <w:rFonts w:asciiTheme="minorHAnsi" w:hAnsiTheme="minorHAnsi" w:cstheme="minorHAnsi"/>
          <w:sz w:val="22"/>
        </w:rPr>
        <w:t>step</w:t>
      </w:r>
      <w:r w:rsidRPr="007C4D65">
        <w:rPr>
          <w:rFonts w:asciiTheme="minorHAnsi" w:hAnsiTheme="minorHAnsi" w:cstheme="minorHAnsi"/>
          <w:sz w:val="22"/>
        </w:rPr>
        <w:t xml:space="preserve"> on the </w:t>
      </w:r>
      <w:r w:rsidR="00650CEA" w:rsidRPr="007C4D65">
        <w:rPr>
          <w:rFonts w:asciiTheme="minorHAnsi" w:hAnsiTheme="minorHAnsi" w:cstheme="minorHAnsi"/>
          <w:sz w:val="22"/>
        </w:rPr>
        <w:t>road</w:t>
      </w:r>
      <w:r w:rsidRPr="007C4D65">
        <w:rPr>
          <w:rFonts w:asciiTheme="minorHAnsi" w:hAnsiTheme="minorHAnsi" w:cstheme="minorHAnsi"/>
          <w:sz w:val="22"/>
        </w:rPr>
        <w:t xml:space="preserve"> </w:t>
      </w:r>
      <w:r w:rsidR="00650CEA" w:rsidRPr="007C4D65">
        <w:rPr>
          <w:rFonts w:asciiTheme="minorHAnsi" w:hAnsiTheme="minorHAnsi" w:cstheme="minorHAnsi"/>
          <w:sz w:val="22"/>
        </w:rPr>
        <w:t xml:space="preserve">to </w:t>
      </w:r>
      <w:r w:rsidRPr="007C4D65">
        <w:rPr>
          <w:rFonts w:asciiTheme="minorHAnsi" w:hAnsiTheme="minorHAnsi" w:cstheme="minorHAnsi"/>
          <w:sz w:val="22"/>
        </w:rPr>
        <w:t xml:space="preserve">EU </w:t>
      </w:r>
      <w:r w:rsidR="00650CEA" w:rsidRPr="007C4D65">
        <w:rPr>
          <w:rFonts w:asciiTheme="minorHAnsi" w:hAnsiTheme="minorHAnsi" w:cstheme="minorHAnsi"/>
          <w:sz w:val="22"/>
        </w:rPr>
        <w:t>membership</w:t>
      </w:r>
      <w:r w:rsidRPr="007C4D65">
        <w:rPr>
          <w:rFonts w:asciiTheme="minorHAnsi" w:hAnsiTheme="minorHAnsi" w:cstheme="minorHAnsi"/>
          <w:sz w:val="22"/>
        </w:rPr>
        <w:t>. The document present</w:t>
      </w:r>
      <w:r w:rsidR="00650CEA" w:rsidRPr="007C4D65">
        <w:rPr>
          <w:rFonts w:asciiTheme="minorHAnsi" w:hAnsiTheme="minorHAnsi" w:cstheme="minorHAnsi"/>
          <w:sz w:val="22"/>
        </w:rPr>
        <w:t>s</w:t>
      </w:r>
      <w:r w:rsidRPr="007C4D65">
        <w:rPr>
          <w:rFonts w:asciiTheme="minorHAnsi" w:hAnsiTheme="minorHAnsi" w:cstheme="minorHAnsi"/>
          <w:sz w:val="22"/>
        </w:rPr>
        <w:t xml:space="preserve"> key data on the state of the environment, trends, pressures and their effect on the environment, identifies key issues for protection and improvement of the state of the environment. Among other things, the conclusions of the Report </w:t>
      </w:r>
      <w:r w:rsidR="00C31137" w:rsidRPr="007C4D65">
        <w:rPr>
          <w:rFonts w:asciiTheme="minorHAnsi" w:hAnsiTheme="minorHAnsi" w:cstheme="minorHAnsi"/>
          <w:sz w:val="22"/>
        </w:rPr>
        <w:t>offer</w:t>
      </w:r>
      <w:r w:rsidRPr="007C4D65">
        <w:rPr>
          <w:rFonts w:asciiTheme="minorHAnsi" w:hAnsiTheme="minorHAnsi" w:cstheme="minorHAnsi"/>
          <w:sz w:val="22"/>
        </w:rPr>
        <w:t xml:space="preserve"> an overview of previous efforts aimed at </w:t>
      </w:r>
      <w:r w:rsidR="00C31137" w:rsidRPr="007C4D65">
        <w:rPr>
          <w:rFonts w:asciiTheme="minorHAnsi" w:hAnsiTheme="minorHAnsi" w:cstheme="minorHAnsi"/>
          <w:sz w:val="22"/>
        </w:rPr>
        <w:t>reforming</w:t>
      </w:r>
      <w:r w:rsidRPr="007C4D65">
        <w:rPr>
          <w:rFonts w:asciiTheme="minorHAnsi" w:hAnsiTheme="minorHAnsi" w:cstheme="minorHAnsi"/>
          <w:sz w:val="22"/>
        </w:rPr>
        <w:t xml:space="preserve"> </w:t>
      </w:r>
      <w:r w:rsidR="00CA78DB" w:rsidRPr="007C4D65">
        <w:rPr>
          <w:rFonts w:asciiTheme="minorHAnsi" w:hAnsiTheme="minorHAnsi" w:cstheme="minorHAnsi"/>
          <w:sz w:val="22"/>
        </w:rPr>
        <w:t xml:space="preserve">the </w:t>
      </w:r>
      <w:r w:rsidRPr="007C4D65">
        <w:rPr>
          <w:rFonts w:asciiTheme="minorHAnsi" w:hAnsiTheme="minorHAnsi" w:cstheme="minorHAnsi"/>
          <w:sz w:val="22"/>
        </w:rPr>
        <w:t xml:space="preserve">environment sector; </w:t>
      </w:r>
      <w:r w:rsidR="00C31137" w:rsidRPr="007C4D65">
        <w:rPr>
          <w:rFonts w:asciiTheme="minorHAnsi" w:hAnsiTheme="minorHAnsi" w:cstheme="minorHAnsi"/>
          <w:sz w:val="22"/>
        </w:rPr>
        <w:t xml:space="preserve">providing for </w:t>
      </w:r>
      <w:r w:rsidRPr="007C4D65">
        <w:rPr>
          <w:rFonts w:asciiTheme="minorHAnsi" w:hAnsiTheme="minorHAnsi" w:cstheme="minorHAnsi"/>
          <w:sz w:val="22"/>
        </w:rPr>
        <w:t xml:space="preserve">efficacy of the system; and </w:t>
      </w:r>
      <w:r w:rsidR="00CA78DB" w:rsidRPr="007C4D65">
        <w:rPr>
          <w:rFonts w:asciiTheme="minorHAnsi" w:hAnsiTheme="minorHAnsi" w:cstheme="minorHAnsi"/>
          <w:sz w:val="22"/>
        </w:rPr>
        <w:t>access to</w:t>
      </w:r>
      <w:r w:rsidRPr="007C4D65">
        <w:rPr>
          <w:rFonts w:asciiTheme="minorHAnsi" w:hAnsiTheme="minorHAnsi" w:cstheme="minorHAnsi"/>
          <w:sz w:val="22"/>
        </w:rPr>
        <w:t xml:space="preserve"> data, and reporting procedures. Finally, the Report also provides specific recommendations </w:t>
      </w:r>
      <w:r w:rsidR="00650CEA" w:rsidRPr="007C4D65">
        <w:rPr>
          <w:rFonts w:asciiTheme="minorHAnsi" w:hAnsiTheme="minorHAnsi" w:cstheme="minorHAnsi"/>
          <w:sz w:val="22"/>
        </w:rPr>
        <w:t>for a</w:t>
      </w:r>
      <w:r w:rsidRPr="007C4D65">
        <w:rPr>
          <w:rFonts w:asciiTheme="minorHAnsi" w:hAnsiTheme="minorHAnsi" w:cstheme="minorHAnsi"/>
          <w:sz w:val="22"/>
        </w:rPr>
        <w:t xml:space="preserve"> </w:t>
      </w:r>
      <w:r w:rsidR="00650CEA" w:rsidRPr="007C4D65">
        <w:rPr>
          <w:rFonts w:asciiTheme="minorHAnsi" w:hAnsiTheme="minorHAnsi" w:cstheme="minorHAnsi"/>
          <w:sz w:val="22"/>
        </w:rPr>
        <w:t>sustainable</w:t>
      </w:r>
      <w:r w:rsidRPr="007C4D65">
        <w:rPr>
          <w:rFonts w:asciiTheme="minorHAnsi" w:hAnsiTheme="minorHAnsi" w:cstheme="minorHAnsi"/>
          <w:sz w:val="22"/>
        </w:rPr>
        <w:t xml:space="preserve"> environmental protection: </w:t>
      </w:r>
    </w:p>
    <w:p w14:paraId="2A025ED4" w14:textId="103A9AB4" w:rsidR="001A3E5F" w:rsidRPr="007C4D65" w:rsidRDefault="001810B9">
      <w:pPr>
        <w:pStyle w:val="ListParagraph"/>
        <w:numPr>
          <w:ilvl w:val="0"/>
          <w:numId w:val="209"/>
        </w:num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Improve existing legal and institutional </w:t>
      </w:r>
      <w:proofErr w:type="gramStart"/>
      <w:r w:rsidRPr="007C4D65">
        <w:rPr>
          <w:rFonts w:asciiTheme="minorHAnsi" w:hAnsiTheme="minorHAnsi" w:cstheme="minorHAnsi"/>
          <w:sz w:val="22"/>
        </w:rPr>
        <w:t>framework</w:t>
      </w:r>
      <w:r w:rsidR="00C31137" w:rsidRPr="007C4D65">
        <w:rPr>
          <w:rFonts w:asciiTheme="minorHAnsi" w:hAnsiTheme="minorHAnsi" w:cstheme="minorHAnsi"/>
          <w:sz w:val="22"/>
        </w:rPr>
        <w:t>;</w:t>
      </w:r>
      <w:proofErr w:type="gramEnd"/>
      <w:r w:rsidRPr="007C4D65">
        <w:rPr>
          <w:rFonts w:asciiTheme="minorHAnsi" w:hAnsiTheme="minorHAnsi" w:cstheme="minorHAnsi"/>
          <w:sz w:val="22"/>
        </w:rPr>
        <w:t xml:space="preserve"> </w:t>
      </w:r>
    </w:p>
    <w:p w14:paraId="741679E3" w14:textId="334D9ABF" w:rsidR="001A3E5F" w:rsidRPr="007C4D65" w:rsidRDefault="001810B9">
      <w:pPr>
        <w:pStyle w:val="ListParagraph"/>
        <w:numPr>
          <w:ilvl w:val="0"/>
          <w:numId w:val="209"/>
        </w:num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Strengthening environmental </w:t>
      </w:r>
      <w:proofErr w:type="gramStart"/>
      <w:r w:rsidRPr="007C4D65">
        <w:rPr>
          <w:rFonts w:asciiTheme="minorHAnsi" w:hAnsiTheme="minorHAnsi" w:cstheme="minorHAnsi"/>
          <w:sz w:val="22"/>
        </w:rPr>
        <w:t>monitoring</w:t>
      </w:r>
      <w:r w:rsidR="00C31137" w:rsidRPr="007C4D65">
        <w:rPr>
          <w:rFonts w:asciiTheme="minorHAnsi" w:hAnsiTheme="minorHAnsi" w:cstheme="minorHAnsi"/>
          <w:sz w:val="22"/>
        </w:rPr>
        <w:t>;</w:t>
      </w:r>
      <w:proofErr w:type="gramEnd"/>
      <w:r w:rsidRPr="007C4D65">
        <w:rPr>
          <w:rFonts w:asciiTheme="minorHAnsi" w:hAnsiTheme="minorHAnsi" w:cstheme="minorHAnsi"/>
          <w:sz w:val="22"/>
        </w:rPr>
        <w:t xml:space="preserve"> </w:t>
      </w:r>
    </w:p>
    <w:p w14:paraId="7885359C" w14:textId="4336636F" w:rsidR="001A3E5F" w:rsidRPr="007C4D65" w:rsidRDefault="001810B9">
      <w:pPr>
        <w:pStyle w:val="ListParagraph"/>
        <w:numPr>
          <w:ilvl w:val="0"/>
          <w:numId w:val="209"/>
        </w:num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Strengthening the statistical sector in </w:t>
      </w:r>
      <w:proofErr w:type="gramStart"/>
      <w:r w:rsidRPr="007C4D65">
        <w:rPr>
          <w:rFonts w:asciiTheme="minorHAnsi" w:hAnsiTheme="minorHAnsi" w:cstheme="minorHAnsi"/>
          <w:sz w:val="22"/>
        </w:rPr>
        <w:t>BiH</w:t>
      </w:r>
      <w:r w:rsidR="00C31137" w:rsidRPr="007C4D65">
        <w:rPr>
          <w:rFonts w:asciiTheme="minorHAnsi" w:hAnsiTheme="minorHAnsi" w:cstheme="minorHAnsi"/>
          <w:sz w:val="22"/>
        </w:rPr>
        <w:t>;</w:t>
      </w:r>
      <w:proofErr w:type="gramEnd"/>
      <w:r w:rsidRPr="007C4D65">
        <w:rPr>
          <w:rFonts w:asciiTheme="minorHAnsi" w:hAnsiTheme="minorHAnsi" w:cstheme="minorHAnsi"/>
          <w:sz w:val="22"/>
        </w:rPr>
        <w:t xml:space="preserve"> </w:t>
      </w:r>
    </w:p>
    <w:p w14:paraId="5E0166B7" w14:textId="18916F32" w:rsidR="001A3E5F" w:rsidRPr="007C4D65" w:rsidRDefault="001810B9">
      <w:pPr>
        <w:pStyle w:val="ListParagraph"/>
        <w:numPr>
          <w:ilvl w:val="0"/>
          <w:numId w:val="209"/>
        </w:num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Strengthening the environmental information management </w:t>
      </w:r>
      <w:proofErr w:type="gramStart"/>
      <w:r w:rsidRPr="007C4D65">
        <w:rPr>
          <w:rFonts w:asciiTheme="minorHAnsi" w:hAnsiTheme="minorHAnsi" w:cstheme="minorHAnsi"/>
          <w:sz w:val="22"/>
        </w:rPr>
        <w:t>system</w:t>
      </w:r>
      <w:r w:rsidR="00C31137" w:rsidRPr="007C4D65">
        <w:rPr>
          <w:rFonts w:asciiTheme="minorHAnsi" w:hAnsiTheme="minorHAnsi" w:cstheme="minorHAnsi"/>
          <w:sz w:val="22"/>
        </w:rPr>
        <w:t>;</w:t>
      </w:r>
      <w:proofErr w:type="gramEnd"/>
      <w:r w:rsidRPr="007C4D65">
        <w:rPr>
          <w:rFonts w:asciiTheme="minorHAnsi" w:hAnsiTheme="minorHAnsi" w:cstheme="minorHAnsi"/>
          <w:sz w:val="22"/>
        </w:rPr>
        <w:t xml:space="preserve"> </w:t>
      </w:r>
    </w:p>
    <w:p w14:paraId="6523B859" w14:textId="1E638AC9" w:rsidR="001A3E5F" w:rsidRPr="007C4D65" w:rsidRDefault="001810B9">
      <w:pPr>
        <w:pStyle w:val="ListParagraph"/>
        <w:numPr>
          <w:ilvl w:val="0"/>
          <w:numId w:val="209"/>
        </w:num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Environmental indicators set to be developed and </w:t>
      </w:r>
      <w:proofErr w:type="gramStart"/>
      <w:r w:rsidRPr="007C4D65">
        <w:rPr>
          <w:rFonts w:asciiTheme="minorHAnsi" w:hAnsiTheme="minorHAnsi" w:cstheme="minorHAnsi"/>
          <w:sz w:val="22"/>
        </w:rPr>
        <w:t>adopted</w:t>
      </w:r>
      <w:r w:rsidR="00C31137" w:rsidRPr="007C4D65">
        <w:rPr>
          <w:rFonts w:asciiTheme="minorHAnsi" w:hAnsiTheme="minorHAnsi" w:cstheme="minorHAnsi"/>
          <w:sz w:val="22"/>
        </w:rPr>
        <w:t>;</w:t>
      </w:r>
      <w:proofErr w:type="gramEnd"/>
      <w:r w:rsidRPr="007C4D65">
        <w:rPr>
          <w:rFonts w:asciiTheme="minorHAnsi" w:hAnsiTheme="minorHAnsi" w:cstheme="minorHAnsi"/>
          <w:sz w:val="22"/>
        </w:rPr>
        <w:t xml:space="preserve"> </w:t>
      </w:r>
    </w:p>
    <w:p w14:paraId="67130C39" w14:textId="6E7A31A1" w:rsidR="001A3E5F" w:rsidRPr="007C4D65" w:rsidRDefault="00CA78DB">
      <w:pPr>
        <w:pStyle w:val="ListParagraph"/>
        <w:numPr>
          <w:ilvl w:val="0"/>
          <w:numId w:val="209"/>
        </w:num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Improving</w:t>
      </w:r>
      <w:r w:rsidR="001810B9" w:rsidRPr="007C4D65">
        <w:rPr>
          <w:rFonts w:asciiTheme="minorHAnsi" w:hAnsiTheme="minorHAnsi" w:cstheme="minorHAnsi"/>
          <w:sz w:val="22"/>
        </w:rPr>
        <w:t xml:space="preserve"> the Pollution Release and Transfer Register– </w:t>
      </w:r>
      <w:proofErr w:type="gramStart"/>
      <w:r w:rsidR="001810B9" w:rsidRPr="007C4D65">
        <w:rPr>
          <w:rFonts w:asciiTheme="minorHAnsi" w:hAnsiTheme="minorHAnsi" w:cstheme="minorHAnsi"/>
          <w:sz w:val="22"/>
        </w:rPr>
        <w:t>PRTR</w:t>
      </w:r>
      <w:r w:rsidR="00C31137" w:rsidRPr="007C4D65">
        <w:rPr>
          <w:rFonts w:asciiTheme="minorHAnsi" w:hAnsiTheme="minorHAnsi" w:cstheme="minorHAnsi"/>
          <w:sz w:val="22"/>
        </w:rPr>
        <w:t>;</w:t>
      </w:r>
      <w:proofErr w:type="gramEnd"/>
      <w:r w:rsidR="001810B9" w:rsidRPr="007C4D65">
        <w:rPr>
          <w:rFonts w:asciiTheme="minorHAnsi" w:hAnsiTheme="minorHAnsi" w:cstheme="minorHAnsi"/>
          <w:sz w:val="22"/>
        </w:rPr>
        <w:t xml:space="preserve"> </w:t>
      </w:r>
    </w:p>
    <w:p w14:paraId="134CECFB" w14:textId="7F66090C" w:rsidR="001A3E5F" w:rsidRPr="007C4D65" w:rsidRDefault="001810B9">
      <w:pPr>
        <w:pStyle w:val="ListParagraph"/>
        <w:numPr>
          <w:ilvl w:val="0"/>
          <w:numId w:val="209"/>
        </w:num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EIONET – Reporting (European Environment Information and Observation Network</w:t>
      </w:r>
      <w:proofErr w:type="gramStart"/>
      <w:r w:rsidRPr="007C4D65">
        <w:rPr>
          <w:rFonts w:asciiTheme="minorHAnsi" w:hAnsiTheme="minorHAnsi" w:cstheme="minorHAnsi"/>
          <w:sz w:val="22"/>
        </w:rPr>
        <w:t>)</w:t>
      </w:r>
      <w:r w:rsidR="00C31137" w:rsidRPr="007C4D65">
        <w:rPr>
          <w:rFonts w:asciiTheme="minorHAnsi" w:hAnsiTheme="minorHAnsi" w:cstheme="minorHAnsi"/>
          <w:sz w:val="22"/>
        </w:rPr>
        <w:t>;</w:t>
      </w:r>
      <w:proofErr w:type="gramEnd"/>
    </w:p>
    <w:p w14:paraId="78A6CFCE" w14:textId="77777777" w:rsidR="001A3E5F" w:rsidRPr="007C4D65" w:rsidRDefault="001810B9">
      <w:pPr>
        <w:pStyle w:val="ListParagraph"/>
        <w:numPr>
          <w:ilvl w:val="0"/>
          <w:numId w:val="209"/>
        </w:num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Forward-Looking Information and Services; and </w:t>
      </w:r>
    </w:p>
    <w:p w14:paraId="10B3DD38" w14:textId="092C041F" w:rsidR="00744C46" w:rsidRPr="007C4D65" w:rsidRDefault="003B226B">
      <w:pPr>
        <w:pStyle w:val="ListParagraph"/>
        <w:numPr>
          <w:ilvl w:val="0"/>
          <w:numId w:val="209"/>
        </w:num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Strengthening environmental education. </w:t>
      </w:r>
    </w:p>
    <w:p w14:paraId="5F3A7413" w14:textId="015FF567" w:rsidR="001019C7" w:rsidRPr="007C4D65" w:rsidRDefault="00095C97">
      <w:pPr>
        <w:pStyle w:val="Head3"/>
        <w:spacing w:line="276" w:lineRule="auto"/>
        <w:rPr>
          <w:rFonts w:asciiTheme="minorHAnsi" w:hAnsiTheme="minorHAnsi"/>
        </w:rPr>
      </w:pPr>
      <w:bookmarkStart w:id="26" w:name="_Toc117445325"/>
      <w:r w:rsidRPr="007C4D65">
        <w:rPr>
          <w:rFonts w:asciiTheme="minorHAnsi" w:hAnsiTheme="minorHAnsi"/>
        </w:rPr>
        <w:t>Context of the Federation of BiH</w:t>
      </w:r>
      <w:bookmarkEnd w:id="26"/>
    </w:p>
    <w:p w14:paraId="6083E8B9" w14:textId="3E18E4BA" w:rsidR="00B81332" w:rsidRPr="007C4D65" w:rsidRDefault="00B81332" w:rsidP="0068355A">
      <w:pPr>
        <w:spacing w:line="276" w:lineRule="auto"/>
        <w:jc w:val="both"/>
        <w:rPr>
          <w:rFonts w:asciiTheme="minorHAnsi" w:hAnsiTheme="minorHAnsi" w:cstheme="minorHAnsi"/>
          <w:sz w:val="22"/>
          <w:szCs w:val="22"/>
        </w:rPr>
      </w:pPr>
      <w:r w:rsidRPr="007C4D65">
        <w:rPr>
          <w:rFonts w:asciiTheme="minorHAnsi" w:hAnsiTheme="minorHAnsi" w:cstheme="minorHAnsi"/>
          <w:sz w:val="22"/>
        </w:rPr>
        <w:t>The situation analysis identified the most critical challenges which need to be addressed through future strategic intervention</w:t>
      </w:r>
      <w:r w:rsidR="00D969A6" w:rsidRPr="007C4D65">
        <w:rPr>
          <w:rFonts w:asciiTheme="minorHAnsi" w:hAnsiTheme="minorHAnsi" w:cstheme="minorHAnsi"/>
          <w:sz w:val="22"/>
        </w:rPr>
        <w:t>s</w:t>
      </w:r>
      <w:r w:rsidRPr="007C4D65">
        <w:rPr>
          <w:rFonts w:asciiTheme="minorHAnsi" w:hAnsiTheme="minorHAnsi" w:cstheme="minorHAnsi"/>
          <w:sz w:val="22"/>
        </w:rPr>
        <w:t>. Addressing these challenges is essential to enable green growth, sustainable development, as well as improved quality of life for citizens of the Federation of BiH.</w:t>
      </w:r>
    </w:p>
    <w:p w14:paraId="3F83E9A8" w14:textId="416A0674" w:rsidR="00B81332" w:rsidRPr="007C4D65" w:rsidRDefault="00B81332" w:rsidP="0068355A">
      <w:pPr>
        <w:spacing w:before="240" w:after="240" w:line="276" w:lineRule="auto"/>
        <w:rPr>
          <w:rFonts w:asciiTheme="minorHAnsi" w:eastAsiaTheme="minorHAnsi" w:hAnsiTheme="minorHAnsi" w:cstheme="minorHAnsi"/>
          <w:i/>
          <w:sz w:val="22"/>
          <w:szCs w:val="22"/>
          <w:u w:val="single"/>
        </w:rPr>
      </w:pPr>
      <w:r w:rsidRPr="007C4D65">
        <w:rPr>
          <w:rFonts w:asciiTheme="minorHAnsi" w:hAnsiTheme="minorHAnsi" w:cstheme="minorHAnsi"/>
          <w:i/>
          <w:sz w:val="22"/>
          <w:u w:val="single"/>
        </w:rPr>
        <w:t xml:space="preserve">Strategic focus 1: </w:t>
      </w:r>
      <w:r w:rsidR="00D969A6" w:rsidRPr="007C4D65">
        <w:rPr>
          <w:rFonts w:asciiTheme="minorHAnsi" w:hAnsiTheme="minorHAnsi" w:cstheme="minorHAnsi"/>
          <w:i/>
          <w:sz w:val="22"/>
          <w:u w:val="single"/>
        </w:rPr>
        <w:t>Improving</w:t>
      </w:r>
      <w:r w:rsidRPr="007C4D65">
        <w:rPr>
          <w:rFonts w:asciiTheme="minorHAnsi" w:hAnsiTheme="minorHAnsi" w:cstheme="minorHAnsi"/>
          <w:i/>
          <w:sz w:val="22"/>
          <w:u w:val="single"/>
        </w:rPr>
        <w:t xml:space="preserve"> the environment, </w:t>
      </w:r>
      <w:r w:rsidR="00D969A6" w:rsidRPr="007C4D65">
        <w:rPr>
          <w:rFonts w:asciiTheme="minorHAnsi" w:hAnsiTheme="minorHAnsi" w:cstheme="minorHAnsi"/>
          <w:i/>
          <w:sz w:val="22"/>
          <w:u w:val="single"/>
        </w:rPr>
        <w:t>protecting h</w:t>
      </w:r>
      <w:r w:rsidR="00206652" w:rsidRPr="007C4D65">
        <w:rPr>
          <w:rFonts w:asciiTheme="minorHAnsi" w:hAnsiTheme="minorHAnsi" w:cstheme="minorHAnsi"/>
          <w:i/>
          <w:sz w:val="22"/>
          <w:u w:val="single"/>
        </w:rPr>
        <w:t xml:space="preserve">uman health </w:t>
      </w:r>
      <w:r w:rsidRPr="007C4D65">
        <w:rPr>
          <w:rFonts w:asciiTheme="minorHAnsi" w:hAnsiTheme="minorHAnsi" w:cstheme="minorHAnsi"/>
          <w:i/>
          <w:sz w:val="22"/>
          <w:u w:val="single"/>
        </w:rPr>
        <w:t>and improving the quality of life for all</w:t>
      </w:r>
    </w:p>
    <w:p w14:paraId="42A7B3D0" w14:textId="5FD1E844" w:rsidR="00B81332" w:rsidRPr="007C4D65" w:rsidRDefault="00B81332" w:rsidP="0068355A">
      <w:pPr>
        <w:spacing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 xml:space="preserve">One of the major challenges the Federation of BiH needs to address is how to achieve a robust improvement and protect the environment while minimising detrimental </w:t>
      </w:r>
      <w:r w:rsidR="00D721DC" w:rsidRPr="007C4D65">
        <w:rPr>
          <w:rFonts w:asciiTheme="minorHAnsi" w:hAnsiTheme="minorHAnsi" w:cstheme="minorHAnsi"/>
          <w:sz w:val="22"/>
        </w:rPr>
        <w:t>anthropogenic</w:t>
      </w:r>
      <w:r w:rsidRPr="007C4D65">
        <w:rPr>
          <w:rFonts w:asciiTheme="minorHAnsi" w:hAnsiTheme="minorHAnsi" w:cstheme="minorHAnsi"/>
          <w:sz w:val="22"/>
        </w:rPr>
        <w:t xml:space="preserve"> impacts on the environment, such as noise, waste, pollution, in accordance with the best practices of the </w:t>
      </w:r>
      <w:r w:rsidR="00D721DC" w:rsidRPr="007C4D65">
        <w:rPr>
          <w:rFonts w:asciiTheme="minorHAnsi" w:hAnsiTheme="minorHAnsi" w:cstheme="minorHAnsi"/>
          <w:sz w:val="22"/>
        </w:rPr>
        <w:t>European</w:t>
      </w:r>
      <w:r w:rsidRPr="007C4D65">
        <w:rPr>
          <w:rFonts w:asciiTheme="minorHAnsi" w:hAnsiTheme="minorHAnsi" w:cstheme="minorHAnsi"/>
          <w:sz w:val="22"/>
        </w:rPr>
        <w:t xml:space="preserve"> Union. To this and, it needs to focus on reducing emission</w:t>
      </w:r>
      <w:r w:rsidR="00D721DC" w:rsidRPr="007C4D65">
        <w:rPr>
          <w:rFonts w:asciiTheme="minorHAnsi" w:hAnsiTheme="minorHAnsi" w:cstheme="minorHAnsi"/>
          <w:sz w:val="22"/>
        </w:rPr>
        <w:t>s</w:t>
      </w:r>
      <w:r w:rsidRPr="007C4D65">
        <w:rPr>
          <w:rFonts w:asciiTheme="minorHAnsi" w:hAnsiTheme="minorHAnsi" w:cstheme="minorHAnsi"/>
          <w:sz w:val="22"/>
        </w:rPr>
        <w:t>, and</w:t>
      </w:r>
      <w:r w:rsidR="00CA78DB" w:rsidRPr="007C4D65">
        <w:rPr>
          <w:rFonts w:asciiTheme="minorHAnsi" w:hAnsiTheme="minorHAnsi" w:cstheme="minorHAnsi"/>
          <w:sz w:val="22"/>
        </w:rPr>
        <w:t xml:space="preserve"> on</w:t>
      </w:r>
      <w:r w:rsidRPr="007C4D65">
        <w:rPr>
          <w:rFonts w:asciiTheme="minorHAnsi" w:hAnsiTheme="minorHAnsi" w:cstheme="minorHAnsi"/>
          <w:sz w:val="22"/>
        </w:rPr>
        <w:t xml:space="preserve"> multidisciplinary and integrated </w:t>
      </w:r>
      <w:r w:rsidRPr="007C4D65">
        <w:rPr>
          <w:rFonts w:asciiTheme="minorHAnsi" w:hAnsiTheme="minorHAnsi" w:cstheme="minorHAnsi"/>
          <w:color w:val="000000"/>
          <w:sz w:val="22"/>
          <w:bdr w:val="none" w:sz="0" w:space="0" w:color="auto" w:frame="1"/>
        </w:rPr>
        <w:t>approach to addressing air quality issues,</w:t>
      </w:r>
      <w:r w:rsidRPr="007C4D65">
        <w:rPr>
          <w:rFonts w:asciiTheme="minorHAnsi" w:hAnsiTheme="minorHAnsi" w:cstheme="minorHAnsi"/>
          <w:sz w:val="22"/>
        </w:rPr>
        <w:t xml:space="preserve"> as well as on sustainable solutions in the management of waste, water, mitigation measures and climate change adaptation. I</w:t>
      </w:r>
      <w:r w:rsidR="00D721DC" w:rsidRPr="007C4D65">
        <w:rPr>
          <w:rFonts w:asciiTheme="minorHAnsi" w:hAnsiTheme="minorHAnsi" w:cstheme="minorHAnsi"/>
          <w:sz w:val="22"/>
        </w:rPr>
        <w:t>t</w:t>
      </w:r>
      <w:r w:rsidRPr="007C4D65">
        <w:rPr>
          <w:rFonts w:asciiTheme="minorHAnsi" w:hAnsiTheme="minorHAnsi" w:cstheme="minorHAnsi"/>
          <w:sz w:val="22"/>
        </w:rPr>
        <w:t xml:space="preserve"> is particularly important to boost investments in infrastructure</w:t>
      </w:r>
      <w:r w:rsidR="00D969A6" w:rsidRPr="007C4D65">
        <w:rPr>
          <w:rFonts w:asciiTheme="minorHAnsi" w:hAnsiTheme="minorHAnsi" w:cstheme="minorHAnsi"/>
          <w:sz w:val="22"/>
        </w:rPr>
        <w:t xml:space="preserve"> development</w:t>
      </w:r>
      <w:r w:rsidRPr="007C4D65">
        <w:rPr>
          <w:rFonts w:asciiTheme="minorHAnsi" w:hAnsiTheme="minorHAnsi" w:cstheme="minorHAnsi"/>
          <w:sz w:val="22"/>
        </w:rPr>
        <w:t xml:space="preserve">, and </w:t>
      </w:r>
      <w:r w:rsidR="00D721DC" w:rsidRPr="007C4D65">
        <w:rPr>
          <w:rFonts w:asciiTheme="minorHAnsi" w:hAnsiTheme="minorHAnsi" w:cstheme="minorHAnsi"/>
          <w:sz w:val="22"/>
        </w:rPr>
        <w:t xml:space="preserve">to </w:t>
      </w:r>
      <w:r w:rsidRPr="007C4D65">
        <w:rPr>
          <w:rFonts w:asciiTheme="minorHAnsi" w:hAnsiTheme="minorHAnsi" w:cstheme="minorHAnsi"/>
          <w:sz w:val="22"/>
        </w:rPr>
        <w:t xml:space="preserve">create conditions for energy transition and development of a circular economy model and green businesses. </w:t>
      </w:r>
    </w:p>
    <w:p w14:paraId="36AA0DFA" w14:textId="77777777" w:rsidR="00B81332" w:rsidRPr="007C4D65" w:rsidRDefault="00B81332" w:rsidP="0068355A">
      <w:pPr>
        <w:spacing w:before="240" w:after="240" w:line="276" w:lineRule="auto"/>
        <w:rPr>
          <w:rFonts w:asciiTheme="minorHAnsi" w:eastAsiaTheme="minorHAnsi" w:hAnsiTheme="minorHAnsi" w:cstheme="minorHAnsi"/>
          <w:i/>
          <w:sz w:val="22"/>
          <w:szCs w:val="22"/>
          <w:u w:val="single"/>
        </w:rPr>
      </w:pPr>
      <w:r w:rsidRPr="007C4D65">
        <w:rPr>
          <w:rFonts w:asciiTheme="minorHAnsi" w:hAnsiTheme="minorHAnsi" w:cstheme="minorHAnsi"/>
          <w:i/>
          <w:sz w:val="22"/>
          <w:u w:val="single"/>
        </w:rPr>
        <w:t>Strategic focus 2: Improving management and use of natural resources</w:t>
      </w:r>
    </w:p>
    <w:p w14:paraId="34E6FA60" w14:textId="67CD24A2" w:rsidR="00B81332" w:rsidRPr="007C4D65" w:rsidRDefault="00B81332" w:rsidP="0068355A">
      <w:pPr>
        <w:spacing w:line="276" w:lineRule="auto"/>
        <w:jc w:val="both"/>
        <w:rPr>
          <w:rFonts w:asciiTheme="minorHAnsi" w:hAnsiTheme="minorHAnsi" w:cstheme="minorHAnsi"/>
          <w:sz w:val="22"/>
          <w:szCs w:val="22"/>
        </w:rPr>
      </w:pPr>
      <w:r w:rsidRPr="007C4D65">
        <w:rPr>
          <w:rFonts w:asciiTheme="minorHAnsi" w:hAnsiTheme="minorHAnsi" w:cstheme="minorHAnsi"/>
          <w:sz w:val="22"/>
        </w:rPr>
        <w:t xml:space="preserve">Addressing the problem of biodiversity and nature conservation is critical for the overall quality of life in the Federation of BiH. The situation analysis showed that </w:t>
      </w:r>
      <w:r w:rsidR="00D969A6" w:rsidRPr="007C4D65">
        <w:rPr>
          <w:rFonts w:asciiTheme="minorHAnsi" w:hAnsiTheme="minorHAnsi" w:cstheme="minorHAnsi"/>
          <w:sz w:val="22"/>
        </w:rPr>
        <w:t xml:space="preserve">the </w:t>
      </w:r>
      <w:r w:rsidRPr="007C4D65">
        <w:rPr>
          <w:rFonts w:asciiTheme="minorHAnsi" w:hAnsiTheme="minorHAnsi" w:cstheme="minorHAnsi"/>
          <w:sz w:val="22"/>
        </w:rPr>
        <w:t>use of natural resources and biodiversity</w:t>
      </w:r>
      <w:r w:rsidR="00D969A6" w:rsidRPr="007C4D65">
        <w:rPr>
          <w:rFonts w:asciiTheme="minorHAnsi" w:hAnsiTheme="minorHAnsi" w:cstheme="minorHAnsi"/>
          <w:sz w:val="22"/>
        </w:rPr>
        <w:t xml:space="preserve"> protection</w:t>
      </w:r>
      <w:r w:rsidR="005B147D" w:rsidRPr="007C4D65">
        <w:rPr>
          <w:rFonts w:asciiTheme="minorHAnsi" w:hAnsiTheme="minorHAnsi" w:cstheme="minorHAnsi"/>
          <w:sz w:val="22"/>
        </w:rPr>
        <w:t xml:space="preserve"> needed substantial improvements</w:t>
      </w:r>
      <w:r w:rsidRPr="007C4D65">
        <w:rPr>
          <w:rFonts w:asciiTheme="minorHAnsi" w:hAnsiTheme="minorHAnsi" w:cstheme="minorHAnsi"/>
          <w:sz w:val="22"/>
        </w:rPr>
        <w:t xml:space="preserve">. To address this </w:t>
      </w:r>
      <w:proofErr w:type="gramStart"/>
      <w:r w:rsidRPr="007C4D65">
        <w:rPr>
          <w:rFonts w:asciiTheme="minorHAnsi" w:hAnsiTheme="minorHAnsi" w:cstheme="minorHAnsi"/>
          <w:sz w:val="22"/>
        </w:rPr>
        <w:t>problem</w:t>
      </w:r>
      <w:proofErr w:type="gramEnd"/>
      <w:r w:rsidRPr="007C4D65">
        <w:rPr>
          <w:rFonts w:asciiTheme="minorHAnsi" w:hAnsiTheme="minorHAnsi" w:cstheme="minorHAnsi"/>
          <w:sz w:val="22"/>
        </w:rPr>
        <w:t xml:space="preserve"> it is necessary to </w:t>
      </w:r>
      <w:r w:rsidR="005B147D" w:rsidRPr="007C4D65">
        <w:rPr>
          <w:rFonts w:asciiTheme="minorHAnsi" w:hAnsiTheme="minorHAnsi" w:cstheme="minorHAnsi"/>
          <w:sz w:val="22"/>
        </w:rPr>
        <w:t>focus</w:t>
      </w:r>
      <w:r w:rsidRPr="007C4D65">
        <w:rPr>
          <w:rFonts w:asciiTheme="minorHAnsi" w:hAnsiTheme="minorHAnsi" w:cstheme="minorHAnsi"/>
          <w:sz w:val="22"/>
        </w:rPr>
        <w:t xml:space="preserve"> efforts on striking a balance between the use of natural resources for development purposes and their protection, more specifically </w:t>
      </w:r>
      <w:r w:rsidR="005B147D" w:rsidRPr="007C4D65">
        <w:rPr>
          <w:rFonts w:asciiTheme="minorHAnsi" w:hAnsiTheme="minorHAnsi" w:cstheme="minorHAnsi"/>
          <w:sz w:val="22"/>
        </w:rPr>
        <w:t>on</w:t>
      </w:r>
      <w:r w:rsidRPr="007C4D65">
        <w:rPr>
          <w:rFonts w:asciiTheme="minorHAnsi" w:hAnsiTheme="minorHAnsi" w:cstheme="minorHAnsi"/>
          <w:sz w:val="22"/>
        </w:rPr>
        <w:t xml:space="preserve"> their sustainable use. It is particularly important to ensure the protection and improvement of biodiversity, including diversity of species, habitats, ecosystems and landscapes, with a special focus on vulnerable species from the Red List. This should be achieved through enhanced knowledge, improved policy frameworks and increased human and financial resources. Furthermore, efforts should be made to improve </w:t>
      </w:r>
      <w:r w:rsidR="005B147D" w:rsidRPr="007C4D65">
        <w:rPr>
          <w:rFonts w:asciiTheme="minorHAnsi" w:hAnsiTheme="minorHAnsi" w:cstheme="minorHAnsi"/>
          <w:sz w:val="22"/>
        </w:rPr>
        <w:t xml:space="preserve">the </w:t>
      </w:r>
      <w:r w:rsidRPr="007C4D65">
        <w:rPr>
          <w:rFonts w:asciiTheme="minorHAnsi" w:hAnsiTheme="minorHAnsi" w:cstheme="minorHAnsi"/>
          <w:sz w:val="22"/>
        </w:rPr>
        <w:t xml:space="preserve">use of land, use of natural resources in agriculture, forestry and fishery, with the view of </w:t>
      </w:r>
      <w:r w:rsidR="005B147D" w:rsidRPr="007C4D65">
        <w:rPr>
          <w:rFonts w:asciiTheme="minorHAnsi" w:hAnsiTheme="minorHAnsi" w:cstheme="minorHAnsi"/>
          <w:sz w:val="22"/>
        </w:rPr>
        <w:t>improving</w:t>
      </w:r>
      <w:r w:rsidRPr="007C4D65">
        <w:rPr>
          <w:rFonts w:asciiTheme="minorHAnsi" w:hAnsiTheme="minorHAnsi" w:cstheme="minorHAnsi"/>
          <w:sz w:val="22"/>
        </w:rPr>
        <w:t xml:space="preserve"> their quality, and of preventing a dramatic degradation which accompanies excessive exploitation. </w:t>
      </w:r>
    </w:p>
    <w:p w14:paraId="1C200474" w14:textId="77777777" w:rsidR="00B81332" w:rsidRPr="007C4D65" w:rsidRDefault="00B81332" w:rsidP="0068355A">
      <w:pPr>
        <w:spacing w:before="240" w:after="240" w:line="276" w:lineRule="auto"/>
        <w:rPr>
          <w:rFonts w:asciiTheme="minorHAnsi" w:eastAsiaTheme="minorHAnsi" w:hAnsiTheme="minorHAnsi" w:cstheme="minorHAnsi"/>
          <w:i/>
          <w:sz w:val="22"/>
          <w:szCs w:val="22"/>
          <w:u w:val="single"/>
        </w:rPr>
      </w:pPr>
      <w:r w:rsidRPr="007C4D65">
        <w:rPr>
          <w:rFonts w:asciiTheme="minorHAnsi" w:hAnsiTheme="minorHAnsi" w:cstheme="minorHAnsi"/>
          <w:i/>
          <w:sz w:val="22"/>
          <w:u w:val="single"/>
        </w:rPr>
        <w:t>Strategic focus 3: Strengthening environmental management</w:t>
      </w:r>
    </w:p>
    <w:p w14:paraId="135785DF" w14:textId="6DB18DED" w:rsidR="00B81332" w:rsidRPr="007C4D65" w:rsidRDefault="00B81332"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system of environmental management is </w:t>
      </w:r>
      <w:r w:rsidR="00D969A6" w:rsidRPr="007C4D65">
        <w:rPr>
          <w:rFonts w:asciiTheme="minorHAnsi" w:hAnsiTheme="minorHAnsi" w:cstheme="minorHAnsi"/>
          <w:sz w:val="22"/>
        </w:rPr>
        <w:t>crucial for</w:t>
      </w:r>
      <w:r w:rsidRPr="007C4D65">
        <w:rPr>
          <w:rFonts w:asciiTheme="minorHAnsi" w:hAnsiTheme="minorHAnsi" w:cstheme="minorHAnsi"/>
          <w:sz w:val="22"/>
        </w:rPr>
        <w:t xml:space="preserve"> </w:t>
      </w:r>
      <w:r w:rsidR="005B147D" w:rsidRPr="007C4D65">
        <w:rPr>
          <w:rFonts w:asciiTheme="minorHAnsi" w:hAnsiTheme="minorHAnsi" w:cstheme="minorHAnsi"/>
          <w:sz w:val="22"/>
        </w:rPr>
        <w:t>better</w:t>
      </w:r>
      <w:r w:rsidRPr="007C4D65">
        <w:rPr>
          <w:rFonts w:asciiTheme="minorHAnsi" w:hAnsiTheme="minorHAnsi" w:cstheme="minorHAnsi"/>
          <w:sz w:val="22"/>
        </w:rPr>
        <w:t xml:space="preserve"> outcome</w:t>
      </w:r>
      <w:r w:rsidR="005B147D" w:rsidRPr="007C4D65">
        <w:rPr>
          <w:rFonts w:asciiTheme="minorHAnsi" w:hAnsiTheme="minorHAnsi" w:cstheme="minorHAnsi"/>
          <w:sz w:val="22"/>
        </w:rPr>
        <w:t>s</w:t>
      </w:r>
      <w:r w:rsidRPr="007C4D65">
        <w:rPr>
          <w:rFonts w:asciiTheme="minorHAnsi" w:hAnsiTheme="minorHAnsi" w:cstheme="minorHAnsi"/>
          <w:sz w:val="22"/>
        </w:rPr>
        <w:t xml:space="preserve"> in the </w:t>
      </w:r>
      <w:r w:rsidR="007C4D65" w:rsidRPr="007C4D65">
        <w:rPr>
          <w:rFonts w:asciiTheme="minorHAnsi" w:hAnsiTheme="minorHAnsi" w:cstheme="minorHAnsi"/>
          <w:sz w:val="22"/>
        </w:rPr>
        <w:t>above discussed</w:t>
      </w:r>
      <w:r w:rsidRPr="007C4D65">
        <w:rPr>
          <w:rFonts w:asciiTheme="minorHAnsi" w:hAnsiTheme="minorHAnsi" w:cstheme="minorHAnsi"/>
          <w:sz w:val="22"/>
        </w:rPr>
        <w:t xml:space="preserve"> areas. The environmental management </w:t>
      </w:r>
      <w:r w:rsidR="0083630B" w:rsidRPr="007C4D65">
        <w:rPr>
          <w:rFonts w:asciiTheme="minorHAnsi" w:hAnsiTheme="minorHAnsi" w:cstheme="minorHAnsi"/>
          <w:sz w:val="22"/>
        </w:rPr>
        <w:t>aims</w:t>
      </w:r>
      <w:r w:rsidRPr="007C4D65">
        <w:rPr>
          <w:rFonts w:asciiTheme="minorHAnsi" w:hAnsiTheme="minorHAnsi" w:cstheme="minorHAnsi"/>
          <w:sz w:val="22"/>
        </w:rPr>
        <w:t xml:space="preserve"> at improving decision</w:t>
      </w:r>
      <w:r w:rsidR="005B147D" w:rsidRPr="007C4D65">
        <w:rPr>
          <w:rFonts w:asciiTheme="minorHAnsi" w:hAnsiTheme="minorHAnsi" w:cstheme="minorHAnsi"/>
          <w:sz w:val="22"/>
        </w:rPr>
        <w:t>-</w:t>
      </w:r>
      <w:r w:rsidRPr="007C4D65">
        <w:rPr>
          <w:rFonts w:asciiTheme="minorHAnsi" w:hAnsiTheme="minorHAnsi" w:cstheme="minorHAnsi"/>
          <w:sz w:val="22"/>
        </w:rPr>
        <w:t xml:space="preserve">making and </w:t>
      </w:r>
      <w:r w:rsidR="005B147D" w:rsidRPr="007C4D65">
        <w:rPr>
          <w:rFonts w:asciiTheme="minorHAnsi" w:hAnsiTheme="minorHAnsi" w:cstheme="minorHAnsi"/>
          <w:sz w:val="22"/>
        </w:rPr>
        <w:t>stakeholders’</w:t>
      </w:r>
      <w:r w:rsidRPr="007C4D65">
        <w:rPr>
          <w:rFonts w:asciiTheme="minorHAnsi" w:hAnsiTheme="minorHAnsi" w:cstheme="minorHAnsi"/>
          <w:sz w:val="22"/>
        </w:rPr>
        <w:t xml:space="preserve"> engagement processes in accordance with the EU </w:t>
      </w:r>
      <w:r w:rsidR="005B147D" w:rsidRPr="007C4D65">
        <w:rPr>
          <w:rFonts w:asciiTheme="minorHAnsi" w:hAnsiTheme="minorHAnsi" w:cstheme="minorHAnsi"/>
          <w:sz w:val="22"/>
        </w:rPr>
        <w:t>regulations</w:t>
      </w:r>
      <w:r w:rsidRPr="007C4D65">
        <w:rPr>
          <w:rFonts w:asciiTheme="minorHAnsi" w:hAnsiTheme="minorHAnsi" w:cstheme="minorHAnsi"/>
          <w:sz w:val="22"/>
        </w:rPr>
        <w:t xml:space="preserve"> and integration requirements. To this end, future actions should focus on the application of the principle of good governance in the environment sector, which will </w:t>
      </w:r>
      <w:r w:rsidR="005B147D" w:rsidRPr="007C4D65">
        <w:rPr>
          <w:rFonts w:asciiTheme="minorHAnsi" w:hAnsiTheme="minorHAnsi" w:cstheme="minorHAnsi"/>
          <w:sz w:val="22"/>
        </w:rPr>
        <w:t>enhance</w:t>
      </w:r>
      <w:r w:rsidRPr="007C4D65">
        <w:rPr>
          <w:rFonts w:asciiTheme="minorHAnsi" w:hAnsiTheme="minorHAnsi" w:cstheme="minorHAnsi"/>
          <w:sz w:val="22"/>
        </w:rPr>
        <w:t xml:space="preserve"> accountability, transparency, and effectiveness of the implementation of the relevant framework, promote the public participation and contribute to integration of gender equality, social equity and poverty in the policies. </w:t>
      </w:r>
    </w:p>
    <w:p w14:paraId="1FB78A8A" w14:textId="77777777" w:rsidR="001019C7" w:rsidRPr="007C4D65" w:rsidRDefault="001019C7">
      <w:pPr>
        <w:pStyle w:val="Head2"/>
        <w:spacing w:line="276" w:lineRule="auto"/>
        <w:rPr>
          <w:rFonts w:asciiTheme="minorHAnsi" w:hAnsiTheme="minorHAnsi"/>
          <w:szCs w:val="28"/>
        </w:rPr>
      </w:pPr>
      <w:bookmarkStart w:id="27" w:name="_Toc117445326"/>
      <w:r w:rsidRPr="007C4D65">
        <w:rPr>
          <w:rFonts w:asciiTheme="minorHAnsi" w:hAnsiTheme="minorHAnsi"/>
        </w:rPr>
        <w:t>Vision</w:t>
      </w:r>
      <w:bookmarkEnd w:id="27"/>
    </w:p>
    <w:p w14:paraId="5F4A9165" w14:textId="0EDBC391" w:rsidR="001019C7" w:rsidRPr="007C4D65" w:rsidRDefault="001019C7"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Vision is a desired </w:t>
      </w:r>
      <w:proofErr w:type="gramStart"/>
      <w:r w:rsidRPr="007C4D65">
        <w:rPr>
          <w:rFonts w:asciiTheme="minorHAnsi" w:hAnsiTheme="minorHAnsi" w:cstheme="minorHAnsi"/>
          <w:sz w:val="22"/>
        </w:rPr>
        <w:t>long term</w:t>
      </w:r>
      <w:proofErr w:type="gramEnd"/>
      <w:r w:rsidRPr="007C4D65">
        <w:rPr>
          <w:rFonts w:asciiTheme="minorHAnsi" w:hAnsiTheme="minorHAnsi" w:cstheme="minorHAnsi"/>
          <w:sz w:val="22"/>
        </w:rPr>
        <w:t xml:space="preserve"> trend of territorial development, clear and appealing for all the stakeholders, both those in the Federation</w:t>
      </w:r>
      <w:r w:rsidR="007C4D65" w:rsidRPr="007C4D65">
        <w:rPr>
          <w:rFonts w:asciiTheme="minorHAnsi" w:hAnsiTheme="minorHAnsi" w:cstheme="minorHAnsi"/>
          <w:sz w:val="22"/>
        </w:rPr>
        <w:t xml:space="preserve"> of BiH</w:t>
      </w:r>
      <w:r w:rsidRPr="007C4D65">
        <w:rPr>
          <w:rFonts w:asciiTheme="minorHAnsi" w:hAnsiTheme="minorHAnsi" w:cstheme="minorHAnsi"/>
          <w:sz w:val="22"/>
        </w:rPr>
        <w:t xml:space="preserve"> and external stakeholders.</w:t>
      </w:r>
    </w:p>
    <w:p w14:paraId="4AB8B18C" w14:textId="76EAE85A" w:rsidR="001019C7" w:rsidRPr="007C4D65" w:rsidRDefault="001019C7" w:rsidP="0068355A">
      <w:pPr>
        <w:spacing w:after="240" w:line="276" w:lineRule="auto"/>
        <w:jc w:val="both"/>
        <w:rPr>
          <w:rFonts w:asciiTheme="minorHAnsi" w:hAnsiTheme="minorHAnsi" w:cstheme="minorHAnsi"/>
          <w:i/>
          <w:iCs/>
          <w:color w:val="000000" w:themeColor="text1"/>
          <w:sz w:val="22"/>
          <w:szCs w:val="22"/>
        </w:rPr>
      </w:pPr>
      <w:r w:rsidRPr="007C4D65">
        <w:rPr>
          <w:rFonts w:asciiTheme="minorHAnsi" w:hAnsiTheme="minorHAnsi" w:cstheme="minorHAnsi"/>
          <w:i/>
          <w:sz w:val="22"/>
        </w:rPr>
        <w:t xml:space="preserve">The Federation of Bosnia and Herzegovina is a </w:t>
      </w:r>
      <w:r w:rsidR="005B147D" w:rsidRPr="007C4D65">
        <w:rPr>
          <w:rFonts w:asciiTheme="minorHAnsi" w:hAnsiTheme="minorHAnsi" w:cstheme="minorHAnsi"/>
          <w:i/>
          <w:sz w:val="22"/>
        </w:rPr>
        <w:t>prosperous</w:t>
      </w:r>
      <w:r w:rsidRPr="007C4D65">
        <w:rPr>
          <w:rFonts w:asciiTheme="minorHAnsi" w:hAnsiTheme="minorHAnsi" w:cstheme="minorHAnsi"/>
          <w:i/>
          <w:sz w:val="22"/>
        </w:rPr>
        <w:t xml:space="preserve"> living environment, which aims at upgrading the environment and enhancing the quality of life of the population across the federal community, in compliance with the principle of good governance and policy of equal opportunities. </w:t>
      </w:r>
    </w:p>
    <w:p w14:paraId="2A802A3E" w14:textId="3C5A08C1" w:rsidR="001019C7" w:rsidRPr="007C4D65" w:rsidRDefault="001019C7" w:rsidP="0068355A">
      <w:pPr>
        <w:spacing w:after="240" w:line="276" w:lineRule="auto"/>
        <w:jc w:val="both"/>
        <w:rPr>
          <w:rFonts w:asciiTheme="minorHAnsi" w:hAnsiTheme="minorHAnsi" w:cstheme="minorHAnsi"/>
          <w:color w:val="000000" w:themeColor="text1"/>
          <w:sz w:val="22"/>
          <w:szCs w:val="22"/>
        </w:rPr>
      </w:pPr>
      <w:r w:rsidRPr="007C4D65">
        <w:rPr>
          <w:rFonts w:asciiTheme="minorHAnsi" w:hAnsiTheme="minorHAnsi" w:cstheme="minorHAnsi"/>
          <w:sz w:val="22"/>
        </w:rPr>
        <w:t xml:space="preserve">The </w:t>
      </w:r>
      <w:r w:rsidRPr="007C4D65">
        <w:rPr>
          <w:rFonts w:asciiTheme="minorHAnsi" w:hAnsiTheme="minorHAnsi" w:cstheme="minorHAnsi"/>
          <w:color w:val="000000" w:themeColor="text1"/>
          <w:sz w:val="22"/>
        </w:rPr>
        <w:t xml:space="preserve">vision was designed in </w:t>
      </w:r>
      <w:r w:rsidR="005B147D" w:rsidRPr="007C4D65">
        <w:rPr>
          <w:rFonts w:asciiTheme="minorHAnsi" w:hAnsiTheme="minorHAnsi" w:cstheme="minorHAnsi"/>
          <w:color w:val="000000" w:themeColor="text1"/>
          <w:sz w:val="22"/>
        </w:rPr>
        <w:t>accordance</w:t>
      </w:r>
      <w:r w:rsidRPr="007C4D65">
        <w:rPr>
          <w:rFonts w:asciiTheme="minorHAnsi" w:hAnsiTheme="minorHAnsi" w:cstheme="minorHAnsi"/>
          <w:color w:val="000000" w:themeColor="text1"/>
          <w:sz w:val="22"/>
        </w:rPr>
        <w:t xml:space="preserve"> with the sustainable development policies for the whole country, and in consideration of the fact that the environment is </w:t>
      </w:r>
      <w:proofErr w:type="gramStart"/>
      <w:r w:rsidRPr="007C4D65">
        <w:rPr>
          <w:rFonts w:asciiTheme="minorHAnsi" w:hAnsiTheme="minorHAnsi" w:cstheme="minorHAnsi"/>
          <w:color w:val="000000" w:themeColor="text1"/>
          <w:sz w:val="22"/>
        </w:rPr>
        <w:t>the</w:t>
      </w:r>
      <w:proofErr w:type="gramEnd"/>
      <w:r w:rsidRPr="007C4D65">
        <w:rPr>
          <w:rFonts w:asciiTheme="minorHAnsi" w:hAnsiTheme="minorHAnsi" w:cstheme="minorHAnsi"/>
          <w:color w:val="000000" w:themeColor="text1"/>
          <w:sz w:val="22"/>
        </w:rPr>
        <w:t xml:space="preserve"> integral part of the strategic development</w:t>
      </w:r>
      <w:r w:rsidRPr="007C4D65">
        <w:rPr>
          <w:rFonts w:asciiTheme="minorHAnsi" w:hAnsiTheme="minorHAnsi" w:cstheme="minorHAnsi"/>
          <w:sz w:val="22"/>
        </w:rPr>
        <w:t xml:space="preserve"> </w:t>
      </w:r>
      <w:r w:rsidR="005B147D" w:rsidRPr="007C4D65">
        <w:rPr>
          <w:rFonts w:asciiTheme="minorHAnsi" w:hAnsiTheme="minorHAnsi" w:cstheme="minorHAnsi"/>
          <w:sz w:val="22"/>
        </w:rPr>
        <w:t xml:space="preserve">orientation </w:t>
      </w:r>
      <w:r w:rsidRPr="007C4D65">
        <w:rPr>
          <w:rFonts w:asciiTheme="minorHAnsi" w:hAnsiTheme="minorHAnsi" w:cstheme="minorHAnsi"/>
          <w:sz w:val="22"/>
        </w:rPr>
        <w:t>of the Federation of BiH.</w:t>
      </w:r>
      <w:r w:rsidRPr="007C4D65">
        <w:rPr>
          <w:rFonts w:asciiTheme="minorHAnsi" w:hAnsiTheme="minorHAnsi" w:cstheme="minorHAnsi"/>
          <w:color w:val="000000" w:themeColor="text1"/>
          <w:sz w:val="22"/>
        </w:rPr>
        <w:t xml:space="preserve"> </w:t>
      </w:r>
    </w:p>
    <w:p w14:paraId="11E152F6" w14:textId="77777777" w:rsidR="001019C7" w:rsidRPr="007C4D65" w:rsidRDefault="001019C7">
      <w:pPr>
        <w:pStyle w:val="Head2"/>
        <w:spacing w:line="276" w:lineRule="auto"/>
        <w:rPr>
          <w:rFonts w:asciiTheme="minorHAnsi" w:hAnsiTheme="minorHAnsi"/>
          <w:szCs w:val="28"/>
        </w:rPr>
      </w:pPr>
      <w:bookmarkStart w:id="28" w:name="_Toc117445327"/>
      <w:bookmarkStart w:id="29" w:name="pg34"/>
      <w:r w:rsidRPr="007C4D65">
        <w:rPr>
          <w:rFonts w:asciiTheme="minorHAnsi" w:hAnsiTheme="minorHAnsi"/>
        </w:rPr>
        <w:lastRenderedPageBreak/>
        <w:t>Strategic Goals</w:t>
      </w:r>
      <w:bookmarkEnd w:id="28"/>
    </w:p>
    <w:bookmarkEnd w:id="29"/>
    <w:p w14:paraId="0C3850F5" w14:textId="747B87BE" w:rsidR="001019C7" w:rsidRPr="007C4D65" w:rsidRDefault="001019C7" w:rsidP="0068355A">
      <w:pPr>
        <w:spacing w:after="24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rPr>
        <w:t xml:space="preserve">The EU environmental acquis (policies, directives, and regulations) are </w:t>
      </w:r>
      <w:r w:rsidR="002C73AD" w:rsidRPr="007C4D65">
        <w:rPr>
          <w:rFonts w:asciiTheme="minorHAnsi" w:hAnsiTheme="minorHAnsi" w:cstheme="minorHAnsi"/>
          <w:sz w:val="22"/>
        </w:rPr>
        <w:t>the</w:t>
      </w:r>
      <w:r w:rsidRPr="007C4D65">
        <w:rPr>
          <w:rFonts w:asciiTheme="minorHAnsi" w:hAnsiTheme="minorHAnsi" w:cstheme="minorHAnsi"/>
          <w:sz w:val="22"/>
        </w:rPr>
        <w:t xml:space="preserve"> legal framework </w:t>
      </w:r>
      <w:r w:rsidR="002C73AD" w:rsidRPr="007C4D65">
        <w:rPr>
          <w:rFonts w:asciiTheme="minorHAnsi" w:hAnsiTheme="minorHAnsi" w:cstheme="minorHAnsi"/>
          <w:sz w:val="22"/>
        </w:rPr>
        <w:t>comprising</w:t>
      </w:r>
      <w:r w:rsidR="005B147D" w:rsidRPr="007C4D65">
        <w:rPr>
          <w:rFonts w:asciiTheme="minorHAnsi" w:hAnsiTheme="minorHAnsi" w:cstheme="minorHAnsi"/>
          <w:sz w:val="22"/>
        </w:rPr>
        <w:t xml:space="preserve"> </w:t>
      </w:r>
      <w:r w:rsidRPr="007C4D65">
        <w:rPr>
          <w:rFonts w:asciiTheme="minorHAnsi" w:hAnsiTheme="minorHAnsi" w:cstheme="minorHAnsi"/>
          <w:sz w:val="22"/>
        </w:rPr>
        <w:t xml:space="preserve">EU policies and legal procedures for achievement of a good state of environment, particularly focusing on air and water, efficient waste management, nature conservation, and control of industrial pollution, chemicals, noise, and mitigation and adaptation to climate change, as well as horizontal issues such as environmental management and </w:t>
      </w:r>
      <w:r w:rsidR="007934C2" w:rsidRPr="007C4D65">
        <w:rPr>
          <w:rFonts w:asciiTheme="minorHAnsi" w:hAnsiTheme="minorHAnsi" w:cstheme="minorHAnsi"/>
          <w:sz w:val="22"/>
        </w:rPr>
        <w:t>sustainable resource management</w:t>
      </w:r>
      <w:r w:rsidRPr="007C4D65">
        <w:rPr>
          <w:rFonts w:asciiTheme="minorHAnsi" w:hAnsiTheme="minorHAnsi" w:cstheme="minorHAnsi"/>
          <w:sz w:val="22"/>
        </w:rPr>
        <w:t xml:space="preserve">. </w:t>
      </w:r>
    </w:p>
    <w:p w14:paraId="67867336" w14:textId="20E98D59" w:rsidR="001019C7" w:rsidRPr="007C4D65" w:rsidRDefault="001019C7" w:rsidP="0068355A">
      <w:pPr>
        <w:spacing w:after="16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rPr>
        <w:t xml:space="preserve">This Strategy identifies seven categories of the EU environmental acquis, which cover the most important components of the framework. These </w:t>
      </w:r>
      <w:r w:rsidR="005B147D" w:rsidRPr="007C4D65">
        <w:rPr>
          <w:rFonts w:asciiTheme="minorHAnsi" w:hAnsiTheme="minorHAnsi" w:cstheme="minorHAnsi"/>
          <w:sz w:val="22"/>
        </w:rPr>
        <w:t>categories</w:t>
      </w:r>
      <w:r w:rsidRPr="007C4D65">
        <w:rPr>
          <w:rFonts w:asciiTheme="minorHAnsi" w:hAnsiTheme="minorHAnsi" w:cstheme="minorHAnsi"/>
          <w:sz w:val="22"/>
        </w:rPr>
        <w:t xml:space="preserve"> (thematic areas) include: 1. Water management; 2. Waste management; 3. Biodiversity and nature conservation;</w:t>
      </w:r>
      <w:r w:rsidR="007C4D65" w:rsidRPr="007C4D65">
        <w:rPr>
          <w:rFonts w:asciiTheme="minorHAnsi" w:hAnsiTheme="minorHAnsi" w:cstheme="minorHAnsi"/>
          <w:sz w:val="22"/>
        </w:rPr>
        <w:t xml:space="preserve"> 4.</w:t>
      </w:r>
      <w:r w:rsidRPr="007C4D65">
        <w:rPr>
          <w:rFonts w:asciiTheme="minorHAnsi" w:hAnsiTheme="minorHAnsi" w:cstheme="minorHAnsi"/>
          <w:sz w:val="22"/>
        </w:rPr>
        <w:t xml:space="preserve"> Air quality, climate change and energy; 5. Chemicals safety and noise; 6. Sustainable resource management; 7. Environmental management. F</w:t>
      </w:r>
      <w:r w:rsidR="001E6E20" w:rsidRPr="007C4D65">
        <w:rPr>
          <w:rFonts w:asciiTheme="minorHAnsi" w:hAnsiTheme="minorHAnsi" w:cstheme="minorHAnsi"/>
          <w:sz w:val="22"/>
        </w:rPr>
        <w:t>or</w:t>
      </w:r>
      <w:r w:rsidRPr="007C4D65">
        <w:rPr>
          <w:rFonts w:asciiTheme="minorHAnsi" w:hAnsiTheme="minorHAnsi" w:cstheme="minorHAnsi"/>
          <w:sz w:val="22"/>
        </w:rPr>
        <w:t xml:space="preserve"> each individual thematic </w:t>
      </w:r>
      <w:proofErr w:type="gramStart"/>
      <w:r w:rsidRPr="007C4D65">
        <w:rPr>
          <w:rFonts w:asciiTheme="minorHAnsi" w:hAnsiTheme="minorHAnsi" w:cstheme="minorHAnsi"/>
          <w:sz w:val="22"/>
        </w:rPr>
        <w:t>area</w:t>
      </w:r>
      <w:proofErr w:type="gramEnd"/>
      <w:r w:rsidRPr="007C4D65">
        <w:rPr>
          <w:rFonts w:asciiTheme="minorHAnsi" w:hAnsiTheme="minorHAnsi" w:cstheme="minorHAnsi"/>
          <w:sz w:val="22"/>
        </w:rPr>
        <w:t xml:space="preserve"> the </w:t>
      </w:r>
      <w:r w:rsidR="001E6E20" w:rsidRPr="007C4D65">
        <w:rPr>
          <w:rFonts w:asciiTheme="minorHAnsi" w:hAnsiTheme="minorHAnsi" w:cstheme="minorHAnsi"/>
          <w:sz w:val="22"/>
        </w:rPr>
        <w:t>Strategy</w:t>
      </w:r>
      <w:r w:rsidRPr="007C4D65">
        <w:rPr>
          <w:rFonts w:asciiTheme="minorHAnsi" w:hAnsiTheme="minorHAnsi" w:cstheme="minorHAnsi"/>
          <w:sz w:val="22"/>
        </w:rPr>
        <w:t xml:space="preserve"> defined a strategic goal for achieving a good state of environment,</w:t>
      </w:r>
      <w:r w:rsidR="007C4D65" w:rsidRPr="007C4D65">
        <w:rPr>
          <w:rFonts w:asciiTheme="minorHAnsi" w:hAnsiTheme="minorHAnsi" w:cstheme="minorHAnsi"/>
          <w:sz w:val="22"/>
        </w:rPr>
        <w:t xml:space="preserve"> in</w:t>
      </w:r>
      <w:r w:rsidRPr="007C4D65">
        <w:rPr>
          <w:rFonts w:asciiTheme="minorHAnsi" w:hAnsiTheme="minorHAnsi" w:cstheme="minorHAnsi"/>
          <w:sz w:val="22"/>
        </w:rPr>
        <w:t xml:space="preserve"> </w:t>
      </w:r>
      <w:r w:rsidR="001E6E20" w:rsidRPr="007C4D65">
        <w:rPr>
          <w:rFonts w:asciiTheme="minorHAnsi" w:hAnsiTheme="minorHAnsi" w:cstheme="minorHAnsi"/>
          <w:sz w:val="22"/>
        </w:rPr>
        <w:t>compliance</w:t>
      </w:r>
      <w:r w:rsidRPr="007C4D65">
        <w:rPr>
          <w:rFonts w:asciiTheme="minorHAnsi" w:hAnsiTheme="minorHAnsi" w:cstheme="minorHAnsi"/>
          <w:sz w:val="22"/>
        </w:rPr>
        <w:t xml:space="preserve"> with the regulations and effective management in the given thematic area. Each thematic area of the legal framework encompasses a wide range of specific, but interconnected topics. </w:t>
      </w:r>
    </w:p>
    <w:p w14:paraId="2BFEBEE7" w14:textId="2DCB227A" w:rsidR="00C41DB3" w:rsidRPr="007C4D65" w:rsidRDefault="008D7AB7" w:rsidP="0068355A">
      <w:pPr>
        <w:pStyle w:val="Caption"/>
        <w:spacing w:line="276" w:lineRule="auto"/>
        <w:rPr>
          <w:rFonts w:asciiTheme="minorHAnsi" w:eastAsiaTheme="minorHAnsi" w:hAnsiTheme="minorHAnsi" w:cstheme="minorHAnsi"/>
          <w:sz w:val="22"/>
          <w:szCs w:val="22"/>
        </w:rPr>
      </w:pPr>
      <w:bookmarkStart w:id="30" w:name="_Toc117011580"/>
      <w:r w:rsidRPr="007C4D65">
        <w:rPr>
          <w:rFonts w:asciiTheme="minorHAnsi" w:hAnsiTheme="minorHAnsi" w:cstheme="minorHAnsi"/>
        </w:rPr>
        <w:t xml:space="preserve">Table </w:t>
      </w:r>
      <w:bookmarkStart w:id="31" w:name="tabela1"/>
      <w:r w:rsidRPr="007C4D65">
        <w:rPr>
          <w:rFonts w:asciiTheme="minorHAnsi" w:hAnsiTheme="minorHAnsi" w:cstheme="minorHAnsi"/>
        </w:rPr>
        <w:fldChar w:fldCharType="begin"/>
      </w:r>
      <w:r w:rsidRPr="007C4D65">
        <w:rPr>
          <w:rFonts w:asciiTheme="minorHAnsi" w:hAnsiTheme="minorHAnsi" w:cstheme="minorHAnsi"/>
        </w:rPr>
        <w:instrText xml:space="preserve"> SEQ Tabela \* ARABIC </w:instrText>
      </w:r>
      <w:r w:rsidRPr="007C4D65">
        <w:rPr>
          <w:rFonts w:asciiTheme="minorHAnsi" w:hAnsiTheme="minorHAnsi" w:cstheme="minorHAnsi"/>
        </w:rPr>
        <w:fldChar w:fldCharType="separate"/>
      </w:r>
      <w:r w:rsidR="00005022" w:rsidRPr="007C4D65">
        <w:rPr>
          <w:rFonts w:asciiTheme="minorHAnsi" w:hAnsiTheme="minorHAnsi" w:cstheme="minorHAnsi"/>
          <w:noProof/>
        </w:rPr>
        <w:t>1</w:t>
      </w:r>
      <w:r w:rsidRPr="007C4D65">
        <w:rPr>
          <w:rFonts w:asciiTheme="minorHAnsi" w:hAnsiTheme="minorHAnsi" w:cstheme="minorHAnsi"/>
        </w:rPr>
        <w:fldChar w:fldCharType="end"/>
      </w:r>
      <w:bookmarkEnd w:id="31"/>
      <w:r w:rsidRPr="007C4D65">
        <w:rPr>
          <w:rFonts w:asciiTheme="minorHAnsi" w:hAnsiTheme="minorHAnsi" w:cstheme="minorHAnsi"/>
        </w:rPr>
        <w:t xml:space="preserve">: </w:t>
      </w:r>
      <w:r w:rsidRPr="007C4D65">
        <w:rPr>
          <w:rFonts w:asciiTheme="minorHAnsi" w:hAnsiTheme="minorHAnsi" w:cstheme="minorHAnsi"/>
          <w:b w:val="0"/>
        </w:rPr>
        <w:t>Summary of strategic goals by thematic areas</w:t>
      </w:r>
      <w:bookmarkEnd w:id="30"/>
    </w:p>
    <w:tbl>
      <w:tblPr>
        <w:tblStyle w:val="GridTable4-Accent61"/>
        <w:tblW w:w="9067" w:type="dxa"/>
        <w:tblLook w:val="04A0" w:firstRow="1" w:lastRow="0" w:firstColumn="1" w:lastColumn="0" w:noHBand="0" w:noVBand="1"/>
      </w:tblPr>
      <w:tblGrid>
        <w:gridCol w:w="2547"/>
        <w:gridCol w:w="6520"/>
      </w:tblGrid>
      <w:tr w:rsidR="001019C7" w:rsidRPr="007C4D65" w14:paraId="52542F53" w14:textId="77777777" w:rsidTr="009B4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009D73"/>
            <w:vAlign w:val="center"/>
          </w:tcPr>
          <w:p w14:paraId="66EE670D" w14:textId="77777777" w:rsidR="001019C7" w:rsidRPr="007C4D65" w:rsidRDefault="001019C7" w:rsidP="0068355A">
            <w:pPr>
              <w:spacing w:line="276" w:lineRule="auto"/>
              <w:jc w:val="center"/>
              <w:rPr>
                <w:rFonts w:asciiTheme="minorHAnsi" w:hAnsiTheme="minorHAnsi" w:cstheme="minorHAnsi"/>
                <w:sz w:val="18"/>
                <w:szCs w:val="18"/>
              </w:rPr>
            </w:pPr>
            <w:bookmarkStart w:id="32" w:name="_Hlk104455550"/>
            <w:r w:rsidRPr="007C4D65">
              <w:rPr>
                <w:rFonts w:asciiTheme="minorHAnsi" w:hAnsiTheme="minorHAnsi" w:cstheme="minorHAnsi"/>
                <w:sz w:val="18"/>
              </w:rPr>
              <w:t>Thematic area</w:t>
            </w:r>
          </w:p>
        </w:tc>
        <w:tc>
          <w:tcPr>
            <w:tcW w:w="6520" w:type="dxa"/>
            <w:shd w:val="clear" w:color="auto" w:fill="009D73"/>
            <w:vAlign w:val="center"/>
          </w:tcPr>
          <w:p w14:paraId="62F45455" w14:textId="77777777" w:rsidR="001019C7" w:rsidRPr="007C4D65" w:rsidRDefault="001019C7" w:rsidP="0068355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C4D65">
              <w:rPr>
                <w:rFonts w:asciiTheme="minorHAnsi" w:hAnsiTheme="minorHAnsi" w:cstheme="minorHAnsi"/>
                <w:sz w:val="18"/>
              </w:rPr>
              <w:t>Strategic goal</w:t>
            </w:r>
          </w:p>
        </w:tc>
      </w:tr>
      <w:tr w:rsidR="001019C7" w:rsidRPr="007C4D65" w14:paraId="5753A8F5" w14:textId="77777777" w:rsidTr="009B4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02A852F4" w14:textId="77777777" w:rsidR="001019C7" w:rsidRPr="007C4D65" w:rsidRDefault="001019C7" w:rsidP="0068355A">
            <w:pPr>
              <w:spacing w:line="276" w:lineRule="auto"/>
              <w:jc w:val="both"/>
              <w:rPr>
                <w:rFonts w:asciiTheme="minorHAnsi" w:hAnsiTheme="minorHAnsi" w:cstheme="minorHAnsi"/>
                <w:sz w:val="18"/>
                <w:szCs w:val="18"/>
              </w:rPr>
            </w:pPr>
            <w:r w:rsidRPr="007C4D65">
              <w:rPr>
                <w:rFonts w:asciiTheme="minorHAnsi" w:hAnsiTheme="minorHAnsi" w:cstheme="minorHAnsi"/>
                <w:sz w:val="18"/>
              </w:rPr>
              <w:t>Water management</w:t>
            </w:r>
          </w:p>
        </w:tc>
        <w:tc>
          <w:tcPr>
            <w:tcW w:w="6520" w:type="dxa"/>
            <w:shd w:val="clear" w:color="auto" w:fill="auto"/>
            <w:vAlign w:val="center"/>
          </w:tcPr>
          <w:p w14:paraId="0E831F47" w14:textId="77777777" w:rsidR="001019C7" w:rsidRPr="007C4D65" w:rsidRDefault="001019C7" w:rsidP="0068355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C4D65">
              <w:rPr>
                <w:rFonts w:asciiTheme="minorHAnsi" w:hAnsiTheme="minorHAnsi" w:cstheme="minorHAnsi"/>
                <w:sz w:val="18"/>
              </w:rPr>
              <w:t>Protecting water quality and ensuring access to and sustainable management of water resources</w:t>
            </w:r>
          </w:p>
        </w:tc>
      </w:tr>
      <w:tr w:rsidR="001019C7" w:rsidRPr="007C4D65" w14:paraId="03128B21" w14:textId="77777777" w:rsidTr="009B46AB">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3F859865" w14:textId="77777777" w:rsidR="001019C7" w:rsidRPr="007C4D65" w:rsidRDefault="001019C7" w:rsidP="0068355A">
            <w:pPr>
              <w:spacing w:line="276" w:lineRule="auto"/>
              <w:jc w:val="both"/>
              <w:rPr>
                <w:rFonts w:asciiTheme="minorHAnsi" w:hAnsiTheme="minorHAnsi" w:cstheme="minorHAnsi"/>
                <w:sz w:val="18"/>
                <w:szCs w:val="18"/>
              </w:rPr>
            </w:pPr>
            <w:r w:rsidRPr="007C4D65">
              <w:rPr>
                <w:rFonts w:asciiTheme="minorHAnsi" w:hAnsiTheme="minorHAnsi" w:cstheme="minorHAnsi"/>
                <w:sz w:val="18"/>
              </w:rPr>
              <w:t>Waste Management</w:t>
            </w:r>
          </w:p>
        </w:tc>
        <w:tc>
          <w:tcPr>
            <w:tcW w:w="6520" w:type="dxa"/>
            <w:shd w:val="clear" w:color="auto" w:fill="auto"/>
            <w:vAlign w:val="center"/>
          </w:tcPr>
          <w:p w14:paraId="033428EC" w14:textId="77777777" w:rsidR="001019C7" w:rsidRPr="007C4D65" w:rsidRDefault="001019C7" w:rsidP="0068355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C4D65">
              <w:rPr>
                <w:rFonts w:asciiTheme="minorHAnsi" w:hAnsiTheme="minorHAnsi" w:cstheme="minorHAnsi"/>
                <w:sz w:val="18"/>
              </w:rPr>
              <w:t>Reducing waste and increasing reuse of materials</w:t>
            </w:r>
          </w:p>
        </w:tc>
      </w:tr>
      <w:tr w:rsidR="001019C7" w:rsidRPr="007C4D65" w14:paraId="5425CDFA" w14:textId="77777777" w:rsidTr="009B4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7970169A" w14:textId="77777777" w:rsidR="001019C7" w:rsidRPr="007C4D65" w:rsidRDefault="001019C7" w:rsidP="0068355A">
            <w:pPr>
              <w:spacing w:line="276" w:lineRule="auto"/>
              <w:jc w:val="both"/>
              <w:rPr>
                <w:rFonts w:asciiTheme="minorHAnsi" w:hAnsiTheme="minorHAnsi" w:cstheme="minorHAnsi"/>
                <w:sz w:val="18"/>
                <w:szCs w:val="18"/>
              </w:rPr>
            </w:pPr>
            <w:r w:rsidRPr="007C4D65">
              <w:rPr>
                <w:rFonts w:asciiTheme="minorHAnsi" w:hAnsiTheme="minorHAnsi" w:cstheme="minorHAnsi"/>
                <w:sz w:val="18"/>
              </w:rPr>
              <w:t>Biodiversity and Nature Conservation</w:t>
            </w:r>
          </w:p>
        </w:tc>
        <w:tc>
          <w:tcPr>
            <w:tcW w:w="6520" w:type="dxa"/>
            <w:shd w:val="clear" w:color="auto" w:fill="auto"/>
            <w:vAlign w:val="center"/>
          </w:tcPr>
          <w:p w14:paraId="5C2009D3" w14:textId="77777777" w:rsidR="001019C7" w:rsidRPr="007C4D65" w:rsidRDefault="001019C7" w:rsidP="0068355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C4D65">
              <w:rPr>
                <w:rFonts w:asciiTheme="minorHAnsi" w:hAnsiTheme="minorHAnsi" w:cstheme="minorHAnsi"/>
                <w:sz w:val="18"/>
              </w:rPr>
              <w:t>Maintaining and enhancing biodiversity and protecting ecosystems</w:t>
            </w:r>
          </w:p>
        </w:tc>
      </w:tr>
      <w:tr w:rsidR="001019C7" w:rsidRPr="007C4D65" w14:paraId="63634BAB" w14:textId="77777777" w:rsidTr="009B46AB">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495BBFFE" w14:textId="77777777" w:rsidR="001019C7" w:rsidRPr="007C4D65" w:rsidRDefault="001019C7" w:rsidP="0068355A">
            <w:pPr>
              <w:spacing w:line="276" w:lineRule="auto"/>
              <w:jc w:val="both"/>
              <w:rPr>
                <w:rFonts w:asciiTheme="minorHAnsi" w:hAnsiTheme="minorHAnsi" w:cstheme="minorHAnsi"/>
                <w:sz w:val="18"/>
                <w:szCs w:val="18"/>
              </w:rPr>
            </w:pPr>
            <w:r w:rsidRPr="007C4D65">
              <w:rPr>
                <w:rFonts w:asciiTheme="minorHAnsi" w:hAnsiTheme="minorHAnsi" w:cstheme="minorHAnsi"/>
                <w:sz w:val="18"/>
              </w:rPr>
              <w:t>Air quality, climate and energy</w:t>
            </w:r>
          </w:p>
        </w:tc>
        <w:tc>
          <w:tcPr>
            <w:tcW w:w="6520" w:type="dxa"/>
            <w:shd w:val="clear" w:color="auto" w:fill="auto"/>
            <w:vAlign w:val="center"/>
          </w:tcPr>
          <w:p w14:paraId="5FE15ABF" w14:textId="2D5A69FF" w:rsidR="001019C7" w:rsidRPr="007C4D65" w:rsidRDefault="002C73AD" w:rsidP="0068355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C4D65">
              <w:rPr>
                <w:rFonts w:asciiTheme="minorHAnsi" w:hAnsiTheme="minorHAnsi" w:cstheme="minorHAnsi"/>
                <w:sz w:val="18"/>
              </w:rPr>
              <w:t>Enhancing</w:t>
            </w:r>
            <w:r w:rsidR="001019C7" w:rsidRPr="007C4D65">
              <w:rPr>
                <w:rFonts w:asciiTheme="minorHAnsi" w:hAnsiTheme="minorHAnsi" w:cstheme="minorHAnsi"/>
                <w:sz w:val="18"/>
              </w:rPr>
              <w:t xml:space="preserve"> climate change mitigation and adaptation and improving air quality </w:t>
            </w:r>
          </w:p>
        </w:tc>
      </w:tr>
      <w:tr w:rsidR="001019C7" w:rsidRPr="007C4D65" w14:paraId="2DC40BAF" w14:textId="77777777" w:rsidTr="009B4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735AC9BE" w14:textId="77777777" w:rsidR="001019C7" w:rsidRPr="007C4D65" w:rsidRDefault="001019C7" w:rsidP="0068355A">
            <w:pPr>
              <w:spacing w:line="276" w:lineRule="auto"/>
              <w:jc w:val="both"/>
              <w:rPr>
                <w:rFonts w:asciiTheme="minorHAnsi" w:hAnsiTheme="minorHAnsi" w:cstheme="minorHAnsi"/>
                <w:sz w:val="18"/>
                <w:szCs w:val="18"/>
              </w:rPr>
            </w:pPr>
            <w:r w:rsidRPr="007C4D65">
              <w:rPr>
                <w:rFonts w:asciiTheme="minorHAnsi" w:hAnsiTheme="minorHAnsi" w:cstheme="minorHAnsi"/>
                <w:sz w:val="18"/>
              </w:rPr>
              <w:t>Chemicals safety and Noise</w:t>
            </w:r>
          </w:p>
        </w:tc>
        <w:tc>
          <w:tcPr>
            <w:tcW w:w="6520" w:type="dxa"/>
            <w:shd w:val="clear" w:color="auto" w:fill="auto"/>
            <w:vAlign w:val="center"/>
          </w:tcPr>
          <w:p w14:paraId="7CFA6A11" w14:textId="77777777" w:rsidR="001019C7" w:rsidRPr="007C4D65" w:rsidRDefault="001019C7" w:rsidP="0068355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C4D65">
              <w:rPr>
                <w:rFonts w:asciiTheme="minorHAnsi" w:hAnsiTheme="minorHAnsi" w:cstheme="minorHAnsi"/>
                <w:sz w:val="18"/>
              </w:rPr>
              <w:t>Human health protection and improving well-being and quality of life for all</w:t>
            </w:r>
          </w:p>
        </w:tc>
      </w:tr>
      <w:tr w:rsidR="001019C7" w:rsidRPr="007C4D65" w14:paraId="43BB6E16" w14:textId="77777777" w:rsidTr="009B46AB">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5500F5A4" w14:textId="77777777" w:rsidR="001019C7" w:rsidRPr="007C4D65" w:rsidRDefault="001019C7" w:rsidP="0068355A">
            <w:pPr>
              <w:spacing w:line="276" w:lineRule="auto"/>
              <w:jc w:val="both"/>
              <w:rPr>
                <w:rFonts w:asciiTheme="minorHAnsi" w:hAnsiTheme="minorHAnsi" w:cstheme="minorHAnsi"/>
                <w:sz w:val="18"/>
                <w:szCs w:val="18"/>
              </w:rPr>
            </w:pPr>
            <w:r w:rsidRPr="007C4D65">
              <w:rPr>
                <w:rFonts w:asciiTheme="minorHAnsi" w:hAnsiTheme="minorHAnsi" w:cstheme="minorHAnsi"/>
                <w:sz w:val="18"/>
              </w:rPr>
              <w:t>Sustainable use of resources</w:t>
            </w:r>
          </w:p>
        </w:tc>
        <w:tc>
          <w:tcPr>
            <w:tcW w:w="6520" w:type="dxa"/>
            <w:shd w:val="clear" w:color="auto" w:fill="auto"/>
            <w:vAlign w:val="center"/>
          </w:tcPr>
          <w:p w14:paraId="20DC6FD8" w14:textId="77777777" w:rsidR="001019C7" w:rsidRPr="007C4D65" w:rsidRDefault="001019C7" w:rsidP="0068355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C4D65">
              <w:rPr>
                <w:rFonts w:asciiTheme="minorHAnsi" w:hAnsiTheme="minorHAnsi" w:cstheme="minorHAnsi"/>
                <w:sz w:val="18"/>
              </w:rPr>
              <w:t>Ensuring sustainable use of natural resources</w:t>
            </w:r>
          </w:p>
        </w:tc>
      </w:tr>
      <w:tr w:rsidR="001019C7" w:rsidRPr="007C4D65" w14:paraId="2D877D11" w14:textId="77777777" w:rsidTr="009B46A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087B19D0" w14:textId="77777777" w:rsidR="001019C7" w:rsidRPr="007C4D65" w:rsidRDefault="001019C7" w:rsidP="0068355A">
            <w:pPr>
              <w:spacing w:line="276" w:lineRule="auto"/>
              <w:jc w:val="both"/>
              <w:rPr>
                <w:rFonts w:asciiTheme="minorHAnsi" w:hAnsiTheme="minorHAnsi" w:cstheme="minorHAnsi"/>
                <w:sz w:val="18"/>
                <w:szCs w:val="18"/>
              </w:rPr>
            </w:pPr>
            <w:r w:rsidRPr="007C4D65">
              <w:rPr>
                <w:rFonts w:asciiTheme="minorHAnsi" w:hAnsiTheme="minorHAnsi" w:cstheme="minorHAnsi"/>
                <w:sz w:val="18"/>
              </w:rPr>
              <w:t>Environmental management</w:t>
            </w:r>
          </w:p>
        </w:tc>
        <w:tc>
          <w:tcPr>
            <w:tcW w:w="6520" w:type="dxa"/>
            <w:shd w:val="clear" w:color="auto" w:fill="auto"/>
            <w:vAlign w:val="center"/>
          </w:tcPr>
          <w:p w14:paraId="7599EF8A" w14:textId="77777777" w:rsidR="001019C7" w:rsidRPr="007C4D65" w:rsidRDefault="001019C7" w:rsidP="0068355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C4D65">
              <w:rPr>
                <w:rFonts w:asciiTheme="minorHAnsi" w:hAnsiTheme="minorHAnsi" w:cstheme="minorHAnsi"/>
                <w:sz w:val="18"/>
              </w:rPr>
              <w:t>Strengthening environmental management</w:t>
            </w:r>
          </w:p>
        </w:tc>
      </w:tr>
      <w:bookmarkEnd w:id="32"/>
    </w:tbl>
    <w:p w14:paraId="41D5B970" w14:textId="77777777" w:rsidR="004128CF" w:rsidRPr="007C4D65" w:rsidRDefault="004128CF" w:rsidP="0068355A">
      <w:pPr>
        <w:spacing w:line="276" w:lineRule="auto"/>
        <w:rPr>
          <w:rFonts w:asciiTheme="minorHAnsi" w:hAnsiTheme="minorHAnsi" w:cstheme="minorHAnsi"/>
        </w:rPr>
      </w:pPr>
    </w:p>
    <w:p w14:paraId="3F37C35F" w14:textId="77777777" w:rsidR="002C0058" w:rsidRPr="007C4D65" w:rsidRDefault="004128CF">
      <w:pPr>
        <w:pStyle w:val="Head2"/>
        <w:spacing w:line="276" w:lineRule="auto"/>
        <w:rPr>
          <w:rFonts w:asciiTheme="minorHAnsi" w:hAnsiTheme="minorHAnsi"/>
        </w:rPr>
        <w:sectPr w:rsidR="002C0058" w:rsidRPr="007C4D65" w:rsidSect="00B72606">
          <w:headerReference w:type="even" r:id="rId12"/>
          <w:headerReference w:type="default" r:id="rId13"/>
          <w:footerReference w:type="default" r:id="rId14"/>
          <w:headerReference w:type="first" r:id="rId15"/>
          <w:pgSz w:w="11906" w:h="16838"/>
          <w:pgMar w:top="1440" w:right="1440" w:bottom="1440" w:left="1440" w:header="708" w:footer="708" w:gutter="0"/>
          <w:pgNumType w:start="1"/>
          <w:cols w:space="708"/>
          <w:docGrid w:linePitch="360"/>
        </w:sectPr>
      </w:pPr>
      <w:r w:rsidRPr="007C4D65">
        <w:rPr>
          <w:rFonts w:asciiTheme="minorHAnsi" w:hAnsiTheme="minorHAnsi"/>
        </w:rPr>
        <w:br w:type="page"/>
      </w:r>
    </w:p>
    <w:p w14:paraId="594EEA81" w14:textId="77777777" w:rsidR="00285A5E" w:rsidRPr="007C4D65" w:rsidRDefault="007F63C5">
      <w:pPr>
        <w:pStyle w:val="Head2"/>
        <w:spacing w:line="276" w:lineRule="auto"/>
        <w:rPr>
          <w:rFonts w:asciiTheme="minorHAnsi" w:hAnsiTheme="minorHAnsi"/>
        </w:rPr>
      </w:pPr>
      <w:bookmarkStart w:id="33" w:name="_Toc117445328"/>
      <w:r w:rsidRPr="007C4D65">
        <w:rPr>
          <w:rFonts w:asciiTheme="minorHAnsi" w:hAnsiTheme="minorHAnsi"/>
        </w:rPr>
        <w:lastRenderedPageBreak/>
        <w:t>Priorities of strategic goals</w:t>
      </w:r>
      <w:bookmarkEnd w:id="33"/>
    </w:p>
    <w:p w14:paraId="43872C48" w14:textId="2CD55B1B" w:rsidR="007F63C5" w:rsidRPr="007C4D65" w:rsidRDefault="007F63C5"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Priorities are the key areas and policies which </w:t>
      </w:r>
      <w:r w:rsidR="001E6E20" w:rsidRPr="007C4D65">
        <w:rPr>
          <w:rFonts w:asciiTheme="minorHAnsi" w:hAnsiTheme="minorHAnsi" w:cstheme="minorHAnsi"/>
          <w:sz w:val="22"/>
        </w:rPr>
        <w:t>contribute</w:t>
      </w:r>
      <w:r w:rsidRPr="007C4D65">
        <w:rPr>
          <w:rFonts w:asciiTheme="minorHAnsi" w:hAnsiTheme="minorHAnsi" w:cstheme="minorHAnsi"/>
          <w:sz w:val="22"/>
        </w:rPr>
        <w:t xml:space="preserve"> to </w:t>
      </w:r>
      <w:r w:rsidR="001E6E20" w:rsidRPr="007C4D65">
        <w:rPr>
          <w:rFonts w:asciiTheme="minorHAnsi" w:hAnsiTheme="minorHAnsi" w:cstheme="minorHAnsi"/>
          <w:sz w:val="22"/>
        </w:rPr>
        <w:t xml:space="preserve">the </w:t>
      </w:r>
      <w:r w:rsidRPr="007C4D65">
        <w:rPr>
          <w:rFonts w:asciiTheme="minorHAnsi" w:hAnsiTheme="minorHAnsi" w:cstheme="minorHAnsi"/>
          <w:sz w:val="22"/>
        </w:rPr>
        <w:t xml:space="preserve">achievement of the vision and strategic goals, and as such, they have the greatest impact on the development, and/or achievement of strategic indicators. The priorities defined in this Strategy are classified by the strategic goals, and/or </w:t>
      </w:r>
      <w:r w:rsidR="001E6E20" w:rsidRPr="007C4D65">
        <w:rPr>
          <w:rFonts w:asciiTheme="minorHAnsi" w:hAnsiTheme="minorHAnsi" w:cstheme="minorHAnsi"/>
          <w:sz w:val="22"/>
        </w:rPr>
        <w:t>environmental</w:t>
      </w:r>
      <w:r w:rsidRPr="007C4D65">
        <w:rPr>
          <w:rFonts w:asciiTheme="minorHAnsi" w:hAnsiTheme="minorHAnsi" w:cstheme="minorHAnsi"/>
          <w:sz w:val="22"/>
        </w:rPr>
        <w:t xml:space="preserve"> thematic areas. </w:t>
      </w:r>
    </w:p>
    <w:p w14:paraId="33BAA2B2" w14:textId="0EC3B870" w:rsidR="007F63C5" w:rsidRPr="007C4D65" w:rsidRDefault="008D7AB7" w:rsidP="0068355A">
      <w:pPr>
        <w:pStyle w:val="Caption"/>
        <w:spacing w:line="276" w:lineRule="auto"/>
        <w:rPr>
          <w:rFonts w:asciiTheme="minorHAnsi" w:hAnsiTheme="minorHAnsi" w:cstheme="minorHAnsi"/>
        </w:rPr>
      </w:pPr>
      <w:bookmarkStart w:id="34" w:name="_Toc117011581"/>
      <w:r w:rsidRPr="007C4D65">
        <w:rPr>
          <w:rFonts w:asciiTheme="minorHAnsi" w:hAnsiTheme="minorHAnsi" w:cstheme="minorHAnsi"/>
        </w:rPr>
        <w:t xml:space="preserve">Table </w:t>
      </w:r>
      <w:bookmarkStart w:id="35" w:name="tabela2"/>
      <w:r w:rsidRPr="007C4D65">
        <w:rPr>
          <w:rFonts w:asciiTheme="minorHAnsi" w:hAnsiTheme="minorHAnsi" w:cstheme="minorHAnsi"/>
        </w:rPr>
        <w:fldChar w:fldCharType="begin"/>
      </w:r>
      <w:r w:rsidRPr="007C4D65">
        <w:rPr>
          <w:rFonts w:asciiTheme="minorHAnsi" w:hAnsiTheme="minorHAnsi" w:cstheme="minorHAnsi"/>
        </w:rPr>
        <w:instrText xml:space="preserve"> SEQ Tabela \* ARABIC </w:instrText>
      </w:r>
      <w:r w:rsidRPr="007C4D65">
        <w:rPr>
          <w:rFonts w:asciiTheme="minorHAnsi" w:hAnsiTheme="minorHAnsi" w:cstheme="minorHAnsi"/>
        </w:rPr>
        <w:fldChar w:fldCharType="separate"/>
      </w:r>
      <w:r w:rsidR="00005022" w:rsidRPr="007C4D65">
        <w:rPr>
          <w:rFonts w:asciiTheme="minorHAnsi" w:hAnsiTheme="minorHAnsi" w:cstheme="minorHAnsi"/>
          <w:noProof/>
        </w:rPr>
        <w:t>2</w:t>
      </w:r>
      <w:r w:rsidRPr="007C4D65">
        <w:rPr>
          <w:rFonts w:asciiTheme="minorHAnsi" w:hAnsiTheme="minorHAnsi" w:cstheme="minorHAnsi"/>
        </w:rPr>
        <w:fldChar w:fldCharType="end"/>
      </w:r>
      <w:bookmarkEnd w:id="35"/>
      <w:r w:rsidRPr="007C4D65">
        <w:rPr>
          <w:rFonts w:asciiTheme="minorHAnsi" w:hAnsiTheme="minorHAnsi" w:cstheme="minorHAnsi"/>
        </w:rPr>
        <w:t xml:space="preserve">: </w:t>
      </w:r>
      <w:r w:rsidRPr="007C4D65">
        <w:rPr>
          <w:rFonts w:asciiTheme="minorHAnsi" w:hAnsiTheme="minorHAnsi" w:cstheme="minorHAnsi"/>
          <w:b w:val="0"/>
        </w:rPr>
        <w:t xml:space="preserve">Priorities classified by the relevant strategic goals– and/or </w:t>
      </w:r>
      <w:r w:rsidR="001E6E20" w:rsidRPr="007C4D65">
        <w:rPr>
          <w:rFonts w:asciiTheme="minorHAnsi" w:hAnsiTheme="minorHAnsi" w:cstheme="minorHAnsi"/>
          <w:b w:val="0"/>
        </w:rPr>
        <w:t>environmental</w:t>
      </w:r>
      <w:r w:rsidRPr="007C4D65">
        <w:rPr>
          <w:rFonts w:asciiTheme="minorHAnsi" w:hAnsiTheme="minorHAnsi" w:cstheme="minorHAnsi"/>
          <w:b w:val="0"/>
        </w:rPr>
        <w:t xml:space="preserve"> thematic areas</w:t>
      </w:r>
      <w:bookmarkEnd w:id="3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3"/>
        <w:gridCol w:w="10835"/>
      </w:tblGrid>
      <w:tr w:rsidR="007F63C5" w:rsidRPr="007C4D65" w14:paraId="6FB9DAE1" w14:textId="77777777" w:rsidTr="00076544">
        <w:trPr>
          <w:trHeight w:val="420"/>
          <w:tblHeader/>
        </w:trPr>
        <w:tc>
          <w:tcPr>
            <w:tcW w:w="1116" w:type="pct"/>
            <w:shd w:val="clear" w:color="auto" w:fill="009D73"/>
            <w:vAlign w:val="center"/>
          </w:tcPr>
          <w:p w14:paraId="1A0046A8" w14:textId="77777777" w:rsidR="007F63C5" w:rsidRPr="007C4D65" w:rsidRDefault="007F63C5" w:rsidP="0068355A">
            <w:pPr>
              <w:spacing w:line="276" w:lineRule="auto"/>
              <w:jc w:val="center"/>
              <w:rPr>
                <w:rFonts w:asciiTheme="minorHAnsi" w:hAnsiTheme="minorHAnsi" w:cstheme="minorHAnsi"/>
                <w:b/>
                <w:color w:val="FFFFFF" w:themeColor="background1"/>
                <w:sz w:val="18"/>
                <w:szCs w:val="18"/>
              </w:rPr>
            </w:pPr>
            <w:bookmarkStart w:id="36" w:name="_Hlk104455589"/>
            <w:r w:rsidRPr="007C4D65">
              <w:rPr>
                <w:rFonts w:asciiTheme="minorHAnsi" w:hAnsiTheme="minorHAnsi" w:cstheme="minorHAnsi"/>
                <w:b/>
                <w:color w:val="FFFFFF" w:themeColor="background1"/>
                <w:sz w:val="18"/>
              </w:rPr>
              <w:t>Strategic goals</w:t>
            </w:r>
          </w:p>
        </w:tc>
        <w:tc>
          <w:tcPr>
            <w:tcW w:w="3884" w:type="pct"/>
            <w:shd w:val="clear" w:color="auto" w:fill="009D73"/>
            <w:vAlign w:val="center"/>
          </w:tcPr>
          <w:p w14:paraId="17A35328" w14:textId="77777777" w:rsidR="007F63C5" w:rsidRPr="007C4D65" w:rsidRDefault="007F63C5" w:rsidP="0068355A">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Priorities</w:t>
            </w:r>
          </w:p>
        </w:tc>
      </w:tr>
      <w:tr w:rsidR="007F63C5" w:rsidRPr="007C4D65" w14:paraId="20DF9706" w14:textId="77777777" w:rsidTr="00076544">
        <w:trPr>
          <w:trHeight w:val="896"/>
        </w:trPr>
        <w:tc>
          <w:tcPr>
            <w:tcW w:w="1116" w:type="pct"/>
          </w:tcPr>
          <w:p w14:paraId="480ED02A" w14:textId="77777777" w:rsidR="007F63C5" w:rsidRPr="007C4D65" w:rsidRDefault="007F63C5" w:rsidP="0068355A">
            <w:pPr>
              <w:spacing w:before="240" w:line="276" w:lineRule="auto"/>
              <w:rPr>
                <w:rFonts w:asciiTheme="minorHAnsi" w:hAnsiTheme="minorHAnsi" w:cstheme="minorHAnsi"/>
                <w:b/>
                <w:sz w:val="18"/>
                <w:szCs w:val="18"/>
              </w:rPr>
            </w:pPr>
            <w:r w:rsidRPr="007C4D65">
              <w:rPr>
                <w:rFonts w:asciiTheme="minorHAnsi" w:hAnsiTheme="minorHAnsi" w:cstheme="minorHAnsi"/>
                <w:b/>
                <w:sz w:val="18"/>
              </w:rPr>
              <w:t>Strategic goal 1: Protecting water quality and ensuring access to and sustainable management of water resources</w:t>
            </w:r>
          </w:p>
        </w:tc>
        <w:tc>
          <w:tcPr>
            <w:tcW w:w="3884" w:type="pct"/>
          </w:tcPr>
          <w:p w14:paraId="7B54C0C8"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1.1</w:t>
            </w:r>
            <w:r w:rsidRPr="007C4D65">
              <w:rPr>
                <w:rFonts w:asciiTheme="minorHAnsi" w:hAnsiTheme="minorHAnsi" w:cstheme="minorHAnsi"/>
                <w:sz w:val="18"/>
              </w:rPr>
              <w:t xml:space="preserve"> Prevent deterioration and improve status of water bodies </w:t>
            </w:r>
          </w:p>
          <w:p w14:paraId="7D74BD93"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1.2</w:t>
            </w:r>
            <w:r w:rsidRPr="007C4D65">
              <w:rPr>
                <w:rFonts w:asciiTheme="minorHAnsi" w:hAnsiTheme="minorHAnsi" w:cstheme="minorHAnsi"/>
                <w:sz w:val="18"/>
              </w:rPr>
              <w:t xml:space="preserve"> Provide conditions for achieving sustainable use of water resources </w:t>
            </w:r>
          </w:p>
          <w:p w14:paraId="0299B99A"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1.3</w:t>
            </w:r>
            <w:r w:rsidRPr="007C4D65">
              <w:rPr>
                <w:rFonts w:asciiTheme="minorHAnsi" w:hAnsiTheme="minorHAnsi" w:cstheme="minorHAnsi"/>
                <w:sz w:val="18"/>
              </w:rPr>
              <w:t xml:space="preserve"> Ensuring sufficient drinking water supplies and access to public water supply system to all citizens </w:t>
            </w:r>
          </w:p>
          <w:p w14:paraId="44F895BC" w14:textId="77777777" w:rsidR="00854430" w:rsidRPr="007C4D65" w:rsidRDefault="007F63C5" w:rsidP="0068355A">
            <w:pPr>
              <w:spacing w:before="240" w:line="276" w:lineRule="auto"/>
              <w:rPr>
                <w:rFonts w:asciiTheme="minorHAnsi" w:hAnsiTheme="minorHAnsi" w:cstheme="minorHAnsi"/>
                <w:b/>
                <w:sz w:val="18"/>
              </w:rPr>
            </w:pPr>
            <w:r w:rsidRPr="007C4D65">
              <w:rPr>
                <w:rFonts w:asciiTheme="minorHAnsi" w:hAnsiTheme="minorHAnsi" w:cstheme="minorHAnsi"/>
                <w:b/>
                <w:sz w:val="18"/>
              </w:rPr>
              <w:t>Priority 1.4</w:t>
            </w:r>
            <w:r w:rsidRPr="007C4D65">
              <w:rPr>
                <w:rFonts w:asciiTheme="minorHAnsi" w:hAnsiTheme="minorHAnsi" w:cstheme="minorHAnsi"/>
                <w:sz w:val="18"/>
              </w:rPr>
              <w:t xml:space="preserve"> </w:t>
            </w:r>
            <w:r w:rsidR="00854430" w:rsidRPr="007C4D65">
              <w:rPr>
                <w:rFonts w:asciiTheme="minorHAnsi" w:hAnsiTheme="minorHAnsi" w:cstheme="minorHAnsi"/>
                <w:sz w:val="18"/>
              </w:rPr>
              <w:t xml:space="preserve">Reducing the risk of extreme hydrological events by establishing a sustainable flood risk management system and adaptation to climate changes </w:t>
            </w:r>
          </w:p>
          <w:p w14:paraId="538C2853" w14:textId="798666EA"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1.5</w:t>
            </w:r>
            <w:r w:rsidRPr="007C4D65">
              <w:rPr>
                <w:rFonts w:asciiTheme="minorHAnsi" w:hAnsiTheme="minorHAnsi" w:cstheme="minorHAnsi"/>
                <w:sz w:val="18"/>
              </w:rPr>
              <w:t xml:space="preserve"> </w:t>
            </w:r>
            <w:r w:rsidR="00854430" w:rsidRPr="007C4D65">
              <w:rPr>
                <w:rFonts w:asciiTheme="minorHAnsi" w:hAnsiTheme="minorHAnsi" w:cstheme="minorHAnsi"/>
                <w:sz w:val="18"/>
              </w:rPr>
              <w:t xml:space="preserve">Developing an effective legal and institutional framework for the purpose of alignment with the </w:t>
            </w:r>
            <w:r w:rsidR="001E4D90" w:rsidRPr="007C4D65">
              <w:rPr>
                <w:rFonts w:asciiTheme="minorHAnsi" w:hAnsiTheme="minorHAnsi" w:cstheme="minorHAnsi"/>
                <w:sz w:val="18"/>
              </w:rPr>
              <w:t>EU regulations</w:t>
            </w:r>
            <w:r w:rsidR="00854430" w:rsidRPr="007C4D65">
              <w:rPr>
                <w:rFonts w:asciiTheme="minorHAnsi" w:hAnsiTheme="minorHAnsi" w:cstheme="minorHAnsi"/>
                <w:sz w:val="18"/>
              </w:rPr>
              <w:t xml:space="preserve"> in the water sector, and its enforcement</w:t>
            </w:r>
          </w:p>
          <w:p w14:paraId="42F3DFDA" w14:textId="7E7B4DD8" w:rsidR="007F63C5" w:rsidRPr="007C4D65" w:rsidRDefault="007F63C5" w:rsidP="0068355A">
            <w:pPr>
              <w:spacing w:before="240" w:after="240" w:line="276" w:lineRule="auto"/>
              <w:rPr>
                <w:rFonts w:asciiTheme="minorHAnsi" w:hAnsiTheme="minorHAnsi" w:cstheme="minorHAnsi"/>
                <w:sz w:val="18"/>
                <w:szCs w:val="18"/>
              </w:rPr>
            </w:pPr>
            <w:r w:rsidRPr="007C4D65">
              <w:rPr>
                <w:rFonts w:asciiTheme="minorHAnsi" w:hAnsiTheme="minorHAnsi" w:cstheme="minorHAnsi"/>
                <w:b/>
                <w:sz w:val="18"/>
              </w:rPr>
              <w:t>Priority 1.6</w:t>
            </w:r>
            <w:r w:rsidRPr="007C4D65">
              <w:rPr>
                <w:rFonts w:asciiTheme="minorHAnsi" w:hAnsiTheme="minorHAnsi" w:cstheme="minorHAnsi"/>
                <w:sz w:val="18"/>
              </w:rPr>
              <w:t xml:space="preserve"> Ensuring financial sustainability of </w:t>
            </w:r>
            <w:r w:rsidR="001E4D90" w:rsidRPr="007C4D65">
              <w:rPr>
                <w:rFonts w:asciiTheme="minorHAnsi" w:hAnsiTheme="minorHAnsi" w:cstheme="minorHAnsi"/>
                <w:sz w:val="18"/>
              </w:rPr>
              <w:t xml:space="preserve">the </w:t>
            </w:r>
            <w:r w:rsidRPr="007C4D65">
              <w:rPr>
                <w:rFonts w:asciiTheme="minorHAnsi" w:hAnsiTheme="minorHAnsi" w:cstheme="minorHAnsi"/>
                <w:sz w:val="18"/>
              </w:rPr>
              <w:t xml:space="preserve">water sector </w:t>
            </w:r>
          </w:p>
        </w:tc>
      </w:tr>
      <w:tr w:rsidR="007F63C5" w:rsidRPr="007C4D65" w14:paraId="5E7C840F" w14:textId="77777777" w:rsidTr="00076544">
        <w:trPr>
          <w:trHeight w:val="550"/>
        </w:trPr>
        <w:tc>
          <w:tcPr>
            <w:tcW w:w="1116" w:type="pct"/>
          </w:tcPr>
          <w:p w14:paraId="3CB17914" w14:textId="77777777" w:rsidR="007F63C5" w:rsidRPr="007C4D65" w:rsidRDefault="007F63C5" w:rsidP="0068355A">
            <w:pPr>
              <w:spacing w:before="240" w:line="276" w:lineRule="auto"/>
              <w:rPr>
                <w:rFonts w:asciiTheme="minorHAnsi" w:hAnsiTheme="minorHAnsi" w:cstheme="minorHAnsi"/>
                <w:b/>
                <w:sz w:val="18"/>
                <w:szCs w:val="18"/>
              </w:rPr>
            </w:pPr>
            <w:r w:rsidRPr="007C4D65">
              <w:rPr>
                <w:rFonts w:asciiTheme="minorHAnsi" w:hAnsiTheme="minorHAnsi" w:cstheme="minorHAnsi"/>
                <w:b/>
                <w:sz w:val="18"/>
              </w:rPr>
              <w:t>Strategic goal 2: Reducing waste and increasing reuse of materials</w:t>
            </w:r>
          </w:p>
        </w:tc>
        <w:tc>
          <w:tcPr>
            <w:tcW w:w="3884" w:type="pct"/>
          </w:tcPr>
          <w:p w14:paraId="7F7EBB12" w14:textId="34E0A135"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2.1</w:t>
            </w:r>
            <w:r w:rsidRPr="007C4D65">
              <w:rPr>
                <w:rFonts w:asciiTheme="minorHAnsi" w:hAnsiTheme="minorHAnsi" w:cstheme="minorHAnsi"/>
                <w:sz w:val="18"/>
              </w:rPr>
              <w:t xml:space="preserve"> </w:t>
            </w:r>
            <w:bookmarkStart w:id="37" w:name="_Hlk116556421"/>
            <w:r w:rsidR="00624BB4" w:rsidRPr="007C4D65">
              <w:rPr>
                <w:rFonts w:asciiTheme="minorHAnsi" w:hAnsiTheme="minorHAnsi" w:cstheme="minorHAnsi"/>
                <w:sz w:val="18"/>
              </w:rPr>
              <w:t>Improving</w:t>
            </w:r>
            <w:r w:rsidRPr="007C4D65">
              <w:rPr>
                <w:rFonts w:asciiTheme="minorHAnsi" w:hAnsiTheme="minorHAnsi" w:cstheme="minorHAnsi"/>
                <w:sz w:val="18"/>
              </w:rPr>
              <w:t xml:space="preserve"> the legal and strategic framework in </w:t>
            </w:r>
            <w:r w:rsidR="00E55311" w:rsidRPr="007C4D65">
              <w:rPr>
                <w:rFonts w:asciiTheme="minorHAnsi" w:hAnsiTheme="minorHAnsi" w:cstheme="minorHAnsi"/>
                <w:sz w:val="18"/>
              </w:rPr>
              <w:t xml:space="preserve">the </w:t>
            </w:r>
            <w:r w:rsidRPr="007C4D65">
              <w:rPr>
                <w:rFonts w:asciiTheme="minorHAnsi" w:hAnsiTheme="minorHAnsi" w:cstheme="minorHAnsi"/>
                <w:sz w:val="18"/>
              </w:rPr>
              <w:t xml:space="preserve">waste management </w:t>
            </w:r>
            <w:r w:rsidR="00E55311" w:rsidRPr="007C4D65">
              <w:rPr>
                <w:rFonts w:asciiTheme="minorHAnsi" w:hAnsiTheme="minorHAnsi" w:cstheme="minorHAnsi"/>
                <w:sz w:val="18"/>
              </w:rPr>
              <w:t>according to</w:t>
            </w:r>
            <w:r w:rsidRPr="007C4D65">
              <w:rPr>
                <w:rFonts w:asciiTheme="minorHAnsi" w:hAnsiTheme="minorHAnsi" w:cstheme="minorHAnsi"/>
                <w:sz w:val="18"/>
              </w:rPr>
              <w:t xml:space="preserve"> the EU principles</w:t>
            </w:r>
            <w:bookmarkEnd w:id="37"/>
          </w:p>
          <w:p w14:paraId="3BDB9454"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2.2</w:t>
            </w:r>
            <w:r w:rsidRPr="007C4D65">
              <w:rPr>
                <w:rFonts w:asciiTheme="minorHAnsi" w:hAnsiTheme="minorHAnsi" w:cstheme="minorHAnsi"/>
                <w:sz w:val="18"/>
              </w:rPr>
              <w:t xml:space="preserve"> Improving the waste records and reporting system</w:t>
            </w:r>
          </w:p>
          <w:p w14:paraId="71D63ED8" w14:textId="4AFA2CFE"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2.3</w:t>
            </w:r>
            <w:r w:rsidRPr="007C4D65">
              <w:rPr>
                <w:rFonts w:asciiTheme="minorHAnsi" w:hAnsiTheme="minorHAnsi" w:cstheme="minorHAnsi"/>
                <w:sz w:val="18"/>
              </w:rPr>
              <w:t xml:space="preserve"> </w:t>
            </w:r>
            <w:r w:rsidR="00274404" w:rsidRPr="007C4D65">
              <w:rPr>
                <w:rFonts w:asciiTheme="minorHAnsi" w:hAnsiTheme="minorHAnsi" w:cstheme="minorHAnsi"/>
                <w:sz w:val="18"/>
              </w:rPr>
              <w:t>Implementing economic and financial instruments and mechanisms to reduce the amount of waste and boost utilisation of all categories of waste</w:t>
            </w:r>
          </w:p>
          <w:p w14:paraId="4335C6A0" w14:textId="41647EC2"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2.4</w:t>
            </w:r>
            <w:r w:rsidRPr="007C4D65">
              <w:rPr>
                <w:rFonts w:asciiTheme="minorHAnsi" w:hAnsiTheme="minorHAnsi" w:cstheme="minorHAnsi"/>
                <w:sz w:val="18"/>
              </w:rPr>
              <w:t xml:space="preserve"> </w:t>
            </w:r>
            <w:r w:rsidR="001547A8" w:rsidRPr="007C4D65">
              <w:rPr>
                <w:rFonts w:asciiTheme="minorHAnsi" w:hAnsiTheme="minorHAnsi" w:cstheme="minorHAnsi"/>
                <w:sz w:val="18"/>
              </w:rPr>
              <w:t>Improving the municipal waste management system</w:t>
            </w:r>
          </w:p>
          <w:p w14:paraId="0111C02B" w14:textId="5CAEB0A9"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2.5</w:t>
            </w:r>
            <w:r w:rsidRPr="007C4D65">
              <w:rPr>
                <w:rFonts w:asciiTheme="minorHAnsi" w:hAnsiTheme="minorHAnsi" w:cstheme="minorHAnsi"/>
                <w:sz w:val="18"/>
              </w:rPr>
              <w:t xml:space="preserve"> </w:t>
            </w:r>
            <w:bookmarkStart w:id="38" w:name="_Hlk116669116"/>
            <w:r w:rsidRPr="007C4D65">
              <w:rPr>
                <w:rFonts w:asciiTheme="minorHAnsi" w:hAnsiTheme="minorHAnsi" w:cstheme="minorHAnsi"/>
                <w:sz w:val="18"/>
              </w:rPr>
              <w:t xml:space="preserve">Improving the management </w:t>
            </w:r>
            <w:r w:rsidR="001547A8" w:rsidRPr="007C4D65">
              <w:rPr>
                <w:rFonts w:asciiTheme="minorHAnsi" w:hAnsiTheme="minorHAnsi" w:cstheme="minorHAnsi"/>
                <w:sz w:val="18"/>
              </w:rPr>
              <w:t>of</w:t>
            </w:r>
            <w:r w:rsidRPr="007C4D65">
              <w:rPr>
                <w:rFonts w:asciiTheme="minorHAnsi" w:hAnsiTheme="minorHAnsi" w:cstheme="minorHAnsi"/>
                <w:sz w:val="18"/>
              </w:rPr>
              <w:t xml:space="preserve"> special waste</w:t>
            </w:r>
            <w:r w:rsidR="00FD7932" w:rsidRPr="007C4D65">
              <w:rPr>
                <w:rFonts w:asciiTheme="minorHAnsi" w:hAnsiTheme="minorHAnsi" w:cstheme="minorHAnsi"/>
                <w:sz w:val="18"/>
              </w:rPr>
              <w:t>s</w:t>
            </w:r>
          </w:p>
          <w:bookmarkEnd w:id="38"/>
          <w:p w14:paraId="2105F582"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lastRenderedPageBreak/>
              <w:t>Priority 2.6</w:t>
            </w:r>
            <w:r w:rsidRPr="007C4D65">
              <w:rPr>
                <w:rFonts w:asciiTheme="minorHAnsi" w:hAnsiTheme="minorHAnsi" w:cstheme="minorHAnsi"/>
                <w:sz w:val="18"/>
              </w:rPr>
              <w:t xml:space="preserve"> Rehabilitate surfaces beneath inadequately disposed waste</w:t>
            </w:r>
          </w:p>
          <w:p w14:paraId="7CA8456E" w14:textId="77777777" w:rsidR="007F63C5" w:rsidRPr="007C4D65" w:rsidRDefault="007F63C5" w:rsidP="0068355A">
            <w:pPr>
              <w:spacing w:before="240" w:after="240" w:line="276" w:lineRule="auto"/>
              <w:rPr>
                <w:rFonts w:asciiTheme="minorHAnsi" w:hAnsiTheme="minorHAnsi" w:cstheme="minorHAnsi"/>
                <w:sz w:val="18"/>
                <w:szCs w:val="18"/>
              </w:rPr>
            </w:pPr>
            <w:r w:rsidRPr="007C4D65">
              <w:rPr>
                <w:rFonts w:asciiTheme="minorHAnsi" w:hAnsiTheme="minorHAnsi" w:cstheme="minorHAnsi"/>
                <w:b/>
                <w:sz w:val="18"/>
              </w:rPr>
              <w:t>Priority 2.7</w:t>
            </w:r>
            <w:r w:rsidRPr="007C4D65">
              <w:rPr>
                <w:rFonts w:asciiTheme="minorHAnsi" w:hAnsiTheme="minorHAnsi" w:cstheme="minorHAnsi"/>
                <w:sz w:val="18"/>
              </w:rPr>
              <w:t xml:space="preserve"> Raise awareness about the proper separation, collection and disposal of waste</w:t>
            </w:r>
          </w:p>
        </w:tc>
      </w:tr>
      <w:tr w:rsidR="007F63C5" w:rsidRPr="007C4D65" w14:paraId="3F1D9A79" w14:textId="77777777" w:rsidTr="00076544">
        <w:trPr>
          <w:trHeight w:val="896"/>
        </w:trPr>
        <w:tc>
          <w:tcPr>
            <w:tcW w:w="1116" w:type="pct"/>
          </w:tcPr>
          <w:p w14:paraId="69E315AE" w14:textId="77777777" w:rsidR="007F63C5" w:rsidRPr="007C4D65" w:rsidRDefault="007F63C5" w:rsidP="0068355A">
            <w:pPr>
              <w:spacing w:before="240" w:line="276" w:lineRule="auto"/>
              <w:rPr>
                <w:rFonts w:asciiTheme="minorHAnsi" w:hAnsiTheme="minorHAnsi" w:cstheme="minorHAnsi"/>
                <w:b/>
                <w:sz w:val="18"/>
                <w:szCs w:val="18"/>
              </w:rPr>
            </w:pPr>
            <w:r w:rsidRPr="007C4D65">
              <w:rPr>
                <w:rFonts w:asciiTheme="minorHAnsi" w:hAnsiTheme="minorHAnsi" w:cstheme="minorHAnsi"/>
                <w:b/>
                <w:sz w:val="18"/>
              </w:rPr>
              <w:lastRenderedPageBreak/>
              <w:t>Strategic goal 3: Maintaining and enhancing biodiversity and protecting ecosystems</w:t>
            </w:r>
          </w:p>
        </w:tc>
        <w:tc>
          <w:tcPr>
            <w:tcW w:w="3884" w:type="pct"/>
          </w:tcPr>
          <w:p w14:paraId="47C39312" w14:textId="36CD8C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3.1</w:t>
            </w:r>
            <w:r w:rsidRPr="007C4D65">
              <w:rPr>
                <w:rFonts w:asciiTheme="minorHAnsi" w:hAnsiTheme="minorHAnsi" w:cstheme="minorHAnsi"/>
                <w:sz w:val="18"/>
              </w:rPr>
              <w:t xml:space="preserve"> </w:t>
            </w:r>
            <w:r w:rsidR="007508AB" w:rsidRPr="007C4D65">
              <w:rPr>
                <w:rFonts w:asciiTheme="minorHAnsi" w:hAnsiTheme="minorHAnsi" w:cstheme="minorHAnsi"/>
                <w:sz w:val="18"/>
              </w:rPr>
              <w:t xml:space="preserve">Improving </w:t>
            </w:r>
            <w:r w:rsidRPr="007C4D65">
              <w:rPr>
                <w:rFonts w:asciiTheme="minorHAnsi" w:hAnsiTheme="minorHAnsi" w:cstheme="minorHAnsi"/>
                <w:sz w:val="18"/>
              </w:rPr>
              <w:t xml:space="preserve">the legal framework </w:t>
            </w:r>
            <w:r w:rsidR="00457FD7" w:rsidRPr="007C4D65">
              <w:rPr>
                <w:rFonts w:asciiTheme="minorHAnsi" w:hAnsiTheme="minorHAnsi" w:cstheme="minorHAnsi"/>
                <w:sz w:val="18"/>
              </w:rPr>
              <w:t>of the Federation</w:t>
            </w:r>
            <w:r w:rsidR="007436F1" w:rsidRPr="007C4D65">
              <w:rPr>
                <w:rFonts w:asciiTheme="minorHAnsi" w:hAnsiTheme="minorHAnsi" w:cstheme="minorHAnsi"/>
                <w:sz w:val="18"/>
              </w:rPr>
              <w:t xml:space="preserve"> of</w:t>
            </w:r>
            <w:r w:rsidR="00457FD7" w:rsidRPr="007C4D65">
              <w:rPr>
                <w:rFonts w:asciiTheme="minorHAnsi" w:hAnsiTheme="minorHAnsi" w:cstheme="minorHAnsi"/>
                <w:sz w:val="18"/>
              </w:rPr>
              <w:t xml:space="preserve"> BiH</w:t>
            </w:r>
            <w:r w:rsidRPr="007C4D65">
              <w:rPr>
                <w:rFonts w:asciiTheme="minorHAnsi" w:hAnsiTheme="minorHAnsi" w:cstheme="minorHAnsi"/>
                <w:sz w:val="18"/>
              </w:rPr>
              <w:t xml:space="preserve"> for biodiversity and nature conservation through alignment of the legislation with the EU acquis and international agreements</w:t>
            </w:r>
          </w:p>
          <w:p w14:paraId="34EDF1BB" w14:textId="181E1E5F"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3.2</w:t>
            </w:r>
            <w:r w:rsidRPr="007C4D65">
              <w:rPr>
                <w:rFonts w:asciiTheme="minorHAnsi" w:hAnsiTheme="minorHAnsi" w:cstheme="minorHAnsi"/>
                <w:sz w:val="18"/>
              </w:rPr>
              <w:t xml:space="preserve"> Strengthen </w:t>
            </w:r>
            <w:proofErr w:type="gramStart"/>
            <w:r w:rsidRPr="007C4D65">
              <w:rPr>
                <w:rFonts w:asciiTheme="minorHAnsi" w:hAnsiTheme="minorHAnsi" w:cstheme="minorHAnsi"/>
                <w:sz w:val="18"/>
              </w:rPr>
              <w:t>the  institutions</w:t>
            </w:r>
            <w:proofErr w:type="gramEnd"/>
            <w:r w:rsidRPr="007C4D65">
              <w:rPr>
                <w:rFonts w:asciiTheme="minorHAnsi" w:hAnsiTheme="minorHAnsi" w:cstheme="minorHAnsi"/>
                <w:sz w:val="18"/>
              </w:rPr>
              <w:t xml:space="preserve"> of the Federation of BiH responsible for the implementation of the nature conservation legislation and activities</w:t>
            </w:r>
          </w:p>
          <w:p w14:paraId="275F64C2"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3.3</w:t>
            </w:r>
            <w:r w:rsidRPr="007C4D65">
              <w:rPr>
                <w:rFonts w:asciiTheme="minorHAnsi" w:hAnsiTheme="minorHAnsi" w:cstheme="minorHAnsi"/>
                <w:sz w:val="18"/>
              </w:rPr>
              <w:t xml:space="preserve"> Initiating coordination, communication and reporting on biodiversity and nature conservation in the Federation of BiH</w:t>
            </w:r>
          </w:p>
          <w:p w14:paraId="11A92771" w14:textId="79A635C6"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3.4</w:t>
            </w:r>
            <w:r w:rsidRPr="007C4D65">
              <w:rPr>
                <w:rFonts w:asciiTheme="minorHAnsi" w:hAnsiTheme="minorHAnsi" w:cstheme="minorHAnsi"/>
                <w:sz w:val="18"/>
              </w:rPr>
              <w:t xml:space="preserve"> </w:t>
            </w:r>
            <w:bookmarkStart w:id="39" w:name="_Hlk109653084"/>
            <w:r w:rsidR="00D67C85" w:rsidRPr="007C4D65">
              <w:rPr>
                <w:rFonts w:asciiTheme="minorHAnsi" w:hAnsiTheme="minorHAnsi" w:cstheme="minorHAnsi"/>
                <w:sz w:val="18"/>
              </w:rPr>
              <w:t>Initiate monitoring of the state and biodiversity/nature conservation in the federation of BiH in compliance with the standards of the EU acquis</w:t>
            </w:r>
          </w:p>
          <w:bookmarkEnd w:id="39"/>
          <w:p w14:paraId="215AE009"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3.5</w:t>
            </w:r>
            <w:r w:rsidRPr="007C4D65">
              <w:rPr>
                <w:rFonts w:asciiTheme="minorHAnsi" w:hAnsiTheme="minorHAnsi" w:cstheme="minorHAnsi"/>
                <w:sz w:val="18"/>
              </w:rPr>
              <w:t xml:space="preserve"> Produce an inventory of biodiversity of the Federation of BiH at the ecosystem, species and genetic level</w:t>
            </w:r>
          </w:p>
          <w:p w14:paraId="365185C6"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3.6</w:t>
            </w:r>
            <w:r w:rsidRPr="007C4D65">
              <w:rPr>
                <w:rFonts w:asciiTheme="minorHAnsi" w:hAnsiTheme="minorHAnsi" w:cstheme="minorHAnsi"/>
                <w:sz w:val="18"/>
              </w:rPr>
              <w:t xml:space="preserve"> Integrate the ecologically significant areas into a single network which makes up 17% of the territory of the Federation of BiH</w:t>
            </w:r>
          </w:p>
          <w:p w14:paraId="7085C1DC"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3.7</w:t>
            </w:r>
            <w:r w:rsidRPr="007C4D65">
              <w:rPr>
                <w:rFonts w:asciiTheme="minorHAnsi" w:hAnsiTheme="minorHAnsi" w:cstheme="minorHAnsi"/>
                <w:sz w:val="18"/>
              </w:rPr>
              <w:t xml:space="preserve"> Improve the cross-sectoral cooperation and political support </w:t>
            </w:r>
            <w:proofErr w:type="gramStart"/>
            <w:r w:rsidRPr="007C4D65">
              <w:rPr>
                <w:rFonts w:asciiTheme="minorHAnsi" w:hAnsiTheme="minorHAnsi" w:cstheme="minorHAnsi"/>
                <w:sz w:val="18"/>
              </w:rPr>
              <w:t>in  the</w:t>
            </w:r>
            <w:proofErr w:type="gramEnd"/>
            <w:r w:rsidRPr="007C4D65">
              <w:rPr>
                <w:rFonts w:asciiTheme="minorHAnsi" w:hAnsiTheme="minorHAnsi" w:cstheme="minorHAnsi"/>
                <w:sz w:val="18"/>
              </w:rPr>
              <w:t xml:space="preserve"> Federation of BiH for integration of biodiversity protection into sectoral policies and legislation</w:t>
            </w:r>
          </w:p>
          <w:p w14:paraId="566B1952" w14:textId="1C53F992"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3.8</w:t>
            </w:r>
            <w:r w:rsidRPr="007C4D65">
              <w:rPr>
                <w:rFonts w:asciiTheme="minorHAnsi" w:hAnsiTheme="minorHAnsi" w:cstheme="minorHAnsi"/>
                <w:sz w:val="18"/>
              </w:rPr>
              <w:t xml:space="preserve"> Strengthen the science-based </w:t>
            </w:r>
            <w:r w:rsidR="009F16BA" w:rsidRPr="007C4D65">
              <w:rPr>
                <w:rFonts w:asciiTheme="minorHAnsi" w:hAnsiTheme="minorHAnsi" w:cstheme="minorHAnsi"/>
                <w:sz w:val="18"/>
              </w:rPr>
              <w:t xml:space="preserve">decision-making  </w:t>
            </w:r>
            <w:r w:rsidRPr="007C4D65">
              <w:rPr>
                <w:rFonts w:asciiTheme="minorHAnsi" w:hAnsiTheme="minorHAnsi" w:cstheme="minorHAnsi"/>
                <w:sz w:val="18"/>
              </w:rPr>
              <w:t xml:space="preserve"> on biodiversity/nature through a dialog between the </w:t>
            </w:r>
            <w:r w:rsidR="00A46B27" w:rsidRPr="007C4D65">
              <w:rPr>
                <w:rFonts w:asciiTheme="minorHAnsi" w:hAnsiTheme="minorHAnsi" w:cstheme="minorHAnsi"/>
                <w:sz w:val="18"/>
              </w:rPr>
              <w:t>scientific</w:t>
            </w:r>
            <w:r w:rsidRPr="007C4D65">
              <w:rPr>
                <w:rFonts w:asciiTheme="minorHAnsi" w:hAnsiTheme="minorHAnsi" w:cstheme="minorHAnsi"/>
                <w:sz w:val="18"/>
              </w:rPr>
              <w:t xml:space="preserve"> community and decision makers</w:t>
            </w:r>
          </w:p>
          <w:p w14:paraId="65B73721"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3.9</w:t>
            </w:r>
            <w:r w:rsidRPr="007C4D65">
              <w:rPr>
                <w:rFonts w:asciiTheme="minorHAnsi" w:hAnsiTheme="minorHAnsi" w:cstheme="minorHAnsi"/>
                <w:sz w:val="18"/>
              </w:rPr>
              <w:t xml:space="preserve"> Raising ecological awareness on biodiversity, nature conservation and ecosystem services</w:t>
            </w:r>
          </w:p>
          <w:p w14:paraId="40CACCBF" w14:textId="43E60353" w:rsidR="007F63C5" w:rsidRPr="007C4D65" w:rsidRDefault="007F63C5" w:rsidP="0068355A">
            <w:pPr>
              <w:spacing w:before="240" w:after="240" w:line="276" w:lineRule="auto"/>
              <w:rPr>
                <w:rFonts w:asciiTheme="minorHAnsi" w:hAnsiTheme="minorHAnsi" w:cstheme="minorHAnsi"/>
                <w:sz w:val="18"/>
                <w:szCs w:val="18"/>
              </w:rPr>
            </w:pPr>
            <w:r w:rsidRPr="007C4D65">
              <w:rPr>
                <w:rFonts w:asciiTheme="minorHAnsi" w:hAnsiTheme="minorHAnsi" w:cstheme="minorHAnsi"/>
                <w:b/>
                <w:sz w:val="18"/>
              </w:rPr>
              <w:t>Priority 3.10</w:t>
            </w:r>
            <w:r w:rsidRPr="007C4D65">
              <w:rPr>
                <w:rFonts w:asciiTheme="minorHAnsi" w:hAnsiTheme="minorHAnsi" w:cstheme="minorHAnsi"/>
                <w:sz w:val="18"/>
              </w:rPr>
              <w:t xml:space="preserve"> Mobilise both local and international funds for biodiversity </w:t>
            </w:r>
            <w:r w:rsidR="00457FD7" w:rsidRPr="007C4D65">
              <w:rPr>
                <w:rFonts w:asciiTheme="minorHAnsi" w:hAnsiTheme="minorHAnsi" w:cstheme="minorHAnsi"/>
                <w:sz w:val="18"/>
              </w:rPr>
              <w:t>of the Federation</w:t>
            </w:r>
            <w:r w:rsidR="007436F1" w:rsidRPr="007C4D65">
              <w:rPr>
                <w:rFonts w:asciiTheme="minorHAnsi" w:hAnsiTheme="minorHAnsi" w:cstheme="minorHAnsi"/>
                <w:sz w:val="18"/>
              </w:rPr>
              <w:t xml:space="preserve"> of</w:t>
            </w:r>
            <w:r w:rsidR="00457FD7" w:rsidRPr="007C4D65">
              <w:rPr>
                <w:rFonts w:asciiTheme="minorHAnsi" w:hAnsiTheme="minorHAnsi" w:cstheme="minorHAnsi"/>
                <w:sz w:val="18"/>
              </w:rPr>
              <w:t xml:space="preserve"> BiH</w:t>
            </w:r>
          </w:p>
        </w:tc>
      </w:tr>
      <w:tr w:rsidR="007F63C5" w:rsidRPr="007C4D65" w14:paraId="18574B6F" w14:textId="77777777" w:rsidTr="00076544">
        <w:trPr>
          <w:trHeight w:val="896"/>
        </w:trPr>
        <w:tc>
          <w:tcPr>
            <w:tcW w:w="1116" w:type="pct"/>
          </w:tcPr>
          <w:p w14:paraId="6DBBDAB0" w14:textId="28F401B4" w:rsidR="007F63C5" w:rsidRPr="007C4D65" w:rsidRDefault="007F63C5" w:rsidP="0068355A">
            <w:pPr>
              <w:spacing w:before="240" w:line="276" w:lineRule="auto"/>
              <w:rPr>
                <w:rFonts w:asciiTheme="minorHAnsi" w:hAnsiTheme="minorHAnsi" w:cstheme="minorHAnsi"/>
                <w:b/>
                <w:sz w:val="18"/>
                <w:szCs w:val="18"/>
              </w:rPr>
            </w:pPr>
            <w:r w:rsidRPr="007C4D65">
              <w:rPr>
                <w:rFonts w:asciiTheme="minorHAnsi" w:hAnsiTheme="minorHAnsi" w:cstheme="minorHAnsi"/>
                <w:b/>
                <w:sz w:val="18"/>
              </w:rPr>
              <w:lastRenderedPageBreak/>
              <w:t xml:space="preserve">Strategic goal 4: </w:t>
            </w:r>
            <w:r w:rsidR="00E55311" w:rsidRPr="007C4D65">
              <w:rPr>
                <w:rFonts w:asciiTheme="minorHAnsi" w:hAnsiTheme="minorHAnsi" w:cstheme="minorHAnsi"/>
                <w:b/>
                <w:sz w:val="18"/>
              </w:rPr>
              <w:t>Enhancing</w:t>
            </w:r>
            <w:r w:rsidRPr="007C4D65">
              <w:rPr>
                <w:rFonts w:asciiTheme="minorHAnsi" w:hAnsiTheme="minorHAnsi" w:cstheme="minorHAnsi"/>
                <w:b/>
                <w:sz w:val="18"/>
              </w:rPr>
              <w:t xml:space="preserve"> climate change mitigation and adaptation and improving air quality</w:t>
            </w:r>
          </w:p>
        </w:tc>
        <w:tc>
          <w:tcPr>
            <w:tcW w:w="3884" w:type="pct"/>
          </w:tcPr>
          <w:p w14:paraId="5AC17DC2"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4.1</w:t>
            </w:r>
            <w:r w:rsidRPr="007C4D65">
              <w:rPr>
                <w:rFonts w:asciiTheme="minorHAnsi" w:hAnsiTheme="minorHAnsi" w:cstheme="minorHAnsi"/>
                <w:sz w:val="18"/>
              </w:rPr>
              <w:t xml:space="preserve"> Reducing air pollution by reducing pollutants to levels that are safe for human health</w:t>
            </w:r>
          </w:p>
          <w:p w14:paraId="4C026400" w14:textId="1192A11B"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4.2</w:t>
            </w:r>
            <w:r w:rsidRPr="007C4D65">
              <w:rPr>
                <w:rFonts w:asciiTheme="minorHAnsi" w:hAnsiTheme="minorHAnsi" w:cstheme="minorHAnsi"/>
                <w:sz w:val="18"/>
              </w:rPr>
              <w:t xml:space="preserve"> </w:t>
            </w:r>
            <w:bookmarkStart w:id="40" w:name="_Hlk116025848"/>
            <w:r w:rsidRPr="007C4D65">
              <w:rPr>
                <w:rFonts w:asciiTheme="minorHAnsi" w:hAnsiTheme="minorHAnsi" w:cstheme="minorHAnsi"/>
                <w:sz w:val="18"/>
              </w:rPr>
              <w:t xml:space="preserve">Upgrading the air quality management system to support </w:t>
            </w:r>
            <w:r w:rsidR="009F16BA" w:rsidRPr="007C4D65">
              <w:rPr>
                <w:rFonts w:asciiTheme="minorHAnsi" w:hAnsiTheme="minorHAnsi" w:cstheme="minorHAnsi"/>
                <w:sz w:val="18"/>
              </w:rPr>
              <w:t xml:space="preserve">strategic decision-making  </w:t>
            </w:r>
            <w:r w:rsidRPr="007C4D65">
              <w:rPr>
                <w:rFonts w:asciiTheme="minorHAnsi" w:hAnsiTheme="minorHAnsi" w:cstheme="minorHAnsi"/>
                <w:sz w:val="18"/>
              </w:rPr>
              <w:t xml:space="preserve"> and public information on </w:t>
            </w:r>
            <w:r w:rsidR="005A6B91" w:rsidRPr="007C4D65">
              <w:rPr>
                <w:rFonts w:asciiTheme="minorHAnsi" w:hAnsiTheme="minorHAnsi" w:cstheme="minorHAnsi"/>
                <w:sz w:val="18"/>
              </w:rPr>
              <w:t xml:space="preserve">the </w:t>
            </w:r>
            <w:r w:rsidRPr="007C4D65">
              <w:rPr>
                <w:rFonts w:asciiTheme="minorHAnsi" w:hAnsiTheme="minorHAnsi" w:cstheme="minorHAnsi"/>
                <w:sz w:val="18"/>
              </w:rPr>
              <w:t>air quality</w:t>
            </w:r>
            <w:bookmarkEnd w:id="40"/>
          </w:p>
          <w:p w14:paraId="647AD8DE" w14:textId="57DEB92E" w:rsidR="00131E81" w:rsidRPr="007C4D65" w:rsidRDefault="007F63C5" w:rsidP="0068355A">
            <w:pPr>
              <w:spacing w:before="240" w:line="276" w:lineRule="auto"/>
              <w:rPr>
                <w:rFonts w:asciiTheme="minorHAnsi" w:hAnsiTheme="minorHAnsi" w:cstheme="minorHAnsi"/>
                <w:b/>
                <w:sz w:val="18"/>
              </w:rPr>
            </w:pPr>
            <w:r w:rsidRPr="007C4D65">
              <w:rPr>
                <w:rFonts w:asciiTheme="minorHAnsi" w:hAnsiTheme="minorHAnsi" w:cstheme="minorHAnsi"/>
                <w:b/>
                <w:sz w:val="18"/>
              </w:rPr>
              <w:t>Priority 4.3</w:t>
            </w:r>
            <w:r w:rsidRPr="007C4D65">
              <w:rPr>
                <w:rFonts w:asciiTheme="minorHAnsi" w:hAnsiTheme="minorHAnsi" w:cstheme="minorHAnsi"/>
                <w:sz w:val="18"/>
              </w:rPr>
              <w:t xml:space="preserve"> </w:t>
            </w:r>
            <w:r w:rsidR="00131E81" w:rsidRPr="007C4D65">
              <w:rPr>
                <w:rFonts w:asciiTheme="minorHAnsi" w:hAnsiTheme="minorHAnsi" w:cstheme="minorHAnsi"/>
                <w:sz w:val="18"/>
              </w:rPr>
              <w:t>Reduce the impact of the Federation of BiH on climate changes through reduced GHG emissions and enhanced carbon sinks</w:t>
            </w:r>
          </w:p>
          <w:p w14:paraId="66FE690A" w14:textId="374B72AB"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4.4</w:t>
            </w:r>
            <w:r w:rsidRPr="007C4D65">
              <w:rPr>
                <w:rFonts w:asciiTheme="minorHAnsi" w:hAnsiTheme="minorHAnsi" w:cstheme="minorHAnsi"/>
                <w:sz w:val="18"/>
              </w:rPr>
              <w:t xml:space="preserve"> Enhancing resilience to climate change</w:t>
            </w:r>
          </w:p>
          <w:p w14:paraId="491095ED" w14:textId="0A338CA0"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4.5</w:t>
            </w:r>
            <w:r w:rsidRPr="007C4D65">
              <w:rPr>
                <w:rFonts w:asciiTheme="minorHAnsi" w:hAnsiTheme="minorHAnsi" w:cstheme="minorHAnsi"/>
                <w:sz w:val="18"/>
              </w:rPr>
              <w:t xml:space="preserve"> Improving </w:t>
            </w:r>
            <w:r w:rsidR="009477FB" w:rsidRPr="007C4D65">
              <w:rPr>
                <w:rFonts w:asciiTheme="minorHAnsi" w:hAnsiTheme="minorHAnsi" w:cstheme="minorHAnsi"/>
                <w:sz w:val="18"/>
              </w:rPr>
              <w:t>energy efficiency of final consumption</w:t>
            </w:r>
            <w:r w:rsidRPr="007C4D65">
              <w:rPr>
                <w:rFonts w:asciiTheme="minorHAnsi" w:hAnsiTheme="minorHAnsi" w:cstheme="minorHAnsi"/>
                <w:sz w:val="18"/>
              </w:rPr>
              <w:t xml:space="preserve"> in all sectors</w:t>
            </w:r>
          </w:p>
          <w:p w14:paraId="1C547127" w14:textId="756B9962"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4.6</w:t>
            </w:r>
            <w:r w:rsidRPr="007C4D65">
              <w:rPr>
                <w:rFonts w:asciiTheme="minorHAnsi" w:hAnsiTheme="minorHAnsi" w:cstheme="minorHAnsi"/>
                <w:sz w:val="18"/>
              </w:rPr>
              <w:t xml:space="preserve"> Increasing the share of renewable energy along with an incentive scheme reform (focusing on citizens energy)</w:t>
            </w:r>
          </w:p>
          <w:p w14:paraId="6E85A6A7" w14:textId="77777777" w:rsidR="007F63C5" w:rsidRPr="007C4D65" w:rsidRDefault="007F63C5" w:rsidP="0068355A">
            <w:pPr>
              <w:spacing w:before="240" w:after="240" w:line="276" w:lineRule="auto"/>
              <w:rPr>
                <w:rFonts w:asciiTheme="minorHAnsi" w:hAnsiTheme="minorHAnsi" w:cstheme="minorHAnsi"/>
                <w:sz w:val="18"/>
                <w:szCs w:val="18"/>
              </w:rPr>
            </w:pPr>
            <w:r w:rsidRPr="007C4D65">
              <w:rPr>
                <w:rFonts w:asciiTheme="minorHAnsi" w:hAnsiTheme="minorHAnsi" w:cstheme="minorHAnsi"/>
                <w:b/>
                <w:sz w:val="18"/>
              </w:rPr>
              <w:t>Priority 4.7</w:t>
            </w:r>
            <w:r w:rsidRPr="007C4D65">
              <w:rPr>
                <w:rFonts w:asciiTheme="minorHAnsi" w:hAnsiTheme="minorHAnsi" w:cstheme="minorHAnsi"/>
                <w:sz w:val="18"/>
              </w:rPr>
              <w:t xml:space="preserve"> Reducing light pollution</w:t>
            </w:r>
          </w:p>
        </w:tc>
      </w:tr>
      <w:tr w:rsidR="007F63C5" w:rsidRPr="007C4D65" w14:paraId="65BD7116" w14:textId="77777777" w:rsidTr="00076544">
        <w:trPr>
          <w:trHeight w:val="896"/>
        </w:trPr>
        <w:tc>
          <w:tcPr>
            <w:tcW w:w="1116" w:type="pct"/>
          </w:tcPr>
          <w:p w14:paraId="67F5910D" w14:textId="77777777" w:rsidR="007F63C5" w:rsidRPr="007C4D65" w:rsidRDefault="007F63C5" w:rsidP="0068355A">
            <w:pPr>
              <w:spacing w:before="240" w:line="276" w:lineRule="auto"/>
              <w:rPr>
                <w:rFonts w:asciiTheme="minorHAnsi" w:hAnsiTheme="minorHAnsi" w:cstheme="minorHAnsi"/>
                <w:b/>
                <w:sz w:val="18"/>
                <w:szCs w:val="18"/>
              </w:rPr>
            </w:pPr>
            <w:r w:rsidRPr="007C4D65">
              <w:rPr>
                <w:rFonts w:asciiTheme="minorHAnsi" w:hAnsiTheme="minorHAnsi" w:cstheme="minorHAnsi"/>
                <w:b/>
                <w:sz w:val="18"/>
              </w:rPr>
              <w:t>Strategic goal 5: Human health protection and improving well-being and quality of life for all</w:t>
            </w:r>
          </w:p>
        </w:tc>
        <w:tc>
          <w:tcPr>
            <w:tcW w:w="3884" w:type="pct"/>
          </w:tcPr>
          <w:p w14:paraId="52CA949C"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5.1</w:t>
            </w:r>
            <w:r w:rsidRPr="007C4D65">
              <w:rPr>
                <w:rFonts w:asciiTheme="minorHAnsi" w:hAnsiTheme="minorHAnsi" w:cstheme="minorHAnsi"/>
                <w:sz w:val="18"/>
              </w:rPr>
              <w:t xml:space="preserve"> Improved legislation in the field of chemical safety</w:t>
            </w:r>
          </w:p>
          <w:p w14:paraId="40B40C4C" w14:textId="5ECB3BA2"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5.2</w:t>
            </w:r>
            <w:r w:rsidRPr="007C4D65">
              <w:rPr>
                <w:rFonts w:asciiTheme="minorHAnsi" w:hAnsiTheme="minorHAnsi" w:cstheme="minorHAnsi"/>
                <w:sz w:val="18"/>
              </w:rPr>
              <w:t xml:space="preserve"> Establish a sustainable system of chemical management and implementation of EU acquis </w:t>
            </w:r>
            <w:proofErr w:type="gramStart"/>
            <w:r w:rsidRPr="007C4D65">
              <w:rPr>
                <w:rFonts w:asciiTheme="minorHAnsi" w:hAnsiTheme="minorHAnsi" w:cstheme="minorHAnsi"/>
                <w:sz w:val="18"/>
              </w:rPr>
              <w:t>in the area of</w:t>
            </w:r>
            <w:proofErr w:type="gramEnd"/>
            <w:r w:rsidRPr="007C4D65">
              <w:rPr>
                <w:rFonts w:asciiTheme="minorHAnsi" w:hAnsiTheme="minorHAnsi" w:cstheme="minorHAnsi"/>
                <w:sz w:val="18"/>
              </w:rPr>
              <w:t xml:space="preserve"> chemical safety</w:t>
            </w:r>
          </w:p>
          <w:p w14:paraId="5648A177"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5.3</w:t>
            </w:r>
            <w:r w:rsidRPr="007C4D65">
              <w:rPr>
                <w:rFonts w:asciiTheme="minorHAnsi" w:hAnsiTheme="minorHAnsi" w:cstheme="minorHAnsi"/>
                <w:sz w:val="18"/>
              </w:rPr>
              <w:t xml:space="preserve"> Efficient operation of institutions of the Federation of BiH in the field of chemical safety</w:t>
            </w:r>
          </w:p>
          <w:p w14:paraId="3B67349D"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5.4</w:t>
            </w:r>
            <w:r w:rsidRPr="007C4D65">
              <w:rPr>
                <w:rFonts w:asciiTheme="minorHAnsi" w:hAnsiTheme="minorHAnsi" w:cstheme="minorHAnsi"/>
                <w:sz w:val="18"/>
              </w:rPr>
              <w:t xml:space="preserve"> </w:t>
            </w:r>
            <w:bookmarkStart w:id="41" w:name="_Hlk117185831"/>
            <w:r w:rsidRPr="007C4D65">
              <w:rPr>
                <w:rFonts w:asciiTheme="minorHAnsi" w:hAnsiTheme="minorHAnsi" w:cstheme="minorHAnsi"/>
                <w:sz w:val="18"/>
              </w:rPr>
              <w:t xml:space="preserve">Reduced incidence of diseases or deaths due to poisoning </w:t>
            </w:r>
            <w:proofErr w:type="gramStart"/>
            <w:r w:rsidRPr="007C4D65">
              <w:rPr>
                <w:rFonts w:asciiTheme="minorHAnsi" w:hAnsiTheme="minorHAnsi" w:cstheme="minorHAnsi"/>
                <w:sz w:val="18"/>
              </w:rPr>
              <w:t>as a consequence of</w:t>
            </w:r>
            <w:proofErr w:type="gramEnd"/>
            <w:r w:rsidRPr="007C4D65">
              <w:rPr>
                <w:rFonts w:asciiTheme="minorHAnsi" w:hAnsiTheme="minorHAnsi" w:cstheme="minorHAnsi"/>
                <w:sz w:val="18"/>
              </w:rPr>
              <w:t xml:space="preserve"> inadequate handling of chemical products</w:t>
            </w:r>
            <w:bookmarkEnd w:id="41"/>
          </w:p>
          <w:p w14:paraId="69E3A19B" w14:textId="77777777" w:rsidR="00C749AE" w:rsidRPr="007C4D65" w:rsidRDefault="007F63C5" w:rsidP="0068355A">
            <w:pPr>
              <w:spacing w:before="240" w:line="276" w:lineRule="auto"/>
              <w:rPr>
                <w:rFonts w:asciiTheme="minorHAnsi" w:hAnsiTheme="minorHAnsi" w:cstheme="minorHAnsi"/>
                <w:b/>
                <w:sz w:val="18"/>
              </w:rPr>
            </w:pPr>
            <w:r w:rsidRPr="007C4D65">
              <w:rPr>
                <w:rFonts w:asciiTheme="minorHAnsi" w:hAnsiTheme="minorHAnsi" w:cstheme="minorHAnsi"/>
                <w:b/>
                <w:sz w:val="18"/>
              </w:rPr>
              <w:t>Priority 5.5</w:t>
            </w:r>
            <w:r w:rsidRPr="007C4D65">
              <w:rPr>
                <w:rFonts w:asciiTheme="minorHAnsi" w:hAnsiTheme="minorHAnsi" w:cstheme="minorHAnsi"/>
                <w:sz w:val="18"/>
              </w:rPr>
              <w:t xml:space="preserve"> </w:t>
            </w:r>
            <w:r w:rsidR="00C749AE" w:rsidRPr="007C4D65">
              <w:rPr>
                <w:rFonts w:asciiTheme="minorHAnsi" w:hAnsiTheme="minorHAnsi" w:cstheme="minorHAnsi"/>
                <w:sz w:val="18"/>
              </w:rPr>
              <w:t xml:space="preserve">Establish a legislative framework and clear institutional competences to transpose EU acquis on environmental noise in legislation of the Federation of BiH </w:t>
            </w:r>
          </w:p>
          <w:p w14:paraId="7C28988A" w14:textId="323D0488"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5.6</w:t>
            </w:r>
            <w:r w:rsidRPr="007C4D65">
              <w:rPr>
                <w:rFonts w:asciiTheme="minorHAnsi" w:hAnsiTheme="minorHAnsi" w:cstheme="minorHAnsi"/>
                <w:sz w:val="18"/>
              </w:rPr>
              <w:t xml:space="preserve"> Enhance strategic planning and monitoring of environmental noise</w:t>
            </w:r>
          </w:p>
          <w:p w14:paraId="3C70DF12"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5.7</w:t>
            </w:r>
            <w:r w:rsidRPr="007C4D65">
              <w:rPr>
                <w:rFonts w:asciiTheme="minorHAnsi" w:hAnsiTheme="minorHAnsi" w:cstheme="minorHAnsi"/>
                <w:sz w:val="18"/>
              </w:rPr>
              <w:t xml:space="preserve"> Efficient operation of institutions </w:t>
            </w:r>
            <w:proofErr w:type="gramStart"/>
            <w:r w:rsidRPr="007C4D65">
              <w:rPr>
                <w:rFonts w:asciiTheme="minorHAnsi" w:hAnsiTheme="minorHAnsi" w:cstheme="minorHAnsi"/>
                <w:sz w:val="18"/>
              </w:rPr>
              <w:t>in the area of</w:t>
            </w:r>
            <w:proofErr w:type="gramEnd"/>
            <w:r w:rsidRPr="007C4D65">
              <w:rPr>
                <w:rFonts w:asciiTheme="minorHAnsi" w:hAnsiTheme="minorHAnsi" w:cstheme="minorHAnsi"/>
                <w:sz w:val="18"/>
              </w:rPr>
              <w:t xml:space="preserve"> environmental noise</w:t>
            </w:r>
          </w:p>
          <w:p w14:paraId="512A7AFF" w14:textId="4DB3C2E3" w:rsidR="007F63C5" w:rsidRPr="007C4D65" w:rsidRDefault="007F63C5" w:rsidP="0068355A">
            <w:pPr>
              <w:spacing w:before="240" w:after="240" w:line="276" w:lineRule="auto"/>
              <w:rPr>
                <w:rFonts w:asciiTheme="minorHAnsi" w:hAnsiTheme="minorHAnsi" w:cstheme="minorHAnsi"/>
                <w:sz w:val="18"/>
                <w:szCs w:val="18"/>
              </w:rPr>
            </w:pPr>
            <w:r w:rsidRPr="007C4D65">
              <w:rPr>
                <w:rFonts w:asciiTheme="minorHAnsi" w:hAnsiTheme="minorHAnsi" w:cstheme="minorHAnsi"/>
                <w:b/>
                <w:sz w:val="18"/>
              </w:rPr>
              <w:t>Priority 5.8</w:t>
            </w:r>
            <w:r w:rsidRPr="007C4D65">
              <w:rPr>
                <w:rFonts w:asciiTheme="minorHAnsi" w:hAnsiTheme="minorHAnsi" w:cstheme="minorHAnsi"/>
                <w:sz w:val="18"/>
              </w:rPr>
              <w:t xml:space="preserve"> </w:t>
            </w:r>
            <w:r w:rsidR="00467B07" w:rsidRPr="007C4D65">
              <w:rPr>
                <w:rFonts w:asciiTheme="minorHAnsi" w:hAnsiTheme="minorHAnsi" w:cstheme="minorHAnsi"/>
                <w:sz w:val="18"/>
              </w:rPr>
              <w:t>Reduce the risk to human health from environmental noise</w:t>
            </w:r>
          </w:p>
        </w:tc>
      </w:tr>
      <w:tr w:rsidR="007F63C5" w:rsidRPr="007C4D65" w14:paraId="17D07F4B" w14:textId="77777777" w:rsidTr="00076544">
        <w:trPr>
          <w:trHeight w:val="550"/>
        </w:trPr>
        <w:tc>
          <w:tcPr>
            <w:tcW w:w="1116" w:type="pct"/>
          </w:tcPr>
          <w:p w14:paraId="2FA83AC6" w14:textId="3D3FEA68" w:rsidR="007F63C5" w:rsidRPr="007C4D65" w:rsidRDefault="007F63C5" w:rsidP="0068355A">
            <w:pPr>
              <w:spacing w:before="240" w:line="276" w:lineRule="auto"/>
              <w:rPr>
                <w:rFonts w:asciiTheme="minorHAnsi" w:hAnsiTheme="minorHAnsi" w:cstheme="minorHAnsi"/>
                <w:b/>
                <w:sz w:val="18"/>
                <w:szCs w:val="18"/>
              </w:rPr>
            </w:pPr>
            <w:r w:rsidRPr="007C4D65">
              <w:rPr>
                <w:rFonts w:asciiTheme="minorHAnsi" w:hAnsiTheme="minorHAnsi" w:cstheme="minorHAnsi"/>
                <w:b/>
                <w:sz w:val="18"/>
              </w:rPr>
              <w:lastRenderedPageBreak/>
              <w:t>Strategic goal 6: Ensuring sustainable use of natural resources</w:t>
            </w:r>
          </w:p>
        </w:tc>
        <w:tc>
          <w:tcPr>
            <w:tcW w:w="3884" w:type="pct"/>
          </w:tcPr>
          <w:p w14:paraId="63E39957" w14:textId="194B2492"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6.1</w:t>
            </w:r>
            <w:r w:rsidRPr="007C4D65">
              <w:rPr>
                <w:rFonts w:asciiTheme="minorHAnsi" w:hAnsiTheme="minorHAnsi" w:cstheme="minorHAnsi"/>
                <w:sz w:val="18"/>
              </w:rPr>
              <w:t xml:space="preserve"> </w:t>
            </w:r>
            <w:bookmarkStart w:id="42" w:name="_Hlk116925217"/>
            <w:r w:rsidRPr="007C4D65">
              <w:rPr>
                <w:rFonts w:asciiTheme="minorHAnsi" w:hAnsiTheme="minorHAnsi" w:cstheme="minorHAnsi"/>
                <w:sz w:val="18"/>
              </w:rPr>
              <w:t xml:space="preserve">Establish an effective legal, strategic and institutional framework for sustainable forest and forest resources management in the Federation of BiH, appropriate valuation of forest resources, </w:t>
            </w:r>
            <w:r w:rsidR="00DF4EC7" w:rsidRPr="007C4D65">
              <w:rPr>
                <w:rFonts w:asciiTheme="minorHAnsi" w:hAnsiTheme="minorHAnsi" w:cstheme="minorHAnsi"/>
                <w:sz w:val="18"/>
              </w:rPr>
              <w:t xml:space="preserve">and ensure integration </w:t>
            </w:r>
            <w:r w:rsidRPr="007C4D65">
              <w:rPr>
                <w:rFonts w:asciiTheme="minorHAnsi" w:hAnsiTheme="minorHAnsi" w:cstheme="minorHAnsi"/>
                <w:sz w:val="18"/>
              </w:rPr>
              <w:t>of gender and climate change issues</w:t>
            </w:r>
            <w:bookmarkEnd w:id="42"/>
          </w:p>
          <w:p w14:paraId="2D7E8F86"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6.2</w:t>
            </w:r>
            <w:r w:rsidRPr="007C4D65">
              <w:rPr>
                <w:rFonts w:asciiTheme="minorHAnsi" w:hAnsiTheme="minorHAnsi" w:cstheme="minorHAnsi"/>
                <w:sz w:val="18"/>
              </w:rPr>
              <w:t xml:space="preserve"> Enhance legal, strategic and institutional frameworks for sustainable management of hunting game</w:t>
            </w:r>
          </w:p>
          <w:p w14:paraId="6B54D740"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6.3</w:t>
            </w:r>
            <w:r w:rsidRPr="007C4D65">
              <w:rPr>
                <w:rFonts w:asciiTheme="minorHAnsi" w:hAnsiTheme="minorHAnsi" w:cstheme="minorHAnsi"/>
                <w:sz w:val="18"/>
              </w:rPr>
              <w:t xml:space="preserve"> Enhance legal, strategic and institutional frameworks for sustainable management of fish stock</w:t>
            </w:r>
          </w:p>
          <w:p w14:paraId="30D2AEB5"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6.4</w:t>
            </w:r>
            <w:r w:rsidRPr="007C4D65">
              <w:rPr>
                <w:rFonts w:asciiTheme="minorHAnsi" w:hAnsiTheme="minorHAnsi" w:cstheme="minorHAnsi"/>
                <w:sz w:val="18"/>
              </w:rPr>
              <w:t xml:space="preserve"> Establish integrated and sustainable management of land resources</w:t>
            </w:r>
          </w:p>
          <w:p w14:paraId="1D85245B" w14:textId="77777777" w:rsidR="007F63C5" w:rsidRPr="007C4D65" w:rsidRDefault="007F63C5" w:rsidP="0068355A">
            <w:pPr>
              <w:spacing w:before="240" w:after="240" w:line="276" w:lineRule="auto"/>
              <w:rPr>
                <w:rFonts w:asciiTheme="minorHAnsi" w:hAnsiTheme="minorHAnsi" w:cstheme="minorHAnsi"/>
                <w:sz w:val="18"/>
                <w:szCs w:val="18"/>
              </w:rPr>
            </w:pPr>
            <w:r w:rsidRPr="007C4D65">
              <w:rPr>
                <w:rFonts w:asciiTheme="minorHAnsi" w:hAnsiTheme="minorHAnsi" w:cstheme="minorHAnsi"/>
                <w:b/>
                <w:sz w:val="18"/>
              </w:rPr>
              <w:t>Priority 6.5</w:t>
            </w:r>
            <w:r w:rsidRPr="007C4D65">
              <w:rPr>
                <w:rFonts w:asciiTheme="minorHAnsi" w:hAnsiTheme="minorHAnsi" w:cstheme="minorHAnsi"/>
                <w:sz w:val="18"/>
              </w:rPr>
              <w:t xml:space="preserve"> Establish a system of sustainable and responsible research, exploitation and management of mineral resources</w:t>
            </w:r>
          </w:p>
        </w:tc>
      </w:tr>
      <w:tr w:rsidR="007F63C5" w:rsidRPr="007C4D65" w14:paraId="382CF483" w14:textId="77777777" w:rsidTr="00076544">
        <w:trPr>
          <w:trHeight w:val="896"/>
        </w:trPr>
        <w:tc>
          <w:tcPr>
            <w:tcW w:w="1116" w:type="pct"/>
          </w:tcPr>
          <w:p w14:paraId="34B0179E" w14:textId="77777777" w:rsidR="007F63C5" w:rsidRPr="007C4D65" w:rsidRDefault="007F63C5" w:rsidP="0068355A">
            <w:pPr>
              <w:spacing w:before="240" w:line="276" w:lineRule="auto"/>
              <w:rPr>
                <w:rFonts w:asciiTheme="minorHAnsi" w:hAnsiTheme="minorHAnsi" w:cstheme="minorHAnsi"/>
                <w:b/>
                <w:sz w:val="18"/>
                <w:szCs w:val="18"/>
              </w:rPr>
            </w:pPr>
            <w:r w:rsidRPr="007C4D65">
              <w:rPr>
                <w:rFonts w:asciiTheme="minorHAnsi" w:hAnsiTheme="minorHAnsi" w:cstheme="minorHAnsi"/>
                <w:b/>
                <w:sz w:val="18"/>
              </w:rPr>
              <w:t>Strategic goal 7: Strengthening environmental management</w:t>
            </w:r>
          </w:p>
        </w:tc>
        <w:tc>
          <w:tcPr>
            <w:tcW w:w="3884" w:type="pct"/>
          </w:tcPr>
          <w:p w14:paraId="6286EB27" w14:textId="39C5AE88"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7.1</w:t>
            </w:r>
            <w:r w:rsidRPr="007C4D65">
              <w:rPr>
                <w:rFonts w:asciiTheme="minorHAnsi" w:hAnsiTheme="minorHAnsi" w:cstheme="minorHAnsi"/>
                <w:sz w:val="18"/>
              </w:rPr>
              <w:t xml:space="preserve"> </w:t>
            </w:r>
            <w:r w:rsidR="005A2219" w:rsidRPr="007C4D65">
              <w:rPr>
                <w:rFonts w:asciiTheme="minorHAnsi" w:hAnsiTheme="minorHAnsi" w:cstheme="minorHAnsi"/>
                <w:sz w:val="18"/>
              </w:rPr>
              <w:t>Improving the legal framework and sectoral policies for planning, management and protection of the environment in the Federation of BiH with the view of fully aligning the legislation with the EU environmental acquis and international agreements</w:t>
            </w:r>
          </w:p>
          <w:p w14:paraId="6CF82071"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7.2</w:t>
            </w:r>
            <w:r w:rsidRPr="007C4D65">
              <w:rPr>
                <w:rFonts w:asciiTheme="minorHAnsi" w:hAnsiTheme="minorHAnsi" w:cstheme="minorHAnsi"/>
                <w:sz w:val="18"/>
              </w:rPr>
              <w:t xml:space="preserve"> Ensuring efficient implementation of the applicable legislation and international commitments</w:t>
            </w:r>
          </w:p>
          <w:p w14:paraId="060170C3" w14:textId="1E17E085"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7.3</w:t>
            </w:r>
            <w:r w:rsidRPr="007C4D65">
              <w:rPr>
                <w:rFonts w:asciiTheme="minorHAnsi" w:hAnsiTheme="minorHAnsi" w:cstheme="minorHAnsi"/>
                <w:sz w:val="18"/>
              </w:rPr>
              <w:t xml:space="preserve"> </w:t>
            </w:r>
            <w:r w:rsidR="00864E60" w:rsidRPr="007C4D65">
              <w:rPr>
                <w:rFonts w:asciiTheme="minorHAnsi" w:hAnsiTheme="minorHAnsi" w:cstheme="minorHAnsi"/>
                <w:sz w:val="18"/>
              </w:rPr>
              <w:t xml:space="preserve">Maximise the </w:t>
            </w:r>
            <w:proofErr w:type="gramStart"/>
            <w:r w:rsidR="00864E60" w:rsidRPr="007C4D65">
              <w:rPr>
                <w:rFonts w:asciiTheme="minorHAnsi" w:hAnsiTheme="minorHAnsi" w:cstheme="minorHAnsi"/>
                <w:sz w:val="18"/>
              </w:rPr>
              <w:t>capacity  of</w:t>
            </w:r>
            <w:proofErr w:type="gramEnd"/>
            <w:r w:rsidR="00864E60" w:rsidRPr="007C4D65">
              <w:rPr>
                <w:rFonts w:asciiTheme="minorHAnsi" w:hAnsiTheme="minorHAnsi" w:cstheme="minorHAnsi"/>
                <w:sz w:val="18"/>
              </w:rPr>
              <w:t xml:space="preserve"> institutions and their coordination</w:t>
            </w:r>
          </w:p>
          <w:p w14:paraId="004F96ED" w14:textId="41B0BDC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7.4</w:t>
            </w:r>
            <w:r w:rsidRPr="007C4D65">
              <w:rPr>
                <w:rFonts w:asciiTheme="minorHAnsi" w:hAnsiTheme="minorHAnsi" w:cstheme="minorHAnsi"/>
                <w:sz w:val="18"/>
              </w:rPr>
              <w:t xml:space="preserve"> </w:t>
            </w:r>
            <w:r w:rsidR="00A901FB" w:rsidRPr="007C4D65">
              <w:rPr>
                <w:rFonts w:asciiTheme="minorHAnsi" w:hAnsiTheme="minorHAnsi" w:cstheme="minorHAnsi"/>
                <w:sz w:val="18"/>
              </w:rPr>
              <w:t xml:space="preserve">Ensuring strong public awareness on the importance of the environmental protection and their engagement in </w:t>
            </w:r>
            <w:r w:rsidR="009F16BA" w:rsidRPr="007C4D65">
              <w:rPr>
                <w:rFonts w:asciiTheme="minorHAnsi" w:hAnsiTheme="minorHAnsi" w:cstheme="minorHAnsi"/>
                <w:sz w:val="18"/>
              </w:rPr>
              <w:t xml:space="preserve">decision-making  </w:t>
            </w:r>
            <w:r w:rsidR="00A901FB" w:rsidRPr="007C4D65">
              <w:rPr>
                <w:rFonts w:asciiTheme="minorHAnsi" w:hAnsiTheme="minorHAnsi" w:cstheme="minorHAnsi"/>
                <w:sz w:val="18"/>
              </w:rPr>
              <w:t xml:space="preserve"> processes, focusing on women, youth and socially vulnerable groups</w:t>
            </w:r>
          </w:p>
          <w:p w14:paraId="085DAA6A" w14:textId="2AD6C381"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7.5</w:t>
            </w:r>
            <w:r w:rsidRPr="007C4D65">
              <w:rPr>
                <w:rFonts w:asciiTheme="minorHAnsi" w:hAnsiTheme="minorHAnsi" w:cstheme="minorHAnsi"/>
                <w:sz w:val="18"/>
              </w:rPr>
              <w:t xml:space="preserve"> Set up an efficient system for record keeping and transparent reporting of environmental data in the Federation of BiH</w:t>
            </w:r>
            <w:r w:rsidR="00A901FB" w:rsidRPr="007C4D65">
              <w:rPr>
                <w:rFonts w:asciiTheme="minorHAnsi" w:hAnsiTheme="minorHAnsi" w:cstheme="minorHAnsi"/>
                <w:sz w:val="18"/>
              </w:rPr>
              <w:t>,</w:t>
            </w:r>
            <w:r w:rsidRPr="007C4D65">
              <w:rPr>
                <w:rFonts w:asciiTheme="minorHAnsi" w:hAnsiTheme="minorHAnsi" w:cstheme="minorHAnsi"/>
                <w:sz w:val="18"/>
              </w:rPr>
              <w:t xml:space="preserve"> in consultation with the Partnership 27</w:t>
            </w:r>
          </w:p>
          <w:p w14:paraId="0C5F4D59" w14:textId="77777777"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7.6</w:t>
            </w:r>
            <w:r w:rsidRPr="007C4D65">
              <w:rPr>
                <w:rFonts w:asciiTheme="minorHAnsi" w:hAnsiTheme="minorHAnsi" w:cstheme="minorHAnsi"/>
                <w:sz w:val="18"/>
              </w:rPr>
              <w:t xml:space="preserve"> Ensure the highest level possible of cross-sectoral and inter-sectoral synergy action and integration of public environmental policies</w:t>
            </w:r>
          </w:p>
          <w:p w14:paraId="3F2710F6" w14:textId="166449F3" w:rsidR="007F63C5" w:rsidRPr="007C4D65" w:rsidRDefault="007F63C5"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Priority 7.7</w:t>
            </w:r>
            <w:r w:rsidRPr="007C4D65">
              <w:rPr>
                <w:rFonts w:asciiTheme="minorHAnsi" w:hAnsiTheme="minorHAnsi" w:cstheme="minorHAnsi"/>
                <w:sz w:val="18"/>
              </w:rPr>
              <w:t xml:space="preserve"> Ensuring financial sustainability of the environment sector in the Federation of BiH</w:t>
            </w:r>
          </w:p>
          <w:p w14:paraId="58C27C72" w14:textId="77777777" w:rsidR="007F63C5" w:rsidRPr="007C4D65" w:rsidRDefault="007F63C5" w:rsidP="0068355A">
            <w:pPr>
              <w:spacing w:before="240" w:after="240" w:line="276" w:lineRule="auto"/>
              <w:rPr>
                <w:rFonts w:asciiTheme="minorHAnsi" w:hAnsiTheme="minorHAnsi" w:cstheme="minorHAnsi"/>
                <w:sz w:val="18"/>
                <w:szCs w:val="18"/>
              </w:rPr>
            </w:pPr>
            <w:r w:rsidRPr="007C4D65">
              <w:rPr>
                <w:rFonts w:asciiTheme="minorHAnsi" w:hAnsiTheme="minorHAnsi" w:cstheme="minorHAnsi"/>
                <w:b/>
                <w:sz w:val="18"/>
              </w:rPr>
              <w:t>Priority 7.8</w:t>
            </w:r>
            <w:r w:rsidRPr="007C4D65">
              <w:rPr>
                <w:rFonts w:asciiTheme="minorHAnsi" w:hAnsiTheme="minorHAnsi" w:cstheme="minorHAnsi"/>
                <w:sz w:val="18"/>
              </w:rPr>
              <w:t xml:space="preserve"> Putting in place a system of strategic decision-making, investments and monitoring of effects in environmental education, research and innovation</w:t>
            </w:r>
          </w:p>
        </w:tc>
      </w:tr>
      <w:bookmarkEnd w:id="36"/>
    </w:tbl>
    <w:p w14:paraId="2FAD09ED" w14:textId="77777777" w:rsidR="002C0058" w:rsidRPr="007C4D65" w:rsidRDefault="002C0058" w:rsidP="0068355A">
      <w:pPr>
        <w:spacing w:line="276" w:lineRule="auto"/>
        <w:rPr>
          <w:rFonts w:asciiTheme="minorHAnsi" w:hAnsiTheme="minorHAnsi" w:cstheme="minorHAnsi"/>
        </w:rPr>
        <w:sectPr w:rsidR="002C0058" w:rsidRPr="007C4D65" w:rsidSect="00331251">
          <w:pgSz w:w="16838" w:h="11906" w:orient="landscape"/>
          <w:pgMar w:top="1440" w:right="1440" w:bottom="1440" w:left="1440" w:header="709" w:footer="709" w:gutter="0"/>
          <w:cols w:space="708"/>
          <w:docGrid w:linePitch="360"/>
        </w:sectPr>
      </w:pPr>
    </w:p>
    <w:p w14:paraId="1C6295C0" w14:textId="77777777" w:rsidR="007F63C5" w:rsidRPr="007C4D65" w:rsidRDefault="00527285">
      <w:pPr>
        <w:pStyle w:val="Head1"/>
        <w:spacing w:after="240" w:line="276" w:lineRule="auto"/>
        <w:rPr>
          <w:rFonts w:asciiTheme="minorHAnsi" w:hAnsiTheme="minorHAnsi" w:cstheme="minorHAnsi"/>
        </w:rPr>
      </w:pPr>
      <w:bookmarkStart w:id="43" w:name="_Toc117445329"/>
      <w:r w:rsidRPr="007C4D65">
        <w:rPr>
          <w:rFonts w:asciiTheme="minorHAnsi" w:hAnsiTheme="minorHAnsi" w:cstheme="minorHAnsi"/>
        </w:rPr>
        <w:lastRenderedPageBreak/>
        <w:t>WATER MANAGEMENT</w:t>
      </w:r>
      <w:bookmarkEnd w:id="43"/>
    </w:p>
    <w:p w14:paraId="0D17B9A0" w14:textId="5BFAAE9D" w:rsidR="003B1D0B" w:rsidRPr="007C4D65" w:rsidRDefault="007642B8">
      <w:pPr>
        <w:pStyle w:val="Head2"/>
        <w:spacing w:line="276" w:lineRule="auto"/>
        <w:rPr>
          <w:rFonts w:asciiTheme="minorHAnsi" w:hAnsiTheme="minorHAnsi"/>
        </w:rPr>
      </w:pPr>
      <w:bookmarkStart w:id="44" w:name="_Toc117445330"/>
      <w:r w:rsidRPr="007C4D65">
        <w:rPr>
          <w:rFonts w:asciiTheme="minorHAnsi" w:hAnsiTheme="minorHAnsi"/>
        </w:rPr>
        <w:t>Situation analysis</w:t>
      </w:r>
      <w:bookmarkEnd w:id="44"/>
    </w:p>
    <w:p w14:paraId="2E3DA26D" w14:textId="622ACACF" w:rsidR="008F71EF" w:rsidRPr="007C4D65" w:rsidRDefault="008F71EF" w:rsidP="008F71EF">
      <w:pPr>
        <w:spacing w:before="240" w:after="12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Water Management section, as one of seven thematic areas of the Strategy, provides an overview of the </w:t>
      </w:r>
      <w:r w:rsidRPr="007C4D65">
        <w:rPr>
          <w:rFonts w:asciiTheme="minorHAnsi" w:hAnsiTheme="minorHAnsi" w:cstheme="minorHAnsi"/>
          <w:b/>
          <w:sz w:val="22"/>
          <w:szCs w:val="22"/>
        </w:rPr>
        <w:t xml:space="preserve">baseline status and key challenges </w:t>
      </w:r>
      <w:r w:rsidRPr="007C4D65">
        <w:rPr>
          <w:rFonts w:asciiTheme="minorHAnsi" w:hAnsiTheme="minorHAnsi" w:cstheme="minorHAnsi"/>
          <w:sz w:val="22"/>
          <w:szCs w:val="22"/>
        </w:rPr>
        <w:t xml:space="preserve">addressing: a) legal and institutional framework of the water sector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b) availability and status of water resources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c) hydro-morphological pressures and their impact on the status of water bodies; d) hydrological monitoring of waters; e) monitoring and evaluation of the status of surface water bodies (WB); f) monitoring and evaluation of status of ground water bodies; g) characteristics of water services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h) establishment of a sustainable flood risk management system; </w:t>
      </w:r>
      <w:proofErr w:type="spellStart"/>
      <w:r w:rsidRPr="007C4D65">
        <w:rPr>
          <w:rFonts w:asciiTheme="minorHAnsi" w:hAnsiTheme="minorHAnsi" w:cstheme="minorHAnsi"/>
          <w:sz w:val="22"/>
          <w:szCs w:val="22"/>
        </w:rPr>
        <w:t>i</w:t>
      </w:r>
      <w:proofErr w:type="spellEnd"/>
      <w:r w:rsidRPr="007C4D65">
        <w:rPr>
          <w:rFonts w:asciiTheme="minorHAnsi" w:hAnsiTheme="minorHAnsi" w:cstheme="minorHAnsi"/>
          <w:sz w:val="22"/>
          <w:szCs w:val="22"/>
        </w:rPr>
        <w:t>) transposition of EU water legislation into BiH legislation.</w:t>
      </w:r>
    </w:p>
    <w:p w14:paraId="0D8D077E" w14:textId="1297EC2F" w:rsidR="008F71EF" w:rsidRPr="007C4D65" w:rsidRDefault="008F71EF" w:rsidP="008F71EF">
      <w:pPr>
        <w:spacing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 xml:space="preserve">Legal and institutional framework in </w:t>
      </w:r>
      <w:r w:rsidR="00710F07" w:rsidRPr="007C4D65">
        <w:rPr>
          <w:rFonts w:asciiTheme="minorHAnsi" w:hAnsiTheme="minorHAnsi" w:cstheme="minorHAnsi"/>
          <w:i/>
          <w:sz w:val="22"/>
          <w:szCs w:val="22"/>
          <w:u w:val="single"/>
        </w:rPr>
        <w:t xml:space="preserve">the </w:t>
      </w:r>
      <w:r w:rsidRPr="007C4D65">
        <w:rPr>
          <w:rFonts w:asciiTheme="minorHAnsi" w:hAnsiTheme="minorHAnsi" w:cstheme="minorHAnsi"/>
          <w:i/>
          <w:sz w:val="22"/>
          <w:szCs w:val="22"/>
          <w:u w:val="single"/>
        </w:rPr>
        <w:t xml:space="preserve">water sector </w:t>
      </w:r>
      <w:r w:rsidR="007436F1" w:rsidRPr="007C4D65">
        <w:rPr>
          <w:rFonts w:asciiTheme="minorHAnsi" w:hAnsiTheme="minorHAnsi" w:cstheme="minorHAnsi"/>
          <w:i/>
          <w:sz w:val="22"/>
          <w:szCs w:val="22"/>
          <w:u w:val="single"/>
        </w:rPr>
        <w:t>in the Federation of BiH</w:t>
      </w:r>
    </w:p>
    <w:p w14:paraId="766522B8" w14:textId="3BCF41A8"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Water management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is based on the Law on Waters (</w:t>
      </w:r>
      <w:proofErr w:type="spellStart"/>
      <w:r w:rsidRPr="007C4D65">
        <w:rPr>
          <w:rFonts w:asciiTheme="minorHAnsi" w:hAnsiTheme="minorHAnsi" w:cstheme="minorHAnsi"/>
          <w:sz w:val="22"/>
          <w:szCs w:val="22"/>
        </w:rPr>
        <w:t>LoW</w:t>
      </w:r>
      <w:proofErr w:type="spellEnd"/>
      <w:r w:rsidRPr="007C4D65">
        <w:rPr>
          <w:rFonts w:asciiTheme="minorHAnsi" w:hAnsiTheme="minorHAnsi" w:cstheme="minorHAnsi"/>
          <w:sz w:val="22"/>
          <w:szCs w:val="22"/>
        </w:rPr>
        <w:t xml:space="preserve">)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w:t>
      </w:r>
      <w:r w:rsidR="007436F1" w:rsidRPr="007C4D65">
        <w:rPr>
          <w:rFonts w:asciiTheme="minorHAnsi" w:hAnsiTheme="minorHAnsi" w:cstheme="minorHAnsi"/>
          <w:sz w:val="22"/>
          <w:szCs w:val="22"/>
        </w:rPr>
        <w:t xml:space="preserve">„Official Gazette of the Federation of </w:t>
      </w:r>
      <w:proofErr w:type="gramStart"/>
      <w:r w:rsidR="007436F1" w:rsidRPr="007C4D65">
        <w:rPr>
          <w:rFonts w:asciiTheme="minorHAnsi" w:hAnsiTheme="minorHAnsi" w:cstheme="minorHAnsi"/>
          <w:sz w:val="22"/>
          <w:szCs w:val="22"/>
        </w:rPr>
        <w:t>BiH“</w:t>
      </w:r>
      <w:proofErr w:type="gramEnd"/>
      <w:r w:rsidR="007F4BA8" w:rsidRPr="007C4D65">
        <w:rPr>
          <w:rFonts w:asciiTheme="minorHAnsi" w:hAnsiTheme="minorHAnsi" w:cstheme="minorHAnsi"/>
          <w:sz w:val="22"/>
          <w:szCs w:val="22"/>
        </w:rPr>
        <w:t>,</w:t>
      </w:r>
      <w:r w:rsidRPr="007C4D65">
        <w:rPr>
          <w:rFonts w:asciiTheme="minorHAnsi" w:hAnsiTheme="minorHAnsi" w:cstheme="minorHAnsi"/>
          <w:sz w:val="22"/>
          <w:szCs w:val="22"/>
        </w:rPr>
        <w:t xml:space="preserve"> 70/06) that was adopted and entered force in 2006. Its entry into force established a framework for water management in accordance with the EU requirements, and the principles primarily established in the FWD, as well as other </w:t>
      </w:r>
      <w:r w:rsidR="001E4D90" w:rsidRPr="007C4D65">
        <w:rPr>
          <w:rFonts w:asciiTheme="minorHAnsi" w:hAnsiTheme="minorHAnsi" w:cstheme="minorHAnsi"/>
          <w:sz w:val="22"/>
          <w:szCs w:val="22"/>
        </w:rPr>
        <w:t>EU regulations</w:t>
      </w:r>
      <w:r w:rsidRPr="007C4D65">
        <w:rPr>
          <w:rFonts w:asciiTheme="minorHAnsi" w:hAnsiTheme="minorHAnsi" w:cstheme="minorHAnsi"/>
          <w:sz w:val="22"/>
          <w:szCs w:val="22"/>
        </w:rPr>
        <w:t xml:space="preserve">. Pursuant to Art. 224 of </w:t>
      </w:r>
      <w:proofErr w:type="spellStart"/>
      <w:r w:rsidRPr="007C4D65">
        <w:rPr>
          <w:rFonts w:asciiTheme="minorHAnsi" w:hAnsiTheme="minorHAnsi" w:cstheme="minorHAnsi"/>
          <w:sz w:val="22"/>
          <w:szCs w:val="22"/>
        </w:rPr>
        <w:t>LoW</w:t>
      </w:r>
      <w:proofErr w:type="spellEnd"/>
      <w:r w:rsidRPr="007C4D65">
        <w:rPr>
          <w:rFonts w:asciiTheme="minorHAnsi" w:hAnsiTheme="minorHAnsi" w:cstheme="minorHAnsi"/>
          <w:sz w:val="22"/>
          <w:szCs w:val="22"/>
        </w:rPr>
        <w:t xml:space="preserve">, implementation of the </w:t>
      </w:r>
      <w:proofErr w:type="spellStart"/>
      <w:r w:rsidRPr="007C4D65">
        <w:rPr>
          <w:rFonts w:asciiTheme="minorHAnsi" w:hAnsiTheme="minorHAnsi" w:cstheme="minorHAnsi"/>
          <w:sz w:val="22"/>
          <w:szCs w:val="22"/>
        </w:rPr>
        <w:t>LoW</w:t>
      </w:r>
      <w:proofErr w:type="spellEnd"/>
      <w:r w:rsidRPr="007C4D65">
        <w:rPr>
          <w:rFonts w:asciiTheme="minorHAnsi" w:hAnsiTheme="minorHAnsi" w:cstheme="minorHAnsi"/>
          <w:sz w:val="22"/>
          <w:szCs w:val="22"/>
        </w:rPr>
        <w:t xml:space="preserve"> started on the day when the Agency for Waters started its work (1 January 2008).</w:t>
      </w:r>
    </w:p>
    <w:p w14:paraId="20F1E4A8" w14:textId="2D26F1E4"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Cantons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develop their own laws on waters that need to be harmonized with the Federation Law on Waters, as well as secondary legislation.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over 20 pieces of legislation have been developed and are in force (regulations, decisions, rulebooks, etc.) that are serving to transpose the EU water directives (</w:t>
      </w:r>
      <w:r w:rsidRPr="007C4D65">
        <w:rPr>
          <w:rFonts w:asciiTheme="minorHAnsi" w:hAnsiTheme="minorHAnsi" w:cstheme="minorHAnsi"/>
          <w:b/>
          <w:i/>
          <w:sz w:val="22"/>
          <w:szCs w:val="22"/>
        </w:rPr>
        <w:t>Table 4</w:t>
      </w:r>
      <w:r w:rsidRPr="007C4D65">
        <w:rPr>
          <w:rFonts w:asciiTheme="minorHAnsi" w:hAnsiTheme="minorHAnsi" w:cstheme="minorHAnsi"/>
          <w:sz w:val="22"/>
          <w:szCs w:val="22"/>
        </w:rPr>
        <w:t xml:space="preserve">), as well as a significant number of other </w:t>
      </w:r>
      <w:proofErr w:type="gramStart"/>
      <w:r w:rsidRPr="007C4D65">
        <w:rPr>
          <w:rFonts w:asciiTheme="minorHAnsi" w:hAnsiTheme="minorHAnsi" w:cstheme="minorHAnsi"/>
          <w:sz w:val="22"/>
          <w:szCs w:val="22"/>
        </w:rPr>
        <w:t>legislation</w:t>
      </w:r>
      <w:proofErr w:type="gramEnd"/>
      <w:r w:rsidRPr="007C4D65">
        <w:rPr>
          <w:rFonts w:asciiTheme="minorHAnsi" w:hAnsiTheme="minorHAnsi" w:cstheme="minorHAnsi"/>
          <w:sz w:val="22"/>
          <w:szCs w:val="22"/>
        </w:rPr>
        <w:t xml:space="preserve"> of relevance for water sector. </w:t>
      </w:r>
    </w:p>
    <w:p w14:paraId="7ADDC596" w14:textId="192A1393"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w:t>
      </w:r>
      <w:r w:rsidR="001E6E20" w:rsidRPr="007C4D65">
        <w:rPr>
          <w:rFonts w:asciiTheme="minorHAnsi" w:hAnsiTheme="minorHAnsi" w:cstheme="minorHAnsi"/>
          <w:sz w:val="22"/>
          <w:szCs w:val="22"/>
        </w:rPr>
        <w:t>Federation Ministry</w:t>
      </w:r>
      <w:r w:rsidRPr="007C4D65">
        <w:rPr>
          <w:rFonts w:asciiTheme="minorHAnsi" w:hAnsiTheme="minorHAnsi" w:cstheme="minorHAnsi"/>
          <w:sz w:val="22"/>
          <w:szCs w:val="22"/>
        </w:rPr>
        <w:t xml:space="preserve"> of Agriculture, Water Management and Forestry (</w:t>
      </w:r>
      <w:r w:rsidR="00A46B27" w:rsidRPr="007C4D65">
        <w:rPr>
          <w:rFonts w:asciiTheme="minorHAnsi" w:hAnsiTheme="minorHAnsi" w:cstheme="minorHAnsi"/>
          <w:sz w:val="22"/>
          <w:szCs w:val="22"/>
        </w:rPr>
        <w:t>FMAWMF</w:t>
      </w:r>
      <w:r w:rsidRPr="007C4D65">
        <w:rPr>
          <w:rFonts w:asciiTheme="minorHAnsi" w:hAnsiTheme="minorHAnsi" w:cstheme="minorHAnsi"/>
          <w:sz w:val="22"/>
          <w:szCs w:val="22"/>
        </w:rPr>
        <w:t xml:space="preserve">) carries out administrative, technical and other tasks that fall within the competences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w:t>
      </w:r>
      <w:proofErr w:type="gramStart"/>
      <w:r w:rsidRPr="007C4D65">
        <w:rPr>
          <w:rFonts w:asciiTheme="minorHAnsi" w:hAnsiTheme="minorHAnsi" w:cstheme="minorHAnsi"/>
          <w:sz w:val="22"/>
          <w:szCs w:val="22"/>
        </w:rPr>
        <w:t>in the area of</w:t>
      </w:r>
      <w:proofErr w:type="gramEnd"/>
      <w:r w:rsidRPr="007C4D65">
        <w:rPr>
          <w:rFonts w:asciiTheme="minorHAnsi" w:hAnsiTheme="minorHAnsi" w:cstheme="minorHAnsi"/>
          <w:sz w:val="22"/>
          <w:szCs w:val="22"/>
        </w:rPr>
        <w:t xml:space="preserve"> agriculture, water management and forestry. Within the Ministry, the tasks related to water management are responsibility of the “Water Sector”. Activities of the Ministry pertain </w:t>
      </w:r>
      <w:proofErr w:type="gramStart"/>
      <w:r w:rsidRPr="007C4D65">
        <w:rPr>
          <w:rFonts w:asciiTheme="minorHAnsi" w:hAnsiTheme="minorHAnsi" w:cstheme="minorHAnsi"/>
          <w:sz w:val="22"/>
          <w:szCs w:val="22"/>
        </w:rPr>
        <w:t>to:</w:t>
      </w:r>
      <w:proofErr w:type="gramEnd"/>
      <w:r w:rsidRPr="007C4D65">
        <w:rPr>
          <w:rFonts w:asciiTheme="minorHAnsi" w:hAnsiTheme="minorHAnsi" w:cstheme="minorHAnsi"/>
          <w:sz w:val="22"/>
          <w:szCs w:val="22"/>
        </w:rPr>
        <w:t xml:space="preserve"> water resources, development plans, water balance, use of waters, protection of water, protection against water, and other tasks as stipulated in the Law on Ministries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w:t>
      </w:r>
    </w:p>
    <w:p w14:paraId="28F2136A" w14:textId="6DC92C6B"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According to the Law on Waters, the main unit for water management is </w:t>
      </w:r>
      <w:r w:rsidR="00540A81" w:rsidRPr="007C4D65">
        <w:rPr>
          <w:rFonts w:asciiTheme="minorHAnsi" w:hAnsiTheme="minorHAnsi" w:cstheme="minorHAnsi"/>
          <w:sz w:val="22"/>
          <w:szCs w:val="22"/>
        </w:rPr>
        <w:t>river basin</w:t>
      </w:r>
      <w:r w:rsidRPr="007C4D65">
        <w:rPr>
          <w:rFonts w:asciiTheme="minorHAnsi" w:hAnsiTheme="minorHAnsi" w:cstheme="minorHAnsi"/>
          <w:sz w:val="22"/>
          <w:szCs w:val="22"/>
        </w:rPr>
        <w:t xml:space="preserve"> (district). Organizationally, for the purpose of implementing tasks of water management, and in accordance with the Law on Water, Agencies have been established for two river </w:t>
      </w:r>
      <w:r w:rsidR="00540A81" w:rsidRPr="007C4D65">
        <w:rPr>
          <w:rFonts w:asciiTheme="minorHAnsi" w:hAnsiTheme="minorHAnsi" w:cstheme="minorHAnsi"/>
          <w:sz w:val="22"/>
          <w:szCs w:val="22"/>
        </w:rPr>
        <w:t>basins</w:t>
      </w:r>
      <w:r w:rsidRPr="007C4D65">
        <w:rPr>
          <w:rFonts w:asciiTheme="minorHAnsi" w:hAnsiTheme="minorHAnsi" w:cstheme="minorHAnsi"/>
          <w:sz w:val="22"/>
          <w:szCs w:val="22"/>
        </w:rPr>
        <w:t xml:space="preserve">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Sava River Basin Agency (SRBA) and Adriatic Sea Watershed Agency (ASWA), with seats in Sarajevo and Mostar, respectively. The Law provides for establishment of regional offices too to enable more effective performance of tasks and promotion of principle of being closer to water users. The Sava River Basin Agency presently has three regional offices: in </w:t>
      </w:r>
      <w:proofErr w:type="spellStart"/>
      <w:r w:rsidRPr="007C4D65">
        <w:rPr>
          <w:rFonts w:asciiTheme="minorHAnsi" w:hAnsiTheme="minorHAnsi" w:cstheme="minorHAnsi"/>
          <w:sz w:val="22"/>
          <w:szCs w:val="22"/>
        </w:rPr>
        <w:t>Zenica</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Jajce</w:t>
      </w:r>
      <w:proofErr w:type="spellEnd"/>
      <w:r w:rsidRPr="007C4D65">
        <w:rPr>
          <w:rFonts w:asciiTheme="minorHAnsi" w:hAnsiTheme="minorHAnsi" w:cstheme="minorHAnsi"/>
          <w:sz w:val="22"/>
          <w:szCs w:val="22"/>
        </w:rPr>
        <w:t xml:space="preserve"> and </w:t>
      </w:r>
      <w:r w:rsidR="00A46B27" w:rsidRPr="007C4D65">
        <w:rPr>
          <w:rFonts w:asciiTheme="minorHAnsi" w:hAnsiTheme="minorHAnsi" w:cstheme="minorHAnsi"/>
          <w:sz w:val="22"/>
          <w:szCs w:val="22"/>
        </w:rPr>
        <w:t>Bihac</w:t>
      </w:r>
      <w:r w:rsidRPr="007C4D65">
        <w:rPr>
          <w:rFonts w:asciiTheme="minorHAnsi" w:hAnsiTheme="minorHAnsi" w:cstheme="minorHAnsi"/>
          <w:sz w:val="22"/>
          <w:szCs w:val="22"/>
        </w:rPr>
        <w:t xml:space="preserve">, while the </w:t>
      </w:r>
      <w:r w:rsidR="000F35FA" w:rsidRPr="007C4D65">
        <w:rPr>
          <w:rFonts w:asciiTheme="minorHAnsi" w:hAnsiTheme="minorHAnsi" w:cstheme="minorHAnsi"/>
          <w:sz w:val="22"/>
          <w:szCs w:val="22"/>
        </w:rPr>
        <w:t>Adriatic Sea Watershed Agency</w:t>
      </w:r>
      <w:r w:rsidRPr="007C4D65">
        <w:rPr>
          <w:rFonts w:asciiTheme="minorHAnsi" w:hAnsiTheme="minorHAnsi" w:cstheme="minorHAnsi"/>
          <w:sz w:val="22"/>
          <w:szCs w:val="22"/>
        </w:rPr>
        <w:t xml:space="preserve"> has two regional offices: in </w:t>
      </w:r>
      <w:proofErr w:type="spellStart"/>
      <w:r w:rsidRPr="007C4D65">
        <w:rPr>
          <w:rFonts w:asciiTheme="minorHAnsi" w:hAnsiTheme="minorHAnsi" w:cstheme="minorHAnsi"/>
          <w:sz w:val="22"/>
          <w:szCs w:val="22"/>
        </w:rPr>
        <w:t>Livno</w:t>
      </w:r>
      <w:proofErr w:type="spellEnd"/>
      <w:r w:rsidRPr="007C4D65">
        <w:rPr>
          <w:rFonts w:asciiTheme="minorHAnsi" w:hAnsiTheme="minorHAnsi" w:cstheme="minorHAnsi"/>
          <w:sz w:val="22"/>
          <w:szCs w:val="22"/>
        </w:rPr>
        <w:t xml:space="preserve"> and in Konjic.</w:t>
      </w:r>
    </w:p>
    <w:p w14:paraId="69DF902A" w14:textId="77777777" w:rsidR="008F71EF" w:rsidRPr="007C4D65" w:rsidRDefault="008F71EF" w:rsidP="008F71EF">
      <w:pPr>
        <w:spacing w:after="240" w:line="276" w:lineRule="auto"/>
        <w:jc w:val="both"/>
        <w:rPr>
          <w:rFonts w:asciiTheme="minorHAnsi" w:hAnsiTheme="minorHAnsi" w:cstheme="minorHAnsi"/>
          <w:color w:val="FF0000"/>
          <w:sz w:val="22"/>
          <w:szCs w:val="22"/>
        </w:rPr>
      </w:pPr>
    </w:p>
    <w:p w14:paraId="40AA801D" w14:textId="747BDD2E"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lastRenderedPageBreak/>
        <w:t xml:space="preserve">Due to the nature of their work and their competences, the following technical institutions are also important for water sector: Federation Hydro-Meteorological Institute; Federation Institute for Statistics; </w:t>
      </w:r>
      <w:r w:rsidR="000F35FA" w:rsidRPr="007C4D65">
        <w:rPr>
          <w:rFonts w:asciiTheme="minorHAnsi" w:hAnsiTheme="minorHAnsi" w:cstheme="minorHAnsi"/>
          <w:sz w:val="22"/>
          <w:szCs w:val="22"/>
        </w:rPr>
        <w:t xml:space="preserve">Federation </w:t>
      </w:r>
      <w:r w:rsidRPr="007C4D65">
        <w:rPr>
          <w:rFonts w:asciiTheme="minorHAnsi" w:hAnsiTheme="minorHAnsi" w:cstheme="minorHAnsi"/>
          <w:sz w:val="22"/>
          <w:szCs w:val="22"/>
        </w:rPr>
        <w:t>Institute for Public Healt</w:t>
      </w:r>
      <w:r w:rsidR="000F35FA" w:rsidRPr="007C4D65">
        <w:rPr>
          <w:rFonts w:asciiTheme="minorHAnsi" w:hAnsiTheme="minorHAnsi" w:cstheme="minorHAnsi"/>
          <w:sz w:val="22"/>
          <w:szCs w:val="22"/>
        </w:rPr>
        <w:t>h</w:t>
      </w:r>
      <w:r w:rsidRPr="007C4D65">
        <w:rPr>
          <w:rFonts w:asciiTheme="minorHAnsi" w:hAnsiTheme="minorHAnsi" w:cstheme="minorHAnsi"/>
          <w:sz w:val="22"/>
          <w:szCs w:val="22"/>
        </w:rPr>
        <w:t xml:space="preserve">, </w:t>
      </w:r>
      <w:r w:rsidR="000F35FA" w:rsidRPr="007C4D65">
        <w:rPr>
          <w:rFonts w:asciiTheme="minorHAnsi" w:hAnsiTheme="minorHAnsi" w:cstheme="minorHAnsi"/>
          <w:sz w:val="22"/>
          <w:szCs w:val="22"/>
        </w:rPr>
        <w:t xml:space="preserve">Federation </w:t>
      </w:r>
      <w:r w:rsidRPr="007C4D65">
        <w:rPr>
          <w:rFonts w:asciiTheme="minorHAnsi" w:hAnsiTheme="minorHAnsi" w:cstheme="minorHAnsi"/>
          <w:sz w:val="22"/>
          <w:szCs w:val="22"/>
        </w:rPr>
        <w:t>Environment Protection Fund; Federation Administration for Inspection; Federation Administration for Civil Defence; etc.)</w:t>
      </w:r>
    </w:p>
    <w:p w14:paraId="68019EBE"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In the cantons, the competent cantonal ministries are responsible for water management. The competence for water management typically lies with the cantonal ministries of agriculture, water management and forestry, while in a few cases, it is with ministries of economy. General competences of cantonal ministries for water sector include: (</w:t>
      </w:r>
      <w:proofErr w:type="spellStart"/>
      <w:r w:rsidRPr="007C4D65">
        <w:rPr>
          <w:rFonts w:asciiTheme="minorHAnsi" w:hAnsiTheme="minorHAnsi" w:cstheme="minorHAnsi"/>
          <w:sz w:val="22"/>
          <w:szCs w:val="22"/>
        </w:rPr>
        <w:t>i</w:t>
      </w:r>
      <w:proofErr w:type="spellEnd"/>
      <w:r w:rsidRPr="007C4D65">
        <w:rPr>
          <w:rFonts w:asciiTheme="minorHAnsi" w:hAnsiTheme="minorHAnsi" w:cstheme="minorHAnsi"/>
          <w:sz w:val="22"/>
          <w:szCs w:val="22"/>
        </w:rPr>
        <w:t>) protection of waters, protection against waters, and establishing the regime; (ii) protection against floods, erosions and torrents; (iii) water supply to population and use of water for commercial purposes; (iv) draining water from agricultural areas; and (v) planning development of water sector.</w:t>
      </w:r>
    </w:p>
    <w:p w14:paraId="2133C06F"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In the cantons, there are technical institutions, such as: cantonal institutes for public health; cantonal administrations for inspection; cantonal administrations for civil defence; etc.</w:t>
      </w:r>
    </w:p>
    <w:p w14:paraId="596A1AE5" w14:textId="6409B1AC"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competences for water services sector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is with the local government units – LGU (municipalities and cities) and Public Utility (Water) Companies in the LGUs or cantons.</w:t>
      </w:r>
    </w:p>
    <w:p w14:paraId="5696A259" w14:textId="7A1B4D6D" w:rsidR="008F71EF" w:rsidRPr="007C4D65" w:rsidRDefault="008F71EF" w:rsidP="008F71EF">
      <w:pPr>
        <w:spacing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 xml:space="preserve">Availability and status of water resources </w:t>
      </w:r>
      <w:r w:rsidR="007436F1" w:rsidRPr="007C4D65">
        <w:rPr>
          <w:rFonts w:asciiTheme="minorHAnsi" w:hAnsiTheme="minorHAnsi" w:cstheme="minorHAnsi"/>
          <w:i/>
          <w:sz w:val="22"/>
          <w:szCs w:val="22"/>
          <w:u w:val="single"/>
        </w:rPr>
        <w:t>in the Federation of BiH</w:t>
      </w:r>
    </w:p>
    <w:p w14:paraId="6BDF2465" w14:textId="35FBDE4A" w:rsidR="008F71EF" w:rsidRPr="007C4D65" w:rsidRDefault="008F71EF" w:rsidP="008F71EF">
      <w:pPr>
        <w:spacing w:after="240" w:line="276" w:lineRule="auto"/>
        <w:jc w:val="both"/>
        <w:rPr>
          <w:rFonts w:asciiTheme="minorHAnsi" w:hAnsiTheme="minorHAnsi" w:cstheme="minorHAnsi"/>
          <w:b/>
          <w:sz w:val="22"/>
          <w:szCs w:val="22"/>
          <w:u w:val="single"/>
        </w:rPr>
      </w:pPr>
      <w:r w:rsidRPr="007C4D65">
        <w:rPr>
          <w:rFonts w:asciiTheme="minorHAnsi" w:hAnsiTheme="minorHAnsi" w:cstheme="minorHAnsi"/>
          <w:sz w:val="22"/>
          <w:szCs w:val="22"/>
        </w:rPr>
        <w:t>Within BiH, which has the area of 51,209.2 km</w:t>
      </w:r>
      <w:r w:rsidRPr="007C4D65">
        <w:rPr>
          <w:rFonts w:asciiTheme="minorHAnsi" w:hAnsiTheme="minorHAnsi" w:cstheme="minorHAnsi"/>
          <w:sz w:val="22"/>
          <w:szCs w:val="22"/>
          <w:vertAlign w:val="superscript"/>
        </w:rPr>
        <w:t>2</w:t>
      </w:r>
      <w:r w:rsidRPr="007C4D65">
        <w:rPr>
          <w:rFonts w:asciiTheme="minorHAnsi" w:hAnsiTheme="minorHAnsi" w:cstheme="minorHAnsi"/>
          <w:sz w:val="22"/>
          <w:szCs w:val="22"/>
        </w:rPr>
        <w:t>, there are two water basins: the Black Sea basin, that covers approximately 38,719 km</w:t>
      </w:r>
      <w:r w:rsidRPr="007C4D65">
        <w:rPr>
          <w:rFonts w:asciiTheme="minorHAnsi" w:hAnsiTheme="minorHAnsi" w:cstheme="minorHAnsi"/>
          <w:sz w:val="22"/>
          <w:szCs w:val="22"/>
          <w:vertAlign w:val="superscript"/>
        </w:rPr>
        <w:t>2</w:t>
      </w:r>
      <w:r w:rsidRPr="007C4D65">
        <w:rPr>
          <w:rFonts w:asciiTheme="minorHAnsi" w:hAnsiTheme="minorHAnsi" w:cstheme="minorHAnsi"/>
          <w:sz w:val="22"/>
          <w:szCs w:val="22"/>
        </w:rPr>
        <w:t>,</w:t>
      </w:r>
      <w:r w:rsidRPr="007C4D65">
        <w:rPr>
          <w:rFonts w:asciiTheme="minorHAnsi" w:hAnsiTheme="minorHAnsi" w:cstheme="minorHAnsi"/>
          <w:sz w:val="22"/>
          <w:szCs w:val="22"/>
          <w:vertAlign w:val="superscript"/>
        </w:rPr>
        <w:t xml:space="preserve"> </w:t>
      </w:r>
      <w:r w:rsidRPr="007C4D65">
        <w:rPr>
          <w:rFonts w:asciiTheme="minorHAnsi" w:hAnsiTheme="minorHAnsi" w:cstheme="minorHAnsi"/>
          <w:sz w:val="22"/>
          <w:szCs w:val="22"/>
        </w:rPr>
        <w:t>and the Adriatic Sea basin, that covers approximately 12,410 km</w:t>
      </w:r>
      <w:r w:rsidRPr="007C4D65">
        <w:rPr>
          <w:rFonts w:asciiTheme="minorHAnsi" w:hAnsiTheme="minorHAnsi" w:cstheme="minorHAnsi"/>
          <w:sz w:val="22"/>
          <w:szCs w:val="22"/>
          <w:vertAlign w:val="superscript"/>
        </w:rPr>
        <w:t>2</w:t>
      </w:r>
      <w:bookmarkStart w:id="45" w:name="_Hlk65850204"/>
      <w:r w:rsidRPr="007C4D65">
        <w:rPr>
          <w:rFonts w:asciiTheme="minorHAnsi" w:hAnsiTheme="minorHAnsi" w:cstheme="minorHAnsi"/>
          <w:sz w:val="22"/>
          <w:szCs w:val="22"/>
          <w:vertAlign w:val="superscript"/>
        </w:rPr>
        <w:t xml:space="preserve"> </w:t>
      </w:r>
      <w:r w:rsidRPr="007C4D65">
        <w:rPr>
          <w:rFonts w:asciiTheme="minorHAnsi" w:hAnsiTheme="minorHAnsi" w:cstheme="minorHAnsi"/>
          <w:sz w:val="22"/>
          <w:szCs w:val="22"/>
          <w:vertAlign w:val="superscript"/>
        </w:rPr>
        <w:fldChar w:fldCharType="begin"/>
      </w:r>
      <w:r w:rsidRPr="007C4D65">
        <w:rPr>
          <w:rFonts w:asciiTheme="minorHAnsi" w:hAnsiTheme="minorHAnsi" w:cstheme="minorHAnsi"/>
          <w:sz w:val="22"/>
          <w:szCs w:val="22"/>
          <w:vertAlign w:val="superscript"/>
        </w:rPr>
        <w:instrText xml:space="preserve"> ADDIN ZOTERO_ITEM CSL_CITATION {"citationID":"Zp1xy75B","properties":{"formattedCitation":"(Federalno ministarstvo poljoprivrede, vodoprivrede i \\uc0\\u353{}umarstva 2012)","plainCitation":"(Federalno ministarstvo poljoprivrede, vodoprivrede i šumarstva 2012)","noteIndex":0},"citationItems":[{"id":1320,"uris":["http://zotero.org/users/7192877/items/BJJTAC8E"],"itemData":{"id":1320,"type":"report","title":"Strategija upravljanja vodama 2010-2022.","URL":"https://fmpvs.gov.ba/wp-content/uploads/2018/01/Strategija-upravljanja-vodama-FBiH-2010-2022.pdf","author":[{"family":"Federalno ministarstvo poljoprivrede, vodoprivrede i šumarstva","given":""}],"issued":{"date-parts":[["2012"]]}}}],"schema":"https://github.com/citation-style-language/schema/raw/master/csl-citation.json"} </w:instrText>
      </w:r>
      <w:r w:rsidRPr="007C4D65">
        <w:rPr>
          <w:rFonts w:asciiTheme="minorHAnsi" w:hAnsiTheme="minorHAnsi" w:cstheme="minorHAnsi"/>
          <w:sz w:val="22"/>
          <w:szCs w:val="22"/>
          <w:vertAlign w:val="superscript"/>
        </w:rPr>
        <w:fldChar w:fldCharType="separate"/>
      </w:r>
      <w:r w:rsidRPr="007C4D65">
        <w:rPr>
          <w:rFonts w:asciiTheme="minorHAnsi" w:hAnsiTheme="minorHAnsi" w:cstheme="minorHAnsi"/>
          <w:sz w:val="22"/>
        </w:rPr>
        <w:t>(</w:t>
      </w:r>
      <w:r w:rsidR="001E6E20" w:rsidRPr="007C4D65">
        <w:rPr>
          <w:rFonts w:asciiTheme="minorHAnsi" w:hAnsiTheme="minorHAnsi" w:cstheme="minorHAnsi"/>
          <w:sz w:val="22"/>
        </w:rPr>
        <w:t>Federation Ministry</w:t>
      </w:r>
      <w:r w:rsidRPr="007C4D65">
        <w:rPr>
          <w:rFonts w:asciiTheme="minorHAnsi" w:hAnsiTheme="minorHAnsi" w:cstheme="minorHAnsi"/>
          <w:sz w:val="22"/>
        </w:rPr>
        <w:t xml:space="preserve"> of Agriculture, Water Management and Forestry, 2012)</w:t>
      </w:r>
      <w:r w:rsidRPr="007C4D65">
        <w:rPr>
          <w:rFonts w:asciiTheme="minorHAnsi" w:hAnsiTheme="minorHAnsi" w:cstheme="minorHAnsi"/>
          <w:sz w:val="22"/>
          <w:szCs w:val="22"/>
          <w:vertAlign w:val="superscript"/>
        </w:rPr>
        <w:fldChar w:fldCharType="end"/>
      </w:r>
      <w:r w:rsidRPr="007C4D65">
        <w:rPr>
          <w:rFonts w:asciiTheme="minorHAnsi" w:hAnsiTheme="minorHAnsi" w:cstheme="minorHAnsi"/>
          <w:sz w:val="22"/>
          <w:szCs w:val="22"/>
        </w:rPr>
        <w:t xml:space="preserve">. </w:t>
      </w:r>
      <w:bookmarkEnd w:id="45"/>
    </w:p>
    <w:p w14:paraId="6A841E64" w14:textId="13992A6F" w:rsidR="008F71EF" w:rsidRPr="007C4D65" w:rsidRDefault="008F71EF" w:rsidP="008F71EF">
      <w:pPr>
        <w:spacing w:after="240" w:line="276" w:lineRule="auto"/>
        <w:jc w:val="both"/>
        <w:rPr>
          <w:rFonts w:asciiTheme="minorHAnsi" w:hAnsiTheme="minorHAnsi" w:cstheme="minorHAnsi"/>
          <w:sz w:val="22"/>
          <w:szCs w:val="22"/>
          <w:u w:val="single"/>
        </w:rPr>
      </w:pPr>
      <w:r w:rsidRPr="007C4D65">
        <w:rPr>
          <w:rFonts w:asciiTheme="minorHAnsi" w:hAnsiTheme="minorHAnsi" w:cstheme="minorHAnsi"/>
          <w:sz w:val="22"/>
          <w:szCs w:val="22"/>
        </w:rPr>
        <w:t xml:space="preserve">Out of total area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(26,127 km</w:t>
      </w:r>
      <w:r w:rsidRPr="007C4D65">
        <w:rPr>
          <w:rFonts w:asciiTheme="minorHAnsi" w:hAnsiTheme="minorHAnsi" w:cstheme="minorHAnsi"/>
          <w:sz w:val="22"/>
          <w:szCs w:val="22"/>
          <w:vertAlign w:val="superscript"/>
        </w:rPr>
        <w:t>2</w:t>
      </w:r>
      <w:r w:rsidRPr="007C4D65">
        <w:rPr>
          <w:rFonts w:asciiTheme="minorHAnsi" w:hAnsiTheme="minorHAnsi" w:cstheme="minorHAnsi"/>
          <w:sz w:val="22"/>
          <w:szCs w:val="22"/>
        </w:rPr>
        <w:t>), the Black Sea Basin, i.e. the Sava River Basin, covers 17,506 km</w:t>
      </w:r>
      <w:r w:rsidRPr="007C4D65">
        <w:rPr>
          <w:rFonts w:asciiTheme="minorHAnsi" w:hAnsiTheme="minorHAnsi" w:cstheme="minorHAnsi"/>
          <w:sz w:val="22"/>
          <w:szCs w:val="22"/>
          <w:vertAlign w:val="superscript"/>
        </w:rPr>
        <w:t>2</w:t>
      </w:r>
      <w:r w:rsidRPr="007C4D65">
        <w:rPr>
          <w:rFonts w:asciiTheme="minorHAnsi" w:hAnsiTheme="minorHAnsi" w:cstheme="minorHAnsi"/>
          <w:sz w:val="22"/>
          <w:szCs w:val="22"/>
        </w:rPr>
        <w:t xml:space="preserve"> (67%)</w:t>
      </w:r>
      <w:r w:rsidRPr="007C4D65">
        <w:rPr>
          <w:rFonts w:asciiTheme="minorHAnsi" w:hAnsiTheme="minorHAnsi" w:cstheme="minorHAnsi"/>
          <w:sz w:val="22"/>
          <w:szCs w:val="22"/>
          <w:vertAlign w:val="superscript"/>
        </w:rPr>
        <w:footnoteReference w:id="3"/>
      </w:r>
      <w:r w:rsidRPr="007C4D65">
        <w:rPr>
          <w:rFonts w:asciiTheme="minorHAnsi" w:hAnsiTheme="minorHAnsi" w:cstheme="minorHAnsi"/>
          <w:sz w:val="22"/>
          <w:szCs w:val="22"/>
        </w:rPr>
        <w:t>, while the Adriatic Sea River Basin covers 8.621 km</w:t>
      </w:r>
      <w:r w:rsidRPr="007C4D65">
        <w:rPr>
          <w:rFonts w:asciiTheme="minorHAnsi" w:hAnsiTheme="minorHAnsi" w:cstheme="minorHAnsi"/>
          <w:sz w:val="22"/>
          <w:szCs w:val="22"/>
          <w:vertAlign w:val="superscript"/>
        </w:rPr>
        <w:t>2,</w:t>
      </w:r>
      <w:r w:rsidRPr="007C4D65">
        <w:rPr>
          <w:rFonts w:asciiTheme="minorHAnsi" w:hAnsiTheme="minorHAnsi" w:cstheme="minorHAnsi"/>
          <w:sz w:val="22"/>
          <w:szCs w:val="22"/>
          <w:vertAlign w:val="superscript"/>
        </w:rPr>
        <w:footnoteReference w:id="4"/>
      </w:r>
      <w:r w:rsidRPr="007C4D65">
        <w:rPr>
          <w:rFonts w:asciiTheme="minorHAnsi" w:hAnsiTheme="minorHAnsi" w:cstheme="minorHAnsi"/>
          <w:sz w:val="22"/>
          <w:szCs w:val="22"/>
        </w:rPr>
        <w:t xml:space="preserve"> (33%) </w:t>
      </w:r>
      <w:r w:rsidR="007436F1" w:rsidRPr="007C4D65">
        <w:rPr>
          <w:rFonts w:asciiTheme="minorHAnsi" w:hAnsiTheme="minorHAnsi" w:cstheme="minorHAnsi"/>
          <w:sz w:val="22"/>
          <w:szCs w:val="22"/>
        </w:rPr>
        <w:t>(</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{"citationID":"O9n0NOkm","properties":{"formattedCitation":"(Sl. glasnik FBiH, br. 41/07 2007)","plainCitation":"(Sl. glasnik FBiH, br. 41/07 2007)","dontUpdate":true,"noteIndex":0},"citationItems":[{"id":1317,"uris":["http://zotero.org/users/7192877/items/J8ZKZGN9"],"itemData":{"id":1317,"type":"legislation","title":"Odluka o granicama riječnih bazena i vodnih područja na teritoriji Federacije BiH","URL":"http://www.novigradsarajevo.ba/uploads/files/shares/Privreda/Zakonski%20propisi/Odluke/8.Odluka%20o%20granicama%20rije%C4%8Dnih%20bazena%20i%20vodnih%20podru%C4%8Dja%20na%20teritoriji%20Federacije%20BIH%2041-07.pdf","author":[{"family":"\"Sl. novine Federacije BiH\", br. 41/07","given":""}],"issued":{"date-parts":[["2007"]]}}}],"schema":"https://github.com/citation-style-language/schema/raw/master/csl-citation.json"} </w:instrText>
      </w:r>
      <w:r w:rsidRPr="007C4D65">
        <w:rPr>
          <w:rFonts w:asciiTheme="minorHAnsi" w:hAnsiTheme="minorHAnsi" w:cstheme="minorHAnsi"/>
          <w:sz w:val="22"/>
          <w:szCs w:val="22"/>
        </w:rPr>
        <w:fldChar w:fldCharType="separate"/>
      </w:r>
      <w:r w:rsidR="007436F1" w:rsidRPr="007C4D65">
        <w:rPr>
          <w:rFonts w:asciiTheme="minorHAnsi" w:hAnsiTheme="minorHAnsi" w:cstheme="minorHAnsi"/>
          <w:sz w:val="22"/>
        </w:rPr>
        <w:t>„Official Gazette of the Federation of BiH“</w:t>
      </w:r>
      <w:r w:rsidR="007F4BA8" w:rsidRPr="007C4D65">
        <w:rPr>
          <w:rFonts w:asciiTheme="minorHAnsi" w:hAnsiTheme="minorHAnsi" w:cstheme="minorHAnsi"/>
          <w:sz w:val="22"/>
        </w:rPr>
        <w:t xml:space="preserve">, </w:t>
      </w:r>
      <w:r w:rsidRPr="007C4D65">
        <w:rPr>
          <w:rFonts w:asciiTheme="minorHAnsi" w:hAnsiTheme="minorHAnsi" w:cstheme="minorHAnsi"/>
          <w:sz w:val="22"/>
        </w:rPr>
        <w:t>41/07)</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w:t>
      </w:r>
    </w:p>
    <w:p w14:paraId="698ECB27" w14:textId="7EB00BA8"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Sava River Basin area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includes parts of the basins of the rivers Una, together with the </w:t>
      </w:r>
      <w:proofErr w:type="spellStart"/>
      <w:r w:rsidRPr="007C4D65">
        <w:rPr>
          <w:rFonts w:asciiTheme="minorHAnsi" w:hAnsiTheme="minorHAnsi" w:cstheme="minorHAnsi"/>
          <w:sz w:val="22"/>
          <w:szCs w:val="22"/>
        </w:rPr>
        <w:t>Glina</w:t>
      </w:r>
      <w:proofErr w:type="spellEnd"/>
      <w:r w:rsidRPr="007C4D65">
        <w:rPr>
          <w:rFonts w:asciiTheme="minorHAnsi" w:hAnsiTheme="minorHAnsi" w:cstheme="minorHAnsi"/>
          <w:sz w:val="22"/>
          <w:szCs w:val="22"/>
        </w:rPr>
        <w:t xml:space="preserve"> and Korana rivers, the </w:t>
      </w:r>
      <w:proofErr w:type="spellStart"/>
      <w:r w:rsidRPr="007C4D65">
        <w:rPr>
          <w:rFonts w:asciiTheme="minorHAnsi" w:hAnsiTheme="minorHAnsi" w:cstheme="minorHAnsi"/>
          <w:sz w:val="22"/>
          <w:szCs w:val="22"/>
        </w:rPr>
        <w:t>Vrbas</w:t>
      </w:r>
      <w:proofErr w:type="spellEnd"/>
      <w:r w:rsidRPr="007C4D65">
        <w:rPr>
          <w:rFonts w:asciiTheme="minorHAnsi" w:hAnsiTheme="minorHAnsi" w:cstheme="minorHAnsi"/>
          <w:sz w:val="22"/>
          <w:szCs w:val="22"/>
        </w:rPr>
        <w:t xml:space="preserve"> River, the Bosna River, and immediate Sava River Basin, while the Adriatic </w:t>
      </w:r>
      <w:r w:rsidR="00710F07" w:rsidRPr="007C4D65">
        <w:rPr>
          <w:rFonts w:asciiTheme="minorHAnsi" w:hAnsiTheme="minorHAnsi" w:cstheme="minorHAnsi"/>
          <w:sz w:val="22"/>
          <w:szCs w:val="22"/>
        </w:rPr>
        <w:t>Sea</w:t>
      </w:r>
      <w:r w:rsidRPr="007C4D65">
        <w:rPr>
          <w:rFonts w:asciiTheme="minorHAnsi" w:hAnsiTheme="minorHAnsi" w:cstheme="minorHAnsi"/>
          <w:sz w:val="22"/>
          <w:szCs w:val="22"/>
        </w:rPr>
        <w:t xml:space="preserve"> Basin includes parts of the basins of the Neretva River, together with </w:t>
      </w:r>
      <w:proofErr w:type="spellStart"/>
      <w:r w:rsidR="008218CA" w:rsidRPr="007C4D65">
        <w:rPr>
          <w:rFonts w:asciiTheme="minorHAnsi" w:hAnsiTheme="minorHAnsi" w:cstheme="minorHAnsi"/>
          <w:sz w:val="22"/>
          <w:szCs w:val="22"/>
        </w:rPr>
        <w:t>Trebisnjica</w:t>
      </w:r>
      <w:proofErr w:type="spellEnd"/>
      <w:r w:rsidRPr="007C4D65">
        <w:rPr>
          <w:rFonts w:asciiTheme="minorHAnsi" w:hAnsiTheme="minorHAnsi" w:cstheme="minorHAnsi"/>
          <w:sz w:val="22"/>
          <w:szCs w:val="22"/>
        </w:rPr>
        <w:t xml:space="preserve">, of the </w:t>
      </w:r>
      <w:proofErr w:type="spellStart"/>
      <w:r w:rsidRPr="007C4D65">
        <w:rPr>
          <w:rFonts w:asciiTheme="minorHAnsi" w:hAnsiTheme="minorHAnsi" w:cstheme="minorHAnsi"/>
          <w:sz w:val="22"/>
          <w:szCs w:val="22"/>
        </w:rPr>
        <w:t>Cetina</w:t>
      </w:r>
      <w:proofErr w:type="spellEnd"/>
      <w:r w:rsidRPr="007C4D65">
        <w:rPr>
          <w:rFonts w:asciiTheme="minorHAnsi" w:hAnsiTheme="minorHAnsi" w:cstheme="minorHAnsi"/>
          <w:sz w:val="22"/>
          <w:szCs w:val="22"/>
        </w:rPr>
        <w:t xml:space="preserve"> River and the Krka River.</w:t>
      </w:r>
    </w:p>
    <w:p w14:paraId="2614756E" w14:textId="21EB9221" w:rsidR="008F71EF" w:rsidRPr="007C4D65" w:rsidRDefault="008F71EF" w:rsidP="008F71EF">
      <w:pPr>
        <w:spacing w:after="240" w:line="276" w:lineRule="auto"/>
        <w:jc w:val="both"/>
        <w:rPr>
          <w:rFonts w:asciiTheme="minorHAnsi" w:hAnsiTheme="minorHAnsi" w:cstheme="minorHAnsi"/>
          <w:sz w:val="22"/>
          <w:szCs w:val="22"/>
          <w:u w:val="single"/>
        </w:rPr>
      </w:pPr>
      <w:r w:rsidRPr="007C4D65">
        <w:rPr>
          <w:rFonts w:asciiTheme="minorHAnsi" w:hAnsiTheme="minorHAnsi" w:cstheme="minorHAnsi"/>
          <w:sz w:val="22"/>
          <w:szCs w:val="22"/>
        </w:rPr>
        <w:t xml:space="preserve">Out of 10 cantons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the Sava River Basin spreads over 8, while the Adriatic Sea Basin spreads over 6 of them (Sava River Basin Agency, 2021); (Adriatic Sea Watershed Agency, 2011).</w:t>
      </w:r>
    </w:p>
    <w:p w14:paraId="79E9C3C4" w14:textId="50BBC923" w:rsidR="008F71EF" w:rsidRPr="007C4D65" w:rsidRDefault="008F71EF" w:rsidP="008F71EF">
      <w:pPr>
        <w:spacing w:after="240" w:line="276" w:lineRule="auto"/>
        <w:jc w:val="both"/>
        <w:rPr>
          <w:rFonts w:asciiTheme="minorHAnsi" w:hAnsiTheme="minorHAnsi" w:cstheme="minorHAnsi"/>
          <w:sz w:val="22"/>
          <w:szCs w:val="22"/>
          <w:u w:val="single"/>
        </w:rPr>
      </w:pPr>
      <w:r w:rsidRPr="007C4D65">
        <w:rPr>
          <w:rFonts w:asciiTheme="minorHAnsi" w:hAnsiTheme="minorHAnsi" w:cstheme="minorHAnsi"/>
          <w:sz w:val="22"/>
          <w:szCs w:val="22"/>
        </w:rPr>
        <w:t xml:space="preserve">In Bosnia and Herzegovina, average annual precipitation countrywide is 1,250 l/m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{"citationID":"qWzy8FP3","properties":{"formattedCitation":"(Federalno ministarstvo poljoprivrede, vodoprivrede i \\uc0\\u353{}umarstva 2012)","plainCitation":"(Federalno ministarstvo poljoprivrede, vodoprivrede i šumarstva 2012)","noteIndex":0},"citationItems":[{"id":1320,"uris":["http://zotero.org/users/7192877/items/BJJTAC8E"],"itemData":{"id":1320,"type":"report","title":"Strategija upravljanja vodama 2010-2022.","URL":"https://fmpvs.gov.ba/wp-content/uploads/2018/01/Strategija-upravljanja-vodama-FBiH-2010-2022.pdf","author":[{"family":"Federalno ministarstvo poljoprivrede, vodoprivrede i šumarstva","given":""}],"issued":{"date-parts":[["2012"]]}}}],"schema":"https://github.com/citation-style-language/schema/raw/master/csl-citation.json"}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w:t>
      </w:r>
      <w:r w:rsidR="001E6E20" w:rsidRPr="007C4D65">
        <w:rPr>
          <w:rFonts w:asciiTheme="minorHAnsi" w:hAnsiTheme="minorHAnsi" w:cstheme="minorHAnsi"/>
          <w:sz w:val="22"/>
        </w:rPr>
        <w:t>Federation Ministry</w:t>
      </w:r>
      <w:r w:rsidRPr="007C4D65">
        <w:rPr>
          <w:rFonts w:asciiTheme="minorHAnsi" w:hAnsiTheme="minorHAnsi" w:cstheme="minorHAnsi"/>
          <w:sz w:val="22"/>
        </w:rPr>
        <w:t xml:space="preserve"> of Agriculture, Water Management and Agriculture, 2012)</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w:t>
      </w:r>
    </w:p>
    <w:p w14:paraId="180828FF" w14:textId="2449B564" w:rsidR="008F71EF" w:rsidRPr="007C4D65" w:rsidRDefault="008F71EF" w:rsidP="008F71EF">
      <w:pPr>
        <w:spacing w:after="240" w:line="276" w:lineRule="auto"/>
        <w:jc w:val="both"/>
        <w:rPr>
          <w:rFonts w:asciiTheme="minorHAnsi" w:hAnsiTheme="minorHAnsi" w:cstheme="minorHAnsi"/>
          <w:sz w:val="22"/>
          <w:szCs w:val="22"/>
          <w:u w:val="single"/>
        </w:rPr>
      </w:pPr>
      <w:r w:rsidRPr="007C4D65">
        <w:rPr>
          <w:rFonts w:asciiTheme="minorHAnsi" w:hAnsiTheme="minorHAnsi" w:cstheme="minorHAnsi"/>
          <w:sz w:val="22"/>
          <w:szCs w:val="22"/>
        </w:rPr>
        <w:lastRenderedPageBreak/>
        <w:t xml:space="preserve">Balance of surface waters for the territory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is shown in </w:t>
      </w:r>
      <w:r w:rsidRPr="007C4D65">
        <w:rPr>
          <w:rFonts w:asciiTheme="minorHAnsi" w:hAnsiTheme="minorHAnsi" w:cstheme="minorHAnsi"/>
          <w:b/>
          <w:bCs/>
          <w:i/>
          <w:iCs/>
          <w:sz w:val="22"/>
          <w:szCs w:val="22"/>
        </w:rPr>
        <w:t xml:space="preserve">Table </w:t>
      </w:r>
      <w:r w:rsidR="005D60DA" w:rsidRPr="007C4D65">
        <w:rPr>
          <w:rFonts w:asciiTheme="minorHAnsi" w:hAnsiTheme="minorHAnsi" w:cstheme="minorHAnsi"/>
          <w:b/>
          <w:bCs/>
          <w:i/>
          <w:iCs/>
          <w:sz w:val="22"/>
          <w:szCs w:val="22"/>
        </w:rPr>
        <w:t>3</w:t>
      </w:r>
      <w:r w:rsidRPr="007C4D65">
        <w:rPr>
          <w:rFonts w:asciiTheme="minorHAnsi" w:hAnsiTheme="minorHAnsi" w:cstheme="minorHAnsi"/>
          <w:sz w:val="22"/>
          <w:szCs w:val="22"/>
        </w:rPr>
        <w:t xml:space="preserve">, total and by water areas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{"citationID":"CSs8feKn","properties":{"formattedCitation":"(Federalno ministarstvo poljoprivrede, vodoprivrede i \\uc0\\u353{}umarstva 2012)","plainCitation":"(Federalno ministarstvo poljoprivrede, vodoprivrede i šumarstva 2012)","noteIndex":0},"citationItems":[{"id":1320,"uris":["http://zotero.org/users/7192877/items/BJJTAC8E"],"itemData":{"id":1320,"type":"report","title":"Strategija upravljanja vodama 2010-2022.","URL":"https://fmpvs.gov.ba/wp-content/uploads/2018/01/Strategija-upravljanja-vodama-FBiH-2010-2022.pdf","author":[{"family":"Federalno ministarstvo poljoprivrede, vodoprivrede i šumarstva","given":""}],"issued":{"date-parts":[["2012"]]}}}],"schema":"https://github.com/citation-style-language/schema/raw/master/csl-citation.json"}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w:t>
      </w:r>
      <w:r w:rsidR="001E6E20" w:rsidRPr="007C4D65">
        <w:rPr>
          <w:rFonts w:asciiTheme="minorHAnsi" w:hAnsiTheme="minorHAnsi" w:cstheme="minorHAnsi"/>
          <w:sz w:val="22"/>
        </w:rPr>
        <w:t>Federation Ministry</w:t>
      </w:r>
      <w:r w:rsidRPr="007C4D65">
        <w:rPr>
          <w:rFonts w:asciiTheme="minorHAnsi" w:hAnsiTheme="minorHAnsi" w:cstheme="minorHAnsi"/>
          <w:sz w:val="22"/>
        </w:rPr>
        <w:t xml:space="preserve"> of Agriculture, Water Management and Agriculture 2012)</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w:t>
      </w:r>
      <w:bookmarkStart w:id="46" w:name="_Toc67090837"/>
    </w:p>
    <w:p w14:paraId="0C197C9B" w14:textId="073BA976" w:rsidR="008F71EF" w:rsidRPr="007C4D65" w:rsidRDefault="008F71EF" w:rsidP="008F71EF">
      <w:pPr>
        <w:pStyle w:val="Caption"/>
        <w:spacing w:line="276" w:lineRule="auto"/>
        <w:rPr>
          <w:rFonts w:asciiTheme="minorHAnsi" w:hAnsiTheme="minorHAnsi" w:cstheme="minorHAnsi"/>
        </w:rPr>
      </w:pPr>
      <w:bookmarkStart w:id="47" w:name="_Toc109842432"/>
      <w:bookmarkStart w:id="48" w:name="_Toc117011582"/>
      <w:r w:rsidRPr="007C4D65">
        <w:rPr>
          <w:rFonts w:asciiTheme="minorHAnsi" w:hAnsiTheme="minorHAnsi" w:cstheme="minorHAnsi"/>
        </w:rPr>
        <w:t xml:space="preserve">Table </w:t>
      </w:r>
      <w:r w:rsidR="005D60DA" w:rsidRPr="007C4D65">
        <w:rPr>
          <w:rFonts w:asciiTheme="minorHAnsi" w:hAnsiTheme="minorHAnsi" w:cstheme="minorHAnsi"/>
        </w:rPr>
        <w:fldChar w:fldCharType="begin"/>
      </w:r>
      <w:r w:rsidR="005D60DA" w:rsidRPr="007C4D65">
        <w:rPr>
          <w:rFonts w:asciiTheme="minorHAnsi" w:hAnsiTheme="minorHAnsi" w:cstheme="minorHAnsi"/>
        </w:rPr>
        <w:instrText xml:space="preserve"> SEQ Tabela \* ARABIC </w:instrText>
      </w:r>
      <w:r w:rsidR="005D60DA" w:rsidRPr="007C4D65">
        <w:rPr>
          <w:rFonts w:asciiTheme="minorHAnsi" w:hAnsiTheme="minorHAnsi" w:cstheme="minorHAnsi"/>
        </w:rPr>
        <w:fldChar w:fldCharType="separate"/>
      </w:r>
      <w:r w:rsidR="005D60DA" w:rsidRPr="007C4D65">
        <w:rPr>
          <w:rFonts w:asciiTheme="minorHAnsi" w:hAnsiTheme="minorHAnsi" w:cstheme="minorHAnsi"/>
          <w:noProof/>
        </w:rPr>
        <w:t>3</w:t>
      </w:r>
      <w:r w:rsidR="005D60DA" w:rsidRPr="007C4D65">
        <w:rPr>
          <w:rFonts w:asciiTheme="minorHAnsi" w:hAnsiTheme="minorHAnsi" w:cstheme="minorHAnsi"/>
        </w:rPr>
        <w:fldChar w:fldCharType="end"/>
      </w:r>
      <w:r w:rsidRPr="007C4D65">
        <w:rPr>
          <w:rFonts w:asciiTheme="minorHAnsi" w:hAnsiTheme="minorHAnsi" w:cstheme="minorHAnsi"/>
          <w:szCs w:val="20"/>
        </w:rPr>
        <w:t xml:space="preserve">: </w:t>
      </w:r>
      <w:r w:rsidRPr="007C4D65">
        <w:rPr>
          <w:rFonts w:asciiTheme="minorHAnsi" w:hAnsiTheme="minorHAnsi" w:cstheme="minorHAnsi"/>
          <w:b w:val="0"/>
          <w:bCs/>
          <w:szCs w:val="20"/>
        </w:rPr>
        <w:t xml:space="preserve">Balance of surface waters for the territory </w:t>
      </w:r>
      <w:r w:rsidR="007436F1" w:rsidRPr="007C4D65">
        <w:rPr>
          <w:rFonts w:asciiTheme="minorHAnsi" w:hAnsiTheme="minorHAnsi" w:cstheme="minorHAnsi"/>
          <w:b w:val="0"/>
          <w:bCs/>
          <w:szCs w:val="20"/>
        </w:rPr>
        <w:t>of the Federation of BiH</w:t>
      </w:r>
      <w:bookmarkEnd w:id="46"/>
      <w:bookmarkEnd w:id="47"/>
      <w:bookmarkEnd w:id="48"/>
    </w:p>
    <w:tbl>
      <w:tblPr>
        <w:tblW w:w="490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42"/>
        <w:gridCol w:w="1748"/>
        <w:gridCol w:w="1945"/>
        <w:gridCol w:w="1713"/>
      </w:tblGrid>
      <w:tr w:rsidR="008F71EF" w:rsidRPr="007C4D65" w14:paraId="2B75FA8E" w14:textId="77777777" w:rsidTr="00B6017F">
        <w:trPr>
          <w:trHeight w:val="323"/>
          <w:tblHeader/>
          <w:jc w:val="center"/>
        </w:trPr>
        <w:tc>
          <w:tcPr>
            <w:tcW w:w="1945" w:type="pct"/>
            <w:vMerge w:val="restart"/>
            <w:shd w:val="clear" w:color="auto" w:fill="009D73"/>
            <w:vAlign w:val="center"/>
          </w:tcPr>
          <w:p w14:paraId="48CE021A" w14:textId="77777777" w:rsidR="008F71EF" w:rsidRPr="007C4D65" w:rsidRDefault="008F71EF" w:rsidP="00B6017F">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 xml:space="preserve">River basin / sub-basin in the Federation </w:t>
            </w:r>
          </w:p>
        </w:tc>
        <w:tc>
          <w:tcPr>
            <w:tcW w:w="3055" w:type="pct"/>
            <w:gridSpan w:val="3"/>
            <w:shd w:val="clear" w:color="auto" w:fill="009D73"/>
            <w:vAlign w:val="center"/>
          </w:tcPr>
          <w:p w14:paraId="22337757" w14:textId="77777777" w:rsidR="008F71EF" w:rsidRPr="007C4D65" w:rsidRDefault="008F71EF" w:rsidP="00B6017F">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Q av. annual (m</w:t>
            </w:r>
            <w:r w:rsidRPr="007C4D65">
              <w:rPr>
                <w:rFonts w:asciiTheme="minorHAnsi" w:hAnsiTheme="minorHAnsi" w:cstheme="minorHAnsi"/>
                <w:color w:val="FFFFFF" w:themeColor="background1"/>
                <w:sz w:val="18"/>
                <w:szCs w:val="18"/>
                <w:vertAlign w:val="superscript"/>
              </w:rPr>
              <w:t>3</w:t>
            </w:r>
            <w:r w:rsidRPr="007C4D65">
              <w:rPr>
                <w:rFonts w:asciiTheme="minorHAnsi" w:hAnsiTheme="minorHAnsi" w:cstheme="minorHAnsi"/>
                <w:color w:val="FFFFFF" w:themeColor="background1"/>
                <w:sz w:val="18"/>
                <w:szCs w:val="18"/>
              </w:rPr>
              <w:t>/s)</w:t>
            </w:r>
          </w:p>
        </w:tc>
      </w:tr>
      <w:tr w:rsidR="008F71EF" w:rsidRPr="007C4D65" w14:paraId="0436AC5D" w14:textId="77777777" w:rsidTr="00B6017F">
        <w:trPr>
          <w:trHeight w:val="323"/>
          <w:tblHeader/>
          <w:jc w:val="center"/>
        </w:trPr>
        <w:tc>
          <w:tcPr>
            <w:tcW w:w="1945" w:type="pct"/>
            <w:vMerge/>
            <w:shd w:val="clear" w:color="auto" w:fill="009D73"/>
            <w:vAlign w:val="center"/>
          </w:tcPr>
          <w:p w14:paraId="6819EB08" w14:textId="77777777" w:rsidR="008F71EF" w:rsidRPr="007C4D65" w:rsidRDefault="008F71EF" w:rsidP="00B6017F">
            <w:pPr>
              <w:spacing w:line="276" w:lineRule="auto"/>
              <w:rPr>
                <w:rFonts w:asciiTheme="minorHAnsi" w:hAnsiTheme="minorHAnsi" w:cstheme="minorHAnsi"/>
                <w:color w:val="FFFFFF" w:themeColor="background1"/>
                <w:sz w:val="18"/>
                <w:szCs w:val="18"/>
              </w:rPr>
            </w:pPr>
          </w:p>
        </w:tc>
        <w:tc>
          <w:tcPr>
            <w:tcW w:w="988" w:type="pct"/>
            <w:shd w:val="clear" w:color="auto" w:fill="009D73"/>
            <w:vAlign w:val="center"/>
          </w:tcPr>
          <w:p w14:paraId="455A7CC1" w14:textId="77777777" w:rsidR="008F71EF" w:rsidRPr="007C4D65" w:rsidRDefault="008F71EF" w:rsidP="00B6017F">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Total balance</w:t>
            </w:r>
          </w:p>
        </w:tc>
        <w:tc>
          <w:tcPr>
            <w:tcW w:w="1099" w:type="pct"/>
            <w:shd w:val="clear" w:color="auto" w:fill="009D73"/>
            <w:vAlign w:val="center"/>
          </w:tcPr>
          <w:p w14:paraId="3B70D2B4" w14:textId="77777777" w:rsidR="008F71EF" w:rsidRPr="007C4D65" w:rsidRDefault="008F71EF" w:rsidP="00B6017F">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Own waters</w:t>
            </w:r>
            <w:r w:rsidRPr="007C4D65">
              <w:rPr>
                <w:rFonts w:asciiTheme="minorHAnsi" w:hAnsiTheme="minorHAnsi" w:cstheme="minorHAnsi"/>
                <w:color w:val="FFFFFF" w:themeColor="background1"/>
                <w:sz w:val="18"/>
                <w:szCs w:val="18"/>
                <w:vertAlign w:val="superscript"/>
              </w:rPr>
              <w:footnoteReference w:id="5"/>
            </w:r>
          </w:p>
        </w:tc>
        <w:tc>
          <w:tcPr>
            <w:tcW w:w="968" w:type="pct"/>
            <w:shd w:val="clear" w:color="auto" w:fill="009D73"/>
            <w:vAlign w:val="center"/>
          </w:tcPr>
          <w:p w14:paraId="72500E04" w14:textId="77777777" w:rsidR="008F71EF" w:rsidRPr="007C4D65" w:rsidRDefault="008F71EF" w:rsidP="00B6017F">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Transit waters</w:t>
            </w:r>
          </w:p>
        </w:tc>
      </w:tr>
      <w:tr w:rsidR="008F71EF" w:rsidRPr="007C4D65" w14:paraId="0E394B06" w14:textId="77777777" w:rsidTr="00B6017F">
        <w:trPr>
          <w:trHeight w:val="391"/>
          <w:jc w:val="center"/>
        </w:trPr>
        <w:tc>
          <w:tcPr>
            <w:tcW w:w="1945" w:type="pct"/>
            <w:vAlign w:val="center"/>
          </w:tcPr>
          <w:p w14:paraId="407F1778"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Sava River Basin</w:t>
            </w:r>
          </w:p>
        </w:tc>
        <w:tc>
          <w:tcPr>
            <w:tcW w:w="988" w:type="pct"/>
            <w:vAlign w:val="center"/>
          </w:tcPr>
          <w:p w14:paraId="66B42C76"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692,3</w:t>
            </w:r>
          </w:p>
        </w:tc>
        <w:tc>
          <w:tcPr>
            <w:tcW w:w="1099" w:type="pct"/>
            <w:vAlign w:val="center"/>
          </w:tcPr>
          <w:p w14:paraId="291A8ADA"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352,9</w:t>
            </w:r>
          </w:p>
        </w:tc>
        <w:tc>
          <w:tcPr>
            <w:tcW w:w="968" w:type="pct"/>
            <w:vAlign w:val="center"/>
          </w:tcPr>
          <w:p w14:paraId="7A4D9AD1"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339,4</w:t>
            </w:r>
          </w:p>
        </w:tc>
      </w:tr>
      <w:tr w:rsidR="008F71EF" w:rsidRPr="007C4D65" w14:paraId="51372651" w14:textId="77777777" w:rsidTr="00B6017F">
        <w:trPr>
          <w:trHeight w:val="391"/>
          <w:jc w:val="center"/>
        </w:trPr>
        <w:tc>
          <w:tcPr>
            <w:tcW w:w="1945" w:type="pct"/>
            <w:vAlign w:val="center"/>
          </w:tcPr>
          <w:p w14:paraId="46FFEBD6" w14:textId="694C8BB5"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Adriatic Sea Basin</w:t>
            </w:r>
          </w:p>
        </w:tc>
        <w:tc>
          <w:tcPr>
            <w:tcW w:w="988" w:type="pct"/>
            <w:vAlign w:val="center"/>
          </w:tcPr>
          <w:p w14:paraId="63075598"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354</w:t>
            </w:r>
          </w:p>
        </w:tc>
        <w:tc>
          <w:tcPr>
            <w:tcW w:w="1099" w:type="pct"/>
            <w:vAlign w:val="center"/>
          </w:tcPr>
          <w:p w14:paraId="2B6B94CB"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317</w:t>
            </w:r>
          </w:p>
        </w:tc>
        <w:tc>
          <w:tcPr>
            <w:tcW w:w="968" w:type="pct"/>
            <w:vAlign w:val="center"/>
          </w:tcPr>
          <w:p w14:paraId="5937EACA"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37</w:t>
            </w:r>
          </w:p>
        </w:tc>
      </w:tr>
      <w:tr w:rsidR="008F71EF" w:rsidRPr="007C4D65" w14:paraId="52B3587C" w14:textId="77777777" w:rsidTr="00B6017F">
        <w:trPr>
          <w:trHeight w:val="391"/>
          <w:jc w:val="center"/>
        </w:trPr>
        <w:tc>
          <w:tcPr>
            <w:tcW w:w="1945" w:type="pct"/>
            <w:vAlign w:val="center"/>
          </w:tcPr>
          <w:p w14:paraId="4BC5D096"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Total:</w:t>
            </w:r>
          </w:p>
        </w:tc>
        <w:tc>
          <w:tcPr>
            <w:tcW w:w="988" w:type="pct"/>
            <w:vAlign w:val="center"/>
          </w:tcPr>
          <w:p w14:paraId="7EDFD830"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1046</w:t>
            </w:r>
          </w:p>
        </w:tc>
        <w:tc>
          <w:tcPr>
            <w:tcW w:w="1099" w:type="pct"/>
            <w:vAlign w:val="center"/>
          </w:tcPr>
          <w:p w14:paraId="6C75B780"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670</w:t>
            </w:r>
          </w:p>
        </w:tc>
        <w:tc>
          <w:tcPr>
            <w:tcW w:w="968" w:type="pct"/>
            <w:vAlign w:val="center"/>
          </w:tcPr>
          <w:p w14:paraId="7B0D9252" w14:textId="77777777" w:rsidR="008F71EF" w:rsidRPr="007C4D65" w:rsidRDefault="008F71EF" w:rsidP="00B6017F">
            <w:pPr>
              <w:spacing w:line="276" w:lineRule="auto"/>
              <w:rPr>
                <w:rFonts w:asciiTheme="minorHAnsi" w:hAnsiTheme="minorHAnsi" w:cstheme="minorHAnsi"/>
                <w:strike/>
                <w:sz w:val="18"/>
                <w:szCs w:val="18"/>
              </w:rPr>
            </w:pPr>
            <w:r w:rsidRPr="007C4D65">
              <w:rPr>
                <w:rFonts w:asciiTheme="minorHAnsi" w:hAnsiTheme="minorHAnsi" w:cstheme="minorHAnsi"/>
                <w:sz w:val="18"/>
                <w:szCs w:val="18"/>
              </w:rPr>
              <w:t>376</w:t>
            </w:r>
          </w:p>
        </w:tc>
      </w:tr>
      <w:tr w:rsidR="008F71EF" w:rsidRPr="007C4D65" w14:paraId="324BC4E9" w14:textId="77777777" w:rsidTr="00B6017F">
        <w:trPr>
          <w:trHeight w:val="391"/>
          <w:jc w:val="center"/>
        </w:trPr>
        <w:tc>
          <w:tcPr>
            <w:tcW w:w="1945" w:type="pct"/>
            <w:vAlign w:val="center"/>
          </w:tcPr>
          <w:p w14:paraId="45568143"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Share of total:</w:t>
            </w:r>
          </w:p>
        </w:tc>
        <w:tc>
          <w:tcPr>
            <w:tcW w:w="988" w:type="pct"/>
            <w:vAlign w:val="center"/>
          </w:tcPr>
          <w:p w14:paraId="22A9B69E"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100</w:t>
            </w:r>
          </w:p>
        </w:tc>
        <w:tc>
          <w:tcPr>
            <w:tcW w:w="1099" w:type="pct"/>
            <w:vAlign w:val="center"/>
          </w:tcPr>
          <w:p w14:paraId="63CF859E"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64</w:t>
            </w:r>
          </w:p>
        </w:tc>
        <w:tc>
          <w:tcPr>
            <w:tcW w:w="968" w:type="pct"/>
            <w:vAlign w:val="center"/>
          </w:tcPr>
          <w:p w14:paraId="2B45DD69"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36</w:t>
            </w:r>
          </w:p>
        </w:tc>
      </w:tr>
    </w:tbl>
    <w:p w14:paraId="1FCDE83A" w14:textId="7BAE4F8E" w:rsidR="008F71EF" w:rsidRPr="007C4D65" w:rsidRDefault="008F71EF" w:rsidP="008F71EF">
      <w:pPr>
        <w:spacing w:line="276" w:lineRule="auto"/>
        <w:rPr>
          <w:rFonts w:asciiTheme="minorHAnsi" w:hAnsiTheme="minorHAnsi" w:cstheme="minorHAnsi"/>
          <w:i/>
          <w:sz w:val="20"/>
          <w:szCs w:val="20"/>
        </w:rPr>
      </w:pPr>
      <w:r w:rsidRPr="007C4D65">
        <w:rPr>
          <w:rFonts w:asciiTheme="minorHAnsi" w:hAnsiTheme="minorHAnsi" w:cstheme="minorHAnsi"/>
          <w:i/>
          <w:sz w:val="20"/>
          <w:szCs w:val="20"/>
        </w:rPr>
        <w:t xml:space="preserve">Source: </w:t>
      </w:r>
      <w:r w:rsidRPr="007C4D65">
        <w:rPr>
          <w:rFonts w:asciiTheme="minorHAnsi" w:hAnsiTheme="minorHAnsi" w:cstheme="minorHAnsi"/>
          <w:i/>
          <w:sz w:val="20"/>
          <w:szCs w:val="20"/>
        </w:rPr>
        <w:fldChar w:fldCharType="begin"/>
      </w:r>
      <w:r w:rsidRPr="007C4D65">
        <w:rPr>
          <w:rFonts w:asciiTheme="minorHAnsi" w:hAnsiTheme="minorHAnsi" w:cstheme="minorHAnsi"/>
          <w:i/>
          <w:sz w:val="20"/>
          <w:szCs w:val="20"/>
        </w:rPr>
        <w:instrText xml:space="preserve"> ADDIN ZOTERO_ITEM CSL_CITATION {"citationID":"Xr32UYgH","properties":{"formattedCitation":"(Federalno ministarstvo poljoprivrede, vodoprivrede i \\uc0\\u353{}umarstva 2012)","plainCitation":"(Federalno ministarstvo poljoprivrede, vodoprivrede i šumarstva 2012)","noteIndex":0},"citationItems":[{"id":1320,"uris":["http://zotero.org/users/7192877/items/BJJTAC8E"],"itemData":{"id":1320,"type":"report","title":"Strategija upravljanja vodama 2010-2022.","URL":"https://fmpvs.gov.ba/wp-content/uploads/2018/01/Strategija-upravljanja-vodama-FBiH-2010-2022.pdf","author":[{"family":"Federalno ministarstvo poljoprivrede, vodoprivrede i šumarstva","given":""}],"issued":{"date-parts":[["2012"]]}}}],"schema":"https://github.com/citation-style-language/schema/raw/master/csl-citation.json"} </w:instrText>
      </w:r>
      <w:r w:rsidRPr="007C4D65">
        <w:rPr>
          <w:rFonts w:asciiTheme="minorHAnsi" w:hAnsiTheme="minorHAnsi" w:cstheme="minorHAnsi"/>
          <w:i/>
          <w:sz w:val="20"/>
          <w:szCs w:val="20"/>
        </w:rPr>
        <w:fldChar w:fldCharType="separate"/>
      </w:r>
      <w:r w:rsidRPr="007C4D65">
        <w:rPr>
          <w:rFonts w:asciiTheme="minorHAnsi" w:hAnsiTheme="minorHAnsi" w:cstheme="minorHAnsi"/>
          <w:sz w:val="20"/>
        </w:rPr>
        <w:t>(</w:t>
      </w:r>
      <w:r w:rsidR="001E6E20" w:rsidRPr="007C4D65">
        <w:rPr>
          <w:rFonts w:asciiTheme="minorHAnsi" w:hAnsiTheme="minorHAnsi" w:cstheme="minorHAnsi"/>
          <w:sz w:val="20"/>
        </w:rPr>
        <w:t>Federation Ministry</w:t>
      </w:r>
      <w:r w:rsidRPr="007C4D65">
        <w:rPr>
          <w:rFonts w:asciiTheme="minorHAnsi" w:hAnsiTheme="minorHAnsi" w:cstheme="minorHAnsi"/>
          <w:sz w:val="20"/>
        </w:rPr>
        <w:t xml:space="preserve"> of Agriculture, Water Management and Agriculture 2012)</w:t>
      </w:r>
      <w:r w:rsidRPr="007C4D65">
        <w:rPr>
          <w:rFonts w:asciiTheme="minorHAnsi" w:hAnsiTheme="minorHAnsi" w:cstheme="minorHAnsi"/>
          <w:i/>
          <w:sz w:val="20"/>
          <w:szCs w:val="20"/>
        </w:rPr>
        <w:fldChar w:fldCharType="end"/>
      </w:r>
    </w:p>
    <w:p w14:paraId="3952BAC8" w14:textId="77777777" w:rsidR="008F71EF" w:rsidRPr="007C4D65" w:rsidRDefault="008F71EF" w:rsidP="008F71EF">
      <w:pPr>
        <w:spacing w:before="160" w:after="240" w:line="276" w:lineRule="auto"/>
        <w:jc w:val="both"/>
        <w:rPr>
          <w:rFonts w:asciiTheme="minorHAnsi" w:hAnsiTheme="minorHAnsi" w:cstheme="minorHAnsi"/>
          <w:sz w:val="22"/>
          <w:szCs w:val="22"/>
          <w:shd w:val="clear" w:color="auto" w:fill="FFFFFF"/>
        </w:rPr>
      </w:pPr>
      <w:r w:rsidRPr="007C4D65">
        <w:rPr>
          <w:rFonts w:asciiTheme="minorHAnsi" w:hAnsiTheme="minorHAnsi" w:cstheme="minorHAnsi"/>
          <w:sz w:val="22"/>
          <w:szCs w:val="22"/>
          <w:shd w:val="clear" w:color="auto" w:fill="FFFFFF"/>
        </w:rPr>
        <w:t xml:space="preserve">The basic information on water bodies (WB) in water basins of the Sava River and Adriatic Sea are shown in the following </w:t>
      </w:r>
      <w:r w:rsidRPr="007C4D65">
        <w:rPr>
          <w:rFonts w:asciiTheme="minorHAnsi" w:hAnsiTheme="minorHAnsi" w:cstheme="minorHAnsi"/>
          <w:b/>
          <w:bCs/>
          <w:i/>
          <w:sz w:val="22"/>
          <w:szCs w:val="22"/>
          <w:shd w:val="clear" w:color="auto" w:fill="FFFFFF"/>
        </w:rPr>
        <w:t xml:space="preserve">Table </w:t>
      </w:r>
      <w:r w:rsidRPr="007C4D65">
        <w:rPr>
          <w:rFonts w:asciiTheme="minorHAnsi" w:hAnsiTheme="minorHAnsi" w:cstheme="minorHAnsi"/>
          <w:b/>
          <w:bCs/>
          <w:i/>
          <w:sz w:val="22"/>
          <w:szCs w:val="22"/>
          <w:shd w:val="clear" w:color="auto" w:fill="FFFFFF"/>
        </w:rPr>
        <w:fldChar w:fldCharType="begin"/>
      </w:r>
      <w:r w:rsidRPr="007C4D65">
        <w:rPr>
          <w:rFonts w:asciiTheme="minorHAnsi" w:hAnsiTheme="minorHAnsi" w:cstheme="minorHAnsi"/>
          <w:b/>
          <w:bCs/>
          <w:i/>
          <w:sz w:val="22"/>
          <w:szCs w:val="22"/>
          <w:shd w:val="clear" w:color="auto" w:fill="FFFFFF"/>
        </w:rPr>
        <w:instrText xml:space="preserve"> REF tabela4 \h  \* MERGEFORMAT </w:instrText>
      </w:r>
      <w:r w:rsidRPr="007C4D65">
        <w:rPr>
          <w:rFonts w:asciiTheme="minorHAnsi" w:hAnsiTheme="minorHAnsi" w:cstheme="minorHAnsi"/>
          <w:b/>
          <w:bCs/>
          <w:i/>
          <w:sz w:val="22"/>
          <w:szCs w:val="22"/>
          <w:shd w:val="clear" w:color="auto" w:fill="FFFFFF"/>
        </w:rPr>
      </w:r>
      <w:r w:rsidRPr="007C4D65">
        <w:rPr>
          <w:rFonts w:asciiTheme="minorHAnsi" w:hAnsiTheme="minorHAnsi" w:cstheme="minorHAnsi"/>
          <w:b/>
          <w:bCs/>
          <w:i/>
          <w:sz w:val="22"/>
          <w:szCs w:val="22"/>
          <w:shd w:val="clear" w:color="auto" w:fill="FFFFFF"/>
        </w:rPr>
        <w:fldChar w:fldCharType="separate"/>
      </w:r>
      <w:r w:rsidRPr="007C4D65">
        <w:rPr>
          <w:rFonts w:asciiTheme="minorHAnsi" w:hAnsiTheme="minorHAnsi" w:cstheme="minorHAnsi"/>
          <w:b/>
          <w:bCs/>
          <w:i/>
          <w:sz w:val="22"/>
          <w:szCs w:val="22"/>
        </w:rPr>
        <w:t>2</w:t>
      </w:r>
      <w:r w:rsidRPr="007C4D65">
        <w:rPr>
          <w:rFonts w:asciiTheme="minorHAnsi" w:hAnsiTheme="minorHAnsi" w:cstheme="minorHAnsi"/>
          <w:b/>
          <w:bCs/>
          <w:i/>
          <w:sz w:val="22"/>
          <w:szCs w:val="22"/>
          <w:shd w:val="clear" w:color="auto" w:fill="FFFFFF"/>
        </w:rPr>
        <w:fldChar w:fldCharType="end"/>
      </w:r>
      <w:r w:rsidRPr="007C4D65">
        <w:rPr>
          <w:rFonts w:asciiTheme="minorHAnsi" w:hAnsiTheme="minorHAnsi" w:cstheme="minorHAnsi"/>
          <w:b/>
          <w:bCs/>
          <w:sz w:val="22"/>
          <w:szCs w:val="22"/>
          <w:shd w:val="clear" w:color="auto" w:fill="FFFFFF"/>
        </w:rPr>
        <w:t>.</w:t>
      </w:r>
      <w:r w:rsidRPr="007C4D65">
        <w:rPr>
          <w:rFonts w:asciiTheme="minorHAnsi" w:hAnsiTheme="minorHAnsi" w:cstheme="minorHAnsi"/>
          <w:sz w:val="22"/>
          <w:szCs w:val="22"/>
          <w:shd w:val="clear" w:color="auto" w:fill="FFFFFF"/>
        </w:rPr>
        <w:t xml:space="preserve"> </w:t>
      </w:r>
    </w:p>
    <w:p w14:paraId="35D46FF6" w14:textId="48942968" w:rsidR="008F71EF" w:rsidRPr="007C4D65" w:rsidRDefault="008F71EF" w:rsidP="008F71EF">
      <w:pPr>
        <w:pStyle w:val="Caption"/>
        <w:spacing w:line="276" w:lineRule="auto"/>
        <w:rPr>
          <w:rFonts w:asciiTheme="minorHAnsi" w:hAnsiTheme="minorHAnsi" w:cstheme="minorHAnsi"/>
          <w:szCs w:val="20"/>
        </w:rPr>
      </w:pPr>
      <w:bookmarkStart w:id="49" w:name="_Toc109842433"/>
      <w:bookmarkStart w:id="50" w:name="_Toc117011583"/>
      <w:r w:rsidRPr="007C4D65">
        <w:rPr>
          <w:rFonts w:asciiTheme="minorHAnsi" w:hAnsiTheme="minorHAnsi" w:cstheme="minorHAnsi"/>
        </w:rPr>
        <w:t xml:space="preserve">Table </w:t>
      </w:r>
      <w:r w:rsidR="005D60DA" w:rsidRPr="007C4D65">
        <w:rPr>
          <w:rFonts w:asciiTheme="minorHAnsi" w:hAnsiTheme="minorHAnsi" w:cstheme="minorHAnsi"/>
        </w:rPr>
        <w:fldChar w:fldCharType="begin"/>
      </w:r>
      <w:r w:rsidR="005D60DA" w:rsidRPr="007C4D65">
        <w:rPr>
          <w:rFonts w:asciiTheme="minorHAnsi" w:hAnsiTheme="minorHAnsi" w:cstheme="minorHAnsi"/>
        </w:rPr>
        <w:instrText xml:space="preserve"> SEQ Tabela \* ARABIC </w:instrText>
      </w:r>
      <w:r w:rsidR="005D60DA" w:rsidRPr="007C4D65">
        <w:rPr>
          <w:rFonts w:asciiTheme="minorHAnsi" w:hAnsiTheme="minorHAnsi" w:cstheme="minorHAnsi"/>
        </w:rPr>
        <w:fldChar w:fldCharType="separate"/>
      </w:r>
      <w:r w:rsidR="005D60DA" w:rsidRPr="007C4D65">
        <w:rPr>
          <w:rFonts w:asciiTheme="minorHAnsi" w:hAnsiTheme="minorHAnsi" w:cstheme="minorHAnsi"/>
          <w:noProof/>
        </w:rPr>
        <w:t>4</w:t>
      </w:r>
      <w:r w:rsidR="005D60DA" w:rsidRPr="007C4D65">
        <w:rPr>
          <w:rFonts w:asciiTheme="minorHAnsi" w:hAnsiTheme="minorHAnsi" w:cstheme="minorHAnsi"/>
        </w:rPr>
        <w:fldChar w:fldCharType="end"/>
      </w:r>
      <w:r w:rsidRPr="007C4D65">
        <w:rPr>
          <w:rFonts w:asciiTheme="minorHAnsi" w:hAnsiTheme="minorHAnsi" w:cstheme="minorHAnsi"/>
          <w:szCs w:val="20"/>
        </w:rPr>
        <w:t xml:space="preserve">: </w:t>
      </w:r>
      <w:r w:rsidRPr="007C4D65">
        <w:rPr>
          <w:rFonts w:asciiTheme="minorHAnsi" w:hAnsiTheme="minorHAnsi" w:cstheme="minorHAnsi"/>
          <w:b w:val="0"/>
          <w:szCs w:val="20"/>
        </w:rPr>
        <w:t>Number and type/character of surface and ground water bodies in the areas of the Sava River and Adriatic Sea</w:t>
      </w:r>
      <w:bookmarkEnd w:id="49"/>
      <w:bookmarkEnd w:id="50"/>
      <w:r w:rsidRPr="007C4D65">
        <w:rPr>
          <w:rFonts w:asciiTheme="minorHAnsi" w:hAnsiTheme="minorHAnsi" w:cstheme="minorHAnsi"/>
          <w:szCs w:val="20"/>
          <w:shd w:val="clear" w:color="auto" w:fill="FFFFFF"/>
        </w:rPr>
        <w:t xml:space="preserve"> </w:t>
      </w:r>
    </w:p>
    <w:tbl>
      <w:tblPr>
        <w:tblW w:w="5000" w:type="pct"/>
        <w:tblInd w:w="-34"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ayout w:type="fixed"/>
        <w:tblLook w:val="04A0" w:firstRow="1" w:lastRow="0" w:firstColumn="1" w:lastColumn="0" w:noHBand="0" w:noVBand="1"/>
      </w:tblPr>
      <w:tblGrid>
        <w:gridCol w:w="958"/>
        <w:gridCol w:w="824"/>
        <w:gridCol w:w="985"/>
        <w:gridCol w:w="1360"/>
        <w:gridCol w:w="1326"/>
        <w:gridCol w:w="1050"/>
        <w:gridCol w:w="1054"/>
        <w:gridCol w:w="1463"/>
      </w:tblGrid>
      <w:tr w:rsidR="00F36FD1" w:rsidRPr="007C4D65" w14:paraId="2017C2A3" w14:textId="77777777" w:rsidTr="00B6017F">
        <w:trPr>
          <w:trHeight w:val="323"/>
          <w:tblHeader/>
        </w:trPr>
        <w:tc>
          <w:tcPr>
            <w:tcW w:w="531" w:type="pct"/>
            <w:shd w:val="clear" w:color="auto" w:fill="009D73"/>
            <w:vAlign w:val="center"/>
          </w:tcPr>
          <w:p w14:paraId="31D7FA06" w14:textId="77777777" w:rsidR="008F71EF" w:rsidRPr="007C4D65" w:rsidRDefault="008F71EF" w:rsidP="00B6017F">
            <w:pPr>
              <w:spacing w:line="276" w:lineRule="auto"/>
              <w:jc w:val="center"/>
              <w:rPr>
                <w:rFonts w:asciiTheme="minorHAnsi" w:hAnsiTheme="minorHAnsi" w:cstheme="minorHAnsi"/>
                <w:color w:val="FFFFFF" w:themeColor="background1"/>
                <w:sz w:val="18"/>
                <w:szCs w:val="18"/>
              </w:rPr>
            </w:pPr>
            <w:proofErr w:type="gramStart"/>
            <w:r w:rsidRPr="007C4D65">
              <w:rPr>
                <w:rFonts w:asciiTheme="minorHAnsi" w:hAnsiTheme="minorHAnsi" w:cstheme="minorHAnsi"/>
                <w:color w:val="FFFFFF" w:themeColor="background1"/>
                <w:sz w:val="18"/>
                <w:szCs w:val="18"/>
              </w:rPr>
              <w:t>River  basin</w:t>
            </w:r>
            <w:proofErr w:type="gramEnd"/>
          </w:p>
        </w:tc>
        <w:tc>
          <w:tcPr>
            <w:tcW w:w="457" w:type="pct"/>
            <w:shd w:val="clear" w:color="auto" w:fill="009D73"/>
            <w:vAlign w:val="center"/>
          </w:tcPr>
          <w:p w14:paraId="459F80DC" w14:textId="77777777"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Total number of water bodies (WB)</w:t>
            </w:r>
          </w:p>
        </w:tc>
        <w:tc>
          <w:tcPr>
            <w:tcW w:w="546" w:type="pct"/>
            <w:shd w:val="clear" w:color="auto" w:fill="009D73"/>
            <w:vAlign w:val="center"/>
          </w:tcPr>
          <w:p w14:paraId="131F591B" w14:textId="77777777"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Number of natural water bodies</w:t>
            </w:r>
          </w:p>
        </w:tc>
        <w:tc>
          <w:tcPr>
            <w:tcW w:w="754" w:type="pct"/>
            <w:shd w:val="clear" w:color="auto" w:fill="009D73"/>
            <w:vAlign w:val="center"/>
          </w:tcPr>
          <w:p w14:paraId="34AA2AD7" w14:textId="77777777"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 xml:space="preserve">Number of cross-border water bodies </w:t>
            </w:r>
          </w:p>
        </w:tc>
        <w:tc>
          <w:tcPr>
            <w:tcW w:w="735" w:type="pct"/>
            <w:shd w:val="clear" w:color="auto" w:fill="009D73"/>
            <w:vAlign w:val="center"/>
          </w:tcPr>
          <w:p w14:paraId="7F3A3F43" w14:textId="77777777"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 xml:space="preserve">Number of heavily modified water bodies </w:t>
            </w:r>
          </w:p>
          <w:p w14:paraId="7899E047" w14:textId="77777777"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(HMWB)</w:t>
            </w:r>
          </w:p>
        </w:tc>
        <w:tc>
          <w:tcPr>
            <w:tcW w:w="582" w:type="pct"/>
            <w:shd w:val="clear" w:color="auto" w:fill="009D73"/>
            <w:vAlign w:val="center"/>
          </w:tcPr>
          <w:p w14:paraId="423DF635" w14:textId="77777777"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 xml:space="preserve">Number of artificial water bodies </w:t>
            </w:r>
          </w:p>
          <w:p w14:paraId="5E1B372E" w14:textId="77777777" w:rsidR="008F71EF" w:rsidRPr="007C4D65" w:rsidRDefault="008F71EF" w:rsidP="00B6017F">
            <w:pPr>
              <w:spacing w:line="276" w:lineRule="auto"/>
              <w:jc w:val="center"/>
              <w:rPr>
                <w:rFonts w:asciiTheme="minorHAnsi" w:hAnsiTheme="minorHAnsi" w:cstheme="minorHAnsi"/>
                <w:color w:val="FFFFFF" w:themeColor="background1"/>
                <w:sz w:val="18"/>
                <w:szCs w:val="18"/>
              </w:rPr>
            </w:pPr>
          </w:p>
        </w:tc>
        <w:tc>
          <w:tcPr>
            <w:tcW w:w="584" w:type="pct"/>
            <w:shd w:val="clear" w:color="auto" w:fill="009D73"/>
            <w:vAlign w:val="center"/>
          </w:tcPr>
          <w:p w14:paraId="5520B714" w14:textId="77777777"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 xml:space="preserve">Number of water bodies groups </w:t>
            </w:r>
          </w:p>
          <w:p w14:paraId="631C4C29" w14:textId="77777777"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 xml:space="preserve"> (GWB) </w:t>
            </w:r>
          </w:p>
        </w:tc>
        <w:tc>
          <w:tcPr>
            <w:tcW w:w="811" w:type="pct"/>
            <w:shd w:val="clear" w:color="auto" w:fill="009D73"/>
            <w:vAlign w:val="center"/>
          </w:tcPr>
          <w:p w14:paraId="4FA2AF30" w14:textId="77777777"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 xml:space="preserve">Number of </w:t>
            </w:r>
          </w:p>
          <w:p w14:paraId="2F27ACAA" w14:textId="77777777"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inter-entity water bodies / state water bodies</w:t>
            </w:r>
          </w:p>
        </w:tc>
      </w:tr>
      <w:tr w:rsidR="008F71EF" w:rsidRPr="007C4D65" w14:paraId="56B6F72A" w14:textId="77777777" w:rsidTr="00B6017F">
        <w:trPr>
          <w:trHeight w:val="391"/>
        </w:trPr>
        <w:tc>
          <w:tcPr>
            <w:tcW w:w="531" w:type="pct"/>
            <w:shd w:val="clear" w:color="auto" w:fill="FFFFFF" w:themeFill="background1"/>
            <w:vAlign w:val="center"/>
          </w:tcPr>
          <w:p w14:paraId="4A92A8A0"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Sava River Basin </w:t>
            </w:r>
          </w:p>
        </w:tc>
        <w:tc>
          <w:tcPr>
            <w:tcW w:w="457" w:type="pct"/>
            <w:shd w:val="clear" w:color="auto" w:fill="FFFFFF" w:themeFill="background1"/>
            <w:vAlign w:val="center"/>
          </w:tcPr>
          <w:p w14:paraId="775BF1EA"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548</w:t>
            </w:r>
          </w:p>
        </w:tc>
        <w:tc>
          <w:tcPr>
            <w:tcW w:w="546" w:type="pct"/>
            <w:shd w:val="clear" w:color="auto" w:fill="FFFFFF" w:themeFill="background1"/>
            <w:vAlign w:val="center"/>
          </w:tcPr>
          <w:p w14:paraId="1D5C9E83"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548</w:t>
            </w:r>
          </w:p>
        </w:tc>
        <w:tc>
          <w:tcPr>
            <w:tcW w:w="754" w:type="pct"/>
            <w:shd w:val="clear" w:color="auto" w:fill="FFFFFF" w:themeFill="background1"/>
            <w:vAlign w:val="center"/>
          </w:tcPr>
          <w:p w14:paraId="0539CEDA" w14:textId="31A40BEF"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9 (BIH/</w:t>
            </w:r>
            <w:r w:rsidR="0058588C" w:rsidRPr="007C4D65">
              <w:rPr>
                <w:rFonts w:asciiTheme="minorHAnsi" w:hAnsiTheme="minorHAnsi" w:cstheme="minorHAnsi"/>
                <w:sz w:val="18"/>
                <w:szCs w:val="18"/>
              </w:rPr>
              <w:t>Federation of BiH</w:t>
            </w:r>
            <w:r w:rsidRPr="007C4D65">
              <w:rPr>
                <w:rFonts w:asciiTheme="minorHAnsi" w:hAnsiTheme="minorHAnsi" w:cstheme="minorHAnsi"/>
                <w:sz w:val="18"/>
                <w:szCs w:val="18"/>
              </w:rPr>
              <w:t>/RC)</w:t>
            </w:r>
          </w:p>
          <w:p w14:paraId="15C12AB5" w14:textId="00774ADF"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21 (</w:t>
            </w:r>
            <w:r w:rsidR="0058588C" w:rsidRPr="007C4D65">
              <w:rPr>
                <w:rFonts w:asciiTheme="minorHAnsi" w:hAnsiTheme="minorHAnsi" w:cstheme="minorHAnsi"/>
                <w:sz w:val="18"/>
                <w:szCs w:val="18"/>
              </w:rPr>
              <w:t>Federation of BiH</w:t>
            </w:r>
            <w:r w:rsidRPr="007C4D65">
              <w:rPr>
                <w:rFonts w:asciiTheme="minorHAnsi" w:hAnsiTheme="minorHAnsi" w:cstheme="minorHAnsi"/>
                <w:sz w:val="18"/>
                <w:szCs w:val="18"/>
              </w:rPr>
              <w:t>/RS)</w:t>
            </w:r>
          </w:p>
          <w:p w14:paraId="2E902D5C" w14:textId="7AC1B482"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1 (</w:t>
            </w:r>
            <w:r w:rsidR="0058588C" w:rsidRPr="007C4D65">
              <w:rPr>
                <w:rFonts w:asciiTheme="minorHAnsi" w:hAnsiTheme="minorHAnsi" w:cstheme="minorHAnsi"/>
                <w:sz w:val="18"/>
                <w:szCs w:val="18"/>
              </w:rPr>
              <w:t>Federation of BiH</w:t>
            </w:r>
            <w:r w:rsidRPr="007C4D65">
              <w:rPr>
                <w:rFonts w:asciiTheme="minorHAnsi" w:hAnsiTheme="minorHAnsi" w:cstheme="minorHAnsi"/>
                <w:sz w:val="18"/>
                <w:szCs w:val="18"/>
              </w:rPr>
              <w:t xml:space="preserve"> /BD)</w:t>
            </w:r>
          </w:p>
        </w:tc>
        <w:tc>
          <w:tcPr>
            <w:tcW w:w="735" w:type="pct"/>
            <w:shd w:val="clear" w:color="auto" w:fill="FFFFFF" w:themeFill="background1"/>
            <w:vAlign w:val="center"/>
          </w:tcPr>
          <w:p w14:paraId="6C28E076"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49 HMWB</w:t>
            </w:r>
          </w:p>
          <w:p w14:paraId="7737F7FD"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w:t>
            </w:r>
          </w:p>
          <w:p w14:paraId="39319F1E"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37 “candidates for </w:t>
            </w:r>
            <w:proofErr w:type="gramStart"/>
            <w:r w:rsidRPr="007C4D65">
              <w:rPr>
                <w:rFonts w:asciiTheme="minorHAnsi" w:hAnsiTheme="minorHAnsi" w:cstheme="minorHAnsi"/>
                <w:sz w:val="18"/>
                <w:szCs w:val="18"/>
              </w:rPr>
              <w:t>HMWB“</w:t>
            </w:r>
            <w:proofErr w:type="gramEnd"/>
          </w:p>
        </w:tc>
        <w:tc>
          <w:tcPr>
            <w:tcW w:w="582" w:type="pct"/>
            <w:shd w:val="clear" w:color="auto" w:fill="FFFFFF" w:themeFill="background1"/>
            <w:vAlign w:val="center"/>
          </w:tcPr>
          <w:p w14:paraId="3FB225A1"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0</w:t>
            </w:r>
          </w:p>
        </w:tc>
        <w:tc>
          <w:tcPr>
            <w:tcW w:w="584" w:type="pct"/>
            <w:shd w:val="clear" w:color="auto" w:fill="FFFFFF" w:themeFill="background1"/>
            <w:vAlign w:val="center"/>
          </w:tcPr>
          <w:p w14:paraId="305A6243"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20</w:t>
            </w:r>
          </w:p>
          <w:p w14:paraId="167876D7"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(5 integrated medium +</w:t>
            </w:r>
          </w:p>
          <w:p w14:paraId="2673C90F"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15 fissure-karst </w:t>
            </w:r>
            <w:proofErr w:type="gramStart"/>
            <w:r w:rsidRPr="007C4D65">
              <w:rPr>
                <w:rFonts w:asciiTheme="minorHAnsi" w:hAnsiTheme="minorHAnsi" w:cstheme="minorHAnsi"/>
                <w:sz w:val="18"/>
                <w:szCs w:val="18"/>
              </w:rPr>
              <w:t>medium)*</w:t>
            </w:r>
            <w:proofErr w:type="gramEnd"/>
          </w:p>
          <w:p w14:paraId="42F50BB5" w14:textId="77777777" w:rsidR="008F71EF" w:rsidRPr="007C4D65" w:rsidRDefault="008F71EF" w:rsidP="00B6017F">
            <w:pPr>
              <w:spacing w:line="276" w:lineRule="auto"/>
              <w:rPr>
                <w:rFonts w:asciiTheme="minorHAnsi" w:hAnsiTheme="minorHAnsi" w:cstheme="minorHAnsi"/>
                <w:sz w:val="18"/>
                <w:szCs w:val="18"/>
              </w:rPr>
            </w:pPr>
          </w:p>
          <w:p w14:paraId="4DCEEEA0" w14:textId="77777777" w:rsidR="008F71EF" w:rsidRPr="007C4D65" w:rsidRDefault="008F71EF" w:rsidP="00B6017F">
            <w:pPr>
              <w:spacing w:line="276" w:lineRule="auto"/>
              <w:rPr>
                <w:rFonts w:asciiTheme="minorHAnsi" w:hAnsiTheme="minorHAnsi" w:cstheme="minorHAnsi"/>
                <w:i/>
                <w:sz w:val="18"/>
                <w:szCs w:val="18"/>
              </w:rPr>
            </w:pPr>
            <w:r w:rsidRPr="007C4D65">
              <w:rPr>
                <w:rFonts w:asciiTheme="minorHAnsi" w:hAnsiTheme="minorHAnsi" w:cstheme="minorHAnsi"/>
                <w:i/>
                <w:sz w:val="18"/>
                <w:szCs w:val="18"/>
              </w:rPr>
              <w:t xml:space="preserve">* </w:t>
            </w:r>
            <w:proofErr w:type="gramStart"/>
            <w:r w:rsidRPr="007C4D65">
              <w:rPr>
                <w:rFonts w:asciiTheme="minorHAnsi" w:hAnsiTheme="minorHAnsi" w:cstheme="minorHAnsi"/>
                <w:i/>
                <w:sz w:val="18"/>
                <w:szCs w:val="18"/>
              </w:rPr>
              <w:t>total</w:t>
            </w:r>
            <w:proofErr w:type="gramEnd"/>
            <w:r w:rsidRPr="007C4D65">
              <w:rPr>
                <w:rFonts w:asciiTheme="minorHAnsi" w:hAnsiTheme="minorHAnsi" w:cstheme="minorHAnsi"/>
                <w:i/>
                <w:sz w:val="18"/>
                <w:szCs w:val="18"/>
              </w:rPr>
              <w:t xml:space="preserve"> number of determined GWB is 74</w:t>
            </w:r>
          </w:p>
        </w:tc>
        <w:tc>
          <w:tcPr>
            <w:tcW w:w="811" w:type="pct"/>
            <w:shd w:val="clear" w:color="auto" w:fill="FFFFFF" w:themeFill="background1"/>
            <w:vAlign w:val="center"/>
          </w:tcPr>
          <w:p w14:paraId="16A56218" w14:textId="777418B9"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2 </w:t>
            </w:r>
            <w:r w:rsidR="0058588C" w:rsidRPr="007C4D65">
              <w:rPr>
                <w:rFonts w:asciiTheme="minorHAnsi" w:hAnsiTheme="minorHAnsi" w:cstheme="minorHAnsi"/>
                <w:sz w:val="18"/>
                <w:szCs w:val="18"/>
              </w:rPr>
              <w:t>Federation of BiH</w:t>
            </w:r>
            <w:r w:rsidRPr="007C4D65">
              <w:rPr>
                <w:rFonts w:asciiTheme="minorHAnsi" w:hAnsiTheme="minorHAnsi" w:cstheme="minorHAnsi"/>
                <w:sz w:val="18"/>
                <w:szCs w:val="18"/>
              </w:rPr>
              <w:t>/RS</w:t>
            </w:r>
          </w:p>
          <w:p w14:paraId="61B0F0C2" w14:textId="6B456603"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13 </w:t>
            </w:r>
            <w:r w:rsidR="0058588C" w:rsidRPr="007C4D65">
              <w:rPr>
                <w:rFonts w:asciiTheme="minorHAnsi" w:hAnsiTheme="minorHAnsi" w:cstheme="minorHAnsi"/>
                <w:sz w:val="18"/>
                <w:szCs w:val="18"/>
              </w:rPr>
              <w:t>Federation of BiH</w:t>
            </w:r>
            <w:r w:rsidRPr="007C4D65">
              <w:rPr>
                <w:rFonts w:asciiTheme="minorHAnsi" w:hAnsiTheme="minorHAnsi" w:cstheme="minorHAnsi"/>
                <w:sz w:val="18"/>
                <w:szCs w:val="18"/>
              </w:rPr>
              <w:t>/Croatia</w:t>
            </w:r>
          </w:p>
          <w:p w14:paraId="5C112B99" w14:textId="7A70F31A"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1 </w:t>
            </w:r>
            <w:r w:rsidR="0058588C" w:rsidRPr="007C4D65">
              <w:rPr>
                <w:rFonts w:asciiTheme="minorHAnsi" w:hAnsiTheme="minorHAnsi" w:cstheme="minorHAnsi"/>
                <w:sz w:val="18"/>
                <w:szCs w:val="18"/>
              </w:rPr>
              <w:t>Federation of BiH</w:t>
            </w:r>
            <w:r w:rsidRPr="007C4D65">
              <w:rPr>
                <w:rFonts w:asciiTheme="minorHAnsi" w:hAnsiTheme="minorHAnsi" w:cstheme="minorHAnsi"/>
                <w:sz w:val="18"/>
                <w:szCs w:val="18"/>
              </w:rPr>
              <w:t>/RS/Serbia</w:t>
            </w:r>
          </w:p>
          <w:p w14:paraId="19C286B8" w14:textId="42B36CC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1 </w:t>
            </w:r>
            <w:r w:rsidR="0058588C" w:rsidRPr="007C4D65">
              <w:rPr>
                <w:rFonts w:asciiTheme="minorHAnsi" w:hAnsiTheme="minorHAnsi" w:cstheme="minorHAnsi"/>
                <w:sz w:val="18"/>
                <w:szCs w:val="18"/>
              </w:rPr>
              <w:t>Federation of BiH</w:t>
            </w:r>
            <w:r w:rsidRPr="007C4D65">
              <w:rPr>
                <w:rFonts w:asciiTheme="minorHAnsi" w:hAnsiTheme="minorHAnsi" w:cstheme="minorHAnsi"/>
                <w:sz w:val="18"/>
                <w:szCs w:val="18"/>
              </w:rPr>
              <w:t>/RS/BD/Croatia</w:t>
            </w:r>
          </w:p>
        </w:tc>
      </w:tr>
      <w:tr w:rsidR="008F71EF" w:rsidRPr="007C4D65" w14:paraId="320ACB35" w14:textId="77777777" w:rsidTr="00B6017F">
        <w:trPr>
          <w:trHeight w:val="391"/>
        </w:trPr>
        <w:tc>
          <w:tcPr>
            <w:tcW w:w="531" w:type="pct"/>
            <w:shd w:val="clear" w:color="auto" w:fill="FFFFFF" w:themeFill="background1"/>
            <w:vAlign w:val="center"/>
          </w:tcPr>
          <w:p w14:paraId="4434FA8C"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River Basin of</w:t>
            </w:r>
          </w:p>
          <w:p w14:paraId="3F7CA31A"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Adriatic Sea</w:t>
            </w:r>
          </w:p>
        </w:tc>
        <w:tc>
          <w:tcPr>
            <w:tcW w:w="457" w:type="pct"/>
            <w:shd w:val="clear" w:color="auto" w:fill="FFFFFF" w:themeFill="background1"/>
            <w:vAlign w:val="center"/>
          </w:tcPr>
          <w:p w14:paraId="2B89F8E9"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217 </w:t>
            </w:r>
          </w:p>
          <w:p w14:paraId="671EBBAA"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(212 WB running water, </w:t>
            </w:r>
          </w:p>
          <w:p w14:paraId="21124B5E"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4 WB standing water bodies, </w:t>
            </w:r>
          </w:p>
          <w:p w14:paraId="55E20A1F"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1 WB coastal waters </w:t>
            </w:r>
          </w:p>
        </w:tc>
        <w:tc>
          <w:tcPr>
            <w:tcW w:w="546" w:type="pct"/>
            <w:shd w:val="clear" w:color="auto" w:fill="FFFFFF" w:themeFill="background1"/>
            <w:vAlign w:val="center"/>
          </w:tcPr>
          <w:p w14:paraId="5BAB3135"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154 natural WB</w:t>
            </w:r>
          </w:p>
          <w:p w14:paraId="518BB850"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 (152 WB running water,</w:t>
            </w:r>
          </w:p>
          <w:p w14:paraId="782AAAC7"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 2 WB standing waters</w:t>
            </w:r>
          </w:p>
          <w:p w14:paraId="17E68CB5" w14:textId="77777777" w:rsidR="008F71EF" w:rsidRPr="007C4D65" w:rsidRDefault="008F71EF" w:rsidP="00B6017F">
            <w:pPr>
              <w:spacing w:line="276" w:lineRule="auto"/>
              <w:rPr>
                <w:rFonts w:asciiTheme="minorHAnsi" w:eastAsia="MS PGothic" w:hAnsiTheme="minorHAnsi" w:cstheme="minorHAnsi"/>
                <w:sz w:val="18"/>
                <w:szCs w:val="18"/>
                <w:lang w:eastAsia="en-US"/>
              </w:rPr>
            </w:pPr>
            <w:r w:rsidRPr="007C4D65">
              <w:rPr>
                <w:rFonts w:asciiTheme="minorHAnsi" w:hAnsiTheme="minorHAnsi" w:cstheme="minorHAnsi"/>
                <w:sz w:val="18"/>
                <w:szCs w:val="18"/>
              </w:rPr>
              <w:t xml:space="preserve"> </w:t>
            </w:r>
          </w:p>
          <w:p w14:paraId="02B0AB56" w14:textId="77777777" w:rsidR="008F71EF" w:rsidRPr="007C4D65" w:rsidRDefault="008F71EF" w:rsidP="00B6017F">
            <w:pPr>
              <w:spacing w:line="276" w:lineRule="auto"/>
              <w:rPr>
                <w:rFonts w:asciiTheme="minorHAnsi" w:hAnsiTheme="minorHAnsi" w:cstheme="minorHAnsi"/>
                <w:sz w:val="18"/>
                <w:szCs w:val="18"/>
              </w:rPr>
            </w:pPr>
          </w:p>
        </w:tc>
        <w:tc>
          <w:tcPr>
            <w:tcW w:w="754" w:type="pct"/>
            <w:shd w:val="clear" w:color="auto" w:fill="FFFFFF" w:themeFill="background1"/>
            <w:vAlign w:val="center"/>
          </w:tcPr>
          <w:p w14:paraId="4EA9C2D4" w14:textId="77777777" w:rsidR="008F71EF" w:rsidRPr="007C4D65" w:rsidRDefault="008F71EF" w:rsidP="00B6017F">
            <w:pPr>
              <w:spacing w:line="276" w:lineRule="auto"/>
              <w:rPr>
                <w:rFonts w:asciiTheme="minorHAnsi" w:hAnsiTheme="minorHAnsi" w:cstheme="minorHAnsi"/>
                <w:sz w:val="18"/>
                <w:szCs w:val="18"/>
              </w:rPr>
            </w:pPr>
          </w:p>
        </w:tc>
        <w:tc>
          <w:tcPr>
            <w:tcW w:w="735" w:type="pct"/>
            <w:shd w:val="clear" w:color="auto" w:fill="FFFFFF" w:themeFill="background1"/>
            <w:vAlign w:val="center"/>
          </w:tcPr>
          <w:p w14:paraId="61A42EE2" w14:textId="77777777" w:rsidR="008F71EF" w:rsidRPr="007C4D65" w:rsidRDefault="008F71EF" w:rsidP="00B6017F">
            <w:pPr>
              <w:spacing w:line="276" w:lineRule="auto"/>
              <w:ind w:right="284"/>
              <w:rPr>
                <w:rFonts w:asciiTheme="minorHAnsi" w:eastAsia="MS PGothic" w:hAnsiTheme="minorHAnsi" w:cstheme="minorHAnsi"/>
                <w:sz w:val="18"/>
                <w:szCs w:val="18"/>
                <w:lang w:eastAsia="en-US"/>
              </w:rPr>
            </w:pPr>
            <w:r w:rsidRPr="007C4D65">
              <w:rPr>
                <w:rFonts w:asciiTheme="minorHAnsi" w:eastAsia="MS PGothic" w:hAnsiTheme="minorHAnsi" w:cstheme="minorHAnsi"/>
                <w:sz w:val="18"/>
                <w:szCs w:val="18"/>
                <w:lang w:eastAsia="en-US"/>
              </w:rPr>
              <w:t xml:space="preserve">59 JIVT </w:t>
            </w:r>
          </w:p>
          <w:p w14:paraId="72A78C35" w14:textId="77777777" w:rsidR="008F71EF" w:rsidRPr="007C4D65" w:rsidRDefault="008F71EF" w:rsidP="00B6017F">
            <w:pPr>
              <w:spacing w:line="276" w:lineRule="auto"/>
              <w:ind w:right="284"/>
              <w:rPr>
                <w:rFonts w:asciiTheme="minorHAnsi" w:eastAsia="MS PGothic" w:hAnsiTheme="minorHAnsi" w:cstheme="minorHAnsi"/>
                <w:sz w:val="18"/>
                <w:szCs w:val="18"/>
                <w:lang w:eastAsia="en-US"/>
              </w:rPr>
            </w:pPr>
            <w:r w:rsidRPr="007C4D65">
              <w:rPr>
                <w:rFonts w:asciiTheme="minorHAnsi" w:eastAsia="MS PGothic" w:hAnsiTheme="minorHAnsi" w:cstheme="minorHAnsi"/>
                <w:sz w:val="18"/>
                <w:szCs w:val="18"/>
                <w:lang w:eastAsia="en-US"/>
              </w:rPr>
              <w:t>(58 HMWB running and standing water)</w:t>
            </w:r>
          </w:p>
          <w:p w14:paraId="20BAD3FA" w14:textId="77777777" w:rsidR="008F71EF" w:rsidRPr="007C4D65" w:rsidRDefault="008F71EF" w:rsidP="00B6017F">
            <w:pPr>
              <w:spacing w:line="276" w:lineRule="auto"/>
              <w:rPr>
                <w:rFonts w:asciiTheme="minorHAnsi" w:hAnsiTheme="minorHAnsi" w:cstheme="minorHAnsi"/>
                <w:sz w:val="18"/>
                <w:szCs w:val="18"/>
              </w:rPr>
            </w:pPr>
          </w:p>
        </w:tc>
        <w:tc>
          <w:tcPr>
            <w:tcW w:w="582" w:type="pct"/>
            <w:shd w:val="clear" w:color="auto" w:fill="FFFFFF" w:themeFill="background1"/>
            <w:vAlign w:val="center"/>
          </w:tcPr>
          <w:p w14:paraId="3A62E813"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3 WB</w:t>
            </w:r>
          </w:p>
          <w:p w14:paraId="7F6DFAF6"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(2 WB running water,</w:t>
            </w:r>
          </w:p>
          <w:p w14:paraId="3941BC4F"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1 WB standing water)</w:t>
            </w:r>
          </w:p>
        </w:tc>
        <w:tc>
          <w:tcPr>
            <w:tcW w:w="584" w:type="pct"/>
            <w:shd w:val="clear" w:color="auto" w:fill="FFFFFF" w:themeFill="background1"/>
            <w:vAlign w:val="center"/>
          </w:tcPr>
          <w:p w14:paraId="29E1EFCD"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44</w:t>
            </w:r>
          </w:p>
          <w:p w14:paraId="5BB961CA" w14:textId="77777777" w:rsidR="008F71EF" w:rsidRPr="007C4D65" w:rsidRDefault="008F71EF" w:rsidP="00B6017F">
            <w:pPr>
              <w:spacing w:line="276" w:lineRule="auto"/>
              <w:rPr>
                <w:rFonts w:asciiTheme="minorHAnsi" w:hAnsiTheme="minorHAnsi" w:cstheme="minorHAnsi"/>
                <w:sz w:val="18"/>
                <w:szCs w:val="18"/>
              </w:rPr>
            </w:pPr>
          </w:p>
          <w:p w14:paraId="71E965CF"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(37 productive)</w:t>
            </w:r>
          </w:p>
        </w:tc>
        <w:tc>
          <w:tcPr>
            <w:tcW w:w="811" w:type="pct"/>
            <w:shd w:val="clear" w:color="auto" w:fill="FFFFFF" w:themeFill="background1"/>
            <w:vAlign w:val="center"/>
          </w:tcPr>
          <w:p w14:paraId="21F3B7D4"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Productive:</w:t>
            </w:r>
          </w:p>
          <w:p w14:paraId="1DDFFCC9" w14:textId="379F5E92"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8 </w:t>
            </w:r>
            <w:r w:rsidR="0058588C" w:rsidRPr="007C4D65">
              <w:rPr>
                <w:rFonts w:asciiTheme="minorHAnsi" w:hAnsiTheme="minorHAnsi" w:cstheme="minorHAnsi"/>
                <w:sz w:val="18"/>
                <w:szCs w:val="18"/>
              </w:rPr>
              <w:t>Federation of BiH</w:t>
            </w:r>
            <w:r w:rsidRPr="007C4D65">
              <w:rPr>
                <w:rFonts w:asciiTheme="minorHAnsi" w:hAnsiTheme="minorHAnsi" w:cstheme="minorHAnsi"/>
                <w:sz w:val="18"/>
                <w:szCs w:val="18"/>
              </w:rPr>
              <w:t>/RS</w:t>
            </w:r>
          </w:p>
          <w:p w14:paraId="34F16A69" w14:textId="118AD078"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2 RS/</w:t>
            </w:r>
            <w:r w:rsidR="0058588C" w:rsidRPr="007C4D65">
              <w:rPr>
                <w:rFonts w:asciiTheme="minorHAnsi" w:hAnsiTheme="minorHAnsi" w:cstheme="minorHAnsi"/>
                <w:sz w:val="18"/>
                <w:szCs w:val="18"/>
              </w:rPr>
              <w:t>Federation of BiH</w:t>
            </w:r>
            <w:r w:rsidRPr="007C4D65">
              <w:rPr>
                <w:rFonts w:asciiTheme="minorHAnsi" w:hAnsiTheme="minorHAnsi" w:cstheme="minorHAnsi"/>
                <w:sz w:val="18"/>
                <w:szCs w:val="18"/>
              </w:rPr>
              <w:t>/Croatia</w:t>
            </w:r>
          </w:p>
          <w:p w14:paraId="2C8C0B3F" w14:textId="7734CAC2"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10 </w:t>
            </w:r>
            <w:r w:rsidR="0058588C" w:rsidRPr="007C4D65">
              <w:rPr>
                <w:rFonts w:asciiTheme="minorHAnsi" w:hAnsiTheme="minorHAnsi" w:cstheme="minorHAnsi"/>
                <w:sz w:val="18"/>
                <w:szCs w:val="18"/>
              </w:rPr>
              <w:t>Federation of BiH</w:t>
            </w:r>
            <w:r w:rsidRPr="007C4D65">
              <w:rPr>
                <w:rFonts w:asciiTheme="minorHAnsi" w:hAnsiTheme="minorHAnsi" w:cstheme="minorHAnsi"/>
                <w:sz w:val="18"/>
                <w:szCs w:val="18"/>
              </w:rPr>
              <w:t>/ Croatia</w:t>
            </w:r>
          </w:p>
          <w:p w14:paraId="13984635" w14:textId="77777777" w:rsidR="008F71EF" w:rsidRPr="007C4D65" w:rsidRDefault="008F71EF" w:rsidP="00B6017F">
            <w:pPr>
              <w:spacing w:line="276" w:lineRule="auto"/>
              <w:rPr>
                <w:rFonts w:asciiTheme="minorHAnsi" w:hAnsiTheme="minorHAnsi" w:cstheme="minorHAnsi"/>
                <w:sz w:val="18"/>
                <w:szCs w:val="18"/>
              </w:rPr>
            </w:pPr>
          </w:p>
          <w:p w14:paraId="53CA1C52"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Non-productive:</w:t>
            </w:r>
          </w:p>
          <w:p w14:paraId="0BAD510E" w14:textId="7BFB73A2"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1 </w:t>
            </w:r>
            <w:r w:rsidR="0058588C" w:rsidRPr="007C4D65">
              <w:rPr>
                <w:rFonts w:asciiTheme="minorHAnsi" w:hAnsiTheme="minorHAnsi" w:cstheme="minorHAnsi"/>
                <w:sz w:val="18"/>
                <w:szCs w:val="18"/>
              </w:rPr>
              <w:t>Federation of BiH</w:t>
            </w:r>
            <w:r w:rsidRPr="007C4D65">
              <w:rPr>
                <w:rFonts w:asciiTheme="minorHAnsi" w:hAnsiTheme="minorHAnsi" w:cstheme="minorHAnsi"/>
                <w:sz w:val="18"/>
                <w:szCs w:val="18"/>
              </w:rPr>
              <w:t>/RS</w:t>
            </w:r>
          </w:p>
          <w:p w14:paraId="130B42B5" w14:textId="474779FA"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2 </w:t>
            </w:r>
            <w:r w:rsidR="0058588C" w:rsidRPr="007C4D65">
              <w:rPr>
                <w:rFonts w:asciiTheme="minorHAnsi" w:hAnsiTheme="minorHAnsi" w:cstheme="minorHAnsi"/>
                <w:sz w:val="18"/>
                <w:szCs w:val="18"/>
              </w:rPr>
              <w:t>Federation of BiH</w:t>
            </w:r>
            <w:r w:rsidRPr="007C4D65">
              <w:rPr>
                <w:rFonts w:asciiTheme="minorHAnsi" w:hAnsiTheme="minorHAnsi" w:cstheme="minorHAnsi"/>
                <w:sz w:val="18"/>
                <w:szCs w:val="18"/>
              </w:rPr>
              <w:t>/Croatia</w:t>
            </w:r>
          </w:p>
        </w:tc>
      </w:tr>
    </w:tbl>
    <w:p w14:paraId="63228598" w14:textId="287D7D91" w:rsidR="008F71EF" w:rsidRPr="007C4D65" w:rsidRDefault="008F71EF" w:rsidP="008F71EF">
      <w:pPr>
        <w:spacing w:line="276" w:lineRule="auto"/>
        <w:rPr>
          <w:rFonts w:asciiTheme="minorHAnsi" w:hAnsiTheme="minorHAnsi" w:cstheme="minorHAnsi"/>
          <w:i/>
          <w:sz w:val="20"/>
          <w:szCs w:val="20"/>
        </w:rPr>
      </w:pPr>
      <w:r w:rsidRPr="007C4D65">
        <w:rPr>
          <w:rFonts w:asciiTheme="minorHAnsi" w:hAnsiTheme="minorHAnsi" w:cstheme="minorHAnsi"/>
          <w:i/>
          <w:sz w:val="20"/>
          <w:szCs w:val="20"/>
        </w:rPr>
        <w:lastRenderedPageBreak/>
        <w:t xml:space="preserve">Source: Proposed Water Management Plans for basins of the Sava River and of the Adriatic Sea </w:t>
      </w:r>
      <w:r w:rsidR="007436F1" w:rsidRPr="007C4D65">
        <w:rPr>
          <w:rFonts w:asciiTheme="minorHAnsi" w:hAnsiTheme="minorHAnsi" w:cstheme="minorHAnsi"/>
          <w:i/>
          <w:sz w:val="20"/>
          <w:szCs w:val="20"/>
        </w:rPr>
        <w:t>in the Federation of BiH</w:t>
      </w:r>
      <w:r w:rsidRPr="007C4D65">
        <w:rPr>
          <w:rFonts w:asciiTheme="minorHAnsi" w:hAnsiTheme="minorHAnsi" w:cstheme="minorHAnsi"/>
          <w:i/>
          <w:sz w:val="20"/>
          <w:szCs w:val="20"/>
        </w:rPr>
        <w:t xml:space="preserve"> (Sava River Basin Agency, 2021); (Adriatic Sea Watershed Agency, 2021) </w:t>
      </w:r>
    </w:p>
    <w:p w14:paraId="3E6C1427" w14:textId="3E05C206" w:rsidR="008F71EF" w:rsidRPr="007C4D65" w:rsidRDefault="008F71EF" w:rsidP="008F71EF">
      <w:pPr>
        <w:spacing w:before="240" w:after="12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According to the proposed Water Management Plans for the Sava and </w:t>
      </w:r>
      <w:r w:rsidR="000D0653" w:rsidRPr="007C4D65">
        <w:rPr>
          <w:rFonts w:asciiTheme="minorHAnsi" w:hAnsiTheme="minorHAnsi" w:cstheme="minorHAnsi"/>
          <w:sz w:val="22"/>
          <w:szCs w:val="22"/>
        </w:rPr>
        <w:t xml:space="preserve">the </w:t>
      </w:r>
      <w:proofErr w:type="gramStart"/>
      <w:r w:rsidRPr="007C4D65">
        <w:rPr>
          <w:rFonts w:asciiTheme="minorHAnsi" w:hAnsiTheme="minorHAnsi" w:cstheme="minorHAnsi"/>
          <w:sz w:val="22"/>
          <w:szCs w:val="22"/>
        </w:rPr>
        <w:t>Adriatic Sea river</w:t>
      </w:r>
      <w:proofErr w:type="gramEnd"/>
      <w:r w:rsidRPr="007C4D65">
        <w:rPr>
          <w:rFonts w:asciiTheme="minorHAnsi" w:hAnsiTheme="minorHAnsi" w:cstheme="minorHAnsi"/>
          <w:sz w:val="22"/>
          <w:szCs w:val="22"/>
        </w:rPr>
        <w:t xml:space="preserve"> basins (II cycle), the most significant pressures to the quality status of surface and ground waters that present the risk to achieving environmental goals are:</w:t>
      </w:r>
    </w:p>
    <w:p w14:paraId="534DE047" w14:textId="77777777" w:rsidR="008F71EF" w:rsidRPr="007C4D65" w:rsidRDefault="008F71EF" w:rsidP="008F71EF">
      <w:pPr>
        <w:numPr>
          <w:ilvl w:val="0"/>
          <w:numId w:val="6"/>
        </w:numPr>
        <w:spacing w:after="120" w:line="276" w:lineRule="auto"/>
        <w:contextualSpacing/>
        <w:jc w:val="both"/>
        <w:rPr>
          <w:rFonts w:asciiTheme="minorHAnsi" w:hAnsiTheme="minorHAnsi" w:cstheme="minorHAnsi"/>
          <w:i/>
          <w:sz w:val="22"/>
          <w:szCs w:val="22"/>
        </w:rPr>
      </w:pPr>
      <w:r w:rsidRPr="007C4D65">
        <w:rPr>
          <w:rFonts w:asciiTheme="minorHAnsi" w:hAnsiTheme="minorHAnsi" w:cstheme="minorHAnsi"/>
          <w:sz w:val="22"/>
          <w:szCs w:val="22"/>
        </w:rPr>
        <w:t xml:space="preserve">Population in agglomerations, connected to the </w:t>
      </w:r>
      <w:proofErr w:type="gramStart"/>
      <w:r w:rsidRPr="007C4D65">
        <w:rPr>
          <w:rFonts w:asciiTheme="minorHAnsi" w:hAnsiTheme="minorHAnsi" w:cstheme="minorHAnsi"/>
          <w:sz w:val="22"/>
          <w:szCs w:val="22"/>
        </w:rPr>
        <w:t>waste water</w:t>
      </w:r>
      <w:proofErr w:type="gramEnd"/>
      <w:r w:rsidRPr="007C4D65">
        <w:rPr>
          <w:rFonts w:asciiTheme="minorHAnsi" w:hAnsiTheme="minorHAnsi" w:cstheme="minorHAnsi"/>
          <w:sz w:val="22"/>
          <w:szCs w:val="22"/>
        </w:rPr>
        <w:t xml:space="preserve"> collectors, and population in smaller settlements that are not connected to the waste water collectors (data on share on connection of population to the waste water collectors and waste water treatment plants are shown in </w:t>
      </w:r>
      <w:r w:rsidRPr="007C4D65">
        <w:rPr>
          <w:rFonts w:asciiTheme="minorHAnsi" w:hAnsiTheme="minorHAnsi" w:cstheme="minorHAnsi"/>
          <w:b/>
          <w:bCs/>
          <w:i/>
          <w:iCs/>
          <w:sz w:val="22"/>
          <w:szCs w:val="22"/>
        </w:rPr>
        <w:t xml:space="preserve">Table </w:t>
      </w:r>
      <w:r w:rsidRPr="007C4D65">
        <w:rPr>
          <w:rFonts w:asciiTheme="minorHAnsi" w:hAnsiTheme="minorHAnsi" w:cstheme="minorHAnsi"/>
          <w:b/>
          <w:bCs/>
          <w:i/>
          <w:iCs/>
          <w:sz w:val="22"/>
          <w:szCs w:val="22"/>
        </w:rPr>
        <w:fldChar w:fldCharType="begin"/>
      </w:r>
      <w:r w:rsidRPr="007C4D65">
        <w:rPr>
          <w:rFonts w:asciiTheme="minorHAnsi" w:hAnsiTheme="minorHAnsi" w:cstheme="minorHAnsi"/>
          <w:b/>
          <w:bCs/>
          <w:i/>
          <w:iCs/>
          <w:sz w:val="22"/>
          <w:szCs w:val="22"/>
        </w:rPr>
        <w:instrText xml:space="preserve"> REF tabela5 \h  \* MERGEFORMAT </w:instrText>
      </w:r>
      <w:r w:rsidRPr="007C4D65">
        <w:rPr>
          <w:rFonts w:asciiTheme="minorHAnsi" w:hAnsiTheme="minorHAnsi" w:cstheme="minorHAnsi"/>
          <w:b/>
          <w:bCs/>
          <w:i/>
          <w:iCs/>
          <w:sz w:val="22"/>
          <w:szCs w:val="22"/>
        </w:rPr>
      </w:r>
      <w:r w:rsidRPr="007C4D65">
        <w:rPr>
          <w:rFonts w:asciiTheme="minorHAnsi" w:hAnsiTheme="minorHAnsi" w:cstheme="minorHAnsi"/>
          <w:b/>
          <w:bCs/>
          <w:i/>
          <w:iCs/>
          <w:sz w:val="22"/>
          <w:szCs w:val="22"/>
        </w:rPr>
        <w:fldChar w:fldCharType="separate"/>
      </w:r>
      <w:r w:rsidRPr="007C4D65">
        <w:rPr>
          <w:rFonts w:asciiTheme="minorHAnsi" w:hAnsiTheme="minorHAnsi" w:cstheme="minorHAnsi"/>
          <w:b/>
          <w:bCs/>
          <w:i/>
          <w:iCs/>
          <w:sz w:val="22"/>
          <w:szCs w:val="22"/>
        </w:rPr>
        <w:t>3</w:t>
      </w:r>
      <w:r w:rsidRPr="007C4D65">
        <w:rPr>
          <w:rFonts w:asciiTheme="minorHAnsi" w:hAnsiTheme="minorHAnsi" w:cstheme="minorHAnsi"/>
          <w:b/>
          <w:bCs/>
          <w:i/>
          <w:iCs/>
          <w:sz w:val="22"/>
          <w:szCs w:val="22"/>
        </w:rPr>
        <w:fldChar w:fldCharType="end"/>
      </w:r>
      <w:r w:rsidRPr="007C4D65">
        <w:rPr>
          <w:rFonts w:asciiTheme="minorHAnsi" w:hAnsiTheme="minorHAnsi" w:cstheme="minorHAnsi"/>
          <w:sz w:val="22"/>
          <w:szCs w:val="22"/>
        </w:rPr>
        <w:t>);</w:t>
      </w:r>
    </w:p>
    <w:p w14:paraId="6DA1E1E7" w14:textId="3EE9F80E" w:rsidR="008F71EF" w:rsidRPr="007C4D65" w:rsidRDefault="008F71EF" w:rsidP="008F71EF">
      <w:pPr>
        <w:numPr>
          <w:ilvl w:val="0"/>
          <w:numId w:val="6"/>
        </w:numPr>
        <w:spacing w:after="120" w:line="276" w:lineRule="auto"/>
        <w:contextualSpacing/>
        <w:jc w:val="both"/>
        <w:rPr>
          <w:rFonts w:asciiTheme="minorHAnsi" w:hAnsiTheme="minorHAnsi" w:cstheme="minorHAnsi"/>
          <w:sz w:val="22"/>
          <w:szCs w:val="22"/>
        </w:rPr>
      </w:pPr>
      <w:r w:rsidRPr="007C4D65">
        <w:rPr>
          <w:rFonts w:asciiTheme="minorHAnsi" w:hAnsiTheme="minorHAnsi" w:cstheme="minorHAnsi"/>
          <w:sz w:val="22"/>
          <w:szCs w:val="22"/>
        </w:rPr>
        <w:t xml:space="preserve">Industrial </w:t>
      </w:r>
      <w:proofErr w:type="gramStart"/>
      <w:r w:rsidRPr="007C4D65">
        <w:rPr>
          <w:rFonts w:asciiTheme="minorHAnsi" w:hAnsiTheme="minorHAnsi" w:cstheme="minorHAnsi"/>
          <w:sz w:val="22"/>
          <w:szCs w:val="22"/>
        </w:rPr>
        <w:t>polluters;</w:t>
      </w:r>
      <w:proofErr w:type="gramEnd"/>
      <w:r w:rsidRPr="007C4D65">
        <w:rPr>
          <w:rFonts w:asciiTheme="minorHAnsi" w:hAnsiTheme="minorHAnsi" w:cstheme="minorHAnsi"/>
          <w:sz w:val="22"/>
          <w:szCs w:val="22"/>
        </w:rPr>
        <w:t xml:space="preserve"> in the Sava river basin there are 76 registered “significant” industrial polluters, 34 of which have waste water treatment installed (Sava River Basin Agency, 2021). On the river basin of Neretva with </w:t>
      </w:r>
      <w:proofErr w:type="spellStart"/>
      <w:r w:rsidR="008218CA" w:rsidRPr="007C4D65">
        <w:rPr>
          <w:rFonts w:asciiTheme="minorHAnsi" w:hAnsiTheme="minorHAnsi" w:cstheme="minorHAnsi"/>
          <w:sz w:val="22"/>
          <w:szCs w:val="22"/>
        </w:rPr>
        <w:t>Trebisnjica</w:t>
      </w:r>
      <w:proofErr w:type="spellEnd"/>
      <w:r w:rsidRPr="007C4D65">
        <w:rPr>
          <w:rFonts w:asciiTheme="minorHAnsi" w:hAnsiTheme="minorHAnsi" w:cstheme="minorHAnsi"/>
          <w:sz w:val="22"/>
          <w:szCs w:val="22"/>
        </w:rPr>
        <w:t xml:space="preserve">, there are 51 registered industrial plants, 3 of which discharge their </w:t>
      </w:r>
      <w:proofErr w:type="gramStart"/>
      <w:r w:rsidRPr="007C4D65">
        <w:rPr>
          <w:rFonts w:asciiTheme="minorHAnsi" w:hAnsiTheme="minorHAnsi" w:cstheme="minorHAnsi"/>
          <w:sz w:val="22"/>
          <w:szCs w:val="22"/>
        </w:rPr>
        <w:t>waste water</w:t>
      </w:r>
      <w:proofErr w:type="gramEnd"/>
      <w:r w:rsidRPr="007C4D65">
        <w:rPr>
          <w:rFonts w:asciiTheme="minorHAnsi" w:hAnsiTheme="minorHAnsi" w:cstheme="minorHAnsi"/>
          <w:sz w:val="22"/>
          <w:szCs w:val="22"/>
        </w:rPr>
        <w:t xml:space="preserve"> into the sewer system, while the rest discharge their waste water into the surface water bodies and indirectly into the ground. In the Krka and </w:t>
      </w:r>
      <w:proofErr w:type="spellStart"/>
      <w:proofErr w:type="gramStart"/>
      <w:r w:rsidRPr="007C4D65">
        <w:rPr>
          <w:rFonts w:asciiTheme="minorHAnsi" w:hAnsiTheme="minorHAnsi" w:cstheme="minorHAnsi"/>
          <w:sz w:val="22"/>
          <w:szCs w:val="22"/>
        </w:rPr>
        <w:t>Cetina</w:t>
      </w:r>
      <w:proofErr w:type="spellEnd"/>
      <w:r w:rsidRPr="007C4D65">
        <w:rPr>
          <w:rFonts w:asciiTheme="minorHAnsi" w:hAnsiTheme="minorHAnsi" w:cstheme="minorHAnsi"/>
          <w:sz w:val="22"/>
          <w:szCs w:val="22"/>
        </w:rPr>
        <w:t xml:space="preserve"> river</w:t>
      </w:r>
      <w:proofErr w:type="gramEnd"/>
      <w:r w:rsidRPr="007C4D65">
        <w:rPr>
          <w:rFonts w:asciiTheme="minorHAnsi" w:hAnsiTheme="minorHAnsi" w:cstheme="minorHAnsi"/>
          <w:sz w:val="22"/>
          <w:szCs w:val="22"/>
        </w:rPr>
        <w:t xml:space="preserve"> basins, there are 15 industrial plants (Adriatic Sea Watershed Agency, 2021);</w:t>
      </w:r>
    </w:p>
    <w:p w14:paraId="76643A26" w14:textId="77777777" w:rsidR="008F71EF" w:rsidRPr="007C4D65" w:rsidRDefault="008F71EF" w:rsidP="008F71EF">
      <w:pPr>
        <w:numPr>
          <w:ilvl w:val="0"/>
          <w:numId w:val="6"/>
        </w:numPr>
        <w:spacing w:after="120" w:line="276" w:lineRule="auto"/>
        <w:contextualSpacing/>
        <w:jc w:val="both"/>
        <w:rPr>
          <w:rFonts w:asciiTheme="minorHAnsi" w:hAnsiTheme="minorHAnsi" w:cstheme="minorHAnsi"/>
          <w:sz w:val="22"/>
          <w:szCs w:val="22"/>
        </w:rPr>
      </w:pPr>
      <w:r w:rsidRPr="007C4D65">
        <w:rPr>
          <w:rFonts w:asciiTheme="minorHAnsi" w:hAnsiTheme="minorHAnsi" w:cstheme="minorHAnsi"/>
          <w:sz w:val="22"/>
          <w:szCs w:val="22"/>
        </w:rPr>
        <w:t xml:space="preserve">In the </w:t>
      </w:r>
      <w:proofErr w:type="gramStart"/>
      <w:r w:rsidRPr="007C4D65">
        <w:rPr>
          <w:rFonts w:asciiTheme="minorHAnsi" w:hAnsiTheme="minorHAnsi" w:cstheme="minorHAnsi"/>
          <w:sz w:val="22"/>
          <w:szCs w:val="22"/>
        </w:rPr>
        <w:t>Sava river</w:t>
      </w:r>
      <w:proofErr w:type="gramEnd"/>
      <w:r w:rsidRPr="007C4D65">
        <w:rPr>
          <w:rFonts w:asciiTheme="minorHAnsi" w:hAnsiTheme="minorHAnsi" w:cstheme="minorHAnsi"/>
          <w:sz w:val="22"/>
          <w:szCs w:val="22"/>
        </w:rPr>
        <w:t xml:space="preserve"> basin, identified are 771 unsanitary landfills/dump sites in 44 municipalities/cities (that had sent data for the needs of developing the said study), of which 741 are unsanitary landfills (so called “wild dumps”), 30 local underdeveloped, and one sanitary municipal landfill. In the Adriatic Sea river basin, there are 90 waste sites, 72 of which are unsanitary “wild” dumping sites, while 18 are mostly unsanitary municipal/regional landfills) </w:t>
      </w:r>
      <w:bookmarkStart w:id="51" w:name="_Hlk94225204"/>
      <w:r w:rsidRPr="007C4D65">
        <w:rPr>
          <w:rFonts w:asciiTheme="minorHAnsi" w:hAnsiTheme="minorHAnsi" w:cstheme="minorHAnsi"/>
          <w:i/>
          <w:sz w:val="22"/>
          <w:szCs w:val="22"/>
        </w:rPr>
        <w:fldChar w:fldCharType="begin"/>
      </w:r>
      <w:r w:rsidRPr="007C4D65">
        <w:rPr>
          <w:rFonts w:asciiTheme="minorHAnsi" w:hAnsiTheme="minorHAnsi" w:cstheme="minorHAnsi"/>
          <w:i/>
          <w:sz w:val="22"/>
          <w:szCs w:val="22"/>
        </w:rPr>
        <w:instrText xml:space="preserve"> ADDIN ZOTERO_ITEM CSL_CITATION {"citationID":"1rT1Bax3","properties":{"formattedCitation":"(Agencija za vodno podru\\uc0\\u269{}je Jadranskog mora 2021)","plainCitation":"(Agencija za vodno područje Jadranskog mora 2021)","noteIndex":0},"citationItems":[{"id":1319,"uris":["http://zotero.org/users/7192877/items/CZ8Q4JJE"],"itemData":{"id":1319,"type":"document","title":"Plan upravljanja vodama za vodno područje Jadranskog mora u Federaciji BiH (2022. - 2027.)","URL":"https://avpjm.jadran.ba/uploads/Plan%20upravljanja%20vodama%20VPJM%20%202022-2027_FINALNI%20NACRT.pdf","author":[{"family":"Agencija za vodno područje Jadranskog mora","given":""}],"issued":{"date-parts":[["2021"]]}}}],"schema":"https://github.com/citation-style-language/schema/raw/master/csl-citation.json"} </w:instrText>
      </w:r>
      <w:r w:rsidRPr="007C4D65">
        <w:rPr>
          <w:rFonts w:asciiTheme="minorHAnsi" w:hAnsiTheme="minorHAnsi" w:cstheme="minorHAnsi"/>
          <w:i/>
          <w:sz w:val="22"/>
          <w:szCs w:val="22"/>
        </w:rPr>
        <w:fldChar w:fldCharType="separate"/>
      </w:r>
      <w:r w:rsidRPr="007C4D65">
        <w:rPr>
          <w:rFonts w:asciiTheme="minorHAnsi" w:hAnsiTheme="minorHAnsi" w:cstheme="minorHAnsi"/>
          <w:sz w:val="22"/>
        </w:rPr>
        <w:t>(Adriatic Sea Watershed Agency, 2021)</w:t>
      </w:r>
      <w:r w:rsidRPr="007C4D65">
        <w:rPr>
          <w:rFonts w:asciiTheme="minorHAnsi" w:hAnsiTheme="minorHAnsi" w:cstheme="minorHAnsi"/>
          <w:i/>
          <w:sz w:val="22"/>
          <w:szCs w:val="22"/>
        </w:rPr>
        <w:fldChar w:fldCharType="end"/>
      </w:r>
      <w:r w:rsidRPr="007C4D65">
        <w:rPr>
          <w:rFonts w:asciiTheme="minorHAnsi" w:hAnsiTheme="minorHAnsi" w:cstheme="minorHAnsi"/>
          <w:i/>
          <w:sz w:val="22"/>
          <w:szCs w:val="22"/>
        </w:rPr>
        <w:t xml:space="preserve"> </w:t>
      </w:r>
      <w:r w:rsidRPr="007C4D65">
        <w:rPr>
          <w:rFonts w:asciiTheme="minorHAnsi" w:hAnsiTheme="minorHAnsi" w:cstheme="minorHAnsi"/>
          <w:i/>
          <w:sz w:val="22"/>
          <w:szCs w:val="22"/>
        </w:rPr>
        <w:fldChar w:fldCharType="begin"/>
      </w:r>
      <w:r w:rsidRPr="007C4D65">
        <w:rPr>
          <w:rFonts w:asciiTheme="minorHAnsi" w:hAnsiTheme="minorHAnsi" w:cstheme="minorHAnsi"/>
          <w:i/>
          <w:sz w:val="22"/>
          <w:szCs w:val="22"/>
        </w:rPr>
        <w:instrText xml:space="preserve"> ADDIN ZOTERO_ITEM CSL_CITATION {"citationID":"aUsMMIgx","properties":{"formattedCitation":"(Agencija za vodno podru\\uc0\\u269{}je rijeke Save 2021)","plainCitation":"(Agencija za vodno područje rijeke Save 2021)","noteIndex":0},"citationItems":[{"id":1318,"uris":["http://zotero.org/users/7192877/items/R3BGBRH9"],"itemData":{"id":1318,"type":"document","title":"Nacrt Plana upravljanja vodama za vodno područje rijeke Save u Federaciji BiH 2022-2027","URL":"https://www.voda.ba/plan-upravljanja-2022-2027","author":[{"family":"Agencija za vodno područje rijeke Save","given":""}],"issued":{"date-parts":[["2021"]]}}}],"schema":"https://github.com/citation-style-language/schema/raw/master/csl-citation.json"} </w:instrText>
      </w:r>
      <w:r w:rsidRPr="007C4D65">
        <w:rPr>
          <w:rFonts w:asciiTheme="minorHAnsi" w:hAnsiTheme="minorHAnsi" w:cstheme="minorHAnsi"/>
          <w:i/>
          <w:sz w:val="22"/>
          <w:szCs w:val="22"/>
        </w:rPr>
        <w:fldChar w:fldCharType="separate"/>
      </w:r>
      <w:r w:rsidRPr="007C4D65">
        <w:rPr>
          <w:rFonts w:asciiTheme="minorHAnsi" w:hAnsiTheme="minorHAnsi" w:cstheme="minorHAnsi"/>
          <w:sz w:val="22"/>
        </w:rPr>
        <w:t>(Sava River Basin Agency, 2021)</w:t>
      </w:r>
      <w:r w:rsidRPr="007C4D65">
        <w:rPr>
          <w:rFonts w:asciiTheme="minorHAnsi" w:hAnsiTheme="minorHAnsi" w:cstheme="minorHAnsi"/>
          <w:i/>
          <w:sz w:val="22"/>
          <w:szCs w:val="22"/>
        </w:rPr>
        <w:fldChar w:fldCharType="end"/>
      </w:r>
      <w:r w:rsidRPr="007C4D65">
        <w:rPr>
          <w:rFonts w:asciiTheme="minorHAnsi" w:hAnsiTheme="minorHAnsi" w:cstheme="minorHAnsi"/>
          <w:sz w:val="22"/>
          <w:szCs w:val="22"/>
        </w:rPr>
        <w:t xml:space="preserve">;  </w:t>
      </w:r>
    </w:p>
    <w:p w14:paraId="7E17BEE9" w14:textId="0514BB2B" w:rsidR="008F71EF" w:rsidRPr="007C4D65" w:rsidRDefault="008F71EF" w:rsidP="008F71EF">
      <w:pPr>
        <w:numPr>
          <w:ilvl w:val="0"/>
          <w:numId w:val="6"/>
        </w:numPr>
        <w:spacing w:line="276" w:lineRule="auto"/>
        <w:contextualSpacing/>
        <w:jc w:val="both"/>
        <w:rPr>
          <w:rFonts w:asciiTheme="minorHAnsi" w:hAnsiTheme="minorHAnsi" w:cstheme="minorHAnsi"/>
          <w:sz w:val="22"/>
          <w:szCs w:val="22"/>
        </w:rPr>
      </w:pPr>
      <w:r w:rsidRPr="007C4D65">
        <w:rPr>
          <w:rFonts w:asciiTheme="minorHAnsi" w:hAnsiTheme="minorHAnsi" w:cstheme="minorHAnsi"/>
          <w:sz w:val="22"/>
          <w:szCs w:val="22"/>
        </w:rPr>
        <w:t xml:space="preserve">Use of water potential – non-compliance with provisions regarding releasing the </w:t>
      </w:r>
      <w:r w:rsidR="00C90B32" w:rsidRPr="007C4D65">
        <w:rPr>
          <w:rFonts w:asciiTheme="minorHAnsi" w:hAnsiTheme="minorHAnsi" w:cstheme="minorHAnsi"/>
          <w:sz w:val="22"/>
          <w:szCs w:val="22"/>
        </w:rPr>
        <w:t>environmental flaw</w:t>
      </w:r>
      <w:r w:rsidRPr="007C4D65">
        <w:rPr>
          <w:rFonts w:asciiTheme="minorHAnsi" w:hAnsiTheme="minorHAnsi" w:cstheme="minorHAnsi"/>
          <w:sz w:val="22"/>
          <w:szCs w:val="22"/>
        </w:rPr>
        <w:t xml:space="preserve"> from </w:t>
      </w:r>
      <w:proofErr w:type="gramStart"/>
      <w:r w:rsidR="00A46B27" w:rsidRPr="007C4D65">
        <w:rPr>
          <w:rFonts w:asciiTheme="minorHAnsi" w:hAnsiTheme="minorHAnsi" w:cstheme="minorHAnsi"/>
          <w:sz w:val="22"/>
          <w:szCs w:val="22"/>
        </w:rPr>
        <w:t>SHPP</w:t>
      </w:r>
      <w:r w:rsidRPr="007C4D65">
        <w:rPr>
          <w:rFonts w:asciiTheme="minorHAnsi" w:hAnsiTheme="minorHAnsi" w:cstheme="minorHAnsi"/>
          <w:sz w:val="22"/>
          <w:szCs w:val="22"/>
        </w:rPr>
        <w:t>s;</w:t>
      </w:r>
      <w:proofErr w:type="gramEnd"/>
    </w:p>
    <w:bookmarkEnd w:id="51"/>
    <w:p w14:paraId="7003DB44" w14:textId="77777777" w:rsidR="008F71EF" w:rsidRPr="007C4D65" w:rsidRDefault="008F71EF" w:rsidP="008F71EF">
      <w:pPr>
        <w:numPr>
          <w:ilvl w:val="0"/>
          <w:numId w:val="6"/>
        </w:numPr>
        <w:spacing w:after="120" w:line="276" w:lineRule="auto"/>
        <w:contextualSpacing/>
        <w:jc w:val="both"/>
        <w:rPr>
          <w:rFonts w:asciiTheme="minorHAnsi" w:hAnsiTheme="minorHAnsi" w:cstheme="minorHAnsi"/>
          <w:sz w:val="22"/>
          <w:szCs w:val="22"/>
        </w:rPr>
      </w:pPr>
      <w:r w:rsidRPr="007C4D65">
        <w:rPr>
          <w:rFonts w:asciiTheme="minorHAnsi" w:hAnsiTheme="minorHAnsi" w:cstheme="minorHAnsi"/>
          <w:sz w:val="22"/>
          <w:szCs w:val="22"/>
        </w:rPr>
        <w:t>In addition to the above, significant pressures are caused by use of land for agricultural production, fisheries and cattle raising.</w:t>
      </w:r>
    </w:p>
    <w:p w14:paraId="5EFFABD3" w14:textId="77777777" w:rsidR="008F71EF" w:rsidRPr="007C4D65" w:rsidRDefault="008F71EF" w:rsidP="008F71EF">
      <w:pPr>
        <w:spacing w:before="240" w:after="120" w:line="276" w:lineRule="auto"/>
        <w:jc w:val="both"/>
        <w:rPr>
          <w:rFonts w:asciiTheme="minorHAnsi" w:hAnsiTheme="minorHAnsi" w:cstheme="minorHAnsi"/>
          <w:i/>
          <w:sz w:val="22"/>
          <w:szCs w:val="22"/>
        </w:rPr>
      </w:pPr>
      <w:r w:rsidRPr="007C4D65">
        <w:rPr>
          <w:rFonts w:asciiTheme="minorHAnsi" w:hAnsiTheme="minorHAnsi" w:cstheme="minorHAnsi"/>
          <w:sz w:val="22"/>
          <w:szCs w:val="22"/>
        </w:rPr>
        <w:t xml:space="preserve">According to the Water Management Plans for the Sava River and </w:t>
      </w:r>
      <w:proofErr w:type="gramStart"/>
      <w:r w:rsidRPr="007C4D65">
        <w:rPr>
          <w:rFonts w:asciiTheme="minorHAnsi" w:hAnsiTheme="minorHAnsi" w:cstheme="minorHAnsi"/>
          <w:sz w:val="22"/>
          <w:szCs w:val="22"/>
        </w:rPr>
        <w:t>Adriatic Sea river</w:t>
      </w:r>
      <w:proofErr w:type="gramEnd"/>
      <w:r w:rsidRPr="007C4D65">
        <w:rPr>
          <w:rFonts w:asciiTheme="minorHAnsi" w:hAnsiTheme="minorHAnsi" w:cstheme="minorHAnsi"/>
          <w:sz w:val="22"/>
          <w:szCs w:val="22"/>
        </w:rPr>
        <w:t xml:space="preserve"> basins (II cycle), pressures to quantity of ground and surface waters mostly originate from:</w:t>
      </w:r>
    </w:p>
    <w:p w14:paraId="116F9BB1" w14:textId="3C87B338" w:rsidR="008F71EF" w:rsidRPr="007C4D65" w:rsidRDefault="008F71EF">
      <w:pPr>
        <w:numPr>
          <w:ilvl w:val="0"/>
          <w:numId w:val="194"/>
        </w:numPr>
        <w:spacing w:after="120" w:line="276" w:lineRule="auto"/>
        <w:contextualSpacing/>
        <w:jc w:val="both"/>
        <w:rPr>
          <w:rFonts w:asciiTheme="minorHAnsi" w:hAnsiTheme="minorHAnsi" w:cstheme="minorHAnsi"/>
          <w:sz w:val="22"/>
          <w:szCs w:val="22"/>
        </w:rPr>
      </w:pPr>
      <w:r w:rsidRPr="007C4D65">
        <w:rPr>
          <w:rFonts w:asciiTheme="minorHAnsi" w:hAnsiTheme="minorHAnsi" w:cstheme="minorHAnsi"/>
          <w:sz w:val="22"/>
          <w:szCs w:val="22"/>
        </w:rPr>
        <w:t>Capturing water for water supply purposes, where one of the biggest problems is the amount of loss in water supply systems (</w:t>
      </w:r>
      <w:r w:rsidRPr="007C4D65">
        <w:rPr>
          <w:rFonts w:asciiTheme="minorHAnsi" w:hAnsiTheme="minorHAnsi" w:cstheme="minorHAnsi"/>
          <w:b/>
          <w:bCs/>
          <w:i/>
          <w:iCs/>
          <w:sz w:val="22"/>
          <w:szCs w:val="22"/>
        </w:rPr>
        <w:t xml:space="preserve">Table </w:t>
      </w:r>
      <w:r w:rsidRPr="007C4D65">
        <w:rPr>
          <w:rFonts w:asciiTheme="minorHAnsi" w:hAnsiTheme="minorHAnsi" w:cstheme="minorHAnsi"/>
          <w:b/>
          <w:bCs/>
          <w:i/>
          <w:iCs/>
          <w:sz w:val="22"/>
          <w:szCs w:val="22"/>
        </w:rPr>
        <w:fldChar w:fldCharType="begin"/>
      </w:r>
      <w:r w:rsidRPr="007C4D65">
        <w:rPr>
          <w:rFonts w:asciiTheme="minorHAnsi" w:hAnsiTheme="minorHAnsi" w:cstheme="minorHAnsi"/>
          <w:b/>
          <w:bCs/>
          <w:i/>
          <w:iCs/>
          <w:sz w:val="22"/>
          <w:szCs w:val="22"/>
        </w:rPr>
        <w:instrText xml:space="preserve"> REF tabela5 \h  \* MERGEFORMAT </w:instrText>
      </w:r>
      <w:r w:rsidRPr="007C4D65">
        <w:rPr>
          <w:rFonts w:asciiTheme="minorHAnsi" w:hAnsiTheme="minorHAnsi" w:cstheme="minorHAnsi"/>
          <w:b/>
          <w:bCs/>
          <w:i/>
          <w:iCs/>
          <w:sz w:val="22"/>
          <w:szCs w:val="22"/>
        </w:rPr>
      </w:r>
      <w:r w:rsidRPr="007C4D65">
        <w:rPr>
          <w:rFonts w:asciiTheme="minorHAnsi" w:hAnsiTheme="minorHAnsi" w:cstheme="minorHAnsi"/>
          <w:b/>
          <w:bCs/>
          <w:i/>
          <w:iCs/>
          <w:sz w:val="22"/>
          <w:szCs w:val="22"/>
        </w:rPr>
        <w:fldChar w:fldCharType="separate"/>
      </w:r>
      <w:r w:rsidRPr="007C4D65">
        <w:rPr>
          <w:rFonts w:asciiTheme="minorHAnsi" w:hAnsiTheme="minorHAnsi" w:cstheme="minorHAnsi"/>
          <w:b/>
          <w:bCs/>
          <w:i/>
          <w:iCs/>
          <w:sz w:val="22"/>
          <w:szCs w:val="22"/>
        </w:rPr>
        <w:t>3</w:t>
      </w:r>
      <w:r w:rsidRPr="007C4D65">
        <w:rPr>
          <w:rFonts w:asciiTheme="minorHAnsi" w:hAnsiTheme="minorHAnsi" w:cstheme="minorHAnsi"/>
          <w:b/>
          <w:bCs/>
          <w:i/>
          <w:iCs/>
          <w:sz w:val="22"/>
          <w:szCs w:val="22"/>
        </w:rPr>
        <w:fldChar w:fldCharType="end"/>
      </w:r>
      <w:r w:rsidRPr="007C4D65">
        <w:rPr>
          <w:rFonts w:asciiTheme="minorHAnsi" w:hAnsiTheme="minorHAnsi" w:cstheme="minorHAnsi"/>
          <w:sz w:val="22"/>
          <w:szCs w:val="22"/>
        </w:rPr>
        <w:t xml:space="preserve">). </w:t>
      </w:r>
    </w:p>
    <w:p w14:paraId="01B48735" w14:textId="18EA13FB" w:rsidR="008F71EF" w:rsidRPr="007C4D65" w:rsidRDefault="008F71EF">
      <w:pPr>
        <w:numPr>
          <w:ilvl w:val="0"/>
          <w:numId w:val="194"/>
        </w:numPr>
        <w:spacing w:after="120" w:line="276" w:lineRule="auto"/>
        <w:contextualSpacing/>
        <w:jc w:val="both"/>
        <w:rPr>
          <w:rFonts w:asciiTheme="minorHAnsi" w:hAnsiTheme="minorHAnsi" w:cstheme="minorHAnsi"/>
          <w:sz w:val="22"/>
          <w:szCs w:val="22"/>
        </w:rPr>
      </w:pPr>
      <w:r w:rsidRPr="007C4D65">
        <w:rPr>
          <w:rFonts w:asciiTheme="minorHAnsi" w:hAnsiTheme="minorHAnsi" w:cstheme="minorHAnsi"/>
          <w:sz w:val="22"/>
          <w:szCs w:val="22"/>
        </w:rPr>
        <w:t xml:space="preserve">Use of water resources – energy (derivative plants, transferring water from one river basin into another, failure to ensure </w:t>
      </w:r>
      <w:r w:rsidR="00C90B32" w:rsidRPr="007C4D65">
        <w:rPr>
          <w:rFonts w:asciiTheme="minorHAnsi" w:hAnsiTheme="minorHAnsi" w:cstheme="minorHAnsi"/>
          <w:sz w:val="22"/>
          <w:szCs w:val="22"/>
        </w:rPr>
        <w:t>environmental flaw</w:t>
      </w:r>
      <w:r w:rsidRPr="007C4D65">
        <w:rPr>
          <w:rFonts w:asciiTheme="minorHAnsi" w:hAnsiTheme="minorHAnsi" w:cstheme="minorHAnsi"/>
          <w:sz w:val="22"/>
          <w:szCs w:val="22"/>
        </w:rPr>
        <w:t xml:space="preserve"> from HPPs</w:t>
      </w:r>
      <w:r w:rsidRPr="007C4D65">
        <w:rPr>
          <w:rFonts w:asciiTheme="minorHAnsi" w:eastAsia="MS PGothic" w:hAnsiTheme="minorHAnsi" w:cstheme="minorHAnsi"/>
          <w:color w:val="000000"/>
          <w:sz w:val="22"/>
          <w:szCs w:val="22"/>
          <w:lang w:eastAsia="en-US"/>
        </w:rPr>
        <w:t>).</w:t>
      </w:r>
    </w:p>
    <w:p w14:paraId="05B3AEAF" w14:textId="77777777" w:rsidR="008F71EF" w:rsidRPr="007C4D65" w:rsidRDefault="008F71EF">
      <w:pPr>
        <w:numPr>
          <w:ilvl w:val="0"/>
          <w:numId w:val="194"/>
        </w:numPr>
        <w:spacing w:after="120" w:line="276" w:lineRule="auto"/>
        <w:contextualSpacing/>
        <w:jc w:val="both"/>
        <w:rPr>
          <w:rFonts w:asciiTheme="minorHAnsi" w:hAnsiTheme="minorHAnsi" w:cstheme="minorHAnsi"/>
          <w:sz w:val="22"/>
          <w:szCs w:val="22"/>
        </w:rPr>
      </w:pPr>
      <w:r w:rsidRPr="007C4D65">
        <w:rPr>
          <w:rFonts w:asciiTheme="minorHAnsi" w:hAnsiTheme="minorHAnsi" w:cstheme="minorHAnsi"/>
          <w:sz w:val="22"/>
          <w:szCs w:val="22"/>
        </w:rPr>
        <w:t xml:space="preserve">Commercial consumption of water.  </w:t>
      </w:r>
    </w:p>
    <w:p w14:paraId="59412C6B" w14:textId="77777777" w:rsidR="008F71EF" w:rsidRPr="007C4D65" w:rsidRDefault="008F71EF" w:rsidP="008F71EF">
      <w:pPr>
        <w:spacing w:before="240" w:after="120" w:line="276" w:lineRule="auto"/>
        <w:rPr>
          <w:rFonts w:asciiTheme="minorHAnsi" w:hAnsiTheme="minorHAnsi" w:cstheme="minorHAnsi"/>
          <w:i/>
          <w:iCs/>
          <w:sz w:val="22"/>
          <w:szCs w:val="22"/>
          <w:u w:val="single"/>
        </w:rPr>
      </w:pPr>
      <w:r w:rsidRPr="007C4D65">
        <w:rPr>
          <w:rFonts w:asciiTheme="minorHAnsi" w:hAnsiTheme="minorHAnsi" w:cstheme="minorHAnsi"/>
          <w:i/>
          <w:iCs/>
          <w:sz w:val="22"/>
          <w:szCs w:val="22"/>
          <w:u w:val="single"/>
        </w:rPr>
        <w:t xml:space="preserve">Impact of hydro-morphological pressures on the status of water bodies </w:t>
      </w:r>
    </w:p>
    <w:p w14:paraId="3451E239" w14:textId="594229CF"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With respect to the Sava River Basin, the estimates/studies of hydro-morphological pressures </w:t>
      </w:r>
      <w:r w:rsidR="00A46B27" w:rsidRPr="007C4D65">
        <w:rPr>
          <w:rFonts w:asciiTheme="minorHAnsi" w:hAnsiTheme="minorHAnsi" w:cstheme="minorHAnsi"/>
          <w:sz w:val="22"/>
          <w:szCs w:val="22"/>
        </w:rPr>
        <w:t>a</w:t>
      </w:r>
      <w:r w:rsidRPr="007C4D65">
        <w:rPr>
          <w:rFonts w:asciiTheme="minorHAnsi" w:hAnsiTheme="minorHAnsi" w:cstheme="minorHAnsi"/>
          <w:sz w:val="22"/>
          <w:szCs w:val="22"/>
        </w:rPr>
        <w:t xml:space="preserve"> hydro-morphological status</w:t>
      </w:r>
      <w:r w:rsidRPr="007C4D65">
        <w:rPr>
          <w:rFonts w:asciiTheme="minorHAnsi" w:hAnsiTheme="minorHAnsi" w:cstheme="minorHAnsi"/>
          <w:sz w:val="22"/>
          <w:szCs w:val="22"/>
          <w:vertAlign w:val="superscript"/>
        </w:rPr>
        <w:footnoteReference w:id="6"/>
      </w:r>
      <w:r w:rsidRPr="007C4D65">
        <w:rPr>
          <w:rFonts w:asciiTheme="minorHAnsi" w:hAnsiTheme="minorHAnsi" w:cstheme="minorHAnsi"/>
          <w:sz w:val="22"/>
          <w:szCs w:val="22"/>
        </w:rPr>
        <w:t xml:space="preserve"> were made </w:t>
      </w:r>
      <w:proofErr w:type="gramStart"/>
      <w:r w:rsidRPr="007C4D65">
        <w:rPr>
          <w:rFonts w:asciiTheme="minorHAnsi" w:hAnsiTheme="minorHAnsi" w:cstheme="minorHAnsi"/>
          <w:sz w:val="22"/>
          <w:szCs w:val="22"/>
        </w:rPr>
        <w:t>on the basis of</w:t>
      </w:r>
      <w:proofErr w:type="gramEnd"/>
      <w:r w:rsidRPr="007C4D65">
        <w:rPr>
          <w:rFonts w:asciiTheme="minorHAnsi" w:hAnsiTheme="minorHAnsi" w:cstheme="minorHAnsi"/>
          <w:sz w:val="22"/>
          <w:szCs w:val="22"/>
        </w:rPr>
        <w:t xml:space="preserve"> field exploration work on 533 water bodies. The conclusion was that the main drivers of hydro-morphological pressures are: (</w:t>
      </w:r>
      <w:proofErr w:type="spellStart"/>
      <w:r w:rsidRPr="007C4D65">
        <w:rPr>
          <w:rFonts w:asciiTheme="minorHAnsi" w:hAnsiTheme="minorHAnsi" w:cstheme="minorHAnsi"/>
          <w:sz w:val="22"/>
          <w:szCs w:val="22"/>
        </w:rPr>
        <w:t>i</w:t>
      </w:r>
      <w:proofErr w:type="spellEnd"/>
      <w:r w:rsidRPr="007C4D65">
        <w:rPr>
          <w:rFonts w:asciiTheme="minorHAnsi" w:hAnsiTheme="minorHAnsi" w:cstheme="minorHAnsi"/>
          <w:sz w:val="22"/>
          <w:szCs w:val="22"/>
        </w:rPr>
        <w:t>) regulation; (ii) hydro</w:t>
      </w:r>
      <w:r w:rsidR="000D0653" w:rsidRPr="007C4D65">
        <w:rPr>
          <w:rFonts w:asciiTheme="minorHAnsi" w:hAnsiTheme="minorHAnsi" w:cstheme="minorHAnsi"/>
          <w:sz w:val="22"/>
          <w:szCs w:val="22"/>
        </w:rPr>
        <w:t>-</w:t>
      </w:r>
      <w:r w:rsidRPr="007C4D65">
        <w:rPr>
          <w:rFonts w:asciiTheme="minorHAnsi" w:hAnsiTheme="minorHAnsi" w:cstheme="minorHAnsi"/>
          <w:sz w:val="22"/>
          <w:szCs w:val="22"/>
        </w:rPr>
        <w:t>technical structures; (iii) protective walls; and (iv) other.</w:t>
      </w:r>
    </w:p>
    <w:p w14:paraId="44607BB3" w14:textId="07A4CED3"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lastRenderedPageBreak/>
        <w:t xml:space="preserve">The Study has identified 133 water bodies as “candidates for HMWB” (heavily modified water bodies), while additional monitoring by biological parameters found that another 41 water bodies are to be considered “candidates for HMWB” until the monitoring is completed and their status determined; according to the Sava River Basin Management Plan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(SRBMP), 41 HMWB have been identified, while additional 37 WB are “candidates for HMWB”. Significant hydro-morphological pressure and influence on the status of water bodies within the area of competence of SRBA come from the existing hydro-power plants on the Drina River: HPP </w:t>
      </w:r>
      <w:proofErr w:type="spellStart"/>
      <w:r w:rsidR="00A46B27" w:rsidRPr="007C4D65">
        <w:rPr>
          <w:rFonts w:asciiTheme="minorHAnsi" w:hAnsiTheme="minorHAnsi" w:cstheme="minorHAnsi"/>
          <w:sz w:val="22"/>
          <w:szCs w:val="22"/>
        </w:rPr>
        <w:t>Visegrad</w:t>
      </w:r>
      <w:proofErr w:type="spellEnd"/>
      <w:r w:rsidRPr="007C4D65">
        <w:rPr>
          <w:rFonts w:asciiTheme="minorHAnsi" w:hAnsiTheme="minorHAnsi" w:cstheme="minorHAnsi"/>
          <w:sz w:val="22"/>
          <w:szCs w:val="22"/>
        </w:rPr>
        <w:t xml:space="preserve"> in </w:t>
      </w:r>
      <w:proofErr w:type="spellStart"/>
      <w:r w:rsidRPr="007C4D65">
        <w:rPr>
          <w:rFonts w:asciiTheme="minorHAnsi" w:hAnsiTheme="minorHAnsi" w:cstheme="minorHAnsi"/>
          <w:sz w:val="22"/>
          <w:szCs w:val="22"/>
        </w:rPr>
        <w:t>Republika</w:t>
      </w:r>
      <w:proofErr w:type="spellEnd"/>
      <w:r w:rsidRPr="007C4D65">
        <w:rPr>
          <w:rFonts w:asciiTheme="minorHAnsi" w:hAnsiTheme="minorHAnsi" w:cstheme="minorHAnsi"/>
          <w:sz w:val="22"/>
          <w:szCs w:val="22"/>
        </w:rPr>
        <w:t xml:space="preserve"> Srpska, and HPP </w:t>
      </w:r>
      <w:proofErr w:type="spellStart"/>
      <w:r w:rsidRPr="007C4D65">
        <w:rPr>
          <w:rFonts w:asciiTheme="minorHAnsi" w:hAnsiTheme="minorHAnsi" w:cstheme="minorHAnsi"/>
          <w:sz w:val="22"/>
          <w:szCs w:val="22"/>
        </w:rPr>
        <w:t>Piva</w:t>
      </w:r>
      <w:proofErr w:type="spellEnd"/>
      <w:r w:rsidRPr="007C4D65">
        <w:rPr>
          <w:rFonts w:asciiTheme="minorHAnsi" w:hAnsiTheme="minorHAnsi" w:cstheme="minorHAnsi"/>
          <w:sz w:val="22"/>
          <w:szCs w:val="22"/>
        </w:rPr>
        <w:t xml:space="preserve"> in Montenegro.</w:t>
      </w:r>
    </w:p>
    <w:p w14:paraId="44765772" w14:textId="77777777" w:rsidR="008F71EF" w:rsidRPr="007C4D65" w:rsidRDefault="008F71EF" w:rsidP="008F71EF">
      <w:pPr>
        <w:spacing w:after="240" w:line="276" w:lineRule="auto"/>
        <w:jc w:val="both"/>
        <w:rPr>
          <w:rFonts w:asciiTheme="minorHAnsi" w:hAnsiTheme="minorHAnsi" w:cstheme="minorHAnsi"/>
          <w:i/>
          <w:sz w:val="22"/>
          <w:szCs w:val="22"/>
        </w:rPr>
      </w:pPr>
      <w:r w:rsidRPr="007C4D65">
        <w:rPr>
          <w:rFonts w:asciiTheme="minorHAnsi" w:hAnsiTheme="minorHAnsi" w:cstheme="minorHAnsi"/>
          <w:sz w:val="22"/>
          <w:szCs w:val="22"/>
        </w:rPr>
        <w:t>There are 60 small hydro-power plants (SHPP) registered in the Sava River Basin</w:t>
      </w:r>
      <w:r w:rsidRPr="007C4D65">
        <w:rPr>
          <w:rFonts w:asciiTheme="minorHAnsi" w:hAnsiTheme="minorHAnsi" w:cstheme="minorHAnsi"/>
          <w:i/>
          <w:sz w:val="22"/>
          <w:szCs w:val="22"/>
        </w:rPr>
        <w:t xml:space="preserve"> </w:t>
      </w:r>
      <w:r w:rsidRPr="007C4D65">
        <w:rPr>
          <w:rFonts w:asciiTheme="minorHAnsi" w:hAnsiTheme="minorHAnsi" w:cstheme="minorHAnsi"/>
          <w:i/>
          <w:sz w:val="22"/>
          <w:szCs w:val="22"/>
        </w:rPr>
        <w:fldChar w:fldCharType="begin"/>
      </w:r>
      <w:r w:rsidRPr="007C4D65">
        <w:rPr>
          <w:rFonts w:asciiTheme="minorHAnsi" w:hAnsiTheme="minorHAnsi" w:cstheme="minorHAnsi"/>
          <w:i/>
          <w:sz w:val="22"/>
          <w:szCs w:val="22"/>
        </w:rPr>
        <w:instrText xml:space="preserve"> ADDIN ZOTERO_ITEM CSL_CITATION {"citationID":"qPgTcxTC","properties":{"formattedCitation":"(Agencija za vodno podru\\uc0\\u269{}je rijeke Save 2021)","plainCitation":"(Agencija za vodno područje rijeke Save 2021)","noteIndex":0},"citationItems":[{"id":1318,"uris":["http://zotero.org/users/7192877/items/R3BGBRH9"],"itemData":{"id":1318,"type":"document","title":"Nacrt Plana upravljanja vodama za vodno područje rijeke Save u Federaciji BiH 2022-2027","URL":"https://www.voda.ba/plan-upravljanja-2022-2027","author":[{"family":"Agencija za vodno područje rijeke Save","given":""}],"issued":{"date-parts":[["2021"]]}}}],"schema":"https://github.com/citation-style-language/schema/raw/master/csl-citation.json"} </w:instrText>
      </w:r>
      <w:r w:rsidRPr="007C4D65">
        <w:rPr>
          <w:rFonts w:asciiTheme="minorHAnsi" w:hAnsiTheme="minorHAnsi" w:cstheme="minorHAnsi"/>
          <w:i/>
          <w:sz w:val="22"/>
          <w:szCs w:val="22"/>
        </w:rPr>
        <w:fldChar w:fldCharType="separate"/>
      </w:r>
      <w:r w:rsidRPr="007C4D65">
        <w:rPr>
          <w:rFonts w:asciiTheme="minorHAnsi" w:hAnsiTheme="minorHAnsi" w:cstheme="minorHAnsi"/>
          <w:sz w:val="22"/>
        </w:rPr>
        <w:t>(Sava River Basin Agency, 2021)</w:t>
      </w:r>
      <w:r w:rsidRPr="007C4D65">
        <w:rPr>
          <w:rFonts w:asciiTheme="minorHAnsi" w:hAnsiTheme="minorHAnsi" w:cstheme="minorHAnsi"/>
          <w:i/>
          <w:sz w:val="22"/>
          <w:szCs w:val="22"/>
        </w:rPr>
        <w:fldChar w:fldCharType="end"/>
      </w:r>
      <w:r w:rsidRPr="007C4D65">
        <w:rPr>
          <w:rFonts w:asciiTheme="minorHAnsi" w:hAnsiTheme="minorHAnsi" w:cstheme="minorHAnsi"/>
          <w:i/>
          <w:sz w:val="22"/>
          <w:szCs w:val="22"/>
        </w:rPr>
        <w:t>.</w:t>
      </w:r>
    </w:p>
    <w:p w14:paraId="0B058CF4"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Twice so far, while developing the Adriatic Sea River Basin Management Plan (AS RBMP) 2016-2021, and the draft AS RBMP 2022-2027</w:t>
      </w:r>
      <w:r w:rsidRPr="007C4D65">
        <w:rPr>
          <w:rStyle w:val="FootnoteReference"/>
          <w:rFonts w:asciiTheme="minorHAnsi" w:eastAsiaTheme="majorEastAsia" w:hAnsiTheme="minorHAnsi" w:cstheme="minorHAnsi"/>
          <w:sz w:val="22"/>
          <w:szCs w:val="22"/>
        </w:rPr>
        <w:footnoteReference w:id="7"/>
      </w:r>
      <w:r w:rsidRPr="007C4D65">
        <w:rPr>
          <w:rFonts w:asciiTheme="minorHAnsi" w:hAnsiTheme="minorHAnsi" w:cstheme="minorHAnsi"/>
          <w:sz w:val="22"/>
          <w:szCs w:val="22"/>
        </w:rPr>
        <w:t xml:space="preserve">, analyses had been made of hydro-morphological status of water bodies in the </w:t>
      </w:r>
      <w:proofErr w:type="gramStart"/>
      <w:r w:rsidRPr="007C4D65">
        <w:rPr>
          <w:rFonts w:asciiTheme="minorHAnsi" w:hAnsiTheme="minorHAnsi" w:cstheme="minorHAnsi"/>
          <w:sz w:val="22"/>
          <w:szCs w:val="22"/>
        </w:rPr>
        <w:t>Adriatic Sea river</w:t>
      </w:r>
      <w:proofErr w:type="gramEnd"/>
      <w:r w:rsidRPr="007C4D65">
        <w:rPr>
          <w:rFonts w:asciiTheme="minorHAnsi" w:hAnsiTheme="minorHAnsi" w:cstheme="minorHAnsi"/>
          <w:sz w:val="22"/>
          <w:szCs w:val="22"/>
        </w:rPr>
        <w:t xml:space="preserve"> basin.</w:t>
      </w:r>
    </w:p>
    <w:p w14:paraId="6EFD2CA0"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Construction of power plants and their work regime in the Adriatic Sea basin are the main reason for declaring the HMWB and artificial water bodies. There are 59 HMWB – 58 HMWB of running water, and 1 HMWB of standing water.</w:t>
      </w:r>
    </w:p>
    <w:p w14:paraId="01A5FAFA" w14:textId="6006B02D" w:rsidR="008F71EF" w:rsidRPr="007C4D65" w:rsidRDefault="008F71EF" w:rsidP="008F71EF">
      <w:pPr>
        <w:spacing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There are 4 hydro power plants on the Neretva River, and 4 more on its tributaries and on the </w:t>
      </w:r>
      <w:proofErr w:type="spellStart"/>
      <w:r w:rsidR="008218CA" w:rsidRPr="007C4D65">
        <w:rPr>
          <w:rFonts w:asciiTheme="minorHAnsi" w:hAnsiTheme="minorHAnsi" w:cstheme="minorHAnsi"/>
          <w:sz w:val="22"/>
          <w:szCs w:val="22"/>
        </w:rPr>
        <w:t>Trebisnjica</w:t>
      </w:r>
      <w:proofErr w:type="spellEnd"/>
      <w:r w:rsidRPr="007C4D65">
        <w:rPr>
          <w:rFonts w:asciiTheme="minorHAnsi" w:hAnsiTheme="minorHAnsi" w:cstheme="minorHAnsi"/>
          <w:sz w:val="22"/>
          <w:szCs w:val="22"/>
        </w:rPr>
        <w:t xml:space="preserve">. </w:t>
      </w:r>
    </w:p>
    <w:p w14:paraId="5799FE3E" w14:textId="328A32F8" w:rsidR="008F71EF" w:rsidRPr="007C4D65" w:rsidRDefault="008F71EF" w:rsidP="008F71EF">
      <w:pPr>
        <w:spacing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In addition, pressure is made by hydro-power systems built in </w:t>
      </w:r>
      <w:proofErr w:type="spellStart"/>
      <w:r w:rsidRPr="007C4D65">
        <w:rPr>
          <w:rFonts w:asciiTheme="minorHAnsi" w:hAnsiTheme="minorHAnsi" w:cstheme="minorHAnsi"/>
          <w:sz w:val="22"/>
          <w:szCs w:val="22"/>
        </w:rPr>
        <w:t>Republika</w:t>
      </w:r>
      <w:proofErr w:type="spellEnd"/>
      <w:r w:rsidRPr="007C4D65">
        <w:rPr>
          <w:rFonts w:asciiTheme="minorHAnsi" w:hAnsiTheme="minorHAnsi" w:cstheme="minorHAnsi"/>
          <w:sz w:val="22"/>
          <w:szCs w:val="22"/>
        </w:rPr>
        <w:t xml:space="preserve"> Srpska (Hydro system </w:t>
      </w:r>
      <w:proofErr w:type="spellStart"/>
      <w:r w:rsidRPr="007C4D65">
        <w:rPr>
          <w:rFonts w:asciiTheme="minorHAnsi" w:hAnsiTheme="minorHAnsi" w:cstheme="minorHAnsi"/>
          <w:sz w:val="22"/>
          <w:szCs w:val="22"/>
        </w:rPr>
        <w:t>Trebi</w:t>
      </w:r>
      <w:r w:rsidR="008218CA" w:rsidRPr="007C4D65">
        <w:rPr>
          <w:rFonts w:asciiTheme="minorHAnsi" w:hAnsiTheme="minorHAnsi" w:cstheme="minorHAnsi"/>
          <w:sz w:val="22"/>
          <w:szCs w:val="22"/>
        </w:rPr>
        <w:t>snj</w:t>
      </w:r>
      <w:r w:rsidRPr="007C4D65">
        <w:rPr>
          <w:rFonts w:asciiTheme="minorHAnsi" w:hAnsiTheme="minorHAnsi" w:cstheme="minorHAnsi"/>
          <w:sz w:val="22"/>
          <w:szCs w:val="22"/>
        </w:rPr>
        <w:t>ica</w:t>
      </w:r>
      <w:proofErr w:type="spellEnd"/>
      <w:r w:rsidRPr="007C4D65">
        <w:rPr>
          <w:rFonts w:asciiTheme="minorHAnsi" w:hAnsiTheme="minorHAnsi" w:cstheme="minorHAnsi"/>
          <w:sz w:val="22"/>
          <w:szCs w:val="22"/>
        </w:rPr>
        <w:t xml:space="preserve"> in the </w:t>
      </w:r>
      <w:proofErr w:type="spellStart"/>
      <w:r w:rsidR="008218CA" w:rsidRPr="007C4D65">
        <w:rPr>
          <w:rFonts w:asciiTheme="minorHAnsi" w:hAnsiTheme="minorHAnsi" w:cstheme="minorHAnsi"/>
          <w:sz w:val="22"/>
          <w:szCs w:val="22"/>
        </w:rPr>
        <w:t>Trebisnjica</w:t>
      </w:r>
      <w:proofErr w:type="spellEnd"/>
      <w:r w:rsidRPr="007C4D65">
        <w:rPr>
          <w:rFonts w:asciiTheme="minorHAnsi" w:hAnsiTheme="minorHAnsi" w:cstheme="minorHAnsi"/>
          <w:sz w:val="22"/>
          <w:szCs w:val="22"/>
        </w:rPr>
        <w:t xml:space="preserve"> basin) and in Croatia (HPP Dubrovnik in the </w:t>
      </w:r>
      <w:proofErr w:type="spellStart"/>
      <w:r w:rsidR="008218CA" w:rsidRPr="007C4D65">
        <w:rPr>
          <w:rFonts w:asciiTheme="minorHAnsi" w:hAnsiTheme="minorHAnsi" w:cstheme="minorHAnsi"/>
          <w:sz w:val="22"/>
          <w:szCs w:val="22"/>
        </w:rPr>
        <w:t>Trebisnjica</w:t>
      </w:r>
      <w:proofErr w:type="spellEnd"/>
      <w:r w:rsidRPr="007C4D65">
        <w:rPr>
          <w:rFonts w:asciiTheme="minorHAnsi" w:hAnsiTheme="minorHAnsi" w:cstheme="minorHAnsi"/>
          <w:sz w:val="22"/>
          <w:szCs w:val="22"/>
        </w:rPr>
        <w:t xml:space="preserve"> basin and HPP </w:t>
      </w:r>
      <w:proofErr w:type="spellStart"/>
      <w:r w:rsidRPr="007C4D65">
        <w:rPr>
          <w:rFonts w:asciiTheme="minorHAnsi" w:hAnsiTheme="minorHAnsi" w:cstheme="minorHAnsi"/>
          <w:sz w:val="22"/>
          <w:szCs w:val="22"/>
        </w:rPr>
        <w:t>Orlovac</w:t>
      </w:r>
      <w:proofErr w:type="spellEnd"/>
      <w:r w:rsidRPr="007C4D65">
        <w:rPr>
          <w:rFonts w:asciiTheme="minorHAnsi" w:hAnsiTheme="minorHAnsi" w:cstheme="minorHAnsi"/>
          <w:sz w:val="22"/>
          <w:szCs w:val="22"/>
        </w:rPr>
        <w:t xml:space="preserve"> in the </w:t>
      </w:r>
      <w:proofErr w:type="spellStart"/>
      <w:r w:rsidRPr="007C4D65">
        <w:rPr>
          <w:rFonts w:asciiTheme="minorHAnsi" w:hAnsiTheme="minorHAnsi" w:cstheme="minorHAnsi"/>
          <w:sz w:val="22"/>
          <w:szCs w:val="22"/>
        </w:rPr>
        <w:t>Cetina</w:t>
      </w:r>
      <w:proofErr w:type="spellEnd"/>
      <w:r w:rsidRPr="007C4D65">
        <w:rPr>
          <w:rFonts w:asciiTheme="minorHAnsi" w:hAnsiTheme="minorHAnsi" w:cstheme="minorHAnsi"/>
          <w:sz w:val="22"/>
          <w:szCs w:val="22"/>
        </w:rPr>
        <w:t xml:space="preserve"> basin in the Republic of Croatia).</w:t>
      </w:r>
    </w:p>
    <w:p w14:paraId="49BB7DEB" w14:textId="77777777" w:rsidR="008F71EF" w:rsidRPr="007C4D65" w:rsidRDefault="008F71EF" w:rsidP="008F71EF">
      <w:pPr>
        <w:spacing w:line="276" w:lineRule="auto"/>
        <w:jc w:val="both"/>
        <w:rPr>
          <w:rFonts w:asciiTheme="minorHAnsi" w:hAnsiTheme="minorHAnsi" w:cstheme="minorHAnsi"/>
          <w:sz w:val="22"/>
          <w:szCs w:val="22"/>
        </w:rPr>
      </w:pPr>
    </w:p>
    <w:p w14:paraId="38DA8D2B" w14:textId="73E044DA" w:rsidR="008F71EF" w:rsidRPr="007C4D65" w:rsidRDefault="008F71EF" w:rsidP="008F71EF">
      <w:pPr>
        <w:spacing w:before="12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In the </w:t>
      </w:r>
      <w:proofErr w:type="gramStart"/>
      <w:r w:rsidRPr="007C4D65">
        <w:rPr>
          <w:rFonts w:asciiTheme="minorHAnsi" w:hAnsiTheme="minorHAnsi" w:cstheme="minorHAnsi"/>
          <w:sz w:val="22"/>
          <w:szCs w:val="22"/>
        </w:rPr>
        <w:t>Adriatic Sea river</w:t>
      </w:r>
      <w:proofErr w:type="gramEnd"/>
      <w:r w:rsidRPr="007C4D65">
        <w:rPr>
          <w:rFonts w:asciiTheme="minorHAnsi" w:hAnsiTheme="minorHAnsi" w:cstheme="minorHAnsi"/>
          <w:sz w:val="22"/>
          <w:szCs w:val="22"/>
        </w:rPr>
        <w:t xml:space="preserve"> basin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there are 11 small hydro power plants (SHPPs), 1 SHPP is under construction, while construction of another 15 SHPPs is in preparation.</w:t>
      </w:r>
    </w:p>
    <w:p w14:paraId="33667A92" w14:textId="77777777" w:rsidR="008F71EF" w:rsidRPr="007C4D65" w:rsidRDefault="008F71EF" w:rsidP="008F71EF">
      <w:pPr>
        <w:spacing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 xml:space="preserve">Hydrological monitoring of waters </w:t>
      </w:r>
    </w:p>
    <w:p w14:paraId="7D79059B" w14:textId="0AA0E65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Sava River Basin Agency (SRBA), Adriatic Sea Watershed Agency (ASWA) and Federation Hydro-Meteorological Institute (FHMI) are responsible for organizing monitoring of waters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w:t>
      </w:r>
    </w:p>
    <w:p w14:paraId="26D911F5" w14:textId="6B4B9313"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Hydrological monitoring</w:t>
      </w:r>
      <w:r w:rsidR="00B11ADE" w:rsidRPr="007C4D65">
        <w:rPr>
          <w:rFonts w:asciiTheme="minorHAnsi" w:hAnsiTheme="minorHAnsi" w:cstheme="minorHAnsi"/>
          <w:sz w:val="22"/>
          <w:szCs w:val="22"/>
        </w:rPr>
        <w:t xml:space="preserve"> of surface waters in the </w:t>
      </w:r>
      <w:proofErr w:type="gramStart"/>
      <w:r w:rsidR="00B11ADE" w:rsidRPr="007C4D65">
        <w:rPr>
          <w:rFonts w:asciiTheme="minorHAnsi" w:hAnsiTheme="minorHAnsi" w:cstheme="minorHAnsi"/>
          <w:sz w:val="22"/>
          <w:szCs w:val="22"/>
        </w:rPr>
        <w:t>Sava r</w:t>
      </w:r>
      <w:r w:rsidRPr="007C4D65">
        <w:rPr>
          <w:rFonts w:asciiTheme="minorHAnsi" w:hAnsiTheme="minorHAnsi" w:cstheme="minorHAnsi"/>
          <w:sz w:val="22"/>
          <w:szCs w:val="22"/>
        </w:rPr>
        <w:t>iver</w:t>
      </w:r>
      <w:proofErr w:type="gramEnd"/>
      <w:r w:rsidRPr="007C4D65">
        <w:rPr>
          <w:rFonts w:asciiTheme="minorHAnsi" w:hAnsiTheme="minorHAnsi" w:cstheme="minorHAnsi"/>
          <w:sz w:val="22"/>
          <w:szCs w:val="22"/>
        </w:rPr>
        <w:t xml:space="preserve"> basin includes 83 automatic stations, and 17 precipitation measuring stations. Level of ground water is monitored on 25 stations (of which 4 are used for monitoring the level of leaking waters through the bodies of two dams), and 21 also measure temperature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{"citationID":"YBwkdVip","properties":{"formattedCitation":"(Agencija za vodno podru\\uc0\\u269{}je rijeke Save n.d.)","plainCitation":"(Agencija za vodno područje rijeke Save n.d.)","dontUpdate":true,"noteIndex":0},"citationItems":[{"id":1566,"uris":["http://zotero.org/users/7192877/items/YBCDW4MI"],"itemData":{"id":1566,"type":"map","publisher":"Agencija za vodno područje rijeke Save","title":"Hidrološki monitoring površinskih voda","URL":"http://vodostaji.voda.ba/#Vodostaj","author":[{"family":"Agencija za vodno područje rijeke Save","given":""}]}}],"schema":"https://github.com/citation-style-language/schema/raw/master/csl-citation.json"}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(Sava River Basin Agency)</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In the Adriatic Sea river basin, hydrological monitoring is carried out at 18 automatic hydrological stations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{"citationID":"BbPS55ES","properties":{"formattedCitation":"(Agencija za vodno podru\\uc0\\u269{}je Jadranskog mora 2021)","plainCitation":"(Agencija za vodno područje Jadranskog mora 2021)","noteIndex":0},"citationItems":[{"id":1319,"uris":["http://zotero.org/users/7192877/items/CZ8Q4JJE"],"itemData":{"id":1319,"type":"document","title":"Plan upravljanja vodama za vodno područje Jadranskog mora u Federaciji BiH (2022. - 2027.)","URL":"https://avpjm.jadran.ba/uploads/Plan%20upravljanja%20vodama%20VPJM%20%202022-2027_FINALNI%20NACRT.pdf","author":[{"family":"Agencija za vodno područje Jadranskog mora","given":""}],"issued":{"date-parts":[["2021"]]}}}],"schema":"https://github.com/citation-style-language/schema/raw/master/csl-citation.json"}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(Adriatic Sea Watershed Agency)</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2 hydro-meteorological, and 18 meteorological stations, while 18 meteorological stations are served by observers.</w:t>
      </w:r>
    </w:p>
    <w:p w14:paraId="7092A736"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lastRenderedPageBreak/>
        <w:t xml:space="preserve">The Agencies ensure online collection and public presentation of data on water levels from automatic hydrological stations on their </w:t>
      </w:r>
      <w:proofErr w:type="gramStart"/>
      <w:r w:rsidRPr="007C4D65">
        <w:rPr>
          <w:rFonts w:asciiTheme="minorHAnsi" w:hAnsiTheme="minorHAnsi" w:cstheme="minorHAnsi"/>
          <w:sz w:val="22"/>
          <w:szCs w:val="22"/>
        </w:rPr>
        <w:t>web-pages</w:t>
      </w:r>
      <w:proofErr w:type="gramEnd"/>
      <w:r w:rsidRPr="007C4D65">
        <w:rPr>
          <w:rFonts w:asciiTheme="minorHAnsi" w:hAnsiTheme="minorHAnsi" w:cstheme="minorHAnsi"/>
          <w:sz w:val="22"/>
          <w:szCs w:val="22"/>
        </w:rPr>
        <w:t>, and they issue a hydrological yearbook.</w:t>
      </w:r>
    </w:p>
    <w:p w14:paraId="4525C032"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Federation Hydro-Meteorological Institute sends water level data from their own stations (around 13) to the Sava River Basin Agency through the WIS (Water Information System – WIS), and statistically processes the data from their own stations and stations that belong to the Agencies. FHMI, in cooperation with the river basin agencies, has been producing and publishing Hydrological Yearbooks since 2001. They are made on the basis of data obtained from SRBA, ASWA and FHMI, and made available to the general public on the </w:t>
      </w:r>
      <w:proofErr w:type="gramStart"/>
      <w:r w:rsidRPr="007C4D65">
        <w:rPr>
          <w:rFonts w:asciiTheme="minorHAnsi" w:hAnsiTheme="minorHAnsi" w:cstheme="minorHAnsi"/>
          <w:sz w:val="22"/>
          <w:szCs w:val="22"/>
        </w:rPr>
        <w:t>web—pages</w:t>
      </w:r>
      <w:proofErr w:type="gramEnd"/>
      <w:r w:rsidRPr="007C4D65">
        <w:rPr>
          <w:rFonts w:asciiTheme="minorHAnsi" w:hAnsiTheme="minorHAnsi" w:cstheme="minorHAnsi"/>
          <w:sz w:val="22"/>
          <w:szCs w:val="22"/>
        </w:rPr>
        <w:t xml:space="preserve"> of the FHMI and the river basin agencies.</w:t>
      </w:r>
    </w:p>
    <w:p w14:paraId="544B287D" w14:textId="77777777" w:rsidR="008F71EF" w:rsidRPr="007C4D65" w:rsidRDefault="008F71EF" w:rsidP="008F71EF">
      <w:pPr>
        <w:spacing w:after="240" w:line="276" w:lineRule="auto"/>
        <w:rPr>
          <w:rFonts w:asciiTheme="minorHAnsi" w:hAnsiTheme="minorHAnsi" w:cstheme="minorHAnsi"/>
          <w:i/>
          <w:strike/>
          <w:sz w:val="22"/>
          <w:szCs w:val="22"/>
          <w:u w:val="single"/>
        </w:rPr>
      </w:pPr>
      <w:r w:rsidRPr="007C4D65">
        <w:rPr>
          <w:rFonts w:asciiTheme="minorHAnsi" w:hAnsiTheme="minorHAnsi" w:cstheme="minorHAnsi"/>
          <w:i/>
          <w:sz w:val="22"/>
          <w:szCs w:val="22"/>
          <w:u w:val="single"/>
        </w:rPr>
        <w:t>Monitoring and evaluation of surface water bodies (WB)</w:t>
      </w:r>
      <w:bookmarkStart w:id="52" w:name="_Ref104236481"/>
      <w:r w:rsidRPr="007C4D65">
        <w:rPr>
          <w:rStyle w:val="FootnoteReference"/>
          <w:rFonts w:asciiTheme="minorHAnsi" w:eastAsiaTheme="majorEastAsia" w:hAnsiTheme="minorHAnsi" w:cstheme="minorHAnsi"/>
          <w:i/>
          <w:sz w:val="22"/>
          <w:szCs w:val="22"/>
          <w:u w:val="single"/>
        </w:rPr>
        <w:footnoteReference w:id="8"/>
      </w:r>
      <w:bookmarkEnd w:id="52"/>
    </w:p>
    <w:p w14:paraId="625D1395"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Programmes of measures from the first cycle of the Management Plans 2016-2021 plan to examine all water bodies on water courses with basin area exceeding 10 km</w:t>
      </w:r>
      <w:r w:rsidRPr="007C4D65">
        <w:rPr>
          <w:rFonts w:asciiTheme="minorHAnsi" w:hAnsiTheme="minorHAnsi" w:cstheme="minorHAnsi"/>
          <w:sz w:val="22"/>
          <w:szCs w:val="22"/>
          <w:vertAlign w:val="superscript"/>
        </w:rPr>
        <w:t>2</w:t>
      </w:r>
      <w:r w:rsidRPr="007C4D65">
        <w:rPr>
          <w:rFonts w:asciiTheme="minorHAnsi" w:hAnsiTheme="minorHAnsi" w:cstheme="minorHAnsi"/>
          <w:sz w:val="22"/>
          <w:szCs w:val="22"/>
        </w:rPr>
        <w:t xml:space="preserve"> to establish their status.</w:t>
      </w:r>
    </w:p>
    <w:p w14:paraId="27C5229B"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Status of surface waters is determined </w:t>
      </w:r>
      <w:proofErr w:type="gramStart"/>
      <w:r w:rsidRPr="007C4D65">
        <w:rPr>
          <w:rFonts w:asciiTheme="minorHAnsi" w:hAnsiTheme="minorHAnsi" w:cstheme="minorHAnsi"/>
          <w:sz w:val="22"/>
          <w:szCs w:val="22"/>
        </w:rPr>
        <w:t>on the basis of</w:t>
      </w:r>
      <w:proofErr w:type="gramEnd"/>
      <w:r w:rsidRPr="007C4D65">
        <w:rPr>
          <w:rFonts w:asciiTheme="minorHAnsi" w:hAnsiTheme="minorHAnsi" w:cstheme="minorHAnsi"/>
          <w:sz w:val="22"/>
          <w:szCs w:val="22"/>
        </w:rPr>
        <w:t xml:space="preserve"> evaluation of ecological and chemical status of surface water bodies.</w:t>
      </w:r>
    </w:p>
    <w:p w14:paraId="50CD683A"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In the Sava River Basin, until 2018, monitoring included 276 water bodies, </w:t>
      </w:r>
      <w:proofErr w:type="gramStart"/>
      <w:r w:rsidRPr="007C4D65">
        <w:rPr>
          <w:rFonts w:asciiTheme="minorHAnsi" w:hAnsiTheme="minorHAnsi" w:cstheme="minorHAnsi"/>
          <w:sz w:val="22"/>
          <w:szCs w:val="22"/>
        </w:rPr>
        <w:t>i.e.</w:t>
      </w:r>
      <w:proofErr w:type="gramEnd"/>
      <w:r w:rsidRPr="007C4D65">
        <w:rPr>
          <w:rFonts w:asciiTheme="minorHAnsi" w:hAnsiTheme="minorHAnsi" w:cstheme="minorHAnsi"/>
          <w:sz w:val="22"/>
          <w:szCs w:val="22"/>
        </w:rPr>
        <w:t xml:space="preserve"> 50% of the water bodies recognized by that time (533 water bodies). The results showed that 41% of water bodies were evaluated as bad. After 2018, the number of water courses with basins exceeding 10 km</w:t>
      </w:r>
      <w:r w:rsidRPr="007C4D65">
        <w:rPr>
          <w:rFonts w:asciiTheme="minorHAnsi" w:hAnsiTheme="minorHAnsi" w:cstheme="minorHAnsi"/>
          <w:sz w:val="22"/>
          <w:szCs w:val="22"/>
          <w:vertAlign w:val="superscript"/>
        </w:rPr>
        <w:t>2</w:t>
      </w:r>
      <w:r w:rsidRPr="007C4D65">
        <w:rPr>
          <w:rFonts w:asciiTheme="minorHAnsi" w:hAnsiTheme="minorHAnsi" w:cstheme="minorHAnsi"/>
          <w:sz w:val="22"/>
          <w:szCs w:val="22"/>
        </w:rPr>
        <w:t>, as well as the number of water bodies were updated, and the number of water bodies changed from 533 to 548 water bodies. In 2019 and 2020, monitoring included additional 74 water bodies so the number of water bodies that were covered by monitoring went up to 350 water bodies, or 64% of total number of water bodies (548 water bodies). In accordance with the Monitoring Rulebook, in the areas susceptible to eutrophication and sensitive to nitrates, monitoring was done in 2019 on 2014 water bodies, or 33 measuring sites in the areas that were declared as protected.</w:t>
      </w:r>
    </w:p>
    <w:p w14:paraId="732463B1"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eastAsia="Calibri" w:hAnsiTheme="minorHAnsi" w:cstheme="minorHAnsi"/>
          <w:noProof/>
          <w:sz w:val="22"/>
          <w:szCs w:val="22"/>
        </w:rPr>
        <mc:AlternateContent>
          <mc:Choice Requires="wps">
            <w:drawing>
              <wp:anchor distT="0" distB="0" distL="114300" distR="114300" simplePos="0" relativeHeight="251673088" behindDoc="0" locked="0" layoutInCell="1" allowOverlap="1" wp14:anchorId="20ACE9E4" wp14:editId="2BAF49BE">
                <wp:simplePos x="0" y="0"/>
                <wp:positionH relativeFrom="column">
                  <wp:posOffset>3708400</wp:posOffset>
                </wp:positionH>
                <wp:positionV relativeFrom="paragraph">
                  <wp:posOffset>1108075</wp:posOffset>
                </wp:positionV>
                <wp:extent cx="721360" cy="1599565"/>
                <wp:effectExtent l="0" t="0" r="2540" b="635"/>
                <wp:wrapSquare wrapText="bothSides"/>
                <wp:docPr id="2" name="Text Box 2"/>
                <wp:cNvGraphicFramePr/>
                <a:graphic xmlns:a="http://schemas.openxmlformats.org/drawingml/2006/main">
                  <a:graphicData uri="http://schemas.microsoft.com/office/word/2010/wordprocessingShape">
                    <wps:wsp>
                      <wps:cNvSpPr txBox="1"/>
                      <wps:spPr>
                        <a:xfrm>
                          <a:off x="0" y="0"/>
                          <a:ext cx="721360" cy="159956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E8B3B8D" w14:textId="77777777" w:rsidR="00B6017F" w:rsidRPr="00806E70" w:rsidRDefault="00B6017F" w:rsidP="008F71EF">
                            <w:pPr>
                              <w:shd w:val="clear" w:color="auto" w:fill="FFFFFF" w:themeFill="background1"/>
                              <w:rPr>
                                <w:rFonts w:asciiTheme="minorHAnsi" w:hAnsiTheme="minorHAnsi"/>
                                <w:sz w:val="22"/>
                                <w:szCs w:val="22"/>
                                <w:lang w:val="hr-HR"/>
                              </w:rPr>
                            </w:pPr>
                            <w:r w:rsidRPr="00806E70">
                              <w:rPr>
                                <w:rFonts w:asciiTheme="minorHAnsi" w:hAnsiTheme="minorHAnsi"/>
                                <w:sz w:val="22"/>
                                <w:szCs w:val="22"/>
                                <w:lang w:val="hr-HR"/>
                              </w:rPr>
                              <w:t>High</w:t>
                            </w:r>
                          </w:p>
                          <w:p w14:paraId="3E788E41" w14:textId="77777777" w:rsidR="00B6017F" w:rsidRPr="00806E70" w:rsidRDefault="00B6017F" w:rsidP="008F71EF">
                            <w:pPr>
                              <w:shd w:val="clear" w:color="auto" w:fill="FFFFFF" w:themeFill="background1"/>
                              <w:rPr>
                                <w:rFonts w:asciiTheme="minorHAnsi" w:hAnsiTheme="minorHAnsi"/>
                                <w:sz w:val="22"/>
                                <w:szCs w:val="22"/>
                                <w:lang w:val="hr-HR"/>
                              </w:rPr>
                            </w:pPr>
                          </w:p>
                          <w:p w14:paraId="31F61B2C" w14:textId="77777777" w:rsidR="00B6017F" w:rsidRPr="00806E70" w:rsidRDefault="00B6017F" w:rsidP="008F71EF">
                            <w:pPr>
                              <w:shd w:val="clear" w:color="auto" w:fill="FFFFFF" w:themeFill="background1"/>
                              <w:rPr>
                                <w:rFonts w:asciiTheme="minorHAnsi" w:hAnsiTheme="minorHAnsi"/>
                                <w:sz w:val="22"/>
                                <w:szCs w:val="22"/>
                                <w:lang w:val="hr-HR"/>
                              </w:rPr>
                            </w:pPr>
                            <w:r w:rsidRPr="00806E70">
                              <w:rPr>
                                <w:rFonts w:asciiTheme="minorHAnsi" w:hAnsiTheme="minorHAnsi"/>
                                <w:sz w:val="22"/>
                                <w:szCs w:val="22"/>
                                <w:lang w:val="hr-HR"/>
                              </w:rPr>
                              <w:t>Good</w:t>
                            </w:r>
                          </w:p>
                          <w:p w14:paraId="497D2C5E" w14:textId="77777777" w:rsidR="00B6017F" w:rsidRPr="00806E70" w:rsidRDefault="00B6017F" w:rsidP="008F71EF">
                            <w:pPr>
                              <w:shd w:val="clear" w:color="auto" w:fill="FFFFFF" w:themeFill="background1"/>
                              <w:rPr>
                                <w:rFonts w:asciiTheme="minorHAnsi" w:hAnsiTheme="minorHAnsi"/>
                                <w:sz w:val="22"/>
                                <w:szCs w:val="22"/>
                                <w:lang w:val="hr-HR"/>
                              </w:rPr>
                            </w:pPr>
                          </w:p>
                          <w:p w14:paraId="621BF3A1" w14:textId="77777777" w:rsidR="00B6017F" w:rsidRPr="007642B8" w:rsidRDefault="00B6017F" w:rsidP="008F71EF">
                            <w:pPr>
                              <w:shd w:val="clear" w:color="auto" w:fill="FFFFFF" w:themeFill="background1"/>
                              <w:rPr>
                                <w:rFonts w:asciiTheme="minorHAnsi" w:hAnsiTheme="minorHAnsi"/>
                                <w:sz w:val="20"/>
                                <w:szCs w:val="20"/>
                                <w:lang w:val="hr-HR"/>
                              </w:rPr>
                            </w:pPr>
                            <w:r w:rsidRPr="007642B8">
                              <w:rPr>
                                <w:rFonts w:asciiTheme="minorHAnsi" w:hAnsiTheme="minorHAnsi"/>
                                <w:sz w:val="20"/>
                                <w:szCs w:val="20"/>
                                <w:lang w:val="hr-HR"/>
                              </w:rPr>
                              <w:t>Moderate</w:t>
                            </w:r>
                          </w:p>
                          <w:p w14:paraId="2B628C55" w14:textId="77777777" w:rsidR="00152511" w:rsidRDefault="00152511" w:rsidP="008F71EF">
                            <w:pPr>
                              <w:shd w:val="clear" w:color="auto" w:fill="FFFFFF" w:themeFill="background1"/>
                              <w:rPr>
                                <w:rFonts w:asciiTheme="minorHAnsi" w:hAnsiTheme="minorHAnsi"/>
                                <w:sz w:val="22"/>
                                <w:szCs w:val="22"/>
                                <w:lang w:val="hr-HR"/>
                              </w:rPr>
                            </w:pPr>
                          </w:p>
                          <w:p w14:paraId="655E4D64" w14:textId="07AA4D42" w:rsidR="00B6017F" w:rsidRPr="00806E70" w:rsidRDefault="00B6017F" w:rsidP="008F71EF">
                            <w:pPr>
                              <w:shd w:val="clear" w:color="auto" w:fill="FFFFFF" w:themeFill="background1"/>
                              <w:rPr>
                                <w:rFonts w:asciiTheme="minorHAnsi" w:hAnsiTheme="minorHAnsi"/>
                                <w:sz w:val="22"/>
                                <w:szCs w:val="22"/>
                                <w:lang w:val="hr-HR"/>
                              </w:rPr>
                            </w:pPr>
                            <w:r w:rsidRPr="00806E70">
                              <w:rPr>
                                <w:rFonts w:asciiTheme="minorHAnsi" w:hAnsiTheme="minorHAnsi"/>
                                <w:sz w:val="22"/>
                                <w:szCs w:val="22"/>
                                <w:lang w:val="hr-HR"/>
                              </w:rPr>
                              <w:t>Poor</w:t>
                            </w:r>
                          </w:p>
                          <w:p w14:paraId="6DCBD05D" w14:textId="77777777" w:rsidR="00B6017F" w:rsidRPr="00806E70" w:rsidRDefault="00B6017F" w:rsidP="008F71EF">
                            <w:pPr>
                              <w:shd w:val="clear" w:color="auto" w:fill="FFFFFF" w:themeFill="background1"/>
                              <w:rPr>
                                <w:rFonts w:asciiTheme="minorHAnsi" w:hAnsiTheme="minorHAnsi"/>
                                <w:sz w:val="22"/>
                                <w:szCs w:val="22"/>
                                <w:lang w:val="hr-HR"/>
                              </w:rPr>
                            </w:pPr>
                          </w:p>
                          <w:p w14:paraId="3F057439" w14:textId="77777777" w:rsidR="00B6017F" w:rsidRPr="00806E70" w:rsidRDefault="00B6017F" w:rsidP="008F71EF">
                            <w:pPr>
                              <w:shd w:val="clear" w:color="auto" w:fill="FFFFFF" w:themeFill="background1"/>
                              <w:rPr>
                                <w:rFonts w:asciiTheme="minorHAnsi" w:hAnsiTheme="minorHAnsi"/>
                                <w:sz w:val="22"/>
                                <w:szCs w:val="22"/>
                                <w:lang w:val="hr-HR"/>
                              </w:rPr>
                            </w:pPr>
                            <w:r w:rsidRPr="00806E70">
                              <w:rPr>
                                <w:rFonts w:asciiTheme="minorHAnsi" w:hAnsiTheme="minorHAnsi"/>
                                <w:sz w:val="22"/>
                                <w:szCs w:val="22"/>
                                <w:lang w:val="hr-HR"/>
                              </w:rPr>
                              <w:t>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CE9E4" id="_x0000_t202" coordsize="21600,21600" o:spt="202" path="m,l,21600r21600,l21600,xe">
                <v:stroke joinstyle="miter"/>
                <v:path gradientshapeok="t" o:connecttype="rect"/>
              </v:shapetype>
              <v:shape id="Text Box 2" o:spid="_x0000_s1026" type="#_x0000_t202" style="position:absolute;left:0;text-align:left;margin-left:292pt;margin-top:87.25pt;width:56.8pt;height:12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" fillcolor="white [3212]" stroked="f">
                <v:textbox>
                  <w:txbxContent>
                    <w:p w14:paraId="7E8B3B8D" w14:textId="77777777" w:rsidR="00B6017F" w:rsidRPr="00806E70" w:rsidRDefault="00B6017F" w:rsidP="008F71EF">
                      <w:pPr>
                        <w:shd w:val="clear" w:color="auto" w:fill="FFFFFF" w:themeFill="background1"/>
                        <w:rPr>
                          <w:rFonts w:asciiTheme="minorHAnsi" w:hAnsiTheme="minorHAnsi"/>
                          <w:sz w:val="22"/>
                          <w:szCs w:val="22"/>
                          <w:lang w:val="hr-HR"/>
                        </w:rPr>
                      </w:pPr>
                      <w:r w:rsidRPr="00806E70">
                        <w:rPr>
                          <w:rFonts w:asciiTheme="minorHAnsi" w:hAnsiTheme="minorHAnsi"/>
                          <w:sz w:val="22"/>
                          <w:szCs w:val="22"/>
                          <w:lang w:val="hr-HR"/>
                        </w:rPr>
                        <w:t>High</w:t>
                      </w:r>
                    </w:p>
                    <w:p w14:paraId="3E788E41" w14:textId="77777777" w:rsidR="00B6017F" w:rsidRPr="00806E70" w:rsidRDefault="00B6017F" w:rsidP="008F71EF">
                      <w:pPr>
                        <w:shd w:val="clear" w:color="auto" w:fill="FFFFFF" w:themeFill="background1"/>
                        <w:rPr>
                          <w:rFonts w:asciiTheme="minorHAnsi" w:hAnsiTheme="minorHAnsi"/>
                          <w:sz w:val="22"/>
                          <w:szCs w:val="22"/>
                          <w:lang w:val="hr-HR"/>
                        </w:rPr>
                      </w:pPr>
                    </w:p>
                    <w:p w14:paraId="31F61B2C" w14:textId="77777777" w:rsidR="00B6017F" w:rsidRPr="00806E70" w:rsidRDefault="00B6017F" w:rsidP="008F71EF">
                      <w:pPr>
                        <w:shd w:val="clear" w:color="auto" w:fill="FFFFFF" w:themeFill="background1"/>
                        <w:rPr>
                          <w:rFonts w:asciiTheme="minorHAnsi" w:hAnsiTheme="minorHAnsi"/>
                          <w:sz w:val="22"/>
                          <w:szCs w:val="22"/>
                          <w:lang w:val="hr-HR"/>
                        </w:rPr>
                      </w:pPr>
                      <w:r w:rsidRPr="00806E70">
                        <w:rPr>
                          <w:rFonts w:asciiTheme="minorHAnsi" w:hAnsiTheme="minorHAnsi"/>
                          <w:sz w:val="22"/>
                          <w:szCs w:val="22"/>
                          <w:lang w:val="hr-HR"/>
                        </w:rPr>
                        <w:t>Good</w:t>
                      </w:r>
                    </w:p>
                    <w:p w14:paraId="497D2C5E" w14:textId="77777777" w:rsidR="00B6017F" w:rsidRPr="00806E70" w:rsidRDefault="00B6017F" w:rsidP="008F71EF">
                      <w:pPr>
                        <w:shd w:val="clear" w:color="auto" w:fill="FFFFFF" w:themeFill="background1"/>
                        <w:rPr>
                          <w:rFonts w:asciiTheme="minorHAnsi" w:hAnsiTheme="minorHAnsi"/>
                          <w:sz w:val="22"/>
                          <w:szCs w:val="22"/>
                          <w:lang w:val="hr-HR"/>
                        </w:rPr>
                      </w:pPr>
                    </w:p>
                    <w:p w14:paraId="621BF3A1" w14:textId="77777777" w:rsidR="00B6017F" w:rsidRPr="007642B8" w:rsidRDefault="00B6017F" w:rsidP="008F71EF">
                      <w:pPr>
                        <w:shd w:val="clear" w:color="auto" w:fill="FFFFFF" w:themeFill="background1"/>
                        <w:rPr>
                          <w:rFonts w:asciiTheme="minorHAnsi" w:hAnsiTheme="minorHAnsi"/>
                          <w:sz w:val="20"/>
                          <w:szCs w:val="20"/>
                          <w:lang w:val="hr-HR"/>
                        </w:rPr>
                      </w:pPr>
                      <w:r w:rsidRPr="007642B8">
                        <w:rPr>
                          <w:rFonts w:asciiTheme="minorHAnsi" w:hAnsiTheme="minorHAnsi"/>
                          <w:sz w:val="20"/>
                          <w:szCs w:val="20"/>
                          <w:lang w:val="hr-HR"/>
                        </w:rPr>
                        <w:t>Moderate</w:t>
                      </w:r>
                    </w:p>
                    <w:p w14:paraId="2B628C55" w14:textId="77777777" w:rsidR="00152511" w:rsidRDefault="00152511" w:rsidP="008F71EF">
                      <w:pPr>
                        <w:shd w:val="clear" w:color="auto" w:fill="FFFFFF" w:themeFill="background1"/>
                        <w:rPr>
                          <w:rFonts w:asciiTheme="minorHAnsi" w:hAnsiTheme="minorHAnsi"/>
                          <w:sz w:val="22"/>
                          <w:szCs w:val="22"/>
                          <w:lang w:val="hr-HR"/>
                        </w:rPr>
                      </w:pPr>
                    </w:p>
                    <w:p w14:paraId="655E4D64" w14:textId="07AA4D42" w:rsidR="00B6017F" w:rsidRPr="00806E70" w:rsidRDefault="00B6017F" w:rsidP="008F71EF">
                      <w:pPr>
                        <w:shd w:val="clear" w:color="auto" w:fill="FFFFFF" w:themeFill="background1"/>
                        <w:rPr>
                          <w:rFonts w:asciiTheme="minorHAnsi" w:hAnsiTheme="minorHAnsi"/>
                          <w:sz w:val="22"/>
                          <w:szCs w:val="22"/>
                          <w:lang w:val="hr-HR"/>
                        </w:rPr>
                      </w:pPr>
                      <w:r w:rsidRPr="00806E70">
                        <w:rPr>
                          <w:rFonts w:asciiTheme="minorHAnsi" w:hAnsiTheme="minorHAnsi"/>
                          <w:sz w:val="22"/>
                          <w:szCs w:val="22"/>
                          <w:lang w:val="hr-HR"/>
                        </w:rPr>
                        <w:t>Poor</w:t>
                      </w:r>
                    </w:p>
                    <w:p w14:paraId="6DCBD05D" w14:textId="77777777" w:rsidR="00B6017F" w:rsidRPr="00806E70" w:rsidRDefault="00B6017F" w:rsidP="008F71EF">
                      <w:pPr>
                        <w:shd w:val="clear" w:color="auto" w:fill="FFFFFF" w:themeFill="background1"/>
                        <w:rPr>
                          <w:rFonts w:asciiTheme="minorHAnsi" w:hAnsiTheme="minorHAnsi"/>
                          <w:sz w:val="22"/>
                          <w:szCs w:val="22"/>
                          <w:lang w:val="hr-HR"/>
                        </w:rPr>
                      </w:pPr>
                    </w:p>
                    <w:p w14:paraId="3F057439" w14:textId="77777777" w:rsidR="00B6017F" w:rsidRPr="00806E70" w:rsidRDefault="00B6017F" w:rsidP="008F71EF">
                      <w:pPr>
                        <w:shd w:val="clear" w:color="auto" w:fill="FFFFFF" w:themeFill="background1"/>
                        <w:rPr>
                          <w:rFonts w:asciiTheme="minorHAnsi" w:hAnsiTheme="minorHAnsi"/>
                          <w:sz w:val="22"/>
                          <w:szCs w:val="22"/>
                          <w:lang w:val="hr-HR"/>
                        </w:rPr>
                      </w:pPr>
                      <w:r w:rsidRPr="00806E70">
                        <w:rPr>
                          <w:rFonts w:asciiTheme="minorHAnsi" w:hAnsiTheme="minorHAnsi"/>
                          <w:sz w:val="22"/>
                          <w:szCs w:val="22"/>
                          <w:lang w:val="hr-HR"/>
                        </w:rPr>
                        <w:t>Bad</w:t>
                      </w:r>
                    </w:p>
                  </w:txbxContent>
                </v:textbox>
                <w10:wrap type="square"/>
              </v:shape>
            </w:pict>
          </mc:Fallback>
        </mc:AlternateContent>
      </w:r>
      <w:r w:rsidRPr="007C4D65">
        <w:rPr>
          <w:rFonts w:asciiTheme="minorHAnsi" w:hAnsiTheme="minorHAnsi" w:cstheme="minorHAnsi"/>
          <w:sz w:val="22"/>
          <w:szCs w:val="22"/>
        </w:rPr>
        <w:t xml:space="preserve">Until 2019, in the </w:t>
      </w:r>
      <w:proofErr w:type="gramStart"/>
      <w:r w:rsidRPr="007C4D65">
        <w:rPr>
          <w:rFonts w:asciiTheme="minorHAnsi" w:hAnsiTheme="minorHAnsi" w:cstheme="minorHAnsi"/>
          <w:sz w:val="22"/>
          <w:szCs w:val="22"/>
        </w:rPr>
        <w:t>Adriatic Sea river</w:t>
      </w:r>
      <w:proofErr w:type="gramEnd"/>
      <w:r w:rsidRPr="007C4D65">
        <w:rPr>
          <w:rFonts w:asciiTheme="minorHAnsi" w:hAnsiTheme="minorHAnsi" w:cstheme="minorHAnsi"/>
          <w:sz w:val="22"/>
          <w:szCs w:val="22"/>
        </w:rPr>
        <w:t xml:space="preserve"> basin, monitoring included 99 water bodies, or 46% of total number of water bodies (217 water bodies). In 2020, the number of water bodies covered by monitoring went up to 119 water bodies, or 55% of all water bodies. Monitoring of 76 water bodies (35%) cannot be done for the reason of inaccessibility, meaning that until 2022, there are 22 (10%) water bodies left that have not been monitored.</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{"citationID":"G1VKJTyb","properties":{"formattedCitation":"(Agencija za vodno podru\\uc0\\u269{}je Jadranskog mora 2019b)","plainCitation":"(Agencija za vodno područje Jadranskog mora 2019b)","noteIndex":0},"citationItems":[{"id":1325,"uris":["http://zotero.org/users/7192877/items/Y2HY2CZ3"],"itemData":{"id":1325,"type":"report","title":"Karakterizacijski izvještaj Plana upravljanja vodama na vodnom području Jadranskog mora u Federaciji BiH 2022. – 2027.","URL":"https://avpjm.jadran.ba/uploads/Dodatak%20I_Karakterizacijski%20izvje%C5%A1taj%20NPUVPJM%202022-2027.pdf","author":[{"family":"Agencija za vodno područje Jadranskog mora","given":""}],"issued":{"literal":"2019b"}}}],"schema":"https://github.com/citation-style-language/schema/raw/master/csl-citation.json"}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(Adriatic Sea Watershed Agency, 2019)</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w:t>
      </w:r>
    </w:p>
    <w:p w14:paraId="56116959" w14:textId="77777777" w:rsidR="008F71EF" w:rsidRPr="007C4D65" w:rsidRDefault="008F71EF" w:rsidP="008F71EF">
      <w:pPr>
        <w:spacing w:line="276" w:lineRule="auto"/>
        <w:jc w:val="both"/>
        <w:rPr>
          <w:rFonts w:asciiTheme="minorHAnsi" w:hAnsiTheme="minorHAnsi" w:cstheme="minorHAnsi"/>
          <w:sz w:val="22"/>
          <w:szCs w:val="22"/>
        </w:rPr>
      </w:pPr>
      <w:r w:rsidRPr="007C4D65">
        <w:rPr>
          <w:rFonts w:asciiTheme="minorHAnsi" w:eastAsia="Calibri" w:hAnsiTheme="minorHAnsi" w:cstheme="minorHAnsi"/>
          <w:noProof/>
          <w:sz w:val="22"/>
          <w:szCs w:val="22"/>
        </w:rPr>
        <w:drawing>
          <wp:anchor distT="0" distB="0" distL="114300" distR="114300" simplePos="0" relativeHeight="251672064" behindDoc="1" locked="0" layoutInCell="1" allowOverlap="1" wp14:anchorId="1B3386F6" wp14:editId="00967E67">
            <wp:simplePos x="0" y="0"/>
            <wp:positionH relativeFrom="column">
              <wp:posOffset>1219200</wp:posOffset>
            </wp:positionH>
            <wp:positionV relativeFrom="paragraph">
              <wp:posOffset>635</wp:posOffset>
            </wp:positionV>
            <wp:extent cx="3241040" cy="1882140"/>
            <wp:effectExtent l="0" t="0" r="16510" b="3810"/>
            <wp:wrapTight wrapText="bothSides">
              <wp:wrapPolygon edited="0">
                <wp:start x="0" y="0"/>
                <wp:lineTo x="0" y="21425"/>
                <wp:lineTo x="21583" y="21425"/>
                <wp:lineTo x="21583"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5035279" w14:textId="77777777" w:rsidR="008F71EF" w:rsidRPr="007C4D65" w:rsidRDefault="008F71EF" w:rsidP="008F71EF">
      <w:pPr>
        <w:spacing w:line="276" w:lineRule="auto"/>
        <w:jc w:val="both"/>
        <w:rPr>
          <w:rFonts w:asciiTheme="minorHAnsi" w:hAnsiTheme="minorHAnsi" w:cstheme="minorHAnsi"/>
          <w:sz w:val="22"/>
          <w:szCs w:val="22"/>
        </w:rPr>
      </w:pPr>
    </w:p>
    <w:p w14:paraId="1B7FCF51" w14:textId="77777777" w:rsidR="008F71EF" w:rsidRPr="007C4D65" w:rsidRDefault="008F71EF" w:rsidP="008F71EF">
      <w:pPr>
        <w:spacing w:line="276" w:lineRule="auto"/>
        <w:jc w:val="both"/>
        <w:rPr>
          <w:rFonts w:asciiTheme="minorHAnsi" w:hAnsiTheme="minorHAnsi" w:cstheme="minorHAnsi"/>
          <w:sz w:val="22"/>
          <w:szCs w:val="22"/>
        </w:rPr>
      </w:pPr>
    </w:p>
    <w:p w14:paraId="11410483" w14:textId="77777777" w:rsidR="008F71EF" w:rsidRPr="007C4D65" w:rsidRDefault="008F71EF" w:rsidP="008F71EF">
      <w:pPr>
        <w:spacing w:line="276" w:lineRule="auto"/>
        <w:jc w:val="both"/>
        <w:rPr>
          <w:rFonts w:asciiTheme="minorHAnsi" w:hAnsiTheme="minorHAnsi" w:cstheme="minorHAnsi"/>
          <w:sz w:val="22"/>
          <w:szCs w:val="22"/>
        </w:rPr>
      </w:pPr>
    </w:p>
    <w:p w14:paraId="0656BDE8" w14:textId="77777777" w:rsidR="008F71EF" w:rsidRPr="007C4D65" w:rsidRDefault="008F71EF" w:rsidP="008F71EF">
      <w:pPr>
        <w:spacing w:line="276" w:lineRule="auto"/>
        <w:jc w:val="both"/>
        <w:rPr>
          <w:rFonts w:asciiTheme="minorHAnsi" w:hAnsiTheme="minorHAnsi" w:cstheme="minorHAnsi"/>
          <w:sz w:val="22"/>
          <w:szCs w:val="22"/>
        </w:rPr>
      </w:pPr>
    </w:p>
    <w:p w14:paraId="48C0161E" w14:textId="77777777" w:rsidR="008F71EF" w:rsidRPr="007C4D65" w:rsidRDefault="008F71EF" w:rsidP="008F71EF">
      <w:pPr>
        <w:spacing w:line="276" w:lineRule="auto"/>
        <w:jc w:val="both"/>
        <w:rPr>
          <w:rFonts w:asciiTheme="minorHAnsi" w:hAnsiTheme="minorHAnsi" w:cstheme="minorHAnsi"/>
          <w:sz w:val="22"/>
          <w:szCs w:val="22"/>
        </w:rPr>
      </w:pPr>
    </w:p>
    <w:p w14:paraId="0C1D5684" w14:textId="77777777" w:rsidR="008F71EF" w:rsidRPr="007C4D65" w:rsidRDefault="008F71EF" w:rsidP="008F71EF">
      <w:pPr>
        <w:spacing w:line="276" w:lineRule="auto"/>
        <w:jc w:val="both"/>
        <w:rPr>
          <w:rFonts w:asciiTheme="minorHAnsi" w:hAnsiTheme="minorHAnsi" w:cstheme="minorHAnsi"/>
          <w:sz w:val="22"/>
          <w:szCs w:val="22"/>
        </w:rPr>
      </w:pPr>
    </w:p>
    <w:p w14:paraId="5C8CC2B8" w14:textId="77777777" w:rsidR="008F71EF" w:rsidRPr="007C4D65" w:rsidRDefault="008F71EF" w:rsidP="008F71EF">
      <w:pPr>
        <w:spacing w:line="276" w:lineRule="auto"/>
        <w:jc w:val="both"/>
        <w:rPr>
          <w:rFonts w:asciiTheme="minorHAnsi" w:hAnsiTheme="minorHAnsi" w:cstheme="minorHAnsi"/>
          <w:sz w:val="22"/>
          <w:szCs w:val="22"/>
        </w:rPr>
      </w:pPr>
    </w:p>
    <w:p w14:paraId="1F16F299" w14:textId="77777777" w:rsidR="008F71EF" w:rsidRPr="007C4D65" w:rsidRDefault="008F71EF" w:rsidP="008F71EF">
      <w:pPr>
        <w:spacing w:line="276" w:lineRule="auto"/>
        <w:jc w:val="both"/>
        <w:rPr>
          <w:rFonts w:asciiTheme="minorHAnsi" w:hAnsiTheme="minorHAnsi" w:cstheme="minorHAnsi"/>
          <w:sz w:val="22"/>
          <w:szCs w:val="22"/>
        </w:rPr>
      </w:pPr>
    </w:p>
    <w:p w14:paraId="4E65A4AF" w14:textId="77777777" w:rsidR="008F71EF" w:rsidRPr="007C4D65" w:rsidRDefault="008F71EF" w:rsidP="008F71EF">
      <w:pPr>
        <w:spacing w:line="276" w:lineRule="auto"/>
        <w:jc w:val="both"/>
        <w:rPr>
          <w:rFonts w:asciiTheme="minorHAnsi" w:hAnsiTheme="minorHAnsi" w:cstheme="minorHAnsi"/>
          <w:sz w:val="22"/>
          <w:szCs w:val="22"/>
        </w:rPr>
      </w:pPr>
    </w:p>
    <w:p w14:paraId="2C6BA3E5" w14:textId="34971029" w:rsidR="008F71EF" w:rsidRPr="007C4D65" w:rsidRDefault="00B6017F" w:rsidP="008F71EF">
      <w:pPr>
        <w:keepNext/>
        <w:spacing w:line="276" w:lineRule="auto"/>
        <w:jc w:val="center"/>
        <w:rPr>
          <w:rFonts w:asciiTheme="minorHAnsi" w:hAnsiTheme="minorHAnsi" w:cstheme="minorHAnsi"/>
          <w:i/>
          <w:iCs/>
          <w:sz w:val="20"/>
          <w:szCs w:val="20"/>
        </w:rPr>
      </w:pPr>
      <w:bookmarkStart w:id="53" w:name="_Toc109842458"/>
      <w:bookmarkStart w:id="54" w:name="_Toc117445043"/>
      <w:r w:rsidRPr="007C4D65">
        <w:rPr>
          <w:rFonts w:asciiTheme="minorHAnsi" w:hAnsiTheme="minorHAnsi" w:cstheme="minorHAnsi"/>
          <w:b/>
          <w:bCs/>
          <w:i/>
          <w:iCs/>
          <w:sz w:val="20"/>
          <w:szCs w:val="20"/>
        </w:rPr>
        <w:lastRenderedPageBreak/>
        <w:t>Figure</w:t>
      </w:r>
      <w:r w:rsidR="008F71EF" w:rsidRPr="007C4D65">
        <w:rPr>
          <w:rFonts w:asciiTheme="minorHAnsi" w:hAnsiTheme="minorHAnsi" w:cstheme="minorHAnsi"/>
          <w:b/>
          <w:bCs/>
          <w:i/>
          <w:iCs/>
          <w:sz w:val="20"/>
          <w:szCs w:val="20"/>
        </w:rPr>
        <w:t xml:space="preserve"> </w:t>
      </w:r>
      <w:bookmarkStart w:id="55" w:name="slika1"/>
      <w:r w:rsidR="005D60DA" w:rsidRPr="007C4D65">
        <w:rPr>
          <w:rFonts w:asciiTheme="minorHAnsi" w:hAnsiTheme="minorHAnsi" w:cstheme="minorHAnsi"/>
          <w:b/>
          <w:bCs/>
          <w:i/>
          <w:iCs/>
          <w:sz w:val="20"/>
          <w:szCs w:val="20"/>
          <w:lang w:val="hr-HR"/>
        </w:rPr>
        <w:fldChar w:fldCharType="begin"/>
      </w:r>
      <w:r w:rsidR="005D60DA" w:rsidRPr="007C4D65">
        <w:rPr>
          <w:rFonts w:asciiTheme="minorHAnsi" w:hAnsiTheme="minorHAnsi" w:cstheme="minorHAnsi"/>
          <w:b/>
          <w:bCs/>
          <w:i/>
          <w:iCs/>
          <w:sz w:val="20"/>
          <w:szCs w:val="20"/>
          <w:lang w:val="hr-HR"/>
        </w:rPr>
        <w:instrText xml:space="preserve"> SEQ Slika \* ARABIC </w:instrText>
      </w:r>
      <w:r w:rsidR="005D60DA" w:rsidRPr="007C4D65">
        <w:rPr>
          <w:rFonts w:asciiTheme="minorHAnsi" w:hAnsiTheme="minorHAnsi" w:cstheme="minorHAnsi"/>
          <w:b/>
          <w:bCs/>
          <w:i/>
          <w:iCs/>
          <w:sz w:val="20"/>
          <w:szCs w:val="20"/>
          <w:lang w:val="hr-HR"/>
        </w:rPr>
        <w:fldChar w:fldCharType="separate"/>
      </w:r>
      <w:r w:rsidR="005D60DA" w:rsidRPr="007C4D65">
        <w:rPr>
          <w:rFonts w:asciiTheme="minorHAnsi" w:hAnsiTheme="minorHAnsi" w:cstheme="minorHAnsi"/>
          <w:b/>
          <w:bCs/>
          <w:i/>
          <w:iCs/>
          <w:noProof/>
          <w:sz w:val="20"/>
          <w:szCs w:val="20"/>
          <w:lang w:val="hr-HR"/>
        </w:rPr>
        <w:t>1</w:t>
      </w:r>
      <w:r w:rsidR="005D60DA" w:rsidRPr="007C4D65">
        <w:rPr>
          <w:rFonts w:asciiTheme="minorHAnsi" w:hAnsiTheme="minorHAnsi" w:cstheme="minorHAnsi"/>
          <w:b/>
          <w:bCs/>
          <w:i/>
          <w:iCs/>
          <w:sz w:val="20"/>
          <w:szCs w:val="20"/>
          <w:lang w:val="hr-HR"/>
        </w:rPr>
        <w:fldChar w:fldCharType="end"/>
      </w:r>
      <w:bookmarkEnd w:id="55"/>
      <w:r w:rsidR="008F71EF" w:rsidRPr="007C4D65">
        <w:rPr>
          <w:rFonts w:asciiTheme="minorHAnsi" w:hAnsiTheme="minorHAnsi" w:cstheme="minorHAnsi"/>
          <w:b/>
          <w:bCs/>
          <w:i/>
          <w:iCs/>
          <w:sz w:val="20"/>
          <w:szCs w:val="20"/>
        </w:rPr>
        <w:t>:</w:t>
      </w:r>
      <w:r w:rsidR="008F71EF" w:rsidRPr="007C4D65">
        <w:rPr>
          <w:rFonts w:asciiTheme="minorHAnsi" w:hAnsiTheme="minorHAnsi" w:cstheme="minorHAnsi"/>
          <w:i/>
          <w:iCs/>
          <w:sz w:val="20"/>
          <w:szCs w:val="20"/>
        </w:rPr>
        <w:t xml:space="preserve"> Ecological status of surface WB, according to the monitoring in the Sava </w:t>
      </w:r>
      <w:r w:rsidR="00A66041" w:rsidRPr="007C4D65">
        <w:rPr>
          <w:rFonts w:asciiTheme="minorHAnsi" w:hAnsiTheme="minorHAnsi" w:cstheme="minorHAnsi"/>
          <w:i/>
          <w:iCs/>
          <w:sz w:val="20"/>
          <w:szCs w:val="20"/>
        </w:rPr>
        <w:t>R</w:t>
      </w:r>
      <w:r w:rsidR="008F71EF" w:rsidRPr="007C4D65">
        <w:rPr>
          <w:rFonts w:asciiTheme="minorHAnsi" w:hAnsiTheme="minorHAnsi" w:cstheme="minorHAnsi"/>
          <w:i/>
          <w:iCs/>
          <w:sz w:val="20"/>
          <w:szCs w:val="20"/>
        </w:rPr>
        <w:t xml:space="preserve">iver </w:t>
      </w:r>
      <w:r w:rsidR="00A66041" w:rsidRPr="007C4D65">
        <w:rPr>
          <w:rFonts w:asciiTheme="minorHAnsi" w:hAnsiTheme="minorHAnsi" w:cstheme="minorHAnsi"/>
          <w:i/>
          <w:iCs/>
          <w:sz w:val="20"/>
          <w:szCs w:val="20"/>
        </w:rPr>
        <w:t>B</w:t>
      </w:r>
      <w:r w:rsidR="008F71EF" w:rsidRPr="007C4D65">
        <w:rPr>
          <w:rFonts w:asciiTheme="minorHAnsi" w:hAnsiTheme="minorHAnsi" w:cstheme="minorHAnsi"/>
          <w:i/>
          <w:iCs/>
          <w:sz w:val="20"/>
          <w:szCs w:val="20"/>
        </w:rPr>
        <w:t>asin</w:t>
      </w:r>
      <w:bookmarkEnd w:id="53"/>
      <w:bookmarkEnd w:id="54"/>
    </w:p>
    <w:p w14:paraId="75406167" w14:textId="4FFD5C1D" w:rsidR="008F71EF" w:rsidRPr="007C4D65" w:rsidRDefault="008F71EF" w:rsidP="00263549">
      <w:pPr>
        <w:spacing w:line="276" w:lineRule="auto"/>
        <w:jc w:val="center"/>
        <w:rPr>
          <w:rFonts w:asciiTheme="minorHAnsi" w:hAnsiTheme="minorHAnsi" w:cstheme="minorHAnsi"/>
          <w:i/>
          <w:iCs/>
          <w:sz w:val="20"/>
          <w:szCs w:val="20"/>
        </w:rPr>
      </w:pPr>
      <w:r w:rsidRPr="007C4D65">
        <w:rPr>
          <w:rFonts w:asciiTheme="minorHAnsi" w:hAnsiTheme="minorHAnsi" w:cstheme="minorHAnsi"/>
          <w:i/>
          <w:iCs/>
          <w:sz w:val="20"/>
          <w:szCs w:val="20"/>
        </w:rPr>
        <w:fldChar w:fldCharType="begin"/>
      </w:r>
      <w:r w:rsidRPr="007C4D65">
        <w:rPr>
          <w:rFonts w:asciiTheme="minorHAnsi" w:hAnsiTheme="minorHAnsi" w:cstheme="minorHAnsi"/>
          <w:i/>
          <w:iCs/>
          <w:sz w:val="20"/>
          <w:szCs w:val="20"/>
        </w:rPr>
        <w:instrText xml:space="preserve"> ADDIN ZOTERO_ITEM CSL_CITATION {"citationID":"MNwIULJ9","properties":{"formattedCitation":"(Agencija za vodno podru\\uc0\\u269{}je rijeke Save 2021)","plainCitation":"(Agencija za vodno područje rijeke Save 2021)","noteIndex":0},"citationItems":[{"id":1318,"uris":["http://zotero.org/users/7192877/items/R3BGBRH9"],"itemData":{"id":1318,"type":"document","title":"Nacrt Plana upravljanja vodama za vodno područje rijeke Save u Federaciji BiH 2022-2027","URL":"https://www.voda.ba/plan-upravljanja-2022-2027","author":[{"family":"Agencija za vodno područje rijeke Save","given":""}],"issued":{"date-parts":[["2021"]]}}}],"schema":"https://github.com/citation-style-language/schema/raw/master/csl-citation.json"} </w:instrText>
      </w:r>
      <w:r w:rsidRPr="007C4D65">
        <w:rPr>
          <w:rFonts w:asciiTheme="minorHAnsi" w:hAnsiTheme="minorHAnsi" w:cstheme="minorHAnsi"/>
          <w:i/>
          <w:iCs/>
          <w:sz w:val="20"/>
          <w:szCs w:val="20"/>
        </w:rPr>
        <w:fldChar w:fldCharType="separate"/>
      </w:r>
      <w:r w:rsidRPr="007C4D65">
        <w:rPr>
          <w:rFonts w:asciiTheme="minorHAnsi" w:hAnsiTheme="minorHAnsi" w:cstheme="minorHAnsi"/>
          <w:sz w:val="20"/>
        </w:rPr>
        <w:t>(</w:t>
      </w:r>
      <w:r w:rsidRPr="007C4D65">
        <w:rPr>
          <w:rFonts w:asciiTheme="minorHAnsi" w:hAnsiTheme="minorHAnsi" w:cstheme="minorHAnsi"/>
          <w:i/>
          <w:iCs/>
          <w:sz w:val="20"/>
        </w:rPr>
        <w:t>Sava River Basin Agency, 2021)</w:t>
      </w:r>
      <w:r w:rsidRPr="007C4D65">
        <w:rPr>
          <w:rFonts w:asciiTheme="minorHAnsi" w:hAnsiTheme="minorHAnsi" w:cstheme="minorHAnsi"/>
          <w:i/>
          <w:iCs/>
          <w:sz w:val="20"/>
          <w:szCs w:val="20"/>
        </w:rPr>
        <w:fldChar w:fldCharType="end"/>
      </w:r>
    </w:p>
    <w:p w14:paraId="41E5A43B" w14:textId="77777777" w:rsidR="008F71EF" w:rsidRPr="007C4D65" w:rsidRDefault="008F71EF" w:rsidP="008F71EF">
      <w:pPr>
        <w:spacing w:line="276" w:lineRule="auto"/>
        <w:jc w:val="center"/>
        <w:rPr>
          <w:rFonts w:asciiTheme="minorHAnsi" w:hAnsiTheme="minorHAnsi" w:cstheme="minorHAnsi"/>
          <w:i/>
          <w:iCs/>
          <w:sz w:val="20"/>
          <w:szCs w:val="20"/>
        </w:rPr>
      </w:pPr>
    </w:p>
    <w:p w14:paraId="21DA2FFF" w14:textId="77777777" w:rsidR="008F71EF" w:rsidRPr="007C4D65" w:rsidRDefault="008F71EF" w:rsidP="008F71EF">
      <w:pPr>
        <w:spacing w:line="276" w:lineRule="auto"/>
        <w:jc w:val="center"/>
        <w:rPr>
          <w:rFonts w:asciiTheme="minorHAnsi" w:hAnsiTheme="minorHAnsi" w:cstheme="minorHAnsi"/>
          <w:i/>
          <w:iCs/>
          <w:sz w:val="20"/>
          <w:szCs w:val="20"/>
        </w:rPr>
      </w:pPr>
      <w:r w:rsidRPr="007C4D65">
        <w:rPr>
          <w:rFonts w:asciiTheme="minorHAnsi" w:hAnsiTheme="minorHAnsi" w:cstheme="minorHAnsi"/>
          <w:noProof/>
          <w:color w:val="FF0000"/>
        </w:rPr>
        <w:drawing>
          <wp:inline distT="0" distB="0" distL="0" distR="0" wp14:anchorId="3954FA98" wp14:editId="0C1E772F">
            <wp:extent cx="3095625" cy="2076450"/>
            <wp:effectExtent l="0" t="0" r="3175"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7004D4" w14:textId="77777777" w:rsidR="008F71EF" w:rsidRPr="007C4D65" w:rsidRDefault="008F71EF" w:rsidP="008F71EF">
      <w:pPr>
        <w:spacing w:line="276" w:lineRule="auto"/>
        <w:rPr>
          <w:rFonts w:asciiTheme="minorHAnsi" w:hAnsiTheme="minorHAnsi" w:cstheme="minorHAnsi"/>
          <w:i/>
          <w:iCs/>
          <w:sz w:val="20"/>
          <w:szCs w:val="20"/>
        </w:rPr>
      </w:pPr>
    </w:p>
    <w:p w14:paraId="467625E3" w14:textId="0451526C" w:rsidR="008F71EF" w:rsidRPr="007C4D65" w:rsidRDefault="00B6017F" w:rsidP="008F71EF">
      <w:pPr>
        <w:keepNext/>
        <w:spacing w:line="276" w:lineRule="auto"/>
        <w:jc w:val="center"/>
        <w:rPr>
          <w:rFonts w:asciiTheme="minorHAnsi" w:hAnsiTheme="minorHAnsi" w:cstheme="minorHAnsi"/>
          <w:i/>
          <w:iCs/>
          <w:sz w:val="20"/>
          <w:szCs w:val="20"/>
        </w:rPr>
      </w:pPr>
      <w:bookmarkStart w:id="56" w:name="_Toc109842459"/>
      <w:bookmarkStart w:id="57" w:name="_Toc117445044"/>
      <w:r w:rsidRPr="007C4D65">
        <w:rPr>
          <w:rFonts w:asciiTheme="minorHAnsi" w:eastAsia="Calibri" w:hAnsiTheme="minorHAnsi" w:cstheme="minorHAnsi"/>
          <w:b/>
          <w:bCs/>
          <w:i/>
          <w:iCs/>
          <w:sz w:val="20"/>
          <w:szCs w:val="20"/>
          <w:lang w:eastAsia="en-US"/>
        </w:rPr>
        <w:t>Figure</w:t>
      </w:r>
      <w:r w:rsidR="008F71EF" w:rsidRPr="007C4D65">
        <w:rPr>
          <w:rFonts w:asciiTheme="minorHAnsi" w:eastAsia="Calibri" w:hAnsiTheme="minorHAnsi" w:cstheme="minorHAnsi"/>
          <w:b/>
          <w:bCs/>
          <w:i/>
          <w:iCs/>
          <w:sz w:val="20"/>
          <w:szCs w:val="20"/>
          <w:lang w:eastAsia="en-US"/>
        </w:rPr>
        <w:t xml:space="preserve"> </w:t>
      </w:r>
      <w:bookmarkStart w:id="58" w:name="slika2"/>
      <w:bookmarkEnd w:id="58"/>
      <w:r w:rsidR="005D60DA" w:rsidRPr="007C4D65">
        <w:rPr>
          <w:rFonts w:asciiTheme="minorHAnsi" w:hAnsiTheme="minorHAnsi" w:cstheme="minorHAnsi"/>
          <w:b/>
          <w:bCs/>
          <w:i/>
          <w:iCs/>
          <w:sz w:val="20"/>
          <w:szCs w:val="20"/>
          <w:lang w:val="hr-HR"/>
        </w:rPr>
        <w:fldChar w:fldCharType="begin"/>
      </w:r>
      <w:r w:rsidR="005D60DA" w:rsidRPr="007C4D65">
        <w:rPr>
          <w:rFonts w:asciiTheme="minorHAnsi" w:hAnsiTheme="minorHAnsi" w:cstheme="minorHAnsi"/>
          <w:b/>
          <w:bCs/>
          <w:i/>
          <w:iCs/>
          <w:sz w:val="20"/>
          <w:szCs w:val="20"/>
          <w:lang w:val="hr-HR"/>
        </w:rPr>
        <w:instrText xml:space="preserve"> SEQ Slika \* ARABIC </w:instrText>
      </w:r>
      <w:r w:rsidR="005D60DA" w:rsidRPr="007C4D65">
        <w:rPr>
          <w:rFonts w:asciiTheme="minorHAnsi" w:hAnsiTheme="minorHAnsi" w:cstheme="minorHAnsi"/>
          <w:b/>
          <w:bCs/>
          <w:i/>
          <w:iCs/>
          <w:sz w:val="20"/>
          <w:szCs w:val="20"/>
          <w:lang w:val="hr-HR"/>
        </w:rPr>
        <w:fldChar w:fldCharType="separate"/>
      </w:r>
      <w:r w:rsidR="005D60DA" w:rsidRPr="007C4D65">
        <w:rPr>
          <w:rFonts w:asciiTheme="minorHAnsi" w:hAnsiTheme="minorHAnsi" w:cstheme="minorHAnsi"/>
          <w:b/>
          <w:bCs/>
          <w:i/>
          <w:iCs/>
          <w:noProof/>
          <w:sz w:val="20"/>
          <w:szCs w:val="20"/>
          <w:lang w:val="hr-HR"/>
        </w:rPr>
        <w:t>2</w:t>
      </w:r>
      <w:r w:rsidR="005D60DA" w:rsidRPr="007C4D65">
        <w:rPr>
          <w:rFonts w:asciiTheme="minorHAnsi" w:hAnsiTheme="minorHAnsi" w:cstheme="minorHAnsi"/>
          <w:b/>
          <w:bCs/>
          <w:i/>
          <w:iCs/>
          <w:sz w:val="20"/>
          <w:szCs w:val="20"/>
          <w:lang w:val="hr-HR"/>
        </w:rPr>
        <w:fldChar w:fldCharType="end"/>
      </w:r>
      <w:r w:rsidR="008F71EF" w:rsidRPr="007C4D65">
        <w:rPr>
          <w:rFonts w:asciiTheme="minorHAnsi" w:eastAsia="Calibri" w:hAnsiTheme="minorHAnsi" w:cstheme="minorHAnsi"/>
          <w:i/>
          <w:iCs/>
          <w:sz w:val="20"/>
          <w:szCs w:val="20"/>
          <w:lang w:eastAsia="en-US"/>
        </w:rPr>
        <w:t xml:space="preserve">: Chemical status of surface water bodies, according to Sava </w:t>
      </w:r>
      <w:r w:rsidR="00A66041" w:rsidRPr="007C4D65">
        <w:rPr>
          <w:rFonts w:asciiTheme="minorHAnsi" w:eastAsia="Calibri" w:hAnsiTheme="minorHAnsi" w:cstheme="minorHAnsi"/>
          <w:i/>
          <w:iCs/>
          <w:sz w:val="20"/>
          <w:szCs w:val="20"/>
          <w:lang w:eastAsia="en-US"/>
        </w:rPr>
        <w:t xml:space="preserve">River Basin </w:t>
      </w:r>
      <w:r w:rsidR="008F71EF" w:rsidRPr="007C4D65">
        <w:rPr>
          <w:rFonts w:asciiTheme="minorHAnsi" w:eastAsia="Calibri" w:hAnsiTheme="minorHAnsi" w:cstheme="minorHAnsi"/>
          <w:i/>
          <w:iCs/>
          <w:sz w:val="20"/>
          <w:szCs w:val="20"/>
          <w:lang w:eastAsia="en-US"/>
        </w:rPr>
        <w:t>monitoring (2011-2018)</w:t>
      </w:r>
      <w:bookmarkEnd w:id="56"/>
      <w:bookmarkEnd w:id="57"/>
    </w:p>
    <w:p w14:paraId="3D984C62" w14:textId="77777777" w:rsidR="008F71EF" w:rsidRPr="007C4D65" w:rsidRDefault="008F71EF" w:rsidP="008F71EF">
      <w:pPr>
        <w:keepNext/>
        <w:spacing w:line="276" w:lineRule="auto"/>
        <w:jc w:val="center"/>
        <w:rPr>
          <w:rFonts w:asciiTheme="minorHAnsi" w:hAnsiTheme="minorHAnsi" w:cstheme="minorHAnsi"/>
          <w:i/>
          <w:iCs/>
          <w:sz w:val="20"/>
          <w:szCs w:val="20"/>
        </w:rPr>
      </w:pPr>
    </w:p>
    <w:p w14:paraId="16B71A0E" w14:textId="77777777" w:rsidR="008F71EF" w:rsidRPr="007C4D65" w:rsidRDefault="008F71EF" w:rsidP="008F71EF">
      <w:pPr>
        <w:keepNext/>
        <w:spacing w:line="276" w:lineRule="auto"/>
        <w:jc w:val="center"/>
        <w:rPr>
          <w:rFonts w:asciiTheme="minorHAnsi" w:hAnsiTheme="minorHAnsi" w:cstheme="minorHAnsi"/>
          <w:i/>
          <w:iCs/>
          <w:sz w:val="20"/>
          <w:szCs w:val="20"/>
        </w:rPr>
      </w:pPr>
      <w:r w:rsidRPr="007C4D65">
        <w:rPr>
          <w:rFonts w:asciiTheme="minorHAnsi" w:eastAsia="Calibri" w:hAnsiTheme="minorHAnsi" w:cstheme="minorHAnsi"/>
          <w:noProof/>
          <w:sz w:val="22"/>
          <w:szCs w:val="22"/>
        </w:rPr>
        <w:drawing>
          <wp:inline distT="0" distB="0" distL="0" distR="0" wp14:anchorId="07CEF103" wp14:editId="7EAE6AEC">
            <wp:extent cx="3134360" cy="2120900"/>
            <wp:effectExtent l="0" t="0" r="889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C58038" w14:textId="065841E9" w:rsidR="008F71EF" w:rsidRPr="007C4D65" w:rsidRDefault="00B6017F" w:rsidP="00710F07">
      <w:pPr>
        <w:tabs>
          <w:tab w:val="left" w:pos="1260"/>
        </w:tabs>
        <w:spacing w:line="276" w:lineRule="auto"/>
        <w:jc w:val="center"/>
        <w:rPr>
          <w:rFonts w:asciiTheme="minorHAnsi" w:hAnsiTheme="minorHAnsi" w:cstheme="minorHAnsi"/>
          <w:i/>
          <w:iCs/>
          <w:sz w:val="20"/>
          <w:szCs w:val="20"/>
        </w:rPr>
      </w:pPr>
      <w:bookmarkStart w:id="59" w:name="_Toc109842460"/>
      <w:bookmarkStart w:id="60" w:name="_Toc117445045"/>
      <w:r w:rsidRPr="007C4D65">
        <w:rPr>
          <w:rFonts w:asciiTheme="minorHAnsi" w:eastAsia="Calibri" w:hAnsiTheme="minorHAnsi" w:cstheme="minorHAnsi"/>
          <w:b/>
          <w:bCs/>
          <w:i/>
          <w:iCs/>
          <w:sz w:val="20"/>
          <w:szCs w:val="20"/>
          <w:lang w:eastAsia="en-US"/>
        </w:rPr>
        <w:t>Figure</w:t>
      </w:r>
      <w:r w:rsidR="008F71EF" w:rsidRPr="007C4D65">
        <w:rPr>
          <w:rFonts w:asciiTheme="minorHAnsi" w:eastAsia="Calibri" w:hAnsiTheme="minorHAnsi" w:cstheme="minorHAnsi"/>
          <w:b/>
          <w:bCs/>
          <w:i/>
          <w:iCs/>
          <w:sz w:val="20"/>
          <w:szCs w:val="20"/>
          <w:lang w:eastAsia="en-US"/>
        </w:rPr>
        <w:t xml:space="preserve"> </w:t>
      </w:r>
      <w:r w:rsidR="005D60DA" w:rsidRPr="007C4D65">
        <w:rPr>
          <w:rFonts w:asciiTheme="minorHAnsi" w:hAnsiTheme="minorHAnsi" w:cstheme="minorHAnsi"/>
          <w:b/>
          <w:bCs/>
          <w:i/>
          <w:iCs/>
          <w:sz w:val="20"/>
          <w:szCs w:val="20"/>
          <w:lang w:val="hr-HR"/>
        </w:rPr>
        <w:fldChar w:fldCharType="begin"/>
      </w:r>
      <w:r w:rsidR="005D60DA" w:rsidRPr="007C4D65">
        <w:rPr>
          <w:rFonts w:asciiTheme="minorHAnsi" w:hAnsiTheme="minorHAnsi" w:cstheme="minorHAnsi"/>
          <w:b/>
          <w:bCs/>
          <w:i/>
          <w:iCs/>
          <w:sz w:val="20"/>
          <w:szCs w:val="20"/>
          <w:lang w:val="hr-HR"/>
        </w:rPr>
        <w:instrText xml:space="preserve"> SEQ Slika \* ARABIC </w:instrText>
      </w:r>
      <w:r w:rsidR="005D60DA" w:rsidRPr="007C4D65">
        <w:rPr>
          <w:rFonts w:asciiTheme="minorHAnsi" w:hAnsiTheme="minorHAnsi" w:cstheme="minorHAnsi"/>
          <w:b/>
          <w:bCs/>
          <w:i/>
          <w:iCs/>
          <w:sz w:val="20"/>
          <w:szCs w:val="20"/>
          <w:lang w:val="hr-HR"/>
        </w:rPr>
        <w:fldChar w:fldCharType="separate"/>
      </w:r>
      <w:r w:rsidR="005D60DA" w:rsidRPr="007C4D65">
        <w:rPr>
          <w:rFonts w:asciiTheme="minorHAnsi" w:hAnsiTheme="minorHAnsi" w:cstheme="minorHAnsi"/>
          <w:b/>
          <w:bCs/>
          <w:i/>
          <w:iCs/>
          <w:noProof/>
          <w:sz w:val="20"/>
          <w:szCs w:val="20"/>
          <w:lang w:val="hr-HR"/>
        </w:rPr>
        <w:t>3</w:t>
      </w:r>
      <w:r w:rsidR="005D60DA" w:rsidRPr="007C4D65">
        <w:rPr>
          <w:rFonts w:asciiTheme="minorHAnsi" w:hAnsiTheme="minorHAnsi" w:cstheme="minorHAnsi"/>
          <w:b/>
          <w:bCs/>
          <w:i/>
          <w:iCs/>
          <w:sz w:val="20"/>
          <w:szCs w:val="20"/>
          <w:lang w:val="hr-HR"/>
        </w:rPr>
        <w:fldChar w:fldCharType="end"/>
      </w:r>
      <w:r w:rsidR="008F71EF" w:rsidRPr="007C4D65">
        <w:rPr>
          <w:rFonts w:asciiTheme="minorHAnsi" w:eastAsia="Calibri" w:hAnsiTheme="minorHAnsi" w:cstheme="minorHAnsi"/>
          <w:b/>
          <w:bCs/>
          <w:i/>
          <w:iCs/>
          <w:sz w:val="20"/>
          <w:szCs w:val="20"/>
          <w:lang w:eastAsia="en-US"/>
        </w:rPr>
        <w:t xml:space="preserve">: </w:t>
      </w:r>
      <w:r w:rsidR="008F71EF" w:rsidRPr="007C4D65">
        <w:rPr>
          <w:rFonts w:asciiTheme="minorHAnsi" w:eastAsia="Calibri" w:hAnsiTheme="minorHAnsi" w:cstheme="minorHAnsi"/>
          <w:bCs/>
          <w:i/>
          <w:iCs/>
          <w:sz w:val="20"/>
          <w:szCs w:val="20"/>
          <w:lang w:eastAsia="en-US"/>
        </w:rPr>
        <w:t xml:space="preserve">Overall assessment of status of surface water bodies, according to the monitoring in the </w:t>
      </w:r>
      <w:r w:rsidR="00A66041" w:rsidRPr="007C4D65">
        <w:rPr>
          <w:rFonts w:asciiTheme="minorHAnsi" w:eastAsia="Calibri" w:hAnsiTheme="minorHAnsi" w:cstheme="minorHAnsi"/>
          <w:bCs/>
          <w:i/>
          <w:iCs/>
          <w:sz w:val="20"/>
          <w:szCs w:val="20"/>
          <w:lang w:eastAsia="en-US"/>
        </w:rPr>
        <w:t>Sava River Basin</w:t>
      </w:r>
      <w:r w:rsidR="008F71EF" w:rsidRPr="007C4D65">
        <w:rPr>
          <w:rFonts w:asciiTheme="minorHAnsi" w:eastAsia="Calibri" w:hAnsiTheme="minorHAnsi" w:cstheme="minorHAnsi"/>
          <w:bCs/>
          <w:i/>
          <w:iCs/>
          <w:sz w:val="20"/>
          <w:szCs w:val="20"/>
          <w:lang w:eastAsia="en-US"/>
        </w:rPr>
        <w:t xml:space="preserve"> </w:t>
      </w:r>
      <w:r w:rsidR="008F71EF" w:rsidRPr="007C4D65">
        <w:rPr>
          <w:rFonts w:asciiTheme="minorHAnsi" w:eastAsia="Calibri" w:hAnsiTheme="minorHAnsi" w:cstheme="minorHAnsi"/>
          <w:i/>
          <w:iCs/>
          <w:sz w:val="20"/>
          <w:szCs w:val="20"/>
          <w:lang w:eastAsia="en-US"/>
        </w:rPr>
        <w:t>(2011-2018)</w:t>
      </w:r>
      <w:bookmarkEnd w:id="59"/>
      <w:bookmarkEnd w:id="60"/>
    </w:p>
    <w:p w14:paraId="0FD49FFD" w14:textId="77777777" w:rsidR="008F71EF" w:rsidRPr="007C4D65" w:rsidRDefault="008F71EF" w:rsidP="008F71EF">
      <w:pPr>
        <w:keepNext/>
        <w:spacing w:line="276" w:lineRule="auto"/>
        <w:jc w:val="center"/>
        <w:rPr>
          <w:rFonts w:asciiTheme="minorHAnsi" w:hAnsiTheme="minorHAnsi" w:cstheme="minorHAnsi"/>
          <w:i/>
          <w:iCs/>
          <w:sz w:val="20"/>
          <w:szCs w:val="20"/>
        </w:rPr>
      </w:pPr>
      <w:r w:rsidRPr="007C4D65">
        <w:rPr>
          <w:rFonts w:asciiTheme="minorHAnsi" w:eastAsia="Calibri" w:hAnsiTheme="minorHAnsi" w:cstheme="minorHAnsi"/>
          <w:noProof/>
          <w:sz w:val="22"/>
          <w:szCs w:val="22"/>
        </w:rPr>
        <w:lastRenderedPageBreak/>
        <w:drawing>
          <wp:inline distT="0" distB="0" distL="0" distR="0" wp14:anchorId="1B6B6E0C" wp14:editId="03698C3E">
            <wp:extent cx="3086100" cy="2293620"/>
            <wp:effectExtent l="0" t="0" r="12700" b="1778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0A76DD" w14:textId="77777777" w:rsidR="008F71EF" w:rsidRPr="007C4D65" w:rsidRDefault="008F71EF" w:rsidP="008F71EF">
      <w:pPr>
        <w:keepNext/>
        <w:spacing w:line="276" w:lineRule="auto"/>
        <w:jc w:val="center"/>
        <w:rPr>
          <w:rFonts w:asciiTheme="minorHAnsi" w:hAnsiTheme="minorHAnsi" w:cstheme="minorHAnsi"/>
          <w:i/>
          <w:iCs/>
          <w:sz w:val="20"/>
          <w:szCs w:val="20"/>
        </w:rPr>
      </w:pPr>
    </w:p>
    <w:p w14:paraId="0B7EE0D8" w14:textId="0ACF5D2E" w:rsidR="008F71EF" w:rsidRPr="007C4D65" w:rsidRDefault="00B6017F" w:rsidP="008F71EF">
      <w:pPr>
        <w:keepNext/>
        <w:spacing w:line="276" w:lineRule="auto"/>
        <w:jc w:val="center"/>
        <w:rPr>
          <w:rFonts w:asciiTheme="minorHAnsi" w:hAnsiTheme="minorHAnsi" w:cstheme="minorHAnsi"/>
          <w:i/>
          <w:iCs/>
          <w:sz w:val="20"/>
          <w:szCs w:val="20"/>
        </w:rPr>
      </w:pPr>
      <w:bookmarkStart w:id="61" w:name="_Toc109842461"/>
      <w:bookmarkStart w:id="62" w:name="_Toc117445046"/>
      <w:r w:rsidRPr="007C4D65">
        <w:rPr>
          <w:rFonts w:asciiTheme="minorHAnsi" w:eastAsia="Calibri" w:hAnsiTheme="minorHAnsi" w:cstheme="minorHAnsi"/>
          <w:b/>
          <w:bCs/>
          <w:i/>
          <w:iCs/>
          <w:sz w:val="20"/>
          <w:szCs w:val="20"/>
          <w:lang w:eastAsia="en-US"/>
        </w:rPr>
        <w:t>Figure</w:t>
      </w:r>
      <w:r w:rsidRPr="007C4D65">
        <w:rPr>
          <w:rFonts w:asciiTheme="minorHAnsi" w:hAnsiTheme="minorHAnsi" w:cstheme="minorHAnsi"/>
          <w:b/>
          <w:bCs/>
          <w:i/>
          <w:iCs/>
          <w:sz w:val="20"/>
          <w:szCs w:val="20"/>
        </w:rPr>
        <w:t xml:space="preserve"> </w:t>
      </w:r>
      <w:r w:rsidR="005D60DA" w:rsidRPr="007C4D65">
        <w:rPr>
          <w:rFonts w:asciiTheme="minorHAnsi" w:hAnsiTheme="minorHAnsi" w:cstheme="minorHAnsi"/>
          <w:b/>
          <w:bCs/>
          <w:i/>
          <w:iCs/>
          <w:sz w:val="20"/>
          <w:szCs w:val="20"/>
          <w:lang w:val="hr-HR"/>
        </w:rPr>
        <w:fldChar w:fldCharType="begin"/>
      </w:r>
      <w:r w:rsidR="005D60DA" w:rsidRPr="007C4D65">
        <w:rPr>
          <w:rFonts w:asciiTheme="minorHAnsi" w:hAnsiTheme="minorHAnsi" w:cstheme="minorHAnsi"/>
          <w:b/>
          <w:bCs/>
          <w:i/>
          <w:iCs/>
          <w:sz w:val="20"/>
          <w:szCs w:val="20"/>
          <w:lang w:val="hr-HR"/>
        </w:rPr>
        <w:instrText xml:space="preserve"> SEQ Slika \* ARABIC </w:instrText>
      </w:r>
      <w:r w:rsidR="005D60DA" w:rsidRPr="007C4D65">
        <w:rPr>
          <w:rFonts w:asciiTheme="minorHAnsi" w:hAnsiTheme="minorHAnsi" w:cstheme="minorHAnsi"/>
          <w:b/>
          <w:bCs/>
          <w:i/>
          <w:iCs/>
          <w:sz w:val="20"/>
          <w:szCs w:val="20"/>
          <w:lang w:val="hr-HR"/>
        </w:rPr>
        <w:fldChar w:fldCharType="separate"/>
      </w:r>
      <w:r w:rsidR="005D60DA" w:rsidRPr="007C4D65">
        <w:rPr>
          <w:rFonts w:asciiTheme="minorHAnsi" w:hAnsiTheme="minorHAnsi" w:cstheme="minorHAnsi"/>
          <w:b/>
          <w:bCs/>
          <w:i/>
          <w:iCs/>
          <w:noProof/>
          <w:sz w:val="20"/>
          <w:szCs w:val="20"/>
          <w:lang w:val="hr-HR"/>
        </w:rPr>
        <w:t>4</w:t>
      </w:r>
      <w:r w:rsidR="005D60DA" w:rsidRPr="007C4D65">
        <w:rPr>
          <w:rFonts w:asciiTheme="minorHAnsi" w:hAnsiTheme="minorHAnsi" w:cstheme="minorHAnsi"/>
          <w:b/>
          <w:bCs/>
          <w:i/>
          <w:iCs/>
          <w:sz w:val="20"/>
          <w:szCs w:val="20"/>
          <w:lang w:val="hr-HR"/>
        </w:rPr>
        <w:fldChar w:fldCharType="end"/>
      </w:r>
      <w:r w:rsidR="008F71EF" w:rsidRPr="007C4D65">
        <w:rPr>
          <w:rFonts w:asciiTheme="minorHAnsi" w:eastAsia="Calibri" w:hAnsiTheme="minorHAnsi" w:cstheme="minorHAnsi"/>
          <w:i/>
          <w:iCs/>
          <w:sz w:val="20"/>
          <w:szCs w:val="20"/>
          <w:lang w:eastAsia="en-US"/>
        </w:rPr>
        <w:t xml:space="preserve">: Ecological status of natural surface water bodies according to the Adriatic Sea </w:t>
      </w:r>
      <w:r w:rsidR="00A66041" w:rsidRPr="007C4D65">
        <w:rPr>
          <w:rFonts w:asciiTheme="minorHAnsi" w:eastAsia="Calibri" w:hAnsiTheme="minorHAnsi" w:cstheme="minorHAnsi"/>
          <w:i/>
          <w:iCs/>
          <w:sz w:val="20"/>
          <w:szCs w:val="20"/>
          <w:lang w:eastAsia="en-US"/>
        </w:rPr>
        <w:t>Basin</w:t>
      </w:r>
      <w:r w:rsidR="008F71EF" w:rsidRPr="007C4D65">
        <w:rPr>
          <w:rFonts w:asciiTheme="minorHAnsi" w:eastAsia="Calibri" w:hAnsiTheme="minorHAnsi" w:cstheme="minorHAnsi"/>
          <w:i/>
          <w:iCs/>
          <w:sz w:val="20"/>
          <w:szCs w:val="20"/>
          <w:lang w:eastAsia="en-US"/>
        </w:rPr>
        <w:t xml:space="preserve"> </w:t>
      </w:r>
      <w:r w:rsidR="008F71EF" w:rsidRPr="007C4D65">
        <w:rPr>
          <w:rFonts w:asciiTheme="minorHAnsi" w:eastAsia="Calibri" w:hAnsiTheme="minorHAnsi" w:cstheme="minorHAnsi"/>
          <w:i/>
          <w:iCs/>
          <w:sz w:val="20"/>
          <w:szCs w:val="20"/>
          <w:lang w:eastAsia="en-US"/>
        </w:rPr>
        <w:br/>
        <w:t xml:space="preserve">(2016-2019) </w:t>
      </w:r>
      <w:r w:rsidR="008F71EF" w:rsidRPr="007C4D65">
        <w:rPr>
          <w:rFonts w:asciiTheme="minorHAnsi" w:eastAsia="Calibri" w:hAnsiTheme="minorHAnsi" w:cstheme="minorHAnsi"/>
          <w:i/>
          <w:iCs/>
          <w:sz w:val="20"/>
          <w:szCs w:val="20"/>
          <w:lang w:eastAsia="en-US"/>
        </w:rPr>
        <w:fldChar w:fldCharType="begin"/>
      </w:r>
      <w:r w:rsidR="008F71EF" w:rsidRPr="007C4D65">
        <w:rPr>
          <w:rFonts w:asciiTheme="minorHAnsi" w:eastAsia="Calibri" w:hAnsiTheme="minorHAnsi" w:cstheme="minorHAnsi"/>
          <w:i/>
          <w:iCs/>
          <w:sz w:val="20"/>
          <w:szCs w:val="20"/>
          <w:lang w:eastAsia="en-US"/>
        </w:rPr>
        <w:instrText xml:space="preserve"> ADDIN ZOTERO_ITEM CSL_CITATION {"citationID":"nVCvUYkw","properties":{"formattedCitation":"(Agencija za vodno podru\\uc0\\u269{}je Jadrana 2021)","plainCitation":"(Agencija za vodno područje Jadrana 2021)","dontUpdate":true,"noteIndex":0},"citationItems":[{"id":1319,"uris":["http://zotero.org/users/7192877/items/CZ8Q4JJE"],"itemData":{"id":1319,"type":"document","title":"Plan upravljanja vodama za vodno područje Jadranskog mora u Federaciji BiH (2022. - 2027.)","URL":"https://avpjm.jadran.ba/uploads/Plan%20upravljanja%20vodama%20VPJM%20%202022-2027_FINALNI%20NACRT.pdf","author":[{"family":"Agencija za vodno područje Jadranskog mora","given":""}],"issued":{"date-parts":[["2021"]]}}}],"schema":"https://github.com/citation-style-language/schema/raw/master/csl-citation.json"} </w:instrText>
      </w:r>
      <w:r w:rsidR="008F71EF" w:rsidRPr="007C4D65">
        <w:rPr>
          <w:rFonts w:asciiTheme="minorHAnsi" w:eastAsia="Calibri" w:hAnsiTheme="minorHAnsi" w:cstheme="minorHAnsi"/>
          <w:i/>
          <w:iCs/>
          <w:sz w:val="20"/>
          <w:szCs w:val="20"/>
          <w:lang w:eastAsia="en-US"/>
        </w:rPr>
        <w:fldChar w:fldCharType="separate"/>
      </w:r>
      <w:r w:rsidR="008F71EF" w:rsidRPr="007C4D65">
        <w:rPr>
          <w:rFonts w:asciiTheme="minorHAnsi" w:hAnsiTheme="minorHAnsi" w:cstheme="minorHAnsi"/>
          <w:i/>
          <w:iCs/>
          <w:sz w:val="20"/>
        </w:rPr>
        <w:t>(Adriatic Sea Watershed Agency, 2021)</w:t>
      </w:r>
      <w:bookmarkEnd w:id="61"/>
      <w:bookmarkEnd w:id="62"/>
      <w:r w:rsidR="008F71EF" w:rsidRPr="007C4D65">
        <w:rPr>
          <w:rFonts w:asciiTheme="minorHAnsi" w:eastAsia="Calibri" w:hAnsiTheme="minorHAnsi" w:cstheme="minorHAnsi"/>
          <w:i/>
          <w:iCs/>
          <w:sz w:val="20"/>
          <w:szCs w:val="20"/>
          <w:lang w:eastAsia="en-US"/>
        </w:rPr>
        <w:fldChar w:fldCharType="end"/>
      </w:r>
    </w:p>
    <w:p w14:paraId="27A6CC65" w14:textId="77777777" w:rsidR="008F71EF" w:rsidRPr="007C4D65" w:rsidRDefault="008F71EF" w:rsidP="008F71EF">
      <w:pPr>
        <w:keepNext/>
        <w:spacing w:line="276" w:lineRule="auto"/>
        <w:rPr>
          <w:rFonts w:asciiTheme="minorHAnsi" w:hAnsiTheme="minorHAnsi" w:cstheme="minorHAnsi"/>
          <w:i/>
          <w:iCs/>
          <w:sz w:val="20"/>
          <w:szCs w:val="20"/>
        </w:rPr>
      </w:pPr>
    </w:p>
    <w:p w14:paraId="7A414B80" w14:textId="77777777" w:rsidR="00710F07" w:rsidRPr="007C4D65" w:rsidRDefault="00710F07" w:rsidP="008F71EF">
      <w:pPr>
        <w:keepNext/>
        <w:spacing w:line="276" w:lineRule="auto"/>
        <w:rPr>
          <w:rFonts w:asciiTheme="minorHAnsi" w:hAnsiTheme="minorHAnsi" w:cstheme="minorHAnsi"/>
          <w:i/>
          <w:iCs/>
          <w:sz w:val="20"/>
          <w:szCs w:val="20"/>
        </w:rPr>
      </w:pPr>
    </w:p>
    <w:p w14:paraId="7BBB321A" w14:textId="77777777" w:rsidR="008F71EF" w:rsidRPr="007C4D65" w:rsidRDefault="008F71EF" w:rsidP="008F71EF">
      <w:pPr>
        <w:keepNext/>
        <w:spacing w:after="240" w:line="276" w:lineRule="auto"/>
        <w:jc w:val="center"/>
        <w:rPr>
          <w:rFonts w:asciiTheme="minorHAnsi" w:eastAsia="Calibri" w:hAnsiTheme="minorHAnsi" w:cstheme="minorHAnsi"/>
          <w:i/>
          <w:iCs/>
          <w:sz w:val="20"/>
          <w:szCs w:val="20"/>
          <w:lang w:eastAsia="en-US"/>
        </w:rPr>
      </w:pPr>
      <w:r w:rsidRPr="007C4D65">
        <w:rPr>
          <w:rFonts w:asciiTheme="minorHAnsi" w:hAnsiTheme="minorHAnsi" w:cstheme="minorHAnsi"/>
          <w:noProof/>
        </w:rPr>
        <w:drawing>
          <wp:inline distT="0" distB="0" distL="0" distR="0" wp14:anchorId="0335DDC0" wp14:editId="4488BD35">
            <wp:extent cx="3067050" cy="2600325"/>
            <wp:effectExtent l="0" t="0" r="635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7E0B00" w14:textId="5069698D" w:rsidR="008F71EF" w:rsidRPr="007C4D65" w:rsidRDefault="00B6017F" w:rsidP="008F71EF">
      <w:pPr>
        <w:keepNext/>
        <w:spacing w:after="240" w:line="276" w:lineRule="auto"/>
        <w:jc w:val="center"/>
        <w:rPr>
          <w:rFonts w:asciiTheme="minorHAnsi" w:hAnsiTheme="minorHAnsi" w:cstheme="minorHAnsi"/>
          <w:sz w:val="20"/>
          <w:szCs w:val="20"/>
        </w:rPr>
      </w:pPr>
      <w:bookmarkStart w:id="63" w:name="_Toc109842462"/>
      <w:bookmarkStart w:id="64" w:name="_Toc117445047"/>
      <w:r w:rsidRPr="007C4D65">
        <w:rPr>
          <w:rFonts w:asciiTheme="minorHAnsi" w:hAnsiTheme="minorHAnsi" w:cstheme="minorHAnsi"/>
          <w:b/>
          <w:bCs/>
          <w:i/>
          <w:iCs/>
          <w:sz w:val="20"/>
          <w:szCs w:val="20"/>
        </w:rPr>
        <w:t>Figure</w:t>
      </w:r>
      <w:r w:rsidR="008F71EF" w:rsidRPr="007C4D65">
        <w:rPr>
          <w:rFonts w:asciiTheme="minorHAnsi" w:hAnsiTheme="minorHAnsi" w:cstheme="minorHAnsi"/>
          <w:b/>
          <w:bCs/>
          <w:i/>
          <w:iCs/>
          <w:sz w:val="20"/>
          <w:szCs w:val="20"/>
        </w:rPr>
        <w:t xml:space="preserve"> </w:t>
      </w:r>
      <w:r w:rsidR="005D60DA" w:rsidRPr="007C4D65">
        <w:rPr>
          <w:rFonts w:asciiTheme="minorHAnsi" w:hAnsiTheme="minorHAnsi" w:cstheme="minorHAnsi"/>
          <w:b/>
          <w:bCs/>
          <w:i/>
          <w:iCs/>
          <w:sz w:val="20"/>
          <w:szCs w:val="20"/>
          <w:lang w:val="hr-HR"/>
        </w:rPr>
        <w:fldChar w:fldCharType="begin"/>
      </w:r>
      <w:r w:rsidR="005D60DA" w:rsidRPr="007C4D65">
        <w:rPr>
          <w:rFonts w:asciiTheme="minorHAnsi" w:hAnsiTheme="minorHAnsi" w:cstheme="minorHAnsi"/>
          <w:b/>
          <w:bCs/>
          <w:i/>
          <w:iCs/>
          <w:sz w:val="20"/>
          <w:szCs w:val="20"/>
          <w:lang w:val="hr-HR"/>
        </w:rPr>
        <w:instrText xml:space="preserve"> SEQ Slika \* ARABIC </w:instrText>
      </w:r>
      <w:r w:rsidR="005D60DA" w:rsidRPr="007C4D65">
        <w:rPr>
          <w:rFonts w:asciiTheme="minorHAnsi" w:hAnsiTheme="minorHAnsi" w:cstheme="minorHAnsi"/>
          <w:b/>
          <w:bCs/>
          <w:i/>
          <w:iCs/>
          <w:sz w:val="20"/>
          <w:szCs w:val="20"/>
          <w:lang w:val="hr-HR"/>
        </w:rPr>
        <w:fldChar w:fldCharType="separate"/>
      </w:r>
      <w:r w:rsidR="005D60DA" w:rsidRPr="007C4D65">
        <w:rPr>
          <w:rFonts w:asciiTheme="minorHAnsi" w:hAnsiTheme="minorHAnsi" w:cstheme="minorHAnsi"/>
          <w:b/>
          <w:bCs/>
          <w:i/>
          <w:iCs/>
          <w:noProof/>
          <w:sz w:val="20"/>
          <w:szCs w:val="20"/>
          <w:lang w:val="hr-HR"/>
        </w:rPr>
        <w:t>5</w:t>
      </w:r>
      <w:r w:rsidR="005D60DA" w:rsidRPr="007C4D65">
        <w:rPr>
          <w:rFonts w:asciiTheme="minorHAnsi" w:hAnsiTheme="minorHAnsi" w:cstheme="minorHAnsi"/>
          <w:b/>
          <w:bCs/>
          <w:i/>
          <w:iCs/>
          <w:sz w:val="20"/>
          <w:szCs w:val="20"/>
          <w:lang w:val="hr-HR"/>
        </w:rPr>
        <w:fldChar w:fldCharType="end"/>
      </w:r>
      <w:r w:rsidR="008F71EF" w:rsidRPr="007C4D65">
        <w:rPr>
          <w:rFonts w:asciiTheme="minorHAnsi" w:hAnsiTheme="minorHAnsi" w:cstheme="minorHAnsi"/>
          <w:i/>
          <w:iCs/>
          <w:sz w:val="20"/>
          <w:szCs w:val="20"/>
        </w:rPr>
        <w:t xml:space="preserve">: Ecological potential of heavily modified and artificial surface water bodies according to the monitoring in the Adriatic Sea </w:t>
      </w:r>
      <w:r w:rsidR="00A66041" w:rsidRPr="007C4D65">
        <w:rPr>
          <w:rFonts w:asciiTheme="minorHAnsi" w:hAnsiTheme="minorHAnsi" w:cstheme="minorHAnsi"/>
          <w:i/>
          <w:iCs/>
          <w:sz w:val="20"/>
          <w:szCs w:val="20"/>
        </w:rPr>
        <w:t>B</w:t>
      </w:r>
      <w:r w:rsidR="008F71EF" w:rsidRPr="007C4D65">
        <w:rPr>
          <w:rFonts w:asciiTheme="minorHAnsi" w:hAnsiTheme="minorHAnsi" w:cstheme="minorHAnsi"/>
          <w:i/>
          <w:iCs/>
          <w:sz w:val="20"/>
          <w:szCs w:val="20"/>
        </w:rPr>
        <w:t>asin (2016-2019)</w:t>
      </w:r>
      <w:bookmarkEnd w:id="63"/>
      <w:bookmarkEnd w:id="64"/>
    </w:p>
    <w:p w14:paraId="1978ED13" w14:textId="4D142832" w:rsidR="008F71EF" w:rsidRPr="007C4D65" w:rsidRDefault="008F71EF" w:rsidP="008F71EF">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 risk analysis was conducted in the </w:t>
      </w:r>
      <w:proofErr w:type="gramStart"/>
      <w:r w:rsidRPr="007C4D65">
        <w:rPr>
          <w:rFonts w:asciiTheme="minorHAnsi" w:hAnsiTheme="minorHAnsi" w:cstheme="minorHAnsi"/>
          <w:sz w:val="22"/>
          <w:szCs w:val="22"/>
        </w:rPr>
        <w:t>Sava river</w:t>
      </w:r>
      <w:proofErr w:type="gramEnd"/>
      <w:r w:rsidRPr="007C4D65">
        <w:rPr>
          <w:rFonts w:asciiTheme="minorHAnsi" w:hAnsiTheme="minorHAnsi" w:cstheme="minorHAnsi"/>
          <w:sz w:val="22"/>
          <w:szCs w:val="22"/>
        </w:rPr>
        <w:t xml:space="preserve"> basin </w:t>
      </w:r>
      <w:r w:rsidR="00B11ADE" w:rsidRPr="007C4D65">
        <w:rPr>
          <w:rFonts w:asciiTheme="minorHAnsi" w:hAnsiTheme="minorHAnsi" w:cstheme="minorHAnsi"/>
          <w:sz w:val="22"/>
          <w:szCs w:val="22"/>
        </w:rPr>
        <w:t xml:space="preserve">for the purpose of </w:t>
      </w:r>
      <w:r w:rsidRPr="007C4D65">
        <w:rPr>
          <w:rFonts w:asciiTheme="minorHAnsi" w:hAnsiTheme="minorHAnsi" w:cstheme="minorHAnsi"/>
          <w:sz w:val="22"/>
          <w:szCs w:val="22"/>
        </w:rPr>
        <w:t xml:space="preserve">achieving environmental goals for those surface water bodies for which the monitoring results did not exist, based on the analysis of pressures, pollution load and concentration of pollution indicators. There are 272 such water bodies in the </w:t>
      </w:r>
      <w:proofErr w:type="gramStart"/>
      <w:r w:rsidRPr="007C4D65">
        <w:rPr>
          <w:rFonts w:asciiTheme="minorHAnsi" w:hAnsiTheme="minorHAnsi" w:cstheme="minorHAnsi"/>
          <w:sz w:val="22"/>
          <w:szCs w:val="22"/>
        </w:rPr>
        <w:t>Sava river</w:t>
      </w:r>
      <w:proofErr w:type="gramEnd"/>
      <w:r w:rsidRPr="007C4D65">
        <w:rPr>
          <w:rFonts w:asciiTheme="minorHAnsi" w:hAnsiTheme="minorHAnsi" w:cstheme="minorHAnsi"/>
          <w:sz w:val="22"/>
          <w:szCs w:val="22"/>
        </w:rPr>
        <w:t xml:space="preserve"> basin.</w:t>
      </w:r>
    </w:p>
    <w:p w14:paraId="4F2B9EDC" w14:textId="77777777" w:rsidR="008F71EF" w:rsidRPr="007C4D65" w:rsidRDefault="008F71EF" w:rsidP="008F71EF">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In the </w:t>
      </w:r>
      <w:proofErr w:type="gramStart"/>
      <w:r w:rsidRPr="007C4D65">
        <w:rPr>
          <w:rFonts w:asciiTheme="minorHAnsi" w:hAnsiTheme="minorHAnsi" w:cstheme="minorHAnsi"/>
          <w:sz w:val="22"/>
          <w:szCs w:val="22"/>
        </w:rPr>
        <w:t>Adriatic Sea river</w:t>
      </w:r>
      <w:proofErr w:type="gramEnd"/>
      <w:r w:rsidRPr="007C4D65">
        <w:rPr>
          <w:rFonts w:asciiTheme="minorHAnsi" w:hAnsiTheme="minorHAnsi" w:cstheme="minorHAnsi"/>
          <w:sz w:val="22"/>
          <w:szCs w:val="22"/>
        </w:rPr>
        <w:t xml:space="preserve"> basin, the analysis was done of anthropogenic pressures at water bodies and evaluation of their significance. For 118 water bodies, for which the status evaluation had not been done </w:t>
      </w:r>
      <w:proofErr w:type="gramStart"/>
      <w:r w:rsidRPr="007C4D65">
        <w:rPr>
          <w:rFonts w:asciiTheme="minorHAnsi" w:hAnsiTheme="minorHAnsi" w:cstheme="minorHAnsi"/>
          <w:sz w:val="22"/>
          <w:szCs w:val="22"/>
        </w:rPr>
        <w:t>on the basis of</w:t>
      </w:r>
      <w:proofErr w:type="gramEnd"/>
      <w:r w:rsidRPr="007C4D65">
        <w:rPr>
          <w:rFonts w:asciiTheme="minorHAnsi" w:hAnsiTheme="minorHAnsi" w:cstheme="minorHAnsi"/>
          <w:sz w:val="22"/>
          <w:szCs w:val="22"/>
        </w:rPr>
        <w:t xml:space="preserve"> monitoring, overall status assessment was made on the basis of analysis of pressures, status of downstream water bodies, and data from previous planning period. Out of these water bodies, 6 have high status, 71 good, 7 moderate, 28 good ecological potential, and 6 moderate ecological potential.</w:t>
      </w:r>
    </w:p>
    <w:p w14:paraId="577A3729" w14:textId="77777777" w:rsidR="008F71EF" w:rsidRPr="007C4D65" w:rsidRDefault="008F71EF" w:rsidP="008F71EF">
      <w:pPr>
        <w:spacing w:before="240" w:after="240" w:line="276" w:lineRule="auto"/>
        <w:rPr>
          <w:rFonts w:asciiTheme="minorHAnsi" w:hAnsiTheme="minorHAnsi" w:cstheme="minorHAnsi"/>
          <w:i/>
          <w:sz w:val="22"/>
          <w:szCs w:val="22"/>
          <w:u w:val="single"/>
        </w:rPr>
      </w:pPr>
      <w:bookmarkStart w:id="65" w:name="_Hlk94797310"/>
      <w:r w:rsidRPr="007C4D65">
        <w:rPr>
          <w:rFonts w:asciiTheme="minorHAnsi" w:hAnsiTheme="minorHAnsi" w:cstheme="minorHAnsi"/>
          <w:i/>
          <w:sz w:val="22"/>
          <w:szCs w:val="22"/>
          <w:u w:val="single"/>
        </w:rPr>
        <w:lastRenderedPageBreak/>
        <w:t xml:space="preserve">Monitoring and evaluation of ground water bodies </w:t>
      </w:r>
    </w:p>
    <w:p w14:paraId="06A3068D" w14:textId="074BF636" w:rsidR="008F71EF" w:rsidRPr="007C4D65" w:rsidRDefault="008F71EF" w:rsidP="008F71EF">
      <w:pPr>
        <w:spacing w:before="160" w:after="240" w:line="276" w:lineRule="auto"/>
        <w:jc w:val="both"/>
        <w:rPr>
          <w:rFonts w:asciiTheme="minorHAnsi" w:hAnsiTheme="minorHAnsi" w:cstheme="minorHAnsi"/>
          <w:iCs/>
          <w:sz w:val="22"/>
          <w:szCs w:val="22"/>
        </w:rPr>
      </w:pPr>
      <w:r w:rsidRPr="007C4D65">
        <w:rPr>
          <w:rFonts w:asciiTheme="minorHAnsi" w:hAnsiTheme="minorHAnsi" w:cstheme="minorHAnsi"/>
          <w:iCs/>
          <w:sz w:val="22"/>
          <w:szCs w:val="22"/>
        </w:rPr>
        <w:t xml:space="preserve">Ground waters are the most important resource for water supply to population </w:t>
      </w:r>
      <w:r w:rsidR="007436F1" w:rsidRPr="007C4D65">
        <w:rPr>
          <w:rFonts w:asciiTheme="minorHAnsi" w:hAnsiTheme="minorHAnsi" w:cstheme="minorHAnsi"/>
          <w:iCs/>
          <w:sz w:val="22"/>
          <w:szCs w:val="22"/>
        </w:rPr>
        <w:t>in the Federation of BiH</w:t>
      </w:r>
      <w:r w:rsidRPr="007C4D65">
        <w:rPr>
          <w:rFonts w:asciiTheme="minorHAnsi" w:hAnsiTheme="minorHAnsi" w:cstheme="minorHAnsi"/>
          <w:iCs/>
          <w:sz w:val="22"/>
          <w:szCs w:val="22"/>
        </w:rPr>
        <w:t xml:space="preserve"> as over 80% of the population needs are satisfied from ground water sources/wells. The Federation Institute for Geology is responsible for developing a cadastre of ground waters </w:t>
      </w:r>
      <w:r w:rsidR="007436F1" w:rsidRPr="007C4D65">
        <w:rPr>
          <w:rFonts w:asciiTheme="minorHAnsi" w:hAnsiTheme="minorHAnsi" w:cstheme="minorHAnsi"/>
          <w:iCs/>
          <w:sz w:val="22"/>
          <w:szCs w:val="22"/>
        </w:rPr>
        <w:t>in the Federation of BiH</w:t>
      </w:r>
      <w:r w:rsidRPr="007C4D65">
        <w:rPr>
          <w:rFonts w:asciiTheme="minorHAnsi" w:hAnsiTheme="minorHAnsi" w:cstheme="minorHAnsi"/>
          <w:iCs/>
          <w:sz w:val="22"/>
          <w:szCs w:val="22"/>
        </w:rPr>
        <w:t xml:space="preserve"> – potable water sources, and they started doing this in 2012 and expect to complete this activity </w:t>
      </w:r>
      <w:r w:rsidR="0012709F" w:rsidRPr="007C4D65">
        <w:rPr>
          <w:rFonts w:asciiTheme="minorHAnsi" w:hAnsiTheme="minorHAnsi" w:cstheme="minorHAnsi"/>
          <w:iCs/>
          <w:sz w:val="22"/>
          <w:szCs w:val="22"/>
        </w:rPr>
        <w:t>in</w:t>
      </w:r>
      <w:r w:rsidRPr="007C4D65">
        <w:rPr>
          <w:rFonts w:asciiTheme="minorHAnsi" w:hAnsiTheme="minorHAnsi" w:cstheme="minorHAnsi"/>
          <w:iCs/>
          <w:sz w:val="22"/>
          <w:szCs w:val="22"/>
        </w:rPr>
        <w:t xml:space="preserve"> 2021. The cadastre provides data on ground water reserves, quality, water intake capacity, pumped quantities, hydro-geological parameters related to determination of protection zones, and current use of ground waters on the territory </w:t>
      </w:r>
      <w:r w:rsidR="007436F1" w:rsidRPr="007C4D65">
        <w:rPr>
          <w:rFonts w:asciiTheme="minorHAnsi" w:hAnsiTheme="minorHAnsi" w:cstheme="minorHAnsi"/>
          <w:iCs/>
          <w:sz w:val="22"/>
          <w:szCs w:val="22"/>
        </w:rPr>
        <w:t>of the Federation of BiH</w:t>
      </w:r>
      <w:r w:rsidRPr="007C4D65">
        <w:rPr>
          <w:rFonts w:asciiTheme="minorHAnsi" w:hAnsiTheme="minorHAnsi" w:cstheme="minorHAnsi"/>
          <w:iCs/>
          <w:sz w:val="22"/>
          <w:szCs w:val="22"/>
        </w:rPr>
        <w:t>.</w:t>
      </w:r>
    </w:p>
    <w:p w14:paraId="373EFCDB" w14:textId="26EB7E15" w:rsidR="008F71EF" w:rsidRPr="007C4D65" w:rsidRDefault="008F71EF" w:rsidP="008F71EF">
      <w:pPr>
        <w:spacing w:before="160" w:after="240" w:line="276" w:lineRule="auto"/>
        <w:jc w:val="both"/>
        <w:rPr>
          <w:rFonts w:asciiTheme="minorHAnsi" w:hAnsiTheme="minorHAnsi" w:cstheme="minorHAnsi"/>
          <w:iCs/>
          <w:sz w:val="22"/>
          <w:szCs w:val="22"/>
        </w:rPr>
      </w:pPr>
      <w:r w:rsidRPr="007C4D65">
        <w:rPr>
          <w:rFonts w:asciiTheme="minorHAnsi" w:hAnsiTheme="minorHAnsi" w:cstheme="minorHAnsi"/>
          <w:iCs/>
          <w:sz w:val="22"/>
          <w:szCs w:val="22"/>
        </w:rPr>
        <w:t xml:space="preserve">In the </w:t>
      </w:r>
      <w:proofErr w:type="gramStart"/>
      <w:r w:rsidRPr="007C4D65">
        <w:rPr>
          <w:rFonts w:asciiTheme="minorHAnsi" w:hAnsiTheme="minorHAnsi" w:cstheme="minorHAnsi"/>
          <w:iCs/>
          <w:sz w:val="22"/>
          <w:szCs w:val="22"/>
        </w:rPr>
        <w:t>Sava river</w:t>
      </w:r>
      <w:proofErr w:type="gramEnd"/>
      <w:r w:rsidRPr="007C4D65">
        <w:rPr>
          <w:rFonts w:asciiTheme="minorHAnsi" w:hAnsiTheme="minorHAnsi" w:cstheme="minorHAnsi"/>
          <w:iCs/>
          <w:sz w:val="22"/>
          <w:szCs w:val="22"/>
        </w:rPr>
        <w:t xml:space="preserve"> basin, systematic monitoring of level and temperature of ground water begun in 2019 on 12 automatic stations, i.e. three GWBGW (</w:t>
      </w:r>
      <w:proofErr w:type="spellStart"/>
      <w:r w:rsidRPr="007C4D65">
        <w:rPr>
          <w:rFonts w:asciiTheme="minorHAnsi" w:hAnsiTheme="minorHAnsi" w:cstheme="minorHAnsi"/>
          <w:iCs/>
          <w:sz w:val="22"/>
          <w:szCs w:val="22"/>
        </w:rPr>
        <w:t>Posavina</w:t>
      </w:r>
      <w:proofErr w:type="spellEnd"/>
      <w:r w:rsidRPr="007C4D65">
        <w:rPr>
          <w:rFonts w:asciiTheme="minorHAnsi" w:hAnsiTheme="minorHAnsi" w:cstheme="minorHAnsi"/>
          <w:iCs/>
          <w:sz w:val="22"/>
          <w:szCs w:val="22"/>
        </w:rPr>
        <w:t>, Sarajevo-</w:t>
      </w:r>
      <w:proofErr w:type="spellStart"/>
      <w:r w:rsidR="00A46B27" w:rsidRPr="007C4D65">
        <w:rPr>
          <w:rFonts w:asciiTheme="minorHAnsi" w:hAnsiTheme="minorHAnsi" w:cstheme="minorHAnsi"/>
          <w:iCs/>
          <w:sz w:val="22"/>
          <w:szCs w:val="22"/>
        </w:rPr>
        <w:t>Z</w:t>
      </w:r>
      <w:r w:rsidRPr="007C4D65">
        <w:rPr>
          <w:rFonts w:asciiTheme="minorHAnsi" w:hAnsiTheme="minorHAnsi" w:cstheme="minorHAnsi"/>
          <w:iCs/>
          <w:sz w:val="22"/>
          <w:szCs w:val="22"/>
        </w:rPr>
        <w:t>eni</w:t>
      </w:r>
      <w:r w:rsidR="00A46B27" w:rsidRPr="007C4D65">
        <w:rPr>
          <w:rFonts w:asciiTheme="minorHAnsi" w:hAnsiTheme="minorHAnsi" w:cstheme="minorHAnsi"/>
          <w:iCs/>
          <w:sz w:val="22"/>
          <w:szCs w:val="22"/>
        </w:rPr>
        <w:t>c</w:t>
      </w:r>
      <w:r w:rsidRPr="007C4D65">
        <w:rPr>
          <w:rFonts w:asciiTheme="minorHAnsi" w:hAnsiTheme="minorHAnsi" w:cstheme="minorHAnsi"/>
          <w:iCs/>
          <w:sz w:val="22"/>
          <w:szCs w:val="22"/>
        </w:rPr>
        <w:t>ko</w:t>
      </w:r>
      <w:proofErr w:type="spellEnd"/>
      <w:r w:rsidRPr="007C4D65">
        <w:rPr>
          <w:rFonts w:asciiTheme="minorHAnsi" w:hAnsiTheme="minorHAnsi" w:cstheme="minorHAnsi"/>
          <w:iCs/>
          <w:sz w:val="22"/>
          <w:szCs w:val="22"/>
        </w:rPr>
        <w:t xml:space="preserve"> </w:t>
      </w:r>
      <w:r w:rsidR="00A46B27" w:rsidRPr="007C4D65">
        <w:rPr>
          <w:rFonts w:asciiTheme="minorHAnsi" w:hAnsiTheme="minorHAnsi" w:cstheme="minorHAnsi"/>
          <w:iCs/>
          <w:sz w:val="22"/>
          <w:szCs w:val="22"/>
        </w:rPr>
        <w:t>P</w:t>
      </w:r>
      <w:r w:rsidRPr="007C4D65">
        <w:rPr>
          <w:rFonts w:asciiTheme="minorHAnsi" w:hAnsiTheme="minorHAnsi" w:cstheme="minorHAnsi"/>
          <w:iCs/>
          <w:sz w:val="22"/>
          <w:szCs w:val="22"/>
        </w:rPr>
        <w:t xml:space="preserve">olje, </w:t>
      </w:r>
      <w:proofErr w:type="spellStart"/>
      <w:r w:rsidRPr="007C4D65">
        <w:rPr>
          <w:rFonts w:asciiTheme="minorHAnsi" w:hAnsiTheme="minorHAnsi" w:cstheme="minorHAnsi"/>
          <w:iCs/>
          <w:sz w:val="22"/>
          <w:szCs w:val="22"/>
        </w:rPr>
        <w:t>Tuzlansko-</w:t>
      </w:r>
      <w:r w:rsidR="00A46B27" w:rsidRPr="007C4D65">
        <w:rPr>
          <w:rFonts w:asciiTheme="minorHAnsi" w:hAnsiTheme="minorHAnsi" w:cstheme="minorHAnsi"/>
          <w:iCs/>
          <w:sz w:val="22"/>
          <w:szCs w:val="22"/>
        </w:rPr>
        <w:t>S</w:t>
      </w:r>
      <w:r w:rsidRPr="007C4D65">
        <w:rPr>
          <w:rFonts w:asciiTheme="minorHAnsi" w:hAnsiTheme="minorHAnsi" w:cstheme="minorHAnsi"/>
          <w:iCs/>
          <w:sz w:val="22"/>
          <w:szCs w:val="22"/>
        </w:rPr>
        <w:t>pre</w:t>
      </w:r>
      <w:r w:rsidR="00A46B27" w:rsidRPr="007C4D65">
        <w:rPr>
          <w:rFonts w:asciiTheme="minorHAnsi" w:hAnsiTheme="minorHAnsi" w:cstheme="minorHAnsi"/>
          <w:iCs/>
          <w:sz w:val="22"/>
          <w:szCs w:val="22"/>
        </w:rPr>
        <w:t>c</w:t>
      </w:r>
      <w:r w:rsidRPr="007C4D65">
        <w:rPr>
          <w:rFonts w:asciiTheme="minorHAnsi" w:hAnsiTheme="minorHAnsi" w:cstheme="minorHAnsi"/>
          <w:iCs/>
          <w:sz w:val="22"/>
          <w:szCs w:val="22"/>
        </w:rPr>
        <w:t>ko</w:t>
      </w:r>
      <w:proofErr w:type="spellEnd"/>
      <w:r w:rsidRPr="007C4D65">
        <w:rPr>
          <w:rFonts w:asciiTheme="minorHAnsi" w:hAnsiTheme="minorHAnsi" w:cstheme="minorHAnsi"/>
          <w:iCs/>
          <w:sz w:val="22"/>
          <w:szCs w:val="22"/>
        </w:rPr>
        <w:t xml:space="preserve"> </w:t>
      </w:r>
      <w:r w:rsidR="00A46B27" w:rsidRPr="007C4D65">
        <w:rPr>
          <w:rFonts w:asciiTheme="minorHAnsi" w:hAnsiTheme="minorHAnsi" w:cstheme="minorHAnsi"/>
          <w:iCs/>
          <w:sz w:val="22"/>
          <w:szCs w:val="22"/>
        </w:rPr>
        <w:t>P</w:t>
      </w:r>
      <w:r w:rsidRPr="007C4D65">
        <w:rPr>
          <w:rFonts w:asciiTheme="minorHAnsi" w:hAnsiTheme="minorHAnsi" w:cstheme="minorHAnsi"/>
          <w:iCs/>
          <w:sz w:val="22"/>
          <w:szCs w:val="22"/>
        </w:rPr>
        <w:t>olje). By 2020, analysis of physical and chemical parameters of ground waters at the metering stations had not been established.</w:t>
      </w:r>
    </w:p>
    <w:p w14:paraId="067728CA" w14:textId="77777777" w:rsidR="008F71EF" w:rsidRPr="007C4D65" w:rsidRDefault="008F71EF" w:rsidP="008F71EF">
      <w:pPr>
        <w:spacing w:before="160" w:after="240" w:line="276" w:lineRule="auto"/>
        <w:jc w:val="both"/>
        <w:rPr>
          <w:rFonts w:asciiTheme="minorHAnsi" w:hAnsiTheme="minorHAnsi" w:cstheme="minorHAnsi"/>
          <w:iCs/>
          <w:sz w:val="22"/>
          <w:szCs w:val="22"/>
        </w:rPr>
      </w:pPr>
      <w:r w:rsidRPr="007C4D65">
        <w:rPr>
          <w:rFonts w:asciiTheme="minorHAnsi" w:hAnsiTheme="minorHAnsi" w:cstheme="minorHAnsi"/>
          <w:iCs/>
          <w:sz w:val="22"/>
          <w:szCs w:val="22"/>
        </w:rPr>
        <w:t xml:space="preserve">Pressure on quantitative status of water bodies is determined as significant when it exceeds the limit of 10% of balance reserves values. </w:t>
      </w:r>
    </w:p>
    <w:bookmarkEnd w:id="65"/>
    <w:p w14:paraId="24648EF2"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Quantitative pressures on GWBGW suggest that in most cases, not more water is being exploited than allowed by balance reserves, while 7 GWBGW are under quantity pressures that are seen as “significant” (26% of the total area of GWBGW).</w:t>
      </w:r>
    </w:p>
    <w:p w14:paraId="40CCB148" w14:textId="39FF9D6F" w:rsidR="008F71EF" w:rsidRPr="007C4D65" w:rsidRDefault="008F71EF" w:rsidP="008F71EF">
      <w:pPr>
        <w:spacing w:after="240" w:line="276" w:lineRule="auto"/>
        <w:jc w:val="both"/>
        <w:rPr>
          <w:rFonts w:asciiTheme="minorHAnsi" w:hAnsiTheme="minorHAnsi" w:cstheme="minorHAnsi"/>
          <w:sz w:val="22"/>
          <w:szCs w:val="22"/>
        </w:rPr>
      </w:pPr>
      <w:bookmarkStart w:id="66" w:name="_Hlk93741942"/>
      <w:r w:rsidRPr="007C4D65">
        <w:rPr>
          <w:rFonts w:asciiTheme="minorHAnsi" w:hAnsiTheme="minorHAnsi" w:cstheme="minorHAnsi"/>
          <w:sz w:val="22"/>
          <w:szCs w:val="22"/>
        </w:rPr>
        <w:t xml:space="preserve">Calculated concentrations of ground water quality indicators in all GWBGW show that qualitative/chemical status of ground water is not at risk. Concentration of parameters for evaluation of status of ground waters are </w:t>
      </w:r>
      <w:r w:rsidR="00A46B27" w:rsidRPr="007C4D65">
        <w:rPr>
          <w:rFonts w:asciiTheme="minorHAnsi" w:hAnsiTheme="minorHAnsi" w:cstheme="minorHAnsi"/>
          <w:sz w:val="22"/>
          <w:szCs w:val="22"/>
        </w:rPr>
        <w:t>below</w:t>
      </w:r>
      <w:r w:rsidRPr="007C4D65">
        <w:rPr>
          <w:rFonts w:asciiTheme="minorHAnsi" w:hAnsiTheme="minorHAnsi" w:cstheme="minorHAnsi"/>
          <w:sz w:val="22"/>
          <w:szCs w:val="22"/>
        </w:rPr>
        <w:t xml:space="preserve"> the limits, so the pressures at GWBGW, where no monitoring has been completed, are assessed as “likely not significant”.</w:t>
      </w:r>
    </w:p>
    <w:bookmarkEnd w:id="66"/>
    <w:p w14:paraId="07B9E90E" w14:textId="0D9D2B4F"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Results of the monitoring of GWBGW implemented in upper basin of </w:t>
      </w:r>
      <w:proofErr w:type="spellStart"/>
      <w:r w:rsidR="00A46B27" w:rsidRPr="007C4D65">
        <w:rPr>
          <w:rFonts w:asciiTheme="minorHAnsi" w:hAnsiTheme="minorHAnsi" w:cstheme="minorHAnsi"/>
          <w:sz w:val="22"/>
          <w:szCs w:val="22"/>
        </w:rPr>
        <w:t>Spreca</w:t>
      </w:r>
      <w:proofErr w:type="spellEnd"/>
      <w:r w:rsidRPr="007C4D65">
        <w:rPr>
          <w:rFonts w:asciiTheme="minorHAnsi" w:hAnsiTheme="minorHAnsi" w:cstheme="minorHAnsi"/>
          <w:sz w:val="22"/>
          <w:szCs w:val="22"/>
        </w:rPr>
        <w:t xml:space="preserve"> and </w:t>
      </w:r>
      <w:proofErr w:type="spellStart"/>
      <w:r w:rsidRPr="007C4D65">
        <w:rPr>
          <w:rFonts w:asciiTheme="minorHAnsi" w:hAnsiTheme="minorHAnsi" w:cstheme="minorHAnsi"/>
          <w:sz w:val="22"/>
          <w:szCs w:val="22"/>
        </w:rPr>
        <w:t>Gostelja</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Tuzlansko-</w:t>
      </w:r>
      <w:r w:rsidR="00A46B27" w:rsidRPr="007C4D65">
        <w:rPr>
          <w:rFonts w:asciiTheme="minorHAnsi" w:hAnsiTheme="minorHAnsi" w:cstheme="minorHAnsi"/>
          <w:sz w:val="22"/>
          <w:szCs w:val="22"/>
        </w:rPr>
        <w:t>Sprecko</w:t>
      </w:r>
      <w:proofErr w:type="spellEnd"/>
      <w:r w:rsidR="00A46B27" w:rsidRPr="007C4D65">
        <w:rPr>
          <w:rFonts w:asciiTheme="minorHAnsi" w:hAnsiTheme="minorHAnsi" w:cstheme="minorHAnsi"/>
          <w:sz w:val="22"/>
          <w:szCs w:val="22"/>
        </w:rPr>
        <w:t xml:space="preserve"> Polje</w:t>
      </w:r>
      <w:r w:rsidRPr="007C4D65">
        <w:rPr>
          <w:rFonts w:asciiTheme="minorHAnsi" w:hAnsiTheme="minorHAnsi" w:cstheme="minorHAnsi"/>
          <w:sz w:val="22"/>
          <w:szCs w:val="22"/>
        </w:rPr>
        <w:t xml:space="preserve"> and </w:t>
      </w:r>
      <w:proofErr w:type="spellStart"/>
      <w:r w:rsidRPr="007C4D65">
        <w:rPr>
          <w:rFonts w:asciiTheme="minorHAnsi" w:hAnsiTheme="minorHAnsi" w:cstheme="minorHAnsi"/>
          <w:sz w:val="22"/>
          <w:szCs w:val="22"/>
        </w:rPr>
        <w:t>Posavina</w:t>
      </w:r>
      <w:proofErr w:type="spellEnd"/>
      <w:r w:rsidRPr="007C4D65">
        <w:rPr>
          <w:rFonts w:asciiTheme="minorHAnsi" w:hAnsiTheme="minorHAnsi" w:cstheme="minorHAnsi"/>
          <w:sz w:val="22"/>
          <w:szCs w:val="22"/>
        </w:rPr>
        <w:t xml:space="preserve"> suggest that quality of these ground waters is good, meaning that the pressure is “not significant”.</w:t>
      </w:r>
    </w:p>
    <w:p w14:paraId="022E8605"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Percentage of GWBGW area that is either not at risk of failing to achieve environmental goals for chemical status, or likely not at risk, exceeds 80%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{"citationID":"9ORQWmxN","properties":{"formattedCitation":"(Agencija za vodno podru\\uc0\\u269{}je rijeke Save 2021)","plainCitation":"(Agencija za vodno područje rijeke Save 2021)","noteIndex":0},"citationItems":[{"id":1318,"uris":["http://zotero.org/users/7192877/items/R3BGBRH9"],"itemData":{"id":1318,"type":"document","title":"Nacrt Plana upravljanja vodama za vodno područje rijeke Save u Federaciji BiH 2022-2027","URL":"https://www.voda.ba/plan-upravljanja-2022-2027","author":[{"family":"Agencija za vodno područje rijeke Save","given":""}],"issued":{"date-parts":[["2021"]]}}}],"schema":"https://github.com/citation-style-language/schema/raw/master/csl-citation.json"}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(Sava River Basin Agency, 2021)</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w:t>
      </w:r>
    </w:p>
    <w:p w14:paraId="4DD82FAE" w14:textId="3545FF71"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Quantitative monitoring in karst area, which </w:t>
      </w:r>
      <w:r w:rsidR="00A46B27" w:rsidRPr="007C4D65">
        <w:rPr>
          <w:rFonts w:asciiTheme="minorHAnsi" w:hAnsiTheme="minorHAnsi" w:cstheme="minorHAnsi"/>
          <w:sz w:val="22"/>
          <w:szCs w:val="22"/>
        </w:rPr>
        <w:t>includes</w:t>
      </w:r>
      <w:r w:rsidRPr="007C4D65">
        <w:rPr>
          <w:rFonts w:asciiTheme="minorHAnsi" w:hAnsiTheme="minorHAnsi" w:cstheme="minorHAnsi"/>
          <w:sz w:val="22"/>
          <w:szCs w:val="22"/>
        </w:rPr>
        <w:t xml:space="preserve"> the greatest part of </w:t>
      </w:r>
      <w:proofErr w:type="gramStart"/>
      <w:r w:rsidRPr="007C4D65">
        <w:rPr>
          <w:rFonts w:asciiTheme="minorHAnsi" w:hAnsiTheme="minorHAnsi" w:cstheme="minorHAnsi"/>
          <w:sz w:val="22"/>
          <w:szCs w:val="22"/>
        </w:rPr>
        <w:t>Adriatic Sea river</w:t>
      </w:r>
      <w:proofErr w:type="gramEnd"/>
      <w:r w:rsidRPr="007C4D65">
        <w:rPr>
          <w:rFonts w:asciiTheme="minorHAnsi" w:hAnsiTheme="minorHAnsi" w:cstheme="minorHAnsi"/>
          <w:sz w:val="22"/>
          <w:szCs w:val="22"/>
        </w:rPr>
        <w:t xml:space="preserve"> basin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is conducted by measuring flow on large sources or on directly associated downstream courses. At </w:t>
      </w:r>
      <w:r w:rsidR="00BC2A8C" w:rsidRPr="007C4D65">
        <w:rPr>
          <w:rFonts w:asciiTheme="minorHAnsi" w:hAnsiTheme="minorHAnsi" w:cstheme="minorHAnsi"/>
          <w:sz w:val="22"/>
          <w:szCs w:val="22"/>
        </w:rPr>
        <w:t>some of the</w:t>
      </w:r>
      <w:r w:rsidRPr="007C4D65">
        <w:rPr>
          <w:rFonts w:asciiTheme="minorHAnsi" w:hAnsiTheme="minorHAnsi" w:cstheme="minorHAnsi"/>
          <w:sz w:val="22"/>
          <w:szCs w:val="22"/>
        </w:rPr>
        <w:t xml:space="preserve"> sources, quantity monitoring is regularly done by reading water level measurement gauges and calculating the quantity using the Q/H curve.</w:t>
      </w:r>
    </w:p>
    <w:p w14:paraId="79A9F316"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According to the adopted criteria for quantifying pressures, from the perspective of water intake, the pressures are considered significant if the quantity of captured water make 20% of “available reserves” in the minimum, and ten percent of reduction of total “available reserves”.</w:t>
      </w:r>
    </w:p>
    <w:p w14:paraId="07DF91C6" w14:textId="218FEB05" w:rsidR="008F71EF" w:rsidRPr="007C4D65" w:rsidRDefault="008F71EF" w:rsidP="008F71EF">
      <w:pPr>
        <w:spacing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According to the stated criteria, pressures from ground water intake in the </w:t>
      </w:r>
      <w:proofErr w:type="gramStart"/>
      <w:r w:rsidRPr="007C4D65">
        <w:rPr>
          <w:rFonts w:asciiTheme="minorHAnsi" w:hAnsiTheme="minorHAnsi" w:cstheme="minorHAnsi"/>
          <w:sz w:val="22"/>
          <w:szCs w:val="22"/>
        </w:rPr>
        <w:t>Adriatic Sea river</w:t>
      </w:r>
      <w:proofErr w:type="gramEnd"/>
      <w:r w:rsidRPr="007C4D65">
        <w:rPr>
          <w:rFonts w:asciiTheme="minorHAnsi" w:hAnsiTheme="minorHAnsi" w:cstheme="minorHAnsi"/>
          <w:sz w:val="22"/>
          <w:szCs w:val="22"/>
        </w:rPr>
        <w:t xml:space="preserve"> basin are “not significant”, except on the GWB </w:t>
      </w:r>
      <w:proofErr w:type="spellStart"/>
      <w:r w:rsidRPr="007C4D65">
        <w:rPr>
          <w:rFonts w:asciiTheme="minorHAnsi" w:hAnsiTheme="minorHAnsi" w:cstheme="minorHAnsi"/>
          <w:sz w:val="22"/>
          <w:szCs w:val="22"/>
        </w:rPr>
        <w:t>Hutovo</w:t>
      </w:r>
      <w:proofErr w:type="spellEnd"/>
      <w:r w:rsidRPr="007C4D65">
        <w:rPr>
          <w:rFonts w:asciiTheme="minorHAnsi" w:hAnsiTheme="minorHAnsi" w:cstheme="minorHAnsi"/>
          <w:sz w:val="22"/>
          <w:szCs w:val="22"/>
        </w:rPr>
        <w:t xml:space="preserve">, where the pressure is significant due to the intake by hydro-power system of </w:t>
      </w:r>
      <w:proofErr w:type="spellStart"/>
      <w:r w:rsidR="008218CA" w:rsidRPr="007C4D65">
        <w:rPr>
          <w:rFonts w:asciiTheme="minorHAnsi" w:hAnsiTheme="minorHAnsi" w:cstheme="minorHAnsi"/>
          <w:sz w:val="22"/>
          <w:szCs w:val="22"/>
        </w:rPr>
        <w:t>Trebisnjica</w:t>
      </w:r>
      <w:proofErr w:type="spellEnd"/>
      <w:r w:rsidRPr="007C4D65">
        <w:rPr>
          <w:rFonts w:asciiTheme="minorHAnsi" w:hAnsiTheme="minorHAnsi" w:cstheme="minorHAnsi"/>
          <w:sz w:val="22"/>
          <w:szCs w:val="22"/>
        </w:rPr>
        <w:t xml:space="preserve"> Hydro Power Plants in the </w:t>
      </w:r>
      <w:proofErr w:type="spellStart"/>
      <w:r w:rsidR="008218CA" w:rsidRPr="007C4D65">
        <w:rPr>
          <w:rFonts w:asciiTheme="minorHAnsi" w:hAnsiTheme="minorHAnsi" w:cstheme="minorHAnsi"/>
          <w:sz w:val="22"/>
          <w:szCs w:val="22"/>
        </w:rPr>
        <w:t>Trebisnjica</w:t>
      </w:r>
      <w:proofErr w:type="spellEnd"/>
      <w:r w:rsidRPr="007C4D65">
        <w:rPr>
          <w:rFonts w:asciiTheme="minorHAnsi" w:hAnsiTheme="minorHAnsi" w:cstheme="minorHAnsi"/>
          <w:sz w:val="22"/>
          <w:szCs w:val="22"/>
        </w:rPr>
        <w:t xml:space="preserve"> basin. According to the </w:t>
      </w:r>
      <w:r w:rsidRPr="007C4D65">
        <w:rPr>
          <w:rFonts w:asciiTheme="minorHAnsi" w:hAnsiTheme="minorHAnsi" w:cstheme="minorHAnsi"/>
          <w:sz w:val="22"/>
          <w:szCs w:val="22"/>
        </w:rPr>
        <w:lastRenderedPageBreak/>
        <w:t xml:space="preserve">reliability criteria of status evaluation, </w:t>
      </w:r>
      <w:proofErr w:type="spellStart"/>
      <w:r w:rsidRPr="007C4D65">
        <w:rPr>
          <w:rFonts w:asciiTheme="minorHAnsi" w:hAnsiTheme="minorHAnsi" w:cstheme="minorHAnsi"/>
          <w:sz w:val="22"/>
          <w:szCs w:val="22"/>
        </w:rPr>
        <w:t>Hutovo</w:t>
      </w:r>
      <w:proofErr w:type="spellEnd"/>
      <w:r w:rsidRPr="007C4D65">
        <w:rPr>
          <w:rFonts w:asciiTheme="minorHAnsi" w:hAnsiTheme="minorHAnsi" w:cstheme="minorHAnsi"/>
          <w:sz w:val="22"/>
          <w:szCs w:val="22"/>
        </w:rPr>
        <w:t xml:space="preserve"> </w:t>
      </w:r>
      <w:proofErr w:type="spellStart"/>
      <w:r w:rsidR="00A46B27" w:rsidRPr="007C4D65">
        <w:rPr>
          <w:rFonts w:asciiTheme="minorHAnsi" w:hAnsiTheme="minorHAnsi" w:cstheme="minorHAnsi"/>
          <w:sz w:val="22"/>
          <w:szCs w:val="22"/>
        </w:rPr>
        <w:t>B</w:t>
      </w:r>
      <w:r w:rsidRPr="007C4D65">
        <w:rPr>
          <w:rFonts w:asciiTheme="minorHAnsi" w:hAnsiTheme="minorHAnsi" w:cstheme="minorHAnsi"/>
          <w:sz w:val="22"/>
          <w:szCs w:val="22"/>
        </w:rPr>
        <w:t>lato</w:t>
      </w:r>
      <w:proofErr w:type="spellEnd"/>
      <w:r w:rsidRPr="007C4D65">
        <w:rPr>
          <w:rFonts w:asciiTheme="minorHAnsi" w:hAnsiTheme="minorHAnsi" w:cstheme="minorHAnsi"/>
          <w:sz w:val="22"/>
          <w:szCs w:val="22"/>
        </w:rPr>
        <w:t xml:space="preserve"> is the only ground water body where the quantity status is evaluated as “bad”, while the other ground water bodies have good quantity status.</w:t>
      </w:r>
    </w:p>
    <w:p w14:paraId="26E8194C" w14:textId="77777777" w:rsidR="008F71EF" w:rsidRPr="007C4D65" w:rsidRDefault="008F71EF" w:rsidP="008F71EF">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In the </w:t>
      </w:r>
      <w:proofErr w:type="gramStart"/>
      <w:r w:rsidRPr="007C4D65">
        <w:rPr>
          <w:rFonts w:asciiTheme="minorHAnsi" w:hAnsiTheme="minorHAnsi" w:cstheme="minorHAnsi"/>
          <w:sz w:val="22"/>
          <w:szCs w:val="22"/>
        </w:rPr>
        <w:t>Adriatic Sea river</w:t>
      </w:r>
      <w:proofErr w:type="gramEnd"/>
      <w:r w:rsidRPr="007C4D65">
        <w:rPr>
          <w:rFonts w:asciiTheme="minorHAnsi" w:hAnsiTheme="minorHAnsi" w:cstheme="minorHAnsi"/>
          <w:sz w:val="22"/>
          <w:szCs w:val="22"/>
        </w:rPr>
        <w:t xml:space="preserve"> basin, chemical status of ground water has been monitored since 2011 at 20-33 measuring sites in 2019. Good status was found in 32, and bad status in one measuring site (Gabela Polje) as a result of presence of chlorides in the closer area during the draught season; however, the overall status of water bodies has been evaluated as good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{"citationID":"xhDM49fM","properties":{"formattedCitation":"(Agencija za vodno podru\\uc0\\u269{}je Jadranskog mora 2021)","plainCitation":"(Agencija za vodno područje Jadranskog mora 2021)","noteIndex":0},"citationItems":[{"id":1319,"uris":["http://zotero.org/users/7192877/items/CZ8Q4JJE"],"itemData":{"id":1319,"type":"document","title":"Plan upravljanja vodama za vodno područje Jadranskog mora u Federaciji BiH (2022. - 2027.)","URL":"https://avpjm.jadran.ba/uploads/Plan%20upravljanja%20vodama%20VPJM%20%202022-2027_FINALNI%20NACRT.pdf","author":[{"family":"Agencija za vodno područje Jadranskog mora","given":""}],"issued":{"date-parts":[["2021"]]}}}],"schema":"https://github.com/citation-style-language/schema/raw/master/csl-citation.json"}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(Adriatic Sea Watershed Agency, 2021)</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w:t>
      </w:r>
    </w:p>
    <w:p w14:paraId="311F2D36"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Monitoring of quality and quantity of ground water is done at location of source of 22 water bodies, and during the validity of Management Plan 2022-2027, the plan is to implement supervisory monitoring twice a year at 35 location/sources in total (altogether 70 analyses)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{"citationID":"u8qTqYwN","properties":{"formattedCitation":"(Agencija za vodno podru\\uc0\\u269{}je Jadranskog mora 2021)","plainCitation":"(Agencija za vodno područje Jadranskog mora 2021)","noteIndex":0},"citationItems":[{"id":1319,"uris":["http://zotero.org/users/7192877/items/CZ8Q4JJE"],"itemData":{"id":1319,"type":"document","title":"Plan upravljanja vodama za vodno područje Jadranskog mora u Federaciji BiH (2022. - 2027.)","URL":"https://avpjm.jadran.ba/uploads/Plan%20upravljanja%20vodama%20VPJM%20%202022-2027_FINALNI%20NACRT.pdf","author":[{"family":"Agencija za vodno područje Jadranskog mora","given":""}],"issued":{"date-parts":[["2021"]]}}}],"schema":"https://github.com/citation-style-language/schema/raw/master/csl-citation.json"}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(Adriatic Sea Watershed Agency, 2021)</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w:t>
      </w:r>
    </w:p>
    <w:p w14:paraId="141637BA" w14:textId="6B55C576" w:rsidR="008F71EF" w:rsidRPr="007C4D65" w:rsidRDefault="008F71EF" w:rsidP="008F71EF">
      <w:pPr>
        <w:spacing w:after="240" w:line="276" w:lineRule="auto"/>
        <w:rPr>
          <w:rFonts w:asciiTheme="minorHAnsi" w:hAnsiTheme="minorHAnsi" w:cstheme="minorHAnsi"/>
          <w:i/>
          <w:sz w:val="22"/>
          <w:szCs w:val="22"/>
          <w:u w:val="single"/>
        </w:rPr>
      </w:pPr>
      <w:bookmarkStart w:id="67" w:name="_Hlk94797358"/>
      <w:r w:rsidRPr="007C4D65">
        <w:rPr>
          <w:rFonts w:asciiTheme="minorHAnsi" w:hAnsiTheme="minorHAnsi" w:cstheme="minorHAnsi"/>
          <w:i/>
          <w:sz w:val="22"/>
          <w:szCs w:val="22"/>
          <w:u w:val="single"/>
        </w:rPr>
        <w:t xml:space="preserve">Characteristics of water services </w:t>
      </w:r>
      <w:r w:rsidR="007436F1" w:rsidRPr="007C4D65">
        <w:rPr>
          <w:rFonts w:asciiTheme="minorHAnsi" w:hAnsiTheme="minorHAnsi" w:cstheme="minorHAnsi"/>
          <w:i/>
          <w:sz w:val="22"/>
          <w:szCs w:val="22"/>
          <w:u w:val="single"/>
        </w:rPr>
        <w:t>in the Federation of BiH</w:t>
      </w:r>
    </w:p>
    <w:p w14:paraId="33649C82" w14:textId="6298DEB8" w:rsidR="008F71EF" w:rsidRPr="007C4D65" w:rsidRDefault="008F71EF" w:rsidP="008F71EF">
      <w:pPr>
        <w:spacing w:after="240" w:line="276" w:lineRule="auto"/>
        <w:jc w:val="both"/>
        <w:rPr>
          <w:rFonts w:asciiTheme="minorHAnsi" w:hAnsiTheme="minorHAnsi" w:cstheme="minorHAnsi"/>
          <w:iCs/>
          <w:sz w:val="22"/>
          <w:szCs w:val="22"/>
        </w:rPr>
      </w:pPr>
      <w:r w:rsidRPr="007C4D65">
        <w:rPr>
          <w:rFonts w:asciiTheme="minorHAnsi" w:hAnsiTheme="minorHAnsi" w:cstheme="minorHAnsi"/>
          <w:iCs/>
          <w:sz w:val="22"/>
          <w:szCs w:val="22"/>
        </w:rPr>
        <w:t xml:space="preserve">Over the past ten or more years, </w:t>
      </w:r>
      <w:r w:rsidR="0058588C" w:rsidRPr="007C4D65">
        <w:rPr>
          <w:rFonts w:asciiTheme="minorHAnsi" w:hAnsiTheme="minorHAnsi" w:cstheme="minorHAnsi"/>
          <w:iCs/>
          <w:sz w:val="22"/>
          <w:szCs w:val="22"/>
        </w:rPr>
        <w:t>Federation of BiH</w:t>
      </w:r>
      <w:r w:rsidRPr="007C4D65">
        <w:rPr>
          <w:rFonts w:asciiTheme="minorHAnsi" w:hAnsiTheme="minorHAnsi" w:cstheme="minorHAnsi"/>
          <w:iCs/>
          <w:sz w:val="22"/>
          <w:szCs w:val="22"/>
        </w:rPr>
        <w:t xml:space="preserve"> gradually invested significant funds into capital projects of municipal infrastructure (WATSAN Project, reconstruction and construction projects of sewer system and waste water treatment plants in Sarajevo, </w:t>
      </w:r>
      <w:r w:rsidR="00A46B27" w:rsidRPr="007C4D65">
        <w:rPr>
          <w:rFonts w:asciiTheme="minorHAnsi" w:hAnsiTheme="minorHAnsi" w:cstheme="minorHAnsi"/>
          <w:iCs/>
          <w:sz w:val="22"/>
          <w:szCs w:val="22"/>
        </w:rPr>
        <w:t>Bihac</w:t>
      </w:r>
      <w:r w:rsidRPr="007C4D65">
        <w:rPr>
          <w:rFonts w:asciiTheme="minorHAnsi" w:hAnsiTheme="minorHAnsi" w:cstheme="minorHAnsi"/>
          <w:iCs/>
          <w:sz w:val="22"/>
          <w:szCs w:val="22"/>
        </w:rPr>
        <w:t xml:space="preserve">, Mostar, </w:t>
      </w:r>
      <w:proofErr w:type="spellStart"/>
      <w:r w:rsidRPr="007C4D65">
        <w:rPr>
          <w:rFonts w:asciiTheme="minorHAnsi" w:hAnsiTheme="minorHAnsi" w:cstheme="minorHAnsi"/>
          <w:iCs/>
          <w:sz w:val="22"/>
          <w:szCs w:val="22"/>
        </w:rPr>
        <w:t>Cazin</w:t>
      </w:r>
      <w:proofErr w:type="spellEnd"/>
      <w:r w:rsidRPr="007C4D65">
        <w:rPr>
          <w:rFonts w:asciiTheme="minorHAnsi" w:hAnsiTheme="minorHAnsi" w:cstheme="minorHAnsi"/>
          <w:iCs/>
          <w:sz w:val="22"/>
          <w:szCs w:val="22"/>
        </w:rPr>
        <w:t xml:space="preserve"> and other settlements), which are being implemented through international banks (World Bank, EIB, EBRD, CEB, </w:t>
      </w:r>
      <w:proofErr w:type="spellStart"/>
      <w:r w:rsidRPr="007C4D65">
        <w:rPr>
          <w:rFonts w:asciiTheme="minorHAnsi" w:hAnsiTheme="minorHAnsi" w:cstheme="minorHAnsi"/>
          <w:iCs/>
          <w:sz w:val="22"/>
          <w:szCs w:val="22"/>
        </w:rPr>
        <w:t>KfW</w:t>
      </w:r>
      <w:proofErr w:type="spellEnd"/>
      <w:r w:rsidRPr="007C4D65">
        <w:rPr>
          <w:rFonts w:asciiTheme="minorHAnsi" w:hAnsiTheme="minorHAnsi" w:cstheme="minorHAnsi"/>
          <w:iCs/>
          <w:sz w:val="22"/>
          <w:szCs w:val="22"/>
        </w:rPr>
        <w:t>), with the funds mostly provided from credit and grant schemes, and also from the Federation and cantonal budgets through the Environmental</w:t>
      </w:r>
      <w:r w:rsidR="007436F1" w:rsidRPr="007C4D65">
        <w:rPr>
          <w:rFonts w:asciiTheme="minorHAnsi" w:hAnsiTheme="minorHAnsi" w:cstheme="minorHAnsi"/>
          <w:iCs/>
          <w:sz w:val="22"/>
          <w:szCs w:val="22"/>
        </w:rPr>
        <w:t xml:space="preserve"> Protection</w:t>
      </w:r>
      <w:r w:rsidRPr="007C4D65">
        <w:rPr>
          <w:rFonts w:asciiTheme="minorHAnsi" w:hAnsiTheme="minorHAnsi" w:cstheme="minorHAnsi"/>
          <w:iCs/>
          <w:sz w:val="22"/>
          <w:szCs w:val="22"/>
        </w:rPr>
        <w:t xml:space="preserve"> Fund (</w:t>
      </w:r>
      <w:r w:rsidR="007436F1" w:rsidRPr="007C4D65">
        <w:rPr>
          <w:rFonts w:asciiTheme="minorHAnsi" w:hAnsiTheme="minorHAnsi" w:cstheme="minorHAnsi"/>
          <w:iCs/>
          <w:sz w:val="22"/>
          <w:szCs w:val="22"/>
        </w:rPr>
        <w:t>EPF</w:t>
      </w:r>
      <w:r w:rsidRPr="007C4D65">
        <w:rPr>
          <w:rFonts w:asciiTheme="minorHAnsi" w:hAnsiTheme="minorHAnsi" w:cstheme="minorHAnsi"/>
          <w:iCs/>
          <w:sz w:val="22"/>
          <w:szCs w:val="22"/>
        </w:rPr>
        <w:t>)</w:t>
      </w:r>
      <w:r w:rsidR="007436F1" w:rsidRPr="007C4D65">
        <w:rPr>
          <w:rFonts w:asciiTheme="minorHAnsi" w:hAnsiTheme="minorHAnsi" w:cstheme="minorHAnsi"/>
          <w:iCs/>
          <w:sz w:val="22"/>
          <w:szCs w:val="22"/>
        </w:rPr>
        <w:t xml:space="preserve"> of the Federation of BiH</w:t>
      </w:r>
      <w:r w:rsidRPr="007C4D65">
        <w:rPr>
          <w:rFonts w:asciiTheme="minorHAnsi" w:hAnsiTheme="minorHAnsi" w:cstheme="minorHAnsi"/>
          <w:iCs/>
          <w:sz w:val="22"/>
          <w:szCs w:val="22"/>
        </w:rPr>
        <w:t>, as well as from water fees. Since 2016, the project of Municipal Environmental and Economic Management (MEG) – phase I and phase II, which was started in BiH by the Government of Switzerland and implemented by UNDP BiH has been under implementation. Goal of this project is introduction of sustainable models of good management in local communities through provision of more just, effective and efficient public services to citizens, particularly the water services.</w:t>
      </w:r>
    </w:p>
    <w:p w14:paraId="35D4FB13" w14:textId="2952928D" w:rsidR="008F71EF" w:rsidRPr="007C4D65" w:rsidRDefault="008F71EF" w:rsidP="008F71EF">
      <w:pPr>
        <w:spacing w:after="240" w:line="276" w:lineRule="auto"/>
        <w:jc w:val="both"/>
        <w:rPr>
          <w:rFonts w:asciiTheme="minorHAnsi" w:hAnsiTheme="minorHAnsi" w:cstheme="minorHAnsi"/>
          <w:iCs/>
          <w:sz w:val="22"/>
          <w:szCs w:val="22"/>
        </w:rPr>
      </w:pPr>
      <w:r w:rsidRPr="007C4D65">
        <w:rPr>
          <w:rFonts w:asciiTheme="minorHAnsi" w:hAnsiTheme="minorHAnsi" w:cstheme="minorHAnsi"/>
          <w:iCs/>
          <w:sz w:val="22"/>
          <w:szCs w:val="22"/>
        </w:rPr>
        <w:t xml:space="preserve">With the aim of reforming the water sector in FBiH, including removal of numerous and long-present gaps in provision of water supply, sewer and waste water treatment services in local government units </w:t>
      </w:r>
      <w:r w:rsidR="007436F1" w:rsidRPr="007C4D65">
        <w:rPr>
          <w:rFonts w:asciiTheme="minorHAnsi" w:hAnsiTheme="minorHAnsi" w:cstheme="minorHAnsi"/>
          <w:iCs/>
          <w:sz w:val="22"/>
          <w:szCs w:val="22"/>
        </w:rPr>
        <w:t>in the Federation of BiH</w:t>
      </w:r>
      <w:r w:rsidRPr="007C4D65">
        <w:rPr>
          <w:rFonts w:asciiTheme="minorHAnsi" w:hAnsiTheme="minorHAnsi" w:cstheme="minorHAnsi"/>
          <w:iCs/>
          <w:sz w:val="22"/>
          <w:szCs w:val="22"/>
        </w:rPr>
        <w:t xml:space="preserve">, the Government </w:t>
      </w:r>
      <w:r w:rsidR="007436F1" w:rsidRPr="007C4D65">
        <w:rPr>
          <w:rFonts w:asciiTheme="minorHAnsi" w:hAnsiTheme="minorHAnsi" w:cstheme="minorHAnsi"/>
          <w:iCs/>
          <w:sz w:val="22"/>
          <w:szCs w:val="22"/>
        </w:rPr>
        <w:t>of the Federation of BiH</w:t>
      </w:r>
      <w:r w:rsidRPr="007C4D65">
        <w:rPr>
          <w:rFonts w:asciiTheme="minorHAnsi" w:hAnsiTheme="minorHAnsi" w:cstheme="minorHAnsi"/>
          <w:iCs/>
          <w:sz w:val="22"/>
          <w:szCs w:val="22"/>
        </w:rPr>
        <w:t xml:space="preserve"> adopted in February 2022 a document titled “Water services improvement programme </w:t>
      </w:r>
      <w:r w:rsidR="007436F1" w:rsidRPr="007C4D65">
        <w:rPr>
          <w:rFonts w:asciiTheme="minorHAnsi" w:hAnsiTheme="minorHAnsi" w:cstheme="minorHAnsi"/>
          <w:iCs/>
          <w:sz w:val="22"/>
          <w:szCs w:val="22"/>
        </w:rPr>
        <w:t>in the Federation of BiH</w:t>
      </w:r>
      <w:r w:rsidRPr="007C4D65">
        <w:rPr>
          <w:rFonts w:asciiTheme="minorHAnsi" w:hAnsiTheme="minorHAnsi" w:cstheme="minorHAnsi"/>
          <w:iCs/>
          <w:sz w:val="22"/>
          <w:szCs w:val="22"/>
        </w:rPr>
        <w:t xml:space="preserve">” and adopted the Decision on adoption of the developed “Methodology for setting the lowest basic price of water services </w:t>
      </w:r>
      <w:r w:rsidR="007436F1" w:rsidRPr="007C4D65">
        <w:rPr>
          <w:rFonts w:asciiTheme="minorHAnsi" w:hAnsiTheme="minorHAnsi" w:cstheme="minorHAnsi"/>
          <w:iCs/>
          <w:sz w:val="22"/>
          <w:szCs w:val="22"/>
        </w:rPr>
        <w:t>in the Federation of BiH</w:t>
      </w:r>
      <w:r w:rsidRPr="007C4D65">
        <w:rPr>
          <w:rFonts w:asciiTheme="minorHAnsi" w:hAnsiTheme="minorHAnsi" w:cstheme="minorHAnsi"/>
          <w:iCs/>
          <w:sz w:val="22"/>
          <w:szCs w:val="22"/>
        </w:rPr>
        <w:t>.”</w:t>
      </w:r>
    </w:p>
    <w:p w14:paraId="46B0C532" w14:textId="33B8E2E8"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iCs/>
          <w:sz w:val="22"/>
          <w:szCs w:val="22"/>
        </w:rPr>
        <w:t xml:space="preserve">The main indicators of quality of water services </w:t>
      </w:r>
      <w:r w:rsidR="007436F1" w:rsidRPr="007C4D65">
        <w:rPr>
          <w:rFonts w:asciiTheme="minorHAnsi" w:hAnsiTheme="minorHAnsi" w:cstheme="minorHAnsi"/>
          <w:iCs/>
          <w:sz w:val="22"/>
          <w:szCs w:val="22"/>
        </w:rPr>
        <w:t>in the Federation of BiH</w:t>
      </w:r>
      <w:r w:rsidRPr="007C4D65">
        <w:rPr>
          <w:rFonts w:asciiTheme="minorHAnsi" w:hAnsiTheme="minorHAnsi" w:cstheme="minorHAnsi"/>
          <w:iCs/>
          <w:sz w:val="22"/>
          <w:szCs w:val="22"/>
        </w:rPr>
        <w:t xml:space="preserve"> are provided in </w:t>
      </w:r>
      <w:bookmarkEnd w:id="67"/>
      <w:r w:rsidRPr="007C4D65">
        <w:rPr>
          <w:rFonts w:asciiTheme="minorHAnsi" w:hAnsiTheme="minorHAnsi" w:cstheme="minorHAnsi"/>
          <w:b/>
          <w:bCs/>
          <w:i/>
          <w:iCs/>
          <w:sz w:val="22"/>
          <w:szCs w:val="22"/>
        </w:rPr>
        <w:t xml:space="preserve">Table </w:t>
      </w:r>
      <w:r w:rsidR="005D60DA" w:rsidRPr="007C4D65">
        <w:rPr>
          <w:rFonts w:asciiTheme="minorHAnsi" w:hAnsiTheme="minorHAnsi" w:cstheme="minorHAnsi"/>
          <w:b/>
          <w:bCs/>
          <w:i/>
          <w:iCs/>
          <w:sz w:val="22"/>
          <w:szCs w:val="22"/>
        </w:rPr>
        <w:t>5</w:t>
      </w:r>
      <w:r w:rsidRPr="007C4D65">
        <w:rPr>
          <w:rFonts w:asciiTheme="minorHAnsi" w:hAnsiTheme="minorHAnsi" w:cstheme="minorHAnsi"/>
          <w:b/>
          <w:bCs/>
          <w:sz w:val="22"/>
          <w:szCs w:val="22"/>
        </w:rPr>
        <w:t>.</w:t>
      </w:r>
      <w:r w:rsidRPr="007C4D65">
        <w:rPr>
          <w:rFonts w:asciiTheme="minorHAnsi" w:hAnsiTheme="minorHAnsi" w:cstheme="minorHAnsi"/>
          <w:sz w:val="22"/>
          <w:szCs w:val="22"/>
        </w:rPr>
        <w:t xml:space="preserve"> </w:t>
      </w:r>
    </w:p>
    <w:p w14:paraId="0689D8F9" w14:textId="05A88A02" w:rsidR="008F71EF" w:rsidRPr="007C4D65" w:rsidRDefault="008F71EF" w:rsidP="008F71EF">
      <w:pPr>
        <w:pStyle w:val="Caption"/>
        <w:spacing w:line="276" w:lineRule="auto"/>
        <w:rPr>
          <w:rFonts w:asciiTheme="minorHAnsi" w:hAnsiTheme="minorHAnsi" w:cstheme="minorHAnsi"/>
          <w:b w:val="0"/>
          <w:i w:val="0"/>
          <w:iCs w:val="0"/>
          <w:szCs w:val="20"/>
        </w:rPr>
      </w:pPr>
      <w:bookmarkStart w:id="68" w:name="_Toc109842434"/>
      <w:bookmarkStart w:id="69" w:name="_Toc117011584"/>
      <w:r w:rsidRPr="007C4D65">
        <w:rPr>
          <w:rFonts w:asciiTheme="minorHAnsi" w:hAnsiTheme="minorHAnsi" w:cstheme="minorHAnsi"/>
        </w:rPr>
        <w:t xml:space="preserve">Table </w:t>
      </w:r>
      <w:r w:rsidR="005D60DA" w:rsidRPr="007C4D65">
        <w:rPr>
          <w:rFonts w:asciiTheme="minorHAnsi" w:hAnsiTheme="minorHAnsi" w:cstheme="minorHAnsi"/>
        </w:rPr>
        <w:fldChar w:fldCharType="begin"/>
      </w:r>
      <w:r w:rsidR="005D60DA" w:rsidRPr="007C4D65">
        <w:rPr>
          <w:rFonts w:asciiTheme="minorHAnsi" w:hAnsiTheme="minorHAnsi" w:cstheme="minorHAnsi"/>
        </w:rPr>
        <w:instrText xml:space="preserve"> SEQ Tabela \* ARABIC </w:instrText>
      </w:r>
      <w:r w:rsidR="005D60DA" w:rsidRPr="007C4D65">
        <w:rPr>
          <w:rFonts w:asciiTheme="minorHAnsi" w:hAnsiTheme="minorHAnsi" w:cstheme="minorHAnsi"/>
        </w:rPr>
        <w:fldChar w:fldCharType="separate"/>
      </w:r>
      <w:r w:rsidR="005D60DA" w:rsidRPr="007C4D65">
        <w:rPr>
          <w:rFonts w:asciiTheme="minorHAnsi" w:hAnsiTheme="minorHAnsi" w:cstheme="minorHAnsi"/>
          <w:noProof/>
        </w:rPr>
        <w:t>5</w:t>
      </w:r>
      <w:r w:rsidR="005D60DA" w:rsidRPr="007C4D65">
        <w:rPr>
          <w:rFonts w:asciiTheme="minorHAnsi" w:hAnsiTheme="minorHAnsi" w:cstheme="minorHAnsi"/>
        </w:rPr>
        <w:fldChar w:fldCharType="end"/>
      </w:r>
      <w:r w:rsidRPr="007C4D65">
        <w:rPr>
          <w:rFonts w:asciiTheme="minorHAnsi" w:hAnsiTheme="minorHAnsi" w:cstheme="minorHAnsi"/>
          <w:szCs w:val="20"/>
        </w:rPr>
        <w:t xml:space="preserve">: </w:t>
      </w:r>
      <w:r w:rsidRPr="007C4D65">
        <w:rPr>
          <w:rFonts w:asciiTheme="minorHAnsi" w:hAnsiTheme="minorHAnsi" w:cstheme="minorHAnsi"/>
          <w:b w:val="0"/>
          <w:szCs w:val="20"/>
        </w:rPr>
        <w:t xml:space="preserve">Main characteristics of the water services sector </w:t>
      </w:r>
      <w:r w:rsidR="007436F1" w:rsidRPr="007C4D65">
        <w:rPr>
          <w:rFonts w:asciiTheme="minorHAnsi" w:hAnsiTheme="minorHAnsi" w:cstheme="minorHAnsi"/>
          <w:b w:val="0"/>
          <w:szCs w:val="20"/>
        </w:rPr>
        <w:t>in the Federation of BiH</w:t>
      </w:r>
      <w:bookmarkEnd w:id="68"/>
      <w:bookmarkEnd w:id="69"/>
    </w:p>
    <w:tbl>
      <w:tblPr>
        <w:tblW w:w="495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73"/>
        <w:gridCol w:w="1765"/>
        <w:gridCol w:w="1624"/>
        <w:gridCol w:w="1725"/>
        <w:gridCol w:w="2844"/>
      </w:tblGrid>
      <w:tr w:rsidR="008F71EF" w:rsidRPr="007C4D65" w14:paraId="445AB262" w14:textId="77777777" w:rsidTr="00B6017F">
        <w:trPr>
          <w:trHeight w:val="323"/>
          <w:tblHeader/>
          <w:jc w:val="center"/>
        </w:trPr>
        <w:tc>
          <w:tcPr>
            <w:tcW w:w="545" w:type="pct"/>
            <w:shd w:val="clear" w:color="auto" w:fill="009D73"/>
          </w:tcPr>
          <w:p w14:paraId="715578B5" w14:textId="77777777" w:rsidR="008F71EF" w:rsidRPr="007C4D65" w:rsidRDefault="008F71EF" w:rsidP="00B6017F">
            <w:pPr>
              <w:spacing w:after="200" w:line="276" w:lineRule="auto"/>
              <w:jc w:val="both"/>
              <w:rPr>
                <w:rFonts w:asciiTheme="minorHAnsi" w:hAnsiTheme="minorHAnsi" w:cstheme="minorHAnsi"/>
                <w:sz w:val="18"/>
                <w:szCs w:val="18"/>
              </w:rPr>
            </w:pPr>
            <w:r w:rsidRPr="007C4D65">
              <w:rPr>
                <w:rFonts w:asciiTheme="minorHAnsi" w:hAnsiTheme="minorHAnsi" w:cstheme="minorHAnsi"/>
                <w:sz w:val="18"/>
                <w:szCs w:val="18"/>
              </w:rPr>
              <w:t xml:space="preserve"> </w:t>
            </w:r>
          </w:p>
        </w:tc>
        <w:tc>
          <w:tcPr>
            <w:tcW w:w="988" w:type="pct"/>
            <w:shd w:val="clear" w:color="auto" w:fill="009D73"/>
            <w:vAlign w:val="center"/>
          </w:tcPr>
          <w:p w14:paraId="7704B70E" w14:textId="77777777" w:rsidR="008F71EF" w:rsidRPr="007C4D65" w:rsidRDefault="008F71EF" w:rsidP="00B6017F">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 xml:space="preserve">Share of population provided with water </w:t>
            </w:r>
            <w:proofErr w:type="gramStart"/>
            <w:r w:rsidRPr="007C4D65">
              <w:rPr>
                <w:rFonts w:asciiTheme="minorHAnsi" w:hAnsiTheme="minorHAnsi" w:cstheme="minorHAnsi"/>
                <w:color w:val="FFFFFF" w:themeColor="background1"/>
                <w:sz w:val="18"/>
                <w:szCs w:val="18"/>
              </w:rPr>
              <w:t>supply  systems</w:t>
            </w:r>
            <w:proofErr w:type="gramEnd"/>
            <w:r w:rsidRPr="007C4D65">
              <w:rPr>
                <w:rFonts w:asciiTheme="minorHAnsi" w:hAnsiTheme="minorHAnsi" w:cstheme="minorHAnsi"/>
                <w:color w:val="FFFFFF" w:themeColor="background1"/>
                <w:sz w:val="18"/>
                <w:szCs w:val="18"/>
              </w:rPr>
              <w:t>.</w:t>
            </w:r>
          </w:p>
        </w:tc>
        <w:tc>
          <w:tcPr>
            <w:tcW w:w="909" w:type="pct"/>
            <w:shd w:val="clear" w:color="auto" w:fill="009D73"/>
            <w:vAlign w:val="center"/>
          </w:tcPr>
          <w:p w14:paraId="0AEF854E" w14:textId="77777777" w:rsidR="008F71EF" w:rsidRPr="007C4D65" w:rsidRDefault="008F71EF" w:rsidP="00B6017F">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Total losses in public water supply systems.</w:t>
            </w:r>
          </w:p>
        </w:tc>
        <w:tc>
          <w:tcPr>
            <w:tcW w:w="966" w:type="pct"/>
            <w:shd w:val="clear" w:color="auto" w:fill="009D73"/>
            <w:vAlign w:val="center"/>
          </w:tcPr>
          <w:p w14:paraId="21D9C67F" w14:textId="77777777" w:rsidR="008F71EF" w:rsidRPr="007C4D65" w:rsidRDefault="008F71EF" w:rsidP="00B6017F">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 xml:space="preserve">Share of population provided with public sewer system </w:t>
            </w:r>
          </w:p>
        </w:tc>
        <w:tc>
          <w:tcPr>
            <w:tcW w:w="1592" w:type="pct"/>
            <w:shd w:val="clear" w:color="auto" w:fill="009D73"/>
            <w:vAlign w:val="center"/>
          </w:tcPr>
          <w:p w14:paraId="3AA0C2B7" w14:textId="77777777" w:rsidR="008F71EF" w:rsidRPr="007C4D65" w:rsidRDefault="008F71EF" w:rsidP="00B6017F">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Number/location/type of WWTP</w:t>
            </w:r>
          </w:p>
        </w:tc>
      </w:tr>
      <w:tr w:rsidR="008F71EF" w:rsidRPr="007C4D65" w14:paraId="4276700C" w14:textId="77777777" w:rsidTr="00B6017F">
        <w:trPr>
          <w:trHeight w:val="380"/>
          <w:jc w:val="center"/>
        </w:trPr>
        <w:tc>
          <w:tcPr>
            <w:tcW w:w="545" w:type="pct"/>
            <w:shd w:val="clear" w:color="auto" w:fill="auto"/>
            <w:vAlign w:val="center"/>
          </w:tcPr>
          <w:p w14:paraId="667A3383"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Sava river basin</w:t>
            </w:r>
          </w:p>
          <w:p w14:paraId="79172797" w14:textId="77777777" w:rsidR="008F71EF" w:rsidRPr="007C4D65" w:rsidRDefault="008F71EF" w:rsidP="00B6017F">
            <w:pPr>
              <w:spacing w:line="276" w:lineRule="auto"/>
              <w:rPr>
                <w:rFonts w:asciiTheme="minorHAnsi" w:hAnsiTheme="minorHAnsi" w:cstheme="minorHAnsi"/>
                <w:sz w:val="18"/>
                <w:szCs w:val="18"/>
              </w:rPr>
            </w:pPr>
          </w:p>
        </w:tc>
        <w:tc>
          <w:tcPr>
            <w:tcW w:w="988" w:type="pct"/>
            <w:shd w:val="clear" w:color="auto" w:fill="auto"/>
            <w:vAlign w:val="center"/>
          </w:tcPr>
          <w:p w14:paraId="0856C77E" w14:textId="77777777" w:rsidR="008F71EF" w:rsidRPr="007C4D65" w:rsidRDefault="008F71EF" w:rsidP="00B6017F">
            <w:pPr>
              <w:spacing w:line="276" w:lineRule="auto"/>
              <w:rPr>
                <w:rFonts w:asciiTheme="minorHAnsi" w:hAnsiTheme="minorHAnsi" w:cstheme="minorHAnsi"/>
                <w:sz w:val="18"/>
                <w:szCs w:val="18"/>
              </w:rPr>
            </w:pPr>
          </w:p>
          <w:p w14:paraId="042FD52A"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around 70%*</w:t>
            </w:r>
          </w:p>
        </w:tc>
        <w:tc>
          <w:tcPr>
            <w:tcW w:w="909" w:type="pct"/>
            <w:shd w:val="clear" w:color="auto" w:fill="auto"/>
            <w:vAlign w:val="center"/>
          </w:tcPr>
          <w:p w14:paraId="3A115C10" w14:textId="77777777" w:rsidR="008F71EF" w:rsidRPr="007C4D65" w:rsidRDefault="008F71EF" w:rsidP="00B6017F">
            <w:pPr>
              <w:spacing w:line="276" w:lineRule="auto"/>
              <w:rPr>
                <w:rFonts w:asciiTheme="minorHAnsi" w:hAnsiTheme="minorHAnsi" w:cstheme="minorHAnsi"/>
                <w:sz w:val="18"/>
                <w:szCs w:val="18"/>
              </w:rPr>
            </w:pPr>
          </w:p>
          <w:p w14:paraId="4705A74E"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66%</w:t>
            </w:r>
          </w:p>
        </w:tc>
        <w:tc>
          <w:tcPr>
            <w:tcW w:w="966" w:type="pct"/>
            <w:shd w:val="clear" w:color="auto" w:fill="auto"/>
            <w:vAlign w:val="center"/>
          </w:tcPr>
          <w:p w14:paraId="3EF03ED7"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Precise data not available – relevant institutions have failed to provide adequate data</w:t>
            </w:r>
          </w:p>
          <w:p w14:paraId="21A7A057" w14:textId="77777777" w:rsidR="008F71EF" w:rsidRPr="007C4D65" w:rsidRDefault="008F71EF" w:rsidP="00B6017F">
            <w:pPr>
              <w:spacing w:line="276" w:lineRule="auto"/>
              <w:rPr>
                <w:rFonts w:asciiTheme="minorHAnsi" w:hAnsiTheme="minorHAnsi" w:cstheme="minorHAnsi"/>
                <w:sz w:val="18"/>
                <w:szCs w:val="18"/>
              </w:rPr>
            </w:pPr>
          </w:p>
          <w:p w14:paraId="36BEE21A"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47%</w:t>
            </w:r>
          </w:p>
          <w:p w14:paraId="53F4D7A3" w14:textId="77777777" w:rsidR="008F71EF" w:rsidRPr="007C4D65" w:rsidRDefault="008F71EF" w:rsidP="00B6017F">
            <w:pPr>
              <w:spacing w:line="276" w:lineRule="auto"/>
              <w:jc w:val="both"/>
              <w:rPr>
                <w:rFonts w:asciiTheme="minorHAnsi" w:hAnsiTheme="minorHAnsi" w:cstheme="minorHAnsi"/>
                <w:sz w:val="18"/>
                <w:szCs w:val="18"/>
              </w:rPr>
            </w:pPr>
            <w:r w:rsidRPr="007C4D65">
              <w:rPr>
                <w:rFonts w:asciiTheme="minorHAnsi" w:hAnsiTheme="minorHAnsi" w:cstheme="minorHAnsi"/>
                <w:sz w:val="18"/>
                <w:szCs w:val="18"/>
              </w:rPr>
              <w:t>(Data from Sava RMP – first cycle)</w:t>
            </w:r>
          </w:p>
        </w:tc>
        <w:tc>
          <w:tcPr>
            <w:tcW w:w="1592" w:type="pct"/>
            <w:shd w:val="clear" w:color="auto" w:fill="auto"/>
            <w:vAlign w:val="center"/>
          </w:tcPr>
          <w:p w14:paraId="73015A09" w14:textId="42345456"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2- tertiary treatments (</w:t>
            </w:r>
            <w:r w:rsidR="00A46B27" w:rsidRPr="007C4D65">
              <w:rPr>
                <w:rFonts w:asciiTheme="minorHAnsi" w:hAnsiTheme="minorHAnsi" w:cstheme="minorHAnsi"/>
                <w:sz w:val="18"/>
                <w:szCs w:val="18"/>
              </w:rPr>
              <w:t>Bihac</w:t>
            </w:r>
            <w:r w:rsidRPr="007C4D65">
              <w:rPr>
                <w:rFonts w:asciiTheme="minorHAnsi" w:hAnsiTheme="minorHAnsi" w:cstheme="minorHAnsi"/>
                <w:sz w:val="18"/>
                <w:szCs w:val="18"/>
              </w:rPr>
              <w:t xml:space="preserve">, </w:t>
            </w:r>
            <w:proofErr w:type="spellStart"/>
            <w:r w:rsidR="00A46B27" w:rsidRPr="007C4D65">
              <w:rPr>
                <w:rFonts w:asciiTheme="minorHAnsi" w:hAnsiTheme="minorHAnsi" w:cstheme="minorHAnsi"/>
                <w:sz w:val="18"/>
                <w:szCs w:val="18"/>
              </w:rPr>
              <w:t>Z</w:t>
            </w:r>
            <w:r w:rsidRPr="007C4D65">
              <w:rPr>
                <w:rFonts w:asciiTheme="minorHAnsi" w:hAnsiTheme="minorHAnsi" w:cstheme="minorHAnsi"/>
                <w:sz w:val="18"/>
                <w:szCs w:val="18"/>
              </w:rPr>
              <w:t>ivinica</w:t>
            </w:r>
            <w:proofErr w:type="spellEnd"/>
            <w:r w:rsidRPr="007C4D65">
              <w:rPr>
                <w:rFonts w:asciiTheme="minorHAnsi" w:hAnsiTheme="minorHAnsi" w:cstheme="minorHAnsi"/>
                <w:sz w:val="18"/>
                <w:szCs w:val="18"/>
                <w:vertAlign w:val="superscript"/>
              </w:rPr>
              <w:footnoteReference w:id="9"/>
            </w:r>
            <w:proofErr w:type="gramStart"/>
            <w:r w:rsidRPr="007C4D65">
              <w:rPr>
                <w:rFonts w:asciiTheme="minorHAnsi" w:hAnsiTheme="minorHAnsi" w:cstheme="minorHAnsi"/>
                <w:sz w:val="18"/>
                <w:szCs w:val="18"/>
              </w:rPr>
              <w:t>);</w:t>
            </w:r>
            <w:proofErr w:type="gramEnd"/>
          </w:p>
          <w:p w14:paraId="15E7F299" w14:textId="392A47BE"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7 secondary treatments (Sarajevo, </w:t>
            </w:r>
            <w:proofErr w:type="spellStart"/>
            <w:r w:rsidRPr="007C4D65">
              <w:rPr>
                <w:rFonts w:asciiTheme="minorHAnsi" w:hAnsiTheme="minorHAnsi" w:cstheme="minorHAnsi"/>
                <w:sz w:val="18"/>
                <w:szCs w:val="18"/>
              </w:rPr>
              <w:t>Trnovo</w:t>
            </w:r>
            <w:proofErr w:type="spellEnd"/>
            <w:r w:rsidRPr="007C4D65">
              <w:rPr>
                <w:rFonts w:asciiTheme="minorHAnsi" w:hAnsiTheme="minorHAnsi" w:cstheme="minorHAnsi"/>
                <w:sz w:val="18"/>
                <w:szCs w:val="18"/>
              </w:rPr>
              <w:t xml:space="preserve">, </w:t>
            </w:r>
            <w:proofErr w:type="spellStart"/>
            <w:r w:rsidR="00A46B27" w:rsidRPr="007C4D65">
              <w:rPr>
                <w:rFonts w:asciiTheme="minorHAnsi" w:hAnsiTheme="minorHAnsi" w:cstheme="minorHAnsi"/>
                <w:sz w:val="18"/>
                <w:szCs w:val="18"/>
              </w:rPr>
              <w:t>Zepce</w:t>
            </w:r>
            <w:proofErr w:type="spellEnd"/>
            <w:r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Grada</w:t>
            </w:r>
            <w:r w:rsidR="00A46B27" w:rsidRPr="007C4D65">
              <w:rPr>
                <w:rFonts w:asciiTheme="minorHAnsi" w:hAnsiTheme="minorHAnsi" w:cstheme="minorHAnsi"/>
                <w:sz w:val="18"/>
                <w:szCs w:val="18"/>
              </w:rPr>
              <w:t>c</w:t>
            </w:r>
            <w:r w:rsidRPr="007C4D65">
              <w:rPr>
                <w:rFonts w:asciiTheme="minorHAnsi" w:hAnsiTheme="minorHAnsi" w:cstheme="minorHAnsi"/>
                <w:sz w:val="18"/>
                <w:szCs w:val="18"/>
              </w:rPr>
              <w:t>ac</w:t>
            </w:r>
            <w:proofErr w:type="spellEnd"/>
            <w:r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Srebrenik</w:t>
            </w:r>
            <w:proofErr w:type="spellEnd"/>
            <w:r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Od</w:t>
            </w:r>
            <w:r w:rsidR="00A46B27" w:rsidRPr="007C4D65">
              <w:rPr>
                <w:rFonts w:asciiTheme="minorHAnsi" w:hAnsiTheme="minorHAnsi" w:cstheme="minorHAnsi"/>
                <w:sz w:val="18"/>
                <w:szCs w:val="18"/>
              </w:rPr>
              <w:t>z</w:t>
            </w:r>
            <w:r w:rsidRPr="007C4D65">
              <w:rPr>
                <w:rFonts w:asciiTheme="minorHAnsi" w:hAnsiTheme="minorHAnsi" w:cstheme="minorHAnsi"/>
                <w:sz w:val="18"/>
                <w:szCs w:val="18"/>
              </w:rPr>
              <w:t>ak</w:t>
            </w:r>
            <w:proofErr w:type="spellEnd"/>
            <w:r w:rsidRPr="007C4D65">
              <w:rPr>
                <w:rFonts w:asciiTheme="minorHAnsi" w:hAnsiTheme="minorHAnsi" w:cstheme="minorHAnsi"/>
                <w:sz w:val="18"/>
                <w:szCs w:val="18"/>
              </w:rPr>
              <w:t xml:space="preserve">) </w:t>
            </w:r>
          </w:p>
          <w:p w14:paraId="7E529DA3" w14:textId="77777777" w:rsidR="008F71EF" w:rsidRPr="007C4D65" w:rsidRDefault="008F71EF" w:rsidP="00B6017F">
            <w:pPr>
              <w:spacing w:line="276" w:lineRule="auto"/>
              <w:rPr>
                <w:rFonts w:asciiTheme="minorHAnsi" w:hAnsiTheme="minorHAnsi" w:cstheme="minorHAnsi"/>
                <w:sz w:val="18"/>
                <w:szCs w:val="18"/>
              </w:rPr>
            </w:pPr>
          </w:p>
        </w:tc>
      </w:tr>
      <w:tr w:rsidR="008F71EF" w:rsidRPr="007C4D65" w14:paraId="6AF8CE92" w14:textId="77777777" w:rsidTr="00B6017F">
        <w:trPr>
          <w:trHeight w:val="1064"/>
          <w:jc w:val="center"/>
        </w:trPr>
        <w:tc>
          <w:tcPr>
            <w:tcW w:w="545" w:type="pct"/>
            <w:shd w:val="clear" w:color="auto" w:fill="auto"/>
            <w:vAlign w:val="center"/>
          </w:tcPr>
          <w:p w14:paraId="54B563AF" w14:textId="77777777" w:rsidR="008F71EF" w:rsidRPr="007C4D65" w:rsidRDefault="008F71EF" w:rsidP="00B6017F">
            <w:pPr>
              <w:spacing w:line="276" w:lineRule="auto"/>
              <w:rPr>
                <w:rFonts w:asciiTheme="minorHAnsi" w:hAnsiTheme="minorHAnsi" w:cstheme="minorHAnsi"/>
                <w:sz w:val="18"/>
                <w:szCs w:val="18"/>
              </w:rPr>
            </w:pPr>
            <w:proofErr w:type="gramStart"/>
            <w:r w:rsidRPr="007C4D65">
              <w:rPr>
                <w:rFonts w:asciiTheme="minorHAnsi" w:hAnsiTheme="minorHAnsi" w:cstheme="minorHAnsi"/>
                <w:sz w:val="18"/>
                <w:szCs w:val="18"/>
              </w:rPr>
              <w:t>Adriatic Sea river</w:t>
            </w:r>
            <w:proofErr w:type="gramEnd"/>
            <w:r w:rsidRPr="007C4D65">
              <w:rPr>
                <w:rFonts w:asciiTheme="minorHAnsi" w:hAnsiTheme="minorHAnsi" w:cstheme="minorHAnsi"/>
                <w:sz w:val="18"/>
                <w:szCs w:val="18"/>
              </w:rPr>
              <w:t xml:space="preserve"> basin</w:t>
            </w:r>
          </w:p>
        </w:tc>
        <w:tc>
          <w:tcPr>
            <w:tcW w:w="988" w:type="pct"/>
            <w:shd w:val="clear" w:color="auto" w:fill="auto"/>
            <w:vAlign w:val="center"/>
          </w:tcPr>
          <w:p w14:paraId="4DBE1CEC"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77,79%</w:t>
            </w:r>
          </w:p>
        </w:tc>
        <w:tc>
          <w:tcPr>
            <w:tcW w:w="909" w:type="pct"/>
            <w:shd w:val="clear" w:color="auto" w:fill="auto"/>
            <w:vAlign w:val="center"/>
          </w:tcPr>
          <w:p w14:paraId="1168563D"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47%</w:t>
            </w:r>
          </w:p>
        </w:tc>
        <w:tc>
          <w:tcPr>
            <w:tcW w:w="966" w:type="pct"/>
            <w:shd w:val="clear" w:color="auto" w:fill="auto"/>
            <w:vAlign w:val="center"/>
          </w:tcPr>
          <w:p w14:paraId="6AC12718"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40%</w:t>
            </w:r>
          </w:p>
        </w:tc>
        <w:tc>
          <w:tcPr>
            <w:tcW w:w="1592" w:type="pct"/>
            <w:shd w:val="clear" w:color="auto" w:fill="auto"/>
            <w:vAlign w:val="center"/>
          </w:tcPr>
          <w:p w14:paraId="0F05A1C2" w14:textId="2C3EA15D"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3 tertiary treatments (Mostar, </w:t>
            </w:r>
            <w:proofErr w:type="spellStart"/>
            <w:r w:rsidR="00A46B27" w:rsidRPr="007C4D65">
              <w:rPr>
                <w:rFonts w:asciiTheme="minorHAnsi" w:hAnsiTheme="minorHAnsi" w:cstheme="minorHAnsi"/>
                <w:sz w:val="18"/>
                <w:szCs w:val="18"/>
              </w:rPr>
              <w:t>C</w:t>
            </w:r>
            <w:r w:rsidRPr="007C4D65">
              <w:rPr>
                <w:rFonts w:asciiTheme="minorHAnsi" w:hAnsiTheme="minorHAnsi" w:cstheme="minorHAnsi"/>
                <w:sz w:val="18"/>
                <w:szCs w:val="18"/>
              </w:rPr>
              <w:t>itluk</w:t>
            </w:r>
            <w:proofErr w:type="spellEnd"/>
            <w:r w:rsidRPr="007C4D65">
              <w:rPr>
                <w:rFonts w:asciiTheme="minorHAnsi" w:hAnsiTheme="minorHAnsi" w:cstheme="minorHAnsi"/>
                <w:sz w:val="18"/>
                <w:szCs w:val="18"/>
              </w:rPr>
              <w:t xml:space="preserve">, </w:t>
            </w:r>
            <w:proofErr w:type="gramStart"/>
            <w:r w:rsidRPr="007C4D65">
              <w:rPr>
                <w:rFonts w:asciiTheme="minorHAnsi" w:hAnsiTheme="minorHAnsi" w:cstheme="minorHAnsi"/>
                <w:sz w:val="18"/>
                <w:szCs w:val="18"/>
              </w:rPr>
              <w:t>Konjic)  ‒</w:t>
            </w:r>
            <w:proofErr w:type="gramEnd"/>
          </w:p>
          <w:p w14:paraId="661B4160"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Mostar in trial </w:t>
            </w:r>
            <w:proofErr w:type="gramStart"/>
            <w:r w:rsidRPr="007C4D65">
              <w:rPr>
                <w:rFonts w:asciiTheme="minorHAnsi" w:hAnsiTheme="minorHAnsi" w:cstheme="minorHAnsi"/>
                <w:sz w:val="18"/>
                <w:szCs w:val="18"/>
              </w:rPr>
              <w:t>run;</w:t>
            </w:r>
            <w:proofErr w:type="gramEnd"/>
            <w:r w:rsidRPr="007C4D65">
              <w:rPr>
                <w:rFonts w:asciiTheme="minorHAnsi" w:hAnsiTheme="minorHAnsi" w:cstheme="minorHAnsi"/>
                <w:sz w:val="18"/>
                <w:szCs w:val="18"/>
              </w:rPr>
              <w:t xml:space="preserve">  </w:t>
            </w:r>
          </w:p>
          <w:p w14:paraId="3EA7FF07" w14:textId="1FFEA0B2"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3 secondary treatment plants (Jablanica, </w:t>
            </w:r>
            <w:proofErr w:type="spellStart"/>
            <w:r w:rsidRPr="007C4D65">
              <w:rPr>
                <w:rFonts w:asciiTheme="minorHAnsi" w:hAnsiTheme="minorHAnsi" w:cstheme="minorHAnsi"/>
                <w:sz w:val="18"/>
                <w:szCs w:val="18"/>
              </w:rPr>
              <w:t>Grude</w:t>
            </w:r>
            <w:proofErr w:type="spellEnd"/>
            <w:r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Ljubu</w:t>
            </w:r>
            <w:r w:rsidR="00A46B27" w:rsidRPr="007C4D65">
              <w:rPr>
                <w:rFonts w:asciiTheme="minorHAnsi" w:hAnsiTheme="minorHAnsi" w:cstheme="minorHAnsi"/>
                <w:sz w:val="18"/>
                <w:szCs w:val="18"/>
              </w:rPr>
              <w:t>s</w:t>
            </w:r>
            <w:r w:rsidRPr="007C4D65">
              <w:rPr>
                <w:rFonts w:asciiTheme="minorHAnsi" w:hAnsiTheme="minorHAnsi" w:cstheme="minorHAnsi"/>
                <w:sz w:val="18"/>
                <w:szCs w:val="18"/>
              </w:rPr>
              <w:t>ki</w:t>
            </w:r>
            <w:proofErr w:type="spellEnd"/>
            <w:r w:rsidRPr="007C4D65">
              <w:rPr>
                <w:rFonts w:asciiTheme="minorHAnsi" w:hAnsiTheme="minorHAnsi" w:cstheme="minorHAnsi"/>
                <w:sz w:val="18"/>
                <w:szCs w:val="18"/>
              </w:rPr>
              <w:t xml:space="preserve">) ‒ </w:t>
            </w:r>
          </w:p>
          <w:p w14:paraId="4DEF92BF"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Jablanica – secondary treatment on several smaller plants that have not yet been turned over, </w:t>
            </w:r>
          </w:p>
          <w:p w14:paraId="7ADD961B" w14:textId="77777777" w:rsidR="008F71EF" w:rsidRPr="007C4D65" w:rsidRDefault="008F71EF" w:rsidP="00B6017F">
            <w:pPr>
              <w:spacing w:line="276" w:lineRule="auto"/>
              <w:rPr>
                <w:rFonts w:asciiTheme="minorHAnsi" w:hAnsiTheme="minorHAnsi" w:cstheme="minorHAnsi"/>
                <w:sz w:val="18"/>
                <w:szCs w:val="18"/>
              </w:rPr>
            </w:pPr>
            <w:proofErr w:type="spellStart"/>
            <w:r w:rsidRPr="007C4D65">
              <w:rPr>
                <w:rFonts w:asciiTheme="minorHAnsi" w:hAnsiTheme="minorHAnsi" w:cstheme="minorHAnsi"/>
                <w:sz w:val="18"/>
                <w:szCs w:val="18"/>
              </w:rPr>
              <w:t>Grude</w:t>
            </w:r>
            <w:proofErr w:type="spellEnd"/>
            <w:r w:rsidRPr="007C4D65">
              <w:rPr>
                <w:rFonts w:asciiTheme="minorHAnsi" w:hAnsiTheme="minorHAnsi" w:cstheme="minorHAnsi"/>
                <w:sz w:val="18"/>
                <w:szCs w:val="18"/>
              </w:rPr>
              <w:t xml:space="preserve"> – needed reconstruction of secondary treatment, primary treatment </w:t>
            </w:r>
            <w:proofErr w:type="gramStart"/>
            <w:r w:rsidRPr="007C4D65">
              <w:rPr>
                <w:rFonts w:asciiTheme="minorHAnsi" w:hAnsiTheme="minorHAnsi" w:cstheme="minorHAnsi"/>
                <w:sz w:val="18"/>
                <w:szCs w:val="18"/>
              </w:rPr>
              <w:t>operational;</w:t>
            </w:r>
            <w:proofErr w:type="gramEnd"/>
          </w:p>
          <w:p w14:paraId="21D47927" w14:textId="77777777" w:rsidR="008F71EF" w:rsidRPr="007C4D65" w:rsidRDefault="008F71EF" w:rsidP="00B6017F">
            <w:pPr>
              <w:spacing w:line="276" w:lineRule="auto"/>
              <w:rPr>
                <w:rFonts w:asciiTheme="minorHAnsi" w:hAnsiTheme="minorHAnsi" w:cstheme="minorHAnsi"/>
                <w:sz w:val="18"/>
                <w:szCs w:val="18"/>
              </w:rPr>
            </w:pPr>
            <w:proofErr w:type="spellStart"/>
            <w:r w:rsidRPr="007C4D65">
              <w:rPr>
                <w:rFonts w:asciiTheme="minorHAnsi" w:hAnsiTheme="minorHAnsi" w:cstheme="minorHAnsi"/>
                <w:sz w:val="18"/>
                <w:szCs w:val="18"/>
              </w:rPr>
              <w:t>Neum</w:t>
            </w:r>
            <w:proofErr w:type="spellEnd"/>
            <w:r w:rsidRPr="007C4D65">
              <w:rPr>
                <w:rFonts w:asciiTheme="minorHAnsi" w:hAnsiTheme="minorHAnsi" w:cstheme="minorHAnsi"/>
                <w:sz w:val="18"/>
                <w:szCs w:val="18"/>
              </w:rPr>
              <w:t xml:space="preserve"> (primary treatment</w:t>
            </w:r>
            <w:proofErr w:type="gramStart"/>
            <w:r w:rsidRPr="007C4D65">
              <w:rPr>
                <w:rFonts w:asciiTheme="minorHAnsi" w:hAnsiTheme="minorHAnsi" w:cstheme="minorHAnsi"/>
                <w:sz w:val="18"/>
                <w:szCs w:val="18"/>
              </w:rPr>
              <w:t>);</w:t>
            </w:r>
            <w:proofErr w:type="gramEnd"/>
          </w:p>
          <w:p w14:paraId="6F38A402" w14:textId="4BE5342A"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Currently under construction: Tomislavgrad, </w:t>
            </w:r>
            <w:proofErr w:type="spellStart"/>
            <w:r w:rsidR="00A46B27" w:rsidRPr="007C4D65">
              <w:rPr>
                <w:rFonts w:asciiTheme="minorHAnsi" w:hAnsiTheme="minorHAnsi" w:cstheme="minorHAnsi"/>
                <w:sz w:val="18"/>
                <w:szCs w:val="18"/>
              </w:rPr>
              <w:t>S</w:t>
            </w:r>
            <w:r w:rsidRPr="007C4D65">
              <w:rPr>
                <w:rFonts w:asciiTheme="minorHAnsi" w:hAnsiTheme="minorHAnsi" w:cstheme="minorHAnsi"/>
                <w:sz w:val="18"/>
                <w:szCs w:val="18"/>
              </w:rPr>
              <w:t>iroki</w:t>
            </w:r>
            <w:proofErr w:type="spellEnd"/>
            <w:r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Brijeg</w:t>
            </w:r>
            <w:proofErr w:type="spellEnd"/>
            <w:r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Prozor</w:t>
            </w:r>
            <w:proofErr w:type="spellEnd"/>
            <w:r w:rsidRPr="007C4D65">
              <w:rPr>
                <w:rFonts w:asciiTheme="minorHAnsi" w:hAnsiTheme="minorHAnsi" w:cstheme="minorHAnsi"/>
                <w:sz w:val="18"/>
                <w:szCs w:val="18"/>
              </w:rPr>
              <w:t>/Rama;</w:t>
            </w:r>
          </w:p>
        </w:tc>
      </w:tr>
    </w:tbl>
    <w:p w14:paraId="66199BF7" w14:textId="77777777" w:rsidR="008F71EF" w:rsidRPr="007C4D65" w:rsidRDefault="008F71EF" w:rsidP="008F71EF">
      <w:pPr>
        <w:spacing w:line="276" w:lineRule="auto"/>
        <w:rPr>
          <w:rFonts w:asciiTheme="minorHAnsi" w:hAnsiTheme="minorHAnsi" w:cstheme="minorHAnsi"/>
          <w:i/>
          <w:sz w:val="20"/>
          <w:szCs w:val="20"/>
        </w:rPr>
      </w:pPr>
      <w:r w:rsidRPr="007C4D65">
        <w:rPr>
          <w:rFonts w:asciiTheme="minorHAnsi" w:hAnsiTheme="minorHAnsi" w:cstheme="minorHAnsi"/>
          <w:i/>
          <w:sz w:val="20"/>
          <w:szCs w:val="20"/>
        </w:rPr>
        <w:t xml:space="preserve">Source: </w:t>
      </w:r>
      <w:r w:rsidRPr="007C4D65">
        <w:rPr>
          <w:rFonts w:asciiTheme="minorHAnsi" w:hAnsiTheme="minorHAnsi" w:cstheme="minorHAnsi"/>
          <w:i/>
          <w:sz w:val="20"/>
          <w:szCs w:val="20"/>
        </w:rPr>
        <w:fldChar w:fldCharType="begin"/>
      </w:r>
      <w:r w:rsidRPr="007C4D65">
        <w:rPr>
          <w:rFonts w:asciiTheme="minorHAnsi" w:hAnsiTheme="minorHAnsi" w:cstheme="minorHAnsi"/>
          <w:i/>
          <w:sz w:val="20"/>
          <w:szCs w:val="20"/>
        </w:rPr>
        <w:instrText xml:space="preserve"> ADDIN ZOTERO_ITEM CSL_CITATION {"citationID":"STzMQMzu","properties":{"formattedCitation":"(Agencija za vodno podru\\uc0\\u269{}je rijeke Save 2021)","plainCitation":"(Agencija za vodno područje rijeke Save 2021)","noteIndex":0},"citationItems":[{"id":1318,"uris":["http://zotero.org/users/7192877/items/R3BGBRH9"],"itemData":{"id":1318,"type":"document","title":"Nacrt Plana upravljanja vodama za vodno područje rijeke Save u Federaciji BiH 2022-2027","URL":"https://www.voda.ba/plan-upravljanja-2022-2027","author":[{"family":"Agencija za vodno područje rijeke Save","given":""}],"issued":{"date-parts":[["2021"]]}}}],"schema":"https://github.com/citation-style-language/schema/raw/master/csl-citation.json"} </w:instrText>
      </w:r>
      <w:r w:rsidRPr="007C4D65">
        <w:rPr>
          <w:rFonts w:asciiTheme="minorHAnsi" w:hAnsiTheme="minorHAnsi" w:cstheme="minorHAnsi"/>
          <w:i/>
          <w:sz w:val="20"/>
          <w:szCs w:val="20"/>
        </w:rPr>
        <w:fldChar w:fldCharType="separate"/>
      </w:r>
      <w:r w:rsidRPr="007C4D65">
        <w:rPr>
          <w:rFonts w:asciiTheme="minorHAnsi" w:hAnsiTheme="minorHAnsi" w:cstheme="minorHAnsi"/>
          <w:i/>
          <w:sz w:val="20"/>
        </w:rPr>
        <w:t>(Sava River Basin Agency, 2021)</w:t>
      </w:r>
      <w:r w:rsidRPr="007C4D65">
        <w:rPr>
          <w:rFonts w:asciiTheme="minorHAnsi" w:hAnsiTheme="minorHAnsi" w:cstheme="minorHAnsi"/>
          <w:i/>
          <w:sz w:val="20"/>
          <w:szCs w:val="20"/>
        </w:rPr>
        <w:fldChar w:fldCharType="end"/>
      </w:r>
      <w:r w:rsidRPr="007C4D65">
        <w:rPr>
          <w:rFonts w:asciiTheme="minorHAnsi" w:hAnsiTheme="minorHAnsi" w:cstheme="minorHAnsi"/>
          <w:i/>
          <w:sz w:val="20"/>
          <w:szCs w:val="20"/>
        </w:rPr>
        <w:t xml:space="preserve">; </w:t>
      </w:r>
      <w:r w:rsidRPr="007C4D65">
        <w:rPr>
          <w:rFonts w:asciiTheme="minorHAnsi" w:hAnsiTheme="minorHAnsi" w:cstheme="minorHAnsi"/>
          <w:i/>
          <w:sz w:val="20"/>
          <w:szCs w:val="20"/>
        </w:rPr>
        <w:fldChar w:fldCharType="begin"/>
      </w:r>
      <w:r w:rsidRPr="007C4D65">
        <w:rPr>
          <w:rFonts w:asciiTheme="minorHAnsi" w:hAnsiTheme="minorHAnsi" w:cstheme="minorHAnsi"/>
          <w:i/>
          <w:sz w:val="20"/>
          <w:szCs w:val="20"/>
        </w:rPr>
        <w:instrText xml:space="preserve"> ADDIN ZOTERO_ITEM CSL_CITATION {"citationID":"YlmVvyHK","properties":{"formattedCitation":"(Agencija za vodno podru\\uc0\\u269{}je Jadranskog mora 2021)","plainCitation":"(Agencija za vodno područje Jadranskog mora 2021)","noteIndex":0},"citationItems":[{"id":1319,"uris":["http://zotero.org/users/7192877/items/CZ8Q4JJE"],"itemData":{"id":1319,"type":"document","title":"Plan upravljanja vodama za vodno područje Jadranskog mora u Federaciji BiH (2022. - 2027.)","URL":"https://avpjm.jadran.ba/uploads/Plan%20upravljanja%20vodama%20VPJM%20%202022-2027_FINALNI%20NACRT.pdf","author":[{"family":"Agencija za vodno područje Jadranskog mora","given":""}],"issued":{"date-parts":[["2021"]]}}}],"schema":"https://github.com/citation-style-language/schema/raw/master/csl-citation.json"} </w:instrText>
      </w:r>
      <w:r w:rsidRPr="007C4D65">
        <w:rPr>
          <w:rFonts w:asciiTheme="minorHAnsi" w:hAnsiTheme="minorHAnsi" w:cstheme="minorHAnsi"/>
          <w:i/>
          <w:sz w:val="20"/>
          <w:szCs w:val="20"/>
        </w:rPr>
        <w:fldChar w:fldCharType="separate"/>
      </w:r>
      <w:r w:rsidRPr="007C4D65">
        <w:rPr>
          <w:rFonts w:asciiTheme="minorHAnsi" w:hAnsiTheme="minorHAnsi" w:cstheme="minorHAnsi"/>
          <w:i/>
          <w:sz w:val="20"/>
        </w:rPr>
        <w:t>(Adriatic Sea Watershed Agency, 2021)</w:t>
      </w:r>
      <w:r w:rsidRPr="007C4D65">
        <w:rPr>
          <w:rFonts w:asciiTheme="minorHAnsi" w:hAnsiTheme="minorHAnsi" w:cstheme="minorHAnsi"/>
          <w:i/>
          <w:sz w:val="20"/>
          <w:szCs w:val="20"/>
        </w:rPr>
        <w:fldChar w:fldCharType="end"/>
      </w:r>
    </w:p>
    <w:p w14:paraId="7F814657" w14:textId="3DF6997D" w:rsidR="008F71EF" w:rsidRPr="007C4D65" w:rsidRDefault="008F71EF" w:rsidP="008F71EF">
      <w:pPr>
        <w:spacing w:before="160" w:after="240" w:line="276" w:lineRule="auto"/>
        <w:jc w:val="both"/>
        <w:rPr>
          <w:rFonts w:asciiTheme="minorHAnsi" w:eastAsia="MS PGothic" w:hAnsiTheme="minorHAnsi" w:cstheme="minorHAnsi"/>
          <w:color w:val="000000"/>
          <w:sz w:val="22"/>
          <w:szCs w:val="18"/>
          <w:lang w:eastAsia="en-US"/>
        </w:rPr>
      </w:pPr>
      <w:bookmarkStart w:id="70" w:name="_Hlk94797454"/>
      <w:r w:rsidRPr="007C4D65">
        <w:rPr>
          <w:rFonts w:asciiTheme="minorHAnsi" w:eastAsia="MS PGothic" w:hAnsiTheme="minorHAnsi" w:cstheme="minorHAnsi"/>
          <w:color w:val="000000"/>
          <w:sz w:val="22"/>
          <w:szCs w:val="18"/>
          <w:lang w:eastAsia="en-US"/>
        </w:rPr>
        <w:t xml:space="preserve">By conclusion </w:t>
      </w:r>
      <w:r w:rsidR="007436F1" w:rsidRPr="007C4D65">
        <w:rPr>
          <w:rFonts w:asciiTheme="minorHAnsi" w:eastAsia="MS PGothic" w:hAnsiTheme="minorHAnsi" w:cstheme="minorHAnsi"/>
          <w:color w:val="000000"/>
          <w:sz w:val="22"/>
          <w:szCs w:val="18"/>
          <w:lang w:eastAsia="en-US"/>
        </w:rPr>
        <w:t>of the Federation of BiH</w:t>
      </w:r>
      <w:r w:rsidRPr="007C4D65">
        <w:rPr>
          <w:rFonts w:asciiTheme="minorHAnsi" w:eastAsia="MS PGothic" w:hAnsiTheme="minorHAnsi" w:cstheme="minorHAnsi"/>
          <w:color w:val="000000"/>
          <w:sz w:val="22"/>
          <w:szCs w:val="18"/>
          <w:lang w:eastAsia="en-US"/>
        </w:rPr>
        <w:t xml:space="preserve"> Government of 22 September 2016, the </w:t>
      </w:r>
      <w:proofErr w:type="gramStart"/>
      <w:r w:rsidRPr="007C4D65">
        <w:rPr>
          <w:rFonts w:asciiTheme="minorHAnsi" w:eastAsia="MS PGothic" w:hAnsiTheme="minorHAnsi" w:cstheme="minorHAnsi"/>
          <w:color w:val="000000"/>
          <w:sz w:val="22"/>
          <w:szCs w:val="18"/>
          <w:lang w:eastAsia="en-US"/>
        </w:rPr>
        <w:t>Federation river</w:t>
      </w:r>
      <w:proofErr w:type="gramEnd"/>
      <w:r w:rsidRPr="007C4D65">
        <w:rPr>
          <w:rFonts w:asciiTheme="minorHAnsi" w:eastAsia="MS PGothic" w:hAnsiTheme="minorHAnsi" w:cstheme="minorHAnsi"/>
          <w:color w:val="000000"/>
          <w:sz w:val="22"/>
          <w:szCs w:val="18"/>
          <w:lang w:eastAsia="en-US"/>
        </w:rPr>
        <w:t xml:space="preserve"> basin agencies and Environment Protection Fund </w:t>
      </w:r>
      <w:r w:rsidR="007436F1" w:rsidRPr="007C4D65">
        <w:rPr>
          <w:rFonts w:asciiTheme="minorHAnsi" w:eastAsia="MS PGothic" w:hAnsiTheme="minorHAnsi" w:cstheme="minorHAnsi"/>
          <w:color w:val="000000"/>
          <w:sz w:val="22"/>
          <w:szCs w:val="18"/>
          <w:lang w:eastAsia="en-US"/>
        </w:rPr>
        <w:t>of the Federation of BiH</w:t>
      </w:r>
      <w:r w:rsidRPr="007C4D65">
        <w:rPr>
          <w:rFonts w:asciiTheme="minorHAnsi" w:eastAsia="MS PGothic" w:hAnsiTheme="minorHAnsi" w:cstheme="minorHAnsi"/>
          <w:color w:val="000000"/>
          <w:sz w:val="22"/>
          <w:szCs w:val="18"/>
          <w:lang w:eastAsia="en-US"/>
        </w:rPr>
        <w:t xml:space="preserve"> are responsible for starting activities on development of a Central Water Information System for the </w:t>
      </w:r>
      <w:r w:rsidR="0058588C" w:rsidRPr="007C4D65">
        <w:rPr>
          <w:rFonts w:asciiTheme="minorHAnsi" w:eastAsia="MS PGothic" w:hAnsiTheme="minorHAnsi" w:cstheme="minorHAnsi"/>
          <w:color w:val="000000"/>
          <w:sz w:val="22"/>
          <w:szCs w:val="18"/>
          <w:lang w:eastAsia="en-US"/>
        </w:rPr>
        <w:t>Federation of BiH</w:t>
      </w:r>
      <w:r w:rsidRPr="007C4D65">
        <w:rPr>
          <w:rFonts w:asciiTheme="minorHAnsi" w:eastAsia="MS PGothic" w:hAnsiTheme="minorHAnsi" w:cstheme="minorHAnsi"/>
          <w:color w:val="000000"/>
          <w:sz w:val="22"/>
          <w:szCs w:val="18"/>
          <w:lang w:eastAsia="en-US"/>
        </w:rPr>
        <w:t xml:space="preserve"> (CWIS). The reason for establishing the CWIS is collection and processing financial and performance evaluation parameters – performance indicators for implementation of measures from the Water Management Strategy (WMS). In addition to collecting and processing data, the CWIS should enable monitoring the implementation of plans by specific water directives and monitoring compliance with transposed acquis. In 2019, the Sava RBA organized training for representatives of utility companies and municipalities on how to enter data into the developed WIS Module of the CWIS.</w:t>
      </w:r>
    </w:p>
    <w:p w14:paraId="1D74823A" w14:textId="637D6211" w:rsidR="008F71EF" w:rsidRPr="007C4D65" w:rsidRDefault="00710F07" w:rsidP="008F71EF">
      <w:pPr>
        <w:spacing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S</w:t>
      </w:r>
      <w:r w:rsidR="008F71EF" w:rsidRPr="007C4D65">
        <w:rPr>
          <w:rFonts w:asciiTheme="minorHAnsi" w:hAnsiTheme="minorHAnsi" w:cstheme="minorHAnsi"/>
          <w:i/>
          <w:sz w:val="22"/>
          <w:szCs w:val="22"/>
          <w:u w:val="single"/>
        </w:rPr>
        <w:t xml:space="preserve">ustainable flood risk management system </w:t>
      </w:r>
    </w:p>
    <w:p w14:paraId="19B4A00C" w14:textId="00D67B39"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 preliminary flood risk assessment has been made for </w:t>
      </w:r>
      <w:r w:rsidR="0058588C" w:rsidRPr="007C4D65">
        <w:rPr>
          <w:rFonts w:asciiTheme="minorHAnsi" w:hAnsiTheme="minorHAnsi" w:cstheme="minorHAnsi"/>
          <w:sz w:val="22"/>
          <w:szCs w:val="22"/>
        </w:rPr>
        <w:t>Federation of BiH</w:t>
      </w:r>
      <w:r w:rsidRPr="007C4D65">
        <w:rPr>
          <w:rFonts w:asciiTheme="minorHAnsi" w:hAnsiTheme="minorHAnsi" w:cstheme="minorHAnsi"/>
          <w:sz w:val="22"/>
          <w:szCs w:val="22"/>
        </w:rPr>
        <w:t xml:space="preserve">, as well as the Flood Hazard Maps and Flood Risk Maps, in accordance with the flood risks management directive. A Flood Risk Management Plan in BiH and erosion map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are currently being developed.</w:t>
      </w:r>
    </w:p>
    <w:p w14:paraId="416CAFF2" w14:textId="77777777" w:rsidR="008F71EF" w:rsidRPr="007C4D65" w:rsidRDefault="008F71EF" w:rsidP="008F71EF">
      <w:pPr>
        <w:spacing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Transposition of EU water legislation into legislation of BiH</w:t>
      </w:r>
    </w:p>
    <w:bookmarkEnd w:id="70"/>
    <w:p w14:paraId="01A6AA9D" w14:textId="10FEBD33"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Process of transposing EU water legislation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is not finished; however, the legislation, as well as the strategic and planning documents, are gradually being aligned with provisions of </w:t>
      </w:r>
      <w:r w:rsidR="001E4D90" w:rsidRPr="007C4D65">
        <w:rPr>
          <w:rFonts w:asciiTheme="minorHAnsi" w:hAnsiTheme="minorHAnsi" w:cstheme="minorHAnsi"/>
          <w:sz w:val="22"/>
          <w:szCs w:val="22"/>
        </w:rPr>
        <w:t>EU regulations</w:t>
      </w:r>
      <w:r w:rsidRPr="007C4D65">
        <w:rPr>
          <w:rFonts w:asciiTheme="minorHAnsi" w:hAnsiTheme="minorHAnsi" w:cstheme="minorHAnsi"/>
          <w:sz w:val="22"/>
          <w:szCs w:val="22"/>
        </w:rPr>
        <w:t>.</w:t>
      </w:r>
    </w:p>
    <w:p w14:paraId="71EBF863" w14:textId="5C77954D"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Law on Waters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LoW</w:t>
      </w:r>
      <w:proofErr w:type="spellEnd"/>
      <w:r w:rsidRPr="007C4D65">
        <w:rPr>
          <w:rFonts w:asciiTheme="minorHAnsi" w:hAnsiTheme="minorHAnsi" w:cstheme="minorHAnsi"/>
          <w:sz w:val="22"/>
          <w:szCs w:val="22"/>
        </w:rPr>
        <w:t xml:space="preserve"> </w:t>
      </w:r>
      <w:r w:rsidR="0058588C" w:rsidRPr="007C4D65">
        <w:rPr>
          <w:rFonts w:asciiTheme="minorHAnsi" w:hAnsiTheme="minorHAnsi" w:cstheme="minorHAnsi"/>
          <w:sz w:val="22"/>
          <w:szCs w:val="22"/>
        </w:rPr>
        <w:t>Federation of BiH</w:t>
      </w:r>
      <w:r w:rsidRPr="007C4D65">
        <w:rPr>
          <w:rFonts w:asciiTheme="minorHAnsi" w:hAnsiTheme="minorHAnsi" w:cstheme="minorHAnsi"/>
          <w:sz w:val="22"/>
          <w:szCs w:val="22"/>
        </w:rPr>
        <w:t>) (</w:t>
      </w:r>
      <w:r w:rsidR="007436F1" w:rsidRPr="007C4D65">
        <w:rPr>
          <w:rFonts w:asciiTheme="minorHAnsi" w:hAnsiTheme="minorHAnsi" w:cstheme="minorHAnsi"/>
          <w:sz w:val="22"/>
          <w:szCs w:val="22"/>
        </w:rPr>
        <w:t xml:space="preserve">„Official Gazette of the Federation of </w:t>
      </w:r>
      <w:proofErr w:type="gramStart"/>
      <w:r w:rsidR="007436F1" w:rsidRPr="007C4D65">
        <w:rPr>
          <w:rFonts w:asciiTheme="minorHAnsi" w:hAnsiTheme="minorHAnsi" w:cstheme="minorHAnsi"/>
          <w:sz w:val="22"/>
          <w:szCs w:val="22"/>
        </w:rPr>
        <w:t>BiH“</w:t>
      </w:r>
      <w:proofErr w:type="gramEnd"/>
      <w:r w:rsidR="007F4BA8" w:rsidRPr="007C4D65">
        <w:rPr>
          <w:rFonts w:asciiTheme="minorHAnsi" w:hAnsiTheme="minorHAnsi" w:cstheme="minorHAnsi"/>
          <w:sz w:val="22"/>
          <w:szCs w:val="22"/>
        </w:rPr>
        <w:t xml:space="preserve">, </w:t>
      </w:r>
      <w:r w:rsidRPr="007C4D65">
        <w:rPr>
          <w:rFonts w:asciiTheme="minorHAnsi" w:hAnsiTheme="minorHAnsi" w:cstheme="minorHAnsi"/>
          <w:sz w:val="22"/>
          <w:szCs w:val="22"/>
        </w:rPr>
        <w:t xml:space="preserve">70/06) was developed and adopted in 2006, in accordance with provisions of the Water Framework Directive (Directive 2000/60/EC) (WFD). Article 24 of </w:t>
      </w:r>
      <w:proofErr w:type="spellStart"/>
      <w:r w:rsidRPr="007C4D65">
        <w:rPr>
          <w:rFonts w:asciiTheme="minorHAnsi" w:hAnsiTheme="minorHAnsi" w:cstheme="minorHAnsi"/>
          <w:sz w:val="22"/>
          <w:szCs w:val="22"/>
        </w:rPr>
        <w:t>LoW</w:t>
      </w:r>
      <w:proofErr w:type="spellEnd"/>
      <w:r w:rsidRPr="007C4D65">
        <w:rPr>
          <w:rFonts w:asciiTheme="minorHAnsi" w:hAnsiTheme="minorHAnsi" w:cstheme="minorHAnsi"/>
          <w:sz w:val="22"/>
          <w:szCs w:val="22"/>
        </w:rPr>
        <w:t xml:space="preserve"> imposes the obligation of developing Water Management Strategy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The current Water Management Strategy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was adopted in 2012 for the period 2010-2022.</w:t>
      </w:r>
    </w:p>
    <w:p w14:paraId="04A4E661" w14:textId="780549AA" w:rsidR="008F71EF" w:rsidRPr="007C4D65" w:rsidRDefault="008F71EF" w:rsidP="008F71EF">
      <w:pPr>
        <w:spacing w:after="120" w:line="276" w:lineRule="auto"/>
        <w:jc w:val="both"/>
        <w:rPr>
          <w:rFonts w:asciiTheme="minorHAnsi" w:hAnsiTheme="minorHAnsi" w:cstheme="minorHAnsi"/>
          <w:sz w:val="22"/>
          <w:szCs w:val="22"/>
        </w:rPr>
      </w:pPr>
      <w:r w:rsidRPr="007C4D65">
        <w:rPr>
          <w:rFonts w:asciiTheme="minorHAnsi" w:hAnsiTheme="minorHAnsi" w:cstheme="minorHAnsi"/>
          <w:sz w:val="22"/>
          <w:szCs w:val="22"/>
        </w:rPr>
        <w:lastRenderedPageBreak/>
        <w:t xml:space="preserve">The initial Water Management Plans for Sava and </w:t>
      </w:r>
      <w:proofErr w:type="gramStart"/>
      <w:r w:rsidRPr="007C4D65">
        <w:rPr>
          <w:rFonts w:asciiTheme="minorHAnsi" w:hAnsiTheme="minorHAnsi" w:cstheme="minorHAnsi"/>
          <w:sz w:val="22"/>
          <w:szCs w:val="22"/>
        </w:rPr>
        <w:t>Adriatic Sea river</w:t>
      </w:r>
      <w:proofErr w:type="gramEnd"/>
      <w:r w:rsidRPr="007C4D65">
        <w:rPr>
          <w:rFonts w:asciiTheme="minorHAnsi" w:hAnsiTheme="minorHAnsi" w:cstheme="minorHAnsi"/>
          <w:sz w:val="22"/>
          <w:szCs w:val="22"/>
        </w:rPr>
        <w:t xml:space="preserve"> basins (first cycle) were made for the period 2016-2021. In line with </w:t>
      </w:r>
      <w:proofErr w:type="spellStart"/>
      <w:r w:rsidRPr="007C4D65">
        <w:rPr>
          <w:rFonts w:asciiTheme="minorHAnsi" w:hAnsiTheme="minorHAnsi" w:cstheme="minorHAnsi"/>
          <w:sz w:val="22"/>
          <w:szCs w:val="22"/>
        </w:rPr>
        <w:t>LoW</w:t>
      </w:r>
      <w:proofErr w:type="spellEnd"/>
      <w:r w:rsidRPr="007C4D65">
        <w:rPr>
          <w:rFonts w:asciiTheme="minorHAnsi" w:hAnsiTheme="minorHAnsi" w:cstheme="minorHAnsi"/>
          <w:sz w:val="22"/>
          <w:szCs w:val="22"/>
        </w:rPr>
        <w:t xml:space="preserve">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and WFD, these management plans were updated 6 years later, and Draft Management Plans 2022-2027 were developed and are currently in the process of adoption. These documents identify the pressures on waters that may prevent achieving and preserving minimum good status of water bodies (WB), such as pollutions for point and non-point sources of pollution, hydro-morphological changes, as well as capturing water for use by population, industry and commercial activities.</w:t>
      </w:r>
    </w:p>
    <w:p w14:paraId="4526D25B" w14:textId="1E397E62" w:rsidR="008F71EF" w:rsidRPr="007C4D65" w:rsidRDefault="008F71EF" w:rsidP="008F71EF">
      <w:pPr>
        <w:spacing w:after="12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Within the Programme for approximation/alignment of legislation with the EU acquis in the field of environment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(EAS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(MOFTER BiH, 2017), an overview of status of alignment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legislation with the EU water directives. Results of this overview are presented in </w:t>
      </w:r>
      <w:r w:rsidRPr="007C4D65">
        <w:rPr>
          <w:rFonts w:asciiTheme="minorHAnsi" w:hAnsiTheme="minorHAnsi" w:cstheme="minorHAnsi"/>
          <w:b/>
          <w:bCs/>
          <w:i/>
          <w:iCs/>
          <w:sz w:val="22"/>
          <w:szCs w:val="22"/>
        </w:rPr>
        <w:t>Table</w:t>
      </w:r>
      <w:r w:rsidR="00B6017F" w:rsidRPr="007C4D65">
        <w:rPr>
          <w:rFonts w:asciiTheme="minorHAnsi" w:hAnsiTheme="minorHAnsi" w:cstheme="minorHAnsi"/>
          <w:b/>
          <w:bCs/>
          <w:i/>
          <w:iCs/>
          <w:sz w:val="22"/>
          <w:szCs w:val="22"/>
        </w:rPr>
        <w:t xml:space="preserve"> 6</w:t>
      </w:r>
      <w:r w:rsidRPr="007C4D65">
        <w:rPr>
          <w:rFonts w:asciiTheme="minorHAnsi" w:hAnsiTheme="minorHAnsi" w:cstheme="minorHAnsi"/>
          <w:b/>
          <w:bCs/>
          <w:sz w:val="22"/>
          <w:szCs w:val="22"/>
        </w:rPr>
        <w:t>.</w:t>
      </w:r>
      <w:r w:rsidRPr="007C4D65">
        <w:rPr>
          <w:rFonts w:asciiTheme="minorHAnsi" w:hAnsiTheme="minorHAnsi" w:cstheme="minorHAnsi"/>
          <w:sz w:val="22"/>
          <w:szCs w:val="22"/>
        </w:rPr>
        <w:t xml:space="preserve"> </w:t>
      </w:r>
    </w:p>
    <w:p w14:paraId="7D60D2F5" w14:textId="65C115DE"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Currently, under the Environmental Partnership Programme for Accession (EPPA Programme), a BiH Progress Monitoring Report is being developed regarding the implementation and harmonization of BiH legislation with the </w:t>
      </w:r>
      <w:r w:rsidR="001E4D90" w:rsidRPr="007C4D65">
        <w:rPr>
          <w:rFonts w:asciiTheme="minorHAnsi" w:hAnsiTheme="minorHAnsi" w:cstheme="minorHAnsi"/>
          <w:sz w:val="22"/>
          <w:szCs w:val="22"/>
        </w:rPr>
        <w:t>EU regulations</w:t>
      </w:r>
      <w:r w:rsidRPr="007C4D65">
        <w:rPr>
          <w:rFonts w:asciiTheme="minorHAnsi" w:hAnsiTheme="minorHAnsi" w:cstheme="minorHAnsi"/>
          <w:sz w:val="22"/>
          <w:szCs w:val="22"/>
        </w:rPr>
        <w:t xml:space="preserve"> for the period 2016-2021</w:t>
      </w:r>
      <w:r w:rsidRPr="007C4D65">
        <w:rPr>
          <w:rStyle w:val="FootnoteReference"/>
          <w:rFonts w:asciiTheme="minorHAnsi" w:eastAsiaTheme="majorEastAsia" w:hAnsiTheme="minorHAnsi" w:cstheme="minorHAnsi"/>
          <w:sz w:val="22"/>
          <w:szCs w:val="22"/>
        </w:rPr>
        <w:footnoteReference w:id="10"/>
      </w:r>
      <w:r w:rsidRPr="007C4D65">
        <w:rPr>
          <w:rFonts w:asciiTheme="minorHAnsi" w:hAnsiTheme="minorHAnsi" w:cstheme="minorHAnsi"/>
          <w:sz w:val="22"/>
          <w:szCs w:val="22"/>
        </w:rPr>
        <w:t xml:space="preserve">. Unofficial results of this project - the level of harmonization between </w:t>
      </w:r>
      <w:r w:rsidR="0058588C" w:rsidRPr="007C4D65">
        <w:rPr>
          <w:rFonts w:asciiTheme="minorHAnsi" w:hAnsiTheme="minorHAnsi" w:cstheme="minorHAnsi"/>
          <w:sz w:val="22"/>
          <w:szCs w:val="22"/>
        </w:rPr>
        <w:t>Federation of BiH</w:t>
      </w:r>
      <w:r w:rsidRPr="007C4D65">
        <w:rPr>
          <w:rFonts w:asciiTheme="minorHAnsi" w:hAnsiTheme="minorHAnsi" w:cstheme="minorHAnsi"/>
          <w:sz w:val="22"/>
          <w:szCs w:val="22"/>
        </w:rPr>
        <w:t xml:space="preserve"> legislation with EU water directives, are shown in </w:t>
      </w:r>
      <w:r w:rsidRPr="007C4D65">
        <w:rPr>
          <w:rFonts w:asciiTheme="minorHAnsi" w:hAnsiTheme="minorHAnsi" w:cstheme="minorHAnsi"/>
          <w:b/>
          <w:bCs/>
          <w:i/>
          <w:iCs/>
          <w:sz w:val="22"/>
          <w:szCs w:val="22"/>
        </w:rPr>
        <w:t>Table</w:t>
      </w:r>
      <w:r w:rsidR="00B6017F" w:rsidRPr="007C4D65">
        <w:rPr>
          <w:rFonts w:asciiTheme="minorHAnsi" w:hAnsiTheme="minorHAnsi" w:cstheme="minorHAnsi"/>
          <w:b/>
          <w:bCs/>
          <w:i/>
          <w:iCs/>
          <w:sz w:val="22"/>
          <w:szCs w:val="22"/>
        </w:rPr>
        <w:t xml:space="preserve"> 6</w:t>
      </w:r>
      <w:r w:rsidRPr="007C4D65">
        <w:rPr>
          <w:rFonts w:asciiTheme="minorHAnsi" w:hAnsiTheme="minorHAnsi" w:cstheme="minorHAnsi"/>
          <w:sz w:val="22"/>
          <w:szCs w:val="22"/>
        </w:rPr>
        <w:t xml:space="preserve">.  </w:t>
      </w:r>
    </w:p>
    <w:p w14:paraId="068A0269" w14:textId="43E12570" w:rsidR="008F71EF" w:rsidRPr="007C4D65" w:rsidRDefault="008F71EF" w:rsidP="008F71EF">
      <w:pPr>
        <w:pStyle w:val="Caption"/>
        <w:spacing w:line="276" w:lineRule="auto"/>
        <w:rPr>
          <w:rFonts w:asciiTheme="minorHAnsi" w:hAnsiTheme="minorHAnsi" w:cstheme="minorHAnsi"/>
          <w:b w:val="0"/>
          <w:szCs w:val="20"/>
        </w:rPr>
      </w:pPr>
      <w:bookmarkStart w:id="71" w:name="_Toc109842435"/>
      <w:bookmarkStart w:id="72" w:name="_Toc117011585"/>
      <w:r w:rsidRPr="007C4D65">
        <w:rPr>
          <w:rFonts w:asciiTheme="minorHAnsi" w:hAnsiTheme="minorHAnsi" w:cstheme="minorHAnsi"/>
        </w:rPr>
        <w:t xml:space="preserve">Table </w:t>
      </w:r>
      <w:r w:rsidR="005D60DA" w:rsidRPr="007C4D65">
        <w:rPr>
          <w:rFonts w:asciiTheme="minorHAnsi" w:hAnsiTheme="minorHAnsi" w:cstheme="minorHAnsi"/>
        </w:rPr>
        <w:fldChar w:fldCharType="begin"/>
      </w:r>
      <w:r w:rsidR="005D60DA" w:rsidRPr="007C4D65">
        <w:rPr>
          <w:rFonts w:asciiTheme="minorHAnsi" w:hAnsiTheme="minorHAnsi" w:cstheme="minorHAnsi"/>
        </w:rPr>
        <w:instrText xml:space="preserve"> SEQ Tabela \* ARABIC </w:instrText>
      </w:r>
      <w:r w:rsidR="005D60DA" w:rsidRPr="007C4D65">
        <w:rPr>
          <w:rFonts w:asciiTheme="minorHAnsi" w:hAnsiTheme="minorHAnsi" w:cstheme="minorHAnsi"/>
        </w:rPr>
        <w:fldChar w:fldCharType="separate"/>
      </w:r>
      <w:r w:rsidR="005D60DA" w:rsidRPr="007C4D65">
        <w:rPr>
          <w:rFonts w:asciiTheme="minorHAnsi" w:hAnsiTheme="minorHAnsi" w:cstheme="minorHAnsi"/>
          <w:noProof/>
        </w:rPr>
        <w:t>6</w:t>
      </w:r>
      <w:r w:rsidR="005D60DA" w:rsidRPr="007C4D65">
        <w:rPr>
          <w:rFonts w:asciiTheme="minorHAnsi" w:hAnsiTheme="minorHAnsi" w:cstheme="minorHAnsi"/>
        </w:rPr>
        <w:fldChar w:fldCharType="end"/>
      </w:r>
      <w:r w:rsidRPr="007C4D65">
        <w:rPr>
          <w:rFonts w:asciiTheme="minorHAnsi" w:hAnsiTheme="minorHAnsi" w:cstheme="minorHAnsi"/>
          <w:szCs w:val="20"/>
        </w:rPr>
        <w:t xml:space="preserve">: </w:t>
      </w:r>
      <w:r w:rsidRPr="007C4D65">
        <w:rPr>
          <w:rFonts w:asciiTheme="minorHAnsi" w:hAnsiTheme="minorHAnsi" w:cstheme="minorHAnsi"/>
          <w:b w:val="0"/>
          <w:szCs w:val="20"/>
        </w:rPr>
        <w:t xml:space="preserve">Transposition status of EU water directives in legislation </w:t>
      </w:r>
      <w:r w:rsidR="007436F1" w:rsidRPr="007C4D65">
        <w:rPr>
          <w:rFonts w:asciiTheme="minorHAnsi" w:hAnsiTheme="minorHAnsi" w:cstheme="minorHAnsi"/>
          <w:b w:val="0"/>
          <w:szCs w:val="20"/>
        </w:rPr>
        <w:t>of the Federation of BiH</w:t>
      </w:r>
      <w:bookmarkEnd w:id="71"/>
      <w:bookmarkEnd w:id="72"/>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2"/>
        <w:gridCol w:w="3112"/>
        <w:gridCol w:w="3112"/>
      </w:tblGrid>
      <w:tr w:rsidR="008F71EF" w:rsidRPr="007C4D65" w14:paraId="4D1C1C34" w14:textId="77777777" w:rsidTr="00B6017F">
        <w:trPr>
          <w:trHeight w:val="323"/>
          <w:tblHeader/>
          <w:jc w:val="center"/>
        </w:trPr>
        <w:tc>
          <w:tcPr>
            <w:tcW w:w="1548" w:type="pct"/>
            <w:shd w:val="clear" w:color="auto" w:fill="009D73"/>
            <w:vAlign w:val="center"/>
          </w:tcPr>
          <w:p w14:paraId="778B1DEE" w14:textId="77777777"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EU Directive</w:t>
            </w:r>
          </w:p>
        </w:tc>
        <w:tc>
          <w:tcPr>
            <w:tcW w:w="1726" w:type="pct"/>
            <w:shd w:val="clear" w:color="auto" w:fill="009D73"/>
            <w:vAlign w:val="center"/>
          </w:tcPr>
          <w:p w14:paraId="2F081E9C" w14:textId="73AC173C"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 xml:space="preserve">Transposition status ‒ </w:t>
            </w:r>
            <w:r w:rsidR="0058588C" w:rsidRPr="007C4D65">
              <w:rPr>
                <w:rFonts w:asciiTheme="minorHAnsi" w:hAnsiTheme="minorHAnsi" w:cstheme="minorHAnsi"/>
                <w:color w:val="FFFFFF" w:themeColor="background1"/>
                <w:sz w:val="18"/>
                <w:szCs w:val="18"/>
              </w:rPr>
              <w:t>Federation of BiH</w:t>
            </w:r>
          </w:p>
          <w:p w14:paraId="658B16EB" w14:textId="56524CDF"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EAS FB</w:t>
            </w:r>
            <w:r w:rsidR="001A2A48" w:rsidRPr="007C4D65">
              <w:rPr>
                <w:rFonts w:asciiTheme="minorHAnsi" w:hAnsiTheme="minorHAnsi" w:cstheme="minorHAnsi"/>
                <w:color w:val="FFFFFF" w:themeColor="background1"/>
                <w:sz w:val="18"/>
                <w:szCs w:val="18"/>
              </w:rPr>
              <w:t>i</w:t>
            </w:r>
            <w:r w:rsidRPr="007C4D65">
              <w:rPr>
                <w:rFonts w:asciiTheme="minorHAnsi" w:hAnsiTheme="minorHAnsi" w:cstheme="minorHAnsi"/>
                <w:color w:val="FFFFFF" w:themeColor="background1"/>
                <w:sz w:val="18"/>
                <w:szCs w:val="18"/>
              </w:rPr>
              <w:t>H 2017</w:t>
            </w:r>
          </w:p>
        </w:tc>
        <w:tc>
          <w:tcPr>
            <w:tcW w:w="1726" w:type="pct"/>
            <w:shd w:val="clear" w:color="auto" w:fill="009D73"/>
          </w:tcPr>
          <w:p w14:paraId="23FB23D1" w14:textId="3E839EFD"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 xml:space="preserve">Transposition status ‒ </w:t>
            </w:r>
            <w:r w:rsidR="0058588C" w:rsidRPr="007C4D65">
              <w:rPr>
                <w:rFonts w:asciiTheme="minorHAnsi" w:hAnsiTheme="minorHAnsi" w:cstheme="minorHAnsi"/>
                <w:color w:val="FFFFFF" w:themeColor="background1"/>
                <w:sz w:val="18"/>
                <w:szCs w:val="18"/>
              </w:rPr>
              <w:t>Federation of BiH</w:t>
            </w:r>
          </w:p>
          <w:p w14:paraId="7499D8B9" w14:textId="77777777" w:rsidR="008F71EF" w:rsidRPr="007C4D65" w:rsidRDefault="008F71EF" w:rsidP="00B6017F">
            <w:pPr>
              <w:spacing w:line="276" w:lineRule="auto"/>
              <w:jc w:val="center"/>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szCs w:val="18"/>
              </w:rPr>
              <w:t>EPPA 2021</w:t>
            </w:r>
          </w:p>
        </w:tc>
      </w:tr>
      <w:tr w:rsidR="008F71EF" w:rsidRPr="007C4D65" w14:paraId="520BCEFE" w14:textId="77777777" w:rsidTr="00B6017F">
        <w:trPr>
          <w:trHeight w:val="391"/>
          <w:jc w:val="center"/>
        </w:trPr>
        <w:tc>
          <w:tcPr>
            <w:tcW w:w="1548" w:type="pct"/>
            <w:shd w:val="clear" w:color="auto" w:fill="auto"/>
            <w:vAlign w:val="center"/>
          </w:tcPr>
          <w:p w14:paraId="4A72DF6A"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EU Water Framework Directive (WFD)</w:t>
            </w:r>
          </w:p>
        </w:tc>
        <w:tc>
          <w:tcPr>
            <w:tcW w:w="1726" w:type="pct"/>
            <w:shd w:val="clear" w:color="auto" w:fill="auto"/>
            <w:vAlign w:val="center"/>
          </w:tcPr>
          <w:p w14:paraId="33F1CE42"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Mostly transposed; some definitions provided under Article 2 of the Water Framework Directive have not been transposed explicitly; Law on Waters has not transposed provision under Article 7(1) of WFD.</w:t>
            </w:r>
          </w:p>
        </w:tc>
        <w:tc>
          <w:tcPr>
            <w:tcW w:w="1726" w:type="pct"/>
            <w:vAlign w:val="center"/>
          </w:tcPr>
          <w:p w14:paraId="5E829144" w14:textId="77777777" w:rsidR="008F71EF" w:rsidRPr="007C4D65" w:rsidRDefault="008F71EF" w:rsidP="00B6017F">
            <w:pPr>
              <w:spacing w:line="276" w:lineRule="auto"/>
              <w:jc w:val="center"/>
              <w:rPr>
                <w:rFonts w:asciiTheme="minorHAnsi" w:hAnsiTheme="minorHAnsi" w:cstheme="minorHAnsi"/>
                <w:sz w:val="18"/>
                <w:szCs w:val="18"/>
              </w:rPr>
            </w:pPr>
            <w:r w:rsidRPr="007C4D65">
              <w:rPr>
                <w:rFonts w:asciiTheme="minorHAnsi" w:hAnsiTheme="minorHAnsi" w:cstheme="minorHAnsi"/>
                <w:sz w:val="18"/>
                <w:szCs w:val="18"/>
              </w:rPr>
              <w:t>--</w:t>
            </w:r>
          </w:p>
        </w:tc>
      </w:tr>
      <w:tr w:rsidR="008F71EF" w:rsidRPr="007C4D65" w14:paraId="01348DE5" w14:textId="77777777" w:rsidTr="00B6017F">
        <w:trPr>
          <w:trHeight w:val="391"/>
          <w:jc w:val="center"/>
        </w:trPr>
        <w:tc>
          <w:tcPr>
            <w:tcW w:w="1548" w:type="pct"/>
            <w:shd w:val="clear" w:color="auto" w:fill="auto"/>
            <w:vAlign w:val="center"/>
          </w:tcPr>
          <w:p w14:paraId="2A10D8B1" w14:textId="77777777" w:rsidR="008F71EF" w:rsidRPr="007C4D65" w:rsidRDefault="008F71EF" w:rsidP="00B6017F">
            <w:pPr>
              <w:rPr>
                <w:rFonts w:asciiTheme="minorHAnsi" w:hAnsiTheme="minorHAnsi" w:cstheme="minorHAnsi"/>
                <w:sz w:val="18"/>
                <w:szCs w:val="18"/>
              </w:rPr>
            </w:pPr>
            <w:r w:rsidRPr="007C4D65">
              <w:rPr>
                <w:rFonts w:asciiTheme="minorHAnsi" w:hAnsiTheme="minorHAnsi" w:cstheme="minorHAnsi"/>
                <w:sz w:val="18"/>
                <w:szCs w:val="18"/>
              </w:rPr>
              <w:t>Directive 98/83/EC on the quality of water intended for human consumption</w:t>
            </w:r>
          </w:p>
          <w:p w14:paraId="6355BFC9" w14:textId="77777777" w:rsidR="008F71EF" w:rsidRPr="007C4D65" w:rsidRDefault="008F71EF" w:rsidP="00B6017F">
            <w:pPr>
              <w:spacing w:line="276" w:lineRule="auto"/>
              <w:textAlignment w:val="baseline"/>
              <w:rPr>
                <w:rFonts w:asciiTheme="minorHAnsi" w:hAnsiTheme="minorHAnsi" w:cstheme="minorHAnsi"/>
                <w:sz w:val="18"/>
                <w:szCs w:val="18"/>
              </w:rPr>
            </w:pPr>
            <w:r w:rsidRPr="007C4D65">
              <w:rPr>
                <w:rFonts w:asciiTheme="minorHAnsi" w:hAnsiTheme="minorHAnsi" w:cstheme="minorHAnsi"/>
                <w:i/>
                <w:sz w:val="18"/>
                <w:szCs w:val="18"/>
              </w:rPr>
              <w:t xml:space="preserve"> </w:t>
            </w:r>
          </w:p>
        </w:tc>
        <w:tc>
          <w:tcPr>
            <w:tcW w:w="1726" w:type="pct"/>
            <w:shd w:val="clear" w:color="auto" w:fill="auto"/>
            <w:vAlign w:val="center"/>
          </w:tcPr>
          <w:p w14:paraId="6BAB78C7"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Mostly transposed Directive 98/83/EC)</w:t>
            </w:r>
          </w:p>
          <w:p w14:paraId="2C4566AD" w14:textId="77777777" w:rsidR="008F71EF" w:rsidRPr="007C4D65" w:rsidRDefault="008F71EF" w:rsidP="00B6017F">
            <w:pPr>
              <w:spacing w:line="276" w:lineRule="auto"/>
              <w:rPr>
                <w:rFonts w:asciiTheme="minorHAnsi" w:hAnsiTheme="minorHAnsi" w:cstheme="minorHAnsi"/>
                <w:i/>
                <w:iCs/>
                <w:sz w:val="18"/>
                <w:szCs w:val="18"/>
              </w:rPr>
            </w:pPr>
          </w:p>
          <w:p w14:paraId="7D80C267" w14:textId="77777777" w:rsidR="008F71EF" w:rsidRPr="007C4D65" w:rsidRDefault="008F71EF" w:rsidP="00B6017F">
            <w:pPr>
              <w:spacing w:line="276" w:lineRule="auto"/>
              <w:rPr>
                <w:rFonts w:asciiTheme="minorHAnsi" w:hAnsiTheme="minorHAnsi" w:cstheme="minorHAnsi"/>
                <w:i/>
                <w:iCs/>
                <w:sz w:val="18"/>
                <w:szCs w:val="18"/>
              </w:rPr>
            </w:pPr>
            <w:r w:rsidRPr="007C4D65">
              <w:rPr>
                <w:rFonts w:asciiTheme="minorHAnsi" w:hAnsiTheme="minorHAnsi" w:cstheme="minorHAnsi"/>
                <w:i/>
                <w:iCs/>
                <w:sz w:val="18"/>
                <w:szCs w:val="18"/>
              </w:rPr>
              <w:t>Note: Applicable BiH legislation is currently being aligned with the amended, new EU directive on the quality of water intended for human consumption from 2020 – Directive 2020/2184 of the European Parliament and the Council on the quality of water intended for human consumption</w:t>
            </w:r>
          </w:p>
        </w:tc>
        <w:tc>
          <w:tcPr>
            <w:tcW w:w="1726" w:type="pct"/>
            <w:vAlign w:val="center"/>
          </w:tcPr>
          <w:p w14:paraId="4FAED52A" w14:textId="77777777" w:rsidR="008F71EF" w:rsidRPr="007C4D65" w:rsidRDefault="008F71EF" w:rsidP="00B6017F">
            <w:pPr>
              <w:spacing w:line="276" w:lineRule="auto"/>
              <w:jc w:val="center"/>
              <w:rPr>
                <w:rFonts w:asciiTheme="minorHAnsi" w:hAnsiTheme="minorHAnsi" w:cstheme="minorHAnsi"/>
                <w:color w:val="FF0000"/>
                <w:sz w:val="18"/>
                <w:szCs w:val="18"/>
              </w:rPr>
            </w:pPr>
            <w:r w:rsidRPr="007C4D65">
              <w:rPr>
                <w:rFonts w:asciiTheme="minorHAnsi" w:hAnsiTheme="minorHAnsi" w:cstheme="minorHAnsi"/>
                <w:color w:val="FF0000"/>
                <w:sz w:val="18"/>
                <w:szCs w:val="18"/>
              </w:rPr>
              <w:t>--</w:t>
            </w:r>
          </w:p>
        </w:tc>
      </w:tr>
      <w:tr w:rsidR="008F71EF" w:rsidRPr="007C4D65" w14:paraId="5D14EDB0" w14:textId="77777777" w:rsidTr="00B6017F">
        <w:trPr>
          <w:trHeight w:val="391"/>
          <w:jc w:val="center"/>
        </w:trPr>
        <w:tc>
          <w:tcPr>
            <w:tcW w:w="1548" w:type="pct"/>
            <w:shd w:val="clear" w:color="auto" w:fill="auto"/>
            <w:vAlign w:val="center"/>
          </w:tcPr>
          <w:p w14:paraId="5834314E" w14:textId="77777777" w:rsidR="008F71EF" w:rsidRPr="007C4D65" w:rsidRDefault="008F71EF" w:rsidP="00B6017F">
            <w:pPr>
              <w:rPr>
                <w:rFonts w:asciiTheme="minorHAnsi" w:hAnsiTheme="minorHAnsi" w:cstheme="minorHAnsi"/>
                <w:sz w:val="18"/>
                <w:szCs w:val="18"/>
              </w:rPr>
            </w:pPr>
            <w:r w:rsidRPr="007C4D65">
              <w:rPr>
                <w:rFonts w:asciiTheme="minorHAnsi" w:hAnsiTheme="minorHAnsi" w:cstheme="minorHAnsi"/>
                <w:sz w:val="18"/>
                <w:szCs w:val="18"/>
              </w:rPr>
              <w:t xml:space="preserve">Directive on urban </w:t>
            </w:r>
            <w:proofErr w:type="gramStart"/>
            <w:r w:rsidRPr="007C4D65">
              <w:rPr>
                <w:rFonts w:asciiTheme="minorHAnsi" w:hAnsiTheme="minorHAnsi" w:cstheme="minorHAnsi"/>
                <w:sz w:val="18"/>
                <w:szCs w:val="18"/>
              </w:rPr>
              <w:t>waste water</w:t>
            </w:r>
            <w:proofErr w:type="gramEnd"/>
            <w:r w:rsidRPr="007C4D65">
              <w:rPr>
                <w:rFonts w:asciiTheme="minorHAnsi" w:hAnsiTheme="minorHAnsi" w:cstheme="minorHAnsi"/>
                <w:sz w:val="18"/>
                <w:szCs w:val="18"/>
              </w:rPr>
              <w:t xml:space="preserve"> treatment</w:t>
            </w:r>
          </w:p>
          <w:p w14:paraId="65545022"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 </w:t>
            </w:r>
          </w:p>
        </w:tc>
        <w:tc>
          <w:tcPr>
            <w:tcW w:w="1726" w:type="pct"/>
            <w:shd w:val="clear" w:color="auto" w:fill="auto"/>
            <w:vAlign w:val="center"/>
          </w:tcPr>
          <w:p w14:paraId="6E9302A3"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Definitions provided in the Directive on urban </w:t>
            </w:r>
            <w:proofErr w:type="gramStart"/>
            <w:r w:rsidRPr="007C4D65">
              <w:rPr>
                <w:rFonts w:asciiTheme="minorHAnsi" w:hAnsiTheme="minorHAnsi" w:cstheme="minorHAnsi"/>
                <w:sz w:val="18"/>
                <w:szCs w:val="18"/>
              </w:rPr>
              <w:t>waste water</w:t>
            </w:r>
            <w:proofErr w:type="gramEnd"/>
            <w:r w:rsidRPr="007C4D65">
              <w:rPr>
                <w:rFonts w:asciiTheme="minorHAnsi" w:hAnsiTheme="minorHAnsi" w:cstheme="minorHAnsi"/>
                <w:sz w:val="18"/>
                <w:szCs w:val="18"/>
              </w:rPr>
              <w:t xml:space="preserve"> treatment have been only partially transposed. Requirements of Part A of the Annex I of the Directive on urban </w:t>
            </w:r>
            <w:proofErr w:type="gramStart"/>
            <w:r w:rsidRPr="007C4D65">
              <w:rPr>
                <w:rFonts w:asciiTheme="minorHAnsi" w:hAnsiTheme="minorHAnsi" w:cstheme="minorHAnsi"/>
                <w:sz w:val="18"/>
                <w:szCs w:val="18"/>
              </w:rPr>
              <w:t>waste water</w:t>
            </w:r>
            <w:proofErr w:type="gramEnd"/>
            <w:r w:rsidRPr="007C4D65">
              <w:rPr>
                <w:rFonts w:asciiTheme="minorHAnsi" w:hAnsiTheme="minorHAnsi" w:cstheme="minorHAnsi"/>
                <w:sz w:val="18"/>
                <w:szCs w:val="18"/>
              </w:rPr>
              <w:t xml:space="preserve"> treatment have not been transposed yet.</w:t>
            </w:r>
          </w:p>
        </w:tc>
        <w:tc>
          <w:tcPr>
            <w:tcW w:w="1726" w:type="pct"/>
            <w:vAlign w:val="center"/>
          </w:tcPr>
          <w:p w14:paraId="18D922B3" w14:textId="77777777" w:rsidR="008F71EF" w:rsidRPr="007C4D65" w:rsidRDefault="008F71EF" w:rsidP="00B6017F">
            <w:pPr>
              <w:spacing w:line="276" w:lineRule="auto"/>
              <w:jc w:val="center"/>
              <w:rPr>
                <w:rFonts w:asciiTheme="minorHAnsi" w:hAnsiTheme="minorHAnsi" w:cstheme="minorHAnsi"/>
                <w:sz w:val="18"/>
                <w:szCs w:val="18"/>
              </w:rPr>
            </w:pPr>
            <w:r w:rsidRPr="007C4D65">
              <w:rPr>
                <w:rFonts w:asciiTheme="minorHAnsi" w:hAnsiTheme="minorHAnsi" w:cstheme="minorHAnsi"/>
                <w:sz w:val="18"/>
                <w:szCs w:val="18"/>
              </w:rPr>
              <w:t>96,3%</w:t>
            </w:r>
          </w:p>
        </w:tc>
      </w:tr>
      <w:tr w:rsidR="008F71EF" w:rsidRPr="007C4D65" w14:paraId="7D8A87F6" w14:textId="77777777" w:rsidTr="00B6017F">
        <w:trPr>
          <w:trHeight w:val="391"/>
          <w:jc w:val="center"/>
        </w:trPr>
        <w:tc>
          <w:tcPr>
            <w:tcW w:w="1548" w:type="pct"/>
            <w:shd w:val="clear" w:color="auto" w:fill="auto"/>
            <w:vAlign w:val="center"/>
          </w:tcPr>
          <w:p w14:paraId="06EF6FC7" w14:textId="77777777" w:rsidR="008F71EF" w:rsidRPr="007C4D65" w:rsidRDefault="008F71EF" w:rsidP="00B6017F">
            <w:pPr>
              <w:rPr>
                <w:rFonts w:asciiTheme="minorHAnsi" w:hAnsiTheme="minorHAnsi" w:cstheme="minorHAnsi"/>
                <w:sz w:val="18"/>
                <w:szCs w:val="18"/>
              </w:rPr>
            </w:pPr>
            <w:r w:rsidRPr="007C4D65">
              <w:rPr>
                <w:rFonts w:asciiTheme="minorHAnsi" w:hAnsiTheme="minorHAnsi" w:cstheme="minorHAnsi"/>
                <w:sz w:val="18"/>
                <w:szCs w:val="18"/>
              </w:rPr>
              <w:t>Directive on the assessment and management of flood risks</w:t>
            </w:r>
          </w:p>
          <w:p w14:paraId="2A9FDBEB" w14:textId="77777777" w:rsidR="008F71EF" w:rsidRPr="007C4D65" w:rsidRDefault="008F71EF" w:rsidP="00B6017F">
            <w:pPr>
              <w:spacing w:line="276" w:lineRule="auto"/>
              <w:rPr>
                <w:rFonts w:asciiTheme="minorHAnsi" w:hAnsiTheme="minorHAnsi" w:cstheme="minorHAnsi"/>
                <w:sz w:val="18"/>
                <w:szCs w:val="18"/>
              </w:rPr>
            </w:pPr>
          </w:p>
        </w:tc>
        <w:tc>
          <w:tcPr>
            <w:tcW w:w="1726" w:type="pct"/>
            <w:shd w:val="clear" w:color="auto" w:fill="auto"/>
            <w:vAlign w:val="center"/>
          </w:tcPr>
          <w:p w14:paraId="51C489CE" w14:textId="77777777" w:rsidR="008F71EF" w:rsidRPr="007C4D65" w:rsidRDefault="008F71EF" w:rsidP="00B6017F">
            <w:pPr>
              <w:spacing w:line="276" w:lineRule="auto"/>
              <w:rPr>
                <w:rFonts w:asciiTheme="minorHAnsi" w:hAnsiTheme="minorHAnsi" w:cstheme="minorHAnsi"/>
                <w:i/>
                <w:sz w:val="18"/>
                <w:szCs w:val="18"/>
              </w:rPr>
            </w:pPr>
            <w:r w:rsidRPr="007C4D65">
              <w:rPr>
                <w:rFonts w:asciiTheme="minorHAnsi" w:hAnsiTheme="minorHAnsi" w:cstheme="minorHAnsi"/>
                <w:sz w:val="18"/>
                <w:szCs w:val="18"/>
              </w:rPr>
              <w:lastRenderedPageBreak/>
              <w:t>Mostly transposed</w:t>
            </w:r>
            <w:r w:rsidRPr="007C4D65">
              <w:rPr>
                <w:rFonts w:asciiTheme="minorHAnsi" w:hAnsiTheme="minorHAnsi" w:cstheme="minorHAnsi"/>
                <w:sz w:val="18"/>
                <w:szCs w:val="18"/>
                <w:vertAlign w:val="superscript"/>
              </w:rPr>
              <w:footnoteReference w:id="11"/>
            </w:r>
            <w:r w:rsidRPr="007C4D65">
              <w:rPr>
                <w:rFonts w:asciiTheme="minorHAnsi" w:hAnsiTheme="minorHAnsi" w:cstheme="minorHAnsi"/>
                <w:i/>
                <w:sz w:val="18"/>
                <w:szCs w:val="18"/>
              </w:rPr>
              <w:t xml:space="preserve"> </w:t>
            </w:r>
          </w:p>
        </w:tc>
        <w:tc>
          <w:tcPr>
            <w:tcW w:w="1726" w:type="pct"/>
            <w:vAlign w:val="center"/>
          </w:tcPr>
          <w:p w14:paraId="7BE78FF4" w14:textId="77777777" w:rsidR="008F71EF" w:rsidRPr="007C4D65" w:rsidRDefault="008F71EF" w:rsidP="00B6017F">
            <w:pPr>
              <w:spacing w:line="276" w:lineRule="auto"/>
              <w:jc w:val="center"/>
              <w:rPr>
                <w:rFonts w:asciiTheme="minorHAnsi" w:hAnsiTheme="minorHAnsi" w:cstheme="minorHAnsi"/>
                <w:sz w:val="18"/>
                <w:szCs w:val="18"/>
              </w:rPr>
            </w:pPr>
            <w:r w:rsidRPr="007C4D65">
              <w:rPr>
                <w:rFonts w:asciiTheme="minorHAnsi" w:hAnsiTheme="minorHAnsi" w:cstheme="minorHAnsi"/>
                <w:sz w:val="18"/>
                <w:szCs w:val="18"/>
              </w:rPr>
              <w:t>96%</w:t>
            </w:r>
          </w:p>
        </w:tc>
      </w:tr>
      <w:tr w:rsidR="008F71EF" w:rsidRPr="007C4D65" w14:paraId="61E329C8" w14:textId="77777777" w:rsidTr="00B6017F">
        <w:trPr>
          <w:trHeight w:val="391"/>
          <w:jc w:val="center"/>
        </w:trPr>
        <w:tc>
          <w:tcPr>
            <w:tcW w:w="1548" w:type="pct"/>
            <w:shd w:val="clear" w:color="auto" w:fill="auto"/>
            <w:vAlign w:val="center"/>
          </w:tcPr>
          <w:p w14:paraId="468EE02D" w14:textId="77777777" w:rsidR="008F71EF" w:rsidRPr="007C4D65" w:rsidRDefault="008F71EF" w:rsidP="00B6017F">
            <w:pPr>
              <w:rPr>
                <w:rFonts w:asciiTheme="minorHAnsi" w:hAnsiTheme="minorHAnsi" w:cstheme="minorHAnsi"/>
                <w:sz w:val="18"/>
                <w:szCs w:val="18"/>
              </w:rPr>
            </w:pPr>
            <w:r w:rsidRPr="007C4D65">
              <w:rPr>
                <w:rFonts w:asciiTheme="minorHAnsi" w:hAnsiTheme="minorHAnsi" w:cstheme="minorHAnsi"/>
                <w:sz w:val="18"/>
                <w:szCs w:val="18"/>
              </w:rPr>
              <w:t>Directive concerning the protection of waters against pollution caused by nitrates from agricultural sources</w:t>
            </w:r>
          </w:p>
        </w:tc>
        <w:tc>
          <w:tcPr>
            <w:tcW w:w="1726" w:type="pct"/>
            <w:shd w:val="clear" w:color="auto" w:fill="auto"/>
            <w:vAlign w:val="center"/>
          </w:tcPr>
          <w:p w14:paraId="723B0945"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Partially transposed</w:t>
            </w:r>
          </w:p>
        </w:tc>
        <w:tc>
          <w:tcPr>
            <w:tcW w:w="1726" w:type="pct"/>
            <w:vAlign w:val="center"/>
          </w:tcPr>
          <w:p w14:paraId="5DDF7D9F" w14:textId="77777777" w:rsidR="008F71EF" w:rsidRPr="007C4D65" w:rsidRDefault="008F71EF" w:rsidP="00B6017F">
            <w:pPr>
              <w:spacing w:line="276" w:lineRule="auto"/>
              <w:jc w:val="center"/>
              <w:rPr>
                <w:rFonts w:asciiTheme="minorHAnsi" w:hAnsiTheme="minorHAnsi" w:cstheme="minorHAnsi"/>
                <w:sz w:val="18"/>
                <w:szCs w:val="18"/>
              </w:rPr>
            </w:pPr>
            <w:r w:rsidRPr="007C4D65">
              <w:rPr>
                <w:rFonts w:asciiTheme="minorHAnsi" w:hAnsiTheme="minorHAnsi" w:cstheme="minorHAnsi"/>
                <w:sz w:val="18"/>
                <w:szCs w:val="18"/>
              </w:rPr>
              <w:t>60%</w:t>
            </w:r>
          </w:p>
        </w:tc>
      </w:tr>
      <w:tr w:rsidR="008F71EF" w:rsidRPr="007C4D65" w14:paraId="19E916E4" w14:textId="77777777" w:rsidTr="00B6017F">
        <w:trPr>
          <w:trHeight w:val="391"/>
          <w:jc w:val="center"/>
        </w:trPr>
        <w:tc>
          <w:tcPr>
            <w:tcW w:w="1548" w:type="pct"/>
            <w:shd w:val="clear" w:color="auto" w:fill="auto"/>
            <w:vAlign w:val="center"/>
          </w:tcPr>
          <w:p w14:paraId="62C6C282" w14:textId="77777777" w:rsidR="008F71EF" w:rsidRPr="007C4D65" w:rsidRDefault="008F71EF" w:rsidP="00B6017F">
            <w:pPr>
              <w:rPr>
                <w:rFonts w:asciiTheme="minorHAnsi" w:hAnsiTheme="minorHAnsi" w:cstheme="minorHAnsi"/>
                <w:sz w:val="18"/>
                <w:szCs w:val="18"/>
              </w:rPr>
            </w:pPr>
            <w:r w:rsidRPr="007C4D65">
              <w:rPr>
                <w:rFonts w:asciiTheme="minorHAnsi" w:hAnsiTheme="minorHAnsi" w:cstheme="minorHAnsi"/>
                <w:sz w:val="18"/>
                <w:szCs w:val="18"/>
              </w:rPr>
              <w:t>Directive on laying down technical specifications for chemical analysis and monitoring of water status</w:t>
            </w:r>
          </w:p>
        </w:tc>
        <w:tc>
          <w:tcPr>
            <w:tcW w:w="1726" w:type="pct"/>
            <w:shd w:val="clear" w:color="auto" w:fill="auto"/>
            <w:vAlign w:val="center"/>
          </w:tcPr>
          <w:p w14:paraId="7E20E1CB"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Transposed in significant part </w:t>
            </w:r>
          </w:p>
        </w:tc>
        <w:tc>
          <w:tcPr>
            <w:tcW w:w="1726" w:type="pct"/>
            <w:vAlign w:val="center"/>
          </w:tcPr>
          <w:p w14:paraId="4E833084" w14:textId="77777777" w:rsidR="008F71EF" w:rsidRPr="007C4D65" w:rsidRDefault="008F71EF" w:rsidP="00B6017F">
            <w:pPr>
              <w:spacing w:line="276" w:lineRule="auto"/>
              <w:jc w:val="center"/>
              <w:rPr>
                <w:rFonts w:asciiTheme="minorHAnsi" w:hAnsiTheme="minorHAnsi" w:cstheme="minorHAnsi"/>
                <w:sz w:val="18"/>
                <w:szCs w:val="18"/>
              </w:rPr>
            </w:pPr>
            <w:r w:rsidRPr="007C4D65">
              <w:rPr>
                <w:rFonts w:asciiTheme="minorHAnsi" w:hAnsiTheme="minorHAnsi" w:cstheme="minorHAnsi"/>
                <w:sz w:val="18"/>
                <w:szCs w:val="18"/>
              </w:rPr>
              <w:t>86%</w:t>
            </w:r>
          </w:p>
        </w:tc>
      </w:tr>
      <w:tr w:rsidR="008F71EF" w:rsidRPr="007C4D65" w14:paraId="615647A6" w14:textId="77777777" w:rsidTr="00B6017F">
        <w:trPr>
          <w:trHeight w:val="391"/>
          <w:jc w:val="center"/>
        </w:trPr>
        <w:tc>
          <w:tcPr>
            <w:tcW w:w="1548" w:type="pct"/>
            <w:shd w:val="clear" w:color="auto" w:fill="auto"/>
            <w:vAlign w:val="center"/>
          </w:tcPr>
          <w:p w14:paraId="1E1FE1A0" w14:textId="77777777" w:rsidR="008F71EF" w:rsidRPr="007C4D65" w:rsidRDefault="008F71EF" w:rsidP="00B6017F">
            <w:pPr>
              <w:rPr>
                <w:rFonts w:asciiTheme="minorHAnsi" w:hAnsiTheme="minorHAnsi" w:cstheme="minorHAnsi"/>
                <w:sz w:val="18"/>
                <w:szCs w:val="18"/>
              </w:rPr>
            </w:pPr>
            <w:r w:rsidRPr="007C4D65">
              <w:rPr>
                <w:rFonts w:asciiTheme="minorHAnsi" w:hAnsiTheme="minorHAnsi" w:cstheme="minorHAnsi"/>
                <w:sz w:val="18"/>
                <w:szCs w:val="18"/>
              </w:rPr>
              <w:t>Directive on the protection of groundwater against pollution and deterioration</w:t>
            </w:r>
          </w:p>
          <w:p w14:paraId="481F84D3" w14:textId="77777777" w:rsidR="008F71EF" w:rsidRPr="007C4D65" w:rsidRDefault="008F71EF" w:rsidP="00B6017F">
            <w:pPr>
              <w:spacing w:line="276" w:lineRule="auto"/>
              <w:rPr>
                <w:rFonts w:asciiTheme="minorHAnsi" w:hAnsiTheme="minorHAnsi" w:cstheme="minorHAnsi"/>
                <w:sz w:val="18"/>
                <w:szCs w:val="18"/>
              </w:rPr>
            </w:pPr>
          </w:p>
        </w:tc>
        <w:tc>
          <w:tcPr>
            <w:tcW w:w="1726" w:type="pct"/>
            <w:shd w:val="clear" w:color="auto" w:fill="auto"/>
            <w:vAlign w:val="center"/>
          </w:tcPr>
          <w:p w14:paraId="7C377A5A"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Very early stage of transposition</w:t>
            </w:r>
          </w:p>
        </w:tc>
        <w:tc>
          <w:tcPr>
            <w:tcW w:w="1726" w:type="pct"/>
            <w:vAlign w:val="center"/>
          </w:tcPr>
          <w:p w14:paraId="775DB784" w14:textId="77777777" w:rsidR="008F71EF" w:rsidRPr="007C4D65" w:rsidRDefault="008F71EF" w:rsidP="00B6017F">
            <w:pPr>
              <w:spacing w:line="276" w:lineRule="auto"/>
              <w:jc w:val="center"/>
              <w:rPr>
                <w:rFonts w:asciiTheme="minorHAnsi" w:hAnsiTheme="minorHAnsi" w:cstheme="minorHAnsi"/>
                <w:sz w:val="18"/>
                <w:szCs w:val="18"/>
              </w:rPr>
            </w:pPr>
            <w:r w:rsidRPr="007C4D65">
              <w:rPr>
                <w:rFonts w:asciiTheme="minorHAnsi" w:hAnsiTheme="minorHAnsi" w:cstheme="minorHAnsi"/>
                <w:sz w:val="18"/>
                <w:szCs w:val="18"/>
              </w:rPr>
              <w:t>28%</w:t>
            </w:r>
          </w:p>
        </w:tc>
      </w:tr>
      <w:tr w:rsidR="008F71EF" w:rsidRPr="007C4D65" w14:paraId="16C504B3" w14:textId="77777777" w:rsidTr="00B6017F">
        <w:trPr>
          <w:trHeight w:val="311"/>
          <w:jc w:val="center"/>
        </w:trPr>
        <w:tc>
          <w:tcPr>
            <w:tcW w:w="1548" w:type="pct"/>
            <w:shd w:val="clear" w:color="auto" w:fill="auto"/>
            <w:vAlign w:val="center"/>
          </w:tcPr>
          <w:p w14:paraId="46079F85" w14:textId="77777777" w:rsidR="008F71EF" w:rsidRPr="007C4D65" w:rsidRDefault="008F71EF" w:rsidP="00B6017F">
            <w:pPr>
              <w:rPr>
                <w:rFonts w:asciiTheme="minorHAnsi" w:hAnsiTheme="minorHAnsi" w:cstheme="minorHAnsi"/>
                <w:sz w:val="18"/>
                <w:szCs w:val="18"/>
              </w:rPr>
            </w:pPr>
            <w:r w:rsidRPr="007C4D65">
              <w:rPr>
                <w:rFonts w:asciiTheme="minorHAnsi" w:hAnsiTheme="minorHAnsi" w:cstheme="minorHAnsi"/>
                <w:sz w:val="18"/>
                <w:szCs w:val="18"/>
              </w:rPr>
              <w:t xml:space="preserve">Directive concerning the quality of bathing water </w:t>
            </w:r>
          </w:p>
        </w:tc>
        <w:tc>
          <w:tcPr>
            <w:tcW w:w="1726" w:type="pct"/>
            <w:shd w:val="clear" w:color="auto" w:fill="auto"/>
            <w:vAlign w:val="center"/>
          </w:tcPr>
          <w:p w14:paraId="2D7F8098"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Transposition ongoing, relevant rulebook prepared</w:t>
            </w:r>
          </w:p>
        </w:tc>
        <w:tc>
          <w:tcPr>
            <w:tcW w:w="1726" w:type="pct"/>
            <w:vAlign w:val="center"/>
          </w:tcPr>
          <w:p w14:paraId="0F750171" w14:textId="77777777" w:rsidR="008F71EF" w:rsidRPr="007C4D65" w:rsidRDefault="008F71EF" w:rsidP="00B6017F">
            <w:pPr>
              <w:spacing w:line="276" w:lineRule="auto"/>
              <w:jc w:val="center"/>
              <w:rPr>
                <w:rFonts w:asciiTheme="minorHAnsi" w:hAnsiTheme="minorHAnsi" w:cstheme="minorHAnsi"/>
                <w:sz w:val="18"/>
                <w:szCs w:val="18"/>
              </w:rPr>
            </w:pPr>
            <w:r w:rsidRPr="007C4D65">
              <w:rPr>
                <w:rFonts w:asciiTheme="minorHAnsi" w:hAnsiTheme="minorHAnsi" w:cstheme="minorHAnsi"/>
                <w:sz w:val="18"/>
                <w:szCs w:val="18"/>
              </w:rPr>
              <w:t>60,63%</w:t>
            </w:r>
          </w:p>
        </w:tc>
      </w:tr>
      <w:tr w:rsidR="008F71EF" w:rsidRPr="007C4D65" w14:paraId="15B5B188" w14:textId="77777777" w:rsidTr="00B6017F">
        <w:trPr>
          <w:trHeight w:val="311"/>
          <w:jc w:val="center"/>
        </w:trPr>
        <w:tc>
          <w:tcPr>
            <w:tcW w:w="1548" w:type="pct"/>
            <w:shd w:val="clear" w:color="auto" w:fill="auto"/>
            <w:vAlign w:val="center"/>
          </w:tcPr>
          <w:p w14:paraId="1F5206CB" w14:textId="77777777" w:rsidR="008F71EF" w:rsidRPr="007C4D65" w:rsidRDefault="008F71EF" w:rsidP="00B6017F">
            <w:pPr>
              <w:rPr>
                <w:rFonts w:asciiTheme="minorHAnsi" w:hAnsiTheme="minorHAnsi" w:cstheme="minorHAnsi"/>
                <w:sz w:val="18"/>
                <w:szCs w:val="18"/>
              </w:rPr>
            </w:pPr>
            <w:r w:rsidRPr="007C4D65">
              <w:rPr>
                <w:rFonts w:asciiTheme="minorHAnsi" w:hAnsiTheme="minorHAnsi" w:cstheme="minorHAnsi"/>
                <w:sz w:val="18"/>
                <w:szCs w:val="18"/>
              </w:rPr>
              <w:t>Directive establishing a framework for Community action in the field of water policy</w:t>
            </w:r>
          </w:p>
          <w:p w14:paraId="28DB6354" w14:textId="77777777" w:rsidR="008F71EF" w:rsidRPr="007C4D65" w:rsidRDefault="008F71EF" w:rsidP="00B6017F">
            <w:pPr>
              <w:spacing w:line="276" w:lineRule="auto"/>
              <w:rPr>
                <w:rFonts w:asciiTheme="minorHAnsi" w:hAnsiTheme="minorHAnsi" w:cstheme="minorHAnsi"/>
                <w:sz w:val="18"/>
                <w:szCs w:val="18"/>
              </w:rPr>
            </w:pPr>
          </w:p>
        </w:tc>
        <w:tc>
          <w:tcPr>
            <w:tcW w:w="1726" w:type="pct"/>
            <w:shd w:val="clear" w:color="auto" w:fill="auto"/>
            <w:vAlign w:val="center"/>
          </w:tcPr>
          <w:p w14:paraId="037E4F3B" w14:textId="77777777" w:rsidR="008F71EF" w:rsidRPr="007C4D65" w:rsidRDefault="008F71EF" w:rsidP="00B6017F">
            <w:pPr>
              <w:spacing w:line="276" w:lineRule="auto"/>
              <w:rPr>
                <w:rFonts w:asciiTheme="minorHAnsi" w:hAnsiTheme="minorHAnsi" w:cstheme="minorHAnsi"/>
                <w:sz w:val="18"/>
                <w:szCs w:val="18"/>
              </w:rPr>
            </w:pPr>
          </w:p>
        </w:tc>
        <w:tc>
          <w:tcPr>
            <w:tcW w:w="1726" w:type="pct"/>
            <w:vAlign w:val="center"/>
          </w:tcPr>
          <w:p w14:paraId="1FB24960" w14:textId="77777777" w:rsidR="008F71EF" w:rsidRPr="007C4D65" w:rsidRDefault="008F71EF" w:rsidP="00B6017F">
            <w:pPr>
              <w:spacing w:line="276" w:lineRule="auto"/>
              <w:jc w:val="center"/>
              <w:rPr>
                <w:rFonts w:asciiTheme="minorHAnsi" w:hAnsiTheme="minorHAnsi" w:cstheme="minorHAnsi"/>
                <w:sz w:val="18"/>
                <w:szCs w:val="18"/>
              </w:rPr>
            </w:pPr>
            <w:r w:rsidRPr="007C4D65">
              <w:rPr>
                <w:rFonts w:asciiTheme="minorHAnsi" w:hAnsiTheme="minorHAnsi" w:cstheme="minorHAnsi"/>
                <w:sz w:val="18"/>
                <w:szCs w:val="18"/>
              </w:rPr>
              <w:t>95,8%</w:t>
            </w:r>
          </w:p>
        </w:tc>
      </w:tr>
      <w:tr w:rsidR="008F71EF" w:rsidRPr="007C4D65" w14:paraId="1D553E45" w14:textId="77777777" w:rsidTr="00B6017F">
        <w:trPr>
          <w:trHeight w:val="311"/>
          <w:jc w:val="center"/>
        </w:trPr>
        <w:tc>
          <w:tcPr>
            <w:tcW w:w="1548" w:type="pct"/>
            <w:shd w:val="clear" w:color="auto" w:fill="auto"/>
            <w:vAlign w:val="center"/>
          </w:tcPr>
          <w:p w14:paraId="76687715" w14:textId="77777777" w:rsidR="008F71EF" w:rsidRPr="007C4D65" w:rsidRDefault="008F71EF" w:rsidP="00B6017F">
            <w:pPr>
              <w:rPr>
                <w:rFonts w:asciiTheme="minorHAnsi" w:hAnsiTheme="minorHAnsi" w:cstheme="minorHAnsi"/>
                <w:sz w:val="18"/>
                <w:szCs w:val="18"/>
              </w:rPr>
            </w:pPr>
            <w:r w:rsidRPr="007C4D65">
              <w:rPr>
                <w:rFonts w:asciiTheme="minorHAnsi" w:hAnsiTheme="minorHAnsi" w:cstheme="minorHAnsi"/>
                <w:sz w:val="18"/>
                <w:szCs w:val="18"/>
              </w:rPr>
              <w:t>Directive on environmental quality standards in the field of water policy</w:t>
            </w:r>
          </w:p>
        </w:tc>
        <w:tc>
          <w:tcPr>
            <w:tcW w:w="1726" w:type="pct"/>
            <w:shd w:val="clear" w:color="auto" w:fill="auto"/>
            <w:vAlign w:val="center"/>
          </w:tcPr>
          <w:p w14:paraId="20AD682D" w14:textId="77777777" w:rsidR="008F71EF" w:rsidRPr="007C4D65" w:rsidRDefault="008F71EF" w:rsidP="00B6017F">
            <w:pPr>
              <w:spacing w:line="276" w:lineRule="auto"/>
              <w:rPr>
                <w:rFonts w:asciiTheme="minorHAnsi" w:hAnsiTheme="minorHAnsi" w:cstheme="minorHAnsi"/>
                <w:sz w:val="18"/>
                <w:szCs w:val="18"/>
              </w:rPr>
            </w:pPr>
            <w:r w:rsidRPr="007C4D65">
              <w:rPr>
                <w:rFonts w:asciiTheme="minorHAnsi" w:eastAsia="Cambria" w:hAnsiTheme="minorHAnsi" w:cstheme="minorHAnsi"/>
                <w:sz w:val="18"/>
                <w:szCs w:val="18"/>
                <w:lang w:eastAsia="en-US"/>
              </w:rPr>
              <w:t xml:space="preserve"> </w:t>
            </w:r>
          </w:p>
        </w:tc>
        <w:tc>
          <w:tcPr>
            <w:tcW w:w="1726" w:type="pct"/>
            <w:vAlign w:val="center"/>
          </w:tcPr>
          <w:p w14:paraId="37825074" w14:textId="77777777" w:rsidR="008F71EF" w:rsidRPr="007C4D65" w:rsidRDefault="008F71EF" w:rsidP="00B6017F">
            <w:pPr>
              <w:spacing w:line="276" w:lineRule="auto"/>
              <w:jc w:val="center"/>
              <w:rPr>
                <w:rFonts w:asciiTheme="minorHAnsi" w:hAnsiTheme="minorHAnsi" w:cstheme="minorHAnsi"/>
                <w:sz w:val="18"/>
                <w:szCs w:val="18"/>
              </w:rPr>
            </w:pPr>
            <w:r w:rsidRPr="007C4D65">
              <w:rPr>
                <w:rFonts w:asciiTheme="minorHAnsi" w:eastAsia="Cambria" w:hAnsiTheme="minorHAnsi" w:cstheme="minorHAnsi"/>
                <w:sz w:val="18"/>
                <w:szCs w:val="18"/>
                <w:lang w:eastAsia="en-US"/>
              </w:rPr>
              <w:t>20,5%</w:t>
            </w:r>
          </w:p>
        </w:tc>
      </w:tr>
    </w:tbl>
    <w:p w14:paraId="6A42A585" w14:textId="77777777" w:rsidR="008F71EF" w:rsidRPr="007C4D65" w:rsidRDefault="008F71EF" w:rsidP="008F71EF">
      <w:pPr>
        <w:spacing w:line="276" w:lineRule="auto"/>
        <w:rPr>
          <w:rFonts w:asciiTheme="minorHAnsi" w:hAnsiTheme="minorHAnsi" w:cstheme="minorHAnsi"/>
          <w:i/>
          <w:sz w:val="20"/>
          <w:szCs w:val="20"/>
        </w:rPr>
      </w:pPr>
      <w:r w:rsidRPr="007C4D65">
        <w:rPr>
          <w:rFonts w:asciiTheme="minorHAnsi" w:hAnsiTheme="minorHAnsi" w:cstheme="minorHAnsi"/>
          <w:i/>
          <w:sz w:val="20"/>
          <w:szCs w:val="20"/>
        </w:rPr>
        <w:t xml:space="preserve">Source: </w:t>
      </w:r>
      <w:r w:rsidRPr="007C4D65">
        <w:rPr>
          <w:rFonts w:asciiTheme="minorHAnsi" w:hAnsiTheme="minorHAnsi" w:cstheme="minorHAnsi"/>
          <w:i/>
          <w:sz w:val="20"/>
          <w:szCs w:val="20"/>
        </w:rPr>
        <w:fldChar w:fldCharType="begin"/>
      </w:r>
      <w:r w:rsidRPr="007C4D65">
        <w:rPr>
          <w:rFonts w:asciiTheme="minorHAnsi" w:hAnsiTheme="minorHAnsi" w:cstheme="minorHAnsi"/>
          <w:i/>
          <w:sz w:val="20"/>
          <w:szCs w:val="20"/>
        </w:rPr>
        <w:instrText xml:space="preserve"> ADDIN ZOTERO_ITEM CSL_CITATION {"citationID":"srAY9j5m","properties":{"formattedCitation":"(MVTEO BiH 2017)","plainCitation":"(MVTEO BiH 2017)","noteIndex":0},"citationItems":[{"id":1329,"uris":["http://zotero.org/users/7192877/items/TBUNBRJZ"],"itemData":{"id":1329,"type":"report","title":"Strategija usklađivanja propisa pravnoj stecevini EU u oblasti zaštite okoliša/životne sredine Bosne i Hercegovine (EAS BiH)","URL":"http://www.mvteo.gov.ba/data/Home/%D0%94%D0%BE%D0%BA%D1%83%D0%BC%D0%B5%D0%BD%D1%82%D0%B8/%D0%92%D0%BE%D0%B4%D0%BD%D0%B8%20%D1%80%D0%B5%D1%81%D1%83%D1%80%D1%81%D0%B8/STRATEGIJA_USKLA%C4%90IVANJA_PROPISA_PRAVNOJ_STE%C4%8CEVINI_EU_U_OBLASTI_ZA%C5%A0TITE_%C5%BDIVOTNE_SREDINE_BOSNE_I_HERCEGOVINE.pdf","author":[{"literal":"MVTEO BiH"}],"issued":{"date-parts":[["2017"]]}}}],"schema":"https://github.com/citation-style-language/schema/raw/master/csl-citation.json"} </w:instrText>
      </w:r>
      <w:r w:rsidRPr="007C4D65">
        <w:rPr>
          <w:rFonts w:asciiTheme="minorHAnsi" w:hAnsiTheme="minorHAnsi" w:cstheme="minorHAnsi"/>
          <w:i/>
          <w:sz w:val="20"/>
          <w:szCs w:val="20"/>
        </w:rPr>
        <w:fldChar w:fldCharType="separate"/>
      </w:r>
      <w:r w:rsidRPr="007C4D65">
        <w:rPr>
          <w:rFonts w:asciiTheme="minorHAnsi" w:hAnsiTheme="minorHAnsi" w:cstheme="minorHAnsi"/>
          <w:i/>
          <w:sz w:val="20"/>
        </w:rPr>
        <w:t>(MOFTER BiH, 2017)</w:t>
      </w:r>
      <w:r w:rsidRPr="007C4D65">
        <w:rPr>
          <w:rFonts w:asciiTheme="minorHAnsi" w:hAnsiTheme="minorHAnsi" w:cstheme="minorHAnsi"/>
          <w:i/>
          <w:sz w:val="20"/>
          <w:szCs w:val="20"/>
        </w:rPr>
        <w:fldChar w:fldCharType="end"/>
      </w:r>
    </w:p>
    <w:p w14:paraId="19D4D1F6" w14:textId="1C6D8251" w:rsidR="008F71EF" w:rsidRPr="007C4D65" w:rsidRDefault="008F71EF" w:rsidP="008F71EF">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Although the Federation possesses significant water resources, numerous </w:t>
      </w:r>
      <w:r w:rsidRPr="007C4D65">
        <w:rPr>
          <w:rFonts w:asciiTheme="minorHAnsi" w:hAnsiTheme="minorHAnsi" w:cstheme="minorHAnsi"/>
          <w:b/>
          <w:sz w:val="22"/>
          <w:szCs w:val="22"/>
        </w:rPr>
        <w:t xml:space="preserve">challenges </w:t>
      </w:r>
      <w:r w:rsidRPr="007C4D65">
        <w:rPr>
          <w:rFonts w:asciiTheme="minorHAnsi" w:hAnsiTheme="minorHAnsi" w:cstheme="minorHAnsi"/>
          <w:sz w:val="22"/>
          <w:szCs w:val="22"/>
        </w:rPr>
        <w:t xml:space="preserve">to their protection and improvement of the </w:t>
      </w:r>
      <w:proofErr w:type="gramStart"/>
      <w:r w:rsidRPr="007C4D65">
        <w:rPr>
          <w:rFonts w:asciiTheme="minorHAnsi" w:hAnsiTheme="minorHAnsi" w:cstheme="minorHAnsi"/>
          <w:sz w:val="22"/>
          <w:szCs w:val="22"/>
        </w:rPr>
        <w:t>current status</w:t>
      </w:r>
      <w:proofErr w:type="gramEnd"/>
      <w:r w:rsidRPr="007C4D65">
        <w:rPr>
          <w:rFonts w:asciiTheme="minorHAnsi" w:hAnsiTheme="minorHAnsi" w:cstheme="minorHAnsi"/>
          <w:sz w:val="22"/>
          <w:szCs w:val="22"/>
        </w:rPr>
        <w:t xml:space="preserve"> have been identified. The current water management challenges may be grouped in the following way: a) implementation of the Sava and Adriatic Basin management plans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b) implementation of protection measures and declaring protected areas in accordance with the Law on Waters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c) improving inter-sectorial (horizontal) cooperation between the water sector with spatial planning sector and other development sectors, and water inspection and concession agencies; d) need for reforms (legal, institutional, operational etc.) in water services sector; e) improving climate change adaptation and reducing risks of extreme hydrological events; f) improving water sector financing; g) speeding up the processes of transposition, implementation and enforcement of EU water legislation into </w:t>
      </w:r>
      <w:r w:rsidR="0058588C" w:rsidRPr="007C4D65">
        <w:rPr>
          <w:rFonts w:asciiTheme="minorHAnsi" w:hAnsiTheme="minorHAnsi" w:cstheme="minorHAnsi"/>
          <w:sz w:val="22"/>
          <w:szCs w:val="22"/>
        </w:rPr>
        <w:t>Federation of BiH</w:t>
      </w:r>
      <w:r w:rsidRPr="007C4D65">
        <w:rPr>
          <w:rFonts w:asciiTheme="minorHAnsi" w:hAnsiTheme="minorHAnsi" w:cstheme="minorHAnsi"/>
          <w:sz w:val="22"/>
          <w:szCs w:val="22"/>
        </w:rPr>
        <w:t xml:space="preserve"> water legislation; h) strengthening skills of water sector experts; </w:t>
      </w:r>
      <w:proofErr w:type="spellStart"/>
      <w:r w:rsidRPr="007C4D65">
        <w:rPr>
          <w:rFonts w:asciiTheme="minorHAnsi" w:hAnsiTheme="minorHAnsi" w:cstheme="minorHAnsi"/>
          <w:sz w:val="22"/>
          <w:szCs w:val="22"/>
        </w:rPr>
        <w:t>i</w:t>
      </w:r>
      <w:proofErr w:type="spellEnd"/>
      <w:r w:rsidRPr="007C4D65">
        <w:rPr>
          <w:rFonts w:asciiTheme="minorHAnsi" w:hAnsiTheme="minorHAnsi" w:cstheme="minorHAnsi"/>
          <w:sz w:val="22"/>
          <w:szCs w:val="22"/>
        </w:rPr>
        <w:t>) improving the process of data collection and transmission and reporting in environment (water sector).</w:t>
      </w:r>
    </w:p>
    <w:p w14:paraId="14877A66" w14:textId="6B00F6FC" w:rsidR="008F71EF" w:rsidRPr="007C4D65" w:rsidRDefault="008F71EF" w:rsidP="008F71EF">
      <w:pPr>
        <w:spacing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 xml:space="preserve">Implementation of </w:t>
      </w:r>
      <w:r w:rsidR="00710F07" w:rsidRPr="007C4D65">
        <w:rPr>
          <w:rFonts w:asciiTheme="minorHAnsi" w:hAnsiTheme="minorHAnsi" w:cstheme="minorHAnsi"/>
          <w:i/>
          <w:sz w:val="22"/>
          <w:szCs w:val="22"/>
          <w:u w:val="single"/>
        </w:rPr>
        <w:t xml:space="preserve">the </w:t>
      </w:r>
      <w:r w:rsidRPr="007C4D65">
        <w:rPr>
          <w:rFonts w:asciiTheme="minorHAnsi" w:hAnsiTheme="minorHAnsi" w:cstheme="minorHAnsi"/>
          <w:i/>
          <w:sz w:val="22"/>
          <w:szCs w:val="22"/>
          <w:u w:val="single"/>
        </w:rPr>
        <w:t>Sava</w:t>
      </w:r>
      <w:r w:rsidR="00710F07" w:rsidRPr="007C4D65">
        <w:rPr>
          <w:rFonts w:asciiTheme="minorHAnsi" w:hAnsiTheme="minorHAnsi" w:cstheme="minorHAnsi"/>
          <w:i/>
          <w:sz w:val="22"/>
          <w:szCs w:val="22"/>
          <w:u w:val="single"/>
        </w:rPr>
        <w:t xml:space="preserve"> River</w:t>
      </w:r>
      <w:r w:rsidRPr="007C4D65">
        <w:rPr>
          <w:rFonts w:asciiTheme="minorHAnsi" w:hAnsiTheme="minorHAnsi" w:cstheme="minorHAnsi"/>
          <w:i/>
          <w:sz w:val="22"/>
          <w:szCs w:val="22"/>
          <w:u w:val="single"/>
        </w:rPr>
        <w:t xml:space="preserve"> and Adriatic</w:t>
      </w:r>
      <w:r w:rsidR="00710F07" w:rsidRPr="007C4D65">
        <w:rPr>
          <w:rFonts w:asciiTheme="minorHAnsi" w:hAnsiTheme="minorHAnsi" w:cstheme="minorHAnsi"/>
          <w:i/>
          <w:sz w:val="22"/>
          <w:szCs w:val="22"/>
          <w:u w:val="single"/>
        </w:rPr>
        <w:t xml:space="preserve"> Sea</w:t>
      </w:r>
      <w:r w:rsidRPr="007C4D65">
        <w:rPr>
          <w:rFonts w:asciiTheme="minorHAnsi" w:hAnsiTheme="minorHAnsi" w:cstheme="minorHAnsi"/>
          <w:i/>
          <w:sz w:val="22"/>
          <w:szCs w:val="22"/>
          <w:u w:val="single"/>
        </w:rPr>
        <w:t xml:space="preserve"> </w:t>
      </w:r>
      <w:r w:rsidR="00710F07" w:rsidRPr="007C4D65">
        <w:rPr>
          <w:rFonts w:asciiTheme="minorHAnsi" w:hAnsiTheme="minorHAnsi" w:cstheme="minorHAnsi"/>
          <w:i/>
          <w:sz w:val="22"/>
          <w:szCs w:val="22"/>
          <w:u w:val="single"/>
        </w:rPr>
        <w:t>B</w:t>
      </w:r>
      <w:r w:rsidRPr="007C4D65">
        <w:rPr>
          <w:rFonts w:asciiTheme="minorHAnsi" w:hAnsiTheme="minorHAnsi" w:cstheme="minorHAnsi"/>
          <w:i/>
          <w:sz w:val="22"/>
          <w:szCs w:val="22"/>
          <w:u w:val="single"/>
        </w:rPr>
        <w:t xml:space="preserve">asin management plans </w:t>
      </w:r>
      <w:r w:rsidR="007436F1" w:rsidRPr="007C4D65">
        <w:rPr>
          <w:rFonts w:asciiTheme="minorHAnsi" w:hAnsiTheme="minorHAnsi" w:cstheme="minorHAnsi"/>
          <w:i/>
          <w:sz w:val="22"/>
          <w:szCs w:val="22"/>
          <w:u w:val="single"/>
        </w:rPr>
        <w:t>in the Federation of BiH</w:t>
      </w:r>
    </w:p>
    <w:p w14:paraId="2C6F5F17" w14:textId="5895419D"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Implementation of Sava and </w:t>
      </w:r>
      <w:proofErr w:type="gramStart"/>
      <w:r w:rsidRPr="007C4D65">
        <w:rPr>
          <w:rFonts w:asciiTheme="minorHAnsi" w:hAnsiTheme="minorHAnsi" w:cstheme="minorHAnsi"/>
          <w:sz w:val="22"/>
          <w:szCs w:val="22"/>
        </w:rPr>
        <w:t>Adriatic Sea river</w:t>
      </w:r>
      <w:proofErr w:type="gramEnd"/>
      <w:r w:rsidRPr="007C4D65">
        <w:rPr>
          <w:rFonts w:asciiTheme="minorHAnsi" w:hAnsiTheme="minorHAnsi" w:cstheme="minorHAnsi"/>
          <w:sz w:val="22"/>
          <w:szCs w:val="22"/>
        </w:rPr>
        <w:t xml:space="preserve"> basin management plans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is a responsibility of both Federation and cantonal and municipal level water authorities, but also </w:t>
      </w:r>
      <w:r w:rsidR="008E3082" w:rsidRPr="007C4D65">
        <w:rPr>
          <w:rFonts w:asciiTheme="minorHAnsi" w:hAnsiTheme="minorHAnsi" w:cstheme="minorHAnsi"/>
          <w:sz w:val="22"/>
          <w:szCs w:val="22"/>
        </w:rPr>
        <w:t xml:space="preserve">of </w:t>
      </w:r>
      <w:r w:rsidRPr="007C4D65">
        <w:rPr>
          <w:rFonts w:asciiTheme="minorHAnsi" w:hAnsiTheme="minorHAnsi" w:cstheme="minorHAnsi"/>
          <w:sz w:val="22"/>
          <w:szCs w:val="22"/>
        </w:rPr>
        <w:t>the sector of spa</w:t>
      </w:r>
      <w:r w:rsidR="00841084" w:rsidRPr="007C4D65">
        <w:rPr>
          <w:rFonts w:asciiTheme="minorHAnsi" w:hAnsiTheme="minorHAnsi" w:cstheme="minorHAnsi"/>
          <w:sz w:val="22"/>
          <w:szCs w:val="22"/>
        </w:rPr>
        <w:t>tial planning and development. I</w:t>
      </w:r>
      <w:r w:rsidRPr="007C4D65">
        <w:rPr>
          <w:rFonts w:asciiTheme="minorHAnsi" w:hAnsiTheme="minorHAnsi" w:cstheme="minorHAnsi"/>
          <w:sz w:val="22"/>
          <w:szCs w:val="22"/>
        </w:rPr>
        <w:t xml:space="preserve">mplementation </w:t>
      </w:r>
      <w:r w:rsidR="00841084" w:rsidRPr="007C4D65">
        <w:rPr>
          <w:rFonts w:asciiTheme="minorHAnsi" w:hAnsiTheme="minorHAnsi" w:cstheme="minorHAnsi"/>
          <w:sz w:val="22"/>
          <w:szCs w:val="22"/>
        </w:rPr>
        <w:t xml:space="preserve">of the Plans </w:t>
      </w:r>
      <w:r w:rsidRPr="007C4D65">
        <w:rPr>
          <w:rFonts w:asciiTheme="minorHAnsi" w:hAnsiTheme="minorHAnsi" w:cstheme="minorHAnsi"/>
          <w:sz w:val="22"/>
          <w:szCs w:val="22"/>
        </w:rPr>
        <w:t xml:space="preserve">requires significant engagement of institutional capacities and funds. Planned funds for implementation of the First Cycle Management Plans (2016-2021) were only partially available. Over the past ten years, regular financing from the budget of the Government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has been missing, and amounts from EU pre-accession funds were very limited, although they make the most important source of financing for this purpose. Funds collected from fees in water sector are far from being sufficient for implementation of the management plans. Human capacities and their number in water sector, </w:t>
      </w:r>
      <w:r w:rsidRPr="007C4D65">
        <w:rPr>
          <w:rFonts w:asciiTheme="minorHAnsi" w:hAnsiTheme="minorHAnsi" w:cstheme="minorHAnsi"/>
          <w:sz w:val="22"/>
          <w:szCs w:val="22"/>
        </w:rPr>
        <w:lastRenderedPageBreak/>
        <w:t>particularly at lower administrative levels, fall short of the level that is needed for effective implementation of river basin management plans.</w:t>
      </w:r>
    </w:p>
    <w:p w14:paraId="479FCC7F" w14:textId="7A93094A" w:rsidR="008F71EF" w:rsidRPr="007C4D65" w:rsidRDefault="008F71EF" w:rsidP="008F71EF">
      <w:pPr>
        <w:spacing w:after="240" w:line="276" w:lineRule="auto"/>
        <w:jc w:val="both"/>
        <w:rPr>
          <w:rFonts w:asciiTheme="minorHAnsi" w:hAnsiTheme="minorHAnsi" w:cstheme="minorHAnsi"/>
          <w:color w:val="619428"/>
          <w:sz w:val="22"/>
          <w:szCs w:val="22"/>
        </w:rPr>
      </w:pPr>
      <w:r w:rsidRPr="007C4D65">
        <w:rPr>
          <w:rFonts w:asciiTheme="minorHAnsi" w:hAnsiTheme="minorHAnsi" w:cstheme="minorHAnsi"/>
          <w:sz w:val="22"/>
          <w:szCs w:val="22"/>
        </w:rPr>
        <w:t xml:space="preserve">Reports on implementation of river basin management plans are made every two years, and so far, for the first cycle of Plans, reports were made for periods 2016-2017 and 2018-2019. Analysis of implementation of management plans for the period 2016-2021 (I cycle), which was one when updating the Plans after four years of implementation, showed that the degree of implementation of the planned measures is not at a satisfactory level, as shown in </w:t>
      </w:r>
      <w:r w:rsidRPr="007C4D65">
        <w:rPr>
          <w:rFonts w:asciiTheme="minorHAnsi" w:hAnsiTheme="minorHAnsi" w:cstheme="minorHAnsi"/>
          <w:b/>
          <w:bCs/>
          <w:i/>
          <w:iCs/>
          <w:sz w:val="22"/>
          <w:szCs w:val="22"/>
        </w:rPr>
        <w:t xml:space="preserve">Table </w:t>
      </w:r>
      <w:r w:rsidR="00B6017F" w:rsidRPr="007C4D65">
        <w:rPr>
          <w:rFonts w:asciiTheme="minorHAnsi" w:hAnsiTheme="minorHAnsi" w:cstheme="minorHAnsi"/>
          <w:b/>
          <w:bCs/>
          <w:i/>
          <w:iCs/>
          <w:sz w:val="22"/>
          <w:szCs w:val="22"/>
        </w:rPr>
        <w:t>7</w:t>
      </w:r>
      <w:r w:rsidRPr="007C4D65">
        <w:rPr>
          <w:rFonts w:asciiTheme="minorHAnsi" w:hAnsiTheme="minorHAnsi" w:cstheme="minorHAnsi"/>
          <w:b/>
          <w:bCs/>
          <w:i/>
          <w:iCs/>
          <w:sz w:val="22"/>
          <w:szCs w:val="22"/>
        </w:rPr>
        <w:t>.</w:t>
      </w:r>
      <w:r w:rsidRPr="007C4D65">
        <w:rPr>
          <w:rFonts w:asciiTheme="minorHAnsi" w:hAnsiTheme="minorHAnsi" w:cstheme="minorHAnsi"/>
          <w:sz w:val="22"/>
          <w:szCs w:val="22"/>
        </w:rPr>
        <w:t xml:space="preserve"> </w:t>
      </w:r>
      <w:r w:rsidRPr="007C4D65">
        <w:rPr>
          <w:rFonts w:asciiTheme="minorHAnsi" w:hAnsiTheme="minorHAnsi" w:cstheme="minorHAnsi"/>
          <w:b/>
          <w:bCs/>
          <w:color w:val="619428"/>
          <w:sz w:val="22"/>
          <w:szCs w:val="22"/>
        </w:rPr>
        <w:t xml:space="preserve"> </w:t>
      </w:r>
    </w:p>
    <w:p w14:paraId="5875077E" w14:textId="5BAEC0C1" w:rsidR="008F71EF" w:rsidRPr="007C4D65" w:rsidRDefault="008F71EF" w:rsidP="008F71EF">
      <w:pPr>
        <w:pStyle w:val="Caption"/>
        <w:spacing w:line="276" w:lineRule="auto"/>
        <w:rPr>
          <w:rFonts w:asciiTheme="minorHAnsi" w:hAnsiTheme="minorHAnsi" w:cstheme="minorHAnsi"/>
          <w:b w:val="0"/>
          <w:i w:val="0"/>
          <w:iCs w:val="0"/>
          <w:szCs w:val="20"/>
        </w:rPr>
      </w:pPr>
      <w:bookmarkStart w:id="73" w:name="_Toc109842436"/>
      <w:bookmarkStart w:id="74" w:name="_Toc117011586"/>
      <w:r w:rsidRPr="007C4D65">
        <w:rPr>
          <w:rFonts w:asciiTheme="minorHAnsi" w:hAnsiTheme="minorHAnsi" w:cstheme="minorHAnsi"/>
        </w:rPr>
        <w:t xml:space="preserve">Table </w:t>
      </w:r>
      <w:r w:rsidR="005D60DA" w:rsidRPr="007C4D65">
        <w:rPr>
          <w:rFonts w:asciiTheme="minorHAnsi" w:hAnsiTheme="minorHAnsi" w:cstheme="minorHAnsi"/>
        </w:rPr>
        <w:fldChar w:fldCharType="begin"/>
      </w:r>
      <w:r w:rsidR="005D60DA" w:rsidRPr="007C4D65">
        <w:rPr>
          <w:rFonts w:asciiTheme="minorHAnsi" w:hAnsiTheme="minorHAnsi" w:cstheme="minorHAnsi"/>
        </w:rPr>
        <w:instrText xml:space="preserve"> SEQ Tabela \* ARABIC </w:instrText>
      </w:r>
      <w:r w:rsidR="005D60DA" w:rsidRPr="007C4D65">
        <w:rPr>
          <w:rFonts w:asciiTheme="minorHAnsi" w:hAnsiTheme="minorHAnsi" w:cstheme="minorHAnsi"/>
        </w:rPr>
        <w:fldChar w:fldCharType="separate"/>
      </w:r>
      <w:r w:rsidR="005D60DA" w:rsidRPr="007C4D65">
        <w:rPr>
          <w:rFonts w:asciiTheme="minorHAnsi" w:hAnsiTheme="minorHAnsi" w:cstheme="minorHAnsi"/>
          <w:noProof/>
        </w:rPr>
        <w:t>7</w:t>
      </w:r>
      <w:r w:rsidR="005D60DA" w:rsidRPr="007C4D65">
        <w:rPr>
          <w:rFonts w:asciiTheme="minorHAnsi" w:hAnsiTheme="minorHAnsi" w:cstheme="minorHAnsi"/>
        </w:rPr>
        <w:fldChar w:fldCharType="end"/>
      </w:r>
      <w:r w:rsidRPr="007C4D65">
        <w:rPr>
          <w:rFonts w:asciiTheme="minorHAnsi" w:hAnsiTheme="minorHAnsi" w:cstheme="minorHAnsi"/>
          <w:szCs w:val="20"/>
        </w:rPr>
        <w:t xml:space="preserve">: </w:t>
      </w:r>
      <w:r w:rsidRPr="007C4D65">
        <w:rPr>
          <w:rFonts w:asciiTheme="minorHAnsi" w:hAnsiTheme="minorHAnsi" w:cstheme="minorHAnsi"/>
          <w:b w:val="0"/>
          <w:szCs w:val="20"/>
        </w:rPr>
        <w:t>Implementation of management plans (I cycle)</w:t>
      </w:r>
      <w:bookmarkStart w:id="75" w:name="_Hlk93740365"/>
      <w:bookmarkEnd w:id="73"/>
      <w:bookmarkEnd w:id="74"/>
    </w:p>
    <w:bookmarkEnd w:id="75"/>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2836"/>
        <w:gridCol w:w="3350"/>
      </w:tblGrid>
      <w:tr w:rsidR="008F71EF" w:rsidRPr="007C4D65" w14:paraId="601215A9" w14:textId="77777777" w:rsidTr="00B6017F">
        <w:trPr>
          <w:trHeight w:val="380"/>
          <w:tblHeader/>
          <w:jc w:val="center"/>
        </w:trPr>
        <w:tc>
          <w:tcPr>
            <w:tcW w:w="1569" w:type="pct"/>
            <w:shd w:val="clear" w:color="auto" w:fill="009D73"/>
            <w:vAlign w:val="center"/>
          </w:tcPr>
          <w:p w14:paraId="1CAD4112" w14:textId="77777777" w:rsidR="008F71EF" w:rsidRPr="007C4D65" w:rsidRDefault="008F71EF" w:rsidP="00B6017F">
            <w:pPr>
              <w:spacing w:after="120" w:line="276" w:lineRule="auto"/>
              <w:rPr>
                <w:rFonts w:asciiTheme="minorHAnsi" w:hAnsiTheme="minorHAnsi" w:cstheme="minorHAnsi"/>
                <w:color w:val="FFFFFF" w:themeColor="background1"/>
                <w:sz w:val="20"/>
                <w:szCs w:val="20"/>
              </w:rPr>
            </w:pPr>
          </w:p>
        </w:tc>
        <w:tc>
          <w:tcPr>
            <w:tcW w:w="1573" w:type="pct"/>
            <w:shd w:val="clear" w:color="auto" w:fill="009D73"/>
            <w:vAlign w:val="center"/>
          </w:tcPr>
          <w:p w14:paraId="3DA61047" w14:textId="77777777" w:rsidR="008F71EF" w:rsidRPr="007C4D65" w:rsidRDefault="008F71EF" w:rsidP="00B6017F">
            <w:pPr>
              <w:spacing w:line="276" w:lineRule="auto"/>
              <w:rPr>
                <w:rFonts w:asciiTheme="minorHAnsi" w:hAnsiTheme="minorHAnsi" w:cstheme="minorHAnsi"/>
                <w:color w:val="FFFFFF" w:themeColor="background1"/>
                <w:sz w:val="20"/>
                <w:szCs w:val="20"/>
              </w:rPr>
            </w:pPr>
            <w:r w:rsidRPr="007C4D65">
              <w:rPr>
                <w:rFonts w:asciiTheme="minorHAnsi" w:hAnsiTheme="minorHAnsi" w:cstheme="minorHAnsi"/>
                <w:color w:val="FFFFFF" w:themeColor="background1"/>
                <w:sz w:val="20"/>
                <w:szCs w:val="20"/>
              </w:rPr>
              <w:t xml:space="preserve">Sava river basin </w:t>
            </w:r>
          </w:p>
        </w:tc>
        <w:tc>
          <w:tcPr>
            <w:tcW w:w="1858" w:type="pct"/>
            <w:shd w:val="clear" w:color="auto" w:fill="009D73"/>
            <w:vAlign w:val="center"/>
          </w:tcPr>
          <w:p w14:paraId="26CB4B3C" w14:textId="77777777" w:rsidR="008F71EF" w:rsidRPr="007C4D65" w:rsidRDefault="008F71EF" w:rsidP="00B6017F">
            <w:pPr>
              <w:spacing w:line="276" w:lineRule="auto"/>
              <w:rPr>
                <w:rFonts w:asciiTheme="minorHAnsi" w:hAnsiTheme="minorHAnsi" w:cstheme="minorHAnsi"/>
                <w:color w:val="FFFFFF" w:themeColor="background1"/>
                <w:sz w:val="20"/>
                <w:szCs w:val="20"/>
              </w:rPr>
            </w:pPr>
            <w:proofErr w:type="gramStart"/>
            <w:r w:rsidRPr="007C4D65">
              <w:rPr>
                <w:rFonts w:asciiTheme="minorHAnsi" w:hAnsiTheme="minorHAnsi" w:cstheme="minorHAnsi"/>
                <w:color w:val="FFFFFF" w:themeColor="background1"/>
                <w:sz w:val="20"/>
                <w:szCs w:val="20"/>
              </w:rPr>
              <w:t>Adriatic Sea river</w:t>
            </w:r>
            <w:proofErr w:type="gramEnd"/>
            <w:r w:rsidRPr="007C4D65">
              <w:rPr>
                <w:rFonts w:asciiTheme="minorHAnsi" w:hAnsiTheme="minorHAnsi" w:cstheme="minorHAnsi"/>
                <w:color w:val="FFFFFF" w:themeColor="background1"/>
                <w:sz w:val="20"/>
                <w:szCs w:val="20"/>
              </w:rPr>
              <w:t xml:space="preserve"> basin </w:t>
            </w:r>
          </w:p>
        </w:tc>
      </w:tr>
      <w:tr w:rsidR="008F71EF" w:rsidRPr="007C4D65" w14:paraId="6DE96EF9" w14:textId="77777777" w:rsidTr="00B6017F">
        <w:trPr>
          <w:trHeight w:val="688"/>
          <w:jc w:val="center"/>
        </w:trPr>
        <w:tc>
          <w:tcPr>
            <w:tcW w:w="1569" w:type="pct"/>
            <w:vAlign w:val="center"/>
          </w:tcPr>
          <w:p w14:paraId="30D5DE92" w14:textId="77777777" w:rsidR="008F71EF" w:rsidRPr="007C4D65" w:rsidRDefault="008F71EF" w:rsidP="00B6017F">
            <w:pPr>
              <w:spacing w:line="276" w:lineRule="auto"/>
              <w:rPr>
                <w:rFonts w:asciiTheme="minorHAnsi" w:hAnsiTheme="minorHAnsi" w:cstheme="minorHAnsi"/>
                <w:sz w:val="20"/>
                <w:szCs w:val="20"/>
              </w:rPr>
            </w:pPr>
            <w:r w:rsidRPr="007C4D65">
              <w:rPr>
                <w:rFonts w:asciiTheme="minorHAnsi" w:hAnsiTheme="minorHAnsi" w:cstheme="minorHAnsi"/>
                <w:sz w:val="20"/>
                <w:szCs w:val="20"/>
              </w:rPr>
              <w:t xml:space="preserve">Total number of planned measures </w:t>
            </w:r>
          </w:p>
        </w:tc>
        <w:tc>
          <w:tcPr>
            <w:tcW w:w="1573" w:type="pct"/>
            <w:vAlign w:val="center"/>
          </w:tcPr>
          <w:p w14:paraId="17C84947" w14:textId="77777777" w:rsidR="008F71EF" w:rsidRPr="007C4D65" w:rsidRDefault="008F71EF" w:rsidP="00B6017F">
            <w:pPr>
              <w:spacing w:line="276" w:lineRule="auto"/>
              <w:rPr>
                <w:rFonts w:asciiTheme="minorHAnsi" w:hAnsiTheme="minorHAnsi" w:cstheme="minorHAnsi"/>
                <w:sz w:val="20"/>
                <w:szCs w:val="20"/>
              </w:rPr>
            </w:pPr>
            <w:r w:rsidRPr="007C4D65">
              <w:rPr>
                <w:rFonts w:asciiTheme="minorHAnsi" w:hAnsiTheme="minorHAnsi" w:cstheme="minorHAnsi"/>
                <w:sz w:val="20"/>
                <w:szCs w:val="20"/>
              </w:rPr>
              <w:t>76</w:t>
            </w:r>
          </w:p>
        </w:tc>
        <w:tc>
          <w:tcPr>
            <w:tcW w:w="1858" w:type="pct"/>
            <w:vAlign w:val="center"/>
          </w:tcPr>
          <w:p w14:paraId="79AFF225" w14:textId="77777777" w:rsidR="008F71EF" w:rsidRPr="007C4D65" w:rsidRDefault="008F71EF" w:rsidP="00B6017F">
            <w:pPr>
              <w:spacing w:line="276" w:lineRule="auto"/>
              <w:rPr>
                <w:rFonts w:asciiTheme="minorHAnsi" w:hAnsiTheme="minorHAnsi" w:cstheme="minorHAnsi"/>
                <w:sz w:val="20"/>
                <w:szCs w:val="20"/>
              </w:rPr>
            </w:pPr>
            <w:r w:rsidRPr="007C4D65">
              <w:rPr>
                <w:rFonts w:asciiTheme="minorHAnsi" w:hAnsiTheme="minorHAnsi" w:cstheme="minorHAnsi"/>
                <w:sz w:val="20"/>
                <w:szCs w:val="20"/>
              </w:rPr>
              <w:t>61</w:t>
            </w:r>
          </w:p>
        </w:tc>
      </w:tr>
      <w:tr w:rsidR="008F71EF" w:rsidRPr="007C4D65" w14:paraId="7056E7DC" w14:textId="77777777" w:rsidTr="00B6017F">
        <w:trPr>
          <w:trHeight w:val="391"/>
          <w:jc w:val="center"/>
        </w:trPr>
        <w:tc>
          <w:tcPr>
            <w:tcW w:w="1569" w:type="pct"/>
            <w:vAlign w:val="center"/>
          </w:tcPr>
          <w:p w14:paraId="2F533846" w14:textId="77777777" w:rsidR="008F71EF" w:rsidRPr="007C4D65" w:rsidRDefault="008F71EF" w:rsidP="00B6017F">
            <w:pPr>
              <w:spacing w:line="276" w:lineRule="auto"/>
              <w:rPr>
                <w:rFonts w:asciiTheme="minorHAnsi" w:hAnsiTheme="minorHAnsi" w:cstheme="minorHAnsi"/>
                <w:sz w:val="20"/>
                <w:szCs w:val="20"/>
              </w:rPr>
            </w:pPr>
            <w:r w:rsidRPr="007C4D65">
              <w:rPr>
                <w:rFonts w:asciiTheme="minorHAnsi" w:hAnsiTheme="minorHAnsi" w:cstheme="minorHAnsi"/>
                <w:sz w:val="20"/>
                <w:szCs w:val="20"/>
              </w:rPr>
              <w:t xml:space="preserve">Implemented (number of </w:t>
            </w:r>
            <w:proofErr w:type="gramStart"/>
            <w:r w:rsidRPr="007C4D65">
              <w:rPr>
                <w:rFonts w:asciiTheme="minorHAnsi" w:hAnsiTheme="minorHAnsi" w:cstheme="minorHAnsi"/>
                <w:sz w:val="20"/>
                <w:szCs w:val="20"/>
              </w:rPr>
              <w:t>measures / share</w:t>
            </w:r>
            <w:proofErr w:type="gramEnd"/>
            <w:r w:rsidRPr="007C4D65">
              <w:rPr>
                <w:rFonts w:asciiTheme="minorHAnsi" w:hAnsiTheme="minorHAnsi" w:cstheme="minorHAnsi"/>
                <w:sz w:val="20"/>
                <w:szCs w:val="20"/>
              </w:rPr>
              <w:t xml:space="preserve"> of total number of measures)</w:t>
            </w:r>
          </w:p>
        </w:tc>
        <w:tc>
          <w:tcPr>
            <w:tcW w:w="1573" w:type="pct"/>
            <w:vAlign w:val="center"/>
          </w:tcPr>
          <w:p w14:paraId="26A2ABF9" w14:textId="77777777" w:rsidR="008F71EF" w:rsidRPr="007C4D65" w:rsidRDefault="008F71EF" w:rsidP="00B6017F">
            <w:pPr>
              <w:spacing w:line="276" w:lineRule="auto"/>
              <w:rPr>
                <w:rFonts w:asciiTheme="minorHAnsi" w:hAnsiTheme="minorHAnsi" w:cstheme="minorHAnsi"/>
                <w:sz w:val="20"/>
                <w:szCs w:val="20"/>
              </w:rPr>
            </w:pPr>
            <w:r w:rsidRPr="007C4D65">
              <w:rPr>
                <w:rFonts w:asciiTheme="minorHAnsi" w:hAnsiTheme="minorHAnsi" w:cstheme="minorHAnsi"/>
                <w:sz w:val="20"/>
                <w:szCs w:val="20"/>
              </w:rPr>
              <w:t>18 (24%)</w:t>
            </w:r>
          </w:p>
        </w:tc>
        <w:tc>
          <w:tcPr>
            <w:tcW w:w="1858" w:type="pct"/>
            <w:vAlign w:val="center"/>
          </w:tcPr>
          <w:p w14:paraId="49AC416E" w14:textId="77777777" w:rsidR="008F71EF" w:rsidRPr="007C4D65" w:rsidRDefault="008F71EF" w:rsidP="00B6017F">
            <w:pPr>
              <w:spacing w:line="276" w:lineRule="auto"/>
              <w:rPr>
                <w:rFonts w:asciiTheme="minorHAnsi" w:hAnsiTheme="minorHAnsi" w:cstheme="minorHAnsi"/>
                <w:sz w:val="20"/>
                <w:szCs w:val="20"/>
              </w:rPr>
            </w:pPr>
            <w:r w:rsidRPr="007C4D65">
              <w:rPr>
                <w:rFonts w:asciiTheme="minorHAnsi" w:hAnsiTheme="minorHAnsi" w:cstheme="minorHAnsi"/>
                <w:sz w:val="20"/>
                <w:szCs w:val="20"/>
              </w:rPr>
              <w:t>15 (25%)</w:t>
            </w:r>
          </w:p>
        </w:tc>
      </w:tr>
      <w:tr w:rsidR="008F71EF" w:rsidRPr="007C4D65" w14:paraId="03662F57" w14:textId="77777777" w:rsidTr="00B6017F">
        <w:trPr>
          <w:trHeight w:val="391"/>
          <w:jc w:val="center"/>
        </w:trPr>
        <w:tc>
          <w:tcPr>
            <w:tcW w:w="1569" w:type="pct"/>
            <w:vAlign w:val="center"/>
          </w:tcPr>
          <w:p w14:paraId="5109C706" w14:textId="77777777" w:rsidR="008F71EF" w:rsidRPr="007C4D65" w:rsidRDefault="008F71EF" w:rsidP="00B6017F">
            <w:pPr>
              <w:spacing w:line="276" w:lineRule="auto"/>
              <w:rPr>
                <w:rFonts w:asciiTheme="minorHAnsi" w:hAnsiTheme="minorHAnsi" w:cstheme="minorHAnsi"/>
                <w:sz w:val="20"/>
                <w:szCs w:val="20"/>
              </w:rPr>
            </w:pPr>
            <w:r w:rsidRPr="007C4D65">
              <w:rPr>
                <w:rFonts w:asciiTheme="minorHAnsi" w:hAnsiTheme="minorHAnsi" w:cstheme="minorHAnsi"/>
                <w:sz w:val="20"/>
                <w:szCs w:val="20"/>
              </w:rPr>
              <w:t xml:space="preserve">Partially implemented / under implementation </w:t>
            </w:r>
          </w:p>
        </w:tc>
        <w:tc>
          <w:tcPr>
            <w:tcW w:w="1573" w:type="pct"/>
            <w:vAlign w:val="center"/>
          </w:tcPr>
          <w:p w14:paraId="7F2524CA" w14:textId="77777777" w:rsidR="008F71EF" w:rsidRPr="007C4D65" w:rsidRDefault="008F71EF" w:rsidP="00B6017F">
            <w:pPr>
              <w:spacing w:line="276" w:lineRule="auto"/>
              <w:rPr>
                <w:rFonts w:asciiTheme="minorHAnsi" w:hAnsiTheme="minorHAnsi" w:cstheme="minorHAnsi"/>
                <w:sz w:val="20"/>
                <w:szCs w:val="20"/>
              </w:rPr>
            </w:pPr>
            <w:r w:rsidRPr="007C4D65">
              <w:rPr>
                <w:rFonts w:asciiTheme="minorHAnsi" w:hAnsiTheme="minorHAnsi" w:cstheme="minorHAnsi"/>
                <w:sz w:val="20"/>
                <w:szCs w:val="20"/>
              </w:rPr>
              <w:t>21 (27%)</w:t>
            </w:r>
          </w:p>
        </w:tc>
        <w:tc>
          <w:tcPr>
            <w:tcW w:w="1858" w:type="pct"/>
            <w:vAlign w:val="center"/>
          </w:tcPr>
          <w:p w14:paraId="4F016400" w14:textId="77777777" w:rsidR="008F71EF" w:rsidRPr="007C4D65" w:rsidRDefault="008F71EF" w:rsidP="00B6017F">
            <w:pPr>
              <w:spacing w:line="276" w:lineRule="auto"/>
              <w:rPr>
                <w:rFonts w:asciiTheme="minorHAnsi" w:hAnsiTheme="minorHAnsi" w:cstheme="minorHAnsi"/>
                <w:sz w:val="20"/>
                <w:szCs w:val="20"/>
              </w:rPr>
            </w:pPr>
            <w:r w:rsidRPr="007C4D65">
              <w:rPr>
                <w:rFonts w:asciiTheme="minorHAnsi" w:hAnsiTheme="minorHAnsi" w:cstheme="minorHAnsi"/>
                <w:sz w:val="20"/>
                <w:szCs w:val="20"/>
              </w:rPr>
              <w:t>32 (52%)</w:t>
            </w:r>
          </w:p>
        </w:tc>
      </w:tr>
      <w:tr w:rsidR="008F71EF" w:rsidRPr="007C4D65" w14:paraId="562226AF" w14:textId="77777777" w:rsidTr="00B6017F">
        <w:trPr>
          <w:trHeight w:val="391"/>
          <w:jc w:val="center"/>
        </w:trPr>
        <w:tc>
          <w:tcPr>
            <w:tcW w:w="1569" w:type="pct"/>
            <w:vAlign w:val="center"/>
          </w:tcPr>
          <w:p w14:paraId="0232E032" w14:textId="77777777" w:rsidR="008F71EF" w:rsidRPr="007C4D65" w:rsidRDefault="008F71EF" w:rsidP="00B6017F">
            <w:pPr>
              <w:spacing w:line="276" w:lineRule="auto"/>
              <w:rPr>
                <w:rFonts w:asciiTheme="minorHAnsi" w:hAnsiTheme="minorHAnsi" w:cstheme="minorHAnsi"/>
                <w:sz w:val="20"/>
                <w:szCs w:val="20"/>
              </w:rPr>
            </w:pPr>
            <w:r w:rsidRPr="007C4D65">
              <w:rPr>
                <w:rFonts w:asciiTheme="minorHAnsi" w:hAnsiTheme="minorHAnsi" w:cstheme="minorHAnsi"/>
                <w:sz w:val="20"/>
                <w:szCs w:val="20"/>
              </w:rPr>
              <w:t>Not implemented</w:t>
            </w:r>
          </w:p>
        </w:tc>
        <w:tc>
          <w:tcPr>
            <w:tcW w:w="1573" w:type="pct"/>
            <w:vAlign w:val="center"/>
          </w:tcPr>
          <w:p w14:paraId="74CF8B7E" w14:textId="77777777" w:rsidR="008F71EF" w:rsidRPr="007C4D65" w:rsidRDefault="008F71EF" w:rsidP="00B6017F">
            <w:pPr>
              <w:spacing w:line="276" w:lineRule="auto"/>
              <w:rPr>
                <w:rFonts w:asciiTheme="minorHAnsi" w:hAnsiTheme="minorHAnsi" w:cstheme="minorHAnsi"/>
                <w:sz w:val="20"/>
                <w:szCs w:val="20"/>
              </w:rPr>
            </w:pPr>
            <w:r w:rsidRPr="007C4D65">
              <w:rPr>
                <w:rFonts w:asciiTheme="minorHAnsi" w:hAnsiTheme="minorHAnsi" w:cstheme="minorHAnsi"/>
                <w:sz w:val="20"/>
                <w:szCs w:val="20"/>
              </w:rPr>
              <w:t>37 (49%)</w:t>
            </w:r>
          </w:p>
        </w:tc>
        <w:tc>
          <w:tcPr>
            <w:tcW w:w="1858" w:type="pct"/>
            <w:vAlign w:val="center"/>
          </w:tcPr>
          <w:p w14:paraId="59275CDB" w14:textId="77777777" w:rsidR="008F71EF" w:rsidRPr="007C4D65" w:rsidRDefault="008F71EF" w:rsidP="00B6017F">
            <w:pPr>
              <w:spacing w:line="276" w:lineRule="auto"/>
              <w:rPr>
                <w:rFonts w:asciiTheme="minorHAnsi" w:hAnsiTheme="minorHAnsi" w:cstheme="minorHAnsi"/>
                <w:sz w:val="20"/>
                <w:szCs w:val="20"/>
              </w:rPr>
            </w:pPr>
            <w:r w:rsidRPr="007C4D65">
              <w:rPr>
                <w:rFonts w:asciiTheme="minorHAnsi" w:hAnsiTheme="minorHAnsi" w:cstheme="minorHAnsi"/>
                <w:sz w:val="20"/>
                <w:szCs w:val="20"/>
              </w:rPr>
              <w:t>14 (23%)</w:t>
            </w:r>
          </w:p>
        </w:tc>
      </w:tr>
    </w:tbl>
    <w:p w14:paraId="7732DB57" w14:textId="77777777" w:rsidR="008F71EF" w:rsidRPr="007C4D65" w:rsidRDefault="008F71EF" w:rsidP="008F71EF">
      <w:pPr>
        <w:spacing w:line="276" w:lineRule="auto"/>
        <w:rPr>
          <w:rFonts w:asciiTheme="minorHAnsi" w:hAnsiTheme="minorHAnsi" w:cstheme="minorHAnsi"/>
          <w:i/>
          <w:sz w:val="20"/>
          <w:szCs w:val="20"/>
        </w:rPr>
      </w:pPr>
      <w:r w:rsidRPr="007C4D65">
        <w:rPr>
          <w:rFonts w:asciiTheme="minorHAnsi" w:hAnsiTheme="minorHAnsi" w:cstheme="minorHAnsi"/>
          <w:i/>
          <w:sz w:val="20"/>
          <w:szCs w:val="20"/>
        </w:rPr>
        <w:t xml:space="preserve">Source: </w:t>
      </w:r>
      <w:r w:rsidRPr="007C4D65">
        <w:rPr>
          <w:rFonts w:asciiTheme="minorHAnsi" w:hAnsiTheme="minorHAnsi" w:cstheme="minorHAnsi"/>
          <w:i/>
          <w:sz w:val="20"/>
          <w:szCs w:val="20"/>
        </w:rPr>
        <w:fldChar w:fldCharType="begin"/>
      </w:r>
      <w:r w:rsidRPr="007C4D65">
        <w:rPr>
          <w:rFonts w:asciiTheme="minorHAnsi" w:hAnsiTheme="minorHAnsi" w:cstheme="minorHAnsi"/>
          <w:i/>
          <w:sz w:val="20"/>
          <w:szCs w:val="20"/>
        </w:rPr>
        <w:instrText xml:space="preserve"> ADDIN ZOTERO_ITEM CSL_CITATION {"citationID":"1eKaSbNv","properties":{"formattedCitation":"(Agencija za vodno podru\\uc0\\u269{}je rijeke Save 2021)","plainCitation":"(Agencija za vodno područje rijeke Save 2021)","noteIndex":0},"citationItems":[{"id":1318,"uris":["http://zotero.org/users/7192877/items/R3BGBRH9"],"itemData":{"id":1318,"type":"document","title":"Nacrt Plana upravljanja vodama za vodno područje rijeke Save u Federaciji BiH 2022-2027","URL":"https://www.voda.ba/plan-upravljanja-2022-2027","author":[{"family":"Agencija za vodno područje rijeke Save","given":""}],"issued":{"date-parts":[["2021"]]}}}],"schema":"https://github.com/citation-style-language/schema/raw/master/csl-citation.json"} </w:instrText>
      </w:r>
      <w:r w:rsidRPr="007C4D65">
        <w:rPr>
          <w:rFonts w:asciiTheme="minorHAnsi" w:hAnsiTheme="minorHAnsi" w:cstheme="minorHAnsi"/>
          <w:i/>
          <w:sz w:val="20"/>
          <w:szCs w:val="20"/>
        </w:rPr>
        <w:fldChar w:fldCharType="separate"/>
      </w:r>
      <w:r w:rsidRPr="007C4D65">
        <w:rPr>
          <w:rFonts w:asciiTheme="minorHAnsi" w:hAnsiTheme="minorHAnsi" w:cstheme="minorHAnsi"/>
          <w:i/>
          <w:sz w:val="20"/>
        </w:rPr>
        <w:t>(Sava River Basin Agency, 2021)</w:t>
      </w:r>
      <w:r w:rsidRPr="007C4D65">
        <w:rPr>
          <w:rFonts w:asciiTheme="minorHAnsi" w:hAnsiTheme="minorHAnsi" w:cstheme="minorHAnsi"/>
          <w:i/>
          <w:sz w:val="20"/>
          <w:szCs w:val="20"/>
        </w:rPr>
        <w:fldChar w:fldCharType="end"/>
      </w:r>
      <w:r w:rsidRPr="007C4D65">
        <w:rPr>
          <w:rFonts w:asciiTheme="minorHAnsi" w:hAnsiTheme="minorHAnsi" w:cstheme="minorHAnsi"/>
          <w:i/>
          <w:sz w:val="20"/>
          <w:szCs w:val="20"/>
        </w:rPr>
        <w:t xml:space="preserve">; </w:t>
      </w:r>
      <w:r w:rsidRPr="007C4D65">
        <w:rPr>
          <w:rFonts w:asciiTheme="minorHAnsi" w:hAnsiTheme="minorHAnsi" w:cstheme="minorHAnsi"/>
          <w:i/>
          <w:sz w:val="20"/>
          <w:szCs w:val="20"/>
        </w:rPr>
        <w:fldChar w:fldCharType="begin"/>
      </w:r>
      <w:r w:rsidRPr="007C4D65">
        <w:rPr>
          <w:rFonts w:asciiTheme="minorHAnsi" w:hAnsiTheme="minorHAnsi" w:cstheme="minorHAnsi"/>
          <w:i/>
          <w:sz w:val="20"/>
          <w:szCs w:val="20"/>
        </w:rPr>
        <w:instrText xml:space="preserve"> ADDIN ZOTERO_ITEM CSL_CITATION {"citationID":"7Yi622uJ","properties":{"formattedCitation":"(Agencija za vodno podru\\uc0\\u269{}je Jadranskog mora 2021)","plainCitation":"(Agencija za vodno područje Jadranskog mora 2021)","noteIndex":0},"citationItems":[{"id":1319,"uris":["http://zotero.org/users/7192877/items/CZ8Q4JJE"],"itemData":{"id":1319,"type":"document","title":"Plan upravljanja vodama za vodno područje Jadranskog mora u Federaciji BiH (2022. - 2027.)","URL":"https://avpjm.jadran.ba/uploads/Plan%20upravljanja%20vodama%20VPJM%20%202022-2027_FINALNI%20NACRT.pdf","author":[{"family":"Agencija za vodno područje Jadranskog mora","given":""}],"issued":{"date-parts":[["2021"]]}}}],"schema":"https://github.com/citation-style-language/schema/raw/master/csl-citation.json"} </w:instrText>
      </w:r>
      <w:r w:rsidRPr="007C4D65">
        <w:rPr>
          <w:rFonts w:asciiTheme="minorHAnsi" w:hAnsiTheme="minorHAnsi" w:cstheme="minorHAnsi"/>
          <w:i/>
          <w:sz w:val="20"/>
          <w:szCs w:val="20"/>
        </w:rPr>
        <w:fldChar w:fldCharType="separate"/>
      </w:r>
      <w:r w:rsidRPr="007C4D65">
        <w:rPr>
          <w:rFonts w:asciiTheme="minorHAnsi" w:hAnsiTheme="minorHAnsi" w:cstheme="minorHAnsi"/>
          <w:i/>
          <w:sz w:val="20"/>
        </w:rPr>
        <w:t>(Adriatic Sea Watershed Agency, 2021)</w:t>
      </w:r>
      <w:r w:rsidRPr="007C4D65">
        <w:rPr>
          <w:rFonts w:asciiTheme="minorHAnsi" w:hAnsiTheme="minorHAnsi" w:cstheme="minorHAnsi"/>
          <w:i/>
          <w:sz w:val="20"/>
          <w:szCs w:val="20"/>
        </w:rPr>
        <w:fldChar w:fldCharType="end"/>
      </w:r>
    </w:p>
    <w:p w14:paraId="75159BA7" w14:textId="1982B36B" w:rsidR="008F71EF" w:rsidRPr="007C4D65" w:rsidRDefault="008F71EF" w:rsidP="008F71EF">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Analysis and evaluation of degree of implementation of </w:t>
      </w:r>
      <w:r w:rsidR="008420A9" w:rsidRPr="007C4D65">
        <w:rPr>
          <w:rFonts w:asciiTheme="minorHAnsi" w:hAnsiTheme="minorHAnsi" w:cstheme="minorHAnsi"/>
          <w:sz w:val="22"/>
          <w:szCs w:val="22"/>
        </w:rPr>
        <w:t xml:space="preserve">the </w:t>
      </w:r>
      <w:r w:rsidRPr="007C4D65">
        <w:rPr>
          <w:rFonts w:asciiTheme="minorHAnsi" w:hAnsiTheme="minorHAnsi" w:cstheme="minorHAnsi"/>
          <w:sz w:val="22"/>
          <w:szCs w:val="22"/>
        </w:rPr>
        <w:t xml:space="preserve">Plans and reporting to the Government and Parliament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has been made difficult because the obligation to deliver data and information on the level of implementation of the Plans by all institutions implementing measures specified in the Plan is not regulated by law. Although point IV of the Decision on Adoption of Management Plan provides that the bodies and institutions listed in the Programme of Measures are charged with annual submission, at request of the river basin agencies, of the data at their disposal that are related to monitoring the implementation of the Programme of Measures, some institutions are not providing data or information. Because of this lack of data, incomplete or inadequate data, reports submitted to the Government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and to the Parliament are not at satisfactory level.</w:t>
      </w:r>
    </w:p>
    <w:p w14:paraId="59014A08" w14:textId="58FFFA3A" w:rsidR="008F71EF" w:rsidRPr="007C4D65" w:rsidRDefault="008F71EF" w:rsidP="008F71EF">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Environmental objectives have been identified in I cycle of River Basin Management Plans, in accordance with WFD. These objectives have remained unchanged for the II cycle of the Plans; however, update of the Plans from I cycle have brought about new understandings that resulted with innovation of </w:t>
      </w:r>
      <w:r w:rsidR="008420A9" w:rsidRPr="007C4D65">
        <w:rPr>
          <w:rFonts w:asciiTheme="minorHAnsi" w:hAnsiTheme="minorHAnsi" w:cstheme="minorHAnsi"/>
          <w:sz w:val="22"/>
          <w:szCs w:val="22"/>
        </w:rPr>
        <w:t xml:space="preserve">the time plan </w:t>
      </w:r>
      <w:r w:rsidRPr="007C4D65">
        <w:rPr>
          <w:rFonts w:asciiTheme="minorHAnsi" w:hAnsiTheme="minorHAnsi" w:cstheme="minorHAnsi"/>
          <w:sz w:val="22"/>
          <w:szCs w:val="22"/>
        </w:rPr>
        <w:t>for achieving the established environmental objectives for surface and ground waters. Comparison between the timeline for achieving the environmental objectives for surface waters from Management Plans 2016-2021 with results of monitoring from the period 2011-2019, and analysis of pressures identified for the II cycle (2022-2027) showed that the objectives for surface waters had been set too ambitiously and that the dynamics of achieving the environmental objectives was not as planned.</w:t>
      </w:r>
    </w:p>
    <w:p w14:paraId="2181F232" w14:textId="3E2D5916"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Surface water monitoring had been continuously improved during the implementation of the first cycle of the Plans and the number of surface water bodies covered by monitoring went up. So far, surface water monitoring was done on 50-65% of identified water bodies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w:t>
      </w:r>
      <w:r w:rsidRPr="007C4D65">
        <w:rPr>
          <w:rFonts w:asciiTheme="minorHAnsi" w:hAnsiTheme="minorHAnsi" w:cstheme="minorHAnsi"/>
          <w:sz w:val="22"/>
          <w:szCs w:val="22"/>
        </w:rPr>
        <w:lastRenderedPageBreak/>
        <w:t xml:space="preserve">although the first </w:t>
      </w:r>
      <w:r w:rsidR="00AB2D6B" w:rsidRPr="007C4D65">
        <w:rPr>
          <w:rFonts w:asciiTheme="minorHAnsi" w:hAnsiTheme="minorHAnsi" w:cstheme="minorHAnsi"/>
          <w:sz w:val="22"/>
          <w:szCs w:val="22"/>
        </w:rPr>
        <w:t xml:space="preserve">planning </w:t>
      </w:r>
      <w:r w:rsidRPr="007C4D65">
        <w:rPr>
          <w:rFonts w:asciiTheme="minorHAnsi" w:hAnsiTheme="minorHAnsi" w:cstheme="minorHAnsi"/>
          <w:sz w:val="22"/>
          <w:szCs w:val="22"/>
        </w:rPr>
        <w:t>cycle had included the measure of conducting monitoring of ecological and chemical status of all surface water bodies of this area at least once in the first cycle.</w:t>
      </w:r>
    </w:p>
    <w:p w14:paraId="1135211D"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River basin agencies possess in their WIS the data on key/critical polluters of water; however, registry of polluters has not been updated and revised, and this is another significant difficulty when assessing the actual status of surface water bodies.</w:t>
      </w:r>
    </w:p>
    <w:p w14:paraId="3E440ACF" w14:textId="77777777" w:rsidR="008F71EF" w:rsidRPr="007C4D65" w:rsidRDefault="008F71EF" w:rsidP="008F71EF">
      <w:pPr>
        <w:spacing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situation with ground water monitoring is even more complex because in the </w:t>
      </w:r>
      <w:proofErr w:type="gramStart"/>
      <w:r w:rsidRPr="007C4D65">
        <w:rPr>
          <w:rFonts w:asciiTheme="minorHAnsi" w:hAnsiTheme="minorHAnsi" w:cstheme="minorHAnsi"/>
          <w:sz w:val="22"/>
          <w:szCs w:val="22"/>
        </w:rPr>
        <w:t>Sava river</w:t>
      </w:r>
      <w:proofErr w:type="gramEnd"/>
      <w:r w:rsidRPr="007C4D65">
        <w:rPr>
          <w:rFonts w:asciiTheme="minorHAnsi" w:hAnsiTheme="minorHAnsi" w:cstheme="minorHAnsi"/>
          <w:sz w:val="22"/>
          <w:szCs w:val="22"/>
        </w:rPr>
        <w:t xml:space="preserve"> basin there is not enough stations, while the existing stations started doing quality monitoring only in 2020. In the Adriatic Sea river basin the quantity monitoring has not been established on all water sources that are used for water supply to population </w:t>
      </w:r>
      <w:r w:rsidRPr="007C4D65">
        <w:rPr>
          <w:rFonts w:asciiTheme="minorHAnsi" w:hAnsiTheme="minorHAnsi" w:cstheme="minorHAnsi"/>
          <w:iCs/>
          <w:sz w:val="22"/>
          <w:szCs w:val="22"/>
        </w:rPr>
        <w:fldChar w:fldCharType="begin"/>
      </w:r>
      <w:r w:rsidRPr="007C4D65">
        <w:rPr>
          <w:rFonts w:asciiTheme="minorHAnsi" w:hAnsiTheme="minorHAnsi" w:cstheme="minorHAnsi"/>
          <w:iCs/>
          <w:sz w:val="22"/>
          <w:szCs w:val="22"/>
        </w:rPr>
        <w:instrText xml:space="preserve"> ADDIN ZOTERO_ITEM CSL_CITATION {"citationID":"dF7rWqpk","properties":{"formattedCitation":"(Agencija za vodno podru\\uc0\\u269{}je rijeke Save 2021)","plainCitation":"(Agencija za vodno područje rijeke Save 2021)","noteIndex":0},"citationItems":[{"id":1318,"uris":["http://zotero.org/users/7192877/items/R3BGBRH9"],"itemData":{"id":1318,"type":"document","title":"Nacrt Plana upravljanja vodama za vodno područje rijeke Save u Federaciji BiH 2022-2027","URL":"https://www.voda.ba/plan-upravljanja-2022-2027","author":[{"family":"Agencija za vodno područje rijeke Save","given":""}],"issued":{"date-parts":[["2021"]]}}}],"schema":"https://github.com/citation-style-language/schema/raw/master/csl-citation.json"} </w:instrText>
      </w:r>
      <w:r w:rsidRPr="007C4D65">
        <w:rPr>
          <w:rFonts w:asciiTheme="minorHAnsi" w:hAnsiTheme="minorHAnsi" w:cstheme="minorHAnsi"/>
          <w:iCs/>
          <w:sz w:val="22"/>
          <w:szCs w:val="22"/>
        </w:rPr>
        <w:fldChar w:fldCharType="separate"/>
      </w:r>
      <w:r w:rsidRPr="007C4D65">
        <w:rPr>
          <w:rFonts w:asciiTheme="minorHAnsi" w:hAnsiTheme="minorHAnsi" w:cstheme="minorHAnsi"/>
          <w:iCs/>
          <w:sz w:val="22"/>
        </w:rPr>
        <w:t>(Sava River Basin Agency, 2021)</w:t>
      </w:r>
      <w:r w:rsidRPr="007C4D65">
        <w:rPr>
          <w:rFonts w:asciiTheme="minorHAnsi" w:hAnsiTheme="minorHAnsi" w:cstheme="minorHAnsi"/>
          <w:iCs/>
          <w:sz w:val="22"/>
          <w:szCs w:val="22"/>
        </w:rPr>
        <w:fldChar w:fldCharType="end"/>
      </w:r>
      <w:r w:rsidRPr="007C4D65">
        <w:rPr>
          <w:rFonts w:asciiTheme="minorHAnsi" w:hAnsiTheme="minorHAnsi" w:cstheme="minorHAnsi"/>
          <w:iCs/>
          <w:sz w:val="22"/>
          <w:szCs w:val="22"/>
        </w:rPr>
        <w:t xml:space="preserve">; </w:t>
      </w:r>
      <w:r w:rsidRPr="007C4D65">
        <w:rPr>
          <w:rFonts w:asciiTheme="minorHAnsi" w:hAnsiTheme="minorHAnsi" w:cstheme="minorHAnsi"/>
          <w:iCs/>
          <w:sz w:val="22"/>
          <w:szCs w:val="22"/>
        </w:rPr>
        <w:fldChar w:fldCharType="begin"/>
      </w:r>
      <w:r w:rsidRPr="007C4D65">
        <w:rPr>
          <w:rFonts w:asciiTheme="minorHAnsi" w:hAnsiTheme="minorHAnsi" w:cstheme="minorHAnsi"/>
          <w:iCs/>
          <w:sz w:val="22"/>
          <w:szCs w:val="22"/>
        </w:rPr>
        <w:instrText xml:space="preserve"> ADDIN ZOTERO_ITEM CSL_CITATION {"citationID":"AH5848SN","properties":{"formattedCitation":"(Agencija za vodno podru\\uc0\\u269{}je Jadranskog mora 2021)","plainCitation":"(Agencija za vodno područje Jadranskog mora 2021)","noteIndex":0},"citationItems":[{"id":1319,"uris":["http://zotero.org/users/7192877/items/CZ8Q4JJE"],"itemData":{"id":1319,"type":"document","title":"Plan upravljanja vodama za vodno područje Jadranskog mora u Federaciji BiH (2022. - 2027.)","URL":"https://avpjm.jadran.ba/uploads/Plan%20upravljanja%20vodama%20VPJM%20%202022-2027_FINALNI%20NACRT.pdf","author":[{"family":"Agencija za vodno područje Jadranskog mora","given":""}],"issued":{"date-parts":[["2021"]]}}}],"schema":"https://github.com/citation-style-language/schema/raw/master/csl-citation.json"} </w:instrText>
      </w:r>
      <w:r w:rsidRPr="007C4D65">
        <w:rPr>
          <w:rFonts w:asciiTheme="minorHAnsi" w:hAnsiTheme="minorHAnsi" w:cstheme="minorHAnsi"/>
          <w:iCs/>
          <w:sz w:val="22"/>
          <w:szCs w:val="22"/>
        </w:rPr>
        <w:fldChar w:fldCharType="separate"/>
      </w:r>
      <w:r w:rsidRPr="007C4D65">
        <w:rPr>
          <w:rFonts w:asciiTheme="minorHAnsi" w:hAnsiTheme="minorHAnsi" w:cstheme="minorHAnsi"/>
          <w:sz w:val="22"/>
        </w:rPr>
        <w:t>(Adriatic Sea Watershed Agency, 2021)</w:t>
      </w:r>
      <w:r w:rsidRPr="007C4D65">
        <w:rPr>
          <w:rFonts w:asciiTheme="minorHAnsi" w:hAnsiTheme="minorHAnsi" w:cstheme="minorHAnsi"/>
          <w:iCs/>
          <w:sz w:val="22"/>
          <w:szCs w:val="22"/>
        </w:rPr>
        <w:fldChar w:fldCharType="end"/>
      </w:r>
      <w:r w:rsidRPr="007C4D65">
        <w:rPr>
          <w:rFonts w:asciiTheme="minorHAnsi" w:hAnsiTheme="minorHAnsi" w:cstheme="minorHAnsi"/>
          <w:iCs/>
          <w:sz w:val="22"/>
          <w:szCs w:val="22"/>
        </w:rPr>
        <w:t>.</w:t>
      </w:r>
      <w:r w:rsidRPr="007C4D65">
        <w:rPr>
          <w:rFonts w:asciiTheme="minorHAnsi" w:hAnsiTheme="minorHAnsi" w:cstheme="minorHAnsi"/>
          <w:sz w:val="22"/>
          <w:szCs w:val="22"/>
        </w:rPr>
        <w:t xml:space="preserve">   </w:t>
      </w:r>
    </w:p>
    <w:p w14:paraId="535F86A8" w14:textId="26BC566A" w:rsidR="008F71EF" w:rsidRPr="007C4D65" w:rsidRDefault="008F71EF" w:rsidP="008F71EF">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 xml:space="preserve">Implementation of protection measures and declaration of protected areas in accordance with the Law on Waters </w:t>
      </w:r>
      <w:r w:rsidR="007436F1" w:rsidRPr="007C4D65">
        <w:rPr>
          <w:rFonts w:asciiTheme="minorHAnsi" w:hAnsiTheme="minorHAnsi" w:cstheme="minorHAnsi"/>
          <w:i/>
          <w:sz w:val="22"/>
          <w:szCs w:val="22"/>
          <w:u w:val="single"/>
        </w:rPr>
        <w:t>of the Federation of BiH</w:t>
      </w:r>
      <w:r w:rsidRPr="007C4D65">
        <w:rPr>
          <w:rFonts w:asciiTheme="minorHAnsi" w:hAnsiTheme="minorHAnsi" w:cstheme="minorHAnsi"/>
          <w:i/>
          <w:sz w:val="22"/>
          <w:szCs w:val="22"/>
          <w:u w:val="single"/>
        </w:rPr>
        <w:t xml:space="preserve"> </w:t>
      </w:r>
    </w:p>
    <w:p w14:paraId="12BDC49C" w14:textId="1C79051C" w:rsidR="008F71EF" w:rsidRPr="007C4D65" w:rsidRDefault="008F71EF" w:rsidP="008F71EF">
      <w:pPr>
        <w:spacing w:line="276" w:lineRule="auto"/>
        <w:jc w:val="both"/>
        <w:rPr>
          <w:rFonts w:asciiTheme="minorHAnsi" w:hAnsiTheme="minorHAnsi" w:cstheme="minorHAnsi"/>
          <w:sz w:val="22"/>
          <w:szCs w:val="22"/>
        </w:rPr>
      </w:pPr>
      <w:r w:rsidRPr="007C4D65">
        <w:rPr>
          <w:rFonts w:asciiTheme="minorHAnsi" w:hAnsiTheme="minorHAnsi" w:cstheme="minorHAnsi"/>
          <w:sz w:val="22"/>
          <w:szCs w:val="22"/>
        </w:rPr>
        <w:t>According to the applicable Rulebook (</w:t>
      </w:r>
      <w:r w:rsidR="002077AB" w:rsidRPr="007C4D65">
        <w:rPr>
          <w:rFonts w:asciiTheme="minorHAnsi" w:hAnsiTheme="minorHAnsi" w:cstheme="minorHAnsi"/>
          <w:sz w:val="22"/>
          <w:szCs w:val="22"/>
        </w:rPr>
        <w:t>“</w:t>
      </w:r>
      <w:r w:rsidR="007436F1" w:rsidRPr="007C4D65">
        <w:rPr>
          <w:rFonts w:asciiTheme="minorHAnsi" w:hAnsiTheme="minorHAnsi" w:cstheme="minorHAnsi"/>
          <w:sz w:val="22"/>
          <w:szCs w:val="22"/>
        </w:rPr>
        <w:t xml:space="preserve">Official Gazette of the Federation of </w:t>
      </w:r>
      <w:proofErr w:type="gramStart"/>
      <w:r w:rsidR="007436F1" w:rsidRPr="007C4D65">
        <w:rPr>
          <w:rFonts w:asciiTheme="minorHAnsi" w:hAnsiTheme="minorHAnsi" w:cstheme="minorHAnsi"/>
          <w:sz w:val="22"/>
          <w:szCs w:val="22"/>
        </w:rPr>
        <w:t>BiH“</w:t>
      </w:r>
      <w:proofErr w:type="gramEnd"/>
      <w:r w:rsidR="007F4BA8" w:rsidRPr="007C4D65">
        <w:rPr>
          <w:rFonts w:asciiTheme="minorHAnsi" w:hAnsiTheme="minorHAnsi" w:cstheme="minorHAnsi"/>
          <w:sz w:val="22"/>
          <w:szCs w:val="22"/>
        </w:rPr>
        <w:t>,</w:t>
      </w:r>
      <w:r w:rsidRPr="007C4D65">
        <w:rPr>
          <w:rFonts w:asciiTheme="minorHAnsi" w:hAnsiTheme="minorHAnsi" w:cstheme="minorHAnsi"/>
          <w:sz w:val="22"/>
          <w:szCs w:val="22"/>
        </w:rPr>
        <w:t xml:space="preserve"> 88/12), Decisions declaring the zones of sanitary protection of sources of potable water, on the basis of which the administrative measures aimed at protection of the source area are defined, are made in accordance with Article 68 of the </w:t>
      </w:r>
      <w:proofErr w:type="spellStart"/>
      <w:r w:rsidRPr="007C4D65">
        <w:rPr>
          <w:rFonts w:asciiTheme="minorHAnsi" w:hAnsiTheme="minorHAnsi" w:cstheme="minorHAnsi"/>
          <w:sz w:val="22"/>
          <w:szCs w:val="22"/>
        </w:rPr>
        <w:t>LoW</w:t>
      </w:r>
      <w:proofErr w:type="spellEnd"/>
      <w:r w:rsidRPr="007C4D65">
        <w:rPr>
          <w:rFonts w:asciiTheme="minorHAnsi" w:hAnsiTheme="minorHAnsi" w:cstheme="minorHAnsi"/>
          <w:sz w:val="22"/>
          <w:szCs w:val="22"/>
        </w:rPr>
        <w:t xml:space="preserve">, and on the basis of the developed and adopted Studies, and include sources and method of financing implementation of the measures. For significant number of sources of potable water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the Studies of Water Protection Zones have not been done, or were don in accordance with the earlier rulebooks, and not harmonized with the current Rulebook.</w:t>
      </w:r>
    </w:p>
    <w:p w14:paraId="152C4587" w14:textId="77777777" w:rsidR="008F71EF" w:rsidRPr="007C4D65" w:rsidRDefault="008F71EF" w:rsidP="008F71EF">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According to the data from the proposed Water Management Plan (II cycle), there are a little over 200 sources in the </w:t>
      </w:r>
      <w:proofErr w:type="gramStart"/>
      <w:r w:rsidRPr="007C4D65">
        <w:rPr>
          <w:rFonts w:asciiTheme="minorHAnsi" w:hAnsiTheme="minorHAnsi" w:cstheme="minorHAnsi"/>
          <w:sz w:val="22"/>
          <w:szCs w:val="22"/>
        </w:rPr>
        <w:t>Sava river</w:t>
      </w:r>
      <w:proofErr w:type="gramEnd"/>
      <w:r w:rsidRPr="007C4D65">
        <w:rPr>
          <w:rFonts w:asciiTheme="minorHAnsi" w:hAnsiTheme="minorHAnsi" w:cstheme="minorHAnsi"/>
          <w:sz w:val="22"/>
          <w:szCs w:val="22"/>
        </w:rPr>
        <w:t xml:space="preserve"> basin, and for around 17% the studies have not been done. In addition, most of the studies have not been done in accordance with the current bylaw, so there is a need to innovate the protection zones according to that bylaw. For over 90% of sources the Decisions have not been made, and for around 14% of sources there are no data available at all.</w:t>
      </w:r>
    </w:p>
    <w:p w14:paraId="5E741000" w14:textId="63E54E7B"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According to the data available in </w:t>
      </w:r>
      <w:r w:rsidR="002077AB" w:rsidRPr="007C4D65">
        <w:rPr>
          <w:rFonts w:asciiTheme="minorHAnsi" w:hAnsiTheme="minorHAnsi" w:cstheme="minorHAnsi"/>
          <w:sz w:val="22"/>
          <w:szCs w:val="22"/>
        </w:rPr>
        <w:t xml:space="preserve">the </w:t>
      </w:r>
      <w:r w:rsidRPr="007C4D65">
        <w:rPr>
          <w:rFonts w:asciiTheme="minorHAnsi" w:hAnsiTheme="minorHAnsi" w:cstheme="minorHAnsi"/>
          <w:sz w:val="22"/>
          <w:szCs w:val="22"/>
        </w:rPr>
        <w:t xml:space="preserve">Adriatic Sea RB for 2019 and presented in the proposed AS RBMP 2022-2027, there are over 70 source areas in the </w:t>
      </w:r>
      <w:proofErr w:type="gramStart"/>
      <w:r w:rsidRPr="007C4D65">
        <w:rPr>
          <w:rFonts w:asciiTheme="minorHAnsi" w:hAnsiTheme="minorHAnsi" w:cstheme="minorHAnsi"/>
          <w:sz w:val="22"/>
          <w:szCs w:val="22"/>
        </w:rPr>
        <w:t>Adriatic Sea river</w:t>
      </w:r>
      <w:proofErr w:type="gramEnd"/>
      <w:r w:rsidRPr="007C4D65">
        <w:rPr>
          <w:rFonts w:asciiTheme="minorHAnsi" w:hAnsiTheme="minorHAnsi" w:cstheme="minorHAnsi"/>
          <w:sz w:val="22"/>
          <w:szCs w:val="22"/>
        </w:rPr>
        <w:t xml:space="preserve"> basin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including the rural ones, that are used for public water supply, and around 10 local sources and water supply systems (municipality Konjic). For around 48% no studies have been done, while most of the studies that have been done are not in accordance with the current Rulebook. For around 28% of the source areas data on the studies and Decisions are not available.</w:t>
      </w:r>
    </w:p>
    <w:p w14:paraId="2596C68A"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Implementation of source area protection measures in the zones of sanitary protection of source area is often not aligned with the Decisions and/or applicable Rulebook due to inadequate inspection oversight.</w:t>
      </w:r>
    </w:p>
    <w:p w14:paraId="244B5D3F" w14:textId="77777777" w:rsidR="008F71EF" w:rsidRPr="007C4D65" w:rsidRDefault="008F71EF" w:rsidP="008F71EF">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Problems related to implementation controlled and organized public water supply exist with local rural and group water supply systems for which there is no legally identified legal person who manages them (terminology for this kind of “loosely” organized water supply is uneven and includes all water supply systems that are not under competence of public utility companies). Unofficial estimates suggest that 25% of all population are supplied with drinking water from such water supply system, and they are subject to the obligation of establishing zones of sanitary protection of source area </w:t>
      </w:r>
      <w:r w:rsidRPr="007C4D65">
        <w:rPr>
          <w:rFonts w:asciiTheme="minorHAnsi" w:hAnsiTheme="minorHAnsi" w:cstheme="minorHAnsi"/>
          <w:sz w:val="22"/>
          <w:szCs w:val="22"/>
        </w:rPr>
        <w:lastRenderedPageBreak/>
        <w:t xml:space="preserve">(adoption of appropriate decision on zones of sanitary protection) and supervision of compliance with conditions and limitations in use of land prescribed in the Decision (every use of water that goes beyond the definition of “general use of water” – Art. 46 of </w:t>
      </w:r>
      <w:proofErr w:type="spellStart"/>
      <w:r w:rsidRPr="007C4D65">
        <w:rPr>
          <w:rFonts w:asciiTheme="minorHAnsi" w:hAnsiTheme="minorHAnsi" w:cstheme="minorHAnsi"/>
          <w:sz w:val="22"/>
          <w:szCs w:val="22"/>
        </w:rPr>
        <w:t>LoW</w:t>
      </w:r>
      <w:proofErr w:type="spellEnd"/>
      <w:r w:rsidRPr="007C4D65">
        <w:rPr>
          <w:rFonts w:asciiTheme="minorHAnsi" w:hAnsiTheme="minorHAnsi" w:cstheme="minorHAnsi"/>
          <w:sz w:val="22"/>
          <w:szCs w:val="22"/>
        </w:rPr>
        <w:t>, is subject to the obligation of obtaining a water intake permit). Most cantonal laws have legally defined the matter of capturing water from such sources. At the same time, if these obligations are not met, there is no way to deny the right to water.</w:t>
      </w:r>
    </w:p>
    <w:p w14:paraId="7A450DCE" w14:textId="7CE6D6BB" w:rsidR="008F71EF" w:rsidRPr="007C4D65" w:rsidRDefault="008F71EF" w:rsidP="008F71EF">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According to the data from the proposed </w:t>
      </w:r>
      <w:proofErr w:type="gramStart"/>
      <w:r w:rsidRPr="007C4D65">
        <w:rPr>
          <w:rFonts w:asciiTheme="minorHAnsi" w:hAnsiTheme="minorHAnsi" w:cstheme="minorHAnsi"/>
          <w:sz w:val="22"/>
          <w:szCs w:val="22"/>
        </w:rPr>
        <w:t>Adriatic Sea river</w:t>
      </w:r>
      <w:proofErr w:type="gramEnd"/>
      <w:r w:rsidRPr="007C4D65">
        <w:rPr>
          <w:rFonts w:asciiTheme="minorHAnsi" w:hAnsiTheme="minorHAnsi" w:cstheme="minorHAnsi"/>
          <w:sz w:val="22"/>
          <w:szCs w:val="22"/>
        </w:rPr>
        <w:t xml:space="preserve"> basin management plan (II cycle),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in </w:t>
      </w:r>
      <w:proofErr w:type="spellStart"/>
      <w:r w:rsidRPr="007C4D65">
        <w:rPr>
          <w:rFonts w:asciiTheme="minorHAnsi" w:hAnsiTheme="minorHAnsi" w:cstheme="minorHAnsi"/>
          <w:sz w:val="22"/>
          <w:szCs w:val="22"/>
        </w:rPr>
        <w:t>Livanjsko</w:t>
      </w:r>
      <w:proofErr w:type="spellEnd"/>
      <w:r w:rsidRPr="007C4D65">
        <w:rPr>
          <w:rFonts w:asciiTheme="minorHAnsi" w:hAnsiTheme="minorHAnsi" w:cstheme="minorHAnsi"/>
          <w:sz w:val="22"/>
          <w:szCs w:val="22"/>
        </w:rPr>
        <w:t xml:space="preserve"> </w:t>
      </w:r>
      <w:r w:rsidR="001A2A48" w:rsidRPr="007C4D65">
        <w:rPr>
          <w:rFonts w:asciiTheme="minorHAnsi" w:hAnsiTheme="minorHAnsi" w:cstheme="minorHAnsi"/>
          <w:sz w:val="22"/>
          <w:szCs w:val="22"/>
        </w:rPr>
        <w:t>P</w:t>
      </w:r>
      <w:r w:rsidRPr="007C4D65">
        <w:rPr>
          <w:rFonts w:asciiTheme="minorHAnsi" w:hAnsiTheme="minorHAnsi" w:cstheme="minorHAnsi"/>
          <w:sz w:val="22"/>
          <w:szCs w:val="22"/>
        </w:rPr>
        <w:t>olje (</w:t>
      </w:r>
      <w:proofErr w:type="spellStart"/>
      <w:r w:rsidRPr="007C4D65">
        <w:rPr>
          <w:rFonts w:asciiTheme="minorHAnsi" w:hAnsiTheme="minorHAnsi" w:cstheme="minorHAnsi"/>
          <w:sz w:val="22"/>
          <w:szCs w:val="22"/>
        </w:rPr>
        <w:t>Cetina</w:t>
      </w:r>
      <w:proofErr w:type="spellEnd"/>
      <w:r w:rsidRPr="007C4D65">
        <w:rPr>
          <w:rFonts w:asciiTheme="minorHAnsi" w:hAnsiTheme="minorHAnsi" w:cstheme="minorHAnsi"/>
          <w:sz w:val="22"/>
          <w:szCs w:val="22"/>
        </w:rPr>
        <w:t xml:space="preserve"> river basin), there are catchment areas of several sources that are used for water supply in Republic of Croatia, as follows: </w:t>
      </w:r>
      <w:proofErr w:type="spellStart"/>
      <w:r w:rsidRPr="007C4D65">
        <w:rPr>
          <w:rFonts w:asciiTheme="minorHAnsi" w:hAnsiTheme="minorHAnsi" w:cstheme="minorHAnsi"/>
          <w:sz w:val="22"/>
          <w:szCs w:val="22"/>
        </w:rPr>
        <w:t>Vukovi</w:t>
      </w:r>
      <w:r w:rsidR="00457FD7" w:rsidRPr="007C4D65">
        <w:rPr>
          <w:rFonts w:asciiTheme="minorHAnsi" w:hAnsiTheme="minorHAnsi" w:cstheme="minorHAnsi"/>
          <w:sz w:val="22"/>
          <w:szCs w:val="22"/>
        </w:rPr>
        <w:t>c</w:t>
      </w:r>
      <w:r w:rsidRPr="007C4D65">
        <w:rPr>
          <w:rFonts w:asciiTheme="minorHAnsi" w:hAnsiTheme="minorHAnsi" w:cstheme="minorHAnsi"/>
          <w:sz w:val="22"/>
          <w:szCs w:val="22"/>
        </w:rPr>
        <w:t>a</w:t>
      </w:r>
      <w:proofErr w:type="spellEnd"/>
      <w:r w:rsidRPr="007C4D65">
        <w:rPr>
          <w:rFonts w:asciiTheme="minorHAnsi" w:hAnsiTheme="minorHAnsi" w:cstheme="minorHAnsi"/>
          <w:sz w:val="22"/>
          <w:szCs w:val="22"/>
        </w:rPr>
        <w:t xml:space="preserve"> </w:t>
      </w:r>
      <w:proofErr w:type="spellStart"/>
      <w:r w:rsidR="001A2A48" w:rsidRPr="007C4D65">
        <w:rPr>
          <w:rFonts w:asciiTheme="minorHAnsi" w:hAnsiTheme="minorHAnsi" w:cstheme="minorHAnsi"/>
          <w:sz w:val="22"/>
          <w:szCs w:val="22"/>
        </w:rPr>
        <w:t>V</w:t>
      </w:r>
      <w:r w:rsidRPr="007C4D65">
        <w:rPr>
          <w:rFonts w:asciiTheme="minorHAnsi" w:hAnsiTheme="minorHAnsi" w:cstheme="minorHAnsi"/>
          <w:sz w:val="22"/>
          <w:szCs w:val="22"/>
        </w:rPr>
        <w:t>rela</w:t>
      </w:r>
      <w:proofErr w:type="spellEnd"/>
      <w:r w:rsidRPr="007C4D65">
        <w:rPr>
          <w:rFonts w:asciiTheme="minorHAnsi" w:hAnsiTheme="minorHAnsi" w:cstheme="minorHAnsi"/>
          <w:sz w:val="22"/>
          <w:szCs w:val="22"/>
        </w:rPr>
        <w:t xml:space="preserve">, then sources </w:t>
      </w:r>
      <w:proofErr w:type="spellStart"/>
      <w:r w:rsidRPr="007C4D65">
        <w:rPr>
          <w:rFonts w:asciiTheme="minorHAnsi" w:hAnsiTheme="minorHAnsi" w:cstheme="minorHAnsi"/>
          <w:sz w:val="22"/>
          <w:szCs w:val="22"/>
        </w:rPr>
        <w:t>Prud</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Ombla</w:t>
      </w:r>
      <w:proofErr w:type="spellEnd"/>
      <w:r w:rsidRPr="007C4D65">
        <w:rPr>
          <w:rFonts w:asciiTheme="minorHAnsi" w:hAnsiTheme="minorHAnsi" w:cstheme="minorHAnsi"/>
          <w:sz w:val="22"/>
          <w:szCs w:val="22"/>
        </w:rPr>
        <w:t xml:space="preserve">, </w:t>
      </w:r>
      <w:proofErr w:type="spellStart"/>
      <w:r w:rsidR="00457FD7" w:rsidRPr="007C4D65">
        <w:rPr>
          <w:rFonts w:asciiTheme="minorHAnsi" w:hAnsiTheme="minorHAnsi" w:cstheme="minorHAnsi"/>
          <w:sz w:val="22"/>
          <w:szCs w:val="22"/>
        </w:rPr>
        <w:t>S</w:t>
      </w:r>
      <w:r w:rsidRPr="007C4D65">
        <w:rPr>
          <w:rFonts w:asciiTheme="minorHAnsi" w:hAnsiTheme="minorHAnsi" w:cstheme="minorHAnsi"/>
          <w:sz w:val="22"/>
          <w:szCs w:val="22"/>
        </w:rPr>
        <w:t>ilovka</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Kosinac</w:t>
      </w:r>
      <w:proofErr w:type="spellEnd"/>
      <w:r w:rsidRPr="007C4D65">
        <w:rPr>
          <w:rFonts w:asciiTheme="minorHAnsi" w:hAnsiTheme="minorHAnsi" w:cstheme="minorHAnsi"/>
          <w:sz w:val="22"/>
          <w:szCs w:val="22"/>
        </w:rPr>
        <w:t xml:space="preserve"> and Mala </w:t>
      </w:r>
      <w:proofErr w:type="spellStart"/>
      <w:r w:rsidRPr="007C4D65">
        <w:rPr>
          <w:rFonts w:asciiTheme="minorHAnsi" w:hAnsiTheme="minorHAnsi" w:cstheme="minorHAnsi"/>
          <w:sz w:val="22"/>
          <w:szCs w:val="22"/>
        </w:rPr>
        <w:t>Ruda</w:t>
      </w:r>
      <w:proofErr w:type="spellEnd"/>
      <w:r w:rsidRPr="007C4D65">
        <w:rPr>
          <w:rFonts w:asciiTheme="minorHAnsi" w:hAnsiTheme="minorHAnsi" w:cstheme="minorHAnsi"/>
          <w:sz w:val="22"/>
          <w:szCs w:val="22"/>
        </w:rPr>
        <w:t xml:space="preserve">, and sources </w:t>
      </w:r>
      <w:proofErr w:type="spellStart"/>
      <w:r w:rsidRPr="007C4D65">
        <w:rPr>
          <w:rFonts w:asciiTheme="minorHAnsi" w:hAnsiTheme="minorHAnsi" w:cstheme="minorHAnsi"/>
          <w:sz w:val="22"/>
          <w:szCs w:val="22"/>
        </w:rPr>
        <w:t>Opa</w:t>
      </w:r>
      <w:r w:rsidR="00457FD7" w:rsidRPr="007C4D65">
        <w:rPr>
          <w:rFonts w:asciiTheme="minorHAnsi" w:hAnsiTheme="minorHAnsi" w:cstheme="minorHAnsi"/>
          <w:sz w:val="22"/>
          <w:szCs w:val="22"/>
        </w:rPr>
        <w:t>c</w:t>
      </w:r>
      <w:r w:rsidRPr="007C4D65">
        <w:rPr>
          <w:rFonts w:asciiTheme="minorHAnsi" w:hAnsiTheme="minorHAnsi" w:cstheme="minorHAnsi"/>
          <w:sz w:val="22"/>
          <w:szCs w:val="22"/>
        </w:rPr>
        <w:t>ac</w:t>
      </w:r>
      <w:proofErr w:type="spellEnd"/>
      <w:r w:rsidRPr="007C4D65">
        <w:rPr>
          <w:rFonts w:asciiTheme="minorHAnsi" w:hAnsiTheme="minorHAnsi" w:cstheme="minorHAnsi"/>
          <w:sz w:val="22"/>
          <w:szCs w:val="22"/>
        </w:rPr>
        <w:t xml:space="preserve">, as well as other wells located closer to the Adriatic coast. Also, there are cases where catchment areas of several sources used for water supply in Una-Sana Canton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(Una river basin) are located in Republic of Croatia: </w:t>
      </w:r>
      <w:proofErr w:type="spellStart"/>
      <w:r w:rsidRPr="007C4D65">
        <w:rPr>
          <w:rFonts w:asciiTheme="minorHAnsi" w:hAnsiTheme="minorHAnsi" w:cstheme="minorHAnsi"/>
          <w:sz w:val="22"/>
          <w:szCs w:val="22"/>
        </w:rPr>
        <w:t>Klokot</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Ostrovica</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Privilica</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Toplica</w:t>
      </w:r>
      <w:proofErr w:type="spellEnd"/>
      <w:r w:rsidRPr="007C4D65">
        <w:rPr>
          <w:rFonts w:asciiTheme="minorHAnsi" w:hAnsiTheme="minorHAnsi" w:cstheme="minorHAnsi"/>
          <w:sz w:val="22"/>
          <w:szCs w:val="22"/>
        </w:rPr>
        <w:t xml:space="preserve"> – </w:t>
      </w:r>
      <w:proofErr w:type="spellStart"/>
      <w:r w:rsidRPr="007C4D65">
        <w:rPr>
          <w:rFonts w:asciiTheme="minorHAnsi" w:hAnsiTheme="minorHAnsi" w:cstheme="minorHAnsi"/>
          <w:sz w:val="22"/>
          <w:szCs w:val="22"/>
        </w:rPr>
        <w:t>Klisa</w:t>
      </w:r>
      <w:proofErr w:type="spellEnd"/>
      <w:r w:rsidRPr="007C4D65">
        <w:rPr>
          <w:rFonts w:asciiTheme="minorHAnsi" w:hAnsiTheme="minorHAnsi" w:cstheme="minorHAnsi"/>
          <w:sz w:val="22"/>
          <w:szCs w:val="22"/>
        </w:rPr>
        <w:t xml:space="preserve"> and </w:t>
      </w:r>
      <w:proofErr w:type="spellStart"/>
      <w:r w:rsidR="00457FD7" w:rsidRPr="007C4D65">
        <w:rPr>
          <w:rFonts w:asciiTheme="minorHAnsi" w:hAnsiTheme="minorHAnsi" w:cstheme="minorHAnsi"/>
          <w:sz w:val="22"/>
          <w:szCs w:val="22"/>
        </w:rPr>
        <w:t>Z</w:t>
      </w:r>
      <w:r w:rsidRPr="007C4D65">
        <w:rPr>
          <w:rFonts w:asciiTheme="minorHAnsi" w:hAnsiTheme="minorHAnsi" w:cstheme="minorHAnsi"/>
          <w:sz w:val="22"/>
          <w:szCs w:val="22"/>
        </w:rPr>
        <w:t>egar</w:t>
      </w:r>
      <w:proofErr w:type="spellEnd"/>
      <w:r w:rsidRPr="007C4D65">
        <w:rPr>
          <w:rFonts w:asciiTheme="minorHAnsi" w:hAnsiTheme="minorHAnsi" w:cstheme="minorHAnsi"/>
          <w:sz w:val="22"/>
          <w:szCs w:val="22"/>
        </w:rPr>
        <w:t xml:space="preserve">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{"citationID":"6YmH2fbM","properties":{"formattedCitation":"(GEF et al. 2012)","plainCitation":"(GEF et al. 2012)","noteIndex":0},"citationItems":[{"id":1569,"uris":["http://zotero.org/users/7192877/items/56IQQ643"],"itemData":{"id":1569,"type":"document","publisher":"Diktas","title":"Transboundary Diagnostic Analysis","URL":"https://groundwaterportal.net/sites/default/files/20140710%20TDA%20Report%20Final%20with%20PT.pdf","author":[{"family":"GEF","given":""},{"family":"UNDP","given":""},{"family":"UNESCO","given":""}],"issued":{"date-parts":[["2012"]]}}}],"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 xml:space="preserve">(GEF </w:t>
      </w:r>
      <w:r w:rsidRPr="007C4D65">
        <w:rPr>
          <w:rFonts w:asciiTheme="minorHAnsi" w:hAnsiTheme="minorHAnsi" w:cstheme="minorHAnsi"/>
          <w:i/>
          <w:iCs/>
          <w:sz w:val="22"/>
        </w:rPr>
        <w:t>et al</w:t>
      </w:r>
      <w:r w:rsidRPr="007C4D65">
        <w:rPr>
          <w:rFonts w:asciiTheme="minorHAnsi" w:hAnsiTheme="minorHAnsi" w:cstheme="minorHAnsi"/>
          <w:sz w:val="22"/>
        </w:rPr>
        <w:t>., 2012)</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w:t>
      </w:r>
    </w:p>
    <w:p w14:paraId="462F8275" w14:textId="77777777" w:rsidR="008F71EF" w:rsidRPr="007C4D65" w:rsidRDefault="008F71EF" w:rsidP="008F71EF">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The matter of defining their protection zones has not been resolved in the mentioned applicable Rulebook. Definition of water protection zones in cross-border belt is based on the Agreement between the Government of Republic of Croatia and the Government of BiH on regulating water relationships from 1996. On this basis, an international Working Group has been established with the task to come up with proposal of a rulebook on identifying the zones of sanitary protection of the sources in border area between BiH and Croatia. According to available information, the said Rulebook is in its final stages of preparation; however, its implementation cannot start until an international Agreement on Declaring the Protection Zones of Water Sources used for Public Water Supply is signed, as the protection zones extend to the territory of the other country</w:t>
      </w:r>
      <w:r w:rsidRPr="007C4D65">
        <w:rPr>
          <w:rFonts w:asciiTheme="minorHAnsi" w:hAnsiTheme="minorHAnsi" w:cstheme="minorHAnsi"/>
          <w:i/>
          <w:sz w:val="22"/>
          <w:szCs w:val="22"/>
        </w:rPr>
        <w:t xml:space="preserve"> </w:t>
      </w:r>
      <w:r w:rsidRPr="007C4D65">
        <w:rPr>
          <w:rFonts w:asciiTheme="minorHAnsi" w:hAnsiTheme="minorHAnsi" w:cstheme="minorHAnsi"/>
          <w:i/>
          <w:sz w:val="22"/>
          <w:szCs w:val="22"/>
        </w:rPr>
        <w:fldChar w:fldCharType="begin"/>
      </w:r>
      <w:r w:rsidRPr="007C4D65">
        <w:rPr>
          <w:rFonts w:asciiTheme="minorHAnsi" w:hAnsiTheme="minorHAnsi" w:cstheme="minorHAnsi"/>
          <w:i/>
          <w:sz w:val="22"/>
          <w:szCs w:val="22"/>
        </w:rPr>
        <w:instrText xml:space="preserve"> ADDIN ZOTERO_ITEM CSL_CITATION {"citationID":"WGQTSGx0","properties":{"formattedCitation":"(Agencija za vodno podru\\uc0\\u269{}je Jadranskog mora 2021)","plainCitation":"(Agencija za vodno područje Jadranskog mora 2021)","noteIndex":0},"citationItems":[{"id":1319,"uris":["http://zotero.org/users/7192877/items/CZ8Q4JJE"],"itemData":{"id":1319,"type":"document","title":"Plan upravljanja vodama za vodno područje Jadranskog mora u Federaciji BiH (2022. - 2027.)","URL":"https://avpjm.jadran.ba/uploads/Plan%20upravljanja%20vodama%20VPJM%20%202022-2027_FINALNI%20NACRT.pdf","author":[{"family":"Agencija za vodno područje Jadranskog mora","given":""}],"issued":{"date-parts":[["2021"]]}}}],"schema":"https://github.com/citation-style-language/schema/raw/master/csl-citation.json"} </w:instrText>
      </w:r>
      <w:r w:rsidRPr="007C4D65">
        <w:rPr>
          <w:rFonts w:asciiTheme="minorHAnsi" w:hAnsiTheme="minorHAnsi" w:cstheme="minorHAnsi"/>
          <w:i/>
          <w:sz w:val="22"/>
          <w:szCs w:val="22"/>
        </w:rPr>
        <w:fldChar w:fldCharType="separate"/>
      </w:r>
      <w:r w:rsidRPr="007C4D65">
        <w:rPr>
          <w:rFonts w:asciiTheme="minorHAnsi" w:hAnsiTheme="minorHAnsi" w:cstheme="minorHAnsi"/>
          <w:sz w:val="22"/>
        </w:rPr>
        <w:t>(Adriatic Sea Watershed Agency, 2021)</w:t>
      </w:r>
      <w:r w:rsidRPr="007C4D65">
        <w:rPr>
          <w:rFonts w:asciiTheme="minorHAnsi" w:hAnsiTheme="minorHAnsi" w:cstheme="minorHAnsi"/>
          <w:i/>
          <w:sz w:val="22"/>
          <w:szCs w:val="22"/>
        </w:rPr>
        <w:fldChar w:fldCharType="end"/>
      </w:r>
      <w:r w:rsidRPr="007C4D65">
        <w:rPr>
          <w:rFonts w:asciiTheme="minorHAnsi" w:hAnsiTheme="minorHAnsi" w:cstheme="minorHAnsi"/>
          <w:i/>
          <w:sz w:val="22"/>
          <w:szCs w:val="22"/>
        </w:rPr>
        <w:t>.</w:t>
      </w:r>
      <w:r w:rsidRPr="007C4D65">
        <w:rPr>
          <w:rFonts w:asciiTheme="minorHAnsi" w:hAnsiTheme="minorHAnsi" w:cstheme="minorHAnsi"/>
          <w:sz w:val="22"/>
          <w:szCs w:val="22"/>
        </w:rPr>
        <w:t xml:space="preserve">  </w:t>
      </w:r>
    </w:p>
    <w:p w14:paraId="27ACAEA1" w14:textId="06C2A15D" w:rsidR="008F71EF" w:rsidRPr="007C4D65" w:rsidRDefault="008F71EF" w:rsidP="008F71EF">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In addition to protection of the area intended for capturing drinking water, according to the Law on Waters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it is also necessary to identify four more categories of protected areas. So far, the Decision declaring the protected areas susceptible to eutrophication and sensitive to nitrates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has been made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{"citationID":"ckGELc78","properties":{"formattedCitation":"(Sl. glasnik FBiH, br. 84/18 2018)","plainCitation":"(Sl. glasnik FBiH, br. 84/18 2018)","dontUpdate":true,"noteIndex":0},"citationItems":[{"id":1331,"uris":["http://zotero.org/users/7192877/items/P5A2JM9Q"],"itemData":{"id":1331,"type":"legislation","title":"Rješenje o proglašenju zaštićenih područja podložnih eutrofikaciji i osjetljivih na nitrate u Federaciji BiH","URL":"https://www.fmoit.gov.ba/upload/file/okolis/15.RJESENJE%20Eutrifikacija.pdf","author":[{"family":"\"Sl. novine Federacije BiH\", broj 84/18","given":""}],"issued":{"date-parts":[["2018"]]}}}],"schema":"https://github.com/citation-style-language/schema/raw/master/csl-citation.json"}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w:t>
      </w:r>
      <w:r w:rsidR="002077AB" w:rsidRPr="007C4D65">
        <w:rPr>
          <w:rFonts w:asciiTheme="minorHAnsi" w:hAnsiTheme="minorHAnsi" w:cstheme="minorHAnsi"/>
          <w:sz w:val="22"/>
        </w:rPr>
        <w:t>"</w:t>
      </w:r>
      <w:r w:rsidR="007436F1" w:rsidRPr="007C4D65">
        <w:rPr>
          <w:rFonts w:asciiTheme="minorHAnsi" w:hAnsiTheme="minorHAnsi" w:cstheme="minorHAnsi"/>
          <w:sz w:val="22"/>
        </w:rPr>
        <w:t>Official Gazette of the Federation of BiH“</w:t>
      </w:r>
      <w:r w:rsidR="009E7C0F" w:rsidRPr="007C4D65">
        <w:rPr>
          <w:rFonts w:asciiTheme="minorHAnsi" w:hAnsiTheme="minorHAnsi" w:cstheme="minorHAnsi"/>
          <w:sz w:val="22"/>
        </w:rPr>
        <w:t>,</w:t>
      </w:r>
      <w:r w:rsidRPr="007C4D65">
        <w:rPr>
          <w:rFonts w:asciiTheme="minorHAnsi" w:hAnsiTheme="minorHAnsi" w:cstheme="minorHAnsi"/>
          <w:sz w:val="22"/>
        </w:rPr>
        <w:t xml:space="preserve"> 84/18)</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however, the matter of responsibility for taking measures has not been adequately defined by law (adoption, implementation and financing of Action Plans for such areas), so the measures are partially implemented only through the RBMP. The areas have not been identified nor Decisions were made to declare the remaining three categories of protected areas: areas intended for protection of commercially important aquatic species; surface water bodies intended for recreation, including bathing areas; areas intended for protection of plant or animal species, or aquatic species where the maintenance or improvement of water status is an important condition for their survival or reproduction. To date, proposal of the Rulebook on criteria for identifying areas intended for recreation/bathing and proposal Nature 2000 have been made, but they have not been adopted.</w:t>
      </w:r>
    </w:p>
    <w:p w14:paraId="26B40E16" w14:textId="01E9E7B8" w:rsidR="008F71EF" w:rsidRPr="007C4D65" w:rsidRDefault="008F71EF" w:rsidP="008F71EF">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 xml:space="preserve">Cross-sectoral (horizontal) cooperation </w:t>
      </w:r>
      <w:r w:rsidR="00457FD7" w:rsidRPr="007C4D65">
        <w:rPr>
          <w:rFonts w:asciiTheme="minorHAnsi" w:hAnsiTheme="minorHAnsi" w:cstheme="minorHAnsi"/>
          <w:i/>
          <w:sz w:val="22"/>
          <w:szCs w:val="22"/>
          <w:u w:val="single"/>
        </w:rPr>
        <w:t xml:space="preserve">of the </w:t>
      </w:r>
      <w:r w:rsidRPr="007C4D65">
        <w:rPr>
          <w:rFonts w:asciiTheme="minorHAnsi" w:hAnsiTheme="minorHAnsi" w:cstheme="minorHAnsi"/>
          <w:i/>
          <w:sz w:val="22"/>
          <w:szCs w:val="22"/>
          <w:u w:val="single"/>
        </w:rPr>
        <w:t xml:space="preserve">water sector </w:t>
      </w:r>
      <w:r w:rsidR="00457FD7" w:rsidRPr="007C4D65">
        <w:rPr>
          <w:rFonts w:asciiTheme="minorHAnsi" w:hAnsiTheme="minorHAnsi" w:cstheme="minorHAnsi"/>
          <w:i/>
          <w:sz w:val="22"/>
          <w:szCs w:val="22"/>
          <w:u w:val="single"/>
        </w:rPr>
        <w:t>with</w:t>
      </w:r>
      <w:r w:rsidRPr="007C4D65">
        <w:rPr>
          <w:rFonts w:asciiTheme="minorHAnsi" w:hAnsiTheme="minorHAnsi" w:cstheme="minorHAnsi"/>
          <w:i/>
          <w:sz w:val="22"/>
          <w:szCs w:val="22"/>
          <w:u w:val="single"/>
        </w:rPr>
        <w:t xml:space="preserve"> spatial planning and other developmental sectors, and with water inspection and concession bodies</w:t>
      </w:r>
    </w:p>
    <w:p w14:paraId="648D334A" w14:textId="056B2BA1"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Implementation of environmental legislation in terms of developing Strategic Environmental Impact Assessment (SEIA) for plans, programmes and strategies of the sectors that may impact water resources is sporadic and often missing. Law on Waters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{"citationID":"HNqmo8Ex","properties":{"formattedCitation":"(Sl. glasnik FBiH, br. 70/06 2006)","plainCitation":"(Sl. glasnik FBiH, br. 70/06 2006)","dontUpdate":true,"noteIndex":0},"citationItems":[{"id":1315,"uris":["http://zotero.org/users/7192877/items/I5IJAAHQ"],"itemData":{"id":1315,"type":"legislation","title":"Zakon o vodama Federacije BiH","URL":"https://www.fmoit.gov.ba/upload/file/2020/0_Zakon%20o%20vodama%20Sl.%20novine%20br.%20FBiH%2070%2006.pdf","author":[{"family":"\"Sl. novine Federacije BiH\", broj 70/06","given":""}],"issued":{"date-parts":[["2006"]]}}}],"schema":"https://github.com/citation-style-language/schema/raw/master/csl-citation.json"}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w:t>
      </w:r>
      <w:r w:rsidR="002077AB" w:rsidRPr="007C4D65">
        <w:rPr>
          <w:rFonts w:asciiTheme="minorHAnsi" w:hAnsiTheme="minorHAnsi" w:cstheme="minorHAnsi"/>
          <w:sz w:val="22"/>
        </w:rPr>
        <w:t>"</w:t>
      </w:r>
      <w:r w:rsidR="007436F1" w:rsidRPr="007C4D65">
        <w:rPr>
          <w:rFonts w:asciiTheme="minorHAnsi" w:hAnsiTheme="minorHAnsi" w:cstheme="minorHAnsi"/>
          <w:sz w:val="22"/>
        </w:rPr>
        <w:t xml:space="preserve">Official Gazette of </w:t>
      </w:r>
      <w:r w:rsidR="007436F1" w:rsidRPr="007C4D65">
        <w:rPr>
          <w:rFonts w:asciiTheme="minorHAnsi" w:hAnsiTheme="minorHAnsi" w:cstheme="minorHAnsi"/>
          <w:sz w:val="22"/>
        </w:rPr>
        <w:lastRenderedPageBreak/>
        <w:t>the Federation of BiH“</w:t>
      </w:r>
      <w:r w:rsidR="009E7C0F" w:rsidRPr="007C4D65">
        <w:rPr>
          <w:rFonts w:asciiTheme="minorHAnsi" w:hAnsiTheme="minorHAnsi" w:cstheme="minorHAnsi"/>
          <w:sz w:val="22"/>
        </w:rPr>
        <w:t>,</w:t>
      </w:r>
      <w:r w:rsidRPr="007C4D65">
        <w:rPr>
          <w:rFonts w:asciiTheme="minorHAnsi" w:hAnsiTheme="minorHAnsi" w:cstheme="minorHAnsi"/>
          <w:sz w:val="22"/>
        </w:rPr>
        <w:t xml:space="preserve"> 70/06)</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prescribes the obligation of the sectors that may impact water resources to </w:t>
      </w:r>
      <w:r w:rsidR="002077AB" w:rsidRPr="007C4D65">
        <w:rPr>
          <w:rFonts w:asciiTheme="minorHAnsi" w:hAnsiTheme="minorHAnsi" w:cstheme="minorHAnsi"/>
          <w:sz w:val="22"/>
          <w:szCs w:val="22"/>
        </w:rPr>
        <w:t xml:space="preserve">get </w:t>
      </w:r>
      <w:r w:rsidRPr="007C4D65">
        <w:rPr>
          <w:rFonts w:asciiTheme="minorHAnsi" w:hAnsiTheme="minorHAnsi" w:cstheme="minorHAnsi"/>
          <w:sz w:val="22"/>
          <w:szCs w:val="22"/>
        </w:rPr>
        <w:t>the water sector</w:t>
      </w:r>
      <w:r w:rsidR="002077AB" w:rsidRPr="007C4D65">
        <w:rPr>
          <w:rFonts w:asciiTheme="minorHAnsi" w:hAnsiTheme="minorHAnsi" w:cstheme="minorHAnsi"/>
          <w:sz w:val="22"/>
          <w:szCs w:val="22"/>
        </w:rPr>
        <w:t xml:space="preserve"> involved</w:t>
      </w:r>
      <w:r w:rsidRPr="007C4D65">
        <w:rPr>
          <w:rFonts w:asciiTheme="minorHAnsi" w:hAnsiTheme="minorHAnsi" w:cstheme="minorHAnsi"/>
          <w:sz w:val="22"/>
          <w:szCs w:val="22"/>
        </w:rPr>
        <w:t xml:space="preserve"> from the very early stages of preparation of their strategic and planning documentation, and to take into consideration planning documents of the water sector. In practice, this almost never happens, and the water sector lacks legal and institutional mechanisms to improve horizontal cooperation. This is a significant aggravating circumstance with respect to implementation of objectives of water sector the purpose of which is protection and sustainable use of water resources. This matter is treated as a measure, among the significant issues of the Adriatic Sea river basin management plan 2022-2027, and it reads as follows: “Establish improved and better cross-sectoral cooperation both within the FMAWMF (agriculture and forestry), and with other sectors, such as spatial planning, energy, etc., all with the aim of harmonizing activities and implementing measures in the areas where there are shared interest of various water users “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{"citationID":"UEqvmApn","properties":{"formattedCitation":"(Agencija za vodno podru\\uc0\\u269{}je Jadranskog mora 2021)","plainCitation":"(Agencija za vodno područje Jadranskog mora 2021)","noteIndex":0},"citationItems":[{"id":1319,"uris":["http://zotero.org/users/7192877/items/CZ8Q4JJE"],"itemData":{"id":1319,"type":"document","title":"Plan upravljanja vodama za vodno područje Jadranskog mora u Federaciji BiH (2022. - 2027.)","URL":"https://avpjm.jadran.ba/uploads/Plan%20upravljanja%20vodama%20VPJM%20%202022-2027_FINALNI%20NACRT.pdf","author":[{"family":"Agencija za vodno područje Jadranskog mora","given":""}],"issued":{"date-parts":[["2021"]]}}}],"schema":"https://github.com/citation-style-language/schema/raw/master/csl-citation.json"}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(Adriatic Sea Watershed Agency, 2021)</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w:t>
      </w:r>
    </w:p>
    <w:p w14:paraId="17F57ACC" w14:textId="5A2598D5"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Also, in the proposal of the Sava river basin management plan, one of the stipulated measures reads: “Develop and adopt the Rulebook and Protocol on carrying out coordination work and tasks in the area of water resource management at the level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and at the level of each </w:t>
      </w:r>
      <w:proofErr w:type="gramStart"/>
      <w:r w:rsidRPr="007C4D65">
        <w:rPr>
          <w:rFonts w:asciiTheme="minorHAnsi" w:hAnsiTheme="minorHAnsi" w:cstheme="minorHAnsi"/>
          <w:sz w:val="22"/>
          <w:szCs w:val="22"/>
        </w:rPr>
        <w:t>canton“</w:t>
      </w:r>
      <w:proofErr w:type="gramEnd"/>
      <w:r w:rsidRPr="007C4D65">
        <w:rPr>
          <w:rFonts w:asciiTheme="minorHAnsi" w:hAnsiTheme="minorHAnsi" w:cstheme="minorHAnsi"/>
          <w:sz w:val="22"/>
          <w:szCs w:val="22"/>
        </w:rPr>
        <w:t>.</w:t>
      </w:r>
    </w:p>
    <w:p w14:paraId="3F74A094" w14:textId="77777777" w:rsidR="008F71EF" w:rsidRPr="007C4D65" w:rsidRDefault="008F71EF" w:rsidP="008F71EF">
      <w:pPr>
        <w:spacing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Inspection oversight is ineffective and does not produce impact that is necessary to protect water resources. This is also mentioned in the EC Report on BiH for 2021, which says that “legal framework regulating environmental inspection and its enforcement needs to be improved in line with relevant EU acquis (European Commission, 2021).” The inspectorates prepare annual implementation programmes and agree them with the competent administrative bodies from water sector; however, programmes thus developed cannot provide adequate response to the dynamics of activities in the </w:t>
      </w:r>
      <w:proofErr w:type="gramStart"/>
      <w:r w:rsidRPr="007C4D65">
        <w:rPr>
          <w:rFonts w:asciiTheme="minorHAnsi" w:hAnsiTheme="minorHAnsi" w:cstheme="minorHAnsi"/>
          <w:sz w:val="22"/>
          <w:szCs w:val="22"/>
        </w:rPr>
        <w:t>field, and</w:t>
      </w:r>
      <w:proofErr w:type="gramEnd"/>
      <w:r w:rsidRPr="007C4D65">
        <w:rPr>
          <w:rFonts w:asciiTheme="minorHAnsi" w:hAnsiTheme="minorHAnsi" w:cstheme="minorHAnsi"/>
          <w:sz w:val="22"/>
          <w:szCs w:val="22"/>
        </w:rPr>
        <w:t xml:space="preserve"> may adversely affect the water status. The water inspectorates, both at the level of Federation and particularly at cantonal levels, are under-capacitated in terms of number of inspectors, technical capacities and equipment.</w:t>
      </w:r>
    </w:p>
    <w:p w14:paraId="784117A4" w14:textId="4B56DFC2" w:rsidR="008F71EF" w:rsidRPr="007C4D65" w:rsidRDefault="008F71EF" w:rsidP="008F71EF">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concession award procedures for water resources are not clearly and precisely defined by concession regulation in BiH and </w:t>
      </w:r>
      <w:r w:rsidR="0058588C" w:rsidRPr="007C4D65">
        <w:rPr>
          <w:rFonts w:asciiTheme="minorHAnsi" w:hAnsiTheme="minorHAnsi" w:cstheme="minorHAnsi"/>
          <w:sz w:val="22"/>
          <w:szCs w:val="22"/>
        </w:rPr>
        <w:t>Federation of BiH</w:t>
      </w:r>
      <w:r w:rsidRPr="007C4D65">
        <w:rPr>
          <w:rFonts w:asciiTheme="minorHAnsi" w:hAnsiTheme="minorHAnsi" w:cstheme="minorHAnsi"/>
          <w:sz w:val="22"/>
          <w:szCs w:val="22"/>
        </w:rPr>
        <w:t>, in terms of specifying conditions for awarding concessions for water resources, defining the phase when such concession should be obtained with regards to issuance of other permits needed for construction, supervision and control of compliance with contractual provisions related to operation while using the resources, etc. Lack of public registry of concessions and data base of data on concessions awarded at all levels of authority significantly contributes to insufficient transparency and allows for avoidance of implementation of conditions prescribed in water acts.</w:t>
      </w:r>
    </w:p>
    <w:p w14:paraId="7434F286" w14:textId="604B6679" w:rsidR="008F71EF" w:rsidRPr="007C4D65" w:rsidRDefault="008F71EF" w:rsidP="008F71EF">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In July 2022, a Law amending the Law on Electric Power was adopted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which provides for prohibition of planning and constructing new small hydro power plants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and consequently awarding concessions for construction of new SHPPs. A new paragraph added to Article 78 stipulates that issuing energy permits for small hydro power plants is stopped, except for those on gravitational water supply systems.</w:t>
      </w:r>
    </w:p>
    <w:p w14:paraId="2E48F9F0" w14:textId="712F2640" w:rsidR="008F71EF" w:rsidRPr="007C4D65" w:rsidRDefault="00457FD7" w:rsidP="008F71EF">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W</w:t>
      </w:r>
      <w:r w:rsidR="008F71EF" w:rsidRPr="007C4D65">
        <w:rPr>
          <w:rFonts w:asciiTheme="minorHAnsi" w:hAnsiTheme="minorHAnsi" w:cstheme="minorHAnsi"/>
          <w:i/>
          <w:sz w:val="22"/>
          <w:szCs w:val="22"/>
          <w:u w:val="single"/>
        </w:rPr>
        <w:t xml:space="preserve">ater services </w:t>
      </w:r>
      <w:r w:rsidRPr="007C4D65">
        <w:rPr>
          <w:rFonts w:asciiTheme="minorHAnsi" w:hAnsiTheme="minorHAnsi" w:cstheme="minorHAnsi"/>
          <w:i/>
          <w:sz w:val="22"/>
          <w:szCs w:val="22"/>
          <w:u w:val="single"/>
        </w:rPr>
        <w:t xml:space="preserve">sector </w:t>
      </w:r>
      <w:r w:rsidR="007436F1" w:rsidRPr="007C4D65">
        <w:rPr>
          <w:rFonts w:asciiTheme="minorHAnsi" w:hAnsiTheme="minorHAnsi" w:cstheme="minorHAnsi"/>
          <w:i/>
          <w:sz w:val="22"/>
          <w:szCs w:val="22"/>
          <w:u w:val="single"/>
        </w:rPr>
        <w:t>in the Federation of BiH</w:t>
      </w:r>
      <w:r w:rsidR="008F71EF" w:rsidRPr="007C4D65">
        <w:rPr>
          <w:rFonts w:asciiTheme="minorHAnsi" w:hAnsiTheme="minorHAnsi" w:cstheme="minorHAnsi"/>
          <w:i/>
          <w:sz w:val="22"/>
          <w:szCs w:val="22"/>
          <w:u w:val="single"/>
        </w:rPr>
        <w:t xml:space="preserve"> </w:t>
      </w:r>
    </w:p>
    <w:p w14:paraId="40A93E62" w14:textId="4FD372B9" w:rsidR="008F71EF" w:rsidRPr="007C4D65" w:rsidRDefault="008F71EF" w:rsidP="008F71EF">
      <w:pPr>
        <w:spacing w:line="276" w:lineRule="auto"/>
        <w:jc w:val="both"/>
        <w:rPr>
          <w:rFonts w:asciiTheme="minorHAnsi" w:hAnsiTheme="minorHAnsi" w:cstheme="minorHAnsi"/>
          <w:sz w:val="22"/>
          <w:szCs w:val="22"/>
        </w:rPr>
      </w:pPr>
      <w:r w:rsidRPr="007C4D65">
        <w:rPr>
          <w:rFonts w:asciiTheme="minorHAnsi" w:hAnsiTheme="minorHAnsi" w:cstheme="minorHAnsi"/>
          <w:sz w:val="22"/>
          <w:szCs w:val="22"/>
        </w:rPr>
        <w:lastRenderedPageBreak/>
        <w:t xml:space="preserve">Sector of water services is faced with a situation that does not provide for its sustainability, and the reasons for this are weak institutional/administrative arrangements and water sector legislative framework, and lack of financing. Cantonal laws on utilities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are inadequate for this kind of activity because they do not regulate institutional rights and obligations, and respective roles and responsibilities of different bodies responsible for water services in a local government unit (LGU) and service providers – Public Water Companies (PWC) (</w:t>
      </w:r>
      <w:r w:rsidRPr="007C4D65">
        <w:rPr>
          <w:rFonts w:asciiTheme="minorHAnsi" w:hAnsiTheme="minorHAnsi" w:cstheme="minorHAnsi"/>
          <w:i/>
          <w:sz w:val="22"/>
          <w:szCs w:val="22"/>
        </w:rPr>
        <w:t>Institutional overview of the water services sector in BiH</w:t>
      </w:r>
      <w:r w:rsidRPr="007C4D65">
        <w:rPr>
          <w:rFonts w:asciiTheme="minorHAnsi" w:hAnsiTheme="minorHAnsi" w:cstheme="minorHAnsi"/>
          <w:sz w:val="22"/>
          <w:szCs w:val="22"/>
        </w:rPr>
        <w:t xml:space="preserve"> “ -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{"citationID":"KBVUcBg4","properties":{"formattedCitation":"(Una Consulting 2017)","plainCitation":"(Una Consulting 2017)","noteIndex":0},"citationItems":[{"id":1332,"uris":["http://zotero.org/users/7192877/items/26QERLZA"],"itemData":{"id":1332,"type":"report","title":"Institucionalni pregled sektora komunalnih vodnih usluga u BiH","URL":"https://www.upkp.com.ba/dokumenti/Finalna%20verzija%20%20nacrta-Institucionalni-pregled-sektora-vodnih-usluga%20u-BiH.pdf","author":[{"family":"Una Consulting","given":""}],"issued":{"date-parts":[["2017"]]}}}],"schema":"https://github.com/citation-style-language/schema/raw/master/csl-citation.json"}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Una Consulting, 2017)</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nor do they establish a regulatory framework for setting the water tariffs that should provide for full cost coverage. PWCs do not earn sufficient revenues to be financially sustainable, and they often have difficulties to finance current maintenance.</w:t>
      </w:r>
    </w:p>
    <w:p w14:paraId="37CB1968" w14:textId="17A10574" w:rsidR="008F71EF" w:rsidRPr="007C4D65" w:rsidRDefault="008F71EF" w:rsidP="008F71EF">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Level of population coverage with public water supply systems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w:t>
      </w:r>
      <w:proofErr w:type="gramStart"/>
      <w:r w:rsidR="004D6A65" w:rsidRPr="007C4D65">
        <w:rPr>
          <w:rFonts w:asciiTheme="minorHAnsi" w:hAnsiTheme="minorHAnsi" w:cstheme="minorHAnsi"/>
          <w:sz w:val="22"/>
          <w:szCs w:val="22"/>
        </w:rPr>
        <w:t>in spite of</w:t>
      </w:r>
      <w:proofErr w:type="gramEnd"/>
      <w:r w:rsidR="004D6A65" w:rsidRPr="007C4D65">
        <w:rPr>
          <w:rFonts w:asciiTheme="minorHAnsi" w:hAnsiTheme="minorHAnsi" w:cstheme="minorHAnsi"/>
          <w:sz w:val="22"/>
          <w:szCs w:val="22"/>
        </w:rPr>
        <w:t xml:space="preserve"> having been improved </w:t>
      </w:r>
      <w:r w:rsidRPr="007C4D65">
        <w:rPr>
          <w:rFonts w:asciiTheme="minorHAnsi" w:hAnsiTheme="minorHAnsi" w:cstheme="minorHAnsi"/>
          <w:sz w:val="22"/>
          <w:szCs w:val="22"/>
        </w:rPr>
        <w:t>in recent years, still falls short of the desired/planned level. Population that is not connected to such systems is supplied from local/village or individual captures. Management of local systems is not aligned with applicable regulations, so a significant number of them remain without systemic oversight, and this poses a significant risk for human health. LGUs do not identify in their strategic documents the measures/projects aimed at improving management of local water supply systems and do not plan funds for them. In most cases, the infrastructure is very old, and total losses from the system are high.</w:t>
      </w:r>
    </w:p>
    <w:p w14:paraId="059A8287" w14:textId="77777777" w:rsidR="008F71EF" w:rsidRPr="007C4D65" w:rsidRDefault="008F71EF" w:rsidP="008F71EF">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Population coverage with </w:t>
      </w:r>
      <w:proofErr w:type="gramStart"/>
      <w:r w:rsidRPr="007C4D65">
        <w:rPr>
          <w:rFonts w:asciiTheme="minorHAnsi" w:hAnsiTheme="minorHAnsi" w:cstheme="minorHAnsi"/>
          <w:sz w:val="22"/>
          <w:szCs w:val="22"/>
        </w:rPr>
        <w:t>waste water</w:t>
      </w:r>
      <w:proofErr w:type="gramEnd"/>
      <w:r w:rsidRPr="007C4D65">
        <w:rPr>
          <w:rFonts w:asciiTheme="minorHAnsi" w:hAnsiTheme="minorHAnsi" w:cstheme="minorHAnsi"/>
          <w:sz w:val="22"/>
          <w:szCs w:val="22"/>
        </w:rPr>
        <w:t xml:space="preserve"> collection systems, and particularly the waste water treatment plants, is even lower than the coverage with public water supply (</w:t>
      </w:r>
      <w:r w:rsidRPr="007C4D65">
        <w:rPr>
          <w:rFonts w:asciiTheme="minorHAnsi" w:hAnsiTheme="minorHAnsi" w:cstheme="minorHAnsi"/>
          <w:b/>
          <w:bCs/>
          <w:i/>
          <w:iCs/>
          <w:sz w:val="22"/>
          <w:szCs w:val="22"/>
        </w:rPr>
        <w:t>Table 5</w:t>
      </w:r>
      <w:r w:rsidRPr="007C4D65">
        <w:rPr>
          <w:rFonts w:asciiTheme="minorHAnsi" w:hAnsiTheme="minorHAnsi" w:cstheme="minorHAnsi"/>
          <w:sz w:val="22"/>
          <w:szCs w:val="22"/>
        </w:rPr>
        <w:t>).</w:t>
      </w:r>
    </w:p>
    <w:p w14:paraId="138E1D0F" w14:textId="77777777" w:rsidR="008F71EF" w:rsidRPr="007C4D65" w:rsidRDefault="008F71EF" w:rsidP="008F71EF">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Before implementation of water sector reform, it will be necessary to ensure continuous co-financing from various sources, such as local, cantonal and Federation budgets, and grant funds of EU and other bilateral donors, </w:t>
      </w:r>
      <w:proofErr w:type="gramStart"/>
      <w:r w:rsidRPr="007C4D65">
        <w:rPr>
          <w:rFonts w:asciiTheme="minorHAnsi" w:hAnsiTheme="minorHAnsi" w:cstheme="minorHAnsi"/>
          <w:sz w:val="22"/>
          <w:szCs w:val="22"/>
        </w:rPr>
        <w:t>in order to</w:t>
      </w:r>
      <w:proofErr w:type="gramEnd"/>
      <w:r w:rsidRPr="007C4D65">
        <w:rPr>
          <w:rFonts w:asciiTheme="minorHAnsi" w:hAnsiTheme="minorHAnsi" w:cstheme="minorHAnsi"/>
          <w:sz w:val="22"/>
          <w:szCs w:val="22"/>
        </w:rPr>
        <w:t xml:space="preserve"> be able to implement extremely high value investments needed for improvement of this sector.</w:t>
      </w:r>
    </w:p>
    <w:p w14:paraId="4DFD7BC6" w14:textId="77777777" w:rsidR="008F71EF" w:rsidRPr="007C4D65" w:rsidRDefault="008F71EF" w:rsidP="008F71EF">
      <w:pPr>
        <w:tabs>
          <w:tab w:val="left" w:pos="3620"/>
        </w:tabs>
        <w:spacing w:before="160"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Climate change adaptation and mitigation of risks of extreme hydrological events</w:t>
      </w:r>
      <w:r w:rsidRPr="007C4D65">
        <w:rPr>
          <w:rFonts w:asciiTheme="minorHAnsi" w:hAnsiTheme="minorHAnsi" w:cstheme="minorHAnsi"/>
          <w:i/>
          <w:color w:val="FF0000"/>
          <w:sz w:val="22"/>
          <w:szCs w:val="22"/>
          <w:u w:val="single"/>
        </w:rPr>
        <w:t xml:space="preserve"> </w:t>
      </w:r>
    </w:p>
    <w:p w14:paraId="10824508" w14:textId="6083CD69" w:rsidR="008F71EF" w:rsidRPr="007C4D65" w:rsidRDefault="008F71EF" w:rsidP="008F71EF">
      <w:pPr>
        <w:tabs>
          <w:tab w:val="left" w:pos="3620"/>
        </w:tabs>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With respect to water sector, it can be said that the </w:t>
      </w:r>
      <w:r w:rsidR="0058588C" w:rsidRPr="007C4D65">
        <w:rPr>
          <w:rFonts w:asciiTheme="minorHAnsi" w:hAnsiTheme="minorHAnsi" w:cstheme="minorHAnsi"/>
          <w:sz w:val="22"/>
          <w:szCs w:val="22"/>
        </w:rPr>
        <w:t>Federation of BiH</w:t>
      </w:r>
      <w:r w:rsidRPr="007C4D65">
        <w:rPr>
          <w:rFonts w:asciiTheme="minorHAnsi" w:hAnsiTheme="minorHAnsi" w:cstheme="minorHAnsi"/>
          <w:sz w:val="22"/>
          <w:szCs w:val="22"/>
        </w:rPr>
        <w:t xml:space="preserve"> has not started with implementation of the EU climate changes policy. There is also a lack of integration of climate change adaptation measures in strategic/planning documents in water sector at all levels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{"citationID":"llxaNCZP","properties":{"formattedCitation":"(UNDP 2013)","plainCitation":"(UNDP 2013)","noteIndex":0},"citationItems":[{"id":1333,"uris":["http://zotero.org/users/7192877/items/9WDCW6QJ"],"itemData":{"id":1333,"type":"report","title":"Strategija prilagođavanja na klimatske promjene i niskoemisionog razvoja za BiH","URL":"https://www.ba.undp.org/content/bosnia_and_herzegovina/bs/home/library/energija-i-okolis/climate-change-adaptation-and-low-emission-development-strategy-.html","author":[{"family":"UNDP","given":""}],"issued":{"date-parts":[["2013"]]}}}],"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(UNDP, 2013)</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Therefore, drawing amounts from international funds for climate change adaptation is not certain.</w:t>
      </w:r>
    </w:p>
    <w:p w14:paraId="709EFF2C" w14:textId="77777777" w:rsidR="008F71EF" w:rsidRPr="007C4D65" w:rsidRDefault="008F71EF" w:rsidP="008F71EF">
      <w:pPr>
        <w:tabs>
          <w:tab w:val="left" w:pos="3620"/>
        </w:tabs>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When it comes to mitigating risks of extreme hydrological events there is a lack of programmes and project documents that plan for implementation of measures of climate change adaptation, and protection measures against flood and drought.</w:t>
      </w:r>
    </w:p>
    <w:p w14:paraId="1EB02ED3" w14:textId="77777777" w:rsidR="008F71EF" w:rsidRPr="007C4D65" w:rsidRDefault="008F71EF" w:rsidP="008F71EF">
      <w:pPr>
        <w:tabs>
          <w:tab w:val="left" w:pos="3620"/>
        </w:tabs>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Hydrology forecasting models need to be established and developed, and for the same purpose, the network of hydrological and precipitation measuring stations needs to be improved on a significant number of water courses.</w:t>
      </w:r>
    </w:p>
    <w:p w14:paraId="68012799" w14:textId="77777777" w:rsidR="008F71EF" w:rsidRPr="007C4D65" w:rsidRDefault="008F71EF" w:rsidP="008F71EF">
      <w:pPr>
        <w:tabs>
          <w:tab w:val="left" w:pos="3620"/>
        </w:tabs>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Horizontal cooperation between water sector and other sectors, spatial </w:t>
      </w:r>
      <w:proofErr w:type="gramStart"/>
      <w:r w:rsidRPr="007C4D65">
        <w:rPr>
          <w:rFonts w:asciiTheme="minorHAnsi" w:hAnsiTheme="minorHAnsi" w:cstheme="minorHAnsi"/>
          <w:sz w:val="22"/>
          <w:szCs w:val="22"/>
        </w:rPr>
        <w:t>planning in particular, as well as</w:t>
      </w:r>
      <w:proofErr w:type="gramEnd"/>
      <w:r w:rsidRPr="007C4D65">
        <w:rPr>
          <w:rFonts w:asciiTheme="minorHAnsi" w:hAnsiTheme="minorHAnsi" w:cstheme="minorHAnsi"/>
          <w:sz w:val="22"/>
          <w:szCs w:val="22"/>
        </w:rPr>
        <w:t xml:space="preserve"> vertical cooperation with the protection and rescue sectors, is still at a level that does not ensure adequate and efficient management of risks of extreme hydrological events.</w:t>
      </w:r>
    </w:p>
    <w:p w14:paraId="0F58F559" w14:textId="2206297B" w:rsidR="008F71EF" w:rsidRPr="007C4D65" w:rsidRDefault="008F71EF" w:rsidP="008F71EF">
      <w:pPr>
        <w:tabs>
          <w:tab w:val="left" w:pos="3620"/>
        </w:tabs>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lastRenderedPageBreak/>
        <w:t xml:space="preserve">Water courses of II category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for which the lower administrative levels (cantons) are responsible, are very poorly equipped and lack hydrological and meteorological monitoring stations, and this is a significant shortcoming, especially in the areas of potentially significant flood risk (AFAS). Cantonal-level technical capacities for managing drought and flood risk management are not at a satisfactory level. </w:t>
      </w:r>
    </w:p>
    <w:p w14:paraId="62C905DC" w14:textId="6CB33567" w:rsidR="008F71EF" w:rsidRPr="007C4D65" w:rsidRDefault="00457FD7" w:rsidP="008F71EF">
      <w:pPr>
        <w:tabs>
          <w:tab w:val="left" w:pos="3620"/>
        </w:tabs>
        <w:spacing w:before="240" w:line="276" w:lineRule="auto"/>
        <w:rPr>
          <w:rFonts w:asciiTheme="minorHAnsi" w:hAnsiTheme="minorHAnsi" w:cstheme="minorHAnsi"/>
          <w:i/>
          <w:iCs/>
          <w:sz w:val="22"/>
          <w:szCs w:val="22"/>
          <w:u w:val="single"/>
        </w:rPr>
      </w:pPr>
      <w:r w:rsidRPr="007C4D65">
        <w:rPr>
          <w:rFonts w:asciiTheme="minorHAnsi" w:hAnsiTheme="minorHAnsi" w:cstheme="minorHAnsi"/>
          <w:i/>
          <w:iCs/>
          <w:sz w:val="22"/>
          <w:szCs w:val="22"/>
          <w:u w:val="single"/>
        </w:rPr>
        <w:t>W</w:t>
      </w:r>
      <w:r w:rsidR="008F71EF" w:rsidRPr="007C4D65">
        <w:rPr>
          <w:rFonts w:asciiTheme="minorHAnsi" w:hAnsiTheme="minorHAnsi" w:cstheme="minorHAnsi"/>
          <w:i/>
          <w:iCs/>
          <w:sz w:val="22"/>
          <w:szCs w:val="22"/>
          <w:u w:val="single"/>
        </w:rPr>
        <w:t xml:space="preserve">ater sector </w:t>
      </w:r>
      <w:r w:rsidRPr="007C4D65">
        <w:rPr>
          <w:rFonts w:asciiTheme="minorHAnsi" w:hAnsiTheme="minorHAnsi" w:cstheme="minorHAnsi"/>
          <w:i/>
          <w:iCs/>
          <w:sz w:val="22"/>
          <w:szCs w:val="22"/>
          <w:u w:val="single"/>
        </w:rPr>
        <w:t xml:space="preserve">funding </w:t>
      </w:r>
      <w:r w:rsidR="008F71EF" w:rsidRPr="007C4D65">
        <w:rPr>
          <w:rFonts w:asciiTheme="minorHAnsi" w:hAnsiTheme="minorHAnsi" w:cstheme="minorHAnsi"/>
          <w:i/>
          <w:iCs/>
          <w:sz w:val="22"/>
          <w:szCs w:val="22"/>
          <w:u w:val="single"/>
        </w:rPr>
        <w:t>from national and international sources</w:t>
      </w:r>
      <w:r w:rsidR="008F71EF" w:rsidRPr="007C4D65">
        <w:rPr>
          <w:rFonts w:asciiTheme="minorHAnsi" w:hAnsiTheme="minorHAnsi" w:cstheme="minorHAnsi"/>
          <w:i/>
          <w:iCs/>
          <w:color w:val="FF0000"/>
          <w:sz w:val="22"/>
          <w:szCs w:val="22"/>
          <w:u w:val="single"/>
        </w:rPr>
        <w:t xml:space="preserve"> </w:t>
      </w:r>
    </w:p>
    <w:p w14:paraId="54F2C168" w14:textId="100E54C0" w:rsidR="008F71EF" w:rsidRPr="007C4D65" w:rsidRDefault="00457FD7" w:rsidP="008F71EF">
      <w:pPr>
        <w:tabs>
          <w:tab w:val="left" w:pos="3620"/>
        </w:tabs>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Funds</w:t>
      </w:r>
      <w:r w:rsidR="008F71EF" w:rsidRPr="007C4D65">
        <w:rPr>
          <w:rFonts w:asciiTheme="minorHAnsi" w:hAnsiTheme="minorHAnsi" w:cstheme="minorHAnsi"/>
          <w:sz w:val="22"/>
          <w:szCs w:val="22"/>
        </w:rPr>
        <w:t xml:space="preserve"> from water fees, and </w:t>
      </w:r>
      <w:r w:rsidRPr="007C4D65">
        <w:rPr>
          <w:rFonts w:asciiTheme="minorHAnsi" w:hAnsiTheme="minorHAnsi" w:cstheme="minorHAnsi"/>
          <w:sz w:val="22"/>
          <w:szCs w:val="22"/>
        </w:rPr>
        <w:t>allocations</w:t>
      </w:r>
      <w:r w:rsidR="008F71EF" w:rsidRPr="007C4D65">
        <w:rPr>
          <w:rFonts w:asciiTheme="minorHAnsi" w:hAnsiTheme="minorHAnsi" w:cstheme="minorHAnsi"/>
          <w:sz w:val="22"/>
          <w:szCs w:val="22"/>
        </w:rPr>
        <w:t xml:space="preserve"> from budget of Government </w:t>
      </w:r>
      <w:r w:rsidR="007436F1" w:rsidRPr="007C4D65">
        <w:rPr>
          <w:rFonts w:asciiTheme="minorHAnsi" w:hAnsiTheme="minorHAnsi" w:cstheme="minorHAnsi"/>
          <w:sz w:val="22"/>
          <w:szCs w:val="22"/>
        </w:rPr>
        <w:t>of the Federation of BiH</w:t>
      </w:r>
      <w:r w:rsidR="008F71EF" w:rsidRPr="007C4D65">
        <w:rPr>
          <w:rFonts w:asciiTheme="minorHAnsi" w:hAnsiTheme="minorHAnsi" w:cstheme="minorHAnsi"/>
          <w:sz w:val="22"/>
          <w:szCs w:val="22"/>
        </w:rPr>
        <w:t xml:space="preserve"> do not come even close to meet the needs of the water sector, particularly in the context of </w:t>
      </w:r>
      <w:r w:rsidRPr="007C4D65">
        <w:rPr>
          <w:rFonts w:asciiTheme="minorHAnsi" w:hAnsiTheme="minorHAnsi" w:cstheme="minorHAnsi"/>
          <w:sz w:val="22"/>
          <w:szCs w:val="22"/>
        </w:rPr>
        <w:t>the commitment</w:t>
      </w:r>
      <w:r w:rsidR="008F71EF" w:rsidRPr="007C4D65">
        <w:rPr>
          <w:rFonts w:asciiTheme="minorHAnsi" w:hAnsiTheme="minorHAnsi" w:cstheme="minorHAnsi"/>
          <w:sz w:val="22"/>
          <w:szCs w:val="22"/>
        </w:rPr>
        <w:t xml:space="preserve"> to implement EU water legislation. Institutional and investment needs of water sector </w:t>
      </w:r>
      <w:r w:rsidR="007436F1" w:rsidRPr="007C4D65">
        <w:rPr>
          <w:rFonts w:asciiTheme="minorHAnsi" w:hAnsiTheme="minorHAnsi" w:cstheme="minorHAnsi"/>
          <w:sz w:val="22"/>
          <w:szCs w:val="22"/>
        </w:rPr>
        <w:t>in the Federation of BiH</w:t>
      </w:r>
      <w:r w:rsidR="008F71EF" w:rsidRPr="007C4D65">
        <w:rPr>
          <w:rFonts w:asciiTheme="minorHAnsi" w:hAnsiTheme="minorHAnsi" w:cstheme="minorHAnsi"/>
          <w:sz w:val="22"/>
          <w:szCs w:val="22"/>
        </w:rPr>
        <w:t xml:space="preserve"> cannot be met from national sources of financing, so conditions must be put in place to gather funds from international sources.</w:t>
      </w:r>
    </w:p>
    <w:p w14:paraId="7FF28F9D" w14:textId="77777777" w:rsidR="008F71EF" w:rsidRPr="007C4D65" w:rsidRDefault="008F71EF" w:rsidP="008F71EF">
      <w:pPr>
        <w:tabs>
          <w:tab w:val="left" w:pos="3620"/>
        </w:tabs>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Level of skills of staff in water sector to do economic and financial planning, project preparation and programming of the expenditures (particularly economic and legal experts in water sector) is not satisfactory and poses an obstacle to effective use of EU grants in pre-accession phase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{"citationID":"q4ju0mei","properties":{"formattedCitation":"(MVTEO BiH 2017)","plainCitation":"(MVTEO BiH 2017)","noteIndex":0},"citationItems":[{"id":1329,"uris":["http://zotero.org/users/7192877/items/TBUNBRJZ"],"itemData":{"id":1329,"type":"report","title":"Strategija usklađivanja propisa pravnoj stecevini EU u oblasti zaštite okoliša/životne sredine Bosne i Hercegovine (EAS BiH)","URL":"http://www.mvteo.gov.ba/data/Home/%D0%94%D0%BE%D0%BA%D1%83%D0%BC%D0%B5%D0%BD%D1%82%D0%B8/%D0%92%D0%BE%D0%B4%D0%BD%D0%B8%20%D1%80%D0%B5%D1%81%D1%83%D1%80%D1%81%D0%B8/STRATEGIJA_USKLA%C4%90IVANJA_PROPISA_PRAVNOJ_STE%C4%8CEVINI_EU_U_OBLASTI_ZA%C5%A0TITE_%C5%BDIVOTNE_SREDINE_BOSNE_I_HERCEGOVINE.pdf","author":[{"literal":"MVTEO BiH"}],"issued":{"date-parts":[["2017"]]}}}],"schema":"https://github.com/citation-style-language/schema/raw/master/csl-citation.json"}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(MOFTER BiH, 2017)</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w:t>
      </w:r>
    </w:p>
    <w:p w14:paraId="177C7C43" w14:textId="7001897C" w:rsidR="008F71EF" w:rsidRPr="007C4D65" w:rsidRDefault="008F71EF" w:rsidP="008F71EF">
      <w:pPr>
        <w:spacing w:before="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 xml:space="preserve">Transposition, implementation and enforcement of </w:t>
      </w:r>
      <w:r w:rsidR="001E4D90" w:rsidRPr="007C4D65">
        <w:rPr>
          <w:rFonts w:asciiTheme="minorHAnsi" w:hAnsiTheme="minorHAnsi" w:cstheme="minorHAnsi"/>
          <w:i/>
          <w:sz w:val="22"/>
          <w:szCs w:val="22"/>
          <w:u w:val="single"/>
        </w:rPr>
        <w:t>EU regulations</w:t>
      </w:r>
      <w:r w:rsidRPr="007C4D65">
        <w:rPr>
          <w:rFonts w:asciiTheme="minorHAnsi" w:hAnsiTheme="minorHAnsi" w:cstheme="minorHAnsi"/>
          <w:i/>
          <w:sz w:val="22"/>
          <w:szCs w:val="22"/>
          <w:u w:val="single"/>
        </w:rPr>
        <w:t xml:space="preserve"> into water legislation </w:t>
      </w:r>
      <w:r w:rsidR="007436F1" w:rsidRPr="007C4D65">
        <w:rPr>
          <w:rFonts w:asciiTheme="minorHAnsi" w:hAnsiTheme="minorHAnsi" w:cstheme="minorHAnsi"/>
          <w:i/>
          <w:sz w:val="22"/>
          <w:szCs w:val="22"/>
          <w:u w:val="single"/>
        </w:rPr>
        <w:t>of the Federation of BiH</w:t>
      </w:r>
      <w:r w:rsidRPr="007C4D65">
        <w:rPr>
          <w:rFonts w:asciiTheme="minorHAnsi" w:hAnsiTheme="minorHAnsi" w:cstheme="minorHAnsi"/>
          <w:i/>
          <w:sz w:val="22"/>
          <w:szCs w:val="22"/>
          <w:u w:val="single"/>
        </w:rPr>
        <w:t xml:space="preserve"> </w:t>
      </w:r>
    </w:p>
    <w:p w14:paraId="1DB7E47E" w14:textId="6D359B61" w:rsidR="008F71EF" w:rsidRPr="007C4D65" w:rsidRDefault="008F71EF" w:rsidP="008F71EF">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Processes and results of transposition of EU water legislation into the legislation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are slow, inefficient, and the effects are not satisfactory. Important causes of this can be found in the existing legal framework that prescribes f</w:t>
      </w:r>
      <w:r w:rsidR="009F4115" w:rsidRPr="007C4D65">
        <w:rPr>
          <w:rFonts w:asciiTheme="minorHAnsi" w:hAnsiTheme="minorHAnsi" w:cstheme="minorHAnsi"/>
          <w:sz w:val="22"/>
          <w:szCs w:val="22"/>
        </w:rPr>
        <w:t>or transposition obligations of</w:t>
      </w:r>
      <w:r w:rsidRPr="007C4D65">
        <w:rPr>
          <w:rFonts w:asciiTheme="minorHAnsi" w:hAnsiTheme="minorHAnsi" w:cstheme="minorHAnsi"/>
          <w:sz w:val="22"/>
          <w:szCs w:val="22"/>
        </w:rPr>
        <w:t xml:space="preserve"> Federation and cantonal institutions responsible for water and environment; however, these regulations are not</w:t>
      </w:r>
      <w:r w:rsidR="009F4115" w:rsidRPr="007C4D65">
        <w:rPr>
          <w:rFonts w:asciiTheme="minorHAnsi" w:hAnsiTheme="minorHAnsi" w:cstheme="minorHAnsi"/>
          <w:sz w:val="22"/>
          <w:szCs w:val="22"/>
        </w:rPr>
        <w:t xml:space="preserve"> fully </w:t>
      </w:r>
      <w:proofErr w:type="gramStart"/>
      <w:r w:rsidR="009F4115" w:rsidRPr="007C4D65">
        <w:rPr>
          <w:rFonts w:asciiTheme="minorHAnsi" w:hAnsiTheme="minorHAnsi" w:cstheme="minorHAnsi"/>
          <w:sz w:val="22"/>
          <w:szCs w:val="22"/>
        </w:rPr>
        <w:t>harmonized</w:t>
      </w:r>
      <w:proofErr w:type="gramEnd"/>
      <w:r w:rsidR="009F4115" w:rsidRPr="007C4D65">
        <w:rPr>
          <w:rFonts w:asciiTheme="minorHAnsi" w:hAnsiTheme="minorHAnsi" w:cstheme="minorHAnsi"/>
          <w:sz w:val="22"/>
          <w:szCs w:val="22"/>
        </w:rPr>
        <w:t xml:space="preserve"> and competence</w:t>
      </w:r>
      <w:r w:rsidRPr="007C4D65">
        <w:rPr>
          <w:rFonts w:asciiTheme="minorHAnsi" w:hAnsiTheme="minorHAnsi" w:cstheme="minorHAnsi"/>
          <w:sz w:val="22"/>
          <w:szCs w:val="22"/>
        </w:rPr>
        <w:t xml:space="preserve"> overlaps often occur, as well as gaps in defining the competences. Similar is the situation with transposition of </w:t>
      </w:r>
      <w:r w:rsidR="001E4D90" w:rsidRPr="007C4D65">
        <w:rPr>
          <w:rFonts w:asciiTheme="minorHAnsi" w:hAnsiTheme="minorHAnsi" w:cstheme="minorHAnsi"/>
          <w:sz w:val="22"/>
          <w:szCs w:val="22"/>
        </w:rPr>
        <w:t>EU regulations</w:t>
      </w:r>
      <w:r w:rsidRPr="007C4D65">
        <w:rPr>
          <w:rFonts w:asciiTheme="minorHAnsi" w:hAnsiTheme="minorHAnsi" w:cstheme="minorHAnsi"/>
          <w:sz w:val="22"/>
          <w:szCs w:val="22"/>
        </w:rPr>
        <w:t xml:space="preserve"> to other segments of environment and other sectors, and because of this BiH is currently in breach of the Stabilization and Association Agreement (SAA) since it had stipulated deadline for gradual alignment of legislation with the EU acquis and establishment of institutional framework for implementation of laws aligned with the EU requirements by the end of six-year transition period from the date of the SAA entering force (1 June 2015). Development of the Programme for integrating BiH with EU started as late as in October 2020, and it has not yet finished.</w:t>
      </w:r>
    </w:p>
    <w:p w14:paraId="32C57A8F" w14:textId="0B117488" w:rsidR="008F71EF" w:rsidRPr="007C4D65" w:rsidRDefault="008F71EF" w:rsidP="008F71EF">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In addition, competences for transposition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are extremely fragmented, as there are over 20 bodies and institutions at all levels and from different sectors that are involved.</w:t>
      </w:r>
    </w:p>
    <w:p w14:paraId="5CFB900C" w14:textId="7ED25BB3"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Coordination that would enable harmonization of transposition activities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(horizontally, particularly with FMET and FMSP, and vertically, between the Federation and cantonal levels, as well as with the MOFTER) has not been properly defined. Effective transposition is missing also due to insufficient number of skilled human capacities in water sector institutions at all administrative levels, and due to slow pace of work of the Parliament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when adopting new and amending applicable legislation.</w:t>
      </w:r>
    </w:p>
    <w:p w14:paraId="39D1FCDE" w14:textId="77777777"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Action plans for implementation of water directives (APIDs) have not been adopted for any directive in water sector. Under the </w:t>
      </w:r>
      <w:proofErr w:type="spellStart"/>
      <w:r w:rsidRPr="007C4D65">
        <w:rPr>
          <w:rFonts w:asciiTheme="minorHAnsi" w:hAnsiTheme="minorHAnsi" w:cstheme="minorHAnsi"/>
          <w:sz w:val="22"/>
          <w:szCs w:val="22"/>
        </w:rPr>
        <w:t>EnvIS</w:t>
      </w:r>
      <w:proofErr w:type="spellEnd"/>
      <w:r w:rsidRPr="007C4D65">
        <w:rPr>
          <w:rFonts w:asciiTheme="minorHAnsi" w:hAnsiTheme="minorHAnsi" w:cstheme="minorHAnsi"/>
          <w:sz w:val="22"/>
          <w:szCs w:val="22"/>
        </w:rPr>
        <w:t xml:space="preserve"> project – Strengthening environmental institutions in BiH (2011-2014) </w:t>
      </w:r>
      <w:r w:rsidRPr="007C4D65">
        <w:rPr>
          <w:rFonts w:asciiTheme="minorHAnsi" w:hAnsiTheme="minorHAnsi" w:cstheme="minorHAnsi"/>
          <w:sz w:val="22"/>
          <w:szCs w:val="22"/>
        </w:rPr>
        <w:lastRenderedPageBreak/>
        <w:t>the APIDs were prepared for three directives: on drinking water, on urban waste waters, and for directive on the flood risk assessment and management, but they have never been adopted. Updating the APID for the Directive on Urban Waste Waters is planned through implementation of the recently started project of Development of Master Plans for Agglomerations in BiH for effective planning and implementation of EU Directive on urban waste waters (EU UWWTD). Draft updated APID for the Directive on assessment and management of flood risk was produced, but it is not adopted.</w:t>
      </w:r>
    </w:p>
    <w:p w14:paraId="47DEA8B0" w14:textId="77777777" w:rsidR="008F71EF" w:rsidRPr="007C4D65" w:rsidRDefault="008F71EF" w:rsidP="008F71EF">
      <w:pPr>
        <w:spacing w:after="20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In the </w:t>
      </w:r>
      <w:proofErr w:type="spellStart"/>
      <w:r w:rsidRPr="007C4D65">
        <w:rPr>
          <w:rFonts w:asciiTheme="minorHAnsi" w:hAnsiTheme="minorHAnsi" w:cstheme="minorHAnsi"/>
          <w:sz w:val="22"/>
          <w:szCs w:val="22"/>
        </w:rPr>
        <w:t>Neum</w:t>
      </w:r>
      <w:proofErr w:type="spellEnd"/>
      <w:r w:rsidRPr="007C4D65">
        <w:rPr>
          <w:rFonts w:asciiTheme="minorHAnsi" w:hAnsiTheme="minorHAnsi" w:cstheme="minorHAnsi"/>
          <w:sz w:val="22"/>
          <w:szCs w:val="22"/>
        </w:rPr>
        <w:t xml:space="preserve"> bay, BiH exits to Adriatic (Mediterranean) Sea. Sea border with Republic of Croatia has not yet been determined and ratified. </w:t>
      </w:r>
      <w:proofErr w:type="gramStart"/>
      <w:r w:rsidRPr="007C4D65">
        <w:rPr>
          <w:rFonts w:asciiTheme="minorHAnsi" w:hAnsiTheme="minorHAnsi" w:cstheme="minorHAnsi"/>
          <w:sz w:val="22"/>
          <w:szCs w:val="22"/>
        </w:rPr>
        <w:t>Based on the fact that</w:t>
      </w:r>
      <w:proofErr w:type="gramEnd"/>
      <w:r w:rsidRPr="007C4D65">
        <w:rPr>
          <w:rFonts w:asciiTheme="minorHAnsi" w:hAnsiTheme="minorHAnsi" w:cstheme="minorHAnsi"/>
          <w:sz w:val="22"/>
          <w:szCs w:val="22"/>
        </w:rPr>
        <w:t xml:space="preserve"> it has access to the Mediterranean Sea, BiH is a contracting party of the Barcelona convention. Having in mind that the EU is also a contracting party of the Barcelona Convention, and that the provisions of this Convention are included in EU acquis, implementation of the Barcelona Convention provisions enables BiH to align with certain requirements for accession to EU.</w:t>
      </w:r>
    </w:p>
    <w:p w14:paraId="43FA5230" w14:textId="77777777" w:rsidR="008F71EF" w:rsidRPr="007C4D65" w:rsidRDefault="008F71EF" w:rsidP="008F71EF">
      <w:pPr>
        <w:spacing w:after="240" w:line="276" w:lineRule="auto"/>
        <w:jc w:val="both"/>
        <w:rPr>
          <w:rFonts w:asciiTheme="minorHAnsi" w:eastAsia="Calibri" w:hAnsiTheme="minorHAnsi" w:cstheme="minorHAnsi"/>
          <w:iCs/>
          <w:sz w:val="22"/>
          <w:szCs w:val="22"/>
          <w:lang w:eastAsia="en-US"/>
        </w:rPr>
      </w:pPr>
      <w:r w:rsidRPr="007C4D65">
        <w:rPr>
          <w:rFonts w:asciiTheme="minorHAnsi" w:eastAsia="Calibri" w:hAnsiTheme="minorHAnsi" w:cstheme="minorHAnsi"/>
          <w:iCs/>
          <w:sz w:val="22"/>
          <w:szCs w:val="22"/>
          <w:lang w:eastAsia="en-US"/>
        </w:rPr>
        <w:t xml:space="preserve">So far, BiH has not undertaken any activities to transpose the EU Marine Strategy Framework Directive (MSFD). According to the EAS strategy, BiH should include this area in a separate strategic </w:t>
      </w:r>
      <w:proofErr w:type="gramStart"/>
      <w:r w:rsidRPr="007C4D65">
        <w:rPr>
          <w:rFonts w:asciiTheme="minorHAnsi" w:eastAsia="Calibri" w:hAnsiTheme="minorHAnsi" w:cstheme="minorHAnsi"/>
          <w:iCs/>
          <w:sz w:val="22"/>
          <w:szCs w:val="22"/>
          <w:lang w:eastAsia="en-US"/>
        </w:rPr>
        <w:t>document, or</w:t>
      </w:r>
      <w:proofErr w:type="gramEnd"/>
      <w:r w:rsidRPr="007C4D65">
        <w:rPr>
          <w:rFonts w:asciiTheme="minorHAnsi" w:eastAsia="Calibri" w:hAnsiTheme="minorHAnsi" w:cstheme="minorHAnsi"/>
          <w:iCs/>
          <w:sz w:val="22"/>
          <w:szCs w:val="22"/>
          <w:lang w:eastAsia="en-US"/>
        </w:rPr>
        <w:t xml:space="preserve"> include it into the first revision of the EAS BiH. Although the Council of Ministers charged the MOFTER in late 2021 to consider possible further activities related to transposition of the MSFD Directive, no concrete work has started </w:t>
      </w:r>
      <w:proofErr w:type="gramStart"/>
      <w:r w:rsidRPr="007C4D65">
        <w:rPr>
          <w:rFonts w:asciiTheme="minorHAnsi" w:eastAsia="Calibri" w:hAnsiTheme="minorHAnsi" w:cstheme="minorHAnsi"/>
          <w:iCs/>
          <w:sz w:val="22"/>
          <w:szCs w:val="22"/>
          <w:lang w:eastAsia="en-US"/>
        </w:rPr>
        <w:t>as of yet</w:t>
      </w:r>
      <w:proofErr w:type="gramEnd"/>
      <w:r w:rsidRPr="007C4D65">
        <w:rPr>
          <w:rFonts w:asciiTheme="minorHAnsi" w:eastAsia="Calibri" w:hAnsiTheme="minorHAnsi" w:cstheme="minorHAnsi"/>
          <w:iCs/>
          <w:sz w:val="22"/>
          <w:szCs w:val="22"/>
          <w:lang w:eastAsia="en-US"/>
        </w:rPr>
        <w:t>.</w:t>
      </w:r>
    </w:p>
    <w:p w14:paraId="752FC4A4" w14:textId="33F5DB2A" w:rsidR="008F71EF" w:rsidRPr="007C4D65" w:rsidRDefault="00DB3800" w:rsidP="008F71EF">
      <w:pPr>
        <w:spacing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Capacity building of</w:t>
      </w:r>
      <w:r w:rsidR="008F71EF" w:rsidRPr="007C4D65">
        <w:rPr>
          <w:rFonts w:asciiTheme="minorHAnsi" w:hAnsiTheme="minorHAnsi" w:cstheme="minorHAnsi"/>
          <w:i/>
          <w:sz w:val="22"/>
          <w:szCs w:val="22"/>
          <w:u w:val="single"/>
        </w:rPr>
        <w:t xml:space="preserve"> experts</w:t>
      </w:r>
    </w:p>
    <w:p w14:paraId="4497B32D" w14:textId="1FE5F112"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In the environment sector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which includes </w:t>
      </w:r>
      <w:r w:rsidR="00DB3800" w:rsidRPr="007C4D65">
        <w:rPr>
          <w:rFonts w:asciiTheme="minorHAnsi" w:hAnsiTheme="minorHAnsi" w:cstheme="minorHAnsi"/>
          <w:sz w:val="22"/>
          <w:szCs w:val="22"/>
        </w:rPr>
        <w:t xml:space="preserve">the </w:t>
      </w:r>
      <w:r w:rsidRPr="007C4D65">
        <w:rPr>
          <w:rFonts w:asciiTheme="minorHAnsi" w:hAnsiTheme="minorHAnsi" w:cstheme="minorHAnsi"/>
          <w:sz w:val="22"/>
          <w:szCs w:val="22"/>
        </w:rPr>
        <w:t xml:space="preserve">water sector, </w:t>
      </w:r>
      <w:r w:rsidR="00DB3800" w:rsidRPr="007C4D65">
        <w:rPr>
          <w:rFonts w:asciiTheme="minorHAnsi" w:hAnsiTheme="minorHAnsi" w:cstheme="minorHAnsi"/>
          <w:sz w:val="22"/>
          <w:szCs w:val="22"/>
        </w:rPr>
        <w:t xml:space="preserve">the </w:t>
      </w:r>
      <w:r w:rsidRPr="007C4D65">
        <w:rPr>
          <w:rFonts w:asciiTheme="minorHAnsi" w:hAnsiTheme="minorHAnsi" w:cstheme="minorHAnsi"/>
          <w:sz w:val="22"/>
          <w:szCs w:val="22"/>
        </w:rPr>
        <w:t>number and capacit</w:t>
      </w:r>
      <w:r w:rsidR="00DB3800" w:rsidRPr="007C4D65">
        <w:rPr>
          <w:rFonts w:asciiTheme="minorHAnsi" w:hAnsiTheme="minorHAnsi" w:cstheme="minorHAnsi"/>
          <w:sz w:val="22"/>
          <w:szCs w:val="22"/>
        </w:rPr>
        <w:t>y</w:t>
      </w:r>
      <w:r w:rsidRPr="007C4D65">
        <w:rPr>
          <w:rFonts w:asciiTheme="minorHAnsi" w:hAnsiTheme="minorHAnsi" w:cstheme="minorHAnsi"/>
          <w:sz w:val="22"/>
          <w:szCs w:val="22"/>
        </w:rPr>
        <w:t xml:space="preserve"> of experts</w:t>
      </w:r>
      <w:r w:rsidR="00DB3800" w:rsidRPr="007C4D65">
        <w:rPr>
          <w:rFonts w:asciiTheme="minorHAnsi" w:hAnsiTheme="minorHAnsi" w:cstheme="minorHAnsi"/>
          <w:sz w:val="22"/>
          <w:szCs w:val="22"/>
        </w:rPr>
        <w:t xml:space="preserve"> is insufficient</w:t>
      </w:r>
      <w:r w:rsidRPr="007C4D65">
        <w:rPr>
          <w:rFonts w:asciiTheme="minorHAnsi" w:hAnsiTheme="minorHAnsi" w:cstheme="minorHAnsi"/>
          <w:sz w:val="22"/>
          <w:szCs w:val="22"/>
        </w:rPr>
        <w:t xml:space="preserve">, particularly with </w:t>
      </w:r>
      <w:r w:rsidR="00DB3800" w:rsidRPr="007C4D65">
        <w:rPr>
          <w:rFonts w:asciiTheme="minorHAnsi" w:hAnsiTheme="minorHAnsi" w:cstheme="minorHAnsi"/>
          <w:sz w:val="22"/>
          <w:szCs w:val="22"/>
        </w:rPr>
        <w:t>for an</w:t>
      </w:r>
      <w:r w:rsidRPr="007C4D65">
        <w:rPr>
          <w:rFonts w:asciiTheme="minorHAnsi" w:hAnsiTheme="minorHAnsi" w:cstheme="minorHAnsi"/>
          <w:sz w:val="22"/>
          <w:szCs w:val="22"/>
        </w:rPr>
        <w:t xml:space="preserve"> effective implementation of the EU environmental (water) legislation, but also for other tasks of water management, and this particularly applies to lower levels</w:t>
      </w:r>
      <w:r w:rsidR="00DB3800" w:rsidRPr="007C4D65">
        <w:rPr>
          <w:rFonts w:asciiTheme="minorHAnsi" w:hAnsiTheme="minorHAnsi" w:cstheme="minorHAnsi"/>
          <w:sz w:val="22"/>
          <w:szCs w:val="22"/>
        </w:rPr>
        <w:t xml:space="preserve"> of government</w:t>
      </w:r>
      <w:r w:rsidRPr="007C4D65">
        <w:rPr>
          <w:rFonts w:asciiTheme="minorHAnsi" w:hAnsiTheme="minorHAnsi" w:cstheme="minorHAnsi"/>
          <w:sz w:val="22"/>
          <w:szCs w:val="22"/>
        </w:rPr>
        <w:t xml:space="preserve"> (cantons, LGUs, and utility companies).</w:t>
      </w:r>
    </w:p>
    <w:p w14:paraId="0AC198E5" w14:textId="49396946" w:rsidR="008F71EF" w:rsidRPr="007C4D65" w:rsidRDefault="00DB3800" w:rsidP="008F71EF">
      <w:pPr>
        <w:spacing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Environmental d</w:t>
      </w:r>
      <w:r w:rsidR="008F71EF" w:rsidRPr="007C4D65">
        <w:rPr>
          <w:rFonts w:asciiTheme="minorHAnsi" w:hAnsiTheme="minorHAnsi" w:cstheme="minorHAnsi"/>
          <w:i/>
          <w:sz w:val="22"/>
          <w:szCs w:val="22"/>
          <w:u w:val="single"/>
        </w:rPr>
        <w:t xml:space="preserve">ata collection, </w:t>
      </w:r>
      <w:r w:rsidR="001B4E0A" w:rsidRPr="007C4D65">
        <w:rPr>
          <w:rFonts w:asciiTheme="minorHAnsi" w:hAnsiTheme="minorHAnsi" w:cstheme="minorHAnsi"/>
          <w:i/>
          <w:sz w:val="22"/>
          <w:szCs w:val="22"/>
          <w:u w:val="single"/>
        </w:rPr>
        <w:t>sharing</w:t>
      </w:r>
      <w:r w:rsidR="008F71EF" w:rsidRPr="007C4D65">
        <w:rPr>
          <w:rFonts w:asciiTheme="minorHAnsi" w:hAnsiTheme="minorHAnsi" w:cstheme="minorHAnsi"/>
          <w:i/>
          <w:sz w:val="22"/>
          <w:szCs w:val="22"/>
          <w:u w:val="single"/>
        </w:rPr>
        <w:t xml:space="preserve"> and reporting, and statistics (water)</w:t>
      </w:r>
    </w:p>
    <w:p w14:paraId="401350F9" w14:textId="57772428"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As is the case with the whole environment sector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the water sector</w:t>
      </w:r>
      <w:r w:rsidR="00DB3800" w:rsidRPr="007C4D65">
        <w:rPr>
          <w:rFonts w:asciiTheme="minorHAnsi" w:hAnsiTheme="minorHAnsi" w:cstheme="minorHAnsi"/>
          <w:sz w:val="22"/>
          <w:szCs w:val="22"/>
        </w:rPr>
        <w:t xml:space="preserve"> also</w:t>
      </w:r>
      <w:r w:rsidRPr="007C4D65">
        <w:rPr>
          <w:rFonts w:asciiTheme="minorHAnsi" w:hAnsiTheme="minorHAnsi" w:cstheme="minorHAnsi"/>
          <w:sz w:val="22"/>
          <w:szCs w:val="22"/>
        </w:rPr>
        <w:t xml:space="preserve"> </w:t>
      </w:r>
      <w:r w:rsidR="00DB3800" w:rsidRPr="007C4D65">
        <w:rPr>
          <w:rFonts w:asciiTheme="minorHAnsi" w:hAnsiTheme="minorHAnsi" w:cstheme="minorHAnsi"/>
          <w:sz w:val="22"/>
          <w:szCs w:val="22"/>
        </w:rPr>
        <w:t>lacks</w:t>
      </w:r>
      <w:r w:rsidRPr="007C4D65">
        <w:rPr>
          <w:rFonts w:asciiTheme="minorHAnsi" w:hAnsiTheme="minorHAnsi" w:cstheme="minorHAnsi"/>
          <w:sz w:val="22"/>
          <w:szCs w:val="22"/>
        </w:rPr>
        <w:t xml:space="preserve"> a standardized system or method for </w:t>
      </w:r>
      <w:r w:rsidR="00DB3800" w:rsidRPr="007C4D65">
        <w:rPr>
          <w:rFonts w:asciiTheme="minorHAnsi" w:hAnsiTheme="minorHAnsi" w:cstheme="minorHAnsi"/>
          <w:sz w:val="22"/>
          <w:szCs w:val="22"/>
        </w:rPr>
        <w:t xml:space="preserve">environmental (water) </w:t>
      </w:r>
      <w:r w:rsidRPr="007C4D65">
        <w:rPr>
          <w:rFonts w:asciiTheme="minorHAnsi" w:hAnsiTheme="minorHAnsi" w:cstheme="minorHAnsi"/>
          <w:sz w:val="22"/>
          <w:szCs w:val="22"/>
        </w:rPr>
        <w:t xml:space="preserve">data collection, </w:t>
      </w:r>
      <w:r w:rsidR="00DB3800" w:rsidRPr="007C4D65">
        <w:rPr>
          <w:rFonts w:asciiTheme="minorHAnsi" w:hAnsiTheme="minorHAnsi" w:cstheme="minorHAnsi"/>
          <w:sz w:val="22"/>
          <w:szCs w:val="22"/>
        </w:rPr>
        <w:t>exchange,</w:t>
      </w:r>
      <w:r w:rsidRPr="007C4D65">
        <w:rPr>
          <w:rFonts w:asciiTheme="minorHAnsi" w:hAnsiTheme="minorHAnsi" w:cstheme="minorHAnsi"/>
          <w:sz w:val="22"/>
          <w:szCs w:val="22"/>
        </w:rPr>
        <w:t xml:space="preserve"> reporting</w:t>
      </w:r>
      <w:r w:rsidR="00DB3800" w:rsidRPr="007C4D65">
        <w:rPr>
          <w:rFonts w:asciiTheme="minorHAnsi" w:hAnsiTheme="minorHAnsi" w:cstheme="minorHAnsi"/>
          <w:sz w:val="22"/>
          <w:szCs w:val="22"/>
        </w:rPr>
        <w:t>,</w:t>
      </w:r>
      <w:r w:rsidRPr="007C4D65">
        <w:rPr>
          <w:rFonts w:asciiTheme="minorHAnsi" w:hAnsiTheme="minorHAnsi" w:cstheme="minorHAnsi"/>
          <w:sz w:val="22"/>
          <w:szCs w:val="22"/>
        </w:rPr>
        <w:t xml:space="preserve"> and statistics.</w:t>
      </w:r>
    </w:p>
    <w:p w14:paraId="40163ABF" w14:textId="78450D78" w:rsidR="008F71EF" w:rsidRPr="007C4D65" w:rsidRDefault="008F71EF" w:rsidP="008F71EF">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This matter is elaborated in more detail in the section Environmental Management of this Strategy (Chapter 10) and in </w:t>
      </w:r>
      <w:r w:rsidR="00DB3800" w:rsidRPr="007C4D65">
        <w:rPr>
          <w:rFonts w:asciiTheme="minorHAnsi" w:hAnsiTheme="minorHAnsi" w:cstheme="minorHAnsi"/>
          <w:sz w:val="22"/>
          <w:szCs w:val="22"/>
        </w:rPr>
        <w:t xml:space="preserve">the </w:t>
      </w:r>
      <w:r w:rsidRPr="007C4D65">
        <w:rPr>
          <w:rFonts w:asciiTheme="minorHAnsi" w:hAnsiTheme="minorHAnsi" w:cstheme="minorHAnsi"/>
          <w:sz w:val="22"/>
          <w:szCs w:val="22"/>
        </w:rPr>
        <w:t>appropriate Environment Management Action Plan (Annex 8, Chapter 13.8.7).</w:t>
      </w:r>
    </w:p>
    <w:p w14:paraId="4464FAC5" w14:textId="774F41E6" w:rsidR="00597D54" w:rsidRPr="007C4D65" w:rsidRDefault="00597D54" w:rsidP="0068355A">
      <w:pPr>
        <w:spacing w:after="160" w:line="276" w:lineRule="auto"/>
        <w:rPr>
          <w:rFonts w:asciiTheme="minorHAnsi" w:hAnsiTheme="minorHAnsi" w:cstheme="minorHAnsi"/>
          <w:sz w:val="22"/>
          <w:szCs w:val="22"/>
        </w:rPr>
      </w:pPr>
    </w:p>
    <w:p w14:paraId="70F5414A" w14:textId="30CEC77A" w:rsidR="001019C7" w:rsidRPr="007C4D65" w:rsidRDefault="00373D3F">
      <w:pPr>
        <w:pStyle w:val="Head2"/>
        <w:spacing w:line="276" w:lineRule="auto"/>
        <w:rPr>
          <w:rFonts w:asciiTheme="minorHAnsi" w:hAnsiTheme="minorHAnsi"/>
          <w:sz w:val="22"/>
          <w:szCs w:val="22"/>
        </w:rPr>
      </w:pPr>
      <w:bookmarkStart w:id="76" w:name="_Toc117445331"/>
      <w:r w:rsidRPr="007C4D65">
        <w:rPr>
          <w:rFonts w:asciiTheme="minorHAnsi" w:hAnsiTheme="minorHAnsi"/>
        </w:rPr>
        <w:t>Strategic goal</w:t>
      </w:r>
      <w:r w:rsidR="00597D54" w:rsidRPr="007C4D65">
        <w:rPr>
          <w:rFonts w:asciiTheme="minorHAnsi" w:hAnsiTheme="minorHAnsi"/>
        </w:rPr>
        <w:t xml:space="preserve"> 1</w:t>
      </w:r>
      <w:bookmarkEnd w:id="76"/>
    </w:p>
    <w:p w14:paraId="394B4690" w14:textId="2386D88C" w:rsidR="008218CA" w:rsidRPr="007C4D65" w:rsidRDefault="001019C7" w:rsidP="008218CA">
      <w:pPr>
        <w:spacing w:before="240" w:after="240" w:line="276" w:lineRule="auto"/>
        <w:jc w:val="both"/>
        <w:rPr>
          <w:rFonts w:asciiTheme="minorHAnsi" w:eastAsiaTheme="minorHAnsi" w:hAnsiTheme="minorHAnsi" w:cstheme="minorHAnsi"/>
          <w:sz w:val="22"/>
          <w:szCs w:val="22"/>
          <w:lang w:eastAsia="en-US"/>
        </w:rPr>
      </w:pPr>
      <w:r w:rsidRPr="007C4D65">
        <w:rPr>
          <w:rFonts w:asciiTheme="minorHAnsi" w:hAnsiTheme="minorHAnsi" w:cstheme="minorHAnsi"/>
          <w:b/>
          <w:sz w:val="22"/>
        </w:rPr>
        <w:t>Strategic goal 1</w:t>
      </w:r>
      <w:r w:rsidR="001B4E0A" w:rsidRPr="007C4D65">
        <w:rPr>
          <w:rFonts w:asciiTheme="minorHAnsi" w:hAnsiTheme="minorHAnsi" w:cstheme="minorHAnsi"/>
          <w:b/>
          <w:sz w:val="22"/>
        </w:rPr>
        <w:t xml:space="preserve"> -</w:t>
      </w:r>
      <w:r w:rsidRPr="007C4D65">
        <w:rPr>
          <w:rFonts w:asciiTheme="minorHAnsi" w:hAnsiTheme="minorHAnsi" w:cstheme="minorHAnsi"/>
          <w:b/>
          <w:sz w:val="22"/>
        </w:rPr>
        <w:t xml:space="preserve"> </w:t>
      </w:r>
      <w:r w:rsidR="008218CA" w:rsidRPr="007C4D65">
        <w:rPr>
          <w:rFonts w:asciiTheme="minorHAnsi" w:hAnsiTheme="minorHAnsi" w:cstheme="minorHAnsi"/>
          <w:b/>
          <w:sz w:val="22"/>
        </w:rPr>
        <w:t>Protecting water quality and ensuring access to and sustainable management of water resources</w:t>
      </w:r>
      <w:r w:rsidR="008218CA" w:rsidRPr="007C4D65">
        <w:rPr>
          <w:rFonts w:asciiTheme="minorHAnsi" w:eastAsiaTheme="minorHAnsi" w:hAnsiTheme="minorHAnsi" w:cstheme="minorHAnsi"/>
          <w:b/>
          <w:sz w:val="22"/>
        </w:rPr>
        <w:t xml:space="preserve"> </w:t>
      </w:r>
    </w:p>
    <w:p w14:paraId="5187386D" w14:textId="7048F0D0" w:rsidR="00373D3F" w:rsidRPr="007C4D65" w:rsidRDefault="00373D3F" w:rsidP="008218CA">
      <w:pPr>
        <w:spacing w:before="240" w:after="240" w:line="276" w:lineRule="auto"/>
        <w:jc w:val="both"/>
        <w:rPr>
          <w:rFonts w:asciiTheme="minorHAnsi" w:hAnsiTheme="minorHAnsi" w:cstheme="minorHAnsi"/>
          <w:color w:val="000000"/>
          <w:sz w:val="22"/>
          <w:szCs w:val="22"/>
          <w:lang w:eastAsia="en-US"/>
        </w:rPr>
      </w:pPr>
      <w:r w:rsidRPr="007C4D65">
        <w:rPr>
          <w:rFonts w:asciiTheme="minorHAnsi" w:eastAsiaTheme="minorHAnsi" w:hAnsiTheme="minorHAnsi" w:cstheme="minorHAnsi"/>
          <w:sz w:val="22"/>
          <w:szCs w:val="22"/>
          <w:lang w:eastAsia="en-US"/>
        </w:rPr>
        <w:t xml:space="preserve">Strategic objective includes thematic areas such as drinking water, </w:t>
      </w:r>
      <w:proofErr w:type="gramStart"/>
      <w:r w:rsidRPr="007C4D65">
        <w:rPr>
          <w:rFonts w:asciiTheme="minorHAnsi" w:eastAsiaTheme="minorHAnsi" w:hAnsiTheme="minorHAnsi" w:cstheme="minorHAnsi"/>
          <w:sz w:val="22"/>
          <w:szCs w:val="22"/>
          <w:lang w:eastAsia="en-US"/>
        </w:rPr>
        <w:t>waste water</w:t>
      </w:r>
      <w:proofErr w:type="gramEnd"/>
      <w:r w:rsidRPr="007C4D65">
        <w:rPr>
          <w:rFonts w:asciiTheme="minorHAnsi" w:eastAsiaTheme="minorHAnsi" w:hAnsiTheme="minorHAnsi" w:cstheme="minorHAnsi"/>
          <w:sz w:val="22"/>
          <w:szCs w:val="22"/>
          <w:lang w:eastAsia="en-US"/>
        </w:rPr>
        <w:t>, bathing water, use/consumption of water, water ecosystems, river basin management, drainage, management of nutrients in agriculture, as well as sea water</w:t>
      </w:r>
      <w:r w:rsidRPr="007C4D65">
        <w:rPr>
          <w:rFonts w:asciiTheme="minorHAnsi" w:eastAsiaTheme="minorHAnsi" w:hAnsiTheme="minorHAnsi" w:cstheme="minorHAnsi"/>
          <w:color w:val="000000"/>
          <w:sz w:val="22"/>
          <w:szCs w:val="22"/>
          <w:lang w:eastAsia="en-US"/>
        </w:rPr>
        <w:t>.</w:t>
      </w:r>
      <w:r w:rsidRPr="007C4D65">
        <w:rPr>
          <w:rFonts w:asciiTheme="minorHAnsi" w:hAnsiTheme="minorHAnsi" w:cstheme="minorHAnsi"/>
          <w:color w:val="000000"/>
          <w:sz w:val="22"/>
          <w:szCs w:val="22"/>
          <w:lang w:eastAsia="en-US"/>
        </w:rPr>
        <w:t xml:space="preserve"> </w:t>
      </w:r>
    </w:p>
    <w:p w14:paraId="4B8C9F43" w14:textId="23A3DCA8" w:rsidR="00373D3F" w:rsidRPr="007C4D65" w:rsidRDefault="00373D3F" w:rsidP="00373D3F">
      <w:pPr>
        <w:pStyle w:val="Caption"/>
        <w:spacing w:line="276" w:lineRule="auto"/>
        <w:rPr>
          <w:rFonts w:asciiTheme="minorHAnsi" w:hAnsiTheme="minorHAnsi" w:cstheme="minorHAnsi"/>
          <w:bCs/>
        </w:rPr>
      </w:pPr>
      <w:bookmarkStart w:id="77" w:name="_Toc109842437"/>
      <w:bookmarkStart w:id="78" w:name="_Toc117011587"/>
      <w:r w:rsidRPr="007C4D65">
        <w:rPr>
          <w:rFonts w:asciiTheme="minorHAnsi" w:hAnsiTheme="minorHAnsi" w:cstheme="minorHAnsi"/>
        </w:rPr>
        <w:t>Table</w:t>
      </w:r>
      <w:r w:rsidR="00B6017F" w:rsidRPr="007C4D65">
        <w:rPr>
          <w:rFonts w:asciiTheme="minorHAnsi" w:hAnsiTheme="minorHAnsi" w:cstheme="minorHAnsi"/>
        </w:rPr>
        <w:t xml:space="preserve"> </w:t>
      </w:r>
      <w:r w:rsidR="005D60DA" w:rsidRPr="007C4D65">
        <w:rPr>
          <w:rFonts w:asciiTheme="minorHAnsi" w:hAnsiTheme="minorHAnsi" w:cstheme="minorHAnsi"/>
        </w:rPr>
        <w:fldChar w:fldCharType="begin"/>
      </w:r>
      <w:r w:rsidR="005D60DA" w:rsidRPr="007C4D65">
        <w:rPr>
          <w:rFonts w:asciiTheme="minorHAnsi" w:hAnsiTheme="minorHAnsi" w:cstheme="minorHAnsi"/>
        </w:rPr>
        <w:instrText xml:space="preserve"> SEQ Tabela \* ARABIC </w:instrText>
      </w:r>
      <w:r w:rsidR="005D60DA" w:rsidRPr="007C4D65">
        <w:rPr>
          <w:rFonts w:asciiTheme="minorHAnsi" w:hAnsiTheme="minorHAnsi" w:cstheme="minorHAnsi"/>
        </w:rPr>
        <w:fldChar w:fldCharType="separate"/>
      </w:r>
      <w:r w:rsidR="005D60DA" w:rsidRPr="007C4D65">
        <w:rPr>
          <w:rFonts w:asciiTheme="minorHAnsi" w:hAnsiTheme="minorHAnsi" w:cstheme="minorHAnsi"/>
          <w:noProof/>
        </w:rPr>
        <w:t>8</w:t>
      </w:r>
      <w:r w:rsidR="005D60DA" w:rsidRPr="007C4D65">
        <w:rPr>
          <w:rFonts w:asciiTheme="minorHAnsi" w:hAnsiTheme="minorHAnsi" w:cstheme="minorHAnsi"/>
        </w:rPr>
        <w:fldChar w:fldCharType="end"/>
      </w:r>
      <w:r w:rsidRPr="007C4D65">
        <w:rPr>
          <w:rFonts w:asciiTheme="minorHAnsi" w:hAnsiTheme="minorHAnsi" w:cstheme="minorHAnsi"/>
          <w:szCs w:val="20"/>
        </w:rPr>
        <w:t xml:space="preserve">: </w:t>
      </w:r>
      <w:r w:rsidRPr="007C4D65">
        <w:rPr>
          <w:rFonts w:asciiTheme="minorHAnsi" w:hAnsiTheme="minorHAnsi" w:cstheme="minorHAnsi"/>
          <w:b w:val="0"/>
          <w:szCs w:val="20"/>
        </w:rPr>
        <w:t xml:space="preserve">Impact indicators for Strategic </w:t>
      </w:r>
      <w:r w:rsidR="001B4E0A" w:rsidRPr="007C4D65">
        <w:rPr>
          <w:rFonts w:asciiTheme="minorHAnsi" w:hAnsiTheme="minorHAnsi" w:cstheme="minorHAnsi"/>
          <w:b w:val="0"/>
          <w:szCs w:val="20"/>
        </w:rPr>
        <w:t>goal</w:t>
      </w:r>
      <w:r w:rsidRPr="007C4D65">
        <w:rPr>
          <w:rFonts w:asciiTheme="minorHAnsi" w:hAnsiTheme="minorHAnsi" w:cstheme="minorHAnsi"/>
          <w:b w:val="0"/>
          <w:szCs w:val="20"/>
        </w:rPr>
        <w:t xml:space="preserve"> 1</w:t>
      </w:r>
      <w:bookmarkEnd w:id="77"/>
      <w:bookmarkEnd w:id="78"/>
    </w:p>
    <w:tbl>
      <w:tblPr>
        <w:tblW w:w="8926" w:type="dxa"/>
        <w:tblInd w:w="113" w:type="dxa"/>
        <w:tblLook w:val="04A0" w:firstRow="1" w:lastRow="0" w:firstColumn="1" w:lastColumn="0" w:noHBand="0" w:noVBand="1"/>
      </w:tblPr>
      <w:tblGrid>
        <w:gridCol w:w="2122"/>
        <w:gridCol w:w="2268"/>
        <w:gridCol w:w="2268"/>
        <w:gridCol w:w="2268"/>
      </w:tblGrid>
      <w:tr w:rsidR="00373D3F" w:rsidRPr="007C4D65" w14:paraId="3EDA4381" w14:textId="77777777" w:rsidTr="00B6017F">
        <w:trPr>
          <w:trHeight w:val="421"/>
        </w:trPr>
        <w:tc>
          <w:tcPr>
            <w:tcW w:w="2122" w:type="dxa"/>
            <w:shd w:val="clear" w:color="auto" w:fill="009D73"/>
            <w:vAlign w:val="center"/>
          </w:tcPr>
          <w:p w14:paraId="6CC6BC3B" w14:textId="77777777" w:rsidR="00373D3F" w:rsidRPr="007C4D65" w:rsidRDefault="00373D3F" w:rsidP="00B6017F">
            <w:pPr>
              <w:tabs>
                <w:tab w:val="left" w:pos="955"/>
              </w:tabs>
              <w:spacing w:line="276" w:lineRule="auto"/>
              <w:jc w:val="center"/>
              <w:rPr>
                <w:rFonts w:asciiTheme="minorHAnsi" w:hAnsiTheme="minorHAnsi" w:cstheme="minorHAnsi"/>
                <w:b/>
                <w:color w:val="FFFFFF" w:themeColor="background1"/>
                <w:sz w:val="18"/>
                <w:szCs w:val="18"/>
                <w:lang w:eastAsia="hr-HR"/>
              </w:rPr>
            </w:pPr>
            <w:bookmarkStart w:id="79" w:name="_Hlk94260838"/>
            <w:r w:rsidRPr="007C4D65">
              <w:rPr>
                <w:rFonts w:asciiTheme="minorHAnsi" w:hAnsiTheme="minorHAnsi" w:cstheme="minorHAnsi"/>
                <w:b/>
                <w:color w:val="FFFFFF" w:themeColor="background1"/>
                <w:sz w:val="18"/>
                <w:szCs w:val="18"/>
                <w:lang w:eastAsia="hr-HR"/>
              </w:rPr>
              <w:lastRenderedPageBreak/>
              <w:t>Strategic objective 1</w:t>
            </w:r>
          </w:p>
        </w:tc>
        <w:tc>
          <w:tcPr>
            <w:tcW w:w="2268" w:type="dxa"/>
            <w:shd w:val="clear" w:color="auto" w:fill="009D73"/>
            <w:vAlign w:val="center"/>
          </w:tcPr>
          <w:p w14:paraId="1F301D0B" w14:textId="77777777" w:rsidR="00373D3F" w:rsidRPr="007C4D65" w:rsidRDefault="00373D3F" w:rsidP="00B6017F">
            <w:pPr>
              <w:tabs>
                <w:tab w:val="left" w:pos="955"/>
              </w:tabs>
              <w:spacing w:line="276" w:lineRule="auto"/>
              <w:jc w:val="center"/>
              <w:rPr>
                <w:rFonts w:asciiTheme="minorHAnsi" w:hAnsiTheme="minorHAnsi" w:cstheme="minorHAnsi"/>
                <w:b/>
                <w:bCs/>
                <w:color w:val="FFFFFF" w:themeColor="background1"/>
                <w:sz w:val="18"/>
                <w:szCs w:val="18"/>
                <w:lang w:eastAsia="hr-HR"/>
              </w:rPr>
            </w:pPr>
            <w:r w:rsidRPr="007C4D65">
              <w:rPr>
                <w:rFonts w:asciiTheme="minorHAnsi" w:hAnsiTheme="minorHAnsi" w:cstheme="minorHAnsi"/>
                <w:b/>
                <w:bCs/>
                <w:color w:val="FFFFFF" w:themeColor="background1"/>
                <w:sz w:val="18"/>
                <w:szCs w:val="18"/>
                <w:lang w:eastAsia="hr-HR"/>
              </w:rPr>
              <w:t>Impact indicators</w:t>
            </w:r>
          </w:p>
        </w:tc>
        <w:tc>
          <w:tcPr>
            <w:tcW w:w="2268" w:type="dxa"/>
            <w:shd w:val="clear" w:color="auto" w:fill="009D73"/>
            <w:vAlign w:val="center"/>
          </w:tcPr>
          <w:p w14:paraId="13D70158" w14:textId="77777777" w:rsidR="00373D3F" w:rsidRPr="007C4D65" w:rsidRDefault="00373D3F" w:rsidP="00B6017F">
            <w:pPr>
              <w:tabs>
                <w:tab w:val="left" w:pos="955"/>
              </w:tabs>
              <w:spacing w:line="276" w:lineRule="auto"/>
              <w:jc w:val="center"/>
              <w:rPr>
                <w:rFonts w:asciiTheme="minorHAnsi" w:hAnsiTheme="minorHAnsi" w:cstheme="minorHAnsi"/>
                <w:b/>
                <w:bCs/>
                <w:color w:val="FFFFFF" w:themeColor="background1"/>
                <w:sz w:val="18"/>
                <w:szCs w:val="18"/>
                <w:lang w:eastAsia="hr-HR"/>
              </w:rPr>
            </w:pPr>
            <w:r w:rsidRPr="007C4D65">
              <w:rPr>
                <w:rFonts w:asciiTheme="minorHAnsi" w:hAnsiTheme="minorHAnsi" w:cstheme="minorHAnsi"/>
                <w:b/>
                <w:bCs/>
                <w:color w:val="FFFFFF" w:themeColor="background1"/>
                <w:sz w:val="18"/>
                <w:szCs w:val="18"/>
                <w:lang w:eastAsia="hr-HR"/>
              </w:rPr>
              <w:t>Baseline value</w:t>
            </w:r>
          </w:p>
        </w:tc>
        <w:tc>
          <w:tcPr>
            <w:tcW w:w="2268" w:type="dxa"/>
            <w:shd w:val="clear" w:color="auto" w:fill="009D73"/>
            <w:vAlign w:val="center"/>
          </w:tcPr>
          <w:p w14:paraId="3A5B5859" w14:textId="77777777" w:rsidR="00373D3F" w:rsidRPr="007C4D65" w:rsidRDefault="00373D3F" w:rsidP="00B6017F">
            <w:pPr>
              <w:tabs>
                <w:tab w:val="left" w:pos="955"/>
              </w:tabs>
              <w:spacing w:line="276" w:lineRule="auto"/>
              <w:jc w:val="center"/>
              <w:rPr>
                <w:rFonts w:asciiTheme="minorHAnsi" w:hAnsiTheme="minorHAnsi" w:cstheme="minorHAnsi"/>
                <w:b/>
                <w:bCs/>
                <w:color w:val="FFFFFF" w:themeColor="background1"/>
                <w:sz w:val="18"/>
                <w:szCs w:val="18"/>
                <w:lang w:eastAsia="hr-HR"/>
              </w:rPr>
            </w:pPr>
            <w:r w:rsidRPr="007C4D65">
              <w:rPr>
                <w:rFonts w:asciiTheme="minorHAnsi" w:hAnsiTheme="minorHAnsi" w:cstheme="minorHAnsi"/>
                <w:b/>
                <w:bCs/>
                <w:color w:val="FFFFFF" w:themeColor="background1"/>
                <w:sz w:val="18"/>
                <w:szCs w:val="18"/>
                <w:lang w:eastAsia="hr-HR"/>
              </w:rPr>
              <w:t>Target value</w:t>
            </w:r>
          </w:p>
          <w:p w14:paraId="5D591DD4" w14:textId="45003EE1" w:rsidR="00373D3F" w:rsidRPr="007C4D65" w:rsidRDefault="00373D3F" w:rsidP="00B6017F">
            <w:pPr>
              <w:tabs>
                <w:tab w:val="left" w:pos="955"/>
              </w:tabs>
              <w:spacing w:line="276" w:lineRule="auto"/>
              <w:jc w:val="center"/>
              <w:rPr>
                <w:rFonts w:asciiTheme="minorHAnsi" w:hAnsiTheme="minorHAnsi" w:cstheme="minorHAnsi"/>
                <w:b/>
                <w:bCs/>
                <w:color w:val="FFFFFF" w:themeColor="background1"/>
                <w:sz w:val="18"/>
                <w:szCs w:val="18"/>
                <w:lang w:eastAsia="hr-HR"/>
              </w:rPr>
            </w:pPr>
            <w:r w:rsidRPr="007C4D65">
              <w:rPr>
                <w:rFonts w:asciiTheme="minorHAnsi" w:hAnsiTheme="minorHAnsi" w:cstheme="minorHAnsi"/>
                <w:b/>
                <w:bCs/>
                <w:color w:val="FFFFFF" w:themeColor="background1"/>
                <w:sz w:val="18"/>
                <w:szCs w:val="18"/>
                <w:lang w:eastAsia="hr-HR"/>
              </w:rPr>
              <w:t>(</w:t>
            </w:r>
            <w:proofErr w:type="gramStart"/>
            <w:r w:rsidRPr="007C4D65">
              <w:rPr>
                <w:rFonts w:asciiTheme="minorHAnsi" w:hAnsiTheme="minorHAnsi" w:cstheme="minorHAnsi"/>
                <w:b/>
                <w:bCs/>
                <w:color w:val="FFFFFF" w:themeColor="background1"/>
                <w:sz w:val="18"/>
                <w:szCs w:val="18"/>
                <w:lang w:eastAsia="hr-HR"/>
              </w:rPr>
              <w:t>to</w:t>
            </w:r>
            <w:proofErr w:type="gramEnd"/>
            <w:r w:rsidRPr="007C4D65">
              <w:rPr>
                <w:rFonts w:asciiTheme="minorHAnsi" w:hAnsiTheme="minorHAnsi" w:cstheme="minorHAnsi"/>
                <w:b/>
                <w:bCs/>
                <w:color w:val="FFFFFF" w:themeColor="background1"/>
                <w:sz w:val="18"/>
                <w:szCs w:val="18"/>
                <w:lang w:eastAsia="hr-HR"/>
              </w:rPr>
              <w:t xml:space="preserve"> be determine</w:t>
            </w:r>
            <w:r w:rsidR="00590DCE" w:rsidRPr="007C4D65">
              <w:rPr>
                <w:rFonts w:asciiTheme="minorHAnsi" w:hAnsiTheme="minorHAnsi" w:cstheme="minorHAnsi"/>
                <w:b/>
                <w:bCs/>
                <w:color w:val="FFFFFF" w:themeColor="background1"/>
                <w:sz w:val="18"/>
                <w:szCs w:val="18"/>
                <w:lang w:eastAsia="hr-HR"/>
              </w:rPr>
              <w:t>d</w:t>
            </w:r>
            <w:r w:rsidRPr="007C4D65">
              <w:rPr>
                <w:rFonts w:asciiTheme="minorHAnsi" w:hAnsiTheme="minorHAnsi" w:cstheme="minorHAnsi"/>
                <w:b/>
                <w:bCs/>
                <w:color w:val="FFFFFF" w:themeColor="background1"/>
                <w:sz w:val="18"/>
                <w:szCs w:val="18"/>
                <w:lang w:eastAsia="hr-HR"/>
              </w:rPr>
              <w:t xml:space="preserve"> in initial years of implementation)</w:t>
            </w:r>
          </w:p>
        </w:tc>
      </w:tr>
      <w:tr w:rsidR="00373D3F" w:rsidRPr="007C4D65" w14:paraId="3132D5A1" w14:textId="77777777" w:rsidTr="00B6017F">
        <w:trPr>
          <w:trHeight w:val="360"/>
        </w:trPr>
        <w:tc>
          <w:tcPr>
            <w:tcW w:w="2122" w:type="dxa"/>
            <w:vMerge w:val="restart"/>
            <w:vAlign w:val="center"/>
          </w:tcPr>
          <w:p w14:paraId="565C7E82" w14:textId="77777777" w:rsidR="00373D3F" w:rsidRPr="007C4D65" w:rsidRDefault="00373D3F" w:rsidP="00B6017F">
            <w:pPr>
              <w:tabs>
                <w:tab w:val="left" w:pos="955"/>
              </w:tabs>
              <w:spacing w:line="276" w:lineRule="auto"/>
              <w:rPr>
                <w:rFonts w:asciiTheme="minorHAnsi" w:hAnsiTheme="minorHAnsi" w:cstheme="minorHAnsi"/>
                <w:b/>
                <w:bCs/>
                <w:sz w:val="18"/>
                <w:szCs w:val="18"/>
                <w:lang w:eastAsia="hr-HR"/>
              </w:rPr>
            </w:pPr>
            <w:r w:rsidRPr="007C4D65">
              <w:rPr>
                <w:rFonts w:asciiTheme="minorHAnsi" w:hAnsiTheme="minorHAnsi" w:cstheme="minorHAnsi"/>
                <w:i/>
                <w:iCs/>
                <w:sz w:val="18"/>
                <w:szCs w:val="18"/>
                <w:lang w:eastAsia="hr-HR"/>
              </w:rPr>
              <w:t>Protect water quality and ensure water resources availability and sustainability</w:t>
            </w:r>
          </w:p>
        </w:tc>
        <w:tc>
          <w:tcPr>
            <w:tcW w:w="2268" w:type="dxa"/>
            <w:vAlign w:val="center"/>
          </w:tcPr>
          <w:p w14:paraId="356E287B" w14:textId="77777777" w:rsidR="00373D3F" w:rsidRPr="007C4D65" w:rsidRDefault="00373D3F" w:rsidP="00B6017F">
            <w:pPr>
              <w:tabs>
                <w:tab w:val="left" w:pos="955"/>
              </w:tabs>
              <w:spacing w:line="276" w:lineRule="auto"/>
              <w:rPr>
                <w:rFonts w:asciiTheme="minorHAnsi" w:hAnsiTheme="minorHAnsi" w:cstheme="minorHAnsi"/>
                <w:sz w:val="18"/>
                <w:szCs w:val="18"/>
                <w:lang w:eastAsia="hr-HR"/>
              </w:rPr>
            </w:pPr>
            <w:r w:rsidRPr="007C4D65">
              <w:rPr>
                <w:rFonts w:asciiTheme="minorHAnsi" w:hAnsiTheme="minorHAnsi" w:cstheme="minorHAnsi"/>
                <w:b/>
                <w:bCs/>
                <w:sz w:val="18"/>
                <w:szCs w:val="18"/>
                <w:lang w:eastAsia="hr-HR"/>
              </w:rPr>
              <w:t>Treated water – total, 000 m</w:t>
            </w:r>
            <w:r w:rsidRPr="007C4D65">
              <w:rPr>
                <w:rFonts w:asciiTheme="minorHAnsi" w:hAnsiTheme="minorHAnsi" w:cstheme="minorHAnsi"/>
                <w:b/>
                <w:bCs/>
                <w:sz w:val="18"/>
                <w:szCs w:val="18"/>
                <w:vertAlign w:val="superscript"/>
                <w:lang w:eastAsia="hr-HR"/>
              </w:rPr>
              <w:t>3</w:t>
            </w:r>
          </w:p>
        </w:tc>
        <w:tc>
          <w:tcPr>
            <w:tcW w:w="2268" w:type="dxa"/>
            <w:vAlign w:val="center"/>
          </w:tcPr>
          <w:p w14:paraId="5E13B5B2" w14:textId="77777777" w:rsidR="00373D3F" w:rsidRPr="007C4D65" w:rsidRDefault="00373D3F" w:rsidP="00B6017F">
            <w:pPr>
              <w:spacing w:line="276" w:lineRule="auto"/>
              <w:jc w:val="center"/>
              <w:rPr>
                <w:rFonts w:asciiTheme="minorHAnsi" w:hAnsiTheme="minorHAnsi" w:cstheme="minorHAnsi"/>
                <w:sz w:val="18"/>
                <w:szCs w:val="18"/>
                <w:lang w:eastAsia="hr-HR"/>
              </w:rPr>
            </w:pPr>
            <w:r w:rsidRPr="007C4D65">
              <w:rPr>
                <w:rFonts w:asciiTheme="minorHAnsi" w:hAnsiTheme="minorHAnsi" w:cstheme="minorHAnsi"/>
                <w:sz w:val="18"/>
                <w:szCs w:val="18"/>
                <w:lang w:eastAsia="hr-HR"/>
              </w:rPr>
              <w:t>48,613</w:t>
            </w:r>
          </w:p>
          <w:p w14:paraId="352E64A7" w14:textId="77777777" w:rsidR="00373D3F" w:rsidRPr="007C4D65" w:rsidRDefault="00373D3F" w:rsidP="00B6017F">
            <w:pPr>
              <w:tabs>
                <w:tab w:val="left" w:pos="955"/>
              </w:tabs>
              <w:spacing w:line="276" w:lineRule="auto"/>
              <w:jc w:val="center"/>
              <w:rPr>
                <w:rFonts w:asciiTheme="minorHAnsi" w:hAnsiTheme="minorHAnsi" w:cstheme="minorHAnsi"/>
                <w:sz w:val="18"/>
                <w:szCs w:val="18"/>
                <w:lang w:eastAsia="hr-HR"/>
              </w:rPr>
            </w:pPr>
            <w:r w:rsidRPr="007C4D65">
              <w:rPr>
                <w:rFonts w:asciiTheme="minorHAnsi" w:hAnsiTheme="minorHAnsi" w:cstheme="minorHAnsi"/>
                <w:sz w:val="18"/>
                <w:szCs w:val="18"/>
                <w:lang w:eastAsia="hr-HR"/>
              </w:rPr>
              <w:t>(2020)</w:t>
            </w:r>
          </w:p>
        </w:tc>
        <w:tc>
          <w:tcPr>
            <w:tcW w:w="2268" w:type="dxa"/>
            <w:vAlign w:val="center"/>
          </w:tcPr>
          <w:p w14:paraId="4FD81F3A" w14:textId="77777777" w:rsidR="00373D3F" w:rsidRPr="007C4D65" w:rsidRDefault="00373D3F" w:rsidP="00B6017F">
            <w:pPr>
              <w:tabs>
                <w:tab w:val="left" w:pos="955"/>
              </w:tabs>
              <w:spacing w:line="276" w:lineRule="auto"/>
              <w:jc w:val="center"/>
              <w:rPr>
                <w:rFonts w:asciiTheme="minorHAnsi" w:hAnsiTheme="minorHAnsi" w:cstheme="minorHAnsi"/>
                <w:sz w:val="18"/>
                <w:szCs w:val="18"/>
                <w:lang w:eastAsia="hr-HR"/>
              </w:rPr>
            </w:pPr>
            <w:r w:rsidRPr="007C4D65">
              <w:rPr>
                <w:rFonts w:asciiTheme="minorHAnsi" w:hAnsiTheme="minorHAnsi" w:cstheme="minorHAnsi"/>
                <w:sz w:val="18"/>
                <w:szCs w:val="18"/>
                <w:lang w:eastAsia="hr-HR"/>
              </w:rPr>
              <w:t>...</w:t>
            </w:r>
          </w:p>
        </w:tc>
      </w:tr>
      <w:tr w:rsidR="00373D3F" w:rsidRPr="007C4D65" w14:paraId="6C8283B9" w14:textId="77777777" w:rsidTr="00B6017F">
        <w:trPr>
          <w:trHeight w:val="360"/>
        </w:trPr>
        <w:tc>
          <w:tcPr>
            <w:tcW w:w="2122" w:type="dxa"/>
            <w:vMerge/>
            <w:vAlign w:val="center"/>
          </w:tcPr>
          <w:p w14:paraId="063A4800" w14:textId="77777777" w:rsidR="00373D3F" w:rsidRPr="007C4D65" w:rsidRDefault="00373D3F" w:rsidP="00B6017F">
            <w:pPr>
              <w:tabs>
                <w:tab w:val="left" w:pos="955"/>
              </w:tabs>
              <w:spacing w:line="276" w:lineRule="auto"/>
              <w:rPr>
                <w:rFonts w:asciiTheme="minorHAnsi" w:hAnsiTheme="minorHAnsi" w:cstheme="minorHAnsi"/>
                <w:b/>
                <w:bCs/>
                <w:sz w:val="18"/>
                <w:szCs w:val="18"/>
                <w:lang w:eastAsia="hr-HR"/>
              </w:rPr>
            </w:pPr>
          </w:p>
        </w:tc>
        <w:tc>
          <w:tcPr>
            <w:tcW w:w="2268" w:type="dxa"/>
            <w:vAlign w:val="center"/>
          </w:tcPr>
          <w:p w14:paraId="04E8D88F" w14:textId="77777777" w:rsidR="00373D3F" w:rsidRPr="007C4D65" w:rsidRDefault="00373D3F" w:rsidP="00B6017F">
            <w:pPr>
              <w:tabs>
                <w:tab w:val="left" w:pos="955"/>
              </w:tabs>
              <w:spacing w:line="276" w:lineRule="auto"/>
              <w:rPr>
                <w:rFonts w:asciiTheme="minorHAnsi" w:hAnsiTheme="minorHAnsi" w:cstheme="minorHAnsi"/>
                <w:sz w:val="18"/>
                <w:szCs w:val="18"/>
                <w:lang w:eastAsia="hr-HR"/>
              </w:rPr>
            </w:pPr>
            <w:r w:rsidRPr="007C4D65">
              <w:rPr>
                <w:rFonts w:asciiTheme="minorHAnsi" w:hAnsiTheme="minorHAnsi" w:cstheme="minorHAnsi"/>
                <w:b/>
                <w:bCs/>
                <w:sz w:val="18"/>
                <w:szCs w:val="18"/>
                <w:lang w:eastAsia="hr-HR"/>
              </w:rPr>
              <w:t>Share of treated waste waters in total amount of waste waters (%)</w:t>
            </w:r>
          </w:p>
        </w:tc>
        <w:tc>
          <w:tcPr>
            <w:tcW w:w="2268" w:type="dxa"/>
            <w:vAlign w:val="center"/>
          </w:tcPr>
          <w:p w14:paraId="73C88E08" w14:textId="77777777" w:rsidR="00373D3F" w:rsidRPr="007C4D65" w:rsidRDefault="00373D3F" w:rsidP="00B6017F">
            <w:pPr>
              <w:spacing w:line="276" w:lineRule="auto"/>
              <w:jc w:val="center"/>
              <w:rPr>
                <w:rFonts w:asciiTheme="minorHAnsi" w:hAnsiTheme="minorHAnsi" w:cstheme="minorHAnsi"/>
                <w:sz w:val="18"/>
                <w:szCs w:val="18"/>
                <w:lang w:eastAsia="hr-HR"/>
              </w:rPr>
            </w:pPr>
            <w:r w:rsidRPr="007C4D65">
              <w:rPr>
                <w:rFonts w:asciiTheme="minorHAnsi" w:hAnsiTheme="minorHAnsi" w:cstheme="minorHAnsi"/>
                <w:sz w:val="18"/>
                <w:szCs w:val="18"/>
                <w:lang w:eastAsia="hr-HR"/>
              </w:rPr>
              <w:t>55.8</w:t>
            </w:r>
          </w:p>
          <w:p w14:paraId="6FFDCFED" w14:textId="77777777" w:rsidR="00373D3F" w:rsidRPr="007C4D65" w:rsidRDefault="00373D3F" w:rsidP="00B6017F">
            <w:pPr>
              <w:tabs>
                <w:tab w:val="left" w:pos="955"/>
              </w:tabs>
              <w:spacing w:line="276" w:lineRule="auto"/>
              <w:jc w:val="center"/>
              <w:rPr>
                <w:rFonts w:asciiTheme="minorHAnsi" w:hAnsiTheme="minorHAnsi" w:cstheme="minorHAnsi"/>
                <w:sz w:val="18"/>
                <w:szCs w:val="18"/>
                <w:lang w:eastAsia="hr-HR"/>
              </w:rPr>
            </w:pPr>
            <w:r w:rsidRPr="007C4D65">
              <w:rPr>
                <w:rFonts w:asciiTheme="minorHAnsi" w:hAnsiTheme="minorHAnsi" w:cstheme="minorHAnsi"/>
                <w:sz w:val="18"/>
                <w:szCs w:val="18"/>
                <w:lang w:eastAsia="hr-HR"/>
              </w:rPr>
              <w:t>(2020)</w:t>
            </w:r>
          </w:p>
        </w:tc>
        <w:tc>
          <w:tcPr>
            <w:tcW w:w="2268" w:type="dxa"/>
            <w:vAlign w:val="center"/>
          </w:tcPr>
          <w:p w14:paraId="771E9D39" w14:textId="77777777" w:rsidR="00373D3F" w:rsidRPr="007C4D65" w:rsidRDefault="00373D3F" w:rsidP="00B6017F">
            <w:pPr>
              <w:tabs>
                <w:tab w:val="left" w:pos="955"/>
              </w:tabs>
              <w:spacing w:line="276" w:lineRule="auto"/>
              <w:jc w:val="center"/>
              <w:rPr>
                <w:rFonts w:asciiTheme="minorHAnsi" w:hAnsiTheme="minorHAnsi" w:cstheme="minorHAnsi"/>
                <w:sz w:val="18"/>
                <w:szCs w:val="18"/>
                <w:lang w:eastAsia="hr-HR"/>
              </w:rPr>
            </w:pPr>
            <w:r w:rsidRPr="007C4D65">
              <w:rPr>
                <w:rFonts w:asciiTheme="minorHAnsi" w:hAnsiTheme="minorHAnsi" w:cstheme="minorHAnsi"/>
                <w:sz w:val="18"/>
                <w:szCs w:val="18"/>
                <w:lang w:eastAsia="hr-HR"/>
              </w:rPr>
              <w:t>...</w:t>
            </w:r>
          </w:p>
        </w:tc>
      </w:tr>
      <w:bookmarkEnd w:id="79"/>
    </w:tbl>
    <w:p w14:paraId="6667DE56" w14:textId="77777777" w:rsidR="005A5F72" w:rsidRPr="007C4D65" w:rsidRDefault="005A5F72" w:rsidP="0068355A">
      <w:pPr>
        <w:spacing w:line="276" w:lineRule="auto"/>
        <w:rPr>
          <w:rFonts w:asciiTheme="minorHAnsi" w:hAnsiTheme="minorHAnsi" w:cstheme="minorHAnsi"/>
        </w:rPr>
      </w:pPr>
    </w:p>
    <w:p w14:paraId="39C97D62" w14:textId="5BB2D9F6" w:rsidR="000A3050" w:rsidRPr="007C4D65" w:rsidRDefault="000A3050" w:rsidP="0068355A">
      <w:pPr>
        <w:pStyle w:val="Head3"/>
        <w:numPr>
          <w:ilvl w:val="0"/>
          <w:numId w:val="0"/>
        </w:numPr>
        <w:spacing w:line="276" w:lineRule="auto"/>
        <w:ind w:left="504" w:hanging="504"/>
        <w:rPr>
          <w:rFonts w:asciiTheme="minorHAnsi" w:hAnsiTheme="minorHAnsi"/>
        </w:rPr>
      </w:pPr>
      <w:bookmarkStart w:id="80" w:name="_Toc117445332"/>
      <w:r w:rsidRPr="007C4D65">
        <w:rPr>
          <w:rFonts w:asciiTheme="minorHAnsi" w:hAnsiTheme="minorHAnsi"/>
        </w:rPr>
        <w:t>Priorit</w:t>
      </w:r>
      <w:r w:rsidR="00590DCE" w:rsidRPr="007C4D65">
        <w:rPr>
          <w:rFonts w:asciiTheme="minorHAnsi" w:hAnsiTheme="minorHAnsi"/>
        </w:rPr>
        <w:t xml:space="preserve">ies for strategic goal </w:t>
      </w:r>
      <w:r w:rsidRPr="007C4D65">
        <w:rPr>
          <w:rFonts w:asciiTheme="minorHAnsi" w:hAnsiTheme="minorHAnsi"/>
        </w:rPr>
        <w:t>1</w:t>
      </w:r>
      <w:bookmarkEnd w:id="80"/>
      <w:r w:rsidRPr="007C4D65">
        <w:rPr>
          <w:rFonts w:asciiTheme="minorHAnsi" w:hAnsiTheme="minorHAnsi"/>
        </w:rPr>
        <w:t xml:space="preserve"> </w:t>
      </w:r>
    </w:p>
    <w:p w14:paraId="0A642D8C" w14:textId="3CD10CC7" w:rsidR="00590DCE" w:rsidRPr="007C4D65" w:rsidRDefault="00590DCE" w:rsidP="00590DCE">
      <w:pPr>
        <w:spacing w:after="240" w:line="276" w:lineRule="auto"/>
        <w:jc w:val="both"/>
        <w:rPr>
          <w:rFonts w:asciiTheme="minorHAnsi" w:hAnsiTheme="minorHAnsi" w:cstheme="minorHAnsi"/>
          <w:sz w:val="22"/>
          <w:szCs w:val="22"/>
        </w:rPr>
      </w:pPr>
      <w:r w:rsidRPr="007C4D65">
        <w:rPr>
          <w:rFonts w:asciiTheme="minorHAnsi" w:hAnsiTheme="minorHAnsi" w:cstheme="minorHAnsi"/>
          <w:b/>
          <w:bCs/>
        </w:rPr>
        <w:t xml:space="preserve">Priority 1.1 Prevent deterioration and improve status of water bodies, </w:t>
      </w:r>
      <w:r w:rsidRPr="007C4D65">
        <w:rPr>
          <w:rFonts w:asciiTheme="minorHAnsi" w:hAnsiTheme="minorHAnsi" w:cstheme="minorHAnsi"/>
        </w:rPr>
        <w:t xml:space="preserve">to be achieved by implementing the Programme of Measures from the Water Basin Management Plans for the purpose of achieving environmental objectives for water </w:t>
      </w:r>
      <w:proofErr w:type="gramStart"/>
      <w:r w:rsidRPr="007C4D65">
        <w:rPr>
          <w:rFonts w:asciiTheme="minorHAnsi" w:hAnsiTheme="minorHAnsi" w:cstheme="minorHAnsi"/>
        </w:rPr>
        <w:t>bodies, and</w:t>
      </w:r>
      <w:proofErr w:type="gramEnd"/>
      <w:r w:rsidRPr="007C4D65">
        <w:rPr>
          <w:rFonts w:asciiTheme="minorHAnsi" w:hAnsiTheme="minorHAnsi" w:cstheme="minorHAnsi"/>
        </w:rPr>
        <w:t xml:space="preserve"> implementing inspection oversight of all activities that may adversely impact status of water bodies, and enforcing penalties against polluters if necessary.</w:t>
      </w:r>
    </w:p>
    <w:p w14:paraId="4033FF18" w14:textId="3AE40F1A" w:rsidR="00590DCE" w:rsidRPr="007C4D65" w:rsidRDefault="00590DCE" w:rsidP="00590DCE">
      <w:pPr>
        <w:spacing w:line="276" w:lineRule="auto"/>
        <w:jc w:val="both"/>
        <w:rPr>
          <w:rFonts w:asciiTheme="minorHAnsi" w:hAnsiTheme="minorHAnsi" w:cstheme="minorHAnsi"/>
        </w:rPr>
      </w:pPr>
      <w:r w:rsidRPr="007C4D65">
        <w:rPr>
          <w:rFonts w:asciiTheme="minorHAnsi" w:hAnsiTheme="minorHAnsi" w:cstheme="minorHAnsi"/>
          <w:b/>
          <w:bCs/>
        </w:rPr>
        <w:t xml:space="preserve">Priority 1.2 Provide conditions for achieving sustainable use of water resources, </w:t>
      </w:r>
      <w:r w:rsidRPr="007C4D65">
        <w:rPr>
          <w:rFonts w:asciiTheme="minorHAnsi" w:hAnsiTheme="minorHAnsi" w:cstheme="minorHAnsi"/>
        </w:rPr>
        <w:t>to be achieved through effective and efficient cooperation between water sector and other sectors whose activities may adversely impact water resources, improved work of inspections, preparation of technical bases by the water sector as an instrument to inform potential restrictions in use of water resources and interventions in space because of proven negative impact on quantities and status of water bodies, and measures of protection against floods, and transparent concession award process for water resources.</w:t>
      </w:r>
    </w:p>
    <w:p w14:paraId="2C8FBEAF" w14:textId="77777777" w:rsidR="00590DCE" w:rsidRPr="007C4D65" w:rsidRDefault="00590DCE" w:rsidP="00590DCE">
      <w:pPr>
        <w:spacing w:line="276" w:lineRule="auto"/>
        <w:jc w:val="both"/>
        <w:rPr>
          <w:rFonts w:asciiTheme="minorHAnsi" w:hAnsiTheme="minorHAnsi" w:cstheme="minorHAnsi"/>
          <w:b/>
          <w:bCs/>
        </w:rPr>
      </w:pPr>
    </w:p>
    <w:p w14:paraId="25CE0E24" w14:textId="5A2425FF" w:rsidR="00590DCE" w:rsidRPr="007C4D65" w:rsidRDefault="00590DCE" w:rsidP="00590DCE">
      <w:pPr>
        <w:spacing w:line="276" w:lineRule="auto"/>
        <w:jc w:val="both"/>
        <w:rPr>
          <w:rFonts w:asciiTheme="minorHAnsi" w:hAnsiTheme="minorHAnsi" w:cstheme="minorHAnsi"/>
        </w:rPr>
      </w:pPr>
      <w:r w:rsidRPr="007C4D65">
        <w:rPr>
          <w:rFonts w:asciiTheme="minorHAnsi" w:hAnsiTheme="minorHAnsi" w:cstheme="minorHAnsi"/>
          <w:b/>
          <w:bCs/>
        </w:rPr>
        <w:t xml:space="preserve">Priority 1.3 Ensuring </w:t>
      </w:r>
      <w:proofErr w:type="gramStart"/>
      <w:r w:rsidRPr="007C4D65">
        <w:rPr>
          <w:rFonts w:asciiTheme="minorHAnsi" w:hAnsiTheme="minorHAnsi" w:cstheme="minorHAnsi"/>
          <w:b/>
          <w:bCs/>
        </w:rPr>
        <w:t>sufficient quantities of</w:t>
      </w:r>
      <w:proofErr w:type="gramEnd"/>
      <w:r w:rsidRPr="007C4D65">
        <w:rPr>
          <w:rFonts w:asciiTheme="minorHAnsi" w:hAnsiTheme="minorHAnsi" w:cstheme="minorHAnsi"/>
          <w:b/>
          <w:bCs/>
        </w:rPr>
        <w:t xml:space="preserve"> drinking water and its availability for public water supply systems, </w:t>
      </w:r>
      <w:r w:rsidRPr="007C4D65">
        <w:rPr>
          <w:rFonts w:asciiTheme="minorHAnsi" w:hAnsiTheme="minorHAnsi" w:cstheme="minorHAnsi"/>
        </w:rPr>
        <w:t xml:space="preserve">to be achieved through reform of water sector services as follows: operational-technical and legislative-institutional aspects in all LGUs, including, in addition to the central water supply systems, the rural/local water supply systems too.  </w:t>
      </w:r>
    </w:p>
    <w:p w14:paraId="1FD8F07F" w14:textId="77777777" w:rsidR="00590DCE" w:rsidRPr="007C4D65" w:rsidRDefault="00590DCE" w:rsidP="00590DCE">
      <w:pPr>
        <w:spacing w:line="276" w:lineRule="auto"/>
        <w:jc w:val="both"/>
        <w:rPr>
          <w:rFonts w:asciiTheme="minorHAnsi" w:hAnsiTheme="minorHAnsi" w:cstheme="minorHAnsi"/>
          <w:b/>
          <w:bCs/>
        </w:rPr>
      </w:pPr>
    </w:p>
    <w:p w14:paraId="6D014D6C" w14:textId="37D28167" w:rsidR="00590DCE" w:rsidRPr="007C4D65" w:rsidRDefault="00590DCE" w:rsidP="00590DCE">
      <w:pPr>
        <w:spacing w:line="276" w:lineRule="auto"/>
        <w:jc w:val="both"/>
        <w:rPr>
          <w:rFonts w:asciiTheme="minorHAnsi" w:hAnsiTheme="minorHAnsi" w:cstheme="minorHAnsi"/>
        </w:rPr>
      </w:pPr>
      <w:r w:rsidRPr="007C4D65">
        <w:rPr>
          <w:rFonts w:asciiTheme="minorHAnsi" w:hAnsiTheme="minorHAnsi" w:cstheme="minorHAnsi"/>
          <w:b/>
          <w:bCs/>
        </w:rPr>
        <w:t xml:space="preserve">Priority 1.4 </w:t>
      </w:r>
      <w:r w:rsidR="00854430" w:rsidRPr="007C4D65">
        <w:rPr>
          <w:rFonts w:asciiTheme="minorHAnsi" w:hAnsiTheme="minorHAnsi" w:cstheme="minorHAnsi"/>
          <w:b/>
          <w:bCs/>
        </w:rPr>
        <w:t>Reducing the risk of extreme hydrological events by establishing a sustainable flood risk management system and adaptation to climate changes</w:t>
      </w:r>
      <w:r w:rsidRPr="007C4D65">
        <w:rPr>
          <w:rFonts w:asciiTheme="minorHAnsi" w:hAnsiTheme="minorHAnsi" w:cstheme="minorHAnsi"/>
          <w:b/>
          <w:bCs/>
        </w:rPr>
        <w:t xml:space="preserve">, </w:t>
      </w:r>
      <w:r w:rsidRPr="007C4D65">
        <w:rPr>
          <w:rFonts w:asciiTheme="minorHAnsi" w:hAnsiTheme="minorHAnsi" w:cstheme="minorHAnsi"/>
        </w:rPr>
        <w:t>to be achieved by implementing the objectives of Flood Risk Management Plan, making quality analyses and reliable assessments for the purpose of adopting decisions in the system of protection against flood, and by programming and implementing climate change adaptation measures in accordance with the developed and adopted planning documents.</w:t>
      </w:r>
    </w:p>
    <w:p w14:paraId="69CB352B" w14:textId="77777777" w:rsidR="003A16B9" w:rsidRPr="007C4D65" w:rsidRDefault="003A16B9" w:rsidP="00590DCE">
      <w:pPr>
        <w:spacing w:line="276" w:lineRule="auto"/>
        <w:jc w:val="both"/>
        <w:rPr>
          <w:rFonts w:asciiTheme="minorHAnsi" w:hAnsiTheme="minorHAnsi" w:cstheme="minorHAnsi"/>
        </w:rPr>
      </w:pPr>
    </w:p>
    <w:p w14:paraId="660419F9" w14:textId="21BB1720" w:rsidR="00590DCE" w:rsidRPr="007C4D65" w:rsidRDefault="00590DCE" w:rsidP="00590DCE">
      <w:pPr>
        <w:spacing w:line="276" w:lineRule="auto"/>
        <w:jc w:val="both"/>
        <w:rPr>
          <w:rFonts w:asciiTheme="minorHAnsi" w:hAnsiTheme="minorHAnsi" w:cstheme="minorHAnsi"/>
        </w:rPr>
      </w:pPr>
      <w:r w:rsidRPr="007C4D65">
        <w:rPr>
          <w:rFonts w:asciiTheme="minorHAnsi" w:hAnsiTheme="minorHAnsi" w:cstheme="minorHAnsi"/>
          <w:b/>
          <w:bCs/>
        </w:rPr>
        <w:t xml:space="preserve">Priority 1.5 </w:t>
      </w:r>
      <w:r w:rsidR="00854430" w:rsidRPr="007C4D65">
        <w:rPr>
          <w:rFonts w:asciiTheme="minorHAnsi" w:hAnsiTheme="minorHAnsi" w:cstheme="minorHAnsi"/>
          <w:b/>
          <w:bCs/>
        </w:rPr>
        <w:t xml:space="preserve">Developing an effective legal and institutional framework for the purpose of alignment with the </w:t>
      </w:r>
      <w:r w:rsidR="001E4D90" w:rsidRPr="007C4D65">
        <w:rPr>
          <w:rFonts w:asciiTheme="minorHAnsi" w:hAnsiTheme="minorHAnsi" w:cstheme="minorHAnsi"/>
          <w:b/>
          <w:bCs/>
        </w:rPr>
        <w:t>EU regulations</w:t>
      </w:r>
      <w:r w:rsidR="00854430" w:rsidRPr="007C4D65">
        <w:rPr>
          <w:rFonts w:asciiTheme="minorHAnsi" w:hAnsiTheme="minorHAnsi" w:cstheme="minorHAnsi"/>
          <w:b/>
          <w:bCs/>
        </w:rPr>
        <w:t xml:space="preserve"> in the water sector, and its enforcement </w:t>
      </w:r>
      <w:r w:rsidRPr="007C4D65">
        <w:rPr>
          <w:rFonts w:asciiTheme="minorHAnsi" w:hAnsiTheme="minorHAnsi" w:cstheme="minorHAnsi"/>
        </w:rPr>
        <w:t xml:space="preserve">by developing and implementing four-year programmes for integration of </w:t>
      </w:r>
      <w:r w:rsidR="001E4D90" w:rsidRPr="007C4D65">
        <w:rPr>
          <w:rFonts w:asciiTheme="minorHAnsi" w:hAnsiTheme="minorHAnsi" w:cstheme="minorHAnsi"/>
        </w:rPr>
        <w:t>EU regulations</w:t>
      </w:r>
      <w:r w:rsidRPr="007C4D65">
        <w:rPr>
          <w:rFonts w:asciiTheme="minorHAnsi" w:hAnsiTheme="minorHAnsi" w:cstheme="minorHAnsi"/>
        </w:rPr>
        <w:t xml:space="preserve"> and adaptation of legislative and institutional framework to the demands of effective approximation, improving capacities and skills of the employees in water sector institutions at all levels, and planning implementation of all EU water directives.  </w:t>
      </w:r>
    </w:p>
    <w:p w14:paraId="46655B78" w14:textId="2172DDC6" w:rsidR="00590DCE" w:rsidRPr="007C4D65" w:rsidRDefault="00590DCE" w:rsidP="00590DCE">
      <w:pPr>
        <w:spacing w:line="276" w:lineRule="auto"/>
        <w:jc w:val="both"/>
        <w:rPr>
          <w:rFonts w:asciiTheme="minorHAnsi" w:hAnsiTheme="minorHAnsi" w:cstheme="minorHAnsi"/>
        </w:rPr>
      </w:pPr>
      <w:r w:rsidRPr="007C4D65">
        <w:rPr>
          <w:rFonts w:asciiTheme="minorHAnsi" w:hAnsiTheme="minorHAnsi" w:cstheme="minorHAnsi"/>
          <w:b/>
          <w:bCs/>
        </w:rPr>
        <w:lastRenderedPageBreak/>
        <w:t xml:space="preserve">Priority 1.6 </w:t>
      </w:r>
      <w:r w:rsidR="001E4D90" w:rsidRPr="007C4D65">
        <w:rPr>
          <w:rFonts w:asciiTheme="minorHAnsi" w:hAnsiTheme="minorHAnsi" w:cstheme="minorHAnsi"/>
          <w:b/>
          <w:bCs/>
        </w:rPr>
        <w:t xml:space="preserve">Ensuring financial sustainability of the water sector </w:t>
      </w:r>
      <w:r w:rsidRPr="007C4D65">
        <w:rPr>
          <w:rFonts w:asciiTheme="minorHAnsi" w:hAnsiTheme="minorHAnsi" w:cstheme="minorHAnsi"/>
        </w:rPr>
        <w:t>by implementing financial and commercial segments of reform in the water services sector in all LGUs, improved system of collection and allocation of special water fees with implementation of appropriate rates of different fees, effective economic and financial planning for the purpose of acquiring funds from EU and other international funds, and coopera</w:t>
      </w:r>
      <w:r w:rsidR="003A16B9" w:rsidRPr="007C4D65">
        <w:rPr>
          <w:rFonts w:asciiTheme="minorHAnsi" w:hAnsiTheme="minorHAnsi" w:cstheme="minorHAnsi"/>
        </w:rPr>
        <w:t>tion between water sector and MO</w:t>
      </w:r>
      <w:r w:rsidRPr="007C4D65">
        <w:rPr>
          <w:rFonts w:asciiTheme="minorHAnsi" w:hAnsiTheme="minorHAnsi" w:cstheme="minorHAnsi"/>
        </w:rPr>
        <w:t>FTER in preparation of plans and projects for climate change adaptation that impact water resources.</w:t>
      </w:r>
    </w:p>
    <w:p w14:paraId="3972E7A8" w14:textId="77777777" w:rsidR="00590DCE" w:rsidRPr="007C4D65" w:rsidRDefault="00590DCE" w:rsidP="00590DCE">
      <w:pPr>
        <w:spacing w:line="276" w:lineRule="auto"/>
        <w:jc w:val="both"/>
        <w:rPr>
          <w:rFonts w:asciiTheme="minorHAnsi" w:hAnsiTheme="minorHAnsi" w:cstheme="minorHAnsi"/>
        </w:rPr>
      </w:pPr>
    </w:p>
    <w:p w14:paraId="082DE270" w14:textId="64171496" w:rsidR="00590DCE" w:rsidRPr="007C4D65" w:rsidRDefault="00590DCE" w:rsidP="00590DCE">
      <w:pPr>
        <w:spacing w:line="276" w:lineRule="auto"/>
        <w:rPr>
          <w:rFonts w:asciiTheme="minorHAnsi" w:hAnsiTheme="minorHAnsi" w:cstheme="minorHAnsi"/>
          <w:b/>
          <w:i/>
          <w:iCs/>
          <w:color w:val="000000"/>
          <w:sz w:val="20"/>
          <w:szCs w:val="18"/>
        </w:rPr>
      </w:pPr>
      <w:bookmarkStart w:id="81" w:name="_Toc109842438"/>
      <w:bookmarkStart w:id="82" w:name="_Toc117011588"/>
      <w:r w:rsidRPr="007C4D65">
        <w:rPr>
          <w:rFonts w:asciiTheme="minorHAnsi" w:hAnsiTheme="minorHAnsi" w:cstheme="minorHAnsi"/>
          <w:b/>
          <w:i/>
          <w:iCs/>
          <w:color w:val="000000"/>
          <w:sz w:val="20"/>
          <w:szCs w:val="18"/>
        </w:rPr>
        <w:t>Table</w:t>
      </w:r>
      <w:r w:rsidR="00B6017F" w:rsidRPr="007C4D65">
        <w:rPr>
          <w:rFonts w:asciiTheme="minorHAnsi" w:hAnsiTheme="minorHAnsi" w:cstheme="minorHAnsi"/>
          <w:b/>
          <w:i/>
          <w:iCs/>
          <w:color w:val="000000"/>
          <w:sz w:val="20"/>
          <w:szCs w:val="18"/>
        </w:rPr>
        <w:t xml:space="preserve"> </w:t>
      </w:r>
      <w:r w:rsidR="005D60DA" w:rsidRPr="007C4D65">
        <w:rPr>
          <w:rFonts w:asciiTheme="minorHAnsi" w:hAnsiTheme="minorHAnsi" w:cstheme="minorHAnsi"/>
          <w:b/>
          <w:i/>
          <w:iCs/>
          <w:color w:val="000000"/>
          <w:sz w:val="20"/>
          <w:szCs w:val="18"/>
        </w:rPr>
        <w:fldChar w:fldCharType="begin"/>
      </w:r>
      <w:r w:rsidR="005D60DA" w:rsidRPr="007C4D65">
        <w:rPr>
          <w:rFonts w:asciiTheme="minorHAnsi" w:hAnsiTheme="minorHAnsi" w:cstheme="minorHAnsi"/>
          <w:b/>
          <w:i/>
          <w:iCs/>
          <w:color w:val="000000"/>
          <w:sz w:val="20"/>
          <w:szCs w:val="18"/>
        </w:rPr>
        <w:instrText xml:space="preserve"> SEQ Tabela \* ARABIC </w:instrText>
      </w:r>
      <w:r w:rsidR="005D60DA" w:rsidRPr="007C4D65">
        <w:rPr>
          <w:rFonts w:asciiTheme="minorHAnsi" w:hAnsiTheme="minorHAnsi" w:cstheme="minorHAnsi"/>
          <w:b/>
          <w:i/>
          <w:iCs/>
          <w:color w:val="000000"/>
          <w:sz w:val="20"/>
          <w:szCs w:val="18"/>
        </w:rPr>
        <w:fldChar w:fldCharType="separate"/>
      </w:r>
      <w:r w:rsidR="005D60DA" w:rsidRPr="007C4D65">
        <w:rPr>
          <w:rFonts w:asciiTheme="minorHAnsi" w:hAnsiTheme="minorHAnsi" w:cstheme="minorHAnsi"/>
          <w:b/>
          <w:i/>
          <w:iCs/>
          <w:color w:val="000000"/>
          <w:sz w:val="20"/>
          <w:szCs w:val="18"/>
        </w:rPr>
        <w:t>9</w:t>
      </w:r>
      <w:r w:rsidR="005D60DA" w:rsidRPr="007C4D65">
        <w:rPr>
          <w:rFonts w:asciiTheme="minorHAnsi" w:hAnsiTheme="minorHAnsi" w:cstheme="minorHAnsi"/>
          <w:b/>
          <w:i/>
          <w:iCs/>
          <w:color w:val="000000"/>
          <w:sz w:val="20"/>
          <w:szCs w:val="18"/>
        </w:rPr>
        <w:fldChar w:fldCharType="end"/>
      </w:r>
      <w:r w:rsidRPr="007C4D65">
        <w:rPr>
          <w:rFonts w:asciiTheme="minorHAnsi" w:hAnsiTheme="minorHAnsi" w:cstheme="minorHAnsi"/>
          <w:b/>
          <w:i/>
          <w:iCs/>
          <w:color w:val="000000"/>
          <w:sz w:val="20"/>
          <w:szCs w:val="18"/>
        </w:rPr>
        <w:t>:</w:t>
      </w:r>
      <w:r w:rsidRPr="007C4D65">
        <w:rPr>
          <w:rFonts w:asciiTheme="minorHAnsi" w:hAnsiTheme="minorHAnsi" w:cstheme="minorHAnsi"/>
          <w:b/>
          <w:iCs/>
          <w:color w:val="000000"/>
          <w:sz w:val="20"/>
          <w:szCs w:val="20"/>
        </w:rPr>
        <w:t xml:space="preserve"> </w:t>
      </w:r>
      <w:r w:rsidRPr="009E313F">
        <w:rPr>
          <w:rFonts w:asciiTheme="minorHAnsi" w:hAnsiTheme="minorHAnsi" w:cstheme="minorHAnsi"/>
          <w:bCs/>
          <w:i/>
          <w:iCs/>
          <w:color w:val="000000"/>
          <w:sz w:val="20"/>
          <w:szCs w:val="20"/>
        </w:rPr>
        <w:t>Priorities with relevant indicators</w:t>
      </w:r>
      <w:bookmarkEnd w:id="81"/>
      <w:bookmarkEnd w:id="82"/>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83"/>
        <w:gridCol w:w="2010"/>
        <w:gridCol w:w="2913"/>
        <w:gridCol w:w="2204"/>
      </w:tblGrid>
      <w:tr w:rsidR="00590DCE" w:rsidRPr="007C4D65" w14:paraId="6FCCCDB9" w14:textId="77777777" w:rsidTr="00590DCE">
        <w:trPr>
          <w:trHeight w:val="420"/>
          <w:tblHeader/>
        </w:trPr>
        <w:tc>
          <w:tcPr>
            <w:tcW w:w="1883" w:type="dxa"/>
            <w:shd w:val="clear" w:color="auto" w:fill="009D73"/>
            <w:vAlign w:val="center"/>
          </w:tcPr>
          <w:p w14:paraId="6354A453" w14:textId="77777777" w:rsidR="00590DCE" w:rsidRPr="007C4D65" w:rsidRDefault="00590DCE" w:rsidP="00590DCE">
            <w:pPr>
              <w:spacing w:line="276" w:lineRule="auto"/>
              <w:jc w:val="center"/>
              <w:rPr>
                <w:rFonts w:asciiTheme="minorHAnsi" w:hAnsiTheme="minorHAnsi" w:cstheme="minorHAnsi"/>
                <w:b/>
                <w:color w:val="FFFFFF"/>
                <w:sz w:val="18"/>
                <w:szCs w:val="18"/>
              </w:rPr>
            </w:pPr>
            <w:bookmarkStart w:id="83" w:name="_Hlk104466781"/>
            <w:r w:rsidRPr="007C4D65">
              <w:rPr>
                <w:rFonts w:asciiTheme="minorHAnsi" w:hAnsiTheme="minorHAnsi" w:cstheme="minorHAnsi"/>
                <w:b/>
                <w:color w:val="FFFFFF"/>
                <w:sz w:val="18"/>
                <w:szCs w:val="18"/>
              </w:rPr>
              <w:t>Priorities</w:t>
            </w:r>
          </w:p>
        </w:tc>
        <w:tc>
          <w:tcPr>
            <w:tcW w:w="2010" w:type="dxa"/>
            <w:shd w:val="clear" w:color="auto" w:fill="009D73"/>
            <w:vAlign w:val="center"/>
          </w:tcPr>
          <w:p w14:paraId="4130E27D" w14:textId="77777777" w:rsidR="00590DCE" w:rsidRPr="007C4D65" w:rsidRDefault="00590DCE" w:rsidP="00590DCE">
            <w:pPr>
              <w:spacing w:line="276" w:lineRule="auto"/>
              <w:jc w:val="center"/>
              <w:rPr>
                <w:rFonts w:asciiTheme="minorHAnsi" w:hAnsiTheme="minorHAnsi" w:cstheme="minorHAnsi"/>
                <w:b/>
                <w:color w:val="FFFFFF"/>
                <w:sz w:val="18"/>
                <w:szCs w:val="18"/>
              </w:rPr>
            </w:pPr>
            <w:r w:rsidRPr="007C4D65">
              <w:rPr>
                <w:rFonts w:asciiTheme="minorHAnsi" w:hAnsiTheme="minorHAnsi" w:cstheme="minorHAnsi"/>
                <w:b/>
                <w:color w:val="FFFFFF"/>
                <w:sz w:val="18"/>
                <w:szCs w:val="18"/>
              </w:rPr>
              <w:t>Indicator of (end) result</w:t>
            </w:r>
          </w:p>
        </w:tc>
        <w:tc>
          <w:tcPr>
            <w:tcW w:w="2913" w:type="dxa"/>
            <w:shd w:val="clear" w:color="auto" w:fill="009D73"/>
            <w:vAlign w:val="center"/>
          </w:tcPr>
          <w:p w14:paraId="0B6DA330" w14:textId="77777777" w:rsidR="00590DCE" w:rsidRPr="007C4D65" w:rsidRDefault="00590DCE" w:rsidP="00590DCE">
            <w:pPr>
              <w:spacing w:line="276" w:lineRule="auto"/>
              <w:jc w:val="center"/>
              <w:rPr>
                <w:rFonts w:asciiTheme="minorHAnsi" w:hAnsiTheme="minorHAnsi" w:cstheme="minorHAnsi"/>
                <w:b/>
                <w:color w:val="FFFFFF"/>
                <w:sz w:val="18"/>
                <w:szCs w:val="18"/>
              </w:rPr>
            </w:pPr>
            <w:r w:rsidRPr="007C4D65">
              <w:rPr>
                <w:rFonts w:asciiTheme="minorHAnsi" w:hAnsiTheme="minorHAnsi" w:cstheme="minorHAnsi"/>
                <w:b/>
                <w:color w:val="FFFFFF"/>
                <w:sz w:val="18"/>
                <w:szCs w:val="18"/>
              </w:rPr>
              <w:t>Baseline value</w:t>
            </w:r>
          </w:p>
        </w:tc>
        <w:tc>
          <w:tcPr>
            <w:tcW w:w="2204" w:type="dxa"/>
            <w:shd w:val="clear" w:color="auto" w:fill="009D73"/>
            <w:vAlign w:val="center"/>
          </w:tcPr>
          <w:p w14:paraId="081A30BF" w14:textId="77777777" w:rsidR="00590DCE" w:rsidRPr="007C4D65" w:rsidRDefault="00590DCE" w:rsidP="00590DCE">
            <w:pPr>
              <w:spacing w:line="276" w:lineRule="auto"/>
              <w:jc w:val="center"/>
              <w:rPr>
                <w:rFonts w:asciiTheme="minorHAnsi" w:hAnsiTheme="minorHAnsi" w:cstheme="minorHAnsi"/>
                <w:b/>
                <w:color w:val="FFFFFF"/>
                <w:sz w:val="18"/>
                <w:szCs w:val="18"/>
              </w:rPr>
            </w:pPr>
            <w:r w:rsidRPr="007C4D65">
              <w:rPr>
                <w:rFonts w:asciiTheme="minorHAnsi" w:hAnsiTheme="minorHAnsi" w:cstheme="minorHAnsi"/>
                <w:b/>
                <w:color w:val="FFFFFF"/>
                <w:sz w:val="18"/>
                <w:szCs w:val="18"/>
              </w:rPr>
              <w:t>Target value</w:t>
            </w:r>
          </w:p>
        </w:tc>
      </w:tr>
      <w:tr w:rsidR="00590DCE" w:rsidRPr="007C4D65" w14:paraId="359234C6" w14:textId="77777777" w:rsidTr="00590DCE">
        <w:trPr>
          <w:trHeight w:val="300"/>
        </w:trPr>
        <w:tc>
          <w:tcPr>
            <w:tcW w:w="1883" w:type="dxa"/>
            <w:vMerge w:val="restart"/>
          </w:tcPr>
          <w:p w14:paraId="1EFD3735" w14:textId="4EB2C2C8" w:rsidR="00590DCE" w:rsidRPr="007C4D65" w:rsidRDefault="00590DCE" w:rsidP="00590DCE">
            <w:pPr>
              <w:spacing w:line="276" w:lineRule="auto"/>
              <w:rPr>
                <w:rFonts w:asciiTheme="minorHAnsi" w:hAnsiTheme="minorHAnsi" w:cstheme="minorHAnsi"/>
                <w:b/>
                <w:bCs/>
                <w:sz w:val="18"/>
                <w:szCs w:val="18"/>
              </w:rPr>
            </w:pPr>
            <w:r w:rsidRPr="007C4D65">
              <w:rPr>
                <w:rFonts w:asciiTheme="minorHAnsi" w:hAnsiTheme="minorHAnsi" w:cstheme="minorHAnsi"/>
                <w:b/>
                <w:bCs/>
                <w:sz w:val="18"/>
                <w:szCs w:val="18"/>
              </w:rPr>
              <w:t>Priority 1.1</w:t>
            </w:r>
          </w:p>
          <w:p w14:paraId="733BAF9D" w14:textId="6A5D5882" w:rsidR="00590DCE" w:rsidRPr="007C4D65" w:rsidRDefault="00DA0CA7" w:rsidP="00590DCE">
            <w:pPr>
              <w:spacing w:line="276" w:lineRule="auto"/>
              <w:rPr>
                <w:rFonts w:asciiTheme="minorHAnsi" w:hAnsiTheme="minorHAnsi" w:cstheme="minorHAnsi"/>
                <w:b/>
                <w:bCs/>
                <w:sz w:val="18"/>
                <w:szCs w:val="18"/>
              </w:rPr>
            </w:pPr>
            <w:r w:rsidRPr="007C4D65">
              <w:rPr>
                <w:rFonts w:asciiTheme="minorHAnsi" w:hAnsiTheme="minorHAnsi" w:cstheme="minorHAnsi"/>
                <w:b/>
                <w:bCs/>
                <w:sz w:val="18"/>
                <w:szCs w:val="18"/>
              </w:rPr>
              <w:t xml:space="preserve">Prevent deterioration and improve the status of water bodies   </w:t>
            </w:r>
          </w:p>
          <w:p w14:paraId="53CCFF30"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7A66B6AA"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Achieving the environmental objectives related to the water bodies, as defined in the river basin management plans for the Sava and Adriatic Sea basins (II, and III cycle).</w:t>
            </w:r>
          </w:p>
        </w:tc>
        <w:tc>
          <w:tcPr>
            <w:tcW w:w="2913" w:type="dxa"/>
          </w:tcPr>
          <w:p w14:paraId="517A9CFB"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For some of the identified water bodies, achieved environmental objectives set in the I cycle of management plans (2016-2021) for Sava and Adriatic Sea basins.     </w:t>
            </w:r>
          </w:p>
        </w:tc>
        <w:tc>
          <w:tcPr>
            <w:tcW w:w="2204" w:type="dxa"/>
          </w:tcPr>
          <w:p w14:paraId="67E52186"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Achieved environmental objectives for all water bodies according to the plan in II and III cycle of management plans (2021-2027) and (2028-2033).  </w:t>
            </w:r>
          </w:p>
          <w:p w14:paraId="5C43F170"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 </w:t>
            </w:r>
          </w:p>
        </w:tc>
      </w:tr>
      <w:tr w:rsidR="00590DCE" w:rsidRPr="007C4D65" w14:paraId="29B2DA3B" w14:textId="77777777" w:rsidTr="00590DCE">
        <w:trPr>
          <w:trHeight w:val="300"/>
        </w:trPr>
        <w:tc>
          <w:tcPr>
            <w:tcW w:w="1883" w:type="dxa"/>
            <w:vMerge/>
            <w:vAlign w:val="center"/>
          </w:tcPr>
          <w:p w14:paraId="44FF56A9"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12AC7D38"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Effectiveness of supervision of compliance with conditions prescribed in water acts for the polluters, and enforcement of penalty provisions in case of non-compliance.</w:t>
            </w:r>
          </w:p>
          <w:p w14:paraId="7E4C8F6D" w14:textId="77777777" w:rsidR="00590DCE" w:rsidRPr="007C4D65" w:rsidRDefault="00590DCE" w:rsidP="00590DCE">
            <w:pPr>
              <w:spacing w:line="276" w:lineRule="auto"/>
              <w:rPr>
                <w:rFonts w:asciiTheme="minorHAnsi" w:hAnsiTheme="minorHAnsi" w:cstheme="minorHAnsi"/>
                <w:sz w:val="18"/>
                <w:szCs w:val="18"/>
              </w:rPr>
            </w:pPr>
          </w:p>
        </w:tc>
        <w:tc>
          <w:tcPr>
            <w:tcW w:w="2913" w:type="dxa"/>
          </w:tcPr>
          <w:p w14:paraId="5A2750BE"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Current approach to supervision is not effective:</w:t>
            </w:r>
          </w:p>
          <w:p w14:paraId="31516483" w14:textId="77777777" w:rsidR="00590DCE" w:rsidRPr="007C4D65" w:rsidRDefault="00590DCE" w:rsidP="00590DCE">
            <w:pPr>
              <w:numPr>
                <w:ilvl w:val="0"/>
                <w:numId w:val="41"/>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Inspection plans are partly based on Water Management Plans and Water Acts, and information on reports and requests by competent bodies in water </w:t>
            </w:r>
            <w:proofErr w:type="gramStart"/>
            <w:r w:rsidRPr="007C4D65">
              <w:rPr>
                <w:rFonts w:asciiTheme="minorHAnsi" w:hAnsiTheme="minorHAnsi" w:cstheme="minorHAnsi"/>
                <w:sz w:val="18"/>
                <w:szCs w:val="18"/>
              </w:rPr>
              <w:t>sector;</w:t>
            </w:r>
            <w:proofErr w:type="gramEnd"/>
          </w:p>
          <w:p w14:paraId="1A89C71D" w14:textId="77777777" w:rsidR="00590DCE" w:rsidRPr="007C4D65" w:rsidRDefault="00590DCE" w:rsidP="00590DCE">
            <w:pPr>
              <w:numPr>
                <w:ilvl w:val="0"/>
                <w:numId w:val="41"/>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Poor coordination between Federation and cantonal inspectorates when developing plans. </w:t>
            </w:r>
          </w:p>
        </w:tc>
        <w:tc>
          <w:tcPr>
            <w:tcW w:w="2204" w:type="dxa"/>
          </w:tcPr>
          <w:p w14:paraId="32A86EFD" w14:textId="35BD7430"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High effectiveness of inspection oversight lead</w:t>
            </w:r>
            <w:r w:rsidR="001A2A48" w:rsidRPr="007C4D65">
              <w:rPr>
                <w:rFonts w:asciiTheme="minorHAnsi" w:hAnsiTheme="minorHAnsi" w:cstheme="minorHAnsi"/>
                <w:sz w:val="18"/>
                <w:szCs w:val="18"/>
              </w:rPr>
              <w:t>s</w:t>
            </w:r>
            <w:r w:rsidRPr="007C4D65">
              <w:rPr>
                <w:rFonts w:asciiTheme="minorHAnsi" w:hAnsiTheme="minorHAnsi" w:cstheme="minorHAnsi"/>
                <w:sz w:val="18"/>
                <w:szCs w:val="18"/>
              </w:rPr>
              <w:t xml:space="preserve"> to the following:  </w:t>
            </w:r>
          </w:p>
          <w:p w14:paraId="02B6B662" w14:textId="77777777" w:rsidR="00590DCE" w:rsidRPr="007C4D65" w:rsidRDefault="00590DCE" w:rsidP="00590DCE">
            <w:pPr>
              <w:numPr>
                <w:ilvl w:val="0"/>
                <w:numId w:val="42"/>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All polluters comply and implement conditions prescribed in water acts</w:t>
            </w:r>
          </w:p>
          <w:p w14:paraId="367F723E" w14:textId="77777777" w:rsidR="00590DCE" w:rsidRPr="007C4D65" w:rsidRDefault="00590DCE" w:rsidP="00590DCE">
            <w:pPr>
              <w:numPr>
                <w:ilvl w:val="0"/>
                <w:numId w:val="42"/>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Inspection oversight prevents / minimizes unlawful pollution of water bodies. </w:t>
            </w:r>
          </w:p>
          <w:p w14:paraId="524E878C" w14:textId="77777777" w:rsidR="00590DCE" w:rsidRPr="007C4D65" w:rsidRDefault="00590DCE" w:rsidP="00590DCE">
            <w:pPr>
              <w:numPr>
                <w:ilvl w:val="0"/>
                <w:numId w:val="42"/>
              </w:numPr>
              <w:spacing w:line="276" w:lineRule="auto"/>
              <w:ind w:left="360"/>
              <w:contextualSpacing/>
              <w:rPr>
                <w:rFonts w:asciiTheme="minorHAnsi" w:hAnsiTheme="minorHAnsi" w:cstheme="minorHAnsi"/>
                <w:sz w:val="18"/>
                <w:szCs w:val="18"/>
              </w:rPr>
            </w:pPr>
          </w:p>
        </w:tc>
      </w:tr>
      <w:tr w:rsidR="00590DCE" w:rsidRPr="007C4D65" w14:paraId="438B8860" w14:textId="77777777" w:rsidTr="00590DCE">
        <w:trPr>
          <w:trHeight w:val="300"/>
        </w:trPr>
        <w:tc>
          <w:tcPr>
            <w:tcW w:w="1883" w:type="dxa"/>
            <w:vMerge w:val="restart"/>
          </w:tcPr>
          <w:p w14:paraId="4D6AD124" w14:textId="3AE741EE" w:rsidR="00590DCE" w:rsidRPr="007C4D65" w:rsidRDefault="00590DCE" w:rsidP="00590DCE">
            <w:pPr>
              <w:spacing w:line="276" w:lineRule="auto"/>
              <w:rPr>
                <w:rFonts w:asciiTheme="minorHAnsi" w:hAnsiTheme="minorHAnsi" w:cstheme="minorHAnsi"/>
                <w:b/>
                <w:bCs/>
                <w:sz w:val="18"/>
                <w:szCs w:val="18"/>
              </w:rPr>
            </w:pPr>
            <w:r w:rsidRPr="007C4D65">
              <w:rPr>
                <w:rFonts w:asciiTheme="minorHAnsi" w:hAnsiTheme="minorHAnsi" w:cstheme="minorHAnsi"/>
                <w:b/>
                <w:bCs/>
                <w:sz w:val="18"/>
                <w:szCs w:val="18"/>
              </w:rPr>
              <w:t>Priority 1.2</w:t>
            </w:r>
          </w:p>
          <w:p w14:paraId="15E62567"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b/>
                <w:bCs/>
                <w:sz w:val="18"/>
                <w:szCs w:val="18"/>
              </w:rPr>
              <w:t>Provide conditions for achieving sustainable use of water resources</w:t>
            </w:r>
            <w:r w:rsidRPr="007C4D65">
              <w:rPr>
                <w:rFonts w:asciiTheme="minorHAnsi" w:hAnsiTheme="minorHAnsi" w:cstheme="minorHAnsi"/>
                <w:sz w:val="18"/>
                <w:szCs w:val="18"/>
              </w:rPr>
              <w:t xml:space="preserve">  </w:t>
            </w:r>
          </w:p>
        </w:tc>
        <w:tc>
          <w:tcPr>
            <w:tcW w:w="2010" w:type="dxa"/>
          </w:tcPr>
          <w:p w14:paraId="3935934C"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Effective cooperation between the water sector and other sectors whose activities may have adverse impact on water management (spatial planning, energy sector, agriculture, forestry, inspections etc.).</w:t>
            </w:r>
          </w:p>
        </w:tc>
        <w:tc>
          <w:tcPr>
            <w:tcW w:w="2913" w:type="dxa"/>
          </w:tcPr>
          <w:p w14:paraId="57608AE6" w14:textId="77777777" w:rsidR="00590DCE" w:rsidRPr="007C4D65" w:rsidRDefault="00590DCE" w:rsidP="00590DCE">
            <w:pPr>
              <w:spacing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Ineffective cooperation of water sector with other sectors</w:t>
            </w:r>
          </w:p>
          <w:p w14:paraId="2DBD6D8D" w14:textId="77777777" w:rsidR="00590DCE" w:rsidRPr="007C4D65" w:rsidRDefault="00590DCE" w:rsidP="00590DCE">
            <w:pPr>
              <w:numPr>
                <w:ilvl w:val="0"/>
                <w:numId w:val="43"/>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Sporadic data sharing on the planned activities in the sector  </w:t>
            </w:r>
          </w:p>
          <w:p w14:paraId="57208573" w14:textId="63AE778F" w:rsidR="00590DCE" w:rsidRPr="007C4D65" w:rsidRDefault="00590DCE" w:rsidP="00590DCE">
            <w:pPr>
              <w:numPr>
                <w:ilvl w:val="0"/>
                <w:numId w:val="43"/>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Poor </w:t>
            </w:r>
            <w:r w:rsidR="00007DA5" w:rsidRPr="007C4D65">
              <w:rPr>
                <w:rFonts w:asciiTheme="minorHAnsi" w:hAnsiTheme="minorHAnsi" w:cstheme="minorHAnsi"/>
                <w:sz w:val="18"/>
                <w:szCs w:val="18"/>
              </w:rPr>
              <w:t>cross-sectoral</w:t>
            </w:r>
            <w:r w:rsidRPr="007C4D65">
              <w:rPr>
                <w:rFonts w:asciiTheme="minorHAnsi" w:hAnsiTheme="minorHAnsi" w:cstheme="minorHAnsi"/>
                <w:sz w:val="18"/>
                <w:szCs w:val="18"/>
              </w:rPr>
              <w:t xml:space="preserve"> coordination when preparing sectorial plans and programmes, and information from water sector plans and studies not integrated in plans of other sectors.  </w:t>
            </w:r>
          </w:p>
        </w:tc>
        <w:tc>
          <w:tcPr>
            <w:tcW w:w="2204" w:type="dxa"/>
          </w:tcPr>
          <w:p w14:paraId="15AC74B5"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Effective cooperation between water sector and other sectors whose activities may have adverse impact on water management:      </w:t>
            </w:r>
          </w:p>
          <w:p w14:paraId="1405F4C3" w14:textId="77777777" w:rsidR="00590DCE" w:rsidRPr="007C4D65" w:rsidRDefault="00590DCE" w:rsidP="00590DCE">
            <w:pPr>
              <w:numPr>
                <w:ilvl w:val="0"/>
                <w:numId w:val="36"/>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All sectorial plans integrate data from water sector plans and studies. </w:t>
            </w:r>
          </w:p>
        </w:tc>
      </w:tr>
      <w:tr w:rsidR="00590DCE" w:rsidRPr="007C4D65" w14:paraId="0244EF18" w14:textId="77777777" w:rsidTr="00590DCE">
        <w:trPr>
          <w:trHeight w:val="300"/>
        </w:trPr>
        <w:tc>
          <w:tcPr>
            <w:tcW w:w="1883" w:type="dxa"/>
            <w:vMerge/>
            <w:vAlign w:val="center"/>
          </w:tcPr>
          <w:p w14:paraId="5AFB92CE"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003BD111"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Effectiveness of oversight of compliance with conditions prescribed in water acts for the water users, and enforcement of penalty provisions in case of non-compliance.</w:t>
            </w:r>
          </w:p>
          <w:p w14:paraId="11D01FB1" w14:textId="77777777" w:rsidR="00590DCE" w:rsidRPr="007C4D65" w:rsidRDefault="00590DCE" w:rsidP="00590DCE">
            <w:pPr>
              <w:spacing w:line="276" w:lineRule="auto"/>
              <w:rPr>
                <w:rFonts w:asciiTheme="minorHAnsi" w:hAnsiTheme="minorHAnsi" w:cstheme="minorHAnsi"/>
                <w:sz w:val="18"/>
                <w:szCs w:val="18"/>
              </w:rPr>
            </w:pPr>
          </w:p>
        </w:tc>
        <w:tc>
          <w:tcPr>
            <w:tcW w:w="2913" w:type="dxa"/>
          </w:tcPr>
          <w:p w14:paraId="785C8AB6"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Current approach to supervision is not effective or efficient. </w:t>
            </w:r>
          </w:p>
          <w:p w14:paraId="11426648"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 </w:t>
            </w:r>
          </w:p>
        </w:tc>
        <w:tc>
          <w:tcPr>
            <w:tcW w:w="2204" w:type="dxa"/>
          </w:tcPr>
          <w:p w14:paraId="3B5A8F14" w14:textId="03A85389"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High effectiveness of inspection oversight lead</w:t>
            </w:r>
            <w:r w:rsidR="001A2A48" w:rsidRPr="007C4D65">
              <w:rPr>
                <w:rFonts w:asciiTheme="minorHAnsi" w:hAnsiTheme="minorHAnsi" w:cstheme="minorHAnsi"/>
                <w:sz w:val="18"/>
                <w:szCs w:val="18"/>
              </w:rPr>
              <w:t>s</w:t>
            </w:r>
            <w:r w:rsidRPr="007C4D65">
              <w:rPr>
                <w:rFonts w:asciiTheme="minorHAnsi" w:hAnsiTheme="minorHAnsi" w:cstheme="minorHAnsi"/>
                <w:sz w:val="18"/>
                <w:szCs w:val="18"/>
              </w:rPr>
              <w:t xml:space="preserve"> to the following:  </w:t>
            </w:r>
          </w:p>
          <w:p w14:paraId="1C2FD194" w14:textId="77777777" w:rsidR="00590DCE" w:rsidRPr="007C4D65" w:rsidRDefault="00590DCE" w:rsidP="00590DCE">
            <w:pPr>
              <w:numPr>
                <w:ilvl w:val="0"/>
                <w:numId w:val="35"/>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All water users comply and implement conditions prescribed in water acts</w:t>
            </w:r>
          </w:p>
          <w:p w14:paraId="7187D009" w14:textId="77777777" w:rsidR="00590DCE" w:rsidRPr="007C4D65" w:rsidRDefault="00590DCE" w:rsidP="00590DCE">
            <w:pPr>
              <w:numPr>
                <w:ilvl w:val="0"/>
                <w:numId w:val="35"/>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lastRenderedPageBreak/>
              <w:t xml:space="preserve">Inspection oversight prevents / minimizes unlawful intake and use of water. </w:t>
            </w:r>
          </w:p>
        </w:tc>
      </w:tr>
      <w:tr w:rsidR="00590DCE" w:rsidRPr="007C4D65" w14:paraId="2A26D20D" w14:textId="77777777" w:rsidTr="00590DCE">
        <w:trPr>
          <w:trHeight w:val="300"/>
        </w:trPr>
        <w:tc>
          <w:tcPr>
            <w:tcW w:w="1883" w:type="dxa"/>
            <w:vMerge/>
            <w:vAlign w:val="center"/>
          </w:tcPr>
          <w:p w14:paraId="29952F15"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5B3BF76B"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Level of preparedness of technical </w:t>
            </w:r>
            <w:bookmarkStart w:id="84" w:name="_Hlk95269079"/>
            <w:r w:rsidRPr="007C4D65">
              <w:rPr>
                <w:rFonts w:asciiTheme="minorHAnsi" w:hAnsiTheme="minorHAnsi" w:cstheme="minorHAnsi"/>
                <w:sz w:val="18"/>
                <w:szCs w:val="18"/>
              </w:rPr>
              <w:t xml:space="preserve">base documents in water sectors as instrument for potential restriction of use of water resources and intakes in space because of proven adverse impact on quantities or status of water body  </w:t>
            </w:r>
          </w:p>
          <w:p w14:paraId="268FBCF5"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w:t>
            </w:r>
            <w:proofErr w:type="gramStart"/>
            <w:r w:rsidRPr="007C4D65">
              <w:rPr>
                <w:rFonts w:asciiTheme="minorHAnsi" w:hAnsiTheme="minorHAnsi" w:cstheme="minorHAnsi"/>
                <w:sz w:val="18"/>
                <w:szCs w:val="18"/>
              </w:rPr>
              <w:t>polluters</w:t>
            </w:r>
            <w:proofErr w:type="gramEnd"/>
            <w:r w:rsidRPr="007C4D65">
              <w:rPr>
                <w:rFonts w:asciiTheme="minorHAnsi" w:hAnsiTheme="minorHAnsi" w:cstheme="minorHAnsi"/>
                <w:sz w:val="18"/>
                <w:szCs w:val="18"/>
              </w:rPr>
              <w:t xml:space="preserve">, hydro morphological pressures) and measures of protection against flood. </w:t>
            </w:r>
            <w:bookmarkEnd w:id="84"/>
          </w:p>
          <w:p w14:paraId="7350CADB"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 </w:t>
            </w:r>
          </w:p>
        </w:tc>
        <w:tc>
          <w:tcPr>
            <w:tcW w:w="2913" w:type="dxa"/>
          </w:tcPr>
          <w:p w14:paraId="7D833B2D"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Water sector developed significant number of plans and study documents. </w:t>
            </w:r>
          </w:p>
          <w:p w14:paraId="2E8224DC"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Following base documents have not been produced:</w:t>
            </w:r>
          </w:p>
          <w:p w14:paraId="51CCDAF8" w14:textId="77777777" w:rsidR="00590DCE" w:rsidRPr="007C4D65" w:rsidRDefault="00590DCE" w:rsidP="00590DCE">
            <w:pPr>
              <w:numPr>
                <w:ilvl w:val="0"/>
                <w:numId w:val="35"/>
              </w:numPr>
              <w:spacing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 xml:space="preserve">on hydro-power potential that includes explanations relate to exceptions under Art. 7/4 WFD and principles / guidelines / criteria of: spatial planning, achieving/maintaining at least good status of water bodies and environment protection, and needs of water supply to population, agriculture, and power </w:t>
            </w:r>
            <w:proofErr w:type="gramStart"/>
            <w:r w:rsidRPr="007C4D65">
              <w:rPr>
                <w:rFonts w:asciiTheme="minorHAnsi" w:hAnsiTheme="minorHAnsi" w:cstheme="minorHAnsi"/>
                <w:sz w:val="18"/>
                <w:szCs w:val="18"/>
              </w:rPr>
              <w:t>sector;</w:t>
            </w:r>
            <w:proofErr w:type="gramEnd"/>
            <w:r w:rsidRPr="007C4D65">
              <w:rPr>
                <w:rFonts w:asciiTheme="minorHAnsi" w:hAnsiTheme="minorHAnsi" w:cstheme="minorHAnsi"/>
                <w:sz w:val="18"/>
                <w:szCs w:val="18"/>
              </w:rPr>
              <w:t xml:space="preserve">  </w:t>
            </w:r>
          </w:p>
          <w:p w14:paraId="3AF94E23" w14:textId="77777777" w:rsidR="00590DCE" w:rsidRPr="007C4D65" w:rsidRDefault="00590DCE" w:rsidP="00590DCE">
            <w:pPr>
              <w:numPr>
                <w:ilvl w:val="0"/>
                <w:numId w:val="35"/>
              </w:numPr>
              <w:spacing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on surface and ground water reserves that may be used for water supply to population.</w:t>
            </w:r>
          </w:p>
        </w:tc>
        <w:tc>
          <w:tcPr>
            <w:tcW w:w="2204" w:type="dxa"/>
          </w:tcPr>
          <w:p w14:paraId="093759BA"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Base documents produced:</w:t>
            </w:r>
          </w:p>
          <w:p w14:paraId="2B79F336" w14:textId="77777777" w:rsidR="00590DCE" w:rsidRPr="007C4D65" w:rsidRDefault="00590DCE" w:rsidP="00590DCE">
            <w:pPr>
              <w:numPr>
                <w:ilvl w:val="0"/>
                <w:numId w:val="35"/>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on hydro-power potential</w:t>
            </w:r>
          </w:p>
          <w:p w14:paraId="007432C4" w14:textId="77777777" w:rsidR="00590DCE" w:rsidRPr="007C4D65" w:rsidRDefault="00590DCE" w:rsidP="00590DCE">
            <w:pPr>
              <w:numPr>
                <w:ilvl w:val="0"/>
                <w:numId w:val="35"/>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on surface and ground water reserves that may be used for water supply to population  </w:t>
            </w:r>
          </w:p>
          <w:p w14:paraId="04CC3C02"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 </w:t>
            </w:r>
          </w:p>
        </w:tc>
      </w:tr>
      <w:tr w:rsidR="00590DCE" w:rsidRPr="007C4D65" w14:paraId="32E69CB5" w14:textId="77777777" w:rsidTr="00590DCE">
        <w:trPr>
          <w:trHeight w:val="300"/>
        </w:trPr>
        <w:tc>
          <w:tcPr>
            <w:tcW w:w="1883" w:type="dxa"/>
            <w:vMerge/>
            <w:vAlign w:val="center"/>
          </w:tcPr>
          <w:p w14:paraId="2E54F9F9"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0D069752"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Establish prerequisite for transparent and regular concession awards for water resources.</w:t>
            </w:r>
          </w:p>
        </w:tc>
        <w:tc>
          <w:tcPr>
            <w:tcW w:w="2913" w:type="dxa"/>
          </w:tcPr>
          <w:p w14:paraId="50E7D60E"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Prerequisites for transparent and regular award of concessions on water resources are not in place: </w:t>
            </w:r>
          </w:p>
          <w:p w14:paraId="690BAE30" w14:textId="77777777" w:rsidR="00590DCE" w:rsidRPr="007C4D65" w:rsidRDefault="00590DCE" w:rsidP="00590DCE">
            <w:pPr>
              <w:numPr>
                <w:ilvl w:val="0"/>
                <w:numId w:val="35"/>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Not updated / missing lists of concessions granted at al administrative </w:t>
            </w:r>
            <w:proofErr w:type="gramStart"/>
            <w:r w:rsidRPr="007C4D65">
              <w:rPr>
                <w:rFonts w:asciiTheme="minorHAnsi" w:hAnsiTheme="minorHAnsi" w:cstheme="minorHAnsi"/>
                <w:sz w:val="18"/>
                <w:szCs w:val="18"/>
              </w:rPr>
              <w:t>levels;</w:t>
            </w:r>
            <w:proofErr w:type="gramEnd"/>
          </w:p>
          <w:p w14:paraId="00265A88" w14:textId="0317094F" w:rsidR="00590DCE" w:rsidRPr="007C4D65" w:rsidRDefault="00590DCE" w:rsidP="00590DCE">
            <w:pPr>
              <w:numPr>
                <w:ilvl w:val="0"/>
                <w:numId w:val="35"/>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Shortcomings of the legal framework for issuing concessions allow for user's non-compliance with regulations on implementation of monitoring of water and </w:t>
            </w:r>
            <w:r w:rsidR="00C90B32" w:rsidRPr="007C4D65">
              <w:rPr>
                <w:rFonts w:asciiTheme="minorHAnsi" w:hAnsiTheme="minorHAnsi" w:cstheme="minorHAnsi"/>
                <w:sz w:val="18"/>
                <w:szCs w:val="18"/>
              </w:rPr>
              <w:t>environmental flaw</w:t>
            </w:r>
          </w:p>
          <w:p w14:paraId="5A6BC6E1" w14:textId="77777777" w:rsidR="00590DCE" w:rsidRPr="007C4D65" w:rsidRDefault="00590DCE" w:rsidP="00590DCE">
            <w:pPr>
              <w:numPr>
                <w:ilvl w:val="0"/>
                <w:numId w:val="35"/>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Procedure for issuing necessary permits, as the basis for concession award, is very complex and </w:t>
            </w:r>
            <w:proofErr w:type="gramStart"/>
            <w:r w:rsidRPr="007C4D65">
              <w:rPr>
                <w:rFonts w:asciiTheme="minorHAnsi" w:hAnsiTheme="minorHAnsi" w:cstheme="minorHAnsi"/>
                <w:sz w:val="18"/>
                <w:szCs w:val="18"/>
              </w:rPr>
              <w:t>has to</w:t>
            </w:r>
            <w:proofErr w:type="gramEnd"/>
            <w:r w:rsidRPr="007C4D65">
              <w:rPr>
                <w:rFonts w:asciiTheme="minorHAnsi" w:hAnsiTheme="minorHAnsi" w:cstheme="minorHAnsi"/>
                <w:sz w:val="18"/>
                <w:szCs w:val="18"/>
              </w:rPr>
              <w:t xml:space="preserve"> be carried out by way of numerous and inter- dependant sub-procedures that are carried out before various institutions and in some cases, at various levels of government. </w:t>
            </w:r>
          </w:p>
        </w:tc>
        <w:tc>
          <w:tcPr>
            <w:tcW w:w="2204" w:type="dxa"/>
          </w:tcPr>
          <w:p w14:paraId="73B99DC6"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Transparent and regular/defined by law concession award procedure for water resources.  </w:t>
            </w:r>
          </w:p>
        </w:tc>
      </w:tr>
      <w:tr w:rsidR="00590DCE" w:rsidRPr="007C4D65" w14:paraId="31CE2648" w14:textId="77777777" w:rsidTr="00590DCE">
        <w:trPr>
          <w:trHeight w:val="300"/>
        </w:trPr>
        <w:tc>
          <w:tcPr>
            <w:tcW w:w="1883" w:type="dxa"/>
            <w:vMerge w:val="restart"/>
          </w:tcPr>
          <w:p w14:paraId="54169542" w14:textId="54D9280B" w:rsidR="00590DCE" w:rsidRPr="007C4D65" w:rsidRDefault="00590DCE" w:rsidP="00590DCE">
            <w:pPr>
              <w:spacing w:line="276" w:lineRule="auto"/>
              <w:rPr>
                <w:rFonts w:asciiTheme="minorHAnsi" w:hAnsiTheme="minorHAnsi" w:cstheme="minorHAnsi"/>
                <w:b/>
                <w:bCs/>
                <w:sz w:val="18"/>
                <w:szCs w:val="18"/>
              </w:rPr>
            </w:pPr>
            <w:r w:rsidRPr="007C4D65">
              <w:rPr>
                <w:rFonts w:asciiTheme="minorHAnsi" w:hAnsiTheme="minorHAnsi" w:cstheme="minorHAnsi"/>
                <w:b/>
                <w:bCs/>
                <w:sz w:val="18"/>
                <w:szCs w:val="18"/>
              </w:rPr>
              <w:t>Priority 1.3</w:t>
            </w:r>
          </w:p>
          <w:p w14:paraId="0168E616"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b/>
                <w:bCs/>
                <w:sz w:val="18"/>
                <w:szCs w:val="18"/>
              </w:rPr>
              <w:t>Ensuring sufficient drinking water supplies and availability for public water supply purposes</w:t>
            </w:r>
            <w:r w:rsidRPr="007C4D65">
              <w:rPr>
                <w:rFonts w:asciiTheme="minorHAnsi" w:hAnsiTheme="minorHAnsi" w:cstheme="minorHAnsi"/>
                <w:sz w:val="18"/>
                <w:szCs w:val="18"/>
              </w:rPr>
              <w:t xml:space="preserve">   </w:t>
            </w:r>
          </w:p>
        </w:tc>
        <w:tc>
          <w:tcPr>
            <w:tcW w:w="2010" w:type="dxa"/>
          </w:tcPr>
          <w:p w14:paraId="304F9D0E"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Degree and phase of implementation of technical-operational segment of water services reform in all LGUs</w:t>
            </w:r>
          </w:p>
        </w:tc>
        <w:tc>
          <w:tcPr>
            <w:tcW w:w="2913" w:type="dxa"/>
          </w:tcPr>
          <w:p w14:paraId="7948EB5D"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Start of the planning phase for all LGUs   </w:t>
            </w:r>
          </w:p>
          <w:p w14:paraId="7D7A4CD9" w14:textId="77777777" w:rsidR="00590DCE" w:rsidRPr="007C4D65" w:rsidRDefault="00590DCE" w:rsidP="00590DCE">
            <w:pPr>
              <w:numPr>
                <w:ilvl w:val="0"/>
                <w:numId w:val="37"/>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Completed:</w:t>
            </w:r>
          </w:p>
          <w:p w14:paraId="57E32561" w14:textId="77777777" w:rsidR="00590DCE" w:rsidRPr="007C4D65" w:rsidRDefault="00590DCE" w:rsidP="00590DCE">
            <w:pPr>
              <w:numPr>
                <w:ilvl w:val="0"/>
                <w:numId w:val="44"/>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“Overview of water services sector in </w:t>
            </w:r>
            <w:proofErr w:type="gramStart"/>
            <w:r w:rsidRPr="007C4D65">
              <w:rPr>
                <w:rFonts w:asciiTheme="minorHAnsi" w:hAnsiTheme="minorHAnsi" w:cstheme="minorHAnsi"/>
                <w:sz w:val="18"/>
                <w:szCs w:val="18"/>
              </w:rPr>
              <w:t>BiH“</w:t>
            </w:r>
            <w:proofErr w:type="gramEnd"/>
            <w:r w:rsidRPr="007C4D65">
              <w:rPr>
                <w:rFonts w:asciiTheme="minorHAnsi" w:hAnsiTheme="minorHAnsi" w:cstheme="minorHAnsi"/>
                <w:sz w:val="18"/>
                <w:szCs w:val="18"/>
              </w:rPr>
              <w:t xml:space="preserve"> </w:t>
            </w:r>
          </w:p>
          <w:p w14:paraId="401DE084" w14:textId="3D5BF094" w:rsidR="00590DCE" w:rsidRPr="007C4D65" w:rsidRDefault="00590DCE" w:rsidP="00590DCE">
            <w:pPr>
              <w:numPr>
                <w:ilvl w:val="0"/>
                <w:numId w:val="44"/>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Regulation on the methodology for determining the lowest </w:t>
            </w:r>
            <w:r w:rsidRPr="007C4D65">
              <w:rPr>
                <w:rFonts w:asciiTheme="minorHAnsi" w:hAnsiTheme="minorHAnsi" w:cstheme="minorHAnsi"/>
                <w:sz w:val="18"/>
                <w:szCs w:val="18"/>
              </w:rPr>
              <w:lastRenderedPageBreak/>
              <w:t xml:space="preserve">basic price of water services </w:t>
            </w:r>
            <w:r w:rsidR="007436F1" w:rsidRPr="007C4D65">
              <w:rPr>
                <w:rFonts w:asciiTheme="minorHAnsi" w:hAnsiTheme="minorHAnsi" w:cstheme="minorHAnsi"/>
                <w:sz w:val="18"/>
                <w:szCs w:val="18"/>
              </w:rPr>
              <w:t>in the Federation of BiH</w:t>
            </w:r>
          </w:p>
          <w:p w14:paraId="553AFF78" w14:textId="45A9199A" w:rsidR="00590DCE" w:rsidRPr="007C4D65" w:rsidRDefault="00590DCE" w:rsidP="00590DCE">
            <w:pPr>
              <w:numPr>
                <w:ilvl w:val="0"/>
                <w:numId w:val="44"/>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Proposed programme for improving water services </w:t>
            </w:r>
            <w:r w:rsidR="007436F1" w:rsidRPr="007C4D65">
              <w:rPr>
                <w:rFonts w:asciiTheme="minorHAnsi" w:hAnsiTheme="minorHAnsi" w:cstheme="minorHAnsi"/>
                <w:sz w:val="18"/>
                <w:szCs w:val="18"/>
              </w:rPr>
              <w:t>in the Federation of BiH</w:t>
            </w:r>
            <w:r w:rsidRPr="007C4D65">
              <w:rPr>
                <w:rFonts w:asciiTheme="minorHAnsi" w:hAnsiTheme="minorHAnsi" w:cstheme="minorHAnsi"/>
                <w:sz w:val="18"/>
                <w:szCs w:val="18"/>
              </w:rPr>
              <w:t xml:space="preserve"> by providing financial and technical assistance</w:t>
            </w:r>
          </w:p>
        </w:tc>
        <w:tc>
          <w:tcPr>
            <w:tcW w:w="2204" w:type="dxa"/>
          </w:tcPr>
          <w:p w14:paraId="53677E6D"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 xml:space="preserve">Fully implemented technical and operational segments of water services sector reform in all LGUs   </w:t>
            </w:r>
          </w:p>
          <w:p w14:paraId="446A01A6" w14:textId="77777777" w:rsidR="00590DCE" w:rsidRPr="007C4D65" w:rsidRDefault="00590DCE" w:rsidP="00590DCE">
            <w:pPr>
              <w:spacing w:line="276" w:lineRule="auto"/>
              <w:rPr>
                <w:rFonts w:asciiTheme="minorHAnsi" w:hAnsiTheme="minorHAnsi" w:cstheme="minorHAnsi"/>
                <w:sz w:val="18"/>
                <w:szCs w:val="18"/>
              </w:rPr>
            </w:pPr>
          </w:p>
        </w:tc>
      </w:tr>
      <w:tr w:rsidR="00590DCE" w:rsidRPr="007C4D65" w14:paraId="4043F1C7" w14:textId="77777777" w:rsidTr="00590DCE">
        <w:trPr>
          <w:trHeight w:val="300"/>
        </w:trPr>
        <w:tc>
          <w:tcPr>
            <w:tcW w:w="1883" w:type="dxa"/>
            <w:vMerge/>
            <w:vAlign w:val="center"/>
          </w:tcPr>
          <w:p w14:paraId="4C9F5DFD"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18E597D7"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Degree and phase of implementation of legislative and institutional segments of water services reform in all LGUs    </w:t>
            </w:r>
          </w:p>
        </w:tc>
        <w:tc>
          <w:tcPr>
            <w:tcW w:w="2913" w:type="dxa"/>
          </w:tcPr>
          <w:p w14:paraId="3AFEE048"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Start of the planning phase for all LGUs   </w:t>
            </w:r>
          </w:p>
          <w:p w14:paraId="5EEF0771" w14:textId="77777777" w:rsidR="00590DCE" w:rsidRPr="007C4D65" w:rsidRDefault="00590DCE" w:rsidP="00590DCE">
            <w:pPr>
              <w:numPr>
                <w:ilvl w:val="0"/>
                <w:numId w:val="37"/>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Completed:</w:t>
            </w:r>
          </w:p>
          <w:p w14:paraId="12FD595D" w14:textId="77777777" w:rsidR="00590DCE" w:rsidRPr="007C4D65" w:rsidRDefault="00590DCE" w:rsidP="00590DCE">
            <w:pPr>
              <w:numPr>
                <w:ilvl w:val="0"/>
                <w:numId w:val="38"/>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“Overview of sector of water services in </w:t>
            </w:r>
            <w:proofErr w:type="gramStart"/>
            <w:r w:rsidRPr="007C4D65">
              <w:rPr>
                <w:rFonts w:asciiTheme="minorHAnsi" w:hAnsiTheme="minorHAnsi" w:cstheme="minorHAnsi"/>
                <w:sz w:val="18"/>
                <w:szCs w:val="18"/>
              </w:rPr>
              <w:t>BiH“</w:t>
            </w:r>
            <w:proofErr w:type="gramEnd"/>
            <w:r w:rsidRPr="007C4D65">
              <w:rPr>
                <w:rFonts w:asciiTheme="minorHAnsi" w:hAnsiTheme="minorHAnsi" w:cstheme="minorHAnsi"/>
                <w:sz w:val="18"/>
                <w:szCs w:val="18"/>
              </w:rPr>
              <w:t>.</w:t>
            </w:r>
          </w:p>
          <w:p w14:paraId="1C59FA10" w14:textId="7F404C6D" w:rsidR="00590DCE" w:rsidRPr="007C4D65" w:rsidRDefault="00590DCE" w:rsidP="00590DCE">
            <w:pPr>
              <w:numPr>
                <w:ilvl w:val="0"/>
                <w:numId w:val="38"/>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Regulation on the methodology for determining the lowest basic price of water services </w:t>
            </w:r>
            <w:r w:rsidR="007436F1" w:rsidRPr="007C4D65">
              <w:rPr>
                <w:rFonts w:asciiTheme="minorHAnsi" w:hAnsiTheme="minorHAnsi" w:cstheme="minorHAnsi"/>
                <w:sz w:val="18"/>
                <w:szCs w:val="18"/>
              </w:rPr>
              <w:t>in the Federation of BiH</w:t>
            </w:r>
          </w:p>
          <w:p w14:paraId="42DAF0E8" w14:textId="642EB7F9" w:rsidR="00590DCE" w:rsidRPr="007C4D65" w:rsidRDefault="00590DCE" w:rsidP="00590DCE">
            <w:pPr>
              <w:numPr>
                <w:ilvl w:val="0"/>
                <w:numId w:val="38"/>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Proposed programme for improving water services </w:t>
            </w:r>
            <w:r w:rsidR="007436F1" w:rsidRPr="007C4D65">
              <w:rPr>
                <w:rFonts w:asciiTheme="minorHAnsi" w:hAnsiTheme="minorHAnsi" w:cstheme="minorHAnsi"/>
                <w:sz w:val="18"/>
                <w:szCs w:val="18"/>
              </w:rPr>
              <w:t>in the Federation of BiH</w:t>
            </w:r>
            <w:r w:rsidRPr="007C4D65">
              <w:rPr>
                <w:rFonts w:asciiTheme="minorHAnsi" w:hAnsiTheme="minorHAnsi" w:cstheme="minorHAnsi"/>
                <w:sz w:val="18"/>
                <w:szCs w:val="18"/>
              </w:rPr>
              <w:t xml:space="preserve"> by providing financial and technical assistance</w:t>
            </w:r>
          </w:p>
        </w:tc>
        <w:tc>
          <w:tcPr>
            <w:tcW w:w="2204" w:type="dxa"/>
          </w:tcPr>
          <w:p w14:paraId="6458DDDA"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Fully implemented legislative and institutional segments of water services reform in all LGUs      </w:t>
            </w:r>
          </w:p>
        </w:tc>
      </w:tr>
      <w:tr w:rsidR="00590DCE" w:rsidRPr="007C4D65" w14:paraId="163080CE" w14:textId="77777777" w:rsidTr="00590DCE">
        <w:trPr>
          <w:trHeight w:val="300"/>
        </w:trPr>
        <w:tc>
          <w:tcPr>
            <w:tcW w:w="1883" w:type="dxa"/>
            <w:vMerge w:val="restart"/>
          </w:tcPr>
          <w:p w14:paraId="099F2342" w14:textId="29E20D02" w:rsidR="00590DCE" w:rsidRPr="007C4D65" w:rsidRDefault="00590DCE" w:rsidP="00590DCE">
            <w:pPr>
              <w:spacing w:line="276" w:lineRule="auto"/>
              <w:rPr>
                <w:rFonts w:asciiTheme="minorHAnsi" w:hAnsiTheme="minorHAnsi" w:cstheme="minorHAnsi"/>
                <w:b/>
                <w:bCs/>
                <w:sz w:val="18"/>
                <w:szCs w:val="18"/>
              </w:rPr>
            </w:pPr>
            <w:r w:rsidRPr="007C4D65">
              <w:rPr>
                <w:rFonts w:asciiTheme="minorHAnsi" w:hAnsiTheme="minorHAnsi" w:cstheme="minorHAnsi"/>
                <w:b/>
                <w:bCs/>
                <w:sz w:val="18"/>
                <w:szCs w:val="18"/>
              </w:rPr>
              <w:t>Priority 1.4</w:t>
            </w:r>
          </w:p>
          <w:p w14:paraId="391844CA" w14:textId="0C652A6E" w:rsidR="00590DCE" w:rsidRPr="007C4D65" w:rsidRDefault="00854430" w:rsidP="001F7CB6">
            <w:pPr>
              <w:spacing w:line="276" w:lineRule="auto"/>
              <w:rPr>
                <w:rFonts w:asciiTheme="minorHAnsi" w:hAnsiTheme="minorHAnsi" w:cstheme="minorHAnsi"/>
                <w:sz w:val="18"/>
                <w:szCs w:val="18"/>
              </w:rPr>
            </w:pPr>
            <w:r w:rsidRPr="007C4D65">
              <w:rPr>
                <w:rFonts w:asciiTheme="minorHAnsi" w:hAnsiTheme="minorHAnsi" w:cstheme="minorHAnsi"/>
                <w:b/>
                <w:bCs/>
                <w:sz w:val="18"/>
                <w:szCs w:val="18"/>
              </w:rPr>
              <w:t>Reducing the risk of extreme hydrological events by establishing a sustainable flood risk management system and adaptation to climate changes</w:t>
            </w:r>
          </w:p>
        </w:tc>
        <w:tc>
          <w:tcPr>
            <w:tcW w:w="2010" w:type="dxa"/>
          </w:tcPr>
          <w:p w14:paraId="7313BA7E"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Achieving the objectives identified in the Flood Risk Management Plans of the Sava and Adriatic basins (I and II Cycles) and reporting.</w:t>
            </w:r>
          </w:p>
        </w:tc>
        <w:tc>
          <w:tcPr>
            <w:tcW w:w="2913" w:type="dxa"/>
          </w:tcPr>
          <w:p w14:paraId="56E66E0E"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Flood Risk Management Plans of the Sava and Adriatic basins (I and II Cycles) in the process of development.    </w:t>
            </w:r>
          </w:p>
        </w:tc>
        <w:tc>
          <w:tcPr>
            <w:tcW w:w="2204" w:type="dxa"/>
          </w:tcPr>
          <w:p w14:paraId="6118F9B5"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Achieved all objectives of the Flood Risk Management Plan stipulated in the first and second planning cycle (2022-2028) and (2029-2034). </w:t>
            </w:r>
          </w:p>
        </w:tc>
      </w:tr>
      <w:tr w:rsidR="00590DCE" w:rsidRPr="007C4D65" w14:paraId="777882AC" w14:textId="77777777" w:rsidTr="00590DCE">
        <w:trPr>
          <w:trHeight w:val="300"/>
        </w:trPr>
        <w:tc>
          <w:tcPr>
            <w:tcW w:w="1883" w:type="dxa"/>
            <w:vMerge/>
            <w:vAlign w:val="center"/>
          </w:tcPr>
          <w:p w14:paraId="5DCA0F77"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2BC01DA6" w14:textId="6067F688"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Quality of analyses and reliability of assessments for the purpose of </w:t>
            </w:r>
            <w:r w:rsidR="009F16BA" w:rsidRPr="007C4D65">
              <w:rPr>
                <w:rFonts w:asciiTheme="minorHAnsi" w:hAnsiTheme="minorHAnsi" w:cstheme="minorHAnsi"/>
                <w:sz w:val="18"/>
                <w:szCs w:val="18"/>
              </w:rPr>
              <w:t xml:space="preserve">decision-making  </w:t>
            </w:r>
            <w:r w:rsidRPr="007C4D65">
              <w:rPr>
                <w:rFonts w:asciiTheme="minorHAnsi" w:hAnsiTheme="minorHAnsi" w:cstheme="minorHAnsi"/>
                <w:sz w:val="18"/>
                <w:szCs w:val="18"/>
              </w:rPr>
              <w:t xml:space="preserve"> in flood protection system.   </w:t>
            </w:r>
          </w:p>
        </w:tc>
        <w:tc>
          <w:tcPr>
            <w:tcW w:w="2913" w:type="dxa"/>
          </w:tcPr>
          <w:p w14:paraId="043E45D8" w14:textId="64509337" w:rsidR="00590DCE" w:rsidRPr="007C4D65" w:rsidRDefault="00590DCE" w:rsidP="00590DCE">
            <w:pPr>
              <w:spacing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 xml:space="preserve">Insufficient quality of analyses and reliability of assessments for the purpose of </w:t>
            </w:r>
            <w:r w:rsidR="009F16BA" w:rsidRPr="007C4D65">
              <w:rPr>
                <w:rFonts w:asciiTheme="minorHAnsi" w:hAnsiTheme="minorHAnsi" w:cstheme="minorHAnsi"/>
                <w:sz w:val="18"/>
                <w:szCs w:val="18"/>
              </w:rPr>
              <w:t xml:space="preserve">decision-making  </w:t>
            </w:r>
            <w:r w:rsidRPr="007C4D65">
              <w:rPr>
                <w:rFonts w:asciiTheme="minorHAnsi" w:hAnsiTheme="minorHAnsi" w:cstheme="minorHAnsi"/>
                <w:sz w:val="18"/>
                <w:szCs w:val="18"/>
              </w:rPr>
              <w:t xml:space="preserve"> in flood protection system.</w:t>
            </w:r>
          </w:p>
          <w:p w14:paraId="640A2F75" w14:textId="3C0BE545" w:rsidR="00590DCE" w:rsidRPr="007C4D65" w:rsidRDefault="00590DCE" w:rsidP="00590DCE">
            <w:pPr>
              <w:numPr>
                <w:ilvl w:val="0"/>
                <w:numId w:val="38"/>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Insufficiently developed network of hydrological metering stations at all water sources covered by the </w:t>
            </w:r>
            <w:r w:rsidR="0058588C" w:rsidRPr="007C4D65">
              <w:rPr>
                <w:rFonts w:asciiTheme="minorHAnsi" w:hAnsiTheme="minorHAnsi" w:cstheme="minorHAnsi"/>
                <w:sz w:val="18"/>
                <w:szCs w:val="18"/>
              </w:rPr>
              <w:t>Federation of BiH</w:t>
            </w:r>
            <w:r w:rsidRPr="007C4D65">
              <w:rPr>
                <w:rFonts w:asciiTheme="minorHAnsi" w:hAnsiTheme="minorHAnsi" w:cstheme="minorHAnsi"/>
                <w:sz w:val="18"/>
                <w:szCs w:val="18"/>
              </w:rPr>
              <w:t xml:space="preserve"> AFAS, as well as the precipitation and meteorological metering stations </w:t>
            </w:r>
            <w:r w:rsidR="007436F1" w:rsidRPr="007C4D65">
              <w:rPr>
                <w:rFonts w:asciiTheme="minorHAnsi" w:hAnsiTheme="minorHAnsi" w:cstheme="minorHAnsi"/>
                <w:sz w:val="18"/>
                <w:szCs w:val="18"/>
              </w:rPr>
              <w:t>in the Federation of BiH</w:t>
            </w:r>
          </w:p>
          <w:p w14:paraId="75CB79FC" w14:textId="77777777" w:rsidR="00590DCE" w:rsidRPr="007C4D65" w:rsidRDefault="00590DCE" w:rsidP="00590DCE">
            <w:pPr>
              <w:numPr>
                <w:ilvl w:val="0"/>
                <w:numId w:val="38"/>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Insufficient functionality and operation of hydrological and hydraulic forecasting models. </w:t>
            </w:r>
          </w:p>
        </w:tc>
        <w:tc>
          <w:tcPr>
            <w:tcW w:w="2204" w:type="dxa"/>
          </w:tcPr>
          <w:p w14:paraId="1A13BAA0" w14:textId="04A77AD0" w:rsidR="00590DCE" w:rsidRPr="007C4D65" w:rsidRDefault="00590DCE" w:rsidP="00590DCE">
            <w:pPr>
              <w:numPr>
                <w:ilvl w:val="0"/>
                <w:numId w:val="38"/>
              </w:numPr>
              <w:spacing w:line="276" w:lineRule="auto"/>
              <w:ind w:left="360"/>
              <w:contextualSpacing/>
              <w:rPr>
                <w:rFonts w:asciiTheme="minorHAnsi" w:hAnsiTheme="minorHAnsi" w:cstheme="minorHAnsi"/>
                <w:sz w:val="18"/>
                <w:szCs w:val="18"/>
              </w:rPr>
            </w:pPr>
            <w:bookmarkStart w:id="85" w:name="_Hlk95284769"/>
            <w:r w:rsidRPr="007C4D65">
              <w:rPr>
                <w:rFonts w:asciiTheme="minorHAnsi" w:hAnsiTheme="minorHAnsi" w:cstheme="minorHAnsi"/>
                <w:sz w:val="18"/>
                <w:szCs w:val="18"/>
              </w:rPr>
              <w:t xml:space="preserve">Ensured quality analyses and reliable assessments for the purpose of </w:t>
            </w:r>
            <w:r w:rsidR="009F16BA" w:rsidRPr="007C4D65">
              <w:rPr>
                <w:rFonts w:asciiTheme="minorHAnsi" w:hAnsiTheme="minorHAnsi" w:cstheme="minorHAnsi"/>
                <w:sz w:val="18"/>
                <w:szCs w:val="18"/>
              </w:rPr>
              <w:t xml:space="preserve">decision-making  </w:t>
            </w:r>
            <w:r w:rsidRPr="007C4D65">
              <w:rPr>
                <w:rFonts w:asciiTheme="minorHAnsi" w:hAnsiTheme="minorHAnsi" w:cstheme="minorHAnsi"/>
                <w:sz w:val="18"/>
                <w:szCs w:val="18"/>
              </w:rPr>
              <w:t xml:space="preserve"> in flood protection system</w:t>
            </w:r>
            <w:bookmarkEnd w:id="85"/>
          </w:p>
          <w:p w14:paraId="01EB4C31" w14:textId="7C6DA50D" w:rsidR="00590DCE" w:rsidRPr="007C4D65" w:rsidRDefault="00590DCE" w:rsidP="00590DCE">
            <w:pPr>
              <w:numPr>
                <w:ilvl w:val="0"/>
                <w:numId w:val="38"/>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Established adequate network of hydrological metering stations at all water courses covered with AFAS </w:t>
            </w:r>
            <w:r w:rsidR="007436F1" w:rsidRPr="007C4D65">
              <w:rPr>
                <w:rFonts w:asciiTheme="minorHAnsi" w:hAnsiTheme="minorHAnsi" w:cstheme="minorHAnsi"/>
                <w:sz w:val="18"/>
                <w:szCs w:val="18"/>
              </w:rPr>
              <w:t>in the Federation of BiH</w:t>
            </w:r>
            <w:r w:rsidRPr="007C4D65">
              <w:rPr>
                <w:rFonts w:asciiTheme="minorHAnsi" w:hAnsiTheme="minorHAnsi" w:cstheme="minorHAnsi"/>
                <w:sz w:val="18"/>
                <w:szCs w:val="18"/>
              </w:rPr>
              <w:t>.</w:t>
            </w:r>
          </w:p>
          <w:p w14:paraId="3AD6B2E4" w14:textId="6469AFC3" w:rsidR="00590DCE" w:rsidRPr="007C4D65" w:rsidRDefault="00590DCE" w:rsidP="00590DCE">
            <w:pPr>
              <w:numPr>
                <w:ilvl w:val="0"/>
                <w:numId w:val="38"/>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Adequate network of precipitation and meteorological metering stations </w:t>
            </w:r>
            <w:r w:rsidR="007436F1" w:rsidRPr="007C4D65">
              <w:rPr>
                <w:rFonts w:asciiTheme="minorHAnsi" w:hAnsiTheme="minorHAnsi" w:cstheme="minorHAnsi"/>
                <w:sz w:val="18"/>
                <w:szCs w:val="18"/>
              </w:rPr>
              <w:t>in the Federation of BiH</w:t>
            </w:r>
          </w:p>
          <w:p w14:paraId="5999AC6C" w14:textId="77777777" w:rsidR="00590DCE" w:rsidRPr="007C4D65" w:rsidRDefault="00590DCE" w:rsidP="00590DCE">
            <w:pPr>
              <w:numPr>
                <w:ilvl w:val="0"/>
                <w:numId w:val="38"/>
              </w:numPr>
              <w:spacing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Fully operational, functional and regularly maintained hydrological and hydraulic forecasting models.</w:t>
            </w:r>
          </w:p>
        </w:tc>
      </w:tr>
      <w:tr w:rsidR="00590DCE" w:rsidRPr="007C4D65" w14:paraId="4CD44318" w14:textId="77777777" w:rsidTr="00590DCE">
        <w:trPr>
          <w:trHeight w:val="300"/>
        </w:trPr>
        <w:tc>
          <w:tcPr>
            <w:tcW w:w="1883" w:type="dxa"/>
            <w:vMerge/>
            <w:vAlign w:val="center"/>
          </w:tcPr>
          <w:p w14:paraId="6539FFB6"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7D13D370"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Degree of planning and implementing climate change adaptation measures for the purpose of better prevention and management of flood risks.</w:t>
            </w:r>
          </w:p>
          <w:p w14:paraId="7CA36638" w14:textId="77777777" w:rsidR="00590DCE" w:rsidRPr="007C4D65" w:rsidRDefault="00590DCE" w:rsidP="00590DCE">
            <w:pPr>
              <w:spacing w:line="276" w:lineRule="auto"/>
              <w:rPr>
                <w:rFonts w:asciiTheme="minorHAnsi" w:hAnsiTheme="minorHAnsi" w:cstheme="minorHAnsi"/>
                <w:sz w:val="18"/>
                <w:szCs w:val="18"/>
              </w:rPr>
            </w:pPr>
          </w:p>
        </w:tc>
        <w:tc>
          <w:tcPr>
            <w:tcW w:w="2913" w:type="dxa"/>
          </w:tcPr>
          <w:p w14:paraId="23958056"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Sporadic planning and integration of measures of climate change adaptation in planning documents at all administrative levels in Federation.</w:t>
            </w:r>
          </w:p>
          <w:p w14:paraId="39691ED0" w14:textId="77777777" w:rsidR="00590DCE" w:rsidRPr="007C4D65" w:rsidRDefault="00590DCE">
            <w:pPr>
              <w:numPr>
                <w:ilvl w:val="0"/>
                <w:numId w:val="204"/>
              </w:numPr>
              <w:spacing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Developed draft Strategy for Climate Changes Adaptation and Low Emission Development of BiH 2020-2030</w:t>
            </w:r>
          </w:p>
          <w:p w14:paraId="10CFD48D" w14:textId="77777777" w:rsidR="00590DCE" w:rsidRPr="007C4D65" w:rsidRDefault="00590DCE">
            <w:pPr>
              <w:numPr>
                <w:ilvl w:val="0"/>
                <w:numId w:val="204"/>
              </w:numPr>
              <w:spacing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Developed draft Climate Change Adaptation Plan of BiH - NAP</w:t>
            </w:r>
          </w:p>
        </w:tc>
        <w:tc>
          <w:tcPr>
            <w:tcW w:w="2204" w:type="dxa"/>
          </w:tcPr>
          <w:p w14:paraId="1019E78A"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Implementation of climate change measures in accordance with plans of all administrative levels for the purpose of achieving better prevention and management of flood risks.</w:t>
            </w:r>
          </w:p>
        </w:tc>
      </w:tr>
      <w:tr w:rsidR="00590DCE" w:rsidRPr="007C4D65" w14:paraId="388DEFF1" w14:textId="77777777" w:rsidTr="00590DCE">
        <w:trPr>
          <w:trHeight w:val="300"/>
        </w:trPr>
        <w:tc>
          <w:tcPr>
            <w:tcW w:w="1883" w:type="dxa"/>
            <w:vMerge w:val="restart"/>
          </w:tcPr>
          <w:p w14:paraId="061EBEC6" w14:textId="6019C57D" w:rsidR="00590DCE" w:rsidRPr="007C4D65" w:rsidRDefault="00590DCE" w:rsidP="00590DCE">
            <w:pPr>
              <w:spacing w:line="276" w:lineRule="auto"/>
              <w:rPr>
                <w:rFonts w:asciiTheme="minorHAnsi" w:hAnsiTheme="minorHAnsi" w:cstheme="minorHAnsi"/>
                <w:b/>
                <w:bCs/>
                <w:sz w:val="18"/>
                <w:szCs w:val="18"/>
              </w:rPr>
            </w:pPr>
            <w:r w:rsidRPr="007C4D65">
              <w:rPr>
                <w:rFonts w:asciiTheme="minorHAnsi" w:hAnsiTheme="minorHAnsi" w:cstheme="minorHAnsi"/>
                <w:b/>
                <w:bCs/>
                <w:sz w:val="18"/>
                <w:szCs w:val="18"/>
              </w:rPr>
              <w:t>Priority 1.5</w:t>
            </w:r>
          </w:p>
          <w:p w14:paraId="6489573E" w14:textId="087AEFFF" w:rsidR="00590DCE" w:rsidRPr="007C4D65" w:rsidRDefault="00854430" w:rsidP="00590DCE">
            <w:pPr>
              <w:spacing w:line="276" w:lineRule="auto"/>
              <w:rPr>
                <w:rFonts w:asciiTheme="minorHAnsi" w:hAnsiTheme="minorHAnsi" w:cstheme="minorHAnsi"/>
                <w:sz w:val="18"/>
                <w:szCs w:val="18"/>
              </w:rPr>
            </w:pPr>
            <w:r w:rsidRPr="007C4D65">
              <w:rPr>
                <w:rFonts w:asciiTheme="minorHAnsi" w:hAnsiTheme="minorHAnsi" w:cstheme="minorHAnsi"/>
                <w:b/>
                <w:bCs/>
                <w:sz w:val="18"/>
                <w:szCs w:val="18"/>
              </w:rPr>
              <w:t xml:space="preserve">Developing an effective legal and institutional framework for the purpose of alignment with the </w:t>
            </w:r>
            <w:r w:rsidR="001E4D90" w:rsidRPr="007C4D65">
              <w:rPr>
                <w:rFonts w:asciiTheme="minorHAnsi" w:hAnsiTheme="minorHAnsi" w:cstheme="minorHAnsi"/>
                <w:b/>
                <w:bCs/>
                <w:sz w:val="18"/>
                <w:szCs w:val="18"/>
              </w:rPr>
              <w:t>EU regulations</w:t>
            </w:r>
            <w:r w:rsidRPr="007C4D65">
              <w:rPr>
                <w:rFonts w:asciiTheme="minorHAnsi" w:hAnsiTheme="minorHAnsi" w:cstheme="minorHAnsi"/>
                <w:b/>
                <w:bCs/>
                <w:sz w:val="18"/>
                <w:szCs w:val="18"/>
              </w:rPr>
              <w:t xml:space="preserve"> in the water sector, and its enforcement </w:t>
            </w:r>
          </w:p>
        </w:tc>
        <w:tc>
          <w:tcPr>
            <w:tcW w:w="2010" w:type="dxa"/>
          </w:tcPr>
          <w:p w14:paraId="03E4D0E6"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Efficiency and timeliness of programming integration in EU in the field of water management.</w:t>
            </w:r>
          </w:p>
        </w:tc>
        <w:tc>
          <w:tcPr>
            <w:tcW w:w="2913" w:type="dxa"/>
          </w:tcPr>
          <w:p w14:paraId="7C2EC631"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Low efficiency and delays in development of the Programme.</w:t>
            </w:r>
          </w:p>
        </w:tc>
        <w:tc>
          <w:tcPr>
            <w:tcW w:w="2204" w:type="dxa"/>
          </w:tcPr>
          <w:p w14:paraId="2976404F"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Efficient, regular and timely development of four-year integration programmes.</w:t>
            </w:r>
          </w:p>
        </w:tc>
      </w:tr>
      <w:tr w:rsidR="00590DCE" w:rsidRPr="007C4D65" w14:paraId="3F9B611A" w14:textId="77777777" w:rsidTr="00590DCE">
        <w:trPr>
          <w:trHeight w:val="300"/>
        </w:trPr>
        <w:tc>
          <w:tcPr>
            <w:tcW w:w="1883" w:type="dxa"/>
            <w:vMerge/>
            <w:vAlign w:val="center"/>
          </w:tcPr>
          <w:p w14:paraId="383AB0D7"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3E9EFC1A"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Adjusting the legal and institutional framework in FBiH water sector to efficient approximation to EU water legislation and standards.</w:t>
            </w:r>
          </w:p>
          <w:p w14:paraId="743A3CAC" w14:textId="77777777" w:rsidR="00590DCE" w:rsidRPr="007C4D65" w:rsidRDefault="00590DCE" w:rsidP="00590DCE">
            <w:pPr>
              <w:spacing w:line="276" w:lineRule="auto"/>
              <w:rPr>
                <w:rFonts w:asciiTheme="minorHAnsi" w:hAnsiTheme="minorHAnsi" w:cstheme="minorHAnsi"/>
                <w:sz w:val="18"/>
                <w:szCs w:val="18"/>
              </w:rPr>
            </w:pPr>
          </w:p>
        </w:tc>
        <w:tc>
          <w:tcPr>
            <w:tcW w:w="2913" w:type="dxa"/>
          </w:tcPr>
          <w:p w14:paraId="79367A68" w14:textId="46C09928"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FBiH legal and institutional framework is not conductive for efficient approximation to </w:t>
            </w:r>
            <w:r w:rsidR="001E4D90" w:rsidRPr="007C4D65">
              <w:rPr>
                <w:rFonts w:asciiTheme="minorHAnsi" w:hAnsiTheme="minorHAnsi" w:cstheme="minorHAnsi"/>
                <w:sz w:val="18"/>
                <w:szCs w:val="18"/>
              </w:rPr>
              <w:t>EU regulations</w:t>
            </w:r>
            <w:r w:rsidRPr="007C4D65">
              <w:rPr>
                <w:rFonts w:asciiTheme="minorHAnsi" w:hAnsiTheme="minorHAnsi" w:cstheme="minorHAnsi"/>
                <w:sz w:val="18"/>
                <w:szCs w:val="18"/>
              </w:rPr>
              <w:t xml:space="preserve">. </w:t>
            </w:r>
          </w:p>
          <w:p w14:paraId="3A02E596" w14:textId="77777777" w:rsidR="00590DCE" w:rsidRPr="007C4D65" w:rsidRDefault="00590DCE">
            <w:pPr>
              <w:numPr>
                <w:ilvl w:val="0"/>
                <w:numId w:val="196"/>
              </w:numPr>
              <w:spacing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Laws delegate the competences for approximation to a significant number of institutions at all administrative level, and this requires significant (lacking) capacities for horizontal and vertical coordination.</w:t>
            </w:r>
          </w:p>
        </w:tc>
        <w:tc>
          <w:tcPr>
            <w:tcW w:w="2204" w:type="dxa"/>
          </w:tcPr>
          <w:p w14:paraId="1C2E846F"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Legislative and institutional frameworks responsive to requirements of efficient approximation.</w:t>
            </w:r>
          </w:p>
        </w:tc>
      </w:tr>
      <w:tr w:rsidR="00590DCE" w:rsidRPr="007C4D65" w14:paraId="118C2C69" w14:textId="77777777" w:rsidTr="00590DCE">
        <w:trPr>
          <w:trHeight w:val="300"/>
        </w:trPr>
        <w:tc>
          <w:tcPr>
            <w:tcW w:w="1883" w:type="dxa"/>
            <w:vMerge/>
            <w:vAlign w:val="center"/>
          </w:tcPr>
          <w:p w14:paraId="46E906ED"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74BB7BD3" w14:textId="2748AA60"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Capacity and competences of employees in water sector institutions (administration bodies, agencies, institutes, etc.) at all levels of government </w:t>
            </w:r>
            <w:r w:rsidR="007436F1" w:rsidRPr="007C4D65">
              <w:rPr>
                <w:rFonts w:asciiTheme="minorHAnsi" w:hAnsiTheme="minorHAnsi" w:cstheme="minorHAnsi"/>
                <w:sz w:val="18"/>
                <w:szCs w:val="18"/>
              </w:rPr>
              <w:t>in the Federation of BiH</w:t>
            </w:r>
            <w:r w:rsidRPr="007C4D65">
              <w:rPr>
                <w:rFonts w:asciiTheme="minorHAnsi" w:hAnsiTheme="minorHAnsi" w:cstheme="minorHAnsi"/>
                <w:sz w:val="18"/>
                <w:szCs w:val="18"/>
              </w:rPr>
              <w:t>.</w:t>
            </w:r>
          </w:p>
        </w:tc>
        <w:tc>
          <w:tcPr>
            <w:tcW w:w="2913" w:type="dxa"/>
          </w:tcPr>
          <w:p w14:paraId="578A43AA" w14:textId="4F3A4A0B"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Lack of capacities and insufficient skills of employees in competent institutions in water sectors at all levels </w:t>
            </w:r>
            <w:r w:rsidR="007436F1" w:rsidRPr="007C4D65">
              <w:rPr>
                <w:rFonts w:asciiTheme="minorHAnsi" w:hAnsiTheme="minorHAnsi" w:cstheme="minorHAnsi"/>
                <w:sz w:val="18"/>
                <w:szCs w:val="18"/>
              </w:rPr>
              <w:t>in the Federation of BiH</w:t>
            </w:r>
            <w:r w:rsidRPr="007C4D65">
              <w:rPr>
                <w:rFonts w:asciiTheme="minorHAnsi" w:hAnsiTheme="minorHAnsi" w:cstheme="minorHAnsi"/>
                <w:sz w:val="18"/>
                <w:szCs w:val="18"/>
              </w:rPr>
              <w:t xml:space="preserve"> for</w:t>
            </w:r>
          </w:p>
          <w:p w14:paraId="6E52ADE4" w14:textId="77777777" w:rsidR="00590DCE" w:rsidRPr="007C4D65" w:rsidRDefault="00590DCE">
            <w:pPr>
              <w:numPr>
                <w:ilvl w:val="0"/>
                <w:numId w:val="197"/>
              </w:numPr>
              <w:spacing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 xml:space="preserve">harmonization and implementation of EU </w:t>
            </w:r>
            <w:r w:rsidRPr="007C4D65">
              <w:rPr>
                <w:rFonts w:asciiTheme="minorHAnsi" w:hAnsiTheme="minorHAnsi" w:cstheme="minorHAnsi"/>
                <w:i/>
                <w:iCs/>
                <w:sz w:val="18"/>
                <w:szCs w:val="18"/>
              </w:rPr>
              <w:t>acquis</w:t>
            </w:r>
            <w:r w:rsidRPr="007C4D65">
              <w:rPr>
                <w:rFonts w:asciiTheme="minorHAnsi" w:hAnsiTheme="minorHAnsi" w:cstheme="minorHAnsi"/>
                <w:sz w:val="18"/>
                <w:szCs w:val="18"/>
              </w:rPr>
              <w:t xml:space="preserve">  </w:t>
            </w:r>
          </w:p>
          <w:p w14:paraId="74E5FB90" w14:textId="77777777" w:rsidR="00590DCE" w:rsidRPr="007C4D65" w:rsidRDefault="00590DCE">
            <w:pPr>
              <w:numPr>
                <w:ilvl w:val="0"/>
                <w:numId w:val="197"/>
              </w:numPr>
              <w:spacing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 xml:space="preserve">enforcement of obligations from international agreements </w:t>
            </w:r>
          </w:p>
          <w:p w14:paraId="35F0A758" w14:textId="77777777" w:rsidR="00590DCE" w:rsidRPr="007C4D65" w:rsidRDefault="00590DCE">
            <w:pPr>
              <w:numPr>
                <w:ilvl w:val="0"/>
                <w:numId w:val="197"/>
              </w:numPr>
              <w:spacing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implementation of laws and regulations</w:t>
            </w:r>
          </w:p>
          <w:p w14:paraId="6C50A153" w14:textId="77777777" w:rsidR="00590DCE" w:rsidRPr="007C4D65" w:rsidRDefault="00590DCE">
            <w:pPr>
              <w:numPr>
                <w:ilvl w:val="0"/>
                <w:numId w:val="197"/>
              </w:numPr>
              <w:spacing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implementation of strategic and planning document in water sector</w:t>
            </w:r>
          </w:p>
        </w:tc>
        <w:tc>
          <w:tcPr>
            <w:tcW w:w="2204" w:type="dxa"/>
          </w:tcPr>
          <w:p w14:paraId="6C49DC7E" w14:textId="0C5A61C4"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Capacity and competences of employees in institutions of water sector </w:t>
            </w:r>
            <w:r w:rsidR="007436F1" w:rsidRPr="007C4D65">
              <w:rPr>
                <w:rFonts w:asciiTheme="minorHAnsi" w:hAnsiTheme="minorHAnsi" w:cstheme="minorHAnsi"/>
                <w:sz w:val="18"/>
                <w:szCs w:val="18"/>
              </w:rPr>
              <w:t>in the Federation of BiH</w:t>
            </w:r>
            <w:r w:rsidRPr="007C4D65">
              <w:rPr>
                <w:rFonts w:asciiTheme="minorHAnsi" w:hAnsiTheme="minorHAnsi" w:cstheme="minorHAnsi"/>
                <w:sz w:val="18"/>
                <w:szCs w:val="18"/>
              </w:rPr>
              <w:t xml:space="preserve"> adjusted to the</w:t>
            </w:r>
          </w:p>
          <w:p w14:paraId="689CCAFA" w14:textId="77777777" w:rsidR="00590DCE" w:rsidRPr="007C4D65" w:rsidRDefault="00590DCE">
            <w:pPr>
              <w:numPr>
                <w:ilvl w:val="0"/>
                <w:numId w:val="197"/>
              </w:numPr>
              <w:spacing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 xml:space="preserve">requirements of harmonization and implementation of EU acquis and implementation of international agreements in water sector </w:t>
            </w:r>
          </w:p>
          <w:p w14:paraId="6223C6BD" w14:textId="77777777" w:rsidR="00590DCE" w:rsidRPr="007C4D65" w:rsidRDefault="00590DCE">
            <w:pPr>
              <w:numPr>
                <w:ilvl w:val="0"/>
                <w:numId w:val="197"/>
              </w:numPr>
              <w:spacing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needs of implementation of laws and regulations, strategic and planning documents in water sector.</w:t>
            </w:r>
          </w:p>
        </w:tc>
      </w:tr>
      <w:tr w:rsidR="00590DCE" w:rsidRPr="007C4D65" w14:paraId="19FEF426" w14:textId="77777777" w:rsidTr="00590DCE">
        <w:trPr>
          <w:trHeight w:val="300"/>
        </w:trPr>
        <w:tc>
          <w:tcPr>
            <w:tcW w:w="1883" w:type="dxa"/>
            <w:vMerge/>
            <w:vAlign w:val="center"/>
          </w:tcPr>
          <w:p w14:paraId="49907343"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45A2B73E"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Status of planning and implementing all EU directives of relevance </w:t>
            </w:r>
            <w:r w:rsidRPr="007C4D65">
              <w:rPr>
                <w:rFonts w:asciiTheme="minorHAnsi" w:hAnsiTheme="minorHAnsi" w:cstheme="minorHAnsi"/>
                <w:sz w:val="18"/>
                <w:szCs w:val="18"/>
              </w:rPr>
              <w:lastRenderedPageBreak/>
              <w:t xml:space="preserve">for development of water sector      </w:t>
            </w:r>
          </w:p>
        </w:tc>
        <w:tc>
          <w:tcPr>
            <w:tcW w:w="2913" w:type="dxa"/>
          </w:tcPr>
          <w:p w14:paraId="0E5CA091"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Planning in initial phase, conducted by updating the APIDs developed under the ESAP.</w:t>
            </w:r>
          </w:p>
        </w:tc>
        <w:tc>
          <w:tcPr>
            <w:tcW w:w="2204" w:type="dxa"/>
          </w:tcPr>
          <w:p w14:paraId="12888264"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Developed all action plans for implementation of all Directives (APIDs</w:t>
            </w:r>
            <w:proofErr w:type="gramStart"/>
            <w:r w:rsidRPr="007C4D65">
              <w:rPr>
                <w:rFonts w:asciiTheme="minorHAnsi" w:hAnsiTheme="minorHAnsi" w:cstheme="minorHAnsi"/>
                <w:sz w:val="18"/>
                <w:szCs w:val="18"/>
              </w:rPr>
              <w:t>), and</w:t>
            </w:r>
            <w:proofErr w:type="gramEnd"/>
            <w:r w:rsidRPr="007C4D65">
              <w:rPr>
                <w:rFonts w:asciiTheme="minorHAnsi" w:hAnsiTheme="minorHAnsi" w:cstheme="minorHAnsi"/>
                <w:sz w:val="18"/>
                <w:szCs w:val="18"/>
              </w:rPr>
              <w:t xml:space="preserve"> implemented in </w:t>
            </w:r>
            <w:r w:rsidRPr="007C4D65">
              <w:rPr>
                <w:rFonts w:asciiTheme="minorHAnsi" w:hAnsiTheme="minorHAnsi" w:cstheme="minorHAnsi"/>
                <w:sz w:val="18"/>
                <w:szCs w:val="18"/>
              </w:rPr>
              <w:lastRenderedPageBreak/>
              <w:t xml:space="preserve">accordance with time schedule specified in the APID. </w:t>
            </w:r>
          </w:p>
        </w:tc>
      </w:tr>
      <w:tr w:rsidR="00590DCE" w:rsidRPr="007C4D65" w14:paraId="4206AD83" w14:textId="77777777" w:rsidTr="00590DCE">
        <w:trPr>
          <w:trHeight w:val="300"/>
        </w:trPr>
        <w:tc>
          <w:tcPr>
            <w:tcW w:w="1883" w:type="dxa"/>
            <w:vMerge w:val="restart"/>
          </w:tcPr>
          <w:p w14:paraId="64E903A9" w14:textId="57BA3C5A" w:rsidR="00590DCE" w:rsidRPr="007C4D65" w:rsidRDefault="00590DCE" w:rsidP="00590DCE">
            <w:pPr>
              <w:spacing w:line="276" w:lineRule="auto"/>
              <w:rPr>
                <w:rFonts w:asciiTheme="minorHAnsi" w:hAnsiTheme="minorHAnsi" w:cstheme="minorHAnsi"/>
                <w:b/>
                <w:bCs/>
                <w:sz w:val="18"/>
                <w:szCs w:val="18"/>
              </w:rPr>
            </w:pPr>
            <w:r w:rsidRPr="007C4D65">
              <w:rPr>
                <w:rFonts w:asciiTheme="minorHAnsi" w:hAnsiTheme="minorHAnsi" w:cstheme="minorHAnsi"/>
                <w:b/>
                <w:bCs/>
                <w:sz w:val="18"/>
                <w:szCs w:val="18"/>
              </w:rPr>
              <w:lastRenderedPageBreak/>
              <w:t>Priority 1.6</w:t>
            </w:r>
          </w:p>
          <w:p w14:paraId="5A3E4A87" w14:textId="22BB7522" w:rsidR="00590DCE" w:rsidRPr="007C4D65" w:rsidRDefault="001E4D90" w:rsidP="00590DCE">
            <w:pPr>
              <w:spacing w:line="276" w:lineRule="auto"/>
              <w:rPr>
                <w:rFonts w:asciiTheme="minorHAnsi" w:hAnsiTheme="minorHAnsi" w:cstheme="minorHAnsi"/>
                <w:b/>
                <w:bCs/>
                <w:sz w:val="18"/>
                <w:szCs w:val="18"/>
              </w:rPr>
            </w:pPr>
            <w:r w:rsidRPr="007C4D65">
              <w:rPr>
                <w:rFonts w:asciiTheme="minorHAnsi" w:hAnsiTheme="minorHAnsi" w:cstheme="minorHAnsi"/>
                <w:b/>
                <w:bCs/>
                <w:sz w:val="18"/>
                <w:szCs w:val="18"/>
              </w:rPr>
              <w:t xml:space="preserve">Ensuring financial sustainability of the water sector </w:t>
            </w:r>
          </w:p>
          <w:p w14:paraId="22BDF89C"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6CF72ACC"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Degree and phase of implementation of financial and commercial segment of water services reform in all LGUs    </w:t>
            </w:r>
          </w:p>
          <w:p w14:paraId="6131C1CD" w14:textId="77777777" w:rsidR="00590DCE" w:rsidRPr="007C4D65" w:rsidRDefault="00590DCE" w:rsidP="00590DCE">
            <w:pPr>
              <w:spacing w:line="276" w:lineRule="auto"/>
              <w:rPr>
                <w:rFonts w:asciiTheme="minorHAnsi" w:hAnsiTheme="minorHAnsi" w:cstheme="minorHAnsi"/>
                <w:sz w:val="18"/>
                <w:szCs w:val="18"/>
              </w:rPr>
            </w:pPr>
          </w:p>
          <w:p w14:paraId="4CE4D2AD" w14:textId="77777777" w:rsidR="00590DCE" w:rsidRPr="007C4D65" w:rsidRDefault="00590DCE" w:rsidP="00590DCE">
            <w:pPr>
              <w:spacing w:line="276" w:lineRule="auto"/>
              <w:rPr>
                <w:rFonts w:asciiTheme="minorHAnsi" w:hAnsiTheme="minorHAnsi" w:cstheme="minorHAnsi"/>
                <w:sz w:val="18"/>
                <w:szCs w:val="18"/>
              </w:rPr>
            </w:pPr>
          </w:p>
        </w:tc>
        <w:tc>
          <w:tcPr>
            <w:tcW w:w="2913" w:type="dxa"/>
          </w:tcPr>
          <w:p w14:paraId="017324B2"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Start of the planning phase for all LGUs   </w:t>
            </w:r>
          </w:p>
          <w:p w14:paraId="39537F14" w14:textId="77777777" w:rsidR="00590DCE" w:rsidRPr="007C4D65" w:rsidRDefault="00590DCE" w:rsidP="00590DCE">
            <w:pPr>
              <w:numPr>
                <w:ilvl w:val="0"/>
                <w:numId w:val="39"/>
              </w:numPr>
              <w:spacing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Completed:</w:t>
            </w:r>
          </w:p>
          <w:p w14:paraId="533F07DE" w14:textId="06B994D7" w:rsidR="00590DCE" w:rsidRPr="007C4D65" w:rsidRDefault="00590DCE" w:rsidP="00590DCE">
            <w:pPr>
              <w:numPr>
                <w:ilvl w:val="0"/>
                <w:numId w:val="45"/>
              </w:numPr>
              <w:spacing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 xml:space="preserve"> Regulation on the methodology for determining the lowest basic price of water services </w:t>
            </w:r>
            <w:r w:rsidR="007436F1" w:rsidRPr="007C4D65">
              <w:rPr>
                <w:rFonts w:asciiTheme="minorHAnsi" w:hAnsiTheme="minorHAnsi" w:cstheme="minorHAnsi"/>
                <w:sz w:val="18"/>
                <w:szCs w:val="18"/>
              </w:rPr>
              <w:t>in the Federation of BiH</w:t>
            </w:r>
          </w:p>
          <w:p w14:paraId="341DC0A4" w14:textId="77777777" w:rsidR="00590DCE" w:rsidRPr="007C4D65" w:rsidRDefault="00590DCE" w:rsidP="00590DCE">
            <w:pPr>
              <w:numPr>
                <w:ilvl w:val="0"/>
                <w:numId w:val="45"/>
              </w:numPr>
              <w:spacing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 xml:space="preserve">“Overview of sector of water services in </w:t>
            </w:r>
            <w:proofErr w:type="gramStart"/>
            <w:r w:rsidRPr="007C4D65">
              <w:rPr>
                <w:rFonts w:asciiTheme="minorHAnsi" w:hAnsiTheme="minorHAnsi" w:cstheme="minorHAnsi"/>
                <w:sz w:val="18"/>
                <w:szCs w:val="18"/>
              </w:rPr>
              <w:t>BiH“</w:t>
            </w:r>
            <w:proofErr w:type="gramEnd"/>
            <w:r w:rsidRPr="007C4D65">
              <w:rPr>
                <w:rFonts w:asciiTheme="minorHAnsi" w:hAnsiTheme="minorHAnsi" w:cstheme="minorHAnsi"/>
                <w:sz w:val="18"/>
                <w:szCs w:val="18"/>
              </w:rPr>
              <w:t xml:space="preserve"> </w:t>
            </w:r>
          </w:p>
          <w:p w14:paraId="74742A1E" w14:textId="5A9AB7F1" w:rsidR="00590DCE" w:rsidRPr="007C4D65" w:rsidRDefault="00590DCE" w:rsidP="00590DCE">
            <w:pPr>
              <w:numPr>
                <w:ilvl w:val="0"/>
                <w:numId w:val="45"/>
              </w:numPr>
              <w:spacing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 xml:space="preserve">Proposed programme for improving water services </w:t>
            </w:r>
            <w:r w:rsidR="007436F1" w:rsidRPr="007C4D65">
              <w:rPr>
                <w:rFonts w:asciiTheme="minorHAnsi" w:hAnsiTheme="minorHAnsi" w:cstheme="minorHAnsi"/>
                <w:sz w:val="18"/>
                <w:szCs w:val="18"/>
              </w:rPr>
              <w:t>in the Federation of BiH</w:t>
            </w:r>
            <w:r w:rsidRPr="007C4D65">
              <w:rPr>
                <w:rFonts w:asciiTheme="minorHAnsi" w:hAnsiTheme="minorHAnsi" w:cstheme="minorHAnsi"/>
                <w:sz w:val="18"/>
                <w:szCs w:val="18"/>
              </w:rPr>
              <w:t xml:space="preserve"> by providing financial and technical assistance</w:t>
            </w:r>
          </w:p>
        </w:tc>
        <w:tc>
          <w:tcPr>
            <w:tcW w:w="2204" w:type="dxa"/>
          </w:tcPr>
          <w:p w14:paraId="2780B93C"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Fully implemented financial and commercial segments of water services sector reform in all LGUs.</w:t>
            </w:r>
          </w:p>
          <w:p w14:paraId="104F01D9"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   </w:t>
            </w:r>
          </w:p>
        </w:tc>
      </w:tr>
      <w:tr w:rsidR="00590DCE" w:rsidRPr="007C4D65" w14:paraId="46C1D239" w14:textId="77777777" w:rsidTr="00590DCE">
        <w:trPr>
          <w:trHeight w:val="300"/>
        </w:trPr>
        <w:tc>
          <w:tcPr>
            <w:tcW w:w="1883" w:type="dxa"/>
            <w:vMerge/>
            <w:vAlign w:val="center"/>
          </w:tcPr>
          <w:p w14:paraId="153B3F9A"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1D03B596"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Effects of the established system for collecting and allocating special water fees.</w:t>
            </w:r>
          </w:p>
          <w:p w14:paraId="325A0FA3" w14:textId="77777777" w:rsidR="00590DCE" w:rsidRPr="007C4D65" w:rsidRDefault="00590DCE" w:rsidP="00590DCE">
            <w:pPr>
              <w:spacing w:line="276" w:lineRule="auto"/>
              <w:rPr>
                <w:rFonts w:asciiTheme="minorHAnsi" w:hAnsiTheme="minorHAnsi" w:cstheme="minorHAnsi"/>
                <w:sz w:val="18"/>
                <w:szCs w:val="18"/>
              </w:rPr>
            </w:pPr>
          </w:p>
          <w:p w14:paraId="4416B961" w14:textId="77777777" w:rsidR="00590DCE" w:rsidRPr="007C4D65" w:rsidRDefault="00590DCE" w:rsidP="00590DCE">
            <w:pPr>
              <w:spacing w:line="276" w:lineRule="auto"/>
              <w:rPr>
                <w:rFonts w:asciiTheme="minorHAnsi" w:hAnsiTheme="minorHAnsi" w:cstheme="minorHAnsi"/>
                <w:sz w:val="18"/>
                <w:szCs w:val="18"/>
              </w:rPr>
            </w:pPr>
          </w:p>
        </w:tc>
        <w:tc>
          <w:tcPr>
            <w:tcW w:w="2913" w:type="dxa"/>
          </w:tcPr>
          <w:p w14:paraId="36D29DEC"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Existing system of collecting and allocating special water fees does not satisfy the financing needs in water sector</w:t>
            </w:r>
          </w:p>
          <w:p w14:paraId="49013EDA" w14:textId="77777777" w:rsidR="00590DCE" w:rsidRPr="007C4D65" w:rsidRDefault="00590DCE" w:rsidP="00590DCE">
            <w:pPr>
              <w:numPr>
                <w:ilvl w:val="0"/>
                <w:numId w:val="46"/>
              </w:numPr>
              <w:spacing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 xml:space="preserve">Water fees for water intake and for discharging </w:t>
            </w:r>
            <w:proofErr w:type="gramStart"/>
            <w:r w:rsidRPr="007C4D65">
              <w:rPr>
                <w:rFonts w:asciiTheme="minorHAnsi" w:hAnsiTheme="minorHAnsi" w:cstheme="minorHAnsi"/>
                <w:sz w:val="18"/>
                <w:szCs w:val="18"/>
              </w:rPr>
              <w:t>waste water</w:t>
            </w:r>
            <w:proofErr w:type="gramEnd"/>
            <w:r w:rsidRPr="007C4D65">
              <w:rPr>
                <w:rFonts w:asciiTheme="minorHAnsi" w:hAnsiTheme="minorHAnsi" w:cstheme="minorHAnsi"/>
                <w:sz w:val="18"/>
                <w:szCs w:val="18"/>
              </w:rPr>
              <w:t xml:space="preserve"> are not regulated</w:t>
            </w:r>
          </w:p>
          <w:p w14:paraId="4FD4FC0C" w14:textId="77777777" w:rsidR="00590DCE" w:rsidRPr="007C4D65" w:rsidRDefault="00590DCE" w:rsidP="00590DCE">
            <w:pPr>
              <w:numPr>
                <w:ilvl w:val="0"/>
                <w:numId w:val="46"/>
              </w:numPr>
              <w:spacing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No adequate mechanism of forced collection of debt for the unpaid water fees has been established.</w:t>
            </w:r>
          </w:p>
        </w:tc>
        <w:tc>
          <w:tcPr>
            <w:tcW w:w="2204" w:type="dxa"/>
          </w:tcPr>
          <w:p w14:paraId="38D643CF"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Established system of collecting and allocating special water fees that satisfies financing needs in water sector that are planned to be financed from this source.</w:t>
            </w:r>
          </w:p>
          <w:p w14:paraId="0EF421D0"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  </w:t>
            </w:r>
          </w:p>
        </w:tc>
      </w:tr>
      <w:tr w:rsidR="00590DCE" w:rsidRPr="007C4D65" w14:paraId="5363BAE1" w14:textId="77777777" w:rsidTr="00590DCE">
        <w:trPr>
          <w:trHeight w:val="300"/>
        </w:trPr>
        <w:tc>
          <w:tcPr>
            <w:tcW w:w="1883" w:type="dxa"/>
            <w:vMerge/>
            <w:vAlign w:val="center"/>
          </w:tcPr>
          <w:p w14:paraId="14AAAE40"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72EB830C"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Effectiveness of financial and economic planning in water sector for the purpose of obtaining funds for sector development from EU and other international financial institutions.</w:t>
            </w:r>
          </w:p>
        </w:tc>
        <w:tc>
          <w:tcPr>
            <w:tcW w:w="2913" w:type="dxa"/>
          </w:tcPr>
          <w:p w14:paraId="500F4D3B" w14:textId="77777777" w:rsidR="00590DCE" w:rsidRPr="007C4D65" w:rsidRDefault="00590DCE" w:rsidP="00590DCE">
            <w:pPr>
              <w:numPr>
                <w:ilvl w:val="0"/>
                <w:numId w:val="39"/>
              </w:numPr>
              <w:spacing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 xml:space="preserve">Low effectiveness </w:t>
            </w:r>
          </w:p>
          <w:p w14:paraId="7612C398" w14:textId="77777777" w:rsidR="00590DCE" w:rsidRPr="007C4D65" w:rsidRDefault="00590DCE" w:rsidP="00590DCE">
            <w:pPr>
              <w:numPr>
                <w:ilvl w:val="0"/>
                <w:numId w:val="40"/>
              </w:numPr>
              <w:spacing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Insufficient institutional capacities for financial and economic planning in water sector.</w:t>
            </w:r>
          </w:p>
        </w:tc>
        <w:tc>
          <w:tcPr>
            <w:tcW w:w="2204" w:type="dxa"/>
          </w:tcPr>
          <w:p w14:paraId="48E6A564"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Effective financial and economic planning in water sector for the purpose of obtaining funds for sector development from EU and other international financial institutions.</w:t>
            </w:r>
          </w:p>
        </w:tc>
      </w:tr>
      <w:tr w:rsidR="00590DCE" w:rsidRPr="007C4D65" w14:paraId="467331FC" w14:textId="77777777" w:rsidTr="00590DCE">
        <w:trPr>
          <w:trHeight w:val="300"/>
        </w:trPr>
        <w:tc>
          <w:tcPr>
            <w:tcW w:w="1883" w:type="dxa"/>
            <w:vMerge/>
          </w:tcPr>
          <w:p w14:paraId="34052381" w14:textId="77777777" w:rsidR="00590DCE" w:rsidRPr="007C4D65" w:rsidRDefault="00590DCE" w:rsidP="00590DCE">
            <w:pPr>
              <w:spacing w:line="276" w:lineRule="auto"/>
              <w:rPr>
                <w:rFonts w:asciiTheme="minorHAnsi" w:hAnsiTheme="minorHAnsi" w:cstheme="minorHAnsi"/>
                <w:sz w:val="18"/>
                <w:szCs w:val="18"/>
              </w:rPr>
            </w:pPr>
          </w:p>
        </w:tc>
        <w:tc>
          <w:tcPr>
            <w:tcW w:w="2010" w:type="dxa"/>
          </w:tcPr>
          <w:p w14:paraId="442FD691" w14:textId="26D7DFE2"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Status of implementation of all preconditions for comprehensive and systematic approach to addressing climate change adaptation </w:t>
            </w:r>
            <w:r w:rsidR="007436F1" w:rsidRPr="007C4D65">
              <w:rPr>
                <w:rFonts w:asciiTheme="minorHAnsi" w:hAnsiTheme="minorHAnsi" w:cstheme="minorHAnsi"/>
                <w:sz w:val="18"/>
                <w:szCs w:val="18"/>
              </w:rPr>
              <w:t>in the Federation of BiH</w:t>
            </w:r>
            <w:r w:rsidRPr="007C4D65">
              <w:rPr>
                <w:rFonts w:asciiTheme="minorHAnsi" w:hAnsiTheme="minorHAnsi" w:cstheme="minorHAnsi"/>
                <w:sz w:val="18"/>
                <w:szCs w:val="18"/>
              </w:rPr>
              <w:t xml:space="preserve">.            </w:t>
            </w:r>
          </w:p>
          <w:p w14:paraId="7A47562F" w14:textId="77777777" w:rsidR="00590DCE" w:rsidRPr="007C4D65" w:rsidRDefault="00590DCE" w:rsidP="00590DCE">
            <w:pPr>
              <w:spacing w:line="276" w:lineRule="auto"/>
              <w:rPr>
                <w:rFonts w:asciiTheme="minorHAnsi" w:hAnsiTheme="minorHAnsi" w:cstheme="minorHAnsi"/>
                <w:sz w:val="18"/>
                <w:szCs w:val="18"/>
              </w:rPr>
            </w:pPr>
          </w:p>
        </w:tc>
        <w:tc>
          <w:tcPr>
            <w:tcW w:w="2913" w:type="dxa"/>
          </w:tcPr>
          <w:p w14:paraId="1DC23D4A" w14:textId="288DD3DE"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Partially achieved one of the preconditions – cooperation </w:t>
            </w:r>
            <w:r w:rsidR="007436F1" w:rsidRPr="007C4D65">
              <w:rPr>
                <w:rFonts w:asciiTheme="minorHAnsi" w:hAnsiTheme="minorHAnsi" w:cstheme="minorHAnsi"/>
                <w:sz w:val="18"/>
                <w:szCs w:val="18"/>
              </w:rPr>
              <w:t>of the Federation of BiH</w:t>
            </w:r>
            <w:r w:rsidRPr="007C4D65">
              <w:rPr>
                <w:rFonts w:asciiTheme="minorHAnsi" w:hAnsiTheme="minorHAnsi" w:cstheme="minorHAnsi"/>
                <w:sz w:val="18"/>
                <w:szCs w:val="18"/>
              </w:rPr>
              <w:t xml:space="preserve"> water sector with </w:t>
            </w:r>
            <w:proofErr w:type="spellStart"/>
            <w:r w:rsidRPr="007C4D65">
              <w:rPr>
                <w:rFonts w:asciiTheme="minorHAnsi" w:hAnsiTheme="minorHAnsi" w:cstheme="minorHAnsi"/>
                <w:sz w:val="18"/>
                <w:szCs w:val="18"/>
              </w:rPr>
              <w:t>MoFTER</w:t>
            </w:r>
            <w:proofErr w:type="spellEnd"/>
            <w:r w:rsidRPr="007C4D65">
              <w:rPr>
                <w:rFonts w:asciiTheme="minorHAnsi" w:hAnsiTheme="minorHAnsi" w:cstheme="minorHAnsi"/>
                <w:sz w:val="18"/>
                <w:szCs w:val="18"/>
              </w:rPr>
              <w:t xml:space="preserve"> on identification / preparation of priorities and project documents.       </w:t>
            </w:r>
          </w:p>
        </w:tc>
        <w:tc>
          <w:tcPr>
            <w:tcW w:w="2204" w:type="dxa"/>
          </w:tcPr>
          <w:p w14:paraId="3FB60F3B" w14:textId="77777777" w:rsidR="00590DCE" w:rsidRPr="007C4D65" w:rsidRDefault="00590DCE" w:rsidP="00590DCE">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High level of cooperation of water sector with </w:t>
            </w:r>
            <w:proofErr w:type="spellStart"/>
            <w:r w:rsidRPr="007C4D65">
              <w:rPr>
                <w:rFonts w:asciiTheme="minorHAnsi" w:hAnsiTheme="minorHAnsi" w:cstheme="minorHAnsi"/>
                <w:sz w:val="18"/>
                <w:szCs w:val="18"/>
              </w:rPr>
              <w:t>MoFTER</w:t>
            </w:r>
            <w:proofErr w:type="spellEnd"/>
            <w:r w:rsidRPr="007C4D65">
              <w:rPr>
                <w:rFonts w:asciiTheme="minorHAnsi" w:hAnsiTheme="minorHAnsi" w:cstheme="minorHAnsi"/>
                <w:sz w:val="18"/>
                <w:szCs w:val="18"/>
              </w:rPr>
              <w:t xml:space="preserve"> in preparation of plans and projects for the purpose of providing financing for activities of adaptation to climate changes that affect water resources.</w:t>
            </w:r>
          </w:p>
        </w:tc>
      </w:tr>
      <w:bookmarkEnd w:id="83"/>
    </w:tbl>
    <w:p w14:paraId="4C516B6F" w14:textId="77777777" w:rsidR="00590DCE" w:rsidRPr="007C4D65" w:rsidRDefault="00590DCE" w:rsidP="00590DCE">
      <w:pPr>
        <w:spacing w:line="276" w:lineRule="auto"/>
        <w:rPr>
          <w:rFonts w:asciiTheme="minorHAnsi" w:hAnsiTheme="minorHAnsi" w:cstheme="minorHAnsi"/>
          <w:sz w:val="22"/>
          <w:szCs w:val="22"/>
        </w:rPr>
      </w:pPr>
    </w:p>
    <w:p w14:paraId="72DB4F07" w14:textId="3412B4ED" w:rsidR="00597D54" w:rsidRPr="007C4D65" w:rsidRDefault="00597D54" w:rsidP="0068355A">
      <w:pPr>
        <w:spacing w:after="160" w:line="276" w:lineRule="auto"/>
        <w:rPr>
          <w:rFonts w:asciiTheme="minorHAnsi" w:hAnsiTheme="minorHAnsi" w:cstheme="minorHAnsi"/>
          <w:sz w:val="22"/>
          <w:szCs w:val="22"/>
        </w:rPr>
      </w:pPr>
    </w:p>
    <w:p w14:paraId="0B4E0E35" w14:textId="38E5FA04" w:rsidR="000A3050" w:rsidRPr="007C4D65" w:rsidRDefault="00590DCE" w:rsidP="003A16B9">
      <w:pPr>
        <w:pStyle w:val="Head3"/>
        <w:spacing w:line="276" w:lineRule="auto"/>
        <w:rPr>
          <w:rFonts w:asciiTheme="minorHAnsi" w:hAnsiTheme="minorHAnsi"/>
        </w:rPr>
      </w:pPr>
      <w:bookmarkStart w:id="86" w:name="_Toc117445333"/>
      <w:r w:rsidRPr="007C4D65">
        <w:rPr>
          <w:rFonts w:asciiTheme="minorHAnsi" w:hAnsiTheme="minorHAnsi"/>
        </w:rPr>
        <w:lastRenderedPageBreak/>
        <w:t>Description of measures</w:t>
      </w:r>
      <w:bookmarkEnd w:id="86"/>
    </w:p>
    <w:p w14:paraId="3EA9F867" w14:textId="02B1E301" w:rsidR="00590DCE" w:rsidRPr="007C4D65" w:rsidRDefault="00530886" w:rsidP="00590DCE">
      <w:pPr>
        <w:spacing w:before="240" w:after="240" w:line="276" w:lineRule="auto"/>
        <w:jc w:val="both"/>
        <w:rPr>
          <w:rFonts w:asciiTheme="minorHAnsi" w:eastAsia="Calibri" w:hAnsiTheme="minorHAnsi" w:cstheme="minorHAnsi"/>
          <w:sz w:val="22"/>
          <w:szCs w:val="22"/>
        </w:rPr>
      </w:pPr>
      <w:r w:rsidRPr="007C4D65">
        <w:rPr>
          <w:rFonts w:asciiTheme="minorHAnsi" w:hAnsiTheme="minorHAnsi"/>
        </w:rPr>
        <w:t>T</w:t>
      </w:r>
      <w:r w:rsidR="00590DCE" w:rsidRPr="007C4D65">
        <w:rPr>
          <w:rFonts w:asciiTheme="minorHAnsi" w:hAnsiTheme="minorHAnsi"/>
        </w:rPr>
        <w:t xml:space="preserve">he strategic goal of </w:t>
      </w:r>
      <w:r w:rsidR="00590DCE" w:rsidRPr="007C4D65">
        <w:rPr>
          <w:rFonts w:asciiTheme="minorHAnsi" w:hAnsiTheme="minorHAnsi"/>
          <w:u w:val="single"/>
        </w:rPr>
        <w:t xml:space="preserve">Protection and Quality of Water and Availability and Sustainability of Water Resources, </w:t>
      </w:r>
      <w:r w:rsidRPr="007C4D65">
        <w:rPr>
          <w:rFonts w:asciiTheme="minorHAnsi" w:hAnsiTheme="minorHAnsi"/>
        </w:rPr>
        <w:t>comprises</w:t>
      </w:r>
      <w:r w:rsidR="00590DCE" w:rsidRPr="007C4D65">
        <w:rPr>
          <w:rFonts w:asciiTheme="minorHAnsi" w:hAnsiTheme="minorHAnsi"/>
        </w:rPr>
        <w:t xml:space="preserve"> 6 priorities and 16 measures </w:t>
      </w:r>
      <w:r w:rsidRPr="007C4D65">
        <w:rPr>
          <w:rFonts w:asciiTheme="minorHAnsi" w:hAnsiTheme="minorHAnsi"/>
        </w:rPr>
        <w:t>logically assigned to individual</w:t>
      </w:r>
      <w:r w:rsidR="00590DCE" w:rsidRPr="007C4D65">
        <w:rPr>
          <w:rFonts w:asciiTheme="minorHAnsi" w:hAnsiTheme="minorHAnsi"/>
        </w:rPr>
        <w:t xml:space="preserve"> priorities </w:t>
      </w:r>
      <w:proofErr w:type="gramStart"/>
      <w:r w:rsidRPr="007C4D65">
        <w:rPr>
          <w:rFonts w:asciiTheme="minorHAnsi" w:hAnsiTheme="minorHAnsi"/>
        </w:rPr>
        <w:t>so as to</w:t>
      </w:r>
      <w:proofErr w:type="gramEnd"/>
      <w:r w:rsidRPr="007C4D65">
        <w:rPr>
          <w:rFonts w:asciiTheme="minorHAnsi" w:hAnsiTheme="minorHAnsi"/>
        </w:rPr>
        <w:t xml:space="preserve"> support the</w:t>
      </w:r>
      <w:r w:rsidR="00590DCE" w:rsidRPr="007C4D65">
        <w:rPr>
          <w:rFonts w:asciiTheme="minorHAnsi" w:hAnsiTheme="minorHAnsi"/>
        </w:rPr>
        <w:t xml:space="preserve"> implementation of the strategic goal as a whole</w:t>
      </w:r>
      <w:r w:rsidR="00590DCE" w:rsidRPr="007C4D65">
        <w:rPr>
          <w:rFonts w:asciiTheme="minorHAnsi" w:eastAsia="Calibri" w:hAnsiTheme="minorHAnsi" w:cstheme="minorHAnsi"/>
          <w:sz w:val="22"/>
          <w:szCs w:val="22"/>
        </w:rPr>
        <w:t>.</w:t>
      </w:r>
    </w:p>
    <w:p w14:paraId="19AB545F" w14:textId="77777777" w:rsidR="00590DCE" w:rsidRPr="007C4D65" w:rsidRDefault="00590DCE" w:rsidP="00590DCE">
      <w:pPr>
        <w:spacing w:line="276" w:lineRule="auto"/>
        <w:rPr>
          <w:rFonts w:asciiTheme="minorHAnsi" w:eastAsia="Calibri" w:hAnsiTheme="minorHAnsi" w:cstheme="minorHAnsi"/>
          <w:b/>
          <w:bCs/>
          <w:i/>
          <w:iCs/>
          <w:u w:val="single"/>
        </w:rPr>
      </w:pPr>
      <w:r w:rsidRPr="007C4D65">
        <w:rPr>
          <w:rFonts w:asciiTheme="minorHAnsi" w:hAnsiTheme="minorHAnsi"/>
          <w:b/>
          <w:i/>
          <w:u w:val="single"/>
        </w:rPr>
        <w:t xml:space="preserve">Priority 1.1 Prevent deterioration and improve status of water bodies </w:t>
      </w:r>
    </w:p>
    <w:p w14:paraId="5CD088E4" w14:textId="1802C066" w:rsidR="00590DCE" w:rsidRPr="007C4D65" w:rsidRDefault="00590DCE" w:rsidP="00590DCE">
      <w:pPr>
        <w:spacing w:line="276" w:lineRule="auto"/>
        <w:rPr>
          <w:rFonts w:asciiTheme="minorHAnsi" w:eastAsia="Calibri" w:hAnsiTheme="minorHAnsi" w:cstheme="minorHAnsi"/>
          <w:i/>
          <w:iCs/>
          <w:u w:val="single"/>
        </w:rPr>
      </w:pPr>
      <w:r w:rsidRPr="007C4D65">
        <w:rPr>
          <w:rFonts w:asciiTheme="minorHAnsi" w:hAnsiTheme="minorHAnsi"/>
          <w:i/>
          <w:u w:val="single"/>
        </w:rPr>
        <w:t xml:space="preserve">Measure 1.1.1. Achieving environmental goals for water bodies as defined in the River </w:t>
      </w:r>
      <w:bookmarkStart w:id="87" w:name="_Hlk95248015"/>
      <w:r w:rsidRPr="007C4D65">
        <w:rPr>
          <w:rFonts w:asciiTheme="minorHAnsi" w:hAnsiTheme="minorHAnsi"/>
          <w:i/>
          <w:u w:val="single"/>
        </w:rPr>
        <w:t xml:space="preserve">Basin Management Plans </w:t>
      </w:r>
      <w:bookmarkEnd w:id="87"/>
      <w:r w:rsidR="007436F1" w:rsidRPr="007C4D65">
        <w:rPr>
          <w:rFonts w:asciiTheme="minorHAnsi" w:hAnsiTheme="minorHAnsi"/>
          <w:i/>
          <w:u w:val="single"/>
        </w:rPr>
        <w:t>in the Federation of BiH</w:t>
      </w:r>
      <w:r w:rsidRPr="007C4D65">
        <w:rPr>
          <w:rFonts w:asciiTheme="minorHAnsi" w:hAnsiTheme="minorHAnsi"/>
          <w:i/>
          <w:u w:val="single"/>
        </w:rPr>
        <w:t xml:space="preserve"> and inspection oversight of water pollution </w:t>
      </w:r>
    </w:p>
    <w:p w14:paraId="47207E80" w14:textId="381C1041" w:rsidR="00590DCE" w:rsidRPr="007C4D65" w:rsidRDefault="00590DCE" w:rsidP="00590DCE">
      <w:pPr>
        <w:spacing w:before="40" w:after="40" w:line="276" w:lineRule="auto"/>
        <w:jc w:val="both"/>
        <w:rPr>
          <w:rFonts w:asciiTheme="minorHAnsi" w:eastAsia="Calibri" w:hAnsiTheme="minorHAnsi" w:cstheme="minorHAnsi"/>
        </w:rPr>
      </w:pPr>
      <w:r w:rsidRPr="007C4D65">
        <w:rPr>
          <w:rFonts w:asciiTheme="minorHAnsi" w:hAnsiTheme="minorHAnsi"/>
        </w:rPr>
        <w:t xml:space="preserve">This measure aims to achieve at least good status of </w:t>
      </w:r>
      <w:r w:rsidR="001F7CB6" w:rsidRPr="007C4D65">
        <w:rPr>
          <w:rFonts w:asciiTheme="minorHAnsi" w:hAnsiTheme="minorHAnsi"/>
        </w:rPr>
        <w:t>surface and ground</w:t>
      </w:r>
      <w:r w:rsidRPr="007C4D65">
        <w:rPr>
          <w:rFonts w:asciiTheme="minorHAnsi" w:hAnsiTheme="minorHAnsi"/>
        </w:rPr>
        <w:t xml:space="preserve"> waters, including implementation and assessment of progress in implementation of the River Basin Management Plans, improving legislation and inspection oversight of activities that may have adverse impact on water environment. </w:t>
      </w:r>
    </w:p>
    <w:p w14:paraId="44A1CF03" w14:textId="77777777" w:rsidR="00590DCE" w:rsidRPr="007C4D65" w:rsidRDefault="00590DCE" w:rsidP="00590DCE">
      <w:pPr>
        <w:spacing w:before="160" w:line="276" w:lineRule="auto"/>
        <w:rPr>
          <w:rFonts w:asciiTheme="minorHAnsi" w:eastAsia="Calibri" w:hAnsiTheme="minorHAnsi" w:cstheme="minorHAnsi"/>
          <w:b/>
          <w:bCs/>
          <w:i/>
          <w:iCs/>
          <w:u w:val="single"/>
        </w:rPr>
      </w:pPr>
      <w:r w:rsidRPr="007C4D65">
        <w:rPr>
          <w:rFonts w:asciiTheme="minorHAnsi" w:hAnsiTheme="minorHAnsi"/>
          <w:b/>
          <w:bCs/>
          <w:i/>
          <w:iCs/>
          <w:u w:val="single"/>
        </w:rPr>
        <w:t>Priority 1.2. Provide conditions for achieving sustainable use of water resources</w:t>
      </w:r>
      <w:r w:rsidRPr="007C4D65">
        <w:rPr>
          <w:rFonts w:asciiTheme="minorHAnsi" w:hAnsiTheme="minorHAnsi"/>
          <w:b/>
          <w:i/>
          <w:u w:val="single"/>
        </w:rPr>
        <w:t xml:space="preserve"> </w:t>
      </w:r>
    </w:p>
    <w:p w14:paraId="0E8F901E" w14:textId="77777777" w:rsidR="00590DCE" w:rsidRPr="007C4D65" w:rsidRDefault="00590DCE" w:rsidP="00590DCE">
      <w:pPr>
        <w:spacing w:before="120" w:line="276" w:lineRule="auto"/>
        <w:rPr>
          <w:rFonts w:asciiTheme="minorHAnsi" w:eastAsia="Calibri" w:hAnsiTheme="minorHAnsi" w:cstheme="minorHAnsi"/>
          <w:i/>
          <w:iCs/>
          <w:u w:val="single"/>
        </w:rPr>
      </w:pPr>
      <w:r w:rsidRPr="007C4D65">
        <w:rPr>
          <w:rFonts w:asciiTheme="minorHAnsi" w:hAnsiTheme="minorHAnsi"/>
          <w:i/>
          <w:u w:val="single"/>
        </w:rPr>
        <w:t>Measure 1.2.1. Intensifying cooperation between water sector and other sectors for the purpose of ensuring protection and sustainable use of water resources</w:t>
      </w:r>
    </w:p>
    <w:p w14:paraId="34988333" w14:textId="0025C47C" w:rsidR="00590DCE" w:rsidRPr="007C4D65" w:rsidRDefault="00590DCE" w:rsidP="00590DCE">
      <w:pPr>
        <w:spacing w:before="120" w:after="120" w:line="276" w:lineRule="auto"/>
        <w:jc w:val="both"/>
        <w:rPr>
          <w:rFonts w:asciiTheme="minorHAnsi" w:eastAsia="Calibri" w:hAnsiTheme="minorHAnsi" w:cstheme="minorHAnsi"/>
        </w:rPr>
      </w:pPr>
      <w:r w:rsidRPr="007C4D65">
        <w:rPr>
          <w:rFonts w:asciiTheme="minorHAnsi" w:hAnsiTheme="minorHAnsi"/>
        </w:rPr>
        <w:t xml:space="preserve">This measure aims to contribute to integration of the needs and objectives of water sector into planning documents of other sectors (spatial planning, energy sector, agriculture, forestry, water inspection etc.) by implementing activities in the water sector that may influence the restrictions in use of water and interventions in space in the situations when adverse impact on water is proven, and intensifying </w:t>
      </w:r>
      <w:r w:rsidR="00007DA5" w:rsidRPr="007C4D65">
        <w:rPr>
          <w:rFonts w:asciiTheme="minorHAnsi" w:hAnsiTheme="minorHAnsi"/>
        </w:rPr>
        <w:t>cross-sectoral</w:t>
      </w:r>
      <w:r w:rsidRPr="007C4D65">
        <w:rPr>
          <w:rFonts w:asciiTheme="minorHAnsi" w:hAnsiTheme="minorHAnsi"/>
        </w:rPr>
        <w:t xml:space="preserve"> cooperation, including water inspections. </w:t>
      </w:r>
    </w:p>
    <w:p w14:paraId="59EE0D1F" w14:textId="77777777" w:rsidR="00590DCE" w:rsidRPr="007C4D65" w:rsidRDefault="00590DCE" w:rsidP="00590DCE">
      <w:pPr>
        <w:spacing w:line="276" w:lineRule="auto"/>
        <w:rPr>
          <w:rFonts w:asciiTheme="minorHAnsi" w:eastAsia="Calibri" w:hAnsiTheme="minorHAnsi" w:cstheme="minorHAnsi"/>
          <w:i/>
          <w:iCs/>
          <w:u w:val="single"/>
        </w:rPr>
      </w:pPr>
      <w:r w:rsidRPr="007C4D65">
        <w:rPr>
          <w:rFonts w:asciiTheme="minorHAnsi" w:hAnsiTheme="minorHAnsi"/>
          <w:i/>
          <w:u w:val="single"/>
        </w:rPr>
        <w:t xml:space="preserve">Measure 1.2.2.  Ensuring transparent and defined by law procedure for awarding concessions </w:t>
      </w:r>
      <w:proofErr w:type="gramStart"/>
      <w:r w:rsidRPr="007C4D65">
        <w:rPr>
          <w:rFonts w:asciiTheme="minorHAnsi" w:hAnsiTheme="minorHAnsi"/>
          <w:i/>
          <w:u w:val="single"/>
        </w:rPr>
        <w:t>in the area of</w:t>
      </w:r>
      <w:proofErr w:type="gramEnd"/>
      <w:r w:rsidRPr="007C4D65">
        <w:rPr>
          <w:rFonts w:asciiTheme="minorHAnsi" w:hAnsiTheme="minorHAnsi"/>
          <w:i/>
          <w:u w:val="single"/>
        </w:rPr>
        <w:t xml:space="preserve"> water use </w:t>
      </w:r>
    </w:p>
    <w:p w14:paraId="1C7A570C" w14:textId="3DAD7D97" w:rsidR="00590DCE" w:rsidRPr="007C4D65" w:rsidRDefault="00590DCE" w:rsidP="00590DCE">
      <w:pPr>
        <w:spacing w:before="240" w:line="276" w:lineRule="auto"/>
        <w:jc w:val="both"/>
        <w:rPr>
          <w:rFonts w:asciiTheme="minorHAnsi" w:eastAsia="Calibri" w:hAnsiTheme="minorHAnsi" w:cstheme="minorHAnsi"/>
          <w:sz w:val="22"/>
          <w:szCs w:val="22"/>
        </w:rPr>
      </w:pPr>
      <w:r w:rsidRPr="007C4D65">
        <w:rPr>
          <w:rFonts w:asciiTheme="minorHAnsi" w:hAnsiTheme="minorHAnsi"/>
        </w:rPr>
        <w:t xml:space="preserve">This measure aims to contribute to identification of precise conditions for awarding concessions for use of water resources </w:t>
      </w:r>
      <w:r w:rsidR="007436F1" w:rsidRPr="007C4D65">
        <w:rPr>
          <w:rFonts w:asciiTheme="minorHAnsi" w:hAnsiTheme="minorHAnsi"/>
        </w:rPr>
        <w:t>in the Federation of BiH</w:t>
      </w:r>
      <w:r w:rsidRPr="007C4D65">
        <w:rPr>
          <w:rFonts w:asciiTheme="minorHAnsi" w:eastAsia="Calibri" w:hAnsiTheme="minorHAnsi" w:cstheme="minorHAnsi"/>
          <w:sz w:val="22"/>
          <w:szCs w:val="22"/>
        </w:rPr>
        <w:t xml:space="preserve">, including; harmonization of legislation on concessions and other relevant legislation with legislative changes adopted at the level of Federation (July 2022), which prohibits planning and construction of new </w:t>
      </w:r>
      <w:r w:rsidR="00A46B27" w:rsidRPr="007C4D65">
        <w:rPr>
          <w:rFonts w:asciiTheme="minorHAnsi" w:eastAsia="Calibri" w:hAnsiTheme="minorHAnsi" w:cstheme="minorHAnsi"/>
          <w:sz w:val="22"/>
          <w:szCs w:val="22"/>
        </w:rPr>
        <w:t>SHPP</w:t>
      </w:r>
      <w:r w:rsidRPr="007C4D65">
        <w:rPr>
          <w:rFonts w:asciiTheme="minorHAnsi" w:eastAsia="Calibri" w:hAnsiTheme="minorHAnsi" w:cstheme="minorHAnsi"/>
          <w:sz w:val="22"/>
          <w:szCs w:val="22"/>
        </w:rPr>
        <w:t xml:space="preserve">s of up to 10 MW, implementation of the new Rulebook on </w:t>
      </w:r>
      <w:r w:rsidR="00C90B32" w:rsidRPr="007C4D65">
        <w:rPr>
          <w:rFonts w:asciiTheme="minorHAnsi" w:eastAsia="Calibri" w:hAnsiTheme="minorHAnsi" w:cstheme="minorHAnsi"/>
          <w:sz w:val="22"/>
          <w:szCs w:val="22"/>
        </w:rPr>
        <w:t>environmental flaw</w:t>
      </w:r>
      <w:r w:rsidRPr="007C4D65">
        <w:rPr>
          <w:rFonts w:asciiTheme="minorHAnsi" w:eastAsia="Calibri" w:hAnsiTheme="minorHAnsi" w:cstheme="minorHAnsi"/>
          <w:sz w:val="22"/>
          <w:szCs w:val="22"/>
        </w:rPr>
        <w:t xml:space="preserve"> in FBiH, and use of a catalogue of criteria for sustainable development in the small hydro power (SHPP) sector when extending or challenging the extension of water acts for the existing SHPPs.</w:t>
      </w:r>
    </w:p>
    <w:p w14:paraId="1C6A39B5" w14:textId="77777777" w:rsidR="00590DCE" w:rsidRPr="007C4D65" w:rsidRDefault="00590DCE" w:rsidP="00590DCE">
      <w:pPr>
        <w:spacing w:before="160" w:line="276" w:lineRule="auto"/>
        <w:rPr>
          <w:rFonts w:asciiTheme="minorHAnsi" w:eastAsia="Calibri" w:hAnsiTheme="minorHAnsi" w:cstheme="minorHAnsi"/>
          <w:b/>
          <w:bCs/>
          <w:i/>
          <w:iCs/>
          <w:u w:val="single"/>
        </w:rPr>
      </w:pPr>
      <w:bookmarkStart w:id="88" w:name="_Hlk95278086"/>
      <w:r w:rsidRPr="007C4D65">
        <w:rPr>
          <w:rFonts w:asciiTheme="minorHAnsi" w:hAnsiTheme="minorHAnsi"/>
          <w:b/>
          <w:i/>
          <w:u w:val="single"/>
        </w:rPr>
        <w:t xml:space="preserve">Priority 1.3 Ensuring sufficient drinking water supplies and availability for public water supply purposes </w:t>
      </w:r>
    </w:p>
    <w:bookmarkEnd w:id="88"/>
    <w:p w14:paraId="3234A022" w14:textId="1AF752DD" w:rsidR="00590DCE" w:rsidRPr="007C4D65" w:rsidRDefault="00590DCE" w:rsidP="00590DCE">
      <w:pPr>
        <w:spacing w:before="120" w:line="276" w:lineRule="auto"/>
        <w:rPr>
          <w:rFonts w:asciiTheme="minorHAnsi" w:eastAsia="Calibri" w:hAnsiTheme="minorHAnsi" w:cstheme="minorHAnsi"/>
          <w:i/>
          <w:iCs/>
          <w:u w:val="single"/>
        </w:rPr>
      </w:pPr>
      <w:r w:rsidRPr="007C4D65">
        <w:rPr>
          <w:rFonts w:asciiTheme="minorHAnsi" w:hAnsiTheme="minorHAnsi"/>
          <w:i/>
          <w:u w:val="single"/>
        </w:rPr>
        <w:t>Measure 1.3.1. Development of the water supply systems that offer optimal solutions for L</w:t>
      </w:r>
      <w:r w:rsidR="001A2A48" w:rsidRPr="007C4D65">
        <w:rPr>
          <w:rFonts w:asciiTheme="minorHAnsi" w:hAnsiTheme="minorHAnsi"/>
          <w:i/>
          <w:u w:val="single"/>
        </w:rPr>
        <w:t>GU</w:t>
      </w:r>
      <w:r w:rsidRPr="007C4D65">
        <w:rPr>
          <w:rFonts w:asciiTheme="minorHAnsi" w:hAnsiTheme="minorHAnsi"/>
          <w:i/>
          <w:u w:val="single"/>
        </w:rPr>
        <w:t xml:space="preserve">s, efficient distribution network and safe drinking water </w:t>
      </w:r>
    </w:p>
    <w:p w14:paraId="27F007DA" w14:textId="7952BB4B" w:rsidR="00590DCE" w:rsidRPr="007C4D65" w:rsidRDefault="00590DCE" w:rsidP="00590DCE">
      <w:pPr>
        <w:spacing w:before="120" w:after="120" w:line="276" w:lineRule="auto"/>
        <w:jc w:val="both"/>
        <w:rPr>
          <w:rFonts w:asciiTheme="minorHAnsi" w:eastAsia="Calibri" w:hAnsiTheme="minorHAnsi" w:cstheme="minorHAnsi"/>
        </w:rPr>
      </w:pPr>
      <w:r w:rsidRPr="007C4D65">
        <w:rPr>
          <w:rFonts w:asciiTheme="minorHAnsi" w:hAnsiTheme="minorHAnsi"/>
        </w:rPr>
        <w:t xml:space="preserve">This measure aims to develop Plans for improvement and development of technical and operational aspects of water supply services in urban and rural areas </w:t>
      </w:r>
      <w:r w:rsidR="007436F1" w:rsidRPr="007C4D65">
        <w:rPr>
          <w:rFonts w:asciiTheme="minorHAnsi" w:hAnsiTheme="minorHAnsi"/>
        </w:rPr>
        <w:t>of the Federation of BiH</w:t>
      </w:r>
      <w:r w:rsidRPr="007C4D65">
        <w:rPr>
          <w:rFonts w:asciiTheme="minorHAnsi" w:hAnsiTheme="minorHAnsi"/>
        </w:rPr>
        <w:t>.</w:t>
      </w:r>
    </w:p>
    <w:p w14:paraId="3E6A0552" w14:textId="6325F002" w:rsidR="00590DCE" w:rsidRPr="007C4D65" w:rsidRDefault="00590DCE" w:rsidP="00590DCE">
      <w:pPr>
        <w:spacing w:before="120" w:line="276" w:lineRule="auto"/>
        <w:rPr>
          <w:rFonts w:asciiTheme="minorHAnsi" w:eastAsia="Calibri" w:hAnsiTheme="minorHAnsi" w:cstheme="minorHAnsi"/>
          <w:i/>
          <w:iCs/>
          <w:u w:val="single"/>
        </w:rPr>
      </w:pPr>
      <w:r w:rsidRPr="007C4D65">
        <w:rPr>
          <w:rFonts w:asciiTheme="minorHAnsi" w:hAnsiTheme="minorHAnsi"/>
          <w:i/>
          <w:u w:val="single"/>
        </w:rPr>
        <w:lastRenderedPageBreak/>
        <w:t xml:space="preserve">Measure 1.3.2. Improve the existing legislative framework in the sector of water services </w:t>
      </w:r>
      <w:r w:rsidR="007436F1" w:rsidRPr="007C4D65">
        <w:rPr>
          <w:rFonts w:asciiTheme="minorHAnsi" w:hAnsiTheme="minorHAnsi"/>
          <w:i/>
          <w:u w:val="single"/>
        </w:rPr>
        <w:t>in the Federation of BiH</w:t>
      </w:r>
      <w:r w:rsidRPr="007C4D65">
        <w:rPr>
          <w:rFonts w:asciiTheme="minorHAnsi" w:hAnsiTheme="minorHAnsi"/>
          <w:i/>
          <w:u w:val="single"/>
        </w:rPr>
        <w:t xml:space="preserve"> </w:t>
      </w:r>
    </w:p>
    <w:p w14:paraId="045AED70" w14:textId="4DD746BA" w:rsidR="00590DCE" w:rsidRPr="007C4D65" w:rsidRDefault="00590DCE" w:rsidP="00590DCE">
      <w:pPr>
        <w:spacing w:before="120" w:after="120" w:line="276" w:lineRule="auto"/>
        <w:jc w:val="both"/>
        <w:rPr>
          <w:rFonts w:asciiTheme="minorHAnsi" w:eastAsia="Calibri" w:hAnsiTheme="minorHAnsi" w:cstheme="minorHAnsi"/>
        </w:rPr>
      </w:pPr>
      <w:r w:rsidRPr="007C4D65">
        <w:rPr>
          <w:rFonts w:asciiTheme="minorHAnsi" w:hAnsiTheme="minorHAnsi"/>
        </w:rPr>
        <w:t xml:space="preserve">This measure aims to ensure consistent implementation of existing legislation and harmonise legislation or adopt new for the purpose of ensuring water services standards in accordance with the Directive on water intended for human use, with special focus on the safe water supply to rural areas / local water supply systems </w:t>
      </w:r>
      <w:r w:rsidR="007436F1" w:rsidRPr="007C4D65">
        <w:rPr>
          <w:rFonts w:asciiTheme="minorHAnsi" w:hAnsiTheme="minorHAnsi"/>
        </w:rPr>
        <w:t>in the Federation of BiH</w:t>
      </w:r>
      <w:r w:rsidRPr="007C4D65">
        <w:rPr>
          <w:rFonts w:asciiTheme="minorHAnsi" w:eastAsia="Calibri" w:hAnsiTheme="minorHAnsi" w:cstheme="minorHAnsi"/>
          <w:sz w:val="22"/>
          <w:szCs w:val="22"/>
        </w:rPr>
        <w:t>.</w:t>
      </w:r>
    </w:p>
    <w:p w14:paraId="2F53A294" w14:textId="3402C201" w:rsidR="00590DCE" w:rsidRPr="007C4D65" w:rsidRDefault="00590DCE" w:rsidP="00590DCE">
      <w:pPr>
        <w:spacing w:before="120" w:line="276" w:lineRule="auto"/>
        <w:rPr>
          <w:rFonts w:asciiTheme="minorHAnsi" w:eastAsia="Calibri" w:hAnsiTheme="minorHAnsi" w:cstheme="minorHAnsi"/>
          <w:b/>
          <w:bCs/>
          <w:i/>
          <w:iCs/>
          <w:u w:val="single"/>
        </w:rPr>
      </w:pPr>
      <w:r w:rsidRPr="007C4D65">
        <w:rPr>
          <w:rFonts w:asciiTheme="minorHAnsi" w:hAnsiTheme="minorHAnsi"/>
          <w:b/>
          <w:i/>
          <w:u w:val="single"/>
        </w:rPr>
        <w:t xml:space="preserve">Priority 1.4 </w:t>
      </w:r>
      <w:r w:rsidR="00854430" w:rsidRPr="007C4D65">
        <w:rPr>
          <w:rFonts w:asciiTheme="minorHAnsi" w:hAnsiTheme="minorHAnsi"/>
          <w:b/>
          <w:i/>
          <w:u w:val="single"/>
        </w:rPr>
        <w:t>Reducing the risk of extreme hydrological events by establishing a sustainable flood risk management system and adaptation to climate changes</w:t>
      </w:r>
    </w:p>
    <w:p w14:paraId="3690C6C8" w14:textId="77777777" w:rsidR="00590DCE" w:rsidRPr="007C4D65" w:rsidRDefault="00590DCE" w:rsidP="00590DCE">
      <w:pPr>
        <w:spacing w:before="120" w:line="276" w:lineRule="auto"/>
        <w:rPr>
          <w:rFonts w:asciiTheme="minorHAnsi" w:eastAsia="Calibri" w:hAnsiTheme="minorHAnsi" w:cstheme="minorHAnsi"/>
          <w:i/>
          <w:iCs/>
          <w:u w:val="single"/>
        </w:rPr>
      </w:pPr>
      <w:r w:rsidRPr="007C4D65">
        <w:rPr>
          <w:rFonts w:asciiTheme="minorHAnsi" w:hAnsiTheme="minorHAnsi"/>
          <w:i/>
          <w:u w:val="single"/>
        </w:rPr>
        <w:t xml:space="preserve">Measure 1.4.1. Monitoring and assessment of the level of implementation of the Flood Risk Management Plans in river r basins in FBiH  </w:t>
      </w:r>
    </w:p>
    <w:p w14:paraId="6B26B747" w14:textId="77777777" w:rsidR="00590DCE" w:rsidRPr="007C4D65" w:rsidRDefault="00590DCE" w:rsidP="00590DCE">
      <w:pPr>
        <w:spacing w:before="120" w:after="120" w:line="276" w:lineRule="auto"/>
        <w:jc w:val="both"/>
        <w:rPr>
          <w:rFonts w:asciiTheme="minorHAnsi" w:eastAsia="Calibri" w:hAnsiTheme="minorHAnsi" w:cstheme="minorHAnsi"/>
        </w:rPr>
      </w:pPr>
      <w:r w:rsidRPr="007C4D65">
        <w:rPr>
          <w:rFonts w:asciiTheme="minorHAnsi" w:hAnsiTheme="minorHAnsi"/>
        </w:rPr>
        <w:t xml:space="preserve">This measure aims to reduce likeliness of floods and size and number of areas at risk of floods by improving water legislation and by monitoring implementation of measures specified in the flood risk management plans.  </w:t>
      </w:r>
    </w:p>
    <w:p w14:paraId="475209B7" w14:textId="4AF4FA1C" w:rsidR="00590DCE" w:rsidRPr="007C4D65" w:rsidRDefault="00590DCE" w:rsidP="00590DCE">
      <w:pPr>
        <w:spacing w:before="120" w:line="276" w:lineRule="auto"/>
        <w:rPr>
          <w:rFonts w:asciiTheme="minorHAnsi" w:eastAsia="Calibri" w:hAnsiTheme="minorHAnsi" w:cstheme="minorHAnsi"/>
          <w:i/>
          <w:iCs/>
          <w:u w:val="single"/>
        </w:rPr>
      </w:pPr>
      <w:r w:rsidRPr="007C4D65">
        <w:rPr>
          <w:rFonts w:asciiTheme="minorHAnsi" w:hAnsiTheme="minorHAnsi"/>
          <w:i/>
          <w:u w:val="single"/>
        </w:rPr>
        <w:t xml:space="preserve">Measure 1.4.2. Establishment and operation of hydrology forecasting systems </w:t>
      </w:r>
      <w:r w:rsidR="007436F1" w:rsidRPr="007C4D65">
        <w:rPr>
          <w:rFonts w:asciiTheme="minorHAnsi" w:hAnsiTheme="minorHAnsi"/>
          <w:i/>
          <w:u w:val="single"/>
        </w:rPr>
        <w:t>in the Federation of BiH</w:t>
      </w:r>
      <w:r w:rsidRPr="007C4D65">
        <w:rPr>
          <w:rFonts w:asciiTheme="minorHAnsi" w:hAnsiTheme="minorHAnsi"/>
          <w:i/>
          <w:u w:val="single"/>
        </w:rPr>
        <w:t>, including the improvement of the network of hydrological and meteorological metering stations</w:t>
      </w:r>
    </w:p>
    <w:p w14:paraId="314B931D" w14:textId="354CE6A0" w:rsidR="00590DCE" w:rsidRPr="007C4D65" w:rsidRDefault="00590DCE" w:rsidP="00590DCE">
      <w:pPr>
        <w:spacing w:before="120" w:after="120" w:line="276" w:lineRule="auto"/>
        <w:jc w:val="both"/>
        <w:rPr>
          <w:rFonts w:asciiTheme="minorHAnsi" w:eastAsia="Calibri" w:hAnsiTheme="minorHAnsi" w:cstheme="minorHAnsi"/>
        </w:rPr>
      </w:pPr>
      <w:r w:rsidRPr="007C4D65">
        <w:rPr>
          <w:rFonts w:asciiTheme="minorHAnsi" w:hAnsiTheme="minorHAnsi"/>
        </w:rPr>
        <w:t xml:space="preserve">This measure aims to plan further development of hydrological and meteorological and precipitation stations </w:t>
      </w:r>
      <w:r w:rsidR="007436F1" w:rsidRPr="007C4D65">
        <w:rPr>
          <w:rFonts w:asciiTheme="minorHAnsi" w:hAnsiTheme="minorHAnsi"/>
        </w:rPr>
        <w:t>in the Federation of BiH</w:t>
      </w:r>
      <w:r w:rsidRPr="007C4D65">
        <w:rPr>
          <w:rFonts w:asciiTheme="minorHAnsi" w:hAnsiTheme="minorHAnsi"/>
        </w:rPr>
        <w:t xml:space="preserve"> as the basis for establishing and operating hydrological and hydraulic forecasting models.</w:t>
      </w:r>
    </w:p>
    <w:p w14:paraId="3B578D03" w14:textId="77777777" w:rsidR="00590DCE" w:rsidRPr="007C4D65" w:rsidRDefault="00590DCE" w:rsidP="00590DCE">
      <w:pPr>
        <w:spacing w:before="120" w:line="276" w:lineRule="auto"/>
        <w:rPr>
          <w:rFonts w:asciiTheme="minorHAnsi" w:eastAsia="Calibri" w:hAnsiTheme="minorHAnsi" w:cstheme="minorHAnsi"/>
          <w:i/>
          <w:iCs/>
          <w:u w:val="single"/>
        </w:rPr>
      </w:pPr>
      <w:r w:rsidRPr="007C4D65">
        <w:rPr>
          <w:rFonts w:asciiTheme="minorHAnsi" w:hAnsiTheme="minorHAnsi"/>
          <w:i/>
          <w:u w:val="single"/>
        </w:rPr>
        <w:t>Measure 1.4.3. Improved planning and implementation of the measures for adaptation to climate changes that affect water resources</w:t>
      </w:r>
    </w:p>
    <w:p w14:paraId="28C97EE3" w14:textId="6DFB2B0A" w:rsidR="00590DCE" w:rsidRPr="007C4D65" w:rsidRDefault="00590DCE" w:rsidP="00590DCE">
      <w:pPr>
        <w:spacing w:before="240" w:after="120" w:line="276" w:lineRule="auto"/>
        <w:jc w:val="both"/>
        <w:rPr>
          <w:rFonts w:asciiTheme="minorHAnsi" w:eastAsia="Calibri" w:hAnsiTheme="minorHAnsi" w:cstheme="minorHAnsi"/>
          <w:sz w:val="22"/>
          <w:szCs w:val="22"/>
        </w:rPr>
      </w:pPr>
      <w:r w:rsidRPr="007C4D65">
        <w:rPr>
          <w:rFonts w:asciiTheme="minorHAnsi" w:hAnsiTheme="minorHAnsi"/>
        </w:rPr>
        <w:t>This measure aims to program</w:t>
      </w:r>
      <w:r w:rsidR="00227D11" w:rsidRPr="007C4D65">
        <w:rPr>
          <w:rFonts w:asciiTheme="minorHAnsi" w:hAnsiTheme="minorHAnsi"/>
        </w:rPr>
        <w:t>me the</w:t>
      </w:r>
      <w:r w:rsidRPr="007C4D65">
        <w:rPr>
          <w:rFonts w:asciiTheme="minorHAnsi" w:hAnsiTheme="minorHAnsi"/>
        </w:rPr>
        <w:t xml:space="preserve"> implementation of measures in water sector, monitor their implementation and report on the progress on realization of the measures that are defined in the draft National Action Plan for climate change adaptation (NAP)</w:t>
      </w:r>
      <w:r w:rsidRPr="007C4D65">
        <w:rPr>
          <w:rFonts w:asciiTheme="minorHAnsi" w:eastAsia="Calibri" w:hAnsiTheme="minorHAnsi" w:cstheme="minorHAnsi"/>
          <w:sz w:val="22"/>
          <w:szCs w:val="22"/>
        </w:rPr>
        <w:t xml:space="preserve">.   </w:t>
      </w:r>
    </w:p>
    <w:p w14:paraId="5515994A" w14:textId="2E1E0BFC" w:rsidR="00590DCE" w:rsidRPr="007C4D65" w:rsidRDefault="00590DCE" w:rsidP="00590DCE">
      <w:pPr>
        <w:spacing w:before="160" w:line="276" w:lineRule="auto"/>
        <w:rPr>
          <w:rFonts w:asciiTheme="minorHAnsi" w:eastAsia="Calibri" w:hAnsiTheme="minorHAnsi" w:cstheme="minorHAnsi"/>
          <w:b/>
          <w:bCs/>
          <w:i/>
          <w:iCs/>
          <w:u w:val="single"/>
        </w:rPr>
      </w:pPr>
      <w:r w:rsidRPr="007C4D65">
        <w:rPr>
          <w:rFonts w:asciiTheme="minorHAnsi" w:hAnsiTheme="minorHAnsi"/>
          <w:b/>
          <w:i/>
          <w:u w:val="single"/>
        </w:rPr>
        <w:t xml:space="preserve">Priority 1.5 </w:t>
      </w:r>
      <w:r w:rsidR="00854430" w:rsidRPr="007C4D65">
        <w:rPr>
          <w:rFonts w:asciiTheme="minorHAnsi" w:hAnsiTheme="minorHAnsi"/>
          <w:b/>
          <w:i/>
          <w:u w:val="single"/>
        </w:rPr>
        <w:t xml:space="preserve">Developing an effective legal and institutional framework for the purpose of alignment with the </w:t>
      </w:r>
      <w:r w:rsidR="001E4D90" w:rsidRPr="007C4D65">
        <w:rPr>
          <w:rFonts w:asciiTheme="minorHAnsi" w:hAnsiTheme="minorHAnsi"/>
          <w:b/>
          <w:i/>
          <w:u w:val="single"/>
        </w:rPr>
        <w:t>EU regulations</w:t>
      </w:r>
      <w:r w:rsidR="00854430" w:rsidRPr="007C4D65">
        <w:rPr>
          <w:rFonts w:asciiTheme="minorHAnsi" w:hAnsiTheme="minorHAnsi"/>
          <w:b/>
          <w:i/>
          <w:u w:val="single"/>
        </w:rPr>
        <w:t xml:space="preserve"> in the water sector, and its enforcement</w:t>
      </w:r>
    </w:p>
    <w:p w14:paraId="38A68905" w14:textId="77777777" w:rsidR="00590DCE" w:rsidRPr="007C4D65" w:rsidRDefault="00590DCE" w:rsidP="00590DCE">
      <w:pPr>
        <w:spacing w:before="120" w:line="276" w:lineRule="auto"/>
        <w:rPr>
          <w:rFonts w:asciiTheme="minorHAnsi" w:eastAsia="Calibri" w:hAnsiTheme="minorHAnsi" w:cstheme="minorHAnsi"/>
          <w:i/>
          <w:iCs/>
          <w:u w:val="single"/>
        </w:rPr>
      </w:pPr>
      <w:r w:rsidRPr="007C4D65">
        <w:rPr>
          <w:rFonts w:asciiTheme="minorHAnsi" w:hAnsiTheme="minorHAnsi"/>
        </w:rPr>
        <w:t>Measure 1.5.1.</w:t>
      </w:r>
      <w:r w:rsidRPr="007C4D65">
        <w:rPr>
          <w:rFonts w:asciiTheme="minorHAnsi" w:hAnsiTheme="minorHAnsi"/>
          <w:i/>
          <w:u w:val="single"/>
        </w:rPr>
        <w:t xml:space="preserve"> Ensure effective implementation of the Programme of integration with EU in the Water Management sector (</w:t>
      </w:r>
      <w:proofErr w:type="gramStart"/>
      <w:r w:rsidRPr="007C4D65">
        <w:rPr>
          <w:rFonts w:asciiTheme="minorHAnsi" w:hAnsiTheme="minorHAnsi"/>
          <w:i/>
          <w:u w:val="single"/>
        </w:rPr>
        <w:t>on the basis of</w:t>
      </w:r>
      <w:proofErr w:type="gramEnd"/>
      <w:r w:rsidRPr="007C4D65">
        <w:rPr>
          <w:rFonts w:asciiTheme="minorHAnsi" w:hAnsiTheme="minorHAnsi"/>
          <w:i/>
          <w:u w:val="single"/>
        </w:rPr>
        <w:t xml:space="preserve"> four-year cycles)</w:t>
      </w:r>
    </w:p>
    <w:p w14:paraId="67E35630" w14:textId="77777777" w:rsidR="00590DCE" w:rsidRPr="007C4D65" w:rsidRDefault="00590DCE" w:rsidP="00590DCE">
      <w:pPr>
        <w:spacing w:before="120" w:after="120" w:line="276" w:lineRule="auto"/>
        <w:jc w:val="both"/>
        <w:rPr>
          <w:rFonts w:asciiTheme="minorHAnsi" w:eastAsia="Calibri" w:hAnsiTheme="minorHAnsi" w:cstheme="minorHAnsi"/>
        </w:rPr>
      </w:pPr>
      <w:r w:rsidRPr="007C4D65">
        <w:rPr>
          <w:rFonts w:asciiTheme="minorHAnsi" w:hAnsiTheme="minorHAnsi"/>
        </w:rPr>
        <w:t xml:space="preserve">This measure aims to intensify cooperation with the responsible institutions in BiH (DEI and </w:t>
      </w:r>
      <w:proofErr w:type="spellStart"/>
      <w:r w:rsidRPr="007C4D65">
        <w:rPr>
          <w:rFonts w:asciiTheme="minorHAnsi" w:hAnsiTheme="minorHAnsi"/>
        </w:rPr>
        <w:t>MoFTER</w:t>
      </w:r>
      <w:proofErr w:type="spellEnd"/>
      <w:r w:rsidRPr="007C4D65">
        <w:rPr>
          <w:rFonts w:asciiTheme="minorHAnsi" w:hAnsiTheme="minorHAnsi"/>
        </w:rPr>
        <w:t xml:space="preserve">), as well as the activities related to planning priorities and achieving harmonisation with water directives and identifying priority institutional measures in the field of water management, </w:t>
      </w:r>
      <w:proofErr w:type="gramStart"/>
      <w:r w:rsidRPr="007C4D65">
        <w:rPr>
          <w:rFonts w:asciiTheme="minorHAnsi" w:hAnsiTheme="minorHAnsi"/>
        </w:rPr>
        <w:t>on the basis of</w:t>
      </w:r>
      <w:proofErr w:type="gramEnd"/>
      <w:r w:rsidRPr="007C4D65">
        <w:rPr>
          <w:rFonts w:asciiTheme="minorHAnsi" w:hAnsiTheme="minorHAnsi"/>
        </w:rPr>
        <w:t xml:space="preserve"> four-year cycle.</w:t>
      </w:r>
    </w:p>
    <w:p w14:paraId="176E5352" w14:textId="15E771A5" w:rsidR="00590DCE" w:rsidRPr="007C4D65" w:rsidRDefault="00590DCE" w:rsidP="00590DCE">
      <w:pPr>
        <w:spacing w:before="120" w:line="276" w:lineRule="auto"/>
        <w:rPr>
          <w:rFonts w:asciiTheme="minorHAnsi" w:eastAsia="Calibri" w:hAnsiTheme="minorHAnsi" w:cstheme="minorHAnsi"/>
          <w:i/>
          <w:iCs/>
          <w:u w:val="single"/>
        </w:rPr>
      </w:pPr>
      <w:r w:rsidRPr="007C4D65">
        <w:rPr>
          <w:rFonts w:asciiTheme="minorHAnsi" w:hAnsiTheme="minorHAnsi"/>
          <w:i/>
          <w:u w:val="single"/>
        </w:rPr>
        <w:t xml:space="preserve">Measure 1.5.2. Improve legislation in water sector and administrative organization </w:t>
      </w:r>
      <w:r w:rsidR="007436F1" w:rsidRPr="007C4D65">
        <w:rPr>
          <w:rFonts w:asciiTheme="minorHAnsi" w:hAnsiTheme="minorHAnsi"/>
          <w:i/>
          <w:u w:val="single"/>
        </w:rPr>
        <w:t>in the Federation of BiH</w:t>
      </w:r>
      <w:r w:rsidRPr="007C4D65">
        <w:rPr>
          <w:rFonts w:asciiTheme="minorHAnsi" w:hAnsiTheme="minorHAnsi"/>
          <w:i/>
          <w:u w:val="single"/>
        </w:rPr>
        <w:t xml:space="preserve"> for the purpose of effective approximation </w:t>
      </w:r>
      <w:r w:rsidR="007436F1" w:rsidRPr="007C4D65">
        <w:rPr>
          <w:rFonts w:asciiTheme="minorHAnsi" w:hAnsiTheme="minorHAnsi"/>
          <w:i/>
          <w:u w:val="single"/>
        </w:rPr>
        <w:t>of the Federation of BiH</w:t>
      </w:r>
      <w:r w:rsidRPr="007C4D65">
        <w:rPr>
          <w:rFonts w:asciiTheme="minorHAnsi" w:hAnsiTheme="minorHAnsi"/>
          <w:i/>
          <w:u w:val="single"/>
        </w:rPr>
        <w:t xml:space="preserve"> water legislation to the </w:t>
      </w:r>
      <w:r w:rsidR="001E4D90" w:rsidRPr="007C4D65">
        <w:rPr>
          <w:rFonts w:asciiTheme="minorHAnsi" w:hAnsiTheme="minorHAnsi"/>
          <w:i/>
          <w:u w:val="single"/>
        </w:rPr>
        <w:t>EU regulations</w:t>
      </w:r>
    </w:p>
    <w:p w14:paraId="7E7F2922" w14:textId="6583F27D" w:rsidR="00590DCE" w:rsidRPr="007C4D65" w:rsidRDefault="00590DCE" w:rsidP="00590DCE">
      <w:pPr>
        <w:spacing w:before="240" w:after="120" w:line="276" w:lineRule="auto"/>
        <w:jc w:val="both"/>
        <w:rPr>
          <w:rFonts w:asciiTheme="minorHAnsi" w:eastAsia="Calibri" w:hAnsiTheme="minorHAnsi" w:cstheme="minorHAnsi"/>
          <w:sz w:val="22"/>
          <w:szCs w:val="22"/>
        </w:rPr>
      </w:pPr>
      <w:r w:rsidRPr="007C4D65">
        <w:rPr>
          <w:rFonts w:asciiTheme="minorHAnsi" w:hAnsiTheme="minorHAnsi"/>
        </w:rPr>
        <w:lastRenderedPageBreak/>
        <w:t xml:space="preserve">This measure aims to improve legislation in water sector at all levels </w:t>
      </w:r>
      <w:r w:rsidR="007436F1" w:rsidRPr="007C4D65">
        <w:rPr>
          <w:rFonts w:asciiTheme="minorHAnsi" w:hAnsiTheme="minorHAnsi"/>
        </w:rPr>
        <w:t>in the Federation of BiH</w:t>
      </w:r>
      <w:r w:rsidRPr="007C4D65">
        <w:rPr>
          <w:rFonts w:asciiTheme="minorHAnsi" w:hAnsiTheme="minorHAnsi"/>
        </w:rPr>
        <w:t xml:space="preserve"> and legislation of administrative organization </w:t>
      </w:r>
      <w:r w:rsidR="007436F1" w:rsidRPr="007C4D65">
        <w:rPr>
          <w:rFonts w:asciiTheme="minorHAnsi" w:hAnsiTheme="minorHAnsi"/>
        </w:rPr>
        <w:t>in the Federation of BiH</w:t>
      </w:r>
      <w:r w:rsidRPr="007C4D65">
        <w:rPr>
          <w:rFonts w:asciiTheme="minorHAnsi" w:hAnsiTheme="minorHAnsi"/>
        </w:rPr>
        <w:t xml:space="preserve"> </w:t>
      </w:r>
      <w:proofErr w:type="gramStart"/>
      <w:r w:rsidRPr="007C4D65">
        <w:rPr>
          <w:rFonts w:asciiTheme="minorHAnsi" w:hAnsiTheme="minorHAnsi"/>
        </w:rPr>
        <w:t>in order to</w:t>
      </w:r>
      <w:proofErr w:type="gramEnd"/>
      <w:r w:rsidRPr="007C4D65">
        <w:rPr>
          <w:rFonts w:asciiTheme="minorHAnsi" w:hAnsiTheme="minorHAnsi"/>
        </w:rPr>
        <w:t xml:space="preserve"> effectively approximate </w:t>
      </w:r>
      <w:r w:rsidR="0058588C" w:rsidRPr="007C4D65">
        <w:rPr>
          <w:rFonts w:asciiTheme="minorHAnsi" w:hAnsiTheme="minorHAnsi"/>
        </w:rPr>
        <w:t>Federation of BiH</w:t>
      </w:r>
      <w:r w:rsidRPr="007C4D65">
        <w:rPr>
          <w:rFonts w:asciiTheme="minorHAnsi" w:hAnsiTheme="minorHAnsi"/>
        </w:rPr>
        <w:t xml:space="preserve"> water legislation to EU water legislation. Proposals and conclusions for legislative improvements will be based on previously completed analysis of laws and regulations in the field of water and regulations of administrative organization </w:t>
      </w:r>
      <w:r w:rsidR="007436F1" w:rsidRPr="007C4D65">
        <w:rPr>
          <w:rFonts w:asciiTheme="minorHAnsi" w:hAnsiTheme="minorHAnsi"/>
        </w:rPr>
        <w:t>in the Federation of BiH</w:t>
      </w:r>
      <w:r w:rsidRPr="007C4D65">
        <w:rPr>
          <w:rFonts w:asciiTheme="minorHAnsi" w:hAnsiTheme="minorHAnsi"/>
        </w:rPr>
        <w:t xml:space="preserve"> that will identify overlapping competences, gaps in specification of competences, and prescribe coordination mechanisms in the process of approximation of </w:t>
      </w:r>
      <w:r w:rsidR="001E4D90" w:rsidRPr="007C4D65">
        <w:rPr>
          <w:rFonts w:asciiTheme="minorHAnsi" w:hAnsiTheme="minorHAnsi"/>
        </w:rPr>
        <w:t>EU regulations</w:t>
      </w:r>
      <w:r w:rsidRPr="007C4D65">
        <w:rPr>
          <w:rFonts w:asciiTheme="minorHAnsi" w:hAnsiTheme="minorHAnsi"/>
        </w:rPr>
        <w:t>.</w:t>
      </w:r>
    </w:p>
    <w:p w14:paraId="6F59EDF7" w14:textId="135F72E2" w:rsidR="00590DCE" w:rsidRPr="007C4D65" w:rsidRDefault="00590DCE" w:rsidP="00590DCE">
      <w:pPr>
        <w:spacing w:before="240" w:after="120" w:line="276" w:lineRule="auto"/>
        <w:rPr>
          <w:rFonts w:asciiTheme="minorHAnsi" w:eastAsia="Calibri" w:hAnsiTheme="minorHAnsi" w:cstheme="minorHAnsi"/>
          <w:sz w:val="22"/>
          <w:szCs w:val="22"/>
        </w:rPr>
      </w:pPr>
      <w:r w:rsidRPr="007C4D65">
        <w:rPr>
          <w:rFonts w:asciiTheme="minorHAnsi" w:eastAsia="Calibri" w:hAnsiTheme="minorHAnsi" w:cstheme="minorHAnsi"/>
          <w:i/>
          <w:sz w:val="22"/>
          <w:szCs w:val="22"/>
          <w:u w:val="single"/>
        </w:rPr>
        <w:t>Measure 1.5.3</w:t>
      </w:r>
      <w:r w:rsidRPr="007C4D65">
        <w:rPr>
          <w:rFonts w:asciiTheme="minorHAnsi" w:eastAsiaTheme="minorHAnsi" w:hAnsiTheme="minorHAnsi" w:cstheme="minorHAnsi"/>
          <w:i/>
          <w:iCs/>
          <w:sz w:val="22"/>
          <w:szCs w:val="22"/>
          <w:u w:val="single"/>
          <w:lang w:eastAsia="en-US"/>
        </w:rPr>
        <w:t xml:space="preserve">. Improve existing institutional structure by strengthening capacities in institutions </w:t>
      </w:r>
      <w:r w:rsidR="007436F1" w:rsidRPr="007C4D65">
        <w:rPr>
          <w:rFonts w:asciiTheme="minorHAnsi" w:eastAsiaTheme="minorHAnsi" w:hAnsiTheme="minorHAnsi" w:cstheme="minorHAnsi"/>
          <w:i/>
          <w:iCs/>
          <w:sz w:val="22"/>
          <w:szCs w:val="22"/>
          <w:u w:val="single"/>
          <w:lang w:eastAsia="en-US"/>
        </w:rPr>
        <w:t>of the Federation of BiH</w:t>
      </w:r>
      <w:r w:rsidRPr="007C4D65">
        <w:rPr>
          <w:rFonts w:asciiTheme="minorHAnsi" w:eastAsiaTheme="minorHAnsi" w:hAnsiTheme="minorHAnsi" w:cstheme="minorHAnsi"/>
          <w:i/>
          <w:iCs/>
          <w:sz w:val="22"/>
          <w:szCs w:val="22"/>
          <w:u w:val="single"/>
          <w:lang w:eastAsia="en-US"/>
        </w:rPr>
        <w:t xml:space="preserve"> responsible for water, with special focus on long-term and sustainable implementation of EU water legislation </w:t>
      </w:r>
    </w:p>
    <w:p w14:paraId="680B1D3B" w14:textId="77777777" w:rsidR="00590DCE" w:rsidRPr="007C4D65" w:rsidRDefault="00590DCE" w:rsidP="00590DCE">
      <w:pPr>
        <w:spacing w:after="160" w:line="276" w:lineRule="auto"/>
        <w:jc w:val="both"/>
        <w:rPr>
          <w:rFonts w:asciiTheme="minorHAnsi" w:eastAsiaTheme="minorHAnsi" w:hAnsiTheme="minorHAnsi" w:cstheme="minorHAnsi"/>
          <w:sz w:val="22"/>
          <w:szCs w:val="22"/>
          <w:lang w:eastAsia="en-US"/>
        </w:rPr>
      </w:pPr>
      <w:r w:rsidRPr="007C4D65">
        <w:rPr>
          <w:rFonts w:asciiTheme="minorHAnsi" w:eastAsiaTheme="minorHAnsi" w:hAnsiTheme="minorHAnsi" w:cstheme="minorHAnsi"/>
          <w:sz w:val="22"/>
          <w:szCs w:val="22"/>
          <w:lang w:eastAsia="en-US"/>
        </w:rPr>
        <w:t>This measure aims to improve existing Federation institutional structure in institutions competent for water management by conducting a detailed analysis of institutional capacities for implementation of EU water legislation and international water conventions, consistent enforcement of law and effective implementation of strategies and plans. Results and recommendations of the analysis will serve as a basis for planning strengthening of capacities of human resources, development of a strategic approach to new hiring, and measures for retaining skilled persons.</w:t>
      </w:r>
    </w:p>
    <w:p w14:paraId="0D6D4E0F" w14:textId="77777777" w:rsidR="00590DCE" w:rsidRPr="007C4D65" w:rsidRDefault="00590DCE" w:rsidP="00590DCE">
      <w:pPr>
        <w:spacing w:before="240" w:line="276" w:lineRule="auto"/>
        <w:rPr>
          <w:rFonts w:asciiTheme="minorHAnsi" w:hAnsiTheme="minorHAnsi" w:cstheme="minorHAnsi"/>
          <w:bCs/>
          <w:i/>
          <w:iCs/>
          <w:sz w:val="22"/>
          <w:szCs w:val="22"/>
          <w:u w:val="single"/>
        </w:rPr>
      </w:pPr>
      <w:r w:rsidRPr="007C4D65">
        <w:rPr>
          <w:rFonts w:asciiTheme="minorHAnsi" w:eastAsia="Calibri" w:hAnsiTheme="minorHAnsi" w:cstheme="minorHAnsi"/>
          <w:i/>
          <w:sz w:val="22"/>
          <w:szCs w:val="22"/>
          <w:u w:val="single"/>
        </w:rPr>
        <w:t xml:space="preserve">Measure 1.5.4. Implementation of specified activities from developed and adopted APID documents related to EU Water Directives </w:t>
      </w:r>
    </w:p>
    <w:p w14:paraId="35583EF6" w14:textId="77777777" w:rsidR="00590DCE" w:rsidRPr="007C4D65" w:rsidRDefault="00590DCE" w:rsidP="00590DCE">
      <w:pPr>
        <w:spacing w:before="240" w:line="276" w:lineRule="auto"/>
        <w:jc w:val="both"/>
        <w:rPr>
          <w:rFonts w:asciiTheme="minorHAnsi" w:eastAsia="Calibri" w:hAnsiTheme="minorHAnsi" w:cstheme="minorHAnsi"/>
          <w:sz w:val="22"/>
          <w:szCs w:val="22"/>
        </w:rPr>
      </w:pPr>
      <w:r w:rsidRPr="007C4D65">
        <w:rPr>
          <w:rFonts w:asciiTheme="minorHAnsi" w:eastAsia="Calibri" w:hAnsiTheme="minorHAnsi" w:cstheme="minorHAnsi"/>
          <w:sz w:val="22"/>
          <w:szCs w:val="22"/>
        </w:rPr>
        <w:t xml:space="preserve">This measure aims to intensify and speed up the implementation and enforcement of EU water directives through developed, adopted and implemented Action Plans for Implementation of Directives (API) </w:t>
      </w:r>
      <w:proofErr w:type="gramStart"/>
      <w:r w:rsidRPr="007C4D65">
        <w:rPr>
          <w:rFonts w:asciiTheme="minorHAnsi" w:eastAsia="Calibri" w:hAnsiTheme="minorHAnsi" w:cstheme="minorHAnsi"/>
          <w:sz w:val="22"/>
          <w:szCs w:val="22"/>
        </w:rPr>
        <w:t>on the basis of</w:t>
      </w:r>
      <w:proofErr w:type="gramEnd"/>
      <w:r w:rsidRPr="007C4D65">
        <w:rPr>
          <w:rFonts w:asciiTheme="minorHAnsi" w:eastAsia="Calibri" w:hAnsiTheme="minorHAnsi" w:cstheme="minorHAnsi"/>
          <w:sz w:val="22"/>
          <w:szCs w:val="22"/>
        </w:rPr>
        <w:t xml:space="preserve"> adopted Directive Specific Implementation Plans (DSIP)</w:t>
      </w:r>
    </w:p>
    <w:p w14:paraId="15742EF9" w14:textId="14AE6E71" w:rsidR="00590DCE" w:rsidRPr="007C4D65" w:rsidRDefault="00590DCE" w:rsidP="00590DCE">
      <w:pPr>
        <w:spacing w:before="240" w:line="276" w:lineRule="auto"/>
        <w:rPr>
          <w:rFonts w:asciiTheme="minorHAnsi" w:eastAsia="Calibri" w:hAnsiTheme="minorHAnsi" w:cstheme="minorHAnsi"/>
          <w:b/>
          <w:i/>
          <w:sz w:val="22"/>
          <w:szCs w:val="22"/>
          <w:u w:val="single"/>
        </w:rPr>
      </w:pPr>
      <w:r w:rsidRPr="007C4D65">
        <w:rPr>
          <w:rFonts w:asciiTheme="minorHAnsi" w:eastAsia="Calibri" w:hAnsiTheme="minorHAnsi" w:cstheme="minorHAnsi"/>
          <w:b/>
          <w:i/>
          <w:sz w:val="22"/>
          <w:szCs w:val="22"/>
          <w:u w:val="single"/>
        </w:rPr>
        <w:t xml:space="preserve">Priority 1.6 Ensuring financial sustainability of </w:t>
      </w:r>
      <w:r w:rsidR="001E4D90" w:rsidRPr="007C4D65">
        <w:rPr>
          <w:rFonts w:asciiTheme="minorHAnsi" w:eastAsia="Calibri" w:hAnsiTheme="minorHAnsi" w:cstheme="minorHAnsi"/>
          <w:b/>
          <w:i/>
          <w:sz w:val="22"/>
          <w:szCs w:val="22"/>
          <w:u w:val="single"/>
        </w:rPr>
        <w:t xml:space="preserve">the </w:t>
      </w:r>
      <w:r w:rsidRPr="007C4D65">
        <w:rPr>
          <w:rFonts w:asciiTheme="minorHAnsi" w:eastAsia="Calibri" w:hAnsiTheme="minorHAnsi" w:cstheme="minorHAnsi"/>
          <w:b/>
          <w:i/>
          <w:sz w:val="22"/>
          <w:szCs w:val="22"/>
          <w:u w:val="single"/>
        </w:rPr>
        <w:t>water sector</w:t>
      </w:r>
    </w:p>
    <w:p w14:paraId="253AC480" w14:textId="77777777" w:rsidR="00590DCE" w:rsidRPr="007C4D65" w:rsidRDefault="00590DCE" w:rsidP="00590DCE">
      <w:pPr>
        <w:spacing w:before="120" w:line="276" w:lineRule="auto"/>
        <w:rPr>
          <w:rFonts w:asciiTheme="minorHAnsi" w:eastAsia="Calibri" w:hAnsiTheme="minorHAnsi" w:cstheme="minorHAnsi"/>
          <w:i/>
          <w:iCs/>
          <w:u w:val="single"/>
        </w:rPr>
      </w:pPr>
      <w:r w:rsidRPr="007C4D65">
        <w:rPr>
          <w:rFonts w:asciiTheme="minorHAnsi" w:hAnsiTheme="minorHAnsi"/>
          <w:i/>
          <w:u w:val="single"/>
        </w:rPr>
        <w:t xml:space="preserve">Measure 1.6.1. Improve financing of water sector by re-defining tariff system and reliably estimating cost-effectiveness of </w:t>
      </w:r>
      <w:proofErr w:type="gramStart"/>
      <w:r w:rsidRPr="007C4D65">
        <w:rPr>
          <w:rFonts w:asciiTheme="minorHAnsi" w:hAnsiTheme="minorHAnsi"/>
          <w:i/>
          <w:u w:val="single"/>
        </w:rPr>
        <w:t>investments(</w:t>
      </w:r>
      <w:proofErr w:type="gramEnd"/>
      <w:r w:rsidRPr="007C4D65">
        <w:rPr>
          <w:rFonts w:asciiTheme="minorHAnsi" w:hAnsiTheme="minorHAnsi"/>
          <w:i/>
          <w:u w:val="single"/>
        </w:rPr>
        <w:t>Feasibility Studies</w:t>
      </w:r>
      <w:r w:rsidRPr="007C4D65">
        <w:rPr>
          <w:rFonts w:asciiTheme="minorHAnsi" w:hAnsiTheme="minorHAnsi" w:cstheme="minorHAnsi"/>
          <w:i/>
          <w:sz w:val="22"/>
          <w:szCs w:val="22"/>
          <w:u w:val="single"/>
        </w:rPr>
        <w:t>)</w:t>
      </w:r>
    </w:p>
    <w:p w14:paraId="5A912543" w14:textId="77777777" w:rsidR="00590DCE" w:rsidRPr="007C4D65" w:rsidRDefault="00590DCE" w:rsidP="00590DCE">
      <w:pPr>
        <w:spacing w:before="40" w:after="40" w:line="276" w:lineRule="auto"/>
        <w:jc w:val="both"/>
        <w:rPr>
          <w:rFonts w:asciiTheme="minorHAnsi" w:hAnsiTheme="minorHAnsi" w:cstheme="minorHAnsi"/>
          <w:sz w:val="22"/>
          <w:szCs w:val="22"/>
        </w:rPr>
      </w:pPr>
      <w:r w:rsidRPr="007C4D65">
        <w:rPr>
          <w:rFonts w:asciiTheme="minorHAnsi" w:hAnsiTheme="minorHAnsi"/>
        </w:rPr>
        <w:t>This measure aims to plan for ensuring observance of the principle of full coverage of operational and maintenance costs, as well as the investment costs in development of water supply system by adopting and implementing new bylaws/methodology, and implementation of a programme for improving water services sector</w:t>
      </w:r>
    </w:p>
    <w:p w14:paraId="0D4F4F1D" w14:textId="77777777" w:rsidR="00590DCE" w:rsidRPr="007C4D65" w:rsidRDefault="00590DCE" w:rsidP="00590DCE">
      <w:pPr>
        <w:spacing w:before="120" w:line="276" w:lineRule="auto"/>
        <w:rPr>
          <w:rFonts w:asciiTheme="minorHAnsi" w:eastAsia="Calibri" w:hAnsiTheme="minorHAnsi" w:cstheme="minorHAnsi"/>
          <w:i/>
          <w:iCs/>
          <w:u w:val="single"/>
        </w:rPr>
      </w:pPr>
      <w:r w:rsidRPr="007C4D65">
        <w:rPr>
          <w:rFonts w:asciiTheme="minorHAnsi" w:hAnsiTheme="minorHAnsi"/>
          <w:i/>
          <w:u w:val="single"/>
        </w:rPr>
        <w:t>Measure 1.6.2. Improve the system of collecting special water fees</w:t>
      </w:r>
    </w:p>
    <w:p w14:paraId="369AC1DC" w14:textId="77777777" w:rsidR="00590DCE" w:rsidRPr="007C4D65" w:rsidRDefault="00590DCE" w:rsidP="00590DCE">
      <w:pPr>
        <w:spacing w:before="120" w:after="120" w:line="276" w:lineRule="auto"/>
        <w:jc w:val="both"/>
        <w:rPr>
          <w:rFonts w:asciiTheme="minorHAnsi" w:eastAsia="Calibri" w:hAnsiTheme="minorHAnsi" w:cstheme="minorHAnsi"/>
        </w:rPr>
      </w:pPr>
      <w:r w:rsidRPr="007C4D65">
        <w:rPr>
          <w:rFonts w:asciiTheme="minorHAnsi" w:hAnsiTheme="minorHAnsi"/>
        </w:rPr>
        <w:t>This measure aims to analyse justification of re-defining the system of special water fees and coming up with proposals to improve the level of collection of special water fees.</w:t>
      </w:r>
    </w:p>
    <w:p w14:paraId="6A0BE2D8" w14:textId="77777777" w:rsidR="00590DCE" w:rsidRPr="007C4D65" w:rsidRDefault="00590DCE" w:rsidP="00590DCE">
      <w:pPr>
        <w:pStyle w:val="NoSpacing"/>
        <w:spacing w:before="120" w:after="160" w:line="276" w:lineRule="auto"/>
        <w:rPr>
          <w:rFonts w:asciiTheme="minorHAnsi" w:hAnsiTheme="minorHAnsi" w:cstheme="minorHAnsi"/>
          <w:i/>
          <w:iCs/>
          <w:u w:val="single"/>
        </w:rPr>
      </w:pPr>
      <w:r w:rsidRPr="007C4D65">
        <w:rPr>
          <w:rFonts w:asciiTheme="minorHAnsi" w:hAnsiTheme="minorHAnsi"/>
          <w:i/>
          <w:u w:val="single"/>
        </w:rPr>
        <w:t xml:space="preserve">Measure 1.6.3. Establishment and operation of a specialist team(s) in the water sector for economic and financial planning, project preparation and programming spending of funds </w:t>
      </w:r>
    </w:p>
    <w:p w14:paraId="650A7513" w14:textId="77777777" w:rsidR="00590DCE" w:rsidRPr="007C4D65" w:rsidRDefault="00590DCE" w:rsidP="00590DCE">
      <w:pPr>
        <w:pStyle w:val="NoSpacing"/>
        <w:spacing w:before="240" w:after="120" w:line="276" w:lineRule="auto"/>
        <w:jc w:val="both"/>
        <w:rPr>
          <w:rFonts w:asciiTheme="minorHAnsi" w:hAnsiTheme="minorHAnsi" w:cstheme="minorHAnsi"/>
        </w:rPr>
      </w:pPr>
      <w:r w:rsidRPr="007C4D65">
        <w:rPr>
          <w:rFonts w:asciiTheme="minorHAnsi" w:hAnsiTheme="minorHAnsi"/>
        </w:rPr>
        <w:t xml:space="preserve">This measure aims to train a team of experts in water sector to do economic and financial planning, project preparation and programming the spending for the purpose of successful use of funds for </w:t>
      </w:r>
      <w:r w:rsidRPr="007C4D65">
        <w:rPr>
          <w:rFonts w:asciiTheme="minorHAnsi" w:hAnsiTheme="minorHAnsi"/>
        </w:rPr>
        <w:lastRenderedPageBreak/>
        <w:t>development of water sector from EU, international financial funds and other international financial institutions for development of water sector</w:t>
      </w:r>
      <w:r w:rsidRPr="007C4D65">
        <w:rPr>
          <w:rFonts w:asciiTheme="minorHAnsi" w:hAnsiTheme="minorHAnsi" w:cstheme="minorHAnsi"/>
        </w:rPr>
        <w:t xml:space="preserve">.          </w:t>
      </w:r>
    </w:p>
    <w:p w14:paraId="5D3A365D" w14:textId="77777777" w:rsidR="00590DCE" w:rsidRPr="007C4D65" w:rsidRDefault="00590DCE" w:rsidP="00590DCE">
      <w:pPr>
        <w:pStyle w:val="NoSpacing"/>
        <w:spacing w:before="120" w:after="160" w:line="276" w:lineRule="auto"/>
        <w:rPr>
          <w:rFonts w:asciiTheme="minorHAnsi" w:hAnsiTheme="minorHAnsi" w:cstheme="minorHAnsi"/>
          <w:i/>
          <w:iCs/>
          <w:u w:val="single"/>
        </w:rPr>
      </w:pPr>
      <w:r w:rsidRPr="007C4D65">
        <w:rPr>
          <w:rFonts w:asciiTheme="minorHAnsi" w:hAnsiTheme="minorHAnsi"/>
          <w:i/>
          <w:u w:val="single"/>
        </w:rPr>
        <w:t xml:space="preserve">Measure 1.6.4. Ensuring financing for preparation of priorities and implementation of project documents aligned with the EU climate legislation and global initiatives for climate change resilience and adaptation </w:t>
      </w:r>
    </w:p>
    <w:p w14:paraId="1D446D2C" w14:textId="77777777" w:rsidR="00590DCE" w:rsidRPr="007C4D65" w:rsidRDefault="00590DCE" w:rsidP="00590DCE">
      <w:pPr>
        <w:shd w:val="clear" w:color="auto" w:fill="FFFFFF" w:themeFill="background1"/>
        <w:spacing w:before="240" w:after="240" w:line="276" w:lineRule="auto"/>
        <w:jc w:val="both"/>
        <w:rPr>
          <w:rFonts w:asciiTheme="minorHAnsi" w:eastAsia="Calibri" w:hAnsiTheme="minorHAnsi" w:cstheme="minorHAnsi"/>
          <w:sz w:val="22"/>
          <w:szCs w:val="22"/>
        </w:rPr>
      </w:pPr>
      <w:r w:rsidRPr="007C4D65">
        <w:rPr>
          <w:rFonts w:asciiTheme="minorHAnsi" w:hAnsiTheme="minorHAnsi"/>
        </w:rPr>
        <w:t xml:space="preserve">This measure aims to establish intensive and continuous cooperation of the water sector with </w:t>
      </w:r>
      <w:proofErr w:type="spellStart"/>
      <w:r w:rsidRPr="007C4D65">
        <w:rPr>
          <w:rFonts w:asciiTheme="minorHAnsi" w:hAnsiTheme="minorHAnsi"/>
        </w:rPr>
        <w:t>MoFTER</w:t>
      </w:r>
      <w:proofErr w:type="spellEnd"/>
      <w:r w:rsidRPr="007C4D65">
        <w:rPr>
          <w:rFonts w:asciiTheme="minorHAnsi" w:hAnsiTheme="minorHAnsi"/>
        </w:rPr>
        <w:t xml:space="preserve"> with the aim of securing financing for measures of adaptation to climate changes that affect water resources.</w:t>
      </w:r>
    </w:p>
    <w:p w14:paraId="68F2A7B6" w14:textId="2A9F4342" w:rsidR="000A3050" w:rsidRPr="007C4D65" w:rsidRDefault="00590DCE">
      <w:pPr>
        <w:pStyle w:val="Head2"/>
        <w:spacing w:line="276" w:lineRule="auto"/>
        <w:rPr>
          <w:rFonts w:asciiTheme="minorHAnsi" w:hAnsiTheme="minorHAnsi"/>
        </w:rPr>
      </w:pPr>
      <w:bookmarkStart w:id="89" w:name="_Toc117445334"/>
      <w:r w:rsidRPr="007C4D65">
        <w:rPr>
          <w:rFonts w:asciiTheme="minorHAnsi" w:hAnsiTheme="minorHAnsi"/>
        </w:rPr>
        <w:t>Indicative financial framework</w:t>
      </w:r>
      <w:bookmarkEnd w:id="89"/>
    </w:p>
    <w:p w14:paraId="60A35FEB" w14:textId="5748CE5D" w:rsidR="00590DCE" w:rsidRPr="007C4D65" w:rsidRDefault="00590DCE" w:rsidP="00590DCE">
      <w:pPr>
        <w:spacing w:after="240" w:line="276" w:lineRule="auto"/>
        <w:jc w:val="both"/>
        <w:rPr>
          <w:rFonts w:asciiTheme="minorHAnsi" w:eastAsiaTheme="minorHAnsi" w:hAnsiTheme="minorHAnsi" w:cstheme="minorHAnsi"/>
          <w:sz w:val="22"/>
          <w:szCs w:val="22"/>
          <w:lang w:eastAsia="en-US"/>
        </w:rPr>
      </w:pPr>
      <w:r w:rsidRPr="007C4D65">
        <w:rPr>
          <w:rFonts w:asciiTheme="minorHAnsi" w:eastAsiaTheme="minorHAnsi" w:hAnsiTheme="minorHAnsi" w:cstheme="minorHAnsi"/>
          <w:sz w:val="22"/>
          <w:szCs w:val="22"/>
          <w:lang w:eastAsia="en-US"/>
        </w:rPr>
        <w:t xml:space="preserve">Thematic area Water Management makes </w:t>
      </w:r>
      <w:r w:rsidR="00D46094" w:rsidRPr="007C4D65">
        <w:rPr>
          <w:rFonts w:asciiTheme="minorHAnsi" w:eastAsiaTheme="minorHAnsi" w:hAnsiTheme="minorHAnsi" w:cstheme="minorHAnsi"/>
          <w:sz w:val="22"/>
          <w:szCs w:val="22"/>
          <w:lang w:eastAsia="en-US"/>
        </w:rPr>
        <w:t>37</w:t>
      </w:r>
      <w:r w:rsidRPr="007C4D65">
        <w:rPr>
          <w:rFonts w:asciiTheme="minorHAnsi" w:eastAsiaTheme="minorHAnsi" w:hAnsiTheme="minorHAnsi" w:cstheme="minorHAnsi"/>
          <w:sz w:val="22"/>
          <w:szCs w:val="22"/>
          <w:lang w:eastAsia="en-US"/>
        </w:rPr>
        <w:t xml:space="preserve">% of </w:t>
      </w:r>
      <w:r w:rsidR="00D46094" w:rsidRPr="007C4D65">
        <w:rPr>
          <w:rFonts w:asciiTheme="minorHAnsi" w:eastAsiaTheme="minorHAnsi" w:hAnsiTheme="minorHAnsi" w:cstheme="minorHAnsi"/>
          <w:sz w:val="22"/>
          <w:szCs w:val="22"/>
          <w:lang w:eastAsia="en-US"/>
        </w:rPr>
        <w:t>funding structure</w:t>
      </w:r>
      <w:r w:rsidRPr="007C4D65">
        <w:rPr>
          <w:rFonts w:asciiTheme="minorHAnsi" w:eastAsiaTheme="minorHAnsi" w:hAnsiTheme="minorHAnsi" w:cstheme="minorHAnsi"/>
          <w:sz w:val="22"/>
          <w:szCs w:val="22"/>
          <w:lang w:eastAsia="en-US"/>
        </w:rPr>
        <w:t xml:space="preserve">, or 4.3 billion BAM of the total estimated cost of the Strategy, which is 11.9 billion BAM. This thematic area </w:t>
      </w:r>
      <w:r w:rsidR="00D46094" w:rsidRPr="007C4D65">
        <w:rPr>
          <w:rFonts w:asciiTheme="minorHAnsi" w:eastAsiaTheme="minorHAnsi" w:hAnsiTheme="minorHAnsi" w:cstheme="minorHAnsi"/>
          <w:sz w:val="22"/>
          <w:szCs w:val="22"/>
          <w:lang w:eastAsia="en-US"/>
        </w:rPr>
        <w:t>comprises</w:t>
      </w:r>
      <w:r w:rsidRPr="007C4D65">
        <w:rPr>
          <w:rFonts w:asciiTheme="minorHAnsi" w:eastAsiaTheme="minorHAnsi" w:hAnsiTheme="minorHAnsi" w:cstheme="minorHAnsi"/>
          <w:sz w:val="22"/>
          <w:szCs w:val="22"/>
          <w:lang w:eastAsia="en-US"/>
        </w:rPr>
        <w:t xml:space="preserve"> six priorities and 16 measures. In the process of developing the indicative financial framework, all 16 measures of this thematic area have been evaluated. Priority 1.5 (</w:t>
      </w:r>
      <w:r w:rsidR="00854430" w:rsidRPr="007C4D65">
        <w:rPr>
          <w:rFonts w:asciiTheme="minorHAnsi" w:eastAsiaTheme="minorHAnsi" w:hAnsiTheme="minorHAnsi" w:cstheme="minorHAnsi"/>
          <w:sz w:val="22"/>
          <w:szCs w:val="22"/>
          <w:lang w:eastAsia="en-US"/>
        </w:rPr>
        <w:t xml:space="preserve">Developing an effective legal and institutional framework for the purpose of alignment with the </w:t>
      </w:r>
      <w:r w:rsidR="001E4D90" w:rsidRPr="007C4D65">
        <w:rPr>
          <w:rFonts w:asciiTheme="minorHAnsi" w:eastAsiaTheme="minorHAnsi" w:hAnsiTheme="minorHAnsi" w:cstheme="minorHAnsi"/>
          <w:sz w:val="22"/>
          <w:szCs w:val="22"/>
          <w:lang w:eastAsia="en-US"/>
        </w:rPr>
        <w:t>EU regulations</w:t>
      </w:r>
      <w:r w:rsidR="00854430" w:rsidRPr="007C4D65">
        <w:rPr>
          <w:rFonts w:asciiTheme="minorHAnsi" w:eastAsiaTheme="minorHAnsi" w:hAnsiTheme="minorHAnsi" w:cstheme="minorHAnsi"/>
          <w:sz w:val="22"/>
          <w:szCs w:val="22"/>
          <w:lang w:eastAsia="en-US"/>
        </w:rPr>
        <w:t xml:space="preserve"> in the water sector, and its enforcement</w:t>
      </w:r>
      <w:r w:rsidRPr="007C4D65">
        <w:rPr>
          <w:rFonts w:asciiTheme="minorHAnsi" w:eastAsiaTheme="minorHAnsi" w:hAnsiTheme="minorHAnsi" w:cstheme="minorHAnsi"/>
          <w:sz w:val="22"/>
          <w:szCs w:val="22"/>
          <w:lang w:eastAsia="en-US"/>
        </w:rPr>
        <w:t xml:space="preserve">) is 98% or 4.2 billion BAM of the total estimated costs of this thematic group. This </w:t>
      </w:r>
      <w:r w:rsidR="00D46094" w:rsidRPr="007C4D65">
        <w:rPr>
          <w:rFonts w:asciiTheme="minorHAnsi" w:eastAsiaTheme="minorHAnsi" w:hAnsiTheme="minorHAnsi" w:cstheme="minorHAnsi"/>
          <w:sz w:val="22"/>
          <w:szCs w:val="22"/>
          <w:lang w:eastAsia="en-US"/>
        </w:rPr>
        <w:t xml:space="preserve">priority </w:t>
      </w:r>
      <w:r w:rsidRPr="007C4D65">
        <w:rPr>
          <w:rFonts w:asciiTheme="minorHAnsi" w:eastAsiaTheme="minorHAnsi" w:hAnsiTheme="minorHAnsi" w:cstheme="minorHAnsi"/>
          <w:sz w:val="22"/>
          <w:szCs w:val="22"/>
          <w:lang w:eastAsia="en-US"/>
        </w:rPr>
        <w:t xml:space="preserve">at the same time </w:t>
      </w:r>
      <w:r w:rsidR="00D46094" w:rsidRPr="007C4D65">
        <w:rPr>
          <w:rFonts w:asciiTheme="minorHAnsi" w:eastAsiaTheme="minorHAnsi" w:hAnsiTheme="minorHAnsi" w:cstheme="minorHAnsi"/>
          <w:sz w:val="22"/>
          <w:szCs w:val="22"/>
          <w:lang w:eastAsia="en-US"/>
        </w:rPr>
        <w:t xml:space="preserve">ranks first </w:t>
      </w:r>
      <w:r w:rsidRPr="007C4D65">
        <w:rPr>
          <w:rFonts w:asciiTheme="minorHAnsi" w:eastAsiaTheme="minorHAnsi" w:hAnsiTheme="minorHAnsi" w:cstheme="minorHAnsi"/>
          <w:sz w:val="22"/>
          <w:szCs w:val="22"/>
          <w:lang w:eastAsia="en-US"/>
        </w:rPr>
        <w:t>in terms of</w:t>
      </w:r>
      <w:r w:rsidR="00D46094" w:rsidRPr="007C4D65">
        <w:rPr>
          <w:rFonts w:asciiTheme="minorHAnsi" w:eastAsiaTheme="minorHAnsi" w:hAnsiTheme="minorHAnsi" w:cstheme="minorHAnsi"/>
          <w:sz w:val="22"/>
          <w:szCs w:val="22"/>
          <w:lang w:eastAsia="en-US"/>
        </w:rPr>
        <w:t xml:space="preserve"> the</w:t>
      </w:r>
      <w:r w:rsidRPr="007C4D65">
        <w:rPr>
          <w:rFonts w:asciiTheme="minorHAnsi" w:eastAsiaTheme="minorHAnsi" w:hAnsiTheme="minorHAnsi" w:cstheme="minorHAnsi"/>
          <w:sz w:val="22"/>
          <w:szCs w:val="22"/>
          <w:lang w:eastAsia="en-US"/>
        </w:rPr>
        <w:t xml:space="preserve"> size in the Federation Strategy, </w:t>
      </w:r>
      <w:r w:rsidR="00D46094" w:rsidRPr="007C4D65">
        <w:rPr>
          <w:rFonts w:asciiTheme="minorHAnsi" w:eastAsiaTheme="minorHAnsi" w:hAnsiTheme="minorHAnsi" w:cstheme="minorHAnsi"/>
          <w:sz w:val="22"/>
          <w:szCs w:val="22"/>
          <w:lang w:eastAsia="en-US"/>
        </w:rPr>
        <w:t>accounting for</w:t>
      </w:r>
      <w:r w:rsidRPr="007C4D65">
        <w:rPr>
          <w:rFonts w:asciiTheme="minorHAnsi" w:eastAsiaTheme="minorHAnsi" w:hAnsiTheme="minorHAnsi" w:cstheme="minorHAnsi"/>
          <w:sz w:val="22"/>
          <w:szCs w:val="22"/>
          <w:lang w:eastAsia="en-US"/>
        </w:rPr>
        <w:t xml:space="preserve"> 35% of the </w:t>
      </w:r>
      <w:r w:rsidR="00D46094" w:rsidRPr="007C4D65">
        <w:rPr>
          <w:rFonts w:asciiTheme="minorHAnsi" w:eastAsiaTheme="minorHAnsi" w:hAnsiTheme="minorHAnsi" w:cstheme="minorHAnsi"/>
          <w:sz w:val="22"/>
          <w:szCs w:val="22"/>
          <w:lang w:eastAsia="en-US"/>
        </w:rPr>
        <w:t>total</w:t>
      </w:r>
      <w:r w:rsidRPr="007C4D65">
        <w:rPr>
          <w:rFonts w:asciiTheme="minorHAnsi" w:eastAsiaTheme="minorHAnsi" w:hAnsiTheme="minorHAnsi" w:cstheme="minorHAnsi"/>
          <w:sz w:val="22"/>
          <w:szCs w:val="22"/>
          <w:lang w:eastAsia="en-US"/>
        </w:rPr>
        <w:t xml:space="preserve"> estimated costs. All other priorities in this thematic area make 2%, or 89 million BAM, of estimated costs for this thematic area.</w:t>
      </w:r>
    </w:p>
    <w:p w14:paraId="76A3A2AB" w14:textId="1E218049" w:rsidR="00590DCE" w:rsidRPr="007C4D65" w:rsidRDefault="00D46094" w:rsidP="00590DCE">
      <w:pPr>
        <w:spacing w:line="276" w:lineRule="auto"/>
        <w:jc w:val="both"/>
        <w:rPr>
          <w:rFonts w:asciiTheme="minorHAnsi" w:eastAsiaTheme="minorHAnsi" w:hAnsiTheme="minorHAnsi" w:cstheme="minorHAnsi"/>
          <w:sz w:val="22"/>
          <w:szCs w:val="22"/>
          <w:lang w:eastAsia="en-US"/>
        </w:rPr>
      </w:pPr>
      <w:r w:rsidRPr="007C4D65">
        <w:rPr>
          <w:rFonts w:asciiTheme="minorHAnsi" w:eastAsiaTheme="minorHAnsi" w:hAnsiTheme="minorHAnsi" w:cstheme="minorHAnsi"/>
          <w:sz w:val="22"/>
          <w:szCs w:val="22"/>
          <w:lang w:eastAsia="en-US"/>
        </w:rPr>
        <w:t>A d</w:t>
      </w:r>
      <w:r w:rsidR="00590DCE" w:rsidRPr="007C4D65">
        <w:rPr>
          <w:rFonts w:asciiTheme="minorHAnsi" w:eastAsiaTheme="minorHAnsi" w:hAnsiTheme="minorHAnsi" w:cstheme="minorHAnsi"/>
          <w:sz w:val="22"/>
          <w:szCs w:val="22"/>
          <w:lang w:eastAsia="en-US"/>
        </w:rPr>
        <w:t xml:space="preserve">etailed presentation of the data from estimated indicative financial framework for the thematic area, as well as generally for the level </w:t>
      </w:r>
      <w:r w:rsidR="007436F1" w:rsidRPr="007C4D65">
        <w:rPr>
          <w:rFonts w:asciiTheme="minorHAnsi" w:eastAsiaTheme="minorHAnsi" w:hAnsiTheme="minorHAnsi" w:cstheme="minorHAnsi"/>
          <w:sz w:val="22"/>
          <w:szCs w:val="22"/>
          <w:lang w:eastAsia="en-US"/>
        </w:rPr>
        <w:t>of the Federation of BiH</w:t>
      </w:r>
      <w:r w:rsidR="00590DCE" w:rsidRPr="007C4D65">
        <w:rPr>
          <w:rFonts w:asciiTheme="minorHAnsi" w:eastAsiaTheme="minorHAnsi" w:hAnsiTheme="minorHAnsi" w:cstheme="minorHAnsi"/>
          <w:sz w:val="22"/>
          <w:szCs w:val="22"/>
          <w:lang w:eastAsia="en-US"/>
        </w:rPr>
        <w:t xml:space="preserve"> can be found in Annex 9, which includes</w:t>
      </w:r>
      <w:r w:rsidRPr="007C4D65">
        <w:rPr>
          <w:rFonts w:asciiTheme="minorHAnsi" w:eastAsiaTheme="minorHAnsi" w:hAnsiTheme="minorHAnsi" w:cstheme="minorHAnsi"/>
          <w:sz w:val="22"/>
          <w:szCs w:val="22"/>
          <w:lang w:eastAsia="en-US"/>
        </w:rPr>
        <w:t xml:space="preserve"> a</w:t>
      </w:r>
      <w:r w:rsidR="00590DCE" w:rsidRPr="007C4D65">
        <w:rPr>
          <w:rFonts w:asciiTheme="minorHAnsi" w:eastAsiaTheme="minorHAnsi" w:hAnsiTheme="minorHAnsi" w:cstheme="minorHAnsi"/>
          <w:sz w:val="22"/>
          <w:szCs w:val="22"/>
          <w:lang w:eastAsia="en-US"/>
        </w:rPr>
        <w:t xml:space="preserve"> table and pie chart</w:t>
      </w:r>
      <w:r w:rsidR="00590DCE" w:rsidRPr="007C4D65">
        <w:rPr>
          <w:rFonts w:asciiTheme="minorHAnsi" w:eastAsiaTheme="minorEastAsia" w:hAnsiTheme="minorHAnsi" w:cstheme="minorHAnsi"/>
          <w:color w:val="000000" w:themeColor="text1"/>
          <w:sz w:val="22"/>
          <w:szCs w:val="22"/>
          <w:lang w:eastAsia="en-US"/>
        </w:rPr>
        <w:t>.</w:t>
      </w:r>
    </w:p>
    <w:p w14:paraId="17CC2A04" w14:textId="25DAE2B6" w:rsidR="00A047EC" w:rsidRPr="007C4D65" w:rsidRDefault="00A047EC" w:rsidP="0068355A">
      <w:pPr>
        <w:spacing w:line="276" w:lineRule="auto"/>
        <w:jc w:val="both"/>
        <w:rPr>
          <w:rFonts w:asciiTheme="minorHAnsi" w:eastAsiaTheme="minorHAnsi" w:hAnsiTheme="minorHAnsi" w:cstheme="minorHAnsi"/>
          <w:sz w:val="22"/>
          <w:szCs w:val="22"/>
          <w:lang w:eastAsia="en-US"/>
        </w:rPr>
      </w:pPr>
    </w:p>
    <w:p w14:paraId="593831CA" w14:textId="77777777" w:rsidR="00590DCE" w:rsidRPr="007C4D65" w:rsidRDefault="00590DCE" w:rsidP="0068355A">
      <w:pPr>
        <w:spacing w:line="276" w:lineRule="auto"/>
        <w:jc w:val="both"/>
        <w:rPr>
          <w:rFonts w:asciiTheme="minorHAnsi" w:eastAsiaTheme="minorHAnsi" w:hAnsiTheme="minorHAnsi" w:cstheme="minorHAnsi"/>
          <w:sz w:val="22"/>
          <w:szCs w:val="22"/>
          <w:lang w:eastAsia="en-US"/>
        </w:rPr>
      </w:pPr>
    </w:p>
    <w:p w14:paraId="0E749992" w14:textId="77777777" w:rsidR="000A3050" w:rsidRPr="007C4D65" w:rsidRDefault="000A3050" w:rsidP="0068355A">
      <w:pPr>
        <w:spacing w:line="276" w:lineRule="auto"/>
        <w:rPr>
          <w:rFonts w:asciiTheme="minorHAnsi" w:hAnsiTheme="minorHAnsi" w:cstheme="minorHAnsi"/>
        </w:rPr>
      </w:pPr>
    </w:p>
    <w:p w14:paraId="2A343FC5" w14:textId="77777777" w:rsidR="000A3050" w:rsidRPr="007C4D65" w:rsidRDefault="000A3050" w:rsidP="0068355A">
      <w:pPr>
        <w:spacing w:line="276" w:lineRule="auto"/>
        <w:rPr>
          <w:rFonts w:asciiTheme="minorHAnsi" w:hAnsiTheme="minorHAnsi" w:cstheme="minorHAnsi"/>
          <w:sz w:val="22"/>
          <w:szCs w:val="22"/>
        </w:rPr>
      </w:pPr>
    </w:p>
    <w:p w14:paraId="317F3837" w14:textId="77777777" w:rsidR="00F82E2E" w:rsidRPr="007C4D65" w:rsidRDefault="00F82E2E" w:rsidP="0068355A">
      <w:pPr>
        <w:spacing w:after="160" w:line="276" w:lineRule="auto"/>
        <w:rPr>
          <w:rFonts w:asciiTheme="minorHAnsi" w:hAnsiTheme="minorHAnsi" w:cstheme="minorHAnsi"/>
          <w:sz w:val="22"/>
          <w:szCs w:val="22"/>
        </w:rPr>
      </w:pPr>
      <w:r w:rsidRPr="007C4D65">
        <w:rPr>
          <w:rFonts w:asciiTheme="minorHAnsi" w:hAnsiTheme="minorHAnsi" w:cstheme="minorHAnsi"/>
        </w:rPr>
        <w:br w:type="page"/>
      </w:r>
    </w:p>
    <w:p w14:paraId="789C730A" w14:textId="77777777" w:rsidR="000A3050" w:rsidRPr="007C4D65" w:rsidRDefault="00F82E2E">
      <w:pPr>
        <w:pStyle w:val="Head1"/>
        <w:spacing w:after="240" w:line="276" w:lineRule="auto"/>
        <w:rPr>
          <w:rFonts w:asciiTheme="minorHAnsi" w:hAnsiTheme="minorHAnsi" w:cstheme="minorHAnsi"/>
        </w:rPr>
      </w:pPr>
      <w:bookmarkStart w:id="90" w:name="_Toc117445335"/>
      <w:r w:rsidRPr="007C4D65">
        <w:rPr>
          <w:rFonts w:asciiTheme="minorHAnsi" w:hAnsiTheme="minorHAnsi" w:cstheme="minorHAnsi"/>
        </w:rPr>
        <w:lastRenderedPageBreak/>
        <w:t>WASTE MANAGEMENT</w:t>
      </w:r>
      <w:bookmarkEnd w:id="90"/>
    </w:p>
    <w:p w14:paraId="24F63767" w14:textId="77777777" w:rsidR="00F82E2E" w:rsidRPr="007C4D65" w:rsidRDefault="00F82E2E">
      <w:pPr>
        <w:pStyle w:val="Head2"/>
        <w:spacing w:line="276" w:lineRule="auto"/>
        <w:rPr>
          <w:rFonts w:asciiTheme="minorHAnsi" w:hAnsiTheme="minorHAnsi"/>
        </w:rPr>
      </w:pPr>
      <w:bookmarkStart w:id="91" w:name="_Toc117445336"/>
      <w:r w:rsidRPr="007C4D65">
        <w:rPr>
          <w:rFonts w:asciiTheme="minorHAnsi" w:hAnsiTheme="minorHAnsi"/>
        </w:rPr>
        <w:t>Situation analysis</w:t>
      </w:r>
      <w:bookmarkEnd w:id="91"/>
    </w:p>
    <w:p w14:paraId="14B82C22" w14:textId="73FAB687" w:rsidR="003B35EA" w:rsidRPr="007C4D65" w:rsidRDefault="003B35EA"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This chapter provides </w:t>
      </w:r>
      <w:r w:rsidR="00E87DA4" w:rsidRPr="007C4D65">
        <w:rPr>
          <w:rFonts w:asciiTheme="minorHAnsi" w:hAnsiTheme="minorHAnsi" w:cstheme="minorHAnsi"/>
          <w:sz w:val="22"/>
          <w:szCs w:val="22"/>
        </w:rPr>
        <w:t>interchangeably</w:t>
      </w:r>
      <w:r w:rsidRPr="007C4D65">
        <w:rPr>
          <w:rFonts w:asciiTheme="minorHAnsi" w:hAnsiTheme="minorHAnsi" w:cstheme="minorHAnsi"/>
          <w:sz w:val="22"/>
          <w:szCs w:val="22"/>
        </w:rPr>
        <w:t xml:space="preserve"> a description of the </w:t>
      </w:r>
      <w:r w:rsidRPr="007C4D65">
        <w:rPr>
          <w:rFonts w:asciiTheme="minorHAnsi" w:hAnsiTheme="minorHAnsi" w:cstheme="minorHAnsi"/>
          <w:b/>
          <w:sz w:val="22"/>
          <w:szCs w:val="22"/>
        </w:rPr>
        <w:t>baseline situation and key challenges</w:t>
      </w:r>
      <w:r w:rsidRPr="007C4D65">
        <w:rPr>
          <w:rFonts w:asciiTheme="minorHAnsi" w:hAnsiTheme="minorHAnsi" w:cstheme="minorHAnsi"/>
          <w:sz w:val="22"/>
          <w:szCs w:val="22"/>
        </w:rPr>
        <w:t xml:space="preserve"> the Federation of BIH is facing in the waste management with the view of identifying opportunities to improve the current waste management system.</w:t>
      </w:r>
    </w:p>
    <w:p w14:paraId="7881D34A" w14:textId="4620310E" w:rsidR="007A33AC" w:rsidRPr="007C4D65" w:rsidRDefault="007A33AC"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As the environmental protection, more specifically, waste management within the environmental protection, is the </w:t>
      </w:r>
      <w:r w:rsidR="00E87DA4" w:rsidRPr="007C4D65">
        <w:rPr>
          <w:rFonts w:asciiTheme="minorHAnsi" w:hAnsiTheme="minorHAnsi" w:cstheme="minorHAnsi"/>
          <w:sz w:val="22"/>
          <w:szCs w:val="22"/>
        </w:rPr>
        <w:t>responsibility</w:t>
      </w:r>
      <w:r w:rsidRPr="007C4D65">
        <w:rPr>
          <w:rFonts w:asciiTheme="minorHAnsi" w:hAnsiTheme="minorHAnsi" w:cstheme="minorHAnsi"/>
          <w:sz w:val="22"/>
          <w:szCs w:val="22"/>
        </w:rPr>
        <w:t xml:space="preserve"> of the two entities and the Brcko District BiH, the Governments of the Entities and Brcko District are responsible for the preparation and adoption of their </w:t>
      </w:r>
      <w:r w:rsidR="00E87DA4" w:rsidRPr="007C4D65">
        <w:rPr>
          <w:rFonts w:asciiTheme="minorHAnsi" w:hAnsiTheme="minorHAnsi" w:cstheme="minorHAnsi"/>
          <w:sz w:val="22"/>
          <w:szCs w:val="22"/>
        </w:rPr>
        <w:t>own</w:t>
      </w:r>
      <w:r w:rsidRPr="007C4D65">
        <w:rPr>
          <w:rFonts w:asciiTheme="minorHAnsi" w:hAnsiTheme="minorHAnsi" w:cstheme="minorHAnsi"/>
          <w:sz w:val="22"/>
          <w:szCs w:val="22"/>
        </w:rPr>
        <w:t xml:space="preserve"> legislation, policies and strategy. The process aimed at aligning the legal framework with the EU acquis started back in 2003 with the drafting of the Waste Management Law, which has subsequently been upgraded through amendments and </w:t>
      </w:r>
      <w:r w:rsidR="00B80FAD" w:rsidRPr="007C4D65">
        <w:rPr>
          <w:rFonts w:asciiTheme="minorHAnsi" w:hAnsiTheme="minorHAnsi" w:cstheme="minorHAnsi"/>
          <w:sz w:val="22"/>
          <w:szCs w:val="22"/>
        </w:rPr>
        <w:t>bylaw</w:t>
      </w:r>
      <w:r w:rsidRPr="007C4D65">
        <w:rPr>
          <w:rFonts w:asciiTheme="minorHAnsi" w:hAnsiTheme="minorHAnsi" w:cstheme="minorHAnsi"/>
          <w:sz w:val="22"/>
          <w:szCs w:val="22"/>
        </w:rPr>
        <w:t xml:space="preserve">s, </w:t>
      </w:r>
      <w:r w:rsidR="00A678B7" w:rsidRPr="007C4D65">
        <w:rPr>
          <w:rFonts w:asciiTheme="minorHAnsi" w:hAnsiTheme="minorHAnsi" w:cstheme="minorHAnsi"/>
          <w:sz w:val="22"/>
          <w:szCs w:val="22"/>
        </w:rPr>
        <w:fldChar w:fldCharType="begin"/>
      </w:r>
      <w:r w:rsidR="00CE1A95" w:rsidRPr="007C4D65">
        <w:rPr>
          <w:rFonts w:asciiTheme="minorHAnsi" w:hAnsiTheme="minorHAnsi" w:cstheme="minorHAnsi"/>
          <w:sz w:val="22"/>
          <w:szCs w:val="22"/>
        </w:rPr>
        <w:instrText xml:space="preserve"> ADDIN ZOTERO_ITEM CSL_CITATION {"citationID":"AvdJp12p","properties":{"formattedCitation":"(\\uc0\\u8216{}Sl. novine Federacije BiH\\uc0\\u8217{}, br. 33/03, 72/09 i 92/17 2017)","plainCitation":"(‘Sl. novine Federacije BiH’, br. 33/03, 72/09 i 92/17 2017)","noteIndex":0},"citationItems":[{"id":1452,"uris":["http://zotero.org/users/7192877/items/Q2SJ5LUM"],"itemData":{"id":1452,"type":"legislation","title":"Zakon o upravljanju otpadom Federacije BiH","URL":"https://www.fmoit.gov.ba/upload/file/2020/92_17-1-5.pdf","author":[{"literal":"\"Sl. novine Federacije BiH\", br. 33/03, 72/09 i 92/17"}],"issued":{"date-parts":[["2017"]]}}}],"schema":"https://github.com/citation-style-language/schema/raw/master/csl-citation.json"} </w:instrText>
      </w:r>
      <w:r w:rsidR="00A678B7" w:rsidRPr="007C4D65">
        <w:rPr>
          <w:rFonts w:asciiTheme="minorHAnsi" w:hAnsiTheme="minorHAnsi" w:cstheme="minorHAnsi"/>
          <w:sz w:val="22"/>
          <w:szCs w:val="22"/>
        </w:rPr>
        <w:fldChar w:fldCharType="separate"/>
      </w:r>
      <w:r w:rsidR="00CE1A95" w:rsidRPr="007C4D65">
        <w:rPr>
          <w:rFonts w:asciiTheme="minorHAnsi" w:hAnsiTheme="minorHAnsi" w:cstheme="minorHAnsi"/>
          <w:sz w:val="22"/>
          <w:szCs w:val="22"/>
        </w:rPr>
        <w:t>(</w:t>
      </w:r>
      <w:r w:rsidR="008B7275" w:rsidRPr="007C4D65">
        <w:rPr>
          <w:rFonts w:asciiTheme="minorHAnsi" w:hAnsiTheme="minorHAnsi" w:cstheme="minorHAnsi"/>
          <w:sz w:val="22"/>
          <w:szCs w:val="22"/>
        </w:rPr>
        <w:t>"</w:t>
      </w:r>
      <w:r w:rsidR="00116A22" w:rsidRPr="007C4D65">
        <w:rPr>
          <w:rFonts w:asciiTheme="minorHAnsi" w:hAnsiTheme="minorHAnsi" w:cstheme="minorHAnsi"/>
          <w:sz w:val="22"/>
          <w:szCs w:val="22"/>
        </w:rPr>
        <w:t>Official Gazette of the Federation of BiH</w:t>
      </w:r>
      <w:r w:rsidR="008B7275" w:rsidRPr="007C4D65">
        <w:rPr>
          <w:rFonts w:asciiTheme="minorHAnsi" w:hAnsiTheme="minorHAnsi" w:cstheme="minorHAnsi"/>
          <w:sz w:val="22"/>
          <w:szCs w:val="22"/>
        </w:rPr>
        <w:t>"</w:t>
      </w:r>
      <w:r w:rsidR="00CE1A95" w:rsidRPr="007C4D65">
        <w:rPr>
          <w:rFonts w:asciiTheme="minorHAnsi" w:hAnsiTheme="minorHAnsi" w:cstheme="minorHAnsi"/>
          <w:sz w:val="22"/>
          <w:szCs w:val="22"/>
        </w:rPr>
        <w:t xml:space="preserve"> 33/03, 72/09</w:t>
      </w:r>
      <w:r w:rsidR="000C29EF" w:rsidRPr="007C4D65">
        <w:rPr>
          <w:rFonts w:asciiTheme="minorHAnsi" w:hAnsiTheme="minorHAnsi" w:cstheme="minorHAnsi"/>
          <w:sz w:val="22"/>
          <w:szCs w:val="22"/>
        </w:rPr>
        <w:t>, and</w:t>
      </w:r>
      <w:r w:rsidR="00CE1A95" w:rsidRPr="007C4D65">
        <w:rPr>
          <w:rFonts w:asciiTheme="minorHAnsi" w:hAnsiTheme="minorHAnsi" w:cstheme="minorHAnsi"/>
          <w:sz w:val="22"/>
          <w:szCs w:val="22"/>
        </w:rPr>
        <w:t xml:space="preserve"> 92/1</w:t>
      </w:r>
      <w:r w:rsidR="008B7275" w:rsidRPr="007C4D65">
        <w:rPr>
          <w:rFonts w:asciiTheme="minorHAnsi" w:hAnsiTheme="minorHAnsi" w:cstheme="minorHAnsi"/>
          <w:sz w:val="22"/>
          <w:szCs w:val="22"/>
        </w:rPr>
        <w:t>7</w:t>
      </w:r>
      <w:r w:rsidR="00CE1A95" w:rsidRPr="007C4D65">
        <w:rPr>
          <w:rFonts w:asciiTheme="minorHAnsi" w:hAnsiTheme="minorHAnsi" w:cstheme="minorHAnsi"/>
          <w:sz w:val="22"/>
          <w:szCs w:val="22"/>
        </w:rPr>
        <w:t>)</w:t>
      </w:r>
      <w:r w:rsidR="00A678B7"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and strategic documents, which transposed the key EU principles and requirements in the area of waste management to the FBiH legislation. However, the full alignment with the EU regulation has not been achieved, with some regulations which were identified as partially </w:t>
      </w:r>
      <w:proofErr w:type="gramStart"/>
      <w:r w:rsidRPr="007C4D65">
        <w:rPr>
          <w:rFonts w:asciiTheme="minorHAnsi" w:hAnsiTheme="minorHAnsi" w:cstheme="minorHAnsi"/>
          <w:sz w:val="22"/>
          <w:szCs w:val="22"/>
        </w:rPr>
        <w:t>transposed ,</w:t>
      </w:r>
      <w:proofErr w:type="gramEnd"/>
      <w:r w:rsidRPr="007C4D65">
        <w:rPr>
          <w:rFonts w:asciiTheme="minorHAnsi" w:hAnsiTheme="minorHAnsi" w:cstheme="minorHAnsi"/>
          <w:sz w:val="22"/>
          <w:szCs w:val="22"/>
        </w:rPr>
        <w:t xml:space="preserve"> such as the Framework Waste Directive, and those which have not been transposed at all, such as Landfill Directive or Directives which pertain to special waste</w:t>
      </w:r>
      <w:r w:rsidR="00FD7932" w:rsidRPr="007C4D65">
        <w:rPr>
          <w:rFonts w:asciiTheme="minorHAnsi" w:hAnsiTheme="minorHAnsi" w:cstheme="minorHAnsi"/>
          <w:sz w:val="22"/>
          <w:szCs w:val="22"/>
        </w:rPr>
        <w:t>s</w:t>
      </w:r>
      <w:r w:rsidRPr="007C4D65">
        <w:rPr>
          <w:rFonts w:asciiTheme="minorHAnsi" w:hAnsiTheme="minorHAnsi" w:cstheme="minorHAnsi"/>
          <w:sz w:val="22"/>
          <w:szCs w:val="22"/>
        </w:rPr>
        <w:t xml:space="preserve">, such as single-use disposable plastics. The major challenge BiH and the Federation of BiH are currently facing include an efficient and effective countrywide coordination and consistent approach to alignment of the regulations and strategic planning in the waste sector with the EU acquis </w:t>
      </w:r>
      <w:r w:rsidR="000C29EF" w:rsidRPr="007C4D65">
        <w:rPr>
          <w:rFonts w:asciiTheme="minorHAnsi" w:hAnsiTheme="minorHAnsi" w:cstheme="minorHAnsi"/>
          <w:sz w:val="22"/>
          <w:szCs w:val="22"/>
        </w:rPr>
        <w:t>across</w:t>
      </w:r>
      <w:r w:rsidRPr="007C4D65">
        <w:rPr>
          <w:rFonts w:asciiTheme="minorHAnsi" w:hAnsiTheme="minorHAnsi" w:cstheme="minorHAnsi"/>
          <w:sz w:val="22"/>
          <w:szCs w:val="22"/>
        </w:rPr>
        <w:t xml:space="preserve"> the levels of government, and subsequent operational steps which should contribute to improvement of all the segments of the waste management system, which should facilitate a transition from the linear to a circular economy.</w:t>
      </w:r>
    </w:p>
    <w:p w14:paraId="2793ADE7" w14:textId="2DF02258" w:rsidR="00DD5FCE" w:rsidRPr="007C4D65" w:rsidRDefault="00DD5FCE"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 </w:t>
      </w:r>
      <w:r w:rsidR="000C29EF" w:rsidRPr="007C4D65">
        <w:rPr>
          <w:rFonts w:asciiTheme="minorHAnsi" w:hAnsiTheme="minorHAnsi" w:cstheme="minorHAnsi"/>
          <w:sz w:val="22"/>
          <w:szCs w:val="22"/>
        </w:rPr>
        <w:t>viable</w:t>
      </w:r>
      <w:r w:rsidRPr="007C4D65">
        <w:rPr>
          <w:rFonts w:asciiTheme="minorHAnsi" w:hAnsiTheme="minorHAnsi" w:cstheme="minorHAnsi"/>
          <w:sz w:val="22"/>
          <w:szCs w:val="22"/>
        </w:rPr>
        <w:t xml:space="preserve"> and specific strategic planning process requires integrated and reliable data on waste. All the strategic documents in this sector have been prepared </w:t>
      </w:r>
      <w:proofErr w:type="gramStart"/>
      <w:r w:rsidRPr="007C4D65">
        <w:rPr>
          <w:rFonts w:asciiTheme="minorHAnsi" w:hAnsiTheme="minorHAnsi" w:cstheme="minorHAnsi"/>
          <w:sz w:val="22"/>
          <w:szCs w:val="22"/>
        </w:rPr>
        <w:t>on the basis of</w:t>
      </w:r>
      <w:proofErr w:type="gramEnd"/>
      <w:r w:rsidRPr="007C4D65">
        <w:rPr>
          <w:rFonts w:asciiTheme="minorHAnsi" w:hAnsiTheme="minorHAnsi" w:cstheme="minorHAnsi"/>
          <w:sz w:val="22"/>
          <w:szCs w:val="22"/>
        </w:rPr>
        <w:t xml:space="preserve"> an assessment of waste quantity and composition, and as a result decisions made in the process have often been unrealistic and investments unsustainable. Utility companies are currently not obliged to routinely </w:t>
      </w:r>
      <w:r w:rsidR="000C29EF" w:rsidRPr="007C4D65">
        <w:rPr>
          <w:rFonts w:asciiTheme="minorHAnsi" w:hAnsiTheme="minorHAnsi" w:cstheme="minorHAnsi"/>
          <w:sz w:val="22"/>
          <w:szCs w:val="22"/>
        </w:rPr>
        <w:t>determine amounts</w:t>
      </w:r>
      <w:r w:rsidRPr="007C4D65">
        <w:rPr>
          <w:rFonts w:asciiTheme="minorHAnsi" w:hAnsiTheme="minorHAnsi" w:cstheme="minorHAnsi"/>
          <w:sz w:val="22"/>
          <w:szCs w:val="22"/>
        </w:rPr>
        <w:t xml:space="preserve"> and </w:t>
      </w:r>
      <w:r w:rsidR="000C29EF" w:rsidRPr="007C4D65">
        <w:rPr>
          <w:rFonts w:asciiTheme="minorHAnsi" w:hAnsiTheme="minorHAnsi" w:cstheme="minorHAnsi"/>
          <w:sz w:val="22"/>
          <w:szCs w:val="22"/>
        </w:rPr>
        <w:t xml:space="preserve">analyse the </w:t>
      </w:r>
      <w:r w:rsidRPr="007C4D65">
        <w:rPr>
          <w:rFonts w:asciiTheme="minorHAnsi" w:hAnsiTheme="minorHAnsi" w:cstheme="minorHAnsi"/>
          <w:sz w:val="22"/>
          <w:szCs w:val="22"/>
        </w:rPr>
        <w:t>composition of municipal waste they collect, while this positive practice has been implemented in the region. The Federation of BiH has no laboratories certified for waste analysis, which precludes identification of waste characteristics (hazardous/non-hazardous) and its calorific value for potential consideration of using waste as fuel and building waste treatment infrastructure. Lack of quality and reliable statistics impedes reporting to the Federation and national statistics institutions, as well as producing of reports for different purposes, such as report</w:t>
      </w:r>
      <w:r w:rsidR="000C29EF" w:rsidRPr="007C4D65">
        <w:rPr>
          <w:rFonts w:asciiTheme="minorHAnsi" w:hAnsiTheme="minorHAnsi" w:cstheme="minorHAnsi"/>
          <w:sz w:val="22"/>
          <w:szCs w:val="22"/>
        </w:rPr>
        <w:t>s</w:t>
      </w:r>
      <w:r w:rsidRPr="007C4D65">
        <w:rPr>
          <w:rFonts w:asciiTheme="minorHAnsi" w:hAnsiTheme="minorHAnsi" w:cstheme="minorHAnsi"/>
          <w:sz w:val="22"/>
          <w:szCs w:val="22"/>
        </w:rPr>
        <w:t xml:space="preserve"> to EIONET, EUROSTAT, and report</w:t>
      </w:r>
      <w:r w:rsidR="000C29EF" w:rsidRPr="007C4D65">
        <w:rPr>
          <w:rFonts w:asciiTheme="minorHAnsi" w:hAnsiTheme="minorHAnsi" w:cstheme="minorHAnsi"/>
          <w:sz w:val="22"/>
          <w:szCs w:val="22"/>
        </w:rPr>
        <w:t>s</w:t>
      </w:r>
      <w:r w:rsidRPr="007C4D65">
        <w:rPr>
          <w:rFonts w:asciiTheme="minorHAnsi" w:hAnsiTheme="minorHAnsi" w:cstheme="minorHAnsi"/>
          <w:sz w:val="22"/>
          <w:szCs w:val="22"/>
        </w:rPr>
        <w:t xml:space="preserve"> on cross-border transport of waste to the Secretariat of the Basel Convention and other conventions with similar requirements.</w:t>
      </w:r>
    </w:p>
    <w:p w14:paraId="67833FAC" w14:textId="45516BDB" w:rsidR="007A33AC" w:rsidRPr="007C4D65" w:rsidRDefault="007A33AC"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2021 saw a breakthrough in data collection when the Waste Management Information System, managed by the Environmental Protection Fund of the Federation of BiH was commissioned in the Federation of BiH. The Information System was designed to enable monitoring of all the waste streams, and the law now requires waste management operators, entities which produce/</w:t>
      </w:r>
      <w:r w:rsidR="000C29EF" w:rsidRPr="007C4D65">
        <w:rPr>
          <w:rFonts w:asciiTheme="minorHAnsi" w:hAnsiTheme="minorHAnsi" w:cstheme="minorHAnsi"/>
          <w:sz w:val="22"/>
          <w:szCs w:val="22"/>
        </w:rPr>
        <w:t>are in possession of</w:t>
      </w:r>
      <w:r w:rsidRPr="007C4D65">
        <w:rPr>
          <w:rFonts w:asciiTheme="minorHAnsi" w:hAnsiTheme="minorHAnsi" w:cstheme="minorHAnsi"/>
          <w:sz w:val="22"/>
          <w:szCs w:val="22"/>
        </w:rPr>
        <w:t xml:space="preserve"> waste and producers, importers and distributors who produce and/or import products which </w:t>
      </w:r>
      <w:r w:rsidR="000C29EF" w:rsidRPr="007C4D65">
        <w:rPr>
          <w:rFonts w:asciiTheme="minorHAnsi" w:hAnsiTheme="minorHAnsi" w:cstheme="minorHAnsi"/>
          <w:sz w:val="22"/>
          <w:szCs w:val="22"/>
        </w:rPr>
        <w:t>become</w:t>
      </w:r>
      <w:r w:rsidRPr="007C4D65">
        <w:rPr>
          <w:rFonts w:asciiTheme="minorHAnsi" w:hAnsiTheme="minorHAnsi" w:cstheme="minorHAnsi"/>
          <w:sz w:val="22"/>
          <w:szCs w:val="22"/>
        </w:rPr>
        <w:t xml:space="preserve"> a special category of waste after their use in/to BiH, to provide information on, among other things, the types and </w:t>
      </w:r>
      <w:r w:rsidR="000C29EF" w:rsidRPr="007C4D65">
        <w:rPr>
          <w:rFonts w:asciiTheme="minorHAnsi" w:hAnsiTheme="minorHAnsi" w:cstheme="minorHAnsi"/>
          <w:sz w:val="22"/>
          <w:szCs w:val="22"/>
        </w:rPr>
        <w:t>amounts</w:t>
      </w:r>
      <w:r w:rsidRPr="007C4D65">
        <w:rPr>
          <w:rFonts w:asciiTheme="minorHAnsi" w:hAnsiTheme="minorHAnsi" w:cstheme="minorHAnsi"/>
          <w:sz w:val="22"/>
          <w:szCs w:val="22"/>
        </w:rPr>
        <w:t xml:space="preserve"> of waste. An increasing number of registered users </w:t>
      </w:r>
      <w:proofErr w:type="gramStart"/>
      <w:r w:rsidRPr="007C4D65">
        <w:rPr>
          <w:rFonts w:asciiTheme="minorHAnsi" w:hAnsiTheme="minorHAnsi" w:cstheme="minorHAnsi"/>
          <w:sz w:val="22"/>
          <w:szCs w:val="22"/>
        </w:rPr>
        <w:t>as a result of</w:t>
      </w:r>
      <w:proofErr w:type="gramEnd"/>
      <w:r w:rsidRPr="007C4D65">
        <w:rPr>
          <w:rFonts w:asciiTheme="minorHAnsi" w:hAnsiTheme="minorHAnsi" w:cstheme="minorHAnsi"/>
          <w:sz w:val="22"/>
          <w:szCs w:val="22"/>
        </w:rPr>
        <w:t xml:space="preserve"> </w:t>
      </w:r>
      <w:r w:rsidR="000C29EF" w:rsidRPr="007C4D65">
        <w:rPr>
          <w:rFonts w:asciiTheme="minorHAnsi" w:hAnsiTheme="minorHAnsi" w:cstheme="minorHAnsi"/>
          <w:sz w:val="22"/>
          <w:szCs w:val="22"/>
        </w:rPr>
        <w:lastRenderedPageBreak/>
        <w:t>dissemination</w:t>
      </w:r>
      <w:r w:rsidRPr="007C4D65">
        <w:rPr>
          <w:rFonts w:asciiTheme="minorHAnsi" w:hAnsiTheme="minorHAnsi" w:cstheme="minorHAnsi"/>
          <w:sz w:val="22"/>
          <w:szCs w:val="22"/>
        </w:rPr>
        <w:t xml:space="preserve"> of information and education, and the regulation of the reporting obligation through renewed waste management licences and environmental permits are currently among the greatest challenges. The increased number of users and various analytical possibilities within the system will enable preparation of accurate and reliable reports on the waste management in the Federation of BiH, after the systems both in </w:t>
      </w:r>
      <w:proofErr w:type="spellStart"/>
      <w:r w:rsidRPr="007C4D65">
        <w:rPr>
          <w:rFonts w:asciiTheme="minorHAnsi" w:hAnsiTheme="minorHAnsi" w:cstheme="minorHAnsi"/>
          <w:sz w:val="22"/>
          <w:szCs w:val="22"/>
        </w:rPr>
        <w:t>Republika</w:t>
      </w:r>
      <w:proofErr w:type="spellEnd"/>
      <w:r w:rsidRPr="007C4D65">
        <w:rPr>
          <w:rFonts w:asciiTheme="minorHAnsi" w:hAnsiTheme="minorHAnsi" w:cstheme="minorHAnsi"/>
          <w:sz w:val="22"/>
          <w:szCs w:val="22"/>
        </w:rPr>
        <w:t xml:space="preserve"> Srpska and at the national level become operational. It is therefore very likely that the information system will be continuously upgraded in the future </w:t>
      </w:r>
      <w:proofErr w:type="gramStart"/>
      <w:r w:rsidRPr="007C4D65">
        <w:rPr>
          <w:rFonts w:asciiTheme="minorHAnsi" w:hAnsiTheme="minorHAnsi" w:cstheme="minorHAnsi"/>
          <w:sz w:val="22"/>
          <w:szCs w:val="22"/>
        </w:rPr>
        <w:t>in order to</w:t>
      </w:r>
      <w:proofErr w:type="gramEnd"/>
      <w:r w:rsidRPr="007C4D65">
        <w:rPr>
          <w:rFonts w:asciiTheme="minorHAnsi" w:hAnsiTheme="minorHAnsi" w:cstheme="minorHAnsi"/>
          <w:sz w:val="22"/>
          <w:szCs w:val="22"/>
        </w:rPr>
        <w:t xml:space="preserve"> satisfy various reporting requirements and requests of the users. The growth and development of the information system must be </w:t>
      </w:r>
      <w:r w:rsidR="000C29EF" w:rsidRPr="007C4D65">
        <w:rPr>
          <w:rFonts w:asciiTheme="minorHAnsi" w:hAnsiTheme="minorHAnsi" w:cstheme="minorHAnsi"/>
          <w:sz w:val="22"/>
          <w:szCs w:val="22"/>
        </w:rPr>
        <w:t>accompanied</w:t>
      </w:r>
      <w:r w:rsidRPr="007C4D65">
        <w:rPr>
          <w:rFonts w:asciiTheme="minorHAnsi" w:hAnsiTheme="minorHAnsi" w:cstheme="minorHAnsi"/>
          <w:sz w:val="22"/>
          <w:szCs w:val="22"/>
        </w:rPr>
        <w:t xml:space="preserve"> with enhanced human resources in the Environmental Protection Fund of Federation of BiH.</w:t>
      </w:r>
    </w:p>
    <w:p w14:paraId="312E91A3" w14:textId="38DF3D26" w:rsidR="00A374F8" w:rsidRPr="007C4D65" w:rsidRDefault="00A374F8"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Federation of BiH has a limited number of financial mechanisms which support the transition towards a circular economy. These mechanisms include charges payable for a failure to meet the recycling and reuse objectives for some special </w:t>
      </w:r>
      <w:r w:rsidR="000C29EF" w:rsidRPr="007C4D65">
        <w:rPr>
          <w:rFonts w:asciiTheme="minorHAnsi" w:hAnsiTheme="minorHAnsi" w:cstheme="minorHAnsi"/>
          <w:sz w:val="22"/>
          <w:szCs w:val="22"/>
        </w:rPr>
        <w:t>wastes</w:t>
      </w:r>
      <w:r w:rsidRPr="007C4D65">
        <w:rPr>
          <w:rFonts w:asciiTheme="minorHAnsi" w:hAnsiTheme="minorHAnsi" w:cstheme="minorHAnsi"/>
          <w:sz w:val="22"/>
          <w:szCs w:val="22"/>
        </w:rPr>
        <w:t xml:space="preserve"> and taxes for light plastic shopping bags. The existing financial mechanisms are not perceived sufficient to contribute to minimising waste generation, recycling, reduced disposal of waste, which is currently the most inexpensive option. The landfill tax is one of the crucial mechanisms which are </w:t>
      </w:r>
      <w:r w:rsidR="000C29EF" w:rsidRPr="007C4D65">
        <w:rPr>
          <w:rFonts w:asciiTheme="minorHAnsi" w:hAnsiTheme="minorHAnsi" w:cstheme="minorHAnsi"/>
          <w:sz w:val="22"/>
          <w:szCs w:val="22"/>
        </w:rPr>
        <w:t>missing</w:t>
      </w:r>
      <w:r w:rsidRPr="007C4D65">
        <w:rPr>
          <w:rFonts w:asciiTheme="minorHAnsi" w:hAnsiTheme="minorHAnsi" w:cstheme="minorHAnsi"/>
          <w:sz w:val="22"/>
          <w:szCs w:val="22"/>
        </w:rPr>
        <w:t xml:space="preserve">. It has been implemented in the EU countries in order to discourage landfilling as the most common form of waste disposal, and to help </w:t>
      </w:r>
      <w:r w:rsidR="000C29EF" w:rsidRPr="007C4D65">
        <w:rPr>
          <w:rFonts w:asciiTheme="minorHAnsi" w:hAnsiTheme="minorHAnsi" w:cstheme="minorHAnsi"/>
          <w:sz w:val="22"/>
          <w:szCs w:val="22"/>
        </w:rPr>
        <w:t xml:space="preserve">the </w:t>
      </w:r>
      <w:r w:rsidRPr="007C4D65">
        <w:rPr>
          <w:rFonts w:asciiTheme="minorHAnsi" w:hAnsiTheme="minorHAnsi" w:cstheme="minorHAnsi"/>
          <w:sz w:val="22"/>
          <w:szCs w:val="22"/>
        </w:rPr>
        <w:t xml:space="preserve">development of the system component aimed at reducing waste </w:t>
      </w:r>
      <w:proofErr w:type="gramStart"/>
      <w:r w:rsidRPr="007C4D65">
        <w:rPr>
          <w:rFonts w:asciiTheme="minorHAnsi" w:hAnsiTheme="minorHAnsi" w:cstheme="minorHAnsi"/>
          <w:sz w:val="22"/>
          <w:szCs w:val="22"/>
        </w:rPr>
        <w:t>generation, and</w:t>
      </w:r>
      <w:proofErr w:type="gramEnd"/>
      <w:r w:rsidRPr="007C4D65">
        <w:rPr>
          <w:rFonts w:asciiTheme="minorHAnsi" w:hAnsiTheme="minorHAnsi" w:cstheme="minorHAnsi"/>
          <w:sz w:val="22"/>
          <w:szCs w:val="22"/>
        </w:rPr>
        <w:t xml:space="preserve"> encouraging reuse and recycling. Another important instrument should be the waste disposal charging fee based on the quantity of waste generated. It is therefore necessary to review the existing and implement further economic and financial instruments and mechanisms </w:t>
      </w:r>
      <w:r w:rsidR="000C29EF" w:rsidRPr="007C4D65">
        <w:rPr>
          <w:rFonts w:asciiTheme="minorHAnsi" w:hAnsiTheme="minorHAnsi" w:cstheme="minorHAnsi"/>
          <w:sz w:val="22"/>
          <w:szCs w:val="22"/>
        </w:rPr>
        <w:t>to</w:t>
      </w:r>
      <w:r w:rsidRPr="007C4D65">
        <w:rPr>
          <w:rFonts w:asciiTheme="minorHAnsi" w:hAnsiTheme="minorHAnsi" w:cstheme="minorHAnsi"/>
          <w:sz w:val="22"/>
          <w:szCs w:val="22"/>
        </w:rPr>
        <w:t xml:space="preserve"> reduce amounts of waste and boost utilisation of all categories of waste.</w:t>
      </w:r>
    </w:p>
    <w:p w14:paraId="6295E01F" w14:textId="04AF6049" w:rsidR="00DD5FCE" w:rsidRPr="007C4D65" w:rsidRDefault="00DD5FCE"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Information available in reports of the Institute for Statistics of the Federation of BiH and reports of the international organisations indicate that the current situation in the municipal waste management sector in the Federation of BiH can be described through indicators listed in the following table</w:t>
      </w:r>
      <w:r w:rsidRPr="007C4D65">
        <w:rPr>
          <w:rFonts w:asciiTheme="minorHAnsi" w:hAnsiTheme="minorHAnsi" w:cstheme="minorHAnsi"/>
          <w:b/>
          <w:i/>
          <w:sz w:val="22"/>
          <w:szCs w:val="22"/>
        </w:rPr>
        <w:t>.</w:t>
      </w:r>
    </w:p>
    <w:p w14:paraId="2AC3F129" w14:textId="25BFA7D3" w:rsidR="00432E4D" w:rsidRPr="007C4D65" w:rsidRDefault="00DE73E0" w:rsidP="0068355A">
      <w:pPr>
        <w:pStyle w:val="Caption"/>
        <w:spacing w:line="276" w:lineRule="auto"/>
        <w:rPr>
          <w:rFonts w:asciiTheme="minorHAnsi" w:hAnsiTheme="minorHAnsi" w:cstheme="minorHAnsi"/>
        </w:rPr>
      </w:pPr>
      <w:bookmarkStart w:id="92" w:name="_Toc117011589"/>
      <w:r w:rsidRPr="007C4D65">
        <w:rPr>
          <w:rFonts w:asciiTheme="minorHAnsi" w:hAnsiTheme="minorHAnsi" w:cstheme="minorHAnsi"/>
        </w:rPr>
        <w:t xml:space="preserve">Table </w:t>
      </w:r>
      <w:r w:rsidR="005D60DA" w:rsidRPr="007C4D65">
        <w:rPr>
          <w:rFonts w:asciiTheme="minorHAnsi" w:hAnsiTheme="minorHAnsi" w:cstheme="minorHAnsi"/>
        </w:rPr>
        <w:fldChar w:fldCharType="begin"/>
      </w:r>
      <w:r w:rsidR="005D60DA" w:rsidRPr="007C4D65">
        <w:rPr>
          <w:rFonts w:asciiTheme="minorHAnsi" w:hAnsiTheme="minorHAnsi" w:cstheme="minorHAnsi"/>
        </w:rPr>
        <w:instrText xml:space="preserve"> SEQ Tabela \* ARABIC </w:instrText>
      </w:r>
      <w:r w:rsidR="005D60DA" w:rsidRPr="007C4D65">
        <w:rPr>
          <w:rFonts w:asciiTheme="minorHAnsi" w:hAnsiTheme="minorHAnsi" w:cstheme="minorHAnsi"/>
        </w:rPr>
        <w:fldChar w:fldCharType="separate"/>
      </w:r>
      <w:r w:rsidR="005D60DA" w:rsidRPr="007C4D65">
        <w:rPr>
          <w:rFonts w:asciiTheme="minorHAnsi" w:hAnsiTheme="minorHAnsi" w:cstheme="minorHAnsi"/>
          <w:noProof/>
        </w:rPr>
        <w:t>10</w:t>
      </w:r>
      <w:r w:rsidR="005D60DA" w:rsidRPr="007C4D65">
        <w:rPr>
          <w:rFonts w:asciiTheme="minorHAnsi" w:hAnsiTheme="minorHAnsi" w:cstheme="minorHAnsi"/>
        </w:rPr>
        <w:fldChar w:fldCharType="end"/>
      </w:r>
      <w:r w:rsidRPr="007C4D65">
        <w:rPr>
          <w:rFonts w:asciiTheme="minorHAnsi" w:hAnsiTheme="minorHAnsi" w:cstheme="minorHAnsi"/>
        </w:rPr>
        <w:t xml:space="preserve">: </w:t>
      </w:r>
      <w:r w:rsidRPr="007C4D65">
        <w:rPr>
          <w:rFonts w:asciiTheme="minorHAnsi" w:hAnsiTheme="minorHAnsi" w:cstheme="minorHAnsi"/>
          <w:b w:val="0"/>
        </w:rPr>
        <w:t>Indicators of the current situation in the waste sector in Federation of BiH:</w:t>
      </w:r>
      <w:bookmarkEnd w:id="92"/>
    </w:p>
    <w:tbl>
      <w:tblPr>
        <w:tblW w:w="5000"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81"/>
        <w:gridCol w:w="1329"/>
        <w:gridCol w:w="2106"/>
      </w:tblGrid>
      <w:tr w:rsidR="00056348" w:rsidRPr="007C4D65" w14:paraId="76ABA8D9" w14:textId="77777777" w:rsidTr="00DB2C3B">
        <w:trPr>
          <w:trHeight w:val="323"/>
          <w:tblHeader/>
        </w:trPr>
        <w:tc>
          <w:tcPr>
            <w:tcW w:w="3095" w:type="pct"/>
            <w:shd w:val="clear" w:color="auto" w:fill="009D73"/>
            <w:vAlign w:val="center"/>
          </w:tcPr>
          <w:p w14:paraId="3A077AF3" w14:textId="77777777" w:rsidR="00056348" w:rsidRPr="007C4D65" w:rsidRDefault="00056348" w:rsidP="0068355A">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Indicator</w:t>
            </w:r>
          </w:p>
        </w:tc>
        <w:tc>
          <w:tcPr>
            <w:tcW w:w="737" w:type="pct"/>
            <w:shd w:val="clear" w:color="auto" w:fill="009D73"/>
            <w:vAlign w:val="center"/>
          </w:tcPr>
          <w:p w14:paraId="4C0499F0" w14:textId="77777777" w:rsidR="00056348" w:rsidRPr="007C4D65" w:rsidRDefault="00056348" w:rsidP="0068355A">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Unit</w:t>
            </w:r>
          </w:p>
        </w:tc>
        <w:tc>
          <w:tcPr>
            <w:tcW w:w="1168" w:type="pct"/>
            <w:shd w:val="clear" w:color="auto" w:fill="009D73"/>
            <w:vAlign w:val="center"/>
          </w:tcPr>
          <w:p w14:paraId="679267F9" w14:textId="77777777" w:rsidR="00056348" w:rsidRPr="007C4D65" w:rsidRDefault="00056348" w:rsidP="0068355A">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Value</w:t>
            </w:r>
          </w:p>
        </w:tc>
      </w:tr>
      <w:tr w:rsidR="00056348" w:rsidRPr="007C4D65" w14:paraId="2B3CC318" w14:textId="77777777" w:rsidTr="00DB2C3B">
        <w:trPr>
          <w:trHeight w:val="391"/>
        </w:trPr>
        <w:tc>
          <w:tcPr>
            <w:tcW w:w="3095" w:type="pct"/>
            <w:vAlign w:val="center"/>
          </w:tcPr>
          <w:p w14:paraId="32799487" w14:textId="6054EB60"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Total </w:t>
            </w:r>
            <w:r w:rsidR="000C29EF" w:rsidRPr="007C4D65">
              <w:rPr>
                <w:rFonts w:asciiTheme="minorHAnsi" w:hAnsiTheme="minorHAnsi" w:cstheme="minorHAnsi"/>
                <w:sz w:val="18"/>
              </w:rPr>
              <w:t>amount</w:t>
            </w:r>
            <w:r w:rsidRPr="007C4D65">
              <w:rPr>
                <w:rFonts w:asciiTheme="minorHAnsi" w:hAnsiTheme="minorHAnsi" w:cstheme="minorHAnsi"/>
                <w:sz w:val="18"/>
              </w:rPr>
              <w:t xml:space="preserve"> of municipal waste collected</w:t>
            </w:r>
            <w:r w:rsidR="000C29EF" w:rsidRPr="007C4D65">
              <w:rPr>
                <w:rFonts w:asciiTheme="minorHAnsi" w:hAnsiTheme="minorHAnsi" w:cstheme="minorHAnsi"/>
                <w:sz w:val="18"/>
              </w:rPr>
              <w:t xml:space="preserve"> </w:t>
            </w:r>
            <w:r w:rsidR="00933DBD" w:rsidRPr="007C4D65">
              <w:rPr>
                <w:rFonts w:asciiTheme="minorHAnsi" w:hAnsiTheme="minorHAnsi" w:cstheme="minorHAnsi"/>
                <w:sz w:val="18"/>
              </w:rPr>
              <w:fldChar w:fldCharType="begin"/>
            </w:r>
            <w:r w:rsidR="006A21A5" w:rsidRPr="007C4D65">
              <w:rPr>
                <w:rFonts w:asciiTheme="minorHAnsi" w:hAnsiTheme="minorHAnsi" w:cstheme="minorHAnsi"/>
                <w:sz w:val="18"/>
              </w:rPr>
              <w:instrText xml:space="preserve"> ADDIN ZOTERO_ITEM CSL_CITATION {"citationID":"Cct7UgfC","properties":{"formattedCitation":"(Federalni zavod za statistiku 2021a)","plainCitation":"(Federalni zavod za statistiku 2021a)","noteIndex":0},"citationItems":[{"id":1454,"uris":["http://zotero.org/users/7192877/items/GFBB6VN7"],"itemData":{"id":1454,"type":"document","title":"Saopćenje: Prikupljeni i odloženi komunalni otpad u 2020. godini, Godina XI, broj 20.5.1","URL":"http://fzs.ba/index.php/publikacije/saopcenjapriopcenja/statistika-okolisa/","author":[{"family":"Federalni zavod za statistiku","given":""}],"issued":{"date-parts":[["2021"]]}}}],"schema":"https://github.com/citation-style-language/schema/raw/master/csl-citation.json"} </w:instrText>
            </w:r>
            <w:r w:rsidR="00933DBD" w:rsidRPr="007C4D65">
              <w:rPr>
                <w:rFonts w:asciiTheme="minorHAnsi" w:hAnsiTheme="minorHAnsi" w:cstheme="minorHAnsi"/>
                <w:sz w:val="18"/>
              </w:rPr>
              <w:fldChar w:fldCharType="separate"/>
            </w:r>
            <w:r w:rsidR="00933DBD" w:rsidRPr="007C4D65">
              <w:rPr>
                <w:rFonts w:asciiTheme="minorHAnsi" w:hAnsiTheme="minorHAnsi" w:cstheme="minorHAnsi"/>
                <w:sz w:val="18"/>
              </w:rPr>
              <w:t>(</w:t>
            </w:r>
            <w:r w:rsidR="00E87DA4" w:rsidRPr="007C4D65">
              <w:rPr>
                <w:rFonts w:asciiTheme="minorHAnsi" w:hAnsiTheme="minorHAnsi" w:cstheme="minorHAnsi"/>
                <w:sz w:val="18"/>
              </w:rPr>
              <w:t>Institute for Statistics of the Federation of BiH</w:t>
            </w:r>
            <w:r w:rsidR="00933DBD" w:rsidRPr="007C4D65">
              <w:rPr>
                <w:rFonts w:asciiTheme="minorHAnsi" w:hAnsiTheme="minorHAnsi" w:cstheme="minorHAnsi"/>
                <w:sz w:val="18"/>
              </w:rPr>
              <w:t xml:space="preserve"> 2021a)</w:t>
            </w:r>
            <w:r w:rsidR="00933DBD" w:rsidRPr="007C4D65">
              <w:rPr>
                <w:rFonts w:asciiTheme="minorHAnsi" w:hAnsiTheme="minorHAnsi" w:cstheme="minorHAnsi"/>
                <w:sz w:val="18"/>
              </w:rPr>
              <w:fldChar w:fldCharType="end"/>
            </w:r>
          </w:p>
        </w:tc>
        <w:tc>
          <w:tcPr>
            <w:tcW w:w="737" w:type="pct"/>
            <w:vAlign w:val="center"/>
          </w:tcPr>
          <w:p w14:paraId="7D43D715"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tonne</w:t>
            </w:r>
          </w:p>
        </w:tc>
        <w:tc>
          <w:tcPr>
            <w:tcW w:w="1168" w:type="pct"/>
            <w:vAlign w:val="center"/>
          </w:tcPr>
          <w:p w14:paraId="2E9F2AE1"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611854</w:t>
            </w:r>
          </w:p>
        </w:tc>
      </w:tr>
      <w:tr w:rsidR="00056348" w:rsidRPr="007C4D65" w14:paraId="50648159" w14:textId="77777777" w:rsidTr="00DB2C3B">
        <w:trPr>
          <w:trHeight w:val="391"/>
        </w:trPr>
        <w:tc>
          <w:tcPr>
            <w:tcW w:w="3095" w:type="pct"/>
            <w:vAlign w:val="center"/>
          </w:tcPr>
          <w:p w14:paraId="551542E3" w14:textId="1B7BA1E0"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Population covered with waste collection services</w:t>
            </w:r>
            <w:r w:rsidR="000C29EF" w:rsidRPr="007C4D65">
              <w:rPr>
                <w:rFonts w:asciiTheme="minorHAnsi" w:hAnsiTheme="minorHAnsi" w:cstheme="minorHAnsi"/>
                <w:sz w:val="18"/>
              </w:rPr>
              <w:t xml:space="preserve"> </w:t>
            </w:r>
            <w:r w:rsidR="00933DBD" w:rsidRPr="007C4D65">
              <w:rPr>
                <w:rFonts w:asciiTheme="minorHAnsi" w:hAnsiTheme="minorHAnsi" w:cstheme="minorHAnsi"/>
                <w:sz w:val="18"/>
              </w:rPr>
              <w:fldChar w:fldCharType="begin"/>
            </w:r>
            <w:r w:rsidR="006A21A5" w:rsidRPr="007C4D65">
              <w:rPr>
                <w:rFonts w:asciiTheme="minorHAnsi" w:hAnsiTheme="minorHAnsi" w:cstheme="minorHAnsi"/>
                <w:sz w:val="18"/>
              </w:rPr>
              <w:instrText xml:space="preserve"> ADDIN ZOTERO_ITEM CSL_CITATION {"citationID":"UYIlesDI","properties":{"formattedCitation":"(Ionkova et al. 2018b)","plainCitation":"(Ionkova et al. 2018b)","noteIndex":0},"citationItems":[{"id":1456,"uris":["http://zotero.org/users/7192877/items/ZSHIUVAB"],"itemData":{"id":1456,"type":"document","publisher":"Svjetska banka","title":"Analiza sektora upravljanja čvrstim komunalnim otpadom: Strateški pravci i planiranje investicija do 2025.g., Dio A: Federacija BiH","URL":"https://www.upkp.com.ba/dokumenti/Izvjestaj%20Analiza%20sektora%20upravljanja%20cvrstim%20komunalnim%20otpadom%20FBIH.pdf","author":[{"family":"Ionkova","given":"Kremena"},{"family":"Simonis","given":"Gerard"},{"family":"Abedini","given":"Ali Reza"},{"family":"Silajdžić","given":"Irem"},{"family":"Bjelić","given":"Draženko"},{"family":"Palandžić","given":"Igor"},{"family":"Arnautović","given":"Lejla"},{"family":"Šačić","given":"Senad"}],"issued":{"literal":"2018b"}}}],"schema":"https://github.com/citation-style-language/schema/raw/master/csl-citation.json"} </w:instrText>
            </w:r>
            <w:r w:rsidR="00933DBD" w:rsidRPr="007C4D65">
              <w:rPr>
                <w:rFonts w:asciiTheme="minorHAnsi" w:hAnsiTheme="minorHAnsi" w:cstheme="minorHAnsi"/>
                <w:sz w:val="18"/>
              </w:rPr>
              <w:fldChar w:fldCharType="separate"/>
            </w:r>
            <w:r w:rsidR="00933DBD" w:rsidRPr="007C4D65">
              <w:rPr>
                <w:rFonts w:asciiTheme="minorHAnsi" w:hAnsiTheme="minorHAnsi" w:cstheme="minorHAnsi"/>
                <w:sz w:val="18"/>
              </w:rPr>
              <w:t>(Ionkova et al. 2018b)</w:t>
            </w:r>
            <w:r w:rsidR="00933DBD" w:rsidRPr="007C4D65">
              <w:rPr>
                <w:rFonts w:asciiTheme="minorHAnsi" w:hAnsiTheme="minorHAnsi" w:cstheme="minorHAnsi"/>
                <w:sz w:val="18"/>
              </w:rPr>
              <w:fldChar w:fldCharType="end"/>
            </w:r>
          </w:p>
        </w:tc>
        <w:tc>
          <w:tcPr>
            <w:tcW w:w="737" w:type="pct"/>
            <w:vAlign w:val="center"/>
          </w:tcPr>
          <w:p w14:paraId="2BB3F022"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w:t>
            </w:r>
          </w:p>
        </w:tc>
        <w:tc>
          <w:tcPr>
            <w:tcW w:w="1168" w:type="pct"/>
            <w:vAlign w:val="center"/>
          </w:tcPr>
          <w:p w14:paraId="311010E2"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70%</w:t>
            </w:r>
          </w:p>
        </w:tc>
      </w:tr>
      <w:tr w:rsidR="00056348" w:rsidRPr="007C4D65" w14:paraId="7C6F38FA" w14:textId="77777777" w:rsidTr="00DB2C3B">
        <w:trPr>
          <w:trHeight w:val="391"/>
        </w:trPr>
        <w:tc>
          <w:tcPr>
            <w:tcW w:w="3095" w:type="pct"/>
            <w:vAlign w:val="center"/>
          </w:tcPr>
          <w:p w14:paraId="3AC3059B"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Waste generation per capita</w:t>
            </w:r>
            <w:r w:rsidRPr="007C4D65">
              <w:rPr>
                <w:rStyle w:val="FootnoteReference"/>
                <w:rFonts w:asciiTheme="minorHAnsi" w:hAnsiTheme="minorHAnsi" w:cstheme="minorHAnsi"/>
                <w:sz w:val="18"/>
                <w:szCs w:val="18"/>
              </w:rPr>
              <w:footnoteReference w:id="12"/>
            </w:r>
          </w:p>
        </w:tc>
        <w:tc>
          <w:tcPr>
            <w:tcW w:w="737" w:type="pct"/>
            <w:vAlign w:val="center"/>
          </w:tcPr>
          <w:p w14:paraId="66BACFB7"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kg daily</w:t>
            </w:r>
          </w:p>
        </w:tc>
        <w:tc>
          <w:tcPr>
            <w:tcW w:w="1168" w:type="pct"/>
            <w:vAlign w:val="center"/>
          </w:tcPr>
          <w:p w14:paraId="27BF9977"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1.1</w:t>
            </w:r>
          </w:p>
        </w:tc>
      </w:tr>
      <w:tr w:rsidR="00056348" w:rsidRPr="007C4D65" w14:paraId="3E5E7090" w14:textId="77777777" w:rsidTr="00DB2C3B">
        <w:trPr>
          <w:trHeight w:val="391"/>
        </w:trPr>
        <w:tc>
          <w:tcPr>
            <w:tcW w:w="3095" w:type="pct"/>
            <w:vAlign w:val="center"/>
          </w:tcPr>
          <w:p w14:paraId="51E9CB5A" w14:textId="6560C8CE"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Municipal waste collected and </w:t>
            </w:r>
            <w:r w:rsidR="000C29EF" w:rsidRPr="007C4D65">
              <w:rPr>
                <w:rFonts w:asciiTheme="minorHAnsi" w:hAnsiTheme="minorHAnsi" w:cstheme="minorHAnsi"/>
                <w:sz w:val="18"/>
              </w:rPr>
              <w:t xml:space="preserve">landfilled </w:t>
            </w:r>
            <w:r w:rsidR="00933DBD" w:rsidRPr="007C4D65">
              <w:rPr>
                <w:rFonts w:asciiTheme="minorHAnsi" w:hAnsiTheme="minorHAnsi" w:cstheme="minorHAnsi"/>
                <w:sz w:val="18"/>
              </w:rPr>
              <w:fldChar w:fldCharType="begin"/>
            </w:r>
            <w:r w:rsidR="006A21A5" w:rsidRPr="007C4D65">
              <w:rPr>
                <w:rFonts w:asciiTheme="minorHAnsi" w:hAnsiTheme="minorHAnsi" w:cstheme="minorHAnsi"/>
                <w:sz w:val="18"/>
              </w:rPr>
              <w:instrText xml:space="preserve"> ADDIN ZOTERO_ITEM CSL_CITATION {"citationID":"PETUeUU7","properties":{"formattedCitation":"(Federalni zavod za statistiku 2021a)","plainCitation":"(Federalni zavod za statistiku 2021a)","noteIndex":0},"citationItems":[{"id":1454,"uris":["http://zotero.org/users/7192877/items/GFBB6VN7"],"itemData":{"id":1454,"type":"document","title":"Saopćenje: Prikupljeni i odloženi komunalni otpad u 2020. godini, Godina XI, broj 20.5.1","URL":"http://fzs.ba/index.php/publikacije/saopcenjapriopcenja/statistika-okolisa/","author":[{"family":"Federalni zavod za statistiku","given":""}],"issued":{"date-parts":[["2021"]]}}}],"schema":"https://github.com/citation-style-language/schema/raw/master/csl-citation.json"} </w:instrText>
            </w:r>
            <w:r w:rsidR="00933DBD" w:rsidRPr="007C4D65">
              <w:rPr>
                <w:rFonts w:asciiTheme="minorHAnsi" w:hAnsiTheme="minorHAnsi" w:cstheme="minorHAnsi"/>
                <w:sz w:val="18"/>
              </w:rPr>
              <w:fldChar w:fldCharType="separate"/>
            </w:r>
            <w:r w:rsidR="00933DBD" w:rsidRPr="007C4D65">
              <w:rPr>
                <w:rFonts w:asciiTheme="minorHAnsi" w:hAnsiTheme="minorHAnsi" w:cstheme="minorHAnsi"/>
                <w:sz w:val="18"/>
              </w:rPr>
              <w:t>(</w:t>
            </w:r>
            <w:r w:rsidR="00E87DA4" w:rsidRPr="007C4D65">
              <w:rPr>
                <w:rFonts w:asciiTheme="minorHAnsi" w:hAnsiTheme="minorHAnsi" w:cstheme="minorHAnsi"/>
                <w:sz w:val="18"/>
              </w:rPr>
              <w:t>Institute for Statistics of the Federation of BiH</w:t>
            </w:r>
            <w:r w:rsidR="00933DBD" w:rsidRPr="007C4D65">
              <w:rPr>
                <w:rFonts w:asciiTheme="minorHAnsi" w:hAnsiTheme="minorHAnsi" w:cstheme="minorHAnsi"/>
                <w:sz w:val="18"/>
              </w:rPr>
              <w:t xml:space="preserve"> 2021a)</w:t>
            </w:r>
            <w:r w:rsidR="00933DBD" w:rsidRPr="007C4D65">
              <w:rPr>
                <w:rFonts w:asciiTheme="minorHAnsi" w:hAnsiTheme="minorHAnsi" w:cstheme="minorHAnsi"/>
                <w:sz w:val="18"/>
              </w:rPr>
              <w:fldChar w:fldCharType="end"/>
            </w:r>
          </w:p>
        </w:tc>
        <w:tc>
          <w:tcPr>
            <w:tcW w:w="737" w:type="pct"/>
            <w:vAlign w:val="center"/>
          </w:tcPr>
          <w:p w14:paraId="112B1157"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w:t>
            </w:r>
          </w:p>
        </w:tc>
        <w:tc>
          <w:tcPr>
            <w:tcW w:w="1168" w:type="pct"/>
            <w:vAlign w:val="center"/>
          </w:tcPr>
          <w:p w14:paraId="3C4501AF"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94</w:t>
            </w:r>
          </w:p>
        </w:tc>
      </w:tr>
      <w:tr w:rsidR="00056348" w:rsidRPr="007C4D65" w14:paraId="4A2A69F9" w14:textId="77777777" w:rsidTr="00DB2C3B">
        <w:trPr>
          <w:trHeight w:val="391"/>
        </w:trPr>
        <w:tc>
          <w:tcPr>
            <w:tcW w:w="3095" w:type="pct"/>
            <w:vAlign w:val="center"/>
          </w:tcPr>
          <w:p w14:paraId="481123EC" w14:textId="1AE5479C"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szCs w:val="18"/>
              </w:rPr>
              <w:t>Municipal waste collected and disposed  in a different manner or treated</w:t>
            </w:r>
            <w:r w:rsidRPr="007C4D65">
              <w:rPr>
                <w:rFonts w:asciiTheme="minorHAnsi" w:hAnsiTheme="minorHAnsi" w:cstheme="minorHAnsi"/>
                <w:sz w:val="18"/>
              </w:rPr>
              <w:t xml:space="preserve"> </w:t>
            </w:r>
            <w:r w:rsidR="00933DBD" w:rsidRPr="007C4D65">
              <w:rPr>
                <w:rFonts w:asciiTheme="minorHAnsi" w:hAnsiTheme="minorHAnsi" w:cstheme="minorHAnsi"/>
                <w:sz w:val="18"/>
              </w:rPr>
              <w:fldChar w:fldCharType="begin"/>
            </w:r>
            <w:r w:rsidR="006A21A5" w:rsidRPr="007C4D65">
              <w:rPr>
                <w:rFonts w:asciiTheme="minorHAnsi" w:hAnsiTheme="minorHAnsi" w:cstheme="minorHAnsi"/>
                <w:sz w:val="18"/>
              </w:rPr>
              <w:instrText xml:space="preserve"> ADDIN ZOTERO_ITEM CSL_CITATION {"citationID":"LjZnGrvk","properties":{"formattedCitation":"(Federalni zavod za statistiku 2021a)","plainCitation":"(Federalni zavod za statistiku 2021a)","noteIndex":0},"citationItems":[{"id":1454,"uris":["http://zotero.org/users/7192877/items/GFBB6VN7"],"itemData":{"id":1454,"type":"document","title":"Saopćenje: Prikupljeni i odloženi komunalni otpad u 2020. godini, Godina XI, broj 20.5.1","URL":"http://fzs.ba/index.php/publikacije/saopcenjapriopcenja/statistika-okolisa/","author":[{"family":"Federalni zavod za statistiku","given":""}],"issued":{"date-parts":[["2021"]]}}}],"schema":"https://github.com/citation-style-language/schema/raw/master/csl-citation.json"} </w:instrText>
            </w:r>
            <w:r w:rsidR="00933DBD" w:rsidRPr="007C4D65">
              <w:rPr>
                <w:rFonts w:asciiTheme="minorHAnsi" w:hAnsiTheme="minorHAnsi" w:cstheme="minorHAnsi"/>
                <w:sz w:val="18"/>
              </w:rPr>
              <w:fldChar w:fldCharType="separate"/>
            </w:r>
            <w:r w:rsidR="00933DBD" w:rsidRPr="007C4D65">
              <w:rPr>
                <w:rFonts w:asciiTheme="minorHAnsi" w:hAnsiTheme="minorHAnsi" w:cstheme="minorHAnsi"/>
                <w:sz w:val="18"/>
              </w:rPr>
              <w:t>(</w:t>
            </w:r>
            <w:r w:rsidR="00E87DA4" w:rsidRPr="007C4D65">
              <w:rPr>
                <w:rFonts w:asciiTheme="minorHAnsi" w:hAnsiTheme="minorHAnsi" w:cstheme="minorHAnsi"/>
                <w:sz w:val="18"/>
              </w:rPr>
              <w:t>Institute for Statistics of the Federation of BiH</w:t>
            </w:r>
            <w:r w:rsidR="00933DBD" w:rsidRPr="007C4D65">
              <w:rPr>
                <w:rFonts w:asciiTheme="minorHAnsi" w:hAnsiTheme="minorHAnsi" w:cstheme="minorHAnsi"/>
                <w:sz w:val="18"/>
              </w:rPr>
              <w:t xml:space="preserve"> 2021a)</w:t>
            </w:r>
            <w:r w:rsidR="00933DBD" w:rsidRPr="007C4D65">
              <w:rPr>
                <w:rFonts w:asciiTheme="minorHAnsi" w:hAnsiTheme="minorHAnsi" w:cstheme="minorHAnsi"/>
                <w:sz w:val="18"/>
              </w:rPr>
              <w:fldChar w:fldCharType="end"/>
            </w:r>
          </w:p>
        </w:tc>
        <w:tc>
          <w:tcPr>
            <w:tcW w:w="737" w:type="pct"/>
            <w:vAlign w:val="center"/>
          </w:tcPr>
          <w:p w14:paraId="549BE5E1"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w:t>
            </w:r>
          </w:p>
        </w:tc>
        <w:tc>
          <w:tcPr>
            <w:tcW w:w="1168" w:type="pct"/>
            <w:vAlign w:val="center"/>
          </w:tcPr>
          <w:p w14:paraId="7BCEDE13"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6</w:t>
            </w:r>
          </w:p>
        </w:tc>
      </w:tr>
      <w:tr w:rsidR="00056348" w:rsidRPr="007C4D65" w14:paraId="752902E2" w14:textId="77777777" w:rsidTr="00DB2C3B">
        <w:trPr>
          <w:trHeight w:val="391"/>
        </w:trPr>
        <w:tc>
          <w:tcPr>
            <w:tcW w:w="3095" w:type="pct"/>
            <w:vAlign w:val="center"/>
          </w:tcPr>
          <w:p w14:paraId="58306506"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Municipal waste disposed at illegal dumpsites</w:t>
            </w:r>
            <w:r w:rsidRPr="007C4D65">
              <w:rPr>
                <w:rStyle w:val="FootnoteReference"/>
                <w:rFonts w:asciiTheme="minorHAnsi" w:hAnsiTheme="minorHAnsi" w:cstheme="minorHAnsi"/>
                <w:sz w:val="18"/>
                <w:szCs w:val="18"/>
              </w:rPr>
              <w:footnoteReference w:id="13"/>
            </w:r>
          </w:p>
        </w:tc>
        <w:tc>
          <w:tcPr>
            <w:tcW w:w="737" w:type="pct"/>
            <w:vAlign w:val="center"/>
          </w:tcPr>
          <w:p w14:paraId="53A082C7"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w:t>
            </w:r>
          </w:p>
        </w:tc>
        <w:tc>
          <w:tcPr>
            <w:tcW w:w="1168" w:type="pct"/>
            <w:vAlign w:val="center"/>
          </w:tcPr>
          <w:p w14:paraId="4FC5DFD6"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30%</w:t>
            </w:r>
          </w:p>
        </w:tc>
      </w:tr>
      <w:tr w:rsidR="00056348" w:rsidRPr="007C4D65" w14:paraId="4667703B" w14:textId="77777777" w:rsidTr="00DB2C3B">
        <w:trPr>
          <w:trHeight w:val="391"/>
        </w:trPr>
        <w:tc>
          <w:tcPr>
            <w:tcW w:w="3095" w:type="pct"/>
            <w:vAlign w:val="center"/>
          </w:tcPr>
          <w:p w14:paraId="416098C1" w14:textId="69CD8E3A"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Regional landfill</w:t>
            </w:r>
            <w:r w:rsidR="000C29EF" w:rsidRPr="007C4D65">
              <w:rPr>
                <w:rFonts w:asciiTheme="minorHAnsi" w:hAnsiTheme="minorHAnsi" w:cstheme="minorHAnsi"/>
                <w:sz w:val="18"/>
              </w:rPr>
              <w:t xml:space="preserve">s </w:t>
            </w:r>
            <w:r w:rsidR="00933DBD" w:rsidRPr="007C4D65">
              <w:rPr>
                <w:rFonts w:asciiTheme="minorHAnsi" w:hAnsiTheme="minorHAnsi" w:cstheme="minorHAnsi"/>
                <w:sz w:val="18"/>
              </w:rPr>
              <w:fldChar w:fldCharType="begin"/>
            </w:r>
            <w:r w:rsidR="006A21A5" w:rsidRPr="007C4D65">
              <w:rPr>
                <w:rFonts w:asciiTheme="minorHAnsi" w:hAnsiTheme="minorHAnsi" w:cstheme="minorHAnsi"/>
                <w:sz w:val="18"/>
              </w:rPr>
              <w:instrText xml:space="preserve"> ADDIN ZOTERO_ITEM CSL_CITATION {"citationID":"2Q9vcT1h","properties":{"formattedCitation":"(Ionkova et al. 2018b)","plainCitation":"(Ionkova et al. 2018b)","noteIndex":0},"citationItems":[{"id":1456,"uris":["http://zotero.org/users/7192877/items/ZSHIUVAB"],"itemData":{"id":1456,"type":"document","publisher":"Svjetska banka","title":"Analiza sektora upravljanja čvrstim komunalnim otpadom: Strateški pravci i planiranje investicija do 2025.g., Dio A: Federacija BiH","URL":"https://www.upkp.com.ba/dokumenti/Izvjestaj%20Analiza%20sektora%20upravljanja%20cvrstim%20komunalnim%20otpadom%20FBIH.pdf","author":[{"family":"Ionkova","given":"Kremena"},{"family":"Simonis","given":"Gerard"},{"family":"Abedini","given":"Ali Reza"},{"family":"Silajdžić","given":"Irem"},{"family":"Bjelić","given":"Draženko"},{"family":"Palandžić","given":"Igor"},{"family":"Arnautović","given":"Lejla"},{"family":"Šačić","given":"Senad"}],"issued":{"literal":"2018b"}}}],"schema":"https://github.com/citation-style-language/schema/raw/master/csl-citation.json"} </w:instrText>
            </w:r>
            <w:r w:rsidR="00933DBD" w:rsidRPr="007C4D65">
              <w:rPr>
                <w:rFonts w:asciiTheme="minorHAnsi" w:hAnsiTheme="minorHAnsi" w:cstheme="minorHAnsi"/>
                <w:sz w:val="18"/>
              </w:rPr>
              <w:fldChar w:fldCharType="separate"/>
            </w:r>
            <w:r w:rsidR="00933DBD" w:rsidRPr="007C4D65">
              <w:rPr>
                <w:rFonts w:asciiTheme="minorHAnsi" w:hAnsiTheme="minorHAnsi" w:cstheme="minorHAnsi"/>
                <w:sz w:val="18"/>
              </w:rPr>
              <w:t>(Ionkova et al. 2018b)</w:t>
            </w:r>
            <w:r w:rsidR="00933DBD" w:rsidRPr="007C4D65">
              <w:rPr>
                <w:rFonts w:asciiTheme="minorHAnsi" w:hAnsiTheme="minorHAnsi" w:cstheme="minorHAnsi"/>
                <w:sz w:val="18"/>
              </w:rPr>
              <w:fldChar w:fldCharType="end"/>
            </w:r>
          </w:p>
        </w:tc>
        <w:tc>
          <w:tcPr>
            <w:tcW w:w="737" w:type="pct"/>
            <w:vAlign w:val="center"/>
          </w:tcPr>
          <w:p w14:paraId="31D0F94F"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Number: </w:t>
            </w:r>
          </w:p>
        </w:tc>
        <w:tc>
          <w:tcPr>
            <w:tcW w:w="1168" w:type="pct"/>
            <w:vAlign w:val="center"/>
          </w:tcPr>
          <w:p w14:paraId="38F91355"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4</w:t>
            </w:r>
          </w:p>
        </w:tc>
      </w:tr>
      <w:tr w:rsidR="00056348" w:rsidRPr="007C4D65" w14:paraId="684F8B7F" w14:textId="77777777" w:rsidTr="00DB2C3B">
        <w:trPr>
          <w:trHeight w:val="391"/>
        </w:trPr>
        <w:tc>
          <w:tcPr>
            <w:tcW w:w="3095" w:type="pct"/>
            <w:vAlign w:val="center"/>
          </w:tcPr>
          <w:p w14:paraId="094964CC" w14:textId="5704A6CB"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Non-</w:t>
            </w:r>
            <w:r w:rsidR="000C29EF" w:rsidRPr="007C4D65">
              <w:rPr>
                <w:rFonts w:asciiTheme="minorHAnsi" w:hAnsiTheme="minorHAnsi" w:cstheme="minorHAnsi"/>
                <w:sz w:val="18"/>
              </w:rPr>
              <w:t>compliant</w:t>
            </w:r>
            <w:r w:rsidRPr="007C4D65">
              <w:rPr>
                <w:rFonts w:asciiTheme="minorHAnsi" w:hAnsiTheme="minorHAnsi" w:cstheme="minorHAnsi"/>
                <w:sz w:val="18"/>
              </w:rPr>
              <w:t xml:space="preserve"> municipal landfills</w:t>
            </w:r>
            <w:r w:rsidR="00FD7932" w:rsidRPr="007C4D65">
              <w:rPr>
                <w:rFonts w:asciiTheme="minorHAnsi" w:hAnsiTheme="minorHAnsi" w:cstheme="minorHAnsi"/>
                <w:sz w:val="18"/>
              </w:rPr>
              <w:t xml:space="preserve"> </w:t>
            </w:r>
            <w:r w:rsidR="00933DBD" w:rsidRPr="007C4D65">
              <w:rPr>
                <w:rFonts w:asciiTheme="minorHAnsi" w:hAnsiTheme="minorHAnsi" w:cstheme="minorHAnsi"/>
                <w:sz w:val="18"/>
              </w:rPr>
              <w:fldChar w:fldCharType="begin"/>
            </w:r>
            <w:r w:rsidR="006A21A5" w:rsidRPr="007C4D65">
              <w:rPr>
                <w:rFonts w:asciiTheme="minorHAnsi" w:hAnsiTheme="minorHAnsi" w:cstheme="minorHAnsi"/>
                <w:sz w:val="18"/>
              </w:rPr>
              <w:instrText xml:space="preserve"> ADDIN ZOTERO_ITEM CSL_CITATION {"citationID":"5j0H7YCU","properties":{"formattedCitation":"(Ionkova et al. 2018b)","plainCitation":"(Ionkova et al. 2018b)","noteIndex":0},"citationItems":[{"id":1456,"uris":["http://zotero.org/users/7192877/items/ZSHIUVAB"],"itemData":{"id":1456,"type":"document","publisher":"Svjetska banka","title":"Analiza sektora upravljanja čvrstim komunalnim otpadom: Strateški pravci i planiranje investicija do 2025.g., Dio A: Federacija BiH","URL":"https://www.upkp.com.ba/dokumenti/Izvjestaj%20Analiza%20sektora%20upravljanja%20cvrstim%20komunalnim%20otpadom%20FBIH.pdf","author":[{"family":"Ionkova","given":"Kremena"},{"family":"Simonis","given":"Gerard"},{"family":"Abedini","given":"Ali Reza"},{"family":"Silajdžić","given":"Irem"},{"family":"Bjelić","given":"Draženko"},{"family":"Palandžić","given":"Igor"},{"family":"Arnautović","given":"Lejla"},{"family":"Šačić","given":"Senad"}],"issued":{"literal":"2018b"}}}],"schema":"https://github.com/citation-style-language/schema/raw/master/csl-citation.json"} </w:instrText>
            </w:r>
            <w:r w:rsidR="00933DBD" w:rsidRPr="007C4D65">
              <w:rPr>
                <w:rFonts w:asciiTheme="minorHAnsi" w:hAnsiTheme="minorHAnsi" w:cstheme="minorHAnsi"/>
                <w:sz w:val="18"/>
              </w:rPr>
              <w:fldChar w:fldCharType="separate"/>
            </w:r>
            <w:r w:rsidR="00933DBD" w:rsidRPr="007C4D65">
              <w:rPr>
                <w:rFonts w:asciiTheme="minorHAnsi" w:hAnsiTheme="minorHAnsi" w:cstheme="minorHAnsi"/>
                <w:sz w:val="18"/>
              </w:rPr>
              <w:t>(Ionkova et al. 2018b)</w:t>
            </w:r>
            <w:r w:rsidR="00933DBD" w:rsidRPr="007C4D65">
              <w:rPr>
                <w:rFonts w:asciiTheme="minorHAnsi" w:hAnsiTheme="minorHAnsi" w:cstheme="minorHAnsi"/>
                <w:sz w:val="18"/>
              </w:rPr>
              <w:fldChar w:fldCharType="end"/>
            </w:r>
          </w:p>
        </w:tc>
        <w:tc>
          <w:tcPr>
            <w:tcW w:w="737" w:type="pct"/>
            <w:vAlign w:val="center"/>
          </w:tcPr>
          <w:p w14:paraId="5FACA606"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Number:</w:t>
            </w:r>
          </w:p>
        </w:tc>
        <w:tc>
          <w:tcPr>
            <w:tcW w:w="1168" w:type="pct"/>
            <w:vAlign w:val="center"/>
          </w:tcPr>
          <w:p w14:paraId="7D6A0BB1"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41</w:t>
            </w:r>
          </w:p>
        </w:tc>
      </w:tr>
      <w:tr w:rsidR="00056348" w:rsidRPr="007C4D65" w14:paraId="6626D1BC" w14:textId="77777777" w:rsidTr="00DB2C3B">
        <w:trPr>
          <w:trHeight w:val="391"/>
        </w:trPr>
        <w:tc>
          <w:tcPr>
            <w:tcW w:w="3095" w:type="pct"/>
            <w:vAlign w:val="center"/>
          </w:tcPr>
          <w:p w14:paraId="4EA76D43" w14:textId="687F9D2C"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Inert waste landfills</w:t>
            </w:r>
            <w:r w:rsidR="00FD7932" w:rsidRPr="007C4D65">
              <w:rPr>
                <w:rFonts w:asciiTheme="minorHAnsi" w:hAnsiTheme="minorHAnsi" w:cstheme="minorHAnsi"/>
                <w:sz w:val="18"/>
              </w:rPr>
              <w:t xml:space="preserve"> </w:t>
            </w:r>
            <w:r w:rsidR="00933DBD" w:rsidRPr="007C4D65">
              <w:rPr>
                <w:rFonts w:asciiTheme="minorHAnsi" w:hAnsiTheme="minorHAnsi" w:cstheme="minorHAnsi"/>
                <w:sz w:val="18"/>
              </w:rPr>
              <w:fldChar w:fldCharType="begin"/>
            </w:r>
            <w:r w:rsidR="006A21A5" w:rsidRPr="007C4D65">
              <w:rPr>
                <w:rFonts w:asciiTheme="minorHAnsi" w:hAnsiTheme="minorHAnsi" w:cstheme="minorHAnsi"/>
                <w:sz w:val="18"/>
              </w:rPr>
              <w:instrText xml:space="preserve"> ADDIN ZOTERO_ITEM CSL_CITATION {"citationID":"09DtEJ1K","properties":{"formattedCitation":"(Ionkova et al. 2018b)","plainCitation":"(Ionkova et al. 2018b)","noteIndex":0},"citationItems":[{"id":1456,"uris":["http://zotero.org/users/7192877/items/ZSHIUVAB"],"itemData":{"id":1456,"type":"document","publisher":"Svjetska banka","title":"Analiza sektora upravljanja čvrstim komunalnim otpadom: Strateški pravci i planiranje investicija do 2025.g., Dio A: Federacija BiH","URL":"https://www.upkp.com.ba/dokumenti/Izvjestaj%20Analiza%20sektora%20upravljanja%20cvrstim%20komunalnim%20otpadom%20FBIH.pdf","author":[{"family":"Ionkova","given":"Kremena"},{"family":"Simonis","given":"Gerard"},{"family":"Abedini","given":"Ali Reza"},{"family":"Silajdžić","given":"Irem"},{"family":"Bjelić","given":"Draženko"},{"family":"Palandžić","given":"Igor"},{"family":"Arnautović","given":"Lejla"},{"family":"Šačić","given":"Senad"}],"issued":{"literal":"2018b"}}}],"schema":"https://github.com/citation-style-language/schema/raw/master/csl-citation.json"} </w:instrText>
            </w:r>
            <w:r w:rsidR="00933DBD" w:rsidRPr="007C4D65">
              <w:rPr>
                <w:rFonts w:asciiTheme="minorHAnsi" w:hAnsiTheme="minorHAnsi" w:cstheme="minorHAnsi"/>
                <w:sz w:val="18"/>
              </w:rPr>
              <w:fldChar w:fldCharType="separate"/>
            </w:r>
            <w:r w:rsidR="00933DBD" w:rsidRPr="007C4D65">
              <w:rPr>
                <w:rFonts w:asciiTheme="minorHAnsi" w:hAnsiTheme="minorHAnsi" w:cstheme="minorHAnsi"/>
                <w:sz w:val="18"/>
              </w:rPr>
              <w:t>(Ionkova et al. 2018b)</w:t>
            </w:r>
            <w:r w:rsidR="00933DBD" w:rsidRPr="007C4D65">
              <w:rPr>
                <w:rFonts w:asciiTheme="minorHAnsi" w:hAnsiTheme="minorHAnsi" w:cstheme="minorHAnsi"/>
                <w:sz w:val="18"/>
              </w:rPr>
              <w:fldChar w:fldCharType="end"/>
            </w:r>
          </w:p>
        </w:tc>
        <w:tc>
          <w:tcPr>
            <w:tcW w:w="737" w:type="pct"/>
            <w:vAlign w:val="center"/>
          </w:tcPr>
          <w:p w14:paraId="08179349"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Number:</w:t>
            </w:r>
          </w:p>
        </w:tc>
        <w:tc>
          <w:tcPr>
            <w:tcW w:w="1168" w:type="pct"/>
            <w:vAlign w:val="center"/>
          </w:tcPr>
          <w:p w14:paraId="0B7A193C"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1</w:t>
            </w:r>
          </w:p>
        </w:tc>
      </w:tr>
      <w:tr w:rsidR="00056348" w:rsidRPr="007C4D65" w14:paraId="11A8CF0C" w14:textId="77777777" w:rsidTr="00DB2C3B">
        <w:trPr>
          <w:trHeight w:val="391"/>
        </w:trPr>
        <w:tc>
          <w:tcPr>
            <w:tcW w:w="3095" w:type="pct"/>
            <w:vAlign w:val="center"/>
          </w:tcPr>
          <w:p w14:paraId="7A490950" w14:textId="33A963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lastRenderedPageBreak/>
              <w:t>Illegal landfills</w:t>
            </w:r>
            <w:r w:rsidR="00E87DA4" w:rsidRPr="007C4D65">
              <w:rPr>
                <w:rFonts w:asciiTheme="minorHAnsi" w:hAnsiTheme="minorHAnsi" w:cstheme="minorHAnsi"/>
                <w:sz w:val="18"/>
              </w:rPr>
              <w:t xml:space="preserve"> </w:t>
            </w:r>
            <w:r w:rsidR="00933DBD" w:rsidRPr="007C4D65">
              <w:rPr>
                <w:rFonts w:asciiTheme="minorHAnsi" w:hAnsiTheme="minorHAnsi" w:cstheme="minorHAnsi"/>
                <w:sz w:val="18"/>
              </w:rPr>
              <w:fldChar w:fldCharType="begin"/>
            </w:r>
            <w:r w:rsidR="00CE1A95" w:rsidRPr="007C4D65">
              <w:rPr>
                <w:rFonts w:asciiTheme="minorHAnsi" w:hAnsiTheme="minorHAnsi" w:cstheme="minorHAnsi"/>
                <w:sz w:val="18"/>
              </w:rPr>
              <w:instrText xml:space="preserve"> ADDIN ZOTERO_ITEM CSL_CITATION {"citationID":"kgCG9j28","properties":{"formattedCitation":"(Federalno ministarstvo okoli\\uc0\\u353{}a i turizma 2008)","plainCitation":"(Federalno ministarstvo okoliša i turizma 2008)","noteIndex":0},"citationItems":[{"id":1459,"uris":["http://zotero.org/users/7192877/items/XS5N23AQ"],"itemData":{"id":1459,"type":"report","title":"Strategija zaštite okoliša Federacije BiH","URL":"https://fzofbih.org.ba/wp-content/uploads/2019/10/Strategija-zastite-okolisa-FBiH-2.pdf","author":[{"literal":"Federalno ministarstvo okoliša i turizma"}],"issued":{"date-parts":[["2008"]]}}}],"schema":"https://github.com/citation-style-language/schema/raw/master/csl-citation.json"} </w:instrText>
            </w:r>
            <w:r w:rsidR="00933DBD" w:rsidRPr="007C4D65">
              <w:rPr>
                <w:rFonts w:asciiTheme="minorHAnsi" w:hAnsiTheme="minorHAnsi" w:cstheme="minorHAnsi"/>
                <w:sz w:val="18"/>
              </w:rPr>
              <w:fldChar w:fldCharType="separate"/>
            </w:r>
            <w:r w:rsidR="00CE1A95" w:rsidRPr="007C4D65">
              <w:rPr>
                <w:rFonts w:asciiTheme="minorHAnsi" w:hAnsiTheme="minorHAnsi" w:cstheme="minorHAnsi"/>
                <w:sz w:val="18"/>
              </w:rPr>
              <w:t>(</w:t>
            </w:r>
            <w:r w:rsidR="001E6E20" w:rsidRPr="007C4D65">
              <w:rPr>
                <w:rFonts w:asciiTheme="minorHAnsi" w:hAnsiTheme="minorHAnsi" w:cstheme="minorHAnsi"/>
                <w:sz w:val="18"/>
              </w:rPr>
              <w:t>Federation Ministry</w:t>
            </w:r>
            <w:r w:rsidR="00E87DA4" w:rsidRPr="007C4D65">
              <w:rPr>
                <w:rFonts w:asciiTheme="minorHAnsi" w:hAnsiTheme="minorHAnsi" w:cstheme="minorHAnsi"/>
                <w:sz w:val="18"/>
              </w:rPr>
              <w:t xml:space="preserve"> of Environment and Tourism</w:t>
            </w:r>
            <w:r w:rsidR="00CE1A95" w:rsidRPr="007C4D65">
              <w:rPr>
                <w:rFonts w:asciiTheme="minorHAnsi" w:hAnsiTheme="minorHAnsi" w:cstheme="minorHAnsi"/>
                <w:sz w:val="18"/>
              </w:rPr>
              <w:t xml:space="preserve"> 2008)</w:t>
            </w:r>
            <w:r w:rsidR="00933DBD" w:rsidRPr="007C4D65">
              <w:rPr>
                <w:rFonts w:asciiTheme="minorHAnsi" w:hAnsiTheme="minorHAnsi" w:cstheme="minorHAnsi"/>
                <w:sz w:val="18"/>
              </w:rPr>
              <w:fldChar w:fldCharType="end"/>
            </w:r>
          </w:p>
        </w:tc>
        <w:tc>
          <w:tcPr>
            <w:tcW w:w="737" w:type="pct"/>
            <w:vAlign w:val="center"/>
          </w:tcPr>
          <w:p w14:paraId="5EF7311B"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Number:</w:t>
            </w:r>
          </w:p>
        </w:tc>
        <w:tc>
          <w:tcPr>
            <w:tcW w:w="1168" w:type="pct"/>
            <w:vAlign w:val="center"/>
          </w:tcPr>
          <w:p w14:paraId="4C23BA24"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1800</w:t>
            </w:r>
          </w:p>
        </w:tc>
      </w:tr>
      <w:tr w:rsidR="00056348" w:rsidRPr="007C4D65" w14:paraId="6C606353" w14:textId="77777777" w:rsidTr="00DB2C3B">
        <w:trPr>
          <w:trHeight w:val="391"/>
        </w:trPr>
        <w:tc>
          <w:tcPr>
            <w:tcW w:w="3095" w:type="pct"/>
            <w:vAlign w:val="center"/>
          </w:tcPr>
          <w:p w14:paraId="141BBC47" w14:textId="27358D5A"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Quantity of waste from manufacturing activities</w:t>
            </w:r>
            <w:r w:rsidR="00E87DA4" w:rsidRPr="007C4D65">
              <w:rPr>
                <w:rFonts w:asciiTheme="minorHAnsi" w:hAnsiTheme="minorHAnsi" w:cstheme="minorHAnsi"/>
                <w:sz w:val="18"/>
              </w:rPr>
              <w:t xml:space="preserve"> </w:t>
            </w:r>
            <w:r w:rsidR="00933DBD" w:rsidRPr="007C4D65">
              <w:rPr>
                <w:rFonts w:asciiTheme="minorHAnsi" w:hAnsiTheme="minorHAnsi" w:cstheme="minorHAnsi"/>
                <w:sz w:val="18"/>
              </w:rPr>
              <w:fldChar w:fldCharType="begin"/>
            </w:r>
            <w:r w:rsidR="005677E2" w:rsidRPr="007C4D65">
              <w:rPr>
                <w:rFonts w:asciiTheme="minorHAnsi" w:hAnsiTheme="minorHAnsi" w:cstheme="minorHAnsi"/>
                <w:sz w:val="18"/>
              </w:rPr>
              <w:instrText xml:space="preserve"> ADDIN ZOTERO_ITEM CSL_CITATION {"citationID":"TkFXXWiK","properties":{"formattedCitation":"(Federalni zavod za statistiku 2019a)","plainCitation":"(Federalni zavod za statistiku 2019a)","noteIndex":0},"citationItems":[{"id":1460,"uris":["http://zotero.org/users/7192877/items/2XFFC5UA"],"itemData":{"id":1460,"type":"document","title":"Saopćenje: Otpad iz proizvodnih djelatnosti u 2018. godini, Godina VIII, broj 20.4.1.","URL":"http://fzs.ba/index.php/publikacije/saopcenjapriopcenja/statistika-okolisa/","author":[{"family":"Federalni zavod za statistiku","given":""}],"issued":{"date-parts":[["2019"]]}}}],"schema":"https://github.com/citation-style-language/schema/raw/master/csl-citation.json"} </w:instrText>
            </w:r>
            <w:r w:rsidR="00933DBD" w:rsidRPr="007C4D65">
              <w:rPr>
                <w:rFonts w:asciiTheme="minorHAnsi" w:hAnsiTheme="minorHAnsi" w:cstheme="minorHAnsi"/>
                <w:sz w:val="18"/>
              </w:rPr>
              <w:fldChar w:fldCharType="separate"/>
            </w:r>
            <w:bookmarkStart w:id="93" w:name="_Hlk116555088"/>
            <w:r w:rsidR="005677E2" w:rsidRPr="007C4D65">
              <w:rPr>
                <w:rFonts w:asciiTheme="minorHAnsi" w:hAnsiTheme="minorHAnsi" w:cstheme="minorHAnsi"/>
                <w:sz w:val="18"/>
              </w:rPr>
              <w:t>(</w:t>
            </w:r>
            <w:r w:rsidR="00E87DA4" w:rsidRPr="007C4D65">
              <w:rPr>
                <w:rFonts w:asciiTheme="minorHAnsi" w:hAnsiTheme="minorHAnsi" w:cstheme="minorHAnsi"/>
                <w:sz w:val="18"/>
              </w:rPr>
              <w:t>Institute for Statistics of the Federation of BiH</w:t>
            </w:r>
            <w:bookmarkEnd w:id="93"/>
            <w:r w:rsidR="005677E2" w:rsidRPr="007C4D65">
              <w:rPr>
                <w:rFonts w:asciiTheme="minorHAnsi" w:hAnsiTheme="minorHAnsi" w:cstheme="minorHAnsi"/>
                <w:sz w:val="18"/>
              </w:rPr>
              <w:t xml:space="preserve"> 2019a)</w:t>
            </w:r>
            <w:r w:rsidR="00933DBD" w:rsidRPr="007C4D65">
              <w:rPr>
                <w:rFonts w:asciiTheme="minorHAnsi" w:hAnsiTheme="minorHAnsi" w:cstheme="minorHAnsi"/>
                <w:sz w:val="18"/>
              </w:rPr>
              <w:fldChar w:fldCharType="end"/>
            </w:r>
          </w:p>
        </w:tc>
        <w:tc>
          <w:tcPr>
            <w:tcW w:w="737" w:type="pct"/>
            <w:vAlign w:val="center"/>
          </w:tcPr>
          <w:p w14:paraId="0712BD1F"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tonne</w:t>
            </w:r>
          </w:p>
        </w:tc>
        <w:tc>
          <w:tcPr>
            <w:tcW w:w="1168" w:type="pct"/>
            <w:vAlign w:val="center"/>
          </w:tcPr>
          <w:p w14:paraId="74EE131E" w14:textId="77777777" w:rsidR="00056348" w:rsidRPr="007C4D65" w:rsidRDefault="00056348" w:rsidP="0068355A">
            <w:pPr>
              <w:spacing w:line="276" w:lineRule="auto"/>
              <w:rPr>
                <w:rFonts w:asciiTheme="minorHAnsi" w:hAnsiTheme="minorHAnsi" w:cstheme="minorHAnsi"/>
                <w:sz w:val="18"/>
                <w:szCs w:val="18"/>
              </w:rPr>
            </w:pPr>
            <w:r w:rsidRPr="007C4D65">
              <w:rPr>
                <w:rFonts w:asciiTheme="minorHAnsi" w:hAnsiTheme="minorHAnsi" w:cstheme="minorHAnsi"/>
                <w:sz w:val="18"/>
              </w:rPr>
              <w:t>9652414</w:t>
            </w:r>
          </w:p>
        </w:tc>
      </w:tr>
    </w:tbl>
    <w:p w14:paraId="48CF6A0D" w14:textId="75CBBFBB" w:rsidR="00A374F8" w:rsidRPr="007C4D65" w:rsidRDefault="00A374F8" w:rsidP="0068355A">
      <w:pPr>
        <w:spacing w:before="16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predominant waste is the organic fracture in the range of 25% (cantons average) to 50% (municipal average). </w:t>
      </w:r>
      <w:r w:rsidR="00295F73" w:rsidRPr="007C4D65">
        <w:rPr>
          <w:rFonts w:asciiTheme="minorHAnsi" w:hAnsiTheme="minorHAnsi" w:cstheme="minorHAnsi"/>
          <w:sz w:val="22"/>
          <w:szCs w:val="22"/>
        </w:rPr>
        <w:fldChar w:fldCharType="begin"/>
      </w:r>
      <w:r w:rsidR="006A21A5" w:rsidRPr="007C4D65">
        <w:rPr>
          <w:rFonts w:asciiTheme="minorHAnsi" w:hAnsiTheme="minorHAnsi" w:cstheme="minorHAnsi"/>
          <w:sz w:val="22"/>
          <w:szCs w:val="22"/>
        </w:rPr>
        <w:instrText xml:space="preserve"> ADDIN ZOTERO_ITEM CSL_CITATION {"citationID":"nfvVBX6u","properties":{"formattedCitation":"(Ionkova et al. 2018b)","plainCitation":"(Ionkova et al. 2018b)","noteIndex":0},"citationItems":[{"id":1456,"uris":["http://zotero.org/users/7192877/items/ZSHIUVAB"],"itemData":{"id":1456,"type":"document","publisher":"Svjetska banka","title":"Analiza sektora upravljanja čvrstim komunalnim otpadom: Strateški pravci i planiranje investicija do 2025.g., Dio A: Federacija BiH","URL":"https://www.upkp.com.ba/dokumenti/Izvjestaj%20Analiza%20sektora%20upravljanja%20cvrstim%20komunalnim%20otpadom%20FBIH.pdf","author":[{"family":"Ionkova","given":"Kremena"},{"family":"Simonis","given":"Gerard"},{"family":"Abedini","given":"Ali Reza"},{"family":"Silajdžić","given":"Irem"},{"family":"Bjelić","given":"Draženko"},{"family":"Palandžić","given":"Igor"},{"family":"Arnautović","given":"Lejla"},{"family":"Šačić","given":"Senad"}],"issued":{"literal":"2018b"}}}],"schema":"https://github.com/citation-style-language/schema/raw/master/csl-citation.json"} </w:instrText>
      </w:r>
      <w:r w:rsidR="00295F73" w:rsidRPr="007C4D65">
        <w:rPr>
          <w:rFonts w:asciiTheme="minorHAnsi" w:hAnsiTheme="minorHAnsi" w:cstheme="minorHAnsi"/>
          <w:sz w:val="22"/>
          <w:szCs w:val="22"/>
        </w:rPr>
        <w:fldChar w:fldCharType="separate"/>
      </w:r>
      <w:r w:rsidR="00295F73" w:rsidRPr="007C4D65">
        <w:rPr>
          <w:rFonts w:asciiTheme="minorHAnsi" w:hAnsiTheme="minorHAnsi" w:cstheme="minorHAnsi"/>
          <w:sz w:val="22"/>
          <w:szCs w:val="22"/>
        </w:rPr>
        <w:t xml:space="preserve">(Ionkova </w:t>
      </w:r>
      <w:r w:rsidR="00295F73" w:rsidRPr="007C4D65">
        <w:rPr>
          <w:rFonts w:asciiTheme="minorHAnsi" w:hAnsiTheme="minorHAnsi" w:cstheme="minorHAnsi"/>
          <w:i/>
          <w:sz w:val="22"/>
          <w:szCs w:val="22"/>
        </w:rPr>
        <w:t>et al.</w:t>
      </w:r>
      <w:r w:rsidR="00132CFF" w:rsidRPr="007C4D65">
        <w:rPr>
          <w:rFonts w:asciiTheme="minorHAnsi" w:hAnsiTheme="minorHAnsi" w:cstheme="minorHAnsi"/>
          <w:sz w:val="22"/>
          <w:szCs w:val="22"/>
        </w:rPr>
        <w:t>,</w:t>
      </w:r>
      <w:r w:rsidR="00295F73" w:rsidRPr="007C4D65">
        <w:rPr>
          <w:rFonts w:asciiTheme="minorHAnsi" w:hAnsiTheme="minorHAnsi" w:cstheme="minorHAnsi"/>
          <w:sz w:val="22"/>
          <w:szCs w:val="22"/>
        </w:rPr>
        <w:t xml:space="preserve"> 2018b)</w:t>
      </w:r>
      <w:r w:rsidR="00295F73"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Dry recyclables (plastic, glass, paper, metal, cans, PET) account for 24‒ 38% of the total waste. Municipal utility companies are in charge of overall activities of municipal waste management in BiH, with </w:t>
      </w:r>
      <w:proofErr w:type="gramStart"/>
      <w:r w:rsidRPr="007C4D65">
        <w:rPr>
          <w:rFonts w:asciiTheme="minorHAnsi" w:hAnsiTheme="minorHAnsi" w:cstheme="minorHAnsi"/>
          <w:sz w:val="22"/>
          <w:szCs w:val="22"/>
        </w:rPr>
        <w:t>an</w:t>
      </w:r>
      <w:proofErr w:type="gramEnd"/>
      <w:r w:rsidRPr="007C4D65">
        <w:rPr>
          <w:rFonts w:asciiTheme="minorHAnsi" w:hAnsiTheme="minorHAnsi" w:cstheme="minorHAnsi"/>
          <w:sz w:val="22"/>
          <w:szCs w:val="22"/>
        </w:rPr>
        <w:t xml:space="preserve"> exception of the utility company in the Sarajevo Canton. The companies have poor equipment, with mainly outdated equipment and mostly suffer financial instability. Waste collection relies mainly on 1,100 </w:t>
      </w:r>
      <w:r w:rsidR="00E87DA4" w:rsidRPr="007C4D65">
        <w:rPr>
          <w:rFonts w:asciiTheme="minorHAnsi" w:hAnsiTheme="minorHAnsi" w:cstheme="minorHAnsi"/>
          <w:sz w:val="22"/>
          <w:szCs w:val="22"/>
        </w:rPr>
        <w:t>litre</w:t>
      </w:r>
      <w:r w:rsidRPr="007C4D65">
        <w:rPr>
          <w:rFonts w:asciiTheme="minorHAnsi" w:hAnsiTheme="minorHAnsi" w:cstheme="minorHAnsi"/>
          <w:sz w:val="22"/>
          <w:szCs w:val="22"/>
        </w:rPr>
        <w:t xml:space="preserve"> volume containers. Some </w:t>
      </w:r>
      <w:r w:rsidR="00E87DA4" w:rsidRPr="007C4D65">
        <w:rPr>
          <w:rFonts w:asciiTheme="minorHAnsi" w:hAnsiTheme="minorHAnsi" w:cstheme="minorHAnsi"/>
          <w:sz w:val="22"/>
          <w:szCs w:val="22"/>
        </w:rPr>
        <w:t>municipalities</w:t>
      </w:r>
      <w:r w:rsidRPr="007C4D65">
        <w:rPr>
          <w:rFonts w:asciiTheme="minorHAnsi" w:hAnsiTheme="minorHAnsi" w:cstheme="minorHAnsi"/>
          <w:sz w:val="22"/>
          <w:szCs w:val="22"/>
        </w:rPr>
        <w:t xml:space="preserve"> use 120/240 </w:t>
      </w:r>
      <w:r w:rsidR="00E87DA4" w:rsidRPr="007C4D65">
        <w:rPr>
          <w:rFonts w:asciiTheme="minorHAnsi" w:hAnsiTheme="minorHAnsi" w:cstheme="minorHAnsi"/>
          <w:sz w:val="22"/>
          <w:szCs w:val="22"/>
        </w:rPr>
        <w:t>litre</w:t>
      </w:r>
      <w:r w:rsidRPr="007C4D65">
        <w:rPr>
          <w:rFonts w:asciiTheme="minorHAnsi" w:hAnsiTheme="minorHAnsi" w:cstheme="minorHAnsi"/>
          <w:sz w:val="22"/>
          <w:szCs w:val="22"/>
        </w:rPr>
        <w:t xml:space="preserve"> bins for waste collection applying ‘door to door’ method for individual houses, and industrial 5-8m³ containers mainly for collection of non-hazardous industrial waste. The companies generate income mainly from the fee they charge from households and commercial sector for waste collection, transport and disposal. The fees are subject to VAT. The average annual weighted rate for households amounts to BAM 102/household/year or 113 BAM/</w:t>
      </w:r>
      <w:r w:rsidR="00007DA5" w:rsidRPr="007C4D65">
        <w:rPr>
          <w:rFonts w:asciiTheme="minorHAnsi" w:hAnsiTheme="minorHAnsi" w:cstheme="minorHAnsi"/>
          <w:sz w:val="22"/>
          <w:szCs w:val="22"/>
        </w:rPr>
        <w:t>tons</w:t>
      </w:r>
      <w:r w:rsidRPr="007C4D65">
        <w:rPr>
          <w:rFonts w:asciiTheme="minorHAnsi" w:hAnsiTheme="minorHAnsi" w:cstheme="minorHAnsi"/>
          <w:sz w:val="22"/>
          <w:szCs w:val="22"/>
        </w:rPr>
        <w:t xml:space="preserve"> (including VAT) with assumed size of household of 3.09 members (based on the 2013 Census) and the waste generating rate pf 0.8 kg/individual/day or 0.9 t/household/year. </w:t>
      </w:r>
      <w:r w:rsidR="00295F73" w:rsidRPr="007C4D65">
        <w:rPr>
          <w:rFonts w:asciiTheme="minorHAnsi" w:hAnsiTheme="minorHAnsi" w:cstheme="minorHAnsi"/>
          <w:sz w:val="22"/>
          <w:szCs w:val="22"/>
        </w:rPr>
        <w:fldChar w:fldCharType="begin"/>
      </w:r>
      <w:r w:rsidR="006A21A5" w:rsidRPr="007C4D65">
        <w:rPr>
          <w:rFonts w:asciiTheme="minorHAnsi" w:hAnsiTheme="minorHAnsi" w:cstheme="minorHAnsi"/>
          <w:sz w:val="22"/>
          <w:szCs w:val="22"/>
        </w:rPr>
        <w:instrText xml:space="preserve"> ADDIN ZOTERO_ITEM CSL_CITATION {"citationID":"q75UGxF7","properties":{"formattedCitation":"(Ionkova et al. 2018b)","plainCitation":"(Ionkova et al. 2018b)","noteIndex":0},"citationItems":[{"id":1456,"uris":["http://zotero.org/users/7192877/items/ZSHIUVAB"],"itemData":{"id":1456,"type":"document","publisher":"Svjetska banka","title":"Analiza sektora upravljanja čvrstim komunalnim otpadom: Strateški pravci i planiranje investicija do 2025.g., Dio A: Federacija BiH","URL":"https://www.upkp.com.ba/dokumenti/Izvjestaj%20Analiza%20sektora%20upravljanja%20cvrstim%20komunalnim%20otpadom%20FBIH.pdf","author":[{"family":"Ionkova","given":"Kremena"},{"family":"Simonis","given":"Gerard"},{"family":"Abedini","given":"Ali Reza"},{"family":"Silajdžić","given":"Irem"},{"family":"Bjelić","given":"Draženko"},{"family":"Palandžić","given":"Igor"},{"family":"Arnautović","given":"Lejla"},{"family":"Šačić","given":"Senad"}],"issued":{"literal":"2018b"}}}],"schema":"https://github.com/citation-style-language/schema/raw/master/csl-citation.json"} </w:instrText>
      </w:r>
      <w:r w:rsidR="00295F73" w:rsidRPr="007C4D65">
        <w:rPr>
          <w:rFonts w:asciiTheme="minorHAnsi" w:hAnsiTheme="minorHAnsi" w:cstheme="minorHAnsi"/>
          <w:sz w:val="22"/>
          <w:szCs w:val="22"/>
        </w:rPr>
        <w:fldChar w:fldCharType="separate"/>
      </w:r>
      <w:r w:rsidR="00295F73" w:rsidRPr="007C4D65">
        <w:rPr>
          <w:rFonts w:asciiTheme="minorHAnsi" w:hAnsiTheme="minorHAnsi" w:cstheme="minorHAnsi"/>
          <w:sz w:val="22"/>
          <w:szCs w:val="22"/>
        </w:rPr>
        <w:t>(Ionkova et al.</w:t>
      </w:r>
      <w:r w:rsidR="00132CFF" w:rsidRPr="007C4D65">
        <w:rPr>
          <w:rFonts w:asciiTheme="minorHAnsi" w:hAnsiTheme="minorHAnsi" w:cstheme="minorHAnsi"/>
          <w:sz w:val="22"/>
          <w:szCs w:val="22"/>
        </w:rPr>
        <w:t>,</w:t>
      </w:r>
      <w:r w:rsidR="00295F73" w:rsidRPr="007C4D65">
        <w:rPr>
          <w:rFonts w:asciiTheme="minorHAnsi" w:hAnsiTheme="minorHAnsi" w:cstheme="minorHAnsi"/>
          <w:sz w:val="22"/>
          <w:szCs w:val="22"/>
        </w:rPr>
        <w:t xml:space="preserve"> 2018b)</w:t>
      </w:r>
      <w:r w:rsidR="00295F73"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Six utility companies have sorting facilities (Mostar, Konjic, Sarajevo, Tuzla, </w:t>
      </w:r>
      <w:proofErr w:type="spellStart"/>
      <w:r w:rsidRPr="007C4D65">
        <w:rPr>
          <w:rFonts w:asciiTheme="minorHAnsi" w:hAnsiTheme="minorHAnsi" w:cstheme="minorHAnsi"/>
          <w:sz w:val="22"/>
          <w:szCs w:val="22"/>
        </w:rPr>
        <w:t>Capljina</w:t>
      </w:r>
      <w:proofErr w:type="spellEnd"/>
      <w:r w:rsidRPr="007C4D65">
        <w:rPr>
          <w:rFonts w:asciiTheme="minorHAnsi" w:hAnsiTheme="minorHAnsi" w:cstheme="minorHAnsi"/>
          <w:sz w:val="22"/>
          <w:szCs w:val="22"/>
        </w:rPr>
        <w:t>, and Bihac) most of which are not operational due to the lack of financial sustainability. Other options for (preliminary) treatment of municipal waste are not available. Two cement plants in Bosnia and Herzegovina use RDF/SRF as alternative fuel, while two thermal plants owned by the Public Enterprises “</w:t>
      </w:r>
      <w:proofErr w:type="spellStart"/>
      <w:r w:rsidRPr="007C4D65">
        <w:rPr>
          <w:rFonts w:asciiTheme="minorHAnsi" w:hAnsiTheme="minorHAnsi" w:cstheme="minorHAnsi"/>
          <w:sz w:val="22"/>
          <w:szCs w:val="22"/>
        </w:rPr>
        <w:t>Elektroprivreda</w:t>
      </w:r>
      <w:proofErr w:type="spellEnd"/>
      <w:r w:rsidRPr="007C4D65">
        <w:rPr>
          <w:rFonts w:asciiTheme="minorHAnsi" w:hAnsiTheme="minorHAnsi" w:cstheme="minorHAnsi"/>
          <w:sz w:val="22"/>
          <w:szCs w:val="22"/>
        </w:rPr>
        <w:t xml:space="preserve"> BiH” expressed their </w:t>
      </w:r>
      <w:proofErr w:type="gramStart"/>
      <w:r w:rsidRPr="007C4D65">
        <w:rPr>
          <w:rFonts w:asciiTheme="minorHAnsi" w:hAnsiTheme="minorHAnsi" w:cstheme="minorHAnsi"/>
          <w:sz w:val="22"/>
          <w:szCs w:val="22"/>
        </w:rPr>
        <w:t>interest for</w:t>
      </w:r>
      <w:proofErr w:type="gramEnd"/>
      <w:r w:rsidRPr="007C4D65">
        <w:rPr>
          <w:rFonts w:asciiTheme="minorHAnsi" w:hAnsiTheme="minorHAnsi" w:cstheme="minorHAnsi"/>
          <w:sz w:val="22"/>
          <w:szCs w:val="22"/>
        </w:rPr>
        <w:t xml:space="preserve"> co</w:t>
      </w:r>
      <w:r w:rsidR="00FD7932" w:rsidRPr="007C4D65">
        <w:rPr>
          <w:rFonts w:asciiTheme="minorHAnsi" w:hAnsiTheme="minorHAnsi" w:cstheme="minorHAnsi"/>
          <w:sz w:val="22"/>
          <w:szCs w:val="22"/>
        </w:rPr>
        <w:t>-</w:t>
      </w:r>
      <w:r w:rsidRPr="007C4D65">
        <w:rPr>
          <w:rFonts w:asciiTheme="minorHAnsi" w:hAnsiTheme="minorHAnsi" w:cstheme="minorHAnsi"/>
          <w:sz w:val="22"/>
          <w:szCs w:val="22"/>
        </w:rPr>
        <w:t>incineration of waste. The first factory for production and treatment of PET packaging and solid plastic “Bosna-</w:t>
      </w:r>
      <w:proofErr w:type="gramStart"/>
      <w:r w:rsidRPr="007C4D65">
        <w:rPr>
          <w:rFonts w:asciiTheme="minorHAnsi" w:hAnsiTheme="minorHAnsi" w:cstheme="minorHAnsi"/>
          <w:sz w:val="22"/>
          <w:szCs w:val="22"/>
        </w:rPr>
        <w:t>Plastic“</w:t>
      </w:r>
      <w:proofErr w:type="gramEnd"/>
      <w:r w:rsidRPr="007C4D65">
        <w:rPr>
          <w:rFonts w:asciiTheme="minorHAnsi" w:hAnsiTheme="minorHAnsi" w:cstheme="minorHAnsi"/>
          <w:sz w:val="22"/>
          <w:szCs w:val="22"/>
        </w:rPr>
        <w:t xml:space="preserve">, Gorazde which purchases PET packaging from both legal and </w:t>
      </w:r>
      <w:r w:rsidR="00E87DA4" w:rsidRPr="007C4D65">
        <w:rPr>
          <w:rFonts w:asciiTheme="minorHAnsi" w:hAnsiTheme="minorHAnsi" w:cstheme="minorHAnsi"/>
          <w:sz w:val="22"/>
          <w:szCs w:val="22"/>
        </w:rPr>
        <w:t>physical</w:t>
      </w:r>
      <w:r w:rsidRPr="007C4D65">
        <w:rPr>
          <w:rFonts w:asciiTheme="minorHAnsi" w:hAnsiTheme="minorHAnsi" w:cstheme="minorHAnsi"/>
          <w:sz w:val="22"/>
          <w:szCs w:val="22"/>
        </w:rPr>
        <w:t xml:space="preserve"> persons, has been in operation since 2020.</w:t>
      </w:r>
    </w:p>
    <w:p w14:paraId="58245B26" w14:textId="4F707E22" w:rsidR="00A374F8" w:rsidRPr="007C4D65" w:rsidRDefault="00A374F8"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Landfilling is the main method of disposal of municipal waste and other types of waste. According to the Institute for Statistics of the Federation of BiH, there are 45 landfills in the Federation of BiH.</w:t>
      </w:r>
      <w:r w:rsidR="005333F5" w:rsidRPr="007C4D65">
        <w:rPr>
          <w:rFonts w:asciiTheme="minorHAnsi" w:hAnsiTheme="minorHAnsi" w:cstheme="minorHAnsi"/>
          <w:sz w:val="22"/>
          <w:szCs w:val="22"/>
          <w:vertAlign w:val="superscript"/>
        </w:rPr>
        <w:t xml:space="preserve"> </w:t>
      </w:r>
      <w:r w:rsidR="00295F73" w:rsidRPr="007C4D65">
        <w:rPr>
          <w:rFonts w:asciiTheme="minorHAnsi" w:hAnsiTheme="minorHAnsi" w:cstheme="minorHAnsi"/>
          <w:sz w:val="22"/>
          <w:szCs w:val="22"/>
          <w:vertAlign w:val="superscript"/>
        </w:rPr>
        <w:fldChar w:fldCharType="begin"/>
      </w:r>
      <w:r w:rsidR="006A21A5" w:rsidRPr="007C4D65">
        <w:rPr>
          <w:rFonts w:asciiTheme="minorHAnsi" w:hAnsiTheme="minorHAnsi" w:cstheme="minorHAnsi"/>
          <w:sz w:val="22"/>
          <w:szCs w:val="22"/>
          <w:vertAlign w:val="superscript"/>
        </w:rPr>
        <w:instrText xml:space="preserve"> ADDIN ZOTERO_ITEM CSL_CITATION {"citationID":"AMlvyYHD","properties":{"formattedCitation":"(Federalni zavod za statistiku 2021b)","plainCitation":"(Federalni zavod za statistiku 2021b)","noteIndex":0},"citationItems":[{"id":1461,"uris":["http://zotero.org/users/7192877/items/Y52MWNVE"],"itemData":{"id":1461,"type":"document","title":"Saopćenje: Prikupljeni/sakupljeni i odloženi komunalni otpad u 2020. (prethodni podaci), Godina XI, broj 20.5.1","URL":"http://fzs.ba/index.php/publikacije/saopcenjapriopcenja/statistika-okolisa/","author":[{"family":"Federalni zavod za statistiku","given":""}],"issued":{"date-parts":[["2021"]]}}}],"schema":"https://github.com/citation-style-language/schema/raw/master/csl-citation.json"} </w:instrText>
      </w:r>
      <w:r w:rsidR="00295F73" w:rsidRPr="007C4D65">
        <w:rPr>
          <w:rFonts w:asciiTheme="minorHAnsi" w:hAnsiTheme="minorHAnsi" w:cstheme="minorHAnsi"/>
          <w:sz w:val="22"/>
          <w:szCs w:val="22"/>
          <w:vertAlign w:val="superscript"/>
        </w:rPr>
        <w:fldChar w:fldCharType="separate"/>
      </w:r>
      <w:r w:rsidR="00295F73" w:rsidRPr="007C4D65">
        <w:rPr>
          <w:rFonts w:asciiTheme="minorHAnsi" w:hAnsiTheme="minorHAnsi" w:cstheme="minorHAnsi"/>
          <w:sz w:val="22"/>
          <w:szCs w:val="22"/>
        </w:rPr>
        <w:t>(</w:t>
      </w:r>
      <w:r w:rsidR="00E87DA4" w:rsidRPr="007C4D65">
        <w:rPr>
          <w:rFonts w:asciiTheme="minorHAnsi" w:hAnsiTheme="minorHAnsi" w:cstheme="minorHAnsi"/>
          <w:sz w:val="22"/>
          <w:szCs w:val="22"/>
        </w:rPr>
        <w:t>Institute for Statistics of the Federation of BiH</w:t>
      </w:r>
      <w:r w:rsidR="00132CFF" w:rsidRPr="007C4D65">
        <w:rPr>
          <w:rFonts w:asciiTheme="minorHAnsi" w:hAnsiTheme="minorHAnsi" w:cstheme="minorHAnsi"/>
          <w:sz w:val="22"/>
          <w:szCs w:val="22"/>
        </w:rPr>
        <w:t>,</w:t>
      </w:r>
      <w:r w:rsidR="00295F73" w:rsidRPr="007C4D65">
        <w:rPr>
          <w:rFonts w:asciiTheme="minorHAnsi" w:hAnsiTheme="minorHAnsi" w:cstheme="minorHAnsi"/>
          <w:sz w:val="22"/>
          <w:szCs w:val="22"/>
        </w:rPr>
        <w:t xml:space="preserve"> 2021b)</w:t>
      </w:r>
      <w:r w:rsidR="00295F73" w:rsidRPr="007C4D65">
        <w:rPr>
          <w:rFonts w:asciiTheme="minorHAnsi" w:hAnsiTheme="minorHAnsi" w:cstheme="minorHAnsi"/>
          <w:sz w:val="22"/>
          <w:szCs w:val="22"/>
          <w:vertAlign w:val="superscript"/>
        </w:rPr>
        <w:fldChar w:fldCharType="end"/>
      </w:r>
      <w:r w:rsidRPr="007C4D65">
        <w:rPr>
          <w:rFonts w:asciiTheme="minorHAnsi" w:hAnsiTheme="minorHAnsi" w:cstheme="minorHAnsi"/>
          <w:sz w:val="22"/>
          <w:szCs w:val="22"/>
        </w:rPr>
        <w:t xml:space="preserve">.  Four regional landfills are currently developed and operational in the Federation of BiH in Sarajevo, </w:t>
      </w:r>
      <w:proofErr w:type="spellStart"/>
      <w:r w:rsidRPr="007C4D65">
        <w:rPr>
          <w:rFonts w:asciiTheme="minorHAnsi" w:hAnsiTheme="minorHAnsi" w:cstheme="minorHAnsi"/>
          <w:sz w:val="22"/>
          <w:szCs w:val="22"/>
        </w:rPr>
        <w:t>Livno</w:t>
      </w:r>
      <w:proofErr w:type="spellEnd"/>
      <w:r w:rsidRPr="007C4D65">
        <w:rPr>
          <w:rFonts w:asciiTheme="minorHAnsi" w:hAnsiTheme="minorHAnsi" w:cstheme="minorHAnsi"/>
          <w:sz w:val="22"/>
          <w:szCs w:val="22"/>
        </w:rPr>
        <w:t xml:space="preserve">, Mostar, and </w:t>
      </w:r>
      <w:proofErr w:type="spellStart"/>
      <w:r w:rsidRPr="007C4D65">
        <w:rPr>
          <w:rFonts w:asciiTheme="minorHAnsi" w:hAnsiTheme="minorHAnsi" w:cstheme="minorHAnsi"/>
          <w:sz w:val="22"/>
          <w:szCs w:val="22"/>
        </w:rPr>
        <w:t>Zenica</w:t>
      </w:r>
      <w:proofErr w:type="spellEnd"/>
      <w:r w:rsidRPr="007C4D65">
        <w:rPr>
          <w:rFonts w:asciiTheme="minorHAnsi" w:hAnsiTheme="minorHAnsi" w:cstheme="minorHAnsi"/>
          <w:sz w:val="22"/>
          <w:szCs w:val="22"/>
        </w:rPr>
        <w:t>. The</w:t>
      </w:r>
      <w:r w:rsidR="00FD7932" w:rsidRPr="007C4D65">
        <w:rPr>
          <w:rFonts w:asciiTheme="minorHAnsi" w:hAnsiTheme="minorHAnsi" w:cstheme="minorHAnsi"/>
          <w:sz w:val="22"/>
          <w:szCs w:val="22"/>
        </w:rPr>
        <w:t>y</w:t>
      </w:r>
      <w:r w:rsidRPr="007C4D65">
        <w:rPr>
          <w:rFonts w:asciiTheme="minorHAnsi" w:hAnsiTheme="minorHAnsi" w:cstheme="minorHAnsi"/>
          <w:sz w:val="22"/>
          <w:szCs w:val="22"/>
        </w:rPr>
        <w:t xml:space="preserve"> receive waste from 24 </w:t>
      </w:r>
      <w:r w:rsidR="00FD7932" w:rsidRPr="007C4D65">
        <w:rPr>
          <w:rFonts w:asciiTheme="minorHAnsi" w:hAnsiTheme="minorHAnsi" w:cstheme="minorHAnsi"/>
          <w:sz w:val="22"/>
          <w:szCs w:val="22"/>
        </w:rPr>
        <w:t>municipalities</w:t>
      </w:r>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Livno</w:t>
      </w:r>
      <w:proofErr w:type="spellEnd"/>
      <w:r w:rsidRPr="007C4D65">
        <w:rPr>
          <w:rFonts w:asciiTheme="minorHAnsi" w:hAnsiTheme="minorHAnsi" w:cstheme="minorHAnsi"/>
          <w:sz w:val="22"/>
          <w:szCs w:val="22"/>
        </w:rPr>
        <w:t xml:space="preserve"> from 3, Mostar from 4, Sarajevo from 9, and </w:t>
      </w:r>
      <w:proofErr w:type="spellStart"/>
      <w:r w:rsidRPr="007C4D65">
        <w:rPr>
          <w:rFonts w:asciiTheme="minorHAnsi" w:hAnsiTheme="minorHAnsi" w:cstheme="minorHAnsi"/>
          <w:sz w:val="22"/>
          <w:szCs w:val="22"/>
        </w:rPr>
        <w:t>Zenica</w:t>
      </w:r>
      <w:proofErr w:type="spellEnd"/>
      <w:r w:rsidRPr="007C4D65">
        <w:rPr>
          <w:rFonts w:asciiTheme="minorHAnsi" w:hAnsiTheme="minorHAnsi" w:cstheme="minorHAnsi"/>
          <w:sz w:val="22"/>
          <w:szCs w:val="22"/>
        </w:rPr>
        <w:t xml:space="preserve"> from 8 municipalities, including the total waste collected from 2 and a portion thereof from 6 </w:t>
      </w:r>
      <w:r w:rsidR="00E87DA4" w:rsidRPr="007C4D65">
        <w:rPr>
          <w:rFonts w:asciiTheme="minorHAnsi" w:hAnsiTheme="minorHAnsi" w:cstheme="minorHAnsi"/>
          <w:sz w:val="22"/>
          <w:szCs w:val="22"/>
        </w:rPr>
        <w:t>municipalities</w:t>
      </w:r>
      <w:r w:rsidRPr="007C4D65">
        <w:rPr>
          <w:rFonts w:asciiTheme="minorHAnsi" w:hAnsiTheme="minorHAnsi" w:cstheme="minorHAnsi"/>
          <w:sz w:val="22"/>
          <w:szCs w:val="22"/>
        </w:rPr>
        <w:t xml:space="preserve">). In addition, other 9 municipalities currently transport their waste to regional landfills in </w:t>
      </w:r>
      <w:proofErr w:type="spellStart"/>
      <w:r w:rsidRPr="007C4D65">
        <w:rPr>
          <w:rFonts w:asciiTheme="minorHAnsi" w:hAnsiTheme="minorHAnsi" w:cstheme="minorHAnsi"/>
          <w:sz w:val="22"/>
          <w:szCs w:val="22"/>
        </w:rPr>
        <w:t>Republika</w:t>
      </w:r>
      <w:proofErr w:type="spellEnd"/>
      <w:r w:rsidRPr="007C4D65">
        <w:rPr>
          <w:rFonts w:asciiTheme="minorHAnsi" w:hAnsiTheme="minorHAnsi" w:cstheme="minorHAnsi"/>
          <w:sz w:val="22"/>
          <w:szCs w:val="22"/>
        </w:rPr>
        <w:t xml:space="preserve"> Srpska ((</w:t>
      </w:r>
      <w:proofErr w:type="spellStart"/>
      <w:r w:rsidR="00FD7932" w:rsidRPr="007C4D65">
        <w:rPr>
          <w:rFonts w:asciiTheme="minorHAnsi" w:hAnsiTheme="minorHAnsi" w:cstheme="minorHAnsi"/>
          <w:sz w:val="22"/>
          <w:szCs w:val="22"/>
        </w:rPr>
        <w:t>Zivinice</w:t>
      </w:r>
      <w:proofErr w:type="spellEnd"/>
      <w:r w:rsidRPr="007C4D65">
        <w:rPr>
          <w:rFonts w:asciiTheme="minorHAnsi" w:hAnsiTheme="minorHAnsi" w:cstheme="minorHAnsi"/>
          <w:sz w:val="22"/>
          <w:szCs w:val="22"/>
        </w:rPr>
        <w:t xml:space="preserve"> to Doboj and </w:t>
      </w:r>
      <w:proofErr w:type="spellStart"/>
      <w:r w:rsidRPr="007C4D65">
        <w:rPr>
          <w:rFonts w:asciiTheme="minorHAnsi" w:hAnsiTheme="minorHAnsi" w:cstheme="minorHAnsi"/>
          <w:sz w:val="22"/>
          <w:szCs w:val="22"/>
        </w:rPr>
        <w:t>Zvornik</w:t>
      </w:r>
      <w:proofErr w:type="spellEnd"/>
      <w:r w:rsidRPr="007C4D65">
        <w:rPr>
          <w:rFonts w:asciiTheme="minorHAnsi" w:hAnsiTheme="minorHAnsi" w:cstheme="minorHAnsi"/>
          <w:sz w:val="22"/>
          <w:szCs w:val="22"/>
        </w:rPr>
        <w:t xml:space="preserve">; Sapna and </w:t>
      </w:r>
      <w:proofErr w:type="spellStart"/>
      <w:r w:rsidRPr="007C4D65">
        <w:rPr>
          <w:rFonts w:asciiTheme="minorHAnsi" w:hAnsiTheme="minorHAnsi" w:cstheme="minorHAnsi"/>
          <w:sz w:val="22"/>
          <w:szCs w:val="22"/>
        </w:rPr>
        <w:t>Kalesija</w:t>
      </w:r>
      <w:proofErr w:type="spellEnd"/>
      <w:r w:rsidRPr="007C4D65">
        <w:rPr>
          <w:rFonts w:asciiTheme="minorHAnsi" w:hAnsiTheme="minorHAnsi" w:cstheme="minorHAnsi"/>
          <w:sz w:val="22"/>
          <w:szCs w:val="22"/>
        </w:rPr>
        <w:t xml:space="preserve"> to </w:t>
      </w:r>
      <w:proofErr w:type="spellStart"/>
      <w:r w:rsidRPr="007C4D65">
        <w:rPr>
          <w:rFonts w:asciiTheme="minorHAnsi" w:hAnsiTheme="minorHAnsi" w:cstheme="minorHAnsi"/>
          <w:sz w:val="22"/>
          <w:szCs w:val="22"/>
        </w:rPr>
        <w:t>Zvornik</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Srebrenik</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Lukavac</w:t>
      </w:r>
      <w:proofErr w:type="spellEnd"/>
      <w:r w:rsidRPr="007C4D65">
        <w:rPr>
          <w:rFonts w:asciiTheme="minorHAnsi" w:hAnsiTheme="minorHAnsi" w:cstheme="minorHAnsi"/>
          <w:sz w:val="22"/>
          <w:szCs w:val="22"/>
        </w:rPr>
        <w:t xml:space="preserve">, Doboj Jug, Doboj </w:t>
      </w:r>
      <w:proofErr w:type="spellStart"/>
      <w:r w:rsidRPr="007C4D65">
        <w:rPr>
          <w:rFonts w:asciiTheme="minorHAnsi" w:hAnsiTheme="minorHAnsi" w:cstheme="minorHAnsi"/>
          <w:sz w:val="22"/>
          <w:szCs w:val="22"/>
        </w:rPr>
        <w:t>Istok</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Usora</w:t>
      </w:r>
      <w:proofErr w:type="spellEnd"/>
      <w:r w:rsidRPr="007C4D65">
        <w:rPr>
          <w:rFonts w:asciiTheme="minorHAnsi" w:hAnsiTheme="minorHAnsi" w:cstheme="minorHAnsi"/>
          <w:sz w:val="22"/>
          <w:szCs w:val="22"/>
        </w:rPr>
        <w:t xml:space="preserve"> to Doboj; </w:t>
      </w:r>
      <w:proofErr w:type="spellStart"/>
      <w:r w:rsidRPr="007C4D65">
        <w:rPr>
          <w:rFonts w:asciiTheme="minorHAnsi" w:hAnsiTheme="minorHAnsi" w:cstheme="minorHAnsi"/>
          <w:sz w:val="22"/>
          <w:szCs w:val="22"/>
        </w:rPr>
        <w:t>Teocak</w:t>
      </w:r>
      <w:proofErr w:type="spellEnd"/>
      <w:r w:rsidRPr="007C4D65">
        <w:rPr>
          <w:rFonts w:asciiTheme="minorHAnsi" w:hAnsiTheme="minorHAnsi" w:cstheme="minorHAnsi"/>
          <w:sz w:val="22"/>
          <w:szCs w:val="22"/>
        </w:rPr>
        <w:t xml:space="preserve"> to Bijeljina). More than 1/3 of the municipalities in the Federation of BiH (which generate more than 50% of the overall municipal solid waste) currently dispose their waste at the regional landfills, while the other municipalities still dispose their waste at wild dumpsites or non-sanitary municipal landfills. Several municipalities still dispose their waste at 41 non-</w:t>
      </w:r>
      <w:r w:rsidR="00FD7932" w:rsidRPr="007C4D65">
        <w:rPr>
          <w:rFonts w:asciiTheme="minorHAnsi" w:hAnsiTheme="minorHAnsi" w:cstheme="minorHAnsi"/>
          <w:sz w:val="22"/>
          <w:szCs w:val="22"/>
        </w:rPr>
        <w:t>compliant</w:t>
      </w:r>
      <w:r w:rsidRPr="007C4D65">
        <w:rPr>
          <w:rFonts w:asciiTheme="minorHAnsi" w:hAnsiTheme="minorHAnsi" w:cstheme="minorHAnsi"/>
          <w:sz w:val="22"/>
          <w:szCs w:val="22"/>
        </w:rPr>
        <w:t xml:space="preserve"> municipal waste landfills. One landfill of inert waste is operating in the territory of the Municipality of </w:t>
      </w:r>
      <w:proofErr w:type="spellStart"/>
      <w:r w:rsidRPr="007C4D65">
        <w:rPr>
          <w:rFonts w:asciiTheme="minorHAnsi" w:hAnsiTheme="minorHAnsi" w:cstheme="minorHAnsi"/>
          <w:sz w:val="22"/>
          <w:szCs w:val="22"/>
        </w:rPr>
        <w:t>Neum</w:t>
      </w:r>
      <w:proofErr w:type="spellEnd"/>
      <w:r w:rsidRPr="007C4D65">
        <w:rPr>
          <w:rFonts w:asciiTheme="minorHAnsi" w:hAnsiTheme="minorHAnsi" w:cstheme="minorHAnsi"/>
          <w:sz w:val="22"/>
          <w:szCs w:val="22"/>
        </w:rPr>
        <w:t xml:space="preserve">, while a plane for disposal of this type of waste is being developed at the Sarajevo landfill in </w:t>
      </w:r>
      <w:proofErr w:type="spellStart"/>
      <w:r w:rsidRPr="007C4D65">
        <w:rPr>
          <w:rFonts w:asciiTheme="minorHAnsi" w:hAnsiTheme="minorHAnsi" w:cstheme="minorHAnsi"/>
          <w:sz w:val="22"/>
          <w:szCs w:val="22"/>
        </w:rPr>
        <w:t>Smiljevici</w:t>
      </w:r>
      <w:proofErr w:type="spellEnd"/>
      <w:r w:rsidRPr="007C4D65">
        <w:rPr>
          <w:rFonts w:asciiTheme="minorHAnsi" w:hAnsiTheme="minorHAnsi" w:cstheme="minorHAnsi"/>
          <w:sz w:val="22"/>
          <w:szCs w:val="22"/>
        </w:rPr>
        <w:t xml:space="preserve">. This plane will also be equipped with a construction waste crusher. </w:t>
      </w:r>
      <w:r w:rsidR="00E87DA4" w:rsidRPr="007C4D65">
        <w:rPr>
          <w:rFonts w:asciiTheme="minorHAnsi" w:hAnsiTheme="minorHAnsi" w:cstheme="minorHAnsi"/>
          <w:sz w:val="22"/>
          <w:szCs w:val="22"/>
        </w:rPr>
        <w:t>According</w:t>
      </w:r>
      <w:r w:rsidRPr="007C4D65">
        <w:rPr>
          <w:rFonts w:asciiTheme="minorHAnsi" w:hAnsiTheme="minorHAnsi" w:cstheme="minorHAnsi"/>
          <w:sz w:val="22"/>
          <w:szCs w:val="22"/>
        </w:rPr>
        <w:t xml:space="preserve"> to the former Federation Waste Management Strategy 2012-2017, 1400 illegal dumpsites were reported in the Federation. </w:t>
      </w:r>
    </w:p>
    <w:p w14:paraId="05C9A643" w14:textId="33CE69BF" w:rsidR="00A374F8" w:rsidRPr="007C4D65" w:rsidRDefault="00A374F8"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municipal waste management sector requires a reform. There are multiple gaps in the legal, institutional and technical aspect which support the </w:t>
      </w:r>
      <w:r w:rsidRPr="007C4D65">
        <w:rPr>
          <w:rFonts w:asciiTheme="minorHAnsi" w:hAnsiTheme="minorHAnsi" w:cstheme="minorHAnsi"/>
          <w:i/>
          <w:sz w:val="22"/>
          <w:szCs w:val="22"/>
        </w:rPr>
        <w:t>status quo</w:t>
      </w:r>
      <w:r w:rsidRPr="007C4D65">
        <w:rPr>
          <w:rFonts w:asciiTheme="minorHAnsi" w:hAnsiTheme="minorHAnsi" w:cstheme="minorHAnsi"/>
          <w:sz w:val="22"/>
          <w:szCs w:val="22"/>
        </w:rPr>
        <w:t xml:space="preserve">. The analysis prepared by the World </w:t>
      </w:r>
      <w:r w:rsidRPr="007C4D65">
        <w:rPr>
          <w:rFonts w:asciiTheme="minorHAnsi" w:hAnsiTheme="minorHAnsi" w:cstheme="minorHAnsi"/>
          <w:sz w:val="22"/>
          <w:szCs w:val="22"/>
        </w:rPr>
        <w:lastRenderedPageBreak/>
        <w:t xml:space="preserve">Bank in 2019 </w:t>
      </w:r>
      <w:r w:rsidR="00295F73" w:rsidRPr="007C4D65">
        <w:rPr>
          <w:rFonts w:asciiTheme="minorHAnsi" w:hAnsiTheme="minorHAnsi" w:cstheme="minorHAnsi"/>
          <w:sz w:val="22"/>
          <w:szCs w:val="22"/>
        </w:rPr>
        <w:fldChar w:fldCharType="begin"/>
      </w:r>
      <w:r w:rsidR="006A21A5" w:rsidRPr="007C4D65">
        <w:rPr>
          <w:rFonts w:asciiTheme="minorHAnsi" w:hAnsiTheme="minorHAnsi" w:cstheme="minorHAnsi"/>
          <w:sz w:val="22"/>
          <w:szCs w:val="22"/>
        </w:rPr>
        <w:instrText xml:space="preserve"> ADDIN ZOTERO_ITEM CSL_CITATION {"citationID":"OLSHyXta","properties":{"formattedCitation":"(Ionkova et al. 2018b)","plainCitation":"(Ionkova et al. 2018b)","noteIndex":0},"citationItems":[{"id":1456,"uris":["http://zotero.org/users/7192877/items/ZSHIUVAB"],"itemData":{"id":1456,"type":"document","publisher":"Svjetska banka","title":"Analiza sektora upravljanja čvrstim komunalnim otpadom: Strateški pravci i planiranje investicija do 2025.g., Dio A: Federacija BiH","URL":"https://www.upkp.com.ba/dokumenti/Izvjestaj%20Analiza%20sektora%20upravljanja%20cvrstim%20komunalnim%20otpadom%20FBIH.pdf","author":[{"family":"Ionkova","given":"Kremena"},{"family":"Simonis","given":"Gerard"},{"family":"Abedini","given":"Ali Reza"},{"family":"Silajdžić","given":"Irem"},{"family":"Bjelić","given":"Draženko"},{"family":"Palandžić","given":"Igor"},{"family":"Arnautović","given":"Lejla"},{"family":"Šačić","given":"Senad"}],"issued":{"literal":"2018b"}}}],"schema":"https://github.com/citation-style-language/schema/raw/master/csl-citation.json"} </w:instrText>
      </w:r>
      <w:r w:rsidR="00295F73" w:rsidRPr="007C4D65">
        <w:rPr>
          <w:rFonts w:asciiTheme="minorHAnsi" w:hAnsiTheme="minorHAnsi" w:cstheme="minorHAnsi"/>
          <w:sz w:val="22"/>
          <w:szCs w:val="22"/>
        </w:rPr>
        <w:fldChar w:fldCharType="separate"/>
      </w:r>
      <w:r w:rsidR="00295F73" w:rsidRPr="007C4D65">
        <w:rPr>
          <w:rFonts w:asciiTheme="minorHAnsi" w:hAnsiTheme="minorHAnsi" w:cstheme="minorHAnsi"/>
          <w:sz w:val="22"/>
          <w:szCs w:val="22"/>
        </w:rPr>
        <w:t xml:space="preserve">(Ionkova </w:t>
      </w:r>
      <w:r w:rsidR="00295F73" w:rsidRPr="007C4D65">
        <w:rPr>
          <w:rFonts w:asciiTheme="minorHAnsi" w:hAnsiTheme="minorHAnsi" w:cstheme="minorHAnsi"/>
          <w:i/>
          <w:sz w:val="22"/>
          <w:szCs w:val="22"/>
        </w:rPr>
        <w:t>et al</w:t>
      </w:r>
      <w:r w:rsidR="00295F73" w:rsidRPr="007C4D65">
        <w:rPr>
          <w:rFonts w:asciiTheme="minorHAnsi" w:hAnsiTheme="minorHAnsi" w:cstheme="minorHAnsi"/>
          <w:sz w:val="22"/>
          <w:szCs w:val="22"/>
        </w:rPr>
        <w:t>.</w:t>
      </w:r>
      <w:r w:rsidR="00132CFF" w:rsidRPr="007C4D65">
        <w:rPr>
          <w:rFonts w:asciiTheme="minorHAnsi" w:hAnsiTheme="minorHAnsi" w:cstheme="minorHAnsi"/>
          <w:sz w:val="22"/>
          <w:szCs w:val="22"/>
        </w:rPr>
        <w:t>,</w:t>
      </w:r>
      <w:r w:rsidR="00295F73" w:rsidRPr="007C4D65">
        <w:rPr>
          <w:rFonts w:asciiTheme="minorHAnsi" w:hAnsiTheme="minorHAnsi" w:cstheme="minorHAnsi"/>
          <w:sz w:val="22"/>
          <w:szCs w:val="22"/>
        </w:rPr>
        <w:t xml:space="preserve"> 2018b)</w:t>
      </w:r>
      <w:r w:rsidR="00295F73" w:rsidRPr="007C4D65">
        <w:rPr>
          <w:rFonts w:asciiTheme="minorHAnsi" w:hAnsiTheme="minorHAnsi" w:cstheme="minorHAnsi"/>
          <w:sz w:val="22"/>
          <w:szCs w:val="22"/>
        </w:rPr>
        <w:fldChar w:fldCharType="end"/>
      </w:r>
      <w:r w:rsidRPr="007C4D65">
        <w:rPr>
          <w:rFonts w:asciiTheme="minorHAnsi" w:hAnsiTheme="minorHAnsi" w:cstheme="minorHAnsi"/>
          <w:sz w:val="22"/>
          <w:szCs w:val="22"/>
        </w:rPr>
        <w:t>,</w:t>
      </w:r>
      <w:r w:rsidR="00FD7932" w:rsidRPr="007C4D65">
        <w:rPr>
          <w:rFonts w:asciiTheme="minorHAnsi" w:hAnsiTheme="minorHAnsi" w:cstheme="minorHAnsi"/>
          <w:sz w:val="22"/>
          <w:szCs w:val="22"/>
        </w:rPr>
        <w:t xml:space="preserve"> </w:t>
      </w:r>
      <w:r w:rsidRPr="007C4D65">
        <w:rPr>
          <w:rFonts w:asciiTheme="minorHAnsi" w:hAnsiTheme="minorHAnsi" w:cstheme="minorHAnsi"/>
          <w:sz w:val="22"/>
          <w:szCs w:val="22"/>
        </w:rPr>
        <w:t xml:space="preserve">identified the need to upgrade the municipal Decisions on utilities which will allow the municipalities to better design and organise waste management services. These decisions should define tasks and obligations of the municipalities, waste generators, including a legal basis for payment and implementation of fines. The Decisions should also define general requirements for the waste management planning. Moreover, the regulations may also define the requirements for the engagement of the private sector. The municipal regulations need to be harmonised with the Federation and cantonal laws on waste management and utility activities, particularly when it comes to defining the obligations of waste generators and public obligations of the municipalities for waste management services. At the strategic level, it is necessary to harmonise </w:t>
      </w:r>
      <w:r w:rsidR="00E87DA4" w:rsidRPr="007C4D65">
        <w:rPr>
          <w:rFonts w:asciiTheme="minorHAnsi" w:hAnsiTheme="minorHAnsi" w:cstheme="minorHAnsi"/>
          <w:sz w:val="22"/>
          <w:szCs w:val="22"/>
        </w:rPr>
        <w:t>cantonal</w:t>
      </w:r>
      <w:r w:rsidRPr="007C4D65">
        <w:rPr>
          <w:rFonts w:asciiTheme="minorHAnsi" w:hAnsiTheme="minorHAnsi" w:cstheme="minorHAnsi"/>
          <w:sz w:val="22"/>
          <w:szCs w:val="22"/>
        </w:rPr>
        <w:t xml:space="preserve"> and municipal waste management plans and to update them </w:t>
      </w:r>
      <w:r w:rsidR="00E87DA4" w:rsidRPr="007C4D65">
        <w:rPr>
          <w:rFonts w:asciiTheme="minorHAnsi" w:hAnsiTheme="minorHAnsi" w:cstheme="minorHAnsi"/>
          <w:sz w:val="22"/>
          <w:szCs w:val="22"/>
        </w:rPr>
        <w:t>i</w:t>
      </w:r>
      <w:r w:rsidRPr="007C4D65">
        <w:rPr>
          <w:rFonts w:asciiTheme="minorHAnsi" w:hAnsiTheme="minorHAnsi" w:cstheme="minorHAnsi"/>
          <w:sz w:val="22"/>
          <w:szCs w:val="22"/>
        </w:rPr>
        <w:t xml:space="preserve">n accordance with the requirements of this Strategy, new Federation Waste Management Plan which need to be prepared immediately upon the adoption of the Strategy. The municipal waste management plans should serve as a basis for the establishment of a regional waste collection/separation system. Guidelines could also be prepared to define the content of such plans based on the EU format. Where regions do not coincide with the boundaries of the cantons for waste collection purposes, there may be a need to develop a Regional Waste Management Plan to better organise the services. Development of such regional waste management plan, which is currently not recognised as a regulated planning document, should be envisaged in the Waste Management Law of Federation of BiH. </w:t>
      </w:r>
    </w:p>
    <w:p w14:paraId="23FC0992" w14:textId="58B83AEE" w:rsidR="00A374F8" w:rsidRPr="007C4D65" w:rsidRDefault="00A374F8"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In addition to creating</w:t>
      </w:r>
      <w:r w:rsidR="001B4E0A" w:rsidRPr="007C4D65">
        <w:rPr>
          <w:rFonts w:asciiTheme="minorHAnsi" w:hAnsiTheme="minorHAnsi" w:cstheme="minorHAnsi"/>
          <w:sz w:val="22"/>
          <w:szCs w:val="22"/>
        </w:rPr>
        <w:t xml:space="preserve"> </w:t>
      </w:r>
      <w:r w:rsidRPr="007C4D65">
        <w:rPr>
          <w:rFonts w:asciiTheme="minorHAnsi" w:hAnsiTheme="minorHAnsi" w:cstheme="minorHAnsi"/>
          <w:sz w:val="22"/>
          <w:szCs w:val="22"/>
        </w:rPr>
        <w:t xml:space="preserve">legal conditions for a sustainable municipal waste management at the municipal level, it is </w:t>
      </w:r>
      <w:r w:rsidR="00E87DA4" w:rsidRPr="007C4D65">
        <w:rPr>
          <w:rFonts w:asciiTheme="minorHAnsi" w:hAnsiTheme="minorHAnsi" w:cstheme="minorHAnsi"/>
          <w:sz w:val="22"/>
          <w:szCs w:val="22"/>
        </w:rPr>
        <w:t>necessary</w:t>
      </w:r>
      <w:r w:rsidRPr="007C4D65">
        <w:rPr>
          <w:rFonts w:asciiTheme="minorHAnsi" w:hAnsiTheme="minorHAnsi" w:cstheme="minorHAnsi"/>
          <w:sz w:val="22"/>
          <w:szCs w:val="22"/>
        </w:rPr>
        <w:t xml:space="preserve"> to significantly improve the current system through strengthening of utility companies. It is assumed that consolidation of waste collection and transport companies at regional level could ensure financial sustainability of their services. The value added tax (VAT) payment obligation has also been identified as a problem, being in contravention with the requirements of the Directive 2006/112/EC on VAT which, among other things, requires withdrawal or lowering of VAT on utility services. Such initiative must be implemented at the national level, and its implementation could significantly strengthen the position of the utility companies.</w:t>
      </w:r>
    </w:p>
    <w:p w14:paraId="1707E67B" w14:textId="2EB9A92F" w:rsidR="00A374F8" w:rsidRPr="007C4D65" w:rsidRDefault="00A374F8"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It is also necessary to revise the currently applicable plan of regional landfills development and create conditions for development of new regional or inter-municipal landfills, and/or development of new or upgrading of the current municipal landfills which due to geography or other obstacles are in no position to join any regional/inter-municipal concept. Such plans should however </w:t>
      </w:r>
      <w:proofErr w:type="gramStart"/>
      <w:r w:rsidRPr="007C4D65">
        <w:rPr>
          <w:rFonts w:asciiTheme="minorHAnsi" w:hAnsiTheme="minorHAnsi" w:cstheme="minorHAnsi"/>
          <w:sz w:val="22"/>
          <w:szCs w:val="22"/>
        </w:rPr>
        <w:t>take into account</w:t>
      </w:r>
      <w:proofErr w:type="gramEnd"/>
      <w:r w:rsidRPr="007C4D65">
        <w:rPr>
          <w:rFonts w:asciiTheme="minorHAnsi" w:hAnsiTheme="minorHAnsi" w:cstheme="minorHAnsi"/>
          <w:sz w:val="22"/>
          <w:szCs w:val="22"/>
        </w:rPr>
        <w:t xml:space="preserve"> the need to reduce the amounts of waste disposed at landfills and to increase the reuse of waste. In addition to improved technical capacities of the utility companies through procurement of equipment for (separate) collection, transport and treatment of waste, there is a need to take actions aimed at reducing waste generation and redirecting waste from landfills to other forms of treatment, including thermal treatment and energy to waste treatment.</w:t>
      </w:r>
    </w:p>
    <w:p w14:paraId="2521B841" w14:textId="239C390E" w:rsidR="00A374F8" w:rsidRPr="007C4D65" w:rsidRDefault="00A374F8"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The principles of a circular economy have not been implemented in the Federation’s Strategic Waste Management Framework. A linear economy model is dominant at both entity and local level. The system of management of special waste</w:t>
      </w:r>
      <w:r w:rsidR="00FD7932" w:rsidRPr="007C4D65">
        <w:rPr>
          <w:rFonts w:asciiTheme="minorHAnsi" w:hAnsiTheme="minorHAnsi" w:cstheme="minorHAnsi"/>
          <w:sz w:val="22"/>
          <w:szCs w:val="22"/>
        </w:rPr>
        <w:t>s</w:t>
      </w:r>
      <w:r w:rsidRPr="007C4D65">
        <w:rPr>
          <w:rFonts w:asciiTheme="minorHAnsi" w:hAnsiTheme="minorHAnsi" w:cstheme="minorHAnsi"/>
          <w:sz w:val="22"/>
          <w:szCs w:val="22"/>
        </w:rPr>
        <w:t xml:space="preserve">, which is one of the cornerstones for the transition from the linear to a circular economy, requires substantial improvements. The issue of packaging waste and WEEE management was both legally and institutionally regulated in Federation of BiH nearly 10 years ago, as well as placement on the market and use of plastic shopping bags. The management of packaging waste and WEEE was entrusted to the system operators which operate within the extended </w:t>
      </w:r>
      <w:r w:rsidRPr="007C4D65">
        <w:rPr>
          <w:rFonts w:asciiTheme="minorHAnsi" w:hAnsiTheme="minorHAnsi" w:cstheme="minorHAnsi"/>
          <w:sz w:val="22"/>
          <w:szCs w:val="22"/>
        </w:rPr>
        <w:lastRenderedPageBreak/>
        <w:t>producer responsibility scheme. An in-</w:t>
      </w:r>
      <w:r w:rsidR="00E87DA4" w:rsidRPr="007C4D65">
        <w:rPr>
          <w:rFonts w:asciiTheme="minorHAnsi" w:hAnsiTheme="minorHAnsi" w:cstheme="minorHAnsi"/>
          <w:sz w:val="22"/>
          <w:szCs w:val="22"/>
        </w:rPr>
        <w:t>depth</w:t>
      </w:r>
      <w:r w:rsidRPr="007C4D65">
        <w:rPr>
          <w:rFonts w:asciiTheme="minorHAnsi" w:hAnsiTheme="minorHAnsi" w:cstheme="minorHAnsi"/>
          <w:sz w:val="22"/>
          <w:szCs w:val="22"/>
        </w:rPr>
        <w:t xml:space="preserve"> analysis carried out by the World Bank in 2018</w:t>
      </w:r>
      <w:r w:rsidR="00E87DA4" w:rsidRPr="007C4D65">
        <w:rPr>
          <w:rFonts w:asciiTheme="minorHAnsi" w:hAnsiTheme="minorHAnsi" w:cstheme="minorHAnsi"/>
          <w:sz w:val="22"/>
          <w:szCs w:val="22"/>
        </w:rPr>
        <w:t xml:space="preserve"> </w:t>
      </w:r>
      <w:r w:rsidR="008A4226" w:rsidRPr="007C4D65">
        <w:rPr>
          <w:rFonts w:asciiTheme="minorHAnsi" w:hAnsiTheme="minorHAnsi" w:cstheme="minorHAnsi"/>
          <w:sz w:val="22"/>
          <w:szCs w:val="22"/>
        </w:rPr>
        <w:fldChar w:fldCharType="begin"/>
      </w:r>
      <w:r w:rsidR="006A21A5" w:rsidRPr="007C4D65">
        <w:rPr>
          <w:rFonts w:asciiTheme="minorHAnsi" w:hAnsiTheme="minorHAnsi" w:cstheme="minorHAnsi"/>
          <w:sz w:val="22"/>
          <w:szCs w:val="22"/>
        </w:rPr>
        <w:instrText xml:space="preserve"> ADDIN ZOTERO_ITEM CSL_CITATION {"citationID":"VZzgHDNr","properties":{"formattedCitation":"(Ionkova et al. 2018)","plainCitation":"(Ionkova et al. 2018)","noteIndex":0},"citationItems":[{"id":406,"uris":["http://zotero.org/groups/2653216/items/AR8PPCBQ"],"itemData":{"id":406,"type":"webpage","abstract":"Municipal Solid Waste Management\n            Sector Review : Review of the Extended Producer\n            Responsibility in Bosnia and Herzegovina for Packaging and\n            Packaging Waste and WEEE (English)","container-title":"World Bank","genre":"Text/HTML","language":"en","title":"Analiza sektora upravljanja čvrstim otpadom: Analiza sistema produžene odgovornosti proizvođača u BiHza ambalažni i EE otpad","title-short":"Municipal Solid Waste Management Sector Review","URL":"https://documents.worldbank.org/en/publication/documents-reports/documentdetail/834281562138748942/Municipal-Solid-Waste-Management-Sector-Review-Review-of-the-Extended-Producer-Responsibility-in-Bosnia-and-Herzegovina-for-Packaging-and-Packaging-Waste-and-WEEE","author":[{"family":"Ionkova","given":"Kremena M."},{"family":"Doychinov","given":"Nikola Stanoev"},{"family":"Silajdzic","given":"Irem"},{"family":"Bjelic","given":"Drazenko"},{"family":"Arnautovic","given":"Lejla"}],"accessed":{"date-parts":[["2020",12,28]]},"issued":{"date-parts":[["2018"]]}}}],"schema":"https://github.com/citation-style-language/schema/raw/master/csl-citation.json"} </w:instrText>
      </w:r>
      <w:r w:rsidR="008A4226" w:rsidRPr="007C4D65">
        <w:rPr>
          <w:rFonts w:asciiTheme="minorHAnsi" w:hAnsiTheme="minorHAnsi" w:cstheme="minorHAnsi"/>
          <w:sz w:val="22"/>
          <w:szCs w:val="22"/>
        </w:rPr>
        <w:fldChar w:fldCharType="separate"/>
      </w:r>
      <w:r w:rsidR="008A4226" w:rsidRPr="007C4D65">
        <w:rPr>
          <w:rFonts w:asciiTheme="minorHAnsi" w:hAnsiTheme="minorHAnsi" w:cstheme="minorHAnsi"/>
          <w:sz w:val="22"/>
          <w:szCs w:val="22"/>
        </w:rPr>
        <w:t xml:space="preserve">(Ionkova </w:t>
      </w:r>
      <w:r w:rsidR="008A4226" w:rsidRPr="007C4D65">
        <w:rPr>
          <w:rFonts w:asciiTheme="minorHAnsi" w:hAnsiTheme="minorHAnsi" w:cstheme="minorHAnsi"/>
          <w:i/>
          <w:sz w:val="22"/>
          <w:szCs w:val="22"/>
        </w:rPr>
        <w:t>et al</w:t>
      </w:r>
      <w:r w:rsidR="008A4226" w:rsidRPr="007C4D65">
        <w:rPr>
          <w:rFonts w:asciiTheme="minorHAnsi" w:hAnsiTheme="minorHAnsi" w:cstheme="minorHAnsi"/>
          <w:sz w:val="22"/>
          <w:szCs w:val="22"/>
        </w:rPr>
        <w:t>. 2018)</w:t>
      </w:r>
      <w:r w:rsidR="008A4226"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shows that there is a need to improve the extended producer responsibility scheme for packaging waste and WEEE. Formally, recycling and use goals laid down in the legislation have been fulfilled. The achievements recorded over the past several years are mainly the result of optimised collection practices, which existed before the EPR scheme was implemented and the result of the demand for row materials in the recycling industry. Lack of </w:t>
      </w:r>
      <w:r w:rsidR="0076407C" w:rsidRPr="007C4D65">
        <w:rPr>
          <w:rFonts w:asciiTheme="minorHAnsi" w:hAnsiTheme="minorHAnsi" w:cstheme="minorHAnsi"/>
          <w:sz w:val="22"/>
          <w:szCs w:val="22"/>
        </w:rPr>
        <w:t>a</w:t>
      </w:r>
      <w:r w:rsidRPr="007C4D65">
        <w:rPr>
          <w:rFonts w:asciiTheme="minorHAnsi" w:hAnsiTheme="minorHAnsi" w:cstheme="minorHAnsi"/>
          <w:sz w:val="22"/>
          <w:szCs w:val="22"/>
        </w:rPr>
        <w:t xml:space="preserve"> linkage with the utility sector is the key weakness of the current system. While some cases of cooperation between system operators and </w:t>
      </w:r>
      <w:r w:rsidR="00E87DA4" w:rsidRPr="007C4D65">
        <w:rPr>
          <w:rFonts w:asciiTheme="minorHAnsi" w:hAnsiTheme="minorHAnsi" w:cstheme="minorHAnsi"/>
          <w:sz w:val="22"/>
          <w:szCs w:val="22"/>
        </w:rPr>
        <w:t>municipalities</w:t>
      </w:r>
      <w:r w:rsidRPr="007C4D65">
        <w:rPr>
          <w:rFonts w:asciiTheme="minorHAnsi" w:hAnsiTheme="minorHAnsi" w:cstheme="minorHAnsi"/>
          <w:sz w:val="22"/>
          <w:szCs w:val="22"/>
        </w:rPr>
        <w:t xml:space="preserve"> have been recorded, this cooperation is not mandatory under the law. The utility sector therefore lacks the motivation to work on the separate collection, and a substantial portion of this waste has been landfilled and lost. In addition, the recycling targets which have been defined were assessed as low and easily achievable with the engagement of only commercial sector. It has been therefore proposed to significantly increase the targets </w:t>
      </w:r>
      <w:proofErr w:type="gramStart"/>
      <w:r w:rsidRPr="007C4D65">
        <w:rPr>
          <w:rFonts w:asciiTheme="minorHAnsi" w:hAnsiTheme="minorHAnsi" w:cstheme="minorHAnsi"/>
          <w:sz w:val="22"/>
          <w:szCs w:val="22"/>
        </w:rPr>
        <w:t>in order to</w:t>
      </w:r>
      <w:proofErr w:type="gramEnd"/>
      <w:r w:rsidRPr="007C4D65">
        <w:rPr>
          <w:rFonts w:asciiTheme="minorHAnsi" w:hAnsiTheme="minorHAnsi" w:cstheme="minorHAnsi"/>
          <w:sz w:val="22"/>
          <w:szCs w:val="22"/>
        </w:rPr>
        <w:t xml:space="preserve"> make the operators cooperate with the utility sector. Since 2021, FMET regulated the issue of the management of end-of-life vehicles, waste tyres, batteries and car batteries and waste oil. The system for these categories has been regulated through the Environmental Protection Fund of the Federation of BiH. Given that this is a new regulation, it is necessary to give it some time </w:t>
      </w:r>
      <w:proofErr w:type="gramStart"/>
      <w:r w:rsidRPr="007C4D65">
        <w:rPr>
          <w:rFonts w:asciiTheme="minorHAnsi" w:hAnsiTheme="minorHAnsi" w:cstheme="minorHAnsi"/>
          <w:sz w:val="22"/>
          <w:szCs w:val="22"/>
        </w:rPr>
        <w:t>in order to</w:t>
      </w:r>
      <w:proofErr w:type="gramEnd"/>
      <w:r w:rsidRPr="007C4D65">
        <w:rPr>
          <w:rFonts w:asciiTheme="minorHAnsi" w:hAnsiTheme="minorHAnsi" w:cstheme="minorHAnsi"/>
          <w:sz w:val="22"/>
          <w:szCs w:val="22"/>
        </w:rPr>
        <w:t xml:space="preserve"> see the effects or potential differences compared to the system which relies on the system operators.</w:t>
      </w:r>
    </w:p>
    <w:p w14:paraId="1DA1CE42" w14:textId="00DDEB9F" w:rsidR="00A374F8" w:rsidRPr="007C4D65" w:rsidRDefault="00A374F8"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current industrial waste management system in Federation of BiH involves a transfer of responsibility for the waste management from industrial waste generators to companies licenced for the collection and treatment of hazardous and non-hazardous waste. Activities of industrial companies are regulated through the environmental licencing procedure as defined in the Law on Environmental Protection </w:t>
      </w:r>
      <w:r w:rsidR="008A4226" w:rsidRPr="007C4D65">
        <w:rPr>
          <w:rFonts w:asciiTheme="minorHAnsi" w:hAnsiTheme="minorHAnsi" w:cstheme="minorHAnsi"/>
          <w:sz w:val="22"/>
          <w:szCs w:val="22"/>
        </w:rPr>
        <w:fldChar w:fldCharType="begin"/>
      </w:r>
      <w:r w:rsidR="00CE1A95" w:rsidRPr="007C4D65">
        <w:rPr>
          <w:rFonts w:asciiTheme="minorHAnsi" w:hAnsiTheme="minorHAnsi" w:cstheme="minorHAnsi"/>
          <w:sz w:val="22"/>
          <w:szCs w:val="22"/>
        </w:rPr>
        <w:instrText xml:space="preserve"> ADDIN ZOTERO_ITEM CSL_CITATION {"citationID":"V7gsELQV","properties":{"formattedCitation":"(Sl. glasnik FBiH, br. 15/21 2021)","plainCitation":"(Sl. glasnik FBiH, br. 15/21 2021)","dontUpdate":true,"noteIndex":0},"citationItems":[{"id":1311,"uris":["http://zotero.org/users/7192877/items/937YMYL6"],"itemData":{"id":1311,"type":"legislation","title":"Zakon o zaštiti okoliša Federacije BiH","URL":"https://www.fmoit.gov.ba/upload/file/2021/Zakon%20o%20zastiti%20okolisa%2015_21.pdf","author":[{"family":"\"Sl. novine Federacije BiH\", broj 15/21","given":""}],"issued":{"date-parts":[["2021"]]}}}],"schema":"https://github.com/citation-style-language/schema/raw/master/csl-citation.json"} </w:instrText>
      </w:r>
      <w:r w:rsidR="008A4226" w:rsidRPr="007C4D65">
        <w:rPr>
          <w:rFonts w:asciiTheme="minorHAnsi" w:hAnsiTheme="minorHAnsi" w:cstheme="minorHAnsi"/>
          <w:sz w:val="22"/>
          <w:szCs w:val="22"/>
        </w:rPr>
        <w:fldChar w:fldCharType="separate"/>
      </w:r>
      <w:r w:rsidR="008A4226" w:rsidRPr="007C4D65">
        <w:rPr>
          <w:rFonts w:asciiTheme="minorHAnsi" w:hAnsiTheme="minorHAnsi" w:cstheme="minorHAnsi"/>
          <w:sz w:val="22"/>
          <w:szCs w:val="22"/>
        </w:rPr>
        <w:t>(</w:t>
      </w:r>
      <w:r w:rsidR="008B7275" w:rsidRPr="007C4D65">
        <w:rPr>
          <w:rFonts w:asciiTheme="minorHAnsi" w:hAnsiTheme="minorHAnsi" w:cstheme="minorHAnsi"/>
          <w:sz w:val="22"/>
          <w:szCs w:val="22"/>
        </w:rPr>
        <w:t>"</w:t>
      </w:r>
      <w:r w:rsidR="00116A22" w:rsidRPr="007C4D65">
        <w:rPr>
          <w:rFonts w:asciiTheme="minorHAnsi" w:hAnsiTheme="minorHAnsi" w:cstheme="minorHAnsi"/>
          <w:sz w:val="22"/>
          <w:szCs w:val="22"/>
        </w:rPr>
        <w:t xml:space="preserve">Official Gazette of the </w:t>
      </w:r>
      <w:r w:rsidR="007F4BA8" w:rsidRPr="007C4D65">
        <w:rPr>
          <w:rFonts w:asciiTheme="minorHAnsi" w:hAnsiTheme="minorHAnsi" w:cstheme="minorHAnsi"/>
          <w:sz w:val="22"/>
          <w:szCs w:val="22"/>
        </w:rPr>
        <w:t xml:space="preserve">Federation of BiH“, </w:t>
      </w:r>
      <w:r w:rsidR="008A4226" w:rsidRPr="007C4D65">
        <w:rPr>
          <w:rFonts w:asciiTheme="minorHAnsi" w:hAnsiTheme="minorHAnsi" w:cstheme="minorHAnsi"/>
          <w:sz w:val="22"/>
          <w:szCs w:val="22"/>
        </w:rPr>
        <w:t>15/21)</w:t>
      </w:r>
      <w:r w:rsidR="008A4226"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and the Law on Waste Management</w:t>
      </w:r>
      <w:r w:rsidR="009E7C0F" w:rsidRPr="007C4D65">
        <w:rPr>
          <w:rFonts w:asciiTheme="minorHAnsi" w:hAnsiTheme="minorHAnsi" w:cstheme="minorHAnsi"/>
          <w:sz w:val="22"/>
          <w:szCs w:val="22"/>
          <w:vertAlign w:val="superscript"/>
        </w:rPr>
        <w:t xml:space="preserve"> </w:t>
      </w:r>
      <w:r w:rsidR="008A4226" w:rsidRPr="007C4D65">
        <w:rPr>
          <w:rFonts w:asciiTheme="minorHAnsi" w:hAnsiTheme="minorHAnsi" w:cstheme="minorHAnsi"/>
          <w:sz w:val="22"/>
          <w:szCs w:val="22"/>
          <w:vertAlign w:val="superscript"/>
        </w:rPr>
        <w:fldChar w:fldCharType="begin"/>
      </w:r>
      <w:r w:rsidR="00CE1A95" w:rsidRPr="007C4D65">
        <w:rPr>
          <w:rFonts w:asciiTheme="minorHAnsi" w:hAnsiTheme="minorHAnsi" w:cstheme="minorHAnsi"/>
          <w:sz w:val="22"/>
          <w:szCs w:val="22"/>
          <w:vertAlign w:val="superscript"/>
        </w:rPr>
        <w:instrText xml:space="preserve"> ADDIN ZOTERO_ITEM CSL_CITATION {"citationID":"XV9WrpGn","properties":{"formattedCitation":"(\\uc0\\u8216{}Sl. novine Federacije BiH\\uc0\\u8217{}, br. 33/03, 72/09 i 92/17 2017)","plainCitation":"(‘Sl. novine Federacije BiH’, br. 33/03, 72/09 i 92/17 2017)","noteIndex":0},"citationItems":[{"id":1452,"uris":["http://zotero.org/users/7192877/items/Q2SJ5LUM"],"itemData":{"id":1452,"type":"legislation","title":"Zakon o upravljanju otpadom Federacije BiH","URL":"https://www.fmoit.gov.ba/upload/file/2020/92_17-1-5.pdf","author":[{"literal":"\"Sl. novine Federacije BiH\", br. 33/03, 72/09 i 92/17"}],"issued":{"date-parts":[["2017"]]}}}],"schema":"https://github.com/citation-style-language/schema/raw/master/csl-citation.json"} </w:instrText>
      </w:r>
      <w:r w:rsidR="008A4226" w:rsidRPr="007C4D65">
        <w:rPr>
          <w:rFonts w:asciiTheme="minorHAnsi" w:hAnsiTheme="minorHAnsi" w:cstheme="minorHAnsi"/>
          <w:sz w:val="22"/>
          <w:szCs w:val="22"/>
          <w:vertAlign w:val="superscript"/>
        </w:rPr>
        <w:fldChar w:fldCharType="separate"/>
      </w:r>
      <w:r w:rsidR="00CE1A95" w:rsidRPr="007C4D65">
        <w:rPr>
          <w:rFonts w:asciiTheme="minorHAnsi" w:hAnsiTheme="minorHAnsi" w:cstheme="minorHAnsi"/>
          <w:sz w:val="22"/>
          <w:szCs w:val="22"/>
        </w:rPr>
        <w:t>(</w:t>
      </w:r>
      <w:r w:rsidR="008B7275" w:rsidRPr="007C4D65">
        <w:rPr>
          <w:rFonts w:asciiTheme="minorHAnsi" w:hAnsiTheme="minorHAnsi" w:cstheme="minorHAnsi"/>
          <w:sz w:val="22"/>
          <w:szCs w:val="22"/>
        </w:rPr>
        <w:t>"</w:t>
      </w:r>
      <w:r w:rsidR="00116A22" w:rsidRPr="007C4D65">
        <w:rPr>
          <w:rFonts w:asciiTheme="minorHAnsi" w:hAnsiTheme="minorHAnsi" w:cstheme="minorHAnsi"/>
          <w:sz w:val="22"/>
          <w:szCs w:val="22"/>
        </w:rPr>
        <w:t>Official Gazette of the Federation of BiH</w:t>
      </w:r>
      <w:r w:rsidR="008B7275" w:rsidRPr="007C4D65">
        <w:rPr>
          <w:rFonts w:asciiTheme="minorHAnsi" w:hAnsiTheme="minorHAnsi" w:cstheme="minorHAnsi"/>
          <w:sz w:val="22"/>
          <w:szCs w:val="22"/>
        </w:rPr>
        <w:t>"</w:t>
      </w:r>
      <w:r w:rsidR="00CE1A95" w:rsidRPr="007C4D65">
        <w:rPr>
          <w:rFonts w:asciiTheme="minorHAnsi" w:hAnsiTheme="minorHAnsi" w:cstheme="minorHAnsi"/>
          <w:sz w:val="22"/>
          <w:szCs w:val="22"/>
        </w:rPr>
        <w:t>, 33/03, 72/09</w:t>
      </w:r>
      <w:r w:rsidR="009E7C0F" w:rsidRPr="007C4D65">
        <w:rPr>
          <w:rFonts w:asciiTheme="minorHAnsi" w:hAnsiTheme="minorHAnsi" w:cstheme="minorHAnsi"/>
          <w:sz w:val="22"/>
          <w:szCs w:val="22"/>
        </w:rPr>
        <w:t>, and</w:t>
      </w:r>
      <w:r w:rsidR="00CE1A95" w:rsidRPr="007C4D65">
        <w:rPr>
          <w:rFonts w:asciiTheme="minorHAnsi" w:hAnsiTheme="minorHAnsi" w:cstheme="minorHAnsi"/>
          <w:sz w:val="22"/>
          <w:szCs w:val="22"/>
        </w:rPr>
        <w:t xml:space="preserve"> 92/17)</w:t>
      </w:r>
      <w:r w:rsidR="008A4226" w:rsidRPr="007C4D65">
        <w:rPr>
          <w:rFonts w:asciiTheme="minorHAnsi" w:hAnsiTheme="minorHAnsi" w:cstheme="minorHAnsi"/>
          <w:sz w:val="22"/>
          <w:szCs w:val="22"/>
          <w:vertAlign w:val="superscript"/>
        </w:rPr>
        <w:fldChar w:fldCharType="end"/>
      </w:r>
      <w:r w:rsidRPr="007C4D65">
        <w:rPr>
          <w:rFonts w:asciiTheme="minorHAnsi" w:hAnsiTheme="minorHAnsi" w:cstheme="minorHAnsi"/>
          <w:sz w:val="22"/>
          <w:szCs w:val="22"/>
        </w:rPr>
        <w:t xml:space="preserve">. The industrial waste generators are obliged to prepare and implement a Waste Management Plan and internally nominate a person responsible for the waste management. They are required to manage the waste in an environmental friendly manner using the best available techniques (BAT), perform separate waste collection and storage, promote recycling, and if they do not have a licence to treat their own waste, they are required to confer this responsibility to the extended producer responsibility scheme operators for packaging waste and WEEE or private companies licensed for the management of special </w:t>
      </w:r>
      <w:r w:rsidR="00FD7932" w:rsidRPr="007C4D65">
        <w:rPr>
          <w:rFonts w:asciiTheme="minorHAnsi" w:hAnsiTheme="minorHAnsi" w:cstheme="minorHAnsi"/>
          <w:sz w:val="22"/>
          <w:szCs w:val="22"/>
        </w:rPr>
        <w:t>wastes</w:t>
      </w:r>
      <w:r w:rsidRPr="007C4D65">
        <w:rPr>
          <w:rFonts w:asciiTheme="minorHAnsi" w:hAnsiTheme="minorHAnsi" w:cstheme="minorHAnsi"/>
          <w:sz w:val="22"/>
          <w:szCs w:val="22"/>
        </w:rPr>
        <w:t xml:space="preserve"> such as sludge, batteries,</w:t>
      </w:r>
      <w:r w:rsidR="009E7C0F" w:rsidRPr="007C4D65">
        <w:rPr>
          <w:rFonts w:asciiTheme="minorHAnsi" w:hAnsiTheme="minorHAnsi" w:cstheme="minorHAnsi"/>
          <w:sz w:val="22"/>
          <w:szCs w:val="22"/>
        </w:rPr>
        <w:t xml:space="preserve"> </w:t>
      </w:r>
      <w:r w:rsidRPr="007C4D65">
        <w:rPr>
          <w:rFonts w:asciiTheme="minorHAnsi" w:hAnsiTheme="minorHAnsi" w:cstheme="minorHAnsi"/>
          <w:sz w:val="22"/>
          <w:szCs w:val="22"/>
        </w:rPr>
        <w:t>PCB/PCT, refuse oil, contaminated waste, medical waste, etc.</w:t>
      </w:r>
      <w:r w:rsidR="009E313F">
        <w:rPr>
          <w:rFonts w:asciiTheme="minorHAnsi" w:hAnsiTheme="minorHAnsi" w:cstheme="minorHAnsi"/>
          <w:sz w:val="22"/>
          <w:szCs w:val="22"/>
        </w:rPr>
        <w:t xml:space="preserve"> </w:t>
      </w:r>
      <w:r w:rsidRPr="007C4D65">
        <w:rPr>
          <w:rFonts w:asciiTheme="minorHAnsi" w:hAnsiTheme="minorHAnsi" w:cstheme="minorHAnsi"/>
          <w:sz w:val="22"/>
          <w:szCs w:val="22"/>
        </w:rPr>
        <w:t xml:space="preserve">While the system is relatively well regulated, many industries, primarily SMEs </w:t>
      </w:r>
      <w:proofErr w:type="gramStart"/>
      <w:r w:rsidRPr="007C4D65">
        <w:rPr>
          <w:rFonts w:asciiTheme="minorHAnsi" w:hAnsiTheme="minorHAnsi" w:cstheme="minorHAnsi"/>
          <w:sz w:val="22"/>
          <w:szCs w:val="22"/>
        </w:rPr>
        <w:t>in reality do</w:t>
      </w:r>
      <w:proofErr w:type="gramEnd"/>
      <w:r w:rsidRPr="007C4D65">
        <w:rPr>
          <w:rFonts w:asciiTheme="minorHAnsi" w:hAnsiTheme="minorHAnsi" w:cstheme="minorHAnsi"/>
          <w:sz w:val="22"/>
          <w:szCs w:val="22"/>
        </w:rPr>
        <w:t xml:space="preserve"> not comply with the requirements set forth in the environmental permits</w:t>
      </w:r>
      <w:r w:rsidR="009E7C0F" w:rsidRPr="007C4D65">
        <w:rPr>
          <w:rFonts w:asciiTheme="minorHAnsi" w:hAnsiTheme="minorHAnsi" w:cstheme="minorHAnsi"/>
          <w:sz w:val="22"/>
          <w:szCs w:val="22"/>
        </w:rPr>
        <w:t>.</w:t>
      </w:r>
      <w:r w:rsidRPr="007C4D65">
        <w:rPr>
          <w:rFonts w:asciiTheme="minorHAnsi" w:hAnsiTheme="minorHAnsi" w:cstheme="minorHAnsi"/>
          <w:sz w:val="22"/>
          <w:szCs w:val="22"/>
        </w:rPr>
        <w:t xml:space="preserve"> </w:t>
      </w:r>
      <w:proofErr w:type="gramStart"/>
      <w:r w:rsidRPr="007C4D65">
        <w:rPr>
          <w:rFonts w:asciiTheme="minorHAnsi" w:hAnsiTheme="minorHAnsi" w:cstheme="minorHAnsi"/>
          <w:sz w:val="22"/>
          <w:szCs w:val="22"/>
        </w:rPr>
        <w:t>A number of</w:t>
      </w:r>
      <w:proofErr w:type="gramEnd"/>
      <w:r w:rsidRPr="007C4D65">
        <w:rPr>
          <w:rFonts w:asciiTheme="minorHAnsi" w:hAnsiTheme="minorHAnsi" w:cstheme="minorHAnsi"/>
          <w:sz w:val="22"/>
          <w:szCs w:val="22"/>
        </w:rPr>
        <w:t xml:space="preserve"> the companies have been trying to meet the requirements only formally, while some other companies are not even fully aware of the legal requirements. Only a few of them fully comply with the requirements from environmental permits.</w:t>
      </w:r>
      <w:r w:rsidR="003A09F3" w:rsidRPr="007C4D65">
        <w:rPr>
          <w:rFonts w:asciiTheme="minorHAnsi" w:hAnsiTheme="minorHAnsi" w:cstheme="minorHAnsi"/>
          <w:sz w:val="22"/>
          <w:szCs w:val="22"/>
        </w:rPr>
        <w:t xml:space="preserve"> </w:t>
      </w:r>
      <w:r w:rsidRPr="007C4D65">
        <w:rPr>
          <w:rFonts w:asciiTheme="minorHAnsi" w:hAnsiTheme="minorHAnsi" w:cstheme="minorHAnsi"/>
          <w:sz w:val="22"/>
          <w:szCs w:val="22"/>
        </w:rPr>
        <w:t>Production systems mainly operate on the principle “generate and dispose” without implementing the techniques aimed at waste reducing, reusing or recycling. Some critical challenges include the lack of interest and motivation among the industries to engage and resource efficient and cleaner production, as well as the lack of understanding of relevant techniques for the management of special waste</w:t>
      </w:r>
      <w:r w:rsidR="00FD7932" w:rsidRPr="007C4D65">
        <w:rPr>
          <w:rFonts w:asciiTheme="minorHAnsi" w:hAnsiTheme="minorHAnsi" w:cstheme="minorHAnsi"/>
          <w:sz w:val="22"/>
          <w:szCs w:val="22"/>
        </w:rPr>
        <w:t>s</w:t>
      </w:r>
      <w:r w:rsidRPr="007C4D65">
        <w:rPr>
          <w:rFonts w:asciiTheme="minorHAnsi" w:hAnsiTheme="minorHAnsi" w:cstheme="minorHAnsi"/>
          <w:sz w:val="22"/>
          <w:szCs w:val="22"/>
        </w:rPr>
        <w:t xml:space="preserve">. Best available techniques reference documents for the waste management have not been prepared, and EU </w:t>
      </w:r>
      <w:r w:rsidR="00E87DA4" w:rsidRPr="007C4D65">
        <w:rPr>
          <w:rFonts w:asciiTheme="minorHAnsi" w:hAnsiTheme="minorHAnsi" w:cstheme="minorHAnsi"/>
          <w:sz w:val="22"/>
          <w:szCs w:val="22"/>
        </w:rPr>
        <w:t>guidelines</w:t>
      </w:r>
      <w:r w:rsidRPr="007C4D65">
        <w:rPr>
          <w:rFonts w:asciiTheme="minorHAnsi" w:hAnsiTheme="minorHAnsi" w:cstheme="minorHAnsi"/>
          <w:sz w:val="22"/>
          <w:szCs w:val="22"/>
        </w:rPr>
        <w:t xml:space="preserve"> have not been used. Industries need awareness raising on the obligations arising from the legislation applicable in the Federation, as well as knowledge and technical support in identification of relevant waste management practices, which could be implemented in the production process, including the techniques for waste storage and (preliminary) treatment.</w:t>
      </w:r>
    </w:p>
    <w:p w14:paraId="63728A4C" w14:textId="17E485AF" w:rsidR="00A374F8" w:rsidRPr="007C4D65" w:rsidRDefault="00A374F8"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lastRenderedPageBreak/>
        <w:t>As for medical waste, a survey among medical institutions undertaken by UNDP in 2020</w:t>
      </w:r>
      <w:r w:rsidRPr="007C4D65">
        <w:rPr>
          <w:rFonts w:asciiTheme="minorHAnsi" w:hAnsiTheme="minorHAnsi" w:cstheme="minorHAnsi"/>
          <w:sz w:val="22"/>
          <w:szCs w:val="22"/>
          <w:vertAlign w:val="superscript"/>
        </w:rPr>
        <w:footnoteReference w:id="14"/>
      </w:r>
      <w:r w:rsidRPr="007C4D65">
        <w:rPr>
          <w:rFonts w:asciiTheme="minorHAnsi" w:hAnsiTheme="minorHAnsi" w:cstheme="minorHAnsi"/>
          <w:sz w:val="22"/>
          <w:szCs w:val="22"/>
        </w:rPr>
        <w:t xml:space="preserve">, shows that all the institutions in the territory of Federation of BiH: comply with the entity legislation on the management of medical waste, and each institution possesses an internal waste management plan, </w:t>
      </w:r>
      <w:proofErr w:type="gramStart"/>
      <w:r w:rsidRPr="007C4D65">
        <w:rPr>
          <w:rFonts w:asciiTheme="minorHAnsi" w:hAnsiTheme="minorHAnsi" w:cstheme="minorHAnsi"/>
          <w:sz w:val="22"/>
          <w:szCs w:val="22"/>
        </w:rPr>
        <w:t>with the exception of</w:t>
      </w:r>
      <w:proofErr w:type="gramEnd"/>
      <w:r w:rsidRPr="007C4D65">
        <w:rPr>
          <w:rFonts w:asciiTheme="minorHAnsi" w:hAnsiTheme="minorHAnsi" w:cstheme="minorHAnsi"/>
          <w:sz w:val="22"/>
          <w:szCs w:val="22"/>
        </w:rPr>
        <w:t xml:space="preserve"> PI Health Centre </w:t>
      </w:r>
      <w:proofErr w:type="spellStart"/>
      <w:r w:rsidRPr="007C4D65">
        <w:rPr>
          <w:rFonts w:asciiTheme="minorHAnsi" w:hAnsiTheme="minorHAnsi" w:cstheme="minorHAnsi"/>
          <w:sz w:val="22"/>
          <w:szCs w:val="22"/>
        </w:rPr>
        <w:t>Livno</w:t>
      </w:r>
      <w:proofErr w:type="spellEnd"/>
      <w:r w:rsidRPr="007C4D65">
        <w:rPr>
          <w:rFonts w:asciiTheme="minorHAnsi" w:hAnsiTheme="minorHAnsi" w:cstheme="minorHAnsi"/>
          <w:sz w:val="22"/>
          <w:szCs w:val="22"/>
        </w:rPr>
        <w:t xml:space="preserve"> which has its own internal procedure for collection, separation, storage and treatment of infectious clinical waste (ICW). The University Clinic Sarajevo and the General Hospital “Prim. </w:t>
      </w:r>
      <w:proofErr w:type="spellStart"/>
      <w:r w:rsidRPr="007C4D65">
        <w:rPr>
          <w:rFonts w:asciiTheme="minorHAnsi" w:hAnsiTheme="minorHAnsi" w:cstheme="minorHAnsi"/>
          <w:sz w:val="22"/>
          <w:szCs w:val="22"/>
        </w:rPr>
        <w:t>Dr.</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Ab</w:t>
      </w:r>
      <w:r w:rsidR="00E87DA4" w:rsidRPr="007C4D65">
        <w:rPr>
          <w:rFonts w:asciiTheme="minorHAnsi" w:hAnsiTheme="minorHAnsi" w:cstheme="minorHAnsi"/>
          <w:sz w:val="22"/>
          <w:szCs w:val="22"/>
        </w:rPr>
        <w:t>du</w:t>
      </w:r>
      <w:r w:rsidRPr="007C4D65">
        <w:rPr>
          <w:rFonts w:asciiTheme="minorHAnsi" w:hAnsiTheme="minorHAnsi" w:cstheme="minorHAnsi"/>
          <w:sz w:val="22"/>
          <w:szCs w:val="22"/>
        </w:rPr>
        <w:t>lah</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Nakas</w:t>
      </w:r>
      <w:proofErr w:type="spellEnd"/>
      <w:r w:rsidRPr="007C4D65">
        <w:rPr>
          <w:rFonts w:asciiTheme="minorHAnsi" w:hAnsiTheme="minorHAnsi" w:cstheme="minorHAnsi"/>
          <w:sz w:val="22"/>
          <w:szCs w:val="22"/>
        </w:rPr>
        <w:t xml:space="preserve">” are the two institutions in the Federation of BiH licenced to manage ICW, and they both </w:t>
      </w:r>
      <w:proofErr w:type="gramStart"/>
      <w:r w:rsidRPr="007C4D65">
        <w:rPr>
          <w:rFonts w:asciiTheme="minorHAnsi" w:hAnsiTheme="minorHAnsi" w:cstheme="minorHAnsi"/>
          <w:sz w:val="22"/>
          <w:szCs w:val="22"/>
        </w:rPr>
        <w:t>possess  disinfecting</w:t>
      </w:r>
      <w:proofErr w:type="gramEnd"/>
      <w:r w:rsidRPr="007C4D65">
        <w:rPr>
          <w:rFonts w:asciiTheme="minorHAnsi" w:hAnsiTheme="minorHAnsi" w:cstheme="minorHAnsi"/>
          <w:sz w:val="22"/>
          <w:szCs w:val="22"/>
        </w:rPr>
        <w:t xml:space="preserve"> and sanitizing equipment. The University Clinic Sarajevo is licenced to treat their own waste, while General Hospital “Prim. </w:t>
      </w:r>
      <w:proofErr w:type="spellStart"/>
      <w:r w:rsidRPr="007C4D65">
        <w:rPr>
          <w:rFonts w:asciiTheme="minorHAnsi" w:hAnsiTheme="minorHAnsi" w:cstheme="minorHAnsi"/>
          <w:sz w:val="22"/>
          <w:szCs w:val="22"/>
        </w:rPr>
        <w:t>Dr.</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Ab</w:t>
      </w:r>
      <w:r w:rsidR="00624BB4" w:rsidRPr="007C4D65">
        <w:rPr>
          <w:rFonts w:asciiTheme="minorHAnsi" w:hAnsiTheme="minorHAnsi" w:cstheme="minorHAnsi"/>
          <w:sz w:val="22"/>
          <w:szCs w:val="22"/>
        </w:rPr>
        <w:t>du</w:t>
      </w:r>
      <w:r w:rsidRPr="007C4D65">
        <w:rPr>
          <w:rFonts w:asciiTheme="minorHAnsi" w:hAnsiTheme="minorHAnsi" w:cstheme="minorHAnsi"/>
          <w:sz w:val="22"/>
          <w:szCs w:val="22"/>
        </w:rPr>
        <w:t>lah</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Nakas</w:t>
      </w:r>
      <w:proofErr w:type="spellEnd"/>
      <w:r w:rsidRPr="007C4D65">
        <w:rPr>
          <w:rFonts w:asciiTheme="minorHAnsi" w:hAnsiTheme="minorHAnsi" w:cstheme="minorHAnsi"/>
          <w:sz w:val="22"/>
          <w:szCs w:val="22"/>
        </w:rPr>
        <w:t>” is licenced to treat their own waste and waste from other institutions for commercial purposes. It is necessary to provide other centres in Federation of BiH with this equipment for safe disposal of infectious clinical waste. These centres could serve as temporary holding zones of infectious waste from associated health centres. The health centres currently have contracts with business companies for the transport and treatment of ICW. Depending on contractual arrangements, some operators also provide their containers for collection of ICW. According to data collected, all the institutions have regular trainings for their employees.</w:t>
      </w:r>
    </w:p>
    <w:p w14:paraId="3C307B06" w14:textId="6158C063" w:rsidR="00A374F8" w:rsidRPr="007C4D65" w:rsidRDefault="00A374F8"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Some </w:t>
      </w:r>
      <w:r w:rsidR="00FD7932" w:rsidRPr="007C4D65">
        <w:rPr>
          <w:rFonts w:asciiTheme="minorHAnsi" w:hAnsiTheme="minorHAnsi" w:cstheme="minorHAnsi"/>
          <w:sz w:val="22"/>
          <w:szCs w:val="22"/>
        </w:rPr>
        <w:t>industries</w:t>
      </w:r>
      <w:r w:rsidRPr="007C4D65">
        <w:rPr>
          <w:rFonts w:asciiTheme="minorHAnsi" w:hAnsiTheme="minorHAnsi" w:cstheme="minorHAnsi"/>
          <w:sz w:val="22"/>
          <w:szCs w:val="22"/>
        </w:rPr>
        <w:t>, due to the nature of their manufacturing processes, generate huge amounts of hazardous and non-hazardous waste which they keep in their own facilities. (</w:t>
      </w:r>
      <w:proofErr w:type="gramStart"/>
      <w:r w:rsidRPr="007C4D65">
        <w:rPr>
          <w:rFonts w:asciiTheme="minorHAnsi" w:hAnsiTheme="minorHAnsi" w:cstheme="minorHAnsi"/>
          <w:sz w:val="22"/>
          <w:szCs w:val="22"/>
        </w:rPr>
        <w:t>for</w:t>
      </w:r>
      <w:proofErr w:type="gramEnd"/>
      <w:r w:rsidRPr="007C4D65">
        <w:rPr>
          <w:rFonts w:asciiTheme="minorHAnsi" w:hAnsiTheme="minorHAnsi" w:cstheme="minorHAnsi"/>
          <w:sz w:val="22"/>
          <w:szCs w:val="22"/>
        </w:rPr>
        <w:t xml:space="preserve"> example, </w:t>
      </w:r>
      <w:proofErr w:type="spellStart"/>
      <w:r w:rsidRPr="007C4D65">
        <w:rPr>
          <w:rFonts w:asciiTheme="minorHAnsi" w:hAnsiTheme="minorHAnsi" w:cstheme="minorHAnsi"/>
          <w:i/>
          <w:sz w:val="22"/>
          <w:szCs w:val="22"/>
        </w:rPr>
        <w:t>Aluminij</w:t>
      </w:r>
      <w:proofErr w:type="spellEnd"/>
      <w:r w:rsidRPr="007C4D65">
        <w:rPr>
          <w:rFonts w:asciiTheme="minorHAnsi" w:hAnsiTheme="minorHAnsi" w:cstheme="minorHAnsi"/>
          <w:sz w:val="22"/>
          <w:szCs w:val="22"/>
        </w:rPr>
        <w:t xml:space="preserve"> Mostar, </w:t>
      </w:r>
      <w:r w:rsidRPr="007C4D65">
        <w:rPr>
          <w:rFonts w:asciiTheme="minorHAnsi" w:hAnsiTheme="minorHAnsi" w:cstheme="minorHAnsi"/>
          <w:i/>
          <w:sz w:val="22"/>
          <w:szCs w:val="22"/>
        </w:rPr>
        <w:t>Mittal</w:t>
      </w:r>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Zenica</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i/>
          <w:sz w:val="22"/>
          <w:szCs w:val="22"/>
        </w:rPr>
        <w:t>Sisecam</w:t>
      </w:r>
      <w:proofErr w:type="spellEnd"/>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Lukavac</w:t>
      </w:r>
      <w:proofErr w:type="spellEnd"/>
      <w:r w:rsidRPr="007C4D65">
        <w:rPr>
          <w:rFonts w:asciiTheme="minorHAnsi" w:hAnsiTheme="minorHAnsi" w:cstheme="minorHAnsi"/>
          <w:sz w:val="22"/>
          <w:szCs w:val="22"/>
        </w:rPr>
        <w:t xml:space="preserve">, TE </w:t>
      </w:r>
      <w:proofErr w:type="spellStart"/>
      <w:r w:rsidRPr="007C4D65">
        <w:rPr>
          <w:rFonts w:asciiTheme="minorHAnsi" w:hAnsiTheme="minorHAnsi" w:cstheme="minorHAnsi"/>
          <w:sz w:val="22"/>
          <w:szCs w:val="22"/>
        </w:rPr>
        <w:t>Kakanj</w:t>
      </w:r>
      <w:proofErr w:type="spellEnd"/>
      <w:r w:rsidRPr="007C4D65">
        <w:rPr>
          <w:rFonts w:asciiTheme="minorHAnsi" w:hAnsiTheme="minorHAnsi" w:cstheme="minorHAnsi"/>
          <w:sz w:val="22"/>
          <w:szCs w:val="22"/>
        </w:rPr>
        <w:t xml:space="preserve">, TE Tuzla). Different studies and analysis undertaken in the past indicate that there could be hundreds of such industrial ecological hotspots. </w:t>
      </w:r>
      <w:r w:rsidR="00624BB4" w:rsidRPr="007C4D65">
        <w:rPr>
          <w:rFonts w:asciiTheme="minorHAnsi" w:hAnsiTheme="minorHAnsi" w:cstheme="minorHAnsi"/>
          <w:sz w:val="22"/>
          <w:szCs w:val="22"/>
        </w:rPr>
        <w:t>Unfortunately</w:t>
      </w:r>
      <w:r w:rsidRPr="007C4D65">
        <w:rPr>
          <w:rFonts w:asciiTheme="minorHAnsi" w:hAnsiTheme="minorHAnsi" w:cstheme="minorHAnsi"/>
          <w:sz w:val="22"/>
          <w:szCs w:val="22"/>
        </w:rPr>
        <w:t xml:space="preserve">, a </w:t>
      </w:r>
      <w:r w:rsidR="00624BB4" w:rsidRPr="007C4D65">
        <w:rPr>
          <w:rFonts w:asciiTheme="minorHAnsi" w:hAnsiTheme="minorHAnsi" w:cstheme="minorHAnsi"/>
          <w:sz w:val="22"/>
          <w:szCs w:val="22"/>
        </w:rPr>
        <w:t>comprehensive</w:t>
      </w:r>
      <w:r w:rsidRPr="007C4D65">
        <w:rPr>
          <w:rFonts w:asciiTheme="minorHAnsi" w:hAnsiTheme="minorHAnsi" w:cstheme="minorHAnsi"/>
          <w:sz w:val="22"/>
          <w:szCs w:val="22"/>
        </w:rPr>
        <w:t xml:space="preserve"> mapping of these sites has never been made. Some of these sites are the legacy from the time of the Socialist Federal Republic of Yugoslavia and they commonly have not owner, such as HAK Tuzla, KTK </w:t>
      </w:r>
      <w:proofErr w:type="spellStart"/>
      <w:r w:rsidRPr="007C4D65">
        <w:rPr>
          <w:rFonts w:asciiTheme="minorHAnsi" w:hAnsiTheme="minorHAnsi" w:cstheme="minorHAnsi"/>
          <w:sz w:val="22"/>
          <w:szCs w:val="22"/>
        </w:rPr>
        <w:t>Visoko</w:t>
      </w:r>
      <w:proofErr w:type="spellEnd"/>
      <w:r w:rsidRPr="007C4D65">
        <w:rPr>
          <w:rFonts w:asciiTheme="minorHAnsi" w:hAnsiTheme="minorHAnsi" w:cstheme="minorHAnsi"/>
          <w:sz w:val="22"/>
          <w:szCs w:val="22"/>
        </w:rPr>
        <w:t xml:space="preserve">, abandoned mine waste heaps in </w:t>
      </w:r>
      <w:proofErr w:type="spellStart"/>
      <w:r w:rsidRPr="007C4D65">
        <w:rPr>
          <w:rFonts w:asciiTheme="minorHAnsi" w:hAnsiTheme="minorHAnsi" w:cstheme="minorHAnsi"/>
          <w:sz w:val="22"/>
          <w:szCs w:val="22"/>
        </w:rPr>
        <w:t>Vares</w:t>
      </w:r>
      <w:proofErr w:type="spellEnd"/>
      <w:r w:rsidRPr="007C4D65">
        <w:rPr>
          <w:rFonts w:asciiTheme="minorHAnsi" w:hAnsiTheme="minorHAnsi" w:cstheme="minorHAnsi"/>
          <w:sz w:val="22"/>
          <w:szCs w:val="22"/>
        </w:rPr>
        <w:t xml:space="preserve">, etc. In addition to abandoned industrial sites, BiH has a significant number of legacy military </w:t>
      </w:r>
      <w:proofErr w:type="gramStart"/>
      <w:r w:rsidRPr="007C4D65">
        <w:rPr>
          <w:rFonts w:asciiTheme="minorHAnsi" w:hAnsiTheme="minorHAnsi" w:cstheme="minorHAnsi"/>
          <w:sz w:val="22"/>
          <w:szCs w:val="22"/>
        </w:rPr>
        <w:t>sites  with</w:t>
      </w:r>
      <w:proofErr w:type="gramEnd"/>
      <w:r w:rsidRPr="007C4D65">
        <w:rPr>
          <w:rFonts w:asciiTheme="minorHAnsi" w:hAnsiTheme="minorHAnsi" w:cstheme="minorHAnsi"/>
          <w:sz w:val="22"/>
          <w:szCs w:val="22"/>
        </w:rPr>
        <w:t xml:space="preserve"> underground storage facilities which contain old EE equipment (electric transformers, condensers, ventilation systems, etc.) Mapping of all these sites and identifying funds and technical support for adequate disposal of legacy waste is a key challenge.</w:t>
      </w:r>
    </w:p>
    <w:p w14:paraId="2AEC60DC" w14:textId="271951E8" w:rsidR="00597D54" w:rsidRPr="007C4D65" w:rsidRDefault="00A374F8"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Generally, the awareness on waste management is very low. Citizens mainly remain poorly informed and aware where the waste ends up after they dispose it in containers. This is partly the reason why the population are not ready to pay higher fees which should contribute to the improvement of the system. Some also </w:t>
      </w:r>
      <w:r w:rsidR="00624BB4" w:rsidRPr="007C4D65">
        <w:rPr>
          <w:rFonts w:asciiTheme="minorHAnsi" w:hAnsiTheme="minorHAnsi" w:cstheme="minorHAnsi"/>
          <w:sz w:val="22"/>
          <w:szCs w:val="22"/>
        </w:rPr>
        <w:t>falsely</w:t>
      </w:r>
      <w:r w:rsidRPr="007C4D65">
        <w:rPr>
          <w:rFonts w:asciiTheme="minorHAnsi" w:hAnsiTheme="minorHAnsi" w:cstheme="minorHAnsi"/>
          <w:sz w:val="22"/>
          <w:szCs w:val="22"/>
        </w:rPr>
        <w:t xml:space="preserve"> believe that only the procurement of equipment and sophisticated technical solutions can address overwhelming problems in the utility industry and that the engagement of the private sector could bring progress. It is also obvious that th</w:t>
      </w:r>
      <w:r w:rsidR="00624BB4" w:rsidRPr="007C4D65">
        <w:rPr>
          <w:rFonts w:asciiTheme="minorHAnsi" w:hAnsiTheme="minorHAnsi" w:cstheme="minorHAnsi"/>
          <w:sz w:val="22"/>
          <w:szCs w:val="22"/>
        </w:rPr>
        <w:t>e</w:t>
      </w:r>
      <w:r w:rsidRPr="007C4D65">
        <w:rPr>
          <w:rFonts w:asciiTheme="minorHAnsi" w:hAnsiTheme="minorHAnsi" w:cstheme="minorHAnsi"/>
          <w:sz w:val="22"/>
          <w:szCs w:val="22"/>
        </w:rPr>
        <w:t xml:space="preserve">re is a lack of understanding of the linkage between poor waste management and ecological and economic damages caused by such management, both at the local and entity, as well as the national level. There is a clear need for a better, more focused communication with the </w:t>
      </w:r>
      <w:r w:rsidR="00624BB4" w:rsidRPr="007C4D65">
        <w:rPr>
          <w:rFonts w:asciiTheme="minorHAnsi" w:hAnsiTheme="minorHAnsi" w:cstheme="minorHAnsi"/>
          <w:sz w:val="22"/>
          <w:szCs w:val="22"/>
        </w:rPr>
        <w:t>population</w:t>
      </w:r>
      <w:r w:rsidRPr="007C4D65">
        <w:rPr>
          <w:rFonts w:asciiTheme="minorHAnsi" w:hAnsiTheme="minorHAnsi" w:cstheme="minorHAnsi"/>
          <w:sz w:val="22"/>
          <w:szCs w:val="22"/>
        </w:rPr>
        <w:t xml:space="preserve"> and business community, </w:t>
      </w:r>
      <w:r w:rsidR="00624BB4" w:rsidRPr="007C4D65">
        <w:rPr>
          <w:rFonts w:asciiTheme="minorHAnsi" w:hAnsiTheme="minorHAnsi" w:cstheme="minorHAnsi"/>
          <w:sz w:val="22"/>
          <w:szCs w:val="22"/>
        </w:rPr>
        <w:t>particularly</w:t>
      </w:r>
      <w:r w:rsidRPr="007C4D65">
        <w:rPr>
          <w:rFonts w:asciiTheme="minorHAnsi" w:hAnsiTheme="minorHAnsi" w:cstheme="minorHAnsi"/>
          <w:sz w:val="22"/>
          <w:szCs w:val="22"/>
        </w:rPr>
        <w:t xml:space="preserve"> those who are required to improve their management of waste through environmental permits or extended producer responsibility schemes. Without the support of the public and business community and keen attitude, improvement of technical and operational capacities alone will not be sufficient for a breakthrough and transition from the linear to a circular economy.</w:t>
      </w:r>
    </w:p>
    <w:p w14:paraId="494C9CEE" w14:textId="77777777" w:rsidR="00597D54" w:rsidRPr="007C4D65" w:rsidRDefault="00597D54" w:rsidP="0068355A">
      <w:pPr>
        <w:spacing w:after="160" w:line="276" w:lineRule="auto"/>
        <w:rPr>
          <w:rFonts w:asciiTheme="minorHAnsi" w:hAnsiTheme="minorHAnsi" w:cstheme="minorHAnsi"/>
          <w:sz w:val="22"/>
          <w:szCs w:val="22"/>
        </w:rPr>
      </w:pPr>
      <w:r w:rsidRPr="007C4D65">
        <w:rPr>
          <w:rFonts w:asciiTheme="minorHAnsi" w:hAnsiTheme="minorHAnsi" w:cstheme="minorHAnsi"/>
          <w:sz w:val="22"/>
          <w:szCs w:val="22"/>
        </w:rPr>
        <w:br w:type="page"/>
      </w:r>
    </w:p>
    <w:p w14:paraId="1B2D3B78" w14:textId="0EB452CF" w:rsidR="00A374F8" w:rsidRPr="007C4D65" w:rsidRDefault="00597D54">
      <w:pPr>
        <w:pStyle w:val="Head2"/>
        <w:spacing w:line="276" w:lineRule="auto"/>
        <w:rPr>
          <w:rFonts w:asciiTheme="minorHAnsi" w:hAnsiTheme="minorHAnsi"/>
        </w:rPr>
      </w:pPr>
      <w:bookmarkStart w:id="94" w:name="_Toc117445337"/>
      <w:r w:rsidRPr="007C4D65">
        <w:rPr>
          <w:rFonts w:asciiTheme="minorHAnsi" w:hAnsiTheme="minorHAnsi"/>
        </w:rPr>
        <w:lastRenderedPageBreak/>
        <w:t xml:space="preserve">Strategic </w:t>
      </w:r>
      <w:r w:rsidR="00624BB4" w:rsidRPr="007C4D65">
        <w:rPr>
          <w:rFonts w:asciiTheme="minorHAnsi" w:hAnsiTheme="minorHAnsi"/>
        </w:rPr>
        <w:t>g</w:t>
      </w:r>
      <w:r w:rsidRPr="007C4D65">
        <w:rPr>
          <w:rFonts w:asciiTheme="minorHAnsi" w:hAnsiTheme="minorHAnsi"/>
        </w:rPr>
        <w:t>oal 2</w:t>
      </w:r>
      <w:bookmarkEnd w:id="94"/>
    </w:p>
    <w:p w14:paraId="314F1860" w14:textId="7A16C81A" w:rsidR="009D7400" w:rsidRPr="007C4D65" w:rsidRDefault="009D7400" w:rsidP="0068355A">
      <w:pPr>
        <w:spacing w:before="240" w:after="240" w:line="276" w:lineRule="auto"/>
        <w:jc w:val="both"/>
        <w:rPr>
          <w:rFonts w:asciiTheme="minorHAnsi" w:hAnsiTheme="minorHAnsi" w:cstheme="minorHAnsi"/>
          <w:b/>
          <w:sz w:val="22"/>
          <w:szCs w:val="22"/>
        </w:rPr>
      </w:pPr>
      <w:r w:rsidRPr="007C4D65">
        <w:rPr>
          <w:rFonts w:asciiTheme="minorHAnsi" w:hAnsiTheme="minorHAnsi" w:cstheme="minorHAnsi"/>
          <w:b/>
          <w:sz w:val="22"/>
        </w:rPr>
        <w:t>Strategic goal 2</w:t>
      </w:r>
      <w:r w:rsidR="001B4E0A" w:rsidRPr="007C4D65">
        <w:rPr>
          <w:rFonts w:asciiTheme="minorHAnsi" w:hAnsiTheme="minorHAnsi" w:cstheme="minorHAnsi"/>
          <w:b/>
          <w:sz w:val="22"/>
        </w:rPr>
        <w:t xml:space="preserve"> -</w:t>
      </w:r>
      <w:r w:rsidRPr="007C4D65">
        <w:rPr>
          <w:rFonts w:asciiTheme="minorHAnsi" w:hAnsiTheme="minorHAnsi" w:cstheme="minorHAnsi"/>
          <w:b/>
          <w:sz w:val="22"/>
        </w:rPr>
        <w:t xml:space="preserve"> Reducing waste and increasing </w:t>
      </w:r>
      <w:r w:rsidR="008218CA" w:rsidRPr="007C4D65">
        <w:rPr>
          <w:rFonts w:asciiTheme="minorHAnsi" w:hAnsiTheme="minorHAnsi" w:cstheme="minorHAnsi"/>
          <w:b/>
          <w:sz w:val="22"/>
        </w:rPr>
        <w:t xml:space="preserve">the </w:t>
      </w:r>
      <w:r w:rsidRPr="007C4D65">
        <w:rPr>
          <w:rFonts w:asciiTheme="minorHAnsi" w:hAnsiTheme="minorHAnsi" w:cstheme="minorHAnsi"/>
          <w:b/>
          <w:sz w:val="22"/>
        </w:rPr>
        <w:t>reuse of materials</w:t>
      </w:r>
    </w:p>
    <w:p w14:paraId="4266F40A" w14:textId="6D70DE4D" w:rsidR="009D7400" w:rsidRPr="007C4D65" w:rsidRDefault="009D7400" w:rsidP="0068355A">
      <w:pPr>
        <w:spacing w:after="160" w:line="276" w:lineRule="auto"/>
        <w:jc w:val="both"/>
        <w:rPr>
          <w:rFonts w:asciiTheme="minorHAnsi" w:eastAsiaTheme="minorHAnsi" w:hAnsiTheme="minorHAnsi" w:cstheme="minorHAnsi"/>
          <w:sz w:val="22"/>
          <w:szCs w:val="22"/>
        </w:rPr>
      </w:pPr>
      <w:r w:rsidRPr="007C4D65">
        <w:rPr>
          <w:rFonts w:asciiTheme="minorHAnsi" w:hAnsiTheme="minorHAnsi" w:cstheme="minorHAnsi"/>
          <w:color w:val="000000"/>
          <w:sz w:val="22"/>
        </w:rPr>
        <w:t>Strategic goal 2 covers thematic areas such as household waste, biowaste, industrial waste, electronic, and nuclear waste, waste separation, collection, disposal, landfilling, incineration, and circular economy which keeps materials and product in use and recycles them in other products.</w:t>
      </w:r>
      <w:r w:rsidRPr="007C4D65">
        <w:rPr>
          <w:rFonts w:asciiTheme="minorHAnsi" w:hAnsiTheme="minorHAnsi" w:cstheme="minorHAnsi"/>
          <w:sz w:val="22"/>
        </w:rPr>
        <w:t xml:space="preserve"> </w:t>
      </w:r>
    </w:p>
    <w:p w14:paraId="02AD0352" w14:textId="5B91F124" w:rsidR="009D7400" w:rsidRPr="007C4D65" w:rsidRDefault="001B27C0" w:rsidP="0068355A">
      <w:pPr>
        <w:pStyle w:val="Caption"/>
        <w:spacing w:line="276" w:lineRule="auto"/>
        <w:rPr>
          <w:rFonts w:asciiTheme="minorHAnsi" w:hAnsiTheme="minorHAnsi" w:cstheme="minorHAnsi"/>
          <w:b w:val="0"/>
        </w:rPr>
      </w:pPr>
      <w:bookmarkStart w:id="95" w:name="_Toc117011590"/>
      <w:r w:rsidRPr="007C4D65">
        <w:rPr>
          <w:rFonts w:asciiTheme="minorHAnsi" w:hAnsiTheme="minorHAnsi" w:cstheme="minorHAnsi"/>
        </w:rPr>
        <w:t xml:space="preserve">Table </w:t>
      </w:r>
      <w:bookmarkStart w:id="96" w:name="tabela11"/>
      <w:r w:rsidRPr="007C4D65">
        <w:rPr>
          <w:rFonts w:asciiTheme="minorHAnsi" w:hAnsiTheme="minorHAnsi" w:cstheme="minorHAnsi"/>
        </w:rPr>
        <w:fldChar w:fldCharType="begin"/>
      </w:r>
      <w:r w:rsidRPr="007C4D65">
        <w:rPr>
          <w:rFonts w:asciiTheme="minorHAnsi" w:hAnsiTheme="minorHAnsi" w:cstheme="minorHAnsi"/>
        </w:rPr>
        <w:instrText xml:space="preserve"> SEQ Tabela \* ARABIC </w:instrText>
      </w:r>
      <w:r w:rsidRPr="007C4D65">
        <w:rPr>
          <w:rFonts w:asciiTheme="minorHAnsi" w:hAnsiTheme="minorHAnsi" w:cstheme="minorHAnsi"/>
        </w:rPr>
        <w:fldChar w:fldCharType="separate"/>
      </w:r>
      <w:r w:rsidR="00005022" w:rsidRPr="007C4D65">
        <w:rPr>
          <w:rFonts w:asciiTheme="minorHAnsi" w:hAnsiTheme="minorHAnsi" w:cstheme="minorHAnsi"/>
          <w:noProof/>
        </w:rPr>
        <w:t>11</w:t>
      </w:r>
      <w:r w:rsidRPr="007C4D65">
        <w:rPr>
          <w:rFonts w:asciiTheme="minorHAnsi" w:hAnsiTheme="minorHAnsi" w:cstheme="minorHAnsi"/>
        </w:rPr>
        <w:fldChar w:fldCharType="end"/>
      </w:r>
      <w:bookmarkEnd w:id="96"/>
      <w:r w:rsidRPr="007C4D65">
        <w:rPr>
          <w:rFonts w:asciiTheme="minorHAnsi" w:hAnsiTheme="minorHAnsi" w:cstheme="minorHAnsi"/>
        </w:rPr>
        <w:t xml:space="preserve">: </w:t>
      </w:r>
      <w:r w:rsidRPr="007C4D65">
        <w:rPr>
          <w:rFonts w:asciiTheme="minorHAnsi" w:hAnsiTheme="minorHAnsi" w:cstheme="minorHAnsi"/>
          <w:b w:val="0"/>
        </w:rPr>
        <w:t>Impact indicators for strategic goal 2</w:t>
      </w:r>
      <w:bookmarkEnd w:id="95"/>
    </w:p>
    <w:tbl>
      <w:tblPr>
        <w:tblStyle w:val="TableGridLight1"/>
        <w:tblW w:w="8926" w:type="dxa"/>
        <w:tblInd w:w="113" w:type="dxa"/>
        <w:tblLook w:val="04A0" w:firstRow="1" w:lastRow="0" w:firstColumn="1" w:lastColumn="0" w:noHBand="0" w:noVBand="1"/>
      </w:tblPr>
      <w:tblGrid>
        <w:gridCol w:w="2122"/>
        <w:gridCol w:w="2268"/>
        <w:gridCol w:w="2268"/>
        <w:gridCol w:w="2268"/>
      </w:tblGrid>
      <w:tr w:rsidR="009D7400" w:rsidRPr="007C4D65" w14:paraId="0D5DD35D" w14:textId="77777777" w:rsidTr="00076544">
        <w:trPr>
          <w:trHeight w:val="421"/>
        </w:trPr>
        <w:tc>
          <w:tcPr>
            <w:tcW w:w="2122" w:type="dxa"/>
            <w:shd w:val="clear" w:color="auto" w:fill="009D73"/>
            <w:vAlign w:val="center"/>
          </w:tcPr>
          <w:p w14:paraId="4265128B" w14:textId="77777777" w:rsidR="009D7400" w:rsidRPr="007C4D65" w:rsidRDefault="009D7400" w:rsidP="0068355A">
            <w:pPr>
              <w:tabs>
                <w:tab w:val="left" w:pos="955"/>
              </w:tabs>
              <w:spacing w:line="276" w:lineRule="auto"/>
              <w:jc w:val="center"/>
              <w:rPr>
                <w:rFonts w:asciiTheme="minorHAnsi" w:hAnsiTheme="minorHAnsi" w:cstheme="minorHAnsi"/>
                <w:b/>
                <w:color w:val="FFFFFF" w:themeColor="background1"/>
                <w:sz w:val="18"/>
                <w:szCs w:val="18"/>
              </w:rPr>
            </w:pPr>
            <w:bookmarkStart w:id="97" w:name="_Hlk104490986"/>
            <w:r w:rsidRPr="007C4D65">
              <w:rPr>
                <w:rFonts w:asciiTheme="minorHAnsi" w:hAnsiTheme="minorHAnsi" w:cstheme="minorHAnsi"/>
                <w:b/>
                <w:color w:val="FFFFFF" w:themeColor="background1"/>
                <w:sz w:val="18"/>
              </w:rPr>
              <w:t>Strategic goal 2</w:t>
            </w:r>
          </w:p>
        </w:tc>
        <w:tc>
          <w:tcPr>
            <w:tcW w:w="2268" w:type="dxa"/>
            <w:shd w:val="clear" w:color="auto" w:fill="009D73"/>
            <w:vAlign w:val="center"/>
          </w:tcPr>
          <w:p w14:paraId="3A85295A" w14:textId="77777777" w:rsidR="009D7400" w:rsidRPr="007C4D65" w:rsidRDefault="009D7400" w:rsidP="0068355A">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Impact indicators</w:t>
            </w:r>
          </w:p>
        </w:tc>
        <w:tc>
          <w:tcPr>
            <w:tcW w:w="2268" w:type="dxa"/>
            <w:shd w:val="clear" w:color="auto" w:fill="009D73"/>
            <w:vAlign w:val="center"/>
          </w:tcPr>
          <w:p w14:paraId="21903DC9" w14:textId="77777777" w:rsidR="009D7400" w:rsidRPr="007C4D65" w:rsidRDefault="009D7400" w:rsidP="0068355A">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Baseline value</w:t>
            </w:r>
          </w:p>
        </w:tc>
        <w:tc>
          <w:tcPr>
            <w:tcW w:w="2268" w:type="dxa"/>
            <w:shd w:val="clear" w:color="auto" w:fill="009D73"/>
            <w:vAlign w:val="center"/>
          </w:tcPr>
          <w:p w14:paraId="359F0490" w14:textId="77777777" w:rsidR="009D7400" w:rsidRPr="007C4D65" w:rsidRDefault="009D7400" w:rsidP="0068355A">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Target value</w:t>
            </w:r>
          </w:p>
          <w:p w14:paraId="307ED929" w14:textId="77777777" w:rsidR="009D7400" w:rsidRPr="007C4D65" w:rsidRDefault="009D7400" w:rsidP="0068355A">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(To be determined in the initial years of the implementation)</w:t>
            </w:r>
          </w:p>
        </w:tc>
      </w:tr>
      <w:tr w:rsidR="009D7400" w:rsidRPr="007C4D65" w14:paraId="1F49B4D6" w14:textId="77777777" w:rsidTr="00076544">
        <w:trPr>
          <w:trHeight w:val="360"/>
        </w:trPr>
        <w:tc>
          <w:tcPr>
            <w:tcW w:w="2122" w:type="dxa"/>
            <w:vMerge w:val="restart"/>
            <w:vAlign w:val="center"/>
          </w:tcPr>
          <w:p w14:paraId="6382459D" w14:textId="77777777" w:rsidR="009D7400" w:rsidRPr="007C4D65" w:rsidRDefault="009D7400" w:rsidP="0068355A">
            <w:pPr>
              <w:tabs>
                <w:tab w:val="left" w:pos="955"/>
              </w:tabs>
              <w:spacing w:line="276" w:lineRule="auto"/>
              <w:rPr>
                <w:rFonts w:asciiTheme="minorHAnsi" w:hAnsiTheme="minorHAnsi" w:cstheme="minorHAnsi"/>
                <w:b/>
                <w:bCs/>
                <w:sz w:val="18"/>
                <w:szCs w:val="18"/>
              </w:rPr>
            </w:pPr>
            <w:r w:rsidRPr="007C4D65">
              <w:rPr>
                <w:rFonts w:asciiTheme="minorHAnsi" w:hAnsiTheme="minorHAnsi" w:cstheme="minorHAnsi"/>
                <w:i/>
                <w:sz w:val="18"/>
              </w:rPr>
              <w:t>Reducing waste and increasing reuse of materials</w:t>
            </w:r>
          </w:p>
        </w:tc>
        <w:tc>
          <w:tcPr>
            <w:tcW w:w="2268" w:type="dxa"/>
            <w:vAlign w:val="center"/>
          </w:tcPr>
          <w:p w14:paraId="17B58608" w14:textId="77777777" w:rsidR="009D7400" w:rsidRPr="007C4D65" w:rsidRDefault="009D7400" w:rsidP="0068355A">
            <w:pPr>
              <w:tabs>
                <w:tab w:val="left" w:pos="955"/>
              </w:tabs>
              <w:spacing w:line="276" w:lineRule="auto"/>
              <w:rPr>
                <w:rFonts w:asciiTheme="minorHAnsi" w:hAnsiTheme="minorHAnsi" w:cstheme="minorHAnsi"/>
                <w:sz w:val="18"/>
                <w:szCs w:val="18"/>
              </w:rPr>
            </w:pPr>
            <w:r w:rsidRPr="007C4D65">
              <w:rPr>
                <w:rFonts w:asciiTheme="minorHAnsi" w:hAnsiTheme="minorHAnsi" w:cstheme="minorHAnsi"/>
                <w:b/>
                <w:sz w:val="18"/>
              </w:rPr>
              <w:t>Total waste disposed (t)</w:t>
            </w:r>
          </w:p>
        </w:tc>
        <w:tc>
          <w:tcPr>
            <w:tcW w:w="2268" w:type="dxa"/>
            <w:vAlign w:val="center"/>
          </w:tcPr>
          <w:p w14:paraId="29E3AD43" w14:textId="77777777" w:rsidR="009D7400" w:rsidRPr="007C4D65" w:rsidRDefault="009D7400" w:rsidP="0068355A">
            <w:pPr>
              <w:spacing w:line="276" w:lineRule="auto"/>
              <w:jc w:val="center"/>
              <w:rPr>
                <w:rFonts w:asciiTheme="minorHAnsi" w:hAnsiTheme="minorHAnsi" w:cstheme="minorHAnsi"/>
                <w:sz w:val="18"/>
                <w:szCs w:val="18"/>
              </w:rPr>
            </w:pPr>
            <w:r w:rsidRPr="007C4D65">
              <w:rPr>
                <w:rFonts w:asciiTheme="minorHAnsi" w:hAnsiTheme="minorHAnsi" w:cstheme="minorHAnsi"/>
                <w:sz w:val="18"/>
              </w:rPr>
              <w:t>577,685</w:t>
            </w:r>
          </w:p>
          <w:p w14:paraId="1E7A9A57" w14:textId="77777777" w:rsidR="009D7400" w:rsidRPr="007C4D65" w:rsidRDefault="009D7400" w:rsidP="0068355A">
            <w:pPr>
              <w:tabs>
                <w:tab w:val="left" w:pos="955"/>
              </w:tabs>
              <w:spacing w:line="276" w:lineRule="auto"/>
              <w:jc w:val="center"/>
              <w:rPr>
                <w:rFonts w:asciiTheme="minorHAnsi" w:hAnsiTheme="minorHAnsi" w:cstheme="minorHAnsi"/>
                <w:sz w:val="18"/>
                <w:szCs w:val="18"/>
              </w:rPr>
            </w:pPr>
            <w:r w:rsidRPr="007C4D65">
              <w:rPr>
                <w:rFonts w:asciiTheme="minorHAnsi" w:hAnsiTheme="minorHAnsi" w:cstheme="minorHAnsi"/>
                <w:sz w:val="18"/>
              </w:rPr>
              <w:t>(2020)</w:t>
            </w:r>
          </w:p>
        </w:tc>
        <w:tc>
          <w:tcPr>
            <w:tcW w:w="2268" w:type="dxa"/>
            <w:vAlign w:val="center"/>
          </w:tcPr>
          <w:p w14:paraId="607FBB85" w14:textId="77777777" w:rsidR="009D7400" w:rsidRPr="007C4D65" w:rsidRDefault="009D7400" w:rsidP="0068355A">
            <w:pPr>
              <w:tabs>
                <w:tab w:val="left" w:pos="955"/>
              </w:tabs>
              <w:spacing w:line="276" w:lineRule="auto"/>
              <w:jc w:val="center"/>
              <w:rPr>
                <w:rFonts w:asciiTheme="minorHAnsi" w:hAnsiTheme="minorHAnsi" w:cstheme="minorHAnsi"/>
                <w:sz w:val="18"/>
                <w:szCs w:val="18"/>
              </w:rPr>
            </w:pPr>
            <w:r w:rsidRPr="007C4D65">
              <w:rPr>
                <w:rFonts w:asciiTheme="minorHAnsi" w:hAnsiTheme="minorHAnsi" w:cstheme="minorHAnsi"/>
                <w:sz w:val="18"/>
              </w:rPr>
              <w:t>...</w:t>
            </w:r>
          </w:p>
        </w:tc>
      </w:tr>
      <w:tr w:rsidR="009D7400" w:rsidRPr="007C4D65" w14:paraId="3F1B265D" w14:textId="77777777" w:rsidTr="00076544">
        <w:trPr>
          <w:trHeight w:val="360"/>
        </w:trPr>
        <w:tc>
          <w:tcPr>
            <w:tcW w:w="2122" w:type="dxa"/>
            <w:vMerge/>
            <w:vAlign w:val="center"/>
          </w:tcPr>
          <w:p w14:paraId="69AB2F36" w14:textId="77777777" w:rsidR="009D7400" w:rsidRPr="007C4D65" w:rsidRDefault="009D7400" w:rsidP="0068355A">
            <w:pPr>
              <w:tabs>
                <w:tab w:val="left" w:pos="955"/>
              </w:tabs>
              <w:spacing w:line="276" w:lineRule="auto"/>
              <w:rPr>
                <w:rFonts w:asciiTheme="minorHAnsi" w:hAnsiTheme="minorHAnsi" w:cstheme="minorHAnsi"/>
                <w:b/>
                <w:bCs/>
                <w:sz w:val="18"/>
                <w:szCs w:val="18"/>
                <w:lang w:eastAsia="hr-HR"/>
              </w:rPr>
            </w:pPr>
          </w:p>
        </w:tc>
        <w:tc>
          <w:tcPr>
            <w:tcW w:w="2268" w:type="dxa"/>
            <w:vAlign w:val="center"/>
          </w:tcPr>
          <w:p w14:paraId="673F10AB" w14:textId="4F85AEE4" w:rsidR="009D7400" w:rsidRPr="007C4D65" w:rsidRDefault="009D7400" w:rsidP="0068355A">
            <w:pPr>
              <w:tabs>
                <w:tab w:val="left" w:pos="955"/>
              </w:tabs>
              <w:spacing w:line="276" w:lineRule="auto"/>
              <w:rPr>
                <w:rFonts w:asciiTheme="minorHAnsi" w:hAnsiTheme="minorHAnsi" w:cstheme="minorHAnsi"/>
                <w:sz w:val="18"/>
                <w:szCs w:val="18"/>
              </w:rPr>
            </w:pPr>
            <w:r w:rsidRPr="007C4D65">
              <w:rPr>
                <w:rFonts w:asciiTheme="minorHAnsi" w:hAnsiTheme="minorHAnsi" w:cstheme="minorHAnsi"/>
                <w:b/>
                <w:sz w:val="18"/>
              </w:rPr>
              <w:t xml:space="preserve">Total number of waste </w:t>
            </w:r>
            <w:r w:rsidR="00624BB4" w:rsidRPr="007C4D65">
              <w:rPr>
                <w:rFonts w:asciiTheme="minorHAnsi" w:hAnsiTheme="minorHAnsi" w:cstheme="minorHAnsi"/>
                <w:b/>
                <w:sz w:val="18"/>
              </w:rPr>
              <w:t>disposal</w:t>
            </w:r>
            <w:r w:rsidRPr="007C4D65">
              <w:rPr>
                <w:rFonts w:asciiTheme="minorHAnsi" w:hAnsiTheme="minorHAnsi" w:cstheme="minorHAnsi"/>
                <w:b/>
                <w:sz w:val="18"/>
              </w:rPr>
              <w:t xml:space="preserve"> sites recorded</w:t>
            </w:r>
          </w:p>
        </w:tc>
        <w:tc>
          <w:tcPr>
            <w:tcW w:w="2268" w:type="dxa"/>
            <w:vAlign w:val="center"/>
          </w:tcPr>
          <w:p w14:paraId="796F5918" w14:textId="77777777" w:rsidR="009D7400" w:rsidRPr="007C4D65" w:rsidRDefault="009D7400" w:rsidP="0068355A">
            <w:pPr>
              <w:spacing w:line="276" w:lineRule="auto"/>
              <w:jc w:val="center"/>
              <w:rPr>
                <w:rFonts w:asciiTheme="minorHAnsi" w:hAnsiTheme="minorHAnsi" w:cstheme="minorHAnsi"/>
                <w:sz w:val="18"/>
                <w:szCs w:val="18"/>
              </w:rPr>
            </w:pPr>
            <w:r w:rsidRPr="007C4D65">
              <w:rPr>
                <w:rFonts w:asciiTheme="minorHAnsi" w:hAnsiTheme="minorHAnsi" w:cstheme="minorHAnsi"/>
                <w:sz w:val="18"/>
              </w:rPr>
              <w:t>45</w:t>
            </w:r>
          </w:p>
          <w:p w14:paraId="3FB9D9EA" w14:textId="77777777" w:rsidR="009D7400" w:rsidRPr="007C4D65" w:rsidRDefault="009D7400" w:rsidP="0068355A">
            <w:pPr>
              <w:tabs>
                <w:tab w:val="left" w:pos="955"/>
              </w:tabs>
              <w:spacing w:line="276" w:lineRule="auto"/>
              <w:jc w:val="center"/>
              <w:rPr>
                <w:rFonts w:asciiTheme="minorHAnsi" w:hAnsiTheme="minorHAnsi" w:cstheme="minorHAnsi"/>
                <w:sz w:val="18"/>
                <w:szCs w:val="18"/>
              </w:rPr>
            </w:pPr>
            <w:r w:rsidRPr="007C4D65">
              <w:rPr>
                <w:rFonts w:asciiTheme="minorHAnsi" w:hAnsiTheme="minorHAnsi" w:cstheme="minorHAnsi"/>
                <w:sz w:val="18"/>
              </w:rPr>
              <w:t>(2020)</w:t>
            </w:r>
          </w:p>
        </w:tc>
        <w:tc>
          <w:tcPr>
            <w:tcW w:w="2268" w:type="dxa"/>
            <w:vAlign w:val="center"/>
          </w:tcPr>
          <w:p w14:paraId="57E9CAEF" w14:textId="77777777" w:rsidR="009D7400" w:rsidRPr="007C4D65" w:rsidRDefault="009D7400" w:rsidP="0068355A">
            <w:pPr>
              <w:tabs>
                <w:tab w:val="left" w:pos="955"/>
              </w:tabs>
              <w:spacing w:line="276" w:lineRule="auto"/>
              <w:jc w:val="center"/>
              <w:rPr>
                <w:rFonts w:asciiTheme="minorHAnsi" w:hAnsiTheme="minorHAnsi" w:cstheme="minorHAnsi"/>
                <w:sz w:val="18"/>
                <w:szCs w:val="18"/>
              </w:rPr>
            </w:pPr>
            <w:r w:rsidRPr="007C4D65">
              <w:rPr>
                <w:rFonts w:asciiTheme="minorHAnsi" w:hAnsiTheme="minorHAnsi" w:cstheme="minorHAnsi"/>
                <w:sz w:val="18"/>
              </w:rPr>
              <w:t>...</w:t>
            </w:r>
          </w:p>
        </w:tc>
      </w:tr>
      <w:bookmarkEnd w:id="97"/>
    </w:tbl>
    <w:p w14:paraId="0F9B9B13" w14:textId="77777777" w:rsidR="00FF6549" w:rsidRPr="007C4D65" w:rsidRDefault="00FF6549" w:rsidP="0068355A">
      <w:pPr>
        <w:spacing w:line="276" w:lineRule="auto"/>
        <w:rPr>
          <w:rFonts w:asciiTheme="minorHAnsi" w:hAnsiTheme="minorHAnsi" w:cstheme="minorHAnsi"/>
        </w:rPr>
      </w:pPr>
    </w:p>
    <w:p w14:paraId="5F98E0D9" w14:textId="77777777" w:rsidR="00FF6549" w:rsidRPr="007C4D65" w:rsidRDefault="00FF6549">
      <w:pPr>
        <w:pStyle w:val="Head3"/>
        <w:spacing w:line="276" w:lineRule="auto"/>
        <w:rPr>
          <w:rFonts w:asciiTheme="minorHAnsi" w:hAnsiTheme="minorHAnsi"/>
        </w:rPr>
      </w:pPr>
      <w:bookmarkStart w:id="98" w:name="_Toc117445338"/>
      <w:r w:rsidRPr="007C4D65">
        <w:rPr>
          <w:rFonts w:asciiTheme="minorHAnsi" w:hAnsiTheme="minorHAnsi"/>
        </w:rPr>
        <w:t>Priorities for strategic goal 2</w:t>
      </w:r>
      <w:bookmarkEnd w:id="98"/>
    </w:p>
    <w:p w14:paraId="06F6C079" w14:textId="5816E7F2" w:rsidR="009D7400" w:rsidRPr="007C4D65" w:rsidRDefault="009D7400" w:rsidP="0068355A">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Priority 2.1 </w:t>
      </w:r>
      <w:r w:rsidR="00E55311" w:rsidRPr="007C4D65">
        <w:rPr>
          <w:rFonts w:asciiTheme="minorHAnsi" w:hAnsiTheme="minorHAnsi" w:cstheme="minorHAnsi"/>
          <w:b/>
          <w:sz w:val="22"/>
        </w:rPr>
        <w:t xml:space="preserve">Improving the legal and strategic framework in the waste management according to the EU principles </w:t>
      </w:r>
      <w:r w:rsidRPr="007C4D65">
        <w:rPr>
          <w:rFonts w:asciiTheme="minorHAnsi" w:hAnsiTheme="minorHAnsi" w:cstheme="minorHAnsi"/>
          <w:sz w:val="22"/>
        </w:rPr>
        <w:t xml:space="preserve">through amending the applicable legislation, policies, planning/strategic documents </w:t>
      </w:r>
      <w:proofErr w:type="gramStart"/>
      <w:r w:rsidRPr="007C4D65">
        <w:rPr>
          <w:rFonts w:asciiTheme="minorHAnsi" w:hAnsiTheme="minorHAnsi" w:cstheme="minorHAnsi"/>
          <w:sz w:val="22"/>
        </w:rPr>
        <w:t>in order to</w:t>
      </w:r>
      <w:proofErr w:type="gramEnd"/>
      <w:r w:rsidRPr="007C4D65">
        <w:rPr>
          <w:rFonts w:asciiTheme="minorHAnsi" w:hAnsiTheme="minorHAnsi" w:cstheme="minorHAnsi"/>
          <w:sz w:val="22"/>
        </w:rPr>
        <w:t xml:space="preserve"> bring them in line with the obligations stemming from the Directives and guidelines of the European Union governing the waste management sector, as well as with the requirements of the Basel Convention on control of transboundary movement of hazardous waste and its disposal.</w:t>
      </w:r>
    </w:p>
    <w:p w14:paraId="43429B0D" w14:textId="77777777" w:rsidR="009D7400" w:rsidRPr="007C4D65" w:rsidRDefault="009D7400" w:rsidP="0068355A">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rPr>
        <w:t>Priority 2.2 Improving the waste monitoring and reporting system</w:t>
      </w:r>
      <w:r w:rsidRPr="007C4D65">
        <w:rPr>
          <w:rFonts w:asciiTheme="minorHAnsi" w:hAnsiTheme="minorHAnsi" w:cstheme="minorHAnsi"/>
          <w:sz w:val="22"/>
        </w:rPr>
        <w:t xml:space="preserve"> through making mandatory waste composition analysis and quantification, establishment of an authorised laboratory for waste analysis and improvement of the waste management information system </w:t>
      </w:r>
      <w:proofErr w:type="gramStart"/>
      <w:r w:rsidRPr="007C4D65">
        <w:rPr>
          <w:rFonts w:asciiTheme="minorHAnsi" w:hAnsiTheme="minorHAnsi" w:cstheme="minorHAnsi"/>
          <w:sz w:val="22"/>
        </w:rPr>
        <w:t>in order to</w:t>
      </w:r>
      <w:proofErr w:type="gramEnd"/>
      <w:r w:rsidRPr="007C4D65">
        <w:rPr>
          <w:rFonts w:asciiTheme="minorHAnsi" w:hAnsiTheme="minorHAnsi" w:cstheme="minorHAnsi"/>
          <w:sz w:val="22"/>
        </w:rPr>
        <w:t xml:space="preserve"> enable a better and more sustainable strategic planning and investments in the waste management sector.</w:t>
      </w:r>
    </w:p>
    <w:p w14:paraId="6D432B4B" w14:textId="01CD1F76" w:rsidR="009D7400" w:rsidRPr="007C4D65" w:rsidRDefault="009D7400" w:rsidP="0068355A">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Priority 2.3 </w:t>
      </w:r>
      <w:r w:rsidR="009E6B20" w:rsidRPr="007C4D65">
        <w:rPr>
          <w:rFonts w:asciiTheme="minorHAnsi" w:hAnsiTheme="minorHAnsi" w:cstheme="minorHAnsi"/>
          <w:b/>
          <w:sz w:val="22"/>
        </w:rPr>
        <w:t xml:space="preserve">Implementing economic and financial instruments and mechanisms to reduce the amount of waste and boost utilisation of all categories of waste </w:t>
      </w:r>
      <w:r w:rsidRPr="007C4D65">
        <w:rPr>
          <w:rFonts w:asciiTheme="minorHAnsi" w:hAnsiTheme="minorHAnsi" w:cstheme="minorHAnsi"/>
          <w:sz w:val="22"/>
        </w:rPr>
        <w:t xml:space="preserve">through an analysis of options and defining of recommendations for a revision of the current and implementation of further economic and financial instruments and mechanisms, such as legal mechanisms and technical recommendations, which should reduce waste amounts and boost utilisation of all categories of waste; and finally an </w:t>
      </w:r>
      <w:r w:rsidR="003A09F3" w:rsidRPr="007C4D65">
        <w:rPr>
          <w:rFonts w:asciiTheme="minorHAnsi" w:hAnsiTheme="minorHAnsi" w:cstheme="minorHAnsi"/>
          <w:sz w:val="22"/>
        </w:rPr>
        <w:t>initiative</w:t>
      </w:r>
      <w:r w:rsidRPr="007C4D65">
        <w:rPr>
          <w:rFonts w:asciiTheme="minorHAnsi" w:hAnsiTheme="minorHAnsi" w:cstheme="minorHAnsi"/>
          <w:sz w:val="22"/>
        </w:rPr>
        <w:t xml:space="preserve"> for adoption of recommendations and implementation of the new instruments in cooperation with other responsible ministries.</w:t>
      </w:r>
    </w:p>
    <w:p w14:paraId="44E0D9D3" w14:textId="353C9E9A" w:rsidR="009D7400" w:rsidRPr="007C4D65" w:rsidRDefault="009D7400" w:rsidP="0068355A">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Priority 2.4 </w:t>
      </w:r>
      <w:r w:rsidR="001547A8" w:rsidRPr="007C4D65">
        <w:rPr>
          <w:rFonts w:asciiTheme="minorHAnsi" w:hAnsiTheme="minorHAnsi" w:cstheme="minorHAnsi"/>
          <w:b/>
          <w:sz w:val="22"/>
        </w:rPr>
        <w:t>Improving the municipal waste management system</w:t>
      </w:r>
      <w:r w:rsidRPr="007C4D65">
        <w:rPr>
          <w:rFonts w:asciiTheme="minorHAnsi" w:hAnsiTheme="minorHAnsi" w:cstheme="minorHAnsi"/>
          <w:sz w:val="22"/>
        </w:rPr>
        <w:t xml:space="preserve"> through a reform of the municipal waste management system, procurement of equipment and development of infrastructure for municipal waste management; and investments in programmes aimed at reducing the quantity of municipal waste disposed at landfills.</w:t>
      </w:r>
    </w:p>
    <w:p w14:paraId="01115DFB" w14:textId="719D3E48" w:rsidR="009D7400" w:rsidRPr="007C4D65" w:rsidRDefault="009D7400" w:rsidP="0068355A">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Priority 2.5 </w:t>
      </w:r>
      <w:r w:rsidR="001547A8" w:rsidRPr="007C4D65">
        <w:rPr>
          <w:rFonts w:asciiTheme="minorHAnsi" w:hAnsiTheme="minorHAnsi" w:cstheme="minorHAnsi"/>
          <w:b/>
          <w:sz w:val="22"/>
        </w:rPr>
        <w:t>Improving the management of special wastes</w:t>
      </w:r>
      <w:r w:rsidRPr="007C4D65">
        <w:rPr>
          <w:rFonts w:asciiTheme="minorHAnsi" w:hAnsiTheme="minorHAnsi" w:cstheme="minorHAnsi"/>
          <w:sz w:val="22"/>
        </w:rPr>
        <w:t xml:space="preserve">, through upgrades of the extended producer responsibility scheme for packaging and </w:t>
      </w:r>
      <w:proofErr w:type="gramStart"/>
      <w:r w:rsidRPr="007C4D65">
        <w:rPr>
          <w:rFonts w:asciiTheme="minorHAnsi" w:hAnsiTheme="minorHAnsi" w:cstheme="minorHAnsi"/>
          <w:sz w:val="22"/>
        </w:rPr>
        <w:t>WEEE, and</w:t>
      </w:r>
      <w:proofErr w:type="gramEnd"/>
      <w:r w:rsidRPr="007C4D65">
        <w:rPr>
          <w:rFonts w:asciiTheme="minorHAnsi" w:hAnsiTheme="minorHAnsi" w:cstheme="minorHAnsi"/>
          <w:sz w:val="22"/>
        </w:rPr>
        <w:t xml:space="preserve"> providing for adequate collection and disposal of both these two and other special waste</w:t>
      </w:r>
      <w:r w:rsidR="00FD7932" w:rsidRPr="007C4D65">
        <w:rPr>
          <w:rFonts w:asciiTheme="minorHAnsi" w:hAnsiTheme="minorHAnsi" w:cstheme="minorHAnsi"/>
          <w:sz w:val="22"/>
        </w:rPr>
        <w:t>s</w:t>
      </w:r>
      <w:r w:rsidRPr="007C4D65">
        <w:rPr>
          <w:rFonts w:asciiTheme="minorHAnsi" w:hAnsiTheme="minorHAnsi" w:cstheme="minorHAnsi"/>
          <w:sz w:val="22"/>
        </w:rPr>
        <w:t xml:space="preserve">, such as batteries, car batteries, old tyres, refuse oil, end-of-life vehicles, construction waste, sludge, animal waste and medical waste. This priority will </w:t>
      </w:r>
      <w:r w:rsidRPr="007C4D65">
        <w:rPr>
          <w:rFonts w:asciiTheme="minorHAnsi" w:hAnsiTheme="minorHAnsi" w:cstheme="minorHAnsi"/>
          <w:sz w:val="22"/>
        </w:rPr>
        <w:lastRenderedPageBreak/>
        <w:t>also involve efforts aimed at strengthening the market of recyclables, and integration of informal waste collectors in the recycling system.</w:t>
      </w:r>
    </w:p>
    <w:p w14:paraId="124F0FFF" w14:textId="4C329F32" w:rsidR="009D7400" w:rsidRPr="007C4D65" w:rsidRDefault="009D7400" w:rsidP="0068355A">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rPr>
        <w:t>Priority 2.6 Rehabilitate surfaces beneath inadequately disposed waste</w:t>
      </w:r>
      <w:r w:rsidRPr="007C4D65">
        <w:rPr>
          <w:rFonts w:asciiTheme="minorHAnsi" w:hAnsiTheme="minorHAnsi" w:cstheme="minorHAnsi"/>
          <w:sz w:val="22"/>
        </w:rPr>
        <w:t xml:space="preserve"> through a full-scale inventory of the current official municipal waste landfills and </w:t>
      </w:r>
      <w:r w:rsidR="000F448B" w:rsidRPr="007C4D65">
        <w:rPr>
          <w:rFonts w:asciiTheme="minorHAnsi" w:hAnsiTheme="minorHAnsi" w:cstheme="minorHAnsi"/>
          <w:sz w:val="22"/>
        </w:rPr>
        <w:t>abandoned</w:t>
      </w:r>
      <w:r w:rsidRPr="007C4D65">
        <w:rPr>
          <w:rFonts w:asciiTheme="minorHAnsi" w:hAnsiTheme="minorHAnsi" w:cstheme="minorHAnsi"/>
          <w:sz w:val="22"/>
        </w:rPr>
        <w:t xml:space="preserve"> industrial dump </w:t>
      </w:r>
      <w:proofErr w:type="gramStart"/>
      <w:r w:rsidRPr="007C4D65">
        <w:rPr>
          <w:rFonts w:asciiTheme="minorHAnsi" w:hAnsiTheme="minorHAnsi" w:cstheme="minorHAnsi"/>
          <w:sz w:val="22"/>
        </w:rPr>
        <w:t>sites, and</w:t>
      </w:r>
      <w:proofErr w:type="gramEnd"/>
      <w:r w:rsidRPr="007C4D65">
        <w:rPr>
          <w:rFonts w:asciiTheme="minorHAnsi" w:hAnsiTheme="minorHAnsi" w:cstheme="minorHAnsi"/>
          <w:sz w:val="22"/>
        </w:rPr>
        <w:t xml:space="preserve"> identify funds for their removal and rehabilitation.</w:t>
      </w:r>
    </w:p>
    <w:p w14:paraId="7E256ABF" w14:textId="386B33D0" w:rsidR="009D7400" w:rsidRPr="007C4D65" w:rsidRDefault="009D740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b/>
          <w:sz w:val="22"/>
        </w:rPr>
        <w:t>Priority 2.7 Raise awareness about the proper separation, collection and disposal of waste</w:t>
      </w:r>
      <w:r w:rsidRPr="007C4D65">
        <w:rPr>
          <w:rFonts w:asciiTheme="minorHAnsi" w:hAnsiTheme="minorHAnsi" w:cstheme="minorHAnsi"/>
          <w:sz w:val="22"/>
        </w:rPr>
        <w:t xml:space="preserve"> through the implementation of up-to-date, educational and informative, gender-sensitive, and inclusive awareness raising campaigns across the levels of government (Federation of BiH, cantons, municipalities).</w:t>
      </w:r>
    </w:p>
    <w:p w14:paraId="7C7D272B" w14:textId="03AF7C85" w:rsidR="009D7400" w:rsidRPr="007C4D65" w:rsidRDefault="001B27C0" w:rsidP="0068355A">
      <w:pPr>
        <w:pStyle w:val="Caption"/>
        <w:spacing w:line="276" w:lineRule="auto"/>
        <w:rPr>
          <w:rFonts w:asciiTheme="minorHAnsi" w:hAnsiTheme="minorHAnsi" w:cstheme="minorHAnsi"/>
        </w:rPr>
      </w:pPr>
      <w:bookmarkStart w:id="99" w:name="_Toc117011591"/>
      <w:r w:rsidRPr="007C4D65">
        <w:rPr>
          <w:rFonts w:asciiTheme="minorHAnsi" w:hAnsiTheme="minorHAnsi" w:cstheme="minorHAnsi"/>
        </w:rPr>
        <w:t xml:space="preserve">Table </w:t>
      </w:r>
      <w:bookmarkStart w:id="100" w:name="tabela12"/>
      <w:r w:rsidRPr="007C4D65">
        <w:rPr>
          <w:rFonts w:asciiTheme="minorHAnsi" w:hAnsiTheme="minorHAnsi" w:cstheme="minorHAnsi"/>
        </w:rPr>
        <w:fldChar w:fldCharType="begin"/>
      </w:r>
      <w:r w:rsidRPr="007C4D65">
        <w:rPr>
          <w:rFonts w:asciiTheme="minorHAnsi" w:hAnsiTheme="minorHAnsi" w:cstheme="minorHAnsi"/>
        </w:rPr>
        <w:instrText xml:space="preserve"> SEQ Tabela \* ARABIC </w:instrText>
      </w:r>
      <w:r w:rsidRPr="007C4D65">
        <w:rPr>
          <w:rFonts w:asciiTheme="minorHAnsi" w:hAnsiTheme="minorHAnsi" w:cstheme="minorHAnsi"/>
        </w:rPr>
        <w:fldChar w:fldCharType="separate"/>
      </w:r>
      <w:r w:rsidR="00005022" w:rsidRPr="007C4D65">
        <w:rPr>
          <w:rFonts w:asciiTheme="minorHAnsi" w:hAnsiTheme="minorHAnsi" w:cstheme="minorHAnsi"/>
          <w:noProof/>
        </w:rPr>
        <w:t>12</w:t>
      </w:r>
      <w:r w:rsidRPr="007C4D65">
        <w:rPr>
          <w:rFonts w:asciiTheme="minorHAnsi" w:hAnsiTheme="minorHAnsi" w:cstheme="minorHAnsi"/>
        </w:rPr>
        <w:fldChar w:fldCharType="end"/>
      </w:r>
      <w:bookmarkEnd w:id="100"/>
      <w:r w:rsidRPr="007C4D65">
        <w:rPr>
          <w:rFonts w:asciiTheme="minorHAnsi" w:hAnsiTheme="minorHAnsi" w:cstheme="minorHAnsi"/>
        </w:rPr>
        <w:t xml:space="preserve">: </w:t>
      </w:r>
      <w:r w:rsidRPr="007C4D65">
        <w:rPr>
          <w:rFonts w:asciiTheme="minorHAnsi" w:hAnsiTheme="minorHAnsi" w:cstheme="minorHAnsi"/>
          <w:b w:val="0"/>
        </w:rPr>
        <w:t>Priorities with relevant indicators</w:t>
      </w:r>
      <w:bookmarkEnd w:id="99"/>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4"/>
        <w:gridCol w:w="2254"/>
        <w:gridCol w:w="2254"/>
        <w:gridCol w:w="2254"/>
      </w:tblGrid>
      <w:tr w:rsidR="009D7400" w:rsidRPr="007C4D65" w14:paraId="45E02637" w14:textId="77777777" w:rsidTr="00076544">
        <w:trPr>
          <w:tblHeader/>
        </w:trPr>
        <w:tc>
          <w:tcPr>
            <w:tcW w:w="2254" w:type="dxa"/>
            <w:shd w:val="clear" w:color="auto" w:fill="009D73"/>
            <w:vAlign w:val="center"/>
          </w:tcPr>
          <w:p w14:paraId="685495EE" w14:textId="77777777" w:rsidR="009D7400" w:rsidRPr="007C4D65" w:rsidRDefault="009D7400" w:rsidP="0068355A">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Priorities</w:t>
            </w:r>
          </w:p>
        </w:tc>
        <w:tc>
          <w:tcPr>
            <w:tcW w:w="2254" w:type="dxa"/>
            <w:shd w:val="clear" w:color="auto" w:fill="009D73"/>
            <w:vAlign w:val="center"/>
          </w:tcPr>
          <w:p w14:paraId="1008A84D" w14:textId="77777777" w:rsidR="009D7400" w:rsidRPr="007C4D65" w:rsidRDefault="009D7400" w:rsidP="0068355A">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Indicator of deliverable</w:t>
            </w:r>
          </w:p>
        </w:tc>
        <w:tc>
          <w:tcPr>
            <w:tcW w:w="2254" w:type="dxa"/>
            <w:shd w:val="clear" w:color="auto" w:fill="009D73"/>
            <w:vAlign w:val="center"/>
          </w:tcPr>
          <w:p w14:paraId="372D4779" w14:textId="77777777" w:rsidR="009D7400" w:rsidRPr="007C4D65" w:rsidRDefault="009D7400" w:rsidP="0068355A">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Baseline value</w:t>
            </w:r>
          </w:p>
        </w:tc>
        <w:tc>
          <w:tcPr>
            <w:tcW w:w="2254" w:type="dxa"/>
            <w:shd w:val="clear" w:color="auto" w:fill="009D73"/>
            <w:vAlign w:val="center"/>
          </w:tcPr>
          <w:p w14:paraId="5F1BBAF5" w14:textId="77777777" w:rsidR="009D7400" w:rsidRPr="007C4D65" w:rsidRDefault="009D7400" w:rsidP="0068355A">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Target value</w:t>
            </w:r>
          </w:p>
        </w:tc>
      </w:tr>
      <w:tr w:rsidR="009D7400" w:rsidRPr="007C4D65" w14:paraId="31348C78" w14:textId="77777777" w:rsidTr="00076544">
        <w:trPr>
          <w:trHeight w:val="300"/>
        </w:trPr>
        <w:tc>
          <w:tcPr>
            <w:tcW w:w="2254" w:type="dxa"/>
          </w:tcPr>
          <w:p w14:paraId="4326E452" w14:textId="75E9A5BE" w:rsidR="009D7400" w:rsidRPr="007C4D65" w:rsidRDefault="009D7400" w:rsidP="0068355A">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2.1 </w:t>
            </w:r>
            <w:r w:rsidR="00E55311" w:rsidRPr="007C4D65">
              <w:rPr>
                <w:rFonts w:asciiTheme="minorHAnsi" w:hAnsiTheme="minorHAnsi" w:cstheme="minorHAnsi"/>
                <w:b/>
                <w:sz w:val="18"/>
              </w:rPr>
              <w:t>Improving the legal and strategic framework in the waste management according to the EU principles</w:t>
            </w:r>
          </w:p>
        </w:tc>
        <w:tc>
          <w:tcPr>
            <w:tcW w:w="2254" w:type="dxa"/>
          </w:tcPr>
          <w:p w14:paraId="4611FD8C"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Assessment of the compliance of the waste management legislation and waste management documents with the obligations arising from the EU acquis and international agreements</w:t>
            </w:r>
          </w:p>
        </w:tc>
        <w:tc>
          <w:tcPr>
            <w:tcW w:w="2254" w:type="dxa"/>
          </w:tcPr>
          <w:p w14:paraId="3B38C2F2"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The waste management legal and strategic framework in Federation of BiH is:</w:t>
            </w:r>
          </w:p>
          <w:p w14:paraId="0B9B84A6" w14:textId="7E48B881" w:rsidR="009D7400" w:rsidRPr="007C4D65" w:rsidRDefault="009D7400">
            <w:pPr>
              <w:pStyle w:val="ListParagraph"/>
              <w:numPr>
                <w:ilvl w:val="0"/>
                <w:numId w:val="47"/>
              </w:numPr>
              <w:spacing w:line="276" w:lineRule="auto"/>
              <w:ind w:left="360"/>
              <w:rPr>
                <w:rFonts w:asciiTheme="minorHAnsi" w:hAnsiTheme="minorHAnsi" w:cstheme="minorHAnsi"/>
                <w:sz w:val="18"/>
                <w:szCs w:val="18"/>
              </w:rPr>
            </w:pPr>
            <w:r w:rsidRPr="007C4D65">
              <w:rPr>
                <w:rFonts w:asciiTheme="minorHAnsi" w:hAnsiTheme="minorHAnsi" w:cstheme="minorHAnsi"/>
                <w:sz w:val="18"/>
              </w:rPr>
              <w:t xml:space="preserve">Partly aligned with 9 </w:t>
            </w:r>
            <w:proofErr w:type="gramStart"/>
            <w:r w:rsidRPr="007C4D65">
              <w:rPr>
                <w:rFonts w:asciiTheme="minorHAnsi" w:hAnsiTheme="minorHAnsi" w:cstheme="minorHAnsi"/>
                <w:sz w:val="18"/>
              </w:rPr>
              <w:t>Directives;</w:t>
            </w:r>
            <w:proofErr w:type="gramEnd"/>
          </w:p>
          <w:p w14:paraId="683C99C3" w14:textId="77777777" w:rsidR="009D7400" w:rsidRPr="007C4D65" w:rsidRDefault="009D7400">
            <w:pPr>
              <w:pStyle w:val="ListParagraph"/>
              <w:numPr>
                <w:ilvl w:val="0"/>
                <w:numId w:val="47"/>
              </w:numPr>
              <w:spacing w:line="276" w:lineRule="auto"/>
              <w:ind w:left="360"/>
              <w:rPr>
                <w:rFonts w:asciiTheme="minorHAnsi" w:hAnsiTheme="minorHAnsi" w:cstheme="minorHAnsi"/>
                <w:sz w:val="18"/>
                <w:szCs w:val="18"/>
              </w:rPr>
            </w:pPr>
            <w:r w:rsidRPr="007C4D65">
              <w:rPr>
                <w:rFonts w:asciiTheme="minorHAnsi" w:hAnsiTheme="minorHAnsi" w:cstheme="minorHAnsi"/>
                <w:sz w:val="18"/>
              </w:rPr>
              <w:t xml:space="preserve">Not aligned with 2 </w:t>
            </w:r>
            <w:proofErr w:type="gramStart"/>
            <w:r w:rsidRPr="007C4D65">
              <w:rPr>
                <w:rFonts w:asciiTheme="minorHAnsi" w:hAnsiTheme="minorHAnsi" w:cstheme="minorHAnsi"/>
                <w:sz w:val="18"/>
              </w:rPr>
              <w:t>Directives;</w:t>
            </w:r>
            <w:proofErr w:type="gramEnd"/>
          </w:p>
          <w:p w14:paraId="77E3B649" w14:textId="77777777" w:rsidR="009D7400" w:rsidRPr="007C4D65" w:rsidRDefault="009D7400">
            <w:pPr>
              <w:pStyle w:val="ListParagraph"/>
              <w:numPr>
                <w:ilvl w:val="0"/>
                <w:numId w:val="47"/>
              </w:numPr>
              <w:spacing w:line="276" w:lineRule="auto"/>
              <w:ind w:left="360"/>
              <w:rPr>
                <w:rFonts w:asciiTheme="minorHAnsi" w:hAnsiTheme="minorHAnsi" w:cstheme="minorHAnsi"/>
                <w:sz w:val="18"/>
                <w:szCs w:val="18"/>
              </w:rPr>
            </w:pPr>
            <w:r w:rsidRPr="007C4D65">
              <w:rPr>
                <w:rFonts w:asciiTheme="minorHAnsi" w:hAnsiTheme="minorHAnsi" w:cstheme="minorHAnsi"/>
                <w:sz w:val="18"/>
              </w:rPr>
              <w:t>Partly in compliance with the requirements of the Basel Convention</w:t>
            </w:r>
          </w:p>
          <w:p w14:paraId="75D516A9"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(2021)</w:t>
            </w:r>
          </w:p>
        </w:tc>
        <w:tc>
          <w:tcPr>
            <w:tcW w:w="2254" w:type="dxa"/>
          </w:tcPr>
          <w:p w14:paraId="0AD35340" w14:textId="46DB23ED"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The waste management legal and strategic framework in Federation of BiH is fully in compliance with 11 EU Directives and Basel Convention.</w:t>
            </w:r>
          </w:p>
          <w:p w14:paraId="682D697B"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(2025)</w:t>
            </w:r>
          </w:p>
        </w:tc>
      </w:tr>
      <w:tr w:rsidR="009D7400" w:rsidRPr="007C4D65" w14:paraId="378BE772" w14:textId="77777777" w:rsidTr="00076544">
        <w:trPr>
          <w:trHeight w:val="300"/>
        </w:trPr>
        <w:tc>
          <w:tcPr>
            <w:tcW w:w="2254" w:type="dxa"/>
          </w:tcPr>
          <w:p w14:paraId="47FDA9F1" w14:textId="77777777" w:rsidR="009D7400" w:rsidRPr="007C4D65" w:rsidRDefault="009D7400" w:rsidP="0068355A">
            <w:pPr>
              <w:spacing w:line="276" w:lineRule="auto"/>
              <w:rPr>
                <w:rFonts w:asciiTheme="minorHAnsi" w:hAnsiTheme="minorHAnsi" w:cstheme="minorHAnsi"/>
                <w:b/>
                <w:sz w:val="18"/>
                <w:szCs w:val="18"/>
              </w:rPr>
            </w:pPr>
            <w:r w:rsidRPr="007C4D65">
              <w:rPr>
                <w:rFonts w:asciiTheme="minorHAnsi" w:hAnsiTheme="minorHAnsi" w:cstheme="minorHAnsi"/>
                <w:b/>
                <w:sz w:val="18"/>
              </w:rPr>
              <w:t>Priority 2.2 Improving the waste records and reporting system</w:t>
            </w:r>
          </w:p>
        </w:tc>
        <w:tc>
          <w:tcPr>
            <w:tcW w:w="2254" w:type="dxa"/>
          </w:tcPr>
          <w:p w14:paraId="696D4DED" w14:textId="5FFE06B3"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Reliability of waste data obtained from the waste records and reporting system</w:t>
            </w:r>
          </w:p>
          <w:p w14:paraId="196E167F" w14:textId="77777777" w:rsidR="009D7400" w:rsidRPr="007C4D65" w:rsidRDefault="009D7400" w:rsidP="0068355A">
            <w:pPr>
              <w:spacing w:line="276" w:lineRule="auto"/>
              <w:rPr>
                <w:rFonts w:asciiTheme="minorHAnsi" w:hAnsiTheme="minorHAnsi" w:cstheme="minorHAnsi"/>
                <w:sz w:val="18"/>
                <w:szCs w:val="18"/>
              </w:rPr>
            </w:pPr>
          </w:p>
        </w:tc>
        <w:tc>
          <w:tcPr>
            <w:tcW w:w="2254" w:type="dxa"/>
          </w:tcPr>
          <w:p w14:paraId="2F61B26C"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Waste records and reporting system does not provide reliable waste </w:t>
            </w:r>
            <w:proofErr w:type="gramStart"/>
            <w:r w:rsidRPr="007C4D65">
              <w:rPr>
                <w:rFonts w:asciiTheme="minorHAnsi" w:hAnsiTheme="minorHAnsi" w:cstheme="minorHAnsi"/>
                <w:sz w:val="18"/>
              </w:rPr>
              <w:t>data;</w:t>
            </w:r>
            <w:proofErr w:type="gramEnd"/>
          </w:p>
          <w:p w14:paraId="52069A1F" w14:textId="77777777" w:rsidR="009D7400" w:rsidRPr="007C4D65" w:rsidRDefault="009D7400">
            <w:pPr>
              <w:pStyle w:val="ListParagraph"/>
              <w:numPr>
                <w:ilvl w:val="0"/>
                <w:numId w:val="48"/>
              </w:numPr>
              <w:spacing w:line="276" w:lineRule="auto"/>
              <w:ind w:left="360"/>
              <w:rPr>
                <w:rFonts w:asciiTheme="minorHAnsi" w:hAnsiTheme="minorHAnsi" w:cstheme="minorHAnsi"/>
                <w:sz w:val="18"/>
                <w:szCs w:val="18"/>
              </w:rPr>
            </w:pPr>
            <w:r w:rsidRPr="007C4D65">
              <w:rPr>
                <w:rFonts w:asciiTheme="minorHAnsi" w:hAnsiTheme="minorHAnsi" w:cstheme="minorHAnsi"/>
                <w:sz w:val="18"/>
              </w:rPr>
              <w:t xml:space="preserve">Waste composition analysis and quantification is not </w:t>
            </w:r>
            <w:proofErr w:type="gramStart"/>
            <w:r w:rsidRPr="007C4D65">
              <w:rPr>
                <w:rFonts w:asciiTheme="minorHAnsi" w:hAnsiTheme="minorHAnsi" w:cstheme="minorHAnsi"/>
                <w:sz w:val="18"/>
              </w:rPr>
              <w:t>mandatory;</w:t>
            </w:r>
            <w:proofErr w:type="gramEnd"/>
          </w:p>
          <w:p w14:paraId="62537CA3" w14:textId="77777777" w:rsidR="009D7400" w:rsidRPr="007C4D65" w:rsidRDefault="009D7400">
            <w:pPr>
              <w:pStyle w:val="ListParagraph"/>
              <w:numPr>
                <w:ilvl w:val="0"/>
                <w:numId w:val="48"/>
              </w:numPr>
              <w:spacing w:line="276" w:lineRule="auto"/>
              <w:ind w:left="360"/>
              <w:rPr>
                <w:rFonts w:asciiTheme="minorHAnsi" w:hAnsiTheme="minorHAnsi" w:cstheme="minorHAnsi"/>
                <w:sz w:val="18"/>
                <w:szCs w:val="18"/>
              </w:rPr>
            </w:pPr>
            <w:r w:rsidRPr="007C4D65">
              <w:rPr>
                <w:rFonts w:asciiTheme="minorHAnsi" w:hAnsiTheme="minorHAnsi" w:cstheme="minorHAnsi"/>
                <w:sz w:val="18"/>
              </w:rPr>
              <w:t xml:space="preserve">Federation has no own waste analysis </w:t>
            </w:r>
            <w:proofErr w:type="gramStart"/>
            <w:r w:rsidRPr="007C4D65">
              <w:rPr>
                <w:rFonts w:asciiTheme="minorHAnsi" w:hAnsiTheme="minorHAnsi" w:cstheme="minorHAnsi"/>
                <w:sz w:val="18"/>
              </w:rPr>
              <w:t>laboratory;</w:t>
            </w:r>
            <w:proofErr w:type="gramEnd"/>
          </w:p>
          <w:p w14:paraId="37E17034" w14:textId="77777777" w:rsidR="009D7400" w:rsidRPr="007C4D65" w:rsidRDefault="009D7400">
            <w:pPr>
              <w:pStyle w:val="ListParagraph"/>
              <w:numPr>
                <w:ilvl w:val="0"/>
                <w:numId w:val="48"/>
              </w:numPr>
              <w:spacing w:line="276" w:lineRule="auto"/>
              <w:ind w:left="360"/>
              <w:rPr>
                <w:rFonts w:asciiTheme="minorHAnsi" w:hAnsiTheme="minorHAnsi" w:cstheme="minorHAnsi"/>
                <w:sz w:val="18"/>
                <w:szCs w:val="18"/>
              </w:rPr>
            </w:pPr>
            <w:r w:rsidRPr="007C4D65">
              <w:rPr>
                <w:rFonts w:asciiTheme="minorHAnsi" w:hAnsiTheme="minorHAnsi" w:cstheme="minorHAnsi"/>
                <w:sz w:val="18"/>
              </w:rPr>
              <w:t>The Waste Management Information System has been newly developed.</w:t>
            </w:r>
          </w:p>
          <w:p w14:paraId="5E9A3F73" w14:textId="77777777" w:rsidR="009D7400" w:rsidRPr="007C4D65" w:rsidRDefault="009D7400" w:rsidP="0068355A">
            <w:pPr>
              <w:spacing w:line="276" w:lineRule="auto"/>
              <w:ind w:left="33"/>
              <w:rPr>
                <w:rFonts w:asciiTheme="minorHAnsi" w:hAnsiTheme="minorHAnsi" w:cstheme="minorHAnsi"/>
                <w:sz w:val="18"/>
                <w:szCs w:val="18"/>
              </w:rPr>
            </w:pPr>
            <w:r w:rsidRPr="007C4D65">
              <w:rPr>
                <w:rFonts w:asciiTheme="minorHAnsi" w:hAnsiTheme="minorHAnsi" w:cstheme="minorHAnsi"/>
                <w:sz w:val="18"/>
              </w:rPr>
              <w:t>(2021)</w:t>
            </w:r>
          </w:p>
          <w:p w14:paraId="32DB01AB" w14:textId="77777777" w:rsidR="009D7400" w:rsidRPr="007C4D65" w:rsidRDefault="009D7400" w:rsidP="0068355A">
            <w:pPr>
              <w:spacing w:line="276" w:lineRule="auto"/>
              <w:rPr>
                <w:rFonts w:asciiTheme="minorHAnsi" w:hAnsiTheme="minorHAnsi" w:cstheme="minorHAnsi"/>
                <w:sz w:val="18"/>
                <w:szCs w:val="18"/>
              </w:rPr>
            </w:pPr>
          </w:p>
        </w:tc>
        <w:tc>
          <w:tcPr>
            <w:tcW w:w="2254" w:type="dxa"/>
          </w:tcPr>
          <w:p w14:paraId="16DBCB93"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Waste records and reporting system provides reliable waste data.</w:t>
            </w:r>
          </w:p>
          <w:p w14:paraId="091D80B3" w14:textId="77777777" w:rsidR="009D7400" w:rsidRPr="007C4D65" w:rsidRDefault="009D7400">
            <w:pPr>
              <w:pStyle w:val="ListParagraph"/>
              <w:numPr>
                <w:ilvl w:val="0"/>
                <w:numId w:val="49"/>
              </w:numPr>
              <w:spacing w:line="276" w:lineRule="auto"/>
              <w:ind w:left="360"/>
              <w:rPr>
                <w:rFonts w:asciiTheme="minorHAnsi" w:hAnsiTheme="minorHAnsi" w:cstheme="minorHAnsi"/>
                <w:sz w:val="18"/>
                <w:szCs w:val="18"/>
              </w:rPr>
            </w:pPr>
            <w:r w:rsidRPr="007C4D65">
              <w:rPr>
                <w:rFonts w:asciiTheme="minorHAnsi" w:hAnsiTheme="minorHAnsi" w:cstheme="minorHAnsi"/>
                <w:sz w:val="18"/>
              </w:rPr>
              <w:t>The obligation of utility companies to determine waste composition and quantity codified (2023</w:t>
            </w:r>
            <w:proofErr w:type="gramStart"/>
            <w:r w:rsidRPr="007C4D65">
              <w:rPr>
                <w:rFonts w:asciiTheme="minorHAnsi" w:hAnsiTheme="minorHAnsi" w:cstheme="minorHAnsi"/>
                <w:sz w:val="18"/>
              </w:rPr>
              <w:t>);</w:t>
            </w:r>
            <w:proofErr w:type="gramEnd"/>
          </w:p>
          <w:p w14:paraId="4BDF12A4" w14:textId="77777777" w:rsidR="009D7400" w:rsidRPr="007C4D65" w:rsidRDefault="009D7400">
            <w:pPr>
              <w:pStyle w:val="ListParagraph"/>
              <w:numPr>
                <w:ilvl w:val="0"/>
                <w:numId w:val="49"/>
              </w:numPr>
              <w:spacing w:line="276" w:lineRule="auto"/>
              <w:ind w:left="360"/>
              <w:rPr>
                <w:rFonts w:asciiTheme="minorHAnsi" w:hAnsiTheme="minorHAnsi" w:cstheme="minorHAnsi"/>
                <w:sz w:val="18"/>
                <w:szCs w:val="18"/>
              </w:rPr>
            </w:pPr>
            <w:r w:rsidRPr="007C4D65">
              <w:rPr>
                <w:rFonts w:asciiTheme="minorHAnsi" w:hAnsiTheme="minorHAnsi" w:cstheme="minorHAnsi"/>
                <w:sz w:val="18"/>
              </w:rPr>
              <w:t>A designated waste analysis laboratory established (2024</w:t>
            </w:r>
            <w:proofErr w:type="gramStart"/>
            <w:r w:rsidRPr="007C4D65">
              <w:rPr>
                <w:rFonts w:asciiTheme="minorHAnsi" w:hAnsiTheme="minorHAnsi" w:cstheme="minorHAnsi"/>
                <w:sz w:val="18"/>
              </w:rPr>
              <w:t>);</w:t>
            </w:r>
            <w:proofErr w:type="gramEnd"/>
          </w:p>
          <w:p w14:paraId="47DAFF96" w14:textId="77777777" w:rsidR="009D7400" w:rsidRPr="007C4D65" w:rsidRDefault="009D7400">
            <w:pPr>
              <w:pStyle w:val="ListParagraph"/>
              <w:numPr>
                <w:ilvl w:val="0"/>
                <w:numId w:val="49"/>
              </w:numPr>
              <w:spacing w:line="276" w:lineRule="auto"/>
              <w:ind w:left="360"/>
              <w:rPr>
                <w:rFonts w:asciiTheme="minorHAnsi" w:hAnsiTheme="minorHAnsi" w:cstheme="minorHAnsi"/>
                <w:sz w:val="18"/>
                <w:szCs w:val="18"/>
              </w:rPr>
            </w:pPr>
            <w:r w:rsidRPr="007C4D65">
              <w:rPr>
                <w:rFonts w:asciiTheme="minorHAnsi" w:hAnsiTheme="minorHAnsi" w:cstheme="minorHAnsi"/>
                <w:sz w:val="18"/>
              </w:rPr>
              <w:t>Full functionality and efficiency of the Waste Management Information System achieved (by 2027)</w:t>
            </w:r>
          </w:p>
        </w:tc>
      </w:tr>
      <w:tr w:rsidR="009D7400" w:rsidRPr="007C4D65" w14:paraId="105FBBBF" w14:textId="77777777" w:rsidTr="00076544">
        <w:trPr>
          <w:trHeight w:val="300"/>
        </w:trPr>
        <w:tc>
          <w:tcPr>
            <w:tcW w:w="2254" w:type="dxa"/>
          </w:tcPr>
          <w:p w14:paraId="0D3AE4F9" w14:textId="77777777" w:rsidR="009D7400" w:rsidRPr="007C4D65" w:rsidRDefault="009D7400" w:rsidP="0068355A">
            <w:pPr>
              <w:spacing w:line="276" w:lineRule="auto"/>
              <w:rPr>
                <w:rFonts w:asciiTheme="minorHAnsi" w:hAnsiTheme="minorHAnsi" w:cstheme="minorHAnsi"/>
                <w:b/>
                <w:sz w:val="18"/>
                <w:szCs w:val="18"/>
              </w:rPr>
            </w:pPr>
            <w:r w:rsidRPr="007C4D65">
              <w:rPr>
                <w:rFonts w:asciiTheme="minorHAnsi" w:hAnsiTheme="minorHAnsi" w:cstheme="minorHAnsi"/>
                <w:b/>
                <w:sz w:val="18"/>
              </w:rPr>
              <w:t>Priority 2.3 Implementing economic and financial instruments and mechanisms to reduce the volume and boost utilisation of all categories of waste.</w:t>
            </w:r>
          </w:p>
        </w:tc>
        <w:tc>
          <w:tcPr>
            <w:tcW w:w="2254" w:type="dxa"/>
          </w:tcPr>
          <w:p w14:paraId="276ECECB" w14:textId="0CC4C1EF" w:rsidR="009D7400" w:rsidRPr="007C4D65" w:rsidRDefault="001A2A48" w:rsidP="0068355A">
            <w:pPr>
              <w:spacing w:line="276" w:lineRule="auto"/>
              <w:rPr>
                <w:rFonts w:asciiTheme="minorHAnsi" w:hAnsiTheme="minorHAnsi" w:cstheme="minorHAnsi"/>
                <w:sz w:val="18"/>
                <w:szCs w:val="18"/>
              </w:rPr>
            </w:pPr>
            <w:r w:rsidRPr="007C4D65">
              <w:rPr>
                <w:rFonts w:asciiTheme="minorHAnsi" w:hAnsiTheme="minorHAnsi" w:cstheme="minorHAnsi"/>
                <w:sz w:val="18"/>
              </w:rPr>
              <w:t>Number</w:t>
            </w:r>
            <w:r w:rsidR="009D7400" w:rsidRPr="007C4D65">
              <w:rPr>
                <w:rFonts w:asciiTheme="minorHAnsi" w:hAnsiTheme="minorHAnsi" w:cstheme="minorHAnsi"/>
                <w:sz w:val="18"/>
              </w:rPr>
              <w:t xml:space="preserve"> of financial instruments for a sustainable solid waste management supporting the transition to a circular economy</w:t>
            </w:r>
          </w:p>
        </w:tc>
        <w:tc>
          <w:tcPr>
            <w:tcW w:w="2254" w:type="dxa"/>
          </w:tcPr>
          <w:p w14:paraId="61000D46"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2 </w:t>
            </w:r>
          </w:p>
          <w:p w14:paraId="5A0A13DD" w14:textId="6D77BD9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w:t>
            </w:r>
            <w:proofErr w:type="gramStart"/>
            <w:r w:rsidRPr="007C4D65">
              <w:rPr>
                <w:rFonts w:asciiTheme="minorHAnsi" w:hAnsiTheme="minorHAnsi" w:cstheme="minorHAnsi"/>
                <w:sz w:val="18"/>
              </w:rPr>
              <w:t>charges</w:t>
            </w:r>
            <w:proofErr w:type="gramEnd"/>
            <w:r w:rsidRPr="007C4D65">
              <w:rPr>
                <w:rFonts w:asciiTheme="minorHAnsi" w:hAnsiTheme="minorHAnsi" w:cstheme="minorHAnsi"/>
                <w:sz w:val="18"/>
              </w:rPr>
              <w:t xml:space="preserve"> payable for failure to meet the recycling and reuse objectives for some special waste</w:t>
            </w:r>
            <w:r w:rsidR="00FD7932" w:rsidRPr="007C4D65">
              <w:rPr>
                <w:rFonts w:asciiTheme="minorHAnsi" w:hAnsiTheme="minorHAnsi" w:cstheme="minorHAnsi"/>
                <w:sz w:val="18"/>
              </w:rPr>
              <w:t>s</w:t>
            </w:r>
            <w:r w:rsidRPr="007C4D65">
              <w:rPr>
                <w:rFonts w:asciiTheme="minorHAnsi" w:hAnsiTheme="minorHAnsi" w:cstheme="minorHAnsi"/>
                <w:sz w:val="18"/>
              </w:rPr>
              <w:t xml:space="preserve"> and taxes on light plastic shopping bags) (2021)</w:t>
            </w:r>
          </w:p>
          <w:p w14:paraId="4FA8F288"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lastRenderedPageBreak/>
              <w:t xml:space="preserve">(2021)  </w:t>
            </w:r>
          </w:p>
        </w:tc>
        <w:tc>
          <w:tcPr>
            <w:tcW w:w="2254" w:type="dxa"/>
          </w:tcPr>
          <w:p w14:paraId="1F6D1ECE"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lastRenderedPageBreak/>
              <w:t>Minimum 3</w:t>
            </w:r>
          </w:p>
          <w:p w14:paraId="38437EAE"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(2032)</w:t>
            </w:r>
          </w:p>
        </w:tc>
      </w:tr>
      <w:tr w:rsidR="009D7400" w:rsidRPr="007C4D65" w14:paraId="58A53B8D" w14:textId="77777777" w:rsidTr="00076544">
        <w:trPr>
          <w:trHeight w:val="300"/>
        </w:trPr>
        <w:tc>
          <w:tcPr>
            <w:tcW w:w="2254" w:type="dxa"/>
            <w:vMerge w:val="restart"/>
          </w:tcPr>
          <w:p w14:paraId="43B23C65" w14:textId="77777777" w:rsidR="009D7400" w:rsidRPr="007C4D65" w:rsidRDefault="009D7400" w:rsidP="0068355A">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2.4 </w:t>
            </w:r>
          </w:p>
          <w:p w14:paraId="27C3B666" w14:textId="552483C5" w:rsidR="009D7400" w:rsidRPr="007C4D65" w:rsidRDefault="001547A8" w:rsidP="0068355A">
            <w:pPr>
              <w:spacing w:line="276" w:lineRule="auto"/>
              <w:rPr>
                <w:rFonts w:asciiTheme="minorHAnsi" w:hAnsiTheme="minorHAnsi" w:cstheme="minorHAnsi"/>
                <w:sz w:val="18"/>
                <w:szCs w:val="18"/>
              </w:rPr>
            </w:pPr>
            <w:r w:rsidRPr="007C4D65">
              <w:rPr>
                <w:rFonts w:asciiTheme="minorHAnsi" w:hAnsiTheme="minorHAnsi" w:cstheme="minorHAnsi"/>
                <w:b/>
                <w:sz w:val="18"/>
              </w:rPr>
              <w:t>Improving the municipal waste management system</w:t>
            </w:r>
          </w:p>
        </w:tc>
        <w:tc>
          <w:tcPr>
            <w:tcW w:w="2254" w:type="dxa"/>
          </w:tcPr>
          <w:p w14:paraId="1A393A61"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Financial and operational sustainability of the utility sector </w:t>
            </w:r>
          </w:p>
        </w:tc>
        <w:tc>
          <w:tcPr>
            <w:tcW w:w="2254" w:type="dxa"/>
          </w:tcPr>
          <w:p w14:paraId="20814E1E" w14:textId="2F53E56F" w:rsidR="009D7400" w:rsidRPr="007C4D65" w:rsidRDefault="00FD7932" w:rsidP="0068355A">
            <w:pPr>
              <w:spacing w:line="276" w:lineRule="auto"/>
              <w:rPr>
                <w:rFonts w:asciiTheme="minorHAnsi" w:hAnsiTheme="minorHAnsi" w:cstheme="minorHAnsi"/>
                <w:sz w:val="18"/>
                <w:szCs w:val="18"/>
              </w:rPr>
            </w:pPr>
            <w:r w:rsidRPr="007C4D65">
              <w:rPr>
                <w:rFonts w:asciiTheme="minorHAnsi" w:hAnsiTheme="minorHAnsi" w:cstheme="minorHAnsi"/>
                <w:sz w:val="18"/>
              </w:rPr>
              <w:t>Predominantly</w:t>
            </w:r>
            <w:r w:rsidR="009D7400" w:rsidRPr="007C4D65">
              <w:rPr>
                <w:rFonts w:asciiTheme="minorHAnsi" w:hAnsiTheme="minorHAnsi" w:cstheme="minorHAnsi"/>
                <w:sz w:val="18"/>
              </w:rPr>
              <w:t xml:space="preserve"> low financial and operational sustainability of companies in the utility sector</w:t>
            </w:r>
          </w:p>
          <w:p w14:paraId="1B9E9531"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(2021)</w:t>
            </w:r>
          </w:p>
        </w:tc>
        <w:tc>
          <w:tcPr>
            <w:tcW w:w="2254" w:type="dxa"/>
          </w:tcPr>
          <w:p w14:paraId="2DCE266F"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Increased financial and operational sustainability of companies in the utility sector as compared to the baseline situation (2032)</w:t>
            </w:r>
          </w:p>
        </w:tc>
      </w:tr>
      <w:tr w:rsidR="009D7400" w:rsidRPr="007C4D65" w14:paraId="73BDBA7A" w14:textId="77777777" w:rsidTr="00076544">
        <w:trPr>
          <w:trHeight w:val="300"/>
        </w:trPr>
        <w:tc>
          <w:tcPr>
            <w:tcW w:w="2254" w:type="dxa"/>
            <w:vMerge/>
          </w:tcPr>
          <w:p w14:paraId="55EA7826" w14:textId="77777777" w:rsidR="009D7400" w:rsidRPr="007C4D65" w:rsidRDefault="009D7400" w:rsidP="0068355A">
            <w:pPr>
              <w:spacing w:line="276" w:lineRule="auto"/>
              <w:rPr>
                <w:rFonts w:asciiTheme="minorHAnsi" w:hAnsiTheme="minorHAnsi" w:cstheme="minorHAnsi"/>
                <w:sz w:val="18"/>
                <w:szCs w:val="18"/>
              </w:rPr>
            </w:pPr>
          </w:p>
        </w:tc>
        <w:tc>
          <w:tcPr>
            <w:tcW w:w="2254" w:type="dxa"/>
          </w:tcPr>
          <w:p w14:paraId="1F10212C" w14:textId="45AB9DC3" w:rsidR="009D7400" w:rsidRPr="007C4D65" w:rsidRDefault="009D7400" w:rsidP="0068355A">
            <w:pPr>
              <w:pStyle w:val="NormalWeb"/>
              <w:spacing w:line="276" w:lineRule="auto"/>
              <w:rPr>
                <w:rFonts w:asciiTheme="minorHAnsi" w:eastAsiaTheme="minorHAnsi" w:hAnsiTheme="minorHAnsi" w:cstheme="minorHAnsi"/>
                <w:sz w:val="18"/>
                <w:szCs w:val="18"/>
              </w:rPr>
            </w:pPr>
            <w:r w:rsidRPr="007C4D65">
              <w:rPr>
                <w:rFonts w:asciiTheme="minorHAnsi" w:hAnsiTheme="minorHAnsi" w:cstheme="minorHAnsi"/>
                <w:sz w:val="18"/>
              </w:rPr>
              <w:t>Costs of environmental action‒ waste</w:t>
            </w:r>
          </w:p>
          <w:p w14:paraId="48D566E1" w14:textId="77777777" w:rsidR="009D7400" w:rsidRPr="007C4D65" w:rsidRDefault="009D7400" w:rsidP="0068355A">
            <w:pPr>
              <w:spacing w:line="276" w:lineRule="auto"/>
              <w:rPr>
                <w:rFonts w:asciiTheme="minorHAnsi" w:hAnsiTheme="minorHAnsi" w:cstheme="minorHAnsi"/>
                <w:sz w:val="18"/>
                <w:szCs w:val="18"/>
              </w:rPr>
            </w:pPr>
          </w:p>
        </w:tc>
        <w:tc>
          <w:tcPr>
            <w:tcW w:w="2254" w:type="dxa"/>
          </w:tcPr>
          <w:p w14:paraId="3DD8B408" w14:textId="77777777" w:rsidR="009D7400" w:rsidRPr="007C4D65" w:rsidRDefault="009D7400" w:rsidP="0068355A">
            <w:pPr>
              <w:spacing w:before="40" w:after="40" w:line="276" w:lineRule="auto"/>
              <w:rPr>
                <w:rFonts w:asciiTheme="minorHAnsi" w:hAnsiTheme="minorHAnsi" w:cstheme="minorHAnsi"/>
                <w:sz w:val="18"/>
                <w:szCs w:val="18"/>
              </w:rPr>
            </w:pPr>
            <w:proofErr w:type="gramStart"/>
            <w:r w:rsidRPr="007C4D65">
              <w:rPr>
                <w:rFonts w:asciiTheme="minorHAnsi" w:hAnsiTheme="minorHAnsi" w:cstheme="minorHAnsi"/>
                <w:sz w:val="18"/>
              </w:rPr>
              <w:t>Amount</w:t>
            </w:r>
            <w:proofErr w:type="gramEnd"/>
            <w:r w:rsidRPr="007C4D65">
              <w:rPr>
                <w:rFonts w:asciiTheme="minorHAnsi" w:hAnsiTheme="minorHAnsi" w:cstheme="minorHAnsi"/>
                <w:sz w:val="18"/>
              </w:rPr>
              <w:t xml:space="preserve"> of investments in waste management - </w:t>
            </w:r>
          </w:p>
          <w:p w14:paraId="3D7F7F22"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Investments of the Environmental Protection Fund of Federation of BiH BAM 1.4 million (2021)</w:t>
            </w:r>
          </w:p>
        </w:tc>
        <w:tc>
          <w:tcPr>
            <w:tcW w:w="2254" w:type="dxa"/>
          </w:tcPr>
          <w:p w14:paraId="5F3D083A"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Increased investments in waste management as compared to the base year (2032)</w:t>
            </w:r>
          </w:p>
          <w:p w14:paraId="437180D9" w14:textId="77777777" w:rsidR="009D7400" w:rsidRPr="007C4D65" w:rsidRDefault="009D7400" w:rsidP="0068355A">
            <w:pPr>
              <w:spacing w:line="276" w:lineRule="auto"/>
              <w:rPr>
                <w:rFonts w:asciiTheme="minorHAnsi" w:hAnsiTheme="minorHAnsi" w:cstheme="minorHAnsi"/>
                <w:sz w:val="18"/>
                <w:szCs w:val="18"/>
              </w:rPr>
            </w:pPr>
          </w:p>
          <w:p w14:paraId="7468CE42" w14:textId="77777777" w:rsidR="009D7400" w:rsidRPr="007C4D65" w:rsidRDefault="009D7400" w:rsidP="0068355A">
            <w:pPr>
              <w:spacing w:line="276" w:lineRule="auto"/>
              <w:rPr>
                <w:rFonts w:asciiTheme="minorHAnsi" w:hAnsiTheme="minorHAnsi" w:cstheme="minorHAnsi"/>
                <w:sz w:val="18"/>
                <w:szCs w:val="18"/>
              </w:rPr>
            </w:pPr>
          </w:p>
        </w:tc>
      </w:tr>
      <w:tr w:rsidR="009D7400" w:rsidRPr="007C4D65" w14:paraId="33846801" w14:textId="77777777" w:rsidTr="00076544">
        <w:trPr>
          <w:trHeight w:val="300"/>
        </w:trPr>
        <w:tc>
          <w:tcPr>
            <w:tcW w:w="2254" w:type="dxa"/>
            <w:vMerge/>
          </w:tcPr>
          <w:p w14:paraId="50A7C7F1" w14:textId="77777777" w:rsidR="009D7400" w:rsidRPr="007C4D65" w:rsidRDefault="009D7400" w:rsidP="0068355A">
            <w:pPr>
              <w:spacing w:line="276" w:lineRule="auto"/>
              <w:rPr>
                <w:rFonts w:asciiTheme="minorHAnsi" w:hAnsiTheme="minorHAnsi" w:cstheme="minorHAnsi"/>
                <w:sz w:val="18"/>
                <w:szCs w:val="18"/>
              </w:rPr>
            </w:pPr>
          </w:p>
        </w:tc>
        <w:tc>
          <w:tcPr>
            <w:tcW w:w="2254" w:type="dxa"/>
          </w:tcPr>
          <w:p w14:paraId="4FAE3880"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Municipal waste collected and landfilled</w:t>
            </w:r>
          </w:p>
          <w:p w14:paraId="69BA5912" w14:textId="77777777" w:rsidR="009D7400" w:rsidRPr="007C4D65" w:rsidRDefault="009D7400" w:rsidP="0068355A">
            <w:pPr>
              <w:spacing w:line="276" w:lineRule="auto"/>
              <w:rPr>
                <w:rFonts w:asciiTheme="minorHAnsi" w:hAnsiTheme="minorHAnsi" w:cstheme="minorHAnsi"/>
                <w:sz w:val="18"/>
                <w:szCs w:val="18"/>
              </w:rPr>
            </w:pPr>
          </w:p>
        </w:tc>
        <w:tc>
          <w:tcPr>
            <w:tcW w:w="2254" w:type="dxa"/>
          </w:tcPr>
          <w:p w14:paraId="2CF7E7D3"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Waste collected: 611,854 t/y (2020)</w:t>
            </w:r>
          </w:p>
          <w:p w14:paraId="3D854CCA"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Waste landfilled: 577,685 t/y (2020)</w:t>
            </w:r>
          </w:p>
          <w:p w14:paraId="49AE5BEF"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(94% of the waste collected is landfilled)</w:t>
            </w:r>
          </w:p>
        </w:tc>
        <w:tc>
          <w:tcPr>
            <w:tcW w:w="2254" w:type="dxa"/>
          </w:tcPr>
          <w:p w14:paraId="4109AFA0"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Diverting the waste away from landfills towards other forms of treatment, ultimately aiming at reducing the amount of waste landfilled to less than 60% of the total municipal waste generated as compared to the base year </w:t>
            </w:r>
          </w:p>
          <w:p w14:paraId="2BA351C3"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(2032)</w:t>
            </w:r>
          </w:p>
        </w:tc>
      </w:tr>
      <w:tr w:rsidR="009D7400" w:rsidRPr="007C4D65" w14:paraId="6E95FFB4" w14:textId="77777777" w:rsidTr="00076544">
        <w:trPr>
          <w:trHeight w:val="300"/>
        </w:trPr>
        <w:tc>
          <w:tcPr>
            <w:tcW w:w="2254" w:type="dxa"/>
          </w:tcPr>
          <w:p w14:paraId="6F3EA983" w14:textId="77777777" w:rsidR="001547A8" w:rsidRPr="007C4D65" w:rsidRDefault="009D7400" w:rsidP="001547A8">
            <w:pPr>
              <w:spacing w:line="276" w:lineRule="auto"/>
              <w:rPr>
                <w:rFonts w:asciiTheme="minorHAnsi" w:hAnsiTheme="minorHAnsi" w:cstheme="minorHAnsi"/>
                <w:b/>
                <w:sz w:val="18"/>
              </w:rPr>
            </w:pPr>
            <w:r w:rsidRPr="007C4D65">
              <w:rPr>
                <w:rFonts w:asciiTheme="minorHAnsi" w:hAnsiTheme="minorHAnsi" w:cstheme="minorHAnsi"/>
                <w:b/>
                <w:sz w:val="18"/>
              </w:rPr>
              <w:t xml:space="preserve">Priority 2.5 </w:t>
            </w:r>
            <w:r w:rsidR="001547A8" w:rsidRPr="007C4D65">
              <w:rPr>
                <w:rFonts w:asciiTheme="minorHAnsi" w:hAnsiTheme="minorHAnsi" w:cstheme="minorHAnsi"/>
                <w:b/>
                <w:sz w:val="18"/>
              </w:rPr>
              <w:t>Improving the management of special wastes</w:t>
            </w:r>
          </w:p>
          <w:p w14:paraId="7996B0BF" w14:textId="51F9EC31" w:rsidR="009D7400" w:rsidRPr="007C4D65" w:rsidRDefault="009D7400" w:rsidP="0068355A">
            <w:pPr>
              <w:spacing w:line="276" w:lineRule="auto"/>
              <w:rPr>
                <w:rFonts w:asciiTheme="minorHAnsi" w:hAnsiTheme="minorHAnsi" w:cstheme="minorHAnsi"/>
                <w:b/>
                <w:sz w:val="18"/>
                <w:szCs w:val="18"/>
              </w:rPr>
            </w:pPr>
          </w:p>
        </w:tc>
        <w:tc>
          <w:tcPr>
            <w:tcW w:w="2254" w:type="dxa"/>
          </w:tcPr>
          <w:p w14:paraId="25078D0B" w14:textId="7389A09D"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Amount of waste in R treatments ‒ special waste</w:t>
            </w:r>
            <w:r w:rsidR="00FD7932" w:rsidRPr="007C4D65">
              <w:rPr>
                <w:rFonts w:asciiTheme="minorHAnsi" w:hAnsiTheme="minorHAnsi" w:cstheme="minorHAnsi"/>
                <w:sz w:val="18"/>
                <w:szCs w:val="18"/>
              </w:rPr>
              <w:t>s</w:t>
            </w:r>
          </w:p>
          <w:p w14:paraId="2DBAAA00" w14:textId="77777777" w:rsidR="009D7400" w:rsidRPr="007C4D65" w:rsidRDefault="009D7400" w:rsidP="0068355A">
            <w:pPr>
              <w:spacing w:line="276" w:lineRule="auto"/>
              <w:rPr>
                <w:rFonts w:asciiTheme="minorHAnsi" w:hAnsiTheme="minorHAnsi" w:cstheme="minorHAnsi"/>
                <w:sz w:val="18"/>
                <w:szCs w:val="18"/>
              </w:rPr>
            </w:pPr>
          </w:p>
        </w:tc>
        <w:tc>
          <w:tcPr>
            <w:tcW w:w="2254" w:type="dxa"/>
          </w:tcPr>
          <w:p w14:paraId="6D189505"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Data available only for the national level, and the amount is 225,993 t/y (2020)</w:t>
            </w:r>
          </w:p>
        </w:tc>
        <w:tc>
          <w:tcPr>
            <w:tcW w:w="2254" w:type="dxa"/>
          </w:tcPr>
          <w:p w14:paraId="6319C48B"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Increasing the amount of municipal waste processed in R treatments by 50% as compared to the base year (2032)</w:t>
            </w:r>
          </w:p>
        </w:tc>
      </w:tr>
      <w:tr w:rsidR="009D7400" w:rsidRPr="007C4D65" w14:paraId="1EE19822" w14:textId="77777777" w:rsidTr="00076544">
        <w:trPr>
          <w:trHeight w:val="300"/>
        </w:trPr>
        <w:tc>
          <w:tcPr>
            <w:tcW w:w="2254" w:type="dxa"/>
          </w:tcPr>
          <w:p w14:paraId="0B7F9C39" w14:textId="77777777" w:rsidR="009D7400" w:rsidRPr="007C4D65" w:rsidRDefault="009D7400" w:rsidP="0068355A">
            <w:pPr>
              <w:spacing w:line="276" w:lineRule="auto"/>
              <w:rPr>
                <w:rFonts w:asciiTheme="minorHAnsi" w:hAnsiTheme="minorHAnsi" w:cstheme="minorHAnsi"/>
                <w:b/>
                <w:sz w:val="18"/>
                <w:szCs w:val="18"/>
              </w:rPr>
            </w:pPr>
            <w:r w:rsidRPr="007C4D65">
              <w:rPr>
                <w:rFonts w:asciiTheme="minorHAnsi" w:hAnsiTheme="minorHAnsi" w:cstheme="minorHAnsi"/>
                <w:b/>
                <w:sz w:val="18"/>
              </w:rPr>
              <w:t>Priority 2.6 Rehabilitate surfaces beneath inadequately disposed waste</w:t>
            </w:r>
          </w:p>
        </w:tc>
        <w:tc>
          <w:tcPr>
            <w:tcW w:w="2254" w:type="dxa"/>
          </w:tcPr>
          <w:p w14:paraId="3998E5B0" w14:textId="422FEEF8" w:rsidR="009D7400" w:rsidRPr="007C4D65" w:rsidRDefault="009D7400" w:rsidP="0068355A">
            <w:pPr>
              <w:pStyle w:val="NormalWeb"/>
              <w:spacing w:line="276" w:lineRule="auto"/>
              <w:rPr>
                <w:rFonts w:asciiTheme="minorHAnsi" w:eastAsiaTheme="minorHAnsi" w:hAnsiTheme="minorHAnsi" w:cstheme="minorHAnsi"/>
                <w:sz w:val="18"/>
                <w:szCs w:val="18"/>
              </w:rPr>
            </w:pPr>
            <w:r w:rsidRPr="007C4D65">
              <w:rPr>
                <w:rFonts w:asciiTheme="minorHAnsi" w:hAnsiTheme="minorHAnsi" w:cstheme="minorHAnsi"/>
                <w:sz w:val="18"/>
              </w:rPr>
              <w:t>Costs of environmental action– landfills rehabilitation</w:t>
            </w:r>
          </w:p>
          <w:p w14:paraId="39B06682" w14:textId="77777777" w:rsidR="009D7400" w:rsidRPr="007C4D65" w:rsidRDefault="009D7400" w:rsidP="0068355A">
            <w:pPr>
              <w:spacing w:line="276" w:lineRule="auto"/>
              <w:rPr>
                <w:rFonts w:asciiTheme="minorHAnsi" w:hAnsiTheme="minorHAnsi" w:cstheme="minorHAnsi"/>
                <w:sz w:val="18"/>
                <w:szCs w:val="18"/>
              </w:rPr>
            </w:pPr>
          </w:p>
        </w:tc>
        <w:tc>
          <w:tcPr>
            <w:tcW w:w="2254" w:type="dxa"/>
          </w:tcPr>
          <w:p w14:paraId="3F594D56"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0</w:t>
            </w:r>
          </w:p>
        </w:tc>
        <w:tc>
          <w:tcPr>
            <w:tcW w:w="2254" w:type="dxa"/>
          </w:tcPr>
          <w:p w14:paraId="5FF8BA5A"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Increased each year compared to the base year</w:t>
            </w:r>
          </w:p>
          <w:p w14:paraId="6411EDED"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(2032)</w:t>
            </w:r>
          </w:p>
        </w:tc>
      </w:tr>
      <w:tr w:rsidR="009D7400" w:rsidRPr="007C4D65" w14:paraId="2862B9CD" w14:textId="77777777" w:rsidTr="00076544">
        <w:trPr>
          <w:trHeight w:val="300"/>
        </w:trPr>
        <w:tc>
          <w:tcPr>
            <w:tcW w:w="2254" w:type="dxa"/>
          </w:tcPr>
          <w:p w14:paraId="4F960D91" w14:textId="77777777" w:rsidR="009D7400" w:rsidRPr="007C4D65" w:rsidRDefault="009D7400" w:rsidP="0068355A">
            <w:pPr>
              <w:spacing w:line="276" w:lineRule="auto"/>
              <w:rPr>
                <w:rFonts w:asciiTheme="minorHAnsi" w:hAnsiTheme="minorHAnsi" w:cstheme="minorHAnsi"/>
                <w:b/>
                <w:sz w:val="18"/>
                <w:szCs w:val="18"/>
              </w:rPr>
            </w:pPr>
            <w:r w:rsidRPr="007C4D65">
              <w:rPr>
                <w:rFonts w:asciiTheme="minorHAnsi" w:hAnsiTheme="minorHAnsi" w:cstheme="minorHAnsi"/>
                <w:b/>
                <w:sz w:val="18"/>
              </w:rPr>
              <w:t>Priority 2.7 Raise awareness about the proper separation, collection and disposal of waste</w:t>
            </w:r>
          </w:p>
        </w:tc>
        <w:tc>
          <w:tcPr>
            <w:tcW w:w="2254" w:type="dxa"/>
          </w:tcPr>
          <w:p w14:paraId="4A935CE0"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Funds invested in awareness programmes on waste management</w:t>
            </w:r>
          </w:p>
        </w:tc>
        <w:tc>
          <w:tcPr>
            <w:tcW w:w="2254" w:type="dxa"/>
          </w:tcPr>
          <w:p w14:paraId="125ED81E"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No indicator available</w:t>
            </w:r>
          </w:p>
          <w:p w14:paraId="5B95A919"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(2021)</w:t>
            </w:r>
          </w:p>
          <w:p w14:paraId="178518C0" w14:textId="77777777" w:rsidR="009D7400" w:rsidRPr="007C4D65" w:rsidRDefault="009D7400" w:rsidP="0068355A">
            <w:pPr>
              <w:spacing w:line="276" w:lineRule="auto"/>
              <w:rPr>
                <w:rFonts w:asciiTheme="minorHAnsi" w:hAnsiTheme="minorHAnsi" w:cstheme="minorHAnsi"/>
                <w:sz w:val="18"/>
                <w:szCs w:val="18"/>
              </w:rPr>
            </w:pPr>
          </w:p>
        </w:tc>
        <w:tc>
          <w:tcPr>
            <w:tcW w:w="2254" w:type="dxa"/>
          </w:tcPr>
          <w:p w14:paraId="68132A1B"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Increased each year compared to the base year</w:t>
            </w:r>
          </w:p>
          <w:p w14:paraId="42433C07" w14:textId="77777777" w:rsidR="009D7400" w:rsidRPr="007C4D65" w:rsidRDefault="009D7400" w:rsidP="0068355A">
            <w:pPr>
              <w:spacing w:line="276" w:lineRule="auto"/>
              <w:rPr>
                <w:rFonts w:asciiTheme="minorHAnsi" w:hAnsiTheme="minorHAnsi" w:cstheme="minorHAnsi"/>
                <w:sz w:val="18"/>
                <w:szCs w:val="18"/>
              </w:rPr>
            </w:pPr>
            <w:r w:rsidRPr="007C4D65">
              <w:rPr>
                <w:rFonts w:asciiTheme="minorHAnsi" w:hAnsiTheme="minorHAnsi" w:cstheme="minorHAnsi"/>
                <w:sz w:val="18"/>
              </w:rPr>
              <w:t>(2032)</w:t>
            </w:r>
          </w:p>
        </w:tc>
      </w:tr>
    </w:tbl>
    <w:p w14:paraId="6E7EBE78" w14:textId="77777777" w:rsidR="00FF6549" w:rsidRPr="007C4D65" w:rsidRDefault="00FF6549" w:rsidP="0068355A">
      <w:pPr>
        <w:spacing w:line="276" w:lineRule="auto"/>
        <w:rPr>
          <w:rFonts w:asciiTheme="minorHAnsi" w:hAnsiTheme="minorHAnsi" w:cstheme="minorHAnsi"/>
        </w:rPr>
      </w:pPr>
    </w:p>
    <w:p w14:paraId="0F5DE900" w14:textId="6A698063" w:rsidR="00FF6549" w:rsidRPr="007C4D65" w:rsidRDefault="009E6B20">
      <w:pPr>
        <w:pStyle w:val="Head3"/>
        <w:spacing w:line="276" w:lineRule="auto"/>
        <w:rPr>
          <w:rFonts w:asciiTheme="minorHAnsi" w:hAnsiTheme="minorHAnsi"/>
        </w:rPr>
      </w:pPr>
      <w:bookmarkStart w:id="101" w:name="_Toc117445339"/>
      <w:r w:rsidRPr="007C4D65">
        <w:rPr>
          <w:rFonts w:asciiTheme="minorHAnsi" w:hAnsiTheme="minorHAnsi"/>
        </w:rPr>
        <w:t>Description</w:t>
      </w:r>
      <w:r w:rsidR="00FF6549" w:rsidRPr="007C4D65">
        <w:rPr>
          <w:rFonts w:asciiTheme="minorHAnsi" w:hAnsiTheme="minorHAnsi"/>
        </w:rPr>
        <w:t xml:space="preserve"> of </w:t>
      </w:r>
      <w:r w:rsidRPr="007C4D65">
        <w:rPr>
          <w:rFonts w:asciiTheme="minorHAnsi" w:hAnsiTheme="minorHAnsi"/>
        </w:rPr>
        <w:t>m</w:t>
      </w:r>
      <w:r w:rsidR="00FF6549" w:rsidRPr="007C4D65">
        <w:rPr>
          <w:rFonts w:asciiTheme="minorHAnsi" w:hAnsiTheme="minorHAnsi"/>
        </w:rPr>
        <w:t>easures</w:t>
      </w:r>
      <w:bookmarkEnd w:id="101"/>
    </w:p>
    <w:p w14:paraId="20C04B97" w14:textId="77777777" w:rsidR="00FF6549" w:rsidRPr="007C4D65" w:rsidRDefault="00FF6549" w:rsidP="0068355A">
      <w:pPr>
        <w:spacing w:line="276" w:lineRule="auto"/>
        <w:rPr>
          <w:rFonts w:asciiTheme="minorHAnsi" w:hAnsiTheme="minorHAnsi" w:cstheme="minorHAnsi"/>
          <w:sz w:val="22"/>
          <w:szCs w:val="22"/>
        </w:rPr>
      </w:pPr>
      <w:r w:rsidRPr="007C4D65">
        <w:rPr>
          <w:rFonts w:asciiTheme="minorHAnsi" w:hAnsiTheme="minorHAnsi" w:cstheme="minorHAnsi"/>
          <w:sz w:val="22"/>
        </w:rPr>
        <w:t>Strategic goal 2 comprises 10 measures logically lined with the priorities.</w:t>
      </w:r>
    </w:p>
    <w:p w14:paraId="0C20A83D" w14:textId="073DD644" w:rsidR="009D7400" w:rsidRPr="007C4D65" w:rsidRDefault="009D7400" w:rsidP="0068355A">
      <w:pPr>
        <w:spacing w:before="240" w:after="240" w:line="276" w:lineRule="auto"/>
        <w:rPr>
          <w:rFonts w:asciiTheme="minorHAnsi" w:hAnsiTheme="minorHAnsi" w:cstheme="minorHAnsi"/>
        </w:rPr>
      </w:pPr>
      <w:r w:rsidRPr="007C4D65">
        <w:rPr>
          <w:rFonts w:asciiTheme="minorHAnsi" w:hAnsiTheme="minorHAnsi" w:cstheme="minorHAnsi"/>
          <w:b/>
          <w:i/>
          <w:sz w:val="22"/>
          <w:u w:val="single"/>
        </w:rPr>
        <w:t xml:space="preserve">Priority 2.1 </w:t>
      </w:r>
      <w:r w:rsidR="00E55311" w:rsidRPr="007C4D65">
        <w:rPr>
          <w:rFonts w:asciiTheme="minorHAnsi" w:hAnsiTheme="minorHAnsi" w:cstheme="minorHAnsi"/>
          <w:b/>
          <w:i/>
          <w:sz w:val="22"/>
          <w:u w:val="single"/>
        </w:rPr>
        <w:t>Improving the legal and strategic framework in the waste management according to the EU principles</w:t>
      </w:r>
    </w:p>
    <w:p w14:paraId="5BE2F178" w14:textId="37DA4D49" w:rsidR="009D7400" w:rsidRPr="007C4D65" w:rsidRDefault="009D7400" w:rsidP="0068355A">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2.1.1. </w:t>
      </w:r>
      <w:r w:rsidR="009E6B20" w:rsidRPr="007C4D65">
        <w:rPr>
          <w:rFonts w:asciiTheme="minorHAnsi" w:hAnsiTheme="minorHAnsi" w:cstheme="minorHAnsi"/>
          <w:i/>
          <w:sz w:val="22"/>
          <w:u w:val="single"/>
        </w:rPr>
        <w:t xml:space="preserve">Improve waste management legislation, policies and planning documents </w:t>
      </w:r>
      <w:proofErr w:type="gramStart"/>
      <w:r w:rsidR="009E6B20" w:rsidRPr="007C4D65">
        <w:rPr>
          <w:rFonts w:asciiTheme="minorHAnsi" w:hAnsiTheme="minorHAnsi" w:cstheme="minorHAnsi"/>
          <w:i/>
          <w:sz w:val="22"/>
          <w:u w:val="single"/>
        </w:rPr>
        <w:t>so as to</w:t>
      </w:r>
      <w:proofErr w:type="gramEnd"/>
      <w:r w:rsidR="009E6B20" w:rsidRPr="007C4D65">
        <w:rPr>
          <w:rFonts w:asciiTheme="minorHAnsi" w:hAnsiTheme="minorHAnsi" w:cstheme="minorHAnsi"/>
          <w:i/>
          <w:sz w:val="22"/>
          <w:u w:val="single"/>
        </w:rPr>
        <w:t xml:space="preserve"> be in compliance with the obligations arising from the EU acquis and international agreements</w:t>
      </w:r>
    </w:p>
    <w:p w14:paraId="2C56631C" w14:textId="77777777"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This measure aims at upgrading the applicable legislation, policies, planning and strategic documents of the Federation of BiH </w:t>
      </w:r>
      <w:proofErr w:type="gramStart"/>
      <w:r w:rsidRPr="007C4D65">
        <w:rPr>
          <w:rFonts w:asciiTheme="minorHAnsi" w:hAnsiTheme="minorHAnsi" w:cstheme="minorHAnsi"/>
          <w:sz w:val="22"/>
        </w:rPr>
        <w:t>so as to</w:t>
      </w:r>
      <w:proofErr w:type="gramEnd"/>
      <w:r w:rsidRPr="007C4D65">
        <w:rPr>
          <w:rFonts w:asciiTheme="minorHAnsi" w:hAnsiTheme="minorHAnsi" w:cstheme="minorHAnsi"/>
          <w:sz w:val="22"/>
        </w:rPr>
        <w:t xml:space="preserve"> be in full compliance with the obligations arising from the Directives </w:t>
      </w:r>
      <w:r w:rsidRPr="007C4D65">
        <w:rPr>
          <w:rFonts w:asciiTheme="minorHAnsi" w:hAnsiTheme="minorHAnsi" w:cstheme="minorHAnsi"/>
          <w:sz w:val="22"/>
        </w:rPr>
        <w:lastRenderedPageBreak/>
        <w:t xml:space="preserve">and guidelines of the European Union governing the waste management, and with the requirements of the Basel Convention on control of transboundary movement of hazardous waste and its disposal. </w:t>
      </w:r>
    </w:p>
    <w:p w14:paraId="0924ECD6" w14:textId="0B090CBF"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General areas of intervention focus on upgrading of the applicable Law on Waste Management, improvement of the applicable and/or development of new </w:t>
      </w:r>
      <w:r w:rsidR="00B80FAD" w:rsidRPr="007C4D65">
        <w:rPr>
          <w:rFonts w:asciiTheme="minorHAnsi" w:hAnsiTheme="minorHAnsi" w:cstheme="minorHAnsi"/>
          <w:sz w:val="22"/>
        </w:rPr>
        <w:t>bylaw</w:t>
      </w:r>
      <w:r w:rsidRPr="007C4D65">
        <w:rPr>
          <w:rFonts w:asciiTheme="minorHAnsi" w:hAnsiTheme="minorHAnsi" w:cstheme="minorHAnsi"/>
          <w:sz w:val="22"/>
        </w:rPr>
        <w:t>s on waste management and improvement of the strategic planning procedure.</w:t>
      </w:r>
    </w:p>
    <w:p w14:paraId="689E820A" w14:textId="77777777" w:rsidR="009D7400" w:rsidRPr="007C4D65" w:rsidRDefault="009D7400" w:rsidP="0068355A">
      <w:pPr>
        <w:spacing w:before="240" w:after="240" w:line="276" w:lineRule="auto"/>
        <w:rPr>
          <w:rFonts w:asciiTheme="minorHAnsi" w:eastAsia="Calibri" w:hAnsiTheme="minorHAnsi" w:cstheme="minorHAnsi"/>
          <w:b/>
          <w:i/>
          <w:sz w:val="22"/>
          <w:szCs w:val="22"/>
          <w:u w:val="single"/>
        </w:rPr>
      </w:pPr>
      <w:r w:rsidRPr="007C4D65">
        <w:rPr>
          <w:rFonts w:asciiTheme="minorHAnsi" w:hAnsiTheme="minorHAnsi" w:cstheme="minorHAnsi"/>
          <w:b/>
          <w:i/>
          <w:sz w:val="22"/>
          <w:u w:val="single"/>
        </w:rPr>
        <w:t>Priority 2.2 Improving the waste records and reporting system</w:t>
      </w:r>
    </w:p>
    <w:p w14:paraId="23EFB198" w14:textId="77777777" w:rsidR="009D7400" w:rsidRPr="007C4D65" w:rsidRDefault="009D7400" w:rsidP="0068355A">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2.2.1. Improving the waste records and reporting system</w:t>
      </w:r>
    </w:p>
    <w:p w14:paraId="3D7CE6A4" w14:textId="77777777"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This measure aims at improving the waste records and reporting system </w:t>
      </w:r>
      <w:proofErr w:type="gramStart"/>
      <w:r w:rsidRPr="007C4D65">
        <w:rPr>
          <w:rFonts w:asciiTheme="minorHAnsi" w:hAnsiTheme="minorHAnsi" w:cstheme="minorHAnsi"/>
          <w:sz w:val="22"/>
        </w:rPr>
        <w:t>in order to</w:t>
      </w:r>
      <w:proofErr w:type="gramEnd"/>
      <w:r w:rsidRPr="007C4D65">
        <w:rPr>
          <w:rFonts w:asciiTheme="minorHAnsi" w:hAnsiTheme="minorHAnsi" w:cstheme="minorHAnsi"/>
          <w:sz w:val="22"/>
        </w:rPr>
        <w:t xml:space="preserve"> obtain reliable data, improve strategic planning across the levels, which will contribute to sustainability of future investments in the waste management.</w:t>
      </w:r>
    </w:p>
    <w:p w14:paraId="7BA8F3EC" w14:textId="77D5B24E"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General areas of intervention focus on passing legislation which will </w:t>
      </w:r>
      <w:r w:rsidR="001A2A48" w:rsidRPr="007C4D65">
        <w:rPr>
          <w:rFonts w:asciiTheme="minorHAnsi" w:hAnsiTheme="minorHAnsi" w:cstheme="minorHAnsi"/>
          <w:sz w:val="22"/>
        </w:rPr>
        <w:t>require</w:t>
      </w:r>
      <w:r w:rsidRPr="007C4D65">
        <w:rPr>
          <w:rFonts w:asciiTheme="minorHAnsi" w:hAnsiTheme="minorHAnsi" w:cstheme="minorHAnsi"/>
          <w:sz w:val="22"/>
        </w:rPr>
        <w:t xml:space="preserve"> determination of the quantity and composition of waste, establishment of an </w:t>
      </w:r>
      <w:r w:rsidR="00274404" w:rsidRPr="007C4D65">
        <w:rPr>
          <w:rFonts w:asciiTheme="minorHAnsi" w:hAnsiTheme="minorHAnsi" w:cstheme="minorHAnsi"/>
          <w:sz w:val="22"/>
        </w:rPr>
        <w:t>authorised</w:t>
      </w:r>
      <w:r w:rsidRPr="007C4D65">
        <w:rPr>
          <w:rFonts w:asciiTheme="minorHAnsi" w:hAnsiTheme="minorHAnsi" w:cstheme="minorHAnsi"/>
          <w:sz w:val="22"/>
        </w:rPr>
        <w:t xml:space="preserve"> laboratory for waste analysis and upgrading of the waste information system.</w:t>
      </w:r>
    </w:p>
    <w:p w14:paraId="1BA2967A" w14:textId="25BD76C5" w:rsidR="009D7400" w:rsidRPr="007C4D65" w:rsidRDefault="009D7400" w:rsidP="0068355A">
      <w:pPr>
        <w:spacing w:before="240" w:after="240" w:line="276" w:lineRule="auto"/>
        <w:rPr>
          <w:rFonts w:asciiTheme="minorHAnsi" w:eastAsia="Calibri" w:hAnsiTheme="minorHAnsi" w:cstheme="minorHAnsi"/>
          <w:b/>
          <w:i/>
          <w:sz w:val="22"/>
          <w:szCs w:val="22"/>
          <w:u w:val="single"/>
        </w:rPr>
      </w:pPr>
      <w:r w:rsidRPr="007C4D65">
        <w:rPr>
          <w:rFonts w:asciiTheme="minorHAnsi" w:hAnsiTheme="minorHAnsi" w:cstheme="minorHAnsi"/>
          <w:b/>
          <w:i/>
          <w:sz w:val="22"/>
          <w:u w:val="single"/>
        </w:rPr>
        <w:t xml:space="preserve">Priority 2.3 </w:t>
      </w:r>
      <w:r w:rsidR="009E6B20" w:rsidRPr="007C4D65">
        <w:rPr>
          <w:rFonts w:asciiTheme="minorHAnsi" w:hAnsiTheme="minorHAnsi" w:cstheme="minorHAnsi"/>
          <w:b/>
          <w:i/>
          <w:sz w:val="22"/>
          <w:u w:val="single"/>
        </w:rPr>
        <w:t>Implementing economic and financial instruments and mechanisms to reduce the amount of waste and boost utilisation of all categories of waste</w:t>
      </w:r>
    </w:p>
    <w:p w14:paraId="477395F8" w14:textId="549B9DB4" w:rsidR="009D7400" w:rsidRPr="007C4D65" w:rsidRDefault="009D7400" w:rsidP="0068355A">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2.3.1. A revision of the current and implementation of further economic and financial instruments and mechanisms in the waste management sector</w:t>
      </w:r>
    </w:p>
    <w:p w14:paraId="384D2828" w14:textId="352A6AAE"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This measure aims at supporting the transition towards a circular economy through financial instruments. </w:t>
      </w:r>
      <w:r w:rsidR="00042CF3" w:rsidRPr="007C4D65">
        <w:rPr>
          <w:rFonts w:asciiTheme="minorHAnsi" w:hAnsiTheme="minorHAnsi" w:cstheme="minorHAnsi"/>
          <w:sz w:val="22"/>
        </w:rPr>
        <w:t>General</w:t>
      </w:r>
      <w:r w:rsidRPr="007C4D65">
        <w:rPr>
          <w:rFonts w:asciiTheme="minorHAnsi" w:hAnsiTheme="minorHAnsi" w:cstheme="minorHAnsi"/>
          <w:sz w:val="22"/>
        </w:rPr>
        <w:t xml:space="preserve"> area</w:t>
      </w:r>
      <w:r w:rsidR="00042CF3" w:rsidRPr="007C4D65">
        <w:rPr>
          <w:rFonts w:asciiTheme="minorHAnsi" w:hAnsiTheme="minorHAnsi" w:cstheme="minorHAnsi"/>
          <w:sz w:val="22"/>
        </w:rPr>
        <w:t>s</w:t>
      </w:r>
      <w:r w:rsidRPr="007C4D65">
        <w:rPr>
          <w:rFonts w:asciiTheme="minorHAnsi" w:hAnsiTheme="minorHAnsi" w:cstheme="minorHAnsi"/>
          <w:sz w:val="22"/>
        </w:rPr>
        <w:t xml:space="preserve"> of intervention </w:t>
      </w:r>
      <w:r w:rsidR="00042CF3" w:rsidRPr="007C4D65">
        <w:rPr>
          <w:rFonts w:asciiTheme="minorHAnsi" w:hAnsiTheme="minorHAnsi" w:cstheme="minorHAnsi"/>
          <w:sz w:val="22"/>
        </w:rPr>
        <w:t>focus</w:t>
      </w:r>
      <w:r w:rsidRPr="007C4D65">
        <w:rPr>
          <w:rFonts w:asciiTheme="minorHAnsi" w:hAnsiTheme="minorHAnsi" w:cstheme="minorHAnsi"/>
          <w:sz w:val="22"/>
        </w:rPr>
        <w:t xml:space="preserve"> on </w:t>
      </w:r>
      <w:r w:rsidR="00042CF3" w:rsidRPr="007C4D65">
        <w:rPr>
          <w:rFonts w:asciiTheme="minorHAnsi" w:hAnsiTheme="minorHAnsi" w:cstheme="minorHAnsi"/>
          <w:sz w:val="22"/>
        </w:rPr>
        <w:t>analysing</w:t>
      </w:r>
      <w:r w:rsidRPr="007C4D65">
        <w:rPr>
          <w:rFonts w:asciiTheme="minorHAnsi" w:hAnsiTheme="minorHAnsi" w:cstheme="minorHAnsi"/>
          <w:sz w:val="22"/>
        </w:rPr>
        <w:t xml:space="preserve"> opportunities and defining recommendations for a revision of the current and </w:t>
      </w:r>
      <w:r w:rsidR="00042CF3" w:rsidRPr="007C4D65">
        <w:rPr>
          <w:rFonts w:asciiTheme="minorHAnsi" w:hAnsiTheme="minorHAnsi" w:cstheme="minorHAnsi"/>
          <w:sz w:val="22"/>
        </w:rPr>
        <w:t>introduction</w:t>
      </w:r>
      <w:r w:rsidRPr="007C4D65">
        <w:rPr>
          <w:rFonts w:asciiTheme="minorHAnsi" w:hAnsiTheme="minorHAnsi" w:cstheme="minorHAnsi"/>
          <w:sz w:val="22"/>
        </w:rPr>
        <w:t xml:space="preserve"> new economic and financial instruments, and mechanisms which will reduce amounts and increase the degree of utilisation of all categories of waste, for example through </w:t>
      </w:r>
      <w:r w:rsidR="00042CF3" w:rsidRPr="007C4D65">
        <w:rPr>
          <w:rFonts w:asciiTheme="minorHAnsi" w:hAnsiTheme="minorHAnsi" w:cstheme="minorHAnsi"/>
          <w:sz w:val="22"/>
        </w:rPr>
        <w:t>introducing</w:t>
      </w:r>
      <w:r w:rsidRPr="007C4D65">
        <w:rPr>
          <w:rFonts w:asciiTheme="minorHAnsi" w:hAnsiTheme="minorHAnsi" w:cstheme="minorHAnsi"/>
          <w:sz w:val="22"/>
        </w:rPr>
        <w:t xml:space="preserve"> a landfill tax, abolishing tax on utility services, and creating mechanisms for reuse of waste from industrial landfills. Appropriate initiatives shall be launched </w:t>
      </w:r>
      <w:proofErr w:type="gramStart"/>
      <w:r w:rsidRPr="007C4D65">
        <w:rPr>
          <w:rFonts w:asciiTheme="minorHAnsi" w:hAnsiTheme="minorHAnsi" w:cstheme="minorHAnsi"/>
          <w:sz w:val="22"/>
        </w:rPr>
        <w:t>on the basis of</w:t>
      </w:r>
      <w:proofErr w:type="gramEnd"/>
      <w:r w:rsidRPr="007C4D65">
        <w:rPr>
          <w:rFonts w:asciiTheme="minorHAnsi" w:hAnsiTheme="minorHAnsi" w:cstheme="minorHAnsi"/>
          <w:sz w:val="22"/>
        </w:rPr>
        <w:t xml:space="preserve"> the recommendations and further activities undertaken to implement new instruments of support.</w:t>
      </w:r>
    </w:p>
    <w:p w14:paraId="030A50F0" w14:textId="503BD719" w:rsidR="009D7400" w:rsidRPr="007C4D65" w:rsidRDefault="009D7400" w:rsidP="0068355A">
      <w:pPr>
        <w:spacing w:before="240" w:after="240" w:line="276" w:lineRule="auto"/>
        <w:jc w:val="both"/>
        <w:rPr>
          <w:rFonts w:asciiTheme="minorHAnsi" w:eastAsia="Calibri" w:hAnsiTheme="minorHAnsi" w:cstheme="minorHAnsi"/>
          <w:b/>
          <w:i/>
          <w:sz w:val="22"/>
          <w:szCs w:val="22"/>
          <w:u w:val="single"/>
        </w:rPr>
      </w:pPr>
      <w:r w:rsidRPr="007C4D65">
        <w:rPr>
          <w:rFonts w:asciiTheme="minorHAnsi" w:hAnsiTheme="minorHAnsi" w:cstheme="minorHAnsi"/>
          <w:b/>
          <w:i/>
          <w:sz w:val="22"/>
          <w:u w:val="single"/>
        </w:rPr>
        <w:t xml:space="preserve">Priority 2.4 </w:t>
      </w:r>
      <w:r w:rsidR="001547A8" w:rsidRPr="007C4D65">
        <w:rPr>
          <w:rFonts w:asciiTheme="minorHAnsi" w:hAnsiTheme="minorHAnsi" w:cstheme="minorHAnsi"/>
          <w:b/>
          <w:i/>
          <w:sz w:val="22"/>
          <w:u w:val="single"/>
        </w:rPr>
        <w:t>Improving the municipal waste management system</w:t>
      </w:r>
    </w:p>
    <w:p w14:paraId="3DCFC8D3" w14:textId="77777777" w:rsidR="009D7400" w:rsidRPr="007C4D65" w:rsidRDefault="009D7400" w:rsidP="0068355A">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2.4.1. Reform of the municipal waste management sector</w:t>
      </w:r>
    </w:p>
    <w:p w14:paraId="675824FD" w14:textId="77777777"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This measure aims at creating an environment which will boost the reform of the municipal waste management </w:t>
      </w:r>
      <w:proofErr w:type="gramStart"/>
      <w:r w:rsidRPr="007C4D65">
        <w:rPr>
          <w:rFonts w:asciiTheme="minorHAnsi" w:hAnsiTheme="minorHAnsi" w:cstheme="minorHAnsi"/>
          <w:sz w:val="22"/>
        </w:rPr>
        <w:t>sector, and</w:t>
      </w:r>
      <w:proofErr w:type="gramEnd"/>
      <w:r w:rsidRPr="007C4D65">
        <w:rPr>
          <w:rFonts w:asciiTheme="minorHAnsi" w:hAnsiTheme="minorHAnsi" w:cstheme="minorHAnsi"/>
          <w:sz w:val="22"/>
        </w:rPr>
        <w:t xml:space="preserve"> improve both the financial and operational sustainability of utility companies, enable further development of the system and improve utility services.</w:t>
      </w:r>
    </w:p>
    <w:p w14:paraId="3B8FE2B0" w14:textId="75317F92"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General areas of intervention </w:t>
      </w:r>
      <w:r w:rsidR="00590DCE" w:rsidRPr="007C4D65">
        <w:rPr>
          <w:rFonts w:asciiTheme="minorHAnsi" w:hAnsiTheme="minorHAnsi" w:cstheme="minorHAnsi"/>
          <w:sz w:val="22"/>
        </w:rPr>
        <w:t>focus</w:t>
      </w:r>
      <w:r w:rsidRPr="007C4D65">
        <w:rPr>
          <w:rFonts w:asciiTheme="minorHAnsi" w:hAnsiTheme="minorHAnsi" w:cstheme="minorHAnsi"/>
          <w:sz w:val="22"/>
        </w:rPr>
        <w:t xml:space="preserve"> on the establishment of a working body for municipal waste management to define proposals and implement the reform of the municipal waste management sector, prepare guidelines for the reform of this sector, support the implementation of the reform in accordance with the guidelines, and ensure continuous professional capacity building in organisations involved in the waste management sector at the level of cantons, municipalities and utility companies.</w:t>
      </w:r>
    </w:p>
    <w:p w14:paraId="19F85F8B" w14:textId="77777777" w:rsidR="009D7400" w:rsidRPr="007C4D65" w:rsidRDefault="009D7400" w:rsidP="0068355A">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lastRenderedPageBreak/>
        <w:t>Measure 2.4.2. Procurement of equipment and development of the infrastructure for municipal waste management</w:t>
      </w:r>
    </w:p>
    <w:p w14:paraId="687616A9" w14:textId="70FDE1C6"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This measure aims at developing new and upgrading the current municipal waste management infrastructure, which will improve waste collection, sorting, treatment and landfilling.</w:t>
      </w:r>
    </w:p>
    <w:p w14:paraId="15502FF5" w14:textId="7893D927"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General areas of intervention </w:t>
      </w:r>
      <w:r w:rsidR="00590DCE" w:rsidRPr="007C4D65">
        <w:rPr>
          <w:rFonts w:asciiTheme="minorHAnsi" w:hAnsiTheme="minorHAnsi" w:cstheme="minorHAnsi"/>
          <w:sz w:val="22"/>
        </w:rPr>
        <w:t>focus</w:t>
      </w:r>
      <w:r w:rsidRPr="007C4D65">
        <w:rPr>
          <w:rFonts w:asciiTheme="minorHAnsi" w:hAnsiTheme="minorHAnsi" w:cstheme="minorHAnsi"/>
          <w:sz w:val="22"/>
        </w:rPr>
        <w:t xml:space="preserve"> on the procurement of equipment for collection and transport of municipal waste, procurement of equipment for separate collection and sorting, development of capacities for treatment and disposal of waste and construction of new regional/intermunicipal waste management centres.</w:t>
      </w:r>
    </w:p>
    <w:p w14:paraId="404C8652" w14:textId="77777777" w:rsidR="009D7400" w:rsidRPr="007C4D65" w:rsidRDefault="009D7400" w:rsidP="0068355A">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2.4.3. Programme aimed at reducing landfilling of municipal waste</w:t>
      </w:r>
    </w:p>
    <w:p w14:paraId="52C9DA18" w14:textId="56CB4B89"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This measure aims at reducing the volume of municipal waste disposed at landfills through targeted actions.</w:t>
      </w:r>
    </w:p>
    <w:p w14:paraId="24C0B08C" w14:textId="03640067"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General areas of </w:t>
      </w:r>
      <w:r w:rsidR="00FD7932" w:rsidRPr="007C4D65">
        <w:rPr>
          <w:rFonts w:asciiTheme="minorHAnsi" w:hAnsiTheme="minorHAnsi" w:cstheme="minorHAnsi"/>
          <w:sz w:val="22"/>
        </w:rPr>
        <w:t>intervention</w:t>
      </w:r>
      <w:r w:rsidRPr="007C4D65">
        <w:rPr>
          <w:rFonts w:asciiTheme="minorHAnsi" w:hAnsiTheme="minorHAnsi" w:cstheme="minorHAnsi"/>
          <w:sz w:val="22"/>
        </w:rPr>
        <w:t xml:space="preserve"> focus on reducing waste generation in households, promotion of separate collection of biodegradable waste which is </w:t>
      </w:r>
      <w:proofErr w:type="gramStart"/>
      <w:r w:rsidRPr="007C4D65">
        <w:rPr>
          <w:rFonts w:asciiTheme="minorHAnsi" w:hAnsiTheme="minorHAnsi" w:cstheme="minorHAnsi"/>
          <w:sz w:val="22"/>
        </w:rPr>
        <w:t>the</w:t>
      </w:r>
      <w:proofErr w:type="gramEnd"/>
      <w:r w:rsidRPr="007C4D65">
        <w:rPr>
          <w:rFonts w:asciiTheme="minorHAnsi" w:hAnsiTheme="minorHAnsi" w:cstheme="minorHAnsi"/>
          <w:sz w:val="22"/>
        </w:rPr>
        <w:t xml:space="preserve"> integral part of the municipal waste and converting waste into energy.</w:t>
      </w:r>
    </w:p>
    <w:p w14:paraId="0F41BEEF" w14:textId="1DD4CFFC" w:rsidR="009D7400" w:rsidRPr="007C4D65" w:rsidRDefault="009D7400" w:rsidP="0068355A">
      <w:pPr>
        <w:spacing w:before="240" w:after="240" w:line="276" w:lineRule="auto"/>
        <w:rPr>
          <w:rFonts w:asciiTheme="minorHAnsi" w:eastAsia="Calibri" w:hAnsiTheme="minorHAnsi" w:cstheme="minorHAnsi"/>
          <w:b/>
          <w:i/>
          <w:sz w:val="22"/>
          <w:szCs w:val="22"/>
          <w:u w:val="single"/>
        </w:rPr>
      </w:pPr>
      <w:r w:rsidRPr="007C4D65">
        <w:rPr>
          <w:rFonts w:asciiTheme="minorHAnsi" w:hAnsiTheme="minorHAnsi" w:cstheme="minorHAnsi"/>
          <w:b/>
          <w:i/>
          <w:sz w:val="22"/>
          <w:u w:val="single"/>
        </w:rPr>
        <w:t xml:space="preserve">Priority 2.5 </w:t>
      </w:r>
      <w:r w:rsidR="001547A8" w:rsidRPr="007C4D65">
        <w:rPr>
          <w:rFonts w:asciiTheme="minorHAnsi" w:hAnsiTheme="minorHAnsi" w:cstheme="minorHAnsi"/>
          <w:b/>
          <w:i/>
          <w:sz w:val="22"/>
          <w:u w:val="single"/>
        </w:rPr>
        <w:t>Improving the management of special wastes</w:t>
      </w:r>
    </w:p>
    <w:p w14:paraId="684682A8" w14:textId="1AE3FA62" w:rsidR="009D7400" w:rsidRPr="007C4D65" w:rsidRDefault="009D7400" w:rsidP="0068355A">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2.5.1. Creating conditions for adequate collection and disposal of special waste</w:t>
      </w:r>
      <w:r w:rsidR="00FD7932" w:rsidRPr="007C4D65">
        <w:rPr>
          <w:rFonts w:asciiTheme="minorHAnsi" w:eastAsia="Calibri" w:hAnsiTheme="minorHAnsi" w:cstheme="minorHAnsi"/>
          <w:i/>
          <w:sz w:val="22"/>
          <w:szCs w:val="22"/>
          <w:u w:val="single"/>
        </w:rPr>
        <w:t>s</w:t>
      </w:r>
    </w:p>
    <w:p w14:paraId="740F4AD5" w14:textId="501DA21B"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This measure aims at improving the system of collection and disposal of special waste</w:t>
      </w:r>
      <w:r w:rsidR="00FD7932" w:rsidRPr="007C4D65">
        <w:rPr>
          <w:rFonts w:asciiTheme="minorHAnsi" w:hAnsiTheme="minorHAnsi" w:cstheme="minorHAnsi"/>
          <w:sz w:val="22"/>
        </w:rPr>
        <w:t>s</w:t>
      </w:r>
      <w:r w:rsidRPr="007C4D65">
        <w:rPr>
          <w:rFonts w:asciiTheme="minorHAnsi" w:hAnsiTheme="minorHAnsi" w:cstheme="minorHAnsi"/>
          <w:sz w:val="22"/>
        </w:rPr>
        <w:t xml:space="preserve"> through targeted actions.</w:t>
      </w:r>
    </w:p>
    <w:p w14:paraId="09B6CB7D" w14:textId="0AA6AA97"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General </w:t>
      </w:r>
      <w:r w:rsidR="0076407C" w:rsidRPr="007C4D65">
        <w:rPr>
          <w:rFonts w:asciiTheme="minorHAnsi" w:hAnsiTheme="minorHAnsi" w:cstheme="minorHAnsi"/>
          <w:sz w:val="22"/>
        </w:rPr>
        <w:t>areas of intervention</w:t>
      </w:r>
      <w:r w:rsidRPr="007C4D65">
        <w:rPr>
          <w:rFonts w:asciiTheme="minorHAnsi" w:hAnsiTheme="minorHAnsi" w:cstheme="minorHAnsi"/>
          <w:sz w:val="22"/>
        </w:rPr>
        <w:t xml:space="preserve"> are:</w:t>
      </w:r>
    </w:p>
    <w:p w14:paraId="44A9227F" w14:textId="1BE0CFC2" w:rsidR="009D7400" w:rsidRPr="007C4D65" w:rsidRDefault="009D7400">
      <w:pPr>
        <w:pStyle w:val="ListParagraph"/>
        <w:numPr>
          <w:ilvl w:val="0"/>
          <w:numId w:val="51"/>
        </w:num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Improving the extended producer responsibility schemes for packaging, packaging waste and </w:t>
      </w:r>
      <w:proofErr w:type="gramStart"/>
      <w:r w:rsidRPr="007C4D65">
        <w:rPr>
          <w:rFonts w:asciiTheme="minorHAnsi" w:hAnsiTheme="minorHAnsi" w:cstheme="minorHAnsi"/>
          <w:sz w:val="22"/>
        </w:rPr>
        <w:t>WEEE;</w:t>
      </w:r>
      <w:proofErr w:type="gramEnd"/>
    </w:p>
    <w:p w14:paraId="279D42CC" w14:textId="1A8F192D" w:rsidR="009D7400" w:rsidRPr="007C4D65" w:rsidRDefault="009D7400">
      <w:pPr>
        <w:pStyle w:val="ListParagraph"/>
        <w:numPr>
          <w:ilvl w:val="0"/>
          <w:numId w:val="51"/>
        </w:num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Improving the collection system for batteries, car batteries, old tyres, refuse </w:t>
      </w:r>
      <w:r w:rsidR="001A2A48" w:rsidRPr="007C4D65">
        <w:rPr>
          <w:rFonts w:asciiTheme="minorHAnsi" w:hAnsiTheme="minorHAnsi" w:cstheme="minorHAnsi"/>
          <w:sz w:val="22"/>
        </w:rPr>
        <w:t>oil</w:t>
      </w:r>
      <w:r w:rsidRPr="007C4D65">
        <w:rPr>
          <w:rFonts w:asciiTheme="minorHAnsi" w:hAnsiTheme="minorHAnsi" w:cstheme="minorHAnsi"/>
          <w:sz w:val="22"/>
        </w:rPr>
        <w:t xml:space="preserve"> and end-of-life </w:t>
      </w:r>
      <w:proofErr w:type="gramStart"/>
      <w:r w:rsidRPr="007C4D65">
        <w:rPr>
          <w:rFonts w:asciiTheme="minorHAnsi" w:hAnsiTheme="minorHAnsi" w:cstheme="minorHAnsi"/>
          <w:sz w:val="22"/>
        </w:rPr>
        <w:t>vehicles;</w:t>
      </w:r>
      <w:proofErr w:type="gramEnd"/>
    </w:p>
    <w:p w14:paraId="57184BB9" w14:textId="2D394B0C" w:rsidR="009D7400" w:rsidRPr="007C4D65" w:rsidRDefault="009D7400">
      <w:pPr>
        <w:pStyle w:val="ListParagraph"/>
        <w:numPr>
          <w:ilvl w:val="0"/>
          <w:numId w:val="51"/>
        </w:num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Improving the system for collection </w:t>
      </w:r>
      <w:proofErr w:type="spellStart"/>
      <w:r w:rsidRPr="007C4D65">
        <w:rPr>
          <w:rFonts w:asciiTheme="minorHAnsi" w:hAnsiTheme="minorHAnsi" w:cstheme="minorHAnsi"/>
          <w:sz w:val="22"/>
        </w:rPr>
        <w:t>ad</w:t>
      </w:r>
      <w:proofErr w:type="spellEnd"/>
      <w:r w:rsidRPr="007C4D65">
        <w:rPr>
          <w:rFonts w:asciiTheme="minorHAnsi" w:hAnsiTheme="minorHAnsi" w:cstheme="minorHAnsi"/>
          <w:sz w:val="22"/>
        </w:rPr>
        <w:t xml:space="preserve"> reuse of construction </w:t>
      </w:r>
      <w:proofErr w:type="gramStart"/>
      <w:r w:rsidRPr="007C4D65">
        <w:rPr>
          <w:rFonts w:asciiTheme="minorHAnsi" w:hAnsiTheme="minorHAnsi" w:cstheme="minorHAnsi"/>
          <w:sz w:val="22"/>
        </w:rPr>
        <w:t>waste</w:t>
      </w:r>
      <w:r w:rsidR="001B4E0A" w:rsidRPr="007C4D65">
        <w:rPr>
          <w:rFonts w:asciiTheme="minorHAnsi" w:hAnsiTheme="minorHAnsi" w:cstheme="minorHAnsi"/>
          <w:sz w:val="22"/>
        </w:rPr>
        <w:t>;</w:t>
      </w:r>
      <w:proofErr w:type="gramEnd"/>
    </w:p>
    <w:p w14:paraId="7D340E0A" w14:textId="0A00E9C6" w:rsidR="001B4E0A" w:rsidRPr="007C4D65" w:rsidRDefault="009D7400" w:rsidP="004052C4">
      <w:pPr>
        <w:pStyle w:val="ListParagraph"/>
        <w:numPr>
          <w:ilvl w:val="0"/>
          <w:numId w:val="51"/>
        </w:num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Improving the system for collection </w:t>
      </w:r>
      <w:proofErr w:type="spellStart"/>
      <w:r w:rsidRPr="007C4D65">
        <w:rPr>
          <w:rFonts w:asciiTheme="minorHAnsi" w:hAnsiTheme="minorHAnsi" w:cstheme="minorHAnsi"/>
          <w:sz w:val="22"/>
        </w:rPr>
        <w:t>ad</w:t>
      </w:r>
      <w:proofErr w:type="spellEnd"/>
      <w:r w:rsidRPr="007C4D65">
        <w:rPr>
          <w:rFonts w:asciiTheme="minorHAnsi" w:hAnsiTheme="minorHAnsi" w:cstheme="minorHAnsi"/>
          <w:sz w:val="22"/>
        </w:rPr>
        <w:t xml:space="preserve"> reuse of hazardous </w:t>
      </w:r>
      <w:proofErr w:type="gramStart"/>
      <w:r w:rsidRPr="007C4D65">
        <w:rPr>
          <w:rFonts w:asciiTheme="minorHAnsi" w:hAnsiTheme="minorHAnsi" w:cstheme="minorHAnsi"/>
          <w:sz w:val="22"/>
        </w:rPr>
        <w:t>waste;</w:t>
      </w:r>
      <w:proofErr w:type="gramEnd"/>
    </w:p>
    <w:p w14:paraId="464939EF" w14:textId="6014FF4F" w:rsidR="009D7400" w:rsidRPr="007C4D65" w:rsidRDefault="009D7400" w:rsidP="004052C4">
      <w:pPr>
        <w:pStyle w:val="ListParagraph"/>
        <w:numPr>
          <w:ilvl w:val="0"/>
          <w:numId w:val="51"/>
        </w:num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Creating conditions for adequate disposal of sludge which cannot be used for other </w:t>
      </w:r>
      <w:proofErr w:type="gramStart"/>
      <w:r w:rsidRPr="007C4D65">
        <w:rPr>
          <w:rFonts w:asciiTheme="minorHAnsi" w:hAnsiTheme="minorHAnsi" w:cstheme="minorHAnsi"/>
          <w:sz w:val="22"/>
        </w:rPr>
        <w:t>purposes;</w:t>
      </w:r>
      <w:proofErr w:type="gramEnd"/>
    </w:p>
    <w:p w14:paraId="02406A62" w14:textId="20936440" w:rsidR="009D7400" w:rsidRPr="007C4D65" w:rsidRDefault="009D7400">
      <w:pPr>
        <w:pStyle w:val="ListParagraph"/>
        <w:numPr>
          <w:ilvl w:val="0"/>
          <w:numId w:val="51"/>
        </w:num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Creating conditions for adequate disposal of animal </w:t>
      </w:r>
      <w:proofErr w:type="gramStart"/>
      <w:r w:rsidRPr="007C4D65">
        <w:rPr>
          <w:rFonts w:asciiTheme="minorHAnsi" w:hAnsiTheme="minorHAnsi" w:cstheme="minorHAnsi"/>
          <w:sz w:val="22"/>
        </w:rPr>
        <w:t>waste;</w:t>
      </w:r>
      <w:proofErr w:type="gramEnd"/>
    </w:p>
    <w:p w14:paraId="7C3DDBEF" w14:textId="5179A9F7" w:rsidR="009D7400" w:rsidRPr="007C4D65" w:rsidRDefault="009D7400">
      <w:pPr>
        <w:pStyle w:val="ListParagraph"/>
        <w:numPr>
          <w:ilvl w:val="0"/>
          <w:numId w:val="51"/>
        </w:num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Creating conditions for safe treatment of all types of medical waste.</w:t>
      </w:r>
    </w:p>
    <w:p w14:paraId="6C2B51B7" w14:textId="77777777" w:rsidR="009D7400" w:rsidRPr="007C4D65" w:rsidRDefault="009D7400" w:rsidP="0068355A">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2.5.2. Strengthening the recyclables market</w:t>
      </w:r>
    </w:p>
    <w:p w14:paraId="54EACDFE" w14:textId="437A43D8"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This measure aims at developing the waste market with the view of efficiently using secondary row materials and optimising the waste management through targeted actions.</w:t>
      </w:r>
    </w:p>
    <w:p w14:paraId="4EED747F" w14:textId="02CF978E"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This measure includes three areas of </w:t>
      </w:r>
      <w:r w:rsidR="00A66E66" w:rsidRPr="007C4D65">
        <w:rPr>
          <w:rFonts w:asciiTheme="minorHAnsi" w:hAnsiTheme="minorHAnsi" w:cstheme="minorHAnsi"/>
          <w:sz w:val="22"/>
        </w:rPr>
        <w:t>intervention</w:t>
      </w:r>
      <w:r w:rsidRPr="007C4D65">
        <w:rPr>
          <w:rFonts w:asciiTheme="minorHAnsi" w:hAnsiTheme="minorHAnsi" w:cstheme="minorHAnsi"/>
          <w:sz w:val="22"/>
        </w:rPr>
        <w:t>: Initiating a Waste Exchange, providing financial support to the recycling industry, and integration of informal collectors in the recycling system.</w:t>
      </w:r>
    </w:p>
    <w:p w14:paraId="069B0335" w14:textId="77777777" w:rsidR="009D7400" w:rsidRPr="007C4D65" w:rsidRDefault="009D7400" w:rsidP="0068355A">
      <w:pPr>
        <w:spacing w:before="240" w:after="240" w:line="276" w:lineRule="auto"/>
        <w:rPr>
          <w:rFonts w:asciiTheme="minorHAnsi" w:eastAsia="Calibri" w:hAnsiTheme="minorHAnsi" w:cstheme="minorHAnsi"/>
          <w:b/>
          <w:i/>
          <w:sz w:val="22"/>
          <w:szCs w:val="22"/>
          <w:u w:val="single"/>
        </w:rPr>
      </w:pPr>
      <w:r w:rsidRPr="007C4D65">
        <w:rPr>
          <w:rFonts w:asciiTheme="minorHAnsi" w:hAnsiTheme="minorHAnsi" w:cstheme="minorHAnsi"/>
          <w:b/>
          <w:i/>
          <w:sz w:val="22"/>
          <w:u w:val="single"/>
        </w:rPr>
        <w:t>Priority 2.6 Rehabilitate surfaces beneath inadequately disposed waste</w:t>
      </w:r>
    </w:p>
    <w:p w14:paraId="03D6BE48" w14:textId="77777777" w:rsidR="009D7400" w:rsidRPr="007C4D65" w:rsidRDefault="009D7400" w:rsidP="0068355A">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lastRenderedPageBreak/>
        <w:t>Measure 2.6.1. Removing and rehabilitating abandoned dumpsites</w:t>
      </w:r>
    </w:p>
    <w:p w14:paraId="604E8235" w14:textId="4E274511"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This measure aims at removing inadequately disposed waste and rehabilitating </w:t>
      </w:r>
      <w:proofErr w:type="gramStart"/>
      <w:r w:rsidR="00590DCE" w:rsidRPr="007C4D65">
        <w:rPr>
          <w:rFonts w:asciiTheme="minorHAnsi" w:hAnsiTheme="minorHAnsi" w:cstheme="minorHAnsi"/>
          <w:sz w:val="22"/>
        </w:rPr>
        <w:t>surfaces</w:t>
      </w:r>
      <w:r w:rsidRPr="007C4D65">
        <w:rPr>
          <w:rFonts w:asciiTheme="minorHAnsi" w:hAnsiTheme="minorHAnsi" w:cstheme="minorHAnsi"/>
          <w:sz w:val="22"/>
        </w:rPr>
        <w:t>,,</w:t>
      </w:r>
      <w:proofErr w:type="gramEnd"/>
      <w:r w:rsidRPr="007C4D65">
        <w:rPr>
          <w:rFonts w:asciiTheme="minorHAnsi" w:hAnsiTheme="minorHAnsi" w:cstheme="minorHAnsi"/>
          <w:sz w:val="22"/>
        </w:rPr>
        <w:t xml:space="preserve"> including formal landfills managed by cantons, municipalities, and cities, and utility companies, so-called rehabilitation of “black spots”, e.g. abandoned industrial dumpsites</w:t>
      </w:r>
      <w:r w:rsidR="00C33249" w:rsidRPr="007C4D65">
        <w:rPr>
          <w:rFonts w:asciiTheme="minorHAnsi" w:hAnsiTheme="minorHAnsi" w:cstheme="minorHAnsi"/>
          <w:sz w:val="22"/>
        </w:rPr>
        <w:t>, not so rarely without an</w:t>
      </w:r>
      <w:r w:rsidRPr="007C4D65">
        <w:rPr>
          <w:rFonts w:asciiTheme="minorHAnsi" w:hAnsiTheme="minorHAnsi" w:cstheme="minorHAnsi"/>
          <w:sz w:val="22"/>
        </w:rPr>
        <w:t xml:space="preserve"> owner. The Federation of BiH should take the responsibility for their rehabilitation. This measure involves the following areas of </w:t>
      </w:r>
      <w:r w:rsidR="00590DCE" w:rsidRPr="007C4D65">
        <w:rPr>
          <w:rFonts w:asciiTheme="minorHAnsi" w:hAnsiTheme="minorHAnsi" w:cstheme="minorHAnsi"/>
          <w:sz w:val="22"/>
        </w:rPr>
        <w:t>intervention</w:t>
      </w:r>
      <w:r w:rsidRPr="007C4D65">
        <w:rPr>
          <w:rFonts w:asciiTheme="minorHAnsi" w:hAnsiTheme="minorHAnsi" w:cstheme="minorHAnsi"/>
          <w:sz w:val="22"/>
        </w:rPr>
        <w:t>:</w:t>
      </w:r>
    </w:p>
    <w:p w14:paraId="3EE611FB" w14:textId="44898A83" w:rsidR="009D7400" w:rsidRPr="007C4D65" w:rsidRDefault="009D7400" w:rsidP="0068355A">
      <w:pPr>
        <w:pStyle w:val="ListParagraph"/>
        <w:spacing w:before="240" w:after="240" w:line="276" w:lineRule="auto"/>
        <w:ind w:left="363"/>
        <w:jc w:val="both"/>
        <w:rPr>
          <w:rFonts w:asciiTheme="minorHAnsi" w:eastAsia="Calibri" w:hAnsiTheme="minorHAnsi" w:cstheme="minorHAnsi"/>
          <w:sz w:val="22"/>
          <w:szCs w:val="22"/>
        </w:rPr>
      </w:pPr>
      <w:r w:rsidRPr="007C4D65">
        <w:rPr>
          <w:rFonts w:asciiTheme="minorHAnsi" w:hAnsiTheme="minorHAnsi" w:cstheme="minorHAnsi"/>
          <w:sz w:val="22"/>
        </w:rPr>
        <w:t>a. Updating the list and producing a catalogue of “</w:t>
      </w:r>
      <w:r w:rsidRPr="007C4D65">
        <w:rPr>
          <w:rFonts w:asciiTheme="minorHAnsi" w:hAnsiTheme="minorHAnsi" w:cstheme="minorHAnsi"/>
          <w:i/>
          <w:sz w:val="22"/>
        </w:rPr>
        <w:t>hot spots</w:t>
      </w:r>
      <w:r w:rsidRPr="007C4D65">
        <w:rPr>
          <w:rFonts w:asciiTheme="minorHAnsi" w:hAnsiTheme="minorHAnsi" w:cstheme="minorHAnsi"/>
          <w:sz w:val="22"/>
        </w:rPr>
        <w:t xml:space="preserve">”, including municipal and industrial waste </w:t>
      </w:r>
      <w:proofErr w:type="gramStart"/>
      <w:r w:rsidRPr="007C4D65">
        <w:rPr>
          <w:rFonts w:asciiTheme="minorHAnsi" w:hAnsiTheme="minorHAnsi" w:cstheme="minorHAnsi"/>
          <w:sz w:val="22"/>
        </w:rPr>
        <w:t>dumpsites;</w:t>
      </w:r>
      <w:proofErr w:type="gramEnd"/>
    </w:p>
    <w:p w14:paraId="1B4CA526" w14:textId="77777777" w:rsidR="009D7400" w:rsidRPr="007C4D65" w:rsidRDefault="009D7400" w:rsidP="0068355A">
      <w:pPr>
        <w:pStyle w:val="ListParagraph"/>
        <w:spacing w:before="240" w:after="240" w:line="276" w:lineRule="auto"/>
        <w:ind w:left="363"/>
        <w:jc w:val="both"/>
        <w:rPr>
          <w:rFonts w:asciiTheme="minorHAnsi" w:eastAsia="Calibri" w:hAnsiTheme="minorHAnsi" w:cstheme="minorHAnsi"/>
          <w:sz w:val="22"/>
          <w:szCs w:val="22"/>
        </w:rPr>
      </w:pPr>
      <w:r w:rsidRPr="007C4D65">
        <w:rPr>
          <w:rFonts w:asciiTheme="minorHAnsi" w:hAnsiTheme="minorHAnsi" w:cstheme="minorHAnsi"/>
          <w:sz w:val="22"/>
        </w:rPr>
        <w:t>b. Preparing a feasibility study for rehabilitation of abandoned sites and their rehabilitation.</w:t>
      </w:r>
    </w:p>
    <w:p w14:paraId="666869E9" w14:textId="33A847FB"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This measure does not cover wild dumpsites given that utility companies and cantons, </w:t>
      </w:r>
      <w:r w:rsidR="001A2A48" w:rsidRPr="007C4D65">
        <w:rPr>
          <w:rFonts w:asciiTheme="minorHAnsi" w:hAnsiTheme="minorHAnsi" w:cstheme="minorHAnsi"/>
          <w:sz w:val="22"/>
        </w:rPr>
        <w:t>municipalities</w:t>
      </w:r>
      <w:r w:rsidRPr="007C4D65">
        <w:rPr>
          <w:rFonts w:asciiTheme="minorHAnsi" w:hAnsiTheme="minorHAnsi" w:cstheme="minorHAnsi"/>
          <w:sz w:val="22"/>
        </w:rPr>
        <w:t xml:space="preserve"> and cities are required to continuously on removing illegal municipal waste disposal </w:t>
      </w:r>
      <w:proofErr w:type="gramStart"/>
      <w:r w:rsidRPr="007C4D65">
        <w:rPr>
          <w:rFonts w:asciiTheme="minorHAnsi" w:hAnsiTheme="minorHAnsi" w:cstheme="minorHAnsi"/>
          <w:sz w:val="22"/>
        </w:rPr>
        <w:t>sites  and</w:t>
      </w:r>
      <w:proofErr w:type="gramEnd"/>
      <w:r w:rsidRPr="007C4D65">
        <w:rPr>
          <w:rFonts w:asciiTheme="minorHAnsi" w:hAnsiTheme="minorHAnsi" w:cstheme="minorHAnsi"/>
          <w:sz w:val="22"/>
        </w:rPr>
        <w:t xml:space="preserve"> rehabilitation of the sites within their routine activities.</w:t>
      </w:r>
    </w:p>
    <w:p w14:paraId="4EB3F7F2" w14:textId="77777777" w:rsidR="009D7400" w:rsidRPr="007C4D65" w:rsidRDefault="009D7400" w:rsidP="0068355A">
      <w:pPr>
        <w:spacing w:before="240" w:after="240" w:line="276" w:lineRule="auto"/>
        <w:rPr>
          <w:rFonts w:asciiTheme="minorHAnsi" w:eastAsia="Calibri" w:hAnsiTheme="minorHAnsi" w:cstheme="minorHAnsi"/>
          <w:b/>
          <w:i/>
          <w:sz w:val="22"/>
          <w:szCs w:val="22"/>
          <w:u w:val="single"/>
        </w:rPr>
      </w:pPr>
      <w:r w:rsidRPr="007C4D65">
        <w:rPr>
          <w:rFonts w:asciiTheme="minorHAnsi" w:hAnsiTheme="minorHAnsi" w:cstheme="minorHAnsi"/>
          <w:b/>
          <w:i/>
          <w:sz w:val="22"/>
          <w:u w:val="single"/>
        </w:rPr>
        <w:t>Priority 2.7 Raise awareness about the proper separation, collection and disposal of waste</w:t>
      </w:r>
    </w:p>
    <w:p w14:paraId="693BD2C2" w14:textId="42C341EB" w:rsidR="009D7400" w:rsidRPr="007C4D65" w:rsidRDefault="009D7400" w:rsidP="0068355A">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2.7.1. </w:t>
      </w:r>
      <w:r w:rsidR="00A66E66" w:rsidRPr="007C4D65">
        <w:rPr>
          <w:rFonts w:asciiTheme="minorHAnsi" w:hAnsiTheme="minorHAnsi" w:cstheme="minorHAnsi"/>
          <w:i/>
          <w:sz w:val="22"/>
          <w:u w:val="single"/>
        </w:rPr>
        <w:t>Running</w:t>
      </w:r>
      <w:r w:rsidRPr="007C4D65">
        <w:rPr>
          <w:rFonts w:asciiTheme="minorHAnsi" w:hAnsiTheme="minorHAnsi" w:cstheme="minorHAnsi"/>
          <w:i/>
          <w:sz w:val="22"/>
          <w:u w:val="single"/>
        </w:rPr>
        <w:t xml:space="preserve"> up-to-date educational and informational, gender sensitive and inclusive awareness campaigns at all levels (Federation of BiH, cantons, municipalities)</w:t>
      </w:r>
    </w:p>
    <w:p w14:paraId="37114022" w14:textId="77777777" w:rsidR="009D7400"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This measure aims at raising the awareness not only among citizens but also among the members of the business community about the proper waste management, focusing primarily on waste prevention and recycling, as well as understanding of the waste collection and disposal system.</w:t>
      </w:r>
    </w:p>
    <w:p w14:paraId="2BD62228" w14:textId="39311C25" w:rsidR="00FF6549" w:rsidRPr="007C4D65" w:rsidRDefault="009D7400" w:rsidP="0068355A">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This measure anticipates implementation of various training programmes and public awareness  campaigns about sustainable production and consumption, ban on plastic single use products, </w:t>
      </w:r>
      <w:r w:rsidR="00FD7932" w:rsidRPr="007C4D65">
        <w:rPr>
          <w:rFonts w:asciiTheme="minorHAnsi" w:hAnsiTheme="minorHAnsi" w:cstheme="minorHAnsi"/>
          <w:sz w:val="22"/>
        </w:rPr>
        <w:t>repairs</w:t>
      </w:r>
      <w:r w:rsidRPr="007C4D65">
        <w:rPr>
          <w:rFonts w:asciiTheme="minorHAnsi" w:hAnsiTheme="minorHAnsi" w:cstheme="minorHAnsi"/>
          <w:sz w:val="22"/>
        </w:rPr>
        <w:t xml:space="preserve"> and recycling of different types of products, campaigns for citizens about the ways and importance of the proper waste sorting, importance of waste reduction, reuse and recycling, and composting, etc. programmes for businesses about the proper treatment and management of special waste</w:t>
      </w:r>
      <w:r w:rsidR="00FD7932" w:rsidRPr="007C4D65">
        <w:rPr>
          <w:rFonts w:asciiTheme="minorHAnsi" w:hAnsiTheme="minorHAnsi" w:cstheme="minorHAnsi"/>
          <w:sz w:val="22"/>
        </w:rPr>
        <w:t>s</w:t>
      </w:r>
      <w:r w:rsidRPr="007C4D65">
        <w:rPr>
          <w:rFonts w:asciiTheme="minorHAnsi" w:hAnsiTheme="minorHAnsi" w:cstheme="minorHAnsi"/>
          <w:sz w:val="22"/>
        </w:rPr>
        <w:t xml:space="preserve"> and integration of the training on waste management in curricula in primary and secondary schools and universities.</w:t>
      </w:r>
    </w:p>
    <w:p w14:paraId="1CC29DBF" w14:textId="5E3F5405" w:rsidR="009D7400" w:rsidRPr="007C4D65" w:rsidRDefault="00FF6549" w:rsidP="0068355A">
      <w:pPr>
        <w:spacing w:after="160" w:line="276" w:lineRule="auto"/>
        <w:rPr>
          <w:rFonts w:asciiTheme="minorHAnsi" w:eastAsia="Calibri" w:hAnsiTheme="minorHAnsi" w:cstheme="minorHAnsi"/>
          <w:sz w:val="22"/>
          <w:szCs w:val="22"/>
        </w:rPr>
      </w:pPr>
      <w:r w:rsidRPr="007C4D65">
        <w:rPr>
          <w:rFonts w:asciiTheme="minorHAnsi" w:hAnsiTheme="minorHAnsi" w:cstheme="minorHAnsi"/>
        </w:rPr>
        <w:br w:type="page"/>
      </w:r>
    </w:p>
    <w:p w14:paraId="712A732A" w14:textId="77777777" w:rsidR="009D7400" w:rsidRPr="007C4D65" w:rsidRDefault="009D7400">
      <w:pPr>
        <w:pStyle w:val="Head2"/>
        <w:spacing w:line="276" w:lineRule="auto"/>
        <w:rPr>
          <w:rFonts w:asciiTheme="minorHAnsi" w:hAnsiTheme="minorHAnsi"/>
        </w:rPr>
      </w:pPr>
      <w:bookmarkStart w:id="102" w:name="_Toc117445340"/>
      <w:r w:rsidRPr="007C4D65">
        <w:rPr>
          <w:rFonts w:asciiTheme="minorHAnsi" w:hAnsiTheme="minorHAnsi"/>
        </w:rPr>
        <w:lastRenderedPageBreak/>
        <w:t>Indicative Financial Framework</w:t>
      </w:r>
      <w:bookmarkEnd w:id="102"/>
    </w:p>
    <w:p w14:paraId="0490F6BE" w14:textId="19F9EBE7" w:rsidR="00A047EC" w:rsidRPr="007C4D65" w:rsidRDefault="00A047EC" w:rsidP="0068355A">
      <w:pPr>
        <w:spacing w:after="24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rPr>
        <w:t xml:space="preserve">The thematic area Waste Management accounts for 6% </w:t>
      </w:r>
      <w:r w:rsidR="00C33249" w:rsidRPr="007C4D65">
        <w:rPr>
          <w:rFonts w:asciiTheme="minorHAnsi" w:hAnsiTheme="minorHAnsi" w:cstheme="minorHAnsi"/>
          <w:sz w:val="22"/>
        </w:rPr>
        <w:t>of the total estimated cost of BAM 11,9 billion with estimated</w:t>
      </w:r>
      <w:r w:rsidRPr="007C4D65">
        <w:rPr>
          <w:rFonts w:asciiTheme="minorHAnsi" w:hAnsiTheme="minorHAnsi" w:cstheme="minorHAnsi"/>
          <w:sz w:val="22"/>
        </w:rPr>
        <w:t xml:space="preserve"> BAM 659 mil. The thematic area Waste Management comprises seven priorities and ten measures. This thematic area contains fewer measures than any other area in the Strategy of the Federation of BiH. </w:t>
      </w:r>
      <w:r w:rsidRPr="007C4D65">
        <w:rPr>
          <w:rFonts w:asciiTheme="minorHAnsi" w:hAnsiTheme="minorHAnsi" w:cstheme="minorHAnsi"/>
          <w:color w:val="000000" w:themeColor="text1"/>
          <w:sz w:val="22"/>
        </w:rPr>
        <w:t xml:space="preserve">The calculations </w:t>
      </w:r>
      <w:r w:rsidR="00A66E66" w:rsidRPr="007C4D65">
        <w:rPr>
          <w:rFonts w:asciiTheme="minorHAnsi" w:hAnsiTheme="minorHAnsi" w:cstheme="minorHAnsi"/>
          <w:color w:val="000000" w:themeColor="text1"/>
          <w:sz w:val="22"/>
        </w:rPr>
        <w:t>in</w:t>
      </w:r>
      <w:r w:rsidRPr="007C4D65">
        <w:rPr>
          <w:rFonts w:asciiTheme="minorHAnsi" w:hAnsiTheme="minorHAnsi" w:cstheme="minorHAnsi"/>
          <w:color w:val="000000" w:themeColor="text1"/>
          <w:sz w:val="22"/>
        </w:rPr>
        <w:t xml:space="preserve"> the Indicative Financial Framework include estimated costs for all the measures. Priority 2.4 (</w:t>
      </w:r>
      <w:r w:rsidR="001547A8" w:rsidRPr="007C4D65">
        <w:rPr>
          <w:rFonts w:asciiTheme="minorHAnsi" w:hAnsiTheme="minorHAnsi" w:cstheme="minorHAnsi"/>
          <w:color w:val="000000" w:themeColor="text1"/>
          <w:sz w:val="22"/>
        </w:rPr>
        <w:t>Improving the municipal waste management system</w:t>
      </w:r>
      <w:r w:rsidRPr="007C4D65">
        <w:rPr>
          <w:rFonts w:asciiTheme="minorHAnsi" w:hAnsiTheme="minorHAnsi" w:cstheme="minorHAnsi"/>
          <w:color w:val="000000" w:themeColor="text1"/>
          <w:sz w:val="22"/>
        </w:rPr>
        <w:t>) accounts for 81% or BAM 532 million</w:t>
      </w:r>
      <w:r w:rsidR="00A66E66" w:rsidRPr="007C4D65">
        <w:rPr>
          <w:rFonts w:asciiTheme="minorHAnsi" w:hAnsiTheme="minorHAnsi" w:cstheme="minorHAnsi"/>
          <w:color w:val="000000" w:themeColor="text1"/>
          <w:sz w:val="22"/>
        </w:rPr>
        <w:t>, f</w:t>
      </w:r>
      <w:r w:rsidRPr="007C4D65">
        <w:rPr>
          <w:rFonts w:asciiTheme="minorHAnsi" w:hAnsiTheme="minorHAnsi" w:cstheme="minorHAnsi"/>
          <w:color w:val="000000" w:themeColor="text1"/>
          <w:sz w:val="22"/>
        </w:rPr>
        <w:t>ollowed by the priority 2.5 (</w:t>
      </w:r>
      <w:r w:rsidR="001547A8" w:rsidRPr="007C4D65">
        <w:rPr>
          <w:rFonts w:asciiTheme="minorHAnsi" w:hAnsiTheme="minorHAnsi" w:cstheme="minorHAnsi"/>
          <w:color w:val="000000" w:themeColor="text1"/>
          <w:sz w:val="22"/>
        </w:rPr>
        <w:t>Improving the management of special wastes</w:t>
      </w:r>
      <w:r w:rsidRPr="007C4D65">
        <w:rPr>
          <w:rFonts w:asciiTheme="minorHAnsi" w:hAnsiTheme="minorHAnsi" w:cstheme="minorHAnsi"/>
          <w:color w:val="000000" w:themeColor="text1"/>
          <w:sz w:val="22"/>
        </w:rPr>
        <w:t xml:space="preserve">) </w:t>
      </w:r>
      <w:r w:rsidR="00A66E66" w:rsidRPr="007C4D65">
        <w:rPr>
          <w:rFonts w:asciiTheme="minorHAnsi" w:hAnsiTheme="minorHAnsi" w:cstheme="minorHAnsi"/>
          <w:color w:val="000000" w:themeColor="text1"/>
          <w:sz w:val="22"/>
        </w:rPr>
        <w:t xml:space="preserve">which </w:t>
      </w:r>
      <w:r w:rsidRPr="007C4D65">
        <w:rPr>
          <w:rFonts w:asciiTheme="minorHAnsi" w:hAnsiTheme="minorHAnsi" w:cstheme="minorHAnsi"/>
          <w:color w:val="000000" w:themeColor="text1"/>
          <w:sz w:val="22"/>
        </w:rPr>
        <w:t xml:space="preserve">accounts for 16% or BAM 102 million, and 2.6. (Rehabilitate surfaces beneath inadequately disposed waste) with 3% or 20 million. The other priorities in </w:t>
      </w:r>
      <w:proofErr w:type="gramStart"/>
      <w:r w:rsidRPr="007C4D65">
        <w:rPr>
          <w:rFonts w:asciiTheme="minorHAnsi" w:hAnsiTheme="minorHAnsi" w:cstheme="minorHAnsi"/>
          <w:color w:val="000000" w:themeColor="text1"/>
          <w:sz w:val="22"/>
        </w:rPr>
        <w:t>this thematic areas</w:t>
      </w:r>
      <w:proofErr w:type="gramEnd"/>
      <w:r w:rsidRPr="007C4D65">
        <w:rPr>
          <w:rFonts w:asciiTheme="minorHAnsi" w:hAnsiTheme="minorHAnsi" w:cstheme="minorHAnsi"/>
          <w:color w:val="000000" w:themeColor="text1"/>
          <w:sz w:val="22"/>
        </w:rPr>
        <w:t xml:space="preserve"> account for less than 1% of the total estimated cost.</w:t>
      </w:r>
    </w:p>
    <w:p w14:paraId="48567A77" w14:textId="77777777" w:rsidR="00A047EC" w:rsidRPr="007C4D65" w:rsidRDefault="00A047EC" w:rsidP="0068355A">
      <w:pPr>
        <w:spacing w:line="276" w:lineRule="auto"/>
        <w:jc w:val="both"/>
        <w:rPr>
          <w:rFonts w:asciiTheme="minorHAnsi" w:eastAsiaTheme="minorHAnsi" w:hAnsiTheme="minorHAnsi" w:cstheme="minorHAnsi"/>
          <w:sz w:val="22"/>
          <w:szCs w:val="22"/>
        </w:rPr>
      </w:pPr>
      <w:r w:rsidRPr="007C4D65">
        <w:rPr>
          <w:rFonts w:asciiTheme="minorHAnsi" w:hAnsiTheme="minorHAnsi" w:cstheme="minorHAnsi"/>
          <w:color w:val="000000" w:themeColor="text1"/>
          <w:sz w:val="22"/>
        </w:rPr>
        <w:t>A detailed overview of the Indicative Financial Framework for the thematic area Waste Management and for the Federation of BiH in general is contained in Annex 9, including a table and pie chart.</w:t>
      </w:r>
    </w:p>
    <w:p w14:paraId="2CAB46C6" w14:textId="3E873F86" w:rsidR="009D7400" w:rsidRPr="007C4D65" w:rsidRDefault="0032585E" w:rsidP="0068355A">
      <w:pPr>
        <w:spacing w:after="160" w:line="276" w:lineRule="auto"/>
        <w:rPr>
          <w:rFonts w:asciiTheme="minorHAnsi" w:hAnsiTheme="minorHAnsi" w:cstheme="minorHAnsi"/>
        </w:rPr>
      </w:pPr>
      <w:r w:rsidRPr="007C4D65">
        <w:rPr>
          <w:rFonts w:asciiTheme="minorHAnsi" w:hAnsiTheme="minorHAnsi" w:cstheme="minorHAnsi"/>
        </w:rPr>
        <w:br w:type="page"/>
      </w:r>
    </w:p>
    <w:p w14:paraId="41C6E4B5" w14:textId="77777777" w:rsidR="00703BAB" w:rsidRPr="007C4D65" w:rsidRDefault="0032585E">
      <w:pPr>
        <w:pStyle w:val="Head1"/>
        <w:spacing w:after="240" w:line="276" w:lineRule="auto"/>
        <w:rPr>
          <w:rFonts w:asciiTheme="minorHAnsi" w:hAnsiTheme="minorHAnsi" w:cstheme="minorHAnsi"/>
        </w:rPr>
      </w:pPr>
      <w:bookmarkStart w:id="103" w:name="_Toc117445341"/>
      <w:r w:rsidRPr="007C4D65">
        <w:rPr>
          <w:rFonts w:asciiTheme="minorHAnsi" w:hAnsiTheme="minorHAnsi" w:cstheme="minorHAnsi"/>
        </w:rPr>
        <w:lastRenderedPageBreak/>
        <w:t>BIODIVERSITY AND NATURE CONSERVATION</w:t>
      </w:r>
      <w:bookmarkEnd w:id="103"/>
    </w:p>
    <w:p w14:paraId="0640D83D" w14:textId="77777777" w:rsidR="0032585E" w:rsidRPr="007C4D65" w:rsidRDefault="0032585E">
      <w:pPr>
        <w:pStyle w:val="Head2"/>
        <w:spacing w:line="276" w:lineRule="auto"/>
        <w:rPr>
          <w:rFonts w:asciiTheme="minorHAnsi" w:hAnsiTheme="minorHAnsi"/>
        </w:rPr>
      </w:pPr>
      <w:bookmarkStart w:id="104" w:name="_Toc117445342"/>
      <w:r w:rsidRPr="007C4D65">
        <w:rPr>
          <w:rFonts w:asciiTheme="minorHAnsi" w:hAnsiTheme="minorHAnsi"/>
        </w:rPr>
        <w:t>Situation Analysis</w:t>
      </w:r>
      <w:bookmarkEnd w:id="104"/>
    </w:p>
    <w:p w14:paraId="00B43F88" w14:textId="4CF3F664" w:rsidR="005E22EF" w:rsidRPr="007C4D65" w:rsidRDefault="005E22EF" w:rsidP="0068355A">
      <w:pPr>
        <w:spacing w:before="240" w:after="24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rPr>
        <w:t xml:space="preserve">The nature of the Federation has an enormous diversity and multiple values. Given that the Federation of BiH covers all the biogeographical areas of BiH, it is assumed </w:t>
      </w:r>
      <w:proofErr w:type="gramStart"/>
      <w:r w:rsidRPr="007C4D65">
        <w:rPr>
          <w:rFonts w:asciiTheme="minorHAnsi" w:hAnsiTheme="minorHAnsi" w:cstheme="minorHAnsi"/>
          <w:sz w:val="22"/>
        </w:rPr>
        <w:t>the majority of</w:t>
      </w:r>
      <w:proofErr w:type="gramEnd"/>
      <w:r w:rsidRPr="007C4D65">
        <w:rPr>
          <w:rFonts w:asciiTheme="minorHAnsi" w:hAnsiTheme="minorHAnsi" w:cstheme="minorHAnsi"/>
          <w:sz w:val="22"/>
        </w:rPr>
        <w:t xml:space="preserve"> the overall varieties and types of ecosystems in BiH are represented in the territory of the Federation. As previously noted, there is hardly any data </w:t>
      </w:r>
      <w:r w:rsidR="00C33249" w:rsidRPr="007C4D65">
        <w:rPr>
          <w:rFonts w:asciiTheme="minorHAnsi" w:hAnsiTheme="minorHAnsi" w:cstheme="minorHAnsi"/>
          <w:sz w:val="22"/>
        </w:rPr>
        <w:t>specifically</w:t>
      </w:r>
      <w:r w:rsidRPr="007C4D65">
        <w:rPr>
          <w:rFonts w:asciiTheme="minorHAnsi" w:hAnsiTheme="minorHAnsi" w:cstheme="minorHAnsi"/>
          <w:sz w:val="22"/>
        </w:rPr>
        <w:t xml:space="preserve"> focusing on biodiversity of the Federation of BiH. However, the fact that 30% of the endemic flora of the Balkans, and/or about 1,800 endemic species and subspecies live in the territory of BiH, and the overall number of plant </w:t>
      </w:r>
      <w:proofErr w:type="spellStart"/>
      <w:r w:rsidRPr="007C4D65">
        <w:rPr>
          <w:rFonts w:asciiTheme="minorHAnsi" w:hAnsiTheme="minorHAnsi" w:cstheme="minorHAnsi"/>
          <w:sz w:val="22"/>
        </w:rPr>
        <w:t>taxons</w:t>
      </w:r>
      <w:proofErr w:type="spellEnd"/>
      <w:r w:rsidRPr="007C4D65">
        <w:rPr>
          <w:rFonts w:asciiTheme="minorHAnsi" w:hAnsiTheme="minorHAnsi" w:cstheme="minorHAnsi"/>
          <w:sz w:val="22"/>
        </w:rPr>
        <w:t xml:space="preserve"> </w:t>
      </w:r>
      <w:r w:rsidR="00C33249" w:rsidRPr="007C4D65">
        <w:rPr>
          <w:rFonts w:asciiTheme="minorHAnsi" w:hAnsiTheme="minorHAnsi" w:cstheme="minorHAnsi"/>
          <w:sz w:val="22"/>
        </w:rPr>
        <w:t>exceeds</w:t>
      </w:r>
      <w:r w:rsidRPr="007C4D65">
        <w:rPr>
          <w:rFonts w:asciiTheme="minorHAnsi" w:hAnsiTheme="minorHAnsi" w:cstheme="minorHAnsi"/>
          <w:sz w:val="22"/>
        </w:rPr>
        <w:t xml:space="preserve"> 5,100 show high values of biodiversity </w:t>
      </w:r>
      <w:r w:rsidRPr="007C4D65">
        <w:rPr>
          <w:rFonts w:asciiTheme="minorHAnsi" w:hAnsiTheme="minorHAnsi" w:cstheme="minorHAnsi"/>
        </w:rPr>
        <w:t xml:space="preserve">According to </w:t>
      </w:r>
      <w:r w:rsidRPr="007C4D65">
        <w:rPr>
          <w:rFonts w:asciiTheme="minorHAnsi" w:hAnsiTheme="minorHAnsi" w:cstheme="minorHAnsi"/>
          <w:sz w:val="22"/>
        </w:rPr>
        <w:t xml:space="preserve">assessments of the First Report of BiH to the Convention on Biodiversity  </w:t>
      </w:r>
      <w:r w:rsidR="00460F17" w:rsidRPr="007C4D65">
        <w:rPr>
          <w:rFonts w:asciiTheme="minorHAnsi" w:hAnsiTheme="minorHAnsi" w:cstheme="minorHAnsi"/>
          <w:sz w:val="22"/>
        </w:rPr>
        <w:fldChar w:fldCharType="begin"/>
      </w:r>
      <w:r w:rsidR="00282995" w:rsidRPr="007C4D65">
        <w:rPr>
          <w:rFonts w:asciiTheme="minorHAnsi" w:hAnsiTheme="minorHAnsi" w:cstheme="minorHAnsi"/>
          <w:sz w:val="22"/>
        </w:rPr>
        <w:instrText xml:space="preserve"> ADDIN ZOTERO_ITEM CSL_CITATION {"citationID":"cFXBqFhP","properties":{"formattedCitation":"(Red\\uc0\\u382{}i\\uc0\\u263{}, S.,Barudanovi\\uc0\\u263{}, S., Radevi\\uc0\\u263{}, M. (ed) 2009)","plainCitation":"(Redžić, S.,Barudanović, S., Radević, M. (ed) 2009)","noteIndex":0},"citationItems":[{"id":1464,"uris":["http://zotero.org/users/7192877/items/AABJJ9D4"],"itemData":{"id":1464,"type":"report","genre":"Prvi nacionalni izvještaj BiH prema Konvenciji o biološkoj raznolikosti","title":"Prvi nacionalni izvještaj BiH prema Konvenciji o biološkoj raznolikosti","URL":"http://bih-chm-cbd.ba/wp-content/uploads/2020/11/1stNR.pdf","author":[{"literal":"Redžić, S.,Barudanović, S., Radević, M. (ed)"}],"issued":{"date-parts":[["2009"]]}}}],"schema":"https://github.com/citation-style-language/schema/raw/master/csl-citation.json"} </w:instrText>
      </w:r>
      <w:r w:rsidR="00460F17" w:rsidRPr="007C4D65">
        <w:rPr>
          <w:rFonts w:asciiTheme="minorHAnsi" w:hAnsiTheme="minorHAnsi" w:cstheme="minorHAnsi"/>
          <w:sz w:val="22"/>
        </w:rPr>
        <w:fldChar w:fldCharType="separate"/>
      </w:r>
      <w:r w:rsidR="00460F17" w:rsidRPr="007C4D65">
        <w:rPr>
          <w:rFonts w:asciiTheme="minorHAnsi" w:hAnsiTheme="minorHAnsi" w:cstheme="minorHAnsi"/>
          <w:sz w:val="22"/>
        </w:rPr>
        <w:t>(Red</w:t>
      </w:r>
      <w:r w:rsidR="00C33249" w:rsidRPr="007C4D65">
        <w:rPr>
          <w:rFonts w:asciiTheme="minorHAnsi" w:hAnsiTheme="minorHAnsi" w:cstheme="minorHAnsi"/>
          <w:sz w:val="22"/>
        </w:rPr>
        <w:t>z</w:t>
      </w:r>
      <w:r w:rsidR="00460F17" w:rsidRPr="007C4D65">
        <w:rPr>
          <w:rFonts w:asciiTheme="minorHAnsi" w:hAnsiTheme="minorHAnsi" w:cstheme="minorHAnsi"/>
          <w:sz w:val="22"/>
        </w:rPr>
        <w:t>ić, S.,</w:t>
      </w:r>
      <w:r w:rsidR="00C33249" w:rsidRPr="007C4D65">
        <w:rPr>
          <w:rFonts w:asciiTheme="minorHAnsi" w:hAnsiTheme="minorHAnsi" w:cstheme="minorHAnsi"/>
          <w:sz w:val="22"/>
        </w:rPr>
        <w:t xml:space="preserve"> </w:t>
      </w:r>
      <w:r w:rsidR="00460F17" w:rsidRPr="007C4D65">
        <w:rPr>
          <w:rFonts w:asciiTheme="minorHAnsi" w:hAnsiTheme="minorHAnsi" w:cstheme="minorHAnsi"/>
          <w:sz w:val="22"/>
        </w:rPr>
        <w:t>Barudanovi</w:t>
      </w:r>
      <w:r w:rsidR="00C33249" w:rsidRPr="007C4D65">
        <w:rPr>
          <w:rFonts w:asciiTheme="minorHAnsi" w:hAnsiTheme="minorHAnsi" w:cstheme="minorHAnsi"/>
          <w:sz w:val="22"/>
        </w:rPr>
        <w:t>c</w:t>
      </w:r>
      <w:r w:rsidR="00460F17" w:rsidRPr="007C4D65">
        <w:rPr>
          <w:rFonts w:asciiTheme="minorHAnsi" w:hAnsiTheme="minorHAnsi" w:cstheme="minorHAnsi"/>
          <w:sz w:val="22"/>
        </w:rPr>
        <w:t xml:space="preserve"> S., Radevi</w:t>
      </w:r>
      <w:r w:rsidR="00C33249" w:rsidRPr="007C4D65">
        <w:rPr>
          <w:rFonts w:asciiTheme="minorHAnsi" w:hAnsiTheme="minorHAnsi" w:cstheme="minorHAnsi"/>
          <w:sz w:val="22"/>
        </w:rPr>
        <w:t>c</w:t>
      </w:r>
      <w:r w:rsidR="00460F17" w:rsidRPr="007C4D65">
        <w:rPr>
          <w:rFonts w:asciiTheme="minorHAnsi" w:hAnsiTheme="minorHAnsi" w:cstheme="minorHAnsi"/>
          <w:sz w:val="22"/>
        </w:rPr>
        <w:t xml:space="preserve"> M. (ed) 2009)</w:t>
      </w:r>
      <w:r w:rsidR="00460F17" w:rsidRPr="007C4D65">
        <w:rPr>
          <w:rFonts w:asciiTheme="minorHAnsi" w:hAnsiTheme="minorHAnsi" w:cstheme="minorHAnsi"/>
          <w:sz w:val="22"/>
        </w:rPr>
        <w:fldChar w:fldCharType="end"/>
      </w:r>
      <w:r w:rsidRPr="007C4D65">
        <w:rPr>
          <w:rFonts w:asciiTheme="minorHAnsi" w:hAnsiTheme="minorHAnsi" w:cstheme="minorHAnsi"/>
          <w:sz w:val="22"/>
        </w:rPr>
        <w:t xml:space="preserve">, biodiversity of fauna in BiH comprises 119 fish species, 20 species of amphibians, 38 species of reptiles, 326 bird species, 85 mammal species, and an </w:t>
      </w:r>
      <w:r w:rsidR="001A2A48" w:rsidRPr="007C4D65">
        <w:rPr>
          <w:rFonts w:asciiTheme="minorHAnsi" w:hAnsiTheme="minorHAnsi" w:cstheme="minorHAnsi"/>
          <w:sz w:val="22"/>
        </w:rPr>
        <w:t>exceptional</w:t>
      </w:r>
      <w:r w:rsidRPr="007C4D65">
        <w:rPr>
          <w:rFonts w:asciiTheme="minorHAnsi" w:hAnsiTheme="minorHAnsi" w:cstheme="minorHAnsi"/>
          <w:sz w:val="22"/>
        </w:rPr>
        <w:t xml:space="preserve"> variety of invertebrates, particularly among invertebrates of </w:t>
      </w:r>
      <w:r w:rsidR="00C33249" w:rsidRPr="007C4D65">
        <w:rPr>
          <w:rFonts w:asciiTheme="minorHAnsi" w:hAnsiTheme="minorHAnsi" w:cstheme="minorHAnsi"/>
          <w:sz w:val="22"/>
        </w:rPr>
        <w:t>k</w:t>
      </w:r>
      <w:r w:rsidRPr="007C4D65">
        <w:rPr>
          <w:rFonts w:asciiTheme="minorHAnsi" w:hAnsiTheme="minorHAnsi" w:cstheme="minorHAnsi"/>
          <w:sz w:val="22"/>
        </w:rPr>
        <w:t xml:space="preserve">arst wells, mountain streams and canyons. </w:t>
      </w:r>
      <w:r w:rsidRPr="007C4D65">
        <w:rPr>
          <w:rFonts w:asciiTheme="minorHAnsi" w:hAnsiTheme="minorHAnsi" w:cstheme="minorHAnsi"/>
        </w:rPr>
        <w:t>More recent studies on birds in BiH show that 344 bird species have their habitats in BiH</w:t>
      </w:r>
      <w:r w:rsidR="00C33249" w:rsidRPr="007C4D65">
        <w:rPr>
          <w:rFonts w:asciiTheme="minorHAnsi" w:hAnsiTheme="minorHAnsi" w:cstheme="minorHAnsi"/>
          <w:sz w:val="22"/>
        </w:rPr>
        <w:t xml:space="preserve"> </w:t>
      </w:r>
      <w:r w:rsidR="00460F17" w:rsidRPr="007C4D65">
        <w:rPr>
          <w:rFonts w:asciiTheme="minorHAnsi" w:hAnsiTheme="minorHAnsi" w:cstheme="minorHAnsi"/>
          <w:sz w:val="22"/>
        </w:rPr>
        <w:fldChar w:fldCharType="begin"/>
      </w:r>
      <w:r w:rsidR="00CE1A95" w:rsidRPr="007C4D65">
        <w:rPr>
          <w:rFonts w:asciiTheme="minorHAnsi" w:hAnsiTheme="minorHAnsi" w:cstheme="minorHAnsi"/>
          <w:sz w:val="22"/>
        </w:rPr>
        <w:instrText xml:space="preserve"> ADDIN ZOTERO_ITEM CSL_CITATION {"citationID":"KCpm6J91","properties":{"formattedCitation":"(Kotro\\uc0\\u353{}an, D. and Topi\\uc0\\u263{}., G. 2017)","plainCitation":"(Kotrošan, D. and Topić., G. 2017)","noteIndex":0},"citationItems":[{"id":1465,"uris":["http://zotero.org/users/7192877/items/N57P6MM9"],"itemData":{"id":1465,"type":"report","title":"Popis ptica Bosne i Hercegovine sa sezonskim statusom","author":[{"literal":"Kotrošan, D."},{"literal":"Topić., G."}],"issued":{"date-parts":[["2017"]]}}}],"schema":"https://github.com/citation-style-language/schema/raw/master/csl-citation.json"} </w:instrText>
      </w:r>
      <w:r w:rsidR="00460F17" w:rsidRPr="007C4D65">
        <w:rPr>
          <w:rFonts w:asciiTheme="minorHAnsi" w:hAnsiTheme="minorHAnsi" w:cstheme="minorHAnsi"/>
          <w:sz w:val="22"/>
        </w:rPr>
        <w:fldChar w:fldCharType="separate"/>
      </w:r>
      <w:r w:rsidR="004D6927" w:rsidRPr="007C4D65">
        <w:rPr>
          <w:rFonts w:asciiTheme="minorHAnsi" w:hAnsiTheme="minorHAnsi" w:cstheme="minorHAnsi"/>
          <w:sz w:val="22"/>
        </w:rPr>
        <w:t>(Kotro</w:t>
      </w:r>
      <w:r w:rsidR="00C33249" w:rsidRPr="007C4D65">
        <w:rPr>
          <w:rFonts w:asciiTheme="minorHAnsi" w:hAnsiTheme="minorHAnsi" w:cstheme="minorHAnsi"/>
          <w:sz w:val="22"/>
        </w:rPr>
        <w:t>s</w:t>
      </w:r>
      <w:r w:rsidR="004D6927" w:rsidRPr="007C4D65">
        <w:rPr>
          <w:rFonts w:asciiTheme="minorHAnsi" w:hAnsiTheme="minorHAnsi" w:cstheme="minorHAnsi"/>
          <w:sz w:val="22"/>
        </w:rPr>
        <w:t>an, D. and Topi</w:t>
      </w:r>
      <w:r w:rsidR="00C33249" w:rsidRPr="007C4D65">
        <w:rPr>
          <w:rFonts w:asciiTheme="minorHAnsi" w:hAnsiTheme="minorHAnsi" w:cstheme="minorHAnsi"/>
          <w:sz w:val="22"/>
        </w:rPr>
        <w:t>c</w:t>
      </w:r>
      <w:r w:rsidR="004D6927" w:rsidRPr="007C4D65">
        <w:rPr>
          <w:rFonts w:asciiTheme="minorHAnsi" w:hAnsiTheme="minorHAnsi" w:cstheme="minorHAnsi"/>
          <w:sz w:val="22"/>
        </w:rPr>
        <w:t>., 2017)</w:t>
      </w:r>
      <w:r w:rsidR="00460F17" w:rsidRPr="007C4D65">
        <w:rPr>
          <w:rFonts w:asciiTheme="minorHAnsi" w:hAnsiTheme="minorHAnsi" w:cstheme="minorHAnsi"/>
          <w:sz w:val="22"/>
        </w:rPr>
        <w:fldChar w:fldCharType="end"/>
      </w:r>
      <w:r w:rsidRPr="007C4D65">
        <w:rPr>
          <w:rFonts w:asciiTheme="minorHAnsi" w:hAnsiTheme="minorHAnsi" w:cstheme="minorHAnsi"/>
          <w:sz w:val="22"/>
        </w:rPr>
        <w:t xml:space="preserve">, while, 231 fish species were identified in accordance with the new nomenclature, including 76 marine species, 26 diadromous, 111 freshwater species </w:t>
      </w:r>
      <w:r w:rsidR="004D6927" w:rsidRPr="007C4D65">
        <w:rPr>
          <w:rFonts w:asciiTheme="minorHAnsi" w:hAnsiTheme="minorHAnsi" w:cstheme="minorHAnsi"/>
          <w:sz w:val="22"/>
        </w:rPr>
        <w:fldChar w:fldCharType="begin"/>
      </w:r>
      <w:r w:rsidR="00387239" w:rsidRPr="007C4D65">
        <w:rPr>
          <w:rFonts w:asciiTheme="minorHAnsi" w:hAnsiTheme="minorHAnsi" w:cstheme="minorHAnsi"/>
          <w:sz w:val="22"/>
        </w:rPr>
        <w:instrText xml:space="preserve"> ADDIN ZOTERO_ITEM CSL_CITATION {"citationID":"nff1BX9Q","properties":{"formattedCitation":"(FAO 2015b)","plainCitation":"(FAO 2015b)","noteIndex":0},"citationItems":[{"id":1466,"uris":["http://zotero.org/users/7192877/items/IQG8H9WP"],"itemData":{"id":1466,"type":"book","number-of-pages":"1-155.","title":"The Fisheries and Aquaculture Sector in Bosnia and Herzegovina. Preparation of IPARD Forest and Fisheries Sector Reviews in Bosnia and Herzegovina","URL":"https://www.fao.org/3/au016e/au016e.pdf","author":[{"literal":"FAO"}],"issued":{"date-parts":[["2015"]]}}}],"schema":"https://github.com/citation-style-language/schema/raw/master/csl-citation.json"} </w:instrText>
      </w:r>
      <w:r w:rsidR="004D6927" w:rsidRPr="007C4D65">
        <w:rPr>
          <w:rFonts w:asciiTheme="minorHAnsi" w:hAnsiTheme="minorHAnsi" w:cstheme="minorHAnsi"/>
          <w:sz w:val="22"/>
        </w:rPr>
        <w:fldChar w:fldCharType="separate"/>
      </w:r>
      <w:r w:rsidR="00387239" w:rsidRPr="007C4D65">
        <w:rPr>
          <w:rFonts w:asciiTheme="minorHAnsi" w:hAnsiTheme="minorHAnsi" w:cstheme="minorHAnsi"/>
          <w:sz w:val="22"/>
        </w:rPr>
        <w:t>(FAO 2015b)</w:t>
      </w:r>
      <w:r w:rsidR="004D6927" w:rsidRPr="007C4D65">
        <w:rPr>
          <w:rFonts w:asciiTheme="minorHAnsi" w:hAnsiTheme="minorHAnsi" w:cstheme="minorHAnsi"/>
          <w:sz w:val="22"/>
        </w:rPr>
        <w:fldChar w:fldCharType="end"/>
      </w:r>
      <w:r w:rsidRPr="007C4D65">
        <w:rPr>
          <w:rFonts w:asciiTheme="minorHAnsi" w:hAnsiTheme="minorHAnsi" w:cstheme="minorHAnsi"/>
          <w:sz w:val="22"/>
        </w:rPr>
        <w:t xml:space="preserve">. </w:t>
      </w:r>
      <w:r w:rsidR="00C33249" w:rsidRPr="007C4D65">
        <w:rPr>
          <w:rFonts w:asciiTheme="minorHAnsi" w:hAnsiTheme="minorHAnsi" w:cstheme="minorHAnsi"/>
          <w:sz w:val="22"/>
        </w:rPr>
        <w:t>Diversity</w:t>
      </w:r>
      <w:r w:rsidRPr="007C4D65">
        <w:rPr>
          <w:rFonts w:asciiTheme="minorHAnsi" w:hAnsiTheme="minorHAnsi" w:cstheme="minorHAnsi"/>
          <w:sz w:val="22"/>
        </w:rPr>
        <w:t xml:space="preserve"> of fungi in the Federation is currently being researched. Many species of fungi, for which the number of varieties has been estimated, have high commercial potential and values. The ecosystem of the Federation of BiH also has a rich diversity. </w:t>
      </w:r>
      <w:r w:rsidRPr="007C4D65">
        <w:rPr>
          <w:rFonts w:asciiTheme="minorHAnsi" w:hAnsiTheme="minorHAnsi" w:cstheme="minorHAnsi"/>
        </w:rPr>
        <w:t xml:space="preserve">The reference literature from the previous vegetation research </w:t>
      </w:r>
      <w:r w:rsidR="00C33249" w:rsidRPr="007C4D65">
        <w:rPr>
          <w:rFonts w:asciiTheme="minorHAnsi" w:hAnsiTheme="minorHAnsi" w:cstheme="minorHAnsi"/>
        </w:rPr>
        <w:t>describes</w:t>
      </w:r>
      <w:r w:rsidRPr="007C4D65">
        <w:rPr>
          <w:rFonts w:asciiTheme="minorHAnsi" w:hAnsiTheme="minorHAnsi" w:cstheme="minorHAnsi"/>
        </w:rPr>
        <w:t xml:space="preserve"> over 250 different types of plant communities in BiH, </w:t>
      </w:r>
      <w:r w:rsidRPr="007C4D65">
        <w:rPr>
          <w:rFonts w:asciiTheme="minorHAnsi" w:hAnsiTheme="minorHAnsi" w:cstheme="minorHAnsi"/>
          <w:sz w:val="22"/>
        </w:rPr>
        <w:t xml:space="preserve"> </w:t>
      </w:r>
      <w:r w:rsidR="006A21A5" w:rsidRPr="007C4D65">
        <w:rPr>
          <w:rFonts w:asciiTheme="minorHAnsi" w:eastAsiaTheme="minorHAnsi" w:hAnsiTheme="minorHAnsi" w:cstheme="minorHAnsi"/>
          <w:sz w:val="22"/>
        </w:rPr>
        <w:fldChar w:fldCharType="begin"/>
      </w:r>
      <w:r w:rsidR="006A21A5" w:rsidRPr="007C4D65">
        <w:rPr>
          <w:rFonts w:asciiTheme="minorHAnsi" w:eastAsiaTheme="minorHAnsi" w:hAnsiTheme="minorHAnsi" w:cstheme="minorHAnsi"/>
          <w:sz w:val="22"/>
        </w:rPr>
        <w:instrText xml:space="preserve"> ADDIN ZOTERO_ITEM CSL_CITATION {"citationID":"i6Ro1Hwx","properties":{"formattedCitation":"(UNECE 2018)","plainCitation":"(UNECE 2018)","noteIndex":0},"citationItems":[{"id":26,"uris":["http://zotero.org/users/7192877/items/CJYTWWSS"],"itemData":{"id":26,"type":"report","title":"Bosnia and Herzegovina Environmental Performance Reviews. Third review","author":[{"literal":"UNECE"}],"issued":{"date-parts":[["2018"]]}}}],"schema":"https://github.com/citation-style-language/schema/raw/master/csl-citation.json"} </w:instrText>
      </w:r>
      <w:r w:rsidR="006A21A5" w:rsidRPr="007C4D65">
        <w:rPr>
          <w:rFonts w:asciiTheme="minorHAnsi" w:eastAsiaTheme="minorHAnsi" w:hAnsiTheme="minorHAnsi" w:cstheme="minorHAnsi"/>
          <w:sz w:val="22"/>
        </w:rPr>
        <w:fldChar w:fldCharType="separate"/>
      </w:r>
      <w:r w:rsidR="006A21A5" w:rsidRPr="007C4D65">
        <w:rPr>
          <w:rFonts w:asciiTheme="minorHAnsi" w:eastAsiaTheme="minorHAnsi" w:hAnsiTheme="minorHAnsi" w:cstheme="minorHAnsi"/>
          <w:sz w:val="22"/>
        </w:rPr>
        <w:t>(UNECE 2018)</w:t>
      </w:r>
      <w:r w:rsidR="006A21A5" w:rsidRPr="007C4D65">
        <w:rPr>
          <w:rFonts w:asciiTheme="minorHAnsi" w:eastAsiaTheme="minorHAnsi" w:hAnsiTheme="minorHAnsi" w:cstheme="minorHAnsi"/>
          <w:sz w:val="22"/>
        </w:rPr>
        <w:fldChar w:fldCharType="end"/>
      </w:r>
      <w:r w:rsidRPr="007C4D65">
        <w:rPr>
          <w:rFonts w:asciiTheme="minorHAnsi" w:hAnsiTheme="minorHAnsi" w:cstheme="minorHAnsi"/>
          <w:sz w:val="22"/>
        </w:rPr>
        <w:t xml:space="preserve">, which illustrates the diversity of basic ecological conditions in our country </w:t>
      </w:r>
      <w:r w:rsidR="006A21A5" w:rsidRPr="007C4D65">
        <w:rPr>
          <w:rFonts w:asciiTheme="minorHAnsi" w:eastAsiaTheme="minorHAnsi" w:hAnsiTheme="minorHAnsi" w:cstheme="minorHAnsi"/>
          <w:sz w:val="22"/>
        </w:rPr>
        <w:fldChar w:fldCharType="begin"/>
      </w:r>
      <w:r w:rsidR="00282995" w:rsidRPr="007C4D65">
        <w:rPr>
          <w:rFonts w:asciiTheme="minorHAnsi" w:eastAsiaTheme="minorHAnsi" w:hAnsiTheme="minorHAnsi" w:cstheme="minorHAnsi"/>
          <w:sz w:val="22"/>
        </w:rPr>
        <w:instrText xml:space="preserve"> ADDIN ZOTERO_ITEM CSL_CITATION {"citationID":"62neSKga","properties":{"formattedCitation":"(Red\\uc0\\u382{}i\\uc0\\u263{}, S.,Barudanovi\\uc0\\u263{}, S., Radevi\\uc0\\u263{}, M. (ed) 2009)","plainCitation":"(Redžić, S.,Barudanović, S., Radević, M. (ed) 2009)","noteIndex":0},"citationItems":[{"id":1464,"uris":["http://zotero.org/users/7192877/items/AABJJ9D4"],"itemData":{"id":1464,"type":"report","genre":"Prvi nacionalni izvještaj BiH prema Konvenciji o biološkoj raznolikosti","title":"Prvi nacionalni izvještaj BiH prema Konvenciji o biološkoj raznolikosti","URL":"http://bih-chm-cbd.ba/wp-content/uploads/2020/11/1stNR.pdf","author":[{"literal":"Redžić, S.,Barudanović, S., Radević, M. (ed)"}],"issued":{"date-parts":[["2009"]]}}}],"schema":"https://github.com/citation-style-language/schema/raw/master/csl-citation.json"} </w:instrText>
      </w:r>
      <w:r w:rsidR="006A21A5" w:rsidRPr="007C4D65">
        <w:rPr>
          <w:rFonts w:asciiTheme="minorHAnsi" w:eastAsiaTheme="minorHAnsi" w:hAnsiTheme="minorHAnsi" w:cstheme="minorHAnsi"/>
          <w:sz w:val="22"/>
        </w:rPr>
        <w:fldChar w:fldCharType="separate"/>
      </w:r>
      <w:r w:rsidR="006A21A5" w:rsidRPr="007C4D65">
        <w:rPr>
          <w:rFonts w:asciiTheme="minorHAnsi" w:hAnsiTheme="minorHAnsi" w:cstheme="minorHAnsi"/>
          <w:sz w:val="22"/>
        </w:rPr>
        <w:t>(Red</w:t>
      </w:r>
      <w:r w:rsidR="00C33249" w:rsidRPr="007C4D65">
        <w:rPr>
          <w:rFonts w:asciiTheme="minorHAnsi" w:hAnsiTheme="minorHAnsi" w:cstheme="minorHAnsi"/>
          <w:sz w:val="22"/>
        </w:rPr>
        <w:t>z</w:t>
      </w:r>
      <w:r w:rsidR="006A21A5" w:rsidRPr="007C4D65">
        <w:rPr>
          <w:rFonts w:asciiTheme="minorHAnsi" w:hAnsiTheme="minorHAnsi" w:cstheme="minorHAnsi"/>
          <w:sz w:val="22"/>
        </w:rPr>
        <w:t>ić S.</w:t>
      </w:r>
      <w:r w:rsidR="009E313F">
        <w:rPr>
          <w:rFonts w:asciiTheme="minorHAnsi" w:hAnsiTheme="minorHAnsi" w:cstheme="minorHAnsi"/>
          <w:sz w:val="22"/>
        </w:rPr>
        <w:t xml:space="preserve">, </w:t>
      </w:r>
      <w:r w:rsidR="006A21A5" w:rsidRPr="007C4D65">
        <w:rPr>
          <w:rFonts w:asciiTheme="minorHAnsi" w:hAnsiTheme="minorHAnsi" w:cstheme="minorHAnsi"/>
          <w:sz w:val="22"/>
        </w:rPr>
        <w:t>Barudanovi</w:t>
      </w:r>
      <w:r w:rsidR="00C33249" w:rsidRPr="007C4D65">
        <w:rPr>
          <w:rFonts w:asciiTheme="minorHAnsi" w:hAnsiTheme="minorHAnsi" w:cstheme="minorHAnsi"/>
          <w:sz w:val="22"/>
        </w:rPr>
        <w:t>c</w:t>
      </w:r>
      <w:r w:rsidR="006A21A5" w:rsidRPr="007C4D65">
        <w:rPr>
          <w:rFonts w:asciiTheme="minorHAnsi" w:hAnsiTheme="minorHAnsi" w:cstheme="minorHAnsi"/>
          <w:sz w:val="22"/>
        </w:rPr>
        <w:t xml:space="preserve"> S.</w:t>
      </w:r>
      <w:r w:rsidR="009E313F">
        <w:rPr>
          <w:rFonts w:asciiTheme="minorHAnsi" w:hAnsiTheme="minorHAnsi" w:cstheme="minorHAnsi"/>
          <w:sz w:val="22"/>
        </w:rPr>
        <w:t>,</w:t>
      </w:r>
      <w:r w:rsidR="006A21A5" w:rsidRPr="007C4D65">
        <w:rPr>
          <w:rFonts w:asciiTheme="minorHAnsi" w:hAnsiTheme="minorHAnsi" w:cstheme="minorHAnsi"/>
          <w:sz w:val="22"/>
        </w:rPr>
        <w:t xml:space="preserve"> Radevi</w:t>
      </w:r>
      <w:r w:rsidR="00C33249" w:rsidRPr="007C4D65">
        <w:rPr>
          <w:rFonts w:asciiTheme="minorHAnsi" w:hAnsiTheme="minorHAnsi" w:cstheme="minorHAnsi"/>
          <w:sz w:val="22"/>
        </w:rPr>
        <w:t>c</w:t>
      </w:r>
      <w:r w:rsidR="006A21A5" w:rsidRPr="007C4D65">
        <w:rPr>
          <w:rFonts w:asciiTheme="minorHAnsi" w:hAnsiTheme="minorHAnsi" w:cstheme="minorHAnsi"/>
          <w:sz w:val="22"/>
        </w:rPr>
        <w:t>, M. (ed) 2009)</w:t>
      </w:r>
      <w:r w:rsidR="006A21A5" w:rsidRPr="007C4D65">
        <w:rPr>
          <w:rFonts w:asciiTheme="minorHAnsi" w:eastAsiaTheme="minorHAnsi" w:hAnsiTheme="minorHAnsi" w:cstheme="minorHAnsi"/>
          <w:sz w:val="22"/>
        </w:rPr>
        <w:fldChar w:fldCharType="end"/>
      </w:r>
      <w:r w:rsidRPr="007C4D65">
        <w:rPr>
          <w:rFonts w:asciiTheme="minorHAnsi" w:hAnsiTheme="minorHAnsi" w:cstheme="minorHAnsi"/>
          <w:sz w:val="22"/>
        </w:rPr>
        <w:t xml:space="preserve">. Given geography and biogeography of the Federation of BiH, it is fair to assume that the majority of 250 types of the ecosystem in BiH have their habitats in the territory of the Federation. </w:t>
      </w:r>
      <w:r w:rsidRPr="007C4D65">
        <w:rPr>
          <w:rFonts w:asciiTheme="minorHAnsi" w:hAnsiTheme="minorHAnsi" w:cstheme="minorHAnsi"/>
        </w:rPr>
        <w:t>The scientific community has still no commonly agreed classification of the ecosystems in BiH</w:t>
      </w:r>
      <w:r w:rsidR="00C33249" w:rsidRPr="007C4D65">
        <w:rPr>
          <w:rFonts w:asciiTheme="minorHAnsi" w:hAnsiTheme="minorHAnsi" w:cstheme="minorHAnsi"/>
        </w:rPr>
        <w:t xml:space="preserve"> </w:t>
      </w:r>
      <w:r w:rsidR="00CC1A62" w:rsidRPr="007C4D65">
        <w:rPr>
          <w:rFonts w:asciiTheme="minorHAnsi" w:eastAsiaTheme="minorHAnsi" w:hAnsiTheme="minorHAnsi" w:cstheme="minorHAnsi"/>
          <w:sz w:val="22"/>
        </w:rPr>
        <w:fldChar w:fldCharType="begin"/>
      </w:r>
      <w:r w:rsidR="00CE1A95" w:rsidRPr="007C4D65">
        <w:rPr>
          <w:rFonts w:asciiTheme="minorHAnsi" w:eastAsiaTheme="minorHAnsi" w:hAnsiTheme="minorHAnsi" w:cstheme="minorHAnsi"/>
          <w:sz w:val="22"/>
        </w:rPr>
        <w:instrText xml:space="preserve"> ADDIN ZOTERO_ITEM CSL_CITATION {"citationID":"npGwx7TG","properties":{"formattedCitation":"(Barudanovi\\uc0\\u263{} et al. 2015)","plainCitation":"(Barudanović et al. 2015)","noteIndex":0},"citationItems":[{"id":1469,"uris":["http://zotero.org/users/7192877/items/MK9QLFPU"],"itemData":{"id":1469,"type":"book","event-place":"Sarajevo","ISBN":"978-9958-592-60-7","license":"Autori","publisher-place":"Sarajevo","source":"COBISS.BH-ID 21972742","title":"Ekosistemi Bosne i Hercegovine u funkciji održivog razvoja","URL":"http://www.pmf.unsa.ba/cep-sr/wp-content/uploads/Publikacije.pdf","author":[{"family":"Barudanović","given":"Senka"},{"family":"Macanović","given":"Armin"},{"family":"Topalić-Trivunović","given":"Ljiljana"},{"family":"Cero","given":"Mehmed"}],"issued":{"date-parts":[["2015"]]}}}],"schema":"https://github.com/citation-style-language/schema/raw/master/csl-citation.json"} </w:instrText>
      </w:r>
      <w:r w:rsidR="00CC1A62" w:rsidRPr="007C4D65">
        <w:rPr>
          <w:rFonts w:asciiTheme="minorHAnsi" w:eastAsiaTheme="minorHAnsi" w:hAnsiTheme="minorHAnsi" w:cstheme="minorHAnsi"/>
          <w:sz w:val="22"/>
        </w:rPr>
        <w:fldChar w:fldCharType="separate"/>
      </w:r>
      <w:r w:rsidR="00CC1A62" w:rsidRPr="007C4D65">
        <w:rPr>
          <w:rFonts w:asciiTheme="minorHAnsi" w:hAnsiTheme="minorHAnsi" w:cstheme="minorHAnsi"/>
          <w:sz w:val="22"/>
        </w:rPr>
        <w:t>(</w:t>
      </w:r>
      <w:r w:rsidR="00C33249" w:rsidRPr="007C4D65">
        <w:rPr>
          <w:rFonts w:asciiTheme="minorHAnsi" w:hAnsiTheme="minorHAnsi" w:cstheme="minorHAnsi"/>
          <w:sz w:val="22"/>
        </w:rPr>
        <w:t>Barudanovic</w:t>
      </w:r>
      <w:r w:rsidR="00CC1A62" w:rsidRPr="007C4D65">
        <w:rPr>
          <w:rFonts w:asciiTheme="minorHAnsi" w:hAnsiTheme="minorHAnsi" w:cstheme="minorHAnsi"/>
          <w:sz w:val="22"/>
        </w:rPr>
        <w:t xml:space="preserve"> et al. 2015)</w:t>
      </w:r>
      <w:r w:rsidR="00CC1A62" w:rsidRPr="007C4D65">
        <w:rPr>
          <w:rFonts w:asciiTheme="minorHAnsi" w:eastAsiaTheme="minorHAnsi" w:hAnsiTheme="minorHAnsi" w:cstheme="minorHAnsi"/>
          <w:sz w:val="22"/>
        </w:rPr>
        <w:fldChar w:fldCharType="end"/>
      </w:r>
      <w:r w:rsidRPr="007C4D65">
        <w:rPr>
          <w:rFonts w:asciiTheme="minorHAnsi" w:hAnsiTheme="minorHAnsi" w:cstheme="minorHAnsi"/>
          <w:sz w:val="22"/>
        </w:rPr>
        <w:t xml:space="preserve"> but previous studies provide a good basis for their understanding. It is also safe to say that all the </w:t>
      </w:r>
      <w:r w:rsidR="00C33249" w:rsidRPr="007C4D65">
        <w:rPr>
          <w:rFonts w:asciiTheme="minorHAnsi" w:hAnsiTheme="minorHAnsi" w:cstheme="minorHAnsi"/>
          <w:sz w:val="22"/>
        </w:rPr>
        <w:t>categories</w:t>
      </w:r>
      <w:r w:rsidRPr="007C4D65">
        <w:rPr>
          <w:rFonts w:asciiTheme="minorHAnsi" w:hAnsiTheme="minorHAnsi" w:cstheme="minorHAnsi"/>
          <w:sz w:val="22"/>
        </w:rPr>
        <w:t xml:space="preserve"> of CORINA nomenclature (31) identified in the territory of BiH are represented in the territory of the Federation of BiH.</w:t>
      </w:r>
    </w:p>
    <w:p w14:paraId="1DF5EDB2" w14:textId="4C6D7188" w:rsidR="005E22EF" w:rsidRPr="007C4D65" w:rsidRDefault="0012427C" w:rsidP="0068355A">
      <w:pPr>
        <w:spacing w:after="240" w:line="276" w:lineRule="auto"/>
        <w:rPr>
          <w:rFonts w:asciiTheme="minorHAnsi" w:hAnsiTheme="minorHAnsi" w:cstheme="minorHAnsi"/>
          <w:i/>
          <w:iCs/>
          <w:sz w:val="22"/>
          <w:szCs w:val="22"/>
          <w:u w:val="single"/>
        </w:rPr>
      </w:pPr>
      <w:r w:rsidRPr="007C4D65">
        <w:rPr>
          <w:rFonts w:asciiTheme="minorHAnsi" w:hAnsiTheme="minorHAnsi" w:cstheme="minorHAnsi"/>
          <w:i/>
          <w:sz w:val="22"/>
          <w:u w:val="single"/>
        </w:rPr>
        <w:t>Situation in b</w:t>
      </w:r>
      <w:r w:rsidR="005E22EF" w:rsidRPr="007C4D65">
        <w:rPr>
          <w:rFonts w:asciiTheme="minorHAnsi" w:hAnsiTheme="minorHAnsi" w:cstheme="minorHAnsi"/>
          <w:i/>
          <w:sz w:val="22"/>
          <w:u w:val="single"/>
        </w:rPr>
        <w:t>iodiversity and nature conservation</w:t>
      </w:r>
    </w:p>
    <w:p w14:paraId="7EAC7C5C" w14:textId="3E781F73" w:rsidR="005E22EF" w:rsidRPr="007C4D65" w:rsidRDefault="005E22EF" w:rsidP="0068355A">
      <w:pPr>
        <w:spacing w:after="237" w:line="276" w:lineRule="auto"/>
        <w:ind w:right="15"/>
        <w:jc w:val="both"/>
        <w:rPr>
          <w:rFonts w:asciiTheme="minorHAnsi" w:eastAsiaTheme="minorHAnsi" w:hAnsiTheme="minorHAnsi" w:cstheme="minorHAnsi"/>
          <w:sz w:val="22"/>
          <w:szCs w:val="22"/>
        </w:rPr>
      </w:pPr>
      <w:r w:rsidRPr="007C4D65">
        <w:rPr>
          <w:rFonts w:asciiTheme="minorHAnsi" w:hAnsiTheme="minorHAnsi" w:cstheme="minorHAnsi"/>
          <w:sz w:val="22"/>
          <w:szCs w:val="22"/>
        </w:rPr>
        <w:t xml:space="preserve">The size of protected areas in the Federation is minor given exceptionally high values of the nature. While the global goal of the world community in the previous ten-year period required the establishment of the formal protection in 17% of the land and 10% of the aquatic territory of each </w:t>
      </w:r>
      <w:proofErr w:type="gramStart"/>
      <w:r w:rsidRPr="007C4D65">
        <w:rPr>
          <w:rFonts w:asciiTheme="minorHAnsi" w:hAnsiTheme="minorHAnsi" w:cstheme="minorHAnsi"/>
          <w:sz w:val="22"/>
          <w:szCs w:val="22"/>
        </w:rPr>
        <w:t xml:space="preserve">country,  </w:t>
      </w:r>
      <w:bookmarkStart w:id="105" w:name="_Hlk100351545"/>
      <w:r w:rsidRPr="007C4D65">
        <w:rPr>
          <w:rFonts w:asciiTheme="minorHAnsi" w:hAnsiTheme="minorHAnsi" w:cstheme="minorHAnsi"/>
          <w:sz w:val="22"/>
          <w:szCs w:val="22"/>
        </w:rPr>
        <w:t>the</w:t>
      </w:r>
      <w:proofErr w:type="gramEnd"/>
      <w:r w:rsidRPr="007C4D65">
        <w:rPr>
          <w:rFonts w:asciiTheme="minorHAnsi" w:hAnsiTheme="minorHAnsi" w:cstheme="minorHAnsi"/>
          <w:sz w:val="22"/>
          <w:szCs w:val="22"/>
        </w:rPr>
        <w:t xml:space="preserve"> protected areas in the Federation of BiH account for 3,98%. </w:t>
      </w:r>
      <w:bookmarkStart w:id="106" w:name="_Hlk100351427"/>
      <w:bookmarkEnd w:id="105"/>
      <w:r w:rsidRPr="007C4D65">
        <w:rPr>
          <w:rFonts w:asciiTheme="minorHAnsi" w:hAnsiTheme="minorHAnsi" w:cstheme="minorHAnsi"/>
          <w:sz w:val="22"/>
          <w:szCs w:val="22"/>
        </w:rPr>
        <w:t xml:space="preserve">The protected areas in the Federation of BiH include: one national park(36.629,08 ha) </w:t>
      </w:r>
      <w:r w:rsidR="00B7652E" w:rsidRPr="007C4D65">
        <w:rPr>
          <w:rFonts w:asciiTheme="minorHAnsi" w:eastAsiaTheme="minorHAnsi" w:hAnsiTheme="minorHAnsi" w:cstheme="minorHAnsi"/>
          <w:sz w:val="22"/>
          <w:szCs w:val="22"/>
        </w:rPr>
        <w:fldChar w:fldCharType="begin"/>
      </w:r>
      <w:r w:rsidR="00CE1A95" w:rsidRPr="007C4D65">
        <w:rPr>
          <w:rFonts w:asciiTheme="minorHAnsi" w:eastAsiaTheme="minorHAnsi" w:hAnsiTheme="minorHAnsi" w:cstheme="minorHAnsi"/>
          <w:sz w:val="22"/>
          <w:szCs w:val="22"/>
        </w:rPr>
        <w:instrText xml:space="preserve"> ADDIN ZOTERO_ITEM CSL_CITATION {"citationID":"0x6ycRw5","properties":{"formattedCitation":"(Sl. glasnik FBiH 92/14 2014)","plainCitation":"(Sl. glasnik FBiH 92/14 2014)","dontUpdate":true,"noteIndex":0},"citationItems":[{"id":1470,"uris":["http://zotero.org/users/7192877/items/87UGHF55"],"itemData":{"id":1470,"type":"document","title":"Ukaz o proglašenju Prostornog plana Područja posebnih obilježja od značaja za Federaciju Bosne i Hercegovine\\Sliv rijeke Une za period od dvadeset godina i Odluke o provođenju prostornog plana područja posebnih obilježja od značaja za Federaciju BiH - \"Sliv rijeke Une\"","author":[{"family":"\"Sl. glasnik Federacije BiH\", broj 92/14","given":""}],"issued":{"date-parts":[["2014"]]}}}],"schema":"https://github.com/citation-style-language/schema/raw/master/csl-citation.json"} </w:instrText>
      </w:r>
      <w:r w:rsidR="00B7652E" w:rsidRPr="007C4D65">
        <w:rPr>
          <w:rFonts w:asciiTheme="minorHAnsi" w:eastAsiaTheme="minorHAnsi" w:hAnsiTheme="minorHAnsi" w:cstheme="minorHAnsi"/>
          <w:sz w:val="22"/>
          <w:szCs w:val="22"/>
        </w:rPr>
        <w:fldChar w:fldCharType="separate"/>
      </w:r>
      <w:r w:rsidR="00CD728D" w:rsidRPr="007C4D65">
        <w:rPr>
          <w:rFonts w:asciiTheme="minorHAnsi" w:eastAsiaTheme="minorHAnsi" w:hAnsiTheme="minorHAnsi" w:cstheme="minorHAnsi"/>
          <w:sz w:val="22"/>
          <w:szCs w:val="22"/>
        </w:rPr>
        <w:t>(</w:t>
      </w:r>
      <w:r w:rsidR="008B7275" w:rsidRPr="007C4D65">
        <w:rPr>
          <w:rFonts w:asciiTheme="minorHAnsi" w:eastAsiaTheme="minorHAnsi" w:hAnsiTheme="minorHAnsi" w:cstheme="minorHAnsi"/>
          <w:sz w:val="22"/>
          <w:szCs w:val="22"/>
        </w:rPr>
        <w:t>"</w:t>
      </w:r>
      <w:r w:rsidR="00116A22" w:rsidRPr="007C4D65">
        <w:rPr>
          <w:rFonts w:asciiTheme="minorHAnsi" w:eastAsiaTheme="minorHAnsi" w:hAnsiTheme="minorHAnsi" w:cstheme="minorHAnsi"/>
          <w:sz w:val="22"/>
          <w:szCs w:val="22"/>
        </w:rPr>
        <w:t>Official Gazette of the Federation of BiH</w:t>
      </w:r>
      <w:r w:rsidR="008B7275" w:rsidRPr="007C4D65">
        <w:rPr>
          <w:rFonts w:asciiTheme="minorHAnsi" w:eastAsiaTheme="minorHAnsi" w:hAnsiTheme="minorHAnsi" w:cstheme="minorHAnsi"/>
          <w:sz w:val="22"/>
          <w:szCs w:val="22"/>
        </w:rPr>
        <w:t>"</w:t>
      </w:r>
      <w:r w:rsidR="00CD728D" w:rsidRPr="007C4D65">
        <w:rPr>
          <w:rFonts w:asciiTheme="minorHAnsi" w:eastAsiaTheme="minorHAnsi" w:hAnsiTheme="minorHAnsi" w:cstheme="minorHAnsi"/>
          <w:sz w:val="22"/>
          <w:szCs w:val="22"/>
        </w:rPr>
        <w:t xml:space="preserve"> 92/14)</w:t>
      </w:r>
      <w:r w:rsidR="00B7652E" w:rsidRPr="007C4D65">
        <w:rPr>
          <w:rFonts w:asciiTheme="minorHAnsi" w:eastAsiaTheme="minorHAnsi" w:hAnsiTheme="minorHAnsi" w:cstheme="minorHAnsi"/>
          <w:sz w:val="22"/>
          <w:szCs w:val="22"/>
        </w:rPr>
        <w:fldChar w:fldCharType="end"/>
      </w:r>
      <w:r w:rsidRPr="007C4D65">
        <w:rPr>
          <w:rFonts w:asciiTheme="minorHAnsi" w:hAnsiTheme="minorHAnsi" w:cstheme="minorHAnsi"/>
          <w:sz w:val="22"/>
          <w:szCs w:val="22"/>
        </w:rPr>
        <w:t xml:space="preserve"> four monuments of nature (9,207 ha), two nature parks (43,624.07 ha), and five protected landscapes 14,417.59 ha). This makes 12 protected areas with a total ar</w:t>
      </w:r>
      <w:r w:rsidR="00C33249" w:rsidRPr="007C4D65">
        <w:rPr>
          <w:rFonts w:asciiTheme="minorHAnsi" w:hAnsiTheme="minorHAnsi" w:cstheme="minorHAnsi"/>
          <w:sz w:val="22"/>
          <w:szCs w:val="22"/>
        </w:rPr>
        <w:t>ea</w:t>
      </w:r>
      <w:r w:rsidRPr="007C4D65">
        <w:rPr>
          <w:rFonts w:asciiTheme="minorHAnsi" w:hAnsiTheme="minorHAnsi" w:cstheme="minorHAnsi"/>
          <w:sz w:val="22"/>
          <w:szCs w:val="22"/>
        </w:rPr>
        <w:t xml:space="preserve"> of 103.875,74 ha </w:t>
      </w:r>
      <w:r w:rsidR="00B7652E" w:rsidRPr="007C4D65">
        <w:rPr>
          <w:rFonts w:asciiTheme="minorHAnsi" w:eastAsiaTheme="minorHAnsi" w:hAnsiTheme="minorHAnsi" w:cstheme="minorHAnsi"/>
          <w:sz w:val="22"/>
          <w:szCs w:val="22"/>
        </w:rPr>
        <w:fldChar w:fldCharType="begin"/>
      </w:r>
      <w:r w:rsidR="00CE1A95" w:rsidRPr="007C4D65">
        <w:rPr>
          <w:rFonts w:asciiTheme="minorHAnsi" w:eastAsiaTheme="minorHAnsi" w:hAnsiTheme="minorHAnsi" w:cstheme="minorHAnsi"/>
          <w:sz w:val="22"/>
          <w:szCs w:val="22"/>
        </w:rPr>
        <w:instrText xml:space="preserve"> ADDIN ZOTERO_ITEM CSL_CITATION {"citationID":"apf6RkhE","properties":{"formattedCitation":"(Federalno ministarstvo okoli\\uc0\\u353{}a i turizma 2020)","plainCitation":"(Federalno ministarstvo okoliša i turizma 2020)","noteIndex":0},"citationItems":[{"id":1471,"uris":["http://zotero.org/users/7192877/items/PUAEMX75"],"itemData":{"id":1471,"type":"document","title":"Zaštićena područja prirode Federacije BiH","URL":"https://www.fmoit.gov.ba/bs/okolis/zastita-prirode/zasticeni-dijelovi-prirode","author":[{"family":"Federalno ministarstvo okoliša i turizma","given":""}],"issued":{"date-parts":[["2020"]]}}}],"schema":"https://github.com/citation-style-language/schema/raw/master/csl-citation.json"} </w:instrText>
      </w:r>
      <w:r w:rsidR="00B7652E" w:rsidRPr="007C4D65">
        <w:rPr>
          <w:rFonts w:asciiTheme="minorHAnsi" w:eastAsiaTheme="minorHAnsi" w:hAnsiTheme="minorHAnsi" w:cstheme="minorHAnsi"/>
          <w:sz w:val="22"/>
          <w:szCs w:val="22"/>
        </w:rPr>
        <w:fldChar w:fldCharType="separate"/>
      </w:r>
      <w:r w:rsidR="00CE1A95" w:rsidRPr="007C4D65">
        <w:rPr>
          <w:rFonts w:asciiTheme="minorHAnsi" w:hAnsiTheme="minorHAnsi" w:cstheme="minorHAnsi"/>
          <w:sz w:val="22"/>
          <w:szCs w:val="22"/>
        </w:rPr>
        <w:t>(</w:t>
      </w:r>
      <w:r w:rsidR="001E6E20" w:rsidRPr="007C4D65">
        <w:rPr>
          <w:rFonts w:asciiTheme="minorHAnsi" w:hAnsiTheme="minorHAnsi" w:cstheme="minorHAnsi"/>
          <w:sz w:val="22"/>
          <w:szCs w:val="22"/>
        </w:rPr>
        <w:t>Federation Ministry</w:t>
      </w:r>
      <w:r w:rsidR="00E87DA4" w:rsidRPr="007C4D65">
        <w:rPr>
          <w:rFonts w:asciiTheme="minorHAnsi" w:hAnsiTheme="minorHAnsi" w:cstheme="minorHAnsi"/>
          <w:sz w:val="22"/>
          <w:szCs w:val="22"/>
        </w:rPr>
        <w:t xml:space="preserve"> of Environment and Tourism</w:t>
      </w:r>
      <w:r w:rsidR="00EE0457" w:rsidRPr="007C4D65">
        <w:rPr>
          <w:rFonts w:asciiTheme="minorHAnsi" w:hAnsiTheme="minorHAnsi" w:cstheme="minorHAnsi"/>
          <w:sz w:val="22"/>
          <w:szCs w:val="22"/>
        </w:rPr>
        <w:t>,</w:t>
      </w:r>
      <w:r w:rsidR="00CE1A95" w:rsidRPr="007C4D65">
        <w:rPr>
          <w:rFonts w:asciiTheme="minorHAnsi" w:hAnsiTheme="minorHAnsi" w:cstheme="minorHAnsi"/>
          <w:sz w:val="22"/>
          <w:szCs w:val="22"/>
        </w:rPr>
        <w:t xml:space="preserve"> 2020)</w:t>
      </w:r>
      <w:r w:rsidR="00B7652E" w:rsidRPr="007C4D65">
        <w:rPr>
          <w:rFonts w:asciiTheme="minorHAnsi" w:eastAsiaTheme="minorHAnsi" w:hAnsiTheme="minorHAnsi" w:cstheme="minorHAnsi"/>
          <w:sz w:val="22"/>
          <w:szCs w:val="22"/>
        </w:rPr>
        <w:fldChar w:fldCharType="end"/>
      </w:r>
      <w:r w:rsidRPr="007C4D65">
        <w:rPr>
          <w:rFonts w:asciiTheme="minorHAnsi" w:hAnsiTheme="minorHAnsi" w:cstheme="minorHAnsi"/>
          <w:sz w:val="22"/>
          <w:szCs w:val="22"/>
        </w:rPr>
        <w:t xml:space="preserve">. The protected landscape </w:t>
      </w:r>
      <w:proofErr w:type="spellStart"/>
      <w:r w:rsidRPr="007C4D65">
        <w:rPr>
          <w:rFonts w:asciiTheme="minorHAnsi" w:hAnsiTheme="minorHAnsi" w:cstheme="minorHAnsi"/>
          <w:sz w:val="22"/>
          <w:szCs w:val="22"/>
        </w:rPr>
        <w:t>Vjetrenica</w:t>
      </w:r>
      <w:proofErr w:type="spellEnd"/>
      <w:r w:rsidRPr="007C4D65">
        <w:rPr>
          <w:rFonts w:asciiTheme="minorHAnsi" w:hAnsiTheme="minorHAnsi" w:cstheme="minorHAnsi"/>
          <w:sz w:val="22"/>
          <w:szCs w:val="22"/>
        </w:rPr>
        <w:t xml:space="preserve"> ‒ </w:t>
      </w:r>
      <w:proofErr w:type="spellStart"/>
      <w:r w:rsidRPr="007C4D65">
        <w:rPr>
          <w:rFonts w:asciiTheme="minorHAnsi" w:hAnsiTheme="minorHAnsi" w:cstheme="minorHAnsi"/>
          <w:sz w:val="22"/>
          <w:szCs w:val="22"/>
        </w:rPr>
        <w:t>Popovo</w:t>
      </w:r>
      <w:proofErr w:type="spellEnd"/>
      <w:r w:rsidRPr="007C4D65">
        <w:rPr>
          <w:rFonts w:asciiTheme="minorHAnsi" w:hAnsiTheme="minorHAnsi" w:cstheme="minorHAnsi"/>
          <w:sz w:val="22"/>
          <w:szCs w:val="22"/>
        </w:rPr>
        <w:t xml:space="preserve"> Polje, with an area of 4.712,19 ha is the most recent protected area </w:t>
      </w:r>
      <w:r w:rsidR="00B7652E" w:rsidRPr="007C4D65">
        <w:rPr>
          <w:rFonts w:asciiTheme="minorHAnsi" w:eastAsiaTheme="minorHAnsi" w:hAnsiTheme="minorHAnsi" w:cstheme="minorHAnsi"/>
          <w:sz w:val="22"/>
          <w:szCs w:val="22"/>
        </w:rPr>
        <w:fldChar w:fldCharType="begin"/>
      </w:r>
      <w:r w:rsidR="00CE1A95" w:rsidRPr="007C4D65">
        <w:rPr>
          <w:rFonts w:asciiTheme="minorHAnsi" w:eastAsiaTheme="minorHAnsi" w:hAnsiTheme="minorHAnsi" w:cstheme="minorHAnsi"/>
          <w:sz w:val="22"/>
          <w:szCs w:val="22"/>
        </w:rPr>
        <w:instrText xml:space="preserve"> ADDIN ZOTERO_ITEM CSL_CITATION {"citationID":"ML0vzr7T","properties":{"formattedCitation":"(Skup\\uc0\\u353{}tina Hercegova\\uc0\\u269{}ko-neretvanskog kantona 2021)","plainCitation":"(Skupština Hercegovačko-neretvanskog kantona 2021)","noteIndex":0},"citationItems":[{"id":1472,"uris":["http://zotero.org/users/7192877/items/37CN3A7F"],"itemData":{"id":1472,"type":"document","title":"Odluka o proglašenju špilje Vjetrenica sa dijelom popovog Polja zaštićenim pejzažom/krajolikom \"Vjetrenica-Popovo Polje\"","URL":"https://www.federalna.ba/skupstina-usvojila-prostorni-plan-hnk-a-44ihp","author":[{"family":"Skupština Hercegovačko-neretvanskog kantona","given":""}],"issued":{"date-parts":[["2021"]]}}}],"schema":"https://github.com/citation-style-language/schema/raw/master/csl-citation.json"} </w:instrText>
      </w:r>
      <w:r w:rsidR="00B7652E" w:rsidRPr="007C4D65">
        <w:rPr>
          <w:rFonts w:asciiTheme="minorHAnsi" w:eastAsiaTheme="minorHAnsi" w:hAnsiTheme="minorHAnsi" w:cstheme="minorHAnsi"/>
          <w:sz w:val="22"/>
          <w:szCs w:val="22"/>
        </w:rPr>
        <w:fldChar w:fldCharType="separate"/>
      </w:r>
      <w:r w:rsidR="00CE1A95" w:rsidRPr="007C4D65">
        <w:rPr>
          <w:rFonts w:asciiTheme="minorHAnsi" w:hAnsiTheme="minorHAnsi" w:cstheme="minorHAnsi"/>
          <w:sz w:val="22"/>
          <w:szCs w:val="22"/>
        </w:rPr>
        <w:t>(</w:t>
      </w:r>
      <w:r w:rsidR="00C33249" w:rsidRPr="007C4D65">
        <w:rPr>
          <w:rFonts w:asciiTheme="minorHAnsi" w:hAnsiTheme="minorHAnsi" w:cstheme="minorHAnsi"/>
          <w:sz w:val="22"/>
          <w:szCs w:val="22"/>
        </w:rPr>
        <w:t>Assembly of the Herzegovina-Neretva Canton</w:t>
      </w:r>
      <w:r w:rsidR="00EE0457" w:rsidRPr="007C4D65">
        <w:rPr>
          <w:rFonts w:asciiTheme="minorHAnsi" w:hAnsiTheme="minorHAnsi" w:cstheme="minorHAnsi"/>
          <w:sz w:val="22"/>
          <w:szCs w:val="22"/>
        </w:rPr>
        <w:t>,</w:t>
      </w:r>
      <w:r w:rsidR="00CE1A95" w:rsidRPr="007C4D65">
        <w:rPr>
          <w:rFonts w:asciiTheme="minorHAnsi" w:hAnsiTheme="minorHAnsi" w:cstheme="minorHAnsi"/>
          <w:sz w:val="22"/>
          <w:szCs w:val="22"/>
        </w:rPr>
        <w:t xml:space="preserve"> 2021)</w:t>
      </w:r>
      <w:r w:rsidR="00B7652E" w:rsidRPr="007C4D65">
        <w:rPr>
          <w:rFonts w:asciiTheme="minorHAnsi" w:eastAsiaTheme="minorHAnsi" w:hAnsiTheme="minorHAnsi" w:cstheme="minorHAnsi"/>
          <w:sz w:val="22"/>
          <w:szCs w:val="22"/>
        </w:rPr>
        <w:fldChar w:fldCharType="end"/>
      </w:r>
      <w:r w:rsidRPr="007C4D65">
        <w:rPr>
          <w:rFonts w:asciiTheme="minorHAnsi" w:hAnsiTheme="minorHAnsi" w:cstheme="minorHAnsi"/>
          <w:sz w:val="22"/>
          <w:szCs w:val="22"/>
        </w:rPr>
        <w:t>.</w:t>
      </w:r>
      <w:bookmarkEnd w:id="106"/>
    </w:p>
    <w:p w14:paraId="3A2BD1B1" w14:textId="24462E31" w:rsidR="005E22EF" w:rsidRPr="007C4D65" w:rsidRDefault="005E22EF" w:rsidP="0068355A">
      <w:pPr>
        <w:spacing w:before="240" w:after="240" w:line="276" w:lineRule="auto"/>
        <w:jc w:val="both"/>
        <w:rPr>
          <w:rFonts w:asciiTheme="minorHAnsi" w:eastAsiaTheme="minorHAnsi" w:hAnsiTheme="minorHAnsi" w:cstheme="minorHAnsi"/>
          <w:sz w:val="22"/>
          <w:szCs w:val="22"/>
        </w:rPr>
      </w:pPr>
      <w:proofErr w:type="gramStart"/>
      <w:r w:rsidRPr="007C4D65">
        <w:rPr>
          <w:rFonts w:asciiTheme="minorHAnsi" w:hAnsiTheme="minorHAnsi" w:cstheme="minorHAnsi"/>
          <w:sz w:val="22"/>
          <w:szCs w:val="22"/>
        </w:rPr>
        <w:t>In order to</w:t>
      </w:r>
      <w:proofErr w:type="gramEnd"/>
      <w:r w:rsidRPr="007C4D65">
        <w:rPr>
          <w:rFonts w:asciiTheme="minorHAnsi" w:hAnsiTheme="minorHAnsi" w:cstheme="minorHAnsi"/>
          <w:sz w:val="22"/>
          <w:szCs w:val="22"/>
        </w:rPr>
        <w:t xml:space="preserve"> protect species diversity, many species of flora, fauna and fungi were included in the Entity’s Red List because they are endangered in some respects. The list includes 658 plant species, 27 species of mammals, 40 bird species, 6 species of reptiles, 4 species of amphibians, 36 fish species, </w:t>
      </w:r>
      <w:r w:rsidRPr="007C4D65">
        <w:rPr>
          <w:rFonts w:asciiTheme="minorHAnsi" w:hAnsiTheme="minorHAnsi" w:cstheme="minorHAnsi"/>
          <w:sz w:val="22"/>
          <w:szCs w:val="22"/>
        </w:rPr>
        <w:lastRenderedPageBreak/>
        <w:t xml:space="preserve">and a large number of different groups of invertebrates </w:t>
      </w:r>
      <w:r w:rsidR="002D69A0" w:rsidRPr="007C4D65">
        <w:rPr>
          <w:rFonts w:asciiTheme="minorHAnsi" w:eastAsiaTheme="minorHAnsi" w:hAnsiTheme="minorHAnsi" w:cstheme="minorHAnsi"/>
          <w:sz w:val="22"/>
          <w:szCs w:val="22"/>
        </w:rPr>
        <w:fldChar w:fldCharType="begin"/>
      </w:r>
      <w:r w:rsidR="00CE1A95" w:rsidRPr="007C4D65">
        <w:rPr>
          <w:rFonts w:asciiTheme="minorHAnsi" w:eastAsiaTheme="minorHAnsi" w:hAnsiTheme="minorHAnsi" w:cstheme="minorHAnsi"/>
          <w:sz w:val="22"/>
          <w:szCs w:val="22"/>
        </w:rPr>
        <w:instrText xml:space="preserve"> ADDIN ZOTERO_ITEM CSL_CITATION {"citationID":"Dj7Fudd4","properties":{"formattedCitation":"(Sl. glasnik FBiH, br. 7/14 2014)","plainCitation":"(Sl. glasnik FBiH, br. 7/14 2014)","dontUpdate":true,"noteIndex":0},"citationItems":[{"id":1473,"uris":["http://zotero.org/users/7192877/items/IY554ZFH"],"itemData":{"id":1473,"type":"document","title":"Crvena lista ugroženih divljih vrsta i podvrsta biljaka, životinja i gljiva","URL":"https://www.fmoit.gov.ba/upload/file/2020/7__Crvena%20lista%20ugro%C5%BEenih%20divljih%20vrsta%20i%20podvrsta%20biljaka%2C%20%C5%BEivotinja%20i%20gljiva%20(Slu%C5%BEbene%20novine%20Federacije%20BiH%2C%20broj%207_14).pdf","author":[{"family":"\"Sl. novine Federacije BiH\", broj 7/14","given":""}],"issued":{"date-parts":[["2014"]]}}}],"schema":"https://github.com/citation-style-language/schema/raw/master/csl-citation.json"} </w:instrText>
      </w:r>
      <w:r w:rsidR="002D69A0" w:rsidRPr="007C4D65">
        <w:rPr>
          <w:rFonts w:asciiTheme="minorHAnsi" w:eastAsiaTheme="minorHAnsi" w:hAnsiTheme="minorHAnsi" w:cstheme="minorHAnsi"/>
          <w:sz w:val="22"/>
          <w:szCs w:val="22"/>
        </w:rPr>
        <w:fldChar w:fldCharType="separate"/>
      </w:r>
      <w:r w:rsidR="003D5751" w:rsidRPr="007C4D65">
        <w:rPr>
          <w:rFonts w:asciiTheme="minorHAnsi" w:eastAsiaTheme="minorHAnsi" w:hAnsiTheme="minorHAnsi" w:cstheme="minorHAnsi"/>
          <w:sz w:val="22"/>
          <w:szCs w:val="22"/>
        </w:rPr>
        <w:t>(</w:t>
      </w:r>
      <w:r w:rsidR="00EE0457" w:rsidRPr="007C4D65">
        <w:rPr>
          <w:rFonts w:asciiTheme="minorHAnsi" w:eastAsiaTheme="minorHAnsi" w:hAnsiTheme="minorHAnsi" w:cstheme="minorHAnsi"/>
          <w:sz w:val="22"/>
          <w:szCs w:val="22"/>
        </w:rPr>
        <w:t>"</w:t>
      </w:r>
      <w:r w:rsidR="00116A22" w:rsidRPr="007C4D65">
        <w:rPr>
          <w:rFonts w:asciiTheme="minorHAnsi" w:eastAsiaTheme="minorHAnsi" w:hAnsiTheme="minorHAnsi" w:cstheme="minorHAnsi"/>
          <w:sz w:val="22"/>
          <w:szCs w:val="22"/>
        </w:rPr>
        <w:t>Official Gazette of the Federation of BiH</w:t>
      </w:r>
      <w:r w:rsidR="00EE0457" w:rsidRPr="007C4D65">
        <w:rPr>
          <w:rFonts w:asciiTheme="minorHAnsi" w:eastAsiaTheme="minorHAnsi" w:hAnsiTheme="minorHAnsi" w:cstheme="minorHAnsi"/>
          <w:sz w:val="22"/>
          <w:szCs w:val="22"/>
        </w:rPr>
        <w:t>"</w:t>
      </w:r>
      <w:r w:rsidR="003D5751" w:rsidRPr="007C4D65">
        <w:rPr>
          <w:rFonts w:asciiTheme="minorHAnsi" w:eastAsiaTheme="minorHAnsi" w:hAnsiTheme="minorHAnsi" w:cstheme="minorHAnsi"/>
          <w:sz w:val="22"/>
          <w:szCs w:val="22"/>
        </w:rPr>
        <w:t>, 7/14)</w:t>
      </w:r>
      <w:r w:rsidR="002D69A0" w:rsidRPr="007C4D65">
        <w:rPr>
          <w:rFonts w:asciiTheme="minorHAnsi" w:eastAsiaTheme="minorHAnsi" w:hAnsiTheme="minorHAnsi" w:cstheme="minorHAnsi"/>
          <w:sz w:val="22"/>
          <w:szCs w:val="22"/>
        </w:rPr>
        <w:fldChar w:fldCharType="end"/>
      </w:r>
      <w:r w:rsidRPr="007C4D65">
        <w:rPr>
          <w:rFonts w:asciiTheme="minorHAnsi" w:hAnsiTheme="minorHAnsi" w:cstheme="minorHAnsi"/>
          <w:sz w:val="22"/>
          <w:szCs w:val="22"/>
        </w:rPr>
        <w:t xml:space="preserve"> </w:t>
      </w:r>
      <w:r w:rsidR="001B4E0A" w:rsidRPr="007C4D65">
        <w:rPr>
          <w:rFonts w:asciiTheme="minorHAnsi" w:hAnsiTheme="minorHAnsi" w:cstheme="minorHAnsi"/>
          <w:b/>
          <w:i/>
          <w:sz w:val="22"/>
          <w:szCs w:val="22"/>
        </w:rPr>
        <w:t xml:space="preserve"> </w:t>
      </w:r>
      <w:r w:rsidR="00C33249" w:rsidRPr="007C4D65">
        <w:rPr>
          <w:rFonts w:asciiTheme="minorHAnsi" w:hAnsiTheme="minorHAnsi" w:cstheme="minorHAnsi"/>
          <w:b/>
          <w:i/>
          <w:sz w:val="22"/>
          <w:szCs w:val="22"/>
        </w:rPr>
        <w:t>T</w:t>
      </w:r>
      <w:r w:rsidRPr="007C4D65">
        <w:rPr>
          <w:rFonts w:asciiTheme="minorHAnsi" w:hAnsiTheme="minorHAnsi" w:cstheme="minorHAnsi"/>
          <w:b/>
          <w:i/>
          <w:sz w:val="22"/>
          <w:szCs w:val="22"/>
        </w:rPr>
        <w:t xml:space="preserve">able </w:t>
      </w:r>
      <w:r w:rsidR="001B27C0" w:rsidRPr="007C4D65">
        <w:rPr>
          <w:rFonts w:asciiTheme="minorHAnsi" w:eastAsiaTheme="minorHAnsi" w:hAnsiTheme="minorHAnsi" w:cstheme="minorHAnsi"/>
          <w:b/>
          <w:i/>
          <w:sz w:val="22"/>
          <w:szCs w:val="22"/>
        </w:rPr>
        <w:fldChar w:fldCharType="begin"/>
      </w:r>
      <w:r w:rsidR="001B27C0" w:rsidRPr="007C4D65">
        <w:rPr>
          <w:rFonts w:asciiTheme="minorHAnsi" w:eastAsiaTheme="minorHAnsi" w:hAnsiTheme="minorHAnsi" w:cstheme="minorHAnsi"/>
          <w:b/>
          <w:i/>
          <w:sz w:val="22"/>
          <w:szCs w:val="22"/>
        </w:rPr>
        <w:instrText xml:space="preserve"> REF tabela13 \h  \* MERGEFORMAT </w:instrText>
      </w:r>
      <w:r w:rsidR="001B27C0" w:rsidRPr="007C4D65">
        <w:rPr>
          <w:rFonts w:asciiTheme="minorHAnsi" w:eastAsiaTheme="minorHAnsi" w:hAnsiTheme="minorHAnsi" w:cstheme="minorHAnsi"/>
          <w:b/>
          <w:i/>
          <w:sz w:val="22"/>
          <w:szCs w:val="22"/>
        </w:rPr>
      </w:r>
      <w:r w:rsidR="001B27C0" w:rsidRPr="007C4D65">
        <w:rPr>
          <w:rFonts w:asciiTheme="minorHAnsi" w:eastAsiaTheme="minorHAnsi" w:hAnsiTheme="minorHAnsi" w:cstheme="minorHAnsi"/>
          <w:b/>
          <w:i/>
          <w:sz w:val="22"/>
          <w:szCs w:val="22"/>
        </w:rPr>
        <w:fldChar w:fldCharType="separate"/>
      </w:r>
      <w:r w:rsidR="00005022" w:rsidRPr="007C4D65">
        <w:rPr>
          <w:rFonts w:asciiTheme="minorHAnsi" w:hAnsiTheme="minorHAnsi" w:cstheme="minorHAnsi"/>
          <w:b/>
          <w:i/>
          <w:sz w:val="22"/>
          <w:szCs w:val="22"/>
        </w:rPr>
        <w:t>13</w:t>
      </w:r>
      <w:r w:rsidR="001B27C0" w:rsidRPr="007C4D65">
        <w:rPr>
          <w:rFonts w:asciiTheme="minorHAnsi" w:eastAsiaTheme="minorHAnsi" w:hAnsiTheme="minorHAnsi" w:cstheme="minorHAnsi"/>
          <w:b/>
          <w:i/>
          <w:sz w:val="22"/>
          <w:szCs w:val="22"/>
        </w:rPr>
        <w:fldChar w:fldCharType="end"/>
      </w:r>
      <w:r w:rsidRPr="007C4D65">
        <w:rPr>
          <w:rFonts w:asciiTheme="minorHAnsi" w:hAnsiTheme="minorHAnsi" w:cstheme="minorHAnsi"/>
          <w:sz w:val="22"/>
          <w:szCs w:val="22"/>
        </w:rPr>
        <w:t xml:space="preserve">. </w:t>
      </w:r>
      <w:r w:rsidR="00697667" w:rsidRPr="007C4D65">
        <w:rPr>
          <w:rFonts w:asciiTheme="minorHAnsi" w:hAnsiTheme="minorHAnsi" w:cstheme="minorHAnsi"/>
          <w:sz w:val="22"/>
          <w:szCs w:val="22"/>
        </w:rPr>
        <w:t>The ratio</w:t>
      </w:r>
      <w:r w:rsidRPr="007C4D65">
        <w:rPr>
          <w:rFonts w:asciiTheme="minorHAnsi" w:hAnsiTheme="minorHAnsi" w:cstheme="minorHAnsi"/>
          <w:sz w:val="22"/>
          <w:szCs w:val="22"/>
        </w:rPr>
        <w:t xml:space="preserve"> of the total number of species in certain groups of organisms throughout BiH, under the assumption that most of those species are also widespread in the FBiH, show that almost one fifth of the species is under a certain level of threat and risk. After the Red List of species had been officially published, the Federation of BiH adopted the Rulebook on the Protection Measures for Strictly Protected and Protected Species and Subspecies </w:t>
      </w:r>
      <w:r w:rsidR="00F66549" w:rsidRPr="007C4D65">
        <w:rPr>
          <w:rFonts w:asciiTheme="minorHAnsi" w:eastAsiaTheme="minorHAnsi" w:hAnsiTheme="minorHAnsi" w:cstheme="minorHAnsi"/>
          <w:sz w:val="22"/>
          <w:szCs w:val="22"/>
        </w:rPr>
        <w:fldChar w:fldCharType="begin"/>
      </w:r>
      <w:r w:rsidR="00CE1A95" w:rsidRPr="007C4D65">
        <w:rPr>
          <w:rFonts w:asciiTheme="minorHAnsi" w:eastAsiaTheme="minorHAnsi" w:hAnsiTheme="minorHAnsi" w:cstheme="minorHAnsi"/>
          <w:sz w:val="22"/>
          <w:szCs w:val="22"/>
        </w:rPr>
        <w:instrText xml:space="preserve"> ADDIN ZOTERO_ITEM CSL_CITATION {"citationID":"u6qNKayM","properties":{"formattedCitation":"(Sl. glasnik FBiH 21/20 2020)","plainCitation":"(Sl. glasnik FBiH 21/20 2020)","dontUpdate":true,"noteIndex":0},"citationItems":[{"id":1474,"uris":["http://zotero.org/users/7192877/items/UTPW2PJY"],"itemData":{"id":1474,"type":"legislation","title":"Pravilnik o mjerama zaštite za strogo zaštićene i zaštićene vrste i podvrste i zaštićene vrste i podvrste","URL":"https://www.fmoit.gov.ba/upload/file/2020/PRAVILNIK%20O%20MJERAMA%20ZA%C5%A0TITE%20ZA%20STROGO%20ZA%C5%A0TI%C4%86ENE%20VRSTE%20I%20PODVRSTE%20I%20ZA%C5%A0TI%C4%86ENE%20VRSTE%20I%20PODVRSTE%2021_20.pdf","author":[{"family":"\"Sl. novine Federacije BiH\", broj 21/20","given":""}],"issued":{"date-parts":[["2020"]]}}}],"schema":"https://github.com/citation-style-language/schema/raw/master/csl-citation.json"} </w:instrText>
      </w:r>
      <w:r w:rsidR="00F66549" w:rsidRPr="007C4D65">
        <w:rPr>
          <w:rFonts w:asciiTheme="minorHAnsi" w:eastAsiaTheme="minorHAnsi" w:hAnsiTheme="minorHAnsi" w:cstheme="minorHAnsi"/>
          <w:sz w:val="22"/>
          <w:szCs w:val="22"/>
        </w:rPr>
        <w:fldChar w:fldCharType="separate"/>
      </w:r>
      <w:r w:rsidR="00F66549" w:rsidRPr="007C4D65">
        <w:rPr>
          <w:rFonts w:asciiTheme="minorHAnsi" w:eastAsiaTheme="minorHAnsi" w:hAnsiTheme="minorHAnsi" w:cstheme="minorHAnsi"/>
          <w:sz w:val="22"/>
          <w:szCs w:val="22"/>
        </w:rPr>
        <w:t>(</w:t>
      </w:r>
      <w:r w:rsidR="00EE0457" w:rsidRPr="007C4D65">
        <w:rPr>
          <w:rFonts w:asciiTheme="minorHAnsi" w:eastAsiaTheme="minorHAnsi" w:hAnsiTheme="minorHAnsi" w:cstheme="minorHAnsi"/>
          <w:sz w:val="22"/>
          <w:szCs w:val="22"/>
        </w:rPr>
        <w:t>"</w:t>
      </w:r>
      <w:r w:rsidR="00116A22" w:rsidRPr="007C4D65">
        <w:rPr>
          <w:rFonts w:asciiTheme="minorHAnsi" w:eastAsiaTheme="minorHAnsi" w:hAnsiTheme="minorHAnsi" w:cstheme="minorHAnsi"/>
          <w:sz w:val="22"/>
          <w:szCs w:val="22"/>
        </w:rPr>
        <w:t xml:space="preserve">Official Gazette of the </w:t>
      </w:r>
      <w:r w:rsidR="007F4BA8" w:rsidRPr="007C4D65">
        <w:rPr>
          <w:rFonts w:asciiTheme="minorHAnsi" w:eastAsiaTheme="minorHAnsi" w:hAnsiTheme="minorHAnsi" w:cstheme="minorHAnsi"/>
          <w:sz w:val="22"/>
          <w:szCs w:val="22"/>
        </w:rPr>
        <w:t xml:space="preserve">Federation of BiH“, </w:t>
      </w:r>
      <w:r w:rsidR="00F66549" w:rsidRPr="007C4D65">
        <w:rPr>
          <w:rFonts w:asciiTheme="minorHAnsi" w:eastAsiaTheme="minorHAnsi" w:hAnsiTheme="minorHAnsi" w:cstheme="minorHAnsi"/>
          <w:sz w:val="22"/>
          <w:szCs w:val="22"/>
        </w:rPr>
        <w:t>21/20)</w:t>
      </w:r>
      <w:r w:rsidR="00F66549" w:rsidRPr="007C4D65">
        <w:rPr>
          <w:rFonts w:asciiTheme="minorHAnsi" w:eastAsiaTheme="minorHAnsi" w:hAnsiTheme="minorHAnsi" w:cstheme="minorHAnsi"/>
          <w:sz w:val="22"/>
          <w:szCs w:val="22"/>
        </w:rPr>
        <w:fldChar w:fldCharType="end"/>
      </w:r>
      <w:r w:rsidRPr="007C4D65">
        <w:rPr>
          <w:rFonts w:asciiTheme="minorHAnsi" w:hAnsiTheme="minorHAnsi" w:cstheme="minorHAnsi"/>
          <w:sz w:val="22"/>
          <w:szCs w:val="22"/>
        </w:rPr>
        <w:t>. The implementation of this Rulebook, as well as the establishment of new protected areas represent real challenges for the Federation of BiH, both in terms of funding of the protection measures and in terms of available human and technical capacities.</w:t>
      </w:r>
    </w:p>
    <w:p w14:paraId="3E1843B3" w14:textId="6C094205" w:rsidR="005E22EF" w:rsidRPr="007C4D65" w:rsidRDefault="001B27C0" w:rsidP="0068355A">
      <w:pPr>
        <w:pStyle w:val="Caption"/>
        <w:spacing w:line="276" w:lineRule="auto"/>
        <w:rPr>
          <w:rFonts w:asciiTheme="minorHAnsi" w:hAnsiTheme="minorHAnsi" w:cstheme="minorHAnsi"/>
          <w:b w:val="0"/>
          <w:i w:val="0"/>
          <w:iCs w:val="0"/>
          <w:szCs w:val="20"/>
        </w:rPr>
      </w:pPr>
      <w:bookmarkStart w:id="107" w:name="_Toc117011592"/>
      <w:r w:rsidRPr="007C4D65">
        <w:rPr>
          <w:rFonts w:asciiTheme="minorHAnsi" w:hAnsiTheme="minorHAnsi" w:cstheme="minorHAnsi"/>
        </w:rPr>
        <w:t xml:space="preserve">Table </w:t>
      </w:r>
      <w:bookmarkStart w:id="108" w:name="tabela13"/>
      <w:r w:rsidRPr="007C4D65">
        <w:rPr>
          <w:rFonts w:asciiTheme="minorHAnsi" w:hAnsiTheme="minorHAnsi" w:cstheme="minorHAnsi"/>
        </w:rPr>
        <w:fldChar w:fldCharType="begin"/>
      </w:r>
      <w:r w:rsidRPr="007C4D65">
        <w:rPr>
          <w:rFonts w:asciiTheme="minorHAnsi" w:hAnsiTheme="minorHAnsi" w:cstheme="minorHAnsi"/>
        </w:rPr>
        <w:instrText xml:space="preserve"> SEQ Tabela \* ARABIC </w:instrText>
      </w:r>
      <w:r w:rsidRPr="007C4D65">
        <w:rPr>
          <w:rFonts w:asciiTheme="minorHAnsi" w:hAnsiTheme="minorHAnsi" w:cstheme="minorHAnsi"/>
        </w:rPr>
        <w:fldChar w:fldCharType="separate"/>
      </w:r>
      <w:r w:rsidR="00005022" w:rsidRPr="007C4D65">
        <w:rPr>
          <w:rFonts w:asciiTheme="minorHAnsi" w:hAnsiTheme="minorHAnsi" w:cstheme="minorHAnsi"/>
          <w:noProof/>
        </w:rPr>
        <w:t>13</w:t>
      </w:r>
      <w:r w:rsidRPr="007C4D65">
        <w:rPr>
          <w:rFonts w:asciiTheme="minorHAnsi" w:hAnsiTheme="minorHAnsi" w:cstheme="minorHAnsi"/>
        </w:rPr>
        <w:fldChar w:fldCharType="end"/>
      </w:r>
      <w:bookmarkEnd w:id="108"/>
      <w:r w:rsidRPr="007C4D65">
        <w:rPr>
          <w:rFonts w:asciiTheme="minorHAnsi" w:hAnsiTheme="minorHAnsi" w:cstheme="minorHAnsi"/>
        </w:rPr>
        <w:t xml:space="preserve">: </w:t>
      </w:r>
      <w:r w:rsidRPr="007C4D65">
        <w:rPr>
          <w:rFonts w:asciiTheme="minorHAnsi" w:hAnsiTheme="minorHAnsi" w:cstheme="minorHAnsi"/>
          <w:b w:val="0"/>
        </w:rPr>
        <w:t>The ratio of the total number of species of certain groups of organisms and the number of endangered species in the FBiH</w:t>
      </w:r>
      <w:bookmarkEnd w:id="107"/>
    </w:p>
    <w:tbl>
      <w:tblPr>
        <w:tblStyle w:val="TABLICAHAOP1"/>
        <w:tblW w:w="486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01"/>
        <w:gridCol w:w="3514"/>
        <w:gridCol w:w="3158"/>
      </w:tblGrid>
      <w:tr w:rsidR="005E22EF" w:rsidRPr="007C4D65" w14:paraId="22A4F820" w14:textId="77777777" w:rsidTr="00C67E3E">
        <w:trPr>
          <w:trHeight w:val="323"/>
          <w:tblHeader/>
          <w:jc w:val="center"/>
        </w:trPr>
        <w:tc>
          <w:tcPr>
            <w:tcW w:w="1197" w:type="pct"/>
            <w:shd w:val="clear" w:color="auto" w:fill="009D73"/>
            <w:vAlign w:val="center"/>
          </w:tcPr>
          <w:p w14:paraId="43EA000C" w14:textId="77777777" w:rsidR="005E22EF" w:rsidRPr="007C4D65" w:rsidRDefault="005E22EF" w:rsidP="0068355A">
            <w:pPr>
              <w:spacing w:line="276" w:lineRule="auto"/>
              <w:ind w:left="360" w:hanging="360"/>
              <w:jc w:val="center"/>
              <w:textAlignment w:val="baseline"/>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Group of organisms</w:t>
            </w:r>
          </w:p>
        </w:tc>
        <w:tc>
          <w:tcPr>
            <w:tcW w:w="2003" w:type="pct"/>
            <w:shd w:val="clear" w:color="auto" w:fill="009D73"/>
            <w:vAlign w:val="center"/>
          </w:tcPr>
          <w:p w14:paraId="031093EC" w14:textId="7A67BACF" w:rsidR="00F66549" w:rsidRPr="007C4D65" w:rsidRDefault="005E22EF" w:rsidP="0068355A">
            <w:pPr>
              <w:spacing w:line="276" w:lineRule="auto"/>
              <w:ind w:left="360" w:hanging="360"/>
              <w:jc w:val="center"/>
              <w:textAlignment w:val="baseline"/>
              <w:rPr>
                <w:rFonts w:asciiTheme="minorHAnsi" w:hAnsiTheme="minorHAnsi" w:cstheme="minorHAnsi"/>
                <w:b/>
                <w:i/>
                <w:iCs/>
                <w:color w:val="FFFFFF" w:themeColor="background1"/>
                <w:sz w:val="18"/>
                <w:szCs w:val="18"/>
              </w:rPr>
            </w:pPr>
            <w:r w:rsidRPr="007C4D65">
              <w:rPr>
                <w:rFonts w:asciiTheme="minorHAnsi" w:hAnsiTheme="minorHAnsi" w:cstheme="minorHAnsi"/>
                <w:b/>
                <w:color w:val="FFFFFF" w:themeColor="background1"/>
                <w:sz w:val="18"/>
              </w:rPr>
              <w:t>Total number of species in BiH</w:t>
            </w:r>
          </w:p>
          <w:p w14:paraId="2E0763C2" w14:textId="7C6A2DD6" w:rsidR="005E22EF" w:rsidRPr="007C4D65" w:rsidRDefault="00F66549" w:rsidP="0068355A">
            <w:pPr>
              <w:spacing w:line="276" w:lineRule="auto"/>
              <w:ind w:left="360" w:hanging="360"/>
              <w:jc w:val="center"/>
              <w:textAlignment w:val="baseline"/>
              <w:rPr>
                <w:rFonts w:asciiTheme="minorHAnsi" w:hAnsiTheme="minorHAnsi" w:cstheme="minorHAnsi"/>
                <w:b/>
                <w:color w:val="FFFFFF" w:themeColor="background1"/>
                <w:sz w:val="18"/>
                <w:szCs w:val="18"/>
              </w:rPr>
            </w:pPr>
            <w:r w:rsidRPr="007C4D65">
              <w:rPr>
                <w:rFonts w:asciiTheme="minorHAnsi" w:hAnsiTheme="minorHAnsi" w:cstheme="minorHAnsi"/>
                <w:b/>
                <w:i/>
                <w:color w:val="FFFFFF" w:themeColor="background1"/>
                <w:sz w:val="18"/>
              </w:rPr>
              <w:fldChar w:fldCharType="begin"/>
            </w:r>
            <w:r w:rsidR="00282995" w:rsidRPr="007C4D65">
              <w:rPr>
                <w:rFonts w:asciiTheme="minorHAnsi" w:hAnsiTheme="minorHAnsi" w:cstheme="minorHAnsi"/>
                <w:b/>
                <w:i/>
                <w:color w:val="FFFFFF" w:themeColor="background1"/>
                <w:sz w:val="18"/>
              </w:rPr>
              <w:instrText xml:space="preserve"> ADDIN ZOTERO_ITEM CSL_CITATION {"citationID":"w07cBfx6","properties":{"formattedCitation":"(Red\\uc0\\u382{}i\\uc0\\u263{}, S.,Barudanovi\\uc0\\u263{}, S., Radevi\\uc0\\u263{}, M. (ed) 2009)","plainCitation":"(Redžić, S.,Barudanović, S., Radević, M. (ed) 2009)","noteIndex":0},"citationItems":[{"id":1464,"uris":["http://zotero.org/users/7192877/items/AABJJ9D4"],"itemData":{"id":1464,"type":"report","genre":"Prvi nacionalni izvještaj BiH prema Konvenciji o biološkoj raznolikosti","title":"Prvi nacionalni izvještaj BiH prema Konvenciji o biološkoj raznolikosti","URL":"http://bih-chm-cbd.ba/wp-content/uploads/2020/11/1stNR.pdf","author":[{"literal":"Redžić, S.,Barudanović, S., Radević, M. (ed)"}],"issued":{"date-parts":[["2009"]]}}}],"schema":"https://github.com/citation-style-language/schema/raw/master/csl-citation.json"} </w:instrText>
            </w:r>
            <w:r w:rsidRPr="007C4D65">
              <w:rPr>
                <w:rFonts w:asciiTheme="minorHAnsi" w:hAnsiTheme="minorHAnsi" w:cstheme="minorHAnsi"/>
                <w:b/>
                <w:i/>
                <w:color w:val="FFFFFF" w:themeColor="background1"/>
                <w:sz w:val="18"/>
              </w:rPr>
              <w:fldChar w:fldCharType="separate"/>
            </w:r>
            <w:r w:rsidRPr="007C4D65">
              <w:rPr>
                <w:rFonts w:asciiTheme="minorHAnsi" w:hAnsiTheme="minorHAnsi" w:cstheme="minorHAnsi"/>
                <w:i/>
                <w:color w:val="FFFFFF" w:themeColor="background1"/>
                <w:sz w:val="18"/>
              </w:rPr>
              <w:t>(</w:t>
            </w:r>
            <w:r w:rsidR="00C9097F" w:rsidRPr="007C4D65">
              <w:rPr>
                <w:rFonts w:asciiTheme="minorHAnsi" w:hAnsiTheme="minorHAnsi" w:cstheme="minorHAnsi"/>
                <w:i/>
                <w:color w:val="FFFFFF" w:themeColor="background1"/>
                <w:sz w:val="18"/>
              </w:rPr>
              <w:t>Redzic</w:t>
            </w:r>
            <w:r w:rsidRPr="007C4D65">
              <w:rPr>
                <w:rFonts w:asciiTheme="minorHAnsi" w:hAnsiTheme="minorHAnsi" w:cstheme="minorHAnsi"/>
                <w:i/>
                <w:color w:val="FFFFFF" w:themeColor="background1"/>
                <w:sz w:val="18"/>
              </w:rPr>
              <w:t xml:space="preserve"> S.,</w:t>
            </w:r>
            <w:r w:rsidR="00C33249" w:rsidRPr="007C4D65">
              <w:rPr>
                <w:rFonts w:asciiTheme="minorHAnsi" w:hAnsiTheme="minorHAnsi" w:cstheme="minorHAnsi"/>
                <w:i/>
                <w:color w:val="FFFFFF" w:themeColor="background1"/>
                <w:sz w:val="18"/>
              </w:rPr>
              <w:t>Barudanovic</w:t>
            </w:r>
            <w:r w:rsidRPr="007C4D65">
              <w:rPr>
                <w:rFonts w:asciiTheme="minorHAnsi" w:hAnsiTheme="minorHAnsi" w:cstheme="minorHAnsi"/>
                <w:i/>
                <w:color w:val="FFFFFF" w:themeColor="background1"/>
                <w:sz w:val="18"/>
              </w:rPr>
              <w:t xml:space="preserve"> S., </w:t>
            </w:r>
            <w:r w:rsidR="00C33249" w:rsidRPr="007C4D65">
              <w:rPr>
                <w:rFonts w:asciiTheme="minorHAnsi" w:hAnsiTheme="minorHAnsi" w:cstheme="minorHAnsi"/>
                <w:i/>
                <w:color w:val="FFFFFF" w:themeColor="background1"/>
                <w:sz w:val="18"/>
              </w:rPr>
              <w:t>Radevic</w:t>
            </w:r>
            <w:r w:rsidRPr="007C4D65">
              <w:rPr>
                <w:rFonts w:asciiTheme="minorHAnsi" w:hAnsiTheme="minorHAnsi" w:cstheme="minorHAnsi"/>
                <w:i/>
                <w:color w:val="FFFFFF" w:themeColor="background1"/>
                <w:sz w:val="18"/>
              </w:rPr>
              <w:t xml:space="preserve"> M. (ed) 2009)</w:t>
            </w:r>
            <w:r w:rsidRPr="007C4D65">
              <w:rPr>
                <w:rFonts w:asciiTheme="minorHAnsi" w:hAnsiTheme="minorHAnsi" w:cstheme="minorHAnsi"/>
                <w:b/>
                <w:i/>
                <w:color w:val="FFFFFF" w:themeColor="background1"/>
                <w:sz w:val="18"/>
              </w:rPr>
              <w:fldChar w:fldCharType="end"/>
            </w:r>
          </w:p>
        </w:tc>
        <w:tc>
          <w:tcPr>
            <w:tcW w:w="1800" w:type="pct"/>
            <w:shd w:val="clear" w:color="auto" w:fill="009D73"/>
            <w:vAlign w:val="center"/>
          </w:tcPr>
          <w:p w14:paraId="6C8AC498" w14:textId="387E31CB" w:rsidR="005E22EF" w:rsidRPr="007C4D65" w:rsidRDefault="005E22EF" w:rsidP="0068355A">
            <w:pPr>
              <w:spacing w:line="276" w:lineRule="auto"/>
              <w:ind w:left="360" w:hanging="360"/>
              <w:jc w:val="center"/>
              <w:textAlignment w:val="baseline"/>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Num</w:t>
            </w:r>
            <w:r w:rsidR="00C33249" w:rsidRPr="007C4D65">
              <w:rPr>
                <w:rFonts w:asciiTheme="minorHAnsi" w:hAnsiTheme="minorHAnsi" w:cstheme="minorHAnsi"/>
                <w:b/>
                <w:color w:val="FFFFFF" w:themeColor="background1"/>
                <w:sz w:val="18"/>
              </w:rPr>
              <w:t>b</w:t>
            </w:r>
            <w:r w:rsidRPr="007C4D65">
              <w:rPr>
                <w:rFonts w:asciiTheme="minorHAnsi" w:hAnsiTheme="minorHAnsi" w:cstheme="minorHAnsi"/>
                <w:b/>
                <w:color w:val="FFFFFF" w:themeColor="background1"/>
                <w:sz w:val="18"/>
              </w:rPr>
              <w:t>er of species on the Red List of the Federation of BiH</w:t>
            </w:r>
          </w:p>
        </w:tc>
      </w:tr>
      <w:tr w:rsidR="005E22EF" w:rsidRPr="007C4D65" w14:paraId="6D5551D6" w14:textId="77777777" w:rsidTr="00C67E3E">
        <w:trPr>
          <w:trHeight w:val="391"/>
          <w:jc w:val="center"/>
        </w:trPr>
        <w:tc>
          <w:tcPr>
            <w:tcW w:w="1197" w:type="pct"/>
            <w:vAlign w:val="center"/>
          </w:tcPr>
          <w:p w14:paraId="2DCFB5AC" w14:textId="77777777" w:rsidR="005E22EF" w:rsidRPr="007C4D65" w:rsidRDefault="005E22EF" w:rsidP="0068355A">
            <w:pPr>
              <w:spacing w:line="276" w:lineRule="auto"/>
              <w:ind w:left="360" w:hanging="360"/>
              <w:textAlignment w:val="baseline"/>
              <w:rPr>
                <w:rFonts w:asciiTheme="minorHAnsi" w:hAnsiTheme="minorHAnsi" w:cstheme="minorHAnsi"/>
                <w:sz w:val="18"/>
                <w:szCs w:val="18"/>
              </w:rPr>
            </w:pPr>
            <w:r w:rsidRPr="007C4D65">
              <w:rPr>
                <w:rFonts w:asciiTheme="minorHAnsi" w:hAnsiTheme="minorHAnsi" w:cstheme="minorHAnsi"/>
                <w:sz w:val="18"/>
              </w:rPr>
              <w:t>Moss</w:t>
            </w:r>
          </w:p>
        </w:tc>
        <w:tc>
          <w:tcPr>
            <w:tcW w:w="2003" w:type="pct"/>
            <w:vAlign w:val="center"/>
          </w:tcPr>
          <w:p w14:paraId="14795D5B"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r w:rsidRPr="007C4D65">
              <w:rPr>
                <w:rFonts w:asciiTheme="minorHAnsi" w:hAnsiTheme="minorHAnsi" w:cstheme="minorHAnsi"/>
                <w:sz w:val="18"/>
              </w:rPr>
              <w:t>565</w:t>
            </w:r>
          </w:p>
        </w:tc>
        <w:tc>
          <w:tcPr>
            <w:tcW w:w="1800" w:type="pct"/>
            <w:vMerge w:val="restart"/>
            <w:vAlign w:val="center"/>
          </w:tcPr>
          <w:p w14:paraId="0EFF25AF"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r w:rsidRPr="007C4D65">
              <w:rPr>
                <w:rFonts w:asciiTheme="minorHAnsi" w:hAnsiTheme="minorHAnsi" w:cstheme="minorHAnsi"/>
                <w:sz w:val="18"/>
              </w:rPr>
              <w:t>658</w:t>
            </w:r>
          </w:p>
        </w:tc>
      </w:tr>
      <w:tr w:rsidR="005E22EF" w:rsidRPr="007C4D65" w14:paraId="71DD7AEC" w14:textId="77777777" w:rsidTr="00C67E3E">
        <w:trPr>
          <w:trHeight w:val="391"/>
          <w:jc w:val="center"/>
        </w:trPr>
        <w:tc>
          <w:tcPr>
            <w:tcW w:w="1197" w:type="pct"/>
            <w:vAlign w:val="center"/>
          </w:tcPr>
          <w:p w14:paraId="7D315F79" w14:textId="77777777" w:rsidR="005E22EF" w:rsidRPr="007C4D65" w:rsidRDefault="005E22EF" w:rsidP="0068355A">
            <w:pPr>
              <w:spacing w:line="276" w:lineRule="auto"/>
              <w:ind w:left="360" w:hanging="360"/>
              <w:textAlignment w:val="baseline"/>
              <w:rPr>
                <w:rFonts w:asciiTheme="minorHAnsi" w:hAnsiTheme="minorHAnsi" w:cstheme="minorHAnsi"/>
                <w:sz w:val="18"/>
                <w:szCs w:val="18"/>
              </w:rPr>
            </w:pPr>
            <w:r w:rsidRPr="007C4D65">
              <w:rPr>
                <w:rFonts w:asciiTheme="minorHAnsi" w:hAnsiTheme="minorHAnsi" w:cstheme="minorHAnsi"/>
                <w:sz w:val="18"/>
              </w:rPr>
              <w:t xml:space="preserve">Ferns </w:t>
            </w:r>
          </w:p>
        </w:tc>
        <w:tc>
          <w:tcPr>
            <w:tcW w:w="2003" w:type="pct"/>
            <w:vAlign w:val="center"/>
          </w:tcPr>
          <w:p w14:paraId="6A2891FA"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r w:rsidRPr="007C4D65">
              <w:rPr>
                <w:rFonts w:asciiTheme="minorHAnsi" w:hAnsiTheme="minorHAnsi" w:cstheme="minorHAnsi"/>
                <w:sz w:val="18"/>
              </w:rPr>
              <w:t>61</w:t>
            </w:r>
          </w:p>
        </w:tc>
        <w:tc>
          <w:tcPr>
            <w:tcW w:w="1800" w:type="pct"/>
            <w:vMerge/>
            <w:vAlign w:val="center"/>
          </w:tcPr>
          <w:p w14:paraId="317508C0"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p>
        </w:tc>
      </w:tr>
      <w:tr w:rsidR="005E22EF" w:rsidRPr="007C4D65" w14:paraId="2C35FE82" w14:textId="77777777" w:rsidTr="00C67E3E">
        <w:trPr>
          <w:trHeight w:val="391"/>
          <w:jc w:val="center"/>
        </w:trPr>
        <w:tc>
          <w:tcPr>
            <w:tcW w:w="1197" w:type="pct"/>
            <w:vAlign w:val="center"/>
          </w:tcPr>
          <w:p w14:paraId="58C1B362" w14:textId="77777777" w:rsidR="005E22EF" w:rsidRPr="007C4D65" w:rsidRDefault="005E22EF" w:rsidP="0068355A">
            <w:pPr>
              <w:spacing w:line="276" w:lineRule="auto"/>
              <w:ind w:left="360" w:hanging="360"/>
              <w:textAlignment w:val="baseline"/>
              <w:rPr>
                <w:rFonts w:asciiTheme="minorHAnsi" w:hAnsiTheme="minorHAnsi" w:cstheme="minorHAnsi"/>
                <w:sz w:val="18"/>
                <w:szCs w:val="18"/>
              </w:rPr>
            </w:pPr>
            <w:r w:rsidRPr="007C4D65">
              <w:rPr>
                <w:rFonts w:asciiTheme="minorHAnsi" w:hAnsiTheme="minorHAnsi" w:cstheme="minorHAnsi"/>
                <w:sz w:val="18"/>
              </w:rPr>
              <w:t>Spermatophyte</w:t>
            </w:r>
          </w:p>
        </w:tc>
        <w:tc>
          <w:tcPr>
            <w:tcW w:w="2003" w:type="pct"/>
            <w:vAlign w:val="center"/>
          </w:tcPr>
          <w:p w14:paraId="1A0B95FD"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r w:rsidRPr="007C4D65">
              <w:rPr>
                <w:rFonts w:asciiTheme="minorHAnsi" w:hAnsiTheme="minorHAnsi" w:cstheme="minorHAnsi"/>
                <w:sz w:val="18"/>
              </w:rPr>
              <w:t>3256</w:t>
            </w:r>
          </w:p>
        </w:tc>
        <w:tc>
          <w:tcPr>
            <w:tcW w:w="1800" w:type="pct"/>
            <w:vMerge/>
            <w:vAlign w:val="center"/>
          </w:tcPr>
          <w:p w14:paraId="4985C727"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p>
        </w:tc>
      </w:tr>
      <w:tr w:rsidR="005E22EF" w:rsidRPr="007C4D65" w14:paraId="47047EB6" w14:textId="77777777" w:rsidTr="00C67E3E">
        <w:trPr>
          <w:trHeight w:val="391"/>
          <w:jc w:val="center"/>
        </w:trPr>
        <w:tc>
          <w:tcPr>
            <w:tcW w:w="1197" w:type="pct"/>
            <w:vAlign w:val="center"/>
          </w:tcPr>
          <w:p w14:paraId="2E7184D0" w14:textId="77777777" w:rsidR="005E22EF" w:rsidRPr="007C4D65" w:rsidRDefault="005E22EF" w:rsidP="0068355A">
            <w:pPr>
              <w:spacing w:line="276" w:lineRule="auto"/>
              <w:ind w:left="360" w:hanging="360"/>
              <w:textAlignment w:val="baseline"/>
              <w:rPr>
                <w:rFonts w:asciiTheme="minorHAnsi" w:hAnsiTheme="minorHAnsi" w:cstheme="minorHAnsi"/>
                <w:sz w:val="18"/>
                <w:szCs w:val="18"/>
              </w:rPr>
            </w:pPr>
            <w:r w:rsidRPr="007C4D65">
              <w:rPr>
                <w:rFonts w:asciiTheme="minorHAnsi" w:hAnsiTheme="minorHAnsi" w:cstheme="minorHAnsi"/>
                <w:sz w:val="18"/>
              </w:rPr>
              <w:t>Fish</w:t>
            </w:r>
          </w:p>
        </w:tc>
        <w:tc>
          <w:tcPr>
            <w:tcW w:w="2003" w:type="pct"/>
            <w:vAlign w:val="center"/>
          </w:tcPr>
          <w:p w14:paraId="5400F342"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r w:rsidRPr="007C4D65">
              <w:rPr>
                <w:rFonts w:asciiTheme="minorHAnsi" w:hAnsiTheme="minorHAnsi" w:cstheme="minorHAnsi"/>
                <w:sz w:val="18"/>
              </w:rPr>
              <w:t>119</w:t>
            </w:r>
          </w:p>
        </w:tc>
        <w:tc>
          <w:tcPr>
            <w:tcW w:w="1800" w:type="pct"/>
            <w:vAlign w:val="center"/>
          </w:tcPr>
          <w:p w14:paraId="438100B2"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r w:rsidRPr="007C4D65">
              <w:rPr>
                <w:rFonts w:asciiTheme="minorHAnsi" w:hAnsiTheme="minorHAnsi" w:cstheme="minorHAnsi"/>
                <w:sz w:val="18"/>
              </w:rPr>
              <w:t>36</w:t>
            </w:r>
          </w:p>
        </w:tc>
      </w:tr>
      <w:tr w:rsidR="005E22EF" w:rsidRPr="007C4D65" w14:paraId="646C86A4" w14:textId="77777777" w:rsidTr="00C67E3E">
        <w:trPr>
          <w:trHeight w:val="391"/>
          <w:jc w:val="center"/>
        </w:trPr>
        <w:tc>
          <w:tcPr>
            <w:tcW w:w="1197" w:type="pct"/>
            <w:vAlign w:val="center"/>
          </w:tcPr>
          <w:p w14:paraId="127DE1FD" w14:textId="77777777" w:rsidR="005E22EF" w:rsidRPr="007C4D65" w:rsidRDefault="005E22EF" w:rsidP="0068355A">
            <w:pPr>
              <w:spacing w:line="276" w:lineRule="auto"/>
              <w:ind w:left="360" w:hanging="360"/>
              <w:textAlignment w:val="baseline"/>
              <w:rPr>
                <w:rFonts w:asciiTheme="minorHAnsi" w:hAnsiTheme="minorHAnsi" w:cstheme="minorHAnsi"/>
                <w:sz w:val="18"/>
                <w:szCs w:val="18"/>
              </w:rPr>
            </w:pPr>
            <w:r w:rsidRPr="007C4D65">
              <w:rPr>
                <w:rFonts w:asciiTheme="minorHAnsi" w:hAnsiTheme="minorHAnsi" w:cstheme="minorHAnsi"/>
                <w:sz w:val="18"/>
              </w:rPr>
              <w:t>Amphibians</w:t>
            </w:r>
          </w:p>
        </w:tc>
        <w:tc>
          <w:tcPr>
            <w:tcW w:w="2003" w:type="pct"/>
            <w:vAlign w:val="center"/>
          </w:tcPr>
          <w:p w14:paraId="02536089"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r w:rsidRPr="007C4D65">
              <w:rPr>
                <w:rFonts w:asciiTheme="minorHAnsi" w:hAnsiTheme="minorHAnsi" w:cstheme="minorHAnsi"/>
                <w:sz w:val="18"/>
              </w:rPr>
              <w:t>20</w:t>
            </w:r>
          </w:p>
        </w:tc>
        <w:tc>
          <w:tcPr>
            <w:tcW w:w="1800" w:type="pct"/>
            <w:vAlign w:val="center"/>
          </w:tcPr>
          <w:p w14:paraId="53AB0F08"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r w:rsidRPr="007C4D65">
              <w:rPr>
                <w:rFonts w:asciiTheme="minorHAnsi" w:hAnsiTheme="minorHAnsi" w:cstheme="minorHAnsi"/>
                <w:sz w:val="18"/>
              </w:rPr>
              <w:t>4</w:t>
            </w:r>
          </w:p>
        </w:tc>
      </w:tr>
      <w:tr w:rsidR="005E22EF" w:rsidRPr="007C4D65" w14:paraId="5A0006E7" w14:textId="77777777" w:rsidTr="00C67E3E">
        <w:trPr>
          <w:trHeight w:val="391"/>
          <w:jc w:val="center"/>
        </w:trPr>
        <w:tc>
          <w:tcPr>
            <w:tcW w:w="1197" w:type="pct"/>
            <w:vAlign w:val="center"/>
          </w:tcPr>
          <w:p w14:paraId="32761F2A" w14:textId="77777777" w:rsidR="005E22EF" w:rsidRPr="007C4D65" w:rsidRDefault="005E22EF" w:rsidP="0068355A">
            <w:pPr>
              <w:spacing w:line="276" w:lineRule="auto"/>
              <w:ind w:left="360" w:hanging="360"/>
              <w:textAlignment w:val="baseline"/>
              <w:rPr>
                <w:rFonts w:asciiTheme="minorHAnsi" w:hAnsiTheme="minorHAnsi" w:cstheme="minorHAnsi"/>
                <w:sz w:val="18"/>
                <w:szCs w:val="18"/>
              </w:rPr>
            </w:pPr>
            <w:r w:rsidRPr="007C4D65">
              <w:rPr>
                <w:rFonts w:asciiTheme="minorHAnsi" w:hAnsiTheme="minorHAnsi" w:cstheme="minorHAnsi"/>
                <w:sz w:val="18"/>
              </w:rPr>
              <w:t>Reptiles</w:t>
            </w:r>
          </w:p>
        </w:tc>
        <w:tc>
          <w:tcPr>
            <w:tcW w:w="2003" w:type="pct"/>
            <w:vAlign w:val="center"/>
          </w:tcPr>
          <w:p w14:paraId="78966313"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r w:rsidRPr="007C4D65">
              <w:rPr>
                <w:rFonts w:asciiTheme="minorHAnsi" w:hAnsiTheme="minorHAnsi" w:cstheme="minorHAnsi"/>
                <w:sz w:val="18"/>
              </w:rPr>
              <w:t>38</w:t>
            </w:r>
          </w:p>
        </w:tc>
        <w:tc>
          <w:tcPr>
            <w:tcW w:w="1800" w:type="pct"/>
            <w:vAlign w:val="center"/>
          </w:tcPr>
          <w:p w14:paraId="3C63C16B"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r w:rsidRPr="007C4D65">
              <w:rPr>
                <w:rFonts w:asciiTheme="minorHAnsi" w:hAnsiTheme="minorHAnsi" w:cstheme="minorHAnsi"/>
                <w:sz w:val="18"/>
              </w:rPr>
              <w:t>6</w:t>
            </w:r>
          </w:p>
        </w:tc>
      </w:tr>
      <w:tr w:rsidR="005E22EF" w:rsidRPr="007C4D65" w14:paraId="78470FB4" w14:textId="77777777" w:rsidTr="00C67E3E">
        <w:trPr>
          <w:trHeight w:val="391"/>
          <w:jc w:val="center"/>
        </w:trPr>
        <w:tc>
          <w:tcPr>
            <w:tcW w:w="1197" w:type="pct"/>
            <w:vAlign w:val="center"/>
          </w:tcPr>
          <w:p w14:paraId="4E15AE60" w14:textId="77777777" w:rsidR="005E22EF" w:rsidRPr="007C4D65" w:rsidRDefault="005E22EF" w:rsidP="0068355A">
            <w:pPr>
              <w:spacing w:line="276" w:lineRule="auto"/>
              <w:ind w:left="360" w:hanging="360"/>
              <w:textAlignment w:val="baseline"/>
              <w:rPr>
                <w:rFonts w:asciiTheme="minorHAnsi" w:hAnsiTheme="minorHAnsi" w:cstheme="minorHAnsi"/>
                <w:sz w:val="18"/>
                <w:szCs w:val="18"/>
              </w:rPr>
            </w:pPr>
            <w:r w:rsidRPr="007C4D65">
              <w:rPr>
                <w:rFonts w:asciiTheme="minorHAnsi" w:hAnsiTheme="minorHAnsi" w:cstheme="minorHAnsi"/>
                <w:sz w:val="18"/>
              </w:rPr>
              <w:t>Birds</w:t>
            </w:r>
          </w:p>
        </w:tc>
        <w:tc>
          <w:tcPr>
            <w:tcW w:w="2003" w:type="pct"/>
            <w:vAlign w:val="center"/>
          </w:tcPr>
          <w:p w14:paraId="30CF6647"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r w:rsidRPr="007C4D65">
              <w:rPr>
                <w:rFonts w:asciiTheme="minorHAnsi" w:hAnsiTheme="minorHAnsi" w:cstheme="minorHAnsi"/>
                <w:sz w:val="18"/>
              </w:rPr>
              <w:t>326</w:t>
            </w:r>
          </w:p>
        </w:tc>
        <w:tc>
          <w:tcPr>
            <w:tcW w:w="1800" w:type="pct"/>
            <w:vAlign w:val="center"/>
          </w:tcPr>
          <w:p w14:paraId="1F937D9F"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r w:rsidRPr="007C4D65">
              <w:rPr>
                <w:rFonts w:asciiTheme="minorHAnsi" w:hAnsiTheme="minorHAnsi" w:cstheme="minorHAnsi"/>
                <w:sz w:val="18"/>
              </w:rPr>
              <w:t>40</w:t>
            </w:r>
          </w:p>
        </w:tc>
      </w:tr>
      <w:tr w:rsidR="005E22EF" w:rsidRPr="007C4D65" w14:paraId="77752668" w14:textId="77777777" w:rsidTr="00C67E3E">
        <w:trPr>
          <w:trHeight w:val="391"/>
          <w:jc w:val="center"/>
        </w:trPr>
        <w:tc>
          <w:tcPr>
            <w:tcW w:w="1197" w:type="pct"/>
            <w:vAlign w:val="center"/>
          </w:tcPr>
          <w:p w14:paraId="59326F84" w14:textId="77777777" w:rsidR="005E22EF" w:rsidRPr="007C4D65" w:rsidRDefault="005E22EF" w:rsidP="0068355A">
            <w:pPr>
              <w:spacing w:line="276" w:lineRule="auto"/>
              <w:ind w:left="360" w:hanging="360"/>
              <w:textAlignment w:val="baseline"/>
              <w:rPr>
                <w:rFonts w:asciiTheme="minorHAnsi" w:hAnsiTheme="minorHAnsi" w:cstheme="minorHAnsi"/>
                <w:sz w:val="18"/>
                <w:szCs w:val="18"/>
              </w:rPr>
            </w:pPr>
            <w:r w:rsidRPr="007C4D65">
              <w:rPr>
                <w:rFonts w:asciiTheme="minorHAnsi" w:hAnsiTheme="minorHAnsi" w:cstheme="minorHAnsi"/>
                <w:sz w:val="18"/>
              </w:rPr>
              <w:t>Mammals</w:t>
            </w:r>
          </w:p>
        </w:tc>
        <w:tc>
          <w:tcPr>
            <w:tcW w:w="2003" w:type="pct"/>
            <w:vAlign w:val="center"/>
          </w:tcPr>
          <w:p w14:paraId="7EECEFFE"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r w:rsidRPr="007C4D65">
              <w:rPr>
                <w:rFonts w:asciiTheme="minorHAnsi" w:hAnsiTheme="minorHAnsi" w:cstheme="minorHAnsi"/>
                <w:sz w:val="18"/>
              </w:rPr>
              <w:t>85</w:t>
            </w:r>
          </w:p>
        </w:tc>
        <w:tc>
          <w:tcPr>
            <w:tcW w:w="1800" w:type="pct"/>
            <w:vAlign w:val="center"/>
          </w:tcPr>
          <w:p w14:paraId="62BFE9B1" w14:textId="77777777" w:rsidR="005E22EF" w:rsidRPr="007C4D65" w:rsidRDefault="005E22EF" w:rsidP="0068355A">
            <w:pPr>
              <w:spacing w:line="276" w:lineRule="auto"/>
              <w:ind w:left="360" w:hanging="360"/>
              <w:jc w:val="center"/>
              <w:textAlignment w:val="baseline"/>
              <w:rPr>
                <w:rFonts w:asciiTheme="minorHAnsi" w:hAnsiTheme="minorHAnsi" w:cstheme="minorHAnsi"/>
                <w:sz w:val="18"/>
                <w:szCs w:val="18"/>
              </w:rPr>
            </w:pPr>
            <w:r w:rsidRPr="007C4D65">
              <w:rPr>
                <w:rFonts w:asciiTheme="minorHAnsi" w:hAnsiTheme="minorHAnsi" w:cstheme="minorHAnsi"/>
                <w:sz w:val="18"/>
              </w:rPr>
              <w:t>27</w:t>
            </w:r>
          </w:p>
        </w:tc>
      </w:tr>
    </w:tbl>
    <w:p w14:paraId="644F4E54" w14:textId="3366D3DC" w:rsidR="005E22EF" w:rsidRPr="007C4D65" w:rsidRDefault="005E22EF" w:rsidP="0068355A">
      <w:pPr>
        <w:spacing w:before="240" w:after="240" w:line="276" w:lineRule="auto"/>
        <w:jc w:val="both"/>
        <w:rPr>
          <w:rFonts w:asciiTheme="minorHAnsi" w:hAnsiTheme="minorHAnsi" w:cstheme="minorHAnsi"/>
          <w:sz w:val="22"/>
          <w:szCs w:val="22"/>
        </w:rPr>
      </w:pPr>
      <w:proofErr w:type="gramStart"/>
      <w:r w:rsidRPr="007C4D65">
        <w:rPr>
          <w:rFonts w:asciiTheme="minorHAnsi" w:hAnsiTheme="minorHAnsi" w:cstheme="minorHAnsi"/>
          <w:sz w:val="22"/>
          <w:szCs w:val="22"/>
        </w:rPr>
        <w:t>In order to</w:t>
      </w:r>
      <w:proofErr w:type="gramEnd"/>
      <w:r w:rsidRPr="007C4D65">
        <w:rPr>
          <w:rFonts w:asciiTheme="minorHAnsi" w:hAnsiTheme="minorHAnsi" w:cstheme="minorHAnsi"/>
          <w:sz w:val="22"/>
          <w:szCs w:val="22"/>
        </w:rPr>
        <w:t xml:space="preserve"> preserve high natural values and original </w:t>
      </w:r>
      <w:r w:rsidR="00C33249" w:rsidRPr="007C4D65">
        <w:rPr>
          <w:rFonts w:asciiTheme="minorHAnsi" w:hAnsiTheme="minorHAnsi" w:cstheme="minorHAnsi"/>
          <w:sz w:val="22"/>
          <w:szCs w:val="22"/>
        </w:rPr>
        <w:t>tangible</w:t>
      </w:r>
      <w:r w:rsidRPr="007C4D65">
        <w:rPr>
          <w:rFonts w:asciiTheme="minorHAnsi" w:hAnsiTheme="minorHAnsi" w:cstheme="minorHAnsi"/>
          <w:sz w:val="22"/>
          <w:szCs w:val="22"/>
        </w:rPr>
        <w:t xml:space="preserve"> and intangible and regulatory benefits of functional areas of the nature, it is necessary to increase the protected area in the Federation of BiH in accordance with the Law on Nature Conservation.</w:t>
      </w:r>
    </w:p>
    <w:p w14:paraId="517CD1BE" w14:textId="0ADA7265" w:rsidR="005E22EF" w:rsidRPr="007C4D65" w:rsidRDefault="005E22E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The implementation of the IPA project "Support to the Implementation of the Directives on Birds and Habitats in Bosnia and Herzegovina (2012-2015)", included an analysis of the distribution of habitat types and species listed in the given directives for the territory of BiH The analysis recorded a total of 70 different habitat types, and 208 species, of which 109 were birds. The project also created a database in standard formats (</w:t>
      </w:r>
      <w:r w:rsidRPr="007C4D65">
        <w:rPr>
          <w:rFonts w:asciiTheme="minorHAnsi" w:hAnsiTheme="minorHAnsi" w:cstheme="minorHAnsi"/>
          <w:i/>
          <w:sz w:val="22"/>
          <w:szCs w:val="22"/>
        </w:rPr>
        <w:t>United Nations Economic Commission for Europe</w:t>
      </w:r>
      <w:r w:rsidRPr="007C4D65">
        <w:rPr>
          <w:rFonts w:asciiTheme="minorHAnsi" w:hAnsiTheme="minorHAnsi" w:cstheme="minorHAnsi"/>
          <w:sz w:val="22"/>
          <w:szCs w:val="22"/>
        </w:rPr>
        <w:t xml:space="preserve"> - UNECE 2018).  A draft plan of the Natura 2000 ecological network in BiH was also prepared The total of 122 areas that make up the ecological network with a total area of 956,776.59 ha (about 20% of the entire BiH territory) were proposed </w:t>
      </w:r>
      <w:r w:rsidR="0099015B" w:rsidRPr="007C4D65">
        <w:rPr>
          <w:rFonts w:asciiTheme="minorHAnsi" w:hAnsiTheme="minorHAnsi" w:cstheme="minorHAnsi"/>
          <w:sz w:val="22"/>
          <w:szCs w:val="22"/>
        </w:rPr>
        <w:fldChar w:fldCharType="begin"/>
      </w:r>
      <w:r w:rsidR="00CE1A95" w:rsidRPr="007C4D65">
        <w:rPr>
          <w:rFonts w:asciiTheme="minorHAnsi" w:hAnsiTheme="minorHAnsi" w:cstheme="minorHAnsi"/>
          <w:sz w:val="22"/>
          <w:szCs w:val="22"/>
        </w:rPr>
        <w:instrText xml:space="preserve"> ADDIN ZOTERO_ITEM CSL_CITATION {"citationID":"JmSg4g7d","properties":{"formattedCitation":"(Milanovi\\uc0\\u263{} and Golob 2015)","plainCitation":"(Milanović and Golob 2015)","noteIndex":0},"citationItems":[{"id":86,"uris":["http://zotero.org/users/7192877/items/6PSBYA2M"],"itemData":{"id":86,"type":"report","page":"33–58","title":"Podrška provođenju Direktive o staništima i Direktive o pticama u BiH","URL":"https://www.researchgate.net/publication/290604173_Projekat_Podrska_provodenju_Direktive_o_stanistima_i_Direktive_o_pticama_u_Bosni_i_Hercegovini","author":[{"family":"Milanović","given":"Đorđe"},{"family":"Golob","given":"Aleksandar"}],"issued":{"date-parts":[["2015"]]}}}],"schema":"https://github.com/citation-style-language/schema/raw/master/csl-citation.json"} </w:instrText>
      </w:r>
      <w:r w:rsidR="0099015B" w:rsidRPr="007C4D65">
        <w:rPr>
          <w:rFonts w:asciiTheme="minorHAnsi" w:hAnsiTheme="minorHAnsi" w:cstheme="minorHAnsi"/>
          <w:sz w:val="22"/>
          <w:szCs w:val="22"/>
        </w:rPr>
        <w:fldChar w:fldCharType="separate"/>
      </w:r>
      <w:r w:rsidR="0099015B" w:rsidRPr="007C4D65">
        <w:rPr>
          <w:rFonts w:asciiTheme="minorHAnsi" w:hAnsiTheme="minorHAnsi" w:cstheme="minorHAnsi"/>
          <w:sz w:val="22"/>
          <w:szCs w:val="22"/>
        </w:rPr>
        <w:t>(Milanovi</w:t>
      </w:r>
      <w:r w:rsidR="00C33249" w:rsidRPr="007C4D65">
        <w:rPr>
          <w:rFonts w:asciiTheme="minorHAnsi" w:hAnsiTheme="minorHAnsi" w:cstheme="minorHAnsi"/>
          <w:sz w:val="22"/>
          <w:szCs w:val="22"/>
        </w:rPr>
        <w:t>c</w:t>
      </w:r>
      <w:r w:rsidR="0099015B" w:rsidRPr="007C4D65">
        <w:rPr>
          <w:rFonts w:asciiTheme="minorHAnsi" w:hAnsiTheme="minorHAnsi" w:cstheme="minorHAnsi"/>
          <w:sz w:val="22"/>
          <w:szCs w:val="22"/>
        </w:rPr>
        <w:t xml:space="preserve"> and Golob</w:t>
      </w:r>
      <w:r w:rsidR="00EE0457" w:rsidRPr="007C4D65">
        <w:rPr>
          <w:rFonts w:asciiTheme="minorHAnsi" w:hAnsiTheme="minorHAnsi" w:cstheme="minorHAnsi"/>
          <w:sz w:val="22"/>
          <w:szCs w:val="22"/>
        </w:rPr>
        <w:t>,</w:t>
      </w:r>
      <w:r w:rsidR="0099015B" w:rsidRPr="007C4D65">
        <w:rPr>
          <w:rFonts w:asciiTheme="minorHAnsi" w:hAnsiTheme="minorHAnsi" w:cstheme="minorHAnsi"/>
          <w:sz w:val="22"/>
          <w:szCs w:val="22"/>
        </w:rPr>
        <w:t xml:space="preserve"> 2015)</w:t>
      </w:r>
      <w:r w:rsidR="0099015B" w:rsidRPr="007C4D65">
        <w:rPr>
          <w:rFonts w:asciiTheme="minorHAnsi" w:hAnsiTheme="minorHAnsi" w:cstheme="minorHAnsi"/>
          <w:sz w:val="22"/>
          <w:szCs w:val="22"/>
        </w:rPr>
        <w:fldChar w:fldCharType="end"/>
      </w:r>
      <w:r w:rsidRPr="007C4D65">
        <w:rPr>
          <w:rFonts w:asciiTheme="minorHAnsi" w:hAnsiTheme="minorHAnsi" w:cstheme="minorHAnsi"/>
          <w:sz w:val="22"/>
          <w:szCs w:val="22"/>
        </w:rPr>
        <w:t>.</w:t>
      </w:r>
    </w:p>
    <w:p w14:paraId="3C874F13" w14:textId="79634D80" w:rsidR="005E22EF" w:rsidRPr="007C4D65" w:rsidRDefault="005E22E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implementation of this project is one of many steps aimed at establishing the ecological network in the Federation of BiH. In order to meet the EU standards in nature conservation, the protected areas and other </w:t>
      </w:r>
      <w:r w:rsidR="00C33249" w:rsidRPr="007C4D65">
        <w:rPr>
          <w:rFonts w:asciiTheme="minorHAnsi" w:hAnsiTheme="minorHAnsi" w:cstheme="minorHAnsi"/>
          <w:sz w:val="22"/>
          <w:szCs w:val="22"/>
        </w:rPr>
        <w:t>ecologically</w:t>
      </w:r>
      <w:r w:rsidRPr="007C4D65">
        <w:rPr>
          <w:rFonts w:asciiTheme="minorHAnsi" w:hAnsiTheme="minorHAnsi" w:cstheme="minorHAnsi"/>
          <w:sz w:val="22"/>
          <w:szCs w:val="22"/>
        </w:rPr>
        <w:t xml:space="preserve"> important areas must be integrated in a single ecological network, as regulated in the Law on Nature Conservation of the Federation of BiH </w:t>
      </w:r>
      <w:r w:rsidR="00F15940" w:rsidRPr="007C4D65">
        <w:rPr>
          <w:rFonts w:asciiTheme="minorHAnsi" w:hAnsiTheme="minorHAnsi" w:cstheme="minorHAnsi"/>
          <w:sz w:val="22"/>
          <w:szCs w:val="22"/>
        </w:rPr>
        <w:fldChar w:fldCharType="begin"/>
      </w:r>
      <w:r w:rsidR="00CE1A95" w:rsidRPr="007C4D65">
        <w:rPr>
          <w:rFonts w:asciiTheme="minorHAnsi" w:hAnsiTheme="minorHAnsi" w:cstheme="minorHAnsi"/>
          <w:sz w:val="22"/>
          <w:szCs w:val="22"/>
        </w:rPr>
        <w:instrText xml:space="preserve"> ADDIN ZOTERO_ITEM CSL_CITATION {"citationID":"pA7Ya5jb","properties":{"formattedCitation":"(Sl. glasnik FBiH 66/13 2013)","plainCitation":"(Sl. glasnik FBiH 66/13 2013)","dontUpdate":true,"noteIndex":0},"citationItems":[{"id":1475,"uris":["http://zotero.org/users/7192877/items/FMSGUYRD"],"itemData":{"id":1475,"type":"legislation","title":"Zakon o zaštiti prirode Federacije BiH","URL":"https://www.fmoit.gov.ba/upload/file/okolis/Zakon%20o%20za%C5%A1titi%20prirode%20Sl.%20nov%20F%20BIH%2066-13.pdf","author":[{"family":"\"Sl. novine Federacije BiH\", broj 66/13","given":""}],"issued":{"date-parts":[["2013"]]}}}],"schema":"https://github.com/citation-style-language/schema/raw/master/csl-citation.json"} </w:instrText>
      </w:r>
      <w:r w:rsidR="00F15940" w:rsidRPr="007C4D65">
        <w:rPr>
          <w:rFonts w:asciiTheme="minorHAnsi" w:hAnsiTheme="minorHAnsi" w:cstheme="minorHAnsi"/>
          <w:sz w:val="22"/>
          <w:szCs w:val="22"/>
        </w:rPr>
        <w:fldChar w:fldCharType="separate"/>
      </w:r>
      <w:r w:rsidR="00F15940" w:rsidRPr="007C4D65">
        <w:rPr>
          <w:rFonts w:asciiTheme="minorHAnsi" w:hAnsiTheme="minorHAnsi" w:cstheme="minorHAnsi"/>
          <w:sz w:val="22"/>
          <w:szCs w:val="22"/>
        </w:rPr>
        <w:t>(</w:t>
      </w:r>
      <w:r w:rsidR="00EE0457" w:rsidRPr="007C4D65">
        <w:rPr>
          <w:rFonts w:asciiTheme="minorHAnsi" w:hAnsiTheme="minorHAnsi" w:cstheme="minorHAnsi"/>
          <w:sz w:val="22"/>
          <w:szCs w:val="22"/>
        </w:rPr>
        <w:t>"</w:t>
      </w:r>
      <w:r w:rsidR="00116A22" w:rsidRPr="007C4D65">
        <w:rPr>
          <w:rFonts w:asciiTheme="minorHAnsi" w:hAnsiTheme="minorHAnsi" w:cstheme="minorHAnsi"/>
          <w:sz w:val="22"/>
          <w:szCs w:val="22"/>
        </w:rPr>
        <w:t>Official Gazette of the Federation of BiH</w:t>
      </w:r>
      <w:r w:rsidR="00EE0457" w:rsidRPr="007C4D65">
        <w:rPr>
          <w:rFonts w:asciiTheme="minorHAnsi" w:hAnsiTheme="minorHAnsi" w:cstheme="minorHAnsi"/>
          <w:sz w:val="22"/>
          <w:szCs w:val="22"/>
        </w:rPr>
        <w:t xml:space="preserve">", </w:t>
      </w:r>
      <w:r w:rsidR="00F15940" w:rsidRPr="007C4D65">
        <w:rPr>
          <w:rFonts w:asciiTheme="minorHAnsi" w:hAnsiTheme="minorHAnsi" w:cstheme="minorHAnsi"/>
          <w:sz w:val="22"/>
          <w:szCs w:val="22"/>
        </w:rPr>
        <w:t>66/13)</w:t>
      </w:r>
      <w:r w:rsidR="00F15940" w:rsidRPr="007C4D65">
        <w:rPr>
          <w:rFonts w:asciiTheme="minorHAnsi" w:hAnsiTheme="minorHAnsi" w:cstheme="minorHAnsi"/>
          <w:sz w:val="22"/>
          <w:szCs w:val="22"/>
        </w:rPr>
        <w:fldChar w:fldCharType="end"/>
      </w:r>
      <w:r w:rsidRPr="007C4D65">
        <w:rPr>
          <w:rFonts w:asciiTheme="minorHAnsi" w:hAnsiTheme="minorHAnsi" w:cstheme="minorHAnsi"/>
          <w:sz w:val="22"/>
          <w:szCs w:val="22"/>
        </w:rPr>
        <w:t>.</w:t>
      </w:r>
    </w:p>
    <w:p w14:paraId="2DF158B5" w14:textId="71A12C45" w:rsidR="005E22EF" w:rsidRPr="007C4D65" w:rsidRDefault="005E22E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 xml:space="preserve">Establishment of the </w:t>
      </w:r>
      <w:r w:rsidR="00221F4A" w:rsidRPr="007C4D65">
        <w:rPr>
          <w:rFonts w:asciiTheme="minorHAnsi" w:hAnsiTheme="minorHAnsi" w:cstheme="minorHAnsi"/>
          <w:sz w:val="22"/>
        </w:rPr>
        <w:t>ecological network</w:t>
      </w:r>
      <w:r w:rsidRPr="007C4D65">
        <w:rPr>
          <w:rFonts w:asciiTheme="minorHAnsi" w:hAnsiTheme="minorHAnsi" w:cstheme="minorHAnsi"/>
          <w:sz w:val="22"/>
        </w:rPr>
        <w:t xml:space="preserve"> in the FBiH is a complex procedure, which includes: (a) establishment of previously planned protected areas, (b) field verification of data on the distribution and condition of species and habitats </w:t>
      </w:r>
      <w:proofErr w:type="gramStart"/>
      <w:r w:rsidRPr="007C4D65">
        <w:rPr>
          <w:rFonts w:asciiTheme="minorHAnsi" w:hAnsiTheme="minorHAnsi" w:cstheme="minorHAnsi"/>
          <w:sz w:val="22"/>
        </w:rPr>
        <w:t>entered into</w:t>
      </w:r>
      <w:proofErr w:type="gramEnd"/>
      <w:r w:rsidRPr="007C4D65">
        <w:rPr>
          <w:rFonts w:asciiTheme="minorHAnsi" w:hAnsiTheme="minorHAnsi" w:cstheme="minorHAnsi"/>
          <w:sz w:val="22"/>
        </w:rPr>
        <w:t xml:space="preserve"> the Natura database, (c) consultation processes in local communities in order to get their agreement for the integration in the ecological network.  Obtaining of the agreement of local communities requires intensive promotion of and a </w:t>
      </w:r>
      <w:r w:rsidR="00C33249" w:rsidRPr="007C4D65">
        <w:rPr>
          <w:rFonts w:asciiTheme="minorHAnsi" w:hAnsiTheme="minorHAnsi" w:cstheme="minorHAnsi"/>
          <w:sz w:val="22"/>
        </w:rPr>
        <w:t>campaign</w:t>
      </w:r>
      <w:r w:rsidRPr="007C4D65">
        <w:rPr>
          <w:rFonts w:asciiTheme="minorHAnsi" w:hAnsiTheme="minorHAnsi" w:cstheme="minorHAnsi"/>
          <w:sz w:val="22"/>
        </w:rPr>
        <w:t xml:space="preserve"> explaining the benefits of the ecological network. Aligning of sectoral regulations with the EU acquis must be accompanied with identification of other ecologically important areas (water protection zones, and hunting and fishing areas) and their integration in the ecological network of the Federation of BiH.</w:t>
      </w:r>
    </w:p>
    <w:p w14:paraId="1EE4D233" w14:textId="2DCCA40A" w:rsidR="005E22EF" w:rsidRPr="007C4D65" w:rsidRDefault="005E22EF" w:rsidP="0068355A">
      <w:pPr>
        <w:spacing w:after="240" w:line="276" w:lineRule="auto"/>
        <w:rPr>
          <w:rFonts w:asciiTheme="minorHAnsi" w:eastAsiaTheme="majorEastAsia" w:hAnsiTheme="minorHAnsi" w:cstheme="minorHAnsi"/>
          <w:b/>
          <w:bCs/>
          <w:i/>
          <w:iCs/>
          <w:sz w:val="22"/>
          <w:szCs w:val="22"/>
          <w:u w:val="single"/>
        </w:rPr>
      </w:pPr>
      <w:r w:rsidRPr="007C4D65">
        <w:rPr>
          <w:rFonts w:asciiTheme="minorHAnsi" w:hAnsiTheme="minorHAnsi" w:cstheme="minorHAnsi"/>
          <w:b/>
          <w:i/>
          <w:sz w:val="22"/>
          <w:u w:val="single"/>
        </w:rPr>
        <w:t xml:space="preserve">Analysis of the current </w:t>
      </w:r>
      <w:r w:rsidR="0012427C" w:rsidRPr="007C4D65">
        <w:rPr>
          <w:rFonts w:asciiTheme="minorHAnsi" w:hAnsiTheme="minorHAnsi" w:cstheme="minorHAnsi"/>
          <w:b/>
          <w:i/>
          <w:sz w:val="22"/>
          <w:u w:val="single"/>
        </w:rPr>
        <w:t>situation</w:t>
      </w:r>
      <w:r w:rsidRPr="007C4D65">
        <w:rPr>
          <w:rFonts w:asciiTheme="minorHAnsi" w:hAnsiTheme="minorHAnsi" w:cstheme="minorHAnsi"/>
          <w:b/>
          <w:i/>
          <w:sz w:val="22"/>
          <w:u w:val="single"/>
        </w:rPr>
        <w:t xml:space="preserve"> and challenges</w:t>
      </w:r>
    </w:p>
    <w:p w14:paraId="591C2507" w14:textId="39C88306" w:rsidR="005E22EF" w:rsidRPr="007C4D65" w:rsidRDefault="005E22EF"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The development of the Strategy included an exhaustive analysis of the reasons which contributed to the current situation in relation to circumstances surrounding nature conservation in thein the Federation. The challenges identifies may be classified in the following groups:  (a) state of the current legal framework for sustainable management of biodiversity and nature conservation, (b) state of the institutional framework, (c) state of institutional capacities, (d) state of data on biodiversity, (e) cross-sector</w:t>
      </w:r>
      <w:r w:rsidR="00007DA5" w:rsidRPr="007C4D65">
        <w:rPr>
          <w:rFonts w:asciiTheme="minorHAnsi" w:hAnsiTheme="minorHAnsi" w:cstheme="minorHAnsi"/>
          <w:sz w:val="22"/>
        </w:rPr>
        <w:t>al</w:t>
      </w:r>
      <w:r w:rsidRPr="007C4D65">
        <w:rPr>
          <w:rFonts w:asciiTheme="minorHAnsi" w:hAnsiTheme="minorHAnsi" w:cstheme="minorHAnsi"/>
          <w:sz w:val="22"/>
        </w:rPr>
        <w:t xml:space="preserve"> cooperation in nature conservation, (f) role of scientific knowledge in </w:t>
      </w:r>
      <w:r w:rsidR="009F16BA" w:rsidRPr="007C4D65">
        <w:rPr>
          <w:rFonts w:asciiTheme="minorHAnsi" w:hAnsiTheme="minorHAnsi" w:cstheme="minorHAnsi"/>
          <w:sz w:val="22"/>
        </w:rPr>
        <w:t xml:space="preserve">decision-making  </w:t>
      </w:r>
      <w:r w:rsidRPr="007C4D65">
        <w:rPr>
          <w:rFonts w:asciiTheme="minorHAnsi" w:hAnsiTheme="minorHAnsi" w:cstheme="minorHAnsi"/>
          <w:sz w:val="22"/>
        </w:rPr>
        <w:t>, (g) role of environmental awareness in nature conservation action, (h) funding of measures for achievement of the strategic goal in the area of biodiversity, and nature conservation.</w:t>
      </w:r>
    </w:p>
    <w:p w14:paraId="27C56E9D" w14:textId="71BFD89B" w:rsidR="005E22EF" w:rsidRPr="007C4D65" w:rsidRDefault="0012427C" w:rsidP="0068355A">
      <w:pPr>
        <w:spacing w:line="276" w:lineRule="auto"/>
        <w:rPr>
          <w:rFonts w:asciiTheme="minorHAnsi" w:hAnsiTheme="minorHAnsi" w:cstheme="minorHAnsi"/>
          <w:sz w:val="22"/>
          <w:szCs w:val="22"/>
          <w:u w:val="single"/>
        </w:rPr>
      </w:pPr>
      <w:r w:rsidRPr="007C4D65">
        <w:rPr>
          <w:rFonts w:asciiTheme="minorHAnsi" w:hAnsiTheme="minorHAnsi" w:cstheme="minorHAnsi"/>
          <w:i/>
          <w:sz w:val="22"/>
          <w:u w:val="single"/>
        </w:rPr>
        <w:t>L</w:t>
      </w:r>
      <w:r w:rsidR="005E22EF" w:rsidRPr="007C4D65">
        <w:rPr>
          <w:rFonts w:asciiTheme="minorHAnsi" w:hAnsiTheme="minorHAnsi" w:cstheme="minorHAnsi"/>
          <w:i/>
          <w:sz w:val="22"/>
          <w:u w:val="single"/>
        </w:rPr>
        <w:t>egal framework for sustainable management of biodiversity and nature conservation</w:t>
      </w:r>
      <w:bookmarkStart w:id="109" w:name="_Hlk93256623"/>
    </w:p>
    <w:p w14:paraId="5C31342E" w14:textId="37A45950" w:rsidR="005E22EF" w:rsidRPr="007C4D65" w:rsidRDefault="005E22E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Given the division of responsibilities, the legal framework for biodiversity and nature conservation of the Federation of BiH comprises a set of environmental laws, and various sectoral laws in the field of forestry, veterinary medicine, hunting, agriculture, water management and others </w:t>
      </w:r>
      <w:r w:rsidRPr="007C4D65">
        <w:rPr>
          <w:rFonts w:asciiTheme="minorHAnsi" w:hAnsiTheme="minorHAnsi" w:cstheme="minorHAnsi"/>
        </w:rPr>
        <w:t>In accordance with the international commitments</w:t>
      </w:r>
      <w:r w:rsidRPr="007C4D65">
        <w:rPr>
          <w:rFonts w:asciiTheme="minorHAnsi" w:hAnsiTheme="minorHAnsi" w:cstheme="minorHAnsi"/>
          <w:sz w:val="22"/>
        </w:rPr>
        <w:t xml:space="preserve"> </w:t>
      </w:r>
      <w:r w:rsidR="00EE0457" w:rsidRPr="007C4D65">
        <w:rPr>
          <w:rFonts w:asciiTheme="minorHAnsi" w:hAnsiTheme="minorHAnsi" w:cstheme="minorHAnsi"/>
          <w:sz w:val="22"/>
        </w:rPr>
        <w:fldChar w:fldCharType="begin"/>
      </w:r>
      <w:r w:rsidR="00EE0457" w:rsidRPr="007C4D65">
        <w:rPr>
          <w:rFonts w:asciiTheme="minorHAnsi" w:hAnsiTheme="minorHAnsi" w:cstheme="minorHAnsi"/>
          <w:sz w:val="22"/>
        </w:rPr>
        <w:instrText xml:space="preserve"> ADDIN ZOTERO_ITEM CSL_CITATION {"citationID":"I4bJu6mn","properties":{"formattedCitation":"(\\uc0\\u8216{}Sl. glasnik BiH\\uc0\\u8217{}, broj 10/08 2008)","plainCitation":"(‘Sl. glasnik BiH’, broj 10/08 2008)","noteIndex":0},"citationItems":[{"id":1476,"uris":["http://zotero.org/users/7192877/items/DEVITUNE"],"itemData":{"id":1476,"type":"legislation","title":"Sporazum o stabilizaciji i pridruživanju između Evropskih zajednica i njihovih država članica, sa jedne strane i Bosne i Hercegovine, sa druge strane","URL":"http://www.ads.gov.ba/v2/attachments/2277_BOS_opt_1.pdf","author":[{"family":"\"Sl. glasnik BiH\", broj 10/08","given":""}],"issued":{"date-parts":[["2008"]]}}}],"schema":"https://github.com/citation-style-language/schema/raw/master/csl-citation.json"} </w:instrText>
      </w:r>
      <w:r w:rsidR="00EE0457" w:rsidRPr="007C4D65">
        <w:rPr>
          <w:rFonts w:asciiTheme="minorHAnsi" w:hAnsiTheme="minorHAnsi" w:cstheme="minorHAnsi"/>
          <w:sz w:val="22"/>
        </w:rPr>
        <w:fldChar w:fldCharType="separate"/>
      </w:r>
      <w:r w:rsidR="00EE0457" w:rsidRPr="007C4D65">
        <w:rPr>
          <w:rFonts w:asciiTheme="minorHAnsi" w:hAnsiTheme="minorHAnsi" w:cstheme="minorHAnsi"/>
          <w:sz w:val="22"/>
        </w:rPr>
        <w:t>("</w:t>
      </w:r>
      <w:r w:rsidR="00AE25FA" w:rsidRPr="007C4D65">
        <w:rPr>
          <w:rFonts w:asciiTheme="minorHAnsi" w:hAnsiTheme="minorHAnsi" w:cstheme="minorHAnsi"/>
          <w:sz w:val="22"/>
        </w:rPr>
        <w:t>Official Gazette of BiH</w:t>
      </w:r>
      <w:r w:rsidR="00EE0457" w:rsidRPr="007C4D65">
        <w:rPr>
          <w:rFonts w:asciiTheme="minorHAnsi" w:hAnsiTheme="minorHAnsi" w:cstheme="minorHAnsi"/>
          <w:sz w:val="22"/>
        </w:rPr>
        <w:t>", 10/08)</w:t>
      </w:r>
      <w:r w:rsidR="00EE0457" w:rsidRPr="007C4D65">
        <w:rPr>
          <w:rFonts w:asciiTheme="minorHAnsi" w:hAnsiTheme="minorHAnsi" w:cstheme="minorHAnsi"/>
          <w:sz w:val="22"/>
        </w:rPr>
        <w:fldChar w:fldCharType="end"/>
      </w:r>
      <w:r w:rsidRPr="007C4D65">
        <w:rPr>
          <w:rFonts w:asciiTheme="minorHAnsi" w:hAnsiTheme="minorHAnsi" w:cstheme="minorHAnsi"/>
          <w:sz w:val="22"/>
        </w:rPr>
        <w:t xml:space="preserve">, one of the responsibilities of the Federation of BiH is to align its environmental legislation with the EU acquis, especially with the Habitats Directive (Directive 92/43/EC), Directive on the Protection of Wild Birds (2009/147/EC) </w:t>
      </w:r>
      <w:r w:rsidR="0043106B" w:rsidRPr="007C4D65">
        <w:rPr>
          <w:rFonts w:asciiTheme="minorHAnsi" w:hAnsiTheme="minorHAnsi" w:cstheme="minorHAnsi"/>
          <w:sz w:val="22"/>
        </w:rPr>
        <w:fldChar w:fldCharType="begin"/>
      </w:r>
      <w:r w:rsidR="00F4000D" w:rsidRPr="007C4D65">
        <w:rPr>
          <w:rFonts w:asciiTheme="minorHAnsi" w:hAnsiTheme="minorHAnsi" w:cstheme="minorHAnsi"/>
          <w:sz w:val="22"/>
        </w:rPr>
        <w:instrText xml:space="preserve"> ADDIN ZOTERO_ITEM CSL_CITATION {"citationID":"X5AARAg9","properties":{"formattedCitation":"(Direktiva 92/43/EZ 1992)","plainCitation":"(Direktiva 92/43/EZ 1992)","noteIndex":0},"citationItems":[{"id":1477,"uris":["http://zotero.org/users/7192877/items/7FL9Z8FB"],"itemData":{"id":1477,"type":"legislation","title":"Direktiva 92/43/EZ Evropskog parlamenta i Savjeta o očuvanju prirodnih staništa i divlje faune i flore","author":[{"family":"Direktiva 92/43/EZ","given":""}],"issued":{"date-parts":[["1992"]]}}}],"schema":"https://github.com/citation-style-language/schema/raw/master/csl-citation.json"} </w:instrText>
      </w:r>
      <w:r w:rsidR="0043106B" w:rsidRPr="007C4D65">
        <w:rPr>
          <w:rFonts w:asciiTheme="minorHAnsi" w:hAnsiTheme="minorHAnsi" w:cstheme="minorHAnsi"/>
          <w:sz w:val="22"/>
        </w:rPr>
        <w:fldChar w:fldCharType="separate"/>
      </w:r>
      <w:r w:rsidR="0043106B" w:rsidRPr="007C4D65">
        <w:rPr>
          <w:rFonts w:asciiTheme="minorHAnsi" w:hAnsiTheme="minorHAnsi" w:cstheme="minorHAnsi"/>
          <w:sz w:val="22"/>
        </w:rPr>
        <w:t>(</w:t>
      </w:r>
      <w:r w:rsidR="00C33249" w:rsidRPr="007C4D65">
        <w:rPr>
          <w:rFonts w:asciiTheme="minorHAnsi" w:hAnsiTheme="minorHAnsi" w:cstheme="minorHAnsi"/>
          <w:sz w:val="22"/>
        </w:rPr>
        <w:t>Directive</w:t>
      </w:r>
      <w:r w:rsidR="001A2A48" w:rsidRPr="007C4D65">
        <w:rPr>
          <w:rFonts w:asciiTheme="minorHAnsi" w:hAnsiTheme="minorHAnsi" w:cstheme="minorHAnsi"/>
          <w:sz w:val="22"/>
        </w:rPr>
        <w:t xml:space="preserve"> </w:t>
      </w:r>
      <w:r w:rsidR="0043106B" w:rsidRPr="007C4D65">
        <w:rPr>
          <w:rFonts w:asciiTheme="minorHAnsi" w:hAnsiTheme="minorHAnsi" w:cstheme="minorHAnsi"/>
          <w:sz w:val="22"/>
        </w:rPr>
        <w:t>92/43/E</w:t>
      </w:r>
      <w:r w:rsidR="001A2A48" w:rsidRPr="007C4D65">
        <w:rPr>
          <w:rFonts w:asciiTheme="minorHAnsi" w:hAnsiTheme="minorHAnsi" w:cstheme="minorHAnsi"/>
          <w:sz w:val="22"/>
        </w:rPr>
        <w:t>C</w:t>
      </w:r>
      <w:r w:rsidR="0043106B" w:rsidRPr="007C4D65">
        <w:rPr>
          <w:rFonts w:asciiTheme="minorHAnsi" w:hAnsiTheme="minorHAnsi" w:cstheme="minorHAnsi"/>
          <w:sz w:val="22"/>
        </w:rPr>
        <w:t>)</w:t>
      </w:r>
      <w:r w:rsidR="0043106B" w:rsidRPr="007C4D65">
        <w:rPr>
          <w:rFonts w:asciiTheme="minorHAnsi" w:hAnsiTheme="minorHAnsi" w:cstheme="minorHAnsi"/>
          <w:sz w:val="22"/>
        </w:rPr>
        <w:fldChar w:fldCharType="end"/>
      </w:r>
      <w:r w:rsidRPr="007C4D65">
        <w:rPr>
          <w:rFonts w:asciiTheme="minorHAnsi" w:hAnsiTheme="minorHAnsi" w:cstheme="minorHAnsi"/>
          <w:sz w:val="22"/>
        </w:rPr>
        <w:t xml:space="preserve">, Directive on the Protection of Wild Birds </w:t>
      </w:r>
      <w:r w:rsidRPr="007C4D65">
        <w:rPr>
          <w:rFonts w:asciiTheme="minorHAnsi" w:hAnsiTheme="minorHAnsi" w:cstheme="minorHAnsi"/>
          <w:sz w:val="22"/>
        </w:rPr>
        <w:fldChar w:fldCharType="begin"/>
      </w:r>
      <w:r w:rsidR="007F27DD" w:rsidRPr="007C4D65">
        <w:rPr>
          <w:rFonts w:asciiTheme="minorHAnsi" w:hAnsiTheme="minorHAnsi" w:cstheme="minorHAnsi"/>
          <w:sz w:val="22"/>
        </w:rPr>
        <w:instrText xml:space="preserve"> ADDIN ZOTERO_ITEM CSL_CITATION {"citationID":"hrnpB9OA","properties":{"formattedCitation":"(Direktiva 2009/147/EZ n.d.)","plainCitation":"(Direktiva 2009/147/EZ n.d.)","dontUpdate":true,"noteIndex":0},"citationItems":[{"id":1074,"uris":["http://zotero.org/groups/2653216/items/YR3RL8H7"],"itemData":{"id":1074,"type":"book","language":"sl","publisher":"EC","title":"Direktiva 2009/147/EZ Evropskog parlamenta i Savjeta o očuvanju divljih ptica","author":[{"family":"Direktiva 2009/147/EZ","given":""}]}}],"schema":"https://github.com/citation-style-language/schema/raw/master/csl-citation.json"} </w:instrText>
      </w:r>
      <w:r w:rsidRPr="007C4D65">
        <w:rPr>
          <w:rFonts w:asciiTheme="minorHAnsi" w:hAnsiTheme="minorHAnsi" w:cstheme="minorHAnsi"/>
          <w:sz w:val="22"/>
        </w:rPr>
        <w:fldChar w:fldCharType="separate"/>
      </w:r>
      <w:r w:rsidRPr="007C4D65">
        <w:rPr>
          <w:rFonts w:asciiTheme="minorHAnsi" w:hAnsiTheme="minorHAnsi" w:cstheme="minorHAnsi"/>
          <w:sz w:val="22"/>
        </w:rPr>
        <w:t>(</w:t>
      </w:r>
      <w:r w:rsidR="00C33249" w:rsidRPr="007C4D65">
        <w:rPr>
          <w:rFonts w:asciiTheme="minorHAnsi" w:hAnsiTheme="minorHAnsi" w:cstheme="minorHAnsi"/>
          <w:sz w:val="22"/>
        </w:rPr>
        <w:t>Directive</w:t>
      </w:r>
      <w:r w:rsidRPr="007C4D65">
        <w:rPr>
          <w:rFonts w:asciiTheme="minorHAnsi" w:hAnsiTheme="minorHAnsi" w:cstheme="minorHAnsi"/>
          <w:sz w:val="22"/>
        </w:rPr>
        <w:t xml:space="preserve"> 2009/147/E</w:t>
      </w:r>
      <w:r w:rsidR="001A2A48" w:rsidRPr="007C4D65">
        <w:rPr>
          <w:rFonts w:asciiTheme="minorHAnsi" w:hAnsiTheme="minorHAnsi" w:cstheme="minorHAnsi"/>
          <w:sz w:val="22"/>
        </w:rPr>
        <w:t>C</w:t>
      </w:r>
      <w:r w:rsidRPr="007C4D65">
        <w:rPr>
          <w:rFonts w:asciiTheme="minorHAnsi" w:hAnsiTheme="minorHAnsi" w:cstheme="minorHAnsi"/>
          <w:sz w:val="22"/>
        </w:rPr>
        <w:t>)</w:t>
      </w:r>
      <w:r w:rsidRPr="007C4D65">
        <w:rPr>
          <w:rFonts w:asciiTheme="minorHAnsi" w:hAnsiTheme="minorHAnsi" w:cstheme="minorHAnsi"/>
          <w:sz w:val="22"/>
        </w:rPr>
        <w:fldChar w:fldCharType="end"/>
      </w:r>
      <w:r w:rsidRPr="007C4D65">
        <w:rPr>
          <w:rFonts w:asciiTheme="minorHAnsi" w:hAnsiTheme="minorHAnsi" w:cstheme="minorHAnsi"/>
          <w:sz w:val="22"/>
        </w:rPr>
        <w:t xml:space="preserve">, and regulations which govern the matters of the international agreements signed by EU. </w:t>
      </w:r>
      <w:r w:rsidRPr="007C4D65">
        <w:rPr>
          <w:rFonts w:asciiTheme="minorHAnsi" w:hAnsiTheme="minorHAnsi" w:cstheme="minorHAnsi"/>
        </w:rPr>
        <w:t xml:space="preserve">The Law on Nature Conservation is the main piece of legislation in this area </w:t>
      </w:r>
      <w:r w:rsidR="00EE0457" w:rsidRPr="007C4D65">
        <w:rPr>
          <w:rFonts w:asciiTheme="minorHAnsi" w:hAnsiTheme="minorHAnsi" w:cstheme="minorHAnsi"/>
          <w:sz w:val="22"/>
        </w:rPr>
        <w:fldChar w:fldCharType="begin"/>
      </w:r>
      <w:r w:rsidR="00EE0457" w:rsidRPr="007C4D65">
        <w:rPr>
          <w:rFonts w:asciiTheme="minorHAnsi" w:hAnsiTheme="minorHAnsi" w:cstheme="minorHAnsi"/>
          <w:sz w:val="22"/>
        </w:rPr>
        <w:instrText xml:space="preserve"> ADDIN ZOTERO_ITEM CSL_CITATION {"citationID":"IfFIjnnj","properties":{"formattedCitation":"(\\uc0\\u8216{}Sl. novine Federacije BiH\\uc0\\u8217{}, broj 66/13 2013)","plainCitation":"(‘Sl. novine Federacije BiH’, broj 66/13 2013)","noteIndex":0},"citationItems":[{"id":1475,"uris":["http://zotero.org/users/7192877/items/FMSGUYRD"],"itemData":{"id":1475,"type":"legislation","title":"Zakon o zaštiti prirode Federacije BiH","URL":"https://www.fmoit.gov.ba/upload/file/okolis/Zakon%20o%20za%C5%A1titi%20prirode%20Sl.%20nov%20F%20BIH%2066-13.pdf","author":[{"family":"\"Sl. novine Federacije BiH\", broj 66/13","given":""}],"issued":{"date-parts":[["2013"]]}}}],"schema":"https://github.com/citation-style-language/schema/raw/master/csl-citation.json"} </w:instrText>
      </w:r>
      <w:r w:rsidR="00EE0457" w:rsidRPr="007C4D65">
        <w:rPr>
          <w:rFonts w:asciiTheme="minorHAnsi" w:hAnsiTheme="minorHAnsi" w:cstheme="minorHAnsi"/>
          <w:sz w:val="22"/>
        </w:rPr>
        <w:fldChar w:fldCharType="separate"/>
      </w:r>
      <w:r w:rsidR="00EE0457" w:rsidRPr="007C4D65">
        <w:rPr>
          <w:rFonts w:asciiTheme="minorHAnsi" w:hAnsiTheme="minorHAnsi" w:cstheme="minorHAnsi"/>
          <w:sz w:val="22"/>
        </w:rPr>
        <w:t>("</w:t>
      </w:r>
      <w:r w:rsidR="00116A22" w:rsidRPr="007C4D65">
        <w:rPr>
          <w:rFonts w:asciiTheme="minorHAnsi" w:hAnsiTheme="minorHAnsi" w:cstheme="minorHAnsi"/>
          <w:sz w:val="22"/>
        </w:rPr>
        <w:t>Official Gazette of the Federation of BiH</w:t>
      </w:r>
      <w:r w:rsidR="00EE0457" w:rsidRPr="007C4D65">
        <w:rPr>
          <w:rFonts w:asciiTheme="minorHAnsi" w:hAnsiTheme="minorHAnsi" w:cstheme="minorHAnsi"/>
          <w:sz w:val="22"/>
        </w:rPr>
        <w:t>", 66/13)</w:t>
      </w:r>
      <w:r w:rsidR="00EE0457" w:rsidRPr="007C4D65">
        <w:rPr>
          <w:rFonts w:asciiTheme="minorHAnsi" w:hAnsiTheme="minorHAnsi" w:cstheme="minorHAnsi"/>
          <w:sz w:val="22"/>
        </w:rPr>
        <w:fldChar w:fldCharType="end"/>
      </w:r>
      <w:r w:rsidRPr="007C4D65">
        <w:rPr>
          <w:rFonts w:asciiTheme="minorHAnsi" w:hAnsiTheme="minorHAnsi" w:cstheme="minorHAnsi"/>
          <w:sz w:val="22"/>
        </w:rPr>
        <w:t>, which relies on the provisions of ratified international agreements in the area of biodiversity including: The Convention on Biodiversity, Convention on International Trade in Endangered Species of Animals and Plants, Convention on the Conservation of European Wildlife and Natural Habitats, Convention on Migratory Species of Wild Animals, and the provisions of the aforementioned EU Directives. Given the current lack of financial, technical and human capacity in the field of biodiversity preservation and nature conservation, the implementation of the Law represents a significant challenge for the FBiH. Furthermore, a full alignment of the Law on Nature Conservation of the Federation of BiH, and of all other laws with the EU acquis is an extremely demanding process, wherein it is important to distinguish between the horizontal (</w:t>
      </w:r>
      <w:r w:rsidR="00007DA5" w:rsidRPr="007C4D65">
        <w:rPr>
          <w:rFonts w:asciiTheme="minorHAnsi" w:hAnsiTheme="minorHAnsi" w:cstheme="minorHAnsi"/>
          <w:sz w:val="22"/>
        </w:rPr>
        <w:t>cross-sectoral</w:t>
      </w:r>
      <w:r w:rsidRPr="007C4D65">
        <w:rPr>
          <w:rFonts w:asciiTheme="minorHAnsi" w:hAnsiTheme="minorHAnsi" w:cstheme="minorHAnsi"/>
          <w:sz w:val="22"/>
        </w:rPr>
        <w:t>) and vertical (coordinated with other administrative levels)</w:t>
      </w:r>
      <w:r w:rsidR="00007DA5" w:rsidRPr="007C4D65">
        <w:rPr>
          <w:rFonts w:asciiTheme="minorHAnsi" w:hAnsiTheme="minorHAnsi" w:cstheme="minorHAnsi"/>
          <w:sz w:val="22"/>
        </w:rPr>
        <w:t xml:space="preserve"> </w:t>
      </w:r>
      <w:r w:rsidRPr="007C4D65">
        <w:rPr>
          <w:rFonts w:asciiTheme="minorHAnsi" w:hAnsiTheme="minorHAnsi" w:cstheme="minorHAnsi"/>
          <w:sz w:val="22"/>
        </w:rPr>
        <w:t xml:space="preserve">alignment. Horizontal alignment of national legislation for nature protection /conservation with the EU acquis is the responsibility of a several institutions at the Federation and Cantonal level, and their cooperation requires legally defined and mutually agreed </w:t>
      </w:r>
      <w:r w:rsidRPr="007C4D65">
        <w:rPr>
          <w:rFonts w:asciiTheme="minorHAnsi" w:hAnsiTheme="minorHAnsi" w:cstheme="minorHAnsi"/>
          <w:sz w:val="22"/>
        </w:rPr>
        <w:lastRenderedPageBreak/>
        <w:t>mechanisms. Vertical alignment with the biodiversity and nature conservation EU acquis in the Federation of BiH requires:</w:t>
      </w:r>
    </w:p>
    <w:p w14:paraId="66ABBCEC" w14:textId="77777777" w:rsidR="005E22EF" w:rsidRPr="007C4D65" w:rsidRDefault="005E22EF" w:rsidP="0068355A">
      <w:pPr>
        <w:numPr>
          <w:ilvl w:val="2"/>
          <w:numId w:val="7"/>
        </w:numPr>
        <w:spacing w:before="240" w:after="240" w:line="276" w:lineRule="auto"/>
        <w:ind w:left="723"/>
        <w:contextualSpacing/>
        <w:jc w:val="both"/>
        <w:rPr>
          <w:rFonts w:asciiTheme="minorHAnsi" w:hAnsiTheme="minorHAnsi" w:cstheme="minorHAnsi"/>
          <w:sz w:val="22"/>
          <w:szCs w:val="22"/>
        </w:rPr>
      </w:pPr>
      <w:r w:rsidRPr="007C4D65">
        <w:rPr>
          <w:rFonts w:asciiTheme="minorHAnsi" w:hAnsiTheme="minorHAnsi" w:cstheme="minorHAnsi"/>
          <w:sz w:val="22"/>
        </w:rPr>
        <w:t xml:space="preserve">Developed guidelines for harmonization and implementation of international agreements on biodiversity of which BiH is a </w:t>
      </w:r>
      <w:proofErr w:type="gramStart"/>
      <w:r w:rsidRPr="007C4D65">
        <w:rPr>
          <w:rFonts w:asciiTheme="minorHAnsi" w:hAnsiTheme="minorHAnsi" w:cstheme="minorHAnsi"/>
          <w:sz w:val="22"/>
        </w:rPr>
        <w:t>member;</w:t>
      </w:r>
      <w:proofErr w:type="gramEnd"/>
    </w:p>
    <w:p w14:paraId="657B9F5F" w14:textId="77777777" w:rsidR="005E22EF" w:rsidRPr="007C4D65" w:rsidRDefault="005E22EF" w:rsidP="0068355A">
      <w:pPr>
        <w:numPr>
          <w:ilvl w:val="2"/>
          <w:numId w:val="7"/>
        </w:numPr>
        <w:spacing w:before="240" w:after="240" w:line="276" w:lineRule="auto"/>
        <w:ind w:left="723"/>
        <w:contextualSpacing/>
        <w:jc w:val="both"/>
        <w:rPr>
          <w:rFonts w:asciiTheme="minorHAnsi" w:hAnsiTheme="minorHAnsi" w:cstheme="minorHAnsi"/>
          <w:sz w:val="22"/>
          <w:szCs w:val="22"/>
        </w:rPr>
      </w:pPr>
      <w:r w:rsidRPr="007C4D65">
        <w:rPr>
          <w:rFonts w:asciiTheme="minorHAnsi" w:hAnsiTheme="minorHAnsi" w:cstheme="minorHAnsi"/>
          <w:sz w:val="22"/>
        </w:rPr>
        <w:t xml:space="preserve">A developed effective legal basis for cooperation in the area of nature protection/ conservation with the </w:t>
      </w:r>
      <w:proofErr w:type="spellStart"/>
      <w:r w:rsidRPr="007C4D65">
        <w:rPr>
          <w:rFonts w:asciiTheme="minorHAnsi" w:hAnsiTheme="minorHAnsi" w:cstheme="minorHAnsi"/>
          <w:sz w:val="22"/>
        </w:rPr>
        <w:t>Republika</w:t>
      </w:r>
      <w:proofErr w:type="spellEnd"/>
      <w:r w:rsidRPr="007C4D65">
        <w:rPr>
          <w:rFonts w:asciiTheme="minorHAnsi" w:hAnsiTheme="minorHAnsi" w:cstheme="minorHAnsi"/>
          <w:sz w:val="22"/>
        </w:rPr>
        <w:t xml:space="preserve"> Srpska and the Brcko District of </w:t>
      </w:r>
      <w:proofErr w:type="gramStart"/>
      <w:r w:rsidRPr="007C4D65">
        <w:rPr>
          <w:rFonts w:asciiTheme="minorHAnsi" w:hAnsiTheme="minorHAnsi" w:cstheme="minorHAnsi"/>
          <w:sz w:val="22"/>
        </w:rPr>
        <w:t>BiH;</w:t>
      </w:r>
      <w:proofErr w:type="gramEnd"/>
    </w:p>
    <w:p w14:paraId="529DE018" w14:textId="5CBDE7E1" w:rsidR="005E22EF" w:rsidRPr="007C4D65" w:rsidRDefault="005E22EF" w:rsidP="0068355A">
      <w:pPr>
        <w:numPr>
          <w:ilvl w:val="2"/>
          <w:numId w:val="7"/>
        </w:numPr>
        <w:spacing w:before="240" w:line="276" w:lineRule="auto"/>
        <w:ind w:left="723"/>
        <w:contextualSpacing/>
        <w:jc w:val="both"/>
        <w:rPr>
          <w:rFonts w:asciiTheme="minorHAnsi" w:hAnsiTheme="minorHAnsi" w:cstheme="minorHAnsi"/>
          <w:sz w:val="22"/>
          <w:szCs w:val="22"/>
        </w:rPr>
      </w:pPr>
      <w:r w:rsidRPr="007C4D65">
        <w:rPr>
          <w:rFonts w:asciiTheme="minorHAnsi" w:hAnsiTheme="minorHAnsi" w:cstheme="minorHAnsi"/>
          <w:sz w:val="22"/>
        </w:rPr>
        <w:t xml:space="preserve">A developed effective legal basis for coordination in the development and implementation of sectoral regulations for nature protection/conservation in the Cantons of the Federation of </w:t>
      </w:r>
      <w:proofErr w:type="gramStart"/>
      <w:r w:rsidRPr="007C4D65">
        <w:rPr>
          <w:rFonts w:asciiTheme="minorHAnsi" w:hAnsiTheme="minorHAnsi" w:cstheme="minorHAnsi"/>
          <w:sz w:val="22"/>
        </w:rPr>
        <w:t>BiH;</w:t>
      </w:r>
      <w:proofErr w:type="gramEnd"/>
    </w:p>
    <w:p w14:paraId="0DAAD7BB" w14:textId="7C759D8B" w:rsidR="005E22EF" w:rsidRPr="007C4D65" w:rsidRDefault="005E22EF" w:rsidP="0068355A">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In addition to the complexity of these processes, as the main challenge in establishing the legal framework of good quality, the fact that BiH has not signed the protocols and agreements (Nagoya, AEWA) important for biodiversity management, </w:t>
      </w:r>
      <w:proofErr w:type="gramStart"/>
      <w:r w:rsidRPr="007C4D65">
        <w:rPr>
          <w:rFonts w:asciiTheme="minorHAnsi" w:hAnsiTheme="minorHAnsi" w:cstheme="minorHAnsi"/>
          <w:sz w:val="22"/>
        </w:rPr>
        <w:t>As</w:t>
      </w:r>
      <w:proofErr w:type="gramEnd"/>
      <w:r w:rsidRPr="007C4D65">
        <w:rPr>
          <w:rFonts w:asciiTheme="minorHAnsi" w:hAnsiTheme="minorHAnsi" w:cstheme="minorHAnsi"/>
          <w:sz w:val="22"/>
        </w:rPr>
        <w:t xml:space="preserve"> a result, the Federation of BiH has not adopted the relevant legislation. </w:t>
      </w:r>
      <w:proofErr w:type="gramStart"/>
      <w:r w:rsidRPr="007C4D65">
        <w:rPr>
          <w:rFonts w:asciiTheme="minorHAnsi" w:hAnsiTheme="minorHAnsi" w:cstheme="minorHAnsi"/>
          <w:sz w:val="22"/>
        </w:rPr>
        <w:t>In order to</w:t>
      </w:r>
      <w:proofErr w:type="gramEnd"/>
      <w:r w:rsidRPr="007C4D65">
        <w:rPr>
          <w:rFonts w:asciiTheme="minorHAnsi" w:hAnsiTheme="minorHAnsi" w:cstheme="minorHAnsi"/>
          <w:sz w:val="22"/>
        </w:rPr>
        <w:t xml:space="preserve"> overcome these challenges, it is necessary, first of all, to synchronize the development of the legal framework of the Federation of BiH with the legal framework at the level of Bosnia and Herzegovina, </w:t>
      </w:r>
      <w:proofErr w:type="spellStart"/>
      <w:r w:rsidRPr="007C4D65">
        <w:rPr>
          <w:rFonts w:asciiTheme="minorHAnsi" w:hAnsiTheme="minorHAnsi" w:cstheme="minorHAnsi"/>
          <w:sz w:val="22"/>
        </w:rPr>
        <w:t>Republika</w:t>
      </w:r>
      <w:proofErr w:type="spellEnd"/>
      <w:r w:rsidRPr="007C4D65">
        <w:rPr>
          <w:rFonts w:asciiTheme="minorHAnsi" w:hAnsiTheme="minorHAnsi" w:cstheme="minorHAnsi"/>
          <w:sz w:val="22"/>
        </w:rPr>
        <w:t xml:space="preserve"> Srpska and the Brcko District.</w:t>
      </w:r>
    </w:p>
    <w:p w14:paraId="6E22E0B2" w14:textId="61B86DE3" w:rsidR="005E22EF" w:rsidRPr="007C4D65" w:rsidRDefault="005E22E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It should be noted </w:t>
      </w:r>
      <w:r w:rsidR="001A2A48" w:rsidRPr="007C4D65">
        <w:rPr>
          <w:rFonts w:asciiTheme="minorHAnsi" w:hAnsiTheme="minorHAnsi" w:cstheme="minorHAnsi"/>
          <w:sz w:val="22"/>
        </w:rPr>
        <w:t>that</w:t>
      </w:r>
      <w:r w:rsidRPr="007C4D65">
        <w:rPr>
          <w:rFonts w:asciiTheme="minorHAnsi" w:hAnsiTheme="minorHAnsi" w:cstheme="minorHAnsi"/>
          <w:sz w:val="22"/>
        </w:rPr>
        <w:t xml:space="preserve"> the </w:t>
      </w:r>
      <w:r w:rsidR="001E6E20" w:rsidRPr="007C4D65">
        <w:rPr>
          <w:rFonts w:asciiTheme="minorHAnsi" w:hAnsiTheme="minorHAnsi" w:cstheme="minorHAnsi"/>
          <w:sz w:val="22"/>
        </w:rPr>
        <w:t>Federation Ministry</w:t>
      </w:r>
      <w:r w:rsidRPr="007C4D65">
        <w:rPr>
          <w:rFonts w:asciiTheme="minorHAnsi" w:hAnsiTheme="minorHAnsi" w:cstheme="minorHAnsi"/>
          <w:sz w:val="22"/>
        </w:rPr>
        <w:t xml:space="preserve"> of Environment and Tourism is a key focal point for the Convention on Biodiversity for BiH, and to this and it is leading the processes for the preparation of the Strategy for the Protection of Biodiversity in BiH and </w:t>
      </w:r>
      <w:r w:rsidR="001A2A48" w:rsidRPr="007C4D65">
        <w:rPr>
          <w:rFonts w:asciiTheme="minorHAnsi" w:hAnsiTheme="minorHAnsi" w:cstheme="minorHAnsi"/>
          <w:sz w:val="22"/>
        </w:rPr>
        <w:t>other</w:t>
      </w:r>
      <w:r w:rsidRPr="007C4D65">
        <w:rPr>
          <w:rFonts w:asciiTheme="minorHAnsi" w:hAnsiTheme="minorHAnsi" w:cstheme="minorHAnsi"/>
          <w:sz w:val="22"/>
        </w:rPr>
        <w:t xml:space="preserve"> strategic documents </w:t>
      </w:r>
      <w:proofErr w:type="gramStart"/>
      <w:r w:rsidRPr="007C4D65">
        <w:rPr>
          <w:rFonts w:asciiTheme="minorHAnsi" w:hAnsiTheme="minorHAnsi" w:cstheme="minorHAnsi"/>
          <w:sz w:val="22"/>
        </w:rPr>
        <w:t>in the area of</w:t>
      </w:r>
      <w:proofErr w:type="gramEnd"/>
      <w:r w:rsidRPr="007C4D65">
        <w:rPr>
          <w:rFonts w:asciiTheme="minorHAnsi" w:hAnsiTheme="minorHAnsi" w:cstheme="minorHAnsi"/>
          <w:sz w:val="22"/>
        </w:rPr>
        <w:t xml:space="preserve"> biodiversity.</w:t>
      </w:r>
    </w:p>
    <w:bookmarkEnd w:id="109"/>
    <w:p w14:paraId="4B12FC9B" w14:textId="32826FF2" w:rsidR="005E22EF" w:rsidRPr="007C4D65" w:rsidRDefault="005E22EF" w:rsidP="0068355A">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institutional framework</w:t>
      </w:r>
    </w:p>
    <w:p w14:paraId="3271AE89" w14:textId="4729D289" w:rsidR="005E22EF" w:rsidRPr="007C4D65" w:rsidRDefault="005E22E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w:t>
      </w:r>
      <w:r w:rsidR="001E6E20" w:rsidRPr="007C4D65">
        <w:rPr>
          <w:rFonts w:asciiTheme="minorHAnsi" w:hAnsiTheme="minorHAnsi" w:cstheme="minorHAnsi"/>
          <w:sz w:val="22"/>
        </w:rPr>
        <w:t>Federation Ministry</w:t>
      </w:r>
      <w:r w:rsidRPr="007C4D65">
        <w:rPr>
          <w:rFonts w:asciiTheme="minorHAnsi" w:hAnsiTheme="minorHAnsi" w:cstheme="minorHAnsi"/>
          <w:sz w:val="22"/>
        </w:rPr>
        <w:t xml:space="preserve"> of Environment and Tourism carries out administrative, technical and other activities in the responsibility of the Federation of BiH pertaining to the nature, development of the environmental strategy and policy, implementation of projects, quality standards and ecological monitoring of nature (DEI, 2018). The Ministry has different sectors with specific divisions. The Division for preservation of biodiversity and landscape diversity and natural values devises and undertakes measures aimed at integrated protection of biodiversity and landscape diversity, preservation of natural assets of special interest and sustainable use of biodiversity. The Division for preservation of natural values and eco-tourism devises and undertakes measures aimed at integrated protection and preservation of natural assets of special interest for the Federation of BiH/BiH, and protected area falling under the competence of the Federation of BiH (categories I and II). The Division for environmental impact assessment addressed, among other issues pertinent to </w:t>
      </w:r>
      <w:r w:rsidR="001A2A48" w:rsidRPr="007C4D65">
        <w:rPr>
          <w:rFonts w:asciiTheme="minorHAnsi" w:hAnsiTheme="minorHAnsi" w:cstheme="minorHAnsi"/>
          <w:sz w:val="22"/>
        </w:rPr>
        <w:t>environmental</w:t>
      </w:r>
      <w:r w:rsidRPr="007C4D65">
        <w:rPr>
          <w:rFonts w:asciiTheme="minorHAnsi" w:hAnsiTheme="minorHAnsi" w:cstheme="minorHAnsi"/>
          <w:sz w:val="22"/>
        </w:rPr>
        <w:t xml:space="preserve"> impact assessment, with issues of biodiversity. </w:t>
      </w:r>
      <w:r w:rsidRPr="007C4D65">
        <w:rPr>
          <w:rFonts w:asciiTheme="minorHAnsi" w:hAnsiTheme="minorHAnsi" w:cstheme="minorHAnsi"/>
        </w:rPr>
        <w:t xml:space="preserve">The Sector for the implementation of projects formed a division, which among other things, is responsible for the management of protected areas </w:t>
      </w:r>
      <w:r w:rsidR="00E1088C" w:rsidRPr="007C4D65">
        <w:rPr>
          <w:rFonts w:asciiTheme="minorHAnsi" w:hAnsiTheme="minorHAnsi" w:cstheme="minorHAnsi"/>
          <w:sz w:val="22"/>
        </w:rPr>
        <w:fldChar w:fldCharType="begin"/>
      </w:r>
      <w:r w:rsidR="00E1088C" w:rsidRPr="007C4D65">
        <w:rPr>
          <w:rFonts w:asciiTheme="minorHAnsi" w:hAnsiTheme="minorHAnsi" w:cstheme="minorHAnsi"/>
          <w:sz w:val="22"/>
        </w:rPr>
        <w:instrText xml:space="preserve"> ADDIN ZOTERO_ITEM CSL_CITATION {"citationID":"GFUuvmpk","properties":{"formattedCitation":"(Vije\\uc0\\u263{}e ministara BiH 2018)","plainCitation":"(Vijeće ministara BiH 2018)","noteIndex":0},"citationItems":[{"id":1479,"uris":["http://zotero.org/users/7192877/items/EJ8R5PKN"],"itemData":{"id":1479,"type":"document","title":"Odgovori Bosne i Hercegovine na pitanja iz upitnika Evropske Komisije – Poglavlje 27.","URL":"https://www.dei.gov.ba/bs/odgovori-na-upitnik-ek","author":[{"family":"Vijeće ministara BiH","given":""}],"issued":{"date-parts":[["2018"]]}}}],"schema":"https://github.com/citation-style-language/schema/raw/master/csl-citation.json"} </w:instrText>
      </w:r>
      <w:r w:rsidR="00E1088C" w:rsidRPr="007C4D65">
        <w:rPr>
          <w:rFonts w:asciiTheme="minorHAnsi" w:hAnsiTheme="minorHAnsi" w:cstheme="minorHAnsi"/>
          <w:sz w:val="22"/>
        </w:rPr>
        <w:fldChar w:fldCharType="separate"/>
      </w:r>
      <w:r w:rsidR="00E1088C" w:rsidRPr="007C4D65">
        <w:rPr>
          <w:rFonts w:asciiTheme="minorHAnsi" w:hAnsiTheme="minorHAnsi" w:cstheme="minorHAnsi"/>
          <w:sz w:val="22"/>
        </w:rPr>
        <w:t>(</w:t>
      </w:r>
      <w:r w:rsidR="007B665D" w:rsidRPr="007C4D65">
        <w:rPr>
          <w:rFonts w:asciiTheme="minorHAnsi" w:hAnsiTheme="minorHAnsi" w:cstheme="minorHAnsi"/>
          <w:sz w:val="22"/>
        </w:rPr>
        <w:t>Council of Ministers of BiH</w:t>
      </w:r>
      <w:r w:rsidR="00EE0457" w:rsidRPr="007C4D65">
        <w:rPr>
          <w:rFonts w:asciiTheme="minorHAnsi" w:hAnsiTheme="minorHAnsi" w:cstheme="minorHAnsi"/>
          <w:sz w:val="22"/>
        </w:rPr>
        <w:t>,</w:t>
      </w:r>
      <w:r w:rsidR="00E1088C" w:rsidRPr="007C4D65">
        <w:rPr>
          <w:rFonts w:asciiTheme="minorHAnsi" w:hAnsiTheme="minorHAnsi" w:cstheme="minorHAnsi"/>
          <w:sz w:val="22"/>
        </w:rPr>
        <w:t xml:space="preserve"> 2018)</w:t>
      </w:r>
      <w:r w:rsidR="00E1088C" w:rsidRPr="007C4D65">
        <w:rPr>
          <w:rFonts w:asciiTheme="minorHAnsi" w:hAnsiTheme="minorHAnsi" w:cstheme="minorHAnsi"/>
          <w:sz w:val="22"/>
        </w:rPr>
        <w:fldChar w:fldCharType="end"/>
      </w:r>
      <w:r w:rsidRPr="007C4D65">
        <w:rPr>
          <w:rFonts w:asciiTheme="minorHAnsi" w:hAnsiTheme="minorHAnsi" w:cstheme="minorHAnsi"/>
          <w:sz w:val="22"/>
        </w:rPr>
        <w:t xml:space="preserve">. As the Institute of Nature Conservation, envisaged in the Law, has not been established yet, it is necessary to gradually develop a relevant </w:t>
      </w:r>
      <w:r w:rsidR="001A2A48" w:rsidRPr="007C4D65">
        <w:rPr>
          <w:rFonts w:asciiTheme="minorHAnsi" w:hAnsiTheme="minorHAnsi" w:cstheme="minorHAnsi"/>
          <w:sz w:val="22"/>
        </w:rPr>
        <w:t>institution</w:t>
      </w:r>
      <w:r w:rsidRPr="007C4D65">
        <w:rPr>
          <w:rFonts w:asciiTheme="minorHAnsi" w:hAnsiTheme="minorHAnsi" w:cstheme="minorHAnsi"/>
          <w:sz w:val="22"/>
        </w:rPr>
        <w:t xml:space="preserve"> which will carry out technical tasks of nature conservation in the Federation of BiH. Other most relevant institutions of the Federation of BiH which comprise the institutional framework include: (a) </w:t>
      </w:r>
      <w:r w:rsidR="001E6E20" w:rsidRPr="007C4D65">
        <w:rPr>
          <w:rFonts w:asciiTheme="minorHAnsi" w:hAnsiTheme="minorHAnsi" w:cstheme="minorHAnsi"/>
          <w:sz w:val="22"/>
        </w:rPr>
        <w:t>Federation Ministry</w:t>
      </w:r>
      <w:r w:rsidRPr="007C4D65">
        <w:rPr>
          <w:rFonts w:asciiTheme="minorHAnsi" w:hAnsiTheme="minorHAnsi" w:cstheme="minorHAnsi"/>
          <w:sz w:val="22"/>
        </w:rPr>
        <w:t xml:space="preserve"> of Agriculture, Water Management and Forestry (responsible for administrative, technical and other tasks falling in the competence of the Federation of BiH, which, among others, include the tasks such as: Protection of waters, </w:t>
      </w:r>
      <w:r w:rsidR="00C34761" w:rsidRPr="007C4D65">
        <w:rPr>
          <w:rFonts w:asciiTheme="minorHAnsi" w:hAnsiTheme="minorHAnsi" w:cstheme="minorHAnsi"/>
          <w:sz w:val="22"/>
        </w:rPr>
        <w:t>improvement</w:t>
      </w:r>
      <w:r w:rsidRPr="007C4D65">
        <w:rPr>
          <w:rFonts w:asciiTheme="minorHAnsi" w:hAnsiTheme="minorHAnsi" w:cstheme="minorHAnsi"/>
          <w:sz w:val="22"/>
        </w:rPr>
        <w:t xml:space="preserve"> of forestry production, and forest growing, regulation and improvement, state of wood stock, exploitation of forests, afforestation of degraded and coppice </w:t>
      </w:r>
      <w:r w:rsidRPr="007C4D65">
        <w:rPr>
          <w:rFonts w:asciiTheme="minorHAnsi" w:hAnsiTheme="minorHAnsi" w:cstheme="minorHAnsi"/>
          <w:sz w:val="22"/>
        </w:rPr>
        <w:lastRenderedPageBreak/>
        <w:t xml:space="preserve">forests, barren land and </w:t>
      </w:r>
      <w:r w:rsidR="00C33249" w:rsidRPr="007C4D65">
        <w:rPr>
          <w:rFonts w:asciiTheme="minorHAnsi" w:hAnsiTheme="minorHAnsi" w:cstheme="minorHAnsi"/>
          <w:sz w:val="22"/>
        </w:rPr>
        <w:t>k</w:t>
      </w:r>
      <w:r w:rsidRPr="007C4D65">
        <w:rPr>
          <w:rFonts w:asciiTheme="minorHAnsi" w:hAnsiTheme="minorHAnsi" w:cstheme="minorHAnsi"/>
          <w:sz w:val="22"/>
        </w:rPr>
        <w:t xml:space="preserve">arst area, hunting and hunting economy), (b) Environmental Protection Fund of the Federation of BiH (responsible for raising dedicated funds, promotion and funding the preparation, implementation and development of programmes, projects and similar </w:t>
      </w:r>
      <w:r w:rsidR="00C33249" w:rsidRPr="007C4D65">
        <w:rPr>
          <w:rFonts w:asciiTheme="minorHAnsi" w:hAnsiTheme="minorHAnsi" w:cstheme="minorHAnsi"/>
          <w:sz w:val="22"/>
        </w:rPr>
        <w:t>activities</w:t>
      </w:r>
      <w:r w:rsidRPr="007C4D65">
        <w:rPr>
          <w:rFonts w:asciiTheme="minorHAnsi" w:hAnsiTheme="minorHAnsi" w:cstheme="minorHAnsi"/>
          <w:sz w:val="22"/>
        </w:rPr>
        <w:t xml:space="preserve"> on preservation, sustainable use, protection and improvement of the environment, including other professional tasks as assigned to it pending the establishment of the Institute), and (c) Federal Administration for Inspection Affairs (which, in addition to three inspectorates, includes the Federal Inspection for Nature Conservation </w:t>
      </w:r>
      <w:r w:rsidR="001553E2" w:rsidRPr="007C4D65">
        <w:rPr>
          <w:rFonts w:asciiTheme="minorHAnsi" w:hAnsiTheme="minorHAnsi" w:cstheme="minorHAnsi"/>
          <w:sz w:val="22"/>
        </w:rPr>
        <w:fldChar w:fldCharType="begin"/>
      </w:r>
      <w:r w:rsidR="001553E2" w:rsidRPr="007C4D65">
        <w:rPr>
          <w:rFonts w:asciiTheme="minorHAnsi" w:hAnsiTheme="minorHAnsi" w:cstheme="minorHAnsi"/>
          <w:sz w:val="22"/>
        </w:rPr>
        <w:instrText xml:space="preserve"> ADDIN ZOTERO_ITEM CSL_CITATION {"citationID":"J31TNEGp","properties":{"formattedCitation":"(Vije\\uc0\\u263{}e ministara BiH 2018)","plainCitation":"(Vijeće ministara BiH 2018)","noteIndex":0},"citationItems":[{"id":1479,"uris":["http://zotero.org/users/7192877/items/EJ8R5PKN"],"itemData":{"id":1479,"type":"document","title":"Odgovori Bosne i Hercegovine na pitanja iz upitnika Evropske Komisije – Poglavlje 27.","URL":"https://www.dei.gov.ba/bs/odgovori-na-upitnik-ek","author":[{"family":"Vijeće ministara BiH","given":""}],"issued":{"date-parts":[["2018"]]}}}],"schema":"https://github.com/citation-style-language/schema/raw/master/csl-citation.json"} </w:instrText>
      </w:r>
      <w:r w:rsidR="001553E2" w:rsidRPr="007C4D65">
        <w:rPr>
          <w:rFonts w:asciiTheme="minorHAnsi" w:hAnsiTheme="minorHAnsi" w:cstheme="minorHAnsi"/>
          <w:sz w:val="22"/>
        </w:rPr>
        <w:fldChar w:fldCharType="separate"/>
      </w:r>
      <w:r w:rsidR="001553E2" w:rsidRPr="007C4D65">
        <w:rPr>
          <w:rFonts w:asciiTheme="minorHAnsi" w:hAnsiTheme="minorHAnsi" w:cstheme="minorHAnsi"/>
          <w:sz w:val="22"/>
        </w:rPr>
        <w:t>(</w:t>
      </w:r>
      <w:r w:rsidR="007B665D" w:rsidRPr="007C4D65">
        <w:rPr>
          <w:rFonts w:asciiTheme="minorHAnsi" w:hAnsiTheme="minorHAnsi" w:cstheme="minorHAnsi"/>
          <w:sz w:val="22"/>
        </w:rPr>
        <w:t>Council of Ministers of BiH</w:t>
      </w:r>
      <w:r w:rsidR="00EE0457" w:rsidRPr="007C4D65">
        <w:rPr>
          <w:rFonts w:asciiTheme="minorHAnsi" w:hAnsiTheme="minorHAnsi" w:cstheme="minorHAnsi"/>
          <w:sz w:val="22"/>
        </w:rPr>
        <w:t>,</w:t>
      </w:r>
      <w:r w:rsidR="001553E2" w:rsidRPr="007C4D65">
        <w:rPr>
          <w:rFonts w:asciiTheme="minorHAnsi" w:hAnsiTheme="minorHAnsi" w:cstheme="minorHAnsi"/>
          <w:sz w:val="22"/>
        </w:rPr>
        <w:t xml:space="preserve"> 2018)</w:t>
      </w:r>
      <w:r w:rsidR="001553E2" w:rsidRPr="007C4D65">
        <w:rPr>
          <w:rFonts w:asciiTheme="minorHAnsi" w:hAnsiTheme="minorHAnsi" w:cstheme="minorHAnsi"/>
          <w:sz w:val="22"/>
        </w:rPr>
        <w:fldChar w:fldCharType="end"/>
      </w:r>
      <w:r w:rsidRPr="007C4D65">
        <w:rPr>
          <w:rFonts w:asciiTheme="minorHAnsi" w:hAnsiTheme="minorHAnsi" w:cstheme="minorHAnsi"/>
          <w:sz w:val="22"/>
        </w:rPr>
        <w:t>. As the Federation and cantons share the responsibilities for environmental policy and use of natural resources, the powers of the Federation and cantons may “be exercised jointly or separately, or by Cantons as coordinated by the Government of the Federation of BiH” (Article III.3.1, the Constitution of the Federation of BiH).</w:t>
      </w:r>
      <w:r w:rsidRPr="007C4D65">
        <w:rPr>
          <w:rFonts w:asciiTheme="minorHAnsi" w:hAnsiTheme="minorHAnsi" w:cstheme="minorHAnsi"/>
        </w:rPr>
        <w:t xml:space="preserve"> </w:t>
      </w:r>
      <w:r w:rsidRPr="007C4D65">
        <w:rPr>
          <w:rFonts w:asciiTheme="minorHAnsi" w:hAnsiTheme="minorHAnsi" w:cstheme="minorHAnsi"/>
          <w:sz w:val="22"/>
        </w:rPr>
        <w:t xml:space="preserve"> </w:t>
      </w:r>
      <w:r w:rsidR="001553E2" w:rsidRPr="007C4D65">
        <w:rPr>
          <w:rFonts w:asciiTheme="minorHAnsi" w:hAnsiTheme="minorHAnsi" w:cstheme="minorHAnsi"/>
          <w:sz w:val="22"/>
        </w:rPr>
        <w:fldChar w:fldCharType="begin"/>
      </w:r>
      <w:r w:rsidR="00CE1A95" w:rsidRPr="007C4D65">
        <w:rPr>
          <w:rFonts w:asciiTheme="minorHAnsi" w:hAnsiTheme="minorHAnsi" w:cstheme="minorHAnsi"/>
          <w:sz w:val="22"/>
        </w:rPr>
        <w:instrText xml:space="preserve"> ADDIN ZOTERO_ITEM CSL_CITATION {"citationID":"9gErvOuW","properties":{"formattedCitation":"(Delegacija EU u BiH 2005)","plainCitation":"(Delegacija EU u BiH 2005)","dontUpdate":true,"noteIndex":0},"citationItems":[{"id":1478,"uris":["http://zotero.org/users/7192877/items/9LNJRT3S"],"itemData":{"id":1478,"type":"report","publisher":"Delegacija Evropske komisije  u BiH","title":"Funkcionalni pregled sektora okoliša u Bosni i Hercegovini","URL":"https://parco.gov.ba/wp-content/uploads/2016/09/funkcionalni-pregled-sektora-okolisa-u-bih-zavrsni-izvjestaj.pdf","author":[{"family":"Delegacija EU u BiH","given":""}],"issued":{"date-parts":[["2005"]]}}}],"schema":"https://github.com/citation-style-language/schema/raw/master/csl-citation.json"} </w:instrText>
      </w:r>
      <w:r w:rsidR="001553E2" w:rsidRPr="007C4D65">
        <w:rPr>
          <w:rFonts w:asciiTheme="minorHAnsi" w:hAnsiTheme="minorHAnsi" w:cstheme="minorHAnsi"/>
          <w:sz w:val="22"/>
        </w:rPr>
        <w:fldChar w:fldCharType="separate"/>
      </w:r>
      <w:r w:rsidR="001553E2" w:rsidRPr="007C4D65">
        <w:rPr>
          <w:rFonts w:asciiTheme="minorHAnsi" w:hAnsiTheme="minorHAnsi" w:cstheme="minorHAnsi"/>
          <w:sz w:val="22"/>
        </w:rPr>
        <w:t>(</w:t>
      </w:r>
      <w:r w:rsidR="00C33249" w:rsidRPr="007C4D65">
        <w:rPr>
          <w:rFonts w:asciiTheme="minorHAnsi" w:hAnsiTheme="minorHAnsi" w:cstheme="minorHAnsi"/>
          <w:sz w:val="22"/>
        </w:rPr>
        <w:t>EU Delegation to BiH</w:t>
      </w:r>
      <w:r w:rsidR="000201AE" w:rsidRPr="007C4D65">
        <w:rPr>
          <w:rFonts w:asciiTheme="minorHAnsi" w:hAnsiTheme="minorHAnsi" w:cstheme="minorHAnsi"/>
          <w:sz w:val="22"/>
        </w:rPr>
        <w:t>,</w:t>
      </w:r>
      <w:r w:rsidR="001553E2" w:rsidRPr="007C4D65">
        <w:rPr>
          <w:rFonts w:asciiTheme="minorHAnsi" w:hAnsiTheme="minorHAnsi" w:cstheme="minorHAnsi"/>
          <w:sz w:val="22"/>
        </w:rPr>
        <w:t xml:space="preserve"> 2005)</w:t>
      </w:r>
      <w:r w:rsidR="001553E2" w:rsidRPr="007C4D65">
        <w:rPr>
          <w:rFonts w:asciiTheme="minorHAnsi" w:hAnsiTheme="minorHAnsi" w:cstheme="minorHAnsi"/>
          <w:sz w:val="22"/>
        </w:rPr>
        <w:fldChar w:fldCharType="end"/>
      </w:r>
      <w:r w:rsidRPr="007C4D65">
        <w:rPr>
          <w:rFonts w:asciiTheme="minorHAnsi" w:hAnsiTheme="minorHAnsi" w:cstheme="minorHAnsi"/>
          <w:sz w:val="22"/>
        </w:rPr>
        <w:t xml:space="preserve">. To this end, protection of nature in the territories of cantons falling in their competence is the responsibility of (d) line cantonal ministries, while some </w:t>
      </w:r>
      <w:r w:rsidR="00C33249" w:rsidRPr="007C4D65">
        <w:rPr>
          <w:rFonts w:asciiTheme="minorHAnsi" w:hAnsiTheme="minorHAnsi" w:cstheme="minorHAnsi"/>
          <w:sz w:val="22"/>
        </w:rPr>
        <w:t>cantons</w:t>
      </w:r>
      <w:r w:rsidRPr="007C4D65">
        <w:rPr>
          <w:rFonts w:asciiTheme="minorHAnsi" w:hAnsiTheme="minorHAnsi" w:cstheme="minorHAnsi"/>
          <w:sz w:val="22"/>
        </w:rPr>
        <w:t xml:space="preserve"> have or plan to have professional institutions.</w:t>
      </w:r>
    </w:p>
    <w:p w14:paraId="4E418AA5" w14:textId="56F7E373" w:rsidR="005E22EF" w:rsidRPr="007C4D65" w:rsidRDefault="005E22E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institutional framework for biodiversity and nature conservation in the Federation of BiH is not sufficiently and consistently developed at relevant administrative levels. In general, in the entire BiH and in the FBiH, responsible institutions have not been identified, i.e. institutions responsible for designation and establishment of areas under special protection, and establishment of a strong system for monitoring the state of biodiversity </w:t>
      </w:r>
      <w:r w:rsidR="001553E2" w:rsidRPr="007C4D65">
        <w:rPr>
          <w:rFonts w:asciiTheme="minorHAnsi" w:hAnsiTheme="minorHAnsi" w:cstheme="minorHAnsi"/>
          <w:sz w:val="22"/>
        </w:rPr>
        <w:fldChar w:fldCharType="begin"/>
      </w:r>
      <w:r w:rsidR="00BB28BC" w:rsidRPr="007C4D65">
        <w:rPr>
          <w:rFonts w:asciiTheme="minorHAnsi" w:hAnsiTheme="minorHAnsi" w:cstheme="minorHAnsi"/>
          <w:sz w:val="22"/>
        </w:rPr>
        <w:instrText xml:space="preserve"> ADDIN ZOTERO_ITEM CSL_CITATION {"citationID":"2wGjI8h4","properties":{"formattedCitation":"(MVTEO BiH 2017)","plainCitation":"(MVTEO BiH 2017)","noteIndex":0},"citationItems":[{"id":1329,"uris":["http://zotero.org/users/7192877/items/TBUNBRJZ"],"itemData":{"id":1329,"type":"report","title":"Strategija usklađivanja propisa pravnoj stecevini EU u oblasti zaštite okoliša/životne sredine Bosne i Hercegovine (EAS BiH)","URL":"http://www.mvteo.gov.ba/data/Home/%D0%94%D0%BE%D0%BA%D1%83%D0%BC%D0%B5%D0%BD%D1%82%D0%B8/%D0%92%D0%BE%D0%B4%D0%BD%D0%B8%20%D1%80%D0%B5%D1%81%D1%83%D1%80%D1%81%D0%B8/STRATEGIJA_USKLA%C4%90IVANJA_PROPISA_PRAVNOJ_STE%C4%8CEVINI_EU_U_OBLASTI_ZA%C5%A0TITE_%C5%BDIVOTNE_SREDINE_BOSNE_I_HERCEGOVINE.pdf","author":[{"literal":"MVTEO BiH"}],"issued":{"date-parts":[["2017"]]}}}],"schema":"https://github.com/citation-style-language/schema/raw/master/csl-citation.json"} </w:instrText>
      </w:r>
      <w:r w:rsidR="001553E2" w:rsidRPr="007C4D65">
        <w:rPr>
          <w:rFonts w:asciiTheme="minorHAnsi" w:hAnsiTheme="minorHAnsi" w:cstheme="minorHAnsi"/>
          <w:sz w:val="22"/>
        </w:rPr>
        <w:fldChar w:fldCharType="separate"/>
      </w:r>
      <w:r w:rsidR="00971245" w:rsidRPr="007C4D65">
        <w:rPr>
          <w:rFonts w:asciiTheme="minorHAnsi" w:hAnsiTheme="minorHAnsi" w:cstheme="minorHAnsi"/>
          <w:sz w:val="22"/>
        </w:rPr>
        <w:t>(</w:t>
      </w:r>
      <w:r w:rsidR="00C33249" w:rsidRPr="007C4D65">
        <w:rPr>
          <w:rFonts w:asciiTheme="minorHAnsi" w:hAnsiTheme="minorHAnsi" w:cstheme="minorHAnsi"/>
          <w:sz w:val="22"/>
        </w:rPr>
        <w:t>MOFTER BiH</w:t>
      </w:r>
      <w:r w:rsidR="00EE0457" w:rsidRPr="007C4D65">
        <w:rPr>
          <w:rFonts w:asciiTheme="minorHAnsi" w:hAnsiTheme="minorHAnsi" w:cstheme="minorHAnsi"/>
          <w:sz w:val="22"/>
        </w:rPr>
        <w:t>,</w:t>
      </w:r>
      <w:r w:rsidR="00971245" w:rsidRPr="007C4D65">
        <w:rPr>
          <w:rFonts w:asciiTheme="minorHAnsi" w:hAnsiTheme="minorHAnsi" w:cstheme="minorHAnsi"/>
          <w:sz w:val="22"/>
        </w:rPr>
        <w:t xml:space="preserve"> 2017)</w:t>
      </w:r>
      <w:r w:rsidR="001553E2" w:rsidRPr="007C4D65">
        <w:rPr>
          <w:rFonts w:asciiTheme="minorHAnsi" w:hAnsiTheme="minorHAnsi" w:cstheme="minorHAnsi"/>
          <w:sz w:val="22"/>
        </w:rPr>
        <w:fldChar w:fldCharType="end"/>
      </w:r>
      <w:r w:rsidRPr="007C4D65">
        <w:rPr>
          <w:rFonts w:asciiTheme="minorHAnsi" w:hAnsiTheme="minorHAnsi" w:cstheme="minorHAnsi"/>
          <w:sz w:val="22"/>
        </w:rPr>
        <w:t xml:space="preserve">. Unlike other components, which are fully or partially managed through the environmental sector (air, land, water, waste, etc.), there is no fully fledged institutional infrastructure for nature. </w:t>
      </w:r>
      <w:r w:rsidRPr="007C4D65">
        <w:rPr>
          <w:rFonts w:asciiTheme="minorHAnsi" w:hAnsiTheme="minorHAnsi" w:cstheme="minorHAnsi"/>
        </w:rPr>
        <w:t xml:space="preserve">Therefore, the fact that an institution/agency , as prescribed by the Law </w:t>
      </w:r>
      <w:r w:rsidR="00EE0457" w:rsidRPr="007C4D65">
        <w:rPr>
          <w:rFonts w:asciiTheme="minorHAnsi" w:hAnsiTheme="minorHAnsi" w:cstheme="minorHAnsi"/>
          <w:sz w:val="22"/>
        </w:rPr>
        <w:fldChar w:fldCharType="begin"/>
      </w:r>
      <w:r w:rsidR="00EE0457" w:rsidRPr="007C4D65">
        <w:rPr>
          <w:rFonts w:asciiTheme="minorHAnsi" w:hAnsiTheme="minorHAnsi" w:cstheme="minorHAnsi"/>
          <w:sz w:val="22"/>
        </w:rPr>
        <w:instrText xml:space="preserve"> ADDIN ZOTERO_ITEM CSL_CITATION {"citationID":"L9jLukKl","properties":{"formattedCitation":"(\\uc0\\u8216{}Sl. novine Federacije BiH\\uc0\\u8217{}, broj 66/13 2013)","plainCitation":"(‘Sl. novine Federacije BiH’, broj 66/13 2013)","noteIndex":0},"citationItems":[{"id":1475,"uris":["http://zotero.org/users/7192877/items/FMSGUYRD"],"itemData":{"id":1475,"type":"legislation","title":"Zakon o zaštiti prirode Federacije BiH","URL":"https://www.fmoit.gov.ba/upload/file/okolis/Zakon%20o%20za%C5%A1titi%20prirode%20Sl.%20nov%20F%20BIH%2066-13.pdf","author":[{"family":"\"Sl. novine Federacije BiH\", broj 66/13","given":""}],"issued":{"date-parts":[["2013"]]}}}],"schema":"https://github.com/citation-style-language/schema/raw/master/csl-citation.json"} </w:instrText>
      </w:r>
      <w:r w:rsidR="00EE0457" w:rsidRPr="007C4D65">
        <w:rPr>
          <w:rFonts w:asciiTheme="minorHAnsi" w:hAnsiTheme="minorHAnsi" w:cstheme="minorHAnsi"/>
          <w:sz w:val="22"/>
        </w:rPr>
        <w:fldChar w:fldCharType="separate"/>
      </w:r>
      <w:r w:rsidR="00EE0457" w:rsidRPr="007C4D65">
        <w:rPr>
          <w:rFonts w:asciiTheme="minorHAnsi" w:hAnsiTheme="minorHAnsi" w:cstheme="minorHAnsi"/>
          <w:sz w:val="22"/>
        </w:rPr>
        <w:t>(</w:t>
      </w:r>
      <w:r w:rsidR="00925D49" w:rsidRPr="007C4D65">
        <w:rPr>
          <w:rFonts w:asciiTheme="minorHAnsi" w:hAnsiTheme="minorHAnsi" w:cstheme="minorHAnsi"/>
          <w:sz w:val="22"/>
        </w:rPr>
        <w:t>"</w:t>
      </w:r>
      <w:r w:rsidR="00116A22" w:rsidRPr="007C4D65">
        <w:rPr>
          <w:rFonts w:asciiTheme="minorHAnsi" w:hAnsiTheme="minorHAnsi" w:cstheme="minorHAnsi"/>
          <w:sz w:val="22"/>
        </w:rPr>
        <w:t>Official Gazette of the Federation of BiH</w:t>
      </w:r>
      <w:r w:rsidR="00925D49" w:rsidRPr="007C4D65">
        <w:rPr>
          <w:rFonts w:asciiTheme="minorHAnsi" w:hAnsiTheme="minorHAnsi" w:cstheme="minorHAnsi"/>
          <w:sz w:val="22"/>
        </w:rPr>
        <w:t>"</w:t>
      </w:r>
      <w:r w:rsidR="00EE0457" w:rsidRPr="007C4D65">
        <w:rPr>
          <w:rFonts w:asciiTheme="minorHAnsi" w:hAnsiTheme="minorHAnsi" w:cstheme="minorHAnsi"/>
          <w:sz w:val="22"/>
        </w:rPr>
        <w:t>, 66/13)</w:t>
      </w:r>
      <w:r w:rsidR="00EE0457" w:rsidRPr="007C4D65">
        <w:rPr>
          <w:rFonts w:asciiTheme="minorHAnsi" w:hAnsiTheme="minorHAnsi" w:cstheme="minorHAnsi"/>
          <w:sz w:val="22"/>
        </w:rPr>
        <w:fldChar w:fldCharType="end"/>
      </w:r>
      <w:r w:rsidRPr="007C4D65">
        <w:rPr>
          <w:rFonts w:asciiTheme="minorHAnsi" w:hAnsiTheme="minorHAnsi" w:cstheme="minorHAnsi"/>
          <w:sz w:val="22"/>
        </w:rPr>
        <w:t xml:space="preserve"> , has not been established yet, is the major challenge for a good institutional framework for biodiversity protection and nature conservation. Professional tasks in nature conservation, the implementation of the EU acquis, and multilateral environmental agreements in the </w:t>
      </w:r>
      <w:r w:rsidR="00C33249" w:rsidRPr="007C4D65">
        <w:rPr>
          <w:rFonts w:asciiTheme="minorHAnsi" w:hAnsiTheme="minorHAnsi" w:cstheme="minorHAnsi"/>
          <w:sz w:val="22"/>
        </w:rPr>
        <w:t>areas</w:t>
      </w:r>
      <w:r w:rsidRPr="007C4D65">
        <w:rPr>
          <w:rFonts w:asciiTheme="minorHAnsi" w:hAnsiTheme="minorHAnsi" w:cstheme="minorHAnsi"/>
          <w:sz w:val="22"/>
        </w:rPr>
        <w:t xml:space="preserve">, pending the establishment of the Institute of Nature Conservation, have been entrusted to the Environmental Protection Fund of the Federation of BiH. The Cantons of the Federation of BiH apply </w:t>
      </w:r>
      <w:r w:rsidR="00C33249" w:rsidRPr="007C4D65">
        <w:rPr>
          <w:rFonts w:asciiTheme="minorHAnsi" w:hAnsiTheme="minorHAnsi" w:cstheme="minorHAnsi"/>
          <w:sz w:val="22"/>
        </w:rPr>
        <w:t>various</w:t>
      </w:r>
      <w:r w:rsidRPr="007C4D65">
        <w:rPr>
          <w:rFonts w:asciiTheme="minorHAnsi" w:hAnsiTheme="minorHAnsi" w:cstheme="minorHAnsi"/>
          <w:sz w:val="22"/>
        </w:rPr>
        <w:t xml:space="preserve"> </w:t>
      </w:r>
      <w:r w:rsidR="00C33249" w:rsidRPr="007C4D65">
        <w:rPr>
          <w:rFonts w:asciiTheme="minorHAnsi" w:hAnsiTheme="minorHAnsi" w:cstheme="minorHAnsi"/>
          <w:sz w:val="22"/>
        </w:rPr>
        <w:t>models</w:t>
      </w:r>
      <w:r w:rsidRPr="007C4D65">
        <w:rPr>
          <w:rFonts w:asciiTheme="minorHAnsi" w:hAnsiTheme="minorHAnsi" w:cstheme="minorHAnsi"/>
          <w:sz w:val="22"/>
        </w:rPr>
        <w:t xml:space="preserve"> of institutional </w:t>
      </w:r>
      <w:r w:rsidR="00C33249" w:rsidRPr="007C4D65">
        <w:rPr>
          <w:rFonts w:asciiTheme="minorHAnsi" w:hAnsiTheme="minorHAnsi" w:cstheme="minorHAnsi"/>
          <w:sz w:val="22"/>
        </w:rPr>
        <w:t>organisation</w:t>
      </w:r>
      <w:r w:rsidRPr="007C4D65">
        <w:rPr>
          <w:rFonts w:asciiTheme="minorHAnsi" w:hAnsiTheme="minorHAnsi" w:cstheme="minorHAnsi"/>
          <w:sz w:val="22"/>
        </w:rPr>
        <w:t xml:space="preserve"> for nature conservation, which directly affects possible coordination to facilitate the flow of data on biodiversity/nature.</w:t>
      </w:r>
    </w:p>
    <w:p w14:paraId="4370C3B8" w14:textId="27369C61" w:rsidR="005E22EF" w:rsidRPr="007C4D65" w:rsidRDefault="0012427C" w:rsidP="0068355A">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I</w:t>
      </w:r>
      <w:r w:rsidR="005E22EF" w:rsidRPr="007C4D65">
        <w:rPr>
          <w:rFonts w:asciiTheme="minorHAnsi" w:hAnsiTheme="minorHAnsi" w:cstheme="minorHAnsi"/>
          <w:i/>
          <w:sz w:val="22"/>
          <w:u w:val="single"/>
        </w:rPr>
        <w:t>nstitutional capaci</w:t>
      </w:r>
      <w:r w:rsidRPr="007C4D65">
        <w:rPr>
          <w:rFonts w:asciiTheme="minorHAnsi" w:hAnsiTheme="minorHAnsi" w:cstheme="minorHAnsi"/>
          <w:i/>
          <w:sz w:val="22"/>
          <w:u w:val="single"/>
        </w:rPr>
        <w:t>ty</w:t>
      </w:r>
    </w:p>
    <w:p w14:paraId="58113346" w14:textId="7EDD8DA9" w:rsidR="005E22EF" w:rsidRPr="007C4D65" w:rsidRDefault="005E22E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Institutional capacities for biodiversity protection and nature conservation, including capacities for reporting on the requirements of the EU acquis and international agreements, are not sufficiently developed at the level of the Federation of BiH. </w:t>
      </w:r>
      <w:r w:rsidRPr="007C4D65">
        <w:rPr>
          <w:rFonts w:asciiTheme="minorHAnsi" w:hAnsiTheme="minorHAnsi" w:cstheme="minorHAnsi"/>
        </w:rPr>
        <w:t xml:space="preserve">According to EAS BiH, </w:t>
      </w:r>
      <w:r w:rsidR="00971245" w:rsidRPr="007C4D65">
        <w:rPr>
          <w:rFonts w:asciiTheme="minorHAnsi" w:hAnsiTheme="minorHAnsi" w:cstheme="minorHAnsi"/>
          <w:sz w:val="22"/>
        </w:rPr>
        <w:fldChar w:fldCharType="begin"/>
      </w:r>
      <w:r w:rsidR="00BB28BC" w:rsidRPr="007C4D65">
        <w:rPr>
          <w:rFonts w:asciiTheme="minorHAnsi" w:hAnsiTheme="minorHAnsi" w:cstheme="minorHAnsi"/>
          <w:sz w:val="22"/>
        </w:rPr>
        <w:instrText xml:space="preserve"> ADDIN ZOTERO_ITEM CSL_CITATION {"citationID":"bvw6Xi40","properties":{"formattedCitation":"(MVTEO BiH 2017)","plainCitation":"(MVTEO BiH 2017)","noteIndex":0},"citationItems":[{"id":1329,"uris":["http://zotero.org/users/7192877/items/TBUNBRJZ"],"itemData":{"id":1329,"type":"report","title":"Strategija usklađivanja propisa pravnoj stecevini EU u oblasti zaštite okoliša/životne sredine Bosne i Hercegovine (EAS BiH)","URL":"http://www.mvteo.gov.ba/data/Home/%D0%94%D0%BE%D0%BA%D1%83%D0%BC%D0%B5%D0%BD%D1%82%D0%B8/%D0%92%D0%BE%D0%B4%D0%BD%D0%B8%20%D1%80%D0%B5%D1%81%D1%83%D1%80%D1%81%D0%B8/STRATEGIJA_USKLA%C4%90IVANJA_PROPISA_PRAVNOJ_STE%C4%8CEVINI_EU_U_OBLASTI_ZA%C5%A0TITE_%C5%BDIVOTNE_SREDINE_BOSNE_I_HERCEGOVINE.pdf","author":[{"literal":"MVTEO BiH"}],"issued":{"date-parts":[["2017"]]}}}],"schema":"https://github.com/citation-style-language/schema/raw/master/csl-citation.json"} </w:instrText>
      </w:r>
      <w:r w:rsidR="00971245" w:rsidRPr="007C4D65">
        <w:rPr>
          <w:rFonts w:asciiTheme="minorHAnsi" w:hAnsiTheme="minorHAnsi" w:cstheme="minorHAnsi"/>
          <w:sz w:val="22"/>
        </w:rPr>
        <w:fldChar w:fldCharType="separate"/>
      </w:r>
      <w:r w:rsidR="00971245" w:rsidRPr="007C4D65">
        <w:rPr>
          <w:rFonts w:asciiTheme="minorHAnsi" w:hAnsiTheme="minorHAnsi" w:cstheme="minorHAnsi"/>
          <w:sz w:val="22"/>
        </w:rPr>
        <w:t>(</w:t>
      </w:r>
      <w:r w:rsidR="00C33249" w:rsidRPr="007C4D65">
        <w:rPr>
          <w:rFonts w:asciiTheme="minorHAnsi" w:hAnsiTheme="minorHAnsi" w:cstheme="minorHAnsi"/>
          <w:sz w:val="22"/>
        </w:rPr>
        <w:t>MOFTER BiH</w:t>
      </w:r>
      <w:r w:rsidR="00925D49" w:rsidRPr="007C4D65">
        <w:rPr>
          <w:rFonts w:asciiTheme="minorHAnsi" w:hAnsiTheme="minorHAnsi" w:cstheme="minorHAnsi"/>
          <w:sz w:val="22"/>
        </w:rPr>
        <w:t>,</w:t>
      </w:r>
      <w:r w:rsidR="00971245" w:rsidRPr="007C4D65">
        <w:rPr>
          <w:rFonts w:asciiTheme="minorHAnsi" w:hAnsiTheme="minorHAnsi" w:cstheme="minorHAnsi"/>
          <w:sz w:val="22"/>
        </w:rPr>
        <w:t xml:space="preserve"> 2017)</w:t>
      </w:r>
      <w:r w:rsidR="00971245" w:rsidRPr="007C4D65">
        <w:rPr>
          <w:rFonts w:asciiTheme="minorHAnsi" w:hAnsiTheme="minorHAnsi" w:cstheme="minorHAnsi"/>
          <w:sz w:val="22"/>
        </w:rPr>
        <w:fldChar w:fldCharType="end"/>
      </w:r>
      <w:r w:rsidRPr="007C4D65">
        <w:rPr>
          <w:rFonts w:asciiTheme="minorHAnsi" w:hAnsiTheme="minorHAnsi" w:cstheme="minorHAnsi"/>
          <w:sz w:val="22"/>
        </w:rPr>
        <w:t>, the capacities of the responsible institutions in BiH have not been ensured to enable them to adequately conduct planning, protection and management of the area, which indicates a lack of institutional capacity for biodiversity in the entire vertical management structure, including the FBiH and the Cantons.</w:t>
      </w:r>
    </w:p>
    <w:p w14:paraId="26E8DE92" w14:textId="0A546567" w:rsidR="005E22EF" w:rsidRPr="007C4D65" w:rsidRDefault="005E22E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As previously pointed out, due to the lack of a professional institution as a central part of the institutional framework, </w:t>
      </w:r>
      <w:proofErr w:type="gramStart"/>
      <w:r w:rsidRPr="007C4D65">
        <w:rPr>
          <w:rFonts w:asciiTheme="minorHAnsi" w:hAnsiTheme="minorHAnsi" w:cstheme="minorHAnsi"/>
          <w:sz w:val="22"/>
        </w:rPr>
        <w:t>it is clear that there</w:t>
      </w:r>
      <w:proofErr w:type="gramEnd"/>
      <w:r w:rsidRPr="007C4D65">
        <w:rPr>
          <w:rFonts w:asciiTheme="minorHAnsi" w:hAnsiTheme="minorHAnsi" w:cstheme="minorHAnsi"/>
          <w:sz w:val="22"/>
        </w:rPr>
        <w:t xml:space="preserve"> are no technical capacities and human resources for the protection, monitoring, data gathering and reporting in compliance with the requirements of EU acquis and multilateral environmental agreements related to biodiversity. The coordination of the Federation and Cantonal activities on technical, human and financial capacities for the </w:t>
      </w:r>
      <w:r w:rsidRPr="007C4D65">
        <w:rPr>
          <w:rFonts w:asciiTheme="minorHAnsi" w:hAnsiTheme="minorHAnsi" w:cstheme="minorHAnsi"/>
          <w:sz w:val="22"/>
        </w:rPr>
        <w:lastRenderedPageBreak/>
        <w:t>implementation of nature conservation measures (including monitoring, flow and organization of data for reporting purposes), and the implementation of supervision tasks in the protected areas and beyond is a special challenge.</w:t>
      </w:r>
    </w:p>
    <w:p w14:paraId="4EAF4E38" w14:textId="665374DB" w:rsidR="005E22EF" w:rsidRPr="007C4D65" w:rsidRDefault="005E22E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It should be noted that the line ministr</w:t>
      </w:r>
      <w:r w:rsidR="00C9097F" w:rsidRPr="007C4D65">
        <w:rPr>
          <w:rFonts w:asciiTheme="minorHAnsi" w:hAnsiTheme="minorHAnsi" w:cstheme="minorHAnsi"/>
          <w:sz w:val="22"/>
        </w:rPr>
        <w:t>y</w:t>
      </w:r>
      <w:r w:rsidRPr="007C4D65">
        <w:rPr>
          <w:rFonts w:asciiTheme="minorHAnsi" w:hAnsiTheme="minorHAnsi" w:cstheme="minorHAnsi"/>
          <w:sz w:val="22"/>
        </w:rPr>
        <w:t xml:space="preserve"> of the Federation </w:t>
      </w:r>
      <w:proofErr w:type="gramStart"/>
      <w:r w:rsidRPr="007C4D65">
        <w:rPr>
          <w:rFonts w:asciiTheme="minorHAnsi" w:hAnsiTheme="minorHAnsi" w:cstheme="minorHAnsi"/>
          <w:sz w:val="22"/>
        </w:rPr>
        <w:t>have</w:t>
      </w:r>
      <w:proofErr w:type="gramEnd"/>
      <w:r w:rsidRPr="007C4D65">
        <w:rPr>
          <w:rFonts w:asciiTheme="minorHAnsi" w:hAnsiTheme="minorHAnsi" w:cstheme="minorHAnsi"/>
          <w:sz w:val="22"/>
        </w:rPr>
        <w:t xml:space="preserve"> </w:t>
      </w:r>
      <w:r w:rsidR="00C33249" w:rsidRPr="007C4D65">
        <w:rPr>
          <w:rFonts w:asciiTheme="minorHAnsi" w:hAnsiTheme="minorHAnsi" w:cstheme="minorHAnsi"/>
          <w:sz w:val="22"/>
        </w:rPr>
        <w:t>continuously</w:t>
      </w:r>
      <w:r w:rsidRPr="007C4D65">
        <w:rPr>
          <w:rFonts w:asciiTheme="minorHAnsi" w:hAnsiTheme="minorHAnsi" w:cstheme="minorHAnsi"/>
          <w:sz w:val="22"/>
        </w:rPr>
        <w:t xml:space="preserve"> made efforts to </w:t>
      </w:r>
      <w:r w:rsidR="00C9097F" w:rsidRPr="007C4D65">
        <w:rPr>
          <w:rFonts w:asciiTheme="minorHAnsi" w:hAnsiTheme="minorHAnsi" w:cstheme="minorHAnsi"/>
          <w:sz w:val="22"/>
        </w:rPr>
        <w:t>enhance</w:t>
      </w:r>
      <w:r w:rsidRPr="007C4D65">
        <w:rPr>
          <w:rFonts w:asciiTheme="minorHAnsi" w:hAnsiTheme="minorHAnsi" w:cstheme="minorHAnsi"/>
          <w:sz w:val="22"/>
        </w:rPr>
        <w:t xml:space="preserve"> </w:t>
      </w:r>
      <w:r w:rsidR="00C9097F" w:rsidRPr="007C4D65">
        <w:rPr>
          <w:rFonts w:asciiTheme="minorHAnsi" w:hAnsiTheme="minorHAnsi" w:cstheme="minorHAnsi"/>
          <w:sz w:val="22"/>
        </w:rPr>
        <w:t>the</w:t>
      </w:r>
      <w:r w:rsidRPr="007C4D65">
        <w:rPr>
          <w:rFonts w:asciiTheme="minorHAnsi" w:hAnsiTheme="minorHAnsi" w:cstheme="minorHAnsi"/>
          <w:sz w:val="22"/>
        </w:rPr>
        <w:t xml:space="preserve"> capacit</w:t>
      </w:r>
      <w:r w:rsidR="00C9097F" w:rsidRPr="007C4D65">
        <w:rPr>
          <w:rFonts w:asciiTheme="minorHAnsi" w:hAnsiTheme="minorHAnsi" w:cstheme="minorHAnsi"/>
          <w:sz w:val="22"/>
        </w:rPr>
        <w:t>y</w:t>
      </w:r>
      <w:r w:rsidRPr="007C4D65">
        <w:rPr>
          <w:rFonts w:asciiTheme="minorHAnsi" w:hAnsiTheme="minorHAnsi" w:cstheme="minorHAnsi"/>
          <w:sz w:val="22"/>
        </w:rPr>
        <w:t xml:space="preserve"> for the protection of biodiversity and nature conservation, and that they have managed to fill this gap through cooperation with other professional and scientific institutions. Due to the lack of a</w:t>
      </w:r>
      <w:r w:rsidR="00C9097F" w:rsidRPr="007C4D65">
        <w:rPr>
          <w:rFonts w:asciiTheme="minorHAnsi" w:hAnsiTheme="minorHAnsi" w:cstheme="minorHAnsi"/>
          <w:sz w:val="22"/>
        </w:rPr>
        <w:t>n effective</w:t>
      </w:r>
      <w:r w:rsidRPr="007C4D65">
        <w:rPr>
          <w:rFonts w:asciiTheme="minorHAnsi" w:hAnsiTheme="minorHAnsi" w:cstheme="minorHAnsi"/>
          <w:sz w:val="22"/>
        </w:rPr>
        <w:t xml:space="preserve"> system for data and information flow which is required for compulsory reporting, reports do not sufficiently rely on indicators. The current</w:t>
      </w:r>
      <w:r w:rsidR="00C9097F" w:rsidRPr="007C4D65">
        <w:rPr>
          <w:rFonts w:asciiTheme="minorHAnsi" w:hAnsiTheme="minorHAnsi" w:cstheme="minorHAnsi"/>
          <w:sz w:val="22"/>
        </w:rPr>
        <w:t xml:space="preserve">ly available capacity is not sufficient </w:t>
      </w:r>
      <w:r w:rsidRPr="007C4D65">
        <w:rPr>
          <w:rFonts w:asciiTheme="minorHAnsi" w:hAnsiTheme="minorHAnsi" w:cstheme="minorHAnsi"/>
          <w:sz w:val="22"/>
        </w:rPr>
        <w:t xml:space="preserve">for </w:t>
      </w:r>
      <w:r w:rsidR="00C9097F" w:rsidRPr="007C4D65">
        <w:rPr>
          <w:rFonts w:asciiTheme="minorHAnsi" w:hAnsiTheme="minorHAnsi" w:cstheme="minorHAnsi"/>
          <w:sz w:val="22"/>
        </w:rPr>
        <w:t xml:space="preserve">an </w:t>
      </w:r>
      <w:r w:rsidRPr="007C4D65">
        <w:rPr>
          <w:rFonts w:asciiTheme="minorHAnsi" w:hAnsiTheme="minorHAnsi" w:cstheme="minorHAnsi"/>
          <w:sz w:val="22"/>
        </w:rPr>
        <w:t xml:space="preserve">effective management of protected areas, and the same applies </w:t>
      </w:r>
      <w:r w:rsidR="00C9097F" w:rsidRPr="007C4D65">
        <w:rPr>
          <w:rFonts w:asciiTheme="minorHAnsi" w:hAnsiTheme="minorHAnsi" w:cstheme="minorHAnsi"/>
          <w:sz w:val="22"/>
        </w:rPr>
        <w:t>to</w:t>
      </w:r>
      <w:r w:rsidRPr="007C4D65">
        <w:rPr>
          <w:rFonts w:asciiTheme="minorHAnsi" w:hAnsiTheme="minorHAnsi" w:cstheme="minorHAnsi"/>
          <w:sz w:val="22"/>
        </w:rPr>
        <w:t xml:space="preserve"> inspection capacit</w:t>
      </w:r>
      <w:r w:rsidR="00C9097F" w:rsidRPr="007C4D65">
        <w:rPr>
          <w:rFonts w:asciiTheme="minorHAnsi" w:hAnsiTheme="minorHAnsi" w:cstheme="minorHAnsi"/>
          <w:sz w:val="22"/>
        </w:rPr>
        <w:t>y</w:t>
      </w:r>
      <w:r w:rsidRPr="007C4D65">
        <w:rPr>
          <w:rFonts w:asciiTheme="minorHAnsi" w:hAnsiTheme="minorHAnsi" w:cstheme="minorHAnsi"/>
          <w:sz w:val="22"/>
        </w:rPr>
        <w:t xml:space="preserve">. Given the lack of capacities for management, monitoring and control, the focus </w:t>
      </w:r>
      <w:r w:rsidR="00C9097F" w:rsidRPr="007C4D65">
        <w:rPr>
          <w:rFonts w:asciiTheme="minorHAnsi" w:hAnsiTheme="minorHAnsi" w:cstheme="minorHAnsi"/>
          <w:sz w:val="22"/>
        </w:rPr>
        <w:t>should</w:t>
      </w:r>
      <w:r w:rsidRPr="007C4D65">
        <w:rPr>
          <w:rFonts w:asciiTheme="minorHAnsi" w:hAnsiTheme="minorHAnsi" w:cstheme="minorHAnsi"/>
          <w:sz w:val="22"/>
        </w:rPr>
        <w:t xml:space="preserve"> be on: (a) establishment and capacity building of </w:t>
      </w:r>
      <w:r w:rsidR="00C9097F" w:rsidRPr="007C4D65">
        <w:rPr>
          <w:rFonts w:asciiTheme="minorHAnsi" w:hAnsiTheme="minorHAnsi" w:cstheme="minorHAnsi"/>
          <w:sz w:val="22"/>
        </w:rPr>
        <w:t>a</w:t>
      </w:r>
      <w:r w:rsidRPr="007C4D65">
        <w:rPr>
          <w:rFonts w:asciiTheme="minorHAnsi" w:hAnsiTheme="minorHAnsi" w:cstheme="minorHAnsi"/>
          <w:sz w:val="22"/>
        </w:rPr>
        <w:t xml:space="preserve"> professional institution of the Federation for the protection of biodiversity and nature conservation, (b) capacity </w:t>
      </w:r>
      <w:r w:rsidR="00C9097F" w:rsidRPr="007C4D65">
        <w:rPr>
          <w:rFonts w:asciiTheme="minorHAnsi" w:hAnsiTheme="minorHAnsi" w:cstheme="minorHAnsi"/>
          <w:sz w:val="22"/>
        </w:rPr>
        <w:t>building</w:t>
      </w:r>
      <w:r w:rsidRPr="007C4D65">
        <w:rPr>
          <w:rFonts w:asciiTheme="minorHAnsi" w:hAnsiTheme="minorHAnsi" w:cstheme="minorHAnsi"/>
          <w:sz w:val="22"/>
        </w:rPr>
        <w:t xml:space="preserve"> for a coordinated cooperation with cantonal institutions, (c) capacity building of the framework for monitoring, (d) capacity building for institutional cooperation with scientific community and non-governmental sector.</w:t>
      </w:r>
    </w:p>
    <w:p w14:paraId="3658A99D" w14:textId="36FEA447" w:rsidR="005E22EF" w:rsidRPr="007C4D65" w:rsidRDefault="0012427C" w:rsidP="0068355A">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D</w:t>
      </w:r>
      <w:r w:rsidR="005E22EF" w:rsidRPr="007C4D65">
        <w:rPr>
          <w:rFonts w:asciiTheme="minorHAnsi" w:hAnsiTheme="minorHAnsi" w:cstheme="minorHAnsi"/>
          <w:i/>
          <w:sz w:val="22"/>
          <w:u w:val="single"/>
        </w:rPr>
        <w:t>ata on biodiversity</w:t>
      </w:r>
    </w:p>
    <w:p w14:paraId="026FBBC3" w14:textId="5328BD36" w:rsidR="005E22EF" w:rsidRPr="007C4D65" w:rsidRDefault="005E22E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rPr>
        <w:t>Although there are results of numerous studies</w:t>
      </w:r>
      <w:r w:rsidRPr="007C4D65">
        <w:rPr>
          <w:rFonts w:asciiTheme="minorHAnsi" w:hAnsiTheme="minorHAnsi" w:cstheme="minorHAnsi"/>
          <w:sz w:val="22"/>
        </w:rPr>
        <w:t xml:space="preserve"> which indicate that</w:t>
      </w:r>
      <w:r w:rsidRPr="007C4D65">
        <w:rPr>
          <w:rFonts w:asciiTheme="minorHAnsi" w:hAnsiTheme="minorHAnsi" w:cstheme="minorHAnsi"/>
          <w:b/>
          <w:sz w:val="22"/>
        </w:rPr>
        <w:t xml:space="preserve"> </w:t>
      </w:r>
      <w:r w:rsidR="00F15940" w:rsidRPr="007C4D65">
        <w:rPr>
          <w:rFonts w:asciiTheme="minorHAnsi" w:hAnsiTheme="minorHAnsi" w:cstheme="minorHAnsi"/>
          <w:b/>
          <w:sz w:val="22"/>
        </w:rPr>
        <w:fldChar w:fldCharType="begin"/>
      </w:r>
      <w:r w:rsidR="00282995" w:rsidRPr="007C4D65">
        <w:rPr>
          <w:rFonts w:asciiTheme="minorHAnsi" w:hAnsiTheme="minorHAnsi" w:cstheme="minorHAnsi"/>
          <w:b/>
          <w:sz w:val="22"/>
        </w:rPr>
        <w:instrText xml:space="preserve"> ADDIN ZOTERO_ITEM CSL_CITATION {"citationID":"RiVALnuc","properties":{"formattedCitation":"(Red\\uc0\\u382{}i\\uc0\\u263{}, S.,Barudanovi\\uc0\\u263{}, S., Radevi\\uc0\\u263{}, M. (ed) 2009)","plainCitation":"(Redžić, S.,Barudanović, S., Radević, M. (ed) 2009)","noteIndex":0},"citationItems":[{"id":1464,"uris":["http://zotero.org/users/7192877/items/AABJJ9D4"],"itemData":{"id":1464,"type":"report","genre":"Prvi nacionalni izvještaj BiH prema Konvenciji o biološkoj raznolikosti","title":"Prvi nacionalni izvještaj BiH prema Konvenciji o biološkoj raznolikosti","URL":"http://bih-chm-cbd.ba/wp-content/uploads/2020/11/1stNR.pdf","author":[{"literal":"Redžić, S.,Barudanović, S., Radević, M. (ed)"}],"issued":{"date-parts":[["2009"]]}}}],"schema":"https://github.com/citation-style-language/schema/raw/master/csl-citation.json"} </w:instrText>
      </w:r>
      <w:r w:rsidR="00F15940" w:rsidRPr="007C4D65">
        <w:rPr>
          <w:rFonts w:asciiTheme="minorHAnsi" w:hAnsiTheme="minorHAnsi" w:cstheme="minorHAnsi"/>
          <w:b/>
          <w:sz w:val="22"/>
        </w:rPr>
        <w:fldChar w:fldCharType="separate"/>
      </w:r>
      <w:r w:rsidR="00F15940" w:rsidRPr="007C4D65">
        <w:rPr>
          <w:rFonts w:asciiTheme="minorHAnsi" w:hAnsiTheme="minorHAnsi" w:cstheme="minorHAnsi"/>
          <w:sz w:val="22"/>
        </w:rPr>
        <w:t>(</w:t>
      </w:r>
      <w:r w:rsidR="00C9097F" w:rsidRPr="007C4D65">
        <w:rPr>
          <w:rFonts w:asciiTheme="minorHAnsi" w:hAnsiTheme="minorHAnsi" w:cstheme="minorHAnsi"/>
          <w:sz w:val="22"/>
        </w:rPr>
        <w:t>Redzic</w:t>
      </w:r>
      <w:r w:rsidR="00F15940" w:rsidRPr="007C4D65">
        <w:rPr>
          <w:rFonts w:asciiTheme="minorHAnsi" w:hAnsiTheme="minorHAnsi" w:cstheme="minorHAnsi"/>
          <w:sz w:val="22"/>
        </w:rPr>
        <w:t>, S.</w:t>
      </w:r>
      <w:r w:rsidR="00C9097F" w:rsidRPr="007C4D65">
        <w:rPr>
          <w:rFonts w:asciiTheme="minorHAnsi" w:hAnsiTheme="minorHAnsi" w:cstheme="minorHAnsi"/>
          <w:sz w:val="22"/>
        </w:rPr>
        <w:t xml:space="preserve"> </w:t>
      </w:r>
      <w:r w:rsidR="00C33249" w:rsidRPr="007C4D65">
        <w:rPr>
          <w:rFonts w:asciiTheme="minorHAnsi" w:hAnsiTheme="minorHAnsi" w:cstheme="minorHAnsi"/>
          <w:sz w:val="22"/>
        </w:rPr>
        <w:t>Barudanovic</w:t>
      </w:r>
      <w:r w:rsidR="00F15940" w:rsidRPr="007C4D65">
        <w:rPr>
          <w:rFonts w:asciiTheme="minorHAnsi" w:hAnsiTheme="minorHAnsi" w:cstheme="minorHAnsi"/>
          <w:sz w:val="22"/>
        </w:rPr>
        <w:t xml:space="preserve">, S. </w:t>
      </w:r>
      <w:r w:rsidR="00C33249" w:rsidRPr="007C4D65">
        <w:rPr>
          <w:rFonts w:asciiTheme="minorHAnsi" w:hAnsiTheme="minorHAnsi" w:cstheme="minorHAnsi"/>
          <w:sz w:val="22"/>
        </w:rPr>
        <w:t>Radevic</w:t>
      </w:r>
      <w:r w:rsidR="00F15940" w:rsidRPr="007C4D65">
        <w:rPr>
          <w:rFonts w:asciiTheme="minorHAnsi" w:hAnsiTheme="minorHAnsi" w:cstheme="minorHAnsi"/>
          <w:sz w:val="22"/>
        </w:rPr>
        <w:t>, M. (ed)</w:t>
      </w:r>
      <w:r w:rsidR="00925D49" w:rsidRPr="007C4D65">
        <w:rPr>
          <w:rFonts w:asciiTheme="minorHAnsi" w:hAnsiTheme="minorHAnsi" w:cstheme="minorHAnsi"/>
          <w:sz w:val="22"/>
        </w:rPr>
        <w:t>,</w:t>
      </w:r>
      <w:r w:rsidR="00F15940" w:rsidRPr="007C4D65">
        <w:rPr>
          <w:rFonts w:asciiTheme="minorHAnsi" w:hAnsiTheme="minorHAnsi" w:cstheme="minorHAnsi"/>
          <w:sz w:val="22"/>
        </w:rPr>
        <w:t xml:space="preserve"> 2009)</w:t>
      </w:r>
      <w:r w:rsidR="00F15940" w:rsidRPr="007C4D65">
        <w:rPr>
          <w:rFonts w:asciiTheme="minorHAnsi" w:hAnsiTheme="minorHAnsi" w:cstheme="minorHAnsi"/>
          <w:b/>
          <w:sz w:val="22"/>
        </w:rPr>
        <w:fldChar w:fldCharType="end"/>
      </w:r>
      <w:r w:rsidRPr="007C4D65">
        <w:rPr>
          <w:rFonts w:asciiTheme="minorHAnsi" w:hAnsiTheme="minorHAnsi" w:cstheme="minorHAnsi"/>
          <w:sz w:val="22"/>
        </w:rPr>
        <w:t xml:space="preserve"> BiH is among the countries with the highest degree of biological diversity in Europe, the exact data on diversity at the level of species and ecosystem for the Federation of BiH are almost non-existent. </w:t>
      </w:r>
      <w:r w:rsidRPr="007C4D65">
        <w:rPr>
          <w:rFonts w:asciiTheme="minorHAnsi" w:hAnsiTheme="minorHAnsi" w:cstheme="minorHAnsi"/>
        </w:rPr>
        <w:t xml:space="preserve">The development of the Nature Conservation Information System of the Federation of BiH, which needs to be </w:t>
      </w:r>
      <w:r w:rsidR="00C9097F" w:rsidRPr="007C4D65">
        <w:rPr>
          <w:rFonts w:asciiTheme="minorHAnsi" w:hAnsiTheme="minorHAnsi" w:cstheme="minorHAnsi"/>
        </w:rPr>
        <w:t>upgraded</w:t>
      </w:r>
      <w:r w:rsidRPr="007C4D65">
        <w:rPr>
          <w:rFonts w:asciiTheme="minorHAnsi" w:hAnsiTheme="minorHAnsi" w:cstheme="minorHAnsi"/>
        </w:rPr>
        <w:t xml:space="preserve">, </w:t>
      </w:r>
      <w:r w:rsidR="00912007" w:rsidRPr="007C4D65">
        <w:rPr>
          <w:rFonts w:asciiTheme="minorHAnsi" w:hAnsiTheme="minorHAnsi" w:cstheme="minorHAnsi"/>
          <w:sz w:val="22"/>
        </w:rPr>
        <w:fldChar w:fldCharType="begin"/>
      </w:r>
      <w:r w:rsidR="00CE1A95" w:rsidRPr="007C4D65">
        <w:rPr>
          <w:rFonts w:asciiTheme="minorHAnsi" w:hAnsiTheme="minorHAnsi" w:cstheme="minorHAnsi"/>
          <w:sz w:val="22"/>
        </w:rPr>
        <w:instrText xml:space="preserve"> ADDIN ZOTERO_ITEM CSL_CITATION {"citationID":"XLqyBQe2","properties":{"formattedCitation":"(Fond za za\\uc0\\u353{}titu okoli\\uc0\\u353{}a FBiH 2018)","plainCitation":"(Fond za zaštitu okoliša FBiH 2018)","dontUpdate":true,"noteIndex":0},"citationItems":[{"id":1480,"uris":["http://zotero.org/users/7192877/items/IA7JTW84"],"itemData":{"id":1480,"type":"document","title":"Informacioni sistem zaštite prirode Federacije BIH","URL":"http://e-prirodafbih.ba/","author":[{"family":"Fond za zaštitu okoliša Federacije BiH","given":""}],"issued":{"date-parts":[["2018"]]}}}],"schema":"https://github.com/citation-style-language/schema/raw/master/csl-citation.json"} </w:instrText>
      </w:r>
      <w:r w:rsidR="00912007" w:rsidRPr="007C4D65">
        <w:rPr>
          <w:rFonts w:asciiTheme="minorHAnsi" w:hAnsiTheme="minorHAnsi" w:cstheme="minorHAnsi"/>
          <w:sz w:val="22"/>
        </w:rPr>
        <w:fldChar w:fldCharType="separate"/>
      </w:r>
      <w:r w:rsidR="00912007" w:rsidRPr="007C4D65">
        <w:rPr>
          <w:rFonts w:asciiTheme="minorHAnsi" w:hAnsiTheme="minorHAnsi" w:cstheme="minorHAnsi"/>
          <w:sz w:val="22"/>
        </w:rPr>
        <w:t>(</w:t>
      </w:r>
      <w:r w:rsidR="00C9097F" w:rsidRPr="007C4D65">
        <w:rPr>
          <w:rFonts w:asciiTheme="minorHAnsi" w:hAnsiTheme="minorHAnsi" w:cstheme="minorHAnsi"/>
          <w:sz w:val="22"/>
        </w:rPr>
        <w:t>Environmental Protection Fund of the Federation of BiH</w:t>
      </w:r>
      <w:r w:rsidR="000201AE" w:rsidRPr="007C4D65">
        <w:rPr>
          <w:rFonts w:asciiTheme="minorHAnsi" w:hAnsiTheme="minorHAnsi" w:cstheme="minorHAnsi"/>
          <w:sz w:val="22"/>
        </w:rPr>
        <w:t>,</w:t>
      </w:r>
      <w:r w:rsidR="00912007" w:rsidRPr="007C4D65">
        <w:rPr>
          <w:rFonts w:asciiTheme="minorHAnsi" w:hAnsiTheme="minorHAnsi" w:cstheme="minorHAnsi"/>
          <w:sz w:val="22"/>
        </w:rPr>
        <w:t xml:space="preserve"> 2018)</w:t>
      </w:r>
      <w:r w:rsidR="00912007" w:rsidRPr="007C4D65">
        <w:rPr>
          <w:rFonts w:asciiTheme="minorHAnsi" w:hAnsiTheme="minorHAnsi" w:cstheme="minorHAnsi"/>
          <w:sz w:val="22"/>
        </w:rPr>
        <w:fldChar w:fldCharType="end"/>
      </w:r>
      <w:r w:rsidRPr="007C4D65">
        <w:rPr>
          <w:rFonts w:asciiTheme="minorHAnsi" w:hAnsiTheme="minorHAnsi" w:cstheme="minorHAnsi"/>
          <w:sz w:val="22"/>
        </w:rPr>
        <w:t>, contributed largely to the development of an efficient data collection system on biodiversity. Pending the establishment of the Institution, the Environmental Protection Fund of the Federation of BiH is responsible for the development of the information system.</w:t>
      </w:r>
    </w:p>
    <w:p w14:paraId="1382E582" w14:textId="42EEA5D6" w:rsidR="005E22EF" w:rsidRPr="007C4D65" w:rsidRDefault="005E22EF" w:rsidP="0068355A">
      <w:pPr>
        <w:spacing w:before="240" w:after="240" w:line="276" w:lineRule="auto"/>
        <w:jc w:val="both"/>
        <w:textAlignment w:val="baseline"/>
        <w:rPr>
          <w:rFonts w:asciiTheme="minorHAnsi" w:hAnsiTheme="minorHAnsi" w:cstheme="minorHAnsi"/>
          <w:sz w:val="22"/>
          <w:szCs w:val="22"/>
        </w:rPr>
      </w:pPr>
      <w:r w:rsidRPr="007C4D65">
        <w:rPr>
          <w:rFonts w:asciiTheme="minorHAnsi" w:hAnsiTheme="minorHAnsi" w:cstheme="minorHAnsi"/>
          <w:sz w:val="22"/>
        </w:rPr>
        <w:t xml:space="preserve">A systemic gathering of data on the state of biodiversity in the Federation of BiH has not been initiated, while the currently </w:t>
      </w:r>
      <w:r w:rsidR="00C9097F" w:rsidRPr="007C4D65">
        <w:rPr>
          <w:rFonts w:asciiTheme="minorHAnsi" w:hAnsiTheme="minorHAnsi" w:cstheme="minorHAnsi"/>
          <w:sz w:val="22"/>
        </w:rPr>
        <w:t>available</w:t>
      </w:r>
      <w:r w:rsidRPr="007C4D65">
        <w:rPr>
          <w:rFonts w:asciiTheme="minorHAnsi" w:hAnsiTheme="minorHAnsi" w:cstheme="minorHAnsi"/>
          <w:sz w:val="22"/>
        </w:rPr>
        <w:t xml:space="preserve"> data is scattered. Data on flora, fauna, and fungi and species (plants, animals, fungi) and genetical diversity are not systematised, and tend to be unavailable. There are several important points that should be highlighted about the state od data on biodiversity of the </w:t>
      </w:r>
      <w:r w:rsidR="00C9097F" w:rsidRPr="007C4D65">
        <w:rPr>
          <w:rFonts w:asciiTheme="minorHAnsi" w:hAnsiTheme="minorHAnsi" w:cstheme="minorHAnsi"/>
          <w:sz w:val="22"/>
        </w:rPr>
        <w:t>Federation</w:t>
      </w:r>
      <w:r w:rsidRPr="007C4D65">
        <w:rPr>
          <w:rFonts w:asciiTheme="minorHAnsi" w:hAnsiTheme="minorHAnsi" w:cstheme="minorHAnsi"/>
          <w:sz w:val="22"/>
        </w:rPr>
        <w:t>:</w:t>
      </w:r>
    </w:p>
    <w:p w14:paraId="1FAB7284" w14:textId="585CED4A" w:rsidR="005E22EF" w:rsidRPr="007C4D65" w:rsidRDefault="005E22EF" w:rsidP="0068355A">
      <w:pPr>
        <w:numPr>
          <w:ilvl w:val="0"/>
          <w:numId w:val="8"/>
        </w:numPr>
        <w:spacing w:before="240" w:after="240" w:line="276" w:lineRule="auto"/>
        <w:ind w:left="723"/>
        <w:contextualSpacing/>
        <w:jc w:val="both"/>
        <w:textAlignment w:val="baseline"/>
        <w:rPr>
          <w:rFonts w:asciiTheme="minorHAnsi" w:hAnsiTheme="minorHAnsi" w:cstheme="minorHAnsi"/>
          <w:sz w:val="22"/>
          <w:szCs w:val="22"/>
        </w:rPr>
      </w:pPr>
      <w:r w:rsidRPr="007C4D65">
        <w:rPr>
          <w:rFonts w:asciiTheme="minorHAnsi" w:hAnsiTheme="minorHAnsi" w:cstheme="minorHAnsi"/>
          <w:sz w:val="22"/>
        </w:rPr>
        <w:t>There is still no full understanding among scientists of the need to conduct separate scientific studies on biodiversity/nature</w:t>
      </w:r>
      <w:r w:rsidR="00C9097F" w:rsidRPr="007C4D65">
        <w:rPr>
          <w:rFonts w:asciiTheme="minorHAnsi" w:hAnsiTheme="minorHAnsi" w:cstheme="minorHAnsi"/>
          <w:sz w:val="22"/>
        </w:rPr>
        <w:t xml:space="preserve"> </w:t>
      </w:r>
      <w:r w:rsidRPr="007C4D65">
        <w:rPr>
          <w:rFonts w:asciiTheme="minorHAnsi" w:hAnsiTheme="minorHAnsi" w:cstheme="minorHAnsi"/>
          <w:sz w:val="22"/>
        </w:rPr>
        <w:t xml:space="preserve">in the Federation of </w:t>
      </w:r>
      <w:proofErr w:type="gramStart"/>
      <w:r w:rsidRPr="007C4D65">
        <w:rPr>
          <w:rFonts w:asciiTheme="minorHAnsi" w:hAnsiTheme="minorHAnsi" w:cstheme="minorHAnsi"/>
          <w:sz w:val="22"/>
        </w:rPr>
        <w:t>BiH;</w:t>
      </w:r>
      <w:proofErr w:type="gramEnd"/>
    </w:p>
    <w:p w14:paraId="0F54E49C" w14:textId="000814F7" w:rsidR="005E22EF" w:rsidRPr="007C4D65" w:rsidRDefault="005E22EF" w:rsidP="0068355A">
      <w:pPr>
        <w:numPr>
          <w:ilvl w:val="0"/>
          <w:numId w:val="8"/>
        </w:numPr>
        <w:spacing w:before="240" w:after="240" w:line="276" w:lineRule="auto"/>
        <w:ind w:left="723"/>
        <w:contextualSpacing/>
        <w:jc w:val="both"/>
        <w:textAlignment w:val="baseline"/>
        <w:rPr>
          <w:rFonts w:asciiTheme="minorHAnsi" w:hAnsiTheme="minorHAnsi" w:cstheme="minorHAnsi"/>
          <w:sz w:val="22"/>
          <w:szCs w:val="22"/>
        </w:rPr>
      </w:pPr>
      <w:r w:rsidRPr="007C4D65">
        <w:rPr>
          <w:rFonts w:asciiTheme="minorHAnsi" w:hAnsiTheme="minorHAnsi" w:cstheme="minorHAnsi"/>
          <w:sz w:val="22"/>
        </w:rPr>
        <w:t xml:space="preserve">Targeted funding for scientific research aimed at providing a full inventory of biodiversity, flora, fauna, fungi, ecosystems/habitats and genetical diversity in the Federation of BiH has not been </w:t>
      </w:r>
      <w:proofErr w:type="gramStart"/>
      <w:r w:rsidRPr="007C4D65">
        <w:rPr>
          <w:rFonts w:asciiTheme="minorHAnsi" w:hAnsiTheme="minorHAnsi" w:cstheme="minorHAnsi"/>
          <w:sz w:val="22"/>
        </w:rPr>
        <w:t>established;  While</w:t>
      </w:r>
      <w:proofErr w:type="gramEnd"/>
      <w:r w:rsidRPr="007C4D65">
        <w:rPr>
          <w:rFonts w:asciiTheme="minorHAnsi" w:hAnsiTheme="minorHAnsi" w:cstheme="minorHAnsi"/>
          <w:sz w:val="22"/>
        </w:rPr>
        <w:t xml:space="preserve"> some financial support has been obtained for biodiversity research, it is not proportionate to needs, or systematically organized so as to allow the completion of data for the Federation of BiH;</w:t>
      </w:r>
    </w:p>
    <w:p w14:paraId="46D2E00E" w14:textId="77777777" w:rsidR="005E22EF" w:rsidRPr="007C4D65" w:rsidRDefault="005E22EF" w:rsidP="0068355A">
      <w:pPr>
        <w:numPr>
          <w:ilvl w:val="0"/>
          <w:numId w:val="8"/>
        </w:numPr>
        <w:spacing w:before="240" w:after="240" w:line="276" w:lineRule="auto"/>
        <w:ind w:left="723"/>
        <w:contextualSpacing/>
        <w:jc w:val="both"/>
        <w:textAlignment w:val="baseline"/>
        <w:rPr>
          <w:rFonts w:asciiTheme="minorHAnsi" w:hAnsiTheme="minorHAnsi" w:cstheme="minorHAnsi"/>
          <w:sz w:val="22"/>
          <w:szCs w:val="22"/>
        </w:rPr>
      </w:pPr>
      <w:r w:rsidRPr="007C4D65">
        <w:rPr>
          <w:rFonts w:asciiTheme="minorHAnsi" w:hAnsiTheme="minorHAnsi" w:cstheme="minorHAnsi"/>
          <w:sz w:val="22"/>
        </w:rPr>
        <w:t xml:space="preserve">Group of species, ecosystems/habitats and parts of genetic diversity that need to be constantly monitored has not been identified (or such request addressed to the scientific community), in order to assess the state of the entire biodiversity of the </w:t>
      </w:r>
      <w:proofErr w:type="gramStart"/>
      <w:r w:rsidRPr="007C4D65">
        <w:rPr>
          <w:rFonts w:asciiTheme="minorHAnsi" w:hAnsiTheme="minorHAnsi" w:cstheme="minorHAnsi"/>
          <w:sz w:val="22"/>
        </w:rPr>
        <w:t>FBiH;</w:t>
      </w:r>
      <w:proofErr w:type="gramEnd"/>
    </w:p>
    <w:p w14:paraId="22EA5972" w14:textId="5118FC7B" w:rsidR="005E22EF" w:rsidRPr="007C4D65" w:rsidRDefault="005E22EF" w:rsidP="0068355A">
      <w:pPr>
        <w:numPr>
          <w:ilvl w:val="0"/>
          <w:numId w:val="8"/>
        </w:numPr>
        <w:spacing w:before="240" w:after="240" w:line="276" w:lineRule="auto"/>
        <w:ind w:left="723"/>
        <w:contextualSpacing/>
        <w:jc w:val="both"/>
        <w:textAlignment w:val="baseline"/>
        <w:rPr>
          <w:rFonts w:asciiTheme="minorHAnsi" w:hAnsiTheme="minorHAnsi" w:cstheme="minorHAnsi"/>
          <w:sz w:val="22"/>
          <w:szCs w:val="22"/>
        </w:rPr>
      </w:pPr>
      <w:r w:rsidRPr="007C4D65">
        <w:rPr>
          <w:rFonts w:asciiTheme="minorHAnsi" w:hAnsiTheme="minorHAnsi" w:cstheme="minorHAnsi"/>
          <w:sz w:val="22"/>
        </w:rPr>
        <w:t xml:space="preserve">There is no institutional framework for biodiversity monitoring, i.e., </w:t>
      </w:r>
      <w:r w:rsidR="00C9097F" w:rsidRPr="007C4D65">
        <w:rPr>
          <w:rFonts w:asciiTheme="minorHAnsi" w:hAnsiTheme="minorHAnsi" w:cstheme="minorHAnsi"/>
          <w:sz w:val="22"/>
        </w:rPr>
        <w:t>mechanism</w:t>
      </w:r>
      <w:r w:rsidRPr="007C4D65">
        <w:rPr>
          <w:rFonts w:asciiTheme="minorHAnsi" w:hAnsiTheme="minorHAnsi" w:cstheme="minorHAnsi"/>
          <w:sz w:val="22"/>
        </w:rPr>
        <w:t xml:space="preserve"> for communication of data on the status of groups of species, ecosystems/habitats and parts of </w:t>
      </w:r>
      <w:r w:rsidRPr="007C4D65">
        <w:rPr>
          <w:rFonts w:asciiTheme="minorHAnsi" w:hAnsiTheme="minorHAnsi" w:cstheme="minorHAnsi"/>
          <w:sz w:val="22"/>
        </w:rPr>
        <w:lastRenderedPageBreak/>
        <w:t xml:space="preserve">genetic diversity obtained in the field for the purposes of preparing official reports on their </w:t>
      </w:r>
      <w:proofErr w:type="gramStart"/>
      <w:r w:rsidRPr="007C4D65">
        <w:rPr>
          <w:rFonts w:asciiTheme="minorHAnsi" w:hAnsiTheme="minorHAnsi" w:cstheme="minorHAnsi"/>
          <w:sz w:val="22"/>
        </w:rPr>
        <w:t>status;</w:t>
      </w:r>
      <w:proofErr w:type="gramEnd"/>
    </w:p>
    <w:p w14:paraId="13763485" w14:textId="17576A1D" w:rsidR="005E22EF" w:rsidRPr="007C4D65" w:rsidRDefault="005E22EF" w:rsidP="0068355A">
      <w:pPr>
        <w:numPr>
          <w:ilvl w:val="0"/>
          <w:numId w:val="8"/>
        </w:numPr>
        <w:spacing w:before="240" w:after="240" w:line="276" w:lineRule="auto"/>
        <w:ind w:left="723"/>
        <w:contextualSpacing/>
        <w:jc w:val="both"/>
        <w:textAlignment w:val="baseline"/>
        <w:rPr>
          <w:rFonts w:asciiTheme="minorHAnsi" w:hAnsiTheme="minorHAnsi" w:cstheme="minorHAnsi"/>
          <w:sz w:val="22"/>
          <w:szCs w:val="22"/>
        </w:rPr>
      </w:pPr>
      <w:r w:rsidRPr="007C4D65">
        <w:rPr>
          <w:rFonts w:asciiTheme="minorHAnsi" w:hAnsiTheme="minorHAnsi" w:cstheme="minorHAnsi"/>
          <w:sz w:val="22"/>
        </w:rPr>
        <w:t xml:space="preserve">Financial, human and technical capacities </w:t>
      </w:r>
      <w:proofErr w:type="gramStart"/>
      <w:r w:rsidRPr="007C4D65">
        <w:rPr>
          <w:rFonts w:asciiTheme="minorHAnsi" w:hAnsiTheme="minorHAnsi" w:cstheme="minorHAnsi"/>
          <w:sz w:val="22"/>
        </w:rPr>
        <w:t>for  biodiversity</w:t>
      </w:r>
      <w:proofErr w:type="gramEnd"/>
      <w:r w:rsidRPr="007C4D65">
        <w:rPr>
          <w:rFonts w:asciiTheme="minorHAnsi" w:hAnsiTheme="minorHAnsi" w:cstheme="minorHAnsi"/>
          <w:sz w:val="22"/>
        </w:rPr>
        <w:t xml:space="preserve"> monitoring are </w:t>
      </w:r>
      <w:r w:rsidR="001A2A48" w:rsidRPr="007C4D65">
        <w:rPr>
          <w:rFonts w:asciiTheme="minorHAnsi" w:hAnsiTheme="minorHAnsi" w:cstheme="minorHAnsi"/>
          <w:sz w:val="22"/>
        </w:rPr>
        <w:t>not</w:t>
      </w:r>
      <w:r w:rsidRPr="007C4D65">
        <w:rPr>
          <w:rFonts w:asciiTheme="minorHAnsi" w:hAnsiTheme="minorHAnsi" w:cstheme="minorHAnsi"/>
          <w:sz w:val="22"/>
        </w:rPr>
        <w:t xml:space="preserve"> available.</w:t>
      </w:r>
    </w:p>
    <w:p w14:paraId="38C99E72" w14:textId="3C200044" w:rsidR="005E22EF" w:rsidRPr="007C4D65" w:rsidRDefault="005E22EF" w:rsidP="0068355A">
      <w:pPr>
        <w:spacing w:line="276" w:lineRule="auto"/>
        <w:ind w:left="723"/>
        <w:contextualSpacing/>
        <w:jc w:val="both"/>
        <w:textAlignment w:val="baseline"/>
        <w:rPr>
          <w:rFonts w:asciiTheme="minorHAnsi" w:eastAsiaTheme="minorHAnsi" w:hAnsiTheme="minorHAnsi" w:cstheme="minorHAnsi"/>
          <w:b/>
          <w:sz w:val="22"/>
          <w:szCs w:val="22"/>
        </w:rPr>
      </w:pPr>
      <w:r w:rsidRPr="007C4D65">
        <w:rPr>
          <w:rFonts w:asciiTheme="minorHAnsi" w:hAnsiTheme="minorHAnsi" w:cstheme="minorHAnsi"/>
          <w:sz w:val="22"/>
        </w:rPr>
        <w:t>A habitat map of the Federation of BiH, as a main tool used in the identifying areas under special protection and in the process of designating the ecological network of the Federation of BiH is currently not available. There are also no official documents with lists of areas important for migratory bird species.</w:t>
      </w:r>
    </w:p>
    <w:p w14:paraId="29D043DF" w14:textId="32B7078C" w:rsidR="005E22EF" w:rsidRPr="007C4D65" w:rsidRDefault="005E22E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Given the fact that the preparation of studies aimed at developing inventories of fauna, flora, and </w:t>
      </w:r>
      <w:r w:rsidR="00C34761" w:rsidRPr="007C4D65">
        <w:rPr>
          <w:rFonts w:asciiTheme="minorHAnsi" w:hAnsiTheme="minorHAnsi" w:cstheme="minorHAnsi"/>
          <w:sz w:val="22"/>
        </w:rPr>
        <w:t>fungi</w:t>
      </w:r>
      <w:r w:rsidRPr="007C4D65">
        <w:rPr>
          <w:rFonts w:asciiTheme="minorHAnsi" w:hAnsiTheme="minorHAnsi" w:cstheme="minorHAnsi"/>
          <w:sz w:val="22"/>
        </w:rPr>
        <w:t xml:space="preserve"> and habitats mapping are </w:t>
      </w:r>
      <w:r w:rsidR="00C9097F" w:rsidRPr="007C4D65">
        <w:rPr>
          <w:rFonts w:asciiTheme="minorHAnsi" w:hAnsiTheme="minorHAnsi" w:cstheme="minorHAnsi"/>
          <w:sz w:val="22"/>
        </w:rPr>
        <w:t>extremely</w:t>
      </w:r>
      <w:r w:rsidRPr="007C4D65">
        <w:rPr>
          <w:rFonts w:asciiTheme="minorHAnsi" w:hAnsiTheme="minorHAnsi" w:cstheme="minorHAnsi"/>
          <w:sz w:val="22"/>
        </w:rPr>
        <w:t xml:space="preserve"> important scientific and professional tasks for the Federation of BiH, an efficient plan for their realisation should be prepared and implemented in a near future. The preparation of such efficient plan will require cooperation among the Ministry, Environmental Protection Fund and scientific community, and its implementation should be supported by the Government of the Federation of BiH.</w:t>
      </w:r>
    </w:p>
    <w:p w14:paraId="35C88E4A" w14:textId="2408E763" w:rsidR="005E22EF" w:rsidRPr="007C4D65" w:rsidRDefault="005E22EF" w:rsidP="0068355A">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Cross-sector</w:t>
      </w:r>
      <w:r w:rsidR="00697667" w:rsidRPr="007C4D65">
        <w:rPr>
          <w:rFonts w:asciiTheme="minorHAnsi" w:hAnsiTheme="minorHAnsi" w:cstheme="minorHAnsi"/>
          <w:i/>
          <w:sz w:val="22"/>
          <w:u w:val="single"/>
        </w:rPr>
        <w:t>al</w:t>
      </w:r>
      <w:r w:rsidRPr="007C4D65">
        <w:rPr>
          <w:rFonts w:asciiTheme="minorHAnsi" w:hAnsiTheme="minorHAnsi" w:cstheme="minorHAnsi"/>
          <w:i/>
          <w:sz w:val="22"/>
          <w:u w:val="single"/>
        </w:rPr>
        <w:t xml:space="preserve"> cooperation</w:t>
      </w:r>
    </w:p>
    <w:p w14:paraId="6A078346" w14:textId="67818BB9" w:rsidR="005E22EF" w:rsidRPr="007C4D65" w:rsidRDefault="005E22EF"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state of biodiversity and nature in the Federation of BiH is largely determined by other sectors such as forestry, agriculture, water management, energy industry, </w:t>
      </w:r>
      <w:r w:rsidR="00C34761" w:rsidRPr="007C4D65">
        <w:rPr>
          <w:rFonts w:asciiTheme="minorHAnsi" w:hAnsiTheme="minorHAnsi" w:cstheme="minorHAnsi"/>
          <w:sz w:val="22"/>
        </w:rPr>
        <w:t>industry</w:t>
      </w:r>
      <w:r w:rsidRPr="007C4D65">
        <w:rPr>
          <w:rFonts w:asciiTheme="minorHAnsi" w:hAnsiTheme="minorHAnsi" w:cstheme="minorHAnsi"/>
          <w:sz w:val="22"/>
        </w:rPr>
        <w:t>, transport, tourism, and others</w:t>
      </w:r>
      <w:r w:rsidRPr="007C4D65">
        <w:rPr>
          <w:rFonts w:asciiTheme="minorHAnsi" w:hAnsiTheme="minorHAnsi" w:cstheme="minorHAnsi"/>
        </w:rPr>
        <w:t>.</w:t>
      </w:r>
      <w:r w:rsidR="00912007" w:rsidRPr="007C4D65">
        <w:rPr>
          <w:rFonts w:asciiTheme="minorHAnsi" w:hAnsiTheme="minorHAnsi" w:cstheme="minorHAnsi"/>
          <w:sz w:val="22"/>
        </w:rPr>
        <w:fldChar w:fldCharType="begin"/>
      </w:r>
      <w:r w:rsidR="00912007" w:rsidRPr="007C4D65">
        <w:rPr>
          <w:rFonts w:asciiTheme="minorHAnsi" w:hAnsiTheme="minorHAnsi" w:cstheme="minorHAnsi"/>
          <w:sz w:val="22"/>
        </w:rPr>
        <w:instrText xml:space="preserve"> ADDIN ZOTERO_ITEM CSL_CITATION {"citationID":"D3vkohSf","properties":{"formattedCitation":"(MVTEO 2019)","plainCitation":"(MVTEO 2019)","noteIndex":0},"citationItems":[{"id":1481,"uris":["http://zotero.org/users/7192877/items/HNK4V42B"],"itemData":{"id":1481,"type":"report","event-place":"Sarajevo","publisher-place":"Sarajevo","title":"Sixth National Report for the CBD","URL":"http://bih-chm-cbd.ba/wp-content/uploads/2020/11/VI-nacionalni-izvjestaj-BiH_BHS.pdf","author":[{"family":"MVTEO","given":""}],"issued":{"date-parts":[["2019"]]}}}],"schema":"https://github.com/citation-style-language/schema/raw/master/csl-citation.json"} </w:instrText>
      </w:r>
      <w:r w:rsidR="00912007" w:rsidRPr="007C4D65">
        <w:rPr>
          <w:rFonts w:asciiTheme="minorHAnsi" w:hAnsiTheme="minorHAnsi" w:cstheme="minorHAnsi"/>
          <w:sz w:val="22"/>
        </w:rPr>
        <w:fldChar w:fldCharType="separate"/>
      </w:r>
      <w:r w:rsidR="00912007" w:rsidRPr="007C4D65">
        <w:rPr>
          <w:rFonts w:asciiTheme="minorHAnsi" w:hAnsiTheme="minorHAnsi" w:cstheme="minorHAnsi"/>
          <w:sz w:val="22"/>
        </w:rPr>
        <w:t>(</w:t>
      </w:r>
      <w:r w:rsidR="00C9097F" w:rsidRPr="007C4D65">
        <w:rPr>
          <w:rFonts w:asciiTheme="minorHAnsi" w:hAnsiTheme="minorHAnsi" w:cstheme="minorHAnsi"/>
          <w:sz w:val="22"/>
        </w:rPr>
        <w:t>MOFTER</w:t>
      </w:r>
      <w:r w:rsidR="00925D49" w:rsidRPr="007C4D65">
        <w:rPr>
          <w:rFonts w:asciiTheme="minorHAnsi" w:hAnsiTheme="minorHAnsi" w:cstheme="minorHAnsi"/>
          <w:sz w:val="22"/>
        </w:rPr>
        <w:t>,</w:t>
      </w:r>
      <w:r w:rsidR="00912007" w:rsidRPr="007C4D65">
        <w:rPr>
          <w:rFonts w:asciiTheme="minorHAnsi" w:hAnsiTheme="minorHAnsi" w:cstheme="minorHAnsi"/>
          <w:sz w:val="22"/>
        </w:rPr>
        <w:t xml:space="preserve"> 2019)</w:t>
      </w:r>
      <w:r w:rsidR="00912007" w:rsidRPr="007C4D65">
        <w:rPr>
          <w:rFonts w:asciiTheme="minorHAnsi" w:hAnsiTheme="minorHAnsi" w:cstheme="minorHAnsi"/>
          <w:sz w:val="22"/>
        </w:rPr>
        <w:fldChar w:fldCharType="end"/>
      </w:r>
      <w:r w:rsidRPr="007C4D65">
        <w:rPr>
          <w:rFonts w:asciiTheme="minorHAnsi" w:hAnsiTheme="minorHAnsi" w:cstheme="minorHAnsi"/>
          <w:sz w:val="22"/>
        </w:rPr>
        <w:t xml:space="preserve">. </w:t>
      </w:r>
      <w:r w:rsidRPr="007C4D65">
        <w:rPr>
          <w:rFonts w:asciiTheme="minorHAnsi" w:hAnsiTheme="minorHAnsi" w:cstheme="minorHAnsi"/>
        </w:rPr>
        <w:t xml:space="preserve">While nature conservation is often acknowledge in sectoral strategic documents, it is not sufficiently and integrated and balanced in sectoral programmes which govern their operation </w:t>
      </w:r>
      <w:r w:rsidR="00912007" w:rsidRPr="007C4D65">
        <w:rPr>
          <w:rFonts w:asciiTheme="minorHAnsi" w:hAnsiTheme="minorHAnsi" w:cstheme="minorHAnsi"/>
          <w:sz w:val="22"/>
        </w:rPr>
        <w:fldChar w:fldCharType="begin"/>
      </w:r>
      <w:r w:rsidR="00912007" w:rsidRPr="007C4D65">
        <w:rPr>
          <w:rFonts w:asciiTheme="minorHAnsi" w:hAnsiTheme="minorHAnsi" w:cstheme="minorHAnsi"/>
          <w:sz w:val="22"/>
        </w:rPr>
        <w:instrText xml:space="preserve"> ADDIN ZOTERO_ITEM CSL_CITATION {"citationID":"brQdBtHS","properties":{"formattedCitation":"(MVTEO 2019)","plainCitation":"(MVTEO 2019)","noteIndex":0},"citationItems":[{"id":1481,"uris":["http://zotero.org/users/7192877/items/HNK4V42B"],"itemData":{"id":1481,"type":"report","event-place":"Sarajevo","publisher-place":"Sarajevo","title":"Sixth National Report for the CBD","URL":"http://bih-chm-cbd.ba/wp-content/uploads/2020/11/VI-nacionalni-izvjestaj-BiH_BHS.pdf","author":[{"family":"MVTEO","given":""}],"issued":{"date-parts":[["2019"]]}}}],"schema":"https://github.com/citation-style-language/schema/raw/master/csl-citation.json"} </w:instrText>
      </w:r>
      <w:r w:rsidR="00912007" w:rsidRPr="007C4D65">
        <w:rPr>
          <w:rFonts w:asciiTheme="minorHAnsi" w:hAnsiTheme="minorHAnsi" w:cstheme="minorHAnsi"/>
          <w:sz w:val="22"/>
        </w:rPr>
        <w:fldChar w:fldCharType="separate"/>
      </w:r>
      <w:r w:rsidR="00912007" w:rsidRPr="007C4D65">
        <w:rPr>
          <w:rFonts w:asciiTheme="minorHAnsi" w:hAnsiTheme="minorHAnsi" w:cstheme="minorHAnsi"/>
          <w:sz w:val="22"/>
        </w:rPr>
        <w:t>(</w:t>
      </w:r>
      <w:r w:rsidR="00C9097F" w:rsidRPr="007C4D65">
        <w:rPr>
          <w:rFonts w:asciiTheme="minorHAnsi" w:hAnsiTheme="minorHAnsi" w:cstheme="minorHAnsi"/>
          <w:sz w:val="22"/>
        </w:rPr>
        <w:t>MOFTER</w:t>
      </w:r>
      <w:r w:rsidR="00925D49" w:rsidRPr="007C4D65">
        <w:rPr>
          <w:rFonts w:asciiTheme="minorHAnsi" w:hAnsiTheme="minorHAnsi" w:cstheme="minorHAnsi"/>
          <w:sz w:val="22"/>
        </w:rPr>
        <w:t>,</w:t>
      </w:r>
      <w:r w:rsidR="00912007" w:rsidRPr="007C4D65">
        <w:rPr>
          <w:rFonts w:asciiTheme="minorHAnsi" w:hAnsiTheme="minorHAnsi" w:cstheme="minorHAnsi"/>
          <w:sz w:val="22"/>
        </w:rPr>
        <w:t xml:space="preserve"> 2019)</w:t>
      </w:r>
      <w:r w:rsidR="00912007" w:rsidRPr="007C4D65">
        <w:rPr>
          <w:rFonts w:asciiTheme="minorHAnsi" w:hAnsiTheme="minorHAnsi" w:cstheme="minorHAnsi"/>
          <w:sz w:val="22"/>
        </w:rPr>
        <w:fldChar w:fldCharType="end"/>
      </w:r>
      <w:r w:rsidRPr="007C4D65">
        <w:rPr>
          <w:rFonts w:asciiTheme="minorHAnsi" w:hAnsiTheme="minorHAnsi" w:cstheme="minorHAnsi"/>
          <w:sz w:val="22"/>
        </w:rPr>
        <w:t xml:space="preserve">. It is therefore necessary to balance its integration in other sectoral policies and regulations (agriculture, forestry, hunting, water management, energy, tourism, etc.) highlighting and respecting in all the activities gender equality. A strong direct pressure of climate change on the state of nature which </w:t>
      </w:r>
      <w:r w:rsidR="00C9097F" w:rsidRPr="007C4D65">
        <w:rPr>
          <w:rFonts w:asciiTheme="minorHAnsi" w:hAnsiTheme="minorHAnsi" w:cstheme="minorHAnsi"/>
          <w:sz w:val="22"/>
        </w:rPr>
        <w:t>requires</w:t>
      </w:r>
      <w:r w:rsidRPr="007C4D65">
        <w:rPr>
          <w:rFonts w:asciiTheme="minorHAnsi" w:hAnsiTheme="minorHAnsi" w:cstheme="minorHAnsi"/>
          <w:sz w:val="22"/>
        </w:rPr>
        <w:t xml:space="preserve"> a </w:t>
      </w:r>
      <w:r w:rsidR="00007DA5" w:rsidRPr="007C4D65">
        <w:rPr>
          <w:rFonts w:asciiTheme="minorHAnsi" w:hAnsiTheme="minorHAnsi" w:cstheme="minorHAnsi"/>
          <w:sz w:val="22"/>
        </w:rPr>
        <w:t>cross-sectoral</w:t>
      </w:r>
      <w:r w:rsidRPr="007C4D65">
        <w:rPr>
          <w:rFonts w:asciiTheme="minorHAnsi" w:hAnsiTheme="minorHAnsi" w:cstheme="minorHAnsi"/>
          <w:sz w:val="22"/>
        </w:rPr>
        <w:t xml:space="preserve"> cooperation with the view to defining adaptation and mitigation measures, should be particularly stressed. A </w:t>
      </w:r>
      <w:r w:rsidR="00C9097F" w:rsidRPr="007C4D65">
        <w:rPr>
          <w:rFonts w:asciiTheme="minorHAnsi" w:hAnsiTheme="minorHAnsi" w:cstheme="minorHAnsi"/>
          <w:sz w:val="22"/>
        </w:rPr>
        <w:t>systemically</w:t>
      </w:r>
      <w:r w:rsidRPr="007C4D65">
        <w:rPr>
          <w:rFonts w:asciiTheme="minorHAnsi" w:hAnsiTheme="minorHAnsi" w:cstheme="minorHAnsi"/>
          <w:sz w:val="22"/>
        </w:rPr>
        <w:t xml:space="preserve"> designed rural development </w:t>
      </w:r>
      <w:r w:rsidR="00C9097F" w:rsidRPr="007C4D65">
        <w:rPr>
          <w:rFonts w:asciiTheme="minorHAnsi" w:hAnsiTheme="minorHAnsi" w:cstheme="minorHAnsi"/>
          <w:sz w:val="22"/>
        </w:rPr>
        <w:t>programme</w:t>
      </w:r>
      <w:r w:rsidRPr="007C4D65">
        <w:rPr>
          <w:rFonts w:asciiTheme="minorHAnsi" w:hAnsiTheme="minorHAnsi" w:cstheme="minorHAnsi"/>
          <w:sz w:val="22"/>
        </w:rPr>
        <w:t xml:space="preserve"> aimed at keeping the population in rural communities, and the preservation of traditional practices and knowledge on the use of biodiversity is an </w:t>
      </w:r>
      <w:r w:rsidR="00C9097F" w:rsidRPr="007C4D65">
        <w:rPr>
          <w:rFonts w:asciiTheme="minorHAnsi" w:hAnsiTheme="minorHAnsi" w:cstheme="minorHAnsi"/>
          <w:sz w:val="22"/>
        </w:rPr>
        <w:t>important</w:t>
      </w:r>
      <w:r w:rsidRPr="007C4D65">
        <w:rPr>
          <w:rFonts w:asciiTheme="minorHAnsi" w:hAnsiTheme="minorHAnsi" w:cstheme="minorHAnsi"/>
          <w:sz w:val="22"/>
        </w:rPr>
        <w:t xml:space="preserve"> example of </w:t>
      </w:r>
      <w:r w:rsidR="00007DA5" w:rsidRPr="007C4D65">
        <w:rPr>
          <w:rFonts w:asciiTheme="minorHAnsi" w:hAnsiTheme="minorHAnsi" w:cstheme="minorHAnsi"/>
          <w:sz w:val="22"/>
        </w:rPr>
        <w:t>cross-sectoral</w:t>
      </w:r>
      <w:r w:rsidRPr="007C4D65">
        <w:rPr>
          <w:rFonts w:asciiTheme="minorHAnsi" w:hAnsiTheme="minorHAnsi" w:cstheme="minorHAnsi"/>
          <w:sz w:val="22"/>
        </w:rPr>
        <w:t xml:space="preserve"> cooperation.</w:t>
      </w:r>
    </w:p>
    <w:p w14:paraId="3D43FED4" w14:textId="1E742B32" w:rsidR="005E22EF" w:rsidRPr="007C4D65" w:rsidRDefault="005E22E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It should be noted that the EU acquis stress the protection of biodiversity through sectoral action, which requires a detailed horizontal harmonisation of the regulations at each level of administrative units and their effective implementation. There are several reasons for the poor integration of biodiversity area, including law environmental awareness, poor understanding of different types of benefits of nature preservation, giving short-term interests priority over long-term interests, lack of information of consequences etc., which again leads to degradation of natural habitats and loss of biodiversity. Preparation of guidance for the integration of biodiversity in a specific sectoral policy can improve the </w:t>
      </w:r>
      <w:r w:rsidR="00007DA5" w:rsidRPr="007C4D65">
        <w:rPr>
          <w:rFonts w:asciiTheme="minorHAnsi" w:hAnsiTheme="minorHAnsi" w:cstheme="minorHAnsi"/>
          <w:sz w:val="22"/>
        </w:rPr>
        <w:t>cross-sectoral</w:t>
      </w:r>
      <w:r w:rsidRPr="007C4D65">
        <w:rPr>
          <w:rFonts w:asciiTheme="minorHAnsi" w:hAnsiTheme="minorHAnsi" w:cstheme="minorHAnsi"/>
          <w:sz w:val="22"/>
        </w:rPr>
        <w:t xml:space="preserve"> cooperation.</w:t>
      </w:r>
    </w:p>
    <w:p w14:paraId="7493E228" w14:textId="74DCC5ED" w:rsidR="005E22EF" w:rsidRPr="007C4D65" w:rsidRDefault="005E22EF" w:rsidP="0068355A">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 xml:space="preserve">Role of scientific knowledge in </w:t>
      </w:r>
      <w:r w:rsidR="009F16BA" w:rsidRPr="007C4D65">
        <w:rPr>
          <w:rFonts w:asciiTheme="minorHAnsi" w:hAnsiTheme="minorHAnsi" w:cstheme="minorHAnsi"/>
          <w:i/>
          <w:sz w:val="22"/>
          <w:u w:val="single"/>
        </w:rPr>
        <w:t>decision-making</w:t>
      </w:r>
    </w:p>
    <w:p w14:paraId="6857FBE2" w14:textId="2D1C057E" w:rsidR="005E22EF" w:rsidRPr="007C4D65" w:rsidRDefault="005E22EF" w:rsidP="0068355A">
      <w:pPr>
        <w:spacing w:after="237" w:line="276" w:lineRule="auto"/>
        <w:ind w:right="15"/>
        <w:jc w:val="both"/>
        <w:rPr>
          <w:rFonts w:asciiTheme="minorHAnsi" w:hAnsiTheme="minorHAnsi" w:cstheme="minorHAnsi"/>
          <w:sz w:val="22"/>
          <w:szCs w:val="22"/>
        </w:rPr>
      </w:pPr>
      <w:r w:rsidRPr="007C4D65">
        <w:rPr>
          <w:rFonts w:asciiTheme="minorHAnsi" w:hAnsiTheme="minorHAnsi" w:cstheme="minorHAnsi"/>
        </w:rPr>
        <w:t>Scientific knowledge is not sufficiently used</w:t>
      </w:r>
      <w:r w:rsidR="00C9097F" w:rsidRPr="007C4D65">
        <w:rPr>
          <w:rFonts w:asciiTheme="minorHAnsi" w:hAnsiTheme="minorHAnsi" w:cstheme="minorHAnsi"/>
        </w:rPr>
        <w:t xml:space="preserve"> by</w:t>
      </w:r>
      <w:r w:rsidRPr="007C4D65">
        <w:rPr>
          <w:rFonts w:asciiTheme="minorHAnsi" w:hAnsiTheme="minorHAnsi" w:cstheme="minorHAnsi"/>
        </w:rPr>
        <w:t xml:space="preserve"> or available to decision-makers, in terms of their easy application in practice</w:t>
      </w:r>
      <w:r w:rsidR="00C9097F" w:rsidRPr="007C4D65">
        <w:rPr>
          <w:rFonts w:asciiTheme="minorHAnsi" w:hAnsiTheme="minorHAnsi" w:cstheme="minorHAnsi"/>
        </w:rPr>
        <w:t xml:space="preserve"> </w:t>
      </w:r>
      <w:r w:rsidR="00912007" w:rsidRPr="007C4D65">
        <w:rPr>
          <w:rFonts w:asciiTheme="minorHAnsi" w:hAnsiTheme="minorHAnsi" w:cstheme="minorHAnsi"/>
          <w:sz w:val="22"/>
        </w:rPr>
        <w:fldChar w:fldCharType="begin"/>
      </w:r>
      <w:r w:rsidR="00925D49" w:rsidRPr="007C4D65">
        <w:rPr>
          <w:rFonts w:asciiTheme="minorHAnsi" w:hAnsiTheme="minorHAnsi" w:cstheme="minorHAnsi"/>
          <w:sz w:val="22"/>
        </w:rPr>
        <w:instrText xml:space="preserve"> ADDIN ZOTERO_ITEM CSL_CITATION {"citationID":"I0GHH5vB","properties":{"formattedCitation":"(Koncept procjene stanja prirode (PSP) 2020)","plainCitation":"(Koncept procjene stanja prirode (PSP) 2020)","noteIndex":0},"citationItems":[{"id":1482,"uris":["http://zotero.org/users/7192877/items/Z9IM799K"],"itemData":{"id":1482,"type":"document","title":"Koncept Procjene stanja prirode","URL":"https://www.procjenaprirode.ba/dokumenti/","author":[{"family":"Koncept procjene stanja prirode (PSP)","given":""}],"issued":{"date-parts":[["2020"]]}}}],"schema":"https://github.com/citation-style-language/schema/raw/master/csl-citation.json"} </w:instrText>
      </w:r>
      <w:r w:rsidR="00912007" w:rsidRPr="007C4D65">
        <w:rPr>
          <w:rFonts w:asciiTheme="minorHAnsi" w:hAnsiTheme="minorHAnsi" w:cstheme="minorHAnsi"/>
          <w:sz w:val="22"/>
        </w:rPr>
        <w:fldChar w:fldCharType="separate"/>
      </w:r>
      <w:r w:rsidR="00925D49" w:rsidRPr="007C4D65">
        <w:rPr>
          <w:rFonts w:asciiTheme="minorHAnsi" w:hAnsiTheme="minorHAnsi" w:cstheme="minorHAnsi"/>
          <w:sz w:val="22"/>
        </w:rPr>
        <w:t>(</w:t>
      </w:r>
      <w:r w:rsidR="00C9097F" w:rsidRPr="007C4D65">
        <w:rPr>
          <w:rFonts w:asciiTheme="minorHAnsi" w:hAnsiTheme="minorHAnsi" w:cstheme="minorHAnsi"/>
          <w:sz w:val="22"/>
        </w:rPr>
        <w:t>Concept of the State of Nature Analysis</w:t>
      </w:r>
      <w:r w:rsidR="00925D49" w:rsidRPr="007C4D65">
        <w:rPr>
          <w:rFonts w:asciiTheme="minorHAnsi" w:hAnsiTheme="minorHAnsi" w:cstheme="minorHAnsi"/>
          <w:sz w:val="22"/>
        </w:rPr>
        <w:t xml:space="preserve"> (</w:t>
      </w:r>
      <w:r w:rsidR="00C9097F" w:rsidRPr="007C4D65">
        <w:rPr>
          <w:rFonts w:asciiTheme="minorHAnsi" w:hAnsiTheme="minorHAnsi" w:cstheme="minorHAnsi"/>
          <w:sz w:val="22"/>
        </w:rPr>
        <w:t>SNA</w:t>
      </w:r>
      <w:r w:rsidR="00925D49" w:rsidRPr="007C4D65">
        <w:rPr>
          <w:rFonts w:asciiTheme="minorHAnsi" w:hAnsiTheme="minorHAnsi" w:cstheme="minorHAnsi"/>
          <w:sz w:val="22"/>
        </w:rPr>
        <w:t>), 2020)</w:t>
      </w:r>
      <w:r w:rsidR="00912007" w:rsidRPr="007C4D65">
        <w:rPr>
          <w:rFonts w:asciiTheme="minorHAnsi" w:hAnsiTheme="minorHAnsi" w:cstheme="minorHAnsi"/>
          <w:sz w:val="22"/>
        </w:rPr>
        <w:fldChar w:fldCharType="end"/>
      </w:r>
      <w:r w:rsidRPr="007C4D65">
        <w:rPr>
          <w:rFonts w:asciiTheme="minorHAnsi" w:hAnsiTheme="minorHAnsi" w:cstheme="minorHAnsi"/>
          <w:sz w:val="22"/>
        </w:rPr>
        <w:t xml:space="preserve">. In this regard, decisions on use of area and benefits (ecosystem services) from natural, agricultural and urban ecosystems are often not scientifically based, or aligned with trends in biodiversity. There is a need to better use national scientific knowledge </w:t>
      </w:r>
      <w:r w:rsidR="00C9097F" w:rsidRPr="007C4D65">
        <w:rPr>
          <w:rFonts w:asciiTheme="minorHAnsi" w:hAnsiTheme="minorHAnsi" w:cstheme="minorHAnsi"/>
          <w:sz w:val="22"/>
        </w:rPr>
        <w:t>across</w:t>
      </w:r>
      <w:r w:rsidRPr="007C4D65">
        <w:rPr>
          <w:rFonts w:asciiTheme="minorHAnsi" w:hAnsiTheme="minorHAnsi" w:cstheme="minorHAnsi"/>
          <w:sz w:val="22"/>
        </w:rPr>
        <w:t xml:space="preserve"> the Federation of BiH.</w:t>
      </w:r>
    </w:p>
    <w:p w14:paraId="126707EA" w14:textId="084FBF73" w:rsidR="005E22EF" w:rsidRPr="007C4D65" w:rsidRDefault="005E22EF" w:rsidP="0068355A">
      <w:pPr>
        <w:spacing w:line="276" w:lineRule="auto"/>
        <w:jc w:val="both"/>
        <w:rPr>
          <w:rFonts w:asciiTheme="minorHAnsi" w:hAnsiTheme="minorHAnsi" w:cstheme="minorHAnsi"/>
          <w:b/>
          <w:sz w:val="22"/>
          <w:szCs w:val="22"/>
        </w:rPr>
      </w:pPr>
      <w:proofErr w:type="gramStart"/>
      <w:r w:rsidRPr="007C4D65">
        <w:rPr>
          <w:rFonts w:asciiTheme="minorHAnsi" w:hAnsiTheme="minorHAnsi" w:cstheme="minorHAnsi"/>
          <w:sz w:val="22"/>
        </w:rPr>
        <w:lastRenderedPageBreak/>
        <w:t>Similar to</w:t>
      </w:r>
      <w:proofErr w:type="gramEnd"/>
      <w:r w:rsidRPr="007C4D65">
        <w:rPr>
          <w:rFonts w:asciiTheme="minorHAnsi" w:hAnsiTheme="minorHAnsi" w:cstheme="minorHAnsi"/>
          <w:sz w:val="22"/>
        </w:rPr>
        <w:t xml:space="preserve"> the availability of data on biodiversity, knowledge of the benefits of the nature is also fragmented and not easily accessible to the decision makers. Communication between the scientific community and decision makers need to be improved, including use of </w:t>
      </w:r>
      <w:r w:rsidR="00C9097F" w:rsidRPr="007C4D65">
        <w:rPr>
          <w:rFonts w:asciiTheme="minorHAnsi" w:hAnsiTheme="minorHAnsi" w:cstheme="minorHAnsi"/>
          <w:sz w:val="22"/>
        </w:rPr>
        <w:t>well-reasoned</w:t>
      </w:r>
      <w:r w:rsidRPr="007C4D65">
        <w:rPr>
          <w:rFonts w:asciiTheme="minorHAnsi" w:hAnsiTheme="minorHAnsi" w:cstheme="minorHAnsi"/>
          <w:sz w:val="22"/>
        </w:rPr>
        <w:t xml:space="preserve">, </w:t>
      </w:r>
      <w:r w:rsidR="00C9097F" w:rsidRPr="007C4D65">
        <w:rPr>
          <w:rFonts w:asciiTheme="minorHAnsi" w:hAnsiTheme="minorHAnsi" w:cstheme="minorHAnsi"/>
          <w:sz w:val="22"/>
        </w:rPr>
        <w:t>and</w:t>
      </w:r>
      <w:r w:rsidRPr="007C4D65">
        <w:rPr>
          <w:rFonts w:asciiTheme="minorHAnsi" w:hAnsiTheme="minorHAnsi" w:cstheme="minorHAnsi"/>
          <w:sz w:val="22"/>
        </w:rPr>
        <w:t xml:space="preserve"> </w:t>
      </w:r>
      <w:r w:rsidR="00C9097F" w:rsidRPr="007C4D65">
        <w:rPr>
          <w:rFonts w:asciiTheme="minorHAnsi" w:hAnsiTheme="minorHAnsi" w:cstheme="minorHAnsi"/>
          <w:sz w:val="22"/>
        </w:rPr>
        <w:t>easily</w:t>
      </w:r>
      <w:r w:rsidRPr="007C4D65">
        <w:rPr>
          <w:rFonts w:asciiTheme="minorHAnsi" w:hAnsiTheme="minorHAnsi" w:cstheme="minorHAnsi"/>
          <w:sz w:val="22"/>
        </w:rPr>
        <w:t xml:space="preserve"> </w:t>
      </w:r>
      <w:r w:rsidR="00C9097F" w:rsidRPr="007C4D65">
        <w:rPr>
          <w:rFonts w:asciiTheme="minorHAnsi" w:hAnsiTheme="minorHAnsi" w:cstheme="minorHAnsi"/>
          <w:sz w:val="22"/>
        </w:rPr>
        <w:t>understandable</w:t>
      </w:r>
      <w:r w:rsidRPr="007C4D65">
        <w:rPr>
          <w:rFonts w:asciiTheme="minorHAnsi" w:hAnsiTheme="minorHAnsi" w:cstheme="minorHAnsi"/>
          <w:sz w:val="22"/>
        </w:rPr>
        <w:t xml:space="preserve"> </w:t>
      </w:r>
      <w:r w:rsidR="00C9097F" w:rsidRPr="007C4D65">
        <w:rPr>
          <w:rFonts w:asciiTheme="minorHAnsi" w:hAnsiTheme="minorHAnsi" w:cstheme="minorHAnsi"/>
          <w:sz w:val="22"/>
        </w:rPr>
        <w:t>scientific</w:t>
      </w:r>
      <w:r w:rsidRPr="007C4D65">
        <w:rPr>
          <w:rFonts w:asciiTheme="minorHAnsi" w:hAnsiTheme="minorHAnsi" w:cstheme="minorHAnsi"/>
          <w:sz w:val="22"/>
        </w:rPr>
        <w:t xml:space="preserve"> information, and assigning of socially relevant tasks to the scientific community. One of desirable forms of continued exchange of information would be annual gathering of the scientific community and the decision makers. </w:t>
      </w:r>
    </w:p>
    <w:p w14:paraId="15A74452" w14:textId="77777777" w:rsidR="005E22EF" w:rsidRPr="007C4D65" w:rsidRDefault="005E22EF" w:rsidP="0068355A">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Role of environmental awareness in nature conservation actions</w:t>
      </w:r>
    </w:p>
    <w:p w14:paraId="4CF4CCFD" w14:textId="0CE3C83C" w:rsidR="005E22EF" w:rsidRPr="007C4D65" w:rsidRDefault="005E22EF"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Poor environmental awareness </w:t>
      </w:r>
      <w:r w:rsidR="007436F1" w:rsidRPr="007C4D65">
        <w:rPr>
          <w:rFonts w:asciiTheme="minorHAnsi" w:hAnsiTheme="minorHAnsi" w:cstheme="minorHAnsi"/>
          <w:sz w:val="22"/>
        </w:rPr>
        <w:t>in the Federation of BiH</w:t>
      </w:r>
      <w:r w:rsidRPr="007C4D65">
        <w:rPr>
          <w:rFonts w:asciiTheme="minorHAnsi" w:hAnsiTheme="minorHAnsi" w:cstheme="minorHAnsi"/>
          <w:sz w:val="22"/>
        </w:rPr>
        <w:t xml:space="preserve"> is linked with the low quality of the education, poor level of investments in research and promotional activities and scarce application of participatory approach in the </w:t>
      </w:r>
      <w:r w:rsidR="009F16BA" w:rsidRPr="007C4D65">
        <w:rPr>
          <w:rFonts w:asciiTheme="minorHAnsi" w:hAnsiTheme="minorHAnsi" w:cstheme="minorHAnsi"/>
          <w:sz w:val="22"/>
        </w:rPr>
        <w:t>decision-making</w:t>
      </w:r>
      <w:r w:rsidRPr="007C4D65">
        <w:rPr>
          <w:rFonts w:asciiTheme="minorHAnsi" w:hAnsiTheme="minorHAnsi" w:cstheme="minorHAnsi"/>
          <w:sz w:val="22"/>
        </w:rPr>
        <w:t xml:space="preserve"> process. Development of environmental awareness of an individual starts in the </w:t>
      </w:r>
      <w:r w:rsidR="00C9097F" w:rsidRPr="007C4D65">
        <w:rPr>
          <w:rFonts w:asciiTheme="minorHAnsi" w:hAnsiTheme="minorHAnsi" w:cstheme="minorHAnsi"/>
          <w:sz w:val="22"/>
        </w:rPr>
        <w:t>education</w:t>
      </w:r>
      <w:r w:rsidRPr="007C4D65">
        <w:rPr>
          <w:rFonts w:asciiTheme="minorHAnsi" w:hAnsiTheme="minorHAnsi" w:cstheme="minorHAnsi"/>
          <w:sz w:val="22"/>
        </w:rPr>
        <w:t xml:space="preserve"> system. To this end, it is necessary to continuously improve the quality of </w:t>
      </w:r>
      <w:proofErr w:type="gramStart"/>
      <w:r w:rsidRPr="007C4D65">
        <w:rPr>
          <w:rFonts w:asciiTheme="minorHAnsi" w:hAnsiTheme="minorHAnsi" w:cstheme="minorHAnsi"/>
          <w:sz w:val="22"/>
        </w:rPr>
        <w:t>education, and</w:t>
      </w:r>
      <w:proofErr w:type="gramEnd"/>
      <w:r w:rsidRPr="007C4D65">
        <w:rPr>
          <w:rFonts w:asciiTheme="minorHAnsi" w:hAnsiTheme="minorHAnsi" w:cstheme="minorHAnsi"/>
          <w:sz w:val="22"/>
        </w:rPr>
        <w:t xml:space="preserve"> integrate </w:t>
      </w:r>
      <w:r w:rsidR="00C9097F" w:rsidRPr="007C4D65">
        <w:rPr>
          <w:rFonts w:asciiTheme="minorHAnsi" w:hAnsiTheme="minorHAnsi" w:cstheme="minorHAnsi"/>
          <w:sz w:val="22"/>
        </w:rPr>
        <w:t>up</w:t>
      </w:r>
      <w:r w:rsidRPr="007C4D65">
        <w:rPr>
          <w:rFonts w:asciiTheme="minorHAnsi" w:hAnsiTheme="minorHAnsi" w:cstheme="minorHAnsi"/>
          <w:sz w:val="22"/>
        </w:rPr>
        <w:t xml:space="preserve">-to-date information on the state of nature in the Federation of BiH. The efforts on </w:t>
      </w:r>
      <w:r w:rsidR="00C9097F" w:rsidRPr="007C4D65">
        <w:rPr>
          <w:rFonts w:asciiTheme="minorHAnsi" w:hAnsiTheme="minorHAnsi" w:cstheme="minorHAnsi"/>
          <w:sz w:val="22"/>
        </w:rPr>
        <w:t>building</w:t>
      </w:r>
      <w:r w:rsidRPr="007C4D65">
        <w:rPr>
          <w:rFonts w:asciiTheme="minorHAnsi" w:hAnsiTheme="minorHAnsi" w:cstheme="minorHAnsi"/>
          <w:sz w:val="22"/>
        </w:rPr>
        <w:t xml:space="preserve"> environmental awareness should not rely exclusively on </w:t>
      </w:r>
      <w:r w:rsidR="00C9097F" w:rsidRPr="007C4D65">
        <w:rPr>
          <w:rFonts w:asciiTheme="minorHAnsi" w:hAnsiTheme="minorHAnsi" w:cstheme="minorHAnsi"/>
          <w:sz w:val="22"/>
        </w:rPr>
        <w:t>enthusiasm</w:t>
      </w:r>
      <w:r w:rsidRPr="007C4D65">
        <w:rPr>
          <w:rFonts w:asciiTheme="minorHAnsi" w:hAnsiTheme="minorHAnsi" w:cstheme="minorHAnsi"/>
          <w:sz w:val="22"/>
        </w:rPr>
        <w:t xml:space="preserve"> of </w:t>
      </w:r>
      <w:r w:rsidR="00C9097F" w:rsidRPr="007C4D65">
        <w:rPr>
          <w:rFonts w:asciiTheme="minorHAnsi" w:hAnsiTheme="minorHAnsi" w:cstheme="minorHAnsi"/>
          <w:sz w:val="22"/>
        </w:rPr>
        <w:t>individuals</w:t>
      </w:r>
      <w:r w:rsidRPr="007C4D65">
        <w:rPr>
          <w:rFonts w:asciiTheme="minorHAnsi" w:hAnsiTheme="minorHAnsi" w:cstheme="minorHAnsi"/>
          <w:sz w:val="22"/>
        </w:rPr>
        <w:t xml:space="preserve">. It should be </w:t>
      </w:r>
      <w:r w:rsidR="00C9097F" w:rsidRPr="007C4D65">
        <w:rPr>
          <w:rFonts w:asciiTheme="minorHAnsi" w:hAnsiTheme="minorHAnsi" w:cstheme="minorHAnsi"/>
          <w:sz w:val="22"/>
        </w:rPr>
        <w:t>systemically</w:t>
      </w:r>
      <w:r w:rsidRPr="007C4D65">
        <w:rPr>
          <w:rFonts w:asciiTheme="minorHAnsi" w:hAnsiTheme="minorHAnsi" w:cstheme="minorHAnsi"/>
          <w:sz w:val="22"/>
        </w:rPr>
        <w:t xml:space="preserve"> supported, through a coordinated and targeted support for professional development of teaching staff. The nongovernmental sector has a great significance and plays a crucial role in the awareness raising. Currently, although their continued action has been challenged with uncertain funding, the nongovernmental sector has increasingly engaged on promotion, protection and monitoring of biodiversity in the Federation of BiH. Networking and planned development of </w:t>
      </w:r>
      <w:proofErr w:type="gramStart"/>
      <w:r w:rsidRPr="007C4D65">
        <w:rPr>
          <w:rFonts w:asciiTheme="minorHAnsi" w:hAnsiTheme="minorHAnsi" w:cstheme="minorHAnsi"/>
          <w:sz w:val="22"/>
        </w:rPr>
        <w:t>the  organisations</w:t>
      </w:r>
      <w:proofErr w:type="gramEnd"/>
      <w:r w:rsidRPr="007C4D65">
        <w:rPr>
          <w:rFonts w:asciiTheme="minorHAnsi" w:hAnsiTheme="minorHAnsi" w:cstheme="minorHAnsi"/>
          <w:sz w:val="22"/>
        </w:rPr>
        <w:t xml:space="preserve"> could enhance activism in the nongovernmental sector.</w:t>
      </w:r>
    </w:p>
    <w:p w14:paraId="6668DF86" w14:textId="2A817E97" w:rsidR="005E22EF" w:rsidRPr="007C4D65" w:rsidRDefault="005E22EF" w:rsidP="0068355A">
      <w:pPr>
        <w:spacing w:after="240" w:line="276" w:lineRule="auto"/>
        <w:jc w:val="both"/>
        <w:textAlignment w:val="baseline"/>
        <w:rPr>
          <w:rFonts w:asciiTheme="minorHAnsi" w:hAnsiTheme="minorHAnsi" w:cstheme="minorHAnsi"/>
          <w:sz w:val="22"/>
          <w:szCs w:val="22"/>
        </w:rPr>
      </w:pPr>
      <w:r w:rsidRPr="007C4D65">
        <w:rPr>
          <w:rFonts w:asciiTheme="minorHAnsi" w:hAnsiTheme="minorHAnsi" w:cstheme="minorHAnsi"/>
          <w:sz w:val="22"/>
        </w:rPr>
        <w:t xml:space="preserve">On the other hand, several qualified experts and scientists currently work in non-governmental organisations in the Federation of BiH. Support for the participation of NGOs in national and international projects has been mainly lacking. Given the lack of institutional capacity, efficient capacity building and use of the potential of the NGO sector in the Federation of BiH has also been a challenge. The next </w:t>
      </w:r>
      <w:proofErr w:type="gramStart"/>
      <w:r w:rsidRPr="007C4D65">
        <w:rPr>
          <w:rFonts w:asciiTheme="minorHAnsi" w:hAnsiTheme="minorHAnsi" w:cstheme="minorHAnsi"/>
          <w:sz w:val="22"/>
        </w:rPr>
        <w:t>ten year</w:t>
      </w:r>
      <w:proofErr w:type="gramEnd"/>
      <w:r w:rsidRPr="007C4D65">
        <w:rPr>
          <w:rFonts w:asciiTheme="minorHAnsi" w:hAnsiTheme="minorHAnsi" w:cstheme="minorHAnsi"/>
          <w:sz w:val="22"/>
        </w:rPr>
        <w:t xml:space="preserve"> period, the non-governmental organisations should, among other things, be entrusted with the tasks such as: (a) monitoring of specific groups of organisms and habitat types, (b) promotion of the establishment of an ecological network in the Federation of BiH, (c) effective development of a participatory approach to decision- making which affects the state of nature, and (d) cooperation with local communities. </w:t>
      </w:r>
    </w:p>
    <w:p w14:paraId="6053FACF" w14:textId="198566C3" w:rsidR="005E22EF" w:rsidRPr="007C4D65" w:rsidRDefault="005E22EF" w:rsidP="0068355A">
      <w:pPr>
        <w:spacing w:line="276" w:lineRule="auto"/>
        <w:jc w:val="both"/>
        <w:textAlignment w:val="baseline"/>
        <w:rPr>
          <w:rFonts w:asciiTheme="minorHAnsi" w:hAnsiTheme="minorHAnsi" w:cstheme="minorHAnsi"/>
          <w:sz w:val="22"/>
          <w:szCs w:val="22"/>
        </w:rPr>
      </w:pPr>
      <w:proofErr w:type="gramStart"/>
      <w:r w:rsidRPr="007C4D65">
        <w:rPr>
          <w:rFonts w:asciiTheme="minorHAnsi" w:hAnsiTheme="minorHAnsi" w:cstheme="minorHAnsi"/>
          <w:sz w:val="22"/>
        </w:rPr>
        <w:t>Despite the fact that</w:t>
      </w:r>
      <w:proofErr w:type="gramEnd"/>
      <w:r w:rsidRPr="007C4D65">
        <w:rPr>
          <w:rFonts w:asciiTheme="minorHAnsi" w:hAnsiTheme="minorHAnsi" w:cstheme="minorHAnsi"/>
          <w:sz w:val="22"/>
        </w:rPr>
        <w:t xml:space="preserve"> biodiversity (particularly in the protected areas) has improved the </w:t>
      </w:r>
      <w:r w:rsidR="00C9097F" w:rsidRPr="007C4D65">
        <w:rPr>
          <w:rFonts w:asciiTheme="minorHAnsi" w:hAnsiTheme="minorHAnsi" w:cstheme="minorHAnsi"/>
          <w:sz w:val="22"/>
        </w:rPr>
        <w:t>livelihood</w:t>
      </w:r>
      <w:r w:rsidRPr="007C4D65">
        <w:rPr>
          <w:rFonts w:asciiTheme="minorHAnsi" w:hAnsiTheme="minorHAnsi" w:cstheme="minorHAnsi"/>
          <w:sz w:val="22"/>
        </w:rPr>
        <w:t xml:space="preserve"> opportunities and life of rural population, there is still a strong resistance to establishment of new protected areas. This </w:t>
      </w:r>
      <w:r w:rsidR="00C9097F" w:rsidRPr="007C4D65">
        <w:rPr>
          <w:rFonts w:asciiTheme="minorHAnsi" w:hAnsiTheme="minorHAnsi" w:cstheme="minorHAnsi"/>
          <w:sz w:val="22"/>
        </w:rPr>
        <w:t>resistance</w:t>
      </w:r>
      <w:r w:rsidRPr="007C4D65">
        <w:rPr>
          <w:rFonts w:asciiTheme="minorHAnsi" w:hAnsiTheme="minorHAnsi" w:cstheme="minorHAnsi"/>
          <w:sz w:val="22"/>
        </w:rPr>
        <w:t xml:space="preserve"> of local communities is mainly the consequence of the lack of awareness of benefits of protected areas and services which can be provided by the ecosystem. Activities of the nongovernmental sector aimed at awareness raising on the need for and benefits of such protection will increase the potential for </w:t>
      </w:r>
      <w:proofErr w:type="gramStart"/>
      <w:r w:rsidRPr="007C4D65">
        <w:rPr>
          <w:rFonts w:asciiTheme="minorHAnsi" w:hAnsiTheme="minorHAnsi" w:cstheme="minorHAnsi"/>
          <w:sz w:val="22"/>
        </w:rPr>
        <w:t xml:space="preserve">a major </w:t>
      </w:r>
      <w:r w:rsidR="00C9097F" w:rsidRPr="007C4D65">
        <w:rPr>
          <w:rFonts w:asciiTheme="minorHAnsi" w:hAnsiTheme="minorHAnsi" w:cstheme="minorHAnsi"/>
          <w:sz w:val="22"/>
        </w:rPr>
        <w:t>breakthrough</w:t>
      </w:r>
      <w:proofErr w:type="gramEnd"/>
      <w:r w:rsidRPr="007C4D65">
        <w:rPr>
          <w:rFonts w:asciiTheme="minorHAnsi" w:hAnsiTheme="minorHAnsi" w:cstheme="minorHAnsi"/>
          <w:sz w:val="22"/>
        </w:rPr>
        <w:t xml:space="preserve"> in the preservation of biodiversity in the Federation of BiH.</w:t>
      </w:r>
    </w:p>
    <w:p w14:paraId="10C9BCF4" w14:textId="77777777" w:rsidR="005E22EF" w:rsidRPr="007C4D65" w:rsidRDefault="005E22EF" w:rsidP="0068355A">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Funding of measures</w:t>
      </w:r>
    </w:p>
    <w:p w14:paraId="2662A9BE" w14:textId="3656BBE2" w:rsidR="005E22EF" w:rsidRPr="007C4D65" w:rsidRDefault="005E22E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While the Federation of BiH has an environmental financial institution, the available funds are not sufficient for an effective management and increase of protected areas. Biodiversity protection which applies EU acquis and seeks to achieve global goals for biodiversity, requires a strong development and aligning of the legal and institutional framework for development of ecological networks, and </w:t>
      </w:r>
      <w:r w:rsidRPr="007C4D65">
        <w:rPr>
          <w:rFonts w:asciiTheme="minorHAnsi" w:hAnsiTheme="minorHAnsi" w:cstheme="minorHAnsi"/>
          <w:sz w:val="22"/>
        </w:rPr>
        <w:lastRenderedPageBreak/>
        <w:t>strong application of other existing and other tools which my become available in fut</w:t>
      </w:r>
      <w:r w:rsidR="001A2A48" w:rsidRPr="007C4D65">
        <w:rPr>
          <w:rFonts w:asciiTheme="minorHAnsi" w:hAnsiTheme="minorHAnsi" w:cstheme="minorHAnsi"/>
          <w:sz w:val="22"/>
        </w:rPr>
        <w:t>ure</w:t>
      </w:r>
      <w:r w:rsidRPr="007C4D65">
        <w:rPr>
          <w:rFonts w:asciiTheme="minorHAnsi" w:hAnsiTheme="minorHAnsi" w:cstheme="minorHAnsi"/>
          <w:sz w:val="22"/>
        </w:rPr>
        <w:t xml:space="preserve"> for nature conservation and sustainable use of all the benefits from nature. Currently, the Federation of BiH has modest resources and capacities for the development of ecological networks, for generation and use of knowledge which could provide for an informed </w:t>
      </w:r>
      <w:proofErr w:type="gramStart"/>
      <w:r w:rsidR="009F16BA" w:rsidRPr="007C4D65">
        <w:rPr>
          <w:rFonts w:asciiTheme="minorHAnsi" w:hAnsiTheme="minorHAnsi" w:cstheme="minorHAnsi"/>
          <w:sz w:val="22"/>
        </w:rPr>
        <w:t>decision-making</w:t>
      </w:r>
      <w:r w:rsidRPr="007C4D65">
        <w:rPr>
          <w:rFonts w:asciiTheme="minorHAnsi" w:hAnsiTheme="minorHAnsi" w:cstheme="minorHAnsi"/>
          <w:sz w:val="22"/>
        </w:rPr>
        <w:t>, and</w:t>
      </w:r>
      <w:proofErr w:type="gramEnd"/>
      <w:r w:rsidRPr="007C4D65">
        <w:rPr>
          <w:rFonts w:asciiTheme="minorHAnsi" w:hAnsiTheme="minorHAnsi" w:cstheme="minorHAnsi"/>
          <w:sz w:val="22"/>
        </w:rPr>
        <w:t xml:space="preserve"> raising the environmental awareness among all the citizens of BiH. Achievement of this strategic goal calls for a robust mobilisation of both domestic and international funds </w:t>
      </w:r>
      <w:proofErr w:type="gramStart"/>
      <w:r w:rsidRPr="007C4D65">
        <w:rPr>
          <w:rFonts w:asciiTheme="minorHAnsi" w:hAnsiTheme="minorHAnsi" w:cstheme="minorHAnsi"/>
          <w:sz w:val="22"/>
        </w:rPr>
        <w:t>in order to</w:t>
      </w:r>
      <w:proofErr w:type="gramEnd"/>
      <w:r w:rsidRPr="007C4D65">
        <w:rPr>
          <w:rFonts w:asciiTheme="minorHAnsi" w:hAnsiTheme="minorHAnsi" w:cstheme="minorHAnsi"/>
          <w:sz w:val="22"/>
        </w:rPr>
        <w:t xml:space="preserve"> significantly raise their availability. As for the national funds dedicated to research and the entire infrastructure of biodiversity and nature conservation, it is important to note that both the amount available and the manner of their allocation are identified as challenges. The mobilisation of funds requires application of innovative mechanisms, and fiscal policies which will provide for a better response to the needs of nature conservation, and the quality of life in the Federation of BiH in this regard.</w:t>
      </w:r>
    </w:p>
    <w:p w14:paraId="3216B458" w14:textId="36340118" w:rsidR="005E22EF" w:rsidRPr="007C4D65" w:rsidRDefault="005E22EF"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need to allocate more funds into scientific </w:t>
      </w:r>
      <w:r w:rsidR="00C9097F" w:rsidRPr="007C4D65">
        <w:rPr>
          <w:rFonts w:asciiTheme="minorHAnsi" w:hAnsiTheme="minorHAnsi" w:cstheme="minorHAnsi"/>
          <w:sz w:val="22"/>
        </w:rPr>
        <w:t>research</w:t>
      </w:r>
      <w:r w:rsidRPr="007C4D65">
        <w:rPr>
          <w:rFonts w:asciiTheme="minorHAnsi" w:hAnsiTheme="minorHAnsi" w:cstheme="minorHAnsi"/>
          <w:sz w:val="22"/>
        </w:rPr>
        <w:t xml:space="preserve"> and knowledge on the state of biodiversity in our country, and to provide for a financial support to operators of the protected areas emerge as a priority in this sector.</w:t>
      </w:r>
    </w:p>
    <w:p w14:paraId="2C115109" w14:textId="7BCF628D" w:rsidR="00597D54" w:rsidRPr="007C4D65" w:rsidRDefault="00295360"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I</w:t>
      </w:r>
      <w:r w:rsidR="005E22EF" w:rsidRPr="007C4D65">
        <w:rPr>
          <w:rFonts w:asciiTheme="minorHAnsi" w:hAnsiTheme="minorHAnsi" w:cstheme="minorHAnsi"/>
          <w:sz w:val="22"/>
        </w:rPr>
        <w:t>nternational fund</w:t>
      </w:r>
      <w:r w:rsidRPr="007C4D65">
        <w:rPr>
          <w:rFonts w:asciiTheme="minorHAnsi" w:hAnsiTheme="minorHAnsi" w:cstheme="minorHAnsi"/>
          <w:sz w:val="22"/>
        </w:rPr>
        <w:t>ing</w:t>
      </w:r>
      <w:r w:rsidR="005E22EF" w:rsidRPr="007C4D65">
        <w:rPr>
          <w:rFonts w:asciiTheme="minorHAnsi" w:hAnsiTheme="minorHAnsi" w:cstheme="minorHAnsi"/>
          <w:sz w:val="22"/>
        </w:rPr>
        <w:t xml:space="preserve"> is another </w:t>
      </w:r>
      <w:r w:rsidRPr="007C4D65">
        <w:rPr>
          <w:rFonts w:asciiTheme="minorHAnsi" w:hAnsiTheme="minorHAnsi" w:cstheme="minorHAnsi"/>
          <w:sz w:val="22"/>
        </w:rPr>
        <w:t>option to obtain</w:t>
      </w:r>
      <w:r w:rsidR="005E22EF" w:rsidRPr="007C4D65">
        <w:rPr>
          <w:rFonts w:asciiTheme="minorHAnsi" w:hAnsiTheme="minorHAnsi" w:cstheme="minorHAnsi"/>
          <w:sz w:val="22"/>
        </w:rPr>
        <w:t xml:space="preserve"> financial support. Many recent nature conservation projects have been funded and implemented through a contribution of the MAVA Foundation, the European Union (EU), Swedish International Development Cooperation Agency (SIDA), Global Environmental Facility (GEF), </w:t>
      </w:r>
      <w:r w:rsidRPr="007C4D65">
        <w:rPr>
          <w:rFonts w:asciiTheme="minorHAnsi" w:hAnsiTheme="minorHAnsi" w:cstheme="minorHAnsi"/>
          <w:sz w:val="22"/>
        </w:rPr>
        <w:t>Federal</w:t>
      </w:r>
      <w:r w:rsidR="001E6E20" w:rsidRPr="007C4D65">
        <w:rPr>
          <w:rFonts w:asciiTheme="minorHAnsi" w:hAnsiTheme="minorHAnsi" w:cstheme="minorHAnsi"/>
          <w:sz w:val="22"/>
        </w:rPr>
        <w:t xml:space="preserve"> Ministry</w:t>
      </w:r>
      <w:r w:rsidR="005E22EF" w:rsidRPr="007C4D65">
        <w:rPr>
          <w:rFonts w:asciiTheme="minorHAnsi" w:hAnsiTheme="minorHAnsi" w:cstheme="minorHAnsi"/>
          <w:sz w:val="22"/>
        </w:rPr>
        <w:t xml:space="preserve"> of Economic Cooperation (BMZ), the </w:t>
      </w:r>
      <w:r w:rsidR="001E6E20" w:rsidRPr="007C4D65">
        <w:rPr>
          <w:rFonts w:asciiTheme="minorHAnsi" w:hAnsiTheme="minorHAnsi" w:cstheme="minorHAnsi"/>
          <w:sz w:val="22"/>
        </w:rPr>
        <w:t>Federation Ministry</w:t>
      </w:r>
      <w:r w:rsidR="005E22EF" w:rsidRPr="007C4D65">
        <w:rPr>
          <w:rFonts w:asciiTheme="minorHAnsi" w:hAnsiTheme="minorHAnsi" w:cstheme="minorHAnsi"/>
          <w:sz w:val="22"/>
        </w:rPr>
        <w:t xml:space="preserve"> of Environment, Nature Conservation, and Nuclear Safety of the Federal Republic of Germany, German Development Agency (GIZ), and United Nations Environmental Programme (UNEP). The wider social community is very often unaware of the effects of these projects. And generally, there projects aimed at biodiversity protection are still scarce.</w:t>
      </w:r>
    </w:p>
    <w:p w14:paraId="2F5EA189" w14:textId="77777777" w:rsidR="00597D54" w:rsidRPr="007C4D65" w:rsidRDefault="00597D54" w:rsidP="0068355A">
      <w:pPr>
        <w:spacing w:after="160" w:line="276" w:lineRule="auto"/>
        <w:rPr>
          <w:rFonts w:asciiTheme="minorHAnsi" w:hAnsiTheme="minorHAnsi" w:cstheme="minorHAnsi"/>
          <w:sz w:val="22"/>
          <w:szCs w:val="22"/>
        </w:rPr>
      </w:pPr>
      <w:r w:rsidRPr="007C4D65">
        <w:rPr>
          <w:rFonts w:asciiTheme="minorHAnsi" w:hAnsiTheme="minorHAnsi" w:cstheme="minorHAnsi"/>
        </w:rPr>
        <w:br w:type="page"/>
      </w:r>
    </w:p>
    <w:p w14:paraId="5C67C163" w14:textId="6C5FD676" w:rsidR="005E22EF" w:rsidRPr="007C4D65" w:rsidRDefault="00597D54">
      <w:pPr>
        <w:pStyle w:val="Head2"/>
        <w:spacing w:line="276" w:lineRule="auto"/>
        <w:rPr>
          <w:rFonts w:asciiTheme="minorHAnsi" w:hAnsiTheme="minorHAnsi"/>
        </w:rPr>
      </w:pPr>
      <w:bookmarkStart w:id="110" w:name="_Toc117445343"/>
      <w:r w:rsidRPr="007C4D65">
        <w:rPr>
          <w:rFonts w:asciiTheme="minorHAnsi" w:hAnsiTheme="minorHAnsi"/>
        </w:rPr>
        <w:lastRenderedPageBreak/>
        <w:t>Strategic goal 3</w:t>
      </w:r>
      <w:bookmarkEnd w:id="110"/>
    </w:p>
    <w:p w14:paraId="1372CAC9" w14:textId="0242B995" w:rsidR="0032585E" w:rsidRPr="007C4D65" w:rsidRDefault="0032585E" w:rsidP="0068355A">
      <w:pPr>
        <w:spacing w:before="240" w:after="240" w:line="276" w:lineRule="auto"/>
        <w:jc w:val="both"/>
        <w:rPr>
          <w:rFonts w:asciiTheme="minorHAnsi" w:hAnsiTheme="minorHAnsi" w:cstheme="minorHAnsi"/>
          <w:b/>
          <w:sz w:val="22"/>
          <w:szCs w:val="22"/>
        </w:rPr>
      </w:pPr>
      <w:r w:rsidRPr="007C4D65">
        <w:rPr>
          <w:rFonts w:asciiTheme="minorHAnsi" w:hAnsiTheme="minorHAnsi" w:cstheme="minorHAnsi"/>
          <w:b/>
          <w:sz w:val="22"/>
        </w:rPr>
        <w:t>Strategic goal 3</w:t>
      </w:r>
      <w:r w:rsidR="00697667" w:rsidRPr="007C4D65">
        <w:rPr>
          <w:rFonts w:asciiTheme="minorHAnsi" w:hAnsiTheme="minorHAnsi" w:cstheme="minorHAnsi"/>
          <w:b/>
          <w:sz w:val="22"/>
        </w:rPr>
        <w:t xml:space="preserve"> -</w:t>
      </w:r>
      <w:r w:rsidRPr="007C4D65">
        <w:rPr>
          <w:rFonts w:asciiTheme="minorHAnsi" w:hAnsiTheme="minorHAnsi" w:cstheme="minorHAnsi"/>
          <w:b/>
          <w:sz w:val="22"/>
        </w:rPr>
        <w:t xml:space="preserve"> Maintaining and enhancing biodiversity and protecting ecosystems</w:t>
      </w:r>
    </w:p>
    <w:p w14:paraId="35DA3000" w14:textId="1503C492" w:rsidR="0032585E" w:rsidRPr="007C4D65" w:rsidRDefault="0032585E" w:rsidP="0068355A">
      <w:pPr>
        <w:spacing w:after="16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rPr>
        <w:t>Strategic goal 3 covers thematic areas such as development of the network of protected areas, sites of European conservation concern, Natura 2000, preparation of management plans for these areas and plans on management of species protected under the Directive on Birds and Directive on Habitats.</w:t>
      </w:r>
    </w:p>
    <w:p w14:paraId="0E704592" w14:textId="3738BA8F" w:rsidR="0032585E" w:rsidRPr="007C4D65" w:rsidRDefault="001B27C0" w:rsidP="0068355A">
      <w:pPr>
        <w:pStyle w:val="Caption"/>
        <w:spacing w:line="276" w:lineRule="auto"/>
        <w:rPr>
          <w:rFonts w:asciiTheme="minorHAnsi" w:hAnsiTheme="minorHAnsi" w:cstheme="minorHAnsi"/>
          <w:bCs/>
        </w:rPr>
      </w:pPr>
      <w:bookmarkStart w:id="111" w:name="_Toc117011593"/>
      <w:r w:rsidRPr="007C4D65">
        <w:rPr>
          <w:rFonts w:asciiTheme="minorHAnsi" w:hAnsiTheme="minorHAnsi" w:cstheme="minorHAnsi"/>
        </w:rPr>
        <w:t xml:space="preserve">Table </w:t>
      </w:r>
      <w:bookmarkStart w:id="112" w:name="tabela14"/>
      <w:r w:rsidRPr="007C4D65">
        <w:rPr>
          <w:rFonts w:asciiTheme="minorHAnsi" w:hAnsiTheme="minorHAnsi" w:cstheme="minorHAnsi"/>
        </w:rPr>
        <w:fldChar w:fldCharType="begin"/>
      </w:r>
      <w:r w:rsidRPr="007C4D65">
        <w:rPr>
          <w:rFonts w:asciiTheme="minorHAnsi" w:hAnsiTheme="minorHAnsi" w:cstheme="minorHAnsi"/>
        </w:rPr>
        <w:instrText xml:space="preserve"> SEQ Tabela \* ARABIC </w:instrText>
      </w:r>
      <w:r w:rsidRPr="007C4D65">
        <w:rPr>
          <w:rFonts w:asciiTheme="minorHAnsi" w:hAnsiTheme="minorHAnsi" w:cstheme="minorHAnsi"/>
        </w:rPr>
        <w:fldChar w:fldCharType="separate"/>
      </w:r>
      <w:r w:rsidR="00005022" w:rsidRPr="007C4D65">
        <w:rPr>
          <w:rFonts w:asciiTheme="minorHAnsi" w:hAnsiTheme="minorHAnsi" w:cstheme="minorHAnsi"/>
          <w:noProof/>
        </w:rPr>
        <w:t>14</w:t>
      </w:r>
      <w:r w:rsidRPr="007C4D65">
        <w:rPr>
          <w:rFonts w:asciiTheme="minorHAnsi" w:hAnsiTheme="minorHAnsi" w:cstheme="minorHAnsi"/>
        </w:rPr>
        <w:fldChar w:fldCharType="end"/>
      </w:r>
      <w:bookmarkEnd w:id="112"/>
      <w:r w:rsidRPr="007C4D65">
        <w:rPr>
          <w:rFonts w:asciiTheme="minorHAnsi" w:hAnsiTheme="minorHAnsi" w:cstheme="minorHAnsi"/>
        </w:rPr>
        <w:t xml:space="preserve">: </w:t>
      </w:r>
      <w:r w:rsidRPr="007C4D65">
        <w:rPr>
          <w:rFonts w:asciiTheme="minorHAnsi" w:hAnsiTheme="minorHAnsi" w:cstheme="minorHAnsi"/>
          <w:b w:val="0"/>
        </w:rPr>
        <w:t>Indicators of impacts for strategic goal 3</w:t>
      </w:r>
      <w:bookmarkEnd w:id="111"/>
    </w:p>
    <w:tbl>
      <w:tblPr>
        <w:tblStyle w:val="TableGridLight1"/>
        <w:tblW w:w="8926" w:type="dxa"/>
        <w:tblInd w:w="113" w:type="dxa"/>
        <w:tblLook w:val="04A0" w:firstRow="1" w:lastRow="0" w:firstColumn="1" w:lastColumn="0" w:noHBand="0" w:noVBand="1"/>
      </w:tblPr>
      <w:tblGrid>
        <w:gridCol w:w="2122"/>
        <w:gridCol w:w="2268"/>
        <w:gridCol w:w="2268"/>
        <w:gridCol w:w="2268"/>
      </w:tblGrid>
      <w:tr w:rsidR="0032585E" w:rsidRPr="007C4D65" w14:paraId="19DD2584" w14:textId="77777777" w:rsidTr="00076544">
        <w:trPr>
          <w:trHeight w:val="421"/>
        </w:trPr>
        <w:tc>
          <w:tcPr>
            <w:tcW w:w="2122" w:type="dxa"/>
            <w:shd w:val="clear" w:color="auto" w:fill="009D73"/>
            <w:vAlign w:val="center"/>
          </w:tcPr>
          <w:p w14:paraId="0429B627" w14:textId="77777777" w:rsidR="0032585E" w:rsidRPr="007C4D65" w:rsidRDefault="0032585E" w:rsidP="0068355A">
            <w:pPr>
              <w:tabs>
                <w:tab w:val="left" w:pos="955"/>
              </w:tabs>
              <w:spacing w:line="276" w:lineRule="auto"/>
              <w:jc w:val="center"/>
              <w:rPr>
                <w:rFonts w:asciiTheme="minorHAnsi" w:hAnsiTheme="minorHAnsi" w:cstheme="minorHAnsi"/>
                <w:b/>
                <w:color w:val="FFFFFF" w:themeColor="background1"/>
                <w:sz w:val="18"/>
                <w:szCs w:val="18"/>
              </w:rPr>
            </w:pPr>
            <w:bookmarkStart w:id="113" w:name="_Hlk100584078"/>
            <w:r w:rsidRPr="007C4D65">
              <w:rPr>
                <w:rFonts w:asciiTheme="minorHAnsi" w:hAnsiTheme="minorHAnsi" w:cstheme="minorHAnsi"/>
                <w:b/>
                <w:color w:val="FFFFFF" w:themeColor="background1"/>
                <w:sz w:val="18"/>
              </w:rPr>
              <w:t>Strategic goal 3</w:t>
            </w:r>
          </w:p>
        </w:tc>
        <w:tc>
          <w:tcPr>
            <w:tcW w:w="2268" w:type="dxa"/>
            <w:shd w:val="clear" w:color="auto" w:fill="009D73"/>
            <w:vAlign w:val="center"/>
          </w:tcPr>
          <w:p w14:paraId="4F3DADEA" w14:textId="77777777" w:rsidR="0032585E" w:rsidRPr="007C4D65" w:rsidRDefault="0032585E" w:rsidP="0068355A">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Impact indicators</w:t>
            </w:r>
          </w:p>
        </w:tc>
        <w:tc>
          <w:tcPr>
            <w:tcW w:w="2268" w:type="dxa"/>
            <w:shd w:val="clear" w:color="auto" w:fill="009D73"/>
            <w:vAlign w:val="center"/>
          </w:tcPr>
          <w:p w14:paraId="0C45C93F" w14:textId="77777777" w:rsidR="0032585E" w:rsidRPr="007C4D65" w:rsidRDefault="0032585E" w:rsidP="0068355A">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Baseline value</w:t>
            </w:r>
          </w:p>
        </w:tc>
        <w:tc>
          <w:tcPr>
            <w:tcW w:w="2268" w:type="dxa"/>
            <w:shd w:val="clear" w:color="auto" w:fill="009D73"/>
            <w:vAlign w:val="center"/>
          </w:tcPr>
          <w:p w14:paraId="6C462431" w14:textId="77777777" w:rsidR="0032585E" w:rsidRPr="007C4D65" w:rsidRDefault="0032585E" w:rsidP="0068355A">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Target value</w:t>
            </w:r>
          </w:p>
          <w:p w14:paraId="59E74F61" w14:textId="77777777" w:rsidR="0032585E" w:rsidRPr="007C4D65" w:rsidRDefault="0032585E" w:rsidP="0068355A">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(To be determined in the initial years of the implementation)</w:t>
            </w:r>
          </w:p>
        </w:tc>
      </w:tr>
      <w:tr w:rsidR="0032585E" w:rsidRPr="007C4D65" w14:paraId="7927847C" w14:textId="77777777" w:rsidTr="00076544">
        <w:trPr>
          <w:trHeight w:val="360"/>
        </w:trPr>
        <w:tc>
          <w:tcPr>
            <w:tcW w:w="2122" w:type="dxa"/>
            <w:vAlign w:val="center"/>
          </w:tcPr>
          <w:p w14:paraId="53F4F44C" w14:textId="77777777" w:rsidR="0032585E" w:rsidRPr="007C4D65" w:rsidRDefault="0032585E" w:rsidP="0068355A">
            <w:pPr>
              <w:tabs>
                <w:tab w:val="left" w:pos="955"/>
              </w:tabs>
              <w:spacing w:line="276" w:lineRule="auto"/>
              <w:rPr>
                <w:rFonts w:asciiTheme="minorHAnsi" w:hAnsiTheme="minorHAnsi" w:cstheme="minorHAnsi"/>
                <w:b/>
                <w:bCs/>
                <w:sz w:val="18"/>
                <w:szCs w:val="18"/>
              </w:rPr>
            </w:pPr>
            <w:r w:rsidRPr="007C4D65">
              <w:rPr>
                <w:rFonts w:asciiTheme="minorHAnsi" w:hAnsiTheme="minorHAnsi" w:cstheme="minorHAnsi"/>
                <w:i/>
                <w:sz w:val="18"/>
              </w:rPr>
              <w:t>Maintaining and enhancing biodiversity and protecting ecosystems</w:t>
            </w:r>
          </w:p>
        </w:tc>
        <w:tc>
          <w:tcPr>
            <w:tcW w:w="2268" w:type="dxa"/>
            <w:vAlign w:val="center"/>
          </w:tcPr>
          <w:p w14:paraId="774CDC0D" w14:textId="77777777" w:rsidR="0032585E" w:rsidRPr="007C4D65" w:rsidRDefault="0032585E" w:rsidP="0068355A">
            <w:pPr>
              <w:tabs>
                <w:tab w:val="left" w:pos="955"/>
              </w:tabs>
              <w:spacing w:line="276" w:lineRule="auto"/>
              <w:rPr>
                <w:rFonts w:asciiTheme="minorHAnsi" w:hAnsiTheme="minorHAnsi" w:cstheme="minorHAnsi"/>
                <w:b/>
                <w:bCs/>
                <w:sz w:val="18"/>
                <w:szCs w:val="18"/>
              </w:rPr>
            </w:pPr>
            <w:r w:rsidRPr="007C4D65">
              <w:rPr>
                <w:rFonts w:asciiTheme="minorHAnsi" w:hAnsiTheme="minorHAnsi" w:cstheme="minorHAnsi"/>
                <w:b/>
                <w:sz w:val="18"/>
              </w:rPr>
              <w:t>Number of conservation areas and their categories</w:t>
            </w:r>
          </w:p>
        </w:tc>
        <w:tc>
          <w:tcPr>
            <w:tcW w:w="2268" w:type="dxa"/>
            <w:vAlign w:val="center"/>
          </w:tcPr>
          <w:p w14:paraId="5AA2D3C2"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2020 data:</w:t>
            </w:r>
          </w:p>
          <w:p w14:paraId="33A2AF31" w14:textId="77777777" w:rsidR="0032585E" w:rsidRPr="007C4D65" w:rsidRDefault="0032585E">
            <w:pPr>
              <w:numPr>
                <w:ilvl w:val="0"/>
                <w:numId w:val="185"/>
              </w:numPr>
              <w:spacing w:line="276" w:lineRule="auto"/>
              <w:contextualSpacing/>
              <w:rPr>
                <w:rFonts w:asciiTheme="minorHAnsi" w:hAnsiTheme="minorHAnsi" w:cstheme="minorHAnsi"/>
                <w:sz w:val="18"/>
                <w:szCs w:val="18"/>
              </w:rPr>
            </w:pPr>
            <w:r w:rsidRPr="007C4D65">
              <w:rPr>
                <w:rFonts w:asciiTheme="minorHAnsi" w:hAnsiTheme="minorHAnsi" w:cstheme="minorHAnsi"/>
                <w:sz w:val="18"/>
              </w:rPr>
              <w:t>National parks: 1</w:t>
            </w:r>
          </w:p>
          <w:p w14:paraId="0327ABFE" w14:textId="77777777" w:rsidR="0032585E" w:rsidRPr="007C4D65" w:rsidRDefault="0032585E">
            <w:pPr>
              <w:numPr>
                <w:ilvl w:val="0"/>
                <w:numId w:val="185"/>
              </w:numPr>
              <w:spacing w:line="276" w:lineRule="auto"/>
              <w:contextualSpacing/>
              <w:rPr>
                <w:rFonts w:asciiTheme="minorHAnsi" w:hAnsiTheme="minorHAnsi" w:cstheme="minorHAnsi"/>
                <w:sz w:val="18"/>
                <w:szCs w:val="18"/>
              </w:rPr>
            </w:pPr>
            <w:r w:rsidRPr="007C4D65">
              <w:rPr>
                <w:rFonts w:asciiTheme="minorHAnsi" w:hAnsiTheme="minorHAnsi" w:cstheme="minorHAnsi"/>
                <w:sz w:val="18"/>
              </w:rPr>
              <w:t>Natural monuments: 4</w:t>
            </w:r>
          </w:p>
          <w:p w14:paraId="23FDE3CD" w14:textId="77777777" w:rsidR="0032585E" w:rsidRPr="007C4D65" w:rsidRDefault="0032585E">
            <w:pPr>
              <w:numPr>
                <w:ilvl w:val="0"/>
                <w:numId w:val="185"/>
              </w:numPr>
              <w:spacing w:line="276" w:lineRule="auto"/>
              <w:contextualSpacing/>
              <w:rPr>
                <w:rFonts w:asciiTheme="minorHAnsi" w:hAnsiTheme="minorHAnsi" w:cstheme="minorHAnsi"/>
                <w:sz w:val="18"/>
                <w:szCs w:val="18"/>
              </w:rPr>
            </w:pPr>
            <w:r w:rsidRPr="007C4D65">
              <w:rPr>
                <w:rFonts w:asciiTheme="minorHAnsi" w:hAnsiTheme="minorHAnsi" w:cstheme="minorHAnsi"/>
                <w:sz w:val="18"/>
              </w:rPr>
              <w:t>Nature parks: 2</w:t>
            </w:r>
          </w:p>
          <w:p w14:paraId="5E18EF9D" w14:textId="77777777" w:rsidR="0032585E" w:rsidRPr="007C4D65" w:rsidRDefault="0032585E">
            <w:pPr>
              <w:numPr>
                <w:ilvl w:val="0"/>
                <w:numId w:val="185"/>
              </w:numPr>
              <w:spacing w:line="276" w:lineRule="auto"/>
              <w:contextualSpacing/>
              <w:rPr>
                <w:rFonts w:asciiTheme="minorHAnsi" w:hAnsiTheme="minorHAnsi" w:cstheme="minorHAnsi"/>
                <w:sz w:val="18"/>
                <w:szCs w:val="18"/>
              </w:rPr>
            </w:pPr>
            <w:r w:rsidRPr="007C4D65">
              <w:rPr>
                <w:rFonts w:asciiTheme="minorHAnsi" w:hAnsiTheme="minorHAnsi" w:cstheme="minorHAnsi"/>
                <w:sz w:val="18"/>
              </w:rPr>
              <w:t>Protected landscapes: 5</w:t>
            </w:r>
          </w:p>
        </w:tc>
        <w:tc>
          <w:tcPr>
            <w:tcW w:w="2268" w:type="dxa"/>
            <w:vAlign w:val="center"/>
          </w:tcPr>
          <w:p w14:paraId="7DAD3718" w14:textId="77777777" w:rsidR="0032585E" w:rsidRPr="007C4D65" w:rsidRDefault="0032585E" w:rsidP="0068355A">
            <w:pPr>
              <w:tabs>
                <w:tab w:val="left" w:pos="955"/>
              </w:tabs>
              <w:spacing w:line="276" w:lineRule="auto"/>
              <w:jc w:val="center"/>
              <w:rPr>
                <w:rFonts w:asciiTheme="minorHAnsi" w:hAnsiTheme="minorHAnsi" w:cstheme="minorHAnsi"/>
                <w:sz w:val="18"/>
                <w:szCs w:val="18"/>
              </w:rPr>
            </w:pPr>
            <w:r w:rsidRPr="007C4D65">
              <w:rPr>
                <w:rFonts w:asciiTheme="minorHAnsi" w:hAnsiTheme="minorHAnsi" w:cstheme="minorHAnsi"/>
                <w:sz w:val="18"/>
              </w:rPr>
              <w:t>...</w:t>
            </w:r>
          </w:p>
        </w:tc>
      </w:tr>
      <w:bookmarkEnd w:id="113"/>
    </w:tbl>
    <w:p w14:paraId="3272925B" w14:textId="77777777" w:rsidR="007C28C9" w:rsidRPr="007C4D65" w:rsidRDefault="007C28C9" w:rsidP="0068355A">
      <w:pPr>
        <w:spacing w:line="276" w:lineRule="auto"/>
        <w:rPr>
          <w:rFonts w:asciiTheme="minorHAnsi" w:hAnsiTheme="minorHAnsi" w:cstheme="minorHAnsi"/>
        </w:rPr>
      </w:pPr>
    </w:p>
    <w:p w14:paraId="1B13B857" w14:textId="77777777" w:rsidR="007C28C9" w:rsidRPr="007C4D65" w:rsidRDefault="007C28C9">
      <w:pPr>
        <w:pStyle w:val="Head3"/>
        <w:spacing w:line="276" w:lineRule="auto"/>
        <w:rPr>
          <w:rFonts w:asciiTheme="minorHAnsi" w:hAnsiTheme="minorHAnsi"/>
        </w:rPr>
      </w:pPr>
      <w:bookmarkStart w:id="114" w:name="_Toc117445344"/>
      <w:r w:rsidRPr="007C4D65">
        <w:rPr>
          <w:rFonts w:asciiTheme="minorHAnsi" w:hAnsiTheme="minorHAnsi"/>
        </w:rPr>
        <w:t>Priorities for strategic goal 3</w:t>
      </w:r>
      <w:bookmarkEnd w:id="114"/>
    </w:p>
    <w:p w14:paraId="56CF2AB3" w14:textId="77777777" w:rsidR="00697667" w:rsidRPr="007C4D65" w:rsidRDefault="0032585E" w:rsidP="00697667">
      <w:pPr>
        <w:spacing w:line="276" w:lineRule="auto"/>
        <w:jc w:val="both"/>
        <w:rPr>
          <w:rFonts w:asciiTheme="minorHAnsi" w:hAnsiTheme="minorHAnsi" w:cstheme="minorHAnsi"/>
          <w:b/>
          <w:sz w:val="22"/>
        </w:rPr>
      </w:pPr>
      <w:r w:rsidRPr="007C4D65">
        <w:rPr>
          <w:rFonts w:asciiTheme="minorHAnsi" w:hAnsiTheme="minorHAnsi" w:cstheme="minorHAnsi"/>
          <w:b/>
          <w:sz w:val="22"/>
        </w:rPr>
        <w:t xml:space="preserve">Priority 3.1 </w:t>
      </w:r>
      <w:r w:rsidR="007508AB" w:rsidRPr="007C4D65">
        <w:rPr>
          <w:rFonts w:asciiTheme="minorHAnsi" w:hAnsiTheme="minorHAnsi" w:cstheme="minorHAnsi"/>
          <w:b/>
          <w:sz w:val="22"/>
        </w:rPr>
        <w:t xml:space="preserve">Improving the legal framework </w:t>
      </w:r>
      <w:r w:rsidR="007436F1" w:rsidRPr="007C4D65">
        <w:rPr>
          <w:rFonts w:asciiTheme="minorHAnsi" w:hAnsiTheme="minorHAnsi" w:cstheme="minorHAnsi"/>
          <w:b/>
          <w:sz w:val="22"/>
        </w:rPr>
        <w:t>of the Federation of BiH</w:t>
      </w:r>
      <w:r w:rsidR="007508AB" w:rsidRPr="007C4D65">
        <w:rPr>
          <w:rFonts w:asciiTheme="minorHAnsi" w:hAnsiTheme="minorHAnsi" w:cstheme="minorHAnsi"/>
          <w:b/>
          <w:sz w:val="22"/>
        </w:rPr>
        <w:t xml:space="preserve"> for biodiversity and nature conservation through alignment of the legislation with the EU acquis and international agreements</w:t>
      </w:r>
      <w:r w:rsidRPr="007C4D65">
        <w:rPr>
          <w:rFonts w:asciiTheme="minorHAnsi" w:hAnsiTheme="minorHAnsi" w:cstheme="minorHAnsi"/>
          <w:sz w:val="22"/>
        </w:rPr>
        <w:t xml:space="preserve">, which will be achieved through </w:t>
      </w:r>
      <w:r w:rsidR="00C9097F" w:rsidRPr="007C4D65">
        <w:rPr>
          <w:rFonts w:asciiTheme="minorHAnsi" w:hAnsiTheme="minorHAnsi" w:cstheme="minorHAnsi"/>
          <w:sz w:val="22"/>
        </w:rPr>
        <w:t>further</w:t>
      </w:r>
      <w:r w:rsidRPr="007C4D65">
        <w:rPr>
          <w:rFonts w:asciiTheme="minorHAnsi" w:hAnsiTheme="minorHAnsi" w:cstheme="minorHAnsi"/>
          <w:sz w:val="22"/>
        </w:rPr>
        <w:t xml:space="preserve"> </w:t>
      </w:r>
      <w:r w:rsidR="00C9097F" w:rsidRPr="007C4D65">
        <w:rPr>
          <w:rFonts w:asciiTheme="minorHAnsi" w:hAnsiTheme="minorHAnsi" w:cstheme="minorHAnsi"/>
          <w:sz w:val="22"/>
        </w:rPr>
        <w:t>alignment</w:t>
      </w:r>
      <w:r w:rsidRPr="007C4D65">
        <w:rPr>
          <w:rFonts w:asciiTheme="minorHAnsi" w:hAnsiTheme="minorHAnsi" w:cstheme="minorHAnsi"/>
          <w:sz w:val="22"/>
        </w:rPr>
        <w:t xml:space="preserve"> of the legislation with the EU acquis and provisions of both </w:t>
      </w:r>
      <w:r w:rsidR="00C9097F" w:rsidRPr="007C4D65">
        <w:rPr>
          <w:rFonts w:asciiTheme="minorHAnsi" w:hAnsiTheme="minorHAnsi" w:cstheme="minorHAnsi"/>
          <w:sz w:val="22"/>
        </w:rPr>
        <w:t>ratified</w:t>
      </w:r>
      <w:r w:rsidRPr="007C4D65">
        <w:rPr>
          <w:rFonts w:asciiTheme="minorHAnsi" w:hAnsiTheme="minorHAnsi" w:cstheme="minorHAnsi"/>
          <w:sz w:val="22"/>
        </w:rPr>
        <w:t xml:space="preserve"> and new agreements on biodiversity.</w:t>
      </w:r>
      <w:r w:rsidRPr="007C4D65">
        <w:rPr>
          <w:rFonts w:asciiTheme="minorHAnsi" w:hAnsiTheme="minorHAnsi" w:cstheme="minorHAnsi"/>
          <w:sz w:val="22"/>
        </w:rPr>
        <w:cr/>
      </w:r>
    </w:p>
    <w:p w14:paraId="43F2F13A" w14:textId="1C17C437" w:rsidR="0032585E" w:rsidRPr="007C4D65" w:rsidRDefault="0032585E" w:rsidP="00697667">
      <w:pPr>
        <w:spacing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Priority </w:t>
      </w:r>
      <w:proofErr w:type="gramStart"/>
      <w:r w:rsidRPr="007C4D65">
        <w:rPr>
          <w:rFonts w:asciiTheme="minorHAnsi" w:hAnsiTheme="minorHAnsi" w:cstheme="minorHAnsi"/>
          <w:b/>
          <w:sz w:val="22"/>
        </w:rPr>
        <w:t>3.2  Strengthening</w:t>
      </w:r>
      <w:proofErr w:type="gramEnd"/>
      <w:r w:rsidRPr="007C4D65">
        <w:rPr>
          <w:rFonts w:asciiTheme="minorHAnsi" w:hAnsiTheme="minorHAnsi" w:cstheme="minorHAnsi"/>
          <w:b/>
          <w:sz w:val="22"/>
        </w:rPr>
        <w:t xml:space="preserve"> the  institutions of the Federation of BiH responsible for the implementation of the nature conservation legislation and activities</w:t>
      </w:r>
      <w:r w:rsidRPr="007C4D65">
        <w:rPr>
          <w:rFonts w:asciiTheme="minorHAnsi" w:hAnsiTheme="minorHAnsi" w:cstheme="minorHAnsi"/>
          <w:sz w:val="22"/>
        </w:rPr>
        <w:t xml:space="preserve">, which will be achieved through establishment and progressive development of a professional institution for nature conservation in the Federation of BiH, and further strengthening of cantonal professional institutions. </w:t>
      </w:r>
    </w:p>
    <w:p w14:paraId="1FC94D15" w14:textId="77777777" w:rsidR="00697667" w:rsidRPr="007C4D65" w:rsidRDefault="0032585E" w:rsidP="00697667">
      <w:pPr>
        <w:spacing w:line="276" w:lineRule="auto"/>
        <w:jc w:val="both"/>
        <w:rPr>
          <w:rFonts w:asciiTheme="minorHAnsi" w:hAnsiTheme="minorHAnsi" w:cstheme="minorHAnsi"/>
          <w:b/>
          <w:sz w:val="22"/>
        </w:rPr>
      </w:pPr>
      <w:r w:rsidRPr="007C4D65">
        <w:rPr>
          <w:rFonts w:asciiTheme="minorHAnsi" w:hAnsiTheme="minorHAnsi" w:cstheme="minorHAnsi"/>
          <w:b/>
          <w:sz w:val="22"/>
        </w:rPr>
        <w:t>Priority 3.3 Initiating coordination, communication and reporting on biodiversity and nature conservation in the Federation of BiH</w:t>
      </w:r>
      <w:r w:rsidRPr="007C4D65">
        <w:rPr>
          <w:rFonts w:asciiTheme="minorHAnsi" w:hAnsiTheme="minorHAnsi" w:cstheme="minorHAnsi"/>
          <w:sz w:val="22"/>
        </w:rPr>
        <w:t>, which will be achieved through defining a path for an institutional flow of data on biodiversity monitoring aimed at data sharing and reporting.</w:t>
      </w:r>
      <w:r w:rsidRPr="007C4D65">
        <w:rPr>
          <w:rFonts w:asciiTheme="minorHAnsi" w:hAnsiTheme="minorHAnsi" w:cstheme="minorHAnsi"/>
          <w:sz w:val="22"/>
        </w:rPr>
        <w:cr/>
      </w:r>
    </w:p>
    <w:p w14:paraId="76685D4F" w14:textId="4FAC4B15" w:rsidR="0012427C" w:rsidRPr="007C4D65" w:rsidRDefault="0032585E" w:rsidP="00697667">
      <w:pPr>
        <w:spacing w:line="276" w:lineRule="auto"/>
        <w:jc w:val="both"/>
        <w:rPr>
          <w:rFonts w:asciiTheme="minorHAnsi" w:hAnsiTheme="minorHAnsi" w:cstheme="minorHAnsi"/>
          <w:b/>
          <w:sz w:val="22"/>
        </w:rPr>
      </w:pPr>
      <w:r w:rsidRPr="007C4D65">
        <w:rPr>
          <w:rFonts w:asciiTheme="minorHAnsi" w:hAnsiTheme="minorHAnsi" w:cstheme="minorHAnsi"/>
          <w:b/>
          <w:sz w:val="22"/>
        </w:rPr>
        <w:t xml:space="preserve">Priority 3.4 </w:t>
      </w:r>
      <w:r w:rsidR="00D67C85" w:rsidRPr="007C4D65">
        <w:rPr>
          <w:rFonts w:asciiTheme="minorHAnsi" w:hAnsiTheme="minorHAnsi" w:cstheme="minorHAnsi"/>
          <w:b/>
          <w:sz w:val="22"/>
        </w:rPr>
        <w:t>Initiate monitoring of the state and biodiversity/nature conservation in the federation of BiH in compliance with the standards of the EU acquis</w:t>
      </w:r>
      <w:r w:rsidRPr="007C4D65">
        <w:rPr>
          <w:rFonts w:asciiTheme="minorHAnsi" w:hAnsiTheme="minorHAnsi" w:cstheme="minorHAnsi"/>
          <w:sz w:val="22"/>
        </w:rPr>
        <w:t>, which will be achieved through an assessment of the available and building of new professional and technical capacities for the monitoring and implementation of measures on the ground.</w:t>
      </w:r>
      <w:r w:rsidRPr="007C4D65">
        <w:rPr>
          <w:rFonts w:asciiTheme="minorHAnsi" w:hAnsiTheme="minorHAnsi" w:cstheme="minorHAnsi"/>
          <w:sz w:val="22"/>
        </w:rPr>
        <w:cr/>
      </w:r>
    </w:p>
    <w:p w14:paraId="7993B179" w14:textId="0CF00C68" w:rsidR="0032585E" w:rsidRPr="007C4D65" w:rsidRDefault="0032585E" w:rsidP="00697667">
      <w:pPr>
        <w:spacing w:line="276" w:lineRule="auto"/>
        <w:jc w:val="both"/>
        <w:rPr>
          <w:rFonts w:asciiTheme="minorHAnsi" w:hAnsiTheme="minorHAnsi" w:cstheme="minorHAnsi"/>
          <w:sz w:val="22"/>
          <w:szCs w:val="22"/>
        </w:rPr>
      </w:pPr>
      <w:r w:rsidRPr="007C4D65">
        <w:rPr>
          <w:rFonts w:asciiTheme="minorHAnsi" w:hAnsiTheme="minorHAnsi" w:cstheme="minorHAnsi"/>
          <w:b/>
          <w:sz w:val="22"/>
        </w:rPr>
        <w:t>Priority 3.5</w:t>
      </w:r>
      <w:r w:rsidRPr="007C4D65">
        <w:rPr>
          <w:rFonts w:asciiTheme="minorHAnsi" w:hAnsiTheme="minorHAnsi" w:cstheme="minorHAnsi"/>
          <w:sz w:val="22"/>
        </w:rPr>
        <w:t xml:space="preserve"> </w:t>
      </w:r>
      <w:r w:rsidRPr="007C4D65">
        <w:rPr>
          <w:rFonts w:asciiTheme="minorHAnsi" w:hAnsiTheme="minorHAnsi" w:cstheme="minorHAnsi"/>
          <w:b/>
          <w:sz w:val="22"/>
        </w:rPr>
        <w:t>Produce an inventory of biodiversity of the Federation of BiH at the ecosystem, species and genetic level</w:t>
      </w:r>
      <w:r w:rsidRPr="007C4D65">
        <w:rPr>
          <w:rFonts w:asciiTheme="minorHAnsi" w:hAnsiTheme="minorHAnsi" w:cstheme="minorHAnsi"/>
          <w:sz w:val="22"/>
        </w:rPr>
        <w:t xml:space="preserve">, which will be achieved through a preparation and progressive implementation of an </w:t>
      </w:r>
      <w:r w:rsidR="00C9097F" w:rsidRPr="007C4D65">
        <w:rPr>
          <w:rFonts w:asciiTheme="minorHAnsi" w:hAnsiTheme="minorHAnsi" w:cstheme="minorHAnsi"/>
          <w:sz w:val="22"/>
        </w:rPr>
        <w:t>enumeration</w:t>
      </w:r>
      <w:r w:rsidRPr="007C4D65">
        <w:rPr>
          <w:rFonts w:asciiTheme="minorHAnsi" w:hAnsiTheme="minorHAnsi" w:cstheme="minorHAnsi"/>
          <w:sz w:val="22"/>
        </w:rPr>
        <w:t xml:space="preserve"> of flora, fauna, fungi, migratory birds and invasive species, and </w:t>
      </w:r>
      <w:r w:rsidR="00D67C85" w:rsidRPr="007C4D65">
        <w:rPr>
          <w:rFonts w:asciiTheme="minorHAnsi" w:hAnsiTheme="minorHAnsi" w:cstheme="minorHAnsi"/>
          <w:sz w:val="22"/>
        </w:rPr>
        <w:t>identification</w:t>
      </w:r>
      <w:r w:rsidRPr="007C4D65">
        <w:rPr>
          <w:rFonts w:asciiTheme="minorHAnsi" w:hAnsiTheme="minorHAnsi" w:cstheme="minorHAnsi"/>
          <w:sz w:val="22"/>
        </w:rPr>
        <w:t xml:space="preserve"> and mapping of habitats. </w:t>
      </w:r>
    </w:p>
    <w:p w14:paraId="320C77DA" w14:textId="4250C543" w:rsidR="0032585E" w:rsidRPr="007C4D65" w:rsidRDefault="0032585E" w:rsidP="00697667">
      <w:pPr>
        <w:spacing w:before="120" w:after="120" w:line="276" w:lineRule="auto"/>
        <w:jc w:val="both"/>
        <w:rPr>
          <w:rFonts w:asciiTheme="minorHAnsi" w:hAnsiTheme="minorHAnsi" w:cstheme="minorHAnsi"/>
          <w:sz w:val="22"/>
          <w:szCs w:val="22"/>
        </w:rPr>
      </w:pPr>
      <w:r w:rsidRPr="007C4D65">
        <w:rPr>
          <w:rFonts w:asciiTheme="minorHAnsi" w:hAnsiTheme="minorHAnsi" w:cstheme="minorHAnsi"/>
          <w:b/>
          <w:sz w:val="22"/>
        </w:rPr>
        <w:t>Priority 3.6 Integrate the ecologically significant areas into a single network which makes up 17% of the territory of the Federation of BiH</w:t>
      </w:r>
      <w:r w:rsidRPr="007C4D65">
        <w:rPr>
          <w:rFonts w:asciiTheme="minorHAnsi" w:hAnsiTheme="minorHAnsi" w:cstheme="minorHAnsi"/>
          <w:sz w:val="22"/>
        </w:rPr>
        <w:t xml:space="preserve">, which will be achieved </w:t>
      </w:r>
      <w:r w:rsidR="00C9097F" w:rsidRPr="007C4D65">
        <w:rPr>
          <w:rFonts w:asciiTheme="minorHAnsi" w:hAnsiTheme="minorHAnsi" w:cstheme="minorHAnsi"/>
          <w:sz w:val="22"/>
        </w:rPr>
        <w:t>through</w:t>
      </w:r>
      <w:r w:rsidRPr="007C4D65">
        <w:rPr>
          <w:rFonts w:asciiTheme="minorHAnsi" w:hAnsiTheme="minorHAnsi" w:cstheme="minorHAnsi"/>
          <w:sz w:val="22"/>
        </w:rPr>
        <w:t xml:space="preserve"> a promotion, with the agreement of all local communities and interest groups and designation of the ecological network.</w:t>
      </w:r>
    </w:p>
    <w:p w14:paraId="235EBAA4" w14:textId="089EDA0D" w:rsidR="0032585E" w:rsidRPr="007C4D65" w:rsidRDefault="0032585E" w:rsidP="00697667">
      <w:pPr>
        <w:spacing w:before="120" w:after="120" w:line="276" w:lineRule="auto"/>
        <w:jc w:val="both"/>
        <w:rPr>
          <w:rFonts w:asciiTheme="minorHAnsi" w:hAnsiTheme="minorHAnsi" w:cstheme="minorHAnsi"/>
          <w:sz w:val="22"/>
          <w:szCs w:val="22"/>
        </w:rPr>
      </w:pPr>
      <w:r w:rsidRPr="007C4D65">
        <w:rPr>
          <w:rFonts w:asciiTheme="minorHAnsi" w:hAnsiTheme="minorHAnsi" w:cstheme="minorHAnsi"/>
          <w:b/>
          <w:sz w:val="22"/>
        </w:rPr>
        <w:lastRenderedPageBreak/>
        <w:t xml:space="preserve">Priority 3.7 Improve the cross-sectoral cooperation and political support </w:t>
      </w:r>
      <w:proofErr w:type="gramStart"/>
      <w:r w:rsidRPr="007C4D65">
        <w:rPr>
          <w:rFonts w:asciiTheme="minorHAnsi" w:hAnsiTheme="minorHAnsi" w:cstheme="minorHAnsi"/>
          <w:b/>
          <w:sz w:val="22"/>
        </w:rPr>
        <w:t>in  the</w:t>
      </w:r>
      <w:proofErr w:type="gramEnd"/>
      <w:r w:rsidRPr="007C4D65">
        <w:rPr>
          <w:rFonts w:asciiTheme="minorHAnsi" w:hAnsiTheme="minorHAnsi" w:cstheme="minorHAnsi"/>
          <w:b/>
          <w:sz w:val="22"/>
        </w:rPr>
        <w:t xml:space="preserve"> Federation of BiH for integration of biodiversity protection into sectoral policies and legislation</w:t>
      </w:r>
      <w:r w:rsidRPr="007C4D65">
        <w:rPr>
          <w:rFonts w:asciiTheme="minorHAnsi" w:hAnsiTheme="minorHAnsi" w:cstheme="minorHAnsi"/>
          <w:sz w:val="22"/>
        </w:rPr>
        <w:t>, which will be achieved through a preparation of clear guidance for the integration and support to sectoral programmes and projects which contribute to nature conservation.</w:t>
      </w:r>
    </w:p>
    <w:p w14:paraId="042AF442" w14:textId="1DF64F5E" w:rsidR="0032585E" w:rsidRPr="007C4D65" w:rsidRDefault="0032585E" w:rsidP="00697667">
      <w:pPr>
        <w:spacing w:after="120" w:line="276" w:lineRule="auto"/>
        <w:jc w:val="both"/>
        <w:rPr>
          <w:rFonts w:asciiTheme="minorHAnsi" w:hAnsiTheme="minorHAnsi" w:cstheme="minorHAnsi"/>
          <w:b/>
          <w:sz w:val="22"/>
          <w:szCs w:val="22"/>
        </w:rPr>
      </w:pPr>
      <w:r w:rsidRPr="007C4D65">
        <w:rPr>
          <w:rFonts w:asciiTheme="minorHAnsi" w:hAnsiTheme="minorHAnsi" w:cstheme="minorHAnsi"/>
          <w:b/>
          <w:sz w:val="22"/>
        </w:rPr>
        <w:t xml:space="preserve">Priority 3.8 Strengthen the science-based </w:t>
      </w:r>
      <w:r w:rsidR="009F16BA" w:rsidRPr="007C4D65">
        <w:rPr>
          <w:rFonts w:asciiTheme="minorHAnsi" w:hAnsiTheme="minorHAnsi" w:cstheme="minorHAnsi"/>
          <w:b/>
          <w:sz w:val="22"/>
        </w:rPr>
        <w:t xml:space="preserve">decision-making  </w:t>
      </w:r>
      <w:r w:rsidRPr="007C4D65">
        <w:rPr>
          <w:rFonts w:asciiTheme="minorHAnsi" w:hAnsiTheme="minorHAnsi" w:cstheme="minorHAnsi"/>
          <w:b/>
          <w:sz w:val="22"/>
        </w:rPr>
        <w:t xml:space="preserve"> on biodiversity/nature through a dialog between the </w:t>
      </w:r>
      <w:r w:rsidR="00C9097F" w:rsidRPr="007C4D65">
        <w:rPr>
          <w:rFonts w:asciiTheme="minorHAnsi" w:hAnsiTheme="minorHAnsi" w:cstheme="minorHAnsi"/>
          <w:b/>
          <w:sz w:val="22"/>
        </w:rPr>
        <w:t>scientific</w:t>
      </w:r>
      <w:r w:rsidRPr="007C4D65">
        <w:rPr>
          <w:rFonts w:asciiTheme="minorHAnsi" w:hAnsiTheme="minorHAnsi" w:cstheme="minorHAnsi"/>
          <w:b/>
          <w:sz w:val="22"/>
        </w:rPr>
        <w:t xml:space="preserve"> community and decision makers</w:t>
      </w:r>
      <w:r w:rsidRPr="007C4D65">
        <w:rPr>
          <w:rFonts w:asciiTheme="minorHAnsi" w:hAnsiTheme="minorHAnsi" w:cstheme="minorHAnsi"/>
          <w:sz w:val="22"/>
        </w:rPr>
        <w:t xml:space="preserve">, which will be achieved through the establishment of a platform for continued information sharing and facilitated use of </w:t>
      </w:r>
      <w:r w:rsidR="00C9097F" w:rsidRPr="007C4D65">
        <w:rPr>
          <w:rFonts w:asciiTheme="minorHAnsi" w:hAnsiTheme="minorHAnsi" w:cstheme="minorHAnsi"/>
          <w:sz w:val="22"/>
        </w:rPr>
        <w:t>scientific</w:t>
      </w:r>
      <w:r w:rsidRPr="007C4D65">
        <w:rPr>
          <w:rFonts w:asciiTheme="minorHAnsi" w:hAnsiTheme="minorHAnsi" w:cstheme="minorHAnsi"/>
          <w:sz w:val="22"/>
        </w:rPr>
        <w:t xml:space="preserve"> data on biodiversity.</w:t>
      </w:r>
    </w:p>
    <w:p w14:paraId="7EE930CF" w14:textId="77777777" w:rsidR="0032585E" w:rsidRPr="007C4D65" w:rsidRDefault="0032585E" w:rsidP="00697667">
      <w:pPr>
        <w:spacing w:after="120" w:line="276" w:lineRule="auto"/>
        <w:jc w:val="both"/>
        <w:rPr>
          <w:rFonts w:asciiTheme="minorHAnsi" w:hAnsiTheme="minorHAnsi" w:cstheme="minorHAnsi"/>
          <w:b/>
          <w:sz w:val="22"/>
          <w:szCs w:val="22"/>
        </w:rPr>
      </w:pPr>
      <w:r w:rsidRPr="007C4D65">
        <w:rPr>
          <w:rFonts w:asciiTheme="minorHAnsi" w:hAnsiTheme="minorHAnsi" w:cstheme="minorHAnsi"/>
          <w:b/>
          <w:sz w:val="22"/>
        </w:rPr>
        <w:t>Priority 3.9 Raising ecological awareness on biodiversity, nature conservation and ecosystem services</w:t>
      </w:r>
      <w:r w:rsidRPr="007C4D65">
        <w:rPr>
          <w:rFonts w:asciiTheme="minorHAnsi" w:hAnsiTheme="minorHAnsi" w:cstheme="minorHAnsi"/>
          <w:sz w:val="22"/>
        </w:rPr>
        <w:t>, which will be achieved through capacity building of the nongovernmental sector and education.</w:t>
      </w:r>
    </w:p>
    <w:p w14:paraId="5302752D" w14:textId="511FD9C5" w:rsidR="0032585E" w:rsidRPr="007C4D65" w:rsidRDefault="0032585E" w:rsidP="00697667">
      <w:pPr>
        <w:spacing w:after="12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Priority 3.10 Mobilise both local and international funds for biodiversity </w:t>
      </w:r>
      <w:r w:rsidR="007436F1" w:rsidRPr="007C4D65">
        <w:rPr>
          <w:rFonts w:asciiTheme="minorHAnsi" w:hAnsiTheme="minorHAnsi" w:cstheme="minorHAnsi"/>
          <w:b/>
          <w:sz w:val="22"/>
        </w:rPr>
        <w:t>of the Federation of BiH</w:t>
      </w:r>
      <w:r w:rsidRPr="007C4D65">
        <w:rPr>
          <w:rFonts w:asciiTheme="minorHAnsi" w:hAnsiTheme="minorHAnsi" w:cstheme="minorHAnsi"/>
          <w:sz w:val="22"/>
        </w:rPr>
        <w:t xml:space="preserve">, which will be achieved through </w:t>
      </w:r>
      <w:r w:rsidR="001A2A48" w:rsidRPr="007C4D65">
        <w:rPr>
          <w:rFonts w:asciiTheme="minorHAnsi" w:hAnsiTheme="minorHAnsi" w:cstheme="minorHAnsi"/>
          <w:sz w:val="22"/>
        </w:rPr>
        <w:t>an</w:t>
      </w:r>
      <w:r w:rsidRPr="007C4D65">
        <w:rPr>
          <w:rFonts w:asciiTheme="minorHAnsi" w:hAnsiTheme="minorHAnsi" w:cstheme="minorHAnsi"/>
          <w:sz w:val="22"/>
        </w:rPr>
        <w:t xml:space="preserve"> analysis and revision of the national mechanisms for funding of nature and capacity building aimed at an effective acquisition and use of international funds.</w:t>
      </w:r>
    </w:p>
    <w:p w14:paraId="2056227B" w14:textId="2E52630A" w:rsidR="0032585E" w:rsidRPr="007C4D65" w:rsidRDefault="001B27C0" w:rsidP="0068355A">
      <w:pPr>
        <w:pStyle w:val="Caption"/>
        <w:spacing w:line="276" w:lineRule="auto"/>
        <w:rPr>
          <w:rFonts w:asciiTheme="minorHAnsi" w:hAnsiTheme="minorHAnsi" w:cstheme="minorHAnsi"/>
        </w:rPr>
      </w:pPr>
      <w:bookmarkStart w:id="115" w:name="_Toc117011594"/>
      <w:r w:rsidRPr="007C4D65">
        <w:rPr>
          <w:rFonts w:asciiTheme="minorHAnsi" w:hAnsiTheme="minorHAnsi" w:cstheme="minorHAnsi"/>
        </w:rPr>
        <w:t xml:space="preserve">Table </w:t>
      </w:r>
      <w:bookmarkStart w:id="116" w:name="tabela15"/>
      <w:r w:rsidRPr="007C4D65">
        <w:rPr>
          <w:rFonts w:asciiTheme="minorHAnsi" w:hAnsiTheme="minorHAnsi" w:cstheme="minorHAnsi"/>
        </w:rPr>
        <w:fldChar w:fldCharType="begin"/>
      </w:r>
      <w:r w:rsidRPr="007C4D65">
        <w:rPr>
          <w:rFonts w:asciiTheme="minorHAnsi" w:hAnsiTheme="minorHAnsi" w:cstheme="minorHAnsi"/>
        </w:rPr>
        <w:instrText xml:space="preserve"> SEQ Tabela \* ARABIC </w:instrText>
      </w:r>
      <w:r w:rsidRPr="007C4D65">
        <w:rPr>
          <w:rFonts w:asciiTheme="minorHAnsi" w:hAnsiTheme="minorHAnsi" w:cstheme="minorHAnsi"/>
        </w:rPr>
        <w:fldChar w:fldCharType="separate"/>
      </w:r>
      <w:r w:rsidR="00005022" w:rsidRPr="007C4D65">
        <w:rPr>
          <w:rFonts w:asciiTheme="minorHAnsi" w:hAnsiTheme="minorHAnsi" w:cstheme="minorHAnsi"/>
          <w:noProof/>
        </w:rPr>
        <w:t>15</w:t>
      </w:r>
      <w:r w:rsidRPr="007C4D65">
        <w:rPr>
          <w:rFonts w:asciiTheme="minorHAnsi" w:hAnsiTheme="minorHAnsi" w:cstheme="minorHAnsi"/>
        </w:rPr>
        <w:fldChar w:fldCharType="end"/>
      </w:r>
      <w:bookmarkEnd w:id="116"/>
      <w:r w:rsidRPr="007C4D65">
        <w:rPr>
          <w:rFonts w:asciiTheme="minorHAnsi" w:hAnsiTheme="minorHAnsi" w:cstheme="minorHAnsi"/>
        </w:rPr>
        <w:t xml:space="preserve">: </w:t>
      </w:r>
      <w:r w:rsidRPr="007C4D65">
        <w:rPr>
          <w:rFonts w:asciiTheme="minorHAnsi" w:hAnsiTheme="minorHAnsi" w:cstheme="minorHAnsi"/>
          <w:b w:val="0"/>
        </w:rPr>
        <w:t>Priorities with relevant indicators</w:t>
      </w:r>
      <w:bookmarkEnd w:id="115"/>
    </w:p>
    <w:tbl>
      <w:tblPr>
        <w:tblStyle w:val="TABLICAHAOP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4"/>
        <w:gridCol w:w="2254"/>
        <w:gridCol w:w="2254"/>
        <w:gridCol w:w="2254"/>
      </w:tblGrid>
      <w:tr w:rsidR="0032585E" w:rsidRPr="007C4D65" w14:paraId="67B8EED7" w14:textId="77777777" w:rsidTr="00076544">
        <w:trPr>
          <w:tblHeader/>
        </w:trPr>
        <w:tc>
          <w:tcPr>
            <w:tcW w:w="2254" w:type="dxa"/>
            <w:shd w:val="clear" w:color="auto" w:fill="009D73"/>
            <w:vAlign w:val="center"/>
          </w:tcPr>
          <w:p w14:paraId="23758813" w14:textId="77777777" w:rsidR="0032585E" w:rsidRPr="007C4D65" w:rsidRDefault="0032585E" w:rsidP="0068355A">
            <w:pPr>
              <w:spacing w:line="276" w:lineRule="auto"/>
              <w:jc w:val="center"/>
              <w:rPr>
                <w:rFonts w:asciiTheme="minorHAnsi" w:hAnsiTheme="minorHAnsi" w:cstheme="minorHAnsi"/>
                <w:b/>
                <w:color w:val="FFFFFF" w:themeColor="background1"/>
                <w:sz w:val="18"/>
                <w:szCs w:val="18"/>
              </w:rPr>
            </w:pPr>
            <w:bookmarkStart w:id="117" w:name="_Hlk109653664"/>
            <w:r w:rsidRPr="007C4D65">
              <w:rPr>
                <w:rFonts w:asciiTheme="minorHAnsi" w:hAnsiTheme="minorHAnsi" w:cstheme="minorHAnsi"/>
                <w:b/>
                <w:color w:val="FFFFFF" w:themeColor="background1"/>
                <w:sz w:val="18"/>
              </w:rPr>
              <w:t>Priorities</w:t>
            </w:r>
          </w:p>
        </w:tc>
        <w:tc>
          <w:tcPr>
            <w:tcW w:w="2254" w:type="dxa"/>
            <w:shd w:val="clear" w:color="auto" w:fill="009D73"/>
            <w:vAlign w:val="center"/>
          </w:tcPr>
          <w:p w14:paraId="6EF20E00" w14:textId="77777777" w:rsidR="0032585E" w:rsidRPr="007C4D65" w:rsidRDefault="0032585E" w:rsidP="0068355A">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Indicator of deliverable</w:t>
            </w:r>
          </w:p>
        </w:tc>
        <w:tc>
          <w:tcPr>
            <w:tcW w:w="2254" w:type="dxa"/>
            <w:shd w:val="clear" w:color="auto" w:fill="009D73"/>
            <w:vAlign w:val="center"/>
          </w:tcPr>
          <w:p w14:paraId="571012AE" w14:textId="77777777" w:rsidR="0032585E" w:rsidRPr="007C4D65" w:rsidRDefault="0032585E" w:rsidP="0068355A">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Baseline value</w:t>
            </w:r>
          </w:p>
        </w:tc>
        <w:tc>
          <w:tcPr>
            <w:tcW w:w="2254" w:type="dxa"/>
            <w:shd w:val="clear" w:color="auto" w:fill="009D73"/>
            <w:vAlign w:val="center"/>
          </w:tcPr>
          <w:p w14:paraId="1EA980A5" w14:textId="77777777" w:rsidR="0032585E" w:rsidRPr="007C4D65" w:rsidRDefault="0032585E" w:rsidP="0068355A">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Target value</w:t>
            </w:r>
          </w:p>
        </w:tc>
      </w:tr>
      <w:tr w:rsidR="0032585E" w:rsidRPr="007C4D65" w14:paraId="1B3B4C4A" w14:textId="77777777" w:rsidTr="00076544">
        <w:trPr>
          <w:trHeight w:val="300"/>
        </w:trPr>
        <w:tc>
          <w:tcPr>
            <w:tcW w:w="2254" w:type="dxa"/>
          </w:tcPr>
          <w:p w14:paraId="3CAF9116" w14:textId="54724528" w:rsidR="0032585E" w:rsidRPr="007C4D65" w:rsidRDefault="0032585E" w:rsidP="0068355A">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3.1 </w:t>
            </w:r>
            <w:r w:rsidR="00795F37" w:rsidRPr="007C4D65">
              <w:rPr>
                <w:rFonts w:asciiTheme="minorHAnsi" w:hAnsiTheme="minorHAnsi" w:cstheme="minorHAnsi"/>
                <w:b/>
                <w:sz w:val="18"/>
              </w:rPr>
              <w:t>Improving</w:t>
            </w:r>
            <w:r w:rsidRPr="007C4D65">
              <w:rPr>
                <w:rFonts w:asciiTheme="minorHAnsi" w:hAnsiTheme="minorHAnsi" w:cstheme="minorHAnsi"/>
                <w:b/>
                <w:sz w:val="18"/>
              </w:rPr>
              <w:t xml:space="preserve"> the legal framework </w:t>
            </w:r>
            <w:r w:rsidR="007436F1" w:rsidRPr="007C4D65">
              <w:rPr>
                <w:rFonts w:asciiTheme="minorHAnsi" w:hAnsiTheme="minorHAnsi" w:cstheme="minorHAnsi"/>
                <w:b/>
                <w:sz w:val="18"/>
              </w:rPr>
              <w:t>of the Federation of BiH</w:t>
            </w:r>
            <w:r w:rsidRPr="007C4D65">
              <w:rPr>
                <w:rFonts w:asciiTheme="minorHAnsi" w:hAnsiTheme="minorHAnsi" w:cstheme="minorHAnsi"/>
                <w:b/>
                <w:sz w:val="18"/>
              </w:rPr>
              <w:t xml:space="preserve"> for biodiversity and nature conservation through alignment of the legislation with the EU acquis and international agreements</w:t>
            </w:r>
          </w:p>
        </w:tc>
        <w:tc>
          <w:tcPr>
            <w:tcW w:w="2254" w:type="dxa"/>
          </w:tcPr>
          <w:p w14:paraId="365DD0CF" w14:textId="58A9FD04" w:rsidR="0032585E" w:rsidRPr="007C4D65" w:rsidRDefault="00A945AB" w:rsidP="0068355A">
            <w:pPr>
              <w:spacing w:line="276" w:lineRule="auto"/>
              <w:rPr>
                <w:rFonts w:asciiTheme="minorHAnsi" w:hAnsiTheme="minorHAnsi" w:cstheme="minorHAnsi"/>
                <w:sz w:val="18"/>
                <w:szCs w:val="18"/>
              </w:rPr>
            </w:pPr>
            <w:r w:rsidRPr="007C4D65">
              <w:rPr>
                <w:rFonts w:asciiTheme="minorHAnsi" w:hAnsiTheme="minorHAnsi" w:cstheme="minorHAnsi"/>
                <w:sz w:val="18"/>
              </w:rPr>
              <w:t>Compliance of the legal framework for biodiversity and nature conservation with the EU acquis.</w:t>
            </w:r>
          </w:p>
        </w:tc>
        <w:tc>
          <w:tcPr>
            <w:tcW w:w="2254" w:type="dxa"/>
          </w:tcPr>
          <w:p w14:paraId="48206A8B"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Insufficiently aligned legal framework (2022)</w:t>
            </w:r>
          </w:p>
        </w:tc>
        <w:tc>
          <w:tcPr>
            <w:tcW w:w="2254" w:type="dxa"/>
          </w:tcPr>
          <w:p w14:paraId="1EA42C11" w14:textId="2CB28298"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legal framework </w:t>
            </w:r>
            <w:r w:rsidR="001A2A48" w:rsidRPr="007C4D65">
              <w:rPr>
                <w:rFonts w:asciiTheme="minorHAnsi" w:hAnsiTheme="minorHAnsi" w:cstheme="minorHAnsi"/>
                <w:sz w:val="18"/>
              </w:rPr>
              <w:t>significantly</w:t>
            </w:r>
            <w:r w:rsidRPr="007C4D65">
              <w:rPr>
                <w:rFonts w:asciiTheme="minorHAnsi" w:hAnsiTheme="minorHAnsi" w:cstheme="minorHAnsi"/>
                <w:sz w:val="18"/>
              </w:rPr>
              <w:t xml:space="preserve"> aligned (2025)</w:t>
            </w:r>
          </w:p>
        </w:tc>
      </w:tr>
      <w:tr w:rsidR="0032585E" w:rsidRPr="007C4D65" w14:paraId="4E30D7EA" w14:textId="77777777" w:rsidTr="00076544">
        <w:trPr>
          <w:trHeight w:val="300"/>
        </w:trPr>
        <w:tc>
          <w:tcPr>
            <w:tcW w:w="2254" w:type="dxa"/>
          </w:tcPr>
          <w:p w14:paraId="4CEA6AA1" w14:textId="6346A39E" w:rsidR="0032585E" w:rsidRPr="007C4D65" w:rsidRDefault="0032585E" w:rsidP="0068355A">
            <w:pPr>
              <w:spacing w:line="276" w:lineRule="auto"/>
              <w:rPr>
                <w:rFonts w:asciiTheme="minorHAnsi" w:hAnsiTheme="minorHAnsi" w:cstheme="minorHAnsi"/>
                <w:b/>
                <w:sz w:val="18"/>
                <w:szCs w:val="18"/>
              </w:rPr>
            </w:pPr>
            <w:r w:rsidRPr="007C4D65">
              <w:rPr>
                <w:rFonts w:asciiTheme="minorHAnsi" w:hAnsiTheme="minorHAnsi" w:cstheme="minorHAnsi"/>
                <w:b/>
                <w:sz w:val="18"/>
              </w:rPr>
              <w:t>Priority 3.2 Strengthening the institutions of the Federation of BiH responsible for the implementation of the nature conservation legislation and activities</w:t>
            </w:r>
          </w:p>
        </w:tc>
        <w:tc>
          <w:tcPr>
            <w:tcW w:w="2254" w:type="dxa"/>
          </w:tcPr>
          <w:p w14:paraId="580981B9" w14:textId="446D5538" w:rsidR="0032585E" w:rsidRPr="007C4D65" w:rsidRDefault="00A945AB" w:rsidP="0068355A">
            <w:pPr>
              <w:spacing w:line="276" w:lineRule="auto"/>
              <w:rPr>
                <w:rFonts w:asciiTheme="minorHAnsi" w:hAnsiTheme="minorHAnsi" w:cstheme="minorHAnsi"/>
                <w:sz w:val="18"/>
                <w:szCs w:val="18"/>
              </w:rPr>
            </w:pPr>
            <w:r w:rsidRPr="007C4D65">
              <w:rPr>
                <w:rFonts w:asciiTheme="minorHAnsi" w:hAnsiTheme="minorHAnsi" w:cstheme="minorHAnsi"/>
                <w:sz w:val="18"/>
              </w:rPr>
              <w:t>Capacity building of professional institutions for nature conservation</w:t>
            </w:r>
          </w:p>
        </w:tc>
        <w:tc>
          <w:tcPr>
            <w:tcW w:w="2254" w:type="dxa"/>
          </w:tcPr>
          <w:p w14:paraId="7FC26ADF"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There is no professional institution (2022)</w:t>
            </w:r>
          </w:p>
        </w:tc>
        <w:tc>
          <w:tcPr>
            <w:tcW w:w="2254" w:type="dxa"/>
          </w:tcPr>
          <w:p w14:paraId="608AF6F4"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The professional institution efficiently engaged in nature conservation activities (2039)</w:t>
            </w:r>
          </w:p>
        </w:tc>
      </w:tr>
      <w:tr w:rsidR="0032585E" w:rsidRPr="007C4D65" w14:paraId="54A97958" w14:textId="77777777" w:rsidTr="00076544">
        <w:trPr>
          <w:trHeight w:val="300"/>
        </w:trPr>
        <w:tc>
          <w:tcPr>
            <w:tcW w:w="2254" w:type="dxa"/>
          </w:tcPr>
          <w:p w14:paraId="42D80DB7"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b/>
                <w:sz w:val="18"/>
              </w:rPr>
              <w:t>Priority 3.3 Initiating coordination, communication and reporting on biodiversity and nature conservation in the Federation of BiH</w:t>
            </w:r>
          </w:p>
        </w:tc>
        <w:tc>
          <w:tcPr>
            <w:tcW w:w="2254" w:type="dxa"/>
          </w:tcPr>
          <w:p w14:paraId="7592F9EC"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Integrity of information for reporting on biodiversity from all cantons in BiH achieved</w:t>
            </w:r>
          </w:p>
        </w:tc>
        <w:tc>
          <w:tcPr>
            <w:tcW w:w="2254" w:type="dxa"/>
          </w:tcPr>
          <w:p w14:paraId="228AC7C6"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No institutional channel for the flow and compilation of data on biodiversity in the Federation available (2022)</w:t>
            </w:r>
          </w:p>
        </w:tc>
        <w:tc>
          <w:tcPr>
            <w:tcW w:w="2254" w:type="dxa"/>
          </w:tcPr>
          <w:p w14:paraId="411EC647"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An efficient institutional channel for the flaw of information on biodiversity in the Federation of BiH set up (2030)</w:t>
            </w:r>
          </w:p>
        </w:tc>
      </w:tr>
      <w:tr w:rsidR="0032585E" w:rsidRPr="007C4D65" w14:paraId="347565DC" w14:textId="77777777" w:rsidTr="00076544">
        <w:trPr>
          <w:trHeight w:val="300"/>
        </w:trPr>
        <w:tc>
          <w:tcPr>
            <w:tcW w:w="2254" w:type="dxa"/>
            <w:vMerge w:val="restart"/>
          </w:tcPr>
          <w:p w14:paraId="04A0FFDC" w14:textId="454CB049" w:rsidR="0032585E" w:rsidRPr="007C4D65" w:rsidRDefault="0032585E" w:rsidP="0068355A">
            <w:pPr>
              <w:spacing w:before="240" w:line="276" w:lineRule="auto"/>
              <w:rPr>
                <w:rFonts w:asciiTheme="minorHAnsi" w:hAnsiTheme="minorHAnsi" w:cstheme="minorHAnsi"/>
                <w:sz w:val="18"/>
                <w:szCs w:val="18"/>
              </w:rPr>
            </w:pPr>
            <w:r w:rsidRPr="007C4D65">
              <w:rPr>
                <w:rFonts w:asciiTheme="minorHAnsi" w:hAnsiTheme="minorHAnsi" w:cstheme="minorHAnsi"/>
                <w:b/>
                <w:sz w:val="18"/>
              </w:rPr>
              <w:t xml:space="preserve">Priority 3.4 </w:t>
            </w:r>
            <w:r w:rsidR="00D67C85" w:rsidRPr="007C4D65">
              <w:rPr>
                <w:rFonts w:asciiTheme="minorHAnsi" w:hAnsiTheme="minorHAnsi" w:cstheme="minorHAnsi"/>
                <w:b/>
                <w:sz w:val="18"/>
              </w:rPr>
              <w:t>Initiate monitoring of the state and biodiversity/nature conservation in the Federation of BiH in compliance with the standards of the EU acquis</w:t>
            </w:r>
          </w:p>
        </w:tc>
        <w:tc>
          <w:tcPr>
            <w:tcW w:w="2254" w:type="dxa"/>
          </w:tcPr>
          <w:p w14:paraId="2F845B10"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system for routine monitoring of the state of species, habitats, and protected areas is up and running   </w:t>
            </w:r>
          </w:p>
        </w:tc>
        <w:tc>
          <w:tcPr>
            <w:tcW w:w="2254" w:type="dxa"/>
          </w:tcPr>
          <w:p w14:paraId="03A63AE0"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No system for routine monitoring of the state of species, habitats, and protected areas has been put in place.</w:t>
            </w:r>
          </w:p>
        </w:tc>
        <w:tc>
          <w:tcPr>
            <w:tcW w:w="2254" w:type="dxa"/>
          </w:tcPr>
          <w:p w14:paraId="1B2D507C"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The system for routine monitoring of the state of species, habitats, and protected areas is up and running (2029)</w:t>
            </w:r>
          </w:p>
        </w:tc>
      </w:tr>
      <w:tr w:rsidR="0032585E" w:rsidRPr="007C4D65" w14:paraId="23359626" w14:textId="77777777" w:rsidTr="00076544">
        <w:trPr>
          <w:trHeight w:val="300"/>
        </w:trPr>
        <w:tc>
          <w:tcPr>
            <w:tcW w:w="2254" w:type="dxa"/>
            <w:vMerge/>
          </w:tcPr>
          <w:p w14:paraId="16D18756" w14:textId="77777777" w:rsidR="0032585E" w:rsidRPr="007C4D65" w:rsidRDefault="0032585E" w:rsidP="0068355A">
            <w:pPr>
              <w:spacing w:line="276" w:lineRule="auto"/>
              <w:rPr>
                <w:rFonts w:asciiTheme="minorHAnsi" w:hAnsiTheme="minorHAnsi" w:cstheme="minorHAnsi"/>
                <w:b/>
                <w:sz w:val="18"/>
                <w:szCs w:val="18"/>
              </w:rPr>
            </w:pPr>
          </w:p>
        </w:tc>
        <w:tc>
          <w:tcPr>
            <w:tcW w:w="2254" w:type="dxa"/>
          </w:tcPr>
          <w:p w14:paraId="7F419C9F" w14:textId="1E5CB238" w:rsidR="0032585E" w:rsidRPr="007C4D65" w:rsidRDefault="00A945AB" w:rsidP="0068355A">
            <w:pPr>
              <w:spacing w:line="276" w:lineRule="auto"/>
              <w:rPr>
                <w:rFonts w:asciiTheme="minorHAnsi" w:hAnsiTheme="minorHAnsi" w:cstheme="minorHAnsi"/>
                <w:sz w:val="18"/>
                <w:szCs w:val="18"/>
              </w:rPr>
            </w:pPr>
            <w:r w:rsidRPr="007C4D65">
              <w:rPr>
                <w:rFonts w:asciiTheme="minorHAnsi" w:hAnsiTheme="minorHAnsi" w:cstheme="minorHAnsi"/>
                <w:sz w:val="18"/>
              </w:rPr>
              <w:t>Development of technical and human capacities for professional tasks of monitoring and nature conservation</w:t>
            </w:r>
          </w:p>
        </w:tc>
        <w:tc>
          <w:tcPr>
            <w:tcW w:w="2254" w:type="dxa"/>
          </w:tcPr>
          <w:p w14:paraId="13226A50"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Minimum technical capacities for monitoring and nature conservation available (2022) </w:t>
            </w:r>
          </w:p>
        </w:tc>
        <w:tc>
          <w:tcPr>
            <w:tcW w:w="2254" w:type="dxa"/>
          </w:tcPr>
          <w:p w14:paraId="2A553DEE" w14:textId="7973E5BE"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available technical capacities for monitoring and nature conservation increased to </w:t>
            </w:r>
            <w:r w:rsidR="001A2A48" w:rsidRPr="007C4D65">
              <w:rPr>
                <w:rFonts w:asciiTheme="minorHAnsi" w:hAnsiTheme="minorHAnsi" w:cstheme="minorHAnsi"/>
                <w:sz w:val="18"/>
              </w:rPr>
              <w:t>meet</w:t>
            </w:r>
            <w:r w:rsidRPr="007C4D65">
              <w:rPr>
                <w:rFonts w:asciiTheme="minorHAnsi" w:hAnsiTheme="minorHAnsi" w:cstheme="minorHAnsi"/>
                <w:sz w:val="18"/>
              </w:rPr>
              <w:t xml:space="preserve"> the needs (2029)</w:t>
            </w:r>
          </w:p>
        </w:tc>
      </w:tr>
      <w:tr w:rsidR="0032585E" w:rsidRPr="007C4D65" w14:paraId="55392F59" w14:textId="77777777" w:rsidTr="00076544">
        <w:trPr>
          <w:trHeight w:val="2556"/>
        </w:trPr>
        <w:tc>
          <w:tcPr>
            <w:tcW w:w="2254" w:type="dxa"/>
          </w:tcPr>
          <w:p w14:paraId="59CDFC9B"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b/>
                <w:sz w:val="18"/>
              </w:rPr>
              <w:lastRenderedPageBreak/>
              <w:t>Priority 3.5 Produce an inventory of biodiversity of the Federation of BiH at the ecosystem, species and genetic level</w:t>
            </w:r>
          </w:p>
        </w:tc>
        <w:tc>
          <w:tcPr>
            <w:tcW w:w="2254" w:type="dxa"/>
          </w:tcPr>
          <w:p w14:paraId="4E60A71E" w14:textId="64387257" w:rsidR="0032585E" w:rsidRPr="007C4D65" w:rsidRDefault="00A945AB"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Inventory of biodiversity of the Federation of BiH </w:t>
            </w:r>
            <w:r w:rsidR="001A2A48" w:rsidRPr="007C4D65">
              <w:rPr>
                <w:rFonts w:asciiTheme="minorHAnsi" w:hAnsiTheme="minorHAnsi" w:cstheme="minorHAnsi"/>
                <w:sz w:val="18"/>
              </w:rPr>
              <w:t>covers</w:t>
            </w:r>
            <w:r w:rsidRPr="007C4D65">
              <w:rPr>
                <w:rFonts w:asciiTheme="minorHAnsi" w:hAnsiTheme="minorHAnsi" w:cstheme="minorHAnsi"/>
                <w:sz w:val="18"/>
              </w:rPr>
              <w:t xml:space="preserve"> the ecosystem, species and genetic level  </w:t>
            </w:r>
          </w:p>
        </w:tc>
        <w:tc>
          <w:tcPr>
            <w:tcW w:w="2254" w:type="dxa"/>
          </w:tcPr>
          <w:p w14:paraId="6CF7F772"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The inventory of flora, fauna, fungi, migratory birds, and invasive species, ecosystems/habitats and genetical diversity of the Federation has not been completed (2022)</w:t>
            </w:r>
          </w:p>
        </w:tc>
        <w:tc>
          <w:tcPr>
            <w:tcW w:w="2254" w:type="dxa"/>
          </w:tcPr>
          <w:p w14:paraId="7FDCD08A" w14:textId="64874CD8"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Studies of the inventory of flora, fauna, fungi, migratory birds, and invasive species, ecosystems/habitats and genetical diversity of the Federation completed (2029)</w:t>
            </w:r>
          </w:p>
        </w:tc>
      </w:tr>
      <w:tr w:rsidR="0032585E" w:rsidRPr="007C4D65" w14:paraId="785264B3" w14:textId="77777777" w:rsidTr="00076544">
        <w:trPr>
          <w:trHeight w:val="300"/>
        </w:trPr>
        <w:tc>
          <w:tcPr>
            <w:tcW w:w="2254" w:type="dxa"/>
          </w:tcPr>
          <w:p w14:paraId="0DDA54DC"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b/>
                <w:sz w:val="18"/>
              </w:rPr>
              <w:t>Priority 3.6 Integrate the ecologically significant areas into a single network which makes up 17% of the territory of the Federation of BiH</w:t>
            </w:r>
          </w:p>
        </w:tc>
        <w:tc>
          <w:tcPr>
            <w:tcW w:w="2254" w:type="dxa"/>
          </w:tcPr>
          <w:p w14:paraId="0BF62224" w14:textId="1D5A7AE4" w:rsidR="0032585E" w:rsidRPr="007C4D65" w:rsidRDefault="005D3B21" w:rsidP="0068355A">
            <w:pPr>
              <w:spacing w:line="276" w:lineRule="auto"/>
              <w:rPr>
                <w:rFonts w:asciiTheme="minorHAnsi" w:hAnsiTheme="minorHAnsi" w:cstheme="minorHAnsi"/>
                <w:sz w:val="18"/>
                <w:szCs w:val="18"/>
              </w:rPr>
            </w:pPr>
            <w:r w:rsidRPr="007C4D65">
              <w:rPr>
                <w:rFonts w:asciiTheme="minorHAnsi" w:hAnsiTheme="minorHAnsi" w:cstheme="minorHAnsi"/>
                <w:sz w:val="18"/>
              </w:rPr>
              <w:t>Integration of the ecologically important areas</w:t>
            </w:r>
          </w:p>
        </w:tc>
        <w:tc>
          <w:tcPr>
            <w:tcW w:w="2254" w:type="dxa"/>
          </w:tcPr>
          <w:p w14:paraId="7C88649D"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The ecologically important areas are not integrated in the ecological network of the Federation of BiH (2022)</w:t>
            </w:r>
          </w:p>
        </w:tc>
        <w:tc>
          <w:tcPr>
            <w:tcW w:w="2254" w:type="dxa"/>
          </w:tcPr>
          <w:p w14:paraId="1788DB51" w14:textId="38183642"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Ecological </w:t>
            </w:r>
            <w:r w:rsidR="001A2A48" w:rsidRPr="007C4D65">
              <w:rPr>
                <w:rFonts w:asciiTheme="minorHAnsi" w:hAnsiTheme="minorHAnsi" w:cstheme="minorHAnsi"/>
                <w:sz w:val="18"/>
              </w:rPr>
              <w:t>corridors</w:t>
            </w:r>
            <w:r w:rsidRPr="007C4D65">
              <w:rPr>
                <w:rFonts w:asciiTheme="minorHAnsi" w:hAnsiTheme="minorHAnsi" w:cstheme="minorHAnsi"/>
                <w:sz w:val="18"/>
              </w:rPr>
              <w:t xml:space="preserve"> which link the ecologically important areas of the Federation of BiH established (2030+)</w:t>
            </w:r>
          </w:p>
        </w:tc>
      </w:tr>
      <w:tr w:rsidR="0032585E" w:rsidRPr="007C4D65" w14:paraId="2EB061C4" w14:textId="77777777" w:rsidTr="00076544">
        <w:trPr>
          <w:trHeight w:val="300"/>
        </w:trPr>
        <w:tc>
          <w:tcPr>
            <w:tcW w:w="2254" w:type="dxa"/>
            <w:vMerge w:val="restart"/>
          </w:tcPr>
          <w:p w14:paraId="0BEE22AA" w14:textId="32E9B2EC"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b/>
                <w:sz w:val="18"/>
              </w:rPr>
              <w:t xml:space="preserve">Priority 3.7 Improve the </w:t>
            </w:r>
            <w:r w:rsidR="00007DA5" w:rsidRPr="007C4D65">
              <w:rPr>
                <w:rFonts w:asciiTheme="minorHAnsi" w:hAnsiTheme="minorHAnsi" w:cstheme="minorHAnsi"/>
                <w:b/>
                <w:sz w:val="18"/>
              </w:rPr>
              <w:t>cross-sectoral</w:t>
            </w:r>
            <w:r w:rsidRPr="007C4D65">
              <w:rPr>
                <w:rFonts w:asciiTheme="minorHAnsi" w:hAnsiTheme="minorHAnsi" w:cstheme="minorHAnsi"/>
                <w:b/>
                <w:sz w:val="18"/>
              </w:rPr>
              <w:t xml:space="preserve"> cooperation and political support in the Federation of BiH for integration of biodiversity protection into sectoral policies and legislation</w:t>
            </w:r>
          </w:p>
        </w:tc>
        <w:tc>
          <w:tcPr>
            <w:tcW w:w="2254" w:type="dxa"/>
          </w:tcPr>
          <w:p w14:paraId="49B47C25"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Number of sectoral programmes with the component of active nature conservation</w:t>
            </w:r>
          </w:p>
        </w:tc>
        <w:tc>
          <w:tcPr>
            <w:tcW w:w="2254" w:type="dxa"/>
          </w:tcPr>
          <w:p w14:paraId="2C0B6D9C"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The number of sectoral programmes with the component of active nature conservation is unsatisfactory (2022)</w:t>
            </w:r>
          </w:p>
        </w:tc>
        <w:tc>
          <w:tcPr>
            <w:tcW w:w="2254" w:type="dxa"/>
            <w:vMerge w:val="restart"/>
          </w:tcPr>
          <w:p w14:paraId="4D78CF2A"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Nature conservation outside of the protected areas implemented through sectoral programmes and projects (2030)</w:t>
            </w:r>
          </w:p>
        </w:tc>
      </w:tr>
      <w:tr w:rsidR="0032585E" w:rsidRPr="007C4D65" w14:paraId="4CD87706" w14:textId="77777777" w:rsidTr="00076544">
        <w:trPr>
          <w:trHeight w:val="300"/>
        </w:trPr>
        <w:tc>
          <w:tcPr>
            <w:tcW w:w="2254" w:type="dxa"/>
            <w:vMerge/>
          </w:tcPr>
          <w:p w14:paraId="3FA35812" w14:textId="77777777" w:rsidR="0032585E" w:rsidRPr="007C4D65" w:rsidRDefault="0032585E" w:rsidP="0068355A">
            <w:pPr>
              <w:spacing w:line="276" w:lineRule="auto"/>
              <w:rPr>
                <w:rFonts w:asciiTheme="minorHAnsi" w:hAnsiTheme="minorHAnsi" w:cstheme="minorHAnsi"/>
                <w:b/>
                <w:sz w:val="18"/>
                <w:szCs w:val="18"/>
              </w:rPr>
            </w:pPr>
          </w:p>
        </w:tc>
        <w:tc>
          <w:tcPr>
            <w:tcW w:w="2254" w:type="dxa"/>
          </w:tcPr>
          <w:p w14:paraId="78768965" w14:textId="33294CB4" w:rsidR="0032585E" w:rsidRPr="007C4D65" w:rsidRDefault="005D3B21" w:rsidP="0068355A">
            <w:pPr>
              <w:spacing w:line="276" w:lineRule="auto"/>
              <w:rPr>
                <w:rFonts w:asciiTheme="minorHAnsi" w:hAnsiTheme="minorHAnsi" w:cstheme="minorHAnsi"/>
                <w:sz w:val="18"/>
                <w:szCs w:val="18"/>
              </w:rPr>
            </w:pPr>
            <w:r w:rsidRPr="007C4D65">
              <w:rPr>
                <w:rFonts w:asciiTheme="minorHAnsi" w:hAnsiTheme="minorHAnsi" w:cstheme="minorHAnsi"/>
                <w:sz w:val="18"/>
              </w:rPr>
              <w:t>Level of integration of nature conservation in the sectoral legislation</w:t>
            </w:r>
          </w:p>
        </w:tc>
        <w:tc>
          <w:tcPr>
            <w:tcW w:w="2254" w:type="dxa"/>
          </w:tcPr>
          <w:p w14:paraId="7681E63E"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Nature conservation insufficiently integrated in sectoral legislation (2022)</w:t>
            </w:r>
          </w:p>
        </w:tc>
        <w:tc>
          <w:tcPr>
            <w:tcW w:w="2254" w:type="dxa"/>
            <w:vMerge/>
          </w:tcPr>
          <w:p w14:paraId="706AD0C8" w14:textId="77777777" w:rsidR="0032585E" w:rsidRPr="007C4D65" w:rsidRDefault="0032585E" w:rsidP="0068355A">
            <w:pPr>
              <w:spacing w:line="276" w:lineRule="auto"/>
              <w:rPr>
                <w:rFonts w:asciiTheme="minorHAnsi" w:hAnsiTheme="minorHAnsi" w:cstheme="minorHAnsi"/>
                <w:sz w:val="18"/>
                <w:szCs w:val="18"/>
              </w:rPr>
            </w:pPr>
          </w:p>
        </w:tc>
      </w:tr>
      <w:tr w:rsidR="0032585E" w:rsidRPr="007C4D65" w14:paraId="4FDC0DB6" w14:textId="77777777" w:rsidTr="00076544">
        <w:trPr>
          <w:trHeight w:val="300"/>
        </w:trPr>
        <w:tc>
          <w:tcPr>
            <w:tcW w:w="2254" w:type="dxa"/>
            <w:vMerge w:val="restart"/>
          </w:tcPr>
          <w:p w14:paraId="275B1073" w14:textId="4049D6D2" w:rsidR="0032585E" w:rsidRPr="007C4D65" w:rsidRDefault="0032585E" w:rsidP="0068355A">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3.8 Strengthen the science-based </w:t>
            </w:r>
            <w:r w:rsidR="009F16BA" w:rsidRPr="007C4D65">
              <w:rPr>
                <w:rFonts w:asciiTheme="minorHAnsi" w:hAnsiTheme="minorHAnsi" w:cstheme="minorHAnsi"/>
                <w:b/>
                <w:sz w:val="18"/>
              </w:rPr>
              <w:t xml:space="preserve">decision-making  </w:t>
            </w:r>
            <w:r w:rsidRPr="007C4D65">
              <w:rPr>
                <w:rFonts w:asciiTheme="minorHAnsi" w:hAnsiTheme="minorHAnsi" w:cstheme="minorHAnsi"/>
                <w:b/>
                <w:sz w:val="18"/>
              </w:rPr>
              <w:t xml:space="preserve"> on biodiversity/nature through a dialog between the </w:t>
            </w:r>
            <w:r w:rsidR="00795F37" w:rsidRPr="007C4D65">
              <w:rPr>
                <w:rFonts w:asciiTheme="minorHAnsi" w:hAnsiTheme="minorHAnsi" w:cstheme="minorHAnsi"/>
                <w:b/>
                <w:sz w:val="18"/>
              </w:rPr>
              <w:t>scientific</w:t>
            </w:r>
            <w:r w:rsidRPr="007C4D65">
              <w:rPr>
                <w:rFonts w:asciiTheme="minorHAnsi" w:hAnsiTheme="minorHAnsi" w:cstheme="minorHAnsi"/>
                <w:b/>
                <w:sz w:val="18"/>
              </w:rPr>
              <w:t xml:space="preserve"> community and decision makers</w:t>
            </w:r>
          </w:p>
          <w:p w14:paraId="6B92DB80" w14:textId="77777777" w:rsidR="0032585E" w:rsidRPr="007C4D65" w:rsidRDefault="0032585E" w:rsidP="0068355A">
            <w:pPr>
              <w:spacing w:line="276" w:lineRule="auto"/>
              <w:rPr>
                <w:rFonts w:asciiTheme="minorHAnsi" w:hAnsiTheme="minorHAnsi" w:cstheme="minorHAnsi"/>
                <w:b/>
                <w:sz w:val="18"/>
                <w:szCs w:val="18"/>
              </w:rPr>
            </w:pPr>
          </w:p>
        </w:tc>
        <w:tc>
          <w:tcPr>
            <w:tcW w:w="2254" w:type="dxa"/>
          </w:tcPr>
          <w:p w14:paraId="7BFBA187" w14:textId="32FB8E6F" w:rsidR="0032585E" w:rsidRPr="007C4D65" w:rsidRDefault="005D3B21"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Use of multidisciplinary analyses and </w:t>
            </w:r>
            <w:r w:rsidR="00795F37" w:rsidRPr="007C4D65">
              <w:rPr>
                <w:rFonts w:asciiTheme="minorHAnsi" w:hAnsiTheme="minorHAnsi" w:cstheme="minorHAnsi"/>
                <w:sz w:val="18"/>
              </w:rPr>
              <w:t>scenario</w:t>
            </w:r>
            <w:r w:rsidRPr="007C4D65">
              <w:rPr>
                <w:rFonts w:asciiTheme="minorHAnsi" w:hAnsiTheme="minorHAnsi" w:cstheme="minorHAnsi"/>
                <w:sz w:val="18"/>
              </w:rPr>
              <w:t xml:space="preserve"> in </w:t>
            </w:r>
            <w:r w:rsidR="009F16BA" w:rsidRPr="007C4D65">
              <w:rPr>
                <w:rFonts w:asciiTheme="minorHAnsi" w:hAnsiTheme="minorHAnsi" w:cstheme="minorHAnsi"/>
                <w:sz w:val="18"/>
              </w:rPr>
              <w:t xml:space="preserve">decision-making  </w:t>
            </w:r>
          </w:p>
        </w:tc>
        <w:tc>
          <w:tcPr>
            <w:tcW w:w="2254" w:type="dxa"/>
          </w:tcPr>
          <w:p w14:paraId="7F70A4C3" w14:textId="02175A26"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Scientific data are not sufficiently used in </w:t>
            </w:r>
            <w:r w:rsidR="009F16BA" w:rsidRPr="007C4D65">
              <w:rPr>
                <w:rFonts w:asciiTheme="minorHAnsi" w:hAnsiTheme="minorHAnsi" w:cstheme="minorHAnsi"/>
                <w:sz w:val="18"/>
              </w:rPr>
              <w:t xml:space="preserve">decision-making  </w:t>
            </w:r>
            <w:r w:rsidRPr="007C4D65">
              <w:rPr>
                <w:rFonts w:asciiTheme="minorHAnsi" w:hAnsiTheme="minorHAnsi" w:cstheme="minorHAnsi"/>
                <w:sz w:val="18"/>
              </w:rPr>
              <w:t xml:space="preserve"> processes (2022)</w:t>
            </w:r>
          </w:p>
        </w:tc>
        <w:tc>
          <w:tcPr>
            <w:tcW w:w="2254" w:type="dxa"/>
          </w:tcPr>
          <w:p w14:paraId="1F6DBC43" w14:textId="30DA15DF"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Scientific data, analyses, and </w:t>
            </w:r>
            <w:r w:rsidR="00795F37" w:rsidRPr="007C4D65">
              <w:rPr>
                <w:rFonts w:asciiTheme="minorHAnsi" w:hAnsiTheme="minorHAnsi" w:cstheme="minorHAnsi"/>
                <w:sz w:val="18"/>
              </w:rPr>
              <w:t>scenario</w:t>
            </w:r>
            <w:r w:rsidRPr="007C4D65">
              <w:rPr>
                <w:rFonts w:asciiTheme="minorHAnsi" w:hAnsiTheme="minorHAnsi" w:cstheme="minorHAnsi"/>
                <w:sz w:val="18"/>
              </w:rPr>
              <w:t xml:space="preserve"> are the basis for </w:t>
            </w:r>
            <w:r w:rsidR="009F16BA" w:rsidRPr="007C4D65">
              <w:rPr>
                <w:rFonts w:asciiTheme="minorHAnsi" w:hAnsiTheme="minorHAnsi" w:cstheme="minorHAnsi"/>
                <w:sz w:val="18"/>
              </w:rPr>
              <w:t xml:space="preserve">decision-making  </w:t>
            </w:r>
          </w:p>
        </w:tc>
      </w:tr>
      <w:tr w:rsidR="0032585E" w:rsidRPr="007C4D65" w14:paraId="551A1EA0" w14:textId="77777777" w:rsidTr="00076544">
        <w:trPr>
          <w:trHeight w:val="300"/>
        </w:trPr>
        <w:tc>
          <w:tcPr>
            <w:tcW w:w="2254" w:type="dxa"/>
            <w:vMerge/>
          </w:tcPr>
          <w:p w14:paraId="4806E1DF" w14:textId="77777777" w:rsidR="0032585E" w:rsidRPr="007C4D65" w:rsidRDefault="0032585E" w:rsidP="0068355A">
            <w:pPr>
              <w:spacing w:line="276" w:lineRule="auto"/>
              <w:rPr>
                <w:rFonts w:asciiTheme="minorHAnsi" w:hAnsiTheme="minorHAnsi" w:cstheme="minorHAnsi"/>
                <w:b/>
                <w:sz w:val="18"/>
                <w:szCs w:val="18"/>
              </w:rPr>
            </w:pPr>
          </w:p>
        </w:tc>
        <w:tc>
          <w:tcPr>
            <w:tcW w:w="2254" w:type="dxa"/>
          </w:tcPr>
          <w:p w14:paraId="4B141149"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Number of events organised for information sharing between academia and policy makers</w:t>
            </w:r>
          </w:p>
        </w:tc>
        <w:tc>
          <w:tcPr>
            <w:tcW w:w="2254" w:type="dxa"/>
          </w:tcPr>
          <w:p w14:paraId="5BE7FF3A" w14:textId="7F9FB162"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Platform for information sharing </w:t>
            </w:r>
            <w:r w:rsidR="00795F37" w:rsidRPr="007C4D65">
              <w:rPr>
                <w:rFonts w:asciiTheme="minorHAnsi" w:hAnsiTheme="minorHAnsi" w:cstheme="minorHAnsi"/>
                <w:sz w:val="18"/>
              </w:rPr>
              <w:t>between</w:t>
            </w:r>
            <w:r w:rsidRPr="007C4D65">
              <w:rPr>
                <w:rFonts w:asciiTheme="minorHAnsi" w:hAnsiTheme="minorHAnsi" w:cstheme="minorHAnsi"/>
                <w:sz w:val="18"/>
              </w:rPr>
              <w:t xml:space="preserve"> </w:t>
            </w:r>
            <w:r w:rsidR="00795F37" w:rsidRPr="007C4D65">
              <w:rPr>
                <w:rFonts w:asciiTheme="minorHAnsi" w:hAnsiTheme="minorHAnsi" w:cstheme="minorHAnsi"/>
                <w:sz w:val="18"/>
              </w:rPr>
              <w:t>academia</w:t>
            </w:r>
            <w:r w:rsidRPr="007C4D65">
              <w:rPr>
                <w:rFonts w:asciiTheme="minorHAnsi" w:hAnsiTheme="minorHAnsi" w:cstheme="minorHAnsi"/>
                <w:sz w:val="18"/>
              </w:rPr>
              <w:t xml:space="preserve"> and policy makers</w:t>
            </w:r>
          </w:p>
        </w:tc>
        <w:tc>
          <w:tcPr>
            <w:tcW w:w="2254" w:type="dxa"/>
          </w:tcPr>
          <w:p w14:paraId="6E372883"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A continued dialogue between academia and policy makers (2030)</w:t>
            </w:r>
          </w:p>
        </w:tc>
      </w:tr>
      <w:tr w:rsidR="0032585E" w:rsidRPr="007C4D65" w14:paraId="39FF577D" w14:textId="77777777" w:rsidTr="00076544">
        <w:trPr>
          <w:trHeight w:val="300"/>
        </w:trPr>
        <w:tc>
          <w:tcPr>
            <w:tcW w:w="2254" w:type="dxa"/>
            <w:vMerge w:val="restart"/>
          </w:tcPr>
          <w:p w14:paraId="6615D5D6" w14:textId="77777777" w:rsidR="0032585E" w:rsidRPr="007C4D65" w:rsidRDefault="0032585E" w:rsidP="0068355A">
            <w:pPr>
              <w:spacing w:line="276" w:lineRule="auto"/>
              <w:rPr>
                <w:rFonts w:asciiTheme="minorHAnsi" w:hAnsiTheme="minorHAnsi" w:cstheme="minorHAnsi"/>
                <w:b/>
                <w:sz w:val="18"/>
                <w:szCs w:val="18"/>
              </w:rPr>
            </w:pPr>
            <w:r w:rsidRPr="007C4D65">
              <w:rPr>
                <w:rFonts w:asciiTheme="minorHAnsi" w:hAnsiTheme="minorHAnsi" w:cstheme="minorHAnsi"/>
                <w:b/>
                <w:sz w:val="18"/>
              </w:rPr>
              <w:t>Priority 3.9 Raising ecological awareness on biodiversity, nature conservation and ecosystem services</w:t>
            </w:r>
          </w:p>
        </w:tc>
        <w:tc>
          <w:tcPr>
            <w:tcW w:w="2254" w:type="dxa"/>
          </w:tcPr>
          <w:p w14:paraId="6EB95A4A"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Level of awareness among the population in the Federation of BiH</w:t>
            </w:r>
          </w:p>
        </w:tc>
        <w:tc>
          <w:tcPr>
            <w:tcW w:w="2254" w:type="dxa"/>
          </w:tcPr>
          <w:p w14:paraId="57C9CA22"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Ecological awareness is poor (2022)</w:t>
            </w:r>
          </w:p>
        </w:tc>
        <w:tc>
          <w:tcPr>
            <w:tcW w:w="2254" w:type="dxa"/>
          </w:tcPr>
          <w:p w14:paraId="735C60ED"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Strong ecological awareness</w:t>
            </w:r>
          </w:p>
        </w:tc>
      </w:tr>
      <w:tr w:rsidR="0032585E" w:rsidRPr="007C4D65" w14:paraId="797BAB49" w14:textId="77777777" w:rsidTr="00076544">
        <w:trPr>
          <w:trHeight w:val="300"/>
        </w:trPr>
        <w:tc>
          <w:tcPr>
            <w:tcW w:w="2254" w:type="dxa"/>
            <w:vMerge/>
          </w:tcPr>
          <w:p w14:paraId="13CC25C3" w14:textId="77777777" w:rsidR="0032585E" w:rsidRPr="007C4D65" w:rsidRDefault="0032585E" w:rsidP="0068355A">
            <w:pPr>
              <w:spacing w:line="276" w:lineRule="auto"/>
              <w:rPr>
                <w:rFonts w:asciiTheme="minorHAnsi" w:hAnsiTheme="minorHAnsi" w:cstheme="minorHAnsi"/>
                <w:b/>
                <w:sz w:val="18"/>
                <w:szCs w:val="18"/>
              </w:rPr>
            </w:pPr>
          </w:p>
        </w:tc>
        <w:tc>
          <w:tcPr>
            <w:tcW w:w="2254" w:type="dxa"/>
          </w:tcPr>
          <w:p w14:paraId="19D16B08"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Level of promotion of values and benefits from local biodiversity  </w:t>
            </w:r>
          </w:p>
        </w:tc>
        <w:tc>
          <w:tcPr>
            <w:tcW w:w="2254" w:type="dxa"/>
          </w:tcPr>
          <w:p w14:paraId="1203C66F"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promotion </w:t>
            </w:r>
            <w:proofErr w:type="gramStart"/>
            <w:r w:rsidRPr="007C4D65">
              <w:rPr>
                <w:rFonts w:asciiTheme="minorHAnsi" w:hAnsiTheme="minorHAnsi" w:cstheme="minorHAnsi"/>
                <w:sz w:val="18"/>
              </w:rPr>
              <w:t>of  the</w:t>
            </w:r>
            <w:proofErr w:type="gramEnd"/>
            <w:r w:rsidRPr="007C4D65">
              <w:rPr>
                <w:rFonts w:asciiTheme="minorHAnsi" w:hAnsiTheme="minorHAnsi" w:cstheme="minorHAnsi"/>
                <w:sz w:val="18"/>
              </w:rPr>
              <w:t xml:space="preserve"> of values and benefits from local biodiversity is poor (2022)</w:t>
            </w:r>
          </w:p>
        </w:tc>
        <w:tc>
          <w:tcPr>
            <w:tcW w:w="2254" w:type="dxa"/>
          </w:tcPr>
          <w:p w14:paraId="35E05077"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The population acknowledges the of values and benefits from local biodiversity (2030)</w:t>
            </w:r>
          </w:p>
        </w:tc>
      </w:tr>
      <w:tr w:rsidR="0032585E" w:rsidRPr="007C4D65" w14:paraId="029CB1C7" w14:textId="77777777" w:rsidTr="00076544">
        <w:trPr>
          <w:trHeight w:val="1321"/>
        </w:trPr>
        <w:tc>
          <w:tcPr>
            <w:tcW w:w="2254" w:type="dxa"/>
          </w:tcPr>
          <w:p w14:paraId="1867095B" w14:textId="658C9213" w:rsidR="0032585E" w:rsidRPr="007C4D65" w:rsidRDefault="0032585E" w:rsidP="0068355A">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3.10 Mobilise both local and international funds for biodiversity </w:t>
            </w:r>
            <w:r w:rsidR="007436F1" w:rsidRPr="007C4D65">
              <w:rPr>
                <w:rFonts w:asciiTheme="minorHAnsi" w:hAnsiTheme="minorHAnsi" w:cstheme="minorHAnsi"/>
                <w:b/>
                <w:sz w:val="18"/>
              </w:rPr>
              <w:t>of the Federation of BiH</w:t>
            </w:r>
          </w:p>
        </w:tc>
        <w:tc>
          <w:tcPr>
            <w:tcW w:w="2254" w:type="dxa"/>
          </w:tcPr>
          <w:p w14:paraId="43DEA906"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Amount of secured funds dedicated for biodiversity/nature conservation</w:t>
            </w:r>
          </w:p>
        </w:tc>
        <w:tc>
          <w:tcPr>
            <w:tcW w:w="2254" w:type="dxa"/>
          </w:tcPr>
          <w:p w14:paraId="50071129"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The amounts of funds for biodiversity/nature conservation are low (2022)</w:t>
            </w:r>
          </w:p>
        </w:tc>
        <w:tc>
          <w:tcPr>
            <w:tcW w:w="2254" w:type="dxa"/>
          </w:tcPr>
          <w:p w14:paraId="3A2A44C3" w14:textId="77777777" w:rsidR="0032585E" w:rsidRPr="007C4D65" w:rsidRDefault="0032585E" w:rsidP="0068355A">
            <w:pPr>
              <w:spacing w:line="276" w:lineRule="auto"/>
              <w:rPr>
                <w:rFonts w:asciiTheme="minorHAnsi" w:hAnsiTheme="minorHAnsi" w:cstheme="minorHAnsi"/>
                <w:sz w:val="18"/>
                <w:szCs w:val="18"/>
              </w:rPr>
            </w:pPr>
            <w:r w:rsidRPr="007C4D65">
              <w:rPr>
                <w:rFonts w:asciiTheme="minorHAnsi" w:hAnsiTheme="minorHAnsi" w:cstheme="minorHAnsi"/>
                <w:sz w:val="18"/>
              </w:rPr>
              <w:t>Funds for biodiversity/nature conservation exponentially increased (2030)</w:t>
            </w:r>
          </w:p>
        </w:tc>
      </w:tr>
      <w:bookmarkEnd w:id="117"/>
    </w:tbl>
    <w:p w14:paraId="505CD6F7" w14:textId="77777777" w:rsidR="00597D54" w:rsidRPr="007C4D65" w:rsidRDefault="00597D54" w:rsidP="0068355A">
      <w:pPr>
        <w:spacing w:line="276" w:lineRule="auto"/>
        <w:rPr>
          <w:rFonts w:asciiTheme="minorHAnsi" w:hAnsiTheme="minorHAnsi" w:cstheme="minorHAnsi"/>
        </w:rPr>
      </w:pPr>
    </w:p>
    <w:p w14:paraId="2FB3BB6E" w14:textId="70477117" w:rsidR="0032585E" w:rsidRPr="007C4D65" w:rsidRDefault="00597D54">
      <w:pPr>
        <w:pStyle w:val="Head3"/>
        <w:spacing w:line="276" w:lineRule="auto"/>
        <w:rPr>
          <w:rFonts w:asciiTheme="minorHAnsi" w:hAnsiTheme="minorHAnsi"/>
        </w:rPr>
      </w:pPr>
      <w:bookmarkStart w:id="118" w:name="_Toc117445345"/>
      <w:r w:rsidRPr="007C4D65">
        <w:rPr>
          <w:rFonts w:asciiTheme="minorHAnsi" w:hAnsiTheme="minorHAnsi"/>
        </w:rPr>
        <w:t>Description of Measures</w:t>
      </w:r>
      <w:bookmarkEnd w:id="118"/>
    </w:p>
    <w:p w14:paraId="1D2A451A" w14:textId="77777777"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This strategic goal comprises 10 priorities, and 24 measures logically allocated to associated priorities to facilitate their implementation, and the implementation of the strategic goal as such.</w:t>
      </w:r>
    </w:p>
    <w:p w14:paraId="79A9BDA0" w14:textId="12CA0AD1" w:rsidR="0032585E" w:rsidRPr="007C4D65" w:rsidRDefault="0032585E" w:rsidP="0068355A">
      <w:pPr>
        <w:spacing w:before="240" w:after="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lastRenderedPageBreak/>
        <w:t xml:space="preserve">Priority 3.1: </w:t>
      </w:r>
      <w:r w:rsidR="007508AB" w:rsidRPr="007C4D65">
        <w:rPr>
          <w:rFonts w:asciiTheme="minorHAnsi" w:hAnsiTheme="minorHAnsi" w:cstheme="minorHAnsi"/>
          <w:b/>
          <w:i/>
          <w:sz w:val="22"/>
          <w:u w:val="single"/>
        </w:rPr>
        <w:t xml:space="preserve">Improving the legal framework </w:t>
      </w:r>
      <w:r w:rsidR="007436F1" w:rsidRPr="007C4D65">
        <w:rPr>
          <w:rFonts w:asciiTheme="minorHAnsi" w:hAnsiTheme="minorHAnsi" w:cstheme="minorHAnsi"/>
          <w:b/>
          <w:i/>
          <w:sz w:val="22"/>
          <w:u w:val="single"/>
        </w:rPr>
        <w:t>of the Federation of BiH</w:t>
      </w:r>
      <w:r w:rsidR="007508AB" w:rsidRPr="007C4D65">
        <w:rPr>
          <w:rFonts w:asciiTheme="minorHAnsi" w:hAnsiTheme="minorHAnsi" w:cstheme="minorHAnsi"/>
          <w:b/>
          <w:i/>
          <w:sz w:val="22"/>
          <w:u w:val="single"/>
        </w:rPr>
        <w:t xml:space="preserve"> for biodiversity and nature conservation through alignment of the legislation with the EU acquis and international agreements</w:t>
      </w:r>
    </w:p>
    <w:p w14:paraId="7FDC9264" w14:textId="3FFBA921" w:rsidR="0032585E" w:rsidRPr="007C4D65" w:rsidRDefault="0032585E" w:rsidP="0068355A">
      <w:pPr>
        <w:spacing w:before="40" w:after="40" w:line="276" w:lineRule="auto"/>
        <w:rPr>
          <w:rFonts w:asciiTheme="minorHAnsi" w:eastAsia="Calibri" w:hAnsiTheme="minorHAnsi" w:cstheme="minorHAnsi"/>
          <w:sz w:val="22"/>
          <w:szCs w:val="22"/>
          <w:u w:val="single"/>
        </w:rPr>
      </w:pPr>
      <w:r w:rsidRPr="007C4D65">
        <w:rPr>
          <w:rFonts w:asciiTheme="minorHAnsi" w:hAnsiTheme="minorHAnsi" w:cstheme="minorHAnsi"/>
          <w:i/>
          <w:sz w:val="22"/>
          <w:u w:val="single"/>
        </w:rPr>
        <w:t xml:space="preserve">Measure 3.1.1. Align and harmonise the legislation on the </w:t>
      </w:r>
      <w:r w:rsidR="00795F37" w:rsidRPr="007C4D65">
        <w:rPr>
          <w:rFonts w:asciiTheme="minorHAnsi" w:hAnsiTheme="minorHAnsi" w:cstheme="minorHAnsi"/>
          <w:i/>
          <w:sz w:val="22"/>
          <w:u w:val="single"/>
        </w:rPr>
        <w:t>preservation</w:t>
      </w:r>
      <w:r w:rsidRPr="007C4D65">
        <w:rPr>
          <w:rFonts w:asciiTheme="minorHAnsi" w:hAnsiTheme="minorHAnsi" w:cstheme="minorHAnsi"/>
          <w:i/>
          <w:sz w:val="22"/>
          <w:u w:val="single"/>
        </w:rPr>
        <w:t xml:space="preserve"> and sustainable use of biodiversity and nature conservation with the EU acquis and international agreements on biodiversity</w:t>
      </w:r>
    </w:p>
    <w:p w14:paraId="4BE8FC7D" w14:textId="7BBEAB39"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This measure </w:t>
      </w:r>
      <w:r w:rsidR="0083630B" w:rsidRPr="007C4D65">
        <w:rPr>
          <w:rFonts w:asciiTheme="minorHAnsi" w:hAnsiTheme="minorHAnsi" w:cstheme="minorHAnsi"/>
          <w:sz w:val="22"/>
        </w:rPr>
        <w:t>aims</w:t>
      </w:r>
      <w:r w:rsidRPr="007C4D65">
        <w:rPr>
          <w:rFonts w:asciiTheme="minorHAnsi" w:hAnsiTheme="minorHAnsi" w:cstheme="minorHAnsi"/>
          <w:sz w:val="22"/>
        </w:rPr>
        <w:t xml:space="preserve"> at creating an adequate and harmonised legal basis for the application of the EU acquis and ratified international agreements on biodiversity in the relevant government authorities and sectors in the territory of the Federation of BiH. This </w:t>
      </w:r>
      <w:r w:rsidR="00795F37" w:rsidRPr="007C4D65">
        <w:rPr>
          <w:rFonts w:asciiTheme="minorHAnsi" w:hAnsiTheme="minorHAnsi" w:cstheme="minorHAnsi"/>
          <w:sz w:val="22"/>
        </w:rPr>
        <w:t>measure</w:t>
      </w:r>
      <w:r w:rsidRPr="007C4D65">
        <w:rPr>
          <w:rFonts w:asciiTheme="minorHAnsi" w:hAnsiTheme="minorHAnsi" w:cstheme="minorHAnsi"/>
          <w:sz w:val="22"/>
        </w:rPr>
        <w:t xml:space="preserve"> includes activities aimed at: </w:t>
      </w:r>
    </w:p>
    <w:p w14:paraId="442B327C" w14:textId="1F415E97" w:rsidR="0032585E" w:rsidRPr="007C4D65" w:rsidRDefault="0032585E" w:rsidP="0068355A">
      <w:pPr>
        <w:numPr>
          <w:ilvl w:val="0"/>
          <w:numId w:val="18"/>
        </w:numPr>
        <w:spacing w:before="40" w:after="4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rPr>
        <w:t xml:space="preserve">Improvement of the legal framework for the preservation of biological and landscape diversity of the </w:t>
      </w:r>
      <w:r w:rsidR="00795F37" w:rsidRPr="007C4D65">
        <w:rPr>
          <w:rFonts w:asciiTheme="minorHAnsi" w:hAnsiTheme="minorHAnsi" w:cstheme="minorHAnsi"/>
          <w:sz w:val="22"/>
        </w:rPr>
        <w:t>Federation</w:t>
      </w:r>
      <w:r w:rsidRPr="007C4D65">
        <w:rPr>
          <w:rFonts w:asciiTheme="minorHAnsi" w:hAnsiTheme="minorHAnsi" w:cstheme="minorHAnsi"/>
          <w:sz w:val="22"/>
        </w:rPr>
        <w:t xml:space="preserve"> of BiH through substantial alignment of the Law on Nature Conservation with the Directive on the conservation of natural habitats and of wild fauna and flora (92/43/EEZ), Directive on the conservation of wild birds (2009/147/EC), Regulation (EC) No 338/97 on the protection of species of wild fauna and flora by regulating trade therein, Convention on the Conservation of Migratory Species of Wild Animals (CSM, and AEWA Agreement, and through development of regulation for the implementation of the Nagoya Protocol in the Federation of BiH and Additional Kuala Lumpur Protocol;</w:t>
      </w:r>
    </w:p>
    <w:p w14:paraId="483C882D" w14:textId="29D67C48" w:rsidR="0032585E" w:rsidRPr="007C4D65" w:rsidRDefault="0032585E" w:rsidP="0068355A">
      <w:pPr>
        <w:numPr>
          <w:ilvl w:val="0"/>
          <w:numId w:val="18"/>
        </w:numPr>
        <w:spacing w:before="40" w:after="4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rPr>
        <w:t xml:space="preserve">Improving the process of vertical harmonization of the legal framework for the conservation of biological and landscape diversity of the Federation of BiH through harmonization of the legal framework for nature conservation of the Federation of BiH with the legislation of BiH, </w:t>
      </w:r>
      <w:proofErr w:type="spellStart"/>
      <w:r w:rsidRPr="007C4D65">
        <w:rPr>
          <w:rFonts w:asciiTheme="minorHAnsi" w:hAnsiTheme="minorHAnsi" w:cstheme="minorHAnsi"/>
          <w:sz w:val="22"/>
        </w:rPr>
        <w:t>Republika</w:t>
      </w:r>
      <w:proofErr w:type="spellEnd"/>
      <w:r w:rsidRPr="007C4D65">
        <w:rPr>
          <w:rFonts w:asciiTheme="minorHAnsi" w:hAnsiTheme="minorHAnsi" w:cstheme="minorHAnsi"/>
          <w:sz w:val="22"/>
        </w:rPr>
        <w:t xml:space="preserve"> Srpska and Brcko District of BiH, on the one hand, and coordination aimed at improving the legal framework for nature conservation in the Cantons, on the other </w:t>
      </w:r>
      <w:proofErr w:type="gramStart"/>
      <w:r w:rsidRPr="007C4D65">
        <w:rPr>
          <w:rFonts w:asciiTheme="minorHAnsi" w:hAnsiTheme="minorHAnsi" w:cstheme="minorHAnsi"/>
          <w:sz w:val="22"/>
        </w:rPr>
        <w:t>hand;</w:t>
      </w:r>
      <w:proofErr w:type="gramEnd"/>
    </w:p>
    <w:p w14:paraId="55410AFA" w14:textId="77777777" w:rsidR="0032585E" w:rsidRPr="007C4D65" w:rsidRDefault="0032585E" w:rsidP="0068355A">
      <w:pPr>
        <w:numPr>
          <w:ilvl w:val="0"/>
          <w:numId w:val="18"/>
        </w:numPr>
        <w:spacing w:before="40" w:after="4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rPr>
        <w:t xml:space="preserve">Improving the process of horizontal harmonization of the legal framework for the conservation of biological and landscape diversity of the Federation of BiH through the harmonization of the Law on Veterinary Medicine and the Law on Hunting Federation of BiH with the EU </w:t>
      </w:r>
      <w:proofErr w:type="gramStart"/>
      <w:r w:rsidRPr="007C4D65">
        <w:rPr>
          <w:rFonts w:asciiTheme="minorHAnsi" w:hAnsiTheme="minorHAnsi" w:cstheme="minorHAnsi"/>
          <w:sz w:val="22"/>
        </w:rPr>
        <w:t>acquis;</w:t>
      </w:r>
      <w:proofErr w:type="gramEnd"/>
    </w:p>
    <w:p w14:paraId="3B4EF07D" w14:textId="7C370CED" w:rsidR="0032585E" w:rsidRPr="007C4D65" w:rsidRDefault="0032585E" w:rsidP="0068355A">
      <w:pPr>
        <w:numPr>
          <w:ilvl w:val="0"/>
          <w:numId w:val="18"/>
        </w:numPr>
        <w:spacing w:before="40" w:after="40" w:line="276" w:lineRule="auto"/>
        <w:contextualSpacing/>
        <w:rPr>
          <w:rFonts w:asciiTheme="minorHAnsi" w:eastAsia="Calibri" w:hAnsiTheme="minorHAnsi" w:cstheme="minorHAnsi"/>
          <w:sz w:val="22"/>
          <w:szCs w:val="22"/>
        </w:rPr>
      </w:pPr>
      <w:r w:rsidRPr="007C4D65">
        <w:rPr>
          <w:rFonts w:asciiTheme="minorHAnsi" w:hAnsiTheme="minorHAnsi" w:cstheme="minorHAnsi"/>
          <w:sz w:val="22"/>
        </w:rPr>
        <w:t xml:space="preserve">Improving the implementation of the </w:t>
      </w:r>
      <w:r w:rsidR="00795F37" w:rsidRPr="007C4D65">
        <w:rPr>
          <w:rFonts w:asciiTheme="minorHAnsi" w:hAnsiTheme="minorHAnsi" w:cstheme="minorHAnsi"/>
          <w:sz w:val="22"/>
        </w:rPr>
        <w:t>regulations</w:t>
      </w:r>
      <w:r w:rsidRPr="007C4D65">
        <w:rPr>
          <w:rFonts w:asciiTheme="minorHAnsi" w:hAnsiTheme="minorHAnsi" w:cstheme="minorHAnsi"/>
          <w:sz w:val="22"/>
        </w:rPr>
        <w:t xml:space="preserve"> on the conservation of biological and landscape diversity of the Federation of BiH through passing the lacking implementation regulations and through ensuring conditions for the implementation of the NBSAP in accordance with the Global Biodiversity Framework.</w:t>
      </w:r>
    </w:p>
    <w:p w14:paraId="5E6CB2D1" w14:textId="77777777" w:rsidR="0032585E" w:rsidRPr="007C4D65" w:rsidRDefault="0032585E" w:rsidP="0068355A">
      <w:pPr>
        <w:spacing w:before="40" w:after="40" w:line="276" w:lineRule="auto"/>
        <w:ind w:left="720"/>
        <w:contextualSpacing/>
        <w:rPr>
          <w:rFonts w:asciiTheme="minorHAnsi" w:hAnsiTheme="minorHAnsi" w:cstheme="minorHAnsi"/>
          <w:sz w:val="22"/>
          <w:szCs w:val="22"/>
        </w:rPr>
      </w:pPr>
    </w:p>
    <w:p w14:paraId="0B14D9BD" w14:textId="246AA8B1" w:rsidR="0032585E" w:rsidRPr="007C4D65" w:rsidRDefault="0032585E" w:rsidP="0068355A">
      <w:pPr>
        <w:spacing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Priority 3.2 Strengthening the institutions of the Federation of BiH responsible for the implementation of the nature conservation legislation and activities</w:t>
      </w:r>
    </w:p>
    <w:p w14:paraId="39F1EB05" w14:textId="77777777" w:rsidR="0032585E" w:rsidRPr="007C4D65" w:rsidRDefault="0032585E" w:rsidP="0068355A">
      <w:pPr>
        <w:spacing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Measure 3.2.1. Establishment of aa professional institution for nature conservation in accordance with the Law on Nature Conservation of the Federation of BiH</w:t>
      </w:r>
    </w:p>
    <w:p w14:paraId="10D203F9" w14:textId="2AD657EB"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The aim of this measure is to obtain an agreement on the decision on the establishment of a professional institution, in accordance with the provisions of the Law on Nature conservation of the Federation of BiH. Functions and duties of the professional institution are prescribed by law, and a direct consequence of its non-existence is the fact that it is impossible to implement the regulations </w:t>
      </w:r>
    </w:p>
    <w:p w14:paraId="63EF232C" w14:textId="093A3EF7" w:rsidR="0032585E" w:rsidRPr="007C4D65" w:rsidRDefault="0032585E" w:rsidP="0068355A">
      <w:pPr>
        <w:spacing w:before="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 xml:space="preserve">Measure 3.2.2. Secure </w:t>
      </w:r>
      <w:r w:rsidR="00095CAC" w:rsidRPr="007C4D65">
        <w:rPr>
          <w:rFonts w:asciiTheme="minorHAnsi" w:hAnsiTheme="minorHAnsi" w:cstheme="minorHAnsi"/>
          <w:i/>
          <w:sz w:val="22"/>
          <w:u w:val="single"/>
        </w:rPr>
        <w:t>initial</w:t>
      </w:r>
      <w:r w:rsidRPr="007C4D65">
        <w:rPr>
          <w:rFonts w:asciiTheme="minorHAnsi" w:hAnsiTheme="minorHAnsi" w:cstheme="minorHAnsi"/>
          <w:i/>
          <w:sz w:val="22"/>
          <w:u w:val="single"/>
        </w:rPr>
        <w:t xml:space="preserve"> financial, human and technical capacities for the operation of the Nature Conservation Institute of Federation of BiH and nature conservation institutions of the Cantons</w:t>
      </w:r>
    </w:p>
    <w:p w14:paraId="68254645" w14:textId="295B9085"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The aim of this measure is to ensure initial professional, technical and financial capacities for the implementation of biodiversity preservation and nature conservation, as prescribed by the Law on </w:t>
      </w:r>
      <w:r w:rsidRPr="007C4D65">
        <w:rPr>
          <w:rFonts w:asciiTheme="minorHAnsi" w:hAnsiTheme="minorHAnsi" w:cstheme="minorHAnsi"/>
          <w:sz w:val="22"/>
        </w:rPr>
        <w:lastRenderedPageBreak/>
        <w:t xml:space="preserve">Nature Conservation of the FBiH. This </w:t>
      </w:r>
      <w:proofErr w:type="gramStart"/>
      <w:r w:rsidRPr="007C4D65">
        <w:rPr>
          <w:rFonts w:asciiTheme="minorHAnsi" w:hAnsiTheme="minorHAnsi" w:cstheme="minorHAnsi"/>
          <w:sz w:val="22"/>
        </w:rPr>
        <w:t>particular measure</w:t>
      </w:r>
      <w:proofErr w:type="gramEnd"/>
      <w:r w:rsidRPr="007C4D65">
        <w:rPr>
          <w:rFonts w:asciiTheme="minorHAnsi" w:hAnsiTheme="minorHAnsi" w:cstheme="minorHAnsi"/>
          <w:sz w:val="22"/>
        </w:rPr>
        <w:t xml:space="preserve"> </w:t>
      </w:r>
      <w:r w:rsidR="0083630B" w:rsidRPr="007C4D65">
        <w:rPr>
          <w:rFonts w:asciiTheme="minorHAnsi" w:hAnsiTheme="minorHAnsi" w:cstheme="minorHAnsi"/>
          <w:sz w:val="22"/>
        </w:rPr>
        <w:t>aims</w:t>
      </w:r>
      <w:r w:rsidRPr="007C4D65">
        <w:rPr>
          <w:rFonts w:asciiTheme="minorHAnsi" w:hAnsiTheme="minorHAnsi" w:cstheme="minorHAnsi"/>
          <w:sz w:val="22"/>
        </w:rPr>
        <w:t xml:space="preserve"> at ensuring practical, formal and time adequate preconditions for the implementation of other measures within different priorities in an early phase of the implementation of the FBiH ESAP</w:t>
      </w:r>
      <w:r w:rsidR="00A100D8" w:rsidRPr="007C4D65">
        <w:rPr>
          <w:rFonts w:asciiTheme="minorHAnsi" w:hAnsiTheme="minorHAnsi" w:cstheme="minorHAnsi"/>
          <w:sz w:val="22"/>
        </w:rPr>
        <w:t>.</w:t>
      </w:r>
    </w:p>
    <w:p w14:paraId="7905A57F" w14:textId="78CEAE97" w:rsidR="0032585E" w:rsidRPr="007C4D65" w:rsidRDefault="0032585E" w:rsidP="0068355A">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3.2.3. Secure </w:t>
      </w:r>
      <w:r w:rsidR="00095CAC" w:rsidRPr="007C4D65">
        <w:rPr>
          <w:rFonts w:asciiTheme="minorHAnsi" w:hAnsiTheme="minorHAnsi" w:cstheme="minorHAnsi"/>
          <w:i/>
          <w:sz w:val="22"/>
          <w:u w:val="single"/>
        </w:rPr>
        <w:t>full</w:t>
      </w:r>
      <w:r w:rsidRPr="007C4D65">
        <w:rPr>
          <w:rFonts w:asciiTheme="minorHAnsi" w:hAnsiTheme="minorHAnsi" w:cstheme="minorHAnsi"/>
          <w:i/>
          <w:sz w:val="22"/>
          <w:u w:val="single"/>
        </w:rPr>
        <w:t xml:space="preserve"> financial, human and technical capacities for the operation of the Nature Conservation Institute of Federation of BiH and nature conservation institutions of the Cantons</w:t>
      </w:r>
    </w:p>
    <w:p w14:paraId="68AAF092" w14:textId="5C552775" w:rsidR="0032585E" w:rsidRPr="007C4D65" w:rsidRDefault="0012427C"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w:t>
      </w:r>
      <w:r w:rsidR="0032585E" w:rsidRPr="007C4D65">
        <w:rPr>
          <w:rFonts w:asciiTheme="minorHAnsi" w:hAnsiTheme="minorHAnsi" w:cstheme="minorHAnsi"/>
          <w:sz w:val="22"/>
        </w:rPr>
        <w:t xml:space="preserve">his measure </w:t>
      </w:r>
      <w:r w:rsidRPr="007C4D65">
        <w:rPr>
          <w:rFonts w:asciiTheme="minorHAnsi" w:hAnsiTheme="minorHAnsi" w:cstheme="minorHAnsi"/>
          <w:sz w:val="22"/>
        </w:rPr>
        <w:t>aims</w:t>
      </w:r>
      <w:r w:rsidR="0032585E" w:rsidRPr="007C4D65">
        <w:rPr>
          <w:rFonts w:asciiTheme="minorHAnsi" w:hAnsiTheme="minorHAnsi" w:cstheme="minorHAnsi"/>
          <w:sz w:val="22"/>
        </w:rPr>
        <w:t xml:space="preserve"> at ensuring initial professional, technical and financial capacities for the implementation of biodiversity preservation and nature conservation, as prescribed by the Law on Nature Conservation of the FBiH. This </w:t>
      </w:r>
      <w:proofErr w:type="gramStart"/>
      <w:r w:rsidR="0032585E" w:rsidRPr="007C4D65">
        <w:rPr>
          <w:rFonts w:asciiTheme="minorHAnsi" w:hAnsiTheme="minorHAnsi" w:cstheme="minorHAnsi"/>
          <w:sz w:val="22"/>
        </w:rPr>
        <w:t>particular measure</w:t>
      </w:r>
      <w:proofErr w:type="gramEnd"/>
      <w:r w:rsidR="0032585E" w:rsidRPr="007C4D65">
        <w:rPr>
          <w:rFonts w:asciiTheme="minorHAnsi" w:hAnsiTheme="minorHAnsi" w:cstheme="minorHAnsi"/>
          <w:sz w:val="22"/>
        </w:rPr>
        <w:t xml:space="preserve"> </w:t>
      </w:r>
      <w:r w:rsidRPr="007C4D65">
        <w:rPr>
          <w:rFonts w:asciiTheme="minorHAnsi" w:hAnsiTheme="minorHAnsi" w:cstheme="minorHAnsi"/>
          <w:sz w:val="22"/>
        </w:rPr>
        <w:t>aims</w:t>
      </w:r>
      <w:r w:rsidR="0032585E" w:rsidRPr="007C4D65">
        <w:rPr>
          <w:rFonts w:asciiTheme="minorHAnsi" w:hAnsiTheme="minorHAnsi" w:cstheme="minorHAnsi"/>
          <w:sz w:val="22"/>
        </w:rPr>
        <w:t xml:space="preserve"> at enabling further development of all necessary capacities to perform its functions defined by the Law during the implementation of the FBiH ESAP </w:t>
      </w:r>
    </w:p>
    <w:p w14:paraId="00DBFF90" w14:textId="77777777" w:rsidR="0032585E" w:rsidRPr="007C4D65" w:rsidRDefault="0032585E" w:rsidP="0068355A">
      <w:pPr>
        <w:spacing w:before="240" w:after="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Priority 3.3 Initiating coordination, communication and reporting on biodiversity and nature conservation in the Federation of BiH</w:t>
      </w:r>
    </w:p>
    <w:p w14:paraId="12E7E7B8" w14:textId="77777777" w:rsidR="0032585E" w:rsidRPr="007C4D65" w:rsidRDefault="0032585E" w:rsidP="0068355A">
      <w:pPr>
        <w:spacing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3.3.1.  Form a </w:t>
      </w:r>
      <w:proofErr w:type="gramStart"/>
      <w:r w:rsidRPr="007C4D65">
        <w:rPr>
          <w:rFonts w:asciiTheme="minorHAnsi" w:hAnsiTheme="minorHAnsi" w:cstheme="minorHAnsi"/>
          <w:i/>
          <w:sz w:val="22"/>
          <w:u w:val="single"/>
        </w:rPr>
        <w:t>department  for</w:t>
      </w:r>
      <w:proofErr w:type="gramEnd"/>
      <w:r w:rsidRPr="007C4D65">
        <w:rPr>
          <w:rFonts w:asciiTheme="minorHAnsi" w:hAnsiTheme="minorHAnsi" w:cstheme="minorHAnsi"/>
          <w:i/>
          <w:sz w:val="22"/>
          <w:u w:val="single"/>
        </w:rPr>
        <w:t xml:space="preserve"> coordination of professional activities on nature conservation and monitoring in the Federation of BiH in the professional institution for nature conservation</w:t>
      </w:r>
    </w:p>
    <w:p w14:paraId="65B13E5B" w14:textId="77777777"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This measure is aimed at providing for a coordinated development of nature conservation measures in all government authorities and professional institutions in the territory of the Federation of FBiH. It is particularly important to coordinate gathering and processing of data based on the monitoring of species and habitats in the territory of all Cantons in the Federation of BiH.</w:t>
      </w:r>
    </w:p>
    <w:p w14:paraId="5BB21D75" w14:textId="77777777" w:rsidR="0032585E" w:rsidRPr="007C4D65" w:rsidRDefault="0032585E" w:rsidP="0068355A">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3.3.2. Set up a database on results of projects which were implemented, ongoing and future projects focusing on biodiversity in Federation of BiH</w:t>
      </w:r>
    </w:p>
    <w:p w14:paraId="5B210557" w14:textId="51BAD7EC"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The aim of this measure is to ensure transparency of results of implemented projects for biodiversity preservation and nature conservation in the FBiH </w:t>
      </w:r>
      <w:proofErr w:type="gramStart"/>
      <w:r w:rsidRPr="007C4D65">
        <w:rPr>
          <w:rFonts w:asciiTheme="minorHAnsi" w:hAnsiTheme="minorHAnsi" w:cstheme="minorHAnsi"/>
          <w:sz w:val="22"/>
        </w:rPr>
        <w:t>The</w:t>
      </w:r>
      <w:proofErr w:type="gramEnd"/>
      <w:r w:rsidRPr="007C4D65">
        <w:rPr>
          <w:rFonts w:asciiTheme="minorHAnsi" w:hAnsiTheme="minorHAnsi" w:cstheme="minorHAnsi"/>
          <w:sz w:val="22"/>
        </w:rPr>
        <w:t xml:space="preserve"> preparation of a publicly available database would allow an assessment of knowledge and information gaps in the area of biodiversity </w:t>
      </w:r>
      <w:r w:rsidR="007436F1" w:rsidRPr="007C4D65">
        <w:rPr>
          <w:rFonts w:asciiTheme="minorHAnsi" w:hAnsiTheme="minorHAnsi" w:cstheme="minorHAnsi"/>
          <w:sz w:val="22"/>
        </w:rPr>
        <w:t>in the Federation of BiH</w:t>
      </w:r>
      <w:r w:rsidRPr="007C4D65">
        <w:rPr>
          <w:rFonts w:asciiTheme="minorHAnsi" w:hAnsiTheme="minorHAnsi" w:cstheme="minorHAnsi"/>
          <w:sz w:val="22"/>
        </w:rPr>
        <w:t>, and a targeted allocation of funds to fill such gaps</w:t>
      </w:r>
      <w:r w:rsidR="00A100D8" w:rsidRPr="007C4D65">
        <w:rPr>
          <w:rFonts w:asciiTheme="minorHAnsi" w:eastAsia="Calibri" w:hAnsiTheme="minorHAnsi" w:cstheme="minorHAnsi"/>
          <w:sz w:val="22"/>
          <w:szCs w:val="22"/>
        </w:rPr>
        <w:t>.</w:t>
      </w:r>
    </w:p>
    <w:p w14:paraId="1CD6D3C4" w14:textId="632C7F78" w:rsidR="0032585E" w:rsidRPr="007C4D65" w:rsidRDefault="0032585E" w:rsidP="0068355A">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3.3.3. In accordance with the INSPIRE Directive, the Nature Conservation Information System </w:t>
      </w:r>
      <w:r w:rsidR="007436F1" w:rsidRPr="007C4D65">
        <w:rPr>
          <w:rFonts w:asciiTheme="minorHAnsi" w:hAnsiTheme="minorHAnsi" w:cstheme="minorHAnsi"/>
          <w:i/>
          <w:sz w:val="22"/>
          <w:u w:val="single"/>
        </w:rPr>
        <w:t>of the Federation of BiH</w:t>
      </w:r>
      <w:r w:rsidRPr="007C4D65">
        <w:rPr>
          <w:rFonts w:asciiTheme="minorHAnsi" w:hAnsiTheme="minorHAnsi" w:cstheme="minorHAnsi"/>
          <w:i/>
          <w:sz w:val="22"/>
          <w:u w:val="single"/>
        </w:rPr>
        <w:t xml:space="preserve"> provides an insight into information on distribution and monitoring of protected and strictly protected species and areas, and types of habitats of concern for the Community</w:t>
      </w:r>
    </w:p>
    <w:p w14:paraId="7886D506" w14:textId="2CD95990"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The aim of this measure is to ensure a transparent access to information on biodiversity through the Nature Conservation Information System of the Federation of BiH. Public access to information on biodiversity in a specific area is a basis for environmental planning and management.</w:t>
      </w:r>
    </w:p>
    <w:p w14:paraId="08565784" w14:textId="77777777" w:rsidR="00D67C85" w:rsidRPr="007C4D65" w:rsidRDefault="0032585E" w:rsidP="0068355A">
      <w:pPr>
        <w:spacing w:before="240" w:line="276" w:lineRule="auto"/>
        <w:rPr>
          <w:rFonts w:asciiTheme="minorHAnsi" w:hAnsiTheme="minorHAnsi" w:cstheme="minorHAnsi"/>
          <w:b/>
          <w:i/>
          <w:sz w:val="22"/>
          <w:u w:val="single"/>
        </w:rPr>
      </w:pPr>
      <w:r w:rsidRPr="007C4D65">
        <w:rPr>
          <w:rFonts w:asciiTheme="minorHAnsi" w:hAnsiTheme="minorHAnsi" w:cstheme="minorHAnsi"/>
          <w:b/>
          <w:i/>
          <w:sz w:val="22"/>
          <w:u w:val="single"/>
        </w:rPr>
        <w:t xml:space="preserve">Priority 3.4 </w:t>
      </w:r>
      <w:r w:rsidR="00D67C85" w:rsidRPr="007C4D65">
        <w:rPr>
          <w:rFonts w:asciiTheme="minorHAnsi" w:hAnsiTheme="minorHAnsi" w:cstheme="minorHAnsi"/>
          <w:b/>
          <w:i/>
          <w:sz w:val="22"/>
          <w:u w:val="single"/>
        </w:rPr>
        <w:t>Initiate monitoring of the state and biodiversity/nature conservation in the Federation of BiH in compliance with the standards of the EU acquis</w:t>
      </w:r>
    </w:p>
    <w:p w14:paraId="17E8C6A9" w14:textId="294DB032" w:rsidR="0032585E" w:rsidRPr="007C4D65" w:rsidRDefault="00D67C85" w:rsidP="0068355A">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b/>
          <w:i/>
          <w:sz w:val="22"/>
          <w:u w:val="single"/>
        </w:rPr>
        <w:t xml:space="preserve"> </w:t>
      </w:r>
      <w:r w:rsidR="0032585E" w:rsidRPr="007C4D65">
        <w:rPr>
          <w:rFonts w:asciiTheme="minorHAnsi" w:hAnsiTheme="minorHAnsi" w:cstheme="minorHAnsi"/>
          <w:i/>
          <w:sz w:val="22"/>
          <w:u w:val="single"/>
        </w:rPr>
        <w:t xml:space="preserve">Measure 3.4.1. Establish a monitoring system for the Red List species, species and habitats of Community </w:t>
      </w:r>
      <w:r w:rsidR="00795F37" w:rsidRPr="007C4D65">
        <w:rPr>
          <w:rFonts w:asciiTheme="minorHAnsi" w:hAnsiTheme="minorHAnsi" w:cstheme="minorHAnsi"/>
          <w:i/>
          <w:sz w:val="22"/>
          <w:u w:val="single"/>
        </w:rPr>
        <w:t>interest</w:t>
      </w:r>
      <w:r w:rsidR="0032585E" w:rsidRPr="007C4D65">
        <w:rPr>
          <w:rFonts w:asciiTheme="minorHAnsi" w:hAnsiTheme="minorHAnsi" w:cstheme="minorHAnsi"/>
          <w:i/>
          <w:sz w:val="22"/>
          <w:u w:val="single"/>
        </w:rPr>
        <w:t xml:space="preserve"> in the FBiH and specific FBiH ecosystems (canyons, mountain, alpine, wetland and karst ecosystems) through activities of professional and scientific institutions</w:t>
      </w:r>
    </w:p>
    <w:p w14:paraId="581A05E1" w14:textId="246D4190"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lastRenderedPageBreak/>
        <w:t>The aim of this measure is to develop professional and scientific capacities for the system of targeted, standardized and regular monitoring of a set of species, habitats and areas, as well as capacities for the preparation, flow and processing of biological and environmental data and information</w:t>
      </w:r>
      <w:r w:rsidR="00A100D8" w:rsidRPr="007C4D65">
        <w:rPr>
          <w:rFonts w:asciiTheme="minorHAnsi" w:hAnsiTheme="minorHAnsi" w:cstheme="minorHAnsi"/>
          <w:sz w:val="22"/>
        </w:rPr>
        <w:t>.</w:t>
      </w:r>
    </w:p>
    <w:p w14:paraId="79606353" w14:textId="0641DBDF" w:rsidR="0032585E" w:rsidRPr="007C4D65" w:rsidRDefault="0032585E" w:rsidP="0068355A">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3.4.2. Support non-governmental organisations registered for monitoring of biodiversity in the Federation of BiH</w:t>
      </w:r>
    </w:p>
    <w:p w14:paraId="01CF5826" w14:textId="77777777"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The aim of this measure is to ensure effective employment of scientific and professional capacities, organized through the non-governmental sector, on targeted monitoring of species, habitats and areas referred to in measure 3.4.1.</w:t>
      </w:r>
    </w:p>
    <w:p w14:paraId="7541FBC8" w14:textId="77777777" w:rsidR="00C224E3" w:rsidRPr="007C4D65" w:rsidRDefault="0032585E" w:rsidP="00C224E3">
      <w:pPr>
        <w:spacing w:before="240" w:line="276" w:lineRule="auto"/>
        <w:rPr>
          <w:rFonts w:asciiTheme="minorHAnsi" w:hAnsiTheme="minorHAnsi" w:cstheme="minorHAnsi"/>
          <w:sz w:val="22"/>
        </w:rPr>
      </w:pPr>
      <w:r w:rsidRPr="007C4D65">
        <w:rPr>
          <w:rFonts w:asciiTheme="minorHAnsi" w:hAnsiTheme="minorHAnsi" w:cstheme="minorHAnsi"/>
          <w:i/>
          <w:sz w:val="22"/>
          <w:u w:val="single"/>
        </w:rPr>
        <w:t xml:space="preserve">Measure 3.4.3. </w:t>
      </w:r>
      <w:r w:rsidR="00C224E3" w:rsidRPr="007C4D65">
        <w:rPr>
          <w:rFonts w:asciiTheme="minorHAnsi" w:hAnsiTheme="minorHAnsi" w:cstheme="minorHAnsi"/>
          <w:i/>
          <w:sz w:val="22"/>
          <w:u w:val="single"/>
        </w:rPr>
        <w:t>Fully develop technical and human capacities for the implementation of nature conservation measures in the protected and other areas of the ecological network, and increase administrative capacities in nature conservation institutions by 50%</w:t>
      </w:r>
    </w:p>
    <w:p w14:paraId="341C24C8" w14:textId="77777777" w:rsidR="00A100D8" w:rsidRPr="007C4D65" w:rsidRDefault="00AA4BA6" w:rsidP="0068355A">
      <w:pPr>
        <w:spacing w:before="240" w:line="276" w:lineRule="auto"/>
        <w:rPr>
          <w:rFonts w:asciiTheme="minorHAnsi" w:hAnsiTheme="minorHAnsi" w:cstheme="minorHAnsi"/>
          <w:sz w:val="22"/>
        </w:rPr>
      </w:pPr>
      <w:r w:rsidRPr="007C4D65">
        <w:rPr>
          <w:rFonts w:asciiTheme="minorHAnsi" w:hAnsiTheme="minorHAnsi" w:cstheme="minorHAnsi"/>
          <w:sz w:val="22"/>
        </w:rPr>
        <w:t xml:space="preserve">In accordance with the NBSAP, this measure aims at developing technical and human capacities in the protected and other areas, where efficient </w:t>
      </w:r>
      <w:r w:rsidR="00795F37" w:rsidRPr="007C4D65">
        <w:rPr>
          <w:rFonts w:asciiTheme="minorHAnsi" w:hAnsiTheme="minorHAnsi" w:cstheme="minorHAnsi"/>
          <w:sz w:val="22"/>
        </w:rPr>
        <w:t>measures</w:t>
      </w:r>
      <w:r w:rsidRPr="007C4D65">
        <w:rPr>
          <w:rFonts w:asciiTheme="minorHAnsi" w:hAnsiTheme="minorHAnsi" w:cstheme="minorHAnsi"/>
          <w:sz w:val="22"/>
        </w:rPr>
        <w:t xml:space="preserve"> of protection are implemented, such as </w:t>
      </w:r>
      <w:r w:rsidR="00795F37" w:rsidRPr="007C4D65">
        <w:rPr>
          <w:rFonts w:asciiTheme="minorHAnsi" w:hAnsiTheme="minorHAnsi" w:cstheme="minorHAnsi"/>
          <w:sz w:val="22"/>
        </w:rPr>
        <w:t>hunting</w:t>
      </w:r>
      <w:r w:rsidRPr="007C4D65">
        <w:rPr>
          <w:rFonts w:asciiTheme="minorHAnsi" w:hAnsiTheme="minorHAnsi" w:cstheme="minorHAnsi"/>
          <w:sz w:val="22"/>
        </w:rPr>
        <w:t xml:space="preserve"> grounds, seed stands, fishing areas, etc. as well as capacities in the institutions for nature conservation.</w:t>
      </w:r>
    </w:p>
    <w:p w14:paraId="3E76D636" w14:textId="35C07A2F" w:rsidR="0032585E" w:rsidRPr="007C4D65" w:rsidRDefault="0032585E" w:rsidP="0068355A">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3.4.4. Improve the inspection service for the implementation of the Law on Nature Conservation of the Federation of BiH and other laws prescribing biodiversity protection measures</w:t>
      </w:r>
    </w:p>
    <w:p w14:paraId="7004A15E" w14:textId="36BBDFFA"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The aim of this measure is to develop the supervision capacity for the implementation of regulations on nature conservation in the </w:t>
      </w:r>
      <w:r w:rsidR="00795F37" w:rsidRPr="007C4D65">
        <w:rPr>
          <w:rFonts w:asciiTheme="minorHAnsi" w:hAnsiTheme="minorHAnsi" w:cstheme="minorHAnsi"/>
          <w:sz w:val="22"/>
        </w:rPr>
        <w:t>Federation</w:t>
      </w:r>
      <w:r w:rsidRPr="007C4D65">
        <w:rPr>
          <w:rFonts w:asciiTheme="minorHAnsi" w:hAnsiTheme="minorHAnsi" w:cstheme="minorHAnsi"/>
          <w:sz w:val="22"/>
        </w:rPr>
        <w:t xml:space="preserve"> of BiH. Given the current capacities and the need to implement the EU acquis, inspection control of the implementation of relevant regulations is not feasible.</w:t>
      </w:r>
    </w:p>
    <w:p w14:paraId="7CAF857C" w14:textId="2C50145C" w:rsidR="0032585E" w:rsidRPr="007C4D65" w:rsidRDefault="0032585E" w:rsidP="0068355A">
      <w:pPr>
        <w:spacing w:before="240" w:after="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Priority 3.5 Produce an inventory of biodiversity of the Federation of BiH at the ecosystem, species and genetic level</w:t>
      </w:r>
    </w:p>
    <w:p w14:paraId="70908572" w14:textId="608C530F" w:rsidR="00C224E3" w:rsidRPr="007C4D65" w:rsidRDefault="0032585E" w:rsidP="00C224E3">
      <w:pPr>
        <w:spacing w:line="276" w:lineRule="auto"/>
        <w:rPr>
          <w:rFonts w:asciiTheme="minorHAnsi" w:hAnsiTheme="minorHAnsi" w:cstheme="minorHAnsi"/>
          <w:sz w:val="22"/>
        </w:rPr>
      </w:pPr>
      <w:r w:rsidRPr="007C4D65">
        <w:rPr>
          <w:rFonts w:asciiTheme="minorHAnsi" w:hAnsiTheme="minorHAnsi" w:cstheme="minorHAnsi"/>
          <w:i/>
          <w:sz w:val="22"/>
          <w:u w:val="single"/>
        </w:rPr>
        <w:t xml:space="preserve">Measure 3.5.1. </w:t>
      </w:r>
      <w:r w:rsidR="00C224E3" w:rsidRPr="007C4D65">
        <w:rPr>
          <w:rFonts w:asciiTheme="minorHAnsi" w:hAnsiTheme="minorHAnsi" w:cstheme="minorHAnsi"/>
          <w:i/>
          <w:sz w:val="22"/>
          <w:u w:val="single"/>
        </w:rPr>
        <w:t>Complete an inventory of flora, fauna, fungi and genetic diversity of the Federation of BiH</w:t>
      </w:r>
    </w:p>
    <w:p w14:paraId="5CC1EA94" w14:textId="025B4D1B" w:rsidR="0032585E" w:rsidRPr="007C4D65" w:rsidRDefault="0032585E" w:rsidP="00C224E3">
      <w:pPr>
        <w:spacing w:line="276" w:lineRule="auto"/>
        <w:rPr>
          <w:rFonts w:asciiTheme="minorHAnsi" w:eastAsia="Calibri" w:hAnsiTheme="minorHAnsi" w:cstheme="minorHAnsi"/>
          <w:sz w:val="22"/>
          <w:szCs w:val="22"/>
        </w:rPr>
      </w:pPr>
      <w:r w:rsidRPr="007C4D65">
        <w:rPr>
          <w:rFonts w:asciiTheme="minorHAnsi" w:hAnsiTheme="minorHAnsi" w:cstheme="minorHAnsi"/>
          <w:sz w:val="22"/>
        </w:rPr>
        <w:t>The aim of this measure is to prepare and implement a plan and financial programme for the preparation of the inventory of flora and fauna, and fungi, including genetic diversity relevant for these groups of organisms in the Federation of BiH.</w:t>
      </w:r>
    </w:p>
    <w:p w14:paraId="16512A93" w14:textId="77777777" w:rsidR="0032585E" w:rsidRPr="007C4D65" w:rsidRDefault="0032585E" w:rsidP="0068355A">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3.5.2. Revise and organize the list of invasive species</w:t>
      </w:r>
    </w:p>
    <w:p w14:paraId="42DB1814" w14:textId="03A9B272"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This measure </w:t>
      </w:r>
      <w:r w:rsidR="0083630B" w:rsidRPr="007C4D65">
        <w:rPr>
          <w:rFonts w:asciiTheme="minorHAnsi" w:hAnsiTheme="minorHAnsi" w:cstheme="minorHAnsi"/>
          <w:sz w:val="22"/>
        </w:rPr>
        <w:t>aims</w:t>
      </w:r>
      <w:r w:rsidRPr="007C4D65">
        <w:rPr>
          <w:rFonts w:asciiTheme="minorHAnsi" w:hAnsiTheme="minorHAnsi" w:cstheme="minorHAnsi"/>
          <w:sz w:val="22"/>
        </w:rPr>
        <w:t xml:space="preserve"> at ensuring regular reviews of the first list of invasive species in the Federation of </w:t>
      </w:r>
      <w:proofErr w:type="gramStart"/>
      <w:r w:rsidRPr="007C4D65">
        <w:rPr>
          <w:rFonts w:asciiTheme="minorHAnsi" w:hAnsiTheme="minorHAnsi" w:cstheme="minorHAnsi"/>
          <w:sz w:val="22"/>
        </w:rPr>
        <w:t>BiH, and</w:t>
      </w:r>
      <w:proofErr w:type="gramEnd"/>
      <w:r w:rsidRPr="007C4D65">
        <w:rPr>
          <w:rFonts w:asciiTheme="minorHAnsi" w:hAnsiTheme="minorHAnsi" w:cstheme="minorHAnsi"/>
          <w:sz w:val="22"/>
        </w:rPr>
        <w:t xml:space="preserve"> implementing plans for their control and prevention of their further spreading.</w:t>
      </w:r>
    </w:p>
    <w:p w14:paraId="6A378676" w14:textId="05EB9A99" w:rsidR="0032585E" w:rsidRPr="007C4D65" w:rsidRDefault="0032585E" w:rsidP="0068355A">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3.5.3. Prepare and publish a habitats map </w:t>
      </w:r>
      <w:r w:rsidR="007436F1" w:rsidRPr="007C4D65">
        <w:rPr>
          <w:rFonts w:asciiTheme="minorHAnsi" w:hAnsiTheme="minorHAnsi" w:cstheme="minorHAnsi"/>
          <w:i/>
          <w:sz w:val="22"/>
          <w:u w:val="single"/>
        </w:rPr>
        <w:t>of the Federation of BiH</w:t>
      </w:r>
    </w:p>
    <w:p w14:paraId="6F2E5CD8" w14:textId="202F6449"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The aim of this measure is to prepare the implementation of the first habitat inventory in the Federation of BiH.  The list of habitats present in the territory of FBiH should be scientifically harmonized with the types of habitats in </w:t>
      </w:r>
      <w:proofErr w:type="spellStart"/>
      <w:r w:rsidRPr="007C4D65">
        <w:rPr>
          <w:rFonts w:asciiTheme="minorHAnsi" w:hAnsiTheme="minorHAnsi" w:cstheme="minorHAnsi"/>
          <w:sz w:val="22"/>
        </w:rPr>
        <w:t>Republika</w:t>
      </w:r>
      <w:proofErr w:type="spellEnd"/>
      <w:r w:rsidRPr="007C4D65">
        <w:rPr>
          <w:rFonts w:asciiTheme="minorHAnsi" w:hAnsiTheme="minorHAnsi" w:cstheme="minorHAnsi"/>
          <w:sz w:val="22"/>
        </w:rPr>
        <w:t xml:space="preserve"> Srpska and the Brcko District of BiH The habitat map should be geocoded and presented through the FBiH nature conservation institution of the federation of BiH, as the information necessary for the processes of environmental planning and management.</w:t>
      </w:r>
    </w:p>
    <w:p w14:paraId="60ACAD99" w14:textId="77777777" w:rsidR="0032585E" w:rsidRPr="007C4D65" w:rsidRDefault="0032585E" w:rsidP="0068355A">
      <w:pPr>
        <w:spacing w:before="240" w:after="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lastRenderedPageBreak/>
        <w:t>Priority 3.6 Integrate the ecologically significant areas into a single network which makes up 17% of the territory of the Federation of BiH</w:t>
      </w:r>
    </w:p>
    <w:p w14:paraId="5B8CAC69" w14:textId="5526F6B6" w:rsidR="0032585E" w:rsidRPr="007C4D65" w:rsidRDefault="0032585E" w:rsidP="0068355A">
      <w:pPr>
        <w:spacing w:after="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3.6.1. Carry out a public campaign aimed at the promotion of the ecological network (network of the areas of Community interest)</w:t>
      </w:r>
    </w:p>
    <w:p w14:paraId="3EBF0C37" w14:textId="52D38988"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This measure </w:t>
      </w:r>
      <w:r w:rsidR="0083630B" w:rsidRPr="007C4D65">
        <w:rPr>
          <w:rFonts w:asciiTheme="minorHAnsi" w:hAnsiTheme="minorHAnsi" w:cstheme="minorHAnsi"/>
          <w:sz w:val="22"/>
        </w:rPr>
        <w:t>aims</w:t>
      </w:r>
      <w:r w:rsidRPr="007C4D65">
        <w:rPr>
          <w:rFonts w:asciiTheme="minorHAnsi" w:hAnsiTheme="minorHAnsi" w:cstheme="minorHAnsi"/>
          <w:sz w:val="22"/>
        </w:rPr>
        <w:t xml:space="preserve"> at awareness raising on the benefits from the ecological network of the Federation of BiH. The current level of public awareness on the need to maintain the good state of biodiversity does not promise that the stakeholders could agree on the establishment of the ecological network, and it is necessary to allocate funds for its promotion.</w:t>
      </w:r>
    </w:p>
    <w:p w14:paraId="42446C2D" w14:textId="18500DA9" w:rsidR="0032585E" w:rsidRPr="007C4D65" w:rsidRDefault="0032585E" w:rsidP="0068355A">
      <w:pPr>
        <w:spacing w:before="240" w:after="240" w:line="276" w:lineRule="auto"/>
        <w:jc w:val="both"/>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3.6.2. Conduct a consultation process with local communities and stakeholders in all areas covered by the Ecological Network Plan of the Federation of BiH</w:t>
      </w:r>
    </w:p>
    <w:p w14:paraId="55F6DE27" w14:textId="46378920" w:rsidR="0032585E" w:rsidRPr="007C4D65" w:rsidRDefault="0032585E" w:rsidP="0068355A">
      <w:pPr>
        <w:spacing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The aim of this measure is to obtain an agreement of the local communities and stakeholders to include relevant areas in the ecological network of the Federation of BiH.  The consultation process should involve all stakeholders in individual areas, and ensure a common understanding, long-term care and implementation of biodiversity protection measures in each area of the ecological network.</w:t>
      </w:r>
    </w:p>
    <w:p w14:paraId="7AB555E8" w14:textId="77777777" w:rsidR="0032585E" w:rsidRPr="007C4D65" w:rsidRDefault="0032585E" w:rsidP="0068355A">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3.6.3. Establish new protected areas and identify areas under other effective protection measures in the Federation of BiH</w:t>
      </w:r>
    </w:p>
    <w:p w14:paraId="19AD9A06" w14:textId="04BAAD59"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The aim of this measure is to preserve and protect at least 50% of the habitats of species from the Red List of the Federation of BiH, in accordance with the current spatial plan, EU acquis, international agreements and the Global Biodiversity Framework. The measure requires the implementation of procedures for new protected areas and identification of other areas where effective protection measures are implemented, such as hunting and fishing areas, seed stands, water protection zones, etc.</w:t>
      </w:r>
    </w:p>
    <w:p w14:paraId="33FA8BA8" w14:textId="3D4F7B3A" w:rsidR="0032585E" w:rsidRPr="007C4D65" w:rsidRDefault="0032585E" w:rsidP="0068355A">
      <w:pPr>
        <w:spacing w:before="240" w:line="276" w:lineRule="auto"/>
        <w:rPr>
          <w:rFonts w:asciiTheme="minorHAnsi" w:eastAsia="Calibri" w:hAnsiTheme="minorHAnsi" w:cstheme="minorHAnsi"/>
          <w:sz w:val="22"/>
          <w:szCs w:val="22"/>
        </w:rPr>
      </w:pPr>
      <w:r w:rsidRPr="007C4D65">
        <w:rPr>
          <w:rFonts w:asciiTheme="minorHAnsi" w:hAnsiTheme="minorHAnsi" w:cstheme="minorHAnsi"/>
          <w:i/>
          <w:sz w:val="22"/>
          <w:u w:val="single"/>
        </w:rPr>
        <w:t xml:space="preserve">Measure 3.6.4. Establish the ecological network </w:t>
      </w:r>
      <w:r w:rsidR="007436F1" w:rsidRPr="007C4D65">
        <w:rPr>
          <w:rFonts w:asciiTheme="minorHAnsi" w:hAnsiTheme="minorHAnsi" w:cstheme="minorHAnsi"/>
          <w:i/>
          <w:sz w:val="22"/>
          <w:u w:val="single"/>
        </w:rPr>
        <w:t>of the Federation of BiH</w:t>
      </w:r>
    </w:p>
    <w:p w14:paraId="2DCC7DB4" w14:textId="6B5EDB16" w:rsidR="0032585E" w:rsidRPr="007C4D65" w:rsidRDefault="0032585E" w:rsidP="0068355A">
      <w:pPr>
        <w:spacing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The aim of this measure is to ensure the issuance of an act designating the area of the ecological network of the Federation of BiH, and application of protective measures, as required by the legislation, after validation of the baseline measurements of biodiversity of concern, and integration of each individual area in the network upon the agreement of the local community.</w:t>
      </w:r>
    </w:p>
    <w:p w14:paraId="18FF3BC8" w14:textId="6199D15E" w:rsidR="0032585E" w:rsidRPr="007C4D65" w:rsidRDefault="0032585E" w:rsidP="0068355A">
      <w:pPr>
        <w:spacing w:before="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Priority 3.7 Improve the cross-sector</w:t>
      </w:r>
      <w:r w:rsidR="0012427C" w:rsidRPr="007C4D65">
        <w:rPr>
          <w:rFonts w:asciiTheme="minorHAnsi" w:hAnsiTheme="minorHAnsi" w:cstheme="minorHAnsi"/>
          <w:b/>
          <w:i/>
          <w:sz w:val="22"/>
          <w:u w:val="single"/>
        </w:rPr>
        <w:t>al</w:t>
      </w:r>
      <w:r w:rsidRPr="007C4D65">
        <w:rPr>
          <w:rFonts w:asciiTheme="minorHAnsi" w:hAnsiTheme="minorHAnsi" w:cstheme="minorHAnsi"/>
          <w:b/>
          <w:i/>
          <w:sz w:val="22"/>
          <w:u w:val="single"/>
        </w:rPr>
        <w:t xml:space="preserve"> cooperation and political support in the Federation of BiH for integration of biodiversity protection into sectoral policies and legislation</w:t>
      </w:r>
    </w:p>
    <w:p w14:paraId="12A535E2" w14:textId="77777777" w:rsidR="0032585E" w:rsidRPr="007C4D65" w:rsidRDefault="0032585E" w:rsidP="0068355A">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3.7.1. Secure a cross-sectoral support for the implementation of the revised NBSAP in the territory of the Federation of BiH</w:t>
      </w:r>
    </w:p>
    <w:p w14:paraId="6710EADA" w14:textId="3107C70A" w:rsidR="0032585E" w:rsidRPr="007C4D65" w:rsidRDefault="0032585E" w:rsidP="0068355A">
      <w:pPr>
        <w:spacing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The aim of this measure is a long-term preservation and sustainable use of biodiversity </w:t>
      </w:r>
      <w:proofErr w:type="gramStart"/>
      <w:r w:rsidRPr="007C4D65">
        <w:rPr>
          <w:rFonts w:asciiTheme="minorHAnsi" w:hAnsiTheme="minorHAnsi" w:cstheme="minorHAnsi"/>
          <w:sz w:val="22"/>
        </w:rPr>
        <w:t>as a result of</w:t>
      </w:r>
      <w:proofErr w:type="gramEnd"/>
      <w:r w:rsidRPr="007C4D65">
        <w:rPr>
          <w:rFonts w:asciiTheme="minorHAnsi" w:hAnsiTheme="minorHAnsi" w:cstheme="minorHAnsi"/>
          <w:sz w:val="22"/>
        </w:rPr>
        <w:t xml:space="preserve"> sectoral policies. Given that the validity of the last NBSAP expired in 2020, a revised NBSAP will be prepared in an early stage if t</w:t>
      </w:r>
      <w:r w:rsidR="00795F37" w:rsidRPr="007C4D65">
        <w:rPr>
          <w:rFonts w:asciiTheme="minorHAnsi" w:hAnsiTheme="minorHAnsi" w:cstheme="minorHAnsi"/>
          <w:sz w:val="22"/>
        </w:rPr>
        <w:t>h</w:t>
      </w:r>
      <w:r w:rsidRPr="007C4D65">
        <w:rPr>
          <w:rFonts w:asciiTheme="minorHAnsi" w:hAnsiTheme="minorHAnsi" w:cstheme="minorHAnsi"/>
          <w:sz w:val="22"/>
        </w:rPr>
        <w:t>e implementation period the FBiH ESAP. The Federation of BiH shares the responsibility for the implementation of the revised NBSAP with other authorities and bodies. In line with global biodiversity goals, the revised NBSAP will seek to integrate biodiversity protection into sectoral policies in the best possible way.</w:t>
      </w:r>
    </w:p>
    <w:p w14:paraId="0F0E9F8A" w14:textId="77777777" w:rsidR="0032585E" w:rsidRPr="007C4D65" w:rsidRDefault="0032585E" w:rsidP="0068355A">
      <w:pPr>
        <w:spacing w:line="276" w:lineRule="auto"/>
        <w:jc w:val="both"/>
        <w:rPr>
          <w:rFonts w:asciiTheme="minorHAnsi" w:eastAsia="Calibri" w:hAnsiTheme="minorHAnsi" w:cstheme="minorHAnsi"/>
          <w:sz w:val="22"/>
          <w:szCs w:val="22"/>
        </w:rPr>
      </w:pPr>
    </w:p>
    <w:p w14:paraId="3F0B2BA7" w14:textId="053A8347" w:rsidR="0032585E" w:rsidRPr="007C4D65" w:rsidRDefault="0032585E" w:rsidP="0068355A">
      <w:pPr>
        <w:spacing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lastRenderedPageBreak/>
        <w:t>Measure 3.7.2.  Integrate the protection and sustainable use of biodiversity into sectoral regulations</w:t>
      </w:r>
    </w:p>
    <w:p w14:paraId="2A967A30" w14:textId="126BA1C7"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The aim of this measure is to integrate measures of preservation and sustainable use of biodiversity into sectoral regulations. </w:t>
      </w:r>
      <w:proofErr w:type="gramStart"/>
      <w:r w:rsidRPr="007C4D65">
        <w:rPr>
          <w:rFonts w:asciiTheme="minorHAnsi" w:hAnsiTheme="minorHAnsi" w:cstheme="minorHAnsi"/>
          <w:sz w:val="22"/>
        </w:rPr>
        <w:t>In order to</w:t>
      </w:r>
      <w:proofErr w:type="gramEnd"/>
      <w:r w:rsidRPr="007C4D65">
        <w:rPr>
          <w:rFonts w:asciiTheme="minorHAnsi" w:hAnsiTheme="minorHAnsi" w:cstheme="minorHAnsi"/>
          <w:sz w:val="22"/>
        </w:rPr>
        <w:t xml:space="preserve"> ensure the protection of biodiversity on the long run, it is necessary to prepare, in accordance with the EU acquis, detailed guidelines for the successful integration of biodiversity </w:t>
      </w:r>
      <w:r w:rsidR="00795F37" w:rsidRPr="007C4D65">
        <w:rPr>
          <w:rFonts w:asciiTheme="minorHAnsi" w:hAnsiTheme="minorHAnsi" w:cstheme="minorHAnsi"/>
          <w:sz w:val="22"/>
        </w:rPr>
        <w:t>preservation</w:t>
      </w:r>
      <w:r w:rsidRPr="007C4D65">
        <w:rPr>
          <w:rFonts w:asciiTheme="minorHAnsi" w:hAnsiTheme="minorHAnsi" w:cstheme="minorHAnsi"/>
          <w:sz w:val="22"/>
        </w:rPr>
        <w:t xml:space="preserve"> </w:t>
      </w:r>
      <w:r w:rsidR="00795F37" w:rsidRPr="007C4D65">
        <w:rPr>
          <w:rFonts w:asciiTheme="minorHAnsi" w:hAnsiTheme="minorHAnsi" w:cstheme="minorHAnsi"/>
          <w:sz w:val="22"/>
        </w:rPr>
        <w:t>in individual</w:t>
      </w:r>
      <w:r w:rsidRPr="007C4D65">
        <w:rPr>
          <w:rFonts w:asciiTheme="minorHAnsi" w:hAnsiTheme="minorHAnsi" w:cstheme="minorHAnsi"/>
          <w:sz w:val="22"/>
        </w:rPr>
        <w:t xml:space="preserve"> sectors.</w:t>
      </w:r>
    </w:p>
    <w:p w14:paraId="69DA5914" w14:textId="0FC5B2AB" w:rsidR="0032585E" w:rsidRPr="007C4D65" w:rsidRDefault="0032585E" w:rsidP="0068355A">
      <w:pPr>
        <w:spacing w:before="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 xml:space="preserve">Priority 3.8 Strengthen science-based </w:t>
      </w:r>
      <w:r w:rsidR="009F16BA" w:rsidRPr="007C4D65">
        <w:rPr>
          <w:rFonts w:asciiTheme="minorHAnsi" w:hAnsiTheme="minorHAnsi" w:cstheme="minorHAnsi"/>
          <w:b/>
          <w:i/>
          <w:sz w:val="22"/>
          <w:u w:val="single"/>
        </w:rPr>
        <w:t xml:space="preserve">decision-making </w:t>
      </w:r>
      <w:r w:rsidRPr="007C4D65">
        <w:rPr>
          <w:rFonts w:asciiTheme="minorHAnsi" w:hAnsiTheme="minorHAnsi" w:cstheme="minorHAnsi"/>
          <w:b/>
          <w:i/>
          <w:sz w:val="22"/>
          <w:u w:val="single"/>
        </w:rPr>
        <w:t xml:space="preserve">on biodiversity/nature through a dialog between the </w:t>
      </w:r>
      <w:r w:rsidR="0012427C" w:rsidRPr="007C4D65">
        <w:rPr>
          <w:rFonts w:asciiTheme="minorHAnsi" w:hAnsiTheme="minorHAnsi" w:cstheme="minorHAnsi"/>
          <w:b/>
          <w:i/>
          <w:sz w:val="22"/>
          <w:u w:val="single"/>
        </w:rPr>
        <w:t>scientific</w:t>
      </w:r>
      <w:r w:rsidRPr="007C4D65">
        <w:rPr>
          <w:rFonts w:asciiTheme="minorHAnsi" w:hAnsiTheme="minorHAnsi" w:cstheme="minorHAnsi"/>
          <w:b/>
          <w:i/>
          <w:sz w:val="22"/>
          <w:u w:val="single"/>
        </w:rPr>
        <w:t xml:space="preserve"> community and decision makers</w:t>
      </w:r>
    </w:p>
    <w:p w14:paraId="789845B4" w14:textId="77777777" w:rsidR="0032585E" w:rsidRPr="007C4D65" w:rsidRDefault="0032585E" w:rsidP="0068355A">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3.8.1. Use conclusions, messages, scenarios of multidisciplinary analyses, and the up-to-date scientific data in the decision/making processes which affect the state of biodiversity/ nature of the Federation of BiH</w:t>
      </w:r>
    </w:p>
    <w:p w14:paraId="04B70ABF" w14:textId="4CA8AC64"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The aim of this measure is to expand the practice of applying scientific analysis in the </w:t>
      </w:r>
      <w:r w:rsidR="009F16BA" w:rsidRPr="007C4D65">
        <w:rPr>
          <w:rFonts w:asciiTheme="minorHAnsi" w:hAnsiTheme="minorHAnsi" w:cstheme="minorHAnsi"/>
          <w:sz w:val="22"/>
        </w:rPr>
        <w:t xml:space="preserve">decision-making  </w:t>
      </w:r>
      <w:r w:rsidRPr="007C4D65">
        <w:rPr>
          <w:rFonts w:asciiTheme="minorHAnsi" w:hAnsiTheme="minorHAnsi" w:cstheme="minorHAnsi"/>
          <w:sz w:val="22"/>
        </w:rPr>
        <w:t xml:space="preserve"> processes which affect the state of biodiversity. </w:t>
      </w:r>
      <w:proofErr w:type="gramStart"/>
      <w:r w:rsidRPr="007C4D65">
        <w:rPr>
          <w:rFonts w:asciiTheme="minorHAnsi" w:hAnsiTheme="minorHAnsi" w:cstheme="minorHAnsi"/>
          <w:sz w:val="22"/>
        </w:rPr>
        <w:t>In order to</w:t>
      </w:r>
      <w:proofErr w:type="gramEnd"/>
      <w:r w:rsidRPr="007C4D65">
        <w:rPr>
          <w:rFonts w:asciiTheme="minorHAnsi" w:hAnsiTheme="minorHAnsi" w:cstheme="minorHAnsi"/>
          <w:sz w:val="22"/>
        </w:rPr>
        <w:t xml:space="preserve"> establish an evidence-based practice, an assessment of scientific knowledge on the state and management of nature is currently being prepared, which will include an analysis of available scientific results on biodiversity in BiH The analysis will contain easy-to-understand conclusions, messages and scenarios for biodiversity that should serve as the basis for an informed </w:t>
      </w:r>
      <w:r w:rsidR="009F16BA" w:rsidRPr="007C4D65">
        <w:rPr>
          <w:rFonts w:asciiTheme="minorHAnsi" w:hAnsiTheme="minorHAnsi" w:cstheme="minorHAnsi"/>
          <w:sz w:val="22"/>
        </w:rPr>
        <w:t>decision-making</w:t>
      </w:r>
      <w:r w:rsidRPr="007C4D65">
        <w:rPr>
          <w:rFonts w:asciiTheme="minorHAnsi" w:hAnsiTheme="minorHAnsi" w:cstheme="minorHAnsi"/>
          <w:sz w:val="22"/>
        </w:rPr>
        <w:t>.</w:t>
      </w:r>
    </w:p>
    <w:p w14:paraId="7D23FAB4" w14:textId="77777777" w:rsidR="0032585E" w:rsidRPr="007C4D65" w:rsidRDefault="0032585E" w:rsidP="0068355A">
      <w:pPr>
        <w:spacing w:before="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 xml:space="preserve">Measure 3.8.2. In cooperation with the institutions of BiH, </w:t>
      </w:r>
      <w:proofErr w:type="spellStart"/>
      <w:r w:rsidRPr="007C4D65">
        <w:rPr>
          <w:rFonts w:asciiTheme="minorHAnsi" w:hAnsiTheme="minorHAnsi" w:cstheme="minorHAnsi"/>
          <w:i/>
          <w:sz w:val="22"/>
          <w:u w:val="single"/>
        </w:rPr>
        <w:t>Republika</w:t>
      </w:r>
      <w:proofErr w:type="spellEnd"/>
      <w:r w:rsidRPr="007C4D65">
        <w:rPr>
          <w:rFonts w:asciiTheme="minorHAnsi" w:hAnsiTheme="minorHAnsi" w:cstheme="minorHAnsi"/>
          <w:i/>
          <w:sz w:val="22"/>
          <w:u w:val="single"/>
        </w:rPr>
        <w:t xml:space="preserve"> Srpska and the Brcko District of BiH, organize an exchange of information between the academic community and creators of the policies which affect the state of biodiversity/nature of BiH</w:t>
      </w:r>
    </w:p>
    <w:p w14:paraId="6855C9DE" w14:textId="30CAFA69" w:rsidR="0032585E" w:rsidRPr="007C4D65" w:rsidRDefault="0032585E" w:rsidP="0068355A">
      <w:pPr>
        <w:spacing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The aim of this measure is to implement periodical information exchange activities coordinated by MOFTER, for the purpose of information sharing between the scientific community and decision makers.</w:t>
      </w:r>
    </w:p>
    <w:p w14:paraId="3E2E3ADE" w14:textId="77777777" w:rsidR="0032585E" w:rsidRPr="007C4D65" w:rsidRDefault="0032585E" w:rsidP="0068355A">
      <w:pPr>
        <w:spacing w:before="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Priority 3.9 Raising ecological awareness on biodiversity, nature conservation and ecosystem services</w:t>
      </w:r>
    </w:p>
    <w:p w14:paraId="0E951BBC" w14:textId="095F7055" w:rsidR="0032585E" w:rsidRPr="007C4D65" w:rsidRDefault="0032585E" w:rsidP="0068355A">
      <w:pPr>
        <w:spacing w:before="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 xml:space="preserve">Measure 3.9.1. Develop an effective network of non-governmental organizations for monitoring the state of biodiversity/nature, with an active participation in </w:t>
      </w:r>
      <w:r w:rsidR="009F16BA" w:rsidRPr="007C4D65">
        <w:rPr>
          <w:rFonts w:asciiTheme="minorHAnsi" w:hAnsiTheme="minorHAnsi" w:cstheme="minorHAnsi"/>
          <w:i/>
          <w:sz w:val="22"/>
          <w:u w:val="single"/>
        </w:rPr>
        <w:t xml:space="preserve">decision-making  </w:t>
      </w:r>
      <w:r w:rsidRPr="007C4D65">
        <w:rPr>
          <w:rFonts w:asciiTheme="minorHAnsi" w:hAnsiTheme="minorHAnsi" w:cstheme="minorHAnsi"/>
          <w:i/>
          <w:sz w:val="22"/>
          <w:u w:val="single"/>
        </w:rPr>
        <w:t xml:space="preserve"> and promotion of sustainable development</w:t>
      </w:r>
    </w:p>
    <w:p w14:paraId="0955C0E9" w14:textId="7DEA6280" w:rsidR="0032585E" w:rsidRPr="007C4D65" w:rsidRDefault="0032585E" w:rsidP="0068355A">
      <w:pPr>
        <w:spacing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The aim of this measure is to strengthen the capacity and role of the non-governmental sector as an active component of the biodiversity/nature conservation framework. In addition, the measure envisages activities aimed at developing cooperation between the governmental institutions and the nongovernmental sector.</w:t>
      </w:r>
    </w:p>
    <w:p w14:paraId="39D6544E" w14:textId="6525B564" w:rsidR="0032585E" w:rsidRPr="007C4D65" w:rsidRDefault="0032585E" w:rsidP="0068355A">
      <w:pPr>
        <w:spacing w:before="40" w:after="40" w:line="276" w:lineRule="auto"/>
        <w:jc w:val="both"/>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3.9.2. Enhance support for education of teaching staff at all levels of education </w:t>
      </w:r>
      <w:proofErr w:type="gramStart"/>
      <w:r w:rsidRPr="007C4D65">
        <w:rPr>
          <w:rFonts w:asciiTheme="minorHAnsi" w:hAnsiTheme="minorHAnsi" w:cstheme="minorHAnsi"/>
          <w:i/>
          <w:sz w:val="22"/>
          <w:u w:val="single"/>
        </w:rPr>
        <w:t>in the area of</w:t>
      </w:r>
      <w:proofErr w:type="gramEnd"/>
      <w:r w:rsidRPr="007C4D65">
        <w:rPr>
          <w:rFonts w:asciiTheme="minorHAnsi" w:hAnsiTheme="minorHAnsi" w:cstheme="minorHAnsi"/>
          <w:i/>
          <w:sz w:val="22"/>
          <w:u w:val="single"/>
        </w:rPr>
        <w:t xml:space="preserve"> biodiversity conservation and sustainable management of benefits of the nature </w:t>
      </w:r>
      <w:r w:rsidR="007436F1" w:rsidRPr="007C4D65">
        <w:rPr>
          <w:rFonts w:asciiTheme="minorHAnsi" w:hAnsiTheme="minorHAnsi" w:cstheme="minorHAnsi"/>
          <w:i/>
          <w:sz w:val="22"/>
          <w:u w:val="single"/>
        </w:rPr>
        <w:t>in the Federation of BiH</w:t>
      </w:r>
    </w:p>
    <w:p w14:paraId="6E6D0DDF" w14:textId="685FBAA4" w:rsidR="0032585E" w:rsidRPr="007C4D65" w:rsidRDefault="0032585E" w:rsidP="0068355A">
      <w:pPr>
        <w:spacing w:before="40" w:after="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The aim of this measure is to strengthen the capacity for the purpose of innovating the content of the educational process through teaching about the values of local biodiversity/nature</w:t>
      </w:r>
      <w:r w:rsidR="00A100D8" w:rsidRPr="007C4D65">
        <w:rPr>
          <w:rFonts w:asciiTheme="minorHAnsi" w:hAnsiTheme="minorHAnsi" w:cstheme="minorHAnsi"/>
          <w:sz w:val="22"/>
        </w:rPr>
        <w:t>.</w:t>
      </w:r>
      <w:r w:rsidRPr="007C4D65">
        <w:rPr>
          <w:rFonts w:asciiTheme="minorHAnsi" w:hAnsiTheme="minorHAnsi" w:cstheme="minorHAnsi"/>
          <w:sz w:val="22"/>
        </w:rPr>
        <w:t xml:space="preserve"> The measure also envisages activities on fostering cooperation between the environmental sector and the education sector in the Federation of BiH</w:t>
      </w:r>
      <w:r w:rsidR="00A100D8" w:rsidRPr="007C4D65">
        <w:rPr>
          <w:rFonts w:asciiTheme="minorHAnsi" w:hAnsiTheme="minorHAnsi" w:cstheme="minorHAnsi"/>
          <w:sz w:val="22"/>
        </w:rPr>
        <w:t>.</w:t>
      </w:r>
    </w:p>
    <w:p w14:paraId="68BA2689" w14:textId="38374E07" w:rsidR="0032585E" w:rsidRPr="007C4D65" w:rsidRDefault="0032585E" w:rsidP="0068355A">
      <w:pPr>
        <w:spacing w:before="240" w:after="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 xml:space="preserve">Priority 3.10 Mobilise both local and international funds for biodiversity </w:t>
      </w:r>
      <w:r w:rsidR="007436F1" w:rsidRPr="007C4D65">
        <w:rPr>
          <w:rFonts w:asciiTheme="minorHAnsi" w:hAnsiTheme="minorHAnsi" w:cstheme="minorHAnsi"/>
          <w:b/>
          <w:i/>
          <w:sz w:val="22"/>
          <w:u w:val="single"/>
        </w:rPr>
        <w:t>of the Federation of BiH</w:t>
      </w:r>
    </w:p>
    <w:p w14:paraId="48653FCB" w14:textId="3B88173F" w:rsidR="0032585E" w:rsidRPr="007C4D65" w:rsidRDefault="0032585E" w:rsidP="0068355A">
      <w:pPr>
        <w:spacing w:before="40" w:after="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lastRenderedPageBreak/>
        <w:t>Measure 3.10.1. Ensuring funds for: (a) development of the institutional framework capacities in accordance with an upgraded legal framework for biodiversity/nature of the Federation of BiH, (b) preparation of habitats mapping, (c) inventories and monitoring of the state of flora, fauna and genetical resources (d) effective implementation of the global goals for biodiversity, and the implementation of the obligations arising from the international agreements signed by BiH, including development of the ecological network, (e) promotion of a continued dialogue between the science and politics, (f) raising the ecological awareness</w:t>
      </w:r>
    </w:p>
    <w:p w14:paraId="6F4D2968" w14:textId="6EF0946A" w:rsidR="0032585E" w:rsidRPr="007C4D65" w:rsidRDefault="0032585E"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This measure is aimed at capacity building and at ensuring necessary conditions for the implementation of measures, </w:t>
      </w:r>
      <w:proofErr w:type="gramStart"/>
      <w:r w:rsidRPr="007C4D65">
        <w:rPr>
          <w:rFonts w:asciiTheme="minorHAnsi" w:hAnsiTheme="minorHAnsi" w:cstheme="minorHAnsi"/>
          <w:sz w:val="22"/>
        </w:rPr>
        <w:t>in order to</w:t>
      </w:r>
      <w:proofErr w:type="gramEnd"/>
      <w:r w:rsidRPr="007C4D65">
        <w:rPr>
          <w:rFonts w:asciiTheme="minorHAnsi" w:hAnsiTheme="minorHAnsi" w:cstheme="minorHAnsi"/>
          <w:sz w:val="22"/>
        </w:rPr>
        <w:t xml:space="preserve"> successfully implement the priorities and the general strategic goal for biodiversity and nature conservation</w:t>
      </w:r>
      <w:r w:rsidR="00A100D8" w:rsidRPr="007C4D65">
        <w:rPr>
          <w:rFonts w:asciiTheme="minorHAnsi" w:hAnsiTheme="minorHAnsi" w:cstheme="minorHAnsi"/>
          <w:sz w:val="22"/>
          <w:szCs w:val="22"/>
        </w:rPr>
        <w:t>.</w:t>
      </w:r>
    </w:p>
    <w:p w14:paraId="7E3A72BD" w14:textId="77777777" w:rsidR="0032585E" w:rsidRPr="007C4D65" w:rsidRDefault="00597D54" w:rsidP="0068355A">
      <w:pPr>
        <w:spacing w:after="160" w:line="276" w:lineRule="auto"/>
        <w:rPr>
          <w:rFonts w:asciiTheme="minorHAnsi" w:hAnsiTheme="minorHAnsi" w:cstheme="minorHAnsi"/>
          <w:sz w:val="22"/>
          <w:szCs w:val="22"/>
        </w:rPr>
      </w:pPr>
      <w:r w:rsidRPr="007C4D65">
        <w:rPr>
          <w:rFonts w:asciiTheme="minorHAnsi" w:hAnsiTheme="minorHAnsi" w:cstheme="minorHAnsi"/>
        </w:rPr>
        <w:br w:type="page"/>
      </w:r>
    </w:p>
    <w:p w14:paraId="2350B586" w14:textId="77777777" w:rsidR="00597D54" w:rsidRPr="007C4D65" w:rsidRDefault="00597D54">
      <w:pPr>
        <w:pStyle w:val="Head2"/>
        <w:spacing w:line="276" w:lineRule="auto"/>
        <w:rPr>
          <w:rFonts w:asciiTheme="minorHAnsi" w:hAnsiTheme="minorHAnsi"/>
        </w:rPr>
      </w:pPr>
      <w:bookmarkStart w:id="119" w:name="_Toc117445346"/>
      <w:r w:rsidRPr="007C4D65">
        <w:rPr>
          <w:rFonts w:asciiTheme="minorHAnsi" w:hAnsiTheme="minorHAnsi"/>
        </w:rPr>
        <w:lastRenderedPageBreak/>
        <w:t>Indicative Financial Framework</w:t>
      </w:r>
      <w:bookmarkEnd w:id="119"/>
    </w:p>
    <w:p w14:paraId="6A5088B4" w14:textId="0D5A6288" w:rsidR="00A047EC" w:rsidRPr="007C4D65" w:rsidRDefault="00795F37" w:rsidP="0068355A">
      <w:pPr>
        <w:spacing w:after="24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rPr>
        <w:t>C</w:t>
      </w:r>
      <w:r w:rsidR="00A047EC" w:rsidRPr="007C4D65">
        <w:rPr>
          <w:rFonts w:asciiTheme="minorHAnsi" w:hAnsiTheme="minorHAnsi" w:cstheme="minorHAnsi"/>
          <w:sz w:val="22"/>
        </w:rPr>
        <w:t xml:space="preserve">osts of the thematic area Biodiversity and Nature Conservation are estimated at BAM 53 million or 0,5% of the total </w:t>
      </w:r>
      <w:r w:rsidRPr="007C4D65">
        <w:rPr>
          <w:rFonts w:asciiTheme="minorHAnsi" w:hAnsiTheme="minorHAnsi" w:cstheme="minorHAnsi"/>
          <w:sz w:val="22"/>
        </w:rPr>
        <w:t>costs</w:t>
      </w:r>
      <w:r w:rsidR="00A047EC" w:rsidRPr="007C4D65">
        <w:rPr>
          <w:rFonts w:asciiTheme="minorHAnsi" w:hAnsiTheme="minorHAnsi" w:cstheme="minorHAnsi"/>
          <w:sz w:val="22"/>
        </w:rPr>
        <w:t>, which amount to BAM 11,9 billion. This thematic area comprises ten priorities and 25 measures. This thematic area at the same time ha</w:t>
      </w:r>
      <w:r w:rsidR="001B723D" w:rsidRPr="007C4D65">
        <w:rPr>
          <w:rFonts w:asciiTheme="minorHAnsi" w:hAnsiTheme="minorHAnsi" w:cstheme="minorHAnsi"/>
          <w:sz w:val="22"/>
        </w:rPr>
        <w:t>s</w:t>
      </w:r>
      <w:r w:rsidR="00A047EC" w:rsidRPr="007C4D65">
        <w:rPr>
          <w:rFonts w:asciiTheme="minorHAnsi" w:hAnsiTheme="minorHAnsi" w:cstheme="minorHAnsi"/>
          <w:sz w:val="22"/>
        </w:rPr>
        <w:t xml:space="preserve"> the largest number of priorities in the Strategy of the Federation of BiH. </w:t>
      </w:r>
      <w:r w:rsidR="001B723D" w:rsidRPr="007C4D65">
        <w:rPr>
          <w:rFonts w:asciiTheme="minorHAnsi" w:hAnsiTheme="minorHAnsi" w:cstheme="minorHAnsi"/>
          <w:sz w:val="22"/>
        </w:rPr>
        <w:t>The c</w:t>
      </w:r>
      <w:r w:rsidR="00A047EC" w:rsidRPr="007C4D65">
        <w:rPr>
          <w:rFonts w:asciiTheme="minorHAnsi" w:hAnsiTheme="minorHAnsi" w:cstheme="minorHAnsi"/>
          <w:sz w:val="22"/>
        </w:rPr>
        <w:t xml:space="preserve">ost estimate was </w:t>
      </w:r>
      <w:r w:rsidR="001B723D" w:rsidRPr="007C4D65">
        <w:rPr>
          <w:rFonts w:asciiTheme="minorHAnsi" w:hAnsiTheme="minorHAnsi" w:cstheme="minorHAnsi"/>
          <w:sz w:val="22"/>
        </w:rPr>
        <w:t>calculated</w:t>
      </w:r>
      <w:r w:rsidR="00A047EC" w:rsidRPr="007C4D65">
        <w:rPr>
          <w:rFonts w:asciiTheme="minorHAnsi" w:hAnsiTheme="minorHAnsi" w:cstheme="minorHAnsi"/>
          <w:sz w:val="22"/>
        </w:rPr>
        <w:t xml:space="preserve"> for all the measures in this thematic area. Three priorities which require most funds are 3.5 (</w:t>
      </w:r>
      <w:r w:rsidR="001B723D" w:rsidRPr="007C4D65">
        <w:rPr>
          <w:rFonts w:asciiTheme="minorHAnsi" w:hAnsiTheme="minorHAnsi" w:cstheme="minorHAnsi"/>
          <w:sz w:val="22"/>
        </w:rPr>
        <w:t>Complete</w:t>
      </w:r>
      <w:r w:rsidR="00A047EC" w:rsidRPr="007C4D65">
        <w:rPr>
          <w:rFonts w:asciiTheme="minorHAnsi" w:hAnsiTheme="minorHAnsi" w:cstheme="minorHAnsi"/>
          <w:sz w:val="22"/>
        </w:rPr>
        <w:t xml:space="preserve"> an inventory of biodiversity of the Federation of BiH at the ecosystem, species and genetic level) </w:t>
      </w:r>
      <w:r w:rsidR="001B723D" w:rsidRPr="007C4D65">
        <w:rPr>
          <w:rFonts w:asciiTheme="minorHAnsi" w:hAnsiTheme="minorHAnsi" w:cstheme="minorHAnsi"/>
          <w:sz w:val="22"/>
        </w:rPr>
        <w:t>which</w:t>
      </w:r>
      <w:r w:rsidR="00A047EC" w:rsidRPr="007C4D65">
        <w:rPr>
          <w:rFonts w:asciiTheme="minorHAnsi" w:hAnsiTheme="minorHAnsi" w:cstheme="minorHAnsi"/>
          <w:sz w:val="22"/>
        </w:rPr>
        <w:t xml:space="preserve"> accounts for 45% of the total sum, 3.2. (Strengthening </w:t>
      </w:r>
      <w:proofErr w:type="gramStart"/>
      <w:r w:rsidR="00A047EC" w:rsidRPr="007C4D65">
        <w:rPr>
          <w:rFonts w:asciiTheme="minorHAnsi" w:hAnsiTheme="minorHAnsi" w:cstheme="minorHAnsi"/>
          <w:sz w:val="22"/>
        </w:rPr>
        <w:t>the  institutions</w:t>
      </w:r>
      <w:proofErr w:type="gramEnd"/>
      <w:r w:rsidR="00A047EC" w:rsidRPr="007C4D65">
        <w:rPr>
          <w:rFonts w:asciiTheme="minorHAnsi" w:hAnsiTheme="minorHAnsi" w:cstheme="minorHAnsi"/>
          <w:sz w:val="22"/>
        </w:rPr>
        <w:t xml:space="preserve"> of the Federation of BiH responsible for the implementation of the nature conservation legislation and activities) 18%, and 3.6 (Integrate the ecologically significant areas into a single network which makes up 17% of the territory of the Federation of BiH) with 13% of the total sum. The total financial allocations for these three priorities account fo</w:t>
      </w:r>
      <w:r w:rsidR="002D2640" w:rsidRPr="007C4D65">
        <w:rPr>
          <w:rFonts w:asciiTheme="minorHAnsi" w:hAnsiTheme="minorHAnsi" w:cstheme="minorHAnsi"/>
          <w:sz w:val="22"/>
        </w:rPr>
        <w:t>r</w:t>
      </w:r>
      <w:r w:rsidR="00A047EC" w:rsidRPr="007C4D65">
        <w:rPr>
          <w:rFonts w:asciiTheme="minorHAnsi" w:hAnsiTheme="minorHAnsi" w:cstheme="minorHAnsi"/>
          <w:sz w:val="22"/>
        </w:rPr>
        <w:t xml:space="preserve"> 76% of the total sum, or BAM 40.9 million. </w:t>
      </w:r>
      <w:r w:rsidR="00A047EC" w:rsidRPr="007C4D65">
        <w:rPr>
          <w:rFonts w:asciiTheme="minorHAnsi" w:hAnsiTheme="minorHAnsi" w:cstheme="minorHAnsi"/>
          <w:color w:val="000000" w:themeColor="text1"/>
          <w:sz w:val="22"/>
        </w:rPr>
        <w:t>The other priorities in this thematic area account for less than 24% of the total estimated cost.</w:t>
      </w:r>
    </w:p>
    <w:p w14:paraId="2E9955FB" w14:textId="549043B3" w:rsidR="00A047EC" w:rsidRPr="007C4D65" w:rsidRDefault="00A047EC" w:rsidP="0068355A">
      <w:pPr>
        <w:spacing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rPr>
        <w:t>A detailed overview of the Indicative Financial Framework for the thematic area Biodiversity and Nature Conservation</w:t>
      </w:r>
      <w:r w:rsidR="0012427C" w:rsidRPr="007C4D65">
        <w:rPr>
          <w:rFonts w:asciiTheme="minorHAnsi" w:hAnsiTheme="minorHAnsi" w:cstheme="minorHAnsi"/>
          <w:sz w:val="22"/>
        </w:rPr>
        <w:t xml:space="preserve"> </w:t>
      </w:r>
      <w:r w:rsidRPr="007C4D65">
        <w:rPr>
          <w:rFonts w:asciiTheme="minorHAnsi" w:hAnsiTheme="minorHAnsi" w:cstheme="minorHAnsi"/>
          <w:sz w:val="22"/>
        </w:rPr>
        <w:t xml:space="preserve">and for the </w:t>
      </w:r>
      <w:r w:rsidRPr="007C4D65">
        <w:rPr>
          <w:rFonts w:asciiTheme="minorHAnsi" w:hAnsiTheme="minorHAnsi" w:cstheme="minorHAnsi"/>
          <w:color w:val="000000" w:themeColor="text1"/>
          <w:sz w:val="22"/>
        </w:rPr>
        <w:t>Federation of BiH is contained in Annex 9, including a table and pie chart.</w:t>
      </w:r>
    </w:p>
    <w:p w14:paraId="4B8449F0" w14:textId="77777777" w:rsidR="0048132A" w:rsidRPr="007C4D65" w:rsidRDefault="0048132A" w:rsidP="0068355A">
      <w:pPr>
        <w:spacing w:line="276" w:lineRule="auto"/>
        <w:rPr>
          <w:rFonts w:asciiTheme="minorHAnsi" w:hAnsiTheme="minorHAnsi" w:cstheme="minorHAnsi"/>
        </w:rPr>
      </w:pPr>
      <w:r w:rsidRPr="007C4D65">
        <w:rPr>
          <w:rFonts w:asciiTheme="minorHAnsi" w:hAnsiTheme="minorHAnsi" w:cstheme="minorHAnsi"/>
        </w:rPr>
        <w:br w:type="page"/>
      </w:r>
    </w:p>
    <w:p w14:paraId="2D15482B" w14:textId="77777777" w:rsidR="009272F9" w:rsidRPr="007C4D65" w:rsidRDefault="00597D54">
      <w:pPr>
        <w:pStyle w:val="Head1"/>
        <w:spacing w:after="240" w:line="276" w:lineRule="auto"/>
        <w:rPr>
          <w:rFonts w:asciiTheme="minorHAnsi" w:hAnsiTheme="minorHAnsi" w:cstheme="minorHAnsi"/>
        </w:rPr>
      </w:pPr>
      <w:bookmarkStart w:id="120" w:name="_Toc117445347"/>
      <w:r w:rsidRPr="007C4D65">
        <w:rPr>
          <w:rFonts w:asciiTheme="minorHAnsi" w:hAnsiTheme="minorHAnsi" w:cstheme="minorHAnsi"/>
        </w:rPr>
        <w:lastRenderedPageBreak/>
        <w:t>AIR QUALITY, CLIMATE CHANGE, AND ENERGY</w:t>
      </w:r>
      <w:bookmarkEnd w:id="120"/>
    </w:p>
    <w:p w14:paraId="247E5424" w14:textId="77777777" w:rsidR="00597D54" w:rsidRPr="007C4D65" w:rsidRDefault="00597D54">
      <w:pPr>
        <w:pStyle w:val="Head2"/>
        <w:spacing w:line="276" w:lineRule="auto"/>
        <w:rPr>
          <w:rFonts w:asciiTheme="minorHAnsi" w:hAnsiTheme="minorHAnsi"/>
        </w:rPr>
      </w:pPr>
      <w:bookmarkStart w:id="121" w:name="_Toc117445348"/>
      <w:r w:rsidRPr="007C4D65">
        <w:rPr>
          <w:rFonts w:asciiTheme="minorHAnsi" w:hAnsiTheme="minorHAnsi"/>
        </w:rPr>
        <w:t>Situation Analysis</w:t>
      </w:r>
      <w:bookmarkEnd w:id="121"/>
    </w:p>
    <w:p w14:paraId="1D6EBD9A" w14:textId="11FB3286" w:rsidR="009853BF" w:rsidRPr="007C4D65" w:rsidRDefault="009853B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Issues of air quality, climate change and energy has been affecting the development of the </w:t>
      </w:r>
      <w:r w:rsidR="00795F37" w:rsidRPr="007C4D65">
        <w:rPr>
          <w:rFonts w:asciiTheme="minorHAnsi" w:hAnsiTheme="minorHAnsi" w:cstheme="minorHAnsi"/>
          <w:sz w:val="22"/>
        </w:rPr>
        <w:t>Federation</w:t>
      </w:r>
      <w:r w:rsidRPr="007C4D65">
        <w:rPr>
          <w:rFonts w:asciiTheme="minorHAnsi" w:hAnsiTheme="minorHAnsi" w:cstheme="minorHAnsi"/>
          <w:sz w:val="22"/>
        </w:rPr>
        <w:t xml:space="preserve"> of BiH for quite some time already </w:t>
      </w:r>
      <w:proofErr w:type="gramStart"/>
      <w:r w:rsidRPr="007C4D65">
        <w:rPr>
          <w:rFonts w:asciiTheme="minorHAnsi" w:hAnsiTheme="minorHAnsi" w:cstheme="minorHAnsi"/>
          <w:sz w:val="22"/>
        </w:rPr>
        <w:t>In</w:t>
      </w:r>
      <w:proofErr w:type="gramEnd"/>
      <w:r w:rsidRPr="007C4D65">
        <w:rPr>
          <w:rFonts w:asciiTheme="minorHAnsi" w:hAnsiTheme="minorHAnsi" w:cstheme="minorHAnsi"/>
          <w:sz w:val="22"/>
        </w:rPr>
        <w:t xml:space="preserve"> order to </w:t>
      </w:r>
      <w:r w:rsidR="00795F37" w:rsidRPr="007C4D65">
        <w:rPr>
          <w:rFonts w:asciiTheme="minorHAnsi" w:hAnsiTheme="minorHAnsi" w:cstheme="minorHAnsi"/>
          <w:sz w:val="22"/>
        </w:rPr>
        <w:t>adequately</w:t>
      </w:r>
      <w:r w:rsidRPr="007C4D65">
        <w:rPr>
          <w:rFonts w:asciiTheme="minorHAnsi" w:hAnsiTheme="minorHAnsi" w:cstheme="minorHAnsi"/>
          <w:sz w:val="22"/>
        </w:rPr>
        <w:t xml:space="preserve"> address this, it is </w:t>
      </w:r>
      <w:r w:rsidR="00795F37" w:rsidRPr="007C4D65">
        <w:rPr>
          <w:rFonts w:asciiTheme="minorHAnsi" w:hAnsiTheme="minorHAnsi" w:cstheme="minorHAnsi"/>
          <w:sz w:val="22"/>
        </w:rPr>
        <w:t>necessary</w:t>
      </w:r>
      <w:r w:rsidRPr="007C4D65">
        <w:rPr>
          <w:rFonts w:asciiTheme="minorHAnsi" w:hAnsiTheme="minorHAnsi" w:cstheme="minorHAnsi"/>
          <w:sz w:val="22"/>
        </w:rPr>
        <w:t xml:space="preserve"> to obtain a clear understanding of the </w:t>
      </w:r>
      <w:r w:rsidRPr="007C4D65">
        <w:rPr>
          <w:rFonts w:asciiTheme="minorHAnsi" w:hAnsiTheme="minorHAnsi" w:cstheme="minorHAnsi"/>
          <w:b/>
          <w:sz w:val="22"/>
        </w:rPr>
        <w:t>baseline situation</w:t>
      </w:r>
      <w:r w:rsidRPr="007C4D65">
        <w:rPr>
          <w:rFonts w:asciiTheme="minorHAnsi" w:hAnsiTheme="minorHAnsi" w:cstheme="minorHAnsi"/>
          <w:sz w:val="22"/>
        </w:rPr>
        <w:t xml:space="preserve">. The following chapter offers a description of the baseline situation by </w:t>
      </w:r>
      <w:proofErr w:type="gramStart"/>
      <w:r w:rsidRPr="007C4D65">
        <w:rPr>
          <w:rFonts w:asciiTheme="minorHAnsi" w:hAnsiTheme="minorHAnsi" w:cstheme="minorHAnsi"/>
          <w:sz w:val="22"/>
        </w:rPr>
        <w:t>topics :</w:t>
      </w:r>
      <w:proofErr w:type="gramEnd"/>
      <w:r w:rsidRPr="007C4D65">
        <w:rPr>
          <w:rFonts w:asciiTheme="minorHAnsi" w:hAnsiTheme="minorHAnsi" w:cstheme="minorHAnsi"/>
          <w:sz w:val="22"/>
        </w:rPr>
        <w:t xml:space="preserve"> a) air quality, b) climate change, c) energy.). The chapter ends with a </w:t>
      </w:r>
      <w:r w:rsidR="00795F37" w:rsidRPr="007C4D65">
        <w:rPr>
          <w:rFonts w:asciiTheme="minorHAnsi" w:hAnsiTheme="minorHAnsi" w:cstheme="minorHAnsi"/>
          <w:sz w:val="22"/>
        </w:rPr>
        <w:t>summary</w:t>
      </w:r>
      <w:r w:rsidRPr="007C4D65">
        <w:rPr>
          <w:rFonts w:asciiTheme="minorHAnsi" w:hAnsiTheme="minorHAnsi" w:cstheme="minorHAnsi"/>
          <w:sz w:val="22"/>
        </w:rPr>
        <w:t xml:space="preserve"> of key challenges in these areas.</w:t>
      </w:r>
    </w:p>
    <w:p w14:paraId="3C6C6C3A" w14:textId="77777777" w:rsidR="00056348" w:rsidRPr="007C4D65" w:rsidRDefault="00056348" w:rsidP="0068355A">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Air quality</w:t>
      </w:r>
    </w:p>
    <w:p w14:paraId="2680B826" w14:textId="35428985" w:rsidR="009853BF" w:rsidRPr="007C4D65" w:rsidRDefault="009853B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Air pollution in several cities </w:t>
      </w:r>
      <w:r w:rsidR="007436F1" w:rsidRPr="007C4D65">
        <w:rPr>
          <w:rFonts w:asciiTheme="minorHAnsi" w:hAnsiTheme="minorHAnsi" w:cstheme="minorHAnsi"/>
          <w:sz w:val="22"/>
        </w:rPr>
        <w:t>in the Federation of BiH</w:t>
      </w:r>
      <w:r w:rsidRPr="007C4D65">
        <w:rPr>
          <w:rFonts w:asciiTheme="minorHAnsi" w:hAnsiTheme="minorHAnsi" w:cstheme="minorHAnsi"/>
          <w:sz w:val="22"/>
        </w:rPr>
        <w:t xml:space="preserve"> is particularly high in the winter season. The biggest cause behind this is the use of coal and fire wood in </w:t>
      </w:r>
      <w:r w:rsidR="001A31CC" w:rsidRPr="007C4D65">
        <w:rPr>
          <w:rFonts w:asciiTheme="minorHAnsi" w:hAnsiTheme="minorHAnsi" w:cstheme="minorHAnsi"/>
          <w:sz w:val="22"/>
        </w:rPr>
        <w:t>household stoves</w:t>
      </w:r>
      <w:r w:rsidRPr="007C4D65">
        <w:rPr>
          <w:rFonts w:asciiTheme="minorHAnsi" w:hAnsiTheme="minorHAnsi" w:cstheme="minorHAnsi"/>
          <w:sz w:val="22"/>
        </w:rPr>
        <w:t xml:space="preserve"> and emissions from transport, and additional cause in the industrial centres are emissions from industrial facilities Most urban areas in </w:t>
      </w:r>
      <w:proofErr w:type="gramStart"/>
      <w:r w:rsidRPr="007C4D65">
        <w:rPr>
          <w:rFonts w:asciiTheme="minorHAnsi" w:hAnsiTheme="minorHAnsi" w:cstheme="minorHAnsi"/>
          <w:sz w:val="22"/>
        </w:rPr>
        <w:t>the  Federation</w:t>
      </w:r>
      <w:proofErr w:type="gramEnd"/>
      <w:r w:rsidRPr="007C4D65">
        <w:rPr>
          <w:rFonts w:asciiTheme="minorHAnsi" w:hAnsiTheme="minorHAnsi" w:cstheme="minorHAnsi"/>
          <w:sz w:val="22"/>
        </w:rPr>
        <w:t xml:space="preserve"> of BiH are faced with high ambient concentration of fine particulate matter with adverse effect on human health. According to the results of air quality measurements, Sarajevo, Tuzla and </w:t>
      </w:r>
      <w:proofErr w:type="spellStart"/>
      <w:r w:rsidRPr="007C4D65">
        <w:rPr>
          <w:rFonts w:asciiTheme="minorHAnsi" w:hAnsiTheme="minorHAnsi" w:cstheme="minorHAnsi"/>
          <w:sz w:val="22"/>
        </w:rPr>
        <w:t>Zenica</w:t>
      </w:r>
      <w:proofErr w:type="spellEnd"/>
      <w:r w:rsidRPr="007C4D65">
        <w:rPr>
          <w:rFonts w:asciiTheme="minorHAnsi" w:hAnsiTheme="minorHAnsi" w:cstheme="minorHAnsi"/>
          <w:sz w:val="22"/>
        </w:rPr>
        <w:t xml:space="preserve"> are among the most polluted cities in Europe. In addition to anthropogenic influences, air quality is affected by geographic position of cities in valley areas and poor wind circulation in winter seasons</w:t>
      </w:r>
      <w:r w:rsidR="00A100D8" w:rsidRPr="007C4D65">
        <w:rPr>
          <w:rFonts w:asciiTheme="minorHAnsi" w:hAnsiTheme="minorHAnsi" w:cstheme="minorHAnsi"/>
          <w:sz w:val="22"/>
        </w:rPr>
        <w:t>.</w:t>
      </w:r>
    </w:p>
    <w:p w14:paraId="332563CB" w14:textId="7BD18068" w:rsidR="009853BF" w:rsidRPr="007C4D65" w:rsidRDefault="009853BF"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BiH media report on complaints about the air pollution among the </w:t>
      </w:r>
      <w:proofErr w:type="gramStart"/>
      <w:r w:rsidRPr="007C4D65">
        <w:rPr>
          <w:rFonts w:asciiTheme="minorHAnsi" w:hAnsiTheme="minorHAnsi" w:cstheme="minorHAnsi"/>
          <w:sz w:val="22"/>
        </w:rPr>
        <w:t>general public</w:t>
      </w:r>
      <w:proofErr w:type="gramEnd"/>
      <w:r w:rsidRPr="007C4D65">
        <w:rPr>
          <w:rFonts w:asciiTheme="minorHAnsi" w:hAnsiTheme="minorHAnsi" w:cstheme="minorHAnsi"/>
          <w:sz w:val="22"/>
        </w:rPr>
        <w:t xml:space="preserve">, which culminated in civic protests in several cities. In particular, the citizens are dissatisfied </w:t>
      </w:r>
      <w:r w:rsidR="00795F37" w:rsidRPr="007C4D65">
        <w:rPr>
          <w:rFonts w:asciiTheme="minorHAnsi" w:hAnsiTheme="minorHAnsi" w:cstheme="minorHAnsi"/>
          <w:sz w:val="22"/>
        </w:rPr>
        <w:t>because</w:t>
      </w:r>
      <w:r w:rsidRPr="007C4D65">
        <w:rPr>
          <w:rFonts w:asciiTheme="minorHAnsi" w:hAnsiTheme="minorHAnsi" w:cstheme="minorHAnsi"/>
          <w:sz w:val="22"/>
        </w:rPr>
        <w:t xml:space="preserve"> of the lack of access to easily available official information on air quality, impact of air pollution on health, or measures undertaken the official institutions are taking to ensure satisfactory air quality throughout the year. </w:t>
      </w:r>
      <w:r w:rsidRPr="007C4D65">
        <w:rPr>
          <w:rFonts w:asciiTheme="minorHAnsi" w:hAnsiTheme="minorHAnsi" w:cstheme="minorHAnsi"/>
        </w:rPr>
        <w:t>In 2016, three thermal power plants from BiH (</w:t>
      </w:r>
      <w:proofErr w:type="spellStart"/>
      <w:r w:rsidRPr="007C4D65">
        <w:rPr>
          <w:rFonts w:asciiTheme="minorHAnsi" w:hAnsiTheme="minorHAnsi" w:cstheme="minorHAnsi"/>
        </w:rPr>
        <w:t>Kakanj</w:t>
      </w:r>
      <w:proofErr w:type="spellEnd"/>
      <w:r w:rsidRPr="007C4D65">
        <w:rPr>
          <w:rFonts w:asciiTheme="minorHAnsi" w:hAnsiTheme="minorHAnsi" w:cstheme="minorHAnsi"/>
        </w:rPr>
        <w:t>, Tuzla and Ugljevik) were among the ten largest polluters</w:t>
      </w:r>
      <w:r w:rsidRPr="007C4D65">
        <w:rPr>
          <w:rFonts w:asciiTheme="minorHAnsi" w:hAnsiTheme="minorHAnsi" w:cstheme="minorHAnsi"/>
          <w:sz w:val="22"/>
        </w:rPr>
        <w:t xml:space="preserve"> in Europe </w:t>
      </w:r>
      <w:r w:rsidR="00CD728D" w:rsidRPr="007C4D65">
        <w:rPr>
          <w:rFonts w:asciiTheme="minorHAnsi" w:hAnsiTheme="minorHAnsi" w:cstheme="minorHAnsi"/>
          <w:sz w:val="22"/>
        </w:rPr>
        <w:fldChar w:fldCharType="begin"/>
      </w:r>
      <w:r w:rsidR="00CD728D" w:rsidRPr="007C4D65">
        <w:rPr>
          <w:rFonts w:asciiTheme="minorHAnsi" w:hAnsiTheme="minorHAnsi" w:cstheme="minorHAnsi"/>
          <w:sz w:val="22"/>
        </w:rPr>
        <w:instrText xml:space="preserve"> ADDIN ZOTERO_ITEM CSL_CITATION {"citationID":"RIEkq49E","properties":{"formattedCitation":"(N1 2020)","plainCitation":"(N1 2020)","noteIndex":0},"citationItems":[{"id":1483,"uris":["http://zotero.org/users/7192877/items/RNCXEKER"],"itemData":{"id":1483,"type":"article-newspaper","container-title":"N1","title":"Termoelektrane Kakanj, Tuzla i Ugljevik - među 10 najvećih evropskih zagađivača","URL":"http://ba.n1info.com/Vijesti/a404157/Termoelektrane-Kakanj-Tuzla-i-Ugljevik-medju-10-najvecih-evropskih-zagadjivaca.html","author":[{"family":"N1","given":""}],"issued":{"date-parts":[["2020",1,15]]}}}],"schema":"https://github.com/citation-style-language/schema/raw/master/csl-citation.json"} </w:instrText>
      </w:r>
      <w:r w:rsidR="00CD728D" w:rsidRPr="007C4D65">
        <w:rPr>
          <w:rFonts w:asciiTheme="minorHAnsi" w:hAnsiTheme="minorHAnsi" w:cstheme="minorHAnsi"/>
          <w:sz w:val="22"/>
        </w:rPr>
        <w:fldChar w:fldCharType="separate"/>
      </w:r>
      <w:r w:rsidR="00CD728D" w:rsidRPr="007C4D65">
        <w:rPr>
          <w:rFonts w:asciiTheme="minorHAnsi" w:hAnsiTheme="minorHAnsi" w:cstheme="minorHAnsi"/>
          <w:sz w:val="22"/>
        </w:rPr>
        <w:t>(N1</w:t>
      </w:r>
      <w:r w:rsidR="00925D49" w:rsidRPr="007C4D65">
        <w:rPr>
          <w:rFonts w:asciiTheme="minorHAnsi" w:hAnsiTheme="minorHAnsi" w:cstheme="minorHAnsi"/>
          <w:sz w:val="22"/>
        </w:rPr>
        <w:t>,</w:t>
      </w:r>
      <w:r w:rsidR="00CD728D" w:rsidRPr="007C4D65">
        <w:rPr>
          <w:rFonts w:asciiTheme="minorHAnsi" w:hAnsiTheme="minorHAnsi" w:cstheme="minorHAnsi"/>
          <w:sz w:val="22"/>
        </w:rPr>
        <w:t xml:space="preserve"> 2020)</w:t>
      </w:r>
      <w:r w:rsidR="00CD728D" w:rsidRPr="007C4D65">
        <w:rPr>
          <w:rFonts w:asciiTheme="minorHAnsi" w:hAnsiTheme="minorHAnsi" w:cstheme="minorHAnsi"/>
          <w:sz w:val="22"/>
        </w:rPr>
        <w:fldChar w:fldCharType="end"/>
      </w:r>
      <w:r w:rsidRPr="007C4D65">
        <w:rPr>
          <w:rFonts w:asciiTheme="minorHAnsi" w:hAnsiTheme="minorHAnsi" w:cstheme="minorHAnsi"/>
          <w:sz w:val="22"/>
        </w:rPr>
        <w:t>.</w:t>
      </w:r>
    </w:p>
    <w:p w14:paraId="3C72425B" w14:textId="19BDE50E" w:rsidR="00670EBC" w:rsidRPr="007C4D65" w:rsidRDefault="00670EBC"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According to a World Health Organisation's survey, BiH is ranked 5th, and/or 6th, together with Armenia by deaths rates from air pollution per 100.000 population</w:t>
      </w:r>
      <w:r w:rsidRPr="007C4D65">
        <w:rPr>
          <w:rFonts w:asciiTheme="minorHAnsi" w:hAnsiTheme="minorHAnsi" w:cstheme="minorHAnsi"/>
        </w:rPr>
        <w:t>.</w:t>
      </w:r>
      <w:r w:rsidR="00CD728D" w:rsidRPr="007C4D65">
        <w:rPr>
          <w:rFonts w:asciiTheme="minorHAnsi" w:hAnsiTheme="minorHAnsi" w:cstheme="minorHAnsi"/>
          <w:sz w:val="22"/>
        </w:rPr>
        <w:fldChar w:fldCharType="begin"/>
      </w:r>
      <w:r w:rsidR="00282995" w:rsidRPr="007C4D65">
        <w:rPr>
          <w:rFonts w:asciiTheme="minorHAnsi" w:hAnsiTheme="minorHAnsi" w:cstheme="minorHAnsi"/>
          <w:sz w:val="22"/>
        </w:rPr>
        <w:instrText xml:space="preserve"> ADDIN ZOTERO_ITEM CSL_CITATION {"citationID":"B6Oate1A","properties":{"formattedCitation":"(Radio Slobodna Evropa 2016)","plainCitation":"(Radio Slobodna Evropa 2016)","noteIndex":0},"citationItems":[{"id":1484,"uris":["http://zotero.org/users/7192877/items/6ADMYI3E"],"itemData":{"id":1484,"type":"article-newspaper","title":"Opasno življenje u magli zagađenja","URL":"https://www.slobodnaevropa.org/a/bih-zagadjenje/28188922.html","author":[{"literal":"Radio Slobodna Evropa"}],"issued":{"date-parts":[["2016"]]}}}],"schema":"https://github.com/citation-style-language/schema/raw/master/csl-citation.json"} </w:instrText>
      </w:r>
      <w:r w:rsidR="00CD728D" w:rsidRPr="007C4D65">
        <w:rPr>
          <w:rFonts w:asciiTheme="minorHAnsi" w:hAnsiTheme="minorHAnsi" w:cstheme="minorHAnsi"/>
          <w:sz w:val="22"/>
        </w:rPr>
        <w:fldChar w:fldCharType="separate"/>
      </w:r>
      <w:r w:rsidR="00CD728D" w:rsidRPr="007C4D65">
        <w:rPr>
          <w:rFonts w:asciiTheme="minorHAnsi" w:hAnsiTheme="minorHAnsi" w:cstheme="minorHAnsi"/>
          <w:sz w:val="22"/>
        </w:rPr>
        <w:t xml:space="preserve">(Radio </w:t>
      </w:r>
      <w:r w:rsidR="00795F37" w:rsidRPr="007C4D65">
        <w:rPr>
          <w:rFonts w:asciiTheme="minorHAnsi" w:hAnsiTheme="minorHAnsi" w:cstheme="minorHAnsi"/>
          <w:sz w:val="22"/>
        </w:rPr>
        <w:t>Free Europe</w:t>
      </w:r>
      <w:r w:rsidR="00925D49" w:rsidRPr="007C4D65">
        <w:rPr>
          <w:rFonts w:asciiTheme="minorHAnsi" w:hAnsiTheme="minorHAnsi" w:cstheme="minorHAnsi"/>
          <w:sz w:val="22"/>
        </w:rPr>
        <w:t>,</w:t>
      </w:r>
      <w:r w:rsidR="00CD728D" w:rsidRPr="007C4D65">
        <w:rPr>
          <w:rFonts w:asciiTheme="minorHAnsi" w:hAnsiTheme="minorHAnsi" w:cstheme="minorHAnsi"/>
          <w:sz w:val="22"/>
        </w:rPr>
        <w:t xml:space="preserve"> 2016)</w:t>
      </w:r>
      <w:r w:rsidR="00CD728D" w:rsidRPr="007C4D65">
        <w:rPr>
          <w:rFonts w:asciiTheme="minorHAnsi" w:hAnsiTheme="minorHAnsi" w:cstheme="minorHAnsi"/>
          <w:sz w:val="22"/>
        </w:rPr>
        <w:fldChar w:fldCharType="end"/>
      </w:r>
      <w:r w:rsidRPr="007C4D65">
        <w:rPr>
          <w:rFonts w:asciiTheme="minorHAnsi" w:hAnsiTheme="minorHAnsi" w:cstheme="minorHAnsi"/>
          <w:sz w:val="22"/>
        </w:rPr>
        <w:t xml:space="preserve">. In BiH, we see 3,300 premature deaths each year due to consequences of exposure to ambient air pollution with PM2.5 Death toll is more than double than mortality related to pollution of ambient air in North Macedonia (1,600 deaths) and more than four times larger than mortality related to pollution of ambient air in Kosovo (760 deaths). </w:t>
      </w:r>
      <w:r w:rsidRPr="007C4D65">
        <w:rPr>
          <w:rFonts w:asciiTheme="minorHAnsi" w:hAnsiTheme="minorHAnsi" w:cstheme="minorHAnsi"/>
        </w:rPr>
        <w:t>This analysis indicates that 9% of total annual mortality in BiH may be attributed to air pollution.</w:t>
      </w:r>
      <w:r w:rsidRPr="007C4D65">
        <w:rPr>
          <w:rFonts w:asciiTheme="minorHAnsi" w:hAnsiTheme="minorHAnsi" w:cstheme="minorHAnsi"/>
          <w:sz w:val="22"/>
        </w:rPr>
        <w:t xml:space="preserve"> </w:t>
      </w:r>
      <w:r w:rsidR="00CD728D" w:rsidRPr="007C4D65">
        <w:rPr>
          <w:rFonts w:asciiTheme="minorHAnsi" w:hAnsiTheme="minorHAnsi" w:cstheme="minorHAnsi"/>
          <w:sz w:val="22"/>
        </w:rPr>
        <w:fldChar w:fldCharType="begin"/>
      </w:r>
      <w:r w:rsidR="00282995" w:rsidRPr="007C4D65">
        <w:rPr>
          <w:rFonts w:asciiTheme="minorHAnsi" w:hAnsiTheme="minorHAnsi" w:cstheme="minorHAnsi"/>
          <w:sz w:val="22"/>
        </w:rPr>
        <w:instrText xml:space="preserve"> ADDIN ZOTERO_ITEM CSL_CITATION {"citationID":"FCY72a7t","properties":{"formattedCitation":"(Svjetska banka 2019)","plainCitation":"(Svjetska banka 2019)","noteIndex":0},"citationItems":[{"id":1485,"uris":["http://zotero.org/users/7192877/items/TIG7DB98"],"itemData":{"id":1485,"type":"report","publisher":"Svjetska banka","title":"Upravljanje zagađenjem zraka u Bosni i Hercegovini","author":[{"literal":"Svjetska banka"}],"issued":{"date-parts":[["2019"]]}}}],"schema":"https://github.com/citation-style-language/schema/raw/master/csl-citation.json"} </w:instrText>
      </w:r>
      <w:r w:rsidR="00CD728D" w:rsidRPr="007C4D65">
        <w:rPr>
          <w:rFonts w:asciiTheme="minorHAnsi" w:hAnsiTheme="minorHAnsi" w:cstheme="minorHAnsi"/>
          <w:sz w:val="22"/>
        </w:rPr>
        <w:fldChar w:fldCharType="separate"/>
      </w:r>
      <w:r w:rsidR="00282995" w:rsidRPr="007C4D65">
        <w:rPr>
          <w:rFonts w:asciiTheme="minorHAnsi" w:hAnsiTheme="minorHAnsi" w:cstheme="minorHAnsi"/>
          <w:sz w:val="22"/>
        </w:rPr>
        <w:t>(</w:t>
      </w:r>
      <w:r w:rsidR="00795F37" w:rsidRPr="007C4D65">
        <w:rPr>
          <w:rFonts w:asciiTheme="minorHAnsi" w:hAnsiTheme="minorHAnsi" w:cstheme="minorHAnsi"/>
          <w:sz w:val="22"/>
        </w:rPr>
        <w:t>World Bank</w:t>
      </w:r>
      <w:r w:rsidR="00925D49" w:rsidRPr="007C4D65">
        <w:rPr>
          <w:rFonts w:asciiTheme="minorHAnsi" w:hAnsiTheme="minorHAnsi" w:cstheme="minorHAnsi"/>
          <w:sz w:val="22"/>
        </w:rPr>
        <w:t>,</w:t>
      </w:r>
      <w:r w:rsidR="00282995" w:rsidRPr="007C4D65">
        <w:rPr>
          <w:rFonts w:asciiTheme="minorHAnsi" w:hAnsiTheme="minorHAnsi" w:cstheme="minorHAnsi"/>
          <w:sz w:val="22"/>
        </w:rPr>
        <w:t xml:space="preserve"> 2019)</w:t>
      </w:r>
      <w:r w:rsidR="00CD728D" w:rsidRPr="007C4D65">
        <w:rPr>
          <w:rFonts w:asciiTheme="minorHAnsi" w:hAnsiTheme="minorHAnsi" w:cstheme="minorHAnsi"/>
          <w:sz w:val="22"/>
        </w:rPr>
        <w:fldChar w:fldCharType="end"/>
      </w:r>
      <w:r w:rsidRPr="007C4D65">
        <w:rPr>
          <w:rFonts w:asciiTheme="minorHAnsi" w:hAnsiTheme="minorHAnsi" w:cstheme="minorHAnsi"/>
          <w:sz w:val="22"/>
        </w:rPr>
        <w:t>.</w:t>
      </w:r>
    </w:p>
    <w:p w14:paraId="06686E36" w14:textId="1C0AF7E9" w:rsidR="00056348" w:rsidRPr="007C4D65" w:rsidRDefault="008A12AE"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Federation of BiH adopted the legislative framework for air quality management.  However, the application remains limited, and the principal shortcoming of the air quality management system is the lack of intersectoral approach </w:t>
      </w:r>
      <w:r w:rsidRPr="007C4D65">
        <w:rPr>
          <w:rFonts w:asciiTheme="minorHAnsi" w:hAnsiTheme="minorHAnsi" w:cstheme="minorHAnsi"/>
          <w:b/>
          <w:i/>
          <w:sz w:val="22"/>
        </w:rPr>
        <w:t>Table</w:t>
      </w:r>
      <w:r w:rsidRPr="007C4D65">
        <w:rPr>
          <w:rFonts w:asciiTheme="minorHAnsi" w:hAnsiTheme="minorHAnsi" w:cstheme="minorHAnsi"/>
          <w:sz w:val="22"/>
        </w:rPr>
        <w:t xml:space="preserve"> </w:t>
      </w:r>
      <w:r w:rsidR="002E6CAD" w:rsidRPr="007C4D65">
        <w:rPr>
          <w:rFonts w:asciiTheme="minorHAnsi" w:hAnsiTheme="minorHAnsi" w:cstheme="minorHAnsi"/>
          <w:b/>
          <w:i/>
          <w:sz w:val="22"/>
        </w:rPr>
        <w:fldChar w:fldCharType="begin"/>
      </w:r>
      <w:r w:rsidR="002E6CAD" w:rsidRPr="007C4D65">
        <w:rPr>
          <w:rFonts w:asciiTheme="minorHAnsi" w:hAnsiTheme="minorHAnsi" w:cstheme="minorHAnsi"/>
          <w:b/>
          <w:i/>
          <w:sz w:val="22"/>
        </w:rPr>
        <w:instrText xml:space="preserve"> REF tabela16 \h  \* MERGEFORMAT </w:instrText>
      </w:r>
      <w:r w:rsidR="002E6CAD" w:rsidRPr="007C4D65">
        <w:rPr>
          <w:rFonts w:asciiTheme="minorHAnsi" w:hAnsiTheme="minorHAnsi" w:cstheme="minorHAnsi"/>
          <w:b/>
          <w:i/>
          <w:sz w:val="22"/>
        </w:rPr>
      </w:r>
      <w:r w:rsidR="002E6CAD" w:rsidRPr="007C4D65">
        <w:rPr>
          <w:rFonts w:asciiTheme="minorHAnsi" w:hAnsiTheme="minorHAnsi" w:cstheme="minorHAnsi"/>
          <w:b/>
          <w:i/>
          <w:sz w:val="22"/>
        </w:rPr>
        <w:fldChar w:fldCharType="separate"/>
      </w:r>
      <w:r w:rsidR="00005022" w:rsidRPr="007C4D65">
        <w:rPr>
          <w:rFonts w:asciiTheme="minorHAnsi" w:hAnsiTheme="minorHAnsi" w:cstheme="minorHAnsi"/>
          <w:b/>
          <w:i/>
          <w:sz w:val="22"/>
        </w:rPr>
        <w:t>16</w:t>
      </w:r>
      <w:r w:rsidR="002E6CAD" w:rsidRPr="007C4D65">
        <w:rPr>
          <w:rFonts w:asciiTheme="minorHAnsi" w:hAnsiTheme="minorHAnsi" w:cstheme="minorHAnsi"/>
          <w:b/>
          <w:i/>
          <w:sz w:val="22"/>
        </w:rPr>
        <w:fldChar w:fldCharType="end"/>
      </w:r>
      <w:r w:rsidRPr="007C4D65">
        <w:rPr>
          <w:rFonts w:asciiTheme="minorHAnsi" w:hAnsiTheme="minorHAnsi" w:cstheme="minorHAnsi"/>
          <w:b/>
          <w:i/>
          <w:sz w:val="22"/>
        </w:rPr>
        <w:t xml:space="preserve"> </w:t>
      </w:r>
      <w:r w:rsidRPr="007C4D65">
        <w:rPr>
          <w:rFonts w:asciiTheme="minorHAnsi" w:hAnsiTheme="minorHAnsi" w:cstheme="minorHAnsi"/>
          <w:sz w:val="22"/>
        </w:rPr>
        <w:t xml:space="preserve">provides an overview of the air quality limit values which  are specified in the Rulebook on monitoring air quality and identifying types of pollutants, defining limit values and other standards of air quality  </w:t>
      </w:r>
      <w:r w:rsidR="00DA01B2" w:rsidRPr="007C4D65">
        <w:rPr>
          <w:rFonts w:asciiTheme="minorHAnsi" w:hAnsiTheme="minorHAnsi" w:cstheme="minorHAnsi"/>
          <w:sz w:val="22"/>
        </w:rPr>
        <w:fldChar w:fldCharType="begin"/>
      </w:r>
      <w:r w:rsidR="00CE1A95" w:rsidRPr="007C4D65">
        <w:rPr>
          <w:rFonts w:asciiTheme="minorHAnsi" w:hAnsiTheme="minorHAnsi" w:cstheme="minorHAnsi"/>
          <w:sz w:val="22"/>
        </w:rPr>
        <w:instrText xml:space="preserve"> ADDIN ZOTERO_ITEM CSL_CITATION {"citationID":"JljDx2tQ","properties":{"formattedCitation":"(Sl. glasnik FBiH, br. 01/12 2012)","plainCitation":"(Sl. glasnik FBiH, br. 01/12 2012)","dontUpdate":true,"noteIndex":0},"citationItems":[{"id":1486,"uris":["http://zotero.org/users/7192877/items/TLL2H3FX"],"itemData":{"id":1486,"type":"legislation","title":"Pravilnik o načinu vršenja monitoringa kvaliteta zraka i definiranju vrsta zagađujućih materija, graničnih vrijednosti i drugih standarda kvaliteta zraka","URL":"http://www.fuzip.gov.ba/bundles/websitenews/gallery/files/113/149692860958_Pravilnik_o_na%C4%8Dinu_vr%C5%A1enja_monitoringa_kvaliteta_i_definiranju_vrsta_zaga%C4%91uju%C4%87ih_materija,_grani%C4%8Dnih_vrijednosti_i_drugih_(_Slu%C5%BEbene_novine_FBiH_,_broj__1_12).pdf","author":[{"family":"\"Sl. novine Federacije BiH\", broj 01/12","given":""}],"issued":{"date-parts":[["2012"]]}}}],"schema":"https://github.com/citation-style-language/schema/raw/master/csl-citation.json"} </w:instrText>
      </w:r>
      <w:r w:rsidR="00DA01B2" w:rsidRPr="007C4D65">
        <w:rPr>
          <w:rFonts w:asciiTheme="minorHAnsi" w:hAnsiTheme="minorHAnsi" w:cstheme="minorHAnsi"/>
          <w:sz w:val="22"/>
        </w:rPr>
        <w:fldChar w:fldCharType="separate"/>
      </w:r>
      <w:r w:rsidR="00497745" w:rsidRPr="007C4D65">
        <w:rPr>
          <w:rFonts w:asciiTheme="minorHAnsi" w:hAnsiTheme="minorHAnsi" w:cstheme="minorHAnsi"/>
          <w:sz w:val="22"/>
        </w:rPr>
        <w:t>(</w:t>
      </w:r>
      <w:r w:rsidR="00925D49" w:rsidRPr="007C4D65">
        <w:rPr>
          <w:rFonts w:asciiTheme="minorHAnsi" w:hAnsiTheme="minorHAnsi" w:cstheme="minorHAnsi"/>
          <w:sz w:val="22"/>
        </w:rPr>
        <w:t>"</w:t>
      </w:r>
      <w:r w:rsidR="00116A22" w:rsidRPr="007C4D65">
        <w:rPr>
          <w:rFonts w:asciiTheme="minorHAnsi" w:hAnsiTheme="minorHAnsi" w:cstheme="minorHAnsi"/>
          <w:sz w:val="22"/>
        </w:rPr>
        <w:t xml:space="preserve">Official Gazette of the </w:t>
      </w:r>
      <w:r w:rsidR="007F4BA8" w:rsidRPr="007C4D65">
        <w:rPr>
          <w:rFonts w:asciiTheme="minorHAnsi" w:hAnsiTheme="minorHAnsi" w:cstheme="minorHAnsi"/>
          <w:sz w:val="22"/>
        </w:rPr>
        <w:t xml:space="preserve">Federation of BiH“, </w:t>
      </w:r>
      <w:r w:rsidR="00497745" w:rsidRPr="007C4D65">
        <w:rPr>
          <w:rFonts w:asciiTheme="minorHAnsi" w:hAnsiTheme="minorHAnsi" w:cstheme="minorHAnsi"/>
          <w:sz w:val="22"/>
        </w:rPr>
        <w:t>01/12)</w:t>
      </w:r>
      <w:r w:rsidR="00DA01B2" w:rsidRPr="007C4D65">
        <w:rPr>
          <w:rFonts w:asciiTheme="minorHAnsi" w:hAnsiTheme="minorHAnsi" w:cstheme="minorHAnsi"/>
          <w:sz w:val="22"/>
        </w:rPr>
        <w:fldChar w:fldCharType="end"/>
      </w:r>
      <w:r w:rsidRPr="007C4D65">
        <w:rPr>
          <w:rFonts w:asciiTheme="minorHAnsi" w:hAnsiTheme="minorHAnsi" w:cstheme="minorHAnsi"/>
          <w:sz w:val="22"/>
        </w:rPr>
        <w:t>.</w:t>
      </w:r>
    </w:p>
    <w:p w14:paraId="6F58B63A" w14:textId="2F3809D9" w:rsidR="00670EBC" w:rsidRPr="007C4D65" w:rsidRDefault="00670EBC"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In the Federation of BiH,  air quality monitoring is conducted by a number of operators withing the Federation’s network of measuring stations (managed by Hydrometeorological Institute of the Federation - FHMI) and local networks of stations managed by cantons and municipalities In the last </w:t>
      </w:r>
      <w:r w:rsidRPr="007C4D65">
        <w:rPr>
          <w:rFonts w:asciiTheme="minorHAnsi" w:hAnsiTheme="minorHAnsi" w:cstheme="minorHAnsi"/>
          <w:sz w:val="22"/>
        </w:rPr>
        <w:lastRenderedPageBreak/>
        <w:t xml:space="preserve">few years, the number of measuring sites has increased, so that in 2020 the FHMI was collecting and processing data from a total of 21 measuring sites, while the total number of the stations in 2020 was 24. The measuring sites are unequally distributed </w:t>
      </w:r>
      <w:r w:rsidR="005A5882" w:rsidRPr="007C4D65">
        <w:rPr>
          <w:rFonts w:asciiTheme="minorHAnsi" w:hAnsiTheme="minorHAnsi" w:cstheme="minorHAnsi"/>
          <w:sz w:val="22"/>
        </w:rPr>
        <w:t>across</w:t>
      </w:r>
      <w:r w:rsidRPr="007C4D65">
        <w:rPr>
          <w:rFonts w:asciiTheme="minorHAnsi" w:hAnsiTheme="minorHAnsi" w:cstheme="minorHAnsi"/>
          <w:sz w:val="22"/>
        </w:rPr>
        <w:t xml:space="preserve"> the </w:t>
      </w:r>
      <w:r w:rsidR="005A5882" w:rsidRPr="007C4D65">
        <w:rPr>
          <w:rFonts w:asciiTheme="minorHAnsi" w:hAnsiTheme="minorHAnsi" w:cstheme="minorHAnsi"/>
          <w:sz w:val="22"/>
        </w:rPr>
        <w:t>territory</w:t>
      </w:r>
      <w:r w:rsidRPr="007C4D65">
        <w:rPr>
          <w:rFonts w:asciiTheme="minorHAnsi" w:hAnsiTheme="minorHAnsi" w:cstheme="minorHAnsi"/>
          <w:sz w:val="22"/>
        </w:rPr>
        <w:t xml:space="preserve">, however, with the development of the network of stations this inequality has slowly </w:t>
      </w:r>
      <w:r w:rsidR="005A5882" w:rsidRPr="007C4D65">
        <w:rPr>
          <w:rFonts w:asciiTheme="minorHAnsi" w:hAnsiTheme="minorHAnsi" w:cstheme="minorHAnsi"/>
          <w:sz w:val="22"/>
        </w:rPr>
        <w:t>disappeared</w:t>
      </w:r>
      <w:r w:rsidRPr="007C4D65">
        <w:rPr>
          <w:rFonts w:asciiTheme="minorHAnsi" w:hAnsiTheme="minorHAnsi" w:cstheme="minorHAnsi"/>
          <w:sz w:val="22"/>
        </w:rPr>
        <w:t xml:space="preserve">. As expected, a majority of the measuring sites are in the area of Sarajevo, the valley of River Bosna and Tuzla </w:t>
      </w:r>
      <w:proofErr w:type="gramStart"/>
      <w:r w:rsidRPr="007C4D65">
        <w:rPr>
          <w:rFonts w:asciiTheme="minorHAnsi" w:hAnsiTheme="minorHAnsi" w:cstheme="minorHAnsi"/>
          <w:sz w:val="22"/>
        </w:rPr>
        <w:t>Canton,  given</w:t>
      </w:r>
      <w:proofErr w:type="gramEnd"/>
      <w:r w:rsidRPr="007C4D65">
        <w:rPr>
          <w:rFonts w:asciiTheme="minorHAnsi" w:hAnsiTheme="minorHAnsi" w:cstheme="minorHAnsi"/>
          <w:sz w:val="22"/>
        </w:rPr>
        <w:t xml:space="preserve"> the biggest population density in these areas, as well as the most compromised air quality there. 2020 saw the development of a Rulebook on control and quality assurance for air quality measurements, comprising guidelines and procedures operators engaged in monitoring of the air quality.</w:t>
      </w:r>
    </w:p>
    <w:p w14:paraId="3953BA25" w14:textId="5B90B951" w:rsidR="00056348" w:rsidRPr="007C4D65" w:rsidRDefault="001B27C0" w:rsidP="0068355A">
      <w:pPr>
        <w:pStyle w:val="Caption"/>
        <w:spacing w:line="276" w:lineRule="auto"/>
        <w:rPr>
          <w:rFonts w:asciiTheme="minorHAnsi" w:hAnsiTheme="minorHAnsi" w:cstheme="minorHAnsi"/>
          <w:b w:val="0"/>
          <w:bCs/>
        </w:rPr>
      </w:pPr>
      <w:bookmarkStart w:id="122" w:name="_Toc117011595"/>
      <w:r w:rsidRPr="007C4D65">
        <w:rPr>
          <w:rFonts w:asciiTheme="minorHAnsi" w:hAnsiTheme="minorHAnsi" w:cstheme="minorHAnsi"/>
        </w:rPr>
        <w:t xml:space="preserve">Table </w:t>
      </w:r>
      <w:bookmarkStart w:id="123" w:name="tabela16"/>
      <w:r w:rsidRPr="007C4D65">
        <w:rPr>
          <w:rFonts w:asciiTheme="minorHAnsi" w:hAnsiTheme="minorHAnsi" w:cstheme="minorHAnsi"/>
        </w:rPr>
        <w:fldChar w:fldCharType="begin"/>
      </w:r>
      <w:r w:rsidRPr="007C4D65">
        <w:rPr>
          <w:rFonts w:asciiTheme="minorHAnsi" w:hAnsiTheme="minorHAnsi" w:cstheme="minorHAnsi"/>
        </w:rPr>
        <w:instrText xml:space="preserve"> SEQ Tabela \* ARABIC </w:instrText>
      </w:r>
      <w:r w:rsidRPr="007C4D65">
        <w:rPr>
          <w:rFonts w:asciiTheme="minorHAnsi" w:hAnsiTheme="minorHAnsi" w:cstheme="minorHAnsi"/>
        </w:rPr>
        <w:fldChar w:fldCharType="separate"/>
      </w:r>
      <w:r w:rsidR="00005022" w:rsidRPr="007C4D65">
        <w:rPr>
          <w:rFonts w:asciiTheme="minorHAnsi" w:hAnsiTheme="minorHAnsi" w:cstheme="minorHAnsi"/>
          <w:noProof/>
        </w:rPr>
        <w:t>16</w:t>
      </w:r>
      <w:r w:rsidRPr="007C4D65">
        <w:rPr>
          <w:rFonts w:asciiTheme="minorHAnsi" w:hAnsiTheme="minorHAnsi" w:cstheme="minorHAnsi"/>
        </w:rPr>
        <w:fldChar w:fldCharType="end"/>
      </w:r>
      <w:bookmarkEnd w:id="123"/>
      <w:r w:rsidRPr="007C4D65">
        <w:rPr>
          <w:rFonts w:asciiTheme="minorHAnsi" w:hAnsiTheme="minorHAnsi" w:cstheme="minorHAnsi"/>
        </w:rPr>
        <w:t xml:space="preserve">: </w:t>
      </w:r>
      <w:r w:rsidRPr="007C4D65">
        <w:rPr>
          <w:rFonts w:asciiTheme="minorHAnsi" w:hAnsiTheme="minorHAnsi" w:cstheme="minorHAnsi"/>
          <w:b w:val="0"/>
        </w:rPr>
        <w:t>Air quality limit values in the Federation of BiH</w:t>
      </w:r>
      <w:bookmarkEnd w:id="122"/>
    </w:p>
    <w:tbl>
      <w:tblPr>
        <w:tblStyle w:val="LightList-Accent5"/>
        <w:tblW w:w="486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170"/>
        <w:gridCol w:w="2127"/>
        <w:gridCol w:w="2128"/>
        <w:gridCol w:w="3348"/>
      </w:tblGrid>
      <w:tr w:rsidR="00670EBC" w:rsidRPr="007C4D65" w14:paraId="69B9648F" w14:textId="77777777" w:rsidTr="00D51C0E">
        <w:trPr>
          <w:cnfStyle w:val="100000000000" w:firstRow="1" w:lastRow="0" w:firstColumn="0" w:lastColumn="0" w:oddVBand="0" w:evenVBand="0" w:oddHBand="0" w:evenHBand="0" w:firstRowFirstColumn="0" w:firstRowLastColumn="0" w:lastRowFirstColumn="0" w:lastRowLastColumn="0"/>
          <w:trHeight w:val="323"/>
          <w:tblHeader/>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D73"/>
            <w:vAlign w:val="center"/>
            <w:hideMark/>
          </w:tcPr>
          <w:p w14:paraId="5C18E6A5" w14:textId="77777777" w:rsidR="00670EBC" w:rsidRPr="007C4D65" w:rsidRDefault="00670EBC" w:rsidP="0068355A">
            <w:pPr>
              <w:widowControl w:val="0"/>
              <w:autoSpaceDE w:val="0"/>
              <w:autoSpaceDN w:val="0"/>
              <w:spacing w:before="0" w:beforeAutospacing="0" w:afterAutospacing="0" w:line="276" w:lineRule="auto"/>
              <w:ind w:right="117"/>
              <w:jc w:val="center"/>
              <w:rPr>
                <w:rFonts w:asciiTheme="minorHAnsi" w:eastAsia="Arial" w:hAnsiTheme="minorHAnsi" w:cstheme="minorHAnsi"/>
                <w:sz w:val="18"/>
                <w:szCs w:val="18"/>
              </w:rPr>
            </w:pPr>
            <w:r w:rsidRPr="007C4D65">
              <w:rPr>
                <w:rFonts w:asciiTheme="minorHAnsi" w:hAnsiTheme="minorHAnsi" w:cstheme="minorHAnsi"/>
                <w:sz w:val="18"/>
              </w:rPr>
              <w:t>Pollutant</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D73"/>
            <w:vAlign w:val="center"/>
            <w:hideMark/>
          </w:tcPr>
          <w:p w14:paraId="4255338A" w14:textId="77777777" w:rsidR="00670EBC" w:rsidRPr="007C4D65" w:rsidRDefault="00670EBC" w:rsidP="0068355A">
            <w:pPr>
              <w:widowControl w:val="0"/>
              <w:autoSpaceDE w:val="0"/>
              <w:autoSpaceDN w:val="0"/>
              <w:spacing w:before="1" w:beforeAutospacing="0" w:afterAutospacing="0" w:line="276" w:lineRule="auto"/>
              <w:ind w:right="80"/>
              <w:jc w:val="center"/>
              <w:rPr>
                <w:rFonts w:asciiTheme="minorHAnsi" w:eastAsia="Arial" w:hAnsiTheme="minorHAnsi" w:cstheme="minorHAnsi"/>
                <w:sz w:val="18"/>
                <w:szCs w:val="18"/>
              </w:rPr>
            </w:pPr>
            <w:r w:rsidRPr="007C4D65">
              <w:rPr>
                <w:rFonts w:asciiTheme="minorHAnsi" w:hAnsiTheme="minorHAnsi" w:cstheme="minorHAnsi"/>
                <w:sz w:val="18"/>
              </w:rPr>
              <w:t>Averaging period</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D73"/>
            <w:vAlign w:val="center"/>
            <w:hideMark/>
          </w:tcPr>
          <w:p w14:paraId="59A708AD" w14:textId="77777777" w:rsidR="00670EBC" w:rsidRPr="007C4D65" w:rsidRDefault="00670EBC" w:rsidP="0068355A">
            <w:pPr>
              <w:widowControl w:val="0"/>
              <w:autoSpaceDE w:val="0"/>
              <w:autoSpaceDN w:val="0"/>
              <w:spacing w:before="1" w:beforeAutospacing="0" w:afterAutospacing="0" w:line="276" w:lineRule="auto"/>
              <w:ind w:right="158"/>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sz w:val="18"/>
                <w:szCs w:val="18"/>
              </w:rPr>
            </w:pPr>
            <w:r w:rsidRPr="007C4D65">
              <w:rPr>
                <w:rFonts w:asciiTheme="minorHAnsi" w:hAnsiTheme="minorHAnsi" w:cstheme="minorHAnsi"/>
                <w:sz w:val="18"/>
              </w:rPr>
              <w:t>Limit value</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D73"/>
            <w:vAlign w:val="center"/>
            <w:hideMark/>
          </w:tcPr>
          <w:p w14:paraId="7804C2FD" w14:textId="1E498324" w:rsidR="00670EBC" w:rsidRPr="007C4D65" w:rsidRDefault="00670EBC" w:rsidP="0068355A">
            <w:pPr>
              <w:widowControl w:val="0"/>
              <w:autoSpaceDE w:val="0"/>
              <w:autoSpaceDN w:val="0"/>
              <w:spacing w:before="6" w:beforeAutospacing="0" w:afterAutospacing="0" w:line="276" w:lineRule="auto"/>
              <w:ind w:right="133"/>
              <w:jc w:val="center"/>
              <w:rPr>
                <w:rFonts w:asciiTheme="minorHAnsi" w:eastAsia="Arial" w:hAnsiTheme="minorHAnsi" w:cstheme="minorHAnsi"/>
                <w:sz w:val="18"/>
                <w:szCs w:val="18"/>
              </w:rPr>
            </w:pPr>
            <w:r w:rsidRPr="007C4D65">
              <w:rPr>
                <w:rFonts w:asciiTheme="minorHAnsi" w:hAnsiTheme="minorHAnsi" w:cstheme="minorHAnsi"/>
                <w:sz w:val="18"/>
              </w:rPr>
              <w:t xml:space="preserve">Minimum data </w:t>
            </w:r>
            <w:r w:rsidR="005A5882" w:rsidRPr="007C4D65">
              <w:rPr>
                <w:rFonts w:asciiTheme="minorHAnsi" w:hAnsiTheme="minorHAnsi" w:cstheme="minorHAnsi"/>
                <w:sz w:val="18"/>
              </w:rPr>
              <w:t>availability</w:t>
            </w:r>
          </w:p>
        </w:tc>
      </w:tr>
      <w:tr w:rsidR="00670EBC" w:rsidRPr="007C4D65" w14:paraId="053F58AA" w14:textId="77777777" w:rsidTr="00D51C0E">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853BD82" w14:textId="77777777" w:rsidR="00670EBC" w:rsidRPr="007C4D65" w:rsidRDefault="00670EBC" w:rsidP="0068355A">
            <w:pPr>
              <w:widowControl w:val="0"/>
              <w:autoSpaceDE w:val="0"/>
              <w:autoSpaceDN w:val="0"/>
              <w:spacing w:line="276" w:lineRule="auto"/>
              <w:rPr>
                <w:rFonts w:asciiTheme="minorHAnsi" w:eastAsia="Arial" w:hAnsiTheme="minorHAnsi" w:cstheme="minorHAnsi"/>
                <w:b w:val="0"/>
                <w:sz w:val="18"/>
                <w:szCs w:val="18"/>
              </w:rPr>
            </w:pPr>
            <w:r w:rsidRPr="007C4D65">
              <w:rPr>
                <w:rFonts w:asciiTheme="minorHAnsi" w:hAnsiTheme="minorHAnsi" w:cstheme="minorHAnsi"/>
                <w:b w:val="0"/>
                <w:sz w:val="18"/>
              </w:rPr>
              <w:t>SO</w:t>
            </w:r>
            <w:r w:rsidRPr="007C4D65">
              <w:rPr>
                <w:rFonts w:asciiTheme="minorHAnsi" w:hAnsiTheme="minorHAnsi" w:cstheme="minorHAnsi"/>
                <w:b w:val="0"/>
                <w:sz w:val="18"/>
                <w:vertAlign w:val="subscript"/>
              </w:rPr>
              <w:t>2</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F99EBDC"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sz w:val="18"/>
                <w:szCs w:val="18"/>
              </w:rPr>
            </w:pPr>
            <w:r w:rsidRPr="007C4D65">
              <w:rPr>
                <w:rFonts w:asciiTheme="minorHAnsi" w:hAnsiTheme="minorHAnsi" w:cstheme="minorHAnsi"/>
                <w:sz w:val="18"/>
              </w:rPr>
              <w:t>One hour</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EFA2347" w14:textId="77777777" w:rsidR="00670EBC" w:rsidRPr="007C4D65" w:rsidRDefault="00670EBC" w:rsidP="0068355A">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18"/>
                <w:szCs w:val="18"/>
              </w:rPr>
            </w:pPr>
            <w:r w:rsidRPr="007C4D65">
              <w:rPr>
                <w:rFonts w:asciiTheme="minorHAnsi" w:hAnsiTheme="minorHAnsi" w:cstheme="minorHAnsi"/>
                <w:sz w:val="18"/>
              </w:rPr>
              <w:t>350</w:t>
            </w:r>
            <w:r w:rsidRPr="007C4D65">
              <w:rPr>
                <w:rStyle w:val="FootnoteReference"/>
                <w:rFonts w:asciiTheme="minorHAnsi" w:eastAsia="Arial" w:hAnsiTheme="minorHAnsi" w:cstheme="minorHAnsi"/>
                <w:sz w:val="18"/>
                <w:szCs w:val="18"/>
              </w:rPr>
              <w:footnoteReference w:id="15"/>
            </w:r>
            <w:r w:rsidRPr="007C4D65">
              <w:rPr>
                <w:rFonts w:asciiTheme="minorHAnsi" w:hAnsiTheme="minorHAnsi" w:cstheme="minorHAnsi"/>
                <w:sz w:val="18"/>
              </w:rPr>
              <w:t xml:space="preserve"> µg/m3</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D2811C9"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75%</w:t>
            </w:r>
          </w:p>
        </w:tc>
      </w:tr>
      <w:tr w:rsidR="00670EBC" w:rsidRPr="007C4D65" w14:paraId="759D9BC2" w14:textId="77777777" w:rsidTr="00D51C0E">
        <w:trPr>
          <w:trHeight w:val="391"/>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A3922FC" w14:textId="77777777" w:rsidR="00670EBC" w:rsidRPr="007C4D65" w:rsidRDefault="00670EBC" w:rsidP="0068355A">
            <w:pPr>
              <w:widowControl w:val="0"/>
              <w:autoSpaceDE w:val="0"/>
              <w:autoSpaceDN w:val="0"/>
              <w:spacing w:line="276" w:lineRule="auto"/>
              <w:rPr>
                <w:rFonts w:asciiTheme="minorHAnsi" w:eastAsia="Arial" w:hAnsiTheme="minorHAnsi" w:cstheme="minorHAnsi"/>
                <w:b w:val="0"/>
                <w:sz w:val="18"/>
                <w:szCs w:val="18"/>
              </w:rPr>
            </w:pPr>
            <w:r w:rsidRPr="007C4D65">
              <w:rPr>
                <w:rFonts w:asciiTheme="minorHAnsi" w:hAnsiTheme="minorHAnsi" w:cstheme="minorHAnsi"/>
                <w:b w:val="0"/>
                <w:sz w:val="18"/>
              </w:rPr>
              <w:t>SO</w:t>
            </w:r>
            <w:r w:rsidRPr="007C4D65">
              <w:rPr>
                <w:rFonts w:asciiTheme="minorHAnsi" w:hAnsiTheme="minorHAnsi" w:cstheme="minorHAnsi"/>
                <w:b w:val="0"/>
                <w:sz w:val="18"/>
                <w:vertAlign w:val="subscript"/>
              </w:rPr>
              <w:t>2</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D00045A"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sz w:val="18"/>
                <w:szCs w:val="18"/>
              </w:rPr>
            </w:pPr>
            <w:r w:rsidRPr="007C4D65">
              <w:rPr>
                <w:rFonts w:asciiTheme="minorHAnsi" w:hAnsiTheme="minorHAnsi" w:cstheme="minorHAnsi"/>
                <w:sz w:val="18"/>
              </w:rPr>
              <w:t>One day</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4B3AC43" w14:textId="77777777" w:rsidR="00670EBC" w:rsidRPr="007C4D65" w:rsidRDefault="00670EBC" w:rsidP="0068355A">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18"/>
                <w:szCs w:val="18"/>
              </w:rPr>
            </w:pPr>
            <w:r w:rsidRPr="007C4D65">
              <w:rPr>
                <w:rFonts w:asciiTheme="minorHAnsi" w:hAnsiTheme="minorHAnsi" w:cstheme="minorHAnsi"/>
                <w:sz w:val="18"/>
              </w:rPr>
              <w:t>125</w:t>
            </w:r>
            <w:r w:rsidRPr="007C4D65">
              <w:rPr>
                <w:rStyle w:val="FootnoteReference"/>
                <w:rFonts w:asciiTheme="minorHAnsi" w:eastAsia="Arial" w:hAnsiTheme="minorHAnsi" w:cstheme="minorHAnsi"/>
                <w:sz w:val="18"/>
                <w:szCs w:val="18"/>
              </w:rPr>
              <w:footnoteReference w:id="16"/>
            </w:r>
            <w:r w:rsidRPr="007C4D65">
              <w:rPr>
                <w:rFonts w:asciiTheme="minorHAnsi" w:hAnsiTheme="minorHAnsi" w:cstheme="minorHAnsi"/>
                <w:sz w:val="18"/>
              </w:rPr>
              <w:t xml:space="preserve"> µg/m3</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BE46FB1"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90%</w:t>
            </w:r>
          </w:p>
        </w:tc>
      </w:tr>
      <w:tr w:rsidR="00670EBC" w:rsidRPr="007C4D65" w14:paraId="405852EE" w14:textId="77777777" w:rsidTr="00D51C0E">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A6D661A" w14:textId="77777777" w:rsidR="00670EBC" w:rsidRPr="007C4D65" w:rsidRDefault="00670EBC" w:rsidP="0068355A">
            <w:pPr>
              <w:widowControl w:val="0"/>
              <w:autoSpaceDE w:val="0"/>
              <w:autoSpaceDN w:val="0"/>
              <w:spacing w:line="276" w:lineRule="auto"/>
              <w:rPr>
                <w:rFonts w:asciiTheme="minorHAnsi" w:eastAsia="Arial" w:hAnsiTheme="minorHAnsi" w:cstheme="minorHAnsi"/>
                <w:b w:val="0"/>
                <w:sz w:val="18"/>
                <w:szCs w:val="18"/>
              </w:rPr>
            </w:pPr>
            <w:r w:rsidRPr="007C4D65">
              <w:rPr>
                <w:rFonts w:asciiTheme="minorHAnsi" w:hAnsiTheme="minorHAnsi" w:cstheme="minorHAnsi"/>
                <w:b w:val="0"/>
                <w:sz w:val="18"/>
              </w:rPr>
              <w:t>SO</w:t>
            </w:r>
            <w:r w:rsidRPr="007C4D65">
              <w:rPr>
                <w:rFonts w:asciiTheme="minorHAnsi" w:hAnsiTheme="minorHAnsi" w:cstheme="minorHAnsi"/>
                <w:b w:val="0"/>
                <w:sz w:val="18"/>
                <w:vertAlign w:val="subscript"/>
              </w:rPr>
              <w:t>2</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F2BA68"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sz w:val="18"/>
                <w:szCs w:val="18"/>
              </w:rPr>
            </w:pPr>
            <w:r w:rsidRPr="007C4D65">
              <w:rPr>
                <w:rFonts w:asciiTheme="minorHAnsi" w:hAnsiTheme="minorHAnsi" w:cstheme="minorHAnsi"/>
                <w:sz w:val="18"/>
              </w:rPr>
              <w:t>Year</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7E5DBC9" w14:textId="77777777" w:rsidR="00670EBC" w:rsidRPr="007C4D65" w:rsidRDefault="00670EBC" w:rsidP="0068355A">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18"/>
                <w:szCs w:val="18"/>
              </w:rPr>
            </w:pPr>
            <w:r w:rsidRPr="007C4D65">
              <w:rPr>
                <w:rFonts w:asciiTheme="minorHAnsi" w:hAnsiTheme="minorHAnsi" w:cstheme="minorHAnsi"/>
                <w:sz w:val="18"/>
              </w:rPr>
              <w:t>50 µg/m3</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82D63BE"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90%</w:t>
            </w:r>
          </w:p>
        </w:tc>
      </w:tr>
      <w:tr w:rsidR="00670EBC" w:rsidRPr="007C4D65" w14:paraId="4EE24248" w14:textId="77777777" w:rsidTr="00D51C0E">
        <w:trPr>
          <w:trHeight w:val="391"/>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7724550" w14:textId="77777777" w:rsidR="00670EBC" w:rsidRPr="007C4D65" w:rsidRDefault="00670EBC" w:rsidP="0068355A">
            <w:pPr>
              <w:widowControl w:val="0"/>
              <w:autoSpaceDE w:val="0"/>
              <w:autoSpaceDN w:val="0"/>
              <w:spacing w:line="276" w:lineRule="auto"/>
              <w:rPr>
                <w:rFonts w:asciiTheme="minorHAnsi" w:eastAsia="Arial" w:hAnsiTheme="minorHAnsi" w:cstheme="minorHAnsi"/>
                <w:b w:val="0"/>
                <w:sz w:val="18"/>
                <w:szCs w:val="18"/>
              </w:rPr>
            </w:pPr>
            <w:r w:rsidRPr="007C4D65">
              <w:rPr>
                <w:rFonts w:asciiTheme="minorHAnsi" w:hAnsiTheme="minorHAnsi" w:cstheme="minorHAnsi"/>
                <w:b w:val="0"/>
                <w:sz w:val="18"/>
              </w:rPr>
              <w:t>NO</w:t>
            </w:r>
            <w:r w:rsidRPr="007C4D65">
              <w:rPr>
                <w:rFonts w:asciiTheme="minorHAnsi" w:hAnsiTheme="minorHAnsi" w:cstheme="minorHAnsi"/>
                <w:b w:val="0"/>
                <w:sz w:val="18"/>
                <w:vertAlign w:val="subscript"/>
              </w:rPr>
              <w:t>2</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5D9C12B"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sz w:val="18"/>
                <w:szCs w:val="18"/>
              </w:rPr>
            </w:pPr>
            <w:r w:rsidRPr="007C4D65">
              <w:rPr>
                <w:rFonts w:asciiTheme="minorHAnsi" w:hAnsiTheme="minorHAnsi" w:cstheme="minorHAnsi"/>
                <w:sz w:val="18"/>
              </w:rPr>
              <w:t>One hour</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DD43D73" w14:textId="77777777" w:rsidR="00670EBC" w:rsidRPr="007C4D65" w:rsidRDefault="00670EBC" w:rsidP="0068355A">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18"/>
                <w:szCs w:val="18"/>
              </w:rPr>
            </w:pPr>
            <w:r w:rsidRPr="007C4D65">
              <w:rPr>
                <w:rFonts w:asciiTheme="minorHAnsi" w:hAnsiTheme="minorHAnsi" w:cstheme="minorHAnsi"/>
                <w:sz w:val="18"/>
              </w:rPr>
              <w:t>200</w:t>
            </w:r>
            <w:r w:rsidRPr="007C4D65">
              <w:rPr>
                <w:rStyle w:val="FootnoteReference"/>
                <w:rFonts w:asciiTheme="minorHAnsi" w:eastAsia="Arial" w:hAnsiTheme="minorHAnsi" w:cstheme="minorHAnsi"/>
                <w:sz w:val="18"/>
                <w:szCs w:val="18"/>
              </w:rPr>
              <w:footnoteReference w:id="17"/>
            </w:r>
            <w:r w:rsidRPr="007C4D65">
              <w:rPr>
                <w:rFonts w:asciiTheme="minorHAnsi" w:hAnsiTheme="minorHAnsi" w:cstheme="minorHAnsi"/>
                <w:sz w:val="18"/>
              </w:rPr>
              <w:t xml:space="preserve"> µg/m3</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24652C6"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75%</w:t>
            </w:r>
          </w:p>
        </w:tc>
      </w:tr>
      <w:tr w:rsidR="00670EBC" w:rsidRPr="007C4D65" w14:paraId="6C736F39" w14:textId="77777777" w:rsidTr="00D51C0E">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915A184" w14:textId="77777777" w:rsidR="00670EBC" w:rsidRPr="007C4D65" w:rsidRDefault="00670EBC" w:rsidP="0068355A">
            <w:pPr>
              <w:widowControl w:val="0"/>
              <w:autoSpaceDE w:val="0"/>
              <w:autoSpaceDN w:val="0"/>
              <w:spacing w:line="276" w:lineRule="auto"/>
              <w:rPr>
                <w:rFonts w:asciiTheme="minorHAnsi" w:eastAsia="Arial" w:hAnsiTheme="minorHAnsi" w:cstheme="minorHAnsi"/>
                <w:b w:val="0"/>
                <w:sz w:val="18"/>
                <w:szCs w:val="18"/>
              </w:rPr>
            </w:pPr>
            <w:r w:rsidRPr="007C4D65">
              <w:rPr>
                <w:rFonts w:asciiTheme="minorHAnsi" w:hAnsiTheme="minorHAnsi" w:cstheme="minorHAnsi"/>
                <w:b w:val="0"/>
                <w:sz w:val="18"/>
              </w:rPr>
              <w:t>NO</w:t>
            </w:r>
            <w:r w:rsidRPr="007C4D65">
              <w:rPr>
                <w:rFonts w:asciiTheme="minorHAnsi" w:hAnsiTheme="minorHAnsi" w:cstheme="minorHAnsi"/>
                <w:b w:val="0"/>
                <w:sz w:val="18"/>
                <w:vertAlign w:val="subscript"/>
              </w:rPr>
              <w:t>2</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DE22B3B"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sz w:val="18"/>
                <w:szCs w:val="18"/>
              </w:rPr>
            </w:pPr>
            <w:r w:rsidRPr="007C4D65">
              <w:rPr>
                <w:rFonts w:asciiTheme="minorHAnsi" w:hAnsiTheme="minorHAnsi" w:cstheme="minorHAnsi"/>
                <w:sz w:val="18"/>
              </w:rPr>
              <w:t>One day</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A14DF3" w14:textId="77777777" w:rsidR="00670EBC" w:rsidRPr="007C4D65" w:rsidRDefault="00670EBC" w:rsidP="0068355A">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18"/>
                <w:szCs w:val="18"/>
              </w:rPr>
            </w:pPr>
            <w:r w:rsidRPr="007C4D65">
              <w:rPr>
                <w:rFonts w:asciiTheme="minorHAnsi" w:hAnsiTheme="minorHAnsi" w:cstheme="minorHAnsi"/>
                <w:sz w:val="18"/>
              </w:rPr>
              <w:t>85 µg/m3</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38431C"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90%</w:t>
            </w:r>
          </w:p>
        </w:tc>
      </w:tr>
      <w:tr w:rsidR="00670EBC" w:rsidRPr="007C4D65" w14:paraId="2C57BCD0" w14:textId="77777777" w:rsidTr="00D51C0E">
        <w:trPr>
          <w:trHeight w:val="391"/>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37EC6AF" w14:textId="77777777" w:rsidR="00670EBC" w:rsidRPr="007C4D65" w:rsidRDefault="00670EBC" w:rsidP="0068355A">
            <w:pPr>
              <w:widowControl w:val="0"/>
              <w:autoSpaceDE w:val="0"/>
              <w:autoSpaceDN w:val="0"/>
              <w:spacing w:line="276" w:lineRule="auto"/>
              <w:rPr>
                <w:rFonts w:asciiTheme="minorHAnsi" w:eastAsia="Arial" w:hAnsiTheme="minorHAnsi" w:cstheme="minorHAnsi"/>
                <w:b w:val="0"/>
                <w:sz w:val="18"/>
                <w:szCs w:val="18"/>
              </w:rPr>
            </w:pPr>
            <w:r w:rsidRPr="007C4D65">
              <w:rPr>
                <w:rFonts w:asciiTheme="minorHAnsi" w:hAnsiTheme="minorHAnsi" w:cstheme="minorHAnsi"/>
                <w:b w:val="0"/>
                <w:sz w:val="18"/>
              </w:rPr>
              <w:t>NO</w:t>
            </w:r>
            <w:r w:rsidRPr="007C4D65">
              <w:rPr>
                <w:rFonts w:asciiTheme="minorHAnsi" w:hAnsiTheme="minorHAnsi" w:cstheme="minorHAnsi"/>
                <w:b w:val="0"/>
                <w:sz w:val="18"/>
                <w:vertAlign w:val="subscript"/>
              </w:rPr>
              <w:t>2</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198ED7B"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sz w:val="18"/>
                <w:szCs w:val="18"/>
              </w:rPr>
            </w:pPr>
            <w:r w:rsidRPr="007C4D65">
              <w:rPr>
                <w:rFonts w:asciiTheme="minorHAnsi" w:hAnsiTheme="minorHAnsi" w:cstheme="minorHAnsi"/>
                <w:sz w:val="18"/>
              </w:rPr>
              <w:t>Year</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2DB7394" w14:textId="77777777" w:rsidR="00670EBC" w:rsidRPr="007C4D65" w:rsidRDefault="00670EBC" w:rsidP="0068355A">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18"/>
                <w:szCs w:val="18"/>
              </w:rPr>
            </w:pPr>
            <w:r w:rsidRPr="007C4D65">
              <w:rPr>
                <w:rFonts w:asciiTheme="minorHAnsi" w:hAnsiTheme="minorHAnsi" w:cstheme="minorHAnsi"/>
                <w:sz w:val="18"/>
              </w:rPr>
              <w:t>40 µg/m3</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7EDE42F"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90%</w:t>
            </w:r>
          </w:p>
        </w:tc>
      </w:tr>
      <w:tr w:rsidR="00670EBC" w:rsidRPr="007C4D65" w14:paraId="242F94C6" w14:textId="77777777" w:rsidTr="00D51C0E">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F333F5" w14:textId="77777777" w:rsidR="00670EBC" w:rsidRPr="007C4D65" w:rsidRDefault="00670EBC" w:rsidP="0068355A">
            <w:pPr>
              <w:widowControl w:val="0"/>
              <w:autoSpaceDE w:val="0"/>
              <w:autoSpaceDN w:val="0"/>
              <w:spacing w:line="276" w:lineRule="auto"/>
              <w:rPr>
                <w:rFonts w:asciiTheme="minorHAnsi" w:eastAsia="Arial" w:hAnsiTheme="minorHAnsi" w:cstheme="minorHAnsi"/>
                <w:b w:val="0"/>
                <w:sz w:val="18"/>
                <w:szCs w:val="18"/>
              </w:rPr>
            </w:pPr>
            <w:r w:rsidRPr="007C4D65">
              <w:rPr>
                <w:rFonts w:asciiTheme="minorHAnsi" w:hAnsiTheme="minorHAnsi" w:cstheme="minorHAnsi"/>
                <w:b w:val="0"/>
                <w:sz w:val="18"/>
              </w:rPr>
              <w:t>CO</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91D00EA" w14:textId="77777777" w:rsidR="00670EBC" w:rsidRPr="007C4D65" w:rsidRDefault="00432B6D" w:rsidP="0068355A">
            <w:pPr>
              <w:widowControl w:val="0"/>
              <w:autoSpaceDE w:val="0"/>
              <w:autoSpaceDN w:val="0"/>
              <w:spacing w:line="276" w:lineRule="auto"/>
              <w:jc w:val="center"/>
              <w:rPr>
                <w:rFonts w:asciiTheme="minorHAnsi" w:eastAsia="Arial" w:hAnsiTheme="minorHAnsi" w:cstheme="minorHAnsi"/>
                <w:sz w:val="18"/>
                <w:szCs w:val="18"/>
              </w:rPr>
            </w:pPr>
            <w:r w:rsidRPr="007C4D65">
              <w:rPr>
                <w:rFonts w:asciiTheme="minorHAnsi" w:hAnsiTheme="minorHAnsi" w:cstheme="minorHAnsi"/>
                <w:sz w:val="18"/>
              </w:rPr>
              <w:t>Eight hours</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8B8F2B7" w14:textId="77777777" w:rsidR="00670EBC" w:rsidRPr="007C4D65" w:rsidRDefault="00670EBC" w:rsidP="0068355A">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18"/>
                <w:szCs w:val="18"/>
              </w:rPr>
            </w:pPr>
            <w:r w:rsidRPr="007C4D65">
              <w:rPr>
                <w:rFonts w:asciiTheme="minorHAnsi" w:hAnsiTheme="minorHAnsi" w:cstheme="minorHAnsi"/>
                <w:sz w:val="18"/>
              </w:rPr>
              <w:t>10 mg/m3</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A442AEC"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75%</w:t>
            </w:r>
          </w:p>
        </w:tc>
      </w:tr>
      <w:tr w:rsidR="00670EBC" w:rsidRPr="007C4D65" w14:paraId="65C403DE" w14:textId="77777777" w:rsidTr="00D51C0E">
        <w:trPr>
          <w:trHeight w:val="391"/>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06B3F47" w14:textId="77777777" w:rsidR="00670EBC" w:rsidRPr="007C4D65" w:rsidRDefault="00670EBC" w:rsidP="0068355A">
            <w:pPr>
              <w:widowControl w:val="0"/>
              <w:autoSpaceDE w:val="0"/>
              <w:autoSpaceDN w:val="0"/>
              <w:spacing w:line="276" w:lineRule="auto"/>
              <w:rPr>
                <w:rFonts w:asciiTheme="minorHAnsi" w:eastAsia="Arial" w:hAnsiTheme="minorHAnsi" w:cstheme="minorHAnsi"/>
                <w:b w:val="0"/>
                <w:sz w:val="18"/>
                <w:szCs w:val="18"/>
              </w:rPr>
            </w:pPr>
            <w:r w:rsidRPr="007C4D65">
              <w:rPr>
                <w:rFonts w:asciiTheme="minorHAnsi" w:hAnsiTheme="minorHAnsi" w:cstheme="minorHAnsi"/>
                <w:b w:val="0"/>
                <w:sz w:val="18"/>
              </w:rPr>
              <w:t>CO2</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D676E58"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sz w:val="18"/>
                <w:szCs w:val="18"/>
              </w:rPr>
            </w:pPr>
            <w:r w:rsidRPr="007C4D65">
              <w:rPr>
                <w:rFonts w:asciiTheme="minorHAnsi" w:hAnsiTheme="minorHAnsi" w:cstheme="minorHAnsi"/>
                <w:sz w:val="18"/>
              </w:rPr>
              <w:t>One day</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40100DB" w14:textId="77777777" w:rsidR="00670EBC" w:rsidRPr="007C4D65" w:rsidRDefault="00670EBC" w:rsidP="0068355A">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18"/>
                <w:szCs w:val="18"/>
              </w:rPr>
            </w:pPr>
            <w:r w:rsidRPr="007C4D65">
              <w:rPr>
                <w:rFonts w:asciiTheme="minorHAnsi" w:hAnsiTheme="minorHAnsi" w:cstheme="minorHAnsi"/>
                <w:sz w:val="18"/>
              </w:rPr>
              <w:t>5 mg/m3</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58AB80F"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75%</w:t>
            </w:r>
          </w:p>
        </w:tc>
      </w:tr>
      <w:tr w:rsidR="00670EBC" w:rsidRPr="007C4D65" w14:paraId="6CF256AD" w14:textId="77777777" w:rsidTr="00D51C0E">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BD5558F" w14:textId="77777777" w:rsidR="00670EBC" w:rsidRPr="007C4D65" w:rsidRDefault="00670EBC" w:rsidP="0068355A">
            <w:pPr>
              <w:widowControl w:val="0"/>
              <w:autoSpaceDE w:val="0"/>
              <w:autoSpaceDN w:val="0"/>
              <w:spacing w:line="276" w:lineRule="auto"/>
              <w:rPr>
                <w:rFonts w:asciiTheme="minorHAnsi" w:eastAsia="Arial" w:hAnsiTheme="minorHAnsi" w:cstheme="minorHAnsi"/>
                <w:b w:val="0"/>
                <w:sz w:val="18"/>
                <w:szCs w:val="18"/>
              </w:rPr>
            </w:pPr>
            <w:r w:rsidRPr="007C4D65">
              <w:rPr>
                <w:rFonts w:asciiTheme="minorHAnsi" w:hAnsiTheme="minorHAnsi" w:cstheme="minorHAnsi"/>
                <w:b w:val="0"/>
                <w:sz w:val="18"/>
              </w:rPr>
              <w:t>CO</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24016BB"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sz w:val="18"/>
                <w:szCs w:val="18"/>
              </w:rPr>
            </w:pPr>
            <w:r w:rsidRPr="007C4D65">
              <w:rPr>
                <w:rFonts w:asciiTheme="minorHAnsi" w:hAnsiTheme="minorHAnsi" w:cstheme="minorHAnsi"/>
                <w:sz w:val="18"/>
              </w:rPr>
              <w:t>Year</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FB4DE38" w14:textId="77777777" w:rsidR="00670EBC" w:rsidRPr="007C4D65" w:rsidRDefault="00670EBC" w:rsidP="0068355A">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18"/>
                <w:szCs w:val="18"/>
              </w:rPr>
            </w:pPr>
            <w:r w:rsidRPr="007C4D65">
              <w:rPr>
                <w:rFonts w:asciiTheme="minorHAnsi" w:hAnsiTheme="minorHAnsi" w:cstheme="minorHAnsi"/>
                <w:sz w:val="18"/>
              </w:rPr>
              <w:t>3 mg/m3</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8BE05D4"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90%</w:t>
            </w:r>
          </w:p>
        </w:tc>
      </w:tr>
      <w:tr w:rsidR="00670EBC" w:rsidRPr="007C4D65" w14:paraId="662D26AA" w14:textId="77777777" w:rsidTr="00D51C0E">
        <w:trPr>
          <w:trHeight w:val="391"/>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7F421B0" w14:textId="77777777" w:rsidR="00670EBC" w:rsidRPr="007C4D65" w:rsidRDefault="00670EBC" w:rsidP="0068355A">
            <w:pPr>
              <w:widowControl w:val="0"/>
              <w:autoSpaceDE w:val="0"/>
              <w:autoSpaceDN w:val="0"/>
              <w:spacing w:line="276" w:lineRule="auto"/>
              <w:rPr>
                <w:rFonts w:asciiTheme="minorHAnsi" w:eastAsia="Arial" w:hAnsiTheme="minorHAnsi" w:cstheme="minorHAnsi"/>
                <w:b w:val="0"/>
                <w:sz w:val="18"/>
                <w:szCs w:val="18"/>
              </w:rPr>
            </w:pPr>
            <w:r w:rsidRPr="007C4D65">
              <w:rPr>
                <w:rFonts w:asciiTheme="minorHAnsi" w:hAnsiTheme="minorHAnsi" w:cstheme="minorHAnsi"/>
                <w:b w:val="0"/>
                <w:sz w:val="18"/>
              </w:rPr>
              <w:t>PM10*</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BBD13B5"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sz w:val="18"/>
                <w:szCs w:val="18"/>
              </w:rPr>
            </w:pPr>
            <w:r w:rsidRPr="007C4D65">
              <w:rPr>
                <w:rFonts w:asciiTheme="minorHAnsi" w:hAnsiTheme="minorHAnsi" w:cstheme="minorHAnsi"/>
                <w:sz w:val="18"/>
              </w:rPr>
              <w:t>One day</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FA9FE7C" w14:textId="77777777" w:rsidR="00670EBC" w:rsidRPr="007C4D65" w:rsidRDefault="00670EBC" w:rsidP="0068355A">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18"/>
                <w:szCs w:val="18"/>
              </w:rPr>
            </w:pPr>
            <w:r w:rsidRPr="007C4D65">
              <w:rPr>
                <w:rFonts w:asciiTheme="minorHAnsi" w:hAnsiTheme="minorHAnsi" w:cstheme="minorHAnsi"/>
                <w:sz w:val="18"/>
              </w:rPr>
              <w:t>50</w:t>
            </w:r>
            <w:r w:rsidRPr="007C4D65">
              <w:rPr>
                <w:rStyle w:val="FootnoteReference"/>
                <w:rFonts w:asciiTheme="minorHAnsi" w:eastAsia="Arial" w:hAnsiTheme="minorHAnsi" w:cstheme="minorHAnsi"/>
                <w:sz w:val="18"/>
                <w:szCs w:val="18"/>
              </w:rPr>
              <w:footnoteReference w:id="18"/>
            </w:r>
            <w:r w:rsidRPr="007C4D65">
              <w:rPr>
                <w:rFonts w:asciiTheme="minorHAnsi" w:hAnsiTheme="minorHAnsi" w:cstheme="minorHAnsi"/>
                <w:sz w:val="18"/>
              </w:rPr>
              <w:t xml:space="preserve"> µg/m3</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794E54A"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75%</w:t>
            </w:r>
          </w:p>
        </w:tc>
      </w:tr>
      <w:tr w:rsidR="00670EBC" w:rsidRPr="007C4D65" w14:paraId="1749B2FE" w14:textId="77777777" w:rsidTr="00D51C0E">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D313F57" w14:textId="77777777" w:rsidR="00670EBC" w:rsidRPr="007C4D65" w:rsidRDefault="00670EBC" w:rsidP="0068355A">
            <w:pPr>
              <w:widowControl w:val="0"/>
              <w:autoSpaceDE w:val="0"/>
              <w:autoSpaceDN w:val="0"/>
              <w:spacing w:line="276" w:lineRule="auto"/>
              <w:rPr>
                <w:rFonts w:asciiTheme="minorHAnsi" w:eastAsia="Arial" w:hAnsiTheme="minorHAnsi" w:cstheme="minorHAnsi"/>
                <w:b w:val="0"/>
                <w:sz w:val="18"/>
                <w:szCs w:val="18"/>
              </w:rPr>
            </w:pPr>
            <w:r w:rsidRPr="007C4D65">
              <w:rPr>
                <w:rFonts w:asciiTheme="minorHAnsi" w:hAnsiTheme="minorHAnsi" w:cstheme="minorHAnsi"/>
                <w:b w:val="0"/>
                <w:sz w:val="18"/>
              </w:rPr>
              <w:t>PM10*</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557E8EA"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sz w:val="18"/>
                <w:szCs w:val="18"/>
              </w:rPr>
            </w:pPr>
            <w:r w:rsidRPr="007C4D65">
              <w:rPr>
                <w:rFonts w:asciiTheme="minorHAnsi" w:hAnsiTheme="minorHAnsi" w:cstheme="minorHAnsi"/>
                <w:sz w:val="18"/>
              </w:rPr>
              <w:t>Year</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88F19AB" w14:textId="77777777" w:rsidR="00670EBC" w:rsidRPr="007C4D65" w:rsidRDefault="00670EBC" w:rsidP="0068355A">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18"/>
                <w:szCs w:val="18"/>
              </w:rPr>
            </w:pPr>
            <w:r w:rsidRPr="007C4D65">
              <w:rPr>
                <w:rFonts w:asciiTheme="minorHAnsi" w:hAnsiTheme="minorHAnsi" w:cstheme="minorHAnsi"/>
                <w:sz w:val="18"/>
              </w:rPr>
              <w:t>40 µg/m3</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4D8ABF5"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90%</w:t>
            </w:r>
          </w:p>
        </w:tc>
      </w:tr>
      <w:tr w:rsidR="00670EBC" w:rsidRPr="007C4D65" w14:paraId="4906964E" w14:textId="77777777" w:rsidTr="00D51C0E">
        <w:trPr>
          <w:trHeight w:val="391"/>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647DB7" w14:textId="77777777" w:rsidR="00670EBC" w:rsidRPr="007C4D65" w:rsidRDefault="00670EBC" w:rsidP="0068355A">
            <w:pPr>
              <w:widowControl w:val="0"/>
              <w:autoSpaceDE w:val="0"/>
              <w:autoSpaceDN w:val="0"/>
              <w:spacing w:line="276" w:lineRule="auto"/>
              <w:rPr>
                <w:rFonts w:asciiTheme="minorHAnsi" w:eastAsia="Arial" w:hAnsiTheme="minorHAnsi" w:cstheme="minorHAnsi"/>
                <w:b w:val="0"/>
                <w:sz w:val="18"/>
                <w:szCs w:val="18"/>
              </w:rPr>
            </w:pPr>
            <w:r w:rsidRPr="007C4D65">
              <w:rPr>
                <w:rFonts w:asciiTheme="minorHAnsi" w:hAnsiTheme="minorHAnsi" w:cstheme="minorHAnsi"/>
                <w:b w:val="0"/>
                <w:sz w:val="18"/>
              </w:rPr>
              <w:t>PM2.5*</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73774E1"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sz w:val="18"/>
                <w:szCs w:val="18"/>
              </w:rPr>
            </w:pPr>
            <w:r w:rsidRPr="007C4D65">
              <w:rPr>
                <w:rFonts w:asciiTheme="minorHAnsi" w:hAnsiTheme="minorHAnsi" w:cstheme="minorHAnsi"/>
                <w:sz w:val="18"/>
              </w:rPr>
              <w:t>Year</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58B9355" w14:textId="77777777" w:rsidR="00670EBC" w:rsidRPr="007C4D65" w:rsidRDefault="00670EBC" w:rsidP="0068355A">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18"/>
                <w:szCs w:val="18"/>
              </w:rPr>
            </w:pPr>
            <w:r w:rsidRPr="007C4D65">
              <w:rPr>
                <w:rFonts w:asciiTheme="minorHAnsi" w:hAnsiTheme="minorHAnsi" w:cstheme="minorHAnsi"/>
                <w:sz w:val="18"/>
              </w:rPr>
              <w:t>25 µg/m3</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6A0270B"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90%</w:t>
            </w:r>
          </w:p>
        </w:tc>
      </w:tr>
      <w:tr w:rsidR="00670EBC" w:rsidRPr="007C4D65" w14:paraId="53FDA8C2" w14:textId="77777777" w:rsidTr="00D51C0E">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C108DA" w14:textId="77777777" w:rsidR="00670EBC" w:rsidRPr="007C4D65" w:rsidRDefault="00670EBC" w:rsidP="0068355A">
            <w:pPr>
              <w:widowControl w:val="0"/>
              <w:autoSpaceDE w:val="0"/>
              <w:autoSpaceDN w:val="0"/>
              <w:spacing w:line="276" w:lineRule="auto"/>
              <w:rPr>
                <w:rFonts w:asciiTheme="minorHAnsi" w:eastAsia="Arial" w:hAnsiTheme="minorHAnsi" w:cstheme="minorHAnsi"/>
                <w:b w:val="0"/>
                <w:sz w:val="18"/>
                <w:szCs w:val="18"/>
              </w:rPr>
            </w:pPr>
            <w:r w:rsidRPr="007C4D65">
              <w:rPr>
                <w:rFonts w:asciiTheme="minorHAnsi" w:hAnsiTheme="minorHAnsi" w:cstheme="minorHAnsi"/>
                <w:b w:val="0"/>
                <w:sz w:val="18"/>
              </w:rPr>
              <w:t>O</w:t>
            </w:r>
            <w:r w:rsidRPr="007C4D65">
              <w:rPr>
                <w:rFonts w:asciiTheme="minorHAnsi" w:hAnsiTheme="minorHAnsi" w:cstheme="minorHAnsi"/>
                <w:b w:val="0"/>
                <w:sz w:val="18"/>
                <w:vertAlign w:val="subscript"/>
              </w:rPr>
              <w:t>3</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47D56DB" w14:textId="77777777" w:rsidR="00670EBC" w:rsidRPr="007C4D65" w:rsidRDefault="00432B6D" w:rsidP="0068355A">
            <w:pPr>
              <w:widowControl w:val="0"/>
              <w:autoSpaceDE w:val="0"/>
              <w:autoSpaceDN w:val="0"/>
              <w:spacing w:line="276" w:lineRule="auto"/>
              <w:jc w:val="center"/>
              <w:rPr>
                <w:rFonts w:asciiTheme="minorHAnsi" w:eastAsia="Arial" w:hAnsiTheme="minorHAnsi" w:cstheme="minorHAnsi"/>
                <w:sz w:val="18"/>
                <w:szCs w:val="18"/>
              </w:rPr>
            </w:pPr>
            <w:r w:rsidRPr="007C4D65">
              <w:rPr>
                <w:rFonts w:asciiTheme="minorHAnsi" w:hAnsiTheme="minorHAnsi" w:cstheme="minorHAnsi"/>
                <w:sz w:val="18"/>
              </w:rPr>
              <w:t>Eight hours</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79EA39" w14:textId="77777777" w:rsidR="00670EBC" w:rsidRPr="007C4D65" w:rsidRDefault="00670EBC" w:rsidP="0068355A">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18"/>
                <w:szCs w:val="18"/>
              </w:rPr>
            </w:pPr>
            <w:r w:rsidRPr="007C4D65">
              <w:rPr>
                <w:rFonts w:asciiTheme="minorHAnsi" w:hAnsiTheme="minorHAnsi" w:cstheme="minorHAnsi"/>
                <w:sz w:val="18"/>
              </w:rPr>
              <w:t>120</w:t>
            </w:r>
            <w:r w:rsidRPr="007C4D65">
              <w:rPr>
                <w:rStyle w:val="FootnoteReference"/>
                <w:rFonts w:asciiTheme="minorHAnsi" w:eastAsia="Arial" w:hAnsiTheme="minorHAnsi" w:cstheme="minorHAnsi"/>
                <w:sz w:val="18"/>
                <w:szCs w:val="18"/>
              </w:rPr>
              <w:footnoteReference w:id="19"/>
            </w:r>
            <w:r w:rsidRPr="007C4D65">
              <w:rPr>
                <w:rFonts w:asciiTheme="minorHAnsi" w:hAnsiTheme="minorHAnsi" w:cstheme="minorHAnsi"/>
                <w:sz w:val="18"/>
              </w:rPr>
              <w:t xml:space="preserve"> µg/m3</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B1B5E4E" w14:textId="77777777" w:rsidR="00670EBC" w:rsidRPr="007C4D65" w:rsidRDefault="00670EBC" w:rsidP="0068355A">
            <w:pPr>
              <w:widowControl w:val="0"/>
              <w:autoSpaceDE w:val="0"/>
              <w:autoSpaceDN w:val="0"/>
              <w:spacing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75%</w:t>
            </w:r>
          </w:p>
        </w:tc>
      </w:tr>
      <w:tr w:rsidR="00670EBC" w:rsidRPr="007C4D65" w14:paraId="18A33AEE" w14:textId="77777777" w:rsidTr="00D51C0E">
        <w:trPr>
          <w:cnfStyle w:val="010000000000" w:firstRow="0" w:lastRow="1" w:firstColumn="0" w:lastColumn="0" w:oddVBand="0" w:evenVBand="0" w:oddHBand="0"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53FECD3" w14:textId="77777777" w:rsidR="00670EBC" w:rsidRPr="007C4D65" w:rsidRDefault="00670EBC" w:rsidP="0068355A">
            <w:pPr>
              <w:widowControl w:val="0"/>
              <w:autoSpaceDE w:val="0"/>
              <w:autoSpaceDN w:val="0"/>
              <w:spacing w:before="0" w:beforeAutospacing="0" w:afterAutospacing="0" w:line="276" w:lineRule="auto"/>
              <w:rPr>
                <w:rFonts w:asciiTheme="minorHAnsi" w:eastAsia="Arial" w:hAnsiTheme="minorHAnsi" w:cstheme="minorHAnsi"/>
                <w:b w:val="0"/>
                <w:sz w:val="18"/>
                <w:szCs w:val="18"/>
              </w:rPr>
            </w:pPr>
            <w:r w:rsidRPr="007C4D65">
              <w:rPr>
                <w:rFonts w:asciiTheme="minorHAnsi" w:hAnsiTheme="minorHAnsi" w:cstheme="minorHAnsi"/>
                <w:b w:val="0"/>
                <w:sz w:val="18"/>
              </w:rPr>
              <w:t>Benzene</w:t>
            </w:r>
          </w:p>
        </w:tc>
        <w:tc>
          <w:tcPr>
            <w:cnfStyle w:val="000010000000" w:firstRow="0" w:lastRow="0" w:firstColumn="0" w:lastColumn="0" w:oddVBand="1" w:evenVBand="0" w:oddHBand="0" w:evenHBand="0" w:firstRowFirstColumn="0" w:firstRowLastColumn="0" w:lastRowFirstColumn="0" w:lastRowLastColumn="0"/>
            <w:tcW w:w="12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6D2608" w14:textId="77777777" w:rsidR="00670EBC" w:rsidRPr="007C4D65" w:rsidRDefault="00670EBC" w:rsidP="0068355A">
            <w:pPr>
              <w:widowControl w:val="0"/>
              <w:autoSpaceDE w:val="0"/>
              <w:autoSpaceDN w:val="0"/>
              <w:spacing w:before="0" w:beforeAutospacing="0" w:afterAutospacing="0"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Year</w:t>
            </w:r>
          </w:p>
        </w:tc>
        <w:tc>
          <w:tcPr>
            <w:tcW w:w="12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658D068" w14:textId="77777777" w:rsidR="00670EBC" w:rsidRPr="007C4D65" w:rsidRDefault="00670EBC" w:rsidP="0068355A">
            <w:pPr>
              <w:widowControl w:val="0"/>
              <w:autoSpaceDE w:val="0"/>
              <w:autoSpaceDN w:val="0"/>
              <w:spacing w:before="0" w:beforeAutospacing="0" w:afterAutospacing="0" w:line="276" w:lineRule="auto"/>
              <w:jc w:val="center"/>
              <w:cnfStyle w:val="010000000000" w:firstRow="0" w:lastRow="1" w:firstColumn="0" w:lastColumn="0" w:oddVBand="0" w:evenVBand="0" w:oddHBand="0" w:evenHBand="0" w:firstRowFirstColumn="0" w:firstRowLastColumn="0" w:lastRowFirstColumn="0" w:lastRowLastColumn="0"/>
              <w:rPr>
                <w:rFonts w:asciiTheme="minorHAnsi" w:eastAsia="Arial" w:hAnsiTheme="minorHAnsi" w:cstheme="minorHAnsi"/>
                <w:b w:val="0"/>
                <w:sz w:val="18"/>
                <w:szCs w:val="18"/>
              </w:rPr>
            </w:pPr>
            <w:r w:rsidRPr="007C4D65">
              <w:rPr>
                <w:rFonts w:asciiTheme="minorHAnsi" w:hAnsiTheme="minorHAnsi" w:cstheme="minorHAnsi"/>
                <w:b w:val="0"/>
                <w:sz w:val="18"/>
              </w:rPr>
              <w:t>5 µg/m3</w:t>
            </w:r>
          </w:p>
        </w:tc>
        <w:tc>
          <w:tcPr>
            <w:cnfStyle w:val="000100000000" w:firstRow="0" w:lastRow="0" w:firstColumn="0" w:lastColumn="1" w:oddVBand="0" w:evenVBand="0" w:oddHBand="0" w:evenHBand="0" w:firstRowFirstColumn="0" w:firstRowLastColumn="0" w:lastRowFirstColumn="0" w:lastRowLastColumn="0"/>
            <w:tcW w:w="1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83FF4E9" w14:textId="77777777" w:rsidR="00670EBC" w:rsidRPr="007C4D65" w:rsidRDefault="00670EBC" w:rsidP="0068355A">
            <w:pPr>
              <w:widowControl w:val="0"/>
              <w:autoSpaceDE w:val="0"/>
              <w:autoSpaceDN w:val="0"/>
              <w:spacing w:before="0" w:beforeAutospacing="0" w:afterAutospacing="0" w:line="276" w:lineRule="auto"/>
              <w:jc w:val="center"/>
              <w:rPr>
                <w:rFonts w:asciiTheme="minorHAnsi" w:eastAsia="Arial" w:hAnsiTheme="minorHAnsi" w:cstheme="minorHAnsi"/>
                <w:b w:val="0"/>
                <w:sz w:val="18"/>
                <w:szCs w:val="18"/>
              </w:rPr>
            </w:pPr>
            <w:r w:rsidRPr="007C4D65">
              <w:rPr>
                <w:rFonts w:asciiTheme="minorHAnsi" w:hAnsiTheme="minorHAnsi" w:cstheme="minorHAnsi"/>
                <w:b w:val="0"/>
                <w:sz w:val="18"/>
              </w:rPr>
              <w:t>90%</w:t>
            </w:r>
          </w:p>
        </w:tc>
      </w:tr>
    </w:tbl>
    <w:p w14:paraId="49187D59" w14:textId="5A223290" w:rsidR="00670EBC" w:rsidRPr="007C4D65" w:rsidRDefault="00670EBC" w:rsidP="0068355A">
      <w:pPr>
        <w:spacing w:before="160" w:after="240" w:line="276" w:lineRule="auto"/>
        <w:jc w:val="both"/>
        <w:rPr>
          <w:rFonts w:asciiTheme="minorHAnsi" w:hAnsiTheme="minorHAnsi" w:cstheme="minorHAnsi"/>
          <w:sz w:val="22"/>
          <w:szCs w:val="22"/>
        </w:rPr>
      </w:pPr>
      <w:r w:rsidRPr="007C4D65">
        <w:rPr>
          <w:rFonts w:asciiTheme="minorHAnsi" w:hAnsiTheme="minorHAnsi" w:cstheme="minorHAnsi"/>
        </w:rPr>
        <w:t>According to Rulebook on monitoring air quality and identifying types of pollutants, limit values and other air quality</w:t>
      </w:r>
      <w:r w:rsidRPr="007C4D65">
        <w:rPr>
          <w:rFonts w:asciiTheme="minorHAnsi" w:hAnsiTheme="minorHAnsi" w:cstheme="minorHAnsi"/>
          <w:sz w:val="22"/>
        </w:rPr>
        <w:t xml:space="preserve"> </w:t>
      </w:r>
      <w:r w:rsidRPr="007C4D65">
        <w:rPr>
          <w:rFonts w:asciiTheme="minorHAnsi" w:hAnsiTheme="minorHAnsi" w:cstheme="minorHAnsi"/>
        </w:rPr>
        <w:t xml:space="preserve">standards </w:t>
      </w:r>
      <w:r w:rsidR="00497745" w:rsidRPr="007C4D65">
        <w:rPr>
          <w:rFonts w:asciiTheme="minorHAnsi" w:hAnsiTheme="minorHAnsi" w:cstheme="minorHAnsi"/>
          <w:sz w:val="22"/>
        </w:rPr>
        <w:fldChar w:fldCharType="begin"/>
      </w:r>
      <w:r w:rsidR="00CE1A95" w:rsidRPr="007C4D65">
        <w:rPr>
          <w:rFonts w:asciiTheme="minorHAnsi" w:hAnsiTheme="minorHAnsi" w:cstheme="minorHAnsi"/>
          <w:sz w:val="22"/>
        </w:rPr>
        <w:instrText xml:space="preserve"> ADDIN ZOTERO_ITEM CSL_CITATION {"citationID":"10LH0QiO","properties":{"formattedCitation":"(Sl. glasnik FBiH, br. 01/12 2012)","plainCitation":"(Sl. glasnik FBiH, br. 01/12 2012)","dontUpdate":true,"noteIndex":0},"citationItems":[{"id":1486,"uris":["http://zotero.org/users/7192877/items/TLL2H3FX"],"itemData":{"id":1486,"type":"legislation","title":"Pravilnik o načinu vršenja monitoringa kvaliteta zraka i definiranju vrsta zagađujućih materija, graničnih vrijednosti i drugih standarda kvaliteta zraka","URL":"http://www.fuzip.gov.ba/bundles/websitenews/gallery/files/113/149692860958_Pravilnik_o_na%C4%8Dinu_vr%C5%A1enja_monitoringa_kvaliteta_i_definiranju_vrsta_zaga%C4%91uju%C4%87ih_materija,_grani%C4%8Dnih_vrijednosti_i_drugih_(_Slu%C5%BEbene_novine_FBiH_,_broj__1_12).pdf","author":[{"family":"\"Sl. novine Federacije BiH\", broj 01/12","given":""}],"issued":{"date-parts":[["2012"]]}}}],"schema":"https://github.com/citation-style-language/schema/raw/master/csl-citation.json"} </w:instrText>
      </w:r>
      <w:r w:rsidR="00497745" w:rsidRPr="007C4D65">
        <w:rPr>
          <w:rFonts w:asciiTheme="minorHAnsi" w:hAnsiTheme="minorHAnsi" w:cstheme="minorHAnsi"/>
          <w:sz w:val="22"/>
        </w:rPr>
        <w:fldChar w:fldCharType="separate"/>
      </w:r>
      <w:r w:rsidR="00497745" w:rsidRPr="007C4D65">
        <w:rPr>
          <w:rFonts w:asciiTheme="minorHAnsi" w:hAnsiTheme="minorHAnsi" w:cstheme="minorHAnsi"/>
          <w:sz w:val="22"/>
        </w:rPr>
        <w:t>(</w:t>
      </w:r>
      <w:r w:rsidR="00925D49" w:rsidRPr="007C4D65">
        <w:rPr>
          <w:rFonts w:asciiTheme="minorHAnsi" w:hAnsiTheme="minorHAnsi" w:cstheme="minorHAnsi"/>
          <w:sz w:val="22"/>
        </w:rPr>
        <w:t>"</w:t>
      </w:r>
      <w:r w:rsidR="00116A22" w:rsidRPr="007C4D65">
        <w:rPr>
          <w:rFonts w:asciiTheme="minorHAnsi" w:hAnsiTheme="minorHAnsi" w:cstheme="minorHAnsi"/>
          <w:sz w:val="22"/>
        </w:rPr>
        <w:t>Official Gazette of the Federation of BiH</w:t>
      </w:r>
      <w:r w:rsidR="00925D49" w:rsidRPr="007C4D65">
        <w:rPr>
          <w:rFonts w:asciiTheme="minorHAnsi" w:hAnsiTheme="minorHAnsi" w:cstheme="minorHAnsi"/>
          <w:sz w:val="22"/>
        </w:rPr>
        <w:t>"</w:t>
      </w:r>
      <w:r w:rsidR="00497745" w:rsidRPr="007C4D65">
        <w:rPr>
          <w:rFonts w:asciiTheme="minorHAnsi" w:hAnsiTheme="minorHAnsi" w:cstheme="minorHAnsi"/>
          <w:sz w:val="22"/>
        </w:rPr>
        <w:t>, 01/12)</w:t>
      </w:r>
      <w:r w:rsidR="00497745" w:rsidRPr="007C4D65">
        <w:rPr>
          <w:rFonts w:asciiTheme="minorHAnsi" w:hAnsiTheme="minorHAnsi" w:cstheme="minorHAnsi"/>
          <w:sz w:val="22"/>
        </w:rPr>
        <w:fldChar w:fldCharType="end"/>
      </w:r>
      <w:r w:rsidRPr="007C4D65">
        <w:rPr>
          <w:rFonts w:asciiTheme="minorHAnsi" w:hAnsiTheme="minorHAnsi" w:cstheme="minorHAnsi"/>
          <w:sz w:val="22"/>
        </w:rPr>
        <w:t>, air quality is monitored by measuring concentrations for sulphur dioxide, nitrogen oxides, particulate matter PM10 and PM2.5, lead, benzene, carbon monoxide, arsenic, cadmium, mercury, nickel, benzo-a-pyrene, with automated measuring instruments or by sample analysis. The current conditions in FBiH do not allow for regular monitoring of all given parameters, while certain parameters are either not measured (benzene, benzo-a-pyrene) or are measured only randomly (metals in particulate matter).</w:t>
      </w:r>
    </w:p>
    <w:p w14:paraId="4B8DA4B6" w14:textId="6CFAABDB" w:rsidR="00670EBC" w:rsidRPr="007C4D65" w:rsidRDefault="00670E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In the Federation of BiH, air quality monitoring is conducted by several operators within the Federation’s network of measuring stations (managed by Hydrometeorological Institute of the </w:t>
      </w:r>
      <w:r w:rsidRPr="007C4D65">
        <w:rPr>
          <w:rFonts w:asciiTheme="minorHAnsi" w:hAnsiTheme="minorHAnsi" w:cstheme="minorHAnsi"/>
          <w:sz w:val="22"/>
        </w:rPr>
        <w:lastRenderedPageBreak/>
        <w:t xml:space="preserve">Federation) and local networks of stations managed by cantons and municipalities. Sulphur dioxide concentration in the air was measured on 20 measuring stations in 2019 According to the results of measurements from 2019, concentration of sulphur dioxide in </w:t>
      </w:r>
      <w:proofErr w:type="spellStart"/>
      <w:r w:rsidRPr="007C4D65">
        <w:rPr>
          <w:rFonts w:asciiTheme="minorHAnsi" w:hAnsiTheme="minorHAnsi" w:cstheme="minorHAnsi"/>
          <w:sz w:val="22"/>
        </w:rPr>
        <w:t>Zenica</w:t>
      </w:r>
      <w:proofErr w:type="spellEnd"/>
      <w:r w:rsidRPr="007C4D65">
        <w:rPr>
          <w:rFonts w:asciiTheme="minorHAnsi" w:hAnsiTheme="minorHAnsi" w:cstheme="minorHAnsi"/>
          <w:sz w:val="22"/>
        </w:rPr>
        <w:t xml:space="preserve"> and </w:t>
      </w:r>
      <w:proofErr w:type="spellStart"/>
      <w:r w:rsidR="005A5882" w:rsidRPr="007C4D65">
        <w:rPr>
          <w:rFonts w:asciiTheme="minorHAnsi" w:hAnsiTheme="minorHAnsi" w:cstheme="minorHAnsi"/>
          <w:sz w:val="22"/>
        </w:rPr>
        <w:t>Z</w:t>
      </w:r>
      <w:r w:rsidRPr="007C4D65">
        <w:rPr>
          <w:rFonts w:asciiTheme="minorHAnsi" w:hAnsiTheme="minorHAnsi" w:cstheme="minorHAnsi"/>
          <w:sz w:val="22"/>
        </w:rPr>
        <w:t>ivinice</w:t>
      </w:r>
      <w:proofErr w:type="spellEnd"/>
      <w:r w:rsidRPr="007C4D65">
        <w:rPr>
          <w:rFonts w:asciiTheme="minorHAnsi" w:hAnsiTheme="minorHAnsi" w:cstheme="minorHAnsi"/>
          <w:sz w:val="22"/>
        </w:rPr>
        <w:t xml:space="preserve"> were above prescribed limit values at the annual, daily and hourly level. Annual mean concentration of sulphur dioxide at the measuring sites </w:t>
      </w:r>
      <w:proofErr w:type="spellStart"/>
      <w:r w:rsidRPr="007C4D65">
        <w:rPr>
          <w:rFonts w:asciiTheme="minorHAnsi" w:hAnsiTheme="minorHAnsi" w:cstheme="minorHAnsi"/>
          <w:sz w:val="22"/>
        </w:rPr>
        <w:t>Zenica</w:t>
      </w:r>
      <w:proofErr w:type="spellEnd"/>
      <w:r w:rsidRPr="007C4D65">
        <w:rPr>
          <w:rFonts w:asciiTheme="minorHAnsi" w:hAnsiTheme="minorHAnsi" w:cstheme="minorHAnsi"/>
          <w:sz w:val="22"/>
        </w:rPr>
        <w:t xml:space="preserve"> </w:t>
      </w:r>
      <w:proofErr w:type="spellStart"/>
      <w:r w:rsidRPr="007C4D65">
        <w:rPr>
          <w:rFonts w:asciiTheme="minorHAnsi" w:hAnsiTheme="minorHAnsi" w:cstheme="minorHAnsi"/>
          <w:sz w:val="22"/>
        </w:rPr>
        <w:t>Centar</w:t>
      </w:r>
      <w:proofErr w:type="spellEnd"/>
      <w:r w:rsidRPr="007C4D65">
        <w:rPr>
          <w:rFonts w:asciiTheme="minorHAnsi" w:hAnsiTheme="minorHAnsi" w:cstheme="minorHAnsi"/>
          <w:sz w:val="22"/>
        </w:rPr>
        <w:t xml:space="preserve">, </w:t>
      </w:r>
      <w:proofErr w:type="spellStart"/>
      <w:r w:rsidRPr="007C4D65">
        <w:rPr>
          <w:rFonts w:asciiTheme="minorHAnsi" w:hAnsiTheme="minorHAnsi" w:cstheme="minorHAnsi"/>
          <w:sz w:val="22"/>
        </w:rPr>
        <w:t>Zenica</w:t>
      </w:r>
      <w:proofErr w:type="spellEnd"/>
      <w:r w:rsidRPr="007C4D65">
        <w:rPr>
          <w:rFonts w:asciiTheme="minorHAnsi" w:hAnsiTheme="minorHAnsi" w:cstheme="minorHAnsi"/>
          <w:sz w:val="22"/>
        </w:rPr>
        <w:t xml:space="preserve"> </w:t>
      </w:r>
      <w:proofErr w:type="spellStart"/>
      <w:r w:rsidRPr="007C4D65">
        <w:rPr>
          <w:rFonts w:asciiTheme="minorHAnsi" w:hAnsiTheme="minorHAnsi" w:cstheme="minorHAnsi"/>
          <w:sz w:val="22"/>
        </w:rPr>
        <w:t>Radakovo</w:t>
      </w:r>
      <w:proofErr w:type="spellEnd"/>
      <w:r w:rsidRPr="007C4D65">
        <w:rPr>
          <w:rFonts w:asciiTheme="minorHAnsi" w:hAnsiTheme="minorHAnsi" w:cstheme="minorHAnsi"/>
          <w:sz w:val="22"/>
        </w:rPr>
        <w:t xml:space="preserve">, </w:t>
      </w:r>
      <w:proofErr w:type="spellStart"/>
      <w:r w:rsidRPr="007C4D65">
        <w:rPr>
          <w:rFonts w:asciiTheme="minorHAnsi" w:hAnsiTheme="minorHAnsi" w:cstheme="minorHAnsi"/>
          <w:sz w:val="22"/>
        </w:rPr>
        <w:t>Zenica</w:t>
      </w:r>
      <w:proofErr w:type="spellEnd"/>
      <w:r w:rsidRPr="007C4D65">
        <w:rPr>
          <w:rFonts w:asciiTheme="minorHAnsi" w:hAnsiTheme="minorHAnsi" w:cstheme="minorHAnsi"/>
          <w:sz w:val="22"/>
        </w:rPr>
        <w:t xml:space="preserve"> Tetovo, </w:t>
      </w:r>
      <w:proofErr w:type="spellStart"/>
      <w:r w:rsidRPr="007C4D65">
        <w:rPr>
          <w:rFonts w:asciiTheme="minorHAnsi" w:hAnsiTheme="minorHAnsi" w:cstheme="minorHAnsi"/>
          <w:sz w:val="22"/>
        </w:rPr>
        <w:t>Zenica</w:t>
      </w:r>
      <w:proofErr w:type="spellEnd"/>
      <w:r w:rsidRPr="007C4D65">
        <w:rPr>
          <w:rFonts w:asciiTheme="minorHAnsi" w:hAnsiTheme="minorHAnsi" w:cstheme="minorHAnsi"/>
          <w:sz w:val="22"/>
        </w:rPr>
        <w:t xml:space="preserve"> </w:t>
      </w:r>
      <w:proofErr w:type="spellStart"/>
      <w:r w:rsidRPr="007C4D65">
        <w:rPr>
          <w:rFonts w:asciiTheme="minorHAnsi" w:hAnsiTheme="minorHAnsi" w:cstheme="minorHAnsi"/>
          <w:sz w:val="22"/>
        </w:rPr>
        <w:t>Vranduk</w:t>
      </w:r>
      <w:proofErr w:type="spellEnd"/>
      <w:r w:rsidRPr="007C4D65">
        <w:rPr>
          <w:rFonts w:asciiTheme="minorHAnsi" w:hAnsiTheme="minorHAnsi" w:cstheme="minorHAnsi"/>
          <w:sz w:val="22"/>
        </w:rPr>
        <w:t xml:space="preserve"> and </w:t>
      </w:r>
      <w:proofErr w:type="spellStart"/>
      <w:r w:rsidR="005A5882" w:rsidRPr="007C4D65">
        <w:rPr>
          <w:rFonts w:asciiTheme="minorHAnsi" w:hAnsiTheme="minorHAnsi" w:cstheme="minorHAnsi"/>
          <w:sz w:val="22"/>
        </w:rPr>
        <w:t>Z</w:t>
      </w:r>
      <w:r w:rsidRPr="007C4D65">
        <w:rPr>
          <w:rFonts w:asciiTheme="minorHAnsi" w:hAnsiTheme="minorHAnsi" w:cstheme="minorHAnsi"/>
          <w:sz w:val="22"/>
        </w:rPr>
        <w:t>ivinice</w:t>
      </w:r>
      <w:proofErr w:type="spellEnd"/>
      <w:r w:rsidRPr="007C4D65">
        <w:rPr>
          <w:rFonts w:asciiTheme="minorHAnsi" w:hAnsiTheme="minorHAnsi" w:cstheme="minorHAnsi"/>
          <w:sz w:val="22"/>
        </w:rPr>
        <w:t xml:space="preserve"> exceeds the allowed limit value of 50 µg/m3.</w:t>
      </w:r>
    </w:p>
    <w:p w14:paraId="13F4AABE" w14:textId="7A39E76A" w:rsidR="00670EBC" w:rsidRPr="007C4D65" w:rsidRDefault="005A5882"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Nitrogen</w:t>
      </w:r>
      <w:r w:rsidR="00670EBC" w:rsidRPr="007C4D65">
        <w:rPr>
          <w:rFonts w:asciiTheme="minorHAnsi" w:hAnsiTheme="minorHAnsi" w:cstheme="minorHAnsi"/>
          <w:sz w:val="22"/>
        </w:rPr>
        <w:t xml:space="preserve"> dioxide concentration in the air was measured on 17 measuring stations in 2019 Limit value of mean annual concentration of nitrogen dioxide has not been exceeded at any of the measuring sites. Mean annual concentrations at all measuring sites were below limit value of 40 µg/m3. The number of days with exceedances of limit value of NO2 concentrations (&gt;85 µg/m3) is relatively low and mostly takes place in Sarajevo.</w:t>
      </w:r>
    </w:p>
    <w:p w14:paraId="2C46FF96" w14:textId="0A1D3DAF" w:rsidR="00670EBC" w:rsidRPr="007C4D65" w:rsidRDefault="00670E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Ground level ozone concentration was measured on 18 measuring stations in 2019 in the Federation of BiH. The measurements showed that </w:t>
      </w:r>
      <w:proofErr w:type="spellStart"/>
      <w:r w:rsidRPr="007C4D65">
        <w:rPr>
          <w:rFonts w:asciiTheme="minorHAnsi" w:hAnsiTheme="minorHAnsi" w:cstheme="minorHAnsi"/>
          <w:sz w:val="22"/>
        </w:rPr>
        <w:t>Zenica</w:t>
      </w:r>
      <w:proofErr w:type="spellEnd"/>
      <w:r w:rsidRPr="007C4D65">
        <w:rPr>
          <w:rFonts w:asciiTheme="minorHAnsi" w:hAnsiTheme="minorHAnsi" w:cstheme="minorHAnsi"/>
          <w:sz w:val="22"/>
        </w:rPr>
        <w:t xml:space="preserve"> </w:t>
      </w:r>
      <w:proofErr w:type="spellStart"/>
      <w:r w:rsidRPr="007C4D65">
        <w:rPr>
          <w:rFonts w:asciiTheme="minorHAnsi" w:hAnsiTheme="minorHAnsi" w:cstheme="minorHAnsi"/>
          <w:sz w:val="22"/>
        </w:rPr>
        <w:t>Centar</w:t>
      </w:r>
      <w:proofErr w:type="spellEnd"/>
      <w:r w:rsidRPr="007C4D65">
        <w:rPr>
          <w:rFonts w:asciiTheme="minorHAnsi" w:hAnsiTheme="minorHAnsi" w:cstheme="minorHAnsi"/>
          <w:sz w:val="22"/>
        </w:rPr>
        <w:t xml:space="preserve">, Tetovo, </w:t>
      </w:r>
      <w:proofErr w:type="spellStart"/>
      <w:r w:rsidRPr="007C4D65">
        <w:rPr>
          <w:rFonts w:asciiTheme="minorHAnsi" w:hAnsiTheme="minorHAnsi" w:cstheme="minorHAnsi"/>
          <w:sz w:val="22"/>
        </w:rPr>
        <w:t>Kakanj</w:t>
      </w:r>
      <w:proofErr w:type="spellEnd"/>
      <w:r w:rsidRPr="007C4D65">
        <w:rPr>
          <w:rFonts w:asciiTheme="minorHAnsi" w:hAnsiTheme="minorHAnsi" w:cstheme="minorHAnsi"/>
          <w:sz w:val="22"/>
        </w:rPr>
        <w:t xml:space="preserve"> Doboj, Sarajevo </w:t>
      </w:r>
      <w:proofErr w:type="spellStart"/>
      <w:r w:rsidRPr="007C4D65">
        <w:rPr>
          <w:rFonts w:asciiTheme="minorHAnsi" w:hAnsiTheme="minorHAnsi" w:cstheme="minorHAnsi"/>
          <w:sz w:val="22"/>
        </w:rPr>
        <w:t>Bjelave</w:t>
      </w:r>
      <w:proofErr w:type="spellEnd"/>
      <w:r w:rsidRPr="007C4D65">
        <w:rPr>
          <w:rFonts w:asciiTheme="minorHAnsi" w:hAnsiTheme="minorHAnsi" w:cstheme="minorHAnsi"/>
          <w:sz w:val="22"/>
        </w:rPr>
        <w:t xml:space="preserve"> and </w:t>
      </w:r>
      <w:proofErr w:type="spellStart"/>
      <w:r w:rsidRPr="007C4D65">
        <w:rPr>
          <w:rFonts w:asciiTheme="minorHAnsi" w:hAnsiTheme="minorHAnsi" w:cstheme="minorHAnsi"/>
          <w:sz w:val="22"/>
        </w:rPr>
        <w:t>Jajce</w:t>
      </w:r>
      <w:proofErr w:type="spellEnd"/>
      <w:r w:rsidRPr="007C4D65">
        <w:rPr>
          <w:rFonts w:asciiTheme="minorHAnsi" w:hAnsiTheme="minorHAnsi" w:cstheme="minorHAnsi"/>
          <w:sz w:val="22"/>
        </w:rPr>
        <w:t xml:space="preserve"> had reached the number of allowed exceedances. These the </w:t>
      </w:r>
      <w:r w:rsidR="005A5882" w:rsidRPr="007C4D65">
        <w:rPr>
          <w:rFonts w:asciiTheme="minorHAnsi" w:hAnsiTheme="minorHAnsi" w:cstheme="minorHAnsi"/>
          <w:sz w:val="22"/>
        </w:rPr>
        <w:t>stations are</w:t>
      </w:r>
      <w:r w:rsidRPr="007C4D65">
        <w:rPr>
          <w:rFonts w:asciiTheme="minorHAnsi" w:hAnsiTheme="minorHAnsi" w:cstheme="minorHAnsi"/>
          <w:sz w:val="22"/>
        </w:rPr>
        <w:t xml:space="preserve"> mainly at sites 300 above the sea level, at elevations around the city, more specifically above the emission of ozone precursors.</w:t>
      </w:r>
    </w:p>
    <w:p w14:paraId="3AC7D8B0" w14:textId="679FDFD3" w:rsidR="00670EBC" w:rsidRPr="007C4D65" w:rsidRDefault="00670E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Ground level ozone concentration was measured on 18 measuring stations in 2019 in the Federation of BiH. Particulate matter PM10 were measured at 14 measuring sites. Particulate matter PM2 were measured at 7 measuring sites </w:t>
      </w:r>
      <w:proofErr w:type="gramStart"/>
      <w:r w:rsidRPr="007C4D65">
        <w:rPr>
          <w:rFonts w:asciiTheme="minorHAnsi" w:hAnsiTheme="minorHAnsi" w:cstheme="minorHAnsi"/>
          <w:sz w:val="22"/>
        </w:rPr>
        <w:t>At</w:t>
      </w:r>
      <w:proofErr w:type="gramEnd"/>
      <w:r w:rsidRPr="007C4D65">
        <w:rPr>
          <w:rFonts w:asciiTheme="minorHAnsi" w:hAnsiTheme="minorHAnsi" w:cstheme="minorHAnsi"/>
          <w:sz w:val="22"/>
        </w:rPr>
        <w:t xml:space="preserve"> the tree sites, particulate matters of both diameters were measured at the same time.</w:t>
      </w:r>
    </w:p>
    <w:p w14:paraId="1FD09E73" w14:textId="7B5A97D0" w:rsidR="00670EBC" w:rsidRPr="007C4D65" w:rsidRDefault="00670E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limit value of the annual mean concentration of particulate matter PM10 (40 µg/m3) was exceeded on all measuring stations, except for Doboj </w:t>
      </w:r>
      <w:proofErr w:type="spellStart"/>
      <w:r w:rsidRPr="007C4D65">
        <w:rPr>
          <w:rFonts w:asciiTheme="minorHAnsi" w:hAnsiTheme="minorHAnsi" w:cstheme="minorHAnsi"/>
          <w:sz w:val="22"/>
          <w:szCs w:val="22"/>
        </w:rPr>
        <w:t>Kakanj</w:t>
      </w:r>
      <w:proofErr w:type="spellEnd"/>
      <w:r w:rsidRPr="007C4D65">
        <w:rPr>
          <w:rFonts w:asciiTheme="minorHAnsi" w:hAnsiTheme="minorHAnsi" w:cstheme="minorHAnsi"/>
          <w:sz w:val="22"/>
          <w:szCs w:val="22"/>
        </w:rPr>
        <w:t xml:space="preserve"> and </w:t>
      </w:r>
      <w:proofErr w:type="spellStart"/>
      <w:r w:rsidRPr="007C4D65">
        <w:rPr>
          <w:rFonts w:asciiTheme="minorHAnsi" w:hAnsiTheme="minorHAnsi" w:cstheme="minorHAnsi"/>
          <w:sz w:val="22"/>
          <w:szCs w:val="22"/>
        </w:rPr>
        <w:t>Jajce</w:t>
      </w:r>
      <w:proofErr w:type="spellEnd"/>
      <w:r w:rsidRPr="007C4D65">
        <w:rPr>
          <w:rFonts w:asciiTheme="minorHAnsi" w:hAnsiTheme="minorHAnsi" w:cstheme="minorHAnsi"/>
          <w:sz w:val="22"/>
          <w:szCs w:val="22"/>
        </w:rPr>
        <w:t xml:space="preserve">. The limit value of the annual mean concentration of particulate matter PM2 </w:t>
      </w:r>
      <w:proofErr w:type="gramStart"/>
      <w:r w:rsidRPr="007C4D65">
        <w:rPr>
          <w:rFonts w:asciiTheme="minorHAnsi" w:hAnsiTheme="minorHAnsi" w:cstheme="minorHAnsi"/>
          <w:sz w:val="22"/>
          <w:szCs w:val="22"/>
        </w:rPr>
        <w:t>5,(</w:t>
      </w:r>
      <w:proofErr w:type="gramEnd"/>
      <w:r w:rsidRPr="007C4D65">
        <w:rPr>
          <w:rFonts w:asciiTheme="minorHAnsi" w:hAnsiTheme="minorHAnsi" w:cstheme="minorHAnsi"/>
          <w:sz w:val="22"/>
          <w:szCs w:val="22"/>
        </w:rPr>
        <w:t xml:space="preserve">25 µg/m3) was exceeded on the measuring stations Tuzla </w:t>
      </w:r>
      <w:proofErr w:type="spellStart"/>
      <w:r w:rsidRPr="007C4D65">
        <w:rPr>
          <w:rFonts w:asciiTheme="minorHAnsi" w:hAnsiTheme="minorHAnsi" w:cstheme="minorHAnsi"/>
          <w:sz w:val="22"/>
          <w:szCs w:val="22"/>
        </w:rPr>
        <w:t>Skver</w:t>
      </w:r>
      <w:proofErr w:type="spellEnd"/>
      <w:r w:rsidRPr="007C4D65">
        <w:rPr>
          <w:rFonts w:asciiTheme="minorHAnsi" w:hAnsiTheme="minorHAnsi" w:cstheme="minorHAnsi"/>
          <w:sz w:val="22"/>
          <w:szCs w:val="22"/>
        </w:rPr>
        <w:t xml:space="preserve"> </w:t>
      </w:r>
      <w:r w:rsidR="001A2A48" w:rsidRPr="007C4D65">
        <w:rPr>
          <w:rFonts w:asciiTheme="minorHAnsi" w:hAnsiTheme="minorHAnsi" w:cstheme="minorHAnsi"/>
          <w:sz w:val="22"/>
          <w:szCs w:val="22"/>
        </w:rPr>
        <w:t>and</w:t>
      </w:r>
      <w:r w:rsidRPr="007C4D65">
        <w:rPr>
          <w:rFonts w:asciiTheme="minorHAnsi" w:hAnsiTheme="minorHAnsi" w:cstheme="minorHAnsi"/>
          <w:sz w:val="22"/>
          <w:szCs w:val="22"/>
        </w:rPr>
        <w:t xml:space="preserve"> </w:t>
      </w:r>
      <w:proofErr w:type="spellStart"/>
      <w:r w:rsidRPr="007C4D65">
        <w:rPr>
          <w:rFonts w:asciiTheme="minorHAnsi" w:hAnsiTheme="minorHAnsi" w:cstheme="minorHAnsi"/>
          <w:sz w:val="22"/>
          <w:szCs w:val="22"/>
        </w:rPr>
        <w:t>Lukavac</w:t>
      </w:r>
      <w:proofErr w:type="spellEnd"/>
      <w:r w:rsidRPr="007C4D65">
        <w:rPr>
          <w:rFonts w:asciiTheme="minorHAnsi" w:hAnsiTheme="minorHAnsi" w:cstheme="minorHAnsi"/>
          <w:sz w:val="22"/>
          <w:szCs w:val="22"/>
        </w:rPr>
        <w:t>.</w:t>
      </w:r>
    </w:p>
    <w:p w14:paraId="215B5255" w14:textId="6A05E379" w:rsidR="00670EBC" w:rsidRPr="007C4D65" w:rsidRDefault="00670E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Carbon monoxide is measured at 12 sites in the Federation of BiH. Annual mean concentrations are far below the prescribed limit values (&gt;3 mg/m3), while exceeding of the hourly and 8-hourly mean has not been recorded in 2019. Carbon monoxide rarely undermines the air quality in </w:t>
      </w:r>
      <w:r w:rsidR="0012427C" w:rsidRPr="007C4D65">
        <w:rPr>
          <w:rFonts w:asciiTheme="minorHAnsi" w:hAnsiTheme="minorHAnsi" w:cstheme="minorHAnsi"/>
          <w:sz w:val="22"/>
          <w:szCs w:val="22"/>
        </w:rPr>
        <w:t xml:space="preserve">the </w:t>
      </w:r>
      <w:r w:rsidRPr="007C4D65">
        <w:rPr>
          <w:rFonts w:asciiTheme="minorHAnsi" w:hAnsiTheme="minorHAnsi" w:cstheme="minorHAnsi"/>
          <w:sz w:val="22"/>
          <w:szCs w:val="22"/>
        </w:rPr>
        <w:t>F</w:t>
      </w:r>
      <w:r w:rsidR="0012427C" w:rsidRPr="007C4D65">
        <w:rPr>
          <w:rFonts w:asciiTheme="minorHAnsi" w:hAnsiTheme="minorHAnsi" w:cstheme="minorHAnsi"/>
          <w:sz w:val="22"/>
          <w:szCs w:val="22"/>
        </w:rPr>
        <w:t xml:space="preserve">ederation of </w:t>
      </w:r>
      <w:r w:rsidRPr="007C4D65">
        <w:rPr>
          <w:rFonts w:asciiTheme="minorHAnsi" w:hAnsiTheme="minorHAnsi" w:cstheme="minorHAnsi"/>
          <w:sz w:val="22"/>
          <w:szCs w:val="22"/>
        </w:rPr>
        <w:t xml:space="preserve">BiH and concentrations remain within the values prescribed by the law </w:t>
      </w:r>
      <w:r w:rsidR="00481C1E" w:rsidRPr="007C4D65">
        <w:rPr>
          <w:rFonts w:asciiTheme="minorHAnsi" w:hAnsiTheme="minorHAnsi" w:cstheme="minorHAnsi"/>
          <w:sz w:val="22"/>
          <w:szCs w:val="22"/>
        </w:rPr>
        <w:fldChar w:fldCharType="begin"/>
      </w:r>
      <w:r w:rsidR="00CE1A95" w:rsidRPr="007C4D65">
        <w:rPr>
          <w:rFonts w:asciiTheme="minorHAnsi" w:hAnsiTheme="minorHAnsi" w:cstheme="minorHAnsi"/>
          <w:sz w:val="22"/>
          <w:szCs w:val="22"/>
        </w:rPr>
        <w:instrText xml:space="preserve"> ADDIN ZOTERO_ITEM CSL_CITATION {"citationID":"QvWSaINo","properties":{"formattedCitation":"(Bijedi\\uc0\\u263{} et al. 2020)","plainCitation":"(Bijedić et al. 2020)","noteIndex":0},"citationItems":[{"id":1487,"uris":["http://zotero.org/users/7192877/items/K9NJTC5V"],"itemData":{"id":1487,"type":"report","publisher":"Federalni hidrometeorološki zavod","title":"Godišnji izvještaj o kvalitetu zraka u Federaciji Bosne i Hercegovine za 2019. godinu","URL":"https://www.fhmzbih.gov.ba/PUBLIKACIJE/zrak/izvjestaj-2019.pdf","author":[{"family":"Bijedić","given":"Almir"},{"family":"Omerčić","given":"Enis"},{"family":"Krečinić","given":"Enis"}],"issued":{"date-parts":[["2020"]]}}}],"schema":"https://github.com/citation-style-language/schema/raw/master/csl-citation.json"} </w:instrText>
      </w:r>
      <w:r w:rsidR="00481C1E" w:rsidRPr="007C4D65">
        <w:rPr>
          <w:rFonts w:asciiTheme="minorHAnsi" w:hAnsiTheme="minorHAnsi" w:cstheme="minorHAnsi"/>
          <w:sz w:val="22"/>
          <w:szCs w:val="22"/>
        </w:rPr>
        <w:fldChar w:fldCharType="separate"/>
      </w:r>
      <w:r w:rsidR="00481C1E" w:rsidRPr="007C4D65">
        <w:rPr>
          <w:rFonts w:asciiTheme="minorHAnsi" w:hAnsiTheme="minorHAnsi" w:cstheme="minorHAnsi"/>
          <w:sz w:val="22"/>
          <w:szCs w:val="22"/>
        </w:rPr>
        <w:t>(Bijedi</w:t>
      </w:r>
      <w:r w:rsidR="005A5882" w:rsidRPr="007C4D65">
        <w:rPr>
          <w:rFonts w:asciiTheme="minorHAnsi" w:hAnsiTheme="minorHAnsi" w:cstheme="minorHAnsi"/>
          <w:sz w:val="22"/>
          <w:szCs w:val="22"/>
        </w:rPr>
        <w:t>c</w:t>
      </w:r>
      <w:r w:rsidR="00481C1E" w:rsidRPr="007C4D65">
        <w:rPr>
          <w:rFonts w:asciiTheme="minorHAnsi" w:hAnsiTheme="minorHAnsi" w:cstheme="minorHAnsi"/>
          <w:sz w:val="22"/>
          <w:szCs w:val="22"/>
        </w:rPr>
        <w:t xml:space="preserve"> </w:t>
      </w:r>
      <w:r w:rsidR="00481C1E" w:rsidRPr="007C4D65">
        <w:rPr>
          <w:rFonts w:asciiTheme="minorHAnsi" w:hAnsiTheme="minorHAnsi" w:cstheme="minorHAnsi"/>
          <w:i/>
          <w:sz w:val="22"/>
          <w:szCs w:val="22"/>
        </w:rPr>
        <w:t>et al.</w:t>
      </w:r>
      <w:r w:rsidR="00925D49" w:rsidRPr="007C4D65">
        <w:rPr>
          <w:rFonts w:asciiTheme="minorHAnsi" w:hAnsiTheme="minorHAnsi" w:cstheme="minorHAnsi"/>
          <w:sz w:val="22"/>
          <w:szCs w:val="22"/>
        </w:rPr>
        <w:t>,</w:t>
      </w:r>
      <w:r w:rsidR="00481C1E" w:rsidRPr="007C4D65">
        <w:rPr>
          <w:rFonts w:asciiTheme="minorHAnsi" w:hAnsiTheme="minorHAnsi" w:cstheme="minorHAnsi"/>
          <w:sz w:val="22"/>
          <w:szCs w:val="22"/>
        </w:rPr>
        <w:t xml:space="preserve"> 2020)</w:t>
      </w:r>
      <w:r w:rsidR="00481C1E" w:rsidRPr="007C4D65">
        <w:rPr>
          <w:rFonts w:asciiTheme="minorHAnsi" w:hAnsiTheme="minorHAnsi" w:cstheme="minorHAnsi"/>
          <w:sz w:val="22"/>
          <w:szCs w:val="22"/>
        </w:rPr>
        <w:fldChar w:fldCharType="end"/>
      </w:r>
      <w:r w:rsidRPr="007C4D65">
        <w:rPr>
          <w:rFonts w:asciiTheme="minorHAnsi" w:hAnsiTheme="minorHAnsi" w:cstheme="minorHAnsi"/>
          <w:sz w:val="22"/>
          <w:szCs w:val="22"/>
        </w:rPr>
        <w:t>.</w:t>
      </w:r>
    </w:p>
    <w:p w14:paraId="47725554" w14:textId="0520D40D" w:rsidR="00670EBC" w:rsidRPr="007C4D65" w:rsidRDefault="00670E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In 2019, an automatic station was commissioned in </w:t>
      </w:r>
      <w:proofErr w:type="spellStart"/>
      <w:r w:rsidRPr="007C4D65">
        <w:rPr>
          <w:rFonts w:asciiTheme="minorHAnsi" w:hAnsiTheme="minorHAnsi" w:cstheme="minorHAnsi"/>
          <w:sz w:val="22"/>
          <w:szCs w:val="22"/>
        </w:rPr>
        <w:t>Visoko</w:t>
      </w:r>
      <w:proofErr w:type="spellEnd"/>
      <w:r w:rsidRPr="007C4D65">
        <w:rPr>
          <w:rFonts w:asciiTheme="minorHAnsi" w:hAnsiTheme="minorHAnsi" w:cstheme="minorHAnsi"/>
          <w:sz w:val="22"/>
          <w:szCs w:val="22"/>
        </w:rPr>
        <w:t xml:space="preserve">. This measuring station, located close to a high school in the downtown area, is also equipped with a device for monitoring of hydrogen sulphide (H2S), due to specific emissions from the nearby leather treatment plant. In addition, it also measures sulphur dioxide and PM10 concentrations. This is the first measuring station in the Federation of BiH that measures the hydrogen sulphide concentrations. Initial measurements showed that limit values, daily and hourly values of this </w:t>
      </w:r>
      <w:r w:rsidR="001A2A48" w:rsidRPr="007C4D65">
        <w:rPr>
          <w:rFonts w:asciiTheme="minorHAnsi" w:hAnsiTheme="minorHAnsi" w:cstheme="minorHAnsi"/>
          <w:sz w:val="22"/>
          <w:szCs w:val="22"/>
        </w:rPr>
        <w:t>pollutant’s</w:t>
      </w:r>
      <w:r w:rsidRPr="007C4D65">
        <w:rPr>
          <w:rFonts w:asciiTheme="minorHAnsi" w:hAnsiTheme="minorHAnsi" w:cstheme="minorHAnsi"/>
          <w:sz w:val="22"/>
          <w:szCs w:val="22"/>
        </w:rPr>
        <w:t xml:space="preserve"> concentrations were consistently exceeded. The daily limit value is 5 µg/m3, and the hourly one is 7 µg/m3. Concentrations above 150 µg/m3 were recorded nine times.</w:t>
      </w:r>
    </w:p>
    <w:p w14:paraId="0840582D" w14:textId="091C11CF" w:rsidR="00670EBC" w:rsidRPr="007C4D65" w:rsidRDefault="00670E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Air quality modelling is underutilised in air quality management system. Categorisation of the air quality with the help of the mathematical model air pollutants dispersion was done only in the Sarajevo Canton.</w:t>
      </w:r>
    </w:p>
    <w:p w14:paraId="278375F7" w14:textId="582FE706" w:rsidR="00670EBC" w:rsidRPr="007C4D65" w:rsidRDefault="00670E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 xml:space="preserve">The existing register of facilities and polluters kept by the FMET does not provide sufficient data, which could enable control of the </w:t>
      </w:r>
      <w:r w:rsidR="005A5882" w:rsidRPr="007C4D65">
        <w:rPr>
          <w:rFonts w:asciiTheme="minorHAnsi" w:hAnsiTheme="minorHAnsi" w:cstheme="minorHAnsi"/>
          <w:sz w:val="22"/>
        </w:rPr>
        <w:t>results</w:t>
      </w:r>
      <w:r w:rsidRPr="007C4D65">
        <w:rPr>
          <w:rFonts w:asciiTheme="minorHAnsi" w:hAnsiTheme="minorHAnsi" w:cstheme="minorHAnsi"/>
          <w:sz w:val="22"/>
        </w:rPr>
        <w:t xml:space="preserve"> </w:t>
      </w:r>
      <w:r w:rsidR="005A5882" w:rsidRPr="007C4D65">
        <w:rPr>
          <w:rFonts w:asciiTheme="minorHAnsi" w:hAnsiTheme="minorHAnsi" w:cstheme="minorHAnsi"/>
          <w:sz w:val="22"/>
        </w:rPr>
        <w:t>obtained</w:t>
      </w:r>
      <w:r w:rsidRPr="007C4D65">
        <w:rPr>
          <w:rFonts w:asciiTheme="minorHAnsi" w:hAnsiTheme="minorHAnsi" w:cstheme="minorHAnsi"/>
          <w:sz w:val="22"/>
        </w:rPr>
        <w:t xml:space="preserve"> by measurements or calculation of emission for the pollutants which are not covered by the system and the measurement of which is not required by the law. </w:t>
      </w:r>
      <w:r w:rsidR="00A100D8" w:rsidRPr="007C4D65">
        <w:rPr>
          <w:rFonts w:asciiTheme="minorHAnsi" w:hAnsiTheme="minorHAnsi" w:cstheme="minorHAnsi"/>
          <w:sz w:val="22"/>
        </w:rPr>
        <w:t>Inadequate</w:t>
      </w:r>
      <w:r w:rsidRPr="007C4D65">
        <w:rPr>
          <w:rFonts w:asciiTheme="minorHAnsi" w:hAnsiTheme="minorHAnsi" w:cstheme="minorHAnsi"/>
          <w:sz w:val="22"/>
        </w:rPr>
        <w:t xml:space="preserve"> data is mostly the consequence of an insufficient laboratory capacities, lack of experts in the operators and institutions responsible for provision of data for the register and for inspection controls. The Cantons are required by the law to set up registers of pollutants for their territories. So far, the registers were set up by three cantons: Sarajevo, Tuzla and </w:t>
      </w:r>
      <w:proofErr w:type="spellStart"/>
      <w:r w:rsidRPr="007C4D65">
        <w:rPr>
          <w:rFonts w:asciiTheme="minorHAnsi" w:hAnsiTheme="minorHAnsi" w:cstheme="minorHAnsi"/>
          <w:sz w:val="22"/>
        </w:rPr>
        <w:t>Zenica</w:t>
      </w:r>
      <w:proofErr w:type="spellEnd"/>
      <w:r w:rsidRPr="007C4D65">
        <w:rPr>
          <w:rFonts w:asciiTheme="minorHAnsi" w:hAnsiTheme="minorHAnsi" w:cstheme="minorHAnsi"/>
          <w:sz w:val="22"/>
        </w:rPr>
        <w:t>-Doboj. The lack of</w:t>
      </w:r>
      <w:r w:rsidR="0076407C" w:rsidRPr="007C4D65">
        <w:rPr>
          <w:rFonts w:asciiTheme="minorHAnsi" w:hAnsiTheme="minorHAnsi" w:cstheme="minorHAnsi"/>
          <w:sz w:val="22"/>
        </w:rPr>
        <w:t xml:space="preserve"> </w:t>
      </w:r>
      <w:r w:rsidRPr="007C4D65">
        <w:rPr>
          <w:rFonts w:asciiTheme="minorHAnsi" w:hAnsiTheme="minorHAnsi" w:cstheme="minorHAnsi"/>
          <w:sz w:val="22"/>
        </w:rPr>
        <w:t xml:space="preserve">registers in all the Cantons makes it difficult to assess the impact of new sources of pollution to air quality and of emissions from household stoves. Emissions of sulphur dioxide and particular matters from </w:t>
      </w:r>
      <w:r w:rsidR="001A31CC" w:rsidRPr="007C4D65">
        <w:rPr>
          <w:rFonts w:asciiTheme="minorHAnsi" w:hAnsiTheme="minorHAnsi" w:cstheme="minorHAnsi"/>
          <w:sz w:val="22"/>
        </w:rPr>
        <w:t>household stoves</w:t>
      </w:r>
      <w:r w:rsidRPr="007C4D65">
        <w:rPr>
          <w:rFonts w:asciiTheme="minorHAnsi" w:hAnsiTheme="minorHAnsi" w:cstheme="minorHAnsi"/>
          <w:sz w:val="22"/>
        </w:rPr>
        <w:t xml:space="preserve"> in the Canton which have the Air Pollutants Registers is provided in the following tabl</w:t>
      </w:r>
      <w:r w:rsidR="00A100D8" w:rsidRPr="007C4D65">
        <w:rPr>
          <w:rFonts w:asciiTheme="minorHAnsi" w:hAnsiTheme="minorHAnsi" w:cstheme="minorHAnsi"/>
          <w:sz w:val="22"/>
        </w:rPr>
        <w:t>e.</w:t>
      </w:r>
      <w:r w:rsidRPr="007C4D65">
        <w:rPr>
          <w:rFonts w:asciiTheme="minorHAnsi" w:hAnsiTheme="minorHAnsi" w:cstheme="minorHAnsi"/>
          <w:sz w:val="22"/>
        </w:rPr>
        <w:t xml:space="preserve"> </w:t>
      </w:r>
    </w:p>
    <w:p w14:paraId="7951405F" w14:textId="66749419" w:rsidR="00670EBC" w:rsidRPr="007C4D65" w:rsidRDefault="001B27C0" w:rsidP="0068355A">
      <w:pPr>
        <w:pStyle w:val="Caption"/>
        <w:spacing w:line="276" w:lineRule="auto"/>
        <w:rPr>
          <w:rFonts w:asciiTheme="minorHAnsi" w:hAnsiTheme="minorHAnsi" w:cstheme="minorHAnsi"/>
        </w:rPr>
      </w:pPr>
      <w:bookmarkStart w:id="124" w:name="_Toc117011596"/>
      <w:r w:rsidRPr="007C4D65">
        <w:rPr>
          <w:rFonts w:asciiTheme="minorHAnsi" w:hAnsiTheme="minorHAnsi" w:cstheme="minorHAnsi"/>
        </w:rPr>
        <w:t xml:space="preserve">Table </w:t>
      </w:r>
      <w:bookmarkStart w:id="125" w:name="tabela17"/>
      <w:r w:rsidRPr="007C4D65">
        <w:rPr>
          <w:rFonts w:asciiTheme="minorHAnsi" w:hAnsiTheme="minorHAnsi" w:cstheme="minorHAnsi"/>
        </w:rPr>
        <w:fldChar w:fldCharType="begin"/>
      </w:r>
      <w:r w:rsidRPr="007C4D65">
        <w:rPr>
          <w:rFonts w:asciiTheme="minorHAnsi" w:hAnsiTheme="minorHAnsi" w:cstheme="minorHAnsi"/>
        </w:rPr>
        <w:instrText xml:space="preserve"> SEQ Tabela \* ARABIC </w:instrText>
      </w:r>
      <w:r w:rsidRPr="007C4D65">
        <w:rPr>
          <w:rFonts w:asciiTheme="minorHAnsi" w:hAnsiTheme="minorHAnsi" w:cstheme="minorHAnsi"/>
        </w:rPr>
        <w:fldChar w:fldCharType="separate"/>
      </w:r>
      <w:r w:rsidR="00005022" w:rsidRPr="007C4D65">
        <w:rPr>
          <w:rFonts w:asciiTheme="minorHAnsi" w:hAnsiTheme="minorHAnsi" w:cstheme="minorHAnsi"/>
          <w:noProof/>
        </w:rPr>
        <w:t>17</w:t>
      </w:r>
      <w:r w:rsidRPr="007C4D65">
        <w:rPr>
          <w:rFonts w:asciiTheme="minorHAnsi" w:hAnsiTheme="minorHAnsi" w:cstheme="minorHAnsi"/>
        </w:rPr>
        <w:fldChar w:fldCharType="end"/>
      </w:r>
      <w:bookmarkEnd w:id="125"/>
      <w:r w:rsidRPr="007C4D65">
        <w:rPr>
          <w:rFonts w:asciiTheme="minorHAnsi" w:hAnsiTheme="minorHAnsi" w:cstheme="minorHAnsi"/>
        </w:rPr>
        <w:t xml:space="preserve">: </w:t>
      </w:r>
      <w:r w:rsidRPr="007C4D65">
        <w:rPr>
          <w:rFonts w:asciiTheme="minorHAnsi" w:hAnsiTheme="minorHAnsi" w:cstheme="minorHAnsi"/>
          <w:b w:val="0"/>
        </w:rPr>
        <w:t>Emission fro</w:t>
      </w:r>
      <w:r w:rsidR="005A5882" w:rsidRPr="007C4D65">
        <w:rPr>
          <w:rFonts w:asciiTheme="minorHAnsi" w:hAnsiTheme="minorHAnsi" w:cstheme="minorHAnsi"/>
          <w:b w:val="0"/>
        </w:rPr>
        <w:t>m</w:t>
      </w:r>
      <w:r w:rsidRPr="007C4D65">
        <w:rPr>
          <w:rFonts w:asciiTheme="minorHAnsi" w:hAnsiTheme="minorHAnsi" w:cstheme="minorHAnsi"/>
          <w:b w:val="0"/>
        </w:rPr>
        <w:t xml:space="preserve"> </w:t>
      </w:r>
      <w:r w:rsidR="001A31CC" w:rsidRPr="007C4D65">
        <w:rPr>
          <w:rFonts w:asciiTheme="minorHAnsi" w:hAnsiTheme="minorHAnsi" w:cstheme="minorHAnsi"/>
          <w:b w:val="0"/>
        </w:rPr>
        <w:t>household stoves</w:t>
      </w:r>
      <w:r w:rsidRPr="007C4D65">
        <w:rPr>
          <w:rFonts w:asciiTheme="minorHAnsi" w:hAnsiTheme="minorHAnsi" w:cstheme="minorHAnsi"/>
          <w:b w:val="0"/>
        </w:rPr>
        <w:t xml:space="preserve"> in the Cantons which have the Air Pollution Registers</w:t>
      </w:r>
      <w:bookmarkEnd w:id="124"/>
    </w:p>
    <w:tbl>
      <w:tblPr>
        <w:tblStyle w:val="GridTable4-Accent611"/>
        <w:tblW w:w="8451"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4108"/>
        <w:gridCol w:w="1447"/>
        <w:gridCol w:w="1448"/>
        <w:gridCol w:w="1448"/>
      </w:tblGrid>
      <w:tr w:rsidR="00670EBC" w:rsidRPr="007C4D65" w14:paraId="52B676D1" w14:textId="77777777" w:rsidTr="00AC54D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8" w:type="dxa"/>
            <w:tcBorders>
              <w:top w:val="none" w:sz="0" w:space="0" w:color="auto"/>
              <w:left w:val="none" w:sz="0" w:space="0" w:color="auto"/>
              <w:bottom w:val="none" w:sz="0" w:space="0" w:color="auto"/>
              <w:right w:val="none" w:sz="0" w:space="0" w:color="auto"/>
            </w:tcBorders>
            <w:shd w:val="clear" w:color="auto" w:fill="009D73"/>
            <w:noWrap/>
            <w:vAlign w:val="center"/>
            <w:hideMark/>
          </w:tcPr>
          <w:p w14:paraId="3D1F6CD4" w14:textId="77777777" w:rsidR="00670EBC" w:rsidRPr="007C4D65" w:rsidRDefault="00670EBC" w:rsidP="0068355A">
            <w:pPr>
              <w:pStyle w:val="Caption"/>
              <w:spacing w:line="276" w:lineRule="auto"/>
              <w:jc w:val="center"/>
              <w:rPr>
                <w:rFonts w:asciiTheme="minorHAnsi" w:hAnsiTheme="minorHAnsi" w:cstheme="minorHAnsi"/>
                <w:b/>
                <w:bCs w:val="0"/>
                <w:color w:val="FFFFFF" w:themeColor="background1"/>
                <w:sz w:val="18"/>
              </w:rPr>
            </w:pPr>
            <w:r w:rsidRPr="007C4D65">
              <w:rPr>
                <w:rFonts w:asciiTheme="minorHAnsi" w:hAnsiTheme="minorHAnsi" w:cstheme="minorHAnsi"/>
                <w:b/>
                <w:color w:val="FFFFFF" w:themeColor="background1"/>
                <w:sz w:val="18"/>
              </w:rPr>
              <w:t>Pollutant</w:t>
            </w:r>
          </w:p>
        </w:tc>
        <w:tc>
          <w:tcPr>
            <w:tcW w:w="1447" w:type="dxa"/>
            <w:tcBorders>
              <w:top w:val="none" w:sz="0" w:space="0" w:color="auto"/>
              <w:left w:val="none" w:sz="0" w:space="0" w:color="auto"/>
              <w:bottom w:val="none" w:sz="0" w:space="0" w:color="auto"/>
              <w:right w:val="none" w:sz="0" w:space="0" w:color="auto"/>
            </w:tcBorders>
            <w:shd w:val="clear" w:color="auto" w:fill="009D73"/>
            <w:noWrap/>
            <w:vAlign w:val="center"/>
            <w:hideMark/>
          </w:tcPr>
          <w:p w14:paraId="799EE5A4" w14:textId="77777777" w:rsidR="00670EBC" w:rsidRPr="007C4D65" w:rsidRDefault="00670EBC" w:rsidP="0068355A">
            <w:pPr>
              <w:pStyle w:val="Caption"/>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 w:val="18"/>
              </w:rPr>
            </w:pPr>
            <w:r w:rsidRPr="007C4D65">
              <w:rPr>
                <w:rFonts w:asciiTheme="minorHAnsi" w:hAnsiTheme="minorHAnsi" w:cstheme="minorHAnsi"/>
                <w:b/>
                <w:color w:val="FFFFFF" w:themeColor="background1"/>
                <w:sz w:val="18"/>
              </w:rPr>
              <w:t>SO</w:t>
            </w:r>
            <w:r w:rsidRPr="007C4D65">
              <w:rPr>
                <w:rFonts w:asciiTheme="minorHAnsi" w:hAnsiTheme="minorHAnsi" w:cstheme="minorHAnsi"/>
                <w:b/>
                <w:color w:val="FFFFFF" w:themeColor="background1"/>
                <w:sz w:val="18"/>
                <w:vertAlign w:val="subscript"/>
              </w:rPr>
              <w:t>2</w:t>
            </w:r>
          </w:p>
        </w:tc>
        <w:tc>
          <w:tcPr>
            <w:tcW w:w="1448" w:type="dxa"/>
            <w:tcBorders>
              <w:top w:val="none" w:sz="0" w:space="0" w:color="auto"/>
              <w:left w:val="none" w:sz="0" w:space="0" w:color="auto"/>
              <w:bottom w:val="none" w:sz="0" w:space="0" w:color="auto"/>
              <w:right w:val="none" w:sz="0" w:space="0" w:color="auto"/>
            </w:tcBorders>
            <w:shd w:val="clear" w:color="auto" w:fill="009D73"/>
            <w:noWrap/>
            <w:vAlign w:val="center"/>
            <w:hideMark/>
          </w:tcPr>
          <w:p w14:paraId="5FDCC29B" w14:textId="77777777" w:rsidR="00670EBC" w:rsidRPr="007C4D65" w:rsidRDefault="00670EBC" w:rsidP="0068355A">
            <w:pPr>
              <w:pStyle w:val="Caption"/>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 w:val="18"/>
              </w:rPr>
            </w:pPr>
            <w:r w:rsidRPr="007C4D65">
              <w:rPr>
                <w:rFonts w:asciiTheme="minorHAnsi" w:hAnsiTheme="minorHAnsi" w:cstheme="minorHAnsi"/>
                <w:b/>
                <w:color w:val="FFFFFF" w:themeColor="background1"/>
                <w:sz w:val="18"/>
              </w:rPr>
              <w:t>PM10*</w:t>
            </w:r>
          </w:p>
        </w:tc>
        <w:tc>
          <w:tcPr>
            <w:tcW w:w="1448" w:type="dxa"/>
            <w:tcBorders>
              <w:top w:val="none" w:sz="0" w:space="0" w:color="auto"/>
              <w:left w:val="none" w:sz="0" w:space="0" w:color="auto"/>
              <w:bottom w:val="none" w:sz="0" w:space="0" w:color="auto"/>
              <w:right w:val="none" w:sz="0" w:space="0" w:color="auto"/>
            </w:tcBorders>
            <w:shd w:val="clear" w:color="auto" w:fill="009D73"/>
            <w:noWrap/>
            <w:vAlign w:val="center"/>
            <w:hideMark/>
          </w:tcPr>
          <w:p w14:paraId="3322A23B" w14:textId="77777777" w:rsidR="00670EBC" w:rsidRPr="007C4D65" w:rsidRDefault="00670EBC" w:rsidP="0068355A">
            <w:pPr>
              <w:pStyle w:val="Caption"/>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 w:val="18"/>
              </w:rPr>
            </w:pPr>
            <w:r w:rsidRPr="007C4D65">
              <w:rPr>
                <w:rFonts w:asciiTheme="minorHAnsi" w:hAnsiTheme="minorHAnsi" w:cstheme="minorHAnsi"/>
                <w:b/>
                <w:color w:val="FFFFFF" w:themeColor="background1"/>
                <w:sz w:val="18"/>
              </w:rPr>
              <w:t>PM2.5*</w:t>
            </w:r>
          </w:p>
        </w:tc>
      </w:tr>
      <w:tr w:rsidR="00670EBC" w:rsidRPr="007C4D65" w14:paraId="3928F35A" w14:textId="77777777" w:rsidTr="00AC54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8" w:type="dxa"/>
            <w:shd w:val="clear" w:color="auto" w:fill="00D29A"/>
            <w:noWrap/>
            <w:vAlign w:val="center"/>
            <w:hideMark/>
          </w:tcPr>
          <w:p w14:paraId="3CF91168" w14:textId="77777777" w:rsidR="00670EBC" w:rsidRPr="007C4D65" w:rsidRDefault="00670EBC"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Canton</w:t>
            </w:r>
          </w:p>
        </w:tc>
        <w:tc>
          <w:tcPr>
            <w:tcW w:w="1447" w:type="dxa"/>
            <w:shd w:val="clear" w:color="auto" w:fill="00D29A"/>
            <w:noWrap/>
            <w:vAlign w:val="center"/>
            <w:hideMark/>
          </w:tcPr>
          <w:p w14:paraId="3A1DA8AF" w14:textId="77777777" w:rsidR="00670EBC" w:rsidRPr="007C4D65" w:rsidRDefault="00670EBC" w:rsidP="0068355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t/a</w:t>
            </w:r>
          </w:p>
        </w:tc>
        <w:tc>
          <w:tcPr>
            <w:tcW w:w="1448" w:type="dxa"/>
            <w:shd w:val="clear" w:color="auto" w:fill="00D29A"/>
            <w:noWrap/>
            <w:vAlign w:val="center"/>
            <w:hideMark/>
          </w:tcPr>
          <w:p w14:paraId="1EDD1C9D" w14:textId="77777777" w:rsidR="00670EBC" w:rsidRPr="007C4D65" w:rsidRDefault="00670EBC" w:rsidP="0068355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t/a</w:t>
            </w:r>
          </w:p>
        </w:tc>
        <w:tc>
          <w:tcPr>
            <w:tcW w:w="1448" w:type="dxa"/>
            <w:shd w:val="clear" w:color="auto" w:fill="00D29A"/>
            <w:noWrap/>
            <w:vAlign w:val="center"/>
            <w:hideMark/>
          </w:tcPr>
          <w:p w14:paraId="239F811D" w14:textId="77777777" w:rsidR="00670EBC" w:rsidRPr="007C4D65" w:rsidRDefault="00670EBC" w:rsidP="0068355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t/a</w:t>
            </w:r>
          </w:p>
        </w:tc>
      </w:tr>
      <w:tr w:rsidR="00670EBC" w:rsidRPr="007C4D65" w14:paraId="6BCA5BC2" w14:textId="77777777" w:rsidTr="00AC54D5">
        <w:trPr>
          <w:trHeight w:val="300"/>
          <w:jc w:val="center"/>
        </w:trPr>
        <w:tc>
          <w:tcPr>
            <w:cnfStyle w:val="001000000000" w:firstRow="0" w:lastRow="0" w:firstColumn="1" w:lastColumn="0" w:oddVBand="0" w:evenVBand="0" w:oddHBand="0" w:evenHBand="0" w:firstRowFirstColumn="0" w:firstRowLastColumn="0" w:lastRowFirstColumn="0" w:lastRowLastColumn="0"/>
            <w:tcW w:w="4108" w:type="dxa"/>
            <w:noWrap/>
            <w:vAlign w:val="center"/>
            <w:hideMark/>
          </w:tcPr>
          <w:p w14:paraId="730C97E9" w14:textId="77777777" w:rsidR="00670EBC" w:rsidRPr="007C4D65" w:rsidRDefault="00670EBC" w:rsidP="0068355A">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sz w:val="18"/>
              </w:rPr>
              <w:t>Sarajevo Canton</w:t>
            </w:r>
          </w:p>
        </w:tc>
        <w:tc>
          <w:tcPr>
            <w:tcW w:w="1447" w:type="dxa"/>
            <w:noWrap/>
            <w:vAlign w:val="center"/>
            <w:hideMark/>
          </w:tcPr>
          <w:p w14:paraId="452CCC24" w14:textId="77777777" w:rsidR="00670EBC" w:rsidRPr="007C4D65" w:rsidRDefault="00670EBC" w:rsidP="0068355A">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C4D65">
              <w:rPr>
                <w:rFonts w:asciiTheme="minorHAnsi" w:hAnsiTheme="minorHAnsi" w:cstheme="minorHAnsi"/>
                <w:color w:val="000000"/>
                <w:sz w:val="18"/>
              </w:rPr>
              <w:t>1,264</w:t>
            </w:r>
          </w:p>
        </w:tc>
        <w:tc>
          <w:tcPr>
            <w:tcW w:w="1448" w:type="dxa"/>
            <w:noWrap/>
            <w:vAlign w:val="center"/>
            <w:hideMark/>
          </w:tcPr>
          <w:p w14:paraId="62A05CB7" w14:textId="77777777" w:rsidR="00670EBC" w:rsidRPr="007C4D65" w:rsidRDefault="00670EBC" w:rsidP="0068355A">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C4D65">
              <w:rPr>
                <w:rFonts w:asciiTheme="minorHAnsi" w:hAnsiTheme="minorHAnsi" w:cstheme="minorHAnsi"/>
                <w:color w:val="000000"/>
                <w:sz w:val="18"/>
              </w:rPr>
              <w:t>1,162</w:t>
            </w:r>
          </w:p>
        </w:tc>
        <w:tc>
          <w:tcPr>
            <w:tcW w:w="1448" w:type="dxa"/>
            <w:noWrap/>
            <w:vAlign w:val="center"/>
            <w:hideMark/>
          </w:tcPr>
          <w:p w14:paraId="3D11B7F1" w14:textId="77777777" w:rsidR="00670EBC" w:rsidRPr="007C4D65" w:rsidRDefault="00670EBC" w:rsidP="0068355A">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C4D65">
              <w:rPr>
                <w:rFonts w:asciiTheme="minorHAnsi" w:hAnsiTheme="minorHAnsi" w:cstheme="minorHAnsi"/>
                <w:color w:val="000000"/>
                <w:sz w:val="18"/>
              </w:rPr>
              <w:t>1,046</w:t>
            </w:r>
          </w:p>
        </w:tc>
      </w:tr>
      <w:tr w:rsidR="00670EBC" w:rsidRPr="007C4D65" w14:paraId="0F1E5DD7" w14:textId="77777777" w:rsidTr="00AC54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8" w:type="dxa"/>
            <w:shd w:val="clear" w:color="auto" w:fill="auto"/>
            <w:noWrap/>
            <w:vAlign w:val="center"/>
            <w:hideMark/>
          </w:tcPr>
          <w:p w14:paraId="4D2F1F0E" w14:textId="77777777" w:rsidR="00670EBC" w:rsidRPr="007C4D65" w:rsidRDefault="00670EBC" w:rsidP="0068355A">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sz w:val="18"/>
              </w:rPr>
              <w:t>Tuzla Canton</w:t>
            </w:r>
          </w:p>
        </w:tc>
        <w:tc>
          <w:tcPr>
            <w:tcW w:w="1447" w:type="dxa"/>
            <w:shd w:val="clear" w:color="auto" w:fill="auto"/>
            <w:noWrap/>
            <w:vAlign w:val="center"/>
            <w:hideMark/>
          </w:tcPr>
          <w:p w14:paraId="23C74669" w14:textId="77777777" w:rsidR="00670EBC" w:rsidRPr="007C4D65" w:rsidRDefault="00670EBC" w:rsidP="0068355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C4D65">
              <w:rPr>
                <w:rFonts w:asciiTheme="minorHAnsi" w:hAnsiTheme="minorHAnsi" w:cstheme="minorHAnsi"/>
                <w:color w:val="000000"/>
                <w:sz w:val="18"/>
              </w:rPr>
              <w:t>10,682</w:t>
            </w:r>
          </w:p>
        </w:tc>
        <w:tc>
          <w:tcPr>
            <w:tcW w:w="1448" w:type="dxa"/>
            <w:shd w:val="clear" w:color="auto" w:fill="auto"/>
            <w:noWrap/>
            <w:vAlign w:val="center"/>
            <w:hideMark/>
          </w:tcPr>
          <w:p w14:paraId="2EE4FA52" w14:textId="77777777" w:rsidR="00670EBC" w:rsidRPr="007C4D65" w:rsidRDefault="00670EBC" w:rsidP="0068355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C4D65">
              <w:rPr>
                <w:rFonts w:asciiTheme="minorHAnsi" w:hAnsiTheme="minorHAnsi" w:cstheme="minorHAnsi"/>
                <w:color w:val="000000"/>
                <w:sz w:val="18"/>
              </w:rPr>
              <w:t>2,145</w:t>
            </w:r>
          </w:p>
        </w:tc>
        <w:tc>
          <w:tcPr>
            <w:tcW w:w="1448" w:type="dxa"/>
            <w:shd w:val="clear" w:color="auto" w:fill="auto"/>
            <w:noWrap/>
            <w:vAlign w:val="center"/>
            <w:hideMark/>
          </w:tcPr>
          <w:p w14:paraId="2163DCE7" w14:textId="77777777" w:rsidR="00670EBC" w:rsidRPr="007C4D65" w:rsidRDefault="00670EBC" w:rsidP="0068355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C4D65">
              <w:rPr>
                <w:rFonts w:asciiTheme="minorHAnsi" w:hAnsiTheme="minorHAnsi" w:cstheme="minorHAnsi"/>
                <w:color w:val="000000"/>
                <w:sz w:val="18"/>
              </w:rPr>
              <w:t>1,910</w:t>
            </w:r>
          </w:p>
        </w:tc>
      </w:tr>
      <w:tr w:rsidR="00670EBC" w:rsidRPr="007C4D65" w14:paraId="660E21FF" w14:textId="77777777" w:rsidTr="00AC54D5">
        <w:trPr>
          <w:trHeight w:val="300"/>
          <w:jc w:val="center"/>
        </w:trPr>
        <w:tc>
          <w:tcPr>
            <w:cnfStyle w:val="001000000000" w:firstRow="0" w:lastRow="0" w:firstColumn="1" w:lastColumn="0" w:oddVBand="0" w:evenVBand="0" w:oddHBand="0" w:evenHBand="0" w:firstRowFirstColumn="0" w:firstRowLastColumn="0" w:lastRowFirstColumn="0" w:lastRowLastColumn="0"/>
            <w:tcW w:w="4108" w:type="dxa"/>
            <w:shd w:val="clear" w:color="auto" w:fill="auto"/>
            <w:noWrap/>
            <w:vAlign w:val="center"/>
            <w:hideMark/>
          </w:tcPr>
          <w:p w14:paraId="1B02C55E" w14:textId="77777777" w:rsidR="00670EBC" w:rsidRPr="007C4D65" w:rsidRDefault="00670EBC" w:rsidP="0068355A">
            <w:pPr>
              <w:spacing w:line="276" w:lineRule="auto"/>
              <w:rPr>
                <w:rFonts w:asciiTheme="minorHAnsi" w:hAnsiTheme="minorHAnsi" w:cstheme="minorHAnsi"/>
                <w:color w:val="000000"/>
                <w:sz w:val="18"/>
                <w:szCs w:val="18"/>
              </w:rPr>
            </w:pPr>
            <w:proofErr w:type="spellStart"/>
            <w:r w:rsidRPr="007C4D65">
              <w:rPr>
                <w:rFonts w:asciiTheme="minorHAnsi" w:hAnsiTheme="minorHAnsi" w:cstheme="minorHAnsi"/>
                <w:color w:val="000000"/>
                <w:sz w:val="18"/>
              </w:rPr>
              <w:t>Zenica</w:t>
            </w:r>
            <w:proofErr w:type="spellEnd"/>
            <w:r w:rsidRPr="007C4D65">
              <w:rPr>
                <w:rFonts w:asciiTheme="minorHAnsi" w:hAnsiTheme="minorHAnsi" w:cstheme="minorHAnsi"/>
                <w:color w:val="000000"/>
                <w:sz w:val="18"/>
              </w:rPr>
              <w:t>-Doboj Canton</w:t>
            </w:r>
          </w:p>
        </w:tc>
        <w:tc>
          <w:tcPr>
            <w:tcW w:w="1447" w:type="dxa"/>
            <w:shd w:val="clear" w:color="auto" w:fill="auto"/>
            <w:noWrap/>
            <w:vAlign w:val="center"/>
            <w:hideMark/>
          </w:tcPr>
          <w:p w14:paraId="545A6CD5" w14:textId="77777777" w:rsidR="00670EBC" w:rsidRPr="007C4D65" w:rsidRDefault="00670EBC" w:rsidP="0068355A">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C4D65">
              <w:rPr>
                <w:rFonts w:asciiTheme="minorHAnsi" w:hAnsiTheme="minorHAnsi" w:cstheme="minorHAnsi"/>
                <w:color w:val="000000"/>
                <w:sz w:val="18"/>
              </w:rPr>
              <w:t>7,542</w:t>
            </w:r>
          </w:p>
        </w:tc>
        <w:tc>
          <w:tcPr>
            <w:tcW w:w="1448" w:type="dxa"/>
            <w:shd w:val="clear" w:color="auto" w:fill="auto"/>
            <w:noWrap/>
            <w:vAlign w:val="center"/>
            <w:hideMark/>
          </w:tcPr>
          <w:p w14:paraId="2C0DFE5F" w14:textId="77777777" w:rsidR="00670EBC" w:rsidRPr="007C4D65" w:rsidRDefault="00670EBC" w:rsidP="0068355A">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C4D65">
              <w:rPr>
                <w:rFonts w:asciiTheme="minorHAnsi" w:hAnsiTheme="minorHAnsi" w:cstheme="minorHAnsi"/>
                <w:color w:val="000000"/>
                <w:sz w:val="18"/>
              </w:rPr>
              <w:t>3,837</w:t>
            </w:r>
          </w:p>
        </w:tc>
        <w:tc>
          <w:tcPr>
            <w:tcW w:w="1448" w:type="dxa"/>
            <w:shd w:val="clear" w:color="auto" w:fill="auto"/>
            <w:noWrap/>
            <w:vAlign w:val="center"/>
            <w:hideMark/>
          </w:tcPr>
          <w:p w14:paraId="2FE457EE" w14:textId="77777777" w:rsidR="00670EBC" w:rsidRPr="007C4D65" w:rsidRDefault="00670EBC" w:rsidP="0068355A">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C4D65">
              <w:rPr>
                <w:rFonts w:asciiTheme="minorHAnsi" w:hAnsiTheme="minorHAnsi" w:cstheme="minorHAnsi"/>
                <w:color w:val="000000"/>
                <w:sz w:val="18"/>
              </w:rPr>
              <w:t>3,692</w:t>
            </w:r>
          </w:p>
        </w:tc>
      </w:tr>
      <w:tr w:rsidR="00670EBC" w:rsidRPr="007C4D65" w14:paraId="3922E3EC" w14:textId="77777777" w:rsidTr="00AC54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8" w:type="dxa"/>
            <w:shd w:val="clear" w:color="auto" w:fill="D9D9D9"/>
            <w:noWrap/>
            <w:vAlign w:val="center"/>
            <w:hideMark/>
          </w:tcPr>
          <w:p w14:paraId="473B19FD" w14:textId="77777777" w:rsidR="00670EBC" w:rsidRPr="007C4D65" w:rsidRDefault="00B75742" w:rsidP="0068355A">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sz w:val="18"/>
              </w:rPr>
              <w:t>Total</w:t>
            </w:r>
          </w:p>
        </w:tc>
        <w:tc>
          <w:tcPr>
            <w:tcW w:w="1447" w:type="dxa"/>
            <w:shd w:val="clear" w:color="auto" w:fill="D9D9D9"/>
            <w:noWrap/>
            <w:vAlign w:val="center"/>
            <w:hideMark/>
          </w:tcPr>
          <w:p w14:paraId="4160DD65" w14:textId="77777777" w:rsidR="00670EBC" w:rsidRPr="007C4D65" w:rsidRDefault="00670EBC" w:rsidP="0068355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C4D65">
              <w:rPr>
                <w:rFonts w:asciiTheme="minorHAnsi" w:hAnsiTheme="minorHAnsi" w:cstheme="minorHAnsi"/>
                <w:color w:val="000000"/>
                <w:sz w:val="18"/>
              </w:rPr>
              <w:t>19,488</w:t>
            </w:r>
          </w:p>
        </w:tc>
        <w:tc>
          <w:tcPr>
            <w:tcW w:w="1448" w:type="dxa"/>
            <w:shd w:val="clear" w:color="auto" w:fill="D9D9D9"/>
            <w:noWrap/>
            <w:vAlign w:val="center"/>
            <w:hideMark/>
          </w:tcPr>
          <w:p w14:paraId="3C1A4767" w14:textId="77777777" w:rsidR="00670EBC" w:rsidRPr="007C4D65" w:rsidRDefault="00670EBC" w:rsidP="0068355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C4D65">
              <w:rPr>
                <w:rFonts w:asciiTheme="minorHAnsi" w:hAnsiTheme="minorHAnsi" w:cstheme="minorHAnsi"/>
                <w:color w:val="000000"/>
                <w:sz w:val="18"/>
              </w:rPr>
              <w:t>7,144</w:t>
            </w:r>
          </w:p>
        </w:tc>
        <w:tc>
          <w:tcPr>
            <w:tcW w:w="1448" w:type="dxa"/>
            <w:shd w:val="clear" w:color="auto" w:fill="D9D9D9"/>
            <w:noWrap/>
            <w:vAlign w:val="center"/>
            <w:hideMark/>
          </w:tcPr>
          <w:p w14:paraId="573220D8" w14:textId="77777777" w:rsidR="00670EBC" w:rsidRPr="007C4D65" w:rsidRDefault="00670EBC" w:rsidP="0068355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C4D65">
              <w:rPr>
                <w:rFonts w:asciiTheme="minorHAnsi" w:hAnsiTheme="minorHAnsi" w:cstheme="minorHAnsi"/>
                <w:color w:val="000000"/>
                <w:sz w:val="18"/>
              </w:rPr>
              <w:t>6,648</w:t>
            </w:r>
          </w:p>
        </w:tc>
      </w:tr>
    </w:tbl>
    <w:p w14:paraId="0A8EAC54" w14:textId="61FD8267" w:rsidR="00670EBC" w:rsidRPr="007C4D65" w:rsidRDefault="00AC54D5" w:rsidP="0068355A">
      <w:pPr>
        <w:spacing w:after="240" w:line="276" w:lineRule="auto"/>
        <w:rPr>
          <w:rFonts w:asciiTheme="minorHAnsi" w:hAnsiTheme="minorHAnsi" w:cstheme="minorHAnsi"/>
          <w:i/>
          <w:iCs/>
          <w:sz w:val="18"/>
          <w:szCs w:val="18"/>
        </w:rPr>
      </w:pPr>
      <w:r w:rsidRPr="007C4D65">
        <w:rPr>
          <w:rFonts w:asciiTheme="minorHAnsi" w:hAnsiTheme="minorHAnsi" w:cstheme="minorHAnsi"/>
          <w:i/>
          <w:sz w:val="18"/>
        </w:rPr>
        <w:t>Note: The emission data for the Canton Sarajevo are from 2013, while the data for the other two Cantons are from 2016. PM2.5 emission in the Sarajevo Canton were estimated based on the share of PM2.5 in PM10 in the two other Canton.</w:t>
      </w:r>
    </w:p>
    <w:p w14:paraId="1E75D2F5" w14:textId="4099B13B" w:rsidR="00670EBC" w:rsidRPr="007C4D65" w:rsidRDefault="00670E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Emissions in the Cantons described in the Table </w:t>
      </w:r>
      <w:r w:rsidR="005A5882" w:rsidRPr="007C4D65">
        <w:rPr>
          <w:rFonts w:asciiTheme="minorHAnsi" w:hAnsiTheme="minorHAnsi" w:cstheme="minorHAnsi"/>
          <w:sz w:val="22"/>
        </w:rPr>
        <w:t>above</w:t>
      </w:r>
      <w:r w:rsidRPr="007C4D65">
        <w:rPr>
          <w:rFonts w:asciiTheme="minorHAnsi" w:hAnsiTheme="minorHAnsi" w:cstheme="minorHAnsi"/>
          <w:sz w:val="22"/>
        </w:rPr>
        <w:t xml:space="preserve"> are estimated to account for over 80% of the total emission from household stoves in the Federation of BiH. Although the sulphur dioxide emissions from household stoves are seven time lower than the emission from large plants, their contribution to air pollution is much bigger, due a lower altitude of emission and the fact that emission occurs in a period of several months. PM emissions from household stoves are three times bigger than the emissions from large plants. Given the level and seasonal character of the emissions from household stoves, their impact on the ambient PM concentrations s much bigger than the impact of large plants.</w:t>
      </w:r>
    </w:p>
    <w:p w14:paraId="292ABC93" w14:textId="1CCAB47B" w:rsidR="00670EBC" w:rsidRPr="007C4D65" w:rsidRDefault="00670E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The register of air polluters was set up in the Environmental Protection Fund of the Federation of BiH (FEPF), pursuant to the Decree on fees for air polluters, which requires annual reporting of emissions into the air (SO2, NO2 and particulate matter), and all big polluters are integrated in the system. The Decree prescribes a special environmental fee on registration of motor vehicles. Funds from this fee are collected by EPF of the Federation of BiH.</w:t>
      </w:r>
    </w:p>
    <w:p w14:paraId="67911663" w14:textId="6AD3C6E0" w:rsidR="00670EBC" w:rsidRPr="007C4D65" w:rsidRDefault="00670EBC" w:rsidP="0068355A">
      <w:pPr>
        <w:spacing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National emission reduction plan (NERP) of the Federation of BiH includes two thermal power plants, with seven blocks and one industrial cogeneration power plant with three large combustion plants with thermal input greater than 50 MW. </w:t>
      </w:r>
      <w:r w:rsidRPr="007C4D65">
        <w:rPr>
          <w:rFonts w:asciiTheme="minorHAnsi" w:hAnsiTheme="minorHAnsi" w:cstheme="minorHAnsi"/>
        </w:rPr>
        <w:t>In 2014, the emission of sulphur dioxide from these plants amounted to 142,550 tons, emission of nitrogen oxides was 14,514 tons, and particulate matter 2,253 tons</w:t>
      </w:r>
      <w:r w:rsidRPr="007C4D65">
        <w:rPr>
          <w:rFonts w:asciiTheme="minorHAnsi" w:hAnsiTheme="minorHAnsi" w:cstheme="minorHAnsi"/>
          <w:sz w:val="22"/>
        </w:rPr>
        <w:t xml:space="preserve"> </w:t>
      </w:r>
      <w:r w:rsidR="00481C1E" w:rsidRPr="007C4D65">
        <w:rPr>
          <w:rFonts w:asciiTheme="minorHAnsi" w:hAnsiTheme="minorHAnsi" w:cstheme="minorHAnsi"/>
          <w:sz w:val="22"/>
        </w:rPr>
        <w:fldChar w:fldCharType="begin"/>
      </w:r>
      <w:r w:rsidR="00481C1E" w:rsidRPr="007C4D65">
        <w:rPr>
          <w:rFonts w:asciiTheme="minorHAnsi" w:hAnsiTheme="minorHAnsi" w:cstheme="minorHAnsi"/>
          <w:sz w:val="22"/>
        </w:rPr>
        <w:instrText xml:space="preserve"> ADDIN ZOTERO_ITEM CSL_CITATION {"citationID":"S1L7GUta","properties":{"formattedCitation":"(USAID 2015)","plainCitation":"(USAID 2015)","noteIndex":0},"citationItems":[{"id":1488,"uris":["http://zotero.org/users/7192877/items/NKSYJ2DH"],"itemData":{"id":1488,"type":"document","publisher":"USAID","title":"Nacionalni plan smanjenja emisija za Bosnu i Hercegovinu","URL":"http://www.mvteo.gov.ba/data/Home/Dokumenti/19012016_BiH_NERP_local_12_23_2015_Final.pdf","author":[{"literal":"USAID"}],"issued":{"date-parts":[["2015"]]}}}],"schema":"https://github.com/citation-style-language/schema/raw/master/csl-citation.json"} </w:instrText>
      </w:r>
      <w:r w:rsidR="00481C1E" w:rsidRPr="007C4D65">
        <w:rPr>
          <w:rFonts w:asciiTheme="minorHAnsi" w:hAnsiTheme="minorHAnsi" w:cstheme="minorHAnsi"/>
          <w:sz w:val="22"/>
        </w:rPr>
        <w:fldChar w:fldCharType="separate"/>
      </w:r>
      <w:r w:rsidR="00481C1E" w:rsidRPr="007C4D65">
        <w:rPr>
          <w:rFonts w:asciiTheme="minorHAnsi" w:hAnsiTheme="minorHAnsi" w:cstheme="minorHAnsi"/>
          <w:sz w:val="22"/>
        </w:rPr>
        <w:t>(USAID</w:t>
      </w:r>
      <w:r w:rsidR="00925D49" w:rsidRPr="007C4D65">
        <w:rPr>
          <w:rFonts w:asciiTheme="minorHAnsi" w:hAnsiTheme="minorHAnsi" w:cstheme="minorHAnsi"/>
          <w:sz w:val="22"/>
        </w:rPr>
        <w:t>,</w:t>
      </w:r>
      <w:r w:rsidR="00481C1E" w:rsidRPr="007C4D65">
        <w:rPr>
          <w:rFonts w:asciiTheme="minorHAnsi" w:hAnsiTheme="minorHAnsi" w:cstheme="minorHAnsi"/>
          <w:sz w:val="22"/>
        </w:rPr>
        <w:t xml:space="preserve"> 2015)</w:t>
      </w:r>
      <w:r w:rsidR="00481C1E" w:rsidRPr="007C4D65">
        <w:rPr>
          <w:rFonts w:asciiTheme="minorHAnsi" w:hAnsiTheme="minorHAnsi" w:cstheme="minorHAnsi"/>
          <w:sz w:val="22"/>
        </w:rPr>
        <w:fldChar w:fldCharType="end"/>
      </w:r>
      <w:r w:rsidRPr="007C4D65">
        <w:rPr>
          <w:rFonts w:asciiTheme="minorHAnsi" w:hAnsiTheme="minorHAnsi" w:cstheme="minorHAnsi"/>
          <w:sz w:val="22"/>
        </w:rPr>
        <w:t>. According to data for 2018, particulate matter and nitrogen oxides emissions were reduced, while emission of sulphur dioxide is much above the NERP value.</w:t>
      </w:r>
    </w:p>
    <w:p w14:paraId="4414BCA4" w14:textId="50C7B7A0" w:rsidR="00056348" w:rsidRPr="007C4D65" w:rsidRDefault="00152511" w:rsidP="0068355A">
      <w:pPr>
        <w:pStyle w:val="ListParagraph"/>
        <w:spacing w:before="120" w:after="120" w:line="276" w:lineRule="auto"/>
        <w:ind w:left="0"/>
        <w:jc w:val="center"/>
        <w:rPr>
          <w:rFonts w:asciiTheme="minorHAnsi" w:hAnsiTheme="minorHAnsi" w:cstheme="minorHAnsi"/>
        </w:rPr>
      </w:pPr>
      <w:r>
        <w:rPr>
          <w:rFonts w:asciiTheme="minorHAnsi" w:hAnsiTheme="minorHAnsi" w:cstheme="minorHAnsi"/>
          <w:noProof/>
        </w:rPr>
        <w:lastRenderedPageBreak/>
        <w:drawing>
          <wp:inline distT="0" distB="0" distL="0" distR="0" wp14:anchorId="0870548C" wp14:editId="0804C779">
            <wp:extent cx="3169920" cy="15658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4618" cy="1568185"/>
                    </a:xfrm>
                    <a:prstGeom prst="rect">
                      <a:avLst/>
                    </a:prstGeom>
                    <a:noFill/>
                    <a:ln>
                      <a:noFill/>
                    </a:ln>
                  </pic:spPr>
                </pic:pic>
              </a:graphicData>
            </a:graphic>
          </wp:inline>
        </w:drawing>
      </w:r>
    </w:p>
    <w:p w14:paraId="654B47FE" w14:textId="57F68D06" w:rsidR="00AA10D2" w:rsidRPr="007C4D65" w:rsidRDefault="00AA10D2" w:rsidP="0068355A">
      <w:pPr>
        <w:pStyle w:val="Caption"/>
        <w:keepNext/>
        <w:spacing w:line="276" w:lineRule="auto"/>
        <w:jc w:val="center"/>
        <w:rPr>
          <w:rFonts w:asciiTheme="minorHAnsi" w:hAnsiTheme="minorHAnsi" w:cstheme="minorHAnsi"/>
        </w:rPr>
      </w:pPr>
      <w:bookmarkStart w:id="126" w:name="_Toc117445048"/>
      <w:bookmarkStart w:id="127" w:name="_Toc67066025"/>
      <w:r w:rsidRPr="007C4D65">
        <w:rPr>
          <w:rFonts w:asciiTheme="minorHAnsi" w:hAnsiTheme="minorHAnsi" w:cstheme="minorHAnsi"/>
        </w:rPr>
        <w:t>Figure</w:t>
      </w:r>
      <w:r w:rsidRPr="007C4D65">
        <w:rPr>
          <w:rFonts w:asciiTheme="minorHAnsi" w:hAnsiTheme="minorHAnsi" w:cstheme="minorHAnsi"/>
          <w:b w:val="0"/>
        </w:rPr>
        <w:t xml:space="preserve"> </w:t>
      </w:r>
      <w:r w:rsidR="005D60DA" w:rsidRPr="007C4D65">
        <w:rPr>
          <w:rFonts w:asciiTheme="minorHAnsi" w:hAnsiTheme="minorHAnsi" w:cstheme="minorHAnsi"/>
          <w:b w:val="0"/>
          <w:bCs/>
          <w:i w:val="0"/>
          <w:iCs w:val="0"/>
          <w:szCs w:val="20"/>
          <w:lang w:val="hr-HR"/>
        </w:rPr>
        <w:fldChar w:fldCharType="begin"/>
      </w:r>
      <w:r w:rsidR="005D60DA" w:rsidRPr="007C4D65">
        <w:rPr>
          <w:rFonts w:asciiTheme="minorHAnsi" w:hAnsiTheme="minorHAnsi" w:cstheme="minorHAnsi"/>
          <w:bCs/>
          <w:szCs w:val="20"/>
          <w:lang w:val="hr-HR"/>
        </w:rPr>
        <w:instrText xml:space="preserve"> SEQ Slika \* ARABIC </w:instrText>
      </w:r>
      <w:r w:rsidR="005D60DA" w:rsidRPr="007C4D65">
        <w:rPr>
          <w:rFonts w:asciiTheme="minorHAnsi" w:hAnsiTheme="minorHAnsi" w:cstheme="minorHAnsi"/>
          <w:b w:val="0"/>
          <w:bCs/>
          <w:i w:val="0"/>
          <w:iCs w:val="0"/>
          <w:szCs w:val="20"/>
          <w:lang w:val="hr-HR"/>
        </w:rPr>
        <w:fldChar w:fldCharType="separate"/>
      </w:r>
      <w:r w:rsidR="005D60DA" w:rsidRPr="007C4D65">
        <w:rPr>
          <w:rFonts w:asciiTheme="minorHAnsi" w:hAnsiTheme="minorHAnsi" w:cstheme="minorHAnsi"/>
          <w:bCs/>
          <w:noProof/>
          <w:szCs w:val="20"/>
          <w:lang w:val="hr-HR"/>
        </w:rPr>
        <w:t>6</w:t>
      </w:r>
      <w:r w:rsidR="005D60DA" w:rsidRPr="007C4D65">
        <w:rPr>
          <w:rFonts w:asciiTheme="minorHAnsi" w:hAnsiTheme="minorHAnsi" w:cstheme="minorHAnsi"/>
          <w:b w:val="0"/>
          <w:bCs/>
          <w:i w:val="0"/>
          <w:iCs w:val="0"/>
          <w:szCs w:val="20"/>
          <w:lang w:val="hr-HR"/>
        </w:rPr>
        <w:fldChar w:fldCharType="end"/>
      </w:r>
      <w:r w:rsidR="005D60DA" w:rsidRPr="007C4D65">
        <w:rPr>
          <w:rFonts w:asciiTheme="minorHAnsi" w:hAnsiTheme="minorHAnsi" w:cstheme="minorHAnsi"/>
          <w:b w:val="0"/>
          <w:bCs/>
          <w:i w:val="0"/>
          <w:iCs w:val="0"/>
          <w:szCs w:val="20"/>
          <w:lang w:val="hr-HR"/>
        </w:rPr>
        <w:t>:</w:t>
      </w:r>
      <w:r w:rsidRPr="007C4D65">
        <w:rPr>
          <w:rFonts w:asciiTheme="minorHAnsi" w:hAnsiTheme="minorHAnsi" w:cstheme="minorHAnsi"/>
        </w:rPr>
        <w:t xml:space="preserve"> </w:t>
      </w:r>
      <w:r w:rsidRPr="007C4D65">
        <w:rPr>
          <w:rFonts w:asciiTheme="minorHAnsi" w:hAnsiTheme="minorHAnsi" w:cstheme="minorHAnsi"/>
          <w:b w:val="0"/>
        </w:rPr>
        <w:t xml:space="preserve">Emissions of pollutants from existing large combustion plants in 2014 in the </w:t>
      </w:r>
      <w:r w:rsidR="00A66041" w:rsidRPr="007C4D65">
        <w:rPr>
          <w:rFonts w:asciiTheme="minorHAnsi" w:hAnsiTheme="minorHAnsi" w:cstheme="minorHAnsi"/>
          <w:b w:val="0"/>
        </w:rPr>
        <w:t>F</w:t>
      </w:r>
      <w:r w:rsidRPr="007C4D65">
        <w:rPr>
          <w:rFonts w:asciiTheme="minorHAnsi" w:hAnsiTheme="minorHAnsi" w:cstheme="minorHAnsi"/>
          <w:b w:val="0"/>
        </w:rPr>
        <w:t>BiH</w:t>
      </w:r>
      <w:bookmarkStart w:id="128" w:name="_Hlk66131134"/>
      <w:bookmarkEnd w:id="126"/>
    </w:p>
    <w:p w14:paraId="2A80D401" w14:textId="4A918081" w:rsidR="00AA10D2" w:rsidRPr="007C4D65" w:rsidRDefault="00AA10D2" w:rsidP="0068355A">
      <w:pPr>
        <w:pStyle w:val="Caption"/>
        <w:spacing w:after="200" w:line="276" w:lineRule="auto"/>
        <w:jc w:val="center"/>
        <w:rPr>
          <w:rFonts w:asciiTheme="minorHAnsi" w:hAnsiTheme="minorHAnsi" w:cstheme="minorHAnsi"/>
        </w:rPr>
      </w:pPr>
      <w:r w:rsidRPr="007C4D65">
        <w:rPr>
          <w:rFonts w:asciiTheme="minorHAnsi" w:hAnsiTheme="minorHAnsi" w:cstheme="minorHAnsi"/>
          <w:b w:val="0"/>
        </w:rPr>
        <w:t xml:space="preserve">Source: </w:t>
      </w:r>
      <w:bookmarkEnd w:id="127"/>
      <w:bookmarkEnd w:id="128"/>
      <w:r w:rsidRPr="007C4D65">
        <w:rPr>
          <w:rFonts w:asciiTheme="minorHAnsi" w:hAnsiTheme="minorHAnsi" w:cstheme="minorHAnsi"/>
          <w:b w:val="0"/>
        </w:rPr>
        <w:fldChar w:fldCharType="begin"/>
      </w:r>
      <w:r w:rsidRPr="007C4D65">
        <w:rPr>
          <w:rFonts w:asciiTheme="minorHAnsi" w:hAnsiTheme="minorHAnsi" w:cstheme="minorHAnsi"/>
          <w:b w:val="0"/>
        </w:rPr>
        <w:instrText xml:space="preserve"> ADDIN ZOTERO_ITEM CSL_CITATION {"citationID":"K7Q3nYIM","properties":{"formattedCitation":"(USAID 2015)","plainCitation":"(USAID 2015)","noteIndex":0},"citationItems":[{"id":1488,"uris":["http://zotero.org/users/7192877/items/NKSYJ2DH"],"itemData":{"id":1488,"type":"document","publisher":"USAID","title":"Nacionalni plan smanjenja emisija za Bosnu i Hercegovinu","URL":"http://www.mvteo.gov.ba/data/Home/Dokumenti/19012016_BiH_NERP_local_12_23_2015_Final.pdf","author":[{"literal":"USAID"}],"issued":{"date-parts":[["2015"]]}}}],"schema":"https://github.com/citation-style-language/schema/raw/master/csl-citation.json"} </w:instrText>
      </w:r>
      <w:r w:rsidRPr="007C4D65">
        <w:rPr>
          <w:rFonts w:asciiTheme="minorHAnsi" w:hAnsiTheme="minorHAnsi" w:cstheme="minorHAnsi"/>
          <w:b w:val="0"/>
        </w:rPr>
        <w:fldChar w:fldCharType="separate"/>
      </w:r>
      <w:r w:rsidRPr="007C4D65">
        <w:rPr>
          <w:rFonts w:asciiTheme="minorHAnsi" w:hAnsiTheme="minorHAnsi" w:cstheme="minorHAnsi"/>
          <w:b w:val="0"/>
        </w:rPr>
        <w:t>(USAID</w:t>
      </w:r>
      <w:r w:rsidR="005A5882" w:rsidRPr="007C4D65">
        <w:rPr>
          <w:rFonts w:asciiTheme="minorHAnsi" w:hAnsiTheme="minorHAnsi" w:cstheme="minorHAnsi"/>
          <w:b w:val="0"/>
        </w:rPr>
        <w:t>,</w:t>
      </w:r>
      <w:r w:rsidRPr="007C4D65">
        <w:rPr>
          <w:rFonts w:asciiTheme="minorHAnsi" w:hAnsiTheme="minorHAnsi" w:cstheme="minorHAnsi"/>
          <w:b w:val="0"/>
        </w:rPr>
        <w:t xml:space="preserve"> 2015)</w:t>
      </w:r>
      <w:r w:rsidRPr="007C4D65">
        <w:rPr>
          <w:rFonts w:asciiTheme="minorHAnsi" w:hAnsiTheme="minorHAnsi" w:cstheme="minorHAnsi"/>
          <w:b w:val="0"/>
        </w:rPr>
        <w:fldChar w:fldCharType="end"/>
      </w:r>
    </w:p>
    <w:p w14:paraId="482D98C5" w14:textId="53455959" w:rsidR="00670EBC" w:rsidRPr="007C4D65" w:rsidRDefault="00670EBC" w:rsidP="0068355A">
      <w:pPr>
        <w:spacing w:before="240" w:after="240" w:line="276" w:lineRule="auto"/>
        <w:jc w:val="both"/>
        <w:rPr>
          <w:rFonts w:asciiTheme="minorHAnsi" w:hAnsiTheme="minorHAnsi" w:cstheme="minorHAnsi"/>
          <w:sz w:val="22"/>
          <w:szCs w:val="22"/>
        </w:rPr>
      </w:pPr>
      <w:proofErr w:type="gramStart"/>
      <w:r w:rsidRPr="007C4D65">
        <w:rPr>
          <w:rFonts w:asciiTheme="minorHAnsi" w:hAnsiTheme="minorHAnsi" w:cstheme="minorHAnsi"/>
          <w:sz w:val="22"/>
        </w:rPr>
        <w:t>Particular matters</w:t>
      </w:r>
      <w:proofErr w:type="gramEnd"/>
      <w:r w:rsidRPr="007C4D65">
        <w:rPr>
          <w:rFonts w:asciiTheme="minorHAnsi" w:hAnsiTheme="minorHAnsi" w:cstheme="minorHAnsi"/>
          <w:sz w:val="22"/>
        </w:rPr>
        <w:t xml:space="preserve"> and nitrogen oxides are the most significant pollutants from the road transport sector. In 2’16, direct emissions of PM10 amounted to 839.3 tons, while PM2.5 amounted to 731.2 tons. The same year recorded the emissions of nitrogen oxides of 10,003 tons. The emissions of particulate matters in 2016 were by about 9% lower than in 2014. </w:t>
      </w:r>
      <w:r w:rsidRPr="007C4D65">
        <w:rPr>
          <w:rFonts w:asciiTheme="minorHAnsi" w:hAnsiTheme="minorHAnsi" w:cstheme="minorHAnsi"/>
        </w:rPr>
        <w:t>The same period recorded an increase of nitrogen oxides of 5%.</w:t>
      </w:r>
      <w:r w:rsidRPr="007C4D65">
        <w:rPr>
          <w:rFonts w:asciiTheme="minorHAnsi" w:hAnsiTheme="minorHAnsi" w:cstheme="minorHAnsi"/>
          <w:sz w:val="22"/>
        </w:rPr>
        <w:t xml:space="preserve"> </w:t>
      </w:r>
      <w:r w:rsidR="00E8726D" w:rsidRPr="007C4D65">
        <w:rPr>
          <w:rFonts w:asciiTheme="minorHAnsi" w:hAnsiTheme="minorHAnsi" w:cstheme="minorHAnsi"/>
          <w:sz w:val="22"/>
        </w:rPr>
        <w:fldChar w:fldCharType="begin"/>
      </w:r>
      <w:r w:rsidR="00CE1A95" w:rsidRPr="007C4D65">
        <w:rPr>
          <w:rFonts w:asciiTheme="minorHAnsi" w:hAnsiTheme="minorHAnsi" w:cstheme="minorHAnsi"/>
          <w:sz w:val="22"/>
        </w:rPr>
        <w:instrText xml:space="preserve"> ADDIN ZOTERO_ITEM CSL_CITATION {"citationID":"qMMZskXp","properties":{"formattedCitation":"(Federalni hidrometeorolo\\uc0\\u353{}ki zavod 2018)","plainCitation":"(Federalni hidrometeorološki zavod 2018)","noteIndex":0},"citationItems":[{"id":1489,"uris":["http://zotero.org/users/7192877/items/JGV6MQ56"],"itemData":{"id":1489,"type":"document","title":"Proračun emisije zagađujućih tvari iz mobilnih izvora - saobraćaja u Federaciji Bosne i Hercegovine za 2016. godinu","URL":"https://www.fhmzbih.gov.ba/PUBLIKACIJE/zrak/emisija-zag-tvari-iz-mob-izvora-KS.pdf","author":[{"literal":"Federalni hidrometeorološki zavod"}],"issued":{"date-parts":[["2018"]]}}}],"schema":"https://github.com/citation-style-language/schema/raw/master/csl-citation.json"} </w:instrText>
      </w:r>
      <w:r w:rsidR="00E8726D" w:rsidRPr="007C4D65">
        <w:rPr>
          <w:rFonts w:asciiTheme="minorHAnsi" w:hAnsiTheme="minorHAnsi" w:cstheme="minorHAnsi"/>
          <w:sz w:val="22"/>
        </w:rPr>
        <w:fldChar w:fldCharType="separate"/>
      </w:r>
      <w:r w:rsidR="00CE1A95" w:rsidRPr="007C4D65">
        <w:rPr>
          <w:rFonts w:asciiTheme="minorHAnsi" w:hAnsiTheme="minorHAnsi" w:cstheme="minorHAnsi"/>
          <w:sz w:val="22"/>
        </w:rPr>
        <w:t>(</w:t>
      </w:r>
      <w:r w:rsidR="005A5882" w:rsidRPr="007C4D65">
        <w:rPr>
          <w:rFonts w:asciiTheme="minorHAnsi" w:hAnsiTheme="minorHAnsi" w:cstheme="minorHAnsi"/>
          <w:sz w:val="22"/>
        </w:rPr>
        <w:t>Hydrometeorological Institute of the Federation</w:t>
      </w:r>
      <w:r w:rsidR="00925D49" w:rsidRPr="007C4D65">
        <w:rPr>
          <w:rFonts w:asciiTheme="minorHAnsi" w:hAnsiTheme="minorHAnsi" w:cstheme="minorHAnsi"/>
          <w:sz w:val="22"/>
        </w:rPr>
        <w:t>,</w:t>
      </w:r>
      <w:r w:rsidR="00CE1A95" w:rsidRPr="007C4D65">
        <w:rPr>
          <w:rFonts w:asciiTheme="minorHAnsi" w:hAnsiTheme="minorHAnsi" w:cstheme="minorHAnsi"/>
          <w:sz w:val="22"/>
        </w:rPr>
        <w:t xml:space="preserve"> 2018)</w:t>
      </w:r>
      <w:r w:rsidR="00E8726D" w:rsidRPr="007C4D65">
        <w:rPr>
          <w:rFonts w:asciiTheme="minorHAnsi" w:hAnsiTheme="minorHAnsi" w:cstheme="minorHAnsi"/>
          <w:sz w:val="22"/>
        </w:rPr>
        <w:fldChar w:fldCharType="end"/>
      </w:r>
      <w:r w:rsidRPr="007C4D65">
        <w:rPr>
          <w:rFonts w:asciiTheme="minorHAnsi" w:hAnsiTheme="minorHAnsi" w:cstheme="minorHAnsi"/>
          <w:sz w:val="22"/>
        </w:rPr>
        <w:t>.</w:t>
      </w:r>
    </w:p>
    <w:p w14:paraId="184AA8F1" w14:textId="77777777" w:rsidR="00056348" w:rsidRPr="007C4D65" w:rsidRDefault="00056348" w:rsidP="0068355A">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Climate change</w:t>
      </w:r>
    </w:p>
    <w:p w14:paraId="033FE432" w14:textId="220E5D0A" w:rsidR="00670EBC" w:rsidRPr="007C4D65" w:rsidRDefault="00670EBC"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rPr>
        <w:t>The FHMI’s report covers only one part of the carbon dioxide emissions</w:t>
      </w:r>
      <w:r w:rsidRPr="007C4D65">
        <w:rPr>
          <w:rFonts w:asciiTheme="minorHAnsi" w:hAnsiTheme="minorHAnsi" w:cstheme="minorHAnsi"/>
          <w:sz w:val="22"/>
        </w:rPr>
        <w:t xml:space="preserve"> </w:t>
      </w:r>
      <w:r w:rsidR="00E8726D" w:rsidRPr="007C4D65">
        <w:rPr>
          <w:rFonts w:asciiTheme="minorHAnsi" w:hAnsiTheme="minorHAnsi" w:cstheme="minorHAnsi"/>
          <w:sz w:val="22"/>
        </w:rPr>
        <w:fldChar w:fldCharType="begin"/>
      </w:r>
      <w:r w:rsidR="00CE1A95" w:rsidRPr="007C4D65">
        <w:rPr>
          <w:rFonts w:asciiTheme="minorHAnsi" w:hAnsiTheme="minorHAnsi" w:cstheme="minorHAnsi"/>
          <w:sz w:val="22"/>
        </w:rPr>
        <w:instrText xml:space="preserve"> ADDIN ZOTERO_ITEM CSL_CITATION {"citationID":"8G3RmFOh","properties":{"formattedCitation":"(Federalni hidrometeorolo\\uc0\\u353{}ki zavod 2017)","plainCitation":"(Federalni hidrometeorološki zavod 2017)","noteIndex":0},"citationItems":[{"id":1490,"uris":["http://zotero.org/users/7192877/items/L3F2WDV9"],"itemData":{"id":1490,"type":"report","publisher":"FHMZ","title":"Izvještaj o emisiji zagađujućih tvari u zrak na području Federacije Bosne i Hercegovine u 2016. godini.","URL":"https://www.fmoit.gov.ba/upload/file/okolisne-dozvole/TE%20TUZLA%20DIVKOVI%C4%86I/Izvjestaj%20o%20emisiji%20zagadjujucih%20materija%20u%20zrak%202016.pdf","author":[{"literal":"Federalni hidrometeorološki zavod"}],"issued":{"date-parts":[["2017"]]}}}],"schema":"https://github.com/citation-style-language/schema/raw/master/csl-citation.json"} </w:instrText>
      </w:r>
      <w:r w:rsidR="00E8726D" w:rsidRPr="007C4D65">
        <w:rPr>
          <w:rFonts w:asciiTheme="minorHAnsi" w:hAnsiTheme="minorHAnsi" w:cstheme="minorHAnsi"/>
          <w:sz w:val="22"/>
        </w:rPr>
        <w:fldChar w:fldCharType="separate"/>
      </w:r>
      <w:r w:rsidR="00CE1A95" w:rsidRPr="007C4D65">
        <w:rPr>
          <w:rFonts w:asciiTheme="minorHAnsi" w:hAnsiTheme="minorHAnsi" w:cstheme="minorHAnsi"/>
          <w:sz w:val="22"/>
        </w:rPr>
        <w:t>(</w:t>
      </w:r>
      <w:r w:rsidR="005A5882" w:rsidRPr="007C4D65">
        <w:rPr>
          <w:rFonts w:asciiTheme="minorHAnsi" w:hAnsiTheme="minorHAnsi" w:cstheme="minorHAnsi"/>
          <w:sz w:val="22"/>
        </w:rPr>
        <w:t>Hydrometeorological Institute of the Federation</w:t>
      </w:r>
      <w:r w:rsidR="00925D49" w:rsidRPr="007C4D65">
        <w:rPr>
          <w:rFonts w:asciiTheme="minorHAnsi" w:hAnsiTheme="minorHAnsi" w:cstheme="minorHAnsi"/>
          <w:sz w:val="22"/>
        </w:rPr>
        <w:t>,</w:t>
      </w:r>
      <w:r w:rsidR="00CE1A95" w:rsidRPr="007C4D65">
        <w:rPr>
          <w:rFonts w:asciiTheme="minorHAnsi" w:hAnsiTheme="minorHAnsi" w:cstheme="minorHAnsi"/>
          <w:sz w:val="22"/>
        </w:rPr>
        <w:t xml:space="preserve"> 2017)</w:t>
      </w:r>
      <w:r w:rsidR="00E8726D" w:rsidRPr="007C4D65">
        <w:rPr>
          <w:rFonts w:asciiTheme="minorHAnsi" w:hAnsiTheme="minorHAnsi" w:cstheme="minorHAnsi"/>
          <w:sz w:val="22"/>
        </w:rPr>
        <w:fldChar w:fldCharType="end"/>
      </w:r>
      <w:r w:rsidRPr="007C4D65">
        <w:rPr>
          <w:rFonts w:asciiTheme="minorHAnsi" w:hAnsiTheme="minorHAnsi" w:cstheme="minorHAnsi"/>
          <w:sz w:val="22"/>
        </w:rPr>
        <w:t xml:space="preserve">. There is no GHG emissions inventory for the Federation of BiH (rulebook on inventory procedure is being drafted) Overall GHG emission in FBiH can be assessed based on the total emissions for BiH and in </w:t>
      </w:r>
      <w:proofErr w:type="spellStart"/>
      <w:r w:rsidRPr="007C4D65">
        <w:rPr>
          <w:rFonts w:asciiTheme="minorHAnsi" w:hAnsiTheme="minorHAnsi" w:cstheme="minorHAnsi"/>
          <w:sz w:val="22"/>
        </w:rPr>
        <w:t>Republika</w:t>
      </w:r>
      <w:proofErr w:type="spellEnd"/>
      <w:r w:rsidRPr="007C4D65">
        <w:rPr>
          <w:rFonts w:asciiTheme="minorHAnsi" w:hAnsiTheme="minorHAnsi" w:cstheme="minorHAnsi"/>
          <w:sz w:val="22"/>
        </w:rPr>
        <w:t xml:space="preserve"> Srpska (since </w:t>
      </w:r>
      <w:proofErr w:type="spellStart"/>
      <w:r w:rsidRPr="007C4D65">
        <w:rPr>
          <w:rFonts w:asciiTheme="minorHAnsi" w:hAnsiTheme="minorHAnsi" w:cstheme="minorHAnsi"/>
          <w:sz w:val="22"/>
        </w:rPr>
        <w:t>Republika</w:t>
      </w:r>
      <w:proofErr w:type="spellEnd"/>
      <w:r w:rsidRPr="007C4D65">
        <w:rPr>
          <w:rFonts w:asciiTheme="minorHAnsi" w:hAnsiTheme="minorHAnsi" w:cstheme="minorHAnsi"/>
          <w:sz w:val="22"/>
        </w:rPr>
        <w:t xml:space="preserve"> Srpska keeps an inventory), while emissions for the Brcko District of can be assessed based on the population numbers and the fact that there are no large facilities producing electricity in the Brcko District of BiH The GHG emissions assessed for 2016 in the Federation of BiH using this </w:t>
      </w:r>
      <w:r w:rsidR="005A5882" w:rsidRPr="007C4D65">
        <w:rPr>
          <w:rFonts w:asciiTheme="minorHAnsi" w:hAnsiTheme="minorHAnsi" w:cstheme="minorHAnsi"/>
          <w:sz w:val="22"/>
        </w:rPr>
        <w:t>methodology</w:t>
      </w:r>
      <w:r w:rsidRPr="007C4D65">
        <w:rPr>
          <w:rFonts w:asciiTheme="minorHAnsi" w:hAnsiTheme="minorHAnsi" w:cstheme="minorHAnsi"/>
          <w:sz w:val="22"/>
        </w:rPr>
        <w:t xml:space="preserve"> amounted to 19,670 Gg CO</w:t>
      </w:r>
      <w:r w:rsidRPr="007C4D65">
        <w:rPr>
          <w:rFonts w:asciiTheme="minorHAnsi" w:hAnsiTheme="minorHAnsi" w:cstheme="minorHAnsi"/>
          <w:sz w:val="22"/>
          <w:vertAlign w:val="subscript"/>
        </w:rPr>
        <w:t>2ekv</w:t>
      </w:r>
      <w:r w:rsidRPr="007C4D65">
        <w:rPr>
          <w:rFonts w:asciiTheme="minorHAnsi" w:hAnsiTheme="minorHAnsi" w:cstheme="minorHAnsi"/>
          <w:sz w:val="22"/>
        </w:rPr>
        <w:t xml:space="preserve">, accounting for 66.3% of the total emissions from BiH. The largest source of GHG emissions is the electricity sector. </w:t>
      </w:r>
      <w:r w:rsidRPr="007C4D65">
        <w:rPr>
          <w:rFonts w:asciiTheme="minorHAnsi" w:hAnsiTheme="minorHAnsi" w:cstheme="minorHAnsi"/>
        </w:rPr>
        <w:t xml:space="preserve">In 2016, carbon dioxide </w:t>
      </w:r>
      <w:r w:rsidR="005A5882" w:rsidRPr="007C4D65">
        <w:rPr>
          <w:rFonts w:asciiTheme="minorHAnsi" w:hAnsiTheme="minorHAnsi" w:cstheme="minorHAnsi"/>
        </w:rPr>
        <w:t>emissions</w:t>
      </w:r>
      <w:r w:rsidRPr="007C4D65">
        <w:rPr>
          <w:rFonts w:asciiTheme="minorHAnsi" w:hAnsiTheme="minorHAnsi" w:cstheme="minorHAnsi"/>
        </w:rPr>
        <w:t xml:space="preserve"> from the road transport amounted to</w:t>
      </w:r>
      <w:r w:rsidRPr="007C4D65">
        <w:rPr>
          <w:rFonts w:asciiTheme="minorHAnsi" w:hAnsiTheme="minorHAnsi" w:cstheme="minorHAnsi"/>
          <w:sz w:val="22"/>
        </w:rPr>
        <w:t xml:space="preserve"> 2.091 Gg </w:t>
      </w:r>
      <w:r w:rsidR="00E8726D" w:rsidRPr="007C4D65">
        <w:rPr>
          <w:rFonts w:asciiTheme="minorHAnsi" w:hAnsiTheme="minorHAnsi" w:cstheme="minorHAnsi"/>
          <w:sz w:val="22"/>
        </w:rPr>
        <w:fldChar w:fldCharType="begin"/>
      </w:r>
      <w:r w:rsidR="00CE1A95" w:rsidRPr="007C4D65">
        <w:rPr>
          <w:rFonts w:asciiTheme="minorHAnsi" w:hAnsiTheme="minorHAnsi" w:cstheme="minorHAnsi"/>
          <w:sz w:val="22"/>
        </w:rPr>
        <w:instrText xml:space="preserve"> ADDIN ZOTERO_ITEM CSL_CITATION {"citationID":"z3ufOFji","properties":{"formattedCitation":"(Federalni hidrometeorolo\\uc0\\u353{}ki zavod 2018)","plainCitation":"(Federalni hidrometeorološki zavod 2018)","noteIndex":0},"citationItems":[{"id":1489,"uris":["http://zotero.org/users/7192877/items/JGV6MQ56"],"itemData":{"id":1489,"type":"document","title":"Proračun emisije zagađujućih tvari iz mobilnih izvora - saobraćaja u Federaciji Bosne i Hercegovine za 2016. godinu","URL":"https://www.fhmzbih.gov.ba/PUBLIKACIJE/zrak/emisija-zag-tvari-iz-mob-izvora-KS.pdf","author":[{"literal":"Federalni hidrometeorološki zavod"}],"issued":{"date-parts":[["2018"]]}}}],"schema":"https://github.com/citation-style-language/schema/raw/master/csl-citation.json"} </w:instrText>
      </w:r>
      <w:r w:rsidR="00E8726D" w:rsidRPr="007C4D65">
        <w:rPr>
          <w:rFonts w:asciiTheme="minorHAnsi" w:hAnsiTheme="minorHAnsi" w:cstheme="minorHAnsi"/>
          <w:sz w:val="22"/>
        </w:rPr>
        <w:fldChar w:fldCharType="separate"/>
      </w:r>
      <w:r w:rsidR="00CE1A95" w:rsidRPr="007C4D65">
        <w:rPr>
          <w:rFonts w:asciiTheme="minorHAnsi" w:hAnsiTheme="minorHAnsi" w:cstheme="minorHAnsi"/>
          <w:sz w:val="22"/>
        </w:rPr>
        <w:t>(</w:t>
      </w:r>
      <w:r w:rsidR="005A5882" w:rsidRPr="007C4D65">
        <w:rPr>
          <w:rFonts w:asciiTheme="minorHAnsi" w:hAnsiTheme="minorHAnsi" w:cstheme="minorHAnsi"/>
          <w:sz w:val="22"/>
        </w:rPr>
        <w:t>Hydrometeorological Institute of the Federation</w:t>
      </w:r>
      <w:r w:rsidR="00925D49" w:rsidRPr="007C4D65">
        <w:rPr>
          <w:rFonts w:asciiTheme="minorHAnsi" w:hAnsiTheme="minorHAnsi" w:cstheme="minorHAnsi"/>
          <w:sz w:val="22"/>
        </w:rPr>
        <w:t>,</w:t>
      </w:r>
      <w:r w:rsidR="00CE1A95" w:rsidRPr="007C4D65">
        <w:rPr>
          <w:rFonts w:asciiTheme="minorHAnsi" w:hAnsiTheme="minorHAnsi" w:cstheme="minorHAnsi"/>
          <w:sz w:val="22"/>
        </w:rPr>
        <w:t xml:space="preserve"> 2018)</w:t>
      </w:r>
      <w:r w:rsidR="00E8726D" w:rsidRPr="007C4D65">
        <w:rPr>
          <w:rFonts w:asciiTheme="minorHAnsi" w:hAnsiTheme="minorHAnsi" w:cstheme="minorHAnsi"/>
          <w:sz w:val="22"/>
        </w:rPr>
        <w:fldChar w:fldCharType="end"/>
      </w:r>
      <w:r w:rsidRPr="007C4D65">
        <w:rPr>
          <w:rFonts w:asciiTheme="minorHAnsi" w:hAnsiTheme="minorHAnsi" w:cstheme="minorHAnsi"/>
          <w:sz w:val="22"/>
        </w:rPr>
        <w:t xml:space="preserve">, accounting for 10,5% of the total emissions. This as an </w:t>
      </w:r>
      <w:r w:rsidR="005A5882" w:rsidRPr="007C4D65">
        <w:rPr>
          <w:rFonts w:asciiTheme="minorHAnsi" w:hAnsiTheme="minorHAnsi" w:cstheme="minorHAnsi"/>
          <w:sz w:val="22"/>
        </w:rPr>
        <w:t>increase</w:t>
      </w:r>
      <w:r w:rsidRPr="007C4D65">
        <w:rPr>
          <w:rFonts w:asciiTheme="minorHAnsi" w:hAnsiTheme="minorHAnsi" w:cstheme="minorHAnsi"/>
          <w:sz w:val="22"/>
        </w:rPr>
        <w:t xml:space="preserve"> of nearly 10% compared to the level recorded in 2014. Data on the GHG emissions from other sectors are not available.</w:t>
      </w:r>
    </w:p>
    <w:p w14:paraId="4521FFF2" w14:textId="759AC53E" w:rsidR="00146CCC" w:rsidRPr="007C4D65" w:rsidRDefault="00146CCC" w:rsidP="0068355A">
      <w:pPr>
        <w:pStyle w:val="NoSpacing"/>
        <w:spacing w:before="240" w:after="240" w:line="276" w:lineRule="auto"/>
        <w:jc w:val="both"/>
        <w:rPr>
          <w:rFonts w:asciiTheme="minorHAnsi" w:eastAsiaTheme="minorHAnsi" w:hAnsiTheme="minorHAnsi" w:cstheme="minorHAnsi"/>
        </w:rPr>
      </w:pPr>
      <w:r w:rsidRPr="007C4D65">
        <w:rPr>
          <w:rFonts w:asciiTheme="minorHAnsi" w:hAnsiTheme="minorHAnsi" w:cstheme="minorHAnsi"/>
        </w:rPr>
        <w:t xml:space="preserve">The pressure of climate change in BiH has mostly affected agriculture and water resources. However, the impact on the energy sector, tourism, public health, forestry, housing and sensitive plant and animal varieties has increased </w:t>
      </w:r>
      <w:r w:rsidR="00653A4C" w:rsidRPr="007C4D65">
        <w:rPr>
          <w:rFonts w:asciiTheme="minorHAnsi" w:eastAsiaTheme="minorHAnsi" w:hAnsiTheme="minorHAnsi" w:cstheme="minorHAnsi"/>
        </w:rPr>
        <w:fldChar w:fldCharType="begin"/>
      </w:r>
      <w:r w:rsidR="00653A4C" w:rsidRPr="007C4D65">
        <w:rPr>
          <w:rFonts w:asciiTheme="minorHAnsi" w:eastAsiaTheme="minorHAnsi" w:hAnsiTheme="minorHAnsi" w:cstheme="minorHAnsi"/>
        </w:rPr>
        <w:instrText xml:space="preserve"> ADDIN ZOTERO_ITEM CSL_CITATION {"citationID":"m1r7zbRg","properties":{"formattedCitation":"(Trbi\\uc0\\u263{} et al. 2018)","plainCitation":"(Trbić et al. 2018)","noteIndex":0},"citationItems":[{"id":1493,"uris":["http://zotero.org/users/7192877/items/GQJTC5NU"],"itemData":{"id":1493,"type":"article-journal","container-title":"Climate Change Management","title":"Limits to Adaptation on Climate Change in Bosnia and Herzegovina: Insights and Experience","author":[{"family":"Trbić","given":"Goran"},{"family":"Bajić","given":"Davorin"},{"family":"Đurđević","given":"Vladimir"},{"family":"Dučić","given":"Vladan"},{"family":"Cupać","given":"Raduška"},{"family":"Vukmir","given":"Goran"},{"family":"Dekić","given":"Radoslav"},{"family":"Popov","given":"Tatjana"}],"issued":{"date-parts":[["2018"]]}}}],"schema":"https://github.com/citation-style-language/schema/raw/master/csl-citation.json"} </w:instrText>
      </w:r>
      <w:r w:rsidR="00653A4C" w:rsidRPr="007C4D65">
        <w:rPr>
          <w:rFonts w:asciiTheme="minorHAnsi" w:eastAsiaTheme="minorHAnsi" w:hAnsiTheme="minorHAnsi" w:cstheme="minorHAnsi"/>
        </w:rPr>
        <w:fldChar w:fldCharType="separate"/>
      </w:r>
      <w:r w:rsidR="00653A4C" w:rsidRPr="007C4D65">
        <w:rPr>
          <w:rFonts w:asciiTheme="minorHAnsi" w:hAnsiTheme="minorHAnsi" w:cstheme="minorHAnsi"/>
        </w:rPr>
        <w:t>(</w:t>
      </w:r>
      <w:r w:rsidR="005A5882" w:rsidRPr="007C4D65">
        <w:rPr>
          <w:rFonts w:asciiTheme="minorHAnsi" w:hAnsiTheme="minorHAnsi" w:cstheme="minorHAnsi"/>
        </w:rPr>
        <w:t>Trbic</w:t>
      </w:r>
      <w:r w:rsidR="00653A4C" w:rsidRPr="007C4D65">
        <w:rPr>
          <w:rFonts w:asciiTheme="minorHAnsi" w:hAnsiTheme="minorHAnsi" w:cstheme="minorHAnsi"/>
        </w:rPr>
        <w:t xml:space="preserve"> </w:t>
      </w:r>
      <w:r w:rsidR="00653A4C" w:rsidRPr="007C4D65">
        <w:rPr>
          <w:rFonts w:asciiTheme="minorHAnsi" w:hAnsiTheme="minorHAnsi" w:cstheme="minorHAnsi"/>
          <w:i/>
        </w:rPr>
        <w:t>et al</w:t>
      </w:r>
      <w:r w:rsidR="00653A4C" w:rsidRPr="007C4D65">
        <w:rPr>
          <w:rFonts w:asciiTheme="minorHAnsi" w:hAnsiTheme="minorHAnsi" w:cstheme="minorHAnsi"/>
        </w:rPr>
        <w:t>.</w:t>
      </w:r>
      <w:r w:rsidR="00925D49" w:rsidRPr="007C4D65">
        <w:rPr>
          <w:rFonts w:asciiTheme="minorHAnsi" w:hAnsiTheme="minorHAnsi" w:cstheme="minorHAnsi"/>
        </w:rPr>
        <w:t>,</w:t>
      </w:r>
      <w:r w:rsidR="00653A4C" w:rsidRPr="007C4D65">
        <w:rPr>
          <w:rFonts w:asciiTheme="minorHAnsi" w:hAnsiTheme="minorHAnsi" w:cstheme="minorHAnsi"/>
        </w:rPr>
        <w:t xml:space="preserve"> 2018)</w:t>
      </w:r>
      <w:r w:rsidR="00653A4C" w:rsidRPr="007C4D65">
        <w:rPr>
          <w:rFonts w:asciiTheme="minorHAnsi" w:eastAsiaTheme="minorHAnsi" w:hAnsiTheme="minorHAnsi" w:cstheme="minorHAnsi"/>
        </w:rPr>
        <w:fldChar w:fldCharType="end"/>
      </w:r>
      <w:r w:rsidRPr="007C4D65">
        <w:rPr>
          <w:rFonts w:asciiTheme="minorHAnsi" w:hAnsiTheme="minorHAnsi" w:cstheme="minorHAnsi"/>
        </w:rPr>
        <w:t xml:space="preserve">; </w:t>
      </w:r>
      <w:r w:rsidR="00653A4C" w:rsidRPr="007C4D65">
        <w:rPr>
          <w:rFonts w:asciiTheme="minorHAnsi" w:eastAsiaTheme="minorHAnsi" w:hAnsiTheme="minorHAnsi" w:cstheme="minorHAnsi"/>
        </w:rPr>
        <w:fldChar w:fldCharType="begin"/>
      </w:r>
      <w:r w:rsidR="00653A4C" w:rsidRPr="007C4D65">
        <w:rPr>
          <w:rFonts w:asciiTheme="minorHAnsi" w:eastAsiaTheme="minorHAnsi" w:hAnsiTheme="minorHAnsi" w:cstheme="minorHAnsi"/>
        </w:rPr>
        <w:instrText xml:space="preserve"> ADDIN ZOTERO_ITEM CSL_CITATION {"citationID":"RCgMGidO","properties":{"formattedCitation":"(Cupa\\uc0\\u263{} et al. 2020)","plainCitation":"(Cupać et al. 2020)","noteIndex":0},"citationItems":[{"id":1491,"uris":["http://zotero.org/users/7192877/items/3X5QMLNV"],"itemData":{"id":1491,"type":"article-journal","container-title":"Euro-Mediterr J Environ Integr","title":"Cost–benefit analysis of climate change adaptation measures in Bosnia and Herzegovina","URL":"http://uest.ntua.gr/adapt2clima/proceedings/pdf/ADAPTtoCLIMATE2019_%20Cupac_etal.pdf","volume":"5","author":[{"family":"Cupać","given":"Raduška"},{"family":"Trbić","given":"Goran"},{"family":"Zahirović","given":"Edin"}],"issued":{"date-parts":[["2020"]]}}}],"schema":"https://github.com/citation-style-language/schema/raw/master/csl-citation.json"} </w:instrText>
      </w:r>
      <w:r w:rsidR="00653A4C" w:rsidRPr="007C4D65">
        <w:rPr>
          <w:rFonts w:asciiTheme="minorHAnsi" w:eastAsiaTheme="minorHAnsi" w:hAnsiTheme="minorHAnsi" w:cstheme="minorHAnsi"/>
        </w:rPr>
        <w:fldChar w:fldCharType="separate"/>
      </w:r>
      <w:r w:rsidR="00653A4C" w:rsidRPr="007C4D65">
        <w:rPr>
          <w:rFonts w:asciiTheme="minorHAnsi" w:hAnsiTheme="minorHAnsi" w:cstheme="minorHAnsi"/>
        </w:rPr>
        <w:t xml:space="preserve">(Cupać </w:t>
      </w:r>
      <w:r w:rsidR="00653A4C" w:rsidRPr="007C4D65">
        <w:rPr>
          <w:rFonts w:asciiTheme="minorHAnsi" w:hAnsiTheme="minorHAnsi" w:cstheme="minorHAnsi"/>
          <w:i/>
        </w:rPr>
        <w:t>et al</w:t>
      </w:r>
      <w:r w:rsidR="00653A4C" w:rsidRPr="007C4D65">
        <w:rPr>
          <w:rFonts w:asciiTheme="minorHAnsi" w:hAnsiTheme="minorHAnsi" w:cstheme="minorHAnsi"/>
        </w:rPr>
        <w:t>.</w:t>
      </w:r>
      <w:r w:rsidR="00560DF7" w:rsidRPr="007C4D65">
        <w:rPr>
          <w:rFonts w:asciiTheme="minorHAnsi" w:hAnsiTheme="minorHAnsi" w:cstheme="minorHAnsi"/>
        </w:rPr>
        <w:t>,</w:t>
      </w:r>
      <w:r w:rsidR="00653A4C" w:rsidRPr="007C4D65">
        <w:rPr>
          <w:rFonts w:asciiTheme="minorHAnsi" w:hAnsiTheme="minorHAnsi" w:cstheme="minorHAnsi"/>
        </w:rPr>
        <w:t xml:space="preserve"> 2020)</w:t>
      </w:r>
      <w:r w:rsidR="00653A4C" w:rsidRPr="007C4D65">
        <w:rPr>
          <w:rFonts w:asciiTheme="minorHAnsi" w:eastAsiaTheme="minorHAnsi" w:hAnsiTheme="minorHAnsi" w:cstheme="minorHAnsi"/>
        </w:rPr>
        <w:fldChar w:fldCharType="end"/>
      </w:r>
      <w:r w:rsidRPr="007C4D65">
        <w:rPr>
          <w:rFonts w:asciiTheme="minorHAnsi" w:hAnsiTheme="minorHAnsi" w:cstheme="minorHAnsi"/>
        </w:rPr>
        <w:t>. There is a glaring need to integrate climate change in strategic and operational documents, which will obviously require certain changes and amendments to existing legislation and regulations.</w:t>
      </w:r>
    </w:p>
    <w:p w14:paraId="4464C015" w14:textId="7198703F" w:rsidR="00146CCC" w:rsidRPr="007C4D65" w:rsidRDefault="00146CCC"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rPr>
        <w:t xml:space="preserve">In the past several decades, BiH recorded much higher </w:t>
      </w:r>
      <w:r w:rsidR="005A5882" w:rsidRPr="007C4D65">
        <w:rPr>
          <w:rFonts w:asciiTheme="minorHAnsi" w:hAnsiTheme="minorHAnsi" w:cstheme="minorHAnsi"/>
        </w:rPr>
        <w:t>temperatures</w:t>
      </w:r>
      <w:r w:rsidRPr="007C4D65">
        <w:rPr>
          <w:rFonts w:asciiTheme="minorHAnsi" w:hAnsiTheme="minorHAnsi" w:cstheme="minorHAnsi"/>
          <w:sz w:val="22"/>
        </w:rPr>
        <w:t xml:space="preserve"> </w:t>
      </w:r>
      <w:r w:rsidR="00653A4C" w:rsidRPr="007C4D65">
        <w:rPr>
          <w:rFonts w:asciiTheme="minorHAnsi" w:hAnsiTheme="minorHAnsi" w:cstheme="minorHAnsi"/>
          <w:sz w:val="22"/>
        </w:rPr>
        <w:fldChar w:fldCharType="begin"/>
      </w:r>
      <w:r w:rsidR="00653A4C" w:rsidRPr="007C4D65">
        <w:rPr>
          <w:rFonts w:asciiTheme="minorHAnsi" w:hAnsiTheme="minorHAnsi" w:cstheme="minorHAnsi"/>
          <w:sz w:val="22"/>
        </w:rPr>
        <w:instrText xml:space="preserve"> ADDIN ZOTERO_ITEM CSL_CITATION {"citationID":"rEXgWuU9","properties":{"formattedCitation":"(Trbi\\uc0\\u263{} et al. 2017)","plainCitation":"(Trbić et al. 2017)","noteIndex":0},"citationItems":[{"id":1494,"uris":["http://zotero.org/users/7192877/items/38Q9GITZ"],"itemData":{"id":1494,"type":"article-journal","container-title":"Geographica Pannonica","DOI":"10.18421/GP21.02-01","title":"Analysis of Air Temperature Trends in Bosnia and Herzegovina","URL":"https://scindeks-clanci.ceon.rs/data/pdf/0354-8724/2017/0354-87241702068T.pdf","volume":"21, 2, 68–84.","author":[{"family":"Trbić","given":"Goran"},{"family":"Popov","given":"Tatjana"},{"family":"Gnjato","given":"Slobodan"}],"issued":{"date-parts":[["2017"]]}}}],"schema":"https://github.com/citation-style-language/schema/raw/master/csl-citation.json"} </w:instrText>
      </w:r>
      <w:r w:rsidR="00653A4C" w:rsidRPr="007C4D65">
        <w:rPr>
          <w:rFonts w:asciiTheme="minorHAnsi" w:hAnsiTheme="minorHAnsi" w:cstheme="minorHAnsi"/>
          <w:sz w:val="22"/>
        </w:rPr>
        <w:fldChar w:fldCharType="separate"/>
      </w:r>
      <w:r w:rsidR="00653A4C" w:rsidRPr="007C4D65">
        <w:rPr>
          <w:rFonts w:asciiTheme="minorHAnsi" w:hAnsiTheme="minorHAnsi" w:cstheme="minorHAnsi"/>
          <w:sz w:val="22"/>
        </w:rPr>
        <w:t>(</w:t>
      </w:r>
      <w:r w:rsidR="005A5882" w:rsidRPr="007C4D65">
        <w:rPr>
          <w:rFonts w:asciiTheme="minorHAnsi" w:hAnsiTheme="minorHAnsi" w:cstheme="minorHAnsi"/>
          <w:sz w:val="22"/>
        </w:rPr>
        <w:t>Trbic</w:t>
      </w:r>
      <w:r w:rsidR="00653A4C" w:rsidRPr="007C4D65">
        <w:rPr>
          <w:rFonts w:asciiTheme="minorHAnsi" w:hAnsiTheme="minorHAnsi" w:cstheme="minorHAnsi"/>
          <w:sz w:val="22"/>
        </w:rPr>
        <w:t xml:space="preserve"> </w:t>
      </w:r>
      <w:r w:rsidR="00653A4C" w:rsidRPr="007C4D65">
        <w:rPr>
          <w:rFonts w:asciiTheme="minorHAnsi" w:hAnsiTheme="minorHAnsi" w:cstheme="minorHAnsi"/>
          <w:i/>
          <w:sz w:val="22"/>
        </w:rPr>
        <w:t>et al</w:t>
      </w:r>
      <w:r w:rsidR="00653A4C" w:rsidRPr="007C4D65">
        <w:rPr>
          <w:rFonts w:asciiTheme="minorHAnsi" w:hAnsiTheme="minorHAnsi" w:cstheme="minorHAnsi"/>
          <w:sz w:val="22"/>
        </w:rPr>
        <w:t>.</w:t>
      </w:r>
      <w:r w:rsidR="00560DF7" w:rsidRPr="007C4D65">
        <w:rPr>
          <w:rFonts w:asciiTheme="minorHAnsi" w:hAnsiTheme="minorHAnsi" w:cstheme="minorHAnsi"/>
          <w:sz w:val="22"/>
        </w:rPr>
        <w:t>,</w:t>
      </w:r>
      <w:r w:rsidR="00653A4C" w:rsidRPr="007C4D65">
        <w:rPr>
          <w:rFonts w:asciiTheme="minorHAnsi" w:hAnsiTheme="minorHAnsi" w:cstheme="minorHAnsi"/>
          <w:sz w:val="22"/>
        </w:rPr>
        <w:t xml:space="preserve"> 2017)</w:t>
      </w:r>
      <w:r w:rsidR="00653A4C" w:rsidRPr="007C4D65">
        <w:rPr>
          <w:rFonts w:asciiTheme="minorHAnsi" w:hAnsiTheme="minorHAnsi" w:cstheme="minorHAnsi"/>
          <w:sz w:val="22"/>
        </w:rPr>
        <w:fldChar w:fldCharType="end"/>
      </w:r>
      <w:r w:rsidRPr="007C4D65">
        <w:rPr>
          <w:rFonts w:asciiTheme="minorHAnsi" w:hAnsiTheme="minorHAnsi" w:cstheme="minorHAnsi"/>
          <w:sz w:val="22"/>
        </w:rPr>
        <w:t xml:space="preserve">; </w:t>
      </w:r>
      <w:r w:rsidR="002F15DA" w:rsidRPr="007C4D65">
        <w:rPr>
          <w:rFonts w:asciiTheme="minorHAnsi" w:hAnsiTheme="minorHAnsi" w:cstheme="minorHAnsi"/>
          <w:sz w:val="22"/>
        </w:rPr>
        <w:fldChar w:fldCharType="begin"/>
      </w:r>
      <w:r w:rsidR="002F15DA" w:rsidRPr="007C4D65">
        <w:rPr>
          <w:rFonts w:asciiTheme="minorHAnsi" w:hAnsiTheme="minorHAnsi" w:cstheme="minorHAnsi"/>
          <w:sz w:val="22"/>
        </w:rPr>
        <w:instrText xml:space="preserve"> ADDIN ZOTERO_ITEM CSL_CITATION {"citationID":"WLHUQBwG","properties":{"formattedCitation":"(Trbi\\uc0\\u263{} et al. 2018)","plainCitation":"(Trbić et al. 2018)","noteIndex":0},"citationItems":[{"id":1493,"uris":["http://zotero.org/users/7192877/items/GQJTC5NU"],"itemData":{"id":1493,"type":"article-journal","container-title":"Climate Change Management","title":"Limits to Adaptation on Climate Change in Bosnia and Herzegovina: Insights and Experience","author":[{"family":"Trbić","given":"Goran"},{"family":"Bajić","given":"Davorin"},{"family":"Đurđević","given":"Vladimir"},{"family":"Dučić","given":"Vladan"},{"family":"Cupać","given":"Raduška"},{"family":"Vukmir","given":"Goran"},{"family":"Dekić","given":"Radoslav"},{"family":"Popov","given":"Tatjana"}],"issued":{"date-parts":[["2018"]]}}}],"schema":"https://github.com/citation-style-language/schema/raw/master/csl-citation.json"} </w:instrText>
      </w:r>
      <w:r w:rsidR="002F15DA" w:rsidRPr="007C4D65">
        <w:rPr>
          <w:rFonts w:asciiTheme="minorHAnsi" w:hAnsiTheme="minorHAnsi" w:cstheme="minorHAnsi"/>
          <w:sz w:val="22"/>
        </w:rPr>
        <w:fldChar w:fldCharType="separate"/>
      </w:r>
      <w:r w:rsidR="002F15DA" w:rsidRPr="007C4D65">
        <w:rPr>
          <w:rFonts w:asciiTheme="minorHAnsi" w:hAnsiTheme="minorHAnsi" w:cstheme="minorHAnsi"/>
          <w:sz w:val="22"/>
        </w:rPr>
        <w:t>(</w:t>
      </w:r>
      <w:r w:rsidR="005A5882" w:rsidRPr="007C4D65">
        <w:rPr>
          <w:rFonts w:asciiTheme="minorHAnsi" w:hAnsiTheme="minorHAnsi" w:cstheme="minorHAnsi"/>
          <w:sz w:val="22"/>
        </w:rPr>
        <w:t>Trbic</w:t>
      </w:r>
      <w:r w:rsidR="002F15DA" w:rsidRPr="007C4D65">
        <w:rPr>
          <w:rFonts w:asciiTheme="minorHAnsi" w:hAnsiTheme="minorHAnsi" w:cstheme="minorHAnsi"/>
          <w:sz w:val="22"/>
        </w:rPr>
        <w:t xml:space="preserve"> </w:t>
      </w:r>
      <w:r w:rsidR="002F15DA" w:rsidRPr="007C4D65">
        <w:rPr>
          <w:rFonts w:asciiTheme="minorHAnsi" w:hAnsiTheme="minorHAnsi" w:cstheme="minorHAnsi"/>
          <w:i/>
          <w:sz w:val="22"/>
        </w:rPr>
        <w:t>et al.</w:t>
      </w:r>
      <w:r w:rsidR="00560DF7" w:rsidRPr="007C4D65">
        <w:rPr>
          <w:rFonts w:asciiTheme="minorHAnsi" w:hAnsiTheme="minorHAnsi" w:cstheme="minorHAnsi"/>
          <w:sz w:val="22"/>
        </w:rPr>
        <w:t>,</w:t>
      </w:r>
      <w:r w:rsidR="002F15DA" w:rsidRPr="007C4D65">
        <w:rPr>
          <w:rFonts w:asciiTheme="minorHAnsi" w:hAnsiTheme="minorHAnsi" w:cstheme="minorHAnsi"/>
          <w:sz w:val="22"/>
        </w:rPr>
        <w:t xml:space="preserve"> 2018)</w:t>
      </w:r>
      <w:r w:rsidR="002F15DA" w:rsidRPr="007C4D65">
        <w:rPr>
          <w:rFonts w:asciiTheme="minorHAnsi" w:hAnsiTheme="minorHAnsi" w:cstheme="minorHAnsi"/>
          <w:sz w:val="22"/>
        </w:rPr>
        <w:fldChar w:fldCharType="end"/>
      </w:r>
      <w:r w:rsidRPr="007C4D65">
        <w:rPr>
          <w:rFonts w:asciiTheme="minorHAnsi" w:hAnsiTheme="minorHAnsi" w:cstheme="minorHAnsi"/>
          <w:sz w:val="22"/>
        </w:rPr>
        <w:t xml:space="preserve">; </w:t>
      </w:r>
      <w:r w:rsidR="002F15DA" w:rsidRPr="007C4D65">
        <w:rPr>
          <w:rFonts w:asciiTheme="minorHAnsi" w:hAnsiTheme="minorHAnsi" w:cstheme="minorHAnsi"/>
          <w:sz w:val="22"/>
        </w:rPr>
        <w:fldChar w:fldCharType="begin"/>
      </w:r>
      <w:r w:rsidR="00C025C0" w:rsidRPr="007C4D65">
        <w:rPr>
          <w:rFonts w:asciiTheme="minorHAnsi" w:hAnsiTheme="minorHAnsi" w:cstheme="minorHAnsi"/>
          <w:sz w:val="22"/>
        </w:rPr>
        <w:instrText xml:space="preserve"> ADDIN ZOTERO_ITEM CSL_CITATION {"citationID":"qqKUAj9Y","properties":{"formattedCitation":"(Gnjato et al. 2019)","plainCitation":"(Gnjato et al. 2019)","noteIndex":0},"citationItems":[{"id":1496,"uris":["http://zotero.org/users/7192877/items/IJFKQD8A"],"itemData":{"id":1496,"type":"article-journal","container-title":"Climate Change Management","DOI":"10.1007/978-3-030-03383-5_6","title":"Climate Change Impact on River Discharges in Bosnia and Herzegovina: A Case Study of the Lower Vrbas River Basin","URL":"https://link.springer.com/chapter/10.1007/978-3-030-03383-5_6","author":[{"family":"Gnjato","given":"Slobodan"},{"family":"Popov","given":"Tatjana"},{"family":"Trbić","given":"Goran"},{"family":"Ivanišević","given":"Marko"}],"issued":{"date-parts":[["2019"]]}}}],"schema":"https://github.com/citation-style-language/schema/raw/master/csl-citation.json"} </w:instrText>
      </w:r>
      <w:r w:rsidR="002F15DA" w:rsidRPr="007C4D65">
        <w:rPr>
          <w:rFonts w:asciiTheme="minorHAnsi" w:hAnsiTheme="minorHAnsi" w:cstheme="minorHAnsi"/>
          <w:sz w:val="22"/>
        </w:rPr>
        <w:fldChar w:fldCharType="separate"/>
      </w:r>
      <w:r w:rsidR="00C025C0" w:rsidRPr="007C4D65">
        <w:rPr>
          <w:rFonts w:asciiTheme="minorHAnsi" w:hAnsiTheme="minorHAnsi" w:cstheme="minorHAnsi"/>
          <w:sz w:val="22"/>
        </w:rPr>
        <w:t xml:space="preserve">(Gnjato </w:t>
      </w:r>
      <w:r w:rsidR="00C025C0" w:rsidRPr="007C4D65">
        <w:rPr>
          <w:rFonts w:asciiTheme="minorHAnsi" w:hAnsiTheme="minorHAnsi" w:cstheme="minorHAnsi"/>
          <w:i/>
          <w:sz w:val="22"/>
        </w:rPr>
        <w:t>et al.</w:t>
      </w:r>
      <w:r w:rsidR="00560DF7" w:rsidRPr="007C4D65">
        <w:rPr>
          <w:rFonts w:asciiTheme="minorHAnsi" w:hAnsiTheme="minorHAnsi" w:cstheme="minorHAnsi"/>
          <w:sz w:val="22"/>
        </w:rPr>
        <w:t>,</w:t>
      </w:r>
      <w:r w:rsidR="00C025C0" w:rsidRPr="007C4D65">
        <w:rPr>
          <w:rFonts w:asciiTheme="minorHAnsi" w:hAnsiTheme="minorHAnsi" w:cstheme="minorHAnsi"/>
          <w:sz w:val="22"/>
        </w:rPr>
        <w:t xml:space="preserve"> 2019)</w:t>
      </w:r>
      <w:r w:rsidR="002F15DA" w:rsidRPr="007C4D65">
        <w:rPr>
          <w:rFonts w:asciiTheme="minorHAnsi" w:hAnsiTheme="minorHAnsi" w:cstheme="minorHAnsi"/>
          <w:sz w:val="22"/>
        </w:rPr>
        <w:fldChar w:fldCharType="end"/>
      </w:r>
      <w:r w:rsidRPr="007C4D65">
        <w:rPr>
          <w:rFonts w:asciiTheme="minorHAnsi" w:hAnsiTheme="minorHAnsi" w:cstheme="minorHAnsi"/>
          <w:sz w:val="22"/>
        </w:rPr>
        <w:t xml:space="preserve">. Analyses of trends of mean, maximum and minimum air temperatures indicate warming up of climate </w:t>
      </w:r>
      <w:r w:rsidR="005A5882" w:rsidRPr="007C4D65">
        <w:rPr>
          <w:rFonts w:asciiTheme="minorHAnsi" w:hAnsiTheme="minorHAnsi" w:cstheme="minorHAnsi"/>
          <w:sz w:val="22"/>
        </w:rPr>
        <w:t>across</w:t>
      </w:r>
      <w:r w:rsidRPr="007C4D65">
        <w:rPr>
          <w:rFonts w:asciiTheme="minorHAnsi" w:hAnsiTheme="minorHAnsi" w:cstheme="minorHAnsi"/>
          <w:sz w:val="22"/>
        </w:rPr>
        <w:t xml:space="preserve"> the territory of BiH. </w:t>
      </w:r>
      <w:r w:rsidRPr="007C4D65">
        <w:rPr>
          <w:rFonts w:asciiTheme="minorHAnsi" w:hAnsiTheme="minorHAnsi" w:cstheme="minorHAnsi"/>
        </w:rPr>
        <w:t xml:space="preserve">Annual temperature trends are positive and statistically significant </w:t>
      </w:r>
      <w:r w:rsidR="005A5882" w:rsidRPr="007C4D65">
        <w:rPr>
          <w:rFonts w:asciiTheme="minorHAnsi" w:hAnsiTheme="minorHAnsi" w:cstheme="minorHAnsi"/>
        </w:rPr>
        <w:t>across</w:t>
      </w:r>
      <w:r w:rsidRPr="007C4D65">
        <w:rPr>
          <w:rFonts w:asciiTheme="minorHAnsi" w:hAnsiTheme="minorHAnsi" w:cstheme="minorHAnsi"/>
        </w:rPr>
        <w:t xml:space="preserve"> the territory of BiH</w:t>
      </w:r>
      <w:r w:rsidR="00C025C0" w:rsidRPr="007C4D65">
        <w:rPr>
          <w:rFonts w:asciiTheme="minorHAnsi" w:hAnsiTheme="minorHAnsi" w:cstheme="minorHAnsi"/>
          <w:sz w:val="22"/>
        </w:rPr>
        <w:fldChar w:fldCharType="begin"/>
      </w:r>
      <w:r w:rsidR="00C025C0" w:rsidRPr="007C4D65">
        <w:rPr>
          <w:rFonts w:asciiTheme="minorHAnsi" w:hAnsiTheme="minorHAnsi" w:cstheme="minorHAnsi"/>
          <w:sz w:val="22"/>
        </w:rPr>
        <w:instrText xml:space="preserve"> ADDIN ZOTERO_ITEM CSL_CITATION {"citationID":"cxiSmOFs","properties":{"formattedCitation":"(Trbi\\uc0\\u263{} et al. 2017)","plainCitation":"(Trbić et al. 2017)","noteIndex":0},"citationItems":[{"id":1494,"uris":["http://zotero.org/users/7192877/items/38Q9GITZ"],"itemData":{"id":1494,"type":"article-journal","container-title":"Geographica Pannonica","DOI":"10.18421/GP21.02-01","title":"Analysis of Air Temperature Trends in Bosnia and Herzegovina","URL":"https://scindeks-clanci.ceon.rs/data/pdf/0354-8724/2017/0354-87241702068T.pdf","volume":"21, 2, 68–84.","author":[{"family":"Trbić","given":"Goran"},{"family":"Popov","given":"Tatjana"},{"family":"Gnjato","given":"Slobodan"}],"issued":{"date-parts":[["2017"]]}}}],"schema":"https://github.com/citation-style-language/schema/raw/master/csl-citation.json"} </w:instrText>
      </w:r>
      <w:r w:rsidR="00C025C0" w:rsidRPr="007C4D65">
        <w:rPr>
          <w:rFonts w:asciiTheme="minorHAnsi" w:hAnsiTheme="minorHAnsi" w:cstheme="minorHAnsi"/>
          <w:sz w:val="22"/>
        </w:rPr>
        <w:fldChar w:fldCharType="separate"/>
      </w:r>
      <w:r w:rsidR="00C025C0" w:rsidRPr="007C4D65">
        <w:rPr>
          <w:rFonts w:asciiTheme="minorHAnsi" w:hAnsiTheme="minorHAnsi" w:cstheme="minorHAnsi"/>
          <w:sz w:val="22"/>
        </w:rPr>
        <w:t>(</w:t>
      </w:r>
      <w:r w:rsidR="005A5882" w:rsidRPr="007C4D65">
        <w:rPr>
          <w:rFonts w:asciiTheme="minorHAnsi" w:hAnsiTheme="minorHAnsi" w:cstheme="minorHAnsi"/>
          <w:sz w:val="22"/>
        </w:rPr>
        <w:t>Trbic</w:t>
      </w:r>
      <w:r w:rsidR="00C025C0" w:rsidRPr="007C4D65">
        <w:rPr>
          <w:rFonts w:asciiTheme="minorHAnsi" w:hAnsiTheme="minorHAnsi" w:cstheme="minorHAnsi"/>
          <w:sz w:val="22"/>
        </w:rPr>
        <w:t xml:space="preserve"> </w:t>
      </w:r>
      <w:r w:rsidR="00C025C0" w:rsidRPr="007C4D65">
        <w:rPr>
          <w:rFonts w:asciiTheme="minorHAnsi" w:hAnsiTheme="minorHAnsi" w:cstheme="minorHAnsi"/>
          <w:i/>
          <w:sz w:val="22"/>
        </w:rPr>
        <w:t>et al.</w:t>
      </w:r>
      <w:r w:rsidR="00560DF7" w:rsidRPr="007C4D65">
        <w:rPr>
          <w:rFonts w:asciiTheme="minorHAnsi" w:hAnsiTheme="minorHAnsi" w:cstheme="minorHAnsi"/>
          <w:sz w:val="22"/>
        </w:rPr>
        <w:t>,</w:t>
      </w:r>
      <w:r w:rsidR="00C025C0" w:rsidRPr="007C4D65">
        <w:rPr>
          <w:rFonts w:asciiTheme="minorHAnsi" w:hAnsiTheme="minorHAnsi" w:cstheme="minorHAnsi"/>
          <w:sz w:val="22"/>
        </w:rPr>
        <w:t xml:space="preserve"> 2017)</w:t>
      </w:r>
      <w:r w:rsidR="00C025C0" w:rsidRPr="007C4D65">
        <w:rPr>
          <w:rFonts w:asciiTheme="minorHAnsi" w:hAnsiTheme="minorHAnsi" w:cstheme="minorHAnsi"/>
          <w:sz w:val="22"/>
        </w:rPr>
        <w:fldChar w:fldCharType="end"/>
      </w:r>
      <w:r w:rsidRPr="007C4D65">
        <w:rPr>
          <w:rFonts w:asciiTheme="minorHAnsi" w:hAnsiTheme="minorHAnsi" w:cstheme="minorHAnsi"/>
          <w:sz w:val="22"/>
        </w:rPr>
        <w:t>. Most of the measuring stations recorded an increase of annual mean temperature in the range of 0.3‒0.4°C per decade. The increasing trends of mean air temperature have been registered throughout BiH in all seasons.</w:t>
      </w:r>
      <w:r w:rsidRPr="007C4D65">
        <w:rPr>
          <w:rFonts w:asciiTheme="minorHAnsi" w:hAnsiTheme="minorHAnsi" w:cstheme="minorHAnsi"/>
          <w:color w:val="FF0000"/>
          <w:sz w:val="22"/>
        </w:rPr>
        <w:t xml:space="preserve"> </w:t>
      </w:r>
      <w:r w:rsidRPr="007C4D65">
        <w:rPr>
          <w:rFonts w:asciiTheme="minorHAnsi" w:hAnsiTheme="minorHAnsi" w:cstheme="minorHAnsi"/>
          <w:sz w:val="22"/>
        </w:rPr>
        <w:t xml:space="preserve">In the summer season, the temperature has increased significantly from 0.3°C per decade at </w:t>
      </w:r>
      <w:r w:rsidRPr="007C4D65">
        <w:rPr>
          <w:rFonts w:asciiTheme="minorHAnsi" w:hAnsiTheme="minorHAnsi" w:cstheme="minorHAnsi"/>
          <w:sz w:val="22"/>
        </w:rPr>
        <w:lastRenderedPageBreak/>
        <w:t xml:space="preserve">Ivan </w:t>
      </w:r>
      <w:proofErr w:type="spellStart"/>
      <w:r w:rsidRPr="007C4D65">
        <w:rPr>
          <w:rFonts w:asciiTheme="minorHAnsi" w:hAnsiTheme="minorHAnsi" w:cstheme="minorHAnsi"/>
          <w:sz w:val="22"/>
        </w:rPr>
        <w:t>Sedlo</w:t>
      </w:r>
      <w:proofErr w:type="spellEnd"/>
      <w:r w:rsidRPr="007C4D65">
        <w:rPr>
          <w:rFonts w:asciiTheme="minorHAnsi" w:hAnsiTheme="minorHAnsi" w:cstheme="minorHAnsi"/>
          <w:sz w:val="22"/>
        </w:rPr>
        <w:t xml:space="preserve"> to 0.6°C per decade in Bugojno. Significant positive trends were also identified in winter season (0.2‒0.5°C per decade) and spring (0.2‒0.4°C per decade) in most of areas in BiH except </w:t>
      </w:r>
      <w:proofErr w:type="gramStart"/>
      <w:r w:rsidRPr="007C4D65">
        <w:rPr>
          <w:rFonts w:asciiTheme="minorHAnsi" w:hAnsiTheme="minorHAnsi" w:cstheme="minorHAnsi"/>
          <w:sz w:val="22"/>
        </w:rPr>
        <w:t>in the area of</w:t>
      </w:r>
      <w:proofErr w:type="gramEnd"/>
      <w:r w:rsidRPr="007C4D65">
        <w:rPr>
          <w:rFonts w:asciiTheme="minorHAnsi" w:hAnsiTheme="minorHAnsi" w:cstheme="minorHAnsi"/>
          <w:sz w:val="22"/>
        </w:rPr>
        <w:t xml:space="preserve"> </w:t>
      </w:r>
      <w:proofErr w:type="spellStart"/>
      <w:r w:rsidRPr="007C4D65">
        <w:rPr>
          <w:rFonts w:asciiTheme="minorHAnsi" w:hAnsiTheme="minorHAnsi" w:cstheme="minorHAnsi"/>
          <w:sz w:val="22"/>
        </w:rPr>
        <w:t>Bjelasnica</w:t>
      </w:r>
      <w:proofErr w:type="spellEnd"/>
      <w:r w:rsidRPr="007C4D65">
        <w:rPr>
          <w:rFonts w:asciiTheme="minorHAnsi" w:hAnsiTheme="minorHAnsi" w:cstheme="minorHAnsi"/>
          <w:sz w:val="22"/>
        </w:rPr>
        <w:t xml:space="preserve"> (and Ivan </w:t>
      </w:r>
      <w:proofErr w:type="spellStart"/>
      <w:r w:rsidRPr="007C4D65">
        <w:rPr>
          <w:rFonts w:asciiTheme="minorHAnsi" w:hAnsiTheme="minorHAnsi" w:cstheme="minorHAnsi"/>
          <w:sz w:val="22"/>
        </w:rPr>
        <w:t>Sedlo</w:t>
      </w:r>
      <w:proofErr w:type="spellEnd"/>
      <w:r w:rsidRPr="007C4D65">
        <w:rPr>
          <w:rFonts w:asciiTheme="minorHAnsi" w:hAnsiTheme="minorHAnsi" w:cstheme="minorHAnsi"/>
          <w:sz w:val="22"/>
        </w:rPr>
        <w:t xml:space="preserve"> in spring season), where only a minor increase was recorded.  In the autumn, the temperature increased slightly throughout BiH, while statistically significant trends have been recorded in only a few areas. In vegetation season, statistically significant positive trends, ranging from 0.2 to 0.5°C per decade, were recorded across the territory.</w:t>
      </w:r>
    </w:p>
    <w:tbl>
      <w:tblPr>
        <w:tblStyle w:val="TableGrid"/>
        <w:tblW w:w="63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3259"/>
        <w:gridCol w:w="3116"/>
      </w:tblGrid>
      <w:tr w:rsidR="00056348" w:rsidRPr="007C4D65" w14:paraId="6E90F1FA" w14:textId="77777777" w:rsidTr="00647A0E">
        <w:trPr>
          <w:jc w:val="center"/>
        </w:trPr>
        <w:tc>
          <w:tcPr>
            <w:tcW w:w="3261" w:type="dxa"/>
            <w:shd w:val="clear" w:color="auto" w:fill="FFFFFF" w:themeFill="background1"/>
            <w:vAlign w:val="center"/>
            <w:hideMark/>
          </w:tcPr>
          <w:p w14:paraId="6829B5F3" w14:textId="77777777" w:rsidR="00056348" w:rsidRPr="007C4D65" w:rsidRDefault="00056348" w:rsidP="0068355A">
            <w:pPr>
              <w:spacing w:before="120" w:after="120" w:line="276" w:lineRule="auto"/>
              <w:jc w:val="center"/>
              <w:rPr>
                <w:rFonts w:asciiTheme="minorHAnsi" w:hAnsiTheme="minorHAnsi" w:cstheme="minorHAnsi"/>
              </w:rPr>
            </w:pPr>
            <w:r w:rsidRPr="007C4D65">
              <w:rPr>
                <w:rFonts w:asciiTheme="minorHAnsi" w:hAnsiTheme="minorHAnsi" w:cstheme="minorHAnsi"/>
                <w:noProof/>
                <w:sz w:val="20"/>
              </w:rPr>
              <w:drawing>
                <wp:inline distT="0" distB="0" distL="0" distR="0" wp14:anchorId="63A51C04" wp14:editId="5030A8F5">
                  <wp:extent cx="1905000" cy="1866900"/>
                  <wp:effectExtent l="0" t="0" r="0" b="0"/>
                  <wp:docPr id="7" name="Picture 7" descr="Chart, line chart, histo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Chart, line chart, histogram&#10;&#10;Description automatically generated"/>
                          <pic:cNvPicPr>
                            <a:picLocks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05000" cy="1866900"/>
                          </a:xfrm>
                          <a:prstGeom prst="rect">
                            <a:avLst/>
                          </a:prstGeom>
                          <a:noFill/>
                          <a:ln>
                            <a:noFill/>
                          </a:ln>
                        </pic:spPr>
                      </pic:pic>
                    </a:graphicData>
                  </a:graphic>
                </wp:inline>
              </w:drawing>
            </w:r>
          </w:p>
        </w:tc>
        <w:tc>
          <w:tcPr>
            <w:tcW w:w="3118" w:type="dxa"/>
            <w:shd w:val="clear" w:color="auto" w:fill="FFFFFF" w:themeFill="background1"/>
            <w:vAlign w:val="center"/>
            <w:hideMark/>
          </w:tcPr>
          <w:p w14:paraId="233620B1" w14:textId="77777777" w:rsidR="00056348" w:rsidRPr="007C4D65" w:rsidRDefault="00056348" w:rsidP="0068355A">
            <w:pPr>
              <w:spacing w:before="120" w:after="120" w:line="276" w:lineRule="auto"/>
              <w:jc w:val="center"/>
              <w:rPr>
                <w:rFonts w:asciiTheme="minorHAnsi" w:hAnsiTheme="minorHAnsi" w:cstheme="minorHAnsi"/>
              </w:rPr>
            </w:pPr>
            <w:r w:rsidRPr="007C4D65">
              <w:rPr>
                <w:rFonts w:asciiTheme="minorHAnsi" w:hAnsiTheme="minorHAnsi" w:cstheme="minorHAnsi"/>
                <w:noProof/>
                <w:sz w:val="20"/>
              </w:rPr>
              <w:drawing>
                <wp:inline distT="0" distB="0" distL="0" distR="0" wp14:anchorId="75CEA13B" wp14:editId="130C59A9">
                  <wp:extent cx="1866900" cy="1866900"/>
                  <wp:effectExtent l="0" t="0" r="0" b="0"/>
                  <wp:docPr id="6" name="Picture 6" descr="Chart, line chart, histo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hart, line chart, histogram&#10;&#10;Description automatically generated"/>
                          <pic:cNvPicPr>
                            <a:picLocks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866900" cy="1866900"/>
                          </a:xfrm>
                          <a:prstGeom prst="rect">
                            <a:avLst/>
                          </a:prstGeom>
                          <a:noFill/>
                          <a:ln>
                            <a:noFill/>
                          </a:ln>
                        </pic:spPr>
                      </pic:pic>
                    </a:graphicData>
                  </a:graphic>
                </wp:inline>
              </w:drawing>
            </w:r>
          </w:p>
        </w:tc>
      </w:tr>
    </w:tbl>
    <w:p w14:paraId="499FEF31" w14:textId="1A37F72A" w:rsidR="00647A0E" w:rsidRPr="007C4D65" w:rsidRDefault="00647A0E" w:rsidP="0068355A">
      <w:pPr>
        <w:pStyle w:val="Caption"/>
        <w:keepNext/>
        <w:spacing w:before="120" w:line="276" w:lineRule="auto"/>
        <w:jc w:val="center"/>
        <w:rPr>
          <w:rFonts w:asciiTheme="minorHAnsi" w:hAnsiTheme="minorHAnsi" w:cstheme="minorHAnsi"/>
        </w:rPr>
      </w:pPr>
      <w:bookmarkStart w:id="129" w:name="_Toc117445049"/>
      <w:r w:rsidRPr="007C4D65">
        <w:rPr>
          <w:rFonts w:asciiTheme="minorHAnsi" w:hAnsiTheme="minorHAnsi" w:cstheme="minorHAnsi"/>
        </w:rPr>
        <w:t>Figure</w:t>
      </w:r>
      <w:r w:rsidRPr="007C4D65">
        <w:rPr>
          <w:rFonts w:asciiTheme="minorHAnsi" w:hAnsiTheme="minorHAnsi" w:cstheme="minorHAnsi"/>
          <w:b w:val="0"/>
        </w:rPr>
        <w:t xml:space="preserve"> </w:t>
      </w:r>
      <w:bookmarkStart w:id="130" w:name="slika7"/>
      <w:r w:rsidR="001F0C02" w:rsidRPr="007C4D65">
        <w:rPr>
          <w:rFonts w:asciiTheme="minorHAnsi" w:hAnsiTheme="minorHAnsi" w:cstheme="minorHAnsi"/>
        </w:rPr>
        <w:fldChar w:fldCharType="begin"/>
      </w:r>
      <w:r w:rsidR="001F0C02" w:rsidRPr="007C4D65">
        <w:rPr>
          <w:rFonts w:asciiTheme="minorHAnsi" w:hAnsiTheme="minorHAnsi" w:cstheme="minorHAnsi"/>
        </w:rPr>
        <w:instrText xml:space="preserve"> SEQ Slika \* ARABIC </w:instrText>
      </w:r>
      <w:r w:rsidR="001F0C02" w:rsidRPr="007C4D65">
        <w:rPr>
          <w:rFonts w:asciiTheme="minorHAnsi" w:hAnsiTheme="minorHAnsi" w:cstheme="minorHAnsi"/>
        </w:rPr>
        <w:fldChar w:fldCharType="separate"/>
      </w:r>
      <w:r w:rsidR="00005022" w:rsidRPr="007C4D65">
        <w:rPr>
          <w:rFonts w:asciiTheme="minorHAnsi" w:hAnsiTheme="minorHAnsi" w:cstheme="minorHAnsi"/>
          <w:noProof/>
        </w:rPr>
        <w:t>7</w:t>
      </w:r>
      <w:r w:rsidR="001F0C02" w:rsidRPr="007C4D65">
        <w:rPr>
          <w:rFonts w:asciiTheme="minorHAnsi" w:hAnsiTheme="minorHAnsi" w:cstheme="minorHAnsi"/>
        </w:rPr>
        <w:fldChar w:fldCharType="end"/>
      </w:r>
      <w:bookmarkEnd w:id="130"/>
      <w:r w:rsidRPr="007C4D65">
        <w:rPr>
          <w:rFonts w:asciiTheme="minorHAnsi" w:hAnsiTheme="minorHAnsi" w:cstheme="minorHAnsi"/>
        </w:rPr>
        <w:t>:</w:t>
      </w:r>
      <w:r w:rsidRPr="007C4D65">
        <w:rPr>
          <w:rFonts w:asciiTheme="minorHAnsi" w:hAnsiTheme="minorHAnsi" w:cstheme="minorHAnsi"/>
          <w:color w:val="auto"/>
        </w:rPr>
        <w:t xml:space="preserve"> </w:t>
      </w:r>
      <w:r w:rsidRPr="007C4D65">
        <w:rPr>
          <w:rFonts w:asciiTheme="minorHAnsi" w:hAnsiTheme="minorHAnsi" w:cstheme="minorHAnsi"/>
          <w:b w:val="0"/>
          <w:color w:val="auto"/>
        </w:rPr>
        <w:t>Trends in air temperature changes in</w:t>
      </w:r>
      <w:r w:rsidR="0012427C" w:rsidRPr="007C4D65">
        <w:rPr>
          <w:rFonts w:asciiTheme="minorHAnsi" w:hAnsiTheme="minorHAnsi" w:cstheme="minorHAnsi"/>
          <w:b w:val="0"/>
          <w:color w:val="auto"/>
        </w:rPr>
        <w:t xml:space="preserve"> the</w:t>
      </w:r>
      <w:r w:rsidRPr="007C4D65">
        <w:rPr>
          <w:rFonts w:asciiTheme="minorHAnsi" w:hAnsiTheme="minorHAnsi" w:cstheme="minorHAnsi"/>
          <w:b w:val="0"/>
          <w:color w:val="auto"/>
        </w:rPr>
        <w:t xml:space="preserve"> </w:t>
      </w:r>
      <w:r w:rsidR="00A66041" w:rsidRPr="007C4D65">
        <w:rPr>
          <w:rFonts w:asciiTheme="minorHAnsi" w:hAnsiTheme="minorHAnsi" w:cstheme="minorHAnsi"/>
          <w:b w:val="0"/>
          <w:color w:val="auto"/>
        </w:rPr>
        <w:t>F</w:t>
      </w:r>
      <w:r w:rsidRPr="007C4D65">
        <w:rPr>
          <w:rFonts w:asciiTheme="minorHAnsi" w:hAnsiTheme="minorHAnsi" w:cstheme="minorHAnsi"/>
          <w:b w:val="0"/>
          <w:color w:val="auto"/>
        </w:rPr>
        <w:t>BiH, 1961‒2016 (Sarajevo, Mostar)</w:t>
      </w:r>
      <w:bookmarkEnd w:id="129"/>
    </w:p>
    <w:p w14:paraId="17A80FE2" w14:textId="77777777" w:rsidR="00056348" w:rsidRPr="007C4D65" w:rsidRDefault="00056348" w:rsidP="0068355A">
      <w:pPr>
        <w:pStyle w:val="Caption"/>
        <w:spacing w:after="200" w:line="276" w:lineRule="auto"/>
        <w:jc w:val="center"/>
        <w:rPr>
          <w:rFonts w:asciiTheme="minorHAnsi" w:eastAsiaTheme="majorEastAsia" w:hAnsiTheme="minorHAnsi" w:cstheme="minorHAnsi"/>
          <w:b w:val="0"/>
          <w:color w:val="auto"/>
          <w:szCs w:val="24"/>
        </w:rPr>
      </w:pPr>
      <w:r w:rsidRPr="007C4D65">
        <w:rPr>
          <w:rFonts w:asciiTheme="minorHAnsi" w:hAnsiTheme="minorHAnsi" w:cstheme="minorHAnsi"/>
          <w:b w:val="0"/>
          <w:color w:val="auto"/>
        </w:rPr>
        <w:t>Source: (Hydrometeorological Institute of the Federation of BiH, FHMI)</w:t>
      </w:r>
    </w:p>
    <w:p w14:paraId="257605DA" w14:textId="4877C78B" w:rsidR="00146CCC" w:rsidRPr="007C4D65" w:rsidRDefault="00146CCC"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In the period 1961–2016, the bulk of the territory of the Federation of BiH recorded a slight increase of annual precipitation. Linear trends for multiannual period 1961-2016 indicate </w:t>
      </w:r>
      <w:r w:rsidR="005A5882" w:rsidRPr="007C4D65">
        <w:rPr>
          <w:rFonts w:asciiTheme="minorHAnsi" w:hAnsiTheme="minorHAnsi" w:cstheme="minorHAnsi"/>
          <w:sz w:val="22"/>
        </w:rPr>
        <w:t>stagnant</w:t>
      </w:r>
      <w:r w:rsidRPr="007C4D65">
        <w:rPr>
          <w:rFonts w:asciiTheme="minorHAnsi" w:hAnsiTheme="minorHAnsi" w:cstheme="minorHAnsi"/>
          <w:sz w:val="22"/>
        </w:rPr>
        <w:t xml:space="preserve"> or </w:t>
      </w:r>
      <w:r w:rsidR="005A5882" w:rsidRPr="007C4D65">
        <w:rPr>
          <w:rFonts w:asciiTheme="minorHAnsi" w:hAnsiTheme="minorHAnsi" w:cstheme="minorHAnsi"/>
          <w:sz w:val="22"/>
        </w:rPr>
        <w:t>slightly</w:t>
      </w:r>
      <w:r w:rsidRPr="007C4D65">
        <w:rPr>
          <w:rFonts w:asciiTheme="minorHAnsi" w:hAnsiTheme="minorHAnsi" w:cstheme="minorHAnsi"/>
          <w:sz w:val="22"/>
        </w:rPr>
        <w:t xml:space="preserve"> increasing precipitation levels </w:t>
      </w:r>
      <w:proofErr w:type="gramStart"/>
      <w:r w:rsidRPr="007C4D65">
        <w:rPr>
          <w:rFonts w:asciiTheme="minorHAnsi" w:hAnsiTheme="minorHAnsi" w:cstheme="minorHAnsi"/>
          <w:sz w:val="22"/>
        </w:rPr>
        <w:t>in the area of</w:t>
      </w:r>
      <w:proofErr w:type="gramEnd"/>
      <w:r w:rsidRPr="007C4D65">
        <w:rPr>
          <w:rFonts w:asciiTheme="minorHAnsi" w:hAnsiTheme="minorHAnsi" w:cstheme="minorHAnsi"/>
          <w:sz w:val="22"/>
        </w:rPr>
        <w:t xml:space="preserve"> entire BiH. Changing amounts of precipitation are more pronounced at a seasonal than at the annual level While no</w:t>
      </w:r>
      <w:r w:rsidR="005A5882" w:rsidRPr="007C4D65">
        <w:rPr>
          <w:rFonts w:asciiTheme="minorHAnsi" w:hAnsiTheme="minorHAnsi" w:cstheme="minorHAnsi"/>
          <w:sz w:val="22"/>
        </w:rPr>
        <w:t xml:space="preserve"> </w:t>
      </w:r>
      <w:r w:rsidRPr="007C4D65">
        <w:rPr>
          <w:rFonts w:asciiTheme="minorHAnsi" w:hAnsiTheme="minorHAnsi" w:cstheme="minorHAnsi"/>
          <w:sz w:val="22"/>
        </w:rPr>
        <w:t xml:space="preserve">major changes in the amount of precipitation have been recorded, the </w:t>
      </w:r>
      <w:proofErr w:type="spellStart"/>
      <w:r w:rsidR="005A5882" w:rsidRPr="007C4D65">
        <w:rPr>
          <w:rFonts w:asciiTheme="minorHAnsi" w:hAnsiTheme="minorHAnsi" w:cstheme="minorHAnsi"/>
          <w:sz w:val="22"/>
        </w:rPr>
        <w:t>pluviometric</w:t>
      </w:r>
      <w:proofErr w:type="spellEnd"/>
      <w:r w:rsidRPr="007C4D65">
        <w:rPr>
          <w:rFonts w:asciiTheme="minorHAnsi" w:hAnsiTheme="minorHAnsi" w:cstheme="minorHAnsi"/>
          <w:sz w:val="22"/>
        </w:rPr>
        <w:t xml:space="preserve"> regime, i.e., their annual distribution, has been disrupted to a great extent.</w:t>
      </w:r>
    </w:p>
    <w:tbl>
      <w:tblPr>
        <w:tblStyle w:val="TableGrid"/>
        <w:tblW w:w="9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585"/>
      </w:tblGrid>
      <w:tr w:rsidR="001F3DA0" w:rsidRPr="007C4D65" w14:paraId="331C45F0" w14:textId="77777777" w:rsidTr="001C1628">
        <w:trPr>
          <w:trHeight w:val="3731"/>
        </w:trPr>
        <w:tc>
          <w:tcPr>
            <w:tcW w:w="4584" w:type="dxa"/>
            <w:vAlign w:val="center"/>
          </w:tcPr>
          <w:p w14:paraId="3BCB513D" w14:textId="77777777" w:rsidR="001F3DA0" w:rsidRPr="007C4D65" w:rsidRDefault="001F3DA0" w:rsidP="0068355A">
            <w:pPr>
              <w:spacing w:line="276" w:lineRule="auto"/>
              <w:rPr>
                <w:rFonts w:asciiTheme="minorHAnsi" w:hAnsiTheme="minorHAnsi" w:cstheme="minorHAnsi"/>
              </w:rPr>
            </w:pPr>
            <w:r w:rsidRPr="007C4D65">
              <w:rPr>
                <w:rFonts w:asciiTheme="minorHAnsi" w:hAnsiTheme="minorHAnsi" w:cstheme="minorHAnsi"/>
                <w:noProof/>
              </w:rPr>
              <w:drawing>
                <wp:anchor distT="0" distB="0" distL="114300" distR="114300" simplePos="0" relativeHeight="251654656" behindDoc="0" locked="0" layoutInCell="1" allowOverlap="1" wp14:anchorId="5BD85A5F" wp14:editId="160FCE46">
                  <wp:simplePos x="0" y="0"/>
                  <wp:positionH relativeFrom="column">
                    <wp:posOffset>228600</wp:posOffset>
                  </wp:positionH>
                  <wp:positionV relativeFrom="paragraph">
                    <wp:posOffset>-2411730</wp:posOffset>
                  </wp:positionV>
                  <wp:extent cx="2720340" cy="2343150"/>
                  <wp:effectExtent l="0" t="0" r="3810" b="0"/>
                  <wp:wrapThrough wrapText="bothSides">
                    <wp:wrapPolygon edited="0">
                      <wp:start x="0" y="0"/>
                      <wp:lineTo x="0" y="21424"/>
                      <wp:lineTo x="21479" y="21424"/>
                      <wp:lineTo x="21479" y="0"/>
                      <wp:lineTo x="0" y="0"/>
                    </wp:wrapPolygon>
                  </wp:wrapThrough>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tc>
        <w:tc>
          <w:tcPr>
            <w:tcW w:w="4585" w:type="dxa"/>
            <w:vAlign w:val="center"/>
          </w:tcPr>
          <w:p w14:paraId="01F87139" w14:textId="77777777" w:rsidR="001F3DA0" w:rsidRPr="007C4D65" w:rsidRDefault="001F3DA0" w:rsidP="0068355A">
            <w:pPr>
              <w:spacing w:line="276" w:lineRule="auto"/>
              <w:rPr>
                <w:rFonts w:asciiTheme="minorHAnsi" w:hAnsiTheme="minorHAnsi" w:cstheme="minorHAnsi"/>
              </w:rPr>
            </w:pPr>
            <w:r w:rsidRPr="007C4D65">
              <w:rPr>
                <w:rFonts w:asciiTheme="minorHAnsi" w:hAnsiTheme="minorHAnsi" w:cstheme="minorHAnsi"/>
                <w:noProof/>
              </w:rPr>
              <w:drawing>
                <wp:anchor distT="0" distB="0" distL="114300" distR="114300" simplePos="0" relativeHeight="251649536" behindDoc="0" locked="0" layoutInCell="1" allowOverlap="1" wp14:anchorId="77690C26" wp14:editId="1403FAE7">
                  <wp:simplePos x="0" y="0"/>
                  <wp:positionH relativeFrom="column">
                    <wp:posOffset>-114300</wp:posOffset>
                  </wp:positionH>
                  <wp:positionV relativeFrom="paragraph">
                    <wp:posOffset>-2411730</wp:posOffset>
                  </wp:positionV>
                  <wp:extent cx="2644140" cy="2339340"/>
                  <wp:effectExtent l="0" t="0" r="3810" b="3810"/>
                  <wp:wrapThrough wrapText="bothSides">
                    <wp:wrapPolygon edited="0">
                      <wp:start x="0" y="0"/>
                      <wp:lineTo x="0" y="21459"/>
                      <wp:lineTo x="21476" y="21459"/>
                      <wp:lineTo x="21476" y="0"/>
                      <wp:lineTo x="0" y="0"/>
                    </wp:wrapPolygon>
                  </wp:wrapThrough>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c>
      </w:tr>
    </w:tbl>
    <w:p w14:paraId="41CC5C5F" w14:textId="77777777" w:rsidR="005A5882" w:rsidRPr="007C4D65" w:rsidRDefault="00647A0E" w:rsidP="0068355A">
      <w:pPr>
        <w:pStyle w:val="Caption"/>
        <w:keepNext/>
        <w:spacing w:line="276" w:lineRule="auto"/>
        <w:jc w:val="center"/>
        <w:rPr>
          <w:rFonts w:asciiTheme="minorHAnsi" w:hAnsiTheme="minorHAnsi" w:cstheme="minorHAnsi"/>
          <w:b w:val="0"/>
        </w:rPr>
      </w:pPr>
      <w:bookmarkStart w:id="131" w:name="_Toc117445050"/>
      <w:r w:rsidRPr="007C4D65">
        <w:rPr>
          <w:rFonts w:asciiTheme="minorHAnsi" w:hAnsiTheme="minorHAnsi" w:cstheme="minorHAnsi"/>
        </w:rPr>
        <w:t>Figure</w:t>
      </w:r>
      <w:r w:rsidRPr="007C4D65">
        <w:rPr>
          <w:rFonts w:asciiTheme="minorHAnsi" w:hAnsiTheme="minorHAnsi" w:cstheme="minorHAnsi"/>
          <w:b w:val="0"/>
        </w:rPr>
        <w:t xml:space="preserve"> </w:t>
      </w:r>
      <w:bookmarkStart w:id="132" w:name="slika8"/>
      <w:r w:rsidR="001F0C02" w:rsidRPr="007C4D65">
        <w:rPr>
          <w:rFonts w:asciiTheme="minorHAnsi" w:hAnsiTheme="minorHAnsi" w:cstheme="minorHAnsi"/>
        </w:rPr>
        <w:fldChar w:fldCharType="begin"/>
      </w:r>
      <w:r w:rsidR="001F0C02" w:rsidRPr="007C4D65">
        <w:rPr>
          <w:rFonts w:asciiTheme="minorHAnsi" w:hAnsiTheme="minorHAnsi" w:cstheme="minorHAnsi"/>
        </w:rPr>
        <w:instrText xml:space="preserve"> SEQ Slika \* ARABIC </w:instrText>
      </w:r>
      <w:r w:rsidR="001F0C02" w:rsidRPr="007C4D65">
        <w:rPr>
          <w:rFonts w:asciiTheme="minorHAnsi" w:hAnsiTheme="minorHAnsi" w:cstheme="minorHAnsi"/>
        </w:rPr>
        <w:fldChar w:fldCharType="separate"/>
      </w:r>
      <w:r w:rsidR="00005022" w:rsidRPr="007C4D65">
        <w:rPr>
          <w:rFonts w:asciiTheme="minorHAnsi" w:hAnsiTheme="minorHAnsi" w:cstheme="minorHAnsi"/>
          <w:noProof/>
        </w:rPr>
        <w:t>8</w:t>
      </w:r>
      <w:r w:rsidR="001F0C02" w:rsidRPr="007C4D65">
        <w:rPr>
          <w:rFonts w:asciiTheme="minorHAnsi" w:hAnsiTheme="minorHAnsi" w:cstheme="minorHAnsi"/>
        </w:rPr>
        <w:fldChar w:fldCharType="end"/>
      </w:r>
      <w:bookmarkEnd w:id="132"/>
      <w:r w:rsidRPr="007C4D65">
        <w:rPr>
          <w:rFonts w:asciiTheme="minorHAnsi" w:hAnsiTheme="minorHAnsi" w:cstheme="minorHAnsi"/>
        </w:rPr>
        <w:t xml:space="preserve">: </w:t>
      </w:r>
      <w:r w:rsidRPr="007C4D65">
        <w:rPr>
          <w:rFonts w:asciiTheme="minorHAnsi" w:hAnsiTheme="minorHAnsi" w:cstheme="minorHAnsi"/>
          <w:b w:val="0"/>
        </w:rPr>
        <w:t>Trends in precipitation changes in FBiH, 1961-2016. (Sarajevo, Mostar)</w:t>
      </w:r>
      <w:r w:rsidR="005A5882" w:rsidRPr="007C4D65">
        <w:rPr>
          <w:rFonts w:asciiTheme="minorHAnsi" w:hAnsiTheme="minorHAnsi" w:cstheme="minorHAnsi"/>
          <w:b w:val="0"/>
        </w:rPr>
        <w:t xml:space="preserve"> </w:t>
      </w:r>
      <w:r w:rsidRPr="007C4D65">
        <w:rPr>
          <w:rFonts w:asciiTheme="minorHAnsi" w:hAnsiTheme="minorHAnsi" w:cstheme="minorHAnsi"/>
          <w:b w:val="0"/>
        </w:rPr>
        <w:t>FBiH,</w:t>
      </w:r>
      <w:bookmarkEnd w:id="131"/>
      <w:r w:rsidRPr="007C4D65">
        <w:rPr>
          <w:rFonts w:asciiTheme="minorHAnsi" w:hAnsiTheme="minorHAnsi" w:cstheme="minorHAnsi"/>
          <w:b w:val="0"/>
        </w:rPr>
        <w:t xml:space="preserve"> </w:t>
      </w:r>
    </w:p>
    <w:p w14:paraId="5EB3E4CD" w14:textId="362EF0DF" w:rsidR="001F3DA0" w:rsidRPr="007C4D65" w:rsidRDefault="00647A0E" w:rsidP="0068355A">
      <w:pPr>
        <w:pStyle w:val="Caption"/>
        <w:keepNext/>
        <w:spacing w:line="276" w:lineRule="auto"/>
        <w:jc w:val="center"/>
        <w:rPr>
          <w:rFonts w:asciiTheme="minorHAnsi" w:hAnsiTheme="minorHAnsi" w:cstheme="minorHAnsi"/>
        </w:rPr>
      </w:pPr>
      <w:r w:rsidRPr="007C4D65">
        <w:rPr>
          <w:rFonts w:asciiTheme="minorHAnsi" w:hAnsiTheme="minorHAnsi" w:cstheme="minorHAnsi"/>
          <w:b w:val="0"/>
        </w:rPr>
        <w:t>1961‒2016 (Sarajevo, Mostar) (Sarajevo, Mostar)</w:t>
      </w:r>
    </w:p>
    <w:p w14:paraId="365D6A6F" w14:textId="77777777" w:rsidR="001F3DA0" w:rsidRPr="007C4D65" w:rsidRDefault="001F3DA0" w:rsidP="0068355A">
      <w:pPr>
        <w:pStyle w:val="Caption"/>
        <w:spacing w:after="200" w:line="276" w:lineRule="auto"/>
        <w:jc w:val="center"/>
        <w:rPr>
          <w:rFonts w:asciiTheme="minorHAnsi" w:hAnsiTheme="minorHAnsi" w:cstheme="minorHAnsi"/>
          <w:b w:val="0"/>
          <w:i w:val="0"/>
        </w:rPr>
      </w:pPr>
      <w:r w:rsidRPr="007C4D65">
        <w:rPr>
          <w:rFonts w:asciiTheme="minorHAnsi" w:hAnsiTheme="minorHAnsi" w:cstheme="minorHAnsi"/>
          <w:b w:val="0"/>
        </w:rPr>
        <w:t>(Source: Hydrometeorological Institute of the Federation of BiH, FHMI)</w:t>
      </w:r>
    </w:p>
    <w:p w14:paraId="38C8F59F" w14:textId="7D5494B7"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rPr>
        <w:lastRenderedPageBreak/>
        <w:t>An increased intensity of precipitation and its growing variability, and increased share of heavy rainfalls raised the risk of floods, in particular in the north-eastern part of BiH, which saw catastrophic floods in May 2014</w:t>
      </w:r>
      <w:r w:rsidRPr="007C4D65">
        <w:rPr>
          <w:rFonts w:asciiTheme="minorHAnsi" w:hAnsiTheme="minorHAnsi" w:cstheme="minorHAnsi"/>
          <w:sz w:val="22"/>
        </w:rPr>
        <w:t xml:space="preserve"> </w:t>
      </w:r>
      <w:r w:rsidR="00772D92" w:rsidRPr="007C4D65">
        <w:rPr>
          <w:rFonts w:asciiTheme="minorHAnsi" w:hAnsiTheme="minorHAnsi" w:cstheme="minorHAnsi"/>
          <w:sz w:val="22"/>
        </w:rPr>
        <w:fldChar w:fldCharType="begin"/>
      </w:r>
      <w:r w:rsidR="00772D92" w:rsidRPr="007C4D65">
        <w:rPr>
          <w:rFonts w:asciiTheme="minorHAnsi" w:hAnsiTheme="minorHAnsi" w:cstheme="minorHAnsi"/>
          <w:sz w:val="22"/>
        </w:rPr>
        <w:instrText xml:space="preserve"> ADDIN ZOTERO_ITEM CSL_CITATION {"citationID":"NNdsFSqd","properties":{"formattedCitation":"(Gnjato et al. 2019)","plainCitation":"(Gnjato et al. 2019)","noteIndex":0},"citationItems":[{"id":1496,"uris":["http://zotero.org/users/7192877/items/IJFKQD8A"],"itemData":{"id":1496,"type":"article-journal","container-title":"Climate Change Management","DOI":"10.1007/978-3-030-03383-5_6","title":"Climate Change Impact on River Discharges in Bosnia and Herzegovina: A Case Study of the Lower Vrbas River Basin","URL":"https://link.springer.com/chapter/10.1007/978-3-030-03383-5_6","author":[{"family":"Gnjato","given":"Slobodan"},{"family":"Popov","given":"Tatjana"},{"family":"Trbić","given":"Goran"},{"family":"Ivanišević","given":"Marko"}],"issued":{"date-parts":[["2019"]]}}}],"schema":"https://github.com/citation-style-language/schema/raw/master/csl-citation.json"} </w:instrText>
      </w:r>
      <w:r w:rsidR="00772D92" w:rsidRPr="007C4D65">
        <w:rPr>
          <w:rFonts w:asciiTheme="minorHAnsi" w:hAnsiTheme="minorHAnsi" w:cstheme="minorHAnsi"/>
          <w:sz w:val="22"/>
        </w:rPr>
        <w:fldChar w:fldCharType="separate"/>
      </w:r>
      <w:r w:rsidR="00772D92" w:rsidRPr="007C4D65">
        <w:rPr>
          <w:rFonts w:asciiTheme="minorHAnsi" w:hAnsiTheme="minorHAnsi" w:cstheme="minorHAnsi"/>
          <w:sz w:val="22"/>
        </w:rPr>
        <w:t>(Gnjato</w:t>
      </w:r>
      <w:r w:rsidR="00772D92" w:rsidRPr="007C4D65">
        <w:rPr>
          <w:rFonts w:asciiTheme="minorHAnsi" w:hAnsiTheme="minorHAnsi" w:cstheme="minorHAnsi"/>
          <w:i/>
          <w:sz w:val="22"/>
        </w:rPr>
        <w:t xml:space="preserve"> et al</w:t>
      </w:r>
      <w:r w:rsidR="00772D92" w:rsidRPr="007C4D65">
        <w:rPr>
          <w:rFonts w:asciiTheme="minorHAnsi" w:hAnsiTheme="minorHAnsi" w:cstheme="minorHAnsi"/>
          <w:sz w:val="22"/>
        </w:rPr>
        <w:t>.</w:t>
      </w:r>
      <w:r w:rsidR="00BC4186" w:rsidRPr="007C4D65">
        <w:rPr>
          <w:rFonts w:asciiTheme="minorHAnsi" w:hAnsiTheme="minorHAnsi" w:cstheme="minorHAnsi"/>
          <w:sz w:val="22"/>
        </w:rPr>
        <w:t>,</w:t>
      </w:r>
      <w:r w:rsidR="00772D92" w:rsidRPr="007C4D65">
        <w:rPr>
          <w:rFonts w:asciiTheme="minorHAnsi" w:hAnsiTheme="minorHAnsi" w:cstheme="minorHAnsi"/>
          <w:sz w:val="22"/>
        </w:rPr>
        <w:t xml:space="preserve"> 2019)</w:t>
      </w:r>
      <w:r w:rsidR="00772D92" w:rsidRPr="007C4D65">
        <w:rPr>
          <w:rFonts w:asciiTheme="minorHAnsi" w:hAnsiTheme="minorHAnsi" w:cstheme="minorHAnsi"/>
          <w:sz w:val="22"/>
        </w:rPr>
        <w:fldChar w:fldCharType="end"/>
      </w:r>
      <w:r w:rsidRPr="007C4D65">
        <w:rPr>
          <w:rFonts w:asciiTheme="minorHAnsi" w:hAnsiTheme="minorHAnsi" w:cstheme="minorHAnsi"/>
          <w:sz w:val="22"/>
        </w:rPr>
        <w:t>.</w:t>
      </w:r>
    </w:p>
    <w:p w14:paraId="1083B1AD" w14:textId="0CA7F5CF"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In a </w:t>
      </w:r>
      <w:proofErr w:type="gramStart"/>
      <w:r w:rsidRPr="007C4D65">
        <w:rPr>
          <w:rFonts w:asciiTheme="minorHAnsi" w:hAnsiTheme="minorHAnsi" w:cstheme="minorHAnsi"/>
          <w:sz w:val="22"/>
        </w:rPr>
        <w:t>worst case</w:t>
      </w:r>
      <w:proofErr w:type="gramEnd"/>
      <w:r w:rsidRPr="007C4D65">
        <w:rPr>
          <w:rFonts w:asciiTheme="minorHAnsi" w:hAnsiTheme="minorHAnsi" w:cstheme="minorHAnsi"/>
          <w:sz w:val="22"/>
        </w:rPr>
        <w:t xml:space="preserve"> scenario (RCP8.5), the average temperature in the area of BiH will increase by +0.5 to +1.5 °C by 2035. The most extreme increase is expected by the end of 21 century when annual mean temperatures may increase by 5 </w:t>
      </w:r>
      <w:proofErr w:type="spellStart"/>
      <w:r w:rsidRPr="007C4D65">
        <w:rPr>
          <w:rFonts w:asciiTheme="minorHAnsi" w:hAnsiTheme="minorHAnsi" w:cstheme="minorHAnsi"/>
          <w:sz w:val="22"/>
          <w:vertAlign w:val="superscript"/>
        </w:rPr>
        <w:t>o</w:t>
      </w:r>
      <w:r w:rsidRPr="007C4D65">
        <w:rPr>
          <w:rFonts w:asciiTheme="minorHAnsi" w:hAnsiTheme="minorHAnsi" w:cstheme="minorHAnsi"/>
          <w:sz w:val="22"/>
        </w:rPr>
        <w:t>C.</w:t>
      </w:r>
      <w:proofErr w:type="spellEnd"/>
      <w:r w:rsidRPr="007C4D65">
        <w:rPr>
          <w:rFonts w:asciiTheme="minorHAnsi" w:hAnsiTheme="minorHAnsi" w:cstheme="minorHAnsi"/>
          <w:sz w:val="22"/>
        </w:rPr>
        <w:t xml:space="preserve"> Such an increase in expected in case that GHG emissions are not reduced. These changes will raise the risk of extreme weather events, such as floods, draughts, fires, etc. (</w:t>
      </w:r>
      <w:r w:rsidR="005A5882" w:rsidRPr="007C4D65">
        <w:rPr>
          <w:rFonts w:asciiTheme="minorHAnsi" w:hAnsiTheme="minorHAnsi" w:cstheme="minorHAnsi"/>
          <w:sz w:val="22"/>
        </w:rPr>
        <w:t>Trbic</w:t>
      </w:r>
      <w:r w:rsidRPr="007C4D65">
        <w:rPr>
          <w:rFonts w:asciiTheme="minorHAnsi" w:hAnsiTheme="minorHAnsi" w:cstheme="minorHAnsi"/>
          <w:sz w:val="22"/>
        </w:rPr>
        <w:t xml:space="preserve"> </w:t>
      </w:r>
      <w:r w:rsidRPr="007C4D65">
        <w:rPr>
          <w:rFonts w:asciiTheme="minorHAnsi" w:hAnsiTheme="minorHAnsi" w:cstheme="minorHAnsi"/>
          <w:i/>
          <w:sz w:val="22"/>
        </w:rPr>
        <w:t>et al</w:t>
      </w:r>
      <w:r w:rsidRPr="007C4D65">
        <w:rPr>
          <w:rFonts w:asciiTheme="minorHAnsi" w:hAnsiTheme="minorHAnsi" w:cstheme="minorHAnsi"/>
          <w:sz w:val="22"/>
        </w:rPr>
        <w:t>., 2022).</w:t>
      </w:r>
    </w:p>
    <w:p w14:paraId="2743F651" w14:textId="2AD1096B" w:rsidR="00056348" w:rsidRPr="007C4D65" w:rsidRDefault="00152511" w:rsidP="0068355A">
      <w:pPr>
        <w:spacing w:line="276" w:lineRule="auto"/>
        <w:jc w:val="center"/>
        <w:rPr>
          <w:rFonts w:asciiTheme="minorHAnsi" w:hAnsiTheme="minorHAnsi" w:cstheme="minorHAnsi"/>
        </w:rPr>
      </w:pPr>
      <w:r>
        <w:rPr>
          <w:rFonts w:asciiTheme="minorHAnsi" w:hAnsiTheme="minorHAnsi" w:cstheme="minorHAnsi"/>
          <w:noProof/>
        </w:rPr>
        <w:drawing>
          <wp:inline distT="0" distB="0" distL="0" distR="0" wp14:anchorId="0CC41124" wp14:editId="25117C0F">
            <wp:extent cx="4373880" cy="13411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3880" cy="1341120"/>
                    </a:xfrm>
                    <a:prstGeom prst="rect">
                      <a:avLst/>
                    </a:prstGeom>
                    <a:noFill/>
                    <a:ln>
                      <a:noFill/>
                    </a:ln>
                  </pic:spPr>
                </pic:pic>
              </a:graphicData>
            </a:graphic>
          </wp:inline>
        </w:drawing>
      </w:r>
    </w:p>
    <w:p w14:paraId="754D4B4D" w14:textId="22B5BA85" w:rsidR="00056348" w:rsidRPr="007C4D65" w:rsidRDefault="00C26F10" w:rsidP="0068355A">
      <w:pPr>
        <w:pStyle w:val="Caption"/>
        <w:keepNext/>
        <w:spacing w:after="200" w:line="276" w:lineRule="auto"/>
        <w:jc w:val="center"/>
        <w:rPr>
          <w:rFonts w:asciiTheme="minorHAnsi" w:hAnsiTheme="minorHAnsi" w:cstheme="minorHAnsi"/>
        </w:rPr>
      </w:pPr>
      <w:bookmarkStart w:id="133" w:name="_Toc117445051"/>
      <w:r w:rsidRPr="007C4D65">
        <w:rPr>
          <w:rFonts w:asciiTheme="minorHAnsi" w:hAnsiTheme="minorHAnsi" w:cstheme="minorHAnsi"/>
        </w:rPr>
        <w:t>Figure</w:t>
      </w:r>
      <w:r w:rsidRPr="007C4D65">
        <w:rPr>
          <w:rFonts w:asciiTheme="minorHAnsi" w:hAnsiTheme="minorHAnsi" w:cstheme="minorHAnsi"/>
          <w:b w:val="0"/>
        </w:rPr>
        <w:t xml:space="preserve"> </w:t>
      </w:r>
      <w:bookmarkStart w:id="134" w:name="slika9"/>
      <w:r w:rsidR="001F0C02" w:rsidRPr="007C4D65">
        <w:rPr>
          <w:rFonts w:asciiTheme="minorHAnsi" w:hAnsiTheme="minorHAnsi" w:cstheme="minorHAnsi"/>
        </w:rPr>
        <w:fldChar w:fldCharType="begin"/>
      </w:r>
      <w:r w:rsidR="001F0C02" w:rsidRPr="007C4D65">
        <w:rPr>
          <w:rFonts w:asciiTheme="minorHAnsi" w:hAnsiTheme="minorHAnsi" w:cstheme="minorHAnsi"/>
        </w:rPr>
        <w:instrText xml:space="preserve"> SEQ Slika \* ARABIC </w:instrText>
      </w:r>
      <w:r w:rsidR="001F0C02" w:rsidRPr="007C4D65">
        <w:rPr>
          <w:rFonts w:asciiTheme="minorHAnsi" w:hAnsiTheme="minorHAnsi" w:cstheme="minorHAnsi"/>
        </w:rPr>
        <w:fldChar w:fldCharType="separate"/>
      </w:r>
      <w:r w:rsidR="00005022" w:rsidRPr="007C4D65">
        <w:rPr>
          <w:rFonts w:asciiTheme="minorHAnsi" w:hAnsiTheme="minorHAnsi" w:cstheme="minorHAnsi"/>
          <w:noProof/>
        </w:rPr>
        <w:t>9</w:t>
      </w:r>
      <w:r w:rsidR="001F0C02" w:rsidRPr="007C4D65">
        <w:rPr>
          <w:rFonts w:asciiTheme="minorHAnsi" w:hAnsiTheme="minorHAnsi" w:cstheme="minorHAnsi"/>
        </w:rPr>
        <w:fldChar w:fldCharType="end"/>
      </w:r>
      <w:bookmarkEnd w:id="134"/>
      <w:r w:rsidRPr="007C4D65">
        <w:rPr>
          <w:rFonts w:asciiTheme="minorHAnsi" w:hAnsiTheme="minorHAnsi" w:cstheme="minorHAnsi"/>
        </w:rPr>
        <w:t xml:space="preserve">: </w:t>
      </w:r>
      <w:r w:rsidRPr="007C4D65">
        <w:rPr>
          <w:rFonts w:asciiTheme="minorHAnsi" w:hAnsiTheme="minorHAnsi" w:cstheme="minorHAnsi"/>
          <w:b w:val="0"/>
        </w:rPr>
        <w:t>Expected air temperature changes in BiH in line with RCP8.5 scenario</w:t>
      </w:r>
      <w:bookmarkEnd w:id="133"/>
      <w:r w:rsidRPr="007C4D65">
        <w:rPr>
          <w:rFonts w:asciiTheme="minorHAnsi" w:hAnsiTheme="minorHAnsi" w:cstheme="minorHAnsi"/>
          <w:b w:val="0"/>
        </w:rPr>
        <w:t xml:space="preserve"> </w:t>
      </w:r>
    </w:p>
    <w:p w14:paraId="314ECCEC" w14:textId="152B2CA4"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According to RCP8.5 climate change </w:t>
      </w:r>
      <w:proofErr w:type="gramStart"/>
      <w:r w:rsidRPr="007C4D65">
        <w:rPr>
          <w:rFonts w:asciiTheme="minorHAnsi" w:hAnsiTheme="minorHAnsi" w:cstheme="minorHAnsi"/>
          <w:sz w:val="22"/>
        </w:rPr>
        <w:t>scenario,  the</w:t>
      </w:r>
      <w:proofErr w:type="gramEnd"/>
      <w:r w:rsidRPr="007C4D65">
        <w:rPr>
          <w:rFonts w:asciiTheme="minorHAnsi" w:hAnsiTheme="minorHAnsi" w:cstheme="minorHAnsi"/>
          <w:sz w:val="22"/>
        </w:rPr>
        <w:t xml:space="preserve"> distribution of precipitation in BiH may see a major change in the course of the year. A huge precipitation deficit may be expected in late 21</w:t>
      </w:r>
      <w:r w:rsidRPr="007C4D65">
        <w:rPr>
          <w:rFonts w:asciiTheme="minorHAnsi" w:hAnsiTheme="minorHAnsi" w:cstheme="minorHAnsi"/>
          <w:sz w:val="22"/>
          <w:vertAlign w:val="superscript"/>
        </w:rPr>
        <w:t>st</w:t>
      </w:r>
      <w:r w:rsidRPr="007C4D65">
        <w:rPr>
          <w:rFonts w:asciiTheme="minorHAnsi" w:hAnsiTheme="minorHAnsi" w:cstheme="minorHAnsi"/>
          <w:sz w:val="22"/>
        </w:rPr>
        <w:t xml:space="preserve"> century, </w:t>
      </w:r>
      <w:proofErr w:type="gramStart"/>
      <w:r w:rsidRPr="007C4D65">
        <w:rPr>
          <w:rFonts w:asciiTheme="minorHAnsi" w:hAnsiTheme="minorHAnsi" w:cstheme="minorHAnsi"/>
          <w:sz w:val="22"/>
        </w:rPr>
        <w:t>in particular in</w:t>
      </w:r>
      <w:proofErr w:type="gramEnd"/>
      <w:r w:rsidRPr="007C4D65">
        <w:rPr>
          <w:rFonts w:asciiTheme="minorHAnsi" w:hAnsiTheme="minorHAnsi" w:cstheme="minorHAnsi"/>
          <w:sz w:val="22"/>
        </w:rPr>
        <w:t xml:space="preserve"> the summer season. However, the changes in precipitation will also come in form of increased intensity of precipitation causing torrential and urban floods (</w:t>
      </w:r>
      <w:proofErr w:type="spellStart"/>
      <w:r w:rsidR="006C5EE4" w:rsidRPr="007C4D65">
        <w:rPr>
          <w:rFonts w:asciiTheme="minorHAnsi" w:hAnsiTheme="minorHAnsi" w:cstheme="minorHAnsi"/>
          <w:sz w:val="22"/>
        </w:rPr>
        <w:t>Dj</w:t>
      </w:r>
      <w:r w:rsidRPr="007C4D65">
        <w:rPr>
          <w:rFonts w:asciiTheme="minorHAnsi" w:hAnsiTheme="minorHAnsi" w:cstheme="minorHAnsi"/>
          <w:sz w:val="22"/>
        </w:rPr>
        <w:t>ur</w:t>
      </w:r>
      <w:r w:rsidR="006C5EE4" w:rsidRPr="007C4D65">
        <w:rPr>
          <w:rFonts w:asciiTheme="minorHAnsi" w:hAnsiTheme="minorHAnsi" w:cstheme="minorHAnsi"/>
          <w:sz w:val="22"/>
        </w:rPr>
        <w:t>dj</w:t>
      </w:r>
      <w:r w:rsidRPr="007C4D65">
        <w:rPr>
          <w:rFonts w:asciiTheme="minorHAnsi" w:hAnsiTheme="minorHAnsi" w:cstheme="minorHAnsi"/>
          <w:sz w:val="22"/>
        </w:rPr>
        <w:t>ević</w:t>
      </w:r>
      <w:proofErr w:type="spellEnd"/>
      <w:r w:rsidRPr="007C4D65">
        <w:rPr>
          <w:rFonts w:asciiTheme="minorHAnsi" w:hAnsiTheme="minorHAnsi" w:cstheme="minorHAnsi"/>
          <w:sz w:val="22"/>
        </w:rPr>
        <w:t xml:space="preserve"> </w:t>
      </w:r>
      <w:r w:rsidRPr="007C4D65">
        <w:rPr>
          <w:rFonts w:asciiTheme="minorHAnsi" w:hAnsiTheme="minorHAnsi" w:cstheme="minorHAnsi"/>
          <w:i/>
          <w:sz w:val="22"/>
        </w:rPr>
        <w:t>et al</w:t>
      </w:r>
      <w:r w:rsidRPr="007C4D65">
        <w:rPr>
          <w:rFonts w:asciiTheme="minorHAnsi" w:hAnsiTheme="minorHAnsi" w:cstheme="minorHAnsi"/>
          <w:sz w:val="22"/>
        </w:rPr>
        <w:t>., 2019).</w:t>
      </w:r>
    </w:p>
    <w:p w14:paraId="37184EA1" w14:textId="4C22B2DE" w:rsidR="00056348" w:rsidRPr="007C4D65" w:rsidRDefault="00152511" w:rsidP="0068355A">
      <w:pPr>
        <w:spacing w:line="276" w:lineRule="auto"/>
        <w:jc w:val="center"/>
        <w:rPr>
          <w:rFonts w:asciiTheme="minorHAnsi" w:hAnsiTheme="minorHAnsi" w:cstheme="minorHAnsi"/>
        </w:rPr>
      </w:pPr>
      <w:r>
        <w:rPr>
          <w:rFonts w:asciiTheme="minorHAnsi" w:hAnsiTheme="minorHAnsi" w:cstheme="minorHAnsi"/>
          <w:noProof/>
        </w:rPr>
        <w:drawing>
          <wp:inline distT="0" distB="0" distL="0" distR="0" wp14:anchorId="279484B4" wp14:editId="69F737C0">
            <wp:extent cx="3924300" cy="1554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4300" cy="1554480"/>
                    </a:xfrm>
                    <a:prstGeom prst="rect">
                      <a:avLst/>
                    </a:prstGeom>
                    <a:noFill/>
                    <a:ln>
                      <a:noFill/>
                    </a:ln>
                  </pic:spPr>
                </pic:pic>
              </a:graphicData>
            </a:graphic>
          </wp:inline>
        </w:drawing>
      </w:r>
    </w:p>
    <w:p w14:paraId="3A8D489C" w14:textId="1738977D" w:rsidR="00056348" w:rsidRPr="007C4D65" w:rsidRDefault="00AF3BA1" w:rsidP="0068355A">
      <w:pPr>
        <w:pStyle w:val="Caption"/>
        <w:keepNext/>
        <w:spacing w:after="200" w:line="276" w:lineRule="auto"/>
        <w:jc w:val="center"/>
        <w:rPr>
          <w:rFonts w:asciiTheme="minorHAnsi" w:hAnsiTheme="minorHAnsi" w:cstheme="minorHAnsi"/>
        </w:rPr>
      </w:pPr>
      <w:bookmarkStart w:id="135" w:name="_Toc117445052"/>
      <w:r w:rsidRPr="007C4D65">
        <w:rPr>
          <w:rFonts w:asciiTheme="minorHAnsi" w:hAnsiTheme="minorHAnsi" w:cstheme="minorHAnsi"/>
        </w:rPr>
        <w:t>Figure</w:t>
      </w:r>
      <w:r w:rsidRPr="007C4D65">
        <w:rPr>
          <w:rFonts w:asciiTheme="minorHAnsi" w:hAnsiTheme="minorHAnsi" w:cstheme="minorHAnsi"/>
          <w:b w:val="0"/>
        </w:rPr>
        <w:t xml:space="preserve"> </w:t>
      </w:r>
      <w:bookmarkStart w:id="136" w:name="slika10"/>
      <w:r w:rsidR="001F0C02" w:rsidRPr="007C4D65">
        <w:rPr>
          <w:rFonts w:asciiTheme="minorHAnsi" w:hAnsiTheme="minorHAnsi" w:cstheme="minorHAnsi"/>
        </w:rPr>
        <w:fldChar w:fldCharType="begin"/>
      </w:r>
      <w:r w:rsidR="001F0C02" w:rsidRPr="007C4D65">
        <w:rPr>
          <w:rFonts w:asciiTheme="minorHAnsi" w:hAnsiTheme="minorHAnsi" w:cstheme="minorHAnsi"/>
        </w:rPr>
        <w:instrText xml:space="preserve"> SEQ Slika \* ARABIC </w:instrText>
      </w:r>
      <w:r w:rsidR="001F0C02" w:rsidRPr="007C4D65">
        <w:rPr>
          <w:rFonts w:asciiTheme="minorHAnsi" w:hAnsiTheme="minorHAnsi" w:cstheme="minorHAnsi"/>
        </w:rPr>
        <w:fldChar w:fldCharType="separate"/>
      </w:r>
      <w:r w:rsidR="00005022" w:rsidRPr="007C4D65">
        <w:rPr>
          <w:rFonts w:asciiTheme="minorHAnsi" w:hAnsiTheme="minorHAnsi" w:cstheme="minorHAnsi"/>
          <w:noProof/>
        </w:rPr>
        <w:t>10</w:t>
      </w:r>
      <w:r w:rsidR="001F0C02" w:rsidRPr="007C4D65">
        <w:rPr>
          <w:rFonts w:asciiTheme="minorHAnsi" w:hAnsiTheme="minorHAnsi" w:cstheme="minorHAnsi"/>
        </w:rPr>
        <w:fldChar w:fldCharType="end"/>
      </w:r>
      <w:bookmarkEnd w:id="136"/>
      <w:r w:rsidRPr="007C4D65">
        <w:rPr>
          <w:rFonts w:asciiTheme="minorHAnsi" w:hAnsiTheme="minorHAnsi" w:cstheme="minorHAnsi"/>
          <w:b w:val="0"/>
        </w:rPr>
        <w:t>: Expected air temperature changes in BiH in line with the RCP8.5 scenario</w:t>
      </w:r>
      <w:bookmarkEnd w:id="135"/>
      <w:r w:rsidRPr="007C4D65">
        <w:rPr>
          <w:rFonts w:asciiTheme="minorHAnsi" w:hAnsiTheme="minorHAnsi" w:cstheme="minorHAnsi"/>
          <w:b w:val="0"/>
        </w:rPr>
        <w:t xml:space="preserve"> </w:t>
      </w:r>
    </w:p>
    <w:p w14:paraId="59276582" w14:textId="26508B79"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anticipated changes will heighten </w:t>
      </w:r>
      <w:r w:rsidR="005A5882" w:rsidRPr="007C4D65">
        <w:rPr>
          <w:rFonts w:asciiTheme="minorHAnsi" w:hAnsiTheme="minorHAnsi" w:cstheme="minorHAnsi"/>
          <w:sz w:val="22"/>
        </w:rPr>
        <w:t>various</w:t>
      </w:r>
      <w:r w:rsidRPr="007C4D65">
        <w:rPr>
          <w:rFonts w:asciiTheme="minorHAnsi" w:hAnsiTheme="minorHAnsi" w:cstheme="minorHAnsi"/>
          <w:sz w:val="22"/>
        </w:rPr>
        <w:t xml:space="preserve"> risks and threats of extreme weather events.  There is a glaring need to integrate climate change in strategic and operational documents, which will obviously require certain changes and amendments to existing legislation and regulations.</w:t>
      </w:r>
    </w:p>
    <w:p w14:paraId="576E0816" w14:textId="77777777" w:rsidR="00056348" w:rsidRPr="007C4D65" w:rsidRDefault="00056348" w:rsidP="0068355A">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Energy</w:t>
      </w:r>
    </w:p>
    <w:p w14:paraId="3339285B" w14:textId="345C563D"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In 2019, gross electricity production in the FBiH was 9,664 GWh, out of which 5,070 GWh or 52.5% was produced by thermal power plants, 4,060 GWh or 42.0% by hydropower plants, 347 GWh or 3.6% by power plants, 166 GWh or 1.7% was produced by wind power plants, and 21 GWh or 0.2% was produced by solar power plants. </w:t>
      </w:r>
      <w:r w:rsidRPr="007C4D65">
        <w:rPr>
          <w:rFonts w:asciiTheme="minorHAnsi" w:hAnsiTheme="minorHAnsi" w:cstheme="minorHAnsi"/>
        </w:rPr>
        <w:t xml:space="preserve">In the final electricity consumption, households participate with 41.8%, industrial sector with 33.9% and other consumers including construction, transport and agriculture with 24.3% </w:t>
      </w:r>
      <w:r w:rsidRPr="007C4D65">
        <w:rPr>
          <w:rFonts w:asciiTheme="minorHAnsi" w:hAnsiTheme="minorHAnsi" w:cstheme="minorHAnsi"/>
          <w:sz w:val="22"/>
        </w:rPr>
        <w:t xml:space="preserve"> </w:t>
      </w:r>
      <w:r w:rsidR="00772D92" w:rsidRPr="007C4D65">
        <w:rPr>
          <w:rFonts w:asciiTheme="minorHAnsi" w:hAnsiTheme="minorHAnsi" w:cstheme="minorHAnsi"/>
          <w:sz w:val="22"/>
        </w:rPr>
        <w:fldChar w:fldCharType="begin"/>
      </w:r>
      <w:r w:rsidR="00071C15" w:rsidRPr="007C4D65">
        <w:rPr>
          <w:rFonts w:asciiTheme="minorHAnsi" w:hAnsiTheme="minorHAnsi" w:cstheme="minorHAnsi"/>
          <w:sz w:val="22"/>
        </w:rPr>
        <w:instrText xml:space="preserve"> ADDIN ZOTERO_ITEM CSL_CITATION {"citationID":"uG7OZftr","properties":{"formattedCitation":"(Federalni zavod za statistiku 2020a)","plainCitation":"(Federalni zavod za statistiku 2020a)","noteIndex":0},"citationItems":[{"id":1497,"uris":["http://zotero.org/users/7192877/items/XZ2UZNDJ"],"itemData":{"id":1497,"type":"document","publisher":"Federalni zavod za statistiku","title":"Bilans električne i toplotne energije, 2019.","author":[{"literal":"Federalni zavod za statistiku"}],"issued":{"date-parts":[["2020"]]}}}],"schema":"https://github.com/citation-style-language/schema/raw/master/csl-citation.json"} </w:instrText>
      </w:r>
      <w:r w:rsidR="00772D92" w:rsidRPr="007C4D65">
        <w:rPr>
          <w:rFonts w:asciiTheme="minorHAnsi" w:hAnsiTheme="minorHAnsi" w:cstheme="minorHAnsi"/>
          <w:sz w:val="22"/>
        </w:rPr>
        <w:fldChar w:fldCharType="separate"/>
      </w:r>
      <w:r w:rsidR="00071C15" w:rsidRPr="007C4D65">
        <w:rPr>
          <w:rFonts w:asciiTheme="minorHAnsi" w:hAnsiTheme="minorHAnsi" w:cstheme="minorHAnsi"/>
          <w:sz w:val="22"/>
        </w:rPr>
        <w:t>(</w:t>
      </w:r>
      <w:r w:rsidR="00E87DA4" w:rsidRPr="007C4D65">
        <w:rPr>
          <w:rFonts w:asciiTheme="minorHAnsi" w:hAnsiTheme="minorHAnsi" w:cstheme="minorHAnsi"/>
          <w:sz w:val="22"/>
        </w:rPr>
        <w:t>Institute for Statistics of the Federation of BiH</w:t>
      </w:r>
      <w:r w:rsidR="00BC4186" w:rsidRPr="007C4D65">
        <w:rPr>
          <w:rFonts w:asciiTheme="minorHAnsi" w:hAnsiTheme="minorHAnsi" w:cstheme="minorHAnsi"/>
          <w:sz w:val="22"/>
        </w:rPr>
        <w:t>,</w:t>
      </w:r>
      <w:r w:rsidR="00071C15" w:rsidRPr="007C4D65">
        <w:rPr>
          <w:rFonts w:asciiTheme="minorHAnsi" w:hAnsiTheme="minorHAnsi" w:cstheme="minorHAnsi"/>
          <w:sz w:val="22"/>
        </w:rPr>
        <w:t xml:space="preserve"> 2020a)</w:t>
      </w:r>
      <w:r w:rsidR="00772D92" w:rsidRPr="007C4D65">
        <w:rPr>
          <w:rFonts w:asciiTheme="minorHAnsi" w:hAnsiTheme="minorHAnsi" w:cstheme="minorHAnsi"/>
          <w:sz w:val="22"/>
        </w:rPr>
        <w:fldChar w:fldCharType="end"/>
      </w:r>
      <w:r w:rsidRPr="007C4D65">
        <w:rPr>
          <w:rFonts w:asciiTheme="minorHAnsi" w:hAnsiTheme="minorHAnsi" w:cstheme="minorHAnsi"/>
          <w:sz w:val="22"/>
        </w:rPr>
        <w:t>.</w:t>
      </w:r>
    </w:p>
    <w:p w14:paraId="32CE0845" w14:textId="0BBDC342"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 xml:space="preserve">In 2019, the total heat production in the district heating systems was 4,054 TJ, out of which 2,042 TJ or 50.4% was produced by district heating plants, 1,430 TJ or 35.3% by coal-fired power plants, and 582 TJ or 14.3% by industrial power plants. </w:t>
      </w:r>
      <w:r w:rsidRPr="007C4D65">
        <w:rPr>
          <w:rFonts w:asciiTheme="minorHAnsi" w:hAnsiTheme="minorHAnsi" w:cstheme="minorHAnsi"/>
        </w:rPr>
        <w:t xml:space="preserve">In the final heat energy consumption in 2019, households had the largest share with 75.6%, while industry and other consumers had a share of 24.4% </w:t>
      </w:r>
      <w:r w:rsidR="00071C15" w:rsidRPr="007C4D65">
        <w:rPr>
          <w:rFonts w:asciiTheme="minorHAnsi" w:hAnsiTheme="minorHAnsi" w:cstheme="minorHAnsi"/>
          <w:sz w:val="22"/>
        </w:rPr>
        <w:fldChar w:fldCharType="begin"/>
      </w:r>
      <w:r w:rsidR="00071C15" w:rsidRPr="007C4D65">
        <w:rPr>
          <w:rFonts w:asciiTheme="minorHAnsi" w:hAnsiTheme="minorHAnsi" w:cstheme="minorHAnsi"/>
          <w:sz w:val="22"/>
        </w:rPr>
        <w:instrText xml:space="preserve"> ADDIN ZOTERO_ITEM CSL_CITATION {"citationID":"SgE0accE","properties":{"formattedCitation":"(Federalni zavod za statistiku 2020a)","plainCitation":"(Federalni zavod za statistiku 2020a)","noteIndex":0},"citationItems":[{"id":1497,"uris":["http://zotero.org/users/7192877/items/XZ2UZNDJ"],"itemData":{"id":1497,"type":"document","publisher":"Federalni zavod za statistiku","title":"Bilans električne i toplotne energije, 2019.","author":[{"literal":"Federalni zavod za statistiku"}],"issued":{"date-parts":[["2020"]]}}}],"schema":"https://github.com/citation-style-language/schema/raw/master/csl-citation.json"} </w:instrText>
      </w:r>
      <w:r w:rsidR="00071C15" w:rsidRPr="007C4D65">
        <w:rPr>
          <w:rFonts w:asciiTheme="minorHAnsi" w:hAnsiTheme="minorHAnsi" w:cstheme="minorHAnsi"/>
          <w:sz w:val="22"/>
        </w:rPr>
        <w:fldChar w:fldCharType="separate"/>
      </w:r>
      <w:r w:rsidR="00071C15" w:rsidRPr="007C4D65">
        <w:rPr>
          <w:rFonts w:asciiTheme="minorHAnsi" w:hAnsiTheme="minorHAnsi" w:cstheme="minorHAnsi"/>
          <w:sz w:val="22"/>
        </w:rPr>
        <w:t>(</w:t>
      </w:r>
      <w:r w:rsidR="00E87DA4" w:rsidRPr="007C4D65">
        <w:rPr>
          <w:rFonts w:asciiTheme="minorHAnsi" w:hAnsiTheme="minorHAnsi" w:cstheme="minorHAnsi"/>
          <w:sz w:val="22"/>
        </w:rPr>
        <w:t>Institute for Statistics of the Federation of BiH</w:t>
      </w:r>
      <w:r w:rsidR="00071C15" w:rsidRPr="007C4D65">
        <w:rPr>
          <w:rFonts w:asciiTheme="minorHAnsi" w:hAnsiTheme="minorHAnsi" w:cstheme="minorHAnsi"/>
          <w:sz w:val="22"/>
        </w:rPr>
        <w:t xml:space="preserve"> 2020a)</w:t>
      </w:r>
      <w:r w:rsidR="00071C15" w:rsidRPr="007C4D65">
        <w:rPr>
          <w:rFonts w:asciiTheme="minorHAnsi" w:hAnsiTheme="minorHAnsi" w:cstheme="minorHAnsi"/>
          <w:sz w:val="22"/>
        </w:rPr>
        <w:fldChar w:fldCharType="end"/>
      </w:r>
      <w:r w:rsidRPr="007C4D65">
        <w:rPr>
          <w:rFonts w:asciiTheme="minorHAnsi" w:hAnsiTheme="minorHAnsi" w:cstheme="minorHAnsi"/>
          <w:sz w:val="22"/>
        </w:rPr>
        <w:t xml:space="preserve">. </w:t>
      </w:r>
      <w:r w:rsidRPr="007C4D65">
        <w:rPr>
          <w:rFonts w:asciiTheme="minorHAnsi" w:hAnsiTheme="minorHAnsi" w:cstheme="minorHAnsi"/>
        </w:rPr>
        <w:t>Share of the district heating systems in the overall heating needs in buildings is 8%.</w:t>
      </w:r>
      <w:r w:rsidR="00071C15" w:rsidRPr="007C4D65">
        <w:rPr>
          <w:rFonts w:asciiTheme="minorHAnsi" w:hAnsiTheme="minorHAnsi" w:cstheme="minorHAnsi"/>
          <w:sz w:val="22"/>
        </w:rPr>
        <w:fldChar w:fldCharType="begin"/>
      </w:r>
      <w:r w:rsidR="00CE1A95" w:rsidRPr="007C4D65">
        <w:rPr>
          <w:rFonts w:asciiTheme="minorHAnsi" w:hAnsiTheme="minorHAnsi" w:cstheme="minorHAnsi"/>
          <w:sz w:val="22"/>
        </w:rPr>
        <w:instrText xml:space="preserve"> ADDIN ZOTERO_ITEM CSL_CITATION {"citationID":"heEcHziW","properties":{"formattedCitation":"(GIZ 2018)","plainCitation":"(GIZ 2018)","noteIndex":0},"citationItems":[{"id":1498,"uris":["http://zotero.org/users/7192877/items/7QVNGMAX"],"itemData":{"id":1498,"type":"document","title":"Procjena potencijala za primjenu visokoefikasne kogeneracije i efikasnog daljinskog grijanja i hlađenja u BiH","author":[{"literal":"GIZ"}],"issued":{"date-parts":[["2018"]]}}}],"schema":"https://github.com/citation-style-language/schema/raw/master/csl-citation.json"} </w:instrText>
      </w:r>
      <w:r w:rsidR="00071C15" w:rsidRPr="007C4D65">
        <w:rPr>
          <w:rFonts w:asciiTheme="minorHAnsi" w:hAnsiTheme="minorHAnsi" w:cstheme="minorHAnsi"/>
          <w:sz w:val="22"/>
        </w:rPr>
        <w:fldChar w:fldCharType="separate"/>
      </w:r>
      <w:r w:rsidR="00071C15" w:rsidRPr="007C4D65">
        <w:rPr>
          <w:rFonts w:asciiTheme="minorHAnsi" w:hAnsiTheme="minorHAnsi" w:cstheme="minorHAnsi"/>
          <w:sz w:val="22"/>
        </w:rPr>
        <w:t>(GIZ</w:t>
      </w:r>
      <w:r w:rsidR="00BC4186" w:rsidRPr="007C4D65">
        <w:rPr>
          <w:rFonts w:asciiTheme="minorHAnsi" w:hAnsiTheme="minorHAnsi" w:cstheme="minorHAnsi"/>
          <w:sz w:val="22"/>
        </w:rPr>
        <w:t>,</w:t>
      </w:r>
      <w:r w:rsidR="00071C15" w:rsidRPr="007C4D65">
        <w:rPr>
          <w:rFonts w:asciiTheme="minorHAnsi" w:hAnsiTheme="minorHAnsi" w:cstheme="minorHAnsi"/>
          <w:sz w:val="22"/>
        </w:rPr>
        <w:t xml:space="preserve"> 2018)</w:t>
      </w:r>
      <w:r w:rsidR="00071C15" w:rsidRPr="007C4D65">
        <w:rPr>
          <w:rFonts w:asciiTheme="minorHAnsi" w:hAnsiTheme="minorHAnsi" w:cstheme="minorHAnsi"/>
          <w:sz w:val="22"/>
        </w:rPr>
        <w:fldChar w:fldCharType="end"/>
      </w:r>
      <w:r w:rsidRPr="007C4D65">
        <w:rPr>
          <w:rFonts w:asciiTheme="minorHAnsi" w:hAnsiTheme="minorHAnsi" w:cstheme="minorHAnsi"/>
          <w:sz w:val="22"/>
        </w:rPr>
        <w:t>.</w:t>
      </w:r>
    </w:p>
    <w:p w14:paraId="25201769" w14:textId="2937AEC9"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reference value of primary consumption in 2021 amounts to 4,345.97 </w:t>
      </w:r>
      <w:proofErr w:type="spellStart"/>
      <w:r w:rsidRPr="007C4D65">
        <w:rPr>
          <w:rFonts w:asciiTheme="minorHAnsi" w:hAnsiTheme="minorHAnsi" w:cstheme="minorHAnsi"/>
          <w:sz w:val="22"/>
        </w:rPr>
        <w:t>ktoe</w:t>
      </w:r>
      <w:proofErr w:type="spellEnd"/>
      <w:r w:rsidRPr="007C4D65">
        <w:rPr>
          <w:rFonts w:asciiTheme="minorHAnsi" w:hAnsiTheme="minorHAnsi" w:cstheme="minorHAnsi"/>
          <w:sz w:val="22"/>
        </w:rPr>
        <w:t xml:space="preserve">. The objective is to reduce the primary energy consumption in 2021 by 3.33%, or 144.79 </w:t>
      </w:r>
      <w:proofErr w:type="spellStart"/>
      <w:r w:rsidRPr="007C4D65">
        <w:rPr>
          <w:rFonts w:asciiTheme="minorHAnsi" w:hAnsiTheme="minorHAnsi" w:cstheme="minorHAnsi"/>
          <w:sz w:val="22"/>
        </w:rPr>
        <w:t>ktoe</w:t>
      </w:r>
      <w:proofErr w:type="spellEnd"/>
      <w:r w:rsidRPr="007C4D65">
        <w:rPr>
          <w:rFonts w:asciiTheme="minorHAnsi" w:hAnsiTheme="minorHAnsi" w:cstheme="minorHAnsi"/>
          <w:sz w:val="22"/>
        </w:rPr>
        <w:t xml:space="preserve">. The </w:t>
      </w:r>
      <w:proofErr w:type="gramStart"/>
      <w:r w:rsidRPr="007C4D65">
        <w:rPr>
          <w:rFonts w:asciiTheme="minorHAnsi" w:hAnsiTheme="minorHAnsi" w:cstheme="minorHAnsi"/>
          <w:sz w:val="22"/>
        </w:rPr>
        <w:t>objective  is</w:t>
      </w:r>
      <w:proofErr w:type="gramEnd"/>
      <w:r w:rsidRPr="007C4D65">
        <w:rPr>
          <w:rFonts w:asciiTheme="minorHAnsi" w:hAnsiTheme="minorHAnsi" w:cstheme="minorHAnsi"/>
          <w:sz w:val="22"/>
        </w:rPr>
        <w:t xml:space="preserve"> to reduce the final energy consumption in 2021 by 5.16%, or 146.31 </w:t>
      </w:r>
      <w:proofErr w:type="spellStart"/>
      <w:r w:rsidRPr="007C4D65">
        <w:rPr>
          <w:rFonts w:asciiTheme="minorHAnsi" w:hAnsiTheme="minorHAnsi" w:cstheme="minorHAnsi"/>
          <w:sz w:val="22"/>
        </w:rPr>
        <w:t>ktoe</w:t>
      </w:r>
      <w:proofErr w:type="spellEnd"/>
      <w:r w:rsidRPr="007C4D65">
        <w:rPr>
          <w:rFonts w:asciiTheme="minorHAnsi" w:hAnsiTheme="minorHAnsi" w:cstheme="minorHAnsi"/>
          <w:sz w:val="22"/>
        </w:rPr>
        <w:t xml:space="preserve">. </w:t>
      </w:r>
      <w:r w:rsidRPr="007C4D65">
        <w:rPr>
          <w:rFonts w:asciiTheme="minorHAnsi" w:hAnsiTheme="minorHAnsi" w:cstheme="minorHAnsi"/>
        </w:rPr>
        <w:t xml:space="preserve">In 2018, savings </w:t>
      </w:r>
      <w:r w:rsidRPr="007C4D65">
        <w:rPr>
          <w:rFonts w:asciiTheme="minorHAnsi" w:hAnsiTheme="minorHAnsi" w:cstheme="minorHAnsi"/>
          <w:sz w:val="22"/>
        </w:rPr>
        <w:t>of 8.243 or by 9%</w:t>
      </w:r>
      <w:r w:rsidRPr="007C4D65">
        <w:rPr>
          <w:rFonts w:asciiTheme="minorHAnsi" w:hAnsiTheme="minorHAnsi" w:cstheme="minorHAnsi"/>
        </w:rPr>
        <w:t xml:space="preserve"> were made as compare to the reference consumption</w:t>
      </w:r>
      <w:r w:rsidR="008F71A1" w:rsidRPr="007C4D65">
        <w:rPr>
          <w:rFonts w:asciiTheme="minorHAnsi" w:hAnsiTheme="minorHAnsi" w:cstheme="minorHAnsi"/>
        </w:rPr>
        <w:t xml:space="preserve"> </w:t>
      </w:r>
      <w:r w:rsidR="00AC1BC7" w:rsidRPr="007C4D65">
        <w:rPr>
          <w:rFonts w:asciiTheme="minorHAnsi" w:hAnsiTheme="minorHAnsi" w:cstheme="minorHAnsi"/>
          <w:sz w:val="22"/>
        </w:rPr>
        <w:fldChar w:fldCharType="begin"/>
      </w:r>
      <w:r w:rsidR="00CE1A95" w:rsidRPr="007C4D65">
        <w:rPr>
          <w:rFonts w:asciiTheme="minorHAnsi" w:hAnsiTheme="minorHAnsi" w:cstheme="minorHAnsi"/>
          <w:sz w:val="22"/>
        </w:rPr>
        <w:instrText xml:space="preserve"> ADDIN ZOTERO_ITEM CSL_CITATION {"citationID":"N2QT3Jst","properties":{"formattedCitation":"(Vlada FBiH 2020)","plainCitation":"(Vlada FBiH 2020)","dontUpdate":true,"noteIndex":0},"citationItems":[{"id":1499,"uris":["http://zotero.org/users/7192877/items/LEEXLIEK"],"itemData":{"id":1499,"type":"document","title":"Akcioni plan za energijsku efikasnost u Federaciji BiH za period 2019 - 2021.","URL":"https://fmeri.gov.ba/media/1983/eeapf-bih-2019_2021.pdf","author":[{"literal":"Vlada Federacije BiH"}],"issued":{"date-parts":[["2020"]]}}}],"schema":"https://github.com/citation-style-language/schema/raw/master/csl-citation.json"} </w:instrText>
      </w:r>
      <w:r w:rsidR="00AC1BC7" w:rsidRPr="007C4D65">
        <w:rPr>
          <w:rFonts w:asciiTheme="minorHAnsi" w:hAnsiTheme="minorHAnsi" w:cstheme="minorHAnsi"/>
          <w:sz w:val="22"/>
        </w:rPr>
        <w:fldChar w:fldCharType="separate"/>
      </w:r>
      <w:r w:rsidR="00AC1BC7" w:rsidRPr="007C4D65">
        <w:rPr>
          <w:rFonts w:asciiTheme="minorHAnsi" w:hAnsiTheme="minorHAnsi" w:cstheme="minorHAnsi"/>
          <w:sz w:val="22"/>
        </w:rPr>
        <w:t>(</w:t>
      </w:r>
      <w:r w:rsidR="005A5882" w:rsidRPr="007C4D65">
        <w:rPr>
          <w:rFonts w:asciiTheme="minorHAnsi" w:hAnsiTheme="minorHAnsi" w:cstheme="minorHAnsi"/>
          <w:sz w:val="22"/>
        </w:rPr>
        <w:t>Government of the Federation of BiH</w:t>
      </w:r>
      <w:r w:rsidR="000201AE" w:rsidRPr="007C4D65">
        <w:rPr>
          <w:rFonts w:asciiTheme="minorHAnsi" w:hAnsiTheme="minorHAnsi" w:cstheme="minorHAnsi"/>
          <w:sz w:val="22"/>
        </w:rPr>
        <w:t>,</w:t>
      </w:r>
      <w:r w:rsidR="00AC1BC7" w:rsidRPr="007C4D65">
        <w:rPr>
          <w:rFonts w:asciiTheme="minorHAnsi" w:hAnsiTheme="minorHAnsi" w:cstheme="minorHAnsi"/>
          <w:sz w:val="22"/>
        </w:rPr>
        <w:t xml:space="preserve"> 2020)</w:t>
      </w:r>
      <w:r w:rsidR="00AC1BC7" w:rsidRPr="007C4D65">
        <w:rPr>
          <w:rFonts w:asciiTheme="minorHAnsi" w:hAnsiTheme="minorHAnsi" w:cstheme="minorHAnsi"/>
          <w:sz w:val="22"/>
        </w:rPr>
        <w:fldChar w:fldCharType="end"/>
      </w:r>
      <w:r w:rsidRPr="007C4D65">
        <w:rPr>
          <w:rFonts w:asciiTheme="minorHAnsi" w:hAnsiTheme="minorHAnsi" w:cstheme="minorHAnsi"/>
          <w:sz w:val="22"/>
        </w:rPr>
        <w:t xml:space="preserve">. Most of the savings were made in the residential sector, while the transport sector had smallest contribution. According to the Action Plan on the Use of RES of the Federation of BiH, the RES share in gross final consumption (in 2013) in FBiH amounted to 37%, while in the final electricity consumption the RES share was 39%.  </w:t>
      </w:r>
      <w:r w:rsidRPr="007C4D65">
        <w:rPr>
          <w:rFonts w:asciiTheme="minorHAnsi" w:hAnsiTheme="minorHAnsi" w:cstheme="minorHAnsi"/>
        </w:rPr>
        <w:t xml:space="preserve">The document also lays down the objective </w:t>
      </w:r>
      <w:r w:rsidRPr="007C4D65">
        <w:rPr>
          <w:rFonts w:asciiTheme="minorHAnsi" w:hAnsiTheme="minorHAnsi" w:cstheme="minorHAnsi"/>
          <w:sz w:val="22"/>
        </w:rPr>
        <w:t xml:space="preserve">of 41% of RES share in the gross final energy production, and 44% share on the energy consumption in 2020.  </w:t>
      </w:r>
      <w:r w:rsidR="00AC1BC7" w:rsidRPr="007C4D65">
        <w:rPr>
          <w:rFonts w:asciiTheme="minorHAnsi" w:hAnsiTheme="minorHAnsi" w:cstheme="minorHAnsi"/>
          <w:sz w:val="22"/>
        </w:rPr>
        <w:fldChar w:fldCharType="begin"/>
      </w:r>
      <w:r w:rsidR="00CE1A95" w:rsidRPr="007C4D65">
        <w:rPr>
          <w:rFonts w:asciiTheme="minorHAnsi" w:hAnsiTheme="minorHAnsi" w:cstheme="minorHAnsi"/>
          <w:sz w:val="22"/>
        </w:rPr>
        <w:instrText xml:space="preserve"> ADDIN ZOTERO_ITEM CSL_CITATION {"citationID":"qkib0rpx","properties":{"formattedCitation":"(Federalno ministarstvo energetike, rudarstva i industrije 2014)","plainCitation":"(Federalno ministarstvo energetike, rudarstva i industrije 2014)","noteIndex":0},"citationItems":[{"id":1500,"uris":["http://zotero.org/users/7192877/items/58J2ZLB8"],"itemData":{"id":1500,"type":"document","publisher":"Federalno ministarstvo energetike, rudarstva i industrije","title":"Akcioni plan Federacije BiH za korištenje obnovljivih izvora energije (APOEF)","author":[{"literal":"Federalno ministarstvo energetike, rudarstva i industrije"}],"issued":{"date-parts":[["2014"]]}}}],"schema":"https://github.com/citation-style-language/schema/raw/master/csl-citation.json"} </w:instrText>
      </w:r>
      <w:r w:rsidR="00AC1BC7" w:rsidRPr="007C4D65">
        <w:rPr>
          <w:rFonts w:asciiTheme="minorHAnsi" w:hAnsiTheme="minorHAnsi" w:cstheme="minorHAnsi"/>
          <w:sz w:val="22"/>
        </w:rPr>
        <w:fldChar w:fldCharType="separate"/>
      </w:r>
      <w:r w:rsidR="00CE1A95" w:rsidRPr="007C4D65">
        <w:rPr>
          <w:rFonts w:asciiTheme="minorHAnsi" w:hAnsiTheme="minorHAnsi" w:cstheme="minorHAnsi"/>
          <w:sz w:val="22"/>
        </w:rPr>
        <w:t>(</w:t>
      </w:r>
      <w:r w:rsidR="001E6E20" w:rsidRPr="007C4D65">
        <w:rPr>
          <w:rFonts w:asciiTheme="minorHAnsi" w:hAnsiTheme="minorHAnsi" w:cstheme="minorHAnsi"/>
          <w:sz w:val="22"/>
        </w:rPr>
        <w:t>Federation Ministry</w:t>
      </w:r>
      <w:r w:rsidR="005A5882" w:rsidRPr="007C4D65">
        <w:rPr>
          <w:rFonts w:asciiTheme="minorHAnsi" w:hAnsiTheme="minorHAnsi" w:cstheme="minorHAnsi"/>
          <w:sz w:val="22"/>
        </w:rPr>
        <w:t xml:space="preserve"> of Energy, Mining, and Industry</w:t>
      </w:r>
      <w:r w:rsidR="00BC4186" w:rsidRPr="007C4D65">
        <w:rPr>
          <w:rFonts w:asciiTheme="minorHAnsi" w:hAnsiTheme="minorHAnsi" w:cstheme="minorHAnsi"/>
          <w:sz w:val="22"/>
        </w:rPr>
        <w:t>,</w:t>
      </w:r>
      <w:r w:rsidR="00CE1A95" w:rsidRPr="007C4D65">
        <w:rPr>
          <w:rFonts w:asciiTheme="minorHAnsi" w:hAnsiTheme="minorHAnsi" w:cstheme="minorHAnsi"/>
          <w:sz w:val="22"/>
        </w:rPr>
        <w:t xml:space="preserve"> 2014)</w:t>
      </w:r>
      <w:r w:rsidR="00AC1BC7" w:rsidRPr="007C4D65">
        <w:rPr>
          <w:rFonts w:asciiTheme="minorHAnsi" w:hAnsiTheme="minorHAnsi" w:cstheme="minorHAnsi"/>
          <w:sz w:val="22"/>
        </w:rPr>
        <w:fldChar w:fldCharType="end"/>
      </w:r>
      <w:r w:rsidRPr="007C4D65">
        <w:rPr>
          <w:rFonts w:asciiTheme="minorHAnsi" w:hAnsiTheme="minorHAnsi" w:cstheme="minorHAnsi"/>
          <w:sz w:val="22"/>
        </w:rPr>
        <w:t>. No evidence is available on progress on this objective.</w:t>
      </w:r>
    </w:p>
    <w:p w14:paraId="5B2ED08A" w14:textId="0CA1A0BA"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Supply with liquid fuels and natural gas relies </w:t>
      </w:r>
      <w:r w:rsidR="005A5882" w:rsidRPr="007C4D65">
        <w:rPr>
          <w:rFonts w:asciiTheme="minorHAnsi" w:hAnsiTheme="minorHAnsi" w:cstheme="minorHAnsi"/>
          <w:sz w:val="22"/>
        </w:rPr>
        <w:t>solely</w:t>
      </w:r>
      <w:r w:rsidRPr="007C4D65">
        <w:rPr>
          <w:rFonts w:asciiTheme="minorHAnsi" w:hAnsiTheme="minorHAnsi" w:cstheme="minorHAnsi"/>
          <w:sz w:val="22"/>
        </w:rPr>
        <w:t xml:space="preserve"> on the import. In 2019, the Federation of BiH imported 1,282,414 t of petroleum products in.  </w:t>
      </w:r>
      <w:r w:rsidRPr="007C4D65">
        <w:rPr>
          <w:rFonts w:asciiTheme="minorHAnsi" w:hAnsiTheme="minorHAnsi" w:cstheme="minorHAnsi"/>
        </w:rPr>
        <w:t>In 2019, the transport sector accounted for 88.1% of the total final consumption of 1,102,512 tons.</w:t>
      </w:r>
      <w:r w:rsidRPr="007C4D65">
        <w:rPr>
          <w:rFonts w:asciiTheme="minorHAnsi" w:hAnsiTheme="minorHAnsi" w:cstheme="minorHAnsi"/>
          <w:sz w:val="22"/>
        </w:rPr>
        <w:t xml:space="preserve"> </w:t>
      </w:r>
      <w:r w:rsidR="00AC1BC7" w:rsidRPr="007C4D65">
        <w:rPr>
          <w:rFonts w:asciiTheme="minorHAnsi" w:hAnsiTheme="minorHAnsi" w:cstheme="minorHAnsi"/>
          <w:sz w:val="22"/>
        </w:rPr>
        <w:fldChar w:fldCharType="begin"/>
      </w:r>
      <w:r w:rsidR="00AC1BC7" w:rsidRPr="007C4D65">
        <w:rPr>
          <w:rFonts w:asciiTheme="minorHAnsi" w:hAnsiTheme="minorHAnsi" w:cstheme="minorHAnsi"/>
          <w:sz w:val="22"/>
        </w:rPr>
        <w:instrText xml:space="preserve"> ADDIN ZOTERO_ITEM CSL_CITATION {"citationID":"A7i88E3r","properties":{"formattedCitation":"(Federalni zavod za statistiku 2020c)","plainCitation":"(Federalni zavod za statistiku 2020c)","noteIndex":0},"citationItems":[{"id":1502,"uris":["http://zotero.org/users/7192877/items/8IJEUS6W"],"itemData":{"id":1502,"type":"document","publisher":"Federalni zavod za statistiku","title":"Bilans prirodnog plina, 2019.","author":[{"literal":"Federalni zavod za statistiku"}],"issued":{"date-parts":[["2020"]]}}}],"schema":"https://github.com/citation-style-language/schema/raw/master/csl-citation.json"} </w:instrText>
      </w:r>
      <w:r w:rsidR="00AC1BC7" w:rsidRPr="007C4D65">
        <w:rPr>
          <w:rFonts w:asciiTheme="minorHAnsi" w:hAnsiTheme="minorHAnsi" w:cstheme="minorHAnsi"/>
          <w:sz w:val="22"/>
        </w:rPr>
        <w:fldChar w:fldCharType="separate"/>
      </w:r>
      <w:r w:rsidR="00AC1BC7" w:rsidRPr="007C4D65">
        <w:rPr>
          <w:rFonts w:asciiTheme="minorHAnsi" w:hAnsiTheme="minorHAnsi" w:cstheme="minorHAnsi"/>
          <w:sz w:val="22"/>
        </w:rPr>
        <w:t>(</w:t>
      </w:r>
      <w:r w:rsidR="00E87DA4" w:rsidRPr="007C4D65">
        <w:rPr>
          <w:rFonts w:asciiTheme="minorHAnsi" w:hAnsiTheme="minorHAnsi" w:cstheme="minorHAnsi"/>
          <w:sz w:val="22"/>
        </w:rPr>
        <w:t>Institute for Statistics of the Federation of BiH</w:t>
      </w:r>
      <w:r w:rsidR="00BC4186" w:rsidRPr="007C4D65">
        <w:rPr>
          <w:rFonts w:asciiTheme="minorHAnsi" w:hAnsiTheme="minorHAnsi" w:cstheme="minorHAnsi"/>
          <w:sz w:val="22"/>
        </w:rPr>
        <w:t>,</w:t>
      </w:r>
      <w:r w:rsidR="00AC1BC7" w:rsidRPr="007C4D65">
        <w:rPr>
          <w:rFonts w:asciiTheme="minorHAnsi" w:hAnsiTheme="minorHAnsi" w:cstheme="minorHAnsi"/>
          <w:sz w:val="22"/>
        </w:rPr>
        <w:t xml:space="preserve"> 2020c)</w:t>
      </w:r>
      <w:r w:rsidR="00AC1BC7" w:rsidRPr="007C4D65">
        <w:rPr>
          <w:rFonts w:asciiTheme="minorHAnsi" w:hAnsiTheme="minorHAnsi" w:cstheme="minorHAnsi"/>
          <w:sz w:val="22"/>
        </w:rPr>
        <w:fldChar w:fldCharType="end"/>
      </w:r>
      <w:r w:rsidRPr="007C4D65">
        <w:rPr>
          <w:rFonts w:asciiTheme="minorHAnsi" w:hAnsiTheme="minorHAnsi" w:cstheme="minorHAnsi"/>
          <w:sz w:val="22"/>
        </w:rPr>
        <w:t xml:space="preserve">. In 2019, the Federation of BiH imported 178,316,000 t of natural gas. </w:t>
      </w:r>
      <w:r w:rsidR="005A5882" w:rsidRPr="007C4D65">
        <w:rPr>
          <w:rFonts w:asciiTheme="minorHAnsi" w:hAnsiTheme="minorHAnsi" w:cstheme="minorHAnsi"/>
          <w:sz w:val="22"/>
        </w:rPr>
        <w:t>Households</w:t>
      </w:r>
      <w:r w:rsidRPr="007C4D65">
        <w:rPr>
          <w:rFonts w:asciiTheme="minorHAnsi" w:hAnsiTheme="minorHAnsi" w:cstheme="minorHAnsi"/>
          <w:sz w:val="22"/>
        </w:rPr>
        <w:t xml:space="preserve"> account for 38.6%, followed by the industry with 37.3%, of the total final consumption of natural gas </w:t>
      </w:r>
      <w:r w:rsidR="005A5882" w:rsidRPr="007C4D65">
        <w:rPr>
          <w:rFonts w:asciiTheme="minorHAnsi" w:hAnsiTheme="minorHAnsi" w:cstheme="minorHAnsi"/>
          <w:sz w:val="22"/>
        </w:rPr>
        <w:t>totalling</w:t>
      </w:r>
      <w:r w:rsidRPr="007C4D65">
        <w:rPr>
          <w:rFonts w:asciiTheme="minorHAnsi" w:hAnsiTheme="minorHAnsi" w:cstheme="minorHAnsi"/>
          <w:sz w:val="22"/>
        </w:rPr>
        <w:t xml:space="preserve"> to 117,140,000 t. </w:t>
      </w:r>
      <w:r w:rsidR="00AC1BC7" w:rsidRPr="007C4D65">
        <w:rPr>
          <w:rFonts w:asciiTheme="minorHAnsi" w:hAnsiTheme="minorHAnsi" w:cstheme="minorHAnsi"/>
          <w:sz w:val="22"/>
        </w:rPr>
        <w:fldChar w:fldCharType="begin"/>
      </w:r>
      <w:r w:rsidR="00282995" w:rsidRPr="007C4D65">
        <w:rPr>
          <w:rFonts w:asciiTheme="minorHAnsi" w:hAnsiTheme="minorHAnsi" w:cstheme="minorHAnsi"/>
          <w:sz w:val="22"/>
        </w:rPr>
        <w:instrText xml:space="preserve"> ADDIN ZOTERO_ITEM CSL_CITATION {"citationID":"xbaqcUGK","properties":{"formattedCitation":"(Federalni zavod za statistiku 2020b)","plainCitation":"(Federalni zavod za statistiku 2020b)","noteIndex":0},"citationItems":[{"id":1501,"uris":["http://zotero.org/users/7192877/items/4CUDE7KY"],"itemData":{"id":1501,"type":"document","publisher":"Federalni zavod za statistiku","title":"Bilans naftnih derivata","author":[{"literal":"Federalni zavod za statistiku"}],"issued":{"date-parts":[["2020"]]}}}],"schema":"https://github.com/citation-style-language/schema/raw/master/csl-citation.json"} </w:instrText>
      </w:r>
      <w:r w:rsidR="00AC1BC7" w:rsidRPr="007C4D65">
        <w:rPr>
          <w:rFonts w:asciiTheme="minorHAnsi" w:hAnsiTheme="minorHAnsi" w:cstheme="minorHAnsi"/>
          <w:sz w:val="22"/>
        </w:rPr>
        <w:fldChar w:fldCharType="separate"/>
      </w:r>
      <w:r w:rsidR="00FD0A80" w:rsidRPr="007C4D65">
        <w:rPr>
          <w:rFonts w:asciiTheme="minorHAnsi" w:hAnsiTheme="minorHAnsi" w:cstheme="minorHAnsi"/>
          <w:sz w:val="22"/>
        </w:rPr>
        <w:t>(</w:t>
      </w:r>
      <w:r w:rsidR="00E87DA4" w:rsidRPr="007C4D65">
        <w:rPr>
          <w:rFonts w:asciiTheme="minorHAnsi" w:hAnsiTheme="minorHAnsi" w:cstheme="minorHAnsi"/>
          <w:sz w:val="22"/>
        </w:rPr>
        <w:t>Institute for Statistics of the Federation of BiH</w:t>
      </w:r>
      <w:r w:rsidR="00BC4186" w:rsidRPr="007C4D65">
        <w:rPr>
          <w:rFonts w:asciiTheme="minorHAnsi" w:hAnsiTheme="minorHAnsi" w:cstheme="minorHAnsi"/>
          <w:sz w:val="22"/>
        </w:rPr>
        <w:t>,</w:t>
      </w:r>
      <w:r w:rsidR="00FD0A80" w:rsidRPr="007C4D65">
        <w:rPr>
          <w:rFonts w:asciiTheme="minorHAnsi" w:hAnsiTheme="minorHAnsi" w:cstheme="minorHAnsi"/>
          <w:sz w:val="22"/>
        </w:rPr>
        <w:t xml:space="preserve"> 2020b)</w:t>
      </w:r>
      <w:r w:rsidR="00AC1BC7" w:rsidRPr="007C4D65">
        <w:rPr>
          <w:rFonts w:asciiTheme="minorHAnsi" w:hAnsiTheme="minorHAnsi" w:cstheme="minorHAnsi"/>
          <w:sz w:val="22"/>
        </w:rPr>
        <w:fldChar w:fldCharType="end"/>
      </w:r>
      <w:r w:rsidRPr="007C4D65">
        <w:rPr>
          <w:rFonts w:asciiTheme="minorHAnsi" w:hAnsiTheme="minorHAnsi" w:cstheme="minorHAnsi"/>
          <w:sz w:val="22"/>
        </w:rPr>
        <w:t>.</w:t>
      </w:r>
    </w:p>
    <w:p w14:paraId="2E031D38" w14:textId="58390D97"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Retrofitting of public institutions buildings is major progress made in </w:t>
      </w:r>
      <w:r w:rsidR="005A5882" w:rsidRPr="007C4D65">
        <w:rPr>
          <w:rFonts w:asciiTheme="minorHAnsi" w:hAnsiTheme="minorHAnsi" w:cstheme="minorHAnsi"/>
          <w:sz w:val="22"/>
        </w:rPr>
        <w:t>improvement</w:t>
      </w:r>
      <w:r w:rsidRPr="007C4D65">
        <w:rPr>
          <w:rFonts w:asciiTheme="minorHAnsi" w:hAnsiTheme="minorHAnsi" w:cstheme="minorHAnsi"/>
          <w:sz w:val="22"/>
        </w:rPr>
        <w:t xml:space="preserve"> of energy efficiency. Establishment of the Energy Efficiency Information System of the Federation of BiH is one of the most significant measures. This System was established and managed by the EPF of the Federation of BiH. The main purpose of this Information System </w:t>
      </w:r>
      <w:r w:rsidR="005A5882" w:rsidRPr="007C4D65">
        <w:rPr>
          <w:rFonts w:asciiTheme="minorHAnsi" w:hAnsiTheme="minorHAnsi" w:cstheme="minorHAnsi"/>
          <w:sz w:val="22"/>
        </w:rPr>
        <w:t xml:space="preserve">is to </w:t>
      </w:r>
      <w:r w:rsidRPr="007C4D65">
        <w:rPr>
          <w:rFonts w:asciiTheme="minorHAnsi" w:hAnsiTheme="minorHAnsi" w:cstheme="minorHAnsi"/>
          <w:sz w:val="22"/>
        </w:rPr>
        <w:t xml:space="preserve">collect and process data </w:t>
      </w:r>
      <w:proofErr w:type="gramStart"/>
      <w:r w:rsidR="00647018" w:rsidRPr="007C4D65">
        <w:rPr>
          <w:rFonts w:asciiTheme="minorHAnsi" w:hAnsiTheme="minorHAnsi" w:cstheme="minorHAnsi"/>
          <w:sz w:val="22"/>
        </w:rPr>
        <w:t>in order to</w:t>
      </w:r>
      <w:proofErr w:type="gramEnd"/>
      <w:r w:rsidR="00647018" w:rsidRPr="007C4D65">
        <w:rPr>
          <w:rFonts w:asciiTheme="minorHAnsi" w:hAnsiTheme="minorHAnsi" w:cstheme="minorHAnsi"/>
          <w:sz w:val="22"/>
        </w:rPr>
        <w:t xml:space="preserve"> create</w:t>
      </w:r>
      <w:r w:rsidRPr="007C4D65">
        <w:rPr>
          <w:rFonts w:asciiTheme="minorHAnsi" w:hAnsiTheme="minorHAnsi" w:cstheme="minorHAnsi"/>
          <w:sz w:val="22"/>
        </w:rPr>
        <w:t xml:space="preserve"> a central database with detailed information on energy consumption at the level of both individual facilities and sectors (for example, on energy consumption in educational facilities, or at the level of a canton/municipality, etc), on the state of repair of buildings, accompanying technical systems, and on savings potentials. The information system will enable </w:t>
      </w:r>
      <w:r w:rsidR="00647018" w:rsidRPr="007C4D65">
        <w:rPr>
          <w:rFonts w:asciiTheme="minorHAnsi" w:hAnsiTheme="minorHAnsi" w:cstheme="minorHAnsi"/>
          <w:sz w:val="22"/>
        </w:rPr>
        <w:t>a compilation</w:t>
      </w:r>
      <w:r w:rsidRPr="007C4D65">
        <w:rPr>
          <w:rFonts w:asciiTheme="minorHAnsi" w:hAnsiTheme="minorHAnsi" w:cstheme="minorHAnsi"/>
          <w:sz w:val="22"/>
        </w:rPr>
        <w:t xml:space="preserve"> of all laws and strategic documents covering this area, data on energy and water consumption in all public buildings, data on savings after the implementation of measures aimed at enhancing energy efficiency, register of issued energy certificates for buildings, register of controls of technical systems (heating or </w:t>
      </w:r>
      <w:r w:rsidR="00647018" w:rsidRPr="007C4D65">
        <w:rPr>
          <w:rFonts w:asciiTheme="minorHAnsi" w:hAnsiTheme="minorHAnsi" w:cstheme="minorHAnsi"/>
          <w:sz w:val="22"/>
        </w:rPr>
        <w:t>air-conditioning</w:t>
      </w:r>
      <w:r w:rsidRPr="007C4D65">
        <w:rPr>
          <w:rFonts w:asciiTheme="minorHAnsi" w:hAnsiTheme="minorHAnsi" w:cstheme="minorHAnsi"/>
          <w:sz w:val="22"/>
        </w:rPr>
        <w:t>), and at the same it will be used for the verification of savings made, and reporting in accordance with the applicable requirements.</w:t>
      </w:r>
    </w:p>
    <w:p w14:paraId="4884B413" w14:textId="77777777" w:rsidR="00B61C36" w:rsidRPr="007C4D65" w:rsidRDefault="00B61C36"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Predefined thematic subareas and the description of the baseline situation </w:t>
      </w:r>
      <w:proofErr w:type="gramStart"/>
      <w:r w:rsidRPr="007C4D65">
        <w:rPr>
          <w:rFonts w:asciiTheme="minorHAnsi" w:hAnsiTheme="minorHAnsi" w:cstheme="minorHAnsi"/>
          <w:sz w:val="22"/>
        </w:rPr>
        <w:t>in the area of</w:t>
      </w:r>
      <w:proofErr w:type="gramEnd"/>
      <w:r w:rsidRPr="007C4D65">
        <w:rPr>
          <w:rFonts w:asciiTheme="minorHAnsi" w:hAnsiTheme="minorHAnsi" w:cstheme="minorHAnsi"/>
          <w:sz w:val="22"/>
        </w:rPr>
        <w:t xml:space="preserve"> air quality, climate change, and energy, were used to identify </w:t>
      </w:r>
      <w:r w:rsidRPr="007C4D65">
        <w:rPr>
          <w:rFonts w:asciiTheme="minorHAnsi" w:hAnsiTheme="minorHAnsi" w:cstheme="minorHAnsi"/>
          <w:b/>
          <w:sz w:val="22"/>
        </w:rPr>
        <w:t>the key challenges</w:t>
      </w:r>
      <w:r w:rsidRPr="007C4D65">
        <w:rPr>
          <w:rFonts w:asciiTheme="minorHAnsi" w:hAnsiTheme="minorHAnsi" w:cstheme="minorHAnsi"/>
          <w:sz w:val="22"/>
        </w:rPr>
        <w:t>.</w:t>
      </w:r>
    </w:p>
    <w:p w14:paraId="25FD28BA" w14:textId="52571C27"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major challenge in activities aimed at improving the air quality in the Federation of BiH is to reduce emissions, particularly from household stoves. The household stoves were identified as an important, </w:t>
      </w:r>
      <w:r w:rsidRPr="007C4D65">
        <w:rPr>
          <w:rFonts w:asciiTheme="minorHAnsi" w:hAnsiTheme="minorHAnsi" w:cstheme="minorHAnsi"/>
          <w:sz w:val="22"/>
        </w:rPr>
        <w:lastRenderedPageBreak/>
        <w:t xml:space="preserve">and in some communities the key contributor to the poor air quality. Huge need for the heat of buildings (low energy efficiency) and low income of some households are the </w:t>
      </w:r>
      <w:r w:rsidR="00647018" w:rsidRPr="007C4D65">
        <w:rPr>
          <w:rFonts w:asciiTheme="minorHAnsi" w:hAnsiTheme="minorHAnsi" w:cstheme="minorHAnsi"/>
          <w:sz w:val="22"/>
        </w:rPr>
        <w:t>underlying</w:t>
      </w:r>
      <w:r w:rsidRPr="007C4D65">
        <w:rPr>
          <w:rFonts w:asciiTheme="minorHAnsi" w:hAnsiTheme="minorHAnsi" w:cstheme="minorHAnsi"/>
          <w:sz w:val="22"/>
        </w:rPr>
        <w:t xml:space="preserve"> causes of excessive contribution to the pollution from household stoves. Because of the low income they tend to buy cheapest fuels such as coal and firewood. In addition, the solid fuels market is not regulated in terms of their quality. Only the Sarajevo Canton imposed restrictions on the use of coal, based on the mass content of </w:t>
      </w:r>
      <w:r w:rsidR="00647018" w:rsidRPr="007C4D65">
        <w:rPr>
          <w:rFonts w:asciiTheme="minorHAnsi" w:hAnsiTheme="minorHAnsi" w:cstheme="minorHAnsi"/>
          <w:sz w:val="22"/>
        </w:rPr>
        <w:t>sulphur</w:t>
      </w:r>
      <w:r w:rsidRPr="007C4D65">
        <w:rPr>
          <w:rFonts w:asciiTheme="minorHAnsi" w:hAnsiTheme="minorHAnsi" w:cstheme="minorHAnsi"/>
          <w:sz w:val="22"/>
        </w:rPr>
        <w:t xml:space="preserve">. The market of stoves and boilers is also unregulated, and it also offers non-certified stoves and boilers. As a result of all the above described circumstances, </w:t>
      </w:r>
      <w:proofErr w:type="gramStart"/>
      <w:r w:rsidRPr="007C4D65">
        <w:rPr>
          <w:rFonts w:asciiTheme="minorHAnsi" w:hAnsiTheme="minorHAnsi" w:cstheme="minorHAnsi"/>
          <w:sz w:val="22"/>
        </w:rPr>
        <w:t>PM  and</w:t>
      </w:r>
      <w:proofErr w:type="gramEnd"/>
      <w:r w:rsidRPr="007C4D65">
        <w:rPr>
          <w:rFonts w:asciiTheme="minorHAnsi" w:hAnsiTheme="minorHAnsi" w:cstheme="minorHAnsi"/>
          <w:sz w:val="22"/>
        </w:rPr>
        <w:t xml:space="preserve"> sulphur dioxide emissions are excessive. Only </w:t>
      </w:r>
      <w:r w:rsidR="00647018" w:rsidRPr="007C4D65">
        <w:rPr>
          <w:rFonts w:asciiTheme="minorHAnsi" w:hAnsiTheme="minorHAnsi" w:cstheme="minorHAnsi"/>
          <w:sz w:val="22"/>
        </w:rPr>
        <w:t>households</w:t>
      </w:r>
      <w:r w:rsidRPr="007C4D65">
        <w:rPr>
          <w:rFonts w:asciiTheme="minorHAnsi" w:hAnsiTheme="minorHAnsi" w:cstheme="minorHAnsi"/>
          <w:sz w:val="22"/>
        </w:rPr>
        <w:t xml:space="preserve"> in the Sarajevo Canton and urban area of </w:t>
      </w:r>
      <w:proofErr w:type="spellStart"/>
      <w:r w:rsidRPr="007C4D65">
        <w:rPr>
          <w:rFonts w:asciiTheme="minorHAnsi" w:hAnsiTheme="minorHAnsi" w:cstheme="minorHAnsi"/>
          <w:sz w:val="22"/>
        </w:rPr>
        <w:t>Visoko</w:t>
      </w:r>
      <w:proofErr w:type="spellEnd"/>
      <w:r w:rsidRPr="007C4D65">
        <w:rPr>
          <w:rFonts w:asciiTheme="minorHAnsi" w:hAnsiTheme="minorHAnsi" w:cstheme="minorHAnsi"/>
          <w:sz w:val="22"/>
        </w:rPr>
        <w:t xml:space="preserve"> have access to natural gas. However, due to energy poverty, many households who are connected to the natural gas supply system still use solid fuels. </w:t>
      </w:r>
      <w:proofErr w:type="gramStart"/>
      <w:r w:rsidRPr="007C4D65">
        <w:rPr>
          <w:rFonts w:asciiTheme="minorHAnsi" w:hAnsiTheme="minorHAnsi" w:cstheme="minorHAnsi"/>
          <w:sz w:val="22"/>
        </w:rPr>
        <w:t>In order to</w:t>
      </w:r>
      <w:proofErr w:type="gramEnd"/>
      <w:r w:rsidRPr="007C4D65">
        <w:rPr>
          <w:rFonts w:asciiTheme="minorHAnsi" w:hAnsiTheme="minorHAnsi" w:cstheme="minorHAnsi"/>
          <w:sz w:val="22"/>
        </w:rPr>
        <w:t xml:space="preserve"> reduce emissions from household stoves, it is necessary to promote energy efficiency in the construction industry, as well as to regulate the quality of solid fuels, stoves and boilers. The regulation of quality of solid fuels is difficult given that it could result in increased costs of heating (without energy efficiency measures). This particularly affects socially vulnerable households. </w:t>
      </w:r>
      <w:r w:rsidR="00647018" w:rsidRPr="007C4D65">
        <w:rPr>
          <w:rFonts w:asciiTheme="minorHAnsi" w:hAnsiTheme="minorHAnsi" w:cstheme="minorHAnsi"/>
          <w:sz w:val="22"/>
        </w:rPr>
        <w:t>Controlling</w:t>
      </w:r>
      <w:r w:rsidRPr="007C4D65">
        <w:rPr>
          <w:rFonts w:asciiTheme="minorHAnsi" w:hAnsiTheme="minorHAnsi" w:cstheme="minorHAnsi"/>
          <w:sz w:val="22"/>
        </w:rPr>
        <w:t xml:space="preserve"> the implementation of </w:t>
      </w:r>
      <w:proofErr w:type="gramStart"/>
      <w:r w:rsidRPr="007C4D65">
        <w:rPr>
          <w:rFonts w:asciiTheme="minorHAnsi" w:hAnsiTheme="minorHAnsi" w:cstheme="minorHAnsi"/>
          <w:sz w:val="22"/>
        </w:rPr>
        <w:t>the such</w:t>
      </w:r>
      <w:proofErr w:type="gramEnd"/>
      <w:r w:rsidRPr="007C4D65">
        <w:rPr>
          <w:rFonts w:asciiTheme="minorHAnsi" w:hAnsiTheme="minorHAnsi" w:cstheme="minorHAnsi"/>
          <w:sz w:val="22"/>
        </w:rPr>
        <w:t xml:space="preserve"> measures is also a big challenge. Increasing the share of district heating in the total heated area is a part of the solution for the issue of air pollution from households. However, in addition to the problem of securing funds for this purpose, this also raises the </w:t>
      </w:r>
      <w:r w:rsidR="00647018" w:rsidRPr="007C4D65">
        <w:rPr>
          <w:rFonts w:asciiTheme="minorHAnsi" w:hAnsiTheme="minorHAnsi" w:cstheme="minorHAnsi"/>
          <w:sz w:val="22"/>
        </w:rPr>
        <w:t>question</w:t>
      </w:r>
      <w:r w:rsidRPr="007C4D65">
        <w:rPr>
          <w:rFonts w:asciiTheme="minorHAnsi" w:hAnsiTheme="minorHAnsi" w:cstheme="minorHAnsi"/>
          <w:sz w:val="22"/>
        </w:rPr>
        <w:t xml:space="preserve"> of </w:t>
      </w:r>
      <w:r w:rsidR="00647018" w:rsidRPr="007C4D65">
        <w:rPr>
          <w:rFonts w:asciiTheme="minorHAnsi" w:hAnsiTheme="minorHAnsi" w:cstheme="minorHAnsi"/>
          <w:sz w:val="22"/>
        </w:rPr>
        <w:t>competitiveness</w:t>
      </w:r>
      <w:r w:rsidRPr="007C4D65">
        <w:rPr>
          <w:rFonts w:asciiTheme="minorHAnsi" w:hAnsiTheme="minorHAnsi" w:cstheme="minorHAnsi"/>
          <w:sz w:val="22"/>
        </w:rPr>
        <w:t xml:space="preserve"> of the district heating service with solid fuel heating, as solid fuel may be also obtained at the black market.</w:t>
      </w:r>
    </w:p>
    <w:p w14:paraId="7C1029A7" w14:textId="77777777"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From the point of view of reducing emissions, the main challenge in the transport sector is to reduce the average age of vehicles and reduce the use of passenger cars while improving the public transport.  Socially vulnerable citizens would be mostly affected by bans or deterrent measures imposed on aging vehicles, as they cannot afford a newer vehicle. Hence, a reform of the taxation system and incentives for procurement of low polluting vehicles </w:t>
      </w:r>
      <w:proofErr w:type="gramStart"/>
      <w:r w:rsidRPr="007C4D65">
        <w:rPr>
          <w:rFonts w:asciiTheme="minorHAnsi" w:hAnsiTheme="minorHAnsi" w:cstheme="minorHAnsi"/>
          <w:sz w:val="22"/>
        </w:rPr>
        <w:t>have to</w:t>
      </w:r>
      <w:proofErr w:type="gramEnd"/>
      <w:r w:rsidRPr="007C4D65">
        <w:rPr>
          <w:rFonts w:asciiTheme="minorHAnsi" w:hAnsiTheme="minorHAnsi" w:cstheme="minorHAnsi"/>
          <w:sz w:val="22"/>
        </w:rPr>
        <w:t xml:space="preserve"> be implemented in a socially sensitive manner.</w:t>
      </w:r>
    </w:p>
    <w:p w14:paraId="131AF3D1" w14:textId="23D0A525"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Industrial facilities largely affect the air quality, especially in Tuzla and </w:t>
      </w:r>
      <w:proofErr w:type="spellStart"/>
      <w:r w:rsidRPr="007C4D65">
        <w:rPr>
          <w:rFonts w:asciiTheme="minorHAnsi" w:hAnsiTheme="minorHAnsi" w:cstheme="minorHAnsi"/>
          <w:sz w:val="22"/>
        </w:rPr>
        <w:t>Zenica</w:t>
      </w:r>
      <w:proofErr w:type="spellEnd"/>
      <w:r w:rsidRPr="007C4D65">
        <w:rPr>
          <w:rFonts w:asciiTheme="minorHAnsi" w:hAnsiTheme="minorHAnsi" w:cstheme="minorHAnsi"/>
          <w:sz w:val="22"/>
        </w:rPr>
        <w:t xml:space="preserve">-Doboj Cantons.  They need to be upgraded implementing the best available techniques, without undermining their operation and level of employment. The lack of inspection capacities is obvious, as well as lack of mechanisms for implementation of the measures. A </w:t>
      </w:r>
      <w:r w:rsidR="000A0DEF" w:rsidRPr="007C4D65">
        <w:rPr>
          <w:rFonts w:asciiTheme="minorHAnsi" w:hAnsiTheme="minorHAnsi" w:cstheme="minorHAnsi"/>
          <w:sz w:val="22"/>
        </w:rPr>
        <w:t>sanctions policy</w:t>
      </w:r>
      <w:r w:rsidRPr="007C4D65">
        <w:rPr>
          <w:rFonts w:asciiTheme="minorHAnsi" w:hAnsiTheme="minorHAnsi" w:cstheme="minorHAnsi"/>
          <w:sz w:val="22"/>
        </w:rPr>
        <w:t xml:space="preserve"> proved insufficient to reduce emissions into the air.</w:t>
      </w:r>
      <w:r w:rsidR="00647018" w:rsidRPr="007C4D65">
        <w:rPr>
          <w:rFonts w:asciiTheme="minorHAnsi" w:hAnsiTheme="minorHAnsi" w:cstheme="minorHAnsi"/>
          <w:sz w:val="22"/>
        </w:rPr>
        <w:t xml:space="preserve"> </w:t>
      </w:r>
      <w:r w:rsidRPr="007C4D65">
        <w:rPr>
          <w:rFonts w:asciiTheme="minorHAnsi" w:hAnsiTheme="minorHAnsi" w:cstheme="minorHAnsi"/>
          <w:sz w:val="22"/>
        </w:rPr>
        <w:t xml:space="preserve">The new Law on Environmental </w:t>
      </w:r>
      <w:r w:rsidR="00647018" w:rsidRPr="007C4D65">
        <w:rPr>
          <w:rFonts w:asciiTheme="minorHAnsi" w:hAnsiTheme="minorHAnsi" w:cstheme="minorHAnsi"/>
          <w:sz w:val="22"/>
        </w:rPr>
        <w:t>Protection</w:t>
      </w:r>
      <w:r w:rsidRPr="007C4D65">
        <w:rPr>
          <w:rFonts w:asciiTheme="minorHAnsi" w:hAnsiTheme="minorHAnsi" w:cstheme="minorHAnsi"/>
          <w:sz w:val="22"/>
        </w:rPr>
        <w:t xml:space="preserve"> of the Federation of BiH created conditions for an improved enforcement of the </w:t>
      </w:r>
      <w:r w:rsidR="000A0DEF" w:rsidRPr="007C4D65">
        <w:rPr>
          <w:rFonts w:asciiTheme="minorHAnsi" w:hAnsiTheme="minorHAnsi" w:cstheme="minorHAnsi"/>
          <w:sz w:val="22"/>
        </w:rPr>
        <w:t>sanctions policy</w:t>
      </w:r>
      <w:r w:rsidRPr="007C4D65">
        <w:rPr>
          <w:rFonts w:asciiTheme="minorHAnsi" w:hAnsiTheme="minorHAnsi" w:cstheme="minorHAnsi"/>
          <w:sz w:val="22"/>
        </w:rPr>
        <w:t>, and to incentivise polluters to reduce emissions.</w:t>
      </w:r>
    </w:p>
    <w:p w14:paraId="0C084E0E" w14:textId="6A5C33E5"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While the number of measuring sites increased significantly, the air quality management system is still not sufficiently developed. Some of the main issues include quality assurance of measurements, tools and resources and maintenance of the measuring equipment. The system of providing information to the public on air quality in real and integrated time is underdeveloped. A Draft Law on air protection envisages improvements in both these areas. The system of data collection on emissions is insufficiently developed. In this context, it is necessary to strengthen capacities of the Hydrometeorological Institute of the Federation of BiH and of entities who are required to provide information on emissions. Given the division of </w:t>
      </w:r>
      <w:r w:rsidR="002D2640" w:rsidRPr="007C4D65">
        <w:rPr>
          <w:rFonts w:asciiTheme="minorHAnsi" w:hAnsiTheme="minorHAnsi" w:cstheme="minorHAnsi"/>
          <w:sz w:val="22"/>
        </w:rPr>
        <w:t>responsibilities</w:t>
      </w:r>
      <w:r w:rsidRPr="007C4D65">
        <w:rPr>
          <w:rFonts w:asciiTheme="minorHAnsi" w:hAnsiTheme="minorHAnsi" w:cstheme="minorHAnsi"/>
          <w:sz w:val="22"/>
        </w:rPr>
        <w:t xml:space="preserve"> and available capacities, the establishment of a system for reporting to international institutions on emissions and air quality is a great challenge.</w:t>
      </w:r>
    </w:p>
    <w:p w14:paraId="35A71A3F" w14:textId="6E3FBA7F"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Multidisciplinary and integrated approach to air quality issues is a great challenge in terms of spatial planning, </w:t>
      </w:r>
      <w:proofErr w:type="gramStart"/>
      <w:r w:rsidRPr="007C4D65">
        <w:rPr>
          <w:rFonts w:asciiTheme="minorHAnsi" w:hAnsiTheme="minorHAnsi" w:cstheme="minorHAnsi"/>
          <w:sz w:val="22"/>
        </w:rPr>
        <w:t>in particular at</w:t>
      </w:r>
      <w:proofErr w:type="gramEnd"/>
      <w:r w:rsidRPr="007C4D65">
        <w:rPr>
          <w:rFonts w:asciiTheme="minorHAnsi" w:hAnsiTheme="minorHAnsi" w:cstheme="minorHAnsi"/>
          <w:sz w:val="22"/>
        </w:rPr>
        <w:t xml:space="preserve"> the local level. The last few years saw a certain progress in this area. Limited </w:t>
      </w:r>
      <w:r w:rsidR="00647018" w:rsidRPr="007C4D65">
        <w:rPr>
          <w:rFonts w:asciiTheme="minorHAnsi" w:hAnsiTheme="minorHAnsi" w:cstheme="minorHAnsi"/>
          <w:sz w:val="22"/>
        </w:rPr>
        <w:lastRenderedPageBreak/>
        <w:t>capacities</w:t>
      </w:r>
      <w:r w:rsidRPr="007C4D65">
        <w:rPr>
          <w:rFonts w:asciiTheme="minorHAnsi" w:hAnsiTheme="minorHAnsi" w:cstheme="minorHAnsi"/>
          <w:sz w:val="22"/>
        </w:rPr>
        <w:t xml:space="preserve"> are the main problem in the air quality management. In such circumstances, it is particularly important to have a good coordination across the levels of government, but also between the stakeholders at the same level (for instance cantons)</w:t>
      </w:r>
      <w:r w:rsidR="008F71A1" w:rsidRPr="007C4D65">
        <w:rPr>
          <w:rFonts w:asciiTheme="minorHAnsi" w:hAnsiTheme="minorHAnsi" w:cstheme="minorHAnsi"/>
          <w:sz w:val="22"/>
          <w:szCs w:val="22"/>
        </w:rPr>
        <w:t>.</w:t>
      </w:r>
    </w:p>
    <w:p w14:paraId="66A6AE56" w14:textId="36F17F0B"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implementation of the measures for reduction of emissions from the plants covered by NERP is delayed. This particularly applies to the implementation of the measures aimed at reducing emissions of sulphur dioxide. Securing of funds for the implementation of the measures is a key challenge, having in mind a low competitiveness of the coal-fired thermal power plants. These are facilities that were put into operation, on an average, 40 years ago, and </w:t>
      </w:r>
      <w:proofErr w:type="gramStart"/>
      <w:r w:rsidRPr="007C4D65">
        <w:rPr>
          <w:rFonts w:asciiTheme="minorHAnsi" w:hAnsiTheme="minorHAnsi" w:cstheme="minorHAnsi"/>
          <w:sz w:val="22"/>
        </w:rPr>
        <w:t>their  efficiency</w:t>
      </w:r>
      <w:proofErr w:type="gramEnd"/>
      <w:r w:rsidRPr="007C4D65">
        <w:rPr>
          <w:rFonts w:asciiTheme="minorHAnsi" w:hAnsiTheme="minorHAnsi" w:cstheme="minorHAnsi"/>
          <w:sz w:val="22"/>
        </w:rPr>
        <w:t xml:space="preserve"> is poor. On top of additional costs, the measures for reduction of emissions will additionally decrease energy </w:t>
      </w:r>
      <w:proofErr w:type="gramStart"/>
      <w:r w:rsidRPr="007C4D65">
        <w:rPr>
          <w:rFonts w:asciiTheme="minorHAnsi" w:hAnsiTheme="minorHAnsi" w:cstheme="minorHAnsi"/>
          <w:sz w:val="22"/>
        </w:rPr>
        <w:t>efficiency, and</w:t>
      </w:r>
      <w:proofErr w:type="gramEnd"/>
      <w:r w:rsidRPr="007C4D65">
        <w:rPr>
          <w:rFonts w:asciiTheme="minorHAnsi" w:hAnsiTheme="minorHAnsi" w:cstheme="minorHAnsi"/>
          <w:sz w:val="22"/>
        </w:rPr>
        <w:t xml:space="preserve"> increase the specific emission of carbon dioxide.</w:t>
      </w:r>
    </w:p>
    <w:p w14:paraId="237B1613" w14:textId="1DEA3744"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The large share of fossil fuels in the production of energy (</w:t>
      </w:r>
      <w:proofErr w:type="gramStart"/>
      <w:r w:rsidRPr="007C4D65">
        <w:rPr>
          <w:rFonts w:asciiTheme="minorHAnsi" w:hAnsiTheme="minorHAnsi" w:cstheme="minorHAnsi"/>
          <w:sz w:val="22"/>
        </w:rPr>
        <w:t>in particular of</w:t>
      </w:r>
      <w:proofErr w:type="gramEnd"/>
      <w:r w:rsidRPr="007C4D65">
        <w:rPr>
          <w:rFonts w:asciiTheme="minorHAnsi" w:hAnsiTheme="minorHAnsi" w:cstheme="minorHAnsi"/>
          <w:sz w:val="22"/>
        </w:rPr>
        <w:t xml:space="preserve"> the coal for electricity) represents a great potential for reduction of the GHG emission. Replacing coal with cleaner fuels is crucial for reducing greenhouse gas emissions and it brings both opportunities and challenges. Firstly, air quality </w:t>
      </w:r>
      <w:proofErr w:type="gramStart"/>
      <w:r w:rsidRPr="007C4D65">
        <w:rPr>
          <w:rFonts w:asciiTheme="minorHAnsi" w:hAnsiTheme="minorHAnsi" w:cstheme="minorHAnsi"/>
          <w:sz w:val="22"/>
        </w:rPr>
        <w:t>will  improve</w:t>
      </w:r>
      <w:proofErr w:type="gramEnd"/>
      <w:r w:rsidRPr="007C4D65">
        <w:rPr>
          <w:rFonts w:asciiTheme="minorHAnsi" w:hAnsiTheme="minorHAnsi" w:cstheme="minorHAnsi"/>
          <w:sz w:val="22"/>
        </w:rPr>
        <w:t xml:space="preserve"> significantly, which will diminish expenditures for health services  associated with air pollution. The shift can also generate new jobs, not only in the </w:t>
      </w:r>
      <w:proofErr w:type="gramStart"/>
      <w:r w:rsidRPr="007C4D65">
        <w:rPr>
          <w:rFonts w:asciiTheme="minorHAnsi" w:hAnsiTheme="minorHAnsi" w:cstheme="minorHAnsi"/>
          <w:sz w:val="22"/>
        </w:rPr>
        <w:t>OIE  sector</w:t>
      </w:r>
      <w:proofErr w:type="gramEnd"/>
      <w:r w:rsidRPr="007C4D65">
        <w:rPr>
          <w:rFonts w:asciiTheme="minorHAnsi" w:hAnsiTheme="minorHAnsi" w:cstheme="minorHAnsi"/>
          <w:sz w:val="22"/>
        </w:rPr>
        <w:t>, but also in the process of cleaning up and rehabilitating and transforming old mining and coal power plant sites. However, moving away from coal also has its challenges. About 10,000 workers in the Federation of BiH are directly dependent on coal exploitation and production of energy from coal.</w:t>
      </w:r>
      <w:r w:rsidR="00647018" w:rsidRPr="007C4D65">
        <w:rPr>
          <w:rFonts w:asciiTheme="minorHAnsi" w:hAnsiTheme="minorHAnsi" w:cstheme="minorHAnsi"/>
          <w:sz w:val="22"/>
        </w:rPr>
        <w:t xml:space="preserve"> </w:t>
      </w:r>
      <w:r w:rsidRPr="007C4D65">
        <w:rPr>
          <w:rFonts w:asciiTheme="minorHAnsi" w:hAnsiTheme="minorHAnsi" w:cstheme="minorHAnsi"/>
          <w:sz w:val="22"/>
        </w:rPr>
        <w:t>The main challenge will be to implement effective strategies to avoid rising unemployment and poverty in coal regions.</w:t>
      </w:r>
    </w:p>
    <w:p w14:paraId="440AA1E8" w14:textId="436BD748"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emissions trading scheme is a mechanism for decarbonisation, and it should be implemented in 2026. By that time, it is necessary to establish a comprehensive system for collection of data relevant for GHG emissions, at the level of facilities operated by members of the emissions trading scheme. For the emissions trading scheme to become operational, a system of reporting from the lower levels to the international institutions needs to be established. The implementation of the emissions trading scheme may jeopardise competitiveness of the coal-fired thermal power plants and result in a significant increase in the price of electricity. Funds collected through the emissions trading scheme must be used </w:t>
      </w:r>
      <w:proofErr w:type="gramStart"/>
      <w:r w:rsidRPr="007C4D65">
        <w:rPr>
          <w:rFonts w:asciiTheme="minorHAnsi" w:hAnsiTheme="minorHAnsi" w:cstheme="minorHAnsi"/>
          <w:sz w:val="22"/>
        </w:rPr>
        <w:t>so as to</w:t>
      </w:r>
      <w:proofErr w:type="gramEnd"/>
      <w:r w:rsidRPr="007C4D65">
        <w:rPr>
          <w:rFonts w:asciiTheme="minorHAnsi" w:hAnsiTheme="minorHAnsi" w:cstheme="minorHAnsi"/>
          <w:sz w:val="22"/>
        </w:rPr>
        <w:t xml:space="preserve"> offer incentives for renewable emission sources.</w:t>
      </w:r>
    </w:p>
    <w:p w14:paraId="66F2144D" w14:textId="48FE97D5"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In manly local communities, the development of district heating is perceived as a measure for improvement of air quality.  The main obstacles to development of the district heating projects include aging infrastructure or a lack of infrastructure, and disruption of heat supply from thermal power plants, mostly wood processing plants (such as </w:t>
      </w:r>
      <w:proofErr w:type="spellStart"/>
      <w:r w:rsidRPr="007C4D65">
        <w:rPr>
          <w:rFonts w:asciiTheme="minorHAnsi" w:hAnsiTheme="minorHAnsi" w:cstheme="minorHAnsi"/>
          <w:sz w:val="22"/>
        </w:rPr>
        <w:t>Olovo</w:t>
      </w:r>
      <w:proofErr w:type="spellEnd"/>
      <w:r w:rsidRPr="007C4D65">
        <w:rPr>
          <w:rFonts w:asciiTheme="minorHAnsi" w:hAnsiTheme="minorHAnsi" w:cstheme="minorHAnsi"/>
          <w:sz w:val="22"/>
        </w:rPr>
        <w:t xml:space="preserve"> and </w:t>
      </w:r>
      <w:proofErr w:type="spellStart"/>
      <w:r w:rsidRPr="007C4D65">
        <w:rPr>
          <w:rFonts w:asciiTheme="minorHAnsi" w:hAnsiTheme="minorHAnsi" w:cstheme="minorHAnsi"/>
          <w:sz w:val="22"/>
        </w:rPr>
        <w:t>Kladanj</w:t>
      </w:r>
      <w:proofErr w:type="spellEnd"/>
      <w:r w:rsidRPr="007C4D65">
        <w:rPr>
          <w:rFonts w:asciiTheme="minorHAnsi" w:hAnsiTheme="minorHAnsi" w:cstheme="minorHAnsi"/>
          <w:sz w:val="22"/>
        </w:rPr>
        <w:t>). It is necessary to invest into district heating systems through investments in reconstruction, rehabilitation and modernisation of the existing district heating systems and establishment of new sustainable systems, by using local energy sources and increasing share of RES. However, municipalities and cities are unable to finance such projects due to insufficient and underdeveloped capacities for the preparation and implementation of such projects.</w:t>
      </w:r>
    </w:p>
    <w:p w14:paraId="7001B1B3" w14:textId="6D2B3571"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In the area of energy consumption, the biggest challenge is to reduce energy intensity, i.e., consumption of energy per GDP unit. To this end, it is necessary to shift from incentives for energy consumption to incentives for energy efficiency. Inefficient energy consumption is present in many </w:t>
      </w:r>
      <w:r w:rsidRPr="007C4D65">
        <w:rPr>
          <w:rFonts w:asciiTheme="minorHAnsi" w:hAnsiTheme="minorHAnsi" w:cstheme="minorHAnsi"/>
          <w:sz w:val="22"/>
        </w:rPr>
        <w:lastRenderedPageBreak/>
        <w:t>industrial facilities. The issue of the low energy efficiency in residential buildings has already been highlighted.</w:t>
      </w:r>
    </w:p>
    <w:p w14:paraId="0C0B172B" w14:textId="16E8A28D" w:rsidR="001F3DA0"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A reform of the current RES incentives scheme, which relies on incentivised and feed-in tariffs, is a great challenge. The responsible institutions need much greater capacities for the implementation to </w:t>
      </w:r>
      <w:r w:rsidR="00647018" w:rsidRPr="007C4D65">
        <w:rPr>
          <w:rFonts w:asciiTheme="minorHAnsi" w:hAnsiTheme="minorHAnsi" w:cstheme="minorHAnsi"/>
          <w:sz w:val="22"/>
        </w:rPr>
        <w:t>promote</w:t>
      </w:r>
      <w:r w:rsidRPr="007C4D65">
        <w:rPr>
          <w:rFonts w:asciiTheme="minorHAnsi" w:hAnsiTheme="minorHAnsi" w:cstheme="minorHAnsi"/>
          <w:sz w:val="22"/>
        </w:rPr>
        <w:t xml:space="preserve"> citizens energy projects, with much greater transparency of allocation of incentives. It is necessary to expand incentives </w:t>
      </w:r>
      <w:proofErr w:type="gramStart"/>
      <w:r w:rsidRPr="007C4D65">
        <w:rPr>
          <w:rFonts w:asciiTheme="minorHAnsi" w:hAnsiTheme="minorHAnsi" w:cstheme="minorHAnsi"/>
          <w:sz w:val="22"/>
        </w:rPr>
        <w:t>so as to</w:t>
      </w:r>
      <w:proofErr w:type="gramEnd"/>
      <w:r w:rsidRPr="007C4D65">
        <w:rPr>
          <w:rFonts w:asciiTheme="minorHAnsi" w:hAnsiTheme="minorHAnsi" w:cstheme="minorHAnsi"/>
          <w:sz w:val="22"/>
        </w:rPr>
        <w:t xml:space="preserve"> cover heating from RES.</w:t>
      </w:r>
    </w:p>
    <w:p w14:paraId="208478E8" w14:textId="19F38F1E" w:rsidR="00B62FBD" w:rsidRPr="007C4D65" w:rsidRDefault="001F3DA0" w:rsidP="0068355A">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In the area of adaptation to climate change, the biggest challenges include establishment of an early warning system for extreme weather events and establishment of sustainable sources of funding for climate change adaptation measures. </w:t>
      </w:r>
      <w:proofErr w:type="gramStart"/>
      <w:r w:rsidRPr="007C4D65">
        <w:rPr>
          <w:rFonts w:asciiTheme="minorHAnsi" w:hAnsiTheme="minorHAnsi" w:cstheme="minorHAnsi"/>
          <w:sz w:val="22"/>
        </w:rPr>
        <w:t>In order to</w:t>
      </w:r>
      <w:proofErr w:type="gramEnd"/>
      <w:r w:rsidRPr="007C4D65">
        <w:rPr>
          <w:rFonts w:asciiTheme="minorHAnsi" w:hAnsiTheme="minorHAnsi" w:cstheme="minorHAnsi"/>
          <w:sz w:val="22"/>
        </w:rPr>
        <w:t xml:space="preserve"> enable progress in this area it is necessary to integrate the climate change</w:t>
      </w:r>
      <w:r w:rsidR="005C1F7D" w:rsidRPr="007C4D65">
        <w:rPr>
          <w:rFonts w:asciiTheme="minorHAnsi" w:hAnsiTheme="minorHAnsi" w:cstheme="minorHAnsi"/>
          <w:sz w:val="22"/>
        </w:rPr>
        <w:t xml:space="preserve"> considerations</w:t>
      </w:r>
      <w:r w:rsidRPr="007C4D65">
        <w:rPr>
          <w:rFonts w:asciiTheme="minorHAnsi" w:hAnsiTheme="minorHAnsi" w:cstheme="minorHAnsi"/>
          <w:sz w:val="22"/>
        </w:rPr>
        <w:t xml:space="preserve"> into sectoral policies and build capacities for coordination and preparation of project proposals.</w:t>
      </w:r>
    </w:p>
    <w:p w14:paraId="151F1D2C" w14:textId="77777777" w:rsidR="00B62FBD" w:rsidRPr="007C4D65" w:rsidRDefault="00B62FBD" w:rsidP="0068355A">
      <w:pPr>
        <w:spacing w:after="160" w:line="276" w:lineRule="auto"/>
        <w:rPr>
          <w:rFonts w:asciiTheme="minorHAnsi" w:hAnsiTheme="minorHAnsi" w:cstheme="minorHAnsi"/>
          <w:sz w:val="22"/>
          <w:szCs w:val="22"/>
        </w:rPr>
      </w:pPr>
      <w:r w:rsidRPr="007C4D65">
        <w:rPr>
          <w:rFonts w:asciiTheme="minorHAnsi" w:hAnsiTheme="minorHAnsi" w:cstheme="minorHAnsi"/>
        </w:rPr>
        <w:br w:type="page"/>
      </w:r>
    </w:p>
    <w:p w14:paraId="65AEDFFF" w14:textId="77777777" w:rsidR="001F3DA0" w:rsidRPr="007C4D65" w:rsidRDefault="00B62FBD">
      <w:pPr>
        <w:pStyle w:val="Head2"/>
        <w:spacing w:line="276" w:lineRule="auto"/>
        <w:rPr>
          <w:rFonts w:asciiTheme="minorHAnsi" w:hAnsiTheme="minorHAnsi"/>
        </w:rPr>
      </w:pPr>
      <w:bookmarkStart w:id="137" w:name="_Toc117445349"/>
      <w:r w:rsidRPr="007C4D65">
        <w:rPr>
          <w:rFonts w:asciiTheme="minorHAnsi" w:hAnsiTheme="minorHAnsi"/>
        </w:rPr>
        <w:lastRenderedPageBreak/>
        <w:t>Strategic goal 4</w:t>
      </w:r>
      <w:bookmarkEnd w:id="137"/>
    </w:p>
    <w:p w14:paraId="00D430A1" w14:textId="6BBEE113" w:rsidR="00597D54" w:rsidRPr="007C4D65" w:rsidRDefault="00597D54" w:rsidP="0068355A">
      <w:pPr>
        <w:spacing w:after="240" w:line="276" w:lineRule="auto"/>
        <w:jc w:val="both"/>
        <w:rPr>
          <w:rFonts w:asciiTheme="minorHAnsi" w:hAnsiTheme="minorHAnsi" w:cstheme="minorHAnsi"/>
          <w:b/>
          <w:sz w:val="22"/>
          <w:szCs w:val="22"/>
        </w:rPr>
      </w:pPr>
      <w:r w:rsidRPr="007C4D65">
        <w:rPr>
          <w:rFonts w:asciiTheme="minorHAnsi" w:hAnsiTheme="minorHAnsi" w:cstheme="minorHAnsi"/>
          <w:b/>
          <w:sz w:val="22"/>
        </w:rPr>
        <w:t>Strategic goal 4</w:t>
      </w:r>
      <w:r w:rsidR="008F71A1" w:rsidRPr="007C4D65">
        <w:rPr>
          <w:rFonts w:asciiTheme="minorHAnsi" w:hAnsiTheme="minorHAnsi" w:cstheme="minorHAnsi"/>
          <w:b/>
          <w:sz w:val="22"/>
        </w:rPr>
        <w:t xml:space="preserve"> -</w:t>
      </w:r>
      <w:r w:rsidRPr="007C4D65">
        <w:rPr>
          <w:rFonts w:asciiTheme="minorHAnsi" w:hAnsiTheme="minorHAnsi" w:cstheme="minorHAnsi"/>
          <w:b/>
          <w:sz w:val="22"/>
        </w:rPr>
        <w:t xml:space="preserve"> </w:t>
      </w:r>
      <w:r w:rsidR="00E55311" w:rsidRPr="007C4D65">
        <w:rPr>
          <w:rFonts w:asciiTheme="minorHAnsi" w:hAnsiTheme="minorHAnsi" w:cstheme="minorHAnsi"/>
          <w:b/>
          <w:sz w:val="22"/>
        </w:rPr>
        <w:t>Enhancing climate change mitigation and adaptation and improving air quality</w:t>
      </w:r>
    </w:p>
    <w:p w14:paraId="675A2EAF" w14:textId="0F4174DA" w:rsidR="00597D54" w:rsidRPr="007C4D65" w:rsidRDefault="00597D54" w:rsidP="0068355A">
      <w:pPr>
        <w:spacing w:after="16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rPr>
        <w:t>Strategic</w:t>
      </w:r>
      <w:r w:rsidR="00007DA5" w:rsidRPr="007C4D65">
        <w:rPr>
          <w:rFonts w:asciiTheme="minorHAnsi" w:hAnsiTheme="minorHAnsi" w:cstheme="minorHAnsi"/>
          <w:sz w:val="22"/>
        </w:rPr>
        <w:t xml:space="preserve"> </w:t>
      </w:r>
      <w:r w:rsidRPr="007C4D65">
        <w:rPr>
          <w:rFonts w:asciiTheme="minorHAnsi" w:hAnsiTheme="minorHAnsi" w:cstheme="minorHAnsi"/>
          <w:sz w:val="22"/>
        </w:rPr>
        <w:t>goal 4 (</w:t>
      </w:r>
      <w:r w:rsidR="00E55311" w:rsidRPr="007C4D65">
        <w:rPr>
          <w:rFonts w:asciiTheme="minorHAnsi" w:hAnsiTheme="minorHAnsi" w:cstheme="minorHAnsi"/>
          <w:sz w:val="22"/>
        </w:rPr>
        <w:t>Enhancing climate change mitigation and adaptation and improving air quality</w:t>
      </w:r>
      <w:r w:rsidRPr="007C4D65">
        <w:rPr>
          <w:rFonts w:asciiTheme="minorHAnsi" w:hAnsiTheme="minorHAnsi" w:cstheme="minorHAnsi"/>
          <w:sz w:val="22"/>
        </w:rPr>
        <w:t xml:space="preserve">) includes quality standards of ambient air and mitigation and adaptation to climate change in this regard. The last area, on the other hand, addresses the objective of reducing GHG emissions from various sectors, as well as institutional and legal arrangements required for the implementation of this objectives. </w:t>
      </w:r>
    </w:p>
    <w:p w14:paraId="09BDD123" w14:textId="0889F34E" w:rsidR="00597D54" w:rsidRPr="007C4D65" w:rsidRDefault="00343E9B" w:rsidP="0068355A">
      <w:pPr>
        <w:pStyle w:val="Caption"/>
        <w:spacing w:line="276" w:lineRule="auto"/>
        <w:rPr>
          <w:rFonts w:asciiTheme="minorHAnsi" w:hAnsiTheme="minorHAnsi" w:cstheme="minorHAnsi"/>
        </w:rPr>
      </w:pPr>
      <w:bookmarkStart w:id="138" w:name="_Toc117011597"/>
      <w:r w:rsidRPr="007C4D65">
        <w:rPr>
          <w:rFonts w:asciiTheme="minorHAnsi" w:hAnsiTheme="minorHAnsi" w:cstheme="minorHAnsi"/>
        </w:rPr>
        <w:t xml:space="preserve">Table </w:t>
      </w:r>
      <w:bookmarkStart w:id="139" w:name="tabela18"/>
      <w:r w:rsidRPr="007C4D65">
        <w:rPr>
          <w:rFonts w:asciiTheme="minorHAnsi" w:hAnsiTheme="minorHAnsi" w:cstheme="minorHAnsi"/>
        </w:rPr>
        <w:fldChar w:fldCharType="begin"/>
      </w:r>
      <w:r w:rsidRPr="007C4D65">
        <w:rPr>
          <w:rFonts w:asciiTheme="minorHAnsi" w:hAnsiTheme="minorHAnsi" w:cstheme="minorHAnsi"/>
        </w:rPr>
        <w:instrText xml:space="preserve"> SEQ Tabela \* ARABIC </w:instrText>
      </w:r>
      <w:r w:rsidRPr="007C4D65">
        <w:rPr>
          <w:rFonts w:asciiTheme="minorHAnsi" w:hAnsiTheme="minorHAnsi" w:cstheme="minorHAnsi"/>
        </w:rPr>
        <w:fldChar w:fldCharType="separate"/>
      </w:r>
      <w:r w:rsidR="00005022" w:rsidRPr="007C4D65">
        <w:rPr>
          <w:rFonts w:asciiTheme="minorHAnsi" w:hAnsiTheme="minorHAnsi" w:cstheme="minorHAnsi"/>
          <w:noProof/>
        </w:rPr>
        <w:t>18</w:t>
      </w:r>
      <w:r w:rsidRPr="007C4D65">
        <w:rPr>
          <w:rFonts w:asciiTheme="minorHAnsi" w:hAnsiTheme="minorHAnsi" w:cstheme="minorHAnsi"/>
        </w:rPr>
        <w:fldChar w:fldCharType="end"/>
      </w:r>
      <w:bookmarkEnd w:id="139"/>
      <w:r w:rsidRPr="007C4D65">
        <w:rPr>
          <w:rFonts w:asciiTheme="minorHAnsi" w:hAnsiTheme="minorHAnsi" w:cstheme="minorHAnsi"/>
        </w:rPr>
        <w:t xml:space="preserve">: </w:t>
      </w:r>
      <w:r w:rsidRPr="007C4D65">
        <w:rPr>
          <w:rFonts w:asciiTheme="minorHAnsi" w:hAnsiTheme="minorHAnsi" w:cstheme="minorHAnsi"/>
          <w:b w:val="0"/>
        </w:rPr>
        <w:t>Indicators of impacts for strategic goal 4</w:t>
      </w:r>
      <w:bookmarkEnd w:id="138"/>
    </w:p>
    <w:tbl>
      <w:tblPr>
        <w:tblStyle w:val="TableGridLight6"/>
        <w:tblW w:w="8926" w:type="dxa"/>
        <w:tblInd w:w="113" w:type="dxa"/>
        <w:tblLook w:val="04A0" w:firstRow="1" w:lastRow="0" w:firstColumn="1" w:lastColumn="0" w:noHBand="0" w:noVBand="1"/>
      </w:tblPr>
      <w:tblGrid>
        <w:gridCol w:w="2122"/>
        <w:gridCol w:w="2268"/>
        <w:gridCol w:w="2268"/>
        <w:gridCol w:w="2268"/>
      </w:tblGrid>
      <w:tr w:rsidR="00597D54" w:rsidRPr="007C4D65" w14:paraId="398B3732" w14:textId="77777777" w:rsidTr="00076544">
        <w:trPr>
          <w:trHeight w:val="421"/>
        </w:trPr>
        <w:tc>
          <w:tcPr>
            <w:tcW w:w="2122" w:type="dxa"/>
            <w:shd w:val="clear" w:color="auto" w:fill="009D73"/>
            <w:vAlign w:val="center"/>
          </w:tcPr>
          <w:p w14:paraId="520CD753" w14:textId="77777777" w:rsidR="00597D54" w:rsidRPr="007C4D65" w:rsidRDefault="00597D54" w:rsidP="0068355A">
            <w:pPr>
              <w:tabs>
                <w:tab w:val="left" w:pos="955"/>
              </w:tabs>
              <w:spacing w:line="276" w:lineRule="auto"/>
              <w:jc w:val="center"/>
              <w:rPr>
                <w:rFonts w:asciiTheme="minorHAnsi" w:hAnsiTheme="minorHAnsi" w:cstheme="minorHAnsi"/>
                <w:b/>
                <w:color w:val="FFFFFF" w:themeColor="background1"/>
                <w:sz w:val="18"/>
                <w:szCs w:val="18"/>
              </w:rPr>
            </w:pPr>
            <w:bookmarkStart w:id="140" w:name="_Hlk104491008"/>
            <w:r w:rsidRPr="007C4D65">
              <w:rPr>
                <w:rFonts w:asciiTheme="minorHAnsi" w:hAnsiTheme="minorHAnsi" w:cstheme="minorHAnsi"/>
                <w:b/>
                <w:color w:val="FFFFFF" w:themeColor="background1"/>
                <w:sz w:val="18"/>
              </w:rPr>
              <w:t>Strategic goal 4</w:t>
            </w:r>
          </w:p>
        </w:tc>
        <w:tc>
          <w:tcPr>
            <w:tcW w:w="2268" w:type="dxa"/>
            <w:shd w:val="clear" w:color="auto" w:fill="009D73"/>
            <w:vAlign w:val="center"/>
          </w:tcPr>
          <w:p w14:paraId="51AD5A0D" w14:textId="77777777" w:rsidR="00597D54" w:rsidRPr="007C4D65" w:rsidRDefault="00597D54" w:rsidP="0068355A">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Impact indicators</w:t>
            </w:r>
          </w:p>
        </w:tc>
        <w:tc>
          <w:tcPr>
            <w:tcW w:w="2268" w:type="dxa"/>
            <w:shd w:val="clear" w:color="auto" w:fill="009D73"/>
            <w:vAlign w:val="center"/>
          </w:tcPr>
          <w:p w14:paraId="026488D5" w14:textId="77777777" w:rsidR="00597D54" w:rsidRPr="007C4D65" w:rsidRDefault="00597D54" w:rsidP="0068355A">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Baseline value</w:t>
            </w:r>
          </w:p>
        </w:tc>
        <w:tc>
          <w:tcPr>
            <w:tcW w:w="2268" w:type="dxa"/>
            <w:shd w:val="clear" w:color="auto" w:fill="009D73"/>
            <w:vAlign w:val="center"/>
          </w:tcPr>
          <w:p w14:paraId="65E1FA44" w14:textId="77777777" w:rsidR="00597D54" w:rsidRPr="007C4D65" w:rsidRDefault="00597D54" w:rsidP="0068355A">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Target value</w:t>
            </w:r>
          </w:p>
          <w:p w14:paraId="294AE6F6" w14:textId="77777777" w:rsidR="00597D54" w:rsidRPr="007C4D65" w:rsidRDefault="00597D54" w:rsidP="0068355A">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(To be determined in the initial years of the implementation)</w:t>
            </w:r>
          </w:p>
        </w:tc>
      </w:tr>
      <w:tr w:rsidR="00814D62" w:rsidRPr="007C4D65" w14:paraId="2E7D138F" w14:textId="77777777" w:rsidTr="00BC37DE">
        <w:trPr>
          <w:trHeight w:val="360"/>
        </w:trPr>
        <w:tc>
          <w:tcPr>
            <w:tcW w:w="2122" w:type="dxa"/>
            <w:vMerge w:val="restart"/>
            <w:vAlign w:val="center"/>
          </w:tcPr>
          <w:p w14:paraId="3F4B0EFB" w14:textId="28EFF8E8" w:rsidR="00814D62" w:rsidRPr="007C4D65" w:rsidRDefault="00E55311" w:rsidP="0068355A">
            <w:pPr>
              <w:tabs>
                <w:tab w:val="left" w:pos="955"/>
              </w:tabs>
              <w:spacing w:line="276" w:lineRule="auto"/>
              <w:rPr>
                <w:rFonts w:asciiTheme="minorHAnsi" w:hAnsiTheme="minorHAnsi" w:cstheme="minorHAnsi"/>
                <w:i/>
                <w:iCs/>
                <w:sz w:val="18"/>
                <w:szCs w:val="18"/>
              </w:rPr>
            </w:pPr>
            <w:r w:rsidRPr="007C4D65">
              <w:rPr>
                <w:rFonts w:asciiTheme="minorHAnsi" w:hAnsiTheme="minorHAnsi" w:cstheme="minorHAnsi"/>
                <w:i/>
                <w:sz w:val="18"/>
              </w:rPr>
              <w:t>Enhancing climate change mitigation and adaptation and improving air quality</w:t>
            </w:r>
          </w:p>
        </w:tc>
        <w:tc>
          <w:tcPr>
            <w:tcW w:w="2268" w:type="dxa"/>
          </w:tcPr>
          <w:p w14:paraId="3D8A7DD0" w14:textId="2D6208A2" w:rsidR="00814D62" w:rsidRPr="007C4D65" w:rsidRDefault="00814D62" w:rsidP="0068355A">
            <w:pPr>
              <w:tabs>
                <w:tab w:val="left" w:pos="955"/>
              </w:tabs>
              <w:spacing w:line="276" w:lineRule="auto"/>
              <w:rPr>
                <w:rFonts w:asciiTheme="minorHAnsi" w:hAnsiTheme="minorHAnsi" w:cstheme="minorHAnsi"/>
                <w:b/>
                <w:bCs/>
                <w:sz w:val="18"/>
                <w:szCs w:val="18"/>
              </w:rPr>
            </w:pPr>
            <w:r w:rsidRPr="007C4D65">
              <w:rPr>
                <w:rFonts w:asciiTheme="minorHAnsi" w:hAnsiTheme="minorHAnsi" w:cstheme="minorHAnsi"/>
                <w:b/>
                <w:sz w:val="18"/>
              </w:rPr>
              <w:t>Total greenhouse gas emissions, including sinks (Gg CO2-eq1))</w:t>
            </w:r>
          </w:p>
        </w:tc>
        <w:tc>
          <w:tcPr>
            <w:tcW w:w="2268" w:type="dxa"/>
            <w:tcBorders>
              <w:top w:val="nil"/>
              <w:left w:val="nil"/>
              <w:bottom w:val="single" w:sz="8" w:space="0" w:color="BFBFBF"/>
              <w:right w:val="single" w:sz="8" w:space="0" w:color="BFBFBF"/>
            </w:tcBorders>
            <w:vAlign w:val="center"/>
          </w:tcPr>
          <w:p w14:paraId="398BAD22" w14:textId="77777777" w:rsidR="00814D62" w:rsidRPr="007C4D65" w:rsidRDefault="00814D62" w:rsidP="0068355A">
            <w:pPr>
              <w:pStyle w:val="xxmsonormal"/>
              <w:spacing w:line="276" w:lineRule="auto"/>
              <w:jc w:val="center"/>
              <w:rPr>
                <w:rFonts w:asciiTheme="minorHAnsi" w:hAnsiTheme="minorHAnsi" w:cstheme="minorHAnsi"/>
                <w:sz w:val="18"/>
                <w:szCs w:val="18"/>
              </w:rPr>
            </w:pPr>
            <w:r w:rsidRPr="007C4D65">
              <w:rPr>
                <w:rFonts w:asciiTheme="minorHAnsi" w:hAnsiTheme="minorHAnsi" w:cstheme="minorHAnsi"/>
                <w:sz w:val="18"/>
              </w:rPr>
              <w:t>19,670</w:t>
            </w:r>
          </w:p>
          <w:p w14:paraId="05096B1C" w14:textId="2D4B2D2C" w:rsidR="00814D62" w:rsidRPr="007C4D65" w:rsidRDefault="00814D62" w:rsidP="0068355A">
            <w:pPr>
              <w:pStyle w:val="xxmsonormal"/>
              <w:spacing w:line="276" w:lineRule="auto"/>
              <w:jc w:val="center"/>
              <w:rPr>
                <w:rFonts w:asciiTheme="minorHAnsi" w:hAnsiTheme="minorHAnsi" w:cstheme="minorHAnsi"/>
                <w:sz w:val="18"/>
                <w:szCs w:val="18"/>
              </w:rPr>
            </w:pPr>
            <w:r w:rsidRPr="007C4D65">
              <w:rPr>
                <w:rFonts w:asciiTheme="minorHAnsi" w:hAnsiTheme="minorHAnsi" w:cstheme="minorHAnsi"/>
                <w:sz w:val="18"/>
              </w:rPr>
              <w:t>(2016)</w:t>
            </w:r>
          </w:p>
        </w:tc>
        <w:tc>
          <w:tcPr>
            <w:tcW w:w="2268" w:type="dxa"/>
            <w:tcBorders>
              <w:top w:val="nil"/>
              <w:left w:val="nil"/>
              <w:bottom w:val="single" w:sz="8" w:space="0" w:color="BFBFBF"/>
              <w:right w:val="single" w:sz="8" w:space="0" w:color="BFBFBF"/>
            </w:tcBorders>
            <w:vAlign w:val="center"/>
          </w:tcPr>
          <w:p w14:paraId="7C13DB05" w14:textId="77777777" w:rsidR="00814D62" w:rsidRPr="007C4D65" w:rsidRDefault="00814D62" w:rsidP="0068355A">
            <w:pPr>
              <w:pStyle w:val="xxmsonormal"/>
              <w:spacing w:line="276" w:lineRule="auto"/>
              <w:jc w:val="center"/>
              <w:rPr>
                <w:rFonts w:asciiTheme="minorHAnsi" w:hAnsiTheme="minorHAnsi" w:cstheme="minorHAnsi"/>
                <w:sz w:val="18"/>
                <w:szCs w:val="18"/>
              </w:rPr>
            </w:pPr>
            <w:r w:rsidRPr="007C4D65">
              <w:rPr>
                <w:rFonts w:asciiTheme="minorHAnsi" w:hAnsiTheme="minorHAnsi" w:cstheme="minorHAnsi"/>
                <w:sz w:val="18"/>
              </w:rPr>
              <w:t>16,228</w:t>
            </w:r>
          </w:p>
          <w:p w14:paraId="555EBCC7" w14:textId="20C647FA" w:rsidR="00814D62" w:rsidRPr="007C4D65" w:rsidRDefault="00814D62" w:rsidP="0068355A">
            <w:pPr>
              <w:tabs>
                <w:tab w:val="left" w:pos="955"/>
              </w:tabs>
              <w:spacing w:line="276" w:lineRule="auto"/>
              <w:jc w:val="center"/>
              <w:rPr>
                <w:rFonts w:asciiTheme="minorHAnsi" w:hAnsiTheme="minorHAnsi" w:cstheme="minorHAnsi"/>
                <w:sz w:val="18"/>
                <w:szCs w:val="18"/>
              </w:rPr>
            </w:pPr>
            <w:r w:rsidRPr="007C4D65">
              <w:rPr>
                <w:rFonts w:asciiTheme="minorHAnsi" w:hAnsiTheme="minorHAnsi" w:cstheme="minorHAnsi"/>
                <w:sz w:val="18"/>
              </w:rPr>
              <w:t>(2030)</w:t>
            </w:r>
          </w:p>
        </w:tc>
      </w:tr>
      <w:tr w:rsidR="00814D62" w:rsidRPr="007C4D65" w14:paraId="0673F371" w14:textId="77777777" w:rsidTr="00BC37DE">
        <w:trPr>
          <w:trHeight w:val="360"/>
        </w:trPr>
        <w:tc>
          <w:tcPr>
            <w:tcW w:w="2122" w:type="dxa"/>
            <w:vMerge/>
            <w:vAlign w:val="center"/>
          </w:tcPr>
          <w:p w14:paraId="2CD14C1C" w14:textId="38F79C19" w:rsidR="00814D62" w:rsidRPr="007C4D65" w:rsidRDefault="00814D62" w:rsidP="0068355A">
            <w:pPr>
              <w:tabs>
                <w:tab w:val="left" w:pos="955"/>
              </w:tabs>
              <w:spacing w:line="276" w:lineRule="auto"/>
              <w:rPr>
                <w:rFonts w:asciiTheme="minorHAnsi" w:hAnsiTheme="minorHAnsi" w:cstheme="minorHAnsi"/>
                <w:b/>
                <w:bCs/>
                <w:sz w:val="18"/>
                <w:szCs w:val="18"/>
                <w:lang w:eastAsia="hr-HR"/>
              </w:rPr>
            </w:pPr>
          </w:p>
        </w:tc>
        <w:tc>
          <w:tcPr>
            <w:tcW w:w="2268" w:type="dxa"/>
          </w:tcPr>
          <w:p w14:paraId="7461AAEE" w14:textId="77777777" w:rsidR="00814D62" w:rsidRPr="007C4D65" w:rsidRDefault="00814D62" w:rsidP="0068355A">
            <w:pPr>
              <w:tabs>
                <w:tab w:val="left" w:pos="955"/>
              </w:tabs>
              <w:spacing w:line="276" w:lineRule="auto"/>
              <w:jc w:val="both"/>
              <w:rPr>
                <w:rFonts w:asciiTheme="minorHAnsi" w:hAnsiTheme="minorHAnsi" w:cstheme="minorHAnsi"/>
                <w:b/>
                <w:bCs/>
                <w:sz w:val="18"/>
                <w:szCs w:val="18"/>
              </w:rPr>
            </w:pPr>
            <w:r w:rsidRPr="007C4D65">
              <w:rPr>
                <w:rFonts w:asciiTheme="minorHAnsi" w:hAnsiTheme="minorHAnsi" w:cstheme="minorHAnsi"/>
                <w:b/>
                <w:sz w:val="18"/>
              </w:rPr>
              <w:t>Total greenhouse gas emissions per USD 1 of GDP</w:t>
            </w:r>
          </w:p>
        </w:tc>
        <w:tc>
          <w:tcPr>
            <w:tcW w:w="2268" w:type="dxa"/>
            <w:tcBorders>
              <w:top w:val="nil"/>
              <w:left w:val="nil"/>
              <w:bottom w:val="single" w:sz="8" w:space="0" w:color="BFBFBF"/>
              <w:right w:val="single" w:sz="8" w:space="0" w:color="BFBFBF"/>
            </w:tcBorders>
            <w:vAlign w:val="center"/>
          </w:tcPr>
          <w:p w14:paraId="61E767B7" w14:textId="09C246F4" w:rsidR="00814D62" w:rsidRPr="007C4D65" w:rsidRDefault="00814D62" w:rsidP="0068355A">
            <w:pPr>
              <w:tabs>
                <w:tab w:val="left" w:pos="955"/>
              </w:tabs>
              <w:spacing w:line="276" w:lineRule="auto"/>
              <w:rPr>
                <w:rFonts w:asciiTheme="minorHAnsi" w:hAnsiTheme="minorHAnsi" w:cstheme="minorHAnsi"/>
                <w:sz w:val="18"/>
                <w:szCs w:val="18"/>
              </w:rPr>
            </w:pPr>
            <w:r w:rsidRPr="007C4D65">
              <w:rPr>
                <w:rFonts w:asciiTheme="minorHAnsi" w:hAnsiTheme="minorHAnsi" w:cstheme="minorHAnsi"/>
                <w:sz w:val="18"/>
              </w:rPr>
              <w:t>1,75 kgCO2ekv/1USD GDP</w:t>
            </w:r>
            <w:r w:rsidRPr="007C4D65">
              <w:rPr>
                <w:rFonts w:asciiTheme="minorHAnsi" w:hAnsiTheme="minorHAnsi" w:cstheme="minorHAnsi"/>
                <w:sz w:val="18"/>
                <w:vertAlign w:val="superscript"/>
              </w:rPr>
              <w:t>*</w:t>
            </w:r>
          </w:p>
        </w:tc>
        <w:tc>
          <w:tcPr>
            <w:tcW w:w="2268" w:type="dxa"/>
            <w:tcBorders>
              <w:top w:val="nil"/>
              <w:left w:val="nil"/>
              <w:bottom w:val="single" w:sz="8" w:space="0" w:color="BFBFBF"/>
              <w:right w:val="single" w:sz="8" w:space="0" w:color="BFBFBF"/>
            </w:tcBorders>
            <w:vAlign w:val="center"/>
          </w:tcPr>
          <w:p w14:paraId="0582D00B" w14:textId="1B63104D" w:rsidR="00814D62" w:rsidRPr="007C4D65" w:rsidRDefault="00814D62" w:rsidP="0068355A">
            <w:pPr>
              <w:tabs>
                <w:tab w:val="left" w:pos="955"/>
              </w:tabs>
              <w:spacing w:line="276" w:lineRule="auto"/>
              <w:jc w:val="center"/>
              <w:rPr>
                <w:rFonts w:asciiTheme="minorHAnsi" w:hAnsiTheme="minorHAnsi" w:cstheme="minorHAnsi"/>
                <w:sz w:val="18"/>
                <w:szCs w:val="18"/>
              </w:rPr>
            </w:pPr>
            <w:r w:rsidRPr="007C4D65">
              <w:rPr>
                <w:rFonts w:asciiTheme="minorHAnsi" w:hAnsiTheme="minorHAnsi" w:cstheme="minorHAnsi"/>
                <w:sz w:val="18"/>
              </w:rPr>
              <w:t>...</w:t>
            </w:r>
          </w:p>
        </w:tc>
      </w:tr>
      <w:tr w:rsidR="00814D62" w:rsidRPr="007C4D65" w14:paraId="7C7EB894" w14:textId="77777777" w:rsidTr="00BC37DE">
        <w:trPr>
          <w:trHeight w:val="360"/>
        </w:trPr>
        <w:tc>
          <w:tcPr>
            <w:tcW w:w="2122" w:type="dxa"/>
            <w:vMerge/>
            <w:vAlign w:val="center"/>
          </w:tcPr>
          <w:p w14:paraId="294EE76E" w14:textId="77777777" w:rsidR="00814D62" w:rsidRPr="007C4D65" w:rsidRDefault="00814D62" w:rsidP="0068355A">
            <w:pPr>
              <w:tabs>
                <w:tab w:val="left" w:pos="955"/>
              </w:tabs>
              <w:spacing w:line="276" w:lineRule="auto"/>
              <w:rPr>
                <w:rFonts w:asciiTheme="minorHAnsi" w:hAnsiTheme="minorHAnsi" w:cstheme="minorHAnsi"/>
                <w:i/>
                <w:iCs/>
                <w:sz w:val="18"/>
                <w:szCs w:val="18"/>
                <w:lang w:eastAsia="hr-HR"/>
              </w:rPr>
            </w:pPr>
          </w:p>
        </w:tc>
        <w:tc>
          <w:tcPr>
            <w:tcW w:w="2268" w:type="dxa"/>
          </w:tcPr>
          <w:p w14:paraId="53113556" w14:textId="77777777" w:rsidR="00814D62" w:rsidRPr="007C4D65" w:rsidRDefault="00814D62" w:rsidP="0068355A">
            <w:pPr>
              <w:tabs>
                <w:tab w:val="left" w:pos="955"/>
              </w:tabs>
              <w:spacing w:line="276" w:lineRule="auto"/>
              <w:jc w:val="both"/>
              <w:rPr>
                <w:rFonts w:asciiTheme="minorHAnsi" w:hAnsiTheme="minorHAnsi" w:cstheme="minorHAnsi"/>
                <w:b/>
                <w:bCs/>
                <w:sz w:val="18"/>
                <w:szCs w:val="18"/>
              </w:rPr>
            </w:pPr>
            <w:r w:rsidRPr="007C4D65">
              <w:rPr>
                <w:rFonts w:asciiTheme="minorHAnsi" w:hAnsiTheme="minorHAnsi" w:cstheme="minorHAnsi"/>
                <w:b/>
                <w:sz w:val="18"/>
              </w:rPr>
              <w:t>Air pollution: Annual mean concentration of PM10 particles (microgram per cubic meter)</w:t>
            </w:r>
          </w:p>
        </w:tc>
        <w:tc>
          <w:tcPr>
            <w:tcW w:w="2268" w:type="dxa"/>
            <w:tcBorders>
              <w:top w:val="nil"/>
              <w:left w:val="nil"/>
              <w:bottom w:val="single" w:sz="8" w:space="0" w:color="BFBFBF"/>
              <w:right w:val="single" w:sz="8" w:space="0" w:color="BFBFBF"/>
            </w:tcBorders>
            <w:vAlign w:val="center"/>
          </w:tcPr>
          <w:p w14:paraId="5637FDEE" w14:textId="1FCB43DD" w:rsidR="00814D62" w:rsidRPr="007C4D65" w:rsidRDefault="00814D62" w:rsidP="0068355A">
            <w:pPr>
              <w:tabs>
                <w:tab w:val="left" w:pos="955"/>
              </w:tabs>
              <w:spacing w:line="276" w:lineRule="auto"/>
              <w:jc w:val="center"/>
              <w:rPr>
                <w:rFonts w:asciiTheme="minorHAnsi" w:hAnsiTheme="minorHAnsi" w:cstheme="minorHAnsi"/>
                <w:sz w:val="18"/>
                <w:szCs w:val="18"/>
              </w:rPr>
            </w:pPr>
            <w:r w:rsidRPr="007C4D65">
              <w:rPr>
                <w:rFonts w:asciiTheme="minorHAnsi" w:hAnsiTheme="minorHAnsi" w:cstheme="minorHAnsi"/>
                <w:sz w:val="18"/>
              </w:rPr>
              <w:t>47 µg/m</w:t>
            </w:r>
            <w:r w:rsidRPr="007C4D65">
              <w:rPr>
                <w:rFonts w:asciiTheme="minorHAnsi" w:hAnsiTheme="minorHAnsi" w:cstheme="minorHAnsi"/>
                <w:sz w:val="18"/>
                <w:vertAlign w:val="superscript"/>
              </w:rPr>
              <w:t>3</w:t>
            </w:r>
          </w:p>
        </w:tc>
        <w:tc>
          <w:tcPr>
            <w:tcW w:w="2268" w:type="dxa"/>
            <w:tcBorders>
              <w:top w:val="nil"/>
              <w:left w:val="nil"/>
              <w:bottom w:val="single" w:sz="8" w:space="0" w:color="BFBFBF"/>
              <w:right w:val="single" w:sz="8" w:space="0" w:color="BFBFBF"/>
            </w:tcBorders>
            <w:vAlign w:val="center"/>
          </w:tcPr>
          <w:p w14:paraId="3D157D8F" w14:textId="50B79AE7" w:rsidR="00814D62" w:rsidRPr="007C4D65" w:rsidRDefault="00814D62" w:rsidP="0068355A">
            <w:pPr>
              <w:tabs>
                <w:tab w:val="left" w:pos="955"/>
              </w:tabs>
              <w:spacing w:line="276" w:lineRule="auto"/>
              <w:jc w:val="center"/>
              <w:rPr>
                <w:rFonts w:asciiTheme="minorHAnsi" w:hAnsiTheme="minorHAnsi" w:cstheme="minorHAnsi"/>
                <w:sz w:val="18"/>
                <w:szCs w:val="18"/>
              </w:rPr>
            </w:pPr>
            <w:r w:rsidRPr="007C4D65">
              <w:rPr>
                <w:rFonts w:asciiTheme="minorHAnsi" w:hAnsiTheme="minorHAnsi" w:cstheme="minorHAnsi"/>
                <w:sz w:val="18"/>
              </w:rPr>
              <w:t>40 µg/m</w:t>
            </w:r>
            <w:r w:rsidRPr="007C4D65">
              <w:rPr>
                <w:rFonts w:asciiTheme="minorHAnsi" w:hAnsiTheme="minorHAnsi" w:cstheme="minorHAnsi"/>
                <w:sz w:val="18"/>
                <w:vertAlign w:val="superscript"/>
              </w:rPr>
              <w:t>3</w:t>
            </w:r>
          </w:p>
        </w:tc>
      </w:tr>
      <w:bookmarkEnd w:id="140"/>
    </w:tbl>
    <w:p w14:paraId="247BF99B" w14:textId="77777777" w:rsidR="00B62FBD" w:rsidRPr="007C4D65" w:rsidRDefault="00B62FBD" w:rsidP="0068355A">
      <w:pPr>
        <w:spacing w:line="276" w:lineRule="auto"/>
        <w:rPr>
          <w:rFonts w:asciiTheme="minorHAnsi" w:hAnsiTheme="minorHAnsi" w:cstheme="minorHAnsi"/>
        </w:rPr>
      </w:pPr>
    </w:p>
    <w:p w14:paraId="43238241" w14:textId="77777777" w:rsidR="00B62FBD" w:rsidRPr="007C4D65" w:rsidRDefault="00B62FBD">
      <w:pPr>
        <w:pStyle w:val="Head3"/>
        <w:spacing w:line="276" w:lineRule="auto"/>
        <w:rPr>
          <w:rFonts w:asciiTheme="minorHAnsi" w:hAnsiTheme="minorHAnsi"/>
        </w:rPr>
      </w:pPr>
      <w:bookmarkStart w:id="141" w:name="_Toc117445350"/>
      <w:r w:rsidRPr="007C4D65">
        <w:rPr>
          <w:rFonts w:asciiTheme="minorHAnsi" w:hAnsiTheme="minorHAnsi"/>
        </w:rPr>
        <w:t>Priorities for strategic goal 4</w:t>
      </w:r>
      <w:bookmarkEnd w:id="141"/>
    </w:p>
    <w:p w14:paraId="156A2686" w14:textId="1F7644EE" w:rsidR="005C1F7D" w:rsidRPr="007C4D65" w:rsidRDefault="00B62FBD" w:rsidP="005C1F7D">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 </w:t>
      </w:r>
      <w:r w:rsidR="005C1F7D" w:rsidRPr="007C4D65">
        <w:rPr>
          <w:rFonts w:asciiTheme="minorHAnsi" w:hAnsiTheme="minorHAnsi" w:cstheme="minorHAnsi"/>
          <w:b/>
          <w:sz w:val="22"/>
        </w:rPr>
        <w:t>Priority 4.1 Reduce air pollution by reducing air pollutants to levels that are safe for human health</w:t>
      </w:r>
      <w:r w:rsidR="005C1F7D" w:rsidRPr="007C4D65">
        <w:rPr>
          <w:rFonts w:asciiTheme="minorHAnsi" w:hAnsiTheme="minorHAnsi" w:cstheme="minorHAnsi"/>
          <w:sz w:val="22"/>
        </w:rPr>
        <w:t>, through reducing emissions from large combustion</w:t>
      </w:r>
      <w:r w:rsidR="001F7CB6" w:rsidRPr="007C4D65">
        <w:rPr>
          <w:rFonts w:asciiTheme="minorHAnsi" w:hAnsiTheme="minorHAnsi" w:cstheme="minorHAnsi"/>
          <w:sz w:val="22"/>
        </w:rPr>
        <w:t>s, upgrading of industrial faci</w:t>
      </w:r>
      <w:r w:rsidR="005C1F7D" w:rsidRPr="007C4D65">
        <w:rPr>
          <w:rFonts w:asciiTheme="minorHAnsi" w:hAnsiTheme="minorHAnsi" w:cstheme="minorHAnsi"/>
          <w:sz w:val="22"/>
        </w:rPr>
        <w:t xml:space="preserve">lities </w:t>
      </w:r>
      <w:proofErr w:type="gramStart"/>
      <w:r w:rsidR="005C1F7D" w:rsidRPr="007C4D65">
        <w:rPr>
          <w:rFonts w:asciiTheme="minorHAnsi" w:hAnsiTheme="minorHAnsi" w:cstheme="minorHAnsi"/>
          <w:sz w:val="22"/>
        </w:rPr>
        <w:t>so as to</w:t>
      </w:r>
      <w:proofErr w:type="gramEnd"/>
      <w:r w:rsidR="005C1F7D" w:rsidRPr="007C4D65">
        <w:rPr>
          <w:rFonts w:asciiTheme="minorHAnsi" w:hAnsiTheme="minorHAnsi" w:cstheme="minorHAnsi"/>
          <w:sz w:val="22"/>
        </w:rPr>
        <w:t xml:space="preserve"> comply with the best available techniques, reducing emissions from household stoves and hospitality services, increasing the share of district heating in the total heat supply system, and reducing emissions of pollutants from transport. </w:t>
      </w:r>
    </w:p>
    <w:p w14:paraId="2454AB23" w14:textId="6F76C336" w:rsidR="005C1F7D" w:rsidRPr="007C4D65" w:rsidRDefault="005C1F7D" w:rsidP="005C1F7D">
      <w:pPr>
        <w:spacing w:before="240" w:after="24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Priority 4.2 </w:t>
      </w:r>
      <w:r w:rsidR="005D6389" w:rsidRPr="007C4D65">
        <w:rPr>
          <w:rFonts w:asciiTheme="minorHAnsi" w:hAnsiTheme="minorHAnsi" w:cstheme="minorHAnsi"/>
          <w:b/>
          <w:sz w:val="22"/>
        </w:rPr>
        <w:t>Upgrading the air quality management system to support strategic decision-making   and public information on air quality and emissions</w:t>
      </w:r>
      <w:r w:rsidRPr="007C4D65">
        <w:rPr>
          <w:rFonts w:asciiTheme="minorHAnsi" w:hAnsiTheme="minorHAnsi" w:cstheme="minorHAnsi"/>
          <w:sz w:val="22"/>
        </w:rPr>
        <w:t xml:space="preserve">, through further development of air monitoring stations, upgrading of the current system of air quality public information in real and integrated </w:t>
      </w:r>
      <w:proofErr w:type="gramStart"/>
      <w:r w:rsidRPr="007C4D65">
        <w:rPr>
          <w:rFonts w:asciiTheme="minorHAnsi" w:hAnsiTheme="minorHAnsi" w:cstheme="minorHAnsi"/>
          <w:sz w:val="22"/>
        </w:rPr>
        <w:t>time ,</w:t>
      </w:r>
      <w:proofErr w:type="gramEnd"/>
      <w:r w:rsidRPr="007C4D65">
        <w:rPr>
          <w:rFonts w:asciiTheme="minorHAnsi" w:hAnsiTheme="minorHAnsi" w:cstheme="minorHAnsi"/>
          <w:sz w:val="22"/>
        </w:rPr>
        <w:t xml:space="preserve"> and development of the system of international reporting on emissions and air quality.</w:t>
      </w:r>
    </w:p>
    <w:p w14:paraId="5F3629FE" w14:textId="75925143" w:rsidR="005C1F7D" w:rsidRPr="007C4D65" w:rsidRDefault="005C1F7D" w:rsidP="005C1F7D">
      <w:pPr>
        <w:spacing w:before="240" w:after="240" w:line="276" w:lineRule="auto"/>
        <w:jc w:val="both"/>
        <w:rPr>
          <w:rFonts w:asciiTheme="minorHAnsi" w:hAnsiTheme="minorHAnsi" w:cstheme="minorHAnsi"/>
          <w:b/>
          <w:sz w:val="22"/>
          <w:szCs w:val="22"/>
        </w:rPr>
      </w:pPr>
      <w:r w:rsidRPr="007C4D65">
        <w:rPr>
          <w:rFonts w:asciiTheme="minorHAnsi" w:hAnsiTheme="minorHAnsi" w:cstheme="minorHAnsi"/>
          <w:b/>
          <w:sz w:val="22"/>
        </w:rPr>
        <w:t xml:space="preserve">Priority 4.3 </w:t>
      </w:r>
      <w:bookmarkStart w:id="142" w:name="_Hlk117186140"/>
      <w:r w:rsidRPr="007C4D65">
        <w:rPr>
          <w:rFonts w:asciiTheme="minorHAnsi" w:hAnsiTheme="minorHAnsi" w:cstheme="minorHAnsi"/>
          <w:b/>
          <w:bCs/>
          <w:sz w:val="22"/>
        </w:rPr>
        <w:t>Reduce</w:t>
      </w:r>
      <w:r w:rsidRPr="007C4D65">
        <w:rPr>
          <w:rFonts w:asciiTheme="minorHAnsi" w:hAnsiTheme="minorHAnsi" w:cstheme="minorHAnsi"/>
          <w:sz w:val="22"/>
        </w:rPr>
        <w:t xml:space="preserve"> </w:t>
      </w:r>
      <w:r w:rsidRPr="007C4D65">
        <w:rPr>
          <w:rFonts w:asciiTheme="minorHAnsi" w:hAnsiTheme="minorHAnsi" w:cstheme="minorHAnsi"/>
          <w:b/>
          <w:sz w:val="22"/>
        </w:rPr>
        <w:t xml:space="preserve">the </w:t>
      </w:r>
      <w:r w:rsidR="00647018" w:rsidRPr="007C4D65">
        <w:rPr>
          <w:rFonts w:asciiTheme="minorHAnsi" w:hAnsiTheme="minorHAnsi" w:cstheme="minorHAnsi"/>
          <w:b/>
          <w:sz w:val="22"/>
        </w:rPr>
        <w:t>impact</w:t>
      </w:r>
      <w:r w:rsidRPr="007C4D65">
        <w:rPr>
          <w:rFonts w:asciiTheme="minorHAnsi" w:hAnsiTheme="minorHAnsi" w:cstheme="minorHAnsi"/>
          <w:b/>
          <w:sz w:val="22"/>
        </w:rPr>
        <w:t xml:space="preserve"> of the Federation of BiH on climate change</w:t>
      </w:r>
      <w:r w:rsidRPr="007C4D65">
        <w:rPr>
          <w:rFonts w:asciiTheme="minorHAnsi" w:hAnsiTheme="minorHAnsi" w:cstheme="minorHAnsi"/>
          <w:sz w:val="22"/>
        </w:rPr>
        <w:t xml:space="preserve"> </w:t>
      </w:r>
      <w:bookmarkEnd w:id="142"/>
      <w:r w:rsidRPr="007C4D65">
        <w:rPr>
          <w:rFonts w:asciiTheme="minorHAnsi" w:hAnsiTheme="minorHAnsi" w:cstheme="minorHAnsi"/>
          <w:sz w:val="22"/>
        </w:rPr>
        <w:t>through reduced GHG emissions and enhanced carbon sinks.</w:t>
      </w:r>
      <w:r w:rsidRPr="007C4D65">
        <w:rPr>
          <w:rFonts w:asciiTheme="minorHAnsi" w:hAnsiTheme="minorHAnsi" w:cstheme="minorHAnsi"/>
          <w:b/>
          <w:sz w:val="22"/>
        </w:rPr>
        <w:t xml:space="preserve"> </w:t>
      </w:r>
    </w:p>
    <w:p w14:paraId="3BF5CBAB" w14:textId="3A2BEC1F" w:rsidR="005C1F7D" w:rsidRPr="007C4D65" w:rsidRDefault="005C1F7D" w:rsidP="005C1F7D">
      <w:pPr>
        <w:spacing w:before="240" w:after="24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Priority 4.4 </w:t>
      </w:r>
      <w:r w:rsidR="00915506" w:rsidRPr="007C4D65">
        <w:rPr>
          <w:rFonts w:asciiTheme="minorHAnsi" w:hAnsiTheme="minorHAnsi" w:cstheme="minorHAnsi"/>
          <w:b/>
          <w:bCs/>
          <w:sz w:val="22"/>
        </w:rPr>
        <w:t>Enhancing resilience to climate change</w:t>
      </w:r>
      <w:r w:rsidRPr="007C4D65">
        <w:rPr>
          <w:rFonts w:asciiTheme="minorHAnsi" w:hAnsiTheme="minorHAnsi" w:cstheme="minorHAnsi"/>
          <w:b/>
          <w:bCs/>
          <w:sz w:val="22"/>
        </w:rPr>
        <w:t xml:space="preserve"> </w:t>
      </w:r>
      <w:r w:rsidRPr="007C4D65">
        <w:rPr>
          <w:rFonts w:asciiTheme="minorHAnsi" w:hAnsiTheme="minorHAnsi" w:cstheme="minorHAnsi"/>
          <w:sz w:val="22"/>
        </w:rPr>
        <w:t>through capacity building of the institutions, through upgrading the infrastructure, a</w:t>
      </w:r>
      <w:r w:rsidR="00647018" w:rsidRPr="007C4D65">
        <w:rPr>
          <w:rFonts w:asciiTheme="minorHAnsi" w:hAnsiTheme="minorHAnsi" w:cstheme="minorHAnsi"/>
          <w:sz w:val="22"/>
        </w:rPr>
        <w:t>n</w:t>
      </w:r>
      <w:r w:rsidRPr="007C4D65">
        <w:rPr>
          <w:rFonts w:asciiTheme="minorHAnsi" w:hAnsiTheme="minorHAnsi" w:cstheme="minorHAnsi"/>
          <w:sz w:val="22"/>
        </w:rPr>
        <w:t>d the strategic and legislative framework.</w:t>
      </w:r>
    </w:p>
    <w:p w14:paraId="5F932328" w14:textId="6DA92E3C" w:rsidR="005C1F7D" w:rsidRPr="007C4D65" w:rsidRDefault="005C1F7D" w:rsidP="005C1F7D">
      <w:pPr>
        <w:spacing w:before="240" w:after="24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Priority 4.5 Improving </w:t>
      </w:r>
      <w:r w:rsidR="009477FB" w:rsidRPr="007C4D65">
        <w:rPr>
          <w:rFonts w:asciiTheme="minorHAnsi" w:hAnsiTheme="minorHAnsi" w:cstheme="minorHAnsi"/>
          <w:b/>
          <w:sz w:val="22"/>
        </w:rPr>
        <w:t>energy efficiency of final consumption</w:t>
      </w:r>
      <w:r w:rsidRPr="007C4D65">
        <w:rPr>
          <w:rFonts w:asciiTheme="minorHAnsi" w:hAnsiTheme="minorHAnsi" w:cstheme="minorHAnsi"/>
          <w:b/>
          <w:sz w:val="22"/>
        </w:rPr>
        <w:t xml:space="preserve"> of all secto</w:t>
      </w:r>
      <w:r w:rsidRPr="007C4D65">
        <w:rPr>
          <w:rFonts w:asciiTheme="minorHAnsi" w:hAnsiTheme="minorHAnsi" w:cstheme="minorHAnsi"/>
          <w:sz w:val="22"/>
        </w:rPr>
        <w:t xml:space="preserve">rs, through creating enabling environment for energy efficiency </w:t>
      </w:r>
      <w:r w:rsidR="00647018" w:rsidRPr="007C4D65">
        <w:rPr>
          <w:rFonts w:asciiTheme="minorHAnsi" w:hAnsiTheme="minorHAnsi" w:cstheme="minorHAnsi"/>
          <w:sz w:val="22"/>
        </w:rPr>
        <w:t>through</w:t>
      </w:r>
      <w:r w:rsidRPr="007C4D65">
        <w:rPr>
          <w:rFonts w:asciiTheme="minorHAnsi" w:hAnsiTheme="minorHAnsi" w:cstheme="minorHAnsi"/>
          <w:sz w:val="22"/>
        </w:rPr>
        <w:t xml:space="preserve"> improved legislative framework, reduction of final energy consumption in residential and non-residential buildings, increased energy efficiency in the industry sector and reduced consumption of primary energy.</w:t>
      </w:r>
    </w:p>
    <w:p w14:paraId="2AB88CAD" w14:textId="420E44B1" w:rsidR="005C1F7D" w:rsidRPr="007C4D65" w:rsidRDefault="005C1F7D" w:rsidP="005C1F7D">
      <w:pPr>
        <w:spacing w:before="240" w:after="240" w:line="276" w:lineRule="auto"/>
        <w:jc w:val="both"/>
        <w:rPr>
          <w:rFonts w:asciiTheme="minorHAnsi" w:hAnsiTheme="minorHAnsi" w:cstheme="minorHAnsi"/>
          <w:sz w:val="22"/>
          <w:szCs w:val="22"/>
        </w:rPr>
      </w:pPr>
      <w:r w:rsidRPr="007C4D65">
        <w:rPr>
          <w:rFonts w:asciiTheme="minorHAnsi" w:hAnsiTheme="minorHAnsi" w:cstheme="minorHAnsi"/>
          <w:b/>
          <w:sz w:val="22"/>
        </w:rPr>
        <w:lastRenderedPageBreak/>
        <w:t xml:space="preserve">Priority 4.6 </w:t>
      </w:r>
      <w:r w:rsidR="00197A0A" w:rsidRPr="007C4D65">
        <w:rPr>
          <w:rFonts w:asciiTheme="minorHAnsi" w:hAnsiTheme="minorHAnsi" w:cstheme="minorHAnsi"/>
          <w:b/>
          <w:sz w:val="22"/>
        </w:rPr>
        <w:t>Increasing the share of the renewable energy sources along with a reform of the incentives scheme (focusing on citizens energy projects)</w:t>
      </w:r>
      <w:r w:rsidR="00197A0A" w:rsidRPr="007C4D65">
        <w:rPr>
          <w:rFonts w:asciiTheme="minorHAnsi" w:hAnsiTheme="minorHAnsi" w:cstheme="minorHAnsi"/>
          <w:sz w:val="22"/>
        </w:rPr>
        <w:t xml:space="preserve"> </w:t>
      </w:r>
      <w:r w:rsidRPr="007C4D65">
        <w:rPr>
          <w:rFonts w:asciiTheme="minorHAnsi" w:hAnsiTheme="minorHAnsi" w:cstheme="minorHAnsi"/>
          <w:sz w:val="22"/>
        </w:rPr>
        <w:t>through increasing the RES share in energy consumption, energy production and transport.</w:t>
      </w:r>
    </w:p>
    <w:p w14:paraId="04F985D8" w14:textId="386E1590" w:rsidR="005C1F7D" w:rsidRPr="007C4D65" w:rsidRDefault="005C1F7D" w:rsidP="005C1F7D">
      <w:pPr>
        <w:spacing w:before="240" w:after="240" w:line="276" w:lineRule="auto"/>
        <w:jc w:val="both"/>
        <w:rPr>
          <w:rFonts w:asciiTheme="minorHAnsi" w:hAnsiTheme="minorHAnsi" w:cstheme="minorHAnsi"/>
          <w:sz w:val="22"/>
          <w:szCs w:val="22"/>
        </w:rPr>
      </w:pPr>
      <w:r w:rsidRPr="007C4D65">
        <w:rPr>
          <w:rFonts w:asciiTheme="minorHAnsi" w:hAnsiTheme="minorHAnsi" w:cstheme="minorHAnsi"/>
          <w:b/>
          <w:sz w:val="22"/>
        </w:rPr>
        <w:t>Priority 4.7 Reduc</w:t>
      </w:r>
      <w:r w:rsidR="005A2219" w:rsidRPr="007C4D65">
        <w:rPr>
          <w:rFonts w:asciiTheme="minorHAnsi" w:hAnsiTheme="minorHAnsi" w:cstheme="minorHAnsi"/>
          <w:b/>
          <w:sz w:val="22"/>
        </w:rPr>
        <w:t>ing</w:t>
      </w:r>
      <w:r w:rsidRPr="007C4D65">
        <w:rPr>
          <w:rFonts w:asciiTheme="minorHAnsi" w:hAnsiTheme="minorHAnsi" w:cstheme="minorHAnsi"/>
          <w:b/>
          <w:sz w:val="22"/>
        </w:rPr>
        <w:t xml:space="preserve"> light pollution</w:t>
      </w:r>
      <w:r w:rsidRPr="007C4D65">
        <w:rPr>
          <w:rFonts w:asciiTheme="minorHAnsi" w:hAnsiTheme="minorHAnsi" w:cstheme="minorHAnsi"/>
          <w:sz w:val="22"/>
        </w:rPr>
        <w:t xml:space="preserve"> through enactment of legislation governing light pollution.</w:t>
      </w:r>
    </w:p>
    <w:p w14:paraId="29F25FCB" w14:textId="19DE066C" w:rsidR="00B62FBD" w:rsidRPr="007C4D65" w:rsidRDefault="00B62FBD" w:rsidP="0068355A">
      <w:pPr>
        <w:pStyle w:val="Caption"/>
        <w:spacing w:line="276" w:lineRule="auto"/>
        <w:rPr>
          <w:rFonts w:asciiTheme="minorHAnsi" w:hAnsiTheme="minorHAnsi" w:cstheme="minorHAnsi"/>
        </w:rPr>
      </w:pPr>
      <w:bookmarkStart w:id="143" w:name="_Toc117011598"/>
      <w:r w:rsidRPr="007C4D65">
        <w:rPr>
          <w:rFonts w:asciiTheme="minorHAnsi" w:hAnsiTheme="minorHAnsi" w:cstheme="minorHAnsi"/>
        </w:rPr>
        <w:t>Tab</w:t>
      </w:r>
      <w:r w:rsidRPr="007C4D65">
        <w:rPr>
          <w:rFonts w:asciiTheme="minorHAnsi" w:hAnsiTheme="minorHAnsi" w:cstheme="minorHAnsi"/>
          <w:b w:val="0"/>
        </w:rPr>
        <w:t xml:space="preserve">le </w:t>
      </w:r>
      <w:bookmarkStart w:id="144" w:name="tabela19"/>
      <w:r w:rsidRPr="007C4D65">
        <w:rPr>
          <w:rFonts w:asciiTheme="minorHAnsi" w:hAnsiTheme="minorHAnsi" w:cstheme="minorHAnsi"/>
        </w:rPr>
        <w:fldChar w:fldCharType="begin"/>
      </w:r>
      <w:r w:rsidRPr="007C4D65">
        <w:rPr>
          <w:rFonts w:asciiTheme="minorHAnsi" w:hAnsiTheme="minorHAnsi" w:cstheme="minorHAnsi"/>
        </w:rPr>
        <w:instrText xml:space="preserve"> SEQ Tabela \* ARABIC </w:instrText>
      </w:r>
      <w:r w:rsidRPr="007C4D65">
        <w:rPr>
          <w:rFonts w:asciiTheme="minorHAnsi" w:hAnsiTheme="minorHAnsi" w:cstheme="minorHAnsi"/>
        </w:rPr>
        <w:fldChar w:fldCharType="separate"/>
      </w:r>
      <w:r w:rsidR="00005022" w:rsidRPr="007C4D65">
        <w:rPr>
          <w:rFonts w:asciiTheme="minorHAnsi" w:hAnsiTheme="minorHAnsi" w:cstheme="minorHAnsi"/>
          <w:noProof/>
        </w:rPr>
        <w:t>19</w:t>
      </w:r>
      <w:r w:rsidRPr="007C4D65">
        <w:rPr>
          <w:rFonts w:asciiTheme="minorHAnsi" w:hAnsiTheme="minorHAnsi" w:cstheme="minorHAnsi"/>
        </w:rPr>
        <w:fldChar w:fldCharType="end"/>
      </w:r>
      <w:bookmarkEnd w:id="144"/>
      <w:r w:rsidRPr="007C4D65">
        <w:rPr>
          <w:rFonts w:asciiTheme="minorHAnsi" w:hAnsiTheme="minorHAnsi" w:cstheme="minorHAnsi"/>
        </w:rPr>
        <w:t xml:space="preserve">: </w:t>
      </w:r>
      <w:r w:rsidRPr="007C4D65">
        <w:rPr>
          <w:rFonts w:asciiTheme="minorHAnsi" w:hAnsiTheme="minorHAnsi" w:cstheme="minorHAnsi"/>
          <w:b w:val="0"/>
        </w:rPr>
        <w:t>Priorities with relevant indicators</w:t>
      </w:r>
      <w:bookmarkEnd w:id="143"/>
      <w:r w:rsidRPr="007C4D65">
        <w:rPr>
          <w:rFonts w:asciiTheme="minorHAnsi" w:hAnsiTheme="minorHAnsi" w:cstheme="minorHAnsi"/>
          <w:b w:val="0"/>
        </w:rPr>
        <w:t xml:space="preserve"> </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46"/>
        <w:gridCol w:w="2254"/>
        <w:gridCol w:w="2254"/>
        <w:gridCol w:w="2254"/>
      </w:tblGrid>
      <w:tr w:rsidR="005C1F7D" w:rsidRPr="007C4D65" w14:paraId="54BC8545" w14:textId="77777777" w:rsidTr="00B6017F">
        <w:trPr>
          <w:tblHeader/>
        </w:trPr>
        <w:tc>
          <w:tcPr>
            <w:tcW w:w="2146" w:type="dxa"/>
            <w:shd w:val="clear" w:color="auto" w:fill="009D73"/>
            <w:vAlign w:val="center"/>
          </w:tcPr>
          <w:p w14:paraId="04839234" w14:textId="77777777" w:rsidR="005C1F7D" w:rsidRPr="007C4D65" w:rsidRDefault="005C1F7D"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Priorities</w:t>
            </w:r>
          </w:p>
        </w:tc>
        <w:tc>
          <w:tcPr>
            <w:tcW w:w="2254" w:type="dxa"/>
            <w:shd w:val="clear" w:color="auto" w:fill="009D73"/>
            <w:vAlign w:val="center"/>
          </w:tcPr>
          <w:p w14:paraId="468C9421" w14:textId="77777777" w:rsidR="005C1F7D" w:rsidRPr="007C4D65" w:rsidRDefault="005C1F7D"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Indicator of deliverable</w:t>
            </w:r>
          </w:p>
        </w:tc>
        <w:tc>
          <w:tcPr>
            <w:tcW w:w="2254" w:type="dxa"/>
            <w:shd w:val="clear" w:color="auto" w:fill="009D73"/>
            <w:vAlign w:val="center"/>
          </w:tcPr>
          <w:p w14:paraId="1A1B9B85" w14:textId="77777777" w:rsidR="005C1F7D" w:rsidRPr="007C4D65" w:rsidRDefault="005C1F7D"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Baseline value</w:t>
            </w:r>
          </w:p>
        </w:tc>
        <w:tc>
          <w:tcPr>
            <w:tcW w:w="2254" w:type="dxa"/>
            <w:shd w:val="clear" w:color="auto" w:fill="009D73"/>
            <w:vAlign w:val="center"/>
          </w:tcPr>
          <w:p w14:paraId="3029F584" w14:textId="77777777" w:rsidR="005C1F7D" w:rsidRPr="007C4D65" w:rsidRDefault="005C1F7D"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Target value</w:t>
            </w:r>
          </w:p>
        </w:tc>
      </w:tr>
      <w:tr w:rsidR="005C1F7D" w:rsidRPr="007C4D65" w14:paraId="1B22C5E1" w14:textId="77777777" w:rsidTr="00B6017F">
        <w:trPr>
          <w:trHeight w:val="300"/>
        </w:trPr>
        <w:tc>
          <w:tcPr>
            <w:tcW w:w="2146" w:type="dxa"/>
            <w:vMerge w:val="restart"/>
          </w:tcPr>
          <w:p w14:paraId="5F518A5F" w14:textId="77777777" w:rsidR="005C1F7D" w:rsidRPr="007C4D65" w:rsidRDefault="005C1F7D"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Priority 4.1 Reduce air pollution by reducing air pollutants to levels that are safe for human health</w:t>
            </w:r>
          </w:p>
        </w:tc>
        <w:tc>
          <w:tcPr>
            <w:tcW w:w="2254" w:type="dxa"/>
          </w:tcPr>
          <w:p w14:paraId="56364457"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Amounts of emissions of pollutants from large plants</w:t>
            </w:r>
          </w:p>
        </w:tc>
        <w:tc>
          <w:tcPr>
            <w:tcW w:w="2254" w:type="dxa"/>
          </w:tcPr>
          <w:p w14:paraId="7AE891AC" w14:textId="3AD85E5B"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In 2014, polluting emissions included: 6,702 </w:t>
            </w:r>
            <w:r w:rsidR="00007DA5" w:rsidRPr="007C4D65">
              <w:rPr>
                <w:rFonts w:asciiTheme="minorHAnsi" w:hAnsiTheme="minorHAnsi" w:cstheme="minorHAnsi"/>
                <w:sz w:val="18"/>
              </w:rPr>
              <w:t>tons</w:t>
            </w:r>
            <w:r w:rsidRPr="007C4D65">
              <w:rPr>
                <w:rFonts w:asciiTheme="minorHAnsi" w:hAnsiTheme="minorHAnsi" w:cstheme="minorHAnsi"/>
                <w:sz w:val="18"/>
              </w:rPr>
              <w:t xml:space="preserve"> sulphur dioxide, 4,964 </w:t>
            </w:r>
            <w:r w:rsidR="00007DA5" w:rsidRPr="007C4D65">
              <w:rPr>
                <w:rFonts w:asciiTheme="minorHAnsi" w:hAnsiTheme="minorHAnsi" w:cstheme="minorHAnsi"/>
                <w:sz w:val="18"/>
              </w:rPr>
              <w:t>tons</w:t>
            </w:r>
            <w:r w:rsidRPr="007C4D65">
              <w:rPr>
                <w:rFonts w:asciiTheme="minorHAnsi" w:hAnsiTheme="minorHAnsi" w:cstheme="minorHAnsi"/>
                <w:sz w:val="18"/>
              </w:rPr>
              <w:t xml:space="preserve"> nitrogen oxides, 496 </w:t>
            </w:r>
            <w:r w:rsidR="00007DA5" w:rsidRPr="007C4D65">
              <w:rPr>
                <w:rFonts w:asciiTheme="minorHAnsi" w:hAnsiTheme="minorHAnsi" w:cstheme="minorHAnsi"/>
                <w:sz w:val="18"/>
              </w:rPr>
              <w:t>tons</w:t>
            </w:r>
            <w:r w:rsidRPr="007C4D65">
              <w:rPr>
                <w:rFonts w:asciiTheme="minorHAnsi" w:hAnsiTheme="minorHAnsi" w:cstheme="minorHAnsi"/>
                <w:sz w:val="18"/>
              </w:rPr>
              <w:t xml:space="preserve"> particulate matters. </w:t>
            </w:r>
          </w:p>
        </w:tc>
        <w:tc>
          <w:tcPr>
            <w:tcW w:w="2254" w:type="dxa"/>
          </w:tcPr>
          <w:p w14:paraId="47296C0B" w14:textId="77777777" w:rsidR="005C1F7D" w:rsidRPr="007C4D65" w:rsidRDefault="005C1F7D" w:rsidP="00B6017F">
            <w:pPr>
              <w:spacing w:line="276" w:lineRule="auto"/>
              <w:rPr>
                <w:rFonts w:asciiTheme="minorHAnsi" w:hAnsiTheme="minorHAnsi" w:cstheme="minorHAnsi"/>
                <w:sz w:val="18"/>
                <w:szCs w:val="18"/>
              </w:rPr>
            </w:pPr>
          </w:p>
        </w:tc>
      </w:tr>
      <w:tr w:rsidR="005C1F7D" w:rsidRPr="007C4D65" w14:paraId="65700795" w14:textId="77777777" w:rsidTr="00B6017F">
        <w:trPr>
          <w:trHeight w:val="300"/>
        </w:trPr>
        <w:tc>
          <w:tcPr>
            <w:tcW w:w="2146" w:type="dxa"/>
            <w:vMerge/>
            <w:vAlign w:val="center"/>
          </w:tcPr>
          <w:p w14:paraId="200E0116"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544C733F"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Compliance with BAT.</w:t>
            </w:r>
          </w:p>
        </w:tc>
        <w:tc>
          <w:tcPr>
            <w:tcW w:w="2254" w:type="dxa"/>
          </w:tcPr>
          <w:p w14:paraId="13EE11F4"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Poor compliance with BAT.</w:t>
            </w:r>
          </w:p>
        </w:tc>
        <w:tc>
          <w:tcPr>
            <w:tcW w:w="2254" w:type="dxa"/>
          </w:tcPr>
          <w:p w14:paraId="2F337DDB"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All the industrial plants compliant with BAT by 2032.</w:t>
            </w:r>
          </w:p>
        </w:tc>
      </w:tr>
      <w:tr w:rsidR="005C1F7D" w:rsidRPr="007C4D65" w14:paraId="7C1F0E6E" w14:textId="77777777" w:rsidTr="00B6017F">
        <w:trPr>
          <w:trHeight w:val="300"/>
        </w:trPr>
        <w:tc>
          <w:tcPr>
            <w:tcW w:w="2146" w:type="dxa"/>
            <w:vMerge/>
            <w:vAlign w:val="center"/>
          </w:tcPr>
          <w:p w14:paraId="15DFD4D8"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46F523A8"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Percentage of reduction of polluting emissions from household stoves and service industry.</w:t>
            </w:r>
          </w:p>
        </w:tc>
        <w:tc>
          <w:tcPr>
            <w:tcW w:w="2254" w:type="dxa"/>
          </w:tcPr>
          <w:p w14:paraId="4565BEEB"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High emissions and impact on air quality from household stoves and emissions from the service industry</w:t>
            </w:r>
          </w:p>
        </w:tc>
        <w:tc>
          <w:tcPr>
            <w:tcW w:w="2254" w:type="dxa"/>
          </w:tcPr>
          <w:p w14:paraId="6B5A23DF"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Reducing emissions from household stoves by 50% by 2032 as compared the baseline year</w:t>
            </w:r>
          </w:p>
        </w:tc>
      </w:tr>
      <w:tr w:rsidR="005C1F7D" w:rsidRPr="007C4D65" w14:paraId="3C292E32" w14:textId="77777777" w:rsidTr="00B6017F">
        <w:trPr>
          <w:trHeight w:val="300"/>
        </w:trPr>
        <w:tc>
          <w:tcPr>
            <w:tcW w:w="2146" w:type="dxa"/>
            <w:vMerge/>
            <w:vAlign w:val="center"/>
          </w:tcPr>
          <w:p w14:paraId="4E798BDE"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27F7B1DF"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Percentage of district heating in total heated area in the building sector</w:t>
            </w:r>
          </w:p>
        </w:tc>
        <w:tc>
          <w:tcPr>
            <w:tcW w:w="2254" w:type="dxa"/>
          </w:tcPr>
          <w:p w14:paraId="646F72E7"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Share of the district heating in the total heated area in the building sector about 8%.</w:t>
            </w:r>
          </w:p>
        </w:tc>
        <w:tc>
          <w:tcPr>
            <w:tcW w:w="2254" w:type="dxa"/>
          </w:tcPr>
          <w:p w14:paraId="2297FF48"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Increasing the share of the district heating in the total heated area in the building </w:t>
            </w:r>
            <w:proofErr w:type="gramStart"/>
            <w:r w:rsidRPr="007C4D65">
              <w:rPr>
                <w:rFonts w:asciiTheme="minorHAnsi" w:hAnsiTheme="minorHAnsi" w:cstheme="minorHAnsi"/>
                <w:sz w:val="18"/>
              </w:rPr>
              <w:t>sector  to</w:t>
            </w:r>
            <w:proofErr w:type="gramEnd"/>
            <w:r w:rsidRPr="007C4D65">
              <w:rPr>
                <w:rFonts w:asciiTheme="minorHAnsi" w:hAnsiTheme="minorHAnsi" w:cstheme="minorHAnsi"/>
                <w:sz w:val="18"/>
              </w:rPr>
              <w:t xml:space="preserve"> 15% by 2030</w:t>
            </w:r>
          </w:p>
        </w:tc>
      </w:tr>
      <w:tr w:rsidR="005C1F7D" w:rsidRPr="007C4D65" w14:paraId="0830B407" w14:textId="77777777" w:rsidTr="00B6017F">
        <w:trPr>
          <w:trHeight w:val="300"/>
        </w:trPr>
        <w:tc>
          <w:tcPr>
            <w:tcW w:w="2146" w:type="dxa"/>
            <w:vMerge/>
            <w:vAlign w:val="center"/>
          </w:tcPr>
          <w:p w14:paraId="12DE011E"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69DDA447"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Percentage of reduction of pollutants emissions from the transport</w:t>
            </w:r>
          </w:p>
        </w:tc>
        <w:tc>
          <w:tcPr>
            <w:tcW w:w="2254" w:type="dxa"/>
          </w:tcPr>
          <w:p w14:paraId="76F42376"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Underdeveloped public and non-motorised transport, aging vehicles, emission of particulate matters in 2016 was 1,101.8 tons. </w:t>
            </w:r>
          </w:p>
          <w:p w14:paraId="0F0166BF"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 </w:t>
            </w:r>
          </w:p>
        </w:tc>
        <w:tc>
          <w:tcPr>
            <w:tcW w:w="2254" w:type="dxa"/>
          </w:tcPr>
          <w:p w14:paraId="43CF710C"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Reducing pollutants emissions from transport by 30% by 2030 (including raising dust from roads) as compared to 2016</w:t>
            </w:r>
          </w:p>
        </w:tc>
      </w:tr>
      <w:tr w:rsidR="005C1F7D" w:rsidRPr="007C4D65" w14:paraId="121A2F32" w14:textId="77777777" w:rsidTr="00B6017F">
        <w:trPr>
          <w:trHeight w:val="300"/>
        </w:trPr>
        <w:tc>
          <w:tcPr>
            <w:tcW w:w="2146" w:type="dxa"/>
            <w:vMerge w:val="restart"/>
          </w:tcPr>
          <w:p w14:paraId="4F771BC7" w14:textId="5336CD10" w:rsidR="005C1F7D" w:rsidRPr="007C4D65" w:rsidRDefault="005C1F7D"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4.2 </w:t>
            </w:r>
            <w:bookmarkStart w:id="145" w:name="_Hlk117186055"/>
            <w:r w:rsidRPr="007C4D65">
              <w:rPr>
                <w:rFonts w:asciiTheme="minorHAnsi" w:hAnsiTheme="minorHAnsi" w:cstheme="minorHAnsi"/>
                <w:b/>
                <w:sz w:val="18"/>
              </w:rPr>
              <w:t xml:space="preserve">Upgrading the air quality management system to support </w:t>
            </w:r>
            <w:r w:rsidR="009F16BA" w:rsidRPr="007C4D65">
              <w:rPr>
                <w:rFonts w:asciiTheme="minorHAnsi" w:hAnsiTheme="minorHAnsi" w:cstheme="minorHAnsi"/>
                <w:b/>
                <w:sz w:val="18"/>
              </w:rPr>
              <w:t>strategic decision-making</w:t>
            </w:r>
            <w:r w:rsidRPr="007C4D65">
              <w:rPr>
                <w:rFonts w:asciiTheme="minorHAnsi" w:hAnsiTheme="minorHAnsi" w:cstheme="minorHAnsi"/>
                <w:b/>
                <w:sz w:val="18"/>
              </w:rPr>
              <w:t xml:space="preserve"> and public information on air quality and emissions</w:t>
            </w:r>
            <w:bookmarkEnd w:id="145"/>
          </w:p>
        </w:tc>
        <w:tc>
          <w:tcPr>
            <w:tcW w:w="2254" w:type="dxa"/>
          </w:tcPr>
          <w:p w14:paraId="277173B7" w14:textId="3CB91F76"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Level of information </w:t>
            </w:r>
            <w:r w:rsidR="002E1D74" w:rsidRPr="007C4D65">
              <w:rPr>
                <w:rFonts w:asciiTheme="minorHAnsi" w:hAnsiTheme="minorHAnsi" w:cstheme="minorHAnsi"/>
                <w:sz w:val="18"/>
              </w:rPr>
              <w:t>provided</w:t>
            </w:r>
            <w:r w:rsidRPr="007C4D65">
              <w:rPr>
                <w:rFonts w:asciiTheme="minorHAnsi" w:hAnsiTheme="minorHAnsi" w:cstheme="minorHAnsi"/>
                <w:sz w:val="18"/>
              </w:rPr>
              <w:t xml:space="preserve"> to public on air quality and emissions</w:t>
            </w:r>
          </w:p>
        </w:tc>
        <w:tc>
          <w:tcPr>
            <w:tcW w:w="2254" w:type="dxa"/>
          </w:tcPr>
          <w:p w14:paraId="467105D4" w14:textId="74E5B05E"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Underdeveloped public information system on air quality and emissions of </w:t>
            </w:r>
            <w:r w:rsidR="002E1D74" w:rsidRPr="007C4D65">
              <w:rPr>
                <w:rFonts w:asciiTheme="minorHAnsi" w:hAnsiTheme="minorHAnsi" w:cstheme="minorHAnsi"/>
                <w:sz w:val="18"/>
              </w:rPr>
              <w:t>pollutants</w:t>
            </w:r>
            <w:r w:rsidRPr="007C4D65">
              <w:rPr>
                <w:rFonts w:asciiTheme="minorHAnsi" w:hAnsiTheme="minorHAnsi" w:cstheme="minorHAnsi"/>
                <w:sz w:val="18"/>
              </w:rPr>
              <w:t xml:space="preserve"> into the air </w:t>
            </w:r>
          </w:p>
        </w:tc>
        <w:tc>
          <w:tcPr>
            <w:tcW w:w="2254" w:type="dxa"/>
          </w:tcPr>
          <w:p w14:paraId="78F96164" w14:textId="21BC3C34"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A system capable of providing public information on air quality and emissions of </w:t>
            </w:r>
            <w:r w:rsidR="002E1D74" w:rsidRPr="007C4D65">
              <w:rPr>
                <w:rFonts w:asciiTheme="minorHAnsi" w:hAnsiTheme="minorHAnsi" w:cstheme="minorHAnsi"/>
                <w:sz w:val="18"/>
              </w:rPr>
              <w:t>pollutants</w:t>
            </w:r>
            <w:r w:rsidRPr="007C4D65">
              <w:rPr>
                <w:rFonts w:asciiTheme="minorHAnsi" w:hAnsiTheme="minorHAnsi" w:cstheme="minorHAnsi"/>
                <w:sz w:val="18"/>
              </w:rPr>
              <w:t xml:space="preserve"> into the air in real and integrated time set up by 2032 </w:t>
            </w:r>
          </w:p>
        </w:tc>
      </w:tr>
      <w:tr w:rsidR="005C1F7D" w:rsidRPr="007C4D65" w14:paraId="03D3DE32" w14:textId="77777777" w:rsidTr="00B6017F">
        <w:trPr>
          <w:trHeight w:val="300"/>
        </w:trPr>
        <w:tc>
          <w:tcPr>
            <w:tcW w:w="2146" w:type="dxa"/>
            <w:vMerge/>
            <w:vAlign w:val="center"/>
          </w:tcPr>
          <w:p w14:paraId="11913A01"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0B6AEB9E"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Performance of the reporting system </w:t>
            </w:r>
          </w:p>
        </w:tc>
        <w:tc>
          <w:tcPr>
            <w:tcW w:w="2254" w:type="dxa"/>
          </w:tcPr>
          <w:p w14:paraId="1FDDC92B"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There is no integrated system for reporting on pollutants emissions and GHG, and air quality to the international institutions</w:t>
            </w:r>
          </w:p>
        </w:tc>
        <w:tc>
          <w:tcPr>
            <w:tcW w:w="2254" w:type="dxa"/>
          </w:tcPr>
          <w:p w14:paraId="1A7B3603"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A system for reporting on emissions and air quality to the international institutions built by 2025</w:t>
            </w:r>
          </w:p>
        </w:tc>
      </w:tr>
      <w:tr w:rsidR="005C1F7D" w:rsidRPr="007C4D65" w14:paraId="7F381701" w14:textId="77777777" w:rsidTr="00B6017F">
        <w:trPr>
          <w:trHeight w:val="300"/>
        </w:trPr>
        <w:tc>
          <w:tcPr>
            <w:tcW w:w="2146" w:type="dxa"/>
            <w:vMerge/>
            <w:vAlign w:val="center"/>
          </w:tcPr>
          <w:p w14:paraId="71FFD41E"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7E796653"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Coverage of the territory of the Federation of BiH by the network of measuring stations.</w:t>
            </w:r>
          </w:p>
        </w:tc>
        <w:tc>
          <w:tcPr>
            <w:tcW w:w="2254" w:type="dxa"/>
          </w:tcPr>
          <w:p w14:paraId="12577FDB"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22 measuring stations for air quality in 2019, deployed in 10 cities/municipalities, some areas of the Federation are not provided with a measuring station</w:t>
            </w:r>
          </w:p>
        </w:tc>
        <w:tc>
          <w:tcPr>
            <w:tcW w:w="2254" w:type="dxa"/>
          </w:tcPr>
          <w:p w14:paraId="41D0B838" w14:textId="285CD823"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territory </w:t>
            </w:r>
            <w:r w:rsidR="007436F1" w:rsidRPr="007C4D65">
              <w:rPr>
                <w:rFonts w:asciiTheme="minorHAnsi" w:hAnsiTheme="minorHAnsi" w:cstheme="minorHAnsi"/>
                <w:sz w:val="18"/>
              </w:rPr>
              <w:t>of the Federation of BiH</w:t>
            </w:r>
            <w:r w:rsidRPr="007C4D65">
              <w:rPr>
                <w:rFonts w:asciiTheme="minorHAnsi" w:hAnsiTheme="minorHAnsi" w:cstheme="minorHAnsi"/>
                <w:sz w:val="18"/>
              </w:rPr>
              <w:t xml:space="preserve"> 2025 fully </w:t>
            </w:r>
            <w:r w:rsidR="002E1D74" w:rsidRPr="007C4D65">
              <w:rPr>
                <w:rFonts w:asciiTheme="minorHAnsi" w:hAnsiTheme="minorHAnsi" w:cstheme="minorHAnsi"/>
                <w:sz w:val="18"/>
              </w:rPr>
              <w:t>covered</w:t>
            </w:r>
            <w:r w:rsidRPr="007C4D65">
              <w:rPr>
                <w:rFonts w:asciiTheme="minorHAnsi" w:hAnsiTheme="minorHAnsi" w:cstheme="minorHAnsi"/>
                <w:sz w:val="18"/>
              </w:rPr>
              <w:t xml:space="preserve"> by the network of the stations</w:t>
            </w:r>
          </w:p>
        </w:tc>
      </w:tr>
      <w:tr w:rsidR="005C1F7D" w:rsidRPr="007C4D65" w14:paraId="75437BE7" w14:textId="77777777" w:rsidTr="00B6017F">
        <w:trPr>
          <w:trHeight w:val="300"/>
        </w:trPr>
        <w:tc>
          <w:tcPr>
            <w:tcW w:w="2146" w:type="dxa"/>
            <w:vMerge w:val="restart"/>
          </w:tcPr>
          <w:p w14:paraId="25D77953" w14:textId="23B6DA60" w:rsidR="005C1F7D" w:rsidRPr="007C4D65" w:rsidRDefault="005C1F7D"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4.3 </w:t>
            </w:r>
            <w:r w:rsidR="00131E81" w:rsidRPr="007C4D65">
              <w:rPr>
                <w:rFonts w:asciiTheme="minorHAnsi" w:hAnsiTheme="minorHAnsi" w:cstheme="minorHAnsi"/>
                <w:b/>
                <w:sz w:val="18"/>
              </w:rPr>
              <w:t xml:space="preserve">Reduce the impact of the Federation of BiH on climate changes </w:t>
            </w:r>
            <w:r w:rsidR="00131E81" w:rsidRPr="007C4D65">
              <w:rPr>
                <w:rFonts w:asciiTheme="minorHAnsi" w:hAnsiTheme="minorHAnsi" w:cstheme="minorHAnsi"/>
                <w:b/>
                <w:sz w:val="18"/>
              </w:rPr>
              <w:lastRenderedPageBreak/>
              <w:t>through reduced GHG emissions and enhanced carbon sinks</w:t>
            </w:r>
          </w:p>
        </w:tc>
        <w:tc>
          <w:tcPr>
            <w:tcW w:w="2254" w:type="dxa"/>
          </w:tcPr>
          <w:p w14:paraId="565637A6"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lastRenderedPageBreak/>
              <w:t>Percentage of reduction of GHG emissions</w:t>
            </w:r>
          </w:p>
        </w:tc>
        <w:tc>
          <w:tcPr>
            <w:tcW w:w="2254" w:type="dxa"/>
          </w:tcPr>
          <w:p w14:paraId="44A1B49F"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Emissions estimated at about 18,323 Gg in 2014,</w:t>
            </w:r>
          </w:p>
          <w:p w14:paraId="0A9AFF06"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There is no GHG inventory; </w:t>
            </w:r>
          </w:p>
        </w:tc>
        <w:tc>
          <w:tcPr>
            <w:tcW w:w="2254" w:type="dxa"/>
          </w:tcPr>
          <w:p w14:paraId="773632B0"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GHG emissions reduced by 17.5% by 2030 as compared to 2014 </w:t>
            </w:r>
            <w:r w:rsidRPr="007C4D65">
              <w:rPr>
                <w:rFonts w:asciiTheme="minorHAnsi" w:hAnsiTheme="minorHAnsi" w:cstheme="minorHAnsi"/>
                <w:sz w:val="18"/>
              </w:rPr>
              <w:lastRenderedPageBreak/>
              <w:t>(strategic goal from NDC BiH adopted in March 2021)</w:t>
            </w:r>
          </w:p>
        </w:tc>
      </w:tr>
      <w:tr w:rsidR="005C1F7D" w:rsidRPr="007C4D65" w14:paraId="5CD4C7C1" w14:textId="77777777" w:rsidTr="00B6017F">
        <w:trPr>
          <w:trHeight w:val="300"/>
        </w:trPr>
        <w:tc>
          <w:tcPr>
            <w:tcW w:w="2146" w:type="dxa"/>
            <w:vMerge/>
            <w:vAlign w:val="center"/>
          </w:tcPr>
          <w:p w14:paraId="38F53166"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3174DFDC"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percentage of reduction of GHG emissions from the large plants</w:t>
            </w:r>
          </w:p>
        </w:tc>
        <w:tc>
          <w:tcPr>
            <w:tcW w:w="2254" w:type="dxa"/>
          </w:tcPr>
          <w:p w14:paraId="6BBCD189"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Emissions from the large plants account for 40% of the total emissions</w:t>
            </w:r>
          </w:p>
        </w:tc>
        <w:tc>
          <w:tcPr>
            <w:tcW w:w="2254" w:type="dxa"/>
          </w:tcPr>
          <w:p w14:paraId="45BF7413"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Emissions from large facilities reduced (equivalent to EU ETS) by 28,7% by 2030 as compared to 2014</w:t>
            </w:r>
          </w:p>
        </w:tc>
      </w:tr>
      <w:tr w:rsidR="005C1F7D" w:rsidRPr="007C4D65" w14:paraId="3F5A059E" w14:textId="77777777" w:rsidTr="00B6017F">
        <w:trPr>
          <w:trHeight w:val="300"/>
        </w:trPr>
        <w:tc>
          <w:tcPr>
            <w:tcW w:w="2146" w:type="dxa"/>
            <w:vMerge/>
            <w:vAlign w:val="center"/>
          </w:tcPr>
          <w:p w14:paraId="6A00228F"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223AB3EC"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Percentage of sink increase</w:t>
            </w:r>
          </w:p>
        </w:tc>
        <w:tc>
          <w:tcPr>
            <w:tcW w:w="2254" w:type="dxa"/>
          </w:tcPr>
          <w:p w14:paraId="411534C2"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Sinks were estimated at about 3,697 Gg in 2014</w:t>
            </w:r>
          </w:p>
        </w:tc>
        <w:tc>
          <w:tcPr>
            <w:tcW w:w="2254" w:type="dxa"/>
          </w:tcPr>
          <w:p w14:paraId="6595D004"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2.1.1. Increasing GHG sinks by 10% by 2030 as compared to 2014</w:t>
            </w:r>
          </w:p>
        </w:tc>
      </w:tr>
      <w:tr w:rsidR="005C1F7D" w:rsidRPr="007C4D65" w14:paraId="2A782F8A" w14:textId="77777777" w:rsidTr="00B6017F">
        <w:trPr>
          <w:trHeight w:val="300"/>
        </w:trPr>
        <w:tc>
          <w:tcPr>
            <w:tcW w:w="2146" w:type="dxa"/>
            <w:vMerge w:val="restart"/>
          </w:tcPr>
          <w:p w14:paraId="7B9641E8" w14:textId="70BD3819" w:rsidR="005C1F7D" w:rsidRPr="007C4D65" w:rsidRDefault="005C1F7D"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4.4 </w:t>
            </w:r>
            <w:r w:rsidR="00915506" w:rsidRPr="007C4D65">
              <w:rPr>
                <w:rFonts w:asciiTheme="minorHAnsi" w:hAnsiTheme="minorHAnsi" w:cstheme="minorHAnsi"/>
                <w:b/>
                <w:sz w:val="18"/>
              </w:rPr>
              <w:t>Enhancing resilience to climate change</w:t>
            </w:r>
          </w:p>
        </w:tc>
        <w:tc>
          <w:tcPr>
            <w:tcW w:w="2254" w:type="dxa"/>
          </w:tcPr>
          <w:p w14:paraId="4E6B545F"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Establishment of a functional and integrated system for keeping records of damages</w:t>
            </w:r>
          </w:p>
        </w:tc>
        <w:tc>
          <w:tcPr>
            <w:tcW w:w="2254" w:type="dxa"/>
          </w:tcPr>
          <w:p w14:paraId="06909A5B"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There is no system for keeping records of damages in place</w:t>
            </w:r>
          </w:p>
        </w:tc>
        <w:tc>
          <w:tcPr>
            <w:tcW w:w="2254" w:type="dxa"/>
          </w:tcPr>
          <w:p w14:paraId="747E405D"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A system for keeping records of damages in place by 2025</w:t>
            </w:r>
          </w:p>
        </w:tc>
      </w:tr>
      <w:tr w:rsidR="005C1F7D" w:rsidRPr="007C4D65" w14:paraId="210F7429" w14:textId="77777777" w:rsidTr="00B6017F">
        <w:trPr>
          <w:trHeight w:val="300"/>
        </w:trPr>
        <w:tc>
          <w:tcPr>
            <w:tcW w:w="2146" w:type="dxa"/>
            <w:vMerge/>
            <w:vAlign w:val="center"/>
          </w:tcPr>
          <w:p w14:paraId="5FC48F6E"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12BF680C"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Application of the principle of sustainable use of water in irrigation of agricultural land</w:t>
            </w:r>
          </w:p>
        </w:tc>
        <w:tc>
          <w:tcPr>
            <w:tcW w:w="2254" w:type="dxa"/>
          </w:tcPr>
          <w:p w14:paraId="54075C37" w14:textId="4B891058"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6,862 ha of land </w:t>
            </w:r>
            <w:proofErr w:type="gramStart"/>
            <w:r w:rsidRPr="007C4D65">
              <w:rPr>
                <w:rFonts w:asciiTheme="minorHAnsi" w:hAnsiTheme="minorHAnsi" w:cstheme="minorHAnsi"/>
                <w:sz w:val="18"/>
              </w:rPr>
              <w:t>irrigated,</w:t>
            </w:r>
            <w:proofErr w:type="gramEnd"/>
            <w:r w:rsidRPr="007C4D65">
              <w:rPr>
                <w:rFonts w:asciiTheme="minorHAnsi" w:hAnsiTheme="minorHAnsi" w:cstheme="minorHAnsi"/>
                <w:sz w:val="18"/>
              </w:rPr>
              <w:t xml:space="preserve"> a </w:t>
            </w:r>
            <w:r w:rsidR="006C5EE4" w:rsidRPr="007C4D65">
              <w:rPr>
                <w:rFonts w:asciiTheme="minorHAnsi" w:hAnsiTheme="minorHAnsi" w:cstheme="minorHAnsi"/>
                <w:sz w:val="18"/>
              </w:rPr>
              <w:t>significant</w:t>
            </w:r>
            <w:r w:rsidRPr="007C4D65">
              <w:rPr>
                <w:rFonts w:asciiTheme="minorHAnsi" w:hAnsiTheme="minorHAnsi" w:cstheme="minorHAnsi"/>
                <w:sz w:val="18"/>
              </w:rPr>
              <w:t xml:space="preserve"> increase of irrigated area </w:t>
            </w:r>
          </w:p>
        </w:tc>
        <w:tc>
          <w:tcPr>
            <w:tcW w:w="2254" w:type="dxa"/>
          </w:tcPr>
          <w:p w14:paraId="39698B3D"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Application of the principle of sustainable use of water in irrigation of agricultural land </w:t>
            </w:r>
          </w:p>
        </w:tc>
      </w:tr>
      <w:tr w:rsidR="005C1F7D" w:rsidRPr="007C4D65" w14:paraId="6F5BD70B" w14:textId="77777777" w:rsidTr="00B6017F">
        <w:trPr>
          <w:trHeight w:val="300"/>
        </w:trPr>
        <w:tc>
          <w:tcPr>
            <w:tcW w:w="2146" w:type="dxa"/>
            <w:vMerge/>
            <w:vAlign w:val="center"/>
          </w:tcPr>
          <w:p w14:paraId="68E809EE"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28D1E2C7"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Level of capacity development  </w:t>
            </w:r>
          </w:p>
        </w:tc>
        <w:tc>
          <w:tcPr>
            <w:tcW w:w="2254" w:type="dxa"/>
          </w:tcPr>
          <w:p w14:paraId="16F5B4AD"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Poorly developed early detection and firefighting capacities</w:t>
            </w:r>
          </w:p>
        </w:tc>
        <w:tc>
          <w:tcPr>
            <w:tcW w:w="2254" w:type="dxa"/>
          </w:tcPr>
          <w:p w14:paraId="6B211627"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Highly developed early detection and firefighting capacities</w:t>
            </w:r>
          </w:p>
        </w:tc>
      </w:tr>
      <w:tr w:rsidR="005C1F7D" w:rsidRPr="007C4D65" w14:paraId="4945D950" w14:textId="77777777" w:rsidTr="00B6017F">
        <w:trPr>
          <w:trHeight w:val="300"/>
        </w:trPr>
        <w:tc>
          <w:tcPr>
            <w:tcW w:w="2146" w:type="dxa"/>
            <w:vMerge/>
            <w:vAlign w:val="center"/>
          </w:tcPr>
          <w:p w14:paraId="3155AB05"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3E8EB98E"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Level of capacity development</w:t>
            </w:r>
          </w:p>
        </w:tc>
        <w:tc>
          <w:tcPr>
            <w:tcW w:w="2254" w:type="dxa"/>
          </w:tcPr>
          <w:p w14:paraId="04715528"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Poorly developed fire protection capacities</w:t>
            </w:r>
          </w:p>
        </w:tc>
        <w:tc>
          <w:tcPr>
            <w:tcW w:w="2254" w:type="dxa"/>
          </w:tcPr>
          <w:p w14:paraId="0ADC8779"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Highly developed fire protection capacities</w:t>
            </w:r>
          </w:p>
        </w:tc>
      </w:tr>
      <w:tr w:rsidR="005C1F7D" w:rsidRPr="007C4D65" w14:paraId="605D6BA7" w14:textId="77777777" w:rsidTr="00B6017F">
        <w:trPr>
          <w:trHeight w:val="300"/>
        </w:trPr>
        <w:tc>
          <w:tcPr>
            <w:tcW w:w="2146" w:type="dxa"/>
            <w:vMerge/>
            <w:vAlign w:val="center"/>
          </w:tcPr>
          <w:p w14:paraId="17AEC049"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26136B6A"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Establishment of a functional coordination of the early warning system </w:t>
            </w:r>
          </w:p>
        </w:tc>
        <w:tc>
          <w:tcPr>
            <w:tcW w:w="2254" w:type="dxa"/>
          </w:tcPr>
          <w:p w14:paraId="520C9281"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There is no coordination system </w:t>
            </w:r>
          </w:p>
        </w:tc>
        <w:tc>
          <w:tcPr>
            <w:tcW w:w="2254" w:type="dxa"/>
          </w:tcPr>
          <w:p w14:paraId="475D4644"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early warning coordination system in place by 2025</w:t>
            </w:r>
          </w:p>
        </w:tc>
      </w:tr>
      <w:tr w:rsidR="005C1F7D" w:rsidRPr="007C4D65" w14:paraId="3B7617AC" w14:textId="77777777" w:rsidTr="00B6017F">
        <w:trPr>
          <w:trHeight w:val="300"/>
        </w:trPr>
        <w:tc>
          <w:tcPr>
            <w:tcW w:w="2146" w:type="dxa"/>
            <w:vMerge/>
            <w:vAlign w:val="center"/>
          </w:tcPr>
          <w:p w14:paraId="7AF7D469"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109CABD2"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A functional coordination and monitoring system for the implementation of climate change adaptation measures set up</w:t>
            </w:r>
          </w:p>
        </w:tc>
        <w:tc>
          <w:tcPr>
            <w:tcW w:w="2254" w:type="dxa"/>
          </w:tcPr>
          <w:p w14:paraId="65784B83"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There is no system for coordination and monitoring of the implementation of measures</w:t>
            </w:r>
          </w:p>
        </w:tc>
        <w:tc>
          <w:tcPr>
            <w:tcW w:w="2254" w:type="dxa"/>
          </w:tcPr>
          <w:p w14:paraId="52F5D195"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A coordination and </w:t>
            </w:r>
            <w:proofErr w:type="gramStart"/>
            <w:r w:rsidRPr="007C4D65">
              <w:rPr>
                <w:rFonts w:asciiTheme="minorHAnsi" w:hAnsiTheme="minorHAnsi" w:cstheme="minorHAnsi"/>
                <w:sz w:val="18"/>
              </w:rPr>
              <w:t>monitoring  system</w:t>
            </w:r>
            <w:proofErr w:type="gramEnd"/>
            <w:r w:rsidRPr="007C4D65">
              <w:rPr>
                <w:rFonts w:asciiTheme="minorHAnsi" w:hAnsiTheme="minorHAnsi" w:cstheme="minorHAnsi"/>
                <w:sz w:val="18"/>
              </w:rPr>
              <w:t xml:space="preserve"> for the implementation of measures set up by 2025.</w:t>
            </w:r>
          </w:p>
        </w:tc>
      </w:tr>
      <w:tr w:rsidR="005C1F7D" w:rsidRPr="007C4D65" w14:paraId="007D8CB8" w14:textId="77777777" w:rsidTr="00B6017F">
        <w:trPr>
          <w:trHeight w:val="300"/>
        </w:trPr>
        <w:tc>
          <w:tcPr>
            <w:tcW w:w="2146" w:type="dxa"/>
            <w:vMerge w:val="restart"/>
          </w:tcPr>
          <w:p w14:paraId="3C76F375" w14:textId="088935C0" w:rsidR="005C1F7D" w:rsidRPr="007C4D65" w:rsidRDefault="005C1F7D"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4.5 Improving </w:t>
            </w:r>
            <w:r w:rsidR="009477FB" w:rsidRPr="007C4D65">
              <w:rPr>
                <w:rFonts w:asciiTheme="minorHAnsi" w:hAnsiTheme="minorHAnsi" w:cstheme="minorHAnsi"/>
                <w:b/>
                <w:sz w:val="18"/>
              </w:rPr>
              <w:t>energy efficiency of final consumption</w:t>
            </w:r>
            <w:r w:rsidRPr="007C4D65">
              <w:rPr>
                <w:rFonts w:asciiTheme="minorHAnsi" w:hAnsiTheme="minorHAnsi" w:cstheme="minorHAnsi"/>
                <w:b/>
                <w:sz w:val="18"/>
              </w:rPr>
              <w:t xml:space="preserve"> in all sectors</w:t>
            </w:r>
          </w:p>
        </w:tc>
        <w:tc>
          <w:tcPr>
            <w:tcW w:w="2254" w:type="dxa"/>
          </w:tcPr>
          <w:p w14:paraId="3A669E67"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State of development of an improved legislative framework</w:t>
            </w:r>
          </w:p>
        </w:tc>
        <w:tc>
          <w:tcPr>
            <w:tcW w:w="2254" w:type="dxa"/>
          </w:tcPr>
          <w:p w14:paraId="0DD7B987"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current legislative framework is not adequate to support significant improvements</w:t>
            </w:r>
          </w:p>
        </w:tc>
        <w:tc>
          <w:tcPr>
            <w:tcW w:w="2254" w:type="dxa"/>
          </w:tcPr>
          <w:p w14:paraId="27F516EF"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An enhanced legislative framework developed by 2023</w:t>
            </w:r>
          </w:p>
        </w:tc>
      </w:tr>
      <w:tr w:rsidR="005C1F7D" w:rsidRPr="007C4D65" w14:paraId="40790951" w14:textId="77777777" w:rsidTr="00B6017F">
        <w:trPr>
          <w:trHeight w:val="300"/>
        </w:trPr>
        <w:tc>
          <w:tcPr>
            <w:tcW w:w="2146" w:type="dxa"/>
            <w:vMerge/>
            <w:vAlign w:val="center"/>
          </w:tcPr>
          <w:p w14:paraId="6B8C23AA"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7A413322"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Percentage of reduction of energy consumption</w:t>
            </w:r>
          </w:p>
        </w:tc>
        <w:tc>
          <w:tcPr>
            <w:tcW w:w="2254" w:type="dxa"/>
          </w:tcPr>
          <w:p w14:paraId="325386D4"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TFEC in residential buildings in 2020 was 1,035 </w:t>
            </w:r>
            <w:proofErr w:type="spellStart"/>
            <w:r w:rsidRPr="007C4D65">
              <w:rPr>
                <w:rFonts w:asciiTheme="minorHAnsi" w:hAnsiTheme="minorHAnsi" w:cstheme="minorHAnsi"/>
                <w:sz w:val="18"/>
              </w:rPr>
              <w:t>ktoe</w:t>
            </w:r>
            <w:proofErr w:type="spellEnd"/>
          </w:p>
        </w:tc>
        <w:tc>
          <w:tcPr>
            <w:tcW w:w="2254" w:type="dxa"/>
          </w:tcPr>
          <w:p w14:paraId="49684703"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Reducing the final energy consumption in residential buildings by 22% by 2030 as compared to 2018.</w:t>
            </w:r>
          </w:p>
        </w:tc>
      </w:tr>
      <w:tr w:rsidR="005C1F7D" w:rsidRPr="007C4D65" w14:paraId="6375C15D" w14:textId="77777777" w:rsidTr="00B6017F">
        <w:trPr>
          <w:trHeight w:val="300"/>
        </w:trPr>
        <w:tc>
          <w:tcPr>
            <w:tcW w:w="2146" w:type="dxa"/>
            <w:vMerge/>
            <w:vAlign w:val="center"/>
          </w:tcPr>
          <w:p w14:paraId="7E675059"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5C82640F"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Savings in final energy</w:t>
            </w:r>
          </w:p>
        </w:tc>
        <w:tc>
          <w:tcPr>
            <w:tcW w:w="2254" w:type="dxa"/>
          </w:tcPr>
          <w:p w14:paraId="11458BDD"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Poor efficiency of public buildings, energy consumption in the public sector and service industry 285 </w:t>
            </w:r>
            <w:proofErr w:type="spellStart"/>
            <w:r w:rsidRPr="007C4D65">
              <w:rPr>
                <w:rFonts w:asciiTheme="minorHAnsi" w:hAnsiTheme="minorHAnsi" w:cstheme="minorHAnsi"/>
                <w:sz w:val="18"/>
              </w:rPr>
              <w:t>ktoe</w:t>
            </w:r>
            <w:proofErr w:type="spellEnd"/>
            <w:r w:rsidRPr="007C4D65">
              <w:rPr>
                <w:rFonts w:asciiTheme="minorHAnsi" w:hAnsiTheme="minorHAnsi" w:cstheme="minorHAnsi"/>
                <w:sz w:val="18"/>
              </w:rPr>
              <w:t xml:space="preserve"> in 2020</w:t>
            </w:r>
          </w:p>
        </w:tc>
        <w:tc>
          <w:tcPr>
            <w:tcW w:w="2254" w:type="dxa"/>
          </w:tcPr>
          <w:p w14:paraId="34134CCA"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Cumulative savings in final energy by 2030 19.28 </w:t>
            </w:r>
            <w:proofErr w:type="spellStart"/>
            <w:r w:rsidRPr="007C4D65">
              <w:rPr>
                <w:rFonts w:asciiTheme="minorHAnsi" w:hAnsiTheme="minorHAnsi" w:cstheme="minorHAnsi"/>
                <w:sz w:val="18"/>
              </w:rPr>
              <w:t>ktoe</w:t>
            </w:r>
            <w:proofErr w:type="spellEnd"/>
            <w:r w:rsidRPr="007C4D65">
              <w:rPr>
                <w:rFonts w:asciiTheme="minorHAnsi" w:hAnsiTheme="minorHAnsi" w:cstheme="minorHAnsi"/>
                <w:sz w:val="18"/>
              </w:rPr>
              <w:t xml:space="preserve"> (total rehabilitated buildings stock 18.4%)</w:t>
            </w:r>
          </w:p>
        </w:tc>
      </w:tr>
      <w:tr w:rsidR="005C1F7D" w:rsidRPr="007C4D65" w14:paraId="515D52D8" w14:textId="77777777" w:rsidTr="00B6017F">
        <w:trPr>
          <w:trHeight w:val="300"/>
        </w:trPr>
        <w:tc>
          <w:tcPr>
            <w:tcW w:w="2146" w:type="dxa"/>
            <w:vMerge/>
            <w:vAlign w:val="center"/>
          </w:tcPr>
          <w:p w14:paraId="378800C6"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77928CA9" w14:textId="667B6701"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Percentage of reduction of final energy </w:t>
            </w:r>
            <w:r w:rsidR="002E1D74" w:rsidRPr="007C4D65">
              <w:rPr>
                <w:rFonts w:asciiTheme="minorHAnsi" w:hAnsiTheme="minorHAnsi" w:cstheme="minorHAnsi"/>
                <w:sz w:val="18"/>
              </w:rPr>
              <w:t>consumption</w:t>
            </w:r>
            <w:r w:rsidRPr="007C4D65">
              <w:rPr>
                <w:rFonts w:asciiTheme="minorHAnsi" w:hAnsiTheme="minorHAnsi" w:cstheme="minorHAnsi"/>
                <w:sz w:val="18"/>
              </w:rPr>
              <w:t xml:space="preserve"> in industry</w:t>
            </w:r>
          </w:p>
        </w:tc>
        <w:tc>
          <w:tcPr>
            <w:tcW w:w="2254" w:type="dxa"/>
          </w:tcPr>
          <w:p w14:paraId="4C2B1C57"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TFEC in industry 384 </w:t>
            </w:r>
            <w:proofErr w:type="spellStart"/>
            <w:r w:rsidRPr="007C4D65">
              <w:rPr>
                <w:rFonts w:asciiTheme="minorHAnsi" w:hAnsiTheme="minorHAnsi" w:cstheme="minorHAnsi"/>
                <w:sz w:val="18"/>
              </w:rPr>
              <w:t>ktoe</w:t>
            </w:r>
            <w:proofErr w:type="spellEnd"/>
            <w:r w:rsidRPr="007C4D65">
              <w:rPr>
                <w:rFonts w:asciiTheme="minorHAnsi" w:hAnsiTheme="minorHAnsi" w:cstheme="minorHAnsi"/>
                <w:sz w:val="18"/>
              </w:rPr>
              <w:t xml:space="preserve"> in 2020</w:t>
            </w:r>
          </w:p>
        </w:tc>
        <w:tc>
          <w:tcPr>
            <w:tcW w:w="2254" w:type="dxa"/>
          </w:tcPr>
          <w:p w14:paraId="2CEB13A4"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final energy consumption in industry reduced by 3.3% by 2030 as compared to 2020.</w:t>
            </w:r>
          </w:p>
        </w:tc>
      </w:tr>
      <w:tr w:rsidR="005C1F7D" w:rsidRPr="007C4D65" w14:paraId="56183307" w14:textId="77777777" w:rsidTr="00B6017F">
        <w:trPr>
          <w:trHeight w:val="300"/>
        </w:trPr>
        <w:tc>
          <w:tcPr>
            <w:tcW w:w="2146" w:type="dxa"/>
            <w:vMerge/>
            <w:vAlign w:val="center"/>
          </w:tcPr>
          <w:p w14:paraId="04400143"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267D242F"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Percentage of reduction of primary energy consumption</w:t>
            </w:r>
          </w:p>
        </w:tc>
        <w:tc>
          <w:tcPr>
            <w:tcW w:w="2254" w:type="dxa"/>
          </w:tcPr>
          <w:p w14:paraId="29E1E56F"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Forecasted primary energy consumption 4,294 </w:t>
            </w:r>
            <w:proofErr w:type="spellStart"/>
            <w:r w:rsidRPr="007C4D65">
              <w:rPr>
                <w:rFonts w:asciiTheme="minorHAnsi" w:hAnsiTheme="minorHAnsi" w:cstheme="minorHAnsi"/>
                <w:sz w:val="18"/>
              </w:rPr>
              <w:t>ktoe</w:t>
            </w:r>
            <w:proofErr w:type="spellEnd"/>
            <w:r w:rsidRPr="007C4D65">
              <w:rPr>
                <w:rFonts w:asciiTheme="minorHAnsi" w:hAnsiTheme="minorHAnsi" w:cstheme="minorHAnsi"/>
                <w:sz w:val="18"/>
              </w:rPr>
              <w:t xml:space="preserve"> in 2020</w:t>
            </w:r>
          </w:p>
        </w:tc>
        <w:tc>
          <w:tcPr>
            <w:tcW w:w="2254" w:type="dxa"/>
          </w:tcPr>
          <w:p w14:paraId="5A2B9C4E"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final energy consumption reduced by 11% by 2030 as compared to 2020</w:t>
            </w:r>
          </w:p>
        </w:tc>
      </w:tr>
      <w:tr w:rsidR="005C1F7D" w:rsidRPr="007C4D65" w14:paraId="26A4987D" w14:textId="77777777" w:rsidTr="00B6017F">
        <w:trPr>
          <w:trHeight w:val="300"/>
        </w:trPr>
        <w:tc>
          <w:tcPr>
            <w:tcW w:w="2146" w:type="dxa"/>
            <w:vMerge w:val="restart"/>
          </w:tcPr>
          <w:p w14:paraId="796A7373" w14:textId="22A28F12" w:rsidR="005C1F7D" w:rsidRPr="007C4D65" w:rsidRDefault="005C1F7D"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lastRenderedPageBreak/>
              <w:t>Priority 4.6 Increasing the share of renewable energy along with an incentive scheme reform (focusing on citizens energy)</w:t>
            </w:r>
          </w:p>
        </w:tc>
        <w:tc>
          <w:tcPr>
            <w:tcW w:w="2254" w:type="dxa"/>
          </w:tcPr>
          <w:p w14:paraId="03DBEFCD"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Percentage of RES share in TFEC</w:t>
            </w:r>
          </w:p>
        </w:tc>
        <w:tc>
          <w:tcPr>
            <w:tcW w:w="2254" w:type="dxa"/>
          </w:tcPr>
          <w:p w14:paraId="278B4A0A"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RES share in 2018 was 49.3%</w:t>
            </w:r>
          </w:p>
        </w:tc>
        <w:tc>
          <w:tcPr>
            <w:tcW w:w="2254" w:type="dxa"/>
          </w:tcPr>
          <w:p w14:paraId="25A42ED0"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share of RES in TFEC is 60</w:t>
            </w:r>
            <w:proofErr w:type="gramStart"/>
            <w:r w:rsidRPr="007C4D65">
              <w:rPr>
                <w:rFonts w:asciiTheme="minorHAnsi" w:hAnsiTheme="minorHAnsi" w:cstheme="minorHAnsi"/>
                <w:sz w:val="18"/>
              </w:rPr>
              <w:t>%  by</w:t>
            </w:r>
            <w:proofErr w:type="gramEnd"/>
            <w:r w:rsidRPr="007C4D65">
              <w:rPr>
                <w:rFonts w:asciiTheme="minorHAnsi" w:hAnsiTheme="minorHAnsi" w:cstheme="minorHAnsi"/>
                <w:sz w:val="18"/>
              </w:rPr>
              <w:t xml:space="preserve"> 2030.</w:t>
            </w:r>
          </w:p>
        </w:tc>
      </w:tr>
      <w:tr w:rsidR="005C1F7D" w:rsidRPr="007C4D65" w14:paraId="5A594CF5" w14:textId="77777777" w:rsidTr="00B6017F">
        <w:trPr>
          <w:trHeight w:val="300"/>
        </w:trPr>
        <w:tc>
          <w:tcPr>
            <w:tcW w:w="2146" w:type="dxa"/>
            <w:vMerge/>
            <w:vAlign w:val="center"/>
          </w:tcPr>
          <w:p w14:paraId="137AAC5C"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6432FAB2"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Percentage of RES share in electricity production</w:t>
            </w:r>
          </w:p>
        </w:tc>
        <w:tc>
          <w:tcPr>
            <w:tcW w:w="2254" w:type="dxa"/>
          </w:tcPr>
          <w:p w14:paraId="12C85E20"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RES share in electricity production in 2018 was 39%, in 2019 it was 49% </w:t>
            </w:r>
          </w:p>
        </w:tc>
        <w:tc>
          <w:tcPr>
            <w:tcW w:w="2254" w:type="dxa"/>
          </w:tcPr>
          <w:p w14:paraId="2BCFB4D6"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share of RES in electricity production is 50</w:t>
            </w:r>
            <w:proofErr w:type="gramStart"/>
            <w:r w:rsidRPr="007C4D65">
              <w:rPr>
                <w:rFonts w:asciiTheme="minorHAnsi" w:hAnsiTheme="minorHAnsi" w:cstheme="minorHAnsi"/>
                <w:sz w:val="18"/>
              </w:rPr>
              <w:t>%  by</w:t>
            </w:r>
            <w:proofErr w:type="gramEnd"/>
            <w:r w:rsidRPr="007C4D65">
              <w:rPr>
                <w:rFonts w:asciiTheme="minorHAnsi" w:hAnsiTheme="minorHAnsi" w:cstheme="minorHAnsi"/>
                <w:sz w:val="18"/>
              </w:rPr>
              <w:t xml:space="preserve"> 2030</w:t>
            </w:r>
          </w:p>
        </w:tc>
      </w:tr>
      <w:tr w:rsidR="005C1F7D" w:rsidRPr="007C4D65" w14:paraId="1EC9C818" w14:textId="77777777" w:rsidTr="00B6017F">
        <w:trPr>
          <w:trHeight w:val="300"/>
        </w:trPr>
        <w:tc>
          <w:tcPr>
            <w:tcW w:w="2146" w:type="dxa"/>
            <w:vMerge/>
            <w:vAlign w:val="center"/>
          </w:tcPr>
          <w:p w14:paraId="2EEA3D54" w14:textId="77777777" w:rsidR="005C1F7D" w:rsidRPr="007C4D65" w:rsidRDefault="005C1F7D" w:rsidP="00B6017F">
            <w:pPr>
              <w:spacing w:line="276" w:lineRule="auto"/>
              <w:rPr>
                <w:rFonts w:asciiTheme="minorHAnsi" w:hAnsiTheme="minorHAnsi" w:cstheme="minorHAnsi"/>
                <w:b/>
                <w:sz w:val="18"/>
                <w:szCs w:val="18"/>
                <w:lang w:val="hr-HR"/>
              </w:rPr>
            </w:pPr>
          </w:p>
        </w:tc>
        <w:tc>
          <w:tcPr>
            <w:tcW w:w="2254" w:type="dxa"/>
          </w:tcPr>
          <w:p w14:paraId="6B3F8FB0"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Percentage of RES share in the transport sector</w:t>
            </w:r>
          </w:p>
        </w:tc>
        <w:tc>
          <w:tcPr>
            <w:tcW w:w="2254" w:type="dxa"/>
          </w:tcPr>
          <w:p w14:paraId="00783A6B"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RES share in 2018 was below 1%</w:t>
            </w:r>
          </w:p>
        </w:tc>
        <w:tc>
          <w:tcPr>
            <w:tcW w:w="2254" w:type="dxa"/>
          </w:tcPr>
          <w:p w14:paraId="1F65C881"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RES share in the transport sector is 9</w:t>
            </w:r>
            <w:proofErr w:type="gramStart"/>
            <w:r w:rsidRPr="007C4D65">
              <w:rPr>
                <w:rFonts w:asciiTheme="minorHAnsi" w:hAnsiTheme="minorHAnsi" w:cstheme="minorHAnsi"/>
                <w:sz w:val="18"/>
              </w:rPr>
              <w:t>%  by</w:t>
            </w:r>
            <w:proofErr w:type="gramEnd"/>
            <w:r w:rsidRPr="007C4D65">
              <w:rPr>
                <w:rFonts w:asciiTheme="minorHAnsi" w:hAnsiTheme="minorHAnsi" w:cstheme="minorHAnsi"/>
                <w:sz w:val="18"/>
              </w:rPr>
              <w:t xml:space="preserve"> 2030.</w:t>
            </w:r>
          </w:p>
        </w:tc>
      </w:tr>
      <w:tr w:rsidR="005C1F7D" w:rsidRPr="007C4D65" w14:paraId="56A4E115" w14:textId="77777777" w:rsidTr="00B6017F">
        <w:trPr>
          <w:trHeight w:val="300"/>
        </w:trPr>
        <w:tc>
          <w:tcPr>
            <w:tcW w:w="2146" w:type="dxa"/>
          </w:tcPr>
          <w:p w14:paraId="3E0E0DC8" w14:textId="77777777" w:rsidR="005C1F7D" w:rsidRPr="007C4D65" w:rsidRDefault="005C1F7D"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Priority 4.7 Reducing light pollution</w:t>
            </w:r>
          </w:p>
        </w:tc>
        <w:tc>
          <w:tcPr>
            <w:tcW w:w="2254" w:type="dxa"/>
          </w:tcPr>
          <w:p w14:paraId="3C3397AC"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State of development of an improved legislative framework</w:t>
            </w:r>
          </w:p>
        </w:tc>
        <w:tc>
          <w:tcPr>
            <w:tcW w:w="2254" w:type="dxa"/>
          </w:tcPr>
          <w:p w14:paraId="224E73C2"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Lack of legislation governing light pollution</w:t>
            </w:r>
          </w:p>
        </w:tc>
        <w:tc>
          <w:tcPr>
            <w:tcW w:w="2254" w:type="dxa"/>
          </w:tcPr>
          <w:p w14:paraId="36BB9DE3" w14:textId="77777777" w:rsidR="005C1F7D" w:rsidRPr="007C4D65" w:rsidRDefault="005C1F7D"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legal framework developed</w:t>
            </w:r>
          </w:p>
        </w:tc>
      </w:tr>
    </w:tbl>
    <w:p w14:paraId="7B4A5C3F" w14:textId="77777777" w:rsidR="00FF6549" w:rsidRPr="007C4D65" w:rsidRDefault="00FF6549" w:rsidP="0068355A">
      <w:pPr>
        <w:spacing w:line="276" w:lineRule="auto"/>
        <w:rPr>
          <w:rFonts w:asciiTheme="minorHAnsi" w:hAnsiTheme="minorHAnsi" w:cstheme="minorHAnsi"/>
        </w:rPr>
      </w:pPr>
    </w:p>
    <w:p w14:paraId="6EC1E507" w14:textId="77777777" w:rsidR="00B62FBD" w:rsidRPr="007C4D65" w:rsidRDefault="00B62FBD">
      <w:pPr>
        <w:pStyle w:val="Head3"/>
        <w:spacing w:line="276" w:lineRule="auto"/>
        <w:rPr>
          <w:rFonts w:asciiTheme="minorHAnsi" w:hAnsiTheme="minorHAnsi"/>
        </w:rPr>
      </w:pPr>
      <w:bookmarkStart w:id="146" w:name="_Toc117445351"/>
      <w:r w:rsidRPr="007C4D65">
        <w:rPr>
          <w:rFonts w:asciiTheme="minorHAnsi" w:hAnsiTheme="minorHAnsi"/>
        </w:rPr>
        <w:t>Measures</w:t>
      </w:r>
      <w:bookmarkEnd w:id="146"/>
    </w:p>
    <w:p w14:paraId="2DED1F59" w14:textId="209D2760" w:rsidR="005C1F7D" w:rsidRPr="007C4D65" w:rsidRDefault="005C1F7D" w:rsidP="005C1F7D">
      <w:pPr>
        <w:spacing w:before="240" w:after="240" w:line="276" w:lineRule="auto"/>
        <w:rPr>
          <w:rFonts w:asciiTheme="minorHAnsi" w:hAnsiTheme="minorHAnsi" w:cstheme="minorHAnsi"/>
          <w:sz w:val="22"/>
          <w:szCs w:val="22"/>
        </w:rPr>
      </w:pPr>
      <w:r w:rsidRPr="007C4D65">
        <w:rPr>
          <w:rFonts w:asciiTheme="minorHAnsi" w:hAnsiTheme="minorHAnsi" w:cstheme="minorHAnsi"/>
          <w:sz w:val="22"/>
        </w:rPr>
        <w:t xml:space="preserve">The </w:t>
      </w:r>
      <w:r w:rsidR="00007DA5" w:rsidRPr="007C4D65">
        <w:rPr>
          <w:rFonts w:asciiTheme="minorHAnsi" w:hAnsiTheme="minorHAnsi" w:cstheme="minorHAnsi"/>
          <w:sz w:val="22"/>
        </w:rPr>
        <w:t>s</w:t>
      </w:r>
      <w:r w:rsidRPr="007C4D65">
        <w:rPr>
          <w:rFonts w:asciiTheme="minorHAnsi" w:hAnsiTheme="minorHAnsi" w:cstheme="minorHAnsi"/>
          <w:sz w:val="22"/>
        </w:rPr>
        <w:t xml:space="preserve">trategic </w:t>
      </w:r>
      <w:r w:rsidR="00007DA5" w:rsidRPr="007C4D65">
        <w:rPr>
          <w:rFonts w:asciiTheme="minorHAnsi" w:hAnsiTheme="minorHAnsi" w:cstheme="minorHAnsi"/>
          <w:sz w:val="22"/>
        </w:rPr>
        <w:t>g</w:t>
      </w:r>
      <w:r w:rsidRPr="007C4D65">
        <w:rPr>
          <w:rFonts w:asciiTheme="minorHAnsi" w:hAnsiTheme="minorHAnsi" w:cstheme="minorHAnsi"/>
          <w:sz w:val="22"/>
        </w:rPr>
        <w:t xml:space="preserve">oal </w:t>
      </w:r>
      <w:r w:rsidRPr="007C4D65">
        <w:rPr>
          <w:rFonts w:asciiTheme="minorHAnsi" w:hAnsiTheme="minorHAnsi" w:cstheme="minorHAnsi"/>
          <w:sz w:val="22"/>
          <w:u w:val="single"/>
        </w:rPr>
        <w:t>Mitigating and adapting to climate change and improving air quality</w:t>
      </w:r>
      <w:r w:rsidRPr="007C4D65">
        <w:rPr>
          <w:rFonts w:asciiTheme="minorHAnsi" w:hAnsiTheme="minorHAnsi" w:cstheme="minorHAnsi"/>
          <w:sz w:val="22"/>
        </w:rPr>
        <w:t xml:space="preserve"> comprises 7 priorities, and 13 measures logically allocated to associated priorities to facilitate the implementation of the strategic goal as such.</w:t>
      </w:r>
    </w:p>
    <w:p w14:paraId="7CD86F6C" w14:textId="77777777" w:rsidR="005C1F7D" w:rsidRPr="007C4D65" w:rsidRDefault="005C1F7D" w:rsidP="005C1F7D">
      <w:pPr>
        <w:spacing w:before="240" w:after="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Priority 4.1 Reduce air pollution by reducing air pollutants to levels that are safe for human health</w:t>
      </w:r>
    </w:p>
    <w:p w14:paraId="16377720" w14:textId="68344283" w:rsidR="005C1F7D" w:rsidRPr="007C4D65" w:rsidRDefault="005C1F7D" w:rsidP="005C1F7D">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Measure 4.1.1. Reducing emissions from large combustion plants and achieving compliance of all industrial facilities with best available techniques</w:t>
      </w:r>
    </w:p>
    <w:p w14:paraId="68E1C7E3" w14:textId="77777777" w:rsidR="005C1F7D" w:rsidRPr="007C4D65" w:rsidRDefault="005C1F7D" w:rsidP="005C1F7D">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The aim of this measure is to design a funding programme for NERP implementation in order identify sources of funding in line with NERP timeline, and to develop reference documents for best available techniques for all relevant industrial processes.  The aim will be achieved through the following areas of intervention</w:t>
      </w:r>
    </w:p>
    <w:p w14:paraId="38BE3152"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Designing a funding programme for the implementation of NERP and its </w:t>
      </w:r>
      <w:proofErr w:type="gramStart"/>
      <w:r w:rsidRPr="007C4D65">
        <w:rPr>
          <w:rFonts w:asciiTheme="minorHAnsi" w:hAnsiTheme="minorHAnsi" w:cstheme="minorHAnsi"/>
          <w:sz w:val="22"/>
        </w:rPr>
        <w:t>implementation;</w:t>
      </w:r>
      <w:proofErr w:type="gramEnd"/>
    </w:p>
    <w:p w14:paraId="7376F92B"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Drafting reference documents for best available techniques for all industrial </w:t>
      </w:r>
      <w:proofErr w:type="gramStart"/>
      <w:r w:rsidRPr="007C4D65">
        <w:rPr>
          <w:rFonts w:asciiTheme="minorHAnsi" w:hAnsiTheme="minorHAnsi" w:cstheme="minorHAnsi"/>
          <w:sz w:val="22"/>
        </w:rPr>
        <w:t>processes;</w:t>
      </w:r>
      <w:proofErr w:type="gramEnd"/>
    </w:p>
    <w:p w14:paraId="3641D36B"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Environmental licencing in compliance with best available </w:t>
      </w:r>
      <w:proofErr w:type="gramStart"/>
      <w:r w:rsidRPr="007C4D65">
        <w:rPr>
          <w:rFonts w:asciiTheme="minorHAnsi" w:hAnsiTheme="minorHAnsi" w:cstheme="minorHAnsi"/>
          <w:sz w:val="22"/>
        </w:rPr>
        <w:t>techniques;</w:t>
      </w:r>
      <w:proofErr w:type="gramEnd"/>
    </w:p>
    <w:p w14:paraId="16587FD3"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Implementation of a digitalised and centralised reporting on measures implemented focusing on continued monitoring in real </w:t>
      </w:r>
      <w:proofErr w:type="gramStart"/>
      <w:r w:rsidRPr="007C4D65">
        <w:rPr>
          <w:rFonts w:asciiTheme="minorHAnsi" w:hAnsiTheme="minorHAnsi" w:cstheme="minorHAnsi"/>
          <w:sz w:val="22"/>
        </w:rPr>
        <w:t>time;</w:t>
      </w:r>
      <w:proofErr w:type="gramEnd"/>
    </w:p>
    <w:p w14:paraId="5C2C6DDC"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Capacity building in the institutions responsible for environmental licencing (ministries), and monitoring of the implementation of environmental permits (inspection bodies</w:t>
      </w:r>
      <w:proofErr w:type="gramStart"/>
      <w:r w:rsidRPr="007C4D65">
        <w:rPr>
          <w:rFonts w:asciiTheme="minorHAnsi" w:hAnsiTheme="minorHAnsi" w:cstheme="minorHAnsi"/>
          <w:sz w:val="22"/>
        </w:rPr>
        <w:t>);</w:t>
      </w:r>
      <w:proofErr w:type="gramEnd"/>
    </w:p>
    <w:p w14:paraId="2F7F7135"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Amending the Decree on fees for air pollution.</w:t>
      </w:r>
    </w:p>
    <w:p w14:paraId="4726C164" w14:textId="77777777" w:rsidR="005C1F7D" w:rsidRPr="007C4D65" w:rsidRDefault="005C1F7D" w:rsidP="005C1F7D">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Measure 4.1.2. Reducing air pollution from local sources</w:t>
      </w:r>
    </w:p>
    <w:p w14:paraId="34D5E994" w14:textId="77777777" w:rsidR="005C1F7D" w:rsidRPr="007C4D65" w:rsidRDefault="005C1F7D" w:rsidP="005C1F7D">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The aim of this measure is to reduce air pollution from the local sources, i.e. Household stoves, the service and transport industry through regulation of the market for stoves/boilers and energy commodities, by incentivising the procurement of efficient and low-polluting stoves/boilers, expanding district heating, enhancing infrastructure for non-motorised and low-polluting transport and enhancing the legislative framework to boost the development of public transport and low polluting vehicles. The aim will be achieved through the following areas of intervention:</w:t>
      </w:r>
    </w:p>
    <w:p w14:paraId="0D6E9ADA"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lastRenderedPageBreak/>
        <w:t xml:space="preserve">Banning retail of coal with the total sulphur content of more than 1% in the law, regulating the quality of </w:t>
      </w:r>
      <w:proofErr w:type="gramStart"/>
      <w:r w:rsidRPr="007C4D65">
        <w:rPr>
          <w:rFonts w:asciiTheme="minorHAnsi" w:hAnsiTheme="minorHAnsi" w:cstheme="minorHAnsi"/>
          <w:sz w:val="22"/>
        </w:rPr>
        <w:t>fire wood</w:t>
      </w:r>
      <w:proofErr w:type="gramEnd"/>
      <w:r w:rsidRPr="007C4D65">
        <w:rPr>
          <w:rFonts w:asciiTheme="minorHAnsi" w:hAnsiTheme="minorHAnsi" w:cstheme="minorHAnsi"/>
          <w:sz w:val="22"/>
        </w:rPr>
        <w:t xml:space="preserve"> offered on the market (moisture content), and pellet (in accordance with the applicable standards), including a ban on sale of non-certified stoves/boilers;</w:t>
      </w:r>
    </w:p>
    <w:p w14:paraId="673746A1"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Designing an incentive scheme to encourage replacement of solid </w:t>
      </w:r>
      <w:proofErr w:type="gramStart"/>
      <w:r w:rsidRPr="007C4D65">
        <w:rPr>
          <w:rFonts w:asciiTheme="minorHAnsi" w:hAnsiTheme="minorHAnsi" w:cstheme="minorHAnsi"/>
          <w:sz w:val="22"/>
        </w:rPr>
        <w:t>fuel based</w:t>
      </w:r>
      <w:proofErr w:type="gramEnd"/>
      <w:r w:rsidRPr="007C4D65">
        <w:rPr>
          <w:rFonts w:asciiTheme="minorHAnsi" w:hAnsiTheme="minorHAnsi" w:cstheme="minorHAnsi"/>
          <w:sz w:val="22"/>
        </w:rPr>
        <w:t xml:space="preserve"> stoves/boilers with certified heating appliances (using pallet, heat pumps, natural gas based condensation boilers, connection to the district heating system);</w:t>
      </w:r>
    </w:p>
    <w:p w14:paraId="4E9D797C"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Providing for an inspection control of household stoves and increasing inspection </w:t>
      </w:r>
      <w:proofErr w:type="gramStart"/>
      <w:r w:rsidRPr="007C4D65">
        <w:rPr>
          <w:rFonts w:asciiTheme="minorHAnsi" w:hAnsiTheme="minorHAnsi" w:cstheme="minorHAnsi"/>
          <w:sz w:val="22"/>
        </w:rPr>
        <w:t>control;</w:t>
      </w:r>
      <w:proofErr w:type="gramEnd"/>
    </w:p>
    <w:p w14:paraId="0A4A7293"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Implementing a Strategic Environmental Assessment of planning </w:t>
      </w:r>
      <w:proofErr w:type="gramStart"/>
      <w:r w:rsidRPr="007C4D65">
        <w:rPr>
          <w:rFonts w:asciiTheme="minorHAnsi" w:hAnsiTheme="minorHAnsi" w:cstheme="minorHAnsi"/>
          <w:sz w:val="22"/>
        </w:rPr>
        <w:t>documents;</w:t>
      </w:r>
      <w:proofErr w:type="gramEnd"/>
    </w:p>
    <w:p w14:paraId="651A33C9"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Adopting a law on the heat industry in the Federation of BiH (including a requirement to connect to the heating system for new buildings within the areas covered by the network, defining sources and criteria for subsidising district heating on renewable energy sources, etc.</w:t>
      </w:r>
      <w:proofErr w:type="gramStart"/>
      <w:r w:rsidRPr="007C4D65">
        <w:rPr>
          <w:rFonts w:asciiTheme="minorHAnsi" w:hAnsiTheme="minorHAnsi" w:cstheme="minorHAnsi"/>
          <w:sz w:val="22"/>
        </w:rPr>
        <w:t>);</w:t>
      </w:r>
      <w:proofErr w:type="gramEnd"/>
    </w:p>
    <w:p w14:paraId="3941A3AD"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Developing (and implementing) a strategy aimed at increasing the share of the district heating in the total heated </w:t>
      </w:r>
      <w:proofErr w:type="gramStart"/>
      <w:r w:rsidRPr="007C4D65">
        <w:rPr>
          <w:rFonts w:asciiTheme="minorHAnsi" w:hAnsiTheme="minorHAnsi" w:cstheme="minorHAnsi"/>
          <w:sz w:val="22"/>
        </w:rPr>
        <w:t>area;</w:t>
      </w:r>
      <w:proofErr w:type="gramEnd"/>
    </w:p>
    <w:p w14:paraId="2630EEC7"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Developing infrastructure and incentivising non-motorised transport (especially in urban areas</w:t>
      </w:r>
      <w:proofErr w:type="gramStart"/>
      <w:r w:rsidRPr="007C4D65">
        <w:rPr>
          <w:rFonts w:asciiTheme="minorHAnsi" w:hAnsiTheme="minorHAnsi" w:cstheme="minorHAnsi"/>
          <w:sz w:val="22"/>
        </w:rPr>
        <w:t>);</w:t>
      </w:r>
      <w:proofErr w:type="gramEnd"/>
    </w:p>
    <w:p w14:paraId="3E451458" w14:textId="37E8798D"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Devising a mechanism and identifying funding sources to increase the share of public transport (electrified and </w:t>
      </w:r>
      <w:proofErr w:type="gramStart"/>
      <w:r w:rsidRPr="007C4D65">
        <w:rPr>
          <w:rFonts w:asciiTheme="minorHAnsi" w:hAnsiTheme="minorHAnsi" w:cstheme="minorHAnsi"/>
          <w:sz w:val="22"/>
        </w:rPr>
        <w:t>low-emission</w:t>
      </w:r>
      <w:proofErr w:type="gramEnd"/>
      <w:r w:rsidRPr="007C4D65">
        <w:rPr>
          <w:rFonts w:asciiTheme="minorHAnsi" w:hAnsiTheme="minorHAnsi" w:cstheme="minorHAnsi"/>
          <w:sz w:val="22"/>
        </w:rPr>
        <w:t>) in the total travel kilometres;</w:t>
      </w:r>
    </w:p>
    <w:p w14:paraId="7B2A5BD1"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Reforming the passenger car taxation system with the view of discouraging the use of old vehicles, and encouraging the purchase of low-emission vehicles (lower consumption, electric and hybrid vehicles, LPG, and CNG</w:t>
      </w:r>
      <w:proofErr w:type="gramStart"/>
      <w:r w:rsidRPr="007C4D65">
        <w:rPr>
          <w:rFonts w:asciiTheme="minorHAnsi" w:hAnsiTheme="minorHAnsi" w:cstheme="minorHAnsi"/>
          <w:sz w:val="22"/>
        </w:rPr>
        <w:t>);</w:t>
      </w:r>
      <w:proofErr w:type="gramEnd"/>
    </w:p>
    <w:p w14:paraId="231157B0"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Routine cleaning of streets with the view of reducing dust from roads (especially after winter season</w:t>
      </w:r>
      <w:proofErr w:type="gramStart"/>
      <w:r w:rsidRPr="007C4D65">
        <w:rPr>
          <w:rFonts w:asciiTheme="minorHAnsi" w:hAnsiTheme="minorHAnsi" w:cstheme="minorHAnsi"/>
          <w:sz w:val="22"/>
        </w:rPr>
        <w:t>);</w:t>
      </w:r>
      <w:proofErr w:type="gramEnd"/>
    </w:p>
    <w:p w14:paraId="6B5DD107" w14:textId="6C8BE784"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Designing and implementing a smart city concept in bigger cities (urban settlements with more than 50.000 population) (design by 2025, implementation by 2032</w:t>
      </w:r>
      <w:proofErr w:type="gramStart"/>
      <w:r w:rsidRPr="007C4D65">
        <w:rPr>
          <w:rFonts w:asciiTheme="minorHAnsi" w:hAnsiTheme="minorHAnsi" w:cstheme="minorHAnsi"/>
          <w:sz w:val="22"/>
        </w:rPr>
        <w:t>)</w:t>
      </w:r>
      <w:r w:rsidR="008F71A1" w:rsidRPr="007C4D65">
        <w:rPr>
          <w:rFonts w:asciiTheme="minorHAnsi" w:eastAsia="Calibri" w:hAnsiTheme="minorHAnsi" w:cstheme="minorHAnsi"/>
          <w:sz w:val="22"/>
          <w:szCs w:val="22"/>
        </w:rPr>
        <w:t>;</w:t>
      </w:r>
      <w:proofErr w:type="gramEnd"/>
    </w:p>
    <w:p w14:paraId="0928EE6F"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 Planned procurement of electric and/or hybrid vehicles for the institutions of Federation of BiH.</w:t>
      </w:r>
    </w:p>
    <w:p w14:paraId="024FD997" w14:textId="6D0FFF9F" w:rsidR="005C1F7D" w:rsidRPr="007C4D65" w:rsidRDefault="005C1F7D" w:rsidP="005C1F7D">
      <w:pPr>
        <w:spacing w:before="240" w:after="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 xml:space="preserve">Priority 4.2 Upgrading the air quality management system to support </w:t>
      </w:r>
      <w:r w:rsidR="009F16BA" w:rsidRPr="007C4D65">
        <w:rPr>
          <w:rFonts w:asciiTheme="minorHAnsi" w:hAnsiTheme="minorHAnsi" w:cstheme="minorHAnsi"/>
          <w:b/>
          <w:i/>
          <w:sz w:val="22"/>
          <w:u w:val="single"/>
        </w:rPr>
        <w:t xml:space="preserve">strategic decision-making  </w:t>
      </w:r>
      <w:r w:rsidRPr="007C4D65">
        <w:rPr>
          <w:rFonts w:asciiTheme="minorHAnsi" w:hAnsiTheme="minorHAnsi" w:cstheme="minorHAnsi"/>
          <w:b/>
          <w:i/>
          <w:sz w:val="22"/>
          <w:u w:val="single"/>
        </w:rPr>
        <w:t xml:space="preserve"> and public information on air quality and emissions</w:t>
      </w:r>
    </w:p>
    <w:p w14:paraId="4C5B3159" w14:textId="77777777" w:rsidR="005C1F7D" w:rsidRPr="007C4D65" w:rsidRDefault="005C1F7D" w:rsidP="005C1F7D">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Measure 4.2.1. Improvement of the air quality monitoring system</w:t>
      </w:r>
    </w:p>
    <w:p w14:paraId="618105B7" w14:textId="77777777" w:rsidR="005C1F7D" w:rsidRPr="007C4D65" w:rsidRDefault="005C1F7D" w:rsidP="005C1F7D">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aim of this measure is to provide for a full coverage of the territory of the Federation of BiH with a network of measuring stations, including capacity building of Hydrometeorological Institute of the Federation of BiH (FHMI) for the management of the network of stations and reporting of the values measured, </w:t>
      </w:r>
      <w:proofErr w:type="gramStart"/>
      <w:r w:rsidRPr="007C4D65">
        <w:rPr>
          <w:rFonts w:asciiTheme="minorHAnsi" w:hAnsiTheme="minorHAnsi" w:cstheme="minorHAnsi"/>
          <w:sz w:val="22"/>
        </w:rPr>
        <w:t>so as to</w:t>
      </w:r>
      <w:proofErr w:type="gramEnd"/>
      <w:r w:rsidRPr="007C4D65">
        <w:rPr>
          <w:rFonts w:asciiTheme="minorHAnsi" w:hAnsiTheme="minorHAnsi" w:cstheme="minorHAnsi"/>
          <w:sz w:val="22"/>
        </w:rPr>
        <w:t xml:space="preserve"> enable a better use of data obtained for spatial planning purposes and design of rehabilitation plans. The aim will be achieved through the following areas of intervention:</w:t>
      </w:r>
    </w:p>
    <w:p w14:paraId="2DC51AEB"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Preparation of a study (plan) of the measuring stations network (including the creation of an AQ assessment system, territorial division into AQ management zones), and defining the types of pollutants which should be </w:t>
      </w:r>
      <w:proofErr w:type="gramStart"/>
      <w:r w:rsidRPr="007C4D65">
        <w:rPr>
          <w:rFonts w:asciiTheme="minorHAnsi" w:hAnsiTheme="minorHAnsi" w:cstheme="minorHAnsi"/>
          <w:sz w:val="22"/>
        </w:rPr>
        <w:t>measured;</w:t>
      </w:r>
      <w:proofErr w:type="gramEnd"/>
    </w:p>
    <w:p w14:paraId="7DA67040" w14:textId="2289D3B2"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Procurement, installation and maintenance </w:t>
      </w:r>
      <w:r w:rsidR="008F71A1" w:rsidRPr="007C4D65">
        <w:rPr>
          <w:rFonts w:asciiTheme="minorHAnsi" w:hAnsiTheme="minorHAnsi" w:cstheme="minorHAnsi"/>
          <w:sz w:val="22"/>
        </w:rPr>
        <w:t xml:space="preserve">of </w:t>
      </w:r>
      <w:r w:rsidRPr="007C4D65">
        <w:rPr>
          <w:rFonts w:asciiTheme="minorHAnsi" w:hAnsiTheme="minorHAnsi" w:cstheme="minorHAnsi"/>
          <w:sz w:val="22"/>
        </w:rPr>
        <w:t xml:space="preserve">additional measuring stations, and ensuring reliability of </w:t>
      </w:r>
      <w:proofErr w:type="gramStart"/>
      <w:r w:rsidRPr="007C4D65">
        <w:rPr>
          <w:rFonts w:asciiTheme="minorHAnsi" w:hAnsiTheme="minorHAnsi" w:cstheme="minorHAnsi"/>
          <w:sz w:val="22"/>
        </w:rPr>
        <w:t>measurements;</w:t>
      </w:r>
      <w:proofErr w:type="gramEnd"/>
    </w:p>
    <w:p w14:paraId="752D4101"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 Capacity building of FHMI and cantonal institutes (human and technical).</w:t>
      </w:r>
    </w:p>
    <w:p w14:paraId="6423CA02" w14:textId="77777777" w:rsidR="005C1F7D" w:rsidRPr="007C4D65" w:rsidRDefault="005C1F7D" w:rsidP="005C1F7D">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Measure 4.2.2. Developing the system for international reporting and coordination of efforts aimed at improving the public information system on air quality</w:t>
      </w:r>
    </w:p>
    <w:p w14:paraId="4C09984D" w14:textId="77777777" w:rsidR="005C1F7D" w:rsidRPr="007C4D65" w:rsidRDefault="005C1F7D" w:rsidP="005C1F7D">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The aim of this measure is to establish a robust system for international reporting on emissions of pollutants, GHG and air quality (in cooperation with the state level institutions) and improving the system of public communication on air quality, in real and integrated time. The aim will be achieved through the following areas of intervention:</w:t>
      </w:r>
    </w:p>
    <w:p w14:paraId="27249931" w14:textId="7770DE98"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Devising a public information programme on air quality (harmonised manner and content of information throughout the Federation of BiH</w:t>
      </w:r>
      <w:proofErr w:type="gramStart"/>
      <w:r w:rsidRPr="007C4D65">
        <w:rPr>
          <w:rFonts w:asciiTheme="minorHAnsi" w:hAnsiTheme="minorHAnsi" w:cstheme="minorHAnsi"/>
          <w:sz w:val="22"/>
        </w:rPr>
        <w:t>)</w:t>
      </w:r>
      <w:r w:rsidR="002E1D74" w:rsidRPr="007C4D65">
        <w:rPr>
          <w:rFonts w:asciiTheme="minorHAnsi" w:eastAsia="Calibri" w:hAnsiTheme="minorHAnsi" w:cstheme="minorHAnsi"/>
          <w:sz w:val="22"/>
          <w:szCs w:val="22"/>
        </w:rPr>
        <w:t>;</w:t>
      </w:r>
      <w:proofErr w:type="gramEnd"/>
    </w:p>
    <w:p w14:paraId="4215B0C3" w14:textId="5F3460C2"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Developing and implementing a capacity building programme of organisations in charge of air quality (level of the Federation of BiH and cantons</w:t>
      </w:r>
      <w:proofErr w:type="gramStart"/>
      <w:r w:rsidRPr="007C4D65">
        <w:rPr>
          <w:rFonts w:asciiTheme="minorHAnsi" w:hAnsiTheme="minorHAnsi" w:cstheme="minorHAnsi"/>
          <w:sz w:val="22"/>
        </w:rPr>
        <w:t>)</w:t>
      </w:r>
      <w:r w:rsidR="002E1D74" w:rsidRPr="007C4D65">
        <w:rPr>
          <w:rFonts w:asciiTheme="minorHAnsi" w:eastAsia="Calibri" w:hAnsiTheme="minorHAnsi" w:cstheme="minorHAnsi"/>
          <w:sz w:val="22"/>
          <w:szCs w:val="22"/>
        </w:rPr>
        <w:t>;</w:t>
      </w:r>
      <w:proofErr w:type="gramEnd"/>
    </w:p>
    <w:p w14:paraId="552AF903" w14:textId="63596BA3"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Dividing the territory of the Federation of BiH into zones and agglomerations from the quality point of view (</w:t>
      </w:r>
      <w:r w:rsidR="002E1D74" w:rsidRPr="007C4D65">
        <w:rPr>
          <w:rFonts w:asciiTheme="minorHAnsi" w:hAnsiTheme="minorHAnsi" w:cstheme="minorHAnsi"/>
          <w:sz w:val="22"/>
        </w:rPr>
        <w:t>potentially</w:t>
      </w:r>
      <w:r w:rsidRPr="007C4D65">
        <w:rPr>
          <w:rFonts w:asciiTheme="minorHAnsi" w:hAnsiTheme="minorHAnsi" w:cstheme="minorHAnsi"/>
          <w:sz w:val="22"/>
        </w:rPr>
        <w:t xml:space="preserve"> updating based on measurements throughout the Federation of BiH)</w:t>
      </w:r>
    </w:p>
    <w:p w14:paraId="6C9FCF90"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Drawing up air quality rehabilitation plans for all the areas with air category II and III, including integration of the air quality issue in spatial planning </w:t>
      </w:r>
      <w:proofErr w:type="gramStart"/>
      <w:r w:rsidRPr="007C4D65">
        <w:rPr>
          <w:rFonts w:asciiTheme="minorHAnsi" w:hAnsiTheme="minorHAnsi" w:cstheme="minorHAnsi"/>
          <w:sz w:val="22"/>
        </w:rPr>
        <w:t>processes;</w:t>
      </w:r>
      <w:proofErr w:type="gramEnd"/>
    </w:p>
    <w:p w14:paraId="49EAC198"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Creating an air quality information </w:t>
      </w:r>
      <w:proofErr w:type="gramStart"/>
      <w:r w:rsidRPr="007C4D65">
        <w:rPr>
          <w:rFonts w:asciiTheme="minorHAnsi" w:hAnsiTheme="minorHAnsi" w:cstheme="minorHAnsi"/>
          <w:sz w:val="22"/>
        </w:rPr>
        <w:t>system;</w:t>
      </w:r>
      <w:proofErr w:type="gramEnd"/>
    </w:p>
    <w:p w14:paraId="4E11CED7"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Designating reference laboratories for measurements of emissions and air </w:t>
      </w:r>
      <w:proofErr w:type="gramStart"/>
      <w:r w:rsidRPr="007C4D65">
        <w:rPr>
          <w:rFonts w:asciiTheme="minorHAnsi" w:hAnsiTheme="minorHAnsi" w:cstheme="minorHAnsi"/>
          <w:sz w:val="22"/>
        </w:rPr>
        <w:t>quality;</w:t>
      </w:r>
      <w:proofErr w:type="gramEnd"/>
    </w:p>
    <w:p w14:paraId="1C38FA28" w14:textId="04C8B2F2"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Improving reporting on emissions through the implementation of </w:t>
      </w:r>
      <w:r w:rsidR="002E1D74" w:rsidRPr="007C4D65">
        <w:rPr>
          <w:rFonts w:asciiTheme="minorHAnsi" w:hAnsiTheme="minorHAnsi" w:cstheme="minorHAnsi"/>
          <w:sz w:val="22"/>
        </w:rPr>
        <w:t>a</w:t>
      </w:r>
      <w:r w:rsidRPr="007C4D65">
        <w:rPr>
          <w:rFonts w:asciiTheme="minorHAnsi" w:hAnsiTheme="minorHAnsi" w:cstheme="minorHAnsi"/>
          <w:sz w:val="22"/>
        </w:rPr>
        <w:t xml:space="preserve"> uniform electronic reporting system on measurement of emissions and general data on emission, including the application of sanctions for a failure to provide </w:t>
      </w:r>
      <w:proofErr w:type="gramStart"/>
      <w:r w:rsidRPr="007C4D65">
        <w:rPr>
          <w:rFonts w:asciiTheme="minorHAnsi" w:hAnsiTheme="minorHAnsi" w:cstheme="minorHAnsi"/>
          <w:sz w:val="22"/>
        </w:rPr>
        <w:t>data;</w:t>
      </w:r>
      <w:proofErr w:type="gramEnd"/>
    </w:p>
    <w:p w14:paraId="50E18129"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Codifying the method and deadlines for providing data on emissions to the information </w:t>
      </w:r>
      <w:proofErr w:type="gramStart"/>
      <w:r w:rsidRPr="007C4D65">
        <w:rPr>
          <w:rFonts w:asciiTheme="minorHAnsi" w:hAnsiTheme="minorHAnsi" w:cstheme="minorHAnsi"/>
          <w:sz w:val="22"/>
        </w:rPr>
        <w:t>system;</w:t>
      </w:r>
      <w:proofErr w:type="gramEnd"/>
    </w:p>
    <w:p w14:paraId="7624D74F"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Strengthening capacities for the verification of results of pollutants emission </w:t>
      </w:r>
      <w:proofErr w:type="gramStart"/>
      <w:r w:rsidRPr="007C4D65">
        <w:rPr>
          <w:rFonts w:asciiTheme="minorHAnsi" w:hAnsiTheme="minorHAnsi" w:cstheme="minorHAnsi"/>
          <w:sz w:val="22"/>
        </w:rPr>
        <w:t>measurements;</w:t>
      </w:r>
      <w:proofErr w:type="gramEnd"/>
    </w:p>
    <w:p w14:paraId="7E64F498"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Codifying the method of calculation of emissions, along with a development of national emission </w:t>
      </w:r>
      <w:proofErr w:type="gramStart"/>
      <w:r w:rsidRPr="007C4D65">
        <w:rPr>
          <w:rFonts w:asciiTheme="minorHAnsi" w:hAnsiTheme="minorHAnsi" w:cstheme="minorHAnsi"/>
          <w:sz w:val="22"/>
        </w:rPr>
        <w:t>factors;</w:t>
      </w:r>
      <w:proofErr w:type="gramEnd"/>
    </w:p>
    <w:p w14:paraId="02087803"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Enacting cantonal air quality </w:t>
      </w:r>
      <w:proofErr w:type="gramStart"/>
      <w:r w:rsidRPr="007C4D65">
        <w:rPr>
          <w:rFonts w:asciiTheme="minorHAnsi" w:hAnsiTheme="minorHAnsi" w:cstheme="minorHAnsi"/>
          <w:sz w:val="22"/>
        </w:rPr>
        <w:t>laws;</w:t>
      </w:r>
      <w:proofErr w:type="gramEnd"/>
    </w:p>
    <w:p w14:paraId="19F0CA42"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Completing an inventory of pollution and developing a register of operators (cantonal</w:t>
      </w:r>
      <w:proofErr w:type="gramStart"/>
      <w:r w:rsidRPr="007C4D65">
        <w:rPr>
          <w:rFonts w:asciiTheme="minorHAnsi" w:hAnsiTheme="minorHAnsi" w:cstheme="minorHAnsi"/>
          <w:sz w:val="22"/>
        </w:rPr>
        <w:t>);</w:t>
      </w:r>
      <w:proofErr w:type="gramEnd"/>
    </w:p>
    <w:p w14:paraId="458BFE2D"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Developing a baseline model for air quality monitoring and for the purpose of spatial planning, and implementing it (at the cantonal level</w:t>
      </w:r>
      <w:proofErr w:type="gramStart"/>
      <w:r w:rsidRPr="007C4D65">
        <w:rPr>
          <w:rFonts w:asciiTheme="minorHAnsi" w:hAnsiTheme="minorHAnsi" w:cstheme="minorHAnsi"/>
          <w:sz w:val="22"/>
        </w:rPr>
        <w:t>);</w:t>
      </w:r>
      <w:proofErr w:type="gramEnd"/>
    </w:p>
    <w:p w14:paraId="26A2D7AB"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Defining the manner of reporting on emissions and air quality to the national authority.</w:t>
      </w:r>
    </w:p>
    <w:p w14:paraId="5038945C" w14:textId="278E3005" w:rsidR="005C1F7D" w:rsidRPr="007C4D65" w:rsidRDefault="005C1F7D" w:rsidP="005C1F7D">
      <w:pPr>
        <w:spacing w:before="240" w:after="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 xml:space="preserve">Priority 4.3 </w:t>
      </w:r>
      <w:r w:rsidR="005D6389" w:rsidRPr="007C4D65">
        <w:rPr>
          <w:rFonts w:asciiTheme="minorHAnsi" w:hAnsiTheme="minorHAnsi" w:cstheme="minorHAnsi"/>
          <w:b/>
          <w:i/>
          <w:sz w:val="22"/>
          <w:u w:val="single"/>
        </w:rPr>
        <w:t>Reduce the impact of the Federation of BiH on climate change</w:t>
      </w:r>
    </w:p>
    <w:p w14:paraId="25A07413" w14:textId="77777777" w:rsidR="005C1F7D" w:rsidRPr="007C4D65" w:rsidRDefault="005C1F7D" w:rsidP="005C1F7D">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Measure 4.3.1. Reducing the impact of the Federation of BiH to climate change</w:t>
      </w:r>
    </w:p>
    <w:p w14:paraId="1791D0E6" w14:textId="77777777" w:rsidR="005C1F7D" w:rsidRPr="007C4D65" w:rsidRDefault="005C1F7D" w:rsidP="005C1F7D">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The aim of this measure is to reduce GHG emissions and increase carbon sink, which should lead to partial decarbonisation and achievement of climate neutrality on the long run. The aim will be achieved through the following areas of intervention:</w:t>
      </w:r>
    </w:p>
    <w:p w14:paraId="5007D2C8"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Setting up of a Decarbonisation </w:t>
      </w:r>
      <w:proofErr w:type="gramStart"/>
      <w:r w:rsidRPr="007C4D65">
        <w:rPr>
          <w:rFonts w:asciiTheme="minorHAnsi" w:hAnsiTheme="minorHAnsi" w:cstheme="minorHAnsi"/>
          <w:sz w:val="22"/>
        </w:rPr>
        <w:t>Committee;</w:t>
      </w:r>
      <w:proofErr w:type="gramEnd"/>
    </w:p>
    <w:p w14:paraId="572E2A95"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Developing and adopting a regulation on the development of the GHG </w:t>
      </w:r>
      <w:proofErr w:type="gramStart"/>
      <w:r w:rsidRPr="007C4D65">
        <w:rPr>
          <w:rFonts w:asciiTheme="minorHAnsi" w:hAnsiTheme="minorHAnsi" w:cstheme="minorHAnsi"/>
          <w:sz w:val="22"/>
        </w:rPr>
        <w:t>inventory;</w:t>
      </w:r>
      <w:proofErr w:type="gramEnd"/>
    </w:p>
    <w:p w14:paraId="21246D7F"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Strengthening the capacity of FHMI for the development of </w:t>
      </w:r>
      <w:proofErr w:type="gramStart"/>
      <w:r w:rsidRPr="007C4D65">
        <w:rPr>
          <w:rFonts w:asciiTheme="minorHAnsi" w:hAnsiTheme="minorHAnsi" w:cstheme="minorHAnsi"/>
          <w:sz w:val="22"/>
        </w:rPr>
        <w:t>inventories;</w:t>
      </w:r>
      <w:proofErr w:type="gramEnd"/>
    </w:p>
    <w:p w14:paraId="0D897309"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Drafting a climate law which should, among other things, introduce decarbonisation </w:t>
      </w:r>
      <w:proofErr w:type="gramStart"/>
      <w:r w:rsidRPr="007C4D65">
        <w:rPr>
          <w:rFonts w:asciiTheme="minorHAnsi" w:hAnsiTheme="minorHAnsi" w:cstheme="minorHAnsi"/>
          <w:sz w:val="22"/>
        </w:rPr>
        <w:t>mechanisms;</w:t>
      </w:r>
      <w:proofErr w:type="gramEnd"/>
    </w:p>
    <w:p w14:paraId="6D0EE833"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Adopting a decree on the monitoring and reporting </w:t>
      </w:r>
      <w:proofErr w:type="gramStart"/>
      <w:r w:rsidRPr="007C4D65">
        <w:rPr>
          <w:rFonts w:asciiTheme="minorHAnsi" w:hAnsiTheme="minorHAnsi" w:cstheme="minorHAnsi"/>
          <w:sz w:val="22"/>
        </w:rPr>
        <w:t>mechanism;</w:t>
      </w:r>
      <w:proofErr w:type="gramEnd"/>
    </w:p>
    <w:p w14:paraId="6FEED4C0"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Participating in the development of the Integrated Energy and Climate Plan (NECP) every five </w:t>
      </w:r>
      <w:proofErr w:type="gramStart"/>
      <w:r w:rsidRPr="007C4D65">
        <w:rPr>
          <w:rFonts w:asciiTheme="minorHAnsi" w:hAnsiTheme="minorHAnsi" w:cstheme="minorHAnsi"/>
          <w:sz w:val="22"/>
        </w:rPr>
        <w:t>years;</w:t>
      </w:r>
      <w:proofErr w:type="gramEnd"/>
    </w:p>
    <w:p w14:paraId="3864BD11"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Developing and implementing SECAP for all the municipalities and </w:t>
      </w:r>
      <w:proofErr w:type="gramStart"/>
      <w:r w:rsidRPr="007C4D65">
        <w:rPr>
          <w:rFonts w:asciiTheme="minorHAnsi" w:hAnsiTheme="minorHAnsi" w:cstheme="minorHAnsi"/>
          <w:sz w:val="22"/>
        </w:rPr>
        <w:t>cities;</w:t>
      </w:r>
      <w:proofErr w:type="gramEnd"/>
    </w:p>
    <w:p w14:paraId="0BB5FDA3" w14:textId="1C8B288F"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lastRenderedPageBreak/>
        <w:t xml:space="preserve">Drawing up an action plan to phase out </w:t>
      </w:r>
      <w:proofErr w:type="gramStart"/>
      <w:r w:rsidRPr="007C4D65">
        <w:rPr>
          <w:rFonts w:asciiTheme="minorHAnsi" w:hAnsiTheme="minorHAnsi" w:cstheme="minorHAnsi"/>
          <w:sz w:val="22"/>
        </w:rPr>
        <w:t>coal;</w:t>
      </w:r>
      <w:proofErr w:type="gramEnd"/>
    </w:p>
    <w:p w14:paraId="5FCFFC20"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Drawing up plans for a just transition of mining areas, and identifying mechanisms and funding sources for the </w:t>
      </w:r>
      <w:proofErr w:type="gramStart"/>
      <w:r w:rsidRPr="007C4D65">
        <w:rPr>
          <w:rFonts w:asciiTheme="minorHAnsi" w:hAnsiTheme="minorHAnsi" w:cstheme="minorHAnsi"/>
          <w:sz w:val="22"/>
        </w:rPr>
        <w:t>transition;</w:t>
      </w:r>
      <w:proofErr w:type="gramEnd"/>
    </w:p>
    <w:p w14:paraId="49085461"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Drafting a proposal for the implementation of the ЕU ETS </w:t>
      </w:r>
      <w:proofErr w:type="gramStart"/>
      <w:r w:rsidRPr="007C4D65">
        <w:rPr>
          <w:rFonts w:asciiTheme="minorHAnsi" w:hAnsiTheme="minorHAnsi" w:cstheme="minorHAnsi"/>
          <w:sz w:val="22"/>
        </w:rPr>
        <w:t>Directive;</w:t>
      </w:r>
      <w:proofErr w:type="gramEnd"/>
    </w:p>
    <w:p w14:paraId="5F99F7A3"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Designating an institution which should create the emissions trading </w:t>
      </w:r>
      <w:proofErr w:type="gramStart"/>
      <w:r w:rsidRPr="007C4D65">
        <w:rPr>
          <w:rFonts w:asciiTheme="minorHAnsi" w:hAnsiTheme="minorHAnsi" w:cstheme="minorHAnsi"/>
          <w:sz w:val="22"/>
        </w:rPr>
        <w:t>scheme;</w:t>
      </w:r>
      <w:proofErr w:type="gramEnd"/>
    </w:p>
    <w:p w14:paraId="30BDFF5C"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Capacity building of the institution designated for the creation of the emissions trading </w:t>
      </w:r>
      <w:proofErr w:type="gramStart"/>
      <w:r w:rsidRPr="007C4D65">
        <w:rPr>
          <w:rFonts w:asciiTheme="minorHAnsi" w:hAnsiTheme="minorHAnsi" w:cstheme="minorHAnsi"/>
          <w:sz w:val="22"/>
        </w:rPr>
        <w:t>scheme;</w:t>
      </w:r>
      <w:proofErr w:type="gramEnd"/>
      <w:r w:rsidRPr="007C4D65">
        <w:rPr>
          <w:rFonts w:asciiTheme="minorHAnsi" w:hAnsiTheme="minorHAnsi" w:cstheme="minorHAnsi"/>
          <w:sz w:val="22"/>
        </w:rPr>
        <w:t xml:space="preserve"> </w:t>
      </w:r>
    </w:p>
    <w:p w14:paraId="03FA296B" w14:textId="0AF6A096"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Participating in the development of the national strategy on </w:t>
      </w:r>
      <w:r w:rsidR="002E1D74" w:rsidRPr="007C4D65">
        <w:rPr>
          <w:rFonts w:asciiTheme="minorHAnsi" w:hAnsiTheme="minorHAnsi" w:cstheme="minorHAnsi"/>
          <w:sz w:val="22"/>
        </w:rPr>
        <w:t>enhancement</w:t>
      </w:r>
      <w:r w:rsidRPr="007C4D65">
        <w:rPr>
          <w:rFonts w:asciiTheme="minorHAnsi" w:hAnsiTheme="minorHAnsi" w:cstheme="minorHAnsi"/>
          <w:sz w:val="22"/>
        </w:rPr>
        <w:t xml:space="preserve"> of carbon </w:t>
      </w:r>
      <w:proofErr w:type="gramStart"/>
      <w:r w:rsidRPr="007C4D65">
        <w:rPr>
          <w:rFonts w:asciiTheme="minorHAnsi" w:hAnsiTheme="minorHAnsi" w:cstheme="minorHAnsi"/>
          <w:sz w:val="22"/>
        </w:rPr>
        <w:t>sink</w:t>
      </w:r>
      <w:r w:rsidR="002E1D74" w:rsidRPr="007C4D65">
        <w:rPr>
          <w:rFonts w:asciiTheme="minorHAnsi" w:hAnsiTheme="minorHAnsi" w:cstheme="minorHAnsi"/>
          <w:sz w:val="22"/>
        </w:rPr>
        <w:t>s</w:t>
      </w:r>
      <w:r w:rsidRPr="007C4D65">
        <w:rPr>
          <w:rFonts w:asciiTheme="minorHAnsi" w:hAnsiTheme="minorHAnsi" w:cstheme="minorHAnsi"/>
          <w:sz w:val="22"/>
        </w:rPr>
        <w:t>;</w:t>
      </w:r>
      <w:proofErr w:type="gramEnd"/>
    </w:p>
    <w:p w14:paraId="2F139BCE"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Boost planting of </w:t>
      </w:r>
      <w:proofErr w:type="gramStart"/>
      <w:r w:rsidRPr="007C4D65">
        <w:rPr>
          <w:rFonts w:asciiTheme="minorHAnsi" w:hAnsiTheme="minorHAnsi" w:cstheme="minorHAnsi"/>
          <w:sz w:val="22"/>
        </w:rPr>
        <w:t>fast growing</w:t>
      </w:r>
      <w:proofErr w:type="gramEnd"/>
      <w:r w:rsidRPr="007C4D65">
        <w:rPr>
          <w:rFonts w:asciiTheme="minorHAnsi" w:hAnsiTheme="minorHAnsi" w:cstheme="minorHAnsi"/>
          <w:sz w:val="22"/>
        </w:rPr>
        <w:t xml:space="preserve"> energy crops on degraded sites.</w:t>
      </w:r>
    </w:p>
    <w:p w14:paraId="1E4CEE94" w14:textId="406D4B7C" w:rsidR="005C1F7D" w:rsidRPr="007C4D65" w:rsidRDefault="005C1F7D" w:rsidP="005C1F7D">
      <w:pPr>
        <w:spacing w:before="240" w:after="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Priority 4.4 Enhancing resilience to climate change</w:t>
      </w:r>
      <w:r w:rsidR="00915506" w:rsidRPr="007C4D65">
        <w:rPr>
          <w:rFonts w:asciiTheme="minorHAnsi" w:hAnsiTheme="minorHAnsi" w:cstheme="minorHAnsi"/>
          <w:b/>
          <w:i/>
          <w:sz w:val="22"/>
          <w:szCs w:val="22"/>
          <w:u w:val="single"/>
        </w:rPr>
        <w:t xml:space="preserve"> </w:t>
      </w:r>
      <w:r w:rsidR="006C5EE4" w:rsidRPr="007C4D65">
        <w:rPr>
          <w:rFonts w:asciiTheme="minorHAnsi" w:hAnsiTheme="minorHAnsi" w:cstheme="minorHAnsi"/>
          <w:b/>
          <w:i/>
          <w:sz w:val="22"/>
          <w:szCs w:val="22"/>
          <w:u w:val="single"/>
        </w:rPr>
        <w:t>impact</w:t>
      </w:r>
    </w:p>
    <w:p w14:paraId="086954D9" w14:textId="4D6EEFCD" w:rsidR="005C1F7D" w:rsidRPr="007C4D65" w:rsidRDefault="005C1F7D" w:rsidP="005C1F7D">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 xml:space="preserve">Measure 4.4.1. Developing institutional capacities and knowledge as a basis for </w:t>
      </w:r>
      <w:r w:rsidR="006C5EE4" w:rsidRPr="007C4D65">
        <w:rPr>
          <w:rFonts w:asciiTheme="minorHAnsi" w:hAnsiTheme="minorHAnsi" w:cstheme="minorHAnsi"/>
          <w:i/>
          <w:sz w:val="22"/>
          <w:u w:val="single"/>
        </w:rPr>
        <w:t>enhanced</w:t>
      </w:r>
      <w:r w:rsidRPr="007C4D65">
        <w:rPr>
          <w:rFonts w:asciiTheme="minorHAnsi" w:hAnsiTheme="minorHAnsi" w:cstheme="minorHAnsi"/>
          <w:i/>
          <w:sz w:val="22"/>
          <w:u w:val="single"/>
        </w:rPr>
        <w:t xml:space="preserve"> resilience to climate change</w:t>
      </w:r>
    </w:p>
    <w:p w14:paraId="4BE8BB55" w14:textId="219FC813" w:rsidR="005C1F7D" w:rsidRPr="007C4D65" w:rsidRDefault="005C1F7D" w:rsidP="005C1F7D">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The aim of this measure is to develop capacities for adaptation to climate change through coordination aimed at upgrading the capacities of institutions and developing a strategic and legislative framework.  The aim will be achieved through the following areas of intervention:</w:t>
      </w:r>
    </w:p>
    <w:p w14:paraId="3A67960E"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Improving the knowledge and developing data bases on risks, measures, damages and losses for the purpose of vulnerability </w:t>
      </w:r>
      <w:proofErr w:type="gramStart"/>
      <w:r w:rsidRPr="007C4D65">
        <w:rPr>
          <w:rFonts w:asciiTheme="minorHAnsi" w:hAnsiTheme="minorHAnsi" w:cstheme="minorHAnsi"/>
          <w:sz w:val="22"/>
        </w:rPr>
        <w:t>assessment;</w:t>
      </w:r>
      <w:proofErr w:type="gramEnd"/>
    </w:p>
    <w:p w14:paraId="32F45953" w14:textId="62AEAFBB"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Designating a body responsible for </w:t>
      </w:r>
      <w:r w:rsidR="002E1D74" w:rsidRPr="007C4D65">
        <w:rPr>
          <w:rFonts w:asciiTheme="minorHAnsi" w:hAnsiTheme="minorHAnsi" w:cstheme="minorHAnsi"/>
          <w:sz w:val="22"/>
        </w:rPr>
        <w:t xml:space="preserve">setting up and maintaining </w:t>
      </w:r>
      <w:r w:rsidRPr="007C4D65">
        <w:rPr>
          <w:rFonts w:asciiTheme="minorHAnsi" w:hAnsiTheme="minorHAnsi" w:cstheme="minorHAnsi"/>
          <w:sz w:val="22"/>
        </w:rPr>
        <w:t xml:space="preserve">the damage record </w:t>
      </w:r>
      <w:proofErr w:type="gramStart"/>
      <w:r w:rsidRPr="007C4D65">
        <w:rPr>
          <w:rFonts w:asciiTheme="minorHAnsi" w:hAnsiTheme="minorHAnsi" w:cstheme="minorHAnsi"/>
          <w:sz w:val="22"/>
        </w:rPr>
        <w:t>system;</w:t>
      </w:r>
      <w:proofErr w:type="gramEnd"/>
    </w:p>
    <w:p w14:paraId="63138E81" w14:textId="7A7C059D"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Improving capacities for </w:t>
      </w:r>
      <w:r w:rsidR="002E1D74" w:rsidRPr="007C4D65">
        <w:rPr>
          <w:rFonts w:asciiTheme="minorHAnsi" w:hAnsiTheme="minorHAnsi" w:cstheme="minorHAnsi"/>
          <w:sz w:val="22"/>
        </w:rPr>
        <w:t>forecasting</w:t>
      </w:r>
      <w:r w:rsidRPr="007C4D65">
        <w:rPr>
          <w:rFonts w:asciiTheme="minorHAnsi" w:hAnsiTheme="minorHAnsi" w:cstheme="minorHAnsi"/>
          <w:sz w:val="22"/>
        </w:rPr>
        <w:t xml:space="preserve"> severe meteorological and hydrological events and providing timely warnings to support disaster risk </w:t>
      </w:r>
      <w:proofErr w:type="gramStart"/>
      <w:r w:rsidRPr="007C4D65">
        <w:rPr>
          <w:rFonts w:asciiTheme="minorHAnsi" w:hAnsiTheme="minorHAnsi" w:cstheme="minorHAnsi"/>
          <w:sz w:val="22"/>
        </w:rPr>
        <w:t>reduction;</w:t>
      </w:r>
      <w:proofErr w:type="gramEnd"/>
    </w:p>
    <w:p w14:paraId="004EE467"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Enhancing and coordinating cooperation among the institutions responsible for the assessment, prevention and response to disasters and major accidents linked with climate change (RHMI, Civil Protection, etc.</w:t>
      </w:r>
      <w:proofErr w:type="gramStart"/>
      <w:r w:rsidRPr="007C4D65">
        <w:rPr>
          <w:rFonts w:asciiTheme="minorHAnsi" w:hAnsiTheme="minorHAnsi" w:cstheme="minorHAnsi"/>
          <w:sz w:val="22"/>
        </w:rPr>
        <w:t>);</w:t>
      </w:r>
      <w:proofErr w:type="gramEnd"/>
    </w:p>
    <w:p w14:paraId="6D9CE85B"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Quarterly assessments of extreme climate change </w:t>
      </w:r>
      <w:proofErr w:type="gramStart"/>
      <w:r w:rsidRPr="007C4D65">
        <w:rPr>
          <w:rFonts w:asciiTheme="minorHAnsi" w:hAnsiTheme="minorHAnsi" w:cstheme="minorHAnsi"/>
          <w:sz w:val="22"/>
        </w:rPr>
        <w:t>risk;</w:t>
      </w:r>
      <w:proofErr w:type="gramEnd"/>
    </w:p>
    <w:p w14:paraId="378AD9F4" w14:textId="09CB3761"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Drawing up and adoption on climate change adaptation action plan based on the national Strategy (and updating it every five years</w:t>
      </w:r>
      <w:proofErr w:type="gramStart"/>
      <w:r w:rsidRPr="007C4D65">
        <w:rPr>
          <w:rFonts w:asciiTheme="minorHAnsi" w:hAnsiTheme="minorHAnsi" w:cstheme="minorHAnsi"/>
          <w:sz w:val="22"/>
        </w:rPr>
        <w:t>);</w:t>
      </w:r>
      <w:proofErr w:type="gramEnd"/>
    </w:p>
    <w:p w14:paraId="64D84745"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Set up a system of coordination and monitoring of the implementation of adaptation measures among the responsible institutions and continued capacity </w:t>
      </w:r>
      <w:proofErr w:type="gramStart"/>
      <w:r w:rsidRPr="007C4D65">
        <w:rPr>
          <w:rFonts w:asciiTheme="minorHAnsi" w:hAnsiTheme="minorHAnsi" w:cstheme="minorHAnsi"/>
          <w:sz w:val="22"/>
        </w:rPr>
        <w:t>building;</w:t>
      </w:r>
      <w:proofErr w:type="gramEnd"/>
    </w:p>
    <w:p w14:paraId="583315E8" w14:textId="541839BC"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Defining a way to raise and use funds for the climate change adaptation measures in accordance with the Strategy on funding NAP which is being developed.</w:t>
      </w:r>
    </w:p>
    <w:p w14:paraId="3ADC3814" w14:textId="77777777" w:rsidR="005C1F7D" w:rsidRPr="007C4D65" w:rsidRDefault="005C1F7D" w:rsidP="005C1F7D">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Measure 4.4.2. Developing infrastructure capacities as to support the enhancement of resilience to climate change</w:t>
      </w:r>
    </w:p>
    <w:p w14:paraId="2D602617" w14:textId="77777777" w:rsidR="005C1F7D" w:rsidRPr="007C4D65" w:rsidRDefault="005C1F7D" w:rsidP="005C1F7D">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The aim of this measure is to develop infrastructure capacities for adaptation to climate change in the sectors most vulnerable to climate change. The aim will be achieved through the following areas of intervention:</w:t>
      </w:r>
    </w:p>
    <w:p w14:paraId="5CA21D7D" w14:textId="0DDE7D8F"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Developing a program</w:t>
      </w:r>
      <w:r w:rsidR="002E1D74" w:rsidRPr="007C4D65">
        <w:rPr>
          <w:rFonts w:asciiTheme="minorHAnsi" w:hAnsiTheme="minorHAnsi" w:cstheme="minorHAnsi"/>
          <w:sz w:val="22"/>
        </w:rPr>
        <w:t>me</w:t>
      </w:r>
      <w:r w:rsidRPr="007C4D65">
        <w:rPr>
          <w:rFonts w:asciiTheme="minorHAnsi" w:hAnsiTheme="minorHAnsi" w:cstheme="minorHAnsi"/>
          <w:sz w:val="22"/>
        </w:rPr>
        <w:t xml:space="preserve"> to strengthen the irrigation </w:t>
      </w:r>
      <w:proofErr w:type="gramStart"/>
      <w:r w:rsidRPr="007C4D65">
        <w:rPr>
          <w:rFonts w:asciiTheme="minorHAnsi" w:hAnsiTheme="minorHAnsi" w:cstheme="minorHAnsi"/>
          <w:sz w:val="22"/>
        </w:rPr>
        <w:t>infrastructure</w:t>
      </w:r>
      <w:r w:rsidR="009477FB" w:rsidRPr="007C4D65">
        <w:rPr>
          <w:rFonts w:asciiTheme="minorHAnsi" w:eastAsia="Calibri" w:hAnsiTheme="minorHAnsi" w:cstheme="minorHAnsi"/>
          <w:sz w:val="22"/>
          <w:szCs w:val="22"/>
        </w:rPr>
        <w:t>;</w:t>
      </w:r>
      <w:proofErr w:type="gramEnd"/>
    </w:p>
    <w:p w14:paraId="52523C25" w14:textId="2B839BA9"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Application of the principle of sustainable use of water in irrigation areas and establishment of an advisory office for </w:t>
      </w:r>
      <w:proofErr w:type="gramStart"/>
      <w:r w:rsidRPr="007C4D65">
        <w:rPr>
          <w:rFonts w:asciiTheme="minorHAnsi" w:hAnsiTheme="minorHAnsi" w:cstheme="minorHAnsi"/>
          <w:sz w:val="22"/>
        </w:rPr>
        <w:t>farmers</w:t>
      </w:r>
      <w:r w:rsidR="009477FB" w:rsidRPr="007C4D65">
        <w:rPr>
          <w:rFonts w:asciiTheme="minorHAnsi" w:eastAsia="Calibri" w:hAnsiTheme="minorHAnsi" w:cstheme="minorHAnsi"/>
          <w:sz w:val="22"/>
          <w:szCs w:val="22"/>
        </w:rPr>
        <w:t>;</w:t>
      </w:r>
      <w:proofErr w:type="gramEnd"/>
    </w:p>
    <w:p w14:paraId="37DA3B52" w14:textId="72F76B86"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Compliance with ecological principles in development of multipurpose </w:t>
      </w:r>
      <w:proofErr w:type="gramStart"/>
      <w:r w:rsidRPr="007C4D65">
        <w:rPr>
          <w:rFonts w:asciiTheme="minorHAnsi" w:hAnsiTheme="minorHAnsi" w:cstheme="minorHAnsi"/>
          <w:sz w:val="22"/>
        </w:rPr>
        <w:t>reservoirs</w:t>
      </w:r>
      <w:r w:rsidR="009477FB" w:rsidRPr="007C4D65">
        <w:rPr>
          <w:rFonts w:asciiTheme="minorHAnsi" w:hAnsiTheme="minorHAnsi" w:cstheme="minorHAnsi"/>
          <w:sz w:val="22"/>
        </w:rPr>
        <w:t>;</w:t>
      </w:r>
      <w:proofErr w:type="gramEnd"/>
    </w:p>
    <w:p w14:paraId="4A229780" w14:textId="18E4D850"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lastRenderedPageBreak/>
        <w:t xml:space="preserve">Carrying out a study aimed at identifying the needs for equipment and human resources for early detection of fire and </w:t>
      </w:r>
      <w:proofErr w:type="gramStart"/>
      <w:r w:rsidRPr="007C4D65">
        <w:rPr>
          <w:rFonts w:asciiTheme="minorHAnsi" w:hAnsiTheme="minorHAnsi" w:cstheme="minorHAnsi"/>
          <w:sz w:val="22"/>
        </w:rPr>
        <w:t>firefighting</w:t>
      </w:r>
      <w:r w:rsidR="009477FB" w:rsidRPr="007C4D65">
        <w:rPr>
          <w:rFonts w:asciiTheme="minorHAnsi" w:eastAsia="Calibri" w:hAnsiTheme="minorHAnsi" w:cstheme="minorHAnsi"/>
          <w:sz w:val="22"/>
          <w:szCs w:val="22"/>
        </w:rPr>
        <w:t>;</w:t>
      </w:r>
      <w:proofErr w:type="gramEnd"/>
    </w:p>
    <w:p w14:paraId="2C1AD3C1" w14:textId="440E8B6D"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Procuring equipment and hiring staff for early detection of fire and </w:t>
      </w:r>
      <w:proofErr w:type="gramStart"/>
      <w:r w:rsidRPr="007C4D65">
        <w:rPr>
          <w:rFonts w:asciiTheme="minorHAnsi" w:hAnsiTheme="minorHAnsi" w:cstheme="minorHAnsi"/>
          <w:sz w:val="22"/>
        </w:rPr>
        <w:t>firefighting</w:t>
      </w:r>
      <w:r w:rsidR="009477FB" w:rsidRPr="007C4D65">
        <w:rPr>
          <w:rFonts w:asciiTheme="minorHAnsi" w:eastAsia="Calibri" w:hAnsiTheme="minorHAnsi" w:cstheme="minorHAnsi"/>
          <w:sz w:val="22"/>
          <w:szCs w:val="22"/>
        </w:rPr>
        <w:t>;</w:t>
      </w:r>
      <w:proofErr w:type="gramEnd"/>
    </w:p>
    <w:p w14:paraId="1C3A6D2E" w14:textId="7D07AE49"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Undertaking a study aimed at identifying infrastructure needed for firefighting (such as water reservoirs, fire escape facilities, etc.</w:t>
      </w:r>
      <w:proofErr w:type="gramStart"/>
      <w:r w:rsidRPr="007C4D65">
        <w:rPr>
          <w:rFonts w:asciiTheme="minorHAnsi" w:hAnsiTheme="minorHAnsi" w:cstheme="minorHAnsi"/>
          <w:sz w:val="22"/>
        </w:rPr>
        <w:t>)</w:t>
      </w:r>
      <w:r w:rsidR="009477FB" w:rsidRPr="007C4D65">
        <w:rPr>
          <w:rFonts w:asciiTheme="minorHAnsi" w:hAnsiTheme="minorHAnsi" w:cstheme="minorHAnsi"/>
          <w:sz w:val="22"/>
        </w:rPr>
        <w:t>;</w:t>
      </w:r>
      <w:proofErr w:type="gramEnd"/>
    </w:p>
    <w:p w14:paraId="087B3DEE" w14:textId="2AB6109F"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Strengthen the flood protection capacities</w:t>
      </w:r>
      <w:r w:rsidR="009477FB" w:rsidRPr="007C4D65">
        <w:rPr>
          <w:rFonts w:asciiTheme="minorHAnsi" w:hAnsiTheme="minorHAnsi" w:cstheme="minorHAnsi"/>
          <w:sz w:val="22"/>
        </w:rPr>
        <w:t>.</w:t>
      </w:r>
    </w:p>
    <w:p w14:paraId="7B037A1F" w14:textId="6C9F6463" w:rsidR="005C1F7D" w:rsidRPr="007C4D65" w:rsidRDefault="005C1F7D" w:rsidP="005C1F7D">
      <w:pPr>
        <w:spacing w:before="240" w:after="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 xml:space="preserve">Priority 4.5 Improving </w:t>
      </w:r>
      <w:r w:rsidR="009477FB" w:rsidRPr="007C4D65">
        <w:rPr>
          <w:rFonts w:asciiTheme="minorHAnsi" w:hAnsiTheme="minorHAnsi" w:cstheme="minorHAnsi"/>
          <w:b/>
          <w:i/>
          <w:sz w:val="22"/>
          <w:u w:val="single"/>
        </w:rPr>
        <w:t>energy efficiency of final consumption</w:t>
      </w:r>
      <w:r w:rsidRPr="007C4D65">
        <w:rPr>
          <w:rFonts w:asciiTheme="minorHAnsi" w:hAnsiTheme="minorHAnsi" w:cstheme="minorHAnsi"/>
          <w:b/>
          <w:i/>
          <w:sz w:val="22"/>
          <w:u w:val="single"/>
        </w:rPr>
        <w:t xml:space="preserve"> in all sectors</w:t>
      </w:r>
    </w:p>
    <w:p w14:paraId="4F70ECF9" w14:textId="77777777" w:rsidR="005C1F7D" w:rsidRPr="007C4D65" w:rsidRDefault="005C1F7D" w:rsidP="005C1F7D">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Measure 4.5.1. Creating an enabling environment for energy efficiency</w:t>
      </w:r>
    </w:p>
    <w:p w14:paraId="3A3FF415" w14:textId="0DBB9D93" w:rsidR="005C1F7D" w:rsidRPr="007C4D65" w:rsidRDefault="005C1F7D" w:rsidP="005C1F7D">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The aim of this measure is to create an enabling environment for energy efficiency through improvement of legislative and strategic framework in this area. The aim will be achieved through the following areas of intervention:</w:t>
      </w:r>
    </w:p>
    <w:p w14:paraId="4283AB7C" w14:textId="7198CC32"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Establishing an energy counselling </w:t>
      </w:r>
      <w:proofErr w:type="gramStart"/>
      <w:r w:rsidRPr="007C4D65">
        <w:rPr>
          <w:rFonts w:asciiTheme="minorHAnsi" w:hAnsiTheme="minorHAnsi" w:cstheme="minorHAnsi"/>
          <w:sz w:val="22"/>
        </w:rPr>
        <w:t>office;</w:t>
      </w:r>
      <w:proofErr w:type="gramEnd"/>
    </w:p>
    <w:p w14:paraId="5056966D"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Implementing green procurements‒ amending the Public Procurement Law</w:t>
      </w:r>
    </w:p>
    <w:p w14:paraId="24D5C065"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Implementing obligation schemes for electricity, natural gas and heat </w:t>
      </w:r>
      <w:proofErr w:type="gramStart"/>
      <w:r w:rsidRPr="007C4D65">
        <w:rPr>
          <w:rFonts w:asciiTheme="minorHAnsi" w:hAnsiTheme="minorHAnsi" w:cstheme="minorHAnsi"/>
          <w:sz w:val="22"/>
        </w:rPr>
        <w:t>suppliers;</w:t>
      </w:r>
      <w:proofErr w:type="gramEnd"/>
    </w:p>
    <w:p w14:paraId="3742B2A4"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Developing a model to increase the public lighting energy </w:t>
      </w:r>
      <w:proofErr w:type="gramStart"/>
      <w:r w:rsidRPr="007C4D65">
        <w:rPr>
          <w:rFonts w:asciiTheme="minorHAnsi" w:hAnsiTheme="minorHAnsi" w:cstheme="minorHAnsi"/>
          <w:sz w:val="22"/>
        </w:rPr>
        <w:t>efficiency;</w:t>
      </w:r>
      <w:proofErr w:type="gramEnd"/>
    </w:p>
    <w:p w14:paraId="14CC1027" w14:textId="67504616" w:rsidR="005C1F7D" w:rsidRPr="007C4D65" w:rsidRDefault="002E1D74"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Amending</w:t>
      </w:r>
      <w:r w:rsidR="005C1F7D" w:rsidRPr="007C4D65">
        <w:rPr>
          <w:rFonts w:asciiTheme="minorHAnsi" w:hAnsiTheme="minorHAnsi" w:cstheme="minorHAnsi"/>
          <w:sz w:val="22"/>
        </w:rPr>
        <w:t xml:space="preserve"> the Law on Energy Efficiency, and adoption of all relevant </w:t>
      </w:r>
      <w:r w:rsidR="00B80FAD" w:rsidRPr="007C4D65">
        <w:rPr>
          <w:rFonts w:asciiTheme="minorHAnsi" w:hAnsiTheme="minorHAnsi" w:cstheme="minorHAnsi"/>
          <w:sz w:val="22"/>
        </w:rPr>
        <w:t>bylaw</w:t>
      </w:r>
      <w:r w:rsidR="005C1F7D" w:rsidRPr="007C4D65">
        <w:rPr>
          <w:rFonts w:asciiTheme="minorHAnsi" w:hAnsiTheme="minorHAnsi" w:cstheme="minorHAnsi"/>
          <w:sz w:val="22"/>
        </w:rPr>
        <w:t>s (ESCO product labelling, financial policy for EE - tax loans, fiscal policy, defining the consumption threshold for major energy consumers, etc</w:t>
      </w:r>
      <w:proofErr w:type="gramStart"/>
      <w:r w:rsidR="005C1F7D" w:rsidRPr="007C4D65">
        <w:rPr>
          <w:rFonts w:asciiTheme="minorHAnsi" w:hAnsiTheme="minorHAnsi" w:cstheme="minorHAnsi"/>
          <w:sz w:val="22"/>
        </w:rPr>
        <w:t>);</w:t>
      </w:r>
      <w:proofErr w:type="gramEnd"/>
    </w:p>
    <w:p w14:paraId="73946216"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 xml:space="preserve">Adopting and implementing a strategy on retrofitting of </w:t>
      </w:r>
      <w:proofErr w:type="gramStart"/>
      <w:r w:rsidRPr="007C4D65">
        <w:rPr>
          <w:rFonts w:asciiTheme="minorHAnsi" w:hAnsiTheme="minorHAnsi" w:cstheme="minorHAnsi"/>
          <w:sz w:val="22"/>
        </w:rPr>
        <w:t>buildings;</w:t>
      </w:r>
      <w:proofErr w:type="gramEnd"/>
    </w:p>
    <w:p w14:paraId="1E83CF7E" w14:textId="77777777" w:rsidR="005C1F7D" w:rsidRPr="007C4D65" w:rsidRDefault="005C1F7D" w:rsidP="005C1F7D">
      <w:pPr>
        <w:pStyle w:val="ListParagraph"/>
        <w:numPr>
          <w:ilvl w:val="0"/>
          <w:numId w:val="52"/>
        </w:numPr>
        <w:spacing w:before="240" w:after="240" w:line="276" w:lineRule="auto"/>
        <w:ind w:left="550" w:hanging="187"/>
        <w:jc w:val="both"/>
        <w:rPr>
          <w:rFonts w:asciiTheme="minorHAnsi" w:eastAsia="Calibri" w:hAnsiTheme="minorHAnsi" w:cstheme="minorHAnsi"/>
          <w:sz w:val="22"/>
          <w:szCs w:val="22"/>
        </w:rPr>
      </w:pPr>
      <w:r w:rsidRPr="007C4D65">
        <w:rPr>
          <w:rFonts w:asciiTheme="minorHAnsi" w:hAnsiTheme="minorHAnsi" w:cstheme="minorHAnsi"/>
          <w:sz w:val="22"/>
        </w:rPr>
        <w:t>Further upgrading of the Energy Efficiency Information System.</w:t>
      </w:r>
    </w:p>
    <w:p w14:paraId="41BBE506" w14:textId="77777777" w:rsidR="005C1F7D" w:rsidRPr="007C4D65" w:rsidRDefault="005C1F7D" w:rsidP="005C1F7D">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Measure 4.5.2. Reduction of primary energy consumption</w:t>
      </w:r>
    </w:p>
    <w:p w14:paraId="604DDF42" w14:textId="25A85F08" w:rsidR="005C1F7D" w:rsidRPr="007C4D65" w:rsidRDefault="005C1F7D" w:rsidP="005C1F7D">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The aim of this measure is to reduce the consumption of primary energy through increasing energy efficiency in both residential and non-residential buildings and industry. The aim will be achieved through the following areas of intervention:</w:t>
      </w:r>
    </w:p>
    <w:p w14:paraId="267ADD24" w14:textId="77777777"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 xml:space="preserve">Implementing </w:t>
      </w:r>
      <w:r w:rsidRPr="007C4D65">
        <w:rPr>
          <w:rFonts w:asciiTheme="minorHAnsi" w:hAnsiTheme="minorHAnsi" w:cstheme="minorHAnsi"/>
          <w:i/>
          <w:sz w:val="22"/>
        </w:rPr>
        <w:t>Energy Labelling</w:t>
      </w:r>
      <w:r w:rsidRPr="007C4D65">
        <w:rPr>
          <w:rFonts w:asciiTheme="minorHAnsi" w:hAnsiTheme="minorHAnsi" w:cstheme="minorHAnsi"/>
          <w:sz w:val="22"/>
        </w:rPr>
        <w:t xml:space="preserve"> Standards for household </w:t>
      </w:r>
      <w:proofErr w:type="gramStart"/>
      <w:r w:rsidRPr="007C4D65">
        <w:rPr>
          <w:rFonts w:asciiTheme="minorHAnsi" w:hAnsiTheme="minorHAnsi" w:cstheme="minorHAnsi"/>
          <w:sz w:val="22"/>
        </w:rPr>
        <w:t>appliances;</w:t>
      </w:r>
      <w:proofErr w:type="gramEnd"/>
    </w:p>
    <w:p w14:paraId="528272B6" w14:textId="30E62CE1"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 xml:space="preserve">Developing a model aimed at promoting energy efficiency of residential </w:t>
      </w:r>
      <w:proofErr w:type="gramStart"/>
      <w:r w:rsidRPr="007C4D65">
        <w:rPr>
          <w:rFonts w:asciiTheme="minorHAnsi" w:hAnsiTheme="minorHAnsi" w:cstheme="minorHAnsi"/>
          <w:sz w:val="22"/>
        </w:rPr>
        <w:t>buildings;</w:t>
      </w:r>
      <w:proofErr w:type="gramEnd"/>
    </w:p>
    <w:p w14:paraId="717798A4" w14:textId="43871966"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Applying stricter requirements for energy efficiency in new buildings (including both heating and HVAC needs</w:t>
      </w:r>
      <w:proofErr w:type="gramStart"/>
      <w:r w:rsidRPr="007C4D65">
        <w:rPr>
          <w:rFonts w:asciiTheme="minorHAnsi" w:hAnsiTheme="minorHAnsi" w:cstheme="minorHAnsi"/>
          <w:sz w:val="22"/>
        </w:rPr>
        <w:t>);</w:t>
      </w:r>
      <w:proofErr w:type="gramEnd"/>
    </w:p>
    <w:p w14:paraId="1427B455" w14:textId="47528362"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 xml:space="preserve">Develop a model of funding rehabilitation of public </w:t>
      </w:r>
      <w:proofErr w:type="gramStart"/>
      <w:r w:rsidRPr="007C4D65">
        <w:rPr>
          <w:rFonts w:asciiTheme="minorHAnsi" w:hAnsiTheme="minorHAnsi" w:cstheme="minorHAnsi"/>
          <w:sz w:val="22"/>
        </w:rPr>
        <w:t>buildings;</w:t>
      </w:r>
      <w:proofErr w:type="gramEnd"/>
    </w:p>
    <w:p w14:paraId="523DD1F5" w14:textId="77777777"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 xml:space="preserve">Development of the ESCO </w:t>
      </w:r>
      <w:proofErr w:type="gramStart"/>
      <w:r w:rsidRPr="007C4D65">
        <w:rPr>
          <w:rFonts w:asciiTheme="minorHAnsi" w:hAnsiTheme="minorHAnsi" w:cstheme="minorHAnsi"/>
          <w:sz w:val="22"/>
        </w:rPr>
        <w:t>market;</w:t>
      </w:r>
      <w:proofErr w:type="gramEnd"/>
    </w:p>
    <w:p w14:paraId="28AC7CDF" w14:textId="77777777"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 xml:space="preserve">Implementing the obligation to perform energy audits in industrial facilities with a significant energy consumption, including the implementation of schemes of audits co-financing and favourable funding of </w:t>
      </w:r>
      <w:proofErr w:type="gramStart"/>
      <w:r w:rsidRPr="007C4D65">
        <w:rPr>
          <w:rFonts w:asciiTheme="minorHAnsi" w:hAnsiTheme="minorHAnsi" w:cstheme="minorHAnsi"/>
          <w:sz w:val="22"/>
        </w:rPr>
        <w:t>measures;</w:t>
      </w:r>
      <w:proofErr w:type="gramEnd"/>
    </w:p>
    <w:p w14:paraId="7C3F3AD2" w14:textId="77777777"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Creating a network for energy efficiency of industrial companies (</w:t>
      </w:r>
      <w:r w:rsidRPr="007C4D65">
        <w:rPr>
          <w:rFonts w:asciiTheme="minorHAnsi" w:hAnsiTheme="minorHAnsi" w:cstheme="minorHAnsi"/>
          <w:i/>
          <w:sz w:val="22"/>
        </w:rPr>
        <w:t>benchmarking</w:t>
      </w:r>
      <w:r w:rsidRPr="007C4D65">
        <w:rPr>
          <w:rFonts w:asciiTheme="minorHAnsi" w:hAnsiTheme="minorHAnsi" w:cstheme="minorHAnsi"/>
          <w:sz w:val="22"/>
        </w:rPr>
        <w:t xml:space="preserve">) and its integration in the EU </w:t>
      </w:r>
      <w:proofErr w:type="gramStart"/>
      <w:r w:rsidRPr="007C4D65">
        <w:rPr>
          <w:rFonts w:asciiTheme="minorHAnsi" w:hAnsiTheme="minorHAnsi" w:cstheme="minorHAnsi"/>
          <w:sz w:val="22"/>
        </w:rPr>
        <w:t>network;</w:t>
      </w:r>
      <w:proofErr w:type="gramEnd"/>
    </w:p>
    <w:p w14:paraId="20C072E4" w14:textId="77777777"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Appointment of energy managers in facilities which consume more energy than specifically defined.</w:t>
      </w:r>
    </w:p>
    <w:p w14:paraId="12045E30" w14:textId="77777777" w:rsidR="005C1F7D" w:rsidRPr="007C4D65" w:rsidRDefault="005C1F7D" w:rsidP="005C1F7D">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Measure 4.5.3. Reduction of primary energy consumption</w:t>
      </w:r>
    </w:p>
    <w:p w14:paraId="4C9E043F" w14:textId="0C46B2C0" w:rsidR="005C1F7D" w:rsidRPr="007C4D65" w:rsidRDefault="005C1F7D" w:rsidP="005C1F7D">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lastRenderedPageBreak/>
        <w:t>The aim of this measure is to reduce consumption of primary energy through strengthening of the legislative and strategic framework focusing on minimising losses in power generation. The aim will be achieved through the following areas of intervention:</w:t>
      </w:r>
    </w:p>
    <w:p w14:paraId="6515B030" w14:textId="0F442D45"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 xml:space="preserve">Implementing the </w:t>
      </w:r>
      <w:proofErr w:type="spellStart"/>
      <w:r w:rsidRPr="007C4D65">
        <w:rPr>
          <w:rFonts w:asciiTheme="minorHAnsi" w:hAnsiTheme="minorHAnsi" w:cstheme="minorHAnsi"/>
          <w:i/>
          <w:sz w:val="22"/>
        </w:rPr>
        <w:t>EcoDesign</w:t>
      </w:r>
      <w:proofErr w:type="spellEnd"/>
      <w:r w:rsidRPr="007C4D65">
        <w:rPr>
          <w:rFonts w:asciiTheme="minorHAnsi" w:hAnsiTheme="minorHAnsi" w:cstheme="minorHAnsi"/>
          <w:sz w:val="22"/>
        </w:rPr>
        <w:t xml:space="preserve"> standards for stoves/</w:t>
      </w:r>
      <w:proofErr w:type="gramStart"/>
      <w:r w:rsidRPr="007C4D65">
        <w:rPr>
          <w:rFonts w:asciiTheme="minorHAnsi" w:hAnsiTheme="minorHAnsi" w:cstheme="minorHAnsi"/>
          <w:sz w:val="22"/>
        </w:rPr>
        <w:t>boilers;</w:t>
      </w:r>
      <w:proofErr w:type="gramEnd"/>
    </w:p>
    <w:p w14:paraId="0C151056" w14:textId="4589686A"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 xml:space="preserve">Implementing incentives to promote purchasing of efficient heating and cooling </w:t>
      </w:r>
      <w:proofErr w:type="gramStart"/>
      <w:r w:rsidRPr="007C4D65">
        <w:rPr>
          <w:rFonts w:asciiTheme="minorHAnsi" w:hAnsiTheme="minorHAnsi" w:cstheme="minorHAnsi"/>
          <w:sz w:val="22"/>
        </w:rPr>
        <w:t>appliances;</w:t>
      </w:r>
      <w:proofErr w:type="gramEnd"/>
    </w:p>
    <w:p w14:paraId="1F206020" w14:textId="77777777"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 xml:space="preserve">Reducing losses in distribution of heat and </w:t>
      </w:r>
      <w:proofErr w:type="gramStart"/>
      <w:r w:rsidRPr="007C4D65">
        <w:rPr>
          <w:rFonts w:asciiTheme="minorHAnsi" w:hAnsiTheme="minorHAnsi" w:cstheme="minorHAnsi"/>
          <w:sz w:val="22"/>
        </w:rPr>
        <w:t>electricity;</w:t>
      </w:r>
      <w:proofErr w:type="gramEnd"/>
    </w:p>
    <w:p w14:paraId="38147DE6" w14:textId="77777777"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Introducing subsidies for energy from highly efficient cogeneration.</w:t>
      </w:r>
    </w:p>
    <w:p w14:paraId="052EA4F8" w14:textId="275C7CD8" w:rsidR="005C1F7D" w:rsidRPr="007C4D65" w:rsidRDefault="005C1F7D" w:rsidP="005C1F7D">
      <w:pPr>
        <w:spacing w:before="240" w:after="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 xml:space="preserve">Priority 4.6 </w:t>
      </w:r>
      <w:r w:rsidR="00197A0A" w:rsidRPr="007C4D65">
        <w:rPr>
          <w:rFonts w:asciiTheme="minorHAnsi" w:hAnsiTheme="minorHAnsi" w:cstheme="minorHAnsi"/>
          <w:b/>
          <w:i/>
          <w:sz w:val="22"/>
          <w:u w:val="single"/>
        </w:rPr>
        <w:t>Increasing the share of renewable energy along with an incentive scheme reform (focusing on citizens energy)</w:t>
      </w:r>
    </w:p>
    <w:p w14:paraId="697B6B59" w14:textId="58C736E7" w:rsidR="005C1F7D" w:rsidRPr="007C4D65" w:rsidRDefault="005C1F7D" w:rsidP="005C1F7D">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Measure 4.6.1. Creating an enabling environment for renewable energy sources</w:t>
      </w:r>
    </w:p>
    <w:p w14:paraId="3ED22A72" w14:textId="6D92227E" w:rsidR="005C1F7D" w:rsidRPr="007C4D65" w:rsidRDefault="005C1F7D" w:rsidP="005C1F7D">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The aim of this measure is to create an enabling environment for renewable energy sources through improvement of legislative and strategic framework in this area. The aim will be achieved through the following areas of intervention:</w:t>
      </w:r>
    </w:p>
    <w:p w14:paraId="1FB32D95" w14:textId="1A422F2A"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Regularly draw up integrated climate and energy plan (within the National Plan</w:t>
      </w:r>
      <w:proofErr w:type="gramStart"/>
      <w:r w:rsidRPr="007C4D65">
        <w:rPr>
          <w:rFonts w:asciiTheme="minorHAnsi" w:hAnsiTheme="minorHAnsi" w:cstheme="minorHAnsi"/>
          <w:sz w:val="22"/>
        </w:rPr>
        <w:t>);</w:t>
      </w:r>
      <w:proofErr w:type="gramEnd"/>
    </w:p>
    <w:p w14:paraId="37E8829F" w14:textId="78182D9B"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 xml:space="preserve">Implementing incentive schemes for the use of RES in heating and </w:t>
      </w:r>
      <w:proofErr w:type="gramStart"/>
      <w:r w:rsidRPr="007C4D65">
        <w:rPr>
          <w:rFonts w:asciiTheme="minorHAnsi" w:hAnsiTheme="minorHAnsi" w:cstheme="minorHAnsi"/>
          <w:sz w:val="22"/>
        </w:rPr>
        <w:t>cooling;</w:t>
      </w:r>
      <w:proofErr w:type="gramEnd"/>
    </w:p>
    <w:p w14:paraId="6DE7F144" w14:textId="77777777"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Imposing a requirement of proof of origin for energy.</w:t>
      </w:r>
    </w:p>
    <w:p w14:paraId="761F9FEE" w14:textId="77777777" w:rsidR="005C1F7D" w:rsidRPr="007C4D65" w:rsidRDefault="005C1F7D" w:rsidP="005C1F7D">
      <w:pPr>
        <w:pStyle w:val="ListParagraph"/>
        <w:spacing w:before="240" w:after="240" w:line="276" w:lineRule="auto"/>
        <w:ind w:left="0"/>
        <w:rPr>
          <w:rFonts w:asciiTheme="minorHAnsi" w:hAnsiTheme="minorHAnsi" w:cstheme="minorHAnsi"/>
          <w:i/>
          <w:sz w:val="22"/>
          <w:szCs w:val="22"/>
          <w:u w:val="single"/>
          <w:lang w:val="hr-HR"/>
        </w:rPr>
      </w:pPr>
    </w:p>
    <w:p w14:paraId="364772C2" w14:textId="77777777" w:rsidR="005C1F7D" w:rsidRPr="007C4D65" w:rsidRDefault="005C1F7D" w:rsidP="005C1F7D">
      <w:pPr>
        <w:pStyle w:val="ListParagraph"/>
        <w:spacing w:before="240" w:after="240" w:line="276" w:lineRule="auto"/>
        <w:ind w:left="0"/>
        <w:rPr>
          <w:rFonts w:asciiTheme="minorHAnsi" w:hAnsiTheme="minorHAnsi" w:cstheme="minorHAnsi"/>
          <w:i/>
          <w:sz w:val="22"/>
          <w:szCs w:val="22"/>
          <w:u w:val="single"/>
        </w:rPr>
      </w:pPr>
      <w:r w:rsidRPr="007C4D65">
        <w:rPr>
          <w:rFonts w:asciiTheme="minorHAnsi" w:hAnsiTheme="minorHAnsi" w:cstheme="minorHAnsi"/>
          <w:i/>
          <w:sz w:val="22"/>
          <w:u w:val="single"/>
        </w:rPr>
        <w:t>Measure 4.6.2. Increasing the share of renewable energy sources in the electricity production and transport</w:t>
      </w:r>
    </w:p>
    <w:p w14:paraId="6E0A5BB5" w14:textId="77777777" w:rsidR="005C1F7D" w:rsidRPr="007C4D65" w:rsidRDefault="005C1F7D" w:rsidP="005C1F7D">
      <w:pPr>
        <w:pStyle w:val="ListParagraph"/>
        <w:spacing w:before="240" w:after="240" w:line="276" w:lineRule="auto"/>
        <w:ind w:left="0"/>
        <w:jc w:val="both"/>
        <w:rPr>
          <w:rFonts w:asciiTheme="minorHAnsi" w:hAnsiTheme="minorHAnsi" w:cstheme="minorHAnsi"/>
          <w:i/>
          <w:sz w:val="22"/>
          <w:szCs w:val="22"/>
          <w:u w:val="single"/>
          <w:lang w:val="hr-HR"/>
        </w:rPr>
      </w:pPr>
    </w:p>
    <w:p w14:paraId="1E6D29CA" w14:textId="529A7ADC" w:rsidR="005C1F7D" w:rsidRPr="007C4D65" w:rsidRDefault="005C1F7D" w:rsidP="005C1F7D">
      <w:pPr>
        <w:pStyle w:val="ListParagraph"/>
        <w:spacing w:before="240" w:after="240" w:line="276" w:lineRule="auto"/>
        <w:ind w:left="0"/>
        <w:jc w:val="both"/>
        <w:rPr>
          <w:rFonts w:asciiTheme="minorHAnsi" w:hAnsiTheme="minorHAnsi" w:cstheme="minorHAnsi"/>
          <w:sz w:val="22"/>
          <w:szCs w:val="22"/>
        </w:rPr>
      </w:pPr>
      <w:r w:rsidRPr="007C4D65">
        <w:rPr>
          <w:rFonts w:asciiTheme="minorHAnsi" w:hAnsiTheme="minorHAnsi" w:cstheme="minorHAnsi"/>
          <w:sz w:val="22"/>
        </w:rPr>
        <w:t>The aim of this measure is to increase the share of the renewable energy sources in the electricity production and transport, through improvement of strategic framework and incentive scheme, and through strengthening of infrastructure for partial decarbonisation of transport. The aim will be achieved through the following areas of intervention:</w:t>
      </w:r>
    </w:p>
    <w:p w14:paraId="5CE8E7BF" w14:textId="77777777"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Implementing incentive schemes for citizens energy projects and auctions (phase out buy-in tariffs, implement net measurement or net calculation, defining prosumers</w:t>
      </w:r>
      <w:proofErr w:type="gramStart"/>
      <w:r w:rsidRPr="007C4D65">
        <w:rPr>
          <w:rFonts w:asciiTheme="minorHAnsi" w:hAnsiTheme="minorHAnsi" w:cstheme="minorHAnsi"/>
          <w:sz w:val="22"/>
        </w:rPr>
        <w:t>);</w:t>
      </w:r>
      <w:proofErr w:type="gramEnd"/>
    </w:p>
    <w:p w14:paraId="6E0F8185" w14:textId="77777777"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Adopting and regularly updating the catalogues of environmental criteria for development of all renewable energy sources (within the system of impact assessment</w:t>
      </w:r>
      <w:proofErr w:type="gramStart"/>
      <w:r w:rsidRPr="007C4D65">
        <w:rPr>
          <w:rFonts w:asciiTheme="minorHAnsi" w:hAnsiTheme="minorHAnsi" w:cstheme="minorHAnsi"/>
          <w:sz w:val="22"/>
        </w:rPr>
        <w:t>);</w:t>
      </w:r>
      <w:proofErr w:type="gramEnd"/>
    </w:p>
    <w:p w14:paraId="63E8C42D" w14:textId="355EBF72"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 xml:space="preserve">Introducing incentives for roof top photovoltaic plants and collectors in new </w:t>
      </w:r>
      <w:proofErr w:type="gramStart"/>
      <w:r w:rsidRPr="007C4D65">
        <w:rPr>
          <w:rFonts w:asciiTheme="minorHAnsi" w:hAnsiTheme="minorHAnsi" w:cstheme="minorHAnsi"/>
          <w:sz w:val="22"/>
        </w:rPr>
        <w:t>buildings;</w:t>
      </w:r>
      <w:proofErr w:type="gramEnd"/>
    </w:p>
    <w:p w14:paraId="73BACBBC" w14:textId="77777777"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 xml:space="preserve">Undertaking a study on construction of required infrastructure for electric and </w:t>
      </w:r>
      <w:r w:rsidRPr="007C4D65">
        <w:rPr>
          <w:rFonts w:asciiTheme="minorHAnsi" w:hAnsiTheme="minorHAnsi" w:cstheme="minorHAnsi"/>
          <w:i/>
          <w:sz w:val="22"/>
        </w:rPr>
        <w:t>plug-in</w:t>
      </w:r>
      <w:r w:rsidRPr="007C4D65">
        <w:rPr>
          <w:rFonts w:asciiTheme="minorHAnsi" w:hAnsiTheme="minorHAnsi" w:cstheme="minorHAnsi"/>
          <w:sz w:val="22"/>
        </w:rPr>
        <w:t xml:space="preserve"> hybrid vehicles.</w:t>
      </w:r>
    </w:p>
    <w:p w14:paraId="6026DFE2" w14:textId="77777777"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 xml:space="preserve">Promoting purchase and use of hybrid, electric and </w:t>
      </w:r>
      <w:r w:rsidRPr="007C4D65">
        <w:rPr>
          <w:rFonts w:asciiTheme="minorHAnsi" w:hAnsiTheme="minorHAnsi" w:cstheme="minorHAnsi"/>
          <w:i/>
          <w:sz w:val="22"/>
        </w:rPr>
        <w:t>plug-in</w:t>
      </w:r>
      <w:r w:rsidRPr="007C4D65">
        <w:rPr>
          <w:rFonts w:asciiTheme="minorHAnsi" w:hAnsiTheme="minorHAnsi" w:cstheme="minorHAnsi"/>
          <w:sz w:val="22"/>
        </w:rPr>
        <w:t xml:space="preserve"> passenger vehicles (subsidies for purchase, the right to enter ‘green’ city areas, cheaper / </w:t>
      </w:r>
      <w:r w:rsidRPr="007C4D65">
        <w:rPr>
          <w:rFonts w:asciiTheme="minorHAnsi" w:hAnsiTheme="minorHAnsi" w:cstheme="minorHAnsi"/>
          <w:i/>
          <w:sz w:val="22"/>
        </w:rPr>
        <w:t>free</w:t>
      </w:r>
      <w:r w:rsidRPr="007C4D65">
        <w:rPr>
          <w:rFonts w:asciiTheme="minorHAnsi" w:hAnsiTheme="minorHAnsi" w:cstheme="minorHAnsi"/>
          <w:sz w:val="22"/>
        </w:rPr>
        <w:t xml:space="preserve"> of charge </w:t>
      </w:r>
      <w:proofErr w:type="gramStart"/>
      <w:r w:rsidRPr="007C4D65">
        <w:rPr>
          <w:rFonts w:asciiTheme="minorHAnsi" w:hAnsiTheme="minorHAnsi" w:cstheme="minorHAnsi"/>
          <w:sz w:val="22"/>
        </w:rPr>
        <w:t>parking ,</w:t>
      </w:r>
      <w:proofErr w:type="gramEnd"/>
      <w:r w:rsidRPr="007C4D65">
        <w:rPr>
          <w:rFonts w:asciiTheme="minorHAnsi" w:hAnsiTheme="minorHAnsi" w:cstheme="minorHAnsi"/>
          <w:sz w:val="22"/>
        </w:rPr>
        <w:t xml:space="preserve"> etc.), public  transport vehicles;</w:t>
      </w:r>
    </w:p>
    <w:p w14:paraId="4E67D337" w14:textId="77777777"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 xml:space="preserve">Building the infrastructure for hybrid, electric and </w:t>
      </w:r>
      <w:r w:rsidRPr="007C4D65">
        <w:rPr>
          <w:rFonts w:asciiTheme="minorHAnsi" w:hAnsiTheme="minorHAnsi" w:cstheme="minorHAnsi"/>
          <w:i/>
          <w:sz w:val="22"/>
        </w:rPr>
        <w:t>plug-in</w:t>
      </w:r>
      <w:r w:rsidRPr="007C4D65">
        <w:rPr>
          <w:rFonts w:asciiTheme="minorHAnsi" w:hAnsiTheme="minorHAnsi" w:cstheme="minorHAnsi"/>
          <w:sz w:val="22"/>
        </w:rPr>
        <w:t xml:space="preserve"> passenger vehicles (charging points, disposal of used spare parts, etc.)</w:t>
      </w:r>
    </w:p>
    <w:p w14:paraId="001ED753" w14:textId="77777777"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Building cycling trails and parking facilities, developing pedestrian walkways.</w:t>
      </w:r>
    </w:p>
    <w:p w14:paraId="3A3745AC" w14:textId="0EE3363C" w:rsidR="005C1F7D" w:rsidRPr="007C4D65" w:rsidRDefault="005C1F7D" w:rsidP="005C1F7D">
      <w:pPr>
        <w:spacing w:before="240" w:after="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Priority 4.7 Reducing light pollution</w:t>
      </w:r>
    </w:p>
    <w:p w14:paraId="7578AC01" w14:textId="77777777" w:rsidR="005C1F7D" w:rsidRPr="007C4D65" w:rsidRDefault="005C1F7D" w:rsidP="005C1F7D">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Measure 4.7.1. Enacting legislation governing light pollution</w:t>
      </w:r>
    </w:p>
    <w:p w14:paraId="316B8665" w14:textId="3DA449A7" w:rsidR="005C1F7D" w:rsidRPr="007C4D65" w:rsidRDefault="005C1F7D" w:rsidP="005C1F7D">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The aim of this measure is to develop a legislative framework and capacities for the regulation of light pollution.  The aim will be achieved through the following areas of intervention:</w:t>
      </w:r>
    </w:p>
    <w:p w14:paraId="050F970E" w14:textId="0FA7F8C3"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Drafting and adopting a regulation on light pollution in the Federation of BiH (illumination zones, allowed values of illumination, methods of managing the lighting systems, inspections, etc.</w:t>
      </w:r>
      <w:proofErr w:type="gramStart"/>
      <w:r w:rsidRPr="007C4D65">
        <w:rPr>
          <w:rFonts w:asciiTheme="minorHAnsi" w:hAnsiTheme="minorHAnsi" w:cstheme="minorHAnsi"/>
          <w:sz w:val="22"/>
        </w:rPr>
        <w:t>)</w:t>
      </w:r>
      <w:r w:rsidR="009477FB" w:rsidRPr="007C4D65">
        <w:rPr>
          <w:rFonts w:asciiTheme="minorHAnsi" w:eastAsia="Calibri" w:hAnsiTheme="minorHAnsi" w:cstheme="minorHAnsi"/>
          <w:sz w:val="22"/>
          <w:szCs w:val="22"/>
        </w:rPr>
        <w:t>;</w:t>
      </w:r>
      <w:proofErr w:type="gramEnd"/>
    </w:p>
    <w:p w14:paraId="422296B4" w14:textId="39FF182C" w:rsidR="005C1F7D" w:rsidRPr="007C4D65" w:rsidRDefault="005C1F7D" w:rsidP="005C1F7D">
      <w:pPr>
        <w:pStyle w:val="ListParagraph"/>
        <w:numPr>
          <w:ilvl w:val="0"/>
          <w:numId w:val="52"/>
        </w:numPr>
        <w:spacing w:before="240" w:after="240" w:line="276" w:lineRule="auto"/>
        <w:ind w:left="633" w:hanging="270"/>
        <w:jc w:val="both"/>
        <w:rPr>
          <w:rFonts w:asciiTheme="minorHAnsi" w:eastAsia="Calibri" w:hAnsiTheme="minorHAnsi" w:cstheme="minorHAnsi"/>
          <w:sz w:val="22"/>
          <w:szCs w:val="22"/>
        </w:rPr>
      </w:pPr>
      <w:r w:rsidRPr="007C4D65">
        <w:rPr>
          <w:rFonts w:asciiTheme="minorHAnsi" w:hAnsiTheme="minorHAnsi" w:cstheme="minorHAnsi"/>
          <w:sz w:val="22"/>
        </w:rPr>
        <w:t>Strengthening the capacities of responsible institutions (for spatial planning, inspections, etc.)</w:t>
      </w:r>
      <w:r w:rsidR="009477FB" w:rsidRPr="007C4D65">
        <w:rPr>
          <w:rFonts w:asciiTheme="minorHAnsi" w:hAnsiTheme="minorHAnsi" w:cstheme="minorHAnsi"/>
          <w:sz w:val="22"/>
        </w:rPr>
        <w:t>.</w:t>
      </w:r>
    </w:p>
    <w:p w14:paraId="4D807AC5" w14:textId="0027EDE4" w:rsidR="002D2640" w:rsidRPr="007C4D65" w:rsidRDefault="002D2640">
      <w:pPr>
        <w:spacing w:after="160" w:line="259" w:lineRule="auto"/>
        <w:rPr>
          <w:rFonts w:asciiTheme="minorHAnsi" w:eastAsia="Calibri" w:hAnsiTheme="minorHAnsi" w:cstheme="minorHAnsi"/>
          <w:sz w:val="22"/>
          <w:szCs w:val="22"/>
        </w:rPr>
      </w:pPr>
      <w:r w:rsidRPr="007C4D65">
        <w:rPr>
          <w:rFonts w:asciiTheme="minorHAnsi" w:eastAsia="Calibri" w:hAnsiTheme="minorHAnsi" w:cstheme="minorHAnsi"/>
          <w:sz w:val="22"/>
          <w:szCs w:val="22"/>
        </w:rPr>
        <w:br w:type="page"/>
      </w:r>
    </w:p>
    <w:p w14:paraId="16DDE65F" w14:textId="77777777" w:rsidR="00B62FBD" w:rsidRPr="007C4D65" w:rsidRDefault="00B62FBD" w:rsidP="005C1F7D">
      <w:pPr>
        <w:pStyle w:val="ListParagraph"/>
        <w:spacing w:before="240" w:after="240" w:line="276" w:lineRule="auto"/>
        <w:ind w:left="633"/>
        <w:jc w:val="both"/>
        <w:rPr>
          <w:rFonts w:asciiTheme="minorHAnsi" w:eastAsia="Calibri" w:hAnsiTheme="minorHAnsi" w:cstheme="minorHAnsi"/>
          <w:sz w:val="22"/>
          <w:szCs w:val="22"/>
        </w:rPr>
      </w:pPr>
    </w:p>
    <w:p w14:paraId="54F2B0A8" w14:textId="77777777" w:rsidR="00B62FBD" w:rsidRPr="007C4D65" w:rsidRDefault="00B62FBD">
      <w:pPr>
        <w:pStyle w:val="Head2"/>
        <w:spacing w:line="276" w:lineRule="auto"/>
        <w:rPr>
          <w:rFonts w:asciiTheme="minorHAnsi" w:hAnsiTheme="minorHAnsi"/>
        </w:rPr>
      </w:pPr>
      <w:bookmarkStart w:id="147" w:name="_Toc117445352"/>
      <w:r w:rsidRPr="007C4D65">
        <w:rPr>
          <w:rFonts w:asciiTheme="minorHAnsi" w:hAnsiTheme="minorHAnsi"/>
        </w:rPr>
        <w:t>Indicative Financial Framework</w:t>
      </w:r>
      <w:bookmarkEnd w:id="147"/>
    </w:p>
    <w:p w14:paraId="1121D7CD" w14:textId="01E41579" w:rsidR="005C1F7D" w:rsidRPr="007C4D65" w:rsidRDefault="005C1F7D" w:rsidP="005C1F7D">
      <w:pPr>
        <w:spacing w:after="24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rPr>
        <w:t xml:space="preserve">The cost estimate for this thematic area is the third largest, after Water Management and </w:t>
      </w:r>
      <w:r w:rsidR="007934C2" w:rsidRPr="007C4D65">
        <w:rPr>
          <w:rFonts w:asciiTheme="minorHAnsi" w:hAnsiTheme="minorHAnsi" w:cstheme="minorHAnsi"/>
          <w:sz w:val="22"/>
        </w:rPr>
        <w:t>Sustainable resource management</w:t>
      </w:r>
      <w:r w:rsidRPr="007C4D65">
        <w:rPr>
          <w:rFonts w:asciiTheme="minorHAnsi" w:hAnsiTheme="minorHAnsi" w:cstheme="minorHAnsi"/>
          <w:sz w:val="22"/>
        </w:rPr>
        <w:t xml:space="preserve">. The thematic area Air </w:t>
      </w:r>
      <w:r w:rsidR="002E1D74" w:rsidRPr="007C4D65">
        <w:rPr>
          <w:rFonts w:asciiTheme="minorHAnsi" w:hAnsiTheme="minorHAnsi" w:cstheme="minorHAnsi"/>
          <w:sz w:val="22"/>
        </w:rPr>
        <w:t>Quality</w:t>
      </w:r>
      <w:r w:rsidRPr="007C4D65">
        <w:rPr>
          <w:rFonts w:asciiTheme="minorHAnsi" w:hAnsiTheme="minorHAnsi" w:cstheme="minorHAnsi"/>
          <w:sz w:val="22"/>
        </w:rPr>
        <w:t xml:space="preserve">, Climate and Energy accounts for </w:t>
      </w:r>
      <w:proofErr w:type="gramStart"/>
      <w:r w:rsidRPr="007C4D65">
        <w:rPr>
          <w:rFonts w:asciiTheme="minorHAnsi" w:hAnsiTheme="minorHAnsi" w:cstheme="minorHAnsi"/>
          <w:sz w:val="22"/>
        </w:rPr>
        <w:t>28%,</w:t>
      </w:r>
      <w:proofErr w:type="gramEnd"/>
      <w:r w:rsidRPr="007C4D65">
        <w:rPr>
          <w:rFonts w:asciiTheme="minorHAnsi" w:hAnsiTheme="minorHAnsi" w:cstheme="minorHAnsi"/>
          <w:sz w:val="22"/>
        </w:rPr>
        <w:t xml:space="preserve"> of the total estimated cost of the Strategy of BAM 11,9 billion, with BAM 3.3 billion. This thematic area contains seven priorities with 13 measures. </w:t>
      </w:r>
      <w:r w:rsidR="002D2640" w:rsidRPr="007C4D65">
        <w:rPr>
          <w:rFonts w:asciiTheme="minorHAnsi" w:hAnsiTheme="minorHAnsi" w:cstheme="minorHAnsi"/>
          <w:sz w:val="22"/>
        </w:rPr>
        <w:t>The c</w:t>
      </w:r>
      <w:r w:rsidRPr="007C4D65">
        <w:rPr>
          <w:rFonts w:asciiTheme="minorHAnsi" w:hAnsiTheme="minorHAnsi" w:cstheme="minorHAnsi"/>
          <w:sz w:val="22"/>
        </w:rPr>
        <w:t xml:space="preserve">ost estimates were </w:t>
      </w:r>
      <w:r w:rsidR="002D2640" w:rsidRPr="007C4D65">
        <w:rPr>
          <w:rFonts w:asciiTheme="minorHAnsi" w:hAnsiTheme="minorHAnsi" w:cstheme="minorHAnsi"/>
          <w:sz w:val="22"/>
        </w:rPr>
        <w:t>calculated</w:t>
      </w:r>
      <w:r w:rsidRPr="007C4D65">
        <w:rPr>
          <w:rFonts w:asciiTheme="minorHAnsi" w:hAnsiTheme="minorHAnsi" w:cstheme="minorHAnsi"/>
          <w:sz w:val="22"/>
        </w:rPr>
        <w:t xml:space="preserve"> for all the measures </w:t>
      </w:r>
      <w:proofErr w:type="gramStart"/>
      <w:r w:rsidR="002D2640" w:rsidRPr="007C4D65">
        <w:rPr>
          <w:rFonts w:asciiTheme="minorHAnsi" w:hAnsiTheme="minorHAnsi" w:cstheme="minorHAnsi"/>
          <w:sz w:val="22"/>
        </w:rPr>
        <w:t>i</w:t>
      </w:r>
      <w:r w:rsidRPr="007C4D65">
        <w:rPr>
          <w:rFonts w:asciiTheme="minorHAnsi" w:hAnsiTheme="minorHAnsi" w:cstheme="minorHAnsi"/>
          <w:sz w:val="22"/>
        </w:rPr>
        <w:t>n the area of</w:t>
      </w:r>
      <w:proofErr w:type="gramEnd"/>
      <w:r w:rsidRPr="007C4D65">
        <w:rPr>
          <w:rFonts w:asciiTheme="minorHAnsi" w:hAnsiTheme="minorHAnsi" w:cstheme="minorHAnsi"/>
          <w:sz w:val="22"/>
        </w:rPr>
        <w:t xml:space="preserve"> Air Quality, Climate Change and Energy. Priority 4.5 is the main priority of this thematic area (Improving energy efficiency in the final consumption in all sectors). It accounts for 62% of the total cost with BAM 2 billion. It is followed by priority 4.4 (</w:t>
      </w:r>
      <w:r w:rsidR="00915506" w:rsidRPr="007C4D65">
        <w:rPr>
          <w:rFonts w:asciiTheme="minorHAnsi" w:hAnsiTheme="minorHAnsi" w:cstheme="minorHAnsi"/>
          <w:sz w:val="22"/>
        </w:rPr>
        <w:t xml:space="preserve">Enhancing resilience to climate </w:t>
      </w:r>
      <w:proofErr w:type="gramStart"/>
      <w:r w:rsidR="00915506" w:rsidRPr="007C4D65">
        <w:rPr>
          <w:rFonts w:asciiTheme="minorHAnsi" w:hAnsiTheme="minorHAnsi" w:cstheme="minorHAnsi"/>
          <w:sz w:val="22"/>
        </w:rPr>
        <w:t>change  )</w:t>
      </w:r>
      <w:proofErr w:type="gramEnd"/>
      <w:r w:rsidRPr="007C4D65">
        <w:rPr>
          <w:rFonts w:asciiTheme="minorHAnsi" w:hAnsiTheme="minorHAnsi" w:cstheme="minorHAnsi"/>
          <w:sz w:val="22"/>
        </w:rPr>
        <w:t xml:space="preserve"> which accounts for 18% with BAM 597 million, and 4.1. (Reduce air pollution by reducing air pollutants to levels that are safe for human health) </w:t>
      </w:r>
      <w:r w:rsidR="002E1D74" w:rsidRPr="007C4D65">
        <w:rPr>
          <w:rFonts w:asciiTheme="minorHAnsi" w:hAnsiTheme="minorHAnsi" w:cstheme="minorHAnsi"/>
          <w:sz w:val="22"/>
        </w:rPr>
        <w:t>which</w:t>
      </w:r>
      <w:r w:rsidRPr="007C4D65">
        <w:rPr>
          <w:rFonts w:asciiTheme="minorHAnsi" w:hAnsiTheme="minorHAnsi" w:cstheme="minorHAnsi"/>
          <w:sz w:val="22"/>
        </w:rPr>
        <w:t xml:space="preserve"> accounts for 10% with BAM 324 million. The total financial allocations for the remaining four priorities account for 11% of the total sum with BAM 355 million.</w:t>
      </w:r>
    </w:p>
    <w:p w14:paraId="5A60800E" w14:textId="1F93DC7B" w:rsidR="005C1F7D" w:rsidRPr="007C4D65" w:rsidRDefault="005C1F7D" w:rsidP="005C1F7D">
      <w:pPr>
        <w:spacing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rPr>
        <w:t xml:space="preserve">A detailed overview of the Indicative Financial Framework for the thematic area Air Quality, Climate </w:t>
      </w:r>
      <w:r w:rsidR="002E1D74" w:rsidRPr="007C4D65">
        <w:rPr>
          <w:rFonts w:asciiTheme="minorHAnsi" w:hAnsiTheme="minorHAnsi" w:cstheme="minorHAnsi"/>
          <w:sz w:val="22"/>
        </w:rPr>
        <w:t>Change</w:t>
      </w:r>
      <w:r w:rsidRPr="007C4D65">
        <w:rPr>
          <w:rFonts w:asciiTheme="minorHAnsi" w:hAnsiTheme="minorHAnsi" w:cstheme="minorHAnsi"/>
          <w:sz w:val="22"/>
        </w:rPr>
        <w:t xml:space="preserve"> and Energy and for the </w:t>
      </w:r>
      <w:r w:rsidRPr="007C4D65">
        <w:rPr>
          <w:rFonts w:asciiTheme="minorHAnsi" w:hAnsiTheme="minorHAnsi" w:cstheme="minorHAnsi"/>
          <w:color w:val="000000" w:themeColor="text1"/>
          <w:sz w:val="22"/>
        </w:rPr>
        <w:t>Federation of BiH is contained in Annex 9, including a table and pie chart.</w:t>
      </w:r>
    </w:p>
    <w:p w14:paraId="4B337CA0" w14:textId="431D75D9" w:rsidR="00A047EC" w:rsidRPr="007C4D65" w:rsidRDefault="00A047EC" w:rsidP="0068355A">
      <w:pPr>
        <w:spacing w:line="276" w:lineRule="auto"/>
        <w:jc w:val="both"/>
        <w:rPr>
          <w:rFonts w:asciiTheme="minorHAnsi" w:eastAsiaTheme="minorHAnsi" w:hAnsiTheme="minorHAnsi" w:cstheme="minorHAnsi"/>
          <w:sz w:val="22"/>
          <w:szCs w:val="22"/>
        </w:rPr>
      </w:pPr>
    </w:p>
    <w:p w14:paraId="1140D0AF" w14:textId="77777777" w:rsidR="001F3DA0" w:rsidRPr="007C4D65" w:rsidRDefault="001F3DA0" w:rsidP="0068355A">
      <w:pPr>
        <w:spacing w:line="276" w:lineRule="auto"/>
        <w:rPr>
          <w:rFonts w:asciiTheme="minorHAnsi" w:hAnsiTheme="minorHAnsi" w:cstheme="minorHAnsi"/>
        </w:rPr>
      </w:pPr>
      <w:r w:rsidRPr="007C4D65">
        <w:rPr>
          <w:rFonts w:asciiTheme="minorHAnsi" w:hAnsiTheme="minorHAnsi" w:cstheme="minorHAnsi"/>
        </w:rPr>
        <w:br w:type="page"/>
      </w:r>
    </w:p>
    <w:p w14:paraId="7E9272C8" w14:textId="5062B12E" w:rsidR="001F3DA0" w:rsidRPr="007C4D65" w:rsidRDefault="002E1D74">
      <w:pPr>
        <w:pStyle w:val="Head1"/>
        <w:spacing w:after="240" w:line="276" w:lineRule="auto"/>
        <w:rPr>
          <w:rFonts w:asciiTheme="minorHAnsi" w:hAnsiTheme="minorHAnsi" w:cstheme="minorHAnsi"/>
        </w:rPr>
      </w:pPr>
      <w:bookmarkStart w:id="148" w:name="_Toc117445353"/>
      <w:r w:rsidRPr="007C4D65">
        <w:rPr>
          <w:rFonts w:asciiTheme="minorHAnsi" w:hAnsiTheme="minorHAnsi" w:cstheme="minorHAnsi"/>
        </w:rPr>
        <w:lastRenderedPageBreak/>
        <w:t>CHEMICAL SAFETY AND NOISE</w:t>
      </w:r>
      <w:bookmarkEnd w:id="148"/>
    </w:p>
    <w:p w14:paraId="534A5F1C" w14:textId="77777777" w:rsidR="00CA18D2" w:rsidRPr="007C4D65" w:rsidRDefault="00CA18D2">
      <w:pPr>
        <w:pStyle w:val="Head2"/>
        <w:spacing w:line="276" w:lineRule="auto"/>
        <w:rPr>
          <w:rFonts w:asciiTheme="minorHAnsi" w:hAnsiTheme="minorHAnsi"/>
        </w:rPr>
      </w:pPr>
      <w:bookmarkStart w:id="149" w:name="_Toc117445354"/>
      <w:r w:rsidRPr="007C4D65">
        <w:rPr>
          <w:rFonts w:asciiTheme="minorHAnsi" w:hAnsiTheme="minorHAnsi"/>
        </w:rPr>
        <w:t>Situation Analysis</w:t>
      </w:r>
      <w:bookmarkEnd w:id="149"/>
    </w:p>
    <w:p w14:paraId="6EADA0BE" w14:textId="0A4F26D4"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 xml:space="preserve">Safe use of chemicals and reduced level of noise are needed to protect people’s health and environment. That is why this chapter analyses the </w:t>
      </w:r>
      <w:r w:rsidRPr="007C4D65">
        <w:rPr>
          <w:rFonts w:asciiTheme="minorHAnsi" w:hAnsiTheme="minorHAnsi"/>
          <w:b/>
          <w:bCs/>
          <w:sz w:val="22"/>
          <w:szCs w:val="22"/>
        </w:rPr>
        <w:t xml:space="preserve">baseline status </w:t>
      </w:r>
      <w:r w:rsidRPr="007C4D65">
        <w:rPr>
          <w:rFonts w:asciiTheme="minorHAnsi" w:hAnsiTheme="minorHAnsi"/>
          <w:sz w:val="22"/>
          <w:szCs w:val="22"/>
        </w:rPr>
        <w:t xml:space="preserve">and </w:t>
      </w:r>
      <w:r w:rsidRPr="007C4D65">
        <w:rPr>
          <w:rFonts w:asciiTheme="minorHAnsi" w:hAnsiTheme="minorHAnsi"/>
          <w:b/>
          <w:bCs/>
          <w:sz w:val="22"/>
          <w:szCs w:val="22"/>
        </w:rPr>
        <w:t xml:space="preserve">key challenges </w:t>
      </w:r>
      <w:r w:rsidRPr="007C4D65">
        <w:rPr>
          <w:rFonts w:asciiTheme="minorHAnsi" w:hAnsiTheme="minorHAnsi"/>
          <w:sz w:val="22"/>
          <w:szCs w:val="22"/>
        </w:rPr>
        <w:t>with the aim to adequately identify future objectives, priorities and measures in the field of chemical safety and noise.</w:t>
      </w:r>
    </w:p>
    <w:p w14:paraId="15FC867F" w14:textId="30E45DF8" w:rsidR="00647018" w:rsidRPr="007C4D65" w:rsidRDefault="00647018" w:rsidP="00647018">
      <w:pPr>
        <w:spacing w:after="240" w:line="276" w:lineRule="auto"/>
        <w:jc w:val="both"/>
        <w:rPr>
          <w:rFonts w:asciiTheme="minorHAnsi" w:hAnsiTheme="minorHAnsi"/>
          <w:sz w:val="22"/>
          <w:szCs w:val="22"/>
        </w:rPr>
      </w:pPr>
      <w:r w:rsidRPr="007C4D65">
        <w:rPr>
          <w:rFonts w:asciiTheme="minorHAnsi" w:hAnsiTheme="minorHAnsi"/>
          <w:sz w:val="22"/>
          <w:szCs w:val="22"/>
        </w:rPr>
        <w:t>In addition to being used in industry, chemicals, which may be natural or man-made, are part of everyb</w:t>
      </w:r>
      <w:r w:rsidR="007A1486" w:rsidRPr="007C4D65">
        <w:rPr>
          <w:rFonts w:asciiTheme="minorHAnsi" w:hAnsiTheme="minorHAnsi"/>
          <w:sz w:val="22"/>
          <w:szCs w:val="22"/>
        </w:rPr>
        <w:t>ody’s daily lives and people are regularly exposed to them</w:t>
      </w:r>
      <w:r w:rsidRPr="007C4D65">
        <w:rPr>
          <w:rFonts w:asciiTheme="minorHAnsi" w:hAnsiTheme="minorHAnsi"/>
          <w:sz w:val="22"/>
          <w:szCs w:val="22"/>
        </w:rPr>
        <w:t xml:space="preserve">. People are exposed all the time to various dangerous chemicals that are used in household, including vulnerable groups such as children or pregnant women. Various groups of population (women, men or the poor) are exposed to chemicals in different ways due to division of labour, social norms and place where they live. In addition, there are differences in sensitivity to harmful effects of chemicals among, for example, women, men and children. Therefore, the influence of chemical use is different for each of these groups. Improving living standard of marginalized population, resolving the poverty issues and identifying groups most at risk are the key measures that can help limit their exposure to harmful chemicals, and noise </w:t>
      </w:r>
      <w:r w:rsidRPr="007C4D65">
        <w:rPr>
          <w:rFonts w:asciiTheme="minorHAnsi" w:hAnsiTheme="minorHAnsi"/>
          <w:sz w:val="22"/>
          <w:szCs w:val="22"/>
        </w:rPr>
        <w:fldChar w:fldCharType="begin"/>
      </w:r>
      <w:r w:rsidRPr="007C4D65">
        <w:rPr>
          <w:rFonts w:asciiTheme="minorHAnsi" w:hAnsiTheme="minorHAnsi"/>
          <w:sz w:val="22"/>
          <w:szCs w:val="22"/>
        </w:rPr>
        <w:instrText xml:space="preserve"> ADDIN ZOTERO_ITEM CSL_CITATION {"citationID":"kPbOwBmd","properties":{"formattedCitation":"(Strambo et al. 2021)","plainCitation":"(Strambo et al. 2021)","noteIndex":0},"citationItems":[{"id":1503,"uris":["http://zotero.org/users/7192877/items/U79T83J4"],"itemData":{"id":1503,"type":"article-journal","abstract":"This discussion brief explains how chemical safety and noise pollution in Bosnia and Herzegovina are related to gender inequality, social inequity and poverty.","language":"en-GB","source":"www.sei.org","title":"Chemical safety &amp; noise pollution in Bosnia and Herzegovina: a gender equality, social equity and poverty reduction lens","title-short":"Chemical safety &amp; noise pollution in Bosnia and Herzegovina","URL":"https://www.sei.org/publications/chemical-safety-noise-pollution-in-bih-a-gesep-lens/","author":[{"family":"Strambo","given":"Claudia"},{"family":"Segnestam","given":"Lisa"},{"family":"Jahovic","given":"Belma"}],"accessed":{"date-parts":[["2022",4,16]]},"issued":{"date-parts":[["2021",8,10]]}}}],"schema":"https://github.com/citation-style-language/schema/raw/master/csl-citation.json"} </w:instrText>
      </w:r>
      <w:r w:rsidRPr="007C4D65">
        <w:rPr>
          <w:rFonts w:asciiTheme="minorHAnsi" w:hAnsiTheme="minorHAnsi"/>
          <w:sz w:val="22"/>
          <w:szCs w:val="22"/>
        </w:rPr>
        <w:fldChar w:fldCharType="separate"/>
      </w:r>
      <w:r w:rsidRPr="007C4D65">
        <w:rPr>
          <w:rFonts w:asciiTheme="minorHAnsi" w:hAnsiTheme="minorHAnsi"/>
          <w:sz w:val="22"/>
          <w:szCs w:val="22"/>
        </w:rPr>
        <w:t>(Strambo et al., 2021)</w:t>
      </w:r>
      <w:r w:rsidRPr="007C4D65">
        <w:rPr>
          <w:rFonts w:asciiTheme="minorHAnsi" w:hAnsiTheme="minorHAnsi"/>
          <w:sz w:val="22"/>
          <w:szCs w:val="22"/>
        </w:rPr>
        <w:fldChar w:fldCharType="end"/>
      </w:r>
      <w:r w:rsidRPr="007C4D65">
        <w:rPr>
          <w:rFonts w:asciiTheme="minorHAnsi" w:hAnsiTheme="minorHAnsi"/>
          <w:sz w:val="22"/>
          <w:szCs w:val="22"/>
        </w:rPr>
        <w:t>.</w:t>
      </w:r>
    </w:p>
    <w:p w14:paraId="13C0868A" w14:textId="77777777" w:rsidR="00647018" w:rsidRPr="007C4D65" w:rsidRDefault="00647018" w:rsidP="00647018">
      <w:pPr>
        <w:shd w:val="clear" w:color="auto" w:fill="FDFDFD"/>
        <w:spacing w:line="276" w:lineRule="auto"/>
        <w:jc w:val="both"/>
        <w:rPr>
          <w:rFonts w:asciiTheme="minorHAnsi" w:hAnsiTheme="minorHAnsi" w:cstheme="minorHAnsi"/>
          <w:sz w:val="22"/>
          <w:szCs w:val="22"/>
        </w:rPr>
      </w:pPr>
      <w:r w:rsidRPr="007C4D65">
        <w:rPr>
          <w:rFonts w:asciiTheme="minorHAnsi" w:hAnsiTheme="minorHAnsi"/>
          <w:sz w:val="22"/>
          <w:szCs w:val="22"/>
        </w:rPr>
        <w:t xml:space="preserve">Some chemicals, such as persistent organic pollutants (POPs) and mercury remain in environment for long time and may have long-lasting negative impact on environment and people’s health. </w:t>
      </w:r>
      <w:r w:rsidRPr="007C4D65">
        <w:rPr>
          <w:rStyle w:val="jlqj4b"/>
          <w:rFonts w:asciiTheme="minorHAnsi" w:hAnsiTheme="minorHAnsi"/>
          <w:sz w:val="22"/>
          <w:szCs w:val="22"/>
        </w:rPr>
        <w:t>Chemical safety implies that any activity involving chemicals is done in a way that is safe for human health and environment</w:t>
      </w:r>
      <w:r w:rsidRPr="007C4D65">
        <w:rPr>
          <w:rFonts w:asciiTheme="minorHAnsi" w:hAnsiTheme="minorHAnsi"/>
          <w:sz w:val="22"/>
          <w:szCs w:val="22"/>
        </w:rPr>
        <w:t xml:space="preserve">, and this imposes the need of defining special institutional solutions and legislation </w:t>
      </w:r>
      <w:proofErr w:type="gramStart"/>
      <w:r w:rsidRPr="007C4D65">
        <w:rPr>
          <w:rFonts w:asciiTheme="minorHAnsi" w:hAnsiTheme="minorHAnsi"/>
          <w:sz w:val="22"/>
          <w:szCs w:val="22"/>
        </w:rPr>
        <w:t>in the area of</w:t>
      </w:r>
      <w:proofErr w:type="gramEnd"/>
      <w:r w:rsidRPr="007C4D65">
        <w:rPr>
          <w:rFonts w:asciiTheme="minorHAnsi" w:hAnsiTheme="minorHAnsi"/>
          <w:sz w:val="22"/>
          <w:szCs w:val="22"/>
        </w:rPr>
        <w:t xml:space="preserve"> chemical safety.</w:t>
      </w:r>
      <w:r w:rsidRPr="007C4D65">
        <w:rPr>
          <w:rStyle w:val="ts-alignment-element"/>
          <w:rFonts w:asciiTheme="minorHAnsi" w:hAnsiTheme="minorHAnsi"/>
          <w:sz w:val="21"/>
          <w:szCs w:val="21"/>
        </w:rPr>
        <w:t xml:space="preserve"> </w:t>
      </w:r>
      <w:r w:rsidRPr="007C4D65">
        <w:rPr>
          <w:rFonts w:asciiTheme="minorHAnsi" w:hAnsiTheme="minorHAnsi"/>
          <w:sz w:val="22"/>
          <w:szCs w:val="22"/>
          <w:u w:val="single"/>
        </w:rPr>
        <w:t xml:space="preserve">Chemical safety means that every chemical in use is safe for human health and environment, and this imposes the need to identify specific institutional and legislative solutions </w:t>
      </w:r>
      <w:proofErr w:type="gramStart"/>
      <w:r w:rsidRPr="007C4D65">
        <w:rPr>
          <w:rFonts w:asciiTheme="minorHAnsi" w:hAnsiTheme="minorHAnsi"/>
          <w:sz w:val="22"/>
          <w:szCs w:val="22"/>
          <w:u w:val="single"/>
        </w:rPr>
        <w:t>in the area of</w:t>
      </w:r>
      <w:proofErr w:type="gramEnd"/>
      <w:r w:rsidRPr="007C4D65">
        <w:rPr>
          <w:rFonts w:asciiTheme="minorHAnsi" w:hAnsiTheme="minorHAnsi"/>
          <w:sz w:val="22"/>
          <w:szCs w:val="22"/>
          <w:u w:val="single"/>
        </w:rPr>
        <w:t xml:space="preserve"> chemical safety.</w:t>
      </w:r>
    </w:p>
    <w:p w14:paraId="5BF60BC9" w14:textId="19915A80"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 xml:space="preserve">In BiH, managing chemicals is within competences of Entities and </w:t>
      </w:r>
      <w:r w:rsidR="00633F68" w:rsidRPr="007C4D65">
        <w:rPr>
          <w:rFonts w:asciiTheme="minorHAnsi" w:hAnsiTheme="minorHAnsi"/>
          <w:sz w:val="22"/>
          <w:szCs w:val="22"/>
        </w:rPr>
        <w:t>Br</w:t>
      </w:r>
      <w:r w:rsidR="00A46B27" w:rsidRPr="007C4D65">
        <w:rPr>
          <w:rFonts w:asciiTheme="minorHAnsi" w:hAnsiTheme="minorHAnsi"/>
          <w:sz w:val="22"/>
          <w:szCs w:val="22"/>
        </w:rPr>
        <w:t>c</w:t>
      </w:r>
      <w:r w:rsidR="00295360" w:rsidRPr="007C4D65">
        <w:rPr>
          <w:rFonts w:asciiTheme="minorHAnsi" w:hAnsiTheme="minorHAnsi"/>
          <w:sz w:val="22"/>
          <w:szCs w:val="22"/>
        </w:rPr>
        <w:t>ko</w:t>
      </w:r>
      <w:r w:rsidRPr="007C4D65">
        <w:rPr>
          <w:rFonts w:asciiTheme="minorHAnsi" w:hAnsiTheme="minorHAnsi"/>
          <w:sz w:val="22"/>
          <w:szCs w:val="22"/>
        </w:rPr>
        <w:t xml:space="preserve"> </w:t>
      </w:r>
      <w:r w:rsidR="00633F68" w:rsidRPr="007C4D65">
        <w:rPr>
          <w:rFonts w:asciiTheme="minorHAnsi" w:hAnsiTheme="minorHAnsi"/>
          <w:sz w:val="22"/>
          <w:szCs w:val="22"/>
        </w:rPr>
        <w:t xml:space="preserve">District of </w:t>
      </w:r>
      <w:r w:rsidRPr="007C4D65">
        <w:rPr>
          <w:rFonts w:asciiTheme="minorHAnsi" w:hAnsiTheme="minorHAnsi"/>
          <w:sz w:val="22"/>
          <w:szCs w:val="22"/>
        </w:rPr>
        <w:t xml:space="preserve">BiH, except with respect to reporting to EU institutions (in accordance with the obligations under the Stabilization and Association Agreement), secretariats of the signed conventions, and customs policy, including control and prevention of entry of prohibited goods and substances in BiH. </w:t>
      </w:r>
      <w:r w:rsidR="007436F1" w:rsidRPr="007C4D65">
        <w:rPr>
          <w:rFonts w:asciiTheme="minorHAnsi" w:hAnsiTheme="minorHAnsi"/>
          <w:sz w:val="22"/>
          <w:szCs w:val="22"/>
        </w:rPr>
        <w:t>In the Federation of BiH</w:t>
      </w:r>
      <w:r w:rsidRPr="007C4D65">
        <w:rPr>
          <w:rFonts w:asciiTheme="minorHAnsi" w:hAnsiTheme="minorHAnsi"/>
          <w:sz w:val="22"/>
          <w:szCs w:val="22"/>
        </w:rPr>
        <w:t>, the competences are divided between environment and health, as described below.</w:t>
      </w:r>
    </w:p>
    <w:p w14:paraId="092F0BF1" w14:textId="77777777"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BiH has ratified the following conventions pertinent to chemical safety:</w:t>
      </w:r>
    </w:p>
    <w:p w14:paraId="6CE9E1EF" w14:textId="77777777" w:rsidR="00647018" w:rsidRPr="007C4D65" w:rsidRDefault="00647018">
      <w:pPr>
        <w:pStyle w:val="ListParagraph"/>
        <w:numPr>
          <w:ilvl w:val="0"/>
          <w:numId w:val="186"/>
        </w:numPr>
        <w:spacing w:before="240" w:after="240" w:line="276" w:lineRule="auto"/>
        <w:rPr>
          <w:rFonts w:asciiTheme="minorHAnsi" w:hAnsiTheme="minorHAnsi" w:cstheme="minorHAnsi"/>
          <w:sz w:val="22"/>
          <w:szCs w:val="22"/>
        </w:rPr>
      </w:pPr>
      <w:r w:rsidRPr="007C4D65">
        <w:rPr>
          <w:rFonts w:asciiTheme="minorHAnsi" w:hAnsiTheme="minorHAnsi"/>
          <w:sz w:val="22"/>
          <w:szCs w:val="22"/>
        </w:rPr>
        <w:t xml:space="preserve">Vienna Convention, Montreal Protocol with associated amendments (Copenhagen, Montreal, Beijing and Kigali) on protection of the ozone </w:t>
      </w:r>
      <w:proofErr w:type="gramStart"/>
      <w:r w:rsidRPr="007C4D65">
        <w:rPr>
          <w:rFonts w:asciiTheme="minorHAnsi" w:hAnsiTheme="minorHAnsi"/>
          <w:sz w:val="22"/>
          <w:szCs w:val="22"/>
        </w:rPr>
        <w:t>layer;</w:t>
      </w:r>
      <w:proofErr w:type="gramEnd"/>
    </w:p>
    <w:p w14:paraId="638D6F4E" w14:textId="77777777" w:rsidR="00647018" w:rsidRPr="007C4D65" w:rsidRDefault="00647018">
      <w:pPr>
        <w:pStyle w:val="ListParagraph"/>
        <w:numPr>
          <w:ilvl w:val="0"/>
          <w:numId w:val="186"/>
        </w:numPr>
        <w:spacing w:before="240" w:after="240" w:line="276" w:lineRule="auto"/>
        <w:rPr>
          <w:rFonts w:asciiTheme="minorHAnsi" w:hAnsiTheme="minorHAnsi" w:cstheme="minorHAnsi"/>
          <w:sz w:val="22"/>
          <w:szCs w:val="22"/>
        </w:rPr>
      </w:pPr>
      <w:r w:rsidRPr="007C4D65">
        <w:rPr>
          <w:rFonts w:asciiTheme="minorHAnsi" w:hAnsiTheme="minorHAnsi"/>
          <w:sz w:val="22"/>
          <w:szCs w:val="22"/>
        </w:rPr>
        <w:t xml:space="preserve">Stockholm convention on persistent organic </w:t>
      </w:r>
      <w:proofErr w:type="gramStart"/>
      <w:r w:rsidRPr="007C4D65">
        <w:rPr>
          <w:rFonts w:asciiTheme="minorHAnsi" w:hAnsiTheme="minorHAnsi"/>
          <w:sz w:val="22"/>
          <w:szCs w:val="22"/>
        </w:rPr>
        <w:t>pollutants;</w:t>
      </w:r>
      <w:proofErr w:type="gramEnd"/>
    </w:p>
    <w:p w14:paraId="43F3E950" w14:textId="77777777" w:rsidR="00647018" w:rsidRPr="007C4D65" w:rsidRDefault="00647018">
      <w:pPr>
        <w:pStyle w:val="ListParagraph"/>
        <w:numPr>
          <w:ilvl w:val="0"/>
          <w:numId w:val="186"/>
        </w:numPr>
        <w:spacing w:before="240" w:after="240" w:line="276" w:lineRule="auto"/>
        <w:rPr>
          <w:rFonts w:asciiTheme="minorHAnsi" w:hAnsiTheme="minorHAnsi" w:cstheme="minorHAnsi"/>
          <w:sz w:val="22"/>
          <w:szCs w:val="22"/>
        </w:rPr>
      </w:pPr>
      <w:r w:rsidRPr="007C4D65">
        <w:rPr>
          <w:rFonts w:asciiTheme="minorHAnsi" w:hAnsiTheme="minorHAnsi"/>
          <w:sz w:val="22"/>
          <w:szCs w:val="22"/>
        </w:rPr>
        <w:t>Rotterdam Convention on Prior Informed Consent Procedure for Certain Hazardous Chemicals and Pesticides in International Trade.</w:t>
      </w:r>
    </w:p>
    <w:p w14:paraId="7F4A8411" w14:textId="78499EEA"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Federation Ministry of Environment and Tourism is responsible for overseeing and monitoring consumption of substances that damage the ozone layer, and they send the collected data to the Ozone Unit of BiH that operates within the MOFTE</w:t>
      </w:r>
      <w:r w:rsidR="00B6017F" w:rsidRPr="007C4D65">
        <w:rPr>
          <w:rFonts w:asciiTheme="minorHAnsi" w:hAnsiTheme="minorHAnsi"/>
          <w:sz w:val="22"/>
          <w:szCs w:val="22"/>
        </w:rPr>
        <w:t>R.  All importers/exporters of ODS</w:t>
      </w:r>
      <w:r w:rsidRPr="007C4D65">
        <w:rPr>
          <w:rFonts w:asciiTheme="minorHAnsi" w:hAnsiTheme="minorHAnsi"/>
          <w:sz w:val="22"/>
          <w:szCs w:val="22"/>
        </w:rPr>
        <w:t xml:space="preserve"> are obliged to submit to competent authorities’ annual reports regarding import/re-export, distribution/sale in the </w:t>
      </w:r>
      <w:r w:rsidRPr="007C4D65">
        <w:rPr>
          <w:rFonts w:asciiTheme="minorHAnsi" w:hAnsiTheme="minorHAnsi"/>
          <w:sz w:val="22"/>
          <w:szCs w:val="22"/>
        </w:rPr>
        <w:lastRenderedPageBreak/>
        <w:t xml:space="preserve">market of </w:t>
      </w:r>
      <w:proofErr w:type="spellStart"/>
      <w:r w:rsidRPr="007C4D65">
        <w:rPr>
          <w:rFonts w:asciiTheme="minorHAnsi" w:hAnsiTheme="minorHAnsi"/>
          <w:sz w:val="22"/>
          <w:szCs w:val="22"/>
        </w:rPr>
        <w:t>Republika</w:t>
      </w:r>
      <w:proofErr w:type="spellEnd"/>
      <w:r w:rsidRPr="007C4D65">
        <w:rPr>
          <w:rFonts w:asciiTheme="minorHAnsi" w:hAnsiTheme="minorHAnsi"/>
          <w:sz w:val="22"/>
          <w:szCs w:val="22"/>
        </w:rPr>
        <w:t xml:space="preserve"> Srpska and quantity of </w:t>
      </w:r>
      <w:r w:rsidR="00B6017F" w:rsidRPr="007C4D65">
        <w:rPr>
          <w:rFonts w:asciiTheme="minorHAnsi" w:hAnsiTheme="minorHAnsi"/>
          <w:sz w:val="22"/>
          <w:szCs w:val="22"/>
        </w:rPr>
        <w:t>ODS</w:t>
      </w:r>
      <w:r w:rsidRPr="007C4D65">
        <w:rPr>
          <w:rFonts w:asciiTheme="minorHAnsi" w:hAnsiTheme="minorHAnsi"/>
          <w:sz w:val="22"/>
          <w:szCs w:val="22"/>
        </w:rPr>
        <w:t xml:space="preserve"> and replacement substances in stock on 31 December of previous year. The reports are to be submitted by 31 January of the following year at the latest, in the format prescribed in Decision by the Council of Ministries.</w:t>
      </w:r>
    </w:p>
    <w:p w14:paraId="68B9707E" w14:textId="3B625C9C" w:rsidR="00647018" w:rsidRPr="007C4D65" w:rsidRDefault="00647018" w:rsidP="00647018">
      <w:pPr>
        <w:spacing w:before="240" w:after="240" w:line="276" w:lineRule="auto"/>
        <w:jc w:val="both"/>
        <w:rPr>
          <w:rFonts w:asciiTheme="minorHAnsi" w:hAnsiTheme="minorHAnsi" w:cstheme="minorHAnsi"/>
          <w:color w:val="000000" w:themeColor="text1"/>
          <w:sz w:val="22"/>
          <w:szCs w:val="22"/>
        </w:rPr>
      </w:pPr>
      <w:r w:rsidRPr="007C4D65">
        <w:rPr>
          <w:rFonts w:asciiTheme="minorHAnsi" w:hAnsiTheme="minorHAnsi"/>
          <w:sz w:val="22"/>
          <w:szCs w:val="22"/>
        </w:rPr>
        <w:t xml:space="preserve">Decision on prohibition or restriction of imports, production, trade and use of certain hazardous industrial chemicals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w:t>
      </w:r>
      <w:r w:rsidR="000B256F" w:rsidRPr="007C4D65">
        <w:rPr>
          <w:rFonts w:asciiTheme="minorHAnsi" w:hAnsiTheme="minorHAnsi"/>
          <w:sz w:val="22"/>
          <w:szCs w:val="22"/>
        </w:rPr>
        <w:t>“</w:t>
      </w:r>
      <w:r w:rsidR="007436F1" w:rsidRPr="007C4D65">
        <w:rPr>
          <w:rFonts w:asciiTheme="minorHAnsi" w:hAnsiTheme="minorHAnsi"/>
          <w:sz w:val="22"/>
          <w:szCs w:val="22"/>
        </w:rPr>
        <w:t>Official Gazette of the Federation of BiH“</w:t>
      </w:r>
      <w:r w:rsidR="009E7C0F" w:rsidRPr="007C4D65">
        <w:rPr>
          <w:rFonts w:asciiTheme="minorHAnsi" w:hAnsiTheme="minorHAnsi"/>
          <w:sz w:val="22"/>
          <w:szCs w:val="22"/>
        </w:rPr>
        <w:t>,</w:t>
      </w:r>
      <w:r w:rsidRPr="007C4D65">
        <w:rPr>
          <w:rFonts w:asciiTheme="minorHAnsi" w:hAnsiTheme="minorHAnsi"/>
          <w:sz w:val="22"/>
          <w:szCs w:val="22"/>
        </w:rPr>
        <w:t xml:space="preserve"> 52/16, 47/19) obliges the Federation Ministry of Health to work with the BiH Plant Health Administration, as the designated state body at the level of BiH responsible for coordination of implementation of the Rotterdam Convention, in accordance with provisions of the Rotterdam Convention in the part that concerns activities and reporting on the future import of chemicals from Point I of this Decision. This obligation is further affirmed under Article 39 of the Law on Chemicals (</w:t>
      </w:r>
      <w:r w:rsidR="00092541" w:rsidRPr="007C4D65">
        <w:rPr>
          <w:rFonts w:asciiTheme="minorHAnsi" w:hAnsiTheme="minorHAnsi"/>
          <w:sz w:val="22"/>
          <w:szCs w:val="22"/>
        </w:rPr>
        <w:t>“</w:t>
      </w:r>
      <w:r w:rsidR="007436F1" w:rsidRPr="007C4D65">
        <w:rPr>
          <w:rFonts w:asciiTheme="minorHAnsi" w:hAnsiTheme="minorHAnsi"/>
          <w:sz w:val="22"/>
          <w:szCs w:val="22"/>
        </w:rPr>
        <w:t xml:space="preserve">Official Gazette of the Federation of </w:t>
      </w:r>
      <w:proofErr w:type="gramStart"/>
      <w:r w:rsidR="007436F1" w:rsidRPr="007C4D65">
        <w:rPr>
          <w:rFonts w:asciiTheme="minorHAnsi" w:hAnsiTheme="minorHAnsi"/>
          <w:sz w:val="22"/>
          <w:szCs w:val="22"/>
        </w:rPr>
        <w:t>BiH“</w:t>
      </w:r>
      <w:proofErr w:type="gramEnd"/>
      <w:r w:rsidR="009E7C0F" w:rsidRPr="007C4D65">
        <w:rPr>
          <w:rFonts w:asciiTheme="minorHAnsi" w:hAnsiTheme="minorHAnsi"/>
          <w:sz w:val="22"/>
          <w:szCs w:val="22"/>
        </w:rPr>
        <w:t>,</w:t>
      </w:r>
      <w:r w:rsidRPr="007C4D65">
        <w:rPr>
          <w:rFonts w:asciiTheme="minorHAnsi" w:hAnsiTheme="minorHAnsi"/>
          <w:sz w:val="22"/>
          <w:szCs w:val="22"/>
        </w:rPr>
        <w:t xml:space="preserve"> 77/20).</w:t>
      </w:r>
    </w:p>
    <w:p w14:paraId="2D1D7667" w14:textId="4787B233" w:rsidR="00647018" w:rsidRPr="007C4D65" w:rsidRDefault="00647018" w:rsidP="00647018">
      <w:pPr>
        <w:spacing w:line="276" w:lineRule="auto"/>
        <w:jc w:val="both"/>
        <w:rPr>
          <w:rFonts w:asciiTheme="minorHAnsi" w:hAnsiTheme="minorHAnsi"/>
          <w:sz w:val="22"/>
          <w:szCs w:val="22"/>
        </w:rPr>
      </w:pPr>
      <w:r w:rsidRPr="007C4D65">
        <w:rPr>
          <w:rFonts w:asciiTheme="minorHAnsi" w:hAnsiTheme="minorHAnsi"/>
          <w:sz w:val="22"/>
          <w:szCs w:val="22"/>
        </w:rPr>
        <w:t>In October 2020, the Law on Chemicals was adopted (</w:t>
      </w:r>
      <w:r w:rsidR="00092541" w:rsidRPr="007C4D65">
        <w:rPr>
          <w:rFonts w:asciiTheme="minorHAnsi" w:hAnsiTheme="minorHAnsi"/>
          <w:sz w:val="22"/>
          <w:szCs w:val="22"/>
        </w:rPr>
        <w:t>“</w:t>
      </w:r>
      <w:r w:rsidR="007436F1" w:rsidRPr="007C4D65">
        <w:rPr>
          <w:rFonts w:asciiTheme="minorHAnsi" w:hAnsiTheme="minorHAnsi"/>
          <w:sz w:val="22"/>
          <w:szCs w:val="22"/>
        </w:rPr>
        <w:t>Official Gazette of the Federation of BiH“</w:t>
      </w:r>
      <w:r w:rsidR="009E7C0F" w:rsidRPr="007C4D65">
        <w:rPr>
          <w:rFonts w:asciiTheme="minorHAnsi" w:hAnsiTheme="minorHAnsi"/>
          <w:sz w:val="22"/>
          <w:szCs w:val="22"/>
        </w:rPr>
        <w:t>,</w:t>
      </w:r>
      <w:r w:rsidRPr="007C4D65">
        <w:rPr>
          <w:rFonts w:asciiTheme="minorHAnsi" w:hAnsiTheme="minorHAnsi"/>
          <w:sz w:val="22"/>
          <w:szCs w:val="22"/>
        </w:rPr>
        <w:t xml:space="preserve"> 77/20 that</w:t>
      </w:r>
      <w:r w:rsidR="00092541" w:rsidRPr="007C4D65">
        <w:rPr>
          <w:rFonts w:asciiTheme="minorHAnsi" w:hAnsiTheme="minorHAnsi"/>
          <w:sz w:val="22"/>
          <w:szCs w:val="22"/>
        </w:rPr>
        <w:t xml:space="preserve"> has</w:t>
      </w:r>
      <w:r w:rsidRPr="007C4D65">
        <w:rPr>
          <w:rFonts w:asciiTheme="minorHAnsi" w:hAnsiTheme="minorHAnsi"/>
          <w:sz w:val="22"/>
          <w:szCs w:val="22"/>
        </w:rPr>
        <w:t xml:space="preserve">, among other things, aligned the legislation of the Federation of BiH with </w:t>
      </w:r>
      <w:r w:rsidR="001E4D90" w:rsidRPr="007C4D65">
        <w:rPr>
          <w:rFonts w:asciiTheme="minorHAnsi" w:hAnsiTheme="minorHAnsi"/>
          <w:sz w:val="22"/>
          <w:szCs w:val="22"/>
        </w:rPr>
        <w:t>EU regulations</w:t>
      </w:r>
      <w:r w:rsidRPr="007C4D65">
        <w:rPr>
          <w:rFonts w:asciiTheme="minorHAnsi" w:hAnsiTheme="minorHAnsi"/>
          <w:sz w:val="22"/>
          <w:szCs w:val="22"/>
        </w:rPr>
        <w:t xml:space="preserve"> in the area of chemicals (Regulation on Registration, Evaluation, Authorisation and Restriction of Chemicals (REACH Regulat</w:t>
      </w:r>
      <w:r w:rsidR="00092541" w:rsidRPr="007C4D65">
        <w:rPr>
          <w:rFonts w:asciiTheme="minorHAnsi" w:hAnsiTheme="minorHAnsi"/>
          <w:sz w:val="22"/>
          <w:szCs w:val="22"/>
        </w:rPr>
        <w:t>ion (Regulation (EU) 1907/2006),</w:t>
      </w:r>
      <w:r w:rsidRPr="007C4D65">
        <w:rPr>
          <w:rFonts w:asciiTheme="minorHAnsi" w:hAnsiTheme="minorHAnsi"/>
          <w:sz w:val="22"/>
          <w:szCs w:val="22"/>
        </w:rPr>
        <w:t xml:space="preserve"> Regulation on classification, labelling and packaging of chemical substances and mixtures (CLP Regulation) (Regulation (EU) 1272/2008), Regulation on Mercury (Regulation (EU) 2017/852), Regulation on detergents (Regulation (EU) 648/2004), Regulation on import and export of hazardous chemicals (Regulation (EU) 649/2012) and Regulations on POPs chemicals (Regulation (EU) 2019/1021), Regulation on implementation of good laboratory practice principles (Directive 2004/10/EC), Stockholm and Rotterdam convention</w:t>
      </w:r>
      <w:r w:rsidR="00092541" w:rsidRPr="007C4D65">
        <w:rPr>
          <w:rFonts w:asciiTheme="minorHAnsi" w:hAnsiTheme="minorHAnsi"/>
          <w:sz w:val="22"/>
          <w:szCs w:val="22"/>
        </w:rPr>
        <w:t>s</w:t>
      </w:r>
      <w:r w:rsidRPr="007C4D65">
        <w:rPr>
          <w:rFonts w:asciiTheme="minorHAnsi" w:hAnsiTheme="minorHAnsi"/>
          <w:sz w:val="22"/>
          <w:szCs w:val="22"/>
        </w:rPr>
        <w:t xml:space="preserve">. The competent body for this Law is the Federation Ministry of Health. Within this Ministry, Sector for Pharmacy and Chemicals has been established, that employs one person for the tasks of managing chemicals and biocides, and that is not enough in the context of implementation of all requirements of the applicable legislation, as well as the legislation that will have to be developed by 2022. FMH has no capacities for development and implementation of legislation that stems from the existing Law on Chemicals, and this has been recognized as one of the key challenges. Oversight of its implementation and implementation of legislation adopted </w:t>
      </w:r>
      <w:proofErr w:type="gramStart"/>
      <w:r w:rsidRPr="007C4D65">
        <w:rPr>
          <w:rFonts w:asciiTheme="minorHAnsi" w:hAnsiTheme="minorHAnsi"/>
          <w:sz w:val="22"/>
          <w:szCs w:val="22"/>
        </w:rPr>
        <w:t>on the basis of</w:t>
      </w:r>
      <w:proofErr w:type="gramEnd"/>
      <w:r w:rsidRPr="007C4D65">
        <w:rPr>
          <w:rFonts w:asciiTheme="minorHAnsi" w:hAnsiTheme="minorHAnsi"/>
          <w:sz w:val="22"/>
          <w:szCs w:val="22"/>
        </w:rPr>
        <w:t xml:space="preserve"> this Law lies with the Federation Administration for Inspections through the Federation sanitary inspectors for poison control. With respect to implementation of conventions that address workers’ protection against harmful impact of chemicals the competent body is the Federation Ministry</w:t>
      </w:r>
      <w:r w:rsidR="00201FCB" w:rsidRPr="007C4D65">
        <w:rPr>
          <w:rFonts w:asciiTheme="minorHAnsi" w:hAnsiTheme="minorHAnsi"/>
          <w:sz w:val="22"/>
          <w:szCs w:val="22"/>
        </w:rPr>
        <w:t xml:space="preserve"> of Labour and Social Policy (MO</w:t>
      </w:r>
      <w:r w:rsidRPr="007C4D65">
        <w:rPr>
          <w:rFonts w:asciiTheme="minorHAnsi" w:hAnsiTheme="minorHAnsi"/>
          <w:sz w:val="22"/>
          <w:szCs w:val="22"/>
        </w:rPr>
        <w:t xml:space="preserve">FTER BiH, 2015). In addition to capacity challenges, all the mentioned institutions also face lack of required skills and competences. In addition, there is a lack of collaboration and synergic approach of the competent institutions in the field of environment and health. With respect to improvement of legislative framework for managing chemicals in accordance with the signed international agreements and the EU acquis in the area of chemical safety, there is an evident lack of technical and human capacities needed for full implementation of legislation in the area of chemical management, and this was confirmed in the most recent assessment of national capacities and readiness for implementation and enforcement of REACH, CLP, BPR, POPs and </w:t>
      </w:r>
      <w:proofErr w:type="spellStart"/>
      <w:r w:rsidRPr="007C4D65">
        <w:rPr>
          <w:rFonts w:asciiTheme="minorHAnsi" w:hAnsiTheme="minorHAnsi"/>
          <w:sz w:val="22"/>
          <w:szCs w:val="22"/>
        </w:rPr>
        <w:t>ePIC</w:t>
      </w:r>
      <w:proofErr w:type="spellEnd"/>
      <w:r w:rsidRPr="007C4D65">
        <w:rPr>
          <w:rFonts w:asciiTheme="minorHAnsi" w:hAnsiTheme="minorHAnsi"/>
          <w:sz w:val="22"/>
          <w:szCs w:val="22"/>
        </w:rPr>
        <w:t xml:space="preserve"> in BiH, which was done for the needs of the European Chemicals Agency (ECHA) </w:t>
      </w:r>
      <w:r w:rsidRPr="007C4D65">
        <w:rPr>
          <w:rFonts w:asciiTheme="minorHAnsi" w:hAnsiTheme="minorHAnsi"/>
          <w:sz w:val="22"/>
          <w:szCs w:val="22"/>
        </w:rPr>
        <w:fldChar w:fldCharType="begin"/>
      </w:r>
      <w:r w:rsidRPr="007C4D65">
        <w:rPr>
          <w:rFonts w:asciiTheme="minorHAnsi" w:hAnsiTheme="minorHAnsi"/>
          <w:sz w:val="22"/>
          <w:szCs w:val="22"/>
        </w:rPr>
        <w:instrText xml:space="preserve"> ADDIN ZOTERO_ITEM CSL_CITATION {"citationID":"W8eoxQTw","properties":{"formattedCitation":"(European Chemicals Agency 2022)","plainCitation":"(European Chemicals Agency 2022)","noteIndex":0},"citationItems":[{"id":231,"uris":["http://zotero.org/groups/2653216/items/RIWZMSSW"],"itemData":{"id":231,"type":"report","abstract":"The contract aims at assessing the state of the general harmonisation of the existing national legal framework of Albania, Bosnia and Herzegovina, Kosovo, North Macedonia and Turkey with that of the EU but more importantly; clarifying the readiness and capacity (institutional and competence) of each country to implement and enforce REACH, CLP, BPR, POPs and ePIC. The final deliverable is to outline the findings per country in a detailed action plan, which also should describe steps needed to fully harmonise and enable each country to take on their responsibility as EU Member States in the implementation of these regulations.","collection-title":"Action Plan – Bosnia and Herzegovina","event-place":"Helsinki","language":"English","publisher-place":"Helsinki","title":"Assessment of the National Capacity and Readiness to Implement and Enforce REACH, CLP, BPR, POPs and ePIC in Albania, Bosnia and Herzegovina, Kosovo, North Macedonia and Turkey","URL":"https://echa.europa.eu/documents/10162/1459379/bosnia_and_herzegovina_report_action_plan_en.pdf/2e0a0843-fa7d-907a-5fca-2bd208f4c643?t=1649333711236","author":[{"family":"European Chemicals Agency","given":""}],"issued":{"date-parts":[["2022"]]}}}],"schema":"https://github.com/citation-style-language/schema/raw/master/csl-citation.json"} </w:instrText>
      </w:r>
      <w:r w:rsidRPr="007C4D65">
        <w:rPr>
          <w:rFonts w:asciiTheme="minorHAnsi" w:hAnsiTheme="minorHAnsi"/>
          <w:sz w:val="22"/>
          <w:szCs w:val="22"/>
        </w:rPr>
        <w:fldChar w:fldCharType="separate"/>
      </w:r>
      <w:r w:rsidRPr="007C4D65">
        <w:rPr>
          <w:rFonts w:asciiTheme="minorHAnsi" w:hAnsiTheme="minorHAnsi"/>
          <w:sz w:val="22"/>
          <w:szCs w:val="22"/>
        </w:rPr>
        <w:t>(European Chemicals Agency, 2022)</w:t>
      </w:r>
      <w:r w:rsidRPr="007C4D65">
        <w:rPr>
          <w:rFonts w:asciiTheme="minorHAnsi" w:hAnsiTheme="minorHAnsi"/>
          <w:sz w:val="22"/>
          <w:szCs w:val="22"/>
        </w:rPr>
        <w:fldChar w:fldCharType="end"/>
      </w:r>
      <w:r w:rsidRPr="007C4D65">
        <w:rPr>
          <w:rFonts w:asciiTheme="minorHAnsi" w:hAnsiTheme="minorHAnsi"/>
          <w:sz w:val="22"/>
          <w:szCs w:val="22"/>
        </w:rPr>
        <w:t xml:space="preserve">. </w:t>
      </w:r>
    </w:p>
    <w:p w14:paraId="5E542515" w14:textId="3BCC2D16"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 xml:space="preserve">Secondary legislation prescribed by the Law on Chemicals has not been adopted, so the transposition of the said </w:t>
      </w:r>
      <w:r w:rsidR="001E4D90" w:rsidRPr="007C4D65">
        <w:rPr>
          <w:rFonts w:asciiTheme="minorHAnsi" w:hAnsiTheme="minorHAnsi"/>
          <w:sz w:val="22"/>
          <w:szCs w:val="22"/>
        </w:rPr>
        <w:t>EU regulations</w:t>
      </w:r>
      <w:r w:rsidRPr="007C4D65">
        <w:rPr>
          <w:rFonts w:asciiTheme="minorHAnsi" w:hAnsiTheme="minorHAnsi"/>
          <w:sz w:val="22"/>
          <w:szCs w:val="22"/>
        </w:rPr>
        <w:t xml:space="preserve"> and conventions is at a very low level, and this has been recognized as a major challenge for </w:t>
      </w:r>
      <w:r w:rsidR="0058588C" w:rsidRPr="007C4D65">
        <w:rPr>
          <w:rFonts w:asciiTheme="minorHAnsi" w:hAnsiTheme="minorHAnsi"/>
          <w:sz w:val="22"/>
          <w:szCs w:val="22"/>
        </w:rPr>
        <w:t>Federation of BiH</w:t>
      </w:r>
      <w:r w:rsidRPr="007C4D65">
        <w:rPr>
          <w:rFonts w:asciiTheme="minorHAnsi" w:hAnsiTheme="minorHAnsi"/>
          <w:sz w:val="22"/>
          <w:szCs w:val="22"/>
        </w:rPr>
        <w:t xml:space="preserve"> institutions in this area. In accordance with the EU requirements </w:t>
      </w:r>
      <w:r w:rsidRPr="007C4D65">
        <w:rPr>
          <w:rFonts w:asciiTheme="minorHAnsi" w:hAnsiTheme="minorHAnsi"/>
          <w:sz w:val="22"/>
          <w:szCs w:val="22"/>
        </w:rPr>
        <w:lastRenderedPageBreak/>
        <w:t xml:space="preserve">(Regulation (EU) 1272/2008), the Poison Control Centre has been stablished as a public health information service within the Institute for Labour Medicine of the Sarajevo Canton, whose main role is to provide technical assistance in treatment and prevention of acute and chronicle poisoning by 24-hours phone information service. The method of designation of the Centre, its competencies or way of cooperating with the competent bodies for chemical management that are responsible for implementation of the said regulation are not known. It needs to be said that this Centre had been established prior to entry into force of the Law on Chemicals, which stipulates its establishment. So far, the Poison Control Centre has not been officially designated </w:t>
      </w:r>
      <w:r w:rsidR="007436F1" w:rsidRPr="007C4D65">
        <w:rPr>
          <w:rFonts w:asciiTheme="minorHAnsi" w:hAnsiTheme="minorHAnsi"/>
          <w:sz w:val="22"/>
          <w:szCs w:val="22"/>
        </w:rPr>
        <w:t>in the Federation of BiH</w:t>
      </w:r>
      <w:r w:rsidRPr="007C4D65">
        <w:rPr>
          <w:rFonts w:asciiTheme="minorHAnsi" w:hAnsiTheme="minorHAnsi"/>
          <w:sz w:val="22"/>
          <w:szCs w:val="22"/>
        </w:rPr>
        <w:t>.</w:t>
      </w:r>
    </w:p>
    <w:p w14:paraId="5D1F8466" w14:textId="46B84B6F"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 xml:space="preserve">In view of this lack of secondary legislation in the field of chemicals management, there is no established system of registration of chemicals or importers of chemicals, and this puts the business community in unequal position compared to the businesses from </w:t>
      </w:r>
      <w:proofErr w:type="spellStart"/>
      <w:r w:rsidRPr="007C4D65">
        <w:rPr>
          <w:rFonts w:asciiTheme="minorHAnsi" w:hAnsiTheme="minorHAnsi"/>
          <w:sz w:val="22"/>
          <w:szCs w:val="22"/>
        </w:rPr>
        <w:t>Republika</w:t>
      </w:r>
      <w:proofErr w:type="spellEnd"/>
      <w:r w:rsidRPr="007C4D65">
        <w:rPr>
          <w:rFonts w:asciiTheme="minorHAnsi" w:hAnsiTheme="minorHAnsi"/>
          <w:sz w:val="22"/>
          <w:szCs w:val="22"/>
        </w:rPr>
        <w:t xml:space="preserve"> Srpska, where the management of chemicals and biocides has been well regulated for a while.</w:t>
      </w:r>
      <w:r w:rsidRPr="007C4D65">
        <w:rPr>
          <w:rFonts w:asciiTheme="minorHAnsi" w:hAnsiTheme="minorHAnsi"/>
          <w:color w:val="000000"/>
          <w:sz w:val="22"/>
          <w:szCs w:val="22"/>
        </w:rPr>
        <w:t xml:space="preserve"> </w:t>
      </w:r>
      <w:r w:rsidRPr="007C4D65">
        <w:rPr>
          <w:rFonts w:asciiTheme="minorHAnsi" w:hAnsiTheme="minorHAnsi"/>
          <w:sz w:val="22"/>
          <w:szCs w:val="22"/>
        </w:rPr>
        <w:t xml:space="preserve">There is no established inspection oversight </w:t>
      </w:r>
      <w:proofErr w:type="gramStart"/>
      <w:r w:rsidRPr="007C4D65">
        <w:rPr>
          <w:rFonts w:asciiTheme="minorHAnsi" w:hAnsiTheme="minorHAnsi"/>
          <w:color w:val="000000"/>
          <w:sz w:val="22"/>
          <w:szCs w:val="22"/>
        </w:rPr>
        <w:t>in the area of</w:t>
      </w:r>
      <w:proofErr w:type="gramEnd"/>
      <w:r w:rsidRPr="007C4D65">
        <w:rPr>
          <w:rFonts w:asciiTheme="minorHAnsi" w:hAnsiTheme="minorHAnsi"/>
          <w:color w:val="000000"/>
          <w:sz w:val="22"/>
          <w:szCs w:val="22"/>
        </w:rPr>
        <w:t xml:space="preserve"> chemical management, and as a result, the number of violations in</w:t>
      </w:r>
      <w:r w:rsidRPr="007C4D65">
        <w:rPr>
          <w:rFonts w:asciiTheme="minorHAnsi" w:hAnsiTheme="minorHAnsi"/>
          <w:sz w:val="22"/>
          <w:szCs w:val="22"/>
        </w:rPr>
        <w:t xml:space="preserve"> the field of chemicals management is not available </w:t>
      </w:r>
      <w:r w:rsidR="007436F1" w:rsidRPr="007C4D65">
        <w:rPr>
          <w:rFonts w:asciiTheme="minorHAnsi" w:hAnsiTheme="minorHAnsi"/>
          <w:sz w:val="22"/>
          <w:szCs w:val="22"/>
        </w:rPr>
        <w:t>in the Federation of BiH</w:t>
      </w:r>
      <w:r w:rsidRPr="007C4D65">
        <w:rPr>
          <w:rFonts w:asciiTheme="minorHAnsi" w:hAnsiTheme="minorHAnsi"/>
          <w:sz w:val="22"/>
          <w:szCs w:val="22"/>
        </w:rPr>
        <w:t>.</w:t>
      </w:r>
      <w:r w:rsidRPr="007C4D65">
        <w:rPr>
          <w:rFonts w:asciiTheme="minorHAnsi" w:hAnsiTheme="minorHAnsi"/>
          <w:color w:val="000000"/>
          <w:sz w:val="22"/>
          <w:szCs w:val="22"/>
        </w:rPr>
        <w:t xml:space="preserve"> Training plan and programme for advisors for chemicals is not prescribed, and neither are conditions for their appointment and work. There is no </w:t>
      </w:r>
      <w:proofErr w:type="gramStart"/>
      <w:r w:rsidRPr="007C4D65">
        <w:rPr>
          <w:rFonts w:asciiTheme="minorHAnsi" w:hAnsiTheme="minorHAnsi"/>
          <w:i/>
          <w:iCs/>
          <w:color w:val="000000"/>
          <w:sz w:val="22"/>
          <w:szCs w:val="22"/>
        </w:rPr>
        <w:t>help-desk</w:t>
      </w:r>
      <w:proofErr w:type="gramEnd"/>
      <w:r w:rsidRPr="007C4D65">
        <w:rPr>
          <w:rFonts w:asciiTheme="minorHAnsi" w:hAnsiTheme="minorHAnsi"/>
          <w:color w:val="000000"/>
          <w:sz w:val="22"/>
          <w:szCs w:val="22"/>
        </w:rPr>
        <w:t xml:space="preserve"> to provide assistance to businesses when reporting chemicals as is required under the REACH regulation. </w:t>
      </w:r>
      <w:r w:rsidRPr="007C4D65">
        <w:rPr>
          <w:rFonts w:asciiTheme="minorHAnsi" w:hAnsiTheme="minorHAnsi"/>
          <w:sz w:val="22"/>
          <w:szCs w:val="22"/>
        </w:rPr>
        <w:t>Upon having developed the secondary legislation needed for enforcement of the Law on Chemicals, it will also be necessary to establish information system that will allow for managing inventory of chemicals and list of biocides. The information system should be able to accommodate data sharing and establishment of Integrated Inventory of Chemicals and Biocides at BiH level.</w:t>
      </w:r>
    </w:p>
    <w:p w14:paraId="1D271ADE" w14:textId="5C0B4FA5"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 xml:space="preserve">Legislative framework for transposition of the </w:t>
      </w:r>
      <w:r w:rsidRPr="007C4D65">
        <w:rPr>
          <w:rFonts w:asciiTheme="minorHAnsi" w:hAnsiTheme="minorHAnsi"/>
          <w:b/>
          <w:bCs/>
          <w:sz w:val="22"/>
          <w:szCs w:val="22"/>
        </w:rPr>
        <w:t xml:space="preserve">SEVESO III Directive </w:t>
      </w:r>
      <w:r w:rsidRPr="007C4D65">
        <w:rPr>
          <w:rFonts w:asciiTheme="minorHAnsi" w:hAnsiTheme="minorHAnsi"/>
          <w:bCs/>
          <w:sz w:val="22"/>
          <w:szCs w:val="22"/>
        </w:rPr>
        <w:t xml:space="preserve">(Directive 2012/18/EU) </w:t>
      </w:r>
      <w:r w:rsidR="00E20E93" w:rsidRPr="007C4D65">
        <w:rPr>
          <w:rFonts w:asciiTheme="minorHAnsi" w:hAnsiTheme="minorHAnsi"/>
          <w:bCs/>
          <w:sz w:val="22"/>
          <w:szCs w:val="22"/>
        </w:rPr>
        <w:t xml:space="preserve">has been established </w:t>
      </w:r>
      <w:r w:rsidRPr="007C4D65">
        <w:rPr>
          <w:rFonts w:asciiTheme="minorHAnsi" w:hAnsiTheme="minorHAnsi"/>
          <w:sz w:val="22"/>
          <w:szCs w:val="22"/>
        </w:rPr>
        <w:t>by means of the Law on Environment Protection (</w:t>
      </w:r>
      <w:r w:rsidR="00F95E23" w:rsidRPr="007C4D65">
        <w:rPr>
          <w:rFonts w:asciiTheme="minorHAnsi" w:hAnsiTheme="minorHAnsi"/>
          <w:sz w:val="22"/>
          <w:szCs w:val="22"/>
        </w:rPr>
        <w:t>“</w:t>
      </w:r>
      <w:r w:rsidRPr="007C4D65">
        <w:rPr>
          <w:rFonts w:asciiTheme="minorHAnsi" w:hAnsiTheme="minorHAnsi"/>
          <w:sz w:val="22"/>
          <w:szCs w:val="22"/>
        </w:rPr>
        <w:t xml:space="preserve">Official Gazette </w:t>
      </w:r>
      <w:r w:rsidR="007436F1" w:rsidRPr="007C4D65">
        <w:rPr>
          <w:rFonts w:asciiTheme="minorHAnsi" w:hAnsiTheme="minorHAnsi"/>
          <w:sz w:val="22"/>
          <w:szCs w:val="22"/>
        </w:rPr>
        <w:t>of the Federation of BiH”</w:t>
      </w:r>
      <w:r w:rsidR="009E7C0F" w:rsidRPr="007C4D65">
        <w:rPr>
          <w:rFonts w:asciiTheme="minorHAnsi" w:hAnsiTheme="minorHAnsi"/>
          <w:sz w:val="22"/>
          <w:szCs w:val="22"/>
        </w:rPr>
        <w:t>,</w:t>
      </w:r>
      <w:r w:rsidRPr="007C4D65">
        <w:rPr>
          <w:rFonts w:asciiTheme="minorHAnsi" w:hAnsiTheme="minorHAnsi"/>
          <w:sz w:val="22"/>
          <w:szCs w:val="22"/>
        </w:rPr>
        <w:t xml:space="preserve"> 15/21), and with this the Directive has been transposed in a significant extent.</w:t>
      </w:r>
      <w:r w:rsidRPr="007C4D65">
        <w:rPr>
          <w:rFonts w:asciiTheme="minorHAnsi" w:hAnsiTheme="minorHAnsi"/>
          <w:color w:val="000000"/>
          <w:sz w:val="22"/>
          <w:szCs w:val="22"/>
        </w:rPr>
        <w:t xml:space="preserve"> However, it is necessary to adopt a regulation that will determine the content and method of maintaining the Registry of Major Accidents. There is no Registry of Major Accidents that is required under the SEVESO III Directive.</w:t>
      </w:r>
    </w:p>
    <w:p w14:paraId="003E7A03" w14:textId="77777777"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color w:val="000000"/>
          <w:sz w:val="22"/>
          <w:szCs w:val="22"/>
        </w:rPr>
        <w:t xml:space="preserve">There is no legal basis in place for transposition of the </w:t>
      </w:r>
      <w:r w:rsidRPr="007C4D65">
        <w:rPr>
          <w:rFonts w:asciiTheme="minorHAnsi" w:hAnsiTheme="minorHAnsi"/>
          <w:b/>
          <w:bCs/>
          <w:color w:val="000000"/>
          <w:sz w:val="22"/>
          <w:szCs w:val="22"/>
        </w:rPr>
        <w:t>Regulation on the supply and use of biocidal products.</w:t>
      </w:r>
      <w:r w:rsidRPr="007C4D65">
        <w:rPr>
          <w:rFonts w:asciiTheme="minorHAnsi" w:hAnsiTheme="minorHAnsi"/>
          <w:b/>
          <w:color w:val="000000"/>
          <w:sz w:val="22"/>
          <w:szCs w:val="22"/>
        </w:rPr>
        <w:t xml:space="preserve"> </w:t>
      </w:r>
      <w:r w:rsidRPr="007C4D65">
        <w:rPr>
          <w:rFonts w:asciiTheme="minorHAnsi" w:hAnsiTheme="minorHAnsi"/>
          <w:sz w:val="22"/>
          <w:szCs w:val="22"/>
        </w:rPr>
        <w:t xml:space="preserve">There is no legislative framework regulating mercury and mercury product management. Transposition of the </w:t>
      </w:r>
      <w:r w:rsidRPr="007C4D65">
        <w:rPr>
          <w:rFonts w:asciiTheme="minorHAnsi" w:hAnsiTheme="minorHAnsi"/>
          <w:b/>
          <w:bCs/>
          <w:sz w:val="22"/>
          <w:szCs w:val="22"/>
        </w:rPr>
        <w:t xml:space="preserve">Regulation on mercury </w:t>
      </w:r>
      <w:r w:rsidRPr="007C4D65">
        <w:rPr>
          <w:rFonts w:asciiTheme="minorHAnsi" w:hAnsiTheme="minorHAnsi"/>
          <w:bCs/>
          <w:sz w:val="22"/>
          <w:szCs w:val="22"/>
        </w:rPr>
        <w:t xml:space="preserve">(Regulation (EU) 2017/852) </w:t>
      </w:r>
      <w:r w:rsidRPr="007C4D65">
        <w:rPr>
          <w:rFonts w:asciiTheme="minorHAnsi" w:hAnsiTheme="minorHAnsi"/>
          <w:sz w:val="22"/>
          <w:szCs w:val="22"/>
        </w:rPr>
        <w:t>has not begun.</w:t>
      </w:r>
      <w:r w:rsidRPr="007C4D65">
        <w:rPr>
          <w:rFonts w:asciiTheme="minorHAnsi" w:hAnsiTheme="minorHAnsi"/>
          <w:b/>
          <w:bCs/>
          <w:sz w:val="22"/>
          <w:szCs w:val="22"/>
        </w:rPr>
        <w:t xml:space="preserve"> </w:t>
      </w:r>
      <w:r w:rsidRPr="007C4D65">
        <w:rPr>
          <w:rFonts w:asciiTheme="minorHAnsi" w:hAnsiTheme="minorHAnsi"/>
          <w:sz w:val="22"/>
          <w:szCs w:val="22"/>
        </w:rPr>
        <w:t xml:space="preserve"> The Minamata convention has not been ratified, and no legal basis has been created for its implementation at the entity level.</w:t>
      </w:r>
    </w:p>
    <w:p w14:paraId="77DB83E0" w14:textId="1B13959D"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There exists the legislation on disposing of asbestos waste. However, there is no legislation that would restrict import and use of products that contain asbestos or other hazardous substances as recommended in Annex 17 of the REACH Directive. Regarding asbestos, th</w:t>
      </w:r>
      <w:r w:rsidR="00E20E93" w:rsidRPr="007C4D65">
        <w:rPr>
          <w:rFonts w:asciiTheme="minorHAnsi" w:hAnsiTheme="minorHAnsi"/>
          <w:sz w:val="22"/>
          <w:szCs w:val="22"/>
        </w:rPr>
        <w:t>is</w:t>
      </w:r>
      <w:r w:rsidRPr="007C4D65">
        <w:rPr>
          <w:rFonts w:asciiTheme="minorHAnsi" w:hAnsiTheme="minorHAnsi"/>
          <w:sz w:val="22"/>
          <w:szCs w:val="22"/>
        </w:rPr>
        <w:t xml:space="preserve"> legislation will also reflect on the legislation that prescribes the composition of products used in construction, the implementation of which falls within the competency of Federation Ministry of Spatial Planning. Legislative framework is lacking that would regulate the emissions of asbestos to air and water from the industries producing asbestos cement and asbestos paper, and therefore the level of transposition of Directive on prevention and reduction of environment pollution by asbestos (Directive 87/217/EEC 1987) is low. Taking care of construction waste has already been regulated by the Rulebook on construction waste </w:t>
      </w:r>
      <w:r w:rsidRPr="007C4D65">
        <w:rPr>
          <w:rFonts w:asciiTheme="minorHAnsi" w:hAnsiTheme="minorHAnsi" w:cstheme="minorHAnsi"/>
          <w:sz w:val="22"/>
          <w:szCs w:val="22"/>
        </w:rPr>
        <w:t>(</w:t>
      </w:r>
      <w:r w:rsidR="00F95E23" w:rsidRPr="007C4D65">
        <w:rPr>
          <w:rFonts w:asciiTheme="minorHAnsi" w:hAnsiTheme="minorHAnsi" w:cstheme="minorHAnsi"/>
          <w:sz w:val="22"/>
          <w:szCs w:val="22"/>
        </w:rPr>
        <w:t>“</w:t>
      </w:r>
      <w:r w:rsidRPr="007C4D65">
        <w:rPr>
          <w:rFonts w:asciiTheme="minorHAnsi" w:hAnsiTheme="minorHAnsi" w:cstheme="minorHAnsi"/>
          <w:sz w:val="22"/>
          <w:szCs w:val="22"/>
        </w:rPr>
        <w:t xml:space="preserve">Official Gazette </w:t>
      </w:r>
      <w:r w:rsidR="007436F1" w:rsidRPr="007C4D65">
        <w:rPr>
          <w:rFonts w:asciiTheme="minorHAnsi" w:hAnsiTheme="minorHAnsi" w:cstheme="minorHAnsi"/>
          <w:sz w:val="22"/>
          <w:szCs w:val="22"/>
        </w:rPr>
        <w:t>of the Federation of BiH”</w:t>
      </w:r>
      <w:r w:rsidR="00F95E23" w:rsidRPr="007C4D65">
        <w:rPr>
          <w:rFonts w:asciiTheme="minorHAnsi" w:hAnsiTheme="minorHAnsi" w:cstheme="minorHAnsi"/>
          <w:sz w:val="22"/>
          <w:szCs w:val="22"/>
        </w:rPr>
        <w:t>,</w:t>
      </w:r>
      <w:r w:rsidRPr="007C4D65">
        <w:rPr>
          <w:rFonts w:asciiTheme="minorHAnsi" w:hAnsiTheme="minorHAnsi" w:cstheme="minorHAnsi"/>
          <w:sz w:val="22"/>
          <w:szCs w:val="22"/>
        </w:rPr>
        <w:t xml:space="preserve"> no. 93/19).</w:t>
      </w:r>
    </w:p>
    <w:p w14:paraId="3B5F30D2" w14:textId="22EA87AD" w:rsidR="00647018" w:rsidRPr="007C4D65" w:rsidRDefault="00647018" w:rsidP="00647018">
      <w:pPr>
        <w:spacing w:before="240" w:after="240" w:line="276" w:lineRule="auto"/>
        <w:jc w:val="both"/>
        <w:rPr>
          <w:rFonts w:asciiTheme="minorHAnsi" w:hAnsiTheme="minorHAnsi" w:cstheme="minorHAnsi"/>
          <w:color w:val="000000"/>
          <w:sz w:val="22"/>
          <w:szCs w:val="22"/>
        </w:rPr>
      </w:pPr>
      <w:r w:rsidRPr="007C4D65">
        <w:rPr>
          <w:rFonts w:asciiTheme="minorHAnsi" w:hAnsiTheme="minorHAnsi"/>
          <w:color w:val="000000"/>
          <w:sz w:val="22"/>
          <w:szCs w:val="22"/>
        </w:rPr>
        <w:lastRenderedPageBreak/>
        <w:t xml:space="preserve">There is no established registry of service shops and owners of equipment (operators) of cooling and HVAC (heating, ventilation, air conditioning) equipment. There is no established plan for training repairers/maintenance providers, as required by the EU regulations. There are no prescribed criteria for establishing a </w:t>
      </w:r>
      <w:proofErr w:type="gramStart"/>
      <w:r w:rsidRPr="007C4D65">
        <w:rPr>
          <w:rFonts w:asciiTheme="minorHAnsi" w:hAnsiTheme="minorHAnsi"/>
          <w:color w:val="000000"/>
          <w:sz w:val="22"/>
          <w:szCs w:val="22"/>
        </w:rPr>
        <w:t>training centres</w:t>
      </w:r>
      <w:proofErr w:type="gramEnd"/>
      <w:r w:rsidRPr="007C4D65">
        <w:rPr>
          <w:rFonts w:asciiTheme="minorHAnsi" w:hAnsiTheme="minorHAnsi"/>
          <w:color w:val="000000"/>
          <w:sz w:val="22"/>
          <w:szCs w:val="22"/>
        </w:rPr>
        <w:t xml:space="preserve"> for the repairers. No training centres have been designated. </w:t>
      </w:r>
      <w:proofErr w:type="gramStart"/>
      <w:r w:rsidRPr="007C4D65">
        <w:rPr>
          <w:rFonts w:asciiTheme="minorHAnsi" w:hAnsiTheme="minorHAnsi"/>
          <w:sz w:val="22"/>
          <w:szCs w:val="22"/>
        </w:rPr>
        <w:t>All of</w:t>
      </w:r>
      <w:proofErr w:type="gramEnd"/>
      <w:r w:rsidRPr="007C4D65">
        <w:rPr>
          <w:rFonts w:asciiTheme="minorHAnsi" w:hAnsiTheme="minorHAnsi"/>
          <w:sz w:val="22"/>
          <w:szCs w:val="22"/>
        </w:rPr>
        <w:t xml:space="preserve"> the above is regulated in the current draft of the Law on Air Protection (Federation Ministry of Environment and Tourism), which provides legal basis for transposition of the Regulation on ozone layer depleting substances (Regulation (EU) 1005/2009) and the Regulation on certain fluorinated greenhouse gases (Regulation (EU) 517/14), and therefore the requirements of the Montreal Protocol and the Kigali amendment.</w:t>
      </w:r>
      <w:r w:rsidRPr="007C4D65">
        <w:rPr>
          <w:rFonts w:asciiTheme="minorHAnsi" w:hAnsiTheme="minorHAnsi"/>
          <w:color w:val="000000"/>
          <w:sz w:val="22"/>
          <w:szCs w:val="22"/>
        </w:rPr>
        <w:t xml:space="preserve"> Draft Law is currently in the process of adoption.</w:t>
      </w:r>
    </w:p>
    <w:p w14:paraId="4DE0C7AC" w14:textId="77777777" w:rsidR="00647018" w:rsidRPr="007C4D65" w:rsidRDefault="00647018" w:rsidP="00647018">
      <w:pPr>
        <w:spacing w:before="240" w:after="240" w:line="276" w:lineRule="auto"/>
        <w:jc w:val="both"/>
        <w:rPr>
          <w:rFonts w:asciiTheme="minorHAnsi" w:hAnsiTheme="minorHAnsi" w:cstheme="minorHAnsi"/>
          <w:color w:val="000000"/>
          <w:sz w:val="22"/>
          <w:szCs w:val="22"/>
        </w:rPr>
      </w:pPr>
      <w:r w:rsidRPr="007C4D65">
        <w:rPr>
          <w:rFonts w:asciiTheme="minorHAnsi" w:hAnsiTheme="minorHAnsi"/>
          <w:color w:val="000000"/>
          <w:sz w:val="22"/>
          <w:szCs w:val="22"/>
        </w:rPr>
        <w:t xml:space="preserve">Difficulties in managing stocks of chemicals, waste produced during the lifecycle of chemical has been identified as a challenge; however, it is in direct relation with thematic area of waste </w:t>
      </w:r>
      <w:proofErr w:type="gramStart"/>
      <w:r w:rsidRPr="007C4D65">
        <w:rPr>
          <w:rFonts w:asciiTheme="minorHAnsi" w:hAnsiTheme="minorHAnsi"/>
          <w:color w:val="000000"/>
          <w:sz w:val="22"/>
          <w:szCs w:val="22"/>
        </w:rPr>
        <w:t>management, and</w:t>
      </w:r>
      <w:proofErr w:type="gramEnd"/>
      <w:r w:rsidRPr="007C4D65">
        <w:rPr>
          <w:rFonts w:asciiTheme="minorHAnsi" w:hAnsiTheme="minorHAnsi"/>
          <w:color w:val="000000"/>
          <w:sz w:val="22"/>
          <w:szCs w:val="22"/>
        </w:rPr>
        <w:t xml:space="preserve"> shall be covered in the waste management section of the Strategy and Action Plan.</w:t>
      </w:r>
    </w:p>
    <w:p w14:paraId="4358F417" w14:textId="56E24B0C" w:rsidR="00647018" w:rsidRPr="007C4D65" w:rsidRDefault="00647018" w:rsidP="00647018">
      <w:pPr>
        <w:spacing w:before="240" w:after="240" w:line="276" w:lineRule="auto"/>
        <w:jc w:val="both"/>
        <w:rPr>
          <w:rFonts w:asciiTheme="minorHAnsi" w:hAnsiTheme="minorHAnsi" w:cstheme="minorHAnsi"/>
          <w:color w:val="000000"/>
          <w:sz w:val="22"/>
          <w:szCs w:val="22"/>
        </w:rPr>
      </w:pPr>
      <w:r w:rsidRPr="007C4D65">
        <w:rPr>
          <w:rFonts w:asciiTheme="minorHAnsi" w:hAnsiTheme="minorHAnsi"/>
          <w:color w:val="000000"/>
          <w:sz w:val="22"/>
          <w:szCs w:val="22"/>
        </w:rPr>
        <w:t xml:space="preserve">The Yearbook - publication of the Public Health Institute (PHI) - does not present the frequency of diseases or deaths caused by poisoning that is a consequence of inappropriate handling of chemical products. However, since 2019, the PHI has had available the detailed data on poisoning cases, disaggregated by gender and age, but such data are not made public. The data are grouped under the following codes: Poisoning with drugs and biological substances (T36-T50), Toxic effects of substances that are generally not used for medicinal purposes (T51-T65), Other and unmarked external causes (T33‒T35, T66‒T73, T75-T78). Although the system of data collection and processing exists, the Federation Institute for Public Health has indicated that the procedure of data entry is questionable, </w:t>
      </w:r>
      <w:proofErr w:type="gramStart"/>
      <w:r w:rsidRPr="007C4D65">
        <w:rPr>
          <w:rFonts w:asciiTheme="minorHAnsi" w:hAnsiTheme="minorHAnsi"/>
          <w:color w:val="000000"/>
          <w:sz w:val="22"/>
          <w:szCs w:val="22"/>
        </w:rPr>
        <w:t>i.e.</w:t>
      </w:r>
      <w:proofErr w:type="gramEnd"/>
      <w:r w:rsidRPr="007C4D65">
        <w:rPr>
          <w:rFonts w:asciiTheme="minorHAnsi" w:hAnsiTheme="minorHAnsi"/>
          <w:color w:val="000000"/>
          <w:sz w:val="22"/>
          <w:szCs w:val="22"/>
        </w:rPr>
        <w:t xml:space="preserve"> it is not certain whether all public and private health centres diligently report cases of poisoning. </w:t>
      </w:r>
      <w:r w:rsidRPr="007C4D65">
        <w:rPr>
          <w:rFonts w:asciiTheme="minorHAnsi" w:hAnsiTheme="minorHAnsi"/>
          <w:sz w:val="22"/>
          <w:szCs w:val="22"/>
        </w:rPr>
        <w:t xml:space="preserve">The Public Health Institute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also has the data on mortality statistics by the said codes, but these data are taken from the Federation Statistical Institute. Public information campaigns in media that provide information about the risks for human health and environment related to use of chemicals are rare and only implemented under special projects, not as a part of regular work of institutions. The Environmental Protection Fund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has been regularly issuing public calls for projects to implement the measures from the </w:t>
      </w:r>
      <w:r w:rsidR="007436F1" w:rsidRPr="007C4D65">
        <w:rPr>
          <w:rFonts w:asciiTheme="minorHAnsi" w:hAnsiTheme="minorHAnsi"/>
          <w:sz w:val="22"/>
          <w:szCs w:val="22"/>
        </w:rPr>
        <w:t>Environmental Strategy</w:t>
      </w:r>
      <w:r w:rsidRPr="007C4D65">
        <w:rPr>
          <w:rFonts w:asciiTheme="minorHAnsi" w:hAnsiTheme="minorHAnsi"/>
          <w:sz w:val="22"/>
          <w:szCs w:val="22"/>
        </w:rPr>
        <w:t xml:space="preserve">. Since chemical safety has not been among topics covered in the </w:t>
      </w:r>
      <w:r w:rsidR="007436F1" w:rsidRPr="007C4D65">
        <w:rPr>
          <w:rFonts w:asciiTheme="minorHAnsi" w:hAnsiTheme="minorHAnsi"/>
          <w:sz w:val="22"/>
          <w:szCs w:val="22"/>
        </w:rPr>
        <w:t>Environmental Strategy</w:t>
      </w:r>
      <w:r w:rsidRPr="007C4D65">
        <w:rPr>
          <w:rFonts w:asciiTheme="minorHAnsi" w:hAnsiTheme="minorHAnsi"/>
          <w:sz w:val="22"/>
          <w:szCs w:val="22"/>
        </w:rPr>
        <w:t xml:space="preserve"> in the past, this topic had not been included in the mentioned public calls. It is necessary to foresee the method of financing such calls because no specific fees have been stipulated that would provide for financial preconditions. No activities of NGOs or consumer associations have been observed that are aimed at raising awareness about chemicals. </w:t>
      </w:r>
      <w:r w:rsidRPr="007C4D65">
        <w:rPr>
          <w:rFonts w:asciiTheme="minorHAnsi" w:hAnsiTheme="minorHAnsi"/>
          <w:color w:val="000000"/>
          <w:sz w:val="22"/>
          <w:szCs w:val="22"/>
        </w:rPr>
        <w:t xml:space="preserve">There is no official system of reporting and coordination among inspection services of the entities and </w:t>
      </w:r>
      <w:r w:rsidR="00295360" w:rsidRPr="007C4D65">
        <w:rPr>
          <w:rFonts w:asciiTheme="minorHAnsi" w:hAnsiTheme="minorHAnsi"/>
          <w:color w:val="000000"/>
          <w:sz w:val="22"/>
          <w:szCs w:val="22"/>
        </w:rPr>
        <w:t>Brcko</w:t>
      </w:r>
      <w:r w:rsidRPr="007C4D65">
        <w:rPr>
          <w:rFonts w:asciiTheme="minorHAnsi" w:hAnsiTheme="minorHAnsi"/>
          <w:color w:val="000000"/>
          <w:sz w:val="22"/>
          <w:szCs w:val="22"/>
        </w:rPr>
        <w:t xml:space="preserve"> BiH </w:t>
      </w:r>
      <w:proofErr w:type="gramStart"/>
      <w:r w:rsidRPr="007C4D65">
        <w:rPr>
          <w:rFonts w:asciiTheme="minorHAnsi" w:hAnsiTheme="minorHAnsi"/>
          <w:color w:val="000000"/>
          <w:sz w:val="22"/>
          <w:szCs w:val="22"/>
        </w:rPr>
        <w:t>in the area of</w:t>
      </w:r>
      <w:proofErr w:type="gramEnd"/>
      <w:r w:rsidRPr="007C4D65">
        <w:rPr>
          <w:rFonts w:asciiTheme="minorHAnsi" w:hAnsiTheme="minorHAnsi"/>
          <w:color w:val="000000"/>
          <w:sz w:val="22"/>
          <w:szCs w:val="22"/>
        </w:rPr>
        <w:t xml:space="preserve"> chemical safety.</w:t>
      </w:r>
    </w:p>
    <w:p w14:paraId="4698F1B1" w14:textId="77777777" w:rsidR="00647018" w:rsidRPr="007C4D65" w:rsidRDefault="00647018" w:rsidP="00647018">
      <w:pPr>
        <w:spacing w:before="240" w:after="240" w:line="276" w:lineRule="auto"/>
        <w:jc w:val="both"/>
        <w:rPr>
          <w:rFonts w:asciiTheme="minorHAnsi" w:hAnsiTheme="minorHAnsi" w:cstheme="minorHAnsi"/>
          <w:i/>
          <w:color w:val="000000"/>
          <w:sz w:val="22"/>
          <w:szCs w:val="22"/>
          <w:u w:val="single"/>
        </w:rPr>
      </w:pPr>
      <w:r w:rsidRPr="007C4D65">
        <w:rPr>
          <w:rFonts w:asciiTheme="minorHAnsi" w:hAnsiTheme="minorHAnsi"/>
          <w:i/>
          <w:color w:val="000000"/>
          <w:sz w:val="22"/>
          <w:szCs w:val="22"/>
          <w:u w:val="single"/>
        </w:rPr>
        <w:t>Environmental noise</w:t>
      </w:r>
    </w:p>
    <w:p w14:paraId="747CFD3F" w14:textId="1A63B3CB" w:rsidR="00647018" w:rsidRPr="007C4D65" w:rsidRDefault="00647018" w:rsidP="00647018">
      <w:pPr>
        <w:spacing w:before="240" w:after="240" w:line="276" w:lineRule="auto"/>
        <w:jc w:val="both"/>
        <w:rPr>
          <w:rFonts w:asciiTheme="minorHAnsi" w:hAnsiTheme="minorHAnsi" w:cstheme="minorHAnsi"/>
          <w:color w:val="000000"/>
          <w:sz w:val="22"/>
          <w:szCs w:val="22"/>
        </w:rPr>
      </w:pPr>
      <w:r w:rsidRPr="007C4D65">
        <w:rPr>
          <w:rFonts w:asciiTheme="minorHAnsi" w:hAnsiTheme="minorHAnsi"/>
          <w:color w:val="000000"/>
          <w:sz w:val="22"/>
          <w:szCs w:val="22"/>
        </w:rPr>
        <w:t>Noise is a part of everyday life of people and workers in a whole range of jobs, and it is an inevitable consequence of modern society, development density, and intensity of activity. According to the World Health Organization Report of 2011, noise generated by means of transport is considered the second most important cause of environment-related health problems, immediately after air pollution. In addition to sleep disorders, constant exposure to noise may cause cardio-vascular diseases,</w:t>
      </w:r>
      <w:r w:rsidRPr="007C4D65">
        <w:rPr>
          <w:rFonts w:asciiTheme="minorHAnsi" w:hAnsiTheme="minorHAnsi"/>
          <w:sz w:val="22"/>
          <w:szCs w:val="22"/>
        </w:rPr>
        <w:t xml:space="preserve"> harm psycho-physical functions of human body, and lead to change in their social behaviour </w:t>
      </w:r>
      <w:r w:rsidRPr="007C4D65">
        <w:rPr>
          <w:rFonts w:asciiTheme="minorHAnsi" w:hAnsiTheme="minorHAnsi" w:cstheme="minorHAnsi"/>
          <w:color w:val="000000"/>
          <w:sz w:val="22"/>
          <w:szCs w:val="22"/>
        </w:rPr>
        <w:fldChar w:fldCharType="begin"/>
      </w:r>
      <w:r w:rsidRPr="007C4D65">
        <w:rPr>
          <w:rFonts w:asciiTheme="minorHAnsi" w:hAnsiTheme="minorHAnsi" w:cstheme="minorHAnsi"/>
          <w:color w:val="000000"/>
          <w:sz w:val="22"/>
          <w:szCs w:val="22"/>
        </w:rPr>
        <w:instrText xml:space="preserve"> ADDIN ZOTERO_ITEM CSL_CITATION {"citationID":"Ukg9URZO","properties":{"formattedCitation":"(World Health Organization 2011)","plainCitation":"(World Health Organization 2011)","noteIndex":0},"citationItems":[{"id":1522,"uris":["http://zotero.org/users/7192877/items/M2EQJU9A"],"itemData":{"id":1522,"type":"book","ISBN":"978 92 890 0229 5","title":"Burden of disease from environmental noise — quantification of healthy life years lost in Europe","URL":"https://www.euro.who.int/__data/assets/pdf_file/0008/136466/e94888.pdf","author":[{"family":"World Health Organization","given":""}],"issued":{"date-parts":[["2011"]]}}}],"schema":"https://github.com/citation-style-language/schema/raw/master/csl-citation.json"} </w:instrText>
      </w:r>
      <w:r w:rsidRPr="007C4D65">
        <w:rPr>
          <w:rFonts w:asciiTheme="minorHAnsi" w:hAnsiTheme="minorHAnsi" w:cstheme="minorHAnsi"/>
          <w:color w:val="000000"/>
          <w:sz w:val="22"/>
          <w:szCs w:val="22"/>
        </w:rPr>
        <w:fldChar w:fldCharType="separate"/>
      </w:r>
      <w:r w:rsidRPr="007C4D65">
        <w:rPr>
          <w:rFonts w:asciiTheme="minorHAnsi" w:hAnsiTheme="minorHAnsi" w:cstheme="minorHAnsi"/>
          <w:sz w:val="22"/>
          <w:szCs w:val="22"/>
        </w:rPr>
        <w:t>(World Health Organization, 2011)</w:t>
      </w:r>
      <w:r w:rsidRPr="007C4D65">
        <w:rPr>
          <w:rFonts w:asciiTheme="minorHAnsi" w:hAnsiTheme="minorHAnsi" w:cstheme="minorHAnsi"/>
          <w:color w:val="000000"/>
          <w:sz w:val="22"/>
          <w:szCs w:val="22"/>
        </w:rPr>
        <w:fldChar w:fldCharType="end"/>
      </w:r>
      <w:r w:rsidRPr="007C4D65">
        <w:rPr>
          <w:rFonts w:asciiTheme="minorHAnsi" w:hAnsiTheme="minorHAnsi"/>
          <w:color w:val="000000"/>
          <w:sz w:val="22"/>
          <w:szCs w:val="22"/>
        </w:rPr>
        <w:t>.</w:t>
      </w:r>
    </w:p>
    <w:p w14:paraId="7A0C53F1" w14:textId="7DF53235" w:rsidR="00647018" w:rsidRPr="007C4D65" w:rsidRDefault="00647018" w:rsidP="00647018">
      <w:pPr>
        <w:autoSpaceDE w:val="0"/>
        <w:autoSpaceDN w:val="0"/>
        <w:adjustRightInd w:val="0"/>
        <w:spacing w:before="240" w:after="240" w:line="276" w:lineRule="auto"/>
        <w:jc w:val="both"/>
        <w:rPr>
          <w:rFonts w:asciiTheme="minorHAnsi" w:hAnsiTheme="minorHAnsi" w:cstheme="minorHAnsi"/>
          <w:color w:val="000000"/>
          <w:sz w:val="22"/>
          <w:szCs w:val="22"/>
        </w:rPr>
      </w:pPr>
      <w:r w:rsidRPr="007C4D65">
        <w:rPr>
          <w:rFonts w:asciiTheme="minorHAnsi" w:hAnsiTheme="minorHAnsi"/>
          <w:color w:val="000000"/>
          <w:sz w:val="22"/>
          <w:szCs w:val="22"/>
        </w:rPr>
        <w:lastRenderedPageBreak/>
        <w:t xml:space="preserve">Environmental noise, according to Article 3 </w:t>
      </w:r>
      <w:r w:rsidRPr="007C4D65">
        <w:rPr>
          <w:rFonts w:asciiTheme="minorHAnsi" w:hAnsiTheme="minorHAnsi"/>
          <w:sz w:val="22"/>
          <w:szCs w:val="22"/>
        </w:rPr>
        <w:t>of the Directive on environmental noise (Directive 2002/49/EC), is defined as unwanted or harmful outdoor sound created by human activities, including noise emitted by means of transport, road traffic, rail traffic, air traffic, and noise from sites of industrial activity.</w:t>
      </w:r>
      <w:r w:rsidRPr="007C4D65">
        <w:rPr>
          <w:rFonts w:asciiTheme="minorHAnsi" w:hAnsiTheme="minorHAnsi"/>
          <w:color w:val="000000"/>
          <w:sz w:val="22"/>
          <w:szCs w:val="22"/>
        </w:rPr>
        <w:t xml:space="preserve"> According to Article 2, this Directive does not apply to noise that is caused by the exposed person themselves, noise from domestic activities, noise created by neighbours, noise at </w:t>
      </w:r>
      <w:proofErr w:type="gramStart"/>
      <w:r w:rsidRPr="007C4D65">
        <w:rPr>
          <w:rFonts w:asciiTheme="minorHAnsi" w:hAnsiTheme="minorHAnsi"/>
          <w:color w:val="000000"/>
          <w:sz w:val="22"/>
          <w:szCs w:val="22"/>
        </w:rPr>
        <w:t>work places</w:t>
      </w:r>
      <w:proofErr w:type="gramEnd"/>
      <w:r w:rsidRPr="007C4D65">
        <w:rPr>
          <w:rFonts w:asciiTheme="minorHAnsi" w:hAnsiTheme="minorHAnsi"/>
          <w:color w:val="000000"/>
          <w:sz w:val="22"/>
          <w:szCs w:val="22"/>
        </w:rPr>
        <w:t xml:space="preserve"> or noise inside means of transport or due to military activities in military areas. The same concept shall apply in situation and strategic analyses of noise in this thematic unit.</w:t>
      </w:r>
    </w:p>
    <w:p w14:paraId="45FD40B5" w14:textId="429415B0" w:rsidR="00647018" w:rsidRPr="007C4D65" w:rsidRDefault="00647018" w:rsidP="00647018">
      <w:pPr>
        <w:autoSpaceDE w:val="0"/>
        <w:autoSpaceDN w:val="0"/>
        <w:adjustRightInd w:val="0"/>
        <w:spacing w:before="240" w:after="240" w:line="276" w:lineRule="auto"/>
        <w:jc w:val="both"/>
        <w:rPr>
          <w:rFonts w:asciiTheme="minorHAnsi" w:hAnsiTheme="minorHAnsi" w:cstheme="minorHAnsi"/>
          <w:color w:val="000000"/>
          <w:sz w:val="22"/>
          <w:szCs w:val="22"/>
        </w:rPr>
      </w:pPr>
      <w:r w:rsidRPr="007C4D65">
        <w:rPr>
          <w:rFonts w:asciiTheme="minorHAnsi" w:hAnsiTheme="minorHAnsi"/>
          <w:color w:val="000000"/>
          <w:sz w:val="22"/>
          <w:szCs w:val="22"/>
        </w:rPr>
        <w:t>In European countries, the matter of noise management is divided among institutions working in environment protection and health, and consequently, in implementation of action plans, involved are also the institutions managing transport and space. Therefore, transposition and implementation of the directive requires synergic approach of different sectors.</w:t>
      </w:r>
    </w:p>
    <w:p w14:paraId="1FA838D9" w14:textId="288AF42B"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There is only one piece of legislation that regulates environmental noise in Federation of BiH. This is the Law on Protection against Noise (</w:t>
      </w:r>
      <w:r w:rsidR="00F95E23" w:rsidRPr="007C4D65">
        <w:rPr>
          <w:rFonts w:asciiTheme="minorHAnsi" w:hAnsiTheme="minorHAnsi"/>
          <w:sz w:val="22"/>
          <w:szCs w:val="22"/>
        </w:rPr>
        <w:t>“</w:t>
      </w:r>
      <w:r w:rsidRPr="007C4D65">
        <w:rPr>
          <w:rFonts w:asciiTheme="minorHAnsi" w:hAnsiTheme="minorHAnsi"/>
          <w:sz w:val="22"/>
          <w:szCs w:val="22"/>
        </w:rPr>
        <w:t xml:space="preserve">Official Gazette </w:t>
      </w:r>
      <w:r w:rsidR="007436F1" w:rsidRPr="007C4D65">
        <w:rPr>
          <w:rFonts w:asciiTheme="minorHAnsi" w:hAnsiTheme="minorHAnsi"/>
          <w:sz w:val="22"/>
          <w:szCs w:val="22"/>
        </w:rPr>
        <w:t>of the Federation of BiH</w:t>
      </w:r>
      <w:r w:rsidR="00F95E23" w:rsidRPr="007C4D65">
        <w:rPr>
          <w:rFonts w:asciiTheme="minorHAnsi" w:hAnsiTheme="minorHAnsi"/>
          <w:sz w:val="22"/>
          <w:szCs w:val="22"/>
        </w:rPr>
        <w:t>”,</w:t>
      </w:r>
      <w:r w:rsidRPr="007C4D65">
        <w:rPr>
          <w:rFonts w:asciiTheme="minorHAnsi" w:hAnsiTheme="minorHAnsi"/>
          <w:sz w:val="22"/>
          <w:szCs w:val="22"/>
        </w:rPr>
        <w:t xml:space="preserve"> 110/12). The Law does not follow the structure of the </w:t>
      </w:r>
      <w:r w:rsidRPr="007C4D65">
        <w:rPr>
          <w:rFonts w:asciiTheme="minorHAnsi" w:hAnsiTheme="minorHAnsi"/>
          <w:b/>
          <w:bCs/>
          <w:sz w:val="22"/>
          <w:szCs w:val="22"/>
        </w:rPr>
        <w:t xml:space="preserve">Directive on Environmental Noise </w:t>
      </w:r>
      <w:r w:rsidRPr="007C4D65">
        <w:rPr>
          <w:rFonts w:asciiTheme="minorHAnsi" w:hAnsiTheme="minorHAnsi"/>
          <w:bCs/>
          <w:sz w:val="22"/>
          <w:szCs w:val="22"/>
        </w:rPr>
        <w:t>(Directive 2002/49/EC)</w:t>
      </w:r>
      <w:r w:rsidRPr="007C4D65">
        <w:rPr>
          <w:rFonts w:asciiTheme="minorHAnsi" w:hAnsiTheme="minorHAnsi"/>
          <w:b/>
          <w:bCs/>
          <w:sz w:val="22"/>
          <w:szCs w:val="22"/>
        </w:rPr>
        <w:t xml:space="preserve"> </w:t>
      </w:r>
      <w:r w:rsidRPr="007C4D65">
        <w:rPr>
          <w:rFonts w:asciiTheme="minorHAnsi" w:hAnsiTheme="minorHAnsi"/>
          <w:sz w:val="22"/>
          <w:szCs w:val="22"/>
        </w:rPr>
        <w:t>and does not provide a sound legal framework for transposition</w:t>
      </w:r>
      <w:r w:rsidR="00E51555" w:rsidRPr="007C4D65">
        <w:rPr>
          <w:rFonts w:asciiTheme="minorHAnsi" w:hAnsiTheme="minorHAnsi"/>
          <w:sz w:val="22"/>
          <w:szCs w:val="22"/>
        </w:rPr>
        <w:t xml:space="preserve"> of this Directive</w:t>
      </w:r>
      <w:r w:rsidRPr="007C4D65">
        <w:rPr>
          <w:rFonts w:asciiTheme="minorHAnsi" w:hAnsiTheme="minorHAnsi"/>
          <w:sz w:val="22"/>
          <w:szCs w:val="22"/>
        </w:rPr>
        <w:t xml:space="preserve"> into legal system </w:t>
      </w:r>
      <w:r w:rsidR="007436F1" w:rsidRPr="007C4D65">
        <w:rPr>
          <w:rFonts w:asciiTheme="minorHAnsi" w:hAnsiTheme="minorHAnsi"/>
          <w:sz w:val="22"/>
          <w:szCs w:val="22"/>
        </w:rPr>
        <w:t>of the Federation of BiH</w:t>
      </w:r>
      <w:r w:rsidRPr="007C4D65">
        <w:rPr>
          <w:rFonts w:asciiTheme="minorHAnsi" w:hAnsiTheme="minorHAnsi"/>
          <w:sz w:val="22"/>
          <w:szCs w:val="22"/>
        </w:rPr>
        <w:t>. The law specifies limits of noise emitted by external sources, and inside, depending on their purpose, it specifies the allowed level of external noise for planning new structures or sources of noise, and noise in working premises from external sources. In addition, the law identifies the authority and method for measuring and valuating noise in the open air and in closed premises. The Law foresees that noise should be included in the environmental impact assessment of the facilities that may produce a certain level of noise. The Law has not provided the obligation of development and adoption of the Noise Prevention Plans, although that is required by the Directive. In addition, the Law falls short of ensuring public participation in development of instruments for</w:t>
      </w:r>
      <w:r w:rsidRPr="007C4D65">
        <w:rPr>
          <w:rFonts w:asciiTheme="minorHAnsi" w:hAnsiTheme="minorHAnsi"/>
        </w:rPr>
        <w:t xml:space="preserve"> noise limitation or prevention (</w:t>
      </w:r>
      <w:proofErr w:type="spellStart"/>
      <w:r w:rsidRPr="007C4D65">
        <w:rPr>
          <w:rFonts w:asciiTheme="minorHAnsi" w:hAnsiTheme="minorHAnsi"/>
        </w:rPr>
        <w:t>MoFTER</w:t>
      </w:r>
      <w:proofErr w:type="spellEnd"/>
      <w:r w:rsidRPr="007C4D65">
        <w:rPr>
          <w:rFonts w:asciiTheme="minorHAnsi" w:hAnsiTheme="minorHAnsi"/>
        </w:rPr>
        <w:t xml:space="preserve"> BiH, 2017)</w:t>
      </w:r>
      <w:r w:rsidRPr="007C4D65">
        <w:rPr>
          <w:rFonts w:asciiTheme="minorHAnsi" w:hAnsiTheme="minorHAnsi"/>
          <w:sz w:val="22"/>
          <w:szCs w:val="22"/>
        </w:rPr>
        <w:t xml:space="preserve">. Laws on protection against noise was also adopted at the cantonal level in Sarajevo Canton, Tuzla Canton, </w:t>
      </w:r>
      <w:proofErr w:type="spellStart"/>
      <w:r w:rsidRPr="007C4D65">
        <w:rPr>
          <w:rFonts w:asciiTheme="minorHAnsi" w:hAnsiTheme="minorHAnsi"/>
          <w:sz w:val="22"/>
          <w:szCs w:val="22"/>
        </w:rPr>
        <w:t>Zenica</w:t>
      </w:r>
      <w:proofErr w:type="spellEnd"/>
      <w:r w:rsidRPr="007C4D65">
        <w:rPr>
          <w:rFonts w:asciiTheme="minorHAnsi" w:hAnsiTheme="minorHAnsi"/>
          <w:sz w:val="22"/>
          <w:szCs w:val="22"/>
        </w:rPr>
        <w:t xml:space="preserve">-Doboj Canton, Central Bosnia Canton, </w:t>
      </w:r>
      <w:proofErr w:type="spellStart"/>
      <w:r w:rsidRPr="007C4D65">
        <w:rPr>
          <w:rFonts w:asciiTheme="minorHAnsi" w:hAnsiTheme="minorHAnsi"/>
          <w:sz w:val="22"/>
          <w:szCs w:val="22"/>
        </w:rPr>
        <w:t>Bosansko-Podrinje</w:t>
      </w:r>
      <w:proofErr w:type="spellEnd"/>
      <w:r w:rsidRPr="007C4D65">
        <w:rPr>
          <w:rFonts w:asciiTheme="minorHAnsi" w:hAnsiTheme="minorHAnsi"/>
          <w:sz w:val="22"/>
          <w:szCs w:val="22"/>
        </w:rPr>
        <w:t xml:space="preserve"> Canton, Una-Sana Canton, and Herzegovina-Neretva Canton.</w:t>
      </w:r>
    </w:p>
    <w:p w14:paraId="13998F30" w14:textId="77777777"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 xml:space="preserve">The Law foresees that the Federation of BiH, cantonal, city and municipal administrative bodies responsible for spatial planning ensure, each within their respective scope of competences, development of noise maps to be used for forecasting, recording and monitoring the levels of noise. The noise map should be a graphic presentation of the existing and planned levels of </w:t>
      </w:r>
      <w:proofErr w:type="gramStart"/>
      <w:r w:rsidRPr="007C4D65">
        <w:rPr>
          <w:rFonts w:asciiTheme="minorHAnsi" w:hAnsiTheme="minorHAnsi"/>
          <w:sz w:val="22"/>
          <w:szCs w:val="22"/>
        </w:rPr>
        <w:t>noise, and</w:t>
      </w:r>
      <w:proofErr w:type="gramEnd"/>
      <w:r w:rsidRPr="007C4D65">
        <w:rPr>
          <w:rFonts w:asciiTheme="minorHAnsi" w:hAnsiTheme="minorHAnsi"/>
          <w:sz w:val="22"/>
          <w:szCs w:val="22"/>
        </w:rPr>
        <w:t xml:space="preserve"> make an integral part of spatial plans. Review of spatial plans of the Federation and the cantons has not shown existence of noise maps.</w:t>
      </w:r>
    </w:p>
    <w:p w14:paraId="0516DA51" w14:textId="4610D349" w:rsidR="00647018" w:rsidRPr="007C4D65" w:rsidRDefault="00647018" w:rsidP="00647018">
      <w:pPr>
        <w:spacing w:before="240" w:after="240" w:line="276" w:lineRule="auto"/>
        <w:jc w:val="both"/>
        <w:rPr>
          <w:rFonts w:asciiTheme="minorHAnsi" w:hAnsiTheme="minorHAnsi" w:cstheme="minorHAnsi"/>
          <w:color w:val="000000"/>
          <w:sz w:val="22"/>
          <w:szCs w:val="22"/>
        </w:rPr>
      </w:pPr>
      <w:r w:rsidRPr="007C4D65">
        <w:rPr>
          <w:rFonts w:asciiTheme="minorHAnsi" w:hAnsiTheme="minorHAnsi"/>
          <w:color w:val="000000"/>
          <w:sz w:val="22"/>
          <w:szCs w:val="22"/>
        </w:rPr>
        <w:t>The Law has not stipulated the obligation of development and adoption of the Noise Prevention Plans, although that is required under the Directive. In addition, the Law does not address the need to develop strategic noise maps and action plans that will include the activities of prevention / termination of the sources of noise over a longer period. There are no regulations on the level of noise caused by equipment for use outdoor.</w:t>
      </w:r>
    </w:p>
    <w:p w14:paraId="58C1F98A" w14:textId="35DA6B0E" w:rsidR="00647018" w:rsidRPr="007C4D65" w:rsidRDefault="00647018" w:rsidP="00647018">
      <w:pPr>
        <w:shd w:val="clear" w:color="auto" w:fill="FFFFFF"/>
        <w:spacing w:before="240" w:after="240" w:line="276" w:lineRule="auto"/>
        <w:jc w:val="both"/>
        <w:rPr>
          <w:rFonts w:asciiTheme="minorHAnsi" w:hAnsiTheme="minorHAnsi" w:cstheme="minorHAnsi"/>
          <w:color w:val="000000"/>
          <w:sz w:val="22"/>
          <w:szCs w:val="22"/>
        </w:rPr>
      </w:pPr>
      <w:r w:rsidRPr="007C4D65">
        <w:rPr>
          <w:rFonts w:asciiTheme="minorHAnsi" w:hAnsiTheme="minorHAnsi"/>
          <w:sz w:val="22"/>
          <w:szCs w:val="22"/>
        </w:rPr>
        <w:t>In 2016, a new Law on Protection against Noise of Sarajevo Canton was adopted in Sarajevo Canton (</w:t>
      </w:r>
      <w:r w:rsidR="00F95E23" w:rsidRPr="007C4D65">
        <w:rPr>
          <w:rFonts w:asciiTheme="minorHAnsi" w:hAnsiTheme="minorHAnsi"/>
          <w:sz w:val="22"/>
          <w:szCs w:val="22"/>
        </w:rPr>
        <w:t>“</w:t>
      </w:r>
      <w:r w:rsidRPr="007C4D65">
        <w:rPr>
          <w:rFonts w:asciiTheme="minorHAnsi" w:hAnsiTheme="minorHAnsi"/>
          <w:sz w:val="22"/>
          <w:szCs w:val="22"/>
        </w:rPr>
        <w:t xml:space="preserve">Official Gazette of </w:t>
      </w:r>
      <w:r w:rsidR="00F95E23" w:rsidRPr="007C4D65">
        <w:rPr>
          <w:rFonts w:asciiTheme="minorHAnsi" w:hAnsiTheme="minorHAnsi"/>
          <w:sz w:val="22"/>
          <w:szCs w:val="22"/>
        </w:rPr>
        <w:t xml:space="preserve">the </w:t>
      </w:r>
      <w:r w:rsidRPr="007C4D65">
        <w:rPr>
          <w:rFonts w:asciiTheme="minorHAnsi" w:hAnsiTheme="minorHAnsi"/>
          <w:sz w:val="22"/>
          <w:szCs w:val="22"/>
        </w:rPr>
        <w:t xml:space="preserve">Federation </w:t>
      </w:r>
      <w:r w:rsidR="00F95E23" w:rsidRPr="007C4D65">
        <w:rPr>
          <w:rFonts w:asciiTheme="minorHAnsi" w:hAnsiTheme="minorHAnsi"/>
          <w:sz w:val="22"/>
          <w:szCs w:val="22"/>
        </w:rPr>
        <w:t xml:space="preserve">of </w:t>
      </w:r>
      <w:r w:rsidRPr="007C4D65">
        <w:rPr>
          <w:rFonts w:asciiTheme="minorHAnsi" w:hAnsiTheme="minorHAnsi"/>
          <w:sz w:val="22"/>
          <w:szCs w:val="22"/>
        </w:rPr>
        <w:t>BiH</w:t>
      </w:r>
      <w:r w:rsidR="00F95E23" w:rsidRPr="007C4D65">
        <w:rPr>
          <w:rFonts w:asciiTheme="minorHAnsi" w:hAnsiTheme="minorHAnsi"/>
          <w:sz w:val="22"/>
          <w:szCs w:val="22"/>
        </w:rPr>
        <w:t>”,</w:t>
      </w:r>
      <w:r w:rsidRPr="007C4D65">
        <w:rPr>
          <w:rFonts w:asciiTheme="minorHAnsi" w:hAnsiTheme="minorHAnsi"/>
          <w:sz w:val="22"/>
          <w:szCs w:val="22"/>
        </w:rPr>
        <w:t xml:space="preserve"> 23/16), which is in line with requirements of the</w:t>
      </w:r>
      <w:r w:rsidRPr="007C4D65">
        <w:rPr>
          <w:rFonts w:asciiTheme="minorHAnsi" w:hAnsiTheme="minorHAnsi"/>
        </w:rPr>
        <w:t xml:space="preserve"> European legislation.</w:t>
      </w:r>
      <w:r w:rsidRPr="007C4D65">
        <w:rPr>
          <w:rFonts w:asciiTheme="minorHAnsi" w:hAnsiTheme="minorHAnsi"/>
          <w:color w:val="000000"/>
          <w:sz w:val="22"/>
          <w:szCs w:val="22"/>
        </w:rPr>
        <w:t xml:space="preserve"> The Law stipulates the highest limits for noise and for measuring the noise, and identifies noise protection measures and their duration, and mandates the development of noise maps. In </w:t>
      </w:r>
      <w:r w:rsidRPr="007C4D65">
        <w:rPr>
          <w:rFonts w:asciiTheme="minorHAnsi" w:hAnsiTheme="minorHAnsi"/>
          <w:color w:val="000000"/>
          <w:sz w:val="22"/>
          <w:szCs w:val="22"/>
        </w:rPr>
        <w:lastRenderedPageBreak/>
        <w:t>connection with this, the responsibilities of all levels of government, from Federation to municipal bodies, have been established. The new Law defines more precisely the conditions and measures of noise protection that need to be complied with when starting certain activities, and, contrary to the Federation regulation, specifically describe the method of developing noise maps as well as action plans, as prescribed in the Directive that is a condition for accession to the European Union.</w:t>
      </w:r>
    </w:p>
    <w:p w14:paraId="248F121B" w14:textId="77777777" w:rsidR="00647018" w:rsidRPr="007C4D65" w:rsidRDefault="00647018" w:rsidP="00647018">
      <w:pPr>
        <w:spacing w:before="240" w:after="240" w:line="276" w:lineRule="auto"/>
        <w:jc w:val="both"/>
        <w:rPr>
          <w:rFonts w:asciiTheme="minorHAnsi" w:hAnsiTheme="minorHAnsi" w:cstheme="minorHAnsi"/>
          <w:color w:val="000000"/>
          <w:sz w:val="22"/>
          <w:szCs w:val="22"/>
        </w:rPr>
      </w:pPr>
      <w:r w:rsidRPr="007C4D65">
        <w:rPr>
          <w:rFonts w:asciiTheme="minorHAnsi" w:hAnsiTheme="minorHAnsi"/>
          <w:sz w:val="22"/>
          <w:szCs w:val="22"/>
        </w:rPr>
        <w:t>Noise Map was made in Sarajevo in 2009 (Figure 11), and a report was produced on the measuring results, containing recommendations for improvements.</w:t>
      </w:r>
      <w:r w:rsidRPr="007C4D65">
        <w:rPr>
          <w:rFonts w:asciiTheme="minorHAnsi" w:hAnsiTheme="minorHAnsi"/>
          <w:color w:val="000000"/>
          <w:sz w:val="22"/>
          <w:szCs w:val="22"/>
        </w:rPr>
        <w:t xml:space="preserve"> However, </w:t>
      </w:r>
      <w:proofErr w:type="gramStart"/>
      <w:r w:rsidRPr="007C4D65">
        <w:rPr>
          <w:rFonts w:asciiTheme="minorHAnsi" w:hAnsiTheme="minorHAnsi"/>
          <w:color w:val="000000"/>
          <w:sz w:val="22"/>
          <w:szCs w:val="22"/>
        </w:rPr>
        <w:t>due to the fact that</w:t>
      </w:r>
      <w:proofErr w:type="gramEnd"/>
      <w:r w:rsidRPr="007C4D65">
        <w:rPr>
          <w:rFonts w:asciiTheme="minorHAnsi" w:hAnsiTheme="minorHAnsi"/>
          <w:color w:val="000000"/>
          <w:sz w:val="22"/>
          <w:szCs w:val="22"/>
        </w:rPr>
        <w:t xml:space="preserve"> the spatial plans do not include the segment of noise protection, it was not possible to provide for timely and adequate planning of protection and zoning in accordance with the noise protection rules. According to the Directive 2002/49/EC, the noise maps are to be made for all inhabited areas with population over 100.000. According to this criterion, noise maps and noise protection action plans should be made for Sarajevo, Mostar, </w:t>
      </w:r>
      <w:proofErr w:type="spellStart"/>
      <w:r w:rsidRPr="007C4D65">
        <w:rPr>
          <w:rFonts w:asciiTheme="minorHAnsi" w:hAnsiTheme="minorHAnsi"/>
          <w:color w:val="000000"/>
          <w:sz w:val="22"/>
          <w:szCs w:val="22"/>
        </w:rPr>
        <w:t>Zenica</w:t>
      </w:r>
      <w:proofErr w:type="spellEnd"/>
      <w:r w:rsidRPr="007C4D65">
        <w:rPr>
          <w:rFonts w:asciiTheme="minorHAnsi" w:hAnsiTheme="minorHAnsi"/>
          <w:color w:val="000000"/>
          <w:sz w:val="22"/>
          <w:szCs w:val="22"/>
        </w:rPr>
        <w:t xml:space="preserve"> and Tuzla.</w:t>
      </w:r>
    </w:p>
    <w:p w14:paraId="1FB649A9" w14:textId="57B31676" w:rsidR="00647018" w:rsidRPr="007C4D65" w:rsidRDefault="00152511" w:rsidP="00647018">
      <w:pPr>
        <w:spacing w:before="120" w:after="120" w:line="276" w:lineRule="auto"/>
        <w:jc w:val="center"/>
        <w:rPr>
          <w:rFonts w:asciiTheme="minorHAnsi" w:hAnsiTheme="minorHAnsi" w:cstheme="minorHAnsi"/>
          <w:color w:val="000000"/>
        </w:rPr>
      </w:pPr>
      <w:bookmarkStart w:id="150" w:name="_Ref93535862"/>
      <w:r>
        <w:rPr>
          <w:rFonts w:asciiTheme="minorHAnsi" w:hAnsiTheme="minorHAnsi"/>
          <w:noProof/>
          <w:color w:val="000000"/>
        </w:rPr>
        <w:drawing>
          <wp:inline distT="0" distB="0" distL="0" distR="0" wp14:anchorId="72B804A4" wp14:editId="2C9127DD">
            <wp:extent cx="4221480" cy="37566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1480" cy="3756660"/>
                    </a:xfrm>
                    <a:prstGeom prst="rect">
                      <a:avLst/>
                    </a:prstGeom>
                    <a:noFill/>
                    <a:ln>
                      <a:noFill/>
                    </a:ln>
                  </pic:spPr>
                </pic:pic>
              </a:graphicData>
            </a:graphic>
          </wp:inline>
        </w:drawing>
      </w:r>
    </w:p>
    <w:p w14:paraId="2F34A68C" w14:textId="08B36F53" w:rsidR="00647018" w:rsidRPr="007C4D65" w:rsidRDefault="00647018" w:rsidP="00647018">
      <w:pPr>
        <w:pStyle w:val="Caption"/>
        <w:keepNext/>
        <w:spacing w:line="276" w:lineRule="auto"/>
        <w:jc w:val="center"/>
        <w:rPr>
          <w:rFonts w:asciiTheme="minorHAnsi" w:hAnsiTheme="minorHAnsi" w:cstheme="minorHAnsi"/>
        </w:rPr>
      </w:pPr>
      <w:bookmarkStart w:id="151" w:name="_Ref94289146"/>
      <w:bookmarkStart w:id="152" w:name="_Toc109842468"/>
      <w:bookmarkStart w:id="153" w:name="_Toc117445053"/>
      <w:bookmarkEnd w:id="150"/>
      <w:r w:rsidRPr="007C4D65">
        <w:rPr>
          <w:rFonts w:asciiTheme="minorHAnsi" w:hAnsiTheme="minorHAnsi"/>
        </w:rPr>
        <w:t>Figure</w:t>
      </w:r>
      <w:bookmarkEnd w:id="151"/>
      <w:r w:rsidR="00B6017F" w:rsidRPr="007C4D65">
        <w:rPr>
          <w:rFonts w:asciiTheme="minorHAnsi" w:hAnsiTheme="minorHAnsi" w:cstheme="minorHAnsi"/>
        </w:rPr>
        <w:t xml:space="preserve"> </w:t>
      </w:r>
      <w:r w:rsidR="005D60DA" w:rsidRPr="007C4D65">
        <w:rPr>
          <w:rFonts w:asciiTheme="minorHAnsi" w:hAnsiTheme="minorHAnsi" w:cstheme="minorHAnsi"/>
          <w:b w:val="0"/>
          <w:bCs/>
          <w:i w:val="0"/>
          <w:iCs w:val="0"/>
          <w:szCs w:val="20"/>
          <w:lang w:val="hr-HR"/>
        </w:rPr>
        <w:fldChar w:fldCharType="begin"/>
      </w:r>
      <w:r w:rsidR="005D60DA" w:rsidRPr="007C4D65">
        <w:rPr>
          <w:rFonts w:asciiTheme="minorHAnsi" w:hAnsiTheme="minorHAnsi" w:cstheme="minorHAnsi"/>
          <w:bCs/>
          <w:szCs w:val="20"/>
          <w:lang w:val="hr-HR"/>
        </w:rPr>
        <w:instrText xml:space="preserve"> SEQ Slika \* ARABIC </w:instrText>
      </w:r>
      <w:r w:rsidR="005D60DA" w:rsidRPr="007C4D65">
        <w:rPr>
          <w:rFonts w:asciiTheme="minorHAnsi" w:hAnsiTheme="minorHAnsi" w:cstheme="minorHAnsi"/>
          <w:b w:val="0"/>
          <w:bCs/>
          <w:i w:val="0"/>
          <w:iCs w:val="0"/>
          <w:szCs w:val="20"/>
          <w:lang w:val="hr-HR"/>
        </w:rPr>
        <w:fldChar w:fldCharType="separate"/>
      </w:r>
      <w:r w:rsidR="005D60DA" w:rsidRPr="007C4D65">
        <w:rPr>
          <w:rFonts w:asciiTheme="minorHAnsi" w:hAnsiTheme="minorHAnsi" w:cstheme="minorHAnsi"/>
          <w:bCs/>
          <w:noProof/>
          <w:szCs w:val="20"/>
          <w:lang w:val="hr-HR"/>
        </w:rPr>
        <w:t>11</w:t>
      </w:r>
      <w:r w:rsidR="005D60DA" w:rsidRPr="007C4D65">
        <w:rPr>
          <w:rFonts w:asciiTheme="minorHAnsi" w:hAnsiTheme="minorHAnsi" w:cstheme="minorHAnsi"/>
          <w:b w:val="0"/>
          <w:bCs/>
          <w:i w:val="0"/>
          <w:iCs w:val="0"/>
          <w:szCs w:val="20"/>
          <w:lang w:val="hr-HR"/>
        </w:rPr>
        <w:fldChar w:fldCharType="end"/>
      </w:r>
      <w:r w:rsidR="00C34761" w:rsidRPr="007C4D65">
        <w:rPr>
          <w:rFonts w:asciiTheme="minorHAnsi" w:hAnsiTheme="minorHAnsi"/>
        </w:rPr>
        <w:t>:</w:t>
      </w:r>
      <w:r w:rsidRPr="007C4D65">
        <w:rPr>
          <w:rFonts w:asciiTheme="minorHAnsi" w:hAnsiTheme="minorHAnsi"/>
        </w:rPr>
        <w:t xml:space="preserve"> </w:t>
      </w:r>
      <w:r w:rsidRPr="007C4D65">
        <w:rPr>
          <w:rFonts w:asciiTheme="minorHAnsi" w:hAnsiTheme="minorHAnsi"/>
          <w:b w:val="0"/>
        </w:rPr>
        <w:t>Noise Map for Sarajevo Canton (2009)</w:t>
      </w:r>
      <w:bookmarkEnd w:id="152"/>
      <w:bookmarkEnd w:id="153"/>
    </w:p>
    <w:p w14:paraId="11E60DA6" w14:textId="77777777" w:rsidR="00647018" w:rsidRPr="007C4D65" w:rsidRDefault="00647018" w:rsidP="00647018">
      <w:pPr>
        <w:pStyle w:val="Caption"/>
        <w:spacing w:line="276" w:lineRule="auto"/>
        <w:jc w:val="center"/>
        <w:rPr>
          <w:rFonts w:asciiTheme="minorHAnsi" w:hAnsiTheme="minorHAnsi" w:cstheme="minorHAnsi"/>
          <w:b w:val="0"/>
          <w:color w:val="000000"/>
        </w:rPr>
      </w:pPr>
      <w:r w:rsidRPr="007C4D65">
        <w:rPr>
          <w:rFonts w:asciiTheme="minorHAnsi" w:hAnsiTheme="minorHAnsi"/>
          <w:b w:val="0"/>
        </w:rPr>
        <w:t>Source: (Official web page of the Ministry of Utility Companies, Infrastructure, Spatial Planning, Construction and Environment Protection; Noise Map, 2009)</w:t>
      </w:r>
    </w:p>
    <w:p w14:paraId="41A6430A" w14:textId="0E8662E7"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color w:val="000000"/>
          <w:sz w:val="22"/>
          <w:szCs w:val="22"/>
        </w:rPr>
        <w:t xml:space="preserve">In addition, according to the Directive, the noise maps need also be made for: railway tracks with 30,000 train passages a year, roads with more than 3 million passages a year, and airports with more than 50,000 operations (landings and lift-offs). </w:t>
      </w:r>
      <w:r w:rsidRPr="007C4D65">
        <w:rPr>
          <w:rFonts w:asciiTheme="minorHAnsi" w:hAnsiTheme="minorHAnsi"/>
          <w:sz w:val="22"/>
          <w:szCs w:val="22"/>
        </w:rPr>
        <w:t>In 2019, the four international airports in BiH combined realized 20,900 operations, and this is significantly below the level that requires the development of noise maps and noise protection action plans.</w:t>
      </w:r>
    </w:p>
    <w:p w14:paraId="2266B725" w14:textId="282C1914" w:rsidR="00647018" w:rsidRPr="007C4D65" w:rsidRDefault="00647018" w:rsidP="00647018">
      <w:pPr>
        <w:spacing w:line="276" w:lineRule="auto"/>
        <w:jc w:val="both"/>
        <w:rPr>
          <w:rFonts w:asciiTheme="minorHAnsi" w:hAnsiTheme="minorHAnsi" w:cstheme="minorHAnsi"/>
          <w:sz w:val="22"/>
          <w:szCs w:val="22"/>
        </w:rPr>
      </w:pPr>
      <w:r w:rsidRPr="007C4D65">
        <w:rPr>
          <w:rFonts w:asciiTheme="minorHAnsi" w:hAnsiTheme="minorHAnsi"/>
          <w:sz w:val="22"/>
          <w:szCs w:val="22"/>
        </w:rPr>
        <w:t xml:space="preserve">Motorways and highways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are managed by Public Company Motorways </w:t>
      </w:r>
      <w:r w:rsidR="007436F1" w:rsidRPr="007C4D65">
        <w:rPr>
          <w:rFonts w:asciiTheme="minorHAnsi" w:hAnsiTheme="minorHAnsi"/>
          <w:sz w:val="22"/>
          <w:szCs w:val="22"/>
        </w:rPr>
        <w:t>of the Federation of BiH</w:t>
      </w:r>
      <w:r w:rsidR="000A0EB0" w:rsidRPr="007C4D65">
        <w:rPr>
          <w:rFonts w:asciiTheme="minorHAnsi" w:hAnsiTheme="minorHAnsi"/>
          <w:sz w:val="22"/>
          <w:szCs w:val="22"/>
        </w:rPr>
        <w:t xml:space="preserve"> (JP </w:t>
      </w:r>
      <w:proofErr w:type="spellStart"/>
      <w:r w:rsidR="000A0EB0" w:rsidRPr="007C4D65">
        <w:rPr>
          <w:rFonts w:asciiTheme="minorHAnsi" w:hAnsiTheme="minorHAnsi"/>
          <w:sz w:val="22"/>
          <w:szCs w:val="22"/>
        </w:rPr>
        <w:t>Autoceste</w:t>
      </w:r>
      <w:proofErr w:type="spellEnd"/>
      <w:r w:rsidR="000A0EB0" w:rsidRPr="007C4D65">
        <w:rPr>
          <w:rFonts w:asciiTheme="minorHAnsi" w:hAnsiTheme="minorHAnsi"/>
          <w:sz w:val="22"/>
          <w:szCs w:val="22"/>
        </w:rPr>
        <w:t xml:space="preserve"> </w:t>
      </w:r>
      <w:proofErr w:type="spellStart"/>
      <w:r w:rsidR="000A0EB0" w:rsidRPr="007C4D65">
        <w:rPr>
          <w:rFonts w:asciiTheme="minorHAnsi" w:hAnsiTheme="minorHAnsi"/>
          <w:sz w:val="22"/>
          <w:szCs w:val="22"/>
        </w:rPr>
        <w:t>Federacije</w:t>
      </w:r>
      <w:proofErr w:type="spellEnd"/>
      <w:r w:rsidR="000A0EB0" w:rsidRPr="007C4D65">
        <w:rPr>
          <w:rFonts w:asciiTheme="minorHAnsi" w:hAnsiTheme="minorHAnsi"/>
          <w:sz w:val="22"/>
          <w:szCs w:val="22"/>
        </w:rPr>
        <w:t xml:space="preserve"> BiH)</w:t>
      </w:r>
      <w:r w:rsidRPr="007C4D65">
        <w:rPr>
          <w:rFonts w:asciiTheme="minorHAnsi" w:hAnsiTheme="minorHAnsi"/>
          <w:sz w:val="22"/>
          <w:szCs w:val="22"/>
        </w:rPr>
        <w:t xml:space="preserve">, and this company has the duty to collect and publish </w:t>
      </w:r>
      <w:r w:rsidRPr="007C4D65">
        <w:rPr>
          <w:rFonts w:asciiTheme="minorHAnsi" w:hAnsiTheme="minorHAnsi"/>
          <w:sz w:val="22"/>
          <w:szCs w:val="22"/>
        </w:rPr>
        <w:lastRenderedPageBreak/>
        <w:t xml:space="preserve">data on traffic, by sections. Unfortunately, the Public Company Motorways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does not publish the data on traffic by sections, but according to the available data from studies already done, values of AADT exceed 10 thousand vehicles at all sections of motorway A1 between </w:t>
      </w:r>
      <w:proofErr w:type="spellStart"/>
      <w:r w:rsidRPr="007C4D65">
        <w:rPr>
          <w:rFonts w:asciiTheme="minorHAnsi" w:hAnsiTheme="minorHAnsi"/>
          <w:sz w:val="22"/>
          <w:szCs w:val="22"/>
        </w:rPr>
        <w:t>La</w:t>
      </w:r>
      <w:r w:rsidR="00A46B27" w:rsidRPr="007C4D65">
        <w:rPr>
          <w:rFonts w:asciiTheme="minorHAnsi" w:hAnsiTheme="minorHAnsi"/>
          <w:sz w:val="22"/>
          <w:szCs w:val="22"/>
        </w:rPr>
        <w:t>s</w:t>
      </w:r>
      <w:r w:rsidRPr="007C4D65">
        <w:rPr>
          <w:rFonts w:asciiTheme="minorHAnsi" w:hAnsiTheme="minorHAnsi"/>
          <w:sz w:val="22"/>
          <w:szCs w:val="22"/>
        </w:rPr>
        <w:t>va</w:t>
      </w:r>
      <w:proofErr w:type="spellEnd"/>
      <w:r w:rsidRPr="007C4D65">
        <w:rPr>
          <w:rFonts w:asciiTheme="minorHAnsi" w:hAnsiTheme="minorHAnsi"/>
          <w:sz w:val="22"/>
          <w:szCs w:val="22"/>
        </w:rPr>
        <w:t xml:space="preserve"> and Sarajevo (including the Sarajevo Bypass). Based on the environmental permit for the project Motorway on the corridor </w:t>
      </w:r>
      <w:proofErr w:type="spellStart"/>
      <w:r w:rsidRPr="007C4D65">
        <w:rPr>
          <w:rFonts w:asciiTheme="minorHAnsi" w:hAnsiTheme="minorHAnsi"/>
          <w:sz w:val="22"/>
          <w:szCs w:val="22"/>
        </w:rPr>
        <w:t>Vc</w:t>
      </w:r>
      <w:proofErr w:type="spellEnd"/>
      <w:r w:rsidRPr="007C4D65">
        <w:rPr>
          <w:rFonts w:asciiTheme="minorHAnsi" w:hAnsiTheme="minorHAnsi"/>
          <w:sz w:val="22"/>
          <w:szCs w:val="22"/>
        </w:rPr>
        <w:t>, for the sections: LOT 2 – section Doboj South (</w:t>
      </w:r>
      <w:proofErr w:type="spellStart"/>
      <w:r w:rsidRPr="007C4D65">
        <w:rPr>
          <w:rFonts w:asciiTheme="minorHAnsi" w:hAnsiTheme="minorHAnsi"/>
          <w:sz w:val="22"/>
          <w:szCs w:val="22"/>
        </w:rPr>
        <w:t>Karu</w:t>
      </w:r>
      <w:r w:rsidR="00A46B27" w:rsidRPr="007C4D65">
        <w:rPr>
          <w:rFonts w:asciiTheme="minorHAnsi" w:hAnsiTheme="minorHAnsi"/>
          <w:sz w:val="22"/>
          <w:szCs w:val="22"/>
        </w:rPr>
        <w:t>s</w:t>
      </w:r>
      <w:r w:rsidRPr="007C4D65">
        <w:rPr>
          <w:rFonts w:asciiTheme="minorHAnsi" w:hAnsiTheme="minorHAnsi"/>
          <w:sz w:val="22"/>
          <w:szCs w:val="22"/>
        </w:rPr>
        <w:t>e</w:t>
      </w:r>
      <w:proofErr w:type="spellEnd"/>
      <w:r w:rsidRPr="007C4D65">
        <w:rPr>
          <w:rFonts w:asciiTheme="minorHAnsi" w:hAnsiTheme="minorHAnsi"/>
          <w:sz w:val="22"/>
          <w:szCs w:val="22"/>
        </w:rPr>
        <w:t xml:space="preserve">) – Sarajevo (south) – </w:t>
      </w:r>
      <w:proofErr w:type="spellStart"/>
      <w:r w:rsidRPr="007C4D65">
        <w:rPr>
          <w:rFonts w:asciiTheme="minorHAnsi" w:hAnsiTheme="minorHAnsi"/>
          <w:sz w:val="22"/>
          <w:szCs w:val="22"/>
        </w:rPr>
        <w:t>Tar</w:t>
      </w:r>
      <w:r w:rsidR="00A46B27" w:rsidRPr="007C4D65">
        <w:rPr>
          <w:rFonts w:asciiTheme="minorHAnsi" w:hAnsiTheme="minorHAnsi"/>
          <w:sz w:val="22"/>
          <w:szCs w:val="22"/>
        </w:rPr>
        <w:t>c</w:t>
      </w:r>
      <w:r w:rsidRPr="007C4D65">
        <w:rPr>
          <w:rFonts w:asciiTheme="minorHAnsi" w:hAnsiTheme="minorHAnsi"/>
          <w:sz w:val="22"/>
          <w:szCs w:val="22"/>
        </w:rPr>
        <w:t>in</w:t>
      </w:r>
      <w:proofErr w:type="spellEnd"/>
      <w:r w:rsidRPr="007C4D65">
        <w:rPr>
          <w:rFonts w:asciiTheme="minorHAnsi" w:hAnsiTheme="minorHAnsi"/>
          <w:sz w:val="22"/>
          <w:szCs w:val="22"/>
        </w:rPr>
        <w:t xml:space="preserve">, the Public Company "Motorways </w:t>
      </w:r>
      <w:r w:rsidR="007436F1" w:rsidRPr="007C4D65">
        <w:rPr>
          <w:rFonts w:asciiTheme="minorHAnsi" w:hAnsiTheme="minorHAnsi"/>
          <w:sz w:val="22"/>
          <w:szCs w:val="22"/>
        </w:rPr>
        <w:t xml:space="preserve">of the Federation of </w:t>
      </w:r>
      <w:proofErr w:type="gramStart"/>
      <w:r w:rsidR="007436F1" w:rsidRPr="007C4D65">
        <w:rPr>
          <w:rFonts w:asciiTheme="minorHAnsi" w:hAnsiTheme="minorHAnsi"/>
          <w:sz w:val="22"/>
          <w:szCs w:val="22"/>
        </w:rPr>
        <w:t>BiH</w:t>
      </w:r>
      <w:r w:rsidRPr="007C4D65">
        <w:rPr>
          <w:rFonts w:asciiTheme="minorHAnsi" w:hAnsiTheme="minorHAnsi"/>
          <w:sz w:val="22"/>
          <w:szCs w:val="22"/>
        </w:rPr>
        <w:t>“ commissioned</w:t>
      </w:r>
      <w:proofErr w:type="gramEnd"/>
      <w:r w:rsidRPr="007C4D65">
        <w:rPr>
          <w:rFonts w:asciiTheme="minorHAnsi" w:hAnsiTheme="minorHAnsi"/>
          <w:sz w:val="22"/>
          <w:szCs w:val="22"/>
        </w:rPr>
        <w:t xml:space="preserve"> in 2012 development of a document titled "Determining the level of noise, developing noise maps and action plan for mitigating consequences of noise generated by motor vehicles on the Motorway A1 - Section </w:t>
      </w:r>
      <w:proofErr w:type="spellStart"/>
      <w:r w:rsidRPr="007C4D65">
        <w:rPr>
          <w:rFonts w:asciiTheme="minorHAnsi" w:hAnsiTheme="minorHAnsi"/>
          <w:sz w:val="22"/>
          <w:szCs w:val="22"/>
        </w:rPr>
        <w:t>Jo</w:t>
      </w:r>
      <w:r w:rsidR="00A46B27" w:rsidRPr="007C4D65">
        <w:rPr>
          <w:rFonts w:asciiTheme="minorHAnsi" w:hAnsiTheme="minorHAnsi"/>
          <w:sz w:val="22"/>
          <w:szCs w:val="22"/>
        </w:rPr>
        <w:t>s</w:t>
      </w:r>
      <w:r w:rsidRPr="007C4D65">
        <w:rPr>
          <w:rFonts w:asciiTheme="minorHAnsi" w:hAnsiTheme="minorHAnsi"/>
          <w:sz w:val="22"/>
          <w:szCs w:val="22"/>
        </w:rPr>
        <w:t>anica</w:t>
      </w:r>
      <w:proofErr w:type="spellEnd"/>
      <w:r w:rsidRPr="007C4D65">
        <w:rPr>
          <w:rFonts w:asciiTheme="minorHAnsi" w:hAnsiTheme="minorHAnsi"/>
          <w:sz w:val="22"/>
          <w:szCs w:val="22"/>
        </w:rPr>
        <w:t xml:space="preserve"> - </w:t>
      </w:r>
      <w:proofErr w:type="spellStart"/>
      <w:r w:rsidRPr="007C4D65">
        <w:rPr>
          <w:rFonts w:asciiTheme="minorHAnsi" w:hAnsiTheme="minorHAnsi"/>
          <w:sz w:val="22"/>
          <w:szCs w:val="22"/>
        </w:rPr>
        <w:t>Kakanj</w:t>
      </w:r>
      <w:proofErr w:type="spellEnd"/>
      <w:r w:rsidRPr="007C4D65">
        <w:rPr>
          <w:rFonts w:asciiTheme="minorHAnsi" w:hAnsiTheme="minorHAnsi"/>
          <w:sz w:val="22"/>
          <w:szCs w:val="22"/>
        </w:rPr>
        <w:t xml:space="preserve">". </w:t>
      </w:r>
      <w:r w:rsidRPr="007C4D65">
        <w:rPr>
          <w:rFonts w:asciiTheme="minorHAnsi" w:hAnsiTheme="minorHAnsi"/>
        </w:rPr>
        <w:t xml:space="preserve">The work involved measuring levels of noise, development of noise maps and action plans for sections of the motorway </w:t>
      </w:r>
      <w:r w:rsidR="007436F1" w:rsidRPr="007C4D65">
        <w:rPr>
          <w:rFonts w:asciiTheme="minorHAnsi" w:hAnsiTheme="minorHAnsi"/>
        </w:rPr>
        <w:t>in the Federation of BiH</w:t>
      </w:r>
      <w:r w:rsidRPr="007C4D65">
        <w:rPr>
          <w:rFonts w:asciiTheme="minorHAnsi" w:hAnsiTheme="minorHAnsi"/>
        </w:rPr>
        <w:t xml:space="preserve">, recognizing not only the local legislation in force at the time, but also the provisions of original Directive 2002/49/EC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{"citationID":"oYnI3P8o","properties":{"formattedCitation":"(Direktiva 2002/49/EZ 2019)","plainCitation":"(Direktiva 2002/49/EZ 2019)","noteIndex":0},"citationItems":[{"id":1524,"uris":["http://zotero.org/users/7192877/items/YHLWLYSQ"],"itemData":{"id":1524,"type":"legislation","title":"Direktiva 2002/49/EZ Europskog parlamenta i Vijeća od 25. juni 2002. o procjeni i upravljanju bukom iz okoliša","author":[{"family":"Direktiva 2002/49/EZ","given":""}],"issued":{"date-parts":[["2019"]]}}}],"schema":"https://github.com/citation-style-language/schema/raw/master/csl-citation.json"}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rPr>
        <w:t>(</w:t>
      </w:r>
      <w:r w:rsidR="006C5EE4" w:rsidRPr="007C4D65">
        <w:rPr>
          <w:rFonts w:asciiTheme="minorHAnsi" w:hAnsiTheme="minorHAnsi" w:cstheme="minorHAnsi"/>
          <w:sz w:val="22"/>
        </w:rPr>
        <w:t>Directive</w:t>
      </w:r>
      <w:r w:rsidRPr="007C4D65">
        <w:rPr>
          <w:rFonts w:asciiTheme="minorHAnsi" w:hAnsiTheme="minorHAnsi" w:cstheme="minorHAnsi"/>
          <w:sz w:val="22"/>
        </w:rPr>
        <w:t xml:space="preserve"> 2002/49/E</w:t>
      </w:r>
      <w:r w:rsidR="006C5EE4" w:rsidRPr="007C4D65">
        <w:rPr>
          <w:rFonts w:asciiTheme="minorHAnsi" w:hAnsiTheme="minorHAnsi" w:cstheme="minorHAnsi"/>
          <w:sz w:val="22"/>
        </w:rPr>
        <w:t>C</w:t>
      </w:r>
      <w:r w:rsidRPr="007C4D65">
        <w:rPr>
          <w:rFonts w:asciiTheme="minorHAnsi" w:hAnsiTheme="minorHAnsi" w:cstheme="minorHAnsi"/>
          <w:sz w:val="22"/>
        </w:rPr>
        <w:t>)</w:t>
      </w:r>
      <w:r w:rsidRPr="007C4D65">
        <w:rPr>
          <w:rFonts w:asciiTheme="minorHAnsi" w:hAnsiTheme="minorHAnsi" w:cstheme="minorHAnsi"/>
          <w:sz w:val="22"/>
          <w:szCs w:val="22"/>
        </w:rPr>
        <w:fldChar w:fldCharType="end"/>
      </w:r>
      <w:r w:rsidRPr="007C4D65">
        <w:rPr>
          <w:rFonts w:asciiTheme="minorHAnsi" w:hAnsiTheme="minorHAnsi"/>
        </w:rPr>
        <w:t>.</w:t>
      </w:r>
      <w:r w:rsidRPr="007C4D65">
        <w:rPr>
          <w:rFonts w:asciiTheme="minorHAnsi" w:hAnsiTheme="minorHAnsi"/>
          <w:sz w:val="22"/>
          <w:szCs w:val="22"/>
        </w:rPr>
        <w:t xml:space="preserve"> In 2014, the same company commissioned development of the document with the same title and content for the motorway section </w:t>
      </w:r>
      <w:proofErr w:type="spellStart"/>
      <w:r w:rsidRPr="007C4D65">
        <w:rPr>
          <w:rFonts w:asciiTheme="minorHAnsi" w:hAnsiTheme="minorHAnsi"/>
          <w:sz w:val="22"/>
          <w:szCs w:val="22"/>
        </w:rPr>
        <w:t>Bilje</w:t>
      </w:r>
      <w:r w:rsidR="00A46B27" w:rsidRPr="007C4D65">
        <w:rPr>
          <w:rFonts w:asciiTheme="minorHAnsi" w:hAnsiTheme="minorHAnsi"/>
          <w:sz w:val="22"/>
          <w:szCs w:val="22"/>
        </w:rPr>
        <w:t>s</w:t>
      </w:r>
      <w:r w:rsidRPr="007C4D65">
        <w:rPr>
          <w:rFonts w:asciiTheme="minorHAnsi" w:hAnsiTheme="minorHAnsi"/>
          <w:sz w:val="22"/>
          <w:szCs w:val="22"/>
        </w:rPr>
        <w:t>evo</w:t>
      </w:r>
      <w:proofErr w:type="spellEnd"/>
      <w:r w:rsidRPr="007C4D65">
        <w:rPr>
          <w:rFonts w:asciiTheme="minorHAnsi" w:hAnsiTheme="minorHAnsi"/>
          <w:sz w:val="22"/>
          <w:szCs w:val="22"/>
        </w:rPr>
        <w:t xml:space="preserve"> - </w:t>
      </w:r>
      <w:proofErr w:type="spellStart"/>
      <w:r w:rsidRPr="007C4D65">
        <w:rPr>
          <w:rFonts w:asciiTheme="minorHAnsi" w:hAnsiTheme="minorHAnsi"/>
          <w:sz w:val="22"/>
          <w:szCs w:val="22"/>
        </w:rPr>
        <w:t>Kakanj</w:t>
      </w:r>
      <w:proofErr w:type="spellEnd"/>
      <w:r w:rsidRPr="007C4D65">
        <w:rPr>
          <w:rFonts w:asciiTheme="minorHAnsi" w:hAnsiTheme="minorHAnsi"/>
          <w:sz w:val="22"/>
          <w:szCs w:val="22"/>
        </w:rPr>
        <w:t xml:space="preserve">. Noise protection projects make an integral part of the main designs of motorways and highways </w:t>
      </w:r>
      <w:r w:rsidR="007436F1" w:rsidRPr="007C4D65">
        <w:rPr>
          <w:rFonts w:asciiTheme="minorHAnsi" w:hAnsiTheme="minorHAnsi"/>
          <w:sz w:val="22"/>
          <w:szCs w:val="22"/>
        </w:rPr>
        <w:t>in the Federation of BiH</w:t>
      </w:r>
      <w:r w:rsidRPr="007C4D65">
        <w:rPr>
          <w:rFonts w:asciiTheme="minorHAnsi" w:hAnsiTheme="minorHAnsi"/>
          <w:sz w:val="22"/>
          <w:szCs w:val="22"/>
        </w:rPr>
        <w:t>, and acoustic barriers have been installed along motorway A1, mostly at the so-called Sarajevo bypass. Acoustic barriers have also been installed along certain city roads in Sarajevo Canton (</w:t>
      </w:r>
      <w:proofErr w:type="gramStart"/>
      <w:r w:rsidRPr="007C4D65">
        <w:rPr>
          <w:rFonts w:asciiTheme="minorHAnsi" w:hAnsiTheme="minorHAnsi"/>
          <w:sz w:val="22"/>
          <w:szCs w:val="22"/>
        </w:rPr>
        <w:t>e.g.</w:t>
      </w:r>
      <w:proofErr w:type="gramEnd"/>
      <w:r w:rsidRPr="007C4D65">
        <w:rPr>
          <w:rFonts w:asciiTheme="minorHAnsi" w:hAnsiTheme="minorHAnsi"/>
          <w:sz w:val="22"/>
          <w:szCs w:val="22"/>
        </w:rPr>
        <w:t xml:space="preserve"> along the so-called A-transversal). Main roads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are managed by Public Company Roads </w:t>
      </w:r>
      <w:r w:rsidR="007436F1" w:rsidRPr="007C4D65">
        <w:rPr>
          <w:rFonts w:asciiTheme="minorHAnsi" w:hAnsiTheme="minorHAnsi"/>
          <w:sz w:val="22"/>
          <w:szCs w:val="22"/>
        </w:rPr>
        <w:t>of the Federation of BiH</w:t>
      </w:r>
      <w:r w:rsidRPr="007C4D65">
        <w:rPr>
          <w:rFonts w:asciiTheme="minorHAnsi" w:hAnsiTheme="minorHAnsi"/>
          <w:sz w:val="22"/>
          <w:szCs w:val="22"/>
        </w:rPr>
        <w:t>, and this company has the duty to collect and publish data on traffic, by sections.</w:t>
      </w:r>
    </w:p>
    <w:p w14:paraId="598CB81E" w14:textId="548CE10D" w:rsidR="00647018" w:rsidRPr="007C4D65" w:rsidRDefault="00647018" w:rsidP="00647018">
      <w:pPr>
        <w:spacing w:before="240" w:after="240" w:line="276" w:lineRule="auto"/>
        <w:jc w:val="both"/>
        <w:rPr>
          <w:rFonts w:asciiTheme="minorHAnsi" w:hAnsiTheme="minorHAnsi" w:cstheme="minorHAnsi"/>
          <w:color w:val="000000"/>
          <w:sz w:val="22"/>
          <w:szCs w:val="22"/>
        </w:rPr>
      </w:pPr>
      <w:r w:rsidRPr="007C4D65">
        <w:rPr>
          <w:rFonts w:asciiTheme="minorHAnsi" w:hAnsiTheme="minorHAnsi"/>
        </w:rPr>
        <w:t xml:space="preserve">According to the publication issued by Public Company “Roads </w:t>
      </w:r>
      <w:r w:rsidR="007436F1" w:rsidRPr="007C4D65">
        <w:rPr>
          <w:rFonts w:asciiTheme="minorHAnsi" w:hAnsiTheme="minorHAnsi"/>
        </w:rPr>
        <w:t>of the Federation of BiH</w:t>
      </w:r>
      <w:r w:rsidRPr="007C4D65">
        <w:rPr>
          <w:rFonts w:asciiTheme="minorHAnsi" w:hAnsiTheme="minorHAnsi"/>
        </w:rPr>
        <w:t xml:space="preserve">" </w:t>
      </w:r>
      <w:r w:rsidRPr="007C4D65">
        <w:rPr>
          <w:rFonts w:asciiTheme="minorHAnsi" w:hAnsiTheme="minorHAnsi" w:cstheme="minorHAnsi"/>
          <w:color w:val="000000"/>
          <w:sz w:val="22"/>
          <w:szCs w:val="22"/>
        </w:rPr>
        <w:fldChar w:fldCharType="begin"/>
      </w:r>
      <w:r w:rsidRPr="007C4D65">
        <w:rPr>
          <w:rFonts w:asciiTheme="minorHAnsi" w:hAnsiTheme="minorHAnsi" w:cstheme="minorHAnsi"/>
          <w:color w:val="000000"/>
          <w:sz w:val="22"/>
          <w:szCs w:val="22"/>
        </w:rPr>
        <w:instrText xml:space="preserve"> ADDIN ZOTERO_ITEM CSL_CITATION {"citationID":"RFD5ACrz","properties":{"formattedCitation":"(JP Ceste Federacije BIH 2021)","plainCitation":"(JP Ceste Federacije BIH 2021)","noteIndex":0},"citationItems":[{"id":1527,"uris":["http://zotero.org/users/7192877/items/3SJ2V2CL"],"itemData":{"id":1527,"type":"report","title":"Brojanje saobraćaja na magistralnim cestama Federacije BIH u 2019. god","author":[{"literal":"JP Ceste Federacije BIH"}],"issued":{"date-parts":[["2021"]]}}}],"schema":"https://github.com/citation-style-language/schema/raw/master/csl-citation.json"} </w:instrText>
      </w:r>
      <w:r w:rsidRPr="007C4D65">
        <w:rPr>
          <w:rFonts w:asciiTheme="minorHAnsi" w:hAnsiTheme="minorHAnsi" w:cstheme="minorHAnsi"/>
          <w:color w:val="000000"/>
          <w:sz w:val="22"/>
          <w:szCs w:val="22"/>
        </w:rPr>
        <w:fldChar w:fldCharType="separate"/>
      </w:r>
      <w:r w:rsidRPr="007C4D65">
        <w:rPr>
          <w:rFonts w:asciiTheme="minorHAnsi" w:hAnsiTheme="minorHAnsi" w:cstheme="minorHAnsi"/>
          <w:sz w:val="22"/>
        </w:rPr>
        <w:t>(JP Ceste Federacije BIH, 2021)</w:t>
      </w:r>
      <w:r w:rsidRPr="007C4D65">
        <w:rPr>
          <w:rFonts w:asciiTheme="minorHAnsi" w:hAnsiTheme="minorHAnsi" w:cstheme="minorHAnsi"/>
          <w:color w:val="000000"/>
          <w:sz w:val="22"/>
          <w:szCs w:val="22"/>
        </w:rPr>
        <w:fldChar w:fldCharType="end"/>
      </w:r>
      <w:r w:rsidRPr="007C4D65">
        <w:rPr>
          <w:rFonts w:asciiTheme="minorHAnsi" w:hAnsiTheme="minorHAnsi"/>
        </w:rPr>
        <w:t xml:space="preserve">, out of total number of 101 counting locations at the main roads </w:t>
      </w:r>
      <w:r w:rsidR="007436F1" w:rsidRPr="007C4D65">
        <w:rPr>
          <w:rFonts w:asciiTheme="minorHAnsi" w:hAnsiTheme="minorHAnsi"/>
        </w:rPr>
        <w:t>in the Federation of BiH</w:t>
      </w:r>
      <w:r w:rsidRPr="007C4D65">
        <w:rPr>
          <w:rFonts w:asciiTheme="minorHAnsi" w:hAnsiTheme="minorHAnsi"/>
        </w:rPr>
        <w:t xml:space="preserve"> in 2019, on 49.51% locations the average annual daily traffic (AADT) was under 6,000 vehicles / day, on 37.62% of locations the AADT ranged  between 6,000 and 15,000 vehicles/day, and on 12.87% there was over 15,000 vehicles / day.</w:t>
      </w:r>
      <w:r w:rsidRPr="007C4D65">
        <w:rPr>
          <w:rFonts w:asciiTheme="minorHAnsi" w:hAnsiTheme="minorHAnsi"/>
          <w:sz w:val="22"/>
          <w:szCs w:val="22"/>
        </w:rPr>
        <w:t xml:space="preserve"> In terms of motorways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the noise maps have been produced for all of them as a part of design documentation. Still, when developing strategic noise maps in BiH these data should be revised to take in consideration the current number of vehicles in use and other categories that are included in calculation of noise load. </w:t>
      </w:r>
      <w:r w:rsidRPr="007C4D65">
        <w:rPr>
          <w:rFonts w:asciiTheme="minorHAnsi" w:hAnsiTheme="minorHAnsi"/>
          <w:color w:val="000000"/>
          <w:sz w:val="22"/>
          <w:szCs w:val="22"/>
        </w:rPr>
        <w:t xml:space="preserve">Overview of traffic levels on the observed sections has identified road sections with AADT of over 10,000 vehicles a day, and those are:  </w:t>
      </w:r>
      <w:r w:rsidRPr="007C4D65">
        <w:rPr>
          <w:rFonts w:asciiTheme="minorHAnsi" w:hAnsiTheme="minorHAnsi"/>
          <w:sz w:val="22"/>
          <w:szCs w:val="22"/>
        </w:rPr>
        <w:t>M 1.8 (</w:t>
      </w:r>
      <w:proofErr w:type="spellStart"/>
      <w:r w:rsidRPr="007C4D65">
        <w:rPr>
          <w:rFonts w:asciiTheme="minorHAnsi" w:hAnsiTheme="minorHAnsi"/>
          <w:sz w:val="22"/>
          <w:szCs w:val="22"/>
        </w:rPr>
        <w:t>Srebrenik</w:t>
      </w:r>
      <w:proofErr w:type="spellEnd"/>
      <w:r w:rsidRPr="007C4D65">
        <w:rPr>
          <w:rFonts w:asciiTheme="minorHAnsi" w:hAnsiTheme="minorHAnsi"/>
          <w:sz w:val="22"/>
          <w:szCs w:val="22"/>
        </w:rPr>
        <w:t xml:space="preserve"> - </w:t>
      </w:r>
      <w:proofErr w:type="spellStart"/>
      <w:r w:rsidR="002D2640" w:rsidRPr="007C4D65">
        <w:rPr>
          <w:rFonts w:asciiTheme="minorHAnsi" w:hAnsiTheme="minorHAnsi"/>
          <w:sz w:val="22"/>
          <w:szCs w:val="22"/>
        </w:rPr>
        <w:t>Sicki</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Brod</w:t>
      </w:r>
      <w:proofErr w:type="spellEnd"/>
      <w:r w:rsidRPr="007C4D65">
        <w:rPr>
          <w:rFonts w:asciiTheme="minorHAnsi" w:hAnsiTheme="minorHAnsi"/>
          <w:sz w:val="22"/>
          <w:szCs w:val="22"/>
        </w:rPr>
        <w:t>), M 4 (</w:t>
      </w:r>
      <w:proofErr w:type="spellStart"/>
      <w:r w:rsidRPr="007C4D65">
        <w:rPr>
          <w:rFonts w:asciiTheme="minorHAnsi" w:hAnsiTheme="minorHAnsi"/>
          <w:sz w:val="22"/>
          <w:szCs w:val="22"/>
        </w:rPr>
        <w:t>Tesli</w:t>
      </w:r>
      <w:r w:rsidR="002D2640" w:rsidRPr="007C4D65">
        <w:rPr>
          <w:rFonts w:asciiTheme="minorHAnsi" w:hAnsiTheme="minorHAnsi"/>
          <w:sz w:val="22"/>
          <w:szCs w:val="22"/>
        </w:rPr>
        <w:t>c</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Bari</w:t>
      </w:r>
      <w:r w:rsidR="002D2640" w:rsidRPr="007C4D65">
        <w:rPr>
          <w:rFonts w:asciiTheme="minorHAnsi" w:hAnsiTheme="minorHAnsi"/>
          <w:sz w:val="22"/>
          <w:szCs w:val="22"/>
        </w:rPr>
        <w:t>c</w:t>
      </w:r>
      <w:r w:rsidRPr="007C4D65">
        <w:rPr>
          <w:rFonts w:asciiTheme="minorHAnsi" w:hAnsiTheme="minorHAnsi"/>
          <w:sz w:val="22"/>
          <w:szCs w:val="22"/>
        </w:rPr>
        <w:t>i</w:t>
      </w:r>
      <w:proofErr w:type="spellEnd"/>
      <w:r w:rsidRPr="007C4D65">
        <w:rPr>
          <w:rFonts w:asciiTheme="minorHAnsi" w:hAnsiTheme="minorHAnsi"/>
          <w:sz w:val="22"/>
          <w:szCs w:val="22"/>
        </w:rPr>
        <w:t xml:space="preserve">) - </w:t>
      </w:r>
      <w:proofErr w:type="spellStart"/>
      <w:r w:rsidRPr="007C4D65">
        <w:rPr>
          <w:rFonts w:asciiTheme="minorHAnsi" w:hAnsiTheme="minorHAnsi"/>
          <w:sz w:val="22"/>
          <w:szCs w:val="22"/>
        </w:rPr>
        <w:t>Karu</w:t>
      </w:r>
      <w:r w:rsidR="002D2640" w:rsidRPr="007C4D65">
        <w:rPr>
          <w:rFonts w:asciiTheme="minorHAnsi" w:hAnsiTheme="minorHAnsi"/>
          <w:sz w:val="22"/>
          <w:szCs w:val="22"/>
        </w:rPr>
        <w:t>s</w:t>
      </w:r>
      <w:r w:rsidRPr="007C4D65">
        <w:rPr>
          <w:rFonts w:asciiTheme="minorHAnsi" w:hAnsiTheme="minorHAnsi"/>
          <w:sz w:val="22"/>
          <w:szCs w:val="22"/>
        </w:rPr>
        <w:t>e</w:t>
      </w:r>
      <w:proofErr w:type="spellEnd"/>
      <w:r w:rsidRPr="007C4D65">
        <w:rPr>
          <w:rFonts w:asciiTheme="minorHAnsi" w:hAnsiTheme="minorHAnsi"/>
          <w:sz w:val="22"/>
          <w:szCs w:val="22"/>
        </w:rPr>
        <w:t xml:space="preserve">; Doboj - </w:t>
      </w:r>
      <w:proofErr w:type="spellStart"/>
      <w:r w:rsidRPr="007C4D65">
        <w:rPr>
          <w:rFonts w:asciiTheme="minorHAnsi" w:hAnsiTheme="minorHAnsi"/>
          <w:sz w:val="22"/>
          <w:szCs w:val="22"/>
        </w:rPr>
        <w:t>Donja</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Orahovica</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Donja</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Orahovica</w:t>
      </w:r>
      <w:proofErr w:type="spellEnd"/>
      <w:r w:rsidRPr="007C4D65">
        <w:rPr>
          <w:rFonts w:asciiTheme="minorHAnsi" w:hAnsiTheme="minorHAnsi"/>
          <w:sz w:val="22"/>
          <w:szCs w:val="22"/>
        </w:rPr>
        <w:t xml:space="preserve"> - </w:t>
      </w:r>
      <w:proofErr w:type="spellStart"/>
      <w:r w:rsidR="00A46B27" w:rsidRPr="007C4D65">
        <w:rPr>
          <w:rFonts w:asciiTheme="minorHAnsi" w:hAnsiTheme="minorHAnsi"/>
          <w:sz w:val="22"/>
          <w:szCs w:val="22"/>
        </w:rPr>
        <w:t>S</w:t>
      </w:r>
      <w:r w:rsidRPr="007C4D65">
        <w:rPr>
          <w:rFonts w:asciiTheme="minorHAnsi" w:hAnsiTheme="minorHAnsi"/>
          <w:sz w:val="22"/>
          <w:szCs w:val="22"/>
        </w:rPr>
        <w:t>i</w:t>
      </w:r>
      <w:r w:rsidR="006C5EE4" w:rsidRPr="007C4D65">
        <w:rPr>
          <w:rFonts w:asciiTheme="minorHAnsi" w:hAnsiTheme="minorHAnsi"/>
          <w:sz w:val="22"/>
          <w:szCs w:val="22"/>
        </w:rPr>
        <w:t>c</w:t>
      </w:r>
      <w:r w:rsidRPr="007C4D65">
        <w:rPr>
          <w:rFonts w:asciiTheme="minorHAnsi" w:hAnsiTheme="minorHAnsi"/>
          <w:sz w:val="22"/>
          <w:szCs w:val="22"/>
        </w:rPr>
        <w:t>ki</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Brod</w:t>
      </w:r>
      <w:proofErr w:type="spellEnd"/>
      <w:r w:rsidRPr="007C4D65">
        <w:rPr>
          <w:rFonts w:asciiTheme="minorHAnsi" w:hAnsiTheme="minorHAnsi"/>
          <w:sz w:val="22"/>
          <w:szCs w:val="22"/>
        </w:rPr>
        <w:t xml:space="preserve">; </w:t>
      </w:r>
      <w:proofErr w:type="spellStart"/>
      <w:r w:rsidR="00A46B27" w:rsidRPr="007C4D65">
        <w:rPr>
          <w:rFonts w:asciiTheme="minorHAnsi" w:hAnsiTheme="minorHAnsi"/>
          <w:sz w:val="22"/>
          <w:szCs w:val="22"/>
        </w:rPr>
        <w:t>S</w:t>
      </w:r>
      <w:r w:rsidRPr="007C4D65">
        <w:rPr>
          <w:rFonts w:asciiTheme="minorHAnsi" w:hAnsiTheme="minorHAnsi"/>
          <w:sz w:val="22"/>
          <w:szCs w:val="22"/>
        </w:rPr>
        <w:t>ićki</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Brod</w:t>
      </w:r>
      <w:proofErr w:type="spellEnd"/>
      <w:r w:rsidRPr="007C4D65">
        <w:rPr>
          <w:rFonts w:asciiTheme="minorHAnsi" w:hAnsiTheme="minorHAnsi"/>
          <w:sz w:val="22"/>
          <w:szCs w:val="22"/>
        </w:rPr>
        <w:t xml:space="preserve"> 1 - </w:t>
      </w:r>
      <w:proofErr w:type="spellStart"/>
      <w:r w:rsidRPr="007C4D65">
        <w:rPr>
          <w:rFonts w:asciiTheme="minorHAnsi" w:hAnsiTheme="minorHAnsi"/>
          <w:sz w:val="22"/>
          <w:szCs w:val="22"/>
        </w:rPr>
        <w:t>Simin</w:t>
      </w:r>
      <w:proofErr w:type="spellEnd"/>
      <w:r w:rsidRPr="007C4D65">
        <w:rPr>
          <w:rFonts w:asciiTheme="minorHAnsi" w:hAnsiTheme="minorHAnsi"/>
          <w:sz w:val="22"/>
          <w:szCs w:val="22"/>
        </w:rPr>
        <w:t xml:space="preserve"> Han 1; </w:t>
      </w:r>
      <w:proofErr w:type="spellStart"/>
      <w:r w:rsidRPr="007C4D65">
        <w:rPr>
          <w:rFonts w:asciiTheme="minorHAnsi" w:hAnsiTheme="minorHAnsi"/>
          <w:sz w:val="22"/>
          <w:szCs w:val="22"/>
        </w:rPr>
        <w:t>Simin</w:t>
      </w:r>
      <w:proofErr w:type="spellEnd"/>
      <w:r w:rsidRPr="007C4D65">
        <w:rPr>
          <w:rFonts w:asciiTheme="minorHAnsi" w:hAnsiTheme="minorHAnsi"/>
          <w:sz w:val="22"/>
          <w:szCs w:val="22"/>
        </w:rPr>
        <w:t xml:space="preserve"> Han 1 - </w:t>
      </w:r>
      <w:proofErr w:type="spellStart"/>
      <w:r w:rsidR="00A46B27" w:rsidRPr="007C4D65">
        <w:rPr>
          <w:rFonts w:asciiTheme="minorHAnsi" w:hAnsiTheme="minorHAnsi"/>
          <w:sz w:val="22"/>
          <w:szCs w:val="22"/>
        </w:rPr>
        <w:t>S</w:t>
      </w:r>
      <w:r w:rsidRPr="007C4D65">
        <w:rPr>
          <w:rFonts w:asciiTheme="minorHAnsi" w:hAnsiTheme="minorHAnsi"/>
          <w:sz w:val="22"/>
          <w:szCs w:val="22"/>
        </w:rPr>
        <w:t>ićki</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Brod</w:t>
      </w:r>
      <w:proofErr w:type="spellEnd"/>
      <w:r w:rsidRPr="007C4D65">
        <w:rPr>
          <w:rFonts w:asciiTheme="minorHAnsi" w:hAnsiTheme="minorHAnsi"/>
          <w:sz w:val="22"/>
          <w:szCs w:val="22"/>
        </w:rPr>
        <w:t xml:space="preserve"> 1 (V); </w:t>
      </w:r>
      <w:proofErr w:type="spellStart"/>
      <w:r w:rsidRPr="007C4D65">
        <w:rPr>
          <w:rFonts w:asciiTheme="minorHAnsi" w:hAnsiTheme="minorHAnsi"/>
          <w:sz w:val="22"/>
          <w:szCs w:val="22"/>
        </w:rPr>
        <w:t>Simin</w:t>
      </w:r>
      <w:proofErr w:type="spellEnd"/>
      <w:r w:rsidRPr="007C4D65">
        <w:rPr>
          <w:rFonts w:asciiTheme="minorHAnsi" w:hAnsiTheme="minorHAnsi"/>
          <w:sz w:val="22"/>
          <w:szCs w:val="22"/>
        </w:rPr>
        <w:t xml:space="preserve"> Han 1 - </w:t>
      </w:r>
      <w:proofErr w:type="spellStart"/>
      <w:r w:rsidRPr="007C4D65">
        <w:rPr>
          <w:rFonts w:asciiTheme="minorHAnsi" w:hAnsiTheme="minorHAnsi"/>
          <w:sz w:val="22"/>
          <w:szCs w:val="22"/>
        </w:rPr>
        <w:t>Donje</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Caparde</w:t>
      </w:r>
      <w:proofErr w:type="spellEnd"/>
      <w:r w:rsidRPr="007C4D65">
        <w:rPr>
          <w:rFonts w:asciiTheme="minorHAnsi" w:hAnsiTheme="minorHAnsi"/>
          <w:sz w:val="22"/>
          <w:szCs w:val="22"/>
        </w:rPr>
        <w:t>), M 5 Border BiH/CRO (</w:t>
      </w:r>
      <w:proofErr w:type="spellStart"/>
      <w:r w:rsidRPr="007C4D65">
        <w:rPr>
          <w:rFonts w:asciiTheme="minorHAnsi" w:hAnsiTheme="minorHAnsi"/>
          <w:sz w:val="22"/>
          <w:szCs w:val="22"/>
        </w:rPr>
        <w:t>Iza</w:t>
      </w:r>
      <w:r w:rsidR="002D2640" w:rsidRPr="007C4D65">
        <w:rPr>
          <w:rFonts w:asciiTheme="minorHAnsi" w:hAnsiTheme="minorHAnsi"/>
          <w:sz w:val="22"/>
          <w:szCs w:val="22"/>
        </w:rPr>
        <w:t>cic</w:t>
      </w:r>
      <w:proofErr w:type="spellEnd"/>
      <w:r w:rsidRPr="007C4D65">
        <w:rPr>
          <w:rFonts w:asciiTheme="minorHAnsi" w:hAnsiTheme="minorHAnsi"/>
          <w:sz w:val="22"/>
          <w:szCs w:val="22"/>
        </w:rPr>
        <w:t xml:space="preserve">) - </w:t>
      </w:r>
      <w:r w:rsidR="006C5EE4" w:rsidRPr="007C4D65">
        <w:rPr>
          <w:rFonts w:asciiTheme="minorHAnsi" w:hAnsiTheme="minorHAnsi"/>
          <w:sz w:val="22"/>
          <w:szCs w:val="22"/>
        </w:rPr>
        <w:t>Bihac</w:t>
      </w:r>
      <w:r w:rsidRPr="007C4D65">
        <w:rPr>
          <w:rFonts w:asciiTheme="minorHAnsi" w:hAnsiTheme="minorHAnsi"/>
          <w:sz w:val="22"/>
          <w:szCs w:val="22"/>
        </w:rPr>
        <w:t xml:space="preserve">; </w:t>
      </w:r>
      <w:proofErr w:type="spellStart"/>
      <w:r w:rsidRPr="007C4D65">
        <w:rPr>
          <w:rFonts w:asciiTheme="minorHAnsi" w:hAnsiTheme="minorHAnsi"/>
          <w:sz w:val="22"/>
          <w:szCs w:val="22"/>
        </w:rPr>
        <w:t>Turbe</w:t>
      </w:r>
      <w:proofErr w:type="spellEnd"/>
      <w:r w:rsidRPr="007C4D65">
        <w:rPr>
          <w:rFonts w:asciiTheme="minorHAnsi" w:hAnsiTheme="minorHAnsi"/>
          <w:sz w:val="22"/>
          <w:szCs w:val="22"/>
        </w:rPr>
        <w:t xml:space="preserve"> - </w:t>
      </w:r>
      <w:proofErr w:type="spellStart"/>
      <w:r w:rsidRPr="007C4D65">
        <w:rPr>
          <w:rFonts w:asciiTheme="minorHAnsi" w:hAnsiTheme="minorHAnsi"/>
          <w:sz w:val="22"/>
          <w:szCs w:val="22"/>
        </w:rPr>
        <w:t>Nevi</w:t>
      </w:r>
      <w:r w:rsidR="006C5EE4" w:rsidRPr="007C4D65">
        <w:rPr>
          <w:rFonts w:asciiTheme="minorHAnsi" w:hAnsiTheme="minorHAnsi"/>
          <w:sz w:val="22"/>
          <w:szCs w:val="22"/>
        </w:rPr>
        <w:t>c</w:t>
      </w:r>
      <w:proofErr w:type="spellEnd"/>
      <w:r w:rsidRPr="007C4D65">
        <w:rPr>
          <w:rFonts w:asciiTheme="minorHAnsi" w:hAnsiTheme="minorHAnsi"/>
          <w:sz w:val="22"/>
          <w:szCs w:val="22"/>
        </w:rPr>
        <w:t xml:space="preserve"> Polje; </w:t>
      </w:r>
      <w:proofErr w:type="spellStart"/>
      <w:r w:rsidRPr="007C4D65">
        <w:rPr>
          <w:rFonts w:asciiTheme="minorHAnsi" w:hAnsiTheme="minorHAnsi"/>
          <w:sz w:val="22"/>
          <w:szCs w:val="22"/>
        </w:rPr>
        <w:t>Azize</w:t>
      </w:r>
      <w:proofErr w:type="spellEnd"/>
      <w:r w:rsidRPr="007C4D65">
        <w:rPr>
          <w:rFonts w:asciiTheme="minorHAnsi" w:hAnsiTheme="minorHAnsi"/>
          <w:sz w:val="22"/>
          <w:szCs w:val="22"/>
        </w:rPr>
        <w:t xml:space="preserve"> </w:t>
      </w:r>
      <w:proofErr w:type="spellStart"/>
      <w:r w:rsidR="002D2640" w:rsidRPr="007C4D65">
        <w:rPr>
          <w:rFonts w:asciiTheme="minorHAnsi" w:hAnsiTheme="minorHAnsi"/>
          <w:sz w:val="22"/>
          <w:szCs w:val="22"/>
        </w:rPr>
        <w:t>Sac</w:t>
      </w:r>
      <w:r w:rsidRPr="007C4D65">
        <w:rPr>
          <w:rFonts w:asciiTheme="minorHAnsi" w:hAnsiTheme="minorHAnsi"/>
          <w:sz w:val="22"/>
          <w:szCs w:val="22"/>
        </w:rPr>
        <w:t>irbegovi</w:t>
      </w:r>
      <w:r w:rsidR="002D2640" w:rsidRPr="007C4D65">
        <w:rPr>
          <w:rFonts w:asciiTheme="minorHAnsi" w:hAnsiTheme="minorHAnsi"/>
          <w:sz w:val="22"/>
          <w:szCs w:val="22"/>
        </w:rPr>
        <w:t>c</w:t>
      </w:r>
      <w:proofErr w:type="spellEnd"/>
      <w:r w:rsidRPr="007C4D65">
        <w:rPr>
          <w:rFonts w:asciiTheme="minorHAnsi" w:hAnsiTheme="minorHAnsi"/>
          <w:sz w:val="22"/>
          <w:szCs w:val="22"/>
        </w:rPr>
        <w:t xml:space="preserve"> – </w:t>
      </w:r>
      <w:proofErr w:type="spellStart"/>
      <w:r w:rsidRPr="007C4D65">
        <w:rPr>
          <w:rFonts w:asciiTheme="minorHAnsi" w:hAnsiTheme="minorHAnsi"/>
          <w:sz w:val="22"/>
          <w:szCs w:val="22"/>
        </w:rPr>
        <w:t>Korija</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Nevi</w:t>
      </w:r>
      <w:r w:rsidR="002D2640" w:rsidRPr="007C4D65">
        <w:rPr>
          <w:rFonts w:asciiTheme="minorHAnsi" w:hAnsiTheme="minorHAnsi"/>
          <w:sz w:val="22"/>
          <w:szCs w:val="22"/>
        </w:rPr>
        <w:t>c</w:t>
      </w:r>
      <w:proofErr w:type="spellEnd"/>
      <w:r w:rsidRPr="007C4D65">
        <w:rPr>
          <w:rFonts w:asciiTheme="minorHAnsi" w:hAnsiTheme="minorHAnsi"/>
          <w:sz w:val="22"/>
          <w:szCs w:val="22"/>
        </w:rPr>
        <w:t xml:space="preserve"> Polje - </w:t>
      </w:r>
      <w:proofErr w:type="spellStart"/>
      <w:r w:rsidRPr="007C4D65">
        <w:rPr>
          <w:rFonts w:asciiTheme="minorHAnsi" w:hAnsiTheme="minorHAnsi"/>
          <w:sz w:val="22"/>
          <w:szCs w:val="22"/>
        </w:rPr>
        <w:t>Kaonik</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Gromiljak</w:t>
      </w:r>
      <w:proofErr w:type="spellEnd"/>
      <w:r w:rsidRPr="007C4D65">
        <w:rPr>
          <w:rFonts w:asciiTheme="minorHAnsi" w:hAnsiTheme="minorHAnsi"/>
          <w:sz w:val="22"/>
          <w:szCs w:val="22"/>
        </w:rPr>
        <w:t xml:space="preserve"> – </w:t>
      </w:r>
      <w:proofErr w:type="spellStart"/>
      <w:r w:rsidRPr="007C4D65">
        <w:rPr>
          <w:rFonts w:asciiTheme="minorHAnsi" w:hAnsiTheme="minorHAnsi"/>
          <w:sz w:val="22"/>
          <w:szCs w:val="22"/>
        </w:rPr>
        <w:t>Bla</w:t>
      </w:r>
      <w:r w:rsidR="002D2640" w:rsidRPr="007C4D65">
        <w:rPr>
          <w:rFonts w:asciiTheme="minorHAnsi" w:hAnsiTheme="minorHAnsi"/>
          <w:sz w:val="22"/>
          <w:szCs w:val="22"/>
        </w:rPr>
        <w:t>z</w:t>
      </w:r>
      <w:r w:rsidRPr="007C4D65">
        <w:rPr>
          <w:rFonts w:asciiTheme="minorHAnsi" w:hAnsiTheme="minorHAnsi"/>
          <w:sz w:val="22"/>
          <w:szCs w:val="22"/>
        </w:rPr>
        <w:t>uj</w:t>
      </w:r>
      <w:proofErr w:type="spellEnd"/>
      <w:r w:rsidRPr="007C4D65">
        <w:rPr>
          <w:rFonts w:asciiTheme="minorHAnsi" w:hAnsiTheme="minorHAnsi"/>
          <w:sz w:val="22"/>
          <w:szCs w:val="22"/>
        </w:rPr>
        <w:t>), M 6.1 (</w:t>
      </w:r>
      <w:proofErr w:type="spellStart"/>
      <w:r w:rsidRPr="007C4D65">
        <w:rPr>
          <w:rFonts w:asciiTheme="minorHAnsi" w:hAnsiTheme="minorHAnsi"/>
          <w:sz w:val="22"/>
          <w:szCs w:val="22"/>
        </w:rPr>
        <w:t>Gnojnice</w:t>
      </w:r>
      <w:proofErr w:type="spellEnd"/>
      <w:r w:rsidRPr="007C4D65">
        <w:rPr>
          <w:rFonts w:asciiTheme="minorHAnsi" w:hAnsiTheme="minorHAnsi"/>
          <w:sz w:val="22"/>
          <w:szCs w:val="22"/>
        </w:rPr>
        <w:t xml:space="preserve"> – </w:t>
      </w:r>
      <w:proofErr w:type="spellStart"/>
      <w:r w:rsidRPr="007C4D65">
        <w:rPr>
          <w:rFonts w:asciiTheme="minorHAnsi" w:hAnsiTheme="minorHAnsi"/>
          <w:sz w:val="22"/>
          <w:szCs w:val="22"/>
        </w:rPr>
        <w:t>Nevesinje</w:t>
      </w:r>
      <w:proofErr w:type="spellEnd"/>
      <w:r w:rsidRPr="007C4D65">
        <w:rPr>
          <w:rFonts w:asciiTheme="minorHAnsi" w:hAnsiTheme="minorHAnsi"/>
          <w:sz w:val="22"/>
          <w:szCs w:val="22"/>
        </w:rPr>
        <w:t xml:space="preserve">), M 16.4 (Bugojno - </w:t>
      </w:r>
      <w:proofErr w:type="spellStart"/>
      <w:r w:rsidRPr="007C4D65">
        <w:rPr>
          <w:rFonts w:asciiTheme="minorHAnsi" w:hAnsiTheme="minorHAnsi"/>
          <w:sz w:val="22"/>
          <w:szCs w:val="22"/>
        </w:rPr>
        <w:t>Nevi</w:t>
      </w:r>
      <w:r w:rsidR="002D2640" w:rsidRPr="007C4D65">
        <w:rPr>
          <w:rFonts w:asciiTheme="minorHAnsi" w:hAnsiTheme="minorHAnsi"/>
          <w:sz w:val="22"/>
          <w:szCs w:val="22"/>
        </w:rPr>
        <w:t>c</w:t>
      </w:r>
      <w:proofErr w:type="spellEnd"/>
      <w:r w:rsidRPr="007C4D65">
        <w:rPr>
          <w:rFonts w:asciiTheme="minorHAnsi" w:hAnsiTheme="minorHAnsi"/>
          <w:sz w:val="22"/>
          <w:szCs w:val="22"/>
        </w:rPr>
        <w:t xml:space="preserve"> Polje), M 17 (</w:t>
      </w:r>
      <w:proofErr w:type="spellStart"/>
      <w:r w:rsidRPr="007C4D65">
        <w:rPr>
          <w:rFonts w:asciiTheme="minorHAnsi" w:hAnsiTheme="minorHAnsi"/>
          <w:sz w:val="22"/>
          <w:szCs w:val="22"/>
        </w:rPr>
        <w:t>Ozimica</w:t>
      </w:r>
      <w:proofErr w:type="spellEnd"/>
      <w:r w:rsidRPr="007C4D65">
        <w:rPr>
          <w:rFonts w:asciiTheme="minorHAnsi" w:hAnsiTheme="minorHAnsi"/>
          <w:sz w:val="22"/>
          <w:szCs w:val="22"/>
        </w:rPr>
        <w:t xml:space="preserve"> – </w:t>
      </w:r>
      <w:proofErr w:type="spellStart"/>
      <w:r w:rsidRPr="007C4D65">
        <w:rPr>
          <w:rFonts w:asciiTheme="minorHAnsi" w:hAnsiTheme="minorHAnsi"/>
          <w:sz w:val="22"/>
          <w:szCs w:val="22"/>
        </w:rPr>
        <w:t>Nemila</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Stup</w:t>
      </w:r>
      <w:proofErr w:type="spellEnd"/>
      <w:r w:rsidRPr="007C4D65">
        <w:rPr>
          <w:rFonts w:asciiTheme="minorHAnsi" w:hAnsiTheme="minorHAnsi"/>
          <w:sz w:val="22"/>
          <w:szCs w:val="22"/>
        </w:rPr>
        <w:t xml:space="preserve"> 3 – </w:t>
      </w:r>
      <w:proofErr w:type="spellStart"/>
      <w:r w:rsidRPr="007C4D65">
        <w:rPr>
          <w:rFonts w:asciiTheme="minorHAnsi" w:hAnsiTheme="minorHAnsi"/>
          <w:sz w:val="22"/>
          <w:szCs w:val="22"/>
        </w:rPr>
        <w:t>Bla</w:t>
      </w:r>
      <w:r w:rsidR="006C5EE4" w:rsidRPr="007C4D65">
        <w:rPr>
          <w:rFonts w:asciiTheme="minorHAnsi" w:hAnsiTheme="minorHAnsi"/>
          <w:sz w:val="22"/>
          <w:szCs w:val="22"/>
        </w:rPr>
        <w:t>z</w:t>
      </w:r>
      <w:r w:rsidRPr="007C4D65">
        <w:rPr>
          <w:rFonts w:asciiTheme="minorHAnsi" w:hAnsiTheme="minorHAnsi"/>
          <w:sz w:val="22"/>
          <w:szCs w:val="22"/>
        </w:rPr>
        <w:t>uj</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Bla</w:t>
      </w:r>
      <w:r w:rsidR="002D2640" w:rsidRPr="007C4D65">
        <w:rPr>
          <w:rFonts w:asciiTheme="minorHAnsi" w:hAnsiTheme="minorHAnsi"/>
          <w:sz w:val="22"/>
          <w:szCs w:val="22"/>
        </w:rPr>
        <w:t>z</w:t>
      </w:r>
      <w:r w:rsidRPr="007C4D65">
        <w:rPr>
          <w:rFonts w:asciiTheme="minorHAnsi" w:hAnsiTheme="minorHAnsi"/>
          <w:sz w:val="22"/>
          <w:szCs w:val="22"/>
        </w:rPr>
        <w:t>uj</w:t>
      </w:r>
      <w:proofErr w:type="spellEnd"/>
      <w:r w:rsidRPr="007C4D65">
        <w:rPr>
          <w:rFonts w:asciiTheme="minorHAnsi" w:hAnsiTheme="minorHAnsi"/>
          <w:sz w:val="22"/>
          <w:szCs w:val="22"/>
        </w:rPr>
        <w:t xml:space="preserve"> – </w:t>
      </w:r>
      <w:proofErr w:type="spellStart"/>
      <w:r w:rsidRPr="007C4D65">
        <w:rPr>
          <w:rFonts w:asciiTheme="minorHAnsi" w:hAnsiTheme="minorHAnsi"/>
          <w:sz w:val="22"/>
          <w:szCs w:val="22"/>
        </w:rPr>
        <w:t>Tar</w:t>
      </w:r>
      <w:r w:rsidR="002D2640" w:rsidRPr="007C4D65">
        <w:rPr>
          <w:rFonts w:asciiTheme="minorHAnsi" w:hAnsiTheme="minorHAnsi"/>
          <w:sz w:val="22"/>
          <w:szCs w:val="22"/>
        </w:rPr>
        <w:t>c</w:t>
      </w:r>
      <w:r w:rsidRPr="007C4D65">
        <w:rPr>
          <w:rFonts w:asciiTheme="minorHAnsi" w:hAnsiTheme="minorHAnsi"/>
          <w:sz w:val="22"/>
          <w:szCs w:val="22"/>
        </w:rPr>
        <w:t>in</w:t>
      </w:r>
      <w:proofErr w:type="spellEnd"/>
      <w:r w:rsidRPr="007C4D65">
        <w:rPr>
          <w:rFonts w:asciiTheme="minorHAnsi" w:hAnsiTheme="minorHAnsi"/>
          <w:sz w:val="22"/>
          <w:szCs w:val="22"/>
        </w:rPr>
        <w:t xml:space="preserve">, Konjic – Jablanica 1; </w:t>
      </w:r>
      <w:proofErr w:type="spellStart"/>
      <w:r w:rsidRPr="007C4D65">
        <w:rPr>
          <w:rFonts w:asciiTheme="minorHAnsi" w:hAnsiTheme="minorHAnsi"/>
          <w:sz w:val="22"/>
          <w:szCs w:val="22"/>
        </w:rPr>
        <w:t>Potoci</w:t>
      </w:r>
      <w:proofErr w:type="spellEnd"/>
      <w:r w:rsidRPr="007C4D65">
        <w:rPr>
          <w:rFonts w:asciiTheme="minorHAnsi" w:hAnsiTheme="minorHAnsi"/>
          <w:sz w:val="22"/>
          <w:szCs w:val="22"/>
        </w:rPr>
        <w:t xml:space="preserve"> - Mostar (centre), </w:t>
      </w:r>
      <w:proofErr w:type="spellStart"/>
      <w:r w:rsidRPr="007C4D65">
        <w:rPr>
          <w:rFonts w:asciiTheme="minorHAnsi" w:hAnsiTheme="minorHAnsi"/>
          <w:sz w:val="22"/>
          <w:szCs w:val="22"/>
        </w:rPr>
        <w:t>Gnojnice</w:t>
      </w:r>
      <w:proofErr w:type="spellEnd"/>
      <w:r w:rsidRPr="007C4D65">
        <w:rPr>
          <w:rFonts w:asciiTheme="minorHAnsi" w:hAnsiTheme="minorHAnsi"/>
          <w:sz w:val="22"/>
          <w:szCs w:val="22"/>
        </w:rPr>
        <w:t xml:space="preserve"> - Buna), M 18 (</w:t>
      </w:r>
      <w:proofErr w:type="spellStart"/>
      <w:r w:rsidRPr="007C4D65">
        <w:rPr>
          <w:rFonts w:asciiTheme="minorHAnsi" w:hAnsiTheme="minorHAnsi"/>
          <w:sz w:val="22"/>
          <w:szCs w:val="22"/>
        </w:rPr>
        <w:t>Stup</w:t>
      </w:r>
      <w:proofErr w:type="spellEnd"/>
      <w:r w:rsidRPr="007C4D65">
        <w:rPr>
          <w:rFonts w:asciiTheme="minorHAnsi" w:hAnsiTheme="minorHAnsi"/>
          <w:sz w:val="22"/>
          <w:szCs w:val="22"/>
        </w:rPr>
        <w:t xml:space="preserve"> 1 - </w:t>
      </w:r>
      <w:proofErr w:type="spellStart"/>
      <w:r w:rsidRPr="007C4D65">
        <w:rPr>
          <w:rFonts w:asciiTheme="minorHAnsi" w:hAnsiTheme="minorHAnsi"/>
          <w:sz w:val="22"/>
          <w:szCs w:val="22"/>
        </w:rPr>
        <w:t>Trnovo</w:t>
      </w:r>
      <w:proofErr w:type="spellEnd"/>
      <w:r w:rsidRPr="007C4D65">
        <w:rPr>
          <w:rFonts w:asciiTheme="minorHAnsi" w:hAnsiTheme="minorHAnsi"/>
          <w:sz w:val="22"/>
          <w:szCs w:val="22"/>
        </w:rPr>
        <w:t xml:space="preserve"> 1, </w:t>
      </w:r>
      <w:proofErr w:type="spellStart"/>
      <w:r w:rsidRPr="007C4D65">
        <w:rPr>
          <w:rFonts w:asciiTheme="minorHAnsi" w:hAnsiTheme="minorHAnsi"/>
          <w:sz w:val="22"/>
          <w:szCs w:val="22"/>
        </w:rPr>
        <w:t>Semizovac</w:t>
      </w:r>
      <w:proofErr w:type="spellEnd"/>
      <w:r w:rsidRPr="007C4D65">
        <w:rPr>
          <w:rFonts w:asciiTheme="minorHAnsi" w:hAnsiTheme="minorHAnsi"/>
          <w:sz w:val="22"/>
          <w:szCs w:val="22"/>
        </w:rPr>
        <w:t xml:space="preserve"> - Sarajevo (Malta), </w:t>
      </w:r>
      <w:proofErr w:type="spellStart"/>
      <w:r w:rsidR="002D2640" w:rsidRPr="007C4D65">
        <w:rPr>
          <w:rFonts w:asciiTheme="minorHAnsi" w:hAnsiTheme="minorHAnsi"/>
          <w:sz w:val="22"/>
          <w:szCs w:val="22"/>
        </w:rPr>
        <w:t>Sicki</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Brod</w:t>
      </w:r>
      <w:proofErr w:type="spellEnd"/>
      <w:r w:rsidRPr="007C4D65">
        <w:rPr>
          <w:rFonts w:asciiTheme="minorHAnsi" w:hAnsiTheme="minorHAnsi"/>
          <w:sz w:val="22"/>
          <w:szCs w:val="22"/>
        </w:rPr>
        <w:t xml:space="preserve"> 3 - </w:t>
      </w:r>
      <w:proofErr w:type="spellStart"/>
      <w:r w:rsidR="00FD7932" w:rsidRPr="007C4D65">
        <w:rPr>
          <w:rFonts w:asciiTheme="minorHAnsi" w:hAnsiTheme="minorHAnsi"/>
          <w:sz w:val="22"/>
          <w:szCs w:val="22"/>
        </w:rPr>
        <w:t>Zivinice</w:t>
      </w:r>
      <w:proofErr w:type="spellEnd"/>
      <w:r w:rsidRPr="007C4D65">
        <w:rPr>
          <w:rFonts w:asciiTheme="minorHAnsi" w:hAnsiTheme="minorHAnsi"/>
          <w:sz w:val="22"/>
          <w:szCs w:val="22"/>
        </w:rPr>
        <w:t xml:space="preserve"> 1, </w:t>
      </w:r>
      <w:proofErr w:type="spellStart"/>
      <w:r w:rsidR="00FD7932" w:rsidRPr="007C4D65">
        <w:rPr>
          <w:rFonts w:asciiTheme="minorHAnsi" w:hAnsiTheme="minorHAnsi"/>
          <w:sz w:val="22"/>
          <w:szCs w:val="22"/>
        </w:rPr>
        <w:t>Zivinice</w:t>
      </w:r>
      <w:proofErr w:type="spellEnd"/>
      <w:r w:rsidRPr="007C4D65">
        <w:rPr>
          <w:rFonts w:asciiTheme="minorHAnsi" w:hAnsiTheme="minorHAnsi"/>
          <w:sz w:val="22"/>
          <w:szCs w:val="22"/>
        </w:rPr>
        <w:t xml:space="preserve"> 1 - </w:t>
      </w:r>
      <w:proofErr w:type="spellStart"/>
      <w:r w:rsidRPr="007C4D65">
        <w:rPr>
          <w:rFonts w:asciiTheme="minorHAnsi" w:hAnsiTheme="minorHAnsi"/>
          <w:sz w:val="22"/>
          <w:szCs w:val="22"/>
        </w:rPr>
        <w:t>Vitalj</w:t>
      </w:r>
      <w:proofErr w:type="spellEnd"/>
      <w:r w:rsidRPr="007C4D65">
        <w:rPr>
          <w:rFonts w:asciiTheme="minorHAnsi" w:hAnsiTheme="minorHAnsi"/>
          <w:sz w:val="22"/>
          <w:szCs w:val="22"/>
        </w:rPr>
        <w:t>).</w:t>
      </w:r>
      <w:r w:rsidRPr="007C4D65">
        <w:rPr>
          <w:rFonts w:asciiTheme="minorHAnsi" w:hAnsiTheme="minorHAnsi"/>
          <w:color w:val="000000"/>
          <w:sz w:val="22"/>
          <w:szCs w:val="22"/>
        </w:rPr>
        <w:t xml:space="preserve"> </w:t>
      </w:r>
      <w:r w:rsidRPr="007C4D65">
        <w:rPr>
          <w:rFonts w:asciiTheme="minorHAnsi" w:hAnsiTheme="minorHAnsi"/>
          <w:sz w:val="22"/>
          <w:szCs w:val="22"/>
        </w:rPr>
        <w:t xml:space="preserve">Figure </w:t>
      </w:r>
      <w:proofErr w:type="gramStart"/>
      <w:r w:rsidRPr="007C4D65">
        <w:rPr>
          <w:rFonts w:asciiTheme="minorHAnsi" w:hAnsiTheme="minorHAnsi"/>
          <w:sz w:val="22"/>
          <w:szCs w:val="22"/>
        </w:rPr>
        <w:t>12  shows</w:t>
      </w:r>
      <w:proofErr w:type="gramEnd"/>
      <w:r w:rsidRPr="007C4D65">
        <w:rPr>
          <w:rFonts w:asciiTheme="minorHAnsi" w:hAnsiTheme="minorHAnsi"/>
          <w:sz w:val="22"/>
          <w:szCs w:val="22"/>
        </w:rPr>
        <w:t xml:space="preserve"> the traffic map on the main roads of FBiH.</w:t>
      </w:r>
      <w:r w:rsidRPr="007C4D65">
        <w:rPr>
          <w:rFonts w:asciiTheme="minorHAnsi" w:hAnsiTheme="minorHAnsi"/>
          <w:color w:val="000000"/>
          <w:sz w:val="22"/>
          <w:szCs w:val="22"/>
        </w:rPr>
        <w:t xml:space="preserve"> </w:t>
      </w:r>
      <w:r w:rsidRPr="007C4D65">
        <w:rPr>
          <w:rFonts w:asciiTheme="minorHAnsi" w:hAnsiTheme="minorHAnsi"/>
          <w:sz w:val="22"/>
          <w:szCs w:val="22"/>
        </w:rPr>
        <w:t xml:space="preserve">All the sections with more than 8,220 vehicles per day (3 million a year) need to be taken into consideration when developing noise maps for main roads </w:t>
      </w:r>
      <w:r w:rsidR="007436F1" w:rsidRPr="007C4D65">
        <w:rPr>
          <w:rFonts w:asciiTheme="minorHAnsi" w:hAnsiTheme="minorHAnsi"/>
          <w:sz w:val="22"/>
          <w:szCs w:val="22"/>
        </w:rPr>
        <w:t>in the Federation of BiH</w:t>
      </w:r>
      <w:r w:rsidRPr="007C4D65">
        <w:rPr>
          <w:rFonts w:asciiTheme="minorHAnsi" w:hAnsiTheme="minorHAnsi"/>
          <w:sz w:val="22"/>
          <w:szCs w:val="22"/>
        </w:rPr>
        <w:t>.</w:t>
      </w:r>
    </w:p>
    <w:p w14:paraId="06804127" w14:textId="5EC41E66" w:rsidR="00647018" w:rsidRPr="007C4D65" w:rsidRDefault="00263549" w:rsidP="00647018">
      <w:pPr>
        <w:spacing w:before="120" w:after="120" w:line="276" w:lineRule="auto"/>
        <w:jc w:val="center"/>
        <w:rPr>
          <w:rFonts w:asciiTheme="minorHAnsi" w:hAnsiTheme="minorHAnsi" w:cstheme="minorHAnsi"/>
          <w:color w:val="000000"/>
        </w:rPr>
      </w:pPr>
      <w:r>
        <w:rPr>
          <w:rFonts w:asciiTheme="minorHAnsi" w:hAnsiTheme="minorHAnsi"/>
          <w:noProof/>
          <w:color w:val="000000"/>
        </w:rPr>
        <w:lastRenderedPageBreak/>
        <w:drawing>
          <wp:inline distT="0" distB="0" distL="0" distR="0" wp14:anchorId="7038E5ED" wp14:editId="67AFCFCF">
            <wp:extent cx="4442460" cy="5196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2460" cy="5196840"/>
                    </a:xfrm>
                    <a:prstGeom prst="rect">
                      <a:avLst/>
                    </a:prstGeom>
                    <a:noFill/>
                    <a:ln>
                      <a:noFill/>
                    </a:ln>
                  </pic:spPr>
                </pic:pic>
              </a:graphicData>
            </a:graphic>
          </wp:inline>
        </w:drawing>
      </w:r>
    </w:p>
    <w:p w14:paraId="01501804" w14:textId="72293D50" w:rsidR="00647018" w:rsidRPr="007C4D65" w:rsidRDefault="00647018" w:rsidP="00647018">
      <w:pPr>
        <w:pStyle w:val="Caption"/>
        <w:keepNext/>
        <w:spacing w:line="276" w:lineRule="auto"/>
        <w:jc w:val="center"/>
        <w:rPr>
          <w:rFonts w:asciiTheme="minorHAnsi" w:hAnsiTheme="minorHAnsi" w:cstheme="minorHAnsi"/>
        </w:rPr>
      </w:pPr>
      <w:bookmarkStart w:id="154" w:name="FBIH_hem_Sl2"/>
      <w:bookmarkStart w:id="155" w:name="_Toc109842469"/>
      <w:bookmarkStart w:id="156" w:name="_Toc117445054"/>
      <w:r w:rsidRPr="007C4D65">
        <w:rPr>
          <w:rFonts w:asciiTheme="minorHAnsi" w:hAnsiTheme="minorHAnsi"/>
        </w:rPr>
        <w:t>Figure</w:t>
      </w:r>
      <w:r w:rsidR="00B6017F" w:rsidRPr="007C4D65">
        <w:rPr>
          <w:rFonts w:asciiTheme="minorHAnsi" w:hAnsiTheme="minorHAnsi"/>
        </w:rPr>
        <w:t xml:space="preserve"> </w:t>
      </w:r>
      <w:r w:rsidR="005D60DA" w:rsidRPr="007C4D65">
        <w:rPr>
          <w:rFonts w:asciiTheme="minorHAnsi" w:hAnsiTheme="minorHAnsi" w:cstheme="minorHAnsi"/>
          <w:b w:val="0"/>
          <w:bCs/>
          <w:i w:val="0"/>
          <w:iCs w:val="0"/>
          <w:szCs w:val="20"/>
          <w:lang w:val="hr-HR"/>
        </w:rPr>
        <w:fldChar w:fldCharType="begin"/>
      </w:r>
      <w:r w:rsidR="005D60DA" w:rsidRPr="007C4D65">
        <w:rPr>
          <w:rFonts w:asciiTheme="minorHAnsi" w:hAnsiTheme="minorHAnsi" w:cstheme="minorHAnsi"/>
          <w:bCs/>
          <w:szCs w:val="20"/>
          <w:lang w:val="hr-HR"/>
        </w:rPr>
        <w:instrText xml:space="preserve"> SEQ Slika \* ARABIC </w:instrText>
      </w:r>
      <w:r w:rsidR="005D60DA" w:rsidRPr="007C4D65">
        <w:rPr>
          <w:rFonts w:asciiTheme="minorHAnsi" w:hAnsiTheme="minorHAnsi" w:cstheme="minorHAnsi"/>
          <w:b w:val="0"/>
          <w:bCs/>
          <w:i w:val="0"/>
          <w:iCs w:val="0"/>
          <w:szCs w:val="20"/>
          <w:lang w:val="hr-HR"/>
        </w:rPr>
        <w:fldChar w:fldCharType="separate"/>
      </w:r>
      <w:r w:rsidR="005D60DA" w:rsidRPr="007C4D65">
        <w:rPr>
          <w:rFonts w:asciiTheme="minorHAnsi" w:hAnsiTheme="minorHAnsi" w:cstheme="minorHAnsi"/>
          <w:bCs/>
          <w:noProof/>
          <w:szCs w:val="20"/>
          <w:lang w:val="hr-HR"/>
        </w:rPr>
        <w:t>12</w:t>
      </w:r>
      <w:r w:rsidR="005D60DA" w:rsidRPr="007C4D65">
        <w:rPr>
          <w:rFonts w:asciiTheme="minorHAnsi" w:hAnsiTheme="minorHAnsi" w:cstheme="minorHAnsi"/>
          <w:b w:val="0"/>
          <w:bCs/>
          <w:i w:val="0"/>
          <w:iCs w:val="0"/>
          <w:szCs w:val="20"/>
          <w:lang w:val="hr-HR"/>
        </w:rPr>
        <w:fldChar w:fldCharType="end"/>
      </w:r>
      <w:r w:rsidRPr="007C4D65">
        <w:rPr>
          <w:rFonts w:asciiTheme="minorHAnsi" w:hAnsiTheme="minorHAnsi"/>
        </w:rPr>
        <w:t xml:space="preserve">: </w:t>
      </w:r>
      <w:bookmarkEnd w:id="154"/>
      <w:r w:rsidRPr="007C4D65">
        <w:rPr>
          <w:rFonts w:asciiTheme="minorHAnsi" w:hAnsiTheme="minorHAnsi"/>
          <w:b w:val="0"/>
        </w:rPr>
        <w:t xml:space="preserve">Map of traffic intensity on main roads </w:t>
      </w:r>
      <w:r w:rsidR="007436F1" w:rsidRPr="007C4D65">
        <w:rPr>
          <w:rFonts w:asciiTheme="minorHAnsi" w:hAnsiTheme="minorHAnsi"/>
          <w:b w:val="0"/>
        </w:rPr>
        <w:t xml:space="preserve">in the </w:t>
      </w:r>
      <w:r w:rsidR="00A66041" w:rsidRPr="007C4D65">
        <w:rPr>
          <w:rFonts w:asciiTheme="minorHAnsi" w:hAnsiTheme="minorHAnsi"/>
          <w:b w:val="0"/>
        </w:rPr>
        <w:t>F</w:t>
      </w:r>
      <w:r w:rsidR="007436F1" w:rsidRPr="007C4D65">
        <w:rPr>
          <w:rFonts w:asciiTheme="minorHAnsi" w:hAnsiTheme="minorHAnsi"/>
          <w:b w:val="0"/>
        </w:rPr>
        <w:t>BiH</w:t>
      </w:r>
      <w:r w:rsidRPr="007C4D65">
        <w:rPr>
          <w:rFonts w:asciiTheme="minorHAnsi" w:hAnsiTheme="minorHAnsi"/>
          <w:b w:val="0"/>
        </w:rPr>
        <w:t xml:space="preserve"> for 2019</w:t>
      </w:r>
      <w:bookmarkEnd w:id="155"/>
      <w:bookmarkEnd w:id="156"/>
    </w:p>
    <w:p w14:paraId="78B5F052" w14:textId="28C52383" w:rsidR="00647018" w:rsidRPr="007C4D65" w:rsidRDefault="00647018" w:rsidP="00647018">
      <w:pPr>
        <w:pStyle w:val="Caption"/>
        <w:spacing w:line="276" w:lineRule="auto"/>
        <w:jc w:val="center"/>
        <w:rPr>
          <w:rFonts w:asciiTheme="minorHAnsi" w:hAnsiTheme="minorHAnsi" w:cstheme="minorHAnsi"/>
          <w:b w:val="0"/>
          <w:color w:val="000000"/>
        </w:rPr>
      </w:pPr>
      <w:r w:rsidRPr="007C4D65">
        <w:rPr>
          <w:rFonts w:asciiTheme="minorHAnsi" w:hAnsiTheme="minorHAnsi"/>
          <w:b w:val="0"/>
        </w:rPr>
        <w:t xml:space="preserve">Source: (PC “Roads </w:t>
      </w:r>
      <w:r w:rsidR="007436F1" w:rsidRPr="007C4D65">
        <w:rPr>
          <w:rFonts w:asciiTheme="minorHAnsi" w:hAnsiTheme="minorHAnsi"/>
          <w:b w:val="0"/>
        </w:rPr>
        <w:t xml:space="preserve">of the Federation of </w:t>
      </w:r>
      <w:proofErr w:type="gramStart"/>
      <w:r w:rsidR="007436F1" w:rsidRPr="007C4D65">
        <w:rPr>
          <w:rFonts w:asciiTheme="minorHAnsi" w:hAnsiTheme="minorHAnsi"/>
          <w:b w:val="0"/>
        </w:rPr>
        <w:t>BiH</w:t>
      </w:r>
      <w:r w:rsidRPr="007C4D65">
        <w:rPr>
          <w:rFonts w:asciiTheme="minorHAnsi" w:hAnsiTheme="minorHAnsi"/>
          <w:b w:val="0"/>
        </w:rPr>
        <w:t>“</w:t>
      </w:r>
      <w:proofErr w:type="gramEnd"/>
      <w:r w:rsidRPr="007C4D65">
        <w:rPr>
          <w:rFonts w:asciiTheme="minorHAnsi" w:hAnsiTheme="minorHAnsi"/>
          <w:b w:val="0"/>
        </w:rPr>
        <w:t xml:space="preserve">, count of vehicles on main roads </w:t>
      </w:r>
      <w:r w:rsidR="007436F1" w:rsidRPr="007C4D65">
        <w:rPr>
          <w:rFonts w:asciiTheme="minorHAnsi" w:hAnsiTheme="minorHAnsi"/>
          <w:b w:val="0"/>
        </w:rPr>
        <w:t>in the Federation of BiH</w:t>
      </w:r>
      <w:r w:rsidRPr="007C4D65">
        <w:rPr>
          <w:rFonts w:asciiTheme="minorHAnsi" w:hAnsiTheme="minorHAnsi"/>
          <w:b w:val="0"/>
        </w:rPr>
        <w:t xml:space="preserve"> in 2019 and 2021)</w:t>
      </w:r>
    </w:p>
    <w:p w14:paraId="76D173B2" w14:textId="69A8DB43"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 xml:space="preserve">Railways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are managed by Public Company Railways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and this company has the duty to collect and publish data on annual rail traffic. According to available data from recently completed studies, daily number of train passages by sections of railway tracks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is, on the average, around 5,000, and there are no sections where this number reaches three million passages per year.</w:t>
      </w:r>
    </w:p>
    <w:p w14:paraId="5C506D6C" w14:textId="0DF08098" w:rsidR="00647018" w:rsidRPr="007C4D65" w:rsidRDefault="00647018" w:rsidP="00647018">
      <w:pPr>
        <w:spacing w:before="240" w:after="240" w:line="276" w:lineRule="auto"/>
        <w:jc w:val="both"/>
        <w:rPr>
          <w:rFonts w:asciiTheme="minorHAnsi" w:hAnsiTheme="minorHAnsi" w:cstheme="minorHAnsi"/>
          <w:color w:val="000000"/>
          <w:sz w:val="22"/>
          <w:szCs w:val="22"/>
        </w:rPr>
      </w:pPr>
      <w:r w:rsidRPr="007C4D65">
        <w:rPr>
          <w:rFonts w:asciiTheme="minorHAnsi" w:hAnsiTheme="minorHAnsi"/>
          <w:color w:val="000000"/>
          <w:sz w:val="22"/>
          <w:szCs w:val="22"/>
        </w:rPr>
        <w:t xml:space="preserve">European countries prepare the noise maps every five years, and the next rounds of maps development are scheduled for 2027 and 2032. Nose protection action plans are scheduled to be developed two years after the development of noise maps. </w:t>
      </w:r>
      <w:r w:rsidRPr="007C4D65">
        <w:rPr>
          <w:rFonts w:asciiTheme="minorHAnsi" w:hAnsiTheme="minorHAnsi"/>
          <w:sz w:val="22"/>
          <w:szCs w:val="22"/>
        </w:rPr>
        <w:t xml:space="preserve">For the purposes of harmonisation with the activities implemented by EU countries with respect to noise, the </w:t>
      </w:r>
      <w:r w:rsidR="0058588C" w:rsidRPr="007C4D65">
        <w:rPr>
          <w:rFonts w:asciiTheme="minorHAnsi" w:hAnsiTheme="minorHAnsi"/>
          <w:sz w:val="22"/>
          <w:szCs w:val="22"/>
        </w:rPr>
        <w:t>Federation of BiH</w:t>
      </w:r>
      <w:r w:rsidRPr="007C4D65">
        <w:rPr>
          <w:rFonts w:asciiTheme="minorHAnsi" w:hAnsiTheme="minorHAnsi"/>
          <w:sz w:val="22"/>
          <w:szCs w:val="22"/>
        </w:rPr>
        <w:t xml:space="preserve"> should align its legislation and strengthen capacities for strategic planning for environmental noise by 2027, what falls within the ESAP 2030+ planning period.</w:t>
      </w:r>
    </w:p>
    <w:p w14:paraId="1482A885" w14:textId="5E82063B" w:rsidR="00647018" w:rsidRPr="007C4D65" w:rsidRDefault="00647018" w:rsidP="00647018">
      <w:pPr>
        <w:spacing w:before="240" w:after="240" w:line="276" w:lineRule="auto"/>
        <w:jc w:val="both"/>
        <w:rPr>
          <w:rFonts w:asciiTheme="minorHAnsi" w:hAnsiTheme="minorHAnsi" w:cstheme="minorHAnsi"/>
          <w:color w:val="000000"/>
          <w:sz w:val="22"/>
          <w:szCs w:val="22"/>
        </w:rPr>
      </w:pPr>
      <w:r w:rsidRPr="007C4D65">
        <w:rPr>
          <w:rFonts w:asciiTheme="minorHAnsi" w:hAnsiTheme="minorHAnsi"/>
          <w:sz w:val="22"/>
          <w:szCs w:val="22"/>
        </w:rPr>
        <w:lastRenderedPageBreak/>
        <w:t xml:space="preserve">At present, no formal act has designated bodies competent for implementation of the Directive, including the bodies responsible for development, and approval, when needed, of the noise maps and action plans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as required under Article 4 </w:t>
      </w:r>
      <w:r w:rsidRPr="007C4D65">
        <w:rPr>
          <w:rFonts w:asciiTheme="minorHAnsi" w:hAnsiTheme="minorHAnsi"/>
        </w:rPr>
        <w:t>of Directive 2002/49/EC.</w:t>
      </w:r>
      <w:r w:rsidRPr="007C4D65">
        <w:rPr>
          <w:rFonts w:asciiTheme="minorHAnsi" w:hAnsiTheme="minorHAnsi"/>
          <w:color w:val="000000"/>
          <w:sz w:val="22"/>
          <w:szCs w:val="22"/>
        </w:rPr>
        <w:t xml:space="preserve"> </w:t>
      </w:r>
    </w:p>
    <w:p w14:paraId="7387B973" w14:textId="3D35FC6C" w:rsidR="00647018" w:rsidRPr="007C4D65" w:rsidRDefault="00647018" w:rsidP="00647018">
      <w:pPr>
        <w:spacing w:before="240" w:after="240" w:line="276" w:lineRule="auto"/>
        <w:jc w:val="both"/>
        <w:rPr>
          <w:rFonts w:asciiTheme="minorHAnsi" w:hAnsiTheme="minorHAnsi" w:cstheme="minorHAnsi"/>
          <w:color w:val="000000"/>
          <w:sz w:val="22"/>
          <w:szCs w:val="22"/>
        </w:rPr>
      </w:pPr>
      <w:r w:rsidRPr="007C4D65">
        <w:rPr>
          <w:rFonts w:asciiTheme="minorHAnsi" w:hAnsiTheme="minorHAnsi"/>
          <w:color w:val="000000"/>
          <w:sz w:val="22"/>
          <w:szCs w:val="22"/>
        </w:rPr>
        <w:t xml:space="preserve">There are companies in BiH that possess equipment and knowledge to do this kind of work, but there are no legislative or institutional prerequisites for it. </w:t>
      </w:r>
      <w:r w:rsidRPr="007C4D65">
        <w:rPr>
          <w:rFonts w:asciiTheme="minorHAnsi" w:hAnsiTheme="minorHAnsi"/>
          <w:sz w:val="22"/>
          <w:szCs w:val="22"/>
        </w:rPr>
        <w:t>The current Law on Protection Against Noise (</w:t>
      </w:r>
      <w:r w:rsidR="00F95E23" w:rsidRPr="007C4D65">
        <w:rPr>
          <w:rFonts w:asciiTheme="minorHAnsi" w:hAnsiTheme="minorHAnsi"/>
          <w:sz w:val="22"/>
          <w:szCs w:val="22"/>
        </w:rPr>
        <w:t>“</w:t>
      </w:r>
      <w:r w:rsidRPr="007C4D65">
        <w:rPr>
          <w:rFonts w:asciiTheme="minorHAnsi" w:hAnsiTheme="minorHAnsi"/>
          <w:sz w:val="22"/>
          <w:szCs w:val="22"/>
        </w:rPr>
        <w:t xml:space="preserve">Official Gazette of </w:t>
      </w:r>
      <w:r w:rsidR="00F95E23" w:rsidRPr="007C4D65">
        <w:rPr>
          <w:rFonts w:asciiTheme="minorHAnsi" w:hAnsiTheme="minorHAnsi"/>
          <w:sz w:val="22"/>
          <w:szCs w:val="22"/>
        </w:rPr>
        <w:t xml:space="preserve">the Federation of BiH”, </w:t>
      </w:r>
      <w:r w:rsidRPr="007C4D65">
        <w:rPr>
          <w:rFonts w:asciiTheme="minorHAnsi" w:hAnsiTheme="minorHAnsi"/>
          <w:sz w:val="22"/>
          <w:szCs w:val="22"/>
        </w:rPr>
        <w:t>110/12) does not clearly define the competences, and neither do the bylaws.</w:t>
      </w:r>
    </w:p>
    <w:p w14:paraId="38E26764" w14:textId="5B217FCB"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 xml:space="preserve">There is no systematic noise monitoring for the purpose of updating strategic maps and action plans for noise. </w:t>
      </w:r>
      <w:r w:rsidR="0058588C" w:rsidRPr="007C4D65">
        <w:rPr>
          <w:rFonts w:asciiTheme="minorHAnsi" w:hAnsiTheme="minorHAnsi"/>
          <w:sz w:val="22"/>
          <w:szCs w:val="22"/>
        </w:rPr>
        <w:t>Federation of BiH</w:t>
      </w:r>
      <w:r w:rsidRPr="007C4D65">
        <w:rPr>
          <w:rFonts w:asciiTheme="minorHAnsi" w:hAnsiTheme="minorHAnsi"/>
          <w:sz w:val="22"/>
          <w:szCs w:val="22"/>
        </w:rPr>
        <w:t xml:space="preserve"> does not have information on the exposure to noise by classes of noise, by age and gender groups. There is no system in place to inform </w:t>
      </w:r>
      <w:proofErr w:type="gramStart"/>
      <w:r w:rsidRPr="007C4D65">
        <w:rPr>
          <w:rFonts w:asciiTheme="minorHAnsi" w:hAnsiTheme="minorHAnsi"/>
          <w:sz w:val="22"/>
          <w:szCs w:val="22"/>
        </w:rPr>
        <w:t>general public</w:t>
      </w:r>
      <w:proofErr w:type="gramEnd"/>
      <w:r w:rsidRPr="007C4D65">
        <w:rPr>
          <w:rFonts w:asciiTheme="minorHAnsi" w:hAnsiTheme="minorHAnsi"/>
          <w:sz w:val="22"/>
          <w:szCs w:val="22"/>
        </w:rPr>
        <w:t xml:space="preserve"> on the impact and level of their exposure to environmental noise in the areas with increased levels of noise. There are no mechanisms in place to inform the </w:t>
      </w:r>
      <w:proofErr w:type="gramStart"/>
      <w:r w:rsidRPr="007C4D65">
        <w:rPr>
          <w:rFonts w:asciiTheme="minorHAnsi" w:hAnsiTheme="minorHAnsi"/>
          <w:sz w:val="22"/>
          <w:szCs w:val="22"/>
        </w:rPr>
        <w:t>general public</w:t>
      </w:r>
      <w:proofErr w:type="gramEnd"/>
      <w:r w:rsidRPr="007C4D65">
        <w:rPr>
          <w:rFonts w:asciiTheme="minorHAnsi" w:hAnsiTheme="minorHAnsi"/>
          <w:sz w:val="22"/>
          <w:szCs w:val="22"/>
        </w:rPr>
        <w:t xml:space="preserve"> on the levels and harmful effects of the environmental noise, except for the documentation related to issuing environmental permits to the commercial entities and impact studies that are in required the process of their issuance. Software solutions that would enable development of strategic noise maps and their simple presentation to public are lacking.</w:t>
      </w:r>
    </w:p>
    <w:p w14:paraId="60A52F7B" w14:textId="2F30704E"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 xml:space="preserve">As no strategic noise maps have been developed so far, </w:t>
      </w:r>
      <w:proofErr w:type="gramStart"/>
      <w:r w:rsidRPr="007C4D65">
        <w:rPr>
          <w:rFonts w:asciiTheme="minorHAnsi" w:hAnsiTheme="minorHAnsi"/>
          <w:sz w:val="22"/>
          <w:szCs w:val="22"/>
        </w:rPr>
        <w:t>general public</w:t>
      </w:r>
      <w:proofErr w:type="gramEnd"/>
      <w:r w:rsidRPr="007C4D65">
        <w:rPr>
          <w:rFonts w:asciiTheme="minorHAnsi" w:hAnsiTheme="minorHAnsi"/>
          <w:sz w:val="22"/>
          <w:szCs w:val="22"/>
        </w:rPr>
        <w:t xml:space="preserve"> has not had an opportunity to participate in that process. According to Directive 2002/49/EC, strategic noise maps may be presented to the public as: graphic presentation, numerical data in tables, numerical data in electronic form.</w:t>
      </w:r>
    </w:p>
    <w:p w14:paraId="3C1B7ED0" w14:textId="705126D7"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 xml:space="preserve">There are no regulations on the level of noise caused by equipment for use outdoor, and they need to be developed </w:t>
      </w:r>
      <w:proofErr w:type="gramStart"/>
      <w:r w:rsidRPr="007C4D65">
        <w:rPr>
          <w:rFonts w:asciiTheme="minorHAnsi" w:hAnsiTheme="minorHAnsi"/>
          <w:sz w:val="22"/>
          <w:szCs w:val="22"/>
        </w:rPr>
        <w:t>on the basis of</w:t>
      </w:r>
      <w:proofErr w:type="gramEnd"/>
      <w:r w:rsidRPr="007C4D65">
        <w:rPr>
          <w:rFonts w:asciiTheme="minorHAnsi" w:hAnsiTheme="minorHAnsi"/>
          <w:sz w:val="22"/>
          <w:szCs w:val="22"/>
        </w:rPr>
        <w:t xml:space="preserve"> the </w:t>
      </w:r>
      <w:r w:rsidRPr="007C4D65">
        <w:rPr>
          <w:rFonts w:asciiTheme="minorHAnsi" w:hAnsiTheme="minorHAnsi"/>
          <w:bCs/>
          <w:sz w:val="22"/>
          <w:szCs w:val="22"/>
        </w:rPr>
        <w:t>Directive 2000/14/EC</w:t>
      </w:r>
      <w:r w:rsidRPr="007C4D65">
        <w:rPr>
          <w:rFonts w:asciiTheme="minorHAnsi" w:hAnsiTheme="minorHAnsi"/>
          <w:b/>
          <w:bCs/>
          <w:sz w:val="22"/>
          <w:szCs w:val="22"/>
        </w:rPr>
        <w:t xml:space="preserve"> </w:t>
      </w:r>
      <w:r w:rsidRPr="007C4D65">
        <w:rPr>
          <w:rFonts w:asciiTheme="minorHAnsi" w:hAnsiTheme="minorHAnsi"/>
          <w:sz w:val="22"/>
          <w:szCs w:val="22"/>
        </w:rPr>
        <w:t>on harmonisation of legislation of member countries with respect to mission of noise caused by equipment for outdoor use.</w:t>
      </w:r>
    </w:p>
    <w:p w14:paraId="05DCD871" w14:textId="744C0362"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 xml:space="preserve">Currently, there are very modest experiences in noise management, and human and technical capacities of institutions needed for implementation of </w:t>
      </w:r>
      <w:r w:rsidR="001E4D90" w:rsidRPr="007C4D65">
        <w:rPr>
          <w:rFonts w:asciiTheme="minorHAnsi" w:hAnsiTheme="minorHAnsi"/>
          <w:sz w:val="22"/>
          <w:szCs w:val="22"/>
        </w:rPr>
        <w:t>EU regulations</w:t>
      </w:r>
      <w:r w:rsidRPr="007C4D65">
        <w:rPr>
          <w:rFonts w:asciiTheme="minorHAnsi" w:hAnsiTheme="minorHAnsi"/>
          <w:sz w:val="22"/>
          <w:szCs w:val="22"/>
        </w:rPr>
        <w:t xml:space="preserve"> on noise and protection against noise are at low level.</w:t>
      </w:r>
    </w:p>
    <w:p w14:paraId="04682997" w14:textId="14405045"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sz w:val="22"/>
          <w:szCs w:val="22"/>
        </w:rPr>
        <w:t xml:space="preserve">Institutions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do not have competences for transposition / implementation of directives in the field of transport, such as the directives that regulate levels of noise for motor vehicles (noise caused by road transport), airplanes (noise caused by air transport) and trains (noise caused by railway transport), which are partly transposed in BiH legislation.</w:t>
      </w:r>
    </w:p>
    <w:p w14:paraId="5A9B37F0" w14:textId="77777777" w:rsidR="00B321AB" w:rsidRPr="007C4D65" w:rsidRDefault="005661B8" w:rsidP="0068355A">
      <w:pPr>
        <w:spacing w:after="160" w:line="276" w:lineRule="auto"/>
        <w:rPr>
          <w:rFonts w:asciiTheme="minorHAnsi" w:hAnsiTheme="minorHAnsi" w:cstheme="minorHAnsi"/>
          <w:sz w:val="22"/>
          <w:szCs w:val="22"/>
        </w:rPr>
      </w:pPr>
      <w:r w:rsidRPr="007C4D65">
        <w:rPr>
          <w:rFonts w:asciiTheme="minorHAnsi" w:hAnsiTheme="minorHAnsi" w:cstheme="minorHAnsi"/>
        </w:rPr>
        <w:br w:type="page"/>
      </w:r>
    </w:p>
    <w:p w14:paraId="0FBDCFB4" w14:textId="77777777" w:rsidR="00CA18D2" w:rsidRPr="007C4D65" w:rsidRDefault="00CA18D2">
      <w:pPr>
        <w:pStyle w:val="Head2"/>
        <w:spacing w:line="276" w:lineRule="auto"/>
        <w:rPr>
          <w:rFonts w:asciiTheme="minorHAnsi" w:hAnsiTheme="minorHAnsi"/>
        </w:rPr>
      </w:pPr>
      <w:bookmarkStart w:id="157" w:name="_Toc117445355"/>
      <w:r w:rsidRPr="007C4D65">
        <w:rPr>
          <w:rFonts w:asciiTheme="minorHAnsi" w:hAnsiTheme="minorHAnsi"/>
        </w:rPr>
        <w:lastRenderedPageBreak/>
        <w:t>Strategic goal 5</w:t>
      </w:r>
      <w:bookmarkEnd w:id="157"/>
    </w:p>
    <w:p w14:paraId="64F59A71" w14:textId="6716BB1B" w:rsidR="00647018" w:rsidRPr="007C4D65" w:rsidRDefault="00647018" w:rsidP="00647018">
      <w:pPr>
        <w:spacing w:after="240" w:line="276" w:lineRule="auto"/>
        <w:jc w:val="both"/>
        <w:rPr>
          <w:rFonts w:asciiTheme="minorHAnsi" w:hAnsiTheme="minorHAnsi" w:cstheme="minorHAnsi"/>
          <w:b/>
          <w:sz w:val="22"/>
          <w:szCs w:val="22"/>
        </w:rPr>
      </w:pPr>
      <w:r w:rsidRPr="007C4D65">
        <w:rPr>
          <w:rFonts w:asciiTheme="minorHAnsi" w:hAnsiTheme="minorHAnsi"/>
          <w:b/>
          <w:sz w:val="22"/>
          <w:szCs w:val="22"/>
        </w:rPr>
        <w:t>Strategic goal 5</w:t>
      </w:r>
      <w:r w:rsidR="009477FB" w:rsidRPr="007C4D65">
        <w:rPr>
          <w:rFonts w:asciiTheme="minorHAnsi" w:hAnsiTheme="minorHAnsi"/>
          <w:b/>
          <w:sz w:val="22"/>
          <w:szCs w:val="22"/>
        </w:rPr>
        <w:t xml:space="preserve"> -</w:t>
      </w:r>
      <w:r w:rsidRPr="007C4D65">
        <w:rPr>
          <w:rFonts w:asciiTheme="minorHAnsi" w:hAnsiTheme="minorHAnsi"/>
          <w:b/>
          <w:sz w:val="22"/>
          <w:szCs w:val="22"/>
        </w:rPr>
        <w:t xml:space="preserve"> </w:t>
      </w:r>
      <w:r w:rsidR="00206652" w:rsidRPr="007C4D65">
        <w:rPr>
          <w:rFonts w:asciiTheme="minorHAnsi" w:hAnsiTheme="minorHAnsi" w:cstheme="minorHAnsi"/>
          <w:b/>
          <w:sz w:val="22"/>
          <w:szCs w:val="22"/>
        </w:rPr>
        <w:t>Human health protection and improving well-being and quality of life for all</w:t>
      </w:r>
    </w:p>
    <w:p w14:paraId="3D32DC88" w14:textId="00DC2237"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Strategic </w:t>
      </w:r>
      <w:r w:rsidR="00007DA5" w:rsidRPr="007C4D65">
        <w:rPr>
          <w:rFonts w:asciiTheme="minorHAnsi" w:hAnsiTheme="minorHAnsi"/>
          <w:sz w:val="22"/>
          <w:szCs w:val="22"/>
        </w:rPr>
        <w:t>g</w:t>
      </w:r>
      <w:r w:rsidRPr="007C4D65">
        <w:rPr>
          <w:rFonts w:asciiTheme="minorHAnsi" w:hAnsiTheme="minorHAnsi"/>
          <w:sz w:val="22"/>
          <w:szCs w:val="22"/>
        </w:rPr>
        <w:t xml:space="preserve">oal 5 includes the list and safe use of chemicals, including chemicals for protection of plants, standards of environmental noise, and exposure of humans and animals to noise in urban and rural environments. </w:t>
      </w:r>
    </w:p>
    <w:p w14:paraId="6343346E" w14:textId="702CF9BC" w:rsidR="00647018" w:rsidRPr="007C4D65" w:rsidRDefault="00647018" w:rsidP="00647018">
      <w:pPr>
        <w:spacing w:line="276" w:lineRule="auto"/>
        <w:rPr>
          <w:rFonts w:asciiTheme="minorHAnsi" w:hAnsiTheme="minorHAnsi" w:cstheme="minorHAnsi"/>
          <w:bCs/>
        </w:rPr>
      </w:pPr>
      <w:bookmarkStart w:id="158" w:name="_Toc109842449"/>
      <w:bookmarkStart w:id="159" w:name="_Toc117011599"/>
      <w:r w:rsidRPr="007C4D65">
        <w:rPr>
          <w:rFonts w:asciiTheme="minorHAnsi" w:hAnsiTheme="minorHAnsi"/>
          <w:b/>
          <w:i/>
          <w:sz w:val="20"/>
          <w:szCs w:val="20"/>
        </w:rPr>
        <w:t>Table</w:t>
      </w:r>
      <w:r w:rsidR="00B6017F" w:rsidRPr="007C4D65">
        <w:rPr>
          <w:rFonts w:asciiTheme="minorHAnsi" w:hAnsiTheme="minorHAnsi" w:cstheme="minorHAnsi"/>
          <w:b/>
          <w:i/>
          <w:sz w:val="20"/>
          <w:szCs w:val="20"/>
        </w:rPr>
        <w:t xml:space="preserve"> </w:t>
      </w:r>
      <w:bookmarkStart w:id="160" w:name="tabela20"/>
      <w:r w:rsidR="005D60DA" w:rsidRPr="007C4D65">
        <w:rPr>
          <w:rFonts w:asciiTheme="minorHAnsi" w:hAnsiTheme="minorHAnsi" w:cstheme="minorHAnsi"/>
          <w:b/>
          <w:i/>
          <w:sz w:val="20"/>
          <w:szCs w:val="20"/>
          <w:lang w:val="hr-HR"/>
        </w:rPr>
        <w:fldChar w:fldCharType="begin"/>
      </w:r>
      <w:r w:rsidR="005D60DA" w:rsidRPr="007C4D65">
        <w:rPr>
          <w:rFonts w:asciiTheme="minorHAnsi" w:hAnsiTheme="minorHAnsi" w:cstheme="minorHAnsi"/>
          <w:b/>
          <w:i/>
          <w:sz w:val="20"/>
          <w:szCs w:val="20"/>
          <w:lang w:val="hr-HR"/>
        </w:rPr>
        <w:instrText xml:space="preserve"> SEQ Tabela \* ARABIC </w:instrText>
      </w:r>
      <w:r w:rsidR="005D60DA" w:rsidRPr="007C4D65">
        <w:rPr>
          <w:rFonts w:asciiTheme="minorHAnsi" w:hAnsiTheme="minorHAnsi" w:cstheme="minorHAnsi"/>
          <w:b/>
          <w:i/>
          <w:sz w:val="20"/>
          <w:szCs w:val="20"/>
          <w:lang w:val="hr-HR"/>
        </w:rPr>
        <w:fldChar w:fldCharType="separate"/>
      </w:r>
      <w:r w:rsidR="005D60DA" w:rsidRPr="007C4D65">
        <w:rPr>
          <w:rFonts w:asciiTheme="minorHAnsi" w:hAnsiTheme="minorHAnsi" w:cstheme="minorHAnsi"/>
          <w:b/>
          <w:i/>
          <w:noProof/>
          <w:sz w:val="20"/>
          <w:szCs w:val="20"/>
          <w:lang w:val="hr-HR"/>
        </w:rPr>
        <w:t>20</w:t>
      </w:r>
      <w:r w:rsidR="005D60DA" w:rsidRPr="007C4D65">
        <w:rPr>
          <w:rFonts w:asciiTheme="minorHAnsi" w:hAnsiTheme="minorHAnsi" w:cstheme="minorHAnsi"/>
          <w:b/>
          <w:i/>
          <w:sz w:val="20"/>
          <w:szCs w:val="20"/>
          <w:lang w:val="hr-HR"/>
        </w:rPr>
        <w:fldChar w:fldCharType="end"/>
      </w:r>
      <w:bookmarkEnd w:id="160"/>
      <w:r w:rsidRPr="007C4D65">
        <w:rPr>
          <w:rFonts w:asciiTheme="minorHAnsi" w:hAnsiTheme="minorHAnsi"/>
          <w:b/>
          <w:i/>
          <w:sz w:val="20"/>
          <w:szCs w:val="20"/>
        </w:rPr>
        <w:t xml:space="preserve">: </w:t>
      </w:r>
      <w:r w:rsidRPr="007C4D65">
        <w:rPr>
          <w:rFonts w:asciiTheme="minorHAnsi" w:hAnsiTheme="minorHAnsi"/>
          <w:bCs/>
          <w:i/>
          <w:sz w:val="20"/>
          <w:szCs w:val="20"/>
        </w:rPr>
        <w:t xml:space="preserve">Performance indicators for </w:t>
      </w:r>
      <w:r w:rsidR="009477FB" w:rsidRPr="007C4D65">
        <w:rPr>
          <w:rFonts w:asciiTheme="minorHAnsi" w:hAnsiTheme="minorHAnsi"/>
          <w:bCs/>
          <w:i/>
          <w:sz w:val="20"/>
          <w:szCs w:val="20"/>
        </w:rPr>
        <w:t>s</w:t>
      </w:r>
      <w:r w:rsidRPr="007C4D65">
        <w:rPr>
          <w:rFonts w:asciiTheme="minorHAnsi" w:hAnsiTheme="minorHAnsi"/>
          <w:bCs/>
          <w:i/>
          <w:sz w:val="20"/>
          <w:szCs w:val="20"/>
        </w:rPr>
        <w:t xml:space="preserve">trategic </w:t>
      </w:r>
      <w:r w:rsidR="009477FB" w:rsidRPr="007C4D65">
        <w:rPr>
          <w:rFonts w:asciiTheme="minorHAnsi" w:hAnsiTheme="minorHAnsi"/>
          <w:bCs/>
          <w:i/>
          <w:sz w:val="20"/>
          <w:szCs w:val="20"/>
        </w:rPr>
        <w:t>g</w:t>
      </w:r>
      <w:r w:rsidRPr="007C4D65">
        <w:rPr>
          <w:rFonts w:asciiTheme="minorHAnsi" w:hAnsiTheme="minorHAnsi"/>
          <w:bCs/>
          <w:i/>
          <w:sz w:val="20"/>
          <w:szCs w:val="20"/>
        </w:rPr>
        <w:t>oal 5</w:t>
      </w:r>
      <w:bookmarkEnd w:id="158"/>
      <w:bookmarkEnd w:id="159"/>
    </w:p>
    <w:tbl>
      <w:tblPr>
        <w:tblStyle w:val="TableGridLight1"/>
        <w:tblW w:w="8926" w:type="dxa"/>
        <w:tblInd w:w="113" w:type="dxa"/>
        <w:tblLook w:val="04A0" w:firstRow="1" w:lastRow="0" w:firstColumn="1" w:lastColumn="0" w:noHBand="0" w:noVBand="1"/>
      </w:tblPr>
      <w:tblGrid>
        <w:gridCol w:w="2122"/>
        <w:gridCol w:w="2268"/>
        <w:gridCol w:w="2268"/>
        <w:gridCol w:w="2268"/>
      </w:tblGrid>
      <w:tr w:rsidR="00647018" w:rsidRPr="007C4D65" w14:paraId="08D5B90B" w14:textId="77777777" w:rsidTr="00B6017F">
        <w:trPr>
          <w:trHeight w:val="421"/>
        </w:trPr>
        <w:tc>
          <w:tcPr>
            <w:tcW w:w="2122" w:type="dxa"/>
            <w:shd w:val="clear" w:color="auto" w:fill="009D73"/>
            <w:vAlign w:val="center"/>
          </w:tcPr>
          <w:p w14:paraId="243F56CD" w14:textId="77777777" w:rsidR="00647018" w:rsidRPr="007C4D65" w:rsidRDefault="00647018" w:rsidP="00B6017F">
            <w:pPr>
              <w:tabs>
                <w:tab w:val="left" w:pos="955"/>
              </w:tabs>
              <w:spacing w:line="276" w:lineRule="auto"/>
              <w:jc w:val="center"/>
              <w:rPr>
                <w:rFonts w:asciiTheme="minorHAnsi" w:hAnsiTheme="minorHAnsi" w:cstheme="minorHAnsi"/>
                <w:b/>
                <w:color w:val="FFFFFF" w:themeColor="background1"/>
                <w:sz w:val="18"/>
                <w:szCs w:val="18"/>
              </w:rPr>
            </w:pPr>
            <w:bookmarkStart w:id="161" w:name="_Hlk104491019"/>
            <w:r w:rsidRPr="007C4D65">
              <w:rPr>
                <w:rFonts w:asciiTheme="minorHAnsi" w:hAnsiTheme="minorHAnsi"/>
                <w:b/>
                <w:color w:val="FFFFFF" w:themeColor="background1"/>
                <w:sz w:val="18"/>
                <w:szCs w:val="18"/>
              </w:rPr>
              <w:t>Strategic goal 5</w:t>
            </w:r>
          </w:p>
        </w:tc>
        <w:tc>
          <w:tcPr>
            <w:tcW w:w="2268" w:type="dxa"/>
            <w:shd w:val="clear" w:color="auto" w:fill="009D73"/>
            <w:vAlign w:val="center"/>
          </w:tcPr>
          <w:p w14:paraId="2CF1AD19" w14:textId="77777777" w:rsidR="00647018" w:rsidRPr="007C4D65" w:rsidRDefault="00647018" w:rsidP="00B6017F">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b/>
                <w:bCs/>
                <w:color w:val="FFFFFF" w:themeColor="background1"/>
                <w:sz w:val="18"/>
                <w:szCs w:val="18"/>
              </w:rPr>
              <w:t>Performance indicators</w:t>
            </w:r>
          </w:p>
        </w:tc>
        <w:tc>
          <w:tcPr>
            <w:tcW w:w="2268" w:type="dxa"/>
            <w:shd w:val="clear" w:color="auto" w:fill="009D73"/>
            <w:vAlign w:val="center"/>
          </w:tcPr>
          <w:p w14:paraId="4E8A5B84" w14:textId="77777777" w:rsidR="00647018" w:rsidRPr="007C4D65" w:rsidRDefault="00647018" w:rsidP="00B6017F">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b/>
                <w:bCs/>
                <w:color w:val="FFFFFF" w:themeColor="background1"/>
                <w:sz w:val="18"/>
                <w:szCs w:val="18"/>
              </w:rPr>
              <w:t>Baseline value</w:t>
            </w:r>
          </w:p>
          <w:p w14:paraId="2CE5C313" w14:textId="77777777" w:rsidR="00647018" w:rsidRPr="007C4D65" w:rsidRDefault="00647018" w:rsidP="00B6017F">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b/>
                <w:bCs/>
                <w:color w:val="FFFFFF" w:themeColor="background1"/>
                <w:sz w:val="18"/>
                <w:szCs w:val="18"/>
              </w:rPr>
              <w:t>(</w:t>
            </w:r>
            <w:proofErr w:type="gramStart"/>
            <w:r w:rsidRPr="007C4D65">
              <w:rPr>
                <w:rFonts w:asciiTheme="minorHAnsi" w:hAnsiTheme="minorHAnsi"/>
                <w:b/>
                <w:bCs/>
                <w:color w:val="FFFFFF" w:themeColor="background1"/>
                <w:sz w:val="18"/>
                <w:szCs w:val="18"/>
              </w:rPr>
              <w:t>to</w:t>
            </w:r>
            <w:proofErr w:type="gramEnd"/>
            <w:r w:rsidRPr="007C4D65">
              <w:rPr>
                <w:rFonts w:asciiTheme="minorHAnsi" w:hAnsiTheme="minorHAnsi"/>
                <w:b/>
                <w:bCs/>
                <w:color w:val="FFFFFF" w:themeColor="background1"/>
                <w:sz w:val="18"/>
                <w:szCs w:val="18"/>
              </w:rPr>
              <w:t xml:space="preserve"> be determined in initial years of implementation)</w:t>
            </w:r>
          </w:p>
        </w:tc>
        <w:tc>
          <w:tcPr>
            <w:tcW w:w="2268" w:type="dxa"/>
            <w:shd w:val="clear" w:color="auto" w:fill="009D73"/>
            <w:vAlign w:val="center"/>
          </w:tcPr>
          <w:p w14:paraId="05798DDE" w14:textId="77777777" w:rsidR="00647018" w:rsidRPr="007C4D65" w:rsidRDefault="00647018" w:rsidP="00B6017F">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b/>
                <w:bCs/>
                <w:color w:val="FFFFFF" w:themeColor="background1"/>
                <w:sz w:val="18"/>
                <w:szCs w:val="18"/>
              </w:rPr>
              <w:t>Target value</w:t>
            </w:r>
          </w:p>
          <w:p w14:paraId="23442896" w14:textId="77777777" w:rsidR="00647018" w:rsidRPr="007C4D65" w:rsidRDefault="00647018" w:rsidP="00B6017F">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b/>
                <w:bCs/>
                <w:color w:val="FFFFFF" w:themeColor="background1"/>
                <w:sz w:val="18"/>
                <w:szCs w:val="18"/>
              </w:rPr>
              <w:t>(</w:t>
            </w:r>
            <w:proofErr w:type="gramStart"/>
            <w:r w:rsidRPr="007C4D65">
              <w:rPr>
                <w:rFonts w:asciiTheme="minorHAnsi" w:hAnsiTheme="minorHAnsi"/>
                <w:b/>
                <w:bCs/>
                <w:color w:val="FFFFFF" w:themeColor="background1"/>
                <w:sz w:val="18"/>
                <w:szCs w:val="18"/>
              </w:rPr>
              <w:t>to</w:t>
            </w:r>
            <w:proofErr w:type="gramEnd"/>
            <w:r w:rsidRPr="007C4D65">
              <w:rPr>
                <w:rFonts w:asciiTheme="minorHAnsi" w:hAnsiTheme="minorHAnsi"/>
                <w:b/>
                <w:bCs/>
                <w:color w:val="FFFFFF" w:themeColor="background1"/>
                <w:sz w:val="18"/>
                <w:szCs w:val="18"/>
              </w:rPr>
              <w:t xml:space="preserve"> be determined in initial years of implementation)</w:t>
            </w:r>
          </w:p>
        </w:tc>
      </w:tr>
      <w:tr w:rsidR="00647018" w:rsidRPr="007C4D65" w14:paraId="3BC842C3" w14:textId="77777777" w:rsidTr="00B6017F">
        <w:trPr>
          <w:trHeight w:val="360"/>
        </w:trPr>
        <w:tc>
          <w:tcPr>
            <w:tcW w:w="2122" w:type="dxa"/>
            <w:vMerge w:val="restart"/>
            <w:vAlign w:val="center"/>
          </w:tcPr>
          <w:p w14:paraId="0A289778" w14:textId="7B383169" w:rsidR="00647018" w:rsidRPr="007C4D65" w:rsidRDefault="00206652" w:rsidP="00206652">
            <w:pPr>
              <w:tabs>
                <w:tab w:val="left" w:pos="955"/>
              </w:tabs>
              <w:spacing w:line="276" w:lineRule="auto"/>
              <w:rPr>
                <w:rFonts w:asciiTheme="minorHAnsi" w:hAnsiTheme="minorHAnsi" w:cstheme="minorHAnsi"/>
                <w:b/>
                <w:bCs/>
                <w:sz w:val="18"/>
                <w:szCs w:val="18"/>
              </w:rPr>
            </w:pPr>
            <w:r w:rsidRPr="007C4D65">
              <w:rPr>
                <w:rFonts w:asciiTheme="minorHAnsi" w:hAnsiTheme="minorHAnsi"/>
                <w:i/>
                <w:iCs/>
                <w:sz w:val="18"/>
                <w:szCs w:val="18"/>
              </w:rPr>
              <w:t>Human health protection</w:t>
            </w:r>
            <w:r w:rsidR="00647018" w:rsidRPr="007C4D65">
              <w:rPr>
                <w:rFonts w:asciiTheme="minorHAnsi" w:hAnsiTheme="minorHAnsi"/>
                <w:i/>
                <w:iCs/>
                <w:sz w:val="18"/>
                <w:szCs w:val="18"/>
              </w:rPr>
              <w:t xml:space="preserve"> and improving well-being and quality of life for all</w:t>
            </w:r>
          </w:p>
        </w:tc>
        <w:tc>
          <w:tcPr>
            <w:tcW w:w="2268" w:type="dxa"/>
          </w:tcPr>
          <w:p w14:paraId="52477A1C" w14:textId="77777777" w:rsidR="00647018" w:rsidRPr="007C4D65" w:rsidRDefault="00647018" w:rsidP="00B6017F">
            <w:pPr>
              <w:tabs>
                <w:tab w:val="left" w:pos="955"/>
              </w:tabs>
              <w:spacing w:line="276" w:lineRule="auto"/>
              <w:rPr>
                <w:rFonts w:asciiTheme="minorHAnsi" w:hAnsiTheme="minorHAnsi" w:cstheme="minorHAnsi"/>
                <w:sz w:val="18"/>
                <w:szCs w:val="18"/>
              </w:rPr>
            </w:pPr>
            <w:r w:rsidRPr="007C4D65">
              <w:rPr>
                <w:rFonts w:asciiTheme="minorHAnsi" w:hAnsiTheme="minorHAnsi"/>
                <w:b/>
                <w:bCs/>
                <w:sz w:val="18"/>
                <w:szCs w:val="18"/>
              </w:rPr>
              <w:t>Incidence of diseases or deaths due to poisoning that are a consequence of inadequate handling of chemical products</w:t>
            </w:r>
          </w:p>
        </w:tc>
        <w:tc>
          <w:tcPr>
            <w:tcW w:w="2268" w:type="dxa"/>
            <w:vAlign w:val="center"/>
          </w:tcPr>
          <w:p w14:paraId="1B2461C3" w14:textId="77777777" w:rsidR="00647018" w:rsidRPr="007C4D65" w:rsidRDefault="00647018" w:rsidP="00B6017F">
            <w:pPr>
              <w:tabs>
                <w:tab w:val="left" w:pos="955"/>
              </w:tabs>
              <w:spacing w:line="276" w:lineRule="auto"/>
              <w:jc w:val="center"/>
              <w:rPr>
                <w:rFonts w:asciiTheme="minorHAnsi" w:hAnsiTheme="minorHAnsi" w:cstheme="minorHAnsi"/>
                <w:sz w:val="18"/>
                <w:szCs w:val="18"/>
              </w:rPr>
            </w:pPr>
            <w:r w:rsidRPr="007C4D65">
              <w:rPr>
                <w:rFonts w:asciiTheme="minorHAnsi" w:hAnsiTheme="minorHAnsi"/>
                <w:sz w:val="18"/>
                <w:szCs w:val="18"/>
              </w:rPr>
              <w:t>ND</w:t>
            </w:r>
          </w:p>
        </w:tc>
        <w:tc>
          <w:tcPr>
            <w:tcW w:w="2268" w:type="dxa"/>
            <w:vAlign w:val="center"/>
          </w:tcPr>
          <w:p w14:paraId="5DC7244B" w14:textId="77777777" w:rsidR="00647018" w:rsidRPr="007C4D65" w:rsidRDefault="00647018" w:rsidP="00B6017F">
            <w:pPr>
              <w:tabs>
                <w:tab w:val="left" w:pos="955"/>
              </w:tabs>
              <w:spacing w:line="276" w:lineRule="auto"/>
              <w:jc w:val="center"/>
              <w:rPr>
                <w:rFonts w:asciiTheme="minorHAnsi" w:hAnsiTheme="minorHAnsi" w:cstheme="minorHAnsi"/>
                <w:sz w:val="18"/>
                <w:szCs w:val="18"/>
              </w:rPr>
            </w:pPr>
            <w:r w:rsidRPr="007C4D65">
              <w:rPr>
                <w:rFonts w:asciiTheme="minorHAnsi" w:hAnsiTheme="minorHAnsi"/>
                <w:sz w:val="18"/>
                <w:szCs w:val="18"/>
              </w:rPr>
              <w:t>ND</w:t>
            </w:r>
          </w:p>
        </w:tc>
      </w:tr>
      <w:tr w:rsidR="00647018" w:rsidRPr="007C4D65" w14:paraId="727E96CE" w14:textId="77777777" w:rsidTr="00B6017F">
        <w:trPr>
          <w:trHeight w:val="360"/>
        </w:trPr>
        <w:tc>
          <w:tcPr>
            <w:tcW w:w="2122" w:type="dxa"/>
            <w:vMerge/>
            <w:vAlign w:val="center"/>
          </w:tcPr>
          <w:p w14:paraId="0CB613CD" w14:textId="77777777" w:rsidR="00647018" w:rsidRPr="007C4D65" w:rsidRDefault="00647018" w:rsidP="00B6017F">
            <w:pPr>
              <w:tabs>
                <w:tab w:val="left" w:pos="955"/>
              </w:tabs>
              <w:spacing w:line="276" w:lineRule="auto"/>
              <w:rPr>
                <w:rFonts w:asciiTheme="minorHAnsi" w:hAnsiTheme="minorHAnsi" w:cstheme="minorHAnsi"/>
                <w:b/>
                <w:bCs/>
                <w:sz w:val="18"/>
                <w:szCs w:val="18"/>
                <w:lang w:eastAsia="hr-HR"/>
              </w:rPr>
            </w:pPr>
          </w:p>
        </w:tc>
        <w:tc>
          <w:tcPr>
            <w:tcW w:w="2268" w:type="dxa"/>
          </w:tcPr>
          <w:p w14:paraId="40225499" w14:textId="77777777" w:rsidR="00647018" w:rsidRPr="007C4D65" w:rsidRDefault="00647018" w:rsidP="00B6017F">
            <w:pPr>
              <w:tabs>
                <w:tab w:val="left" w:pos="955"/>
              </w:tabs>
              <w:spacing w:line="276" w:lineRule="auto"/>
              <w:rPr>
                <w:rFonts w:asciiTheme="minorHAnsi" w:hAnsiTheme="minorHAnsi" w:cstheme="minorHAnsi"/>
                <w:sz w:val="18"/>
                <w:szCs w:val="18"/>
              </w:rPr>
            </w:pPr>
            <w:r w:rsidRPr="007C4D65">
              <w:rPr>
                <w:rFonts w:asciiTheme="minorHAnsi" w:hAnsiTheme="minorHAnsi"/>
                <w:b/>
                <w:bCs/>
                <w:color w:val="222222"/>
                <w:sz w:val="18"/>
                <w:szCs w:val="18"/>
              </w:rPr>
              <w:t>Percentage of people exposed to noise, by classes of noise and age groups </w:t>
            </w:r>
          </w:p>
        </w:tc>
        <w:tc>
          <w:tcPr>
            <w:tcW w:w="2268" w:type="dxa"/>
            <w:vAlign w:val="center"/>
          </w:tcPr>
          <w:p w14:paraId="0014431C" w14:textId="77777777" w:rsidR="00647018" w:rsidRPr="007C4D65" w:rsidRDefault="00647018" w:rsidP="00B6017F">
            <w:pPr>
              <w:tabs>
                <w:tab w:val="left" w:pos="955"/>
              </w:tabs>
              <w:spacing w:line="276" w:lineRule="auto"/>
              <w:jc w:val="center"/>
              <w:rPr>
                <w:rFonts w:asciiTheme="minorHAnsi" w:hAnsiTheme="minorHAnsi" w:cstheme="minorHAnsi"/>
                <w:sz w:val="18"/>
                <w:szCs w:val="18"/>
              </w:rPr>
            </w:pPr>
            <w:r w:rsidRPr="007C4D65">
              <w:rPr>
                <w:rFonts w:asciiTheme="minorHAnsi" w:hAnsiTheme="minorHAnsi"/>
                <w:sz w:val="18"/>
                <w:szCs w:val="18"/>
              </w:rPr>
              <w:t>ND</w:t>
            </w:r>
          </w:p>
        </w:tc>
        <w:tc>
          <w:tcPr>
            <w:tcW w:w="2268" w:type="dxa"/>
            <w:vAlign w:val="center"/>
          </w:tcPr>
          <w:p w14:paraId="245F2E43" w14:textId="77777777" w:rsidR="00647018" w:rsidRPr="007C4D65" w:rsidRDefault="00647018" w:rsidP="00B6017F">
            <w:pPr>
              <w:spacing w:line="276" w:lineRule="auto"/>
              <w:jc w:val="center"/>
              <w:rPr>
                <w:rFonts w:asciiTheme="minorHAnsi" w:hAnsiTheme="minorHAnsi" w:cstheme="minorHAnsi"/>
                <w:sz w:val="18"/>
                <w:szCs w:val="18"/>
              </w:rPr>
            </w:pPr>
            <w:r w:rsidRPr="007C4D65">
              <w:rPr>
                <w:rFonts w:asciiTheme="minorHAnsi" w:hAnsiTheme="minorHAnsi"/>
                <w:sz w:val="18"/>
                <w:szCs w:val="18"/>
              </w:rPr>
              <w:t>ND</w:t>
            </w:r>
          </w:p>
        </w:tc>
      </w:tr>
      <w:bookmarkEnd w:id="161"/>
    </w:tbl>
    <w:p w14:paraId="7D6C5BD6" w14:textId="77777777" w:rsidR="00647018" w:rsidRPr="007C4D65" w:rsidRDefault="00647018" w:rsidP="00647018">
      <w:pPr>
        <w:spacing w:line="276" w:lineRule="auto"/>
        <w:rPr>
          <w:rFonts w:asciiTheme="minorHAnsi" w:hAnsiTheme="minorHAnsi" w:cstheme="minorHAnsi"/>
          <w:lang w:val="hr-HR"/>
        </w:rPr>
      </w:pPr>
    </w:p>
    <w:p w14:paraId="2097236D" w14:textId="77777777" w:rsidR="00FF6549" w:rsidRPr="007C4D65" w:rsidRDefault="00FF6549" w:rsidP="0068355A">
      <w:pPr>
        <w:spacing w:line="276" w:lineRule="auto"/>
        <w:rPr>
          <w:rFonts w:asciiTheme="minorHAnsi" w:hAnsiTheme="minorHAnsi" w:cstheme="minorHAnsi"/>
        </w:rPr>
      </w:pPr>
    </w:p>
    <w:p w14:paraId="6136DBF2" w14:textId="77777777" w:rsidR="00CA18D2" w:rsidRPr="007C4D65" w:rsidRDefault="00CA18D2">
      <w:pPr>
        <w:pStyle w:val="Head3"/>
        <w:spacing w:line="276" w:lineRule="auto"/>
        <w:rPr>
          <w:rFonts w:asciiTheme="minorHAnsi" w:hAnsiTheme="minorHAnsi"/>
        </w:rPr>
      </w:pPr>
      <w:bookmarkStart w:id="162" w:name="_Toc117445356"/>
      <w:r w:rsidRPr="007C4D65">
        <w:rPr>
          <w:rFonts w:asciiTheme="minorHAnsi" w:hAnsiTheme="minorHAnsi"/>
        </w:rPr>
        <w:t>Priorities for strategic goal 5</w:t>
      </w:r>
      <w:bookmarkEnd w:id="162"/>
    </w:p>
    <w:p w14:paraId="450699BD" w14:textId="3E922226"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b/>
          <w:sz w:val="22"/>
          <w:szCs w:val="22"/>
        </w:rPr>
        <w:t xml:space="preserve">Priority 5.1 </w:t>
      </w:r>
      <w:r w:rsidRPr="007C4D65">
        <w:rPr>
          <w:rFonts w:asciiTheme="minorHAnsi" w:hAnsiTheme="minorHAnsi"/>
          <w:b/>
          <w:bCs/>
          <w:sz w:val="22"/>
          <w:szCs w:val="22"/>
        </w:rPr>
        <w:t xml:space="preserve">Improved legislation in the field of chemical safety, </w:t>
      </w:r>
      <w:r w:rsidRPr="007C4D65">
        <w:rPr>
          <w:rFonts w:asciiTheme="minorHAnsi" w:hAnsiTheme="minorHAnsi"/>
          <w:sz w:val="22"/>
          <w:szCs w:val="22"/>
        </w:rPr>
        <w:t>thereby achieving alignment of BiH legislation with requirements of international agreements, the Minamata Convention, the Stockholm Convention, the Montreal Agreement with the Kigali Amendment, the EU legal acquis that ensures implementation of the said conventions.</w:t>
      </w:r>
    </w:p>
    <w:p w14:paraId="2944D01D" w14:textId="021DDAE0" w:rsidR="00647018" w:rsidRPr="007C4D65" w:rsidRDefault="00647018" w:rsidP="00647018">
      <w:pPr>
        <w:spacing w:before="240" w:after="240" w:line="276" w:lineRule="auto"/>
        <w:jc w:val="both"/>
        <w:rPr>
          <w:rFonts w:asciiTheme="minorHAnsi" w:hAnsiTheme="minorHAnsi"/>
          <w:b/>
          <w:sz w:val="22"/>
          <w:szCs w:val="22"/>
        </w:rPr>
      </w:pPr>
      <w:r w:rsidRPr="007C4D65">
        <w:rPr>
          <w:rFonts w:asciiTheme="minorHAnsi" w:hAnsiTheme="minorHAnsi"/>
          <w:b/>
          <w:bCs/>
          <w:sz w:val="22"/>
          <w:szCs w:val="22"/>
        </w:rPr>
        <w:t xml:space="preserve">Priority 5.2 </w:t>
      </w:r>
      <w:r w:rsidR="00735C68" w:rsidRPr="007C4D65">
        <w:rPr>
          <w:rFonts w:asciiTheme="minorHAnsi" w:hAnsiTheme="minorHAnsi"/>
          <w:b/>
          <w:bCs/>
          <w:sz w:val="22"/>
          <w:szCs w:val="22"/>
        </w:rPr>
        <w:t>Establish a sustainable system of chemical management and implementation of EU acquis in the area of chemical safety</w:t>
      </w:r>
      <w:r w:rsidRPr="007C4D65">
        <w:rPr>
          <w:rFonts w:asciiTheme="minorHAnsi" w:hAnsiTheme="minorHAnsi"/>
          <w:b/>
          <w:bCs/>
          <w:sz w:val="22"/>
          <w:szCs w:val="22"/>
        </w:rPr>
        <w:t xml:space="preserve">, </w:t>
      </w:r>
      <w:r w:rsidRPr="007C4D65">
        <w:rPr>
          <w:rFonts w:asciiTheme="minorHAnsi" w:hAnsiTheme="minorHAnsi"/>
          <w:sz w:val="22"/>
          <w:szCs w:val="22"/>
        </w:rPr>
        <w:t>in the way that all prescribed requirements of the current Law on Chemicals of FBiH (</w:t>
      </w:r>
      <w:r w:rsidR="00F95E23" w:rsidRPr="007C4D65">
        <w:rPr>
          <w:rFonts w:asciiTheme="minorHAnsi" w:hAnsiTheme="minorHAnsi"/>
          <w:sz w:val="22"/>
          <w:szCs w:val="22"/>
        </w:rPr>
        <w:t>“</w:t>
      </w:r>
      <w:r w:rsidRPr="007C4D65">
        <w:rPr>
          <w:rFonts w:asciiTheme="minorHAnsi" w:hAnsiTheme="minorHAnsi"/>
          <w:sz w:val="22"/>
          <w:szCs w:val="22"/>
        </w:rPr>
        <w:t xml:space="preserve">Official Gazette of </w:t>
      </w:r>
      <w:r w:rsidR="00F95E23" w:rsidRPr="007C4D65">
        <w:rPr>
          <w:rFonts w:asciiTheme="minorHAnsi" w:hAnsiTheme="minorHAnsi"/>
          <w:sz w:val="22"/>
          <w:szCs w:val="22"/>
        </w:rPr>
        <w:t>the Federation of BiH”,</w:t>
      </w:r>
      <w:r w:rsidRPr="007C4D65">
        <w:rPr>
          <w:rFonts w:asciiTheme="minorHAnsi" w:hAnsiTheme="minorHAnsi"/>
          <w:sz w:val="22"/>
          <w:szCs w:val="22"/>
        </w:rPr>
        <w:t xml:space="preserve"> 77/20), Law on Biocides that is yet to be developed, legislation implementing the SEVESO III Directive (Law on Environment Protection, </w:t>
      </w:r>
      <w:r w:rsidR="00F95E23" w:rsidRPr="007C4D65">
        <w:rPr>
          <w:rFonts w:asciiTheme="minorHAnsi" w:hAnsiTheme="minorHAnsi"/>
          <w:sz w:val="22"/>
          <w:szCs w:val="22"/>
        </w:rPr>
        <w:t>“</w:t>
      </w:r>
      <w:r w:rsidRPr="007C4D65">
        <w:rPr>
          <w:rFonts w:asciiTheme="minorHAnsi" w:hAnsiTheme="minorHAnsi"/>
          <w:sz w:val="22"/>
          <w:szCs w:val="22"/>
        </w:rPr>
        <w:t>Official Gazette</w:t>
      </w:r>
      <w:r w:rsidR="00F95E23" w:rsidRPr="007C4D65">
        <w:rPr>
          <w:rFonts w:asciiTheme="minorHAnsi" w:hAnsiTheme="minorHAnsi"/>
          <w:sz w:val="22"/>
          <w:szCs w:val="22"/>
        </w:rPr>
        <w:t xml:space="preserve">, </w:t>
      </w:r>
      <w:r w:rsidRPr="007C4D65">
        <w:rPr>
          <w:rFonts w:asciiTheme="minorHAnsi" w:hAnsiTheme="minorHAnsi"/>
          <w:sz w:val="22"/>
          <w:szCs w:val="22"/>
        </w:rPr>
        <w:t xml:space="preserve">18/2021 and secondary legislation (bylaws) on prevention of major accidents caused by handling hazardous materials), as well as secondary legislation under the Law on Air Protection (currently in the form of draft, in the procedure of adoption by the Government of </w:t>
      </w:r>
      <w:r w:rsidR="00F95E23" w:rsidRPr="007C4D65">
        <w:rPr>
          <w:rFonts w:asciiTheme="minorHAnsi" w:hAnsiTheme="minorHAnsi"/>
          <w:sz w:val="22"/>
          <w:szCs w:val="22"/>
        </w:rPr>
        <w:t xml:space="preserve">the </w:t>
      </w:r>
      <w:r w:rsidRPr="007C4D65">
        <w:rPr>
          <w:rFonts w:asciiTheme="minorHAnsi" w:hAnsiTheme="minorHAnsi"/>
          <w:sz w:val="22"/>
          <w:szCs w:val="22"/>
        </w:rPr>
        <w:t>Federation</w:t>
      </w:r>
      <w:r w:rsidR="00F95E23" w:rsidRPr="007C4D65">
        <w:rPr>
          <w:rFonts w:asciiTheme="minorHAnsi" w:hAnsiTheme="minorHAnsi"/>
          <w:sz w:val="22"/>
          <w:szCs w:val="22"/>
        </w:rPr>
        <w:t xml:space="preserve"> of</w:t>
      </w:r>
      <w:r w:rsidRPr="007C4D65">
        <w:rPr>
          <w:rFonts w:asciiTheme="minorHAnsi" w:hAnsiTheme="minorHAnsi"/>
          <w:sz w:val="22"/>
          <w:szCs w:val="22"/>
        </w:rPr>
        <w:t xml:space="preserve"> BiH, 2021), in connection with management of ozone depleting substances.</w:t>
      </w:r>
    </w:p>
    <w:p w14:paraId="4FF0A3F4" w14:textId="4E6266AA" w:rsidR="00647018" w:rsidRPr="007C4D65" w:rsidRDefault="00647018" w:rsidP="00647018">
      <w:pPr>
        <w:spacing w:line="276" w:lineRule="auto"/>
        <w:jc w:val="both"/>
        <w:rPr>
          <w:rFonts w:asciiTheme="minorHAnsi" w:hAnsiTheme="minorHAnsi"/>
          <w:sz w:val="22"/>
          <w:szCs w:val="22"/>
        </w:rPr>
      </w:pPr>
      <w:r w:rsidRPr="007C4D65">
        <w:rPr>
          <w:rFonts w:asciiTheme="minorHAnsi" w:hAnsiTheme="minorHAnsi"/>
          <w:b/>
          <w:bCs/>
          <w:sz w:val="22"/>
          <w:szCs w:val="22"/>
        </w:rPr>
        <w:t>Priority 5.3 Efficient operation of institutions</w:t>
      </w:r>
      <w:r w:rsidR="00436AC8" w:rsidRPr="007C4D65">
        <w:rPr>
          <w:rFonts w:asciiTheme="minorHAnsi" w:hAnsiTheme="minorHAnsi"/>
          <w:b/>
          <w:bCs/>
          <w:sz w:val="22"/>
          <w:szCs w:val="22"/>
        </w:rPr>
        <w:t xml:space="preserve"> of the Federation of</w:t>
      </w:r>
      <w:r w:rsidRPr="007C4D65">
        <w:rPr>
          <w:rFonts w:asciiTheme="minorHAnsi" w:hAnsiTheme="minorHAnsi"/>
          <w:b/>
          <w:bCs/>
          <w:sz w:val="22"/>
          <w:szCs w:val="22"/>
        </w:rPr>
        <w:t xml:space="preserve"> </w:t>
      </w:r>
      <w:r w:rsidR="00436AC8" w:rsidRPr="007C4D65">
        <w:rPr>
          <w:rFonts w:asciiTheme="minorHAnsi" w:hAnsiTheme="minorHAnsi"/>
          <w:b/>
          <w:bCs/>
          <w:sz w:val="22"/>
          <w:szCs w:val="22"/>
        </w:rPr>
        <w:t xml:space="preserve">FBiH </w:t>
      </w:r>
      <w:r w:rsidRPr="007C4D65">
        <w:rPr>
          <w:rFonts w:asciiTheme="minorHAnsi" w:hAnsiTheme="minorHAnsi"/>
          <w:b/>
          <w:bCs/>
          <w:sz w:val="22"/>
          <w:szCs w:val="22"/>
        </w:rPr>
        <w:t>in the field of chemical safety</w:t>
      </w:r>
      <w:r w:rsidRPr="007C4D65">
        <w:rPr>
          <w:rFonts w:asciiTheme="minorHAnsi" w:hAnsiTheme="minorHAnsi"/>
          <w:sz w:val="22"/>
          <w:szCs w:val="22"/>
        </w:rPr>
        <w:t xml:space="preserve"> that is achieved by strengthening human and technical capacities of institutions, by improved</w:t>
      </w:r>
      <w:r w:rsidRPr="007C4D65">
        <w:rPr>
          <w:rFonts w:asciiTheme="minorHAnsi" w:hAnsiTheme="minorHAnsi"/>
        </w:rPr>
        <w:t xml:space="preserve"> cooperation, collaboration and synergy </w:t>
      </w:r>
      <w:r w:rsidRPr="007C4D65">
        <w:rPr>
          <w:rFonts w:asciiTheme="minorHAnsi" w:hAnsiTheme="minorHAnsi"/>
          <w:sz w:val="22"/>
          <w:szCs w:val="22"/>
        </w:rPr>
        <w:t xml:space="preserve">among competent institutions in the field of environment protection and health. Institutional strengthening also ensures a higher degree of transposition of EU acquis, international agreements and conventions in the field of chemical safety and chemicals management. Work of the institutions needs to be improved also in terms of adequate monitoring of the number of people who became ill or died due to inadvertent poisoning, disaggregated by sex and age, </w:t>
      </w:r>
      <w:proofErr w:type="gramStart"/>
      <w:r w:rsidRPr="007C4D65">
        <w:rPr>
          <w:rFonts w:asciiTheme="minorHAnsi" w:hAnsiTheme="minorHAnsi"/>
          <w:sz w:val="22"/>
          <w:szCs w:val="22"/>
        </w:rPr>
        <w:t>in order to</w:t>
      </w:r>
      <w:proofErr w:type="gramEnd"/>
      <w:r w:rsidRPr="007C4D65">
        <w:rPr>
          <w:rFonts w:asciiTheme="minorHAnsi" w:hAnsiTheme="minorHAnsi"/>
          <w:sz w:val="22"/>
          <w:szCs w:val="22"/>
        </w:rPr>
        <w:t xml:space="preserve"> enable planning of concrete preventative measures in the future.</w:t>
      </w:r>
    </w:p>
    <w:p w14:paraId="5DCEA30D" w14:textId="0734D7A3"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b/>
          <w:sz w:val="22"/>
          <w:szCs w:val="22"/>
        </w:rPr>
        <w:lastRenderedPageBreak/>
        <w:t xml:space="preserve">Priority 5.4 </w:t>
      </w:r>
      <w:r w:rsidR="0078459D" w:rsidRPr="007C4D65">
        <w:rPr>
          <w:rFonts w:asciiTheme="minorHAnsi" w:hAnsiTheme="minorHAnsi"/>
          <w:b/>
          <w:sz w:val="22"/>
          <w:szCs w:val="22"/>
        </w:rPr>
        <w:t xml:space="preserve">Reduced incidence of diseases or deaths due to poisoning </w:t>
      </w:r>
      <w:proofErr w:type="gramStart"/>
      <w:r w:rsidR="0078459D" w:rsidRPr="007C4D65">
        <w:rPr>
          <w:rFonts w:asciiTheme="minorHAnsi" w:hAnsiTheme="minorHAnsi"/>
          <w:b/>
          <w:sz w:val="22"/>
          <w:szCs w:val="22"/>
        </w:rPr>
        <w:t>as a consequence of</w:t>
      </w:r>
      <w:proofErr w:type="gramEnd"/>
      <w:r w:rsidR="0078459D" w:rsidRPr="007C4D65">
        <w:rPr>
          <w:rFonts w:asciiTheme="minorHAnsi" w:hAnsiTheme="minorHAnsi"/>
          <w:b/>
          <w:sz w:val="22"/>
          <w:szCs w:val="22"/>
        </w:rPr>
        <w:t xml:space="preserve"> inadequate handling of chemical products</w:t>
      </w:r>
      <w:r w:rsidRPr="007C4D65">
        <w:rPr>
          <w:rFonts w:asciiTheme="minorHAnsi" w:hAnsiTheme="minorHAnsi"/>
          <w:sz w:val="22"/>
          <w:szCs w:val="22"/>
        </w:rPr>
        <w:t>,</w:t>
      </w:r>
      <w:r w:rsidRPr="007C4D65">
        <w:rPr>
          <w:rFonts w:asciiTheme="minorHAnsi" w:hAnsiTheme="minorHAnsi"/>
          <w:b/>
          <w:sz w:val="22"/>
          <w:szCs w:val="22"/>
        </w:rPr>
        <w:t xml:space="preserve"> </w:t>
      </w:r>
      <w:r w:rsidRPr="007C4D65">
        <w:rPr>
          <w:rFonts w:asciiTheme="minorHAnsi" w:hAnsiTheme="minorHAnsi"/>
          <w:sz w:val="22"/>
          <w:szCs w:val="22"/>
        </w:rPr>
        <w:t>to be achieved through continuous reporting and educational activities pointed towards improving knowledge of population on the risks posed by inadequate use of chemicals.</w:t>
      </w:r>
    </w:p>
    <w:p w14:paraId="5B521AA3" w14:textId="761F8EA8" w:rsidR="00647018" w:rsidRPr="007C4D65" w:rsidRDefault="00647018" w:rsidP="00647018">
      <w:pPr>
        <w:spacing w:before="240" w:after="240" w:line="276" w:lineRule="auto"/>
        <w:jc w:val="both"/>
        <w:rPr>
          <w:rFonts w:asciiTheme="minorHAnsi" w:hAnsiTheme="minorHAnsi"/>
          <w:sz w:val="22"/>
          <w:szCs w:val="22"/>
        </w:rPr>
      </w:pPr>
      <w:r w:rsidRPr="007C4D65">
        <w:rPr>
          <w:rFonts w:asciiTheme="minorHAnsi" w:hAnsiTheme="minorHAnsi"/>
          <w:b/>
          <w:bCs/>
          <w:sz w:val="22"/>
          <w:szCs w:val="22"/>
        </w:rPr>
        <w:t xml:space="preserve">Priority 5.5 </w:t>
      </w:r>
      <w:r w:rsidR="00C749AE" w:rsidRPr="007C4D65">
        <w:rPr>
          <w:rFonts w:asciiTheme="minorHAnsi" w:hAnsiTheme="minorHAnsi"/>
          <w:b/>
          <w:bCs/>
          <w:sz w:val="22"/>
          <w:szCs w:val="22"/>
        </w:rPr>
        <w:t>Establish a legislative framework and clear institutional competences to transpose EU acquis on environmental noise in legislation of the Federation of BiH</w:t>
      </w:r>
      <w:r w:rsidRPr="007C4D65">
        <w:rPr>
          <w:rFonts w:asciiTheme="minorHAnsi" w:hAnsiTheme="minorHAnsi"/>
          <w:sz w:val="22"/>
          <w:szCs w:val="22"/>
        </w:rPr>
        <w:t>. The plan is to achieve this priority by updating the existing, and by developing and adopting new legislation that would enable strategic planning and managing environmental noise and development of noise protection action plan. In addition, noise created by outdoor equipment is also part of the EU acquis that needs to be transposed in FBiH legislation and implemented.</w:t>
      </w:r>
    </w:p>
    <w:p w14:paraId="77D4D526" w14:textId="33B0AA5C" w:rsidR="00647018" w:rsidRPr="007C4D65" w:rsidRDefault="00647018" w:rsidP="00647018">
      <w:pPr>
        <w:spacing w:before="240" w:after="240" w:line="276" w:lineRule="auto"/>
        <w:jc w:val="both"/>
        <w:rPr>
          <w:rFonts w:asciiTheme="minorHAnsi" w:hAnsiTheme="minorHAnsi" w:cstheme="minorHAnsi"/>
          <w:sz w:val="22"/>
          <w:szCs w:val="22"/>
        </w:rPr>
      </w:pPr>
      <w:r w:rsidRPr="007C4D65">
        <w:rPr>
          <w:rFonts w:asciiTheme="minorHAnsi" w:hAnsiTheme="minorHAnsi"/>
          <w:b/>
          <w:bCs/>
          <w:sz w:val="22"/>
          <w:szCs w:val="22"/>
        </w:rPr>
        <w:t>Priority 5.6 Enhance strategic planning and monitoring of environmental noise</w:t>
      </w:r>
      <w:r w:rsidRPr="007C4D65">
        <w:rPr>
          <w:rFonts w:asciiTheme="minorHAnsi" w:hAnsiTheme="minorHAnsi"/>
          <w:sz w:val="22"/>
          <w:szCs w:val="22"/>
        </w:rPr>
        <w:t>, planned to be achieved through development of strategic noise maps and noise protection action plans for settlements, roads and railroads, industrial sources, all in accordance with the methodology described in Directive 2002/49/EC. As the most important part of strategic mapping of noise, the plan is to identify the areas where the population is exposed to extreme noise, disaggregated by gender and age groups, to be used as basis for development of a noise protection action plan.</w:t>
      </w:r>
    </w:p>
    <w:p w14:paraId="3B020F43" w14:textId="11414044" w:rsidR="00647018" w:rsidRPr="007C4D65" w:rsidRDefault="00647018" w:rsidP="00647018">
      <w:pPr>
        <w:spacing w:before="240" w:after="240" w:line="276" w:lineRule="auto"/>
        <w:jc w:val="both"/>
        <w:rPr>
          <w:rFonts w:asciiTheme="minorHAnsi" w:hAnsiTheme="minorHAnsi"/>
          <w:sz w:val="22"/>
          <w:szCs w:val="22"/>
        </w:rPr>
      </w:pPr>
      <w:r w:rsidRPr="007C4D65">
        <w:rPr>
          <w:rFonts w:asciiTheme="minorHAnsi" w:hAnsiTheme="minorHAnsi"/>
          <w:b/>
          <w:sz w:val="22"/>
          <w:szCs w:val="22"/>
        </w:rPr>
        <w:t xml:space="preserve">Priority 5.7 </w:t>
      </w:r>
      <w:r w:rsidRPr="007C4D65">
        <w:rPr>
          <w:rFonts w:asciiTheme="minorHAnsi" w:hAnsiTheme="minorHAnsi"/>
          <w:b/>
          <w:bCs/>
          <w:sz w:val="22"/>
          <w:szCs w:val="22"/>
        </w:rPr>
        <w:t xml:space="preserve">Efficient operation of institutions </w:t>
      </w:r>
      <w:proofErr w:type="gramStart"/>
      <w:r w:rsidRPr="007C4D65">
        <w:rPr>
          <w:rFonts w:asciiTheme="minorHAnsi" w:hAnsiTheme="minorHAnsi"/>
          <w:b/>
          <w:bCs/>
          <w:sz w:val="22"/>
          <w:szCs w:val="22"/>
        </w:rPr>
        <w:t>in the area of</w:t>
      </w:r>
      <w:proofErr w:type="gramEnd"/>
      <w:r w:rsidRPr="007C4D65">
        <w:rPr>
          <w:rFonts w:asciiTheme="minorHAnsi" w:hAnsiTheme="minorHAnsi"/>
          <w:b/>
          <w:bCs/>
          <w:sz w:val="22"/>
          <w:szCs w:val="22"/>
        </w:rPr>
        <w:t xml:space="preserve"> environmental noise</w:t>
      </w:r>
      <w:r w:rsidRPr="007C4D65">
        <w:rPr>
          <w:rFonts w:asciiTheme="minorHAnsi" w:hAnsiTheme="minorHAnsi"/>
          <w:sz w:val="22"/>
          <w:szCs w:val="22"/>
        </w:rPr>
        <w:t xml:space="preserve">, to be achieved by enhancing capacities of competent institutions, as well as their competencies and knowledge on environmental noise, for the purpose of implementing noise management legislation. In addition to strengthening human capacities, it will be necessary to strengthen technical capacities too so that the information on environmental noise can be presented to </w:t>
      </w:r>
      <w:proofErr w:type="gramStart"/>
      <w:r w:rsidRPr="007C4D65">
        <w:rPr>
          <w:rFonts w:asciiTheme="minorHAnsi" w:hAnsiTheme="minorHAnsi"/>
          <w:sz w:val="22"/>
          <w:szCs w:val="22"/>
        </w:rPr>
        <w:t>general public</w:t>
      </w:r>
      <w:proofErr w:type="gramEnd"/>
      <w:r w:rsidRPr="007C4D65">
        <w:rPr>
          <w:rFonts w:asciiTheme="minorHAnsi" w:hAnsiTheme="minorHAnsi"/>
          <w:sz w:val="22"/>
          <w:szCs w:val="22"/>
        </w:rPr>
        <w:t xml:space="preserve"> in a simple way, and also used for reporting to EU institutions as needed.</w:t>
      </w:r>
    </w:p>
    <w:p w14:paraId="59104BF0" w14:textId="10DD76B3" w:rsidR="00647018" w:rsidRPr="007C4D65" w:rsidRDefault="00685EB8" w:rsidP="00647018">
      <w:pPr>
        <w:spacing w:before="240" w:after="240" w:line="276" w:lineRule="auto"/>
        <w:jc w:val="both"/>
        <w:rPr>
          <w:rFonts w:asciiTheme="minorHAnsi" w:hAnsiTheme="minorHAnsi" w:cstheme="minorHAnsi"/>
          <w:sz w:val="22"/>
          <w:szCs w:val="22"/>
        </w:rPr>
      </w:pPr>
      <w:r w:rsidRPr="007C4D65">
        <w:rPr>
          <w:rFonts w:asciiTheme="minorHAnsi" w:hAnsiTheme="minorHAnsi"/>
          <w:b/>
          <w:sz w:val="22"/>
          <w:szCs w:val="22"/>
        </w:rPr>
        <w:t xml:space="preserve">Priority 5.8 </w:t>
      </w:r>
      <w:r w:rsidR="00467B07" w:rsidRPr="007C4D65">
        <w:rPr>
          <w:rFonts w:asciiTheme="minorHAnsi" w:hAnsiTheme="minorHAnsi"/>
          <w:b/>
          <w:sz w:val="22"/>
          <w:szCs w:val="22"/>
        </w:rPr>
        <w:t>Reduce the risk to human health from environmental noise</w:t>
      </w:r>
      <w:r w:rsidR="00647018" w:rsidRPr="007C4D65">
        <w:rPr>
          <w:rFonts w:asciiTheme="minorHAnsi" w:hAnsiTheme="minorHAnsi"/>
          <w:b/>
          <w:sz w:val="22"/>
          <w:szCs w:val="22"/>
        </w:rPr>
        <w:t xml:space="preserve">, </w:t>
      </w:r>
      <w:r w:rsidR="00647018" w:rsidRPr="007C4D65">
        <w:rPr>
          <w:rFonts w:asciiTheme="minorHAnsi" w:hAnsiTheme="minorHAnsi"/>
          <w:sz w:val="22"/>
          <w:szCs w:val="22"/>
        </w:rPr>
        <w:t>what is achieved by continuous reporting and educational activities aimed at improving knowledge of population regarding the risks posed by exposure to noise. Raising public awareness is the most important component of the planned activities, considering the extremely low level of knowledge among the population regarding the negative health impacts of noise.</w:t>
      </w:r>
    </w:p>
    <w:p w14:paraId="613E24C8" w14:textId="233D55CB" w:rsidR="00647018" w:rsidRPr="007C4D65" w:rsidRDefault="00647018" w:rsidP="00647018">
      <w:pPr>
        <w:pStyle w:val="Caption"/>
        <w:spacing w:line="276" w:lineRule="auto"/>
        <w:rPr>
          <w:rFonts w:asciiTheme="minorHAnsi" w:hAnsiTheme="minorHAnsi" w:cstheme="minorHAnsi"/>
        </w:rPr>
      </w:pPr>
      <w:bookmarkStart w:id="163" w:name="_Toc117011600"/>
      <w:bookmarkStart w:id="164" w:name="_Toc109842450"/>
      <w:r w:rsidRPr="007C4D65">
        <w:rPr>
          <w:rFonts w:asciiTheme="minorHAnsi" w:hAnsiTheme="minorHAnsi"/>
        </w:rPr>
        <w:t xml:space="preserve">Table </w:t>
      </w:r>
      <w:r w:rsidR="005D60DA" w:rsidRPr="007C4D65">
        <w:rPr>
          <w:rFonts w:asciiTheme="minorHAnsi" w:hAnsiTheme="minorHAnsi" w:cstheme="minorHAnsi"/>
          <w:b w:val="0"/>
          <w:i w:val="0"/>
          <w:szCs w:val="20"/>
          <w:lang w:val="hr-HR"/>
        </w:rPr>
        <w:fldChar w:fldCharType="begin"/>
      </w:r>
      <w:r w:rsidR="005D60DA" w:rsidRPr="007C4D65">
        <w:rPr>
          <w:rFonts w:asciiTheme="minorHAnsi" w:hAnsiTheme="minorHAnsi" w:cstheme="minorHAnsi"/>
          <w:szCs w:val="20"/>
          <w:lang w:val="hr-HR"/>
        </w:rPr>
        <w:instrText xml:space="preserve"> SEQ Tabela \* ARABIC </w:instrText>
      </w:r>
      <w:r w:rsidR="005D60DA" w:rsidRPr="007C4D65">
        <w:rPr>
          <w:rFonts w:asciiTheme="minorHAnsi" w:hAnsiTheme="minorHAnsi" w:cstheme="minorHAnsi"/>
          <w:b w:val="0"/>
          <w:i w:val="0"/>
          <w:szCs w:val="20"/>
          <w:lang w:val="hr-HR"/>
        </w:rPr>
        <w:fldChar w:fldCharType="separate"/>
      </w:r>
      <w:r w:rsidR="005D60DA" w:rsidRPr="007C4D65">
        <w:rPr>
          <w:rFonts w:asciiTheme="minorHAnsi" w:hAnsiTheme="minorHAnsi" w:cstheme="minorHAnsi"/>
          <w:noProof/>
          <w:szCs w:val="20"/>
          <w:lang w:val="hr-HR"/>
        </w:rPr>
        <w:t>21</w:t>
      </w:r>
      <w:r w:rsidR="005D60DA" w:rsidRPr="007C4D65">
        <w:rPr>
          <w:rFonts w:asciiTheme="minorHAnsi" w:hAnsiTheme="minorHAnsi" w:cstheme="minorHAnsi"/>
          <w:b w:val="0"/>
          <w:i w:val="0"/>
          <w:szCs w:val="20"/>
          <w:lang w:val="hr-HR"/>
        </w:rPr>
        <w:fldChar w:fldCharType="end"/>
      </w:r>
      <w:r w:rsidRPr="007C4D65">
        <w:rPr>
          <w:rFonts w:asciiTheme="minorHAnsi" w:hAnsiTheme="minorHAnsi"/>
        </w:rPr>
        <w:t>:</w:t>
      </w:r>
      <w:r w:rsidRPr="007C4D65">
        <w:rPr>
          <w:rFonts w:asciiTheme="minorHAnsi" w:hAnsiTheme="minorHAnsi"/>
          <w:szCs w:val="20"/>
        </w:rPr>
        <w:t xml:space="preserve"> </w:t>
      </w:r>
      <w:r w:rsidRPr="007C4D65">
        <w:rPr>
          <w:rFonts w:asciiTheme="minorHAnsi" w:hAnsiTheme="minorHAnsi"/>
          <w:b w:val="0"/>
          <w:bCs/>
          <w:szCs w:val="20"/>
        </w:rPr>
        <w:t>Priorities with relevant indicators</w:t>
      </w:r>
      <w:bookmarkEnd w:id="163"/>
      <w:r w:rsidRPr="007C4D65">
        <w:rPr>
          <w:rFonts w:asciiTheme="minorHAnsi" w:hAnsiTheme="minorHAnsi"/>
          <w:b w:val="0"/>
          <w:bCs/>
          <w:szCs w:val="20"/>
        </w:rPr>
        <w:t xml:space="preserve"> </w:t>
      </w:r>
      <w:bookmarkEnd w:id="164"/>
    </w:p>
    <w:tbl>
      <w:tblPr>
        <w:tblStyle w:val="TABLICAHAOP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3"/>
        <w:gridCol w:w="2252"/>
        <w:gridCol w:w="2252"/>
        <w:gridCol w:w="2253"/>
      </w:tblGrid>
      <w:tr w:rsidR="00647018" w:rsidRPr="007C4D65" w14:paraId="7A013470" w14:textId="77777777" w:rsidTr="00B6017F">
        <w:trPr>
          <w:tblHeader/>
        </w:trPr>
        <w:tc>
          <w:tcPr>
            <w:tcW w:w="2253" w:type="dxa"/>
            <w:shd w:val="clear" w:color="auto" w:fill="009D73"/>
            <w:vAlign w:val="center"/>
          </w:tcPr>
          <w:p w14:paraId="2815EA65" w14:textId="77777777" w:rsidR="00647018" w:rsidRPr="007C4D65" w:rsidRDefault="00647018"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b/>
                <w:color w:val="FFFFFF" w:themeColor="background1"/>
                <w:sz w:val="18"/>
                <w:szCs w:val="18"/>
              </w:rPr>
              <w:t>Priorities</w:t>
            </w:r>
          </w:p>
        </w:tc>
        <w:tc>
          <w:tcPr>
            <w:tcW w:w="2252" w:type="dxa"/>
            <w:shd w:val="clear" w:color="auto" w:fill="009D73"/>
            <w:vAlign w:val="center"/>
          </w:tcPr>
          <w:p w14:paraId="6BCDE115" w14:textId="77777777" w:rsidR="00647018" w:rsidRPr="007C4D65" w:rsidRDefault="00647018"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b/>
                <w:color w:val="FFFFFF" w:themeColor="background1"/>
                <w:sz w:val="18"/>
                <w:szCs w:val="18"/>
              </w:rPr>
              <w:t>(Target) values indicator</w:t>
            </w:r>
          </w:p>
        </w:tc>
        <w:tc>
          <w:tcPr>
            <w:tcW w:w="2252" w:type="dxa"/>
            <w:shd w:val="clear" w:color="auto" w:fill="009D73"/>
            <w:vAlign w:val="center"/>
          </w:tcPr>
          <w:p w14:paraId="5440CBE7" w14:textId="77777777" w:rsidR="00647018" w:rsidRPr="007C4D65" w:rsidRDefault="00647018"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b/>
                <w:color w:val="FFFFFF" w:themeColor="background1"/>
                <w:sz w:val="18"/>
                <w:szCs w:val="18"/>
              </w:rPr>
              <w:t>Baseline value</w:t>
            </w:r>
          </w:p>
        </w:tc>
        <w:tc>
          <w:tcPr>
            <w:tcW w:w="2253" w:type="dxa"/>
            <w:shd w:val="clear" w:color="auto" w:fill="009D73"/>
            <w:vAlign w:val="center"/>
          </w:tcPr>
          <w:p w14:paraId="54DB3EB3" w14:textId="77777777" w:rsidR="00647018" w:rsidRPr="007C4D65" w:rsidRDefault="00647018"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b/>
                <w:color w:val="FFFFFF" w:themeColor="background1"/>
                <w:sz w:val="18"/>
                <w:szCs w:val="18"/>
              </w:rPr>
              <w:t>Target value</w:t>
            </w:r>
          </w:p>
        </w:tc>
      </w:tr>
      <w:tr w:rsidR="00647018" w:rsidRPr="007C4D65" w14:paraId="286B4DE9" w14:textId="77777777" w:rsidTr="00B6017F">
        <w:trPr>
          <w:trHeight w:val="300"/>
        </w:trPr>
        <w:tc>
          <w:tcPr>
            <w:tcW w:w="2253" w:type="dxa"/>
            <w:vMerge w:val="restart"/>
          </w:tcPr>
          <w:p w14:paraId="1B459D9B" w14:textId="1B84517B" w:rsidR="00647018" w:rsidRPr="007C4D65" w:rsidRDefault="00647018" w:rsidP="00B6017F">
            <w:pPr>
              <w:spacing w:line="276" w:lineRule="auto"/>
              <w:rPr>
                <w:rFonts w:asciiTheme="minorHAnsi" w:hAnsiTheme="minorHAnsi" w:cstheme="minorHAnsi"/>
                <w:b/>
                <w:sz w:val="18"/>
                <w:szCs w:val="18"/>
              </w:rPr>
            </w:pPr>
            <w:r w:rsidRPr="007C4D65">
              <w:rPr>
                <w:rFonts w:asciiTheme="minorHAnsi" w:hAnsiTheme="minorHAnsi"/>
                <w:b/>
                <w:sz w:val="18"/>
                <w:szCs w:val="18"/>
              </w:rPr>
              <w:t>Priority 5.1 Improve</w:t>
            </w:r>
            <w:r w:rsidR="00685EB8" w:rsidRPr="007C4D65">
              <w:rPr>
                <w:rFonts w:asciiTheme="minorHAnsi" w:hAnsiTheme="minorHAnsi"/>
                <w:b/>
                <w:sz w:val="18"/>
                <w:szCs w:val="18"/>
              </w:rPr>
              <w:t>d</w:t>
            </w:r>
            <w:r w:rsidRPr="007C4D65">
              <w:rPr>
                <w:rFonts w:asciiTheme="minorHAnsi" w:hAnsiTheme="minorHAnsi"/>
                <w:b/>
                <w:sz w:val="18"/>
                <w:szCs w:val="18"/>
              </w:rPr>
              <w:t xml:space="preserve"> legislation in the field of chemical safety</w:t>
            </w:r>
          </w:p>
        </w:tc>
        <w:tc>
          <w:tcPr>
            <w:tcW w:w="2252" w:type="dxa"/>
          </w:tcPr>
          <w:p w14:paraId="58BC12F5"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Level of transposition of EU acquis and conventions in the field of chemical safety (Regulation (EC) no. 1907/2006 (REACH), Regulation (EC) no. 1272/2008 (CLP Regulation), Regulation (EC) no. 648/2004 on detergents, Regulation (EU) no. 649/2012 on exports and imports of hazardous chemicals, Regulation (EU) 2019/1021 on POPs chemicals, and Directive </w:t>
            </w:r>
            <w:r w:rsidRPr="007C4D65">
              <w:rPr>
                <w:rFonts w:asciiTheme="minorHAnsi" w:hAnsiTheme="minorHAnsi"/>
                <w:sz w:val="18"/>
                <w:szCs w:val="18"/>
              </w:rPr>
              <w:lastRenderedPageBreak/>
              <w:t xml:space="preserve">2004/10/EC on application of the principles of good laboratory practice, Rotterdam Convention, and Stockholm Convention </w:t>
            </w:r>
          </w:p>
          <w:p w14:paraId="42301E11" w14:textId="77777777" w:rsidR="00647018" w:rsidRPr="007C4D65" w:rsidRDefault="00647018" w:rsidP="00B6017F">
            <w:pPr>
              <w:spacing w:line="276" w:lineRule="auto"/>
              <w:rPr>
                <w:rFonts w:asciiTheme="minorHAnsi" w:hAnsiTheme="minorHAnsi" w:cstheme="minorHAnsi"/>
                <w:sz w:val="18"/>
                <w:szCs w:val="18"/>
                <w:lang w:val="hr-HR"/>
              </w:rPr>
            </w:pPr>
          </w:p>
        </w:tc>
        <w:tc>
          <w:tcPr>
            <w:tcW w:w="2252" w:type="dxa"/>
          </w:tcPr>
          <w:p w14:paraId="4AFE3C94"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lastRenderedPageBreak/>
              <w:t xml:space="preserve">Low level of transposition of EU acquis and conventions in the field of chemical safety </w:t>
            </w:r>
          </w:p>
        </w:tc>
        <w:tc>
          <w:tcPr>
            <w:tcW w:w="2253" w:type="dxa"/>
          </w:tcPr>
          <w:p w14:paraId="1666E1C5"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Partial transposition of EU acquis and conventions in the field of chemical safety (Regulation (EC) no. 1907/2006 (REACH), Regulation (EC) no. 1272/2008 (CLP Regulation), Regulation (EC) no. 648/2004 on detergents, Regulation (EU) no. 649/2012 on exports and imports of hazardous chemicals, Regulation (EU) 2019/1021 on POPs chemicals, and Directive </w:t>
            </w:r>
            <w:r w:rsidRPr="007C4D65">
              <w:rPr>
                <w:rFonts w:asciiTheme="minorHAnsi" w:hAnsiTheme="minorHAnsi"/>
                <w:sz w:val="18"/>
                <w:szCs w:val="18"/>
              </w:rPr>
              <w:lastRenderedPageBreak/>
              <w:t xml:space="preserve">2004/10/EC on application of the principles of good laboratory practices, Rotterdam Convention, and Stockholm Convention </w:t>
            </w:r>
          </w:p>
          <w:p w14:paraId="03EFFA8B"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(2024)</w:t>
            </w:r>
          </w:p>
        </w:tc>
      </w:tr>
      <w:tr w:rsidR="00647018" w:rsidRPr="007C4D65" w14:paraId="07FFB297" w14:textId="77777777" w:rsidTr="00B6017F">
        <w:trPr>
          <w:trHeight w:val="300"/>
        </w:trPr>
        <w:tc>
          <w:tcPr>
            <w:tcW w:w="2253" w:type="dxa"/>
            <w:vMerge/>
            <w:vAlign w:val="center"/>
          </w:tcPr>
          <w:p w14:paraId="3798ABF4" w14:textId="77777777" w:rsidR="00647018" w:rsidRPr="007C4D65" w:rsidRDefault="00647018" w:rsidP="00B6017F">
            <w:pPr>
              <w:spacing w:line="276" w:lineRule="auto"/>
              <w:rPr>
                <w:rFonts w:asciiTheme="minorHAnsi" w:hAnsiTheme="minorHAnsi" w:cstheme="minorHAnsi"/>
                <w:sz w:val="18"/>
                <w:szCs w:val="18"/>
                <w:lang w:val="hr-HR"/>
              </w:rPr>
            </w:pPr>
          </w:p>
        </w:tc>
        <w:tc>
          <w:tcPr>
            <w:tcW w:w="2252" w:type="dxa"/>
          </w:tcPr>
          <w:p w14:paraId="77096DFA"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Level of transposition of the SEVESO III Directive in legislation of FBiH</w:t>
            </w:r>
          </w:p>
        </w:tc>
        <w:tc>
          <w:tcPr>
            <w:tcW w:w="2252" w:type="dxa"/>
          </w:tcPr>
          <w:p w14:paraId="3FCD14D2"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Created is the legal basis for transposition of the Seveso III Directive in the Law Environment Protection; however, a regulation needs to be passed that specifies the content and method of maintaining of Registry of Major Accidents. </w:t>
            </w:r>
          </w:p>
          <w:p w14:paraId="39A47FA6"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The existing Rulebook on the content of the report on safety status, content of information of safety measures and contents of internal and external intervention plans was made in 2005 and needs to be updated to include the new requirements.</w:t>
            </w:r>
          </w:p>
        </w:tc>
        <w:tc>
          <w:tcPr>
            <w:tcW w:w="2253" w:type="dxa"/>
          </w:tcPr>
          <w:p w14:paraId="76C1E874"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Partial transposition of the SEVESO III Directive in legislation of FBiH by (2028)</w:t>
            </w:r>
          </w:p>
        </w:tc>
      </w:tr>
      <w:tr w:rsidR="00647018" w:rsidRPr="007C4D65" w14:paraId="793AFEBC" w14:textId="77777777" w:rsidTr="00B6017F">
        <w:trPr>
          <w:trHeight w:val="300"/>
        </w:trPr>
        <w:tc>
          <w:tcPr>
            <w:tcW w:w="2253" w:type="dxa"/>
            <w:vMerge/>
            <w:vAlign w:val="center"/>
          </w:tcPr>
          <w:p w14:paraId="7772F57D" w14:textId="77777777" w:rsidR="00647018" w:rsidRPr="007C4D65" w:rsidRDefault="00647018" w:rsidP="00B6017F">
            <w:pPr>
              <w:spacing w:line="276" w:lineRule="auto"/>
              <w:rPr>
                <w:rFonts w:asciiTheme="minorHAnsi" w:hAnsiTheme="minorHAnsi" w:cstheme="minorHAnsi"/>
                <w:sz w:val="18"/>
                <w:szCs w:val="18"/>
                <w:lang w:val="hr-HR"/>
              </w:rPr>
            </w:pPr>
          </w:p>
        </w:tc>
        <w:tc>
          <w:tcPr>
            <w:tcW w:w="2252" w:type="dxa"/>
          </w:tcPr>
          <w:p w14:paraId="1040A3D0"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Level of transposition of Regulation (EU) no. 528/2012 on biocidal products</w:t>
            </w:r>
          </w:p>
        </w:tc>
        <w:tc>
          <w:tcPr>
            <w:tcW w:w="2252" w:type="dxa"/>
          </w:tcPr>
          <w:p w14:paraId="1AD92F84"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Law on Biocides has not been adopted</w:t>
            </w:r>
          </w:p>
        </w:tc>
        <w:tc>
          <w:tcPr>
            <w:tcW w:w="2253" w:type="dxa"/>
          </w:tcPr>
          <w:p w14:paraId="1900A356"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Established legislative framework for biocidal product management and high level of transposition of Regulation (EU) no. 528 / 2012 (2025)</w:t>
            </w:r>
          </w:p>
          <w:p w14:paraId="4886DF8D" w14:textId="77777777" w:rsidR="00647018" w:rsidRPr="007C4D65" w:rsidRDefault="00647018" w:rsidP="00B6017F">
            <w:pPr>
              <w:spacing w:line="276" w:lineRule="auto"/>
              <w:rPr>
                <w:rFonts w:asciiTheme="minorHAnsi" w:hAnsiTheme="minorHAnsi" w:cstheme="minorHAnsi"/>
                <w:sz w:val="18"/>
                <w:szCs w:val="18"/>
                <w:lang w:val="hr-HR"/>
              </w:rPr>
            </w:pPr>
          </w:p>
        </w:tc>
      </w:tr>
      <w:tr w:rsidR="00647018" w:rsidRPr="007C4D65" w14:paraId="09AE7092" w14:textId="77777777" w:rsidTr="00B6017F">
        <w:trPr>
          <w:trHeight w:val="300"/>
        </w:trPr>
        <w:tc>
          <w:tcPr>
            <w:tcW w:w="2253" w:type="dxa"/>
            <w:vMerge/>
            <w:vAlign w:val="center"/>
          </w:tcPr>
          <w:p w14:paraId="674B5C51" w14:textId="77777777" w:rsidR="00647018" w:rsidRPr="007C4D65" w:rsidRDefault="00647018" w:rsidP="00B6017F">
            <w:pPr>
              <w:spacing w:line="276" w:lineRule="auto"/>
              <w:rPr>
                <w:rFonts w:asciiTheme="minorHAnsi" w:hAnsiTheme="minorHAnsi" w:cstheme="minorHAnsi"/>
                <w:sz w:val="18"/>
                <w:szCs w:val="18"/>
                <w:lang w:val="hr-HR"/>
              </w:rPr>
            </w:pPr>
          </w:p>
        </w:tc>
        <w:tc>
          <w:tcPr>
            <w:tcW w:w="2252" w:type="dxa"/>
          </w:tcPr>
          <w:p w14:paraId="51219087"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Level of compliance of the legislative framework with requirements of the Minamata Convention, and level of transposition of Regulation (EU) 2017/852 on mercury</w:t>
            </w:r>
          </w:p>
        </w:tc>
        <w:tc>
          <w:tcPr>
            <w:tcW w:w="2252" w:type="dxa"/>
          </w:tcPr>
          <w:p w14:paraId="0FB2639D"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There is no legislative framework for mercury and mercury product management. Transposition of Regulation (EU) 2017/852 on mercury has not started.  The Minamata convention has not been ratified, and there is no legal basis for its implementation at the entity level.</w:t>
            </w:r>
          </w:p>
        </w:tc>
        <w:tc>
          <w:tcPr>
            <w:tcW w:w="2253" w:type="dxa"/>
          </w:tcPr>
          <w:p w14:paraId="49A425F9"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Established legislative framework for mercury and mercury product management, and partial transposition of the Regulation (EU) 2017/852 on mercury, and the Minamata Convention by 2024.</w:t>
            </w:r>
          </w:p>
          <w:p w14:paraId="3951942E" w14:textId="77777777" w:rsidR="00647018" w:rsidRPr="007C4D65" w:rsidRDefault="00647018" w:rsidP="00B6017F">
            <w:pPr>
              <w:spacing w:line="276" w:lineRule="auto"/>
              <w:rPr>
                <w:rFonts w:asciiTheme="minorHAnsi" w:hAnsiTheme="minorHAnsi" w:cstheme="minorHAnsi"/>
                <w:sz w:val="18"/>
                <w:szCs w:val="18"/>
                <w:lang w:val="hr-HR"/>
              </w:rPr>
            </w:pPr>
          </w:p>
        </w:tc>
      </w:tr>
      <w:tr w:rsidR="00647018" w:rsidRPr="007C4D65" w14:paraId="33C012D1" w14:textId="77777777" w:rsidTr="00B6017F">
        <w:trPr>
          <w:trHeight w:val="300"/>
        </w:trPr>
        <w:tc>
          <w:tcPr>
            <w:tcW w:w="2253" w:type="dxa"/>
            <w:vMerge/>
            <w:vAlign w:val="center"/>
          </w:tcPr>
          <w:p w14:paraId="04214BF0" w14:textId="77777777" w:rsidR="00647018" w:rsidRPr="007C4D65" w:rsidRDefault="00647018" w:rsidP="00B6017F">
            <w:pPr>
              <w:spacing w:line="276" w:lineRule="auto"/>
              <w:rPr>
                <w:rFonts w:asciiTheme="minorHAnsi" w:hAnsiTheme="minorHAnsi" w:cstheme="minorHAnsi"/>
                <w:sz w:val="18"/>
                <w:szCs w:val="18"/>
                <w:lang w:val="hr-HR"/>
              </w:rPr>
            </w:pPr>
          </w:p>
        </w:tc>
        <w:tc>
          <w:tcPr>
            <w:tcW w:w="2252" w:type="dxa"/>
          </w:tcPr>
          <w:p w14:paraId="0C6AE0D3"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Level of transposition of EU Directive 87/217/EEC on the prevention and reduction of environmental pollution by asbestos</w:t>
            </w:r>
          </w:p>
        </w:tc>
        <w:tc>
          <w:tcPr>
            <w:tcW w:w="2252" w:type="dxa"/>
          </w:tcPr>
          <w:p w14:paraId="7B3FBFB0" w14:textId="492736D6"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Lack of legislative framework that would regulate the emissions of asbestos to air and water by the industries producing asbestos cement and asbestos paper, and therefore the level of </w:t>
            </w:r>
            <w:r w:rsidRPr="007C4D65">
              <w:rPr>
                <w:rFonts w:asciiTheme="minorHAnsi" w:hAnsiTheme="minorHAnsi"/>
                <w:sz w:val="18"/>
                <w:szCs w:val="18"/>
              </w:rPr>
              <w:lastRenderedPageBreak/>
              <w:t xml:space="preserve">transposition of EU Directives 87/217/EEC on prevention and reduction of environment pollution by asbestos is low. When transposing the Directive, one should take into consideration the rulebooks prescribing technical characteristics of cement as well as other construction material that may contain asbestos, the implementation of which is under competences of the </w:t>
            </w:r>
            <w:r w:rsidR="001E6E20" w:rsidRPr="007C4D65">
              <w:rPr>
                <w:rFonts w:asciiTheme="minorHAnsi" w:hAnsiTheme="minorHAnsi"/>
                <w:sz w:val="18"/>
                <w:szCs w:val="18"/>
              </w:rPr>
              <w:t>Federation Ministry</w:t>
            </w:r>
            <w:r w:rsidRPr="007C4D65">
              <w:rPr>
                <w:rFonts w:asciiTheme="minorHAnsi" w:hAnsiTheme="minorHAnsi"/>
                <w:sz w:val="18"/>
                <w:szCs w:val="18"/>
              </w:rPr>
              <w:t xml:space="preserve"> of Spatial Planning.</w:t>
            </w:r>
          </w:p>
        </w:tc>
        <w:tc>
          <w:tcPr>
            <w:tcW w:w="2253" w:type="dxa"/>
          </w:tcPr>
          <w:p w14:paraId="57A9B640"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lastRenderedPageBreak/>
              <w:t>Established legislative framework and partial transposition of the EU Directive 87/217/EEC on prevention and reduction of environment pollution by asbestos by 2024</w:t>
            </w:r>
          </w:p>
          <w:p w14:paraId="24C1A412" w14:textId="77777777" w:rsidR="00647018" w:rsidRPr="007C4D65" w:rsidRDefault="00647018" w:rsidP="00B6017F">
            <w:pPr>
              <w:spacing w:line="276" w:lineRule="auto"/>
              <w:rPr>
                <w:rFonts w:asciiTheme="minorHAnsi" w:hAnsiTheme="minorHAnsi" w:cstheme="minorHAnsi"/>
                <w:sz w:val="18"/>
                <w:szCs w:val="18"/>
                <w:lang w:val="hr-HR"/>
              </w:rPr>
            </w:pPr>
          </w:p>
        </w:tc>
      </w:tr>
      <w:tr w:rsidR="00647018" w:rsidRPr="007C4D65" w14:paraId="50A1DCBD" w14:textId="77777777" w:rsidTr="00B6017F">
        <w:trPr>
          <w:trHeight w:val="300"/>
        </w:trPr>
        <w:tc>
          <w:tcPr>
            <w:tcW w:w="2253" w:type="dxa"/>
            <w:vMerge/>
            <w:vAlign w:val="center"/>
          </w:tcPr>
          <w:p w14:paraId="6A9EB251" w14:textId="77777777" w:rsidR="00647018" w:rsidRPr="007C4D65" w:rsidRDefault="00647018" w:rsidP="00B6017F">
            <w:pPr>
              <w:spacing w:line="276" w:lineRule="auto"/>
              <w:rPr>
                <w:rFonts w:asciiTheme="minorHAnsi" w:hAnsiTheme="minorHAnsi" w:cstheme="minorHAnsi"/>
                <w:sz w:val="18"/>
                <w:szCs w:val="18"/>
                <w:lang w:val="hr-HR"/>
              </w:rPr>
            </w:pPr>
          </w:p>
        </w:tc>
        <w:tc>
          <w:tcPr>
            <w:tcW w:w="2252" w:type="dxa"/>
          </w:tcPr>
          <w:p w14:paraId="652BB7D2"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Level of harmonisation of the legislative framework with requirements of the Montreal Convention, Kigali Amendment and the EU acquis regarding the management of ozone layer depleting substances.</w:t>
            </w:r>
          </w:p>
        </w:tc>
        <w:tc>
          <w:tcPr>
            <w:tcW w:w="2252" w:type="dxa"/>
          </w:tcPr>
          <w:p w14:paraId="5937F0CB"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The current draft Law on Air Protection provides legal basis for transposition of the Regulation (EC) no. 1005/2009 on substances that deplete the ozone layer and Regulation (EC) 517/2014 on fluorinated greenhouse gases, and Montreal Protocol and Kigali amendment. Draft Law is currently in the process of adoption.</w:t>
            </w:r>
          </w:p>
        </w:tc>
        <w:tc>
          <w:tcPr>
            <w:tcW w:w="2253" w:type="dxa"/>
          </w:tcPr>
          <w:p w14:paraId="521D7F1A"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Harmonise/develop secondary legislation (bylaws) to enable partial transposition of Regulations (EC) no. 1005/2009 on ozone layer depleting substances and Regulation (EC) 517/2014 on fluorinated greenhouse gases, as well as the Kigali amendment by 2023.</w:t>
            </w:r>
          </w:p>
        </w:tc>
      </w:tr>
      <w:tr w:rsidR="00647018" w:rsidRPr="007C4D65" w14:paraId="3CBD2167" w14:textId="77777777" w:rsidTr="00B6017F">
        <w:trPr>
          <w:trHeight w:val="300"/>
        </w:trPr>
        <w:tc>
          <w:tcPr>
            <w:tcW w:w="2253" w:type="dxa"/>
            <w:vMerge w:val="restart"/>
          </w:tcPr>
          <w:p w14:paraId="6C9E25C2" w14:textId="3E36AF27" w:rsidR="00647018" w:rsidRPr="007C4D65" w:rsidRDefault="00647018" w:rsidP="00685EB8">
            <w:pPr>
              <w:spacing w:line="276" w:lineRule="auto"/>
              <w:rPr>
                <w:rFonts w:asciiTheme="minorHAnsi" w:hAnsiTheme="minorHAnsi" w:cstheme="minorHAnsi"/>
                <w:b/>
                <w:sz w:val="18"/>
                <w:szCs w:val="18"/>
              </w:rPr>
            </w:pPr>
            <w:r w:rsidRPr="007C4D65">
              <w:rPr>
                <w:rFonts w:asciiTheme="minorHAnsi" w:hAnsiTheme="minorHAnsi"/>
                <w:b/>
                <w:bCs/>
                <w:sz w:val="18"/>
                <w:szCs w:val="18"/>
              </w:rPr>
              <w:t xml:space="preserve">Priority 5.2 </w:t>
            </w:r>
            <w:r w:rsidR="00735C68" w:rsidRPr="007C4D65">
              <w:rPr>
                <w:rFonts w:asciiTheme="minorHAnsi" w:hAnsiTheme="minorHAnsi"/>
                <w:b/>
                <w:bCs/>
                <w:sz w:val="18"/>
                <w:szCs w:val="18"/>
              </w:rPr>
              <w:t xml:space="preserve">Establish a sustainable system of chemical management and implementation of EU acquis </w:t>
            </w:r>
            <w:proofErr w:type="gramStart"/>
            <w:r w:rsidR="00735C68" w:rsidRPr="007C4D65">
              <w:rPr>
                <w:rFonts w:asciiTheme="minorHAnsi" w:hAnsiTheme="minorHAnsi"/>
                <w:b/>
                <w:bCs/>
                <w:sz w:val="18"/>
                <w:szCs w:val="18"/>
              </w:rPr>
              <w:t>in the area of</w:t>
            </w:r>
            <w:proofErr w:type="gramEnd"/>
            <w:r w:rsidR="00735C68" w:rsidRPr="007C4D65">
              <w:rPr>
                <w:rFonts w:asciiTheme="minorHAnsi" w:hAnsiTheme="minorHAnsi"/>
                <w:b/>
                <w:bCs/>
                <w:sz w:val="18"/>
                <w:szCs w:val="18"/>
              </w:rPr>
              <w:t xml:space="preserve"> chemical safety</w:t>
            </w:r>
          </w:p>
        </w:tc>
        <w:tc>
          <w:tcPr>
            <w:tcW w:w="2252" w:type="dxa"/>
          </w:tcPr>
          <w:p w14:paraId="0A1B8149"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Level of implementation of EU acquis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chemical safety</w:t>
            </w:r>
          </w:p>
        </w:tc>
        <w:tc>
          <w:tcPr>
            <w:tcW w:w="2252" w:type="dxa"/>
          </w:tcPr>
          <w:p w14:paraId="5C3B8018"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Secondary legislation (bylaws) in the field of chemical management have not been developed, so the level of implementation of legislation is low.</w:t>
            </w:r>
          </w:p>
        </w:tc>
        <w:tc>
          <w:tcPr>
            <w:tcW w:w="2253" w:type="dxa"/>
          </w:tcPr>
          <w:p w14:paraId="71AE09DC"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High Level of implementation of legislation transposing EU acquis and conventions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chemical safety (2026).</w:t>
            </w:r>
          </w:p>
        </w:tc>
      </w:tr>
      <w:tr w:rsidR="00647018" w:rsidRPr="007C4D65" w14:paraId="20052F9E" w14:textId="77777777" w:rsidTr="00B6017F">
        <w:trPr>
          <w:trHeight w:val="300"/>
        </w:trPr>
        <w:tc>
          <w:tcPr>
            <w:tcW w:w="2253" w:type="dxa"/>
            <w:vMerge/>
            <w:vAlign w:val="center"/>
          </w:tcPr>
          <w:p w14:paraId="3EB73639" w14:textId="77777777" w:rsidR="00647018" w:rsidRPr="007C4D65" w:rsidRDefault="00647018" w:rsidP="00B6017F">
            <w:pPr>
              <w:spacing w:line="276" w:lineRule="auto"/>
              <w:rPr>
                <w:rFonts w:asciiTheme="minorHAnsi" w:hAnsiTheme="minorHAnsi" w:cstheme="minorHAnsi"/>
                <w:sz w:val="18"/>
                <w:szCs w:val="18"/>
                <w:lang w:val="hr-HR"/>
              </w:rPr>
            </w:pPr>
          </w:p>
        </w:tc>
        <w:tc>
          <w:tcPr>
            <w:tcW w:w="2252" w:type="dxa"/>
          </w:tcPr>
          <w:p w14:paraId="15A7FF54"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Level of implementation of the SEVESO III Directive </w:t>
            </w:r>
          </w:p>
        </w:tc>
        <w:tc>
          <w:tcPr>
            <w:tcW w:w="2252" w:type="dxa"/>
          </w:tcPr>
          <w:p w14:paraId="68FAEC17"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There is no Registry of Major Accidents that is required under SEVESO III Directive.</w:t>
            </w:r>
          </w:p>
        </w:tc>
        <w:tc>
          <w:tcPr>
            <w:tcW w:w="2253" w:type="dxa"/>
          </w:tcPr>
          <w:p w14:paraId="7D401F7E"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High level of implementation of the SEVESO III Directive (2026).</w:t>
            </w:r>
          </w:p>
        </w:tc>
      </w:tr>
      <w:tr w:rsidR="00647018" w:rsidRPr="007C4D65" w14:paraId="4E29B059" w14:textId="77777777" w:rsidTr="00B6017F">
        <w:trPr>
          <w:trHeight w:val="300"/>
        </w:trPr>
        <w:tc>
          <w:tcPr>
            <w:tcW w:w="2253" w:type="dxa"/>
            <w:vMerge/>
            <w:vAlign w:val="center"/>
          </w:tcPr>
          <w:p w14:paraId="02008A35" w14:textId="77777777" w:rsidR="00647018" w:rsidRPr="007C4D65" w:rsidRDefault="00647018" w:rsidP="00B6017F">
            <w:pPr>
              <w:spacing w:line="276" w:lineRule="auto"/>
              <w:rPr>
                <w:rFonts w:asciiTheme="minorHAnsi" w:hAnsiTheme="minorHAnsi" w:cstheme="minorHAnsi"/>
                <w:sz w:val="18"/>
                <w:szCs w:val="18"/>
                <w:lang w:val="hr-HR"/>
              </w:rPr>
            </w:pPr>
          </w:p>
        </w:tc>
        <w:tc>
          <w:tcPr>
            <w:tcW w:w="2252" w:type="dxa"/>
          </w:tcPr>
          <w:p w14:paraId="69C2C381"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Reporting status on the matter of registration of cooling equipment and HVAC equipment services shops in accordance with the EU acquis in the field of ozone depleting substances</w:t>
            </w:r>
          </w:p>
        </w:tc>
        <w:tc>
          <w:tcPr>
            <w:tcW w:w="2252" w:type="dxa"/>
          </w:tcPr>
          <w:p w14:paraId="6FD32B2B"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There is no established registry of service shops and owners of equipment (operators) of cooling and HVAC equipment. </w:t>
            </w:r>
          </w:p>
          <w:p w14:paraId="132BF268"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There is no established plan for training repairers/service providers, as required by the EU acquis </w:t>
            </w:r>
          </w:p>
          <w:p w14:paraId="17FF34E8"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There are no prescribed criteria for establishing </w:t>
            </w:r>
            <w:r w:rsidRPr="007C4D65">
              <w:rPr>
                <w:rFonts w:asciiTheme="minorHAnsi" w:hAnsiTheme="minorHAnsi"/>
                <w:sz w:val="18"/>
                <w:szCs w:val="18"/>
              </w:rPr>
              <w:lastRenderedPageBreak/>
              <w:t>training centres for the repairers</w:t>
            </w:r>
          </w:p>
          <w:p w14:paraId="349D79CE"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No training centres have been appointed for training repairers of HVAC equipment</w:t>
            </w:r>
          </w:p>
        </w:tc>
        <w:tc>
          <w:tcPr>
            <w:tcW w:w="2253" w:type="dxa"/>
          </w:tcPr>
          <w:p w14:paraId="18569F4B"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lastRenderedPageBreak/>
              <w:t>Established system of reporting on the matter of registration of cooling equipment and HVAC equipment services shops in accordance with the EU acquis in the field of ozone depleting substances (2028).</w:t>
            </w:r>
          </w:p>
        </w:tc>
      </w:tr>
      <w:tr w:rsidR="00647018" w:rsidRPr="007C4D65" w14:paraId="40B7707C" w14:textId="77777777" w:rsidTr="00B6017F">
        <w:trPr>
          <w:trHeight w:val="300"/>
        </w:trPr>
        <w:tc>
          <w:tcPr>
            <w:tcW w:w="2253" w:type="dxa"/>
            <w:vMerge w:val="restart"/>
          </w:tcPr>
          <w:p w14:paraId="305F37B3" w14:textId="52EA5258" w:rsidR="00647018" w:rsidRPr="007C4D65" w:rsidRDefault="00647018" w:rsidP="00B6017F">
            <w:pPr>
              <w:spacing w:line="276" w:lineRule="auto"/>
              <w:rPr>
                <w:rFonts w:asciiTheme="minorHAnsi" w:hAnsiTheme="minorHAnsi" w:cstheme="minorHAnsi"/>
                <w:b/>
                <w:sz w:val="18"/>
                <w:szCs w:val="18"/>
              </w:rPr>
            </w:pPr>
            <w:r w:rsidRPr="007C4D65">
              <w:rPr>
                <w:rFonts w:asciiTheme="minorHAnsi" w:hAnsiTheme="minorHAnsi"/>
                <w:b/>
                <w:bCs/>
                <w:sz w:val="18"/>
                <w:szCs w:val="18"/>
              </w:rPr>
              <w:t xml:space="preserve">Priority 5.3 Efficient operation of </w:t>
            </w:r>
            <w:r w:rsidR="00436AC8" w:rsidRPr="007C4D65">
              <w:rPr>
                <w:rFonts w:asciiTheme="minorHAnsi" w:hAnsiTheme="minorHAnsi"/>
                <w:b/>
                <w:bCs/>
                <w:sz w:val="18"/>
                <w:szCs w:val="18"/>
              </w:rPr>
              <w:t xml:space="preserve">the Federation of </w:t>
            </w:r>
            <w:r w:rsidRPr="007C4D65">
              <w:rPr>
                <w:rFonts w:asciiTheme="minorHAnsi" w:hAnsiTheme="minorHAnsi"/>
                <w:b/>
                <w:bCs/>
                <w:sz w:val="18"/>
                <w:szCs w:val="18"/>
              </w:rPr>
              <w:t>BiH institutions in the field of chemical safety</w:t>
            </w:r>
          </w:p>
        </w:tc>
        <w:tc>
          <w:tcPr>
            <w:tcW w:w="2252" w:type="dxa"/>
          </w:tcPr>
          <w:p w14:paraId="4FE8A10C"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Status and adequacy of human and technical capacities of public services in the field of chemical safety.</w:t>
            </w:r>
          </w:p>
        </w:tc>
        <w:tc>
          <w:tcPr>
            <w:tcW w:w="2252" w:type="dxa"/>
          </w:tcPr>
          <w:p w14:paraId="2A772D17"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Capacities of institutions holding responsibility for implementation of legislation regarding chemicals management are extremely low. A legal person has not been formally appointed who would do the poisoning control and who would be competent for implementation of preventative and treatment measures, particularly in emergencies. There is no </w:t>
            </w:r>
            <w:proofErr w:type="gramStart"/>
            <w:r w:rsidRPr="007C4D65">
              <w:rPr>
                <w:rFonts w:asciiTheme="minorHAnsi" w:hAnsiTheme="minorHAnsi"/>
                <w:sz w:val="18"/>
                <w:szCs w:val="18"/>
              </w:rPr>
              <w:t>help-desk</w:t>
            </w:r>
            <w:proofErr w:type="gramEnd"/>
            <w:r w:rsidRPr="007C4D65">
              <w:rPr>
                <w:rFonts w:asciiTheme="minorHAnsi" w:hAnsiTheme="minorHAnsi"/>
                <w:sz w:val="18"/>
                <w:szCs w:val="18"/>
              </w:rPr>
              <w:t xml:space="preserve"> to provide assistance to businesses when reporting chemicals as is required under the REACH regulation.</w:t>
            </w:r>
          </w:p>
        </w:tc>
        <w:tc>
          <w:tcPr>
            <w:tcW w:w="2253" w:type="dxa"/>
          </w:tcPr>
          <w:p w14:paraId="39099C21"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Enhanced human and technical capacities and competences of public services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chemicals safety (2026)</w:t>
            </w:r>
          </w:p>
        </w:tc>
      </w:tr>
      <w:tr w:rsidR="00647018" w:rsidRPr="007C4D65" w14:paraId="122DB72F" w14:textId="77777777" w:rsidTr="00B6017F">
        <w:trPr>
          <w:trHeight w:val="300"/>
        </w:trPr>
        <w:tc>
          <w:tcPr>
            <w:tcW w:w="2253" w:type="dxa"/>
            <w:vMerge/>
            <w:vAlign w:val="center"/>
          </w:tcPr>
          <w:p w14:paraId="58631E5C" w14:textId="77777777" w:rsidR="00647018" w:rsidRPr="007C4D65" w:rsidRDefault="00647018" w:rsidP="00B6017F">
            <w:pPr>
              <w:spacing w:line="276" w:lineRule="auto"/>
              <w:rPr>
                <w:rFonts w:asciiTheme="minorHAnsi" w:hAnsiTheme="minorHAnsi" w:cstheme="minorHAnsi"/>
                <w:sz w:val="18"/>
                <w:szCs w:val="18"/>
                <w:lang w:val="hr-HR"/>
              </w:rPr>
            </w:pPr>
          </w:p>
        </w:tc>
        <w:tc>
          <w:tcPr>
            <w:tcW w:w="2252" w:type="dxa"/>
          </w:tcPr>
          <w:p w14:paraId="6D909D0A"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Level of cooperation and synergy among the competent institutions in the field of environment and health for the purpose of achieving better implementation of legislation on chemical safety</w:t>
            </w:r>
          </w:p>
        </w:tc>
        <w:tc>
          <w:tcPr>
            <w:tcW w:w="2252" w:type="dxa"/>
          </w:tcPr>
          <w:p w14:paraId="5FE57EDE" w14:textId="5DE51B5B"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There is no official system of reporting and coordination among inspection services of the entities and </w:t>
            </w:r>
            <w:r w:rsidR="00295360" w:rsidRPr="007C4D65">
              <w:rPr>
                <w:rFonts w:asciiTheme="minorHAnsi" w:hAnsiTheme="minorHAnsi"/>
                <w:sz w:val="18"/>
                <w:szCs w:val="18"/>
              </w:rPr>
              <w:t>Brcko</w:t>
            </w:r>
            <w:r w:rsidRPr="007C4D65">
              <w:rPr>
                <w:rFonts w:asciiTheme="minorHAnsi" w:hAnsiTheme="minorHAnsi"/>
                <w:sz w:val="18"/>
                <w:szCs w:val="18"/>
              </w:rPr>
              <w:t xml:space="preserve"> District of BiH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chemical safety</w:t>
            </w:r>
          </w:p>
        </w:tc>
        <w:tc>
          <w:tcPr>
            <w:tcW w:w="2253" w:type="dxa"/>
          </w:tcPr>
          <w:p w14:paraId="0240FCC5"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High level of cooperation and synergy among the competent institutions in the field of environment and health for the purpose of achieving better implementation of legislation on chemical safety (2026)</w:t>
            </w:r>
          </w:p>
        </w:tc>
      </w:tr>
      <w:tr w:rsidR="00647018" w:rsidRPr="007C4D65" w14:paraId="17D09283" w14:textId="77777777" w:rsidTr="00B6017F">
        <w:trPr>
          <w:trHeight w:val="300"/>
        </w:trPr>
        <w:tc>
          <w:tcPr>
            <w:tcW w:w="2253" w:type="dxa"/>
            <w:vMerge/>
            <w:vAlign w:val="center"/>
          </w:tcPr>
          <w:p w14:paraId="7ED94098" w14:textId="77777777" w:rsidR="00647018" w:rsidRPr="007C4D65" w:rsidRDefault="00647018" w:rsidP="00B6017F">
            <w:pPr>
              <w:spacing w:line="276" w:lineRule="auto"/>
              <w:rPr>
                <w:rFonts w:asciiTheme="minorHAnsi" w:hAnsiTheme="minorHAnsi" w:cstheme="minorHAnsi"/>
                <w:sz w:val="18"/>
                <w:szCs w:val="18"/>
                <w:lang w:val="hr-HR"/>
              </w:rPr>
            </w:pPr>
          </w:p>
        </w:tc>
        <w:tc>
          <w:tcPr>
            <w:tcW w:w="2252" w:type="dxa"/>
          </w:tcPr>
          <w:p w14:paraId="6F8FF2BD"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Efficiency and reliability of system for collection of data on poisoning of population due to inadequate handling of chemical and chemical products.</w:t>
            </w:r>
          </w:p>
        </w:tc>
        <w:tc>
          <w:tcPr>
            <w:tcW w:w="2252" w:type="dxa"/>
          </w:tcPr>
          <w:p w14:paraId="00602FAE" w14:textId="6F5D1A3C"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In the yearbooks issued by the Institute for Public Health (PHI) </w:t>
            </w:r>
            <w:r w:rsidR="007436F1" w:rsidRPr="007C4D65">
              <w:rPr>
                <w:rFonts w:asciiTheme="minorHAnsi" w:hAnsiTheme="minorHAnsi"/>
                <w:sz w:val="18"/>
                <w:szCs w:val="18"/>
              </w:rPr>
              <w:t>of the Federation of BiH</w:t>
            </w:r>
            <w:r w:rsidRPr="007C4D65">
              <w:rPr>
                <w:rFonts w:asciiTheme="minorHAnsi" w:hAnsiTheme="minorHAnsi"/>
                <w:sz w:val="18"/>
                <w:szCs w:val="18"/>
              </w:rPr>
              <w:t xml:space="preserve">, the incidence of diseases or deaths due to inadequate handling of chemical products is not recorded. However, since 2019, the PHI has had detailed information on poisoning and deaths disaggregated by sex and age group. Although there is a system for collecting and processing data, the procedure for entering data is questionable, </w:t>
            </w:r>
            <w:proofErr w:type="gramStart"/>
            <w:r w:rsidRPr="007C4D65">
              <w:rPr>
                <w:rFonts w:asciiTheme="minorHAnsi" w:hAnsiTheme="minorHAnsi"/>
                <w:sz w:val="18"/>
                <w:szCs w:val="18"/>
              </w:rPr>
              <w:t>i.e.</w:t>
            </w:r>
            <w:proofErr w:type="gramEnd"/>
            <w:r w:rsidRPr="007C4D65">
              <w:rPr>
                <w:rFonts w:asciiTheme="minorHAnsi" w:hAnsiTheme="minorHAnsi"/>
                <w:sz w:val="18"/>
                <w:szCs w:val="18"/>
              </w:rPr>
              <w:t xml:space="preserve"> the question is whether all </w:t>
            </w:r>
            <w:r w:rsidRPr="007C4D65">
              <w:rPr>
                <w:rFonts w:asciiTheme="minorHAnsi" w:hAnsiTheme="minorHAnsi"/>
                <w:sz w:val="18"/>
                <w:szCs w:val="18"/>
              </w:rPr>
              <w:lastRenderedPageBreak/>
              <w:t>public and private health centres are diligent in reporting the cases of poisoning, since there is no clearly prescribed methodology and instructions for reporting.</w:t>
            </w:r>
          </w:p>
        </w:tc>
        <w:tc>
          <w:tcPr>
            <w:tcW w:w="2253" w:type="dxa"/>
          </w:tcPr>
          <w:p w14:paraId="0511D2CC" w14:textId="465A6C13" w:rsidR="00647018" w:rsidRPr="007C4D65" w:rsidRDefault="00647018" w:rsidP="00B6017F">
            <w:pPr>
              <w:spacing w:line="276" w:lineRule="auto"/>
              <w:rPr>
                <w:rFonts w:asciiTheme="minorHAnsi" w:hAnsiTheme="minorHAnsi"/>
                <w:sz w:val="18"/>
                <w:szCs w:val="18"/>
              </w:rPr>
            </w:pPr>
            <w:r w:rsidRPr="007C4D65">
              <w:rPr>
                <w:rFonts w:asciiTheme="minorHAnsi" w:hAnsiTheme="minorHAnsi"/>
                <w:sz w:val="18"/>
                <w:szCs w:val="18"/>
              </w:rPr>
              <w:lastRenderedPageBreak/>
              <w:t xml:space="preserve">Established efficient and reliable methodology for collecting data on people poisoning due to inadequate use of chemicals and chemical products, the outcomes of which will be timely reported in the Health Statistical Yearbook </w:t>
            </w:r>
            <w:r w:rsidR="007436F1" w:rsidRPr="007C4D65">
              <w:rPr>
                <w:rFonts w:asciiTheme="minorHAnsi" w:hAnsiTheme="minorHAnsi"/>
                <w:sz w:val="18"/>
                <w:szCs w:val="18"/>
              </w:rPr>
              <w:t>of the Federation of BiH</w:t>
            </w:r>
            <w:r w:rsidRPr="007C4D65">
              <w:rPr>
                <w:rFonts w:asciiTheme="minorHAnsi" w:hAnsiTheme="minorHAnsi"/>
                <w:sz w:val="18"/>
                <w:szCs w:val="18"/>
              </w:rPr>
              <w:t>.</w:t>
            </w:r>
          </w:p>
        </w:tc>
      </w:tr>
      <w:tr w:rsidR="00647018" w:rsidRPr="007C4D65" w14:paraId="7EBD0A9E" w14:textId="77777777" w:rsidTr="00B6017F">
        <w:trPr>
          <w:trHeight w:val="300"/>
        </w:trPr>
        <w:tc>
          <w:tcPr>
            <w:tcW w:w="2253" w:type="dxa"/>
          </w:tcPr>
          <w:p w14:paraId="3791687E" w14:textId="5F19D387" w:rsidR="00647018" w:rsidRPr="007C4D65" w:rsidRDefault="00647018" w:rsidP="00B6017F">
            <w:pPr>
              <w:spacing w:line="276" w:lineRule="auto"/>
              <w:rPr>
                <w:rFonts w:asciiTheme="minorHAnsi" w:hAnsiTheme="minorHAnsi" w:cstheme="minorHAnsi"/>
                <w:b/>
                <w:sz w:val="18"/>
                <w:szCs w:val="18"/>
              </w:rPr>
            </w:pPr>
            <w:r w:rsidRPr="007C4D65">
              <w:rPr>
                <w:rFonts w:asciiTheme="minorHAnsi" w:hAnsiTheme="minorHAnsi"/>
                <w:b/>
                <w:sz w:val="18"/>
                <w:szCs w:val="18"/>
              </w:rPr>
              <w:t xml:space="preserve">Priority 5.4 </w:t>
            </w:r>
            <w:r w:rsidR="0078459D" w:rsidRPr="007C4D65">
              <w:rPr>
                <w:rFonts w:asciiTheme="minorHAnsi" w:hAnsiTheme="minorHAnsi"/>
                <w:b/>
                <w:sz w:val="18"/>
                <w:szCs w:val="18"/>
              </w:rPr>
              <w:t xml:space="preserve">Reduced incidence of diseases or deaths due to poisoning </w:t>
            </w:r>
            <w:proofErr w:type="gramStart"/>
            <w:r w:rsidR="0078459D" w:rsidRPr="007C4D65">
              <w:rPr>
                <w:rFonts w:asciiTheme="minorHAnsi" w:hAnsiTheme="minorHAnsi"/>
                <w:b/>
                <w:sz w:val="18"/>
                <w:szCs w:val="18"/>
              </w:rPr>
              <w:t>as a consequence of</w:t>
            </w:r>
            <w:proofErr w:type="gramEnd"/>
            <w:r w:rsidR="0078459D" w:rsidRPr="007C4D65">
              <w:rPr>
                <w:rFonts w:asciiTheme="minorHAnsi" w:hAnsiTheme="minorHAnsi"/>
                <w:b/>
                <w:sz w:val="18"/>
                <w:szCs w:val="18"/>
              </w:rPr>
              <w:t xml:space="preserve"> inadequate handling of chemical products</w:t>
            </w:r>
          </w:p>
        </w:tc>
        <w:tc>
          <w:tcPr>
            <w:tcW w:w="2252" w:type="dxa"/>
          </w:tcPr>
          <w:p w14:paraId="60628692"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Level of information and education of general public and users of </w:t>
            </w:r>
            <w:proofErr w:type="gramStart"/>
            <w:r w:rsidRPr="007C4D65">
              <w:rPr>
                <w:rFonts w:asciiTheme="minorHAnsi" w:hAnsiTheme="minorHAnsi"/>
                <w:sz w:val="18"/>
                <w:szCs w:val="18"/>
              </w:rPr>
              <w:t>chemicals on chemicals</w:t>
            </w:r>
            <w:proofErr w:type="gramEnd"/>
            <w:r w:rsidRPr="007C4D65">
              <w:rPr>
                <w:rFonts w:asciiTheme="minorHAnsi" w:hAnsiTheme="minorHAnsi"/>
                <w:sz w:val="18"/>
                <w:szCs w:val="18"/>
              </w:rPr>
              <w:t xml:space="preserve"> management</w:t>
            </w:r>
          </w:p>
        </w:tc>
        <w:tc>
          <w:tcPr>
            <w:tcW w:w="2252" w:type="dxa"/>
          </w:tcPr>
          <w:p w14:paraId="3ED17AA3"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Educational activities and campaigns on harmful impact of hazardous chemicals are very rare and are not implemented systematically, but separately under individual projects.</w:t>
            </w:r>
          </w:p>
        </w:tc>
        <w:tc>
          <w:tcPr>
            <w:tcW w:w="2253" w:type="dxa"/>
          </w:tcPr>
          <w:p w14:paraId="055A92C4"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High level of information and education of </w:t>
            </w:r>
            <w:proofErr w:type="gramStart"/>
            <w:r w:rsidRPr="007C4D65">
              <w:rPr>
                <w:rFonts w:asciiTheme="minorHAnsi" w:hAnsiTheme="minorHAnsi"/>
                <w:sz w:val="18"/>
                <w:szCs w:val="18"/>
              </w:rPr>
              <w:t>general public</w:t>
            </w:r>
            <w:proofErr w:type="gramEnd"/>
            <w:r w:rsidRPr="007C4D65">
              <w:rPr>
                <w:rFonts w:asciiTheme="minorHAnsi" w:hAnsiTheme="minorHAnsi"/>
                <w:sz w:val="18"/>
                <w:szCs w:val="18"/>
              </w:rPr>
              <w:t xml:space="preserve"> and users of chemicals about chemicals management (2030.)</w:t>
            </w:r>
          </w:p>
        </w:tc>
      </w:tr>
      <w:tr w:rsidR="00647018" w:rsidRPr="007C4D65" w14:paraId="6A162761" w14:textId="77777777" w:rsidTr="00B6017F">
        <w:trPr>
          <w:trHeight w:val="300"/>
        </w:trPr>
        <w:tc>
          <w:tcPr>
            <w:tcW w:w="2253" w:type="dxa"/>
            <w:vMerge w:val="restart"/>
          </w:tcPr>
          <w:p w14:paraId="7204D7EA" w14:textId="182AD5FC" w:rsidR="00647018" w:rsidRPr="007C4D65" w:rsidRDefault="00647018" w:rsidP="00B6017F">
            <w:pPr>
              <w:spacing w:line="276" w:lineRule="auto"/>
              <w:rPr>
                <w:rFonts w:asciiTheme="minorHAnsi" w:hAnsiTheme="minorHAnsi" w:cstheme="minorHAnsi"/>
                <w:b/>
                <w:sz w:val="18"/>
                <w:szCs w:val="18"/>
                <w:lang w:val="hr-HR"/>
              </w:rPr>
            </w:pPr>
            <w:r w:rsidRPr="007C4D65">
              <w:rPr>
                <w:rFonts w:asciiTheme="minorHAnsi" w:hAnsiTheme="minorHAnsi"/>
                <w:b/>
                <w:bCs/>
                <w:sz w:val="18"/>
                <w:szCs w:val="18"/>
              </w:rPr>
              <w:t xml:space="preserve">Priority 5.5 </w:t>
            </w:r>
            <w:r w:rsidR="00C749AE" w:rsidRPr="007C4D65">
              <w:rPr>
                <w:rFonts w:asciiTheme="minorHAnsi" w:hAnsiTheme="minorHAnsi"/>
                <w:b/>
                <w:bCs/>
                <w:sz w:val="18"/>
                <w:szCs w:val="18"/>
              </w:rPr>
              <w:t>Establish a legislative framework and clear institutional competences to transpose EU acquis on environmental noise in legislation of the Federation of BiH</w:t>
            </w:r>
          </w:p>
        </w:tc>
        <w:tc>
          <w:tcPr>
            <w:tcW w:w="2252" w:type="dxa"/>
          </w:tcPr>
          <w:p w14:paraId="3EDC1A01"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Level of transposition of EU acquis in the field of environmental noise (Directive 2002/49/EC)</w:t>
            </w:r>
          </w:p>
        </w:tc>
        <w:tc>
          <w:tcPr>
            <w:tcW w:w="2252" w:type="dxa"/>
          </w:tcPr>
          <w:p w14:paraId="1CDE64B8"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Current Law has not provided for the obligation of development and adoption of the Noise Prevention Plan, although that is required by the Directive. In addition, the Law does not address the need to develop strategic noise maps and action plans that will include the activities of prevention / termination of the sources of noise over a longer period.</w:t>
            </w:r>
          </w:p>
        </w:tc>
        <w:tc>
          <w:tcPr>
            <w:tcW w:w="2253" w:type="dxa"/>
          </w:tcPr>
          <w:p w14:paraId="1ACA9DD8"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Partial transposition of EU acquis in the field of environmental noise (Directive 2002/49/EC (2026)</w:t>
            </w:r>
          </w:p>
        </w:tc>
      </w:tr>
      <w:tr w:rsidR="00647018" w:rsidRPr="007C4D65" w14:paraId="72AE6B67" w14:textId="77777777" w:rsidTr="00B6017F">
        <w:trPr>
          <w:trHeight w:val="300"/>
        </w:trPr>
        <w:tc>
          <w:tcPr>
            <w:tcW w:w="2253" w:type="dxa"/>
            <w:vMerge/>
            <w:vAlign w:val="center"/>
          </w:tcPr>
          <w:p w14:paraId="6EF1B21E" w14:textId="77777777" w:rsidR="00647018" w:rsidRPr="007C4D65" w:rsidRDefault="00647018" w:rsidP="00B6017F">
            <w:pPr>
              <w:spacing w:line="276" w:lineRule="auto"/>
              <w:rPr>
                <w:rFonts w:asciiTheme="minorHAnsi" w:hAnsiTheme="minorHAnsi" w:cstheme="minorHAnsi"/>
                <w:sz w:val="18"/>
                <w:szCs w:val="18"/>
                <w:lang w:val="hr-HR"/>
              </w:rPr>
            </w:pPr>
          </w:p>
        </w:tc>
        <w:tc>
          <w:tcPr>
            <w:tcW w:w="2252" w:type="dxa"/>
          </w:tcPr>
          <w:p w14:paraId="494B08BB"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Level of transposition of EU acquis on noise emission by outdoor equipment, in accordance with Directive 2000/14/EC</w:t>
            </w:r>
          </w:p>
        </w:tc>
        <w:tc>
          <w:tcPr>
            <w:tcW w:w="2252" w:type="dxa"/>
          </w:tcPr>
          <w:p w14:paraId="5E9AD40F"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Transposition has not started</w:t>
            </w:r>
          </w:p>
        </w:tc>
        <w:tc>
          <w:tcPr>
            <w:tcW w:w="2253" w:type="dxa"/>
          </w:tcPr>
          <w:p w14:paraId="74C63364"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Partial transposition of EU acquis on noise emission by outdoor equipment, in accordance with Directive 2000/14/EC (2031)</w:t>
            </w:r>
          </w:p>
        </w:tc>
      </w:tr>
      <w:tr w:rsidR="00647018" w:rsidRPr="007C4D65" w14:paraId="194099B0" w14:textId="77777777" w:rsidTr="00B6017F">
        <w:trPr>
          <w:trHeight w:val="300"/>
        </w:trPr>
        <w:tc>
          <w:tcPr>
            <w:tcW w:w="2253" w:type="dxa"/>
            <w:vMerge w:val="restart"/>
          </w:tcPr>
          <w:p w14:paraId="285B33CC" w14:textId="3E5FE8BC" w:rsidR="00647018" w:rsidRPr="007C4D65" w:rsidRDefault="00647018" w:rsidP="00B6017F">
            <w:pPr>
              <w:spacing w:line="276" w:lineRule="auto"/>
              <w:rPr>
                <w:rFonts w:asciiTheme="minorHAnsi" w:hAnsiTheme="minorHAnsi" w:cstheme="minorHAnsi"/>
                <w:b/>
                <w:sz w:val="18"/>
                <w:szCs w:val="18"/>
              </w:rPr>
            </w:pPr>
            <w:r w:rsidRPr="007C4D65">
              <w:rPr>
                <w:rFonts w:asciiTheme="minorHAnsi" w:hAnsiTheme="minorHAnsi"/>
                <w:b/>
                <w:bCs/>
                <w:sz w:val="18"/>
                <w:szCs w:val="18"/>
              </w:rPr>
              <w:t>Priority 5.6 Enhance strategic planning and monitoring of environmental noise</w:t>
            </w:r>
          </w:p>
        </w:tc>
        <w:tc>
          <w:tcPr>
            <w:tcW w:w="2252" w:type="dxa"/>
          </w:tcPr>
          <w:p w14:paraId="4DDEE9CE"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Status of development of strategic noise maps for FBiH</w:t>
            </w:r>
          </w:p>
        </w:tc>
        <w:tc>
          <w:tcPr>
            <w:tcW w:w="2252" w:type="dxa"/>
          </w:tcPr>
          <w:p w14:paraId="7BBC75B9"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Strategic noise maps have not been prepared</w:t>
            </w:r>
          </w:p>
        </w:tc>
        <w:tc>
          <w:tcPr>
            <w:tcW w:w="2253" w:type="dxa"/>
          </w:tcPr>
          <w:p w14:paraId="07FD3E02"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Development of strategic noise maps in accordance with EU activities (every 5 years) (2027)</w:t>
            </w:r>
          </w:p>
        </w:tc>
      </w:tr>
      <w:tr w:rsidR="00647018" w:rsidRPr="007C4D65" w14:paraId="13DA56D3" w14:textId="77777777" w:rsidTr="00B6017F">
        <w:trPr>
          <w:trHeight w:val="300"/>
        </w:trPr>
        <w:tc>
          <w:tcPr>
            <w:tcW w:w="2253" w:type="dxa"/>
            <w:vMerge/>
            <w:vAlign w:val="center"/>
          </w:tcPr>
          <w:p w14:paraId="5E54A8F0" w14:textId="77777777" w:rsidR="00647018" w:rsidRPr="007C4D65" w:rsidRDefault="00647018" w:rsidP="00B6017F">
            <w:pPr>
              <w:spacing w:line="276" w:lineRule="auto"/>
              <w:rPr>
                <w:rFonts w:asciiTheme="minorHAnsi" w:hAnsiTheme="minorHAnsi" w:cstheme="minorHAnsi"/>
                <w:b/>
                <w:sz w:val="18"/>
                <w:szCs w:val="18"/>
                <w:lang w:val="hr-HR"/>
              </w:rPr>
            </w:pPr>
          </w:p>
        </w:tc>
        <w:tc>
          <w:tcPr>
            <w:tcW w:w="2252" w:type="dxa"/>
          </w:tcPr>
          <w:p w14:paraId="70E1DB46"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Status of development of noise protection action plan for FBiH</w:t>
            </w:r>
          </w:p>
        </w:tc>
        <w:tc>
          <w:tcPr>
            <w:tcW w:w="2252" w:type="dxa"/>
          </w:tcPr>
          <w:p w14:paraId="23A5EF56"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Noise protection action plan has not been developed</w:t>
            </w:r>
          </w:p>
        </w:tc>
        <w:tc>
          <w:tcPr>
            <w:tcW w:w="2253" w:type="dxa"/>
          </w:tcPr>
          <w:p w14:paraId="2FDB8717"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Development of noise protection action plan (2029)</w:t>
            </w:r>
          </w:p>
        </w:tc>
      </w:tr>
      <w:tr w:rsidR="00647018" w:rsidRPr="007C4D65" w14:paraId="2286F7B6" w14:textId="77777777" w:rsidTr="00B6017F">
        <w:trPr>
          <w:trHeight w:val="300"/>
        </w:trPr>
        <w:tc>
          <w:tcPr>
            <w:tcW w:w="2253" w:type="dxa"/>
          </w:tcPr>
          <w:p w14:paraId="3A418B7C" w14:textId="00704A05" w:rsidR="00647018" w:rsidRPr="007C4D65" w:rsidRDefault="00647018" w:rsidP="00B6017F">
            <w:pPr>
              <w:spacing w:line="276" w:lineRule="auto"/>
              <w:rPr>
                <w:rFonts w:asciiTheme="minorHAnsi" w:hAnsiTheme="minorHAnsi" w:cstheme="minorHAnsi"/>
                <w:b/>
                <w:sz w:val="18"/>
                <w:szCs w:val="18"/>
              </w:rPr>
            </w:pPr>
            <w:r w:rsidRPr="007C4D65">
              <w:rPr>
                <w:rFonts w:asciiTheme="minorHAnsi" w:hAnsiTheme="minorHAnsi"/>
                <w:b/>
                <w:sz w:val="18"/>
                <w:szCs w:val="18"/>
              </w:rPr>
              <w:t xml:space="preserve">Priority 5.7 Efficient operation of institutions </w:t>
            </w:r>
            <w:proofErr w:type="gramStart"/>
            <w:r w:rsidRPr="007C4D65">
              <w:rPr>
                <w:rFonts w:asciiTheme="minorHAnsi" w:hAnsiTheme="minorHAnsi"/>
                <w:b/>
                <w:sz w:val="18"/>
                <w:szCs w:val="18"/>
              </w:rPr>
              <w:t>in the area of</w:t>
            </w:r>
            <w:proofErr w:type="gramEnd"/>
            <w:r w:rsidRPr="007C4D65">
              <w:rPr>
                <w:rFonts w:asciiTheme="minorHAnsi" w:hAnsiTheme="minorHAnsi"/>
                <w:b/>
                <w:sz w:val="18"/>
                <w:szCs w:val="18"/>
              </w:rPr>
              <w:t xml:space="preserve"> environmental noise</w:t>
            </w:r>
          </w:p>
        </w:tc>
        <w:tc>
          <w:tcPr>
            <w:tcW w:w="2252" w:type="dxa"/>
          </w:tcPr>
          <w:p w14:paraId="7F90DBAD"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Status and adequacy of human and technical capacities in public services in the field of environmental noise</w:t>
            </w:r>
          </w:p>
        </w:tc>
        <w:tc>
          <w:tcPr>
            <w:tcW w:w="2252" w:type="dxa"/>
          </w:tcPr>
          <w:p w14:paraId="73486E8F"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Poor status of human and technical capacities, considering that the legislation is inadequate and not enforced.</w:t>
            </w:r>
          </w:p>
        </w:tc>
        <w:tc>
          <w:tcPr>
            <w:tcW w:w="2253" w:type="dxa"/>
          </w:tcPr>
          <w:p w14:paraId="3CC667C0"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Improved technical and human capacities and competencies in responsible institutions (2028).</w:t>
            </w:r>
          </w:p>
        </w:tc>
      </w:tr>
      <w:tr w:rsidR="00647018" w:rsidRPr="007C4D65" w14:paraId="451FCA60" w14:textId="77777777" w:rsidTr="00B6017F">
        <w:trPr>
          <w:trHeight w:val="300"/>
        </w:trPr>
        <w:tc>
          <w:tcPr>
            <w:tcW w:w="2253" w:type="dxa"/>
          </w:tcPr>
          <w:p w14:paraId="2ED9B51E" w14:textId="6ED44D7F" w:rsidR="00647018" w:rsidRPr="007C4D65" w:rsidRDefault="00647018" w:rsidP="00B6017F">
            <w:pPr>
              <w:spacing w:line="276" w:lineRule="auto"/>
              <w:rPr>
                <w:rFonts w:asciiTheme="minorHAnsi" w:hAnsiTheme="minorHAnsi" w:cstheme="minorHAnsi"/>
                <w:b/>
                <w:sz w:val="18"/>
                <w:szCs w:val="18"/>
              </w:rPr>
            </w:pPr>
            <w:r w:rsidRPr="007C4D65">
              <w:rPr>
                <w:rFonts w:asciiTheme="minorHAnsi" w:hAnsiTheme="minorHAnsi"/>
                <w:b/>
                <w:sz w:val="18"/>
                <w:szCs w:val="18"/>
              </w:rPr>
              <w:t xml:space="preserve">Priority 5.8 </w:t>
            </w:r>
            <w:r w:rsidR="00467B07" w:rsidRPr="007C4D65">
              <w:rPr>
                <w:rFonts w:asciiTheme="minorHAnsi" w:hAnsiTheme="minorHAnsi"/>
                <w:b/>
                <w:sz w:val="18"/>
                <w:szCs w:val="18"/>
              </w:rPr>
              <w:t>Reduce the risk to human health from environmental noise</w:t>
            </w:r>
          </w:p>
        </w:tc>
        <w:tc>
          <w:tcPr>
            <w:tcW w:w="2252" w:type="dxa"/>
          </w:tcPr>
          <w:p w14:paraId="71061BFC"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Level of information of </w:t>
            </w:r>
            <w:proofErr w:type="gramStart"/>
            <w:r w:rsidRPr="007C4D65">
              <w:rPr>
                <w:rFonts w:asciiTheme="minorHAnsi" w:hAnsiTheme="minorHAnsi"/>
                <w:sz w:val="18"/>
                <w:szCs w:val="18"/>
              </w:rPr>
              <w:t>general public</w:t>
            </w:r>
            <w:proofErr w:type="gramEnd"/>
            <w:r w:rsidRPr="007C4D65">
              <w:rPr>
                <w:rFonts w:asciiTheme="minorHAnsi" w:hAnsiTheme="minorHAnsi"/>
                <w:sz w:val="18"/>
                <w:szCs w:val="18"/>
              </w:rPr>
              <w:t xml:space="preserve"> on noise and its effects, particularly in the zones of higher levels of noise</w:t>
            </w:r>
          </w:p>
        </w:tc>
        <w:tc>
          <w:tcPr>
            <w:tcW w:w="2252" w:type="dxa"/>
          </w:tcPr>
          <w:p w14:paraId="126C7575"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There are no mechanisms in place for informing </w:t>
            </w:r>
            <w:proofErr w:type="gramStart"/>
            <w:r w:rsidRPr="007C4D65">
              <w:rPr>
                <w:rFonts w:asciiTheme="minorHAnsi" w:hAnsiTheme="minorHAnsi"/>
                <w:sz w:val="18"/>
                <w:szCs w:val="18"/>
              </w:rPr>
              <w:t>general public</w:t>
            </w:r>
            <w:proofErr w:type="gramEnd"/>
            <w:r w:rsidRPr="007C4D65">
              <w:rPr>
                <w:rFonts w:asciiTheme="minorHAnsi" w:hAnsiTheme="minorHAnsi"/>
                <w:sz w:val="18"/>
                <w:szCs w:val="18"/>
              </w:rPr>
              <w:t xml:space="preserve"> on noise and its effects on health; zones exceptionally exposed to </w:t>
            </w:r>
            <w:r w:rsidRPr="007C4D65">
              <w:rPr>
                <w:rFonts w:asciiTheme="minorHAnsi" w:hAnsiTheme="minorHAnsi"/>
                <w:sz w:val="18"/>
                <w:szCs w:val="18"/>
              </w:rPr>
              <w:lastRenderedPageBreak/>
              <w:t>noise have not been identified.</w:t>
            </w:r>
          </w:p>
        </w:tc>
        <w:tc>
          <w:tcPr>
            <w:tcW w:w="2253" w:type="dxa"/>
          </w:tcPr>
          <w:p w14:paraId="65E2B3FC" w14:textId="77777777" w:rsidR="00647018" w:rsidRPr="007C4D65" w:rsidRDefault="00647018" w:rsidP="00B6017F">
            <w:pPr>
              <w:spacing w:line="276" w:lineRule="auto"/>
              <w:rPr>
                <w:rFonts w:asciiTheme="minorHAnsi" w:hAnsiTheme="minorHAnsi" w:cstheme="minorHAnsi"/>
                <w:sz w:val="18"/>
                <w:szCs w:val="18"/>
              </w:rPr>
            </w:pPr>
            <w:r w:rsidRPr="007C4D65">
              <w:rPr>
                <w:rFonts w:asciiTheme="minorHAnsi" w:hAnsiTheme="minorHAnsi"/>
                <w:sz w:val="18"/>
                <w:szCs w:val="18"/>
              </w:rPr>
              <w:lastRenderedPageBreak/>
              <w:t xml:space="preserve">High level of information of </w:t>
            </w:r>
            <w:proofErr w:type="gramStart"/>
            <w:r w:rsidRPr="007C4D65">
              <w:rPr>
                <w:rFonts w:asciiTheme="minorHAnsi" w:hAnsiTheme="minorHAnsi"/>
                <w:sz w:val="18"/>
                <w:szCs w:val="18"/>
              </w:rPr>
              <w:t>general public</w:t>
            </w:r>
            <w:proofErr w:type="gramEnd"/>
            <w:r w:rsidRPr="007C4D65">
              <w:rPr>
                <w:rFonts w:asciiTheme="minorHAnsi" w:hAnsiTheme="minorHAnsi"/>
                <w:sz w:val="18"/>
                <w:szCs w:val="18"/>
              </w:rPr>
              <w:t xml:space="preserve"> on noise and its effects, particularly in the zones of increased levels of noise (2030)</w:t>
            </w:r>
          </w:p>
        </w:tc>
      </w:tr>
    </w:tbl>
    <w:p w14:paraId="20826AB3" w14:textId="77777777" w:rsidR="00647018" w:rsidRPr="007C4D65" w:rsidRDefault="00647018" w:rsidP="0068355A">
      <w:pPr>
        <w:spacing w:before="240" w:after="240" w:line="276" w:lineRule="auto"/>
        <w:jc w:val="both"/>
        <w:rPr>
          <w:rFonts w:asciiTheme="minorHAnsi" w:hAnsiTheme="minorHAnsi" w:cstheme="minorHAnsi"/>
          <w:sz w:val="22"/>
          <w:szCs w:val="22"/>
        </w:rPr>
      </w:pPr>
    </w:p>
    <w:p w14:paraId="34CE0D96" w14:textId="4BA7432C" w:rsidR="00BE42B4" w:rsidRPr="007C4D65" w:rsidRDefault="0054266E">
      <w:pPr>
        <w:pStyle w:val="Head3"/>
        <w:spacing w:line="276" w:lineRule="auto"/>
        <w:rPr>
          <w:rFonts w:asciiTheme="minorHAnsi" w:hAnsiTheme="minorHAnsi"/>
        </w:rPr>
      </w:pPr>
      <w:bookmarkStart w:id="165" w:name="_Toc117445357"/>
      <w:r w:rsidRPr="007C4D65">
        <w:rPr>
          <w:rFonts w:asciiTheme="minorHAnsi" w:hAnsiTheme="minorHAnsi"/>
        </w:rPr>
        <w:t xml:space="preserve">Description of </w:t>
      </w:r>
      <w:r w:rsidR="00C34761" w:rsidRPr="007C4D65">
        <w:rPr>
          <w:rFonts w:asciiTheme="minorHAnsi" w:hAnsiTheme="minorHAnsi"/>
        </w:rPr>
        <w:t>m</w:t>
      </w:r>
      <w:r w:rsidRPr="007C4D65">
        <w:rPr>
          <w:rFonts w:asciiTheme="minorHAnsi" w:hAnsiTheme="minorHAnsi"/>
        </w:rPr>
        <w:t>easures</w:t>
      </w:r>
      <w:bookmarkEnd w:id="165"/>
    </w:p>
    <w:p w14:paraId="0359B370" w14:textId="7FF3F0AF" w:rsidR="00647018" w:rsidRPr="007C4D65" w:rsidRDefault="00BE42B4" w:rsidP="00647018">
      <w:pPr>
        <w:spacing w:before="240" w:after="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Priority 5.1 Improved legislation in the field of chemical safety</w:t>
      </w:r>
    </w:p>
    <w:p w14:paraId="234583EA" w14:textId="0C0B095F" w:rsidR="00647018" w:rsidRPr="007C4D65" w:rsidRDefault="00647018" w:rsidP="00647018">
      <w:pPr>
        <w:spacing w:line="276" w:lineRule="auto"/>
        <w:rPr>
          <w:rFonts w:asciiTheme="minorHAnsi" w:hAnsiTheme="minorHAnsi"/>
          <w:bCs/>
          <w:i/>
          <w:iCs/>
          <w:sz w:val="22"/>
          <w:szCs w:val="22"/>
          <w:u w:val="single"/>
        </w:rPr>
      </w:pPr>
      <w:r w:rsidRPr="007C4D65">
        <w:rPr>
          <w:rFonts w:asciiTheme="minorHAnsi" w:hAnsiTheme="minorHAnsi"/>
          <w:bCs/>
          <w:i/>
          <w:iCs/>
          <w:sz w:val="22"/>
          <w:szCs w:val="22"/>
          <w:u w:val="single"/>
        </w:rPr>
        <w:t xml:space="preserve">Measure 5.1.1. Partial transposition of </w:t>
      </w:r>
      <w:r w:rsidR="001E4D90" w:rsidRPr="007C4D65">
        <w:rPr>
          <w:rFonts w:asciiTheme="minorHAnsi" w:hAnsiTheme="minorHAnsi"/>
          <w:bCs/>
          <w:i/>
          <w:iCs/>
          <w:sz w:val="22"/>
          <w:szCs w:val="22"/>
          <w:u w:val="single"/>
        </w:rPr>
        <w:t>EU regulations</w:t>
      </w:r>
      <w:r w:rsidRPr="007C4D65">
        <w:rPr>
          <w:rFonts w:asciiTheme="minorHAnsi" w:hAnsiTheme="minorHAnsi"/>
          <w:bCs/>
          <w:i/>
          <w:iCs/>
          <w:sz w:val="22"/>
          <w:szCs w:val="22"/>
          <w:u w:val="single"/>
        </w:rPr>
        <w:t xml:space="preserve"> and international agreements / conventions in the field of chemical safety</w:t>
      </w:r>
    </w:p>
    <w:p w14:paraId="3CE272A3" w14:textId="77777777" w:rsidR="00647018" w:rsidRPr="007C4D65" w:rsidRDefault="00647018" w:rsidP="00647018">
      <w:pPr>
        <w:spacing w:line="276" w:lineRule="auto"/>
        <w:rPr>
          <w:rFonts w:asciiTheme="minorHAnsi" w:eastAsia="Calibri" w:hAnsiTheme="minorHAnsi" w:cstheme="minorHAnsi"/>
          <w:bCs/>
          <w:i/>
          <w:iCs/>
          <w:sz w:val="22"/>
          <w:szCs w:val="22"/>
          <w:u w:val="single"/>
        </w:rPr>
      </w:pPr>
    </w:p>
    <w:p w14:paraId="5654ADC2" w14:textId="460C50D7" w:rsidR="00647018" w:rsidRPr="007C4D65" w:rsidRDefault="00647018" w:rsidP="00647018">
      <w:pPr>
        <w:spacing w:line="276" w:lineRule="auto"/>
        <w:rPr>
          <w:rFonts w:asciiTheme="minorHAnsi" w:eastAsia="Calibri" w:hAnsiTheme="minorHAnsi" w:cstheme="minorHAnsi"/>
          <w:sz w:val="22"/>
          <w:szCs w:val="22"/>
        </w:rPr>
      </w:pPr>
      <w:r w:rsidRPr="007C4D65">
        <w:rPr>
          <w:rFonts w:asciiTheme="minorHAnsi" w:hAnsiTheme="minorHAnsi"/>
          <w:sz w:val="22"/>
          <w:szCs w:val="22"/>
        </w:rPr>
        <w:t xml:space="preserve">This measure aims to achieve alignment of FBiH legislation with requirements of international agreements and </w:t>
      </w:r>
      <w:r w:rsidR="001E4D90" w:rsidRPr="007C4D65">
        <w:rPr>
          <w:rFonts w:asciiTheme="minorHAnsi" w:hAnsiTheme="minorHAnsi"/>
          <w:sz w:val="22"/>
          <w:szCs w:val="22"/>
        </w:rPr>
        <w:t>EU regulations</w:t>
      </w:r>
      <w:r w:rsidRPr="007C4D65">
        <w:rPr>
          <w:rFonts w:asciiTheme="minorHAnsi" w:hAnsiTheme="minorHAnsi"/>
          <w:sz w:val="22"/>
          <w:szCs w:val="22"/>
        </w:rPr>
        <w:t xml:space="preserve"> in the field of chemical safety:</w:t>
      </w:r>
    </w:p>
    <w:p w14:paraId="099ABD74" w14:textId="77777777" w:rsidR="00647018" w:rsidRPr="007C4D65" w:rsidRDefault="00647018">
      <w:pPr>
        <w:pStyle w:val="ListParagraph"/>
        <w:numPr>
          <w:ilvl w:val="0"/>
          <w:numId w:val="64"/>
        </w:numPr>
        <w:spacing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Regulations (EC) no. 1907 / 2006 (REACH), </w:t>
      </w:r>
    </w:p>
    <w:p w14:paraId="1062B3AE" w14:textId="77777777" w:rsidR="00647018" w:rsidRPr="007C4D65" w:rsidRDefault="00647018">
      <w:pPr>
        <w:pStyle w:val="ListParagraph"/>
        <w:numPr>
          <w:ilvl w:val="0"/>
          <w:numId w:val="64"/>
        </w:numPr>
        <w:spacing w:before="40" w:after="160" w:line="276" w:lineRule="auto"/>
        <w:jc w:val="both"/>
        <w:rPr>
          <w:rFonts w:asciiTheme="minorHAnsi" w:eastAsia="Calibri" w:hAnsiTheme="minorHAnsi" w:cstheme="minorHAnsi"/>
          <w:bCs/>
          <w:sz w:val="22"/>
          <w:szCs w:val="22"/>
        </w:rPr>
      </w:pPr>
      <w:r w:rsidRPr="007C4D65">
        <w:rPr>
          <w:rFonts w:asciiTheme="minorHAnsi" w:hAnsiTheme="minorHAnsi"/>
          <w:sz w:val="22"/>
          <w:szCs w:val="22"/>
        </w:rPr>
        <w:t xml:space="preserve">(EC) no.1272/2008 (CLP Regulation), </w:t>
      </w:r>
    </w:p>
    <w:p w14:paraId="3593D7F4" w14:textId="77777777" w:rsidR="00647018" w:rsidRPr="007C4D65" w:rsidRDefault="00647018">
      <w:pPr>
        <w:pStyle w:val="ListParagraph"/>
        <w:numPr>
          <w:ilvl w:val="0"/>
          <w:numId w:val="64"/>
        </w:numPr>
        <w:spacing w:before="40" w:after="160" w:line="276" w:lineRule="auto"/>
        <w:jc w:val="both"/>
        <w:rPr>
          <w:rFonts w:asciiTheme="minorHAnsi" w:eastAsia="Calibri" w:hAnsiTheme="minorHAnsi" w:cstheme="minorHAnsi"/>
          <w:bCs/>
          <w:sz w:val="22"/>
          <w:szCs w:val="22"/>
        </w:rPr>
      </w:pPr>
      <w:r w:rsidRPr="007C4D65">
        <w:rPr>
          <w:rFonts w:asciiTheme="minorHAnsi" w:hAnsiTheme="minorHAnsi"/>
          <w:sz w:val="22"/>
          <w:szCs w:val="22"/>
        </w:rPr>
        <w:t>Regulations (EC) no. 648/2004 on detergents,</w:t>
      </w:r>
    </w:p>
    <w:p w14:paraId="03D078E5" w14:textId="77777777" w:rsidR="00647018" w:rsidRPr="007C4D65" w:rsidRDefault="00647018">
      <w:pPr>
        <w:pStyle w:val="ListParagraph"/>
        <w:numPr>
          <w:ilvl w:val="0"/>
          <w:numId w:val="64"/>
        </w:numPr>
        <w:spacing w:before="40" w:after="160" w:line="276" w:lineRule="auto"/>
        <w:jc w:val="both"/>
        <w:rPr>
          <w:rFonts w:asciiTheme="minorHAnsi" w:eastAsia="Calibri" w:hAnsiTheme="minorHAnsi" w:cstheme="minorHAnsi"/>
          <w:bCs/>
          <w:sz w:val="22"/>
          <w:szCs w:val="22"/>
        </w:rPr>
      </w:pPr>
      <w:r w:rsidRPr="007C4D65">
        <w:rPr>
          <w:rFonts w:asciiTheme="minorHAnsi" w:hAnsiTheme="minorHAnsi"/>
          <w:sz w:val="22"/>
          <w:szCs w:val="22"/>
        </w:rPr>
        <w:t xml:space="preserve">Regulation (EU) no. 649/2012, concerning the export and import of hazardous chemicals and Rotterdam Convention, </w:t>
      </w:r>
    </w:p>
    <w:p w14:paraId="6FBAA714" w14:textId="0F4B1F16" w:rsidR="00647018" w:rsidRPr="007C4D65" w:rsidRDefault="00647018">
      <w:pPr>
        <w:pStyle w:val="ListParagraph"/>
        <w:numPr>
          <w:ilvl w:val="0"/>
          <w:numId w:val="64"/>
        </w:numPr>
        <w:spacing w:before="40" w:after="160" w:line="276" w:lineRule="auto"/>
        <w:jc w:val="both"/>
        <w:rPr>
          <w:rFonts w:asciiTheme="minorHAnsi" w:eastAsia="Calibri" w:hAnsiTheme="minorHAnsi" w:cstheme="minorHAnsi"/>
          <w:bCs/>
          <w:sz w:val="22"/>
          <w:szCs w:val="22"/>
        </w:rPr>
      </w:pPr>
      <w:r w:rsidRPr="007C4D65">
        <w:rPr>
          <w:rFonts w:asciiTheme="minorHAnsi" w:hAnsiTheme="minorHAnsi"/>
          <w:sz w:val="22"/>
          <w:szCs w:val="22"/>
        </w:rPr>
        <w:t>Regulation (EU) 2019/1021 on POPs chemicals and the Stockholm Convention</w:t>
      </w:r>
      <w:r w:rsidR="009477FB" w:rsidRPr="007C4D65">
        <w:rPr>
          <w:rFonts w:asciiTheme="minorHAnsi" w:hAnsiTheme="minorHAnsi"/>
          <w:sz w:val="22"/>
          <w:szCs w:val="22"/>
        </w:rPr>
        <w:t>,</w:t>
      </w:r>
    </w:p>
    <w:p w14:paraId="66A8ABD1" w14:textId="77777777" w:rsidR="00647018" w:rsidRPr="007C4D65" w:rsidRDefault="00647018">
      <w:pPr>
        <w:pStyle w:val="ListParagraph"/>
        <w:numPr>
          <w:ilvl w:val="0"/>
          <w:numId w:val="64"/>
        </w:numPr>
        <w:spacing w:before="40" w:after="160" w:line="276" w:lineRule="auto"/>
        <w:jc w:val="both"/>
        <w:rPr>
          <w:rFonts w:asciiTheme="minorHAnsi" w:eastAsia="Calibri" w:hAnsiTheme="minorHAnsi" w:cstheme="minorHAnsi"/>
          <w:bCs/>
          <w:sz w:val="22"/>
          <w:szCs w:val="22"/>
        </w:rPr>
      </w:pPr>
      <w:r w:rsidRPr="007C4D65">
        <w:rPr>
          <w:rFonts w:asciiTheme="minorHAnsi" w:hAnsiTheme="minorHAnsi"/>
          <w:sz w:val="22"/>
          <w:szCs w:val="22"/>
        </w:rPr>
        <w:t xml:space="preserve">Directive 2004/10/EC relating to the application of the principles of good laboratory practice, </w:t>
      </w:r>
    </w:p>
    <w:p w14:paraId="6FD44D03" w14:textId="4FF4532D" w:rsidR="00647018" w:rsidRPr="007C4D65" w:rsidRDefault="00647018">
      <w:pPr>
        <w:pStyle w:val="ListParagraph"/>
        <w:numPr>
          <w:ilvl w:val="0"/>
          <w:numId w:val="64"/>
        </w:numPr>
        <w:spacing w:before="40" w:after="160" w:line="276" w:lineRule="auto"/>
        <w:jc w:val="both"/>
        <w:rPr>
          <w:rFonts w:asciiTheme="minorHAnsi" w:eastAsia="Calibri" w:hAnsiTheme="minorHAnsi" w:cstheme="minorHAnsi"/>
          <w:bCs/>
          <w:sz w:val="22"/>
          <w:szCs w:val="22"/>
        </w:rPr>
      </w:pPr>
      <w:r w:rsidRPr="007C4D65">
        <w:rPr>
          <w:rFonts w:asciiTheme="minorHAnsi" w:hAnsiTheme="minorHAnsi"/>
          <w:sz w:val="22"/>
          <w:szCs w:val="22"/>
        </w:rPr>
        <w:t>Regulation (EU) no. 528/2012 concerning the making available on the market and use of biocidal products</w:t>
      </w:r>
      <w:r w:rsidR="009477FB" w:rsidRPr="007C4D65">
        <w:rPr>
          <w:rFonts w:asciiTheme="minorHAnsi" w:eastAsia="Calibri" w:hAnsiTheme="minorHAnsi" w:cstheme="minorHAnsi"/>
          <w:bCs/>
          <w:sz w:val="22"/>
          <w:szCs w:val="22"/>
        </w:rPr>
        <w:t>,</w:t>
      </w:r>
    </w:p>
    <w:p w14:paraId="3E9B4EFF" w14:textId="6B27CA6C" w:rsidR="00647018" w:rsidRPr="007C4D65" w:rsidRDefault="00647018">
      <w:pPr>
        <w:pStyle w:val="ListParagraph"/>
        <w:numPr>
          <w:ilvl w:val="0"/>
          <w:numId w:val="64"/>
        </w:numPr>
        <w:spacing w:before="40" w:after="160" w:line="276" w:lineRule="auto"/>
        <w:jc w:val="both"/>
        <w:rPr>
          <w:rFonts w:asciiTheme="minorHAnsi" w:eastAsia="Calibri" w:hAnsiTheme="minorHAnsi" w:cstheme="minorHAnsi"/>
          <w:bCs/>
          <w:sz w:val="22"/>
          <w:szCs w:val="22"/>
        </w:rPr>
      </w:pPr>
      <w:r w:rsidRPr="007C4D65">
        <w:rPr>
          <w:rFonts w:asciiTheme="minorHAnsi" w:hAnsiTheme="minorHAnsi"/>
          <w:sz w:val="22"/>
          <w:szCs w:val="22"/>
        </w:rPr>
        <w:t>EU Directive 87/217/EEC on the prevention and reduction of environmental pollution by asbestos</w:t>
      </w:r>
      <w:r w:rsidR="009477FB" w:rsidRPr="007C4D65">
        <w:rPr>
          <w:rFonts w:asciiTheme="minorHAnsi" w:eastAsia="Calibri" w:hAnsiTheme="minorHAnsi" w:cstheme="minorHAnsi"/>
          <w:bCs/>
          <w:sz w:val="22"/>
          <w:szCs w:val="22"/>
        </w:rPr>
        <w:t>,</w:t>
      </w:r>
    </w:p>
    <w:p w14:paraId="67325D7B" w14:textId="708D92B5" w:rsidR="00647018" w:rsidRPr="007C4D65" w:rsidRDefault="00647018">
      <w:pPr>
        <w:pStyle w:val="ListParagraph"/>
        <w:numPr>
          <w:ilvl w:val="0"/>
          <w:numId w:val="64"/>
        </w:num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Regulation (EU) 2017/852 o mercury, as well as the Minamata Convention</w:t>
      </w:r>
      <w:r w:rsidR="009477FB" w:rsidRPr="007C4D65">
        <w:rPr>
          <w:rFonts w:asciiTheme="minorHAnsi" w:hAnsiTheme="minorHAnsi"/>
          <w:sz w:val="22"/>
          <w:szCs w:val="22"/>
        </w:rPr>
        <w:t>.</w:t>
      </w:r>
    </w:p>
    <w:p w14:paraId="12393784" w14:textId="77777777" w:rsidR="00647018" w:rsidRPr="007C4D65" w:rsidRDefault="00647018" w:rsidP="00647018">
      <w:pPr>
        <w:spacing w:before="240" w:after="240" w:line="276" w:lineRule="auto"/>
        <w:rPr>
          <w:rFonts w:asciiTheme="minorHAnsi" w:eastAsia="Calibri" w:hAnsiTheme="minorHAnsi" w:cstheme="minorHAnsi"/>
          <w:sz w:val="22"/>
          <w:szCs w:val="22"/>
        </w:rPr>
      </w:pPr>
      <w:r w:rsidRPr="007C4D65">
        <w:rPr>
          <w:rFonts w:asciiTheme="minorHAnsi" w:hAnsiTheme="minorHAnsi"/>
          <w:sz w:val="22"/>
          <w:szCs w:val="22"/>
        </w:rPr>
        <w:t xml:space="preserve">General areas of intervention: </w:t>
      </w:r>
    </w:p>
    <w:p w14:paraId="381371C9" w14:textId="77777777" w:rsidR="00647018" w:rsidRPr="007C4D65" w:rsidRDefault="00647018" w:rsidP="00647018">
      <w:pPr>
        <w:pStyle w:val="ListParagraph"/>
        <w:numPr>
          <w:ilvl w:val="0"/>
          <w:numId w:val="53"/>
        </w:numPr>
        <w:spacing w:before="40" w:after="160" w:line="276" w:lineRule="auto"/>
        <w:ind w:left="397"/>
        <w:jc w:val="both"/>
        <w:rPr>
          <w:rFonts w:asciiTheme="minorHAnsi" w:eastAsia="Calibri" w:hAnsiTheme="minorHAnsi" w:cstheme="minorHAnsi"/>
          <w:sz w:val="22"/>
          <w:szCs w:val="22"/>
        </w:rPr>
      </w:pPr>
      <w:r w:rsidRPr="007C4D65">
        <w:rPr>
          <w:rFonts w:asciiTheme="minorHAnsi" w:hAnsiTheme="minorHAnsi"/>
          <w:sz w:val="22"/>
          <w:szCs w:val="22"/>
        </w:rPr>
        <w:t xml:space="preserve">Development and adoption of all secondary legislation (bylaws) as foreseen in the Law on Chemicals. In addition to those stated in Article 58 of the Law on Chemicals, clearly define the conditions for the work of Advisors for </w:t>
      </w:r>
      <w:proofErr w:type="gramStart"/>
      <w:r w:rsidRPr="007C4D65">
        <w:rPr>
          <w:rFonts w:asciiTheme="minorHAnsi" w:hAnsiTheme="minorHAnsi"/>
          <w:sz w:val="22"/>
          <w:szCs w:val="22"/>
        </w:rPr>
        <w:t>chemicals;</w:t>
      </w:r>
      <w:proofErr w:type="gramEnd"/>
    </w:p>
    <w:p w14:paraId="5D00F3A6" w14:textId="77777777" w:rsidR="00647018" w:rsidRPr="007C4D65" w:rsidRDefault="00647018" w:rsidP="00647018">
      <w:pPr>
        <w:pStyle w:val="ListParagraph"/>
        <w:numPr>
          <w:ilvl w:val="0"/>
          <w:numId w:val="53"/>
        </w:numPr>
        <w:spacing w:before="40" w:after="160" w:line="276" w:lineRule="auto"/>
        <w:ind w:left="397"/>
        <w:jc w:val="both"/>
        <w:rPr>
          <w:rFonts w:asciiTheme="minorHAnsi" w:eastAsia="Calibri" w:hAnsiTheme="minorHAnsi" w:cstheme="minorHAnsi"/>
          <w:sz w:val="22"/>
          <w:szCs w:val="22"/>
        </w:rPr>
      </w:pPr>
      <w:r w:rsidRPr="007C4D65">
        <w:rPr>
          <w:rFonts w:asciiTheme="minorHAnsi" w:hAnsiTheme="minorHAnsi"/>
          <w:sz w:val="22"/>
          <w:szCs w:val="22"/>
        </w:rPr>
        <w:t>Formal designation of the Poison Control Centre (PCC) for FBiH or making an agreement on cooperation and reporting with the existing PCC in the region (</w:t>
      </w:r>
      <w:proofErr w:type="gramStart"/>
      <w:r w:rsidRPr="007C4D65">
        <w:rPr>
          <w:rFonts w:asciiTheme="minorHAnsi" w:hAnsiTheme="minorHAnsi"/>
          <w:sz w:val="22"/>
          <w:szCs w:val="22"/>
        </w:rPr>
        <w:t>e.g.</w:t>
      </w:r>
      <w:proofErr w:type="gramEnd"/>
      <w:r w:rsidRPr="007C4D65">
        <w:rPr>
          <w:rFonts w:asciiTheme="minorHAnsi" w:hAnsiTheme="minorHAnsi"/>
          <w:sz w:val="22"/>
          <w:szCs w:val="22"/>
        </w:rPr>
        <w:t xml:space="preserve"> VMA - Belgrade, Serbia; Institute for Medical Research and Work Medicine, Zagreb);</w:t>
      </w:r>
    </w:p>
    <w:p w14:paraId="08901A06" w14:textId="77777777" w:rsidR="00647018" w:rsidRPr="007C4D65" w:rsidRDefault="00647018" w:rsidP="00647018">
      <w:pPr>
        <w:pStyle w:val="ListParagraph"/>
        <w:numPr>
          <w:ilvl w:val="0"/>
          <w:numId w:val="53"/>
        </w:numPr>
        <w:spacing w:before="40" w:after="160" w:line="276" w:lineRule="auto"/>
        <w:ind w:left="397"/>
        <w:jc w:val="both"/>
        <w:rPr>
          <w:rFonts w:asciiTheme="minorHAnsi" w:eastAsia="Calibri" w:hAnsiTheme="minorHAnsi" w:cstheme="minorHAnsi"/>
          <w:sz w:val="22"/>
          <w:szCs w:val="22"/>
        </w:rPr>
      </w:pPr>
      <w:r w:rsidRPr="007C4D65">
        <w:rPr>
          <w:rFonts w:asciiTheme="minorHAnsi" w:hAnsiTheme="minorHAnsi"/>
          <w:sz w:val="22"/>
          <w:szCs w:val="22"/>
        </w:rPr>
        <w:t xml:space="preserve">Develop and adopt the Law on </w:t>
      </w:r>
      <w:proofErr w:type="gramStart"/>
      <w:r w:rsidRPr="007C4D65">
        <w:rPr>
          <w:rFonts w:asciiTheme="minorHAnsi" w:hAnsiTheme="minorHAnsi"/>
          <w:sz w:val="22"/>
          <w:szCs w:val="22"/>
        </w:rPr>
        <w:t>Biocides;</w:t>
      </w:r>
      <w:proofErr w:type="gramEnd"/>
    </w:p>
    <w:p w14:paraId="1B430F2E" w14:textId="77777777" w:rsidR="00647018" w:rsidRPr="007C4D65" w:rsidRDefault="00647018" w:rsidP="00647018">
      <w:pPr>
        <w:pStyle w:val="ListParagraph"/>
        <w:numPr>
          <w:ilvl w:val="0"/>
          <w:numId w:val="53"/>
        </w:numPr>
        <w:spacing w:before="40" w:after="160" w:line="276" w:lineRule="auto"/>
        <w:ind w:left="397"/>
        <w:jc w:val="both"/>
        <w:rPr>
          <w:rFonts w:asciiTheme="minorHAnsi" w:eastAsia="Calibri" w:hAnsiTheme="minorHAnsi" w:cstheme="minorHAnsi"/>
          <w:sz w:val="22"/>
          <w:szCs w:val="22"/>
        </w:rPr>
      </w:pPr>
      <w:r w:rsidRPr="007C4D65">
        <w:rPr>
          <w:rFonts w:asciiTheme="minorHAnsi" w:hAnsiTheme="minorHAnsi"/>
          <w:sz w:val="22"/>
          <w:szCs w:val="22"/>
        </w:rPr>
        <w:t xml:space="preserve">Develop and adopt secondary legislation </w:t>
      </w:r>
      <w:proofErr w:type="gramStart"/>
      <w:r w:rsidRPr="007C4D65">
        <w:rPr>
          <w:rFonts w:asciiTheme="minorHAnsi" w:hAnsiTheme="minorHAnsi"/>
          <w:sz w:val="22"/>
          <w:szCs w:val="22"/>
        </w:rPr>
        <w:t>in the area of</w:t>
      </w:r>
      <w:proofErr w:type="gramEnd"/>
      <w:r w:rsidRPr="007C4D65">
        <w:rPr>
          <w:rFonts w:asciiTheme="minorHAnsi" w:hAnsiTheme="minorHAnsi"/>
          <w:sz w:val="22"/>
          <w:szCs w:val="22"/>
        </w:rPr>
        <w:t xml:space="preserve"> biocides management</w:t>
      </w:r>
    </w:p>
    <w:p w14:paraId="76AA179F" w14:textId="77777777" w:rsidR="00647018" w:rsidRPr="007C4D65" w:rsidRDefault="00647018" w:rsidP="00647018">
      <w:pPr>
        <w:pStyle w:val="ListParagraph"/>
        <w:numPr>
          <w:ilvl w:val="0"/>
          <w:numId w:val="53"/>
        </w:numPr>
        <w:spacing w:before="40" w:after="160" w:line="276" w:lineRule="auto"/>
        <w:ind w:left="397"/>
        <w:jc w:val="both"/>
        <w:rPr>
          <w:rFonts w:asciiTheme="minorHAnsi" w:eastAsia="Calibri" w:hAnsiTheme="minorHAnsi" w:cstheme="minorHAnsi"/>
          <w:sz w:val="22"/>
          <w:szCs w:val="22"/>
        </w:rPr>
      </w:pPr>
      <w:r w:rsidRPr="007C4D65">
        <w:rPr>
          <w:rFonts w:asciiTheme="minorHAnsi" w:hAnsiTheme="minorHAnsi"/>
          <w:sz w:val="22"/>
          <w:szCs w:val="22"/>
        </w:rPr>
        <w:t xml:space="preserve">Adopt secondary legislation (bylaws) that would ensure prohibition of use of mercury and restrict placement in the market of the products containing mercury or mercury </w:t>
      </w:r>
      <w:proofErr w:type="gramStart"/>
      <w:r w:rsidRPr="007C4D65">
        <w:rPr>
          <w:rFonts w:asciiTheme="minorHAnsi" w:hAnsiTheme="minorHAnsi"/>
          <w:sz w:val="22"/>
          <w:szCs w:val="22"/>
        </w:rPr>
        <w:t>compounds;</w:t>
      </w:r>
      <w:proofErr w:type="gramEnd"/>
    </w:p>
    <w:p w14:paraId="76592CA3" w14:textId="77777777" w:rsidR="00647018" w:rsidRPr="007C4D65" w:rsidRDefault="00647018" w:rsidP="00647018">
      <w:pPr>
        <w:pStyle w:val="ListParagraph"/>
        <w:numPr>
          <w:ilvl w:val="0"/>
          <w:numId w:val="53"/>
        </w:numPr>
        <w:spacing w:before="240" w:after="240" w:line="276" w:lineRule="auto"/>
        <w:ind w:left="397"/>
        <w:jc w:val="both"/>
        <w:rPr>
          <w:rFonts w:asciiTheme="minorHAnsi" w:eastAsia="Calibri" w:hAnsiTheme="minorHAnsi" w:cstheme="minorHAnsi"/>
          <w:sz w:val="22"/>
          <w:szCs w:val="22"/>
        </w:rPr>
      </w:pPr>
      <w:r w:rsidRPr="007C4D65">
        <w:rPr>
          <w:rFonts w:asciiTheme="minorHAnsi" w:hAnsiTheme="minorHAnsi"/>
          <w:sz w:val="22"/>
          <w:szCs w:val="22"/>
        </w:rPr>
        <w:t>Adopt secondary legislation (bylaws) that will prohibit production, trade and use of products containing asbestos fibres, and ensure special conditions for labelling the products containing asbestos.</w:t>
      </w:r>
    </w:p>
    <w:p w14:paraId="56126F69" w14:textId="77777777" w:rsidR="00647018" w:rsidRPr="007C4D65" w:rsidRDefault="00647018" w:rsidP="00647018">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 xml:space="preserve">Measure 5.1.2. </w:t>
      </w:r>
      <w:r w:rsidRPr="007C4D65">
        <w:rPr>
          <w:rFonts w:asciiTheme="minorHAnsi" w:hAnsiTheme="minorHAnsi"/>
          <w:bCs/>
          <w:i/>
          <w:iCs/>
          <w:sz w:val="22"/>
          <w:szCs w:val="22"/>
          <w:u w:val="single"/>
        </w:rPr>
        <w:t>Partial transposition of the SEVESO III Directive in legislation of FBiH</w:t>
      </w:r>
    </w:p>
    <w:p w14:paraId="1C48F546" w14:textId="77777777"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lastRenderedPageBreak/>
        <w:t>This measure aims to achieve harmonisation of FBiH legislation with requirements of the SEVESO III Directive (2012/18/EU) for the purpose of prevention of major accidents and intervention plans for cases of inadequate handling of chemicals.</w:t>
      </w:r>
    </w:p>
    <w:p w14:paraId="35F64803" w14:textId="77777777"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General areas of intervention: </w:t>
      </w:r>
    </w:p>
    <w:p w14:paraId="44355CCD" w14:textId="77777777" w:rsidR="00647018" w:rsidRPr="007C4D65" w:rsidRDefault="00647018" w:rsidP="00647018">
      <w:pPr>
        <w:pStyle w:val="ListParagraph"/>
        <w:numPr>
          <w:ilvl w:val="0"/>
          <w:numId w:val="54"/>
        </w:numPr>
        <w:spacing w:before="40" w:after="160" w:line="276" w:lineRule="auto"/>
        <w:ind w:left="403"/>
        <w:jc w:val="both"/>
        <w:rPr>
          <w:rFonts w:asciiTheme="minorHAnsi" w:eastAsia="Calibri" w:hAnsiTheme="minorHAnsi" w:cstheme="minorHAnsi"/>
          <w:sz w:val="22"/>
          <w:szCs w:val="22"/>
        </w:rPr>
      </w:pPr>
      <w:r w:rsidRPr="007C4D65">
        <w:rPr>
          <w:rFonts w:asciiTheme="minorHAnsi" w:hAnsiTheme="minorHAnsi"/>
          <w:sz w:val="22"/>
          <w:szCs w:val="22"/>
        </w:rPr>
        <w:t xml:space="preserve">Development and adoption of regulation that determines the content and method of maintaining the Registry of Major </w:t>
      </w:r>
      <w:proofErr w:type="gramStart"/>
      <w:r w:rsidRPr="007C4D65">
        <w:rPr>
          <w:rFonts w:asciiTheme="minorHAnsi" w:hAnsiTheme="minorHAnsi"/>
          <w:sz w:val="22"/>
          <w:szCs w:val="22"/>
        </w:rPr>
        <w:t>Accidents;</w:t>
      </w:r>
      <w:proofErr w:type="gramEnd"/>
    </w:p>
    <w:p w14:paraId="4E3609C6" w14:textId="77777777" w:rsidR="00647018" w:rsidRPr="007C4D65" w:rsidRDefault="00647018" w:rsidP="00647018">
      <w:pPr>
        <w:pStyle w:val="ListParagraph"/>
        <w:numPr>
          <w:ilvl w:val="0"/>
          <w:numId w:val="54"/>
        </w:numPr>
        <w:spacing w:before="240" w:after="240" w:line="276" w:lineRule="auto"/>
        <w:ind w:left="403"/>
        <w:jc w:val="both"/>
        <w:rPr>
          <w:rFonts w:asciiTheme="minorHAnsi" w:eastAsia="Calibri" w:hAnsiTheme="minorHAnsi" w:cstheme="minorHAnsi"/>
          <w:sz w:val="22"/>
          <w:szCs w:val="22"/>
        </w:rPr>
      </w:pPr>
      <w:r w:rsidRPr="007C4D65">
        <w:rPr>
          <w:rFonts w:asciiTheme="minorHAnsi" w:hAnsiTheme="minorHAnsi"/>
          <w:sz w:val="22"/>
          <w:szCs w:val="22"/>
        </w:rPr>
        <w:t>Update or development of a new Rulebook on the content of the report on safety status, content of information on safety measures and contents of internal and external intervention plans.</w:t>
      </w:r>
    </w:p>
    <w:p w14:paraId="0A21E0F3" w14:textId="7055A3A7" w:rsidR="00647018" w:rsidRPr="007C4D65" w:rsidRDefault="00647018" w:rsidP="00647018">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 xml:space="preserve">Measure 5.1.3. </w:t>
      </w:r>
      <w:r w:rsidRPr="007C4D65">
        <w:rPr>
          <w:rFonts w:asciiTheme="minorHAnsi" w:hAnsiTheme="minorHAnsi"/>
          <w:bCs/>
          <w:i/>
          <w:iCs/>
          <w:sz w:val="22"/>
          <w:szCs w:val="22"/>
          <w:u w:val="single"/>
        </w:rPr>
        <w:t xml:space="preserve">Harmonise / develop secondary legislation (bylaws) to enable implementation of the Montreal Protocol, the Kigali Amendment, and </w:t>
      </w:r>
      <w:r w:rsidR="001E4D90" w:rsidRPr="007C4D65">
        <w:rPr>
          <w:rFonts w:asciiTheme="minorHAnsi" w:hAnsiTheme="minorHAnsi"/>
          <w:bCs/>
          <w:i/>
          <w:iCs/>
          <w:sz w:val="22"/>
          <w:szCs w:val="22"/>
          <w:u w:val="single"/>
        </w:rPr>
        <w:t>EU regulations</w:t>
      </w:r>
      <w:r w:rsidRPr="007C4D65">
        <w:rPr>
          <w:rFonts w:asciiTheme="minorHAnsi" w:hAnsiTheme="minorHAnsi"/>
          <w:bCs/>
          <w:i/>
          <w:iCs/>
          <w:sz w:val="22"/>
          <w:szCs w:val="22"/>
          <w:u w:val="single"/>
        </w:rPr>
        <w:t xml:space="preserve"> that facilitates their legal implementation in the EU member countries</w:t>
      </w:r>
    </w:p>
    <w:p w14:paraId="50BF92F5" w14:textId="276D9AA3" w:rsidR="00647018" w:rsidRPr="007C4D65" w:rsidRDefault="00647018" w:rsidP="00647018">
      <w:pPr>
        <w:spacing w:before="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This measure aims to achieve harmonisation of FBiH legislation with requirements of the Montreal Agreement, the Kigali Amendment, and the </w:t>
      </w:r>
      <w:r w:rsidR="001E4D90" w:rsidRPr="007C4D65">
        <w:rPr>
          <w:rFonts w:asciiTheme="minorHAnsi" w:hAnsiTheme="minorHAnsi"/>
          <w:sz w:val="22"/>
          <w:szCs w:val="22"/>
        </w:rPr>
        <w:t>EU regulations</w:t>
      </w:r>
      <w:r w:rsidRPr="007C4D65">
        <w:rPr>
          <w:rFonts w:asciiTheme="minorHAnsi" w:hAnsiTheme="minorHAnsi"/>
          <w:sz w:val="22"/>
          <w:szCs w:val="22"/>
        </w:rPr>
        <w:t xml:space="preserve"> whereby these international agreements are implemented in EU member countries, particularly: </w:t>
      </w:r>
    </w:p>
    <w:p w14:paraId="6075A22F" w14:textId="77777777" w:rsidR="00647018" w:rsidRPr="007C4D65" w:rsidRDefault="00647018">
      <w:pPr>
        <w:pStyle w:val="ListParagraph"/>
        <w:numPr>
          <w:ilvl w:val="0"/>
          <w:numId w:val="65"/>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Regulation (EC) no. 1005/2009 on ozone depleting </w:t>
      </w:r>
      <w:proofErr w:type="gramStart"/>
      <w:r w:rsidRPr="007C4D65">
        <w:rPr>
          <w:rFonts w:asciiTheme="minorHAnsi" w:hAnsiTheme="minorHAnsi"/>
          <w:sz w:val="22"/>
          <w:szCs w:val="22"/>
        </w:rPr>
        <w:t>substances;</w:t>
      </w:r>
      <w:proofErr w:type="gramEnd"/>
    </w:p>
    <w:p w14:paraId="1BDBD578" w14:textId="77777777" w:rsidR="00647018" w:rsidRPr="007C4D65" w:rsidRDefault="00647018">
      <w:pPr>
        <w:pStyle w:val="ListParagraph"/>
        <w:numPr>
          <w:ilvl w:val="0"/>
          <w:numId w:val="65"/>
        </w:numPr>
        <w:spacing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EC 517/2014 on certain fluorinated greenhouse gases. </w:t>
      </w:r>
    </w:p>
    <w:p w14:paraId="5B9921C0" w14:textId="77777777" w:rsidR="00647018" w:rsidRPr="007C4D65" w:rsidRDefault="00647018" w:rsidP="00647018">
      <w:pPr>
        <w:spacing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General areas of intervention: </w:t>
      </w:r>
    </w:p>
    <w:p w14:paraId="1CB0B5B1" w14:textId="02304B15" w:rsidR="00647018" w:rsidRPr="007C4D65" w:rsidRDefault="00647018" w:rsidP="00647018">
      <w:pPr>
        <w:pStyle w:val="ListParagraph"/>
        <w:numPr>
          <w:ilvl w:val="0"/>
          <w:numId w:val="55"/>
        </w:numPr>
        <w:spacing w:before="40" w:after="160" w:line="276" w:lineRule="auto"/>
        <w:ind w:left="403"/>
        <w:jc w:val="both"/>
        <w:rPr>
          <w:rFonts w:asciiTheme="minorHAnsi" w:eastAsia="Calibri" w:hAnsiTheme="minorHAnsi" w:cstheme="minorHAnsi"/>
          <w:sz w:val="22"/>
          <w:szCs w:val="22"/>
        </w:rPr>
      </w:pPr>
      <w:r w:rsidRPr="007C4D65">
        <w:rPr>
          <w:rFonts w:asciiTheme="minorHAnsi" w:hAnsiTheme="minorHAnsi"/>
          <w:sz w:val="22"/>
          <w:szCs w:val="22"/>
        </w:rPr>
        <w:t xml:space="preserve">Development and adoption of Rulebook on Ozone Depleting Substances </w:t>
      </w:r>
      <w:proofErr w:type="gramStart"/>
      <w:r w:rsidRPr="007C4D65">
        <w:rPr>
          <w:rFonts w:asciiTheme="minorHAnsi" w:hAnsiTheme="minorHAnsi"/>
          <w:sz w:val="22"/>
          <w:szCs w:val="22"/>
        </w:rPr>
        <w:t>management</w:t>
      </w:r>
      <w:r w:rsidR="00B50D2F" w:rsidRPr="007C4D65">
        <w:rPr>
          <w:rFonts w:asciiTheme="minorHAnsi" w:eastAsia="Calibri" w:hAnsiTheme="minorHAnsi" w:cstheme="minorHAnsi"/>
          <w:sz w:val="22"/>
          <w:szCs w:val="22"/>
        </w:rPr>
        <w:t>;</w:t>
      </w:r>
      <w:proofErr w:type="gramEnd"/>
    </w:p>
    <w:p w14:paraId="42371334" w14:textId="77777777" w:rsidR="00647018" w:rsidRPr="007C4D65" w:rsidRDefault="00647018" w:rsidP="00647018">
      <w:pPr>
        <w:pStyle w:val="ListParagraph"/>
        <w:numPr>
          <w:ilvl w:val="0"/>
          <w:numId w:val="55"/>
        </w:numPr>
        <w:spacing w:before="240" w:after="240" w:line="276" w:lineRule="auto"/>
        <w:ind w:left="403"/>
        <w:jc w:val="both"/>
        <w:rPr>
          <w:rFonts w:asciiTheme="minorHAnsi" w:eastAsia="Calibri" w:hAnsiTheme="minorHAnsi" w:cstheme="minorHAnsi"/>
          <w:sz w:val="22"/>
          <w:szCs w:val="22"/>
        </w:rPr>
      </w:pPr>
      <w:r w:rsidRPr="007C4D65">
        <w:rPr>
          <w:rFonts w:asciiTheme="minorHAnsi" w:hAnsiTheme="minorHAnsi"/>
          <w:sz w:val="22"/>
          <w:szCs w:val="22"/>
        </w:rPr>
        <w:t>Development and adoption of legislation that will allow for training of repair/maintenance providers in accordance with the training programmes aligned with the EU acquis.</w:t>
      </w:r>
    </w:p>
    <w:p w14:paraId="55E88BCE" w14:textId="6217AA28" w:rsidR="00647018" w:rsidRPr="007C4D65" w:rsidRDefault="00647018" w:rsidP="00647018">
      <w:pPr>
        <w:spacing w:before="240" w:after="240" w:line="276" w:lineRule="auto"/>
        <w:rPr>
          <w:rFonts w:asciiTheme="minorHAnsi" w:hAnsiTheme="minorHAnsi" w:cstheme="minorHAnsi"/>
          <w:b/>
          <w:i/>
          <w:sz w:val="22"/>
          <w:szCs w:val="22"/>
          <w:u w:val="single"/>
        </w:rPr>
      </w:pPr>
      <w:r w:rsidRPr="007C4D65">
        <w:rPr>
          <w:rFonts w:asciiTheme="minorHAnsi" w:hAnsiTheme="minorHAnsi"/>
          <w:b/>
          <w:i/>
          <w:sz w:val="22"/>
          <w:szCs w:val="22"/>
          <w:u w:val="single"/>
        </w:rPr>
        <w:t xml:space="preserve">Priority 5.2: </w:t>
      </w:r>
      <w:r w:rsidR="00735C68" w:rsidRPr="007C4D65">
        <w:rPr>
          <w:rFonts w:asciiTheme="minorHAnsi" w:hAnsiTheme="minorHAnsi"/>
          <w:b/>
          <w:bCs/>
          <w:i/>
          <w:iCs/>
          <w:sz w:val="22"/>
          <w:szCs w:val="22"/>
          <w:u w:val="single"/>
        </w:rPr>
        <w:t xml:space="preserve">Establish a sustainable system of chemical management and implementation of EU acquis </w:t>
      </w:r>
      <w:proofErr w:type="gramStart"/>
      <w:r w:rsidR="00735C68" w:rsidRPr="007C4D65">
        <w:rPr>
          <w:rFonts w:asciiTheme="minorHAnsi" w:hAnsiTheme="minorHAnsi"/>
          <w:b/>
          <w:bCs/>
          <w:i/>
          <w:iCs/>
          <w:sz w:val="22"/>
          <w:szCs w:val="22"/>
          <w:u w:val="single"/>
        </w:rPr>
        <w:t>in the area of</w:t>
      </w:r>
      <w:proofErr w:type="gramEnd"/>
      <w:r w:rsidR="00735C68" w:rsidRPr="007C4D65">
        <w:rPr>
          <w:rFonts w:asciiTheme="minorHAnsi" w:hAnsiTheme="minorHAnsi"/>
          <w:b/>
          <w:bCs/>
          <w:i/>
          <w:iCs/>
          <w:sz w:val="22"/>
          <w:szCs w:val="22"/>
          <w:u w:val="single"/>
        </w:rPr>
        <w:t xml:space="preserve"> chemical safety</w:t>
      </w:r>
    </w:p>
    <w:p w14:paraId="5548367A" w14:textId="77777777" w:rsidR="00647018" w:rsidRPr="007C4D65" w:rsidRDefault="00647018" w:rsidP="00647018">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 xml:space="preserve">Measure 5.2.1. </w:t>
      </w:r>
      <w:r w:rsidRPr="007C4D65">
        <w:rPr>
          <w:rFonts w:asciiTheme="minorHAnsi" w:hAnsiTheme="minorHAnsi"/>
          <w:bCs/>
          <w:i/>
          <w:iCs/>
          <w:u w:val="single"/>
        </w:rPr>
        <w:t xml:space="preserve">Efficient implementation of legislation partially transposing EU acquis and conventions </w:t>
      </w:r>
      <w:proofErr w:type="gramStart"/>
      <w:r w:rsidRPr="007C4D65">
        <w:rPr>
          <w:rFonts w:asciiTheme="minorHAnsi" w:hAnsiTheme="minorHAnsi"/>
          <w:bCs/>
          <w:i/>
          <w:iCs/>
          <w:u w:val="single"/>
        </w:rPr>
        <w:t>in the area of</w:t>
      </w:r>
      <w:proofErr w:type="gramEnd"/>
      <w:r w:rsidRPr="007C4D65">
        <w:rPr>
          <w:rFonts w:asciiTheme="minorHAnsi" w:hAnsiTheme="minorHAnsi"/>
          <w:bCs/>
          <w:i/>
          <w:iCs/>
          <w:u w:val="single"/>
        </w:rPr>
        <w:t xml:space="preserve"> chemical safety</w:t>
      </w:r>
    </w:p>
    <w:p w14:paraId="4E5EBB97" w14:textId="457F0449" w:rsidR="00647018" w:rsidRPr="007C4D65" w:rsidRDefault="00647018" w:rsidP="00647018">
      <w:pPr>
        <w:spacing w:before="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This measure aims to achieve harmonisation of FBiH legislation with requirements of the </w:t>
      </w:r>
      <w:r w:rsidR="001E4D90" w:rsidRPr="007C4D65">
        <w:rPr>
          <w:rFonts w:asciiTheme="minorHAnsi" w:hAnsiTheme="minorHAnsi"/>
          <w:sz w:val="22"/>
          <w:szCs w:val="22"/>
        </w:rPr>
        <w:t>EU regulations</w:t>
      </w:r>
      <w:r w:rsidRPr="007C4D65">
        <w:rPr>
          <w:rFonts w:asciiTheme="minorHAnsi" w:hAnsiTheme="minorHAnsi"/>
          <w:sz w:val="22"/>
          <w:szCs w:val="22"/>
        </w:rPr>
        <w:t xml:space="preserve"> and international agreements as follows:</w:t>
      </w:r>
    </w:p>
    <w:p w14:paraId="234F5E75" w14:textId="77777777" w:rsidR="00647018" w:rsidRPr="007C4D65" w:rsidRDefault="00647018">
      <w:pPr>
        <w:pStyle w:val="ListParagraph"/>
        <w:numPr>
          <w:ilvl w:val="0"/>
          <w:numId w:val="66"/>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Regulations (EC) no. 1907 / 2006 (REACH</w:t>
      </w:r>
      <w:proofErr w:type="gramStart"/>
      <w:r w:rsidRPr="007C4D65">
        <w:rPr>
          <w:rFonts w:asciiTheme="minorHAnsi" w:hAnsiTheme="minorHAnsi"/>
          <w:sz w:val="22"/>
          <w:szCs w:val="22"/>
        </w:rPr>
        <w:t>);</w:t>
      </w:r>
      <w:proofErr w:type="gramEnd"/>
    </w:p>
    <w:p w14:paraId="36E776BC" w14:textId="77777777" w:rsidR="00647018" w:rsidRPr="007C4D65" w:rsidRDefault="00647018">
      <w:pPr>
        <w:pStyle w:val="ListParagraph"/>
        <w:numPr>
          <w:ilvl w:val="0"/>
          <w:numId w:val="66"/>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Regulation (EC) no.1272/2008 (CLP Regulation</w:t>
      </w:r>
      <w:proofErr w:type="gramStart"/>
      <w:r w:rsidRPr="007C4D65">
        <w:rPr>
          <w:rFonts w:asciiTheme="minorHAnsi" w:hAnsiTheme="minorHAnsi"/>
          <w:sz w:val="22"/>
          <w:szCs w:val="22"/>
        </w:rPr>
        <w:t>);</w:t>
      </w:r>
      <w:proofErr w:type="gramEnd"/>
    </w:p>
    <w:p w14:paraId="68C2E808" w14:textId="77777777" w:rsidR="00647018" w:rsidRPr="007C4D65" w:rsidRDefault="00647018">
      <w:pPr>
        <w:pStyle w:val="ListParagraph"/>
        <w:numPr>
          <w:ilvl w:val="0"/>
          <w:numId w:val="66"/>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Regulation (EC) no. 648/2004 on </w:t>
      </w:r>
      <w:proofErr w:type="gramStart"/>
      <w:r w:rsidRPr="007C4D65">
        <w:rPr>
          <w:rFonts w:asciiTheme="minorHAnsi" w:hAnsiTheme="minorHAnsi"/>
          <w:sz w:val="22"/>
          <w:szCs w:val="22"/>
        </w:rPr>
        <w:t>detergents;</w:t>
      </w:r>
      <w:proofErr w:type="gramEnd"/>
    </w:p>
    <w:p w14:paraId="184C5DAA" w14:textId="77777777" w:rsidR="00647018" w:rsidRPr="007C4D65" w:rsidRDefault="00647018">
      <w:pPr>
        <w:pStyle w:val="ListParagraph"/>
        <w:numPr>
          <w:ilvl w:val="0"/>
          <w:numId w:val="66"/>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Regulation (EU) no. 649/2012, concerning the export and import of hazardous chemicals and Rotterdam </w:t>
      </w:r>
      <w:proofErr w:type="gramStart"/>
      <w:r w:rsidRPr="007C4D65">
        <w:rPr>
          <w:rFonts w:asciiTheme="minorHAnsi" w:hAnsiTheme="minorHAnsi"/>
          <w:sz w:val="22"/>
          <w:szCs w:val="22"/>
        </w:rPr>
        <w:t>Convention;</w:t>
      </w:r>
      <w:proofErr w:type="gramEnd"/>
    </w:p>
    <w:p w14:paraId="44B205AB" w14:textId="77777777" w:rsidR="00647018" w:rsidRPr="007C4D65" w:rsidRDefault="00647018">
      <w:pPr>
        <w:pStyle w:val="ListParagraph"/>
        <w:numPr>
          <w:ilvl w:val="0"/>
          <w:numId w:val="66"/>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Regulation (EU) 2019/1021 on POPs chemicals and the Stockholm </w:t>
      </w:r>
      <w:proofErr w:type="gramStart"/>
      <w:r w:rsidRPr="007C4D65">
        <w:rPr>
          <w:rFonts w:asciiTheme="minorHAnsi" w:hAnsiTheme="minorHAnsi"/>
          <w:sz w:val="22"/>
          <w:szCs w:val="22"/>
        </w:rPr>
        <w:t>Convention;</w:t>
      </w:r>
      <w:proofErr w:type="gramEnd"/>
    </w:p>
    <w:p w14:paraId="7C9052D3" w14:textId="6F294E0E" w:rsidR="00647018" w:rsidRPr="007C4D65" w:rsidRDefault="00647018">
      <w:pPr>
        <w:pStyle w:val="ListParagraph"/>
        <w:numPr>
          <w:ilvl w:val="0"/>
          <w:numId w:val="66"/>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Directive 2004/10/EC relating to the application of the principles of good laboratory </w:t>
      </w:r>
      <w:proofErr w:type="gramStart"/>
      <w:r w:rsidRPr="007C4D65">
        <w:rPr>
          <w:rFonts w:asciiTheme="minorHAnsi" w:hAnsiTheme="minorHAnsi"/>
          <w:sz w:val="22"/>
          <w:szCs w:val="22"/>
        </w:rPr>
        <w:t>practice</w:t>
      </w:r>
      <w:r w:rsidR="00B50D2F" w:rsidRPr="007C4D65">
        <w:rPr>
          <w:rFonts w:asciiTheme="minorHAnsi" w:hAnsiTheme="minorHAnsi"/>
          <w:sz w:val="22"/>
          <w:szCs w:val="22"/>
        </w:rPr>
        <w:t>;</w:t>
      </w:r>
      <w:proofErr w:type="gramEnd"/>
    </w:p>
    <w:p w14:paraId="47C66376" w14:textId="77777777" w:rsidR="00647018" w:rsidRPr="007C4D65" w:rsidRDefault="00647018">
      <w:pPr>
        <w:pStyle w:val="ListParagraph"/>
        <w:numPr>
          <w:ilvl w:val="0"/>
          <w:numId w:val="66"/>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Regulation (EU) no. 528/2012 concerning the making available on the market and use of biocidal </w:t>
      </w:r>
      <w:proofErr w:type="gramStart"/>
      <w:r w:rsidRPr="007C4D65">
        <w:rPr>
          <w:rFonts w:asciiTheme="minorHAnsi" w:hAnsiTheme="minorHAnsi"/>
          <w:sz w:val="22"/>
          <w:szCs w:val="22"/>
        </w:rPr>
        <w:t>products;</w:t>
      </w:r>
      <w:proofErr w:type="gramEnd"/>
    </w:p>
    <w:p w14:paraId="20E2749E" w14:textId="77777777" w:rsidR="00647018" w:rsidRPr="007C4D65" w:rsidRDefault="00647018">
      <w:pPr>
        <w:pStyle w:val="ListParagraph"/>
        <w:numPr>
          <w:ilvl w:val="0"/>
          <w:numId w:val="66"/>
        </w:numPr>
        <w:spacing w:before="40" w:after="160"/>
        <w:jc w:val="both"/>
        <w:rPr>
          <w:rFonts w:asciiTheme="minorHAnsi" w:eastAsia="Calibri" w:hAnsiTheme="minorHAnsi" w:cstheme="minorHAnsi"/>
          <w:sz w:val="22"/>
          <w:szCs w:val="22"/>
        </w:rPr>
      </w:pPr>
      <w:r w:rsidRPr="007C4D65">
        <w:rPr>
          <w:rFonts w:asciiTheme="minorHAnsi" w:hAnsiTheme="minorHAnsi"/>
          <w:sz w:val="22"/>
          <w:szCs w:val="22"/>
        </w:rPr>
        <w:t xml:space="preserve">EU Directive 87/217/EEC on the prevention and reduction of environmental pollution by </w:t>
      </w:r>
      <w:proofErr w:type="gramStart"/>
      <w:r w:rsidRPr="007C4D65">
        <w:rPr>
          <w:rFonts w:asciiTheme="minorHAnsi" w:hAnsiTheme="minorHAnsi"/>
          <w:sz w:val="22"/>
          <w:szCs w:val="22"/>
        </w:rPr>
        <w:t>asbestos;</w:t>
      </w:r>
      <w:proofErr w:type="gramEnd"/>
    </w:p>
    <w:p w14:paraId="2AA0A791" w14:textId="77777777" w:rsidR="00647018" w:rsidRPr="007C4D65" w:rsidRDefault="00647018">
      <w:pPr>
        <w:pStyle w:val="ListParagraph"/>
        <w:numPr>
          <w:ilvl w:val="0"/>
          <w:numId w:val="66"/>
        </w:numPr>
        <w:spacing w:before="40" w:after="160"/>
        <w:jc w:val="both"/>
        <w:rPr>
          <w:rFonts w:asciiTheme="minorHAnsi" w:eastAsia="Calibri" w:hAnsiTheme="minorHAnsi" w:cstheme="minorHAnsi"/>
          <w:sz w:val="22"/>
          <w:szCs w:val="22"/>
        </w:rPr>
      </w:pPr>
      <w:r w:rsidRPr="007C4D65">
        <w:rPr>
          <w:rFonts w:asciiTheme="minorHAnsi" w:hAnsiTheme="minorHAnsi"/>
          <w:sz w:val="22"/>
          <w:szCs w:val="22"/>
        </w:rPr>
        <w:t>Regulation (EU) 2017/852 on mercury, as well as the Minamata Convention.</w:t>
      </w:r>
    </w:p>
    <w:p w14:paraId="70493B2B" w14:textId="77777777" w:rsidR="00647018" w:rsidRPr="007C4D65" w:rsidRDefault="00647018" w:rsidP="00647018">
      <w:pPr>
        <w:spacing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lastRenderedPageBreak/>
        <w:t xml:space="preserve">General areas of intervention: </w:t>
      </w:r>
    </w:p>
    <w:p w14:paraId="446FC420" w14:textId="1EA465A0" w:rsidR="00647018" w:rsidRPr="007C4D65" w:rsidRDefault="00647018" w:rsidP="00647018">
      <w:pPr>
        <w:pStyle w:val="ListParagraph"/>
        <w:numPr>
          <w:ilvl w:val="0"/>
          <w:numId w:val="56"/>
        </w:numPr>
        <w:spacing w:before="40" w:after="160" w:line="276" w:lineRule="auto"/>
        <w:ind w:left="408"/>
        <w:jc w:val="both"/>
        <w:rPr>
          <w:rFonts w:asciiTheme="minorHAnsi" w:eastAsia="Calibri" w:hAnsiTheme="minorHAnsi" w:cstheme="minorHAnsi"/>
          <w:sz w:val="22"/>
          <w:szCs w:val="22"/>
        </w:rPr>
      </w:pPr>
      <w:r w:rsidRPr="007C4D65">
        <w:rPr>
          <w:rFonts w:asciiTheme="minorHAnsi" w:hAnsiTheme="minorHAnsi"/>
          <w:sz w:val="22"/>
          <w:szCs w:val="22"/>
        </w:rPr>
        <w:t>Efficiency in implementation of the Law on Chemicals and regulations based on it (reporting, evaluation, issuing approvals</w:t>
      </w:r>
      <w:proofErr w:type="gramStart"/>
      <w:r w:rsidRPr="007C4D65">
        <w:rPr>
          <w:rFonts w:asciiTheme="minorHAnsi" w:hAnsiTheme="minorHAnsi"/>
          <w:sz w:val="22"/>
          <w:szCs w:val="22"/>
        </w:rPr>
        <w:t>)</w:t>
      </w:r>
      <w:r w:rsidR="00B50D2F" w:rsidRPr="007C4D65">
        <w:rPr>
          <w:rFonts w:asciiTheme="minorHAnsi" w:hAnsiTheme="minorHAnsi"/>
          <w:sz w:val="22"/>
          <w:szCs w:val="22"/>
        </w:rPr>
        <w:t>;</w:t>
      </w:r>
      <w:proofErr w:type="gramEnd"/>
    </w:p>
    <w:p w14:paraId="0EC3E1DC" w14:textId="23DB6C64" w:rsidR="00647018" w:rsidRPr="007C4D65" w:rsidRDefault="00647018" w:rsidP="00647018">
      <w:pPr>
        <w:pStyle w:val="ListParagraph"/>
        <w:numPr>
          <w:ilvl w:val="0"/>
          <w:numId w:val="56"/>
        </w:numPr>
        <w:spacing w:before="40" w:after="160" w:line="276" w:lineRule="auto"/>
        <w:ind w:left="408"/>
        <w:jc w:val="both"/>
        <w:rPr>
          <w:rFonts w:asciiTheme="minorHAnsi" w:eastAsia="Calibri" w:hAnsiTheme="minorHAnsi" w:cstheme="minorHAnsi"/>
          <w:sz w:val="22"/>
          <w:szCs w:val="22"/>
        </w:rPr>
      </w:pPr>
      <w:r w:rsidRPr="007C4D65">
        <w:rPr>
          <w:rFonts w:asciiTheme="minorHAnsi" w:hAnsiTheme="minorHAnsi"/>
          <w:sz w:val="22"/>
          <w:szCs w:val="22"/>
        </w:rPr>
        <w:t>Efficiency in implementation of the Law on Biocides and regulations based on it (reporting, evaluation, issuing approvals</w:t>
      </w:r>
      <w:proofErr w:type="gramStart"/>
      <w:r w:rsidRPr="007C4D65">
        <w:rPr>
          <w:rFonts w:asciiTheme="minorHAnsi" w:hAnsiTheme="minorHAnsi"/>
          <w:sz w:val="22"/>
          <w:szCs w:val="22"/>
        </w:rPr>
        <w:t>)</w:t>
      </w:r>
      <w:r w:rsidR="00B50D2F" w:rsidRPr="007C4D65">
        <w:rPr>
          <w:rFonts w:asciiTheme="minorHAnsi" w:hAnsiTheme="minorHAnsi"/>
          <w:sz w:val="22"/>
          <w:szCs w:val="22"/>
        </w:rPr>
        <w:t>;</w:t>
      </w:r>
      <w:proofErr w:type="gramEnd"/>
    </w:p>
    <w:p w14:paraId="0BBC6D6C" w14:textId="33D9F3D2" w:rsidR="00647018" w:rsidRPr="007C4D65" w:rsidRDefault="00647018" w:rsidP="00647018">
      <w:pPr>
        <w:pStyle w:val="ListParagraph"/>
        <w:numPr>
          <w:ilvl w:val="0"/>
          <w:numId w:val="56"/>
        </w:numPr>
        <w:spacing w:before="40" w:after="160" w:line="276" w:lineRule="auto"/>
        <w:ind w:left="408"/>
        <w:jc w:val="both"/>
        <w:rPr>
          <w:rFonts w:asciiTheme="minorHAnsi" w:eastAsia="Calibri" w:hAnsiTheme="minorHAnsi" w:cstheme="minorHAnsi"/>
          <w:sz w:val="22"/>
          <w:szCs w:val="22"/>
        </w:rPr>
      </w:pPr>
      <w:r w:rsidRPr="007C4D65">
        <w:rPr>
          <w:rFonts w:asciiTheme="minorHAnsi" w:hAnsiTheme="minorHAnsi"/>
          <w:sz w:val="22"/>
          <w:szCs w:val="22"/>
        </w:rPr>
        <w:t xml:space="preserve">Establishing the </w:t>
      </w:r>
      <w:proofErr w:type="gramStart"/>
      <w:r w:rsidRPr="007C4D65">
        <w:rPr>
          <w:rFonts w:asciiTheme="minorHAnsi" w:hAnsiTheme="minorHAnsi"/>
          <w:sz w:val="22"/>
          <w:szCs w:val="22"/>
        </w:rPr>
        <w:t>help-desk</w:t>
      </w:r>
      <w:proofErr w:type="gramEnd"/>
      <w:r w:rsidRPr="007C4D65">
        <w:rPr>
          <w:rFonts w:asciiTheme="minorHAnsi" w:hAnsiTheme="minorHAnsi"/>
          <w:sz w:val="22"/>
          <w:szCs w:val="22"/>
        </w:rPr>
        <w:t xml:space="preserve"> for helping businesses meet their legal obligation to report the chemicals</w:t>
      </w:r>
      <w:r w:rsidR="00B50D2F" w:rsidRPr="007C4D65">
        <w:rPr>
          <w:rFonts w:asciiTheme="minorHAnsi" w:hAnsiTheme="minorHAnsi"/>
          <w:sz w:val="22"/>
          <w:szCs w:val="22"/>
        </w:rPr>
        <w:t>;</w:t>
      </w:r>
    </w:p>
    <w:p w14:paraId="56BE7A10" w14:textId="7B2609EA" w:rsidR="00647018" w:rsidRPr="007C4D65" w:rsidRDefault="00647018" w:rsidP="00647018">
      <w:pPr>
        <w:pStyle w:val="ListParagraph"/>
        <w:numPr>
          <w:ilvl w:val="0"/>
          <w:numId w:val="56"/>
        </w:numPr>
        <w:spacing w:before="40" w:after="160" w:line="276" w:lineRule="auto"/>
        <w:ind w:left="360"/>
        <w:jc w:val="both"/>
        <w:rPr>
          <w:rFonts w:asciiTheme="minorHAnsi" w:eastAsia="Calibri" w:hAnsiTheme="minorHAnsi" w:cstheme="minorHAnsi"/>
          <w:sz w:val="22"/>
          <w:szCs w:val="22"/>
        </w:rPr>
      </w:pPr>
      <w:r w:rsidRPr="007C4D65">
        <w:rPr>
          <w:rFonts w:asciiTheme="minorHAnsi" w:hAnsiTheme="minorHAnsi"/>
          <w:sz w:val="22"/>
          <w:szCs w:val="22"/>
        </w:rPr>
        <w:t xml:space="preserve">Established IT tool for effective maintenance of chemicals inventory and the List of biocides that will allow for statistical processing of </w:t>
      </w:r>
      <w:proofErr w:type="gramStart"/>
      <w:r w:rsidRPr="007C4D65">
        <w:rPr>
          <w:rFonts w:asciiTheme="minorHAnsi" w:hAnsiTheme="minorHAnsi"/>
          <w:sz w:val="22"/>
          <w:szCs w:val="22"/>
        </w:rPr>
        <w:t>data</w:t>
      </w:r>
      <w:r w:rsidR="00B50D2F" w:rsidRPr="007C4D65">
        <w:rPr>
          <w:rFonts w:asciiTheme="minorHAnsi" w:hAnsiTheme="minorHAnsi"/>
          <w:sz w:val="22"/>
          <w:szCs w:val="22"/>
        </w:rPr>
        <w:t>;</w:t>
      </w:r>
      <w:proofErr w:type="gramEnd"/>
    </w:p>
    <w:p w14:paraId="645D89A2" w14:textId="7D574C51" w:rsidR="00647018" w:rsidRPr="007C4D65" w:rsidRDefault="009D2F16" w:rsidP="00647018">
      <w:pPr>
        <w:numPr>
          <w:ilvl w:val="0"/>
          <w:numId w:val="56"/>
        </w:numPr>
        <w:spacing w:line="276" w:lineRule="auto"/>
        <w:ind w:left="408"/>
        <w:contextualSpacing/>
        <w:jc w:val="both"/>
        <w:rPr>
          <w:rFonts w:asciiTheme="minorHAnsi" w:eastAsia="Calibri" w:hAnsiTheme="minorHAnsi" w:cstheme="minorHAnsi"/>
          <w:sz w:val="22"/>
          <w:szCs w:val="22"/>
        </w:rPr>
      </w:pPr>
      <w:r w:rsidRPr="007C4D65">
        <w:rPr>
          <w:rFonts w:asciiTheme="minorHAnsi" w:hAnsiTheme="minorHAnsi"/>
          <w:sz w:val="22"/>
          <w:szCs w:val="22"/>
        </w:rPr>
        <w:t>Establishing</w:t>
      </w:r>
      <w:r w:rsidR="00647018" w:rsidRPr="007C4D65">
        <w:rPr>
          <w:rFonts w:asciiTheme="minorHAnsi" w:hAnsiTheme="minorHAnsi"/>
          <w:sz w:val="22"/>
          <w:szCs w:val="22"/>
        </w:rPr>
        <w:t xml:space="preserve"> inspection oversight </w:t>
      </w:r>
      <w:proofErr w:type="gramStart"/>
      <w:r w:rsidR="00647018" w:rsidRPr="007C4D65">
        <w:rPr>
          <w:rFonts w:asciiTheme="minorHAnsi" w:hAnsiTheme="minorHAnsi"/>
          <w:sz w:val="22"/>
          <w:szCs w:val="22"/>
        </w:rPr>
        <w:t>in the area of</w:t>
      </w:r>
      <w:proofErr w:type="gramEnd"/>
      <w:r w:rsidR="00647018" w:rsidRPr="007C4D65">
        <w:rPr>
          <w:rFonts w:asciiTheme="minorHAnsi" w:hAnsiTheme="minorHAnsi"/>
          <w:sz w:val="22"/>
          <w:szCs w:val="22"/>
        </w:rPr>
        <w:t xml:space="preserve"> chemical safety</w:t>
      </w:r>
      <w:r w:rsidR="00B50D2F" w:rsidRPr="007C4D65">
        <w:rPr>
          <w:rFonts w:asciiTheme="minorHAnsi" w:hAnsiTheme="minorHAnsi"/>
          <w:sz w:val="22"/>
          <w:szCs w:val="22"/>
        </w:rPr>
        <w:t>.</w:t>
      </w:r>
    </w:p>
    <w:p w14:paraId="7375F32D" w14:textId="77777777" w:rsidR="00647018" w:rsidRPr="007C4D65" w:rsidRDefault="00647018" w:rsidP="00647018">
      <w:pPr>
        <w:spacing w:before="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 xml:space="preserve">Measure 5.2.2. </w:t>
      </w:r>
      <w:r w:rsidRPr="007C4D65">
        <w:rPr>
          <w:rFonts w:asciiTheme="minorHAnsi" w:hAnsiTheme="minorHAnsi"/>
          <w:i/>
          <w:iCs/>
          <w:u w:val="single"/>
        </w:rPr>
        <w:t>High level of implementation of the SEVESO III Directive</w:t>
      </w:r>
    </w:p>
    <w:p w14:paraId="0EFEF1B3" w14:textId="77777777" w:rsidR="00647018" w:rsidRPr="007C4D65" w:rsidRDefault="00647018" w:rsidP="00647018">
      <w:pPr>
        <w:spacing w:before="240" w:after="240" w:line="276" w:lineRule="auto"/>
        <w:jc w:val="both"/>
        <w:rPr>
          <w:rFonts w:asciiTheme="minorHAnsi" w:eastAsia="Calibri" w:hAnsiTheme="minorHAnsi" w:cstheme="minorHAnsi"/>
          <w:b/>
          <w:sz w:val="22"/>
          <w:szCs w:val="22"/>
        </w:rPr>
      </w:pPr>
      <w:r w:rsidRPr="007C4D65">
        <w:rPr>
          <w:rFonts w:asciiTheme="minorHAnsi" w:hAnsiTheme="minorHAnsi"/>
          <w:sz w:val="22"/>
          <w:szCs w:val="22"/>
        </w:rPr>
        <w:t>This measure aims to achieve effective implementation of legislation transposing the Seveso III Directive and better protection of population against major accidents caused by inadequate storing, handling or use of chemicals, as well as protection of human and environment health.</w:t>
      </w:r>
    </w:p>
    <w:p w14:paraId="658B0650" w14:textId="77777777"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General areas of intervention: </w:t>
      </w:r>
    </w:p>
    <w:p w14:paraId="217E244C" w14:textId="1917B870" w:rsidR="00647018" w:rsidRPr="007C4D65" w:rsidRDefault="00647018" w:rsidP="00647018">
      <w:pPr>
        <w:pStyle w:val="ListParagraph"/>
        <w:numPr>
          <w:ilvl w:val="0"/>
          <w:numId w:val="57"/>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Development of the Major Incidents </w:t>
      </w:r>
      <w:proofErr w:type="gramStart"/>
      <w:r w:rsidRPr="007C4D65">
        <w:rPr>
          <w:rFonts w:asciiTheme="minorHAnsi" w:hAnsiTheme="minorHAnsi"/>
          <w:sz w:val="22"/>
          <w:szCs w:val="22"/>
        </w:rPr>
        <w:t>Registry</w:t>
      </w:r>
      <w:r w:rsidR="00B50D2F" w:rsidRPr="007C4D65">
        <w:rPr>
          <w:rFonts w:asciiTheme="minorHAnsi" w:eastAsia="Calibri" w:hAnsiTheme="minorHAnsi" w:cstheme="minorHAnsi"/>
          <w:sz w:val="22"/>
          <w:szCs w:val="22"/>
        </w:rPr>
        <w:t>;</w:t>
      </w:r>
      <w:proofErr w:type="gramEnd"/>
    </w:p>
    <w:p w14:paraId="7F434D66" w14:textId="77777777" w:rsidR="00647018" w:rsidRPr="007C4D65" w:rsidRDefault="00647018" w:rsidP="00647018">
      <w:pPr>
        <w:pStyle w:val="ListParagraph"/>
        <w:numPr>
          <w:ilvl w:val="0"/>
          <w:numId w:val="57"/>
        </w:num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Reporting hazardous substances, storage conditions, and other information required by legislation that implements the SEVESO III.</w:t>
      </w:r>
    </w:p>
    <w:p w14:paraId="53FD416F" w14:textId="77777777" w:rsidR="00647018" w:rsidRPr="007C4D65" w:rsidRDefault="00647018" w:rsidP="00647018">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 xml:space="preserve">Measure 5.2.3. </w:t>
      </w:r>
      <w:r w:rsidRPr="007C4D65">
        <w:rPr>
          <w:rFonts w:asciiTheme="minorHAnsi" w:hAnsiTheme="minorHAnsi"/>
          <w:i/>
          <w:iCs/>
          <w:sz w:val="22"/>
          <w:szCs w:val="22"/>
          <w:u w:val="single"/>
        </w:rPr>
        <w:t xml:space="preserve"> Established systems of reporting on the matter of registration of cooling</w:t>
      </w:r>
      <w:r w:rsidRPr="007C4D65">
        <w:rPr>
          <w:rFonts w:asciiTheme="minorHAnsi" w:hAnsiTheme="minorHAnsi"/>
          <w:i/>
          <w:iCs/>
          <w:u w:val="single"/>
        </w:rPr>
        <w:t xml:space="preserve"> </w:t>
      </w:r>
      <w:r w:rsidRPr="007C4D65">
        <w:rPr>
          <w:rFonts w:asciiTheme="minorHAnsi" w:hAnsiTheme="minorHAnsi"/>
          <w:i/>
          <w:iCs/>
          <w:sz w:val="22"/>
          <w:szCs w:val="22"/>
          <w:u w:val="single"/>
        </w:rPr>
        <w:t>equipment and HVAC equipment services shops in accordance with the EU acquis regarding the ozone depleting substances, and training of the HVAC equipment repairers</w:t>
      </w:r>
    </w:p>
    <w:p w14:paraId="35C41112" w14:textId="77777777" w:rsidR="00647018" w:rsidRPr="007C4D65" w:rsidRDefault="00647018" w:rsidP="00647018">
      <w:pPr>
        <w:spacing w:before="40" w:line="276" w:lineRule="auto"/>
        <w:jc w:val="both"/>
        <w:rPr>
          <w:rFonts w:asciiTheme="minorHAnsi" w:eastAsia="Calibri" w:hAnsiTheme="minorHAnsi" w:cstheme="minorHAnsi"/>
          <w:sz w:val="22"/>
          <w:szCs w:val="22"/>
        </w:rPr>
      </w:pPr>
      <w:r w:rsidRPr="007C4D65">
        <w:rPr>
          <w:rFonts w:asciiTheme="minorHAnsi" w:hAnsiTheme="minorHAnsi"/>
          <w:sz w:val="22"/>
          <w:szCs w:val="22"/>
        </w:rPr>
        <w:t>This measure aims to achieve high level of reporting on the matter of registration of cooling equipment and HVAC equipment service shops in accordance with the EU acquis regulating the ozone depleting substances.</w:t>
      </w:r>
    </w:p>
    <w:p w14:paraId="3DCFBFE6" w14:textId="77777777"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General areas of intervention: </w:t>
      </w:r>
    </w:p>
    <w:p w14:paraId="6601A4A8" w14:textId="3E0B61A7" w:rsidR="00647018" w:rsidRPr="007C4D65" w:rsidRDefault="00647018" w:rsidP="00647018">
      <w:pPr>
        <w:pStyle w:val="ListParagraph"/>
        <w:numPr>
          <w:ilvl w:val="0"/>
          <w:numId w:val="58"/>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Achieved technical conditions for existence and entry of data into the data base regarding the service shops for cooling and HVAC </w:t>
      </w:r>
      <w:proofErr w:type="gramStart"/>
      <w:r w:rsidRPr="007C4D65">
        <w:rPr>
          <w:rFonts w:asciiTheme="minorHAnsi" w:hAnsiTheme="minorHAnsi"/>
          <w:sz w:val="22"/>
          <w:szCs w:val="22"/>
        </w:rPr>
        <w:t>equipment</w:t>
      </w:r>
      <w:r w:rsidR="00B50D2F" w:rsidRPr="007C4D65">
        <w:rPr>
          <w:rFonts w:asciiTheme="minorHAnsi" w:eastAsia="Calibri" w:hAnsiTheme="minorHAnsi" w:cstheme="minorHAnsi"/>
          <w:sz w:val="22"/>
          <w:szCs w:val="22"/>
        </w:rPr>
        <w:t>;</w:t>
      </w:r>
      <w:proofErr w:type="gramEnd"/>
    </w:p>
    <w:p w14:paraId="6816B385" w14:textId="0E6D14EC" w:rsidR="00647018" w:rsidRPr="007C4D65" w:rsidRDefault="00647018" w:rsidP="00647018">
      <w:pPr>
        <w:pStyle w:val="ListParagraph"/>
        <w:numPr>
          <w:ilvl w:val="0"/>
          <w:numId w:val="58"/>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Completed registration of at least 30% operators/owners of the HVAC devices and 100% of the service/repair </w:t>
      </w:r>
      <w:proofErr w:type="gramStart"/>
      <w:r w:rsidRPr="007C4D65">
        <w:rPr>
          <w:rFonts w:asciiTheme="minorHAnsi" w:hAnsiTheme="minorHAnsi"/>
          <w:sz w:val="22"/>
          <w:szCs w:val="22"/>
        </w:rPr>
        <w:t>shops</w:t>
      </w:r>
      <w:r w:rsidR="00B50D2F" w:rsidRPr="007C4D65">
        <w:rPr>
          <w:rFonts w:asciiTheme="minorHAnsi" w:hAnsiTheme="minorHAnsi"/>
          <w:sz w:val="22"/>
          <w:szCs w:val="22"/>
        </w:rPr>
        <w:t>;</w:t>
      </w:r>
      <w:proofErr w:type="gramEnd"/>
    </w:p>
    <w:p w14:paraId="49F1E423" w14:textId="77777777" w:rsidR="00647018" w:rsidRPr="007C4D65" w:rsidRDefault="00647018" w:rsidP="00647018">
      <w:pPr>
        <w:pStyle w:val="ListParagraph"/>
        <w:numPr>
          <w:ilvl w:val="0"/>
          <w:numId w:val="58"/>
        </w:num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Development of training plan and programme (curriculum) for training repairers of cooling and HVAC equipment.</w:t>
      </w:r>
    </w:p>
    <w:p w14:paraId="5FC9DEFD" w14:textId="5BDC534E" w:rsidR="00647018" w:rsidRPr="007C4D65" w:rsidRDefault="00647018" w:rsidP="00647018">
      <w:pPr>
        <w:spacing w:before="240" w:after="240" w:line="276" w:lineRule="auto"/>
        <w:rPr>
          <w:rFonts w:asciiTheme="minorHAnsi" w:hAnsiTheme="minorHAnsi" w:cstheme="minorHAnsi"/>
          <w:b/>
          <w:i/>
          <w:sz w:val="22"/>
          <w:szCs w:val="22"/>
          <w:u w:val="single"/>
        </w:rPr>
      </w:pPr>
      <w:r w:rsidRPr="007C4D65">
        <w:rPr>
          <w:rFonts w:asciiTheme="minorHAnsi" w:hAnsiTheme="minorHAnsi"/>
          <w:b/>
          <w:i/>
          <w:sz w:val="22"/>
          <w:szCs w:val="22"/>
          <w:u w:val="single"/>
        </w:rPr>
        <w:t xml:space="preserve">Priority 5.3: </w:t>
      </w:r>
      <w:r w:rsidRPr="007C4D65">
        <w:rPr>
          <w:rFonts w:asciiTheme="minorHAnsi" w:hAnsiTheme="minorHAnsi"/>
          <w:b/>
          <w:bCs/>
          <w:i/>
          <w:iCs/>
          <w:sz w:val="22"/>
          <w:szCs w:val="22"/>
          <w:u w:val="single"/>
        </w:rPr>
        <w:t xml:space="preserve">Efficient operation of </w:t>
      </w:r>
      <w:r w:rsidR="00436AC8" w:rsidRPr="007C4D65">
        <w:rPr>
          <w:rFonts w:asciiTheme="minorHAnsi" w:hAnsiTheme="minorHAnsi"/>
          <w:b/>
          <w:bCs/>
          <w:i/>
          <w:iCs/>
          <w:sz w:val="22"/>
          <w:szCs w:val="22"/>
          <w:u w:val="single"/>
        </w:rPr>
        <w:t>the Federation of BiH</w:t>
      </w:r>
      <w:r w:rsidRPr="007C4D65">
        <w:rPr>
          <w:rFonts w:asciiTheme="minorHAnsi" w:hAnsiTheme="minorHAnsi"/>
          <w:b/>
          <w:bCs/>
          <w:i/>
          <w:iCs/>
          <w:sz w:val="22"/>
          <w:szCs w:val="22"/>
          <w:u w:val="single"/>
        </w:rPr>
        <w:t xml:space="preserve"> institutions in the field of chemical safety</w:t>
      </w:r>
    </w:p>
    <w:p w14:paraId="5E7C8CAA" w14:textId="77777777" w:rsidR="00647018" w:rsidRPr="007C4D65" w:rsidRDefault="00647018" w:rsidP="00647018">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 xml:space="preserve">Measure 5.3.1. Enhance human and technical capacities and competences of public services </w:t>
      </w:r>
      <w:proofErr w:type="gramStart"/>
      <w:r w:rsidRPr="007C4D65">
        <w:rPr>
          <w:rFonts w:asciiTheme="minorHAnsi" w:hAnsiTheme="minorHAnsi"/>
          <w:i/>
          <w:sz w:val="22"/>
          <w:szCs w:val="22"/>
          <w:u w:val="single"/>
        </w:rPr>
        <w:t>in the area of</w:t>
      </w:r>
      <w:proofErr w:type="gramEnd"/>
      <w:r w:rsidRPr="007C4D65">
        <w:rPr>
          <w:rFonts w:asciiTheme="minorHAnsi" w:hAnsiTheme="minorHAnsi"/>
          <w:i/>
          <w:sz w:val="22"/>
          <w:szCs w:val="22"/>
          <w:u w:val="single"/>
        </w:rPr>
        <w:t xml:space="preserve"> chemicals safety</w:t>
      </w:r>
    </w:p>
    <w:p w14:paraId="6B2D4027" w14:textId="77777777"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rPr>
        <w:lastRenderedPageBreak/>
        <w:t>This measure aims to achieve strengthening of human and technical capacities of institutions competent for effective implementation of legislation in the field of chemical safety</w:t>
      </w:r>
      <w:r w:rsidRPr="007C4D65">
        <w:rPr>
          <w:rFonts w:asciiTheme="minorHAnsi" w:hAnsiTheme="minorHAnsi"/>
          <w:sz w:val="22"/>
          <w:szCs w:val="22"/>
        </w:rPr>
        <w:t>.</w:t>
      </w:r>
    </w:p>
    <w:p w14:paraId="420315AC" w14:textId="77777777"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General areas of intervention: </w:t>
      </w:r>
    </w:p>
    <w:p w14:paraId="0B634AEB" w14:textId="77777777" w:rsidR="00647018" w:rsidRPr="007C4D65" w:rsidRDefault="00647018">
      <w:pPr>
        <w:pStyle w:val="ListParagraph"/>
        <w:numPr>
          <w:ilvl w:val="0"/>
          <w:numId w:val="246"/>
        </w:numPr>
        <w:spacing w:before="40" w:after="160" w:line="276" w:lineRule="auto"/>
        <w:ind w:hanging="360"/>
        <w:jc w:val="both"/>
        <w:rPr>
          <w:rFonts w:asciiTheme="minorHAnsi" w:eastAsia="Calibri" w:hAnsiTheme="minorHAnsi" w:cstheme="minorHAnsi"/>
          <w:sz w:val="22"/>
          <w:szCs w:val="22"/>
        </w:rPr>
      </w:pPr>
      <w:r w:rsidRPr="007C4D65">
        <w:rPr>
          <w:rFonts w:asciiTheme="minorHAnsi" w:hAnsiTheme="minorHAnsi"/>
          <w:sz w:val="22"/>
          <w:szCs w:val="22"/>
        </w:rPr>
        <w:t xml:space="preserve">Analysing capacities of public officials in competent institutions once the legislation foreseen in this Plan were </w:t>
      </w:r>
      <w:proofErr w:type="gramStart"/>
      <w:r w:rsidRPr="007C4D65">
        <w:rPr>
          <w:rFonts w:asciiTheme="minorHAnsi" w:hAnsiTheme="minorHAnsi"/>
          <w:sz w:val="22"/>
          <w:szCs w:val="22"/>
        </w:rPr>
        <w:t>adopted;</w:t>
      </w:r>
      <w:proofErr w:type="gramEnd"/>
    </w:p>
    <w:p w14:paraId="7B3DCE44" w14:textId="77777777" w:rsidR="00647018" w:rsidRPr="007C4D65" w:rsidRDefault="00647018">
      <w:pPr>
        <w:pStyle w:val="ListParagraph"/>
        <w:numPr>
          <w:ilvl w:val="0"/>
          <w:numId w:val="246"/>
        </w:numPr>
        <w:spacing w:before="40" w:after="160" w:line="276" w:lineRule="auto"/>
        <w:ind w:hanging="360"/>
        <w:jc w:val="both"/>
        <w:rPr>
          <w:rFonts w:asciiTheme="minorHAnsi" w:eastAsia="Calibri" w:hAnsiTheme="minorHAnsi" w:cstheme="minorHAnsi"/>
          <w:sz w:val="22"/>
          <w:szCs w:val="22"/>
        </w:rPr>
      </w:pPr>
      <w:r w:rsidRPr="007C4D65">
        <w:rPr>
          <w:rFonts w:asciiTheme="minorHAnsi" w:hAnsiTheme="minorHAnsi"/>
          <w:sz w:val="22"/>
          <w:szCs w:val="22"/>
        </w:rPr>
        <w:t xml:space="preserve">Hiring and training new people in public offices in the field of chemical safety, and procure equipment, in accordance with the requirements of the new regulations and the analysis previously </w:t>
      </w:r>
      <w:proofErr w:type="gramStart"/>
      <w:r w:rsidRPr="007C4D65">
        <w:rPr>
          <w:rFonts w:asciiTheme="minorHAnsi" w:hAnsiTheme="minorHAnsi"/>
          <w:sz w:val="22"/>
          <w:szCs w:val="22"/>
        </w:rPr>
        <w:t>made;</w:t>
      </w:r>
      <w:proofErr w:type="gramEnd"/>
    </w:p>
    <w:p w14:paraId="0D1F100D" w14:textId="77777777" w:rsidR="00647018" w:rsidRPr="007C4D65" w:rsidRDefault="00647018">
      <w:pPr>
        <w:pStyle w:val="ListParagraph"/>
        <w:numPr>
          <w:ilvl w:val="0"/>
          <w:numId w:val="246"/>
        </w:numPr>
        <w:spacing w:before="40" w:after="160" w:line="276" w:lineRule="auto"/>
        <w:ind w:hanging="360"/>
        <w:jc w:val="both"/>
        <w:rPr>
          <w:rFonts w:asciiTheme="minorHAnsi" w:eastAsia="Calibri" w:hAnsiTheme="minorHAnsi" w:cstheme="minorHAnsi"/>
          <w:sz w:val="22"/>
          <w:szCs w:val="22"/>
        </w:rPr>
      </w:pPr>
      <w:r w:rsidRPr="007C4D65">
        <w:rPr>
          <w:rFonts w:asciiTheme="minorHAnsi" w:hAnsiTheme="minorHAnsi"/>
          <w:sz w:val="22"/>
          <w:szCs w:val="22"/>
        </w:rPr>
        <w:t xml:space="preserve">Developing plan and programme of annual training of public officials </w:t>
      </w:r>
      <w:proofErr w:type="gramStart"/>
      <w:r w:rsidRPr="007C4D65">
        <w:rPr>
          <w:rFonts w:asciiTheme="minorHAnsi" w:hAnsiTheme="minorHAnsi"/>
          <w:sz w:val="22"/>
          <w:szCs w:val="22"/>
        </w:rPr>
        <w:t>in the area of</w:t>
      </w:r>
      <w:proofErr w:type="gramEnd"/>
      <w:r w:rsidRPr="007C4D65">
        <w:rPr>
          <w:rFonts w:asciiTheme="minorHAnsi" w:hAnsiTheme="minorHAnsi"/>
          <w:sz w:val="22"/>
          <w:szCs w:val="22"/>
        </w:rPr>
        <w:t xml:space="preserve"> chemical safety and continuous provision of the training.</w:t>
      </w:r>
    </w:p>
    <w:p w14:paraId="7BB7743F" w14:textId="77777777"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Conduct analysis of human and technical capacities and financial needs for establishment of the Poison Control Centre of </w:t>
      </w:r>
      <w:proofErr w:type="gramStart"/>
      <w:r w:rsidRPr="007C4D65">
        <w:rPr>
          <w:rFonts w:asciiTheme="minorHAnsi" w:hAnsiTheme="minorHAnsi"/>
          <w:sz w:val="22"/>
          <w:szCs w:val="22"/>
        </w:rPr>
        <w:t>FBiH, and</w:t>
      </w:r>
      <w:proofErr w:type="gramEnd"/>
      <w:r w:rsidRPr="007C4D65">
        <w:rPr>
          <w:rFonts w:asciiTheme="minorHAnsi" w:hAnsiTheme="minorHAnsi"/>
          <w:sz w:val="22"/>
          <w:szCs w:val="22"/>
        </w:rPr>
        <w:t xml:space="preserve"> making decision on selecting / designating legal persons responsible for poison control.</w:t>
      </w:r>
    </w:p>
    <w:p w14:paraId="47F39790" w14:textId="77777777" w:rsidR="00647018" w:rsidRPr="007C4D65" w:rsidRDefault="00647018" w:rsidP="00647018">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 xml:space="preserve">Measure 5.3.2. </w:t>
      </w:r>
      <w:r w:rsidRPr="007C4D65">
        <w:rPr>
          <w:rFonts w:asciiTheme="minorHAnsi" w:hAnsiTheme="minorHAnsi"/>
          <w:i/>
          <w:iCs/>
          <w:sz w:val="22"/>
          <w:szCs w:val="22"/>
          <w:u w:val="single"/>
        </w:rPr>
        <w:t>Improved coordination, collaboration and synergy among the competent institutions in the field of environment and health</w:t>
      </w:r>
    </w:p>
    <w:p w14:paraId="670A40C2" w14:textId="77777777"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This measure aims to improve coordination, cooperation and synergy of institutions competent for effective implementation of legislation in the field of chemical safety.</w:t>
      </w:r>
    </w:p>
    <w:p w14:paraId="0F633D54" w14:textId="09C85969"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General areas of intervention:</w:t>
      </w:r>
    </w:p>
    <w:p w14:paraId="6D3473BD" w14:textId="563D699E" w:rsidR="00647018" w:rsidRPr="007C4D65" w:rsidRDefault="00647018">
      <w:pPr>
        <w:pStyle w:val="ListParagraph"/>
        <w:numPr>
          <w:ilvl w:val="0"/>
          <w:numId w:val="59"/>
        </w:numPr>
        <w:spacing w:before="40" w:after="160" w:line="276" w:lineRule="auto"/>
        <w:ind w:hanging="360"/>
        <w:jc w:val="both"/>
        <w:rPr>
          <w:rFonts w:asciiTheme="minorHAnsi" w:eastAsia="Calibri" w:hAnsiTheme="minorHAnsi" w:cstheme="minorHAnsi"/>
          <w:sz w:val="22"/>
          <w:szCs w:val="22"/>
        </w:rPr>
      </w:pPr>
      <w:r w:rsidRPr="007C4D65">
        <w:rPr>
          <w:rFonts w:asciiTheme="minorHAnsi" w:hAnsiTheme="minorHAnsi"/>
          <w:sz w:val="22"/>
          <w:szCs w:val="22"/>
        </w:rPr>
        <w:t xml:space="preserve">Establishing a team/mechanism for cooperation between the Administration for Inspections of the </w:t>
      </w:r>
      <w:proofErr w:type="spellStart"/>
      <w:r w:rsidRPr="007C4D65">
        <w:rPr>
          <w:rFonts w:asciiTheme="minorHAnsi" w:hAnsiTheme="minorHAnsi"/>
          <w:sz w:val="22"/>
          <w:szCs w:val="22"/>
        </w:rPr>
        <w:t>Republika</w:t>
      </w:r>
      <w:proofErr w:type="spellEnd"/>
      <w:r w:rsidRPr="007C4D65">
        <w:rPr>
          <w:rFonts w:asciiTheme="minorHAnsi" w:hAnsiTheme="minorHAnsi"/>
          <w:sz w:val="22"/>
          <w:szCs w:val="22"/>
        </w:rPr>
        <w:t xml:space="preserve"> Srpska and the Inspectorate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as well as the Inspectorate of Brcko District in the field of chemical </w:t>
      </w:r>
      <w:proofErr w:type="gramStart"/>
      <w:r w:rsidRPr="007C4D65">
        <w:rPr>
          <w:rFonts w:asciiTheme="minorHAnsi" w:hAnsiTheme="minorHAnsi"/>
          <w:sz w:val="22"/>
          <w:szCs w:val="22"/>
        </w:rPr>
        <w:t>safety;</w:t>
      </w:r>
      <w:proofErr w:type="gramEnd"/>
    </w:p>
    <w:p w14:paraId="10490AA8" w14:textId="77777777" w:rsidR="00647018" w:rsidRPr="007C4D65" w:rsidRDefault="00647018">
      <w:pPr>
        <w:pStyle w:val="ListParagraph"/>
        <w:numPr>
          <w:ilvl w:val="0"/>
          <w:numId w:val="59"/>
        </w:numPr>
        <w:spacing w:before="40" w:after="160" w:line="276" w:lineRule="auto"/>
        <w:ind w:hanging="360"/>
        <w:jc w:val="both"/>
        <w:rPr>
          <w:rFonts w:asciiTheme="minorHAnsi" w:eastAsia="Calibri" w:hAnsiTheme="minorHAnsi" w:cstheme="minorHAnsi"/>
          <w:sz w:val="22"/>
          <w:szCs w:val="22"/>
        </w:rPr>
      </w:pPr>
      <w:r w:rsidRPr="007C4D65">
        <w:rPr>
          <w:rFonts w:asciiTheme="minorHAnsi" w:hAnsiTheme="minorHAnsi"/>
          <w:sz w:val="22"/>
          <w:szCs w:val="22"/>
        </w:rPr>
        <w:t xml:space="preserve">Participation of the Federation Ministry of Health and PCC in a meeting (once a year) organized by the MCA BiH for the purpose of sharing experiences and planning future activities related to prevention, combating, treatment and reporting cases of poisoning to institutions in BiH and to the World Health </w:t>
      </w:r>
      <w:proofErr w:type="gramStart"/>
      <w:r w:rsidRPr="007C4D65">
        <w:rPr>
          <w:rFonts w:asciiTheme="minorHAnsi" w:hAnsiTheme="minorHAnsi"/>
          <w:sz w:val="22"/>
          <w:szCs w:val="22"/>
        </w:rPr>
        <w:t>Organization;</w:t>
      </w:r>
      <w:proofErr w:type="gramEnd"/>
    </w:p>
    <w:p w14:paraId="5D2A7F35" w14:textId="77777777" w:rsidR="00647018" w:rsidRPr="007C4D65" w:rsidRDefault="00647018">
      <w:pPr>
        <w:numPr>
          <w:ilvl w:val="0"/>
          <w:numId w:val="59"/>
        </w:numPr>
        <w:spacing w:line="276" w:lineRule="auto"/>
        <w:ind w:hanging="360"/>
        <w:contextualSpacing/>
        <w:jc w:val="both"/>
        <w:rPr>
          <w:rFonts w:asciiTheme="minorHAnsi" w:eastAsia="Calibri" w:hAnsiTheme="minorHAnsi" w:cstheme="minorHAnsi"/>
          <w:sz w:val="22"/>
          <w:szCs w:val="22"/>
        </w:rPr>
      </w:pPr>
      <w:r w:rsidRPr="007C4D65">
        <w:rPr>
          <w:rFonts w:asciiTheme="minorHAnsi" w:hAnsiTheme="minorHAnsi"/>
          <w:sz w:val="22"/>
          <w:szCs w:val="22"/>
        </w:rPr>
        <w:t>Establishing an IT team that will connect and manage data bases that exist with the competent ministries for management of chemicals.</w:t>
      </w:r>
    </w:p>
    <w:p w14:paraId="425F0C97" w14:textId="77777777" w:rsidR="00647018" w:rsidRPr="007C4D65" w:rsidRDefault="00647018" w:rsidP="00647018">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Measure 5.3.3 Improved system of recording the cases of disease or death from consequences of poisoning due to inadequate handling of chemical products</w:t>
      </w:r>
    </w:p>
    <w:p w14:paraId="5372CBC1" w14:textId="77777777" w:rsidR="00647018" w:rsidRPr="007C4D65" w:rsidRDefault="00647018" w:rsidP="00647018">
      <w:pPr>
        <w:spacing w:before="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This measure aims to improve the method of registration of the people who got ill or died due to inadequate handling of chemicals and chemical products. </w:t>
      </w:r>
    </w:p>
    <w:p w14:paraId="75FF8F37" w14:textId="77777777" w:rsidR="00647018" w:rsidRPr="007C4D65" w:rsidRDefault="00647018" w:rsidP="00647018">
      <w:p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General areas of intervention: </w:t>
      </w:r>
    </w:p>
    <w:p w14:paraId="68262498" w14:textId="496EB752" w:rsidR="00647018" w:rsidRPr="007C4D65" w:rsidRDefault="00647018">
      <w:pPr>
        <w:numPr>
          <w:ilvl w:val="0"/>
          <w:numId w:val="187"/>
        </w:numPr>
        <w:tabs>
          <w:tab w:val="left" w:pos="284"/>
        </w:tabs>
        <w:spacing w:line="276" w:lineRule="auto"/>
        <w:ind w:left="284" w:right="-46"/>
        <w:contextualSpacing/>
        <w:jc w:val="both"/>
        <w:rPr>
          <w:rFonts w:asciiTheme="minorHAnsi" w:eastAsia="Calibri" w:hAnsiTheme="minorHAnsi" w:cstheme="minorHAnsi"/>
          <w:sz w:val="22"/>
          <w:szCs w:val="22"/>
        </w:rPr>
      </w:pPr>
      <w:r w:rsidRPr="007C4D65">
        <w:rPr>
          <w:rFonts w:asciiTheme="minorHAnsi" w:eastAsia="Calibri" w:hAnsiTheme="minorHAnsi" w:cstheme="minorHAnsi"/>
          <w:sz w:val="22"/>
          <w:szCs w:val="22"/>
        </w:rPr>
        <w:t xml:space="preserve">Established new methodology for collecting routine statistics in the Institute for Public Health </w:t>
      </w:r>
      <w:r w:rsidR="007436F1" w:rsidRPr="007C4D65">
        <w:rPr>
          <w:rFonts w:asciiTheme="minorHAnsi" w:eastAsia="Calibri" w:hAnsiTheme="minorHAnsi" w:cstheme="minorHAnsi"/>
          <w:sz w:val="22"/>
          <w:szCs w:val="22"/>
        </w:rPr>
        <w:t>of the Federation of BiH</w:t>
      </w:r>
      <w:r w:rsidRPr="007C4D65">
        <w:rPr>
          <w:rFonts w:asciiTheme="minorHAnsi" w:eastAsia="Calibri" w:hAnsiTheme="minorHAnsi" w:cstheme="minorHAnsi"/>
          <w:sz w:val="22"/>
          <w:szCs w:val="22"/>
        </w:rPr>
        <w:t xml:space="preserve">, which includes data on morbidity due to poisoning as a consequence of inadequate handling of chemical products, disaggregated by sex and age </w:t>
      </w:r>
      <w:proofErr w:type="gramStart"/>
      <w:r w:rsidRPr="007C4D65">
        <w:rPr>
          <w:rFonts w:asciiTheme="minorHAnsi" w:eastAsia="Calibri" w:hAnsiTheme="minorHAnsi" w:cstheme="minorHAnsi"/>
          <w:sz w:val="22"/>
          <w:szCs w:val="22"/>
        </w:rPr>
        <w:t>groups;</w:t>
      </w:r>
      <w:proofErr w:type="gramEnd"/>
    </w:p>
    <w:p w14:paraId="1A56BF8D" w14:textId="65122149" w:rsidR="00647018" w:rsidRPr="007C4D65" w:rsidRDefault="00647018">
      <w:pPr>
        <w:numPr>
          <w:ilvl w:val="0"/>
          <w:numId w:val="187"/>
        </w:numPr>
        <w:tabs>
          <w:tab w:val="left" w:pos="284"/>
        </w:tabs>
        <w:spacing w:line="276" w:lineRule="auto"/>
        <w:ind w:left="284" w:right="-46"/>
        <w:contextualSpacing/>
        <w:jc w:val="both"/>
        <w:rPr>
          <w:rFonts w:asciiTheme="minorHAnsi" w:eastAsia="Calibri" w:hAnsiTheme="minorHAnsi" w:cstheme="minorHAnsi"/>
          <w:sz w:val="22"/>
          <w:szCs w:val="22"/>
        </w:rPr>
      </w:pPr>
      <w:r w:rsidRPr="007C4D65">
        <w:rPr>
          <w:rFonts w:asciiTheme="minorHAnsi" w:eastAsia="Calibri" w:hAnsiTheme="minorHAnsi" w:cstheme="minorHAnsi"/>
          <w:sz w:val="22"/>
          <w:szCs w:val="22"/>
        </w:rPr>
        <w:lastRenderedPageBreak/>
        <w:t xml:space="preserve">Established and </w:t>
      </w:r>
      <w:r w:rsidR="006C5EE4" w:rsidRPr="007C4D65">
        <w:rPr>
          <w:rFonts w:asciiTheme="minorHAnsi" w:eastAsia="Calibri" w:hAnsiTheme="minorHAnsi" w:cstheme="minorHAnsi"/>
          <w:sz w:val="22"/>
          <w:szCs w:val="22"/>
        </w:rPr>
        <w:t>publicly</w:t>
      </w:r>
      <w:r w:rsidRPr="007C4D65">
        <w:rPr>
          <w:rFonts w:asciiTheme="minorHAnsi" w:eastAsia="Calibri" w:hAnsiTheme="minorHAnsi" w:cstheme="minorHAnsi"/>
          <w:sz w:val="22"/>
          <w:szCs w:val="22"/>
        </w:rPr>
        <w:t xml:space="preserve"> available statistical yearbook of the Federation Institute for Public Health, which includes data on deaths due to poisoning </w:t>
      </w:r>
      <w:proofErr w:type="gramStart"/>
      <w:r w:rsidRPr="007C4D65">
        <w:rPr>
          <w:rFonts w:asciiTheme="minorHAnsi" w:eastAsia="Calibri" w:hAnsiTheme="minorHAnsi" w:cstheme="minorHAnsi"/>
          <w:sz w:val="22"/>
          <w:szCs w:val="22"/>
        </w:rPr>
        <w:t>as a consequence of</w:t>
      </w:r>
      <w:proofErr w:type="gramEnd"/>
      <w:r w:rsidRPr="007C4D65">
        <w:rPr>
          <w:rFonts w:asciiTheme="minorHAnsi" w:eastAsia="Calibri" w:hAnsiTheme="minorHAnsi" w:cstheme="minorHAnsi"/>
          <w:sz w:val="22"/>
          <w:szCs w:val="22"/>
        </w:rPr>
        <w:t xml:space="preserve"> inadequate handling of chemical products, disaggregated by sex and age groups.</w:t>
      </w:r>
    </w:p>
    <w:p w14:paraId="0CFF4005" w14:textId="3675ED47" w:rsidR="00647018" w:rsidRPr="007C4D65" w:rsidRDefault="00647018" w:rsidP="00647018">
      <w:pPr>
        <w:spacing w:before="240" w:after="240" w:line="276" w:lineRule="auto"/>
        <w:rPr>
          <w:rFonts w:asciiTheme="minorHAnsi" w:hAnsiTheme="minorHAnsi" w:cstheme="minorHAnsi"/>
          <w:b/>
          <w:i/>
          <w:sz w:val="22"/>
          <w:szCs w:val="22"/>
          <w:u w:val="single"/>
        </w:rPr>
      </w:pPr>
      <w:r w:rsidRPr="007C4D65">
        <w:rPr>
          <w:rFonts w:asciiTheme="minorHAnsi" w:hAnsiTheme="minorHAnsi"/>
          <w:b/>
          <w:i/>
          <w:sz w:val="22"/>
          <w:szCs w:val="22"/>
          <w:u w:val="single"/>
        </w:rPr>
        <w:t xml:space="preserve">Priority 5.4 </w:t>
      </w:r>
      <w:r w:rsidR="0078459D" w:rsidRPr="007C4D65">
        <w:rPr>
          <w:rFonts w:asciiTheme="minorHAnsi" w:hAnsiTheme="minorHAnsi"/>
          <w:b/>
          <w:i/>
          <w:sz w:val="22"/>
          <w:szCs w:val="22"/>
          <w:u w:val="single"/>
        </w:rPr>
        <w:t xml:space="preserve">Reduced incidence of diseases or deaths due to poisoning </w:t>
      </w:r>
      <w:proofErr w:type="gramStart"/>
      <w:r w:rsidR="0078459D" w:rsidRPr="007C4D65">
        <w:rPr>
          <w:rFonts w:asciiTheme="minorHAnsi" w:hAnsiTheme="minorHAnsi"/>
          <w:b/>
          <w:i/>
          <w:sz w:val="22"/>
          <w:szCs w:val="22"/>
          <w:u w:val="single"/>
        </w:rPr>
        <w:t>as a consequence of</w:t>
      </w:r>
      <w:proofErr w:type="gramEnd"/>
      <w:r w:rsidR="0078459D" w:rsidRPr="007C4D65">
        <w:rPr>
          <w:rFonts w:asciiTheme="minorHAnsi" w:hAnsiTheme="minorHAnsi"/>
          <w:b/>
          <w:i/>
          <w:sz w:val="22"/>
          <w:szCs w:val="22"/>
          <w:u w:val="single"/>
        </w:rPr>
        <w:t xml:space="preserve"> inadequate handling of chemical products</w:t>
      </w:r>
    </w:p>
    <w:p w14:paraId="3747B158" w14:textId="661AC30B" w:rsidR="00647018" w:rsidRPr="007C4D65" w:rsidRDefault="00647018" w:rsidP="00647018">
      <w:pPr>
        <w:spacing w:before="240" w:after="240" w:line="276" w:lineRule="auto"/>
        <w:rPr>
          <w:rFonts w:asciiTheme="minorHAnsi" w:hAnsiTheme="minorHAnsi" w:cstheme="minorHAnsi"/>
          <w:i/>
          <w:sz w:val="22"/>
          <w:szCs w:val="22"/>
          <w:u w:val="single"/>
        </w:rPr>
      </w:pPr>
      <w:r w:rsidRPr="007C4D65">
        <w:rPr>
          <w:rFonts w:asciiTheme="minorHAnsi" w:hAnsiTheme="minorHAnsi"/>
          <w:i/>
          <w:sz w:val="22"/>
          <w:szCs w:val="22"/>
          <w:u w:val="single"/>
        </w:rPr>
        <w:t>Measure 5.4.1. Raising public awareness on the risks posed by use of chemicals</w:t>
      </w:r>
    </w:p>
    <w:p w14:paraId="546B5948" w14:textId="2BB97C27" w:rsidR="00647018" w:rsidRPr="007C4D65" w:rsidRDefault="00647018" w:rsidP="00647018">
      <w:pPr>
        <w:spacing w:before="240" w:after="240" w:line="276" w:lineRule="auto"/>
        <w:rPr>
          <w:rFonts w:asciiTheme="minorHAnsi" w:eastAsia="Calibri" w:hAnsiTheme="minorHAnsi" w:cstheme="minorHAnsi"/>
          <w:sz w:val="22"/>
          <w:szCs w:val="22"/>
        </w:rPr>
      </w:pPr>
      <w:r w:rsidRPr="007C4D65">
        <w:rPr>
          <w:rFonts w:asciiTheme="minorHAnsi" w:hAnsiTheme="minorHAnsi"/>
          <w:sz w:val="22"/>
          <w:szCs w:val="22"/>
        </w:rPr>
        <w:t>This measure improves level of information and knowledge of the users on harmful effects of chemicals, and requirements that stem from the adopted legislation in the field of chemical safety.</w:t>
      </w:r>
    </w:p>
    <w:p w14:paraId="354CF09B" w14:textId="05DCA103"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General areas of intervention:</w:t>
      </w:r>
    </w:p>
    <w:p w14:paraId="63B72ECB" w14:textId="0393CA6F" w:rsidR="00647018" w:rsidRPr="007C4D65" w:rsidRDefault="00647018">
      <w:pPr>
        <w:pStyle w:val="ListParagraph"/>
        <w:numPr>
          <w:ilvl w:val="0"/>
          <w:numId w:val="60"/>
        </w:numPr>
        <w:spacing w:before="240" w:after="240" w:line="276" w:lineRule="auto"/>
        <w:ind w:left="265" w:hanging="284"/>
        <w:jc w:val="both"/>
        <w:rPr>
          <w:rFonts w:asciiTheme="minorHAnsi" w:eastAsia="Calibri" w:hAnsiTheme="minorHAnsi" w:cstheme="minorHAnsi"/>
          <w:sz w:val="22"/>
          <w:szCs w:val="22"/>
        </w:rPr>
      </w:pPr>
      <w:r w:rsidRPr="007C4D65">
        <w:rPr>
          <w:rFonts w:asciiTheme="minorHAnsi" w:eastAsia="Calibri" w:hAnsiTheme="minorHAnsi" w:cstheme="minorHAnsi"/>
          <w:sz w:val="22"/>
          <w:szCs w:val="22"/>
        </w:rPr>
        <w:t>Continuous implementation of promotional and educational activities in the field of chemical management by competent institutions (FH</w:t>
      </w:r>
      <w:r w:rsidR="006C5EE4" w:rsidRPr="007C4D65">
        <w:rPr>
          <w:rFonts w:asciiTheme="minorHAnsi" w:eastAsia="Calibri" w:hAnsiTheme="minorHAnsi" w:cstheme="minorHAnsi"/>
          <w:sz w:val="22"/>
          <w:szCs w:val="22"/>
        </w:rPr>
        <w:t>M</w:t>
      </w:r>
      <w:r w:rsidRPr="007C4D65">
        <w:rPr>
          <w:rFonts w:asciiTheme="minorHAnsi" w:eastAsia="Calibri" w:hAnsiTheme="minorHAnsi" w:cstheme="minorHAnsi"/>
          <w:sz w:val="22"/>
          <w:szCs w:val="22"/>
        </w:rPr>
        <w:t xml:space="preserve">I, FMET), taking into consideration aspects of gender equality, social equity and poverty, as well as environmental </w:t>
      </w:r>
      <w:proofErr w:type="gramStart"/>
      <w:r w:rsidRPr="007C4D65">
        <w:rPr>
          <w:rFonts w:asciiTheme="minorHAnsi" w:eastAsia="Calibri" w:hAnsiTheme="minorHAnsi" w:cstheme="minorHAnsi"/>
          <w:sz w:val="22"/>
          <w:szCs w:val="22"/>
        </w:rPr>
        <w:t>impacts;</w:t>
      </w:r>
      <w:proofErr w:type="gramEnd"/>
    </w:p>
    <w:p w14:paraId="058AFC57" w14:textId="1C507A5C" w:rsidR="00647018" w:rsidRPr="007C4D65" w:rsidRDefault="00647018">
      <w:pPr>
        <w:pStyle w:val="ListParagraph"/>
        <w:numPr>
          <w:ilvl w:val="0"/>
          <w:numId w:val="60"/>
        </w:numPr>
        <w:spacing w:before="240" w:after="240" w:line="276" w:lineRule="auto"/>
        <w:ind w:left="265" w:hanging="284"/>
        <w:jc w:val="both"/>
        <w:rPr>
          <w:rFonts w:asciiTheme="minorHAnsi" w:eastAsia="Calibri" w:hAnsiTheme="minorHAnsi" w:cstheme="minorHAnsi"/>
          <w:sz w:val="22"/>
          <w:szCs w:val="22"/>
        </w:rPr>
      </w:pPr>
      <w:r w:rsidRPr="007C4D65">
        <w:rPr>
          <w:rFonts w:asciiTheme="minorHAnsi" w:hAnsiTheme="minorHAnsi"/>
          <w:sz w:val="22"/>
          <w:szCs w:val="22"/>
        </w:rPr>
        <w:t xml:space="preserve">Recognizing chemical safety in the framework of existing public calls for raising public awareness, research and education in the field of environment, which are issued by the Environmental Protection Fund </w:t>
      </w:r>
      <w:r w:rsidR="007436F1" w:rsidRPr="007C4D65">
        <w:rPr>
          <w:rFonts w:asciiTheme="minorHAnsi" w:hAnsiTheme="minorHAnsi"/>
          <w:sz w:val="22"/>
          <w:szCs w:val="22"/>
        </w:rPr>
        <w:t xml:space="preserve">of the Federation of </w:t>
      </w:r>
      <w:proofErr w:type="gramStart"/>
      <w:r w:rsidR="007436F1" w:rsidRPr="007C4D65">
        <w:rPr>
          <w:rFonts w:asciiTheme="minorHAnsi" w:hAnsiTheme="minorHAnsi"/>
          <w:sz w:val="22"/>
          <w:szCs w:val="22"/>
        </w:rPr>
        <w:t>BiH</w:t>
      </w:r>
      <w:r w:rsidRPr="007C4D65">
        <w:rPr>
          <w:rFonts w:asciiTheme="minorHAnsi" w:hAnsiTheme="minorHAnsi"/>
          <w:sz w:val="22"/>
          <w:szCs w:val="22"/>
        </w:rPr>
        <w:t>;</w:t>
      </w:r>
      <w:proofErr w:type="gramEnd"/>
    </w:p>
    <w:p w14:paraId="3FFF39DF" w14:textId="77777777" w:rsidR="00647018" w:rsidRPr="007C4D65" w:rsidRDefault="00647018">
      <w:pPr>
        <w:pStyle w:val="ListParagraph"/>
        <w:numPr>
          <w:ilvl w:val="0"/>
          <w:numId w:val="60"/>
        </w:numPr>
        <w:spacing w:before="240" w:after="240" w:line="276" w:lineRule="auto"/>
        <w:ind w:left="264" w:hanging="264"/>
        <w:jc w:val="both"/>
        <w:rPr>
          <w:rFonts w:asciiTheme="minorHAnsi" w:eastAsia="Calibri" w:hAnsiTheme="minorHAnsi" w:cstheme="minorHAnsi"/>
          <w:sz w:val="22"/>
          <w:szCs w:val="22"/>
        </w:rPr>
      </w:pPr>
      <w:r w:rsidRPr="007C4D65">
        <w:rPr>
          <w:rFonts w:asciiTheme="minorHAnsi" w:eastAsia="Calibri" w:hAnsiTheme="minorHAnsi" w:cstheme="minorHAnsi"/>
          <w:sz w:val="22"/>
          <w:szCs w:val="22"/>
        </w:rPr>
        <w:t xml:space="preserve">Harmonizing continuous training of the advisors for chemicals with the data of the Federation Administration for Inspections in the field of health inspection on most common irregularities in the field and with the data from the </w:t>
      </w:r>
      <w:proofErr w:type="spellStart"/>
      <w:r w:rsidRPr="007C4D65">
        <w:rPr>
          <w:rFonts w:asciiTheme="minorHAnsi" w:eastAsia="Calibri" w:hAnsiTheme="minorHAnsi" w:cstheme="minorHAnsi"/>
          <w:sz w:val="22"/>
          <w:szCs w:val="22"/>
        </w:rPr>
        <w:t>FMoH</w:t>
      </w:r>
      <w:proofErr w:type="spellEnd"/>
      <w:r w:rsidRPr="007C4D65">
        <w:rPr>
          <w:rFonts w:asciiTheme="minorHAnsi" w:eastAsia="Calibri" w:hAnsiTheme="minorHAnsi" w:cstheme="minorHAnsi"/>
          <w:sz w:val="22"/>
          <w:szCs w:val="22"/>
        </w:rPr>
        <w:t xml:space="preserve">, PCC, and with the issues of gender equality, social equity and poverty in chemical </w:t>
      </w:r>
      <w:proofErr w:type="gramStart"/>
      <w:r w:rsidRPr="007C4D65">
        <w:rPr>
          <w:rFonts w:asciiTheme="minorHAnsi" w:eastAsia="Calibri" w:hAnsiTheme="minorHAnsi" w:cstheme="minorHAnsi"/>
          <w:sz w:val="22"/>
          <w:szCs w:val="22"/>
        </w:rPr>
        <w:t>safety;</w:t>
      </w:r>
      <w:proofErr w:type="gramEnd"/>
    </w:p>
    <w:p w14:paraId="3D5BF68E" w14:textId="77777777" w:rsidR="00647018" w:rsidRPr="007C4D65" w:rsidRDefault="00647018">
      <w:pPr>
        <w:pStyle w:val="ListParagraph"/>
        <w:numPr>
          <w:ilvl w:val="0"/>
          <w:numId w:val="60"/>
        </w:numPr>
        <w:spacing w:before="240" w:after="240" w:line="276" w:lineRule="auto"/>
        <w:ind w:left="264" w:hanging="264"/>
        <w:jc w:val="both"/>
        <w:rPr>
          <w:rFonts w:asciiTheme="minorHAnsi" w:eastAsia="Calibri" w:hAnsiTheme="minorHAnsi" w:cstheme="minorHAnsi"/>
          <w:sz w:val="22"/>
          <w:szCs w:val="22"/>
        </w:rPr>
      </w:pPr>
      <w:r w:rsidRPr="007C4D65">
        <w:rPr>
          <w:rFonts w:asciiTheme="minorHAnsi" w:eastAsia="Calibri" w:hAnsiTheme="minorHAnsi" w:cstheme="minorHAnsi"/>
          <w:sz w:val="22"/>
          <w:szCs w:val="22"/>
        </w:rPr>
        <w:t xml:space="preserve">Preparation and implementation of a joint campaign by the competent entity ministries and inspectorate of Brcko District of BiH in the field of health on the risks posed by use of chemicals, for the purpose of protecting human health, and taking into consideration aspects of gender equality, social equity and poverty, and </w:t>
      </w:r>
      <w:proofErr w:type="gramStart"/>
      <w:r w:rsidRPr="007C4D65">
        <w:rPr>
          <w:rFonts w:asciiTheme="minorHAnsi" w:eastAsia="Calibri" w:hAnsiTheme="minorHAnsi" w:cstheme="minorHAnsi"/>
          <w:sz w:val="22"/>
          <w:szCs w:val="22"/>
        </w:rPr>
        <w:t>environment;</w:t>
      </w:r>
      <w:proofErr w:type="gramEnd"/>
    </w:p>
    <w:p w14:paraId="0C0E7790" w14:textId="7C19B672" w:rsidR="00647018" w:rsidRPr="007C4D65" w:rsidRDefault="00647018">
      <w:pPr>
        <w:pStyle w:val="ListParagraph"/>
        <w:numPr>
          <w:ilvl w:val="0"/>
          <w:numId w:val="60"/>
        </w:numPr>
        <w:spacing w:before="240" w:after="240" w:line="276" w:lineRule="auto"/>
        <w:ind w:left="265" w:hanging="267"/>
        <w:jc w:val="both"/>
        <w:rPr>
          <w:rFonts w:asciiTheme="minorHAnsi" w:eastAsia="Calibri" w:hAnsiTheme="minorHAnsi" w:cstheme="minorHAnsi"/>
          <w:sz w:val="22"/>
          <w:szCs w:val="22"/>
        </w:rPr>
      </w:pPr>
      <w:r w:rsidRPr="007C4D65">
        <w:rPr>
          <w:rFonts w:asciiTheme="minorHAnsi" w:hAnsiTheme="minorHAnsi"/>
          <w:sz w:val="22"/>
          <w:szCs w:val="22"/>
        </w:rPr>
        <w:t>Organization and implementation of training of repairers of HVAC equipment and issuing certificates.</w:t>
      </w:r>
    </w:p>
    <w:p w14:paraId="220D77DA" w14:textId="77777777" w:rsidR="00647018" w:rsidRPr="007C4D65" w:rsidRDefault="00647018" w:rsidP="00647018">
      <w:pPr>
        <w:pStyle w:val="ListParagraph"/>
        <w:spacing w:before="240" w:after="240" w:line="276" w:lineRule="auto"/>
        <w:ind w:left="265"/>
        <w:jc w:val="both"/>
        <w:rPr>
          <w:rFonts w:asciiTheme="minorHAnsi" w:eastAsia="Calibri" w:hAnsiTheme="minorHAnsi" w:cstheme="minorHAnsi"/>
          <w:sz w:val="22"/>
          <w:szCs w:val="22"/>
        </w:rPr>
      </w:pPr>
    </w:p>
    <w:p w14:paraId="79BBA3EF" w14:textId="2E40C0F4" w:rsidR="00647018" w:rsidRPr="007C4D65" w:rsidRDefault="00647018" w:rsidP="00647018">
      <w:pPr>
        <w:spacing w:before="240" w:after="240" w:line="276" w:lineRule="auto"/>
        <w:rPr>
          <w:rFonts w:asciiTheme="minorHAnsi" w:hAnsiTheme="minorHAnsi" w:cstheme="minorHAnsi"/>
          <w:b/>
          <w:i/>
          <w:sz w:val="22"/>
          <w:szCs w:val="22"/>
          <w:u w:val="single"/>
        </w:rPr>
      </w:pPr>
      <w:r w:rsidRPr="007C4D65">
        <w:rPr>
          <w:rFonts w:asciiTheme="minorHAnsi" w:hAnsiTheme="minorHAnsi"/>
          <w:b/>
          <w:i/>
          <w:sz w:val="22"/>
          <w:szCs w:val="22"/>
          <w:u w:val="single"/>
        </w:rPr>
        <w:t xml:space="preserve">Priority 5.5: </w:t>
      </w:r>
      <w:r w:rsidR="00C749AE" w:rsidRPr="007C4D65">
        <w:rPr>
          <w:rFonts w:asciiTheme="minorHAnsi" w:hAnsiTheme="minorHAnsi"/>
          <w:b/>
          <w:bCs/>
          <w:i/>
          <w:iCs/>
          <w:sz w:val="22"/>
          <w:szCs w:val="22"/>
          <w:u w:val="single"/>
        </w:rPr>
        <w:t>Establish a legislative framework and clear institutional competences to transpose EU acquis on environmental noise in legislation of the Federation of BiH</w:t>
      </w:r>
    </w:p>
    <w:p w14:paraId="2E8CFB71" w14:textId="77777777" w:rsidR="00647018" w:rsidRPr="007C4D65" w:rsidRDefault="00647018" w:rsidP="00647018">
      <w:pPr>
        <w:spacing w:before="240" w:after="240" w:line="276" w:lineRule="auto"/>
        <w:rPr>
          <w:rFonts w:asciiTheme="minorHAnsi" w:hAnsiTheme="minorHAnsi" w:cstheme="minorHAnsi"/>
          <w:i/>
          <w:sz w:val="22"/>
          <w:szCs w:val="22"/>
          <w:u w:val="single"/>
        </w:rPr>
      </w:pPr>
      <w:r w:rsidRPr="007C4D65">
        <w:rPr>
          <w:rFonts w:asciiTheme="minorHAnsi" w:hAnsiTheme="minorHAnsi"/>
          <w:i/>
          <w:sz w:val="22"/>
          <w:szCs w:val="22"/>
          <w:u w:val="single"/>
        </w:rPr>
        <w:t xml:space="preserve">Measure 5.5.1. </w:t>
      </w:r>
      <w:r w:rsidRPr="007C4D65">
        <w:rPr>
          <w:rFonts w:asciiTheme="minorHAnsi" w:hAnsiTheme="minorHAnsi"/>
          <w:i/>
          <w:iCs/>
          <w:sz w:val="22"/>
          <w:szCs w:val="22"/>
          <w:u w:val="single"/>
        </w:rPr>
        <w:t>Established legislative framework and institutional competences on noise evaluation and management, noise emission by outdoor equipment, in accordance with requirements of Directive 2002/49/EC and 2000/14/EC</w:t>
      </w:r>
    </w:p>
    <w:p w14:paraId="7196DC04" w14:textId="77777777" w:rsidR="00647018" w:rsidRPr="007C4D65" w:rsidRDefault="00647018" w:rsidP="00647018">
      <w:pPr>
        <w:spacing w:before="240" w:after="240" w:line="276" w:lineRule="auto"/>
        <w:rPr>
          <w:rFonts w:asciiTheme="minorHAnsi" w:eastAsia="Calibri" w:hAnsiTheme="minorHAnsi" w:cstheme="minorHAnsi"/>
          <w:sz w:val="22"/>
          <w:szCs w:val="22"/>
        </w:rPr>
      </w:pPr>
      <w:r w:rsidRPr="007C4D65">
        <w:rPr>
          <w:rFonts w:asciiTheme="minorHAnsi" w:hAnsiTheme="minorHAnsi"/>
          <w:sz w:val="22"/>
          <w:szCs w:val="22"/>
        </w:rPr>
        <w:t xml:space="preserve">This measure aims to achieve partial transposition of EU directives and establishment of institutional framework </w:t>
      </w:r>
      <w:proofErr w:type="gramStart"/>
      <w:r w:rsidRPr="007C4D65">
        <w:rPr>
          <w:rFonts w:asciiTheme="minorHAnsi" w:hAnsiTheme="minorHAnsi"/>
          <w:sz w:val="22"/>
          <w:szCs w:val="22"/>
        </w:rPr>
        <w:t>in the area of</w:t>
      </w:r>
      <w:proofErr w:type="gramEnd"/>
      <w:r w:rsidRPr="007C4D65">
        <w:rPr>
          <w:rFonts w:asciiTheme="minorHAnsi" w:hAnsiTheme="minorHAnsi"/>
          <w:sz w:val="22"/>
          <w:szCs w:val="22"/>
        </w:rPr>
        <w:t xml:space="preserve"> managing protection against noise.</w:t>
      </w:r>
    </w:p>
    <w:p w14:paraId="4383679C" w14:textId="017922C3"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General areas of intervention:</w:t>
      </w:r>
    </w:p>
    <w:p w14:paraId="232AA3B7" w14:textId="1F374352" w:rsidR="00647018" w:rsidRPr="007C4D65" w:rsidRDefault="00647018">
      <w:pPr>
        <w:pStyle w:val="ListParagraph"/>
        <w:numPr>
          <w:ilvl w:val="0"/>
          <w:numId w:val="61"/>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Updating current Law on Noise Protection, including clear definition of institutional </w:t>
      </w:r>
      <w:proofErr w:type="gramStart"/>
      <w:r w:rsidRPr="007C4D65">
        <w:rPr>
          <w:rFonts w:asciiTheme="minorHAnsi" w:hAnsiTheme="minorHAnsi"/>
          <w:sz w:val="22"/>
          <w:szCs w:val="22"/>
        </w:rPr>
        <w:t>competences;</w:t>
      </w:r>
      <w:proofErr w:type="gramEnd"/>
    </w:p>
    <w:p w14:paraId="35D7675E" w14:textId="77777777" w:rsidR="00647018" w:rsidRPr="007C4D65" w:rsidRDefault="00647018">
      <w:pPr>
        <w:pStyle w:val="ListParagraph"/>
        <w:numPr>
          <w:ilvl w:val="0"/>
          <w:numId w:val="61"/>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lastRenderedPageBreak/>
        <w:t>Developing secondary legislation (bylaws) that follow from the Law on Noise, to regulate development of strategic noise maps and noise protection action plans, in accordance with requirements of the Directive 2002/49/</w:t>
      </w:r>
      <w:proofErr w:type="gramStart"/>
      <w:r w:rsidRPr="007C4D65">
        <w:rPr>
          <w:rFonts w:asciiTheme="minorHAnsi" w:hAnsiTheme="minorHAnsi"/>
          <w:sz w:val="22"/>
          <w:szCs w:val="22"/>
        </w:rPr>
        <w:t>EC;</w:t>
      </w:r>
      <w:proofErr w:type="gramEnd"/>
    </w:p>
    <w:p w14:paraId="23A54A5B" w14:textId="2F7654F6" w:rsidR="00647018" w:rsidRPr="007C4D65" w:rsidRDefault="00647018">
      <w:pPr>
        <w:pStyle w:val="ListParagraph"/>
        <w:numPr>
          <w:ilvl w:val="0"/>
          <w:numId w:val="61"/>
        </w:num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Defining by law or bylaws clear institutional </w:t>
      </w:r>
      <w:r w:rsidR="002D2640" w:rsidRPr="007C4D65">
        <w:rPr>
          <w:rFonts w:asciiTheme="minorHAnsi" w:hAnsiTheme="minorHAnsi"/>
          <w:sz w:val="22"/>
          <w:szCs w:val="22"/>
        </w:rPr>
        <w:t>competences</w:t>
      </w:r>
      <w:r w:rsidRPr="007C4D65">
        <w:rPr>
          <w:rFonts w:asciiTheme="minorHAnsi" w:hAnsiTheme="minorHAnsi"/>
          <w:sz w:val="22"/>
          <w:szCs w:val="22"/>
        </w:rPr>
        <w:t xml:space="preserve"> and obligations regarding noise emission by outdoor equipment.</w:t>
      </w:r>
    </w:p>
    <w:p w14:paraId="17224A4C" w14:textId="71CAE284" w:rsidR="00647018" w:rsidRPr="007C4D65" w:rsidRDefault="00647018" w:rsidP="00647018">
      <w:pPr>
        <w:spacing w:before="240" w:after="240" w:line="276" w:lineRule="auto"/>
        <w:rPr>
          <w:rFonts w:asciiTheme="minorHAnsi" w:hAnsiTheme="minorHAnsi" w:cstheme="minorHAnsi"/>
          <w:b/>
          <w:i/>
          <w:sz w:val="22"/>
          <w:szCs w:val="22"/>
          <w:u w:val="single"/>
        </w:rPr>
      </w:pPr>
      <w:r w:rsidRPr="007C4D65">
        <w:rPr>
          <w:rFonts w:asciiTheme="minorHAnsi" w:hAnsiTheme="minorHAnsi"/>
          <w:b/>
          <w:i/>
          <w:sz w:val="22"/>
          <w:szCs w:val="22"/>
          <w:u w:val="single"/>
        </w:rPr>
        <w:t>Priority 5.6: Enhance strategic planning and monitoring of environmental noise</w:t>
      </w:r>
    </w:p>
    <w:p w14:paraId="1988F2CB" w14:textId="77777777" w:rsidR="00647018" w:rsidRPr="007C4D65" w:rsidRDefault="00647018" w:rsidP="00647018">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Measure 5.6.1. Developing strategic noise maps an action plan for noise protection</w:t>
      </w:r>
    </w:p>
    <w:p w14:paraId="35D71D87" w14:textId="24D084C1"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This measure aims to achieve implementation of legislation in the </w:t>
      </w:r>
      <w:r w:rsidR="002D2640" w:rsidRPr="007C4D65">
        <w:rPr>
          <w:rFonts w:asciiTheme="minorHAnsi" w:hAnsiTheme="minorHAnsi"/>
          <w:sz w:val="22"/>
          <w:szCs w:val="22"/>
        </w:rPr>
        <w:t>field</w:t>
      </w:r>
      <w:r w:rsidRPr="007C4D65">
        <w:rPr>
          <w:rFonts w:asciiTheme="minorHAnsi" w:hAnsiTheme="minorHAnsi"/>
          <w:sz w:val="22"/>
          <w:szCs w:val="22"/>
        </w:rPr>
        <w:t xml:space="preserve"> of noise management and protection against noise.</w:t>
      </w:r>
    </w:p>
    <w:p w14:paraId="18949E56" w14:textId="261E6846"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General areas of intervention:</w:t>
      </w:r>
    </w:p>
    <w:p w14:paraId="188AF800" w14:textId="60C2836D" w:rsidR="00647018" w:rsidRPr="007C4D65" w:rsidRDefault="00647018">
      <w:pPr>
        <w:pStyle w:val="ListParagraph"/>
        <w:numPr>
          <w:ilvl w:val="0"/>
          <w:numId w:val="214"/>
        </w:numPr>
        <w:spacing w:line="276" w:lineRule="auto"/>
        <w:rPr>
          <w:rFonts w:asciiTheme="minorHAnsi" w:eastAsia="Calibri" w:hAnsiTheme="minorHAnsi" w:cstheme="minorHAnsi"/>
          <w:sz w:val="22"/>
          <w:szCs w:val="22"/>
        </w:rPr>
      </w:pPr>
      <w:r w:rsidRPr="007C4D65">
        <w:rPr>
          <w:rFonts w:asciiTheme="minorHAnsi" w:hAnsiTheme="minorHAnsi"/>
          <w:sz w:val="22"/>
          <w:szCs w:val="22"/>
        </w:rPr>
        <w:t xml:space="preserve">Analysis of road, railway and airport traffic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for the purpose of identifying “major roads”, “major railways” and “major airport” in accordance with recommendations from Directive 2002/49/</w:t>
      </w:r>
      <w:proofErr w:type="gramStart"/>
      <w:r w:rsidRPr="007C4D65">
        <w:rPr>
          <w:rFonts w:asciiTheme="minorHAnsi" w:hAnsiTheme="minorHAnsi"/>
          <w:sz w:val="22"/>
          <w:szCs w:val="22"/>
        </w:rPr>
        <w:t>EC;</w:t>
      </w:r>
      <w:proofErr w:type="gramEnd"/>
    </w:p>
    <w:p w14:paraId="2658D8AA" w14:textId="77777777" w:rsidR="00647018" w:rsidRPr="007C4D65" w:rsidRDefault="00647018">
      <w:pPr>
        <w:pStyle w:val="ListParagraph"/>
        <w:numPr>
          <w:ilvl w:val="0"/>
          <w:numId w:val="214"/>
        </w:numPr>
        <w:spacing w:line="276" w:lineRule="auto"/>
        <w:rPr>
          <w:rFonts w:asciiTheme="minorHAnsi" w:eastAsia="Calibri" w:hAnsiTheme="minorHAnsi" w:cstheme="minorHAnsi"/>
          <w:sz w:val="22"/>
          <w:szCs w:val="22"/>
        </w:rPr>
      </w:pPr>
      <w:r w:rsidRPr="007C4D65">
        <w:rPr>
          <w:rFonts w:asciiTheme="minorHAnsi" w:hAnsiTheme="minorHAnsi"/>
          <w:sz w:val="22"/>
          <w:szCs w:val="22"/>
        </w:rPr>
        <w:t xml:space="preserve">Development of noise maps for previously defined “inhabited areas”, “major roads”, “main railways”, and “major airports” by using the prescribed </w:t>
      </w:r>
      <w:proofErr w:type="gramStart"/>
      <w:r w:rsidRPr="007C4D65">
        <w:rPr>
          <w:rFonts w:asciiTheme="minorHAnsi" w:hAnsiTheme="minorHAnsi"/>
          <w:sz w:val="22"/>
          <w:szCs w:val="22"/>
        </w:rPr>
        <w:t>models;</w:t>
      </w:r>
      <w:proofErr w:type="gramEnd"/>
    </w:p>
    <w:p w14:paraId="397CC23B" w14:textId="77777777" w:rsidR="00647018" w:rsidRPr="007C4D65" w:rsidRDefault="00647018">
      <w:pPr>
        <w:pStyle w:val="ListParagraph"/>
        <w:numPr>
          <w:ilvl w:val="0"/>
          <w:numId w:val="214"/>
        </w:numPr>
        <w:spacing w:line="276" w:lineRule="auto"/>
        <w:rPr>
          <w:rFonts w:asciiTheme="minorHAnsi" w:eastAsia="Calibri" w:hAnsiTheme="minorHAnsi" w:cstheme="minorHAnsi"/>
          <w:sz w:val="22"/>
          <w:szCs w:val="22"/>
        </w:rPr>
      </w:pPr>
      <w:r w:rsidRPr="007C4D65">
        <w:rPr>
          <w:rFonts w:asciiTheme="minorHAnsi" w:hAnsiTheme="minorHAnsi"/>
          <w:sz w:val="22"/>
          <w:szCs w:val="22"/>
        </w:rPr>
        <w:t xml:space="preserve">Estimating number of people exposed to noise, by classes of noise and age </w:t>
      </w:r>
      <w:proofErr w:type="gramStart"/>
      <w:r w:rsidRPr="007C4D65">
        <w:rPr>
          <w:rFonts w:asciiTheme="minorHAnsi" w:hAnsiTheme="minorHAnsi"/>
          <w:sz w:val="22"/>
          <w:szCs w:val="22"/>
        </w:rPr>
        <w:t>groups;</w:t>
      </w:r>
      <w:proofErr w:type="gramEnd"/>
    </w:p>
    <w:p w14:paraId="02342E6C" w14:textId="77777777" w:rsidR="00647018" w:rsidRPr="007C4D65" w:rsidRDefault="00647018">
      <w:pPr>
        <w:pStyle w:val="ListParagraph"/>
        <w:numPr>
          <w:ilvl w:val="0"/>
          <w:numId w:val="214"/>
        </w:numPr>
        <w:spacing w:line="276" w:lineRule="auto"/>
        <w:rPr>
          <w:rFonts w:asciiTheme="minorHAnsi" w:eastAsia="Calibri" w:hAnsiTheme="minorHAnsi" w:cstheme="minorHAnsi"/>
          <w:sz w:val="22"/>
          <w:szCs w:val="22"/>
        </w:rPr>
      </w:pPr>
      <w:r w:rsidRPr="007C4D65">
        <w:rPr>
          <w:rFonts w:asciiTheme="minorHAnsi" w:hAnsiTheme="minorHAnsi"/>
          <w:sz w:val="22"/>
          <w:szCs w:val="22"/>
        </w:rPr>
        <w:t xml:space="preserve">Developing noise management action plan for five-year </w:t>
      </w:r>
      <w:proofErr w:type="gramStart"/>
      <w:r w:rsidRPr="007C4D65">
        <w:rPr>
          <w:rFonts w:asciiTheme="minorHAnsi" w:hAnsiTheme="minorHAnsi"/>
          <w:sz w:val="22"/>
          <w:szCs w:val="22"/>
        </w:rPr>
        <w:t>period;</w:t>
      </w:r>
      <w:proofErr w:type="gramEnd"/>
    </w:p>
    <w:p w14:paraId="26E5A8AC" w14:textId="77777777" w:rsidR="00647018" w:rsidRPr="007C4D65" w:rsidRDefault="00647018">
      <w:pPr>
        <w:pStyle w:val="ListParagraph"/>
        <w:numPr>
          <w:ilvl w:val="0"/>
          <w:numId w:val="214"/>
        </w:numPr>
        <w:spacing w:line="276" w:lineRule="auto"/>
        <w:rPr>
          <w:rFonts w:asciiTheme="minorHAnsi" w:eastAsia="Calibri" w:hAnsiTheme="minorHAnsi" w:cstheme="minorHAnsi"/>
          <w:sz w:val="22"/>
          <w:szCs w:val="22"/>
        </w:rPr>
      </w:pPr>
      <w:r w:rsidRPr="007C4D65">
        <w:rPr>
          <w:rFonts w:asciiTheme="minorHAnsi" w:hAnsiTheme="minorHAnsi"/>
          <w:sz w:val="22"/>
          <w:szCs w:val="22"/>
        </w:rPr>
        <w:t>Establishing a noise monitoring system, to verify the noise established in the forecasting model at selected places, and to verify the success of implementation of measures from the action plan.</w:t>
      </w:r>
    </w:p>
    <w:p w14:paraId="5384943E" w14:textId="77777777" w:rsidR="00647018" w:rsidRPr="007C4D65" w:rsidRDefault="00647018" w:rsidP="00647018">
      <w:pPr>
        <w:spacing w:before="240" w:line="276" w:lineRule="auto"/>
        <w:rPr>
          <w:rFonts w:asciiTheme="minorHAnsi" w:hAnsiTheme="minorHAnsi" w:cstheme="minorHAnsi"/>
          <w:b/>
          <w:i/>
          <w:sz w:val="22"/>
          <w:szCs w:val="22"/>
          <w:u w:val="single"/>
        </w:rPr>
      </w:pPr>
      <w:r w:rsidRPr="007C4D65">
        <w:rPr>
          <w:rFonts w:asciiTheme="minorHAnsi" w:hAnsiTheme="minorHAnsi"/>
          <w:b/>
          <w:i/>
          <w:sz w:val="22"/>
          <w:szCs w:val="22"/>
          <w:u w:val="single"/>
        </w:rPr>
        <w:t xml:space="preserve">Priority 5.7: Efficient operation of institutions </w:t>
      </w:r>
      <w:proofErr w:type="gramStart"/>
      <w:r w:rsidRPr="007C4D65">
        <w:rPr>
          <w:rFonts w:asciiTheme="minorHAnsi" w:hAnsiTheme="minorHAnsi"/>
          <w:b/>
          <w:i/>
          <w:sz w:val="22"/>
          <w:szCs w:val="22"/>
          <w:u w:val="single"/>
        </w:rPr>
        <w:t>in the area of</w:t>
      </w:r>
      <w:proofErr w:type="gramEnd"/>
      <w:r w:rsidRPr="007C4D65">
        <w:rPr>
          <w:rFonts w:asciiTheme="minorHAnsi" w:hAnsiTheme="minorHAnsi"/>
          <w:b/>
          <w:i/>
          <w:sz w:val="22"/>
          <w:szCs w:val="22"/>
          <w:u w:val="single"/>
        </w:rPr>
        <w:t xml:space="preserve"> environmental noise</w:t>
      </w:r>
    </w:p>
    <w:p w14:paraId="2038037D" w14:textId="77777777" w:rsidR="00647018" w:rsidRPr="007C4D65" w:rsidRDefault="00647018" w:rsidP="00647018">
      <w:pPr>
        <w:spacing w:before="240" w:after="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 xml:space="preserve">Measure 5.7.1. </w:t>
      </w:r>
      <w:r w:rsidRPr="007C4D65">
        <w:rPr>
          <w:rFonts w:asciiTheme="minorHAnsi" w:hAnsiTheme="minorHAnsi"/>
          <w:i/>
          <w:iCs/>
          <w:sz w:val="22"/>
          <w:szCs w:val="22"/>
          <w:u w:val="single"/>
        </w:rPr>
        <w:t xml:space="preserve">Improve capacities and skills of public officials </w:t>
      </w:r>
      <w:proofErr w:type="gramStart"/>
      <w:r w:rsidRPr="007C4D65">
        <w:rPr>
          <w:rFonts w:asciiTheme="minorHAnsi" w:hAnsiTheme="minorHAnsi"/>
          <w:i/>
          <w:iCs/>
          <w:sz w:val="22"/>
          <w:szCs w:val="22"/>
          <w:u w:val="single"/>
        </w:rPr>
        <w:t>in the area of</w:t>
      </w:r>
      <w:proofErr w:type="gramEnd"/>
      <w:r w:rsidRPr="007C4D65">
        <w:rPr>
          <w:rFonts w:asciiTheme="minorHAnsi" w:hAnsiTheme="minorHAnsi"/>
          <w:i/>
          <w:iCs/>
          <w:sz w:val="22"/>
          <w:szCs w:val="22"/>
          <w:u w:val="single"/>
        </w:rPr>
        <w:t xml:space="preserve"> noise management</w:t>
      </w:r>
    </w:p>
    <w:p w14:paraId="1FEA9AA5" w14:textId="77777777"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This measure aims to achieve enhanced technical and human capacities of the competent authorities in the field of noise management.</w:t>
      </w:r>
    </w:p>
    <w:p w14:paraId="063B6351" w14:textId="77930F58"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General areas of intervention:</w:t>
      </w:r>
    </w:p>
    <w:p w14:paraId="2F5DD6D2" w14:textId="77777777" w:rsidR="00647018" w:rsidRPr="007C4D65" w:rsidRDefault="00647018">
      <w:pPr>
        <w:pStyle w:val="ListParagraph"/>
        <w:numPr>
          <w:ilvl w:val="0"/>
          <w:numId w:val="62"/>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Analyse capacities of public servants in competent institutions once the legislation foreseen in this Plan were </w:t>
      </w:r>
      <w:proofErr w:type="gramStart"/>
      <w:r w:rsidRPr="007C4D65">
        <w:rPr>
          <w:rFonts w:asciiTheme="minorHAnsi" w:hAnsiTheme="minorHAnsi"/>
          <w:sz w:val="22"/>
          <w:szCs w:val="22"/>
        </w:rPr>
        <w:t>adopted;</w:t>
      </w:r>
      <w:proofErr w:type="gramEnd"/>
    </w:p>
    <w:p w14:paraId="3E06F933" w14:textId="77777777" w:rsidR="00647018" w:rsidRPr="007C4D65" w:rsidRDefault="00647018">
      <w:pPr>
        <w:pStyle w:val="ListParagraph"/>
        <w:numPr>
          <w:ilvl w:val="0"/>
          <w:numId w:val="62"/>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Hire and train new people in public services (Federation, Cantonal) in the field of environmental noise, in accordance with the requirements of the new regulations and the analysis previously </w:t>
      </w:r>
      <w:proofErr w:type="gramStart"/>
      <w:r w:rsidRPr="007C4D65">
        <w:rPr>
          <w:rFonts w:asciiTheme="minorHAnsi" w:hAnsiTheme="minorHAnsi"/>
          <w:sz w:val="22"/>
          <w:szCs w:val="22"/>
        </w:rPr>
        <w:t>made;</w:t>
      </w:r>
      <w:proofErr w:type="gramEnd"/>
    </w:p>
    <w:p w14:paraId="2C92FB3C" w14:textId="77777777" w:rsidR="00647018" w:rsidRPr="007C4D65" w:rsidRDefault="00647018">
      <w:pPr>
        <w:pStyle w:val="ListParagraph"/>
        <w:numPr>
          <w:ilvl w:val="0"/>
          <w:numId w:val="62"/>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Develop plan and programme of annual training of public officials in the area of environmental noise, and implement the first training by </w:t>
      </w:r>
      <w:proofErr w:type="gramStart"/>
      <w:r w:rsidRPr="007C4D65">
        <w:rPr>
          <w:rFonts w:asciiTheme="minorHAnsi" w:hAnsiTheme="minorHAnsi"/>
          <w:sz w:val="22"/>
          <w:szCs w:val="22"/>
        </w:rPr>
        <w:t>2024;</w:t>
      </w:r>
      <w:proofErr w:type="gramEnd"/>
    </w:p>
    <w:p w14:paraId="1DBD013E" w14:textId="77777777" w:rsidR="00647018" w:rsidRPr="007C4D65" w:rsidRDefault="00647018">
      <w:pPr>
        <w:pStyle w:val="ListParagraph"/>
        <w:numPr>
          <w:ilvl w:val="0"/>
          <w:numId w:val="62"/>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Implement a pilot project of strategic noise mapping in some of the cities or parts of the cities, as well as along some of the main communications for the purpose of acquiring skills and technical competencies, and determining the baseline </w:t>
      </w:r>
      <w:proofErr w:type="gramStart"/>
      <w:r w:rsidRPr="007C4D65">
        <w:rPr>
          <w:rFonts w:asciiTheme="minorHAnsi" w:hAnsiTheme="minorHAnsi"/>
          <w:sz w:val="22"/>
          <w:szCs w:val="22"/>
        </w:rPr>
        <w:t>parameters;</w:t>
      </w:r>
      <w:proofErr w:type="gramEnd"/>
    </w:p>
    <w:p w14:paraId="76E57632" w14:textId="1226C94D" w:rsidR="00647018" w:rsidRPr="007C4D65" w:rsidRDefault="00647018">
      <w:pPr>
        <w:pStyle w:val="ListParagraph"/>
        <w:numPr>
          <w:ilvl w:val="0"/>
          <w:numId w:val="62"/>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lastRenderedPageBreak/>
        <w:t xml:space="preserve">Upgrade the existing information system of the Environmental Protection Fund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to enable development and presentation of strategic noise maps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w:t>
      </w:r>
    </w:p>
    <w:p w14:paraId="5BF451BA" w14:textId="77777777" w:rsidR="00647018" w:rsidRPr="007C4D65" w:rsidRDefault="00647018">
      <w:pPr>
        <w:pStyle w:val="ListParagraph"/>
        <w:numPr>
          <w:ilvl w:val="0"/>
          <w:numId w:val="62"/>
        </w:num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Establish inspection oversight </w:t>
      </w:r>
      <w:proofErr w:type="gramStart"/>
      <w:r w:rsidRPr="007C4D65">
        <w:rPr>
          <w:rFonts w:asciiTheme="minorHAnsi" w:hAnsiTheme="minorHAnsi"/>
          <w:sz w:val="22"/>
          <w:szCs w:val="22"/>
        </w:rPr>
        <w:t>in the area of</w:t>
      </w:r>
      <w:proofErr w:type="gramEnd"/>
      <w:r w:rsidRPr="007C4D65">
        <w:rPr>
          <w:rFonts w:asciiTheme="minorHAnsi" w:hAnsiTheme="minorHAnsi"/>
          <w:sz w:val="22"/>
          <w:szCs w:val="22"/>
        </w:rPr>
        <w:t xml:space="preserve"> environmental noise.</w:t>
      </w:r>
    </w:p>
    <w:p w14:paraId="46F02642" w14:textId="64D78349" w:rsidR="00647018" w:rsidRPr="007C4D65" w:rsidRDefault="00647018" w:rsidP="00647018">
      <w:pPr>
        <w:spacing w:before="240" w:after="240" w:line="276" w:lineRule="auto"/>
        <w:rPr>
          <w:rFonts w:asciiTheme="minorHAnsi" w:hAnsiTheme="minorHAnsi" w:cstheme="minorHAnsi"/>
          <w:b/>
          <w:i/>
          <w:sz w:val="22"/>
          <w:szCs w:val="22"/>
          <w:u w:val="single"/>
        </w:rPr>
      </w:pPr>
      <w:r w:rsidRPr="007C4D65">
        <w:rPr>
          <w:rFonts w:asciiTheme="minorHAnsi" w:hAnsiTheme="minorHAnsi"/>
          <w:b/>
          <w:i/>
          <w:sz w:val="22"/>
          <w:szCs w:val="22"/>
          <w:u w:val="single"/>
        </w:rPr>
        <w:t xml:space="preserve">Priority 5.8: </w:t>
      </w:r>
      <w:r w:rsidR="00467B07" w:rsidRPr="007C4D65">
        <w:rPr>
          <w:rFonts w:asciiTheme="minorHAnsi" w:hAnsiTheme="minorHAnsi"/>
          <w:b/>
          <w:i/>
          <w:sz w:val="22"/>
          <w:szCs w:val="22"/>
          <w:u w:val="single"/>
        </w:rPr>
        <w:t>Reduce the risk to human health from environmental noise</w:t>
      </w:r>
    </w:p>
    <w:p w14:paraId="05F89C14" w14:textId="7A762551" w:rsidR="00647018" w:rsidRPr="007C4D65" w:rsidRDefault="00647018" w:rsidP="00647018">
      <w:pPr>
        <w:spacing w:before="240" w:after="240" w:line="276" w:lineRule="auto"/>
        <w:rPr>
          <w:rFonts w:asciiTheme="minorHAnsi" w:hAnsiTheme="minorHAnsi" w:cstheme="minorHAnsi"/>
          <w:i/>
          <w:sz w:val="22"/>
          <w:szCs w:val="22"/>
          <w:u w:val="single"/>
        </w:rPr>
      </w:pPr>
      <w:r w:rsidRPr="007C4D65">
        <w:rPr>
          <w:rFonts w:asciiTheme="minorHAnsi" w:hAnsiTheme="minorHAnsi"/>
          <w:i/>
          <w:sz w:val="22"/>
          <w:szCs w:val="22"/>
          <w:u w:val="single"/>
        </w:rPr>
        <w:t xml:space="preserve">Measure 5.8.1. </w:t>
      </w:r>
      <w:r w:rsidRPr="007C4D65">
        <w:rPr>
          <w:rFonts w:asciiTheme="minorHAnsi" w:hAnsiTheme="minorHAnsi"/>
          <w:i/>
          <w:iCs/>
          <w:sz w:val="22"/>
          <w:szCs w:val="22"/>
          <w:u w:val="single"/>
        </w:rPr>
        <w:t xml:space="preserve">Improve level of information and knowledge of </w:t>
      </w:r>
      <w:proofErr w:type="gramStart"/>
      <w:r w:rsidRPr="007C4D65">
        <w:rPr>
          <w:rFonts w:asciiTheme="minorHAnsi" w:hAnsiTheme="minorHAnsi"/>
          <w:i/>
          <w:iCs/>
          <w:sz w:val="22"/>
          <w:szCs w:val="22"/>
          <w:u w:val="single"/>
        </w:rPr>
        <w:t>general public</w:t>
      </w:r>
      <w:proofErr w:type="gramEnd"/>
      <w:r w:rsidRPr="007C4D65">
        <w:rPr>
          <w:rFonts w:asciiTheme="minorHAnsi" w:hAnsiTheme="minorHAnsi"/>
          <w:i/>
          <w:iCs/>
          <w:sz w:val="22"/>
          <w:szCs w:val="22"/>
          <w:u w:val="single"/>
        </w:rPr>
        <w:t xml:space="preserve"> regarding negative impact of noise and their role in </w:t>
      </w:r>
      <w:r w:rsidR="009F16BA" w:rsidRPr="007C4D65">
        <w:rPr>
          <w:rFonts w:asciiTheme="minorHAnsi" w:hAnsiTheme="minorHAnsi"/>
          <w:i/>
          <w:iCs/>
          <w:sz w:val="22"/>
          <w:szCs w:val="22"/>
          <w:u w:val="single"/>
        </w:rPr>
        <w:t>decision-making</w:t>
      </w:r>
      <w:r w:rsidRPr="007C4D65">
        <w:rPr>
          <w:rFonts w:asciiTheme="minorHAnsi" w:hAnsiTheme="minorHAnsi"/>
          <w:i/>
          <w:iCs/>
          <w:sz w:val="22"/>
          <w:szCs w:val="22"/>
          <w:u w:val="single"/>
        </w:rPr>
        <w:t xml:space="preserve"> process</w:t>
      </w:r>
    </w:p>
    <w:p w14:paraId="2D886689" w14:textId="77777777"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This measure aims to achieve improved level of information and knowledge among population on harmful impact of noise on human health, and on the requirements that stem from the adopted legislation </w:t>
      </w:r>
      <w:proofErr w:type="gramStart"/>
      <w:r w:rsidRPr="007C4D65">
        <w:rPr>
          <w:rFonts w:asciiTheme="minorHAnsi" w:hAnsiTheme="minorHAnsi"/>
          <w:sz w:val="22"/>
          <w:szCs w:val="22"/>
        </w:rPr>
        <w:t>in the area of</w:t>
      </w:r>
      <w:proofErr w:type="gramEnd"/>
      <w:r w:rsidRPr="007C4D65">
        <w:rPr>
          <w:rFonts w:asciiTheme="minorHAnsi" w:hAnsiTheme="minorHAnsi"/>
          <w:sz w:val="22"/>
          <w:szCs w:val="22"/>
        </w:rPr>
        <w:t xml:space="preserve"> noise protection.</w:t>
      </w:r>
    </w:p>
    <w:p w14:paraId="64D2633E" w14:textId="21829CCC" w:rsidR="00647018" w:rsidRPr="007C4D65" w:rsidRDefault="00647018" w:rsidP="00647018">
      <w:p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General areas of intervention:</w:t>
      </w:r>
    </w:p>
    <w:p w14:paraId="76363AAE" w14:textId="77777777" w:rsidR="00647018" w:rsidRPr="007C4D65" w:rsidRDefault="00647018">
      <w:pPr>
        <w:pStyle w:val="ListParagraph"/>
        <w:numPr>
          <w:ilvl w:val="0"/>
          <w:numId w:val="63"/>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Establishment of a single information system that will, in addition to the graphic (GIS based) presentation of noise maps, also include data on the noise exposure of the population, by specific classes and age groups of </w:t>
      </w:r>
      <w:proofErr w:type="gramStart"/>
      <w:r w:rsidRPr="007C4D65">
        <w:rPr>
          <w:rFonts w:asciiTheme="minorHAnsi" w:hAnsiTheme="minorHAnsi"/>
          <w:sz w:val="22"/>
          <w:szCs w:val="22"/>
        </w:rPr>
        <w:t>population;</w:t>
      </w:r>
      <w:proofErr w:type="gramEnd"/>
    </w:p>
    <w:p w14:paraId="19761A67" w14:textId="0A30325F" w:rsidR="00647018" w:rsidRPr="007C4D65" w:rsidRDefault="00647018">
      <w:pPr>
        <w:pStyle w:val="ListParagraph"/>
        <w:numPr>
          <w:ilvl w:val="0"/>
          <w:numId w:val="63"/>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Implementation, by competent institutions, of at least one campaign in five years regarding harmful effect of noise on health of population (taking into consideration aspects of gender equality, social equity and poverty) and environment, and the role of the public in </w:t>
      </w:r>
      <w:r w:rsidR="009F16BA" w:rsidRPr="007C4D65">
        <w:rPr>
          <w:rFonts w:asciiTheme="minorHAnsi" w:hAnsiTheme="minorHAnsi"/>
          <w:sz w:val="22"/>
          <w:szCs w:val="22"/>
        </w:rPr>
        <w:t xml:space="preserve">decision-making </w:t>
      </w:r>
      <w:proofErr w:type="gramStart"/>
      <w:r w:rsidRPr="007C4D65">
        <w:rPr>
          <w:rFonts w:asciiTheme="minorHAnsi" w:hAnsiTheme="minorHAnsi"/>
          <w:sz w:val="22"/>
          <w:szCs w:val="22"/>
        </w:rPr>
        <w:t>process;</w:t>
      </w:r>
      <w:proofErr w:type="gramEnd"/>
    </w:p>
    <w:p w14:paraId="62DF9830" w14:textId="77777777" w:rsidR="00647018" w:rsidRPr="007C4D65" w:rsidRDefault="00647018">
      <w:pPr>
        <w:pStyle w:val="ListParagraph"/>
        <w:numPr>
          <w:ilvl w:val="0"/>
          <w:numId w:val="63"/>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Make general assessment of impact of noise on people’s health (taking into consideration aspects of gender equality, social equity and poverty) in zones exposed to </w:t>
      </w:r>
      <w:proofErr w:type="gramStart"/>
      <w:r w:rsidRPr="007C4D65">
        <w:rPr>
          <w:rFonts w:asciiTheme="minorHAnsi" w:hAnsiTheme="minorHAnsi"/>
          <w:sz w:val="22"/>
          <w:szCs w:val="22"/>
        </w:rPr>
        <w:t>noise;</w:t>
      </w:r>
      <w:proofErr w:type="gramEnd"/>
    </w:p>
    <w:p w14:paraId="36DE612C" w14:textId="77777777" w:rsidR="00647018" w:rsidRPr="007C4D65" w:rsidRDefault="00647018">
      <w:pPr>
        <w:pStyle w:val="ListParagraph"/>
        <w:numPr>
          <w:ilvl w:val="0"/>
          <w:numId w:val="63"/>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Recognize environmental noise within the scope of public calls for raising public awareness, research and educational activities in the field of environment, which is issued by the Environmental Protection Fund of </w:t>
      </w:r>
      <w:proofErr w:type="gramStart"/>
      <w:r w:rsidRPr="007C4D65">
        <w:rPr>
          <w:rFonts w:asciiTheme="minorHAnsi" w:hAnsiTheme="minorHAnsi"/>
          <w:sz w:val="22"/>
          <w:szCs w:val="22"/>
        </w:rPr>
        <w:t>FBiH;</w:t>
      </w:r>
      <w:proofErr w:type="gramEnd"/>
    </w:p>
    <w:p w14:paraId="0C42B8DE" w14:textId="77777777" w:rsidR="00647018" w:rsidRPr="007C4D65" w:rsidRDefault="00647018">
      <w:pPr>
        <w:pStyle w:val="ListParagraph"/>
        <w:numPr>
          <w:ilvl w:val="0"/>
          <w:numId w:val="63"/>
        </w:numPr>
        <w:spacing w:before="40"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Implementation of continuous promotional and educational activities at the level of health institutions regarding the risks related to the health risks of noise, as well as preventative measures that can be </w:t>
      </w:r>
      <w:proofErr w:type="gramStart"/>
      <w:r w:rsidRPr="007C4D65">
        <w:rPr>
          <w:rFonts w:asciiTheme="minorHAnsi" w:hAnsiTheme="minorHAnsi"/>
          <w:sz w:val="22"/>
          <w:szCs w:val="22"/>
        </w:rPr>
        <w:t>used;</w:t>
      </w:r>
      <w:proofErr w:type="gramEnd"/>
    </w:p>
    <w:p w14:paraId="76BAD4FE" w14:textId="77777777" w:rsidR="00647018" w:rsidRPr="007C4D65" w:rsidRDefault="00647018">
      <w:pPr>
        <w:pStyle w:val="ListParagraph"/>
        <w:numPr>
          <w:ilvl w:val="0"/>
          <w:numId w:val="63"/>
        </w:numPr>
        <w:spacing w:before="240" w:after="240" w:line="276" w:lineRule="auto"/>
        <w:jc w:val="both"/>
        <w:rPr>
          <w:rFonts w:asciiTheme="minorHAnsi" w:eastAsia="Calibri" w:hAnsiTheme="minorHAnsi" w:cstheme="minorHAnsi"/>
          <w:sz w:val="22"/>
          <w:szCs w:val="22"/>
        </w:rPr>
      </w:pPr>
      <w:r w:rsidRPr="007C4D65">
        <w:rPr>
          <w:rFonts w:asciiTheme="minorHAnsi" w:hAnsiTheme="minorHAnsi"/>
          <w:sz w:val="22"/>
          <w:szCs w:val="22"/>
        </w:rPr>
        <w:t>Setting up displays along the roads in major cities showing the level of noise in real time.</w:t>
      </w:r>
    </w:p>
    <w:p w14:paraId="5AF5EEFE" w14:textId="77777777" w:rsidR="00CA18D2" w:rsidRPr="007C4D65" w:rsidRDefault="00BE42B4" w:rsidP="0068355A">
      <w:pPr>
        <w:spacing w:after="160" w:line="276" w:lineRule="auto"/>
        <w:rPr>
          <w:rFonts w:asciiTheme="minorHAnsi" w:eastAsiaTheme="majorEastAsia" w:hAnsiTheme="minorHAnsi" w:cstheme="minorHAnsi"/>
          <w:b/>
          <w:color w:val="00D29A"/>
        </w:rPr>
      </w:pPr>
      <w:r w:rsidRPr="007C4D65">
        <w:rPr>
          <w:rFonts w:asciiTheme="minorHAnsi" w:hAnsiTheme="minorHAnsi" w:cstheme="minorHAnsi"/>
        </w:rPr>
        <w:br w:type="page"/>
      </w:r>
    </w:p>
    <w:p w14:paraId="27DE613D" w14:textId="77777777" w:rsidR="00CA18D2" w:rsidRPr="007C4D65" w:rsidRDefault="00CA18D2">
      <w:pPr>
        <w:pStyle w:val="Head2"/>
        <w:spacing w:line="276" w:lineRule="auto"/>
        <w:rPr>
          <w:rFonts w:asciiTheme="minorHAnsi" w:hAnsiTheme="minorHAnsi"/>
        </w:rPr>
      </w:pPr>
      <w:bookmarkStart w:id="166" w:name="_Toc117445358"/>
      <w:r w:rsidRPr="007C4D65">
        <w:rPr>
          <w:rFonts w:asciiTheme="minorHAnsi" w:hAnsiTheme="minorHAnsi"/>
        </w:rPr>
        <w:lastRenderedPageBreak/>
        <w:t>Indicative Financial Framework</w:t>
      </w:r>
      <w:bookmarkEnd w:id="166"/>
    </w:p>
    <w:p w14:paraId="3A048B17" w14:textId="71F5F59F" w:rsidR="00647018" w:rsidRPr="007C4D65" w:rsidRDefault="00647018" w:rsidP="00647018">
      <w:pPr>
        <w:spacing w:after="240" w:line="276" w:lineRule="auto"/>
        <w:jc w:val="both"/>
        <w:rPr>
          <w:rFonts w:asciiTheme="minorHAnsi" w:hAnsiTheme="minorHAnsi"/>
          <w:color w:val="000000" w:themeColor="text1"/>
          <w:sz w:val="22"/>
          <w:szCs w:val="22"/>
        </w:rPr>
      </w:pPr>
      <w:r w:rsidRPr="007C4D65">
        <w:rPr>
          <w:rFonts w:asciiTheme="minorHAnsi" w:hAnsiTheme="minorHAnsi"/>
          <w:color w:val="000000" w:themeColor="text1"/>
          <w:sz w:val="22"/>
          <w:szCs w:val="22"/>
        </w:rPr>
        <w:t xml:space="preserve">Thematic area Chemical Safety and Noise makes up 0.2% of </w:t>
      </w:r>
      <w:r w:rsidR="002D2640" w:rsidRPr="007C4D65">
        <w:rPr>
          <w:rFonts w:asciiTheme="minorHAnsi" w:hAnsiTheme="minorHAnsi"/>
          <w:color w:val="000000" w:themeColor="text1"/>
          <w:sz w:val="22"/>
          <w:szCs w:val="22"/>
        </w:rPr>
        <w:t>the funding</w:t>
      </w:r>
      <w:r w:rsidRPr="007C4D65">
        <w:rPr>
          <w:rFonts w:asciiTheme="minorHAnsi" w:hAnsiTheme="minorHAnsi"/>
          <w:color w:val="000000" w:themeColor="text1"/>
          <w:sz w:val="22"/>
          <w:szCs w:val="22"/>
        </w:rPr>
        <w:t xml:space="preserve"> structure, or 7.6 million BAM, of the total estimated cost of </w:t>
      </w:r>
      <w:r w:rsidR="002D2640" w:rsidRPr="007C4D65">
        <w:rPr>
          <w:rFonts w:asciiTheme="minorHAnsi" w:hAnsiTheme="minorHAnsi"/>
          <w:color w:val="000000" w:themeColor="text1"/>
          <w:sz w:val="22"/>
          <w:szCs w:val="22"/>
        </w:rPr>
        <w:t xml:space="preserve">the </w:t>
      </w:r>
      <w:r w:rsidRPr="007C4D65">
        <w:rPr>
          <w:rFonts w:asciiTheme="minorHAnsi" w:hAnsiTheme="minorHAnsi"/>
          <w:color w:val="000000" w:themeColor="text1"/>
          <w:sz w:val="22"/>
          <w:szCs w:val="22"/>
        </w:rPr>
        <w:t>Strategy, which is 11.9 billion BAM. This thematic area is made of eight priorities and 14 measures. In the process of developing the indicative financial framework, all the measures of this thematic area have been estimated. Three top priorities in this thematic area are 5.3 (Eff</w:t>
      </w:r>
      <w:r w:rsidR="00436AC8" w:rsidRPr="007C4D65">
        <w:rPr>
          <w:rFonts w:asciiTheme="minorHAnsi" w:hAnsiTheme="minorHAnsi"/>
          <w:color w:val="000000" w:themeColor="text1"/>
          <w:sz w:val="22"/>
          <w:szCs w:val="22"/>
        </w:rPr>
        <w:t>icient</w:t>
      </w:r>
      <w:r w:rsidRPr="007C4D65">
        <w:rPr>
          <w:rFonts w:asciiTheme="minorHAnsi" w:hAnsiTheme="minorHAnsi"/>
          <w:color w:val="000000" w:themeColor="text1"/>
          <w:sz w:val="22"/>
          <w:szCs w:val="22"/>
        </w:rPr>
        <w:t xml:space="preserve"> </w:t>
      </w:r>
      <w:r w:rsidR="00436AC8" w:rsidRPr="007C4D65">
        <w:rPr>
          <w:rFonts w:asciiTheme="minorHAnsi" w:hAnsiTheme="minorHAnsi"/>
          <w:color w:val="000000" w:themeColor="text1"/>
          <w:sz w:val="22"/>
          <w:szCs w:val="22"/>
        </w:rPr>
        <w:t>operation</w:t>
      </w:r>
      <w:r w:rsidRPr="007C4D65">
        <w:rPr>
          <w:rFonts w:asciiTheme="minorHAnsi" w:hAnsiTheme="minorHAnsi"/>
          <w:color w:val="000000" w:themeColor="text1"/>
          <w:sz w:val="22"/>
          <w:szCs w:val="22"/>
        </w:rPr>
        <w:t xml:space="preserve"> of institutions </w:t>
      </w:r>
      <w:r w:rsidR="007436F1" w:rsidRPr="007C4D65">
        <w:rPr>
          <w:rFonts w:asciiTheme="minorHAnsi" w:hAnsiTheme="minorHAnsi"/>
          <w:color w:val="000000" w:themeColor="text1"/>
          <w:sz w:val="22"/>
          <w:szCs w:val="22"/>
        </w:rPr>
        <w:t>of the Federation of BiH</w:t>
      </w:r>
      <w:r w:rsidRPr="007C4D65">
        <w:rPr>
          <w:rFonts w:asciiTheme="minorHAnsi" w:hAnsiTheme="minorHAnsi"/>
          <w:color w:val="000000" w:themeColor="text1"/>
          <w:sz w:val="22"/>
          <w:szCs w:val="22"/>
        </w:rPr>
        <w:t xml:space="preserve"> in the field of chemical safety) with 30%; and 5.7 (Efficient </w:t>
      </w:r>
      <w:r w:rsidR="006C5EE4" w:rsidRPr="007C4D65">
        <w:rPr>
          <w:rFonts w:asciiTheme="minorHAnsi" w:hAnsiTheme="minorHAnsi"/>
          <w:color w:val="000000" w:themeColor="text1"/>
          <w:sz w:val="22"/>
          <w:szCs w:val="22"/>
        </w:rPr>
        <w:t>operation</w:t>
      </w:r>
      <w:r w:rsidRPr="007C4D65">
        <w:rPr>
          <w:rFonts w:asciiTheme="minorHAnsi" w:hAnsiTheme="minorHAnsi"/>
          <w:color w:val="000000" w:themeColor="text1"/>
          <w:sz w:val="22"/>
          <w:szCs w:val="22"/>
        </w:rPr>
        <w:t xml:space="preserve"> of institutions in the field of environmental noise) with 18%. Total amount of </w:t>
      </w:r>
      <w:r w:rsidR="006B09B1" w:rsidRPr="007C4D65">
        <w:rPr>
          <w:rFonts w:asciiTheme="minorHAnsi" w:hAnsiTheme="minorHAnsi"/>
          <w:color w:val="000000" w:themeColor="text1"/>
          <w:sz w:val="22"/>
          <w:szCs w:val="22"/>
        </w:rPr>
        <w:t>funds</w:t>
      </w:r>
      <w:r w:rsidRPr="007C4D65">
        <w:rPr>
          <w:rFonts w:asciiTheme="minorHAnsi" w:hAnsiTheme="minorHAnsi"/>
          <w:color w:val="000000" w:themeColor="text1"/>
          <w:sz w:val="22"/>
          <w:szCs w:val="22"/>
        </w:rPr>
        <w:t xml:space="preserve"> needed </w:t>
      </w:r>
      <w:r w:rsidR="006B09B1" w:rsidRPr="007C4D65">
        <w:rPr>
          <w:rFonts w:asciiTheme="minorHAnsi" w:hAnsiTheme="minorHAnsi"/>
          <w:color w:val="000000" w:themeColor="text1"/>
          <w:sz w:val="22"/>
          <w:szCs w:val="22"/>
        </w:rPr>
        <w:t>to achieve</w:t>
      </w:r>
      <w:r w:rsidRPr="007C4D65">
        <w:rPr>
          <w:rFonts w:asciiTheme="minorHAnsi" w:hAnsiTheme="minorHAnsi"/>
          <w:color w:val="000000" w:themeColor="text1"/>
          <w:sz w:val="22"/>
          <w:szCs w:val="22"/>
        </w:rPr>
        <w:t xml:space="preserve"> these three priorities is 5.1 million BAM. The five remaining priorities in the thematic area Chemical Safety and Noise make 33% or 2.5 million BAM.</w:t>
      </w:r>
    </w:p>
    <w:p w14:paraId="5B58B756" w14:textId="2A8043CB" w:rsidR="00647018" w:rsidRPr="007C4D65" w:rsidRDefault="006B09B1" w:rsidP="00647018">
      <w:pPr>
        <w:spacing w:after="240" w:line="276" w:lineRule="auto"/>
        <w:jc w:val="both"/>
        <w:rPr>
          <w:rFonts w:asciiTheme="minorHAnsi" w:hAnsiTheme="minorHAnsi"/>
          <w:color w:val="000000" w:themeColor="text1"/>
          <w:sz w:val="22"/>
          <w:szCs w:val="22"/>
        </w:rPr>
      </w:pPr>
      <w:r w:rsidRPr="007C4D65">
        <w:rPr>
          <w:rFonts w:asciiTheme="minorHAnsi" w:hAnsiTheme="minorHAnsi"/>
          <w:color w:val="000000" w:themeColor="text1"/>
          <w:sz w:val="22"/>
          <w:szCs w:val="22"/>
        </w:rPr>
        <w:t>A d</w:t>
      </w:r>
      <w:r w:rsidR="00647018" w:rsidRPr="007C4D65">
        <w:rPr>
          <w:rFonts w:asciiTheme="minorHAnsi" w:hAnsiTheme="minorHAnsi"/>
          <w:color w:val="000000" w:themeColor="text1"/>
          <w:sz w:val="22"/>
          <w:szCs w:val="22"/>
        </w:rPr>
        <w:t xml:space="preserve">etailed presentation of the data from estimated indicative financial framework for thematic area Chemical Safety and Nose, as well as generally for the level </w:t>
      </w:r>
      <w:r w:rsidR="007436F1" w:rsidRPr="007C4D65">
        <w:rPr>
          <w:rFonts w:asciiTheme="minorHAnsi" w:hAnsiTheme="minorHAnsi"/>
          <w:color w:val="000000" w:themeColor="text1"/>
          <w:sz w:val="22"/>
          <w:szCs w:val="22"/>
        </w:rPr>
        <w:t>of the Federation of BiH</w:t>
      </w:r>
      <w:r w:rsidR="00647018" w:rsidRPr="007C4D65">
        <w:rPr>
          <w:rFonts w:asciiTheme="minorHAnsi" w:hAnsiTheme="minorHAnsi"/>
          <w:color w:val="000000" w:themeColor="text1"/>
          <w:sz w:val="22"/>
          <w:szCs w:val="22"/>
        </w:rPr>
        <w:t xml:space="preserve">, can be found in Annex 9, which includes </w:t>
      </w:r>
      <w:r w:rsidRPr="007C4D65">
        <w:rPr>
          <w:rFonts w:asciiTheme="minorHAnsi" w:hAnsiTheme="minorHAnsi"/>
          <w:color w:val="000000" w:themeColor="text1"/>
          <w:sz w:val="22"/>
          <w:szCs w:val="22"/>
        </w:rPr>
        <w:t xml:space="preserve">a </w:t>
      </w:r>
      <w:r w:rsidR="00647018" w:rsidRPr="007C4D65">
        <w:rPr>
          <w:rFonts w:asciiTheme="minorHAnsi" w:hAnsiTheme="minorHAnsi"/>
          <w:color w:val="000000" w:themeColor="text1"/>
          <w:sz w:val="22"/>
          <w:szCs w:val="22"/>
        </w:rPr>
        <w:t>table and pie chart.</w:t>
      </w:r>
    </w:p>
    <w:p w14:paraId="1DFB7736" w14:textId="77777777" w:rsidR="00A047EC" w:rsidRPr="007C4D65" w:rsidRDefault="00A047EC" w:rsidP="0068355A">
      <w:pPr>
        <w:spacing w:line="276" w:lineRule="auto"/>
        <w:rPr>
          <w:rFonts w:asciiTheme="minorHAnsi" w:hAnsiTheme="minorHAnsi" w:cstheme="minorHAnsi"/>
        </w:rPr>
      </w:pPr>
    </w:p>
    <w:p w14:paraId="53190FE8" w14:textId="77777777" w:rsidR="005A5F72" w:rsidRPr="007C4D65" w:rsidRDefault="005A5F72" w:rsidP="0068355A">
      <w:pPr>
        <w:spacing w:line="276" w:lineRule="auto"/>
        <w:rPr>
          <w:rFonts w:asciiTheme="minorHAnsi" w:hAnsiTheme="minorHAnsi" w:cstheme="minorHAnsi"/>
        </w:rPr>
      </w:pPr>
      <w:r w:rsidRPr="007C4D65">
        <w:rPr>
          <w:rFonts w:asciiTheme="minorHAnsi" w:hAnsiTheme="minorHAnsi" w:cstheme="minorHAnsi"/>
        </w:rPr>
        <w:br w:type="page"/>
      </w:r>
    </w:p>
    <w:p w14:paraId="03842774" w14:textId="147E66C0" w:rsidR="008E2181" w:rsidRPr="007C4D65" w:rsidRDefault="007934C2">
      <w:pPr>
        <w:pStyle w:val="Head1"/>
        <w:spacing w:after="240" w:line="276" w:lineRule="auto"/>
        <w:rPr>
          <w:rFonts w:asciiTheme="minorHAnsi" w:hAnsiTheme="minorHAnsi" w:cstheme="minorHAnsi"/>
          <w:sz w:val="24"/>
          <w:szCs w:val="24"/>
        </w:rPr>
      </w:pPr>
      <w:bookmarkStart w:id="167" w:name="_Toc117445359"/>
      <w:r w:rsidRPr="007C4D65">
        <w:rPr>
          <w:rFonts w:asciiTheme="minorHAnsi" w:hAnsiTheme="minorHAnsi" w:cstheme="minorHAnsi"/>
        </w:rPr>
        <w:lastRenderedPageBreak/>
        <w:t>SUSTAINABLE RESOURCE MANAGEMENT</w:t>
      </w:r>
      <w:bookmarkEnd w:id="167"/>
    </w:p>
    <w:p w14:paraId="7FEA3D64" w14:textId="2900BE95" w:rsidR="00D81E87" w:rsidRPr="007C4D65" w:rsidRDefault="00D81E87">
      <w:pPr>
        <w:pStyle w:val="Head2"/>
        <w:spacing w:line="276" w:lineRule="auto"/>
        <w:rPr>
          <w:rFonts w:asciiTheme="minorHAnsi" w:hAnsiTheme="minorHAnsi"/>
        </w:rPr>
      </w:pPr>
      <w:bookmarkStart w:id="168" w:name="_Toc117445360"/>
      <w:r w:rsidRPr="007C4D65">
        <w:rPr>
          <w:rFonts w:asciiTheme="minorHAnsi" w:hAnsiTheme="minorHAnsi"/>
        </w:rPr>
        <w:t xml:space="preserve">Situation </w:t>
      </w:r>
      <w:r w:rsidR="00C34761" w:rsidRPr="007C4D65">
        <w:rPr>
          <w:rFonts w:asciiTheme="minorHAnsi" w:hAnsiTheme="minorHAnsi"/>
        </w:rPr>
        <w:t>a</w:t>
      </w:r>
      <w:r w:rsidRPr="007C4D65">
        <w:rPr>
          <w:rFonts w:asciiTheme="minorHAnsi" w:hAnsiTheme="minorHAnsi"/>
        </w:rPr>
        <w:t>nalysis</w:t>
      </w:r>
      <w:bookmarkEnd w:id="168"/>
    </w:p>
    <w:p w14:paraId="525AFFC9" w14:textId="63E6AEC5" w:rsidR="00647018" w:rsidRPr="007C4D65" w:rsidRDefault="00647018" w:rsidP="00647018">
      <w:pPr>
        <w:shd w:val="clear" w:color="auto" w:fill="FFFFFF" w:themeFill="background1"/>
        <w:spacing w:before="240" w:after="240" w:line="276" w:lineRule="auto"/>
        <w:jc w:val="both"/>
        <w:textAlignment w:val="baseline"/>
        <w:rPr>
          <w:rFonts w:asciiTheme="minorHAnsi" w:hAnsiTheme="minorHAnsi" w:cstheme="minorHAnsi"/>
          <w:sz w:val="22"/>
          <w:szCs w:val="22"/>
        </w:rPr>
      </w:pPr>
      <w:r w:rsidRPr="007C4D65">
        <w:rPr>
          <w:rFonts w:asciiTheme="minorHAnsi" w:hAnsiTheme="minorHAnsi"/>
          <w:sz w:val="22"/>
          <w:szCs w:val="22"/>
        </w:rPr>
        <w:t xml:space="preserve">Even though the </w:t>
      </w:r>
      <w:r w:rsidR="0058588C" w:rsidRPr="007C4D65">
        <w:rPr>
          <w:rFonts w:asciiTheme="minorHAnsi" w:hAnsiTheme="minorHAnsi"/>
          <w:sz w:val="22"/>
          <w:szCs w:val="22"/>
        </w:rPr>
        <w:t>Federation of BiH</w:t>
      </w:r>
      <w:r w:rsidRPr="007C4D65">
        <w:rPr>
          <w:rFonts w:asciiTheme="minorHAnsi" w:hAnsiTheme="minorHAnsi"/>
          <w:sz w:val="22"/>
          <w:szCs w:val="22"/>
        </w:rPr>
        <w:t xml:space="preserve"> is rich in natural resources, unsustainable management may lead to their depletion. Aiming to later identify strategic and thematic objectives, as well as appropriate measures, here we describe the </w:t>
      </w:r>
      <w:r w:rsidRPr="007C4D65">
        <w:rPr>
          <w:rFonts w:asciiTheme="minorHAnsi" w:hAnsiTheme="minorHAnsi"/>
          <w:b/>
          <w:bCs/>
          <w:sz w:val="22"/>
          <w:szCs w:val="22"/>
        </w:rPr>
        <w:t>baseline status</w:t>
      </w:r>
      <w:r w:rsidRPr="007C4D65">
        <w:rPr>
          <w:rFonts w:asciiTheme="minorHAnsi" w:hAnsiTheme="minorHAnsi"/>
          <w:sz w:val="22"/>
          <w:szCs w:val="22"/>
        </w:rPr>
        <w:t xml:space="preserve"> in the field of sustainable resource management </w:t>
      </w:r>
      <w:r w:rsidR="007436F1" w:rsidRPr="007C4D65">
        <w:rPr>
          <w:rFonts w:asciiTheme="minorHAnsi" w:hAnsiTheme="minorHAnsi"/>
          <w:sz w:val="22"/>
          <w:szCs w:val="22"/>
        </w:rPr>
        <w:t>in the Federation of BiH</w:t>
      </w:r>
      <w:r w:rsidRPr="007C4D65">
        <w:rPr>
          <w:rFonts w:asciiTheme="minorHAnsi" w:hAnsiTheme="minorHAnsi"/>
          <w:sz w:val="22"/>
          <w:szCs w:val="22"/>
        </w:rPr>
        <w:t>.</w:t>
      </w:r>
    </w:p>
    <w:p w14:paraId="0813A96D" w14:textId="760910D8" w:rsidR="00647018" w:rsidRPr="007C4D65" w:rsidRDefault="00647018" w:rsidP="00647018">
      <w:pPr>
        <w:shd w:val="clear" w:color="auto" w:fill="FFFFFF" w:themeFill="background1"/>
        <w:spacing w:after="160" w:line="276" w:lineRule="auto"/>
        <w:jc w:val="both"/>
        <w:textAlignment w:val="baseline"/>
        <w:rPr>
          <w:rFonts w:asciiTheme="minorHAnsi" w:eastAsiaTheme="minorHAnsi" w:hAnsiTheme="minorHAnsi" w:cstheme="minorHAnsi"/>
          <w:color w:val="000000" w:themeColor="text1"/>
          <w:sz w:val="22"/>
          <w:szCs w:val="22"/>
        </w:rPr>
      </w:pPr>
      <w:r w:rsidRPr="007C4D65">
        <w:rPr>
          <w:rFonts w:asciiTheme="minorHAnsi" w:hAnsiTheme="minorHAnsi"/>
          <w:color w:val="000000" w:themeColor="text1"/>
          <w:sz w:val="22"/>
          <w:szCs w:val="22"/>
        </w:rPr>
        <w:t xml:space="preserve">According to the data from the Information on Forest Management </w:t>
      </w:r>
      <w:r w:rsidR="007436F1" w:rsidRPr="007C4D65">
        <w:rPr>
          <w:rFonts w:asciiTheme="minorHAnsi" w:hAnsiTheme="minorHAnsi"/>
          <w:color w:val="000000" w:themeColor="text1"/>
          <w:sz w:val="22"/>
          <w:szCs w:val="22"/>
        </w:rPr>
        <w:t>in the Federation of BiH</w:t>
      </w:r>
      <w:r w:rsidRPr="007C4D65">
        <w:rPr>
          <w:rFonts w:asciiTheme="minorHAnsi" w:hAnsiTheme="minorHAnsi"/>
          <w:color w:val="000000" w:themeColor="text1"/>
          <w:sz w:val="22"/>
          <w:szCs w:val="22"/>
        </w:rPr>
        <w:t xml:space="preserve"> for 2020, forests and forest land cover the area of around 1,510,937.5 ha, of which </w:t>
      </w:r>
      <w:proofErr w:type="gramStart"/>
      <w:r w:rsidRPr="007C4D65">
        <w:rPr>
          <w:rFonts w:asciiTheme="minorHAnsi" w:hAnsiTheme="minorHAnsi"/>
          <w:color w:val="000000" w:themeColor="text1"/>
          <w:sz w:val="22"/>
          <w:szCs w:val="22"/>
        </w:rPr>
        <w:t>state owned</w:t>
      </w:r>
      <w:proofErr w:type="gramEnd"/>
      <w:r w:rsidRPr="007C4D65">
        <w:rPr>
          <w:rFonts w:asciiTheme="minorHAnsi" w:hAnsiTheme="minorHAnsi"/>
          <w:color w:val="000000" w:themeColor="text1"/>
          <w:sz w:val="22"/>
          <w:szCs w:val="22"/>
        </w:rPr>
        <w:t xml:space="preserve"> forests cover the area of 1,233,807.5 ha or 82%, and privately or owned by other legal persons are on around 277,130.0 ha or 18%. In the </w:t>
      </w:r>
      <w:proofErr w:type="gramStart"/>
      <w:r w:rsidRPr="007C4D65">
        <w:rPr>
          <w:rFonts w:asciiTheme="minorHAnsi" w:hAnsiTheme="minorHAnsi"/>
          <w:color w:val="000000" w:themeColor="text1"/>
          <w:sz w:val="22"/>
          <w:szCs w:val="22"/>
        </w:rPr>
        <w:t>state owned</w:t>
      </w:r>
      <w:proofErr w:type="gramEnd"/>
      <w:r w:rsidRPr="007C4D65">
        <w:rPr>
          <w:rFonts w:asciiTheme="minorHAnsi" w:hAnsiTheme="minorHAnsi"/>
          <w:color w:val="000000" w:themeColor="text1"/>
          <w:sz w:val="22"/>
          <w:szCs w:val="22"/>
        </w:rPr>
        <w:t xml:space="preserve"> forests and forest land, there are 493,479.1 ha, or 40% of high forests with natural regeneration, 14,898.8 ha, or 1% of high degraded forests, 60,517.5 ha, or about 5% of forest plantations - cultures, 257,879.6 ha, or 21% of coppice forests, 17,809.3 ha, or 1.4 % of overgrown non-productive area, 159,913.5 ha or 13% of productive barren land suitable for afforestation. Sources of statistical data on forest resources include two central elements: statistical data on the basis of data on users of </w:t>
      </w:r>
      <w:proofErr w:type="gramStart"/>
      <w:r w:rsidRPr="007C4D65">
        <w:rPr>
          <w:rFonts w:asciiTheme="minorHAnsi" w:hAnsiTheme="minorHAnsi"/>
          <w:color w:val="000000" w:themeColor="text1"/>
          <w:sz w:val="22"/>
          <w:szCs w:val="22"/>
        </w:rPr>
        <w:t>state owned</w:t>
      </w:r>
      <w:proofErr w:type="gramEnd"/>
      <w:r w:rsidRPr="007C4D65">
        <w:rPr>
          <w:rFonts w:asciiTheme="minorHAnsi" w:hAnsiTheme="minorHAnsi"/>
          <w:color w:val="000000" w:themeColor="text1"/>
          <w:sz w:val="22"/>
          <w:szCs w:val="22"/>
        </w:rPr>
        <w:t xml:space="preserve"> forests and the Institute for Statistics and National inventory of forests. Forestry statistics analyses and publishes data on the most important developments in forestry. Forestry statistics includes 8 surveys in total, statistical periods are month or year. Data collected on monthly level include the data on production (logging), sale, stocks and value of forest wood products from state owned forests. Data collected on annual level include the data on total logged wood mass for state owned and private forests, on growing and cultivating forests for state-owned and privately owned forests, on damages in state owned and privately owned forests, on fires in </w:t>
      </w:r>
      <w:proofErr w:type="gramStart"/>
      <w:r w:rsidRPr="007C4D65">
        <w:rPr>
          <w:rFonts w:asciiTheme="minorHAnsi" w:hAnsiTheme="minorHAnsi"/>
          <w:color w:val="000000" w:themeColor="text1"/>
          <w:sz w:val="22"/>
          <w:szCs w:val="22"/>
        </w:rPr>
        <w:t>state and privately owned</w:t>
      </w:r>
      <w:proofErr w:type="gramEnd"/>
      <w:r w:rsidRPr="007C4D65">
        <w:rPr>
          <w:rFonts w:asciiTheme="minorHAnsi" w:hAnsiTheme="minorHAnsi"/>
          <w:color w:val="000000" w:themeColor="text1"/>
          <w:sz w:val="22"/>
          <w:szCs w:val="22"/>
        </w:rPr>
        <w:t xml:space="preserve"> forests and data on roads, means of transport and mechanisation for majority state owned forest companies. Reporting units for this survey are the business entities </w:t>
      </w:r>
      <w:r w:rsidRPr="007C4D65">
        <w:rPr>
          <w:rFonts w:asciiTheme="minorHAnsi" w:hAnsiTheme="minorHAnsi" w:cstheme="minorHAnsi"/>
          <w:color w:val="000000" w:themeColor="text1"/>
          <w:sz w:val="22"/>
          <w:szCs w:val="22"/>
        </w:rPr>
        <w:t xml:space="preserve">registered in the field of forestry who manage the forests, and competent administrative authorities who manage privately owned forests. The most recent officially published NFI data are from the period 1964‒ 1968. </w:t>
      </w:r>
      <w:r w:rsidRPr="007C4D65">
        <w:rPr>
          <w:rFonts w:asciiTheme="minorHAnsi" w:hAnsiTheme="minorHAnsi" w:cstheme="minorHAnsi"/>
          <w:sz w:val="22"/>
          <w:szCs w:val="22"/>
        </w:rPr>
        <w:t xml:space="preserve">The second national forest inventory has been conducted between 2006 and 2009; however, its official results and data have not been published to date </w:t>
      </w:r>
      <w:r w:rsidRPr="007C4D65">
        <w:rPr>
          <w:rFonts w:asciiTheme="minorHAnsi" w:eastAsiaTheme="minorHAnsi" w:hAnsiTheme="minorHAnsi" w:cstheme="minorHAnsi"/>
          <w:color w:val="000000" w:themeColor="text1"/>
          <w:sz w:val="22"/>
          <w:szCs w:val="22"/>
        </w:rPr>
        <w:fldChar w:fldCharType="begin"/>
      </w:r>
      <w:r w:rsidRPr="007C4D65">
        <w:rPr>
          <w:rFonts w:asciiTheme="minorHAnsi" w:eastAsiaTheme="minorHAnsi" w:hAnsiTheme="minorHAnsi" w:cstheme="minorHAnsi"/>
          <w:color w:val="000000" w:themeColor="text1"/>
          <w:sz w:val="22"/>
          <w:szCs w:val="22"/>
        </w:rPr>
        <w:instrText xml:space="preserve"> ADDIN ZOTERO_ITEM CSL_CITATION {"citationID":"M2gCfFkY","properties":{"formattedCitation":"(FAO 2015a)","plainCitation":"(FAO 2015a)","noteIndex":0},"citationItems":[{"id":1530,"uris":["http://zotero.org/users/7192877/items/B5SCEMRZ"],"itemData":{"id":1530,"type":"report","title":"Analiza sektora šumarstva u BiH","URL":"https://www.fao.org/3/au015rs/au015rs.pdf","author":[{"family":"FAO","given":""}],"issued":{"date-parts":[["2015"]]}}}],"schema":"https://github.com/citation-style-language/schema/raw/master/csl-citation.json"} </w:instrText>
      </w:r>
      <w:r w:rsidRPr="007C4D65">
        <w:rPr>
          <w:rFonts w:asciiTheme="minorHAnsi" w:eastAsiaTheme="minorHAnsi" w:hAnsiTheme="minorHAnsi" w:cstheme="minorHAnsi"/>
          <w:color w:val="000000" w:themeColor="text1"/>
          <w:sz w:val="22"/>
          <w:szCs w:val="22"/>
        </w:rPr>
        <w:fldChar w:fldCharType="separate"/>
      </w:r>
      <w:r w:rsidRPr="007C4D65">
        <w:rPr>
          <w:rFonts w:asciiTheme="minorHAnsi" w:eastAsiaTheme="minorHAnsi" w:hAnsiTheme="minorHAnsi" w:cstheme="minorHAnsi"/>
          <w:sz w:val="22"/>
          <w:szCs w:val="22"/>
        </w:rPr>
        <w:t>(FAO, 2015a)</w:t>
      </w:r>
      <w:r w:rsidRPr="007C4D65">
        <w:rPr>
          <w:rFonts w:asciiTheme="minorHAnsi" w:eastAsiaTheme="minorHAnsi" w:hAnsiTheme="minorHAnsi" w:cstheme="minorHAnsi"/>
          <w:color w:val="000000" w:themeColor="text1"/>
          <w:sz w:val="22"/>
          <w:szCs w:val="22"/>
        </w:rPr>
        <w:fldChar w:fldCharType="end"/>
      </w:r>
      <w:r w:rsidRPr="007C4D65">
        <w:rPr>
          <w:rFonts w:asciiTheme="minorHAnsi" w:hAnsiTheme="minorHAnsi" w:cstheme="minorHAnsi"/>
          <w:sz w:val="22"/>
          <w:szCs w:val="22"/>
        </w:rPr>
        <w:t>.</w:t>
      </w:r>
      <w:r w:rsidRPr="007C4D65">
        <w:rPr>
          <w:rFonts w:asciiTheme="minorHAnsi" w:hAnsiTheme="minorHAnsi" w:cstheme="minorHAnsi"/>
          <w:color w:val="000000" w:themeColor="text1"/>
          <w:sz w:val="22"/>
          <w:szCs w:val="22"/>
        </w:rPr>
        <w:t xml:space="preserve"> </w:t>
      </w:r>
      <w:r w:rsidRPr="007C4D65">
        <w:rPr>
          <w:rFonts w:asciiTheme="minorHAnsi" w:hAnsiTheme="minorHAnsi" w:cstheme="minorHAnsi"/>
          <w:sz w:val="22"/>
          <w:szCs w:val="22"/>
        </w:rPr>
        <w:t xml:space="preserve">Activities on the implementation of the forestry information system have commenced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w:t>
      </w:r>
      <w:r w:rsidRPr="007C4D65">
        <w:rPr>
          <w:rFonts w:asciiTheme="minorHAnsi" w:eastAsiaTheme="minorHAnsi" w:hAnsiTheme="minorHAnsi" w:cstheme="minorHAnsi"/>
          <w:color w:val="000000" w:themeColor="text1"/>
          <w:sz w:val="22"/>
          <w:szCs w:val="22"/>
        </w:rPr>
        <w:fldChar w:fldCharType="begin"/>
      </w:r>
      <w:r w:rsidRPr="007C4D65">
        <w:rPr>
          <w:rFonts w:asciiTheme="minorHAnsi" w:eastAsiaTheme="minorHAnsi" w:hAnsiTheme="minorHAnsi" w:cstheme="minorHAnsi"/>
          <w:color w:val="000000" w:themeColor="text1"/>
          <w:sz w:val="22"/>
          <w:szCs w:val="22"/>
        </w:rPr>
        <w:instrText xml:space="preserve"> ADDIN ZOTERO_ITEM CSL_CITATION {"citationID":"6vwFYgn3","properties":{"formattedCitation":"(UNEP 2018)","plainCitation":"(UNEP 2018)","noteIndex":0},"citationItems":[{"id":1533,"uris":["http://zotero.org/users/7192877/items/ENWPUG8N"],"itemData":{"id":1533,"type":"report","title":"State of the Environment Report of BiH (2013 - 2017)","author":[{"family":"UNEP","given":""}],"issued":{"date-parts":[["2018"]]}}}],"schema":"https://github.com/citation-style-language/schema/raw/master/csl-citation.json"} </w:instrText>
      </w:r>
      <w:r w:rsidRPr="007C4D65">
        <w:rPr>
          <w:rFonts w:asciiTheme="minorHAnsi" w:eastAsiaTheme="minorHAnsi" w:hAnsiTheme="minorHAnsi" w:cstheme="minorHAnsi"/>
          <w:color w:val="000000" w:themeColor="text1"/>
          <w:sz w:val="22"/>
          <w:szCs w:val="22"/>
        </w:rPr>
        <w:fldChar w:fldCharType="separate"/>
      </w:r>
      <w:r w:rsidRPr="007C4D65">
        <w:rPr>
          <w:rFonts w:asciiTheme="minorHAnsi" w:eastAsiaTheme="minorHAnsi" w:hAnsiTheme="minorHAnsi" w:cstheme="minorHAnsi"/>
          <w:sz w:val="22"/>
          <w:szCs w:val="22"/>
        </w:rPr>
        <w:t>(UNEP, 2018)</w:t>
      </w:r>
      <w:r w:rsidRPr="007C4D65">
        <w:rPr>
          <w:rFonts w:asciiTheme="minorHAnsi" w:eastAsiaTheme="minorHAnsi" w:hAnsiTheme="minorHAnsi" w:cstheme="minorHAnsi"/>
          <w:color w:val="000000" w:themeColor="text1"/>
          <w:sz w:val="22"/>
          <w:szCs w:val="22"/>
        </w:rPr>
        <w:fldChar w:fldCharType="end"/>
      </w:r>
      <w:r w:rsidRPr="007C4D65">
        <w:rPr>
          <w:rFonts w:asciiTheme="minorHAnsi" w:hAnsiTheme="minorHAnsi" w:cstheme="minorHAnsi"/>
          <w:sz w:val="22"/>
          <w:szCs w:val="22"/>
        </w:rPr>
        <w:t>.</w:t>
      </w:r>
    </w:p>
    <w:p w14:paraId="7557612F" w14:textId="5873D74F"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In addition to production of timber, forests </w:t>
      </w:r>
      <w:r w:rsidR="003F42F0" w:rsidRPr="007C4D65">
        <w:rPr>
          <w:rFonts w:asciiTheme="minorHAnsi" w:hAnsiTheme="minorHAnsi"/>
          <w:sz w:val="22"/>
          <w:szCs w:val="22"/>
        </w:rPr>
        <w:t xml:space="preserve">in the </w:t>
      </w:r>
      <w:r w:rsidR="0058588C" w:rsidRPr="007C4D65">
        <w:rPr>
          <w:rFonts w:asciiTheme="minorHAnsi" w:hAnsiTheme="minorHAnsi"/>
          <w:sz w:val="22"/>
          <w:szCs w:val="22"/>
        </w:rPr>
        <w:t>Federation of BiH</w:t>
      </w:r>
      <w:r w:rsidR="003F42F0" w:rsidRPr="007C4D65">
        <w:rPr>
          <w:rFonts w:asciiTheme="minorHAnsi" w:hAnsiTheme="minorHAnsi"/>
          <w:sz w:val="22"/>
          <w:szCs w:val="22"/>
        </w:rPr>
        <w:t xml:space="preserve"> </w:t>
      </w:r>
      <w:r w:rsidRPr="007C4D65">
        <w:rPr>
          <w:rFonts w:asciiTheme="minorHAnsi" w:hAnsiTheme="minorHAnsi"/>
          <w:sz w:val="22"/>
          <w:szCs w:val="22"/>
        </w:rPr>
        <w:t xml:space="preserve">also provide a range of other products (mushrooms, aromatic and medicinal plants, forest fruits, etc.) that had been relatively underused in the past. </w:t>
      </w:r>
      <w:proofErr w:type="gramStart"/>
      <w:r w:rsidRPr="007C4D65">
        <w:rPr>
          <w:rFonts w:asciiTheme="minorHAnsi" w:hAnsiTheme="minorHAnsi"/>
          <w:sz w:val="22"/>
          <w:szCs w:val="22"/>
        </w:rPr>
        <w:t>In spite of</w:t>
      </w:r>
      <w:proofErr w:type="gramEnd"/>
      <w:r w:rsidRPr="007C4D65">
        <w:rPr>
          <w:rFonts w:asciiTheme="minorHAnsi" w:hAnsiTheme="minorHAnsi"/>
          <w:sz w:val="22"/>
          <w:szCs w:val="22"/>
        </w:rPr>
        <w:t xml:space="preserve"> their abundance and undeniable social, economic and ecological qualities, these products have not been adequately valued so far, and they have not been managed sustainably. Forestry as a profession should </w:t>
      </w:r>
      <w:r w:rsidR="00443F7C" w:rsidRPr="007C4D65">
        <w:rPr>
          <w:rFonts w:asciiTheme="minorHAnsi" w:hAnsiTheme="minorHAnsi"/>
          <w:sz w:val="22"/>
          <w:szCs w:val="22"/>
        </w:rPr>
        <w:t xml:space="preserve">include stronger </w:t>
      </w:r>
      <w:r w:rsidRPr="007C4D65">
        <w:rPr>
          <w:rFonts w:asciiTheme="minorHAnsi" w:hAnsiTheme="minorHAnsi"/>
          <w:sz w:val="22"/>
          <w:szCs w:val="22"/>
        </w:rPr>
        <w:t>promot</w:t>
      </w:r>
      <w:r w:rsidR="00443F7C" w:rsidRPr="007C4D65">
        <w:rPr>
          <w:rFonts w:asciiTheme="minorHAnsi" w:hAnsiTheme="minorHAnsi"/>
          <w:sz w:val="22"/>
          <w:szCs w:val="22"/>
        </w:rPr>
        <w:t>ion of</w:t>
      </w:r>
      <w:r w:rsidRPr="007C4D65">
        <w:rPr>
          <w:rFonts w:asciiTheme="minorHAnsi" w:hAnsiTheme="minorHAnsi"/>
          <w:sz w:val="22"/>
          <w:szCs w:val="22"/>
        </w:rPr>
        <w:t xml:space="preserve"> the multi-functional character of resources that they are </w:t>
      </w:r>
      <w:proofErr w:type="gramStart"/>
      <w:r w:rsidRPr="007C4D65">
        <w:rPr>
          <w:rFonts w:asciiTheme="minorHAnsi" w:hAnsiTheme="minorHAnsi"/>
          <w:sz w:val="22"/>
          <w:szCs w:val="22"/>
        </w:rPr>
        <w:t>managing, and</w:t>
      </w:r>
      <w:proofErr w:type="gramEnd"/>
      <w:r w:rsidRPr="007C4D65">
        <w:rPr>
          <w:rFonts w:asciiTheme="minorHAnsi" w:hAnsiTheme="minorHAnsi"/>
          <w:sz w:val="22"/>
          <w:szCs w:val="22"/>
        </w:rPr>
        <w:t xml:space="preserve"> use all such products in a sustainable way. Commercial use of aromatic, edible or medicinal plants, forest fruits and mushrooms may provide important contribution to financing sustainable forest management. At present time, most of the plants and mushrooms are picked for personal, and only rarely for commercial use. The market should encourage and promote a more intensive and sustainable use of aromatic, edible and medicinal plants, forest fruits and mushrooms because of their potential in terms of development of rural areas. </w:t>
      </w:r>
      <w:r w:rsidRPr="007C4D65">
        <w:rPr>
          <w:rFonts w:asciiTheme="minorHAnsi" w:hAnsiTheme="minorHAnsi"/>
          <w:sz w:val="22"/>
          <w:szCs w:val="22"/>
        </w:rPr>
        <w:lastRenderedPageBreak/>
        <w:t xml:space="preserve">In addition, the use of non-timber forest products and services </w:t>
      </w:r>
      <w:proofErr w:type="gramStart"/>
      <w:r w:rsidRPr="007C4D65">
        <w:rPr>
          <w:rFonts w:asciiTheme="minorHAnsi" w:hAnsiTheme="minorHAnsi"/>
          <w:sz w:val="22"/>
          <w:szCs w:val="22"/>
        </w:rPr>
        <w:t>opens up</w:t>
      </w:r>
      <w:proofErr w:type="gramEnd"/>
      <w:r w:rsidRPr="007C4D65">
        <w:rPr>
          <w:rFonts w:asciiTheme="minorHAnsi" w:hAnsiTheme="minorHAnsi"/>
          <w:sz w:val="22"/>
          <w:szCs w:val="22"/>
        </w:rPr>
        <w:t xml:space="preserve"> the opportunity to develop small and medium size entrepreneurship. </w:t>
      </w:r>
    </w:p>
    <w:p w14:paraId="343836D2" w14:textId="7D04DBB6"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Forests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are also rich in hunting game, and several of the species that can be found here are on the Red List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fauna. The wild goat is considered endangered species; wolf and lynx are considered rare species, and Bosnian brown bear is considered endangered and rare species. With respect to level of protection, hunting of certain species is completely forbidden, while for others there is a period of closure. According to the data from the Fourth Amended and Revised Systematic Review of Birds in BiH (</w:t>
      </w:r>
      <w:proofErr w:type="spellStart"/>
      <w:r w:rsidRPr="007C4D65">
        <w:rPr>
          <w:rFonts w:asciiTheme="minorHAnsi" w:hAnsiTheme="minorHAnsi"/>
          <w:sz w:val="22"/>
          <w:szCs w:val="22"/>
        </w:rPr>
        <w:t>Kotro</w:t>
      </w:r>
      <w:r w:rsidR="00F95E23" w:rsidRPr="007C4D65">
        <w:rPr>
          <w:rFonts w:asciiTheme="minorHAnsi" w:hAnsiTheme="minorHAnsi"/>
          <w:sz w:val="22"/>
          <w:szCs w:val="22"/>
        </w:rPr>
        <w:t>s</w:t>
      </w:r>
      <w:r w:rsidRPr="007C4D65">
        <w:rPr>
          <w:rFonts w:asciiTheme="minorHAnsi" w:hAnsiTheme="minorHAnsi"/>
          <w:sz w:val="22"/>
          <w:szCs w:val="22"/>
        </w:rPr>
        <w:t>an</w:t>
      </w:r>
      <w:proofErr w:type="spellEnd"/>
      <w:r w:rsidRPr="007C4D65">
        <w:rPr>
          <w:rFonts w:asciiTheme="minorHAnsi" w:hAnsiTheme="minorHAnsi"/>
          <w:sz w:val="22"/>
          <w:szCs w:val="22"/>
        </w:rPr>
        <w:t xml:space="preserve"> &amp; </w:t>
      </w:r>
      <w:proofErr w:type="spellStart"/>
      <w:r w:rsidRPr="007C4D65">
        <w:rPr>
          <w:rFonts w:asciiTheme="minorHAnsi" w:hAnsiTheme="minorHAnsi"/>
          <w:sz w:val="22"/>
          <w:szCs w:val="22"/>
        </w:rPr>
        <w:t>Droci</w:t>
      </w:r>
      <w:r w:rsidR="00F95E23" w:rsidRPr="007C4D65">
        <w:rPr>
          <w:rFonts w:asciiTheme="minorHAnsi" w:hAnsiTheme="minorHAnsi"/>
          <w:sz w:val="22"/>
          <w:szCs w:val="22"/>
        </w:rPr>
        <w:t>c</w:t>
      </w:r>
      <w:proofErr w:type="spellEnd"/>
      <w:r w:rsidRPr="007C4D65">
        <w:rPr>
          <w:rFonts w:asciiTheme="minorHAnsi" w:hAnsiTheme="minorHAnsi"/>
          <w:sz w:val="22"/>
          <w:szCs w:val="22"/>
        </w:rPr>
        <w:t>, 2012), there are 338 bird species in BiH, of which number 230 have been registered as nesting birds, and around 20 species stopped nesting in BiH in the last hundred years (</w:t>
      </w:r>
      <w:proofErr w:type="spellStart"/>
      <w:r w:rsidRPr="007C4D65">
        <w:rPr>
          <w:rFonts w:asciiTheme="minorHAnsi" w:hAnsiTheme="minorHAnsi"/>
          <w:sz w:val="22"/>
          <w:szCs w:val="22"/>
        </w:rPr>
        <w:t>Kotro</w:t>
      </w:r>
      <w:r w:rsidR="00F95E23" w:rsidRPr="007C4D65">
        <w:rPr>
          <w:rFonts w:asciiTheme="minorHAnsi" w:hAnsiTheme="minorHAnsi"/>
          <w:sz w:val="22"/>
          <w:szCs w:val="22"/>
        </w:rPr>
        <w:t>s</w:t>
      </w:r>
      <w:r w:rsidRPr="007C4D65">
        <w:rPr>
          <w:rFonts w:asciiTheme="minorHAnsi" w:hAnsiTheme="minorHAnsi"/>
          <w:sz w:val="22"/>
          <w:szCs w:val="22"/>
        </w:rPr>
        <w:t>an</w:t>
      </w:r>
      <w:proofErr w:type="spellEnd"/>
      <w:r w:rsidRPr="007C4D65">
        <w:rPr>
          <w:rFonts w:asciiTheme="minorHAnsi" w:hAnsiTheme="minorHAnsi"/>
          <w:sz w:val="22"/>
          <w:szCs w:val="22"/>
        </w:rPr>
        <w:t xml:space="preserve"> &amp; </w:t>
      </w:r>
      <w:proofErr w:type="spellStart"/>
      <w:r w:rsidRPr="007C4D65">
        <w:rPr>
          <w:rFonts w:asciiTheme="minorHAnsi" w:hAnsiTheme="minorHAnsi"/>
          <w:sz w:val="22"/>
          <w:szCs w:val="22"/>
        </w:rPr>
        <w:t>Papes</w:t>
      </w:r>
      <w:proofErr w:type="spellEnd"/>
      <w:r w:rsidRPr="007C4D65">
        <w:rPr>
          <w:rFonts w:asciiTheme="minorHAnsi" w:hAnsiTheme="minorHAnsi"/>
          <w:sz w:val="22"/>
          <w:szCs w:val="22"/>
        </w:rPr>
        <w:t xml:space="preserve">, 2007). The Red List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w:t>
      </w:r>
      <w:r w:rsidR="00F95E23" w:rsidRPr="007C4D65">
        <w:rPr>
          <w:rFonts w:asciiTheme="minorHAnsi" w:hAnsiTheme="minorHAnsi"/>
          <w:sz w:val="22"/>
          <w:szCs w:val="22"/>
        </w:rPr>
        <w:t>“</w:t>
      </w:r>
      <w:r w:rsidRPr="007C4D65">
        <w:rPr>
          <w:rFonts w:asciiTheme="minorHAnsi" w:hAnsiTheme="minorHAnsi"/>
          <w:sz w:val="22"/>
          <w:szCs w:val="22"/>
        </w:rPr>
        <w:t xml:space="preserve">Official Gazette of </w:t>
      </w:r>
      <w:r w:rsidR="00F95E23" w:rsidRPr="007C4D65">
        <w:rPr>
          <w:rFonts w:asciiTheme="minorHAnsi" w:hAnsiTheme="minorHAnsi"/>
          <w:sz w:val="22"/>
          <w:szCs w:val="22"/>
        </w:rPr>
        <w:t xml:space="preserve">the </w:t>
      </w:r>
      <w:r w:rsidRPr="007C4D65">
        <w:rPr>
          <w:rFonts w:asciiTheme="minorHAnsi" w:hAnsiTheme="minorHAnsi"/>
          <w:sz w:val="22"/>
          <w:szCs w:val="22"/>
        </w:rPr>
        <w:t xml:space="preserve">Federation </w:t>
      </w:r>
      <w:r w:rsidR="00F95E23" w:rsidRPr="007C4D65">
        <w:rPr>
          <w:rFonts w:asciiTheme="minorHAnsi" w:hAnsiTheme="minorHAnsi"/>
          <w:sz w:val="22"/>
          <w:szCs w:val="22"/>
        </w:rPr>
        <w:t xml:space="preserve">of </w:t>
      </w:r>
      <w:r w:rsidRPr="007C4D65">
        <w:rPr>
          <w:rFonts w:asciiTheme="minorHAnsi" w:hAnsiTheme="minorHAnsi"/>
          <w:sz w:val="22"/>
          <w:szCs w:val="22"/>
        </w:rPr>
        <w:t>BiH</w:t>
      </w:r>
      <w:r w:rsidR="007436F1" w:rsidRPr="007C4D65">
        <w:rPr>
          <w:rFonts w:asciiTheme="minorHAnsi" w:hAnsiTheme="minorHAnsi"/>
          <w:sz w:val="22"/>
          <w:szCs w:val="22"/>
        </w:rPr>
        <w:t>”</w:t>
      </w:r>
      <w:r w:rsidR="00F95E23" w:rsidRPr="007C4D65">
        <w:rPr>
          <w:rFonts w:asciiTheme="minorHAnsi" w:hAnsiTheme="minorHAnsi"/>
          <w:sz w:val="22"/>
          <w:szCs w:val="22"/>
        </w:rPr>
        <w:t>,</w:t>
      </w:r>
      <w:r w:rsidRPr="007C4D65">
        <w:rPr>
          <w:rFonts w:asciiTheme="minorHAnsi" w:eastAsiaTheme="minorHAnsi" w:hAnsiTheme="minorHAnsi" w:cstheme="minorHAnsi"/>
          <w:sz w:val="22"/>
          <w:szCs w:val="22"/>
        </w:rPr>
        <w:t xml:space="preserve"> 7/14) </w:t>
      </w:r>
      <w:r w:rsidRPr="007C4D65">
        <w:rPr>
          <w:rFonts w:asciiTheme="minorHAnsi" w:hAnsiTheme="minorHAnsi"/>
          <w:sz w:val="22"/>
          <w:szCs w:val="22"/>
        </w:rPr>
        <w:t xml:space="preserve">contains 198 nesting birds and 62 bird species - migratory, wintering or nesting birds. In the Law on Hunting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the “wild game” category includes 119 species of birds (Article 13). Wood grouse, eagle owl, and short-toed snake eagle are considered species at risk, and it is prohibited to hunt them. </w:t>
      </w:r>
    </w:p>
    <w:p w14:paraId="6B9BDBBF" w14:textId="06F5A175" w:rsidR="00647018" w:rsidRPr="007C4D65" w:rsidRDefault="00647018" w:rsidP="00647018">
      <w:pPr>
        <w:spacing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Out of total area of FBiH, 1,335,878 ha is forest land, and 1,183,015 ha is agricultural land (Institute for Statistics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2019b). In the structure of agricultural land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arable land is 60.00 %, while pastures, fisheries, reeds, and ponds make 40,0%. Around 45% of agricultural land is on hilly terrain (300-700 </w:t>
      </w:r>
      <w:proofErr w:type="spellStart"/>
      <w:r w:rsidRPr="007C4D65">
        <w:rPr>
          <w:rFonts w:asciiTheme="minorHAnsi" w:hAnsiTheme="minorHAnsi"/>
          <w:sz w:val="22"/>
          <w:szCs w:val="22"/>
        </w:rPr>
        <w:t>mamsl</w:t>
      </w:r>
      <w:proofErr w:type="spellEnd"/>
      <w:r w:rsidRPr="007C4D65">
        <w:rPr>
          <w:rFonts w:asciiTheme="minorHAnsi" w:hAnsiTheme="minorHAnsi"/>
          <w:sz w:val="22"/>
          <w:szCs w:val="22"/>
        </w:rPr>
        <w:t xml:space="preserve">).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over 80% of areas have inclination over 130. 35% of agricultural land </w:t>
      </w:r>
      <w:proofErr w:type="gramStart"/>
      <w:r w:rsidRPr="007C4D65">
        <w:rPr>
          <w:rFonts w:asciiTheme="minorHAnsi" w:hAnsiTheme="minorHAnsi"/>
          <w:sz w:val="22"/>
          <w:szCs w:val="22"/>
        </w:rPr>
        <w:t>is located in</w:t>
      </w:r>
      <w:proofErr w:type="gramEnd"/>
      <w:r w:rsidRPr="007C4D65">
        <w:rPr>
          <w:rFonts w:asciiTheme="minorHAnsi" w:hAnsiTheme="minorHAnsi"/>
          <w:sz w:val="22"/>
          <w:szCs w:val="22"/>
        </w:rPr>
        <w:t xml:space="preserve"> mountainous areas (above 700 </w:t>
      </w:r>
      <w:proofErr w:type="spellStart"/>
      <w:r w:rsidRPr="007C4D65">
        <w:rPr>
          <w:rFonts w:asciiTheme="minorHAnsi" w:hAnsiTheme="minorHAnsi"/>
          <w:sz w:val="22"/>
          <w:szCs w:val="22"/>
        </w:rPr>
        <w:t>mamsl</w:t>
      </w:r>
      <w:proofErr w:type="spellEnd"/>
      <w:r w:rsidRPr="007C4D65">
        <w:rPr>
          <w:rFonts w:asciiTheme="minorHAnsi" w:hAnsiTheme="minorHAnsi"/>
          <w:sz w:val="22"/>
          <w:szCs w:val="22"/>
        </w:rPr>
        <w:t xml:space="preserve">). Areas of the best categories (I-III) are </w:t>
      </w:r>
      <w:proofErr w:type="gramStart"/>
      <w:r w:rsidRPr="007C4D65">
        <w:rPr>
          <w:rFonts w:asciiTheme="minorHAnsi" w:hAnsiTheme="minorHAnsi"/>
          <w:sz w:val="22"/>
          <w:szCs w:val="22"/>
        </w:rPr>
        <w:t>rare, and</w:t>
      </w:r>
      <w:proofErr w:type="gramEnd"/>
      <w:r w:rsidRPr="007C4D65">
        <w:rPr>
          <w:rFonts w:asciiTheme="minorHAnsi" w:hAnsiTheme="minorHAnsi"/>
          <w:sz w:val="22"/>
          <w:szCs w:val="22"/>
        </w:rPr>
        <w:t xml:space="preserve"> make only 14%. </w:t>
      </w:r>
    </w:p>
    <w:p w14:paraId="554A16D6" w14:textId="77777777" w:rsidR="00647018" w:rsidRPr="007C4D65" w:rsidRDefault="00647018" w:rsidP="00647018">
      <w:pPr>
        <w:spacing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Data on fish stocks presented in the BiH Biodiversity Strategy and Action Plan (2015‒ 2022) show that freshwaters in BiH are inhabited by a total of 113 species and subspecies of fresh-water fish (</w:t>
      </w:r>
      <w:proofErr w:type="spellStart"/>
      <w:r w:rsidRPr="007C4D65">
        <w:rPr>
          <w:rFonts w:asciiTheme="minorHAnsi" w:hAnsiTheme="minorHAnsi"/>
          <w:i/>
          <w:sz w:val="22"/>
          <w:szCs w:val="22"/>
        </w:rPr>
        <w:t>Osteicthyes</w:t>
      </w:r>
      <w:proofErr w:type="spellEnd"/>
      <w:r w:rsidRPr="007C4D65">
        <w:rPr>
          <w:rFonts w:asciiTheme="minorHAnsi" w:hAnsiTheme="minorHAnsi"/>
          <w:sz w:val="22"/>
          <w:szCs w:val="22"/>
        </w:rPr>
        <w:t xml:space="preserve">) and 5 species of </w:t>
      </w:r>
      <w:proofErr w:type="spellStart"/>
      <w:r w:rsidRPr="007C4D65">
        <w:rPr>
          <w:rFonts w:asciiTheme="minorHAnsi" w:hAnsiTheme="minorHAnsi"/>
          <w:i/>
          <w:sz w:val="22"/>
          <w:szCs w:val="22"/>
        </w:rPr>
        <w:t>Agnatha</w:t>
      </w:r>
      <w:proofErr w:type="spellEnd"/>
      <w:r w:rsidRPr="007C4D65">
        <w:rPr>
          <w:rFonts w:asciiTheme="minorHAnsi" w:hAnsiTheme="minorHAnsi"/>
          <w:sz w:val="22"/>
          <w:szCs w:val="22"/>
        </w:rPr>
        <w:t xml:space="preserve"> from 70 genera and 27 families. Out of the mentioned number of species, 105 (89%) are autochthonous, while 13 (11%) of them are introduced species, half of which show invasive character. Endemic species play a very important role in the ichthyofauna of BiH, and many of them have a very narrow natural range. So far, 40 endemic species have been registered, of which 35 are common in the Adriatic watershed. As for marine ichthyofauna, BiH also has an abundant biodiversity of species; it is believed that 193 species of fish from 111 genera and 55 families found their home in a part of the </w:t>
      </w:r>
      <w:proofErr w:type="spellStart"/>
      <w:r w:rsidRPr="007C4D65">
        <w:rPr>
          <w:rFonts w:asciiTheme="minorHAnsi" w:hAnsiTheme="minorHAnsi"/>
          <w:sz w:val="22"/>
          <w:szCs w:val="22"/>
        </w:rPr>
        <w:t>Neum</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Klek</w:t>
      </w:r>
      <w:proofErr w:type="spellEnd"/>
      <w:r w:rsidRPr="007C4D65">
        <w:rPr>
          <w:rFonts w:asciiTheme="minorHAnsi" w:hAnsiTheme="minorHAnsi"/>
          <w:sz w:val="22"/>
          <w:szCs w:val="22"/>
        </w:rPr>
        <w:t xml:space="preserve"> bay. About 50 freshwater fish (about 43% of the total freshwater ichthyofauna), both native and introduced, have been identified as commercially important and important for sports, of which a majority are attractive for sport fishing enthusiasts, while only a minor number of these species have commercial importance (about 10). The most important species in terms of commercial fishing </w:t>
      </w:r>
      <w:proofErr w:type="gramStart"/>
      <w:r w:rsidRPr="007C4D65">
        <w:rPr>
          <w:rFonts w:asciiTheme="minorHAnsi" w:hAnsiTheme="minorHAnsi"/>
          <w:sz w:val="22"/>
          <w:szCs w:val="22"/>
        </w:rPr>
        <w:t>are:</w:t>
      </w:r>
      <w:proofErr w:type="gramEnd"/>
      <w:r w:rsidRPr="007C4D65">
        <w:rPr>
          <w:rFonts w:asciiTheme="minorHAnsi" w:hAnsiTheme="minorHAnsi"/>
          <w:sz w:val="22"/>
          <w:szCs w:val="22"/>
        </w:rPr>
        <w:t xml:space="preserve"> carp, catfish, zander, pike, bream, ide, </w:t>
      </w:r>
      <w:proofErr w:type="spellStart"/>
      <w:r w:rsidRPr="007C4D65">
        <w:rPr>
          <w:rFonts w:asciiTheme="minorHAnsi" w:hAnsiTheme="minorHAnsi"/>
          <w:sz w:val="22"/>
          <w:szCs w:val="22"/>
        </w:rPr>
        <w:t>pigo</w:t>
      </w:r>
      <w:proofErr w:type="spellEnd"/>
      <w:r w:rsidRPr="007C4D65">
        <w:rPr>
          <w:rFonts w:asciiTheme="minorHAnsi" w:hAnsiTheme="minorHAnsi"/>
          <w:sz w:val="22"/>
          <w:szCs w:val="22"/>
        </w:rPr>
        <w:t xml:space="preserve"> and </w:t>
      </w:r>
      <w:proofErr w:type="spellStart"/>
      <w:r w:rsidRPr="007C4D65">
        <w:rPr>
          <w:rFonts w:asciiTheme="minorHAnsi" w:hAnsiTheme="minorHAnsi"/>
          <w:sz w:val="22"/>
          <w:szCs w:val="22"/>
        </w:rPr>
        <w:t>prussian</w:t>
      </w:r>
      <w:proofErr w:type="spellEnd"/>
      <w:r w:rsidRPr="007C4D65">
        <w:rPr>
          <w:rFonts w:asciiTheme="minorHAnsi" w:hAnsiTheme="minorHAnsi"/>
          <w:sz w:val="22"/>
          <w:szCs w:val="22"/>
        </w:rPr>
        <w:t xml:space="preserve"> carp. Data on </w:t>
      </w:r>
      <w:proofErr w:type="gramStart"/>
      <w:r w:rsidRPr="007C4D65">
        <w:rPr>
          <w:rFonts w:asciiTheme="minorHAnsi" w:hAnsiTheme="minorHAnsi"/>
          <w:sz w:val="22"/>
          <w:szCs w:val="22"/>
        </w:rPr>
        <w:t>fresh water</w:t>
      </w:r>
      <w:proofErr w:type="gramEnd"/>
      <w:r w:rsidRPr="007C4D65">
        <w:rPr>
          <w:rFonts w:asciiTheme="minorHAnsi" w:hAnsiTheme="minorHAnsi"/>
          <w:sz w:val="22"/>
          <w:szCs w:val="22"/>
        </w:rPr>
        <w:t xml:space="preserve"> fish farming show that the farming capacities have continuously declined over the past 10 years; trout farming went down from 20900 t/year in 2010 to 1722 tons in 2019.</w:t>
      </w:r>
    </w:p>
    <w:p w14:paraId="165AF1AD" w14:textId="52499FC2" w:rsidR="00647018" w:rsidRPr="007C4D65" w:rsidRDefault="00647018" w:rsidP="00647018">
      <w:pPr>
        <w:spacing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According to the data from Strategy for Development of Construction Materials Industry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for the period 2016-2025 (FMEMI and Chamber of Commerce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2018), </w:t>
      </w:r>
      <w:r w:rsidR="0058588C" w:rsidRPr="007C4D65">
        <w:rPr>
          <w:rFonts w:asciiTheme="minorHAnsi" w:hAnsiTheme="minorHAnsi"/>
          <w:sz w:val="22"/>
          <w:szCs w:val="22"/>
        </w:rPr>
        <w:t>Federation of BiH</w:t>
      </w:r>
      <w:r w:rsidRPr="007C4D65">
        <w:rPr>
          <w:rFonts w:asciiTheme="minorHAnsi" w:hAnsiTheme="minorHAnsi"/>
          <w:sz w:val="22"/>
          <w:szCs w:val="22"/>
        </w:rPr>
        <w:t xml:space="preserve"> has 38 different non-metallic mineral resources, 19 or 50% of which have been registered as occurring, while the remaining 50% were explored and open for exploitation (220 deposit sites). At present time, a total of 16 different industrial mineral resources have been geologically explored (and most are being exploited), and 11 different mineral resources are used as technical and construction stone. According to the data from Environmental Status Report from 2012, </w:t>
      </w:r>
      <w:r w:rsidR="0058588C" w:rsidRPr="007C4D65">
        <w:rPr>
          <w:rFonts w:asciiTheme="minorHAnsi" w:hAnsiTheme="minorHAnsi" w:cstheme="minorHAnsi"/>
          <w:sz w:val="22"/>
          <w:szCs w:val="22"/>
        </w:rPr>
        <w:lastRenderedPageBreak/>
        <w:t>Federation of BiH</w:t>
      </w:r>
      <w:r w:rsidRPr="007C4D65">
        <w:rPr>
          <w:rFonts w:asciiTheme="minorHAnsi" w:hAnsiTheme="minorHAnsi" w:cstheme="minorHAnsi"/>
          <w:sz w:val="22"/>
          <w:szCs w:val="22"/>
        </w:rPr>
        <w:t xml:space="preserve"> has significant deposits of metallic mineral resources (lead, zinc, barite, manganese, iron), but their exploitation has stopped. Metallic ore mines, most of them destroyed in the war, were not attractive for national or foreign investors, so most of them are currently out of use. Many have not been properly closed; a list or inventory of deserted mines needs to be prepared </w:t>
      </w:r>
      <w:proofErr w:type="gramStart"/>
      <w:r w:rsidRPr="007C4D65">
        <w:rPr>
          <w:rFonts w:asciiTheme="minorHAnsi" w:hAnsiTheme="minorHAnsi" w:cstheme="minorHAnsi"/>
          <w:sz w:val="22"/>
          <w:szCs w:val="22"/>
        </w:rPr>
        <w:t>in order to</w:t>
      </w:r>
      <w:proofErr w:type="gramEnd"/>
      <w:r w:rsidRPr="007C4D65">
        <w:rPr>
          <w:rFonts w:asciiTheme="minorHAnsi" w:hAnsiTheme="minorHAnsi" w:cstheme="minorHAnsi"/>
          <w:sz w:val="22"/>
          <w:szCs w:val="22"/>
        </w:rPr>
        <w:t xml:space="preserve"> identify hot zones, threats for environment and risks, as well as the set of priorities for rehabilitation. According to the document "Strategic plan and programme of development of energy sector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from 2009, </w:t>
      </w:r>
      <w:r w:rsidR="0058588C" w:rsidRPr="007C4D65">
        <w:rPr>
          <w:rFonts w:asciiTheme="minorHAnsi" w:hAnsiTheme="minorHAnsi" w:cstheme="minorHAnsi"/>
          <w:sz w:val="22"/>
          <w:szCs w:val="22"/>
        </w:rPr>
        <w:t>Federation of BiH</w:t>
      </w:r>
      <w:r w:rsidRPr="007C4D65">
        <w:rPr>
          <w:rFonts w:asciiTheme="minorHAnsi" w:hAnsiTheme="minorHAnsi" w:cstheme="minorHAnsi"/>
          <w:sz w:val="22"/>
          <w:szCs w:val="22"/>
        </w:rPr>
        <w:t xml:space="preserve"> has total balance reserves of coal of 1,946.8 million tons, mostly lignite - 1,051.9 million tons. Future of coal exploitation is directly linked to generation of energy and strategy of energy </w:t>
      </w:r>
      <w:proofErr w:type="gramStart"/>
      <w:r w:rsidRPr="007C4D65">
        <w:rPr>
          <w:rFonts w:asciiTheme="minorHAnsi" w:hAnsiTheme="minorHAnsi" w:cstheme="minorHAnsi"/>
          <w:sz w:val="22"/>
          <w:szCs w:val="22"/>
        </w:rPr>
        <w:t xml:space="preserve">sector  </w:t>
      </w:r>
      <w:bookmarkStart w:id="169" w:name="_Hlk94291255"/>
      <w:r w:rsidRPr="007C4D65">
        <w:rPr>
          <w:rFonts w:asciiTheme="minorHAnsi" w:hAnsiTheme="minorHAnsi" w:cstheme="minorHAnsi"/>
          <w:sz w:val="22"/>
          <w:szCs w:val="22"/>
        </w:rPr>
        <w:t>(</w:t>
      </w:r>
      <w:proofErr w:type="gramEnd"/>
      <w:r w:rsidRPr="007C4D65">
        <w:rPr>
          <w:rFonts w:asciiTheme="minorHAnsi" w:hAnsiTheme="minorHAnsi" w:cstheme="minorHAnsi"/>
          <w:sz w:val="22"/>
          <w:szCs w:val="22"/>
        </w:rPr>
        <w:t xml:space="preserve">Framework Energy Strategy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until 2035)</w:t>
      </w:r>
      <w:bookmarkEnd w:id="169"/>
      <w:r w:rsidRPr="007C4D65">
        <w:rPr>
          <w:rFonts w:asciiTheme="minorHAnsi" w:hAnsiTheme="minorHAnsi" w:cstheme="minorHAnsi"/>
          <w:sz w:val="22"/>
          <w:szCs w:val="22"/>
        </w:rPr>
        <w:t xml:space="preserve"> (Federation Ministry of Energy, Mining and Industry, 2018), that includes significant increase of the  share of power generated from renewable sources. </w:t>
      </w:r>
    </w:p>
    <w:p w14:paraId="39F63CD6" w14:textId="48253843" w:rsidR="00647018" w:rsidRPr="007C4D65" w:rsidRDefault="0058588C"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szCs w:val="22"/>
        </w:rPr>
        <w:t>Federation of BiH</w:t>
      </w:r>
      <w:r w:rsidR="00647018" w:rsidRPr="007C4D65">
        <w:rPr>
          <w:rFonts w:asciiTheme="minorHAnsi" w:hAnsiTheme="minorHAnsi" w:cstheme="minorHAnsi"/>
          <w:sz w:val="22"/>
          <w:szCs w:val="22"/>
        </w:rPr>
        <w:t xml:space="preserve"> is faced with numerous </w:t>
      </w:r>
      <w:r w:rsidR="00647018" w:rsidRPr="007C4D65">
        <w:rPr>
          <w:rFonts w:asciiTheme="minorHAnsi" w:hAnsiTheme="minorHAnsi" w:cstheme="minorHAnsi"/>
          <w:b/>
          <w:bCs/>
          <w:sz w:val="22"/>
          <w:szCs w:val="22"/>
        </w:rPr>
        <w:t xml:space="preserve">challenges </w:t>
      </w:r>
      <w:r w:rsidR="00647018" w:rsidRPr="007C4D65">
        <w:rPr>
          <w:rFonts w:asciiTheme="minorHAnsi" w:hAnsiTheme="minorHAnsi" w:cstheme="minorHAnsi"/>
          <w:sz w:val="22"/>
          <w:szCs w:val="22"/>
        </w:rPr>
        <w:t>in the field of resources management that may be classified into the following sub-thematic units: a) forests, (b) wild game, (c) medicinal, edible and aromatic plants, and non-timber forest products, (d) land, (c) fish stocks, (f) mineral resources.</w:t>
      </w:r>
    </w:p>
    <w:p w14:paraId="3688A00E" w14:textId="77777777" w:rsidR="00647018" w:rsidRPr="007C4D65" w:rsidRDefault="00647018" w:rsidP="00647018">
      <w:pPr>
        <w:spacing w:before="240" w:after="240" w:line="276" w:lineRule="auto"/>
        <w:rPr>
          <w:rFonts w:asciiTheme="minorHAnsi" w:hAnsiTheme="minorHAnsi" w:cstheme="minorHAnsi"/>
          <w:i/>
          <w:sz w:val="22"/>
          <w:szCs w:val="22"/>
          <w:u w:val="single"/>
        </w:rPr>
      </w:pPr>
      <w:r w:rsidRPr="007C4D65">
        <w:rPr>
          <w:rFonts w:asciiTheme="minorHAnsi" w:hAnsiTheme="minorHAnsi"/>
          <w:i/>
          <w:sz w:val="22"/>
          <w:szCs w:val="22"/>
          <w:u w:val="single"/>
        </w:rPr>
        <w:t>Forests</w:t>
      </w:r>
    </w:p>
    <w:p w14:paraId="32710969" w14:textId="4234A6B5"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color w:val="000000" w:themeColor="text1"/>
          <w:sz w:val="22"/>
          <w:szCs w:val="22"/>
        </w:rPr>
      </w:pPr>
      <w:bookmarkStart w:id="170" w:name="_Toc60753444"/>
      <w:bookmarkStart w:id="171" w:name="_Toc64893315"/>
      <w:bookmarkStart w:id="172" w:name="_Toc66204403"/>
      <w:r w:rsidRPr="007C4D65">
        <w:rPr>
          <w:rFonts w:asciiTheme="minorHAnsi" w:hAnsiTheme="minorHAnsi" w:cstheme="minorHAnsi"/>
          <w:sz w:val="22"/>
          <w:szCs w:val="22"/>
        </w:rPr>
        <w:t>Law on Forests</w:t>
      </w:r>
      <w:r w:rsidRPr="007C4D65">
        <w:rPr>
          <w:rFonts w:asciiTheme="minorHAnsi" w:hAnsiTheme="minorHAnsi" w:cstheme="minorHAnsi"/>
          <w:color w:val="000000" w:themeColor="text1"/>
          <w:sz w:val="22"/>
          <w:szCs w:val="22"/>
        </w:rPr>
        <w:t xml:space="preserve"> (</w:t>
      </w:r>
      <w:r w:rsidR="00F95E23" w:rsidRPr="007C4D65">
        <w:rPr>
          <w:rFonts w:asciiTheme="minorHAnsi" w:hAnsiTheme="minorHAnsi" w:cstheme="minorHAnsi"/>
          <w:sz w:val="22"/>
          <w:szCs w:val="22"/>
        </w:rPr>
        <w:t>“</w:t>
      </w:r>
      <w:r w:rsidRPr="007C4D65">
        <w:rPr>
          <w:rFonts w:asciiTheme="minorHAnsi" w:hAnsiTheme="minorHAnsi" w:cstheme="minorHAnsi"/>
          <w:sz w:val="22"/>
          <w:szCs w:val="22"/>
        </w:rPr>
        <w:t xml:space="preserve">Official Gazette of </w:t>
      </w:r>
      <w:r w:rsidR="00F95E23" w:rsidRPr="007C4D65">
        <w:rPr>
          <w:rFonts w:asciiTheme="minorHAnsi" w:hAnsiTheme="minorHAnsi" w:cstheme="minorHAnsi"/>
          <w:sz w:val="22"/>
          <w:szCs w:val="22"/>
        </w:rPr>
        <w:t xml:space="preserve">the </w:t>
      </w:r>
      <w:r w:rsidRPr="007C4D65">
        <w:rPr>
          <w:rFonts w:asciiTheme="minorHAnsi" w:hAnsiTheme="minorHAnsi" w:cstheme="minorHAnsi"/>
          <w:sz w:val="22"/>
          <w:szCs w:val="22"/>
        </w:rPr>
        <w:t>Federation</w:t>
      </w:r>
      <w:r w:rsidR="00F95E23" w:rsidRPr="007C4D65">
        <w:rPr>
          <w:rFonts w:asciiTheme="minorHAnsi" w:hAnsiTheme="minorHAnsi" w:cstheme="minorHAnsi"/>
          <w:sz w:val="22"/>
          <w:szCs w:val="22"/>
        </w:rPr>
        <w:t xml:space="preserve"> of</w:t>
      </w:r>
      <w:r w:rsidRPr="007C4D65">
        <w:rPr>
          <w:rFonts w:asciiTheme="minorHAnsi" w:hAnsiTheme="minorHAnsi" w:cstheme="minorHAnsi"/>
          <w:sz w:val="22"/>
          <w:szCs w:val="22"/>
        </w:rPr>
        <w:t xml:space="preserve"> BiH</w:t>
      </w:r>
      <w:r w:rsidR="00F95E23" w:rsidRPr="007C4D65">
        <w:rPr>
          <w:rFonts w:asciiTheme="minorHAnsi" w:hAnsiTheme="minorHAnsi" w:cstheme="minorHAnsi"/>
          <w:sz w:val="22"/>
          <w:szCs w:val="22"/>
        </w:rPr>
        <w:t>”,</w:t>
      </w:r>
      <w:r w:rsidRPr="007C4D65">
        <w:rPr>
          <w:rFonts w:asciiTheme="minorHAnsi" w:hAnsiTheme="minorHAnsi" w:cstheme="minorHAnsi"/>
          <w:sz w:val="22"/>
          <w:szCs w:val="22"/>
        </w:rPr>
        <w:t xml:space="preserve"> 20/02, 29/03</w:t>
      </w:r>
      <w:r w:rsidR="00F95E23" w:rsidRPr="007C4D65">
        <w:rPr>
          <w:rFonts w:asciiTheme="minorHAnsi" w:hAnsiTheme="minorHAnsi" w:cstheme="minorHAnsi"/>
          <w:sz w:val="22"/>
          <w:szCs w:val="22"/>
        </w:rPr>
        <w:t>,</w:t>
      </w:r>
      <w:r w:rsidRPr="007C4D65">
        <w:rPr>
          <w:rFonts w:asciiTheme="minorHAnsi" w:hAnsiTheme="minorHAnsi" w:cstheme="minorHAnsi"/>
          <w:sz w:val="22"/>
          <w:szCs w:val="22"/>
        </w:rPr>
        <w:t xml:space="preserve"> and 37/04, 2002)</w:t>
      </w:r>
      <w:r w:rsidRPr="007C4D65">
        <w:rPr>
          <w:rFonts w:asciiTheme="minorHAnsi" w:hAnsiTheme="minorHAnsi" w:cstheme="minorHAnsi"/>
          <w:color w:val="000000" w:themeColor="text1"/>
          <w:sz w:val="22"/>
          <w:szCs w:val="22"/>
        </w:rPr>
        <w:t xml:space="preserve">, had been in force until 27 November 2009, when it was </w:t>
      </w:r>
      <w:r w:rsidR="00B6299D" w:rsidRPr="007C4D65">
        <w:rPr>
          <w:rFonts w:asciiTheme="minorHAnsi" w:hAnsiTheme="minorHAnsi" w:cstheme="minorHAnsi"/>
          <w:color w:val="000000" w:themeColor="text1"/>
          <w:sz w:val="22"/>
          <w:szCs w:val="22"/>
        </w:rPr>
        <w:t>repealed</w:t>
      </w:r>
      <w:r w:rsidRPr="007C4D65">
        <w:rPr>
          <w:rFonts w:asciiTheme="minorHAnsi" w:hAnsiTheme="minorHAnsi" w:cstheme="minorHAnsi"/>
          <w:color w:val="000000" w:themeColor="text1"/>
          <w:sz w:val="22"/>
          <w:szCs w:val="22"/>
        </w:rPr>
        <w:t xml:space="preserve"> by the Constitutional Court of BiH </w:t>
      </w:r>
      <w:r w:rsidR="00B6299D" w:rsidRPr="007C4D65">
        <w:rPr>
          <w:rFonts w:asciiTheme="minorHAnsi" w:hAnsiTheme="minorHAnsi" w:cstheme="minorHAnsi"/>
          <w:color w:val="000000" w:themeColor="text1"/>
          <w:sz w:val="22"/>
          <w:szCs w:val="22"/>
        </w:rPr>
        <w:t>in</w:t>
      </w:r>
      <w:r w:rsidRPr="007C4D65">
        <w:rPr>
          <w:rFonts w:asciiTheme="minorHAnsi" w:hAnsiTheme="minorHAnsi" w:cstheme="minorHAnsi"/>
          <w:color w:val="000000" w:themeColor="text1"/>
          <w:sz w:val="22"/>
          <w:szCs w:val="22"/>
        </w:rPr>
        <w:t xml:space="preserve"> their Ruling number U-26/08 of 14 April 2009. Since </w:t>
      </w:r>
      <w:proofErr w:type="gramStart"/>
      <w:r w:rsidRPr="007C4D65">
        <w:rPr>
          <w:rFonts w:asciiTheme="minorHAnsi" w:hAnsiTheme="minorHAnsi" w:cstheme="minorHAnsi"/>
          <w:color w:val="000000" w:themeColor="text1"/>
          <w:sz w:val="22"/>
          <w:szCs w:val="22"/>
        </w:rPr>
        <w:t>then</w:t>
      </w:r>
      <w:proofErr w:type="gramEnd"/>
      <w:r w:rsidRPr="007C4D65">
        <w:rPr>
          <w:rFonts w:asciiTheme="minorHAnsi" w:hAnsiTheme="minorHAnsi" w:cstheme="minorHAnsi"/>
          <w:color w:val="000000" w:themeColor="text1"/>
          <w:sz w:val="22"/>
          <w:szCs w:val="22"/>
        </w:rPr>
        <w:t xml:space="preserve"> until now, this area has remained unregulated. Government </w:t>
      </w:r>
      <w:r w:rsidR="007436F1" w:rsidRPr="007C4D65">
        <w:rPr>
          <w:rFonts w:asciiTheme="minorHAnsi" w:hAnsiTheme="minorHAnsi" w:cstheme="minorHAnsi"/>
          <w:color w:val="000000" w:themeColor="text1"/>
          <w:sz w:val="22"/>
          <w:szCs w:val="22"/>
        </w:rPr>
        <w:t>of the Federation of BiH</w:t>
      </w:r>
      <w:r w:rsidRPr="007C4D65">
        <w:rPr>
          <w:rFonts w:asciiTheme="minorHAnsi" w:hAnsiTheme="minorHAnsi" w:cstheme="minorHAnsi"/>
          <w:color w:val="000000" w:themeColor="text1"/>
          <w:sz w:val="22"/>
          <w:szCs w:val="22"/>
        </w:rPr>
        <w:t xml:space="preserve">, at their 110th session held on 7 July 2017, after having considered the Draft Law on Forests, endorsed and submitted to parliamentary procedure the Proposal of the Law on Forests. This proposal has not been considered by any of the houses of the Parliament </w:t>
      </w:r>
      <w:r w:rsidR="007436F1" w:rsidRPr="007C4D65">
        <w:rPr>
          <w:rFonts w:asciiTheme="minorHAnsi" w:hAnsiTheme="minorHAnsi" w:cstheme="minorHAnsi"/>
          <w:color w:val="000000" w:themeColor="text1"/>
          <w:sz w:val="22"/>
          <w:szCs w:val="22"/>
        </w:rPr>
        <w:t>of the Federation of BiH</w:t>
      </w:r>
      <w:r w:rsidRPr="007C4D65">
        <w:rPr>
          <w:rFonts w:asciiTheme="minorHAnsi" w:hAnsiTheme="minorHAnsi" w:cstheme="minorHAnsi"/>
          <w:color w:val="000000" w:themeColor="text1"/>
          <w:sz w:val="22"/>
          <w:szCs w:val="22"/>
        </w:rPr>
        <w:t xml:space="preserve">. In the meantime, </w:t>
      </w:r>
      <w:proofErr w:type="gramStart"/>
      <w:r w:rsidRPr="007C4D65">
        <w:rPr>
          <w:rFonts w:asciiTheme="minorHAnsi" w:hAnsiTheme="minorHAnsi" w:cstheme="minorHAnsi"/>
          <w:color w:val="000000" w:themeColor="text1"/>
          <w:sz w:val="22"/>
          <w:szCs w:val="22"/>
        </w:rPr>
        <w:t>as a consequence of</w:t>
      </w:r>
      <w:proofErr w:type="gramEnd"/>
      <w:r w:rsidRPr="007C4D65">
        <w:rPr>
          <w:rFonts w:asciiTheme="minorHAnsi" w:hAnsiTheme="minorHAnsi" w:cstheme="minorHAnsi"/>
          <w:color w:val="000000" w:themeColor="text1"/>
          <w:sz w:val="22"/>
          <w:szCs w:val="22"/>
        </w:rPr>
        <w:t xml:space="preserve"> non-adoption of the Federation legislation in the area of forestry, nine cantons adopted their own legislation in this area. Adoption of the cantonal laws on forests deprived the </w:t>
      </w:r>
      <w:r w:rsidR="0058588C" w:rsidRPr="007C4D65">
        <w:rPr>
          <w:rFonts w:asciiTheme="minorHAnsi" w:hAnsiTheme="minorHAnsi" w:cstheme="minorHAnsi"/>
          <w:color w:val="000000" w:themeColor="text1"/>
          <w:sz w:val="22"/>
          <w:szCs w:val="22"/>
        </w:rPr>
        <w:t>Federation of BiH</w:t>
      </w:r>
      <w:r w:rsidRPr="007C4D65">
        <w:rPr>
          <w:rFonts w:asciiTheme="minorHAnsi" w:hAnsiTheme="minorHAnsi" w:cstheme="minorHAnsi"/>
          <w:color w:val="000000" w:themeColor="text1"/>
          <w:sz w:val="22"/>
          <w:szCs w:val="22"/>
        </w:rPr>
        <w:t xml:space="preserve"> from their competences enshrined by the Constitution </w:t>
      </w:r>
      <w:r w:rsidR="007436F1" w:rsidRPr="007C4D65">
        <w:rPr>
          <w:rFonts w:asciiTheme="minorHAnsi" w:hAnsiTheme="minorHAnsi" w:cstheme="minorHAnsi"/>
          <w:color w:val="000000" w:themeColor="text1"/>
          <w:sz w:val="22"/>
          <w:szCs w:val="22"/>
        </w:rPr>
        <w:t>of the Federation of BiH</w:t>
      </w:r>
      <w:r w:rsidRPr="007C4D65">
        <w:rPr>
          <w:rFonts w:asciiTheme="minorHAnsi" w:hAnsiTheme="minorHAnsi" w:cstheme="minorHAnsi"/>
          <w:color w:val="000000" w:themeColor="text1"/>
          <w:sz w:val="22"/>
          <w:szCs w:val="22"/>
        </w:rPr>
        <w:t xml:space="preserve">, and it has also resulted with different solutions for managing and using forests, matters of ownership, as well as allocation of funding for use, protection and improvement of forests. </w:t>
      </w:r>
      <w:r w:rsidRPr="007C4D65">
        <w:rPr>
          <w:rFonts w:asciiTheme="minorHAnsi" w:hAnsiTheme="minorHAnsi" w:cstheme="minorHAnsi"/>
          <w:sz w:val="22"/>
          <w:szCs w:val="22"/>
        </w:rPr>
        <w:t xml:space="preserve">At the 111th session that was held on 13 July 2017, Government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accepted the General part of the Forestry Programme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(which defines the long-term policy and strategy of development of forestry and hunting) and submitted it to the Parliament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for adoption.</w:t>
      </w:r>
      <w:r w:rsidRPr="007C4D65">
        <w:rPr>
          <w:rFonts w:asciiTheme="minorHAnsi" w:hAnsiTheme="minorHAnsi" w:cstheme="minorHAnsi"/>
          <w:color w:val="000000" w:themeColor="text1"/>
          <w:sz w:val="22"/>
          <w:szCs w:val="22"/>
        </w:rPr>
        <w:t xml:space="preserve"> </w:t>
      </w:r>
      <w:r w:rsidRPr="007C4D65">
        <w:rPr>
          <w:rFonts w:asciiTheme="minorHAnsi" w:hAnsiTheme="minorHAnsi" w:cstheme="minorHAnsi"/>
          <w:sz w:val="22"/>
          <w:szCs w:val="22"/>
        </w:rPr>
        <w:t xml:space="preserve">Adoption of the Forestry Programme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has been postponed until the adoption of the Law on Forests.</w:t>
      </w:r>
    </w:p>
    <w:p w14:paraId="3582D032" w14:textId="5D12478D"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trike/>
          <w:sz w:val="22"/>
          <w:szCs w:val="22"/>
        </w:rPr>
      </w:pPr>
      <w:r w:rsidRPr="007C4D65">
        <w:rPr>
          <w:rFonts w:asciiTheme="minorHAnsi" w:hAnsiTheme="minorHAnsi"/>
          <w:color w:val="000000" w:themeColor="text1"/>
          <w:sz w:val="22"/>
          <w:szCs w:val="22"/>
        </w:rPr>
        <w:t xml:space="preserve">The obligation to manage the forests based on the principles of durability, poly-functionality and cost-effectiveness, and on establishment of forest management areas, is currently not prescribed in law at the level </w:t>
      </w:r>
      <w:r w:rsidR="007436F1" w:rsidRPr="007C4D65">
        <w:rPr>
          <w:rFonts w:asciiTheme="minorHAnsi" w:hAnsiTheme="minorHAnsi"/>
          <w:color w:val="000000" w:themeColor="text1"/>
          <w:sz w:val="22"/>
          <w:szCs w:val="22"/>
        </w:rPr>
        <w:t>of the Federation of BiH</w:t>
      </w:r>
      <w:r w:rsidRPr="007C4D65">
        <w:rPr>
          <w:rFonts w:asciiTheme="minorHAnsi" w:hAnsiTheme="minorHAnsi"/>
          <w:color w:val="000000" w:themeColor="text1"/>
          <w:sz w:val="22"/>
          <w:szCs w:val="22"/>
        </w:rPr>
        <w:t xml:space="preserve"> due to the inexistence of the Law on Forests.</w:t>
      </w:r>
    </w:p>
    <w:p w14:paraId="7679D9D7" w14:textId="214FC697"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b/>
          <w:bCs/>
          <w:sz w:val="22"/>
          <w:szCs w:val="22"/>
        </w:rPr>
      </w:pPr>
      <w:r w:rsidRPr="007C4D65">
        <w:rPr>
          <w:rFonts w:asciiTheme="minorHAnsi" w:hAnsiTheme="minorHAnsi"/>
          <w:sz w:val="22"/>
          <w:szCs w:val="22"/>
        </w:rPr>
        <w:t xml:space="preserve">The objectives of the management are only declaratively in compliance with up-to-date principles of forest management, but they lack defined indicators and established monitoring regime for their routine monitoring aimed at verifying whether actual management processes are in compliance with the </w:t>
      </w:r>
      <w:proofErr w:type="gramStart"/>
      <w:r w:rsidRPr="007C4D65">
        <w:rPr>
          <w:rFonts w:asciiTheme="minorHAnsi" w:hAnsiTheme="minorHAnsi"/>
          <w:sz w:val="22"/>
          <w:szCs w:val="22"/>
        </w:rPr>
        <w:t>above mentioned</w:t>
      </w:r>
      <w:proofErr w:type="gramEnd"/>
      <w:r w:rsidRPr="007C4D65">
        <w:rPr>
          <w:rFonts w:asciiTheme="minorHAnsi" w:hAnsiTheme="minorHAnsi"/>
          <w:sz w:val="22"/>
          <w:szCs w:val="22"/>
        </w:rPr>
        <w:t xml:space="preserve"> principles, and this is not in accordance with the current processes on pan-European level (“</w:t>
      </w:r>
      <w:r w:rsidRPr="007C4D65">
        <w:rPr>
          <w:rFonts w:asciiTheme="minorHAnsi" w:hAnsiTheme="minorHAnsi"/>
          <w:i/>
          <w:iCs/>
          <w:sz w:val="22"/>
          <w:szCs w:val="22"/>
        </w:rPr>
        <w:t>Forest Europe</w:t>
      </w:r>
      <w:r w:rsidRPr="007C4D65">
        <w:rPr>
          <w:rFonts w:asciiTheme="minorHAnsi" w:hAnsiTheme="minorHAnsi"/>
          <w:sz w:val="22"/>
          <w:szCs w:val="22"/>
        </w:rPr>
        <w:t>”).</w:t>
      </w:r>
    </w:p>
    <w:p w14:paraId="3BA6F87A" w14:textId="7722ED56"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lastRenderedPageBreak/>
        <w:t xml:space="preserve">The Forest Management Plan is the main planning framework for managing forests on the principles of lasting production and income generation, while at the same preserving and improving biodiversity and other generally useful functions of forests. Forest management plans for state-owned forests are adopted for the period of ten years, and they include: introductory part containing reasons for adoption and list of all cadastre parcels by cadastre municipalities that are part of the forest management area; status of forests at the time of development; analysis and evaluation of management practices to date; plans for managing and developing forests in accordance with classification of forests and forest lands for the next management period; quantity and dynamics of </w:t>
      </w:r>
      <w:r w:rsidRPr="007C4D65">
        <w:rPr>
          <w:rFonts w:asciiTheme="minorHAnsi" w:hAnsiTheme="minorHAnsi" w:cstheme="minorHAnsi"/>
          <w:sz w:val="22"/>
          <w:szCs w:val="22"/>
        </w:rPr>
        <w:t>cutting by wood species in the overall structure of wood and wood products; scope and kind of forest farming works and works aimed at protection of forests; areas designated for biological reproduction of forests; measures for maintaining and improving biodiversity and other ecological and social functions of forests; investments in construction of forest roads, demining and other investments; us of secondary forest products and economic and financial analysis of forest management in the next managing period. This is prescribed in the Decision on development, content and implementation of forest management plans (</w:t>
      </w:r>
      <w:r w:rsidR="00F95E23" w:rsidRPr="007C4D65">
        <w:rPr>
          <w:rFonts w:asciiTheme="minorHAnsi" w:hAnsiTheme="minorHAnsi" w:cstheme="minorHAnsi"/>
          <w:sz w:val="22"/>
          <w:szCs w:val="22"/>
        </w:rPr>
        <w:t>“</w:t>
      </w:r>
      <w:r w:rsidRPr="007C4D65">
        <w:rPr>
          <w:rFonts w:asciiTheme="minorHAnsi" w:hAnsiTheme="minorHAnsi" w:cstheme="minorHAnsi"/>
          <w:sz w:val="22"/>
          <w:szCs w:val="22"/>
        </w:rPr>
        <w:t xml:space="preserve">Official Gazette of </w:t>
      </w:r>
      <w:r w:rsidR="00F95E23" w:rsidRPr="007C4D65">
        <w:rPr>
          <w:rFonts w:asciiTheme="minorHAnsi" w:hAnsiTheme="minorHAnsi" w:cstheme="minorHAnsi"/>
          <w:sz w:val="22"/>
          <w:szCs w:val="22"/>
        </w:rPr>
        <w:t xml:space="preserve">the </w:t>
      </w:r>
      <w:r w:rsidRPr="007C4D65">
        <w:rPr>
          <w:rFonts w:asciiTheme="minorHAnsi" w:hAnsiTheme="minorHAnsi" w:cstheme="minorHAnsi"/>
          <w:sz w:val="22"/>
          <w:szCs w:val="22"/>
        </w:rPr>
        <w:t>Federation</w:t>
      </w:r>
      <w:r w:rsidR="00F95E23" w:rsidRPr="007C4D65">
        <w:rPr>
          <w:rFonts w:asciiTheme="minorHAnsi" w:hAnsiTheme="minorHAnsi" w:cstheme="minorHAnsi"/>
          <w:sz w:val="22"/>
          <w:szCs w:val="22"/>
        </w:rPr>
        <w:t xml:space="preserve"> of</w:t>
      </w:r>
      <w:r w:rsidRPr="007C4D65">
        <w:rPr>
          <w:rFonts w:asciiTheme="minorHAnsi" w:hAnsiTheme="minorHAnsi" w:cstheme="minorHAnsi"/>
          <w:sz w:val="22"/>
          <w:szCs w:val="22"/>
        </w:rPr>
        <w:t xml:space="preserve"> BiH</w:t>
      </w:r>
      <w:r w:rsidR="00F95E23" w:rsidRPr="007C4D65">
        <w:rPr>
          <w:rFonts w:asciiTheme="minorHAnsi" w:hAnsiTheme="minorHAnsi" w:cstheme="minorHAnsi"/>
          <w:sz w:val="22"/>
          <w:szCs w:val="22"/>
        </w:rPr>
        <w:t>”,</w:t>
      </w:r>
      <w:r w:rsidRPr="007C4D65">
        <w:rPr>
          <w:rFonts w:asciiTheme="minorHAnsi" w:hAnsiTheme="minorHAnsi" w:cstheme="minorHAnsi"/>
          <w:sz w:val="22"/>
          <w:szCs w:val="22"/>
        </w:rPr>
        <w:t xml:space="preserve"> 41/2021).</w:t>
      </w:r>
    </w:p>
    <w:p w14:paraId="0F974567" w14:textId="0C824495"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In highly degraded forests, their structure and quality have been undermined, and this reflects on their stability. Adverse anthropogenic effects are manifested in the failure to implement activities identified in forest management plans and result in further development of typically degraded high forests, which are </w:t>
      </w:r>
      <w:proofErr w:type="gramStart"/>
      <w:r w:rsidRPr="007C4D65">
        <w:rPr>
          <w:rFonts w:asciiTheme="minorHAnsi" w:hAnsiTheme="minorHAnsi"/>
          <w:sz w:val="22"/>
          <w:szCs w:val="22"/>
        </w:rPr>
        <w:t>most commonly thinned</w:t>
      </w:r>
      <w:proofErr w:type="gramEnd"/>
      <w:r w:rsidRPr="007C4D65">
        <w:rPr>
          <w:rFonts w:asciiTheme="minorHAnsi" w:hAnsiTheme="minorHAnsi"/>
          <w:sz w:val="22"/>
          <w:szCs w:val="22"/>
        </w:rPr>
        <w:t xml:space="preserve">, overgrown with weeds, without natural regrowth, with trees damaged with pathogens and tree trunks which remain there after tree cutting and which are technically useless. A high share of coppice forests in the total forest stocks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demonstrates the importance of implementation of management measures aimed at improving their use, from the aspect of increased productivity and improvement of other generally beneficial functions (Forestry Programme </w:t>
      </w:r>
      <w:r w:rsidR="007436F1" w:rsidRPr="007C4D65">
        <w:rPr>
          <w:rFonts w:asciiTheme="minorHAnsi" w:hAnsiTheme="minorHAnsi"/>
          <w:sz w:val="22"/>
          <w:szCs w:val="22"/>
        </w:rPr>
        <w:t>of the Federation of BiH</w:t>
      </w:r>
      <w:r w:rsidRPr="007C4D65">
        <w:rPr>
          <w:rFonts w:asciiTheme="minorHAnsi" w:hAnsiTheme="minorHAnsi"/>
          <w:sz w:val="22"/>
          <w:szCs w:val="22"/>
        </w:rPr>
        <w:t>).</w:t>
      </w:r>
    </w:p>
    <w:p w14:paraId="394E352B" w14:textId="7C8DC4AB"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The size of the area of forest barren land which is suitable for afforestation is substantial, and this suggests that it is urgent to implement melioration interventions with the view of preparing them for silviculture activities. Afforestation is inadequate, and this is a consequence of unplanned approach to silviculture activities, and excessive dependence on available funds.</w:t>
      </w:r>
    </w:p>
    <w:p w14:paraId="085A87AB" w14:textId="7591C8CB"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According to Forest Status Report from 2020, a lot of damage was made by the pest </w:t>
      </w:r>
      <w:proofErr w:type="spellStart"/>
      <w:r w:rsidRPr="007C4D65">
        <w:rPr>
          <w:rFonts w:asciiTheme="minorHAnsi" w:hAnsiTheme="minorHAnsi"/>
          <w:i/>
          <w:iCs/>
          <w:sz w:val="22"/>
          <w:szCs w:val="22"/>
        </w:rPr>
        <w:t>Euproctis</w:t>
      </w:r>
      <w:proofErr w:type="spellEnd"/>
      <w:r w:rsidRPr="007C4D65">
        <w:rPr>
          <w:rFonts w:asciiTheme="minorHAnsi" w:hAnsiTheme="minorHAnsi"/>
          <w:i/>
          <w:iCs/>
          <w:sz w:val="22"/>
          <w:szCs w:val="22"/>
        </w:rPr>
        <w:t xml:space="preserve"> </w:t>
      </w:r>
      <w:proofErr w:type="spellStart"/>
      <w:r w:rsidRPr="007C4D65">
        <w:rPr>
          <w:rFonts w:asciiTheme="minorHAnsi" w:hAnsiTheme="minorHAnsi"/>
          <w:i/>
          <w:iCs/>
          <w:sz w:val="22"/>
          <w:szCs w:val="22"/>
        </w:rPr>
        <w:t>chrysorrhoea</w:t>
      </w:r>
      <w:proofErr w:type="spellEnd"/>
      <w:r w:rsidRPr="007C4D65">
        <w:rPr>
          <w:rFonts w:asciiTheme="minorHAnsi" w:hAnsiTheme="minorHAnsi"/>
          <w:i/>
          <w:iCs/>
          <w:sz w:val="22"/>
          <w:szCs w:val="22"/>
        </w:rPr>
        <w:t xml:space="preserve"> - </w:t>
      </w:r>
      <w:r w:rsidRPr="007C4D65">
        <w:rPr>
          <w:rFonts w:asciiTheme="minorHAnsi" w:hAnsiTheme="minorHAnsi"/>
          <w:sz w:val="22"/>
          <w:szCs w:val="22"/>
        </w:rPr>
        <w:t>brown tail moth</w:t>
      </w:r>
      <w:r w:rsidRPr="007C4D65">
        <w:rPr>
          <w:rFonts w:asciiTheme="minorHAnsi" w:hAnsiTheme="minorHAnsi"/>
          <w:i/>
          <w:iCs/>
          <w:sz w:val="22"/>
          <w:szCs w:val="22"/>
        </w:rPr>
        <w:t xml:space="preserve">, </w:t>
      </w:r>
      <w:r w:rsidRPr="007C4D65">
        <w:rPr>
          <w:rFonts w:asciiTheme="minorHAnsi" w:hAnsiTheme="minorHAnsi"/>
          <w:sz w:val="22"/>
          <w:szCs w:val="22"/>
        </w:rPr>
        <w:t>which is always present in oak forests. Since this pest has attacked large area of approximately 8,000.00 ha, and that the intensity of the attack is very high, it is expected that impact of this pest will continue in the coming years, and that the area under attack would expand significantly. Another dangerous pest - chestnut gall wasp (</w:t>
      </w:r>
      <w:proofErr w:type="spellStart"/>
      <w:r w:rsidRPr="007C4D65">
        <w:rPr>
          <w:rFonts w:asciiTheme="minorHAnsi" w:hAnsiTheme="minorHAnsi"/>
          <w:i/>
          <w:iCs/>
          <w:sz w:val="22"/>
          <w:szCs w:val="22"/>
        </w:rPr>
        <w:t>Dryocosmus</w:t>
      </w:r>
      <w:proofErr w:type="spellEnd"/>
      <w:r w:rsidRPr="007C4D65">
        <w:rPr>
          <w:rFonts w:asciiTheme="minorHAnsi" w:hAnsiTheme="minorHAnsi"/>
          <w:i/>
          <w:iCs/>
          <w:sz w:val="22"/>
          <w:szCs w:val="22"/>
        </w:rPr>
        <w:t xml:space="preserve"> </w:t>
      </w:r>
      <w:proofErr w:type="spellStart"/>
      <w:r w:rsidRPr="007C4D65">
        <w:rPr>
          <w:rFonts w:asciiTheme="minorHAnsi" w:hAnsiTheme="minorHAnsi"/>
          <w:i/>
          <w:iCs/>
          <w:sz w:val="22"/>
          <w:szCs w:val="22"/>
        </w:rPr>
        <w:t>kuriphilus</w:t>
      </w:r>
      <w:proofErr w:type="spellEnd"/>
      <w:r w:rsidRPr="007C4D65">
        <w:rPr>
          <w:rFonts w:asciiTheme="minorHAnsi" w:hAnsiTheme="minorHAnsi"/>
          <w:sz w:val="22"/>
          <w:szCs w:val="22"/>
        </w:rPr>
        <w:t xml:space="preserve">) appeared in the forests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in 2014, while a broader attack was noticed in spring 2015, as well as in 2016 in chestnut forests in Una-Sana canton. In terms of protection of forests against plant diseases and other pathogens threatening forests and forest complexes, the status has been continuously monitored for the purpose of noticing and identifying appearance of plant diseases and reporting to competent forest companies on the appearance of plant diseases and locations where they appear.</w:t>
      </w:r>
    </w:p>
    <w:p w14:paraId="141364D2" w14:textId="77777777"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Most of the measures are aimed at protection of coniferous stands against attacks by bark beetle, and these measures are implemented by cantonal forest companies.</w:t>
      </w:r>
    </w:p>
    <w:p w14:paraId="470F7A85" w14:textId="4A729303"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According to the data of the </w:t>
      </w:r>
      <w:r w:rsidR="001E6E20" w:rsidRPr="007C4D65">
        <w:rPr>
          <w:rFonts w:asciiTheme="minorHAnsi" w:hAnsiTheme="minorHAnsi"/>
          <w:sz w:val="22"/>
          <w:szCs w:val="22"/>
        </w:rPr>
        <w:t>Federation Ministry</w:t>
      </w:r>
      <w:r w:rsidRPr="007C4D65">
        <w:rPr>
          <w:rFonts w:asciiTheme="minorHAnsi" w:hAnsiTheme="minorHAnsi"/>
          <w:sz w:val="22"/>
          <w:szCs w:val="22"/>
        </w:rPr>
        <w:t xml:space="preserve"> of Agriculture, Water Management and Forestry, in the period 2015 -2019, there were 1,765 fires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and the total fire-affected area </w:t>
      </w:r>
      <w:r w:rsidRPr="007C4D65">
        <w:rPr>
          <w:rFonts w:asciiTheme="minorHAnsi" w:hAnsiTheme="minorHAnsi"/>
          <w:sz w:val="22"/>
          <w:szCs w:val="22"/>
        </w:rPr>
        <w:lastRenderedPageBreak/>
        <w:t xml:space="preserve">was 43,753 ha, or 3.54% of total area of </w:t>
      </w:r>
      <w:proofErr w:type="gramStart"/>
      <w:r w:rsidRPr="007C4D65">
        <w:rPr>
          <w:rFonts w:asciiTheme="minorHAnsi" w:hAnsiTheme="minorHAnsi"/>
          <w:sz w:val="22"/>
          <w:szCs w:val="22"/>
        </w:rPr>
        <w:t>state owned</w:t>
      </w:r>
      <w:proofErr w:type="gramEnd"/>
      <w:r w:rsidRPr="007C4D65">
        <w:rPr>
          <w:rFonts w:asciiTheme="minorHAnsi" w:hAnsiTheme="minorHAnsi"/>
          <w:sz w:val="22"/>
          <w:szCs w:val="22"/>
        </w:rPr>
        <w:t xml:space="preserve"> forests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The areas exposed to highest risk of fires in BiH are the areas in Herzegovina-Neretva Canton, and Canton 10. In the same period (2015‒ 2019), estimated direct economic losses amounted to 29,482,151 BAM, or 13,40 BAM per capita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w:t>
      </w:r>
      <w:r w:rsidRPr="007C4D65">
        <w:rPr>
          <w:rFonts w:asciiTheme="minorHAnsi" w:hAnsiTheme="minorHAnsi"/>
          <w:color w:val="000000" w:themeColor="text1"/>
          <w:sz w:val="22"/>
          <w:szCs w:val="22"/>
        </w:rPr>
        <w:t xml:space="preserve">Indirect fire damage to forest ecosystems </w:t>
      </w:r>
      <w:r w:rsidR="006C5EE4" w:rsidRPr="007C4D65">
        <w:rPr>
          <w:rFonts w:asciiTheme="minorHAnsi" w:hAnsiTheme="minorHAnsi"/>
          <w:color w:val="000000" w:themeColor="text1"/>
          <w:sz w:val="22"/>
          <w:szCs w:val="22"/>
        </w:rPr>
        <w:t>is</w:t>
      </w:r>
      <w:r w:rsidRPr="007C4D65">
        <w:rPr>
          <w:rFonts w:asciiTheme="minorHAnsi" w:hAnsiTheme="minorHAnsi"/>
          <w:color w:val="000000" w:themeColor="text1"/>
          <w:sz w:val="22"/>
          <w:szCs w:val="22"/>
        </w:rPr>
        <w:t xml:space="preserve"> far (ten times) greater than the direct one. </w:t>
      </w:r>
      <w:r w:rsidRPr="007C4D65">
        <w:rPr>
          <w:rFonts w:asciiTheme="minorHAnsi" w:hAnsiTheme="minorHAnsi"/>
          <w:sz w:val="22"/>
          <w:szCs w:val="22"/>
        </w:rPr>
        <w:t xml:space="preserve">Forests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are not passable enough to allow quick access to the location of fire, forest management companies are not equipped to observe and detect fires early, nor for quick access and extinguishing the fire.</w:t>
      </w:r>
      <w:r w:rsidRPr="007C4D65">
        <w:rPr>
          <w:rFonts w:asciiTheme="minorHAnsi" w:hAnsiTheme="minorHAnsi"/>
          <w:color w:val="000000" w:themeColor="text1"/>
          <w:sz w:val="22"/>
          <w:szCs w:val="22"/>
        </w:rPr>
        <w:t xml:space="preserve"> </w:t>
      </w:r>
      <w:r w:rsidRPr="007C4D65">
        <w:rPr>
          <w:rFonts w:asciiTheme="minorHAnsi" w:hAnsiTheme="minorHAnsi"/>
          <w:sz w:val="22"/>
          <w:szCs w:val="22"/>
        </w:rPr>
        <w:t>Rehabilitation of fire-affected areas is not done in the stipulated time, which was two years according to the former legislation.</w:t>
      </w:r>
    </w:p>
    <w:p w14:paraId="37DC1CEE" w14:textId="65BECB54"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Problems of forest ecosystems in karst areas are seen</w:t>
      </w:r>
      <w:proofErr w:type="gramStart"/>
      <w:r w:rsidRPr="007C4D65">
        <w:rPr>
          <w:rFonts w:asciiTheme="minorHAnsi" w:hAnsiTheme="minorHAnsi"/>
          <w:sz w:val="22"/>
          <w:szCs w:val="22"/>
        </w:rPr>
        <w:t xml:space="preserve">, in particular, </w:t>
      </w:r>
      <w:r w:rsidR="00B6299D" w:rsidRPr="007C4D65">
        <w:rPr>
          <w:rFonts w:asciiTheme="minorHAnsi" w:hAnsiTheme="minorHAnsi"/>
          <w:sz w:val="22"/>
          <w:szCs w:val="22"/>
        </w:rPr>
        <w:t>as</w:t>
      </w:r>
      <w:proofErr w:type="gramEnd"/>
      <w:r w:rsidR="00B6299D" w:rsidRPr="007C4D65">
        <w:rPr>
          <w:rFonts w:asciiTheme="minorHAnsi" w:hAnsiTheme="minorHAnsi"/>
          <w:sz w:val="22"/>
          <w:szCs w:val="22"/>
        </w:rPr>
        <w:t xml:space="preserve"> </w:t>
      </w:r>
      <w:r w:rsidRPr="007C4D65">
        <w:rPr>
          <w:rFonts w:asciiTheme="minorHAnsi" w:hAnsiTheme="minorHAnsi"/>
          <w:sz w:val="22"/>
          <w:szCs w:val="22"/>
        </w:rPr>
        <w:t>manifest</w:t>
      </w:r>
      <w:r w:rsidR="00B6299D" w:rsidRPr="007C4D65">
        <w:rPr>
          <w:rFonts w:asciiTheme="minorHAnsi" w:hAnsiTheme="minorHAnsi"/>
          <w:sz w:val="22"/>
          <w:szCs w:val="22"/>
        </w:rPr>
        <w:t>ing</w:t>
      </w:r>
      <w:r w:rsidRPr="007C4D65">
        <w:rPr>
          <w:rFonts w:asciiTheme="minorHAnsi" w:hAnsiTheme="minorHAnsi"/>
          <w:sz w:val="22"/>
          <w:szCs w:val="22"/>
        </w:rPr>
        <w:t xml:space="preserve"> in continued degradation, reduction of areas under forest and exposure of forest ecosystems to biotic and abiotic factors in the situation of changing climate. The funding system for forestry in karst areas is a special problem. Almost as a rule, income from timber and non-timber products that forestry companies which operate in karst areas earn is not sufficient to cover the minimum management costs.</w:t>
      </w:r>
    </w:p>
    <w:p w14:paraId="124E9D6C" w14:textId="638B556B"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The current accessibility of forests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is far below European standards. Analyses show that mainly high forests have been made accessible and their accessibility is below the minimum requirement (15 m/ha). The accessibility of other categories of forests is far below the minimum and is a primary constraint for the implementation of any meaningful planning measures in forest resources management.</w:t>
      </w:r>
    </w:p>
    <w:p w14:paraId="6CF9EC3B" w14:textId="1A0E314F"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szCs w:val="22"/>
        </w:rPr>
        <w:t xml:space="preserve">Planning, designing, building and maintenance of the forest transport infrastructure (FTI) are issues regulated by the forestry legislation, and given that the Law on Forests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w:t>
      </w:r>
      <w:r w:rsidR="007A6065" w:rsidRPr="007C4D65">
        <w:rPr>
          <w:rFonts w:asciiTheme="minorHAnsi" w:hAnsiTheme="minorHAnsi" w:cstheme="minorHAnsi"/>
          <w:sz w:val="22"/>
          <w:szCs w:val="22"/>
        </w:rPr>
        <w:t xml:space="preserve">“Official Gazette </w:t>
      </w:r>
      <w:r w:rsidR="007436F1" w:rsidRPr="007C4D65">
        <w:rPr>
          <w:rFonts w:asciiTheme="minorHAnsi" w:hAnsiTheme="minorHAnsi" w:cstheme="minorHAnsi"/>
          <w:sz w:val="22"/>
          <w:szCs w:val="22"/>
        </w:rPr>
        <w:t>of the Federation of BiH</w:t>
      </w:r>
      <w:r w:rsidR="007A6065" w:rsidRPr="007C4D65">
        <w:rPr>
          <w:rFonts w:asciiTheme="minorHAnsi" w:hAnsiTheme="minorHAnsi" w:cstheme="minorHAnsi"/>
          <w:sz w:val="22"/>
          <w:szCs w:val="22"/>
        </w:rPr>
        <w:t xml:space="preserve">“, </w:t>
      </w:r>
      <w:r w:rsidRPr="007C4D65">
        <w:rPr>
          <w:rFonts w:asciiTheme="minorHAnsi" w:hAnsiTheme="minorHAnsi" w:cstheme="minorHAnsi"/>
          <w:sz w:val="22"/>
          <w:szCs w:val="22"/>
        </w:rPr>
        <w:t xml:space="preserve">20/02, 29/03, and 37/04, 2002) was repealed, there is no legislative framework at the level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at present time that would regulate the issues related to the forest transport infrastructure.</w:t>
      </w:r>
    </w:p>
    <w:p w14:paraId="4AE895E2" w14:textId="2174EE46"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While at the international level this matter is regulated by international agreements and resolutions, </w:t>
      </w:r>
      <w:r w:rsidR="0058588C" w:rsidRPr="007C4D65">
        <w:rPr>
          <w:rFonts w:asciiTheme="minorHAnsi" w:hAnsiTheme="minorHAnsi"/>
          <w:sz w:val="22"/>
          <w:szCs w:val="22"/>
        </w:rPr>
        <w:t>Federation of BiH</w:t>
      </w:r>
      <w:r w:rsidRPr="007C4D65">
        <w:rPr>
          <w:rFonts w:asciiTheme="minorHAnsi" w:hAnsiTheme="minorHAnsi"/>
          <w:sz w:val="22"/>
          <w:szCs w:val="22"/>
        </w:rPr>
        <w:t xml:space="preserve"> does not have any regulations or decisions to define </w:t>
      </w:r>
      <w:r w:rsidR="00DB3800" w:rsidRPr="007C4D65">
        <w:rPr>
          <w:rFonts w:asciiTheme="minorHAnsi" w:hAnsiTheme="minorHAnsi"/>
          <w:sz w:val="22"/>
          <w:szCs w:val="22"/>
        </w:rPr>
        <w:t>in more detail</w:t>
      </w:r>
      <w:r w:rsidRPr="007C4D65">
        <w:rPr>
          <w:rFonts w:asciiTheme="minorHAnsi" w:hAnsiTheme="minorHAnsi"/>
          <w:sz w:val="22"/>
          <w:szCs w:val="22"/>
        </w:rPr>
        <w:t xml:space="preserve"> the </w:t>
      </w:r>
      <w:r w:rsidR="00007DA5" w:rsidRPr="007C4D65">
        <w:rPr>
          <w:rFonts w:asciiTheme="minorHAnsi" w:hAnsiTheme="minorHAnsi"/>
          <w:sz w:val="22"/>
          <w:szCs w:val="22"/>
        </w:rPr>
        <w:t>cross-sectoral</w:t>
      </w:r>
      <w:r w:rsidRPr="007C4D65">
        <w:rPr>
          <w:rFonts w:asciiTheme="minorHAnsi" w:hAnsiTheme="minorHAnsi"/>
          <w:sz w:val="22"/>
          <w:szCs w:val="22"/>
        </w:rPr>
        <w:t xml:space="preserve"> harmonisation between the forest and water sectors, or to stipulate measures aimed at enhancing harmonisation between forest and water management.</w:t>
      </w:r>
    </w:p>
    <w:p w14:paraId="57CAE215" w14:textId="6D07214F"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The forestry sector does not have structured data on protective forests, such as forests on steep grounds and on land prone to erosion, torrents, landslides, or forests for protection of settlements, commercial and other facilities. This practically means that </w:t>
      </w:r>
      <w:r w:rsidR="0058588C" w:rsidRPr="007C4D65">
        <w:rPr>
          <w:rFonts w:asciiTheme="minorHAnsi" w:hAnsiTheme="minorHAnsi"/>
          <w:sz w:val="22"/>
          <w:szCs w:val="22"/>
        </w:rPr>
        <w:t>Federation of BiH</w:t>
      </w:r>
      <w:r w:rsidRPr="007C4D65">
        <w:rPr>
          <w:rFonts w:asciiTheme="minorHAnsi" w:hAnsiTheme="minorHAnsi"/>
          <w:sz w:val="22"/>
          <w:szCs w:val="22"/>
        </w:rPr>
        <w:t xml:space="preserve"> has not identified forest areas of special importance for protection against floods and land erosion, and that </w:t>
      </w:r>
      <w:proofErr w:type="gramStart"/>
      <w:r w:rsidRPr="007C4D65">
        <w:rPr>
          <w:rFonts w:asciiTheme="minorHAnsi" w:hAnsiTheme="minorHAnsi"/>
          <w:sz w:val="22"/>
          <w:szCs w:val="22"/>
        </w:rPr>
        <w:t>as a consequence</w:t>
      </w:r>
      <w:proofErr w:type="gramEnd"/>
      <w:r w:rsidRPr="007C4D65">
        <w:rPr>
          <w:rFonts w:asciiTheme="minorHAnsi" w:hAnsiTheme="minorHAnsi"/>
          <w:sz w:val="22"/>
          <w:szCs w:val="22"/>
        </w:rPr>
        <w:t xml:space="preserve">, the forest management plans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do not provide for any restrictions in the management of flooded forests or forests that help prevent soil erosion. Forest management plans and water basin management plans are not mutually aligned, although this has been envisaged. Neither the applicable water nor forestry legislation explicitly refer to any fees that users of water in the forestry sector are required to pay </w:t>
      </w:r>
      <w:r w:rsidR="007436F1" w:rsidRPr="007C4D65">
        <w:rPr>
          <w:rFonts w:asciiTheme="minorHAnsi" w:hAnsiTheme="minorHAnsi"/>
          <w:sz w:val="22"/>
          <w:szCs w:val="22"/>
        </w:rPr>
        <w:t>in the Federation of BiH</w:t>
      </w:r>
      <w:r w:rsidRPr="007C4D65">
        <w:rPr>
          <w:rFonts w:asciiTheme="minorHAnsi" w:hAnsiTheme="minorHAnsi"/>
          <w:sz w:val="22"/>
          <w:szCs w:val="22"/>
        </w:rPr>
        <w:t>.</w:t>
      </w:r>
    </w:p>
    <w:p w14:paraId="1D501773" w14:textId="1C967D35"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The competent institutions have responded with a delay and inadequately to their tasks and accepted commitments, as defined in documents of the Ministerial Conference on Protection of Forests in Europe (MCPFE) with reference to active measures that should be taken to combat climate change. This </w:t>
      </w:r>
      <w:proofErr w:type="gramStart"/>
      <w:r w:rsidRPr="007C4D65">
        <w:rPr>
          <w:rFonts w:asciiTheme="minorHAnsi" w:hAnsiTheme="minorHAnsi"/>
          <w:sz w:val="22"/>
          <w:szCs w:val="22"/>
        </w:rPr>
        <w:t>includes:</w:t>
      </w:r>
      <w:proofErr w:type="gramEnd"/>
      <w:r w:rsidRPr="007C4D65">
        <w:rPr>
          <w:rFonts w:asciiTheme="minorHAnsi" w:hAnsiTheme="minorHAnsi"/>
          <w:sz w:val="22"/>
          <w:szCs w:val="22"/>
        </w:rPr>
        <w:t xml:space="preserve"> provision of funds for research of various aspects of sustained forest resources management, implementation of extended forest reproduction projects (conversion of the existing low-productive forests into high forests, afforestation of barren land, etc.) as well as use of forest </w:t>
      </w:r>
      <w:r w:rsidRPr="007C4D65">
        <w:rPr>
          <w:rFonts w:asciiTheme="minorHAnsi" w:hAnsiTheme="minorHAnsi"/>
          <w:sz w:val="22"/>
          <w:szCs w:val="22"/>
        </w:rPr>
        <w:lastRenderedPageBreak/>
        <w:t xml:space="preserve">biomass as a renewable energy source. Capacities of scientific and research institutions that do monitoring and assessment of climate change impacts, or generally study the role and importance of forests in the fight against climate change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are rather modest. </w:t>
      </w:r>
      <w:proofErr w:type="gramStart"/>
      <w:r w:rsidRPr="007C4D65">
        <w:rPr>
          <w:rFonts w:asciiTheme="minorHAnsi" w:hAnsiTheme="minorHAnsi"/>
          <w:sz w:val="22"/>
          <w:szCs w:val="22"/>
        </w:rPr>
        <w:t>As a consequence</w:t>
      </w:r>
      <w:proofErr w:type="gramEnd"/>
      <w:r w:rsidRPr="007C4D65">
        <w:rPr>
          <w:rFonts w:asciiTheme="minorHAnsi" w:hAnsiTheme="minorHAnsi"/>
          <w:sz w:val="22"/>
          <w:szCs w:val="22"/>
        </w:rPr>
        <w:t xml:space="preserve">, the institutions and researchers from </w:t>
      </w:r>
      <w:r w:rsidR="0058588C" w:rsidRPr="007C4D65">
        <w:rPr>
          <w:rFonts w:asciiTheme="minorHAnsi" w:hAnsiTheme="minorHAnsi"/>
          <w:sz w:val="22"/>
          <w:szCs w:val="22"/>
        </w:rPr>
        <w:t>Federation of BiH</w:t>
      </w:r>
      <w:r w:rsidRPr="007C4D65">
        <w:rPr>
          <w:rFonts w:asciiTheme="minorHAnsi" w:hAnsiTheme="minorHAnsi"/>
          <w:sz w:val="22"/>
          <w:szCs w:val="22"/>
        </w:rPr>
        <w:t xml:space="preserve"> are not competitive in the framework of international scientific and research community, and they cannot win projects for these purposes.</w:t>
      </w:r>
    </w:p>
    <w:p w14:paraId="24A045C2" w14:textId="77777777" w:rsidR="00647018" w:rsidRPr="007C4D65" w:rsidRDefault="00647018" w:rsidP="00647018">
      <w:pPr>
        <w:spacing w:before="240" w:after="240" w:line="276" w:lineRule="auto"/>
        <w:rPr>
          <w:rFonts w:asciiTheme="minorHAnsi" w:hAnsiTheme="minorHAnsi" w:cstheme="minorHAnsi"/>
          <w:i/>
          <w:sz w:val="22"/>
          <w:szCs w:val="22"/>
          <w:u w:val="single"/>
        </w:rPr>
      </w:pPr>
      <w:r w:rsidRPr="007C4D65">
        <w:rPr>
          <w:rFonts w:asciiTheme="minorHAnsi" w:hAnsiTheme="minorHAnsi"/>
          <w:i/>
          <w:sz w:val="22"/>
          <w:szCs w:val="22"/>
          <w:u w:val="single"/>
        </w:rPr>
        <w:t>Hunting game</w:t>
      </w:r>
      <w:bookmarkEnd w:id="170"/>
      <w:bookmarkEnd w:id="171"/>
      <w:bookmarkEnd w:id="172"/>
    </w:p>
    <w:p w14:paraId="33A0F90C" w14:textId="77777777"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bookmarkStart w:id="173" w:name="_Toc60753445"/>
      <w:bookmarkStart w:id="174" w:name="_Toc64893316"/>
      <w:bookmarkStart w:id="175" w:name="_Toc66204404"/>
      <w:r w:rsidRPr="007C4D65">
        <w:rPr>
          <w:rFonts w:asciiTheme="minorHAnsi" w:hAnsiTheme="minorHAnsi"/>
          <w:sz w:val="22"/>
          <w:szCs w:val="22"/>
        </w:rPr>
        <w:t>During the time after 1995, the previously existing borders of hunting grounds in BiH have changed, and the hunting grounds were thus degraded as natural units. In accordance with the administrative and political organisation, hunting is regulated by entity laws. The laws do provide for the possibility of establishing special hunting grounds, but due to the entity and cantonal borders, some special hunting grounds have lost their territorial continuity and natural integrity.</w:t>
      </w:r>
    </w:p>
    <w:p w14:paraId="417F0578" w14:textId="240A32C2"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Current status of game population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is not satisfactory as a consequence of non-principled and incomplete positioning of the state towards the issue of ownership of the game, unresolved property issues related to the right to manage the hunting game, and the right of ownership of the areas where the hunting game lives, as well as inappropriate definition of hunting as an economic activity and hunting as a way to satisfy specific social functions of the society.</w:t>
      </w:r>
    </w:p>
    <w:p w14:paraId="4101AAB4" w14:textId="4EF16504"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Managing hunting grounds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has been entrusted to the forest management companies and hunting associations. The Federation Law on Hunting of 2006 has not been fully implemented, and because of that the legal aspect of managing hunting grounds is questionable.</w:t>
      </w:r>
    </w:p>
    <w:p w14:paraId="77FE9A9F" w14:textId="5C546775" w:rsidR="00647018" w:rsidRPr="007C4D65" w:rsidRDefault="00647018" w:rsidP="00647018">
      <w:pPr>
        <w:autoSpaceDE w:val="0"/>
        <w:autoSpaceDN w:val="0"/>
        <w:adjustRightInd w:val="0"/>
        <w:spacing w:after="160" w:line="276" w:lineRule="auto"/>
        <w:jc w:val="both"/>
        <w:rPr>
          <w:rFonts w:asciiTheme="minorHAnsi" w:hAnsiTheme="minorHAnsi"/>
          <w:sz w:val="22"/>
          <w:szCs w:val="22"/>
        </w:rPr>
      </w:pPr>
      <w:r w:rsidRPr="007C4D65">
        <w:rPr>
          <w:rFonts w:asciiTheme="minorHAnsi" w:hAnsiTheme="minorHAnsi"/>
          <w:sz w:val="22"/>
          <w:szCs w:val="22"/>
        </w:rPr>
        <w:t xml:space="preserve">Lack of political will to start the process of signing international agreements resulted with BiH signing </w:t>
      </w:r>
      <w:proofErr w:type="gramStart"/>
      <w:r w:rsidRPr="007C4D65">
        <w:rPr>
          <w:rFonts w:asciiTheme="minorHAnsi" w:hAnsiTheme="minorHAnsi"/>
          <w:sz w:val="22"/>
          <w:szCs w:val="22"/>
        </w:rPr>
        <w:t>a number of</w:t>
      </w:r>
      <w:proofErr w:type="gramEnd"/>
      <w:r w:rsidRPr="007C4D65">
        <w:rPr>
          <w:rFonts w:asciiTheme="minorHAnsi" w:hAnsiTheme="minorHAnsi"/>
          <w:sz w:val="22"/>
          <w:szCs w:val="22"/>
        </w:rPr>
        <w:t xml:space="preserve"> conventions important for development of hunting (Bern and CITES), within which it has failed to make appropriate exceptions for different game species, although it had had the option to do so in the ratification process. Further, harmonization of processes with the EU Directives has not been achieved: Directive on the conservation of natural habitats and of wild fauna and flora (Directive 92/43/EC), Directive on protection of wild fauna and flora species and their trade (Directive 387/97/EC, Directive on protection of wild birds (Directive 79/409/EEC).</w:t>
      </w:r>
    </w:p>
    <w:p w14:paraId="7D7EC0CA" w14:textId="77777777"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Implementation of the Federation Law on Hunting of 2006 was met by a series of mutually inter-dependant problems which have restricted its full implementation. This, </w:t>
      </w:r>
      <w:proofErr w:type="gramStart"/>
      <w:r w:rsidRPr="007C4D65">
        <w:rPr>
          <w:rFonts w:asciiTheme="minorHAnsi" w:hAnsiTheme="minorHAnsi"/>
          <w:sz w:val="22"/>
          <w:szCs w:val="22"/>
        </w:rPr>
        <w:t>first of all</w:t>
      </w:r>
      <w:proofErr w:type="gramEnd"/>
      <w:r w:rsidRPr="007C4D65">
        <w:rPr>
          <w:rFonts w:asciiTheme="minorHAnsi" w:hAnsiTheme="minorHAnsi"/>
          <w:sz w:val="22"/>
          <w:szCs w:val="22"/>
        </w:rPr>
        <w:t>, applies to lack of consistency and harmonisation of certain articles of the Law with the bylaws, and non-implementation of categorisation, establishment and legal assignment of the hunting grounds.</w:t>
      </w:r>
    </w:p>
    <w:p w14:paraId="02B70F7B" w14:textId="77777777"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Several years long delay in implementation of legal and economic measures necessary for fully operational sector of hunting resulted with the currently inexistent continuity in determining and monitoring of the status of wild game. In addition, there is no adequate planning in hunting, and there is no effective system of legal and physical protection of hunting game and grounds.</w:t>
      </w:r>
    </w:p>
    <w:p w14:paraId="43D98C2B" w14:textId="414FD0E8"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There are no Federation or cantonal data bases in this sector. Work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and cantonal hunting inspections is limited and ineffective.</w:t>
      </w:r>
    </w:p>
    <w:p w14:paraId="0BE32717" w14:textId="16CFD589"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Development of hunting tourism has been stalled for years, resulting with inexistence of a unified model of offer and limited investments due to unresolved legal status of users of hunting grounds. </w:t>
      </w:r>
      <w:r w:rsidR="00F25091" w:rsidRPr="007C4D65">
        <w:rPr>
          <w:rFonts w:asciiTheme="minorHAnsi" w:hAnsiTheme="minorHAnsi"/>
          <w:sz w:val="22"/>
          <w:szCs w:val="22"/>
        </w:rPr>
        <w:lastRenderedPageBreak/>
        <w:t>Controlled rearing of game has been</w:t>
      </w:r>
      <w:r w:rsidRPr="007C4D65">
        <w:rPr>
          <w:rFonts w:asciiTheme="minorHAnsi" w:hAnsiTheme="minorHAnsi"/>
          <w:sz w:val="22"/>
          <w:szCs w:val="22"/>
        </w:rPr>
        <w:t xml:space="preserve"> in significant recession and is done only spontaneously, without long-term planning objectives.</w:t>
      </w:r>
    </w:p>
    <w:p w14:paraId="245F6331" w14:textId="77777777"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System of education in hunting is inadequate, and provides insufficient practical knowledge from education, insufficient understanding of legislation on hunting, organisation, planning and commercial management, as well as limited use of information technology and insufficient knowledge of foreign languages. There is no established system of professional development and licensing for hunters, in accordance with needs and directions of development of hunting.</w:t>
      </w:r>
    </w:p>
    <w:p w14:paraId="7A6D0D5D" w14:textId="39E6F511" w:rsidR="00647018" w:rsidRPr="007C4D65" w:rsidRDefault="00647018" w:rsidP="00647018">
      <w:pPr>
        <w:spacing w:before="240" w:after="240" w:line="276" w:lineRule="auto"/>
        <w:rPr>
          <w:rFonts w:asciiTheme="minorHAnsi" w:hAnsiTheme="minorHAnsi" w:cstheme="minorHAnsi"/>
          <w:i/>
          <w:sz w:val="22"/>
          <w:szCs w:val="22"/>
          <w:u w:val="single"/>
        </w:rPr>
      </w:pPr>
      <w:r w:rsidRPr="007C4D65">
        <w:rPr>
          <w:rFonts w:asciiTheme="minorHAnsi" w:hAnsiTheme="minorHAnsi"/>
          <w:i/>
          <w:sz w:val="22"/>
          <w:szCs w:val="22"/>
          <w:u w:val="single"/>
        </w:rPr>
        <w:t xml:space="preserve">Medicinal, edible and aromatic plants and </w:t>
      </w:r>
      <w:r w:rsidR="00FE598D" w:rsidRPr="007C4D65">
        <w:rPr>
          <w:rFonts w:asciiTheme="minorHAnsi" w:hAnsiTheme="minorHAnsi"/>
          <w:i/>
          <w:sz w:val="22"/>
          <w:szCs w:val="22"/>
          <w:u w:val="single"/>
        </w:rPr>
        <w:t>non-timber forest</w:t>
      </w:r>
      <w:r w:rsidRPr="007C4D65">
        <w:rPr>
          <w:rFonts w:asciiTheme="minorHAnsi" w:hAnsiTheme="minorHAnsi"/>
          <w:i/>
          <w:sz w:val="22"/>
          <w:szCs w:val="22"/>
          <w:u w:val="single"/>
        </w:rPr>
        <w:t xml:space="preserve"> products</w:t>
      </w:r>
      <w:bookmarkEnd w:id="173"/>
      <w:bookmarkEnd w:id="174"/>
      <w:bookmarkEnd w:id="175"/>
    </w:p>
    <w:p w14:paraId="44A69C53" w14:textId="5F9BC56A"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bookmarkStart w:id="176" w:name="_Toc60753446"/>
      <w:bookmarkStart w:id="177" w:name="_Toc64893317"/>
      <w:bookmarkStart w:id="178" w:name="_Toc66204405"/>
      <w:r w:rsidRPr="007C4D65">
        <w:rPr>
          <w:rFonts w:asciiTheme="minorHAnsi" w:hAnsiTheme="minorHAnsi"/>
          <w:sz w:val="22"/>
          <w:szCs w:val="22"/>
        </w:rPr>
        <w:t xml:space="preserve">Relevant strategic legal framework that addresses the issue of other forest and forest land products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either does not exist or is inadequate, and thus fails to provide economic benefit for the owner, local community, and the forest users.</w:t>
      </w:r>
    </w:p>
    <w:p w14:paraId="46C7F996" w14:textId="77777777"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shd w:val="clear" w:color="auto" w:fill="FFC000"/>
        </w:rPr>
      </w:pPr>
      <w:r w:rsidRPr="007C4D65">
        <w:rPr>
          <w:rFonts w:asciiTheme="minorHAnsi" w:hAnsiTheme="minorHAnsi"/>
          <w:sz w:val="22"/>
          <w:szCs w:val="22"/>
        </w:rPr>
        <w:t xml:space="preserve">Although this area is regulated by bylaws adopted </w:t>
      </w:r>
      <w:proofErr w:type="gramStart"/>
      <w:r w:rsidRPr="007C4D65">
        <w:rPr>
          <w:rFonts w:asciiTheme="minorHAnsi" w:hAnsiTheme="minorHAnsi"/>
          <w:sz w:val="22"/>
          <w:szCs w:val="22"/>
        </w:rPr>
        <w:t>on the basis of</w:t>
      </w:r>
      <w:proofErr w:type="gramEnd"/>
      <w:r w:rsidRPr="007C4D65">
        <w:rPr>
          <w:rFonts w:asciiTheme="minorHAnsi" w:hAnsiTheme="minorHAnsi"/>
          <w:sz w:val="22"/>
          <w:szCs w:val="22"/>
        </w:rPr>
        <w:t xml:space="preserve"> cantonal laws on forests, no adequate system of managing, monitoring status and controlling collection and trade with non-timber forest products exists. There is no adequate system for issuing permits and collecting fees for non-timber forest products (licensing). Therefore, there is no transparency in collection or trade with medicinal plants and non-timber forest products, so documentation traceability is not possible. The pickers do not have the required knowledge (inadequate certification system).</w:t>
      </w:r>
    </w:p>
    <w:p w14:paraId="00BEDCBE" w14:textId="527CE494" w:rsidR="00647018" w:rsidRPr="007C4D65" w:rsidRDefault="00647018" w:rsidP="00647018">
      <w:pPr>
        <w:autoSpaceDE w:val="0"/>
        <w:autoSpaceDN w:val="0"/>
        <w:adjustRightInd w:val="0"/>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In most cases, forest owners or users do not have any commercial benefit from non-timber forest products. Current legislation does not provide commercial benefit to local population. There are no associations of pickers of non-timber forest products nor registry of pickers, resulting with the problems when identifying premiums and other incentives for the pickers. There are no developed centralized and institutionalized marketing activities, with merchants and processors implementing their independent marketing activities. Market for non-timber forest products is not organised, and this has reflections in the form of appearance of “black market” and illegal trade with protected and endangered species. Most of the export is of raw material, while final products are imported. </w:t>
      </w:r>
      <w:r w:rsidR="0058588C" w:rsidRPr="007C4D65">
        <w:rPr>
          <w:rFonts w:asciiTheme="minorHAnsi" w:hAnsiTheme="minorHAnsi"/>
          <w:sz w:val="22"/>
          <w:szCs w:val="22"/>
        </w:rPr>
        <w:t>Federation of BiH</w:t>
      </w:r>
      <w:r w:rsidRPr="007C4D65">
        <w:rPr>
          <w:rFonts w:asciiTheme="minorHAnsi" w:hAnsiTheme="minorHAnsi"/>
          <w:sz w:val="22"/>
          <w:szCs w:val="22"/>
        </w:rPr>
        <w:t xml:space="preserve"> does not have its own certification scheme, while internationally recognised schemes for certification of non-timber forest products are not in use.</w:t>
      </w:r>
    </w:p>
    <w:p w14:paraId="3527120E" w14:textId="77777777" w:rsidR="00647018" w:rsidRPr="007C4D65" w:rsidRDefault="00647018" w:rsidP="00647018">
      <w:pPr>
        <w:spacing w:before="240" w:after="240" w:line="276" w:lineRule="auto"/>
        <w:rPr>
          <w:rFonts w:asciiTheme="minorHAnsi" w:hAnsiTheme="minorHAnsi" w:cstheme="minorHAnsi"/>
          <w:i/>
          <w:sz w:val="22"/>
          <w:szCs w:val="22"/>
          <w:u w:val="single"/>
        </w:rPr>
      </w:pPr>
      <w:r w:rsidRPr="007C4D65">
        <w:rPr>
          <w:rFonts w:asciiTheme="minorHAnsi" w:hAnsiTheme="minorHAnsi"/>
          <w:i/>
          <w:sz w:val="22"/>
          <w:szCs w:val="22"/>
          <w:u w:val="single"/>
        </w:rPr>
        <w:t>Land</w:t>
      </w:r>
      <w:bookmarkEnd w:id="176"/>
      <w:bookmarkEnd w:id="177"/>
      <w:bookmarkEnd w:id="178"/>
    </w:p>
    <w:p w14:paraId="36EC834C" w14:textId="061EA9F8" w:rsidR="00647018" w:rsidRPr="007C4D65" w:rsidRDefault="00647018" w:rsidP="00647018">
      <w:pPr>
        <w:spacing w:after="160" w:line="276" w:lineRule="auto"/>
        <w:jc w:val="both"/>
        <w:rPr>
          <w:rFonts w:asciiTheme="minorHAnsi" w:eastAsiaTheme="minorHAnsi" w:hAnsiTheme="minorHAnsi" w:cstheme="minorHAnsi"/>
          <w:sz w:val="22"/>
          <w:szCs w:val="22"/>
        </w:rPr>
      </w:pPr>
      <w:bookmarkStart w:id="179" w:name="_Toc64893318"/>
      <w:bookmarkStart w:id="180" w:name="_Toc66204406"/>
      <w:r w:rsidRPr="007C4D65">
        <w:rPr>
          <w:rFonts w:asciiTheme="minorHAnsi" w:hAnsiTheme="minorHAnsi"/>
          <w:sz w:val="22"/>
          <w:szCs w:val="22"/>
        </w:rPr>
        <w:t xml:space="preserve">Level of land pollution is not systematically monitored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The Federation Institute for </w:t>
      </w:r>
      <w:proofErr w:type="spellStart"/>
      <w:r w:rsidRPr="007C4D65">
        <w:rPr>
          <w:rFonts w:asciiTheme="minorHAnsi" w:hAnsiTheme="minorHAnsi"/>
          <w:sz w:val="22"/>
          <w:szCs w:val="22"/>
        </w:rPr>
        <w:t>Agropedology</w:t>
      </w:r>
      <w:proofErr w:type="spellEnd"/>
      <w:r w:rsidRPr="007C4D65">
        <w:rPr>
          <w:rFonts w:asciiTheme="minorHAnsi" w:hAnsiTheme="minorHAnsi"/>
          <w:sz w:val="22"/>
          <w:szCs w:val="22"/>
        </w:rPr>
        <w:t xml:space="preserve">, Sarajevo, had conducted land monitoring over the period 2008-2011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covering 260 points where each point is at 10 km distance from the other. It was found that of total number of 260 locations, 26 or 10% of examined areas show a content of heavy metals, such as lead (Pb), cadmium (Cd), zinc (Zn), copper (Cu) nickel (Ni), chrome (Cr), cobalt (Co), manganese (Mn) that exceeded the limits and thus may be considered polluted areas. Additional exploration showed that a significant share of his pollution was of lithological origin.</w:t>
      </w:r>
    </w:p>
    <w:p w14:paraId="2A75C248" w14:textId="77777777"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Additional explorations were conducted in 2012 on 26 locations with the aim of determining the causes of soil contamination with heavy metals in parent substrate: lead (Pb), cadmium (Cd), zinc (Zn), copper (Cu) nickel (Ni), chrome (Cr), cobalt (Co), manganese (Mn). In these 26 locations, pedological profiles of soil were opened and samples taken from different horizons or profile layers. Analyses of </w:t>
      </w:r>
      <w:r w:rsidRPr="007C4D65">
        <w:rPr>
          <w:rFonts w:asciiTheme="minorHAnsi" w:hAnsiTheme="minorHAnsi"/>
          <w:sz w:val="22"/>
          <w:szCs w:val="22"/>
        </w:rPr>
        <w:lastRenderedPageBreak/>
        <w:t>samples from the parent substrate showed a link between increased values of heavy metals in the land (surface layer of the soil) and their presence in the rocks (main substrate).</w:t>
      </w:r>
    </w:p>
    <w:p w14:paraId="02AB00DA" w14:textId="2D11D450"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The following map shows locations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by municipalities where this exploration was done at micro-location</w:t>
      </w:r>
      <w:r w:rsidR="00B6299D" w:rsidRPr="007C4D65">
        <w:rPr>
          <w:rFonts w:asciiTheme="minorHAnsi" w:hAnsiTheme="minorHAnsi"/>
          <w:sz w:val="22"/>
          <w:szCs w:val="22"/>
        </w:rPr>
        <w:t>s</w:t>
      </w:r>
      <w:r w:rsidRPr="007C4D65">
        <w:rPr>
          <w:rFonts w:asciiTheme="minorHAnsi" w:hAnsiTheme="minorHAnsi"/>
          <w:sz w:val="22"/>
          <w:szCs w:val="22"/>
        </w:rPr>
        <w:t xml:space="preserve"> to identify content of organic and inorganic pollutants in agricultural soil according to the Federation Institute for </w:t>
      </w:r>
      <w:proofErr w:type="spellStart"/>
      <w:r w:rsidRPr="007C4D65">
        <w:rPr>
          <w:rFonts w:asciiTheme="minorHAnsi" w:hAnsiTheme="minorHAnsi"/>
          <w:sz w:val="22"/>
          <w:szCs w:val="22"/>
        </w:rPr>
        <w:t>Agropedology</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FIfAP</w:t>
      </w:r>
      <w:proofErr w:type="spellEnd"/>
      <w:r w:rsidRPr="007C4D65">
        <w:rPr>
          <w:rFonts w:asciiTheme="minorHAnsi" w:hAnsiTheme="minorHAnsi"/>
          <w:sz w:val="22"/>
          <w:szCs w:val="22"/>
        </w:rPr>
        <w:t>).</w:t>
      </w:r>
    </w:p>
    <w:p w14:paraId="4D7C39B8" w14:textId="3E366CEC" w:rsidR="00AB12CA" w:rsidRDefault="00AB12CA" w:rsidP="00647018">
      <w:pPr>
        <w:pStyle w:val="Caption"/>
        <w:spacing w:line="276" w:lineRule="auto"/>
        <w:jc w:val="center"/>
        <w:rPr>
          <w:rFonts w:asciiTheme="minorHAnsi" w:hAnsiTheme="minorHAnsi"/>
          <w:szCs w:val="20"/>
        </w:rPr>
      </w:pPr>
      <w:bookmarkStart w:id="181" w:name="_Toc109842470"/>
      <w:bookmarkStart w:id="182" w:name="_Toc117445055"/>
      <w:r>
        <w:rPr>
          <w:rFonts w:asciiTheme="minorHAnsi" w:hAnsiTheme="minorHAnsi"/>
          <w:noProof/>
          <w:szCs w:val="20"/>
        </w:rPr>
        <w:drawing>
          <wp:inline distT="0" distB="0" distL="0" distR="0" wp14:anchorId="0AA5234D" wp14:editId="0CDE10C7">
            <wp:extent cx="5722620" cy="3299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2620" cy="3299460"/>
                    </a:xfrm>
                    <a:prstGeom prst="rect">
                      <a:avLst/>
                    </a:prstGeom>
                    <a:noFill/>
                    <a:ln>
                      <a:noFill/>
                    </a:ln>
                  </pic:spPr>
                </pic:pic>
              </a:graphicData>
            </a:graphic>
          </wp:inline>
        </w:drawing>
      </w:r>
    </w:p>
    <w:p w14:paraId="3F877A83" w14:textId="32ED1CF2" w:rsidR="00647018" w:rsidRPr="007C4D65" w:rsidRDefault="00647018" w:rsidP="00647018">
      <w:pPr>
        <w:pStyle w:val="Caption"/>
        <w:spacing w:line="276" w:lineRule="auto"/>
        <w:jc w:val="center"/>
        <w:rPr>
          <w:rFonts w:asciiTheme="minorHAnsi" w:hAnsiTheme="minorHAnsi" w:cstheme="minorHAnsi"/>
          <w:szCs w:val="20"/>
        </w:rPr>
      </w:pPr>
      <w:r w:rsidRPr="007C4D65">
        <w:rPr>
          <w:rFonts w:asciiTheme="minorHAnsi" w:hAnsiTheme="minorHAnsi"/>
          <w:szCs w:val="20"/>
        </w:rPr>
        <w:t xml:space="preserve">Figure </w:t>
      </w:r>
      <w:r w:rsidR="005D60DA" w:rsidRPr="007C4D65">
        <w:rPr>
          <w:rFonts w:asciiTheme="minorHAnsi" w:hAnsiTheme="minorHAnsi" w:cstheme="minorHAnsi"/>
          <w:b w:val="0"/>
          <w:bCs/>
          <w:i w:val="0"/>
          <w:iCs w:val="0"/>
          <w:szCs w:val="20"/>
          <w:lang w:val="hr-HR"/>
        </w:rPr>
        <w:fldChar w:fldCharType="begin"/>
      </w:r>
      <w:r w:rsidR="005D60DA" w:rsidRPr="007C4D65">
        <w:rPr>
          <w:rFonts w:asciiTheme="minorHAnsi" w:hAnsiTheme="minorHAnsi" w:cstheme="minorHAnsi"/>
          <w:bCs/>
          <w:szCs w:val="20"/>
          <w:lang w:val="hr-HR"/>
        </w:rPr>
        <w:instrText xml:space="preserve"> SEQ Slika \* ARABIC </w:instrText>
      </w:r>
      <w:r w:rsidR="005D60DA" w:rsidRPr="007C4D65">
        <w:rPr>
          <w:rFonts w:asciiTheme="minorHAnsi" w:hAnsiTheme="minorHAnsi" w:cstheme="minorHAnsi"/>
          <w:b w:val="0"/>
          <w:bCs/>
          <w:i w:val="0"/>
          <w:iCs w:val="0"/>
          <w:szCs w:val="20"/>
          <w:lang w:val="hr-HR"/>
        </w:rPr>
        <w:fldChar w:fldCharType="separate"/>
      </w:r>
      <w:r w:rsidR="005D60DA" w:rsidRPr="007C4D65">
        <w:rPr>
          <w:rFonts w:asciiTheme="minorHAnsi" w:hAnsiTheme="minorHAnsi" w:cstheme="minorHAnsi"/>
          <w:bCs/>
          <w:noProof/>
          <w:szCs w:val="20"/>
          <w:lang w:val="hr-HR"/>
        </w:rPr>
        <w:t>13</w:t>
      </w:r>
      <w:r w:rsidR="005D60DA" w:rsidRPr="007C4D65">
        <w:rPr>
          <w:rFonts w:asciiTheme="minorHAnsi" w:hAnsiTheme="minorHAnsi" w:cstheme="minorHAnsi"/>
          <w:b w:val="0"/>
          <w:bCs/>
          <w:i w:val="0"/>
          <w:iCs w:val="0"/>
          <w:szCs w:val="20"/>
          <w:lang w:val="hr-HR"/>
        </w:rPr>
        <w:fldChar w:fldCharType="end"/>
      </w:r>
      <w:r w:rsidRPr="007C4D65">
        <w:rPr>
          <w:rFonts w:asciiTheme="minorHAnsi" w:hAnsiTheme="minorHAnsi"/>
          <w:szCs w:val="20"/>
        </w:rPr>
        <w:t xml:space="preserve">: </w:t>
      </w:r>
      <w:r w:rsidRPr="007C4D65">
        <w:rPr>
          <w:rFonts w:asciiTheme="minorHAnsi" w:hAnsiTheme="minorHAnsi"/>
          <w:b w:val="0"/>
          <w:bCs/>
          <w:szCs w:val="20"/>
        </w:rPr>
        <w:t xml:space="preserve">Micro locations </w:t>
      </w:r>
      <w:r w:rsidR="007436F1" w:rsidRPr="007C4D65">
        <w:rPr>
          <w:rFonts w:asciiTheme="minorHAnsi" w:hAnsiTheme="minorHAnsi"/>
          <w:b w:val="0"/>
          <w:bCs/>
          <w:szCs w:val="20"/>
        </w:rPr>
        <w:t xml:space="preserve">in </w:t>
      </w:r>
      <w:r w:rsidR="008C23C0" w:rsidRPr="007C4D65">
        <w:rPr>
          <w:rFonts w:asciiTheme="minorHAnsi" w:hAnsiTheme="minorHAnsi"/>
          <w:b w:val="0"/>
          <w:bCs/>
          <w:szCs w:val="20"/>
        </w:rPr>
        <w:t>F</w:t>
      </w:r>
      <w:r w:rsidR="007436F1" w:rsidRPr="007C4D65">
        <w:rPr>
          <w:rFonts w:asciiTheme="minorHAnsi" w:hAnsiTheme="minorHAnsi"/>
          <w:b w:val="0"/>
          <w:bCs/>
          <w:szCs w:val="20"/>
        </w:rPr>
        <w:t>BiH</w:t>
      </w:r>
      <w:r w:rsidRPr="007C4D65">
        <w:rPr>
          <w:rFonts w:asciiTheme="minorHAnsi" w:hAnsiTheme="minorHAnsi"/>
          <w:b w:val="0"/>
          <w:bCs/>
          <w:szCs w:val="20"/>
        </w:rPr>
        <w:t xml:space="preserve"> with registered higher values of organic and inorganic polluters in soil</w:t>
      </w:r>
      <w:bookmarkEnd w:id="181"/>
      <w:bookmarkEnd w:id="182"/>
    </w:p>
    <w:p w14:paraId="4B73B9CC" w14:textId="59A536CC" w:rsidR="00647018" w:rsidRPr="007C4D65" w:rsidRDefault="00647018" w:rsidP="00647018">
      <w:pPr>
        <w:spacing w:before="240"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In municipality </w:t>
      </w:r>
      <w:proofErr w:type="spellStart"/>
      <w:r w:rsidRPr="007C4D65">
        <w:rPr>
          <w:rFonts w:asciiTheme="minorHAnsi" w:hAnsiTheme="minorHAnsi"/>
          <w:sz w:val="22"/>
          <w:szCs w:val="22"/>
        </w:rPr>
        <w:t>Zenica</w:t>
      </w:r>
      <w:proofErr w:type="spellEnd"/>
      <w:r w:rsidRPr="007C4D65">
        <w:rPr>
          <w:rFonts w:asciiTheme="minorHAnsi" w:hAnsiTheme="minorHAnsi"/>
          <w:sz w:val="22"/>
          <w:szCs w:val="22"/>
        </w:rPr>
        <w:t xml:space="preserve">, the Federation Institute for </w:t>
      </w:r>
      <w:proofErr w:type="spellStart"/>
      <w:r w:rsidRPr="007C4D65">
        <w:rPr>
          <w:rFonts w:asciiTheme="minorHAnsi" w:hAnsiTheme="minorHAnsi"/>
          <w:sz w:val="22"/>
          <w:szCs w:val="22"/>
        </w:rPr>
        <w:t>Agropedology</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FIfAP</w:t>
      </w:r>
      <w:proofErr w:type="spellEnd"/>
      <w:r w:rsidRPr="007C4D65">
        <w:rPr>
          <w:rFonts w:asciiTheme="minorHAnsi" w:hAnsiTheme="minorHAnsi"/>
          <w:sz w:val="22"/>
          <w:szCs w:val="22"/>
        </w:rPr>
        <w:t xml:space="preserve">) has been conducting monitoring on 12 locations every three years. The results showed above-the-limit values of certain heavy metals at the following locations: Tetovo and </w:t>
      </w:r>
      <w:proofErr w:type="spellStart"/>
      <w:r w:rsidRPr="007C4D65">
        <w:rPr>
          <w:rFonts w:asciiTheme="minorHAnsi" w:hAnsiTheme="minorHAnsi"/>
          <w:sz w:val="22"/>
          <w:szCs w:val="22"/>
        </w:rPr>
        <w:t>Pehare</w:t>
      </w:r>
      <w:proofErr w:type="spellEnd"/>
      <w:r w:rsidRPr="007C4D65">
        <w:rPr>
          <w:rFonts w:asciiTheme="minorHAnsi" w:hAnsiTheme="minorHAnsi"/>
          <w:sz w:val="22"/>
          <w:szCs w:val="22"/>
        </w:rPr>
        <w:t xml:space="preserve"> (Pb, Cd, Ni, Mn, Zn); </w:t>
      </w:r>
      <w:proofErr w:type="spellStart"/>
      <w:r w:rsidRPr="007C4D65">
        <w:rPr>
          <w:rFonts w:asciiTheme="minorHAnsi" w:hAnsiTheme="minorHAnsi"/>
          <w:sz w:val="22"/>
          <w:szCs w:val="22"/>
        </w:rPr>
        <w:t>Stranjani</w:t>
      </w:r>
      <w:proofErr w:type="spellEnd"/>
      <w:r w:rsidRPr="007C4D65">
        <w:rPr>
          <w:rFonts w:asciiTheme="minorHAnsi" w:hAnsiTheme="minorHAnsi"/>
          <w:sz w:val="22"/>
          <w:szCs w:val="22"/>
        </w:rPr>
        <w:t xml:space="preserve"> (Cd, Ni, Mn); </w:t>
      </w:r>
      <w:proofErr w:type="spellStart"/>
      <w:r w:rsidRPr="007C4D65">
        <w:rPr>
          <w:rFonts w:asciiTheme="minorHAnsi" w:hAnsiTheme="minorHAnsi"/>
          <w:sz w:val="22"/>
          <w:szCs w:val="22"/>
        </w:rPr>
        <w:t>Janji</w:t>
      </w:r>
      <w:r w:rsidR="006B09B1" w:rsidRPr="007C4D65">
        <w:rPr>
          <w:rFonts w:asciiTheme="minorHAnsi" w:hAnsiTheme="minorHAnsi"/>
          <w:sz w:val="22"/>
          <w:szCs w:val="22"/>
        </w:rPr>
        <w:t>c</w:t>
      </w:r>
      <w:r w:rsidRPr="007C4D65">
        <w:rPr>
          <w:rFonts w:asciiTheme="minorHAnsi" w:hAnsiTheme="minorHAnsi"/>
          <w:sz w:val="22"/>
          <w:szCs w:val="22"/>
        </w:rPr>
        <w:t>a</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Vrh</w:t>
      </w:r>
      <w:proofErr w:type="spellEnd"/>
      <w:r w:rsidRPr="007C4D65">
        <w:rPr>
          <w:rFonts w:asciiTheme="minorHAnsi" w:hAnsiTheme="minorHAnsi"/>
          <w:sz w:val="22"/>
          <w:szCs w:val="22"/>
        </w:rPr>
        <w:t xml:space="preserve"> (Ni, Fe); </w:t>
      </w:r>
      <w:proofErr w:type="spellStart"/>
      <w:r w:rsidR="006B09B1" w:rsidRPr="007C4D65">
        <w:rPr>
          <w:rFonts w:asciiTheme="minorHAnsi" w:hAnsiTheme="minorHAnsi"/>
          <w:sz w:val="22"/>
          <w:szCs w:val="22"/>
        </w:rPr>
        <w:t>Serici</w:t>
      </w:r>
      <w:proofErr w:type="spellEnd"/>
      <w:r w:rsidRPr="007C4D65">
        <w:rPr>
          <w:rFonts w:asciiTheme="minorHAnsi" w:hAnsiTheme="minorHAnsi"/>
          <w:sz w:val="22"/>
          <w:szCs w:val="22"/>
        </w:rPr>
        <w:t xml:space="preserve"> (Mg); </w:t>
      </w:r>
      <w:proofErr w:type="spellStart"/>
      <w:r w:rsidRPr="007C4D65">
        <w:rPr>
          <w:rFonts w:asciiTheme="minorHAnsi" w:hAnsiTheme="minorHAnsi"/>
          <w:sz w:val="22"/>
          <w:szCs w:val="22"/>
        </w:rPr>
        <w:t>Orahovica</w:t>
      </w:r>
      <w:proofErr w:type="spellEnd"/>
      <w:r w:rsidRPr="007C4D65">
        <w:rPr>
          <w:rFonts w:asciiTheme="minorHAnsi" w:hAnsiTheme="minorHAnsi"/>
          <w:sz w:val="22"/>
          <w:szCs w:val="22"/>
        </w:rPr>
        <w:t xml:space="preserve"> (Cu, Ni, Co, Mn); </w:t>
      </w:r>
      <w:proofErr w:type="spellStart"/>
      <w:r w:rsidRPr="007C4D65">
        <w:rPr>
          <w:rFonts w:asciiTheme="minorHAnsi" w:hAnsiTheme="minorHAnsi"/>
          <w:sz w:val="22"/>
          <w:szCs w:val="22"/>
        </w:rPr>
        <w:t>Grad</w:t>
      </w:r>
      <w:r w:rsidR="006B09B1" w:rsidRPr="007C4D65">
        <w:rPr>
          <w:rFonts w:asciiTheme="minorHAnsi" w:hAnsiTheme="minorHAnsi"/>
          <w:sz w:val="22"/>
          <w:szCs w:val="22"/>
        </w:rPr>
        <w:t>isc</w:t>
      </w:r>
      <w:r w:rsidRPr="007C4D65">
        <w:rPr>
          <w:rFonts w:asciiTheme="minorHAnsi" w:hAnsiTheme="minorHAnsi"/>
          <w:sz w:val="22"/>
          <w:szCs w:val="22"/>
        </w:rPr>
        <w:t>e</w:t>
      </w:r>
      <w:proofErr w:type="spellEnd"/>
      <w:r w:rsidRPr="007C4D65">
        <w:rPr>
          <w:rFonts w:asciiTheme="minorHAnsi" w:hAnsiTheme="minorHAnsi"/>
          <w:sz w:val="22"/>
          <w:szCs w:val="22"/>
        </w:rPr>
        <w:t xml:space="preserve"> (Pb ,Cd, Zn, Ni); </w:t>
      </w:r>
      <w:proofErr w:type="spellStart"/>
      <w:r w:rsidRPr="007C4D65">
        <w:rPr>
          <w:rFonts w:asciiTheme="minorHAnsi" w:hAnsiTheme="minorHAnsi"/>
          <w:sz w:val="22"/>
          <w:szCs w:val="22"/>
        </w:rPr>
        <w:t>Arnauti</w:t>
      </w:r>
      <w:proofErr w:type="spellEnd"/>
      <w:r w:rsidRPr="007C4D65">
        <w:rPr>
          <w:rFonts w:asciiTheme="minorHAnsi" w:hAnsiTheme="minorHAnsi"/>
          <w:sz w:val="22"/>
          <w:szCs w:val="22"/>
        </w:rPr>
        <w:t xml:space="preserve"> (Ni, Cr); </w:t>
      </w:r>
      <w:proofErr w:type="spellStart"/>
      <w:r w:rsidRPr="007C4D65">
        <w:rPr>
          <w:rFonts w:asciiTheme="minorHAnsi" w:hAnsiTheme="minorHAnsi"/>
          <w:sz w:val="22"/>
          <w:szCs w:val="22"/>
        </w:rPr>
        <w:t>Brce</w:t>
      </w:r>
      <w:proofErr w:type="spellEnd"/>
      <w:r w:rsidRPr="007C4D65">
        <w:rPr>
          <w:rFonts w:asciiTheme="minorHAnsi" w:hAnsiTheme="minorHAnsi"/>
          <w:sz w:val="22"/>
          <w:szCs w:val="22"/>
        </w:rPr>
        <w:t xml:space="preserve"> (Ni, Mn); Gornji </w:t>
      </w:r>
      <w:proofErr w:type="spellStart"/>
      <w:r w:rsidR="006B09B1" w:rsidRPr="007C4D65">
        <w:rPr>
          <w:rFonts w:asciiTheme="minorHAnsi" w:hAnsiTheme="minorHAnsi"/>
          <w:sz w:val="22"/>
          <w:szCs w:val="22"/>
        </w:rPr>
        <w:t>Cajdras</w:t>
      </w:r>
      <w:proofErr w:type="spellEnd"/>
      <w:r w:rsidRPr="007C4D65">
        <w:rPr>
          <w:rFonts w:asciiTheme="minorHAnsi" w:hAnsiTheme="minorHAnsi"/>
          <w:sz w:val="22"/>
          <w:szCs w:val="22"/>
        </w:rPr>
        <w:t xml:space="preserve"> (Ni); Novo </w:t>
      </w:r>
      <w:proofErr w:type="spellStart"/>
      <w:r w:rsidRPr="007C4D65">
        <w:rPr>
          <w:rFonts w:asciiTheme="minorHAnsi" w:hAnsiTheme="minorHAnsi"/>
          <w:sz w:val="22"/>
          <w:szCs w:val="22"/>
        </w:rPr>
        <w:t>Selo</w:t>
      </w:r>
      <w:proofErr w:type="spellEnd"/>
      <w:r w:rsidRPr="007C4D65">
        <w:rPr>
          <w:rFonts w:asciiTheme="minorHAnsi" w:hAnsiTheme="minorHAnsi"/>
          <w:sz w:val="22"/>
          <w:szCs w:val="22"/>
        </w:rPr>
        <w:t xml:space="preserve"> (Ni, Cr, Mn).   </w:t>
      </w:r>
    </w:p>
    <w:p w14:paraId="31ABA884" w14:textId="1EA17075"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Special explorations at 26 locations were conducted in 2012 with the aim of determining the causes of soil contamination with </w:t>
      </w:r>
      <w:r w:rsidR="006B09B1" w:rsidRPr="007C4D65">
        <w:rPr>
          <w:rFonts w:asciiTheme="minorHAnsi" w:hAnsiTheme="minorHAnsi"/>
          <w:sz w:val="22"/>
          <w:szCs w:val="22"/>
        </w:rPr>
        <w:t>heavy</w:t>
      </w:r>
      <w:r w:rsidRPr="007C4D65">
        <w:rPr>
          <w:rFonts w:asciiTheme="minorHAnsi" w:hAnsiTheme="minorHAnsi"/>
          <w:sz w:val="22"/>
          <w:szCs w:val="22"/>
        </w:rPr>
        <w:t xml:space="preserve"> metals in main substrate: lead (Pb), cadmium (Cd), zinc (Zn), copper (Cu) nickel (Ni), chrome (Cr), cobalt (Co), manganese (Mn). In municipality </w:t>
      </w:r>
      <w:proofErr w:type="spellStart"/>
      <w:r w:rsidRPr="007C4D65">
        <w:rPr>
          <w:rFonts w:asciiTheme="minorHAnsi" w:hAnsiTheme="minorHAnsi"/>
          <w:sz w:val="22"/>
          <w:szCs w:val="22"/>
        </w:rPr>
        <w:t>Srebrenik</w:t>
      </w:r>
      <w:proofErr w:type="spellEnd"/>
      <w:r w:rsidRPr="007C4D65">
        <w:rPr>
          <w:rFonts w:asciiTheme="minorHAnsi" w:hAnsiTheme="minorHAnsi"/>
          <w:sz w:val="22"/>
          <w:szCs w:val="22"/>
        </w:rPr>
        <w:t xml:space="preserve">, settlement </w:t>
      </w:r>
      <w:proofErr w:type="spellStart"/>
      <w:r w:rsidRPr="007C4D65">
        <w:rPr>
          <w:rFonts w:asciiTheme="minorHAnsi" w:hAnsiTheme="minorHAnsi"/>
          <w:sz w:val="22"/>
          <w:szCs w:val="22"/>
        </w:rPr>
        <w:t>Tinja</w:t>
      </w:r>
      <w:proofErr w:type="spellEnd"/>
      <w:r w:rsidRPr="007C4D65">
        <w:rPr>
          <w:rFonts w:asciiTheme="minorHAnsi" w:hAnsiTheme="minorHAnsi"/>
          <w:sz w:val="22"/>
          <w:szCs w:val="22"/>
        </w:rPr>
        <w:t xml:space="preserve">, excessive values of Cd, Ni, Cr and Mn were found. Additional exploration showed that Cd and Ni came from the parent substrate, while Cr and Mn were of anthropogenic origin. In municipality </w:t>
      </w:r>
      <w:proofErr w:type="spellStart"/>
      <w:r w:rsidRPr="007C4D65">
        <w:rPr>
          <w:rFonts w:asciiTheme="minorHAnsi" w:hAnsiTheme="minorHAnsi"/>
          <w:sz w:val="22"/>
          <w:szCs w:val="22"/>
        </w:rPr>
        <w:t>Lukavac</w:t>
      </w:r>
      <w:proofErr w:type="spellEnd"/>
      <w:r w:rsidRPr="007C4D65">
        <w:rPr>
          <w:rFonts w:asciiTheme="minorHAnsi" w:hAnsiTheme="minorHAnsi"/>
          <w:sz w:val="22"/>
          <w:szCs w:val="22"/>
        </w:rPr>
        <w:t xml:space="preserve">, location of </w:t>
      </w:r>
      <w:proofErr w:type="spellStart"/>
      <w:r w:rsidRPr="007C4D65">
        <w:rPr>
          <w:rFonts w:asciiTheme="minorHAnsi" w:hAnsiTheme="minorHAnsi"/>
          <w:sz w:val="22"/>
          <w:szCs w:val="22"/>
        </w:rPr>
        <w:t>Donja</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Brijesnica</w:t>
      </w:r>
      <w:proofErr w:type="spellEnd"/>
      <w:r w:rsidRPr="007C4D65">
        <w:rPr>
          <w:rFonts w:asciiTheme="minorHAnsi" w:hAnsiTheme="minorHAnsi"/>
          <w:sz w:val="22"/>
          <w:szCs w:val="22"/>
        </w:rPr>
        <w:t xml:space="preserve">, registered were increased values of Cd, Ni, Cr, Co and Mn originating from the parent substrate. In municipality </w:t>
      </w:r>
      <w:proofErr w:type="spellStart"/>
      <w:r w:rsidRPr="007C4D65">
        <w:rPr>
          <w:rFonts w:asciiTheme="minorHAnsi" w:hAnsiTheme="minorHAnsi"/>
          <w:sz w:val="22"/>
          <w:szCs w:val="22"/>
        </w:rPr>
        <w:t>Banovi</w:t>
      </w:r>
      <w:r w:rsidR="006B09B1" w:rsidRPr="007C4D65">
        <w:rPr>
          <w:rFonts w:asciiTheme="minorHAnsi" w:hAnsiTheme="minorHAnsi"/>
          <w:sz w:val="22"/>
          <w:szCs w:val="22"/>
        </w:rPr>
        <w:t>c</w:t>
      </w:r>
      <w:r w:rsidRPr="007C4D65">
        <w:rPr>
          <w:rFonts w:asciiTheme="minorHAnsi" w:hAnsiTheme="minorHAnsi"/>
          <w:sz w:val="22"/>
          <w:szCs w:val="22"/>
        </w:rPr>
        <w:t>i</w:t>
      </w:r>
      <w:proofErr w:type="spellEnd"/>
      <w:r w:rsidRPr="007C4D65">
        <w:rPr>
          <w:rFonts w:asciiTheme="minorHAnsi" w:hAnsiTheme="minorHAnsi"/>
          <w:sz w:val="22"/>
          <w:szCs w:val="22"/>
        </w:rPr>
        <w:t xml:space="preserve">, settlement </w:t>
      </w:r>
      <w:proofErr w:type="spellStart"/>
      <w:r w:rsidRPr="007C4D65">
        <w:rPr>
          <w:rFonts w:asciiTheme="minorHAnsi" w:hAnsiTheme="minorHAnsi"/>
          <w:sz w:val="22"/>
          <w:szCs w:val="22"/>
        </w:rPr>
        <w:t>Tr</w:t>
      </w:r>
      <w:r w:rsidR="006B09B1" w:rsidRPr="007C4D65">
        <w:rPr>
          <w:rFonts w:asciiTheme="minorHAnsi" w:hAnsiTheme="minorHAnsi"/>
          <w:sz w:val="22"/>
          <w:szCs w:val="22"/>
        </w:rPr>
        <w:t>s</w:t>
      </w:r>
      <w:r w:rsidRPr="007C4D65">
        <w:rPr>
          <w:rFonts w:asciiTheme="minorHAnsi" w:hAnsiTheme="minorHAnsi"/>
          <w:sz w:val="22"/>
          <w:szCs w:val="22"/>
        </w:rPr>
        <w:t>tenica</w:t>
      </w:r>
      <w:proofErr w:type="spellEnd"/>
      <w:r w:rsidRPr="007C4D65">
        <w:rPr>
          <w:rFonts w:asciiTheme="minorHAnsi" w:hAnsiTheme="minorHAnsi"/>
          <w:sz w:val="22"/>
          <w:szCs w:val="22"/>
        </w:rPr>
        <w:t xml:space="preserve">, excessive values of Cd, Ni, Cr, Co and Mn were found. It was established that Cd, Ni and Cr came from the parent substrate, while Co and Mn were of anthropogenic origin. In municipality </w:t>
      </w:r>
      <w:proofErr w:type="spellStart"/>
      <w:r w:rsidRPr="007C4D65">
        <w:rPr>
          <w:rFonts w:asciiTheme="minorHAnsi" w:hAnsiTheme="minorHAnsi"/>
          <w:sz w:val="22"/>
          <w:szCs w:val="22"/>
        </w:rPr>
        <w:t>Zenica</w:t>
      </w:r>
      <w:proofErr w:type="spellEnd"/>
      <w:r w:rsidRPr="007C4D65">
        <w:rPr>
          <w:rFonts w:asciiTheme="minorHAnsi" w:hAnsiTheme="minorHAnsi"/>
          <w:sz w:val="22"/>
          <w:szCs w:val="22"/>
        </w:rPr>
        <w:t xml:space="preserve">, location of </w:t>
      </w:r>
      <w:proofErr w:type="spellStart"/>
      <w:r w:rsidRPr="007C4D65">
        <w:rPr>
          <w:rFonts w:asciiTheme="minorHAnsi" w:hAnsiTheme="minorHAnsi"/>
          <w:sz w:val="22"/>
          <w:szCs w:val="22"/>
        </w:rPr>
        <w:t>Top</w:t>
      </w:r>
      <w:r w:rsidR="006B09B1" w:rsidRPr="007C4D65">
        <w:rPr>
          <w:rFonts w:asciiTheme="minorHAnsi" w:hAnsiTheme="minorHAnsi"/>
          <w:sz w:val="22"/>
          <w:szCs w:val="22"/>
        </w:rPr>
        <w:t>cic</w:t>
      </w:r>
      <w:proofErr w:type="spellEnd"/>
      <w:r w:rsidRPr="007C4D65">
        <w:rPr>
          <w:rFonts w:asciiTheme="minorHAnsi" w:hAnsiTheme="minorHAnsi"/>
          <w:sz w:val="22"/>
          <w:szCs w:val="22"/>
        </w:rPr>
        <w:t xml:space="preserve"> </w:t>
      </w:r>
      <w:r w:rsidR="006C5EE4" w:rsidRPr="007C4D65">
        <w:rPr>
          <w:rFonts w:asciiTheme="minorHAnsi" w:hAnsiTheme="minorHAnsi"/>
          <w:sz w:val="22"/>
          <w:szCs w:val="22"/>
        </w:rPr>
        <w:t>P</w:t>
      </w:r>
      <w:r w:rsidRPr="007C4D65">
        <w:rPr>
          <w:rFonts w:asciiTheme="minorHAnsi" w:hAnsiTheme="minorHAnsi"/>
          <w:sz w:val="22"/>
          <w:szCs w:val="22"/>
        </w:rPr>
        <w:t>olje, excessive values of Cu, Pb, Cd, Zn, Ni and Mn were recorded. Additional exploration established that Pb, Cd, Zn and Mn originated from the parent substrate, while Cu was of anthropogenic origin.</w:t>
      </w:r>
    </w:p>
    <w:p w14:paraId="216CAEE4" w14:textId="3EAE6A5D"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In municipality </w:t>
      </w:r>
      <w:proofErr w:type="spellStart"/>
      <w:r w:rsidRPr="007C4D65">
        <w:rPr>
          <w:rFonts w:asciiTheme="minorHAnsi" w:hAnsiTheme="minorHAnsi"/>
          <w:sz w:val="22"/>
          <w:szCs w:val="22"/>
        </w:rPr>
        <w:t>Zavidovi</w:t>
      </w:r>
      <w:r w:rsidR="006B09B1" w:rsidRPr="007C4D65">
        <w:rPr>
          <w:rFonts w:asciiTheme="minorHAnsi" w:hAnsiTheme="minorHAnsi"/>
          <w:sz w:val="22"/>
          <w:szCs w:val="22"/>
        </w:rPr>
        <w:t>c</w:t>
      </w:r>
      <w:r w:rsidRPr="007C4D65">
        <w:rPr>
          <w:rFonts w:asciiTheme="minorHAnsi" w:hAnsiTheme="minorHAnsi"/>
          <w:sz w:val="22"/>
          <w:szCs w:val="22"/>
        </w:rPr>
        <w:t>i</w:t>
      </w:r>
      <w:proofErr w:type="spellEnd"/>
      <w:r w:rsidRPr="007C4D65">
        <w:rPr>
          <w:rFonts w:asciiTheme="minorHAnsi" w:hAnsiTheme="minorHAnsi"/>
          <w:sz w:val="22"/>
          <w:szCs w:val="22"/>
        </w:rPr>
        <w:t xml:space="preserve">, location of </w:t>
      </w:r>
      <w:proofErr w:type="spellStart"/>
      <w:r w:rsidRPr="007C4D65">
        <w:rPr>
          <w:rFonts w:asciiTheme="minorHAnsi" w:hAnsiTheme="minorHAnsi"/>
          <w:sz w:val="22"/>
          <w:szCs w:val="22"/>
        </w:rPr>
        <w:t>Kamenica</w:t>
      </w:r>
      <w:proofErr w:type="spellEnd"/>
      <w:r w:rsidRPr="007C4D65">
        <w:rPr>
          <w:rFonts w:asciiTheme="minorHAnsi" w:hAnsiTheme="minorHAnsi"/>
          <w:sz w:val="22"/>
          <w:szCs w:val="22"/>
        </w:rPr>
        <w:t xml:space="preserve">, registered were increased values of Ni, Cr, Co and Mn originating from the parent substrate. In municipality </w:t>
      </w:r>
      <w:proofErr w:type="spellStart"/>
      <w:r w:rsidRPr="007C4D65">
        <w:rPr>
          <w:rFonts w:asciiTheme="minorHAnsi" w:hAnsiTheme="minorHAnsi"/>
          <w:sz w:val="22"/>
          <w:szCs w:val="22"/>
        </w:rPr>
        <w:t>Travnik</w:t>
      </w:r>
      <w:proofErr w:type="spellEnd"/>
      <w:r w:rsidRPr="007C4D65">
        <w:rPr>
          <w:rFonts w:asciiTheme="minorHAnsi" w:hAnsiTheme="minorHAnsi"/>
          <w:sz w:val="22"/>
          <w:szCs w:val="22"/>
        </w:rPr>
        <w:t xml:space="preserve">, settlements </w:t>
      </w:r>
      <w:proofErr w:type="spellStart"/>
      <w:r w:rsidR="006B09B1" w:rsidRPr="007C4D65">
        <w:rPr>
          <w:rFonts w:asciiTheme="minorHAnsi" w:hAnsiTheme="minorHAnsi"/>
          <w:sz w:val="22"/>
          <w:szCs w:val="22"/>
        </w:rPr>
        <w:t>Dj</w:t>
      </w:r>
      <w:r w:rsidRPr="007C4D65">
        <w:rPr>
          <w:rFonts w:asciiTheme="minorHAnsi" w:hAnsiTheme="minorHAnsi"/>
          <w:sz w:val="22"/>
          <w:szCs w:val="22"/>
        </w:rPr>
        <w:t>elilovac</w:t>
      </w:r>
      <w:proofErr w:type="spellEnd"/>
      <w:r w:rsidRPr="007C4D65">
        <w:rPr>
          <w:rFonts w:asciiTheme="minorHAnsi" w:hAnsiTheme="minorHAnsi"/>
          <w:sz w:val="22"/>
          <w:szCs w:val="22"/>
        </w:rPr>
        <w:t xml:space="preserve"> and </w:t>
      </w:r>
      <w:proofErr w:type="spellStart"/>
      <w:r w:rsidRPr="007C4D65">
        <w:rPr>
          <w:rFonts w:asciiTheme="minorHAnsi" w:hAnsiTheme="minorHAnsi"/>
          <w:sz w:val="22"/>
          <w:szCs w:val="22"/>
        </w:rPr>
        <w:t>Malin</w:t>
      </w:r>
      <w:proofErr w:type="spellEnd"/>
      <w:r w:rsidRPr="007C4D65">
        <w:rPr>
          <w:rFonts w:asciiTheme="minorHAnsi" w:hAnsiTheme="minorHAnsi"/>
          <w:sz w:val="22"/>
          <w:szCs w:val="22"/>
        </w:rPr>
        <w:t xml:space="preserve">, excessive values of Cu, Pb, Cd, Ni, and Mn were found. It was established that Pb and Cd came from </w:t>
      </w:r>
      <w:r w:rsidRPr="007C4D65">
        <w:rPr>
          <w:rFonts w:asciiTheme="minorHAnsi" w:hAnsiTheme="minorHAnsi"/>
          <w:sz w:val="22"/>
          <w:szCs w:val="22"/>
        </w:rPr>
        <w:lastRenderedPageBreak/>
        <w:t xml:space="preserve">the parent substrate, while Cu, Ni and Mn were of anthropogenic origin. In municipality </w:t>
      </w:r>
      <w:proofErr w:type="spellStart"/>
      <w:r w:rsidRPr="007C4D65">
        <w:rPr>
          <w:rFonts w:asciiTheme="minorHAnsi" w:hAnsiTheme="minorHAnsi"/>
          <w:sz w:val="22"/>
          <w:szCs w:val="22"/>
        </w:rPr>
        <w:t>Olovo</w:t>
      </w:r>
      <w:proofErr w:type="spellEnd"/>
      <w:r w:rsidRPr="007C4D65">
        <w:rPr>
          <w:rFonts w:asciiTheme="minorHAnsi" w:hAnsiTheme="minorHAnsi"/>
          <w:sz w:val="22"/>
          <w:szCs w:val="22"/>
        </w:rPr>
        <w:t xml:space="preserve">, location of </w:t>
      </w:r>
      <w:proofErr w:type="spellStart"/>
      <w:r w:rsidRPr="007C4D65">
        <w:rPr>
          <w:rFonts w:asciiTheme="minorHAnsi" w:hAnsiTheme="minorHAnsi"/>
          <w:sz w:val="22"/>
          <w:szCs w:val="22"/>
        </w:rPr>
        <w:t>Careva</w:t>
      </w:r>
      <w:proofErr w:type="spellEnd"/>
      <w:r w:rsidRPr="007C4D65">
        <w:rPr>
          <w:rFonts w:asciiTheme="minorHAnsi" w:hAnsiTheme="minorHAnsi"/>
          <w:sz w:val="22"/>
          <w:szCs w:val="22"/>
        </w:rPr>
        <w:t xml:space="preserve"> </w:t>
      </w:r>
      <w:proofErr w:type="spellStart"/>
      <w:r w:rsidR="006B09B1" w:rsidRPr="007C4D65">
        <w:rPr>
          <w:rFonts w:asciiTheme="minorHAnsi" w:hAnsiTheme="minorHAnsi"/>
          <w:sz w:val="22"/>
          <w:szCs w:val="22"/>
        </w:rPr>
        <w:t>C</w:t>
      </w:r>
      <w:r w:rsidRPr="007C4D65">
        <w:rPr>
          <w:rFonts w:asciiTheme="minorHAnsi" w:hAnsiTheme="minorHAnsi"/>
          <w:sz w:val="22"/>
          <w:szCs w:val="22"/>
        </w:rPr>
        <w:t>uprija</w:t>
      </w:r>
      <w:proofErr w:type="spellEnd"/>
      <w:r w:rsidRPr="007C4D65">
        <w:rPr>
          <w:rFonts w:asciiTheme="minorHAnsi" w:hAnsiTheme="minorHAnsi"/>
          <w:sz w:val="22"/>
          <w:szCs w:val="22"/>
        </w:rPr>
        <w:t xml:space="preserve"> I and II, registered were increased values of Cd, Ni, Cr, Co and Mn originating from the parent substrate. In </w:t>
      </w:r>
      <w:proofErr w:type="spellStart"/>
      <w:r w:rsidRPr="007C4D65">
        <w:rPr>
          <w:rFonts w:asciiTheme="minorHAnsi" w:hAnsiTheme="minorHAnsi"/>
          <w:sz w:val="22"/>
          <w:szCs w:val="22"/>
        </w:rPr>
        <w:t>Donji</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Dolovi</w:t>
      </w:r>
      <w:proofErr w:type="spellEnd"/>
      <w:r w:rsidRPr="007C4D65">
        <w:rPr>
          <w:rFonts w:asciiTheme="minorHAnsi" w:hAnsiTheme="minorHAnsi"/>
          <w:sz w:val="22"/>
          <w:szCs w:val="22"/>
        </w:rPr>
        <w:t xml:space="preserve">, excessive values of heavy metals Pb, Cd and Mn of anthropogenic origin were found. In municipality </w:t>
      </w:r>
      <w:proofErr w:type="spellStart"/>
      <w:r w:rsidRPr="007C4D65">
        <w:rPr>
          <w:rFonts w:asciiTheme="minorHAnsi" w:hAnsiTheme="minorHAnsi"/>
          <w:sz w:val="22"/>
          <w:szCs w:val="22"/>
        </w:rPr>
        <w:t>Vare</w:t>
      </w:r>
      <w:r w:rsidR="006B09B1" w:rsidRPr="007C4D65">
        <w:rPr>
          <w:rFonts w:asciiTheme="minorHAnsi" w:hAnsiTheme="minorHAnsi"/>
          <w:sz w:val="22"/>
          <w:szCs w:val="22"/>
        </w:rPr>
        <w:t>s</w:t>
      </w:r>
      <w:proofErr w:type="spellEnd"/>
      <w:r w:rsidRPr="007C4D65">
        <w:rPr>
          <w:rFonts w:asciiTheme="minorHAnsi" w:hAnsiTheme="minorHAnsi"/>
          <w:sz w:val="22"/>
          <w:szCs w:val="22"/>
        </w:rPr>
        <w:t xml:space="preserve">, settlement </w:t>
      </w:r>
      <w:proofErr w:type="spellStart"/>
      <w:r w:rsidRPr="007C4D65">
        <w:rPr>
          <w:rFonts w:asciiTheme="minorHAnsi" w:hAnsiTheme="minorHAnsi"/>
          <w:sz w:val="22"/>
          <w:szCs w:val="22"/>
        </w:rPr>
        <w:t>Dragovi</w:t>
      </w:r>
      <w:r w:rsidR="006B09B1" w:rsidRPr="007C4D65">
        <w:rPr>
          <w:rFonts w:asciiTheme="minorHAnsi" w:hAnsiTheme="minorHAnsi"/>
          <w:sz w:val="22"/>
          <w:szCs w:val="22"/>
        </w:rPr>
        <w:t>c</w:t>
      </w:r>
      <w:r w:rsidRPr="007C4D65">
        <w:rPr>
          <w:rFonts w:asciiTheme="minorHAnsi" w:hAnsiTheme="minorHAnsi"/>
          <w:sz w:val="22"/>
          <w:szCs w:val="22"/>
        </w:rPr>
        <w:t>i</w:t>
      </w:r>
      <w:proofErr w:type="spellEnd"/>
      <w:r w:rsidRPr="007C4D65">
        <w:rPr>
          <w:rFonts w:asciiTheme="minorHAnsi" w:hAnsiTheme="minorHAnsi"/>
          <w:sz w:val="22"/>
          <w:szCs w:val="22"/>
        </w:rPr>
        <w:t xml:space="preserve">, excessive values of Pb, Cd, Zn and Mn were found. It was established that Pb, Cd, and Zn came from the parent substrate, while Mn was of anthropogenic origin. In municipality </w:t>
      </w:r>
      <w:proofErr w:type="spellStart"/>
      <w:r w:rsidRPr="007C4D65">
        <w:rPr>
          <w:rFonts w:asciiTheme="minorHAnsi" w:hAnsiTheme="minorHAnsi"/>
          <w:sz w:val="22"/>
          <w:szCs w:val="22"/>
        </w:rPr>
        <w:t>Donji</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Vakuf</w:t>
      </w:r>
      <w:proofErr w:type="spellEnd"/>
      <w:r w:rsidRPr="007C4D65">
        <w:rPr>
          <w:rFonts w:asciiTheme="minorHAnsi" w:hAnsiTheme="minorHAnsi"/>
          <w:sz w:val="22"/>
          <w:szCs w:val="22"/>
        </w:rPr>
        <w:t xml:space="preserve">, location </w:t>
      </w:r>
      <w:proofErr w:type="spellStart"/>
      <w:r w:rsidRPr="007C4D65">
        <w:rPr>
          <w:rFonts w:asciiTheme="minorHAnsi" w:hAnsiTheme="minorHAnsi"/>
          <w:sz w:val="22"/>
          <w:szCs w:val="22"/>
        </w:rPr>
        <w:t>Prusac</w:t>
      </w:r>
      <w:proofErr w:type="spellEnd"/>
      <w:r w:rsidRPr="007C4D65">
        <w:rPr>
          <w:rFonts w:asciiTheme="minorHAnsi" w:hAnsiTheme="minorHAnsi"/>
          <w:sz w:val="22"/>
          <w:szCs w:val="22"/>
        </w:rPr>
        <w:t xml:space="preserve"> I, excessive values of Cu, Pb, Cd, Zn and Ni were found. Additional exploration showed that, and Pb, Zn and Ni came from the parent substrate, while Cu was of anthropogenic origin. In municipality Bugojno, location of </w:t>
      </w:r>
      <w:proofErr w:type="spellStart"/>
      <w:r w:rsidRPr="007C4D65">
        <w:rPr>
          <w:rFonts w:asciiTheme="minorHAnsi" w:hAnsiTheme="minorHAnsi"/>
          <w:sz w:val="22"/>
          <w:szCs w:val="22"/>
        </w:rPr>
        <w:t>Poto</w:t>
      </w:r>
      <w:r w:rsidR="006B09B1" w:rsidRPr="007C4D65">
        <w:rPr>
          <w:rFonts w:asciiTheme="minorHAnsi" w:hAnsiTheme="minorHAnsi"/>
          <w:sz w:val="22"/>
          <w:szCs w:val="22"/>
        </w:rPr>
        <w:t>c</w:t>
      </w:r>
      <w:r w:rsidRPr="007C4D65">
        <w:rPr>
          <w:rFonts w:asciiTheme="minorHAnsi" w:hAnsiTheme="minorHAnsi"/>
          <w:sz w:val="22"/>
          <w:szCs w:val="22"/>
        </w:rPr>
        <w:t>ani</w:t>
      </w:r>
      <w:proofErr w:type="spellEnd"/>
      <w:r w:rsidRPr="007C4D65">
        <w:rPr>
          <w:rFonts w:asciiTheme="minorHAnsi" w:hAnsiTheme="minorHAnsi"/>
          <w:sz w:val="22"/>
          <w:szCs w:val="22"/>
        </w:rPr>
        <w:t xml:space="preserve">, excessive values of Cu, Cd and Ni were found, with Cd and Ni originating from the parent substrate, while Cu being of anthropogenic origin. In municipality Gornji </w:t>
      </w:r>
      <w:proofErr w:type="spellStart"/>
      <w:r w:rsidRPr="007C4D65">
        <w:rPr>
          <w:rFonts w:asciiTheme="minorHAnsi" w:hAnsiTheme="minorHAnsi"/>
          <w:sz w:val="22"/>
          <w:szCs w:val="22"/>
        </w:rPr>
        <w:t>Vakuf-Uskoplje</w:t>
      </w:r>
      <w:proofErr w:type="spellEnd"/>
      <w:r w:rsidRPr="007C4D65">
        <w:rPr>
          <w:rFonts w:asciiTheme="minorHAnsi" w:hAnsiTheme="minorHAnsi"/>
          <w:sz w:val="22"/>
          <w:szCs w:val="22"/>
        </w:rPr>
        <w:t xml:space="preserve">, locations of Bistrica, </w:t>
      </w:r>
      <w:proofErr w:type="spellStart"/>
      <w:r w:rsidRPr="007C4D65">
        <w:rPr>
          <w:rFonts w:asciiTheme="minorHAnsi" w:hAnsiTheme="minorHAnsi"/>
          <w:sz w:val="22"/>
          <w:szCs w:val="22"/>
        </w:rPr>
        <w:t>Uzri</w:t>
      </w:r>
      <w:r w:rsidR="006B09B1" w:rsidRPr="007C4D65">
        <w:rPr>
          <w:rFonts w:asciiTheme="minorHAnsi" w:hAnsiTheme="minorHAnsi"/>
          <w:sz w:val="22"/>
          <w:szCs w:val="22"/>
        </w:rPr>
        <w:t>c</w:t>
      </w:r>
      <w:r w:rsidRPr="007C4D65">
        <w:rPr>
          <w:rFonts w:asciiTheme="minorHAnsi" w:hAnsiTheme="minorHAnsi"/>
          <w:sz w:val="22"/>
          <w:szCs w:val="22"/>
        </w:rPr>
        <w:t>je</w:t>
      </w:r>
      <w:proofErr w:type="spellEnd"/>
      <w:r w:rsidRPr="007C4D65">
        <w:rPr>
          <w:rFonts w:asciiTheme="minorHAnsi" w:hAnsiTheme="minorHAnsi"/>
          <w:sz w:val="22"/>
          <w:szCs w:val="22"/>
        </w:rPr>
        <w:t xml:space="preserve"> and </w:t>
      </w:r>
      <w:proofErr w:type="spellStart"/>
      <w:r w:rsidRPr="007C4D65">
        <w:rPr>
          <w:rFonts w:asciiTheme="minorHAnsi" w:hAnsiTheme="minorHAnsi"/>
          <w:sz w:val="22"/>
          <w:szCs w:val="22"/>
        </w:rPr>
        <w:t>Prnjavor</w:t>
      </w:r>
      <w:proofErr w:type="spellEnd"/>
      <w:r w:rsidRPr="007C4D65">
        <w:rPr>
          <w:rFonts w:asciiTheme="minorHAnsi" w:hAnsiTheme="minorHAnsi"/>
          <w:sz w:val="22"/>
          <w:szCs w:val="22"/>
        </w:rPr>
        <w:t xml:space="preserve">, registered were increased values of Cu, Cd, Zn and Ni originating from the parent substrate. Except at the location of </w:t>
      </w:r>
      <w:proofErr w:type="spellStart"/>
      <w:r w:rsidRPr="007C4D65">
        <w:rPr>
          <w:rFonts w:asciiTheme="minorHAnsi" w:hAnsiTheme="minorHAnsi"/>
          <w:sz w:val="22"/>
          <w:szCs w:val="22"/>
        </w:rPr>
        <w:t>Uzri</w:t>
      </w:r>
      <w:r w:rsidR="006B09B1" w:rsidRPr="007C4D65">
        <w:rPr>
          <w:rFonts w:asciiTheme="minorHAnsi" w:hAnsiTheme="minorHAnsi"/>
          <w:sz w:val="22"/>
          <w:szCs w:val="22"/>
        </w:rPr>
        <w:t>c</w:t>
      </w:r>
      <w:r w:rsidRPr="007C4D65">
        <w:rPr>
          <w:rFonts w:asciiTheme="minorHAnsi" w:hAnsiTheme="minorHAnsi"/>
          <w:sz w:val="22"/>
          <w:szCs w:val="22"/>
        </w:rPr>
        <w:t>je</w:t>
      </w:r>
      <w:proofErr w:type="spellEnd"/>
      <w:r w:rsidRPr="007C4D65">
        <w:rPr>
          <w:rFonts w:asciiTheme="minorHAnsi" w:hAnsiTheme="minorHAnsi"/>
          <w:sz w:val="22"/>
          <w:szCs w:val="22"/>
        </w:rPr>
        <w:t xml:space="preserve">, Ni and Mn were of anthropogenic origin. In municipality </w:t>
      </w:r>
      <w:proofErr w:type="spellStart"/>
      <w:r w:rsidRPr="007C4D65">
        <w:rPr>
          <w:rFonts w:asciiTheme="minorHAnsi" w:hAnsiTheme="minorHAnsi"/>
          <w:sz w:val="22"/>
          <w:szCs w:val="22"/>
        </w:rPr>
        <w:t>Had</w:t>
      </w:r>
      <w:r w:rsidR="006B09B1" w:rsidRPr="007C4D65">
        <w:rPr>
          <w:rFonts w:asciiTheme="minorHAnsi" w:hAnsiTheme="minorHAnsi"/>
          <w:sz w:val="22"/>
          <w:szCs w:val="22"/>
        </w:rPr>
        <w:t>z</w:t>
      </w:r>
      <w:r w:rsidRPr="007C4D65">
        <w:rPr>
          <w:rFonts w:asciiTheme="minorHAnsi" w:hAnsiTheme="minorHAnsi"/>
          <w:sz w:val="22"/>
          <w:szCs w:val="22"/>
        </w:rPr>
        <w:t>i</w:t>
      </w:r>
      <w:r w:rsidR="006C5EE4" w:rsidRPr="007C4D65">
        <w:rPr>
          <w:rFonts w:asciiTheme="minorHAnsi" w:hAnsiTheme="minorHAnsi"/>
          <w:sz w:val="22"/>
          <w:szCs w:val="22"/>
        </w:rPr>
        <w:t>c</w:t>
      </w:r>
      <w:r w:rsidRPr="007C4D65">
        <w:rPr>
          <w:rFonts w:asciiTheme="minorHAnsi" w:hAnsiTheme="minorHAnsi"/>
          <w:sz w:val="22"/>
          <w:szCs w:val="22"/>
        </w:rPr>
        <w:t>i</w:t>
      </w:r>
      <w:proofErr w:type="spellEnd"/>
      <w:r w:rsidRPr="007C4D65">
        <w:rPr>
          <w:rFonts w:asciiTheme="minorHAnsi" w:hAnsiTheme="minorHAnsi"/>
          <w:sz w:val="22"/>
          <w:szCs w:val="22"/>
        </w:rPr>
        <w:t xml:space="preserve">, location of Dub, registered were increased values of Pb, Cd, Ni and Mn originating from the parent substrate. In municipality </w:t>
      </w:r>
      <w:proofErr w:type="spellStart"/>
      <w:r w:rsidRPr="007C4D65">
        <w:rPr>
          <w:rFonts w:asciiTheme="minorHAnsi" w:hAnsiTheme="minorHAnsi"/>
          <w:sz w:val="22"/>
          <w:szCs w:val="22"/>
        </w:rPr>
        <w:t>Trnovo</w:t>
      </w:r>
      <w:proofErr w:type="spellEnd"/>
      <w:r w:rsidRPr="007C4D65">
        <w:rPr>
          <w:rFonts w:asciiTheme="minorHAnsi" w:hAnsiTheme="minorHAnsi"/>
          <w:sz w:val="22"/>
          <w:szCs w:val="22"/>
        </w:rPr>
        <w:t xml:space="preserve">, settlement </w:t>
      </w:r>
      <w:proofErr w:type="spellStart"/>
      <w:r w:rsidRPr="007C4D65">
        <w:rPr>
          <w:rFonts w:asciiTheme="minorHAnsi" w:hAnsiTheme="minorHAnsi"/>
          <w:sz w:val="22"/>
          <w:szCs w:val="22"/>
        </w:rPr>
        <w:t>Presjenica</w:t>
      </w:r>
      <w:proofErr w:type="spellEnd"/>
      <w:r w:rsidRPr="007C4D65">
        <w:rPr>
          <w:rFonts w:asciiTheme="minorHAnsi" w:hAnsiTheme="minorHAnsi"/>
          <w:sz w:val="22"/>
          <w:szCs w:val="22"/>
        </w:rPr>
        <w:t xml:space="preserve">, excessive values of Pb, Cd, Zn, Ni and Mn were found. It was established that Pb, Cd and Ni came from the parent substrate, while Cr and Mn were of anthropogenic origin. In city of Mostar, locations of </w:t>
      </w:r>
      <w:proofErr w:type="spellStart"/>
      <w:r w:rsidRPr="007C4D65">
        <w:rPr>
          <w:rFonts w:asciiTheme="minorHAnsi" w:hAnsiTheme="minorHAnsi"/>
          <w:sz w:val="22"/>
          <w:szCs w:val="22"/>
        </w:rPr>
        <w:t>Bogodol</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Goranci</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Kokarine</w:t>
      </w:r>
      <w:proofErr w:type="spellEnd"/>
      <w:r w:rsidRPr="007C4D65">
        <w:rPr>
          <w:rFonts w:asciiTheme="minorHAnsi" w:hAnsiTheme="minorHAnsi"/>
          <w:sz w:val="22"/>
          <w:szCs w:val="22"/>
        </w:rPr>
        <w:t xml:space="preserve"> and </w:t>
      </w:r>
      <w:proofErr w:type="spellStart"/>
      <w:r w:rsidRPr="007C4D65">
        <w:rPr>
          <w:rFonts w:asciiTheme="minorHAnsi" w:hAnsiTheme="minorHAnsi"/>
          <w:sz w:val="22"/>
          <w:szCs w:val="22"/>
        </w:rPr>
        <w:t>Seli</w:t>
      </w:r>
      <w:r w:rsidR="006B09B1" w:rsidRPr="007C4D65">
        <w:rPr>
          <w:rFonts w:asciiTheme="minorHAnsi" w:hAnsiTheme="minorHAnsi"/>
          <w:sz w:val="22"/>
          <w:szCs w:val="22"/>
        </w:rPr>
        <w:t>s</w:t>
      </w:r>
      <w:r w:rsidRPr="007C4D65">
        <w:rPr>
          <w:rFonts w:asciiTheme="minorHAnsi" w:hAnsiTheme="minorHAnsi"/>
          <w:sz w:val="22"/>
          <w:szCs w:val="22"/>
        </w:rPr>
        <w:t>ta</w:t>
      </w:r>
      <w:proofErr w:type="spellEnd"/>
      <w:r w:rsidRPr="007C4D65">
        <w:rPr>
          <w:rFonts w:asciiTheme="minorHAnsi" w:hAnsiTheme="minorHAnsi"/>
          <w:sz w:val="22"/>
          <w:szCs w:val="22"/>
        </w:rPr>
        <w:t xml:space="preserve"> excessive values of Pb, Cd, Ni, and Mn were found. It was established that Pb and Cd came from the parent substrate while Ni and Mn were of anthropogenic origin. In municipality </w:t>
      </w:r>
      <w:proofErr w:type="spellStart"/>
      <w:r w:rsidR="006B09B1" w:rsidRPr="007C4D65">
        <w:rPr>
          <w:rFonts w:asciiTheme="minorHAnsi" w:hAnsiTheme="minorHAnsi"/>
          <w:sz w:val="22"/>
          <w:szCs w:val="22"/>
        </w:rPr>
        <w:t>C</w:t>
      </w:r>
      <w:r w:rsidRPr="007C4D65">
        <w:rPr>
          <w:rFonts w:asciiTheme="minorHAnsi" w:hAnsiTheme="minorHAnsi"/>
          <w:sz w:val="22"/>
          <w:szCs w:val="22"/>
        </w:rPr>
        <w:t>itluk</w:t>
      </w:r>
      <w:proofErr w:type="spellEnd"/>
      <w:r w:rsidRPr="007C4D65">
        <w:rPr>
          <w:rFonts w:asciiTheme="minorHAnsi" w:hAnsiTheme="minorHAnsi"/>
          <w:sz w:val="22"/>
          <w:szCs w:val="22"/>
        </w:rPr>
        <w:t xml:space="preserve">, location of </w:t>
      </w:r>
      <w:proofErr w:type="spellStart"/>
      <w:r w:rsidR="006B09B1" w:rsidRPr="007C4D65">
        <w:rPr>
          <w:rFonts w:asciiTheme="minorHAnsi" w:hAnsiTheme="minorHAnsi"/>
          <w:sz w:val="22"/>
          <w:szCs w:val="22"/>
        </w:rPr>
        <w:t>C</w:t>
      </w:r>
      <w:r w:rsidRPr="007C4D65">
        <w:rPr>
          <w:rFonts w:asciiTheme="minorHAnsi" w:hAnsiTheme="minorHAnsi"/>
          <w:sz w:val="22"/>
          <w:szCs w:val="22"/>
        </w:rPr>
        <w:t>ali</w:t>
      </w:r>
      <w:r w:rsidR="006B09B1" w:rsidRPr="007C4D65">
        <w:rPr>
          <w:rFonts w:asciiTheme="minorHAnsi" w:hAnsiTheme="minorHAnsi"/>
          <w:sz w:val="22"/>
          <w:szCs w:val="22"/>
        </w:rPr>
        <w:t>c</w:t>
      </w:r>
      <w:r w:rsidRPr="007C4D65">
        <w:rPr>
          <w:rFonts w:asciiTheme="minorHAnsi" w:hAnsiTheme="minorHAnsi"/>
          <w:sz w:val="22"/>
          <w:szCs w:val="22"/>
        </w:rPr>
        <w:t>i</w:t>
      </w:r>
      <w:proofErr w:type="spellEnd"/>
      <w:r w:rsidRPr="007C4D65">
        <w:rPr>
          <w:rFonts w:asciiTheme="minorHAnsi" w:hAnsiTheme="minorHAnsi"/>
          <w:sz w:val="22"/>
          <w:szCs w:val="22"/>
        </w:rPr>
        <w:t xml:space="preserve">, excessive values of </w:t>
      </w:r>
      <w:proofErr w:type="gramStart"/>
      <w:r w:rsidRPr="007C4D65">
        <w:rPr>
          <w:rFonts w:asciiTheme="minorHAnsi" w:hAnsiTheme="minorHAnsi"/>
          <w:sz w:val="22"/>
          <w:szCs w:val="22"/>
        </w:rPr>
        <w:t>Cu,  Cd</w:t>
      </w:r>
      <w:proofErr w:type="gramEnd"/>
      <w:r w:rsidRPr="007C4D65">
        <w:rPr>
          <w:rFonts w:asciiTheme="minorHAnsi" w:hAnsiTheme="minorHAnsi"/>
          <w:sz w:val="22"/>
          <w:szCs w:val="22"/>
        </w:rPr>
        <w:t xml:space="preserve">, Zn, Ni and Mn were found. Additional exploration established that Cd, Ni and Mn originated from the parent substrate, while Cu was of anthropogenic origin. In municipality </w:t>
      </w:r>
      <w:proofErr w:type="spellStart"/>
      <w:r w:rsidRPr="007C4D65">
        <w:rPr>
          <w:rFonts w:asciiTheme="minorHAnsi" w:hAnsiTheme="minorHAnsi"/>
          <w:sz w:val="22"/>
          <w:szCs w:val="22"/>
        </w:rPr>
        <w:t>Neum</w:t>
      </w:r>
      <w:proofErr w:type="spellEnd"/>
      <w:r w:rsidRPr="007C4D65">
        <w:rPr>
          <w:rFonts w:asciiTheme="minorHAnsi" w:hAnsiTheme="minorHAnsi"/>
          <w:sz w:val="22"/>
          <w:szCs w:val="22"/>
        </w:rPr>
        <w:t xml:space="preserve">, settlement </w:t>
      </w:r>
      <w:proofErr w:type="spellStart"/>
      <w:r w:rsidRPr="007C4D65">
        <w:rPr>
          <w:rFonts w:asciiTheme="minorHAnsi" w:hAnsiTheme="minorHAnsi"/>
          <w:sz w:val="22"/>
          <w:szCs w:val="22"/>
        </w:rPr>
        <w:t>Donje</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Hrasno</w:t>
      </w:r>
      <w:proofErr w:type="spellEnd"/>
      <w:r w:rsidRPr="007C4D65">
        <w:rPr>
          <w:rFonts w:asciiTheme="minorHAnsi" w:hAnsiTheme="minorHAnsi"/>
          <w:sz w:val="22"/>
          <w:szCs w:val="22"/>
        </w:rPr>
        <w:t xml:space="preserve"> and </w:t>
      </w:r>
      <w:proofErr w:type="spellStart"/>
      <w:r w:rsidRPr="007C4D65">
        <w:rPr>
          <w:rFonts w:asciiTheme="minorHAnsi" w:hAnsiTheme="minorHAnsi"/>
          <w:sz w:val="22"/>
          <w:szCs w:val="22"/>
        </w:rPr>
        <w:t>Neum</w:t>
      </w:r>
      <w:proofErr w:type="spellEnd"/>
      <w:r w:rsidRPr="007C4D65">
        <w:rPr>
          <w:rFonts w:asciiTheme="minorHAnsi" w:hAnsiTheme="minorHAnsi"/>
          <w:sz w:val="22"/>
          <w:szCs w:val="22"/>
        </w:rPr>
        <w:t>, excessive values of Cd, Ni, Cr and Mn were found. It was established that Cd and Ni came from the parent substrate, while Cr and Mn were of anthropogenic origin.</w:t>
      </w:r>
    </w:p>
    <w:p w14:paraId="617E199F" w14:textId="14E998DC"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Areas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affected by 2014 floods. The </w:t>
      </w:r>
      <w:proofErr w:type="spellStart"/>
      <w:r w:rsidRPr="007C4D65">
        <w:rPr>
          <w:rFonts w:asciiTheme="minorHAnsi" w:hAnsiTheme="minorHAnsi"/>
          <w:sz w:val="22"/>
          <w:szCs w:val="22"/>
        </w:rPr>
        <w:t>FIoAP</w:t>
      </w:r>
      <w:proofErr w:type="spellEnd"/>
      <w:r w:rsidRPr="007C4D65">
        <w:rPr>
          <w:rFonts w:asciiTheme="minorHAnsi" w:hAnsiTheme="minorHAnsi"/>
          <w:sz w:val="22"/>
          <w:szCs w:val="22"/>
        </w:rPr>
        <w:t xml:space="preserve"> has conducted explorations at all flooded areas along rivers. Significantly increased values of organic and inorganic pollutants were recorded along the rivers of </w:t>
      </w:r>
      <w:proofErr w:type="spellStart"/>
      <w:r w:rsidRPr="007C4D65">
        <w:rPr>
          <w:rFonts w:asciiTheme="minorHAnsi" w:hAnsiTheme="minorHAnsi"/>
          <w:sz w:val="22"/>
          <w:szCs w:val="22"/>
        </w:rPr>
        <w:t>Vrbas</w:t>
      </w:r>
      <w:proofErr w:type="spellEnd"/>
      <w:r w:rsidRPr="007C4D65">
        <w:rPr>
          <w:rFonts w:asciiTheme="minorHAnsi" w:hAnsiTheme="minorHAnsi"/>
          <w:sz w:val="22"/>
          <w:szCs w:val="22"/>
        </w:rPr>
        <w:t xml:space="preserve">, Bosna, </w:t>
      </w:r>
      <w:proofErr w:type="spellStart"/>
      <w:r w:rsidRPr="007C4D65">
        <w:rPr>
          <w:rFonts w:asciiTheme="minorHAnsi" w:hAnsiTheme="minorHAnsi"/>
          <w:sz w:val="22"/>
          <w:szCs w:val="22"/>
        </w:rPr>
        <w:t>Miljacka</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Spre</w:t>
      </w:r>
      <w:r w:rsidR="006B09B1" w:rsidRPr="007C4D65">
        <w:rPr>
          <w:rFonts w:asciiTheme="minorHAnsi" w:hAnsiTheme="minorHAnsi"/>
          <w:sz w:val="22"/>
          <w:szCs w:val="22"/>
        </w:rPr>
        <w:t>c</w:t>
      </w:r>
      <w:r w:rsidRPr="007C4D65">
        <w:rPr>
          <w:rFonts w:asciiTheme="minorHAnsi" w:hAnsiTheme="minorHAnsi"/>
          <w:sz w:val="22"/>
          <w:szCs w:val="22"/>
        </w:rPr>
        <w:t>a</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Usora</w:t>
      </w:r>
      <w:proofErr w:type="spellEnd"/>
      <w:r w:rsidRPr="007C4D65">
        <w:rPr>
          <w:rFonts w:asciiTheme="minorHAnsi" w:hAnsiTheme="minorHAnsi"/>
          <w:sz w:val="22"/>
          <w:szCs w:val="22"/>
        </w:rPr>
        <w:t xml:space="preserve">, and additional research has not yet been don. The </w:t>
      </w:r>
      <w:proofErr w:type="spellStart"/>
      <w:r w:rsidRPr="007C4D65">
        <w:rPr>
          <w:rFonts w:asciiTheme="minorHAnsi" w:hAnsiTheme="minorHAnsi"/>
          <w:sz w:val="22"/>
          <w:szCs w:val="22"/>
        </w:rPr>
        <w:t>FIaAP</w:t>
      </w:r>
      <w:proofErr w:type="spellEnd"/>
      <w:r w:rsidRPr="007C4D65">
        <w:rPr>
          <w:rFonts w:asciiTheme="minorHAnsi" w:hAnsiTheme="minorHAnsi"/>
          <w:sz w:val="22"/>
          <w:szCs w:val="22"/>
        </w:rPr>
        <w:t xml:space="preserve"> has been conducting monitoring in the lower course of the </w:t>
      </w:r>
      <w:proofErr w:type="spellStart"/>
      <w:r w:rsidRPr="007C4D65">
        <w:rPr>
          <w:rFonts w:asciiTheme="minorHAnsi" w:hAnsiTheme="minorHAnsi"/>
          <w:sz w:val="22"/>
          <w:szCs w:val="22"/>
        </w:rPr>
        <w:t>Spre</w:t>
      </w:r>
      <w:r w:rsidR="006B09B1" w:rsidRPr="007C4D65">
        <w:rPr>
          <w:rFonts w:asciiTheme="minorHAnsi" w:hAnsiTheme="minorHAnsi"/>
          <w:sz w:val="22"/>
          <w:szCs w:val="22"/>
        </w:rPr>
        <w:t>c</w:t>
      </w:r>
      <w:r w:rsidRPr="007C4D65">
        <w:rPr>
          <w:rFonts w:asciiTheme="minorHAnsi" w:hAnsiTheme="minorHAnsi"/>
          <w:sz w:val="22"/>
          <w:szCs w:val="22"/>
        </w:rPr>
        <w:t>a</w:t>
      </w:r>
      <w:proofErr w:type="spellEnd"/>
      <w:r w:rsidRPr="007C4D65">
        <w:rPr>
          <w:rFonts w:asciiTheme="minorHAnsi" w:hAnsiTheme="minorHAnsi"/>
          <w:sz w:val="22"/>
          <w:szCs w:val="22"/>
        </w:rPr>
        <w:t xml:space="preserve"> river (</w:t>
      </w:r>
      <w:proofErr w:type="spellStart"/>
      <w:r w:rsidRPr="007C4D65">
        <w:rPr>
          <w:rFonts w:asciiTheme="minorHAnsi" w:hAnsiTheme="minorHAnsi"/>
          <w:sz w:val="22"/>
          <w:szCs w:val="22"/>
        </w:rPr>
        <w:t>Lukavac</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Gra</w:t>
      </w:r>
      <w:r w:rsidR="00A46B27" w:rsidRPr="007C4D65">
        <w:rPr>
          <w:rFonts w:asciiTheme="minorHAnsi" w:hAnsiTheme="minorHAnsi"/>
          <w:sz w:val="22"/>
          <w:szCs w:val="22"/>
        </w:rPr>
        <w:t>c</w:t>
      </w:r>
      <w:r w:rsidRPr="007C4D65">
        <w:rPr>
          <w:rFonts w:asciiTheme="minorHAnsi" w:hAnsiTheme="minorHAnsi"/>
          <w:sz w:val="22"/>
          <w:szCs w:val="22"/>
        </w:rPr>
        <w:t>anica</w:t>
      </w:r>
      <w:proofErr w:type="spellEnd"/>
      <w:r w:rsidRPr="007C4D65">
        <w:rPr>
          <w:rFonts w:asciiTheme="minorHAnsi" w:hAnsiTheme="minorHAnsi"/>
          <w:sz w:val="22"/>
          <w:szCs w:val="22"/>
        </w:rPr>
        <w:t xml:space="preserve"> and Doboj East) since 2014 at eight (8) locations.  Soil samples from agricultural soil are taken twice every year. Organic and inorganic pollutants (PAH, Cd, Cr, Hg and Ni) were registered in </w:t>
      </w:r>
      <w:proofErr w:type="spellStart"/>
      <w:r w:rsidRPr="007C4D65">
        <w:rPr>
          <w:rFonts w:asciiTheme="minorHAnsi" w:hAnsiTheme="minorHAnsi"/>
          <w:sz w:val="22"/>
          <w:szCs w:val="22"/>
        </w:rPr>
        <w:t>Dobo</w:t>
      </w:r>
      <w:r w:rsidR="006B09B1" w:rsidRPr="007C4D65">
        <w:rPr>
          <w:rFonts w:asciiTheme="minorHAnsi" w:hAnsiTheme="minorHAnsi"/>
          <w:sz w:val="22"/>
          <w:szCs w:val="22"/>
        </w:rPr>
        <w:t>s</w:t>
      </w:r>
      <w:r w:rsidRPr="007C4D65">
        <w:rPr>
          <w:rFonts w:asciiTheme="minorHAnsi" w:hAnsiTheme="minorHAnsi"/>
          <w:sz w:val="22"/>
          <w:szCs w:val="22"/>
        </w:rPr>
        <w:t>nica</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Miri</w:t>
      </w:r>
      <w:r w:rsidR="006B09B1" w:rsidRPr="007C4D65">
        <w:rPr>
          <w:rFonts w:asciiTheme="minorHAnsi" w:hAnsiTheme="minorHAnsi"/>
          <w:sz w:val="22"/>
          <w:szCs w:val="22"/>
        </w:rPr>
        <w:t>c</w:t>
      </w:r>
      <w:r w:rsidRPr="007C4D65">
        <w:rPr>
          <w:rFonts w:asciiTheme="minorHAnsi" w:hAnsiTheme="minorHAnsi"/>
          <w:sz w:val="22"/>
          <w:szCs w:val="22"/>
        </w:rPr>
        <w:t>ina</w:t>
      </w:r>
      <w:proofErr w:type="spellEnd"/>
      <w:r w:rsidRPr="007C4D65">
        <w:rPr>
          <w:rFonts w:asciiTheme="minorHAnsi" w:hAnsiTheme="minorHAnsi"/>
          <w:sz w:val="22"/>
          <w:szCs w:val="22"/>
        </w:rPr>
        <w:t xml:space="preserve"> and </w:t>
      </w:r>
      <w:proofErr w:type="spellStart"/>
      <w:r w:rsidRPr="007C4D65">
        <w:rPr>
          <w:rFonts w:asciiTheme="minorHAnsi" w:hAnsiTheme="minorHAnsi"/>
          <w:sz w:val="22"/>
          <w:szCs w:val="22"/>
        </w:rPr>
        <w:t>Orahovica</w:t>
      </w:r>
      <w:proofErr w:type="spellEnd"/>
      <w:r w:rsidRPr="007C4D65">
        <w:rPr>
          <w:rFonts w:asciiTheme="minorHAnsi" w:hAnsiTheme="minorHAnsi"/>
          <w:sz w:val="22"/>
          <w:szCs w:val="22"/>
        </w:rPr>
        <w:t>.</w:t>
      </w:r>
    </w:p>
    <w:p w14:paraId="3DA9DCD3" w14:textId="6099FDC5"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In the area of Mt. </w:t>
      </w:r>
      <w:proofErr w:type="spellStart"/>
      <w:r w:rsidRPr="007C4D65">
        <w:rPr>
          <w:rFonts w:asciiTheme="minorHAnsi" w:hAnsiTheme="minorHAnsi"/>
          <w:sz w:val="22"/>
          <w:szCs w:val="22"/>
        </w:rPr>
        <w:t>Trebevi</w:t>
      </w:r>
      <w:r w:rsidR="006C5EE4" w:rsidRPr="007C4D65">
        <w:rPr>
          <w:rFonts w:asciiTheme="minorHAnsi" w:hAnsiTheme="minorHAnsi"/>
          <w:sz w:val="22"/>
          <w:szCs w:val="22"/>
        </w:rPr>
        <w:t>c</w:t>
      </w:r>
      <w:proofErr w:type="spellEnd"/>
      <w:r w:rsidRPr="007C4D65">
        <w:rPr>
          <w:rFonts w:asciiTheme="minorHAnsi" w:hAnsiTheme="minorHAnsi"/>
          <w:sz w:val="22"/>
          <w:szCs w:val="22"/>
        </w:rPr>
        <w:t xml:space="preserve">, which is under protection, in municipality </w:t>
      </w:r>
      <w:proofErr w:type="spellStart"/>
      <w:r w:rsidRPr="007C4D65">
        <w:rPr>
          <w:rFonts w:asciiTheme="minorHAnsi" w:hAnsiTheme="minorHAnsi"/>
          <w:sz w:val="22"/>
          <w:szCs w:val="22"/>
        </w:rPr>
        <w:t>Stari</w:t>
      </w:r>
      <w:proofErr w:type="spellEnd"/>
      <w:r w:rsidRPr="007C4D65">
        <w:rPr>
          <w:rFonts w:asciiTheme="minorHAnsi" w:hAnsiTheme="minorHAnsi"/>
          <w:sz w:val="22"/>
          <w:szCs w:val="22"/>
        </w:rPr>
        <w:t xml:space="preserve"> Grad, Sarajevo, </w:t>
      </w:r>
      <w:proofErr w:type="spellStart"/>
      <w:r w:rsidRPr="007C4D65">
        <w:rPr>
          <w:rFonts w:asciiTheme="minorHAnsi" w:hAnsiTheme="minorHAnsi"/>
          <w:sz w:val="22"/>
          <w:szCs w:val="22"/>
        </w:rPr>
        <w:t>FIfAP</w:t>
      </w:r>
      <w:proofErr w:type="spellEnd"/>
      <w:r w:rsidRPr="007C4D65">
        <w:rPr>
          <w:rFonts w:asciiTheme="minorHAnsi" w:hAnsiTheme="minorHAnsi"/>
          <w:sz w:val="22"/>
          <w:szCs w:val="22"/>
        </w:rPr>
        <w:t xml:space="preserve"> has been doing monitoring every year, and registered increased values of arsenic (As).</w:t>
      </w:r>
    </w:p>
    <w:p w14:paraId="3889725B" w14:textId="0EA96435"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szCs w:val="22"/>
        </w:rPr>
        <w:t xml:space="preserve">A study conducted in 2005 under the EU FP6 research project called </w:t>
      </w:r>
      <w:r w:rsidRPr="007C4D65">
        <w:rPr>
          <w:rFonts w:asciiTheme="minorHAnsi" w:hAnsiTheme="minorHAnsi" w:cstheme="minorHAnsi"/>
          <w:i/>
          <w:iCs/>
          <w:sz w:val="22"/>
          <w:szCs w:val="22"/>
        </w:rPr>
        <w:t>Assessment of the selected POPs</w:t>
      </w:r>
      <w:r w:rsidRPr="007C4D65">
        <w:rPr>
          <w:rFonts w:asciiTheme="minorHAnsi" w:hAnsiTheme="minorHAnsi" w:cstheme="minorHAnsi"/>
          <w:i/>
          <w:iCs/>
          <w:color w:val="104A7D"/>
          <w:sz w:val="22"/>
          <w:szCs w:val="22"/>
        </w:rPr>
        <w:t xml:space="preserve"> </w:t>
      </w:r>
      <w:r w:rsidRPr="007C4D65">
        <w:rPr>
          <w:rFonts w:asciiTheme="minorHAnsi" w:hAnsiTheme="minorHAnsi" w:cstheme="minorHAnsi"/>
          <w:i/>
          <w:iCs/>
          <w:sz w:val="22"/>
          <w:szCs w:val="22"/>
        </w:rPr>
        <w:t>in the atmosphere and water ecosystems from the waste materials generated by warfare in area of former Yugoslavia</w:t>
      </w:r>
      <w:r w:rsidRPr="007C4D65">
        <w:rPr>
          <w:rFonts w:asciiTheme="minorHAnsi" w:hAnsiTheme="minorHAnsi" w:cstheme="minorHAnsi"/>
          <w:sz w:val="22"/>
          <w:szCs w:val="22"/>
        </w:rPr>
        <w:t xml:space="preserve"> (</w:t>
      </w:r>
      <w:r w:rsidRPr="007C4D65">
        <w:rPr>
          <w:rFonts w:asciiTheme="minorHAnsi" w:hAnsiTheme="minorHAnsi" w:cstheme="minorHAnsi"/>
          <w:i/>
          <w:sz w:val="22"/>
          <w:szCs w:val="22"/>
        </w:rPr>
        <w:t>APOPSBAL Project</w:t>
      </w:r>
      <w:r w:rsidRPr="007C4D65">
        <w:rPr>
          <w:rFonts w:asciiTheme="minorHAnsi" w:hAnsiTheme="minorHAnsi" w:cstheme="minorHAnsi"/>
          <w:sz w:val="22"/>
          <w:szCs w:val="22"/>
        </w:rPr>
        <w:t xml:space="preserve">), included analyses of land and river sediments in former Yugoslav countries. The reason for this study was the suspected pollution with PCB due to large number of transformation and relay stations damaged in war. The tests also showed high concentrations of PCBs in the soil and in the river sediments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with the area of Tuzla being especially affected.</w:t>
      </w:r>
    </w:p>
    <w:p w14:paraId="0BF4CF86" w14:textId="1375FF7A"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szCs w:val="22"/>
        </w:rPr>
        <w:t>Authors: Markovi</w:t>
      </w:r>
      <w:r w:rsidR="006B09B1" w:rsidRPr="007C4D65">
        <w:rPr>
          <w:rFonts w:asciiTheme="minorHAnsi" w:hAnsiTheme="minorHAnsi" w:cstheme="minorHAnsi"/>
          <w:sz w:val="22"/>
          <w:szCs w:val="22"/>
        </w:rPr>
        <w:t>c</w:t>
      </w:r>
      <w:r w:rsidRPr="007C4D65">
        <w:rPr>
          <w:rFonts w:asciiTheme="minorHAnsi" w:hAnsiTheme="minorHAnsi" w:cstheme="minorHAnsi"/>
          <w:sz w:val="22"/>
          <w:szCs w:val="22"/>
        </w:rPr>
        <w:t xml:space="preserve"> M</w:t>
      </w:r>
      <w:r w:rsidR="006B09B1" w:rsidRPr="007C4D65">
        <w:rPr>
          <w:rFonts w:asciiTheme="minorHAnsi" w:hAnsiTheme="minorHAnsi" w:cstheme="minorHAnsi"/>
          <w:sz w:val="22"/>
          <w:szCs w:val="22"/>
        </w:rPr>
        <w:t>M</w:t>
      </w:r>
      <w:r w:rsidRPr="007C4D65">
        <w:rPr>
          <w:rFonts w:asciiTheme="minorHAnsi" w:hAnsiTheme="minorHAnsi" w:cstheme="minorHAnsi"/>
          <w:sz w:val="22"/>
          <w:szCs w:val="22"/>
        </w:rPr>
        <w:t xml:space="preserve"> and </w:t>
      </w:r>
      <w:proofErr w:type="spellStart"/>
      <w:r w:rsidRPr="007C4D65">
        <w:rPr>
          <w:rFonts w:asciiTheme="minorHAnsi" w:hAnsiTheme="minorHAnsi" w:cstheme="minorHAnsi"/>
          <w:sz w:val="22"/>
          <w:szCs w:val="22"/>
        </w:rPr>
        <w:t>Luka</w:t>
      </w:r>
      <w:r w:rsidR="006B09B1" w:rsidRPr="007C4D65">
        <w:rPr>
          <w:rFonts w:asciiTheme="minorHAnsi" w:hAnsiTheme="minorHAnsi" w:cstheme="minorHAnsi"/>
          <w:sz w:val="22"/>
          <w:szCs w:val="22"/>
        </w:rPr>
        <w:t>c</w:t>
      </w:r>
      <w:proofErr w:type="spellEnd"/>
      <w:r w:rsidRPr="007C4D65">
        <w:rPr>
          <w:rFonts w:asciiTheme="minorHAnsi" w:hAnsiTheme="minorHAnsi" w:cstheme="minorHAnsi"/>
          <w:sz w:val="22"/>
          <w:szCs w:val="22"/>
        </w:rPr>
        <w:t xml:space="preserve"> Z. (2009) in their paper titled “</w:t>
      </w:r>
      <w:r w:rsidRPr="007C4D65">
        <w:rPr>
          <w:rFonts w:asciiTheme="minorHAnsi" w:hAnsiTheme="minorHAnsi" w:cstheme="minorHAnsi"/>
          <w:i/>
          <w:iCs/>
          <w:sz w:val="22"/>
          <w:szCs w:val="22"/>
        </w:rPr>
        <w:t>Causes of soil damages in Bosnia and Herzegovina and soil protection measures</w:t>
      </w:r>
      <w:r w:rsidRPr="007C4D65">
        <w:rPr>
          <w:rFonts w:asciiTheme="minorHAnsi" w:hAnsiTheme="minorHAnsi" w:cstheme="minorHAnsi"/>
          <w:sz w:val="22"/>
          <w:szCs w:val="22"/>
        </w:rPr>
        <w:t xml:space="preserve">” state that land destruction may be a consequence of several factors, including surface exploitation of ores, landfills, construction of settlements and infrastructure, industrial zones, accumulation of water or erosion or landslides. It is estimated that </w:t>
      </w:r>
      <w:r w:rsidRPr="007C4D65">
        <w:rPr>
          <w:rFonts w:asciiTheme="minorHAnsi" w:hAnsiTheme="minorHAnsi" w:cstheme="minorHAnsi"/>
          <w:sz w:val="22"/>
          <w:szCs w:val="22"/>
        </w:rPr>
        <w:lastRenderedPageBreak/>
        <w:t>every year, due to surface exploitation, around 900 ha are destroyed, while additional 600 ha are destroyed by construction of settlements. Destruction resulting from other</w:t>
      </w:r>
      <w:r w:rsidRPr="007C4D65">
        <w:rPr>
          <w:rFonts w:asciiTheme="minorHAnsi" w:hAnsiTheme="minorHAnsi"/>
          <w:sz w:val="22"/>
          <w:szCs w:val="22"/>
        </w:rPr>
        <w:t xml:space="preserve"> activities is estimated at 300 ha/annum. Around 20,000 ha are covered by various waste materials, creating technogenic deserts. Despite all efforts to complete demining, the problem of land mines at agricultural and forest land is still present. There is a lot of forest cutting that contributes to erosion processes.</w:t>
      </w:r>
    </w:p>
    <w:p w14:paraId="49C9FF93" w14:textId="3E47BB1C"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All over </w:t>
      </w:r>
      <w:r w:rsidR="0058588C" w:rsidRPr="007C4D65">
        <w:rPr>
          <w:rFonts w:asciiTheme="minorHAnsi" w:hAnsiTheme="minorHAnsi"/>
          <w:sz w:val="22"/>
          <w:szCs w:val="22"/>
        </w:rPr>
        <w:t>Federation of BiH</w:t>
      </w:r>
      <w:r w:rsidRPr="007C4D65">
        <w:rPr>
          <w:rFonts w:asciiTheme="minorHAnsi" w:hAnsiTheme="minorHAnsi"/>
          <w:sz w:val="22"/>
          <w:szCs w:val="22"/>
        </w:rPr>
        <w:t>, agricultural land has been permanently lost to non-agricultural purposes. Annually, around 3,000 ha of mainly the most productive arable land, is permanently lost.</w:t>
      </w:r>
    </w:p>
    <w:p w14:paraId="655E9792" w14:textId="77777777" w:rsidR="00647018" w:rsidRPr="007C4D65" w:rsidRDefault="00647018" w:rsidP="00647018">
      <w:pPr>
        <w:spacing w:before="240" w:after="240" w:line="276" w:lineRule="auto"/>
        <w:rPr>
          <w:rFonts w:asciiTheme="minorHAnsi" w:hAnsiTheme="minorHAnsi" w:cstheme="minorHAnsi"/>
          <w:i/>
          <w:sz w:val="22"/>
          <w:szCs w:val="22"/>
          <w:u w:val="single"/>
        </w:rPr>
      </w:pPr>
      <w:r w:rsidRPr="007C4D65">
        <w:rPr>
          <w:rFonts w:asciiTheme="minorHAnsi" w:hAnsiTheme="minorHAnsi"/>
          <w:i/>
          <w:sz w:val="22"/>
          <w:szCs w:val="22"/>
          <w:u w:val="single"/>
        </w:rPr>
        <w:t>Fish stock</w:t>
      </w:r>
      <w:bookmarkEnd w:id="179"/>
      <w:bookmarkEnd w:id="180"/>
    </w:p>
    <w:p w14:paraId="78E9AED3" w14:textId="30D6A3F8" w:rsidR="00647018" w:rsidRPr="007C4D65" w:rsidRDefault="00647018" w:rsidP="00647018">
      <w:pPr>
        <w:spacing w:after="160" w:line="276" w:lineRule="auto"/>
        <w:jc w:val="both"/>
        <w:rPr>
          <w:rFonts w:asciiTheme="minorHAnsi" w:eastAsiaTheme="minorHAnsi" w:hAnsiTheme="minorHAnsi" w:cstheme="minorHAnsi"/>
          <w:sz w:val="22"/>
          <w:szCs w:val="22"/>
        </w:rPr>
      </w:pPr>
      <w:bookmarkStart w:id="183" w:name="_Toc60753448"/>
      <w:bookmarkStart w:id="184" w:name="_Toc64893319"/>
      <w:bookmarkStart w:id="185" w:name="_Toc66204407"/>
      <w:r w:rsidRPr="007C4D65">
        <w:rPr>
          <w:rFonts w:asciiTheme="minorHAnsi" w:hAnsiTheme="minorHAnsi"/>
          <w:sz w:val="22"/>
          <w:szCs w:val="22"/>
        </w:rPr>
        <w:t>Main pressures on diversity of marine and freshwater resources, which are mostly used for exploitation of fish, according to the Biodiversity Strategy (2015‒ 2022) include:</w:t>
      </w:r>
    </w:p>
    <w:p w14:paraId="37E4DF58" w14:textId="77777777" w:rsidR="00647018" w:rsidRPr="007C4D65" w:rsidRDefault="00647018">
      <w:pPr>
        <w:pStyle w:val="ListParagraph"/>
        <w:numPr>
          <w:ilvl w:val="0"/>
          <w:numId w:val="193"/>
        </w:num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Extensive and uncontrolled </w:t>
      </w:r>
      <w:proofErr w:type="gramStart"/>
      <w:r w:rsidRPr="007C4D65">
        <w:rPr>
          <w:rFonts w:asciiTheme="minorHAnsi" w:hAnsiTheme="minorHAnsi"/>
          <w:sz w:val="22"/>
          <w:szCs w:val="22"/>
        </w:rPr>
        <w:t>fishing;</w:t>
      </w:r>
      <w:proofErr w:type="gramEnd"/>
    </w:p>
    <w:p w14:paraId="62591533" w14:textId="77777777" w:rsidR="00647018" w:rsidRPr="007C4D65" w:rsidRDefault="00647018">
      <w:pPr>
        <w:pStyle w:val="ListParagraph"/>
        <w:numPr>
          <w:ilvl w:val="0"/>
          <w:numId w:val="193"/>
        </w:num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Illegal fishing (poaching</w:t>
      </w:r>
      <w:proofErr w:type="gramStart"/>
      <w:r w:rsidRPr="007C4D65">
        <w:rPr>
          <w:rFonts w:asciiTheme="minorHAnsi" w:hAnsiTheme="minorHAnsi"/>
          <w:sz w:val="22"/>
          <w:szCs w:val="22"/>
        </w:rPr>
        <w:t>);</w:t>
      </w:r>
      <w:proofErr w:type="gramEnd"/>
    </w:p>
    <w:p w14:paraId="0E8F2464" w14:textId="77777777" w:rsidR="00647018" w:rsidRPr="007C4D65" w:rsidRDefault="00647018">
      <w:pPr>
        <w:pStyle w:val="ListParagraph"/>
        <w:numPr>
          <w:ilvl w:val="0"/>
          <w:numId w:val="193"/>
        </w:num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Use of illicit tools (means) for </w:t>
      </w:r>
      <w:proofErr w:type="gramStart"/>
      <w:r w:rsidRPr="007C4D65">
        <w:rPr>
          <w:rFonts w:asciiTheme="minorHAnsi" w:hAnsiTheme="minorHAnsi"/>
          <w:sz w:val="22"/>
          <w:szCs w:val="22"/>
        </w:rPr>
        <w:t>fishing;</w:t>
      </w:r>
      <w:proofErr w:type="gramEnd"/>
    </w:p>
    <w:p w14:paraId="2473C228" w14:textId="77777777" w:rsidR="00647018" w:rsidRPr="007C4D65" w:rsidRDefault="00647018">
      <w:pPr>
        <w:pStyle w:val="ListParagraph"/>
        <w:numPr>
          <w:ilvl w:val="0"/>
          <w:numId w:val="193"/>
        </w:num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Inadequate </w:t>
      </w:r>
      <w:proofErr w:type="gramStart"/>
      <w:r w:rsidRPr="007C4D65">
        <w:rPr>
          <w:rFonts w:asciiTheme="minorHAnsi" w:hAnsiTheme="minorHAnsi"/>
          <w:sz w:val="22"/>
          <w:szCs w:val="22"/>
        </w:rPr>
        <w:t>restocking;</w:t>
      </w:r>
      <w:proofErr w:type="gramEnd"/>
    </w:p>
    <w:p w14:paraId="07EC4A5B" w14:textId="73D74E24" w:rsidR="00647018" w:rsidRPr="007C4D65" w:rsidRDefault="00647018">
      <w:pPr>
        <w:pStyle w:val="ListParagraph"/>
        <w:numPr>
          <w:ilvl w:val="0"/>
          <w:numId w:val="193"/>
        </w:num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Lack of or outdated fishing plans (strategic documents - program</w:t>
      </w:r>
      <w:r w:rsidR="00227D11" w:rsidRPr="007C4D65">
        <w:rPr>
          <w:rFonts w:asciiTheme="minorHAnsi" w:hAnsiTheme="minorHAnsi"/>
          <w:sz w:val="22"/>
          <w:szCs w:val="22"/>
        </w:rPr>
        <w:t>me</w:t>
      </w:r>
      <w:r w:rsidRPr="007C4D65">
        <w:rPr>
          <w:rFonts w:asciiTheme="minorHAnsi" w:hAnsiTheme="minorHAnsi"/>
          <w:sz w:val="22"/>
          <w:szCs w:val="22"/>
        </w:rPr>
        <w:t>s for improvement of fish stocks</w:t>
      </w:r>
      <w:proofErr w:type="gramStart"/>
      <w:r w:rsidRPr="007C4D65">
        <w:rPr>
          <w:rFonts w:asciiTheme="minorHAnsi" w:hAnsiTheme="minorHAnsi"/>
          <w:sz w:val="22"/>
          <w:szCs w:val="22"/>
        </w:rPr>
        <w:t>);</w:t>
      </w:r>
      <w:proofErr w:type="gramEnd"/>
    </w:p>
    <w:p w14:paraId="0EED4606" w14:textId="77777777" w:rsidR="00647018" w:rsidRPr="007C4D65" w:rsidRDefault="00647018">
      <w:pPr>
        <w:pStyle w:val="ListParagraph"/>
        <w:numPr>
          <w:ilvl w:val="0"/>
          <w:numId w:val="193"/>
        </w:num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Absence of regular monitoring of fish </w:t>
      </w:r>
      <w:proofErr w:type="gramStart"/>
      <w:r w:rsidRPr="007C4D65">
        <w:rPr>
          <w:rFonts w:asciiTheme="minorHAnsi" w:hAnsiTheme="minorHAnsi"/>
          <w:sz w:val="22"/>
          <w:szCs w:val="22"/>
        </w:rPr>
        <w:t>resources;</w:t>
      </w:r>
      <w:proofErr w:type="gramEnd"/>
    </w:p>
    <w:p w14:paraId="3FA41A2A" w14:textId="355D20DC" w:rsidR="00647018" w:rsidRPr="007C4D65" w:rsidRDefault="00647018">
      <w:pPr>
        <w:pStyle w:val="ListParagraph"/>
        <w:numPr>
          <w:ilvl w:val="0"/>
          <w:numId w:val="193"/>
        </w:num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Non-implementation of the applicable legal provisions </w:t>
      </w:r>
      <w:proofErr w:type="gramStart"/>
      <w:r w:rsidRPr="007C4D65">
        <w:rPr>
          <w:rFonts w:asciiTheme="minorHAnsi" w:hAnsiTheme="minorHAnsi"/>
          <w:sz w:val="22"/>
          <w:szCs w:val="22"/>
        </w:rPr>
        <w:t>in the area of</w:t>
      </w:r>
      <w:proofErr w:type="gramEnd"/>
      <w:r w:rsidRPr="007C4D65">
        <w:rPr>
          <w:rFonts w:asciiTheme="minorHAnsi" w:hAnsiTheme="minorHAnsi"/>
          <w:sz w:val="22"/>
          <w:szCs w:val="22"/>
        </w:rPr>
        <w:t xml:space="preserve"> freshwater fishing.</w:t>
      </w:r>
    </w:p>
    <w:p w14:paraId="158C89C3" w14:textId="50C26180"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The Strategy identifies as the most endangered species in freshwater ecosystem the sturgeon and salmonid fish species. Predominant factors that have adverse impact on the first group of fish include:</w:t>
      </w:r>
    </w:p>
    <w:p w14:paraId="4B8DC2C6" w14:textId="77777777" w:rsidR="00647018" w:rsidRPr="007C4D65" w:rsidRDefault="00647018" w:rsidP="00647018">
      <w:pPr>
        <w:numPr>
          <w:ilvl w:val="0"/>
          <w:numId w:val="3"/>
        </w:numPr>
        <w:spacing w:after="160" w:line="276" w:lineRule="auto"/>
        <w:contextualSpacing/>
        <w:jc w:val="both"/>
        <w:rPr>
          <w:rFonts w:asciiTheme="minorHAnsi" w:eastAsiaTheme="minorHAnsi" w:hAnsiTheme="minorHAnsi" w:cstheme="minorHAnsi"/>
          <w:sz w:val="22"/>
          <w:szCs w:val="22"/>
        </w:rPr>
      </w:pPr>
      <w:r w:rsidRPr="007C4D65">
        <w:rPr>
          <w:rFonts w:asciiTheme="minorHAnsi" w:hAnsiTheme="minorHAnsi"/>
          <w:sz w:val="22"/>
          <w:szCs w:val="22"/>
        </w:rPr>
        <w:t>Construction of barriers on water courses which prevent fish reproduction (except for sturgeon, other species of fish are anadromous and migrate to freshwater for spawning</w:t>
      </w:r>
      <w:proofErr w:type="gramStart"/>
      <w:r w:rsidRPr="007C4D65">
        <w:rPr>
          <w:rFonts w:asciiTheme="minorHAnsi" w:hAnsiTheme="minorHAnsi"/>
          <w:sz w:val="22"/>
          <w:szCs w:val="22"/>
        </w:rPr>
        <w:t>);</w:t>
      </w:r>
      <w:proofErr w:type="gramEnd"/>
    </w:p>
    <w:p w14:paraId="187603F8" w14:textId="4C235393" w:rsidR="00647018" w:rsidRPr="007C4D65" w:rsidRDefault="00647018" w:rsidP="00647018">
      <w:pPr>
        <w:numPr>
          <w:ilvl w:val="0"/>
          <w:numId w:val="3"/>
        </w:numPr>
        <w:spacing w:after="160" w:line="276" w:lineRule="auto"/>
        <w:contextualSpacing/>
        <w:jc w:val="both"/>
        <w:rPr>
          <w:rFonts w:asciiTheme="minorHAnsi" w:eastAsiaTheme="minorHAnsi" w:hAnsiTheme="minorHAnsi" w:cstheme="minorHAnsi"/>
          <w:sz w:val="22"/>
          <w:szCs w:val="22"/>
        </w:rPr>
      </w:pPr>
      <w:r w:rsidRPr="007C4D65">
        <w:rPr>
          <w:rFonts w:asciiTheme="minorHAnsi" w:hAnsiTheme="minorHAnsi"/>
          <w:sz w:val="22"/>
          <w:szCs w:val="22"/>
        </w:rPr>
        <w:t>Huge pressure from fishermen (these are economically highly valuable fishes, both for their meet and spawn</w:t>
      </w:r>
      <w:proofErr w:type="gramStart"/>
      <w:r w:rsidRPr="007C4D65">
        <w:rPr>
          <w:rFonts w:asciiTheme="minorHAnsi" w:hAnsiTheme="minorHAnsi"/>
          <w:sz w:val="22"/>
          <w:szCs w:val="22"/>
        </w:rPr>
        <w:t>);</w:t>
      </w:r>
      <w:proofErr w:type="gramEnd"/>
    </w:p>
    <w:p w14:paraId="0282F300" w14:textId="58F44D6C" w:rsidR="00647018" w:rsidRPr="007C4D65" w:rsidRDefault="0058588C" w:rsidP="00647018">
      <w:pPr>
        <w:spacing w:before="240"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Federation of BiH</w:t>
      </w:r>
      <w:r w:rsidR="00647018" w:rsidRPr="007C4D65">
        <w:rPr>
          <w:rFonts w:asciiTheme="minorHAnsi" w:hAnsiTheme="minorHAnsi"/>
          <w:sz w:val="22"/>
          <w:szCs w:val="22"/>
        </w:rPr>
        <w:t xml:space="preserve"> has not yet established the information system on fisheries. As a part of the Common Fisheries Policy of EU, member countries are obliged to gather biological, ecological, technical and socio-economic data needed for managing the fishing, manage such data, and make them available to the end user (Article 25, Regulation (EU) No 1380/2013 </w:t>
      </w:r>
      <w:r w:rsidR="00647018" w:rsidRPr="007C4D65">
        <w:rPr>
          <w:rFonts w:asciiTheme="minorHAnsi" w:hAnsiTheme="minorHAnsi"/>
          <w:i/>
          <w:iCs/>
          <w:sz w:val="22"/>
          <w:szCs w:val="22"/>
        </w:rPr>
        <w:t>of the European Parliament and of the Council of 11 December</w:t>
      </w:r>
      <w:r w:rsidR="00647018" w:rsidRPr="007C4D65">
        <w:rPr>
          <w:rFonts w:asciiTheme="minorHAnsi" w:hAnsiTheme="minorHAnsi"/>
          <w:sz w:val="22"/>
          <w:szCs w:val="22"/>
        </w:rPr>
        <w:t xml:space="preserve"> 2013). The rules of collecting and using such data at the level of European Union are prescribed under Regulation (EU) No. 2017/1004.</w:t>
      </w:r>
    </w:p>
    <w:p w14:paraId="74B0F96D" w14:textId="4A38EF7C"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Regarding further development off fisheries, the development strategy will soon expire. The Mid-term Strategy for Development of Agricultural Sector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was adopted for the period </w:t>
      </w:r>
      <w:proofErr w:type="gramStart"/>
      <w:r w:rsidRPr="007C4D65">
        <w:rPr>
          <w:rFonts w:asciiTheme="minorHAnsi" w:hAnsiTheme="minorHAnsi"/>
          <w:sz w:val="22"/>
          <w:szCs w:val="22"/>
        </w:rPr>
        <w:t>2015-2019, and</w:t>
      </w:r>
      <w:proofErr w:type="gramEnd"/>
      <w:r w:rsidRPr="007C4D65">
        <w:rPr>
          <w:rFonts w:asciiTheme="minorHAnsi" w:hAnsiTheme="minorHAnsi"/>
          <w:sz w:val="22"/>
          <w:szCs w:val="22"/>
        </w:rPr>
        <w:t xml:space="preserve"> extended by Conclusion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Government until the end of 2021.</w:t>
      </w:r>
    </w:p>
    <w:p w14:paraId="445DADCE" w14:textId="77777777" w:rsidR="00647018" w:rsidRPr="007C4D65" w:rsidRDefault="00647018" w:rsidP="00647018">
      <w:pPr>
        <w:spacing w:before="240" w:after="240" w:line="276" w:lineRule="auto"/>
        <w:rPr>
          <w:rFonts w:asciiTheme="minorHAnsi" w:hAnsiTheme="minorHAnsi" w:cstheme="minorHAnsi"/>
          <w:i/>
          <w:sz w:val="22"/>
          <w:szCs w:val="22"/>
          <w:u w:val="single"/>
        </w:rPr>
      </w:pPr>
      <w:r w:rsidRPr="007C4D65">
        <w:rPr>
          <w:rFonts w:asciiTheme="minorHAnsi" w:hAnsiTheme="minorHAnsi"/>
          <w:i/>
          <w:sz w:val="22"/>
          <w:szCs w:val="22"/>
          <w:u w:val="single"/>
        </w:rPr>
        <w:t>Mineral resources</w:t>
      </w:r>
      <w:bookmarkEnd w:id="183"/>
      <w:bookmarkEnd w:id="184"/>
      <w:bookmarkEnd w:id="185"/>
    </w:p>
    <w:p w14:paraId="58E19545" w14:textId="5C21EA33" w:rsidR="00647018" w:rsidRPr="007C4D65" w:rsidRDefault="00647018" w:rsidP="00647018">
      <w:pPr>
        <w:spacing w:after="1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Federation of BiH does not use a comprehensive approach to mineral resources management. Use of mineral resources is addressed in strategies for different sectors (construction materials, energy). There is no Strategy for managing mineral resources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as such. The existing strategies, for example Strategy for Development of Construction Materials Industry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2016-2025 (FMEMI and Chamber of Commerce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2018) does not </w:t>
      </w:r>
      <w:r w:rsidRPr="007C4D65">
        <w:rPr>
          <w:rFonts w:asciiTheme="minorHAnsi" w:hAnsiTheme="minorHAnsi"/>
          <w:sz w:val="22"/>
          <w:szCs w:val="22"/>
        </w:rPr>
        <w:lastRenderedPageBreak/>
        <w:t xml:space="preserve">consider the option of providing mineral resources through recovering and recycling resources from finished products that are no longer in use (recycling concrete, bricks or recovery of rare materials from electronic equipment, etc.). In addition to the lack concrete measures, one should mention the lack of standards for construction materials produced from recycled materials, and this restricts the scope for placement of such products. Also, not a single mining company does extraction of secondary mineral resources from tailing piles, slag deposits of thermal power plants and steel-mills, red mud deposits. Implementation of measures proposed in the Environment Status Report of 2012, which relate </w:t>
      </w:r>
      <w:proofErr w:type="gramStart"/>
      <w:r w:rsidRPr="007C4D65">
        <w:rPr>
          <w:rFonts w:asciiTheme="minorHAnsi" w:hAnsiTheme="minorHAnsi"/>
          <w:sz w:val="22"/>
          <w:szCs w:val="22"/>
        </w:rPr>
        <w:t>to:</w:t>
      </w:r>
      <w:proofErr w:type="gramEnd"/>
      <w:r w:rsidRPr="007C4D65">
        <w:rPr>
          <w:rFonts w:asciiTheme="minorHAnsi" w:hAnsiTheme="minorHAnsi"/>
          <w:sz w:val="22"/>
          <w:szCs w:val="22"/>
        </w:rPr>
        <w:t xml:space="preserve"> </w:t>
      </w:r>
      <w:proofErr w:type="spellStart"/>
      <w:r w:rsidRPr="007C4D65">
        <w:rPr>
          <w:rFonts w:asciiTheme="minorHAnsi" w:hAnsiTheme="minorHAnsi"/>
          <w:sz w:val="22"/>
          <w:szCs w:val="22"/>
        </w:rPr>
        <w:t>i</w:t>
      </w:r>
      <w:proofErr w:type="spellEnd"/>
      <w:r w:rsidRPr="007C4D65">
        <w:rPr>
          <w:rFonts w:asciiTheme="minorHAnsi" w:hAnsiTheme="minorHAnsi"/>
          <w:sz w:val="22"/>
          <w:szCs w:val="22"/>
        </w:rPr>
        <w:t>) identification of all locations generating mining waste, ii) making a list with types and quantities of generated waste in accordance with waste catalogue and codes; iii) assessment the opportunities for reuse of waste and/or recycling has not been done.</w:t>
      </w:r>
    </w:p>
    <w:p w14:paraId="6128654F" w14:textId="77213416"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According to the Law on Mining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Art. 59, after receiving a permission to stop exploitation of mineral resources, a commercial company must fully rehabilitate and re-cultivate the site and remove all consequences of mining operations, </w:t>
      </w:r>
      <w:proofErr w:type="gramStart"/>
      <w:r w:rsidRPr="007C4D65">
        <w:rPr>
          <w:rFonts w:asciiTheme="minorHAnsi" w:hAnsiTheme="minorHAnsi"/>
          <w:sz w:val="22"/>
          <w:szCs w:val="22"/>
        </w:rPr>
        <w:t>on the basis of</w:t>
      </w:r>
      <w:proofErr w:type="gramEnd"/>
      <w:r w:rsidRPr="007C4D65">
        <w:rPr>
          <w:rFonts w:asciiTheme="minorHAnsi" w:hAnsiTheme="minorHAnsi"/>
          <w:sz w:val="22"/>
          <w:szCs w:val="22"/>
        </w:rPr>
        <w:t xml:space="preserve"> rehabilitation and re-cultivation project. However</w:t>
      </w:r>
      <w:proofErr w:type="gramStart"/>
      <w:r w:rsidRPr="007C4D65">
        <w:rPr>
          <w:rFonts w:asciiTheme="minorHAnsi" w:hAnsiTheme="minorHAnsi"/>
          <w:sz w:val="22"/>
          <w:szCs w:val="22"/>
        </w:rPr>
        <w:t>, in reality, there</w:t>
      </w:r>
      <w:proofErr w:type="gramEnd"/>
      <w:r w:rsidRPr="007C4D65">
        <w:rPr>
          <w:rFonts w:asciiTheme="minorHAnsi" w:hAnsiTheme="minorHAnsi"/>
          <w:sz w:val="22"/>
          <w:szCs w:val="22"/>
        </w:rPr>
        <w:t xml:space="preserve"> is a significant number of mines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that had not rehabilitated the sites upon ceasing the exploitation, and total area of soil that has been degraded by exploitation of ores in surface mining activities is around 15,000 ha. Such damage is visible in specific places (Tuzla, Ugljevik, </w:t>
      </w:r>
      <w:proofErr w:type="spellStart"/>
      <w:r w:rsidRPr="007C4D65">
        <w:rPr>
          <w:rFonts w:asciiTheme="minorHAnsi" w:hAnsiTheme="minorHAnsi"/>
          <w:sz w:val="22"/>
          <w:szCs w:val="22"/>
        </w:rPr>
        <w:t>Kakanj</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Gacko</w:t>
      </w:r>
      <w:proofErr w:type="spellEnd"/>
      <w:r w:rsidRPr="007C4D65">
        <w:rPr>
          <w:rFonts w:asciiTheme="minorHAnsi" w:hAnsiTheme="minorHAnsi"/>
          <w:sz w:val="22"/>
          <w:szCs w:val="22"/>
        </w:rPr>
        <w:t xml:space="preserve">), where large area of arable land is not used. In metallic ore mines in </w:t>
      </w:r>
      <w:proofErr w:type="spellStart"/>
      <w:proofErr w:type="gramStart"/>
      <w:r w:rsidRPr="007C4D65">
        <w:rPr>
          <w:rFonts w:asciiTheme="minorHAnsi" w:hAnsiTheme="minorHAnsi"/>
          <w:sz w:val="22"/>
          <w:szCs w:val="22"/>
        </w:rPr>
        <w:t>Vare</w:t>
      </w:r>
      <w:r w:rsidR="006B09B1" w:rsidRPr="007C4D65">
        <w:rPr>
          <w:rFonts w:asciiTheme="minorHAnsi" w:hAnsiTheme="minorHAnsi"/>
          <w:sz w:val="22"/>
          <w:szCs w:val="22"/>
        </w:rPr>
        <w:t>s</w:t>
      </w:r>
      <w:proofErr w:type="spellEnd"/>
      <w:proofErr w:type="gramEnd"/>
      <w:r w:rsidRPr="007C4D65">
        <w:rPr>
          <w:rFonts w:asciiTheme="minorHAnsi" w:hAnsiTheme="minorHAnsi"/>
          <w:sz w:val="22"/>
          <w:szCs w:val="22"/>
        </w:rPr>
        <w:t xml:space="preserve"> area (</w:t>
      </w:r>
      <w:proofErr w:type="spellStart"/>
      <w:r w:rsidRPr="007C4D65">
        <w:rPr>
          <w:rFonts w:asciiTheme="minorHAnsi" w:hAnsiTheme="minorHAnsi"/>
          <w:sz w:val="22"/>
          <w:szCs w:val="22"/>
        </w:rPr>
        <w:t>Veova</w:t>
      </w:r>
      <w:r w:rsidR="006B09B1" w:rsidRPr="007C4D65">
        <w:rPr>
          <w:rFonts w:asciiTheme="minorHAnsi" w:hAnsiTheme="minorHAnsi"/>
          <w:sz w:val="22"/>
          <w:szCs w:val="22"/>
        </w:rPr>
        <w:t>c</w:t>
      </w:r>
      <w:r w:rsidRPr="007C4D65">
        <w:rPr>
          <w:rFonts w:asciiTheme="minorHAnsi" w:hAnsiTheme="minorHAnsi"/>
          <w:sz w:val="22"/>
          <w:szCs w:val="22"/>
        </w:rPr>
        <w:t>a</w:t>
      </w:r>
      <w:proofErr w:type="spellEnd"/>
      <w:r w:rsidRPr="007C4D65">
        <w:rPr>
          <w:rFonts w:asciiTheme="minorHAnsi" w:hAnsiTheme="minorHAnsi"/>
          <w:sz w:val="22"/>
          <w:szCs w:val="22"/>
        </w:rPr>
        <w:t xml:space="preserve"> - lead, zinc, barite, iron mine), exploitation has ceased, but the mines are not properly closed. A list or inventory of deserted metallic ore mines will be necessary </w:t>
      </w:r>
      <w:proofErr w:type="gramStart"/>
      <w:r w:rsidRPr="007C4D65">
        <w:rPr>
          <w:rFonts w:asciiTheme="minorHAnsi" w:hAnsiTheme="minorHAnsi"/>
          <w:sz w:val="22"/>
          <w:szCs w:val="22"/>
        </w:rPr>
        <w:t>in order to</w:t>
      </w:r>
      <w:proofErr w:type="gramEnd"/>
      <w:r w:rsidRPr="007C4D65">
        <w:rPr>
          <w:rFonts w:asciiTheme="minorHAnsi" w:hAnsiTheme="minorHAnsi"/>
          <w:sz w:val="22"/>
          <w:szCs w:val="22"/>
        </w:rPr>
        <w:t xml:space="preserve"> identify hot zones, threats for environment and risks, as well as the set of priorities for rehabilitation. Another problem is lack of clarity regarding legal successors of the mines’ </w:t>
      </w:r>
      <w:proofErr w:type="gramStart"/>
      <w:r w:rsidRPr="007C4D65">
        <w:rPr>
          <w:rFonts w:asciiTheme="minorHAnsi" w:hAnsiTheme="minorHAnsi"/>
          <w:sz w:val="22"/>
          <w:szCs w:val="22"/>
        </w:rPr>
        <w:t>estate, because</w:t>
      </w:r>
      <w:proofErr w:type="gramEnd"/>
      <w:r w:rsidRPr="007C4D65">
        <w:rPr>
          <w:rFonts w:asciiTheme="minorHAnsi" w:hAnsiTheme="minorHAnsi"/>
          <w:sz w:val="22"/>
          <w:szCs w:val="22"/>
        </w:rPr>
        <w:t xml:space="preserve"> the companies that used to operate the mines do not exist anymore.</w:t>
      </w:r>
    </w:p>
    <w:p w14:paraId="65C38175" w14:textId="5795E4AA" w:rsidR="00647018" w:rsidRPr="007C4D65" w:rsidRDefault="00647018" w:rsidP="00647018">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The Law on Environment Protection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imposes on the mining companies the obligation to use best available techniques ‒ BATs to manage the mining waste. </w:t>
      </w:r>
      <w:r w:rsidR="0058588C" w:rsidRPr="007C4D65">
        <w:rPr>
          <w:rFonts w:asciiTheme="minorHAnsi" w:hAnsiTheme="minorHAnsi"/>
          <w:sz w:val="22"/>
          <w:szCs w:val="22"/>
        </w:rPr>
        <w:t>Federation of BiH</w:t>
      </w:r>
      <w:r w:rsidRPr="007C4D65">
        <w:rPr>
          <w:rFonts w:asciiTheme="minorHAnsi" w:hAnsiTheme="minorHAnsi"/>
          <w:sz w:val="22"/>
          <w:szCs w:val="22"/>
        </w:rPr>
        <w:t xml:space="preserve"> has adopted </w:t>
      </w:r>
      <w:proofErr w:type="gramStart"/>
      <w:r w:rsidRPr="007C4D65">
        <w:rPr>
          <w:rFonts w:asciiTheme="minorHAnsi" w:hAnsiTheme="minorHAnsi"/>
          <w:sz w:val="22"/>
          <w:szCs w:val="22"/>
        </w:rPr>
        <w:t>Technical</w:t>
      </w:r>
      <w:proofErr w:type="gramEnd"/>
      <w:r w:rsidRPr="007C4D65">
        <w:rPr>
          <w:rFonts w:asciiTheme="minorHAnsi" w:hAnsiTheme="minorHAnsi"/>
          <w:sz w:val="22"/>
          <w:szCs w:val="22"/>
        </w:rPr>
        <w:t xml:space="preserve"> instruction for implementation of the best available techniques in food industry, but not yet for mining. In accordance with the obligations under the Law on Environment Protection and the obligation to transpose the Directive on Waste from Extractive Industries. </w:t>
      </w:r>
      <w:r w:rsidR="004D2879" w:rsidRPr="007C4D65">
        <w:rPr>
          <w:rFonts w:asciiTheme="minorHAnsi" w:hAnsiTheme="minorHAnsi"/>
          <w:sz w:val="22"/>
          <w:szCs w:val="22"/>
        </w:rPr>
        <w:t>T</w:t>
      </w:r>
      <w:r w:rsidR="007934C2" w:rsidRPr="007C4D65">
        <w:rPr>
          <w:rFonts w:asciiTheme="minorHAnsi" w:hAnsiTheme="minorHAnsi"/>
          <w:sz w:val="22"/>
          <w:szCs w:val="22"/>
        </w:rPr>
        <w:t>echnical instructions</w:t>
      </w:r>
      <w:r w:rsidRPr="007C4D65">
        <w:rPr>
          <w:rFonts w:asciiTheme="minorHAnsi" w:hAnsiTheme="minorHAnsi"/>
          <w:sz w:val="22"/>
          <w:szCs w:val="22"/>
        </w:rPr>
        <w:t xml:space="preserve"> for BiH need to be developed in accordance with the European instructions on best available techniques in this field. (</w:t>
      </w:r>
      <w:r w:rsidRPr="007C4D65">
        <w:rPr>
          <w:rFonts w:asciiTheme="minorHAnsi" w:hAnsiTheme="minorHAnsi"/>
          <w:i/>
          <w:iCs/>
          <w:sz w:val="22"/>
          <w:szCs w:val="22"/>
        </w:rPr>
        <w:t xml:space="preserve">Management of Waste from Extractive Industries in accordance with Directive </w:t>
      </w:r>
      <w:r w:rsidRPr="007C4D65">
        <w:rPr>
          <w:rFonts w:asciiTheme="minorHAnsi" w:hAnsiTheme="minorHAnsi"/>
          <w:sz w:val="22"/>
          <w:szCs w:val="22"/>
        </w:rPr>
        <w:t>2006/21/EC).</w:t>
      </w:r>
    </w:p>
    <w:p w14:paraId="184A45B7" w14:textId="77777777" w:rsidR="00647018" w:rsidRPr="007C4D65" w:rsidRDefault="00647018" w:rsidP="00647018">
      <w:pPr>
        <w:spacing w:after="160" w:line="276" w:lineRule="auto"/>
        <w:rPr>
          <w:rFonts w:asciiTheme="minorHAnsi" w:eastAsiaTheme="minorHAnsi" w:hAnsiTheme="minorHAnsi" w:cstheme="minorHAnsi"/>
          <w:sz w:val="22"/>
          <w:szCs w:val="22"/>
        </w:rPr>
      </w:pPr>
      <w:r w:rsidRPr="007C4D65">
        <w:br w:type="page"/>
      </w:r>
    </w:p>
    <w:p w14:paraId="3F4DDC7E" w14:textId="77777777" w:rsidR="009A1CFB" w:rsidRPr="007C4D65" w:rsidRDefault="009A1CFB">
      <w:pPr>
        <w:pStyle w:val="Head2"/>
        <w:spacing w:line="276" w:lineRule="auto"/>
        <w:rPr>
          <w:rFonts w:asciiTheme="minorHAnsi" w:hAnsiTheme="minorHAnsi"/>
        </w:rPr>
      </w:pPr>
      <w:bookmarkStart w:id="186" w:name="_Toc117445361"/>
      <w:r w:rsidRPr="007C4D65">
        <w:rPr>
          <w:rFonts w:asciiTheme="minorHAnsi" w:hAnsiTheme="minorHAnsi"/>
        </w:rPr>
        <w:lastRenderedPageBreak/>
        <w:t>Strategic goal 6</w:t>
      </w:r>
      <w:bookmarkEnd w:id="186"/>
    </w:p>
    <w:p w14:paraId="2910B21B" w14:textId="63C5DAE9" w:rsidR="009A1CFB" w:rsidRPr="007C4D65" w:rsidRDefault="009A1CFB" w:rsidP="0068355A">
      <w:pPr>
        <w:spacing w:before="240" w:after="240" w:line="276" w:lineRule="auto"/>
        <w:jc w:val="both"/>
        <w:rPr>
          <w:rFonts w:asciiTheme="minorHAnsi" w:hAnsiTheme="minorHAnsi" w:cstheme="minorHAnsi"/>
          <w:b/>
          <w:sz w:val="22"/>
          <w:szCs w:val="22"/>
        </w:rPr>
      </w:pPr>
      <w:r w:rsidRPr="007C4D65">
        <w:rPr>
          <w:rFonts w:asciiTheme="minorHAnsi" w:hAnsiTheme="minorHAnsi" w:cstheme="minorHAnsi"/>
          <w:b/>
          <w:sz w:val="22"/>
        </w:rPr>
        <w:t>Strategic goal 6</w:t>
      </w:r>
      <w:r w:rsidR="00B50D2F" w:rsidRPr="007C4D65">
        <w:rPr>
          <w:rFonts w:asciiTheme="minorHAnsi" w:hAnsiTheme="minorHAnsi" w:cstheme="minorHAnsi"/>
          <w:b/>
          <w:sz w:val="22"/>
        </w:rPr>
        <w:t xml:space="preserve"> -</w:t>
      </w:r>
      <w:r w:rsidRPr="007C4D65">
        <w:rPr>
          <w:rFonts w:asciiTheme="minorHAnsi" w:hAnsiTheme="minorHAnsi" w:cstheme="minorHAnsi"/>
          <w:b/>
          <w:sz w:val="22"/>
        </w:rPr>
        <w:t xml:space="preserve"> Ensuring sustainable use of natural resources</w:t>
      </w:r>
    </w:p>
    <w:p w14:paraId="259E0349" w14:textId="1D84B846" w:rsidR="00604034" w:rsidRPr="007C4D65" w:rsidRDefault="00604034" w:rsidP="00604034">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Strategic </w:t>
      </w:r>
      <w:r w:rsidR="00007DA5" w:rsidRPr="007C4D65">
        <w:rPr>
          <w:rFonts w:asciiTheme="minorHAnsi" w:hAnsiTheme="minorHAnsi"/>
          <w:sz w:val="22"/>
          <w:szCs w:val="22"/>
        </w:rPr>
        <w:t>g</w:t>
      </w:r>
      <w:r w:rsidRPr="007C4D65">
        <w:rPr>
          <w:rFonts w:asciiTheme="minorHAnsi" w:hAnsiTheme="minorHAnsi"/>
          <w:sz w:val="22"/>
          <w:szCs w:val="22"/>
        </w:rPr>
        <w:t xml:space="preserve">oal 6 (Sustainable Resource Management) covers thematic areas such as: use of land and sustainable use of natural resources in agriculture (soil), forestry and fisheries, as well as extraction of minerals and </w:t>
      </w:r>
      <w:proofErr w:type="gramStart"/>
      <w:r w:rsidRPr="007C4D65">
        <w:rPr>
          <w:rFonts w:asciiTheme="minorHAnsi" w:hAnsiTheme="minorHAnsi"/>
          <w:sz w:val="22"/>
          <w:szCs w:val="22"/>
        </w:rPr>
        <w:t>bio-economy</w:t>
      </w:r>
      <w:proofErr w:type="gramEnd"/>
      <w:r w:rsidRPr="007C4D65">
        <w:rPr>
          <w:rFonts w:asciiTheme="minorHAnsi" w:hAnsiTheme="minorHAnsi"/>
          <w:sz w:val="22"/>
          <w:szCs w:val="22"/>
        </w:rPr>
        <w:t>.</w:t>
      </w:r>
    </w:p>
    <w:p w14:paraId="39F0E029" w14:textId="5FAA19AB" w:rsidR="00604034" w:rsidRPr="007C4D65" w:rsidRDefault="00604034" w:rsidP="00604034">
      <w:pPr>
        <w:spacing w:line="276" w:lineRule="auto"/>
        <w:rPr>
          <w:rFonts w:asciiTheme="minorHAnsi" w:hAnsiTheme="minorHAnsi" w:cstheme="minorHAnsi"/>
        </w:rPr>
      </w:pPr>
      <w:bookmarkStart w:id="187" w:name="_Toc109842451"/>
      <w:bookmarkStart w:id="188" w:name="_Toc117011601"/>
      <w:r w:rsidRPr="007C4D65">
        <w:rPr>
          <w:rFonts w:asciiTheme="minorHAnsi" w:hAnsiTheme="minorHAnsi"/>
          <w:b/>
          <w:i/>
          <w:sz w:val="20"/>
          <w:szCs w:val="20"/>
        </w:rPr>
        <w:t>Table</w:t>
      </w:r>
      <w:r w:rsidR="00B6017F" w:rsidRPr="007C4D65">
        <w:rPr>
          <w:rFonts w:asciiTheme="minorHAnsi" w:hAnsiTheme="minorHAnsi" w:cstheme="minorHAnsi"/>
          <w:b/>
          <w:i/>
          <w:sz w:val="20"/>
          <w:szCs w:val="20"/>
        </w:rPr>
        <w:t xml:space="preserve"> </w:t>
      </w:r>
      <w:r w:rsidR="005D60DA" w:rsidRPr="007C4D65">
        <w:rPr>
          <w:rFonts w:asciiTheme="minorHAnsi" w:hAnsiTheme="minorHAnsi" w:cstheme="minorHAnsi"/>
          <w:b/>
          <w:i/>
          <w:sz w:val="20"/>
          <w:szCs w:val="20"/>
          <w:lang w:val="hr-HR"/>
        </w:rPr>
        <w:fldChar w:fldCharType="begin"/>
      </w:r>
      <w:r w:rsidR="005D60DA" w:rsidRPr="007C4D65">
        <w:rPr>
          <w:rFonts w:asciiTheme="minorHAnsi" w:hAnsiTheme="minorHAnsi" w:cstheme="minorHAnsi"/>
          <w:b/>
          <w:i/>
          <w:sz w:val="20"/>
          <w:szCs w:val="20"/>
          <w:lang w:val="hr-HR"/>
        </w:rPr>
        <w:instrText xml:space="preserve"> SEQ Tabela \* ARABIC </w:instrText>
      </w:r>
      <w:r w:rsidR="005D60DA" w:rsidRPr="007C4D65">
        <w:rPr>
          <w:rFonts w:asciiTheme="minorHAnsi" w:hAnsiTheme="minorHAnsi" w:cstheme="minorHAnsi"/>
          <w:b/>
          <w:i/>
          <w:sz w:val="20"/>
          <w:szCs w:val="20"/>
          <w:lang w:val="hr-HR"/>
        </w:rPr>
        <w:fldChar w:fldCharType="separate"/>
      </w:r>
      <w:r w:rsidR="005D60DA" w:rsidRPr="007C4D65">
        <w:rPr>
          <w:rFonts w:asciiTheme="minorHAnsi" w:hAnsiTheme="minorHAnsi" w:cstheme="minorHAnsi"/>
          <w:b/>
          <w:i/>
          <w:noProof/>
          <w:sz w:val="20"/>
          <w:szCs w:val="20"/>
          <w:lang w:val="hr-HR"/>
        </w:rPr>
        <w:t>22</w:t>
      </w:r>
      <w:r w:rsidR="005D60DA" w:rsidRPr="007C4D65">
        <w:rPr>
          <w:rFonts w:asciiTheme="minorHAnsi" w:hAnsiTheme="minorHAnsi" w:cstheme="minorHAnsi"/>
          <w:b/>
          <w:i/>
          <w:sz w:val="20"/>
          <w:szCs w:val="20"/>
          <w:lang w:val="hr-HR"/>
        </w:rPr>
        <w:fldChar w:fldCharType="end"/>
      </w:r>
      <w:r w:rsidRPr="007C4D65">
        <w:rPr>
          <w:rFonts w:asciiTheme="minorHAnsi" w:hAnsiTheme="minorHAnsi"/>
          <w:b/>
          <w:i/>
          <w:sz w:val="20"/>
          <w:szCs w:val="20"/>
        </w:rPr>
        <w:t xml:space="preserve">: </w:t>
      </w:r>
      <w:r w:rsidRPr="007C4D65">
        <w:rPr>
          <w:rFonts w:asciiTheme="minorHAnsi" w:hAnsiTheme="minorHAnsi"/>
          <w:bCs/>
          <w:i/>
          <w:sz w:val="20"/>
          <w:szCs w:val="20"/>
        </w:rPr>
        <w:t xml:space="preserve">Performance indicators for </w:t>
      </w:r>
      <w:r w:rsidR="00B50D2F" w:rsidRPr="007C4D65">
        <w:rPr>
          <w:rFonts w:asciiTheme="minorHAnsi" w:hAnsiTheme="minorHAnsi"/>
          <w:bCs/>
          <w:i/>
          <w:sz w:val="20"/>
          <w:szCs w:val="20"/>
        </w:rPr>
        <w:t>s</w:t>
      </w:r>
      <w:r w:rsidRPr="007C4D65">
        <w:rPr>
          <w:rFonts w:asciiTheme="minorHAnsi" w:hAnsiTheme="minorHAnsi"/>
          <w:bCs/>
          <w:i/>
          <w:sz w:val="20"/>
          <w:szCs w:val="20"/>
        </w:rPr>
        <w:t xml:space="preserve">trategic </w:t>
      </w:r>
      <w:r w:rsidR="00B50D2F" w:rsidRPr="007C4D65">
        <w:rPr>
          <w:rFonts w:asciiTheme="minorHAnsi" w:hAnsiTheme="minorHAnsi"/>
          <w:bCs/>
          <w:i/>
          <w:sz w:val="20"/>
          <w:szCs w:val="20"/>
        </w:rPr>
        <w:t>g</w:t>
      </w:r>
      <w:r w:rsidRPr="007C4D65">
        <w:rPr>
          <w:rFonts w:asciiTheme="minorHAnsi" w:hAnsiTheme="minorHAnsi"/>
          <w:bCs/>
          <w:i/>
          <w:sz w:val="20"/>
          <w:szCs w:val="20"/>
        </w:rPr>
        <w:t>oal 6.</w:t>
      </w:r>
      <w:bookmarkEnd w:id="187"/>
      <w:bookmarkEnd w:id="188"/>
    </w:p>
    <w:tbl>
      <w:tblPr>
        <w:tblStyle w:val="TableGridLight7"/>
        <w:tblW w:w="8926" w:type="dxa"/>
        <w:tblInd w:w="113" w:type="dxa"/>
        <w:tblLook w:val="04A0" w:firstRow="1" w:lastRow="0" w:firstColumn="1" w:lastColumn="0" w:noHBand="0" w:noVBand="1"/>
      </w:tblPr>
      <w:tblGrid>
        <w:gridCol w:w="2122"/>
        <w:gridCol w:w="2268"/>
        <w:gridCol w:w="2268"/>
        <w:gridCol w:w="2268"/>
      </w:tblGrid>
      <w:tr w:rsidR="00604034" w:rsidRPr="007C4D65" w14:paraId="2CB5B77B" w14:textId="77777777" w:rsidTr="00B6017F">
        <w:trPr>
          <w:trHeight w:val="421"/>
        </w:trPr>
        <w:tc>
          <w:tcPr>
            <w:tcW w:w="2122" w:type="dxa"/>
            <w:shd w:val="clear" w:color="auto" w:fill="009D73"/>
            <w:vAlign w:val="center"/>
          </w:tcPr>
          <w:p w14:paraId="68D45A29" w14:textId="77777777" w:rsidR="00604034" w:rsidRPr="007C4D65" w:rsidRDefault="00604034" w:rsidP="00B6017F">
            <w:pPr>
              <w:tabs>
                <w:tab w:val="left" w:pos="955"/>
              </w:tabs>
              <w:spacing w:line="276" w:lineRule="auto"/>
              <w:jc w:val="center"/>
              <w:rPr>
                <w:rFonts w:asciiTheme="minorHAnsi" w:hAnsiTheme="minorHAnsi" w:cstheme="minorHAnsi"/>
                <w:b/>
                <w:color w:val="FFFFFF" w:themeColor="background1"/>
                <w:sz w:val="18"/>
                <w:szCs w:val="18"/>
              </w:rPr>
            </w:pPr>
            <w:bookmarkStart w:id="189" w:name="_Hlk104491066"/>
            <w:r w:rsidRPr="007C4D65">
              <w:rPr>
                <w:rFonts w:asciiTheme="minorHAnsi" w:hAnsiTheme="minorHAnsi"/>
                <w:b/>
                <w:color w:val="FFFFFF" w:themeColor="background1"/>
                <w:sz w:val="18"/>
                <w:szCs w:val="18"/>
              </w:rPr>
              <w:t>Strategic goal 6</w:t>
            </w:r>
          </w:p>
        </w:tc>
        <w:tc>
          <w:tcPr>
            <w:tcW w:w="2268" w:type="dxa"/>
            <w:shd w:val="clear" w:color="auto" w:fill="009D73"/>
            <w:vAlign w:val="center"/>
          </w:tcPr>
          <w:p w14:paraId="3593CBDC" w14:textId="77777777" w:rsidR="00604034" w:rsidRPr="007C4D65" w:rsidRDefault="00604034" w:rsidP="00B6017F">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b/>
                <w:bCs/>
                <w:color w:val="FFFFFF" w:themeColor="background1"/>
                <w:sz w:val="18"/>
                <w:szCs w:val="18"/>
              </w:rPr>
              <w:t>Performance indicators</w:t>
            </w:r>
          </w:p>
        </w:tc>
        <w:tc>
          <w:tcPr>
            <w:tcW w:w="2268" w:type="dxa"/>
            <w:shd w:val="clear" w:color="auto" w:fill="009D73"/>
            <w:vAlign w:val="center"/>
          </w:tcPr>
          <w:p w14:paraId="02007F28" w14:textId="77777777" w:rsidR="00604034" w:rsidRPr="007C4D65" w:rsidRDefault="00604034" w:rsidP="00B6017F">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b/>
                <w:bCs/>
                <w:color w:val="FFFFFF" w:themeColor="background1"/>
                <w:sz w:val="18"/>
                <w:szCs w:val="18"/>
              </w:rPr>
              <w:t>Baseline value</w:t>
            </w:r>
          </w:p>
          <w:p w14:paraId="681AD8E7" w14:textId="77777777" w:rsidR="00604034" w:rsidRPr="007C4D65" w:rsidRDefault="00604034" w:rsidP="00B6017F">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b/>
                <w:bCs/>
                <w:color w:val="FFFFFF" w:themeColor="background1"/>
                <w:sz w:val="18"/>
                <w:szCs w:val="18"/>
              </w:rPr>
              <w:t>(N/D, to be determined in initial years of implementation)</w:t>
            </w:r>
          </w:p>
        </w:tc>
        <w:tc>
          <w:tcPr>
            <w:tcW w:w="2268" w:type="dxa"/>
            <w:shd w:val="clear" w:color="auto" w:fill="009D73"/>
            <w:vAlign w:val="center"/>
          </w:tcPr>
          <w:p w14:paraId="68FFF8AC" w14:textId="77777777" w:rsidR="00604034" w:rsidRPr="007C4D65" w:rsidRDefault="00604034" w:rsidP="00B6017F">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b/>
                <w:bCs/>
                <w:color w:val="FFFFFF" w:themeColor="background1"/>
                <w:sz w:val="18"/>
                <w:szCs w:val="18"/>
              </w:rPr>
              <w:t>Target value</w:t>
            </w:r>
          </w:p>
          <w:p w14:paraId="3EF3DEC3" w14:textId="77777777" w:rsidR="00604034" w:rsidRPr="007C4D65" w:rsidRDefault="00604034" w:rsidP="00B6017F">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b/>
                <w:bCs/>
                <w:color w:val="FFFFFF" w:themeColor="background1"/>
                <w:sz w:val="18"/>
                <w:szCs w:val="18"/>
              </w:rPr>
              <w:t>(N/D, to be determined in initial years of implementation)</w:t>
            </w:r>
          </w:p>
        </w:tc>
      </w:tr>
      <w:tr w:rsidR="00604034" w:rsidRPr="007C4D65" w14:paraId="18B96EC5" w14:textId="77777777" w:rsidTr="00B6017F">
        <w:trPr>
          <w:trHeight w:val="360"/>
        </w:trPr>
        <w:tc>
          <w:tcPr>
            <w:tcW w:w="2122" w:type="dxa"/>
            <w:vMerge w:val="restart"/>
            <w:vAlign w:val="center"/>
          </w:tcPr>
          <w:p w14:paraId="524CBEF4" w14:textId="77169987" w:rsidR="00604034" w:rsidRPr="007C4D65" w:rsidRDefault="008E59C6" w:rsidP="00B6017F">
            <w:pPr>
              <w:tabs>
                <w:tab w:val="left" w:pos="955"/>
              </w:tabs>
              <w:spacing w:line="276" w:lineRule="auto"/>
              <w:rPr>
                <w:rFonts w:asciiTheme="minorHAnsi" w:hAnsiTheme="minorHAnsi" w:cstheme="minorHAnsi"/>
                <w:b/>
                <w:bCs/>
                <w:sz w:val="18"/>
                <w:szCs w:val="18"/>
              </w:rPr>
            </w:pPr>
            <w:r w:rsidRPr="007C4D65">
              <w:rPr>
                <w:rFonts w:asciiTheme="minorHAnsi" w:hAnsiTheme="minorHAnsi"/>
                <w:i/>
                <w:iCs/>
                <w:sz w:val="18"/>
                <w:szCs w:val="18"/>
              </w:rPr>
              <w:t>Ensuring</w:t>
            </w:r>
            <w:r w:rsidR="00604034" w:rsidRPr="007C4D65">
              <w:rPr>
                <w:rFonts w:asciiTheme="minorHAnsi" w:hAnsiTheme="minorHAnsi"/>
                <w:i/>
                <w:iCs/>
                <w:sz w:val="18"/>
                <w:szCs w:val="18"/>
              </w:rPr>
              <w:t xml:space="preserve"> sustainable use of natural resources</w:t>
            </w:r>
          </w:p>
        </w:tc>
        <w:tc>
          <w:tcPr>
            <w:tcW w:w="2268" w:type="dxa"/>
          </w:tcPr>
          <w:p w14:paraId="6546653D" w14:textId="3D845933" w:rsidR="00604034" w:rsidRPr="007C4D65" w:rsidRDefault="00604034" w:rsidP="00B6017F">
            <w:pPr>
              <w:tabs>
                <w:tab w:val="left" w:pos="955"/>
              </w:tabs>
              <w:spacing w:line="276" w:lineRule="auto"/>
              <w:jc w:val="both"/>
              <w:rPr>
                <w:rFonts w:asciiTheme="minorHAnsi" w:hAnsiTheme="minorHAnsi" w:cstheme="minorHAnsi"/>
                <w:sz w:val="18"/>
                <w:szCs w:val="18"/>
              </w:rPr>
            </w:pPr>
            <w:r w:rsidRPr="007C4D65">
              <w:rPr>
                <w:rFonts w:asciiTheme="minorHAnsi" w:hAnsiTheme="minorHAnsi"/>
                <w:b/>
                <w:bCs/>
                <w:sz w:val="18"/>
                <w:szCs w:val="18"/>
              </w:rPr>
              <w:t xml:space="preserve">Overview of forest areas, </w:t>
            </w:r>
            <w:r w:rsidR="0058588C" w:rsidRPr="007C4D65">
              <w:rPr>
                <w:rFonts w:asciiTheme="minorHAnsi" w:hAnsiTheme="minorHAnsi"/>
                <w:b/>
                <w:bCs/>
                <w:sz w:val="18"/>
                <w:szCs w:val="18"/>
              </w:rPr>
              <w:t>Federation of BiH</w:t>
            </w:r>
            <w:r w:rsidRPr="007C4D65">
              <w:rPr>
                <w:rFonts w:asciiTheme="minorHAnsi" w:hAnsiTheme="minorHAnsi"/>
                <w:b/>
                <w:bCs/>
                <w:sz w:val="18"/>
                <w:szCs w:val="18"/>
              </w:rPr>
              <w:t xml:space="preserve"> - total (ha)</w:t>
            </w:r>
          </w:p>
        </w:tc>
        <w:tc>
          <w:tcPr>
            <w:tcW w:w="2268" w:type="dxa"/>
            <w:vAlign w:val="center"/>
          </w:tcPr>
          <w:p w14:paraId="58A6C3C1" w14:textId="77777777" w:rsidR="00604034" w:rsidRPr="007C4D65" w:rsidRDefault="00604034" w:rsidP="00B6017F">
            <w:pPr>
              <w:spacing w:line="276" w:lineRule="auto"/>
              <w:jc w:val="center"/>
              <w:rPr>
                <w:rFonts w:asciiTheme="minorHAnsi" w:hAnsiTheme="minorHAnsi" w:cstheme="minorHAnsi"/>
                <w:sz w:val="18"/>
                <w:szCs w:val="18"/>
              </w:rPr>
            </w:pPr>
            <w:r w:rsidRPr="007C4D65">
              <w:rPr>
                <w:rFonts w:asciiTheme="minorHAnsi" w:hAnsiTheme="minorHAnsi"/>
                <w:sz w:val="18"/>
                <w:szCs w:val="18"/>
              </w:rPr>
              <w:t>1,510,938</w:t>
            </w:r>
          </w:p>
          <w:p w14:paraId="10B0A0DA" w14:textId="77777777" w:rsidR="00604034" w:rsidRPr="007C4D65" w:rsidRDefault="00604034" w:rsidP="00B6017F">
            <w:pPr>
              <w:tabs>
                <w:tab w:val="left" w:pos="955"/>
              </w:tabs>
              <w:spacing w:line="276" w:lineRule="auto"/>
              <w:jc w:val="center"/>
              <w:rPr>
                <w:rFonts w:asciiTheme="minorHAnsi" w:hAnsiTheme="minorHAnsi" w:cstheme="minorHAnsi"/>
                <w:sz w:val="18"/>
                <w:szCs w:val="18"/>
              </w:rPr>
            </w:pPr>
            <w:r w:rsidRPr="007C4D65">
              <w:rPr>
                <w:rFonts w:asciiTheme="minorHAnsi" w:hAnsiTheme="minorHAnsi"/>
                <w:sz w:val="18"/>
                <w:szCs w:val="18"/>
              </w:rPr>
              <w:t>(2020)</w:t>
            </w:r>
          </w:p>
        </w:tc>
        <w:tc>
          <w:tcPr>
            <w:tcW w:w="2268" w:type="dxa"/>
            <w:vAlign w:val="center"/>
          </w:tcPr>
          <w:p w14:paraId="63178796" w14:textId="77777777" w:rsidR="00604034" w:rsidRPr="007C4D65" w:rsidRDefault="00604034" w:rsidP="00B6017F">
            <w:pPr>
              <w:tabs>
                <w:tab w:val="left" w:pos="955"/>
              </w:tabs>
              <w:spacing w:line="276" w:lineRule="auto"/>
              <w:jc w:val="center"/>
              <w:rPr>
                <w:rFonts w:asciiTheme="minorHAnsi" w:hAnsiTheme="minorHAnsi" w:cstheme="minorHAnsi"/>
                <w:sz w:val="18"/>
                <w:szCs w:val="18"/>
              </w:rPr>
            </w:pPr>
            <w:r w:rsidRPr="007C4D65">
              <w:rPr>
                <w:rFonts w:asciiTheme="minorHAnsi" w:hAnsiTheme="minorHAnsi"/>
                <w:sz w:val="18"/>
                <w:szCs w:val="18"/>
              </w:rPr>
              <w:t>N/D</w:t>
            </w:r>
          </w:p>
        </w:tc>
      </w:tr>
      <w:tr w:rsidR="00604034" w:rsidRPr="007C4D65" w14:paraId="6D5D5B3C" w14:textId="77777777" w:rsidTr="00B6017F">
        <w:trPr>
          <w:trHeight w:val="360"/>
        </w:trPr>
        <w:tc>
          <w:tcPr>
            <w:tcW w:w="2122" w:type="dxa"/>
            <w:vMerge/>
            <w:vAlign w:val="center"/>
          </w:tcPr>
          <w:p w14:paraId="1CDB36E9" w14:textId="77777777" w:rsidR="00604034" w:rsidRPr="007C4D65" w:rsidRDefault="00604034" w:rsidP="00B6017F">
            <w:pPr>
              <w:tabs>
                <w:tab w:val="left" w:pos="955"/>
              </w:tabs>
              <w:spacing w:line="276" w:lineRule="auto"/>
              <w:jc w:val="both"/>
              <w:rPr>
                <w:rFonts w:asciiTheme="minorHAnsi" w:hAnsiTheme="minorHAnsi" w:cstheme="minorHAnsi"/>
                <w:b/>
                <w:bCs/>
                <w:sz w:val="18"/>
                <w:szCs w:val="18"/>
                <w:lang w:eastAsia="hr-HR"/>
              </w:rPr>
            </w:pPr>
          </w:p>
        </w:tc>
        <w:tc>
          <w:tcPr>
            <w:tcW w:w="2268" w:type="dxa"/>
          </w:tcPr>
          <w:p w14:paraId="20D65D17" w14:textId="77777777" w:rsidR="00604034" w:rsidRPr="007C4D65" w:rsidRDefault="00604034" w:rsidP="00B6017F">
            <w:pPr>
              <w:tabs>
                <w:tab w:val="left" w:pos="955"/>
              </w:tabs>
              <w:spacing w:line="276" w:lineRule="auto"/>
              <w:jc w:val="both"/>
              <w:rPr>
                <w:rFonts w:asciiTheme="minorHAnsi" w:hAnsiTheme="minorHAnsi" w:cstheme="minorHAnsi"/>
                <w:b/>
                <w:bCs/>
                <w:sz w:val="18"/>
                <w:szCs w:val="18"/>
              </w:rPr>
            </w:pPr>
            <w:r w:rsidRPr="007C4D65">
              <w:rPr>
                <w:rFonts w:asciiTheme="minorHAnsi" w:hAnsiTheme="minorHAnsi"/>
                <w:b/>
                <w:bCs/>
                <w:sz w:val="18"/>
                <w:szCs w:val="18"/>
              </w:rPr>
              <w:t>Area of degraded land (ha)</w:t>
            </w:r>
          </w:p>
          <w:p w14:paraId="5ABE0A07" w14:textId="77777777" w:rsidR="00604034" w:rsidRPr="007C4D65" w:rsidRDefault="00604034" w:rsidP="00B6017F">
            <w:pPr>
              <w:tabs>
                <w:tab w:val="left" w:pos="955"/>
              </w:tabs>
              <w:spacing w:line="276" w:lineRule="auto"/>
              <w:jc w:val="both"/>
              <w:rPr>
                <w:rFonts w:asciiTheme="minorHAnsi" w:hAnsiTheme="minorHAnsi" w:cstheme="minorHAnsi"/>
                <w:b/>
                <w:bCs/>
                <w:sz w:val="18"/>
                <w:szCs w:val="18"/>
                <w:lang w:eastAsia="hr-HR"/>
              </w:rPr>
            </w:pPr>
          </w:p>
          <w:p w14:paraId="4793A41B" w14:textId="77777777" w:rsidR="00604034" w:rsidRPr="007C4D65" w:rsidRDefault="00604034" w:rsidP="00B6017F">
            <w:pPr>
              <w:tabs>
                <w:tab w:val="left" w:pos="955"/>
              </w:tabs>
              <w:spacing w:line="276" w:lineRule="auto"/>
              <w:jc w:val="both"/>
              <w:rPr>
                <w:rFonts w:asciiTheme="minorHAnsi" w:hAnsiTheme="minorHAnsi" w:cstheme="minorHAnsi"/>
                <w:b/>
                <w:bCs/>
                <w:sz w:val="18"/>
                <w:szCs w:val="18"/>
                <w:lang w:eastAsia="hr-HR"/>
              </w:rPr>
            </w:pPr>
          </w:p>
        </w:tc>
        <w:tc>
          <w:tcPr>
            <w:tcW w:w="2268" w:type="dxa"/>
            <w:vAlign w:val="center"/>
          </w:tcPr>
          <w:p w14:paraId="060B796D" w14:textId="77777777" w:rsidR="00604034" w:rsidRPr="007C4D65" w:rsidRDefault="00604034" w:rsidP="00B6017F">
            <w:pPr>
              <w:spacing w:line="276" w:lineRule="auto"/>
              <w:jc w:val="center"/>
              <w:rPr>
                <w:rFonts w:asciiTheme="minorHAnsi" w:hAnsiTheme="minorHAnsi" w:cstheme="minorHAnsi"/>
                <w:sz w:val="18"/>
                <w:szCs w:val="18"/>
              </w:rPr>
            </w:pPr>
            <w:r w:rsidRPr="007C4D65">
              <w:rPr>
                <w:rFonts w:asciiTheme="minorHAnsi" w:hAnsiTheme="minorHAnsi"/>
                <w:sz w:val="18"/>
                <w:szCs w:val="18"/>
              </w:rPr>
              <w:t>N/D</w:t>
            </w:r>
          </w:p>
          <w:p w14:paraId="013E075E" w14:textId="636FCAE2" w:rsidR="00604034" w:rsidRPr="007C4D65" w:rsidRDefault="0058588C" w:rsidP="00B6017F">
            <w:pPr>
              <w:spacing w:line="276" w:lineRule="auto"/>
              <w:jc w:val="center"/>
              <w:rPr>
                <w:rFonts w:asciiTheme="minorHAnsi" w:hAnsiTheme="minorHAnsi" w:cstheme="minorHAnsi"/>
                <w:sz w:val="18"/>
                <w:szCs w:val="18"/>
              </w:rPr>
            </w:pPr>
            <w:r w:rsidRPr="007C4D65">
              <w:rPr>
                <w:rFonts w:asciiTheme="minorHAnsi" w:hAnsiTheme="minorHAnsi"/>
                <w:sz w:val="18"/>
                <w:szCs w:val="18"/>
              </w:rPr>
              <w:t>Federation of BiH</w:t>
            </w:r>
            <w:r w:rsidR="00604034" w:rsidRPr="007C4D65">
              <w:rPr>
                <w:rFonts w:asciiTheme="minorHAnsi" w:hAnsiTheme="minorHAnsi"/>
                <w:sz w:val="18"/>
                <w:szCs w:val="18"/>
              </w:rPr>
              <w:t xml:space="preserve"> has not precisely determined the area of degraded land</w:t>
            </w:r>
          </w:p>
        </w:tc>
        <w:tc>
          <w:tcPr>
            <w:tcW w:w="2268" w:type="dxa"/>
            <w:vAlign w:val="center"/>
          </w:tcPr>
          <w:p w14:paraId="43AD608A" w14:textId="77777777" w:rsidR="00604034" w:rsidRPr="007C4D65" w:rsidRDefault="00604034" w:rsidP="00B6017F">
            <w:pPr>
              <w:spacing w:line="276" w:lineRule="auto"/>
              <w:jc w:val="center"/>
              <w:rPr>
                <w:rFonts w:asciiTheme="minorHAnsi" w:hAnsiTheme="minorHAnsi" w:cstheme="minorHAnsi"/>
                <w:sz w:val="18"/>
                <w:szCs w:val="18"/>
              </w:rPr>
            </w:pPr>
            <w:r w:rsidRPr="007C4D65">
              <w:rPr>
                <w:rFonts w:asciiTheme="minorHAnsi" w:hAnsiTheme="minorHAnsi"/>
                <w:sz w:val="18"/>
                <w:szCs w:val="18"/>
              </w:rPr>
              <w:t>Zero level of land degradation achieved</w:t>
            </w:r>
          </w:p>
        </w:tc>
      </w:tr>
      <w:bookmarkEnd w:id="189"/>
    </w:tbl>
    <w:p w14:paraId="5144E9BE" w14:textId="77777777" w:rsidR="009A1CFB" w:rsidRPr="007C4D65" w:rsidRDefault="009A1CFB" w:rsidP="0068355A">
      <w:pPr>
        <w:spacing w:line="276" w:lineRule="auto"/>
        <w:rPr>
          <w:rFonts w:asciiTheme="minorHAnsi" w:hAnsiTheme="minorHAnsi" w:cstheme="minorHAnsi"/>
        </w:rPr>
      </w:pPr>
    </w:p>
    <w:p w14:paraId="5BC8020D" w14:textId="77777777" w:rsidR="009A1CFB" w:rsidRPr="007C4D65" w:rsidRDefault="009A1CFB">
      <w:pPr>
        <w:pStyle w:val="Head3"/>
        <w:spacing w:line="276" w:lineRule="auto"/>
        <w:rPr>
          <w:rFonts w:asciiTheme="minorHAnsi" w:hAnsiTheme="minorHAnsi"/>
        </w:rPr>
      </w:pPr>
      <w:bookmarkStart w:id="190" w:name="_Toc117445362"/>
      <w:r w:rsidRPr="007C4D65">
        <w:rPr>
          <w:rFonts w:asciiTheme="minorHAnsi" w:hAnsiTheme="minorHAnsi"/>
        </w:rPr>
        <w:t>Priorities for strategic goal 6</w:t>
      </w:r>
      <w:bookmarkEnd w:id="190"/>
    </w:p>
    <w:p w14:paraId="55CA86A8" w14:textId="61ADFD5E" w:rsidR="00604034" w:rsidRPr="007C4D65" w:rsidRDefault="00604034" w:rsidP="00604034">
      <w:pPr>
        <w:spacing w:after="160" w:line="276" w:lineRule="auto"/>
        <w:jc w:val="both"/>
        <w:rPr>
          <w:rFonts w:asciiTheme="minorHAnsi" w:eastAsiaTheme="minorHAnsi" w:hAnsiTheme="minorHAnsi" w:cstheme="minorHAnsi"/>
          <w:b/>
          <w:bCs/>
          <w:sz w:val="22"/>
          <w:szCs w:val="22"/>
        </w:rPr>
      </w:pPr>
      <w:r w:rsidRPr="007C4D65">
        <w:rPr>
          <w:rFonts w:asciiTheme="minorHAnsi" w:hAnsiTheme="minorHAnsi"/>
          <w:b/>
          <w:bCs/>
          <w:sz w:val="22"/>
          <w:szCs w:val="22"/>
        </w:rPr>
        <w:t xml:space="preserve">Priority 6.1 </w:t>
      </w:r>
      <w:r w:rsidR="00DF4EC7" w:rsidRPr="007C4D65">
        <w:rPr>
          <w:rFonts w:asciiTheme="minorHAnsi" w:hAnsiTheme="minorHAnsi"/>
          <w:b/>
          <w:bCs/>
          <w:sz w:val="22"/>
          <w:szCs w:val="22"/>
        </w:rPr>
        <w:t>Establish an effective legal, strategic and institutional framework for sustainable forest and forest resources management in the Federation of BiH, appropriate valuation of forest resources, and ensure integration of gender and climate change issues</w:t>
      </w:r>
    </w:p>
    <w:p w14:paraId="559CAC67" w14:textId="1BA78F43" w:rsidR="00604034" w:rsidRPr="007C4D65" w:rsidRDefault="00604034" w:rsidP="00604034">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This priority means adoption of laws and bylaws at the level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that are aligned with EU Directives and international agreements, and creation of legal and institutional framework for full implementation of contemporary principles of forest management, identification of indicators and regular monitoring of status of forests.</w:t>
      </w:r>
    </w:p>
    <w:p w14:paraId="768ECF4B" w14:textId="6ADDEAAB" w:rsidR="00604034" w:rsidRPr="007C4D65" w:rsidRDefault="00604034" w:rsidP="00604034">
      <w:pPr>
        <w:spacing w:after="160" w:line="276" w:lineRule="auto"/>
        <w:jc w:val="both"/>
        <w:rPr>
          <w:rFonts w:asciiTheme="minorHAnsi" w:eastAsiaTheme="minorHAnsi" w:hAnsiTheme="minorHAnsi" w:cstheme="minorHAnsi"/>
          <w:b/>
          <w:bCs/>
          <w:sz w:val="22"/>
          <w:szCs w:val="22"/>
        </w:rPr>
      </w:pPr>
      <w:r w:rsidRPr="007C4D65">
        <w:rPr>
          <w:rFonts w:asciiTheme="minorHAnsi" w:hAnsiTheme="minorHAnsi"/>
          <w:b/>
          <w:bCs/>
          <w:sz w:val="22"/>
          <w:szCs w:val="22"/>
        </w:rPr>
        <w:t>Priority 6.2 Enhance legal, strategic and institutional frameworks for sustainable management of hunting game</w:t>
      </w:r>
    </w:p>
    <w:p w14:paraId="5FB37551" w14:textId="77777777" w:rsidR="00604034" w:rsidRPr="007C4D65" w:rsidRDefault="00604034" w:rsidP="00604034">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This priority aims to establish regulatory framework to manage population and organize planned rearing of hunting game aligned with EU Directives and international agreements on biodiversity, as well as to develop institutional capacities and establish institutional framework for managing hunting grounds and planned rearing of hunting game.</w:t>
      </w:r>
    </w:p>
    <w:p w14:paraId="02A8950C" w14:textId="5E80950F" w:rsidR="00604034" w:rsidRPr="007C4D65" w:rsidRDefault="00604034" w:rsidP="00604034">
      <w:pPr>
        <w:spacing w:after="160" w:line="276" w:lineRule="auto"/>
        <w:jc w:val="both"/>
        <w:rPr>
          <w:rFonts w:asciiTheme="minorHAnsi" w:eastAsiaTheme="minorHAnsi" w:hAnsiTheme="minorHAnsi" w:cstheme="minorHAnsi"/>
          <w:b/>
          <w:bCs/>
          <w:sz w:val="22"/>
          <w:szCs w:val="22"/>
        </w:rPr>
      </w:pPr>
      <w:r w:rsidRPr="007C4D65">
        <w:rPr>
          <w:rFonts w:asciiTheme="minorHAnsi" w:hAnsiTheme="minorHAnsi"/>
          <w:b/>
          <w:bCs/>
          <w:sz w:val="22"/>
          <w:szCs w:val="22"/>
        </w:rPr>
        <w:t xml:space="preserve">Priority </w:t>
      </w:r>
      <w:proofErr w:type="gramStart"/>
      <w:r w:rsidRPr="007C4D65">
        <w:rPr>
          <w:rFonts w:asciiTheme="minorHAnsi" w:hAnsiTheme="minorHAnsi"/>
          <w:b/>
          <w:bCs/>
          <w:sz w:val="22"/>
          <w:szCs w:val="22"/>
        </w:rPr>
        <w:t>6.3  Improve</w:t>
      </w:r>
      <w:proofErr w:type="gramEnd"/>
      <w:r w:rsidRPr="007C4D65">
        <w:rPr>
          <w:rFonts w:asciiTheme="minorHAnsi" w:hAnsiTheme="minorHAnsi"/>
          <w:b/>
          <w:bCs/>
          <w:sz w:val="22"/>
          <w:szCs w:val="22"/>
        </w:rPr>
        <w:t xml:space="preserve"> legal, strategic and institutional frameworks for sustainable management of fish stock</w:t>
      </w:r>
    </w:p>
    <w:p w14:paraId="186AA110" w14:textId="77777777" w:rsidR="00604034" w:rsidRPr="007C4D65" w:rsidRDefault="00604034" w:rsidP="00604034">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This priority aims to achieve harmonization of regulatory framework with EU acquis and international conventions, and adoption of a law on commercial marine fishing. </w:t>
      </w:r>
    </w:p>
    <w:p w14:paraId="4DB1A307" w14:textId="77777777" w:rsidR="00604034" w:rsidRPr="007C4D65" w:rsidRDefault="00604034" w:rsidP="00604034">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Planned rearing and exploitation of fish require the existence of a fisheries information system, as well as the existence of a strategic framework for sustainable development of fishing sector</w:t>
      </w:r>
    </w:p>
    <w:p w14:paraId="32C82793" w14:textId="062FC487" w:rsidR="00604034" w:rsidRPr="007C4D65" w:rsidRDefault="00604034" w:rsidP="00604034">
      <w:pPr>
        <w:spacing w:after="160" w:line="276" w:lineRule="auto"/>
        <w:jc w:val="both"/>
        <w:rPr>
          <w:rFonts w:asciiTheme="minorHAnsi" w:eastAsiaTheme="minorHAnsi" w:hAnsiTheme="minorHAnsi" w:cstheme="minorHAnsi"/>
          <w:b/>
          <w:bCs/>
          <w:sz w:val="22"/>
          <w:szCs w:val="22"/>
        </w:rPr>
      </w:pPr>
      <w:r w:rsidRPr="007C4D65">
        <w:rPr>
          <w:rFonts w:asciiTheme="minorHAnsi" w:hAnsiTheme="minorHAnsi"/>
          <w:b/>
          <w:bCs/>
          <w:sz w:val="22"/>
          <w:szCs w:val="22"/>
        </w:rPr>
        <w:t>Priority 6.4 Establish integrated and sustainable management of land resources</w:t>
      </w:r>
    </w:p>
    <w:p w14:paraId="43A2F8AF" w14:textId="71931195" w:rsidR="00604034" w:rsidRPr="007C4D65" w:rsidRDefault="00604034" w:rsidP="00604034">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lastRenderedPageBreak/>
        <w:t>This priority aims to develop legislative and strategic framework for comprehensive protection of land, as well as the methods how to do it, designate institutions that will have competence for integrated and sustainable land management, and measures and indicators for sustainable management and protection of land resources. Measures for rehabilitation of degraded areas are also planned under this Priority.</w:t>
      </w:r>
    </w:p>
    <w:p w14:paraId="5E2B39F3" w14:textId="77777777" w:rsidR="00604034" w:rsidRPr="007C4D65" w:rsidRDefault="00604034" w:rsidP="00604034">
      <w:pPr>
        <w:spacing w:after="160" w:line="276" w:lineRule="auto"/>
        <w:jc w:val="both"/>
        <w:rPr>
          <w:rFonts w:asciiTheme="minorHAnsi" w:eastAsiaTheme="minorHAnsi" w:hAnsiTheme="minorHAnsi" w:cstheme="minorHAnsi"/>
          <w:b/>
          <w:bCs/>
          <w:sz w:val="22"/>
          <w:szCs w:val="22"/>
        </w:rPr>
      </w:pPr>
      <w:r w:rsidRPr="007C4D65">
        <w:rPr>
          <w:rFonts w:asciiTheme="minorHAnsi" w:hAnsiTheme="minorHAnsi"/>
          <w:b/>
          <w:bCs/>
          <w:sz w:val="22"/>
          <w:szCs w:val="22"/>
        </w:rPr>
        <w:t>Priority 6.5: Establish a system of sustainable and responsible research, exploitation and management of mineral resources</w:t>
      </w:r>
    </w:p>
    <w:p w14:paraId="3B5AFA17" w14:textId="32167738" w:rsidR="00604034" w:rsidRPr="007C4D65" w:rsidRDefault="00604034" w:rsidP="00604034">
      <w:pPr>
        <w:spacing w:after="16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This priority focuses on establishment of strategic framework for sustainable use and exploitation of mineral resources relying on the principles of recycling and circular economy, and to develop programmes and plans for more efficient exploitation of mineral resources.</w:t>
      </w:r>
    </w:p>
    <w:p w14:paraId="2C3923E4" w14:textId="4745025F" w:rsidR="00604034" w:rsidRPr="007C4D65" w:rsidRDefault="00604034" w:rsidP="00604034">
      <w:pPr>
        <w:pStyle w:val="Caption"/>
        <w:spacing w:line="276" w:lineRule="auto"/>
        <w:rPr>
          <w:rFonts w:asciiTheme="minorHAnsi" w:hAnsiTheme="minorHAnsi" w:cstheme="minorHAnsi"/>
        </w:rPr>
      </w:pPr>
      <w:bookmarkStart w:id="191" w:name="_Toc117011602"/>
      <w:bookmarkStart w:id="192" w:name="_Toc109842452"/>
      <w:r w:rsidRPr="007C4D65">
        <w:t xml:space="preserve">Table </w:t>
      </w:r>
      <w:r w:rsidR="005D60DA" w:rsidRPr="007C4D65">
        <w:rPr>
          <w:rFonts w:asciiTheme="minorHAnsi" w:hAnsiTheme="minorHAnsi" w:cstheme="minorHAnsi"/>
          <w:b w:val="0"/>
          <w:i w:val="0"/>
          <w:szCs w:val="20"/>
          <w:lang w:val="hr-HR"/>
        </w:rPr>
        <w:fldChar w:fldCharType="begin"/>
      </w:r>
      <w:r w:rsidR="005D60DA" w:rsidRPr="007C4D65">
        <w:rPr>
          <w:rFonts w:asciiTheme="minorHAnsi" w:hAnsiTheme="minorHAnsi" w:cstheme="minorHAnsi"/>
          <w:szCs w:val="20"/>
          <w:lang w:val="hr-HR"/>
        </w:rPr>
        <w:instrText xml:space="preserve"> SEQ Tabela \* ARABIC </w:instrText>
      </w:r>
      <w:r w:rsidR="005D60DA" w:rsidRPr="007C4D65">
        <w:rPr>
          <w:rFonts w:asciiTheme="minorHAnsi" w:hAnsiTheme="minorHAnsi" w:cstheme="minorHAnsi"/>
          <w:b w:val="0"/>
          <w:i w:val="0"/>
          <w:szCs w:val="20"/>
          <w:lang w:val="hr-HR"/>
        </w:rPr>
        <w:fldChar w:fldCharType="separate"/>
      </w:r>
      <w:r w:rsidR="005D60DA" w:rsidRPr="007C4D65">
        <w:rPr>
          <w:rFonts w:asciiTheme="minorHAnsi" w:hAnsiTheme="minorHAnsi" w:cstheme="minorHAnsi"/>
          <w:noProof/>
          <w:szCs w:val="20"/>
          <w:lang w:val="hr-HR"/>
        </w:rPr>
        <w:t>23</w:t>
      </w:r>
      <w:r w:rsidR="005D60DA" w:rsidRPr="007C4D65">
        <w:rPr>
          <w:rFonts w:asciiTheme="minorHAnsi" w:hAnsiTheme="minorHAnsi" w:cstheme="minorHAnsi"/>
          <w:b w:val="0"/>
          <w:i w:val="0"/>
          <w:szCs w:val="20"/>
          <w:lang w:val="hr-HR"/>
        </w:rPr>
        <w:fldChar w:fldCharType="end"/>
      </w:r>
      <w:r w:rsidRPr="007C4D65">
        <w:t>:</w:t>
      </w:r>
      <w:r w:rsidRPr="007C4D65">
        <w:rPr>
          <w:rFonts w:asciiTheme="minorHAnsi" w:hAnsiTheme="minorHAnsi"/>
          <w:szCs w:val="20"/>
        </w:rPr>
        <w:t xml:space="preserve"> </w:t>
      </w:r>
      <w:r w:rsidRPr="007C4D65">
        <w:rPr>
          <w:rFonts w:asciiTheme="minorHAnsi" w:hAnsiTheme="minorHAnsi"/>
          <w:b w:val="0"/>
          <w:bCs/>
          <w:szCs w:val="20"/>
        </w:rPr>
        <w:t>Priorities with relevant indicators</w:t>
      </w:r>
      <w:bookmarkEnd w:id="191"/>
      <w:bookmarkEnd w:id="192"/>
    </w:p>
    <w:tbl>
      <w:tblPr>
        <w:tblStyle w:val="TABLICAHAOP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4"/>
        <w:gridCol w:w="2254"/>
        <w:gridCol w:w="2254"/>
        <w:gridCol w:w="2254"/>
      </w:tblGrid>
      <w:tr w:rsidR="00604034" w:rsidRPr="007C4D65" w14:paraId="76C17E2E" w14:textId="77777777" w:rsidTr="00B6017F">
        <w:trPr>
          <w:tblHeader/>
        </w:trPr>
        <w:tc>
          <w:tcPr>
            <w:tcW w:w="2254" w:type="dxa"/>
            <w:shd w:val="clear" w:color="auto" w:fill="009D73"/>
            <w:vAlign w:val="center"/>
          </w:tcPr>
          <w:p w14:paraId="2722AC02" w14:textId="77777777" w:rsidR="00604034" w:rsidRPr="007C4D65" w:rsidRDefault="00604034" w:rsidP="00B6017F">
            <w:pPr>
              <w:spacing w:line="276" w:lineRule="auto"/>
              <w:jc w:val="center"/>
              <w:rPr>
                <w:rFonts w:asciiTheme="minorHAnsi" w:eastAsiaTheme="minorHAnsi" w:hAnsiTheme="minorHAnsi" w:cstheme="minorHAnsi"/>
                <w:b/>
                <w:bCs/>
                <w:color w:val="FFFFFF" w:themeColor="background1"/>
                <w:sz w:val="18"/>
                <w:szCs w:val="18"/>
              </w:rPr>
            </w:pPr>
            <w:r w:rsidRPr="007C4D65">
              <w:rPr>
                <w:rFonts w:asciiTheme="minorHAnsi" w:hAnsiTheme="minorHAnsi"/>
                <w:b/>
                <w:bCs/>
                <w:color w:val="FFFFFF" w:themeColor="background1"/>
                <w:sz w:val="18"/>
                <w:szCs w:val="18"/>
              </w:rPr>
              <w:t>Priorities</w:t>
            </w:r>
          </w:p>
        </w:tc>
        <w:tc>
          <w:tcPr>
            <w:tcW w:w="2254" w:type="dxa"/>
            <w:shd w:val="clear" w:color="auto" w:fill="009D73"/>
            <w:vAlign w:val="center"/>
          </w:tcPr>
          <w:p w14:paraId="782D9BD2" w14:textId="77777777" w:rsidR="00604034" w:rsidRPr="007C4D65" w:rsidRDefault="00604034" w:rsidP="00B6017F">
            <w:pPr>
              <w:spacing w:line="276" w:lineRule="auto"/>
              <w:jc w:val="center"/>
              <w:rPr>
                <w:rFonts w:asciiTheme="minorHAnsi" w:eastAsiaTheme="minorHAnsi" w:hAnsiTheme="minorHAnsi" w:cstheme="minorHAnsi"/>
                <w:b/>
                <w:bCs/>
                <w:color w:val="FFFFFF" w:themeColor="background1"/>
                <w:sz w:val="18"/>
                <w:szCs w:val="18"/>
              </w:rPr>
            </w:pPr>
            <w:r w:rsidRPr="007C4D65">
              <w:rPr>
                <w:rFonts w:asciiTheme="minorHAnsi" w:hAnsiTheme="minorHAnsi"/>
                <w:b/>
                <w:bCs/>
                <w:color w:val="FFFFFF" w:themeColor="background1"/>
                <w:sz w:val="18"/>
                <w:szCs w:val="18"/>
              </w:rPr>
              <w:t>(Target) values indicator</w:t>
            </w:r>
          </w:p>
        </w:tc>
        <w:tc>
          <w:tcPr>
            <w:tcW w:w="2254" w:type="dxa"/>
            <w:shd w:val="clear" w:color="auto" w:fill="009D73"/>
            <w:vAlign w:val="center"/>
          </w:tcPr>
          <w:p w14:paraId="08BFB1FE" w14:textId="77777777" w:rsidR="00604034" w:rsidRPr="007C4D65" w:rsidRDefault="00604034" w:rsidP="00B6017F">
            <w:pPr>
              <w:spacing w:line="276" w:lineRule="auto"/>
              <w:jc w:val="center"/>
              <w:rPr>
                <w:rFonts w:asciiTheme="minorHAnsi" w:eastAsiaTheme="minorHAnsi" w:hAnsiTheme="minorHAnsi" w:cstheme="minorHAnsi"/>
                <w:b/>
                <w:bCs/>
                <w:color w:val="FFFFFF" w:themeColor="background1"/>
                <w:sz w:val="18"/>
                <w:szCs w:val="18"/>
              </w:rPr>
            </w:pPr>
            <w:r w:rsidRPr="007C4D65">
              <w:rPr>
                <w:rFonts w:asciiTheme="minorHAnsi" w:hAnsiTheme="minorHAnsi"/>
                <w:b/>
                <w:bCs/>
                <w:color w:val="FFFFFF" w:themeColor="background1"/>
                <w:sz w:val="18"/>
                <w:szCs w:val="18"/>
              </w:rPr>
              <w:t>Baseline value</w:t>
            </w:r>
          </w:p>
        </w:tc>
        <w:tc>
          <w:tcPr>
            <w:tcW w:w="2254" w:type="dxa"/>
            <w:shd w:val="clear" w:color="auto" w:fill="009D73"/>
            <w:vAlign w:val="center"/>
          </w:tcPr>
          <w:p w14:paraId="3D1C0390" w14:textId="77777777" w:rsidR="00604034" w:rsidRPr="007C4D65" w:rsidRDefault="00604034" w:rsidP="00B6017F">
            <w:pPr>
              <w:spacing w:line="276" w:lineRule="auto"/>
              <w:jc w:val="center"/>
              <w:rPr>
                <w:rFonts w:asciiTheme="minorHAnsi" w:eastAsiaTheme="minorHAnsi" w:hAnsiTheme="minorHAnsi" w:cstheme="minorHAnsi"/>
                <w:b/>
                <w:bCs/>
                <w:color w:val="FFFFFF" w:themeColor="background1"/>
                <w:sz w:val="18"/>
                <w:szCs w:val="18"/>
              </w:rPr>
            </w:pPr>
            <w:r w:rsidRPr="007C4D65">
              <w:rPr>
                <w:rFonts w:asciiTheme="minorHAnsi" w:hAnsiTheme="minorHAnsi"/>
                <w:b/>
                <w:bCs/>
                <w:color w:val="FFFFFF" w:themeColor="background1"/>
                <w:sz w:val="18"/>
                <w:szCs w:val="18"/>
              </w:rPr>
              <w:t>Target value</w:t>
            </w:r>
          </w:p>
        </w:tc>
      </w:tr>
      <w:tr w:rsidR="00604034" w:rsidRPr="007C4D65" w14:paraId="783E29C6" w14:textId="77777777" w:rsidTr="00B6017F">
        <w:trPr>
          <w:trHeight w:val="300"/>
        </w:trPr>
        <w:tc>
          <w:tcPr>
            <w:tcW w:w="2254" w:type="dxa"/>
            <w:vMerge w:val="restart"/>
          </w:tcPr>
          <w:p w14:paraId="7812A6DD" w14:textId="7CEED022" w:rsidR="00604034" w:rsidRPr="007C4D65" w:rsidRDefault="00604034" w:rsidP="00B6017F">
            <w:pPr>
              <w:spacing w:line="276" w:lineRule="auto"/>
              <w:rPr>
                <w:rFonts w:asciiTheme="minorHAnsi" w:eastAsiaTheme="minorHAnsi" w:hAnsiTheme="minorHAnsi" w:cstheme="minorHAnsi"/>
                <w:b/>
                <w:bCs/>
                <w:sz w:val="18"/>
                <w:szCs w:val="18"/>
              </w:rPr>
            </w:pPr>
            <w:r w:rsidRPr="007C4D65">
              <w:rPr>
                <w:rFonts w:asciiTheme="minorHAnsi" w:hAnsiTheme="minorHAnsi"/>
                <w:b/>
                <w:bCs/>
                <w:sz w:val="18"/>
                <w:szCs w:val="18"/>
              </w:rPr>
              <w:t xml:space="preserve">Priority 6.1 </w:t>
            </w:r>
            <w:r w:rsidR="00DF4EC7" w:rsidRPr="007C4D65">
              <w:rPr>
                <w:rFonts w:asciiTheme="minorHAnsi" w:hAnsiTheme="minorHAnsi"/>
                <w:b/>
                <w:bCs/>
                <w:sz w:val="18"/>
                <w:szCs w:val="18"/>
              </w:rPr>
              <w:t>Establish an effective legal, strategic and institutional framework for sustainable forest and forest resources management in the Federation of BiH, appropriate valuation of forest resources, and ensure integration of gender and climate change issues</w:t>
            </w:r>
          </w:p>
        </w:tc>
        <w:tc>
          <w:tcPr>
            <w:tcW w:w="2254" w:type="dxa"/>
          </w:tcPr>
          <w:p w14:paraId="7E986BBC"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Existence of a law and strategic framework for sustainable forest management </w:t>
            </w:r>
          </w:p>
        </w:tc>
        <w:tc>
          <w:tcPr>
            <w:tcW w:w="2254" w:type="dxa"/>
          </w:tcPr>
          <w:p w14:paraId="386A0A73" w14:textId="152384ED" w:rsidR="00604034" w:rsidRPr="007C4D65" w:rsidRDefault="0076407C"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The </w:t>
            </w:r>
            <w:r w:rsidR="00604034" w:rsidRPr="007C4D65">
              <w:rPr>
                <w:rFonts w:asciiTheme="minorHAnsi" w:hAnsiTheme="minorHAnsi"/>
                <w:sz w:val="18"/>
                <w:szCs w:val="18"/>
              </w:rPr>
              <w:t xml:space="preserve">Federation </w:t>
            </w:r>
            <w:r w:rsidRPr="007C4D65">
              <w:rPr>
                <w:rFonts w:asciiTheme="minorHAnsi" w:hAnsiTheme="minorHAnsi"/>
                <w:sz w:val="18"/>
                <w:szCs w:val="18"/>
              </w:rPr>
              <w:t xml:space="preserve">of </w:t>
            </w:r>
            <w:r w:rsidR="00604034" w:rsidRPr="007C4D65">
              <w:rPr>
                <w:rFonts w:asciiTheme="minorHAnsi" w:hAnsiTheme="minorHAnsi"/>
                <w:sz w:val="18"/>
                <w:szCs w:val="18"/>
              </w:rPr>
              <w:t>BiH has no legal or strategic framework for sustainable management of forests</w:t>
            </w:r>
          </w:p>
        </w:tc>
        <w:tc>
          <w:tcPr>
            <w:tcW w:w="2254" w:type="dxa"/>
          </w:tcPr>
          <w:p w14:paraId="571FC10E" w14:textId="72C0401E"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By 2025, </w:t>
            </w:r>
            <w:r w:rsidR="0076407C" w:rsidRPr="007C4D65">
              <w:rPr>
                <w:rFonts w:asciiTheme="minorHAnsi" w:hAnsiTheme="minorHAnsi"/>
                <w:sz w:val="18"/>
                <w:szCs w:val="18"/>
              </w:rPr>
              <w:t xml:space="preserve">the </w:t>
            </w:r>
            <w:r w:rsidRPr="007C4D65">
              <w:rPr>
                <w:rFonts w:asciiTheme="minorHAnsi" w:hAnsiTheme="minorHAnsi"/>
                <w:sz w:val="18"/>
                <w:szCs w:val="18"/>
              </w:rPr>
              <w:t>Federation</w:t>
            </w:r>
            <w:r w:rsidR="0076407C" w:rsidRPr="007C4D65">
              <w:rPr>
                <w:rFonts w:asciiTheme="minorHAnsi" w:hAnsiTheme="minorHAnsi"/>
                <w:sz w:val="18"/>
                <w:szCs w:val="18"/>
              </w:rPr>
              <w:t xml:space="preserve"> of BiH</w:t>
            </w:r>
            <w:r w:rsidRPr="007C4D65">
              <w:rPr>
                <w:rFonts w:asciiTheme="minorHAnsi" w:hAnsiTheme="minorHAnsi"/>
                <w:sz w:val="18"/>
                <w:szCs w:val="18"/>
              </w:rPr>
              <w:t xml:space="preserve"> will have adopted strategic and legal framework laying out principles and criteria of sustainable forest management, standard methodology for developing forest management plans on the principles of multi-functionality and protection of forest ecosystems’ biodiversity for privately and state-owned forests, coverage and methodology of monitoring health status of forests, monitoring indicators of sustainable use of  forests and reporting, method of issuing licenses for pickers of non-timber forest products, management of privately owned forests.</w:t>
            </w:r>
          </w:p>
        </w:tc>
      </w:tr>
      <w:tr w:rsidR="00604034" w:rsidRPr="007C4D65" w14:paraId="57B53A57" w14:textId="77777777" w:rsidTr="00B6017F">
        <w:trPr>
          <w:trHeight w:val="300"/>
        </w:trPr>
        <w:tc>
          <w:tcPr>
            <w:tcW w:w="2254" w:type="dxa"/>
            <w:vMerge/>
            <w:vAlign w:val="center"/>
          </w:tcPr>
          <w:p w14:paraId="03D57C28"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3008BB50"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Existence of systematic framework for registration and oversight of collection of medicinal, edible and aromatic plants and non-timber forest products.</w:t>
            </w:r>
          </w:p>
        </w:tc>
        <w:tc>
          <w:tcPr>
            <w:tcW w:w="2254" w:type="dxa"/>
          </w:tcPr>
          <w:p w14:paraId="5A06A90E" w14:textId="4FFA02C6" w:rsidR="00604034" w:rsidRPr="007C4D65" w:rsidRDefault="0076407C" w:rsidP="00B6017F">
            <w:pPr>
              <w:spacing w:line="276" w:lineRule="auto"/>
              <w:rPr>
                <w:rFonts w:asciiTheme="minorHAnsi" w:eastAsiaTheme="minorHAnsi" w:hAnsiTheme="minorHAnsi" w:cstheme="minorHAnsi"/>
                <w:sz w:val="18"/>
                <w:szCs w:val="18"/>
              </w:rPr>
            </w:pPr>
            <w:bookmarkStart w:id="193" w:name="_Hlk116917769"/>
            <w:r w:rsidRPr="007C4D65">
              <w:rPr>
                <w:rFonts w:asciiTheme="minorHAnsi" w:hAnsiTheme="minorHAnsi"/>
                <w:sz w:val="18"/>
                <w:szCs w:val="18"/>
              </w:rPr>
              <w:t>The Federation of BiH</w:t>
            </w:r>
            <w:r w:rsidR="00604034" w:rsidRPr="007C4D65">
              <w:rPr>
                <w:rFonts w:asciiTheme="minorHAnsi" w:hAnsiTheme="minorHAnsi"/>
                <w:sz w:val="18"/>
                <w:szCs w:val="18"/>
              </w:rPr>
              <w:t xml:space="preserve"> </w:t>
            </w:r>
            <w:bookmarkEnd w:id="193"/>
            <w:r w:rsidR="00604034" w:rsidRPr="007C4D65">
              <w:rPr>
                <w:rFonts w:asciiTheme="minorHAnsi" w:hAnsiTheme="minorHAnsi"/>
                <w:sz w:val="18"/>
                <w:szCs w:val="18"/>
              </w:rPr>
              <w:t>does not have a legal and institutional framework for sustainable management of medicinal, edible and aromatic plants and non-timber forest products.</w:t>
            </w:r>
          </w:p>
        </w:tc>
        <w:tc>
          <w:tcPr>
            <w:tcW w:w="2254" w:type="dxa"/>
          </w:tcPr>
          <w:p w14:paraId="4C905261"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By the end of 2025, established is a system of oversight for collection medicinal, edible and aromatic plants and non-timber forest products</w:t>
            </w:r>
          </w:p>
        </w:tc>
      </w:tr>
      <w:tr w:rsidR="00604034" w:rsidRPr="007C4D65" w14:paraId="637DA2F5" w14:textId="77777777" w:rsidTr="00B6017F">
        <w:trPr>
          <w:trHeight w:val="300"/>
        </w:trPr>
        <w:tc>
          <w:tcPr>
            <w:tcW w:w="2254" w:type="dxa"/>
            <w:vMerge/>
            <w:vAlign w:val="center"/>
          </w:tcPr>
          <w:p w14:paraId="5E8BF30C"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39F7EC3A"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Existence of regular monitoring of forest health status</w:t>
            </w:r>
          </w:p>
        </w:tc>
        <w:tc>
          <w:tcPr>
            <w:tcW w:w="2254" w:type="dxa"/>
          </w:tcPr>
          <w:p w14:paraId="5E5264B1" w14:textId="77777777" w:rsidR="00B50D2F" w:rsidRPr="007C4D65" w:rsidRDefault="007436F1" w:rsidP="00B6017F">
            <w:pPr>
              <w:spacing w:line="276" w:lineRule="auto"/>
              <w:rPr>
                <w:rFonts w:asciiTheme="minorHAnsi" w:hAnsiTheme="minorHAnsi"/>
                <w:color w:val="000000" w:themeColor="text1"/>
                <w:sz w:val="18"/>
                <w:szCs w:val="18"/>
              </w:rPr>
            </w:pPr>
            <w:r w:rsidRPr="007C4D65">
              <w:rPr>
                <w:rFonts w:asciiTheme="minorHAnsi" w:hAnsiTheme="minorHAnsi"/>
                <w:sz w:val="18"/>
                <w:szCs w:val="18"/>
              </w:rPr>
              <w:t>In the Federation of BiH</w:t>
            </w:r>
            <w:r w:rsidR="00604034" w:rsidRPr="007C4D65">
              <w:rPr>
                <w:rFonts w:asciiTheme="minorHAnsi" w:hAnsiTheme="minorHAnsi"/>
                <w:sz w:val="18"/>
                <w:szCs w:val="18"/>
              </w:rPr>
              <w:t xml:space="preserve">, there are no adopted methods for harmonized sampling, assessment and monitoring of status of </w:t>
            </w:r>
            <w:r w:rsidR="00604034" w:rsidRPr="007C4D65">
              <w:rPr>
                <w:rFonts w:asciiTheme="minorHAnsi" w:hAnsiTheme="minorHAnsi"/>
                <w:sz w:val="18"/>
                <w:szCs w:val="18"/>
              </w:rPr>
              <w:lastRenderedPageBreak/>
              <w:t>forests, in accordance with previously identified indicators. There is no established network of monitoring points.</w:t>
            </w:r>
          </w:p>
          <w:p w14:paraId="772E30E1" w14:textId="1204D454"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color w:val="000000" w:themeColor="text1"/>
                <w:sz w:val="18"/>
                <w:szCs w:val="18"/>
              </w:rPr>
              <w:t xml:space="preserve">Cantonal forestry administrations and users of forests lack capacities to conduct monitoring. </w:t>
            </w:r>
          </w:p>
        </w:tc>
        <w:tc>
          <w:tcPr>
            <w:tcW w:w="2254" w:type="dxa"/>
          </w:tcPr>
          <w:p w14:paraId="42161057" w14:textId="53E1A42C"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lastRenderedPageBreak/>
              <w:t xml:space="preserve">By the end of 2025, regular monitoring of health status of forests is operational and includes monitoring of changes in forest </w:t>
            </w:r>
            <w:r w:rsidRPr="007C4D65">
              <w:rPr>
                <w:rFonts w:asciiTheme="minorHAnsi" w:hAnsiTheme="minorHAnsi"/>
                <w:sz w:val="18"/>
                <w:szCs w:val="18"/>
              </w:rPr>
              <w:lastRenderedPageBreak/>
              <w:t>ecosystems in terms of the species diversity status, changed areas, health status, and other biotic and abiotic factors.</w:t>
            </w:r>
          </w:p>
        </w:tc>
      </w:tr>
      <w:tr w:rsidR="00604034" w:rsidRPr="007C4D65" w14:paraId="7A1D4E20" w14:textId="77777777" w:rsidTr="00B6017F">
        <w:trPr>
          <w:trHeight w:val="300"/>
        </w:trPr>
        <w:tc>
          <w:tcPr>
            <w:tcW w:w="2254" w:type="dxa"/>
            <w:vMerge/>
            <w:vAlign w:val="center"/>
          </w:tcPr>
          <w:p w14:paraId="65E18A89"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188C9B70"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Existence of capacities and technical requirements for preventing forest fires</w:t>
            </w:r>
          </w:p>
        </w:tc>
        <w:tc>
          <w:tcPr>
            <w:tcW w:w="2254" w:type="dxa"/>
          </w:tcPr>
          <w:p w14:paraId="6533E037" w14:textId="5A80BFE0"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Forests </w:t>
            </w:r>
            <w:r w:rsidR="007436F1" w:rsidRPr="007C4D65">
              <w:rPr>
                <w:rFonts w:asciiTheme="minorHAnsi" w:hAnsiTheme="minorHAnsi"/>
                <w:sz w:val="18"/>
                <w:szCs w:val="18"/>
              </w:rPr>
              <w:t>of the Federation of BiH</w:t>
            </w:r>
            <w:r w:rsidRPr="007C4D65">
              <w:rPr>
                <w:rFonts w:asciiTheme="minorHAnsi" w:hAnsiTheme="minorHAnsi"/>
                <w:sz w:val="18"/>
                <w:szCs w:val="18"/>
              </w:rPr>
              <w:t xml:space="preserve"> are not passable enough to allow quick access to the location of fire, forest users are neither equipped to observe and detect fires early, nor to quickly access and extinguish the fire.</w:t>
            </w:r>
          </w:p>
        </w:tc>
        <w:tc>
          <w:tcPr>
            <w:tcW w:w="2254" w:type="dxa"/>
          </w:tcPr>
          <w:p w14:paraId="122D9798"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By 2027, forest users are equipped to do early fire detection and prevention</w:t>
            </w:r>
          </w:p>
        </w:tc>
      </w:tr>
      <w:tr w:rsidR="00604034" w:rsidRPr="007C4D65" w14:paraId="5962ED72" w14:textId="77777777" w:rsidTr="00B6017F">
        <w:trPr>
          <w:trHeight w:val="300"/>
        </w:trPr>
        <w:tc>
          <w:tcPr>
            <w:tcW w:w="2254" w:type="dxa"/>
            <w:vMerge/>
            <w:vAlign w:val="center"/>
          </w:tcPr>
          <w:p w14:paraId="514B0C66"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472778C0" w14:textId="77777777" w:rsidR="00604034" w:rsidRPr="007C4D65" w:rsidRDefault="00604034" w:rsidP="00B6017F">
            <w:pPr>
              <w:spacing w:line="276" w:lineRule="auto"/>
              <w:rPr>
                <w:rFonts w:asciiTheme="minorHAnsi" w:eastAsiaTheme="minorHAnsi" w:hAnsiTheme="minorHAnsi" w:cstheme="minorHAnsi"/>
                <w:color w:val="000000" w:themeColor="text1"/>
                <w:sz w:val="18"/>
                <w:szCs w:val="18"/>
              </w:rPr>
            </w:pPr>
            <w:r w:rsidRPr="007C4D65">
              <w:rPr>
                <w:rFonts w:asciiTheme="minorHAnsi" w:hAnsiTheme="minorHAnsi"/>
                <w:color w:val="000000" w:themeColor="text1"/>
                <w:sz w:val="18"/>
                <w:szCs w:val="18"/>
              </w:rPr>
              <w:t xml:space="preserve">Area of productive barren land suitable for afforestation  </w:t>
            </w:r>
          </w:p>
        </w:tc>
        <w:tc>
          <w:tcPr>
            <w:tcW w:w="2254" w:type="dxa"/>
            <w:vAlign w:val="center"/>
          </w:tcPr>
          <w:p w14:paraId="50503378" w14:textId="77777777" w:rsidR="00604034" w:rsidRPr="007C4D65" w:rsidRDefault="00604034" w:rsidP="00B6017F">
            <w:pPr>
              <w:spacing w:line="276" w:lineRule="auto"/>
              <w:rPr>
                <w:rFonts w:asciiTheme="minorHAnsi" w:eastAsiaTheme="minorHAnsi" w:hAnsiTheme="minorHAnsi" w:cstheme="minorHAnsi"/>
                <w:color w:val="000000" w:themeColor="text1"/>
                <w:sz w:val="18"/>
                <w:szCs w:val="18"/>
              </w:rPr>
            </w:pPr>
            <w:r w:rsidRPr="007C4D65">
              <w:rPr>
                <w:rFonts w:asciiTheme="minorHAnsi" w:hAnsiTheme="minorHAnsi"/>
                <w:color w:val="000000" w:themeColor="text1"/>
                <w:sz w:val="18"/>
                <w:szCs w:val="18"/>
              </w:rPr>
              <w:t>Area of productive barren land suitable for afforestation is 159,913.5 ha</w:t>
            </w:r>
          </w:p>
        </w:tc>
        <w:tc>
          <w:tcPr>
            <w:tcW w:w="2254" w:type="dxa"/>
            <w:vAlign w:val="center"/>
          </w:tcPr>
          <w:p w14:paraId="2FD354A4" w14:textId="77777777" w:rsidR="00604034" w:rsidRPr="007C4D65" w:rsidRDefault="00604034" w:rsidP="00B6017F">
            <w:pPr>
              <w:spacing w:line="276" w:lineRule="auto"/>
              <w:rPr>
                <w:rFonts w:asciiTheme="minorHAnsi" w:eastAsiaTheme="minorHAnsi" w:hAnsiTheme="minorHAnsi" w:cstheme="minorHAnsi"/>
                <w:color w:val="000000" w:themeColor="text1"/>
                <w:sz w:val="18"/>
                <w:szCs w:val="18"/>
              </w:rPr>
            </w:pPr>
            <w:r w:rsidRPr="007C4D65">
              <w:rPr>
                <w:rFonts w:asciiTheme="minorHAnsi" w:hAnsiTheme="minorHAnsi"/>
                <w:color w:val="000000" w:themeColor="text1"/>
                <w:sz w:val="18"/>
                <w:szCs w:val="18"/>
              </w:rPr>
              <w:t xml:space="preserve">Afforestation of 15,991 ha of current karst </w:t>
            </w:r>
            <w:proofErr w:type="gramStart"/>
            <w:r w:rsidRPr="007C4D65">
              <w:rPr>
                <w:rFonts w:asciiTheme="minorHAnsi" w:hAnsiTheme="minorHAnsi"/>
                <w:color w:val="000000" w:themeColor="text1"/>
                <w:sz w:val="18"/>
                <w:szCs w:val="18"/>
              </w:rPr>
              <w:t>and  barren</w:t>
            </w:r>
            <w:proofErr w:type="gramEnd"/>
            <w:r w:rsidRPr="007C4D65">
              <w:rPr>
                <w:rFonts w:asciiTheme="minorHAnsi" w:hAnsiTheme="minorHAnsi"/>
                <w:color w:val="000000" w:themeColor="text1"/>
                <w:sz w:val="18"/>
                <w:szCs w:val="18"/>
              </w:rPr>
              <w:t xml:space="preserve"> land</w:t>
            </w:r>
          </w:p>
        </w:tc>
      </w:tr>
      <w:tr w:rsidR="00604034" w:rsidRPr="007C4D65" w14:paraId="0BD10EE5" w14:textId="77777777" w:rsidTr="00B6017F">
        <w:trPr>
          <w:trHeight w:val="300"/>
        </w:trPr>
        <w:tc>
          <w:tcPr>
            <w:tcW w:w="2254" w:type="dxa"/>
            <w:vMerge/>
            <w:vAlign w:val="center"/>
          </w:tcPr>
          <w:p w14:paraId="433C0E66"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72012CAD"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Areas under coppice forests </w:t>
            </w:r>
          </w:p>
        </w:tc>
        <w:tc>
          <w:tcPr>
            <w:tcW w:w="2254" w:type="dxa"/>
          </w:tcPr>
          <w:p w14:paraId="321BEFF2" w14:textId="77777777" w:rsidR="00604034" w:rsidRPr="007C4D65" w:rsidRDefault="00604034" w:rsidP="00B6017F">
            <w:pPr>
              <w:spacing w:line="276" w:lineRule="auto"/>
              <w:rPr>
                <w:rFonts w:asciiTheme="minorHAnsi" w:eastAsiaTheme="minorHAnsi" w:hAnsiTheme="minorHAnsi" w:cstheme="minorHAnsi"/>
                <w:color w:val="000000" w:themeColor="text1"/>
                <w:sz w:val="18"/>
                <w:szCs w:val="18"/>
              </w:rPr>
            </w:pPr>
            <w:r w:rsidRPr="007C4D65">
              <w:rPr>
                <w:rFonts w:asciiTheme="minorHAnsi" w:hAnsiTheme="minorHAnsi"/>
                <w:color w:val="000000" w:themeColor="text1"/>
                <w:sz w:val="18"/>
                <w:szCs w:val="18"/>
              </w:rPr>
              <w:t>Area under coppice forests is 257,879.6 ha</w:t>
            </w:r>
          </w:p>
        </w:tc>
        <w:tc>
          <w:tcPr>
            <w:tcW w:w="2254" w:type="dxa"/>
          </w:tcPr>
          <w:p w14:paraId="74D0DD92" w14:textId="77777777" w:rsidR="00604034" w:rsidRPr="007C4D65" w:rsidRDefault="00604034" w:rsidP="00B6017F">
            <w:pPr>
              <w:spacing w:line="276" w:lineRule="auto"/>
              <w:rPr>
                <w:rFonts w:asciiTheme="minorHAnsi" w:eastAsiaTheme="minorHAnsi" w:hAnsiTheme="minorHAnsi" w:cstheme="minorHAnsi"/>
                <w:color w:val="000000" w:themeColor="text1"/>
                <w:sz w:val="18"/>
                <w:szCs w:val="18"/>
              </w:rPr>
            </w:pPr>
            <w:r w:rsidRPr="007C4D65">
              <w:rPr>
                <w:rFonts w:asciiTheme="minorHAnsi" w:hAnsiTheme="minorHAnsi"/>
                <w:color w:val="000000" w:themeColor="text1"/>
                <w:sz w:val="18"/>
                <w:szCs w:val="18"/>
              </w:rPr>
              <w:t>Reduce the area under coppice forests by transitioning 50,000 ha of current coppice forests and thicket into high forests</w:t>
            </w:r>
          </w:p>
        </w:tc>
      </w:tr>
      <w:tr w:rsidR="00604034" w:rsidRPr="007C4D65" w14:paraId="3A97B624" w14:textId="77777777" w:rsidTr="00B6017F">
        <w:trPr>
          <w:trHeight w:val="300"/>
        </w:trPr>
        <w:tc>
          <w:tcPr>
            <w:tcW w:w="2254" w:type="dxa"/>
            <w:vMerge w:val="restart"/>
          </w:tcPr>
          <w:p w14:paraId="6E352D8C" w14:textId="70B39F1C" w:rsidR="00604034" w:rsidRPr="007C4D65" w:rsidRDefault="00604034" w:rsidP="00B6017F">
            <w:pPr>
              <w:spacing w:line="276" w:lineRule="auto"/>
              <w:rPr>
                <w:rFonts w:asciiTheme="minorHAnsi" w:eastAsiaTheme="minorHAnsi" w:hAnsiTheme="minorHAnsi" w:cstheme="minorHAnsi"/>
                <w:b/>
                <w:bCs/>
                <w:sz w:val="18"/>
                <w:szCs w:val="18"/>
              </w:rPr>
            </w:pPr>
            <w:r w:rsidRPr="007C4D65">
              <w:rPr>
                <w:rFonts w:asciiTheme="minorHAnsi" w:hAnsiTheme="minorHAnsi"/>
                <w:b/>
                <w:bCs/>
                <w:sz w:val="18"/>
                <w:szCs w:val="18"/>
              </w:rPr>
              <w:t>Priority 6.2 Enhance legal, strategic and institutional frameworks for sustainable management of hunting game</w:t>
            </w:r>
          </w:p>
          <w:p w14:paraId="09214335"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5C1BF8BB"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Existence of regulatory framework for population management and planned rearing of wild game, aligned with EU directives and international agreements on biodiversity</w:t>
            </w:r>
          </w:p>
        </w:tc>
        <w:tc>
          <w:tcPr>
            <w:tcW w:w="2254" w:type="dxa"/>
          </w:tcPr>
          <w:p w14:paraId="38220BC7" w14:textId="7EC9E4AC"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Law on Hunting </w:t>
            </w:r>
            <w:r w:rsidR="007436F1" w:rsidRPr="007C4D65">
              <w:rPr>
                <w:rFonts w:asciiTheme="minorHAnsi" w:hAnsiTheme="minorHAnsi"/>
                <w:sz w:val="18"/>
                <w:szCs w:val="18"/>
              </w:rPr>
              <w:t>of the Federation of BiH</w:t>
            </w:r>
            <w:r w:rsidRPr="007C4D65">
              <w:rPr>
                <w:rFonts w:asciiTheme="minorHAnsi" w:hAnsiTheme="minorHAnsi"/>
                <w:sz w:val="18"/>
                <w:szCs w:val="18"/>
              </w:rPr>
              <w:t xml:space="preserve"> is not in line with the relevant EU Directives and international agreements </w:t>
            </w:r>
          </w:p>
        </w:tc>
        <w:tc>
          <w:tcPr>
            <w:tcW w:w="2254" w:type="dxa"/>
          </w:tcPr>
          <w:p w14:paraId="0D2AB613"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By 2023, align and adopt amended Law on Hunting with the relevant EU directives and international treaties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biodiversity, and pass the set of new bylaws aligned with the new law </w:t>
            </w:r>
          </w:p>
        </w:tc>
      </w:tr>
      <w:tr w:rsidR="00604034" w:rsidRPr="007C4D65" w14:paraId="528BD510" w14:textId="77777777" w:rsidTr="00B6017F">
        <w:trPr>
          <w:trHeight w:val="300"/>
        </w:trPr>
        <w:tc>
          <w:tcPr>
            <w:tcW w:w="2254" w:type="dxa"/>
            <w:vMerge/>
            <w:vAlign w:val="center"/>
          </w:tcPr>
          <w:p w14:paraId="6933689B"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7440E0DD"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Existence of institutional framework for managing hunting grounds and planned rearing of game</w:t>
            </w:r>
          </w:p>
        </w:tc>
        <w:tc>
          <w:tcPr>
            <w:tcW w:w="2254" w:type="dxa"/>
          </w:tcPr>
          <w:p w14:paraId="77FF8753" w14:textId="2FDAE230" w:rsidR="00604034" w:rsidRPr="007C4D65" w:rsidRDefault="007436F1"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In the Federation of BiH</w:t>
            </w:r>
            <w:r w:rsidR="00604034" w:rsidRPr="007C4D65">
              <w:rPr>
                <w:rFonts w:asciiTheme="minorHAnsi" w:hAnsiTheme="minorHAnsi"/>
                <w:sz w:val="18"/>
                <w:szCs w:val="18"/>
              </w:rPr>
              <w:t>, full categorization, establishment and assignment of hunting grounds for use has not been completed. The hunting grounds do not have technical services for overseeing and implementing measures prescribed by laws and plans.</w:t>
            </w:r>
          </w:p>
        </w:tc>
        <w:tc>
          <w:tcPr>
            <w:tcW w:w="2254" w:type="dxa"/>
          </w:tcPr>
          <w:p w14:paraId="20F783E6"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By 2025, establish institutional framework for managing hunting grounds and planned rearing of game</w:t>
            </w:r>
          </w:p>
        </w:tc>
      </w:tr>
      <w:tr w:rsidR="00604034" w:rsidRPr="007C4D65" w14:paraId="2A22D8A6" w14:textId="77777777" w:rsidTr="00B6017F">
        <w:trPr>
          <w:trHeight w:val="300"/>
        </w:trPr>
        <w:tc>
          <w:tcPr>
            <w:tcW w:w="2254" w:type="dxa"/>
            <w:vMerge/>
            <w:vAlign w:val="center"/>
          </w:tcPr>
          <w:p w14:paraId="59799DBA"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29A4DD63"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Existence of planning framework for population management and planned rearing of wild game, aligned with EU directives </w:t>
            </w:r>
            <w:r w:rsidRPr="007C4D65">
              <w:rPr>
                <w:rFonts w:asciiTheme="minorHAnsi" w:hAnsiTheme="minorHAnsi"/>
                <w:sz w:val="18"/>
                <w:szCs w:val="18"/>
              </w:rPr>
              <w:lastRenderedPageBreak/>
              <w:t>and international agreements on biodiversity</w:t>
            </w:r>
          </w:p>
        </w:tc>
        <w:tc>
          <w:tcPr>
            <w:tcW w:w="2254" w:type="dxa"/>
          </w:tcPr>
          <w:p w14:paraId="34CDD943" w14:textId="345DCA7A" w:rsidR="00604034" w:rsidRPr="007C4D65" w:rsidRDefault="007436F1"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lastRenderedPageBreak/>
              <w:t>In the Federation of BiH</w:t>
            </w:r>
            <w:r w:rsidR="00604034" w:rsidRPr="007C4D65">
              <w:rPr>
                <w:rFonts w:asciiTheme="minorHAnsi" w:hAnsiTheme="minorHAnsi"/>
                <w:sz w:val="18"/>
                <w:szCs w:val="18"/>
              </w:rPr>
              <w:t xml:space="preserve">, the population management plans for the wolf, bear and lynx have not been adopted, neither were the hunting </w:t>
            </w:r>
            <w:r w:rsidR="00604034" w:rsidRPr="007C4D65">
              <w:rPr>
                <w:rFonts w:asciiTheme="minorHAnsi" w:hAnsiTheme="minorHAnsi"/>
                <w:sz w:val="18"/>
                <w:szCs w:val="18"/>
              </w:rPr>
              <w:lastRenderedPageBreak/>
              <w:t>management plans for all hunting grounds, which recognize the principles of protection of species in line with conventions.</w:t>
            </w:r>
          </w:p>
        </w:tc>
        <w:tc>
          <w:tcPr>
            <w:tcW w:w="2254" w:type="dxa"/>
          </w:tcPr>
          <w:p w14:paraId="58149EF4"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lastRenderedPageBreak/>
              <w:t>By 2027, established planning framework for managing hunting grounds and wild game population</w:t>
            </w:r>
          </w:p>
        </w:tc>
      </w:tr>
      <w:tr w:rsidR="00604034" w:rsidRPr="007C4D65" w14:paraId="32D5C7AE" w14:textId="77777777" w:rsidTr="00B6017F">
        <w:trPr>
          <w:trHeight w:val="300"/>
        </w:trPr>
        <w:tc>
          <w:tcPr>
            <w:tcW w:w="2254" w:type="dxa"/>
            <w:vMerge/>
            <w:vAlign w:val="center"/>
          </w:tcPr>
          <w:p w14:paraId="15DE2243"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05D52289"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Existence of a Wild Game Information System</w:t>
            </w:r>
          </w:p>
        </w:tc>
        <w:tc>
          <w:tcPr>
            <w:tcW w:w="2254" w:type="dxa"/>
          </w:tcPr>
          <w:p w14:paraId="5C9A8C1A" w14:textId="224B9793" w:rsidR="00604034" w:rsidRPr="007C4D65" w:rsidRDefault="007436F1"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In the Federation of BiH</w:t>
            </w:r>
            <w:r w:rsidR="00604034" w:rsidRPr="007C4D65">
              <w:rPr>
                <w:rFonts w:asciiTheme="minorHAnsi" w:hAnsiTheme="minorHAnsi"/>
                <w:sz w:val="18"/>
                <w:szCs w:val="18"/>
              </w:rPr>
              <w:t>, there exists no information system on wild game</w:t>
            </w:r>
          </w:p>
        </w:tc>
        <w:tc>
          <w:tcPr>
            <w:tcW w:w="2254" w:type="dxa"/>
          </w:tcPr>
          <w:p w14:paraId="2FFDB356"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By 2027, established information system on wild game</w:t>
            </w:r>
          </w:p>
        </w:tc>
      </w:tr>
      <w:tr w:rsidR="00604034" w:rsidRPr="007C4D65" w14:paraId="00D145B7" w14:textId="77777777" w:rsidTr="00B6017F">
        <w:trPr>
          <w:trHeight w:val="300"/>
        </w:trPr>
        <w:tc>
          <w:tcPr>
            <w:tcW w:w="2254" w:type="dxa"/>
            <w:vMerge w:val="restart"/>
          </w:tcPr>
          <w:p w14:paraId="4E5A2518" w14:textId="35EBF1A1" w:rsidR="00604034" w:rsidRPr="007C4D65" w:rsidRDefault="00604034" w:rsidP="00B6017F">
            <w:pPr>
              <w:spacing w:line="276" w:lineRule="auto"/>
              <w:rPr>
                <w:rFonts w:asciiTheme="minorHAnsi" w:eastAsiaTheme="minorHAnsi" w:hAnsiTheme="minorHAnsi" w:cstheme="minorHAnsi"/>
                <w:b/>
                <w:bCs/>
                <w:sz w:val="18"/>
                <w:szCs w:val="18"/>
              </w:rPr>
            </w:pPr>
            <w:r w:rsidRPr="007C4D65">
              <w:rPr>
                <w:rFonts w:asciiTheme="minorHAnsi" w:hAnsiTheme="minorHAnsi"/>
                <w:b/>
                <w:bCs/>
                <w:sz w:val="18"/>
                <w:szCs w:val="18"/>
              </w:rPr>
              <w:t>Priority 6.3 Improve legal, strategic and institutional frameworks for sustainable management of fish stock</w:t>
            </w:r>
          </w:p>
        </w:tc>
        <w:tc>
          <w:tcPr>
            <w:tcW w:w="2254" w:type="dxa"/>
          </w:tcPr>
          <w:p w14:paraId="734DDD1C"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Existence of a legislative framework aligned with </w:t>
            </w:r>
          </w:p>
          <w:p w14:paraId="0D2881BF"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EU acquis and international conventions.</w:t>
            </w:r>
          </w:p>
        </w:tc>
        <w:tc>
          <w:tcPr>
            <w:tcW w:w="2254" w:type="dxa"/>
          </w:tcPr>
          <w:p w14:paraId="6606388D" w14:textId="08D8EE11"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Law on freshwater fisheries </w:t>
            </w:r>
            <w:r w:rsidR="007436F1" w:rsidRPr="007C4D65">
              <w:rPr>
                <w:rFonts w:asciiTheme="minorHAnsi" w:hAnsiTheme="minorHAnsi"/>
                <w:sz w:val="18"/>
                <w:szCs w:val="18"/>
              </w:rPr>
              <w:t>of the Federation of BiH</w:t>
            </w:r>
            <w:r w:rsidRPr="007C4D65">
              <w:rPr>
                <w:rFonts w:asciiTheme="minorHAnsi" w:hAnsiTheme="minorHAnsi"/>
                <w:sz w:val="18"/>
                <w:szCs w:val="18"/>
              </w:rPr>
              <w:t xml:space="preserve"> is not fully aligned with the EU acquis and international conventions, and neither is it aligned with the Federation</w:t>
            </w:r>
            <w:r w:rsidR="0076407C" w:rsidRPr="007C4D65">
              <w:rPr>
                <w:rFonts w:asciiTheme="minorHAnsi" w:hAnsiTheme="minorHAnsi"/>
                <w:sz w:val="18"/>
                <w:szCs w:val="18"/>
              </w:rPr>
              <w:t xml:space="preserve"> </w:t>
            </w:r>
            <w:r w:rsidRPr="007C4D65">
              <w:rPr>
                <w:rFonts w:asciiTheme="minorHAnsi" w:hAnsiTheme="minorHAnsi"/>
                <w:sz w:val="18"/>
                <w:szCs w:val="18"/>
              </w:rPr>
              <w:t>legislation on water.</w:t>
            </w:r>
          </w:p>
        </w:tc>
        <w:tc>
          <w:tcPr>
            <w:tcW w:w="2254" w:type="dxa"/>
          </w:tcPr>
          <w:p w14:paraId="17B473F5"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By 2023, the law is aligned, and secondary legislation (bylaws) on freshwater fisheries adopted</w:t>
            </w:r>
          </w:p>
        </w:tc>
      </w:tr>
      <w:tr w:rsidR="00604034" w:rsidRPr="007C4D65" w14:paraId="3C73C5AB" w14:textId="77777777" w:rsidTr="00B6017F">
        <w:trPr>
          <w:trHeight w:val="300"/>
        </w:trPr>
        <w:tc>
          <w:tcPr>
            <w:tcW w:w="2254" w:type="dxa"/>
            <w:vMerge/>
            <w:vAlign w:val="center"/>
          </w:tcPr>
          <w:p w14:paraId="776C2A6F"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0BA4E3EF"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Existence of legislation on commercial fishing at sea</w:t>
            </w:r>
          </w:p>
        </w:tc>
        <w:tc>
          <w:tcPr>
            <w:tcW w:w="2254" w:type="dxa"/>
          </w:tcPr>
          <w:p w14:paraId="4FC8ED5D" w14:textId="3BB2AEA5" w:rsidR="00604034" w:rsidRPr="007C4D65" w:rsidRDefault="0076407C"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The Federation of BiH </w:t>
            </w:r>
            <w:r w:rsidR="00604034" w:rsidRPr="007C4D65">
              <w:rPr>
                <w:rFonts w:asciiTheme="minorHAnsi" w:hAnsiTheme="minorHAnsi"/>
                <w:sz w:val="18"/>
                <w:szCs w:val="18"/>
              </w:rPr>
              <w:t>does not have a law on commercial fishing at sea.</w:t>
            </w:r>
          </w:p>
        </w:tc>
        <w:tc>
          <w:tcPr>
            <w:tcW w:w="2254" w:type="dxa"/>
          </w:tcPr>
          <w:p w14:paraId="6A46E2B2"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By 2023, adopted law and bylaws on commercial fishing at sea, harmonized with the common fisheries policy, commitments under EU Directives, and international agreements</w:t>
            </w:r>
          </w:p>
        </w:tc>
      </w:tr>
      <w:tr w:rsidR="00604034" w:rsidRPr="007C4D65" w14:paraId="5D15EA06" w14:textId="77777777" w:rsidTr="00B6017F">
        <w:trPr>
          <w:trHeight w:val="300"/>
        </w:trPr>
        <w:tc>
          <w:tcPr>
            <w:tcW w:w="2254" w:type="dxa"/>
            <w:vMerge/>
            <w:vAlign w:val="center"/>
          </w:tcPr>
          <w:p w14:paraId="40730664"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17C8F8EE"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Existence of a Fisheries Information System </w:t>
            </w:r>
          </w:p>
        </w:tc>
        <w:tc>
          <w:tcPr>
            <w:tcW w:w="2254" w:type="dxa"/>
          </w:tcPr>
          <w:p w14:paraId="14028AB2" w14:textId="71614930" w:rsidR="00604034" w:rsidRPr="007C4D65" w:rsidRDefault="0076407C"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The Federation of BiH </w:t>
            </w:r>
            <w:r w:rsidR="00604034" w:rsidRPr="007C4D65">
              <w:rPr>
                <w:rFonts w:asciiTheme="minorHAnsi" w:hAnsiTheme="minorHAnsi"/>
                <w:sz w:val="18"/>
                <w:szCs w:val="18"/>
              </w:rPr>
              <w:t>has not yet established the information system on fisheries.</w:t>
            </w:r>
          </w:p>
        </w:tc>
        <w:tc>
          <w:tcPr>
            <w:tcW w:w="2254" w:type="dxa"/>
          </w:tcPr>
          <w:p w14:paraId="408F8609"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By 2030, established a Fisheries Information System </w:t>
            </w:r>
          </w:p>
        </w:tc>
      </w:tr>
      <w:tr w:rsidR="00604034" w:rsidRPr="007C4D65" w14:paraId="607F05CB" w14:textId="77777777" w:rsidTr="00B6017F">
        <w:trPr>
          <w:trHeight w:val="300"/>
        </w:trPr>
        <w:tc>
          <w:tcPr>
            <w:tcW w:w="2254" w:type="dxa"/>
            <w:vMerge/>
            <w:vAlign w:val="center"/>
          </w:tcPr>
          <w:p w14:paraId="2CBFD175"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55D330D9"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Existence of a strategic framework for sustainable development of fishing sector</w:t>
            </w:r>
          </w:p>
        </w:tc>
        <w:tc>
          <w:tcPr>
            <w:tcW w:w="2254" w:type="dxa"/>
          </w:tcPr>
          <w:p w14:paraId="2205C947" w14:textId="12641F01"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Mid-term fisheries development strategy </w:t>
            </w:r>
            <w:r w:rsidR="007436F1" w:rsidRPr="007C4D65">
              <w:rPr>
                <w:rFonts w:asciiTheme="minorHAnsi" w:hAnsiTheme="minorHAnsi"/>
                <w:sz w:val="18"/>
                <w:szCs w:val="18"/>
              </w:rPr>
              <w:t>of the Federation of BiH</w:t>
            </w:r>
            <w:r w:rsidRPr="007C4D65">
              <w:rPr>
                <w:rFonts w:asciiTheme="minorHAnsi" w:hAnsiTheme="minorHAnsi"/>
                <w:sz w:val="18"/>
                <w:szCs w:val="18"/>
              </w:rPr>
              <w:t xml:space="preserve"> 2015‒ 2019 was valid until the end of 2021</w:t>
            </w:r>
          </w:p>
        </w:tc>
        <w:tc>
          <w:tcPr>
            <w:tcW w:w="2254" w:type="dxa"/>
          </w:tcPr>
          <w:p w14:paraId="53077778"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By 2022, adopted strategic framework for sustainable development of fishing sector</w:t>
            </w:r>
          </w:p>
        </w:tc>
      </w:tr>
      <w:tr w:rsidR="00604034" w:rsidRPr="007C4D65" w14:paraId="34C8930E" w14:textId="77777777" w:rsidTr="00B6017F">
        <w:trPr>
          <w:trHeight w:val="300"/>
        </w:trPr>
        <w:tc>
          <w:tcPr>
            <w:tcW w:w="2254" w:type="dxa"/>
            <w:vMerge w:val="restart"/>
          </w:tcPr>
          <w:p w14:paraId="040E165D" w14:textId="37A17C17" w:rsidR="00604034" w:rsidRPr="007C4D65" w:rsidRDefault="00604034" w:rsidP="00B6017F">
            <w:pPr>
              <w:spacing w:line="276" w:lineRule="auto"/>
              <w:rPr>
                <w:rFonts w:asciiTheme="minorHAnsi" w:eastAsiaTheme="minorHAnsi" w:hAnsiTheme="minorHAnsi" w:cstheme="minorHAnsi"/>
                <w:b/>
                <w:bCs/>
                <w:sz w:val="18"/>
                <w:szCs w:val="18"/>
              </w:rPr>
            </w:pPr>
            <w:r w:rsidRPr="007C4D65">
              <w:rPr>
                <w:rFonts w:asciiTheme="minorHAnsi" w:hAnsiTheme="minorHAnsi"/>
                <w:b/>
                <w:bCs/>
                <w:sz w:val="18"/>
                <w:szCs w:val="18"/>
              </w:rPr>
              <w:t>Priority 6.4 Establish integrated and sustainable management of land resources</w:t>
            </w:r>
          </w:p>
        </w:tc>
        <w:tc>
          <w:tcPr>
            <w:tcW w:w="2254" w:type="dxa"/>
          </w:tcPr>
          <w:p w14:paraId="2B7CAA8E"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Existence of legal and strategic framework for comprehensive protection of land</w:t>
            </w:r>
          </w:p>
        </w:tc>
        <w:tc>
          <w:tcPr>
            <w:tcW w:w="2254" w:type="dxa"/>
          </w:tcPr>
          <w:p w14:paraId="68A7C8F9" w14:textId="260615DF" w:rsidR="00604034" w:rsidRPr="007C4D65" w:rsidRDefault="007436F1"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In the Federation of BiH</w:t>
            </w:r>
            <w:r w:rsidR="00604034" w:rsidRPr="007C4D65">
              <w:rPr>
                <w:rFonts w:asciiTheme="minorHAnsi" w:hAnsiTheme="minorHAnsi"/>
                <w:sz w:val="18"/>
                <w:szCs w:val="18"/>
              </w:rPr>
              <w:t>, land is protected by various regulations, depending on the type of soil: by the laws in the field of agriculture, forestry, spatial planning and construction. There is no comprehensive legislative framework that would provide for protection of land as a whole</w:t>
            </w:r>
          </w:p>
        </w:tc>
        <w:tc>
          <w:tcPr>
            <w:tcW w:w="2254" w:type="dxa"/>
          </w:tcPr>
          <w:p w14:paraId="07D5EBED"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By 2025, adopted is the Law on Protection of Land and relevant secondary legislation (bylaws), as well as the Strategy for Sustainable Use of Land</w:t>
            </w:r>
          </w:p>
        </w:tc>
      </w:tr>
      <w:tr w:rsidR="00604034" w:rsidRPr="007C4D65" w14:paraId="69C7067D" w14:textId="77777777" w:rsidTr="00B6017F">
        <w:trPr>
          <w:trHeight w:val="300"/>
        </w:trPr>
        <w:tc>
          <w:tcPr>
            <w:tcW w:w="2254" w:type="dxa"/>
            <w:vMerge/>
            <w:vAlign w:val="center"/>
          </w:tcPr>
          <w:p w14:paraId="0DBE3D28"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563CDC6E"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Existence of methods, measures and indicators for sustainable management and protection of land resources</w:t>
            </w:r>
          </w:p>
        </w:tc>
        <w:tc>
          <w:tcPr>
            <w:tcW w:w="2254" w:type="dxa"/>
          </w:tcPr>
          <w:p w14:paraId="77E14AF0" w14:textId="4F687785" w:rsidR="00604034" w:rsidRPr="007C4D65" w:rsidRDefault="007436F1"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In the Federation of BiH</w:t>
            </w:r>
            <w:r w:rsidR="00604034" w:rsidRPr="007C4D65">
              <w:rPr>
                <w:rFonts w:asciiTheme="minorHAnsi" w:hAnsiTheme="minorHAnsi"/>
                <w:sz w:val="18"/>
                <w:szCs w:val="18"/>
              </w:rPr>
              <w:t>, there is no framework in place for monitoring land management sustainability</w:t>
            </w:r>
          </w:p>
        </w:tc>
        <w:tc>
          <w:tcPr>
            <w:tcW w:w="2254" w:type="dxa"/>
          </w:tcPr>
          <w:p w14:paraId="1904D75F"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By 2025, adopted are the methods, measures and indicators for sustainable management and protection of land resources</w:t>
            </w:r>
          </w:p>
        </w:tc>
      </w:tr>
      <w:tr w:rsidR="00604034" w:rsidRPr="007C4D65" w14:paraId="33B13ED8" w14:textId="77777777" w:rsidTr="00B6017F">
        <w:trPr>
          <w:trHeight w:val="300"/>
        </w:trPr>
        <w:tc>
          <w:tcPr>
            <w:tcW w:w="2254" w:type="dxa"/>
            <w:vMerge/>
            <w:vAlign w:val="center"/>
          </w:tcPr>
          <w:p w14:paraId="1350E558"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217B2515"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Existence of land monitoring </w:t>
            </w:r>
          </w:p>
        </w:tc>
        <w:tc>
          <w:tcPr>
            <w:tcW w:w="2254" w:type="dxa"/>
          </w:tcPr>
          <w:p w14:paraId="0C4A4E61" w14:textId="5281E1CE" w:rsidR="00604034" w:rsidRPr="007C4D65" w:rsidRDefault="0076407C"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The Federation of BiH </w:t>
            </w:r>
            <w:r w:rsidR="00604034" w:rsidRPr="007C4D65">
              <w:rPr>
                <w:rFonts w:asciiTheme="minorHAnsi" w:hAnsiTheme="minorHAnsi"/>
                <w:sz w:val="18"/>
                <w:szCs w:val="18"/>
              </w:rPr>
              <w:t xml:space="preserve">has partially established </w:t>
            </w:r>
            <w:r w:rsidR="00604034" w:rsidRPr="007C4D65">
              <w:rPr>
                <w:rFonts w:asciiTheme="minorHAnsi" w:hAnsiTheme="minorHAnsi"/>
                <w:sz w:val="18"/>
                <w:szCs w:val="18"/>
              </w:rPr>
              <w:lastRenderedPageBreak/>
              <w:t>monitoring system for agricultural land quality</w:t>
            </w:r>
          </w:p>
        </w:tc>
        <w:tc>
          <w:tcPr>
            <w:tcW w:w="2254" w:type="dxa"/>
          </w:tcPr>
          <w:p w14:paraId="19AD981D"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lastRenderedPageBreak/>
              <w:t>By 2027, established is the complete framework for land monitoring</w:t>
            </w:r>
          </w:p>
        </w:tc>
      </w:tr>
      <w:tr w:rsidR="00604034" w:rsidRPr="007C4D65" w14:paraId="5FE4173C" w14:textId="77777777" w:rsidTr="00B6017F">
        <w:trPr>
          <w:trHeight w:val="300"/>
        </w:trPr>
        <w:tc>
          <w:tcPr>
            <w:tcW w:w="2254" w:type="dxa"/>
            <w:vMerge/>
          </w:tcPr>
          <w:p w14:paraId="31C4A1B0"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5F7B9FC6"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Area of degraded land (ha)</w:t>
            </w:r>
          </w:p>
        </w:tc>
        <w:tc>
          <w:tcPr>
            <w:tcW w:w="2254" w:type="dxa"/>
          </w:tcPr>
          <w:p w14:paraId="24AD49AB" w14:textId="014FA0F2" w:rsidR="00604034" w:rsidRPr="007C4D65" w:rsidRDefault="0076407C"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The Federation of BiH </w:t>
            </w:r>
            <w:r w:rsidR="00604034" w:rsidRPr="007C4D65">
              <w:rPr>
                <w:rFonts w:asciiTheme="minorHAnsi" w:hAnsiTheme="minorHAnsi"/>
                <w:sz w:val="18"/>
                <w:szCs w:val="18"/>
              </w:rPr>
              <w:t xml:space="preserve">has not had any significant plans or programmes to rehabilitate the degraded land, except for the projects of re-cultivation in mining sector and TPP. For the purposes of this Strategy, the baseline value shall </w:t>
            </w:r>
            <w:proofErr w:type="gramStart"/>
            <w:r w:rsidR="00604034" w:rsidRPr="007C4D65">
              <w:rPr>
                <w:rFonts w:asciiTheme="minorHAnsi" w:hAnsiTheme="minorHAnsi"/>
                <w:sz w:val="18"/>
                <w:szCs w:val="18"/>
              </w:rPr>
              <w:t>be considered to be</w:t>
            </w:r>
            <w:proofErr w:type="gramEnd"/>
            <w:r w:rsidR="00604034" w:rsidRPr="007C4D65">
              <w:rPr>
                <w:rFonts w:asciiTheme="minorHAnsi" w:hAnsiTheme="minorHAnsi"/>
                <w:sz w:val="18"/>
                <w:szCs w:val="18"/>
              </w:rPr>
              <w:t xml:space="preserve"> 0 ha</w:t>
            </w:r>
          </w:p>
        </w:tc>
        <w:tc>
          <w:tcPr>
            <w:tcW w:w="2254" w:type="dxa"/>
          </w:tcPr>
          <w:p w14:paraId="26EFFDB0"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Carried out rehabilitation of degraded land area (approximately 3500 ha)</w:t>
            </w:r>
          </w:p>
        </w:tc>
      </w:tr>
      <w:tr w:rsidR="00604034" w:rsidRPr="007C4D65" w14:paraId="49D80BB8" w14:textId="77777777" w:rsidTr="00B6017F">
        <w:trPr>
          <w:trHeight w:val="300"/>
        </w:trPr>
        <w:tc>
          <w:tcPr>
            <w:tcW w:w="2254" w:type="dxa"/>
            <w:vMerge/>
          </w:tcPr>
          <w:p w14:paraId="4C5C51E1"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0CBE12F6"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Land mines</w:t>
            </w:r>
          </w:p>
        </w:tc>
        <w:tc>
          <w:tcPr>
            <w:tcW w:w="2254" w:type="dxa"/>
          </w:tcPr>
          <w:p w14:paraId="72EA2242" w14:textId="16A59A88"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In 2020, 966m</w:t>
            </w:r>
            <w:r w:rsidRPr="007C4D65">
              <w:rPr>
                <w:rFonts w:asciiTheme="minorHAnsi" w:hAnsiTheme="minorHAnsi"/>
                <w:sz w:val="18"/>
                <w:szCs w:val="18"/>
                <w:vertAlign w:val="superscript"/>
              </w:rPr>
              <w:t>2</w:t>
            </w:r>
            <w:r w:rsidRPr="007C4D65">
              <w:rPr>
                <w:rFonts w:asciiTheme="minorHAnsi" w:hAnsiTheme="minorHAnsi"/>
                <w:sz w:val="18"/>
                <w:szCs w:val="18"/>
              </w:rPr>
              <w:t xml:space="preserve"> of area </w:t>
            </w:r>
            <w:r w:rsidR="007436F1" w:rsidRPr="007C4D65">
              <w:rPr>
                <w:rFonts w:asciiTheme="minorHAnsi" w:hAnsiTheme="minorHAnsi"/>
                <w:sz w:val="18"/>
                <w:szCs w:val="18"/>
              </w:rPr>
              <w:t>in the Federation of BiH</w:t>
            </w:r>
            <w:r w:rsidRPr="007C4D65">
              <w:rPr>
                <w:rFonts w:asciiTheme="minorHAnsi" w:hAnsiTheme="minorHAnsi"/>
                <w:sz w:val="18"/>
                <w:szCs w:val="18"/>
              </w:rPr>
              <w:t xml:space="preserve"> was found to be polluted by land mines</w:t>
            </w:r>
          </w:p>
        </w:tc>
        <w:tc>
          <w:tcPr>
            <w:tcW w:w="2254" w:type="dxa"/>
          </w:tcPr>
          <w:p w14:paraId="1B313557" w14:textId="66DE1DE8"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Complete demining of 100% of land by 2030</w:t>
            </w:r>
          </w:p>
        </w:tc>
      </w:tr>
      <w:tr w:rsidR="00604034" w:rsidRPr="007C4D65" w14:paraId="4DF19710" w14:textId="77777777" w:rsidTr="00B6017F">
        <w:trPr>
          <w:trHeight w:val="300"/>
        </w:trPr>
        <w:tc>
          <w:tcPr>
            <w:tcW w:w="2254" w:type="dxa"/>
            <w:vMerge w:val="restart"/>
          </w:tcPr>
          <w:p w14:paraId="004665C5" w14:textId="49224696" w:rsidR="00604034" w:rsidRPr="007C4D65" w:rsidRDefault="00604034" w:rsidP="00B6017F">
            <w:pPr>
              <w:spacing w:line="276" w:lineRule="auto"/>
              <w:rPr>
                <w:rFonts w:asciiTheme="minorHAnsi" w:eastAsiaTheme="minorHAnsi" w:hAnsiTheme="minorHAnsi" w:cstheme="minorHAnsi"/>
                <w:b/>
                <w:bCs/>
                <w:sz w:val="18"/>
                <w:szCs w:val="18"/>
              </w:rPr>
            </w:pPr>
            <w:r w:rsidRPr="007C4D65">
              <w:rPr>
                <w:rFonts w:asciiTheme="minorHAnsi" w:hAnsiTheme="minorHAnsi"/>
                <w:b/>
                <w:bCs/>
                <w:sz w:val="18"/>
                <w:szCs w:val="18"/>
              </w:rPr>
              <w:t>Priority 6.5</w:t>
            </w:r>
          </w:p>
          <w:p w14:paraId="27BAD477" w14:textId="77777777" w:rsidR="00604034" w:rsidRPr="007C4D65" w:rsidRDefault="00604034" w:rsidP="00B6017F">
            <w:pPr>
              <w:spacing w:line="276" w:lineRule="auto"/>
              <w:rPr>
                <w:rFonts w:asciiTheme="minorHAnsi" w:eastAsiaTheme="minorHAnsi" w:hAnsiTheme="minorHAnsi" w:cstheme="minorHAnsi"/>
                <w:b/>
                <w:bCs/>
                <w:sz w:val="18"/>
                <w:szCs w:val="18"/>
              </w:rPr>
            </w:pPr>
            <w:r w:rsidRPr="007C4D65">
              <w:rPr>
                <w:rFonts w:asciiTheme="minorHAnsi" w:hAnsiTheme="minorHAnsi"/>
                <w:b/>
                <w:bCs/>
                <w:sz w:val="18"/>
                <w:szCs w:val="18"/>
              </w:rPr>
              <w:t>Establish a system of sustainable and responsible research, exploitation and management of mineral resources</w:t>
            </w:r>
          </w:p>
          <w:p w14:paraId="45759EEA"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4C5E5C63"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Existence of a framework for sustainable use and exploitation of mineral resources</w:t>
            </w:r>
          </w:p>
        </w:tc>
        <w:tc>
          <w:tcPr>
            <w:tcW w:w="2254" w:type="dxa"/>
          </w:tcPr>
          <w:p w14:paraId="5B0B1296" w14:textId="722E3DBF" w:rsidR="00604034" w:rsidRPr="007C4D65" w:rsidRDefault="0076407C"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The Federation of BiH </w:t>
            </w:r>
            <w:r w:rsidR="00604034" w:rsidRPr="007C4D65">
              <w:rPr>
                <w:rFonts w:asciiTheme="minorHAnsi" w:hAnsiTheme="minorHAnsi"/>
                <w:sz w:val="18"/>
                <w:szCs w:val="18"/>
              </w:rPr>
              <w:t>does not have an integrated framework for managing mineral resources, that would include recovery of resources from products, manufacturing or construction, so the exploitation and import of raw materials is currently the only solution</w:t>
            </w:r>
          </w:p>
        </w:tc>
        <w:tc>
          <w:tcPr>
            <w:tcW w:w="2254" w:type="dxa"/>
          </w:tcPr>
          <w:p w14:paraId="52D4EF6A"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By 2026, developed is a strategy for cost </w:t>
            </w:r>
            <w:proofErr w:type="gramStart"/>
            <w:r w:rsidRPr="007C4D65">
              <w:rPr>
                <w:rFonts w:asciiTheme="minorHAnsi" w:hAnsiTheme="minorHAnsi"/>
                <w:sz w:val="18"/>
                <w:szCs w:val="18"/>
              </w:rPr>
              <w:t>effective,  socially</w:t>
            </w:r>
            <w:proofErr w:type="gramEnd"/>
            <w:r w:rsidRPr="007C4D65">
              <w:rPr>
                <w:rFonts w:asciiTheme="minorHAnsi" w:hAnsiTheme="minorHAnsi"/>
                <w:sz w:val="18"/>
                <w:szCs w:val="18"/>
              </w:rPr>
              <w:t xml:space="preserve"> and environmentally acceptable exploitation of ores and minerals that would include recovery of mineral and metallic resources from waste (urban mining, circular economy)</w:t>
            </w:r>
          </w:p>
        </w:tc>
      </w:tr>
      <w:tr w:rsidR="00604034" w:rsidRPr="007C4D65" w14:paraId="13E8D1A3" w14:textId="77777777" w:rsidTr="00B6017F">
        <w:trPr>
          <w:trHeight w:val="300"/>
        </w:trPr>
        <w:tc>
          <w:tcPr>
            <w:tcW w:w="2254" w:type="dxa"/>
            <w:vMerge/>
            <w:vAlign w:val="center"/>
          </w:tcPr>
          <w:p w14:paraId="483D2DAF" w14:textId="77777777" w:rsidR="00604034" w:rsidRPr="007C4D65" w:rsidRDefault="00604034" w:rsidP="00B6017F">
            <w:pPr>
              <w:spacing w:line="276" w:lineRule="auto"/>
              <w:rPr>
                <w:rFonts w:asciiTheme="minorHAnsi" w:eastAsiaTheme="minorHAnsi" w:hAnsiTheme="minorHAnsi" w:cstheme="minorHAnsi"/>
                <w:sz w:val="18"/>
                <w:szCs w:val="18"/>
                <w:lang w:val="hr-HR" w:eastAsia="en-US"/>
              </w:rPr>
            </w:pPr>
          </w:p>
        </w:tc>
        <w:tc>
          <w:tcPr>
            <w:tcW w:w="2254" w:type="dxa"/>
          </w:tcPr>
          <w:p w14:paraId="6E0E697D" w14:textId="7303C65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Existence of programmes and plans for more efficient exploitation of mineral resources</w:t>
            </w:r>
          </w:p>
        </w:tc>
        <w:tc>
          <w:tcPr>
            <w:tcW w:w="2254" w:type="dxa"/>
          </w:tcPr>
          <w:p w14:paraId="39F1D539" w14:textId="52893F40"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 xml:space="preserve">Current level of technical equipment </w:t>
            </w:r>
            <w:r w:rsidR="007436F1" w:rsidRPr="007C4D65">
              <w:rPr>
                <w:rFonts w:asciiTheme="minorHAnsi" w:hAnsiTheme="minorHAnsi"/>
                <w:sz w:val="18"/>
                <w:szCs w:val="18"/>
              </w:rPr>
              <w:t>in the Federation of BiH</w:t>
            </w:r>
            <w:r w:rsidRPr="007C4D65">
              <w:rPr>
                <w:rFonts w:asciiTheme="minorHAnsi" w:hAnsiTheme="minorHAnsi"/>
                <w:sz w:val="18"/>
                <w:szCs w:val="18"/>
              </w:rPr>
              <w:t xml:space="preserve"> is not conductive for efficient exploitation of raw materials</w:t>
            </w:r>
          </w:p>
        </w:tc>
        <w:tc>
          <w:tcPr>
            <w:tcW w:w="2254" w:type="dxa"/>
          </w:tcPr>
          <w:p w14:paraId="0D8DCC71" w14:textId="77777777" w:rsidR="00604034" w:rsidRPr="007C4D65" w:rsidRDefault="00604034" w:rsidP="00B6017F">
            <w:pPr>
              <w:spacing w:line="276" w:lineRule="auto"/>
              <w:rPr>
                <w:rFonts w:asciiTheme="minorHAnsi" w:eastAsiaTheme="minorHAnsi" w:hAnsiTheme="minorHAnsi" w:cstheme="minorHAnsi"/>
                <w:sz w:val="18"/>
                <w:szCs w:val="18"/>
              </w:rPr>
            </w:pPr>
            <w:r w:rsidRPr="007C4D65">
              <w:rPr>
                <w:rFonts w:asciiTheme="minorHAnsi" w:hAnsiTheme="minorHAnsi"/>
                <w:sz w:val="18"/>
                <w:szCs w:val="18"/>
              </w:rPr>
              <w:t>By 2029, adopted are programmes and plans for introduction of contemporary technology in mines owned by FBiH for the purpose of providing conditions for improved efficiency of exploitation and use of mineral resources and prevention of generation of waste</w:t>
            </w:r>
          </w:p>
        </w:tc>
      </w:tr>
    </w:tbl>
    <w:p w14:paraId="5E6FF154" w14:textId="77777777" w:rsidR="00FF6549" w:rsidRPr="007C4D65" w:rsidRDefault="00FF6549" w:rsidP="0068355A">
      <w:pPr>
        <w:spacing w:line="276" w:lineRule="auto"/>
        <w:rPr>
          <w:rFonts w:asciiTheme="minorHAnsi" w:hAnsiTheme="minorHAnsi" w:cstheme="minorHAnsi"/>
        </w:rPr>
      </w:pPr>
    </w:p>
    <w:p w14:paraId="078A041A" w14:textId="79169282" w:rsidR="009A1CFB" w:rsidRPr="007C4D65" w:rsidRDefault="0054266E">
      <w:pPr>
        <w:pStyle w:val="Head3"/>
        <w:spacing w:line="276" w:lineRule="auto"/>
        <w:rPr>
          <w:rFonts w:asciiTheme="minorHAnsi" w:hAnsiTheme="minorHAnsi"/>
        </w:rPr>
      </w:pPr>
      <w:bookmarkStart w:id="194" w:name="_Toc117445363"/>
      <w:r w:rsidRPr="007C4D65">
        <w:rPr>
          <w:rFonts w:asciiTheme="minorHAnsi" w:hAnsiTheme="minorHAnsi"/>
        </w:rPr>
        <w:t xml:space="preserve">Description of </w:t>
      </w:r>
      <w:r w:rsidR="002E1D74" w:rsidRPr="007C4D65">
        <w:rPr>
          <w:rFonts w:asciiTheme="minorHAnsi" w:hAnsiTheme="minorHAnsi"/>
        </w:rPr>
        <w:t>m</w:t>
      </w:r>
      <w:r w:rsidRPr="007C4D65">
        <w:rPr>
          <w:rFonts w:asciiTheme="minorHAnsi" w:hAnsiTheme="minorHAnsi"/>
        </w:rPr>
        <w:t>easures</w:t>
      </w:r>
      <w:bookmarkEnd w:id="194"/>
    </w:p>
    <w:p w14:paraId="3AA9B601" w14:textId="42FAC63A" w:rsidR="00604034" w:rsidRPr="007C4D65" w:rsidRDefault="00604034" w:rsidP="00604034">
      <w:pPr>
        <w:tabs>
          <w:tab w:val="left" w:pos="2435"/>
        </w:tabs>
        <w:spacing w:after="160" w:line="276" w:lineRule="auto"/>
        <w:rPr>
          <w:rFonts w:asciiTheme="minorHAnsi" w:eastAsia="Calibri" w:hAnsiTheme="minorHAnsi" w:cstheme="minorHAnsi"/>
          <w:b/>
          <w:bCs/>
          <w:i/>
          <w:iCs/>
          <w:sz w:val="22"/>
          <w:szCs w:val="22"/>
          <w:u w:val="single"/>
        </w:rPr>
      </w:pPr>
      <w:r w:rsidRPr="007C4D65">
        <w:rPr>
          <w:rFonts w:asciiTheme="minorHAnsi" w:hAnsiTheme="minorHAnsi"/>
          <w:b/>
          <w:bCs/>
          <w:i/>
          <w:iCs/>
          <w:sz w:val="22"/>
          <w:szCs w:val="22"/>
          <w:u w:val="single"/>
        </w:rPr>
        <w:t xml:space="preserve">Priority 6.1 </w:t>
      </w:r>
      <w:r w:rsidR="00DF4EC7" w:rsidRPr="007C4D65">
        <w:rPr>
          <w:rFonts w:asciiTheme="minorHAnsi" w:hAnsiTheme="minorHAnsi"/>
          <w:b/>
          <w:bCs/>
          <w:i/>
          <w:iCs/>
          <w:sz w:val="22"/>
          <w:szCs w:val="22"/>
          <w:u w:val="single"/>
        </w:rPr>
        <w:t>Establish an effective legal, strategic and institutional framework for sustainable forest and forest resources management in the Federation of BiH, appropriate valuation of forest resources, and ensure integration of gender and climate change issues</w:t>
      </w:r>
    </w:p>
    <w:p w14:paraId="1BB8075A" w14:textId="77777777" w:rsidR="00604034" w:rsidRPr="007C4D65" w:rsidRDefault="00604034" w:rsidP="00604034">
      <w:pPr>
        <w:tabs>
          <w:tab w:val="left" w:pos="2435"/>
        </w:tabs>
        <w:spacing w:after="160" w:line="276" w:lineRule="auto"/>
        <w:rPr>
          <w:rFonts w:asciiTheme="minorHAnsi" w:eastAsia="Calibri" w:hAnsiTheme="minorHAnsi" w:cstheme="minorHAnsi"/>
          <w:i/>
          <w:iCs/>
          <w:sz w:val="22"/>
          <w:szCs w:val="22"/>
          <w:u w:val="single"/>
        </w:rPr>
      </w:pPr>
      <w:r w:rsidRPr="007C4D65">
        <w:rPr>
          <w:rFonts w:asciiTheme="minorHAnsi" w:hAnsiTheme="minorHAnsi"/>
          <w:i/>
          <w:iCs/>
          <w:sz w:val="22"/>
          <w:szCs w:val="22"/>
          <w:u w:val="single"/>
        </w:rPr>
        <w:t>Measure 6.1.1. Establishing strategic and legal framework for sustainable management of forest resources</w:t>
      </w:r>
    </w:p>
    <w:p w14:paraId="7DFECA01" w14:textId="72DCDE7B" w:rsidR="00604034" w:rsidRPr="007C4D65" w:rsidRDefault="00604034" w:rsidP="00604034">
      <w:pPr>
        <w:spacing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This measure aims to create strategic and legal framework for sustainable management of forest resources based on the principles of multi-functionality and protection of biodiversity of forest ecosystems, to be applicable to private and </w:t>
      </w:r>
      <w:proofErr w:type="gramStart"/>
      <w:r w:rsidRPr="007C4D65">
        <w:rPr>
          <w:rFonts w:asciiTheme="minorHAnsi" w:hAnsiTheme="minorHAnsi"/>
          <w:sz w:val="22"/>
          <w:szCs w:val="22"/>
        </w:rPr>
        <w:t>state owned</w:t>
      </w:r>
      <w:proofErr w:type="gramEnd"/>
      <w:r w:rsidRPr="007C4D65">
        <w:rPr>
          <w:rFonts w:asciiTheme="minorHAnsi" w:hAnsiTheme="minorHAnsi"/>
          <w:sz w:val="22"/>
          <w:szCs w:val="22"/>
        </w:rPr>
        <w:t xml:space="preserve"> forests.</w:t>
      </w:r>
    </w:p>
    <w:p w14:paraId="32987F0D" w14:textId="77777777" w:rsidR="00604034" w:rsidRPr="007C4D65" w:rsidRDefault="00604034" w:rsidP="00604034">
      <w:pPr>
        <w:spacing w:line="276" w:lineRule="auto"/>
        <w:jc w:val="both"/>
        <w:rPr>
          <w:rFonts w:asciiTheme="minorHAnsi" w:eastAsia="Calibri" w:hAnsiTheme="minorHAnsi" w:cstheme="minorHAnsi"/>
          <w:sz w:val="22"/>
          <w:szCs w:val="22"/>
        </w:rPr>
      </w:pPr>
      <w:r w:rsidRPr="007C4D65">
        <w:rPr>
          <w:rFonts w:asciiTheme="minorHAnsi" w:hAnsiTheme="minorHAnsi"/>
          <w:sz w:val="22"/>
          <w:szCs w:val="22"/>
        </w:rPr>
        <w:lastRenderedPageBreak/>
        <w:t>Achieving this goal includes a range of legislative, planning and institutional measures:</w:t>
      </w:r>
    </w:p>
    <w:p w14:paraId="1F4EE4C6" w14:textId="7DC3024D" w:rsidR="00604034" w:rsidRPr="007C4D65" w:rsidRDefault="00604034">
      <w:pPr>
        <w:numPr>
          <w:ilvl w:val="0"/>
          <w:numId w:val="67"/>
        </w:numPr>
        <w:spacing w:after="160" w:line="276" w:lineRule="auto"/>
        <w:contextualSpacing/>
        <w:jc w:val="both"/>
        <w:rPr>
          <w:rFonts w:asciiTheme="minorHAnsi" w:eastAsia="Calibri" w:hAnsiTheme="minorHAnsi" w:cstheme="minorHAnsi"/>
          <w:strike/>
          <w:sz w:val="22"/>
          <w:szCs w:val="22"/>
        </w:rPr>
      </w:pPr>
      <w:r w:rsidRPr="007C4D65">
        <w:rPr>
          <w:rFonts w:asciiTheme="minorHAnsi" w:hAnsiTheme="minorHAnsi"/>
          <w:sz w:val="22"/>
          <w:szCs w:val="22"/>
        </w:rPr>
        <w:t xml:space="preserve">Adopting the Proposal of the Law on Forests - which is in the parliamentary </w:t>
      </w:r>
      <w:proofErr w:type="gramStart"/>
      <w:r w:rsidRPr="007C4D65">
        <w:rPr>
          <w:rFonts w:asciiTheme="minorHAnsi" w:hAnsiTheme="minorHAnsi"/>
          <w:sz w:val="22"/>
          <w:szCs w:val="22"/>
        </w:rPr>
        <w:t>procedure;</w:t>
      </w:r>
      <w:proofErr w:type="gramEnd"/>
    </w:p>
    <w:p w14:paraId="30AB4B9C" w14:textId="77777777" w:rsidR="00604034" w:rsidRPr="007C4D65" w:rsidRDefault="00604034">
      <w:pPr>
        <w:numPr>
          <w:ilvl w:val="0"/>
          <w:numId w:val="67"/>
        </w:numPr>
        <w:spacing w:line="276" w:lineRule="auto"/>
        <w:rPr>
          <w:rFonts w:asciiTheme="minorHAnsi" w:hAnsiTheme="minorHAnsi" w:cstheme="minorHAnsi"/>
          <w:color w:val="000000"/>
          <w:sz w:val="22"/>
          <w:szCs w:val="22"/>
        </w:rPr>
      </w:pPr>
      <w:r w:rsidRPr="007C4D65">
        <w:rPr>
          <w:rFonts w:asciiTheme="minorHAnsi" w:hAnsiTheme="minorHAnsi"/>
          <w:color w:val="000000"/>
          <w:sz w:val="22"/>
          <w:szCs w:val="22"/>
        </w:rPr>
        <w:t xml:space="preserve">Development and adoption of amendments to the Law on Forests with the aim of further alignment of the Law with international conventions and EU </w:t>
      </w:r>
      <w:proofErr w:type="gramStart"/>
      <w:r w:rsidRPr="007C4D65">
        <w:rPr>
          <w:rFonts w:asciiTheme="minorHAnsi" w:hAnsiTheme="minorHAnsi"/>
          <w:color w:val="000000"/>
          <w:sz w:val="22"/>
          <w:szCs w:val="22"/>
        </w:rPr>
        <w:t>directives;</w:t>
      </w:r>
      <w:proofErr w:type="gramEnd"/>
    </w:p>
    <w:p w14:paraId="368064AF" w14:textId="3D3C2FDF" w:rsidR="00604034" w:rsidRPr="007C4D65" w:rsidRDefault="00604034">
      <w:pPr>
        <w:numPr>
          <w:ilvl w:val="0"/>
          <w:numId w:val="67"/>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Adoption of bylaws specifying the content and method of developing forest management plans for privately and state-owned forests, scope and methodology of monitoring health status of forests, monitoring indicators of sustainable use of forests and reporting, issuing licenses for pickers of non-timber forest </w:t>
      </w:r>
      <w:proofErr w:type="gramStart"/>
      <w:r w:rsidRPr="007C4D65">
        <w:rPr>
          <w:rFonts w:asciiTheme="minorHAnsi" w:hAnsiTheme="minorHAnsi"/>
          <w:sz w:val="22"/>
          <w:szCs w:val="22"/>
        </w:rPr>
        <w:t>products;</w:t>
      </w:r>
      <w:proofErr w:type="gramEnd"/>
    </w:p>
    <w:p w14:paraId="76A34C36" w14:textId="6851C255" w:rsidR="00604034" w:rsidRPr="007C4D65" w:rsidRDefault="00604034">
      <w:pPr>
        <w:numPr>
          <w:ilvl w:val="0"/>
          <w:numId w:val="67"/>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Identification of principles and criteria for sustainable forest management, which will be sensitive to the social inequality issues, in line with the EU Forest Strategy (</w:t>
      </w:r>
      <w:proofErr w:type="gramStart"/>
      <w:r w:rsidRPr="007C4D65">
        <w:rPr>
          <w:rFonts w:asciiTheme="minorHAnsi" w:hAnsiTheme="minorHAnsi"/>
          <w:sz w:val="22"/>
          <w:szCs w:val="22"/>
        </w:rPr>
        <w:t>COM(</w:t>
      </w:r>
      <w:proofErr w:type="gramEnd"/>
      <w:r w:rsidRPr="007C4D65">
        <w:rPr>
          <w:rFonts w:asciiTheme="minorHAnsi" w:hAnsiTheme="minorHAnsi"/>
          <w:sz w:val="22"/>
          <w:szCs w:val="22"/>
        </w:rPr>
        <w:t xml:space="preserve">2021)572), as the European reference framework for development of sector policies that impact forests, and European Green Deal, the Road Map. Criteria and principles need to be harmonized among entities and </w:t>
      </w:r>
      <w:r w:rsidR="00295360" w:rsidRPr="007C4D65">
        <w:rPr>
          <w:rFonts w:asciiTheme="minorHAnsi" w:hAnsiTheme="minorHAnsi"/>
          <w:sz w:val="22"/>
          <w:szCs w:val="22"/>
        </w:rPr>
        <w:t>Brcko</w:t>
      </w:r>
      <w:r w:rsidRPr="007C4D65">
        <w:rPr>
          <w:rFonts w:asciiTheme="minorHAnsi" w:hAnsiTheme="minorHAnsi"/>
          <w:sz w:val="22"/>
          <w:szCs w:val="22"/>
        </w:rPr>
        <w:t xml:space="preserve"> </w:t>
      </w:r>
      <w:proofErr w:type="gramStart"/>
      <w:r w:rsidRPr="007C4D65">
        <w:rPr>
          <w:rFonts w:asciiTheme="minorHAnsi" w:hAnsiTheme="minorHAnsi"/>
          <w:sz w:val="22"/>
          <w:szCs w:val="22"/>
        </w:rPr>
        <w:t>BiH;</w:t>
      </w:r>
      <w:proofErr w:type="gramEnd"/>
    </w:p>
    <w:p w14:paraId="71AFAE1F" w14:textId="669F2417" w:rsidR="00604034" w:rsidRPr="007C4D65" w:rsidRDefault="00604034">
      <w:pPr>
        <w:numPr>
          <w:ilvl w:val="0"/>
          <w:numId w:val="67"/>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Adoption of Forestry Programme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and adoption of the Executive </w:t>
      </w:r>
      <w:proofErr w:type="gramStart"/>
      <w:r w:rsidRPr="007C4D65">
        <w:rPr>
          <w:rFonts w:asciiTheme="minorHAnsi" w:hAnsiTheme="minorHAnsi"/>
          <w:sz w:val="22"/>
          <w:szCs w:val="22"/>
        </w:rPr>
        <w:t>Part;</w:t>
      </w:r>
      <w:proofErr w:type="gramEnd"/>
    </w:p>
    <w:p w14:paraId="7BB7DADC" w14:textId="49054711" w:rsidR="00604034" w:rsidRPr="007C4D65" w:rsidRDefault="00604034">
      <w:pPr>
        <w:numPr>
          <w:ilvl w:val="0"/>
          <w:numId w:val="67"/>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Defining standard methodology for development of forest management plans, while at the same time recognizing planning for other functions of forests, planning the use of bio-mass and non-timber forest products, as well as the protective role of </w:t>
      </w:r>
      <w:proofErr w:type="gramStart"/>
      <w:r w:rsidRPr="007C4D65">
        <w:rPr>
          <w:rFonts w:asciiTheme="minorHAnsi" w:hAnsiTheme="minorHAnsi"/>
          <w:sz w:val="22"/>
          <w:szCs w:val="22"/>
        </w:rPr>
        <w:t>forests;</w:t>
      </w:r>
      <w:proofErr w:type="gramEnd"/>
    </w:p>
    <w:p w14:paraId="57543703" w14:textId="6A8434D5" w:rsidR="00604034" w:rsidRPr="007C4D65" w:rsidRDefault="00604034">
      <w:pPr>
        <w:numPr>
          <w:ilvl w:val="0"/>
          <w:numId w:val="67"/>
        </w:numPr>
        <w:spacing w:after="160" w:line="276" w:lineRule="auto"/>
        <w:contextualSpacing/>
        <w:rPr>
          <w:rFonts w:asciiTheme="minorHAnsi" w:eastAsia="Calibri" w:hAnsiTheme="minorHAnsi" w:cstheme="minorHAnsi"/>
          <w:sz w:val="22"/>
          <w:szCs w:val="22"/>
        </w:rPr>
      </w:pPr>
      <w:r w:rsidRPr="007C4D65">
        <w:rPr>
          <w:rFonts w:asciiTheme="minorHAnsi" w:hAnsiTheme="minorHAnsi"/>
          <w:sz w:val="22"/>
          <w:szCs w:val="22"/>
        </w:rPr>
        <w:t>Training the employees on how to use new methodology when developing forest management plans, and when implementing them and monitoring the performance of the forest management activities.</w:t>
      </w:r>
    </w:p>
    <w:p w14:paraId="54CF4920" w14:textId="6CEBD187" w:rsidR="00604034" w:rsidRPr="007C4D65" w:rsidRDefault="00604034">
      <w:pPr>
        <w:numPr>
          <w:ilvl w:val="0"/>
          <w:numId w:val="67"/>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Demonstrating the use of the new methodology on at least 2 forest </w:t>
      </w:r>
      <w:proofErr w:type="gramStart"/>
      <w:r w:rsidRPr="007C4D65">
        <w:rPr>
          <w:rFonts w:asciiTheme="minorHAnsi" w:hAnsiTheme="minorHAnsi"/>
          <w:sz w:val="22"/>
          <w:szCs w:val="22"/>
        </w:rPr>
        <w:t>areas;</w:t>
      </w:r>
      <w:proofErr w:type="gramEnd"/>
    </w:p>
    <w:p w14:paraId="2F354511" w14:textId="77777777" w:rsidR="00604034" w:rsidRPr="007C4D65" w:rsidRDefault="00604034">
      <w:pPr>
        <w:numPr>
          <w:ilvl w:val="0"/>
          <w:numId w:val="67"/>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Successive development of FMP in accordance with standard methodology for all forest </w:t>
      </w:r>
      <w:proofErr w:type="gramStart"/>
      <w:r w:rsidRPr="007C4D65">
        <w:rPr>
          <w:rFonts w:asciiTheme="minorHAnsi" w:hAnsiTheme="minorHAnsi"/>
          <w:sz w:val="22"/>
          <w:szCs w:val="22"/>
        </w:rPr>
        <w:t>areas;</w:t>
      </w:r>
      <w:proofErr w:type="gramEnd"/>
    </w:p>
    <w:p w14:paraId="29A75AFE" w14:textId="2DD21571" w:rsidR="00604034" w:rsidRPr="007C4D65" w:rsidRDefault="00604034">
      <w:pPr>
        <w:numPr>
          <w:ilvl w:val="0"/>
          <w:numId w:val="67"/>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Development of models for admeasuring and developing private forests, but also for management of private </w:t>
      </w:r>
      <w:proofErr w:type="gramStart"/>
      <w:r w:rsidRPr="007C4D65">
        <w:rPr>
          <w:rFonts w:asciiTheme="minorHAnsi" w:hAnsiTheme="minorHAnsi"/>
          <w:sz w:val="22"/>
          <w:szCs w:val="22"/>
        </w:rPr>
        <w:t>forests;</w:t>
      </w:r>
      <w:proofErr w:type="gramEnd"/>
    </w:p>
    <w:p w14:paraId="145A967F" w14:textId="77777777" w:rsidR="00604034" w:rsidRPr="007C4D65" w:rsidRDefault="00604034">
      <w:pPr>
        <w:numPr>
          <w:ilvl w:val="0"/>
          <w:numId w:val="67"/>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Providing training to private forest owners regarding the new methods of forest </w:t>
      </w:r>
      <w:proofErr w:type="gramStart"/>
      <w:r w:rsidRPr="007C4D65">
        <w:rPr>
          <w:rFonts w:asciiTheme="minorHAnsi" w:hAnsiTheme="minorHAnsi"/>
          <w:sz w:val="22"/>
          <w:szCs w:val="22"/>
        </w:rPr>
        <w:t>management;</w:t>
      </w:r>
      <w:proofErr w:type="gramEnd"/>
    </w:p>
    <w:p w14:paraId="724C3FE7" w14:textId="77777777" w:rsidR="00604034" w:rsidRPr="007C4D65" w:rsidRDefault="00604034">
      <w:pPr>
        <w:numPr>
          <w:ilvl w:val="0"/>
          <w:numId w:val="67"/>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Developing management plans for privately owned forests.</w:t>
      </w:r>
    </w:p>
    <w:p w14:paraId="723C82D7" w14:textId="77777777" w:rsidR="00604034" w:rsidRPr="007C4D65" w:rsidRDefault="00604034" w:rsidP="00604034">
      <w:pPr>
        <w:tabs>
          <w:tab w:val="left" w:pos="2435"/>
        </w:tabs>
        <w:spacing w:before="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Measure 6.1.2. Establishing a system of control of picking medicinal, edible and aromatic plants and non-timber forest products</w:t>
      </w:r>
    </w:p>
    <w:p w14:paraId="1674711D" w14:textId="6F8D4B04" w:rsidR="00604034" w:rsidRPr="007C4D65" w:rsidRDefault="00604034" w:rsidP="00604034">
      <w:p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This measure aims to establish a systematic framework for achieving sustainability in collecting medicinal, edible and aromatic non-timber forest products.</w:t>
      </w:r>
    </w:p>
    <w:p w14:paraId="0C241485" w14:textId="77777777" w:rsidR="00604034" w:rsidRPr="007C4D65" w:rsidRDefault="00604034" w:rsidP="00604034">
      <w:p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The measure implies activities that are focused on introduction of certification system:</w:t>
      </w:r>
    </w:p>
    <w:p w14:paraId="5F33E185" w14:textId="1A83D6C9" w:rsidR="00604034" w:rsidRPr="007C4D65" w:rsidRDefault="00604034">
      <w:pPr>
        <w:pStyle w:val="ListParagraph"/>
        <w:numPr>
          <w:ilvl w:val="0"/>
          <w:numId w:val="68"/>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Development of an action plan for introduction of a system of certification in the sector of use of medicinal, edible and aromatic plants and non-timber forest </w:t>
      </w:r>
      <w:proofErr w:type="gramStart"/>
      <w:r w:rsidRPr="007C4D65">
        <w:rPr>
          <w:rFonts w:asciiTheme="minorHAnsi" w:hAnsiTheme="minorHAnsi"/>
          <w:sz w:val="22"/>
          <w:szCs w:val="22"/>
        </w:rPr>
        <w:t>products;</w:t>
      </w:r>
      <w:proofErr w:type="gramEnd"/>
    </w:p>
    <w:p w14:paraId="645F95CA" w14:textId="77777777" w:rsidR="00604034" w:rsidRPr="007C4D65" w:rsidRDefault="00604034">
      <w:pPr>
        <w:pStyle w:val="ListParagraph"/>
        <w:numPr>
          <w:ilvl w:val="0"/>
          <w:numId w:val="68"/>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Establishing a system for certification in the sector of use of medicinal, edible and aromatic plants and non-timber forest products on a fair and inclusive basis.</w:t>
      </w:r>
    </w:p>
    <w:p w14:paraId="4202447E" w14:textId="3251E5D7" w:rsidR="00604034" w:rsidRPr="007C4D65" w:rsidRDefault="00604034" w:rsidP="00604034">
      <w:pPr>
        <w:tabs>
          <w:tab w:val="left" w:pos="2435"/>
        </w:tabs>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Introduction of a certification system is a measure planned to be implemented in coordination with the Ministry of Foreign Trade and Economic Relations of BiH, </w:t>
      </w:r>
      <w:r w:rsidR="001E6E20" w:rsidRPr="007C4D65">
        <w:rPr>
          <w:rFonts w:asciiTheme="minorHAnsi" w:hAnsiTheme="minorHAnsi"/>
          <w:sz w:val="22"/>
          <w:szCs w:val="22"/>
        </w:rPr>
        <w:t>Federation Ministry</w:t>
      </w:r>
      <w:r w:rsidRPr="007C4D65">
        <w:rPr>
          <w:rFonts w:asciiTheme="minorHAnsi" w:hAnsiTheme="minorHAnsi"/>
          <w:sz w:val="22"/>
          <w:szCs w:val="22"/>
        </w:rPr>
        <w:t xml:space="preserve"> of Agriculture, Water Management and Forestry and the responsible ministries of </w:t>
      </w:r>
      <w:proofErr w:type="spellStart"/>
      <w:r w:rsidRPr="007C4D65">
        <w:rPr>
          <w:rFonts w:asciiTheme="minorHAnsi" w:hAnsiTheme="minorHAnsi"/>
          <w:sz w:val="22"/>
          <w:szCs w:val="22"/>
        </w:rPr>
        <w:t>Republika</w:t>
      </w:r>
      <w:proofErr w:type="spellEnd"/>
      <w:r w:rsidRPr="007C4D65">
        <w:rPr>
          <w:rFonts w:asciiTheme="minorHAnsi" w:hAnsiTheme="minorHAnsi"/>
          <w:sz w:val="22"/>
          <w:szCs w:val="22"/>
        </w:rPr>
        <w:t xml:space="preserve"> Srpska and the Government of </w:t>
      </w:r>
      <w:r w:rsidR="00295360" w:rsidRPr="007C4D65">
        <w:rPr>
          <w:rFonts w:asciiTheme="minorHAnsi" w:hAnsiTheme="minorHAnsi"/>
          <w:sz w:val="22"/>
          <w:szCs w:val="22"/>
        </w:rPr>
        <w:t>Brcko</w:t>
      </w:r>
      <w:r w:rsidRPr="007C4D65">
        <w:rPr>
          <w:rFonts w:asciiTheme="minorHAnsi" w:hAnsiTheme="minorHAnsi"/>
          <w:sz w:val="22"/>
          <w:szCs w:val="22"/>
        </w:rPr>
        <w:t xml:space="preserve"> </w:t>
      </w:r>
      <w:r w:rsidR="0002641E" w:rsidRPr="007C4D65">
        <w:rPr>
          <w:rFonts w:asciiTheme="minorHAnsi" w:hAnsiTheme="minorHAnsi"/>
          <w:sz w:val="22"/>
          <w:szCs w:val="22"/>
        </w:rPr>
        <w:t xml:space="preserve">District of </w:t>
      </w:r>
      <w:r w:rsidRPr="007C4D65">
        <w:rPr>
          <w:rFonts w:asciiTheme="minorHAnsi" w:hAnsiTheme="minorHAnsi"/>
          <w:sz w:val="22"/>
          <w:szCs w:val="22"/>
        </w:rPr>
        <w:t>BiH. A prerequisite for starting the implementation of this measure is adoption of the Law on Forests and the secondary legislation (bylaw) that will regulate conditions for growing, using and trading with non-timber forest products, as planned under Measure 6.1.1.</w:t>
      </w:r>
    </w:p>
    <w:p w14:paraId="6C0A7501" w14:textId="4ED39A16" w:rsidR="00604034" w:rsidRPr="007C4D65" w:rsidRDefault="00604034" w:rsidP="00604034">
      <w:pPr>
        <w:tabs>
          <w:tab w:val="left" w:pos="2435"/>
        </w:tabs>
        <w:spacing w:before="120" w:after="160" w:line="276" w:lineRule="auto"/>
        <w:rPr>
          <w:rFonts w:asciiTheme="minorHAnsi" w:eastAsia="Calibri" w:hAnsiTheme="minorHAnsi" w:cstheme="minorHAnsi"/>
          <w:i/>
          <w:iCs/>
          <w:sz w:val="22"/>
          <w:szCs w:val="22"/>
          <w:u w:val="single"/>
        </w:rPr>
      </w:pPr>
      <w:r w:rsidRPr="007C4D65">
        <w:rPr>
          <w:rFonts w:asciiTheme="minorHAnsi" w:hAnsiTheme="minorHAnsi"/>
          <w:i/>
          <w:iCs/>
          <w:sz w:val="22"/>
          <w:szCs w:val="22"/>
          <w:u w:val="single"/>
        </w:rPr>
        <w:lastRenderedPageBreak/>
        <w:t>Measure 6.1.3. Establishing regular monitoring of forest health status</w:t>
      </w:r>
    </w:p>
    <w:p w14:paraId="6837A265" w14:textId="26CB1942" w:rsidR="00604034" w:rsidRPr="007C4D65" w:rsidRDefault="00604034" w:rsidP="00604034">
      <w:pPr>
        <w:spacing w:line="276" w:lineRule="auto"/>
        <w:jc w:val="both"/>
        <w:rPr>
          <w:rFonts w:asciiTheme="minorHAnsi" w:eastAsia="Calibri" w:hAnsiTheme="minorHAnsi" w:cstheme="minorHAnsi"/>
          <w:sz w:val="22"/>
          <w:szCs w:val="22"/>
        </w:rPr>
      </w:pPr>
      <w:r w:rsidRPr="007C4D65">
        <w:rPr>
          <w:rFonts w:asciiTheme="minorHAnsi" w:hAnsiTheme="minorHAnsi"/>
          <w:sz w:val="22"/>
          <w:szCs w:val="22"/>
        </w:rPr>
        <w:t>This measure aims to establish regular monitoring of health status of forests, which will encompass monitoring of changes in forest ecosystems in terms of the species diversity status, changed areas, health status, and other biotic and abiotic factors.  The measure includes following activities:</w:t>
      </w:r>
    </w:p>
    <w:p w14:paraId="395DE06C" w14:textId="77777777" w:rsidR="00604034" w:rsidRPr="007C4D65" w:rsidRDefault="00604034" w:rsidP="00604034">
      <w:pPr>
        <w:spacing w:line="276" w:lineRule="auto"/>
        <w:jc w:val="both"/>
        <w:rPr>
          <w:rFonts w:asciiTheme="minorHAnsi" w:eastAsia="Calibri" w:hAnsiTheme="minorHAnsi" w:cstheme="minorHAnsi"/>
          <w:sz w:val="22"/>
          <w:szCs w:val="22"/>
          <w:lang w:val="hr-HR"/>
        </w:rPr>
      </w:pPr>
    </w:p>
    <w:p w14:paraId="61776001" w14:textId="5894B598" w:rsidR="00604034" w:rsidRPr="007C4D65" w:rsidRDefault="00604034">
      <w:pPr>
        <w:numPr>
          <w:ilvl w:val="0"/>
          <w:numId w:val="69"/>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Developing methods for harmonized sampling and assessment and monitoring status of forests, in accordance with previously identified </w:t>
      </w:r>
      <w:proofErr w:type="gramStart"/>
      <w:r w:rsidRPr="007C4D65">
        <w:rPr>
          <w:rFonts w:asciiTheme="minorHAnsi" w:hAnsiTheme="minorHAnsi"/>
          <w:sz w:val="22"/>
          <w:szCs w:val="22"/>
        </w:rPr>
        <w:t>indicators;</w:t>
      </w:r>
      <w:proofErr w:type="gramEnd"/>
    </w:p>
    <w:p w14:paraId="3BAAFF39" w14:textId="77777777" w:rsidR="00604034" w:rsidRPr="007C4D65" w:rsidRDefault="00604034">
      <w:pPr>
        <w:numPr>
          <w:ilvl w:val="0"/>
          <w:numId w:val="69"/>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Adoption of a rulebook specifying the method for monitoring health status of forests, method for conducting health protection of forests, and reporting </w:t>
      </w:r>
      <w:proofErr w:type="gramStart"/>
      <w:r w:rsidRPr="007C4D65">
        <w:rPr>
          <w:rFonts w:asciiTheme="minorHAnsi" w:hAnsiTheme="minorHAnsi"/>
          <w:sz w:val="22"/>
          <w:szCs w:val="22"/>
        </w:rPr>
        <w:t>methods;</w:t>
      </w:r>
      <w:proofErr w:type="gramEnd"/>
    </w:p>
    <w:p w14:paraId="2A0E0706" w14:textId="6D3C5CD2" w:rsidR="00604034" w:rsidRPr="007C4D65" w:rsidRDefault="00604034">
      <w:pPr>
        <w:numPr>
          <w:ilvl w:val="0"/>
          <w:numId w:val="69"/>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Identifying a network of monitoring </w:t>
      </w:r>
      <w:proofErr w:type="gramStart"/>
      <w:r w:rsidRPr="007C4D65">
        <w:rPr>
          <w:rFonts w:asciiTheme="minorHAnsi" w:hAnsiTheme="minorHAnsi"/>
          <w:sz w:val="22"/>
          <w:szCs w:val="22"/>
        </w:rPr>
        <w:t>points;</w:t>
      </w:r>
      <w:proofErr w:type="gramEnd"/>
    </w:p>
    <w:p w14:paraId="7730386F" w14:textId="77777777" w:rsidR="00604034" w:rsidRPr="007C4D65" w:rsidRDefault="00604034">
      <w:pPr>
        <w:numPr>
          <w:ilvl w:val="0"/>
          <w:numId w:val="69"/>
        </w:numPr>
        <w:spacing w:line="276" w:lineRule="auto"/>
        <w:contextualSpacing/>
        <w:rPr>
          <w:rFonts w:asciiTheme="minorHAnsi" w:eastAsia="Calibri" w:hAnsiTheme="minorHAnsi" w:cstheme="minorHAnsi"/>
          <w:sz w:val="22"/>
          <w:szCs w:val="22"/>
        </w:rPr>
      </w:pPr>
      <w:r w:rsidRPr="007C4D65">
        <w:rPr>
          <w:rFonts w:asciiTheme="minorHAnsi" w:hAnsiTheme="minorHAnsi"/>
          <w:sz w:val="22"/>
          <w:szCs w:val="22"/>
        </w:rPr>
        <w:t>Provision of training and developing capacities of forest users to carry out monitoring of forest status in accordance with the identified programme.</w:t>
      </w:r>
    </w:p>
    <w:p w14:paraId="0FF1F090" w14:textId="7F41EA97" w:rsidR="00604034" w:rsidRPr="007C4D65" w:rsidRDefault="00604034" w:rsidP="00604034">
      <w:pPr>
        <w:tabs>
          <w:tab w:val="left" w:pos="2435"/>
        </w:tabs>
        <w:spacing w:before="240" w:after="240" w:line="276" w:lineRule="auto"/>
        <w:rPr>
          <w:rFonts w:asciiTheme="minorHAnsi" w:eastAsia="Calibri" w:hAnsiTheme="minorHAnsi" w:cstheme="minorHAnsi"/>
          <w:i/>
          <w:iCs/>
          <w:sz w:val="22"/>
          <w:szCs w:val="22"/>
          <w:u w:val="single"/>
        </w:rPr>
      </w:pPr>
      <w:r w:rsidRPr="007C4D65">
        <w:rPr>
          <w:rFonts w:asciiTheme="minorHAnsi" w:hAnsiTheme="minorHAnsi"/>
          <w:i/>
          <w:iCs/>
          <w:sz w:val="22"/>
          <w:szCs w:val="22"/>
          <w:u w:val="single"/>
        </w:rPr>
        <w:t xml:space="preserve">Measure 6.1.4. Enhancing </w:t>
      </w:r>
      <w:r w:rsidR="006C5EE4" w:rsidRPr="007C4D65">
        <w:rPr>
          <w:rFonts w:asciiTheme="minorHAnsi" w:hAnsiTheme="minorHAnsi"/>
          <w:i/>
          <w:iCs/>
          <w:sz w:val="22"/>
          <w:szCs w:val="22"/>
          <w:u w:val="single"/>
        </w:rPr>
        <w:t>access to</w:t>
      </w:r>
      <w:r w:rsidRPr="007C4D65">
        <w:rPr>
          <w:rFonts w:asciiTheme="minorHAnsi" w:hAnsiTheme="minorHAnsi"/>
          <w:i/>
          <w:iCs/>
          <w:sz w:val="22"/>
          <w:szCs w:val="22"/>
          <w:u w:val="single"/>
        </w:rPr>
        <w:t xml:space="preserve"> forests and </w:t>
      </w:r>
      <w:r w:rsidR="006C5EE4" w:rsidRPr="007C4D65">
        <w:rPr>
          <w:rFonts w:asciiTheme="minorHAnsi" w:hAnsiTheme="minorHAnsi"/>
          <w:i/>
          <w:iCs/>
          <w:sz w:val="22"/>
          <w:szCs w:val="22"/>
          <w:u w:val="single"/>
        </w:rPr>
        <w:t>train</w:t>
      </w:r>
      <w:r w:rsidRPr="007C4D65">
        <w:rPr>
          <w:rFonts w:asciiTheme="minorHAnsi" w:hAnsiTheme="minorHAnsi"/>
          <w:i/>
          <w:iCs/>
          <w:sz w:val="22"/>
          <w:szCs w:val="22"/>
          <w:u w:val="single"/>
        </w:rPr>
        <w:t xml:space="preserve"> forest users </w:t>
      </w:r>
      <w:r w:rsidR="006C5EE4" w:rsidRPr="007C4D65">
        <w:rPr>
          <w:rFonts w:asciiTheme="minorHAnsi" w:hAnsiTheme="minorHAnsi"/>
          <w:i/>
          <w:iCs/>
          <w:sz w:val="22"/>
          <w:szCs w:val="22"/>
          <w:u w:val="single"/>
        </w:rPr>
        <w:t>on</w:t>
      </w:r>
      <w:r w:rsidRPr="007C4D65">
        <w:rPr>
          <w:rFonts w:asciiTheme="minorHAnsi" w:hAnsiTheme="minorHAnsi"/>
          <w:i/>
          <w:iCs/>
          <w:sz w:val="22"/>
          <w:szCs w:val="22"/>
          <w:u w:val="single"/>
        </w:rPr>
        <w:t xml:space="preserve"> early detection and prevention of forest fires</w:t>
      </w:r>
    </w:p>
    <w:p w14:paraId="4FA69010" w14:textId="77777777" w:rsidR="00604034" w:rsidRPr="007C4D65" w:rsidRDefault="00604034" w:rsidP="00604034">
      <w:pPr>
        <w:spacing w:line="276" w:lineRule="auto"/>
        <w:jc w:val="both"/>
        <w:rPr>
          <w:rFonts w:asciiTheme="minorHAnsi" w:eastAsia="Calibri" w:hAnsiTheme="minorHAnsi" w:cstheme="minorHAnsi"/>
          <w:sz w:val="22"/>
          <w:szCs w:val="22"/>
        </w:rPr>
      </w:pPr>
      <w:r w:rsidRPr="007C4D65">
        <w:rPr>
          <w:rFonts w:asciiTheme="minorHAnsi" w:hAnsiTheme="minorHAnsi"/>
          <w:sz w:val="22"/>
          <w:szCs w:val="22"/>
        </w:rPr>
        <w:t>This measure aims to ensure conditions for early detection and prevention of forest fires and includes technical measures, equipment procurement measures and training of the forest management companies’ employees. The measure includes following activities:</w:t>
      </w:r>
    </w:p>
    <w:p w14:paraId="43F1A827" w14:textId="0411AB65" w:rsidR="00604034" w:rsidRPr="007C4D65" w:rsidRDefault="00604034">
      <w:pPr>
        <w:numPr>
          <w:ilvl w:val="0"/>
          <w:numId w:val="70"/>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Developing plans for construction of </w:t>
      </w:r>
      <w:proofErr w:type="gramStart"/>
      <w:r w:rsidRPr="007C4D65">
        <w:rPr>
          <w:rFonts w:asciiTheme="minorHAnsi" w:hAnsiTheme="minorHAnsi"/>
          <w:sz w:val="22"/>
          <w:szCs w:val="22"/>
        </w:rPr>
        <w:t>fire-breaks</w:t>
      </w:r>
      <w:proofErr w:type="gramEnd"/>
      <w:r w:rsidRPr="007C4D65">
        <w:rPr>
          <w:rFonts w:asciiTheme="minorHAnsi" w:hAnsiTheme="minorHAnsi"/>
          <w:sz w:val="22"/>
          <w:szCs w:val="22"/>
        </w:rPr>
        <w:t xml:space="preserve"> (cuts through the growth);</w:t>
      </w:r>
    </w:p>
    <w:p w14:paraId="28CCC10D" w14:textId="77777777" w:rsidR="00604034" w:rsidRPr="007C4D65" w:rsidRDefault="00604034">
      <w:pPr>
        <w:numPr>
          <w:ilvl w:val="0"/>
          <w:numId w:val="70"/>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Procurement of vehicles and appropriate techniques and tools for cutting trees and making </w:t>
      </w:r>
      <w:proofErr w:type="gramStart"/>
      <w:r w:rsidRPr="007C4D65">
        <w:rPr>
          <w:rFonts w:asciiTheme="minorHAnsi" w:hAnsiTheme="minorHAnsi"/>
          <w:sz w:val="22"/>
          <w:szCs w:val="22"/>
        </w:rPr>
        <w:t>fire-breaks</w:t>
      </w:r>
      <w:proofErr w:type="gramEnd"/>
      <w:r w:rsidRPr="007C4D65">
        <w:rPr>
          <w:rFonts w:asciiTheme="minorHAnsi" w:hAnsiTheme="minorHAnsi"/>
          <w:sz w:val="22"/>
          <w:szCs w:val="22"/>
        </w:rPr>
        <w:t xml:space="preserve"> for the needs of forest users;</w:t>
      </w:r>
    </w:p>
    <w:p w14:paraId="5216E43E" w14:textId="77777777" w:rsidR="00604034" w:rsidRPr="007C4D65" w:rsidRDefault="00604034">
      <w:pPr>
        <w:numPr>
          <w:ilvl w:val="0"/>
          <w:numId w:val="70"/>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Construction of fire-beaks with elements of forest </w:t>
      </w:r>
      <w:proofErr w:type="gramStart"/>
      <w:r w:rsidRPr="007C4D65">
        <w:rPr>
          <w:rFonts w:asciiTheme="minorHAnsi" w:hAnsiTheme="minorHAnsi"/>
          <w:sz w:val="22"/>
          <w:szCs w:val="22"/>
        </w:rPr>
        <w:t>roads;</w:t>
      </w:r>
      <w:proofErr w:type="gramEnd"/>
    </w:p>
    <w:p w14:paraId="533EF42A" w14:textId="34E90102" w:rsidR="00604034" w:rsidRPr="007C4D65" w:rsidRDefault="00604034">
      <w:pPr>
        <w:numPr>
          <w:ilvl w:val="0"/>
          <w:numId w:val="70"/>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Procurement and installation of information panes and warning signs for prevention of </w:t>
      </w:r>
      <w:proofErr w:type="gramStart"/>
      <w:r w:rsidRPr="007C4D65">
        <w:rPr>
          <w:rFonts w:asciiTheme="minorHAnsi" w:hAnsiTheme="minorHAnsi"/>
          <w:sz w:val="22"/>
          <w:szCs w:val="22"/>
        </w:rPr>
        <w:t>fires;</w:t>
      </w:r>
      <w:proofErr w:type="gramEnd"/>
    </w:p>
    <w:p w14:paraId="3129E0B3" w14:textId="77777777" w:rsidR="00604034" w:rsidRPr="007C4D65" w:rsidRDefault="00604034">
      <w:pPr>
        <w:numPr>
          <w:ilvl w:val="0"/>
          <w:numId w:val="70"/>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 xml:space="preserve">Procurement of equipment for spatial observation and remote </w:t>
      </w:r>
      <w:proofErr w:type="gramStart"/>
      <w:r w:rsidRPr="007C4D65">
        <w:rPr>
          <w:rFonts w:asciiTheme="minorHAnsi" w:hAnsiTheme="minorHAnsi"/>
          <w:sz w:val="22"/>
          <w:szCs w:val="22"/>
        </w:rPr>
        <w:t>surveillance;</w:t>
      </w:r>
      <w:proofErr w:type="gramEnd"/>
    </w:p>
    <w:p w14:paraId="2E9E0D05" w14:textId="77777777" w:rsidR="00604034" w:rsidRPr="007C4D65" w:rsidRDefault="00604034">
      <w:pPr>
        <w:numPr>
          <w:ilvl w:val="0"/>
          <w:numId w:val="70"/>
        </w:numPr>
        <w:spacing w:after="160" w:line="276" w:lineRule="auto"/>
        <w:contextualSpacing/>
        <w:jc w:val="both"/>
        <w:rPr>
          <w:rFonts w:asciiTheme="minorHAnsi" w:eastAsia="Calibri" w:hAnsiTheme="minorHAnsi" w:cstheme="minorHAnsi"/>
          <w:sz w:val="22"/>
          <w:szCs w:val="22"/>
        </w:rPr>
      </w:pPr>
      <w:r w:rsidRPr="007C4D65">
        <w:rPr>
          <w:rFonts w:asciiTheme="minorHAnsi" w:hAnsiTheme="minorHAnsi"/>
          <w:sz w:val="22"/>
          <w:szCs w:val="22"/>
        </w:rPr>
        <w:t>Training the employees for spatial observation and remote surveillance.</w:t>
      </w:r>
    </w:p>
    <w:p w14:paraId="00663211" w14:textId="69D86FDB" w:rsidR="00604034" w:rsidRPr="007C4D65" w:rsidRDefault="00604034" w:rsidP="00604034">
      <w:pPr>
        <w:tabs>
          <w:tab w:val="left" w:pos="2435"/>
        </w:tabs>
        <w:spacing w:before="60" w:line="276" w:lineRule="auto"/>
        <w:jc w:val="both"/>
        <w:rPr>
          <w:rFonts w:asciiTheme="minorHAnsi" w:eastAsia="Calibri" w:hAnsiTheme="minorHAnsi" w:cstheme="minorHAnsi"/>
          <w:sz w:val="22"/>
          <w:szCs w:val="22"/>
        </w:rPr>
      </w:pPr>
      <w:r w:rsidRPr="007C4D65">
        <w:rPr>
          <w:rFonts w:asciiTheme="minorHAnsi" w:hAnsiTheme="minorHAnsi"/>
          <w:sz w:val="22"/>
          <w:szCs w:val="22"/>
        </w:rPr>
        <w:t>Equipment for spatial observation and remote surveillance includes not only equipment for early detection of fires, but also the equipment for monitoring health status of forests (measure 6.1.3) (optical sensors and cameras, drones, smart devices for registering status and taking photographs with the ability to transfer data to GIS).</w:t>
      </w:r>
    </w:p>
    <w:p w14:paraId="6B9B60F5" w14:textId="77777777" w:rsidR="00604034" w:rsidRPr="007C4D65" w:rsidRDefault="00604034" w:rsidP="00604034">
      <w:pPr>
        <w:tabs>
          <w:tab w:val="left" w:pos="2435"/>
        </w:tabs>
        <w:spacing w:before="240" w:line="276" w:lineRule="auto"/>
        <w:jc w:val="both"/>
        <w:rPr>
          <w:rFonts w:asciiTheme="minorHAnsi" w:eastAsia="Calibri" w:hAnsiTheme="minorHAnsi" w:cstheme="minorHAnsi"/>
          <w:i/>
          <w:sz w:val="22"/>
          <w:szCs w:val="22"/>
          <w:u w:val="single"/>
        </w:rPr>
      </w:pPr>
      <w:r w:rsidRPr="007C4D65">
        <w:rPr>
          <w:rFonts w:asciiTheme="minorHAnsi" w:hAnsiTheme="minorHAnsi"/>
          <w:i/>
          <w:sz w:val="22"/>
          <w:szCs w:val="22"/>
          <w:u w:val="single"/>
        </w:rPr>
        <w:t xml:space="preserve">Measure 6.1.5. Afforestation of barren land and transition of coppice forests into high forests </w:t>
      </w:r>
    </w:p>
    <w:p w14:paraId="42E38C58" w14:textId="7DCE1D79" w:rsidR="00604034" w:rsidRPr="007C4D65" w:rsidRDefault="00604034" w:rsidP="00604034">
      <w:pPr>
        <w:spacing w:before="240" w:after="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This measure aims to increase the total area under forest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and thus contribute to prevention of climate change. The measure focuses on afforestation of barren land and transition of coppice forests into high forests:</w:t>
      </w:r>
    </w:p>
    <w:p w14:paraId="2E8BDF11" w14:textId="77777777" w:rsidR="00604034" w:rsidRPr="007C4D65" w:rsidRDefault="00604034">
      <w:pPr>
        <w:pStyle w:val="ListParagraph"/>
        <w:numPr>
          <w:ilvl w:val="0"/>
          <w:numId w:val="71"/>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Adoption of a rulebook that would establish the regions of provenience and prescribe the method, procedure and conditions for evaluating and recognizing the starting material of the forest </w:t>
      </w:r>
      <w:proofErr w:type="gramStart"/>
      <w:r w:rsidRPr="007C4D65">
        <w:rPr>
          <w:rFonts w:asciiTheme="minorHAnsi" w:hAnsiTheme="minorHAnsi"/>
          <w:sz w:val="22"/>
          <w:szCs w:val="22"/>
        </w:rPr>
        <w:t>trees;</w:t>
      </w:r>
      <w:proofErr w:type="gramEnd"/>
    </w:p>
    <w:p w14:paraId="46F95383" w14:textId="77777777" w:rsidR="00604034" w:rsidRPr="007C4D65" w:rsidRDefault="00604034">
      <w:pPr>
        <w:pStyle w:val="ListParagraph"/>
        <w:numPr>
          <w:ilvl w:val="0"/>
          <w:numId w:val="71"/>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Increasing the land area under high forests by transitioning at least 20% of current land under coppice forests and bushes into higher form, where </w:t>
      </w:r>
      <w:proofErr w:type="gramStart"/>
      <w:r w:rsidRPr="007C4D65">
        <w:rPr>
          <w:rFonts w:asciiTheme="minorHAnsi" w:hAnsiTheme="minorHAnsi"/>
          <w:sz w:val="22"/>
          <w:szCs w:val="22"/>
        </w:rPr>
        <w:t>possible;</w:t>
      </w:r>
      <w:proofErr w:type="gramEnd"/>
    </w:p>
    <w:p w14:paraId="6605953D" w14:textId="0EE84FB1" w:rsidR="00604034" w:rsidRPr="007C4D65" w:rsidRDefault="00604034">
      <w:pPr>
        <w:pStyle w:val="ListParagraph"/>
        <w:numPr>
          <w:ilvl w:val="0"/>
          <w:numId w:val="71"/>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Development of a gender sensitive afforestation plan for the karst and barren land </w:t>
      </w:r>
      <w:r w:rsidR="007436F1" w:rsidRPr="007C4D65">
        <w:rPr>
          <w:rFonts w:asciiTheme="minorHAnsi" w:hAnsiTheme="minorHAnsi"/>
          <w:sz w:val="22"/>
          <w:szCs w:val="22"/>
        </w:rPr>
        <w:t xml:space="preserve">in the Federation of </w:t>
      </w:r>
      <w:proofErr w:type="gramStart"/>
      <w:r w:rsidR="007436F1" w:rsidRPr="007C4D65">
        <w:rPr>
          <w:rFonts w:asciiTheme="minorHAnsi" w:hAnsiTheme="minorHAnsi"/>
          <w:sz w:val="22"/>
          <w:szCs w:val="22"/>
        </w:rPr>
        <w:t>BiH</w:t>
      </w:r>
      <w:r w:rsidRPr="007C4D65">
        <w:rPr>
          <w:rFonts w:asciiTheme="minorHAnsi" w:hAnsiTheme="minorHAnsi"/>
          <w:sz w:val="22"/>
          <w:szCs w:val="22"/>
        </w:rPr>
        <w:t>;</w:t>
      </w:r>
      <w:proofErr w:type="gramEnd"/>
    </w:p>
    <w:p w14:paraId="7F3B3E64" w14:textId="674DB01A" w:rsidR="00604034" w:rsidRPr="007C4D65" w:rsidRDefault="00604034">
      <w:pPr>
        <w:pStyle w:val="ListParagraph"/>
        <w:numPr>
          <w:ilvl w:val="0"/>
          <w:numId w:val="71"/>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Afforestation of at least 10% of the current karst and barren land</w:t>
      </w:r>
      <w:r w:rsidR="00243B2E" w:rsidRPr="007C4D65">
        <w:rPr>
          <w:rFonts w:asciiTheme="minorHAnsi" w:eastAsia="Calibri" w:hAnsiTheme="minorHAnsi" w:cstheme="minorHAnsi"/>
          <w:sz w:val="22"/>
          <w:szCs w:val="22"/>
        </w:rPr>
        <w:t>.</w:t>
      </w:r>
    </w:p>
    <w:p w14:paraId="1ED57E7D" w14:textId="77777777" w:rsidR="00604034" w:rsidRPr="007C4D65" w:rsidRDefault="00604034" w:rsidP="00604034">
      <w:pPr>
        <w:tabs>
          <w:tab w:val="left" w:pos="2435"/>
        </w:tabs>
        <w:spacing w:before="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lastRenderedPageBreak/>
        <w:t>Measure 6.1.6. Establishment of a Forest Information System</w:t>
      </w:r>
    </w:p>
    <w:p w14:paraId="7F623422" w14:textId="2A69CD1C" w:rsidR="00604034" w:rsidRPr="007C4D65" w:rsidRDefault="00604034" w:rsidP="00604034">
      <w:pPr>
        <w:spacing w:before="240" w:after="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This measure aims to establish a forest information system FIS </w:t>
      </w:r>
      <w:proofErr w:type="gramStart"/>
      <w:r w:rsidRPr="007C4D65">
        <w:rPr>
          <w:rFonts w:asciiTheme="minorHAnsi" w:hAnsiTheme="minorHAnsi"/>
          <w:sz w:val="22"/>
          <w:szCs w:val="22"/>
        </w:rPr>
        <w:t>in order to</w:t>
      </w:r>
      <w:proofErr w:type="gramEnd"/>
      <w:r w:rsidRPr="007C4D65">
        <w:rPr>
          <w:rFonts w:asciiTheme="minorHAnsi" w:hAnsiTheme="minorHAnsi"/>
          <w:sz w:val="22"/>
          <w:szCs w:val="22"/>
        </w:rPr>
        <w:t xml:space="preserve"> create IT preconditions for sustainable management of forest resources.</w:t>
      </w:r>
    </w:p>
    <w:p w14:paraId="7576FB6D" w14:textId="77777777" w:rsidR="00604034" w:rsidRPr="007C4D65" w:rsidRDefault="00604034" w:rsidP="00604034">
      <w:pPr>
        <w:spacing w:before="240" w:after="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FIS should include priority themes for data and information on forests, such as: main information on forests, natural and biological diversity, forest and climate change (impacts, adaptation and mitigation), forest health and resilience (natural disruptions, fires and pests) and (forest) </w:t>
      </w:r>
      <w:proofErr w:type="gramStart"/>
      <w:r w:rsidRPr="007C4D65">
        <w:rPr>
          <w:rFonts w:asciiTheme="minorHAnsi" w:hAnsiTheme="minorHAnsi"/>
          <w:sz w:val="22"/>
          <w:szCs w:val="22"/>
        </w:rPr>
        <w:t>bio-economy</w:t>
      </w:r>
      <w:proofErr w:type="gramEnd"/>
      <w:r w:rsidRPr="007C4D65">
        <w:rPr>
          <w:rFonts w:asciiTheme="minorHAnsi" w:hAnsiTheme="minorHAnsi"/>
          <w:sz w:val="22"/>
          <w:szCs w:val="22"/>
        </w:rPr>
        <w:t>.</w:t>
      </w:r>
    </w:p>
    <w:p w14:paraId="70988732" w14:textId="37EE61B8" w:rsidR="00604034" w:rsidRPr="007C4D65" w:rsidRDefault="00604034" w:rsidP="00604034">
      <w:pPr>
        <w:spacing w:before="240" w:after="60" w:line="276" w:lineRule="auto"/>
        <w:jc w:val="both"/>
        <w:rPr>
          <w:rFonts w:asciiTheme="minorHAnsi" w:eastAsia="Calibri" w:hAnsiTheme="minorHAnsi" w:cstheme="minorHAnsi"/>
          <w:sz w:val="22"/>
          <w:szCs w:val="22"/>
        </w:rPr>
      </w:pPr>
      <w:r w:rsidRPr="007C4D65">
        <w:rPr>
          <w:rFonts w:asciiTheme="minorHAnsi" w:hAnsiTheme="minorHAnsi"/>
          <w:sz w:val="22"/>
          <w:szCs w:val="22"/>
        </w:rPr>
        <w:t>Part of the information system is already developed, but the work and harmonisation of the structure with the EU’s Forest Information System in Europe (FISE) need to continue.</w:t>
      </w:r>
    </w:p>
    <w:p w14:paraId="26877A15" w14:textId="4F27B2AC" w:rsidR="00604034" w:rsidRPr="007C4D65" w:rsidRDefault="00604034" w:rsidP="00604034">
      <w:pPr>
        <w:tabs>
          <w:tab w:val="left" w:pos="2435"/>
        </w:tabs>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This activity should be preceded by urgent adoption and publication of the data from the II Forest Inventory.</w:t>
      </w:r>
    </w:p>
    <w:p w14:paraId="36634747" w14:textId="299381D4" w:rsidR="00604034" w:rsidRPr="007C4D65" w:rsidRDefault="00604034" w:rsidP="00604034">
      <w:pPr>
        <w:tabs>
          <w:tab w:val="left" w:pos="2435"/>
        </w:tabs>
        <w:spacing w:before="240" w:line="276" w:lineRule="auto"/>
        <w:rPr>
          <w:rFonts w:asciiTheme="minorHAnsi" w:eastAsia="Calibri" w:hAnsiTheme="minorHAnsi" w:cstheme="minorHAnsi"/>
          <w:b/>
          <w:i/>
          <w:sz w:val="22"/>
          <w:szCs w:val="22"/>
          <w:u w:val="single"/>
        </w:rPr>
      </w:pPr>
      <w:r w:rsidRPr="007C4D65">
        <w:rPr>
          <w:rFonts w:asciiTheme="minorHAnsi" w:hAnsiTheme="minorHAnsi"/>
          <w:b/>
          <w:i/>
          <w:sz w:val="22"/>
          <w:szCs w:val="22"/>
          <w:u w:val="single"/>
        </w:rPr>
        <w:t>Priority 6.2 Enhance legal, strategic and institutional frameworks for sustainable management of hunting game</w:t>
      </w:r>
    </w:p>
    <w:p w14:paraId="19B24BDB" w14:textId="77777777" w:rsidR="00604034" w:rsidRPr="007C4D65" w:rsidRDefault="00604034" w:rsidP="00604034">
      <w:pPr>
        <w:tabs>
          <w:tab w:val="left" w:pos="2435"/>
        </w:tabs>
        <w:spacing w:before="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Measure 6.2.1. Establish a harmonized regulatory framework for establishing hunting grounds, population management and planned rearing of game</w:t>
      </w:r>
    </w:p>
    <w:p w14:paraId="6814DAF6" w14:textId="40FE60BA" w:rsidR="00604034" w:rsidRPr="007C4D65" w:rsidRDefault="00604034" w:rsidP="00604034">
      <w:p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This measure aims to harmonise the legislation on hunting with the relevant EU directives and international agreements regarding biodiversity.</w:t>
      </w:r>
    </w:p>
    <w:p w14:paraId="0320F75F" w14:textId="79D19D27" w:rsidR="00604034" w:rsidRPr="007C4D65" w:rsidRDefault="00604034" w:rsidP="00604034">
      <w:p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This measure involves:</w:t>
      </w:r>
    </w:p>
    <w:p w14:paraId="22BEAF7C" w14:textId="77777777" w:rsidR="00604034" w:rsidRPr="007C4D65" w:rsidRDefault="00604034">
      <w:pPr>
        <w:pStyle w:val="ListParagraph"/>
        <w:numPr>
          <w:ilvl w:val="0"/>
          <w:numId w:val="72"/>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Adoption of a new, harmonised Law on </w:t>
      </w:r>
      <w:proofErr w:type="gramStart"/>
      <w:r w:rsidRPr="007C4D65">
        <w:rPr>
          <w:rFonts w:asciiTheme="minorHAnsi" w:hAnsiTheme="minorHAnsi"/>
          <w:sz w:val="22"/>
          <w:szCs w:val="22"/>
        </w:rPr>
        <w:t>Hunting;</w:t>
      </w:r>
      <w:proofErr w:type="gramEnd"/>
    </w:p>
    <w:p w14:paraId="085EF5D4" w14:textId="509D5001" w:rsidR="00604034" w:rsidRPr="007C4D65" w:rsidRDefault="00604034">
      <w:pPr>
        <w:pStyle w:val="ListParagraph"/>
        <w:numPr>
          <w:ilvl w:val="0"/>
          <w:numId w:val="72"/>
        </w:numPr>
        <w:tabs>
          <w:tab w:val="left" w:pos="2435"/>
        </w:tabs>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Adoption of a set of new bylaws, in accordance with the new law.</w:t>
      </w:r>
    </w:p>
    <w:p w14:paraId="3E097EF6" w14:textId="77777777" w:rsidR="00604034" w:rsidRPr="007C4D65" w:rsidRDefault="00604034" w:rsidP="00604034">
      <w:pPr>
        <w:tabs>
          <w:tab w:val="left" w:pos="2435"/>
        </w:tabs>
        <w:spacing w:before="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 xml:space="preserve">Measure 6.2.2. Enhance the system of planning and managing wild game, and game population management </w:t>
      </w:r>
    </w:p>
    <w:p w14:paraId="0D587F02" w14:textId="3E131320" w:rsidR="00604034" w:rsidRPr="007C4D65" w:rsidRDefault="00604034" w:rsidP="00604034">
      <w:pPr>
        <w:spacing w:before="240" w:after="60" w:line="276" w:lineRule="auto"/>
        <w:jc w:val="both"/>
        <w:rPr>
          <w:rFonts w:asciiTheme="minorHAnsi" w:eastAsia="Calibri" w:hAnsiTheme="minorHAnsi" w:cstheme="minorHAnsi"/>
          <w:sz w:val="22"/>
          <w:szCs w:val="22"/>
        </w:rPr>
      </w:pPr>
      <w:r w:rsidRPr="007C4D65">
        <w:rPr>
          <w:rFonts w:asciiTheme="minorHAnsi" w:hAnsiTheme="minorHAnsi"/>
          <w:sz w:val="22"/>
          <w:szCs w:val="22"/>
        </w:rPr>
        <w:t>Description of the measure with general area</w:t>
      </w:r>
      <w:r w:rsidR="00042CF3" w:rsidRPr="007C4D65">
        <w:rPr>
          <w:rFonts w:asciiTheme="minorHAnsi" w:hAnsiTheme="minorHAnsi"/>
          <w:sz w:val="22"/>
          <w:szCs w:val="22"/>
        </w:rPr>
        <w:t>s</w:t>
      </w:r>
      <w:r w:rsidRPr="007C4D65">
        <w:rPr>
          <w:rFonts w:asciiTheme="minorHAnsi" w:hAnsiTheme="minorHAnsi"/>
          <w:sz w:val="22"/>
          <w:szCs w:val="22"/>
        </w:rPr>
        <w:t xml:space="preserve"> of intervention</w:t>
      </w:r>
      <w:r w:rsidR="00042CF3" w:rsidRPr="007C4D65">
        <w:rPr>
          <w:rFonts w:asciiTheme="minorHAnsi" w:hAnsiTheme="minorHAnsi"/>
          <w:sz w:val="22"/>
          <w:szCs w:val="22"/>
        </w:rPr>
        <w:t>:</w:t>
      </w:r>
      <w:r w:rsidRPr="007C4D65">
        <w:rPr>
          <w:rFonts w:asciiTheme="minorHAnsi" w:hAnsiTheme="minorHAnsi"/>
          <w:sz w:val="22"/>
          <w:szCs w:val="22"/>
        </w:rPr>
        <w:tab/>
      </w:r>
    </w:p>
    <w:p w14:paraId="170D28D3" w14:textId="7CD18784" w:rsidR="00604034" w:rsidRPr="007C4D65" w:rsidRDefault="00604034" w:rsidP="00604034">
      <w:pPr>
        <w:spacing w:before="240" w:after="60" w:line="276" w:lineRule="auto"/>
        <w:jc w:val="both"/>
        <w:rPr>
          <w:rFonts w:asciiTheme="minorHAnsi" w:eastAsia="Calibri" w:hAnsiTheme="minorHAnsi" w:cstheme="minorHAnsi"/>
          <w:sz w:val="22"/>
          <w:szCs w:val="22"/>
        </w:rPr>
      </w:pPr>
      <w:r w:rsidRPr="007C4D65">
        <w:rPr>
          <w:rFonts w:asciiTheme="minorHAnsi" w:hAnsiTheme="minorHAnsi"/>
          <w:sz w:val="22"/>
          <w:szCs w:val="22"/>
        </w:rPr>
        <w:t>This measure aims to provide preconditions for efficient game management planning, recognizing administrative borders, but in such a way that the borders are not an obstacle. Implementation of this measure requires:</w:t>
      </w:r>
    </w:p>
    <w:p w14:paraId="6EE3E9DC" w14:textId="0D48CB71" w:rsidR="00604034" w:rsidRPr="007C4D65" w:rsidRDefault="00604034">
      <w:pPr>
        <w:pStyle w:val="ListParagraph"/>
        <w:numPr>
          <w:ilvl w:val="0"/>
          <w:numId w:val="73"/>
        </w:numPr>
        <w:spacing w:before="240" w:after="60" w:line="276" w:lineRule="auto"/>
        <w:jc w:val="both"/>
        <w:rPr>
          <w:rFonts w:asciiTheme="minorHAnsi" w:eastAsia="Calibri" w:hAnsiTheme="minorHAnsi" w:cstheme="minorHAnsi"/>
          <w:sz w:val="22"/>
          <w:szCs w:val="22"/>
        </w:rPr>
      </w:pPr>
      <w:r w:rsidRPr="007C4D65">
        <w:rPr>
          <w:rFonts w:asciiTheme="minorHAnsi" w:hAnsiTheme="minorHAnsi"/>
          <w:sz w:val="22"/>
          <w:szCs w:val="22"/>
        </w:rPr>
        <w:t>Categorization, establishment and assigning of the hunting grounds for use, in accordance with provisions of the new Law (Measure 6.2.1</w:t>
      </w:r>
      <w:proofErr w:type="gramStart"/>
      <w:r w:rsidRPr="007C4D65">
        <w:rPr>
          <w:rFonts w:asciiTheme="minorHAnsi" w:hAnsiTheme="minorHAnsi"/>
          <w:sz w:val="22"/>
          <w:szCs w:val="22"/>
        </w:rPr>
        <w:t>);</w:t>
      </w:r>
      <w:proofErr w:type="gramEnd"/>
    </w:p>
    <w:p w14:paraId="388F9A81" w14:textId="62C58F75" w:rsidR="00604034" w:rsidRPr="007C4D65" w:rsidRDefault="00604034">
      <w:pPr>
        <w:pStyle w:val="ListParagraph"/>
        <w:numPr>
          <w:ilvl w:val="0"/>
          <w:numId w:val="73"/>
        </w:numPr>
        <w:spacing w:before="240" w:after="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Establishment in all hunting grounds of a professional service for overseeing and implementing measures from laws and </w:t>
      </w:r>
      <w:proofErr w:type="gramStart"/>
      <w:r w:rsidRPr="007C4D65">
        <w:rPr>
          <w:rFonts w:asciiTheme="minorHAnsi" w:hAnsiTheme="minorHAnsi"/>
          <w:sz w:val="22"/>
          <w:szCs w:val="22"/>
        </w:rPr>
        <w:t>plans;</w:t>
      </w:r>
      <w:proofErr w:type="gramEnd"/>
    </w:p>
    <w:p w14:paraId="78270AD2" w14:textId="501D73C3" w:rsidR="00604034" w:rsidRPr="007C4D65" w:rsidRDefault="00604034">
      <w:pPr>
        <w:pStyle w:val="ListParagraph"/>
        <w:numPr>
          <w:ilvl w:val="0"/>
          <w:numId w:val="73"/>
        </w:numPr>
        <w:spacing w:before="240" w:after="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Development and adoption of plans for managing wild game population of wolf, bear and lynx, harmonized with the corresponding plans of </w:t>
      </w:r>
      <w:proofErr w:type="spellStart"/>
      <w:r w:rsidRPr="007C4D65">
        <w:rPr>
          <w:rFonts w:asciiTheme="minorHAnsi" w:hAnsiTheme="minorHAnsi"/>
          <w:sz w:val="22"/>
          <w:szCs w:val="22"/>
        </w:rPr>
        <w:t>Republika</w:t>
      </w:r>
      <w:proofErr w:type="spellEnd"/>
      <w:r w:rsidRPr="007C4D65">
        <w:rPr>
          <w:rFonts w:asciiTheme="minorHAnsi" w:hAnsiTheme="minorHAnsi"/>
          <w:sz w:val="22"/>
          <w:szCs w:val="22"/>
        </w:rPr>
        <w:t xml:space="preserve"> </w:t>
      </w:r>
      <w:proofErr w:type="gramStart"/>
      <w:r w:rsidRPr="007C4D65">
        <w:rPr>
          <w:rFonts w:asciiTheme="minorHAnsi" w:hAnsiTheme="minorHAnsi"/>
          <w:sz w:val="22"/>
          <w:szCs w:val="22"/>
        </w:rPr>
        <w:t>Srpska;</w:t>
      </w:r>
      <w:proofErr w:type="gramEnd"/>
    </w:p>
    <w:p w14:paraId="0CD710D4" w14:textId="14EEEE23" w:rsidR="00604034" w:rsidRPr="007C4D65" w:rsidRDefault="00604034">
      <w:pPr>
        <w:pStyle w:val="ListParagraph"/>
        <w:numPr>
          <w:ilvl w:val="0"/>
          <w:numId w:val="73"/>
        </w:numPr>
        <w:spacing w:before="240" w:after="6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Development of hunting plans for all hunting areas, that recognize the principles of protection of species, in line with the </w:t>
      </w:r>
      <w:proofErr w:type="gramStart"/>
      <w:r w:rsidRPr="007C4D65">
        <w:rPr>
          <w:rFonts w:asciiTheme="minorHAnsi" w:hAnsiTheme="minorHAnsi"/>
          <w:sz w:val="22"/>
          <w:szCs w:val="22"/>
        </w:rPr>
        <w:t>conventions;</w:t>
      </w:r>
      <w:proofErr w:type="gramEnd"/>
    </w:p>
    <w:p w14:paraId="31AD5648" w14:textId="03FBD8A5" w:rsidR="00604034" w:rsidRPr="007C4D65" w:rsidRDefault="00604034">
      <w:pPr>
        <w:pStyle w:val="ListParagraph"/>
        <w:numPr>
          <w:ilvl w:val="0"/>
          <w:numId w:val="73"/>
        </w:numPr>
        <w:spacing w:before="240" w:after="60" w:line="276" w:lineRule="auto"/>
        <w:jc w:val="both"/>
        <w:rPr>
          <w:rFonts w:asciiTheme="minorHAnsi" w:eastAsia="Calibri" w:hAnsiTheme="minorHAnsi" w:cstheme="minorHAnsi"/>
          <w:sz w:val="22"/>
          <w:szCs w:val="22"/>
        </w:rPr>
      </w:pPr>
      <w:r w:rsidRPr="007C4D65">
        <w:rPr>
          <w:rFonts w:asciiTheme="minorHAnsi" w:hAnsiTheme="minorHAnsi"/>
          <w:sz w:val="22"/>
          <w:szCs w:val="22"/>
        </w:rPr>
        <w:lastRenderedPageBreak/>
        <w:t>Establishment of a separate module for hunting within the forestry information system</w:t>
      </w:r>
      <w:r w:rsidR="00243B2E" w:rsidRPr="007C4D65">
        <w:rPr>
          <w:rFonts w:asciiTheme="minorHAnsi" w:hAnsiTheme="minorHAnsi"/>
          <w:sz w:val="22"/>
          <w:szCs w:val="22"/>
        </w:rPr>
        <w:t>.</w:t>
      </w:r>
      <w:r w:rsidRPr="007C4D65">
        <w:rPr>
          <w:rFonts w:asciiTheme="minorHAnsi" w:hAnsiTheme="minorHAnsi"/>
          <w:sz w:val="22"/>
          <w:szCs w:val="22"/>
        </w:rPr>
        <w:t xml:space="preserve"> </w:t>
      </w:r>
    </w:p>
    <w:p w14:paraId="61D3C3A6" w14:textId="1AE864EE" w:rsidR="00604034" w:rsidRPr="007C4D65" w:rsidRDefault="00604034" w:rsidP="00604034">
      <w:pPr>
        <w:tabs>
          <w:tab w:val="left" w:pos="2549"/>
        </w:tabs>
        <w:spacing w:before="240" w:line="276" w:lineRule="auto"/>
        <w:rPr>
          <w:rFonts w:asciiTheme="minorHAnsi" w:eastAsia="Calibri" w:hAnsiTheme="minorHAnsi" w:cstheme="minorHAnsi"/>
          <w:b/>
          <w:i/>
          <w:sz w:val="22"/>
          <w:szCs w:val="22"/>
          <w:u w:val="single"/>
        </w:rPr>
      </w:pPr>
      <w:r w:rsidRPr="007C4D65">
        <w:rPr>
          <w:rFonts w:asciiTheme="minorHAnsi" w:hAnsiTheme="minorHAnsi"/>
          <w:b/>
          <w:i/>
          <w:sz w:val="22"/>
          <w:szCs w:val="22"/>
          <w:u w:val="single"/>
        </w:rPr>
        <w:t>Priority 6.3 Improve legal, strategic and institutional frameworks for sustainable management of fish stock</w:t>
      </w:r>
    </w:p>
    <w:p w14:paraId="140599B0" w14:textId="77777777" w:rsidR="00604034" w:rsidRPr="007C4D65" w:rsidRDefault="00604034" w:rsidP="00604034">
      <w:pPr>
        <w:tabs>
          <w:tab w:val="left" w:pos="2549"/>
        </w:tabs>
        <w:spacing w:before="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Measure 6.3.1. Harmonisation of the regulatory framework for fishing with the EU acquis and international conventions</w:t>
      </w:r>
    </w:p>
    <w:p w14:paraId="35E5BB5F" w14:textId="77777777" w:rsidR="00604034" w:rsidRPr="007C4D65" w:rsidRDefault="00604034" w:rsidP="00604034">
      <w:p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This measure aims to align legislation that applies to fisheries with EU acquis and regulate commercial fishing on </w:t>
      </w:r>
      <w:proofErr w:type="gramStart"/>
      <w:r w:rsidRPr="007C4D65">
        <w:rPr>
          <w:rFonts w:asciiTheme="minorHAnsi" w:hAnsiTheme="minorHAnsi"/>
          <w:sz w:val="22"/>
          <w:szCs w:val="22"/>
        </w:rPr>
        <w:t>sea, and</w:t>
      </w:r>
      <w:proofErr w:type="gramEnd"/>
      <w:r w:rsidRPr="007C4D65">
        <w:rPr>
          <w:rFonts w:asciiTheme="minorHAnsi" w:hAnsiTheme="minorHAnsi"/>
          <w:sz w:val="22"/>
          <w:szCs w:val="22"/>
        </w:rPr>
        <w:t xml:space="preserve"> align legislation on fisheries with legislation on waters. The following activities are included:</w:t>
      </w:r>
    </w:p>
    <w:p w14:paraId="4951FB76" w14:textId="77777777" w:rsidR="00604034" w:rsidRPr="007C4D65" w:rsidRDefault="00604034">
      <w:pPr>
        <w:pStyle w:val="ListParagraph"/>
        <w:numPr>
          <w:ilvl w:val="0"/>
          <w:numId w:val="74"/>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Adoption of a law and bylaws on commercial fishing at sea, harmonized with the common fisheries policy, commitments under EU Directives, and international </w:t>
      </w:r>
      <w:proofErr w:type="gramStart"/>
      <w:r w:rsidRPr="007C4D65">
        <w:rPr>
          <w:rFonts w:asciiTheme="minorHAnsi" w:hAnsiTheme="minorHAnsi"/>
          <w:sz w:val="22"/>
          <w:szCs w:val="22"/>
        </w:rPr>
        <w:t>agreements;</w:t>
      </w:r>
      <w:proofErr w:type="gramEnd"/>
    </w:p>
    <w:p w14:paraId="6928B070" w14:textId="77777777" w:rsidR="00604034" w:rsidRPr="007C4D65" w:rsidRDefault="00604034">
      <w:pPr>
        <w:pStyle w:val="ListParagraph"/>
        <w:numPr>
          <w:ilvl w:val="0"/>
          <w:numId w:val="74"/>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Harmonization of the Law on Fresh Water Fishing with the laws in the area of waters and requirements of international conventions and EU directives in the area of fisheries and </w:t>
      </w:r>
      <w:proofErr w:type="gramStart"/>
      <w:r w:rsidRPr="007C4D65">
        <w:rPr>
          <w:rFonts w:asciiTheme="minorHAnsi" w:hAnsiTheme="minorHAnsi"/>
          <w:sz w:val="22"/>
          <w:szCs w:val="22"/>
        </w:rPr>
        <w:t>biodiversity;</w:t>
      </w:r>
      <w:proofErr w:type="gramEnd"/>
    </w:p>
    <w:p w14:paraId="590598F8" w14:textId="77777777" w:rsidR="00604034" w:rsidRPr="007C4D65" w:rsidRDefault="00604034">
      <w:pPr>
        <w:pStyle w:val="ListParagraph"/>
        <w:numPr>
          <w:ilvl w:val="0"/>
          <w:numId w:val="74"/>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Adoption of Agricultural Sector Development Strategy 2022-2028, aligned with the common EU strategy for fisheries and </w:t>
      </w:r>
      <w:proofErr w:type="gramStart"/>
      <w:r w:rsidRPr="007C4D65">
        <w:rPr>
          <w:rFonts w:asciiTheme="minorHAnsi" w:hAnsiTheme="minorHAnsi"/>
          <w:sz w:val="22"/>
          <w:szCs w:val="22"/>
        </w:rPr>
        <w:t>aquaculture;</w:t>
      </w:r>
      <w:proofErr w:type="gramEnd"/>
    </w:p>
    <w:p w14:paraId="46CA4B98" w14:textId="77777777" w:rsidR="00604034" w:rsidRPr="007C4D65" w:rsidRDefault="00604034">
      <w:pPr>
        <w:pStyle w:val="ListParagraph"/>
        <w:numPr>
          <w:ilvl w:val="0"/>
          <w:numId w:val="74"/>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Successive preparation of fisheries management plans in line with the new Law on Fresh Water Fishing.</w:t>
      </w:r>
    </w:p>
    <w:p w14:paraId="59C2D677" w14:textId="77777777" w:rsidR="00604034" w:rsidRPr="007C4D65" w:rsidRDefault="00604034" w:rsidP="00604034">
      <w:pPr>
        <w:tabs>
          <w:tab w:val="left" w:pos="2435"/>
        </w:tabs>
        <w:spacing w:before="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Measure 6.3.2. Establishing an information system on fisheries and statistical reporting on fish farming</w:t>
      </w:r>
    </w:p>
    <w:p w14:paraId="22AA81AD" w14:textId="77777777" w:rsidR="00604034" w:rsidRPr="007C4D65" w:rsidRDefault="00604034" w:rsidP="00604034">
      <w:p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This measure aims to establish an information system on fisheries and statistical reporting on fish farming. </w:t>
      </w:r>
      <w:proofErr w:type="gramStart"/>
      <w:r w:rsidRPr="007C4D65">
        <w:rPr>
          <w:rFonts w:asciiTheme="minorHAnsi" w:hAnsiTheme="minorHAnsi"/>
          <w:sz w:val="22"/>
          <w:szCs w:val="22"/>
        </w:rPr>
        <w:t>Particular progress</w:t>
      </w:r>
      <w:proofErr w:type="gramEnd"/>
      <w:r w:rsidRPr="007C4D65">
        <w:rPr>
          <w:rFonts w:asciiTheme="minorHAnsi" w:hAnsiTheme="minorHAnsi"/>
          <w:sz w:val="22"/>
          <w:szCs w:val="22"/>
        </w:rPr>
        <w:t xml:space="preserve"> is expected in the field of commercial marine fishing and mariculture. </w:t>
      </w:r>
    </w:p>
    <w:p w14:paraId="023D99A6" w14:textId="6FB2F35A" w:rsidR="00604034" w:rsidRPr="007C4D65" w:rsidRDefault="00604034" w:rsidP="00604034">
      <w:p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The measure includes following activities:</w:t>
      </w:r>
    </w:p>
    <w:p w14:paraId="103C39F1" w14:textId="3F2EB37D" w:rsidR="00604034" w:rsidRPr="007C4D65" w:rsidRDefault="00604034">
      <w:pPr>
        <w:pStyle w:val="ListParagraph"/>
        <w:numPr>
          <w:ilvl w:val="0"/>
          <w:numId w:val="75"/>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Development of a registry of vessels and permits for commercial marine fishing and </w:t>
      </w:r>
      <w:proofErr w:type="gramStart"/>
      <w:r w:rsidRPr="007C4D65">
        <w:rPr>
          <w:rFonts w:asciiTheme="minorHAnsi" w:hAnsiTheme="minorHAnsi"/>
          <w:sz w:val="22"/>
          <w:szCs w:val="22"/>
        </w:rPr>
        <w:t>mariculture;</w:t>
      </w:r>
      <w:proofErr w:type="gramEnd"/>
    </w:p>
    <w:p w14:paraId="718794B6" w14:textId="77777777" w:rsidR="00604034" w:rsidRPr="007C4D65" w:rsidRDefault="00604034">
      <w:pPr>
        <w:pStyle w:val="ListParagraph"/>
        <w:numPr>
          <w:ilvl w:val="0"/>
          <w:numId w:val="75"/>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Establishment of a system for issuing </w:t>
      </w:r>
      <w:proofErr w:type="gramStart"/>
      <w:r w:rsidRPr="007C4D65">
        <w:rPr>
          <w:rFonts w:asciiTheme="minorHAnsi" w:hAnsiTheme="minorHAnsi"/>
          <w:sz w:val="22"/>
          <w:szCs w:val="22"/>
        </w:rPr>
        <w:t>permits;</w:t>
      </w:r>
      <w:proofErr w:type="gramEnd"/>
    </w:p>
    <w:p w14:paraId="796109DE" w14:textId="7DA89C8C" w:rsidR="00604034" w:rsidRPr="007C4D65" w:rsidRDefault="00604034">
      <w:pPr>
        <w:pStyle w:val="ListParagraph"/>
        <w:numPr>
          <w:ilvl w:val="0"/>
          <w:numId w:val="75"/>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Establishment of a system for recording and reporting on fishing activities and landing the </w:t>
      </w:r>
      <w:proofErr w:type="gramStart"/>
      <w:r w:rsidRPr="007C4D65">
        <w:rPr>
          <w:rFonts w:asciiTheme="minorHAnsi" w:hAnsiTheme="minorHAnsi"/>
          <w:sz w:val="22"/>
          <w:szCs w:val="22"/>
        </w:rPr>
        <w:t>catch;</w:t>
      </w:r>
      <w:proofErr w:type="gramEnd"/>
    </w:p>
    <w:p w14:paraId="1AC47E50" w14:textId="77777777" w:rsidR="00604034" w:rsidRPr="007C4D65" w:rsidRDefault="00604034">
      <w:pPr>
        <w:pStyle w:val="ListParagraph"/>
        <w:numPr>
          <w:ilvl w:val="0"/>
          <w:numId w:val="75"/>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Establishing a model of statistical monitoring of marine and </w:t>
      </w:r>
      <w:proofErr w:type="gramStart"/>
      <w:r w:rsidRPr="007C4D65">
        <w:rPr>
          <w:rFonts w:asciiTheme="minorHAnsi" w:hAnsiTheme="minorHAnsi"/>
          <w:sz w:val="22"/>
          <w:szCs w:val="22"/>
        </w:rPr>
        <w:t>fresh water</w:t>
      </w:r>
      <w:proofErr w:type="gramEnd"/>
      <w:r w:rsidRPr="007C4D65">
        <w:rPr>
          <w:rFonts w:asciiTheme="minorHAnsi" w:hAnsiTheme="minorHAnsi"/>
          <w:sz w:val="22"/>
          <w:szCs w:val="22"/>
        </w:rPr>
        <w:t xml:space="preserve"> fish farms in accordance with the adopted methodology for BiH.</w:t>
      </w:r>
    </w:p>
    <w:p w14:paraId="7F2E95DB" w14:textId="6074B9CD" w:rsidR="00604034" w:rsidRPr="007C4D65" w:rsidRDefault="00604034" w:rsidP="00604034">
      <w:pPr>
        <w:tabs>
          <w:tab w:val="left" w:pos="2435"/>
        </w:tabs>
        <w:spacing w:before="240" w:line="276" w:lineRule="auto"/>
        <w:rPr>
          <w:rFonts w:asciiTheme="minorHAnsi" w:eastAsia="Calibri" w:hAnsiTheme="minorHAnsi" w:cstheme="minorHAnsi"/>
          <w:b/>
          <w:i/>
          <w:sz w:val="22"/>
          <w:szCs w:val="22"/>
          <w:u w:val="single"/>
        </w:rPr>
      </w:pPr>
      <w:r w:rsidRPr="007C4D65">
        <w:rPr>
          <w:rFonts w:asciiTheme="minorHAnsi" w:hAnsiTheme="minorHAnsi"/>
          <w:b/>
          <w:i/>
          <w:sz w:val="22"/>
          <w:szCs w:val="22"/>
          <w:u w:val="single"/>
        </w:rPr>
        <w:t>Priority 6.4 Establish integrated and sustainable management of land resources</w:t>
      </w:r>
    </w:p>
    <w:p w14:paraId="3937E7BF" w14:textId="77777777" w:rsidR="00604034" w:rsidRPr="007C4D65" w:rsidRDefault="00604034" w:rsidP="00604034">
      <w:pPr>
        <w:tabs>
          <w:tab w:val="left" w:pos="2435"/>
        </w:tabs>
        <w:spacing w:before="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Measure 6.4.1. Provide legal and strategic framework for comprehensive protection of land</w:t>
      </w:r>
    </w:p>
    <w:p w14:paraId="30C26786" w14:textId="488A9468" w:rsidR="00604034" w:rsidRPr="007C4D65" w:rsidRDefault="00604034" w:rsidP="00604034">
      <w:p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This measure aims to provide framework for integrated protection of all types of land. The measure includes adoption of legislation and strategy on protection of land, and harmonisation of legislation regulating various uses of land (mining, construction, agriculture). For implementation of this measure, the following activities are planned:</w:t>
      </w:r>
    </w:p>
    <w:p w14:paraId="2D0A510E" w14:textId="77777777" w:rsidR="00604034" w:rsidRPr="007C4D65" w:rsidRDefault="00604034">
      <w:pPr>
        <w:pStyle w:val="ListParagraph"/>
        <w:numPr>
          <w:ilvl w:val="0"/>
          <w:numId w:val="76"/>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lastRenderedPageBreak/>
        <w:t xml:space="preserve">Adoption of a Law on Protection of Land and relevant </w:t>
      </w:r>
      <w:proofErr w:type="gramStart"/>
      <w:r w:rsidRPr="007C4D65">
        <w:rPr>
          <w:rFonts w:asciiTheme="minorHAnsi" w:hAnsiTheme="minorHAnsi"/>
          <w:sz w:val="22"/>
          <w:szCs w:val="22"/>
        </w:rPr>
        <w:t>bylaws;</w:t>
      </w:r>
      <w:proofErr w:type="gramEnd"/>
    </w:p>
    <w:p w14:paraId="7FD44399" w14:textId="076C22D7" w:rsidR="00604034" w:rsidRPr="007C4D65" w:rsidRDefault="00604034">
      <w:pPr>
        <w:pStyle w:val="ListParagraph"/>
        <w:numPr>
          <w:ilvl w:val="0"/>
          <w:numId w:val="76"/>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Development and adoption of the Strategy of Sustainable Land </w:t>
      </w:r>
      <w:proofErr w:type="gramStart"/>
      <w:r w:rsidRPr="007C4D65">
        <w:rPr>
          <w:rFonts w:asciiTheme="minorHAnsi" w:hAnsiTheme="minorHAnsi"/>
          <w:sz w:val="22"/>
          <w:szCs w:val="22"/>
        </w:rPr>
        <w:t>Management;</w:t>
      </w:r>
      <w:proofErr w:type="gramEnd"/>
    </w:p>
    <w:p w14:paraId="0D3249A8" w14:textId="5A814967" w:rsidR="00604034" w:rsidRPr="007C4D65" w:rsidRDefault="00604034">
      <w:pPr>
        <w:pStyle w:val="ListParagraph"/>
        <w:numPr>
          <w:ilvl w:val="0"/>
          <w:numId w:val="76"/>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Harmonization of laws: on spatial planning and construction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and cantons </w:t>
      </w:r>
      <w:r w:rsidR="007436F1" w:rsidRPr="007C4D65">
        <w:rPr>
          <w:rFonts w:asciiTheme="minorHAnsi" w:hAnsiTheme="minorHAnsi"/>
          <w:sz w:val="22"/>
          <w:szCs w:val="22"/>
        </w:rPr>
        <w:t>in the Federation of BiH</w:t>
      </w:r>
      <w:r w:rsidRPr="007C4D65">
        <w:rPr>
          <w:rFonts w:asciiTheme="minorHAnsi" w:hAnsiTheme="minorHAnsi"/>
          <w:sz w:val="22"/>
          <w:szCs w:val="22"/>
        </w:rPr>
        <w:t xml:space="preserve"> with the Law on Agricultural Land, </w:t>
      </w:r>
      <w:proofErr w:type="gramStart"/>
      <w:r w:rsidRPr="007C4D65">
        <w:rPr>
          <w:rFonts w:asciiTheme="minorHAnsi" w:hAnsiTheme="minorHAnsi"/>
          <w:sz w:val="22"/>
          <w:szCs w:val="22"/>
        </w:rPr>
        <w:t>i.e.</w:t>
      </w:r>
      <w:proofErr w:type="gramEnd"/>
      <w:r w:rsidRPr="007C4D65">
        <w:rPr>
          <w:rFonts w:asciiTheme="minorHAnsi" w:hAnsiTheme="minorHAnsi"/>
          <w:sz w:val="22"/>
          <w:szCs w:val="22"/>
        </w:rPr>
        <w:t xml:space="preserve"> include in the Law on spatial development and construction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the obligation of the local administrative units to have the Plan of Protection, Development and Use of Agricultural Land prior to the adoption of their respective spatial plans;</w:t>
      </w:r>
    </w:p>
    <w:p w14:paraId="5D407C49" w14:textId="00318626" w:rsidR="00604034" w:rsidRPr="007C4D65" w:rsidRDefault="00604034">
      <w:pPr>
        <w:pStyle w:val="ListParagraph"/>
        <w:numPr>
          <w:ilvl w:val="0"/>
          <w:numId w:val="76"/>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Amending the Law on Mining </w:t>
      </w:r>
      <w:r w:rsidR="007436F1" w:rsidRPr="007C4D65">
        <w:rPr>
          <w:rFonts w:asciiTheme="minorHAnsi" w:hAnsiTheme="minorHAnsi"/>
          <w:sz w:val="22"/>
          <w:szCs w:val="22"/>
        </w:rPr>
        <w:t>of the Federation of BiH</w:t>
      </w:r>
      <w:r w:rsidRPr="007C4D65">
        <w:rPr>
          <w:rFonts w:asciiTheme="minorHAnsi" w:hAnsiTheme="minorHAnsi"/>
          <w:sz w:val="22"/>
          <w:szCs w:val="22"/>
        </w:rPr>
        <w:t xml:space="preserve"> with respect to rehabilitation of the mining areas, by expanding options of rehabilitation that would include repurposing, and by defining financial liability and guarantees for rehabilitation of the deserted mining areas.</w:t>
      </w:r>
    </w:p>
    <w:p w14:paraId="0DECD696" w14:textId="2CE9D035" w:rsidR="00604034" w:rsidRPr="007C4D65" w:rsidRDefault="00604034" w:rsidP="00604034">
      <w:pPr>
        <w:tabs>
          <w:tab w:val="left" w:pos="2435"/>
        </w:tabs>
        <w:spacing w:before="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Measure 6.4.2. Establishing the land monitoring system</w:t>
      </w:r>
    </w:p>
    <w:p w14:paraId="51F0F8B4" w14:textId="77777777" w:rsidR="00604034" w:rsidRPr="007C4D65" w:rsidRDefault="00604034" w:rsidP="00604034">
      <w:p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This measure aims to improve and upgrade the existing quality monitoring by monitoring all types of land. The measure includes following activities: </w:t>
      </w:r>
    </w:p>
    <w:p w14:paraId="248204C8" w14:textId="20E5484A" w:rsidR="00604034" w:rsidRPr="007C4D65" w:rsidRDefault="00604034">
      <w:pPr>
        <w:pStyle w:val="ListParagraph"/>
        <w:numPr>
          <w:ilvl w:val="0"/>
          <w:numId w:val="77"/>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Development, harmonization and adoption of measuring methods and indicators for sustainable management and protection of land </w:t>
      </w:r>
      <w:proofErr w:type="gramStart"/>
      <w:r w:rsidRPr="007C4D65">
        <w:rPr>
          <w:rFonts w:asciiTheme="minorHAnsi" w:hAnsiTheme="minorHAnsi"/>
          <w:sz w:val="22"/>
          <w:szCs w:val="22"/>
        </w:rPr>
        <w:t>resources;</w:t>
      </w:r>
      <w:proofErr w:type="gramEnd"/>
    </w:p>
    <w:p w14:paraId="2AFE3C02" w14:textId="77777777" w:rsidR="00604034" w:rsidRPr="007C4D65" w:rsidRDefault="00604034">
      <w:pPr>
        <w:pStyle w:val="ListParagraph"/>
        <w:numPr>
          <w:ilvl w:val="0"/>
          <w:numId w:val="77"/>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Adoption of a land monitoring </w:t>
      </w:r>
      <w:proofErr w:type="gramStart"/>
      <w:r w:rsidRPr="007C4D65">
        <w:rPr>
          <w:rFonts w:asciiTheme="minorHAnsi" w:hAnsiTheme="minorHAnsi"/>
          <w:sz w:val="22"/>
          <w:szCs w:val="22"/>
        </w:rPr>
        <w:t>plan;</w:t>
      </w:r>
      <w:proofErr w:type="gramEnd"/>
    </w:p>
    <w:p w14:paraId="7650D9E9" w14:textId="77777777" w:rsidR="00604034" w:rsidRPr="007C4D65" w:rsidRDefault="00604034">
      <w:pPr>
        <w:pStyle w:val="ListParagraph"/>
        <w:numPr>
          <w:ilvl w:val="0"/>
          <w:numId w:val="77"/>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Establishment of a network of monitoring sites and performance of monitoring.</w:t>
      </w:r>
    </w:p>
    <w:p w14:paraId="16C4C0E6" w14:textId="77777777" w:rsidR="00604034" w:rsidRPr="007C4D65" w:rsidRDefault="00604034" w:rsidP="00604034">
      <w:pPr>
        <w:tabs>
          <w:tab w:val="left" w:pos="2435"/>
        </w:tabs>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Collected data are integrated into the Land Information System.</w:t>
      </w:r>
    </w:p>
    <w:p w14:paraId="1528F7C5" w14:textId="77777777" w:rsidR="00604034" w:rsidRPr="007C4D65" w:rsidRDefault="00604034" w:rsidP="00604034">
      <w:pPr>
        <w:tabs>
          <w:tab w:val="left" w:pos="2435"/>
        </w:tabs>
        <w:spacing w:before="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Measure 6.4.3. Rehabilitation of degraded areas</w:t>
      </w:r>
    </w:p>
    <w:p w14:paraId="5FB60D97" w14:textId="77777777" w:rsidR="00604034" w:rsidRPr="007C4D65" w:rsidRDefault="00604034" w:rsidP="00604034">
      <w:p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This measure aims to reduce the area of degraded land. The measure includes following activities: </w:t>
      </w:r>
    </w:p>
    <w:p w14:paraId="66344F91" w14:textId="77777777" w:rsidR="00604034" w:rsidRPr="007C4D65" w:rsidRDefault="00604034">
      <w:pPr>
        <w:pStyle w:val="ListParagraph"/>
        <w:numPr>
          <w:ilvl w:val="0"/>
          <w:numId w:val="78"/>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Establishing of a cadastre of degraded </w:t>
      </w:r>
      <w:proofErr w:type="gramStart"/>
      <w:r w:rsidRPr="007C4D65">
        <w:rPr>
          <w:rFonts w:asciiTheme="minorHAnsi" w:hAnsiTheme="minorHAnsi"/>
          <w:sz w:val="22"/>
          <w:szCs w:val="22"/>
        </w:rPr>
        <w:t>land;</w:t>
      </w:r>
      <w:proofErr w:type="gramEnd"/>
    </w:p>
    <w:p w14:paraId="7FDD5539" w14:textId="77777777" w:rsidR="00604034" w:rsidRPr="007C4D65" w:rsidRDefault="00604034">
      <w:pPr>
        <w:pStyle w:val="ListParagraph"/>
        <w:numPr>
          <w:ilvl w:val="0"/>
          <w:numId w:val="78"/>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Development of an action plan for rehabilitation of degraded areas that includes procedures and methods for rehabilitating the degraded areas, criteria for prioritization of the sites to be rehabilitated on the basis of environmental and social criteria (number of people at risk, children, the poor...</w:t>
      </w:r>
      <w:proofErr w:type="gramStart"/>
      <w:r w:rsidRPr="007C4D65">
        <w:rPr>
          <w:rFonts w:asciiTheme="minorHAnsi" w:hAnsiTheme="minorHAnsi"/>
          <w:sz w:val="22"/>
          <w:szCs w:val="22"/>
        </w:rPr>
        <w:t>);</w:t>
      </w:r>
      <w:proofErr w:type="gramEnd"/>
      <w:r w:rsidRPr="007C4D65">
        <w:rPr>
          <w:rFonts w:asciiTheme="minorHAnsi" w:hAnsiTheme="minorHAnsi"/>
          <w:sz w:val="22"/>
          <w:szCs w:val="22"/>
        </w:rPr>
        <w:t xml:space="preserve"> </w:t>
      </w:r>
    </w:p>
    <w:p w14:paraId="691B6CF5" w14:textId="37076A40" w:rsidR="00604034" w:rsidRPr="007C4D65" w:rsidRDefault="00604034">
      <w:pPr>
        <w:pStyle w:val="ListParagraph"/>
        <w:numPr>
          <w:ilvl w:val="0"/>
          <w:numId w:val="79"/>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Rehabilitation of degraded land area (approximately 3500 ha) focusing on the following areas: </w:t>
      </w:r>
      <w:proofErr w:type="spellStart"/>
      <w:r w:rsidRPr="007C4D65">
        <w:rPr>
          <w:rFonts w:asciiTheme="minorHAnsi" w:hAnsiTheme="minorHAnsi"/>
          <w:sz w:val="22"/>
          <w:szCs w:val="22"/>
        </w:rPr>
        <w:t>Banovici</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Lukavac</w:t>
      </w:r>
      <w:proofErr w:type="spellEnd"/>
      <w:r w:rsidRPr="007C4D65">
        <w:rPr>
          <w:rFonts w:asciiTheme="minorHAnsi" w:hAnsiTheme="minorHAnsi"/>
          <w:sz w:val="22"/>
          <w:szCs w:val="22"/>
        </w:rPr>
        <w:t xml:space="preserve">, Tuzla, </w:t>
      </w:r>
      <w:proofErr w:type="spellStart"/>
      <w:r w:rsidR="00FD7932" w:rsidRPr="007C4D65">
        <w:rPr>
          <w:rFonts w:asciiTheme="minorHAnsi" w:hAnsiTheme="minorHAnsi"/>
          <w:sz w:val="22"/>
          <w:szCs w:val="22"/>
        </w:rPr>
        <w:t>Zivinice</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Kalesija</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Srebrenik</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Zenica</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Breza</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Kakanj</w:t>
      </w:r>
      <w:proofErr w:type="spellEnd"/>
      <w:r w:rsidRPr="007C4D65">
        <w:rPr>
          <w:rFonts w:asciiTheme="minorHAnsi" w:hAnsiTheme="minorHAnsi"/>
          <w:sz w:val="22"/>
          <w:szCs w:val="22"/>
        </w:rPr>
        <w:t xml:space="preserve">, Novi </w:t>
      </w:r>
      <w:proofErr w:type="spellStart"/>
      <w:r w:rsidRPr="007C4D65">
        <w:rPr>
          <w:rFonts w:asciiTheme="minorHAnsi" w:hAnsiTheme="minorHAnsi"/>
          <w:sz w:val="22"/>
          <w:szCs w:val="22"/>
        </w:rPr>
        <w:t>Travnik</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Donji</w:t>
      </w:r>
      <w:proofErr w:type="spellEnd"/>
      <w:r w:rsidRPr="007C4D65">
        <w:rPr>
          <w:rFonts w:asciiTheme="minorHAnsi" w:hAnsiTheme="minorHAnsi"/>
          <w:sz w:val="22"/>
          <w:szCs w:val="22"/>
        </w:rPr>
        <w:t xml:space="preserve"> </w:t>
      </w:r>
      <w:proofErr w:type="spellStart"/>
      <w:r w:rsidRPr="007C4D65">
        <w:rPr>
          <w:rFonts w:asciiTheme="minorHAnsi" w:hAnsiTheme="minorHAnsi"/>
          <w:sz w:val="22"/>
          <w:szCs w:val="22"/>
        </w:rPr>
        <w:t>Vakuf</w:t>
      </w:r>
      <w:proofErr w:type="spellEnd"/>
      <w:r w:rsidRPr="007C4D65">
        <w:rPr>
          <w:rFonts w:asciiTheme="minorHAnsi" w:hAnsiTheme="minorHAnsi"/>
          <w:sz w:val="22"/>
          <w:szCs w:val="22"/>
        </w:rPr>
        <w:t xml:space="preserve"> </w:t>
      </w:r>
      <w:proofErr w:type="gramStart"/>
      <w:r w:rsidRPr="007C4D65">
        <w:rPr>
          <w:rFonts w:asciiTheme="minorHAnsi" w:hAnsiTheme="minorHAnsi"/>
          <w:sz w:val="22"/>
          <w:szCs w:val="22"/>
        </w:rPr>
        <w:t>etc.;</w:t>
      </w:r>
      <w:proofErr w:type="gramEnd"/>
    </w:p>
    <w:p w14:paraId="5C2FD994" w14:textId="77777777" w:rsidR="00604034" w:rsidRPr="007C4D65" w:rsidRDefault="00604034">
      <w:pPr>
        <w:pStyle w:val="ListParagraph"/>
        <w:numPr>
          <w:ilvl w:val="0"/>
          <w:numId w:val="79"/>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Rehabilitation of land in especially sensitive and deserted areas, focusing on the </w:t>
      </w:r>
      <w:proofErr w:type="spellStart"/>
      <w:r w:rsidRPr="007C4D65">
        <w:rPr>
          <w:rFonts w:asciiTheme="minorHAnsi" w:hAnsiTheme="minorHAnsi"/>
          <w:sz w:val="22"/>
          <w:szCs w:val="22"/>
        </w:rPr>
        <w:t>Dinara</w:t>
      </w:r>
      <w:proofErr w:type="spellEnd"/>
      <w:r w:rsidRPr="007C4D65">
        <w:rPr>
          <w:rFonts w:asciiTheme="minorHAnsi" w:hAnsiTheme="minorHAnsi"/>
          <w:sz w:val="22"/>
          <w:szCs w:val="22"/>
        </w:rPr>
        <w:t xml:space="preserve"> karst and high mountains in: Hercegovina-Neretva Canton, West Herzegovina Canton, high mountains in Central Bosnia.</w:t>
      </w:r>
    </w:p>
    <w:p w14:paraId="32BAF628" w14:textId="77777777" w:rsidR="00604034" w:rsidRPr="007C4D65" w:rsidRDefault="00604034" w:rsidP="00604034">
      <w:pPr>
        <w:tabs>
          <w:tab w:val="left" w:pos="2435"/>
        </w:tabs>
        <w:spacing w:before="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Measure 6.4.4. Preventing land degradation by development (construction) without plan</w:t>
      </w:r>
    </w:p>
    <w:p w14:paraId="49822BE1" w14:textId="77777777" w:rsidR="00604034" w:rsidRPr="007C4D65" w:rsidRDefault="00604034" w:rsidP="00604034">
      <w:p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This measure aims to prevent further land degradation caused by illegal construction. The measure includes following activities:</w:t>
      </w:r>
    </w:p>
    <w:p w14:paraId="21DA3E4B" w14:textId="1712F9DB" w:rsidR="00604034" w:rsidRPr="007C4D65" w:rsidRDefault="00604034">
      <w:pPr>
        <w:pStyle w:val="ListParagraph"/>
        <w:numPr>
          <w:ilvl w:val="0"/>
          <w:numId w:val="80"/>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Adoption of new laws on legalization that would be aligned with the Vienna Declaration on National and Regional Policies and Programmes regarding Informal Settlements in </w:t>
      </w:r>
      <w:proofErr w:type="gramStart"/>
      <w:r w:rsidRPr="007C4D65">
        <w:rPr>
          <w:rFonts w:asciiTheme="minorHAnsi" w:hAnsiTheme="minorHAnsi"/>
          <w:sz w:val="22"/>
          <w:szCs w:val="22"/>
        </w:rPr>
        <w:t>South Eastern</w:t>
      </w:r>
      <w:proofErr w:type="gramEnd"/>
      <w:r w:rsidRPr="007C4D65">
        <w:rPr>
          <w:rFonts w:asciiTheme="minorHAnsi" w:hAnsiTheme="minorHAnsi"/>
          <w:sz w:val="22"/>
          <w:szCs w:val="22"/>
        </w:rPr>
        <w:t xml:space="preserve"> Europe;</w:t>
      </w:r>
    </w:p>
    <w:p w14:paraId="4C9477C5" w14:textId="77777777" w:rsidR="00604034" w:rsidRPr="007C4D65" w:rsidRDefault="00604034">
      <w:pPr>
        <w:pStyle w:val="ListParagraph"/>
        <w:numPr>
          <w:ilvl w:val="0"/>
          <w:numId w:val="80"/>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lastRenderedPageBreak/>
        <w:t xml:space="preserve">Registration of illegal </w:t>
      </w:r>
      <w:proofErr w:type="gramStart"/>
      <w:r w:rsidRPr="007C4D65">
        <w:rPr>
          <w:rFonts w:asciiTheme="minorHAnsi" w:hAnsiTheme="minorHAnsi"/>
          <w:sz w:val="22"/>
          <w:szCs w:val="22"/>
        </w:rPr>
        <w:t>buildings;</w:t>
      </w:r>
      <w:proofErr w:type="gramEnd"/>
    </w:p>
    <w:p w14:paraId="76C3A711" w14:textId="77777777" w:rsidR="00604034" w:rsidRPr="007C4D65" w:rsidRDefault="00604034">
      <w:pPr>
        <w:pStyle w:val="ListParagraph"/>
        <w:numPr>
          <w:ilvl w:val="0"/>
          <w:numId w:val="80"/>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Development of operational plans for prevention of unplanned construction, and adoption of programmes to demolish illegal </w:t>
      </w:r>
      <w:proofErr w:type="gramStart"/>
      <w:r w:rsidRPr="007C4D65">
        <w:rPr>
          <w:rFonts w:asciiTheme="minorHAnsi" w:hAnsiTheme="minorHAnsi"/>
          <w:sz w:val="22"/>
          <w:szCs w:val="22"/>
        </w:rPr>
        <w:t>buildings;</w:t>
      </w:r>
      <w:proofErr w:type="gramEnd"/>
    </w:p>
    <w:p w14:paraId="4AED2399" w14:textId="77777777" w:rsidR="00604034" w:rsidRPr="007C4D65" w:rsidRDefault="00604034">
      <w:pPr>
        <w:pStyle w:val="ListParagraph"/>
        <w:numPr>
          <w:ilvl w:val="0"/>
          <w:numId w:val="80"/>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Continuous development and adoption of new spatial planning documentation and documentation for controlled development of cities, and prevention of use of good quality categories of land for </w:t>
      </w:r>
      <w:proofErr w:type="gramStart"/>
      <w:r w:rsidRPr="007C4D65">
        <w:rPr>
          <w:rFonts w:asciiTheme="minorHAnsi" w:hAnsiTheme="minorHAnsi"/>
          <w:sz w:val="22"/>
          <w:szCs w:val="22"/>
        </w:rPr>
        <w:t>construction;</w:t>
      </w:r>
      <w:proofErr w:type="gramEnd"/>
    </w:p>
    <w:p w14:paraId="067B7822" w14:textId="4E07F829" w:rsidR="00604034" w:rsidRPr="007C4D65" w:rsidRDefault="00604034">
      <w:pPr>
        <w:pStyle w:val="ListParagraph"/>
        <w:numPr>
          <w:ilvl w:val="0"/>
          <w:numId w:val="80"/>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Restricting the use of good quality land (I agricultural zone) for construction of apartments, industrial facilities and other buildings.</w:t>
      </w:r>
    </w:p>
    <w:p w14:paraId="49BC51C5" w14:textId="77777777" w:rsidR="00604034" w:rsidRPr="007C4D65" w:rsidRDefault="00604034" w:rsidP="00604034">
      <w:pPr>
        <w:tabs>
          <w:tab w:val="left" w:pos="2435"/>
        </w:tabs>
        <w:spacing w:before="240" w:line="276" w:lineRule="auto"/>
        <w:rPr>
          <w:rFonts w:asciiTheme="minorHAnsi" w:eastAsia="Calibri" w:hAnsiTheme="minorHAnsi" w:cstheme="minorHAnsi"/>
          <w:i/>
          <w:sz w:val="22"/>
          <w:szCs w:val="22"/>
          <w:u w:val="single"/>
        </w:rPr>
      </w:pPr>
      <w:r w:rsidRPr="007C4D65">
        <w:rPr>
          <w:rFonts w:asciiTheme="minorHAnsi" w:hAnsiTheme="minorHAnsi"/>
          <w:i/>
          <w:sz w:val="22"/>
          <w:szCs w:val="22"/>
          <w:u w:val="single"/>
        </w:rPr>
        <w:t>Measure 6.4.5. Removing land mines</w:t>
      </w:r>
    </w:p>
    <w:p w14:paraId="5899CCDB" w14:textId="22C8202D" w:rsidR="00604034" w:rsidRPr="007C4D65" w:rsidRDefault="00604034" w:rsidP="00604034">
      <w:p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This measure aims to complete demining of 100% of land under mines by 2030. Demining is carried out in line with the annual demining plans.</w:t>
      </w:r>
    </w:p>
    <w:p w14:paraId="1F54C2AE" w14:textId="7908E847" w:rsidR="00604034" w:rsidRPr="007C4D65" w:rsidRDefault="00604034" w:rsidP="00604034">
      <w:pPr>
        <w:tabs>
          <w:tab w:val="left" w:pos="2435"/>
        </w:tabs>
        <w:spacing w:before="240" w:line="276" w:lineRule="auto"/>
        <w:rPr>
          <w:rFonts w:asciiTheme="minorHAnsi" w:eastAsia="Calibri" w:hAnsiTheme="minorHAnsi" w:cstheme="minorHAnsi"/>
          <w:b/>
          <w:i/>
          <w:sz w:val="22"/>
          <w:szCs w:val="22"/>
          <w:u w:val="single"/>
        </w:rPr>
      </w:pPr>
      <w:r w:rsidRPr="007C4D65">
        <w:rPr>
          <w:rFonts w:asciiTheme="minorHAnsi" w:hAnsiTheme="minorHAnsi"/>
          <w:b/>
          <w:i/>
          <w:sz w:val="22"/>
          <w:szCs w:val="22"/>
          <w:u w:val="single"/>
        </w:rPr>
        <w:t>Priority 6.5 Establish a system of sustainable and responsible research, exploitation and management of mineral resources</w:t>
      </w:r>
    </w:p>
    <w:p w14:paraId="11BD4DE1" w14:textId="72872BAC" w:rsidR="00604034" w:rsidRPr="007C4D65" w:rsidRDefault="00604034" w:rsidP="00604034">
      <w:pPr>
        <w:tabs>
          <w:tab w:val="left" w:pos="2435"/>
        </w:tabs>
        <w:spacing w:before="240" w:line="276" w:lineRule="auto"/>
        <w:rPr>
          <w:rFonts w:asciiTheme="minorHAnsi" w:eastAsia="Calibri" w:hAnsiTheme="minorHAnsi" w:cstheme="minorHAnsi"/>
          <w:sz w:val="22"/>
          <w:szCs w:val="22"/>
        </w:rPr>
      </w:pPr>
      <w:r w:rsidRPr="007C4D65">
        <w:rPr>
          <w:rFonts w:asciiTheme="minorHAnsi" w:hAnsiTheme="minorHAnsi"/>
          <w:i/>
          <w:sz w:val="22"/>
          <w:szCs w:val="22"/>
          <w:u w:val="single"/>
        </w:rPr>
        <w:t>Measure 6.5.1. Establishing a framework for sustainable use and exploitation of mineral resources</w:t>
      </w:r>
    </w:p>
    <w:p w14:paraId="26615ADA" w14:textId="35893A96" w:rsidR="00604034" w:rsidRPr="007C4D65" w:rsidRDefault="00604034" w:rsidP="00604034">
      <w:p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 xml:space="preserve">This measure aims to provide for a comprehensive approach to securing mineral resources for development of industry </w:t>
      </w:r>
      <w:r w:rsidR="007436F1" w:rsidRPr="007C4D65">
        <w:rPr>
          <w:rFonts w:asciiTheme="minorHAnsi" w:hAnsiTheme="minorHAnsi"/>
          <w:sz w:val="22"/>
          <w:szCs w:val="22"/>
        </w:rPr>
        <w:t>in the Federation of BiH</w:t>
      </w:r>
      <w:r w:rsidRPr="007C4D65">
        <w:rPr>
          <w:rFonts w:asciiTheme="minorHAnsi" w:hAnsiTheme="minorHAnsi"/>
          <w:sz w:val="22"/>
          <w:szCs w:val="22"/>
        </w:rPr>
        <w:t>, and it includes:</w:t>
      </w:r>
    </w:p>
    <w:p w14:paraId="7FE713D1" w14:textId="77777777" w:rsidR="00604034" w:rsidRPr="007C4D65" w:rsidRDefault="00604034">
      <w:pPr>
        <w:pStyle w:val="ListParagraph"/>
        <w:numPr>
          <w:ilvl w:val="0"/>
          <w:numId w:val="81"/>
        </w:numPr>
        <w:spacing w:before="240" w:line="276" w:lineRule="auto"/>
        <w:jc w:val="both"/>
        <w:rPr>
          <w:rFonts w:asciiTheme="minorHAnsi" w:eastAsia="Calibri" w:hAnsiTheme="minorHAnsi" w:cstheme="minorHAnsi"/>
          <w:sz w:val="22"/>
          <w:szCs w:val="22"/>
        </w:rPr>
      </w:pPr>
      <w:r w:rsidRPr="007C4D65">
        <w:rPr>
          <w:rFonts w:asciiTheme="minorHAnsi" w:hAnsiTheme="minorHAnsi"/>
          <w:sz w:val="22"/>
          <w:szCs w:val="22"/>
        </w:rPr>
        <w:t>Development of a strategy for cost effective, socially and environmentally acceptable exploitation of ores and minerals that would include recovery of mineral and metallic resources from waste (urban mining, circular economy</w:t>
      </w:r>
      <w:proofErr w:type="gramStart"/>
      <w:r w:rsidRPr="007C4D65">
        <w:rPr>
          <w:rFonts w:asciiTheme="minorHAnsi" w:hAnsiTheme="minorHAnsi"/>
          <w:sz w:val="22"/>
          <w:szCs w:val="22"/>
        </w:rPr>
        <w:t>);</w:t>
      </w:r>
      <w:proofErr w:type="gramEnd"/>
    </w:p>
    <w:p w14:paraId="7E03F6AE" w14:textId="18479E7F" w:rsidR="00604034" w:rsidRPr="007C4D65" w:rsidRDefault="00604034" w:rsidP="00604034">
      <w:pPr>
        <w:tabs>
          <w:tab w:val="left" w:pos="2435"/>
        </w:tabs>
        <w:spacing w:after="160" w:line="276" w:lineRule="auto"/>
        <w:rPr>
          <w:rFonts w:asciiTheme="minorHAnsi" w:eastAsia="Calibri" w:hAnsiTheme="minorHAnsi" w:cstheme="minorHAnsi"/>
          <w:b/>
          <w:bCs/>
          <w:i/>
          <w:iCs/>
          <w:sz w:val="22"/>
          <w:szCs w:val="22"/>
          <w:u w:val="single"/>
        </w:rPr>
      </w:pPr>
      <w:r w:rsidRPr="007C4D65">
        <w:rPr>
          <w:rFonts w:asciiTheme="minorHAnsi" w:hAnsiTheme="minorHAnsi"/>
          <w:sz w:val="22"/>
          <w:szCs w:val="22"/>
        </w:rPr>
        <w:t xml:space="preserve">Development of programmes and plans for introduction of contemporary technologies in mines owned by </w:t>
      </w:r>
      <w:r w:rsidR="0058588C" w:rsidRPr="007C4D65">
        <w:rPr>
          <w:rFonts w:asciiTheme="minorHAnsi" w:hAnsiTheme="minorHAnsi"/>
          <w:sz w:val="22"/>
          <w:szCs w:val="22"/>
        </w:rPr>
        <w:t>the Federation of BiH</w:t>
      </w:r>
      <w:r w:rsidRPr="007C4D65">
        <w:rPr>
          <w:rFonts w:asciiTheme="minorHAnsi" w:hAnsiTheme="minorHAnsi"/>
          <w:sz w:val="22"/>
          <w:szCs w:val="22"/>
        </w:rPr>
        <w:t xml:space="preserve"> for the purpose of providing conditions for improved efficiency of exploitation and use of mineral resources, and prevention of waste generation.</w:t>
      </w:r>
    </w:p>
    <w:p w14:paraId="506CEB3E" w14:textId="7D8983CF" w:rsidR="006B09B1" w:rsidRPr="007C4D65" w:rsidRDefault="006B09B1">
      <w:pPr>
        <w:spacing w:after="160" w:line="259" w:lineRule="auto"/>
        <w:rPr>
          <w:rFonts w:asciiTheme="minorHAnsi" w:eastAsia="Calibri" w:hAnsiTheme="minorHAnsi" w:cstheme="minorHAnsi"/>
          <w:b/>
          <w:bCs/>
          <w:i/>
          <w:iCs/>
          <w:sz w:val="22"/>
          <w:szCs w:val="22"/>
          <w:u w:val="single"/>
        </w:rPr>
      </w:pPr>
      <w:r w:rsidRPr="007C4D65">
        <w:rPr>
          <w:rFonts w:asciiTheme="minorHAnsi" w:eastAsia="Calibri" w:hAnsiTheme="minorHAnsi" w:cstheme="minorHAnsi"/>
          <w:b/>
          <w:bCs/>
          <w:i/>
          <w:iCs/>
          <w:sz w:val="22"/>
          <w:szCs w:val="22"/>
          <w:u w:val="single"/>
        </w:rPr>
        <w:br w:type="page"/>
      </w:r>
    </w:p>
    <w:p w14:paraId="1F92A612" w14:textId="77777777" w:rsidR="006B09B1" w:rsidRPr="007C4D65" w:rsidRDefault="006B09B1" w:rsidP="00604034">
      <w:pPr>
        <w:tabs>
          <w:tab w:val="left" w:pos="2435"/>
        </w:tabs>
        <w:spacing w:after="160" w:line="276" w:lineRule="auto"/>
        <w:rPr>
          <w:rFonts w:asciiTheme="minorHAnsi" w:eastAsia="Calibri" w:hAnsiTheme="minorHAnsi" w:cstheme="minorHAnsi"/>
          <w:b/>
          <w:bCs/>
          <w:i/>
          <w:iCs/>
          <w:sz w:val="22"/>
          <w:szCs w:val="22"/>
          <w:u w:val="single"/>
        </w:rPr>
      </w:pPr>
    </w:p>
    <w:p w14:paraId="410A113C" w14:textId="2CA0EB93" w:rsidR="00A047EC" w:rsidRPr="007C4D65" w:rsidRDefault="009A1CFB">
      <w:pPr>
        <w:pStyle w:val="Head2"/>
        <w:spacing w:line="276" w:lineRule="auto"/>
        <w:rPr>
          <w:rFonts w:asciiTheme="minorHAnsi" w:hAnsiTheme="minorHAnsi"/>
        </w:rPr>
      </w:pPr>
      <w:bookmarkStart w:id="195" w:name="_Toc117445364"/>
      <w:r w:rsidRPr="007C4D65">
        <w:rPr>
          <w:rFonts w:asciiTheme="minorHAnsi" w:hAnsiTheme="minorHAnsi"/>
        </w:rPr>
        <w:t xml:space="preserve">Indicative </w:t>
      </w:r>
      <w:r w:rsidR="002E1D74" w:rsidRPr="007C4D65">
        <w:rPr>
          <w:rFonts w:asciiTheme="minorHAnsi" w:hAnsiTheme="minorHAnsi"/>
        </w:rPr>
        <w:t>financial framework</w:t>
      </w:r>
      <w:bookmarkEnd w:id="195"/>
    </w:p>
    <w:p w14:paraId="726F3B9E" w14:textId="11870A53" w:rsidR="00604034" w:rsidRPr="007C4D65" w:rsidRDefault="00604034" w:rsidP="00604034">
      <w:pPr>
        <w:spacing w:after="240"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 xml:space="preserve">With </w:t>
      </w:r>
      <w:r w:rsidR="006B09B1" w:rsidRPr="007C4D65">
        <w:rPr>
          <w:rFonts w:asciiTheme="minorHAnsi" w:hAnsiTheme="minorHAnsi"/>
          <w:sz w:val="22"/>
          <w:szCs w:val="22"/>
        </w:rPr>
        <w:t xml:space="preserve">a </w:t>
      </w:r>
      <w:r w:rsidRPr="007C4D65">
        <w:rPr>
          <w:rFonts w:asciiTheme="minorHAnsi" w:hAnsiTheme="minorHAnsi"/>
          <w:sz w:val="22"/>
          <w:szCs w:val="22"/>
        </w:rPr>
        <w:t>financial estimate of little over 29% or 3.4 billion BAM,</w:t>
      </w:r>
      <w:r w:rsidR="006B09B1" w:rsidRPr="007C4D65">
        <w:rPr>
          <w:rFonts w:asciiTheme="minorHAnsi" w:hAnsiTheme="minorHAnsi"/>
          <w:sz w:val="22"/>
          <w:szCs w:val="22"/>
        </w:rPr>
        <w:t xml:space="preserve"> the</w:t>
      </w:r>
      <w:r w:rsidRPr="007C4D65">
        <w:rPr>
          <w:rFonts w:asciiTheme="minorHAnsi" w:hAnsiTheme="minorHAnsi"/>
          <w:sz w:val="22"/>
          <w:szCs w:val="22"/>
        </w:rPr>
        <w:t xml:space="preserve"> thematic area Sustainable Resource Management is the second largest area in terms of the costs in the Strategy for </w:t>
      </w:r>
      <w:r w:rsidR="0058588C" w:rsidRPr="007C4D65">
        <w:rPr>
          <w:rFonts w:asciiTheme="minorHAnsi" w:hAnsiTheme="minorHAnsi"/>
          <w:sz w:val="22"/>
          <w:szCs w:val="22"/>
        </w:rPr>
        <w:t>the Federation of BiH</w:t>
      </w:r>
      <w:r w:rsidRPr="007C4D65">
        <w:rPr>
          <w:rFonts w:asciiTheme="minorHAnsi" w:hAnsiTheme="minorHAnsi"/>
          <w:sz w:val="22"/>
          <w:szCs w:val="22"/>
        </w:rPr>
        <w:t xml:space="preserve">, the </w:t>
      </w:r>
      <w:r w:rsidR="0002641E" w:rsidRPr="007C4D65">
        <w:rPr>
          <w:rFonts w:asciiTheme="minorHAnsi" w:hAnsiTheme="minorHAnsi"/>
          <w:sz w:val="22"/>
          <w:szCs w:val="22"/>
        </w:rPr>
        <w:t xml:space="preserve">total </w:t>
      </w:r>
      <w:r w:rsidRPr="007C4D65">
        <w:rPr>
          <w:rFonts w:asciiTheme="minorHAnsi" w:hAnsiTheme="minorHAnsi"/>
          <w:sz w:val="22"/>
          <w:szCs w:val="22"/>
        </w:rPr>
        <w:t xml:space="preserve">estimated cost of which is 11.9 billion BAM. </w:t>
      </w:r>
      <w:r w:rsidR="0002641E" w:rsidRPr="007C4D65">
        <w:rPr>
          <w:rFonts w:asciiTheme="minorHAnsi" w:hAnsiTheme="minorHAnsi"/>
          <w:sz w:val="22"/>
          <w:szCs w:val="22"/>
        </w:rPr>
        <w:t>T</w:t>
      </w:r>
      <w:r w:rsidR="006B09B1" w:rsidRPr="007C4D65">
        <w:rPr>
          <w:rFonts w:asciiTheme="minorHAnsi" w:hAnsiTheme="minorHAnsi"/>
          <w:sz w:val="22"/>
          <w:szCs w:val="22"/>
        </w:rPr>
        <w:t>he t</w:t>
      </w:r>
      <w:r w:rsidRPr="007C4D65">
        <w:rPr>
          <w:rFonts w:asciiTheme="minorHAnsi" w:hAnsiTheme="minorHAnsi"/>
          <w:sz w:val="22"/>
          <w:szCs w:val="22"/>
        </w:rPr>
        <w:t xml:space="preserve">hematic area Sustainable Resource Management includes five priorities and 16 measures. This </w:t>
      </w:r>
      <w:r w:rsidR="001402EE" w:rsidRPr="007C4D65">
        <w:rPr>
          <w:rFonts w:asciiTheme="minorHAnsi" w:hAnsiTheme="minorHAnsi"/>
          <w:sz w:val="22"/>
          <w:szCs w:val="22"/>
        </w:rPr>
        <w:t xml:space="preserve">is the </w:t>
      </w:r>
      <w:r w:rsidRPr="007C4D65">
        <w:rPr>
          <w:rFonts w:asciiTheme="minorHAnsi" w:hAnsiTheme="minorHAnsi"/>
          <w:sz w:val="22"/>
          <w:szCs w:val="22"/>
        </w:rPr>
        <w:t xml:space="preserve">thematic area </w:t>
      </w:r>
      <w:r w:rsidR="001402EE" w:rsidRPr="007C4D65">
        <w:rPr>
          <w:rFonts w:asciiTheme="minorHAnsi" w:hAnsiTheme="minorHAnsi"/>
          <w:sz w:val="22"/>
          <w:szCs w:val="22"/>
        </w:rPr>
        <w:t xml:space="preserve">with </w:t>
      </w:r>
      <w:r w:rsidR="0002641E" w:rsidRPr="007C4D65">
        <w:rPr>
          <w:rFonts w:asciiTheme="minorHAnsi" w:hAnsiTheme="minorHAnsi"/>
          <w:sz w:val="22"/>
          <w:szCs w:val="22"/>
        </w:rPr>
        <w:t xml:space="preserve">smallest number of </w:t>
      </w:r>
      <w:r w:rsidRPr="007C4D65">
        <w:rPr>
          <w:rFonts w:asciiTheme="minorHAnsi" w:hAnsiTheme="minorHAnsi"/>
          <w:sz w:val="22"/>
          <w:szCs w:val="22"/>
        </w:rPr>
        <w:t xml:space="preserve">priorities in the Strategy for </w:t>
      </w:r>
      <w:r w:rsidR="0058588C" w:rsidRPr="007C4D65">
        <w:rPr>
          <w:rFonts w:asciiTheme="minorHAnsi" w:hAnsiTheme="minorHAnsi"/>
          <w:sz w:val="22"/>
          <w:szCs w:val="22"/>
        </w:rPr>
        <w:t>the Federation of BiH</w:t>
      </w:r>
      <w:r w:rsidRPr="007C4D65">
        <w:rPr>
          <w:rFonts w:asciiTheme="minorHAnsi" w:hAnsiTheme="minorHAnsi"/>
          <w:sz w:val="22"/>
          <w:szCs w:val="22"/>
        </w:rPr>
        <w:t xml:space="preserve">. Priority 6.4 (Establish integrated and sustainable management of land resources) takes up 96% or 3.3 billion BAM. At the same time, this is the second most expensive priority in the whole Strategy </w:t>
      </w:r>
      <w:r w:rsidR="001402EE" w:rsidRPr="007C4D65">
        <w:rPr>
          <w:rFonts w:asciiTheme="minorHAnsi" w:hAnsiTheme="minorHAnsi"/>
          <w:sz w:val="22"/>
          <w:szCs w:val="22"/>
        </w:rPr>
        <w:t>of the</w:t>
      </w:r>
      <w:r w:rsidRPr="007C4D65">
        <w:rPr>
          <w:rFonts w:asciiTheme="minorHAnsi" w:hAnsiTheme="minorHAnsi"/>
          <w:sz w:val="22"/>
          <w:szCs w:val="22"/>
        </w:rPr>
        <w:t xml:space="preserve"> Federation </w:t>
      </w:r>
      <w:r w:rsidR="001402EE" w:rsidRPr="007C4D65">
        <w:rPr>
          <w:rFonts w:asciiTheme="minorHAnsi" w:hAnsiTheme="minorHAnsi"/>
          <w:sz w:val="22"/>
          <w:szCs w:val="22"/>
        </w:rPr>
        <w:t xml:space="preserve">of </w:t>
      </w:r>
      <w:r w:rsidRPr="007C4D65">
        <w:rPr>
          <w:rFonts w:asciiTheme="minorHAnsi" w:hAnsiTheme="minorHAnsi"/>
          <w:sz w:val="22"/>
          <w:szCs w:val="22"/>
        </w:rPr>
        <w:t>BiH as it accounts for 27% of the total estimated costs. All other priorities in the thematic area Sustainable Resource Management</w:t>
      </w:r>
      <w:r w:rsidR="001402EE" w:rsidRPr="007C4D65">
        <w:rPr>
          <w:rFonts w:asciiTheme="minorHAnsi" w:hAnsiTheme="minorHAnsi"/>
          <w:sz w:val="22"/>
          <w:szCs w:val="22"/>
        </w:rPr>
        <w:t xml:space="preserve"> together</w:t>
      </w:r>
      <w:r w:rsidRPr="007C4D65">
        <w:rPr>
          <w:rFonts w:asciiTheme="minorHAnsi" w:hAnsiTheme="minorHAnsi"/>
          <w:sz w:val="22"/>
          <w:szCs w:val="22"/>
        </w:rPr>
        <w:t xml:space="preserve"> </w:t>
      </w:r>
      <w:r w:rsidR="001402EE" w:rsidRPr="007C4D65">
        <w:rPr>
          <w:rFonts w:asciiTheme="minorHAnsi" w:hAnsiTheme="minorHAnsi"/>
          <w:sz w:val="22"/>
          <w:szCs w:val="22"/>
        </w:rPr>
        <w:t>account for</w:t>
      </w:r>
      <w:r w:rsidRPr="007C4D65">
        <w:rPr>
          <w:rFonts w:asciiTheme="minorHAnsi" w:hAnsiTheme="minorHAnsi"/>
          <w:sz w:val="22"/>
          <w:szCs w:val="22"/>
        </w:rPr>
        <w:t xml:space="preserve"> 4% </w:t>
      </w:r>
      <w:r w:rsidR="001402EE" w:rsidRPr="007C4D65">
        <w:rPr>
          <w:rFonts w:asciiTheme="minorHAnsi" w:hAnsiTheme="minorHAnsi"/>
          <w:sz w:val="22"/>
          <w:szCs w:val="22"/>
        </w:rPr>
        <w:t>of the total cost of this thematic area with</w:t>
      </w:r>
      <w:r w:rsidRPr="007C4D65">
        <w:rPr>
          <w:rFonts w:asciiTheme="minorHAnsi" w:hAnsiTheme="minorHAnsi"/>
          <w:sz w:val="22"/>
          <w:szCs w:val="22"/>
        </w:rPr>
        <w:t xml:space="preserve"> 144 million BAM.</w:t>
      </w:r>
    </w:p>
    <w:p w14:paraId="304F1F99" w14:textId="16ED3CD5" w:rsidR="00604034" w:rsidRPr="007C4D65" w:rsidRDefault="001402EE" w:rsidP="00604034">
      <w:pPr>
        <w:spacing w:line="276" w:lineRule="auto"/>
        <w:jc w:val="both"/>
        <w:rPr>
          <w:rFonts w:asciiTheme="minorHAnsi" w:eastAsiaTheme="minorHAnsi" w:hAnsiTheme="minorHAnsi" w:cstheme="minorHAnsi"/>
          <w:sz w:val="22"/>
          <w:szCs w:val="22"/>
        </w:rPr>
      </w:pPr>
      <w:r w:rsidRPr="007C4D65">
        <w:rPr>
          <w:rFonts w:asciiTheme="minorHAnsi" w:hAnsiTheme="minorHAnsi"/>
          <w:sz w:val="22"/>
          <w:szCs w:val="22"/>
        </w:rPr>
        <w:t>A d</w:t>
      </w:r>
      <w:r w:rsidR="00604034" w:rsidRPr="007C4D65">
        <w:rPr>
          <w:rFonts w:asciiTheme="minorHAnsi" w:hAnsiTheme="minorHAnsi"/>
          <w:sz w:val="22"/>
          <w:szCs w:val="22"/>
        </w:rPr>
        <w:t xml:space="preserve">etailed presentation of data of indicative financial framework for </w:t>
      </w:r>
      <w:r w:rsidRPr="007C4D65">
        <w:rPr>
          <w:rFonts w:asciiTheme="minorHAnsi" w:hAnsiTheme="minorHAnsi"/>
          <w:sz w:val="22"/>
          <w:szCs w:val="22"/>
        </w:rPr>
        <w:t xml:space="preserve">the </w:t>
      </w:r>
      <w:r w:rsidR="00604034" w:rsidRPr="007C4D65">
        <w:rPr>
          <w:rFonts w:asciiTheme="minorHAnsi" w:hAnsiTheme="minorHAnsi"/>
          <w:sz w:val="22"/>
          <w:szCs w:val="22"/>
        </w:rPr>
        <w:t xml:space="preserve">thematic area Sustainable Resource Management as well as generally for the level </w:t>
      </w:r>
      <w:r w:rsidR="00457FD7" w:rsidRPr="007C4D65">
        <w:rPr>
          <w:rFonts w:asciiTheme="minorHAnsi" w:hAnsiTheme="minorHAnsi"/>
          <w:sz w:val="22"/>
          <w:szCs w:val="22"/>
        </w:rPr>
        <w:t>of the Federation</w:t>
      </w:r>
      <w:r w:rsidRPr="007C4D65">
        <w:rPr>
          <w:rFonts w:asciiTheme="minorHAnsi" w:hAnsiTheme="minorHAnsi"/>
          <w:sz w:val="22"/>
          <w:szCs w:val="22"/>
        </w:rPr>
        <w:t xml:space="preserve"> of</w:t>
      </w:r>
      <w:r w:rsidR="00457FD7" w:rsidRPr="007C4D65">
        <w:rPr>
          <w:rFonts w:asciiTheme="minorHAnsi" w:hAnsiTheme="minorHAnsi"/>
          <w:sz w:val="22"/>
          <w:szCs w:val="22"/>
        </w:rPr>
        <w:t xml:space="preserve"> BiH</w:t>
      </w:r>
      <w:r w:rsidR="00604034" w:rsidRPr="007C4D65">
        <w:rPr>
          <w:rFonts w:asciiTheme="minorHAnsi" w:hAnsiTheme="minorHAnsi"/>
          <w:sz w:val="22"/>
          <w:szCs w:val="22"/>
        </w:rPr>
        <w:t xml:space="preserve"> is provided in Annex 9, which includes a table and a pie chart.</w:t>
      </w:r>
    </w:p>
    <w:p w14:paraId="011839E7" w14:textId="667C0C84" w:rsidR="000B510F" w:rsidRPr="007C4D65" w:rsidRDefault="000B510F" w:rsidP="00604034">
      <w:pPr>
        <w:spacing w:after="240" w:line="276" w:lineRule="auto"/>
        <w:jc w:val="both"/>
        <w:rPr>
          <w:rFonts w:asciiTheme="minorHAnsi" w:hAnsiTheme="minorHAnsi" w:cstheme="minorHAnsi"/>
        </w:rPr>
      </w:pPr>
      <w:r w:rsidRPr="007C4D65">
        <w:rPr>
          <w:rFonts w:asciiTheme="minorHAnsi" w:hAnsiTheme="minorHAnsi" w:cstheme="minorHAnsi"/>
        </w:rPr>
        <w:br w:type="page"/>
      </w:r>
    </w:p>
    <w:p w14:paraId="19721349" w14:textId="27CAADC3" w:rsidR="000B510F" w:rsidRPr="007C4D65" w:rsidRDefault="004B250A">
      <w:pPr>
        <w:pStyle w:val="Head1"/>
        <w:spacing w:after="240" w:line="276" w:lineRule="auto"/>
        <w:rPr>
          <w:rFonts w:asciiTheme="minorHAnsi" w:hAnsiTheme="minorHAnsi" w:cstheme="minorHAnsi"/>
        </w:rPr>
      </w:pPr>
      <w:bookmarkStart w:id="196" w:name="_Toc117445365"/>
      <w:r w:rsidRPr="007C4D65">
        <w:rPr>
          <w:rFonts w:asciiTheme="minorHAnsi" w:hAnsiTheme="minorHAnsi" w:cstheme="minorHAnsi"/>
        </w:rPr>
        <w:lastRenderedPageBreak/>
        <w:t>ENVIRONMENTAL MANAGEMENT</w:t>
      </w:r>
      <w:bookmarkEnd w:id="196"/>
    </w:p>
    <w:p w14:paraId="485A8C1F" w14:textId="3398BDBC" w:rsidR="009A1CFB" w:rsidRPr="007C4D65" w:rsidRDefault="009A1CFB">
      <w:pPr>
        <w:pStyle w:val="Head2"/>
        <w:spacing w:line="276" w:lineRule="auto"/>
        <w:rPr>
          <w:rFonts w:asciiTheme="minorHAnsi" w:hAnsiTheme="minorHAnsi"/>
        </w:rPr>
      </w:pPr>
      <w:bookmarkStart w:id="197" w:name="_Toc117445366"/>
      <w:r w:rsidRPr="007C4D65">
        <w:rPr>
          <w:rFonts w:asciiTheme="minorHAnsi" w:hAnsiTheme="minorHAnsi"/>
        </w:rPr>
        <w:t xml:space="preserve">Situation </w:t>
      </w:r>
      <w:r w:rsidR="002E1D74" w:rsidRPr="007C4D65">
        <w:rPr>
          <w:rFonts w:asciiTheme="minorHAnsi" w:hAnsiTheme="minorHAnsi"/>
        </w:rPr>
        <w:t>a</w:t>
      </w:r>
      <w:r w:rsidRPr="007C4D65">
        <w:rPr>
          <w:rFonts w:asciiTheme="minorHAnsi" w:hAnsiTheme="minorHAnsi"/>
        </w:rPr>
        <w:t>nalysis</w:t>
      </w:r>
      <w:bookmarkEnd w:id="197"/>
    </w:p>
    <w:p w14:paraId="5B8AE579" w14:textId="01E640F1"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After an </w:t>
      </w:r>
      <w:r w:rsidR="002E1D74" w:rsidRPr="007C4D65">
        <w:rPr>
          <w:rFonts w:asciiTheme="minorHAnsi" w:hAnsiTheme="minorHAnsi" w:cstheme="minorHAnsi"/>
          <w:sz w:val="22"/>
          <w:szCs w:val="22"/>
        </w:rPr>
        <w:t>analysis</w:t>
      </w:r>
      <w:r w:rsidRPr="007C4D65">
        <w:rPr>
          <w:rFonts w:asciiTheme="minorHAnsi" w:hAnsiTheme="minorHAnsi" w:cstheme="minorHAnsi"/>
          <w:sz w:val="22"/>
          <w:szCs w:val="22"/>
        </w:rPr>
        <w:t xml:space="preserve"> of the </w:t>
      </w:r>
      <w:r w:rsidRPr="007C4D65">
        <w:rPr>
          <w:rFonts w:asciiTheme="minorHAnsi" w:hAnsiTheme="minorHAnsi" w:cstheme="minorHAnsi"/>
          <w:b/>
          <w:sz w:val="22"/>
          <w:szCs w:val="22"/>
        </w:rPr>
        <w:t>baseline situation</w:t>
      </w:r>
      <w:r w:rsidRPr="007C4D65">
        <w:rPr>
          <w:rFonts w:asciiTheme="minorHAnsi" w:hAnsiTheme="minorHAnsi" w:cstheme="minorHAnsi"/>
          <w:sz w:val="22"/>
          <w:szCs w:val="22"/>
        </w:rPr>
        <w:t xml:space="preserve"> and identification of </w:t>
      </w:r>
      <w:r w:rsidRPr="007C4D65">
        <w:rPr>
          <w:rFonts w:asciiTheme="minorHAnsi" w:hAnsiTheme="minorHAnsi" w:cstheme="minorHAnsi"/>
          <w:b/>
          <w:sz w:val="22"/>
          <w:szCs w:val="22"/>
        </w:rPr>
        <w:t>key challenges</w:t>
      </w:r>
      <w:r w:rsidRPr="007C4D65">
        <w:rPr>
          <w:rFonts w:asciiTheme="minorHAnsi" w:hAnsiTheme="minorHAnsi" w:cstheme="minorHAnsi"/>
          <w:sz w:val="22"/>
          <w:szCs w:val="22"/>
        </w:rPr>
        <w:t xml:space="preserve"> the Federation of BiH faces in environmental management, the issues covered in this area were classified in several subareas: a) strategic planning and alignment of the legislation with the EU environmental acquis and international agreements, (b) implementation of the regulations transposed and international agreements signed, (c) institutional capacities and coordination, (d) public participation, (e) monitoring and reporting, (f) integration of environmental requirements in sectoral policies, (h) education, research and development, (</w:t>
      </w:r>
      <w:proofErr w:type="spellStart"/>
      <w:r w:rsidRPr="007C4D65">
        <w:rPr>
          <w:rFonts w:asciiTheme="minorHAnsi" w:hAnsiTheme="minorHAnsi" w:cstheme="minorHAnsi"/>
          <w:sz w:val="22"/>
          <w:szCs w:val="22"/>
        </w:rPr>
        <w:t>i</w:t>
      </w:r>
      <w:proofErr w:type="spellEnd"/>
      <w:r w:rsidRPr="007C4D65">
        <w:rPr>
          <w:rFonts w:asciiTheme="minorHAnsi" w:hAnsiTheme="minorHAnsi" w:cstheme="minorHAnsi"/>
          <w:sz w:val="22"/>
          <w:szCs w:val="22"/>
        </w:rPr>
        <w:t xml:space="preserve">) integration of gender equality, social equity and poverty principles in the environment sector. </w:t>
      </w:r>
    </w:p>
    <w:p w14:paraId="7A923CD4" w14:textId="77777777" w:rsidR="00475238" w:rsidRPr="007C4D65" w:rsidRDefault="00475238" w:rsidP="00475238">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Strategic planning and alignment of the legislation with the EU environmental acquis and</w:t>
      </w:r>
    </w:p>
    <w:p w14:paraId="5734841B" w14:textId="46A350B5"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Federation of BIH recorded certain progress in creating a </w:t>
      </w:r>
      <w:r w:rsidR="006C5EE4" w:rsidRPr="007C4D65">
        <w:rPr>
          <w:rFonts w:asciiTheme="minorHAnsi" w:hAnsiTheme="minorHAnsi" w:cstheme="minorHAnsi"/>
          <w:sz w:val="22"/>
          <w:szCs w:val="22"/>
        </w:rPr>
        <w:t>legal</w:t>
      </w:r>
      <w:r w:rsidRPr="007C4D65">
        <w:rPr>
          <w:rFonts w:asciiTheme="minorHAnsi" w:hAnsiTheme="minorHAnsi" w:cstheme="minorHAnsi"/>
          <w:sz w:val="22"/>
          <w:szCs w:val="22"/>
        </w:rPr>
        <w:t xml:space="preserve"> framework which governs horizontal issues of the environmental management. However, it is necessary to continue efforts on addressing the challenges identified the in this report. The key challenges associated with strategic planning and legislation in the environment sector </w:t>
      </w:r>
      <w:proofErr w:type="gramStart"/>
      <w:r w:rsidRPr="007C4D65">
        <w:rPr>
          <w:rFonts w:asciiTheme="minorHAnsi" w:hAnsiTheme="minorHAnsi" w:cstheme="minorHAnsi"/>
          <w:sz w:val="22"/>
          <w:szCs w:val="22"/>
        </w:rPr>
        <w:t>include:</w:t>
      </w:r>
      <w:proofErr w:type="gramEnd"/>
      <w:r w:rsidRPr="007C4D65">
        <w:rPr>
          <w:rFonts w:asciiTheme="minorHAnsi" w:hAnsiTheme="minorHAnsi" w:cstheme="minorHAnsi"/>
          <w:sz w:val="22"/>
          <w:szCs w:val="22"/>
        </w:rPr>
        <w:t xml:space="preserve"> </w:t>
      </w:r>
      <w:r w:rsidRPr="007C4D65">
        <w:rPr>
          <w:rFonts w:asciiTheme="minorHAnsi" w:hAnsiTheme="minorHAnsi" w:cstheme="minorHAnsi"/>
          <w:b/>
          <w:sz w:val="22"/>
          <w:szCs w:val="22"/>
        </w:rPr>
        <w:t>lack of or inadequate legislation</w:t>
      </w:r>
      <w:r w:rsidRPr="007C4D65">
        <w:rPr>
          <w:rFonts w:asciiTheme="minorHAnsi" w:hAnsiTheme="minorHAnsi" w:cstheme="minorHAnsi"/>
          <w:sz w:val="22"/>
          <w:szCs w:val="22"/>
        </w:rPr>
        <w:t xml:space="preserve">, and </w:t>
      </w:r>
      <w:r w:rsidRPr="007C4D65">
        <w:rPr>
          <w:rFonts w:asciiTheme="minorHAnsi" w:hAnsiTheme="minorHAnsi" w:cstheme="minorHAnsi"/>
          <w:b/>
          <w:sz w:val="22"/>
          <w:szCs w:val="22"/>
        </w:rPr>
        <w:t xml:space="preserve">the legal framework in the environmental management, which has not been harmonised </w:t>
      </w:r>
      <w:r w:rsidRPr="007C4D65">
        <w:rPr>
          <w:rFonts w:asciiTheme="minorHAnsi" w:hAnsiTheme="minorHAnsi" w:cstheme="minorHAnsi"/>
          <w:sz w:val="22"/>
          <w:szCs w:val="22"/>
        </w:rPr>
        <w:t>(either with the national legislation or with regard to international commitments).</w:t>
      </w:r>
    </w:p>
    <w:p w14:paraId="14BCD9A7" w14:textId="71CCDD95"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In the Federation of BiH, the approximation of the EU environmental </w:t>
      </w:r>
      <w:r w:rsidR="006C5EE4" w:rsidRPr="007C4D65">
        <w:rPr>
          <w:rFonts w:asciiTheme="minorHAnsi" w:hAnsiTheme="minorHAnsi" w:cstheme="minorHAnsi"/>
          <w:sz w:val="22"/>
          <w:szCs w:val="22"/>
        </w:rPr>
        <w:t>acquis</w:t>
      </w:r>
      <w:r w:rsidRPr="007C4D65">
        <w:rPr>
          <w:rFonts w:asciiTheme="minorHAnsi" w:hAnsiTheme="minorHAnsi" w:cstheme="minorHAnsi"/>
          <w:sz w:val="22"/>
          <w:szCs w:val="22"/>
        </w:rPr>
        <w:t xml:space="preserve"> started back in 2003 with the development and adoption of the Law on Environmental Protection. In the following years, this Law was upgraded through amendments to the Law and </w:t>
      </w:r>
      <w:r w:rsidR="00B80FAD" w:rsidRPr="007C4D65">
        <w:rPr>
          <w:rFonts w:asciiTheme="minorHAnsi" w:hAnsiTheme="minorHAnsi" w:cstheme="minorHAnsi"/>
          <w:sz w:val="22"/>
          <w:szCs w:val="22"/>
        </w:rPr>
        <w:t>bylaw</w:t>
      </w:r>
      <w:r w:rsidRPr="007C4D65">
        <w:rPr>
          <w:rFonts w:asciiTheme="minorHAnsi" w:hAnsiTheme="minorHAnsi" w:cstheme="minorHAnsi"/>
          <w:sz w:val="22"/>
          <w:szCs w:val="22"/>
        </w:rPr>
        <w:t xml:space="preserve">s and strategic documents which transposed the key EU principles and requirements of environmental management to the legislation </w:t>
      </w:r>
      <w:r w:rsidR="007436F1" w:rsidRPr="007C4D65">
        <w:rPr>
          <w:rFonts w:asciiTheme="minorHAnsi" w:hAnsiTheme="minorHAnsi" w:cstheme="minorHAnsi"/>
          <w:sz w:val="22"/>
          <w:szCs w:val="22"/>
        </w:rPr>
        <w:t>of the Federation of BiH</w:t>
      </w:r>
      <w:r w:rsidRPr="007C4D65">
        <w:rPr>
          <w:rFonts w:asciiTheme="minorHAnsi" w:hAnsiTheme="minorHAnsi" w:cstheme="minorHAnsi"/>
          <w:sz w:val="22"/>
          <w:szCs w:val="22"/>
        </w:rPr>
        <w:t xml:space="preserve">. Nevertheless, it has not been fully aligned with the EU regulations. The regulations which were partially transposed and those which were not transposed into the environmental legislation of the Federation of BiH have been identified in the meantime. The new Law on Environmental Protection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{"citationID":"dZKlkMj8","properties":{"formattedCitation":"(\\uc0\\u8216{}Sl. novine Federacije BiH\\uc0\\u8217{}, broj 15/21 2021)","plainCitation":"(‘Sl. novine Federacije BiH’, broj 15/21 2021)","noteIndex":0},"citationItems":[{"id":1311,"uris":["http://zotero.org/users/7192877/items/937YMYL6"],"itemData":{"id":1311,"type":"legislation","title":"Zakon o zaštiti okoliša Federacije BiH","URL":"https://www.fmoit.gov.ba/upload/file/2021/Zakon%20o%20zastiti%20okolisa%2015_21.pdf","author":[{"family":"\"Sl. novine Federacije BiH\", broj 15/21","given":""}],"issued":{"date-parts":[["2021"]]}}}],"schema":"https://github.com/citation-style-language/schema/raw/master/csl-citation.json"} </w:instrText>
      </w:r>
      <w:r w:rsidRPr="007C4D65">
        <w:rPr>
          <w:rFonts w:asciiTheme="minorHAnsi" w:hAnsiTheme="minorHAnsi" w:cstheme="minorHAnsi"/>
          <w:sz w:val="22"/>
          <w:szCs w:val="22"/>
        </w:rPr>
        <w:fldChar w:fldCharType="separate"/>
      </w:r>
      <w:r w:rsidR="007A6065" w:rsidRPr="007C4D65">
        <w:rPr>
          <w:rFonts w:asciiTheme="minorHAnsi" w:hAnsiTheme="minorHAnsi" w:cstheme="minorHAnsi"/>
          <w:sz w:val="22"/>
          <w:szCs w:val="22"/>
        </w:rPr>
        <w:t xml:space="preserve">(“Official Gazette </w:t>
      </w:r>
      <w:r w:rsidR="007436F1" w:rsidRPr="007C4D65">
        <w:rPr>
          <w:rFonts w:asciiTheme="minorHAnsi" w:hAnsiTheme="minorHAnsi" w:cstheme="minorHAnsi"/>
          <w:sz w:val="22"/>
          <w:szCs w:val="22"/>
        </w:rPr>
        <w:t>of the Federation of BiH</w:t>
      </w:r>
      <w:r w:rsidR="007A6065" w:rsidRPr="007C4D65">
        <w:rPr>
          <w:rFonts w:asciiTheme="minorHAnsi" w:hAnsiTheme="minorHAnsi" w:cstheme="minorHAnsi"/>
          <w:sz w:val="22"/>
          <w:szCs w:val="22"/>
        </w:rPr>
        <w:t>“,</w:t>
      </w:r>
      <w:r w:rsidRPr="007C4D65">
        <w:rPr>
          <w:rFonts w:asciiTheme="minorHAnsi" w:hAnsiTheme="minorHAnsi" w:cstheme="minorHAnsi"/>
          <w:sz w:val="22"/>
          <w:szCs w:val="22"/>
        </w:rPr>
        <w:t xml:space="preserve"> 15/21)</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was adopted on 28.01.2021, and it ensures a high degree of alignment of the Federation’s legislation with: </w:t>
      </w:r>
    </w:p>
    <w:p w14:paraId="2BF686FA" w14:textId="77777777" w:rsidR="00475238" w:rsidRPr="007C4D65" w:rsidRDefault="00475238" w:rsidP="00475238">
      <w:pPr>
        <w:numPr>
          <w:ilvl w:val="0"/>
          <w:numId w:val="4"/>
        </w:numPr>
        <w:spacing w:before="240" w:after="240" w:line="276" w:lineRule="auto"/>
        <w:contextualSpacing/>
        <w:jc w:val="both"/>
        <w:rPr>
          <w:rFonts w:asciiTheme="minorHAnsi" w:hAnsiTheme="minorHAnsi" w:cstheme="minorHAnsi"/>
          <w:sz w:val="22"/>
          <w:szCs w:val="22"/>
        </w:rPr>
      </w:pPr>
      <w:r w:rsidRPr="007C4D65">
        <w:rPr>
          <w:rFonts w:asciiTheme="minorHAnsi" w:hAnsiTheme="minorHAnsi" w:cstheme="minorHAnsi"/>
          <w:sz w:val="22"/>
          <w:szCs w:val="22"/>
        </w:rPr>
        <w:t>Directive on Strategic Environmental Assessment (2001/42/EC</w:t>
      </w:r>
      <w:proofErr w:type="gramStart"/>
      <w:r w:rsidRPr="007C4D65">
        <w:rPr>
          <w:rFonts w:asciiTheme="minorHAnsi" w:hAnsiTheme="minorHAnsi" w:cstheme="minorHAnsi"/>
          <w:sz w:val="22"/>
          <w:szCs w:val="22"/>
        </w:rPr>
        <w:t>);</w:t>
      </w:r>
      <w:proofErr w:type="gramEnd"/>
    </w:p>
    <w:p w14:paraId="2BA4FE36" w14:textId="77777777" w:rsidR="00475238" w:rsidRPr="007C4D65" w:rsidRDefault="00475238" w:rsidP="00475238">
      <w:pPr>
        <w:numPr>
          <w:ilvl w:val="0"/>
          <w:numId w:val="4"/>
        </w:numPr>
        <w:spacing w:before="240" w:after="240" w:line="276" w:lineRule="auto"/>
        <w:contextualSpacing/>
        <w:jc w:val="both"/>
        <w:rPr>
          <w:rFonts w:asciiTheme="minorHAnsi" w:hAnsiTheme="minorHAnsi" w:cstheme="minorHAnsi"/>
          <w:sz w:val="22"/>
          <w:szCs w:val="22"/>
        </w:rPr>
      </w:pPr>
      <w:r w:rsidRPr="007C4D65">
        <w:rPr>
          <w:rFonts w:asciiTheme="minorHAnsi" w:hAnsiTheme="minorHAnsi" w:cstheme="minorHAnsi"/>
          <w:sz w:val="22"/>
          <w:szCs w:val="22"/>
        </w:rPr>
        <w:t>Directive on Environmental Impact Assessment (2014/52/EU</w:t>
      </w:r>
      <w:proofErr w:type="gramStart"/>
      <w:r w:rsidRPr="007C4D65">
        <w:rPr>
          <w:rFonts w:asciiTheme="minorHAnsi" w:hAnsiTheme="minorHAnsi" w:cstheme="minorHAnsi"/>
          <w:sz w:val="22"/>
          <w:szCs w:val="22"/>
        </w:rPr>
        <w:t>);</w:t>
      </w:r>
      <w:proofErr w:type="gramEnd"/>
    </w:p>
    <w:p w14:paraId="73B92BD7" w14:textId="77777777" w:rsidR="00475238" w:rsidRPr="007C4D65" w:rsidRDefault="00475238" w:rsidP="00475238">
      <w:pPr>
        <w:numPr>
          <w:ilvl w:val="0"/>
          <w:numId w:val="4"/>
        </w:numPr>
        <w:spacing w:before="240" w:after="240" w:line="276" w:lineRule="auto"/>
        <w:contextualSpacing/>
        <w:jc w:val="both"/>
        <w:rPr>
          <w:rFonts w:asciiTheme="minorHAnsi" w:hAnsiTheme="minorHAnsi" w:cstheme="minorHAnsi"/>
          <w:sz w:val="22"/>
          <w:szCs w:val="22"/>
        </w:rPr>
      </w:pPr>
      <w:r w:rsidRPr="007C4D65">
        <w:rPr>
          <w:rFonts w:asciiTheme="minorHAnsi" w:hAnsiTheme="minorHAnsi" w:cstheme="minorHAnsi"/>
          <w:sz w:val="22"/>
          <w:szCs w:val="22"/>
        </w:rPr>
        <w:t xml:space="preserve">Directive 2003/4/EC on public access to environmental </w:t>
      </w:r>
      <w:proofErr w:type="gramStart"/>
      <w:r w:rsidRPr="007C4D65">
        <w:rPr>
          <w:rFonts w:asciiTheme="minorHAnsi" w:hAnsiTheme="minorHAnsi" w:cstheme="minorHAnsi"/>
          <w:sz w:val="22"/>
          <w:szCs w:val="22"/>
        </w:rPr>
        <w:t>information;</w:t>
      </w:r>
      <w:proofErr w:type="gramEnd"/>
    </w:p>
    <w:p w14:paraId="21D3C939" w14:textId="77777777" w:rsidR="00475238" w:rsidRPr="007C4D65" w:rsidRDefault="00475238" w:rsidP="00475238">
      <w:pPr>
        <w:numPr>
          <w:ilvl w:val="0"/>
          <w:numId w:val="4"/>
        </w:numPr>
        <w:spacing w:before="240" w:after="240" w:line="276" w:lineRule="auto"/>
        <w:contextualSpacing/>
        <w:jc w:val="both"/>
        <w:rPr>
          <w:rFonts w:asciiTheme="minorHAnsi" w:hAnsiTheme="minorHAnsi" w:cstheme="minorHAnsi"/>
          <w:sz w:val="22"/>
          <w:szCs w:val="22"/>
        </w:rPr>
      </w:pPr>
      <w:r w:rsidRPr="007C4D65">
        <w:rPr>
          <w:rFonts w:asciiTheme="minorHAnsi" w:hAnsiTheme="minorHAnsi" w:cstheme="minorHAnsi"/>
          <w:sz w:val="22"/>
          <w:szCs w:val="22"/>
        </w:rPr>
        <w:t xml:space="preserve">Directive 2003/35/EC providing for public participation in respect of the drawing up of certain plans and programmes relating to the </w:t>
      </w:r>
      <w:proofErr w:type="gramStart"/>
      <w:r w:rsidRPr="007C4D65">
        <w:rPr>
          <w:rFonts w:asciiTheme="minorHAnsi" w:hAnsiTheme="minorHAnsi" w:cstheme="minorHAnsi"/>
          <w:sz w:val="22"/>
          <w:szCs w:val="22"/>
        </w:rPr>
        <w:t>environment;</w:t>
      </w:r>
      <w:proofErr w:type="gramEnd"/>
    </w:p>
    <w:p w14:paraId="54DB5BC2" w14:textId="77777777" w:rsidR="00475238" w:rsidRPr="007C4D65" w:rsidRDefault="00475238" w:rsidP="00475238">
      <w:pPr>
        <w:numPr>
          <w:ilvl w:val="0"/>
          <w:numId w:val="4"/>
        </w:numPr>
        <w:spacing w:before="240" w:after="240" w:line="276" w:lineRule="auto"/>
        <w:contextualSpacing/>
        <w:jc w:val="both"/>
        <w:rPr>
          <w:rFonts w:asciiTheme="minorHAnsi" w:hAnsiTheme="minorHAnsi" w:cstheme="minorHAnsi"/>
          <w:sz w:val="22"/>
          <w:szCs w:val="22"/>
        </w:rPr>
      </w:pPr>
      <w:r w:rsidRPr="007C4D65">
        <w:rPr>
          <w:rFonts w:asciiTheme="minorHAnsi" w:hAnsiTheme="minorHAnsi" w:cstheme="minorHAnsi"/>
          <w:sz w:val="22"/>
          <w:szCs w:val="22"/>
        </w:rPr>
        <w:t xml:space="preserve">Directive 2012/18/EU on the control of </w:t>
      </w:r>
      <w:proofErr w:type="gramStart"/>
      <w:r w:rsidRPr="007C4D65">
        <w:rPr>
          <w:rFonts w:asciiTheme="minorHAnsi" w:hAnsiTheme="minorHAnsi" w:cstheme="minorHAnsi"/>
          <w:sz w:val="22"/>
          <w:szCs w:val="22"/>
        </w:rPr>
        <w:t>major-accident</w:t>
      </w:r>
      <w:proofErr w:type="gramEnd"/>
      <w:r w:rsidRPr="007C4D65">
        <w:rPr>
          <w:rFonts w:asciiTheme="minorHAnsi" w:hAnsiTheme="minorHAnsi" w:cstheme="minorHAnsi"/>
          <w:sz w:val="22"/>
          <w:szCs w:val="22"/>
        </w:rPr>
        <w:t xml:space="preserve"> hazards; </w:t>
      </w:r>
    </w:p>
    <w:p w14:paraId="7E5C0953" w14:textId="57049B18" w:rsidR="00475238" w:rsidRPr="007C4D65" w:rsidRDefault="00475238" w:rsidP="00475238">
      <w:pPr>
        <w:numPr>
          <w:ilvl w:val="0"/>
          <w:numId w:val="4"/>
        </w:numPr>
        <w:spacing w:before="240" w:line="276" w:lineRule="auto"/>
        <w:contextualSpacing/>
        <w:jc w:val="both"/>
        <w:rPr>
          <w:rFonts w:asciiTheme="minorHAnsi" w:hAnsiTheme="minorHAnsi" w:cstheme="minorHAnsi"/>
          <w:sz w:val="22"/>
          <w:szCs w:val="22"/>
        </w:rPr>
      </w:pPr>
      <w:r w:rsidRPr="007C4D65">
        <w:rPr>
          <w:rFonts w:asciiTheme="minorHAnsi" w:hAnsiTheme="minorHAnsi" w:cstheme="minorHAnsi"/>
          <w:sz w:val="22"/>
          <w:szCs w:val="22"/>
        </w:rPr>
        <w:t>Regulation (EC) no. 1221/2009 on the eco-labelling and environmental management systema and independent evaluation.</w:t>
      </w:r>
      <w:r w:rsidR="002E1D74" w:rsidRPr="007C4D65">
        <w:rPr>
          <w:rFonts w:asciiTheme="minorHAnsi" w:hAnsiTheme="minorHAnsi" w:cstheme="minorHAnsi"/>
          <w:sz w:val="22"/>
          <w:szCs w:val="22"/>
        </w:rPr>
        <w:t xml:space="preserve"> </w:t>
      </w:r>
      <w:r w:rsidRPr="007C4D65">
        <w:rPr>
          <w:rFonts w:asciiTheme="minorHAnsi" w:hAnsiTheme="minorHAnsi" w:cstheme="minorHAnsi"/>
          <w:sz w:val="22"/>
          <w:szCs w:val="22"/>
        </w:rPr>
        <w:t xml:space="preserve">The Industrial Emissions Directive - IED) was </w:t>
      </w:r>
      <w:r w:rsidR="002E1D74" w:rsidRPr="007C4D65">
        <w:rPr>
          <w:rFonts w:asciiTheme="minorHAnsi" w:hAnsiTheme="minorHAnsi" w:cstheme="minorHAnsi"/>
          <w:sz w:val="22"/>
          <w:szCs w:val="22"/>
        </w:rPr>
        <w:t>partially</w:t>
      </w:r>
      <w:r w:rsidRPr="007C4D65">
        <w:rPr>
          <w:rFonts w:asciiTheme="minorHAnsi" w:hAnsiTheme="minorHAnsi" w:cstheme="minorHAnsi"/>
          <w:sz w:val="22"/>
          <w:szCs w:val="22"/>
        </w:rPr>
        <w:t xml:space="preserve"> transposed in the legislation of the Federation of BiH.</w:t>
      </w:r>
    </w:p>
    <w:p w14:paraId="2BDEABEA" w14:textId="73A263C0" w:rsidR="00475238" w:rsidRPr="007C4D65" w:rsidRDefault="00475238" w:rsidP="00475238">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 The new Law on Environmental Protection transposed the part which covers control and prevention of pollution - </w:t>
      </w:r>
      <w:r w:rsidRPr="007C4D65">
        <w:rPr>
          <w:rFonts w:asciiTheme="minorHAnsi" w:hAnsiTheme="minorHAnsi" w:cstheme="minorHAnsi"/>
          <w:i/>
          <w:sz w:val="22"/>
          <w:szCs w:val="22"/>
        </w:rPr>
        <w:t>ex</w:t>
      </w:r>
      <w:r w:rsidRPr="007C4D65">
        <w:rPr>
          <w:rFonts w:asciiTheme="minorHAnsi" w:hAnsiTheme="minorHAnsi" w:cstheme="minorHAnsi"/>
          <w:sz w:val="22"/>
          <w:szCs w:val="22"/>
        </w:rPr>
        <w:t xml:space="preserve"> IPPC Directive (incorporated in the new IED).</w:t>
      </w:r>
    </w:p>
    <w:p w14:paraId="1876061A" w14:textId="46CDEA41" w:rsidR="00475238" w:rsidRPr="007C4D65" w:rsidRDefault="00475238" w:rsidP="00475238">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lastRenderedPageBreak/>
        <w:t xml:space="preserve">The adoption of the Law on the Spatial Data Infrastructure of the Federation of BiH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{"citationID":"dWXSYuKh","properties":{"formattedCitation":"(\\uc0\\u8216{}Sl. novine Federacije BiH\\uc0\\u8217{}, broj 55/21 2021)","plainCitation":"(‘Sl. novine Federacije BiH’, broj 55/21 2021)","noteIndex":0},"citationItems":[{"id":1547,"uris":["http://zotero.org/users/7192877/items/CT23GE23"],"itemData":{"id":1547,"type":"legislation","title":"Zakon o infrastrukturi prostornih podataka Federacije BiH","URL":"https://fbihvlada.gov.ba/bosanski/zakoni/2021/Zakoni/16hrv.htm","author":[{"family":"\"Sl. novine Federacije BiH\", broj 55/21","given":""}],"issued":{"date-parts":[["2021"]]}}}],"schema":"https://github.com/citation-style-language/schema/raw/master/csl-citation.json"} </w:instrText>
      </w:r>
      <w:r w:rsidRPr="007C4D65">
        <w:rPr>
          <w:rFonts w:asciiTheme="minorHAnsi" w:hAnsiTheme="minorHAnsi" w:cstheme="minorHAnsi"/>
          <w:sz w:val="22"/>
          <w:szCs w:val="22"/>
        </w:rPr>
        <w:fldChar w:fldCharType="separate"/>
      </w:r>
      <w:r w:rsidR="007A6065" w:rsidRPr="007C4D65">
        <w:rPr>
          <w:rFonts w:asciiTheme="minorHAnsi" w:hAnsiTheme="minorHAnsi" w:cstheme="minorHAnsi"/>
          <w:sz w:val="22"/>
          <w:szCs w:val="22"/>
        </w:rPr>
        <w:t xml:space="preserve">(“Official Gazette </w:t>
      </w:r>
      <w:r w:rsidR="007436F1" w:rsidRPr="007C4D65">
        <w:rPr>
          <w:rFonts w:asciiTheme="minorHAnsi" w:hAnsiTheme="minorHAnsi" w:cstheme="minorHAnsi"/>
          <w:sz w:val="22"/>
          <w:szCs w:val="22"/>
        </w:rPr>
        <w:t>of the Federation of BiH</w:t>
      </w:r>
      <w:r w:rsidR="007A6065" w:rsidRPr="007C4D65">
        <w:rPr>
          <w:rFonts w:asciiTheme="minorHAnsi" w:hAnsiTheme="minorHAnsi" w:cstheme="minorHAnsi"/>
          <w:sz w:val="22"/>
          <w:szCs w:val="22"/>
        </w:rPr>
        <w:t>“,</w:t>
      </w:r>
      <w:r w:rsidRPr="007C4D65">
        <w:rPr>
          <w:rFonts w:asciiTheme="minorHAnsi" w:hAnsiTheme="minorHAnsi" w:cstheme="minorHAnsi"/>
          <w:sz w:val="22"/>
          <w:szCs w:val="22"/>
        </w:rPr>
        <w:t xml:space="preserve"> 55/21)</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was a breakthrough in transposing of the Directive 2007/2/EC on the implementation of a spatial data infrastructure in EU (INSPIRE), while the adoption of the Strategy on setting up and maintenance of the spatial data infrastructure of the Federation of BiH is in compliance with the Directive INSPIRE and EU trends, and is a crucial step in the implementation of the concept of data collection and management.</w:t>
      </w:r>
    </w:p>
    <w:p w14:paraId="02D4E1F9" w14:textId="77777777" w:rsidR="00475238" w:rsidRPr="007C4D65" w:rsidRDefault="00475238" w:rsidP="00475238">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transposition of the Directive 2004/35/EC on environmental liability </w:t>
      </w:r>
      <w:proofErr w:type="gramStart"/>
      <w:r w:rsidRPr="007C4D65">
        <w:rPr>
          <w:rFonts w:asciiTheme="minorHAnsi" w:hAnsiTheme="minorHAnsi" w:cstheme="minorHAnsi"/>
          <w:sz w:val="22"/>
          <w:szCs w:val="22"/>
        </w:rPr>
        <w:t>with regard to</w:t>
      </w:r>
      <w:proofErr w:type="gramEnd"/>
      <w:r w:rsidRPr="007C4D65">
        <w:rPr>
          <w:rFonts w:asciiTheme="minorHAnsi" w:hAnsiTheme="minorHAnsi" w:cstheme="minorHAnsi"/>
          <w:sz w:val="22"/>
          <w:szCs w:val="22"/>
        </w:rPr>
        <w:t xml:space="preserve"> the prevention and remedying of environmental damage, and Directive 2008/99/EC on the protection of the environment through criminal law has not started yet.</w:t>
      </w:r>
    </w:p>
    <w:p w14:paraId="3BEDCEB8" w14:textId="3E66FC54" w:rsidR="00475238" w:rsidRPr="007C4D65" w:rsidRDefault="00475238" w:rsidP="00475238">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In December 2016, the Federation of BiH adopted the Environmental Approximation Programme of the Federation of BiH, which covers eight subsectors of the EU acquis. horizontal issues, water management, waste management, air quality and climate change, industrial pollution, chemicals, nature conservation and environmental noise. The Approximation Programme is more specific than the </w:t>
      </w:r>
      <w:proofErr w:type="gramStart"/>
      <w:r w:rsidRPr="007C4D65">
        <w:rPr>
          <w:rFonts w:asciiTheme="minorHAnsi" w:hAnsiTheme="minorHAnsi" w:cstheme="minorHAnsi"/>
          <w:sz w:val="22"/>
          <w:szCs w:val="22"/>
        </w:rPr>
        <w:t>Environmental  Approximation</w:t>
      </w:r>
      <w:proofErr w:type="gramEnd"/>
      <w:r w:rsidRPr="007C4D65">
        <w:rPr>
          <w:rFonts w:asciiTheme="minorHAnsi" w:hAnsiTheme="minorHAnsi" w:cstheme="minorHAnsi"/>
          <w:sz w:val="22"/>
          <w:szCs w:val="22"/>
        </w:rPr>
        <w:t xml:space="preserve"> </w:t>
      </w:r>
      <w:r w:rsidR="002E1D74" w:rsidRPr="007C4D65">
        <w:rPr>
          <w:rFonts w:asciiTheme="minorHAnsi" w:hAnsiTheme="minorHAnsi" w:cstheme="minorHAnsi"/>
          <w:sz w:val="22"/>
          <w:szCs w:val="22"/>
        </w:rPr>
        <w:t>Strategy</w:t>
      </w:r>
      <w:r w:rsidRPr="007C4D65">
        <w:rPr>
          <w:rFonts w:asciiTheme="minorHAnsi" w:hAnsiTheme="minorHAnsi" w:cstheme="minorHAnsi"/>
          <w:sz w:val="22"/>
          <w:szCs w:val="22"/>
        </w:rPr>
        <w:t xml:space="preserve"> of BiH in the section which describes the current situation and amendments in the legislation of the Federation of BiH required for the </w:t>
      </w:r>
      <w:r w:rsidR="002E1D74" w:rsidRPr="007C4D65">
        <w:rPr>
          <w:rFonts w:asciiTheme="minorHAnsi" w:hAnsiTheme="minorHAnsi" w:cstheme="minorHAnsi"/>
          <w:sz w:val="22"/>
          <w:szCs w:val="22"/>
        </w:rPr>
        <w:t>transposition</w:t>
      </w:r>
      <w:r w:rsidRPr="007C4D65">
        <w:rPr>
          <w:rFonts w:asciiTheme="minorHAnsi" w:hAnsiTheme="minorHAnsi" w:cstheme="minorHAnsi"/>
          <w:sz w:val="22"/>
          <w:szCs w:val="22"/>
        </w:rPr>
        <w:t xml:space="preserve"> of the environmental EU acquis. The Programme anticipates the preparation of Actions Plans for the Implementation of Directives (APIDs) and Directive Specific </w:t>
      </w:r>
      <w:r w:rsidR="002E1D74" w:rsidRPr="007C4D65">
        <w:rPr>
          <w:rFonts w:asciiTheme="minorHAnsi" w:hAnsiTheme="minorHAnsi" w:cstheme="minorHAnsi"/>
          <w:sz w:val="22"/>
          <w:szCs w:val="22"/>
        </w:rPr>
        <w:t>Implementation</w:t>
      </w:r>
      <w:r w:rsidRPr="007C4D65">
        <w:rPr>
          <w:rFonts w:asciiTheme="minorHAnsi" w:hAnsiTheme="minorHAnsi" w:cstheme="minorHAnsi"/>
          <w:sz w:val="22"/>
          <w:szCs w:val="22"/>
        </w:rPr>
        <w:t xml:space="preserve"> Plans (D</w:t>
      </w:r>
      <w:r w:rsidR="006C5EE4" w:rsidRPr="007C4D65">
        <w:rPr>
          <w:rFonts w:asciiTheme="minorHAnsi" w:hAnsiTheme="minorHAnsi" w:cstheme="minorHAnsi"/>
          <w:sz w:val="22"/>
          <w:szCs w:val="22"/>
        </w:rPr>
        <w:t>SI</w:t>
      </w:r>
      <w:r w:rsidRPr="007C4D65">
        <w:rPr>
          <w:rFonts w:asciiTheme="minorHAnsi" w:hAnsiTheme="minorHAnsi" w:cstheme="minorHAnsi"/>
          <w:sz w:val="22"/>
          <w:szCs w:val="22"/>
        </w:rPr>
        <w:t>Ps) for all the horizontal policies in the environmental management sector, which should be adopted by the institutions responsible for the implementation of the respective directives.</w:t>
      </w:r>
    </w:p>
    <w:p w14:paraId="2D204AB4" w14:textId="46B48BA6" w:rsidR="00475238" w:rsidRPr="007C4D65" w:rsidRDefault="00475238" w:rsidP="00475238">
      <w:pPr>
        <w:spacing w:before="240" w:line="276" w:lineRule="auto"/>
        <w:jc w:val="both"/>
        <w:rPr>
          <w:rFonts w:asciiTheme="minorHAnsi" w:hAnsiTheme="minorHAnsi" w:cstheme="minorHAnsi"/>
          <w:b/>
          <w:sz w:val="22"/>
          <w:szCs w:val="22"/>
        </w:rPr>
      </w:pPr>
      <w:r w:rsidRPr="007C4D65">
        <w:rPr>
          <w:rFonts w:asciiTheme="minorHAnsi" w:hAnsiTheme="minorHAnsi" w:cstheme="minorHAnsi"/>
          <w:b/>
          <w:sz w:val="22"/>
          <w:szCs w:val="22"/>
        </w:rPr>
        <w:t xml:space="preserve">Consequently, it is necessary to work on upgrading the environmental management legal framework in the Federation of BiH, focusing on aligning the legislation with the EU acquis and international agreements, with the view of ensuring a uniform, harmonised, and consistent countrywide approach to strategic planning and the approximation of EU environmental </w:t>
      </w:r>
      <w:r w:rsidR="006C5EE4" w:rsidRPr="007C4D65">
        <w:rPr>
          <w:rFonts w:asciiTheme="minorHAnsi" w:hAnsiTheme="minorHAnsi" w:cstheme="minorHAnsi"/>
          <w:b/>
          <w:sz w:val="22"/>
          <w:szCs w:val="22"/>
        </w:rPr>
        <w:t>acquis</w:t>
      </w:r>
      <w:r w:rsidRPr="007C4D65">
        <w:rPr>
          <w:rFonts w:asciiTheme="minorHAnsi" w:hAnsiTheme="minorHAnsi" w:cstheme="minorHAnsi"/>
          <w:b/>
          <w:sz w:val="22"/>
          <w:szCs w:val="22"/>
        </w:rPr>
        <w:t xml:space="preserve"> across the levels of government.</w:t>
      </w:r>
    </w:p>
    <w:p w14:paraId="4ADEAE69" w14:textId="77777777" w:rsidR="00475238" w:rsidRPr="007C4D65" w:rsidRDefault="00475238" w:rsidP="00475238">
      <w:pPr>
        <w:spacing w:before="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Implementation of the applicable legislation and international commitments</w:t>
      </w:r>
    </w:p>
    <w:p w14:paraId="5BD5D5DF" w14:textId="6C50D2B4" w:rsidR="00475238" w:rsidRPr="007C4D65" w:rsidRDefault="00475238" w:rsidP="00475238">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szCs w:val="22"/>
        </w:rPr>
        <w:t>Ineffective implementation of the legislation and the international agreements acceded</w:t>
      </w:r>
      <w:r w:rsidRPr="007C4D65">
        <w:rPr>
          <w:rFonts w:asciiTheme="minorHAnsi" w:hAnsiTheme="minorHAnsi" w:cstheme="minorHAnsi"/>
          <w:sz w:val="22"/>
          <w:szCs w:val="22"/>
        </w:rPr>
        <w:t xml:space="preserve"> to was identified as the second key challenge. BiH has not yet provided for effective institutional mechanisms to supervise and coordinate the implementation of the obligations arising from international environmental agreements. Currently, the arrangements for the implementation of the international agreements are defined on a </w:t>
      </w:r>
      <w:proofErr w:type="gramStart"/>
      <w:r w:rsidRPr="007C4D65">
        <w:rPr>
          <w:rFonts w:asciiTheme="minorHAnsi" w:hAnsiTheme="minorHAnsi" w:cstheme="minorHAnsi"/>
          <w:sz w:val="22"/>
          <w:szCs w:val="22"/>
        </w:rPr>
        <w:t>case by case</w:t>
      </w:r>
      <w:proofErr w:type="gramEnd"/>
      <w:r w:rsidRPr="007C4D65">
        <w:rPr>
          <w:rFonts w:asciiTheme="minorHAnsi" w:hAnsiTheme="minorHAnsi" w:cstheme="minorHAnsi"/>
          <w:sz w:val="22"/>
          <w:szCs w:val="22"/>
        </w:rPr>
        <w:t xml:space="preserve"> basis, which enables progress in the implementation of some agreements (ozone, climate change, biodiversity), but fails to ensure an effective overall response. Moreover, BiH has not designated focal points to some environmental agreements to which it is a party (such as: Bern Convention, Convention on Long-Range Transboundary Air Pollution  </w:t>
      </w:r>
      <w:bookmarkStart w:id="198" w:name="_Hlk94291516"/>
      <w:r w:rsidRPr="007C4D65">
        <w:rPr>
          <w:rFonts w:asciiTheme="minorHAnsi" w:hAnsiTheme="minorHAnsi" w:cstheme="minorHAnsi"/>
          <w:sz w:val="22"/>
          <w:szCs w:val="22"/>
        </w:rPr>
        <w:t>(CLRTAP</w:t>
      </w:r>
      <w:bookmarkEnd w:id="198"/>
      <w:r w:rsidRPr="007C4D65">
        <w:rPr>
          <w:rFonts w:asciiTheme="minorHAnsi" w:hAnsiTheme="minorHAnsi" w:cstheme="minorHAnsi"/>
          <w:sz w:val="22"/>
          <w:szCs w:val="22"/>
        </w:rPr>
        <w:t xml:space="preserve">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{"citationID":"kjPnLBHG","properties":{"formattedCitation":"(UN 1979)","plainCitation":"(UN 1979)","noteIndex":0},"citationItems":[{"id":1548,"uris":["http://zotero.org/users/7192877/items/G3AL9DKG"],"itemData":{"id":1548,"type":"document","publisher":"UN","title":"Convention on Long-Range Transboundary Air Pollution","URL":"https://unece.org/sites/default/files/2021-05/1979%20CLRTAP.e.pdf","author":[{"family":"UN","given":""}],"issued":{"date-parts":[["1979"]]}}}],"schema":"https://github.com/citation-style-language/schema/raw/master/csl-citation.json"} </w:instrText>
      </w:r>
      <w:r w:rsidRPr="007C4D65">
        <w:rPr>
          <w:rFonts w:asciiTheme="minorHAnsi" w:hAnsiTheme="minorHAnsi" w:cstheme="minorHAnsi"/>
          <w:sz w:val="22"/>
          <w:szCs w:val="22"/>
        </w:rPr>
        <w:fldChar w:fldCharType="separate"/>
      </w:r>
      <w:r w:rsidRPr="007C4D65">
        <w:rPr>
          <w:rFonts w:asciiTheme="minorHAnsi" w:hAnsiTheme="minorHAnsi" w:cstheme="minorHAnsi"/>
          <w:sz w:val="22"/>
          <w:szCs w:val="22"/>
        </w:rPr>
        <w:t>(UN, 1979)</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European Monitoring and Evaluation Programme </w:t>
      </w:r>
      <w:bookmarkStart w:id="199" w:name="_Hlk94291528"/>
      <w:r w:rsidRPr="007C4D65">
        <w:rPr>
          <w:rFonts w:asciiTheme="minorHAnsi" w:hAnsiTheme="minorHAnsi" w:cstheme="minorHAnsi"/>
          <w:sz w:val="22"/>
          <w:szCs w:val="22"/>
        </w:rPr>
        <w:t>(EMEP)</w:t>
      </w:r>
      <w:r w:rsidRPr="007C4D65">
        <w:rPr>
          <w:rFonts w:asciiTheme="minorHAnsi" w:hAnsiTheme="minorHAnsi" w:cstheme="minorHAnsi"/>
          <w:sz w:val="22"/>
          <w:szCs w:val="22"/>
          <w:vertAlign w:val="superscript"/>
          <w:lang w:val="hr-HR"/>
        </w:rPr>
        <w:footnoteReference w:id="20"/>
      </w:r>
      <w:r w:rsidRPr="007C4D65">
        <w:rPr>
          <w:rFonts w:asciiTheme="minorHAnsi" w:hAnsiTheme="minorHAnsi" w:cstheme="minorHAnsi"/>
          <w:sz w:val="22"/>
          <w:szCs w:val="22"/>
        </w:rPr>
        <w:t>,</w:t>
      </w:r>
      <w:bookmarkEnd w:id="199"/>
      <w:r w:rsidRPr="007C4D65">
        <w:rPr>
          <w:rFonts w:asciiTheme="minorHAnsi" w:hAnsiTheme="minorHAnsi" w:cstheme="minorHAnsi"/>
          <w:sz w:val="22"/>
          <w:szCs w:val="22"/>
        </w:rPr>
        <w:t xml:space="preserve"> etc.). While these ar</w:t>
      </w:r>
      <w:r w:rsidR="002E1D74" w:rsidRPr="007C4D65">
        <w:rPr>
          <w:rFonts w:asciiTheme="minorHAnsi" w:hAnsiTheme="minorHAnsi" w:cstheme="minorHAnsi"/>
          <w:sz w:val="22"/>
          <w:szCs w:val="22"/>
        </w:rPr>
        <w:t>e</w:t>
      </w:r>
      <w:r w:rsidRPr="007C4D65">
        <w:rPr>
          <w:rFonts w:asciiTheme="minorHAnsi" w:hAnsiTheme="minorHAnsi" w:cstheme="minorHAnsi"/>
          <w:sz w:val="22"/>
          <w:szCs w:val="22"/>
        </w:rPr>
        <w:t xml:space="preserve"> primarily the obligations of the BiH, some responsibilities for international cooperation in the environment sector, the role of ‘</w:t>
      </w:r>
      <w:r w:rsidRPr="007C4D65">
        <w:rPr>
          <w:rFonts w:asciiTheme="minorHAnsi" w:hAnsiTheme="minorHAnsi" w:cstheme="minorHAnsi"/>
          <w:i/>
          <w:sz w:val="22"/>
          <w:szCs w:val="22"/>
        </w:rPr>
        <w:t>focal points</w:t>
      </w:r>
      <w:r w:rsidRPr="007C4D65">
        <w:rPr>
          <w:rFonts w:asciiTheme="minorHAnsi" w:hAnsiTheme="minorHAnsi" w:cstheme="minorHAnsi"/>
          <w:sz w:val="22"/>
          <w:szCs w:val="22"/>
        </w:rPr>
        <w:t xml:space="preserve">’ for the implementation of certain environmental agreements  </w:t>
      </w:r>
      <w:r w:rsidRPr="007C4D65">
        <w:rPr>
          <w:rFonts w:asciiTheme="minorHAnsi" w:hAnsiTheme="minorHAnsi" w:cstheme="minorHAnsi"/>
          <w:sz w:val="22"/>
          <w:szCs w:val="22"/>
          <w:vertAlign w:val="superscript"/>
          <w:lang w:val="hr-HR"/>
        </w:rPr>
        <w:footnoteReference w:id="21"/>
      </w:r>
      <w:r w:rsidRPr="007C4D65">
        <w:rPr>
          <w:rFonts w:asciiTheme="minorHAnsi" w:hAnsiTheme="minorHAnsi" w:cstheme="minorHAnsi"/>
          <w:sz w:val="22"/>
          <w:szCs w:val="22"/>
        </w:rPr>
        <w:t xml:space="preserve">, were also </w:t>
      </w:r>
      <w:r w:rsidR="002E1D74" w:rsidRPr="007C4D65">
        <w:rPr>
          <w:rFonts w:asciiTheme="minorHAnsi" w:hAnsiTheme="minorHAnsi" w:cstheme="minorHAnsi"/>
          <w:sz w:val="22"/>
          <w:szCs w:val="22"/>
        </w:rPr>
        <w:t>assigned</w:t>
      </w:r>
      <w:r w:rsidRPr="007C4D65">
        <w:rPr>
          <w:rFonts w:asciiTheme="minorHAnsi" w:hAnsiTheme="minorHAnsi" w:cstheme="minorHAnsi"/>
          <w:sz w:val="22"/>
          <w:szCs w:val="22"/>
        </w:rPr>
        <w:t xml:space="preserve"> to institutions at the entity level. In the Federation of BiH, the </w:t>
      </w:r>
      <w:r w:rsidR="001E6E20" w:rsidRPr="007C4D65">
        <w:rPr>
          <w:rFonts w:asciiTheme="minorHAnsi" w:hAnsiTheme="minorHAnsi" w:cstheme="minorHAnsi"/>
          <w:sz w:val="22"/>
          <w:szCs w:val="22"/>
        </w:rPr>
        <w:t>Federation Ministry</w:t>
      </w:r>
      <w:r w:rsidRPr="007C4D65">
        <w:rPr>
          <w:rFonts w:asciiTheme="minorHAnsi" w:hAnsiTheme="minorHAnsi" w:cstheme="minorHAnsi"/>
          <w:sz w:val="22"/>
          <w:szCs w:val="22"/>
        </w:rPr>
        <w:t xml:space="preserve"> of Environment and Tourism is the focal point for the UN Convention on </w:t>
      </w:r>
      <w:r w:rsidRPr="007C4D65">
        <w:rPr>
          <w:rFonts w:asciiTheme="minorHAnsi" w:hAnsiTheme="minorHAnsi" w:cstheme="minorHAnsi"/>
          <w:sz w:val="22"/>
          <w:szCs w:val="22"/>
        </w:rPr>
        <w:lastRenderedPageBreak/>
        <w:t>Biodiversity (UNCBD) and Aarhus Convention on Access to Information, Public Participation in Decision-making and Access to Justice in Environmental Matters.</w:t>
      </w:r>
    </w:p>
    <w:p w14:paraId="357AC326" w14:textId="2F3630FA" w:rsidR="00475238" w:rsidRPr="007C4D65" w:rsidRDefault="00475238" w:rsidP="00475238">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Furthermore, important segments of the implementation of the international standards and obligations concern the application of the Strategic Environmental </w:t>
      </w:r>
      <w:proofErr w:type="gramStart"/>
      <w:r w:rsidRPr="007C4D65">
        <w:rPr>
          <w:rFonts w:asciiTheme="minorHAnsi" w:hAnsiTheme="minorHAnsi" w:cstheme="minorHAnsi"/>
          <w:sz w:val="22"/>
          <w:szCs w:val="22"/>
        </w:rPr>
        <w:t>Assessment  (</w:t>
      </w:r>
      <w:proofErr w:type="gramEnd"/>
      <w:r w:rsidRPr="007C4D65">
        <w:rPr>
          <w:rFonts w:asciiTheme="minorHAnsi" w:hAnsiTheme="minorHAnsi" w:cstheme="minorHAnsi"/>
          <w:sz w:val="22"/>
          <w:szCs w:val="22"/>
        </w:rPr>
        <w:t xml:space="preserve">SEA), and efficacy of licencing procedure, and application of best available techniques (BAT). Although the new Law on Environmental Protection, which improved the SEA processes, the application of SEA is still limited in the Federation of BiH. This Law defines the basis of SEA implementation, projects and programmes for which SEA is mandatory (and those which do not require a SEA report), phases in the assessment procedure, including public participation, responsibilities for SEA implementation, and the method of its implementation. However, scoping, content and evaluation of the SEA report is yet to be </w:t>
      </w:r>
      <w:r w:rsidR="002E1D74" w:rsidRPr="007C4D65">
        <w:rPr>
          <w:rFonts w:asciiTheme="minorHAnsi" w:hAnsiTheme="minorHAnsi" w:cstheme="minorHAnsi"/>
          <w:sz w:val="22"/>
          <w:szCs w:val="22"/>
        </w:rPr>
        <w:t>further</w:t>
      </w:r>
      <w:r w:rsidRPr="007C4D65">
        <w:rPr>
          <w:rFonts w:asciiTheme="minorHAnsi" w:hAnsiTheme="minorHAnsi" w:cstheme="minorHAnsi"/>
          <w:sz w:val="22"/>
          <w:szCs w:val="22"/>
        </w:rPr>
        <w:t xml:space="preserve"> regulated in a special </w:t>
      </w:r>
      <w:r w:rsidR="00B80FAD" w:rsidRPr="007C4D65">
        <w:rPr>
          <w:rFonts w:asciiTheme="minorHAnsi" w:hAnsiTheme="minorHAnsi" w:cstheme="minorHAnsi"/>
          <w:sz w:val="22"/>
          <w:szCs w:val="22"/>
        </w:rPr>
        <w:t>bylaw</w:t>
      </w:r>
      <w:r w:rsidRPr="007C4D65">
        <w:rPr>
          <w:rFonts w:asciiTheme="minorHAnsi" w:hAnsiTheme="minorHAnsi" w:cstheme="minorHAnsi"/>
          <w:sz w:val="22"/>
          <w:szCs w:val="22"/>
        </w:rPr>
        <w:t xml:space="preserve"> which should be adopted within a year of the entry into force of the Law.</w:t>
      </w:r>
    </w:p>
    <w:p w14:paraId="419D5B4D" w14:textId="7FB8CDFB" w:rsidR="00475238" w:rsidRPr="007C4D65" w:rsidRDefault="00475238" w:rsidP="00475238">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Federation of BiH has not started issuing integrated permits, as regulated in the EU Directive 2010/75/EU on industrial emission. The applicable legislation governing the permitting procedures include several individual procedures, including the issuance of water acts and environmental permits.  Different ministries are responsible for the issuance of these individual permits. The </w:t>
      </w:r>
      <w:r w:rsidR="001E6E20" w:rsidRPr="007C4D65">
        <w:rPr>
          <w:rFonts w:asciiTheme="minorHAnsi" w:hAnsiTheme="minorHAnsi" w:cstheme="minorHAnsi"/>
          <w:sz w:val="22"/>
          <w:szCs w:val="22"/>
        </w:rPr>
        <w:t>Federation Ministry</w:t>
      </w:r>
      <w:r w:rsidRPr="007C4D65">
        <w:rPr>
          <w:rFonts w:asciiTheme="minorHAnsi" w:hAnsiTheme="minorHAnsi" w:cstheme="minorHAnsi"/>
          <w:sz w:val="22"/>
          <w:szCs w:val="22"/>
        </w:rPr>
        <w:t xml:space="preserve"> of Environment and Tourism and cantonal ministries are responsible for </w:t>
      </w:r>
      <w:r w:rsidR="002E1D74" w:rsidRPr="007C4D65">
        <w:rPr>
          <w:rFonts w:asciiTheme="minorHAnsi" w:hAnsiTheme="minorHAnsi" w:cstheme="minorHAnsi"/>
          <w:sz w:val="22"/>
          <w:szCs w:val="22"/>
        </w:rPr>
        <w:t>environmental</w:t>
      </w:r>
      <w:r w:rsidRPr="007C4D65">
        <w:rPr>
          <w:rFonts w:asciiTheme="minorHAnsi" w:hAnsiTheme="minorHAnsi" w:cstheme="minorHAnsi"/>
          <w:sz w:val="22"/>
          <w:szCs w:val="22"/>
        </w:rPr>
        <w:t xml:space="preserve"> permits, while the issuance of water acts is the responsibility of the water basin agencies and cantonal ministries. The Decree which defines plants and facilities which require an environmental permit </w:t>
      </w:r>
      <w:bookmarkStart w:id="201" w:name="_Hlk94291575"/>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{"citationID":"vwVMJ6A0","properties":{"formattedCitation":"(\\uc0\\u8216{}Sl. novine Federacije BiH\\uc0\\u8217{}, broj 51/21 2021)","plainCitation":"(‘Sl. novine Federacije BiH’, broj 51/21 2021)","noteIndex":0},"citationItems":[{"id":1549,"uris":["http://zotero.org/users/7192877/items/MGTD767B"],"itemData":{"id":1549,"type":"legislation","title":"Uredba kojom se utvrđuju pogoni i postrojenja koja moraju imati okolinsku dozvolu u Federaciji BiH","author":[{"family":"\"Sl. novine Federacije BiH\", broj 51/21","given":""}],"issued":{"date-parts":[["2021"]]}}}],"schema":"https://github.com/citation-style-language/schema/raw/master/csl-citation.json"} </w:instrText>
      </w:r>
      <w:r w:rsidRPr="007C4D65">
        <w:rPr>
          <w:rFonts w:asciiTheme="minorHAnsi" w:hAnsiTheme="minorHAnsi" w:cstheme="minorHAnsi"/>
          <w:sz w:val="22"/>
          <w:szCs w:val="22"/>
        </w:rPr>
        <w:fldChar w:fldCharType="separate"/>
      </w:r>
      <w:r w:rsidR="007A6065" w:rsidRPr="007C4D65">
        <w:rPr>
          <w:rFonts w:asciiTheme="minorHAnsi" w:hAnsiTheme="minorHAnsi" w:cstheme="minorHAnsi"/>
          <w:sz w:val="22"/>
          <w:szCs w:val="22"/>
        </w:rPr>
        <w:t xml:space="preserve">(“Official Gazette </w:t>
      </w:r>
      <w:r w:rsidR="007436F1" w:rsidRPr="007C4D65">
        <w:rPr>
          <w:rFonts w:asciiTheme="minorHAnsi" w:hAnsiTheme="minorHAnsi" w:cstheme="minorHAnsi"/>
          <w:sz w:val="22"/>
          <w:szCs w:val="22"/>
        </w:rPr>
        <w:t>of the Federation of BiH</w:t>
      </w:r>
      <w:r w:rsidR="007A6065" w:rsidRPr="007C4D65">
        <w:rPr>
          <w:rFonts w:asciiTheme="minorHAnsi" w:hAnsiTheme="minorHAnsi" w:cstheme="minorHAnsi"/>
          <w:sz w:val="22"/>
          <w:szCs w:val="22"/>
        </w:rPr>
        <w:t>“,</w:t>
      </w:r>
      <w:r w:rsidRPr="007C4D65">
        <w:rPr>
          <w:rFonts w:asciiTheme="minorHAnsi" w:hAnsiTheme="minorHAnsi" w:cstheme="minorHAnsi"/>
          <w:sz w:val="22"/>
          <w:szCs w:val="22"/>
        </w:rPr>
        <w:t xml:space="preserve"> 51/21)</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w:t>
      </w:r>
      <w:bookmarkEnd w:id="201"/>
      <w:r w:rsidRPr="007C4D65">
        <w:rPr>
          <w:rFonts w:asciiTheme="minorHAnsi" w:hAnsiTheme="minorHAnsi" w:cstheme="minorHAnsi"/>
          <w:sz w:val="22"/>
          <w:szCs w:val="22"/>
        </w:rPr>
        <w:t>from June 2021 prescribes a new format of the request for an environmental permit.</w:t>
      </w:r>
    </w:p>
    <w:p w14:paraId="4CC47249" w14:textId="32D8E515" w:rsidR="00475238" w:rsidRPr="007C4D65" w:rsidRDefault="00475238" w:rsidP="00475238">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Law on Environmental Protection requires the application of best available techniques; however, the application of this instrument is limited. The </w:t>
      </w:r>
      <w:r w:rsidR="007934C2" w:rsidRPr="007C4D65">
        <w:rPr>
          <w:rFonts w:asciiTheme="minorHAnsi" w:hAnsiTheme="minorHAnsi" w:cstheme="minorHAnsi"/>
          <w:sz w:val="22"/>
          <w:szCs w:val="22"/>
        </w:rPr>
        <w:t>technical instructions</w:t>
      </w:r>
      <w:r w:rsidRPr="007C4D65">
        <w:rPr>
          <w:rFonts w:asciiTheme="minorHAnsi" w:hAnsiTheme="minorHAnsi" w:cstheme="minorHAnsi"/>
          <w:sz w:val="22"/>
          <w:szCs w:val="22"/>
        </w:rPr>
        <w:t xml:space="preserve"> on the best available techniques (BAT) and reference documents on the best available techniques (BREFs) were not translated into the official languages of BiH. Article 100(5) of the Law on Environmental Protection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{"citationID":"5GGFBOuW","properties":{"formattedCitation":"(\\uc0\\u8216{}Sl. novine Federacije BiH\\uc0\\u8217{}, broj 15/21 2021)","plainCitation":"(‘Sl. novine Federacije BiH’, broj 15/21 2021)","noteIndex":0},"citationItems":[{"id":1311,"uris":["http://zotero.org/users/7192877/items/937YMYL6"],"itemData":{"id":1311,"type":"legislation","title":"Zakon o zaštiti okoliša Federacije BiH","URL":"https://www.fmoit.gov.ba/upload/file/2021/Zakon%20o%20zastiti%20okolisa%2015_21.pdf","author":[{"family":"\"Sl. novine Federacije BiH\", broj 15/21","given":""}],"issued":{"date-parts":[["2021"]]}}}],"schema":"https://github.com/citation-style-language/schema/raw/master/csl-citation.json"} </w:instrText>
      </w:r>
      <w:r w:rsidRPr="007C4D65">
        <w:rPr>
          <w:rFonts w:asciiTheme="minorHAnsi" w:hAnsiTheme="minorHAnsi" w:cstheme="minorHAnsi"/>
          <w:sz w:val="22"/>
          <w:szCs w:val="22"/>
        </w:rPr>
        <w:fldChar w:fldCharType="separate"/>
      </w:r>
      <w:r w:rsidR="007A6065" w:rsidRPr="007C4D65">
        <w:rPr>
          <w:rFonts w:asciiTheme="minorHAnsi" w:hAnsiTheme="minorHAnsi" w:cstheme="minorHAnsi"/>
          <w:sz w:val="22"/>
          <w:szCs w:val="22"/>
        </w:rPr>
        <w:t xml:space="preserve">(“Official Gazette </w:t>
      </w:r>
      <w:r w:rsidR="007436F1" w:rsidRPr="007C4D65">
        <w:rPr>
          <w:rFonts w:asciiTheme="minorHAnsi" w:hAnsiTheme="minorHAnsi" w:cstheme="minorHAnsi"/>
          <w:sz w:val="22"/>
          <w:szCs w:val="22"/>
        </w:rPr>
        <w:t>of the Federation of BiH</w:t>
      </w:r>
      <w:r w:rsidR="007A6065" w:rsidRPr="007C4D65">
        <w:rPr>
          <w:rFonts w:asciiTheme="minorHAnsi" w:hAnsiTheme="minorHAnsi" w:cstheme="minorHAnsi"/>
          <w:sz w:val="22"/>
          <w:szCs w:val="22"/>
        </w:rPr>
        <w:t>“,</w:t>
      </w:r>
      <w:r w:rsidRPr="007C4D65">
        <w:rPr>
          <w:rFonts w:asciiTheme="minorHAnsi" w:hAnsiTheme="minorHAnsi" w:cstheme="minorHAnsi"/>
          <w:sz w:val="22"/>
          <w:szCs w:val="22"/>
        </w:rPr>
        <w:t xml:space="preserve"> 15/21)</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specifies that the EU best available techniques shall be applied in the absence of best available techniques in the national legislation. In the period from July 2007 to July 2008, within the LIFE Project “Capacity Building in Integrated Pollution Prevention and Control in BiH (IPPC BiH)” the Federation of BiH prepared </w:t>
      </w:r>
      <w:proofErr w:type="gramStart"/>
      <w:r w:rsidRPr="007C4D65">
        <w:rPr>
          <w:rFonts w:asciiTheme="minorHAnsi" w:hAnsiTheme="minorHAnsi" w:cstheme="minorHAnsi"/>
          <w:sz w:val="22"/>
          <w:szCs w:val="22"/>
        </w:rPr>
        <w:t>Technical  Instructions</w:t>
      </w:r>
      <w:proofErr w:type="gramEnd"/>
      <w:r w:rsidRPr="007C4D65">
        <w:rPr>
          <w:rFonts w:asciiTheme="minorHAnsi" w:hAnsiTheme="minorHAnsi" w:cstheme="minorHAnsi"/>
          <w:sz w:val="22"/>
          <w:szCs w:val="22"/>
        </w:rPr>
        <w:t xml:space="preserve"> on BAT for the following food and agriculture sectors: livestock slaughterhouses, meat processing, fish farming and processing, milk processing and milk products, fruit and vegetable processing and brewing</w:t>
      </w:r>
      <w:r w:rsidR="002E1D74" w:rsidRPr="007C4D65">
        <w:rPr>
          <w:rFonts w:asciiTheme="minorHAnsi" w:hAnsiTheme="minorHAnsi" w:cstheme="minorHAnsi"/>
          <w:sz w:val="22"/>
          <w:szCs w:val="22"/>
        </w:rPr>
        <w:t>.</w:t>
      </w:r>
      <w:r w:rsidRPr="007C4D65">
        <w:rPr>
          <w:rFonts w:asciiTheme="minorHAnsi" w:hAnsiTheme="minorHAnsi" w:cstheme="minorHAnsi"/>
          <w:sz w:val="22"/>
          <w:szCs w:val="22"/>
        </w:rPr>
        <w:t xml:space="preserve"> These instructions were adopted in a decision of the </w:t>
      </w:r>
      <w:r w:rsidR="001E6E20" w:rsidRPr="007C4D65">
        <w:rPr>
          <w:rFonts w:asciiTheme="minorHAnsi" w:hAnsiTheme="minorHAnsi" w:cstheme="minorHAnsi"/>
          <w:sz w:val="22"/>
          <w:szCs w:val="22"/>
        </w:rPr>
        <w:t>Federation Ministry</w:t>
      </w:r>
      <w:r w:rsidRPr="007C4D65">
        <w:rPr>
          <w:rFonts w:asciiTheme="minorHAnsi" w:hAnsiTheme="minorHAnsi" w:cstheme="minorHAnsi"/>
          <w:sz w:val="22"/>
          <w:szCs w:val="22"/>
        </w:rPr>
        <w:t xml:space="preserve"> of Environment and Tourism in 2009. Subsequently, within the Project “Support to implementation of IPPC Directive (</w:t>
      </w:r>
      <w:proofErr w:type="spellStart"/>
      <w:r w:rsidRPr="007C4D65">
        <w:rPr>
          <w:rFonts w:asciiTheme="minorHAnsi" w:hAnsiTheme="minorHAnsi" w:cstheme="minorHAnsi"/>
          <w:sz w:val="22"/>
          <w:szCs w:val="22"/>
        </w:rPr>
        <w:t>EuropAid</w:t>
      </w:r>
      <w:proofErr w:type="spellEnd"/>
      <w:r w:rsidRPr="007C4D65">
        <w:rPr>
          <w:rFonts w:asciiTheme="minorHAnsi" w:hAnsiTheme="minorHAnsi" w:cstheme="minorHAnsi"/>
          <w:sz w:val="22"/>
          <w:szCs w:val="22"/>
        </w:rPr>
        <w:t xml:space="preserve">/126648/C/SER/BA)” the Federation of BiH prepared the </w:t>
      </w:r>
      <w:r w:rsidR="004D2879" w:rsidRPr="007C4D65">
        <w:rPr>
          <w:rFonts w:asciiTheme="minorHAnsi" w:hAnsiTheme="minorHAnsi" w:cstheme="minorHAnsi"/>
          <w:sz w:val="22"/>
          <w:szCs w:val="22"/>
        </w:rPr>
        <w:t>t</w:t>
      </w:r>
      <w:r w:rsidR="007934C2" w:rsidRPr="007C4D65">
        <w:rPr>
          <w:rFonts w:asciiTheme="minorHAnsi" w:hAnsiTheme="minorHAnsi" w:cstheme="minorHAnsi"/>
          <w:sz w:val="22"/>
          <w:szCs w:val="22"/>
        </w:rPr>
        <w:t>echnical instructions</w:t>
      </w:r>
      <w:r w:rsidRPr="007C4D65">
        <w:rPr>
          <w:rFonts w:asciiTheme="minorHAnsi" w:hAnsiTheme="minorHAnsi" w:cstheme="minorHAnsi"/>
          <w:sz w:val="22"/>
          <w:szCs w:val="22"/>
        </w:rPr>
        <w:t xml:space="preserve"> for the following sectors: stone extraction, large furnaces, surface protection of metals and plastics, and coating with molten metal, and for monitoring. However, these instructions have not yet been adopted. Pursuant to the Law on Environmental Protection and the Regulation on adoption of best available techniques which facilitate compliance with the environmental quality standards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{"citationID":"9C8aZ109","properties":{"formattedCitation":"(\\uc0\\u8216{}Sl. novine Federacije BiH\\uc0\\u8217{}, broj 92/07 2007)","plainCitation":"(‘Sl. novine Federacije BiH’, broj 92/07 2007)","noteIndex":0},"citationItems":[{"id":1550,"uris":["http://zotero.org/users/7192877/items/KBMVFMVA"],"itemData":{"id":1550,"type":"legislation","title":"Pravilnik o donošenju najboljih raspoloživih tehnika kojima se postižu standardi kvaliteta okoliša Federacije BIH","URL":"https://www.fmoit.gov.ba/upload/file/p%20bat%20(1).pdf","author":[{"family":"\"Sl. novine Federacije BiH\", broj 92/07","given":""}],"issued":{"date-parts":[["2007"]]}}}],"schema":"https://github.com/citation-style-language/schema/raw/master/csl-citation.json"} </w:instrText>
      </w:r>
      <w:r w:rsidRPr="007C4D65">
        <w:rPr>
          <w:rFonts w:asciiTheme="minorHAnsi" w:hAnsiTheme="minorHAnsi" w:cstheme="minorHAnsi"/>
          <w:sz w:val="22"/>
          <w:szCs w:val="22"/>
        </w:rPr>
        <w:fldChar w:fldCharType="separate"/>
      </w:r>
      <w:r w:rsidR="007A6065" w:rsidRPr="007C4D65">
        <w:rPr>
          <w:rFonts w:asciiTheme="minorHAnsi" w:hAnsiTheme="minorHAnsi" w:cstheme="minorHAnsi"/>
          <w:sz w:val="22"/>
          <w:szCs w:val="22"/>
        </w:rPr>
        <w:t xml:space="preserve">(“Official Gazette </w:t>
      </w:r>
      <w:r w:rsidR="007436F1" w:rsidRPr="007C4D65">
        <w:rPr>
          <w:rFonts w:asciiTheme="minorHAnsi" w:hAnsiTheme="minorHAnsi" w:cstheme="minorHAnsi"/>
          <w:sz w:val="22"/>
          <w:szCs w:val="22"/>
        </w:rPr>
        <w:t>of the Federation of BiH</w:t>
      </w:r>
      <w:r w:rsidR="007A6065" w:rsidRPr="007C4D65">
        <w:rPr>
          <w:rFonts w:asciiTheme="minorHAnsi" w:hAnsiTheme="minorHAnsi" w:cstheme="minorHAnsi"/>
          <w:sz w:val="22"/>
          <w:szCs w:val="22"/>
        </w:rPr>
        <w:t>“,</w:t>
      </w:r>
      <w:r w:rsidRPr="007C4D65">
        <w:rPr>
          <w:rFonts w:asciiTheme="minorHAnsi" w:hAnsiTheme="minorHAnsi" w:cstheme="minorHAnsi"/>
          <w:sz w:val="22"/>
          <w:szCs w:val="22"/>
        </w:rPr>
        <w:t xml:space="preserve"> 92/07)</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the activities which require </w:t>
      </w:r>
      <w:r w:rsidR="007934C2" w:rsidRPr="007C4D65">
        <w:rPr>
          <w:rFonts w:asciiTheme="minorHAnsi" w:hAnsiTheme="minorHAnsi" w:cstheme="minorHAnsi"/>
          <w:sz w:val="22"/>
          <w:szCs w:val="22"/>
        </w:rPr>
        <w:t>technical instructions</w:t>
      </w:r>
      <w:r w:rsidRPr="007C4D65">
        <w:rPr>
          <w:rFonts w:asciiTheme="minorHAnsi" w:hAnsiTheme="minorHAnsi" w:cstheme="minorHAnsi"/>
          <w:sz w:val="22"/>
          <w:szCs w:val="22"/>
        </w:rPr>
        <w:t xml:space="preserve">, in order of priority, are: Poultry slaughterhouses and processing, beverage production, wine production, bakery and pastry production, large cattle breeding, poultry breeding, crops growing, preliminary treatment and dyeing of </w:t>
      </w:r>
      <w:r w:rsidR="002E1D74" w:rsidRPr="007C4D65">
        <w:rPr>
          <w:rFonts w:asciiTheme="minorHAnsi" w:hAnsiTheme="minorHAnsi" w:cstheme="minorHAnsi"/>
          <w:sz w:val="22"/>
          <w:szCs w:val="22"/>
        </w:rPr>
        <w:t>fibres</w:t>
      </w:r>
      <w:r w:rsidRPr="007C4D65">
        <w:rPr>
          <w:rFonts w:asciiTheme="minorHAnsi" w:hAnsiTheme="minorHAnsi" w:cstheme="minorHAnsi"/>
          <w:sz w:val="22"/>
          <w:szCs w:val="22"/>
        </w:rPr>
        <w:t xml:space="preserve"> or textiles, tanning of hides and skins, production of cellulose from wood or similar fibrous materials, manufacture of paper and paperboard, production of detergents, production of paints and varnishes, </w:t>
      </w:r>
      <w:r w:rsidRPr="007C4D65">
        <w:rPr>
          <w:rFonts w:asciiTheme="minorHAnsi" w:hAnsiTheme="minorHAnsi" w:cstheme="minorHAnsi"/>
          <w:sz w:val="22"/>
          <w:szCs w:val="22"/>
        </w:rPr>
        <w:lastRenderedPageBreak/>
        <w:t>elastomers and peroxides, manufacture of ceramic products by burning, achieving energy efficiency in industry and buildings, and waste incineration.</w:t>
      </w:r>
    </w:p>
    <w:p w14:paraId="27614824" w14:textId="77777777" w:rsidR="00475238" w:rsidRPr="007C4D65" w:rsidRDefault="00475238" w:rsidP="00475238">
      <w:pPr>
        <w:spacing w:before="240" w:line="276" w:lineRule="auto"/>
        <w:jc w:val="both"/>
        <w:rPr>
          <w:rFonts w:asciiTheme="minorHAnsi" w:hAnsiTheme="minorHAnsi" w:cstheme="minorHAnsi"/>
          <w:b/>
          <w:sz w:val="22"/>
          <w:szCs w:val="22"/>
        </w:rPr>
      </w:pPr>
      <w:r w:rsidRPr="007C4D65">
        <w:rPr>
          <w:rFonts w:asciiTheme="minorHAnsi" w:hAnsiTheme="minorHAnsi" w:cstheme="minorHAnsi"/>
          <w:b/>
          <w:sz w:val="22"/>
          <w:szCs w:val="22"/>
        </w:rPr>
        <w:t xml:space="preserve">Given the above stated, it is necessary to enhance the capacities and improve coordination among the institutions </w:t>
      </w:r>
      <w:proofErr w:type="gramStart"/>
      <w:r w:rsidRPr="007C4D65">
        <w:rPr>
          <w:rFonts w:asciiTheme="minorHAnsi" w:hAnsiTheme="minorHAnsi" w:cstheme="minorHAnsi"/>
          <w:b/>
          <w:sz w:val="22"/>
          <w:szCs w:val="22"/>
        </w:rPr>
        <w:t>in order to</w:t>
      </w:r>
      <w:proofErr w:type="gramEnd"/>
      <w:r w:rsidRPr="007C4D65">
        <w:rPr>
          <w:rFonts w:asciiTheme="minorHAnsi" w:hAnsiTheme="minorHAnsi" w:cstheme="minorHAnsi"/>
          <w:b/>
          <w:sz w:val="22"/>
          <w:szCs w:val="22"/>
        </w:rPr>
        <w:t xml:space="preserve"> ensure effective implementation of the applicable legislation and international commitments.</w:t>
      </w:r>
    </w:p>
    <w:p w14:paraId="5A195CF3" w14:textId="746B7EA6" w:rsidR="00475238" w:rsidRPr="007C4D65" w:rsidRDefault="00475238" w:rsidP="00475238">
      <w:pPr>
        <w:spacing w:before="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Institutional capacit</w:t>
      </w:r>
      <w:r w:rsidR="00571470" w:rsidRPr="007C4D65">
        <w:rPr>
          <w:rFonts w:asciiTheme="minorHAnsi" w:hAnsiTheme="minorHAnsi" w:cstheme="minorHAnsi"/>
          <w:i/>
          <w:sz w:val="22"/>
          <w:szCs w:val="22"/>
          <w:u w:val="single"/>
        </w:rPr>
        <w:t>y</w:t>
      </w:r>
      <w:r w:rsidRPr="007C4D65">
        <w:rPr>
          <w:rFonts w:asciiTheme="minorHAnsi" w:hAnsiTheme="minorHAnsi" w:cstheme="minorHAnsi"/>
          <w:i/>
          <w:sz w:val="22"/>
          <w:szCs w:val="22"/>
          <w:u w:val="single"/>
        </w:rPr>
        <w:t xml:space="preserve"> and coordination</w:t>
      </w:r>
    </w:p>
    <w:p w14:paraId="1A0FC83F" w14:textId="666C2E05" w:rsidR="00475238" w:rsidRPr="007C4D65" w:rsidRDefault="00475238" w:rsidP="00475238">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szCs w:val="22"/>
        </w:rPr>
        <w:t xml:space="preserve">Insufficient capacities in the </w:t>
      </w:r>
      <w:r w:rsidR="002E1D74" w:rsidRPr="007C4D65">
        <w:rPr>
          <w:rFonts w:asciiTheme="minorHAnsi" w:hAnsiTheme="minorHAnsi" w:cstheme="minorHAnsi"/>
          <w:b/>
          <w:sz w:val="22"/>
          <w:szCs w:val="22"/>
        </w:rPr>
        <w:t>environmental</w:t>
      </w:r>
      <w:r w:rsidRPr="007C4D65">
        <w:rPr>
          <w:rFonts w:asciiTheme="minorHAnsi" w:hAnsiTheme="minorHAnsi" w:cstheme="minorHAnsi"/>
          <w:b/>
          <w:sz w:val="22"/>
          <w:szCs w:val="22"/>
        </w:rPr>
        <w:t xml:space="preserve"> institutions and the lack of vertical and horizontal coordination</w:t>
      </w:r>
      <w:r w:rsidRPr="007C4D65">
        <w:rPr>
          <w:rFonts w:asciiTheme="minorHAnsi" w:hAnsiTheme="minorHAnsi" w:cstheme="minorHAnsi"/>
          <w:sz w:val="22"/>
          <w:szCs w:val="22"/>
        </w:rPr>
        <w:t xml:space="preserve"> among the institutions in all segments of environmental protection, including the lack of coordination </w:t>
      </w:r>
      <w:proofErr w:type="gramStart"/>
      <w:r w:rsidRPr="007C4D65">
        <w:rPr>
          <w:rFonts w:asciiTheme="minorHAnsi" w:hAnsiTheme="minorHAnsi" w:cstheme="minorHAnsi"/>
          <w:sz w:val="22"/>
          <w:szCs w:val="22"/>
        </w:rPr>
        <w:t>in the area of</w:t>
      </w:r>
      <w:proofErr w:type="gramEnd"/>
      <w:r w:rsidRPr="007C4D65">
        <w:rPr>
          <w:rFonts w:asciiTheme="minorHAnsi" w:hAnsiTheme="minorHAnsi" w:cstheme="minorHAnsi"/>
          <w:sz w:val="22"/>
          <w:szCs w:val="22"/>
        </w:rPr>
        <w:t xml:space="preserve"> gender equality were identified as the main reasons for the incomplete implementation of the law. The competent institutions have insufficient human resources, they are poorly staffed, and they lack expertise. Critical institutions</w:t>
      </w:r>
      <w:r w:rsidRPr="007C4D65">
        <w:rPr>
          <w:rFonts w:asciiTheme="minorHAnsi" w:hAnsiTheme="minorHAnsi" w:cstheme="minorHAnsi"/>
          <w:sz w:val="22"/>
          <w:szCs w:val="22"/>
          <w:vertAlign w:val="superscript"/>
          <w:lang w:val="hr-HR"/>
        </w:rPr>
        <w:footnoteReference w:id="22"/>
      </w:r>
      <w:r w:rsidRPr="007C4D65">
        <w:rPr>
          <w:rFonts w:asciiTheme="minorHAnsi" w:hAnsiTheme="minorHAnsi" w:cstheme="minorHAnsi"/>
          <w:sz w:val="22"/>
          <w:szCs w:val="22"/>
        </w:rPr>
        <w:t xml:space="preserve">,such as the </w:t>
      </w:r>
      <w:r w:rsidR="001E6E20" w:rsidRPr="007C4D65">
        <w:rPr>
          <w:rFonts w:asciiTheme="minorHAnsi" w:hAnsiTheme="minorHAnsi" w:cstheme="minorHAnsi"/>
          <w:sz w:val="22"/>
          <w:szCs w:val="22"/>
        </w:rPr>
        <w:t>Federation Ministry</w:t>
      </w:r>
      <w:r w:rsidRPr="007C4D65">
        <w:rPr>
          <w:rFonts w:asciiTheme="minorHAnsi" w:hAnsiTheme="minorHAnsi" w:cstheme="minorHAnsi"/>
          <w:sz w:val="22"/>
          <w:szCs w:val="22"/>
        </w:rPr>
        <w:t xml:space="preserve"> of Environment and Tourism and Environmental Protection Fund of the Federation of BiH are not fully staffed in accordance with internal organisation and staffing plan, </w:t>
      </w:r>
      <w:r w:rsidRPr="007C4D65">
        <w:rPr>
          <w:rFonts w:asciiTheme="minorHAnsi" w:hAnsiTheme="minorHAnsi" w:cstheme="minorHAnsi"/>
          <w:sz w:val="22"/>
          <w:szCs w:val="22"/>
          <w:vertAlign w:val="superscript"/>
          <w:lang w:val="hr-HR"/>
        </w:rPr>
        <w:footnoteReference w:id="23"/>
      </w:r>
      <w:r w:rsidRPr="007C4D65">
        <w:rPr>
          <w:rFonts w:asciiTheme="minorHAnsi" w:hAnsiTheme="minorHAnsi" w:cstheme="minorHAnsi"/>
          <w:sz w:val="22"/>
          <w:szCs w:val="22"/>
        </w:rPr>
        <w:t xml:space="preserve">, while their workload is huge, and the current organisation hinders adequate performance. While the employees have good knowledge of the environmental issues, however, they lack project management competencies. The </w:t>
      </w:r>
      <w:r w:rsidR="001E6E20" w:rsidRPr="007C4D65">
        <w:rPr>
          <w:rFonts w:asciiTheme="minorHAnsi" w:hAnsiTheme="minorHAnsi" w:cstheme="minorHAnsi"/>
          <w:sz w:val="22"/>
          <w:szCs w:val="22"/>
        </w:rPr>
        <w:t>Federation Ministry</w:t>
      </w:r>
      <w:r w:rsidRPr="007C4D65">
        <w:rPr>
          <w:rFonts w:asciiTheme="minorHAnsi" w:hAnsiTheme="minorHAnsi" w:cstheme="minorHAnsi"/>
          <w:sz w:val="22"/>
          <w:szCs w:val="22"/>
        </w:rPr>
        <w:t xml:space="preserve"> of Environment and Tourism and </w:t>
      </w:r>
      <w:r w:rsidR="001E6E20" w:rsidRPr="007C4D65">
        <w:rPr>
          <w:rFonts w:asciiTheme="minorHAnsi" w:hAnsiTheme="minorHAnsi" w:cstheme="minorHAnsi"/>
          <w:sz w:val="22"/>
          <w:szCs w:val="22"/>
        </w:rPr>
        <w:t>Federation Ministry</w:t>
      </w:r>
      <w:r w:rsidRPr="007C4D65">
        <w:rPr>
          <w:rFonts w:asciiTheme="minorHAnsi" w:hAnsiTheme="minorHAnsi" w:cstheme="minorHAnsi"/>
          <w:sz w:val="22"/>
          <w:szCs w:val="22"/>
        </w:rPr>
        <w:t xml:space="preserve"> of Agriculture, Water Management and Forestry have specialised teams for the preparation and implementation of projects, but such teams are not available in all the institutions. </w:t>
      </w:r>
    </w:p>
    <w:p w14:paraId="6A81D6ED" w14:textId="70FC0F19"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Federation of BiH lacks vertical coordination and communication among the cantons/municipalities and the Federation, as well as horizontal coordination (inter-entity - among the Federation, </w:t>
      </w:r>
      <w:proofErr w:type="spellStart"/>
      <w:r w:rsidRPr="007C4D65">
        <w:rPr>
          <w:rFonts w:asciiTheme="minorHAnsi" w:hAnsiTheme="minorHAnsi" w:cstheme="minorHAnsi"/>
          <w:sz w:val="22"/>
          <w:szCs w:val="22"/>
        </w:rPr>
        <w:t>Republika</w:t>
      </w:r>
      <w:proofErr w:type="spellEnd"/>
      <w:r w:rsidRPr="007C4D65">
        <w:rPr>
          <w:rFonts w:asciiTheme="minorHAnsi" w:hAnsiTheme="minorHAnsi" w:cstheme="minorHAnsi"/>
          <w:sz w:val="22"/>
          <w:szCs w:val="22"/>
        </w:rPr>
        <w:t xml:space="preserve"> Srpska, and </w:t>
      </w:r>
      <w:r w:rsidR="00295360" w:rsidRPr="007C4D65">
        <w:rPr>
          <w:rFonts w:asciiTheme="minorHAnsi" w:hAnsiTheme="minorHAnsi" w:cstheme="minorHAnsi"/>
          <w:sz w:val="22"/>
          <w:szCs w:val="22"/>
        </w:rPr>
        <w:t>Brcko</w:t>
      </w:r>
      <w:r w:rsidRPr="007C4D65">
        <w:rPr>
          <w:rFonts w:asciiTheme="minorHAnsi" w:hAnsiTheme="minorHAnsi" w:cstheme="minorHAnsi"/>
          <w:sz w:val="22"/>
          <w:szCs w:val="22"/>
        </w:rPr>
        <w:t xml:space="preserve"> District, as well as the coordination between the individual cantons and municipalities respectively). The Council of Ministers’ Decision on the system of coordination of EU integration processes in BiH </w:t>
      </w:r>
      <w:bookmarkStart w:id="202" w:name="_Hlk94291613"/>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{"citationID":"UFMrUwX1","properties":{"formattedCitation":"(\\uc0\\u8216{}Sl. glasnik BiH\\uc0\\u8217{}, br. 72/16 i 35/18 2016)","plainCitation":"(‘Sl. glasnik BiH’, br. 72/16 i 35/18 2016)","noteIndex":0},"citationItems":[{"id":1551,"uris":["http://zotero.org/users/7192877/items/TYJQ8GB4"],"itemData":{"id":1551,"type":"legislation","title":"Odluka o sistemu koordinacije procesa evropskih integracija u BiH","URL":"http://sluzbenilist.ba/page/akt/OhWGVQzgUZM=","author":[{"family":"\"Sl. glasnik BiH\", br. 72/16 i 35/18","given":""}],"issued":{"date-parts":[["2016"]]}}}],"schema":"https://github.com/citation-style-language/schema/raw/master/csl-citation.json"} </w:instrText>
      </w:r>
      <w:r w:rsidRPr="007C4D65">
        <w:rPr>
          <w:rFonts w:asciiTheme="minorHAnsi" w:hAnsiTheme="minorHAnsi" w:cstheme="minorHAnsi"/>
          <w:sz w:val="22"/>
          <w:szCs w:val="22"/>
        </w:rPr>
        <w:fldChar w:fldCharType="separate"/>
      </w:r>
      <w:r w:rsidR="007A6065" w:rsidRPr="007C4D65">
        <w:rPr>
          <w:rFonts w:asciiTheme="minorHAnsi" w:hAnsiTheme="minorHAnsi" w:cstheme="minorHAnsi"/>
          <w:sz w:val="22"/>
          <w:szCs w:val="22"/>
        </w:rPr>
        <w:t>(“Official Gazette of BiH“,</w:t>
      </w:r>
      <w:r w:rsidRPr="007C4D65">
        <w:rPr>
          <w:rFonts w:asciiTheme="minorHAnsi" w:hAnsiTheme="minorHAnsi" w:cstheme="minorHAnsi"/>
          <w:sz w:val="22"/>
          <w:szCs w:val="22"/>
        </w:rPr>
        <w:t xml:space="preserve"> 72/16 </w:t>
      </w:r>
      <w:r w:rsidR="007A6065" w:rsidRPr="007C4D65">
        <w:rPr>
          <w:rFonts w:asciiTheme="minorHAnsi" w:hAnsiTheme="minorHAnsi" w:cstheme="minorHAnsi"/>
          <w:sz w:val="22"/>
          <w:szCs w:val="22"/>
        </w:rPr>
        <w:t>and</w:t>
      </w:r>
      <w:r w:rsidRPr="007C4D65">
        <w:rPr>
          <w:rFonts w:asciiTheme="minorHAnsi" w:hAnsiTheme="minorHAnsi" w:cstheme="minorHAnsi"/>
          <w:sz w:val="22"/>
          <w:szCs w:val="22"/>
        </w:rPr>
        <w:t xml:space="preserve"> 35/18 2016)</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xml:space="preserve"> </w:t>
      </w:r>
      <w:bookmarkEnd w:id="202"/>
      <w:r w:rsidRPr="007C4D65">
        <w:rPr>
          <w:rFonts w:asciiTheme="minorHAnsi" w:hAnsiTheme="minorHAnsi" w:cstheme="minorHAnsi"/>
          <w:sz w:val="22"/>
          <w:szCs w:val="22"/>
        </w:rPr>
        <w:t xml:space="preserve"> defined both the institutional and operational system and the method of coordination of the institutions in Bosnia and Herzegovina (including the Federation of BiH) in the implementation of </w:t>
      </w:r>
      <w:r w:rsidRPr="007C4D65">
        <w:rPr>
          <w:rFonts w:asciiTheme="minorHAnsi" w:hAnsiTheme="minorHAnsi" w:cstheme="minorHAnsi"/>
          <w:sz w:val="22"/>
          <w:szCs w:val="22"/>
        </w:rPr>
        <w:lastRenderedPageBreak/>
        <w:t xml:space="preserve">activities associated with the EU integration of BiH. As for the inter-entity coordination, in 2006, the Government of the Federation of BiH, the Government of </w:t>
      </w:r>
      <w:proofErr w:type="spellStart"/>
      <w:r w:rsidRPr="007C4D65">
        <w:rPr>
          <w:rFonts w:asciiTheme="minorHAnsi" w:hAnsiTheme="minorHAnsi" w:cstheme="minorHAnsi"/>
          <w:sz w:val="22"/>
          <w:szCs w:val="22"/>
        </w:rPr>
        <w:t>Republika</w:t>
      </w:r>
      <w:proofErr w:type="spellEnd"/>
      <w:r w:rsidRPr="007C4D65">
        <w:rPr>
          <w:rFonts w:asciiTheme="minorHAnsi" w:hAnsiTheme="minorHAnsi" w:cstheme="minorHAnsi"/>
          <w:sz w:val="22"/>
          <w:szCs w:val="22"/>
        </w:rPr>
        <w:t xml:space="preserve"> Srpska and </w:t>
      </w:r>
      <w:r w:rsidR="00295360" w:rsidRPr="007C4D65">
        <w:rPr>
          <w:rFonts w:asciiTheme="minorHAnsi" w:hAnsiTheme="minorHAnsi" w:cstheme="minorHAnsi"/>
          <w:sz w:val="22"/>
          <w:szCs w:val="22"/>
        </w:rPr>
        <w:t>Brcko</w:t>
      </w:r>
      <w:r w:rsidRPr="007C4D65">
        <w:rPr>
          <w:rFonts w:asciiTheme="minorHAnsi" w:hAnsiTheme="minorHAnsi" w:cstheme="minorHAnsi"/>
          <w:sz w:val="22"/>
          <w:szCs w:val="22"/>
        </w:rPr>
        <w:t xml:space="preserve"> District </w:t>
      </w:r>
      <w:r w:rsidR="007B665D" w:rsidRPr="007C4D65">
        <w:rPr>
          <w:rFonts w:asciiTheme="minorHAnsi" w:hAnsiTheme="minorHAnsi" w:cstheme="minorHAnsi"/>
          <w:sz w:val="22"/>
          <w:szCs w:val="22"/>
        </w:rPr>
        <w:t>established</w:t>
      </w:r>
      <w:r w:rsidRPr="007C4D65">
        <w:rPr>
          <w:rFonts w:asciiTheme="minorHAnsi" w:hAnsiTheme="minorHAnsi" w:cstheme="minorHAnsi"/>
          <w:sz w:val="22"/>
          <w:szCs w:val="22"/>
        </w:rPr>
        <w:t xml:space="preserve"> the Environmental Inter-entity Body </w:t>
      </w:r>
      <w:proofErr w:type="gramStart"/>
      <w:r w:rsidRPr="007C4D65">
        <w:rPr>
          <w:rFonts w:asciiTheme="minorHAnsi" w:hAnsiTheme="minorHAnsi" w:cstheme="minorHAnsi"/>
          <w:sz w:val="22"/>
          <w:szCs w:val="22"/>
        </w:rPr>
        <w:t>in order to</w:t>
      </w:r>
      <w:proofErr w:type="gramEnd"/>
      <w:r w:rsidRPr="007C4D65">
        <w:rPr>
          <w:rFonts w:asciiTheme="minorHAnsi" w:hAnsiTheme="minorHAnsi" w:cstheme="minorHAnsi"/>
          <w:sz w:val="22"/>
          <w:szCs w:val="22"/>
        </w:rPr>
        <w:t xml:space="preserve"> initiate cooperation and coordination of efforts on common goals and in the interest of environmental protection. This Body focuses on environmental issues which require a harmonised approach of the entities, and other issues delegated to the Inter-entity Body, however, their decisions are not legally binding. This body has at least 6 meetings </w:t>
      </w:r>
      <w:r w:rsidR="007B665D" w:rsidRPr="007C4D65">
        <w:rPr>
          <w:rFonts w:asciiTheme="minorHAnsi" w:hAnsiTheme="minorHAnsi" w:cstheme="minorHAnsi"/>
          <w:sz w:val="22"/>
          <w:szCs w:val="22"/>
        </w:rPr>
        <w:t xml:space="preserve">annually </w:t>
      </w:r>
      <w:r w:rsidRPr="007C4D65">
        <w:rPr>
          <w:rFonts w:asciiTheme="minorHAnsi" w:hAnsiTheme="minorHAnsi" w:cstheme="minorHAnsi"/>
          <w:sz w:val="22"/>
          <w:szCs w:val="22"/>
          <w:vertAlign w:val="superscript"/>
        </w:rPr>
        <w:fldChar w:fldCharType="begin"/>
      </w:r>
      <w:r w:rsidRPr="007C4D65">
        <w:rPr>
          <w:rFonts w:asciiTheme="minorHAnsi" w:hAnsiTheme="minorHAnsi" w:cstheme="minorHAnsi"/>
          <w:sz w:val="22"/>
          <w:szCs w:val="22"/>
          <w:vertAlign w:val="superscript"/>
        </w:rPr>
        <w:instrText xml:space="preserve"> ADDIN ZOTERO_ITEM CSL_CITATION {"citationID":"mfyO8d88","properties":{"formattedCitation":"(Vije\\uc0\\u263{}e ministara BiH 2018)","plainCitation":"(Vijeće ministara BiH 2018)","noteIndex":0},"citationItems":[{"id":1479,"uris":["http://zotero.org/users/7192877/items/EJ8R5PKN"],"itemData":{"id":1479,"type":"document","title":"Odgovori Bosne i Hercegovine na pitanja iz upitnika Evropske Komisije – Poglavlje 27.","URL":"https://www.dei.gov.ba/bs/odgovori-na-upitnik-ek","author":[{"family":"Vijeće ministara BiH","given":""}],"issued":{"date-parts":[["2018"]]}}}],"schema":"https://github.com/citation-style-language/schema/raw/master/csl-citation.json"} </w:instrText>
      </w:r>
      <w:r w:rsidRPr="007C4D65">
        <w:rPr>
          <w:rFonts w:asciiTheme="minorHAnsi" w:hAnsiTheme="minorHAnsi" w:cstheme="minorHAnsi"/>
          <w:sz w:val="22"/>
          <w:szCs w:val="22"/>
          <w:vertAlign w:val="superscript"/>
        </w:rPr>
        <w:fldChar w:fldCharType="separate"/>
      </w:r>
      <w:r w:rsidRPr="007C4D65">
        <w:rPr>
          <w:rFonts w:asciiTheme="minorHAnsi" w:hAnsiTheme="minorHAnsi" w:cstheme="minorHAnsi"/>
          <w:sz w:val="22"/>
          <w:szCs w:val="22"/>
        </w:rPr>
        <w:t>(</w:t>
      </w:r>
      <w:r w:rsidR="007B665D" w:rsidRPr="007C4D65">
        <w:rPr>
          <w:rFonts w:asciiTheme="minorHAnsi" w:hAnsiTheme="minorHAnsi" w:cstheme="minorHAnsi"/>
          <w:sz w:val="22"/>
          <w:szCs w:val="22"/>
        </w:rPr>
        <w:t>Council of Ministers of BiH</w:t>
      </w:r>
      <w:r w:rsidRPr="007C4D65">
        <w:rPr>
          <w:rFonts w:asciiTheme="minorHAnsi" w:hAnsiTheme="minorHAnsi" w:cstheme="minorHAnsi"/>
          <w:sz w:val="22"/>
          <w:szCs w:val="22"/>
        </w:rPr>
        <w:t>, 2018)</w:t>
      </w:r>
      <w:r w:rsidRPr="007C4D65">
        <w:rPr>
          <w:rFonts w:asciiTheme="minorHAnsi" w:hAnsiTheme="minorHAnsi" w:cstheme="minorHAnsi"/>
          <w:sz w:val="22"/>
          <w:szCs w:val="22"/>
          <w:vertAlign w:val="superscript"/>
        </w:rPr>
        <w:fldChar w:fldCharType="end"/>
      </w:r>
      <w:r w:rsidRPr="007C4D65">
        <w:rPr>
          <w:rFonts w:asciiTheme="minorHAnsi" w:hAnsiTheme="minorHAnsi" w:cstheme="minorHAnsi"/>
          <w:sz w:val="22"/>
          <w:szCs w:val="22"/>
        </w:rPr>
        <w:t xml:space="preserve">, however their work is </w:t>
      </w:r>
      <w:r w:rsidR="007B665D" w:rsidRPr="007C4D65">
        <w:rPr>
          <w:rFonts w:asciiTheme="minorHAnsi" w:hAnsiTheme="minorHAnsi" w:cstheme="minorHAnsi"/>
          <w:sz w:val="22"/>
          <w:szCs w:val="22"/>
        </w:rPr>
        <w:t>inefficient</w:t>
      </w:r>
      <w:r w:rsidRPr="007C4D65">
        <w:rPr>
          <w:rFonts w:asciiTheme="minorHAnsi" w:hAnsiTheme="minorHAnsi" w:cstheme="minorHAnsi"/>
          <w:sz w:val="22"/>
          <w:szCs w:val="22"/>
        </w:rPr>
        <w:t xml:space="preserve"> and ineffective.</w:t>
      </w:r>
    </w:p>
    <w:p w14:paraId="121F2B3A" w14:textId="77777777" w:rsidR="00475238" w:rsidRPr="007C4D65" w:rsidRDefault="00475238" w:rsidP="00475238">
      <w:pPr>
        <w:spacing w:line="276" w:lineRule="auto"/>
        <w:jc w:val="both"/>
        <w:rPr>
          <w:rFonts w:asciiTheme="minorHAnsi" w:hAnsiTheme="minorHAnsi" w:cstheme="minorHAnsi"/>
          <w:sz w:val="22"/>
          <w:szCs w:val="22"/>
        </w:rPr>
      </w:pPr>
      <w:r w:rsidRPr="007C4D65">
        <w:rPr>
          <w:rFonts w:asciiTheme="minorHAnsi" w:hAnsiTheme="minorHAnsi" w:cstheme="minorHAnsi"/>
          <w:sz w:val="22"/>
          <w:szCs w:val="22"/>
        </w:rPr>
        <w:t>Inspection authorities, both at the level of the Federation of BiH and the Cantons, are responsible to supervise the application of the environmental legislation of the Federation of BiH.   The Administration for Inspection Affairs of the Federation of BiH comprises 11 inspectorates, with 3 inspectorates which supervise the application of the environmental legislation.</w:t>
      </w:r>
    </w:p>
    <w:p w14:paraId="50C9FD7A" w14:textId="689C2232" w:rsidR="00475238" w:rsidRPr="007C4D65" w:rsidRDefault="00475238">
      <w:pPr>
        <w:numPr>
          <w:ilvl w:val="0"/>
          <w:numId w:val="190"/>
        </w:numPr>
        <w:spacing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Environmental Protection Inspection, which is a part of the Urban-ecological Inspectorate of the Federation of BiH, with a total of 5 inspectors of the Federation, as envisaged, who have no special knowledge on individual environmental media (air, land, water, noise, waste) or plants and facilities where there is a risk of major </w:t>
      </w:r>
      <w:proofErr w:type="gramStart"/>
      <w:r w:rsidRPr="007C4D65">
        <w:rPr>
          <w:rFonts w:asciiTheme="minorHAnsi" w:hAnsiTheme="minorHAnsi" w:cstheme="minorHAnsi"/>
          <w:sz w:val="22"/>
          <w:szCs w:val="22"/>
        </w:rPr>
        <w:t>accidents;</w:t>
      </w:r>
      <w:proofErr w:type="gramEnd"/>
    </w:p>
    <w:p w14:paraId="700E0E01" w14:textId="77777777" w:rsidR="00475238" w:rsidRPr="007C4D65" w:rsidRDefault="00475238">
      <w:pPr>
        <w:numPr>
          <w:ilvl w:val="0"/>
          <w:numId w:val="190"/>
        </w:numPr>
        <w:spacing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Water Inspection of the Federation of BiH which is </w:t>
      </w:r>
      <w:proofErr w:type="gramStart"/>
      <w:r w:rsidRPr="007C4D65">
        <w:rPr>
          <w:rFonts w:asciiTheme="minorHAnsi" w:hAnsiTheme="minorHAnsi" w:cstheme="minorHAnsi"/>
          <w:sz w:val="22"/>
          <w:szCs w:val="22"/>
        </w:rPr>
        <w:t>the</w:t>
      </w:r>
      <w:proofErr w:type="gramEnd"/>
      <w:r w:rsidRPr="007C4D65">
        <w:rPr>
          <w:rFonts w:asciiTheme="minorHAnsi" w:hAnsiTheme="minorHAnsi" w:cstheme="minorHAnsi"/>
          <w:sz w:val="22"/>
          <w:szCs w:val="22"/>
        </w:rPr>
        <w:t xml:space="preserve"> integral part of the Water Inspectorate of the Federation with a total of 5 inspectors out of 8 envisaged;</w:t>
      </w:r>
    </w:p>
    <w:p w14:paraId="663C30A6" w14:textId="1B7AACC1" w:rsidR="00475238" w:rsidRPr="007C4D65" w:rsidRDefault="00475238">
      <w:pPr>
        <w:numPr>
          <w:ilvl w:val="0"/>
          <w:numId w:val="190"/>
        </w:numPr>
        <w:spacing w:line="276" w:lineRule="auto"/>
        <w:jc w:val="both"/>
        <w:rPr>
          <w:rFonts w:asciiTheme="minorHAnsi" w:hAnsiTheme="minorHAnsi" w:cstheme="minorHAnsi"/>
          <w:sz w:val="22"/>
          <w:szCs w:val="22"/>
        </w:rPr>
      </w:pPr>
      <w:r w:rsidRPr="007C4D65">
        <w:rPr>
          <w:rFonts w:asciiTheme="minorHAnsi" w:hAnsiTheme="minorHAnsi" w:cstheme="minorHAnsi"/>
          <w:sz w:val="22"/>
          <w:szCs w:val="22"/>
        </w:rPr>
        <w:t>The Nature Conservation Inspection of the Federation of BiH which is the integral part of the Forest Inspectorate of the Federation with a total of 2 inspectors out of 2 envisaged;</w:t>
      </w:r>
      <w:r w:rsidRPr="007C4D65">
        <w:rPr>
          <w:rFonts w:asciiTheme="minorHAnsi" w:hAnsiTheme="minorHAnsi" w:cstheme="minorHAnsi"/>
          <w:sz w:val="22"/>
          <w:szCs w:val="22"/>
          <w:vertAlign w:val="superscript"/>
        </w:rPr>
        <w:t xml:space="preserve"> </w:t>
      </w:r>
      <w:r w:rsidRPr="007C4D65">
        <w:rPr>
          <w:rFonts w:asciiTheme="minorHAnsi" w:hAnsiTheme="minorHAnsi" w:cstheme="minorHAnsi"/>
          <w:sz w:val="22"/>
          <w:szCs w:val="22"/>
          <w:vertAlign w:val="superscript"/>
        </w:rPr>
        <w:fldChar w:fldCharType="begin"/>
      </w:r>
      <w:r w:rsidRPr="007C4D65">
        <w:rPr>
          <w:rFonts w:asciiTheme="minorHAnsi" w:hAnsiTheme="minorHAnsi" w:cstheme="minorHAnsi"/>
          <w:sz w:val="22"/>
          <w:szCs w:val="22"/>
          <w:vertAlign w:val="superscript"/>
        </w:rPr>
        <w:instrText xml:space="preserve"> ADDIN ZOTERO_ITEM CSL_CITATION {"citationID":"Y4aScueD","properties":{"formattedCitation":"(Vije\\uc0\\u263{}e ministara BiH 2018)","plainCitation":"(Vijeće ministara BiH 2018)","noteIndex":0},"citationItems":[{"id":1479,"uris":["http://zotero.org/users/7192877/items/EJ8R5PKN"],"itemData":{"id":1479,"type":"document","title":"Odgovori Bosne i Hercegovine na pitanja iz upitnika Evropske Komisije – Poglavlje 27.","URL":"https://www.dei.gov.ba/bs/odgovori-na-upitnik-ek","author":[{"family":"Vijeće ministara BiH","given":""}],"issued":{"date-parts":[["2018"]]}}}],"schema":"https://github.com/citation-style-language/schema/raw/master/csl-citation.json"} </w:instrText>
      </w:r>
      <w:r w:rsidRPr="007C4D65">
        <w:rPr>
          <w:rFonts w:asciiTheme="minorHAnsi" w:hAnsiTheme="minorHAnsi" w:cstheme="minorHAnsi"/>
          <w:sz w:val="22"/>
          <w:szCs w:val="22"/>
          <w:vertAlign w:val="superscript"/>
        </w:rPr>
        <w:fldChar w:fldCharType="separate"/>
      </w:r>
      <w:r w:rsidRPr="007C4D65">
        <w:rPr>
          <w:rFonts w:asciiTheme="minorHAnsi" w:hAnsiTheme="minorHAnsi" w:cstheme="minorHAnsi"/>
          <w:sz w:val="22"/>
          <w:szCs w:val="22"/>
        </w:rPr>
        <w:t>(</w:t>
      </w:r>
      <w:r w:rsidR="007B665D" w:rsidRPr="007C4D65">
        <w:rPr>
          <w:rFonts w:asciiTheme="minorHAnsi" w:hAnsiTheme="minorHAnsi" w:cstheme="minorHAnsi"/>
          <w:sz w:val="22"/>
          <w:szCs w:val="22"/>
        </w:rPr>
        <w:t>Council of Ministers of BiH</w:t>
      </w:r>
      <w:r w:rsidRPr="007C4D65">
        <w:rPr>
          <w:rFonts w:asciiTheme="minorHAnsi" w:hAnsiTheme="minorHAnsi" w:cstheme="minorHAnsi"/>
          <w:sz w:val="22"/>
          <w:szCs w:val="22"/>
        </w:rPr>
        <w:t xml:space="preserve"> 2018)</w:t>
      </w:r>
      <w:r w:rsidRPr="007C4D65">
        <w:rPr>
          <w:rFonts w:asciiTheme="minorHAnsi" w:hAnsiTheme="minorHAnsi" w:cstheme="minorHAnsi"/>
          <w:sz w:val="22"/>
          <w:szCs w:val="22"/>
          <w:vertAlign w:val="superscript"/>
        </w:rPr>
        <w:fldChar w:fldCharType="end"/>
      </w:r>
      <w:r w:rsidRPr="007C4D65">
        <w:rPr>
          <w:rFonts w:asciiTheme="minorHAnsi" w:hAnsiTheme="minorHAnsi" w:cstheme="minorHAnsi"/>
          <w:sz w:val="22"/>
          <w:szCs w:val="22"/>
        </w:rPr>
        <w:t>.</w:t>
      </w:r>
    </w:p>
    <w:p w14:paraId="2E234CE9" w14:textId="72B457EC"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Coordination among the Inspections of the Federation within the Administration for Inspection Affairs of the Federation of BiH is regulated in Article 18 of the Law on Inspections of the Federation of BiH </w:t>
      </w:r>
      <w:r w:rsidRPr="007C4D65">
        <w:rPr>
          <w:rFonts w:asciiTheme="minorHAnsi" w:hAnsiTheme="minorHAnsi" w:cstheme="minorHAnsi"/>
          <w:sz w:val="22"/>
          <w:szCs w:val="22"/>
        </w:rPr>
        <w:fldChar w:fldCharType="begin"/>
      </w:r>
      <w:r w:rsidRPr="007C4D65">
        <w:rPr>
          <w:rFonts w:asciiTheme="minorHAnsi" w:hAnsiTheme="minorHAnsi" w:cstheme="minorHAnsi"/>
          <w:sz w:val="22"/>
          <w:szCs w:val="22"/>
        </w:rPr>
        <w:instrText xml:space="preserve"> ADDIN ZOTERO_ITEM CSL_CITATION {"citationID":"ZbBlrpdB","properties":{"formattedCitation":"(\\uc0\\u8216{}Sl. novine Federacije BiH\\uc0\\u8217{}, br. 73/2014 i 19/2017 2017)","plainCitation":"(‘Sl. novine Federacije BiH’, br. 73/2014 i 19/2017 2017)","noteIndex":0},"citationItems":[{"id":1552,"uris":["http://zotero.org/users/7192877/items/HHS2DZAI"],"itemData":{"id":1552,"type":"legislation","title":"Zakon o inspekcijama Federacije BiH","URL":"https://advokat-prnjavorac.com/zakoni/Zakon-o-inspekcijama-Federacije-Bosne-i-Hercegovine.pdf","author":[{"family":"\"Sl. novine Federacije BiH\", br. 73/2014 i 19/2017","given":""}],"issued":{"date-parts":[["2017"]]}}}],"schema":"https://github.com/citation-style-language/schema/raw/master/csl-citation.json"} </w:instrText>
      </w:r>
      <w:r w:rsidRPr="007C4D65">
        <w:rPr>
          <w:rFonts w:asciiTheme="minorHAnsi" w:hAnsiTheme="minorHAnsi" w:cstheme="minorHAnsi"/>
          <w:sz w:val="22"/>
          <w:szCs w:val="22"/>
        </w:rPr>
        <w:fldChar w:fldCharType="separate"/>
      </w:r>
      <w:r w:rsidR="007A6065" w:rsidRPr="007C4D65">
        <w:rPr>
          <w:rFonts w:asciiTheme="minorHAnsi" w:hAnsiTheme="minorHAnsi" w:cstheme="minorHAnsi"/>
          <w:sz w:val="22"/>
          <w:szCs w:val="22"/>
        </w:rPr>
        <w:t xml:space="preserve">(“Official Gazette </w:t>
      </w:r>
      <w:r w:rsidR="007436F1" w:rsidRPr="007C4D65">
        <w:rPr>
          <w:rFonts w:asciiTheme="minorHAnsi" w:hAnsiTheme="minorHAnsi" w:cstheme="minorHAnsi"/>
          <w:sz w:val="22"/>
          <w:szCs w:val="22"/>
        </w:rPr>
        <w:t>of the Federation of BiH</w:t>
      </w:r>
      <w:r w:rsidR="007A6065" w:rsidRPr="007C4D65">
        <w:rPr>
          <w:rFonts w:asciiTheme="minorHAnsi" w:hAnsiTheme="minorHAnsi" w:cstheme="minorHAnsi"/>
          <w:sz w:val="22"/>
          <w:szCs w:val="22"/>
        </w:rPr>
        <w:t>“,</w:t>
      </w:r>
      <w:r w:rsidRPr="007C4D65">
        <w:rPr>
          <w:rFonts w:asciiTheme="minorHAnsi" w:hAnsiTheme="minorHAnsi" w:cstheme="minorHAnsi"/>
          <w:sz w:val="22"/>
          <w:szCs w:val="22"/>
        </w:rPr>
        <w:t xml:space="preserve"> 73/2014 </w:t>
      </w:r>
      <w:r w:rsidR="007A6065" w:rsidRPr="007C4D65">
        <w:rPr>
          <w:rFonts w:asciiTheme="minorHAnsi" w:hAnsiTheme="minorHAnsi" w:cstheme="minorHAnsi"/>
          <w:sz w:val="22"/>
          <w:szCs w:val="22"/>
        </w:rPr>
        <w:t>and</w:t>
      </w:r>
      <w:r w:rsidRPr="007C4D65">
        <w:rPr>
          <w:rFonts w:asciiTheme="minorHAnsi" w:hAnsiTheme="minorHAnsi" w:cstheme="minorHAnsi"/>
          <w:sz w:val="22"/>
          <w:szCs w:val="22"/>
        </w:rPr>
        <w:t xml:space="preserve"> 19/2017)</w:t>
      </w:r>
      <w:r w:rsidRPr="007C4D65">
        <w:rPr>
          <w:rFonts w:asciiTheme="minorHAnsi" w:hAnsiTheme="minorHAnsi" w:cstheme="minorHAnsi"/>
          <w:sz w:val="22"/>
          <w:szCs w:val="22"/>
        </w:rPr>
        <w:fldChar w:fldCharType="end"/>
      </w:r>
      <w:r w:rsidRPr="007C4D65">
        <w:rPr>
          <w:rFonts w:asciiTheme="minorHAnsi" w:hAnsiTheme="minorHAnsi" w:cstheme="minorHAnsi"/>
          <w:sz w:val="22"/>
          <w:szCs w:val="22"/>
        </w:rPr>
        <w:t>, while it actually relies on supervision which is planned and implemented by mixed inspection teams (team inspections), on an as needed basis</w:t>
      </w:r>
      <w:r w:rsidRPr="007C4D65">
        <w:rPr>
          <w:rFonts w:asciiTheme="minorHAnsi" w:hAnsiTheme="minorHAnsi" w:cstheme="minorHAnsi"/>
          <w:sz w:val="22"/>
          <w:szCs w:val="22"/>
          <w:vertAlign w:val="superscript"/>
        </w:rPr>
        <w:t xml:space="preserve"> </w:t>
      </w:r>
      <w:r w:rsidRPr="007C4D65">
        <w:rPr>
          <w:rFonts w:asciiTheme="minorHAnsi" w:hAnsiTheme="minorHAnsi" w:cstheme="minorHAnsi"/>
          <w:sz w:val="22"/>
          <w:szCs w:val="22"/>
          <w:vertAlign w:val="superscript"/>
        </w:rPr>
        <w:fldChar w:fldCharType="begin"/>
      </w:r>
      <w:r w:rsidRPr="007C4D65">
        <w:rPr>
          <w:rFonts w:asciiTheme="minorHAnsi" w:hAnsiTheme="minorHAnsi" w:cstheme="minorHAnsi"/>
          <w:sz w:val="22"/>
          <w:szCs w:val="22"/>
          <w:vertAlign w:val="superscript"/>
        </w:rPr>
        <w:instrText xml:space="preserve"> ADDIN ZOTERO_ITEM CSL_CITATION {"citationID":"z1eK2mDl","properties":{"formattedCitation":"(Vije\\uc0\\u263{}e ministara BiH 2018)","plainCitation":"(Vijeće ministara BiH 2018)","noteIndex":0},"citationItems":[{"id":1479,"uris":["http://zotero.org/users/7192877/items/EJ8R5PKN"],"itemData":{"id":1479,"type":"document","title":"Odgovori Bosne i Hercegovine na pitanja iz upitnika Evropske Komisije – Poglavlje 27.","URL":"https://www.dei.gov.ba/bs/odgovori-na-upitnik-ek","author":[{"family":"Vijeće ministara BiH","given":""}],"issued":{"date-parts":[["2018"]]}}}],"schema":"https://github.com/citation-style-language/schema/raw/master/csl-citation.json"} </w:instrText>
      </w:r>
      <w:r w:rsidRPr="007C4D65">
        <w:rPr>
          <w:rFonts w:asciiTheme="minorHAnsi" w:hAnsiTheme="minorHAnsi" w:cstheme="minorHAnsi"/>
          <w:sz w:val="22"/>
          <w:szCs w:val="22"/>
          <w:vertAlign w:val="superscript"/>
        </w:rPr>
        <w:fldChar w:fldCharType="separate"/>
      </w:r>
      <w:r w:rsidRPr="007C4D65">
        <w:rPr>
          <w:rFonts w:asciiTheme="minorHAnsi" w:hAnsiTheme="minorHAnsi" w:cstheme="minorHAnsi"/>
          <w:sz w:val="22"/>
          <w:szCs w:val="22"/>
        </w:rPr>
        <w:t>(</w:t>
      </w:r>
      <w:r w:rsidR="007B665D" w:rsidRPr="007C4D65">
        <w:rPr>
          <w:rFonts w:asciiTheme="minorHAnsi" w:hAnsiTheme="minorHAnsi" w:cstheme="minorHAnsi"/>
          <w:sz w:val="22"/>
          <w:szCs w:val="22"/>
        </w:rPr>
        <w:t>Council of Ministers of BiH</w:t>
      </w:r>
      <w:r w:rsidRPr="007C4D65">
        <w:rPr>
          <w:rFonts w:asciiTheme="minorHAnsi" w:hAnsiTheme="minorHAnsi" w:cstheme="minorHAnsi"/>
          <w:sz w:val="22"/>
          <w:szCs w:val="22"/>
        </w:rPr>
        <w:t>, 2018)</w:t>
      </w:r>
      <w:r w:rsidRPr="007C4D65">
        <w:rPr>
          <w:rFonts w:asciiTheme="minorHAnsi" w:hAnsiTheme="minorHAnsi" w:cstheme="minorHAnsi"/>
          <w:sz w:val="22"/>
          <w:szCs w:val="22"/>
          <w:vertAlign w:val="superscript"/>
        </w:rPr>
        <w:fldChar w:fldCharType="end"/>
      </w:r>
      <w:r w:rsidRPr="007C4D65">
        <w:rPr>
          <w:rFonts w:asciiTheme="minorHAnsi" w:hAnsiTheme="minorHAnsi" w:cstheme="minorHAnsi"/>
          <w:sz w:val="22"/>
          <w:szCs w:val="22"/>
        </w:rPr>
        <w:t>. However, the responsibilities of the environmental and other inspections (market, health, water inspections) occasionally overlap, and their work need to be coordinated.</w:t>
      </w:r>
    </w:p>
    <w:p w14:paraId="1B4A631C" w14:textId="51704CF3"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Administration for Inspection Affairs of the Federation of BiH, RS Administration for Inspection Affairs and Inspectorate of the </w:t>
      </w:r>
      <w:r w:rsidR="00295360" w:rsidRPr="007C4D65">
        <w:rPr>
          <w:rFonts w:asciiTheme="minorHAnsi" w:hAnsiTheme="minorHAnsi" w:cstheme="minorHAnsi"/>
          <w:sz w:val="22"/>
          <w:szCs w:val="22"/>
        </w:rPr>
        <w:t>Brcko</w:t>
      </w:r>
      <w:r w:rsidRPr="007C4D65">
        <w:rPr>
          <w:rFonts w:asciiTheme="minorHAnsi" w:hAnsiTheme="minorHAnsi" w:cstheme="minorHAnsi"/>
          <w:sz w:val="22"/>
          <w:szCs w:val="22"/>
        </w:rPr>
        <w:t xml:space="preserve"> District have contacts on an as needed basis, however, the cooperation among these institutions is not formalised or </w:t>
      </w:r>
      <w:proofErr w:type="spellStart"/>
      <w:r w:rsidRPr="007C4D65">
        <w:rPr>
          <w:rFonts w:asciiTheme="minorHAnsi" w:hAnsiTheme="minorHAnsi" w:cstheme="minorHAnsi"/>
          <w:sz w:val="22"/>
          <w:szCs w:val="22"/>
        </w:rPr>
        <w:t>instutionalised</w:t>
      </w:r>
      <w:proofErr w:type="spellEnd"/>
      <w:r w:rsidRPr="007C4D65">
        <w:rPr>
          <w:rFonts w:asciiTheme="minorHAnsi" w:hAnsiTheme="minorHAnsi" w:cstheme="minorHAnsi"/>
          <w:sz w:val="22"/>
          <w:szCs w:val="22"/>
        </w:rPr>
        <w:t>.</w:t>
      </w:r>
    </w:p>
    <w:p w14:paraId="0FC8E232" w14:textId="77777777" w:rsidR="00475238" w:rsidRPr="007C4D65" w:rsidRDefault="00475238" w:rsidP="00475238">
      <w:pPr>
        <w:spacing w:before="240" w:after="240" w:line="276" w:lineRule="auto"/>
        <w:jc w:val="both"/>
        <w:rPr>
          <w:rFonts w:asciiTheme="minorHAnsi" w:hAnsiTheme="minorHAnsi" w:cstheme="minorHAnsi"/>
          <w:b/>
          <w:sz w:val="22"/>
          <w:szCs w:val="22"/>
        </w:rPr>
      </w:pPr>
      <w:r w:rsidRPr="007C4D65">
        <w:rPr>
          <w:rFonts w:asciiTheme="minorHAnsi" w:hAnsiTheme="minorHAnsi" w:cstheme="minorHAnsi"/>
          <w:b/>
          <w:sz w:val="22"/>
          <w:szCs w:val="22"/>
        </w:rPr>
        <w:t>The challenges described indicate that there is a need to enhance the capacities and mutual coordination of the institutions in the environment sector.</w:t>
      </w:r>
    </w:p>
    <w:p w14:paraId="289A5468" w14:textId="67AA4C6D" w:rsidR="00475238" w:rsidRPr="007C4D65" w:rsidRDefault="00475238" w:rsidP="00475238">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 xml:space="preserve">Public </w:t>
      </w:r>
      <w:r w:rsidR="00D95B26" w:rsidRPr="007C4D65">
        <w:rPr>
          <w:rFonts w:asciiTheme="minorHAnsi" w:hAnsiTheme="minorHAnsi" w:cstheme="minorHAnsi"/>
          <w:i/>
          <w:sz w:val="22"/>
          <w:szCs w:val="22"/>
          <w:u w:val="single"/>
        </w:rPr>
        <w:t>p</w:t>
      </w:r>
      <w:r w:rsidRPr="007C4D65">
        <w:rPr>
          <w:rFonts w:asciiTheme="minorHAnsi" w:hAnsiTheme="minorHAnsi" w:cstheme="minorHAnsi"/>
          <w:i/>
          <w:sz w:val="22"/>
          <w:szCs w:val="22"/>
          <w:u w:val="single"/>
        </w:rPr>
        <w:t>articipation</w:t>
      </w:r>
    </w:p>
    <w:p w14:paraId="43A4F51E" w14:textId="5C44DA32"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b/>
          <w:sz w:val="22"/>
          <w:szCs w:val="22"/>
        </w:rPr>
        <w:t>A strong awareness on the importance of environmental protection and the need to protect the environment</w:t>
      </w:r>
      <w:r w:rsidRPr="007C4D65">
        <w:rPr>
          <w:rFonts w:asciiTheme="minorHAnsi" w:hAnsiTheme="minorHAnsi" w:cstheme="minorHAnsi"/>
          <w:sz w:val="22"/>
          <w:szCs w:val="22"/>
        </w:rPr>
        <w:t xml:space="preserve">, as a principal requirement for an active public participation in environmental decision-making process - </w:t>
      </w:r>
      <w:r w:rsidRPr="007C4D65">
        <w:rPr>
          <w:rFonts w:asciiTheme="minorHAnsi" w:hAnsiTheme="minorHAnsi" w:cstheme="minorHAnsi"/>
          <w:b/>
          <w:sz w:val="22"/>
          <w:szCs w:val="22"/>
        </w:rPr>
        <w:t>is lacking</w:t>
      </w:r>
      <w:r w:rsidRPr="007C4D65">
        <w:rPr>
          <w:rFonts w:asciiTheme="minorHAnsi" w:hAnsiTheme="minorHAnsi" w:cstheme="minorHAnsi"/>
          <w:sz w:val="22"/>
          <w:szCs w:val="22"/>
        </w:rPr>
        <w:t xml:space="preserve">. This challenge has been identified both among the professional and </w:t>
      </w:r>
      <w:proofErr w:type="gramStart"/>
      <w:r w:rsidRPr="007C4D65">
        <w:rPr>
          <w:rFonts w:asciiTheme="minorHAnsi" w:hAnsiTheme="minorHAnsi" w:cstheme="minorHAnsi"/>
          <w:sz w:val="22"/>
          <w:szCs w:val="22"/>
        </w:rPr>
        <w:t>general public</w:t>
      </w:r>
      <w:proofErr w:type="gramEnd"/>
      <w:r w:rsidRPr="007C4D65">
        <w:rPr>
          <w:rFonts w:asciiTheme="minorHAnsi" w:hAnsiTheme="minorHAnsi" w:cstheme="minorHAnsi"/>
          <w:sz w:val="22"/>
          <w:szCs w:val="22"/>
        </w:rPr>
        <w:t xml:space="preserve">. Line institutions do not implement educational programmes and campaigns aimed at raising the awareness about the issues of environmental protection. Such activities are </w:t>
      </w:r>
      <w:proofErr w:type="gramStart"/>
      <w:r w:rsidRPr="007C4D65">
        <w:rPr>
          <w:rFonts w:asciiTheme="minorHAnsi" w:hAnsiTheme="minorHAnsi" w:cstheme="minorHAnsi"/>
          <w:sz w:val="22"/>
          <w:szCs w:val="22"/>
        </w:rPr>
        <w:t>most commonly organised</w:t>
      </w:r>
      <w:proofErr w:type="gramEnd"/>
      <w:r w:rsidRPr="007C4D65">
        <w:rPr>
          <w:rFonts w:asciiTheme="minorHAnsi" w:hAnsiTheme="minorHAnsi" w:cstheme="minorHAnsi"/>
          <w:sz w:val="22"/>
          <w:szCs w:val="22"/>
        </w:rPr>
        <w:t xml:space="preserve"> within short-term projects.</w:t>
      </w:r>
    </w:p>
    <w:p w14:paraId="2A5C69D9" w14:textId="6605FD10"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lastRenderedPageBreak/>
        <w:t xml:space="preserve">Past year recorded a blatantly inconsistent preparation, publicity and reporting among the responsible institutions, particularly on the issue of the legal requirement to prepare and publish reports on </w:t>
      </w:r>
      <w:r w:rsidR="007B665D" w:rsidRPr="007C4D65">
        <w:rPr>
          <w:rFonts w:asciiTheme="minorHAnsi" w:hAnsiTheme="minorHAnsi" w:cstheme="minorHAnsi"/>
          <w:sz w:val="22"/>
          <w:szCs w:val="22"/>
        </w:rPr>
        <w:t xml:space="preserve">the state of </w:t>
      </w:r>
      <w:r w:rsidR="00D95B26" w:rsidRPr="007C4D65">
        <w:rPr>
          <w:rFonts w:asciiTheme="minorHAnsi" w:hAnsiTheme="minorHAnsi" w:cstheme="minorHAnsi"/>
          <w:sz w:val="22"/>
          <w:szCs w:val="22"/>
        </w:rPr>
        <w:t>environment</w:t>
      </w:r>
      <w:r w:rsidRPr="007C4D65">
        <w:rPr>
          <w:rFonts w:asciiTheme="minorHAnsi" w:hAnsiTheme="minorHAnsi" w:cstheme="minorHAnsi"/>
          <w:sz w:val="22"/>
          <w:szCs w:val="22"/>
        </w:rPr>
        <w:t xml:space="preserve">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and Herzegovina. On the other hand, there have been insufficient initiatives and engagement of the civil society organizations which </w:t>
      </w:r>
      <w:r w:rsidR="007B665D" w:rsidRPr="007C4D65">
        <w:rPr>
          <w:rFonts w:asciiTheme="minorHAnsi" w:hAnsiTheme="minorHAnsi" w:cstheme="minorHAnsi"/>
          <w:sz w:val="22"/>
          <w:szCs w:val="22"/>
        </w:rPr>
        <w:t>focus</w:t>
      </w:r>
      <w:r w:rsidRPr="007C4D65">
        <w:rPr>
          <w:rFonts w:asciiTheme="minorHAnsi" w:hAnsiTheme="minorHAnsi" w:cstheme="minorHAnsi"/>
          <w:sz w:val="22"/>
          <w:szCs w:val="22"/>
        </w:rPr>
        <w:t xml:space="preserve"> specific areas (such as women organisations, especially those gathering women from rural areas, youth organisations and those representing socially vulnerable groups)</w:t>
      </w:r>
      <w:r w:rsidR="00CB156B" w:rsidRPr="007C4D65">
        <w:rPr>
          <w:rFonts w:asciiTheme="minorHAnsi" w:hAnsiTheme="minorHAnsi" w:cstheme="minorHAnsi"/>
          <w:sz w:val="22"/>
          <w:szCs w:val="22"/>
        </w:rPr>
        <w:t>.</w:t>
      </w:r>
    </w:p>
    <w:p w14:paraId="36557D87" w14:textId="52D3B868"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w:t>
      </w:r>
      <w:r w:rsidR="001E6E20" w:rsidRPr="007C4D65">
        <w:rPr>
          <w:rFonts w:asciiTheme="minorHAnsi" w:hAnsiTheme="minorHAnsi" w:cstheme="minorHAnsi"/>
          <w:sz w:val="22"/>
          <w:szCs w:val="22"/>
        </w:rPr>
        <w:t>Federation Ministry</w:t>
      </w:r>
      <w:r w:rsidRPr="007C4D65">
        <w:rPr>
          <w:rFonts w:asciiTheme="minorHAnsi" w:hAnsiTheme="minorHAnsi" w:cstheme="minorHAnsi"/>
          <w:sz w:val="22"/>
          <w:szCs w:val="22"/>
        </w:rPr>
        <w:t xml:space="preserve"> of Environment and Tourism organises transparent consultations on key processes (SEA, EIA, environmental licencing</w:t>
      </w:r>
      <w:r w:rsidR="00CB156B" w:rsidRPr="007C4D65">
        <w:rPr>
          <w:rFonts w:asciiTheme="minorHAnsi" w:hAnsiTheme="minorHAnsi" w:cstheme="minorHAnsi"/>
          <w:sz w:val="22"/>
          <w:szCs w:val="22"/>
        </w:rPr>
        <w:t>)</w:t>
      </w:r>
      <w:r w:rsidRPr="007C4D65">
        <w:rPr>
          <w:rFonts w:asciiTheme="minorHAnsi" w:hAnsiTheme="minorHAnsi" w:cstheme="minorHAnsi"/>
          <w:sz w:val="22"/>
          <w:szCs w:val="22"/>
        </w:rPr>
        <w:t xml:space="preserve"> pursuant to the Law on Environmental Protection and other applicable regulations which require public scrutiny of the work of the institutions and public consultations. However, representatives of CSOs </w:t>
      </w:r>
      <w:r w:rsidRPr="007C4D65">
        <w:rPr>
          <w:rFonts w:asciiTheme="minorHAnsi" w:hAnsiTheme="minorHAnsi" w:cstheme="minorHAnsi"/>
          <w:b/>
          <w:sz w:val="22"/>
          <w:szCs w:val="22"/>
        </w:rPr>
        <w:t>are not satisfied with the level of public participation</w:t>
      </w:r>
      <w:r w:rsidRPr="007C4D65">
        <w:rPr>
          <w:rFonts w:asciiTheme="minorHAnsi" w:hAnsiTheme="minorHAnsi" w:cstheme="minorHAnsi"/>
          <w:sz w:val="22"/>
          <w:szCs w:val="22"/>
        </w:rPr>
        <w:t xml:space="preserve"> and the quality of public consultations in decision-making processes (especially the processes of environmental impact assessment, environmental permitting, preparation of </w:t>
      </w:r>
      <w:r w:rsidR="00B80FAD" w:rsidRPr="007C4D65">
        <w:rPr>
          <w:rFonts w:asciiTheme="minorHAnsi" w:hAnsiTheme="minorHAnsi" w:cstheme="minorHAnsi"/>
          <w:sz w:val="22"/>
          <w:szCs w:val="22"/>
        </w:rPr>
        <w:t>bylaw</w:t>
      </w:r>
      <w:r w:rsidRPr="007C4D65">
        <w:rPr>
          <w:rFonts w:asciiTheme="minorHAnsi" w:hAnsiTheme="minorHAnsi" w:cstheme="minorHAnsi"/>
          <w:sz w:val="22"/>
          <w:szCs w:val="22"/>
        </w:rPr>
        <w:t xml:space="preserve">s and other acts, etc.) Young people do not participate in </w:t>
      </w:r>
      <w:r w:rsidR="009F16BA" w:rsidRPr="007C4D65">
        <w:rPr>
          <w:rFonts w:asciiTheme="minorHAnsi" w:hAnsiTheme="minorHAnsi" w:cstheme="minorHAnsi"/>
          <w:sz w:val="22"/>
          <w:szCs w:val="22"/>
        </w:rPr>
        <w:t xml:space="preserve">decision-making </w:t>
      </w:r>
      <w:r w:rsidRPr="007C4D65">
        <w:rPr>
          <w:rFonts w:asciiTheme="minorHAnsi" w:hAnsiTheme="minorHAnsi" w:cstheme="minorHAnsi"/>
          <w:sz w:val="22"/>
          <w:szCs w:val="22"/>
        </w:rPr>
        <w:t>processes as required by the Law on Youth of Federation of BiH.</w:t>
      </w:r>
    </w:p>
    <w:p w14:paraId="08BD79C4" w14:textId="77777777" w:rsidR="00475238" w:rsidRPr="007C4D65" w:rsidRDefault="00475238" w:rsidP="00475238">
      <w:pPr>
        <w:spacing w:before="240" w:after="240" w:line="276" w:lineRule="auto"/>
        <w:jc w:val="both"/>
        <w:rPr>
          <w:rFonts w:asciiTheme="minorHAnsi" w:hAnsiTheme="minorHAnsi" w:cstheme="minorHAnsi"/>
          <w:b/>
          <w:sz w:val="22"/>
          <w:szCs w:val="22"/>
        </w:rPr>
      </w:pPr>
      <w:r w:rsidRPr="007C4D65">
        <w:rPr>
          <w:rFonts w:asciiTheme="minorHAnsi" w:hAnsiTheme="minorHAnsi" w:cstheme="minorHAnsi"/>
          <w:b/>
          <w:sz w:val="22"/>
          <w:szCs w:val="22"/>
        </w:rPr>
        <w:t>The above reasons lead to a conclusion that there is a need to raise the public awareness on the importance of environmental protection, and that they need to effectively engage in decision-making processes, which particularly applies to women, youth and socially vulnerable groups.</w:t>
      </w:r>
    </w:p>
    <w:p w14:paraId="67F4FFE2" w14:textId="77777777" w:rsidR="00475238" w:rsidRPr="007C4D65" w:rsidRDefault="00475238" w:rsidP="00475238">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szCs w:val="22"/>
          <w:u w:val="single"/>
        </w:rPr>
        <w:t>Monitoring and reporting</w:t>
      </w:r>
    </w:p>
    <w:p w14:paraId="3D097D55" w14:textId="17F31923"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Federation </w:t>
      </w:r>
      <w:r w:rsidR="0058588C" w:rsidRPr="007C4D65">
        <w:rPr>
          <w:rFonts w:asciiTheme="minorHAnsi" w:hAnsiTheme="minorHAnsi" w:cstheme="minorHAnsi"/>
          <w:sz w:val="22"/>
          <w:szCs w:val="22"/>
        </w:rPr>
        <w:t xml:space="preserve">of </w:t>
      </w:r>
      <w:r w:rsidRPr="007C4D65">
        <w:rPr>
          <w:rFonts w:asciiTheme="minorHAnsi" w:hAnsiTheme="minorHAnsi" w:cstheme="minorHAnsi"/>
          <w:sz w:val="22"/>
          <w:szCs w:val="22"/>
        </w:rPr>
        <w:t xml:space="preserve">BiH has not established an efficient system for data collection, communication and validation, and environmental reporting. More specifically, the legal requirement to establish a single environmental information system </w:t>
      </w:r>
      <w:r w:rsidR="007B665D" w:rsidRPr="007C4D65">
        <w:rPr>
          <w:rFonts w:asciiTheme="minorHAnsi" w:hAnsiTheme="minorHAnsi" w:cstheme="minorHAnsi"/>
          <w:sz w:val="22"/>
          <w:szCs w:val="22"/>
        </w:rPr>
        <w:t>laid</w:t>
      </w:r>
      <w:r w:rsidRPr="007C4D65">
        <w:rPr>
          <w:rFonts w:asciiTheme="minorHAnsi" w:hAnsiTheme="minorHAnsi" w:cstheme="minorHAnsi"/>
          <w:sz w:val="22"/>
          <w:szCs w:val="22"/>
        </w:rPr>
        <w:t xml:space="preserve"> down in the Law on Environmental Protection</w:t>
      </w:r>
      <w:r w:rsidR="007B665D" w:rsidRPr="007C4D65">
        <w:rPr>
          <w:rFonts w:asciiTheme="minorHAnsi" w:hAnsiTheme="minorHAnsi" w:cstheme="minorHAnsi"/>
          <w:sz w:val="22"/>
          <w:szCs w:val="22"/>
        </w:rPr>
        <w:t xml:space="preserve"> </w:t>
      </w:r>
      <w:r w:rsidRPr="007C4D65">
        <w:rPr>
          <w:rFonts w:asciiTheme="minorHAnsi" w:hAnsiTheme="minorHAnsi" w:cstheme="minorHAnsi"/>
          <w:sz w:val="22"/>
          <w:szCs w:val="22"/>
        </w:rPr>
        <w:t xml:space="preserve">has not been satisfied. The Federation of BiH has a practice of collecting data in some areas (air waste, </w:t>
      </w:r>
      <w:proofErr w:type="gramStart"/>
      <w:r w:rsidRPr="007C4D65">
        <w:rPr>
          <w:rFonts w:asciiTheme="minorHAnsi" w:hAnsiTheme="minorHAnsi" w:cstheme="minorHAnsi"/>
          <w:sz w:val="22"/>
          <w:szCs w:val="22"/>
        </w:rPr>
        <w:t>water,...</w:t>
      </w:r>
      <w:proofErr w:type="gramEnd"/>
      <w:r w:rsidRPr="007C4D65">
        <w:rPr>
          <w:rFonts w:asciiTheme="minorHAnsi" w:hAnsiTheme="minorHAnsi" w:cstheme="minorHAnsi"/>
          <w:sz w:val="22"/>
          <w:szCs w:val="22"/>
        </w:rPr>
        <w:t>) but the data is not integrated into a single system.</w:t>
      </w:r>
    </w:p>
    <w:p w14:paraId="3F5B3B95" w14:textId="054F2B23" w:rsidR="001257CD" w:rsidRPr="007C4D65" w:rsidRDefault="00475238" w:rsidP="00AE25FA">
      <w:pPr>
        <w:spacing w:line="276" w:lineRule="auto"/>
        <w:jc w:val="both"/>
        <w:rPr>
          <w:rFonts w:asciiTheme="minorHAnsi" w:hAnsiTheme="minorHAnsi" w:cstheme="minorHAnsi"/>
          <w:sz w:val="22"/>
          <w:szCs w:val="22"/>
          <w:lang w:val="hr-HR"/>
        </w:rPr>
      </w:pPr>
      <w:r w:rsidRPr="007C4D65">
        <w:rPr>
          <w:rFonts w:asciiTheme="minorHAnsi" w:hAnsiTheme="minorHAnsi" w:cstheme="minorHAnsi"/>
          <w:sz w:val="22"/>
          <w:szCs w:val="22"/>
        </w:rPr>
        <w:t xml:space="preserve">Several formal mechanisms for communication of data and information among the environmental institutions </w:t>
      </w:r>
      <w:r w:rsidR="007436F1" w:rsidRPr="007C4D65">
        <w:rPr>
          <w:rFonts w:asciiTheme="minorHAnsi" w:hAnsiTheme="minorHAnsi" w:cstheme="minorHAnsi"/>
          <w:sz w:val="22"/>
          <w:szCs w:val="22"/>
        </w:rPr>
        <w:t>in the Federation of BiH</w:t>
      </w:r>
      <w:r w:rsidRPr="007C4D65">
        <w:rPr>
          <w:rFonts w:asciiTheme="minorHAnsi" w:hAnsiTheme="minorHAnsi" w:cstheme="minorHAnsi"/>
          <w:sz w:val="22"/>
          <w:szCs w:val="22"/>
        </w:rPr>
        <w:t xml:space="preserve"> have been set up in the past years. The applicable legislation of the Federation of BiH was the basis to establish: the Waste Management Information System - in the Environmental Protection Fund of the Federation of Bosnia and Herzegovina; Water Information System - at the level of water basins (the </w:t>
      </w:r>
      <w:r w:rsidR="00571470" w:rsidRPr="007C4D65">
        <w:rPr>
          <w:rFonts w:asciiTheme="minorHAnsi" w:hAnsiTheme="minorHAnsi" w:cstheme="minorHAnsi"/>
          <w:sz w:val="22"/>
          <w:szCs w:val="22"/>
        </w:rPr>
        <w:t xml:space="preserve">Sava River Basin Agency </w:t>
      </w:r>
      <w:r w:rsidRPr="007C4D65">
        <w:rPr>
          <w:rFonts w:asciiTheme="minorHAnsi" w:hAnsiTheme="minorHAnsi" w:cstheme="minorHAnsi"/>
          <w:sz w:val="22"/>
          <w:szCs w:val="22"/>
        </w:rPr>
        <w:t xml:space="preserve">manages the system for the Sava River Basin, while the </w:t>
      </w:r>
      <w:r w:rsidR="000F35FA" w:rsidRPr="007C4D65">
        <w:rPr>
          <w:rFonts w:asciiTheme="minorHAnsi" w:hAnsiTheme="minorHAnsi" w:cstheme="minorHAnsi"/>
          <w:sz w:val="22"/>
          <w:szCs w:val="22"/>
        </w:rPr>
        <w:t xml:space="preserve">Adriatic Sea Watershed Agency </w:t>
      </w:r>
      <w:r w:rsidRPr="007C4D65">
        <w:rPr>
          <w:rFonts w:asciiTheme="minorHAnsi" w:hAnsiTheme="minorHAnsi" w:cstheme="minorHAnsi"/>
          <w:sz w:val="22"/>
          <w:szCs w:val="22"/>
        </w:rPr>
        <w:t>manages the system for the Adriatic Sea Basin).</w:t>
      </w:r>
      <w:r w:rsidRPr="007C4D65">
        <w:rPr>
          <w:rFonts w:asciiTheme="minorHAnsi" w:hAnsiTheme="minorHAnsi" w:cstheme="minorHAnsi"/>
          <w:sz w:val="22"/>
          <w:szCs w:val="22"/>
        </w:rPr>
        <w:cr/>
      </w:r>
    </w:p>
    <w:p w14:paraId="5C7F8A62" w14:textId="1DAD756F" w:rsidR="001257CD" w:rsidRPr="007C4D65" w:rsidRDefault="001257CD" w:rsidP="00AE25FA">
      <w:pPr>
        <w:spacing w:line="276" w:lineRule="auto"/>
        <w:jc w:val="both"/>
        <w:rPr>
          <w:rFonts w:asciiTheme="minorHAnsi" w:hAnsiTheme="minorHAnsi" w:cstheme="minorHAnsi"/>
          <w:sz w:val="22"/>
          <w:szCs w:val="22"/>
          <w:lang w:val="hr-HR"/>
        </w:rPr>
      </w:pPr>
      <w:r w:rsidRPr="007C4D65">
        <w:rPr>
          <w:rFonts w:asciiTheme="minorHAnsi" w:hAnsiTheme="minorHAnsi" w:cstheme="minorHAnsi"/>
          <w:sz w:val="22"/>
          <w:szCs w:val="22"/>
          <w:lang w:val="hr-HR"/>
        </w:rPr>
        <w:t>The Federation of BiH establihed several mechanisms for information and data exchange among the environmental institution.  The mechanisms established pursuant to the applicable laws</w:t>
      </w:r>
      <w:r w:rsidR="00CB156B" w:rsidRPr="007C4D65">
        <w:rPr>
          <w:rFonts w:asciiTheme="minorHAnsi" w:hAnsiTheme="minorHAnsi" w:cstheme="minorHAnsi"/>
          <w:sz w:val="22"/>
          <w:szCs w:val="22"/>
          <w:lang w:val="hr-HR"/>
        </w:rPr>
        <w:t xml:space="preserve"> </w:t>
      </w:r>
      <w:r w:rsidRPr="007C4D65">
        <w:rPr>
          <w:rFonts w:asciiTheme="minorHAnsi" w:hAnsiTheme="minorHAnsi" w:cstheme="minorHAnsi"/>
          <w:sz w:val="22"/>
          <w:szCs w:val="22"/>
          <w:lang w:val="hr-HR"/>
        </w:rPr>
        <w:t>include:</w:t>
      </w:r>
    </w:p>
    <w:p w14:paraId="23ECAED0" w14:textId="0D7CBF63" w:rsidR="001257CD" w:rsidRPr="007C4D65" w:rsidRDefault="001257CD" w:rsidP="001257CD">
      <w:pPr>
        <w:numPr>
          <w:ilvl w:val="0"/>
          <w:numId w:val="5"/>
        </w:numPr>
        <w:spacing w:before="240" w:after="240" w:line="276" w:lineRule="auto"/>
        <w:contextualSpacing/>
        <w:jc w:val="both"/>
        <w:rPr>
          <w:rFonts w:asciiTheme="minorHAnsi" w:hAnsiTheme="minorHAnsi" w:cstheme="minorHAnsi"/>
          <w:sz w:val="22"/>
          <w:szCs w:val="22"/>
          <w:lang w:val="hr-HR"/>
        </w:rPr>
      </w:pPr>
      <w:r w:rsidRPr="007C4D65">
        <w:rPr>
          <w:rFonts w:asciiTheme="minorHAnsi" w:hAnsiTheme="minorHAnsi" w:cstheme="minorHAnsi"/>
          <w:sz w:val="22"/>
          <w:szCs w:val="22"/>
          <w:lang w:val="hr-HR"/>
        </w:rPr>
        <w:t xml:space="preserve">Waste Management Information System ‒ in the Environmental Protection Fund of the Federation of BiH; </w:t>
      </w:r>
    </w:p>
    <w:p w14:paraId="49FB39E7" w14:textId="2188FFB0" w:rsidR="001257CD" w:rsidRPr="007C4D65" w:rsidRDefault="001257CD" w:rsidP="001257CD">
      <w:pPr>
        <w:numPr>
          <w:ilvl w:val="0"/>
          <w:numId w:val="5"/>
        </w:numPr>
        <w:spacing w:before="240" w:line="276" w:lineRule="auto"/>
        <w:contextualSpacing/>
        <w:jc w:val="both"/>
        <w:rPr>
          <w:rFonts w:asciiTheme="minorHAnsi" w:hAnsiTheme="minorHAnsi" w:cstheme="minorHAnsi"/>
          <w:sz w:val="22"/>
          <w:szCs w:val="22"/>
          <w:lang w:val="hr-HR"/>
        </w:rPr>
      </w:pPr>
      <w:r w:rsidRPr="007C4D65">
        <w:rPr>
          <w:rFonts w:asciiTheme="minorHAnsi" w:hAnsiTheme="minorHAnsi" w:cstheme="minorHAnsi"/>
          <w:sz w:val="22"/>
          <w:szCs w:val="22"/>
          <w:lang w:val="hr-HR"/>
        </w:rPr>
        <w:t xml:space="preserve">Water Information System ‒ at the level of the water basins (managed by the </w:t>
      </w:r>
      <w:r w:rsidR="00571470" w:rsidRPr="007C4D65">
        <w:rPr>
          <w:rFonts w:asciiTheme="minorHAnsi" w:hAnsiTheme="minorHAnsi" w:cstheme="minorHAnsi"/>
          <w:sz w:val="22"/>
          <w:szCs w:val="22"/>
          <w:lang w:val="hr-HR"/>
        </w:rPr>
        <w:t>Sava River Basin Agency</w:t>
      </w:r>
      <w:r w:rsidRPr="007C4D65">
        <w:rPr>
          <w:rFonts w:asciiTheme="minorHAnsi" w:hAnsiTheme="minorHAnsi" w:cstheme="minorHAnsi"/>
          <w:sz w:val="22"/>
          <w:szCs w:val="22"/>
          <w:lang w:val="hr-HR"/>
        </w:rPr>
        <w:t xml:space="preserve"> </w:t>
      </w:r>
      <w:r w:rsidR="00AE25FA" w:rsidRPr="007C4D65">
        <w:rPr>
          <w:rFonts w:asciiTheme="minorHAnsi" w:hAnsiTheme="minorHAnsi" w:cstheme="minorHAnsi"/>
          <w:sz w:val="22"/>
          <w:szCs w:val="22"/>
          <w:lang w:val="hr-HR"/>
        </w:rPr>
        <w:t xml:space="preserve">and the </w:t>
      </w:r>
      <w:r w:rsidR="000F35FA" w:rsidRPr="007C4D65">
        <w:rPr>
          <w:rFonts w:asciiTheme="minorHAnsi" w:hAnsiTheme="minorHAnsi" w:cstheme="minorHAnsi"/>
          <w:sz w:val="22"/>
          <w:szCs w:val="22"/>
          <w:lang w:val="hr-HR"/>
        </w:rPr>
        <w:t xml:space="preserve">Adriatic Sea Watershed Agency </w:t>
      </w:r>
      <w:r w:rsidR="00AE25FA" w:rsidRPr="007C4D65">
        <w:rPr>
          <w:rFonts w:asciiTheme="minorHAnsi" w:hAnsiTheme="minorHAnsi" w:cstheme="minorHAnsi"/>
          <w:sz w:val="22"/>
          <w:szCs w:val="22"/>
          <w:lang w:val="hr-HR"/>
        </w:rPr>
        <w:t>respectively</w:t>
      </w:r>
      <w:r w:rsidRPr="007C4D65">
        <w:rPr>
          <w:rFonts w:asciiTheme="minorHAnsi" w:hAnsiTheme="minorHAnsi" w:cstheme="minorHAnsi"/>
          <w:sz w:val="22"/>
          <w:szCs w:val="22"/>
          <w:lang w:val="hr-HR"/>
        </w:rPr>
        <w:t>).</w:t>
      </w:r>
    </w:p>
    <w:p w14:paraId="0990AAE6" w14:textId="227EEB8F"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Under the new Law on Environmental Protection, the development, management and coordination of the single environmental protection information system in the Federation is the responsibility of the </w:t>
      </w:r>
      <w:r w:rsidR="001E6E20" w:rsidRPr="007C4D65">
        <w:rPr>
          <w:rFonts w:asciiTheme="minorHAnsi" w:hAnsiTheme="minorHAnsi" w:cstheme="minorHAnsi"/>
          <w:sz w:val="22"/>
          <w:szCs w:val="22"/>
        </w:rPr>
        <w:t>Federation Ministry</w:t>
      </w:r>
      <w:r w:rsidRPr="007C4D65">
        <w:rPr>
          <w:rFonts w:asciiTheme="minorHAnsi" w:hAnsiTheme="minorHAnsi" w:cstheme="minorHAnsi"/>
          <w:sz w:val="22"/>
          <w:szCs w:val="22"/>
        </w:rPr>
        <w:t xml:space="preserve"> of Environment and Tourism in cooperation with the Environmental Protection Fund of the Federation of BiH. A conclusion of the Government of the Federation of BiH </w:t>
      </w:r>
      <w:r w:rsidRPr="007C4D65">
        <w:rPr>
          <w:rFonts w:asciiTheme="minorHAnsi" w:hAnsiTheme="minorHAnsi" w:cstheme="minorHAnsi"/>
          <w:sz w:val="22"/>
          <w:szCs w:val="22"/>
        </w:rPr>
        <w:lastRenderedPageBreak/>
        <w:t>from its 170</w:t>
      </w:r>
      <w:r w:rsidRPr="007C4D65">
        <w:rPr>
          <w:rFonts w:asciiTheme="minorHAnsi" w:hAnsiTheme="minorHAnsi" w:cstheme="minorHAnsi"/>
          <w:sz w:val="22"/>
          <w:szCs w:val="22"/>
          <w:vertAlign w:val="superscript"/>
        </w:rPr>
        <w:t>th</w:t>
      </w:r>
      <w:r w:rsidRPr="007C4D65">
        <w:rPr>
          <w:rFonts w:asciiTheme="minorHAnsi" w:hAnsiTheme="minorHAnsi" w:cstheme="minorHAnsi"/>
          <w:sz w:val="22"/>
          <w:szCs w:val="22"/>
        </w:rPr>
        <w:t xml:space="preserve"> </w:t>
      </w:r>
      <w:r w:rsidR="00AE25FA" w:rsidRPr="007C4D65">
        <w:rPr>
          <w:rFonts w:asciiTheme="minorHAnsi" w:hAnsiTheme="minorHAnsi" w:cstheme="minorHAnsi"/>
          <w:sz w:val="22"/>
          <w:szCs w:val="22"/>
        </w:rPr>
        <w:t>session</w:t>
      </w:r>
      <w:r w:rsidRPr="007C4D65">
        <w:rPr>
          <w:rFonts w:asciiTheme="minorHAnsi" w:hAnsiTheme="minorHAnsi" w:cstheme="minorHAnsi"/>
          <w:sz w:val="22"/>
          <w:szCs w:val="22"/>
        </w:rPr>
        <w:t xml:space="preserve"> (of 28.01.2019) determined that the development of the environmental protection and nature information system shall be the responsibility of the Environmental Protection Fund of the Federation of BiH, and that the competent institutions of the Federation, which possess specific data and information on environmental components (air, water, land/soil, nature, waste management) are required to routinely provide such date to the Environmental Protection Fund of the Federation of BiH for the purpose of their integration and establishment of a single information system, and the preparation of periodical reports on the state of environment.</w:t>
      </w:r>
    </w:p>
    <w:p w14:paraId="0DF8F80D" w14:textId="3AC0E735" w:rsidR="00475238" w:rsidRPr="007C4D65" w:rsidRDefault="00475238" w:rsidP="00475238">
      <w:pPr>
        <w:spacing w:line="276" w:lineRule="auto"/>
        <w:rPr>
          <w:rFonts w:asciiTheme="minorHAnsi" w:hAnsiTheme="minorHAnsi" w:cstheme="minorHAnsi"/>
          <w:b/>
          <w:i/>
          <w:iCs/>
          <w:sz w:val="20"/>
          <w:szCs w:val="20"/>
        </w:rPr>
      </w:pPr>
      <w:bookmarkStart w:id="203" w:name="_Toc116539036"/>
      <w:bookmarkStart w:id="204" w:name="_Toc117011603"/>
      <w:r w:rsidRPr="007C4D65">
        <w:rPr>
          <w:rFonts w:asciiTheme="minorHAnsi" w:hAnsiTheme="minorHAnsi" w:cstheme="minorHAnsi"/>
          <w:b/>
          <w:i/>
          <w:color w:val="000000" w:themeColor="text1"/>
          <w:sz w:val="20"/>
        </w:rPr>
        <w:t xml:space="preserve">Table </w:t>
      </w:r>
      <w:r w:rsidR="005D60DA" w:rsidRPr="007C4D65">
        <w:rPr>
          <w:rFonts w:asciiTheme="minorHAnsi" w:hAnsiTheme="minorHAnsi" w:cstheme="minorHAnsi"/>
          <w:b/>
          <w:i/>
          <w:sz w:val="20"/>
          <w:szCs w:val="20"/>
          <w:lang w:val="hr-HR"/>
        </w:rPr>
        <w:fldChar w:fldCharType="begin"/>
      </w:r>
      <w:r w:rsidR="005D60DA" w:rsidRPr="007C4D65">
        <w:rPr>
          <w:rFonts w:asciiTheme="minorHAnsi" w:hAnsiTheme="minorHAnsi" w:cstheme="minorHAnsi"/>
          <w:b/>
          <w:i/>
          <w:sz w:val="20"/>
          <w:szCs w:val="20"/>
          <w:lang w:val="hr-HR"/>
        </w:rPr>
        <w:instrText xml:space="preserve"> SEQ Tabela \* ARABIC </w:instrText>
      </w:r>
      <w:r w:rsidR="005D60DA" w:rsidRPr="007C4D65">
        <w:rPr>
          <w:rFonts w:asciiTheme="minorHAnsi" w:hAnsiTheme="minorHAnsi" w:cstheme="minorHAnsi"/>
          <w:b/>
          <w:i/>
          <w:sz w:val="20"/>
          <w:szCs w:val="20"/>
          <w:lang w:val="hr-HR"/>
        </w:rPr>
        <w:fldChar w:fldCharType="separate"/>
      </w:r>
      <w:r w:rsidR="005D60DA" w:rsidRPr="007C4D65">
        <w:rPr>
          <w:rFonts w:asciiTheme="minorHAnsi" w:hAnsiTheme="minorHAnsi" w:cstheme="minorHAnsi"/>
          <w:b/>
          <w:i/>
          <w:noProof/>
          <w:sz w:val="20"/>
          <w:szCs w:val="20"/>
          <w:lang w:val="hr-HR"/>
        </w:rPr>
        <w:t>24</w:t>
      </w:r>
      <w:r w:rsidR="005D60DA" w:rsidRPr="007C4D65">
        <w:rPr>
          <w:rFonts w:asciiTheme="minorHAnsi" w:hAnsiTheme="minorHAnsi" w:cstheme="minorHAnsi"/>
          <w:b/>
          <w:i/>
          <w:sz w:val="20"/>
          <w:szCs w:val="20"/>
          <w:lang w:val="hr-HR"/>
        </w:rPr>
        <w:fldChar w:fldCharType="end"/>
      </w:r>
      <w:r w:rsidRPr="007C4D65">
        <w:rPr>
          <w:rFonts w:asciiTheme="minorHAnsi" w:hAnsiTheme="minorHAnsi" w:cstheme="minorHAnsi"/>
          <w:b/>
        </w:rPr>
        <w:t>:</w:t>
      </w:r>
      <w:r w:rsidRPr="007C4D65">
        <w:rPr>
          <w:rFonts w:asciiTheme="minorHAnsi" w:hAnsiTheme="minorHAnsi" w:cstheme="minorHAnsi"/>
          <w:b/>
          <w:i/>
          <w:color w:val="000000" w:themeColor="text1"/>
          <w:sz w:val="20"/>
        </w:rPr>
        <w:t xml:space="preserve"> </w:t>
      </w:r>
      <w:r w:rsidRPr="007C4D65">
        <w:rPr>
          <w:rFonts w:asciiTheme="minorHAnsi" w:hAnsiTheme="minorHAnsi" w:cstheme="minorHAnsi"/>
          <w:i/>
          <w:color w:val="000000" w:themeColor="text1"/>
          <w:sz w:val="20"/>
        </w:rPr>
        <w:t>Responsibilities for environmental data collection in the Federation of BiH</w:t>
      </w:r>
      <w:bookmarkEnd w:id="203"/>
      <w:bookmarkEnd w:id="204"/>
    </w:p>
    <w:tbl>
      <w:tblPr>
        <w:tblW w:w="489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2333"/>
        <w:gridCol w:w="6485"/>
      </w:tblGrid>
      <w:tr w:rsidR="00475238" w:rsidRPr="007C4D65" w14:paraId="6A659A3B" w14:textId="77777777" w:rsidTr="00B6017F">
        <w:trPr>
          <w:trHeight w:val="323"/>
          <w:tblHeader/>
        </w:trPr>
        <w:tc>
          <w:tcPr>
            <w:tcW w:w="5000" w:type="pct"/>
            <w:gridSpan w:val="2"/>
            <w:shd w:val="clear" w:color="auto" w:fill="009D73"/>
            <w:vAlign w:val="center"/>
          </w:tcPr>
          <w:p w14:paraId="2350B612" w14:textId="77777777" w:rsidR="00475238" w:rsidRPr="007C4D65" w:rsidRDefault="00475238"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Responsibilities for environmental data collection in the Federation of BiH</w:t>
            </w:r>
          </w:p>
        </w:tc>
      </w:tr>
      <w:tr w:rsidR="00475238" w:rsidRPr="007C4D65" w14:paraId="4A7C43BC" w14:textId="77777777" w:rsidTr="00B6017F">
        <w:trPr>
          <w:trHeight w:val="323"/>
          <w:tblHeader/>
        </w:trPr>
        <w:tc>
          <w:tcPr>
            <w:tcW w:w="1323" w:type="pct"/>
            <w:shd w:val="clear" w:color="auto" w:fill="009D73"/>
            <w:vAlign w:val="center"/>
            <w:hideMark/>
          </w:tcPr>
          <w:p w14:paraId="56DAA8C7" w14:textId="77777777" w:rsidR="00475238" w:rsidRPr="007C4D65" w:rsidRDefault="00475238"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Responsible institution</w:t>
            </w:r>
          </w:p>
        </w:tc>
        <w:tc>
          <w:tcPr>
            <w:tcW w:w="3677" w:type="pct"/>
            <w:shd w:val="clear" w:color="auto" w:fill="009D73"/>
            <w:vAlign w:val="center"/>
            <w:hideMark/>
          </w:tcPr>
          <w:p w14:paraId="1D89CCA3" w14:textId="77777777" w:rsidR="00475238" w:rsidRPr="007C4D65" w:rsidRDefault="00475238"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Legal obligations in the domain of data collection</w:t>
            </w:r>
          </w:p>
        </w:tc>
      </w:tr>
      <w:tr w:rsidR="00475238" w:rsidRPr="007C4D65" w14:paraId="61ED261E" w14:textId="77777777" w:rsidTr="00B6017F">
        <w:trPr>
          <w:trHeight w:val="391"/>
        </w:trPr>
        <w:tc>
          <w:tcPr>
            <w:tcW w:w="1323" w:type="pct"/>
            <w:vAlign w:val="center"/>
            <w:hideMark/>
          </w:tcPr>
          <w:p w14:paraId="1C3F57D2" w14:textId="736012D5" w:rsidR="00475238" w:rsidRPr="007C4D65" w:rsidRDefault="001E6E20" w:rsidP="00B6017F">
            <w:pPr>
              <w:spacing w:line="276" w:lineRule="auto"/>
              <w:rPr>
                <w:rFonts w:asciiTheme="minorHAnsi" w:hAnsiTheme="minorHAnsi" w:cstheme="minorHAnsi"/>
                <w:sz w:val="18"/>
                <w:szCs w:val="18"/>
              </w:rPr>
            </w:pPr>
            <w:r w:rsidRPr="007C4D65">
              <w:rPr>
                <w:rFonts w:asciiTheme="minorHAnsi" w:hAnsiTheme="minorHAnsi" w:cstheme="minorHAnsi"/>
                <w:sz w:val="18"/>
              </w:rPr>
              <w:t>Federation Ministry</w:t>
            </w:r>
            <w:r w:rsidR="00475238" w:rsidRPr="007C4D65">
              <w:rPr>
                <w:rFonts w:asciiTheme="minorHAnsi" w:hAnsiTheme="minorHAnsi" w:cstheme="minorHAnsi"/>
                <w:sz w:val="18"/>
              </w:rPr>
              <w:t xml:space="preserve"> of Environment and Tourism</w:t>
            </w:r>
          </w:p>
        </w:tc>
        <w:tc>
          <w:tcPr>
            <w:tcW w:w="3677" w:type="pct"/>
            <w:vAlign w:val="center"/>
            <w:hideMark/>
          </w:tcPr>
          <w:p w14:paraId="4518C292" w14:textId="75775118" w:rsidR="00475238" w:rsidRPr="007C4D65" w:rsidRDefault="00475238"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Monitoring, analysis and evaluation of the state of environment, collection and compilation of environmental data and information and management of the environmental reporting and information system in the Federation of BiH, keeping the register of polluters and pollution of all the environmental media, maintaining of relevant environmental </w:t>
            </w:r>
            <w:r w:rsidR="00AE25FA" w:rsidRPr="007C4D65">
              <w:rPr>
                <w:rFonts w:asciiTheme="minorHAnsi" w:hAnsiTheme="minorHAnsi" w:cstheme="minorHAnsi"/>
                <w:sz w:val="18"/>
              </w:rPr>
              <w:t>databases</w:t>
            </w:r>
            <w:r w:rsidRPr="007C4D65">
              <w:rPr>
                <w:rFonts w:asciiTheme="minorHAnsi" w:hAnsiTheme="minorHAnsi" w:cstheme="minorHAnsi"/>
                <w:sz w:val="18"/>
              </w:rPr>
              <w:t>, and registration in the Eco-management and Audit Scheme EMAS, preparing reports on the state of environment (pursuant to the Law on Environmental Protection of the Federation of BiH)</w:t>
            </w:r>
          </w:p>
        </w:tc>
      </w:tr>
      <w:tr w:rsidR="00475238" w:rsidRPr="007C4D65" w14:paraId="28D8540D" w14:textId="77777777" w:rsidTr="00B6017F">
        <w:trPr>
          <w:trHeight w:val="391"/>
        </w:trPr>
        <w:tc>
          <w:tcPr>
            <w:tcW w:w="1323" w:type="pct"/>
            <w:vAlign w:val="center"/>
            <w:hideMark/>
          </w:tcPr>
          <w:p w14:paraId="61DC26E3" w14:textId="0B76DABF" w:rsidR="00475238" w:rsidRPr="007C4D65" w:rsidRDefault="00AE25FA" w:rsidP="00B6017F">
            <w:pPr>
              <w:spacing w:line="276" w:lineRule="auto"/>
              <w:rPr>
                <w:rFonts w:asciiTheme="minorHAnsi" w:hAnsiTheme="minorHAnsi" w:cstheme="minorHAnsi"/>
                <w:sz w:val="18"/>
                <w:szCs w:val="18"/>
              </w:rPr>
            </w:pPr>
            <w:proofErr w:type="gramStart"/>
            <w:r w:rsidRPr="007C4D65">
              <w:rPr>
                <w:rFonts w:asciiTheme="minorHAnsi" w:hAnsiTheme="minorHAnsi" w:cstheme="minorHAnsi"/>
                <w:sz w:val="18"/>
              </w:rPr>
              <w:t>Institute</w:t>
            </w:r>
            <w:r w:rsidR="00475238" w:rsidRPr="007C4D65">
              <w:rPr>
                <w:rFonts w:asciiTheme="minorHAnsi" w:hAnsiTheme="minorHAnsi" w:cstheme="minorHAnsi"/>
                <w:sz w:val="18"/>
              </w:rPr>
              <w:t xml:space="preserve">  for</w:t>
            </w:r>
            <w:proofErr w:type="gramEnd"/>
            <w:r w:rsidR="00475238" w:rsidRPr="007C4D65">
              <w:rPr>
                <w:rFonts w:asciiTheme="minorHAnsi" w:hAnsiTheme="minorHAnsi" w:cstheme="minorHAnsi"/>
                <w:sz w:val="18"/>
              </w:rPr>
              <w:t xml:space="preserve"> Statistics of the Federation of BiH</w:t>
            </w:r>
          </w:p>
        </w:tc>
        <w:tc>
          <w:tcPr>
            <w:tcW w:w="3677" w:type="pct"/>
            <w:vAlign w:val="center"/>
            <w:hideMark/>
          </w:tcPr>
          <w:p w14:paraId="55CCB213" w14:textId="7C196652" w:rsidR="00475238" w:rsidRPr="007C4D65" w:rsidRDefault="00475238" w:rsidP="00B6017F">
            <w:pPr>
              <w:spacing w:line="276" w:lineRule="auto"/>
              <w:rPr>
                <w:rFonts w:asciiTheme="minorHAnsi" w:hAnsiTheme="minorHAnsi" w:cstheme="minorHAnsi"/>
                <w:sz w:val="18"/>
                <w:szCs w:val="18"/>
              </w:rPr>
            </w:pPr>
            <w:r w:rsidRPr="007C4D65">
              <w:rPr>
                <w:rFonts w:asciiTheme="minorHAnsi" w:hAnsiTheme="minorHAnsi" w:cstheme="minorHAnsi"/>
                <w:sz w:val="18"/>
              </w:rPr>
              <w:t>Carries out professional and other tasks falling in the competence of the Federation focusing on statistical surveys in the Federation, including the environment (pursuant to the Law on Ministries and Other Bodies of the Administration of the Federation of BiH)</w:t>
            </w:r>
          </w:p>
        </w:tc>
      </w:tr>
      <w:tr w:rsidR="00475238" w:rsidRPr="007C4D65" w14:paraId="459D64E2" w14:textId="77777777" w:rsidTr="00B6017F">
        <w:trPr>
          <w:trHeight w:val="391"/>
        </w:trPr>
        <w:tc>
          <w:tcPr>
            <w:tcW w:w="1323" w:type="pct"/>
            <w:vAlign w:val="center"/>
            <w:hideMark/>
          </w:tcPr>
          <w:p w14:paraId="0E1D45B3" w14:textId="77777777" w:rsidR="00475238" w:rsidRPr="007C4D65" w:rsidRDefault="00475238"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Environmental Protection Fund of the Federation of BiH </w:t>
            </w:r>
          </w:p>
        </w:tc>
        <w:tc>
          <w:tcPr>
            <w:tcW w:w="3677" w:type="pct"/>
            <w:vAlign w:val="center"/>
            <w:hideMark/>
          </w:tcPr>
          <w:p w14:paraId="1407A8BD" w14:textId="77777777" w:rsidR="00475238" w:rsidRPr="007C4D65" w:rsidRDefault="00475238" w:rsidP="00B6017F">
            <w:pPr>
              <w:spacing w:line="276" w:lineRule="auto"/>
              <w:rPr>
                <w:rFonts w:asciiTheme="minorHAnsi" w:hAnsiTheme="minorHAnsi" w:cstheme="minorHAnsi"/>
                <w:sz w:val="18"/>
                <w:szCs w:val="18"/>
              </w:rPr>
            </w:pPr>
            <w:r w:rsidRPr="007C4D65">
              <w:rPr>
                <w:rFonts w:asciiTheme="minorHAnsi" w:hAnsiTheme="minorHAnsi" w:cstheme="minorHAnsi"/>
                <w:sz w:val="18"/>
              </w:rPr>
              <w:t>It is responsible for:</w:t>
            </w:r>
          </w:p>
          <w:p w14:paraId="4C26E103" w14:textId="414A1D88" w:rsidR="00475238" w:rsidRPr="007C4D65" w:rsidRDefault="00475238" w:rsidP="00CB156B">
            <w:pPr>
              <w:numPr>
                <w:ilvl w:val="0"/>
                <w:numId w:val="191"/>
              </w:numPr>
              <w:spacing w:line="276" w:lineRule="auto"/>
              <w:ind w:left="391" w:hanging="283"/>
              <w:contextualSpacing/>
              <w:rPr>
                <w:rFonts w:asciiTheme="minorHAnsi" w:hAnsiTheme="minorHAnsi" w:cstheme="minorHAnsi"/>
                <w:sz w:val="18"/>
                <w:szCs w:val="18"/>
              </w:rPr>
            </w:pPr>
            <w:r w:rsidRPr="007C4D65">
              <w:rPr>
                <w:rFonts w:asciiTheme="minorHAnsi" w:hAnsiTheme="minorHAnsi" w:cstheme="minorHAnsi"/>
                <w:sz w:val="18"/>
              </w:rPr>
              <w:t>building, development, management a</w:t>
            </w:r>
            <w:r w:rsidR="00AE25FA" w:rsidRPr="007C4D65">
              <w:rPr>
                <w:rFonts w:asciiTheme="minorHAnsi" w:hAnsiTheme="minorHAnsi" w:cstheme="minorHAnsi"/>
                <w:sz w:val="18"/>
              </w:rPr>
              <w:t>n</w:t>
            </w:r>
            <w:r w:rsidRPr="007C4D65">
              <w:rPr>
                <w:rFonts w:asciiTheme="minorHAnsi" w:hAnsiTheme="minorHAnsi" w:cstheme="minorHAnsi"/>
                <w:sz w:val="18"/>
              </w:rPr>
              <w:t>d coordination of a common environmental system in the Federation of BiH (pursuant to the Law on Environmental Protection and Conclusion of the Government of the Federation of BiH of 28.01.2019)</w:t>
            </w:r>
          </w:p>
          <w:p w14:paraId="0A9307C2" w14:textId="4E5B7CBF" w:rsidR="00475238" w:rsidRPr="007C4D65" w:rsidRDefault="00475238">
            <w:pPr>
              <w:numPr>
                <w:ilvl w:val="0"/>
                <w:numId w:val="191"/>
              </w:numPr>
              <w:spacing w:line="276" w:lineRule="auto"/>
              <w:ind w:left="391" w:hanging="283"/>
              <w:contextualSpacing/>
              <w:rPr>
                <w:rFonts w:asciiTheme="minorHAnsi" w:hAnsiTheme="minorHAnsi" w:cstheme="minorHAnsi"/>
                <w:sz w:val="18"/>
                <w:szCs w:val="18"/>
              </w:rPr>
            </w:pPr>
            <w:r w:rsidRPr="007C4D65">
              <w:rPr>
                <w:rFonts w:asciiTheme="minorHAnsi" w:hAnsiTheme="minorHAnsi" w:cstheme="minorHAnsi"/>
                <w:sz w:val="18"/>
              </w:rPr>
              <w:t xml:space="preserve">building and development of the nature conservation information system pending the establishment of the Institute for Nature Conservation (pursuant to the Law on Nature </w:t>
            </w:r>
            <w:r w:rsidR="00AE25FA" w:rsidRPr="007C4D65">
              <w:rPr>
                <w:rFonts w:asciiTheme="minorHAnsi" w:hAnsiTheme="minorHAnsi" w:cstheme="minorHAnsi"/>
                <w:sz w:val="18"/>
              </w:rPr>
              <w:t>Conservation of</w:t>
            </w:r>
            <w:r w:rsidRPr="007C4D65">
              <w:rPr>
                <w:rFonts w:asciiTheme="minorHAnsi" w:hAnsiTheme="minorHAnsi" w:cstheme="minorHAnsi"/>
                <w:sz w:val="18"/>
              </w:rPr>
              <w:t xml:space="preserve"> the Federation of BiH and Conclusion of the Government of the Federation of BiH no. 146/2018 of o1.02.2018)  </w:t>
            </w:r>
          </w:p>
        </w:tc>
      </w:tr>
      <w:tr w:rsidR="00475238" w:rsidRPr="007C4D65" w14:paraId="2FE5C64E" w14:textId="77777777" w:rsidTr="00B6017F">
        <w:trPr>
          <w:trHeight w:val="391"/>
        </w:trPr>
        <w:tc>
          <w:tcPr>
            <w:tcW w:w="1323" w:type="pct"/>
            <w:vAlign w:val="center"/>
            <w:hideMark/>
          </w:tcPr>
          <w:p w14:paraId="42340FE9" w14:textId="7BD6F1DD" w:rsidR="00475238" w:rsidRPr="007C4D65" w:rsidRDefault="00475238" w:rsidP="00B6017F">
            <w:pPr>
              <w:spacing w:line="276" w:lineRule="auto"/>
              <w:rPr>
                <w:rFonts w:asciiTheme="minorHAnsi" w:hAnsiTheme="minorHAnsi" w:cstheme="minorHAnsi"/>
                <w:sz w:val="18"/>
                <w:szCs w:val="18"/>
              </w:rPr>
            </w:pPr>
            <w:r w:rsidRPr="007C4D65">
              <w:rPr>
                <w:rFonts w:asciiTheme="minorHAnsi" w:hAnsiTheme="minorHAnsi" w:cstheme="minorHAnsi"/>
                <w:sz w:val="18"/>
              </w:rPr>
              <w:t>Water Agencies of the Federation of BiH (</w:t>
            </w:r>
            <w:r w:rsidR="000F35FA" w:rsidRPr="007C4D65">
              <w:rPr>
                <w:rFonts w:asciiTheme="minorHAnsi" w:hAnsiTheme="minorHAnsi" w:cstheme="minorHAnsi"/>
                <w:iCs/>
                <w:sz w:val="18"/>
              </w:rPr>
              <w:t>Adriatic Sea Watershed Agency</w:t>
            </w:r>
            <w:r w:rsidRPr="007C4D65">
              <w:rPr>
                <w:rFonts w:asciiTheme="minorHAnsi" w:hAnsiTheme="minorHAnsi" w:cstheme="minorHAnsi"/>
                <w:sz w:val="18"/>
              </w:rPr>
              <w:t xml:space="preserve">, </w:t>
            </w:r>
            <w:r w:rsidR="00571470" w:rsidRPr="007C4D65">
              <w:rPr>
                <w:rFonts w:asciiTheme="minorHAnsi" w:hAnsiTheme="minorHAnsi" w:cstheme="minorHAnsi"/>
                <w:sz w:val="18"/>
              </w:rPr>
              <w:t>Sava River Basin Agency</w:t>
            </w:r>
            <w:r w:rsidRPr="007C4D65">
              <w:rPr>
                <w:rFonts w:asciiTheme="minorHAnsi" w:hAnsiTheme="minorHAnsi" w:cstheme="minorHAnsi"/>
                <w:sz w:val="18"/>
              </w:rPr>
              <w:t>)</w:t>
            </w:r>
          </w:p>
        </w:tc>
        <w:tc>
          <w:tcPr>
            <w:tcW w:w="3677" w:type="pct"/>
            <w:vAlign w:val="center"/>
            <w:hideMark/>
          </w:tcPr>
          <w:p w14:paraId="6253475E" w14:textId="7C8C00FB" w:rsidR="00475238" w:rsidRPr="007C4D65" w:rsidRDefault="00475238" w:rsidP="00B6017F">
            <w:pPr>
              <w:spacing w:line="276" w:lineRule="auto"/>
              <w:rPr>
                <w:rFonts w:asciiTheme="minorHAnsi" w:hAnsiTheme="minorHAnsi" w:cstheme="minorHAnsi"/>
                <w:sz w:val="18"/>
                <w:szCs w:val="18"/>
              </w:rPr>
            </w:pPr>
            <w:r w:rsidRPr="007C4D65">
              <w:rPr>
                <w:rFonts w:asciiTheme="minorHAnsi" w:hAnsiTheme="minorHAnsi" w:cstheme="minorHAnsi"/>
                <w:sz w:val="18"/>
              </w:rPr>
              <w:t>Organise hydrological monitoring and water quality monitoring, monitoring of ecological status of sur</w:t>
            </w:r>
            <w:r w:rsidR="001F7CB6" w:rsidRPr="007C4D65">
              <w:rPr>
                <w:rFonts w:asciiTheme="minorHAnsi" w:hAnsiTheme="minorHAnsi" w:cstheme="minorHAnsi"/>
                <w:sz w:val="18"/>
              </w:rPr>
              <w:t xml:space="preserve">face waters, monitoring of </w:t>
            </w:r>
            <w:r w:rsidRPr="007C4D65">
              <w:rPr>
                <w:rFonts w:asciiTheme="minorHAnsi" w:hAnsiTheme="minorHAnsi" w:cstheme="minorHAnsi"/>
                <w:sz w:val="18"/>
              </w:rPr>
              <w:t xml:space="preserve">ground water quality. Prepare reports on the status of water quality and recommend measures required for the achievement of objectives pertaining to water protection, water regulation and </w:t>
            </w:r>
            <w:r w:rsidR="00AE25FA" w:rsidRPr="007C4D65">
              <w:rPr>
                <w:rFonts w:asciiTheme="minorHAnsi" w:hAnsiTheme="minorHAnsi" w:cstheme="minorHAnsi"/>
                <w:sz w:val="18"/>
              </w:rPr>
              <w:t>protection</w:t>
            </w:r>
            <w:r w:rsidRPr="007C4D65">
              <w:rPr>
                <w:rFonts w:asciiTheme="minorHAnsi" w:hAnsiTheme="minorHAnsi" w:cstheme="minorHAnsi"/>
                <w:sz w:val="18"/>
              </w:rPr>
              <w:t xml:space="preserve"> from harmful effects of waters, and use of waters. Management of water information system is also one of their responsibilities (under the Law on Waters of the Federation of BiH)</w:t>
            </w:r>
          </w:p>
        </w:tc>
      </w:tr>
      <w:tr w:rsidR="00475238" w:rsidRPr="007C4D65" w14:paraId="2C49D929" w14:textId="77777777" w:rsidTr="00B6017F">
        <w:trPr>
          <w:trHeight w:val="391"/>
        </w:trPr>
        <w:tc>
          <w:tcPr>
            <w:tcW w:w="1323" w:type="pct"/>
            <w:vAlign w:val="center"/>
            <w:hideMark/>
          </w:tcPr>
          <w:p w14:paraId="1CF55A0E" w14:textId="77777777" w:rsidR="00475238" w:rsidRPr="007C4D65" w:rsidRDefault="00475238" w:rsidP="00B6017F">
            <w:pPr>
              <w:spacing w:line="276" w:lineRule="auto"/>
              <w:rPr>
                <w:rFonts w:asciiTheme="minorHAnsi" w:hAnsiTheme="minorHAnsi" w:cstheme="minorHAnsi"/>
                <w:sz w:val="18"/>
                <w:szCs w:val="18"/>
              </w:rPr>
            </w:pPr>
            <w:r w:rsidRPr="007C4D65">
              <w:rPr>
                <w:rFonts w:asciiTheme="minorHAnsi" w:hAnsiTheme="minorHAnsi" w:cstheme="minorHAnsi"/>
                <w:sz w:val="18"/>
              </w:rPr>
              <w:t>Hydrometeorological Institute of the Federation of BiH</w:t>
            </w:r>
          </w:p>
        </w:tc>
        <w:tc>
          <w:tcPr>
            <w:tcW w:w="3677" w:type="pct"/>
            <w:vAlign w:val="center"/>
            <w:hideMark/>
          </w:tcPr>
          <w:p w14:paraId="0B8C9C03" w14:textId="6CEC9E9B" w:rsidR="00475238" w:rsidRPr="007C4D65" w:rsidRDefault="00475238"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Responsible for development and management of the meteorological, hydrological and </w:t>
            </w:r>
            <w:r w:rsidR="00AE25FA" w:rsidRPr="007C4D65">
              <w:rPr>
                <w:rFonts w:asciiTheme="minorHAnsi" w:hAnsiTheme="minorHAnsi" w:cstheme="minorHAnsi"/>
                <w:sz w:val="18"/>
              </w:rPr>
              <w:t>seismological</w:t>
            </w:r>
            <w:r w:rsidRPr="007C4D65">
              <w:rPr>
                <w:rFonts w:asciiTheme="minorHAnsi" w:hAnsiTheme="minorHAnsi" w:cstheme="minorHAnsi"/>
                <w:sz w:val="18"/>
              </w:rPr>
              <w:t xml:space="preserve"> activities and environment quality,  research of the atmosphere, water resources, environment quality (air, water, soil) and </w:t>
            </w:r>
            <w:r w:rsidR="00AE25FA" w:rsidRPr="007C4D65">
              <w:rPr>
                <w:rFonts w:asciiTheme="minorHAnsi" w:hAnsiTheme="minorHAnsi" w:cstheme="minorHAnsi"/>
                <w:sz w:val="18"/>
              </w:rPr>
              <w:t>seismological</w:t>
            </w:r>
            <w:r w:rsidRPr="007C4D65">
              <w:rPr>
                <w:rFonts w:asciiTheme="minorHAnsi" w:hAnsiTheme="minorHAnsi" w:cstheme="minorHAnsi"/>
                <w:sz w:val="18"/>
              </w:rPr>
              <w:t xml:space="preserve"> </w:t>
            </w:r>
            <w:r w:rsidR="00AE25FA" w:rsidRPr="007C4D65">
              <w:rPr>
                <w:rFonts w:asciiTheme="minorHAnsi" w:hAnsiTheme="minorHAnsi" w:cstheme="minorHAnsi"/>
                <w:sz w:val="18"/>
              </w:rPr>
              <w:t>processes</w:t>
            </w:r>
            <w:r w:rsidRPr="007C4D65">
              <w:rPr>
                <w:rFonts w:asciiTheme="minorHAnsi" w:hAnsiTheme="minorHAnsi" w:cstheme="minorHAnsi"/>
                <w:sz w:val="18"/>
              </w:rPr>
              <w:t xml:space="preserve">; collection, processing and publication of data of interest for the Federation, and other tasks in the area of meteorology, hydrology, environmental quality and </w:t>
            </w:r>
            <w:r w:rsidR="00AE25FA" w:rsidRPr="007C4D65">
              <w:rPr>
                <w:rFonts w:asciiTheme="minorHAnsi" w:hAnsiTheme="minorHAnsi" w:cstheme="minorHAnsi"/>
                <w:sz w:val="18"/>
              </w:rPr>
              <w:t>seismology</w:t>
            </w:r>
            <w:r w:rsidRPr="007C4D65">
              <w:rPr>
                <w:rFonts w:asciiTheme="minorHAnsi" w:hAnsiTheme="minorHAnsi" w:cstheme="minorHAnsi"/>
                <w:sz w:val="18"/>
              </w:rPr>
              <w:t xml:space="preserve"> (under the Law on the Ministries of the Federation of BiH and Other Bodies of the Administration</w:t>
            </w:r>
          </w:p>
        </w:tc>
      </w:tr>
      <w:tr w:rsidR="00475238" w:rsidRPr="007C4D65" w14:paraId="5BDE3246" w14:textId="77777777" w:rsidTr="00B6017F">
        <w:trPr>
          <w:trHeight w:val="391"/>
        </w:trPr>
        <w:tc>
          <w:tcPr>
            <w:tcW w:w="1323" w:type="pct"/>
            <w:vAlign w:val="center"/>
            <w:hideMark/>
          </w:tcPr>
          <w:p w14:paraId="281CCAF8" w14:textId="77777777" w:rsidR="00475238" w:rsidRPr="007C4D65" w:rsidRDefault="00475238"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Institute of </w:t>
            </w:r>
            <w:proofErr w:type="spellStart"/>
            <w:r w:rsidRPr="007C4D65">
              <w:rPr>
                <w:rFonts w:asciiTheme="minorHAnsi" w:hAnsiTheme="minorHAnsi" w:cstheme="minorHAnsi"/>
                <w:sz w:val="18"/>
              </w:rPr>
              <w:t>Agropedology</w:t>
            </w:r>
            <w:proofErr w:type="spellEnd"/>
            <w:r w:rsidRPr="007C4D65">
              <w:rPr>
                <w:rFonts w:asciiTheme="minorHAnsi" w:hAnsiTheme="minorHAnsi" w:cstheme="minorHAnsi"/>
                <w:sz w:val="18"/>
              </w:rPr>
              <w:t xml:space="preserve"> of the Federation of BiH</w:t>
            </w:r>
          </w:p>
        </w:tc>
        <w:tc>
          <w:tcPr>
            <w:tcW w:w="3677" w:type="pct"/>
            <w:vAlign w:val="center"/>
            <w:hideMark/>
          </w:tcPr>
          <w:p w14:paraId="73A35419" w14:textId="4552CD25" w:rsidR="00475238" w:rsidRPr="007C4D65" w:rsidRDefault="00475238"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This institute carries out professional and other tasks falling in the competence </w:t>
            </w:r>
            <w:r w:rsidR="007436F1" w:rsidRPr="007C4D65">
              <w:rPr>
                <w:rFonts w:asciiTheme="minorHAnsi" w:hAnsiTheme="minorHAnsi" w:cstheme="minorHAnsi"/>
                <w:sz w:val="18"/>
              </w:rPr>
              <w:t>of the Federation of BiH</w:t>
            </w:r>
            <w:r w:rsidRPr="007C4D65">
              <w:rPr>
                <w:rFonts w:asciiTheme="minorHAnsi" w:hAnsiTheme="minorHAnsi" w:cstheme="minorHAnsi"/>
                <w:sz w:val="18"/>
              </w:rPr>
              <w:t xml:space="preserve"> and Herzegovina, which among other things pertain to: Monitoring the level of contamination of agricultural land by pollutants (</w:t>
            </w:r>
            <w:r w:rsidR="00AE25FA" w:rsidRPr="007C4D65">
              <w:rPr>
                <w:rFonts w:asciiTheme="minorHAnsi" w:hAnsiTheme="minorHAnsi" w:cstheme="minorHAnsi"/>
                <w:sz w:val="18"/>
              </w:rPr>
              <w:t>heavy</w:t>
            </w:r>
            <w:r w:rsidRPr="007C4D65">
              <w:rPr>
                <w:rFonts w:asciiTheme="minorHAnsi" w:hAnsiTheme="minorHAnsi" w:cstheme="minorHAnsi"/>
                <w:sz w:val="18"/>
              </w:rPr>
              <w:t xml:space="preserve"> metals), monitoring and building of the land information system, and record keeping on agricultural </w:t>
            </w:r>
            <w:proofErr w:type="gramStart"/>
            <w:r w:rsidRPr="007C4D65">
              <w:rPr>
                <w:rFonts w:asciiTheme="minorHAnsi" w:hAnsiTheme="minorHAnsi" w:cstheme="minorHAnsi"/>
                <w:sz w:val="18"/>
              </w:rPr>
              <w:t>land.(</w:t>
            </w:r>
            <w:proofErr w:type="gramEnd"/>
            <w:r w:rsidRPr="007C4D65">
              <w:rPr>
                <w:rFonts w:asciiTheme="minorHAnsi" w:hAnsiTheme="minorHAnsi" w:cstheme="minorHAnsi"/>
                <w:sz w:val="18"/>
              </w:rPr>
              <w:t>the Law on Ministries and Other Bodies of the Administration of the Federation of BiH)</w:t>
            </w:r>
          </w:p>
        </w:tc>
      </w:tr>
    </w:tbl>
    <w:p w14:paraId="763B968C" w14:textId="572BA7B6"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 xml:space="preserve">Also, the Federation of BiH has not defined standardised methodologies for data collection and communication, and statistical reporting in the environment sector. There are some individual (processes separate) systems for environmental data collection and reporting, but these are insufficient for adequate reporting in accordance with the international standards (reporting requirements of EEA, EUROSTAT, SDG, UNECE, and three Rio Conventions, etc.) The Federation of BiH has not adopted the list of indicators for monitoring of the state of environment based on the set of indicators from the Core Set of Indicators used by the European Environment Agency (CSI List) which should be used for official reporting purposes. In 2019, the Council of Ministers of Bosnia and Herzegovina adopted a List of </w:t>
      </w:r>
      <w:r w:rsidR="00AE25FA" w:rsidRPr="007C4D65">
        <w:rPr>
          <w:rFonts w:asciiTheme="minorHAnsi" w:hAnsiTheme="minorHAnsi" w:cstheme="minorHAnsi"/>
          <w:sz w:val="22"/>
        </w:rPr>
        <w:t>selected</w:t>
      </w:r>
      <w:r w:rsidRPr="007C4D65">
        <w:rPr>
          <w:rFonts w:asciiTheme="minorHAnsi" w:hAnsiTheme="minorHAnsi" w:cstheme="minorHAnsi"/>
          <w:sz w:val="22"/>
        </w:rPr>
        <w:t xml:space="preserve"> environmental indicators in BiH which was </w:t>
      </w:r>
      <w:r w:rsidR="00AE25FA" w:rsidRPr="007C4D65">
        <w:rPr>
          <w:rFonts w:asciiTheme="minorHAnsi" w:hAnsiTheme="minorHAnsi" w:cstheme="minorHAnsi"/>
          <w:sz w:val="22"/>
        </w:rPr>
        <w:t>prepared</w:t>
      </w:r>
      <w:r w:rsidRPr="007C4D65">
        <w:rPr>
          <w:rFonts w:asciiTheme="minorHAnsi" w:hAnsiTheme="minorHAnsi" w:cstheme="minorHAnsi"/>
          <w:sz w:val="22"/>
        </w:rPr>
        <w:t xml:space="preserve"> </w:t>
      </w:r>
      <w:proofErr w:type="gramStart"/>
      <w:r w:rsidRPr="007C4D65">
        <w:rPr>
          <w:rFonts w:asciiTheme="minorHAnsi" w:hAnsiTheme="minorHAnsi" w:cstheme="minorHAnsi"/>
          <w:sz w:val="22"/>
        </w:rPr>
        <w:t>on the basis of</w:t>
      </w:r>
      <w:proofErr w:type="gramEnd"/>
      <w:r w:rsidRPr="007C4D65">
        <w:rPr>
          <w:rFonts w:asciiTheme="minorHAnsi" w:hAnsiTheme="minorHAnsi" w:cstheme="minorHAnsi"/>
          <w:sz w:val="22"/>
        </w:rPr>
        <w:t xml:space="preserve"> the indicators used for reporting under the three Rio conventions.</w:t>
      </w:r>
      <w:r w:rsidRPr="007C4D65">
        <w:rPr>
          <w:rFonts w:asciiTheme="minorHAnsi" w:hAnsiTheme="minorHAnsi" w:cstheme="minorHAnsi"/>
          <w:sz w:val="22"/>
          <w:szCs w:val="22"/>
          <w:vertAlign w:val="superscript"/>
          <w:lang w:val="hr-HR"/>
        </w:rPr>
        <w:footnoteReference w:id="24"/>
      </w:r>
      <w:r w:rsidRPr="007C4D65">
        <w:rPr>
          <w:rFonts w:asciiTheme="minorHAnsi" w:hAnsiTheme="minorHAnsi" w:cstheme="minorHAnsi"/>
          <w:sz w:val="22"/>
        </w:rPr>
        <w:t>. The list of selected environmental indicators, which was adopted, contains 59 indicators classified by thematic areas (biodiversity, land degradation, air quality, and climate change). These were assessed as relevant for the environmental performance monitoring in BiH.</w:t>
      </w:r>
    </w:p>
    <w:p w14:paraId="670B6102" w14:textId="00E9690E"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While BiH Hercegovina adopted the Framework for the implementation of the sustainable development goals in 2021</w:t>
      </w:r>
      <w:r w:rsidR="00AE25FA" w:rsidRPr="007C4D65">
        <w:rPr>
          <w:rFonts w:asciiTheme="minorHAnsi" w:hAnsiTheme="minorHAnsi" w:cstheme="minorHAnsi"/>
          <w:sz w:val="22"/>
          <w:szCs w:val="22"/>
          <w:vertAlign w:val="superscript"/>
        </w:rPr>
        <w:t xml:space="preserve"> </w:t>
      </w:r>
      <w:r w:rsidRPr="007C4D65">
        <w:rPr>
          <w:rFonts w:asciiTheme="minorHAnsi" w:hAnsiTheme="minorHAnsi" w:cstheme="minorHAnsi"/>
          <w:sz w:val="22"/>
          <w:szCs w:val="22"/>
          <w:vertAlign w:val="superscript"/>
        </w:rPr>
        <w:fldChar w:fldCharType="begin"/>
      </w:r>
      <w:r w:rsidRPr="007C4D65">
        <w:rPr>
          <w:rFonts w:asciiTheme="minorHAnsi" w:hAnsiTheme="minorHAnsi" w:cstheme="minorHAnsi"/>
          <w:sz w:val="22"/>
          <w:szCs w:val="22"/>
          <w:vertAlign w:val="superscript"/>
        </w:rPr>
        <w:instrText xml:space="preserve"> ADDIN ZOTERO_ITEM CSL_CITATION {"citationID":"fwBVzKlS","properties":{"formattedCitation":"(Vlada \\uc0\\u352{}vedske and UNDP 2020)","plainCitation":"(Vlada Švedske and UNDP 2020)","dontUpdate":true,"noteIndex":0},"citationItems":[{"id":1554,"uris":["http://zotero.org/users/7192877/items/5L2ABTB4"],"itemData":{"id":1554,"type":"document","title":"Okvir za realizaciju ciljeva održivog razvoja u BiH","URL":"https://zamisli2030.ba/wp-content/uploads/2019/12/Okvir-za-realizaciju-Ciljeva-odrzivog-razvoja-u-BiH-latinica.pdf","author":[{"family":"Vlada Švedske","given":""},{"family":"UNDP","given":""}],"issued":{"date-parts":[["2020"]]}}}],"schema":"https://github.com/citation-style-language/schema/raw/master/csl-citation.json"} </w:instrText>
      </w:r>
      <w:r w:rsidRPr="007C4D65">
        <w:rPr>
          <w:rFonts w:asciiTheme="minorHAnsi" w:hAnsiTheme="minorHAnsi" w:cstheme="minorHAnsi"/>
          <w:sz w:val="22"/>
          <w:szCs w:val="22"/>
          <w:vertAlign w:val="superscript"/>
        </w:rPr>
        <w:fldChar w:fldCharType="separate"/>
      </w:r>
      <w:r w:rsidRPr="007C4D65">
        <w:rPr>
          <w:rFonts w:asciiTheme="minorHAnsi" w:hAnsiTheme="minorHAnsi" w:cstheme="minorHAnsi"/>
          <w:sz w:val="22"/>
          <w:szCs w:val="22"/>
        </w:rPr>
        <w:t>(</w:t>
      </w:r>
      <w:r w:rsidR="00AE25FA" w:rsidRPr="007C4D65">
        <w:rPr>
          <w:rFonts w:asciiTheme="minorHAnsi" w:hAnsiTheme="minorHAnsi" w:cstheme="minorHAnsi"/>
          <w:sz w:val="22"/>
          <w:szCs w:val="22"/>
        </w:rPr>
        <w:t>Government of Sweden and UNDP</w:t>
      </w:r>
      <w:r w:rsidRPr="007C4D65">
        <w:rPr>
          <w:rFonts w:asciiTheme="minorHAnsi" w:hAnsiTheme="minorHAnsi" w:cstheme="minorHAnsi"/>
          <w:sz w:val="22"/>
          <w:szCs w:val="22"/>
        </w:rPr>
        <w:t>, 2020)</w:t>
      </w:r>
      <w:r w:rsidRPr="007C4D65">
        <w:rPr>
          <w:rFonts w:asciiTheme="minorHAnsi" w:hAnsiTheme="minorHAnsi" w:cstheme="minorHAnsi"/>
          <w:sz w:val="22"/>
          <w:szCs w:val="22"/>
          <w:vertAlign w:val="superscript"/>
        </w:rPr>
        <w:fldChar w:fldCharType="end"/>
      </w:r>
      <w:r w:rsidRPr="007C4D65">
        <w:rPr>
          <w:rFonts w:asciiTheme="minorHAnsi" w:hAnsiTheme="minorHAnsi" w:cstheme="minorHAnsi"/>
          <w:sz w:val="22"/>
          <w:szCs w:val="22"/>
        </w:rPr>
        <w:t>, the Federation of BiH did not develop adequate statistics for monitoring of the sustainable development goals in this entity. Furthermore, neither BiH nor the Federation of BiH have adopted the European Environmental Economic Accounts in accordance with the Decree (EU) no. 691/2011 on the European Environmental Economic Accounts which laid down a common legal framework for collection, preparation, communication and evaluation of the European Environmental Economic Accounts</w:t>
      </w:r>
      <w:r w:rsidR="00CB156B" w:rsidRPr="007C4D65">
        <w:rPr>
          <w:rFonts w:asciiTheme="minorHAnsi" w:hAnsiTheme="minorHAnsi" w:cstheme="minorHAnsi"/>
          <w:sz w:val="22"/>
          <w:szCs w:val="22"/>
        </w:rPr>
        <w:t>.</w:t>
      </w:r>
    </w:p>
    <w:p w14:paraId="3A957626" w14:textId="156FFEFA"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Obstacles which impede the collection of environmental data identified </w:t>
      </w:r>
      <w:r w:rsidR="007436F1" w:rsidRPr="007C4D65">
        <w:rPr>
          <w:rFonts w:asciiTheme="minorHAnsi" w:hAnsiTheme="minorHAnsi" w:cstheme="minorHAnsi"/>
          <w:sz w:val="22"/>
        </w:rPr>
        <w:t>in the Federation of BiH</w:t>
      </w:r>
      <w:r w:rsidRPr="007C4D65">
        <w:rPr>
          <w:rFonts w:asciiTheme="minorHAnsi" w:hAnsiTheme="minorHAnsi" w:cstheme="minorHAnsi"/>
          <w:sz w:val="22"/>
        </w:rPr>
        <w:t xml:space="preserve"> are associated with a lack of trained staff and resources for a continued improvement of monitoring and the fact that accredited laboratories</w:t>
      </w:r>
      <w:r w:rsidRPr="007C4D65">
        <w:rPr>
          <w:rFonts w:asciiTheme="minorHAnsi" w:hAnsiTheme="minorHAnsi" w:cstheme="minorHAnsi"/>
          <w:sz w:val="22"/>
          <w:szCs w:val="22"/>
          <w:vertAlign w:val="superscript"/>
          <w:lang w:val="hr-HR"/>
        </w:rPr>
        <w:footnoteReference w:id="25"/>
      </w:r>
      <w:r w:rsidRPr="007C4D65">
        <w:rPr>
          <w:rFonts w:asciiTheme="minorHAnsi" w:hAnsiTheme="minorHAnsi" w:cstheme="minorHAnsi"/>
          <w:sz w:val="22"/>
        </w:rPr>
        <w:t xml:space="preserve"> do not measure all the required environmental parameters (for example, there is no accredited or testing method for determination of waste composition, etc.).</w:t>
      </w:r>
    </w:p>
    <w:p w14:paraId="12E26347" w14:textId="118E9EF4"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An analysis of available data from the electronic </w:t>
      </w:r>
      <w:r w:rsidR="00AE25FA" w:rsidRPr="007C4D65">
        <w:rPr>
          <w:rFonts w:asciiTheme="minorHAnsi" w:hAnsiTheme="minorHAnsi" w:cstheme="minorHAnsi"/>
          <w:sz w:val="22"/>
        </w:rPr>
        <w:t>registers</w:t>
      </w:r>
      <w:r w:rsidRPr="007C4D65">
        <w:rPr>
          <w:rFonts w:asciiTheme="minorHAnsi" w:hAnsiTheme="minorHAnsi" w:cstheme="minorHAnsi"/>
          <w:sz w:val="22"/>
        </w:rPr>
        <w:t xml:space="preserve"> on facilities and pollution </w:t>
      </w:r>
      <w:bookmarkStart w:id="205" w:name="_Hlk94291690"/>
      <w:r w:rsidRPr="007C4D65">
        <w:rPr>
          <w:rFonts w:asciiTheme="minorHAnsi" w:hAnsiTheme="minorHAnsi" w:cstheme="minorHAnsi"/>
          <w:sz w:val="22"/>
        </w:rPr>
        <w:t>(PRTR of the Federation of BiH)</w:t>
      </w:r>
      <w:bookmarkEnd w:id="205"/>
      <w:r w:rsidRPr="007C4D65">
        <w:rPr>
          <w:rFonts w:asciiTheme="minorHAnsi" w:hAnsiTheme="minorHAnsi" w:cstheme="minorHAnsi"/>
          <w:sz w:val="22"/>
        </w:rPr>
        <w:t xml:space="preserve"> in the Federation of BiH revealed that only a minor number of operators provide their data and meet their reporting obligations in relation to PRTR regulated by the law (for example, of all the facilities which obtained the environmental permit, the PRTR of the Federation of BiH for emissions for 2018 contains data provided by 57 facilities, the register for discharge</w:t>
      </w:r>
      <w:r w:rsidR="001F7CB6" w:rsidRPr="007C4D65">
        <w:rPr>
          <w:rFonts w:asciiTheme="minorHAnsi" w:hAnsiTheme="minorHAnsi" w:cstheme="minorHAnsi"/>
          <w:sz w:val="22"/>
        </w:rPr>
        <w:t xml:space="preserve"> of waste water in surface/</w:t>
      </w:r>
      <w:r w:rsidRPr="007C4D65">
        <w:rPr>
          <w:rFonts w:asciiTheme="minorHAnsi" w:hAnsiTheme="minorHAnsi" w:cstheme="minorHAnsi"/>
          <w:sz w:val="22"/>
        </w:rPr>
        <w:t xml:space="preserve">ground water contains data obtained for 50 facilities, while the register for waste collection and treatment outside the site of the facility in BiH contains data for 102 facilities). Data collected in PRTR </w:t>
      </w:r>
      <w:r w:rsidR="007436F1" w:rsidRPr="007C4D65">
        <w:rPr>
          <w:rFonts w:asciiTheme="minorHAnsi" w:hAnsiTheme="minorHAnsi" w:cstheme="minorHAnsi"/>
          <w:sz w:val="22"/>
        </w:rPr>
        <w:t>in the Federation of BiH</w:t>
      </w:r>
      <w:r w:rsidRPr="007C4D65">
        <w:rPr>
          <w:rFonts w:asciiTheme="minorHAnsi" w:hAnsiTheme="minorHAnsi" w:cstheme="minorHAnsi"/>
          <w:sz w:val="22"/>
        </w:rPr>
        <w:t xml:space="preserve"> are currently not forwarded to the national institutions as this process is not regulated. The process of reporting these data to the EU institutions has also not been regulated.</w:t>
      </w:r>
    </w:p>
    <w:p w14:paraId="12075B9C" w14:textId="6306BAB1" w:rsidR="00475238" w:rsidRPr="007C4D65" w:rsidRDefault="00475238" w:rsidP="00475238">
      <w:pPr>
        <w:spacing w:before="240" w:after="240" w:line="276" w:lineRule="auto"/>
        <w:jc w:val="both"/>
        <w:rPr>
          <w:rFonts w:asciiTheme="minorHAnsi" w:hAnsiTheme="minorHAnsi" w:cstheme="minorHAnsi"/>
          <w:b/>
          <w:sz w:val="22"/>
          <w:szCs w:val="22"/>
        </w:rPr>
      </w:pPr>
      <w:proofErr w:type="gramStart"/>
      <w:r w:rsidRPr="007C4D65">
        <w:rPr>
          <w:rFonts w:asciiTheme="minorHAnsi" w:hAnsiTheme="minorHAnsi" w:cstheme="minorHAnsi"/>
          <w:b/>
          <w:sz w:val="22"/>
        </w:rPr>
        <w:t>In order to</w:t>
      </w:r>
      <w:proofErr w:type="gramEnd"/>
      <w:r w:rsidRPr="007C4D65">
        <w:rPr>
          <w:rFonts w:asciiTheme="minorHAnsi" w:hAnsiTheme="minorHAnsi" w:cstheme="minorHAnsi"/>
          <w:b/>
          <w:sz w:val="22"/>
        </w:rPr>
        <w:t xml:space="preserve"> address the identified gaps, it is necessary to set up an </w:t>
      </w:r>
      <w:r w:rsidR="00457FD7" w:rsidRPr="007C4D65">
        <w:rPr>
          <w:rFonts w:asciiTheme="minorHAnsi" w:hAnsiTheme="minorHAnsi" w:cstheme="minorHAnsi"/>
          <w:b/>
          <w:sz w:val="22"/>
        </w:rPr>
        <w:t>efficient</w:t>
      </w:r>
      <w:r w:rsidRPr="007C4D65">
        <w:rPr>
          <w:rFonts w:asciiTheme="minorHAnsi" w:hAnsiTheme="minorHAnsi" w:cstheme="minorHAnsi"/>
          <w:b/>
          <w:sz w:val="22"/>
        </w:rPr>
        <w:t xml:space="preserve"> system for record keeping and transparent reporting of environmental data in the Federation of BiH.</w:t>
      </w:r>
    </w:p>
    <w:p w14:paraId="3F5227B8" w14:textId="77777777" w:rsidR="00475238" w:rsidRPr="007C4D65" w:rsidRDefault="00475238" w:rsidP="00475238">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lastRenderedPageBreak/>
        <w:t>Integration of environmental requirements in sectoral policies</w:t>
      </w:r>
    </w:p>
    <w:p w14:paraId="4DCA9296" w14:textId="04957BD7"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Currently, the integration of environmental and climate change requirements adaptation and low-carbon development in the sectoral policies is not highly </w:t>
      </w:r>
      <w:r w:rsidR="00AE25FA" w:rsidRPr="007C4D65">
        <w:rPr>
          <w:rFonts w:asciiTheme="minorHAnsi" w:hAnsiTheme="minorHAnsi" w:cstheme="minorHAnsi"/>
          <w:b/>
          <w:sz w:val="22"/>
        </w:rPr>
        <w:t>successful</w:t>
      </w:r>
      <w:r w:rsidRPr="007C4D65">
        <w:rPr>
          <w:rFonts w:asciiTheme="minorHAnsi" w:hAnsiTheme="minorHAnsi" w:cstheme="minorHAnsi"/>
          <w:b/>
          <w:sz w:val="22"/>
        </w:rPr>
        <w:t>.</w:t>
      </w:r>
      <w:r w:rsidRPr="007C4D65">
        <w:rPr>
          <w:rFonts w:asciiTheme="minorHAnsi" w:hAnsiTheme="minorHAnsi" w:cstheme="minorHAnsi"/>
          <w:sz w:val="22"/>
        </w:rPr>
        <w:t xml:space="preserve"> Integration of environmental aspects into sectoral policies and legislation in the energy, mining, transport, agriculture, forestry, health, and tourism and education sectors is at an early stage.</w:t>
      </w:r>
    </w:p>
    <w:p w14:paraId="6F666F0A" w14:textId="74081273"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Recent years sow an increasing need for a multidisciplinary approach. The Green Agenda for the West Balkans requires </w:t>
      </w:r>
      <w:r w:rsidR="00007DA5" w:rsidRPr="007C4D65">
        <w:rPr>
          <w:rFonts w:asciiTheme="minorHAnsi" w:hAnsiTheme="minorHAnsi" w:cstheme="minorHAnsi"/>
          <w:sz w:val="22"/>
        </w:rPr>
        <w:t>cross-sectoral</w:t>
      </w:r>
      <w:r w:rsidRPr="007C4D65">
        <w:rPr>
          <w:rFonts w:asciiTheme="minorHAnsi" w:hAnsiTheme="minorHAnsi" w:cstheme="minorHAnsi"/>
          <w:sz w:val="22"/>
        </w:rPr>
        <w:t xml:space="preserve"> approach to facilitate development of a clear policy for the transition to a circular economy (sustainable production and consumption. Policy makers and authorities across the levels of government in BiH </w:t>
      </w:r>
      <w:proofErr w:type="gramStart"/>
      <w:r w:rsidRPr="007C4D65">
        <w:rPr>
          <w:rFonts w:asciiTheme="minorHAnsi" w:hAnsiTheme="minorHAnsi" w:cstheme="minorHAnsi"/>
          <w:sz w:val="22"/>
        </w:rPr>
        <w:t>and also</w:t>
      </w:r>
      <w:proofErr w:type="gramEnd"/>
      <w:r w:rsidRPr="007C4D65">
        <w:rPr>
          <w:rFonts w:asciiTheme="minorHAnsi" w:hAnsiTheme="minorHAnsi" w:cstheme="minorHAnsi"/>
          <w:sz w:val="22"/>
        </w:rPr>
        <w:t xml:space="preserve"> in the Federation have failed to engage vigorously to improve this area, and as a result, BiH still has a </w:t>
      </w:r>
      <w:r w:rsidR="00AE25FA" w:rsidRPr="007C4D65">
        <w:rPr>
          <w:rFonts w:asciiTheme="minorHAnsi" w:hAnsiTheme="minorHAnsi" w:cstheme="minorHAnsi"/>
          <w:sz w:val="22"/>
        </w:rPr>
        <w:t>linear</w:t>
      </w:r>
      <w:r w:rsidRPr="007C4D65">
        <w:rPr>
          <w:rFonts w:asciiTheme="minorHAnsi" w:hAnsiTheme="minorHAnsi" w:cstheme="minorHAnsi"/>
          <w:sz w:val="22"/>
        </w:rPr>
        <w:t xml:space="preserve"> economy. Furthermore, the industry does not cooperate with the environmental sector, and there are no innovations in production aimed at transitioning to a circular economy. A multisectoral-sectoral cooperation lead by the industry and environment sectors is an imperative to enable development of a clear environmental policy focusing on the creation of conditions for the implementation of a circular economy.</w:t>
      </w:r>
    </w:p>
    <w:p w14:paraId="47BEB7B6" w14:textId="535C9632"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The institutional mechanisms for integration of standards and principles of gender equality, social equity and poverty issues are not fully effective, and these principles are not adequately integrated in environmental policies, strategies and programmes.</w:t>
      </w:r>
    </w:p>
    <w:p w14:paraId="7A9A9C4D" w14:textId="55796592" w:rsidR="00475238" w:rsidRPr="007C4D65" w:rsidRDefault="00475238" w:rsidP="00475238">
      <w:pPr>
        <w:spacing w:before="240" w:after="240" w:line="276" w:lineRule="auto"/>
        <w:jc w:val="both"/>
        <w:rPr>
          <w:rFonts w:asciiTheme="minorHAnsi" w:hAnsiTheme="minorHAnsi" w:cstheme="minorHAnsi"/>
          <w:b/>
          <w:sz w:val="22"/>
          <w:szCs w:val="22"/>
        </w:rPr>
      </w:pPr>
      <w:r w:rsidRPr="007C4D65">
        <w:rPr>
          <w:rFonts w:asciiTheme="minorHAnsi" w:hAnsiTheme="minorHAnsi" w:cstheme="minorHAnsi"/>
          <w:b/>
          <w:sz w:val="22"/>
        </w:rPr>
        <w:t xml:space="preserve">Future should see an </w:t>
      </w:r>
      <w:r w:rsidR="00AE25FA" w:rsidRPr="007C4D65">
        <w:rPr>
          <w:rFonts w:asciiTheme="minorHAnsi" w:hAnsiTheme="minorHAnsi" w:cstheme="minorHAnsi"/>
          <w:b/>
          <w:sz w:val="22"/>
        </w:rPr>
        <w:t>enhanced</w:t>
      </w:r>
      <w:r w:rsidRPr="007C4D65">
        <w:rPr>
          <w:rFonts w:asciiTheme="minorHAnsi" w:hAnsiTheme="minorHAnsi" w:cstheme="minorHAnsi"/>
          <w:b/>
          <w:sz w:val="22"/>
        </w:rPr>
        <w:t xml:space="preserve"> inter-sectoral action and synergy among the sectors </w:t>
      </w:r>
      <w:proofErr w:type="gramStart"/>
      <w:r w:rsidRPr="007C4D65">
        <w:rPr>
          <w:rFonts w:asciiTheme="minorHAnsi" w:hAnsiTheme="minorHAnsi" w:cstheme="minorHAnsi"/>
          <w:b/>
          <w:sz w:val="22"/>
        </w:rPr>
        <w:t>in order to</w:t>
      </w:r>
      <w:proofErr w:type="gramEnd"/>
      <w:r w:rsidRPr="007C4D65">
        <w:rPr>
          <w:rFonts w:asciiTheme="minorHAnsi" w:hAnsiTheme="minorHAnsi" w:cstheme="minorHAnsi"/>
          <w:b/>
          <w:sz w:val="22"/>
        </w:rPr>
        <w:t xml:space="preserve"> integrate public policies in all the segments of the environment, including gender equality, social equity, and poverty issues.</w:t>
      </w:r>
    </w:p>
    <w:p w14:paraId="186B385A" w14:textId="77777777" w:rsidR="00475238" w:rsidRPr="007C4D65" w:rsidRDefault="00475238" w:rsidP="00475238">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Economic instruments of environmental protection</w:t>
      </w:r>
    </w:p>
    <w:p w14:paraId="645D8A44" w14:textId="0000D028"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The current funding mechanisms and available funds for financial environmental measures and projects are relatively poorly used.</w:t>
      </w:r>
      <w:r w:rsidRPr="007C4D65">
        <w:rPr>
          <w:rFonts w:asciiTheme="minorHAnsi" w:hAnsiTheme="minorHAnsi" w:cstheme="minorHAnsi"/>
          <w:b/>
          <w:sz w:val="22"/>
        </w:rPr>
        <w:t xml:space="preserve"> </w:t>
      </w:r>
      <w:r w:rsidRPr="007C4D65">
        <w:rPr>
          <w:rFonts w:asciiTheme="minorHAnsi" w:hAnsiTheme="minorHAnsi" w:cstheme="minorHAnsi"/>
          <w:sz w:val="22"/>
        </w:rPr>
        <w:t xml:space="preserve">The Federation </w:t>
      </w:r>
      <w:r w:rsidR="0058588C" w:rsidRPr="007C4D65">
        <w:rPr>
          <w:rFonts w:asciiTheme="minorHAnsi" w:hAnsiTheme="minorHAnsi" w:cstheme="minorHAnsi"/>
          <w:sz w:val="22"/>
        </w:rPr>
        <w:t xml:space="preserve">of </w:t>
      </w:r>
      <w:r w:rsidRPr="007C4D65">
        <w:rPr>
          <w:rFonts w:asciiTheme="minorHAnsi" w:hAnsiTheme="minorHAnsi" w:cstheme="minorHAnsi"/>
          <w:sz w:val="22"/>
        </w:rPr>
        <w:t>BiH collects the following taxes based on different laws: Tax on light plastic shopping bags, tax payable by polluters, special environmental taxes paid with the registration of motor vehicles, tax for packaging and packaging waste management, tax for WEEE management and water taxes (general and special). The Environmental Protection Fund of the Federation of BiH and water agencies in the Federation of BiH</w:t>
      </w:r>
      <w:r w:rsidRPr="007C4D65">
        <w:rPr>
          <w:rFonts w:asciiTheme="minorHAnsi" w:hAnsiTheme="minorHAnsi" w:cstheme="minorHAnsi"/>
          <w:sz w:val="22"/>
          <w:szCs w:val="22"/>
          <w:vertAlign w:val="superscript"/>
          <w:lang w:val="hr-HR"/>
        </w:rPr>
        <w:footnoteReference w:id="26"/>
      </w:r>
      <w:r w:rsidRPr="007C4D65">
        <w:rPr>
          <w:rFonts w:asciiTheme="minorHAnsi" w:hAnsiTheme="minorHAnsi" w:cstheme="minorHAnsi"/>
          <w:sz w:val="22"/>
        </w:rPr>
        <w:t xml:space="preserve"> collect and distribute funds for environmental protection in the territory of the Federation.</w:t>
      </w:r>
    </w:p>
    <w:p w14:paraId="738E4E08" w14:textId="212DDD7B"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While recent years recorded a progress in terms of the legislation which governs economic instruments for environmental protection, the application of the laws is </w:t>
      </w:r>
      <w:r w:rsidR="00AE25FA" w:rsidRPr="007C4D65">
        <w:rPr>
          <w:rFonts w:asciiTheme="minorHAnsi" w:hAnsiTheme="minorHAnsi" w:cstheme="minorHAnsi"/>
          <w:sz w:val="22"/>
        </w:rPr>
        <w:t>limited</w:t>
      </w:r>
      <w:r w:rsidRPr="007C4D65">
        <w:rPr>
          <w:rFonts w:asciiTheme="minorHAnsi" w:hAnsiTheme="minorHAnsi" w:cstheme="minorHAnsi"/>
          <w:sz w:val="22"/>
        </w:rPr>
        <w:t xml:space="preserve"> and very often not in compliance with the principles of </w:t>
      </w:r>
      <w:r w:rsidR="00AE25FA" w:rsidRPr="007C4D65">
        <w:rPr>
          <w:rFonts w:asciiTheme="minorHAnsi" w:hAnsiTheme="minorHAnsi" w:cstheme="minorHAnsi"/>
          <w:sz w:val="22"/>
        </w:rPr>
        <w:t>efficiency</w:t>
      </w:r>
      <w:r w:rsidRPr="007C4D65">
        <w:rPr>
          <w:rFonts w:asciiTheme="minorHAnsi" w:hAnsiTheme="minorHAnsi" w:cstheme="minorHAnsi"/>
          <w:sz w:val="22"/>
        </w:rPr>
        <w:t xml:space="preserve"> and efficacy. For instance, there is blatant lack of policies which ensure the use of potentials of green economy. The key challenge the </w:t>
      </w:r>
      <w:r w:rsidR="0058588C" w:rsidRPr="007C4D65">
        <w:rPr>
          <w:rFonts w:asciiTheme="minorHAnsi" w:hAnsiTheme="minorHAnsi" w:cstheme="minorHAnsi"/>
          <w:sz w:val="22"/>
        </w:rPr>
        <w:t>Federation of BiH</w:t>
      </w:r>
      <w:r w:rsidRPr="007C4D65">
        <w:rPr>
          <w:rFonts w:asciiTheme="minorHAnsi" w:hAnsiTheme="minorHAnsi" w:cstheme="minorHAnsi"/>
          <w:sz w:val="22"/>
        </w:rPr>
        <w:t xml:space="preserve"> is currently facing in the implementation of the economic instruments and implementation of environmental measures is associated with a non-transparent </w:t>
      </w:r>
      <w:r w:rsidR="00AE25FA" w:rsidRPr="007C4D65">
        <w:rPr>
          <w:rFonts w:asciiTheme="minorHAnsi" w:hAnsiTheme="minorHAnsi" w:cstheme="minorHAnsi"/>
          <w:sz w:val="22"/>
        </w:rPr>
        <w:t>reporting</w:t>
      </w:r>
      <w:r w:rsidRPr="007C4D65">
        <w:rPr>
          <w:rFonts w:asciiTheme="minorHAnsi" w:hAnsiTheme="minorHAnsi" w:cstheme="minorHAnsi"/>
          <w:sz w:val="22"/>
        </w:rPr>
        <w:t xml:space="preserve"> of the institutions on funds raised and non-dedicated spending, ineffective planning of economic instruments, lack of innovative and stimulating economic mechanisms, and inadequate capacities to ensure access to external funds for environmental protection and complementary sectors.</w:t>
      </w:r>
    </w:p>
    <w:p w14:paraId="3554885C" w14:textId="529113D4" w:rsidR="00475238" w:rsidRPr="007C4D65" w:rsidRDefault="00475238" w:rsidP="00475238">
      <w:pPr>
        <w:spacing w:before="240" w:after="240" w:line="276" w:lineRule="auto"/>
        <w:jc w:val="both"/>
        <w:rPr>
          <w:rFonts w:asciiTheme="minorHAnsi" w:hAnsiTheme="minorHAnsi" w:cstheme="minorHAnsi"/>
          <w:b/>
          <w:sz w:val="22"/>
          <w:szCs w:val="22"/>
        </w:rPr>
      </w:pPr>
      <w:r w:rsidRPr="007C4D65">
        <w:rPr>
          <w:rFonts w:asciiTheme="minorHAnsi" w:hAnsiTheme="minorHAnsi" w:cstheme="minorHAnsi"/>
          <w:b/>
          <w:sz w:val="22"/>
        </w:rPr>
        <w:lastRenderedPageBreak/>
        <w:t xml:space="preserve">In conclusion, the fiscal and parafiscal policy </w:t>
      </w:r>
      <w:proofErr w:type="gramStart"/>
      <w:r w:rsidRPr="007C4D65">
        <w:rPr>
          <w:rFonts w:asciiTheme="minorHAnsi" w:hAnsiTheme="minorHAnsi" w:cstheme="minorHAnsi"/>
          <w:b/>
          <w:sz w:val="22"/>
        </w:rPr>
        <w:t>in the area of</w:t>
      </w:r>
      <w:proofErr w:type="gramEnd"/>
      <w:r w:rsidRPr="007C4D65">
        <w:rPr>
          <w:rFonts w:asciiTheme="minorHAnsi" w:hAnsiTheme="minorHAnsi" w:cstheme="minorHAnsi"/>
          <w:b/>
          <w:sz w:val="22"/>
        </w:rPr>
        <w:t xml:space="preserve"> environmental protection in the Federation of BiH is ineffective and incomplete. </w:t>
      </w:r>
      <w:proofErr w:type="gramStart"/>
      <w:r w:rsidRPr="007C4D65">
        <w:rPr>
          <w:rFonts w:asciiTheme="minorHAnsi" w:hAnsiTheme="minorHAnsi" w:cstheme="minorHAnsi"/>
          <w:b/>
          <w:sz w:val="22"/>
        </w:rPr>
        <w:t>In order to</w:t>
      </w:r>
      <w:proofErr w:type="gramEnd"/>
      <w:r w:rsidRPr="007C4D65">
        <w:rPr>
          <w:rFonts w:asciiTheme="minorHAnsi" w:hAnsiTheme="minorHAnsi" w:cstheme="minorHAnsi"/>
          <w:b/>
          <w:sz w:val="22"/>
        </w:rPr>
        <w:t xml:space="preserve"> ensure the financial sustainability of the environment sector in the Federation of BiH, it is necessary to agree on and implement an effective and </w:t>
      </w:r>
      <w:r w:rsidR="00AE25FA" w:rsidRPr="007C4D65">
        <w:rPr>
          <w:rFonts w:asciiTheme="minorHAnsi" w:hAnsiTheme="minorHAnsi" w:cstheme="minorHAnsi"/>
          <w:b/>
          <w:sz w:val="22"/>
        </w:rPr>
        <w:t>comprehensive</w:t>
      </w:r>
      <w:r w:rsidRPr="007C4D65">
        <w:rPr>
          <w:rFonts w:asciiTheme="minorHAnsi" w:hAnsiTheme="minorHAnsi" w:cstheme="minorHAnsi"/>
          <w:b/>
          <w:sz w:val="22"/>
        </w:rPr>
        <w:t xml:space="preserve"> fiscal and parafiscal policy for environmental management.</w:t>
      </w:r>
    </w:p>
    <w:p w14:paraId="07000A37" w14:textId="77777777" w:rsidR="00475238" w:rsidRPr="007C4D65" w:rsidRDefault="00475238" w:rsidP="00475238">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Education, research and development</w:t>
      </w:r>
    </w:p>
    <w:p w14:paraId="27949CD3" w14:textId="75BC9CDD"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environmental protection issues are integrated to a certain </w:t>
      </w:r>
      <w:r w:rsidR="00AE25FA" w:rsidRPr="007C4D65">
        <w:rPr>
          <w:rFonts w:asciiTheme="minorHAnsi" w:hAnsiTheme="minorHAnsi" w:cstheme="minorHAnsi"/>
          <w:sz w:val="22"/>
        </w:rPr>
        <w:t>extent in</w:t>
      </w:r>
      <w:r w:rsidRPr="007C4D65">
        <w:rPr>
          <w:rFonts w:asciiTheme="minorHAnsi" w:hAnsiTheme="minorHAnsi" w:cstheme="minorHAnsi"/>
          <w:sz w:val="22"/>
        </w:rPr>
        <w:t xml:space="preserve"> curricula of educational institutions (primarily primary and secondary schools</w:t>
      </w:r>
      <w:proofErr w:type="gramStart"/>
      <w:r w:rsidRPr="007C4D65">
        <w:rPr>
          <w:rFonts w:asciiTheme="minorHAnsi" w:hAnsiTheme="minorHAnsi" w:cstheme="minorHAnsi"/>
          <w:sz w:val="22"/>
        </w:rPr>
        <w:t>)</w:t>
      </w:r>
      <w:proofErr w:type="gramEnd"/>
      <w:r w:rsidRPr="007C4D65">
        <w:rPr>
          <w:rFonts w:asciiTheme="minorHAnsi" w:hAnsiTheme="minorHAnsi" w:cstheme="minorHAnsi"/>
          <w:sz w:val="22"/>
        </w:rPr>
        <w:t xml:space="preserve"> but this is not sufficient. Teachers and employees of the educational institutions have poor eco competence. Teaching staff is not adequately trained for teaching and preparation of educational content on sustainable development in a digital form. </w:t>
      </w:r>
      <w:r w:rsidRPr="007C4D65">
        <w:rPr>
          <w:rFonts w:asciiTheme="minorHAnsi" w:hAnsiTheme="minorHAnsi" w:cstheme="minorHAnsi"/>
          <w:b/>
          <w:sz w:val="22"/>
        </w:rPr>
        <w:t>Investments in environmental education, research, and development are presently rather scarce,</w:t>
      </w:r>
      <w:r w:rsidRPr="007C4D65">
        <w:rPr>
          <w:rFonts w:asciiTheme="minorHAnsi" w:hAnsiTheme="minorHAnsi" w:cstheme="minorHAnsi"/>
          <w:sz w:val="22"/>
        </w:rPr>
        <w:t xml:space="preserve"> which is a challenge in terms of the need to adjust and innovate the applicable curricula and upgrade them to comply with the up-to-date principles over the next ten years. Furthermore, there is still no intensive institutional cooperation between the education and environment sector on the issues of adult education.</w:t>
      </w:r>
    </w:p>
    <w:p w14:paraId="0B511103" w14:textId="5FDAC3DB"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Dedicated budgets for investments in innovation and development, and application of new technologies aimed at reducing the pollution are not sufficient given an increasing need to catch up with international trends. No serious attempts to pool the capacities of institutes, businesses and higher education institutions for the implementation of environmental projects were </w:t>
      </w:r>
      <w:r w:rsidR="0058588C" w:rsidRPr="007C4D65">
        <w:rPr>
          <w:rFonts w:asciiTheme="minorHAnsi" w:hAnsiTheme="minorHAnsi" w:cstheme="minorHAnsi"/>
          <w:sz w:val="22"/>
        </w:rPr>
        <w:t>recorded</w:t>
      </w:r>
      <w:r w:rsidRPr="007C4D65">
        <w:rPr>
          <w:rFonts w:asciiTheme="minorHAnsi" w:hAnsiTheme="minorHAnsi" w:cstheme="minorHAnsi"/>
          <w:sz w:val="22"/>
        </w:rPr>
        <w:t>.</w:t>
      </w:r>
    </w:p>
    <w:p w14:paraId="40066912" w14:textId="050B8681" w:rsidR="00475238" w:rsidRPr="007C4D65" w:rsidRDefault="00475238" w:rsidP="00475238">
      <w:pPr>
        <w:spacing w:before="240" w:after="240" w:line="276" w:lineRule="auto"/>
        <w:jc w:val="both"/>
        <w:rPr>
          <w:rFonts w:asciiTheme="minorHAnsi" w:hAnsiTheme="minorHAnsi" w:cstheme="minorHAnsi"/>
          <w:b/>
          <w:sz w:val="22"/>
          <w:szCs w:val="22"/>
        </w:rPr>
      </w:pPr>
      <w:r w:rsidRPr="007C4D65">
        <w:rPr>
          <w:rFonts w:asciiTheme="minorHAnsi" w:hAnsiTheme="minorHAnsi" w:cstheme="minorHAnsi"/>
          <w:b/>
          <w:sz w:val="22"/>
        </w:rPr>
        <w:t xml:space="preserve">It is necessary to upgrade the system for </w:t>
      </w:r>
      <w:r w:rsidR="009F16BA" w:rsidRPr="007C4D65">
        <w:rPr>
          <w:rFonts w:asciiTheme="minorHAnsi" w:hAnsiTheme="minorHAnsi" w:cstheme="minorHAnsi"/>
          <w:b/>
          <w:sz w:val="22"/>
        </w:rPr>
        <w:t>strategic decision-making</w:t>
      </w:r>
      <w:r w:rsidRPr="007C4D65">
        <w:rPr>
          <w:rFonts w:asciiTheme="minorHAnsi" w:hAnsiTheme="minorHAnsi" w:cstheme="minorHAnsi"/>
          <w:b/>
          <w:sz w:val="22"/>
        </w:rPr>
        <w:t>, investments and monitoring of effects on environmental protection across the levels of education and in institutions for scientific research and promotion of innovations.</w:t>
      </w:r>
    </w:p>
    <w:p w14:paraId="50F9AE3B" w14:textId="77777777" w:rsidR="00475238" w:rsidRPr="007C4D65" w:rsidRDefault="00475238" w:rsidP="00475238">
      <w:pPr>
        <w:spacing w:before="240" w:after="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Integration of gender equality, social equity and poverty principles in the environmental sector</w:t>
      </w:r>
    </w:p>
    <w:p w14:paraId="159DED58" w14:textId="1415B332"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Integration of standards and principles of gender equality, social equity and poverty in the environmental sector is not </w:t>
      </w:r>
      <w:r w:rsidR="00AE25FA" w:rsidRPr="007C4D65">
        <w:rPr>
          <w:rFonts w:asciiTheme="minorHAnsi" w:hAnsiTheme="minorHAnsi" w:cstheme="minorHAnsi"/>
          <w:b/>
          <w:sz w:val="22"/>
        </w:rPr>
        <w:t>satisfactory</w:t>
      </w:r>
      <w:r w:rsidRPr="007C4D65">
        <w:rPr>
          <w:rFonts w:asciiTheme="minorHAnsi" w:hAnsiTheme="minorHAnsi" w:cstheme="minorHAnsi"/>
          <w:b/>
          <w:sz w:val="22"/>
        </w:rPr>
        <w:t xml:space="preserve"> in the Federation of BiH.</w:t>
      </w:r>
      <w:r w:rsidRPr="007C4D65">
        <w:rPr>
          <w:rFonts w:asciiTheme="minorHAnsi" w:hAnsiTheme="minorHAnsi" w:cstheme="minorHAnsi"/>
          <w:sz w:val="22"/>
        </w:rPr>
        <w:t xml:space="preserve"> As a result, these standards and principles have not been adequately integrated in environmental policies, strategies and programmes. Needs of particularly vulnerable and poor groups have not been </w:t>
      </w:r>
      <w:proofErr w:type="gramStart"/>
      <w:r w:rsidRPr="007C4D65">
        <w:rPr>
          <w:rFonts w:asciiTheme="minorHAnsi" w:hAnsiTheme="minorHAnsi" w:cstheme="minorHAnsi"/>
          <w:sz w:val="22"/>
        </w:rPr>
        <w:t>taken into account</w:t>
      </w:r>
      <w:proofErr w:type="gramEnd"/>
      <w:r w:rsidRPr="007C4D65">
        <w:rPr>
          <w:rFonts w:asciiTheme="minorHAnsi" w:hAnsiTheme="minorHAnsi" w:cstheme="minorHAnsi"/>
          <w:sz w:val="22"/>
        </w:rPr>
        <w:t xml:space="preserve"> in environmental impact assessment processes and policy making.</w:t>
      </w:r>
    </w:p>
    <w:p w14:paraId="66A70FA0" w14:textId="282A5890"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szCs w:val="22"/>
        </w:rPr>
        <w:t xml:space="preserve">The awareness on the importance of gender mainstreaming in environmental policy making, and of fair </w:t>
      </w:r>
      <w:r w:rsidR="009F16BA" w:rsidRPr="007C4D65">
        <w:rPr>
          <w:rFonts w:asciiTheme="minorHAnsi" w:hAnsiTheme="minorHAnsi" w:cstheme="minorHAnsi"/>
          <w:sz w:val="22"/>
          <w:szCs w:val="22"/>
        </w:rPr>
        <w:t xml:space="preserve">decision-making </w:t>
      </w:r>
      <w:r w:rsidRPr="007C4D65">
        <w:rPr>
          <w:rFonts w:asciiTheme="minorHAnsi" w:hAnsiTheme="minorHAnsi" w:cstheme="minorHAnsi"/>
          <w:sz w:val="22"/>
          <w:szCs w:val="22"/>
        </w:rPr>
        <w:t xml:space="preserve">in the environmental management is still rather poor. In </w:t>
      </w:r>
      <w:r w:rsidR="00A057D0" w:rsidRPr="007C4D65">
        <w:rPr>
          <w:rFonts w:asciiTheme="minorHAnsi" w:hAnsiTheme="minorHAnsi" w:cstheme="minorHAnsi"/>
          <w:sz w:val="22"/>
          <w:szCs w:val="22"/>
        </w:rPr>
        <w:t>addition</w:t>
      </w:r>
      <w:r w:rsidRPr="007C4D65">
        <w:rPr>
          <w:rFonts w:asciiTheme="minorHAnsi" w:hAnsiTheme="minorHAnsi" w:cstheme="minorHAnsi"/>
          <w:sz w:val="22"/>
          <w:szCs w:val="22"/>
        </w:rPr>
        <w:t>, the gender equality institutional mechanism is not effective in all the environmental institutions in the Federation of BiH, although the Law on Gender Equality in BiH</w:t>
      </w:r>
      <w:r w:rsidR="00AE25FA" w:rsidRPr="007C4D65">
        <w:rPr>
          <w:rFonts w:asciiTheme="minorHAnsi" w:hAnsiTheme="minorHAnsi" w:cstheme="minorHAnsi"/>
          <w:sz w:val="22"/>
          <w:szCs w:val="22"/>
          <w:vertAlign w:val="superscript"/>
        </w:rPr>
        <w:t xml:space="preserve"> </w:t>
      </w:r>
      <w:r w:rsidRPr="007C4D65">
        <w:rPr>
          <w:rFonts w:asciiTheme="minorHAnsi" w:hAnsiTheme="minorHAnsi" w:cstheme="minorHAnsi"/>
          <w:sz w:val="22"/>
          <w:szCs w:val="22"/>
          <w:vertAlign w:val="superscript"/>
        </w:rPr>
        <w:fldChar w:fldCharType="begin"/>
      </w:r>
      <w:r w:rsidRPr="007C4D65">
        <w:rPr>
          <w:rFonts w:asciiTheme="minorHAnsi" w:hAnsiTheme="minorHAnsi" w:cstheme="minorHAnsi"/>
          <w:sz w:val="22"/>
          <w:szCs w:val="22"/>
          <w:vertAlign w:val="superscript"/>
        </w:rPr>
        <w:instrText xml:space="preserve"> ADDIN ZOTERO_ITEM CSL_CITATION {"citationID":"IPQ8e0el","properties":{"formattedCitation":"(\\uc0\\u8216{}Sl. glasnik BiH\\uc0\\u8217{}, broj 32/10 2010)","plainCitation":"(‘Sl. glasnik BiH’, broj 32/10 2010)","noteIndex":0},"citationItems":[{"id":1553,"uris":["http://zotero.org/users/7192877/items/D9RPIAYU"],"itemData":{"id":1553,"type":"legislation","title":"Zakon o ravnopravnosti spolova u BiH","URL":"http://sluzbenilist.ba/page/akt/Ogl6BLfO0gztz5k76kjn45hI=","author":[{"family":"\"Sl. glasnik BiH\", broj 32/10","given":""}],"issued":{"date-parts":[["2010"]]}}}],"schema":"https://github.com/citation-style-language/schema/raw/master/csl-citation.json"} </w:instrText>
      </w:r>
      <w:r w:rsidRPr="007C4D65">
        <w:rPr>
          <w:rFonts w:asciiTheme="minorHAnsi" w:hAnsiTheme="minorHAnsi" w:cstheme="minorHAnsi"/>
          <w:sz w:val="22"/>
          <w:szCs w:val="22"/>
          <w:vertAlign w:val="superscript"/>
        </w:rPr>
        <w:fldChar w:fldCharType="separate"/>
      </w:r>
      <w:r w:rsidR="007A6065" w:rsidRPr="007C4D65">
        <w:rPr>
          <w:rFonts w:asciiTheme="minorHAnsi" w:hAnsiTheme="minorHAnsi" w:cstheme="minorHAnsi"/>
          <w:sz w:val="22"/>
          <w:szCs w:val="22"/>
        </w:rPr>
        <w:t>(“Official Gazette of BiH“,</w:t>
      </w:r>
      <w:r w:rsidRPr="007C4D65">
        <w:rPr>
          <w:rFonts w:asciiTheme="minorHAnsi" w:hAnsiTheme="minorHAnsi" w:cstheme="minorHAnsi"/>
          <w:sz w:val="22"/>
          <w:szCs w:val="22"/>
        </w:rPr>
        <w:t xml:space="preserve"> 32/10)</w:t>
      </w:r>
      <w:r w:rsidRPr="007C4D65">
        <w:rPr>
          <w:rFonts w:asciiTheme="minorHAnsi" w:hAnsiTheme="minorHAnsi" w:cstheme="minorHAnsi"/>
          <w:sz w:val="22"/>
          <w:szCs w:val="22"/>
          <w:vertAlign w:val="superscript"/>
        </w:rPr>
        <w:fldChar w:fldCharType="end"/>
      </w:r>
      <w:r w:rsidRPr="007C4D65">
        <w:rPr>
          <w:rFonts w:asciiTheme="minorHAnsi" w:hAnsiTheme="minorHAnsi" w:cstheme="minorHAnsi"/>
          <w:sz w:val="22"/>
          <w:szCs w:val="22"/>
        </w:rPr>
        <w:t xml:space="preserve"> requires creation of these institutional mechanisms in all the areas and across the levels of government. Gender equality institutional mechanism, the Gender Centre of the Federation of BiH, was established as a professional service office of the Government of the Federation of BiH with a mission to improve gender equality and equity in the Federation of BiH, and implement the principles contained in the international conventions and agreements for the Government of the Federation, professional bodies of the Government, Prime Minister, Deputy Prime Minister, ministries and other institutes and institutions of the Federation of BiH.</w:t>
      </w:r>
    </w:p>
    <w:p w14:paraId="320F51FB" w14:textId="0F009559"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The authorities, bodies and administrative organisations of the Federation of BiH satisfy this requirement through nomination of a GFPs (</w:t>
      </w:r>
      <w:r w:rsidRPr="007C4D65">
        <w:rPr>
          <w:rFonts w:asciiTheme="minorHAnsi" w:hAnsiTheme="minorHAnsi" w:cstheme="minorHAnsi"/>
          <w:i/>
          <w:sz w:val="22"/>
        </w:rPr>
        <w:t>Gender Focal Points</w:t>
      </w:r>
      <w:r w:rsidRPr="007C4D65">
        <w:rPr>
          <w:rFonts w:asciiTheme="minorHAnsi" w:hAnsiTheme="minorHAnsi" w:cstheme="minorHAnsi"/>
          <w:sz w:val="22"/>
        </w:rPr>
        <w:t xml:space="preserve">), more specifically officers who </w:t>
      </w:r>
      <w:proofErr w:type="gramStart"/>
      <w:r w:rsidRPr="007C4D65">
        <w:rPr>
          <w:rFonts w:asciiTheme="minorHAnsi" w:hAnsiTheme="minorHAnsi" w:cstheme="minorHAnsi"/>
          <w:sz w:val="22"/>
        </w:rPr>
        <w:t>are in charge of</w:t>
      </w:r>
      <w:proofErr w:type="gramEnd"/>
      <w:r w:rsidRPr="007C4D65">
        <w:rPr>
          <w:rFonts w:asciiTheme="minorHAnsi" w:hAnsiTheme="minorHAnsi" w:cstheme="minorHAnsi"/>
          <w:sz w:val="22"/>
        </w:rPr>
        <w:t xml:space="preserve"> gender equality issues, and who cooperate with the Gender Centre of the Federation of BiH on the </w:t>
      </w:r>
      <w:r w:rsidR="00AE25FA" w:rsidRPr="007C4D65">
        <w:rPr>
          <w:rFonts w:asciiTheme="minorHAnsi" w:hAnsiTheme="minorHAnsi" w:cstheme="minorHAnsi"/>
          <w:sz w:val="22"/>
        </w:rPr>
        <w:t>implementation</w:t>
      </w:r>
      <w:r w:rsidRPr="007C4D65">
        <w:rPr>
          <w:rFonts w:asciiTheme="minorHAnsi" w:hAnsiTheme="minorHAnsi" w:cstheme="minorHAnsi"/>
          <w:sz w:val="22"/>
        </w:rPr>
        <w:t xml:space="preserve"> of the Law on Gender Equality and Gender Action Plan (GAP) of BiH. These persons who have been nominated in the institutions as GFPs need to improve their understanding on the integration of gender equality in public environmental policies and legislation. It is also necessary to establish a special coordination body for gender and environmental issues and to strengthen its capacity.</w:t>
      </w:r>
    </w:p>
    <w:p w14:paraId="10C8D065" w14:textId="327E2C96" w:rsidR="00475238" w:rsidRPr="007C4D65" w:rsidRDefault="00475238" w:rsidP="00475238">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There are no regulated instituti</w:t>
      </w:r>
      <w:r w:rsidR="00AE25FA" w:rsidRPr="007C4D65">
        <w:rPr>
          <w:rFonts w:asciiTheme="minorHAnsi" w:hAnsiTheme="minorHAnsi" w:cstheme="minorHAnsi"/>
          <w:sz w:val="22"/>
        </w:rPr>
        <w:t>on</w:t>
      </w:r>
      <w:r w:rsidRPr="007C4D65">
        <w:rPr>
          <w:rFonts w:asciiTheme="minorHAnsi" w:hAnsiTheme="minorHAnsi" w:cstheme="minorHAnsi"/>
          <w:sz w:val="22"/>
        </w:rPr>
        <w:t xml:space="preserve">al mechanisms in charge of the issues of social equity and poverty, and there have been very few efforts aimed at integrating these issues in environmental public policies and legislation. </w:t>
      </w:r>
    </w:p>
    <w:p w14:paraId="02EF6DBD" w14:textId="77777777" w:rsidR="00475238" w:rsidRPr="007C4D65" w:rsidRDefault="00475238" w:rsidP="00475238">
      <w:pPr>
        <w:spacing w:after="160" w:line="276" w:lineRule="auto"/>
        <w:rPr>
          <w:rFonts w:asciiTheme="minorHAnsi" w:hAnsiTheme="minorHAnsi" w:cstheme="minorHAnsi"/>
          <w:sz w:val="22"/>
          <w:szCs w:val="22"/>
        </w:rPr>
      </w:pPr>
      <w:r w:rsidRPr="007C4D65">
        <w:rPr>
          <w:rFonts w:asciiTheme="minorHAnsi" w:hAnsiTheme="minorHAnsi" w:cstheme="minorHAnsi"/>
        </w:rPr>
        <w:br w:type="page"/>
      </w:r>
    </w:p>
    <w:p w14:paraId="2E75A617" w14:textId="3651A43B" w:rsidR="00FE4DFE" w:rsidRPr="007C4D65" w:rsidRDefault="00FE4DFE" w:rsidP="00475238">
      <w:pPr>
        <w:spacing w:after="240" w:line="276" w:lineRule="auto"/>
        <w:jc w:val="both"/>
        <w:rPr>
          <w:rFonts w:asciiTheme="minorHAnsi" w:hAnsiTheme="minorHAnsi" w:cstheme="minorHAnsi"/>
          <w:sz w:val="22"/>
          <w:szCs w:val="22"/>
        </w:rPr>
      </w:pPr>
    </w:p>
    <w:p w14:paraId="7271812A" w14:textId="77777777" w:rsidR="009A1CFB" w:rsidRPr="007C4D65" w:rsidRDefault="009A1CFB">
      <w:pPr>
        <w:pStyle w:val="Head2"/>
        <w:spacing w:line="276" w:lineRule="auto"/>
        <w:rPr>
          <w:rFonts w:asciiTheme="minorHAnsi" w:hAnsiTheme="minorHAnsi"/>
        </w:rPr>
      </w:pPr>
      <w:bookmarkStart w:id="207" w:name="_Toc117445367"/>
      <w:r w:rsidRPr="007C4D65">
        <w:rPr>
          <w:rFonts w:asciiTheme="minorHAnsi" w:hAnsiTheme="minorHAnsi"/>
        </w:rPr>
        <w:t>Strategic goal 7</w:t>
      </w:r>
      <w:bookmarkEnd w:id="207"/>
    </w:p>
    <w:p w14:paraId="07752D09" w14:textId="09F65B05" w:rsidR="00E254BC" w:rsidRPr="007C4D65" w:rsidRDefault="00E254BC" w:rsidP="0068355A">
      <w:pPr>
        <w:spacing w:after="240" w:line="276" w:lineRule="auto"/>
        <w:jc w:val="both"/>
        <w:rPr>
          <w:rFonts w:asciiTheme="minorHAnsi" w:hAnsiTheme="minorHAnsi" w:cstheme="minorHAnsi"/>
          <w:b/>
          <w:sz w:val="22"/>
          <w:szCs w:val="22"/>
        </w:rPr>
      </w:pPr>
      <w:r w:rsidRPr="007C4D65">
        <w:rPr>
          <w:rFonts w:asciiTheme="minorHAnsi" w:hAnsiTheme="minorHAnsi" w:cstheme="minorHAnsi"/>
          <w:b/>
          <w:sz w:val="22"/>
        </w:rPr>
        <w:t>Strategic goal 7</w:t>
      </w:r>
      <w:r w:rsidR="00D121AF" w:rsidRPr="007C4D65">
        <w:rPr>
          <w:rFonts w:asciiTheme="minorHAnsi" w:hAnsiTheme="minorHAnsi" w:cstheme="minorHAnsi"/>
          <w:b/>
          <w:sz w:val="22"/>
        </w:rPr>
        <w:t xml:space="preserve"> -</w:t>
      </w:r>
      <w:r w:rsidRPr="007C4D65">
        <w:rPr>
          <w:rFonts w:asciiTheme="minorHAnsi" w:hAnsiTheme="minorHAnsi" w:cstheme="minorHAnsi"/>
          <w:b/>
          <w:sz w:val="22"/>
        </w:rPr>
        <w:t xml:space="preserve"> Strengthening environmental management</w:t>
      </w:r>
    </w:p>
    <w:p w14:paraId="3C3B7A39" w14:textId="78D4EB29" w:rsidR="00475238" w:rsidRPr="007C4D65" w:rsidRDefault="00475238" w:rsidP="00475238">
      <w:pPr>
        <w:spacing w:after="16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rPr>
        <w:t xml:space="preserve">Strategic goal 7 is a horizontal issue. Activities in this area focus on the implementation of the environmental acquis. Environmental management </w:t>
      </w:r>
      <w:r w:rsidR="00AE25FA" w:rsidRPr="007C4D65">
        <w:rPr>
          <w:rFonts w:asciiTheme="minorHAnsi" w:hAnsiTheme="minorHAnsi" w:cstheme="minorHAnsi"/>
          <w:sz w:val="22"/>
        </w:rPr>
        <w:t>aims</w:t>
      </w:r>
      <w:r w:rsidRPr="007C4D65">
        <w:rPr>
          <w:rFonts w:asciiTheme="minorHAnsi" w:hAnsiTheme="minorHAnsi" w:cstheme="minorHAnsi"/>
          <w:sz w:val="22"/>
        </w:rPr>
        <w:t xml:space="preserve"> at improving </w:t>
      </w:r>
      <w:r w:rsidR="009F16BA" w:rsidRPr="007C4D65">
        <w:rPr>
          <w:rFonts w:asciiTheme="minorHAnsi" w:hAnsiTheme="minorHAnsi" w:cstheme="minorHAnsi"/>
          <w:sz w:val="22"/>
        </w:rPr>
        <w:t xml:space="preserve">decision-making  </w:t>
      </w:r>
      <w:r w:rsidRPr="007C4D65">
        <w:rPr>
          <w:rFonts w:asciiTheme="minorHAnsi" w:hAnsiTheme="minorHAnsi" w:cstheme="minorHAnsi"/>
          <w:sz w:val="22"/>
        </w:rPr>
        <w:t xml:space="preserve"> processes and increasing the </w:t>
      </w:r>
      <w:r w:rsidR="00AE25FA" w:rsidRPr="007C4D65">
        <w:rPr>
          <w:rFonts w:asciiTheme="minorHAnsi" w:hAnsiTheme="minorHAnsi" w:cstheme="minorHAnsi"/>
          <w:sz w:val="22"/>
        </w:rPr>
        <w:t>stakeholders’ participation</w:t>
      </w:r>
      <w:r w:rsidRPr="007C4D65">
        <w:rPr>
          <w:rFonts w:asciiTheme="minorHAnsi" w:hAnsiTheme="minorHAnsi" w:cstheme="minorHAnsi"/>
          <w:sz w:val="22"/>
        </w:rPr>
        <w:t xml:space="preserve"> in the management. </w:t>
      </w:r>
      <w:r w:rsidR="00AE25FA" w:rsidRPr="007C4D65">
        <w:rPr>
          <w:rFonts w:asciiTheme="minorHAnsi" w:hAnsiTheme="minorHAnsi" w:cstheme="minorHAnsi"/>
          <w:sz w:val="22"/>
        </w:rPr>
        <w:t>Regulations</w:t>
      </w:r>
      <w:r w:rsidRPr="007C4D65">
        <w:rPr>
          <w:rFonts w:asciiTheme="minorHAnsi" w:hAnsiTheme="minorHAnsi" w:cstheme="minorHAnsi"/>
          <w:sz w:val="22"/>
        </w:rPr>
        <w:t xml:space="preserve"> essential for the environmental management in EU include the Directive on Environmental Impact Assessment, Directive on Strategic Impact Assessment, Directive on Access to Information, Public Participation and Access to Justice on </w:t>
      </w:r>
      <w:r w:rsidR="00AE25FA" w:rsidRPr="007C4D65">
        <w:rPr>
          <w:rFonts w:asciiTheme="minorHAnsi" w:hAnsiTheme="minorHAnsi" w:cstheme="minorHAnsi"/>
          <w:sz w:val="22"/>
        </w:rPr>
        <w:t>Environmental</w:t>
      </w:r>
      <w:r w:rsidRPr="007C4D65">
        <w:rPr>
          <w:rFonts w:asciiTheme="minorHAnsi" w:hAnsiTheme="minorHAnsi" w:cstheme="minorHAnsi"/>
          <w:sz w:val="22"/>
        </w:rPr>
        <w:t xml:space="preserve"> Matters, Environmental Liability, and several legal documents which regulate registration, licencing and inspection supervision of the compliance with the applicable requirements among environmental permit holders and other stakeholders.</w:t>
      </w:r>
    </w:p>
    <w:p w14:paraId="50CCAD54" w14:textId="6E52F648" w:rsidR="00475238" w:rsidRPr="007C4D65" w:rsidRDefault="00475238" w:rsidP="00475238">
      <w:pPr>
        <w:spacing w:line="276" w:lineRule="auto"/>
        <w:rPr>
          <w:rFonts w:asciiTheme="minorHAnsi" w:hAnsiTheme="minorHAnsi" w:cstheme="minorHAnsi"/>
        </w:rPr>
      </w:pPr>
      <w:bookmarkStart w:id="208" w:name="_Toc116539037"/>
      <w:bookmarkStart w:id="209" w:name="_Toc117011604"/>
      <w:r w:rsidRPr="007C4D65">
        <w:rPr>
          <w:rFonts w:asciiTheme="minorHAnsi" w:hAnsiTheme="minorHAnsi" w:cstheme="minorHAnsi"/>
          <w:b/>
          <w:i/>
          <w:sz w:val="20"/>
        </w:rPr>
        <w:t xml:space="preserve">Table </w:t>
      </w:r>
      <w:r w:rsidR="005D60DA" w:rsidRPr="007C4D65">
        <w:rPr>
          <w:rFonts w:asciiTheme="minorHAnsi" w:hAnsiTheme="minorHAnsi" w:cstheme="minorHAnsi"/>
          <w:b/>
          <w:i/>
          <w:sz w:val="20"/>
          <w:szCs w:val="20"/>
          <w:lang w:val="hr-HR"/>
        </w:rPr>
        <w:fldChar w:fldCharType="begin"/>
      </w:r>
      <w:r w:rsidR="005D60DA" w:rsidRPr="007C4D65">
        <w:rPr>
          <w:rFonts w:asciiTheme="minorHAnsi" w:hAnsiTheme="minorHAnsi" w:cstheme="minorHAnsi"/>
          <w:b/>
          <w:i/>
          <w:sz w:val="20"/>
          <w:szCs w:val="20"/>
          <w:lang w:val="hr-HR"/>
        </w:rPr>
        <w:instrText xml:space="preserve"> SEQ Tabela \* ARABIC </w:instrText>
      </w:r>
      <w:r w:rsidR="005D60DA" w:rsidRPr="007C4D65">
        <w:rPr>
          <w:rFonts w:asciiTheme="minorHAnsi" w:hAnsiTheme="minorHAnsi" w:cstheme="minorHAnsi"/>
          <w:b/>
          <w:i/>
          <w:sz w:val="20"/>
          <w:szCs w:val="20"/>
          <w:lang w:val="hr-HR"/>
        </w:rPr>
        <w:fldChar w:fldCharType="separate"/>
      </w:r>
      <w:r w:rsidR="005D60DA" w:rsidRPr="007C4D65">
        <w:rPr>
          <w:rFonts w:asciiTheme="minorHAnsi" w:hAnsiTheme="minorHAnsi" w:cstheme="minorHAnsi"/>
          <w:b/>
          <w:i/>
          <w:noProof/>
          <w:sz w:val="20"/>
          <w:szCs w:val="20"/>
          <w:lang w:val="hr-HR"/>
        </w:rPr>
        <w:t>25</w:t>
      </w:r>
      <w:r w:rsidR="005D60DA" w:rsidRPr="007C4D65">
        <w:rPr>
          <w:rFonts w:asciiTheme="minorHAnsi" w:hAnsiTheme="minorHAnsi" w:cstheme="minorHAnsi"/>
          <w:b/>
          <w:i/>
          <w:sz w:val="20"/>
          <w:szCs w:val="20"/>
          <w:lang w:val="hr-HR"/>
        </w:rPr>
        <w:fldChar w:fldCharType="end"/>
      </w:r>
      <w:r w:rsidRPr="007C4D65">
        <w:rPr>
          <w:rFonts w:asciiTheme="minorHAnsi" w:hAnsiTheme="minorHAnsi" w:cstheme="minorHAnsi"/>
          <w:b/>
        </w:rPr>
        <w:t>:</w:t>
      </w:r>
      <w:r w:rsidRPr="007C4D65">
        <w:rPr>
          <w:rFonts w:asciiTheme="minorHAnsi" w:hAnsiTheme="minorHAnsi" w:cstheme="minorHAnsi"/>
          <w:b/>
          <w:i/>
          <w:sz w:val="20"/>
        </w:rPr>
        <w:t xml:space="preserve"> </w:t>
      </w:r>
      <w:r w:rsidRPr="007C4D65">
        <w:rPr>
          <w:rFonts w:asciiTheme="minorHAnsi" w:hAnsiTheme="minorHAnsi" w:cstheme="minorHAnsi"/>
          <w:i/>
          <w:sz w:val="20"/>
        </w:rPr>
        <w:t>Indicators of impacts for strategic goal 7</w:t>
      </w:r>
      <w:bookmarkEnd w:id="208"/>
      <w:bookmarkEnd w:id="209"/>
    </w:p>
    <w:tbl>
      <w:tblPr>
        <w:tblStyle w:val="TableGridLight1"/>
        <w:tblW w:w="8926" w:type="dxa"/>
        <w:tblInd w:w="113" w:type="dxa"/>
        <w:tblLook w:val="04A0" w:firstRow="1" w:lastRow="0" w:firstColumn="1" w:lastColumn="0" w:noHBand="0" w:noVBand="1"/>
      </w:tblPr>
      <w:tblGrid>
        <w:gridCol w:w="2122"/>
        <w:gridCol w:w="2268"/>
        <w:gridCol w:w="2268"/>
        <w:gridCol w:w="2268"/>
      </w:tblGrid>
      <w:tr w:rsidR="00475238" w:rsidRPr="007C4D65" w14:paraId="27E648FF" w14:textId="77777777" w:rsidTr="00B6017F">
        <w:trPr>
          <w:trHeight w:val="421"/>
        </w:trPr>
        <w:tc>
          <w:tcPr>
            <w:tcW w:w="2122" w:type="dxa"/>
            <w:shd w:val="clear" w:color="auto" w:fill="009D73"/>
            <w:vAlign w:val="center"/>
          </w:tcPr>
          <w:p w14:paraId="57225A70" w14:textId="1BD5435C" w:rsidR="00475238" w:rsidRPr="007C4D65" w:rsidRDefault="00475238" w:rsidP="00B6017F">
            <w:pPr>
              <w:tabs>
                <w:tab w:val="left" w:pos="955"/>
              </w:tabs>
              <w:spacing w:line="276" w:lineRule="auto"/>
              <w:jc w:val="center"/>
              <w:rPr>
                <w:rFonts w:asciiTheme="minorHAnsi" w:hAnsiTheme="minorHAnsi" w:cstheme="minorHAnsi"/>
                <w:b/>
                <w:color w:val="FFFFFF" w:themeColor="background1"/>
                <w:sz w:val="18"/>
                <w:szCs w:val="18"/>
              </w:rPr>
            </w:pPr>
            <w:bookmarkStart w:id="210" w:name="_Hlk94260984"/>
            <w:r w:rsidRPr="007C4D65">
              <w:rPr>
                <w:rFonts w:asciiTheme="minorHAnsi" w:hAnsiTheme="minorHAnsi" w:cstheme="minorHAnsi"/>
                <w:b/>
                <w:color w:val="FFFFFF" w:themeColor="background1"/>
                <w:sz w:val="18"/>
              </w:rPr>
              <w:t xml:space="preserve">Strategic goal </w:t>
            </w:r>
            <w:r w:rsidR="008218CA" w:rsidRPr="007C4D65">
              <w:rPr>
                <w:rFonts w:asciiTheme="minorHAnsi" w:hAnsiTheme="minorHAnsi" w:cstheme="minorHAnsi"/>
                <w:b/>
                <w:color w:val="FFFFFF" w:themeColor="background1"/>
                <w:sz w:val="18"/>
              </w:rPr>
              <w:t>7</w:t>
            </w:r>
          </w:p>
        </w:tc>
        <w:tc>
          <w:tcPr>
            <w:tcW w:w="2268" w:type="dxa"/>
            <w:shd w:val="clear" w:color="auto" w:fill="009D73"/>
            <w:vAlign w:val="center"/>
          </w:tcPr>
          <w:p w14:paraId="5BF45C3E" w14:textId="77777777" w:rsidR="00475238" w:rsidRPr="007C4D65" w:rsidRDefault="00475238" w:rsidP="00B6017F">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Impact indicators</w:t>
            </w:r>
          </w:p>
        </w:tc>
        <w:tc>
          <w:tcPr>
            <w:tcW w:w="2268" w:type="dxa"/>
            <w:shd w:val="clear" w:color="auto" w:fill="009D73"/>
            <w:vAlign w:val="center"/>
          </w:tcPr>
          <w:p w14:paraId="4883A365" w14:textId="77777777" w:rsidR="00475238" w:rsidRPr="007C4D65" w:rsidRDefault="00475238" w:rsidP="00B6017F">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Baseline value</w:t>
            </w:r>
          </w:p>
        </w:tc>
        <w:tc>
          <w:tcPr>
            <w:tcW w:w="2268" w:type="dxa"/>
            <w:shd w:val="clear" w:color="auto" w:fill="009D73"/>
            <w:vAlign w:val="center"/>
          </w:tcPr>
          <w:p w14:paraId="7D20309B" w14:textId="77777777" w:rsidR="00475238" w:rsidRPr="007C4D65" w:rsidRDefault="00475238" w:rsidP="00B6017F">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Target value</w:t>
            </w:r>
          </w:p>
          <w:p w14:paraId="56F59F1F" w14:textId="77777777" w:rsidR="00475238" w:rsidRPr="007C4D65" w:rsidRDefault="00475238" w:rsidP="00B6017F">
            <w:pPr>
              <w:tabs>
                <w:tab w:val="left" w:pos="955"/>
              </w:tabs>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(To be determined in the initial years of the implementation)</w:t>
            </w:r>
          </w:p>
        </w:tc>
      </w:tr>
      <w:tr w:rsidR="00475238" w:rsidRPr="007C4D65" w14:paraId="5EE18447" w14:textId="77777777" w:rsidTr="00B6017F">
        <w:trPr>
          <w:trHeight w:val="360"/>
        </w:trPr>
        <w:tc>
          <w:tcPr>
            <w:tcW w:w="2122" w:type="dxa"/>
            <w:vAlign w:val="center"/>
          </w:tcPr>
          <w:p w14:paraId="488B2538" w14:textId="77777777" w:rsidR="00475238" w:rsidRPr="007C4D65" w:rsidRDefault="00475238" w:rsidP="00B6017F">
            <w:pPr>
              <w:tabs>
                <w:tab w:val="left" w:pos="955"/>
              </w:tabs>
              <w:spacing w:line="276" w:lineRule="auto"/>
              <w:rPr>
                <w:rFonts w:asciiTheme="minorHAnsi" w:hAnsiTheme="minorHAnsi" w:cstheme="minorHAnsi"/>
                <w:b/>
                <w:bCs/>
                <w:sz w:val="18"/>
                <w:szCs w:val="18"/>
              </w:rPr>
            </w:pPr>
            <w:r w:rsidRPr="007C4D65">
              <w:rPr>
                <w:rFonts w:asciiTheme="minorHAnsi" w:hAnsiTheme="minorHAnsi" w:cstheme="minorHAnsi"/>
                <w:i/>
                <w:sz w:val="18"/>
              </w:rPr>
              <w:t>Improving environmental management</w:t>
            </w:r>
          </w:p>
        </w:tc>
        <w:tc>
          <w:tcPr>
            <w:tcW w:w="2268" w:type="dxa"/>
            <w:vAlign w:val="center"/>
          </w:tcPr>
          <w:p w14:paraId="1D1FB33B" w14:textId="77777777" w:rsidR="00475238" w:rsidRPr="007C4D65" w:rsidRDefault="00475238"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Environmental costs</w:t>
            </w:r>
          </w:p>
        </w:tc>
        <w:tc>
          <w:tcPr>
            <w:tcW w:w="2268" w:type="dxa"/>
            <w:vAlign w:val="center"/>
          </w:tcPr>
          <w:p w14:paraId="642BA8C3" w14:textId="77777777" w:rsidR="00475238" w:rsidRPr="007C4D65" w:rsidRDefault="00475238" w:rsidP="00B6017F">
            <w:pPr>
              <w:spacing w:line="276" w:lineRule="auto"/>
              <w:rPr>
                <w:rFonts w:asciiTheme="minorHAnsi" w:eastAsia="Calibri" w:hAnsiTheme="minorHAnsi" w:cstheme="minorHAnsi"/>
                <w:sz w:val="18"/>
                <w:szCs w:val="18"/>
              </w:rPr>
            </w:pPr>
            <w:r w:rsidRPr="007C4D65">
              <w:rPr>
                <w:rFonts w:asciiTheme="minorHAnsi" w:hAnsiTheme="minorHAnsi" w:cstheme="minorHAnsi"/>
                <w:sz w:val="18"/>
              </w:rPr>
              <w:t xml:space="preserve">Total investments: </w:t>
            </w:r>
            <w:proofErr w:type="gramStart"/>
            <w:r w:rsidRPr="007C4D65">
              <w:rPr>
                <w:rFonts w:asciiTheme="minorHAnsi" w:hAnsiTheme="minorHAnsi" w:cstheme="minorHAnsi"/>
                <w:sz w:val="18"/>
              </w:rPr>
              <w:t>BAM  18,270,103</w:t>
            </w:r>
            <w:proofErr w:type="gramEnd"/>
          </w:p>
          <w:p w14:paraId="79F621DE" w14:textId="77777777" w:rsidR="00475238" w:rsidRPr="007C4D65" w:rsidRDefault="00475238" w:rsidP="00B6017F">
            <w:pPr>
              <w:spacing w:line="276" w:lineRule="auto"/>
              <w:rPr>
                <w:rFonts w:asciiTheme="minorHAnsi" w:eastAsia="Calibri" w:hAnsiTheme="minorHAnsi" w:cstheme="minorHAnsi"/>
                <w:sz w:val="18"/>
                <w:szCs w:val="18"/>
              </w:rPr>
            </w:pPr>
            <w:r w:rsidRPr="007C4D65">
              <w:rPr>
                <w:rFonts w:asciiTheme="minorHAnsi" w:hAnsiTheme="minorHAnsi" w:cstheme="minorHAnsi"/>
                <w:sz w:val="18"/>
              </w:rPr>
              <w:t xml:space="preserve">Total running costs </w:t>
            </w:r>
            <w:proofErr w:type="gramStart"/>
            <w:r w:rsidRPr="007C4D65">
              <w:rPr>
                <w:rFonts w:asciiTheme="minorHAnsi" w:hAnsiTheme="minorHAnsi" w:cstheme="minorHAnsi"/>
                <w:sz w:val="18"/>
              </w:rPr>
              <w:t>BAM  45,768,781</w:t>
            </w:r>
            <w:proofErr w:type="gramEnd"/>
          </w:p>
          <w:p w14:paraId="727E4A77" w14:textId="77777777" w:rsidR="00475238" w:rsidRPr="007C4D65" w:rsidRDefault="00475238" w:rsidP="00B6017F">
            <w:pPr>
              <w:tabs>
                <w:tab w:val="left" w:pos="955"/>
              </w:tabs>
              <w:spacing w:line="276" w:lineRule="auto"/>
              <w:rPr>
                <w:rFonts w:asciiTheme="minorHAnsi" w:hAnsiTheme="minorHAnsi" w:cstheme="minorHAnsi"/>
                <w:sz w:val="18"/>
                <w:szCs w:val="18"/>
              </w:rPr>
            </w:pPr>
            <w:r w:rsidRPr="007C4D65">
              <w:rPr>
                <w:rFonts w:asciiTheme="minorHAnsi" w:hAnsiTheme="minorHAnsi" w:cstheme="minorHAnsi"/>
                <w:sz w:val="18"/>
              </w:rPr>
              <w:t xml:space="preserve"> (2020)</w:t>
            </w:r>
          </w:p>
        </w:tc>
        <w:tc>
          <w:tcPr>
            <w:tcW w:w="2268" w:type="dxa"/>
            <w:vAlign w:val="center"/>
          </w:tcPr>
          <w:p w14:paraId="71FBAB24" w14:textId="77777777" w:rsidR="00475238" w:rsidRPr="007C4D65" w:rsidRDefault="00475238" w:rsidP="00B6017F">
            <w:pPr>
              <w:tabs>
                <w:tab w:val="left" w:pos="955"/>
              </w:tabs>
              <w:spacing w:line="276" w:lineRule="auto"/>
              <w:jc w:val="center"/>
              <w:rPr>
                <w:rFonts w:asciiTheme="minorHAnsi" w:hAnsiTheme="minorHAnsi" w:cstheme="minorHAnsi"/>
                <w:sz w:val="18"/>
                <w:szCs w:val="18"/>
              </w:rPr>
            </w:pPr>
            <w:r w:rsidRPr="007C4D65">
              <w:rPr>
                <w:rFonts w:asciiTheme="minorHAnsi" w:hAnsiTheme="minorHAnsi" w:cstheme="minorHAnsi"/>
                <w:sz w:val="18"/>
              </w:rPr>
              <w:t>...</w:t>
            </w:r>
          </w:p>
        </w:tc>
      </w:tr>
      <w:bookmarkEnd w:id="210"/>
    </w:tbl>
    <w:p w14:paraId="6BA98CA7" w14:textId="77777777" w:rsidR="00E254BC" w:rsidRPr="007C4D65" w:rsidRDefault="00E254BC" w:rsidP="0068355A">
      <w:pPr>
        <w:spacing w:line="276" w:lineRule="auto"/>
        <w:rPr>
          <w:rFonts w:asciiTheme="minorHAnsi" w:hAnsiTheme="minorHAnsi" w:cstheme="minorHAnsi"/>
        </w:rPr>
      </w:pPr>
    </w:p>
    <w:p w14:paraId="6285E112" w14:textId="77777777" w:rsidR="00E254BC" w:rsidRPr="007C4D65" w:rsidRDefault="009A1CFB">
      <w:pPr>
        <w:pStyle w:val="Head3"/>
        <w:spacing w:line="276" w:lineRule="auto"/>
        <w:rPr>
          <w:rFonts w:asciiTheme="minorHAnsi" w:hAnsiTheme="minorHAnsi"/>
        </w:rPr>
      </w:pPr>
      <w:bookmarkStart w:id="211" w:name="_Toc117445368"/>
      <w:r w:rsidRPr="007C4D65">
        <w:rPr>
          <w:rFonts w:asciiTheme="minorHAnsi" w:hAnsiTheme="minorHAnsi"/>
        </w:rPr>
        <w:t>Priorities for strategic goal 7</w:t>
      </w:r>
      <w:bookmarkEnd w:id="211"/>
    </w:p>
    <w:p w14:paraId="69CE8C4B" w14:textId="50EF9347" w:rsidR="00635C53" w:rsidRPr="007C4D65" w:rsidRDefault="00E254BC"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Priority </w:t>
      </w:r>
      <w:r w:rsidR="00635C53" w:rsidRPr="007C4D65">
        <w:rPr>
          <w:rFonts w:asciiTheme="minorHAnsi" w:hAnsiTheme="minorHAnsi" w:cstheme="minorHAnsi"/>
          <w:b/>
          <w:sz w:val="22"/>
        </w:rPr>
        <w:t xml:space="preserve">7.1 </w:t>
      </w:r>
      <w:r w:rsidR="005A2219" w:rsidRPr="007C4D65">
        <w:rPr>
          <w:rFonts w:asciiTheme="minorHAnsi" w:hAnsiTheme="minorHAnsi" w:cstheme="minorHAnsi"/>
          <w:b/>
          <w:sz w:val="22"/>
        </w:rPr>
        <w:t>Improving the legal framework and sectoral policies for planning, management and protection of the environment in the Federation of BiH with the view of fully aligning the legislation with the EU environmental acquis and international agreements</w:t>
      </w:r>
      <w:r w:rsidR="005A2219" w:rsidRPr="007C4D65">
        <w:rPr>
          <w:rFonts w:asciiTheme="minorHAnsi" w:hAnsiTheme="minorHAnsi" w:cstheme="minorHAnsi"/>
          <w:sz w:val="22"/>
        </w:rPr>
        <w:t xml:space="preserve"> through </w:t>
      </w:r>
      <w:r w:rsidR="00D95B26" w:rsidRPr="007C4D65">
        <w:rPr>
          <w:rFonts w:asciiTheme="minorHAnsi" w:hAnsiTheme="minorHAnsi" w:cstheme="minorHAnsi"/>
          <w:sz w:val="22"/>
        </w:rPr>
        <w:t>passing</w:t>
      </w:r>
      <w:r w:rsidR="00635C53" w:rsidRPr="007C4D65">
        <w:rPr>
          <w:rFonts w:asciiTheme="minorHAnsi" w:hAnsiTheme="minorHAnsi" w:cstheme="minorHAnsi"/>
          <w:sz w:val="22"/>
        </w:rPr>
        <w:t xml:space="preserve"> new laws and </w:t>
      </w:r>
      <w:r w:rsidR="00D95B26" w:rsidRPr="007C4D65">
        <w:rPr>
          <w:rFonts w:asciiTheme="minorHAnsi" w:hAnsiTheme="minorHAnsi" w:cstheme="minorHAnsi"/>
          <w:sz w:val="22"/>
        </w:rPr>
        <w:t>amending</w:t>
      </w:r>
      <w:r w:rsidR="00635C53" w:rsidRPr="007C4D65">
        <w:rPr>
          <w:rFonts w:asciiTheme="minorHAnsi" w:hAnsiTheme="minorHAnsi" w:cstheme="minorHAnsi"/>
          <w:sz w:val="22"/>
        </w:rPr>
        <w:t xml:space="preserve"> the applicable environmental legislation in the Federation of BiH.  A special focus will be placed on the implementation of the priority activities </w:t>
      </w:r>
      <w:r w:rsidR="00AE25FA" w:rsidRPr="007C4D65">
        <w:rPr>
          <w:rFonts w:asciiTheme="minorHAnsi" w:hAnsiTheme="minorHAnsi" w:cstheme="minorHAnsi"/>
          <w:sz w:val="22"/>
        </w:rPr>
        <w:t>specified</w:t>
      </w:r>
      <w:r w:rsidR="00635C53" w:rsidRPr="007C4D65">
        <w:rPr>
          <w:rFonts w:asciiTheme="minorHAnsi" w:hAnsiTheme="minorHAnsi" w:cstheme="minorHAnsi"/>
          <w:sz w:val="22"/>
        </w:rPr>
        <w:t xml:space="preserve"> in the National Programme of EU integration in accordance with the responsibilities of the Federation of BiH. The focus will also be directed towards drawing up, adoption and implementation of action plans for the implementation of EU environmental directives (APIDs).</w:t>
      </w:r>
    </w:p>
    <w:p w14:paraId="33E90C43" w14:textId="365F11B3"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rPr>
        <w:t>Priority 7.2 Ensuring effective implementation of the applicable legislation and international commitments</w:t>
      </w:r>
      <w:r w:rsidRPr="007C4D65">
        <w:rPr>
          <w:rFonts w:asciiTheme="minorHAnsi" w:hAnsiTheme="minorHAnsi" w:cstheme="minorHAnsi"/>
          <w:sz w:val="22"/>
        </w:rPr>
        <w:t xml:space="preserve"> through parallel activities aimed at increasing the level of the implementation of international agreement in accordance with responsibilities of the Federation of BiH. The action will focus on a more intensive application of the strategic impact assessment, ensuring conditions for the introduction of integrated environmental permits, and activities on the preparation of </w:t>
      </w:r>
      <w:r w:rsidR="004D2879" w:rsidRPr="007C4D65">
        <w:rPr>
          <w:rFonts w:asciiTheme="minorHAnsi" w:hAnsiTheme="minorHAnsi" w:cstheme="minorHAnsi"/>
          <w:sz w:val="22"/>
        </w:rPr>
        <w:t>t</w:t>
      </w:r>
      <w:r w:rsidR="007934C2" w:rsidRPr="007C4D65">
        <w:rPr>
          <w:rFonts w:asciiTheme="minorHAnsi" w:hAnsiTheme="minorHAnsi" w:cstheme="minorHAnsi"/>
          <w:sz w:val="22"/>
        </w:rPr>
        <w:t>echnical instructions</w:t>
      </w:r>
      <w:r w:rsidRPr="007C4D65">
        <w:rPr>
          <w:rFonts w:asciiTheme="minorHAnsi" w:hAnsiTheme="minorHAnsi" w:cstheme="minorHAnsi"/>
          <w:sz w:val="22"/>
        </w:rPr>
        <w:t xml:space="preserve"> for Best Available Techniques (BAT) in priority sectors.</w:t>
      </w:r>
    </w:p>
    <w:p w14:paraId="0E883937" w14:textId="2D1D710B"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Priority 7.3 </w:t>
      </w:r>
      <w:r w:rsidR="00864E60" w:rsidRPr="007C4D65">
        <w:rPr>
          <w:rFonts w:asciiTheme="minorHAnsi" w:hAnsiTheme="minorHAnsi" w:cstheme="minorHAnsi"/>
          <w:b/>
          <w:sz w:val="22"/>
        </w:rPr>
        <w:t xml:space="preserve">Maximise the </w:t>
      </w:r>
      <w:proofErr w:type="gramStart"/>
      <w:r w:rsidR="00864E60" w:rsidRPr="007C4D65">
        <w:rPr>
          <w:rFonts w:asciiTheme="minorHAnsi" w:hAnsiTheme="minorHAnsi" w:cstheme="minorHAnsi"/>
          <w:b/>
          <w:sz w:val="22"/>
        </w:rPr>
        <w:t>capacity  of</w:t>
      </w:r>
      <w:proofErr w:type="gramEnd"/>
      <w:r w:rsidR="00864E60" w:rsidRPr="007C4D65">
        <w:rPr>
          <w:rFonts w:asciiTheme="minorHAnsi" w:hAnsiTheme="minorHAnsi" w:cstheme="minorHAnsi"/>
          <w:b/>
          <w:sz w:val="22"/>
        </w:rPr>
        <w:t xml:space="preserve"> institutions and their coordination </w:t>
      </w:r>
      <w:r w:rsidRPr="007C4D65">
        <w:rPr>
          <w:rFonts w:asciiTheme="minorHAnsi" w:hAnsiTheme="minorHAnsi" w:cstheme="minorHAnsi"/>
          <w:sz w:val="22"/>
        </w:rPr>
        <w:t xml:space="preserve">through improved horizontal and vertical institutional coordination and capacity building of employees, particularly through formation of teams and </w:t>
      </w:r>
      <w:r w:rsidR="00AE25FA" w:rsidRPr="007C4D65">
        <w:rPr>
          <w:rFonts w:asciiTheme="minorHAnsi" w:hAnsiTheme="minorHAnsi" w:cstheme="minorHAnsi"/>
          <w:sz w:val="22"/>
        </w:rPr>
        <w:t>upgrading</w:t>
      </w:r>
      <w:r w:rsidRPr="007C4D65">
        <w:rPr>
          <w:rFonts w:asciiTheme="minorHAnsi" w:hAnsiTheme="minorHAnsi" w:cstheme="minorHAnsi"/>
          <w:sz w:val="22"/>
        </w:rPr>
        <w:t xml:space="preserve"> their skills required for the preparation and implementation of environmental projects.</w:t>
      </w:r>
      <w:r w:rsidRPr="007C4D65">
        <w:rPr>
          <w:rFonts w:asciiTheme="minorHAnsi" w:hAnsiTheme="minorHAnsi" w:cstheme="minorHAnsi"/>
          <w:sz w:val="22"/>
        </w:rPr>
        <w:cr/>
      </w:r>
      <w:r w:rsidRPr="007C4D65">
        <w:rPr>
          <w:rFonts w:asciiTheme="minorHAnsi" w:hAnsiTheme="minorHAnsi" w:cstheme="minorHAnsi"/>
          <w:sz w:val="22"/>
        </w:rPr>
        <w:lastRenderedPageBreak/>
        <w:br/>
        <w:t xml:space="preserve"> In accordance with the responsibilities of the Federation of BiH, options that may be considered to this end include improvement of the efficacy of the Inter-entity environmental body and establishment of the Environmental Agency in the Federation of BiH.</w:t>
      </w:r>
    </w:p>
    <w:p w14:paraId="1B07A26A" w14:textId="093294D4"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Priority 7.4 </w:t>
      </w:r>
      <w:r w:rsidR="00A323B2" w:rsidRPr="007C4D65">
        <w:rPr>
          <w:rFonts w:asciiTheme="minorHAnsi" w:hAnsiTheme="minorHAnsi" w:cstheme="minorHAnsi"/>
          <w:b/>
          <w:sz w:val="22"/>
        </w:rPr>
        <w:t xml:space="preserve">Ensuring strong public awareness on the importance of the environmental protection and their engagement in </w:t>
      </w:r>
      <w:r w:rsidR="009F16BA" w:rsidRPr="007C4D65">
        <w:rPr>
          <w:rFonts w:asciiTheme="minorHAnsi" w:hAnsiTheme="minorHAnsi" w:cstheme="minorHAnsi"/>
          <w:b/>
          <w:sz w:val="22"/>
        </w:rPr>
        <w:t xml:space="preserve">decision-making </w:t>
      </w:r>
      <w:r w:rsidR="00A323B2" w:rsidRPr="007C4D65">
        <w:rPr>
          <w:rFonts w:asciiTheme="minorHAnsi" w:hAnsiTheme="minorHAnsi" w:cstheme="minorHAnsi"/>
          <w:b/>
          <w:sz w:val="22"/>
        </w:rPr>
        <w:t>processes, focusing on women, youth and socially vulnerable groups</w:t>
      </w:r>
      <w:r w:rsidRPr="007C4D65">
        <w:rPr>
          <w:rFonts w:asciiTheme="minorHAnsi" w:hAnsiTheme="minorHAnsi" w:cstheme="minorHAnsi"/>
          <w:sz w:val="22"/>
        </w:rPr>
        <w:t xml:space="preserve"> through continued implementation of awareness raising activities on the importance of environment and participation in </w:t>
      </w:r>
      <w:r w:rsidR="009F16BA" w:rsidRPr="007C4D65">
        <w:rPr>
          <w:rFonts w:asciiTheme="minorHAnsi" w:hAnsiTheme="minorHAnsi" w:cstheme="minorHAnsi"/>
          <w:sz w:val="22"/>
        </w:rPr>
        <w:t xml:space="preserve">decision-making  </w:t>
      </w:r>
      <w:r w:rsidRPr="007C4D65">
        <w:rPr>
          <w:rFonts w:asciiTheme="minorHAnsi" w:hAnsiTheme="minorHAnsi" w:cstheme="minorHAnsi"/>
          <w:sz w:val="22"/>
        </w:rPr>
        <w:t xml:space="preserve"> processes, through cooperation among the institutions, civil society </w:t>
      </w:r>
      <w:r w:rsidR="00AE25FA" w:rsidRPr="007C4D65">
        <w:rPr>
          <w:rFonts w:asciiTheme="minorHAnsi" w:hAnsiTheme="minorHAnsi" w:cstheme="minorHAnsi"/>
          <w:sz w:val="22"/>
        </w:rPr>
        <w:t>organizations</w:t>
      </w:r>
      <w:r w:rsidRPr="007C4D65">
        <w:rPr>
          <w:rFonts w:asciiTheme="minorHAnsi" w:hAnsiTheme="minorHAnsi" w:cstheme="minorHAnsi"/>
          <w:sz w:val="22"/>
        </w:rPr>
        <w:t xml:space="preserve"> and media. Routine preparation and publication of reports on the state of environment in the Federation of BiH aimed at providing a broad understanding of these issues among the </w:t>
      </w:r>
      <w:proofErr w:type="gramStart"/>
      <w:r w:rsidRPr="007C4D65">
        <w:rPr>
          <w:rFonts w:asciiTheme="minorHAnsi" w:hAnsiTheme="minorHAnsi" w:cstheme="minorHAnsi"/>
          <w:sz w:val="22"/>
        </w:rPr>
        <w:t>general public</w:t>
      </w:r>
      <w:proofErr w:type="gramEnd"/>
      <w:r w:rsidRPr="007C4D65">
        <w:rPr>
          <w:rFonts w:asciiTheme="minorHAnsi" w:hAnsiTheme="minorHAnsi" w:cstheme="minorHAnsi"/>
          <w:sz w:val="22"/>
        </w:rPr>
        <w:t xml:space="preserve"> will be an important aspect of these efforts.</w:t>
      </w:r>
    </w:p>
    <w:p w14:paraId="0EEE6F2A" w14:textId="1219C80A"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Priority 7.5 </w:t>
      </w:r>
      <w:r w:rsidR="00A901FB" w:rsidRPr="007C4D65">
        <w:rPr>
          <w:rFonts w:asciiTheme="minorHAnsi" w:hAnsiTheme="minorHAnsi" w:cstheme="minorHAnsi"/>
          <w:b/>
          <w:sz w:val="22"/>
        </w:rPr>
        <w:t>Set up an efficient system for record keeping and transparent reporting of environmental data in the Federation of BiH, in consultation with the Partnership 27</w:t>
      </w:r>
      <w:r w:rsidRPr="007C4D65">
        <w:rPr>
          <w:rFonts w:asciiTheme="minorHAnsi" w:hAnsiTheme="minorHAnsi" w:cstheme="minorHAnsi"/>
          <w:sz w:val="22"/>
        </w:rPr>
        <w:t>, primarily through upgrading the current environmental monitoring system development of the environmental management information system in accordance with the Law on Environmental Protection. The adequacy of data and reports generated through the information system shall provide for regular monitoring of environmental performance, but also for functional reporting in accordance with the requirements of the international bodies, in consultation with the Partnership 27. This Partnership was founded by the civil society organisations in 2019 with the view of monitoring the approximation process and application of policies and regulations in BiH in compliance with EU acquis, focusing on Chapter 27 on environment and climate change. A special attention will be given to establishment of the functional spatial data exchange system in the Federation of B</w:t>
      </w:r>
      <w:r w:rsidR="006C5EE4" w:rsidRPr="007C4D65">
        <w:rPr>
          <w:rFonts w:asciiTheme="minorHAnsi" w:hAnsiTheme="minorHAnsi" w:cstheme="minorHAnsi"/>
          <w:sz w:val="22"/>
        </w:rPr>
        <w:t>i</w:t>
      </w:r>
      <w:r w:rsidRPr="007C4D65">
        <w:rPr>
          <w:rFonts w:asciiTheme="minorHAnsi" w:hAnsiTheme="minorHAnsi" w:cstheme="minorHAnsi"/>
          <w:sz w:val="22"/>
        </w:rPr>
        <w:t>H pursuant to Annexes I, II and III INSPIRE Directive, and establishment of a</w:t>
      </w:r>
      <w:r w:rsidR="00AE25FA" w:rsidRPr="007C4D65">
        <w:rPr>
          <w:rFonts w:asciiTheme="minorHAnsi" w:hAnsiTheme="minorHAnsi" w:cstheme="minorHAnsi"/>
          <w:sz w:val="22"/>
        </w:rPr>
        <w:t xml:space="preserve">n effective </w:t>
      </w:r>
      <w:r w:rsidRPr="007C4D65">
        <w:rPr>
          <w:rFonts w:asciiTheme="minorHAnsi" w:hAnsiTheme="minorHAnsi" w:cstheme="minorHAnsi"/>
          <w:sz w:val="22"/>
        </w:rPr>
        <w:t>PRTR. Considerable efforts will also be put in development of environmental statistics– monitoring of sustainable development indicators in the Federation of BiH in the thematic area of Environment, as well as in establishment of the European Environmental Economic Accounts.</w:t>
      </w:r>
    </w:p>
    <w:p w14:paraId="6C2B49A4" w14:textId="23FE1324"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rPr>
        <w:t>Priority 7.6 Ensuring a strong synergy in cross-sectoral and inter-sectoral action, and integration of public environmental policies</w:t>
      </w:r>
      <w:r w:rsidRPr="007C4D65">
        <w:rPr>
          <w:rFonts w:asciiTheme="minorHAnsi" w:hAnsiTheme="minorHAnsi" w:cstheme="minorHAnsi"/>
          <w:sz w:val="22"/>
        </w:rPr>
        <w:t xml:space="preserve"> through a more intensive inter-sectoral cooperation aimed at integrating environmental requirements into sectoral policies and legislation. In the context of climate change, a special focus will be placed on integrating the requirements of the Climate Change Adaptation and Low Emission Development Strategy for BiH in the sectoral polices of the Federation of BiH. Another focus will be on the integration of the standards and principles of gender equality, social equality and, poverty issues into the key environmental policies, strategies and programs. These aspects of cross-sectoral cooperation, </w:t>
      </w:r>
      <w:r w:rsidR="0083630B" w:rsidRPr="007C4D65">
        <w:rPr>
          <w:rFonts w:asciiTheme="minorHAnsi" w:hAnsiTheme="minorHAnsi" w:cstheme="minorHAnsi"/>
          <w:sz w:val="22"/>
        </w:rPr>
        <w:t>led</w:t>
      </w:r>
      <w:r w:rsidRPr="007C4D65">
        <w:rPr>
          <w:rFonts w:asciiTheme="minorHAnsi" w:hAnsiTheme="minorHAnsi" w:cstheme="minorHAnsi"/>
          <w:sz w:val="22"/>
        </w:rPr>
        <w:t xml:space="preserve"> by the environmental sector, are important for the preparation of a clear policy for application of a circular economy The development of this document will </w:t>
      </w:r>
      <w:r w:rsidR="006C5EE4" w:rsidRPr="007C4D65">
        <w:rPr>
          <w:rFonts w:asciiTheme="minorHAnsi" w:hAnsiTheme="minorHAnsi" w:cstheme="minorHAnsi"/>
          <w:sz w:val="22"/>
        </w:rPr>
        <w:t>rely</w:t>
      </w:r>
      <w:r w:rsidRPr="007C4D65">
        <w:rPr>
          <w:rFonts w:asciiTheme="minorHAnsi" w:hAnsiTheme="minorHAnsi" w:cstheme="minorHAnsi"/>
          <w:sz w:val="22"/>
        </w:rPr>
        <w:t xml:space="preserve"> on the </w:t>
      </w:r>
      <w:r w:rsidRPr="007C4D65">
        <w:rPr>
          <w:rFonts w:asciiTheme="minorHAnsi" w:hAnsiTheme="minorHAnsi" w:cstheme="minorHAnsi"/>
          <w:i/>
          <w:sz w:val="22"/>
        </w:rPr>
        <w:t>Green Deal for Western Balkans</w:t>
      </w:r>
      <w:r w:rsidRPr="007C4D65">
        <w:rPr>
          <w:rFonts w:asciiTheme="minorHAnsi" w:hAnsiTheme="minorHAnsi" w:cstheme="minorHAnsi"/>
          <w:sz w:val="22"/>
        </w:rPr>
        <w:t>, which requires action aimed at transitioning to a circular economy (sustainable production and consumption).</w:t>
      </w:r>
    </w:p>
    <w:p w14:paraId="53B4F8EF" w14:textId="04D66EA3"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b/>
          <w:sz w:val="22"/>
        </w:rPr>
        <w:t>Priority 7.7 Ensuring financial sustainability of the environmental sector in the Federation of BiH</w:t>
      </w:r>
      <w:r w:rsidRPr="007C4D65">
        <w:rPr>
          <w:rFonts w:asciiTheme="minorHAnsi" w:hAnsiTheme="minorHAnsi" w:cstheme="minorHAnsi"/>
          <w:sz w:val="22"/>
        </w:rPr>
        <w:t xml:space="preserve"> through adequate implementation of the existing economic instruments, introduction of the new– innovative and stimulative economic instruments for environmental funding and a greater use of available EU funds and other international funds intended for environmental protection and complementary sectors. The </w:t>
      </w:r>
      <w:r w:rsidR="001E6E20" w:rsidRPr="007C4D65">
        <w:rPr>
          <w:rFonts w:asciiTheme="minorHAnsi" w:hAnsiTheme="minorHAnsi" w:cstheme="minorHAnsi"/>
          <w:sz w:val="22"/>
        </w:rPr>
        <w:t>Federation Ministry</w:t>
      </w:r>
      <w:r w:rsidRPr="007C4D65">
        <w:rPr>
          <w:rFonts w:asciiTheme="minorHAnsi" w:hAnsiTheme="minorHAnsi" w:cstheme="minorHAnsi"/>
          <w:sz w:val="22"/>
        </w:rPr>
        <w:t xml:space="preserve"> of Finance, Ministry of Foreign Trade and Economic </w:t>
      </w:r>
      <w:r w:rsidRPr="007C4D65">
        <w:rPr>
          <w:rFonts w:asciiTheme="minorHAnsi" w:hAnsiTheme="minorHAnsi" w:cstheme="minorHAnsi"/>
          <w:sz w:val="22"/>
        </w:rPr>
        <w:lastRenderedPageBreak/>
        <w:t xml:space="preserve">Relations of BiH and Herzegovina, will be involved in all the aspect of the fiscal policy on the environmental protection (facilities for the import of specific eco-friendly products, etc), also </w:t>
      </w:r>
      <w:proofErr w:type="gramStart"/>
      <w:r w:rsidRPr="007C4D65">
        <w:rPr>
          <w:rFonts w:asciiTheme="minorHAnsi" w:hAnsiTheme="minorHAnsi" w:cstheme="minorHAnsi"/>
          <w:sz w:val="22"/>
        </w:rPr>
        <w:t>taking into account</w:t>
      </w:r>
      <w:proofErr w:type="gramEnd"/>
      <w:r w:rsidRPr="007C4D65">
        <w:rPr>
          <w:rFonts w:asciiTheme="minorHAnsi" w:hAnsiTheme="minorHAnsi" w:cstheme="minorHAnsi"/>
          <w:sz w:val="22"/>
        </w:rPr>
        <w:t xml:space="preserve"> a potential for the use of dedicated international funds.</w:t>
      </w:r>
    </w:p>
    <w:p w14:paraId="60BED971" w14:textId="2E360B7F" w:rsidR="00635C53" w:rsidRPr="007C4D65" w:rsidRDefault="00635C53" w:rsidP="00635C53">
      <w:pPr>
        <w:spacing w:before="240" w:after="240" w:line="276" w:lineRule="auto"/>
        <w:jc w:val="both"/>
        <w:rPr>
          <w:rFonts w:asciiTheme="minorHAnsi" w:hAnsiTheme="minorHAnsi" w:cstheme="minorHAnsi"/>
          <w:sz w:val="22"/>
          <w:szCs w:val="22"/>
        </w:rPr>
      </w:pPr>
      <w:r w:rsidRPr="007C4D65">
        <w:rPr>
          <w:rFonts w:asciiTheme="minorHAnsi" w:hAnsiTheme="minorHAnsi" w:cstheme="minorHAnsi"/>
          <w:b/>
          <w:sz w:val="22"/>
        </w:rPr>
        <w:t xml:space="preserve">Priority 7.8 Setting up a system for </w:t>
      </w:r>
      <w:r w:rsidR="009F16BA" w:rsidRPr="007C4D65">
        <w:rPr>
          <w:rFonts w:asciiTheme="minorHAnsi" w:hAnsiTheme="minorHAnsi" w:cstheme="minorHAnsi"/>
          <w:b/>
          <w:sz w:val="22"/>
        </w:rPr>
        <w:t>strategic decision-making</w:t>
      </w:r>
      <w:r w:rsidRPr="007C4D65">
        <w:rPr>
          <w:rFonts w:asciiTheme="minorHAnsi" w:hAnsiTheme="minorHAnsi" w:cstheme="minorHAnsi"/>
          <w:b/>
          <w:sz w:val="22"/>
        </w:rPr>
        <w:t>, investments and monitoring of results in education</w:t>
      </w:r>
      <w:r w:rsidRPr="007C4D65">
        <w:rPr>
          <w:rFonts w:asciiTheme="minorHAnsi" w:hAnsiTheme="minorHAnsi" w:cstheme="minorHAnsi"/>
          <w:sz w:val="22"/>
        </w:rPr>
        <w:t xml:space="preserve">, </w:t>
      </w:r>
      <w:r w:rsidRPr="007C4D65">
        <w:rPr>
          <w:rFonts w:asciiTheme="minorHAnsi" w:hAnsiTheme="minorHAnsi" w:cstheme="minorHAnsi"/>
          <w:b/>
          <w:sz w:val="22"/>
        </w:rPr>
        <w:t>research and innovations in the environment sector,</w:t>
      </w:r>
      <w:r w:rsidRPr="007C4D65">
        <w:rPr>
          <w:rFonts w:asciiTheme="minorHAnsi" w:hAnsiTheme="minorHAnsi" w:cstheme="minorHAnsi"/>
          <w:sz w:val="22"/>
        </w:rPr>
        <w:t xml:space="preserve"> including through activities aimed at continued improvement of integration of environmental issues into curricula of the educational institutions, which should also cover </w:t>
      </w:r>
      <w:r w:rsidR="00A24C9A">
        <w:rPr>
          <w:rFonts w:asciiTheme="minorHAnsi" w:hAnsiTheme="minorHAnsi" w:cstheme="minorHAnsi"/>
          <w:sz w:val="22"/>
        </w:rPr>
        <w:t>nonformal</w:t>
      </w:r>
      <w:r w:rsidRPr="007C4D65">
        <w:rPr>
          <w:rFonts w:asciiTheme="minorHAnsi" w:hAnsiTheme="minorHAnsi" w:cstheme="minorHAnsi"/>
          <w:sz w:val="22"/>
        </w:rPr>
        <w:t xml:space="preserve"> education, pursuant to the Law on Environmental Protection of the Federation of BiH, strengthening capacity and eco-pedagogical competencies of employees of educational institutions. The </w:t>
      </w:r>
      <w:r w:rsidR="0083630B" w:rsidRPr="007C4D65">
        <w:rPr>
          <w:rFonts w:asciiTheme="minorHAnsi" w:hAnsiTheme="minorHAnsi" w:cstheme="minorHAnsi"/>
          <w:sz w:val="22"/>
        </w:rPr>
        <w:t xml:space="preserve">second </w:t>
      </w:r>
      <w:r w:rsidRPr="007C4D65">
        <w:rPr>
          <w:rFonts w:asciiTheme="minorHAnsi" w:hAnsiTheme="minorHAnsi" w:cstheme="minorHAnsi"/>
          <w:sz w:val="22"/>
        </w:rPr>
        <w:t>are</w:t>
      </w:r>
      <w:r w:rsidR="0083630B" w:rsidRPr="007C4D65">
        <w:rPr>
          <w:rFonts w:asciiTheme="minorHAnsi" w:hAnsiTheme="minorHAnsi" w:cstheme="minorHAnsi"/>
          <w:sz w:val="22"/>
        </w:rPr>
        <w:t>a</w:t>
      </w:r>
      <w:r w:rsidRPr="007C4D65">
        <w:rPr>
          <w:rFonts w:asciiTheme="minorHAnsi" w:hAnsiTheme="minorHAnsi" w:cstheme="minorHAnsi"/>
          <w:sz w:val="22"/>
        </w:rPr>
        <w:t xml:space="preserve"> of intervention will include capacity building for environmental research and development.</w:t>
      </w:r>
    </w:p>
    <w:p w14:paraId="6E5611BB" w14:textId="2F9816EA" w:rsidR="00E254BC" w:rsidRPr="007C4D65" w:rsidRDefault="0083630B" w:rsidP="0068355A">
      <w:pPr>
        <w:spacing w:line="276" w:lineRule="auto"/>
        <w:rPr>
          <w:rFonts w:asciiTheme="minorHAnsi" w:hAnsiTheme="minorHAnsi" w:cstheme="minorHAnsi"/>
          <w:b/>
          <w:i/>
          <w:iCs/>
          <w:sz w:val="20"/>
          <w:szCs w:val="20"/>
        </w:rPr>
      </w:pPr>
      <w:bookmarkStart w:id="212" w:name="_Toc117011605"/>
      <w:r w:rsidRPr="007C4D65">
        <w:rPr>
          <w:rFonts w:asciiTheme="minorHAnsi" w:hAnsiTheme="minorHAnsi" w:cstheme="minorHAnsi"/>
          <w:b/>
          <w:i/>
          <w:color w:val="000000" w:themeColor="text1"/>
          <w:sz w:val="20"/>
        </w:rPr>
        <w:t>Table</w:t>
      </w:r>
      <w:r w:rsidR="00E254BC" w:rsidRPr="007C4D65">
        <w:rPr>
          <w:rFonts w:asciiTheme="minorHAnsi" w:hAnsiTheme="minorHAnsi" w:cstheme="minorHAnsi"/>
          <w:b/>
          <w:i/>
          <w:color w:val="000000" w:themeColor="text1"/>
          <w:sz w:val="20"/>
        </w:rPr>
        <w:t xml:space="preserve"> </w:t>
      </w:r>
      <w:r w:rsidR="005D60DA" w:rsidRPr="007C4D65">
        <w:rPr>
          <w:rFonts w:asciiTheme="minorHAnsi" w:hAnsiTheme="minorHAnsi" w:cstheme="minorHAnsi"/>
          <w:b/>
          <w:i/>
          <w:sz w:val="20"/>
          <w:szCs w:val="20"/>
          <w:lang w:val="hr-HR"/>
        </w:rPr>
        <w:fldChar w:fldCharType="begin"/>
      </w:r>
      <w:r w:rsidR="005D60DA" w:rsidRPr="007C4D65">
        <w:rPr>
          <w:rFonts w:asciiTheme="minorHAnsi" w:hAnsiTheme="minorHAnsi" w:cstheme="minorHAnsi"/>
          <w:b/>
          <w:i/>
          <w:sz w:val="20"/>
          <w:szCs w:val="20"/>
          <w:lang w:val="hr-HR"/>
        </w:rPr>
        <w:instrText xml:space="preserve"> SEQ Tabela \* ARABIC </w:instrText>
      </w:r>
      <w:r w:rsidR="005D60DA" w:rsidRPr="007C4D65">
        <w:rPr>
          <w:rFonts w:asciiTheme="minorHAnsi" w:hAnsiTheme="minorHAnsi" w:cstheme="minorHAnsi"/>
          <w:b/>
          <w:i/>
          <w:sz w:val="20"/>
          <w:szCs w:val="20"/>
          <w:lang w:val="hr-HR"/>
        </w:rPr>
        <w:fldChar w:fldCharType="separate"/>
      </w:r>
      <w:r w:rsidR="005D60DA" w:rsidRPr="007C4D65">
        <w:rPr>
          <w:rFonts w:asciiTheme="minorHAnsi" w:hAnsiTheme="minorHAnsi" w:cstheme="minorHAnsi"/>
          <w:b/>
          <w:i/>
          <w:noProof/>
          <w:sz w:val="20"/>
          <w:szCs w:val="20"/>
          <w:lang w:val="hr-HR"/>
        </w:rPr>
        <w:t>26</w:t>
      </w:r>
      <w:r w:rsidR="005D60DA" w:rsidRPr="007C4D65">
        <w:rPr>
          <w:rFonts w:asciiTheme="minorHAnsi" w:hAnsiTheme="minorHAnsi" w:cstheme="minorHAnsi"/>
          <w:b/>
          <w:i/>
          <w:sz w:val="20"/>
          <w:szCs w:val="20"/>
          <w:lang w:val="hr-HR"/>
        </w:rPr>
        <w:fldChar w:fldCharType="end"/>
      </w:r>
      <w:r w:rsidR="00E254BC" w:rsidRPr="007C4D65">
        <w:rPr>
          <w:rFonts w:asciiTheme="minorHAnsi" w:hAnsiTheme="minorHAnsi" w:cstheme="minorHAnsi"/>
          <w:b/>
          <w:i/>
          <w:color w:val="000000" w:themeColor="text1"/>
          <w:sz w:val="20"/>
        </w:rPr>
        <w:t xml:space="preserve">: </w:t>
      </w:r>
      <w:r w:rsidR="00E254BC" w:rsidRPr="007C4D65">
        <w:rPr>
          <w:rFonts w:asciiTheme="minorHAnsi" w:hAnsiTheme="minorHAnsi" w:cstheme="minorHAnsi"/>
          <w:i/>
          <w:color w:val="000000" w:themeColor="text1"/>
          <w:sz w:val="20"/>
        </w:rPr>
        <w:t>Priorities with relevant indicators</w:t>
      </w:r>
      <w:bookmarkEnd w:id="212"/>
    </w:p>
    <w:tbl>
      <w:tblPr>
        <w:tblStyle w:val="TABLICAHAOP9"/>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24"/>
        <w:gridCol w:w="2278"/>
        <w:gridCol w:w="2687"/>
        <w:gridCol w:w="2645"/>
      </w:tblGrid>
      <w:tr w:rsidR="00635C53" w:rsidRPr="007C4D65" w14:paraId="475ADC98" w14:textId="77777777" w:rsidTr="00635C53">
        <w:trPr>
          <w:tblHeader/>
        </w:trPr>
        <w:tc>
          <w:tcPr>
            <w:tcW w:w="2024" w:type="dxa"/>
            <w:shd w:val="clear" w:color="auto" w:fill="009D73"/>
            <w:vAlign w:val="center"/>
          </w:tcPr>
          <w:p w14:paraId="18ECEA21" w14:textId="77777777" w:rsidR="00635C53" w:rsidRPr="007C4D65" w:rsidRDefault="00635C53"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Priorities</w:t>
            </w:r>
          </w:p>
        </w:tc>
        <w:tc>
          <w:tcPr>
            <w:tcW w:w="2278" w:type="dxa"/>
            <w:shd w:val="clear" w:color="auto" w:fill="009D73"/>
            <w:vAlign w:val="center"/>
          </w:tcPr>
          <w:p w14:paraId="53DEAEBB" w14:textId="77777777" w:rsidR="00635C53" w:rsidRPr="007C4D65" w:rsidRDefault="00635C53"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Indicator of deliverable</w:t>
            </w:r>
          </w:p>
        </w:tc>
        <w:tc>
          <w:tcPr>
            <w:tcW w:w="2687" w:type="dxa"/>
            <w:shd w:val="clear" w:color="auto" w:fill="009D73"/>
            <w:vAlign w:val="center"/>
          </w:tcPr>
          <w:p w14:paraId="20E2255C" w14:textId="77777777" w:rsidR="00635C53" w:rsidRPr="007C4D65" w:rsidRDefault="00635C53"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Baseline value</w:t>
            </w:r>
          </w:p>
        </w:tc>
        <w:tc>
          <w:tcPr>
            <w:tcW w:w="2645" w:type="dxa"/>
            <w:shd w:val="clear" w:color="auto" w:fill="009D73"/>
            <w:vAlign w:val="center"/>
          </w:tcPr>
          <w:p w14:paraId="1EC003B4" w14:textId="77777777" w:rsidR="00635C53" w:rsidRPr="007C4D65" w:rsidRDefault="00635C53"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Target value</w:t>
            </w:r>
          </w:p>
        </w:tc>
      </w:tr>
      <w:tr w:rsidR="00635C53" w:rsidRPr="007C4D65" w14:paraId="3E43D306" w14:textId="77777777" w:rsidTr="00635C53">
        <w:trPr>
          <w:trHeight w:val="300"/>
        </w:trPr>
        <w:tc>
          <w:tcPr>
            <w:tcW w:w="2024" w:type="dxa"/>
            <w:vMerge w:val="restart"/>
          </w:tcPr>
          <w:p w14:paraId="03CD82A6"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7.1 </w:t>
            </w:r>
          </w:p>
          <w:p w14:paraId="7E19BC18" w14:textId="4FB692F3" w:rsidR="00635C53" w:rsidRPr="007C4D65" w:rsidRDefault="005A2219" w:rsidP="00B6017F">
            <w:pPr>
              <w:spacing w:line="276" w:lineRule="auto"/>
              <w:rPr>
                <w:rFonts w:asciiTheme="minorHAnsi" w:hAnsiTheme="minorHAnsi" w:cstheme="minorHAnsi"/>
                <w:sz w:val="18"/>
                <w:szCs w:val="18"/>
              </w:rPr>
            </w:pPr>
            <w:r w:rsidRPr="007C4D65">
              <w:rPr>
                <w:rFonts w:asciiTheme="minorHAnsi" w:hAnsiTheme="minorHAnsi" w:cstheme="minorHAnsi"/>
                <w:b/>
                <w:sz w:val="18"/>
              </w:rPr>
              <w:t>Improving the legal framework and sectoral policies for planning, management and protection of the environment in the Federation of BiH with the view of fully aligning the legislation with the EU environmental acquis and international agreements</w:t>
            </w:r>
          </w:p>
        </w:tc>
        <w:tc>
          <w:tcPr>
            <w:tcW w:w="2278" w:type="dxa"/>
          </w:tcPr>
          <w:p w14:paraId="3C51E1D9"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Compliance of the environmental legislation of the Federation of BiH with the EU acquis. </w:t>
            </w:r>
          </w:p>
        </w:tc>
        <w:tc>
          <w:tcPr>
            <w:tcW w:w="2687" w:type="dxa"/>
          </w:tcPr>
          <w:p w14:paraId="2C5228DC"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Partial compliance (2021)</w:t>
            </w:r>
          </w:p>
          <w:p w14:paraId="66F65065"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Environmental legislation of the Federation </w:t>
            </w:r>
            <w:proofErr w:type="gramStart"/>
            <w:r w:rsidRPr="007C4D65">
              <w:rPr>
                <w:rFonts w:asciiTheme="minorHAnsi" w:hAnsiTheme="minorHAnsi" w:cstheme="minorHAnsi"/>
                <w:sz w:val="18"/>
              </w:rPr>
              <w:t>of  BiH</w:t>
            </w:r>
            <w:proofErr w:type="gramEnd"/>
            <w:r w:rsidRPr="007C4D65">
              <w:rPr>
                <w:rFonts w:asciiTheme="minorHAnsi" w:hAnsiTheme="minorHAnsi" w:cstheme="minorHAnsi"/>
                <w:sz w:val="18"/>
              </w:rPr>
              <w:t xml:space="preserve"> is:</w:t>
            </w:r>
          </w:p>
          <w:p w14:paraId="12770FAE" w14:textId="77777777" w:rsidR="00635C53" w:rsidRPr="007C4D65" w:rsidRDefault="00635C53" w:rsidP="00635C53">
            <w:pPr>
              <w:numPr>
                <w:ilvl w:val="0"/>
                <w:numId w:val="50"/>
              </w:numPr>
              <w:spacing w:line="276" w:lineRule="auto"/>
              <w:ind w:left="200" w:hanging="200"/>
              <w:contextualSpacing/>
              <w:rPr>
                <w:rFonts w:asciiTheme="minorHAnsi" w:hAnsiTheme="minorHAnsi" w:cstheme="minorHAnsi"/>
                <w:sz w:val="18"/>
                <w:szCs w:val="18"/>
              </w:rPr>
            </w:pPr>
            <w:r w:rsidRPr="007C4D65">
              <w:rPr>
                <w:rFonts w:asciiTheme="minorHAnsi" w:hAnsiTheme="minorHAnsi" w:cstheme="minorHAnsi"/>
                <w:sz w:val="18"/>
              </w:rPr>
              <w:t xml:space="preserve">Highly aligned with 6 directives and 1 </w:t>
            </w:r>
            <w:proofErr w:type="gramStart"/>
            <w:r w:rsidRPr="007C4D65">
              <w:rPr>
                <w:rFonts w:asciiTheme="minorHAnsi" w:hAnsiTheme="minorHAnsi" w:cstheme="minorHAnsi"/>
                <w:sz w:val="18"/>
              </w:rPr>
              <w:t>regulation;</w:t>
            </w:r>
            <w:proofErr w:type="gramEnd"/>
          </w:p>
          <w:p w14:paraId="7CA149A5" w14:textId="77777777" w:rsidR="00635C53" w:rsidRPr="007C4D65" w:rsidRDefault="00635C53" w:rsidP="00635C53">
            <w:pPr>
              <w:numPr>
                <w:ilvl w:val="0"/>
                <w:numId w:val="50"/>
              </w:numPr>
              <w:spacing w:line="276" w:lineRule="auto"/>
              <w:ind w:left="200" w:hanging="200"/>
              <w:contextualSpacing/>
              <w:rPr>
                <w:rFonts w:asciiTheme="minorHAnsi" w:hAnsiTheme="minorHAnsi" w:cstheme="minorHAnsi"/>
                <w:sz w:val="18"/>
                <w:szCs w:val="18"/>
              </w:rPr>
            </w:pPr>
            <w:r w:rsidRPr="007C4D65">
              <w:rPr>
                <w:rFonts w:asciiTheme="minorHAnsi" w:hAnsiTheme="minorHAnsi" w:cstheme="minorHAnsi"/>
                <w:sz w:val="18"/>
              </w:rPr>
              <w:t xml:space="preserve">Partly aligned with 1 </w:t>
            </w:r>
            <w:proofErr w:type="gramStart"/>
            <w:r w:rsidRPr="007C4D65">
              <w:rPr>
                <w:rFonts w:asciiTheme="minorHAnsi" w:hAnsiTheme="minorHAnsi" w:cstheme="minorHAnsi"/>
                <w:sz w:val="18"/>
              </w:rPr>
              <w:t>Directives;</w:t>
            </w:r>
            <w:proofErr w:type="gramEnd"/>
          </w:p>
          <w:p w14:paraId="52932B10" w14:textId="77777777" w:rsidR="00635C53" w:rsidRPr="007C4D65" w:rsidRDefault="00635C53" w:rsidP="00635C53">
            <w:pPr>
              <w:numPr>
                <w:ilvl w:val="0"/>
                <w:numId w:val="50"/>
              </w:numPr>
              <w:spacing w:line="276" w:lineRule="auto"/>
              <w:ind w:left="200" w:hanging="200"/>
              <w:contextualSpacing/>
              <w:rPr>
                <w:rFonts w:asciiTheme="minorHAnsi" w:hAnsiTheme="minorHAnsi" w:cstheme="minorHAnsi"/>
                <w:sz w:val="18"/>
                <w:szCs w:val="18"/>
              </w:rPr>
            </w:pPr>
            <w:r w:rsidRPr="007C4D65">
              <w:rPr>
                <w:rFonts w:asciiTheme="minorHAnsi" w:hAnsiTheme="minorHAnsi" w:cstheme="minorHAnsi"/>
                <w:sz w:val="18"/>
              </w:rPr>
              <w:t>Not aligned with 2 Directives</w:t>
            </w:r>
          </w:p>
        </w:tc>
        <w:tc>
          <w:tcPr>
            <w:tcW w:w="2645" w:type="dxa"/>
          </w:tcPr>
          <w:p w14:paraId="72E7E2D8" w14:textId="37921056" w:rsidR="00635C53" w:rsidRPr="007C4D65" w:rsidRDefault="006C5EE4" w:rsidP="00B6017F">
            <w:pPr>
              <w:spacing w:line="276" w:lineRule="auto"/>
              <w:rPr>
                <w:rFonts w:asciiTheme="minorHAnsi" w:hAnsiTheme="minorHAnsi" w:cstheme="minorHAnsi"/>
                <w:sz w:val="18"/>
                <w:szCs w:val="18"/>
              </w:rPr>
            </w:pPr>
            <w:r w:rsidRPr="007C4D65">
              <w:rPr>
                <w:rFonts w:asciiTheme="minorHAnsi" w:hAnsiTheme="minorHAnsi" w:cstheme="minorHAnsi"/>
                <w:sz w:val="18"/>
              </w:rPr>
              <w:t>Environmental</w:t>
            </w:r>
            <w:r w:rsidR="00635C53" w:rsidRPr="007C4D65">
              <w:rPr>
                <w:rFonts w:asciiTheme="minorHAnsi" w:hAnsiTheme="minorHAnsi" w:cstheme="minorHAnsi"/>
                <w:sz w:val="18"/>
              </w:rPr>
              <w:t xml:space="preserve"> legislation of the Federation of BiH is aligned with 9 Directives and one Regulation</w:t>
            </w:r>
          </w:p>
          <w:p w14:paraId="44F67719"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(2030)</w:t>
            </w:r>
          </w:p>
        </w:tc>
      </w:tr>
      <w:tr w:rsidR="00635C53" w:rsidRPr="007C4D65" w14:paraId="6365539C" w14:textId="77777777" w:rsidTr="00635C53">
        <w:trPr>
          <w:trHeight w:val="300"/>
        </w:trPr>
        <w:tc>
          <w:tcPr>
            <w:tcW w:w="2024" w:type="dxa"/>
            <w:vMerge/>
            <w:vAlign w:val="center"/>
          </w:tcPr>
          <w:p w14:paraId="4B0357F5"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5A52367B"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Availability of Action Plans for the Implementation of Directives, in accordance with the Environmental Approximation Programme of the Federation of BiH</w:t>
            </w:r>
          </w:p>
        </w:tc>
        <w:tc>
          <w:tcPr>
            <w:tcW w:w="2687" w:type="dxa"/>
          </w:tcPr>
          <w:p w14:paraId="1F00FCC7"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Action Plans for the Implementation of EU Directives (APIDs) in the environmental management sector were not prepared (2021)</w:t>
            </w:r>
          </w:p>
        </w:tc>
        <w:tc>
          <w:tcPr>
            <w:tcW w:w="2645" w:type="dxa"/>
          </w:tcPr>
          <w:p w14:paraId="03EE2DF2"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Priority Action Plans for the Implementation of EU Directives (APIDs) in the environmental management sector adopted and progressively implemented (2030)</w:t>
            </w:r>
          </w:p>
        </w:tc>
      </w:tr>
      <w:tr w:rsidR="00635C53" w:rsidRPr="007C4D65" w14:paraId="7A560EB5" w14:textId="77777777" w:rsidTr="00635C53">
        <w:trPr>
          <w:trHeight w:val="300"/>
        </w:trPr>
        <w:tc>
          <w:tcPr>
            <w:tcW w:w="2024" w:type="dxa"/>
            <w:vMerge/>
            <w:vAlign w:val="center"/>
          </w:tcPr>
          <w:p w14:paraId="41457870"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212A48B1"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Fining policies in the environment sector defined</w:t>
            </w:r>
          </w:p>
        </w:tc>
        <w:tc>
          <w:tcPr>
            <w:tcW w:w="2687" w:type="dxa"/>
          </w:tcPr>
          <w:p w14:paraId="6E336645"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There are no provisions on fines in relation to pollution and environmental damages, and remedies for damages inflicted (2021)</w:t>
            </w:r>
          </w:p>
        </w:tc>
        <w:tc>
          <w:tcPr>
            <w:tcW w:w="2645" w:type="dxa"/>
          </w:tcPr>
          <w:p w14:paraId="44E75935" w14:textId="6A7C68D1"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w:t>
            </w:r>
            <w:r w:rsidR="000A0DEF" w:rsidRPr="007C4D65">
              <w:rPr>
                <w:rFonts w:asciiTheme="minorHAnsi" w:hAnsiTheme="minorHAnsi" w:cstheme="minorHAnsi"/>
                <w:sz w:val="18"/>
              </w:rPr>
              <w:t>sanctions policy</w:t>
            </w:r>
            <w:r w:rsidRPr="007C4D65">
              <w:rPr>
                <w:rFonts w:asciiTheme="minorHAnsi" w:hAnsiTheme="minorHAnsi" w:cstheme="minorHAnsi"/>
                <w:sz w:val="18"/>
              </w:rPr>
              <w:t xml:space="preserve"> in the environmental protection sector clearly defined (2026)</w:t>
            </w:r>
            <w:r w:rsidRPr="007C4D65">
              <w:rPr>
                <w:rFonts w:asciiTheme="minorHAnsi" w:hAnsiTheme="minorHAnsi" w:cstheme="minorHAnsi"/>
                <w:sz w:val="18"/>
              </w:rPr>
              <w:br/>
              <w:t xml:space="preserve"> (2026)</w:t>
            </w:r>
          </w:p>
        </w:tc>
      </w:tr>
      <w:tr w:rsidR="00635C53" w:rsidRPr="007C4D65" w14:paraId="30EB0914" w14:textId="77777777" w:rsidTr="00635C53">
        <w:trPr>
          <w:trHeight w:val="300"/>
        </w:trPr>
        <w:tc>
          <w:tcPr>
            <w:tcW w:w="2024" w:type="dxa"/>
            <w:vMerge/>
            <w:vAlign w:val="center"/>
          </w:tcPr>
          <w:p w14:paraId="527F2865"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733D813B"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Compliance of the legal and strategic framework in the environmental management sector with </w:t>
            </w:r>
            <w:proofErr w:type="gramStart"/>
            <w:r w:rsidRPr="007C4D65">
              <w:rPr>
                <w:rFonts w:asciiTheme="minorHAnsi" w:hAnsiTheme="minorHAnsi" w:cstheme="minorHAnsi"/>
                <w:sz w:val="18"/>
              </w:rPr>
              <w:t>the  international</w:t>
            </w:r>
            <w:proofErr w:type="gramEnd"/>
            <w:r w:rsidRPr="007C4D65">
              <w:rPr>
                <w:rFonts w:asciiTheme="minorHAnsi" w:hAnsiTheme="minorHAnsi" w:cstheme="minorHAnsi"/>
                <w:sz w:val="18"/>
              </w:rPr>
              <w:t xml:space="preserve"> and national gender equality standards</w:t>
            </w:r>
          </w:p>
        </w:tc>
        <w:tc>
          <w:tcPr>
            <w:tcW w:w="2687" w:type="dxa"/>
          </w:tcPr>
          <w:p w14:paraId="1993ACC5" w14:textId="20B20FEE"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legal and strategic framework in the environmental management sector fall short of </w:t>
            </w:r>
            <w:r w:rsidR="0083630B" w:rsidRPr="007C4D65">
              <w:rPr>
                <w:rFonts w:asciiTheme="minorHAnsi" w:hAnsiTheme="minorHAnsi" w:cstheme="minorHAnsi"/>
                <w:sz w:val="18"/>
              </w:rPr>
              <w:t>international</w:t>
            </w:r>
            <w:r w:rsidRPr="007C4D65">
              <w:rPr>
                <w:rFonts w:asciiTheme="minorHAnsi" w:hAnsiTheme="minorHAnsi" w:cstheme="minorHAnsi"/>
                <w:sz w:val="18"/>
              </w:rPr>
              <w:t xml:space="preserve"> and national gender equality standards (2021)</w:t>
            </w:r>
          </w:p>
        </w:tc>
        <w:tc>
          <w:tcPr>
            <w:tcW w:w="2645" w:type="dxa"/>
          </w:tcPr>
          <w:p w14:paraId="5157D09D"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Compliance of the legal and strategic framework in the environmental management sector with both </w:t>
            </w:r>
            <w:proofErr w:type="gramStart"/>
            <w:r w:rsidRPr="007C4D65">
              <w:rPr>
                <w:rFonts w:asciiTheme="minorHAnsi" w:hAnsiTheme="minorHAnsi" w:cstheme="minorHAnsi"/>
                <w:sz w:val="18"/>
              </w:rPr>
              <w:t>the  international</w:t>
            </w:r>
            <w:proofErr w:type="gramEnd"/>
            <w:r w:rsidRPr="007C4D65">
              <w:rPr>
                <w:rFonts w:asciiTheme="minorHAnsi" w:hAnsiTheme="minorHAnsi" w:cstheme="minorHAnsi"/>
                <w:sz w:val="18"/>
              </w:rPr>
              <w:t xml:space="preserve"> and national gender equality standards increased significantly (2030)</w:t>
            </w:r>
          </w:p>
        </w:tc>
      </w:tr>
      <w:tr w:rsidR="00635C53" w:rsidRPr="007C4D65" w14:paraId="344F6A0D" w14:textId="77777777" w:rsidTr="00635C53">
        <w:trPr>
          <w:trHeight w:val="300"/>
        </w:trPr>
        <w:tc>
          <w:tcPr>
            <w:tcW w:w="2024" w:type="dxa"/>
            <w:vMerge w:val="restart"/>
          </w:tcPr>
          <w:p w14:paraId="43C80946"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7.2 </w:t>
            </w:r>
          </w:p>
          <w:p w14:paraId="6C18A76E"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b/>
                <w:sz w:val="18"/>
              </w:rPr>
              <w:t>Ensuring effective implementation of the applicable legislation and international commitments</w:t>
            </w:r>
          </w:p>
        </w:tc>
        <w:tc>
          <w:tcPr>
            <w:tcW w:w="2278" w:type="dxa"/>
          </w:tcPr>
          <w:p w14:paraId="08DC2179"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Level of the implementation of international environmental agreements</w:t>
            </w:r>
          </w:p>
        </w:tc>
        <w:tc>
          <w:tcPr>
            <w:tcW w:w="2687" w:type="dxa"/>
          </w:tcPr>
          <w:p w14:paraId="7FFCD1D4"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Insufficient implementation of international environmental agreements (2021)</w:t>
            </w:r>
          </w:p>
        </w:tc>
        <w:tc>
          <w:tcPr>
            <w:tcW w:w="2645" w:type="dxa"/>
          </w:tcPr>
          <w:p w14:paraId="210ABF08"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Effective implementation of the international environmental agreements ensured (2027)</w:t>
            </w:r>
          </w:p>
        </w:tc>
      </w:tr>
      <w:tr w:rsidR="00635C53" w:rsidRPr="007C4D65" w14:paraId="156CD004" w14:textId="77777777" w:rsidTr="00635C53">
        <w:trPr>
          <w:trHeight w:val="300"/>
        </w:trPr>
        <w:tc>
          <w:tcPr>
            <w:tcW w:w="2024" w:type="dxa"/>
            <w:vMerge/>
            <w:vAlign w:val="center"/>
          </w:tcPr>
          <w:p w14:paraId="65A44DE3"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6B4CDD25"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Application of the of strategic environmental assessment</w:t>
            </w:r>
          </w:p>
        </w:tc>
        <w:tc>
          <w:tcPr>
            <w:tcW w:w="2687" w:type="dxa"/>
          </w:tcPr>
          <w:p w14:paraId="7ECCD2EB"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Limited </w:t>
            </w:r>
            <w:proofErr w:type="gramStart"/>
            <w:r w:rsidRPr="007C4D65">
              <w:rPr>
                <w:rFonts w:asciiTheme="minorHAnsi" w:hAnsiTheme="minorHAnsi" w:cstheme="minorHAnsi"/>
                <w:sz w:val="18"/>
              </w:rPr>
              <w:t>application  of</w:t>
            </w:r>
            <w:proofErr w:type="gramEnd"/>
            <w:r w:rsidRPr="007C4D65">
              <w:rPr>
                <w:rFonts w:asciiTheme="minorHAnsi" w:hAnsiTheme="minorHAnsi" w:cstheme="minorHAnsi"/>
                <w:sz w:val="18"/>
              </w:rPr>
              <w:t xml:space="preserve"> the strategic environmental assessment instrument (2021)</w:t>
            </w:r>
          </w:p>
        </w:tc>
        <w:tc>
          <w:tcPr>
            <w:tcW w:w="2645" w:type="dxa"/>
          </w:tcPr>
          <w:p w14:paraId="12C47297"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Strategic environmental assessments of all documents /projects which require SEA consistently undertaken (2024)</w:t>
            </w:r>
          </w:p>
        </w:tc>
      </w:tr>
      <w:tr w:rsidR="00635C53" w:rsidRPr="007C4D65" w14:paraId="3FDA439E" w14:textId="77777777" w:rsidTr="00635C53">
        <w:trPr>
          <w:trHeight w:val="300"/>
        </w:trPr>
        <w:tc>
          <w:tcPr>
            <w:tcW w:w="2024" w:type="dxa"/>
            <w:vMerge/>
            <w:vAlign w:val="center"/>
          </w:tcPr>
          <w:p w14:paraId="0A74F609"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440F5CCF"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Integral permitting procedures</w:t>
            </w:r>
          </w:p>
        </w:tc>
        <w:tc>
          <w:tcPr>
            <w:tcW w:w="2687" w:type="dxa"/>
          </w:tcPr>
          <w:p w14:paraId="1C684B1E"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Federation of BiH has not started issuing integrated permits, as regulated in the EU </w:t>
            </w:r>
            <w:r w:rsidRPr="007C4D65">
              <w:rPr>
                <w:rFonts w:asciiTheme="minorHAnsi" w:hAnsiTheme="minorHAnsi" w:cstheme="minorHAnsi"/>
                <w:sz w:val="18"/>
              </w:rPr>
              <w:lastRenderedPageBreak/>
              <w:t>Directive 2010/75/EU on industrial emissions (2021)</w:t>
            </w:r>
          </w:p>
        </w:tc>
        <w:tc>
          <w:tcPr>
            <w:tcW w:w="2645" w:type="dxa"/>
          </w:tcPr>
          <w:p w14:paraId="6816702C"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lastRenderedPageBreak/>
              <w:t>Prerequisites for integrated environmental permitting ensured (2026)</w:t>
            </w:r>
          </w:p>
        </w:tc>
      </w:tr>
      <w:tr w:rsidR="00635C53" w:rsidRPr="007C4D65" w14:paraId="47B61826" w14:textId="77777777" w:rsidTr="00635C53">
        <w:trPr>
          <w:trHeight w:val="300"/>
        </w:trPr>
        <w:tc>
          <w:tcPr>
            <w:tcW w:w="2024" w:type="dxa"/>
            <w:vMerge/>
            <w:vAlign w:val="center"/>
          </w:tcPr>
          <w:p w14:paraId="3360D300"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248B6F3C" w14:textId="6B176DE8"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Stage of development of </w:t>
            </w:r>
            <w:r w:rsidR="004D2879" w:rsidRPr="007C4D65">
              <w:rPr>
                <w:rFonts w:asciiTheme="minorHAnsi" w:hAnsiTheme="minorHAnsi" w:cstheme="minorHAnsi"/>
                <w:sz w:val="18"/>
              </w:rPr>
              <w:t>t</w:t>
            </w:r>
            <w:r w:rsidR="007934C2" w:rsidRPr="007C4D65">
              <w:rPr>
                <w:rFonts w:asciiTheme="minorHAnsi" w:hAnsiTheme="minorHAnsi" w:cstheme="minorHAnsi"/>
                <w:sz w:val="18"/>
              </w:rPr>
              <w:t>echnical instructions</w:t>
            </w:r>
            <w:r w:rsidRPr="007C4D65">
              <w:rPr>
                <w:rFonts w:asciiTheme="minorHAnsi" w:hAnsiTheme="minorHAnsi" w:cstheme="minorHAnsi"/>
                <w:sz w:val="18"/>
              </w:rPr>
              <w:t xml:space="preserve"> for best available techniques (BATs) for priority sectors</w:t>
            </w:r>
          </w:p>
        </w:tc>
        <w:tc>
          <w:tcPr>
            <w:tcW w:w="2687" w:type="dxa"/>
          </w:tcPr>
          <w:p w14:paraId="1437082C" w14:textId="2FEB5F91"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Law on Environmental Protection requires the application of best available </w:t>
            </w:r>
            <w:r w:rsidR="006C5EE4" w:rsidRPr="007C4D65">
              <w:rPr>
                <w:rFonts w:asciiTheme="minorHAnsi" w:hAnsiTheme="minorHAnsi" w:cstheme="minorHAnsi"/>
                <w:sz w:val="18"/>
              </w:rPr>
              <w:t>techniques;</w:t>
            </w:r>
            <w:r w:rsidRPr="007C4D65">
              <w:rPr>
                <w:rFonts w:asciiTheme="minorHAnsi" w:hAnsiTheme="minorHAnsi" w:cstheme="minorHAnsi"/>
                <w:sz w:val="18"/>
              </w:rPr>
              <w:t xml:space="preserve"> however, the practical implementation of this requirement is limited. The </w:t>
            </w:r>
            <w:r w:rsidR="007934C2" w:rsidRPr="007C4D65">
              <w:rPr>
                <w:rFonts w:asciiTheme="minorHAnsi" w:hAnsiTheme="minorHAnsi" w:cstheme="minorHAnsi"/>
                <w:sz w:val="18"/>
              </w:rPr>
              <w:t>technical instructions</w:t>
            </w:r>
            <w:r w:rsidRPr="007C4D65">
              <w:rPr>
                <w:rFonts w:asciiTheme="minorHAnsi" w:hAnsiTheme="minorHAnsi" w:cstheme="minorHAnsi"/>
                <w:sz w:val="18"/>
              </w:rPr>
              <w:t xml:space="preserve"> on the best available techniques (BAT) and reference documents on the best available techniques (BREFs) were not translated into the official languages of BiH. In the Federation of BiH, the </w:t>
            </w:r>
            <w:r w:rsidR="004D2879" w:rsidRPr="007C4D65">
              <w:rPr>
                <w:rFonts w:asciiTheme="minorHAnsi" w:hAnsiTheme="minorHAnsi" w:cstheme="minorHAnsi"/>
                <w:sz w:val="18"/>
              </w:rPr>
              <w:t>t</w:t>
            </w:r>
            <w:r w:rsidR="007934C2" w:rsidRPr="007C4D65">
              <w:rPr>
                <w:rFonts w:asciiTheme="minorHAnsi" w:hAnsiTheme="minorHAnsi" w:cstheme="minorHAnsi"/>
                <w:sz w:val="18"/>
              </w:rPr>
              <w:t>echnical instructions</w:t>
            </w:r>
            <w:r w:rsidRPr="007C4D65">
              <w:rPr>
                <w:rFonts w:asciiTheme="minorHAnsi" w:hAnsiTheme="minorHAnsi" w:cstheme="minorHAnsi"/>
                <w:sz w:val="18"/>
              </w:rPr>
              <w:t xml:space="preserve"> on BAT were developed for the following sectors of food industry and agriculture: livestock slaughterhouses, meat processing, fish farming and processing, milk processing and milk products, fruit and vegetable processing and bear breweries. Subsequently, within the Project “Support to implementation of IPPC Directive (</w:t>
            </w:r>
            <w:proofErr w:type="spellStart"/>
            <w:r w:rsidRPr="007C4D65">
              <w:rPr>
                <w:rFonts w:asciiTheme="minorHAnsi" w:hAnsiTheme="minorHAnsi" w:cstheme="minorHAnsi"/>
                <w:sz w:val="18"/>
              </w:rPr>
              <w:t>EuropAid</w:t>
            </w:r>
            <w:proofErr w:type="spellEnd"/>
            <w:r w:rsidRPr="007C4D65">
              <w:rPr>
                <w:rFonts w:asciiTheme="minorHAnsi" w:hAnsiTheme="minorHAnsi" w:cstheme="minorHAnsi"/>
                <w:sz w:val="18"/>
              </w:rPr>
              <w:t xml:space="preserve">/126648/C/SER/BA)” the Federation of BiH prepared the </w:t>
            </w:r>
            <w:r w:rsidR="004D2879" w:rsidRPr="007C4D65">
              <w:rPr>
                <w:rFonts w:asciiTheme="minorHAnsi" w:hAnsiTheme="minorHAnsi" w:cstheme="minorHAnsi"/>
                <w:sz w:val="18"/>
              </w:rPr>
              <w:t>t</w:t>
            </w:r>
            <w:r w:rsidR="007934C2" w:rsidRPr="007C4D65">
              <w:rPr>
                <w:rFonts w:asciiTheme="minorHAnsi" w:hAnsiTheme="minorHAnsi" w:cstheme="minorHAnsi"/>
                <w:sz w:val="18"/>
              </w:rPr>
              <w:t>echnical instructions</w:t>
            </w:r>
            <w:r w:rsidRPr="007C4D65">
              <w:rPr>
                <w:rFonts w:asciiTheme="minorHAnsi" w:hAnsiTheme="minorHAnsi" w:cstheme="minorHAnsi"/>
                <w:sz w:val="18"/>
              </w:rPr>
              <w:t xml:space="preserve"> for the following sectors: stone extraction, large furnaces, surface protection of metals and plastics, and coating with molten metal, and for monitoring (2021)</w:t>
            </w:r>
          </w:p>
        </w:tc>
        <w:tc>
          <w:tcPr>
            <w:tcW w:w="2645" w:type="dxa"/>
          </w:tcPr>
          <w:p w14:paraId="1E413C61" w14:textId="09BB2873" w:rsidR="00635C53" w:rsidRPr="007C4D65" w:rsidRDefault="007934C2" w:rsidP="00B6017F">
            <w:pPr>
              <w:spacing w:line="276" w:lineRule="auto"/>
              <w:rPr>
                <w:rFonts w:asciiTheme="minorHAnsi" w:hAnsiTheme="minorHAnsi" w:cstheme="minorHAnsi"/>
                <w:sz w:val="18"/>
                <w:szCs w:val="18"/>
              </w:rPr>
            </w:pPr>
            <w:r w:rsidRPr="007C4D65">
              <w:rPr>
                <w:rFonts w:asciiTheme="minorHAnsi" w:hAnsiTheme="minorHAnsi" w:cstheme="minorHAnsi"/>
                <w:sz w:val="18"/>
              </w:rPr>
              <w:t>Technical instructions</w:t>
            </w:r>
            <w:r w:rsidR="00635C53" w:rsidRPr="007C4D65">
              <w:rPr>
                <w:rFonts w:asciiTheme="minorHAnsi" w:hAnsiTheme="minorHAnsi" w:cstheme="minorHAnsi"/>
                <w:sz w:val="18"/>
              </w:rPr>
              <w:t xml:space="preserve"> for best available techniques (BAT) for activities for which BAT have been defined and prepared (2028).</w:t>
            </w:r>
          </w:p>
        </w:tc>
      </w:tr>
      <w:tr w:rsidR="00635C53" w:rsidRPr="007C4D65" w14:paraId="79AC8393" w14:textId="77777777" w:rsidTr="00635C53">
        <w:trPr>
          <w:trHeight w:val="300"/>
        </w:trPr>
        <w:tc>
          <w:tcPr>
            <w:tcW w:w="2024" w:type="dxa"/>
            <w:vMerge w:val="restart"/>
          </w:tcPr>
          <w:p w14:paraId="2FC94B83"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Priority 7.3</w:t>
            </w:r>
          </w:p>
          <w:p w14:paraId="5862B508" w14:textId="099971D1" w:rsidR="00635C53" w:rsidRPr="007C4D65" w:rsidRDefault="00864E60" w:rsidP="00B6017F">
            <w:pPr>
              <w:spacing w:line="276" w:lineRule="auto"/>
              <w:rPr>
                <w:rFonts w:asciiTheme="minorHAnsi" w:hAnsiTheme="minorHAnsi" w:cstheme="minorHAnsi"/>
                <w:sz w:val="18"/>
                <w:szCs w:val="18"/>
              </w:rPr>
            </w:pPr>
            <w:r w:rsidRPr="007C4D65">
              <w:rPr>
                <w:rFonts w:asciiTheme="minorHAnsi" w:hAnsiTheme="minorHAnsi" w:cstheme="minorHAnsi"/>
                <w:b/>
                <w:sz w:val="18"/>
              </w:rPr>
              <w:t xml:space="preserve">Maximise the </w:t>
            </w:r>
            <w:proofErr w:type="gramStart"/>
            <w:r w:rsidRPr="007C4D65">
              <w:rPr>
                <w:rFonts w:asciiTheme="minorHAnsi" w:hAnsiTheme="minorHAnsi" w:cstheme="minorHAnsi"/>
                <w:b/>
                <w:sz w:val="18"/>
              </w:rPr>
              <w:t>capacity  of</w:t>
            </w:r>
            <w:proofErr w:type="gramEnd"/>
            <w:r w:rsidRPr="007C4D65">
              <w:rPr>
                <w:rFonts w:asciiTheme="minorHAnsi" w:hAnsiTheme="minorHAnsi" w:cstheme="minorHAnsi"/>
                <w:b/>
                <w:sz w:val="18"/>
              </w:rPr>
              <w:t xml:space="preserve"> institutions and their coordination</w:t>
            </w:r>
          </w:p>
        </w:tc>
        <w:tc>
          <w:tcPr>
            <w:tcW w:w="2278" w:type="dxa"/>
          </w:tcPr>
          <w:p w14:paraId="5DC7E8F1"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Effectiveness </w:t>
            </w:r>
            <w:proofErr w:type="gramStart"/>
            <w:r w:rsidRPr="007C4D65">
              <w:rPr>
                <w:rFonts w:asciiTheme="minorHAnsi" w:hAnsiTheme="minorHAnsi" w:cstheme="minorHAnsi"/>
                <w:sz w:val="18"/>
              </w:rPr>
              <w:t>of  mechanisms</w:t>
            </w:r>
            <w:proofErr w:type="gramEnd"/>
            <w:r w:rsidRPr="007C4D65">
              <w:rPr>
                <w:rFonts w:asciiTheme="minorHAnsi" w:hAnsiTheme="minorHAnsi" w:cstheme="minorHAnsi"/>
                <w:sz w:val="18"/>
              </w:rPr>
              <w:t xml:space="preserve"> for institutional coordination of work of the environmental institutions</w:t>
            </w:r>
          </w:p>
        </w:tc>
        <w:tc>
          <w:tcPr>
            <w:tcW w:w="2687" w:type="dxa"/>
          </w:tcPr>
          <w:p w14:paraId="59405B1D"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Lack of an effective mechanisms for institutional coordination of work of the environmental institutions (2021)</w:t>
            </w:r>
          </w:p>
          <w:p w14:paraId="14F44127"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There is no vertical coordination and communication among the cantons/municipalities and the Federation of BiH, and no horizontal coordination (inter-entity - among FBiH, </w:t>
            </w:r>
            <w:proofErr w:type="spellStart"/>
            <w:r w:rsidRPr="007C4D65">
              <w:rPr>
                <w:rFonts w:asciiTheme="minorHAnsi" w:hAnsiTheme="minorHAnsi" w:cstheme="minorHAnsi"/>
                <w:sz w:val="18"/>
              </w:rPr>
              <w:t>Republika</w:t>
            </w:r>
            <w:proofErr w:type="spellEnd"/>
            <w:r w:rsidRPr="007C4D65">
              <w:rPr>
                <w:rFonts w:asciiTheme="minorHAnsi" w:hAnsiTheme="minorHAnsi" w:cstheme="minorHAnsi"/>
                <w:sz w:val="18"/>
              </w:rPr>
              <w:t xml:space="preserve"> Srpska and Brcko District, and coordination between the individual cantons and municipalities respectively)</w:t>
            </w:r>
          </w:p>
        </w:tc>
        <w:tc>
          <w:tcPr>
            <w:tcW w:w="2645" w:type="dxa"/>
          </w:tcPr>
          <w:p w14:paraId="797431EE"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Functional mechanisms for institutional coordination of work of the environmental institutions established (2025)</w:t>
            </w:r>
          </w:p>
        </w:tc>
      </w:tr>
      <w:tr w:rsidR="00635C53" w:rsidRPr="007C4D65" w14:paraId="31852287" w14:textId="77777777" w:rsidTr="00635C53">
        <w:trPr>
          <w:trHeight w:val="300"/>
        </w:trPr>
        <w:tc>
          <w:tcPr>
            <w:tcW w:w="2024" w:type="dxa"/>
            <w:vMerge/>
            <w:vAlign w:val="center"/>
          </w:tcPr>
          <w:p w14:paraId="6A409204"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4A2E87C8"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Efficacy of the work of the Environmental Inter-entity Body</w:t>
            </w:r>
          </w:p>
        </w:tc>
        <w:tc>
          <w:tcPr>
            <w:tcW w:w="2687" w:type="dxa"/>
          </w:tcPr>
          <w:p w14:paraId="761BE5CF"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work of the Environmental Inter-entity Body is ineffective and inefficient, while its decisions are not legally binding (2021)</w:t>
            </w:r>
          </w:p>
        </w:tc>
        <w:tc>
          <w:tcPr>
            <w:tcW w:w="2645" w:type="dxa"/>
          </w:tcPr>
          <w:p w14:paraId="274C3475"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A coordinated and harmonised approach to addressing environmental management issues in both entities and Brcko District BiH ensured through </w:t>
            </w:r>
            <w:r w:rsidRPr="007C4D65">
              <w:rPr>
                <w:rFonts w:asciiTheme="minorHAnsi" w:hAnsiTheme="minorHAnsi" w:cstheme="minorHAnsi"/>
                <w:sz w:val="18"/>
              </w:rPr>
              <w:lastRenderedPageBreak/>
              <w:t>increased efficacy the Environmental Inter-entity Body (2024)</w:t>
            </w:r>
          </w:p>
        </w:tc>
      </w:tr>
      <w:tr w:rsidR="00635C53" w:rsidRPr="007C4D65" w14:paraId="0E45C733" w14:textId="77777777" w:rsidTr="00635C53">
        <w:trPr>
          <w:trHeight w:val="300"/>
        </w:trPr>
        <w:tc>
          <w:tcPr>
            <w:tcW w:w="2024" w:type="dxa"/>
            <w:vMerge/>
            <w:vAlign w:val="center"/>
          </w:tcPr>
          <w:p w14:paraId="5B8A6D75"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6896083A"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Efficacy of institutional structures </w:t>
            </w:r>
            <w:proofErr w:type="gramStart"/>
            <w:r w:rsidRPr="007C4D65">
              <w:rPr>
                <w:rFonts w:asciiTheme="minorHAnsi" w:hAnsiTheme="minorHAnsi" w:cstheme="minorHAnsi"/>
                <w:sz w:val="18"/>
              </w:rPr>
              <w:t>in the area of</w:t>
            </w:r>
            <w:proofErr w:type="gramEnd"/>
            <w:r w:rsidRPr="007C4D65">
              <w:rPr>
                <w:rFonts w:asciiTheme="minorHAnsi" w:hAnsiTheme="minorHAnsi" w:cstheme="minorHAnsi"/>
                <w:sz w:val="18"/>
              </w:rPr>
              <w:t xml:space="preserve"> coordination and harmonisation of activities in transposition of EU regulations</w:t>
            </w:r>
          </w:p>
        </w:tc>
        <w:tc>
          <w:tcPr>
            <w:tcW w:w="2687" w:type="dxa"/>
          </w:tcPr>
          <w:p w14:paraId="5EC69A65"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Partial efficacy of the current institutional structures (2021)</w:t>
            </w:r>
          </w:p>
        </w:tc>
        <w:tc>
          <w:tcPr>
            <w:tcW w:w="2645" w:type="dxa"/>
          </w:tcPr>
          <w:p w14:paraId="041E022A"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current institutional structures enhanced </w:t>
            </w:r>
            <w:proofErr w:type="gramStart"/>
            <w:r w:rsidRPr="007C4D65">
              <w:rPr>
                <w:rFonts w:asciiTheme="minorHAnsi" w:hAnsiTheme="minorHAnsi" w:cstheme="minorHAnsi"/>
                <w:sz w:val="18"/>
              </w:rPr>
              <w:t>in order to</w:t>
            </w:r>
            <w:proofErr w:type="gramEnd"/>
            <w:r w:rsidRPr="007C4D65">
              <w:rPr>
                <w:rFonts w:asciiTheme="minorHAnsi" w:hAnsiTheme="minorHAnsi" w:cstheme="minorHAnsi"/>
                <w:sz w:val="18"/>
              </w:rPr>
              <w:t xml:space="preserve"> provide for better coordination and harmonisation of activities in transposition of EU regulations. Human resources across the levels strengthened </w:t>
            </w:r>
            <w:proofErr w:type="gramStart"/>
            <w:r w:rsidRPr="007C4D65">
              <w:rPr>
                <w:rFonts w:asciiTheme="minorHAnsi" w:hAnsiTheme="minorHAnsi" w:cstheme="minorHAnsi"/>
                <w:sz w:val="18"/>
              </w:rPr>
              <w:t>so as to</w:t>
            </w:r>
            <w:proofErr w:type="gramEnd"/>
            <w:r w:rsidRPr="007C4D65">
              <w:rPr>
                <w:rFonts w:asciiTheme="minorHAnsi" w:hAnsiTheme="minorHAnsi" w:cstheme="minorHAnsi"/>
                <w:sz w:val="18"/>
              </w:rPr>
              <w:t xml:space="preserve"> enable a long-term and sustainable implementation of the EU regulations (2028)</w:t>
            </w:r>
          </w:p>
        </w:tc>
      </w:tr>
      <w:tr w:rsidR="00635C53" w:rsidRPr="007C4D65" w14:paraId="28727BFF" w14:textId="77777777" w:rsidTr="00635C53">
        <w:trPr>
          <w:trHeight w:val="300"/>
        </w:trPr>
        <w:tc>
          <w:tcPr>
            <w:tcW w:w="2024" w:type="dxa"/>
            <w:vMerge/>
            <w:vAlign w:val="center"/>
          </w:tcPr>
          <w:p w14:paraId="25F79D03"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274F3962"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Effectiveness and expertise of employees in the environmental institutions </w:t>
            </w:r>
            <w:proofErr w:type="gramStart"/>
            <w:r w:rsidRPr="007C4D65">
              <w:rPr>
                <w:rFonts w:asciiTheme="minorHAnsi" w:hAnsiTheme="minorHAnsi" w:cstheme="minorHAnsi"/>
                <w:sz w:val="18"/>
              </w:rPr>
              <w:t>in the area of</w:t>
            </w:r>
            <w:proofErr w:type="gramEnd"/>
            <w:r w:rsidRPr="007C4D65">
              <w:rPr>
                <w:rFonts w:asciiTheme="minorHAnsi" w:hAnsiTheme="minorHAnsi" w:cstheme="minorHAnsi"/>
                <w:sz w:val="18"/>
              </w:rPr>
              <w:t xml:space="preserve"> project preparation and implementation</w:t>
            </w:r>
          </w:p>
        </w:tc>
        <w:tc>
          <w:tcPr>
            <w:tcW w:w="2687" w:type="dxa"/>
          </w:tcPr>
          <w:p w14:paraId="25592E68" w14:textId="6A0A01C2"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institutions responsible for the preparation and implementation of projects have no specialised teams.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 and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Agriculture, Water Management and Forestry have specialised teams for projects preparation and implementation, but such teams are not available in all the institutions (2021)</w:t>
            </w:r>
          </w:p>
        </w:tc>
        <w:tc>
          <w:tcPr>
            <w:tcW w:w="2645" w:type="dxa"/>
          </w:tcPr>
          <w:p w14:paraId="69562265" w14:textId="77777777" w:rsidR="00635C53" w:rsidRPr="007C4D65" w:rsidRDefault="00635C53" w:rsidP="00B6017F">
            <w:pPr>
              <w:spacing w:line="276" w:lineRule="auto"/>
              <w:rPr>
                <w:rFonts w:asciiTheme="minorHAnsi" w:hAnsiTheme="minorHAnsi" w:cstheme="minorHAnsi"/>
                <w:sz w:val="18"/>
                <w:szCs w:val="18"/>
              </w:rPr>
            </w:pPr>
            <w:proofErr w:type="gramStart"/>
            <w:r w:rsidRPr="007C4D65">
              <w:rPr>
                <w:rFonts w:asciiTheme="minorHAnsi" w:hAnsiTheme="minorHAnsi" w:cstheme="minorHAnsi"/>
                <w:sz w:val="18"/>
              </w:rPr>
              <w:t>Effective  teams</w:t>
            </w:r>
            <w:proofErr w:type="gramEnd"/>
            <w:r w:rsidRPr="007C4D65">
              <w:rPr>
                <w:rFonts w:asciiTheme="minorHAnsi" w:hAnsiTheme="minorHAnsi" w:cstheme="minorHAnsi"/>
                <w:sz w:val="18"/>
              </w:rPr>
              <w:t xml:space="preserve"> with expertise for the preparation and implementation of projects formed in the institutions responsible for the preparation and implementation of projects (2028)</w:t>
            </w:r>
          </w:p>
        </w:tc>
      </w:tr>
      <w:tr w:rsidR="00635C53" w:rsidRPr="007C4D65" w14:paraId="1AA8BBDC" w14:textId="77777777" w:rsidTr="00635C53">
        <w:trPr>
          <w:trHeight w:val="300"/>
        </w:trPr>
        <w:tc>
          <w:tcPr>
            <w:tcW w:w="2024" w:type="dxa"/>
            <w:vMerge w:val="restart"/>
          </w:tcPr>
          <w:p w14:paraId="4B0BB06A"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7.4 </w:t>
            </w:r>
          </w:p>
          <w:p w14:paraId="1A7BB6FD" w14:textId="247232A0" w:rsidR="00635C53" w:rsidRPr="007C4D65" w:rsidRDefault="00A323B2" w:rsidP="00B6017F">
            <w:pPr>
              <w:spacing w:line="276" w:lineRule="auto"/>
              <w:rPr>
                <w:rFonts w:asciiTheme="minorHAnsi" w:hAnsiTheme="minorHAnsi" w:cstheme="minorHAnsi"/>
                <w:sz w:val="18"/>
                <w:szCs w:val="18"/>
              </w:rPr>
            </w:pPr>
            <w:r w:rsidRPr="007C4D65">
              <w:rPr>
                <w:rFonts w:asciiTheme="minorHAnsi" w:hAnsiTheme="minorHAnsi" w:cstheme="minorHAnsi"/>
                <w:b/>
                <w:sz w:val="18"/>
              </w:rPr>
              <w:t xml:space="preserve">Ensuring strong public awareness on the importance of the environmental protection and their engagement in </w:t>
            </w:r>
            <w:r w:rsidR="009F16BA" w:rsidRPr="007C4D65">
              <w:rPr>
                <w:rFonts w:asciiTheme="minorHAnsi" w:hAnsiTheme="minorHAnsi" w:cstheme="minorHAnsi"/>
                <w:b/>
                <w:sz w:val="18"/>
              </w:rPr>
              <w:t>decision-making</w:t>
            </w:r>
            <w:r w:rsidRPr="007C4D65">
              <w:rPr>
                <w:rFonts w:asciiTheme="minorHAnsi" w:hAnsiTheme="minorHAnsi" w:cstheme="minorHAnsi"/>
                <w:b/>
                <w:sz w:val="18"/>
              </w:rPr>
              <w:t xml:space="preserve"> processes, focusing on women, youth and socially vulnerable groups</w:t>
            </w:r>
          </w:p>
        </w:tc>
        <w:tc>
          <w:tcPr>
            <w:tcW w:w="2278" w:type="dxa"/>
          </w:tcPr>
          <w:p w14:paraId="1727D1A4" w14:textId="3C778774"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Public awareness on the importance of environmental protection and their engagement in </w:t>
            </w:r>
            <w:r w:rsidR="009F16BA" w:rsidRPr="007C4D65">
              <w:rPr>
                <w:rFonts w:asciiTheme="minorHAnsi" w:hAnsiTheme="minorHAnsi" w:cstheme="minorHAnsi"/>
                <w:sz w:val="18"/>
              </w:rPr>
              <w:t xml:space="preserve">decision-making  </w:t>
            </w:r>
            <w:r w:rsidRPr="007C4D65">
              <w:rPr>
                <w:rFonts w:asciiTheme="minorHAnsi" w:hAnsiTheme="minorHAnsi" w:cstheme="minorHAnsi"/>
                <w:sz w:val="18"/>
              </w:rPr>
              <w:t xml:space="preserve"> processes</w:t>
            </w:r>
          </w:p>
        </w:tc>
        <w:tc>
          <w:tcPr>
            <w:tcW w:w="2687" w:type="dxa"/>
          </w:tcPr>
          <w:p w14:paraId="6DA25039"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Low public awareness about environmental </w:t>
            </w:r>
            <w:proofErr w:type="gramStart"/>
            <w:r w:rsidRPr="007C4D65">
              <w:rPr>
                <w:rFonts w:asciiTheme="minorHAnsi" w:hAnsiTheme="minorHAnsi" w:cstheme="minorHAnsi"/>
                <w:sz w:val="18"/>
              </w:rPr>
              <w:t>protection;</w:t>
            </w:r>
            <w:proofErr w:type="gramEnd"/>
          </w:p>
          <w:p w14:paraId="06EC9E23"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Lack of </w:t>
            </w:r>
            <w:proofErr w:type="gramStart"/>
            <w:r w:rsidRPr="007C4D65">
              <w:rPr>
                <w:rFonts w:asciiTheme="minorHAnsi" w:hAnsiTheme="minorHAnsi" w:cstheme="minorHAnsi"/>
                <w:sz w:val="18"/>
              </w:rPr>
              <w:t>long term</w:t>
            </w:r>
            <w:proofErr w:type="gramEnd"/>
            <w:r w:rsidRPr="007C4D65">
              <w:rPr>
                <w:rFonts w:asciiTheme="minorHAnsi" w:hAnsiTheme="minorHAnsi" w:cstheme="minorHAnsi"/>
                <w:sz w:val="18"/>
              </w:rPr>
              <w:t xml:space="preserve"> educational programmes and campaigns aimed at raising the awareness about the issues of environmental protection (2021)</w:t>
            </w:r>
          </w:p>
        </w:tc>
        <w:tc>
          <w:tcPr>
            <w:tcW w:w="2645" w:type="dxa"/>
          </w:tcPr>
          <w:p w14:paraId="3E7B48E8" w14:textId="62294BBA"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Strong public awareness on the importance of the environmental protection and their engagement in </w:t>
            </w:r>
            <w:r w:rsidR="009F16BA" w:rsidRPr="007C4D65">
              <w:rPr>
                <w:rFonts w:asciiTheme="minorHAnsi" w:hAnsiTheme="minorHAnsi" w:cstheme="minorHAnsi"/>
                <w:sz w:val="18"/>
              </w:rPr>
              <w:t xml:space="preserve">decision-making  </w:t>
            </w:r>
            <w:r w:rsidRPr="007C4D65">
              <w:rPr>
                <w:rFonts w:asciiTheme="minorHAnsi" w:hAnsiTheme="minorHAnsi" w:cstheme="minorHAnsi"/>
                <w:sz w:val="18"/>
              </w:rPr>
              <w:t xml:space="preserve"> processes, focusing on the engagement of women, youth and socially vulnerable groups ensured (2030)</w:t>
            </w:r>
          </w:p>
        </w:tc>
      </w:tr>
      <w:tr w:rsidR="00635C53" w:rsidRPr="007C4D65" w14:paraId="46725585" w14:textId="77777777" w:rsidTr="00635C53">
        <w:trPr>
          <w:trHeight w:val="300"/>
        </w:trPr>
        <w:tc>
          <w:tcPr>
            <w:tcW w:w="2024" w:type="dxa"/>
            <w:vMerge/>
            <w:vAlign w:val="center"/>
          </w:tcPr>
          <w:p w14:paraId="563B96A6"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470F5331" w14:textId="0A1FAF30"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Public participation in the </w:t>
            </w:r>
            <w:r w:rsidR="009F16BA" w:rsidRPr="007C4D65">
              <w:rPr>
                <w:rFonts w:asciiTheme="minorHAnsi" w:hAnsiTheme="minorHAnsi" w:cstheme="minorHAnsi"/>
                <w:sz w:val="18"/>
              </w:rPr>
              <w:t xml:space="preserve">decision-making  </w:t>
            </w:r>
            <w:r w:rsidRPr="007C4D65">
              <w:rPr>
                <w:rFonts w:asciiTheme="minorHAnsi" w:hAnsiTheme="minorHAnsi" w:cstheme="minorHAnsi"/>
                <w:sz w:val="18"/>
              </w:rPr>
              <w:t xml:space="preserve"> processes on environmental issues, especially in the environmental impact assessment and environmental permitting procedures</w:t>
            </w:r>
          </w:p>
        </w:tc>
        <w:tc>
          <w:tcPr>
            <w:tcW w:w="2687" w:type="dxa"/>
          </w:tcPr>
          <w:p w14:paraId="31F7666E" w14:textId="4FACA66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Poor public participation and poor quality of public consultation in </w:t>
            </w:r>
            <w:r w:rsidR="009F16BA" w:rsidRPr="007C4D65">
              <w:rPr>
                <w:rFonts w:asciiTheme="minorHAnsi" w:hAnsiTheme="minorHAnsi" w:cstheme="minorHAnsi"/>
                <w:sz w:val="18"/>
              </w:rPr>
              <w:t>decision-making</w:t>
            </w:r>
            <w:r w:rsidRPr="007C4D65">
              <w:rPr>
                <w:rFonts w:asciiTheme="minorHAnsi" w:hAnsiTheme="minorHAnsi" w:cstheme="minorHAnsi"/>
                <w:sz w:val="18"/>
              </w:rPr>
              <w:t xml:space="preserve"> processes (especially the processes of environmental impact assessment, environmental permitting, preparation of laws, </w:t>
            </w:r>
            <w:r w:rsidR="00B80FAD" w:rsidRPr="007C4D65">
              <w:rPr>
                <w:rFonts w:asciiTheme="minorHAnsi" w:hAnsiTheme="minorHAnsi" w:cstheme="minorHAnsi"/>
                <w:sz w:val="18"/>
              </w:rPr>
              <w:t>bylaw</w:t>
            </w:r>
            <w:r w:rsidRPr="007C4D65">
              <w:rPr>
                <w:rFonts w:asciiTheme="minorHAnsi" w:hAnsiTheme="minorHAnsi" w:cstheme="minorHAnsi"/>
                <w:sz w:val="18"/>
              </w:rPr>
              <w:t xml:space="preserve">s and other legal acts, </w:t>
            </w:r>
            <w:proofErr w:type="gramStart"/>
            <w:r w:rsidRPr="007C4D65">
              <w:rPr>
                <w:rFonts w:asciiTheme="minorHAnsi" w:hAnsiTheme="minorHAnsi" w:cstheme="minorHAnsi"/>
                <w:sz w:val="18"/>
              </w:rPr>
              <w:t>etc..</w:t>
            </w:r>
            <w:proofErr w:type="gramEnd"/>
            <w:r w:rsidRPr="007C4D65">
              <w:rPr>
                <w:rFonts w:asciiTheme="minorHAnsi" w:hAnsiTheme="minorHAnsi" w:cstheme="minorHAnsi"/>
                <w:sz w:val="18"/>
              </w:rPr>
              <w:t xml:space="preserve">) Young people do not participate in </w:t>
            </w:r>
            <w:r w:rsidR="009F16BA" w:rsidRPr="007C4D65">
              <w:rPr>
                <w:rFonts w:asciiTheme="minorHAnsi" w:hAnsiTheme="minorHAnsi" w:cstheme="minorHAnsi"/>
                <w:sz w:val="18"/>
              </w:rPr>
              <w:t xml:space="preserve">decision-making </w:t>
            </w:r>
            <w:r w:rsidRPr="007C4D65">
              <w:rPr>
                <w:rFonts w:asciiTheme="minorHAnsi" w:hAnsiTheme="minorHAnsi" w:cstheme="minorHAnsi"/>
                <w:sz w:val="18"/>
              </w:rPr>
              <w:t>processes as required by the Law on Youth of Federation of BiH (2021)</w:t>
            </w:r>
          </w:p>
        </w:tc>
        <w:tc>
          <w:tcPr>
            <w:tcW w:w="2645" w:type="dxa"/>
          </w:tcPr>
          <w:p w14:paraId="7B214573" w14:textId="2555EDFF"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Access to information and effective public participation in the </w:t>
            </w:r>
            <w:r w:rsidR="009F16BA" w:rsidRPr="007C4D65">
              <w:rPr>
                <w:rFonts w:asciiTheme="minorHAnsi" w:hAnsiTheme="minorHAnsi" w:cstheme="minorHAnsi"/>
                <w:sz w:val="18"/>
              </w:rPr>
              <w:t>decision-making</w:t>
            </w:r>
            <w:r w:rsidRPr="007C4D65">
              <w:rPr>
                <w:rFonts w:asciiTheme="minorHAnsi" w:hAnsiTheme="minorHAnsi" w:cstheme="minorHAnsi"/>
                <w:sz w:val="18"/>
              </w:rPr>
              <w:t xml:space="preserve"> processes on environmental issues, especially in the environmental impact assessment and environmental permitting procedures ensured (2025)</w:t>
            </w:r>
          </w:p>
        </w:tc>
      </w:tr>
      <w:tr w:rsidR="00635C53" w:rsidRPr="007C4D65" w14:paraId="577D0FF3" w14:textId="77777777" w:rsidTr="00635C53">
        <w:trPr>
          <w:trHeight w:val="300"/>
        </w:trPr>
        <w:tc>
          <w:tcPr>
            <w:tcW w:w="2024" w:type="dxa"/>
            <w:vMerge/>
            <w:vAlign w:val="center"/>
          </w:tcPr>
          <w:p w14:paraId="2B47BC30"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7A0B545A"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Regular preparation and publication of reports on the state of environment in the Federation of BiH</w:t>
            </w:r>
          </w:p>
        </w:tc>
        <w:tc>
          <w:tcPr>
            <w:tcW w:w="2687" w:type="dxa"/>
          </w:tcPr>
          <w:p w14:paraId="1FAFF583"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Inconsistent preparation, public communication, and reporting processes in relation to reports on the state of the environment (2021)</w:t>
            </w:r>
          </w:p>
        </w:tc>
        <w:tc>
          <w:tcPr>
            <w:tcW w:w="2645" w:type="dxa"/>
          </w:tcPr>
          <w:p w14:paraId="3C6A5CF6"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Reporting on the state of environment in the Federation of BiH consistent, </w:t>
            </w:r>
            <w:proofErr w:type="gramStart"/>
            <w:r w:rsidRPr="007C4D65">
              <w:rPr>
                <w:rFonts w:asciiTheme="minorHAnsi" w:hAnsiTheme="minorHAnsi" w:cstheme="minorHAnsi"/>
                <w:sz w:val="18"/>
              </w:rPr>
              <w:t>high quality</w:t>
            </w:r>
            <w:proofErr w:type="gramEnd"/>
            <w:r w:rsidRPr="007C4D65">
              <w:rPr>
                <w:rFonts w:asciiTheme="minorHAnsi" w:hAnsiTheme="minorHAnsi" w:cstheme="minorHAnsi"/>
                <w:sz w:val="18"/>
              </w:rPr>
              <w:t xml:space="preserve"> reports publicly available (2026)</w:t>
            </w:r>
          </w:p>
        </w:tc>
      </w:tr>
      <w:tr w:rsidR="00635C53" w:rsidRPr="007C4D65" w14:paraId="5DCCE266" w14:textId="77777777" w:rsidTr="00635C53">
        <w:trPr>
          <w:trHeight w:val="300"/>
        </w:trPr>
        <w:tc>
          <w:tcPr>
            <w:tcW w:w="2024" w:type="dxa"/>
            <w:vMerge w:val="restart"/>
          </w:tcPr>
          <w:p w14:paraId="73D9BB29"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lastRenderedPageBreak/>
              <w:t xml:space="preserve">Priority 7.5 </w:t>
            </w:r>
          </w:p>
          <w:p w14:paraId="02EE0497" w14:textId="2F7F61EC" w:rsidR="00635C53" w:rsidRPr="007C4D65" w:rsidRDefault="00A901FB" w:rsidP="00B6017F">
            <w:pPr>
              <w:spacing w:line="276" w:lineRule="auto"/>
              <w:rPr>
                <w:rFonts w:asciiTheme="minorHAnsi" w:hAnsiTheme="minorHAnsi" w:cstheme="minorHAnsi"/>
                <w:sz w:val="18"/>
                <w:szCs w:val="18"/>
              </w:rPr>
            </w:pPr>
            <w:r w:rsidRPr="007C4D65">
              <w:rPr>
                <w:rFonts w:asciiTheme="minorHAnsi" w:hAnsiTheme="minorHAnsi" w:cstheme="minorHAnsi"/>
                <w:b/>
                <w:sz w:val="18"/>
              </w:rPr>
              <w:t>Set up an efficient system for record keeping and transparent reporting of environmental data in the Federation of BiH, in consultation with the Partnership 27</w:t>
            </w:r>
          </w:p>
        </w:tc>
        <w:tc>
          <w:tcPr>
            <w:tcW w:w="2278" w:type="dxa"/>
          </w:tcPr>
          <w:p w14:paraId="0032CF87"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Effectiveness of the system for monitoring of environmental parameters</w:t>
            </w:r>
          </w:p>
        </w:tc>
        <w:tc>
          <w:tcPr>
            <w:tcW w:w="2687" w:type="dxa"/>
          </w:tcPr>
          <w:p w14:paraId="38502A23" w14:textId="67C2C416"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monitoring system </w:t>
            </w:r>
            <w:r w:rsidR="006C5EE4" w:rsidRPr="007C4D65">
              <w:rPr>
                <w:rFonts w:asciiTheme="minorHAnsi" w:hAnsiTheme="minorHAnsi" w:cstheme="minorHAnsi"/>
                <w:sz w:val="18"/>
              </w:rPr>
              <w:t>exists;</w:t>
            </w:r>
            <w:r w:rsidRPr="007C4D65">
              <w:rPr>
                <w:rFonts w:asciiTheme="minorHAnsi" w:hAnsiTheme="minorHAnsi" w:cstheme="minorHAnsi"/>
                <w:sz w:val="18"/>
              </w:rPr>
              <w:t xml:space="preserve"> however, the current laboratories still have no testing methods for certain environmental components and sectors Also, there are huge gaps in modus operandi of the accredited laboratories (2021)</w:t>
            </w:r>
          </w:p>
        </w:tc>
        <w:tc>
          <w:tcPr>
            <w:tcW w:w="2645" w:type="dxa"/>
          </w:tcPr>
          <w:p w14:paraId="766D651C"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current system of environmental parameters monitoring upgraded (2027)</w:t>
            </w:r>
          </w:p>
        </w:tc>
      </w:tr>
      <w:tr w:rsidR="00635C53" w:rsidRPr="007C4D65" w14:paraId="76553DD5" w14:textId="77777777" w:rsidTr="00635C53">
        <w:trPr>
          <w:trHeight w:val="300"/>
        </w:trPr>
        <w:tc>
          <w:tcPr>
            <w:tcW w:w="2024" w:type="dxa"/>
            <w:vMerge/>
            <w:vAlign w:val="center"/>
          </w:tcPr>
          <w:p w14:paraId="18164D61"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2AA3526A"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Development of an environmental management information system in accordance with the Law on Environmental Protection</w:t>
            </w:r>
          </w:p>
        </w:tc>
        <w:tc>
          <w:tcPr>
            <w:tcW w:w="2687" w:type="dxa"/>
          </w:tcPr>
          <w:p w14:paraId="569D6D9F"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integral information system for environmental management has not been developed (2021)</w:t>
            </w:r>
          </w:p>
        </w:tc>
        <w:tc>
          <w:tcPr>
            <w:tcW w:w="2645" w:type="dxa"/>
          </w:tcPr>
          <w:p w14:paraId="708340AE"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An effective integral information system for environmental management developed in the Federation of BiH (2028)</w:t>
            </w:r>
          </w:p>
        </w:tc>
      </w:tr>
      <w:tr w:rsidR="00635C53" w:rsidRPr="007C4D65" w14:paraId="468FA865" w14:textId="77777777" w:rsidTr="00635C53">
        <w:trPr>
          <w:trHeight w:val="300"/>
        </w:trPr>
        <w:tc>
          <w:tcPr>
            <w:tcW w:w="2024" w:type="dxa"/>
            <w:vMerge/>
            <w:vAlign w:val="center"/>
          </w:tcPr>
          <w:p w14:paraId="3F320080"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7C4A0C88"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Effectiveness of environmental data monitoring, collection, validation system aimed at reporting in accordance with the international agreements</w:t>
            </w:r>
          </w:p>
        </w:tc>
        <w:tc>
          <w:tcPr>
            <w:tcW w:w="2687" w:type="dxa"/>
          </w:tcPr>
          <w:p w14:paraId="3FCFBC09"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No standardised systems or methodologies for data gathering, communication and reporting, and statistics </w:t>
            </w:r>
            <w:proofErr w:type="gramStart"/>
            <w:r w:rsidRPr="007C4D65">
              <w:rPr>
                <w:rFonts w:asciiTheme="minorHAnsi" w:hAnsiTheme="minorHAnsi" w:cstheme="minorHAnsi"/>
                <w:sz w:val="18"/>
              </w:rPr>
              <w:t>in the area of</w:t>
            </w:r>
            <w:proofErr w:type="gramEnd"/>
            <w:r w:rsidRPr="007C4D65">
              <w:rPr>
                <w:rFonts w:asciiTheme="minorHAnsi" w:hAnsiTheme="minorHAnsi" w:cstheme="minorHAnsi"/>
                <w:sz w:val="18"/>
              </w:rPr>
              <w:t xml:space="preserve"> environment have been created. There are individual systems for environmental data collection and reporting, but this is insufficient for adequate reporting to international bodies.</w:t>
            </w:r>
          </w:p>
        </w:tc>
        <w:tc>
          <w:tcPr>
            <w:tcW w:w="2645" w:type="dxa"/>
          </w:tcPr>
          <w:p w14:paraId="1F6D7E36"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An effective environmental data monitoring, collection, validation system aimed at reporting in accordance with the international agreements created (2026)</w:t>
            </w:r>
          </w:p>
        </w:tc>
      </w:tr>
      <w:tr w:rsidR="00635C53" w:rsidRPr="007C4D65" w14:paraId="49610FFF" w14:textId="77777777" w:rsidTr="00635C53">
        <w:trPr>
          <w:trHeight w:val="300"/>
        </w:trPr>
        <w:tc>
          <w:tcPr>
            <w:tcW w:w="2024" w:type="dxa"/>
            <w:vMerge/>
          </w:tcPr>
          <w:p w14:paraId="103C0F2C"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6B1ED4B6" w14:textId="0D7C4A59"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Effectiveness of the system for </w:t>
            </w:r>
            <w:r w:rsidR="00A13CFC" w:rsidRPr="007C4D65">
              <w:rPr>
                <w:rFonts w:asciiTheme="minorHAnsi" w:hAnsiTheme="minorHAnsi" w:cstheme="minorHAnsi"/>
                <w:sz w:val="18"/>
              </w:rPr>
              <w:t xml:space="preserve">spatial data </w:t>
            </w:r>
            <w:proofErr w:type="gramStart"/>
            <w:r w:rsidR="00A13CFC" w:rsidRPr="007C4D65">
              <w:rPr>
                <w:rFonts w:asciiTheme="minorHAnsi" w:hAnsiTheme="minorHAnsi" w:cstheme="minorHAnsi"/>
                <w:sz w:val="18"/>
              </w:rPr>
              <w:t xml:space="preserve">exchange  </w:t>
            </w:r>
            <w:r w:rsidRPr="007C4D65">
              <w:rPr>
                <w:rFonts w:asciiTheme="minorHAnsi" w:hAnsiTheme="minorHAnsi" w:cstheme="minorHAnsi"/>
                <w:sz w:val="18"/>
              </w:rPr>
              <w:t>in</w:t>
            </w:r>
            <w:proofErr w:type="gramEnd"/>
            <w:r w:rsidRPr="007C4D65">
              <w:rPr>
                <w:rFonts w:asciiTheme="minorHAnsi" w:hAnsiTheme="minorHAnsi" w:cstheme="minorHAnsi"/>
                <w:sz w:val="18"/>
              </w:rPr>
              <w:t xml:space="preserve"> the Federation of BiH in accordance with the INSPIRE Directives I II, and III.</w:t>
            </w:r>
          </w:p>
        </w:tc>
        <w:tc>
          <w:tcPr>
            <w:tcW w:w="2687" w:type="dxa"/>
          </w:tcPr>
          <w:p w14:paraId="18D34022"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No effective system for sharing of spatial data in place</w:t>
            </w:r>
          </w:p>
        </w:tc>
        <w:tc>
          <w:tcPr>
            <w:tcW w:w="2645" w:type="dxa"/>
          </w:tcPr>
          <w:p w14:paraId="7B500F1F" w14:textId="13D0CEBA"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An is effective system for </w:t>
            </w:r>
            <w:r w:rsidR="00A13CFC" w:rsidRPr="007C4D65">
              <w:rPr>
                <w:rFonts w:asciiTheme="minorHAnsi" w:hAnsiTheme="minorHAnsi" w:cstheme="minorHAnsi"/>
                <w:sz w:val="18"/>
              </w:rPr>
              <w:t xml:space="preserve">spatial data </w:t>
            </w:r>
            <w:proofErr w:type="gramStart"/>
            <w:r w:rsidR="00A13CFC" w:rsidRPr="007C4D65">
              <w:rPr>
                <w:rFonts w:asciiTheme="minorHAnsi" w:hAnsiTheme="minorHAnsi" w:cstheme="minorHAnsi"/>
                <w:sz w:val="18"/>
              </w:rPr>
              <w:t xml:space="preserve">exchange  </w:t>
            </w:r>
            <w:r w:rsidR="007436F1" w:rsidRPr="007C4D65">
              <w:rPr>
                <w:rFonts w:asciiTheme="minorHAnsi" w:hAnsiTheme="minorHAnsi" w:cstheme="minorHAnsi"/>
                <w:sz w:val="18"/>
              </w:rPr>
              <w:t>in</w:t>
            </w:r>
            <w:proofErr w:type="gramEnd"/>
            <w:r w:rsidR="007436F1" w:rsidRPr="007C4D65">
              <w:rPr>
                <w:rFonts w:asciiTheme="minorHAnsi" w:hAnsiTheme="minorHAnsi" w:cstheme="minorHAnsi"/>
                <w:sz w:val="18"/>
              </w:rPr>
              <w:t xml:space="preserve"> the Federation of BiH</w:t>
            </w:r>
            <w:r w:rsidRPr="007C4D65">
              <w:rPr>
                <w:rFonts w:asciiTheme="minorHAnsi" w:hAnsiTheme="minorHAnsi" w:cstheme="minorHAnsi"/>
                <w:sz w:val="18"/>
              </w:rPr>
              <w:t xml:space="preserve"> in accordance with the INSPIRE Directives I II, and III developed (2030)</w:t>
            </w:r>
          </w:p>
        </w:tc>
      </w:tr>
      <w:tr w:rsidR="00635C53" w:rsidRPr="007C4D65" w14:paraId="0A37257D" w14:textId="77777777" w:rsidTr="00635C53">
        <w:trPr>
          <w:trHeight w:val="300"/>
        </w:trPr>
        <w:tc>
          <w:tcPr>
            <w:tcW w:w="2024" w:type="dxa"/>
            <w:vMerge/>
          </w:tcPr>
          <w:p w14:paraId="2BAF8DAB"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08DA9F68"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Effectiveness of PRTR in the Federation of BiH</w:t>
            </w:r>
          </w:p>
        </w:tc>
        <w:tc>
          <w:tcPr>
            <w:tcW w:w="2687" w:type="dxa"/>
          </w:tcPr>
          <w:p w14:paraId="46221ACB" w14:textId="7A644285"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PRTR established in the Federation of BiH, however a few operators do report their data and meet the legal reporting requirements of PRTR reporting There is no data verification system for data entered in the PRTR registers by the operators. Mutual incompatibility of P</w:t>
            </w:r>
            <w:r w:rsidR="009E313F">
              <w:rPr>
                <w:rFonts w:asciiTheme="minorHAnsi" w:hAnsiTheme="minorHAnsi" w:cstheme="minorHAnsi"/>
                <w:sz w:val="18"/>
              </w:rPr>
              <w:t>RTR</w:t>
            </w:r>
            <w:r w:rsidRPr="007C4D65">
              <w:rPr>
                <w:rFonts w:asciiTheme="minorHAnsi" w:hAnsiTheme="minorHAnsi" w:cstheme="minorHAnsi"/>
                <w:sz w:val="18"/>
              </w:rPr>
              <w:t xml:space="preserve">s </w:t>
            </w:r>
            <w:r w:rsidR="007436F1" w:rsidRPr="007C4D65">
              <w:rPr>
                <w:rFonts w:asciiTheme="minorHAnsi" w:hAnsiTheme="minorHAnsi" w:cstheme="minorHAnsi"/>
                <w:sz w:val="18"/>
              </w:rPr>
              <w:t>in the Federation of BiH</w:t>
            </w:r>
            <w:r w:rsidRPr="007C4D65">
              <w:rPr>
                <w:rFonts w:asciiTheme="minorHAnsi" w:hAnsiTheme="minorHAnsi" w:cstheme="minorHAnsi"/>
                <w:sz w:val="18"/>
              </w:rPr>
              <w:t xml:space="preserve"> and </w:t>
            </w:r>
            <w:proofErr w:type="spellStart"/>
            <w:r w:rsidRPr="007C4D65">
              <w:rPr>
                <w:rFonts w:asciiTheme="minorHAnsi" w:hAnsiTheme="minorHAnsi" w:cstheme="minorHAnsi"/>
                <w:sz w:val="18"/>
              </w:rPr>
              <w:t>Republika</w:t>
            </w:r>
            <w:proofErr w:type="spellEnd"/>
            <w:r w:rsidRPr="007C4D65">
              <w:rPr>
                <w:rFonts w:asciiTheme="minorHAnsi" w:hAnsiTheme="minorHAnsi" w:cstheme="minorHAnsi"/>
                <w:sz w:val="18"/>
              </w:rPr>
              <w:t xml:space="preserve"> Srpska leads to problems in compiling data at the national level Data collected in PRTR </w:t>
            </w:r>
            <w:r w:rsidR="007436F1" w:rsidRPr="007C4D65">
              <w:rPr>
                <w:rFonts w:asciiTheme="minorHAnsi" w:hAnsiTheme="minorHAnsi" w:cstheme="minorHAnsi"/>
                <w:sz w:val="18"/>
              </w:rPr>
              <w:t>in the Federation of BiH</w:t>
            </w:r>
            <w:r w:rsidRPr="007C4D65">
              <w:rPr>
                <w:rFonts w:asciiTheme="minorHAnsi" w:hAnsiTheme="minorHAnsi" w:cstheme="minorHAnsi"/>
                <w:sz w:val="18"/>
              </w:rPr>
              <w:t xml:space="preserve"> are currently not forwarded to the national institutions as this process is not regulated. The process of reporting these data to the EU institutions is also not regulated (2021)</w:t>
            </w:r>
          </w:p>
        </w:tc>
        <w:tc>
          <w:tcPr>
            <w:tcW w:w="2645" w:type="dxa"/>
          </w:tcPr>
          <w:p w14:paraId="256AB890" w14:textId="5956570E"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PRTR </w:t>
            </w:r>
            <w:r w:rsidR="007436F1" w:rsidRPr="007C4D65">
              <w:rPr>
                <w:rFonts w:asciiTheme="minorHAnsi" w:hAnsiTheme="minorHAnsi" w:cstheme="minorHAnsi"/>
                <w:sz w:val="18"/>
              </w:rPr>
              <w:t>in the Federation of BiH</w:t>
            </w:r>
            <w:r w:rsidRPr="007C4D65">
              <w:rPr>
                <w:rFonts w:asciiTheme="minorHAnsi" w:hAnsiTheme="minorHAnsi" w:cstheme="minorHAnsi"/>
                <w:sz w:val="18"/>
              </w:rPr>
              <w:t xml:space="preserve"> is effective and harmonised with the Registers in </w:t>
            </w:r>
            <w:proofErr w:type="spellStart"/>
            <w:r w:rsidRPr="007C4D65">
              <w:rPr>
                <w:rFonts w:asciiTheme="minorHAnsi" w:hAnsiTheme="minorHAnsi" w:cstheme="minorHAnsi"/>
                <w:sz w:val="18"/>
              </w:rPr>
              <w:t>Republika</w:t>
            </w:r>
            <w:proofErr w:type="spellEnd"/>
            <w:r w:rsidRPr="007C4D65">
              <w:rPr>
                <w:rFonts w:asciiTheme="minorHAnsi" w:hAnsiTheme="minorHAnsi" w:cstheme="minorHAnsi"/>
                <w:sz w:val="18"/>
              </w:rPr>
              <w:t xml:space="preserve"> Srpska and </w:t>
            </w:r>
            <w:r w:rsidR="00295360" w:rsidRPr="007C4D65">
              <w:rPr>
                <w:rFonts w:asciiTheme="minorHAnsi" w:hAnsiTheme="minorHAnsi" w:cstheme="minorHAnsi"/>
                <w:sz w:val="18"/>
              </w:rPr>
              <w:t>Brcko</w:t>
            </w:r>
            <w:r w:rsidRPr="007C4D65">
              <w:rPr>
                <w:rFonts w:asciiTheme="minorHAnsi" w:hAnsiTheme="minorHAnsi" w:cstheme="minorHAnsi"/>
                <w:sz w:val="18"/>
              </w:rPr>
              <w:t xml:space="preserve"> District Data reporting from PRTR to the institutions of Bosnia and Herzegovina and EU in the Federation of BiH is regulated (2026)</w:t>
            </w:r>
          </w:p>
        </w:tc>
      </w:tr>
      <w:tr w:rsidR="00635C53" w:rsidRPr="007C4D65" w14:paraId="331F43FD" w14:textId="77777777" w:rsidTr="00635C53">
        <w:trPr>
          <w:trHeight w:val="300"/>
        </w:trPr>
        <w:tc>
          <w:tcPr>
            <w:tcW w:w="2024" w:type="dxa"/>
            <w:vMerge/>
          </w:tcPr>
          <w:p w14:paraId="00A5D03B"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7432142A" w14:textId="0CE10D03"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Development of statistics for Sustainable </w:t>
            </w:r>
            <w:r w:rsidRPr="007C4D65">
              <w:rPr>
                <w:rFonts w:asciiTheme="minorHAnsi" w:hAnsiTheme="minorHAnsi" w:cstheme="minorHAnsi"/>
                <w:sz w:val="18"/>
              </w:rPr>
              <w:lastRenderedPageBreak/>
              <w:t xml:space="preserve">Development Goals </w:t>
            </w:r>
            <w:r w:rsidR="007436F1" w:rsidRPr="007C4D65">
              <w:rPr>
                <w:rFonts w:asciiTheme="minorHAnsi" w:hAnsiTheme="minorHAnsi" w:cstheme="minorHAnsi"/>
                <w:sz w:val="18"/>
              </w:rPr>
              <w:t>in the Federation of BiH</w:t>
            </w:r>
          </w:p>
        </w:tc>
        <w:tc>
          <w:tcPr>
            <w:tcW w:w="2687" w:type="dxa"/>
          </w:tcPr>
          <w:p w14:paraId="403C79F5"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lastRenderedPageBreak/>
              <w:t xml:space="preserve">While Bosnia and Herzegovina adopted the Framework for the implementation of the </w:t>
            </w:r>
            <w:r w:rsidRPr="007C4D65">
              <w:rPr>
                <w:rFonts w:asciiTheme="minorHAnsi" w:hAnsiTheme="minorHAnsi" w:cstheme="minorHAnsi"/>
                <w:sz w:val="18"/>
              </w:rPr>
              <w:lastRenderedPageBreak/>
              <w:t>sustainable development goals in 2021, the Federation of Bosnia and Herzegovina did not develop adequate statistics for monitoring of the sustainable development goals (2021)</w:t>
            </w:r>
          </w:p>
        </w:tc>
        <w:tc>
          <w:tcPr>
            <w:tcW w:w="2645" w:type="dxa"/>
          </w:tcPr>
          <w:p w14:paraId="6B1F8431"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lastRenderedPageBreak/>
              <w:t xml:space="preserve">Statistics for the sustainable development goals associated with the environment thematic </w:t>
            </w:r>
            <w:r w:rsidRPr="007C4D65">
              <w:rPr>
                <w:rFonts w:asciiTheme="minorHAnsi" w:hAnsiTheme="minorHAnsi" w:cstheme="minorHAnsi"/>
                <w:sz w:val="18"/>
              </w:rPr>
              <w:lastRenderedPageBreak/>
              <w:t>area and further indicators developed and the reporting is system upgraded (2026)</w:t>
            </w:r>
          </w:p>
        </w:tc>
      </w:tr>
      <w:tr w:rsidR="00635C53" w:rsidRPr="007C4D65" w14:paraId="541616F1" w14:textId="77777777" w:rsidTr="00635C53">
        <w:trPr>
          <w:trHeight w:val="300"/>
        </w:trPr>
        <w:tc>
          <w:tcPr>
            <w:tcW w:w="2024" w:type="dxa"/>
            <w:vMerge/>
          </w:tcPr>
          <w:p w14:paraId="518001DF"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36D4B45C"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Efficiency in statistical data collection, processing and publication in the Federation of BiH through a standardised and routine information sharing among the institutions across the levels of government</w:t>
            </w:r>
          </w:p>
        </w:tc>
        <w:tc>
          <w:tcPr>
            <w:tcW w:w="2687" w:type="dxa"/>
          </w:tcPr>
          <w:p w14:paraId="1917F9ED"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It is necessary to improve the efficiency of the collection, processing and publication of environmental statistical data in the Federation of BiH across the administrative levels</w:t>
            </w:r>
          </w:p>
        </w:tc>
        <w:tc>
          <w:tcPr>
            <w:tcW w:w="2645" w:type="dxa"/>
          </w:tcPr>
          <w:p w14:paraId="47DBBE08"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efficiency of statistical data collection, processing and publication in the Federation of BiH increased through a standardised and routine information sharing among the institutions across the levels of government (2026)</w:t>
            </w:r>
          </w:p>
        </w:tc>
      </w:tr>
      <w:tr w:rsidR="00635C53" w:rsidRPr="007C4D65" w14:paraId="6D098059" w14:textId="77777777" w:rsidTr="00635C53">
        <w:trPr>
          <w:trHeight w:val="300"/>
        </w:trPr>
        <w:tc>
          <w:tcPr>
            <w:tcW w:w="2024" w:type="dxa"/>
            <w:vMerge/>
          </w:tcPr>
          <w:p w14:paraId="6E7AF3D0"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7DE871B6"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Participation of the institutions of the Federation of BiH in the establishment of the European Environmental </w:t>
            </w:r>
            <w:proofErr w:type="gramStart"/>
            <w:r w:rsidRPr="007C4D65">
              <w:rPr>
                <w:rFonts w:asciiTheme="minorHAnsi" w:hAnsiTheme="minorHAnsi" w:cstheme="minorHAnsi"/>
                <w:sz w:val="18"/>
              </w:rPr>
              <w:t>Economic  Accounts</w:t>
            </w:r>
            <w:proofErr w:type="gramEnd"/>
            <w:r w:rsidRPr="007C4D65">
              <w:rPr>
                <w:rFonts w:asciiTheme="minorHAnsi" w:hAnsiTheme="minorHAnsi" w:cstheme="minorHAnsi"/>
                <w:sz w:val="18"/>
              </w:rPr>
              <w:t xml:space="preserve"> which describe the relations between the environment and economy (in accordance with the (EU) Regulation no. 691/2011 on the European Environmental Economic Accounts which laid down a is common legal framework for collection, preparation, communication and evaluation of the European Environmental Economic Accounts)</w:t>
            </w:r>
          </w:p>
        </w:tc>
        <w:tc>
          <w:tcPr>
            <w:tcW w:w="2687" w:type="dxa"/>
          </w:tcPr>
          <w:p w14:paraId="595F5CC2"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European Environmental Economic Accounts have not been established in accordance with the Regulation (EU) no. 691/2011 on the European Environmental Economic Accounts</w:t>
            </w:r>
          </w:p>
        </w:tc>
        <w:tc>
          <w:tcPr>
            <w:tcW w:w="2645" w:type="dxa"/>
          </w:tcPr>
          <w:p w14:paraId="3A76723E" w14:textId="4A57AE8C" w:rsidR="00635C53" w:rsidRPr="007C4D65" w:rsidRDefault="0083630B" w:rsidP="00B6017F">
            <w:pPr>
              <w:spacing w:line="276" w:lineRule="auto"/>
              <w:rPr>
                <w:rFonts w:asciiTheme="minorHAnsi" w:hAnsiTheme="minorHAnsi" w:cstheme="minorHAnsi"/>
                <w:sz w:val="18"/>
                <w:szCs w:val="18"/>
              </w:rPr>
            </w:pPr>
            <w:r w:rsidRPr="007C4D65">
              <w:rPr>
                <w:rFonts w:asciiTheme="minorHAnsi" w:hAnsiTheme="minorHAnsi" w:cstheme="minorHAnsi"/>
                <w:sz w:val="18"/>
              </w:rPr>
              <w:t>Participation</w:t>
            </w:r>
            <w:r w:rsidR="00635C53" w:rsidRPr="007C4D65">
              <w:rPr>
                <w:rFonts w:asciiTheme="minorHAnsi" w:hAnsiTheme="minorHAnsi" w:cstheme="minorHAnsi"/>
                <w:sz w:val="18"/>
              </w:rPr>
              <w:t xml:space="preserve"> of the institutions of the Federation of BiH in the establishment of the European Environmental </w:t>
            </w:r>
            <w:proofErr w:type="gramStart"/>
            <w:r w:rsidR="00635C53" w:rsidRPr="007C4D65">
              <w:rPr>
                <w:rFonts w:asciiTheme="minorHAnsi" w:hAnsiTheme="minorHAnsi" w:cstheme="minorHAnsi"/>
                <w:sz w:val="18"/>
              </w:rPr>
              <w:t>Economic  Accounts</w:t>
            </w:r>
            <w:proofErr w:type="gramEnd"/>
            <w:r w:rsidR="00635C53" w:rsidRPr="007C4D65">
              <w:rPr>
                <w:rFonts w:asciiTheme="minorHAnsi" w:hAnsiTheme="minorHAnsi" w:cstheme="minorHAnsi"/>
                <w:sz w:val="18"/>
              </w:rPr>
              <w:t xml:space="preserve"> ensured (2026)</w:t>
            </w:r>
          </w:p>
        </w:tc>
      </w:tr>
      <w:tr w:rsidR="00635C53" w:rsidRPr="007C4D65" w14:paraId="22C3CD99" w14:textId="77777777" w:rsidTr="00635C53">
        <w:trPr>
          <w:trHeight w:val="300"/>
        </w:trPr>
        <w:tc>
          <w:tcPr>
            <w:tcW w:w="2024" w:type="dxa"/>
            <w:vMerge w:val="restart"/>
          </w:tcPr>
          <w:p w14:paraId="208DCFA5"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7.6 </w:t>
            </w:r>
          </w:p>
          <w:p w14:paraId="7B63A369"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b/>
                <w:sz w:val="18"/>
              </w:rPr>
              <w:t>Ensuring a strong synergy in cross-sectoral and inter-sectoral action, and integration of public environmental policies</w:t>
            </w:r>
          </w:p>
        </w:tc>
        <w:tc>
          <w:tcPr>
            <w:tcW w:w="2278" w:type="dxa"/>
          </w:tcPr>
          <w:p w14:paraId="3880F55F"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Integration of environmental requirements in sectoral policies legislation</w:t>
            </w:r>
          </w:p>
        </w:tc>
        <w:tc>
          <w:tcPr>
            <w:tcW w:w="2687" w:type="dxa"/>
          </w:tcPr>
          <w:p w14:paraId="46520BA9"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Poor integration of the environmental requirements in sectoral policies and legislation (2021)</w:t>
            </w:r>
          </w:p>
        </w:tc>
        <w:tc>
          <w:tcPr>
            <w:tcW w:w="2645" w:type="dxa"/>
          </w:tcPr>
          <w:p w14:paraId="54963D8B"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Substantial integration of the environmental requirements in sectoral policies and legislation through enhanced cross-sectoral cooperation (2030)</w:t>
            </w:r>
          </w:p>
        </w:tc>
      </w:tr>
      <w:tr w:rsidR="00635C53" w:rsidRPr="007C4D65" w14:paraId="4D537DC9" w14:textId="77777777" w:rsidTr="00635C53">
        <w:trPr>
          <w:trHeight w:val="300"/>
        </w:trPr>
        <w:tc>
          <w:tcPr>
            <w:tcW w:w="2024" w:type="dxa"/>
            <w:vMerge/>
            <w:vAlign w:val="center"/>
          </w:tcPr>
          <w:p w14:paraId="4CB320BA"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0EFB579D"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Integration of the requirements of the Climate Change Adaptation and Low Carbon Development Strategy of BiH </w:t>
            </w:r>
          </w:p>
        </w:tc>
        <w:tc>
          <w:tcPr>
            <w:tcW w:w="2687" w:type="dxa"/>
          </w:tcPr>
          <w:p w14:paraId="5B5CE5EB"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requirements of the Strategy on climate change adaptation and low-carbon development of BiH are not integrated in sectoral policies (2021)</w:t>
            </w:r>
          </w:p>
        </w:tc>
        <w:tc>
          <w:tcPr>
            <w:tcW w:w="2645" w:type="dxa"/>
          </w:tcPr>
          <w:p w14:paraId="15ED57F1"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requirements of the Strategy on climate change adaptation and low-carbon development of BiH are integrated in sectoral policies (2028)</w:t>
            </w:r>
          </w:p>
        </w:tc>
      </w:tr>
      <w:tr w:rsidR="00635C53" w:rsidRPr="007C4D65" w14:paraId="14E0734D" w14:textId="77777777" w:rsidTr="00635C53">
        <w:trPr>
          <w:trHeight w:val="300"/>
        </w:trPr>
        <w:tc>
          <w:tcPr>
            <w:tcW w:w="2024" w:type="dxa"/>
            <w:vMerge/>
            <w:vAlign w:val="center"/>
          </w:tcPr>
          <w:p w14:paraId="170D5B91"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767E9174"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Integration of standards and principles of gender equality, social equality and poverty in the key environmental policies, strategies, and programmes </w:t>
            </w:r>
          </w:p>
        </w:tc>
        <w:tc>
          <w:tcPr>
            <w:tcW w:w="2687" w:type="dxa"/>
          </w:tcPr>
          <w:p w14:paraId="709F0FCA"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Poor integration (2021)</w:t>
            </w:r>
          </w:p>
        </w:tc>
        <w:tc>
          <w:tcPr>
            <w:tcW w:w="2645" w:type="dxa"/>
          </w:tcPr>
          <w:p w14:paraId="212DB3F1"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Standards and principles of gender equality, social equality and poverty integrated in the key environmental policies, strategies, and programmes (2026).</w:t>
            </w:r>
          </w:p>
          <w:p w14:paraId="715CEC41"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Tools such as gender analysis, gender impact assessment, </w:t>
            </w:r>
            <w:r w:rsidRPr="007C4D65">
              <w:rPr>
                <w:rFonts w:asciiTheme="minorHAnsi" w:hAnsiTheme="minorHAnsi" w:cstheme="minorHAnsi"/>
                <w:sz w:val="18"/>
              </w:rPr>
              <w:lastRenderedPageBreak/>
              <w:t>gender responsible budgeting, gender index in the environment sector and gender audit applied to planning, implementation, monitoring and evaluation of policies, programmes and projects in the environmental management</w:t>
            </w:r>
          </w:p>
        </w:tc>
      </w:tr>
      <w:tr w:rsidR="00635C53" w:rsidRPr="007C4D65" w14:paraId="5061F2EE" w14:textId="77777777" w:rsidTr="00635C53">
        <w:trPr>
          <w:trHeight w:val="300"/>
        </w:trPr>
        <w:tc>
          <w:tcPr>
            <w:tcW w:w="2024" w:type="dxa"/>
            <w:vMerge/>
          </w:tcPr>
          <w:p w14:paraId="01B403DA"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7204827B"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Effectiveness of the institutional mechanism of coordination in the domain of gender equality</w:t>
            </w:r>
          </w:p>
        </w:tc>
        <w:tc>
          <w:tcPr>
            <w:tcW w:w="2687" w:type="dxa"/>
          </w:tcPr>
          <w:p w14:paraId="320EA30C"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Conditions created for the establishment of a special coordinating gender equality and environment body, but it has not been established (2021)</w:t>
            </w:r>
          </w:p>
        </w:tc>
        <w:tc>
          <w:tcPr>
            <w:tcW w:w="2645" w:type="dxa"/>
          </w:tcPr>
          <w:p w14:paraId="7691BF39"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An efficient coordination gender equality and environment body established (2026)</w:t>
            </w:r>
          </w:p>
        </w:tc>
      </w:tr>
      <w:tr w:rsidR="00635C53" w:rsidRPr="007C4D65" w14:paraId="101F832F" w14:textId="77777777" w:rsidTr="00635C53">
        <w:trPr>
          <w:trHeight w:val="300"/>
        </w:trPr>
        <w:tc>
          <w:tcPr>
            <w:tcW w:w="2024" w:type="dxa"/>
            <w:vMerge/>
          </w:tcPr>
          <w:p w14:paraId="58B16CCD"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29A7D43C"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Status of the preparation of a sectoral policy focusing on laying the ground for the implementation of a circular economy</w:t>
            </w:r>
          </w:p>
        </w:tc>
        <w:tc>
          <w:tcPr>
            <w:tcW w:w="2687" w:type="dxa"/>
          </w:tcPr>
          <w:p w14:paraId="2685BA85" w14:textId="2C5CB0C4"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Currently, the Federation of BiH has no waste policy in writing. A multi-sectora</w:t>
            </w:r>
            <w:r w:rsidR="0083630B" w:rsidRPr="007C4D65">
              <w:rPr>
                <w:rFonts w:asciiTheme="minorHAnsi" w:hAnsiTheme="minorHAnsi" w:cstheme="minorHAnsi"/>
                <w:sz w:val="18"/>
              </w:rPr>
              <w:t>l</w:t>
            </w:r>
            <w:r w:rsidRPr="007C4D65">
              <w:rPr>
                <w:rFonts w:asciiTheme="minorHAnsi" w:hAnsiTheme="minorHAnsi" w:cstheme="minorHAnsi"/>
                <w:sz w:val="18"/>
              </w:rPr>
              <w:t xml:space="preserve"> cooperation lead by the industry and environment sectors is required </w:t>
            </w:r>
            <w:proofErr w:type="gramStart"/>
            <w:r w:rsidRPr="007C4D65">
              <w:rPr>
                <w:rFonts w:asciiTheme="minorHAnsi" w:hAnsiTheme="minorHAnsi" w:cstheme="minorHAnsi"/>
                <w:sz w:val="18"/>
              </w:rPr>
              <w:t>in order to</w:t>
            </w:r>
            <w:proofErr w:type="gramEnd"/>
            <w:r w:rsidRPr="007C4D65">
              <w:rPr>
                <w:rFonts w:asciiTheme="minorHAnsi" w:hAnsiTheme="minorHAnsi" w:cstheme="minorHAnsi"/>
                <w:sz w:val="18"/>
              </w:rPr>
              <w:t xml:space="preserve"> design a clear environmental policy focusing on the creation of conditions for the implementation of a circular economy (2021)</w:t>
            </w:r>
          </w:p>
        </w:tc>
        <w:tc>
          <w:tcPr>
            <w:tcW w:w="2645" w:type="dxa"/>
          </w:tcPr>
          <w:p w14:paraId="7351470C" w14:textId="7A9E7789" w:rsidR="00635C53" w:rsidRPr="007C4D65" w:rsidRDefault="0083630B"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sectoral</w:t>
            </w:r>
            <w:r w:rsidR="00635C53" w:rsidRPr="007C4D65">
              <w:rPr>
                <w:rFonts w:asciiTheme="minorHAnsi" w:hAnsiTheme="minorHAnsi" w:cstheme="minorHAnsi"/>
                <w:sz w:val="18"/>
              </w:rPr>
              <w:t xml:space="preserve"> policy </w:t>
            </w:r>
            <w:proofErr w:type="gramStart"/>
            <w:r w:rsidR="00635C53" w:rsidRPr="007C4D65">
              <w:rPr>
                <w:rFonts w:asciiTheme="minorHAnsi" w:hAnsiTheme="minorHAnsi" w:cstheme="minorHAnsi"/>
                <w:sz w:val="18"/>
              </w:rPr>
              <w:t>adopted</w:t>
            </w:r>
            <w:proofErr w:type="gramEnd"/>
            <w:r w:rsidR="00635C53" w:rsidRPr="007C4D65">
              <w:rPr>
                <w:rFonts w:asciiTheme="minorHAnsi" w:hAnsiTheme="minorHAnsi" w:cstheme="minorHAnsi"/>
                <w:sz w:val="18"/>
              </w:rPr>
              <w:t xml:space="preserve"> and conditions created for the transition to a circular economy (2027)</w:t>
            </w:r>
          </w:p>
        </w:tc>
      </w:tr>
      <w:tr w:rsidR="00635C53" w:rsidRPr="007C4D65" w14:paraId="6A37EE33" w14:textId="77777777" w:rsidTr="00635C53">
        <w:trPr>
          <w:trHeight w:val="300"/>
        </w:trPr>
        <w:tc>
          <w:tcPr>
            <w:tcW w:w="2024" w:type="dxa"/>
            <w:vMerge w:val="restart"/>
          </w:tcPr>
          <w:p w14:paraId="23F8643D"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7.7 </w:t>
            </w:r>
          </w:p>
          <w:p w14:paraId="0B2A3A8D" w14:textId="59EF79BF"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b/>
                <w:sz w:val="18"/>
              </w:rPr>
              <w:t>Ensuring financial sustainability of the environment sector in the Federation of BiH</w:t>
            </w:r>
          </w:p>
        </w:tc>
        <w:tc>
          <w:tcPr>
            <w:tcW w:w="2278" w:type="dxa"/>
          </w:tcPr>
          <w:p w14:paraId="6E14E426"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Transparency of reporting of the institutions about funds they collect from taxes and the purposes for which they used them</w:t>
            </w:r>
          </w:p>
        </w:tc>
        <w:tc>
          <w:tcPr>
            <w:tcW w:w="2687" w:type="dxa"/>
          </w:tcPr>
          <w:p w14:paraId="32817719"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Non-transparent reporting of the institutions about funds they collect from taxes and the purposes for which they used them (2021)</w:t>
            </w:r>
          </w:p>
        </w:tc>
        <w:tc>
          <w:tcPr>
            <w:tcW w:w="2645" w:type="dxa"/>
          </w:tcPr>
          <w:p w14:paraId="2BC2C623"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Responsible institutions routinely prepare and transparently publish reports on funds raised and on use funds for intended purposes (2030)</w:t>
            </w:r>
          </w:p>
        </w:tc>
      </w:tr>
      <w:tr w:rsidR="00635C53" w:rsidRPr="007C4D65" w14:paraId="70BB5DDF" w14:textId="77777777" w:rsidTr="00635C53">
        <w:trPr>
          <w:trHeight w:val="300"/>
        </w:trPr>
        <w:tc>
          <w:tcPr>
            <w:tcW w:w="2024" w:type="dxa"/>
            <w:vMerge/>
            <w:vAlign w:val="center"/>
          </w:tcPr>
          <w:p w14:paraId="7EBA1149"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433619E7"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Implementation of current economic instruments</w:t>
            </w:r>
          </w:p>
        </w:tc>
        <w:tc>
          <w:tcPr>
            <w:tcW w:w="2687" w:type="dxa"/>
          </w:tcPr>
          <w:p w14:paraId="0D8C7A7A"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Perception of economic instruments is not systemic. Ineffective planning of economic instruments (2021)</w:t>
            </w:r>
          </w:p>
        </w:tc>
        <w:tc>
          <w:tcPr>
            <w:tcW w:w="2645" w:type="dxa"/>
          </w:tcPr>
          <w:p w14:paraId="61435FB4"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Current economic instruments efficiently and robustly implemented (2030)</w:t>
            </w:r>
          </w:p>
        </w:tc>
      </w:tr>
      <w:tr w:rsidR="00635C53" w:rsidRPr="007C4D65" w14:paraId="3DF6C615" w14:textId="77777777" w:rsidTr="00635C53">
        <w:trPr>
          <w:trHeight w:val="300"/>
        </w:trPr>
        <w:tc>
          <w:tcPr>
            <w:tcW w:w="2024" w:type="dxa"/>
            <w:vMerge/>
            <w:vAlign w:val="center"/>
          </w:tcPr>
          <w:p w14:paraId="5F0D19EA"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14A8010C"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Application (implementation) of taxes and fees defined in the applicable legislation</w:t>
            </w:r>
          </w:p>
        </w:tc>
        <w:tc>
          <w:tcPr>
            <w:tcW w:w="2687" w:type="dxa"/>
          </w:tcPr>
          <w:p w14:paraId="0C3CF770"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Lack of taxes or fees in individual areas which have a significant impact on the environment (2021)</w:t>
            </w:r>
          </w:p>
        </w:tc>
        <w:tc>
          <w:tcPr>
            <w:tcW w:w="2645" w:type="dxa"/>
          </w:tcPr>
          <w:p w14:paraId="19ED4182"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All fees stipulated in the Law on the Fund of the Federation of BiH and other laws which regulate individual areas implemented (2030)</w:t>
            </w:r>
          </w:p>
        </w:tc>
      </w:tr>
      <w:tr w:rsidR="00635C53" w:rsidRPr="007C4D65" w14:paraId="6AD120A9" w14:textId="77777777" w:rsidTr="00635C53">
        <w:trPr>
          <w:trHeight w:val="300"/>
        </w:trPr>
        <w:tc>
          <w:tcPr>
            <w:tcW w:w="2024" w:type="dxa"/>
            <w:vMerge/>
            <w:vAlign w:val="center"/>
          </w:tcPr>
          <w:p w14:paraId="3F19F3C3"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61A95B67"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Implementation/application of new innovative and stimulating economic mechanisms</w:t>
            </w:r>
          </w:p>
        </w:tc>
        <w:tc>
          <w:tcPr>
            <w:tcW w:w="2687" w:type="dxa"/>
          </w:tcPr>
          <w:p w14:paraId="392456E9"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Lack of innovative and stimulating economic mechanisms (2021)</w:t>
            </w:r>
          </w:p>
        </w:tc>
        <w:tc>
          <w:tcPr>
            <w:tcW w:w="2645" w:type="dxa"/>
          </w:tcPr>
          <w:p w14:paraId="4226EFFA"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New innovative and stimulating economic mechanisms implemented (2030)</w:t>
            </w:r>
          </w:p>
        </w:tc>
      </w:tr>
      <w:tr w:rsidR="00635C53" w:rsidRPr="007C4D65" w14:paraId="21ECAA81" w14:textId="77777777" w:rsidTr="00635C53">
        <w:trPr>
          <w:trHeight w:val="300"/>
        </w:trPr>
        <w:tc>
          <w:tcPr>
            <w:tcW w:w="2024" w:type="dxa"/>
            <w:vMerge/>
            <w:vAlign w:val="center"/>
          </w:tcPr>
          <w:p w14:paraId="73DEE13D"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4873C617"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Use of the available EU funds and international funds for environmental protection and complementary sectors</w:t>
            </w:r>
          </w:p>
        </w:tc>
        <w:tc>
          <w:tcPr>
            <w:tcW w:w="2687" w:type="dxa"/>
          </w:tcPr>
          <w:p w14:paraId="1C832D9C"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Insufficient use of the available financial mechanisms and international funds for environmental protection and complementary sectors (2021)</w:t>
            </w:r>
          </w:p>
        </w:tc>
        <w:tc>
          <w:tcPr>
            <w:tcW w:w="2645" w:type="dxa"/>
          </w:tcPr>
          <w:p w14:paraId="6F79778F"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Increased use of the financial mechanisms and international funds designated for environmental protection and complementary sectors (2030)</w:t>
            </w:r>
          </w:p>
        </w:tc>
      </w:tr>
      <w:tr w:rsidR="00635C53" w:rsidRPr="007C4D65" w14:paraId="2A7E02BE" w14:textId="77777777" w:rsidTr="00635C53">
        <w:trPr>
          <w:trHeight w:val="300"/>
        </w:trPr>
        <w:tc>
          <w:tcPr>
            <w:tcW w:w="2024" w:type="dxa"/>
            <w:vMerge w:val="restart"/>
          </w:tcPr>
          <w:p w14:paraId="0F55CC97"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7.8 </w:t>
            </w:r>
          </w:p>
          <w:p w14:paraId="69967965" w14:textId="3D57A7F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b/>
                <w:sz w:val="18"/>
              </w:rPr>
              <w:t xml:space="preserve">Establishing the system for </w:t>
            </w:r>
            <w:r w:rsidR="009F16BA" w:rsidRPr="007C4D65">
              <w:rPr>
                <w:rFonts w:asciiTheme="minorHAnsi" w:hAnsiTheme="minorHAnsi" w:cstheme="minorHAnsi"/>
                <w:b/>
                <w:sz w:val="18"/>
              </w:rPr>
              <w:t>strategic decision-making</w:t>
            </w:r>
            <w:r w:rsidRPr="007C4D65">
              <w:rPr>
                <w:rFonts w:asciiTheme="minorHAnsi" w:hAnsiTheme="minorHAnsi" w:cstheme="minorHAnsi"/>
                <w:b/>
                <w:sz w:val="18"/>
              </w:rPr>
              <w:t xml:space="preserve">, investments and monitoring of results in education, research and </w:t>
            </w:r>
            <w:r w:rsidRPr="007C4D65">
              <w:rPr>
                <w:rFonts w:asciiTheme="minorHAnsi" w:hAnsiTheme="minorHAnsi" w:cstheme="minorHAnsi"/>
                <w:b/>
                <w:sz w:val="18"/>
              </w:rPr>
              <w:lastRenderedPageBreak/>
              <w:t xml:space="preserve">innovations in environment </w:t>
            </w:r>
          </w:p>
        </w:tc>
        <w:tc>
          <w:tcPr>
            <w:tcW w:w="2278" w:type="dxa"/>
          </w:tcPr>
          <w:p w14:paraId="4CBC0EE7" w14:textId="05237815"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lastRenderedPageBreak/>
              <w:t xml:space="preserve">Integration of environmental protection issues in curricula of educational institutions and </w:t>
            </w:r>
            <w:r w:rsidR="00A24C9A">
              <w:rPr>
                <w:rFonts w:asciiTheme="minorHAnsi" w:hAnsiTheme="minorHAnsi" w:cstheme="minorHAnsi"/>
                <w:sz w:val="18"/>
              </w:rPr>
              <w:t>nonformal</w:t>
            </w:r>
            <w:r w:rsidRPr="007C4D65">
              <w:rPr>
                <w:rFonts w:asciiTheme="minorHAnsi" w:hAnsiTheme="minorHAnsi" w:cstheme="minorHAnsi"/>
                <w:sz w:val="18"/>
              </w:rPr>
              <w:t xml:space="preserve"> education</w:t>
            </w:r>
          </w:p>
        </w:tc>
        <w:tc>
          <w:tcPr>
            <w:tcW w:w="2687" w:type="dxa"/>
          </w:tcPr>
          <w:p w14:paraId="65948D61"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Environmental issues are insufficiently integrated in curricula of educational institutions at all the levels (2021)</w:t>
            </w:r>
          </w:p>
        </w:tc>
        <w:tc>
          <w:tcPr>
            <w:tcW w:w="2645" w:type="dxa"/>
          </w:tcPr>
          <w:p w14:paraId="0F00BDCC"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Environmental issues integrated in curricula of educational institutions across the levels (2030)</w:t>
            </w:r>
          </w:p>
        </w:tc>
      </w:tr>
      <w:tr w:rsidR="00635C53" w:rsidRPr="007C4D65" w14:paraId="02932B94" w14:textId="77777777" w:rsidTr="00635C53">
        <w:trPr>
          <w:trHeight w:val="300"/>
        </w:trPr>
        <w:tc>
          <w:tcPr>
            <w:tcW w:w="2024" w:type="dxa"/>
            <w:vMerge/>
            <w:vAlign w:val="center"/>
          </w:tcPr>
          <w:p w14:paraId="3F3BFF60"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7BC0E33B"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Capacity of employees of educational institutions</w:t>
            </w:r>
          </w:p>
        </w:tc>
        <w:tc>
          <w:tcPr>
            <w:tcW w:w="2687" w:type="dxa"/>
          </w:tcPr>
          <w:p w14:paraId="31DA5B13"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Eco-pedagogical competencies of the staff of educational </w:t>
            </w:r>
            <w:r w:rsidRPr="007C4D65">
              <w:rPr>
                <w:rFonts w:asciiTheme="minorHAnsi" w:hAnsiTheme="minorHAnsi" w:cstheme="minorHAnsi"/>
                <w:sz w:val="18"/>
              </w:rPr>
              <w:lastRenderedPageBreak/>
              <w:t>institutions need to be improved (2021)</w:t>
            </w:r>
          </w:p>
        </w:tc>
        <w:tc>
          <w:tcPr>
            <w:tcW w:w="2645" w:type="dxa"/>
          </w:tcPr>
          <w:p w14:paraId="20E4BF7F"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lastRenderedPageBreak/>
              <w:t xml:space="preserve">The capacity and eco-pedagogical competence of the </w:t>
            </w:r>
            <w:r w:rsidRPr="007C4D65">
              <w:rPr>
                <w:rFonts w:asciiTheme="minorHAnsi" w:hAnsiTheme="minorHAnsi" w:cstheme="minorHAnsi"/>
                <w:sz w:val="18"/>
              </w:rPr>
              <w:lastRenderedPageBreak/>
              <w:t>staff of educational institutions enhanced (2030)</w:t>
            </w:r>
          </w:p>
        </w:tc>
      </w:tr>
      <w:tr w:rsidR="00635C53" w:rsidRPr="007C4D65" w14:paraId="214CCB9A" w14:textId="77777777" w:rsidTr="00635C53">
        <w:trPr>
          <w:trHeight w:val="300"/>
        </w:trPr>
        <w:tc>
          <w:tcPr>
            <w:tcW w:w="2024" w:type="dxa"/>
            <w:vMerge/>
            <w:vAlign w:val="center"/>
          </w:tcPr>
          <w:p w14:paraId="62FB8855"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66AA0E3A" w14:textId="01CE07AC"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Creating dedicated budgets to support the </w:t>
            </w:r>
            <w:r w:rsidR="00A24C9A">
              <w:rPr>
                <w:rFonts w:asciiTheme="minorHAnsi" w:hAnsiTheme="minorHAnsi" w:cstheme="minorHAnsi"/>
                <w:sz w:val="18"/>
              </w:rPr>
              <w:t>nonformal</w:t>
            </w:r>
            <w:r w:rsidRPr="007C4D65">
              <w:rPr>
                <w:rFonts w:asciiTheme="minorHAnsi" w:hAnsiTheme="minorHAnsi" w:cstheme="minorHAnsi"/>
                <w:sz w:val="18"/>
              </w:rPr>
              <w:t xml:space="preserve"> environmental education</w:t>
            </w:r>
          </w:p>
        </w:tc>
        <w:tc>
          <w:tcPr>
            <w:tcW w:w="2687" w:type="dxa"/>
          </w:tcPr>
          <w:p w14:paraId="24F0C6C0" w14:textId="4E987C6A"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Insufficient budgets allocated to support the programming in the domain of </w:t>
            </w:r>
            <w:r w:rsidR="00A24C9A">
              <w:rPr>
                <w:rFonts w:asciiTheme="minorHAnsi" w:hAnsiTheme="minorHAnsi" w:cstheme="minorHAnsi"/>
                <w:sz w:val="18"/>
              </w:rPr>
              <w:t xml:space="preserve">nonformal </w:t>
            </w:r>
            <w:r w:rsidRPr="007C4D65">
              <w:rPr>
                <w:rFonts w:asciiTheme="minorHAnsi" w:hAnsiTheme="minorHAnsi" w:cstheme="minorHAnsi"/>
                <w:sz w:val="18"/>
              </w:rPr>
              <w:t>environmental education (2021)</w:t>
            </w:r>
          </w:p>
        </w:tc>
        <w:tc>
          <w:tcPr>
            <w:tcW w:w="2645" w:type="dxa"/>
          </w:tcPr>
          <w:p w14:paraId="44057B02"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Earmarked funds for support to non-formal environmental education created (2030)</w:t>
            </w:r>
          </w:p>
        </w:tc>
      </w:tr>
      <w:tr w:rsidR="00635C53" w:rsidRPr="007C4D65" w14:paraId="7AC165AF" w14:textId="77777777" w:rsidTr="00635C53">
        <w:trPr>
          <w:trHeight w:val="300"/>
        </w:trPr>
        <w:tc>
          <w:tcPr>
            <w:tcW w:w="2024" w:type="dxa"/>
            <w:vMerge/>
            <w:vAlign w:val="center"/>
          </w:tcPr>
          <w:p w14:paraId="1A2B9E8D"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166E4544"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Availability of earmarked funds for innovation and development in the environment sector.</w:t>
            </w:r>
          </w:p>
        </w:tc>
        <w:tc>
          <w:tcPr>
            <w:tcW w:w="2687" w:type="dxa"/>
          </w:tcPr>
          <w:p w14:paraId="1F640477"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Dedicated budgets for investments in innovation and development, and application of new technologies aimed at reducing the pollution are not sufficient given an increasing need to catch up with international trends (2021)</w:t>
            </w:r>
          </w:p>
        </w:tc>
        <w:tc>
          <w:tcPr>
            <w:tcW w:w="2645" w:type="dxa"/>
          </w:tcPr>
          <w:p w14:paraId="5B0C1D00"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Larger budgets allocated for innovation and development, and application of new technologies aimed at reducing the pollution (2028)</w:t>
            </w:r>
          </w:p>
        </w:tc>
      </w:tr>
      <w:tr w:rsidR="00635C53" w:rsidRPr="007C4D65" w14:paraId="0B4A487F" w14:textId="77777777" w:rsidTr="00635C53">
        <w:trPr>
          <w:trHeight w:val="300"/>
        </w:trPr>
        <w:tc>
          <w:tcPr>
            <w:tcW w:w="2024" w:type="dxa"/>
            <w:vMerge/>
            <w:vAlign w:val="center"/>
          </w:tcPr>
          <w:p w14:paraId="6866DEDC" w14:textId="77777777" w:rsidR="00635C53" w:rsidRPr="007C4D65" w:rsidRDefault="00635C53" w:rsidP="00B6017F">
            <w:pPr>
              <w:spacing w:line="276" w:lineRule="auto"/>
              <w:rPr>
                <w:rFonts w:asciiTheme="minorHAnsi" w:hAnsiTheme="minorHAnsi" w:cstheme="minorHAnsi"/>
                <w:sz w:val="18"/>
                <w:szCs w:val="18"/>
                <w:lang w:val="hr-HR"/>
              </w:rPr>
            </w:pPr>
          </w:p>
        </w:tc>
        <w:tc>
          <w:tcPr>
            <w:tcW w:w="2278" w:type="dxa"/>
          </w:tcPr>
          <w:p w14:paraId="4D809A87"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Strengthening research capacities in the environment sector</w:t>
            </w:r>
          </w:p>
        </w:tc>
        <w:tc>
          <w:tcPr>
            <w:tcW w:w="2687" w:type="dxa"/>
          </w:tcPr>
          <w:p w14:paraId="59B50981"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Poor capacities for research and development in the environment sector. Scientific research in this area insufficient (2021)</w:t>
            </w:r>
          </w:p>
        </w:tc>
        <w:tc>
          <w:tcPr>
            <w:tcW w:w="2645" w:type="dxa"/>
          </w:tcPr>
          <w:p w14:paraId="113A7940"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Capacities for environmental research increased by (2030)</w:t>
            </w:r>
          </w:p>
        </w:tc>
      </w:tr>
    </w:tbl>
    <w:p w14:paraId="22730075" w14:textId="77777777" w:rsidR="00E254BC" w:rsidRPr="007C4D65" w:rsidRDefault="00E254BC" w:rsidP="0068355A">
      <w:pPr>
        <w:spacing w:line="276" w:lineRule="auto"/>
        <w:rPr>
          <w:rFonts w:asciiTheme="minorHAnsi" w:hAnsiTheme="minorHAnsi" w:cstheme="minorHAnsi"/>
        </w:rPr>
      </w:pPr>
    </w:p>
    <w:p w14:paraId="30E554B5" w14:textId="4E8BF3F2" w:rsidR="00E254BC" w:rsidRPr="007C4D65" w:rsidRDefault="0054266E">
      <w:pPr>
        <w:pStyle w:val="Head3"/>
        <w:spacing w:line="276" w:lineRule="auto"/>
        <w:rPr>
          <w:rFonts w:asciiTheme="minorHAnsi" w:hAnsiTheme="minorHAnsi"/>
        </w:rPr>
      </w:pPr>
      <w:bookmarkStart w:id="213" w:name="_Toc117445369"/>
      <w:r w:rsidRPr="007C4D65">
        <w:rPr>
          <w:rFonts w:asciiTheme="minorHAnsi" w:hAnsiTheme="minorHAnsi"/>
        </w:rPr>
        <w:t xml:space="preserve">Description of </w:t>
      </w:r>
      <w:r w:rsidR="0083630B" w:rsidRPr="007C4D65">
        <w:rPr>
          <w:rFonts w:asciiTheme="minorHAnsi" w:hAnsiTheme="minorHAnsi"/>
        </w:rPr>
        <w:t>m</w:t>
      </w:r>
      <w:r w:rsidRPr="007C4D65">
        <w:rPr>
          <w:rFonts w:asciiTheme="minorHAnsi" w:hAnsiTheme="minorHAnsi"/>
        </w:rPr>
        <w:t>easures</w:t>
      </w:r>
      <w:bookmarkEnd w:id="213"/>
    </w:p>
    <w:p w14:paraId="226EBB40" w14:textId="57DD8A74"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Strategic goal 7 comprises 32 measures logically linked with the priorities.</w:t>
      </w:r>
    </w:p>
    <w:p w14:paraId="0D124B56" w14:textId="30625592" w:rsidR="00635C53" w:rsidRPr="007C4D65" w:rsidRDefault="00635C53" w:rsidP="00635C53">
      <w:pPr>
        <w:spacing w:before="240" w:line="276" w:lineRule="auto"/>
        <w:rPr>
          <w:rFonts w:asciiTheme="minorHAnsi" w:hAnsiTheme="minorHAnsi" w:cstheme="minorHAnsi"/>
          <w:b/>
          <w:iCs/>
          <w:sz w:val="22"/>
          <w:szCs w:val="22"/>
          <w:u w:val="single"/>
        </w:rPr>
      </w:pPr>
      <w:r w:rsidRPr="007C4D65">
        <w:rPr>
          <w:rFonts w:asciiTheme="minorHAnsi" w:hAnsiTheme="minorHAnsi" w:cstheme="minorHAnsi"/>
          <w:b/>
          <w:iCs/>
          <w:sz w:val="22"/>
          <w:u w:val="single"/>
        </w:rPr>
        <w:t xml:space="preserve">Priority 7.1 </w:t>
      </w:r>
      <w:r w:rsidR="005A2219" w:rsidRPr="007C4D65">
        <w:rPr>
          <w:rFonts w:asciiTheme="minorHAnsi" w:hAnsiTheme="minorHAnsi" w:cstheme="minorHAnsi"/>
          <w:b/>
          <w:iCs/>
          <w:sz w:val="22"/>
          <w:u w:val="single"/>
        </w:rPr>
        <w:t>Improving the legal framework and sectoral policies for planning, management and protection of the environment in the Federation of BiH with the view of fully aligning the legislation with the EU environmental acquis and international agreements</w:t>
      </w:r>
    </w:p>
    <w:p w14:paraId="11E0E7DB" w14:textId="22DBF095" w:rsidR="00635C53" w:rsidRPr="007C4D65" w:rsidRDefault="00635C53" w:rsidP="00635C53">
      <w:pPr>
        <w:spacing w:before="240" w:line="276" w:lineRule="auto"/>
        <w:rPr>
          <w:rFonts w:asciiTheme="minorHAnsi" w:hAnsiTheme="minorHAnsi" w:cstheme="minorHAnsi"/>
          <w:i/>
          <w:sz w:val="22"/>
          <w:szCs w:val="22"/>
          <w:u w:val="single"/>
        </w:rPr>
      </w:pPr>
      <w:r w:rsidRPr="007C4D65">
        <w:rPr>
          <w:rFonts w:asciiTheme="minorHAnsi" w:hAnsiTheme="minorHAnsi" w:cstheme="minorHAnsi"/>
          <w:i/>
          <w:sz w:val="22"/>
          <w:u w:val="single"/>
        </w:rPr>
        <w:t xml:space="preserve">Measure 7.1.1. Aligning the legislation of the Federation </w:t>
      </w:r>
      <w:r w:rsidR="006C5EE4" w:rsidRPr="007C4D65">
        <w:rPr>
          <w:rFonts w:asciiTheme="minorHAnsi" w:hAnsiTheme="minorHAnsi" w:cstheme="minorHAnsi"/>
          <w:i/>
          <w:sz w:val="22"/>
          <w:u w:val="single"/>
        </w:rPr>
        <w:t>of</w:t>
      </w:r>
      <w:r w:rsidRPr="007C4D65">
        <w:rPr>
          <w:rFonts w:asciiTheme="minorHAnsi" w:hAnsiTheme="minorHAnsi" w:cstheme="minorHAnsi"/>
          <w:i/>
          <w:sz w:val="22"/>
          <w:u w:val="single"/>
        </w:rPr>
        <w:t xml:space="preserve"> BiH with the environmental EU acquis and the implementation of the EU directives.</w:t>
      </w:r>
    </w:p>
    <w:p w14:paraId="7C2B6637" w14:textId="66D38F29"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This measure </w:t>
      </w:r>
      <w:r w:rsidR="0083630B" w:rsidRPr="007C4D65">
        <w:rPr>
          <w:rFonts w:asciiTheme="minorHAnsi" w:hAnsiTheme="minorHAnsi" w:cstheme="minorHAnsi"/>
          <w:sz w:val="22"/>
        </w:rPr>
        <w:t>aims</w:t>
      </w:r>
      <w:r w:rsidRPr="007C4D65">
        <w:rPr>
          <w:rFonts w:asciiTheme="minorHAnsi" w:hAnsiTheme="minorHAnsi" w:cstheme="minorHAnsi"/>
          <w:sz w:val="22"/>
        </w:rPr>
        <w:t xml:space="preserve"> at increasing the level of alignment of the legislation of the Federation of BiH with the EU environmental regulations, in accordance with the BiH EU Integration Programme which is currently being drafted. The Programme should be adopted in 2022, and it covers a four-year period. This document will prioritise EU regulations, timelines for their transposition, etc.</w:t>
      </w:r>
    </w:p>
    <w:p w14:paraId="27FD4BE3" w14:textId="5D280F54" w:rsidR="00635C53" w:rsidRPr="007C4D65" w:rsidRDefault="0076407C"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Areas of intervention</w:t>
      </w:r>
      <w:r w:rsidR="00635C53" w:rsidRPr="007C4D65">
        <w:rPr>
          <w:rFonts w:asciiTheme="minorHAnsi" w:hAnsiTheme="minorHAnsi" w:cstheme="minorHAnsi"/>
          <w:sz w:val="22"/>
        </w:rPr>
        <w:t xml:space="preserve"> include aligning of the legislation of the Federation of BiH with the EU regulations as </w:t>
      </w:r>
      <w:proofErr w:type="gramStart"/>
      <w:r w:rsidR="00635C53" w:rsidRPr="007C4D65">
        <w:rPr>
          <w:rFonts w:asciiTheme="minorHAnsi" w:hAnsiTheme="minorHAnsi" w:cstheme="minorHAnsi"/>
          <w:sz w:val="22"/>
        </w:rPr>
        <w:t>prioritised, and</w:t>
      </w:r>
      <w:proofErr w:type="gramEnd"/>
      <w:r w:rsidR="00635C53" w:rsidRPr="007C4D65">
        <w:rPr>
          <w:rFonts w:asciiTheme="minorHAnsi" w:hAnsiTheme="minorHAnsi" w:cstheme="minorHAnsi"/>
          <w:sz w:val="22"/>
        </w:rPr>
        <w:t xml:space="preserve"> defining the measures to implement the priority recommendations of the European Commission which concern the institutional measures and administrative capacities, within the scope of Chapters 27 and its provisions on the environmental management. This measure also includes consistent updating and implementation of the Programme of legal approximation of the </w:t>
      </w:r>
      <w:r w:rsidR="006C5EE4" w:rsidRPr="007C4D65">
        <w:rPr>
          <w:rFonts w:asciiTheme="minorHAnsi" w:hAnsiTheme="minorHAnsi" w:cstheme="minorHAnsi"/>
          <w:sz w:val="22"/>
        </w:rPr>
        <w:t>Federation</w:t>
      </w:r>
      <w:r w:rsidR="00635C53" w:rsidRPr="007C4D65">
        <w:rPr>
          <w:rFonts w:asciiTheme="minorHAnsi" w:hAnsiTheme="minorHAnsi" w:cstheme="minorHAnsi"/>
          <w:sz w:val="22"/>
        </w:rPr>
        <w:t xml:space="preserve"> of BiH with the EU environmental acquis, participation of the institutions of the Federation of BiH in the preparation of directive specific implementation plans (DSIPs) in the environment sector, and preparation and adoption of the action plans for the implementation of specific (complex) directives, regulations, more specifically the whole EU environmental acquis (APIDs), based on the priorities for transposition, as defined.</w:t>
      </w:r>
    </w:p>
    <w:p w14:paraId="3B54F957" w14:textId="7602CC75"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7.1.2. Defining </w:t>
      </w:r>
      <w:r w:rsidR="0083630B" w:rsidRPr="007C4D65">
        <w:rPr>
          <w:rFonts w:asciiTheme="minorHAnsi" w:hAnsiTheme="minorHAnsi" w:cstheme="minorHAnsi"/>
          <w:i/>
          <w:sz w:val="22"/>
          <w:u w:val="single"/>
        </w:rPr>
        <w:t>environmental</w:t>
      </w:r>
      <w:r w:rsidRPr="007C4D65">
        <w:rPr>
          <w:rFonts w:asciiTheme="minorHAnsi" w:hAnsiTheme="minorHAnsi" w:cstheme="minorHAnsi"/>
          <w:i/>
          <w:sz w:val="22"/>
          <w:u w:val="single"/>
        </w:rPr>
        <w:t xml:space="preserve"> </w:t>
      </w:r>
      <w:r w:rsidR="000A0DEF" w:rsidRPr="007C4D65">
        <w:rPr>
          <w:rFonts w:asciiTheme="minorHAnsi" w:hAnsiTheme="minorHAnsi" w:cstheme="minorHAnsi"/>
          <w:i/>
          <w:sz w:val="22"/>
          <w:u w:val="single"/>
        </w:rPr>
        <w:t>sanctions policy</w:t>
      </w:r>
    </w:p>
    <w:p w14:paraId="45EE4916" w14:textId="6712E9F8"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 xml:space="preserve">This measure aims at defining a clear </w:t>
      </w:r>
      <w:r w:rsidR="000A0DEF" w:rsidRPr="007C4D65">
        <w:rPr>
          <w:rFonts w:asciiTheme="minorHAnsi" w:hAnsiTheme="minorHAnsi" w:cstheme="minorHAnsi"/>
          <w:sz w:val="22"/>
        </w:rPr>
        <w:t>sanctions policy</w:t>
      </w:r>
      <w:r w:rsidRPr="007C4D65">
        <w:rPr>
          <w:rFonts w:asciiTheme="minorHAnsi" w:hAnsiTheme="minorHAnsi" w:cstheme="minorHAnsi"/>
          <w:sz w:val="22"/>
        </w:rPr>
        <w:t xml:space="preserve"> in the environmental protection.</w:t>
      </w:r>
    </w:p>
    <w:p w14:paraId="61769999"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General areas of intervention include amending of relevant laws of the Federation of BiH so as to transpose the Directive 2004/35/CE on environmental liability with regard to the prevention and remedying of environmental damage and Commission Notice-Instructions on agreement on the </w:t>
      </w:r>
      <w:proofErr w:type="gramStart"/>
      <w:r w:rsidRPr="007C4D65">
        <w:rPr>
          <w:rFonts w:asciiTheme="minorHAnsi" w:hAnsiTheme="minorHAnsi" w:cstheme="minorHAnsi"/>
          <w:sz w:val="22"/>
        </w:rPr>
        <w:t>term ”environmental</w:t>
      </w:r>
      <w:proofErr w:type="gramEnd"/>
      <w:r w:rsidRPr="007C4D65">
        <w:rPr>
          <w:rFonts w:asciiTheme="minorHAnsi" w:hAnsiTheme="minorHAnsi" w:cstheme="minorHAnsi"/>
          <w:sz w:val="22"/>
        </w:rPr>
        <w:t xml:space="preserve"> damage” as defined in Article 2. of the Directive 2004/35/CE of the European Parliament and of the Council on environmental liability </w:t>
      </w:r>
      <w:proofErr w:type="gramStart"/>
      <w:r w:rsidRPr="007C4D65">
        <w:rPr>
          <w:rFonts w:asciiTheme="minorHAnsi" w:hAnsiTheme="minorHAnsi" w:cstheme="minorHAnsi"/>
          <w:sz w:val="22"/>
        </w:rPr>
        <w:t>with regard to</w:t>
      </w:r>
      <w:proofErr w:type="gramEnd"/>
      <w:r w:rsidRPr="007C4D65">
        <w:rPr>
          <w:rFonts w:asciiTheme="minorHAnsi" w:hAnsiTheme="minorHAnsi" w:cstheme="minorHAnsi"/>
          <w:sz w:val="22"/>
        </w:rPr>
        <w:t xml:space="preserve"> the prevention and remedying of environmental damage.</w:t>
      </w:r>
    </w:p>
    <w:p w14:paraId="1DEF5CCC" w14:textId="3443E6A4"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w:t>
      </w:r>
      <w:r w:rsidR="00D121AF" w:rsidRPr="007C4D65">
        <w:rPr>
          <w:rFonts w:asciiTheme="minorHAnsi" w:hAnsiTheme="minorHAnsi" w:cstheme="minorHAnsi"/>
          <w:i/>
          <w:sz w:val="22"/>
          <w:u w:val="single"/>
        </w:rPr>
        <w:t>1</w:t>
      </w:r>
      <w:r w:rsidRPr="007C4D65">
        <w:rPr>
          <w:rFonts w:asciiTheme="minorHAnsi" w:hAnsiTheme="minorHAnsi" w:cstheme="minorHAnsi"/>
          <w:i/>
          <w:sz w:val="22"/>
          <w:u w:val="single"/>
        </w:rPr>
        <w:t xml:space="preserve">.3. </w:t>
      </w:r>
      <w:r w:rsidR="00D121AF" w:rsidRPr="007C4D65">
        <w:rPr>
          <w:rFonts w:asciiTheme="minorHAnsi" w:hAnsiTheme="minorHAnsi" w:cstheme="minorHAnsi"/>
          <w:i/>
          <w:sz w:val="22"/>
          <w:u w:val="single"/>
        </w:rPr>
        <w:t>Alignment of environmental management legal and strategic framework with the international and national gender equality standards</w:t>
      </w:r>
    </w:p>
    <w:p w14:paraId="02C7CC43" w14:textId="4B48A0DD"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aim of the measure is to ensure that all legal and strategic documents in the field of environmental management satisfy the international and national gender equality standards. To this end, it is necessary to first identify priority laws, strategies, action plans, programmes and other environmental documents, and </w:t>
      </w:r>
      <w:r w:rsidR="00A24843" w:rsidRPr="007C4D65">
        <w:rPr>
          <w:rFonts w:asciiTheme="minorHAnsi" w:hAnsiTheme="minorHAnsi" w:cstheme="minorHAnsi"/>
          <w:sz w:val="22"/>
        </w:rPr>
        <w:t>initiate</w:t>
      </w:r>
      <w:r w:rsidRPr="007C4D65">
        <w:rPr>
          <w:rFonts w:asciiTheme="minorHAnsi" w:hAnsiTheme="minorHAnsi" w:cstheme="minorHAnsi"/>
          <w:sz w:val="22"/>
        </w:rPr>
        <w:t xml:space="preserve"> </w:t>
      </w:r>
      <w:r w:rsidR="00A24843" w:rsidRPr="007C4D65">
        <w:rPr>
          <w:rFonts w:asciiTheme="minorHAnsi" w:hAnsiTheme="minorHAnsi" w:cstheme="minorHAnsi"/>
          <w:sz w:val="22"/>
        </w:rPr>
        <w:t>gender</w:t>
      </w:r>
      <w:r w:rsidRPr="007C4D65">
        <w:rPr>
          <w:rFonts w:asciiTheme="minorHAnsi" w:hAnsiTheme="minorHAnsi" w:cstheme="minorHAnsi"/>
          <w:sz w:val="22"/>
        </w:rPr>
        <w:t xml:space="preserve"> mainstreaming in this </w:t>
      </w:r>
      <w:proofErr w:type="gramStart"/>
      <w:r w:rsidRPr="007C4D65">
        <w:rPr>
          <w:rFonts w:asciiTheme="minorHAnsi" w:hAnsiTheme="minorHAnsi" w:cstheme="minorHAnsi"/>
          <w:sz w:val="22"/>
        </w:rPr>
        <w:t>particular area</w:t>
      </w:r>
      <w:proofErr w:type="gramEnd"/>
      <w:r w:rsidRPr="007C4D65">
        <w:rPr>
          <w:rFonts w:asciiTheme="minorHAnsi" w:hAnsiTheme="minorHAnsi" w:cstheme="minorHAnsi"/>
          <w:sz w:val="22"/>
        </w:rPr>
        <w:t>.</w:t>
      </w:r>
    </w:p>
    <w:p w14:paraId="45F3EB20" w14:textId="77777777" w:rsidR="00635C53" w:rsidRPr="007C4D65" w:rsidRDefault="00635C53" w:rsidP="00635C53">
      <w:pPr>
        <w:spacing w:before="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Priority 7.2 Ensuring efficient implementation of the applicable legislation and international commitments</w:t>
      </w:r>
    </w:p>
    <w:p w14:paraId="398FFABA"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7.2.1. Strengthening capacities for the implementation of international environmental agreements</w:t>
      </w:r>
    </w:p>
    <w:p w14:paraId="639282B7"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The aim of this measure is to significantly increase the level of the implementation of the international agreements ratified by BiH, in accordance with responsibilities of the Federation of BiH.</w:t>
      </w:r>
    </w:p>
    <w:p w14:paraId="06AD9BD2" w14:textId="32BE1174"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General areas of intervention include the participation of the institutions of the Federation of BiH in the creation of a document which will formalize the framework for the implementation of the international agreements and other international commitments of BiH in all the areas of environment, ensuring public access to official documents of global, regional and bilateral environmental agreements ratified in BiH, and strengthening of human resources capacity and communication with civil society organizations in order to improve the efficacy of the application of the international agreements.</w:t>
      </w:r>
    </w:p>
    <w:p w14:paraId="4D3F8BFF"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7.2.2. Consistent application of strategic environmental assessment (SEA)</w:t>
      </w:r>
    </w:p>
    <w:p w14:paraId="19EAA522"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The aim of this measure is to ensure consistent application of SEA through application of the 2021 Law on Environmental Protection and through cross-sectoral cooperation.</w:t>
      </w:r>
    </w:p>
    <w:p w14:paraId="59CDC79E" w14:textId="33B9F7CC"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General areas of intervention</w:t>
      </w:r>
      <w:r w:rsidR="0083630B" w:rsidRPr="007C4D65">
        <w:rPr>
          <w:rFonts w:asciiTheme="minorHAnsi" w:hAnsiTheme="minorHAnsi" w:cstheme="minorHAnsi"/>
          <w:sz w:val="22"/>
        </w:rPr>
        <w:t xml:space="preserve"> </w:t>
      </w:r>
      <w:r w:rsidRPr="007C4D65">
        <w:rPr>
          <w:rFonts w:asciiTheme="minorHAnsi" w:hAnsiTheme="minorHAnsi" w:cstheme="minorHAnsi"/>
          <w:sz w:val="22"/>
        </w:rPr>
        <w:t xml:space="preserve">include drafting and adoption of </w:t>
      </w:r>
      <w:r w:rsidR="00B80FAD" w:rsidRPr="007C4D65">
        <w:rPr>
          <w:rFonts w:asciiTheme="minorHAnsi" w:hAnsiTheme="minorHAnsi" w:cstheme="minorHAnsi"/>
          <w:sz w:val="22"/>
        </w:rPr>
        <w:t>bylaw</w:t>
      </w:r>
      <w:r w:rsidRPr="007C4D65">
        <w:rPr>
          <w:rFonts w:asciiTheme="minorHAnsi" w:hAnsiTheme="minorHAnsi" w:cstheme="minorHAnsi"/>
          <w:sz w:val="22"/>
        </w:rPr>
        <w:t xml:space="preserve">s based on the Law on Environmental Protection to define in detail the scope, content and evaluation of SEA, consistent updating of </w:t>
      </w:r>
      <w:r w:rsidR="00B80FAD" w:rsidRPr="007C4D65">
        <w:rPr>
          <w:rFonts w:asciiTheme="minorHAnsi" w:hAnsiTheme="minorHAnsi" w:cstheme="minorHAnsi"/>
          <w:sz w:val="22"/>
        </w:rPr>
        <w:t>bylaw</w:t>
      </w:r>
      <w:r w:rsidRPr="007C4D65">
        <w:rPr>
          <w:rFonts w:asciiTheme="minorHAnsi" w:hAnsiTheme="minorHAnsi" w:cstheme="minorHAnsi"/>
          <w:sz w:val="22"/>
        </w:rPr>
        <w:t xml:space="preserve">s for the implementation of SEA, participation of the institutions of the Federation of BiH in the processes of coordination and harmonization with representatives of the competent institutions of BiH, </w:t>
      </w:r>
      <w:proofErr w:type="spellStart"/>
      <w:r w:rsidRPr="007C4D65">
        <w:rPr>
          <w:rFonts w:asciiTheme="minorHAnsi" w:hAnsiTheme="minorHAnsi" w:cstheme="minorHAnsi"/>
          <w:sz w:val="22"/>
        </w:rPr>
        <w:t>Republika</w:t>
      </w:r>
      <w:proofErr w:type="spellEnd"/>
      <w:r w:rsidRPr="007C4D65">
        <w:rPr>
          <w:rFonts w:asciiTheme="minorHAnsi" w:hAnsiTheme="minorHAnsi" w:cstheme="minorHAnsi"/>
          <w:sz w:val="22"/>
        </w:rPr>
        <w:t xml:space="preserve"> Srpska and </w:t>
      </w:r>
      <w:r w:rsidR="00295360" w:rsidRPr="007C4D65">
        <w:rPr>
          <w:rFonts w:asciiTheme="minorHAnsi" w:hAnsiTheme="minorHAnsi" w:cstheme="minorHAnsi"/>
          <w:sz w:val="22"/>
        </w:rPr>
        <w:t>Brcko</w:t>
      </w:r>
      <w:r w:rsidRPr="007C4D65">
        <w:rPr>
          <w:rFonts w:asciiTheme="minorHAnsi" w:hAnsiTheme="minorHAnsi" w:cstheme="minorHAnsi"/>
          <w:sz w:val="22"/>
        </w:rPr>
        <w:t xml:space="preserve"> District while updating and defining protocols and administrative procedures for cross-border notification and consultations in the process of SEA implementation as well as establishment of the necessary systems and procedures aimed at consistent application of SEA.</w:t>
      </w:r>
    </w:p>
    <w:p w14:paraId="466FD011"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lastRenderedPageBreak/>
        <w:t>Measure 7.2.3. Ensuring conditions for integrated environmental permitting</w:t>
      </w:r>
    </w:p>
    <w:p w14:paraId="4A8DE395"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The aim of this measure is to ensure conditions for integrated environmental permitting process.  The aim is to achieve an ambitious goal - a party submits one application and obtains all the required approvals and the final decision on environmental permit.</w:t>
      </w:r>
    </w:p>
    <w:p w14:paraId="4060A8F0" w14:textId="18D638DD"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General areas of intervention include evaluation of the necessary technical preconditions and personnel in the </w:t>
      </w:r>
      <w:r w:rsidR="001E6E20" w:rsidRPr="007C4D65">
        <w:rPr>
          <w:rFonts w:asciiTheme="minorHAnsi" w:hAnsiTheme="minorHAnsi" w:cstheme="minorHAnsi"/>
          <w:sz w:val="22"/>
        </w:rPr>
        <w:t>Federation Ministry</w:t>
      </w:r>
      <w:r w:rsidRPr="007C4D65">
        <w:rPr>
          <w:rFonts w:asciiTheme="minorHAnsi" w:hAnsiTheme="minorHAnsi" w:cstheme="minorHAnsi"/>
          <w:sz w:val="22"/>
        </w:rPr>
        <w:t xml:space="preserve"> of Environment and Tourism for the issuance of the integrated environmental permits, and defining of recommendations for necessary adjustments, implementation of these recommendations, and creation of conditions for digitalization of all the procedures (including adoption of all the regulations the institutions need in order to be able to implement digital procedures).</w:t>
      </w:r>
    </w:p>
    <w:p w14:paraId="573DE8E9" w14:textId="5E2BB98A"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7.2.4. Preparation of </w:t>
      </w:r>
      <w:r w:rsidR="004D2879" w:rsidRPr="007C4D65">
        <w:rPr>
          <w:rFonts w:asciiTheme="minorHAnsi" w:hAnsiTheme="minorHAnsi" w:cstheme="minorHAnsi"/>
          <w:i/>
          <w:sz w:val="22"/>
          <w:u w:val="single"/>
        </w:rPr>
        <w:t>t</w:t>
      </w:r>
      <w:r w:rsidR="007934C2" w:rsidRPr="007C4D65">
        <w:rPr>
          <w:rFonts w:asciiTheme="minorHAnsi" w:hAnsiTheme="minorHAnsi" w:cstheme="minorHAnsi"/>
          <w:i/>
          <w:sz w:val="22"/>
          <w:u w:val="single"/>
        </w:rPr>
        <w:t>echnical instructions</w:t>
      </w:r>
      <w:r w:rsidRPr="007C4D65">
        <w:rPr>
          <w:rFonts w:asciiTheme="minorHAnsi" w:hAnsiTheme="minorHAnsi" w:cstheme="minorHAnsi"/>
          <w:i/>
          <w:sz w:val="22"/>
          <w:u w:val="single"/>
        </w:rPr>
        <w:t xml:space="preserve"> for best available techniques (BAT)</w:t>
      </w:r>
    </w:p>
    <w:p w14:paraId="7D1D17CB" w14:textId="1FDB0DE1" w:rsidR="00635C53" w:rsidRPr="007C4D65" w:rsidRDefault="007934C2"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Technical instructions</w:t>
      </w:r>
      <w:r w:rsidR="00635C53" w:rsidRPr="007C4D65">
        <w:rPr>
          <w:rFonts w:asciiTheme="minorHAnsi" w:hAnsiTheme="minorHAnsi" w:cstheme="minorHAnsi"/>
          <w:sz w:val="22"/>
        </w:rPr>
        <w:t xml:space="preserve"> for best available techniques for activities for which BAT have been determined by priorities.</w:t>
      </w:r>
    </w:p>
    <w:p w14:paraId="6026CF30" w14:textId="4E79BFAB"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General areas of intervention include adoption of </w:t>
      </w:r>
      <w:r w:rsidR="007934C2" w:rsidRPr="007C4D65">
        <w:rPr>
          <w:rFonts w:asciiTheme="minorHAnsi" w:hAnsiTheme="minorHAnsi" w:cstheme="minorHAnsi"/>
          <w:sz w:val="22"/>
        </w:rPr>
        <w:t>technical instructions</w:t>
      </w:r>
      <w:r w:rsidRPr="007C4D65">
        <w:rPr>
          <w:rFonts w:asciiTheme="minorHAnsi" w:hAnsiTheme="minorHAnsi" w:cstheme="minorHAnsi"/>
          <w:sz w:val="22"/>
        </w:rPr>
        <w:t xml:space="preserve"> for the best available techniques which have been prepared, preparation of new </w:t>
      </w:r>
      <w:r w:rsidR="007934C2" w:rsidRPr="007C4D65">
        <w:rPr>
          <w:rFonts w:asciiTheme="minorHAnsi" w:hAnsiTheme="minorHAnsi" w:cstheme="minorHAnsi"/>
          <w:sz w:val="22"/>
        </w:rPr>
        <w:t>technical instructions</w:t>
      </w:r>
      <w:r w:rsidRPr="007C4D65">
        <w:rPr>
          <w:rFonts w:asciiTheme="minorHAnsi" w:hAnsiTheme="minorHAnsi" w:cstheme="minorHAnsi"/>
          <w:sz w:val="22"/>
        </w:rPr>
        <w:t xml:space="preserve"> for the activities for which the BAT have been determined, by priorities, periodical update of already adopted </w:t>
      </w:r>
      <w:r w:rsidR="007934C2" w:rsidRPr="007C4D65">
        <w:rPr>
          <w:rFonts w:asciiTheme="minorHAnsi" w:hAnsiTheme="minorHAnsi" w:cstheme="minorHAnsi"/>
          <w:sz w:val="22"/>
        </w:rPr>
        <w:t>technical instructions</w:t>
      </w:r>
      <w:r w:rsidRPr="007C4D65">
        <w:rPr>
          <w:rFonts w:asciiTheme="minorHAnsi" w:hAnsiTheme="minorHAnsi" w:cstheme="minorHAnsi"/>
          <w:sz w:val="22"/>
        </w:rPr>
        <w:t xml:space="preserve">, and ensuring access to the background BAT documents using the link of the </w:t>
      </w:r>
      <w:r w:rsidR="001E6E20" w:rsidRPr="007C4D65">
        <w:rPr>
          <w:rFonts w:asciiTheme="minorHAnsi" w:hAnsiTheme="minorHAnsi" w:cstheme="minorHAnsi"/>
          <w:sz w:val="22"/>
        </w:rPr>
        <w:t>Federation Ministry</w:t>
      </w:r>
      <w:r w:rsidRPr="007C4D65">
        <w:rPr>
          <w:rFonts w:asciiTheme="minorHAnsi" w:hAnsiTheme="minorHAnsi" w:cstheme="minorHAnsi"/>
          <w:sz w:val="22"/>
        </w:rPr>
        <w:t xml:space="preserve"> of Environment and Tourism referring to original documents (in the English language) or translated into official languages in BiH (once translations are available).</w:t>
      </w:r>
    </w:p>
    <w:p w14:paraId="4BE75BCC" w14:textId="0C163ADB" w:rsidR="00635C53" w:rsidRPr="007C4D65" w:rsidRDefault="00635C53" w:rsidP="00635C53">
      <w:pPr>
        <w:spacing w:before="240" w:line="276" w:lineRule="auto"/>
        <w:rPr>
          <w:rFonts w:asciiTheme="minorHAnsi" w:hAnsiTheme="minorHAnsi" w:cstheme="minorHAnsi"/>
          <w:i/>
          <w:sz w:val="22"/>
          <w:szCs w:val="22"/>
          <w:u w:val="single"/>
        </w:rPr>
      </w:pPr>
      <w:r w:rsidRPr="007C4D65">
        <w:rPr>
          <w:rFonts w:asciiTheme="minorHAnsi" w:hAnsiTheme="minorHAnsi" w:cstheme="minorHAnsi"/>
          <w:b/>
          <w:i/>
          <w:sz w:val="22"/>
          <w:u w:val="single"/>
        </w:rPr>
        <w:t xml:space="preserve">Priority 7.3 </w:t>
      </w:r>
      <w:r w:rsidR="00864E60" w:rsidRPr="007C4D65">
        <w:rPr>
          <w:rFonts w:asciiTheme="minorHAnsi" w:hAnsiTheme="minorHAnsi" w:cstheme="minorHAnsi"/>
          <w:b/>
          <w:i/>
          <w:sz w:val="22"/>
          <w:u w:val="single"/>
        </w:rPr>
        <w:t>Maximise the capacity of institutions and their coordination</w:t>
      </w:r>
    </w:p>
    <w:p w14:paraId="05B98884" w14:textId="5AF3172A"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7.3.1. Implementation of effective mechanisms for institutional coordination of the activities of the environmental institutions </w:t>
      </w:r>
      <w:r w:rsidR="007436F1" w:rsidRPr="007C4D65">
        <w:rPr>
          <w:rFonts w:asciiTheme="minorHAnsi" w:hAnsiTheme="minorHAnsi" w:cstheme="minorHAnsi"/>
          <w:i/>
          <w:sz w:val="22"/>
          <w:u w:val="single"/>
        </w:rPr>
        <w:t>in the Federation of BiH</w:t>
      </w:r>
      <w:r w:rsidRPr="007C4D65">
        <w:rPr>
          <w:rFonts w:asciiTheme="minorHAnsi" w:hAnsiTheme="minorHAnsi" w:cstheme="minorHAnsi"/>
          <w:i/>
          <w:sz w:val="22"/>
          <w:u w:val="single"/>
        </w:rPr>
        <w:t>.</w:t>
      </w:r>
    </w:p>
    <w:p w14:paraId="39B6D68B" w14:textId="51C87759"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aim of this measure is to design effective mechanisms for institutional coordination of the activities of the environmental institutions </w:t>
      </w:r>
      <w:r w:rsidR="007436F1" w:rsidRPr="007C4D65">
        <w:rPr>
          <w:rFonts w:asciiTheme="minorHAnsi" w:hAnsiTheme="minorHAnsi" w:cstheme="minorHAnsi"/>
          <w:sz w:val="22"/>
        </w:rPr>
        <w:t>in the Federation of BiH</w:t>
      </w:r>
      <w:r w:rsidRPr="007C4D65">
        <w:rPr>
          <w:rFonts w:asciiTheme="minorHAnsi" w:hAnsiTheme="minorHAnsi" w:cstheme="minorHAnsi"/>
          <w:sz w:val="22"/>
        </w:rPr>
        <w:t>.</w:t>
      </w:r>
    </w:p>
    <w:p w14:paraId="36515AE1" w14:textId="5D02EBC8"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General areas of intervention include improvement of horizontal and vertical institutional coordination and common action of all the relevant entities– ministries and other institutions in the Federation of BiH at all levels aimed at protecting the environment, ensuring continuous communication among line institutions, which should clarify and promote the roles of different environmental protection institutions, in particular in transposition and implementation of EU acquis, ensure better cooperation and </w:t>
      </w:r>
      <w:r w:rsidR="0083630B" w:rsidRPr="007C4D65">
        <w:rPr>
          <w:rFonts w:asciiTheme="minorHAnsi" w:hAnsiTheme="minorHAnsi" w:cstheme="minorHAnsi"/>
          <w:sz w:val="22"/>
        </w:rPr>
        <w:t>coordination</w:t>
      </w:r>
      <w:r w:rsidRPr="007C4D65">
        <w:rPr>
          <w:rFonts w:asciiTheme="minorHAnsi" w:hAnsiTheme="minorHAnsi" w:cstheme="minorHAnsi"/>
          <w:sz w:val="22"/>
        </w:rPr>
        <w:t xml:space="preserve"> </w:t>
      </w:r>
      <w:r w:rsidR="0083630B" w:rsidRPr="007C4D65">
        <w:rPr>
          <w:rFonts w:asciiTheme="minorHAnsi" w:hAnsiTheme="minorHAnsi" w:cstheme="minorHAnsi"/>
          <w:sz w:val="22"/>
        </w:rPr>
        <w:t>a</w:t>
      </w:r>
      <w:r w:rsidRPr="007C4D65">
        <w:rPr>
          <w:rFonts w:asciiTheme="minorHAnsi" w:hAnsiTheme="minorHAnsi" w:cstheme="minorHAnsi"/>
          <w:sz w:val="22"/>
        </w:rPr>
        <w:t>mong the cantons,  and better horizontal linkage among the units of local government in the area of environment.  This measure also covers discussions on the establishment of the Environmental Agency of the Federation of BiH.</w:t>
      </w:r>
    </w:p>
    <w:p w14:paraId="49EA0E63" w14:textId="77777777" w:rsidR="00A13CFC" w:rsidRPr="007C4D65" w:rsidRDefault="00635C53" w:rsidP="00A13CFC">
      <w:pPr>
        <w:spacing w:before="240" w:line="276" w:lineRule="auto"/>
        <w:rPr>
          <w:rFonts w:asciiTheme="minorHAnsi" w:hAnsiTheme="minorHAnsi" w:cstheme="minorHAnsi"/>
          <w:sz w:val="22"/>
        </w:rPr>
      </w:pPr>
      <w:r w:rsidRPr="007C4D65">
        <w:rPr>
          <w:rFonts w:asciiTheme="minorHAnsi" w:hAnsiTheme="minorHAnsi" w:cstheme="minorHAnsi"/>
          <w:i/>
          <w:sz w:val="22"/>
          <w:u w:val="single"/>
        </w:rPr>
        <w:t xml:space="preserve">Measure 7.3.2. </w:t>
      </w:r>
      <w:r w:rsidR="00A13CFC" w:rsidRPr="007C4D65">
        <w:rPr>
          <w:rFonts w:asciiTheme="minorHAnsi" w:hAnsiTheme="minorHAnsi" w:cstheme="minorHAnsi"/>
          <w:i/>
          <w:sz w:val="22"/>
          <w:u w:val="single"/>
        </w:rPr>
        <w:t xml:space="preserve">Upgrading the efficiency of the Inter-entity Environmental Body </w:t>
      </w:r>
    </w:p>
    <w:p w14:paraId="3CD1B9E0" w14:textId="568BBD4D" w:rsidR="00635C53" w:rsidRPr="007C4D65" w:rsidRDefault="00635C53" w:rsidP="00A13CFC">
      <w:pPr>
        <w:spacing w:before="240" w:line="276" w:lineRule="auto"/>
        <w:rPr>
          <w:rFonts w:asciiTheme="minorHAnsi" w:hAnsiTheme="minorHAnsi" w:cstheme="minorHAnsi"/>
          <w:sz w:val="22"/>
          <w:szCs w:val="22"/>
        </w:rPr>
      </w:pPr>
      <w:r w:rsidRPr="007C4D65">
        <w:rPr>
          <w:rFonts w:asciiTheme="minorHAnsi" w:hAnsiTheme="minorHAnsi" w:cstheme="minorHAnsi"/>
          <w:sz w:val="22"/>
        </w:rPr>
        <w:t>The aim of this measure is to ensure coordinated and harmonised approach to addressing environmental management issues applied by both entities and the Brcko District BiH through increased efficacy of the Environmental Inter-entity Body.</w:t>
      </w:r>
    </w:p>
    <w:p w14:paraId="54D48A09" w14:textId="1DC5A435"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 xml:space="preserve">General areas of intervention should focus on ensuring an effective contribution and efficient work of the Inter-entity body through more up-to-date and improved functioning of this body, particularly in the domain of harmonisation of the legislation among the entities and BD BiH, and </w:t>
      </w:r>
      <w:proofErr w:type="gramStart"/>
      <w:r w:rsidRPr="007C4D65">
        <w:rPr>
          <w:rFonts w:asciiTheme="minorHAnsi" w:hAnsiTheme="minorHAnsi" w:cstheme="minorHAnsi"/>
          <w:sz w:val="22"/>
        </w:rPr>
        <w:t>through the use of</w:t>
      </w:r>
      <w:proofErr w:type="gramEnd"/>
      <w:r w:rsidRPr="007C4D65">
        <w:rPr>
          <w:rFonts w:asciiTheme="minorHAnsi" w:hAnsiTheme="minorHAnsi" w:cstheme="minorHAnsi"/>
          <w:sz w:val="22"/>
        </w:rPr>
        <w:t xml:space="preserve"> more up-to-date channels of internal and external communication on the part of Federation of BiH. This measure also includes facilitation of the </w:t>
      </w:r>
      <w:r w:rsidR="00AE25FA" w:rsidRPr="007C4D65">
        <w:rPr>
          <w:rFonts w:asciiTheme="minorHAnsi" w:hAnsiTheme="minorHAnsi" w:cstheme="minorHAnsi"/>
          <w:sz w:val="22"/>
        </w:rPr>
        <w:t>stakeholders’ participation</w:t>
      </w:r>
      <w:r w:rsidRPr="007C4D65">
        <w:rPr>
          <w:rFonts w:asciiTheme="minorHAnsi" w:hAnsiTheme="minorHAnsi" w:cstheme="minorHAnsi"/>
          <w:sz w:val="22"/>
        </w:rPr>
        <w:t xml:space="preserve"> (representatives of the Partnership 27 of civil society organizations) at meetings and in the work of the Environmental Inter-entity Body, and public access to information and reports of the meetings.</w:t>
      </w:r>
    </w:p>
    <w:p w14:paraId="78C055EE" w14:textId="1B7A2ED9"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7.3.3. Improving the institutional structure and </w:t>
      </w:r>
      <w:r w:rsidR="0083630B" w:rsidRPr="007C4D65">
        <w:rPr>
          <w:rFonts w:asciiTheme="minorHAnsi" w:hAnsiTheme="minorHAnsi" w:cstheme="minorHAnsi"/>
          <w:i/>
          <w:sz w:val="22"/>
          <w:u w:val="single"/>
        </w:rPr>
        <w:t>capacity of</w:t>
      </w:r>
      <w:r w:rsidRPr="007C4D65">
        <w:rPr>
          <w:rFonts w:asciiTheme="minorHAnsi" w:hAnsiTheme="minorHAnsi" w:cstheme="minorHAnsi"/>
          <w:i/>
          <w:sz w:val="22"/>
          <w:u w:val="single"/>
        </w:rPr>
        <w:t xml:space="preserve"> environmental institutions</w:t>
      </w:r>
    </w:p>
    <w:p w14:paraId="05AD836D" w14:textId="4A863530"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This measure </w:t>
      </w:r>
      <w:r w:rsidR="0083630B" w:rsidRPr="007C4D65">
        <w:rPr>
          <w:rFonts w:asciiTheme="minorHAnsi" w:hAnsiTheme="minorHAnsi" w:cstheme="minorHAnsi"/>
          <w:sz w:val="22"/>
        </w:rPr>
        <w:t>aims</w:t>
      </w:r>
      <w:r w:rsidRPr="007C4D65">
        <w:rPr>
          <w:rFonts w:asciiTheme="minorHAnsi" w:hAnsiTheme="minorHAnsi" w:cstheme="minorHAnsi"/>
          <w:sz w:val="22"/>
        </w:rPr>
        <w:t xml:space="preserve"> at upgrading the current institutional structure </w:t>
      </w:r>
      <w:proofErr w:type="gramStart"/>
      <w:r w:rsidRPr="007C4D65">
        <w:rPr>
          <w:rFonts w:asciiTheme="minorHAnsi" w:hAnsiTheme="minorHAnsi" w:cstheme="minorHAnsi"/>
          <w:sz w:val="22"/>
        </w:rPr>
        <w:t>in order to</w:t>
      </w:r>
      <w:proofErr w:type="gramEnd"/>
      <w:r w:rsidRPr="007C4D65">
        <w:rPr>
          <w:rFonts w:asciiTheme="minorHAnsi" w:hAnsiTheme="minorHAnsi" w:cstheme="minorHAnsi"/>
          <w:sz w:val="22"/>
        </w:rPr>
        <w:t xml:space="preserve"> improve coordination and harmonization activities in the EU transposition process, and at capacity building (human resources) in the environmental institutions at all levels, with a special focus on a long-term and sustainable implementation of the EU regulations.</w:t>
      </w:r>
    </w:p>
    <w:p w14:paraId="6C9798BA" w14:textId="1095D98B"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General areas of intervention </w:t>
      </w:r>
      <w:r w:rsidR="0083630B" w:rsidRPr="007C4D65">
        <w:rPr>
          <w:rFonts w:asciiTheme="minorHAnsi" w:hAnsiTheme="minorHAnsi" w:cstheme="minorHAnsi"/>
          <w:sz w:val="22"/>
        </w:rPr>
        <w:t>include</w:t>
      </w:r>
      <w:r w:rsidRPr="007C4D65">
        <w:rPr>
          <w:rFonts w:asciiTheme="minorHAnsi" w:hAnsiTheme="minorHAnsi" w:cstheme="minorHAnsi"/>
          <w:sz w:val="22"/>
        </w:rPr>
        <w:t xml:space="preserve"> an in-debt analysis of the institutional capacities in the Federation of BiH for consistent application of laws and effective implementation of environmental protection strategies and plans, and development of measures aimed at keeping the professional staff, adopting a strategic approach to new employments and upgrading human resources in the institutions.  The measure also includes development and adoption of documents on coordinated work of inspection bodies aimed at coordinating the work of environmental inspection and other inspections.</w:t>
      </w:r>
    </w:p>
    <w:p w14:paraId="0ECB1740"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7.3.4. Establishment of effective teams in the environmental institutions, including teams for the preparation and implementation of environmental projects</w:t>
      </w:r>
    </w:p>
    <w:p w14:paraId="2047B982"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The aim of this measure is to form effective teams in all the environmental institutions, including teams with expertise for the preparation and implementation of projects.</w:t>
      </w:r>
    </w:p>
    <w:p w14:paraId="7AA48019"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General areas of intervention include evaluation of needs for professional trainings in all the competent institutions, drawing up and implementation of the training plan for professional staff in the institutions in cooperation with professional organizations, and creating environmental protection teams in the key institutions (which do not have such teams).</w:t>
      </w:r>
    </w:p>
    <w:p w14:paraId="13D3310D" w14:textId="464C7438" w:rsidR="00635C53" w:rsidRPr="007C4D65" w:rsidRDefault="00635C53" w:rsidP="00635C53">
      <w:pPr>
        <w:spacing w:before="240" w:line="276" w:lineRule="auto"/>
        <w:rPr>
          <w:rFonts w:asciiTheme="minorHAnsi" w:hAnsiTheme="minorHAnsi" w:cstheme="minorHAnsi"/>
          <w:i/>
          <w:sz w:val="22"/>
          <w:szCs w:val="22"/>
          <w:u w:val="single"/>
        </w:rPr>
      </w:pPr>
      <w:r w:rsidRPr="007C4D65">
        <w:rPr>
          <w:rFonts w:asciiTheme="minorHAnsi" w:hAnsiTheme="minorHAnsi" w:cstheme="minorHAnsi"/>
          <w:b/>
          <w:i/>
          <w:sz w:val="22"/>
          <w:u w:val="single"/>
        </w:rPr>
        <w:t xml:space="preserve">Priority 7.4 </w:t>
      </w:r>
      <w:r w:rsidR="00A323B2" w:rsidRPr="007C4D65">
        <w:rPr>
          <w:rFonts w:asciiTheme="minorHAnsi" w:hAnsiTheme="minorHAnsi" w:cstheme="minorHAnsi"/>
          <w:b/>
          <w:i/>
          <w:sz w:val="22"/>
          <w:u w:val="single"/>
        </w:rPr>
        <w:t xml:space="preserve">Ensuring strong public awareness on the importance of the environmental protection and their engagement in </w:t>
      </w:r>
      <w:r w:rsidR="009F16BA" w:rsidRPr="007C4D65">
        <w:rPr>
          <w:rFonts w:asciiTheme="minorHAnsi" w:hAnsiTheme="minorHAnsi" w:cstheme="minorHAnsi"/>
          <w:b/>
          <w:i/>
          <w:sz w:val="22"/>
          <w:u w:val="single"/>
        </w:rPr>
        <w:t>decision-making</w:t>
      </w:r>
      <w:r w:rsidR="00A323B2" w:rsidRPr="007C4D65">
        <w:rPr>
          <w:rFonts w:asciiTheme="minorHAnsi" w:hAnsiTheme="minorHAnsi" w:cstheme="minorHAnsi"/>
          <w:b/>
          <w:i/>
          <w:sz w:val="22"/>
          <w:u w:val="single"/>
        </w:rPr>
        <w:t xml:space="preserve"> processes, focusing on women, youth and socially vulnerable groups</w:t>
      </w:r>
    </w:p>
    <w:p w14:paraId="280D7DD7" w14:textId="7E1372F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7.4.1. Education and raising awareness about the </w:t>
      </w:r>
      <w:proofErr w:type="gramStart"/>
      <w:r w:rsidRPr="007C4D65">
        <w:rPr>
          <w:rFonts w:asciiTheme="minorHAnsi" w:hAnsiTheme="minorHAnsi" w:cstheme="minorHAnsi"/>
          <w:i/>
          <w:sz w:val="22"/>
          <w:u w:val="single"/>
        </w:rPr>
        <w:t>need and importance of</w:t>
      </w:r>
      <w:proofErr w:type="gramEnd"/>
      <w:r w:rsidRPr="007C4D65">
        <w:rPr>
          <w:rFonts w:asciiTheme="minorHAnsi" w:hAnsiTheme="minorHAnsi" w:cstheme="minorHAnsi"/>
          <w:i/>
          <w:sz w:val="22"/>
          <w:u w:val="single"/>
        </w:rPr>
        <w:t xml:space="preserve"> environmental protection</w:t>
      </w:r>
    </w:p>
    <w:p w14:paraId="28A16AD6" w14:textId="59C1F8F8"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This measure </w:t>
      </w:r>
      <w:r w:rsidR="0083630B" w:rsidRPr="007C4D65">
        <w:rPr>
          <w:rFonts w:asciiTheme="minorHAnsi" w:hAnsiTheme="minorHAnsi" w:cstheme="minorHAnsi"/>
          <w:sz w:val="22"/>
        </w:rPr>
        <w:t>aims</w:t>
      </w:r>
      <w:r w:rsidRPr="007C4D65">
        <w:rPr>
          <w:rFonts w:asciiTheme="minorHAnsi" w:hAnsiTheme="minorHAnsi" w:cstheme="minorHAnsi"/>
          <w:sz w:val="22"/>
        </w:rPr>
        <w:t xml:space="preserve"> at ensuring strong public awareness on the importance of the environmental protection and their engagement in </w:t>
      </w:r>
      <w:r w:rsidR="009F16BA" w:rsidRPr="007C4D65">
        <w:rPr>
          <w:rFonts w:asciiTheme="minorHAnsi" w:hAnsiTheme="minorHAnsi" w:cstheme="minorHAnsi"/>
          <w:sz w:val="22"/>
        </w:rPr>
        <w:t xml:space="preserve">decision-making  </w:t>
      </w:r>
      <w:r w:rsidRPr="007C4D65">
        <w:rPr>
          <w:rFonts w:asciiTheme="minorHAnsi" w:hAnsiTheme="minorHAnsi" w:cstheme="minorHAnsi"/>
          <w:sz w:val="22"/>
        </w:rPr>
        <w:t xml:space="preserve"> processes, focusing on the engagement of women, youth and socially vulnerable groups.</w:t>
      </w:r>
    </w:p>
    <w:p w14:paraId="538C6364" w14:textId="4B2E59C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General areas of intervention include continued public campaigning to raise awareness about the importance of the environmental protection and vulnerability of natural resources, and correlation </w:t>
      </w:r>
      <w:r w:rsidRPr="007C4D65">
        <w:rPr>
          <w:rFonts w:asciiTheme="minorHAnsi" w:hAnsiTheme="minorHAnsi" w:cstheme="minorHAnsi"/>
          <w:sz w:val="22"/>
        </w:rPr>
        <w:lastRenderedPageBreak/>
        <w:t xml:space="preserve">with climate change, continued cooperation with media aimed at promotional activities, establishment of long-term educational programmes on environmental protection issues, cooperation of partner institutions in order to expand </w:t>
      </w:r>
      <w:r w:rsidR="0083630B" w:rsidRPr="007C4D65">
        <w:rPr>
          <w:rFonts w:asciiTheme="minorHAnsi" w:hAnsiTheme="minorHAnsi" w:cstheme="minorHAnsi"/>
          <w:sz w:val="22"/>
        </w:rPr>
        <w:t xml:space="preserve">the </w:t>
      </w:r>
      <w:r w:rsidRPr="007C4D65">
        <w:rPr>
          <w:rFonts w:asciiTheme="minorHAnsi" w:hAnsiTheme="minorHAnsi" w:cstheme="minorHAnsi"/>
          <w:sz w:val="22"/>
        </w:rPr>
        <w:t>knowledge and raise awareness about the linkage between the environment and gender dimension. These activities should also involve the participation of civil society organisations. In addition, this measure also includes promotion of the environmental protection system and measures that can improve design of products.</w:t>
      </w:r>
    </w:p>
    <w:p w14:paraId="4BCDD063" w14:textId="74CBCBAD"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7.4.2. Improving public participation in </w:t>
      </w:r>
      <w:r w:rsidR="009F16BA" w:rsidRPr="007C4D65">
        <w:rPr>
          <w:rFonts w:asciiTheme="minorHAnsi" w:hAnsiTheme="minorHAnsi" w:cstheme="minorHAnsi"/>
          <w:i/>
          <w:sz w:val="22"/>
          <w:u w:val="single"/>
        </w:rPr>
        <w:t xml:space="preserve">decision-making </w:t>
      </w:r>
      <w:r w:rsidRPr="007C4D65">
        <w:rPr>
          <w:rFonts w:asciiTheme="minorHAnsi" w:hAnsiTheme="minorHAnsi" w:cstheme="minorHAnsi"/>
          <w:i/>
          <w:sz w:val="22"/>
          <w:u w:val="single"/>
        </w:rPr>
        <w:t>about environment</w:t>
      </w:r>
    </w:p>
    <w:p w14:paraId="31C056BC" w14:textId="5C6D8A0A"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aim of this measure is to ensure access to information and effective public participation in the environmental </w:t>
      </w:r>
      <w:r w:rsidR="009F16BA" w:rsidRPr="007C4D65">
        <w:rPr>
          <w:rFonts w:asciiTheme="minorHAnsi" w:hAnsiTheme="minorHAnsi" w:cstheme="minorHAnsi"/>
          <w:sz w:val="22"/>
        </w:rPr>
        <w:t>decision-making</w:t>
      </w:r>
      <w:r w:rsidRPr="007C4D65">
        <w:rPr>
          <w:rFonts w:asciiTheme="minorHAnsi" w:hAnsiTheme="minorHAnsi" w:cstheme="minorHAnsi"/>
          <w:sz w:val="22"/>
        </w:rPr>
        <w:t xml:space="preserve"> processes, especially environmental impact assessments and environmental permitting processes. This measure includes capacity building activities of women civil society organisation to enhance their participation in </w:t>
      </w:r>
      <w:r w:rsidR="009F16BA" w:rsidRPr="007C4D65">
        <w:rPr>
          <w:rFonts w:asciiTheme="minorHAnsi" w:hAnsiTheme="minorHAnsi" w:cstheme="minorHAnsi"/>
          <w:sz w:val="22"/>
        </w:rPr>
        <w:t>decision-</w:t>
      </w:r>
      <w:proofErr w:type="gramStart"/>
      <w:r w:rsidR="009F16BA" w:rsidRPr="007C4D65">
        <w:rPr>
          <w:rFonts w:asciiTheme="minorHAnsi" w:hAnsiTheme="minorHAnsi" w:cstheme="minorHAnsi"/>
          <w:sz w:val="22"/>
        </w:rPr>
        <w:t xml:space="preserve">making  </w:t>
      </w:r>
      <w:r w:rsidRPr="007C4D65">
        <w:rPr>
          <w:rFonts w:asciiTheme="minorHAnsi" w:hAnsiTheme="minorHAnsi" w:cstheme="minorHAnsi"/>
          <w:sz w:val="22"/>
        </w:rPr>
        <w:t>.</w:t>
      </w:r>
      <w:proofErr w:type="gramEnd"/>
    </w:p>
    <w:p w14:paraId="3ACC2BEF" w14:textId="1D84BD76"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General areas of intervention include trainings for representatives of the relevant institutions which should educate them how to design effective mechanisms of public participation, strengthen cooperation with civil society organizations, especially with Partnership 27, formed for monitoring of EU Chapter 27, how to ensure participation of the Gender Centre of the Federation of BiH in preparation of laws, </w:t>
      </w:r>
      <w:r w:rsidR="00B80FAD" w:rsidRPr="007C4D65">
        <w:rPr>
          <w:rFonts w:asciiTheme="minorHAnsi" w:hAnsiTheme="minorHAnsi" w:cstheme="minorHAnsi"/>
          <w:sz w:val="22"/>
        </w:rPr>
        <w:t>bylaw</w:t>
      </w:r>
      <w:r w:rsidRPr="007C4D65">
        <w:rPr>
          <w:rFonts w:asciiTheme="minorHAnsi" w:hAnsiTheme="minorHAnsi" w:cstheme="minorHAnsi"/>
          <w:sz w:val="22"/>
        </w:rPr>
        <w:t>s and other documents, strategies, policies and programmes in order to define measures for gender equality in environmental protection, as well as how to ensure public access to environmental information.</w:t>
      </w:r>
    </w:p>
    <w:p w14:paraId="45BE4E29" w14:textId="58A649BF"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7.4.3. Preparation and publication of reports on the state of environment </w:t>
      </w:r>
      <w:r w:rsidR="007436F1" w:rsidRPr="007C4D65">
        <w:rPr>
          <w:rFonts w:asciiTheme="minorHAnsi" w:hAnsiTheme="minorHAnsi" w:cstheme="minorHAnsi"/>
          <w:i/>
          <w:sz w:val="22"/>
          <w:u w:val="single"/>
        </w:rPr>
        <w:t>in the Federation of BiH</w:t>
      </w:r>
    </w:p>
    <w:p w14:paraId="30C948AC" w14:textId="74F246F4"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aim of this measure is to devise a system to support routine preparation and </w:t>
      </w:r>
      <w:r w:rsidR="00A24843" w:rsidRPr="007C4D65">
        <w:rPr>
          <w:rFonts w:asciiTheme="minorHAnsi" w:hAnsiTheme="minorHAnsi" w:cstheme="minorHAnsi"/>
          <w:sz w:val="22"/>
        </w:rPr>
        <w:t>publishing</w:t>
      </w:r>
      <w:r w:rsidRPr="007C4D65">
        <w:rPr>
          <w:rFonts w:asciiTheme="minorHAnsi" w:hAnsiTheme="minorHAnsi" w:cstheme="minorHAnsi"/>
          <w:sz w:val="22"/>
        </w:rPr>
        <w:t xml:space="preserve"> of reports on </w:t>
      </w:r>
      <w:r w:rsidR="006C5EE4" w:rsidRPr="007C4D65">
        <w:rPr>
          <w:rFonts w:asciiTheme="minorHAnsi" w:hAnsiTheme="minorHAnsi" w:cstheme="minorHAnsi"/>
          <w:sz w:val="22"/>
        </w:rPr>
        <w:t>the</w:t>
      </w:r>
      <w:r w:rsidRPr="007C4D65">
        <w:rPr>
          <w:rFonts w:asciiTheme="minorHAnsi" w:hAnsiTheme="minorHAnsi" w:cstheme="minorHAnsi"/>
          <w:sz w:val="22"/>
        </w:rPr>
        <w:t xml:space="preserve"> state of environment in the Federation of BiH.</w:t>
      </w:r>
    </w:p>
    <w:p w14:paraId="34F5B6CB"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General areas of intervention include preparations in the line institutions for producing of reports on the state of environment in the Federation of BiH, as well as activities to support producing and promotion of reports on the state of environment in the Federation of BiH</w:t>
      </w:r>
    </w:p>
    <w:p w14:paraId="51724816" w14:textId="72982AC4" w:rsidR="00635C53" w:rsidRPr="007C4D65" w:rsidRDefault="00635C53" w:rsidP="0083630B">
      <w:pPr>
        <w:spacing w:before="240" w:line="276" w:lineRule="auto"/>
        <w:jc w:val="both"/>
        <w:rPr>
          <w:rFonts w:asciiTheme="minorHAnsi" w:hAnsiTheme="minorHAnsi" w:cstheme="minorHAnsi"/>
          <w:i/>
          <w:sz w:val="22"/>
          <w:szCs w:val="22"/>
          <w:u w:val="single"/>
        </w:rPr>
      </w:pPr>
      <w:r w:rsidRPr="007C4D65">
        <w:rPr>
          <w:rFonts w:asciiTheme="minorHAnsi" w:hAnsiTheme="minorHAnsi" w:cstheme="minorHAnsi"/>
          <w:b/>
          <w:i/>
          <w:sz w:val="22"/>
          <w:u w:val="single"/>
        </w:rPr>
        <w:t xml:space="preserve">Priority 7.5 Set up an efficient system for record keeping and transparent reporting of </w:t>
      </w:r>
      <w:r w:rsidR="0083630B" w:rsidRPr="007C4D65">
        <w:rPr>
          <w:rFonts w:asciiTheme="minorHAnsi" w:hAnsiTheme="minorHAnsi" w:cstheme="minorHAnsi"/>
          <w:b/>
          <w:i/>
          <w:sz w:val="22"/>
          <w:u w:val="single"/>
        </w:rPr>
        <w:t>e</w:t>
      </w:r>
      <w:r w:rsidRPr="007C4D65">
        <w:rPr>
          <w:rFonts w:asciiTheme="minorHAnsi" w:hAnsiTheme="minorHAnsi" w:cstheme="minorHAnsi"/>
          <w:b/>
          <w:i/>
          <w:sz w:val="22"/>
          <w:u w:val="single"/>
        </w:rPr>
        <w:t>nvironmental data in the Federation of BiH, in consultation with the Partnership 27</w:t>
      </w:r>
    </w:p>
    <w:p w14:paraId="284452A1"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7.5.1. Strengthen the system for monitoring of environmental parameters</w:t>
      </w:r>
    </w:p>
    <w:p w14:paraId="6022ADC6"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The aim of this measure is to strengthen the existing system for monitoring of environmental parameters.</w:t>
      </w:r>
    </w:p>
    <w:p w14:paraId="2D71631E"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General areas of intervention include professional capacity building in the reference centres and similar institutions/institutes responsible for individual areas, increased diversification of environmental parameters that are monitored.</w:t>
      </w:r>
    </w:p>
    <w:p w14:paraId="71F435BC" w14:textId="785F93EB"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7.5.2. Build an effective integrated information system for environmental management </w:t>
      </w:r>
      <w:r w:rsidR="007436F1" w:rsidRPr="007C4D65">
        <w:rPr>
          <w:rFonts w:asciiTheme="minorHAnsi" w:hAnsiTheme="minorHAnsi" w:cstheme="minorHAnsi"/>
          <w:i/>
          <w:sz w:val="22"/>
          <w:u w:val="single"/>
        </w:rPr>
        <w:t>in the Federation of BiH</w:t>
      </w:r>
      <w:r w:rsidRPr="007C4D65">
        <w:rPr>
          <w:rFonts w:asciiTheme="minorHAnsi" w:hAnsiTheme="minorHAnsi" w:cstheme="minorHAnsi"/>
          <w:i/>
          <w:sz w:val="22"/>
          <w:u w:val="single"/>
        </w:rPr>
        <w:t xml:space="preserve"> </w:t>
      </w:r>
    </w:p>
    <w:p w14:paraId="40BE6435"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The aim of this measure is to build an effective integrated information system for environmental management in the Federation of BiH.</w:t>
      </w:r>
    </w:p>
    <w:p w14:paraId="63172948"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General areas of intervention include the establishment of single environmental protection information system of the Federation of BiH, development of a methodology and formal procedure for environmental data exchange in the Federation of BiH, strengthening of the institutional systems for environmental data collection, various upgrades of the environmental data monitoring system, strengthening of cooperation with the relevant representatives of NGO sector, and establishment of environmental data validation system</w:t>
      </w:r>
    </w:p>
    <w:p w14:paraId="0A979BCE"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7.5.3. Establishment of an effective system for monitoring, collection, validation of environmental data in accordance with the international agreements</w:t>
      </w:r>
    </w:p>
    <w:p w14:paraId="7540EFD8"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aim of this measure is to establish an effective, integrated system to support monitoring, collection and reporting of environmental data </w:t>
      </w:r>
      <w:proofErr w:type="gramStart"/>
      <w:r w:rsidRPr="007C4D65">
        <w:rPr>
          <w:rFonts w:asciiTheme="minorHAnsi" w:hAnsiTheme="minorHAnsi" w:cstheme="minorHAnsi"/>
          <w:sz w:val="22"/>
        </w:rPr>
        <w:t>in order to</w:t>
      </w:r>
      <w:proofErr w:type="gramEnd"/>
      <w:r w:rsidRPr="007C4D65">
        <w:rPr>
          <w:rFonts w:asciiTheme="minorHAnsi" w:hAnsiTheme="minorHAnsi" w:cstheme="minorHAnsi"/>
          <w:sz w:val="22"/>
        </w:rPr>
        <w:t xml:space="preserve"> ensure an efficient and effective reporting in accordance with the international standards and agreements.</w:t>
      </w:r>
    </w:p>
    <w:p w14:paraId="573E32A5"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General areas of intervention include the engagement of the institutions of the Federation of BiH in a study analysis which should revise the existing and make proposal for an extended set of indicators that have to be monitored in all areas, adoption of the List of indicators of the Federation of BIH for monitoring of the state of environment, participation in activities of a working group, coordinated by the Ministry for Foreign Trade and Economic Relations of BiH and comprised of representatives of institutions from all levels. This group should provide technical proposals and coordinate the implementation of conclusions and proposals of the study analysis.  Also, the plan is to participate in the implementation of the Strategy on monitoring the state of the environment, data management and reporting after the Strategy is adopted at BiH level, as well as preparation, adoption and implementation of the Action plan for the implementation of the Regulation on EIONET BiH in the territory of the Federation of BiH, and Directive Specific Action Plan for the Standardized Reporting Directive (SRDSIP) in the territory of the Federation of BiH.</w:t>
      </w:r>
    </w:p>
    <w:p w14:paraId="0829C37B" w14:textId="7160F17B"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7.5.4. Establishment of a system for </w:t>
      </w:r>
      <w:r w:rsidR="00A13CFC" w:rsidRPr="007C4D65">
        <w:rPr>
          <w:rFonts w:asciiTheme="minorHAnsi" w:hAnsiTheme="minorHAnsi" w:cstheme="minorHAnsi"/>
          <w:i/>
          <w:sz w:val="22"/>
          <w:u w:val="single"/>
        </w:rPr>
        <w:t xml:space="preserve">spatial data </w:t>
      </w:r>
      <w:proofErr w:type="gramStart"/>
      <w:r w:rsidR="00A13CFC" w:rsidRPr="007C4D65">
        <w:rPr>
          <w:rFonts w:asciiTheme="minorHAnsi" w:hAnsiTheme="minorHAnsi" w:cstheme="minorHAnsi"/>
          <w:i/>
          <w:sz w:val="22"/>
          <w:u w:val="single"/>
        </w:rPr>
        <w:t xml:space="preserve">exchange  </w:t>
      </w:r>
      <w:r w:rsidRPr="007C4D65">
        <w:rPr>
          <w:rFonts w:asciiTheme="minorHAnsi" w:hAnsiTheme="minorHAnsi" w:cstheme="minorHAnsi"/>
          <w:i/>
          <w:sz w:val="22"/>
          <w:u w:val="single"/>
        </w:rPr>
        <w:t>in</w:t>
      </w:r>
      <w:proofErr w:type="gramEnd"/>
      <w:r w:rsidRPr="007C4D65">
        <w:rPr>
          <w:rFonts w:asciiTheme="minorHAnsi" w:hAnsiTheme="minorHAnsi" w:cstheme="minorHAnsi"/>
          <w:i/>
          <w:sz w:val="22"/>
          <w:u w:val="single"/>
        </w:rPr>
        <w:t xml:space="preserve"> the Federation of BiH in accordance with the INSPIRE Directives I II, and III</w:t>
      </w:r>
    </w:p>
    <w:p w14:paraId="453CE980" w14:textId="61A1D352"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This measure aims at setting up an effective </w:t>
      </w:r>
      <w:r w:rsidR="00A13CFC" w:rsidRPr="007C4D65">
        <w:rPr>
          <w:rFonts w:asciiTheme="minorHAnsi" w:hAnsiTheme="minorHAnsi" w:cstheme="minorHAnsi"/>
          <w:sz w:val="22"/>
        </w:rPr>
        <w:t xml:space="preserve">spatial data </w:t>
      </w:r>
      <w:proofErr w:type="gramStart"/>
      <w:r w:rsidR="00A13CFC" w:rsidRPr="007C4D65">
        <w:rPr>
          <w:rFonts w:asciiTheme="minorHAnsi" w:hAnsiTheme="minorHAnsi" w:cstheme="minorHAnsi"/>
          <w:sz w:val="22"/>
        </w:rPr>
        <w:t xml:space="preserve">exchange  </w:t>
      </w:r>
      <w:r w:rsidRPr="007C4D65">
        <w:rPr>
          <w:rFonts w:asciiTheme="minorHAnsi" w:hAnsiTheme="minorHAnsi" w:cstheme="minorHAnsi"/>
          <w:sz w:val="22"/>
        </w:rPr>
        <w:t>system</w:t>
      </w:r>
      <w:proofErr w:type="gramEnd"/>
      <w:r w:rsidRPr="007C4D65">
        <w:rPr>
          <w:rFonts w:asciiTheme="minorHAnsi" w:hAnsiTheme="minorHAnsi" w:cstheme="minorHAnsi"/>
          <w:sz w:val="22"/>
        </w:rPr>
        <w:t xml:space="preserve"> </w:t>
      </w:r>
      <w:r w:rsidR="007436F1" w:rsidRPr="007C4D65">
        <w:rPr>
          <w:rFonts w:asciiTheme="minorHAnsi" w:hAnsiTheme="minorHAnsi" w:cstheme="minorHAnsi"/>
          <w:sz w:val="22"/>
        </w:rPr>
        <w:t>in the Federation of BiH</w:t>
      </w:r>
      <w:r w:rsidRPr="007C4D65">
        <w:rPr>
          <w:rFonts w:asciiTheme="minorHAnsi" w:hAnsiTheme="minorHAnsi" w:cstheme="minorHAnsi"/>
          <w:sz w:val="22"/>
        </w:rPr>
        <w:t xml:space="preserve"> and Herzegovina in accordance with Annexes I, II and II of the INSPIRE Directive</w:t>
      </w:r>
    </w:p>
    <w:p w14:paraId="4CD6A698" w14:textId="2C5656A4"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General areas of intervention include adoption of methodology for spatial data management in the Federation of BiH, adoption of necessary </w:t>
      </w:r>
      <w:r w:rsidR="00B80FAD" w:rsidRPr="007C4D65">
        <w:rPr>
          <w:rFonts w:asciiTheme="minorHAnsi" w:hAnsiTheme="minorHAnsi" w:cstheme="minorHAnsi"/>
          <w:sz w:val="22"/>
        </w:rPr>
        <w:t>bylaw</w:t>
      </w:r>
      <w:r w:rsidRPr="007C4D65">
        <w:rPr>
          <w:rFonts w:asciiTheme="minorHAnsi" w:hAnsiTheme="minorHAnsi" w:cstheme="minorHAnsi"/>
          <w:sz w:val="22"/>
        </w:rPr>
        <w:t>s to support the establishment of the spatial data infrastructure of the Federation of BiH (IPP FBiH), as well as the management of the spatial data infrastructure the Federation of BiH in accordance with Annexes I, II and III of the INSPIRE Directive</w:t>
      </w:r>
    </w:p>
    <w:p w14:paraId="61C1FFEA"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7.5.5. Establishment of an effective PRTR</w:t>
      </w:r>
    </w:p>
    <w:p w14:paraId="6A83A705" w14:textId="01F541AD"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This measure aims at establishing an effective PRTR in the Federation of BiH, harmonised with the registers in </w:t>
      </w:r>
      <w:proofErr w:type="spellStart"/>
      <w:r w:rsidRPr="007C4D65">
        <w:rPr>
          <w:rFonts w:asciiTheme="minorHAnsi" w:hAnsiTheme="minorHAnsi" w:cstheme="minorHAnsi"/>
          <w:sz w:val="22"/>
        </w:rPr>
        <w:t>Republika</w:t>
      </w:r>
      <w:proofErr w:type="spellEnd"/>
      <w:r w:rsidRPr="007C4D65">
        <w:rPr>
          <w:rFonts w:asciiTheme="minorHAnsi" w:hAnsiTheme="minorHAnsi" w:cstheme="minorHAnsi"/>
          <w:sz w:val="22"/>
        </w:rPr>
        <w:t xml:space="preserve"> Srpska and the </w:t>
      </w:r>
      <w:r w:rsidR="00295360" w:rsidRPr="007C4D65">
        <w:rPr>
          <w:rFonts w:asciiTheme="minorHAnsi" w:hAnsiTheme="minorHAnsi" w:cstheme="minorHAnsi"/>
          <w:sz w:val="22"/>
        </w:rPr>
        <w:t>Brcko</w:t>
      </w:r>
      <w:r w:rsidRPr="007C4D65">
        <w:rPr>
          <w:rFonts w:asciiTheme="minorHAnsi" w:hAnsiTheme="minorHAnsi" w:cstheme="minorHAnsi"/>
          <w:sz w:val="22"/>
        </w:rPr>
        <w:t xml:space="preserve"> District BiH. It further aims to regulate the reporting of data from PRTRs to the national institutions.</w:t>
      </w:r>
    </w:p>
    <w:p w14:paraId="57AB640D" w14:textId="7155800A"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 xml:space="preserve">General areas of intervention include updating of the legislation and institutional arrangements to support the establishment of an efficient PRTR in the Federation of BiH, building of a functional and sustainable PRTR database, ensuring public access to data from the PRTR via web portal, ensuring funds for periodical upgrades of the application and regular maintenance of the </w:t>
      </w:r>
      <w:proofErr w:type="gramStart"/>
      <w:r w:rsidRPr="007C4D65">
        <w:rPr>
          <w:rFonts w:asciiTheme="minorHAnsi" w:hAnsiTheme="minorHAnsi" w:cstheme="minorHAnsi"/>
          <w:sz w:val="22"/>
        </w:rPr>
        <w:t>PRTR  to</w:t>
      </w:r>
      <w:proofErr w:type="gramEnd"/>
      <w:r w:rsidRPr="007C4D65">
        <w:rPr>
          <w:rFonts w:asciiTheme="minorHAnsi" w:hAnsiTheme="minorHAnsi" w:cstheme="minorHAnsi"/>
          <w:sz w:val="22"/>
        </w:rPr>
        <w:t xml:space="preserve"> provide for its smooth functioning.</w:t>
      </w:r>
    </w:p>
    <w:p w14:paraId="652A1C83" w14:textId="41A3B6BB"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7.5.6. Development of statistics for Sustainable Development Goals </w:t>
      </w:r>
      <w:r w:rsidR="007436F1" w:rsidRPr="007C4D65">
        <w:rPr>
          <w:rFonts w:asciiTheme="minorHAnsi" w:hAnsiTheme="minorHAnsi" w:cstheme="minorHAnsi"/>
          <w:i/>
          <w:sz w:val="22"/>
          <w:u w:val="single"/>
        </w:rPr>
        <w:t>in the Federation of BiH</w:t>
      </w:r>
    </w:p>
    <w:p w14:paraId="1B94CCF8"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This measure aims at developing statistics in the Federation of BiH for the </w:t>
      </w:r>
      <w:proofErr w:type="gramStart"/>
      <w:r w:rsidRPr="007C4D65">
        <w:rPr>
          <w:rFonts w:asciiTheme="minorHAnsi" w:hAnsiTheme="minorHAnsi" w:cstheme="minorHAnsi"/>
          <w:sz w:val="22"/>
        </w:rPr>
        <w:t>environmental</w:t>
      </w:r>
      <w:proofErr w:type="gramEnd"/>
      <w:r w:rsidRPr="007C4D65">
        <w:rPr>
          <w:rFonts w:asciiTheme="minorHAnsi" w:hAnsiTheme="minorHAnsi" w:cstheme="minorHAnsi"/>
          <w:sz w:val="22"/>
        </w:rPr>
        <w:t xml:space="preserve"> Sustainable Development Goals, including development of further indictors, and improvements of the reporting system.</w:t>
      </w:r>
    </w:p>
    <w:p w14:paraId="368817D7" w14:textId="781DFABD"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General areas of intervention include upgrading of the system which generates official statistics for the indicators of the </w:t>
      </w:r>
      <w:proofErr w:type="gramStart"/>
      <w:r w:rsidRPr="007C4D65">
        <w:rPr>
          <w:rFonts w:asciiTheme="minorHAnsi" w:hAnsiTheme="minorHAnsi" w:cstheme="minorHAnsi"/>
          <w:sz w:val="22"/>
        </w:rPr>
        <w:t>environmental</w:t>
      </w:r>
      <w:proofErr w:type="gramEnd"/>
      <w:r w:rsidRPr="007C4D65">
        <w:rPr>
          <w:rFonts w:asciiTheme="minorHAnsi" w:hAnsiTheme="minorHAnsi" w:cstheme="minorHAnsi"/>
          <w:sz w:val="22"/>
        </w:rPr>
        <w:t xml:space="preserve"> sustainable development goals, increasing availability and quality of statistical data, classified by gender (if possible) and strengthening coordination of all the institutions in the Federation of BiH involved in development of indicators of sustainable development goals</w:t>
      </w:r>
      <w:r w:rsidR="00D121AF" w:rsidRPr="007C4D65">
        <w:rPr>
          <w:rFonts w:asciiTheme="minorHAnsi" w:hAnsiTheme="minorHAnsi" w:cstheme="minorHAnsi"/>
          <w:sz w:val="22"/>
        </w:rPr>
        <w:t>.</w:t>
      </w:r>
    </w:p>
    <w:p w14:paraId="1E077377" w14:textId="73C263DC"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7.5.7. Enhancing the efficiency of collecting, processing </w:t>
      </w:r>
      <w:r w:rsidR="00674E70" w:rsidRPr="007C4D65">
        <w:rPr>
          <w:rFonts w:asciiTheme="minorHAnsi" w:hAnsiTheme="minorHAnsi" w:cstheme="minorHAnsi"/>
          <w:i/>
          <w:sz w:val="22"/>
          <w:u w:val="single"/>
        </w:rPr>
        <w:t>and publication of environmental statistics</w:t>
      </w:r>
      <w:r w:rsidRPr="007C4D65">
        <w:rPr>
          <w:rFonts w:asciiTheme="minorHAnsi" w:hAnsiTheme="minorHAnsi" w:cstheme="minorHAnsi"/>
          <w:i/>
          <w:sz w:val="22"/>
          <w:u w:val="single"/>
        </w:rPr>
        <w:t xml:space="preserve"> in the Federation of BiH</w:t>
      </w:r>
    </w:p>
    <w:p w14:paraId="1EE56656"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This measure aims at increasing the efficiency of statistical data collection, processing and releasing in the Federation of BiH through a standardised and routine information sharing among the institutions across the levels of government.</w:t>
      </w:r>
    </w:p>
    <w:p w14:paraId="6193BD5E"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General areas of intervention include strengthening of the statistical system through improved cooperation of all the institutions involved in data collection, processing and dissemination, better compliance with the requirements of the EU statistical system, and enhanced quality of reporting in accordance with the EUROSTAT’S Statistical Requirements Compendium.</w:t>
      </w:r>
    </w:p>
    <w:p w14:paraId="7BD4ADF7"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7.5.8. Development of European Environmental Economic Accounts</w:t>
      </w:r>
    </w:p>
    <w:p w14:paraId="2922CF5F" w14:textId="2F3CD50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This measure aims at ensuring the participation of the institutions </w:t>
      </w:r>
      <w:r w:rsidR="007436F1" w:rsidRPr="007C4D65">
        <w:rPr>
          <w:rFonts w:asciiTheme="minorHAnsi" w:hAnsiTheme="minorHAnsi" w:cstheme="minorHAnsi"/>
          <w:sz w:val="22"/>
        </w:rPr>
        <w:t>of the Federation of BiH</w:t>
      </w:r>
      <w:r w:rsidRPr="007C4D65">
        <w:rPr>
          <w:rFonts w:asciiTheme="minorHAnsi" w:hAnsiTheme="minorHAnsi" w:cstheme="minorHAnsi"/>
          <w:sz w:val="22"/>
        </w:rPr>
        <w:t xml:space="preserve"> in creating the European Environmental Economic Accounts which describe the relations between the environment and economy (in accordance with the (EU) Regulation no. 691/2011 on the European Environmental Economic Accounts which laid down a common legal framework for the collection, preparation, transmission and evaluation of the European Environmental Economic Accounts).</w:t>
      </w:r>
    </w:p>
    <w:p w14:paraId="377A460E"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General areas of intervention include the implementation of the Regulation (EU) No. 691/2011 and expansion of environmental accounts to new areas in accordance with the System of Environmental Economic Accounting as the international statistical standard, to the extent they fall in the competence of the Federation of BiH.</w:t>
      </w:r>
    </w:p>
    <w:p w14:paraId="68DE590E" w14:textId="77777777" w:rsidR="00635C53" w:rsidRPr="007C4D65" w:rsidRDefault="00635C53" w:rsidP="00635C53">
      <w:pPr>
        <w:spacing w:before="240" w:line="276" w:lineRule="auto"/>
        <w:rPr>
          <w:rFonts w:asciiTheme="minorHAnsi" w:hAnsiTheme="minorHAnsi" w:cstheme="minorHAnsi"/>
          <w:b/>
          <w:i/>
          <w:sz w:val="22"/>
          <w:szCs w:val="22"/>
          <w:u w:val="single"/>
        </w:rPr>
      </w:pPr>
      <w:r w:rsidRPr="007C4D65">
        <w:rPr>
          <w:rFonts w:asciiTheme="minorHAnsi" w:hAnsiTheme="minorHAnsi" w:cstheme="minorHAnsi"/>
          <w:b/>
          <w:i/>
          <w:sz w:val="22"/>
          <w:u w:val="single"/>
        </w:rPr>
        <w:t>Priority 7.6 Ensuring a strong synergy in cross-sectoral and inter-sectoral action, and integration of public environmental policies</w:t>
      </w:r>
    </w:p>
    <w:p w14:paraId="350B635A"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7.6.1. Integration of environmental requirements in sectoral policies legislation</w:t>
      </w:r>
    </w:p>
    <w:p w14:paraId="10EF3170" w14:textId="639810BA"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 xml:space="preserve">This measure </w:t>
      </w:r>
      <w:r w:rsidR="0083630B" w:rsidRPr="007C4D65">
        <w:rPr>
          <w:rFonts w:asciiTheme="minorHAnsi" w:hAnsiTheme="minorHAnsi" w:cstheme="minorHAnsi"/>
          <w:sz w:val="22"/>
        </w:rPr>
        <w:t>aims</w:t>
      </w:r>
      <w:r w:rsidRPr="007C4D65">
        <w:rPr>
          <w:rFonts w:asciiTheme="minorHAnsi" w:hAnsiTheme="minorHAnsi" w:cstheme="minorHAnsi"/>
          <w:sz w:val="22"/>
        </w:rPr>
        <w:t xml:space="preserve"> at integrating the environmental requirements in sectoral policies and legislation through enhanced cross-sectoral cooperation, particularly cooperation with the institutions focusing on gender equality, social equity and poverty issues, </w:t>
      </w:r>
      <w:proofErr w:type="gramStart"/>
      <w:r w:rsidRPr="007C4D65">
        <w:rPr>
          <w:rFonts w:asciiTheme="minorHAnsi" w:hAnsiTheme="minorHAnsi" w:cstheme="minorHAnsi"/>
          <w:sz w:val="22"/>
        </w:rPr>
        <w:t>This</w:t>
      </w:r>
      <w:proofErr w:type="gramEnd"/>
      <w:r w:rsidRPr="007C4D65">
        <w:rPr>
          <w:rFonts w:asciiTheme="minorHAnsi" w:hAnsiTheme="minorHAnsi" w:cstheme="minorHAnsi"/>
          <w:sz w:val="22"/>
        </w:rPr>
        <w:t xml:space="preserve"> measure should particularly focus on integrating the requirements of the Climate Change Adaptation and Low Emission Development Strategy of BiH in sectoral polices of the Federation of BiH.</w:t>
      </w:r>
    </w:p>
    <w:p w14:paraId="434862F0" w14:textId="101B2EB2"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General areas of intervention include strengthening of cooperation among the environmental institutions in the Federation of BiH with the institutions from other sectors, participation of environmental institutions in consultations about drafts of other sectors’ legal and the strategic documents and active application of strategic environmental assessment. Integration of adaptation to climate change considerations in sectoral development policies, strategies, programmes and plans, especially in high risk and vulnerable sectors (agriculture, water resources/water management, forestry/forest resources, human health, biodiversity and sensitive eco-systems, tourism) is an important area of intervention.</w:t>
      </w:r>
    </w:p>
    <w:p w14:paraId="4B087571"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7.6.2. Integration of standards and principles of gender equality, social equality and poverty </w:t>
      </w:r>
      <w:proofErr w:type="gramStart"/>
      <w:r w:rsidRPr="007C4D65">
        <w:rPr>
          <w:rFonts w:asciiTheme="minorHAnsi" w:hAnsiTheme="minorHAnsi" w:cstheme="minorHAnsi"/>
          <w:i/>
          <w:sz w:val="22"/>
          <w:u w:val="single"/>
        </w:rPr>
        <w:t>in  key</w:t>
      </w:r>
      <w:proofErr w:type="gramEnd"/>
      <w:r w:rsidRPr="007C4D65">
        <w:rPr>
          <w:rFonts w:asciiTheme="minorHAnsi" w:hAnsiTheme="minorHAnsi" w:cstheme="minorHAnsi"/>
          <w:i/>
          <w:sz w:val="22"/>
          <w:u w:val="single"/>
        </w:rPr>
        <w:t xml:space="preserve"> environmental policies, strategies, and programmes</w:t>
      </w:r>
    </w:p>
    <w:p w14:paraId="1E8E4B3E"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The aim of this measure is to integrate standards and principles of gender equality, social equity and poverty integrated in the key environmental policies, strategies, and programmes. This measure will focus on instituting an effective gender coordination mechanism, particularly in relation to gender mainstreaming in public policies and legislation, pursuant to the Law on Gender Equality of Bosnia and Herzegovina.</w:t>
      </w:r>
    </w:p>
    <w:p w14:paraId="53E93F2C"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General areas of intervention include defining of procedures and guidelines for the integration of the gender equality, social equality and poverty standards in all phases of environmental management (planning, implementation, monitoring, reporting, evaluations), and enhancing the gender equality institutional mechanism in environmental institutions (including training and professional support to gender equality focal points in the environmental institutions).</w:t>
      </w:r>
    </w:p>
    <w:p w14:paraId="362956EC"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7.6.3. Transition to a circular economy</w:t>
      </w:r>
    </w:p>
    <w:p w14:paraId="6AF870B3"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This measure aims at laying the foundations for the transition towards a circular economy.</w:t>
      </w:r>
    </w:p>
    <w:p w14:paraId="5808827B"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General areas of intervention include development and adoption of a roadmap and action plan for the transition to a circular economy in the Federation of BiH (harmonized with the road map at the level of BiH), elimination of legal obstacles and initiating stimulative instruments for green business, encouraging application of green public procurement in public institutions and private sector, drafting regulations for eco-design of products and provision of financial support to strengthen voluntary instruments for the initiation of green business.</w:t>
      </w:r>
    </w:p>
    <w:p w14:paraId="59828179" w14:textId="52AD8502" w:rsidR="00635C53" w:rsidRPr="007C4D65" w:rsidRDefault="00635C53" w:rsidP="00635C53">
      <w:pPr>
        <w:spacing w:before="240" w:line="276" w:lineRule="auto"/>
        <w:rPr>
          <w:rFonts w:asciiTheme="minorHAnsi" w:hAnsiTheme="minorHAnsi" w:cstheme="minorHAnsi"/>
          <w:i/>
          <w:sz w:val="22"/>
          <w:szCs w:val="22"/>
          <w:u w:val="single"/>
        </w:rPr>
      </w:pPr>
      <w:r w:rsidRPr="007C4D65">
        <w:rPr>
          <w:rFonts w:asciiTheme="minorHAnsi" w:hAnsiTheme="minorHAnsi" w:cstheme="minorHAnsi"/>
          <w:b/>
          <w:i/>
          <w:sz w:val="22"/>
          <w:u w:val="single"/>
        </w:rPr>
        <w:t>Priority 7.7 Ensuring financial sustainability of the environment sector in the Federation of BiH</w:t>
      </w:r>
    </w:p>
    <w:p w14:paraId="7EADE229"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7.7.1. Efficient and comprehensive implementation of environmental economic instruments</w:t>
      </w:r>
    </w:p>
    <w:p w14:paraId="6FCA2B9D"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This measure aims at ensuring a comprehensive implementation of the current environmental economic instruments.</w:t>
      </w:r>
    </w:p>
    <w:p w14:paraId="39F81574"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General areas of intervention include the regulation of reporting obligation of all the levels of government on authorized spending of funds for environmental protection projects, reform of all types of fees which partially cover the environmental aspect.  The measure also includes collection of the fees regulated by the Law on Fund of the Federation of BiH and other applicable regulations in individual areas.</w:t>
      </w:r>
    </w:p>
    <w:p w14:paraId="7D5BE0DF" w14:textId="77777777" w:rsidR="00635C53" w:rsidRPr="007C4D65" w:rsidRDefault="00635C53" w:rsidP="0083630B">
      <w:pPr>
        <w:spacing w:before="240" w:line="276" w:lineRule="auto"/>
        <w:jc w:val="both"/>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7.7.2. Initiation of new innovative and incentive economic mechanisms for funding environmental protection</w:t>
      </w:r>
    </w:p>
    <w:p w14:paraId="48CED421"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This measure aims at implementing new innovative and stimulating economic mechanisms for funding environmental protection.</w:t>
      </w:r>
    </w:p>
    <w:p w14:paraId="41ACDF6A"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General areas of intervention include creation of new economic instruments for environmental protection, taking into consideration marginalized groups and principles of gender-responsible funding of environmental projects, improving the existing and launching new revolving funds, subventions and other mechanisms for environmental protection, and engaging the economy/private sector in fundraising for environmental protection projects.</w:t>
      </w:r>
    </w:p>
    <w:p w14:paraId="2003AECA"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7.7.3. Use of EU funds available for environmental protection and complementary sectors</w:t>
      </w:r>
    </w:p>
    <w:p w14:paraId="48554796"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This measure aims at ensuring an increased use of EU and other international funds available for environmental protection and complementary sectors.</w:t>
      </w:r>
    </w:p>
    <w:p w14:paraId="0AA814EB"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General areas of intervention include establishment/appointment of an intermediate body in the Federation of BiH for the implementation of the EU environmental projects, and development of information system for project application and partners from the level of BiH, and management of international projects. </w:t>
      </w:r>
    </w:p>
    <w:p w14:paraId="6D374386" w14:textId="77777777" w:rsidR="00635C53" w:rsidRPr="007C4D65" w:rsidRDefault="00635C53" w:rsidP="0083630B">
      <w:pPr>
        <w:spacing w:before="240" w:line="276" w:lineRule="auto"/>
        <w:jc w:val="both"/>
        <w:rPr>
          <w:rFonts w:asciiTheme="minorHAnsi" w:hAnsiTheme="minorHAnsi" w:cstheme="minorHAnsi"/>
          <w:i/>
          <w:sz w:val="22"/>
          <w:szCs w:val="22"/>
          <w:u w:val="single"/>
        </w:rPr>
      </w:pPr>
      <w:r w:rsidRPr="007C4D65">
        <w:rPr>
          <w:rFonts w:asciiTheme="minorHAnsi" w:hAnsiTheme="minorHAnsi" w:cstheme="minorHAnsi"/>
          <w:b/>
          <w:i/>
          <w:sz w:val="22"/>
          <w:u w:val="single"/>
        </w:rPr>
        <w:t>Priority 7.8 Developing a system of strategic decision-making, investments and monitoring of effects in environmental education, research and innovation</w:t>
      </w:r>
    </w:p>
    <w:p w14:paraId="7C2668CE"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7.8.1. Embedding environmental education in curricula of at all the levels of education</w:t>
      </w:r>
    </w:p>
    <w:p w14:paraId="688FB439"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This measure aims at ensuring a stronger integration of environmental issues in curricula of educational institutions at all levels, including a multidisciplinary and holistic approach to education for sustainable development.</w:t>
      </w:r>
    </w:p>
    <w:p w14:paraId="6C01E59E" w14:textId="57EDB4BE"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General areas of intervention include innovation of curricula and </w:t>
      </w:r>
      <w:r w:rsidR="0083630B" w:rsidRPr="007C4D65">
        <w:rPr>
          <w:rFonts w:asciiTheme="minorHAnsi" w:hAnsiTheme="minorHAnsi" w:cstheme="minorHAnsi"/>
          <w:sz w:val="22"/>
        </w:rPr>
        <w:t>syllabi</w:t>
      </w:r>
      <w:r w:rsidRPr="007C4D65">
        <w:rPr>
          <w:rFonts w:asciiTheme="minorHAnsi" w:hAnsiTheme="minorHAnsi" w:cstheme="minorHAnsi"/>
          <w:sz w:val="22"/>
        </w:rPr>
        <w:t xml:space="preserve"> in primary and secondary education with </w:t>
      </w:r>
      <w:r w:rsidR="0083630B" w:rsidRPr="007C4D65">
        <w:rPr>
          <w:rFonts w:asciiTheme="minorHAnsi" w:hAnsiTheme="minorHAnsi" w:cstheme="minorHAnsi"/>
          <w:sz w:val="22"/>
        </w:rPr>
        <w:t>predefined</w:t>
      </w:r>
      <w:r w:rsidRPr="007C4D65">
        <w:rPr>
          <w:rFonts w:asciiTheme="minorHAnsi" w:hAnsiTheme="minorHAnsi" w:cstheme="minorHAnsi"/>
          <w:sz w:val="22"/>
        </w:rPr>
        <w:t xml:space="preserve"> eco-schools programme to support continued activities in the field of environmental protection, providing for environmental education through activities in protected areas, and legal arrangements to support building of innovative development centres in primary education.</w:t>
      </w:r>
    </w:p>
    <w:p w14:paraId="1FD2C25B" w14:textId="77777777" w:rsidR="00635C53" w:rsidRPr="007C4D65" w:rsidRDefault="00635C53" w:rsidP="0083630B">
      <w:pPr>
        <w:spacing w:before="240" w:line="276" w:lineRule="auto"/>
        <w:jc w:val="both"/>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7.8.2. Strengthen the capacity and eco-pedagogical competencies of the staff of educational institutions</w:t>
      </w:r>
    </w:p>
    <w:p w14:paraId="7376DC85"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This measure aims at strengthening the capacity and eco-pedagogical competencies of the staff of educational institutions.</w:t>
      </w:r>
    </w:p>
    <w:p w14:paraId="31F6D4C0" w14:textId="7DDB1563"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lastRenderedPageBreak/>
        <w:t>General areas of intervention include upgrading of eco-pedagogical competencies of employees of educational institutions, through education on environmental protection based on accredited programmes, preparation of handbooks for teachers on integration of environmental issues and sustainable use of resources in curricula for primary and secondary schools and teaching methods, education of employees of the educational institutions about environmental protection based on accredited programmes aimed at digitalization, creation of digital textbooks and contents on environmental protection, and adapting to online learning, and analysis of shortcomings of master university programmes in relation to the level of integration of environmental protection issues and sustainable use of natural resources, as well as making proposals for amendments to the master programme curriculum.</w:t>
      </w:r>
    </w:p>
    <w:p w14:paraId="654C9C18" w14:textId="06C7F79D"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 xml:space="preserve">Measure 7.8.3. Support to </w:t>
      </w:r>
      <w:r w:rsidR="00A24C9A">
        <w:rPr>
          <w:rFonts w:asciiTheme="minorHAnsi" w:hAnsiTheme="minorHAnsi" w:cstheme="minorHAnsi"/>
          <w:i/>
          <w:sz w:val="22"/>
          <w:u w:val="single"/>
        </w:rPr>
        <w:t>nonformal</w:t>
      </w:r>
      <w:r w:rsidRPr="007C4D65">
        <w:rPr>
          <w:rFonts w:asciiTheme="minorHAnsi" w:hAnsiTheme="minorHAnsi" w:cstheme="minorHAnsi"/>
          <w:i/>
          <w:sz w:val="22"/>
          <w:u w:val="single"/>
        </w:rPr>
        <w:t xml:space="preserve"> environmental education</w:t>
      </w:r>
    </w:p>
    <w:p w14:paraId="470D3676" w14:textId="207F93F0"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The aim of this measure is to ensure support to</w:t>
      </w:r>
      <w:r w:rsidR="00A24C9A">
        <w:rPr>
          <w:rFonts w:asciiTheme="minorHAnsi" w:hAnsiTheme="minorHAnsi" w:cstheme="minorHAnsi"/>
          <w:sz w:val="22"/>
        </w:rPr>
        <w:t xml:space="preserve"> the</w:t>
      </w:r>
      <w:r w:rsidRPr="007C4D65">
        <w:rPr>
          <w:rFonts w:asciiTheme="minorHAnsi" w:hAnsiTheme="minorHAnsi" w:cstheme="minorHAnsi"/>
          <w:sz w:val="22"/>
        </w:rPr>
        <w:t xml:space="preserve"> </w:t>
      </w:r>
      <w:r w:rsidR="00A24C9A">
        <w:rPr>
          <w:rFonts w:asciiTheme="minorHAnsi" w:hAnsiTheme="minorHAnsi" w:cstheme="minorHAnsi"/>
          <w:sz w:val="22"/>
        </w:rPr>
        <w:t>nonformal</w:t>
      </w:r>
      <w:r w:rsidRPr="007C4D65">
        <w:rPr>
          <w:rFonts w:asciiTheme="minorHAnsi" w:hAnsiTheme="minorHAnsi" w:cstheme="minorHAnsi"/>
          <w:sz w:val="22"/>
        </w:rPr>
        <w:t xml:space="preserve"> environmental education, </w:t>
      </w:r>
      <w:proofErr w:type="gramStart"/>
      <w:r w:rsidRPr="007C4D65">
        <w:rPr>
          <w:rFonts w:asciiTheme="minorHAnsi" w:hAnsiTheme="minorHAnsi" w:cstheme="minorHAnsi"/>
          <w:sz w:val="22"/>
        </w:rPr>
        <w:t>establishing  the</w:t>
      </w:r>
      <w:proofErr w:type="gramEnd"/>
      <w:r w:rsidRPr="007C4D65">
        <w:rPr>
          <w:rFonts w:asciiTheme="minorHAnsi" w:hAnsiTheme="minorHAnsi" w:cstheme="minorHAnsi"/>
          <w:sz w:val="22"/>
        </w:rPr>
        <w:t xml:space="preserve"> cooperation among the institutions for</w:t>
      </w:r>
      <w:r w:rsidR="00A24C9A">
        <w:rPr>
          <w:rFonts w:asciiTheme="minorHAnsi" w:hAnsiTheme="minorHAnsi" w:cstheme="minorHAnsi"/>
          <w:sz w:val="22"/>
        </w:rPr>
        <w:t xml:space="preserve"> the</w:t>
      </w:r>
      <w:r w:rsidRPr="007C4D65">
        <w:rPr>
          <w:rFonts w:asciiTheme="minorHAnsi" w:hAnsiTheme="minorHAnsi" w:cstheme="minorHAnsi"/>
          <w:sz w:val="22"/>
        </w:rPr>
        <w:t xml:space="preserve"> </w:t>
      </w:r>
      <w:r w:rsidR="00A24C9A">
        <w:rPr>
          <w:rFonts w:asciiTheme="minorHAnsi" w:hAnsiTheme="minorHAnsi" w:cstheme="minorHAnsi"/>
          <w:sz w:val="22"/>
        </w:rPr>
        <w:t>nonformal</w:t>
      </w:r>
      <w:r w:rsidRPr="007C4D65">
        <w:rPr>
          <w:rFonts w:asciiTheme="minorHAnsi" w:hAnsiTheme="minorHAnsi" w:cstheme="minorHAnsi"/>
          <w:sz w:val="22"/>
        </w:rPr>
        <w:t xml:space="preserve"> environmental education and creating dedicated budgets to support</w:t>
      </w:r>
      <w:r w:rsidR="00A24C9A">
        <w:rPr>
          <w:rFonts w:asciiTheme="minorHAnsi" w:hAnsiTheme="minorHAnsi" w:cstheme="minorHAnsi"/>
          <w:sz w:val="22"/>
        </w:rPr>
        <w:t xml:space="preserve"> the</w:t>
      </w:r>
      <w:r w:rsidRPr="007C4D65">
        <w:rPr>
          <w:rFonts w:asciiTheme="minorHAnsi" w:hAnsiTheme="minorHAnsi" w:cstheme="minorHAnsi"/>
          <w:sz w:val="22"/>
        </w:rPr>
        <w:t xml:space="preserve"> </w:t>
      </w:r>
      <w:r w:rsidR="00A24C9A">
        <w:rPr>
          <w:rFonts w:asciiTheme="minorHAnsi" w:hAnsiTheme="minorHAnsi" w:cstheme="minorHAnsi"/>
          <w:sz w:val="22"/>
        </w:rPr>
        <w:t>nonformal</w:t>
      </w:r>
      <w:r w:rsidRPr="007C4D65">
        <w:rPr>
          <w:rFonts w:asciiTheme="minorHAnsi" w:hAnsiTheme="minorHAnsi" w:cstheme="minorHAnsi"/>
          <w:sz w:val="22"/>
        </w:rPr>
        <w:t xml:space="preserve"> environmental education.</w:t>
      </w:r>
    </w:p>
    <w:p w14:paraId="60EF1C5D" w14:textId="77777777" w:rsidR="00635C53" w:rsidRPr="007C4D65" w:rsidRDefault="00635C53" w:rsidP="00635C53">
      <w:pPr>
        <w:spacing w:before="240" w:line="276" w:lineRule="auto"/>
        <w:rPr>
          <w:rFonts w:asciiTheme="minorHAnsi" w:eastAsia="Calibri" w:hAnsiTheme="minorHAnsi" w:cstheme="minorHAnsi"/>
          <w:i/>
          <w:sz w:val="22"/>
          <w:szCs w:val="22"/>
          <w:u w:val="single"/>
        </w:rPr>
      </w:pPr>
      <w:r w:rsidRPr="007C4D65">
        <w:rPr>
          <w:rFonts w:asciiTheme="minorHAnsi" w:hAnsiTheme="minorHAnsi" w:cstheme="minorHAnsi"/>
          <w:i/>
          <w:sz w:val="22"/>
          <w:u w:val="single"/>
        </w:rPr>
        <w:t>Measure 7.8.4. Strengthening research capacities in the environment sector</w:t>
      </w:r>
    </w:p>
    <w:p w14:paraId="50201146" w14:textId="77777777" w:rsidR="00635C53" w:rsidRPr="007C4D65" w:rsidRDefault="00635C53" w:rsidP="00635C53">
      <w:pPr>
        <w:spacing w:before="240" w:line="276" w:lineRule="auto"/>
        <w:jc w:val="both"/>
        <w:rPr>
          <w:rFonts w:asciiTheme="minorHAnsi" w:hAnsiTheme="minorHAnsi" w:cstheme="minorHAnsi"/>
          <w:sz w:val="22"/>
          <w:szCs w:val="22"/>
        </w:rPr>
      </w:pPr>
      <w:r w:rsidRPr="007C4D65">
        <w:rPr>
          <w:rFonts w:asciiTheme="minorHAnsi" w:hAnsiTheme="minorHAnsi" w:cstheme="minorHAnsi"/>
          <w:sz w:val="22"/>
        </w:rPr>
        <w:t>This measure aims at enhancing research capacities in the environment sector.</w:t>
      </w:r>
    </w:p>
    <w:p w14:paraId="68EF732D" w14:textId="79437D13" w:rsidR="00635C53" w:rsidRPr="007C4D65" w:rsidRDefault="00635C53" w:rsidP="00635C53">
      <w:pPr>
        <w:spacing w:before="240" w:line="276" w:lineRule="auto"/>
        <w:jc w:val="both"/>
        <w:rPr>
          <w:rFonts w:asciiTheme="minorHAnsi" w:hAnsiTheme="minorHAnsi" w:cstheme="minorHAnsi"/>
        </w:rPr>
      </w:pPr>
      <w:r w:rsidRPr="007C4D65">
        <w:rPr>
          <w:rFonts w:asciiTheme="minorHAnsi" w:hAnsiTheme="minorHAnsi" w:cstheme="minorHAnsi"/>
          <w:sz w:val="22"/>
        </w:rPr>
        <w:t>General areas of intervention include creation of dedicated budgets for investments in innovations and development and application of new technologies aimed at reducing pollution, providing information to academia and business entities on available international funds for research, incorporating researches in the area of sustainable use of natural resources and climate change  impacts in annual research programmes of the Federation of BiH, supporting organization of professional and scientific conventions/symposiums of international importance and incentivising environmental academia and economy.</w:t>
      </w:r>
    </w:p>
    <w:p w14:paraId="3D20832E" w14:textId="672753C1" w:rsidR="00E254BC" w:rsidRPr="007C4D65" w:rsidRDefault="00E254BC" w:rsidP="0068355A">
      <w:pPr>
        <w:spacing w:before="240" w:line="276" w:lineRule="auto"/>
        <w:jc w:val="both"/>
        <w:rPr>
          <w:rFonts w:asciiTheme="minorHAnsi" w:hAnsiTheme="minorHAnsi" w:cstheme="minorHAnsi"/>
          <w:sz w:val="22"/>
          <w:szCs w:val="22"/>
        </w:rPr>
      </w:pPr>
      <w:r w:rsidRPr="007C4D65">
        <w:rPr>
          <w:rFonts w:asciiTheme="minorHAnsi" w:hAnsiTheme="minorHAnsi" w:cstheme="minorHAnsi"/>
        </w:rPr>
        <w:br w:type="page"/>
      </w:r>
    </w:p>
    <w:p w14:paraId="235562F7" w14:textId="1209DF6D" w:rsidR="00A047EC" w:rsidRPr="007C4D65" w:rsidRDefault="00E254BC">
      <w:pPr>
        <w:pStyle w:val="Head2"/>
        <w:spacing w:line="276" w:lineRule="auto"/>
        <w:rPr>
          <w:rFonts w:asciiTheme="minorHAnsi" w:hAnsiTheme="minorHAnsi"/>
        </w:rPr>
      </w:pPr>
      <w:bookmarkStart w:id="214" w:name="_Toc117445370"/>
      <w:r w:rsidRPr="007C4D65">
        <w:rPr>
          <w:rFonts w:asciiTheme="minorHAnsi" w:hAnsiTheme="minorHAnsi"/>
        </w:rPr>
        <w:lastRenderedPageBreak/>
        <w:t xml:space="preserve">Indicative </w:t>
      </w:r>
      <w:r w:rsidR="0083630B" w:rsidRPr="007C4D65">
        <w:rPr>
          <w:rFonts w:asciiTheme="minorHAnsi" w:hAnsiTheme="minorHAnsi"/>
        </w:rPr>
        <w:t>financial framework</w:t>
      </w:r>
      <w:bookmarkEnd w:id="214"/>
    </w:p>
    <w:p w14:paraId="6F107CC8" w14:textId="01A0E1D1" w:rsidR="00635C53" w:rsidRPr="007C4D65" w:rsidRDefault="00635C53" w:rsidP="00635C53">
      <w:pPr>
        <w:spacing w:after="240" w:line="276" w:lineRule="auto"/>
        <w:jc w:val="both"/>
        <w:rPr>
          <w:rFonts w:asciiTheme="minorHAnsi" w:hAnsiTheme="minorHAnsi" w:cstheme="minorHAnsi"/>
          <w:color w:val="000000" w:themeColor="text1"/>
          <w:sz w:val="22"/>
        </w:rPr>
      </w:pPr>
      <w:r w:rsidRPr="007C4D65">
        <w:rPr>
          <w:rFonts w:asciiTheme="minorHAnsi" w:hAnsiTheme="minorHAnsi" w:cstheme="minorHAnsi"/>
          <w:color w:val="000000" w:themeColor="text1"/>
          <w:sz w:val="22"/>
        </w:rPr>
        <w:t xml:space="preserve">The costs of the thematic area Environmental Management are estimated at BAM 10.3 million or 0,09% of the total </w:t>
      </w:r>
      <w:r w:rsidR="00A057D0" w:rsidRPr="007C4D65">
        <w:rPr>
          <w:rFonts w:asciiTheme="minorHAnsi" w:hAnsiTheme="minorHAnsi" w:cstheme="minorHAnsi"/>
          <w:color w:val="000000" w:themeColor="text1"/>
          <w:sz w:val="22"/>
        </w:rPr>
        <w:t>costs</w:t>
      </w:r>
      <w:r w:rsidRPr="007C4D65">
        <w:rPr>
          <w:rFonts w:asciiTheme="minorHAnsi" w:hAnsiTheme="minorHAnsi" w:cstheme="minorHAnsi"/>
          <w:color w:val="000000" w:themeColor="text1"/>
          <w:sz w:val="22"/>
        </w:rPr>
        <w:t xml:space="preserve"> of the Strategy, which amount to BAM 11,9 billion.</w:t>
      </w:r>
      <w:r w:rsidR="00A057D0" w:rsidRPr="007C4D65">
        <w:rPr>
          <w:rFonts w:asciiTheme="minorHAnsi" w:hAnsiTheme="minorHAnsi" w:cstheme="minorHAnsi"/>
          <w:color w:val="000000" w:themeColor="text1"/>
          <w:sz w:val="22"/>
        </w:rPr>
        <w:t xml:space="preserve"> </w:t>
      </w:r>
      <w:r w:rsidRPr="007C4D65">
        <w:rPr>
          <w:rFonts w:asciiTheme="minorHAnsi" w:hAnsiTheme="minorHAnsi" w:cstheme="minorHAnsi"/>
          <w:color w:val="000000" w:themeColor="text1"/>
          <w:sz w:val="22"/>
        </w:rPr>
        <w:t>This thematic area comprises eight priorities and 32 measures. This thematic area at the same time ha</w:t>
      </w:r>
      <w:r w:rsidR="00A057D0" w:rsidRPr="007C4D65">
        <w:rPr>
          <w:rFonts w:asciiTheme="minorHAnsi" w:hAnsiTheme="minorHAnsi" w:cstheme="minorHAnsi"/>
          <w:color w:val="000000" w:themeColor="text1"/>
          <w:sz w:val="22"/>
        </w:rPr>
        <w:t>s</w:t>
      </w:r>
      <w:r w:rsidRPr="007C4D65">
        <w:rPr>
          <w:rFonts w:asciiTheme="minorHAnsi" w:hAnsiTheme="minorHAnsi" w:cstheme="minorHAnsi"/>
          <w:color w:val="000000" w:themeColor="text1"/>
          <w:sz w:val="22"/>
        </w:rPr>
        <w:t xml:space="preserve"> the largest number of measures in the Strategy </w:t>
      </w:r>
      <w:r w:rsidR="00A057D0" w:rsidRPr="007C4D65">
        <w:rPr>
          <w:rFonts w:asciiTheme="minorHAnsi" w:hAnsiTheme="minorHAnsi" w:cstheme="minorHAnsi"/>
          <w:color w:val="000000" w:themeColor="text1"/>
          <w:sz w:val="22"/>
        </w:rPr>
        <w:t>of</w:t>
      </w:r>
      <w:r w:rsidRPr="007C4D65">
        <w:rPr>
          <w:rFonts w:asciiTheme="minorHAnsi" w:hAnsiTheme="minorHAnsi" w:cstheme="minorHAnsi"/>
          <w:color w:val="000000" w:themeColor="text1"/>
          <w:sz w:val="22"/>
        </w:rPr>
        <w:t xml:space="preserve"> the Federation of BiH. The financial </w:t>
      </w:r>
      <w:r w:rsidR="00A057D0" w:rsidRPr="007C4D65">
        <w:rPr>
          <w:rFonts w:asciiTheme="minorHAnsi" w:hAnsiTheme="minorHAnsi" w:cstheme="minorHAnsi"/>
          <w:color w:val="000000" w:themeColor="text1"/>
          <w:sz w:val="22"/>
        </w:rPr>
        <w:t>evaluation</w:t>
      </w:r>
      <w:r w:rsidRPr="007C4D65">
        <w:rPr>
          <w:rFonts w:asciiTheme="minorHAnsi" w:hAnsiTheme="minorHAnsi" w:cstheme="minorHAnsi"/>
          <w:color w:val="000000" w:themeColor="text1"/>
          <w:sz w:val="22"/>
        </w:rPr>
        <w:t xml:space="preserve"> covered 31 of 32 measures. Measure </w:t>
      </w:r>
      <w:proofErr w:type="gramStart"/>
      <w:r w:rsidRPr="007C4D65">
        <w:rPr>
          <w:rFonts w:asciiTheme="minorHAnsi" w:hAnsiTheme="minorHAnsi" w:cstheme="minorHAnsi"/>
          <w:color w:val="000000" w:themeColor="text1"/>
          <w:sz w:val="22"/>
        </w:rPr>
        <w:t>7.8.4  (</w:t>
      </w:r>
      <w:proofErr w:type="gramEnd"/>
      <w:r w:rsidRPr="007C4D65">
        <w:rPr>
          <w:rFonts w:asciiTheme="minorHAnsi" w:hAnsiTheme="minorHAnsi" w:cstheme="minorHAnsi"/>
          <w:color w:val="000000" w:themeColor="text1"/>
          <w:sz w:val="22"/>
        </w:rPr>
        <w:t>Strengthening research capacities in the environment sector) ha</w:t>
      </w:r>
      <w:r w:rsidR="00A057D0" w:rsidRPr="007C4D65">
        <w:rPr>
          <w:rFonts w:asciiTheme="minorHAnsi" w:hAnsiTheme="minorHAnsi" w:cstheme="minorHAnsi"/>
          <w:color w:val="000000" w:themeColor="text1"/>
          <w:sz w:val="22"/>
        </w:rPr>
        <w:t>s</w:t>
      </w:r>
      <w:r w:rsidRPr="007C4D65">
        <w:rPr>
          <w:rFonts w:asciiTheme="minorHAnsi" w:hAnsiTheme="minorHAnsi" w:cstheme="minorHAnsi"/>
          <w:color w:val="000000" w:themeColor="text1"/>
          <w:sz w:val="22"/>
        </w:rPr>
        <w:t xml:space="preserve"> not been </w:t>
      </w:r>
      <w:r w:rsidR="00A057D0" w:rsidRPr="007C4D65">
        <w:rPr>
          <w:rFonts w:asciiTheme="minorHAnsi" w:hAnsiTheme="minorHAnsi" w:cstheme="minorHAnsi"/>
          <w:color w:val="000000" w:themeColor="text1"/>
          <w:sz w:val="22"/>
        </w:rPr>
        <w:t>evaluated</w:t>
      </w:r>
      <w:r w:rsidRPr="007C4D65">
        <w:rPr>
          <w:rFonts w:asciiTheme="minorHAnsi" w:hAnsiTheme="minorHAnsi" w:cstheme="minorHAnsi"/>
          <w:color w:val="000000" w:themeColor="text1"/>
          <w:sz w:val="22"/>
        </w:rPr>
        <w:t xml:space="preserve">. At the time </w:t>
      </w:r>
      <w:r w:rsidR="00A057D0" w:rsidRPr="007C4D65">
        <w:rPr>
          <w:rFonts w:asciiTheme="minorHAnsi" w:hAnsiTheme="minorHAnsi" w:cstheme="minorHAnsi"/>
          <w:color w:val="000000" w:themeColor="text1"/>
          <w:sz w:val="22"/>
        </w:rPr>
        <w:t>of the evaluation</w:t>
      </w:r>
      <w:r w:rsidRPr="007C4D65">
        <w:rPr>
          <w:rFonts w:asciiTheme="minorHAnsi" w:hAnsiTheme="minorHAnsi" w:cstheme="minorHAnsi"/>
          <w:color w:val="000000" w:themeColor="text1"/>
          <w:sz w:val="22"/>
        </w:rPr>
        <w:t xml:space="preserve">, it was difficult to provide for a methodologically consistent cost estimate of this measure, primarily because a quantification of its content was methodologically extremely </w:t>
      </w:r>
      <w:proofErr w:type="gramStart"/>
      <w:r w:rsidRPr="007C4D65">
        <w:rPr>
          <w:rFonts w:asciiTheme="minorHAnsi" w:hAnsiTheme="minorHAnsi" w:cstheme="minorHAnsi"/>
          <w:color w:val="000000" w:themeColor="text1"/>
          <w:sz w:val="22"/>
        </w:rPr>
        <w:t>complex, and</w:t>
      </w:r>
      <w:proofErr w:type="gramEnd"/>
      <w:r w:rsidRPr="007C4D65">
        <w:rPr>
          <w:rFonts w:asciiTheme="minorHAnsi" w:hAnsiTheme="minorHAnsi" w:cstheme="minorHAnsi"/>
          <w:color w:val="000000" w:themeColor="text1"/>
          <w:sz w:val="22"/>
        </w:rPr>
        <w:t xml:space="preserve"> prevented a detailed cost </w:t>
      </w:r>
      <w:r w:rsidR="00A057D0" w:rsidRPr="007C4D65">
        <w:rPr>
          <w:rFonts w:asciiTheme="minorHAnsi" w:hAnsiTheme="minorHAnsi" w:cstheme="minorHAnsi"/>
          <w:color w:val="000000" w:themeColor="text1"/>
          <w:sz w:val="22"/>
        </w:rPr>
        <w:t>estimate</w:t>
      </w:r>
      <w:r w:rsidRPr="007C4D65">
        <w:rPr>
          <w:rFonts w:asciiTheme="minorHAnsi" w:hAnsiTheme="minorHAnsi" w:cstheme="minorHAnsi"/>
          <w:color w:val="000000" w:themeColor="text1"/>
          <w:sz w:val="22"/>
        </w:rPr>
        <w:t xml:space="preserve">. The two financially largest </w:t>
      </w:r>
      <w:r w:rsidR="003D5220" w:rsidRPr="007C4D65">
        <w:rPr>
          <w:rFonts w:asciiTheme="minorHAnsi" w:hAnsiTheme="minorHAnsi" w:cstheme="minorHAnsi"/>
          <w:color w:val="000000" w:themeColor="text1"/>
          <w:sz w:val="22"/>
        </w:rPr>
        <w:t>priorities</w:t>
      </w:r>
      <w:r w:rsidRPr="007C4D65">
        <w:rPr>
          <w:rFonts w:asciiTheme="minorHAnsi" w:hAnsiTheme="minorHAnsi" w:cstheme="minorHAnsi"/>
          <w:color w:val="000000" w:themeColor="text1"/>
          <w:sz w:val="22"/>
        </w:rPr>
        <w:t xml:space="preserve"> are 7.3. (</w:t>
      </w:r>
      <w:r w:rsidR="00274404" w:rsidRPr="007C4D65">
        <w:rPr>
          <w:rFonts w:asciiTheme="minorHAnsi" w:hAnsiTheme="minorHAnsi" w:cstheme="minorHAnsi"/>
          <w:color w:val="000000" w:themeColor="text1"/>
          <w:sz w:val="22"/>
        </w:rPr>
        <w:t>Maximise the capacity and mutual coordination among the institutions</w:t>
      </w:r>
      <w:r w:rsidRPr="007C4D65">
        <w:rPr>
          <w:rFonts w:asciiTheme="minorHAnsi" w:hAnsiTheme="minorHAnsi" w:cstheme="minorHAnsi"/>
          <w:color w:val="000000" w:themeColor="text1"/>
          <w:sz w:val="22"/>
        </w:rPr>
        <w:t>) with 25% or BAM 2,5 million, and 7.5 (Set up an efficient system for record keeping and transparent reporting of environmental data in the Federation of BiH in consultation with the Partnership 27</w:t>
      </w:r>
      <w:r w:rsidR="00A057D0" w:rsidRPr="007C4D65">
        <w:rPr>
          <w:rFonts w:asciiTheme="minorHAnsi" w:hAnsiTheme="minorHAnsi" w:cstheme="minorHAnsi"/>
          <w:color w:val="000000" w:themeColor="text1"/>
          <w:sz w:val="22"/>
        </w:rPr>
        <w:t xml:space="preserve"> </w:t>
      </w:r>
      <w:r w:rsidRPr="007C4D65">
        <w:rPr>
          <w:rFonts w:asciiTheme="minorHAnsi" w:hAnsiTheme="minorHAnsi" w:cstheme="minorHAnsi"/>
          <w:color w:val="000000" w:themeColor="text1"/>
          <w:sz w:val="22"/>
        </w:rPr>
        <w:t>(with 27% or BAM 2,8 million</w:t>
      </w:r>
      <w:r w:rsidR="00A057D0" w:rsidRPr="007C4D65">
        <w:rPr>
          <w:rFonts w:asciiTheme="minorHAnsi" w:hAnsiTheme="minorHAnsi" w:cstheme="minorHAnsi"/>
          <w:color w:val="000000" w:themeColor="text1"/>
          <w:sz w:val="22"/>
        </w:rPr>
        <w:t>)</w:t>
      </w:r>
      <w:r w:rsidRPr="007C4D65">
        <w:rPr>
          <w:rFonts w:asciiTheme="minorHAnsi" w:hAnsiTheme="minorHAnsi" w:cstheme="minorHAnsi"/>
          <w:color w:val="000000" w:themeColor="text1"/>
          <w:sz w:val="22"/>
        </w:rPr>
        <w:t xml:space="preserve">. The total financial allocations for the six remaining priorities account for 48% of the total </w:t>
      </w:r>
      <w:r w:rsidR="00A057D0" w:rsidRPr="007C4D65">
        <w:rPr>
          <w:rFonts w:asciiTheme="minorHAnsi" w:hAnsiTheme="minorHAnsi" w:cstheme="minorHAnsi"/>
          <w:color w:val="000000" w:themeColor="text1"/>
          <w:sz w:val="22"/>
        </w:rPr>
        <w:t>amount</w:t>
      </w:r>
      <w:r w:rsidRPr="007C4D65">
        <w:rPr>
          <w:rFonts w:asciiTheme="minorHAnsi" w:hAnsiTheme="minorHAnsi" w:cstheme="minorHAnsi"/>
          <w:color w:val="000000" w:themeColor="text1"/>
          <w:sz w:val="22"/>
        </w:rPr>
        <w:t xml:space="preserve"> with BAM 4.9 million.</w:t>
      </w:r>
    </w:p>
    <w:p w14:paraId="446CDC02" w14:textId="6FCC82C7" w:rsidR="00A047EC" w:rsidRPr="007C4D65" w:rsidRDefault="00635C53" w:rsidP="00635C53">
      <w:pPr>
        <w:spacing w:after="240" w:line="276" w:lineRule="auto"/>
        <w:jc w:val="both"/>
        <w:rPr>
          <w:rFonts w:asciiTheme="minorHAnsi" w:eastAsiaTheme="minorEastAsia" w:hAnsiTheme="minorHAnsi" w:cstheme="minorHAnsi"/>
          <w:color w:val="000000" w:themeColor="text1"/>
          <w:sz w:val="22"/>
          <w:szCs w:val="22"/>
        </w:rPr>
      </w:pPr>
      <w:r w:rsidRPr="007C4D65">
        <w:rPr>
          <w:rFonts w:asciiTheme="minorHAnsi" w:hAnsiTheme="minorHAnsi" w:cstheme="minorHAnsi"/>
          <w:color w:val="000000" w:themeColor="text1"/>
          <w:sz w:val="22"/>
        </w:rPr>
        <w:t>A detailed overview of the Indicative Financial Framework for the thematic area Environmental Management and for the Federation of BiH in general is contained in Annex 9, including a table and pie chart.</w:t>
      </w:r>
    </w:p>
    <w:p w14:paraId="1F4123A7" w14:textId="77777777" w:rsidR="00160C7A" w:rsidRPr="007C4D65" w:rsidRDefault="00160C7A" w:rsidP="0068355A">
      <w:pPr>
        <w:spacing w:line="276" w:lineRule="auto"/>
        <w:rPr>
          <w:rFonts w:asciiTheme="minorHAnsi" w:hAnsiTheme="minorHAnsi" w:cstheme="minorHAnsi"/>
        </w:rPr>
        <w:sectPr w:rsidR="00160C7A" w:rsidRPr="007C4D65" w:rsidSect="00331251">
          <w:pgSz w:w="11906" w:h="16838"/>
          <w:pgMar w:top="1440" w:right="1440" w:bottom="1440" w:left="1440" w:header="708" w:footer="708" w:gutter="0"/>
          <w:cols w:space="708"/>
          <w:docGrid w:linePitch="360"/>
        </w:sectPr>
      </w:pPr>
    </w:p>
    <w:p w14:paraId="210178DD" w14:textId="408685E8" w:rsidR="002C0058" w:rsidRPr="007C4D65" w:rsidRDefault="0083630B">
      <w:pPr>
        <w:pStyle w:val="Head1"/>
        <w:spacing w:after="240" w:line="276" w:lineRule="auto"/>
        <w:rPr>
          <w:rFonts w:asciiTheme="minorHAnsi" w:hAnsiTheme="minorHAnsi" w:cstheme="minorHAnsi"/>
        </w:rPr>
      </w:pPr>
      <w:bookmarkStart w:id="215" w:name="_Toc117445371"/>
      <w:r w:rsidRPr="007C4D65">
        <w:rPr>
          <w:rFonts w:asciiTheme="minorHAnsi" w:hAnsiTheme="minorHAnsi" w:cstheme="minorHAnsi"/>
        </w:rPr>
        <w:lastRenderedPageBreak/>
        <w:t>ALIGNMENT WITH OTHER DOCUMENTS</w:t>
      </w:r>
      <w:bookmarkEnd w:id="215"/>
    </w:p>
    <w:p w14:paraId="44E03643" w14:textId="0040E18D" w:rsidR="00635C53" w:rsidRPr="007C4D65" w:rsidRDefault="00635C53" w:rsidP="00635C53">
      <w:pPr>
        <w:spacing w:before="240" w:line="276" w:lineRule="auto"/>
        <w:jc w:val="both"/>
        <w:rPr>
          <w:rFonts w:asciiTheme="minorHAnsi" w:eastAsia="Calibri" w:hAnsiTheme="minorHAnsi" w:cstheme="minorHAnsi"/>
          <w:color w:val="000000"/>
          <w:sz w:val="22"/>
          <w:szCs w:val="22"/>
        </w:rPr>
      </w:pPr>
      <w:r w:rsidRPr="007C4D65">
        <w:rPr>
          <w:rFonts w:asciiTheme="minorHAnsi" w:hAnsiTheme="minorHAnsi" w:cstheme="minorHAnsi"/>
          <w:sz w:val="22"/>
        </w:rPr>
        <w:t xml:space="preserve">The </w:t>
      </w:r>
      <w:r w:rsidR="007436F1" w:rsidRPr="007C4D65">
        <w:rPr>
          <w:rFonts w:asciiTheme="minorHAnsi" w:hAnsiTheme="minorHAnsi" w:cstheme="minorHAnsi"/>
          <w:sz w:val="22"/>
        </w:rPr>
        <w:t>Environmental Strategy</w:t>
      </w:r>
      <w:r w:rsidRPr="007C4D65">
        <w:rPr>
          <w:rFonts w:asciiTheme="minorHAnsi" w:hAnsiTheme="minorHAnsi" w:cstheme="minorHAnsi"/>
          <w:sz w:val="22"/>
        </w:rPr>
        <w:t xml:space="preserve"> of the Federation of BiH sets out seven strategic goals (for each thematic area) as stated in Chapter 3.4. Strategic </w:t>
      </w:r>
      <w:r w:rsidR="0083630B" w:rsidRPr="007C4D65">
        <w:rPr>
          <w:rFonts w:asciiTheme="minorHAnsi" w:hAnsiTheme="minorHAnsi" w:cstheme="minorHAnsi"/>
          <w:sz w:val="22"/>
        </w:rPr>
        <w:t>g</w:t>
      </w:r>
      <w:r w:rsidRPr="007C4D65">
        <w:rPr>
          <w:rFonts w:asciiTheme="minorHAnsi" w:hAnsiTheme="minorHAnsi" w:cstheme="minorHAnsi"/>
          <w:sz w:val="22"/>
        </w:rPr>
        <w:t>oals.</w:t>
      </w:r>
      <w:r w:rsidRPr="007C4D65">
        <w:rPr>
          <w:rFonts w:asciiTheme="minorHAnsi" w:hAnsiTheme="minorHAnsi" w:cstheme="minorHAnsi"/>
          <w:color w:val="000000"/>
          <w:sz w:val="22"/>
        </w:rPr>
        <w:t xml:space="preserve"> </w:t>
      </w:r>
    </w:p>
    <w:p w14:paraId="688E7211" w14:textId="77777777" w:rsidR="00635C53" w:rsidRPr="007C4D65" w:rsidRDefault="00635C53" w:rsidP="00635C53">
      <w:pPr>
        <w:spacing w:before="240" w:after="240" w:line="276" w:lineRule="auto"/>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 xml:space="preserve">An analysis of coherence with other relevant strategic documents was carried out by comparing the strategic goals (and priorities) defined in the Strategy with those laid down in other strategic documents resulting from the European integration process, as well as with the internationally recognized Sustainable Development </w:t>
      </w:r>
      <w:proofErr w:type="gramStart"/>
      <w:r w:rsidRPr="007C4D65">
        <w:rPr>
          <w:rFonts w:asciiTheme="minorHAnsi" w:hAnsiTheme="minorHAnsi" w:cstheme="minorHAnsi"/>
          <w:color w:val="000000"/>
          <w:sz w:val="22"/>
        </w:rPr>
        <w:t>Goals..</w:t>
      </w:r>
      <w:proofErr w:type="gramEnd"/>
      <w:r w:rsidRPr="007C4D65">
        <w:rPr>
          <w:rFonts w:asciiTheme="minorHAnsi" w:hAnsiTheme="minorHAnsi" w:cstheme="minorHAnsi"/>
          <w:color w:val="000000"/>
          <w:sz w:val="22"/>
        </w:rPr>
        <w:t xml:space="preserve"> Drafting of the Strategy relied on input from the following strategic, planning and developmental documents:</w:t>
      </w:r>
    </w:p>
    <w:p w14:paraId="3BBAEC30" w14:textId="7A517465" w:rsidR="00635C53" w:rsidRPr="007C4D65" w:rsidRDefault="00635C53" w:rsidP="00635C53">
      <w:pPr>
        <w:numPr>
          <w:ilvl w:val="0"/>
          <w:numId w:val="15"/>
        </w:numPr>
        <w:spacing w:before="240" w:after="240"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 xml:space="preserve">Development </w:t>
      </w:r>
      <w:r w:rsidR="0083630B" w:rsidRPr="007C4D65">
        <w:rPr>
          <w:rFonts w:asciiTheme="minorHAnsi" w:hAnsiTheme="minorHAnsi" w:cstheme="minorHAnsi"/>
          <w:color w:val="000000"/>
          <w:sz w:val="22"/>
        </w:rPr>
        <w:t>S</w:t>
      </w:r>
      <w:r w:rsidRPr="007C4D65">
        <w:rPr>
          <w:rFonts w:asciiTheme="minorHAnsi" w:hAnsiTheme="minorHAnsi" w:cstheme="minorHAnsi"/>
          <w:color w:val="000000"/>
          <w:sz w:val="22"/>
        </w:rPr>
        <w:t>trategy of the Federation of BiH (2021–2027</w:t>
      </w:r>
      <w:proofErr w:type="gramStart"/>
      <w:r w:rsidRPr="007C4D65">
        <w:rPr>
          <w:rFonts w:asciiTheme="minorHAnsi" w:hAnsiTheme="minorHAnsi" w:cstheme="minorHAnsi"/>
          <w:color w:val="000000"/>
          <w:sz w:val="22"/>
        </w:rPr>
        <w:t>)</w:t>
      </w:r>
      <w:r w:rsidR="00674E70" w:rsidRPr="007C4D65">
        <w:rPr>
          <w:rFonts w:asciiTheme="minorHAnsi" w:hAnsiTheme="minorHAnsi" w:cstheme="minorHAnsi"/>
          <w:color w:val="000000"/>
          <w:sz w:val="22"/>
          <w:lang w:val="bs-Latn-BA"/>
        </w:rPr>
        <w:t>;</w:t>
      </w:r>
      <w:proofErr w:type="gramEnd"/>
    </w:p>
    <w:p w14:paraId="0D03CA80" w14:textId="21EB4745" w:rsidR="00635C53" w:rsidRPr="007C4D65" w:rsidRDefault="00635C53" w:rsidP="00635C53">
      <w:pPr>
        <w:numPr>
          <w:ilvl w:val="0"/>
          <w:numId w:val="15"/>
        </w:numPr>
        <w:spacing w:before="240" w:after="240" w:line="276" w:lineRule="auto"/>
        <w:contextualSpacing/>
        <w:rPr>
          <w:rFonts w:asciiTheme="minorHAnsi" w:eastAsia="Calibri" w:hAnsiTheme="minorHAnsi" w:cstheme="minorHAnsi"/>
          <w:color w:val="000000"/>
          <w:sz w:val="22"/>
          <w:szCs w:val="22"/>
        </w:rPr>
      </w:pPr>
      <w:r w:rsidRPr="007C4D65">
        <w:rPr>
          <w:rFonts w:asciiTheme="minorHAnsi" w:hAnsiTheme="minorHAnsi" w:cstheme="minorHAnsi"/>
          <w:color w:val="000000"/>
          <w:sz w:val="22"/>
        </w:rPr>
        <w:t xml:space="preserve">Water Management Strategy </w:t>
      </w:r>
      <w:r w:rsidR="007436F1" w:rsidRPr="007C4D65">
        <w:rPr>
          <w:rFonts w:asciiTheme="minorHAnsi" w:hAnsiTheme="minorHAnsi" w:cstheme="minorHAnsi"/>
          <w:color w:val="000000"/>
          <w:sz w:val="22"/>
        </w:rPr>
        <w:t>of the Federation of BiH</w:t>
      </w:r>
      <w:r w:rsidRPr="007C4D65">
        <w:rPr>
          <w:rFonts w:asciiTheme="minorHAnsi" w:hAnsiTheme="minorHAnsi" w:cstheme="minorHAnsi"/>
          <w:color w:val="000000"/>
          <w:sz w:val="22"/>
        </w:rPr>
        <w:t xml:space="preserve"> (2010‒ 2022</w:t>
      </w:r>
      <w:proofErr w:type="gramStart"/>
      <w:r w:rsidRPr="007C4D65">
        <w:rPr>
          <w:rFonts w:asciiTheme="minorHAnsi" w:hAnsiTheme="minorHAnsi" w:cstheme="minorHAnsi"/>
          <w:color w:val="000000"/>
          <w:sz w:val="22"/>
        </w:rPr>
        <w:t>)</w:t>
      </w:r>
      <w:r w:rsidR="00674E70" w:rsidRPr="007C4D65">
        <w:rPr>
          <w:rFonts w:asciiTheme="minorHAnsi" w:eastAsia="Calibri" w:hAnsiTheme="minorHAnsi" w:cstheme="minorHAnsi"/>
          <w:color w:val="000000"/>
          <w:sz w:val="22"/>
          <w:szCs w:val="22"/>
        </w:rPr>
        <w:t>;</w:t>
      </w:r>
      <w:proofErr w:type="gramEnd"/>
    </w:p>
    <w:p w14:paraId="657C5AE7" w14:textId="0A651717" w:rsidR="00635C53" w:rsidRPr="007C4D65" w:rsidRDefault="00635C53" w:rsidP="00635C53">
      <w:pPr>
        <w:numPr>
          <w:ilvl w:val="0"/>
          <w:numId w:val="15"/>
        </w:numPr>
        <w:spacing w:before="240" w:after="240" w:line="276" w:lineRule="auto"/>
        <w:contextualSpacing/>
        <w:rPr>
          <w:rFonts w:asciiTheme="minorHAnsi" w:eastAsia="Calibri" w:hAnsiTheme="minorHAnsi" w:cstheme="minorHAnsi"/>
          <w:color w:val="000000"/>
          <w:sz w:val="22"/>
          <w:szCs w:val="22"/>
        </w:rPr>
      </w:pPr>
      <w:r w:rsidRPr="007C4D65">
        <w:rPr>
          <w:rFonts w:asciiTheme="minorHAnsi" w:hAnsiTheme="minorHAnsi" w:cstheme="minorHAnsi"/>
          <w:color w:val="000000"/>
          <w:sz w:val="22"/>
        </w:rPr>
        <w:t xml:space="preserve">Green Agenda for the Western </w:t>
      </w:r>
      <w:proofErr w:type="gramStart"/>
      <w:r w:rsidRPr="007C4D65">
        <w:rPr>
          <w:rFonts w:asciiTheme="minorHAnsi" w:hAnsiTheme="minorHAnsi" w:cstheme="minorHAnsi"/>
          <w:color w:val="000000"/>
          <w:sz w:val="22"/>
        </w:rPr>
        <w:t>Balkans</w:t>
      </w:r>
      <w:r w:rsidR="00674E70" w:rsidRPr="007C4D65">
        <w:rPr>
          <w:rFonts w:asciiTheme="minorHAnsi" w:eastAsia="Calibri" w:hAnsiTheme="minorHAnsi" w:cstheme="minorHAnsi"/>
          <w:color w:val="000000"/>
          <w:sz w:val="22"/>
          <w:szCs w:val="22"/>
        </w:rPr>
        <w:t>;</w:t>
      </w:r>
      <w:proofErr w:type="gramEnd"/>
    </w:p>
    <w:p w14:paraId="6EB837EA" w14:textId="53EC09CE" w:rsidR="00635C53" w:rsidRPr="007C4D65" w:rsidRDefault="00635C53" w:rsidP="00635C53">
      <w:pPr>
        <w:numPr>
          <w:ilvl w:val="0"/>
          <w:numId w:val="15"/>
        </w:numPr>
        <w:spacing w:before="240" w:after="240" w:line="276" w:lineRule="auto"/>
        <w:contextualSpacing/>
        <w:rPr>
          <w:rFonts w:asciiTheme="minorHAnsi" w:eastAsia="Calibri" w:hAnsiTheme="minorHAnsi" w:cstheme="minorHAnsi"/>
          <w:color w:val="000000"/>
          <w:sz w:val="22"/>
          <w:szCs w:val="22"/>
        </w:rPr>
      </w:pPr>
      <w:r w:rsidRPr="007C4D65">
        <w:rPr>
          <w:rFonts w:asciiTheme="minorHAnsi" w:hAnsiTheme="minorHAnsi" w:cstheme="minorHAnsi"/>
          <w:color w:val="000000"/>
          <w:sz w:val="22"/>
        </w:rPr>
        <w:t>Environmental Approximation Strategy for BiH</w:t>
      </w:r>
      <w:r w:rsidR="00674E70" w:rsidRPr="007C4D65">
        <w:rPr>
          <w:rFonts w:asciiTheme="minorHAnsi" w:hAnsiTheme="minorHAnsi" w:cstheme="minorHAnsi"/>
          <w:color w:val="000000"/>
          <w:sz w:val="22"/>
        </w:rPr>
        <w:t>;</w:t>
      </w:r>
      <w:r w:rsidRPr="007C4D65">
        <w:rPr>
          <w:rFonts w:asciiTheme="minorHAnsi" w:hAnsiTheme="minorHAnsi" w:cstheme="minorHAnsi"/>
          <w:color w:val="000000"/>
          <w:sz w:val="22"/>
        </w:rPr>
        <w:t>(EAS BiH)</w:t>
      </w:r>
    </w:p>
    <w:p w14:paraId="2C4610B5" w14:textId="21410F6F" w:rsidR="00635C53" w:rsidRPr="007C4D65" w:rsidRDefault="00635C53" w:rsidP="00635C53">
      <w:pPr>
        <w:numPr>
          <w:ilvl w:val="0"/>
          <w:numId w:val="15"/>
        </w:numPr>
        <w:spacing w:before="240" w:after="240" w:line="276" w:lineRule="auto"/>
        <w:contextualSpacing/>
        <w:rPr>
          <w:rFonts w:asciiTheme="minorHAnsi" w:eastAsia="Calibri" w:hAnsiTheme="minorHAnsi" w:cstheme="minorHAnsi"/>
          <w:color w:val="000000"/>
          <w:sz w:val="22"/>
          <w:szCs w:val="22"/>
        </w:rPr>
      </w:pPr>
      <w:r w:rsidRPr="007C4D65">
        <w:rPr>
          <w:rFonts w:asciiTheme="minorHAnsi" w:hAnsiTheme="minorHAnsi" w:cstheme="minorHAnsi"/>
          <w:color w:val="000000"/>
          <w:sz w:val="22"/>
        </w:rPr>
        <w:t xml:space="preserve">Framework for the Sustainable Development Goals Implementation in </w:t>
      </w:r>
      <w:proofErr w:type="gramStart"/>
      <w:r w:rsidRPr="007C4D65">
        <w:rPr>
          <w:rFonts w:asciiTheme="minorHAnsi" w:hAnsiTheme="minorHAnsi" w:cstheme="minorHAnsi"/>
          <w:color w:val="000000"/>
          <w:sz w:val="22"/>
        </w:rPr>
        <w:t>BiH</w:t>
      </w:r>
      <w:r w:rsidR="00674E70" w:rsidRPr="007C4D65">
        <w:rPr>
          <w:rFonts w:asciiTheme="minorHAnsi" w:hAnsiTheme="minorHAnsi" w:cstheme="minorHAnsi"/>
          <w:color w:val="000000"/>
          <w:sz w:val="22"/>
        </w:rPr>
        <w:t>;</w:t>
      </w:r>
      <w:proofErr w:type="gramEnd"/>
    </w:p>
    <w:p w14:paraId="16FBBD9B" w14:textId="469D2885" w:rsidR="00635C53" w:rsidRPr="007C4D65" w:rsidRDefault="00635C53" w:rsidP="00635C53">
      <w:pPr>
        <w:numPr>
          <w:ilvl w:val="0"/>
          <w:numId w:val="15"/>
        </w:numPr>
        <w:spacing w:before="240" w:after="240"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BiH Economic Reform Program</w:t>
      </w:r>
      <w:r w:rsidR="00227D11" w:rsidRPr="007C4D65">
        <w:rPr>
          <w:rFonts w:asciiTheme="minorHAnsi" w:hAnsiTheme="minorHAnsi" w:cstheme="minorHAnsi"/>
          <w:color w:val="000000"/>
          <w:sz w:val="22"/>
        </w:rPr>
        <w:t>me</w:t>
      </w:r>
      <w:r w:rsidRPr="007C4D65">
        <w:rPr>
          <w:rFonts w:asciiTheme="minorHAnsi" w:hAnsiTheme="minorHAnsi" w:cstheme="minorHAnsi"/>
          <w:color w:val="000000"/>
          <w:sz w:val="22"/>
        </w:rPr>
        <w:t xml:space="preserve"> (ERP BiH 2021‒2023</w:t>
      </w:r>
      <w:proofErr w:type="gramStart"/>
      <w:r w:rsidRPr="007C4D65">
        <w:rPr>
          <w:rFonts w:asciiTheme="minorHAnsi" w:hAnsiTheme="minorHAnsi" w:cstheme="minorHAnsi"/>
          <w:color w:val="000000"/>
          <w:sz w:val="22"/>
        </w:rPr>
        <w:t>)</w:t>
      </w:r>
      <w:r w:rsidR="00674E70" w:rsidRPr="007C4D65">
        <w:rPr>
          <w:rFonts w:asciiTheme="minorHAnsi" w:hAnsiTheme="minorHAnsi" w:cstheme="minorHAnsi"/>
          <w:color w:val="000000"/>
          <w:sz w:val="22"/>
        </w:rPr>
        <w:t>;</w:t>
      </w:r>
      <w:proofErr w:type="gramEnd"/>
    </w:p>
    <w:p w14:paraId="14E34ECB" w14:textId="4A1A155C" w:rsidR="00674E70" w:rsidRPr="007C4D65" w:rsidRDefault="00635C53" w:rsidP="007A4013">
      <w:pPr>
        <w:numPr>
          <w:ilvl w:val="0"/>
          <w:numId w:val="15"/>
        </w:numPr>
        <w:spacing w:before="240" w:after="240" w:line="276" w:lineRule="auto"/>
        <w:ind w:left="714" w:hanging="357"/>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Climate Change Adaptation and Low Emission Development Strategy for BiH (2020 - 2030</w:t>
      </w:r>
      <w:proofErr w:type="gramStart"/>
      <w:r w:rsidRPr="007C4D65">
        <w:rPr>
          <w:rFonts w:asciiTheme="minorHAnsi" w:hAnsiTheme="minorHAnsi" w:cstheme="minorHAnsi"/>
          <w:color w:val="000000"/>
          <w:sz w:val="22"/>
        </w:rPr>
        <w:t>)</w:t>
      </w:r>
      <w:r w:rsidR="00674E70" w:rsidRPr="007C4D65">
        <w:rPr>
          <w:rFonts w:asciiTheme="minorHAnsi" w:eastAsia="Calibri" w:hAnsiTheme="minorHAnsi" w:cstheme="minorHAnsi"/>
          <w:color w:val="000000"/>
          <w:sz w:val="22"/>
          <w:szCs w:val="22"/>
        </w:rPr>
        <w:t>;</w:t>
      </w:r>
      <w:proofErr w:type="gramEnd"/>
    </w:p>
    <w:p w14:paraId="39C0DEB6" w14:textId="66641A1C" w:rsidR="00635C53" w:rsidRPr="007C4D65" w:rsidRDefault="00635C53" w:rsidP="007A4013">
      <w:pPr>
        <w:numPr>
          <w:ilvl w:val="0"/>
          <w:numId w:val="15"/>
        </w:numPr>
        <w:spacing w:before="240" w:after="240" w:line="276" w:lineRule="auto"/>
        <w:ind w:left="714" w:hanging="357"/>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Nationally Determined Contribution of Bosnia and Herzegovina (BiH NDC 2020 - 2030)</w:t>
      </w:r>
      <w:r w:rsidR="00674E70" w:rsidRPr="007C4D65">
        <w:rPr>
          <w:rFonts w:asciiTheme="minorHAnsi" w:hAnsiTheme="minorHAnsi" w:cstheme="minorHAnsi"/>
          <w:color w:val="000000"/>
          <w:sz w:val="22"/>
        </w:rPr>
        <w:t>.</w:t>
      </w:r>
    </w:p>
    <w:p w14:paraId="372CCB21" w14:textId="77777777" w:rsidR="00635C53" w:rsidRPr="007C4D65" w:rsidRDefault="00635C53" w:rsidP="00635C53">
      <w:pPr>
        <w:spacing w:before="240" w:after="240" w:line="276" w:lineRule="auto"/>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 xml:space="preserve">The environmental protection planning process in the Federation of BiH is aligned with the national strategic planning documents, international obligations of BiH, social and developmental programmes, international development programmes and spatial-planning documents. </w:t>
      </w:r>
    </w:p>
    <w:p w14:paraId="4C7970C0" w14:textId="77777777" w:rsidR="00635C53" w:rsidRPr="007C4D65" w:rsidRDefault="00635C53" w:rsidP="00635C53">
      <w:pPr>
        <w:spacing w:before="240" w:after="240" w:line="276" w:lineRule="auto"/>
        <w:rPr>
          <w:rFonts w:asciiTheme="minorHAnsi" w:eastAsia="Calibri" w:hAnsiTheme="minorHAnsi" w:cstheme="minorHAnsi"/>
          <w:i/>
          <w:color w:val="000000"/>
          <w:sz w:val="22"/>
          <w:szCs w:val="22"/>
          <w:u w:val="single"/>
        </w:rPr>
      </w:pPr>
      <w:r w:rsidRPr="007C4D65">
        <w:rPr>
          <w:rFonts w:asciiTheme="minorHAnsi" w:hAnsiTheme="minorHAnsi" w:cstheme="minorHAnsi"/>
          <w:i/>
          <w:color w:val="000000"/>
          <w:sz w:val="22"/>
          <w:u w:val="single"/>
        </w:rPr>
        <w:t>Development Strategy of the Federation of BiH (2021‒ 2027)</w:t>
      </w:r>
    </w:p>
    <w:p w14:paraId="69E765B1" w14:textId="2BC25464" w:rsidR="00635C53" w:rsidRPr="007C4D65" w:rsidRDefault="00635C53" w:rsidP="00635C53">
      <w:pPr>
        <w:spacing w:before="240" w:after="240" w:line="276" w:lineRule="auto"/>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szCs w:val="22"/>
        </w:rPr>
        <w:t xml:space="preserve">The Government of the Federation of BiH adopted the Decision on Drafting the Development Strategy of the Federation of BiH 2021 – 2027. </w:t>
      </w:r>
      <w:r w:rsidRPr="007C4D65">
        <w:rPr>
          <w:rFonts w:asciiTheme="minorHAnsi" w:hAnsiTheme="minorHAnsi" w:cstheme="minorHAnsi"/>
          <w:sz w:val="22"/>
          <w:szCs w:val="22"/>
        </w:rPr>
        <w:t>The Strategy</w:t>
      </w:r>
      <w:r w:rsidRPr="007C4D65">
        <w:rPr>
          <w:rFonts w:asciiTheme="minorHAnsi" w:hAnsiTheme="minorHAnsi" w:cstheme="minorHAnsi"/>
          <w:color w:val="000000"/>
          <w:sz w:val="22"/>
          <w:szCs w:val="22"/>
        </w:rPr>
        <w:t xml:space="preserve"> </w:t>
      </w:r>
      <w:r w:rsidRPr="007C4D65">
        <w:rPr>
          <w:rFonts w:asciiTheme="minorHAnsi" w:eastAsia="Calibri" w:hAnsiTheme="minorHAnsi" w:cstheme="minorHAnsi"/>
          <w:color w:val="000000"/>
          <w:sz w:val="22"/>
          <w:szCs w:val="22"/>
        </w:rPr>
        <w:fldChar w:fldCharType="begin"/>
      </w:r>
      <w:r w:rsidRPr="007C4D65">
        <w:rPr>
          <w:rFonts w:asciiTheme="minorHAnsi" w:eastAsia="Calibri" w:hAnsiTheme="minorHAnsi" w:cstheme="minorHAnsi"/>
          <w:color w:val="000000"/>
          <w:sz w:val="22"/>
          <w:szCs w:val="22"/>
        </w:rPr>
        <w:instrText xml:space="preserve"> ADDIN ZOTERO_ITEM CSL_CITATION {"citationID":"UEoHIOJ6","properties":{"formattedCitation":"(Vlada Federacije BiH 2020)","plainCitation":"(Vlada Federacije BiH 2020)","dontUpdate":true,"noteIndex":0},"citationItems":[{"id":1558,"uris":["http://zotero.org/users/7192877/items/SAVTWYTH"],"itemData":{"id":1558,"type":"report","title":"Strategija razvoja Federacije BiH 2021 - 2027","URL":"https://parlamentfbih.gov.ba/v2/userfiles/file/Materijali%20u%20proceduri_2021/Strategija%20razvoja%20FBiH%202021-2027_bos.pdf","author":[{"family":"Vlada Federacije BiH","given":""}],"issued":{"date-parts":[["2020"]]}}}],"schema":"https://github.com/citation-style-language/schema/raw/master/csl-citation.json"} </w:instrText>
      </w:r>
      <w:r w:rsidRPr="007C4D65">
        <w:rPr>
          <w:rFonts w:asciiTheme="minorHAnsi" w:eastAsia="Calibri" w:hAnsiTheme="minorHAnsi" w:cstheme="minorHAnsi"/>
          <w:color w:val="000000"/>
          <w:sz w:val="22"/>
          <w:szCs w:val="22"/>
        </w:rPr>
        <w:fldChar w:fldCharType="separate"/>
      </w:r>
      <w:r w:rsidRPr="007C4D65">
        <w:rPr>
          <w:rFonts w:asciiTheme="minorHAnsi" w:eastAsia="Calibri" w:hAnsiTheme="minorHAnsi" w:cstheme="minorHAnsi"/>
          <w:sz w:val="22"/>
          <w:szCs w:val="22"/>
        </w:rPr>
        <w:t>(</w:t>
      </w:r>
      <w:r w:rsidR="005A5882" w:rsidRPr="007C4D65">
        <w:rPr>
          <w:rFonts w:asciiTheme="minorHAnsi" w:eastAsia="Calibri" w:hAnsiTheme="minorHAnsi" w:cstheme="minorHAnsi"/>
          <w:sz w:val="22"/>
          <w:szCs w:val="22"/>
        </w:rPr>
        <w:t>Government of the Federation of BiH</w:t>
      </w:r>
      <w:r w:rsidRPr="007C4D65">
        <w:rPr>
          <w:rFonts w:asciiTheme="minorHAnsi" w:eastAsia="Calibri" w:hAnsiTheme="minorHAnsi" w:cstheme="minorHAnsi"/>
          <w:sz w:val="22"/>
          <w:szCs w:val="22"/>
        </w:rPr>
        <w:t>, 2020)</w:t>
      </w:r>
      <w:r w:rsidRPr="007C4D65">
        <w:rPr>
          <w:rFonts w:asciiTheme="minorHAnsi" w:eastAsia="Calibri" w:hAnsiTheme="minorHAnsi" w:cstheme="minorHAnsi"/>
          <w:color w:val="000000"/>
          <w:sz w:val="22"/>
          <w:szCs w:val="22"/>
        </w:rPr>
        <w:fldChar w:fldCharType="end"/>
      </w:r>
      <w:r w:rsidRPr="007C4D65">
        <w:rPr>
          <w:rFonts w:asciiTheme="minorHAnsi" w:hAnsiTheme="minorHAnsi" w:cstheme="minorHAnsi"/>
          <w:color w:val="000000"/>
          <w:sz w:val="22"/>
          <w:szCs w:val="22"/>
        </w:rPr>
        <w:t xml:space="preserve"> is a basis for drafting of the Work Programme of the Government of the Federation of BiH, the Public Investments Programme, triennial and annual work plans of the Ministries and institutions, the Budget Framework Documents (BFDs) and annual budgets, as well as sectoral strategies. The Decree defines a methodology of drafting and the content of strategic documents, </w:t>
      </w:r>
      <w:proofErr w:type="gramStart"/>
      <w:r w:rsidRPr="007C4D65">
        <w:rPr>
          <w:rFonts w:asciiTheme="minorHAnsi" w:hAnsiTheme="minorHAnsi" w:cstheme="minorHAnsi"/>
          <w:color w:val="000000"/>
          <w:sz w:val="22"/>
          <w:szCs w:val="22"/>
        </w:rPr>
        <w:t>and also</w:t>
      </w:r>
      <w:proofErr w:type="gramEnd"/>
      <w:r w:rsidRPr="007C4D65">
        <w:rPr>
          <w:rFonts w:asciiTheme="minorHAnsi" w:hAnsiTheme="minorHAnsi" w:cstheme="minorHAnsi"/>
          <w:color w:val="000000"/>
          <w:sz w:val="22"/>
          <w:szCs w:val="22"/>
        </w:rPr>
        <w:t xml:space="preserve"> defines four strategic goals - accelerated economic growth; prosperous and inclusive social development; resource efficient and sustainable development; and efficient, transparent and accountable public sector.</w:t>
      </w:r>
    </w:p>
    <w:p w14:paraId="6D351F60" w14:textId="1AE67D67" w:rsidR="00635C53" w:rsidRPr="007C4D65" w:rsidRDefault="00635C53" w:rsidP="00635C53">
      <w:pPr>
        <w:spacing w:before="240" w:after="240" w:line="276" w:lineRule="auto"/>
        <w:rPr>
          <w:rFonts w:asciiTheme="minorHAnsi" w:eastAsia="Calibri" w:hAnsiTheme="minorHAnsi" w:cstheme="minorHAnsi"/>
          <w:i/>
          <w:color w:val="000000"/>
          <w:sz w:val="20"/>
          <w:szCs w:val="20"/>
          <w:u w:val="single"/>
        </w:rPr>
      </w:pPr>
      <w:r w:rsidRPr="007C4D65">
        <w:rPr>
          <w:rFonts w:asciiTheme="minorHAnsi" w:hAnsiTheme="minorHAnsi" w:cstheme="minorHAnsi"/>
          <w:i/>
          <w:color w:val="000000"/>
          <w:sz w:val="20"/>
          <w:szCs w:val="20"/>
          <w:u w:val="single"/>
        </w:rPr>
        <w:t xml:space="preserve">Water Management Strategy </w:t>
      </w:r>
      <w:r w:rsidR="007436F1" w:rsidRPr="007C4D65">
        <w:rPr>
          <w:rFonts w:asciiTheme="minorHAnsi" w:hAnsiTheme="minorHAnsi" w:cstheme="minorHAnsi"/>
          <w:i/>
          <w:color w:val="000000"/>
          <w:sz w:val="20"/>
          <w:szCs w:val="20"/>
          <w:u w:val="single"/>
        </w:rPr>
        <w:t>of the Federation of BiH</w:t>
      </w:r>
      <w:r w:rsidRPr="007C4D65">
        <w:rPr>
          <w:rFonts w:asciiTheme="minorHAnsi" w:hAnsiTheme="minorHAnsi" w:cstheme="minorHAnsi"/>
          <w:i/>
          <w:color w:val="000000"/>
          <w:sz w:val="20"/>
          <w:szCs w:val="20"/>
          <w:u w:val="single"/>
        </w:rPr>
        <w:t xml:space="preserve"> (2010‒ 2022)</w:t>
      </w:r>
    </w:p>
    <w:p w14:paraId="2A018B2E" w14:textId="02FEFEC9" w:rsidR="00635C53" w:rsidRPr="007C4D65" w:rsidRDefault="00635C53" w:rsidP="00635C53">
      <w:pPr>
        <w:spacing w:before="240" w:after="240" w:line="276" w:lineRule="auto"/>
        <w:jc w:val="both"/>
        <w:rPr>
          <w:rFonts w:asciiTheme="minorHAnsi" w:eastAsia="Calibri" w:hAnsiTheme="minorHAnsi" w:cstheme="minorHAnsi"/>
          <w:color w:val="000000"/>
          <w:sz w:val="22"/>
          <w:szCs w:val="22"/>
        </w:rPr>
      </w:pPr>
      <w:r w:rsidRPr="007C4D65">
        <w:rPr>
          <w:rFonts w:asciiTheme="minorHAnsi" w:hAnsiTheme="minorHAnsi" w:cstheme="minorHAnsi"/>
          <w:sz w:val="22"/>
          <w:szCs w:val="22"/>
        </w:rPr>
        <w:t>Pursuant to the Law on Waters of the Federation of BiH, the Water Management Strategy</w:t>
      </w:r>
      <w:r w:rsidRPr="007C4D65">
        <w:rPr>
          <w:rFonts w:asciiTheme="minorHAnsi" w:hAnsiTheme="minorHAnsi" w:cstheme="minorHAnsi"/>
          <w:color w:val="000000"/>
          <w:sz w:val="22"/>
          <w:szCs w:val="22"/>
        </w:rPr>
        <w:t xml:space="preserve"> </w:t>
      </w:r>
      <w:r w:rsidRPr="007C4D65">
        <w:rPr>
          <w:rFonts w:asciiTheme="minorHAnsi" w:eastAsia="Calibri" w:hAnsiTheme="minorHAnsi" w:cstheme="minorHAnsi"/>
          <w:color w:val="000000"/>
          <w:sz w:val="22"/>
          <w:szCs w:val="22"/>
        </w:rPr>
        <w:fldChar w:fldCharType="begin"/>
      </w:r>
      <w:r w:rsidRPr="007C4D65">
        <w:rPr>
          <w:rFonts w:asciiTheme="minorHAnsi" w:eastAsia="Calibri" w:hAnsiTheme="minorHAnsi" w:cstheme="minorHAnsi"/>
          <w:color w:val="000000"/>
          <w:sz w:val="22"/>
          <w:szCs w:val="22"/>
        </w:rPr>
        <w:instrText xml:space="preserve"> ADDIN ZOTERO_ITEM CSL_CITATION {"citationID":"MaTxLaNR","properties":{"unsorted":true,"formattedCitation":"(FMPV\\uc0\\u352{} 2012)","plainCitation":"(FMPVŠ 2012)","dontUpdate":true,"noteIndex":0},"citationItems":[{"id":1320,"uris":["http://zotero.org/users/7192877/items/BJJTAC8E"],"itemData":{"id":1320,"type":"report","title":"Strategija upravljanja vodama 2010-2022.","URL":"https://fmpvs.gov.ba/wp-content/uploads/2018/01/Strategija-upravljanja-vodama-FBiH-2010-2022.pdf","author":[{"family":"Federalno ministarstvo poljoprivrede, vodoprivrede i šumarstva","given":""}],"issued":{"date-parts":[["2012"]]}}}],"schema":"https://github.com/citation-style-language/schema/raw/master/csl-citation.json"} </w:instrText>
      </w:r>
      <w:r w:rsidRPr="007C4D65">
        <w:rPr>
          <w:rFonts w:asciiTheme="minorHAnsi" w:eastAsia="Calibri" w:hAnsiTheme="minorHAnsi" w:cstheme="minorHAnsi"/>
          <w:color w:val="000000"/>
          <w:sz w:val="22"/>
          <w:szCs w:val="22"/>
        </w:rPr>
        <w:fldChar w:fldCharType="separate"/>
      </w:r>
      <w:r w:rsidR="00EA6DC6" w:rsidRPr="007C4D65">
        <w:rPr>
          <w:rFonts w:asciiTheme="minorHAnsi" w:hAnsiTheme="minorHAnsi" w:cstheme="minorHAnsi"/>
          <w:sz w:val="22"/>
          <w:szCs w:val="22"/>
        </w:rPr>
        <w:t>Federation Ministry of Forest and Water Management, and agriculture</w:t>
      </w:r>
      <w:r w:rsidRPr="007C4D65">
        <w:rPr>
          <w:rFonts w:asciiTheme="minorHAnsi" w:hAnsiTheme="minorHAnsi" w:cstheme="minorHAnsi"/>
          <w:sz w:val="22"/>
          <w:szCs w:val="22"/>
        </w:rPr>
        <w:t>, 2012)</w:t>
      </w:r>
      <w:r w:rsidRPr="007C4D65">
        <w:rPr>
          <w:rFonts w:asciiTheme="minorHAnsi" w:eastAsia="Calibri" w:hAnsiTheme="minorHAnsi" w:cstheme="minorHAnsi"/>
          <w:color w:val="000000"/>
          <w:sz w:val="22"/>
          <w:szCs w:val="22"/>
        </w:rPr>
        <w:fldChar w:fldCharType="end"/>
      </w:r>
      <w:r w:rsidRPr="007C4D65">
        <w:rPr>
          <w:rFonts w:asciiTheme="minorHAnsi" w:hAnsiTheme="minorHAnsi" w:cstheme="minorHAnsi"/>
          <w:color w:val="000000"/>
          <w:sz w:val="22"/>
          <w:szCs w:val="22"/>
        </w:rPr>
        <w:t xml:space="preserve"> is recognized as the </w:t>
      </w:r>
      <w:r w:rsidR="00EA6DC6" w:rsidRPr="007C4D65">
        <w:rPr>
          <w:rFonts w:asciiTheme="minorHAnsi" w:hAnsiTheme="minorHAnsi" w:cstheme="minorHAnsi"/>
          <w:color w:val="000000"/>
          <w:sz w:val="22"/>
          <w:szCs w:val="22"/>
        </w:rPr>
        <w:t>underlying</w:t>
      </w:r>
      <w:r w:rsidRPr="007C4D65">
        <w:rPr>
          <w:rFonts w:asciiTheme="minorHAnsi" w:hAnsiTheme="minorHAnsi" w:cstheme="minorHAnsi"/>
          <w:color w:val="000000"/>
          <w:sz w:val="22"/>
          <w:szCs w:val="22"/>
        </w:rPr>
        <w:t xml:space="preserve"> planning document in the water management sector. It defines clear goals and policies in the field of water management, protection against detrimental effects of water, and sustainable use of water. The Water Management Strategy of the Federation of BiH defines the water management objectives, with accompanying measures, with the view of ensuring required quantities of water of appropriate quality for various purposes as one of important aspects of public interest - preservation and promotion of the population's general health.  It describes indicators of health safety of the population in the territory of the Federation of BiH - coverage by public water supply and drainage systems, quality of surface and ground waters, and flood effects, emphasizing at the same time the necessity </w:t>
      </w:r>
      <w:r w:rsidRPr="007C4D65">
        <w:rPr>
          <w:rFonts w:asciiTheme="minorHAnsi" w:hAnsiTheme="minorHAnsi" w:cstheme="minorHAnsi"/>
          <w:color w:val="000000"/>
          <w:sz w:val="22"/>
          <w:szCs w:val="22"/>
        </w:rPr>
        <w:lastRenderedPageBreak/>
        <w:t>to increase the level of investment and raise public awareness.  The Strategy also sets out</w:t>
      </w:r>
      <w:r w:rsidRPr="007C4D65">
        <w:rPr>
          <w:rFonts w:asciiTheme="minorHAnsi" w:hAnsiTheme="minorHAnsi" w:cstheme="minorHAnsi"/>
          <w:color w:val="000000"/>
          <w:sz w:val="22"/>
        </w:rPr>
        <w:t xml:space="preserve"> the international </w:t>
      </w:r>
      <w:r w:rsidR="0083630B" w:rsidRPr="007C4D65">
        <w:rPr>
          <w:rFonts w:asciiTheme="minorHAnsi" w:hAnsiTheme="minorHAnsi" w:cstheme="minorHAnsi"/>
          <w:color w:val="000000"/>
          <w:sz w:val="22"/>
        </w:rPr>
        <w:t>commitments</w:t>
      </w:r>
      <w:r w:rsidRPr="007C4D65">
        <w:rPr>
          <w:rFonts w:asciiTheme="minorHAnsi" w:hAnsiTheme="minorHAnsi" w:cstheme="minorHAnsi"/>
          <w:color w:val="000000"/>
          <w:sz w:val="22"/>
        </w:rPr>
        <w:t xml:space="preserve"> and agreements BiH signed along with relevant agreements and conventions.</w:t>
      </w:r>
    </w:p>
    <w:p w14:paraId="18452D5E" w14:textId="77777777" w:rsidR="00635C53" w:rsidRPr="007C4D65" w:rsidRDefault="00635C53" w:rsidP="00635C53">
      <w:pPr>
        <w:spacing w:before="240" w:after="240" w:line="276" w:lineRule="auto"/>
        <w:rPr>
          <w:rFonts w:asciiTheme="minorHAnsi" w:eastAsia="Calibri" w:hAnsiTheme="minorHAnsi" w:cstheme="minorHAnsi"/>
          <w:i/>
          <w:color w:val="000000"/>
          <w:sz w:val="22"/>
          <w:szCs w:val="22"/>
          <w:u w:val="single"/>
        </w:rPr>
      </w:pPr>
      <w:r w:rsidRPr="007C4D65">
        <w:rPr>
          <w:rFonts w:asciiTheme="minorHAnsi" w:hAnsiTheme="minorHAnsi" w:cstheme="minorHAnsi"/>
          <w:i/>
          <w:color w:val="000000"/>
          <w:sz w:val="22"/>
          <w:szCs w:val="22"/>
          <w:u w:val="single"/>
        </w:rPr>
        <w:t>Green Agenda for the Western Balkans</w:t>
      </w:r>
    </w:p>
    <w:p w14:paraId="30EA37D5" w14:textId="77777777" w:rsidR="00635C53" w:rsidRPr="007C4D65" w:rsidRDefault="00635C53" w:rsidP="00635C53">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szCs w:val="22"/>
        </w:rPr>
        <w:t xml:space="preserve">The Green Agenda for the Western Balkans  </w:t>
      </w:r>
      <w:r w:rsidRPr="007C4D65">
        <w:rPr>
          <w:rFonts w:asciiTheme="minorHAnsi" w:eastAsia="Calibri" w:hAnsiTheme="minorHAnsi" w:cstheme="minorHAnsi"/>
          <w:sz w:val="22"/>
          <w:szCs w:val="22"/>
        </w:rPr>
        <w:fldChar w:fldCharType="begin"/>
      </w:r>
      <w:r w:rsidRPr="007C4D65">
        <w:rPr>
          <w:rFonts w:asciiTheme="minorHAnsi" w:eastAsia="Calibri" w:hAnsiTheme="minorHAnsi" w:cstheme="minorHAnsi"/>
          <w:sz w:val="22"/>
          <w:szCs w:val="22"/>
        </w:rPr>
        <w:instrText xml:space="preserve"> ADDIN ZOTERO_ITEM CSL_CITATION {"citationID":"jqHINByx","properties":{"formattedCitation":"(EU 2020)","plainCitation":"(EU 2020)","noteIndex":0},"citationItems":[{"id":1559,"uris":["http://zotero.org/groups/2653216/items/LAVBVZGP"],"itemData":{"id":1559,"type":"document","title":"Sofia Declaration on the Green Agenda for the Western Balkans","URL":"https://www.rcc.int/download/docs/Leaders%20Declaration%20on%20the%20Green%20Agenda%20for%20the%20WB.pdf/196c92cf0534f629d43c460079809b20.pdf","author":[{"family":"EU","given":""}],"issued":{"date-parts":[["2020"]]}}}],"schema":"https://github.com/citation-style-language/schema/raw/master/csl-citation.json"} </w:instrText>
      </w:r>
      <w:r w:rsidRPr="007C4D65">
        <w:rPr>
          <w:rFonts w:asciiTheme="minorHAnsi" w:eastAsia="Calibri" w:hAnsiTheme="minorHAnsi" w:cstheme="minorHAnsi"/>
          <w:sz w:val="22"/>
          <w:szCs w:val="22"/>
        </w:rPr>
        <w:fldChar w:fldCharType="separate"/>
      </w:r>
      <w:r w:rsidRPr="007C4D65">
        <w:rPr>
          <w:rFonts w:asciiTheme="minorHAnsi" w:eastAsia="Calibri" w:hAnsiTheme="minorHAnsi" w:cstheme="minorHAnsi"/>
          <w:sz w:val="22"/>
          <w:szCs w:val="22"/>
        </w:rPr>
        <w:t>(EU, 2020)</w:t>
      </w:r>
      <w:r w:rsidRPr="007C4D65">
        <w:rPr>
          <w:rFonts w:asciiTheme="minorHAnsi" w:eastAsia="Calibri" w:hAnsiTheme="minorHAnsi" w:cstheme="minorHAnsi"/>
          <w:sz w:val="22"/>
          <w:szCs w:val="22"/>
        </w:rPr>
        <w:fldChar w:fldCharType="end"/>
      </w:r>
      <w:r w:rsidRPr="007C4D65">
        <w:rPr>
          <w:rFonts w:asciiTheme="minorHAnsi" w:hAnsiTheme="minorHAnsi" w:cstheme="minorHAnsi"/>
          <w:sz w:val="22"/>
          <w:szCs w:val="22"/>
        </w:rPr>
        <w:t xml:space="preserve"> requires the country to adopt a system of sustainable economy in accordance with the EU Green Deal. To this end, it sets out concrete recommendations for five development areas in which the EU will continue providing support to the countries in the region.</w:t>
      </w:r>
    </w:p>
    <w:p w14:paraId="246CA133" w14:textId="71D7DA58" w:rsidR="00635C53" w:rsidRPr="007C4D65" w:rsidRDefault="00635C53" w:rsidP="00635C53">
      <w:pPr>
        <w:numPr>
          <w:ilvl w:val="0"/>
          <w:numId w:val="16"/>
        </w:numPr>
        <w:spacing w:before="240" w:after="24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 xml:space="preserve">climate, energy and mobility - achieving climate neutrality by 2050 as the top </w:t>
      </w:r>
      <w:proofErr w:type="gramStart"/>
      <w:r w:rsidRPr="007C4D65">
        <w:rPr>
          <w:rFonts w:asciiTheme="minorHAnsi" w:hAnsiTheme="minorHAnsi" w:cstheme="minorHAnsi"/>
          <w:sz w:val="22"/>
          <w:szCs w:val="22"/>
        </w:rPr>
        <w:t>priority;</w:t>
      </w:r>
      <w:proofErr w:type="gramEnd"/>
    </w:p>
    <w:p w14:paraId="7670EB8E" w14:textId="77777777" w:rsidR="00635C53" w:rsidRPr="007C4D65" w:rsidRDefault="00635C53" w:rsidP="00635C53">
      <w:pPr>
        <w:numPr>
          <w:ilvl w:val="0"/>
          <w:numId w:val="16"/>
        </w:numPr>
        <w:spacing w:before="240" w:after="24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 xml:space="preserve">circular economy - introducing circular economy concepts in all production chains and connecting the countries of the region with the EU industrial </w:t>
      </w:r>
      <w:proofErr w:type="gramStart"/>
      <w:r w:rsidRPr="007C4D65">
        <w:rPr>
          <w:rFonts w:asciiTheme="minorHAnsi" w:hAnsiTheme="minorHAnsi" w:cstheme="minorHAnsi"/>
          <w:sz w:val="22"/>
          <w:szCs w:val="22"/>
        </w:rPr>
        <w:t>chains;</w:t>
      </w:r>
      <w:proofErr w:type="gramEnd"/>
    </w:p>
    <w:p w14:paraId="6509921B" w14:textId="77777777" w:rsidR="00635C53" w:rsidRPr="007C4D65" w:rsidRDefault="00635C53" w:rsidP="00635C53">
      <w:pPr>
        <w:numPr>
          <w:ilvl w:val="0"/>
          <w:numId w:val="16"/>
        </w:numPr>
        <w:spacing w:before="240" w:after="24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 xml:space="preserve">depolluting air, water and soil - alignment with EU standards related to air quality, water and </w:t>
      </w:r>
      <w:proofErr w:type="gramStart"/>
      <w:r w:rsidRPr="007C4D65">
        <w:rPr>
          <w:rFonts w:asciiTheme="minorHAnsi" w:hAnsiTheme="minorHAnsi" w:cstheme="minorHAnsi"/>
          <w:sz w:val="22"/>
          <w:szCs w:val="22"/>
        </w:rPr>
        <w:t>waste water</w:t>
      </w:r>
      <w:proofErr w:type="gramEnd"/>
      <w:r w:rsidRPr="007C4D65">
        <w:rPr>
          <w:rFonts w:asciiTheme="minorHAnsi" w:hAnsiTheme="minorHAnsi" w:cstheme="minorHAnsi"/>
          <w:sz w:val="22"/>
          <w:szCs w:val="22"/>
        </w:rPr>
        <w:t xml:space="preserve"> management, modernisation of monitoring, quality management, as well as promotion of water reuse in agriculture;</w:t>
      </w:r>
    </w:p>
    <w:p w14:paraId="3B3708D3" w14:textId="00E055CD" w:rsidR="00635C53" w:rsidRPr="007C4D65" w:rsidRDefault="00635C53" w:rsidP="00635C53">
      <w:pPr>
        <w:numPr>
          <w:ilvl w:val="0"/>
          <w:numId w:val="16"/>
        </w:numPr>
        <w:spacing w:before="240" w:after="24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 xml:space="preserve">sustainable agriculture and food production - through development of sustainable systems, reduced waste, improved compliance with the EU food safety and animal welfare standards, and promotion environmentally friendly and organic </w:t>
      </w:r>
      <w:proofErr w:type="gramStart"/>
      <w:r w:rsidRPr="007C4D65">
        <w:rPr>
          <w:rFonts w:asciiTheme="minorHAnsi" w:hAnsiTheme="minorHAnsi" w:cstheme="minorHAnsi"/>
          <w:sz w:val="22"/>
          <w:szCs w:val="22"/>
        </w:rPr>
        <w:t>farming;</w:t>
      </w:r>
      <w:proofErr w:type="gramEnd"/>
    </w:p>
    <w:p w14:paraId="495A5986" w14:textId="39485D22" w:rsidR="00635C53" w:rsidRPr="007C4D65" w:rsidRDefault="00635C53" w:rsidP="00635C53">
      <w:pPr>
        <w:numPr>
          <w:ilvl w:val="0"/>
          <w:numId w:val="16"/>
        </w:numPr>
        <w:spacing w:line="276" w:lineRule="auto"/>
        <w:ind w:left="714" w:hanging="357"/>
        <w:contextualSpacing/>
        <w:jc w:val="both"/>
        <w:rPr>
          <w:rFonts w:asciiTheme="minorHAnsi" w:eastAsia="Calibri" w:hAnsiTheme="minorHAnsi" w:cstheme="minorHAnsi"/>
          <w:sz w:val="22"/>
          <w:szCs w:val="22"/>
        </w:rPr>
      </w:pPr>
      <w:r w:rsidRPr="007C4D65">
        <w:rPr>
          <w:rFonts w:asciiTheme="minorHAnsi" w:hAnsiTheme="minorHAnsi" w:cstheme="minorHAnsi"/>
          <w:sz w:val="22"/>
          <w:szCs w:val="22"/>
        </w:rPr>
        <w:t>biodiversity - protecting, developing and implementing the Western Balkans 2030 Biodiversity Action Plan and a Forest Landscape Restoration Plan.</w:t>
      </w:r>
    </w:p>
    <w:p w14:paraId="2A293F79" w14:textId="77777777" w:rsidR="00635C53" w:rsidRPr="007C4D65" w:rsidRDefault="00635C53" w:rsidP="00635C53">
      <w:pPr>
        <w:spacing w:line="276" w:lineRule="auto"/>
        <w:contextualSpacing/>
        <w:jc w:val="both"/>
        <w:rPr>
          <w:rFonts w:asciiTheme="minorHAnsi" w:eastAsia="Calibri" w:hAnsiTheme="minorHAnsi" w:cstheme="minorHAnsi"/>
          <w:sz w:val="22"/>
          <w:szCs w:val="22"/>
          <w:lang w:val="hr-HR"/>
        </w:rPr>
      </w:pPr>
    </w:p>
    <w:p w14:paraId="0B74DDFA" w14:textId="77777777" w:rsidR="00635C53" w:rsidRPr="007C4D65" w:rsidRDefault="00635C53" w:rsidP="00635C53">
      <w:pPr>
        <w:spacing w:line="276" w:lineRule="auto"/>
        <w:contextualSpacing/>
        <w:rPr>
          <w:rFonts w:asciiTheme="minorHAnsi" w:eastAsia="Calibri" w:hAnsiTheme="minorHAnsi" w:cstheme="minorHAnsi"/>
          <w:i/>
          <w:iCs/>
          <w:color w:val="000000"/>
          <w:sz w:val="22"/>
          <w:szCs w:val="22"/>
          <w:u w:val="single"/>
        </w:rPr>
      </w:pPr>
      <w:r w:rsidRPr="007C4D65">
        <w:rPr>
          <w:rFonts w:asciiTheme="minorHAnsi" w:hAnsiTheme="minorHAnsi" w:cstheme="minorHAnsi"/>
          <w:i/>
          <w:color w:val="000000"/>
          <w:sz w:val="22"/>
          <w:u w:val="single"/>
        </w:rPr>
        <w:t>The Common Regional Market Action Plan for the Western Balkans 2021–2024</w:t>
      </w:r>
    </w:p>
    <w:p w14:paraId="1D746B35" w14:textId="77777777" w:rsidR="00635C53" w:rsidRPr="007C4D65" w:rsidRDefault="00635C53" w:rsidP="00635C53">
      <w:pPr>
        <w:spacing w:before="240" w:after="240" w:line="276" w:lineRule="auto"/>
        <w:contextualSpacing/>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The Common Regional Market Action Plan for the Western Balkans (CRM AP) 2021–2024 which addresses regional cooperation on environmental issues, more specifically circular economy. The objectives of the regional cooperation are:</w:t>
      </w:r>
    </w:p>
    <w:p w14:paraId="16418A40" w14:textId="77777777" w:rsidR="00635C53" w:rsidRPr="007C4D65" w:rsidRDefault="00635C53">
      <w:pPr>
        <w:pStyle w:val="ListParagraph"/>
        <w:numPr>
          <w:ilvl w:val="0"/>
          <w:numId w:val="183"/>
        </w:numPr>
        <w:spacing w:line="276" w:lineRule="auto"/>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 xml:space="preserve">Common agreement on green, circular economy value chains on the Western </w:t>
      </w:r>
      <w:proofErr w:type="gramStart"/>
      <w:r w:rsidRPr="007C4D65">
        <w:rPr>
          <w:rFonts w:asciiTheme="minorHAnsi" w:hAnsiTheme="minorHAnsi" w:cstheme="minorHAnsi"/>
          <w:color w:val="000000"/>
          <w:sz w:val="22"/>
        </w:rPr>
        <w:t>Balkans;</w:t>
      </w:r>
      <w:proofErr w:type="gramEnd"/>
    </w:p>
    <w:p w14:paraId="6B61835A" w14:textId="77777777" w:rsidR="00635C53" w:rsidRPr="007C4D65" w:rsidRDefault="00635C53">
      <w:pPr>
        <w:pStyle w:val="ListParagraph"/>
        <w:numPr>
          <w:ilvl w:val="0"/>
          <w:numId w:val="183"/>
        </w:numPr>
        <w:spacing w:line="276" w:lineRule="auto"/>
        <w:jc w:val="both"/>
        <w:rPr>
          <w:rFonts w:asciiTheme="minorHAnsi" w:eastAsia="Calibri" w:hAnsiTheme="minorHAnsi" w:cstheme="minorHAnsi"/>
          <w:color w:val="000000"/>
          <w:sz w:val="22"/>
          <w:szCs w:val="22"/>
        </w:rPr>
      </w:pPr>
      <w:r w:rsidRPr="007C4D65">
        <w:rPr>
          <w:rFonts w:asciiTheme="minorHAnsi" w:hAnsiTheme="minorHAnsi" w:cstheme="minorHAnsi"/>
          <w:color w:val="000000"/>
          <w:sz w:val="22"/>
        </w:rPr>
        <w:t>Regional plan of green and circular economy/green and circular economy mapping in the region.</w:t>
      </w:r>
    </w:p>
    <w:p w14:paraId="16F90630" w14:textId="77777777" w:rsidR="00635C53" w:rsidRPr="007C4D65" w:rsidRDefault="00635C53" w:rsidP="00635C53">
      <w:pPr>
        <w:spacing w:before="240" w:after="240" w:line="276" w:lineRule="auto"/>
        <w:rPr>
          <w:rFonts w:asciiTheme="minorHAnsi" w:eastAsia="Calibri" w:hAnsiTheme="minorHAnsi" w:cstheme="minorHAnsi"/>
          <w:i/>
          <w:color w:val="000000"/>
          <w:sz w:val="22"/>
          <w:szCs w:val="22"/>
          <w:u w:val="single"/>
        </w:rPr>
      </w:pPr>
      <w:r w:rsidRPr="007C4D65">
        <w:rPr>
          <w:rFonts w:asciiTheme="minorHAnsi" w:hAnsiTheme="minorHAnsi" w:cstheme="minorHAnsi"/>
          <w:i/>
          <w:color w:val="000000"/>
          <w:sz w:val="22"/>
          <w:u w:val="single"/>
        </w:rPr>
        <w:t>Environmental Approximation Strategy for BiH (EAS BiH)</w:t>
      </w:r>
    </w:p>
    <w:p w14:paraId="6A6F27E4" w14:textId="641EC283" w:rsidR="00635C53" w:rsidRPr="007C4D65" w:rsidRDefault="00635C53" w:rsidP="00635C53">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The countries aspiring to become the EU Member States should adopt realistic and long-term national strategies for gradual alignment of their respective legislation with the EU acquis. One of the key goals is to meet the SAA objectives, which includes approximation of environmental legislation in BiH. The approach to the environmental approximation included the development of four documents (for each level of government in BiH).</w:t>
      </w:r>
    </w:p>
    <w:p w14:paraId="455A4878" w14:textId="0B190C5C" w:rsidR="00635C53" w:rsidRPr="007C4D65" w:rsidRDefault="00635C53" w:rsidP="00635C53">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rPr>
        <w:t xml:space="preserve">EAS BiH </w:t>
      </w:r>
      <w:r w:rsidRPr="007C4D65">
        <w:rPr>
          <w:rFonts w:asciiTheme="minorHAnsi" w:eastAsia="Calibri" w:hAnsiTheme="minorHAnsi" w:cstheme="minorHAnsi"/>
          <w:sz w:val="22"/>
        </w:rPr>
        <w:fldChar w:fldCharType="begin"/>
      </w:r>
      <w:r w:rsidRPr="007C4D65">
        <w:rPr>
          <w:rFonts w:asciiTheme="minorHAnsi" w:eastAsia="Calibri" w:hAnsiTheme="minorHAnsi" w:cstheme="minorHAnsi"/>
          <w:sz w:val="22"/>
        </w:rPr>
        <w:instrText xml:space="preserve"> ADDIN ZOTERO_ITEM CSL_CITATION {"citationID":"e9JAafr6","properties":{"formattedCitation":"(MVTEO BiH 2017)","plainCitation":"(MVTEO BiH 2017)","noteIndex":0},"citationItems":[{"id":1329,"uris":["http://zotero.org/users/7192877/items/TBUNBRJZ"],"itemData":{"id":1329,"type":"report","title":"Strategija usklađivanja propisa pravnoj stecevini EU u oblasti zaštite okoliša/životne sredine Bosne i Hercegovine (EAS BiH)","URL":"http://www.mvteo.gov.ba/data/Home/%D0%94%D0%BE%D0%BA%D1%83%D0%BC%D0%B5%D0%BD%D1%82%D0%B8/%D0%92%D0%BE%D0%B4%D0%BD%D0%B8%20%D1%80%D0%B5%D1%81%D1%83%D1%80%D1%81%D0%B8/STRATEGIJA_USKLA%C4%90IVANJA_PROPISA_PRAVNOJ_STE%C4%8CEVINI_EU_U_OBLASTI_ZA%C5%A0TITE_%C5%BDIVOTNE_SREDINE_BOSNE_I_HERCEGOVINE.pdf","author":[{"literal":"MVTEO BiH"}],"issued":{"date-parts":[["2017"]]}}}],"schema":"https://github.com/citation-style-language/schema/raw/master/csl-citation.json"} </w:instrText>
      </w:r>
      <w:r w:rsidRPr="007C4D65">
        <w:rPr>
          <w:rFonts w:asciiTheme="minorHAnsi" w:eastAsia="Calibri" w:hAnsiTheme="minorHAnsi" w:cstheme="minorHAnsi"/>
          <w:sz w:val="22"/>
        </w:rPr>
        <w:fldChar w:fldCharType="separate"/>
      </w:r>
      <w:r w:rsidRPr="007C4D65">
        <w:rPr>
          <w:rFonts w:asciiTheme="minorHAnsi" w:eastAsia="Calibri" w:hAnsiTheme="minorHAnsi" w:cstheme="minorHAnsi"/>
          <w:sz w:val="22"/>
        </w:rPr>
        <w:t>(</w:t>
      </w:r>
      <w:r w:rsidR="00C33249" w:rsidRPr="007C4D65">
        <w:rPr>
          <w:rFonts w:asciiTheme="minorHAnsi" w:eastAsia="Calibri" w:hAnsiTheme="minorHAnsi" w:cstheme="minorHAnsi"/>
          <w:sz w:val="22"/>
        </w:rPr>
        <w:t>MOFTER BiH</w:t>
      </w:r>
      <w:r w:rsidRPr="007C4D65">
        <w:rPr>
          <w:rFonts w:asciiTheme="minorHAnsi" w:eastAsia="Calibri" w:hAnsiTheme="minorHAnsi" w:cstheme="minorHAnsi"/>
          <w:sz w:val="22"/>
        </w:rPr>
        <w:t>, 2017)</w:t>
      </w:r>
      <w:r w:rsidRPr="007C4D65">
        <w:rPr>
          <w:rFonts w:asciiTheme="minorHAnsi" w:eastAsia="Calibri" w:hAnsiTheme="minorHAnsi" w:cstheme="minorHAnsi"/>
          <w:sz w:val="22"/>
        </w:rPr>
        <w:fldChar w:fldCharType="end"/>
      </w:r>
      <w:r w:rsidRPr="007C4D65">
        <w:rPr>
          <w:rFonts w:asciiTheme="minorHAnsi" w:hAnsiTheme="minorHAnsi" w:cstheme="minorHAnsi"/>
          <w:sz w:val="22"/>
        </w:rPr>
        <w:t xml:space="preserve"> covers eight sub-sectors of the EU environmental acquis, including:</w:t>
      </w:r>
    </w:p>
    <w:p w14:paraId="339AF9FD" w14:textId="77777777" w:rsidR="00635C53" w:rsidRPr="007C4D65" w:rsidRDefault="00635C53" w:rsidP="00635C53">
      <w:pPr>
        <w:numPr>
          <w:ilvl w:val="0"/>
          <w:numId w:val="17"/>
        </w:numPr>
        <w:spacing w:before="240" w:after="24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rPr>
        <w:t xml:space="preserve">horizontal (common) </w:t>
      </w:r>
      <w:proofErr w:type="gramStart"/>
      <w:r w:rsidRPr="007C4D65">
        <w:rPr>
          <w:rFonts w:asciiTheme="minorHAnsi" w:hAnsiTheme="minorHAnsi" w:cstheme="minorHAnsi"/>
          <w:sz w:val="22"/>
        </w:rPr>
        <w:t>issues;</w:t>
      </w:r>
      <w:proofErr w:type="gramEnd"/>
    </w:p>
    <w:p w14:paraId="5B7522F2" w14:textId="77777777" w:rsidR="00635C53" w:rsidRPr="007C4D65" w:rsidRDefault="00635C53" w:rsidP="00635C53">
      <w:pPr>
        <w:numPr>
          <w:ilvl w:val="0"/>
          <w:numId w:val="17"/>
        </w:numPr>
        <w:spacing w:before="240" w:after="24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rPr>
        <w:t xml:space="preserve">water </w:t>
      </w:r>
      <w:proofErr w:type="gramStart"/>
      <w:r w:rsidRPr="007C4D65">
        <w:rPr>
          <w:rFonts w:asciiTheme="minorHAnsi" w:hAnsiTheme="minorHAnsi" w:cstheme="minorHAnsi"/>
          <w:sz w:val="22"/>
        </w:rPr>
        <w:t>management;</w:t>
      </w:r>
      <w:proofErr w:type="gramEnd"/>
    </w:p>
    <w:p w14:paraId="37CA750E" w14:textId="77777777" w:rsidR="00635C53" w:rsidRPr="007C4D65" w:rsidRDefault="00635C53" w:rsidP="00635C53">
      <w:pPr>
        <w:numPr>
          <w:ilvl w:val="0"/>
          <w:numId w:val="17"/>
        </w:numPr>
        <w:spacing w:before="240" w:after="24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rPr>
        <w:t xml:space="preserve">waste </w:t>
      </w:r>
      <w:proofErr w:type="gramStart"/>
      <w:r w:rsidRPr="007C4D65">
        <w:rPr>
          <w:rFonts w:asciiTheme="minorHAnsi" w:hAnsiTheme="minorHAnsi" w:cstheme="minorHAnsi"/>
          <w:sz w:val="22"/>
        </w:rPr>
        <w:t>management;</w:t>
      </w:r>
      <w:proofErr w:type="gramEnd"/>
    </w:p>
    <w:p w14:paraId="6CF97D70" w14:textId="77777777" w:rsidR="00635C53" w:rsidRPr="007C4D65" w:rsidRDefault="00635C53" w:rsidP="00635C53">
      <w:pPr>
        <w:numPr>
          <w:ilvl w:val="0"/>
          <w:numId w:val="17"/>
        </w:numPr>
        <w:spacing w:before="240" w:after="24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rPr>
        <w:t xml:space="preserve">air quality and climate </w:t>
      </w:r>
      <w:proofErr w:type="gramStart"/>
      <w:r w:rsidRPr="007C4D65">
        <w:rPr>
          <w:rFonts w:asciiTheme="minorHAnsi" w:hAnsiTheme="minorHAnsi" w:cstheme="minorHAnsi"/>
          <w:sz w:val="22"/>
        </w:rPr>
        <w:t>change;</w:t>
      </w:r>
      <w:proofErr w:type="gramEnd"/>
      <w:r w:rsidRPr="007C4D65">
        <w:rPr>
          <w:rFonts w:asciiTheme="minorHAnsi" w:hAnsiTheme="minorHAnsi" w:cstheme="minorHAnsi"/>
          <w:sz w:val="22"/>
        </w:rPr>
        <w:t xml:space="preserve"> </w:t>
      </w:r>
    </w:p>
    <w:p w14:paraId="3A4E2C59" w14:textId="77777777" w:rsidR="00635C53" w:rsidRPr="007C4D65" w:rsidRDefault="00635C53" w:rsidP="00635C53">
      <w:pPr>
        <w:numPr>
          <w:ilvl w:val="0"/>
          <w:numId w:val="17"/>
        </w:numPr>
        <w:spacing w:before="240" w:after="24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rPr>
        <w:lastRenderedPageBreak/>
        <w:t xml:space="preserve">industrial </w:t>
      </w:r>
      <w:proofErr w:type="gramStart"/>
      <w:r w:rsidRPr="007C4D65">
        <w:rPr>
          <w:rFonts w:asciiTheme="minorHAnsi" w:hAnsiTheme="minorHAnsi" w:cstheme="minorHAnsi"/>
          <w:sz w:val="22"/>
        </w:rPr>
        <w:t>pollution;</w:t>
      </w:r>
      <w:proofErr w:type="gramEnd"/>
    </w:p>
    <w:p w14:paraId="64081325" w14:textId="77777777" w:rsidR="00635C53" w:rsidRPr="007C4D65" w:rsidRDefault="00635C53" w:rsidP="00635C53">
      <w:pPr>
        <w:numPr>
          <w:ilvl w:val="0"/>
          <w:numId w:val="17"/>
        </w:numPr>
        <w:spacing w:before="240" w:after="240" w:line="276" w:lineRule="auto"/>
        <w:contextualSpacing/>
        <w:jc w:val="both"/>
        <w:rPr>
          <w:rFonts w:asciiTheme="minorHAnsi" w:eastAsia="Calibri" w:hAnsiTheme="minorHAnsi" w:cstheme="minorHAnsi"/>
          <w:sz w:val="22"/>
          <w:szCs w:val="22"/>
        </w:rPr>
      </w:pPr>
      <w:proofErr w:type="gramStart"/>
      <w:r w:rsidRPr="007C4D65">
        <w:rPr>
          <w:rFonts w:asciiTheme="minorHAnsi" w:hAnsiTheme="minorHAnsi" w:cstheme="minorHAnsi"/>
          <w:sz w:val="22"/>
        </w:rPr>
        <w:t>chemicals;</w:t>
      </w:r>
      <w:proofErr w:type="gramEnd"/>
    </w:p>
    <w:p w14:paraId="24D350DA" w14:textId="77777777" w:rsidR="00635C53" w:rsidRPr="007C4D65" w:rsidRDefault="00635C53" w:rsidP="00635C53">
      <w:pPr>
        <w:numPr>
          <w:ilvl w:val="0"/>
          <w:numId w:val="17"/>
        </w:numPr>
        <w:spacing w:before="240" w:after="240" w:line="276" w:lineRule="auto"/>
        <w:contextualSpacing/>
        <w:jc w:val="both"/>
        <w:rPr>
          <w:rFonts w:asciiTheme="minorHAnsi" w:eastAsia="Calibri" w:hAnsiTheme="minorHAnsi" w:cstheme="minorHAnsi"/>
          <w:sz w:val="22"/>
          <w:szCs w:val="22"/>
        </w:rPr>
      </w:pPr>
      <w:r w:rsidRPr="007C4D65">
        <w:rPr>
          <w:rFonts w:asciiTheme="minorHAnsi" w:hAnsiTheme="minorHAnsi" w:cstheme="minorHAnsi"/>
          <w:sz w:val="22"/>
        </w:rPr>
        <w:t xml:space="preserve">nature </w:t>
      </w:r>
      <w:proofErr w:type="gramStart"/>
      <w:r w:rsidRPr="007C4D65">
        <w:rPr>
          <w:rFonts w:asciiTheme="minorHAnsi" w:hAnsiTheme="minorHAnsi" w:cstheme="minorHAnsi"/>
          <w:sz w:val="22"/>
        </w:rPr>
        <w:t>conservation;</w:t>
      </w:r>
      <w:proofErr w:type="gramEnd"/>
    </w:p>
    <w:p w14:paraId="59D18FF0" w14:textId="5AFBE70F" w:rsidR="00635C53" w:rsidRPr="007C4D65" w:rsidRDefault="00635C53" w:rsidP="00635C53">
      <w:pPr>
        <w:numPr>
          <w:ilvl w:val="0"/>
          <w:numId w:val="17"/>
        </w:numPr>
        <w:spacing w:line="276" w:lineRule="auto"/>
        <w:ind w:left="765" w:hanging="357"/>
        <w:contextualSpacing/>
        <w:jc w:val="both"/>
        <w:rPr>
          <w:rFonts w:asciiTheme="minorHAnsi" w:eastAsia="Calibri" w:hAnsiTheme="minorHAnsi" w:cstheme="minorHAnsi"/>
          <w:sz w:val="22"/>
          <w:szCs w:val="22"/>
        </w:rPr>
      </w:pPr>
      <w:r w:rsidRPr="007C4D65">
        <w:rPr>
          <w:rFonts w:asciiTheme="minorHAnsi" w:hAnsiTheme="minorHAnsi" w:cstheme="minorHAnsi"/>
          <w:sz w:val="22"/>
        </w:rPr>
        <w:t>ambient noise.</w:t>
      </w:r>
    </w:p>
    <w:p w14:paraId="578BD4BC" w14:textId="77777777" w:rsidR="00635C53" w:rsidRPr="007C4D65" w:rsidRDefault="00635C53" w:rsidP="00635C53">
      <w:pPr>
        <w:spacing w:before="240" w:after="240" w:line="276" w:lineRule="auto"/>
        <w:rPr>
          <w:rFonts w:asciiTheme="minorHAnsi" w:eastAsia="Calibri" w:hAnsiTheme="minorHAnsi" w:cstheme="minorHAnsi"/>
          <w:i/>
          <w:color w:val="000000"/>
          <w:sz w:val="22"/>
          <w:szCs w:val="22"/>
          <w:u w:val="single"/>
        </w:rPr>
      </w:pPr>
      <w:r w:rsidRPr="007C4D65">
        <w:rPr>
          <w:rFonts w:asciiTheme="minorHAnsi" w:hAnsiTheme="minorHAnsi" w:cstheme="minorHAnsi"/>
          <w:i/>
          <w:color w:val="000000"/>
          <w:sz w:val="22"/>
          <w:u w:val="single"/>
        </w:rPr>
        <w:t>Framework for the Sustainable Development Goals Implementation in BiH (Agenda 2030)</w:t>
      </w:r>
    </w:p>
    <w:p w14:paraId="2A6D1560" w14:textId="0CDC08CA" w:rsidR="00635C53" w:rsidRPr="007C4D65" w:rsidRDefault="00635C53" w:rsidP="00635C53">
      <w:pPr>
        <w:spacing w:after="16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szCs w:val="22"/>
        </w:rPr>
        <w:t xml:space="preserve">In 2015, BiH committed to implementing the Agenda 2030 </w:t>
      </w:r>
      <w:r w:rsidRPr="007C4D65">
        <w:rPr>
          <w:rFonts w:asciiTheme="minorHAnsi" w:eastAsiaTheme="minorHAnsi" w:hAnsiTheme="minorHAnsi" w:cstheme="minorHAnsi"/>
          <w:sz w:val="22"/>
          <w:szCs w:val="22"/>
        </w:rPr>
        <w:fldChar w:fldCharType="begin"/>
      </w:r>
      <w:r w:rsidRPr="007C4D65">
        <w:rPr>
          <w:rFonts w:asciiTheme="minorHAnsi" w:eastAsiaTheme="minorHAnsi" w:hAnsiTheme="minorHAnsi" w:cstheme="minorHAnsi"/>
          <w:sz w:val="22"/>
          <w:szCs w:val="22"/>
        </w:rPr>
        <w:instrText xml:space="preserve"> ADDIN ZOTERO_ITEM CSL_CITATION {"citationID":"hK1Ga5HF","properties":{"formattedCitation":"(Vlada \\uc0\\u352{}vedske and UNDP 2020)","plainCitation":"(Vlada Švedske and UNDP 2020)","noteIndex":0},"citationItems":[{"id":1554,"uris":["http://zotero.org/users/7192877/items/5L2ABTB4"],"itemData":{"id":1554,"type":"document","title":"Okvir za realizaciju ciljeva održivog razvoja u BiH","URL":"https://zamisli2030.ba/wp-content/uploads/2019/12/Okvir-za-realizaciju-Ciljeva-odrzivog-razvoja-u-BiH-latinica.pdf","author":[{"family":"Vlada Švedske","given":""},{"family":"UNDP","given":""}],"issued":{"date-parts":[["2020"]]}}}],"schema":"https://github.com/citation-style-language/schema/raw/master/csl-citation.json"} </w:instrText>
      </w:r>
      <w:r w:rsidRPr="007C4D65">
        <w:rPr>
          <w:rFonts w:asciiTheme="minorHAnsi" w:eastAsiaTheme="minorHAnsi" w:hAnsiTheme="minorHAnsi" w:cstheme="minorHAnsi"/>
          <w:sz w:val="22"/>
          <w:szCs w:val="22"/>
        </w:rPr>
        <w:fldChar w:fldCharType="separate"/>
      </w:r>
      <w:r w:rsidRPr="007C4D65">
        <w:rPr>
          <w:rFonts w:asciiTheme="minorHAnsi" w:hAnsiTheme="minorHAnsi" w:cstheme="minorHAnsi"/>
          <w:sz w:val="22"/>
          <w:szCs w:val="22"/>
        </w:rPr>
        <w:t>(</w:t>
      </w:r>
      <w:r w:rsidR="00AE25FA" w:rsidRPr="007C4D65">
        <w:rPr>
          <w:rFonts w:asciiTheme="minorHAnsi" w:hAnsiTheme="minorHAnsi" w:cstheme="minorHAnsi"/>
          <w:sz w:val="22"/>
          <w:szCs w:val="22"/>
        </w:rPr>
        <w:t>Government of Sweden and UNDP</w:t>
      </w:r>
      <w:r w:rsidRPr="007C4D65">
        <w:rPr>
          <w:rFonts w:asciiTheme="minorHAnsi" w:hAnsiTheme="minorHAnsi" w:cstheme="minorHAnsi"/>
          <w:sz w:val="22"/>
          <w:szCs w:val="22"/>
        </w:rPr>
        <w:t>, 2020)</w:t>
      </w:r>
      <w:r w:rsidRPr="007C4D65">
        <w:rPr>
          <w:rFonts w:asciiTheme="minorHAnsi" w:eastAsiaTheme="minorHAnsi" w:hAnsiTheme="minorHAnsi" w:cstheme="minorHAnsi"/>
          <w:sz w:val="22"/>
          <w:szCs w:val="22"/>
        </w:rPr>
        <w:fldChar w:fldCharType="end"/>
      </w:r>
      <w:r w:rsidRPr="007C4D65">
        <w:rPr>
          <w:rFonts w:asciiTheme="minorHAnsi" w:hAnsiTheme="minorHAnsi" w:cstheme="minorHAnsi"/>
          <w:sz w:val="22"/>
          <w:szCs w:val="22"/>
        </w:rPr>
        <w:t xml:space="preserve">, with the sustainable development goals which may be used as a </w:t>
      </w:r>
      <w:r w:rsidR="004B4EEC" w:rsidRPr="007C4D65">
        <w:rPr>
          <w:rFonts w:asciiTheme="minorHAnsi" w:hAnsiTheme="minorHAnsi" w:cstheme="minorHAnsi"/>
          <w:sz w:val="22"/>
          <w:szCs w:val="22"/>
        </w:rPr>
        <w:t>blueprint</w:t>
      </w:r>
      <w:r w:rsidRPr="007C4D65">
        <w:rPr>
          <w:rFonts w:asciiTheme="minorHAnsi" w:hAnsiTheme="minorHAnsi" w:cstheme="minorHAnsi"/>
          <w:sz w:val="22"/>
          <w:szCs w:val="22"/>
        </w:rPr>
        <w:t xml:space="preserve"> to create a better and sustainable future across the world. The </w:t>
      </w:r>
      <w:proofErr w:type="gramStart"/>
      <w:r w:rsidRPr="007C4D65">
        <w:rPr>
          <w:rFonts w:asciiTheme="minorHAnsi" w:hAnsiTheme="minorHAnsi" w:cstheme="minorHAnsi"/>
          <w:sz w:val="22"/>
          <w:szCs w:val="22"/>
        </w:rPr>
        <w:t>Agenda</w:t>
      </w:r>
      <w:proofErr w:type="gramEnd"/>
      <w:r w:rsidRPr="007C4D65">
        <w:rPr>
          <w:rFonts w:asciiTheme="minorHAnsi" w:hAnsiTheme="minorHAnsi" w:cstheme="minorHAnsi"/>
          <w:sz w:val="22"/>
          <w:szCs w:val="22"/>
        </w:rPr>
        <w:t xml:space="preserve"> 2030 comprises three Sustainable Development Goals which reflect the level of development and priorities of BiH:</w:t>
      </w:r>
    </w:p>
    <w:p w14:paraId="35D9DEFD" w14:textId="77777777" w:rsidR="00635C53" w:rsidRPr="007C4D65" w:rsidRDefault="00635C53">
      <w:pPr>
        <w:numPr>
          <w:ilvl w:val="0"/>
          <w:numId w:val="184"/>
        </w:numPr>
        <w:spacing w:after="160" w:line="276" w:lineRule="auto"/>
        <w:contextualSpacing/>
        <w:jc w:val="both"/>
        <w:rPr>
          <w:rFonts w:asciiTheme="minorHAnsi" w:eastAsiaTheme="minorHAnsi" w:hAnsiTheme="minorHAnsi" w:cstheme="minorHAnsi"/>
          <w:sz w:val="22"/>
          <w:szCs w:val="22"/>
        </w:rPr>
      </w:pPr>
      <w:r w:rsidRPr="007C4D65">
        <w:rPr>
          <w:rFonts w:asciiTheme="minorHAnsi" w:hAnsiTheme="minorHAnsi" w:cstheme="minorHAnsi"/>
          <w:sz w:val="22"/>
          <w:szCs w:val="22"/>
        </w:rPr>
        <w:t xml:space="preserve">Good governance and public sector </w:t>
      </w:r>
      <w:proofErr w:type="gramStart"/>
      <w:r w:rsidRPr="007C4D65">
        <w:rPr>
          <w:rFonts w:asciiTheme="minorHAnsi" w:hAnsiTheme="minorHAnsi" w:cstheme="minorHAnsi"/>
          <w:sz w:val="22"/>
          <w:szCs w:val="22"/>
        </w:rPr>
        <w:t>administration;</w:t>
      </w:r>
      <w:proofErr w:type="gramEnd"/>
    </w:p>
    <w:p w14:paraId="024C64F5" w14:textId="77777777" w:rsidR="00635C53" w:rsidRPr="007C4D65" w:rsidRDefault="00635C53">
      <w:pPr>
        <w:numPr>
          <w:ilvl w:val="0"/>
          <w:numId w:val="184"/>
        </w:numPr>
        <w:spacing w:after="160" w:line="276" w:lineRule="auto"/>
        <w:contextualSpacing/>
        <w:jc w:val="both"/>
        <w:rPr>
          <w:rFonts w:asciiTheme="minorHAnsi" w:eastAsiaTheme="minorHAnsi" w:hAnsiTheme="minorHAnsi" w:cstheme="minorHAnsi"/>
          <w:sz w:val="22"/>
          <w:szCs w:val="22"/>
        </w:rPr>
      </w:pPr>
      <w:r w:rsidRPr="007C4D65">
        <w:rPr>
          <w:rFonts w:asciiTheme="minorHAnsi" w:hAnsiTheme="minorHAnsi" w:cstheme="minorHAnsi"/>
          <w:sz w:val="22"/>
          <w:szCs w:val="22"/>
        </w:rPr>
        <w:t xml:space="preserve">Smart </w:t>
      </w:r>
      <w:proofErr w:type="gramStart"/>
      <w:r w:rsidRPr="007C4D65">
        <w:rPr>
          <w:rFonts w:asciiTheme="minorHAnsi" w:hAnsiTheme="minorHAnsi" w:cstheme="minorHAnsi"/>
          <w:sz w:val="22"/>
          <w:szCs w:val="22"/>
        </w:rPr>
        <w:t>growth;</w:t>
      </w:r>
      <w:proofErr w:type="gramEnd"/>
    </w:p>
    <w:p w14:paraId="47C9C4B3" w14:textId="77777777" w:rsidR="00635C53" w:rsidRPr="007C4D65" w:rsidRDefault="00635C53">
      <w:pPr>
        <w:numPr>
          <w:ilvl w:val="0"/>
          <w:numId w:val="184"/>
        </w:numPr>
        <w:spacing w:after="160" w:line="276" w:lineRule="auto"/>
        <w:contextualSpacing/>
        <w:jc w:val="both"/>
        <w:rPr>
          <w:rFonts w:asciiTheme="minorHAnsi" w:eastAsiaTheme="minorHAnsi" w:hAnsiTheme="minorHAnsi" w:cstheme="minorHAnsi"/>
          <w:sz w:val="22"/>
          <w:szCs w:val="22"/>
        </w:rPr>
      </w:pPr>
      <w:r w:rsidRPr="007C4D65">
        <w:rPr>
          <w:rFonts w:asciiTheme="minorHAnsi" w:hAnsiTheme="minorHAnsi" w:cstheme="minorHAnsi"/>
          <w:sz w:val="22"/>
          <w:szCs w:val="22"/>
        </w:rPr>
        <w:t xml:space="preserve">Society with equal opportunities for </w:t>
      </w:r>
      <w:proofErr w:type="gramStart"/>
      <w:r w:rsidRPr="007C4D65">
        <w:rPr>
          <w:rFonts w:asciiTheme="minorHAnsi" w:hAnsiTheme="minorHAnsi" w:cstheme="minorHAnsi"/>
          <w:sz w:val="22"/>
          <w:szCs w:val="22"/>
        </w:rPr>
        <w:t>all;</w:t>
      </w:r>
      <w:proofErr w:type="gramEnd"/>
    </w:p>
    <w:p w14:paraId="228BDBA0" w14:textId="77777777" w:rsidR="00635C53" w:rsidRPr="007C4D65" w:rsidRDefault="00635C53" w:rsidP="00635C53">
      <w:pPr>
        <w:spacing w:before="240" w:line="276" w:lineRule="auto"/>
        <w:jc w:val="both"/>
        <w:rPr>
          <w:rFonts w:asciiTheme="minorHAnsi" w:eastAsiaTheme="minorHAnsi" w:hAnsiTheme="minorHAnsi" w:cstheme="minorHAnsi"/>
          <w:sz w:val="22"/>
          <w:szCs w:val="22"/>
        </w:rPr>
      </w:pPr>
      <w:r w:rsidRPr="007C4D65">
        <w:rPr>
          <w:rFonts w:asciiTheme="minorHAnsi" w:hAnsiTheme="minorHAnsi" w:cstheme="minorHAnsi"/>
          <w:sz w:val="22"/>
          <w:szCs w:val="22"/>
        </w:rPr>
        <w:t>Each development policy comprises so-called “accelerators” with clearly defined priorities which should facilitate achievement of objectives of individual development policies. This document guides the strategic planning process at all the levels of government in BiH, including the Federation of BiH.</w:t>
      </w:r>
    </w:p>
    <w:p w14:paraId="6A755660" w14:textId="2560EBA4" w:rsidR="00635C53" w:rsidRPr="007C4D65" w:rsidRDefault="00635C53" w:rsidP="00635C53">
      <w:pPr>
        <w:spacing w:before="240" w:after="240" w:line="276" w:lineRule="auto"/>
        <w:rPr>
          <w:rFonts w:asciiTheme="minorHAnsi" w:eastAsia="Calibri" w:hAnsiTheme="minorHAnsi" w:cstheme="minorHAnsi"/>
          <w:i/>
          <w:color w:val="000000"/>
          <w:sz w:val="22"/>
          <w:szCs w:val="22"/>
          <w:u w:val="single"/>
        </w:rPr>
      </w:pPr>
      <w:r w:rsidRPr="007C4D65">
        <w:rPr>
          <w:rFonts w:asciiTheme="minorHAnsi" w:hAnsiTheme="minorHAnsi" w:cstheme="minorHAnsi"/>
          <w:i/>
          <w:color w:val="000000"/>
          <w:sz w:val="22"/>
          <w:u w:val="single"/>
        </w:rPr>
        <w:t>BiH Economic Reform Program</w:t>
      </w:r>
      <w:r w:rsidR="00227D11" w:rsidRPr="007C4D65">
        <w:rPr>
          <w:rFonts w:asciiTheme="minorHAnsi" w:hAnsiTheme="minorHAnsi" w:cstheme="minorHAnsi"/>
          <w:i/>
          <w:color w:val="000000"/>
          <w:sz w:val="22"/>
          <w:u w:val="single"/>
        </w:rPr>
        <w:t>me</w:t>
      </w:r>
      <w:r w:rsidRPr="007C4D65">
        <w:rPr>
          <w:rFonts w:asciiTheme="minorHAnsi" w:hAnsiTheme="minorHAnsi" w:cstheme="minorHAnsi"/>
          <w:i/>
          <w:color w:val="000000"/>
          <w:sz w:val="22"/>
          <w:u w:val="single"/>
        </w:rPr>
        <w:t xml:space="preserve"> (ERP BiH 2021‒2023)</w:t>
      </w:r>
    </w:p>
    <w:p w14:paraId="327F8521" w14:textId="3CE8B7B8" w:rsidR="00635C53" w:rsidRPr="007C4D65" w:rsidRDefault="00635C53" w:rsidP="00635C53">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szCs w:val="22"/>
        </w:rPr>
        <w:t xml:space="preserve">The Activity Plan for Development the Economic Reform Programme </w:t>
      </w:r>
      <w:r w:rsidRPr="007C4D65">
        <w:rPr>
          <w:rFonts w:asciiTheme="minorHAnsi" w:eastAsia="Calibri" w:hAnsiTheme="minorHAnsi" w:cstheme="minorHAnsi"/>
          <w:sz w:val="22"/>
          <w:szCs w:val="22"/>
        </w:rPr>
        <w:fldChar w:fldCharType="begin"/>
      </w:r>
      <w:r w:rsidRPr="007C4D65">
        <w:rPr>
          <w:rFonts w:asciiTheme="minorHAnsi" w:eastAsia="Calibri" w:hAnsiTheme="minorHAnsi" w:cstheme="minorHAnsi"/>
          <w:sz w:val="22"/>
          <w:szCs w:val="22"/>
        </w:rPr>
        <w:instrText xml:space="preserve"> ADDIN ZOTERO_ITEM CSL_CITATION {"citationID":"QKtsVr0o","properties":{"formattedCitation":"(Vije\\uc0\\u263{}e ministara BiH 2021)","plainCitation":"(Vijeće ministara BiH 2021)","noteIndex":0},"citationItems":[{"id":1561,"uris":["http://zotero.org/users/7192877/items/F8E57SKQ"],"itemData":{"id":1561,"type":"document","title":"Program ekonomskih reformi za 2021. - 2023. godine (PER BiH 2021-2023)","URL":"https://www.dep.gov.ba/naslovna/?id=2437","author":[{"family":"Vijeće ministara BiH","given":""}],"issued":{"date-parts":[["2021"]]}}}],"schema":"https://github.com/citation-style-language/schema/raw/master/csl-citation.json"} </w:instrText>
      </w:r>
      <w:r w:rsidRPr="007C4D65">
        <w:rPr>
          <w:rFonts w:asciiTheme="minorHAnsi" w:eastAsia="Calibri" w:hAnsiTheme="minorHAnsi" w:cstheme="minorHAnsi"/>
          <w:sz w:val="22"/>
          <w:szCs w:val="22"/>
        </w:rPr>
        <w:fldChar w:fldCharType="separate"/>
      </w:r>
      <w:r w:rsidRPr="007C4D65">
        <w:rPr>
          <w:rFonts w:asciiTheme="minorHAnsi" w:hAnsiTheme="minorHAnsi" w:cstheme="minorHAnsi"/>
          <w:sz w:val="22"/>
          <w:szCs w:val="22"/>
        </w:rPr>
        <w:t>(</w:t>
      </w:r>
      <w:r w:rsidR="007B665D" w:rsidRPr="007C4D65">
        <w:rPr>
          <w:rFonts w:asciiTheme="minorHAnsi" w:hAnsiTheme="minorHAnsi" w:cstheme="minorHAnsi"/>
          <w:sz w:val="22"/>
          <w:szCs w:val="22"/>
        </w:rPr>
        <w:t>Council of Ministers of BiH</w:t>
      </w:r>
      <w:r w:rsidRPr="007C4D65">
        <w:rPr>
          <w:rFonts w:asciiTheme="minorHAnsi" w:hAnsiTheme="minorHAnsi" w:cstheme="minorHAnsi"/>
          <w:sz w:val="22"/>
          <w:szCs w:val="22"/>
        </w:rPr>
        <w:t>, 2021)</w:t>
      </w:r>
      <w:r w:rsidRPr="007C4D65">
        <w:rPr>
          <w:rFonts w:asciiTheme="minorHAnsi" w:eastAsia="Calibri" w:hAnsiTheme="minorHAnsi" w:cstheme="minorHAnsi"/>
          <w:sz w:val="22"/>
          <w:szCs w:val="22"/>
        </w:rPr>
        <w:fldChar w:fldCharType="end"/>
      </w:r>
      <w:r w:rsidRPr="007C4D65">
        <w:rPr>
          <w:rFonts w:asciiTheme="minorHAnsi" w:hAnsiTheme="minorHAnsi" w:cstheme="minorHAnsi"/>
          <w:sz w:val="22"/>
          <w:szCs w:val="22"/>
        </w:rPr>
        <w:t xml:space="preserve"> is the main document governing the development the Economic </w:t>
      </w:r>
      <w:r w:rsidR="00674E70" w:rsidRPr="007C4D65">
        <w:rPr>
          <w:rFonts w:asciiTheme="minorHAnsi" w:hAnsiTheme="minorHAnsi" w:cstheme="minorHAnsi"/>
          <w:sz w:val="22"/>
          <w:szCs w:val="22"/>
        </w:rPr>
        <w:t>R</w:t>
      </w:r>
      <w:r w:rsidRPr="007C4D65">
        <w:rPr>
          <w:rFonts w:asciiTheme="minorHAnsi" w:hAnsiTheme="minorHAnsi" w:cstheme="minorHAnsi"/>
          <w:sz w:val="22"/>
          <w:szCs w:val="22"/>
        </w:rPr>
        <w:t xml:space="preserve">eform Programme and cooperation among different levels of government, the BiH Council of Ministers, the Government of the Federation BiH and the Government of the </w:t>
      </w:r>
      <w:proofErr w:type="spellStart"/>
      <w:r w:rsidRPr="007C4D65">
        <w:rPr>
          <w:rFonts w:asciiTheme="minorHAnsi" w:hAnsiTheme="minorHAnsi" w:cstheme="minorHAnsi"/>
          <w:sz w:val="22"/>
          <w:szCs w:val="22"/>
        </w:rPr>
        <w:t>Republika</w:t>
      </w:r>
      <w:proofErr w:type="spellEnd"/>
      <w:r w:rsidRPr="007C4D65">
        <w:rPr>
          <w:rFonts w:asciiTheme="minorHAnsi" w:hAnsiTheme="minorHAnsi" w:cstheme="minorHAnsi"/>
          <w:sz w:val="22"/>
          <w:szCs w:val="22"/>
        </w:rPr>
        <w:t xml:space="preserve"> Srpska and of Brcko District of BiH. The Economic Reform Programme 2019 - 2021 was developed based on contributions submitted by competent institutions according to the Activity Plan which defined the timelines and implementing institutions.</w:t>
      </w:r>
    </w:p>
    <w:p w14:paraId="61231E2D" w14:textId="5FE2FC61" w:rsidR="00635C53" w:rsidRPr="007C4D65" w:rsidRDefault="00635C53" w:rsidP="00635C53">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szCs w:val="22"/>
        </w:rPr>
        <w:t>The effect of reform measures will reflect in</w:t>
      </w:r>
      <w:r w:rsidR="00674E70" w:rsidRPr="007C4D65">
        <w:rPr>
          <w:rFonts w:asciiTheme="minorHAnsi" w:hAnsiTheme="minorHAnsi" w:cstheme="minorHAnsi"/>
          <w:sz w:val="22"/>
          <w:szCs w:val="22"/>
        </w:rPr>
        <w:t xml:space="preserve"> a</w:t>
      </w:r>
      <w:r w:rsidRPr="007C4D65">
        <w:rPr>
          <w:rFonts w:asciiTheme="minorHAnsi" w:hAnsiTheme="minorHAnsi" w:cstheme="minorHAnsi"/>
          <w:sz w:val="22"/>
          <w:szCs w:val="22"/>
        </w:rPr>
        <w:t xml:space="preserve"> growing share of energy from renewable sources, increased energy efficiency and contribution to energy savings (thus reducing </w:t>
      </w:r>
      <w:r w:rsidR="00707332" w:rsidRPr="007C4D65">
        <w:rPr>
          <w:rFonts w:asciiTheme="minorHAnsi" w:hAnsiTheme="minorHAnsi" w:cstheme="minorHAnsi"/>
          <w:sz w:val="22"/>
          <w:szCs w:val="22"/>
        </w:rPr>
        <w:t>adverse effects</w:t>
      </w:r>
      <w:r w:rsidRPr="007C4D65">
        <w:rPr>
          <w:rFonts w:asciiTheme="minorHAnsi" w:hAnsiTheme="minorHAnsi" w:cstheme="minorHAnsi"/>
          <w:sz w:val="22"/>
          <w:szCs w:val="22"/>
        </w:rPr>
        <w:t xml:space="preserve"> on the environment). </w:t>
      </w:r>
    </w:p>
    <w:p w14:paraId="1B49805D" w14:textId="77777777" w:rsidR="00635C53" w:rsidRPr="007C4D65" w:rsidRDefault="00635C53" w:rsidP="00635C53">
      <w:pPr>
        <w:spacing w:before="240" w:after="240" w:line="276" w:lineRule="auto"/>
        <w:rPr>
          <w:rFonts w:asciiTheme="minorHAnsi" w:eastAsia="Calibri" w:hAnsiTheme="minorHAnsi" w:cstheme="minorHAnsi"/>
          <w:i/>
          <w:color w:val="000000"/>
          <w:sz w:val="22"/>
          <w:szCs w:val="22"/>
          <w:u w:val="single"/>
        </w:rPr>
      </w:pPr>
      <w:r w:rsidRPr="007C4D65">
        <w:rPr>
          <w:rFonts w:asciiTheme="minorHAnsi" w:hAnsiTheme="minorHAnsi" w:cstheme="minorHAnsi"/>
          <w:i/>
          <w:color w:val="000000"/>
          <w:sz w:val="22"/>
          <w:szCs w:val="22"/>
          <w:u w:val="single"/>
        </w:rPr>
        <w:t>Climate Change Adaptation and Low Emission Development Strategy for BiH (2020 - 2030)</w:t>
      </w:r>
    </w:p>
    <w:p w14:paraId="6DCE255B" w14:textId="659CA813" w:rsidR="00635C53" w:rsidRPr="007C4D65" w:rsidRDefault="00635C53" w:rsidP="00635C53">
      <w:pPr>
        <w:spacing w:before="240" w:after="240" w:line="276" w:lineRule="auto"/>
        <w:jc w:val="both"/>
        <w:rPr>
          <w:rFonts w:asciiTheme="minorHAnsi" w:eastAsia="Calibri" w:hAnsiTheme="minorHAnsi" w:cstheme="minorHAnsi"/>
          <w:color w:val="000000"/>
          <w:sz w:val="22"/>
          <w:szCs w:val="22"/>
        </w:rPr>
      </w:pPr>
      <w:r w:rsidRPr="007C4D65">
        <w:rPr>
          <w:rFonts w:asciiTheme="minorHAnsi" w:hAnsiTheme="minorHAnsi" w:cstheme="minorHAnsi"/>
          <w:sz w:val="22"/>
          <w:szCs w:val="22"/>
        </w:rPr>
        <w:t>The goal of the Strategy</w:t>
      </w:r>
      <w:r w:rsidRPr="007C4D65">
        <w:rPr>
          <w:rFonts w:asciiTheme="minorHAnsi" w:hAnsiTheme="minorHAnsi" w:cstheme="minorHAnsi"/>
          <w:color w:val="000000"/>
          <w:sz w:val="22"/>
          <w:szCs w:val="22"/>
        </w:rPr>
        <w:t xml:space="preserve"> </w:t>
      </w:r>
      <w:r w:rsidRPr="007C4D65">
        <w:rPr>
          <w:rFonts w:asciiTheme="minorHAnsi" w:eastAsia="Calibri" w:hAnsiTheme="minorHAnsi" w:cstheme="minorHAnsi"/>
          <w:color w:val="000000"/>
          <w:sz w:val="22"/>
          <w:szCs w:val="22"/>
        </w:rPr>
        <w:fldChar w:fldCharType="begin"/>
      </w:r>
      <w:r w:rsidRPr="007C4D65">
        <w:rPr>
          <w:rFonts w:asciiTheme="minorHAnsi" w:eastAsia="Calibri" w:hAnsiTheme="minorHAnsi" w:cstheme="minorHAnsi"/>
          <w:color w:val="000000"/>
          <w:sz w:val="22"/>
          <w:szCs w:val="22"/>
        </w:rPr>
        <w:instrText xml:space="preserve"> ADDIN ZOTERO_ITEM CSL_CITATION {"citationID":"vdq5skF6","properties":{"formattedCitation":"(UNDP 2013)","plainCitation":"(UNDP 2013)","noteIndex":0},"citationItems":[{"id":1333,"uris":["http://zotero.org/users/7192877/items/9WDCW6QJ"],"itemData":{"id":1333,"type":"report","title":"Strategija prilagođavanja na klimatske promjene i niskoemisionog razvoja za BiH","URL":"https://www.ba.undp.org/content/bosnia_and_herzegovina/bs/home/library/energija-i-okolis/climate-change-adaptation-and-low-emission-development-strategy-.html","author":[{"family":"UNDP","given":""}],"issued":{"date-parts":[["2013"]]}}}],"schema":"https://github.com/citation-style-language/schema/raw/master/csl-citation.json"} </w:instrText>
      </w:r>
      <w:r w:rsidRPr="007C4D65">
        <w:rPr>
          <w:rFonts w:asciiTheme="minorHAnsi" w:eastAsia="Calibri" w:hAnsiTheme="minorHAnsi" w:cstheme="minorHAnsi"/>
          <w:color w:val="000000"/>
          <w:sz w:val="22"/>
          <w:szCs w:val="22"/>
        </w:rPr>
        <w:fldChar w:fldCharType="separate"/>
      </w:r>
      <w:r w:rsidRPr="007C4D65">
        <w:rPr>
          <w:rFonts w:asciiTheme="minorHAnsi" w:eastAsia="Calibri" w:hAnsiTheme="minorHAnsi" w:cstheme="minorHAnsi"/>
          <w:sz w:val="22"/>
          <w:szCs w:val="22"/>
        </w:rPr>
        <w:t>(UNDP, 2013)</w:t>
      </w:r>
      <w:r w:rsidRPr="007C4D65">
        <w:rPr>
          <w:rFonts w:asciiTheme="minorHAnsi" w:eastAsia="Calibri" w:hAnsiTheme="minorHAnsi" w:cstheme="minorHAnsi"/>
          <w:color w:val="000000"/>
          <w:sz w:val="22"/>
          <w:szCs w:val="22"/>
        </w:rPr>
        <w:fldChar w:fldCharType="end"/>
      </w:r>
      <w:r w:rsidRPr="007C4D65">
        <w:rPr>
          <w:rFonts w:asciiTheme="minorHAnsi" w:hAnsiTheme="minorHAnsi" w:cstheme="minorHAnsi"/>
          <w:color w:val="000000"/>
          <w:sz w:val="22"/>
          <w:szCs w:val="22"/>
        </w:rPr>
        <w:t xml:space="preserve"> is to increase resilience to climate variability and change, and in so doing to secure development benefits, as well as to achieve highest values and stop the growth in greenhouse gas emissions by 2025 at a level that is below the EU27 (the current EU Member States) average per capita emissions. Climate change mitigation measures are essential to reduce climate change impacts and ensure climate change management process.  </w:t>
      </w:r>
      <w:r w:rsidRPr="007C4D65">
        <w:rPr>
          <w:rFonts w:asciiTheme="minorHAnsi" w:hAnsiTheme="minorHAnsi" w:cstheme="minorHAnsi"/>
          <w:sz w:val="22"/>
          <w:szCs w:val="22"/>
        </w:rPr>
        <w:t xml:space="preserve">Furthermore, the Strategy includes components which reduce risks for socially vulnerable groups, which is in line with the perspectives of gender equality, social equity and poverty, that has been </w:t>
      </w:r>
      <w:proofErr w:type="gramStart"/>
      <w:r w:rsidRPr="007C4D65">
        <w:rPr>
          <w:rFonts w:asciiTheme="minorHAnsi" w:hAnsiTheme="minorHAnsi" w:cstheme="minorHAnsi"/>
          <w:sz w:val="22"/>
          <w:szCs w:val="22"/>
        </w:rPr>
        <w:t>taken into account</w:t>
      </w:r>
      <w:proofErr w:type="gramEnd"/>
      <w:r w:rsidRPr="007C4D65">
        <w:rPr>
          <w:rFonts w:asciiTheme="minorHAnsi" w:hAnsiTheme="minorHAnsi" w:cstheme="minorHAnsi"/>
          <w:sz w:val="22"/>
          <w:szCs w:val="22"/>
        </w:rPr>
        <w:t xml:space="preserve"> in the Strategy development process. </w:t>
      </w:r>
      <w:r w:rsidRPr="007C4D65">
        <w:rPr>
          <w:rFonts w:asciiTheme="minorHAnsi" w:hAnsiTheme="minorHAnsi" w:cstheme="minorHAnsi"/>
          <w:color w:val="000000"/>
          <w:sz w:val="22"/>
          <w:szCs w:val="22"/>
        </w:rPr>
        <w:t xml:space="preserve">The Climate Change Adaptation Strategy defines seven priority sectors such as: agriculture, biodiversity and sensitive ecosystems, energy (hydro power), forestry, human health, tourism and water resources/water management. It also identified four sectors that are priority for </w:t>
      </w:r>
      <w:r w:rsidRPr="007C4D65">
        <w:rPr>
          <w:rFonts w:asciiTheme="minorHAnsi" w:hAnsiTheme="minorHAnsi" w:cstheme="minorHAnsi"/>
          <w:color w:val="000000"/>
          <w:sz w:val="22"/>
          <w:szCs w:val="22"/>
        </w:rPr>
        <w:lastRenderedPageBreak/>
        <w:t>the Low Emission Development Strategy - electricity generation, energy efficiency in buildings, district heating system and transport/traffic.</w:t>
      </w:r>
    </w:p>
    <w:p w14:paraId="187C0F65" w14:textId="77777777" w:rsidR="00635C53" w:rsidRPr="007C4D65" w:rsidRDefault="00635C53" w:rsidP="00635C53">
      <w:pPr>
        <w:spacing w:before="240" w:after="240" w:line="276" w:lineRule="auto"/>
        <w:rPr>
          <w:rFonts w:asciiTheme="minorHAnsi" w:eastAsia="Calibri" w:hAnsiTheme="minorHAnsi" w:cstheme="minorHAnsi"/>
          <w:i/>
          <w:color w:val="000000"/>
          <w:sz w:val="22"/>
          <w:szCs w:val="22"/>
          <w:u w:val="single"/>
        </w:rPr>
      </w:pPr>
      <w:r w:rsidRPr="007C4D65">
        <w:rPr>
          <w:rFonts w:asciiTheme="minorHAnsi" w:hAnsiTheme="minorHAnsi" w:cstheme="minorHAnsi"/>
          <w:i/>
          <w:color w:val="000000"/>
          <w:sz w:val="22"/>
          <w:szCs w:val="22"/>
          <w:u w:val="single"/>
        </w:rPr>
        <w:t>Nationally Determined Contribution of Bosnia and Herzegovina (BiH NDC 2020 - 2030)</w:t>
      </w:r>
    </w:p>
    <w:p w14:paraId="6A674891" w14:textId="27339D84" w:rsidR="00635C53" w:rsidRPr="007C4D65" w:rsidRDefault="00635C53" w:rsidP="00635C53">
      <w:pPr>
        <w:spacing w:before="240" w:after="240" w:line="276" w:lineRule="auto"/>
        <w:jc w:val="both"/>
        <w:rPr>
          <w:rFonts w:asciiTheme="minorHAnsi" w:eastAsia="Calibri" w:hAnsiTheme="minorHAnsi" w:cstheme="minorHAnsi"/>
          <w:sz w:val="22"/>
          <w:szCs w:val="22"/>
        </w:rPr>
      </w:pPr>
      <w:r w:rsidRPr="007C4D65">
        <w:rPr>
          <w:rFonts w:asciiTheme="minorHAnsi" w:hAnsiTheme="minorHAnsi" w:cstheme="minorHAnsi"/>
          <w:sz w:val="22"/>
          <w:szCs w:val="22"/>
        </w:rPr>
        <w:t>In 2015, the BiH submitted its first</w:t>
      </w:r>
      <w:bookmarkStart w:id="216" w:name="_Hlk94817576"/>
      <w:r w:rsidR="00707332" w:rsidRPr="007C4D65">
        <w:rPr>
          <w:rFonts w:asciiTheme="minorHAnsi" w:hAnsiTheme="minorHAnsi" w:cstheme="minorHAnsi"/>
          <w:sz w:val="22"/>
          <w:szCs w:val="22"/>
        </w:rPr>
        <w:t xml:space="preserve"> </w:t>
      </w:r>
      <w:r w:rsidRPr="007C4D65">
        <w:rPr>
          <w:rFonts w:asciiTheme="minorHAnsi" w:hAnsiTheme="minorHAnsi" w:cstheme="minorHAnsi"/>
          <w:sz w:val="22"/>
          <w:szCs w:val="22"/>
        </w:rPr>
        <w:t xml:space="preserve">Intended Nationally Determined Contribution - INDC </w:t>
      </w:r>
      <w:bookmarkEnd w:id="216"/>
      <w:r w:rsidRPr="007C4D65">
        <w:rPr>
          <w:rFonts w:asciiTheme="minorHAnsi" w:hAnsiTheme="minorHAnsi" w:cstheme="minorHAnsi"/>
          <w:sz w:val="22"/>
          <w:szCs w:val="22"/>
        </w:rPr>
        <w:t xml:space="preserve">and ratified the Paris Agreement pursuant to the Decision on Ratification of Paris Agreement in accordance with UNFCCC. </w:t>
      </w:r>
      <w:proofErr w:type="gramStart"/>
      <w:r w:rsidRPr="007C4D65">
        <w:rPr>
          <w:rFonts w:asciiTheme="minorHAnsi" w:hAnsiTheme="minorHAnsi" w:cstheme="minorHAnsi"/>
          <w:sz w:val="22"/>
          <w:szCs w:val="22"/>
        </w:rPr>
        <w:t>According</w:t>
      </w:r>
      <w:proofErr w:type="gramEnd"/>
      <w:r w:rsidRPr="007C4D65">
        <w:rPr>
          <w:rFonts w:asciiTheme="minorHAnsi" w:hAnsiTheme="minorHAnsi" w:cstheme="minorHAnsi"/>
          <w:sz w:val="22"/>
          <w:szCs w:val="22"/>
        </w:rPr>
        <w:t xml:space="preserve"> the Agreement provisions, the countries are required to submit every five years update documents on climate change mitigation activities. To this end, BiH prepared </w:t>
      </w:r>
      <w:bookmarkStart w:id="217" w:name="_Hlk94817603"/>
      <w:r w:rsidRPr="007C4D65">
        <w:rPr>
          <w:rFonts w:asciiTheme="minorHAnsi" w:hAnsiTheme="minorHAnsi" w:cstheme="minorHAnsi"/>
          <w:sz w:val="22"/>
          <w:szCs w:val="22"/>
        </w:rPr>
        <w:t xml:space="preserve">the document </w:t>
      </w:r>
      <w:bookmarkEnd w:id="217"/>
      <w:r w:rsidRPr="007C4D65">
        <w:rPr>
          <w:rFonts w:asciiTheme="minorHAnsi" w:hAnsiTheme="minorHAnsi" w:cstheme="minorHAnsi"/>
          <w:sz w:val="22"/>
          <w:szCs w:val="22"/>
        </w:rPr>
        <w:t xml:space="preserve"> entitled Nationally Determined Contribution (NDC) of BiH 2020 - 2030 </w:t>
      </w:r>
      <w:r w:rsidRPr="007C4D65">
        <w:rPr>
          <w:rFonts w:asciiTheme="minorHAnsi" w:eastAsia="Calibri" w:hAnsiTheme="minorHAnsi" w:cstheme="minorHAnsi"/>
          <w:sz w:val="22"/>
          <w:szCs w:val="22"/>
        </w:rPr>
        <w:fldChar w:fldCharType="begin"/>
      </w:r>
      <w:r w:rsidRPr="007C4D65">
        <w:rPr>
          <w:rFonts w:asciiTheme="minorHAnsi" w:eastAsia="Calibri" w:hAnsiTheme="minorHAnsi" w:cstheme="minorHAnsi"/>
          <w:sz w:val="22"/>
          <w:szCs w:val="22"/>
        </w:rPr>
        <w:instrText xml:space="preserve"> ADDIN ZOTERO_ITEM CSL_CITATION {"citationID":"3RjIeYhh","properties":{"formattedCitation":"(UNDP BiH 2020)","plainCitation":"(UNDP BiH 2020)","noteIndex":0},"citationItems":[{"id":1562,"uris":["http://zotero.org/users/7192877/items/VHV4FDP6"],"itemData":{"id":1562,"type":"document","publisher":"UNDP BiH","title":"Utvrđeni doprinos Bosne i Hercegovine za ublažavanje klimatskih promjena za period 2020 - 2030.","author":[{"literal":"UNDP BiH"}],"issued":{"date-parts":[["2020"]]}}}],"schema":"https://github.com/citation-style-language/schema/raw/master/csl-citation.json"} </w:instrText>
      </w:r>
      <w:r w:rsidRPr="007C4D65">
        <w:rPr>
          <w:rFonts w:asciiTheme="minorHAnsi" w:eastAsia="Calibri" w:hAnsiTheme="minorHAnsi" w:cstheme="minorHAnsi"/>
          <w:sz w:val="22"/>
          <w:szCs w:val="22"/>
        </w:rPr>
        <w:fldChar w:fldCharType="separate"/>
      </w:r>
      <w:r w:rsidRPr="007C4D65">
        <w:rPr>
          <w:rFonts w:asciiTheme="minorHAnsi" w:eastAsia="Calibri" w:hAnsiTheme="minorHAnsi" w:cstheme="minorHAnsi"/>
          <w:sz w:val="22"/>
          <w:szCs w:val="22"/>
        </w:rPr>
        <w:t>(UNDP BiH, 2020)</w:t>
      </w:r>
      <w:r w:rsidRPr="007C4D65">
        <w:rPr>
          <w:rFonts w:asciiTheme="minorHAnsi" w:eastAsia="Calibri" w:hAnsiTheme="minorHAnsi" w:cstheme="minorHAnsi"/>
          <w:sz w:val="22"/>
          <w:szCs w:val="22"/>
        </w:rPr>
        <w:fldChar w:fldCharType="end"/>
      </w:r>
      <w:r w:rsidRPr="007C4D65">
        <w:rPr>
          <w:rFonts w:asciiTheme="minorHAnsi" w:hAnsiTheme="minorHAnsi" w:cstheme="minorHAnsi"/>
          <w:sz w:val="22"/>
          <w:szCs w:val="22"/>
        </w:rPr>
        <w:t>.</w:t>
      </w:r>
    </w:p>
    <w:p w14:paraId="15B69942" w14:textId="43F73A02" w:rsidR="002C0058" w:rsidRPr="007C4D65" w:rsidRDefault="00635C53" w:rsidP="00635C53">
      <w:pPr>
        <w:tabs>
          <w:tab w:val="left" w:pos="2016"/>
        </w:tabs>
        <w:spacing w:line="276" w:lineRule="auto"/>
        <w:jc w:val="both"/>
        <w:rPr>
          <w:rFonts w:asciiTheme="minorHAnsi" w:hAnsiTheme="minorHAnsi" w:cstheme="minorHAnsi"/>
        </w:rPr>
        <w:sectPr w:rsidR="002C0058" w:rsidRPr="007C4D65" w:rsidSect="002C0058">
          <w:pgSz w:w="11906" w:h="16838"/>
          <w:pgMar w:top="1440" w:right="1440" w:bottom="1440" w:left="1440" w:header="709" w:footer="709" w:gutter="0"/>
          <w:cols w:space="708"/>
          <w:docGrid w:linePitch="360"/>
        </w:sectPr>
      </w:pPr>
      <w:r w:rsidRPr="007C4D65">
        <w:rPr>
          <w:rFonts w:asciiTheme="minorHAnsi" w:hAnsiTheme="minorHAnsi" w:cstheme="minorHAnsi"/>
          <w:sz w:val="22"/>
          <w:szCs w:val="22"/>
        </w:rPr>
        <w:t xml:space="preserve">Guidelines </w:t>
      </w:r>
      <w:r w:rsidR="00707332" w:rsidRPr="007C4D65">
        <w:rPr>
          <w:rFonts w:asciiTheme="minorHAnsi" w:hAnsiTheme="minorHAnsi" w:cstheme="minorHAnsi"/>
          <w:sz w:val="22"/>
          <w:szCs w:val="22"/>
        </w:rPr>
        <w:t>on</w:t>
      </w:r>
      <w:r w:rsidRPr="007C4D65">
        <w:rPr>
          <w:rFonts w:asciiTheme="minorHAnsi" w:hAnsiTheme="minorHAnsi" w:cstheme="minorHAnsi"/>
          <w:sz w:val="22"/>
          <w:szCs w:val="22"/>
        </w:rPr>
        <w:t xml:space="preserve"> </w:t>
      </w:r>
      <w:r w:rsidR="00707332" w:rsidRPr="007C4D65">
        <w:rPr>
          <w:rFonts w:asciiTheme="minorHAnsi" w:hAnsiTheme="minorHAnsi" w:cstheme="minorHAnsi"/>
          <w:sz w:val="22"/>
          <w:szCs w:val="22"/>
        </w:rPr>
        <w:t xml:space="preserve">Approximation of Legislation to the EU </w:t>
      </w:r>
      <w:r w:rsidRPr="007C4D65">
        <w:rPr>
          <w:rFonts w:asciiTheme="minorHAnsi" w:hAnsiTheme="minorHAnsi" w:cstheme="minorHAnsi"/>
          <w:sz w:val="22"/>
          <w:szCs w:val="22"/>
        </w:rPr>
        <w:t>acquis</w:t>
      </w:r>
      <w:r w:rsidR="00707332" w:rsidRPr="007C4D65">
        <w:rPr>
          <w:rFonts w:asciiTheme="minorHAnsi" w:hAnsiTheme="minorHAnsi" w:cstheme="minorHAnsi"/>
          <w:sz w:val="22"/>
          <w:szCs w:val="22"/>
        </w:rPr>
        <w:t xml:space="preserve"> in BiH</w:t>
      </w:r>
      <w:r w:rsidRPr="007C4D65">
        <w:rPr>
          <w:rFonts w:asciiTheme="minorHAnsi" w:hAnsiTheme="minorHAnsi" w:cstheme="minorHAnsi"/>
          <w:sz w:val="22"/>
          <w:szCs w:val="22"/>
        </w:rPr>
        <w:t xml:space="preserve"> were used to facilitate the transposition of the EU environmental acquis. In addition, the EU recommendations from the SAA Sub-committee on Transport, Energy, Environment and Regional Development were also </w:t>
      </w:r>
      <w:proofErr w:type="gramStart"/>
      <w:r w:rsidRPr="007C4D65">
        <w:rPr>
          <w:rFonts w:asciiTheme="minorHAnsi" w:hAnsiTheme="minorHAnsi" w:cstheme="minorHAnsi"/>
          <w:sz w:val="22"/>
          <w:szCs w:val="22"/>
        </w:rPr>
        <w:t>taken into account</w:t>
      </w:r>
      <w:proofErr w:type="gramEnd"/>
      <w:r w:rsidRPr="007C4D65">
        <w:rPr>
          <w:rFonts w:asciiTheme="minorHAnsi" w:hAnsiTheme="minorHAnsi" w:cstheme="minorHAnsi"/>
          <w:sz w:val="22"/>
          <w:szCs w:val="22"/>
        </w:rPr>
        <w:t>. Furthermore, coordination was initiated with the Implementation Team for the Development of National Energy and Climate Plan of Bosnia and Herzegovina (2021 -</w:t>
      </w:r>
      <w:r w:rsidRPr="007C4D65">
        <w:rPr>
          <w:rFonts w:asciiTheme="minorHAnsi" w:hAnsiTheme="minorHAnsi" w:cstheme="minorHAnsi"/>
          <w:sz w:val="22"/>
        </w:rPr>
        <w:t xml:space="preserve"> 2030).</w:t>
      </w:r>
    </w:p>
    <w:p w14:paraId="5E626811" w14:textId="022E9C69" w:rsidR="00635C53" w:rsidRPr="007C4D65" w:rsidRDefault="002C0058" w:rsidP="00B6017F">
      <w:pPr>
        <w:pStyle w:val="Caption"/>
        <w:spacing w:line="276" w:lineRule="auto"/>
        <w:rPr>
          <w:rFonts w:asciiTheme="minorHAnsi" w:hAnsiTheme="minorHAnsi" w:cstheme="minorHAnsi"/>
        </w:rPr>
      </w:pPr>
      <w:bookmarkStart w:id="218" w:name="_Toc117011606"/>
      <w:r w:rsidRPr="007C4D65">
        <w:rPr>
          <w:rFonts w:asciiTheme="minorHAnsi" w:hAnsiTheme="minorHAnsi" w:cstheme="minorHAnsi"/>
        </w:rPr>
        <w:lastRenderedPageBreak/>
        <w:t xml:space="preserve">Table </w:t>
      </w:r>
      <w:bookmarkStart w:id="219" w:name="tabela27"/>
      <w:r w:rsidRPr="007C4D65">
        <w:rPr>
          <w:rFonts w:asciiTheme="minorHAnsi" w:hAnsiTheme="minorHAnsi" w:cstheme="minorHAnsi"/>
        </w:rPr>
        <w:fldChar w:fldCharType="begin"/>
      </w:r>
      <w:r w:rsidRPr="007C4D65">
        <w:rPr>
          <w:rFonts w:asciiTheme="minorHAnsi" w:hAnsiTheme="minorHAnsi" w:cstheme="minorHAnsi"/>
        </w:rPr>
        <w:instrText xml:space="preserve"> SEQ Tabela \* ARABIC </w:instrText>
      </w:r>
      <w:r w:rsidRPr="007C4D65">
        <w:rPr>
          <w:rFonts w:asciiTheme="minorHAnsi" w:hAnsiTheme="minorHAnsi" w:cstheme="minorHAnsi"/>
        </w:rPr>
        <w:fldChar w:fldCharType="separate"/>
      </w:r>
      <w:r w:rsidR="00005022" w:rsidRPr="007C4D65">
        <w:rPr>
          <w:rFonts w:asciiTheme="minorHAnsi" w:hAnsiTheme="minorHAnsi" w:cstheme="minorHAnsi"/>
          <w:noProof/>
        </w:rPr>
        <w:t>27</w:t>
      </w:r>
      <w:r w:rsidRPr="007C4D65">
        <w:rPr>
          <w:rFonts w:asciiTheme="minorHAnsi" w:hAnsiTheme="minorHAnsi" w:cstheme="minorHAnsi"/>
        </w:rPr>
        <w:fldChar w:fldCharType="end"/>
      </w:r>
      <w:bookmarkEnd w:id="219"/>
      <w:r w:rsidRPr="007C4D65">
        <w:rPr>
          <w:rFonts w:asciiTheme="minorHAnsi" w:hAnsiTheme="minorHAnsi" w:cstheme="minorHAnsi"/>
        </w:rPr>
        <w:t xml:space="preserve">: </w:t>
      </w:r>
      <w:r w:rsidR="00635C53" w:rsidRPr="007C4D65">
        <w:rPr>
          <w:rFonts w:asciiTheme="minorHAnsi" w:hAnsiTheme="minorHAnsi" w:cstheme="minorHAnsi"/>
          <w:b w:val="0"/>
        </w:rPr>
        <w:t>Overview of relevant strategic documents of the Federation of BiH</w:t>
      </w:r>
      <w:bookmarkEnd w:id="218"/>
    </w:p>
    <w:p w14:paraId="003F3091" w14:textId="77777777" w:rsidR="00635C53" w:rsidRPr="007C4D65" w:rsidRDefault="00635C53" w:rsidP="00635C53">
      <w:pPr>
        <w:spacing w:line="276" w:lineRule="auto"/>
        <w:rPr>
          <w:rFonts w:asciiTheme="minorHAnsi" w:hAnsiTheme="minorHAnsi" w:cstheme="minorHAnsi"/>
          <w:i/>
          <w:iCs/>
          <w:sz w:val="18"/>
          <w:szCs w:val="18"/>
        </w:rPr>
      </w:pPr>
      <w:r w:rsidRPr="007C4D65">
        <w:rPr>
          <w:rFonts w:asciiTheme="minorHAnsi" w:hAnsiTheme="minorHAnsi" w:cstheme="minorHAnsi"/>
          <w:i/>
          <w:sz w:val="18"/>
        </w:rPr>
        <w:t xml:space="preserve">*Only developmental direction/goal/measure from strategic documents which concern the environment were considered </w:t>
      </w:r>
    </w:p>
    <w:p w14:paraId="4C61E569" w14:textId="77777777" w:rsidR="002C0058" w:rsidRPr="007C4D65" w:rsidRDefault="002C0058" w:rsidP="0068355A">
      <w:pPr>
        <w:spacing w:line="276" w:lineRule="auto"/>
        <w:jc w:val="both"/>
        <w:rPr>
          <w:rFonts w:asciiTheme="minorHAnsi" w:hAnsiTheme="minorHAnsi" w:cstheme="minorHAnsi"/>
        </w:rPr>
      </w:pPr>
    </w:p>
    <w:tbl>
      <w:tblPr>
        <w:tblStyle w:val="TableGrid"/>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4076"/>
        <w:gridCol w:w="9811"/>
      </w:tblGrid>
      <w:tr w:rsidR="00635C53" w:rsidRPr="007C4D65" w14:paraId="53DDB9AD" w14:textId="77777777" w:rsidTr="00B6017F">
        <w:trPr>
          <w:trHeight w:val="338"/>
          <w:tblHeader/>
          <w:jc w:val="center"/>
        </w:trPr>
        <w:tc>
          <w:tcPr>
            <w:tcW w:w="4076" w:type="dxa"/>
            <w:tcBorders>
              <w:bottom w:val="single" w:sz="4" w:space="0" w:color="D0CECE" w:themeColor="background2" w:themeShade="E6"/>
            </w:tcBorders>
            <w:shd w:val="clear" w:color="auto" w:fill="009D73"/>
            <w:vAlign w:val="center"/>
          </w:tcPr>
          <w:p w14:paraId="6757304A" w14:textId="77777777" w:rsidR="00635C53" w:rsidRPr="007C4D65" w:rsidRDefault="00635C53" w:rsidP="00B6017F">
            <w:pPr>
              <w:spacing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Developmental direction/goal/measure from strategic document of the Federation of BiH</w:t>
            </w:r>
          </w:p>
        </w:tc>
        <w:tc>
          <w:tcPr>
            <w:tcW w:w="9811" w:type="dxa"/>
            <w:vMerge w:val="restart"/>
            <w:shd w:val="clear" w:color="auto" w:fill="009D73"/>
            <w:vAlign w:val="center"/>
          </w:tcPr>
          <w:p w14:paraId="16E46AB1" w14:textId="7E79369D" w:rsidR="00635C53" w:rsidRPr="007C4D65" w:rsidRDefault="00635C53" w:rsidP="00B6017F">
            <w:pPr>
              <w:spacing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Associated priority from the Environmental Strategy of the Federation of BiH</w:t>
            </w:r>
          </w:p>
        </w:tc>
      </w:tr>
      <w:tr w:rsidR="00635C53" w:rsidRPr="007C4D65" w14:paraId="70E198E2" w14:textId="77777777" w:rsidTr="00B6017F">
        <w:trPr>
          <w:jc w:val="center"/>
        </w:trPr>
        <w:tc>
          <w:tcPr>
            <w:tcW w:w="4076" w:type="dxa"/>
            <w:tcBorders>
              <w:bottom w:val="single" w:sz="4" w:space="0" w:color="D0CECE" w:themeColor="background2" w:themeShade="E6"/>
            </w:tcBorders>
            <w:shd w:val="clear" w:color="auto" w:fill="009D73"/>
            <w:vAlign w:val="center"/>
          </w:tcPr>
          <w:p w14:paraId="7C291695" w14:textId="77777777" w:rsidR="00635C53" w:rsidRPr="007C4D65" w:rsidRDefault="00635C53" w:rsidP="00B6017F">
            <w:pPr>
              <w:spacing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Development Strategy of the Federation of BiH (2021–2027)</w:t>
            </w:r>
          </w:p>
        </w:tc>
        <w:tc>
          <w:tcPr>
            <w:tcW w:w="9811" w:type="dxa"/>
            <w:vMerge/>
            <w:tcBorders>
              <w:bottom w:val="single" w:sz="4" w:space="0" w:color="D0CECE" w:themeColor="background2" w:themeShade="E6"/>
            </w:tcBorders>
            <w:shd w:val="clear" w:color="auto" w:fill="009D73"/>
            <w:vAlign w:val="center"/>
          </w:tcPr>
          <w:p w14:paraId="4F54522E" w14:textId="77777777" w:rsidR="00635C53" w:rsidRPr="007C4D65" w:rsidRDefault="00635C53" w:rsidP="00B6017F">
            <w:pPr>
              <w:spacing w:line="276" w:lineRule="auto"/>
              <w:rPr>
                <w:rFonts w:asciiTheme="minorHAnsi" w:hAnsiTheme="minorHAnsi" w:cstheme="minorHAnsi"/>
                <w:b/>
                <w:color w:val="FFFFFF" w:themeColor="background1"/>
                <w:sz w:val="18"/>
                <w:szCs w:val="18"/>
                <w:lang w:val="hr-HR"/>
              </w:rPr>
            </w:pPr>
          </w:p>
        </w:tc>
      </w:tr>
      <w:tr w:rsidR="00635C53" w:rsidRPr="007C4D65" w14:paraId="3ADE21A5" w14:textId="77777777" w:rsidTr="00B6017F">
        <w:trPr>
          <w:trHeight w:val="199"/>
          <w:jc w:val="center"/>
        </w:trPr>
        <w:tc>
          <w:tcPr>
            <w:tcW w:w="4076" w:type="dxa"/>
            <w:shd w:val="clear" w:color="auto" w:fill="FFFFFF" w:themeFill="background1"/>
            <w:vAlign w:val="center"/>
          </w:tcPr>
          <w:p w14:paraId="19B2FEB4" w14:textId="269A19A4"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Strategic goal 1</w:t>
            </w:r>
            <w:r w:rsidR="00674E70" w:rsidRPr="007C4D65">
              <w:rPr>
                <w:rFonts w:asciiTheme="minorHAnsi" w:hAnsiTheme="minorHAnsi" w:cstheme="minorHAnsi"/>
                <w:b/>
                <w:color w:val="000000" w:themeColor="text1"/>
                <w:sz w:val="18"/>
              </w:rPr>
              <w:t xml:space="preserve"> -</w:t>
            </w:r>
            <w:r w:rsidRPr="007C4D65">
              <w:rPr>
                <w:rFonts w:asciiTheme="minorHAnsi" w:hAnsiTheme="minorHAnsi" w:cstheme="minorHAnsi"/>
                <w:b/>
                <w:color w:val="000000" w:themeColor="text1"/>
                <w:sz w:val="18"/>
              </w:rPr>
              <w:t xml:space="preserve"> Accelerated </w:t>
            </w:r>
            <w:r w:rsidR="00E55311" w:rsidRPr="007C4D65">
              <w:rPr>
                <w:rFonts w:asciiTheme="minorHAnsi" w:hAnsiTheme="minorHAnsi" w:cstheme="minorHAnsi"/>
                <w:b/>
                <w:color w:val="000000" w:themeColor="text1"/>
                <w:sz w:val="18"/>
              </w:rPr>
              <w:t>economic growth</w:t>
            </w:r>
          </w:p>
        </w:tc>
        <w:tc>
          <w:tcPr>
            <w:tcW w:w="9811" w:type="dxa"/>
            <w:shd w:val="clear" w:color="auto" w:fill="FFFFFF" w:themeFill="background1"/>
            <w:vAlign w:val="center"/>
          </w:tcPr>
          <w:p w14:paraId="02E208C0" w14:textId="77777777"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 xml:space="preserve">Priority 3.9 </w:t>
            </w:r>
            <w:r w:rsidRPr="007C4D65">
              <w:rPr>
                <w:rFonts w:asciiTheme="minorHAnsi" w:hAnsiTheme="minorHAnsi" w:cstheme="minorHAnsi"/>
                <w:color w:val="000000" w:themeColor="text1"/>
                <w:sz w:val="18"/>
              </w:rPr>
              <w:t>- Developing environmental awareness about biodiversity, nature conservation and ecosystem services</w:t>
            </w:r>
          </w:p>
          <w:p w14:paraId="34765A8F" w14:textId="77777777"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 xml:space="preserve">Priority 6.5 </w:t>
            </w:r>
            <w:r w:rsidRPr="007C4D65">
              <w:rPr>
                <w:rFonts w:asciiTheme="minorHAnsi" w:hAnsiTheme="minorHAnsi" w:cstheme="minorHAnsi"/>
                <w:color w:val="000000" w:themeColor="text1"/>
                <w:sz w:val="18"/>
              </w:rPr>
              <w:t>- Establishing a system of sustainable and responsible research, exploitation and management of mineral raw materials</w:t>
            </w:r>
          </w:p>
          <w:p w14:paraId="3B7CEB41" w14:textId="77777777"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 xml:space="preserve">Priority 7.2 </w:t>
            </w:r>
            <w:r w:rsidRPr="007C4D65">
              <w:rPr>
                <w:rFonts w:asciiTheme="minorHAnsi" w:hAnsiTheme="minorHAnsi" w:cstheme="minorHAnsi"/>
                <w:color w:val="000000" w:themeColor="text1"/>
                <w:sz w:val="18"/>
              </w:rPr>
              <w:t>- Ensuring efficient implementation of the applicable legislation and international commitments</w:t>
            </w:r>
          </w:p>
          <w:p w14:paraId="4259FC26" w14:textId="3B367F0E"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Priority 7.5</w:t>
            </w:r>
            <w:r w:rsidRPr="007C4D65">
              <w:rPr>
                <w:rFonts w:asciiTheme="minorHAnsi" w:hAnsiTheme="minorHAnsi" w:cstheme="minorHAnsi"/>
                <w:color w:val="000000" w:themeColor="text1"/>
                <w:sz w:val="18"/>
              </w:rPr>
              <w:t xml:space="preserve"> - </w:t>
            </w:r>
            <w:r w:rsidR="00A901FB" w:rsidRPr="007C4D65">
              <w:rPr>
                <w:rFonts w:asciiTheme="minorHAnsi" w:hAnsiTheme="minorHAnsi" w:cstheme="minorHAnsi"/>
                <w:color w:val="000000" w:themeColor="text1"/>
                <w:sz w:val="18"/>
              </w:rPr>
              <w:t>Set up an efficient system for record keeping and transparent reporting of environmental data in the Federation of BiH, in consultation with the Partnership 27</w:t>
            </w:r>
          </w:p>
          <w:p w14:paraId="112B07FD" w14:textId="4888AD68"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 xml:space="preserve">Priority 7.8 </w:t>
            </w:r>
            <w:r w:rsidRPr="007C4D65">
              <w:rPr>
                <w:rFonts w:asciiTheme="minorHAnsi" w:hAnsiTheme="minorHAnsi" w:cstheme="minorHAnsi"/>
                <w:color w:val="000000" w:themeColor="text1"/>
                <w:sz w:val="18"/>
              </w:rPr>
              <w:t xml:space="preserve">- Establishing the system for </w:t>
            </w:r>
            <w:r w:rsidR="009F16BA" w:rsidRPr="007C4D65">
              <w:rPr>
                <w:rFonts w:asciiTheme="minorHAnsi" w:hAnsiTheme="minorHAnsi" w:cstheme="minorHAnsi"/>
                <w:color w:val="000000" w:themeColor="text1"/>
                <w:sz w:val="18"/>
              </w:rPr>
              <w:t>strategic decision-</w:t>
            </w:r>
            <w:proofErr w:type="gramStart"/>
            <w:r w:rsidR="009F16BA" w:rsidRPr="007C4D65">
              <w:rPr>
                <w:rFonts w:asciiTheme="minorHAnsi" w:hAnsiTheme="minorHAnsi" w:cstheme="minorHAnsi"/>
                <w:color w:val="000000" w:themeColor="text1"/>
                <w:sz w:val="18"/>
              </w:rPr>
              <w:t xml:space="preserve">making  </w:t>
            </w:r>
            <w:r w:rsidRPr="007C4D65">
              <w:rPr>
                <w:rFonts w:asciiTheme="minorHAnsi" w:hAnsiTheme="minorHAnsi" w:cstheme="minorHAnsi"/>
                <w:color w:val="000000" w:themeColor="text1"/>
                <w:sz w:val="18"/>
              </w:rPr>
              <w:t>,</w:t>
            </w:r>
            <w:proofErr w:type="gramEnd"/>
            <w:r w:rsidRPr="007C4D65">
              <w:rPr>
                <w:rFonts w:asciiTheme="minorHAnsi" w:hAnsiTheme="minorHAnsi" w:cstheme="minorHAnsi"/>
                <w:color w:val="000000" w:themeColor="text1"/>
                <w:sz w:val="18"/>
              </w:rPr>
              <w:t xml:space="preserve"> investments and monitoring of results in education, research and innovations in environment</w:t>
            </w:r>
          </w:p>
        </w:tc>
      </w:tr>
      <w:tr w:rsidR="00635C53" w:rsidRPr="007C4D65" w14:paraId="09C52C38" w14:textId="77777777" w:rsidTr="00B6017F">
        <w:trPr>
          <w:jc w:val="center"/>
        </w:trPr>
        <w:tc>
          <w:tcPr>
            <w:tcW w:w="4076" w:type="dxa"/>
            <w:shd w:val="clear" w:color="auto" w:fill="FFFFFF" w:themeFill="background1"/>
            <w:vAlign w:val="center"/>
          </w:tcPr>
          <w:p w14:paraId="76BD7B46" w14:textId="31C02567"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Strategic goal 2</w:t>
            </w:r>
            <w:r w:rsidR="00674E70" w:rsidRPr="007C4D65">
              <w:rPr>
                <w:rFonts w:asciiTheme="minorHAnsi" w:hAnsiTheme="minorHAnsi" w:cstheme="minorHAnsi"/>
                <w:b/>
                <w:color w:val="000000" w:themeColor="text1"/>
                <w:sz w:val="18"/>
              </w:rPr>
              <w:t xml:space="preserve"> -</w:t>
            </w:r>
            <w:r w:rsidRPr="007C4D65">
              <w:rPr>
                <w:rFonts w:asciiTheme="minorHAnsi" w:hAnsiTheme="minorHAnsi" w:cstheme="minorHAnsi"/>
                <w:b/>
                <w:color w:val="000000" w:themeColor="text1"/>
                <w:sz w:val="18"/>
              </w:rPr>
              <w:t xml:space="preserve"> </w:t>
            </w:r>
            <w:r w:rsidR="00E55311" w:rsidRPr="007C4D65">
              <w:rPr>
                <w:rFonts w:asciiTheme="minorHAnsi" w:hAnsiTheme="minorHAnsi" w:cstheme="minorHAnsi"/>
                <w:b/>
                <w:color w:val="000000" w:themeColor="text1"/>
                <w:sz w:val="18"/>
              </w:rPr>
              <w:t>Prosperous and inclusive social development</w:t>
            </w:r>
          </w:p>
        </w:tc>
        <w:tc>
          <w:tcPr>
            <w:tcW w:w="9811" w:type="dxa"/>
            <w:shd w:val="clear" w:color="auto" w:fill="FFFFFF" w:themeFill="background1"/>
            <w:vAlign w:val="center"/>
          </w:tcPr>
          <w:p w14:paraId="5E2F1F71" w14:textId="23934BBC"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 xml:space="preserve">Priority 3.8 </w:t>
            </w:r>
            <w:r w:rsidRPr="007C4D65">
              <w:rPr>
                <w:rFonts w:asciiTheme="minorHAnsi" w:hAnsiTheme="minorHAnsi" w:cstheme="minorHAnsi"/>
                <w:color w:val="000000" w:themeColor="text1"/>
                <w:sz w:val="18"/>
              </w:rPr>
              <w:t xml:space="preserve">- Strengthen the science-based </w:t>
            </w:r>
            <w:r w:rsidR="009F16BA" w:rsidRPr="007C4D65">
              <w:rPr>
                <w:rFonts w:asciiTheme="minorHAnsi" w:hAnsiTheme="minorHAnsi" w:cstheme="minorHAnsi"/>
                <w:color w:val="000000" w:themeColor="text1"/>
                <w:sz w:val="18"/>
              </w:rPr>
              <w:t xml:space="preserve">decision-making  </w:t>
            </w:r>
            <w:r w:rsidRPr="007C4D65">
              <w:rPr>
                <w:rFonts w:asciiTheme="minorHAnsi" w:hAnsiTheme="minorHAnsi" w:cstheme="minorHAnsi"/>
                <w:color w:val="000000" w:themeColor="text1"/>
                <w:sz w:val="18"/>
              </w:rPr>
              <w:t xml:space="preserve"> on biodiversity/nature through a dialog between the </w:t>
            </w:r>
            <w:r w:rsidR="009F16BA" w:rsidRPr="007C4D65">
              <w:rPr>
                <w:rFonts w:asciiTheme="minorHAnsi" w:hAnsiTheme="minorHAnsi" w:cstheme="minorHAnsi"/>
                <w:color w:val="000000" w:themeColor="text1"/>
                <w:sz w:val="18"/>
              </w:rPr>
              <w:t>scientific</w:t>
            </w:r>
            <w:r w:rsidRPr="007C4D65">
              <w:rPr>
                <w:rFonts w:asciiTheme="minorHAnsi" w:hAnsiTheme="minorHAnsi" w:cstheme="minorHAnsi"/>
                <w:color w:val="000000" w:themeColor="text1"/>
                <w:sz w:val="18"/>
              </w:rPr>
              <w:t xml:space="preserve"> community and decision makers</w:t>
            </w:r>
          </w:p>
          <w:p w14:paraId="50D62B5C" w14:textId="0F9CAB7E"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Priority 4.4</w:t>
            </w:r>
            <w:r w:rsidRPr="007C4D65">
              <w:rPr>
                <w:rFonts w:asciiTheme="minorHAnsi" w:hAnsiTheme="minorHAnsi" w:cstheme="minorHAnsi"/>
                <w:color w:val="000000" w:themeColor="text1"/>
                <w:sz w:val="18"/>
              </w:rPr>
              <w:t xml:space="preserve"> - </w:t>
            </w:r>
            <w:r w:rsidR="00915506" w:rsidRPr="007C4D65">
              <w:rPr>
                <w:rFonts w:asciiTheme="minorHAnsi" w:hAnsiTheme="minorHAnsi" w:cstheme="minorHAnsi"/>
                <w:color w:val="000000" w:themeColor="text1"/>
                <w:sz w:val="18"/>
              </w:rPr>
              <w:t xml:space="preserve">Enhancing resilience to climate change  </w:t>
            </w:r>
          </w:p>
          <w:p w14:paraId="434A452F" w14:textId="77777777"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 xml:space="preserve">Priority 7.6 </w:t>
            </w:r>
            <w:r w:rsidRPr="007C4D65">
              <w:rPr>
                <w:rFonts w:asciiTheme="minorHAnsi" w:hAnsiTheme="minorHAnsi" w:cstheme="minorHAnsi"/>
                <w:color w:val="000000" w:themeColor="text1"/>
                <w:sz w:val="18"/>
              </w:rPr>
              <w:t>- Ensuring a strong synergy in cross-sectoral and inter-sectoral action, and integration of public environmental policies</w:t>
            </w:r>
          </w:p>
          <w:p w14:paraId="134CF0F9" w14:textId="1A01B8B0"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 xml:space="preserve">Priority 7.8 </w:t>
            </w:r>
            <w:r w:rsidRPr="007C4D65">
              <w:rPr>
                <w:rFonts w:asciiTheme="minorHAnsi" w:hAnsiTheme="minorHAnsi" w:cstheme="minorHAnsi"/>
                <w:color w:val="000000" w:themeColor="text1"/>
                <w:sz w:val="18"/>
              </w:rPr>
              <w:t xml:space="preserve">- Establishing the system for </w:t>
            </w:r>
            <w:r w:rsidR="009F16BA" w:rsidRPr="007C4D65">
              <w:rPr>
                <w:rFonts w:asciiTheme="minorHAnsi" w:hAnsiTheme="minorHAnsi" w:cstheme="minorHAnsi"/>
                <w:color w:val="000000" w:themeColor="text1"/>
                <w:sz w:val="18"/>
              </w:rPr>
              <w:t>strategic decision-</w:t>
            </w:r>
            <w:proofErr w:type="gramStart"/>
            <w:r w:rsidR="009F16BA" w:rsidRPr="007C4D65">
              <w:rPr>
                <w:rFonts w:asciiTheme="minorHAnsi" w:hAnsiTheme="minorHAnsi" w:cstheme="minorHAnsi"/>
                <w:color w:val="000000" w:themeColor="text1"/>
                <w:sz w:val="18"/>
              </w:rPr>
              <w:t xml:space="preserve">making  </w:t>
            </w:r>
            <w:r w:rsidRPr="007C4D65">
              <w:rPr>
                <w:rFonts w:asciiTheme="minorHAnsi" w:hAnsiTheme="minorHAnsi" w:cstheme="minorHAnsi"/>
                <w:color w:val="000000" w:themeColor="text1"/>
                <w:sz w:val="18"/>
              </w:rPr>
              <w:t>,</w:t>
            </w:r>
            <w:proofErr w:type="gramEnd"/>
            <w:r w:rsidRPr="007C4D65">
              <w:rPr>
                <w:rFonts w:asciiTheme="minorHAnsi" w:hAnsiTheme="minorHAnsi" w:cstheme="minorHAnsi"/>
                <w:color w:val="000000" w:themeColor="text1"/>
                <w:sz w:val="18"/>
              </w:rPr>
              <w:t xml:space="preserve"> investments and monitoring of results in education, research and innovations in environment</w:t>
            </w:r>
          </w:p>
        </w:tc>
      </w:tr>
      <w:tr w:rsidR="00635C53" w:rsidRPr="007C4D65" w14:paraId="5F7987A5" w14:textId="77777777" w:rsidTr="00B6017F">
        <w:trPr>
          <w:jc w:val="center"/>
        </w:trPr>
        <w:tc>
          <w:tcPr>
            <w:tcW w:w="4076" w:type="dxa"/>
            <w:shd w:val="clear" w:color="auto" w:fill="FFFFFF" w:themeFill="background1"/>
            <w:vAlign w:val="center"/>
          </w:tcPr>
          <w:p w14:paraId="6C3E16D0" w14:textId="75019C0D"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Strategic goal 3</w:t>
            </w:r>
            <w:r w:rsidR="00674E70" w:rsidRPr="007C4D65">
              <w:rPr>
                <w:rFonts w:asciiTheme="minorHAnsi" w:hAnsiTheme="minorHAnsi" w:cstheme="minorHAnsi"/>
                <w:b/>
                <w:color w:val="000000" w:themeColor="text1"/>
                <w:sz w:val="18"/>
              </w:rPr>
              <w:t xml:space="preserve"> -</w:t>
            </w:r>
            <w:r w:rsidRPr="007C4D65">
              <w:rPr>
                <w:rFonts w:asciiTheme="minorHAnsi" w:hAnsiTheme="minorHAnsi" w:cstheme="minorHAnsi"/>
                <w:b/>
                <w:color w:val="000000" w:themeColor="text1"/>
                <w:sz w:val="18"/>
              </w:rPr>
              <w:t xml:space="preserve"> </w:t>
            </w:r>
            <w:r w:rsidR="00E55311" w:rsidRPr="007C4D65">
              <w:rPr>
                <w:rFonts w:asciiTheme="minorHAnsi" w:hAnsiTheme="minorHAnsi" w:cstheme="minorHAnsi"/>
                <w:b/>
                <w:color w:val="000000" w:themeColor="text1"/>
                <w:sz w:val="18"/>
              </w:rPr>
              <w:t>Resource efficient and sustainable development</w:t>
            </w:r>
          </w:p>
        </w:tc>
        <w:tc>
          <w:tcPr>
            <w:tcW w:w="9811" w:type="dxa"/>
            <w:shd w:val="clear" w:color="auto" w:fill="FFFFFF" w:themeFill="background1"/>
            <w:vAlign w:val="center"/>
          </w:tcPr>
          <w:p w14:paraId="24FE2BCA" w14:textId="25D1A048"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 xml:space="preserve">Priority 1.2 </w:t>
            </w:r>
            <w:r w:rsidRPr="007C4D65">
              <w:rPr>
                <w:rFonts w:asciiTheme="minorHAnsi" w:hAnsiTheme="minorHAnsi" w:cstheme="minorHAnsi"/>
                <w:color w:val="000000" w:themeColor="text1"/>
                <w:sz w:val="18"/>
              </w:rPr>
              <w:t xml:space="preserve">- </w:t>
            </w:r>
            <w:r w:rsidR="00DA0CA7" w:rsidRPr="007C4D65">
              <w:rPr>
                <w:rFonts w:asciiTheme="minorHAnsi" w:hAnsiTheme="minorHAnsi" w:cstheme="minorHAnsi"/>
                <w:color w:val="000000" w:themeColor="text1"/>
                <w:sz w:val="18"/>
              </w:rPr>
              <w:t>Provide</w:t>
            </w:r>
            <w:r w:rsidRPr="007C4D65">
              <w:rPr>
                <w:rFonts w:asciiTheme="minorHAnsi" w:hAnsiTheme="minorHAnsi" w:cstheme="minorHAnsi"/>
                <w:color w:val="000000" w:themeColor="text1"/>
                <w:sz w:val="18"/>
              </w:rPr>
              <w:t xml:space="preserve"> conditions for achieving sustainable use of water resources     </w:t>
            </w:r>
          </w:p>
          <w:p w14:paraId="45E2B288" w14:textId="77777777"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Priority 2.2</w:t>
            </w:r>
            <w:r w:rsidRPr="007C4D65">
              <w:rPr>
                <w:rFonts w:asciiTheme="minorHAnsi" w:hAnsiTheme="minorHAnsi" w:cstheme="minorHAnsi"/>
                <w:color w:val="000000" w:themeColor="text1"/>
                <w:sz w:val="18"/>
              </w:rPr>
              <w:t xml:space="preserve"> - Improving the waste records and reporting system</w:t>
            </w:r>
          </w:p>
          <w:p w14:paraId="24E7F68E" w14:textId="28E4DB12"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Priority 2.3</w:t>
            </w:r>
            <w:r w:rsidRPr="007C4D65">
              <w:rPr>
                <w:rFonts w:asciiTheme="minorHAnsi" w:hAnsiTheme="minorHAnsi" w:cstheme="minorHAnsi"/>
                <w:color w:val="000000" w:themeColor="text1"/>
                <w:sz w:val="18"/>
              </w:rPr>
              <w:t xml:space="preserve"> - </w:t>
            </w:r>
            <w:r w:rsidR="009E6B20" w:rsidRPr="007C4D65">
              <w:rPr>
                <w:rFonts w:asciiTheme="minorHAnsi" w:hAnsiTheme="minorHAnsi" w:cstheme="minorHAnsi"/>
                <w:color w:val="000000" w:themeColor="text1"/>
                <w:sz w:val="18"/>
              </w:rPr>
              <w:t>Implementing economic and financial instruments and mechanisms to reduce the amount of waste and boost utilisation of all categories of waste</w:t>
            </w:r>
          </w:p>
          <w:p w14:paraId="71EA75AE" w14:textId="77777777"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Priority 2.7</w:t>
            </w:r>
            <w:r w:rsidRPr="007C4D65">
              <w:rPr>
                <w:rFonts w:asciiTheme="minorHAnsi" w:hAnsiTheme="minorHAnsi" w:cstheme="minorHAnsi"/>
                <w:color w:val="000000" w:themeColor="text1"/>
                <w:sz w:val="18"/>
              </w:rPr>
              <w:t xml:space="preserve"> - Raise awareness about the proper separation, collection and disposal of waste</w:t>
            </w:r>
          </w:p>
          <w:p w14:paraId="4AB19B15" w14:textId="77777777"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 xml:space="preserve">Priority 3.2 </w:t>
            </w:r>
            <w:r w:rsidRPr="007C4D65">
              <w:rPr>
                <w:rFonts w:asciiTheme="minorHAnsi" w:hAnsiTheme="minorHAnsi" w:cstheme="minorHAnsi"/>
                <w:color w:val="000000" w:themeColor="text1"/>
                <w:sz w:val="18"/>
              </w:rPr>
              <w:t xml:space="preserve">- Strengthening </w:t>
            </w:r>
            <w:proofErr w:type="gramStart"/>
            <w:r w:rsidRPr="007C4D65">
              <w:rPr>
                <w:rFonts w:asciiTheme="minorHAnsi" w:hAnsiTheme="minorHAnsi" w:cstheme="minorHAnsi"/>
                <w:color w:val="000000" w:themeColor="text1"/>
                <w:sz w:val="18"/>
              </w:rPr>
              <w:t>the  institutions</w:t>
            </w:r>
            <w:proofErr w:type="gramEnd"/>
            <w:r w:rsidRPr="007C4D65">
              <w:rPr>
                <w:rFonts w:asciiTheme="minorHAnsi" w:hAnsiTheme="minorHAnsi" w:cstheme="minorHAnsi"/>
                <w:color w:val="000000" w:themeColor="text1"/>
                <w:sz w:val="18"/>
              </w:rPr>
              <w:t xml:space="preserve"> of the Federation of BiH responsible for the implementation of the nature conservation legislation and activities</w:t>
            </w:r>
          </w:p>
          <w:p w14:paraId="1A974CAC" w14:textId="6F734139"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 xml:space="preserve">Priority 3.7 </w:t>
            </w:r>
            <w:r w:rsidRPr="007C4D65">
              <w:rPr>
                <w:rFonts w:asciiTheme="minorHAnsi" w:hAnsiTheme="minorHAnsi" w:cstheme="minorHAnsi"/>
                <w:color w:val="000000" w:themeColor="text1"/>
                <w:sz w:val="18"/>
              </w:rPr>
              <w:t xml:space="preserve">- Improve the </w:t>
            </w:r>
            <w:r w:rsidR="00007DA5" w:rsidRPr="007C4D65">
              <w:rPr>
                <w:rFonts w:asciiTheme="minorHAnsi" w:hAnsiTheme="minorHAnsi" w:cstheme="minorHAnsi"/>
                <w:color w:val="000000" w:themeColor="text1"/>
                <w:sz w:val="18"/>
              </w:rPr>
              <w:t>cross-sectoral</w:t>
            </w:r>
            <w:r w:rsidRPr="007C4D65">
              <w:rPr>
                <w:rFonts w:asciiTheme="minorHAnsi" w:hAnsiTheme="minorHAnsi" w:cstheme="minorHAnsi"/>
                <w:color w:val="000000" w:themeColor="text1"/>
                <w:sz w:val="18"/>
              </w:rPr>
              <w:t xml:space="preserve"> cooperation and political support in the Federation of BiH for integration of biodiversity protection into sectoral policies and legislation</w:t>
            </w:r>
          </w:p>
          <w:p w14:paraId="3965265F" w14:textId="77777777"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Priority 3.9</w:t>
            </w:r>
            <w:r w:rsidRPr="007C4D65">
              <w:rPr>
                <w:rFonts w:asciiTheme="minorHAnsi" w:hAnsiTheme="minorHAnsi" w:cstheme="minorHAnsi"/>
                <w:color w:val="000000" w:themeColor="text1"/>
                <w:sz w:val="18"/>
              </w:rPr>
              <w:t xml:space="preserve"> - Developing environmental awareness about biodiversity, nature conservation and ecosystem services</w:t>
            </w:r>
          </w:p>
          <w:p w14:paraId="787DD3B7" w14:textId="77777777"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Priority 4.1</w:t>
            </w:r>
            <w:r w:rsidRPr="007C4D65">
              <w:rPr>
                <w:rFonts w:asciiTheme="minorHAnsi" w:hAnsiTheme="minorHAnsi" w:cstheme="minorHAnsi"/>
                <w:color w:val="000000" w:themeColor="text1"/>
                <w:sz w:val="18"/>
              </w:rPr>
              <w:t xml:space="preserve"> - Reduce air pollution by reducing air pollutants to levels that are safe for human health</w:t>
            </w:r>
          </w:p>
          <w:p w14:paraId="0E2FFF15" w14:textId="198ECAF3"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Priority 4.3</w:t>
            </w:r>
            <w:r w:rsidRPr="007C4D65">
              <w:rPr>
                <w:rFonts w:asciiTheme="minorHAnsi" w:hAnsiTheme="minorHAnsi" w:cstheme="minorHAnsi"/>
                <w:color w:val="000000" w:themeColor="text1"/>
                <w:sz w:val="18"/>
              </w:rPr>
              <w:t xml:space="preserve"> - </w:t>
            </w:r>
            <w:r w:rsidR="00131E81" w:rsidRPr="007C4D65">
              <w:rPr>
                <w:rFonts w:asciiTheme="minorHAnsi" w:hAnsiTheme="minorHAnsi" w:cstheme="minorHAnsi"/>
                <w:color w:val="000000" w:themeColor="text1"/>
                <w:sz w:val="18"/>
              </w:rPr>
              <w:t>Reduce the impact of the Federation of BiH on climate changes through reduced GHG emissions and enhanced carbon sinks</w:t>
            </w:r>
          </w:p>
          <w:p w14:paraId="625975CF" w14:textId="261176E2"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Priority 4.4</w:t>
            </w:r>
            <w:r w:rsidRPr="007C4D65">
              <w:rPr>
                <w:rFonts w:asciiTheme="minorHAnsi" w:hAnsiTheme="minorHAnsi" w:cstheme="minorHAnsi"/>
                <w:color w:val="000000" w:themeColor="text1"/>
                <w:sz w:val="18"/>
              </w:rPr>
              <w:t xml:space="preserve"> - </w:t>
            </w:r>
            <w:r w:rsidR="00915506" w:rsidRPr="007C4D65">
              <w:rPr>
                <w:rFonts w:asciiTheme="minorHAnsi" w:hAnsiTheme="minorHAnsi" w:cstheme="minorHAnsi"/>
                <w:color w:val="000000" w:themeColor="text1"/>
                <w:sz w:val="18"/>
              </w:rPr>
              <w:t xml:space="preserve">Enhancing resilience to climate change  </w:t>
            </w:r>
          </w:p>
          <w:p w14:paraId="1D097459" w14:textId="421F4B2C"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Priority 4.5</w:t>
            </w:r>
            <w:r w:rsidRPr="007C4D65">
              <w:rPr>
                <w:rFonts w:asciiTheme="minorHAnsi" w:hAnsiTheme="minorHAnsi" w:cstheme="minorHAnsi"/>
                <w:color w:val="000000" w:themeColor="text1"/>
                <w:sz w:val="18"/>
              </w:rPr>
              <w:t xml:space="preserve"> - Improving </w:t>
            </w:r>
            <w:r w:rsidR="009477FB" w:rsidRPr="007C4D65">
              <w:rPr>
                <w:rFonts w:asciiTheme="minorHAnsi" w:hAnsiTheme="minorHAnsi" w:cstheme="minorHAnsi"/>
                <w:color w:val="000000" w:themeColor="text1"/>
                <w:sz w:val="18"/>
              </w:rPr>
              <w:t>energy efficiency of final consumption</w:t>
            </w:r>
            <w:r w:rsidRPr="007C4D65">
              <w:rPr>
                <w:rFonts w:asciiTheme="minorHAnsi" w:hAnsiTheme="minorHAnsi" w:cstheme="minorHAnsi"/>
                <w:color w:val="000000" w:themeColor="text1"/>
                <w:sz w:val="18"/>
              </w:rPr>
              <w:t xml:space="preserve"> in all sectors</w:t>
            </w:r>
          </w:p>
          <w:p w14:paraId="0EC12E43" w14:textId="22A6536F"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lastRenderedPageBreak/>
              <w:t>Priority 4.6</w:t>
            </w:r>
            <w:r w:rsidRPr="007C4D65">
              <w:rPr>
                <w:rFonts w:asciiTheme="minorHAnsi" w:hAnsiTheme="minorHAnsi" w:cstheme="minorHAnsi"/>
                <w:color w:val="000000" w:themeColor="text1"/>
                <w:sz w:val="18"/>
              </w:rPr>
              <w:t xml:space="preserve"> - </w:t>
            </w:r>
            <w:r w:rsidR="00197A0A" w:rsidRPr="007C4D65">
              <w:rPr>
                <w:rFonts w:asciiTheme="minorHAnsi" w:hAnsiTheme="minorHAnsi" w:cstheme="minorHAnsi"/>
                <w:color w:val="000000" w:themeColor="text1"/>
                <w:sz w:val="18"/>
              </w:rPr>
              <w:t>Increasing the share of renewable energy along with an incentive scheme reform (focusing on citizens energy)</w:t>
            </w:r>
          </w:p>
          <w:p w14:paraId="24186F19" w14:textId="77777777"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 xml:space="preserve">Priority 5.3 </w:t>
            </w:r>
            <w:r w:rsidRPr="007C4D65">
              <w:rPr>
                <w:rFonts w:asciiTheme="minorHAnsi" w:hAnsiTheme="minorHAnsi" w:cstheme="minorHAnsi"/>
                <w:color w:val="000000" w:themeColor="text1"/>
                <w:sz w:val="18"/>
              </w:rPr>
              <w:t>- Efficient operation of institutions of the Federation of BiH in the field of chemical safety</w:t>
            </w:r>
          </w:p>
          <w:p w14:paraId="586AD2BE" w14:textId="77777777"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Priority 5.7</w:t>
            </w:r>
            <w:r w:rsidRPr="007C4D65">
              <w:rPr>
                <w:rFonts w:asciiTheme="minorHAnsi" w:hAnsiTheme="minorHAnsi" w:cstheme="minorHAnsi"/>
                <w:color w:val="000000" w:themeColor="text1"/>
                <w:sz w:val="18"/>
              </w:rPr>
              <w:t xml:space="preserve"> - Efficient operation of institutions </w:t>
            </w:r>
            <w:proofErr w:type="gramStart"/>
            <w:r w:rsidRPr="007C4D65">
              <w:rPr>
                <w:rFonts w:asciiTheme="minorHAnsi" w:hAnsiTheme="minorHAnsi" w:cstheme="minorHAnsi"/>
                <w:color w:val="000000" w:themeColor="text1"/>
                <w:sz w:val="18"/>
              </w:rPr>
              <w:t>in the area of</w:t>
            </w:r>
            <w:proofErr w:type="gramEnd"/>
            <w:r w:rsidRPr="007C4D65">
              <w:rPr>
                <w:rFonts w:asciiTheme="minorHAnsi" w:hAnsiTheme="minorHAnsi" w:cstheme="minorHAnsi"/>
                <w:color w:val="000000" w:themeColor="text1"/>
                <w:sz w:val="18"/>
              </w:rPr>
              <w:t xml:space="preserve"> environmental noise</w:t>
            </w:r>
          </w:p>
          <w:p w14:paraId="1523B9DD" w14:textId="79345D4D"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 xml:space="preserve">Priority 6.1 </w:t>
            </w:r>
            <w:r w:rsidRPr="007C4D65">
              <w:rPr>
                <w:rFonts w:asciiTheme="minorHAnsi" w:hAnsiTheme="minorHAnsi" w:cstheme="minorHAnsi"/>
                <w:color w:val="000000" w:themeColor="text1"/>
                <w:sz w:val="18"/>
              </w:rPr>
              <w:t xml:space="preserve">- </w:t>
            </w:r>
            <w:r w:rsidR="00DF4EC7" w:rsidRPr="007C4D65">
              <w:rPr>
                <w:rFonts w:asciiTheme="minorHAnsi" w:hAnsiTheme="minorHAnsi" w:cstheme="minorHAnsi"/>
                <w:color w:val="000000" w:themeColor="text1"/>
                <w:sz w:val="18"/>
              </w:rPr>
              <w:t>Establish an effective legal, strategic and institutional framework for sustainable forest and forest resources management in the Federation of BiH, appropriate valuation of forest resources, and ensure integration of gender and climate change issues</w:t>
            </w:r>
          </w:p>
          <w:p w14:paraId="169E09E9" w14:textId="77777777"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 xml:space="preserve">Priority 6.2 </w:t>
            </w:r>
            <w:r w:rsidRPr="007C4D65">
              <w:rPr>
                <w:rFonts w:asciiTheme="minorHAnsi" w:hAnsiTheme="minorHAnsi" w:cstheme="minorHAnsi"/>
                <w:color w:val="000000" w:themeColor="text1"/>
                <w:sz w:val="18"/>
              </w:rPr>
              <w:t>– Enhance legal, strategic and institutional frameworks for sustainable management of hunting game</w:t>
            </w:r>
          </w:p>
          <w:p w14:paraId="47EEF314" w14:textId="77777777"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 xml:space="preserve">Priority 6.3 </w:t>
            </w:r>
            <w:r w:rsidRPr="007C4D65">
              <w:rPr>
                <w:rFonts w:asciiTheme="minorHAnsi" w:hAnsiTheme="minorHAnsi" w:cstheme="minorHAnsi"/>
                <w:color w:val="000000" w:themeColor="text1"/>
                <w:sz w:val="18"/>
              </w:rPr>
              <w:t>- Enhance legal, strategic and institutional frameworks for sustainable management of fish stock</w:t>
            </w:r>
          </w:p>
          <w:p w14:paraId="34F03263" w14:textId="77777777"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 xml:space="preserve">Priority 6.4 </w:t>
            </w:r>
            <w:r w:rsidRPr="007C4D65">
              <w:rPr>
                <w:rFonts w:asciiTheme="minorHAnsi" w:hAnsiTheme="minorHAnsi" w:cstheme="minorHAnsi"/>
                <w:color w:val="000000" w:themeColor="text1"/>
                <w:sz w:val="18"/>
              </w:rPr>
              <w:t>- Establish integrated and sustainable management of land resources</w:t>
            </w:r>
          </w:p>
          <w:p w14:paraId="7DC9DDEC" w14:textId="77777777"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Priority 6.5</w:t>
            </w:r>
            <w:r w:rsidRPr="007C4D65">
              <w:rPr>
                <w:rFonts w:asciiTheme="minorHAnsi" w:hAnsiTheme="minorHAnsi" w:cstheme="minorHAnsi"/>
                <w:color w:val="000000" w:themeColor="text1"/>
                <w:sz w:val="18"/>
              </w:rPr>
              <w:t xml:space="preserve"> - Establishing a system of sustainable and responsible research, exploitation and management of mineral raw materials</w:t>
            </w:r>
          </w:p>
          <w:p w14:paraId="44539E65" w14:textId="0BB7D1EB"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 xml:space="preserve">Priority 7.1 </w:t>
            </w:r>
            <w:r w:rsidRPr="007C4D65">
              <w:rPr>
                <w:rFonts w:asciiTheme="minorHAnsi" w:hAnsiTheme="minorHAnsi" w:cstheme="minorHAnsi"/>
                <w:color w:val="000000" w:themeColor="text1"/>
                <w:sz w:val="18"/>
              </w:rPr>
              <w:t xml:space="preserve">- </w:t>
            </w:r>
            <w:r w:rsidR="005A2219" w:rsidRPr="007C4D65">
              <w:rPr>
                <w:rFonts w:asciiTheme="minorHAnsi" w:hAnsiTheme="minorHAnsi" w:cstheme="minorHAnsi"/>
                <w:sz w:val="18"/>
              </w:rPr>
              <w:t>Improving the legal framework and sectoral policies for planning, management and protection of the environment in the Federation of BiH with the view of fully aligning the legislation with the EU environmental acquis and international agreements</w:t>
            </w:r>
          </w:p>
          <w:p w14:paraId="56F065AD" w14:textId="69F1168D"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Priority 7.3</w:t>
            </w:r>
            <w:r w:rsidRPr="007C4D65">
              <w:rPr>
                <w:rFonts w:asciiTheme="minorHAnsi" w:hAnsiTheme="minorHAnsi" w:cstheme="minorHAnsi"/>
                <w:color w:val="000000" w:themeColor="text1"/>
                <w:sz w:val="18"/>
              </w:rPr>
              <w:t xml:space="preserve"> - </w:t>
            </w:r>
            <w:r w:rsidR="00864E60" w:rsidRPr="007C4D65">
              <w:rPr>
                <w:rFonts w:asciiTheme="minorHAnsi" w:hAnsiTheme="minorHAnsi" w:cstheme="minorHAnsi"/>
                <w:color w:val="000000" w:themeColor="text1"/>
                <w:sz w:val="18"/>
              </w:rPr>
              <w:t>Maximise the capacity of institutions and their coordination</w:t>
            </w:r>
          </w:p>
        </w:tc>
      </w:tr>
      <w:tr w:rsidR="00635C53" w:rsidRPr="007C4D65" w14:paraId="74E90338" w14:textId="77777777" w:rsidTr="00B6017F">
        <w:trPr>
          <w:jc w:val="center"/>
        </w:trPr>
        <w:tc>
          <w:tcPr>
            <w:tcW w:w="4076" w:type="dxa"/>
            <w:tcBorders>
              <w:bottom w:val="single" w:sz="4" w:space="0" w:color="D0CECE" w:themeColor="background2" w:themeShade="E6"/>
            </w:tcBorders>
            <w:shd w:val="clear" w:color="auto" w:fill="FFFFFF" w:themeFill="background1"/>
            <w:vAlign w:val="center"/>
          </w:tcPr>
          <w:p w14:paraId="5455B110" w14:textId="262AE08D"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lastRenderedPageBreak/>
              <w:t>Strategic goal 4</w:t>
            </w:r>
            <w:r w:rsidR="00C90B32" w:rsidRPr="007C4D65">
              <w:rPr>
                <w:rFonts w:asciiTheme="minorHAnsi" w:hAnsiTheme="minorHAnsi" w:cstheme="minorHAnsi"/>
                <w:b/>
                <w:color w:val="000000" w:themeColor="text1"/>
                <w:sz w:val="18"/>
              </w:rPr>
              <w:t xml:space="preserve"> </w:t>
            </w:r>
            <w:r w:rsidR="00674E70" w:rsidRPr="007C4D65">
              <w:rPr>
                <w:rFonts w:asciiTheme="minorHAnsi" w:hAnsiTheme="minorHAnsi" w:cstheme="minorHAnsi"/>
                <w:b/>
                <w:color w:val="000000" w:themeColor="text1"/>
                <w:sz w:val="18"/>
              </w:rPr>
              <w:t>-</w:t>
            </w:r>
            <w:r w:rsidRPr="007C4D65">
              <w:rPr>
                <w:rFonts w:asciiTheme="minorHAnsi" w:hAnsiTheme="minorHAnsi" w:cstheme="minorHAnsi"/>
                <w:b/>
                <w:color w:val="000000" w:themeColor="text1"/>
                <w:sz w:val="18"/>
              </w:rPr>
              <w:t xml:space="preserve"> Efficient</w:t>
            </w:r>
            <w:r w:rsidR="00E55311" w:rsidRPr="007C4D65">
              <w:rPr>
                <w:rFonts w:asciiTheme="minorHAnsi" w:hAnsiTheme="minorHAnsi" w:cstheme="minorHAnsi"/>
                <w:b/>
                <w:color w:val="000000" w:themeColor="text1"/>
                <w:sz w:val="18"/>
              </w:rPr>
              <w:t>, transparent and accountable public sector</w:t>
            </w:r>
          </w:p>
        </w:tc>
        <w:tc>
          <w:tcPr>
            <w:tcW w:w="9811" w:type="dxa"/>
            <w:tcBorders>
              <w:bottom w:val="single" w:sz="4" w:space="0" w:color="D0CECE" w:themeColor="background2" w:themeShade="E6"/>
            </w:tcBorders>
            <w:shd w:val="clear" w:color="auto" w:fill="FFFFFF" w:themeFill="background1"/>
            <w:vAlign w:val="center"/>
          </w:tcPr>
          <w:p w14:paraId="767690C5" w14:textId="4BDC9FF3"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 xml:space="preserve">Priority 7.3 </w:t>
            </w:r>
            <w:r w:rsidRPr="007C4D65">
              <w:rPr>
                <w:rFonts w:asciiTheme="minorHAnsi" w:hAnsiTheme="minorHAnsi" w:cstheme="minorHAnsi"/>
                <w:color w:val="000000" w:themeColor="text1"/>
                <w:sz w:val="18"/>
              </w:rPr>
              <w:t xml:space="preserve">- </w:t>
            </w:r>
            <w:r w:rsidR="00864E60" w:rsidRPr="007C4D65">
              <w:rPr>
                <w:rFonts w:asciiTheme="minorHAnsi" w:hAnsiTheme="minorHAnsi" w:cstheme="minorHAnsi"/>
                <w:color w:val="000000" w:themeColor="text1"/>
                <w:sz w:val="18"/>
              </w:rPr>
              <w:t>Maximise the capacity of institutions and their coordination</w:t>
            </w:r>
          </w:p>
          <w:p w14:paraId="3D9CCD3A" w14:textId="2CBD9C9F" w:rsidR="00635C53" w:rsidRPr="007C4D65" w:rsidRDefault="00635C53"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b/>
                <w:color w:val="000000" w:themeColor="text1"/>
                <w:sz w:val="18"/>
              </w:rPr>
              <w:t>Priority 7.4</w:t>
            </w:r>
            <w:r w:rsidRPr="007C4D65">
              <w:rPr>
                <w:rFonts w:asciiTheme="minorHAnsi" w:hAnsiTheme="minorHAnsi" w:cstheme="minorHAnsi"/>
                <w:color w:val="000000" w:themeColor="text1"/>
                <w:sz w:val="18"/>
              </w:rPr>
              <w:t xml:space="preserve"> - </w:t>
            </w:r>
            <w:r w:rsidR="00A323B2" w:rsidRPr="007C4D65">
              <w:rPr>
                <w:rFonts w:asciiTheme="minorHAnsi" w:hAnsiTheme="minorHAnsi" w:cstheme="minorHAnsi"/>
                <w:color w:val="000000" w:themeColor="text1"/>
                <w:sz w:val="18"/>
              </w:rPr>
              <w:t xml:space="preserve">Ensuring strong public awareness on the importance of the environmental protection and their engagement in </w:t>
            </w:r>
            <w:r w:rsidR="009F16BA" w:rsidRPr="007C4D65">
              <w:rPr>
                <w:rFonts w:asciiTheme="minorHAnsi" w:hAnsiTheme="minorHAnsi" w:cstheme="minorHAnsi"/>
                <w:color w:val="000000" w:themeColor="text1"/>
                <w:sz w:val="18"/>
              </w:rPr>
              <w:t xml:space="preserve">decision-making  </w:t>
            </w:r>
            <w:r w:rsidR="00A323B2" w:rsidRPr="007C4D65">
              <w:rPr>
                <w:rFonts w:asciiTheme="minorHAnsi" w:hAnsiTheme="minorHAnsi" w:cstheme="minorHAnsi"/>
                <w:color w:val="000000" w:themeColor="text1"/>
                <w:sz w:val="18"/>
              </w:rPr>
              <w:t xml:space="preserve"> processes, focusing on women, youth and socially vulnerable groups</w:t>
            </w:r>
          </w:p>
          <w:p w14:paraId="7283B5CF" w14:textId="77777777" w:rsidR="00A901FB" w:rsidRPr="007C4D65" w:rsidRDefault="00635C53" w:rsidP="00B6017F">
            <w:pPr>
              <w:spacing w:line="276" w:lineRule="auto"/>
              <w:rPr>
                <w:rFonts w:asciiTheme="minorHAnsi" w:hAnsiTheme="minorHAnsi" w:cstheme="minorHAnsi"/>
                <w:color w:val="000000" w:themeColor="text1"/>
                <w:sz w:val="18"/>
              </w:rPr>
            </w:pPr>
            <w:r w:rsidRPr="007C4D65">
              <w:rPr>
                <w:rFonts w:asciiTheme="minorHAnsi" w:hAnsiTheme="minorHAnsi" w:cstheme="minorHAnsi"/>
                <w:b/>
                <w:color w:val="000000" w:themeColor="text1"/>
                <w:sz w:val="18"/>
              </w:rPr>
              <w:t xml:space="preserve">Priority 7.5 </w:t>
            </w:r>
            <w:r w:rsidRPr="007C4D65">
              <w:rPr>
                <w:rFonts w:asciiTheme="minorHAnsi" w:hAnsiTheme="minorHAnsi" w:cstheme="minorHAnsi"/>
                <w:color w:val="000000" w:themeColor="text1"/>
                <w:sz w:val="18"/>
              </w:rPr>
              <w:t xml:space="preserve">- </w:t>
            </w:r>
            <w:r w:rsidR="00A901FB" w:rsidRPr="007C4D65">
              <w:rPr>
                <w:rFonts w:asciiTheme="minorHAnsi" w:hAnsiTheme="minorHAnsi" w:cstheme="minorHAnsi"/>
                <w:color w:val="000000" w:themeColor="text1"/>
                <w:sz w:val="18"/>
              </w:rPr>
              <w:t>Set up an efficient system for record keeping and transparent reporting of environmental data in the Federation of BiH, in consultation with the Partnership 27</w:t>
            </w:r>
          </w:p>
          <w:p w14:paraId="3B6D8DE3" w14:textId="531E74AB" w:rsidR="00635C53" w:rsidRPr="007C4D65" w:rsidRDefault="00635C53" w:rsidP="00B6017F">
            <w:pPr>
              <w:spacing w:line="276" w:lineRule="auto"/>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Priority 7.7</w:t>
            </w:r>
            <w:r w:rsidRPr="007C4D65">
              <w:rPr>
                <w:rFonts w:asciiTheme="minorHAnsi" w:hAnsiTheme="minorHAnsi" w:cstheme="minorHAnsi"/>
                <w:color w:val="000000" w:themeColor="text1"/>
                <w:sz w:val="18"/>
              </w:rPr>
              <w:t xml:space="preserve"> - Ensuring financial sustainability of the environment sector in the Federation of BiH</w:t>
            </w:r>
          </w:p>
        </w:tc>
      </w:tr>
      <w:tr w:rsidR="00635C53" w:rsidRPr="007C4D65" w14:paraId="225B6987" w14:textId="77777777" w:rsidTr="00B6017F">
        <w:trPr>
          <w:jc w:val="center"/>
        </w:trPr>
        <w:tc>
          <w:tcPr>
            <w:tcW w:w="4076" w:type="dxa"/>
            <w:shd w:val="clear" w:color="auto" w:fill="009D73"/>
            <w:vAlign w:val="center"/>
          </w:tcPr>
          <w:p w14:paraId="2A2D7FAB" w14:textId="2DCE80B3" w:rsidR="00635C53" w:rsidRPr="007C4D65" w:rsidRDefault="00635C53" w:rsidP="00B6017F">
            <w:pPr>
              <w:spacing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 xml:space="preserve">Water Management Strategy </w:t>
            </w:r>
            <w:r w:rsidR="007436F1" w:rsidRPr="007C4D65">
              <w:rPr>
                <w:rFonts w:asciiTheme="minorHAnsi" w:hAnsiTheme="minorHAnsi" w:cstheme="minorHAnsi"/>
                <w:b/>
                <w:color w:val="FFFFFF" w:themeColor="background1"/>
                <w:sz w:val="18"/>
              </w:rPr>
              <w:t>of the Federation of BiH</w:t>
            </w:r>
            <w:r w:rsidRPr="007C4D65">
              <w:rPr>
                <w:rFonts w:asciiTheme="minorHAnsi" w:hAnsiTheme="minorHAnsi" w:cstheme="minorHAnsi"/>
                <w:b/>
                <w:color w:val="FFFFFF" w:themeColor="background1"/>
                <w:sz w:val="18"/>
              </w:rPr>
              <w:t xml:space="preserve"> 2010‒ 2022.</w:t>
            </w:r>
          </w:p>
        </w:tc>
        <w:tc>
          <w:tcPr>
            <w:tcW w:w="9811" w:type="dxa"/>
            <w:shd w:val="clear" w:color="auto" w:fill="009D73"/>
            <w:vAlign w:val="center"/>
          </w:tcPr>
          <w:p w14:paraId="2E879492" w14:textId="77777777" w:rsidR="00635C53" w:rsidRPr="007C4D65" w:rsidRDefault="00635C53" w:rsidP="00B6017F">
            <w:pPr>
              <w:spacing w:line="276" w:lineRule="auto"/>
              <w:rPr>
                <w:rFonts w:asciiTheme="minorHAnsi" w:hAnsiTheme="minorHAnsi" w:cstheme="minorHAnsi"/>
                <w:b/>
                <w:color w:val="FFFFFF" w:themeColor="background1"/>
                <w:sz w:val="18"/>
                <w:szCs w:val="18"/>
                <w:lang w:val="hr-HR"/>
              </w:rPr>
            </w:pPr>
          </w:p>
        </w:tc>
      </w:tr>
      <w:tr w:rsidR="00635C53" w:rsidRPr="007C4D65" w14:paraId="70943434" w14:textId="77777777" w:rsidTr="00B6017F">
        <w:trPr>
          <w:jc w:val="center"/>
        </w:trPr>
        <w:tc>
          <w:tcPr>
            <w:tcW w:w="4076" w:type="dxa"/>
            <w:shd w:val="clear" w:color="auto" w:fill="auto"/>
            <w:vAlign w:val="center"/>
          </w:tcPr>
          <w:p w14:paraId="27EC1445" w14:textId="0133552E"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4.1.1.1. Coverage of the </w:t>
            </w:r>
            <w:r w:rsidR="00F00EB6" w:rsidRPr="007C4D65">
              <w:rPr>
                <w:rFonts w:asciiTheme="minorHAnsi" w:hAnsiTheme="minorHAnsi" w:cstheme="minorHAnsi"/>
                <w:b/>
                <w:sz w:val="18"/>
              </w:rPr>
              <w:t>population</w:t>
            </w:r>
            <w:r w:rsidRPr="007C4D65">
              <w:rPr>
                <w:rFonts w:asciiTheme="minorHAnsi" w:hAnsiTheme="minorHAnsi" w:cstheme="minorHAnsi"/>
                <w:b/>
                <w:sz w:val="18"/>
              </w:rPr>
              <w:t xml:space="preserve"> with public waters supply system</w:t>
            </w:r>
          </w:p>
        </w:tc>
        <w:tc>
          <w:tcPr>
            <w:tcW w:w="9811" w:type="dxa"/>
            <w:shd w:val="clear" w:color="auto" w:fill="auto"/>
            <w:vAlign w:val="center"/>
          </w:tcPr>
          <w:p w14:paraId="26D265B2" w14:textId="42399410"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1.2 </w:t>
            </w:r>
            <w:r w:rsidRPr="007C4D65">
              <w:rPr>
                <w:rFonts w:asciiTheme="minorHAnsi" w:hAnsiTheme="minorHAnsi" w:cstheme="minorHAnsi"/>
                <w:sz w:val="18"/>
              </w:rPr>
              <w:t xml:space="preserve">- </w:t>
            </w:r>
            <w:r w:rsidR="00DA0CA7" w:rsidRPr="007C4D65">
              <w:rPr>
                <w:rFonts w:asciiTheme="minorHAnsi" w:hAnsiTheme="minorHAnsi" w:cstheme="minorHAnsi"/>
                <w:sz w:val="18"/>
              </w:rPr>
              <w:t xml:space="preserve">Provide conditions for achieving sustainable use of water resources  </w:t>
            </w:r>
          </w:p>
        </w:tc>
      </w:tr>
      <w:tr w:rsidR="00635C53" w:rsidRPr="007C4D65" w14:paraId="0EAA0FF2" w14:textId="77777777" w:rsidTr="00B6017F">
        <w:trPr>
          <w:jc w:val="center"/>
        </w:trPr>
        <w:tc>
          <w:tcPr>
            <w:tcW w:w="4076" w:type="dxa"/>
            <w:shd w:val="clear" w:color="auto" w:fill="auto"/>
            <w:vAlign w:val="center"/>
          </w:tcPr>
          <w:p w14:paraId="00A3A73B" w14:textId="1C411312"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4.1.1.2. Coverage of the </w:t>
            </w:r>
            <w:r w:rsidR="00F00EB6" w:rsidRPr="007C4D65">
              <w:rPr>
                <w:rFonts w:asciiTheme="minorHAnsi" w:hAnsiTheme="minorHAnsi" w:cstheme="minorHAnsi"/>
                <w:b/>
                <w:sz w:val="18"/>
              </w:rPr>
              <w:t>population</w:t>
            </w:r>
            <w:r w:rsidRPr="007C4D65">
              <w:rPr>
                <w:rFonts w:asciiTheme="minorHAnsi" w:hAnsiTheme="minorHAnsi" w:cstheme="minorHAnsi"/>
                <w:b/>
                <w:sz w:val="18"/>
              </w:rPr>
              <w:t xml:space="preserve"> with </w:t>
            </w:r>
            <w:proofErr w:type="gramStart"/>
            <w:r w:rsidRPr="007C4D65">
              <w:rPr>
                <w:rFonts w:asciiTheme="minorHAnsi" w:hAnsiTheme="minorHAnsi" w:cstheme="minorHAnsi"/>
                <w:b/>
                <w:sz w:val="18"/>
              </w:rPr>
              <w:t>waste water</w:t>
            </w:r>
            <w:proofErr w:type="gramEnd"/>
            <w:r w:rsidRPr="007C4D65">
              <w:rPr>
                <w:rFonts w:asciiTheme="minorHAnsi" w:hAnsiTheme="minorHAnsi" w:cstheme="minorHAnsi"/>
                <w:b/>
                <w:sz w:val="18"/>
              </w:rPr>
              <w:t xml:space="preserve"> drainage and treatment systems</w:t>
            </w:r>
          </w:p>
        </w:tc>
        <w:tc>
          <w:tcPr>
            <w:tcW w:w="9811" w:type="dxa"/>
            <w:shd w:val="clear" w:color="auto" w:fill="auto"/>
            <w:vAlign w:val="center"/>
          </w:tcPr>
          <w:p w14:paraId="21532B1F" w14:textId="44B5A8D4"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1.6 </w:t>
            </w:r>
            <w:r w:rsidRPr="007C4D65">
              <w:rPr>
                <w:rFonts w:asciiTheme="minorHAnsi" w:hAnsiTheme="minorHAnsi" w:cstheme="minorHAnsi"/>
                <w:sz w:val="18"/>
              </w:rPr>
              <w:t>- Ensuring financial sustainability of</w:t>
            </w:r>
            <w:r w:rsidR="001E4D90" w:rsidRPr="007C4D65">
              <w:rPr>
                <w:rFonts w:asciiTheme="minorHAnsi" w:hAnsiTheme="minorHAnsi" w:cstheme="minorHAnsi"/>
                <w:sz w:val="18"/>
              </w:rPr>
              <w:t xml:space="preserve"> the</w:t>
            </w:r>
            <w:r w:rsidRPr="007C4D65">
              <w:rPr>
                <w:rFonts w:asciiTheme="minorHAnsi" w:hAnsiTheme="minorHAnsi" w:cstheme="minorHAnsi"/>
                <w:sz w:val="18"/>
              </w:rPr>
              <w:t xml:space="preserve"> water sector</w:t>
            </w:r>
          </w:p>
        </w:tc>
      </w:tr>
      <w:tr w:rsidR="00635C53" w:rsidRPr="007C4D65" w14:paraId="3E536A01" w14:textId="77777777" w:rsidTr="00B6017F">
        <w:trPr>
          <w:jc w:val="center"/>
        </w:trPr>
        <w:tc>
          <w:tcPr>
            <w:tcW w:w="4076" w:type="dxa"/>
            <w:shd w:val="clear" w:color="auto" w:fill="auto"/>
            <w:vAlign w:val="center"/>
          </w:tcPr>
          <w:p w14:paraId="2D326110"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4.1.1.3. Surface water quality</w:t>
            </w:r>
          </w:p>
        </w:tc>
        <w:tc>
          <w:tcPr>
            <w:tcW w:w="9811" w:type="dxa"/>
            <w:shd w:val="clear" w:color="auto" w:fill="auto"/>
            <w:vAlign w:val="center"/>
          </w:tcPr>
          <w:p w14:paraId="00C2701B"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1.1 </w:t>
            </w:r>
            <w:r w:rsidRPr="007C4D65">
              <w:rPr>
                <w:rFonts w:asciiTheme="minorHAnsi" w:hAnsiTheme="minorHAnsi" w:cstheme="minorHAnsi"/>
                <w:sz w:val="18"/>
              </w:rPr>
              <w:t>- Prevent deterioration and improve status of water bodies</w:t>
            </w:r>
          </w:p>
        </w:tc>
      </w:tr>
      <w:tr w:rsidR="00635C53" w:rsidRPr="007C4D65" w14:paraId="3B1F95E1" w14:textId="77777777" w:rsidTr="00B6017F">
        <w:trPr>
          <w:jc w:val="center"/>
        </w:trPr>
        <w:tc>
          <w:tcPr>
            <w:tcW w:w="4076" w:type="dxa"/>
            <w:shd w:val="clear" w:color="auto" w:fill="auto"/>
            <w:vAlign w:val="center"/>
          </w:tcPr>
          <w:p w14:paraId="21166E50"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4.1.1.4. Ground water quality</w:t>
            </w:r>
          </w:p>
        </w:tc>
        <w:tc>
          <w:tcPr>
            <w:tcW w:w="9811" w:type="dxa"/>
            <w:shd w:val="clear" w:color="auto" w:fill="auto"/>
            <w:vAlign w:val="center"/>
          </w:tcPr>
          <w:p w14:paraId="7492B466"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1.1 </w:t>
            </w:r>
            <w:r w:rsidRPr="007C4D65">
              <w:rPr>
                <w:rFonts w:asciiTheme="minorHAnsi" w:hAnsiTheme="minorHAnsi" w:cstheme="minorHAnsi"/>
                <w:sz w:val="18"/>
              </w:rPr>
              <w:t>- Prevent deterioration and improve status of water bodies</w:t>
            </w:r>
          </w:p>
        </w:tc>
      </w:tr>
      <w:tr w:rsidR="00635C53" w:rsidRPr="007C4D65" w14:paraId="0BD1D885" w14:textId="77777777" w:rsidTr="00B6017F">
        <w:trPr>
          <w:jc w:val="center"/>
        </w:trPr>
        <w:tc>
          <w:tcPr>
            <w:tcW w:w="4076" w:type="dxa"/>
            <w:shd w:val="clear" w:color="auto" w:fill="auto"/>
            <w:vAlign w:val="center"/>
          </w:tcPr>
          <w:p w14:paraId="45C5B713"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4.1.1.5. Impact of floods</w:t>
            </w:r>
          </w:p>
        </w:tc>
        <w:tc>
          <w:tcPr>
            <w:tcW w:w="9811" w:type="dxa"/>
            <w:shd w:val="clear" w:color="auto" w:fill="auto"/>
            <w:vAlign w:val="center"/>
          </w:tcPr>
          <w:p w14:paraId="4D0D21AD" w14:textId="62A3453B" w:rsidR="00635C53" w:rsidRPr="007C4D65" w:rsidRDefault="00635C53" w:rsidP="001F7CB6">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1.4 </w:t>
            </w:r>
            <w:r w:rsidRPr="007C4D65">
              <w:rPr>
                <w:rFonts w:asciiTheme="minorHAnsi" w:hAnsiTheme="minorHAnsi" w:cstheme="minorHAnsi"/>
                <w:sz w:val="18"/>
              </w:rPr>
              <w:t xml:space="preserve">- </w:t>
            </w:r>
            <w:r w:rsidR="00854430" w:rsidRPr="007C4D65">
              <w:rPr>
                <w:rFonts w:asciiTheme="minorHAnsi" w:hAnsiTheme="minorHAnsi" w:cstheme="minorHAnsi"/>
                <w:sz w:val="18"/>
              </w:rPr>
              <w:t>Reducing the risk of extreme hydrological events by establishing a sustainable flood risk management system and adaptation to climate changes</w:t>
            </w:r>
          </w:p>
        </w:tc>
      </w:tr>
      <w:tr w:rsidR="00635C53" w:rsidRPr="007C4D65" w14:paraId="1116A669" w14:textId="77777777" w:rsidTr="00B6017F">
        <w:trPr>
          <w:jc w:val="center"/>
        </w:trPr>
        <w:tc>
          <w:tcPr>
            <w:tcW w:w="4076" w:type="dxa"/>
            <w:shd w:val="clear" w:color="auto" w:fill="009D73"/>
            <w:vAlign w:val="center"/>
          </w:tcPr>
          <w:p w14:paraId="0C6C24A9" w14:textId="77777777" w:rsidR="00635C53" w:rsidRPr="007C4D65" w:rsidRDefault="00635C53" w:rsidP="00B6017F">
            <w:pPr>
              <w:spacing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Green Agenda for the Western Balkans</w:t>
            </w:r>
          </w:p>
        </w:tc>
        <w:tc>
          <w:tcPr>
            <w:tcW w:w="9811" w:type="dxa"/>
            <w:shd w:val="clear" w:color="auto" w:fill="009D73"/>
            <w:vAlign w:val="center"/>
          </w:tcPr>
          <w:p w14:paraId="2BC71FAB" w14:textId="77777777" w:rsidR="00635C53" w:rsidRPr="007C4D65" w:rsidRDefault="00635C53" w:rsidP="00B6017F">
            <w:pPr>
              <w:spacing w:line="276" w:lineRule="auto"/>
              <w:rPr>
                <w:rFonts w:asciiTheme="minorHAnsi" w:hAnsiTheme="minorHAnsi" w:cstheme="minorHAnsi"/>
                <w:b/>
                <w:color w:val="FFFFFF" w:themeColor="background1"/>
                <w:sz w:val="18"/>
                <w:szCs w:val="18"/>
                <w:lang w:val="hr-HR"/>
              </w:rPr>
            </w:pPr>
          </w:p>
        </w:tc>
      </w:tr>
      <w:tr w:rsidR="00635C53" w:rsidRPr="007C4D65" w14:paraId="64AF45BB" w14:textId="77777777" w:rsidTr="00B6017F">
        <w:trPr>
          <w:jc w:val="center"/>
        </w:trPr>
        <w:tc>
          <w:tcPr>
            <w:tcW w:w="4076" w:type="dxa"/>
            <w:vAlign w:val="center"/>
          </w:tcPr>
          <w:p w14:paraId="2CFAC1F8"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Goal:</w:t>
            </w:r>
          </w:p>
          <w:p w14:paraId="2AF006EF"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lastRenderedPageBreak/>
              <w:t>Achieving climate neutrality by 2050 (decarbonization as a priority)</w:t>
            </w:r>
          </w:p>
        </w:tc>
        <w:tc>
          <w:tcPr>
            <w:tcW w:w="9811" w:type="dxa"/>
            <w:vAlign w:val="center"/>
          </w:tcPr>
          <w:p w14:paraId="5546CF5F"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lastRenderedPageBreak/>
              <w:t>Priority 4.1</w:t>
            </w:r>
            <w:r w:rsidRPr="007C4D65">
              <w:rPr>
                <w:rFonts w:asciiTheme="minorHAnsi" w:hAnsiTheme="minorHAnsi" w:cstheme="minorHAnsi"/>
                <w:sz w:val="18"/>
              </w:rPr>
              <w:t xml:space="preserve"> - Reduce air pollution by reducing air pollutants to levels that are safe for human health</w:t>
            </w:r>
          </w:p>
          <w:p w14:paraId="3ECDCBE3" w14:textId="77777777" w:rsidR="00131E81" w:rsidRPr="007C4D65" w:rsidRDefault="00635C53" w:rsidP="00B6017F">
            <w:pPr>
              <w:spacing w:line="276" w:lineRule="auto"/>
              <w:jc w:val="both"/>
              <w:rPr>
                <w:rFonts w:asciiTheme="minorHAnsi" w:hAnsiTheme="minorHAnsi" w:cstheme="minorHAnsi"/>
                <w:sz w:val="18"/>
              </w:rPr>
            </w:pPr>
            <w:r w:rsidRPr="007C4D65">
              <w:rPr>
                <w:rFonts w:asciiTheme="minorHAnsi" w:hAnsiTheme="minorHAnsi" w:cstheme="minorHAnsi"/>
                <w:b/>
                <w:sz w:val="18"/>
              </w:rPr>
              <w:lastRenderedPageBreak/>
              <w:t>Priority 4.3</w:t>
            </w:r>
            <w:r w:rsidRPr="007C4D65">
              <w:rPr>
                <w:rFonts w:asciiTheme="minorHAnsi" w:hAnsiTheme="minorHAnsi" w:cstheme="minorHAnsi"/>
                <w:sz w:val="18"/>
              </w:rPr>
              <w:t xml:space="preserve"> - </w:t>
            </w:r>
            <w:r w:rsidR="00131E81" w:rsidRPr="007C4D65">
              <w:rPr>
                <w:rFonts w:asciiTheme="minorHAnsi" w:hAnsiTheme="minorHAnsi" w:cstheme="minorHAnsi"/>
                <w:sz w:val="18"/>
              </w:rPr>
              <w:t>Reduce the impact of the Federation of BiH on climate changes through reduced GHG emissions and enhanced carbon sinks</w:t>
            </w:r>
          </w:p>
          <w:p w14:paraId="2724E1E9" w14:textId="4FC22B81"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4.5</w:t>
            </w:r>
            <w:r w:rsidRPr="007C4D65">
              <w:rPr>
                <w:rFonts w:asciiTheme="minorHAnsi" w:hAnsiTheme="minorHAnsi" w:cstheme="minorHAnsi"/>
                <w:sz w:val="18"/>
              </w:rPr>
              <w:t xml:space="preserve"> - Improving </w:t>
            </w:r>
            <w:r w:rsidR="009477FB" w:rsidRPr="007C4D65">
              <w:rPr>
                <w:rFonts w:asciiTheme="minorHAnsi" w:hAnsiTheme="minorHAnsi" w:cstheme="minorHAnsi"/>
                <w:sz w:val="18"/>
              </w:rPr>
              <w:t>energy efficiency of final consumption</w:t>
            </w:r>
            <w:r w:rsidRPr="007C4D65">
              <w:rPr>
                <w:rFonts w:asciiTheme="minorHAnsi" w:hAnsiTheme="minorHAnsi" w:cstheme="minorHAnsi"/>
                <w:sz w:val="18"/>
              </w:rPr>
              <w:t xml:space="preserve"> in all sectors</w:t>
            </w:r>
          </w:p>
          <w:p w14:paraId="4CFB6DC7" w14:textId="049FD8AF"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4.6</w:t>
            </w:r>
            <w:r w:rsidRPr="007C4D65">
              <w:rPr>
                <w:rFonts w:asciiTheme="minorHAnsi" w:hAnsiTheme="minorHAnsi" w:cstheme="minorHAnsi"/>
                <w:sz w:val="18"/>
              </w:rPr>
              <w:t xml:space="preserve"> - </w:t>
            </w:r>
            <w:r w:rsidR="00197A0A" w:rsidRPr="007C4D65">
              <w:rPr>
                <w:rFonts w:asciiTheme="minorHAnsi" w:hAnsiTheme="minorHAnsi" w:cstheme="minorHAnsi"/>
                <w:sz w:val="18"/>
              </w:rPr>
              <w:t>Increasing the share of renewable energy along with an incentive scheme reform (focusing on citizens energy)</w:t>
            </w:r>
          </w:p>
        </w:tc>
      </w:tr>
      <w:tr w:rsidR="00635C53" w:rsidRPr="007C4D65" w14:paraId="446C69F4" w14:textId="77777777" w:rsidTr="00B6017F">
        <w:trPr>
          <w:jc w:val="center"/>
        </w:trPr>
        <w:tc>
          <w:tcPr>
            <w:tcW w:w="4076" w:type="dxa"/>
            <w:vAlign w:val="center"/>
          </w:tcPr>
          <w:p w14:paraId="3312F9FD"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lastRenderedPageBreak/>
              <w:t>Goal:</w:t>
            </w:r>
          </w:p>
          <w:p w14:paraId="7A0D3DB1"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"Introducing circular economy":</w:t>
            </w:r>
          </w:p>
        </w:tc>
        <w:tc>
          <w:tcPr>
            <w:tcW w:w="9811" w:type="dxa"/>
            <w:vAlign w:val="center"/>
          </w:tcPr>
          <w:p w14:paraId="6904A6E2" w14:textId="00C3FD8C"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2.1</w:t>
            </w:r>
            <w:r w:rsidRPr="007C4D65">
              <w:rPr>
                <w:rFonts w:asciiTheme="minorHAnsi" w:hAnsiTheme="minorHAnsi" w:cstheme="minorHAnsi"/>
                <w:sz w:val="18"/>
              </w:rPr>
              <w:t xml:space="preserve"> - </w:t>
            </w:r>
            <w:r w:rsidR="00E55311" w:rsidRPr="007C4D65">
              <w:rPr>
                <w:rFonts w:asciiTheme="minorHAnsi" w:hAnsiTheme="minorHAnsi" w:cstheme="minorHAnsi"/>
                <w:sz w:val="18"/>
              </w:rPr>
              <w:t>Improving the legal and strategic framework in the waste management according to the EU principles</w:t>
            </w:r>
          </w:p>
          <w:p w14:paraId="72832868"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2.3</w:t>
            </w:r>
            <w:r w:rsidRPr="007C4D65">
              <w:rPr>
                <w:rFonts w:asciiTheme="minorHAnsi" w:hAnsiTheme="minorHAnsi" w:cstheme="minorHAnsi"/>
                <w:sz w:val="18"/>
              </w:rPr>
              <w:t xml:space="preserve"> - Implementing economic and financial instruments and mechanisms which will reduce amounts and boost utilisation of all categories of waste.</w:t>
            </w:r>
          </w:p>
          <w:p w14:paraId="2CB204BC"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2.7</w:t>
            </w:r>
            <w:r w:rsidRPr="007C4D65">
              <w:rPr>
                <w:rFonts w:asciiTheme="minorHAnsi" w:hAnsiTheme="minorHAnsi" w:cstheme="minorHAnsi"/>
                <w:sz w:val="18"/>
              </w:rPr>
              <w:t xml:space="preserve"> - Raise awareness about the proper separation, collection and disposal of waste</w:t>
            </w:r>
          </w:p>
        </w:tc>
      </w:tr>
      <w:tr w:rsidR="00635C53" w:rsidRPr="007C4D65" w14:paraId="7C57242B" w14:textId="77777777" w:rsidTr="00B6017F">
        <w:trPr>
          <w:jc w:val="center"/>
        </w:trPr>
        <w:tc>
          <w:tcPr>
            <w:tcW w:w="4076" w:type="dxa"/>
            <w:vAlign w:val="center"/>
          </w:tcPr>
          <w:p w14:paraId="0E297E53"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Goal: </w:t>
            </w:r>
          </w:p>
          <w:p w14:paraId="68DFF0F8"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"Combating air, water and soil pollution” </w:t>
            </w:r>
          </w:p>
        </w:tc>
        <w:tc>
          <w:tcPr>
            <w:tcW w:w="9811" w:type="dxa"/>
            <w:vAlign w:val="center"/>
          </w:tcPr>
          <w:p w14:paraId="722C4A7C"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1.1</w:t>
            </w:r>
            <w:r w:rsidRPr="007C4D65">
              <w:rPr>
                <w:rFonts w:asciiTheme="minorHAnsi" w:hAnsiTheme="minorHAnsi" w:cstheme="minorHAnsi"/>
                <w:sz w:val="18"/>
              </w:rPr>
              <w:t xml:space="preserve"> - Prevent deterioration and improve status of water bodies</w:t>
            </w:r>
          </w:p>
          <w:p w14:paraId="28326292" w14:textId="4BF651C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1.5</w:t>
            </w:r>
            <w:r w:rsidRPr="007C4D65">
              <w:rPr>
                <w:rFonts w:asciiTheme="minorHAnsi" w:hAnsiTheme="minorHAnsi" w:cstheme="minorHAnsi"/>
                <w:sz w:val="18"/>
              </w:rPr>
              <w:t xml:space="preserve"> – </w:t>
            </w:r>
            <w:r w:rsidR="00854430" w:rsidRPr="007C4D65">
              <w:rPr>
                <w:rFonts w:asciiTheme="minorHAnsi" w:hAnsiTheme="minorHAnsi" w:cstheme="minorHAnsi"/>
                <w:sz w:val="18"/>
              </w:rPr>
              <w:t xml:space="preserve">Developing an effective legal and institutional framework for the purpose of alignment with the </w:t>
            </w:r>
            <w:r w:rsidR="001E4D90" w:rsidRPr="007C4D65">
              <w:rPr>
                <w:rFonts w:asciiTheme="minorHAnsi" w:hAnsiTheme="minorHAnsi" w:cstheme="minorHAnsi"/>
                <w:sz w:val="18"/>
              </w:rPr>
              <w:t>EU regulations</w:t>
            </w:r>
            <w:r w:rsidR="00854430" w:rsidRPr="007C4D65">
              <w:rPr>
                <w:rFonts w:asciiTheme="minorHAnsi" w:hAnsiTheme="minorHAnsi" w:cstheme="minorHAnsi"/>
                <w:sz w:val="18"/>
              </w:rPr>
              <w:t xml:space="preserve"> in the water sector, and its enforcement</w:t>
            </w:r>
          </w:p>
          <w:p w14:paraId="2FFC47B1" w14:textId="0EBE5549"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7.5</w:t>
            </w:r>
            <w:r w:rsidRPr="007C4D65">
              <w:rPr>
                <w:rFonts w:asciiTheme="minorHAnsi" w:hAnsiTheme="minorHAnsi" w:cstheme="minorHAnsi"/>
                <w:sz w:val="18"/>
              </w:rPr>
              <w:t xml:space="preserve"> - </w:t>
            </w:r>
            <w:r w:rsidR="00A901FB" w:rsidRPr="007C4D65">
              <w:rPr>
                <w:rFonts w:asciiTheme="minorHAnsi" w:hAnsiTheme="minorHAnsi" w:cstheme="minorHAnsi"/>
                <w:sz w:val="18"/>
              </w:rPr>
              <w:t>Set up an efficient system for record keeping and transparent reporting of environmental data in the Federation of BiH, in consultation with the Partnership 27</w:t>
            </w:r>
          </w:p>
        </w:tc>
      </w:tr>
      <w:tr w:rsidR="00635C53" w:rsidRPr="007C4D65" w14:paraId="12322FAA" w14:textId="77777777" w:rsidTr="00B6017F">
        <w:trPr>
          <w:jc w:val="center"/>
        </w:trPr>
        <w:tc>
          <w:tcPr>
            <w:tcW w:w="4076" w:type="dxa"/>
            <w:vAlign w:val="center"/>
          </w:tcPr>
          <w:p w14:paraId="361381C7"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Goal:</w:t>
            </w:r>
          </w:p>
          <w:p w14:paraId="25668862"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"Sustainable agriculture and production of food"</w:t>
            </w:r>
          </w:p>
        </w:tc>
        <w:tc>
          <w:tcPr>
            <w:tcW w:w="9811" w:type="dxa"/>
            <w:vAlign w:val="center"/>
          </w:tcPr>
          <w:p w14:paraId="698AF050"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 xml:space="preserve">Priority </w:t>
            </w:r>
            <w:proofErr w:type="gramStart"/>
            <w:r w:rsidRPr="007C4D65">
              <w:rPr>
                <w:rFonts w:asciiTheme="minorHAnsi" w:hAnsiTheme="minorHAnsi" w:cstheme="minorHAnsi"/>
                <w:b/>
                <w:sz w:val="18"/>
              </w:rPr>
              <w:t>6.4</w:t>
            </w:r>
            <w:r w:rsidRPr="007C4D65">
              <w:rPr>
                <w:rFonts w:asciiTheme="minorHAnsi" w:hAnsiTheme="minorHAnsi" w:cstheme="minorHAnsi"/>
                <w:sz w:val="18"/>
              </w:rPr>
              <w:t xml:space="preserve">  -</w:t>
            </w:r>
            <w:proofErr w:type="gramEnd"/>
            <w:r w:rsidRPr="007C4D65">
              <w:rPr>
                <w:rFonts w:asciiTheme="minorHAnsi" w:hAnsiTheme="minorHAnsi" w:cstheme="minorHAnsi"/>
                <w:sz w:val="18"/>
              </w:rPr>
              <w:t xml:space="preserve"> Establish integrated and sustainable management of land resources</w:t>
            </w:r>
          </w:p>
        </w:tc>
      </w:tr>
      <w:tr w:rsidR="00635C53" w:rsidRPr="007C4D65" w14:paraId="240E29F7" w14:textId="77777777" w:rsidTr="00B6017F">
        <w:trPr>
          <w:jc w:val="center"/>
        </w:trPr>
        <w:tc>
          <w:tcPr>
            <w:tcW w:w="4076" w:type="dxa"/>
            <w:tcBorders>
              <w:bottom w:val="single" w:sz="4" w:space="0" w:color="D0CECE" w:themeColor="background2" w:themeShade="E6"/>
            </w:tcBorders>
            <w:vAlign w:val="center"/>
          </w:tcPr>
          <w:p w14:paraId="2A5B573D" w14:textId="77777777" w:rsidR="00635C53" w:rsidRPr="007C4D65" w:rsidRDefault="00635C53" w:rsidP="00B6017F">
            <w:pPr>
              <w:spacing w:line="276" w:lineRule="auto"/>
              <w:rPr>
                <w:rFonts w:asciiTheme="minorHAnsi" w:hAnsiTheme="minorHAnsi" w:cstheme="minorHAnsi"/>
                <w:sz w:val="18"/>
                <w:szCs w:val="18"/>
              </w:rPr>
            </w:pPr>
            <w:r w:rsidRPr="007C4D65">
              <w:rPr>
                <w:rFonts w:asciiTheme="minorHAnsi" w:hAnsiTheme="minorHAnsi" w:cstheme="minorHAnsi"/>
                <w:sz w:val="18"/>
              </w:rPr>
              <w:t>Goal:</w:t>
            </w:r>
          </w:p>
          <w:p w14:paraId="0D2E87C5"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Biodiversity: Ecosystem protection and restoration”</w:t>
            </w:r>
          </w:p>
        </w:tc>
        <w:tc>
          <w:tcPr>
            <w:tcW w:w="9811" w:type="dxa"/>
            <w:tcBorders>
              <w:bottom w:val="single" w:sz="4" w:space="0" w:color="D0CECE" w:themeColor="background2" w:themeShade="E6"/>
            </w:tcBorders>
            <w:vAlign w:val="center"/>
          </w:tcPr>
          <w:p w14:paraId="4D1B446B"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3.2</w:t>
            </w:r>
            <w:r w:rsidRPr="007C4D65">
              <w:rPr>
                <w:rFonts w:asciiTheme="minorHAnsi" w:hAnsiTheme="minorHAnsi" w:cstheme="minorHAnsi"/>
                <w:sz w:val="18"/>
              </w:rPr>
              <w:t xml:space="preserve"> - Strengthening the institutions of the Federation of BiH responsible for the implementation of the nature conservation legislation and activities</w:t>
            </w:r>
          </w:p>
          <w:p w14:paraId="2A1C8B06" w14:textId="264FE153"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7.5</w:t>
            </w:r>
            <w:r w:rsidRPr="007C4D65">
              <w:rPr>
                <w:rFonts w:asciiTheme="minorHAnsi" w:hAnsiTheme="minorHAnsi" w:cstheme="minorHAnsi"/>
                <w:sz w:val="18"/>
              </w:rPr>
              <w:t xml:space="preserve"> - </w:t>
            </w:r>
            <w:r w:rsidR="00A901FB" w:rsidRPr="007C4D65">
              <w:rPr>
                <w:rFonts w:asciiTheme="minorHAnsi" w:hAnsiTheme="minorHAnsi" w:cstheme="minorHAnsi"/>
                <w:sz w:val="18"/>
              </w:rPr>
              <w:t>Set up an efficient system for record keeping and transparent reporting of environmental data in the Federation of BiH, in consultation with the Partnership 27</w:t>
            </w:r>
          </w:p>
        </w:tc>
      </w:tr>
      <w:tr w:rsidR="00635C53" w:rsidRPr="007C4D65" w14:paraId="3A0B55B9" w14:textId="77777777" w:rsidTr="00B6017F">
        <w:trPr>
          <w:jc w:val="center"/>
        </w:trPr>
        <w:tc>
          <w:tcPr>
            <w:tcW w:w="4076" w:type="dxa"/>
            <w:shd w:val="clear" w:color="auto" w:fill="009D73"/>
            <w:vAlign w:val="center"/>
          </w:tcPr>
          <w:p w14:paraId="4E6CB8D4" w14:textId="77777777" w:rsidR="00635C53" w:rsidRPr="007C4D65" w:rsidRDefault="00635C53" w:rsidP="00B6017F">
            <w:pPr>
              <w:spacing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Environmental Approximation Strategy for BiH (EAS BiH)</w:t>
            </w:r>
          </w:p>
        </w:tc>
        <w:tc>
          <w:tcPr>
            <w:tcW w:w="9811" w:type="dxa"/>
            <w:shd w:val="clear" w:color="auto" w:fill="009D73"/>
            <w:vAlign w:val="center"/>
          </w:tcPr>
          <w:p w14:paraId="3BFB7D86" w14:textId="77777777" w:rsidR="00635C53" w:rsidRPr="007C4D65" w:rsidRDefault="00635C53" w:rsidP="00B6017F">
            <w:pPr>
              <w:spacing w:line="276" w:lineRule="auto"/>
              <w:rPr>
                <w:rFonts w:asciiTheme="minorHAnsi" w:hAnsiTheme="minorHAnsi" w:cstheme="minorHAnsi"/>
                <w:b/>
                <w:color w:val="FFFFFF" w:themeColor="background1"/>
                <w:sz w:val="18"/>
                <w:szCs w:val="18"/>
                <w:lang w:val="hr-HR"/>
              </w:rPr>
            </w:pPr>
          </w:p>
        </w:tc>
      </w:tr>
      <w:tr w:rsidR="00635C53" w:rsidRPr="007C4D65" w14:paraId="1FD9146D" w14:textId="77777777" w:rsidTr="00B6017F">
        <w:trPr>
          <w:jc w:val="center"/>
        </w:trPr>
        <w:tc>
          <w:tcPr>
            <w:tcW w:w="4076" w:type="dxa"/>
            <w:vAlign w:val="center"/>
          </w:tcPr>
          <w:p w14:paraId="5FE45E17"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3.1. Horizontal issues</w:t>
            </w:r>
          </w:p>
        </w:tc>
        <w:tc>
          <w:tcPr>
            <w:tcW w:w="9811" w:type="dxa"/>
            <w:vAlign w:val="center"/>
          </w:tcPr>
          <w:p w14:paraId="4151C62E" w14:textId="77777777" w:rsidR="005A2219" w:rsidRPr="007C4D65" w:rsidRDefault="00635C53" w:rsidP="00B6017F">
            <w:pPr>
              <w:spacing w:line="276" w:lineRule="auto"/>
              <w:jc w:val="both"/>
              <w:rPr>
                <w:rFonts w:asciiTheme="minorHAnsi" w:hAnsiTheme="minorHAnsi" w:cstheme="minorHAnsi"/>
                <w:b/>
                <w:sz w:val="18"/>
              </w:rPr>
            </w:pPr>
            <w:r w:rsidRPr="007C4D65">
              <w:rPr>
                <w:rFonts w:asciiTheme="minorHAnsi" w:hAnsiTheme="minorHAnsi" w:cstheme="minorHAnsi"/>
                <w:b/>
                <w:sz w:val="18"/>
              </w:rPr>
              <w:t>Priority 7.1</w:t>
            </w:r>
            <w:r w:rsidRPr="007C4D65">
              <w:rPr>
                <w:rFonts w:asciiTheme="minorHAnsi" w:hAnsiTheme="minorHAnsi" w:cstheme="minorHAnsi"/>
                <w:sz w:val="18"/>
              </w:rPr>
              <w:t xml:space="preserve"> - </w:t>
            </w:r>
            <w:r w:rsidR="005A2219" w:rsidRPr="007C4D65">
              <w:rPr>
                <w:rFonts w:asciiTheme="minorHAnsi" w:hAnsiTheme="minorHAnsi" w:cstheme="minorHAnsi"/>
                <w:sz w:val="18"/>
              </w:rPr>
              <w:t>Improving the legal framework and sectoral policies for planning, management and protection of the environment in the Federation of BiH with the view of fully aligning the legislation with the EU environmental acquis and international agreements</w:t>
            </w:r>
          </w:p>
          <w:p w14:paraId="643D5454" w14:textId="79841C79"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7.5</w:t>
            </w:r>
            <w:r w:rsidRPr="007C4D65">
              <w:rPr>
                <w:rFonts w:asciiTheme="minorHAnsi" w:hAnsiTheme="minorHAnsi" w:cstheme="minorHAnsi"/>
                <w:sz w:val="18"/>
              </w:rPr>
              <w:t xml:space="preserve"> - </w:t>
            </w:r>
            <w:r w:rsidR="00A901FB" w:rsidRPr="007C4D65">
              <w:rPr>
                <w:rFonts w:asciiTheme="minorHAnsi" w:hAnsiTheme="minorHAnsi" w:cstheme="minorHAnsi"/>
                <w:sz w:val="18"/>
              </w:rPr>
              <w:t>Set up an efficient system for record keeping and transparent reporting of environmental data in the Federation of BiH, in consultation with the Partnership 27</w:t>
            </w:r>
          </w:p>
        </w:tc>
      </w:tr>
      <w:tr w:rsidR="00635C53" w:rsidRPr="007C4D65" w14:paraId="408C7BEC" w14:textId="77777777" w:rsidTr="00B6017F">
        <w:trPr>
          <w:jc w:val="center"/>
        </w:trPr>
        <w:tc>
          <w:tcPr>
            <w:tcW w:w="4076" w:type="dxa"/>
            <w:tcBorders>
              <w:bottom w:val="single" w:sz="4" w:space="0" w:color="D0CECE" w:themeColor="background2" w:themeShade="E6"/>
            </w:tcBorders>
            <w:vAlign w:val="center"/>
          </w:tcPr>
          <w:p w14:paraId="65F16161"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3.2. Water management</w:t>
            </w:r>
          </w:p>
        </w:tc>
        <w:tc>
          <w:tcPr>
            <w:tcW w:w="9811" w:type="dxa"/>
            <w:tcBorders>
              <w:bottom w:val="single" w:sz="4" w:space="0" w:color="D0CECE" w:themeColor="background2" w:themeShade="E6"/>
            </w:tcBorders>
            <w:vAlign w:val="center"/>
          </w:tcPr>
          <w:p w14:paraId="22E8302A" w14:textId="3B69E93E"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1.5</w:t>
            </w:r>
            <w:r w:rsidRPr="007C4D65">
              <w:rPr>
                <w:rFonts w:asciiTheme="minorHAnsi" w:hAnsiTheme="minorHAnsi" w:cstheme="minorHAnsi"/>
                <w:sz w:val="18"/>
              </w:rPr>
              <w:t xml:space="preserve"> - </w:t>
            </w:r>
            <w:r w:rsidR="001E4D90" w:rsidRPr="007C4D65">
              <w:rPr>
                <w:rFonts w:asciiTheme="minorHAnsi" w:hAnsiTheme="minorHAnsi" w:cstheme="minorHAnsi"/>
                <w:sz w:val="18"/>
              </w:rPr>
              <w:t>Developing an effective legal and institutional framework for the purpose of alignment with the EU regulations in the water sector, and its enforcement</w:t>
            </w:r>
          </w:p>
        </w:tc>
      </w:tr>
      <w:tr w:rsidR="00635C53" w:rsidRPr="007C4D65" w14:paraId="28D968F6" w14:textId="77777777" w:rsidTr="00B6017F">
        <w:trPr>
          <w:jc w:val="center"/>
        </w:trPr>
        <w:tc>
          <w:tcPr>
            <w:tcW w:w="4076" w:type="dxa"/>
            <w:tcBorders>
              <w:bottom w:val="single" w:sz="4" w:space="0" w:color="D0CECE" w:themeColor="background2" w:themeShade="E6"/>
            </w:tcBorders>
            <w:vAlign w:val="center"/>
          </w:tcPr>
          <w:p w14:paraId="687ADD35"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3.3. Waste management</w:t>
            </w:r>
          </w:p>
        </w:tc>
        <w:tc>
          <w:tcPr>
            <w:tcW w:w="9811" w:type="dxa"/>
            <w:tcBorders>
              <w:bottom w:val="single" w:sz="4" w:space="0" w:color="D0CECE" w:themeColor="background2" w:themeShade="E6"/>
            </w:tcBorders>
            <w:vAlign w:val="center"/>
          </w:tcPr>
          <w:p w14:paraId="4C85173D" w14:textId="76BC7754"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2.1</w:t>
            </w:r>
            <w:r w:rsidRPr="007C4D65">
              <w:rPr>
                <w:rFonts w:asciiTheme="minorHAnsi" w:hAnsiTheme="minorHAnsi" w:cstheme="minorHAnsi"/>
                <w:sz w:val="18"/>
              </w:rPr>
              <w:t xml:space="preserve"> - </w:t>
            </w:r>
            <w:r w:rsidR="00E55311" w:rsidRPr="007C4D65">
              <w:rPr>
                <w:rFonts w:asciiTheme="minorHAnsi" w:hAnsiTheme="minorHAnsi" w:cstheme="minorHAnsi"/>
                <w:sz w:val="18"/>
              </w:rPr>
              <w:t>Improving the legal and strategic framework in the waste management according to the EU principles</w:t>
            </w:r>
          </w:p>
        </w:tc>
      </w:tr>
      <w:tr w:rsidR="00635C53" w:rsidRPr="007C4D65" w14:paraId="1068294C" w14:textId="77777777" w:rsidTr="00B6017F">
        <w:trPr>
          <w:jc w:val="center"/>
        </w:trPr>
        <w:tc>
          <w:tcPr>
            <w:tcW w:w="4076" w:type="dxa"/>
            <w:tcBorders>
              <w:bottom w:val="single" w:sz="4" w:space="0" w:color="D0CECE" w:themeColor="background2" w:themeShade="E6"/>
            </w:tcBorders>
            <w:vAlign w:val="center"/>
          </w:tcPr>
          <w:p w14:paraId="379C6B20"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3.4. Air protection and climate change</w:t>
            </w:r>
          </w:p>
        </w:tc>
        <w:tc>
          <w:tcPr>
            <w:tcW w:w="9811" w:type="dxa"/>
            <w:tcBorders>
              <w:bottom w:val="single" w:sz="4" w:space="0" w:color="D0CECE" w:themeColor="background2" w:themeShade="E6"/>
            </w:tcBorders>
            <w:vAlign w:val="center"/>
          </w:tcPr>
          <w:p w14:paraId="06C68897"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4.1</w:t>
            </w:r>
            <w:r w:rsidRPr="007C4D65">
              <w:rPr>
                <w:rFonts w:asciiTheme="minorHAnsi" w:hAnsiTheme="minorHAnsi" w:cstheme="minorHAnsi"/>
                <w:sz w:val="18"/>
              </w:rPr>
              <w:t xml:space="preserve"> - Reduce air pollution by reducing air pollutants to levels that are safe for human health</w:t>
            </w:r>
          </w:p>
          <w:p w14:paraId="0972B3CB" w14:textId="0CF03F59"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4.6</w:t>
            </w:r>
            <w:r w:rsidRPr="007C4D65">
              <w:rPr>
                <w:rFonts w:asciiTheme="minorHAnsi" w:hAnsiTheme="minorHAnsi" w:cstheme="minorHAnsi"/>
                <w:sz w:val="18"/>
              </w:rPr>
              <w:t xml:space="preserve"> - </w:t>
            </w:r>
            <w:r w:rsidR="00197A0A" w:rsidRPr="007C4D65">
              <w:rPr>
                <w:rFonts w:asciiTheme="minorHAnsi" w:hAnsiTheme="minorHAnsi" w:cstheme="minorHAnsi"/>
                <w:sz w:val="18"/>
              </w:rPr>
              <w:t>Increasing the share of renewable energy along with an incentive scheme reform (focusing on citizens energy)</w:t>
            </w:r>
          </w:p>
        </w:tc>
      </w:tr>
      <w:tr w:rsidR="00635C53" w:rsidRPr="007C4D65" w14:paraId="3A465B07" w14:textId="77777777" w:rsidTr="00B6017F">
        <w:trPr>
          <w:jc w:val="center"/>
        </w:trPr>
        <w:tc>
          <w:tcPr>
            <w:tcW w:w="4076" w:type="dxa"/>
            <w:tcBorders>
              <w:bottom w:val="single" w:sz="4" w:space="0" w:color="D0CECE" w:themeColor="background2" w:themeShade="E6"/>
            </w:tcBorders>
            <w:vAlign w:val="center"/>
          </w:tcPr>
          <w:p w14:paraId="07050515" w14:textId="03D1291D"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lastRenderedPageBreak/>
              <w:t xml:space="preserve">3.5. Industrial </w:t>
            </w:r>
            <w:r w:rsidR="00707332" w:rsidRPr="007C4D65">
              <w:rPr>
                <w:rFonts w:asciiTheme="minorHAnsi" w:hAnsiTheme="minorHAnsi" w:cstheme="minorHAnsi"/>
                <w:b/>
                <w:sz w:val="18"/>
              </w:rPr>
              <w:t>p</w:t>
            </w:r>
            <w:r w:rsidRPr="007C4D65">
              <w:rPr>
                <w:rFonts w:asciiTheme="minorHAnsi" w:hAnsiTheme="minorHAnsi" w:cstheme="minorHAnsi"/>
                <w:b/>
                <w:sz w:val="18"/>
              </w:rPr>
              <w:t>ollution</w:t>
            </w:r>
          </w:p>
        </w:tc>
        <w:tc>
          <w:tcPr>
            <w:tcW w:w="9811" w:type="dxa"/>
            <w:tcBorders>
              <w:bottom w:val="single" w:sz="4" w:space="0" w:color="D0CECE" w:themeColor="background2" w:themeShade="E6"/>
            </w:tcBorders>
            <w:vAlign w:val="center"/>
          </w:tcPr>
          <w:p w14:paraId="66A09A25" w14:textId="56630D7B"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7.5</w:t>
            </w:r>
            <w:r w:rsidRPr="007C4D65">
              <w:rPr>
                <w:rFonts w:asciiTheme="minorHAnsi" w:hAnsiTheme="minorHAnsi" w:cstheme="minorHAnsi"/>
                <w:sz w:val="18"/>
              </w:rPr>
              <w:t xml:space="preserve"> - </w:t>
            </w:r>
            <w:r w:rsidR="00A901FB" w:rsidRPr="007C4D65">
              <w:rPr>
                <w:rFonts w:asciiTheme="minorHAnsi" w:hAnsiTheme="minorHAnsi" w:cstheme="minorHAnsi"/>
                <w:sz w:val="18"/>
              </w:rPr>
              <w:t>Set up an efficient system for record keeping and transparent reporting of environmental data in the Federation of BiH, in consultation with the Partnership 27</w:t>
            </w:r>
          </w:p>
        </w:tc>
      </w:tr>
      <w:tr w:rsidR="00635C53" w:rsidRPr="007C4D65" w14:paraId="62FCDA25" w14:textId="77777777" w:rsidTr="00B6017F">
        <w:trPr>
          <w:jc w:val="center"/>
        </w:trPr>
        <w:tc>
          <w:tcPr>
            <w:tcW w:w="4076" w:type="dxa"/>
            <w:tcBorders>
              <w:bottom w:val="single" w:sz="4" w:space="0" w:color="D0CECE" w:themeColor="background2" w:themeShade="E6"/>
            </w:tcBorders>
            <w:vAlign w:val="center"/>
          </w:tcPr>
          <w:p w14:paraId="381EF05D"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3.6. Chemicals</w:t>
            </w:r>
          </w:p>
        </w:tc>
        <w:tc>
          <w:tcPr>
            <w:tcW w:w="9811" w:type="dxa"/>
            <w:tcBorders>
              <w:bottom w:val="single" w:sz="4" w:space="0" w:color="D0CECE" w:themeColor="background2" w:themeShade="E6"/>
            </w:tcBorders>
            <w:vAlign w:val="center"/>
          </w:tcPr>
          <w:p w14:paraId="15F7EAF1"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5.1</w:t>
            </w:r>
            <w:r w:rsidRPr="007C4D65">
              <w:rPr>
                <w:rFonts w:asciiTheme="minorHAnsi" w:hAnsiTheme="minorHAnsi" w:cstheme="minorHAnsi"/>
                <w:sz w:val="18"/>
              </w:rPr>
              <w:t xml:space="preserve"> - Improved legislation in the field of chemical safety</w:t>
            </w:r>
          </w:p>
        </w:tc>
      </w:tr>
      <w:tr w:rsidR="00635C53" w:rsidRPr="007C4D65" w14:paraId="40194A99" w14:textId="77777777" w:rsidTr="00B6017F">
        <w:trPr>
          <w:jc w:val="center"/>
        </w:trPr>
        <w:tc>
          <w:tcPr>
            <w:tcW w:w="4076" w:type="dxa"/>
            <w:tcBorders>
              <w:bottom w:val="single" w:sz="4" w:space="0" w:color="D0CECE" w:themeColor="background2" w:themeShade="E6"/>
            </w:tcBorders>
            <w:vAlign w:val="center"/>
          </w:tcPr>
          <w:p w14:paraId="194998EE" w14:textId="7956D3D4"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3.7. Nature </w:t>
            </w:r>
            <w:r w:rsidR="00707332" w:rsidRPr="007C4D65">
              <w:rPr>
                <w:rFonts w:asciiTheme="minorHAnsi" w:hAnsiTheme="minorHAnsi" w:cstheme="minorHAnsi"/>
                <w:b/>
                <w:sz w:val="18"/>
              </w:rPr>
              <w:t>p</w:t>
            </w:r>
            <w:r w:rsidRPr="007C4D65">
              <w:rPr>
                <w:rFonts w:asciiTheme="minorHAnsi" w:hAnsiTheme="minorHAnsi" w:cstheme="minorHAnsi"/>
                <w:b/>
                <w:sz w:val="18"/>
              </w:rPr>
              <w:t>rotection</w:t>
            </w:r>
          </w:p>
        </w:tc>
        <w:tc>
          <w:tcPr>
            <w:tcW w:w="9811" w:type="dxa"/>
            <w:tcBorders>
              <w:bottom w:val="single" w:sz="4" w:space="0" w:color="D0CECE" w:themeColor="background2" w:themeShade="E6"/>
            </w:tcBorders>
            <w:vAlign w:val="center"/>
          </w:tcPr>
          <w:p w14:paraId="377CB3FC" w14:textId="47E1B0E6"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3.1</w:t>
            </w:r>
            <w:r w:rsidRPr="007C4D65">
              <w:rPr>
                <w:rFonts w:asciiTheme="minorHAnsi" w:hAnsiTheme="minorHAnsi" w:cstheme="minorHAnsi"/>
                <w:sz w:val="18"/>
              </w:rPr>
              <w:t xml:space="preserve"> - </w:t>
            </w:r>
            <w:r w:rsidR="007508AB" w:rsidRPr="007C4D65">
              <w:rPr>
                <w:rFonts w:asciiTheme="minorHAnsi" w:hAnsiTheme="minorHAnsi" w:cstheme="minorHAnsi"/>
                <w:sz w:val="18"/>
              </w:rPr>
              <w:t xml:space="preserve">Improving the legal framework </w:t>
            </w:r>
            <w:r w:rsidR="007436F1" w:rsidRPr="007C4D65">
              <w:rPr>
                <w:rFonts w:asciiTheme="minorHAnsi" w:hAnsiTheme="minorHAnsi" w:cstheme="minorHAnsi"/>
                <w:sz w:val="18"/>
              </w:rPr>
              <w:t>of the Federation of BiH</w:t>
            </w:r>
            <w:r w:rsidR="007508AB" w:rsidRPr="007C4D65">
              <w:rPr>
                <w:rFonts w:asciiTheme="minorHAnsi" w:hAnsiTheme="minorHAnsi" w:cstheme="minorHAnsi"/>
                <w:sz w:val="18"/>
              </w:rPr>
              <w:t xml:space="preserve"> for biodiversity and nature conservation through alignment of the legislation with the EU acquis and international agreements</w:t>
            </w:r>
          </w:p>
          <w:p w14:paraId="46119600"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3.3</w:t>
            </w:r>
            <w:r w:rsidRPr="007C4D65">
              <w:rPr>
                <w:rFonts w:asciiTheme="minorHAnsi" w:hAnsiTheme="minorHAnsi" w:cstheme="minorHAnsi"/>
                <w:sz w:val="18"/>
              </w:rPr>
              <w:t xml:space="preserve"> - Initiating coordination, communication and reporting on biodiversity and nature conservation in the Federation of BiH</w:t>
            </w:r>
          </w:p>
          <w:p w14:paraId="2BB45478"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3.5</w:t>
            </w:r>
            <w:r w:rsidRPr="007C4D65">
              <w:rPr>
                <w:rFonts w:asciiTheme="minorHAnsi" w:hAnsiTheme="minorHAnsi" w:cstheme="minorHAnsi"/>
                <w:sz w:val="18"/>
              </w:rPr>
              <w:t xml:space="preserve"> - Produce an inventory of biodiversity of the Federation of BiH at the ecosystem, species and genetic level</w:t>
            </w:r>
          </w:p>
        </w:tc>
      </w:tr>
      <w:tr w:rsidR="00635C53" w:rsidRPr="007C4D65" w14:paraId="4201AA9F" w14:textId="77777777" w:rsidTr="00B6017F">
        <w:trPr>
          <w:jc w:val="center"/>
        </w:trPr>
        <w:tc>
          <w:tcPr>
            <w:tcW w:w="4076" w:type="dxa"/>
            <w:tcBorders>
              <w:bottom w:val="single" w:sz="4" w:space="0" w:color="D0CECE" w:themeColor="background2" w:themeShade="E6"/>
            </w:tcBorders>
            <w:vAlign w:val="center"/>
          </w:tcPr>
          <w:p w14:paraId="254FA29B"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3.8. Ambient noise</w:t>
            </w:r>
          </w:p>
        </w:tc>
        <w:tc>
          <w:tcPr>
            <w:tcW w:w="9811" w:type="dxa"/>
            <w:tcBorders>
              <w:bottom w:val="single" w:sz="4" w:space="0" w:color="D0CECE" w:themeColor="background2" w:themeShade="E6"/>
            </w:tcBorders>
            <w:vAlign w:val="center"/>
          </w:tcPr>
          <w:p w14:paraId="7B1DD1AC" w14:textId="429D927E"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5.5</w:t>
            </w:r>
            <w:r w:rsidRPr="007C4D65">
              <w:rPr>
                <w:rFonts w:asciiTheme="minorHAnsi" w:hAnsiTheme="minorHAnsi" w:cstheme="minorHAnsi"/>
                <w:sz w:val="18"/>
              </w:rPr>
              <w:t xml:space="preserve"> - </w:t>
            </w:r>
            <w:r w:rsidR="00C749AE" w:rsidRPr="007C4D65">
              <w:rPr>
                <w:rFonts w:asciiTheme="minorHAnsi" w:hAnsiTheme="minorHAnsi" w:cstheme="minorHAnsi"/>
                <w:sz w:val="18"/>
              </w:rPr>
              <w:t>Establish a legislative framework and clear institutional competences to transpose EU acquis on environmental noise in legislation of the Federation of BiH</w:t>
            </w:r>
          </w:p>
        </w:tc>
      </w:tr>
      <w:tr w:rsidR="00635C53" w:rsidRPr="007C4D65" w14:paraId="1C222949" w14:textId="77777777" w:rsidTr="00B6017F">
        <w:trPr>
          <w:jc w:val="center"/>
        </w:trPr>
        <w:tc>
          <w:tcPr>
            <w:tcW w:w="4076" w:type="dxa"/>
            <w:shd w:val="clear" w:color="auto" w:fill="009D73"/>
            <w:vAlign w:val="center"/>
          </w:tcPr>
          <w:p w14:paraId="54FB6868" w14:textId="77777777" w:rsidR="00635C53" w:rsidRPr="007C4D65" w:rsidRDefault="00635C53" w:rsidP="00B6017F">
            <w:pPr>
              <w:spacing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Framework for the Sustainable Development Goals Implementation in BiH</w:t>
            </w:r>
          </w:p>
        </w:tc>
        <w:tc>
          <w:tcPr>
            <w:tcW w:w="9811" w:type="dxa"/>
            <w:shd w:val="clear" w:color="auto" w:fill="009D73"/>
            <w:vAlign w:val="center"/>
          </w:tcPr>
          <w:p w14:paraId="4BE14508" w14:textId="77777777" w:rsidR="00635C53" w:rsidRPr="007C4D65" w:rsidRDefault="00635C53" w:rsidP="00B6017F">
            <w:pPr>
              <w:spacing w:line="276" w:lineRule="auto"/>
              <w:jc w:val="center"/>
              <w:rPr>
                <w:rFonts w:asciiTheme="minorHAnsi" w:hAnsiTheme="minorHAnsi" w:cstheme="minorHAnsi"/>
                <w:b/>
                <w:color w:val="FFFFFF" w:themeColor="background1"/>
                <w:sz w:val="18"/>
                <w:szCs w:val="18"/>
                <w:lang w:val="hr-HR"/>
              </w:rPr>
            </w:pPr>
          </w:p>
        </w:tc>
      </w:tr>
      <w:tr w:rsidR="00635C53" w:rsidRPr="007C4D65" w14:paraId="62BF1B85" w14:textId="77777777" w:rsidTr="00B6017F">
        <w:trPr>
          <w:jc w:val="center"/>
        </w:trPr>
        <w:tc>
          <w:tcPr>
            <w:tcW w:w="4076" w:type="dxa"/>
            <w:shd w:val="clear" w:color="auto" w:fill="auto"/>
            <w:vAlign w:val="center"/>
          </w:tcPr>
          <w:p w14:paraId="6596A624"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7. Developmental direction: </w:t>
            </w:r>
            <w:proofErr w:type="gramStart"/>
            <w:r w:rsidRPr="007C4D65">
              <w:rPr>
                <w:rFonts w:asciiTheme="minorHAnsi" w:hAnsiTheme="minorHAnsi" w:cstheme="minorHAnsi"/>
                <w:b/>
                <w:sz w:val="18"/>
              </w:rPr>
              <w:t>Good</w:t>
            </w:r>
            <w:proofErr w:type="gramEnd"/>
            <w:r w:rsidRPr="007C4D65">
              <w:rPr>
                <w:rFonts w:asciiTheme="minorHAnsi" w:hAnsiTheme="minorHAnsi" w:cstheme="minorHAnsi"/>
                <w:b/>
                <w:sz w:val="18"/>
              </w:rPr>
              <w:t xml:space="preserve"> governance and public sector administration</w:t>
            </w:r>
          </w:p>
        </w:tc>
        <w:tc>
          <w:tcPr>
            <w:tcW w:w="9811" w:type="dxa"/>
            <w:shd w:val="clear" w:color="auto" w:fill="auto"/>
            <w:vAlign w:val="center"/>
          </w:tcPr>
          <w:p w14:paraId="5F709E00" w14:textId="0D0C51F2" w:rsidR="00635C53" w:rsidRPr="007C4D65" w:rsidRDefault="00635C53" w:rsidP="00B6017F">
            <w:pPr>
              <w:spacing w:line="276" w:lineRule="auto"/>
              <w:rPr>
                <w:rFonts w:asciiTheme="minorHAnsi" w:hAnsiTheme="minorHAnsi" w:cstheme="minorHAnsi"/>
                <w:bCs/>
                <w:sz w:val="18"/>
                <w:szCs w:val="18"/>
              </w:rPr>
            </w:pPr>
            <w:r w:rsidRPr="007C4D65">
              <w:rPr>
                <w:rFonts w:asciiTheme="minorHAnsi" w:hAnsiTheme="minorHAnsi" w:cstheme="minorHAnsi"/>
                <w:b/>
                <w:sz w:val="18"/>
              </w:rPr>
              <w:t>Priority 3.2 -</w:t>
            </w:r>
            <w:r w:rsidRPr="007C4D65">
              <w:rPr>
                <w:rFonts w:asciiTheme="minorHAnsi" w:hAnsiTheme="minorHAnsi" w:cstheme="minorHAnsi"/>
                <w:sz w:val="18"/>
              </w:rPr>
              <w:t xml:space="preserve"> Strengthen the institutions of the Federation of BiH responsible for the implementation of the nature conservation legislation and activities</w:t>
            </w:r>
          </w:p>
          <w:p w14:paraId="7E6A478E"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Priority 4.1 -</w:t>
            </w:r>
            <w:r w:rsidRPr="007C4D65">
              <w:rPr>
                <w:rFonts w:asciiTheme="minorHAnsi" w:hAnsiTheme="minorHAnsi" w:cstheme="minorHAnsi"/>
                <w:sz w:val="18"/>
              </w:rPr>
              <w:t xml:space="preserve"> Reduce air pollution by reducing air pollutants to levels that are safe for human health</w:t>
            </w:r>
          </w:p>
          <w:p w14:paraId="17ED1F00" w14:textId="77777777" w:rsidR="005A2219" w:rsidRPr="007C4D65" w:rsidRDefault="00635C53" w:rsidP="00B6017F">
            <w:pPr>
              <w:spacing w:line="276" w:lineRule="auto"/>
              <w:rPr>
                <w:rFonts w:asciiTheme="minorHAnsi" w:hAnsiTheme="minorHAnsi" w:cstheme="minorHAnsi"/>
                <w:b/>
                <w:sz w:val="18"/>
              </w:rPr>
            </w:pPr>
            <w:r w:rsidRPr="007C4D65">
              <w:rPr>
                <w:rFonts w:asciiTheme="minorHAnsi" w:hAnsiTheme="minorHAnsi" w:cstheme="minorHAnsi"/>
                <w:b/>
                <w:sz w:val="18"/>
              </w:rPr>
              <w:t xml:space="preserve">Priority 7.1 </w:t>
            </w:r>
            <w:r w:rsidRPr="007C4D65">
              <w:rPr>
                <w:rFonts w:asciiTheme="minorHAnsi" w:hAnsiTheme="minorHAnsi" w:cstheme="minorHAnsi"/>
                <w:sz w:val="18"/>
              </w:rPr>
              <w:t xml:space="preserve">- </w:t>
            </w:r>
            <w:r w:rsidR="005A2219" w:rsidRPr="007C4D65">
              <w:rPr>
                <w:rFonts w:asciiTheme="minorHAnsi" w:hAnsiTheme="minorHAnsi" w:cstheme="minorHAnsi"/>
                <w:sz w:val="18"/>
              </w:rPr>
              <w:t>Improving the legal framework and sectoral policies for planning, management and protection of the environment in the Federation of BiH with the view of fully aligning the legislation with the EU environmental acquis and international agreements</w:t>
            </w:r>
          </w:p>
          <w:p w14:paraId="3B20027F" w14:textId="6584706A" w:rsidR="00635C53" w:rsidRPr="007C4D65" w:rsidRDefault="00635C53" w:rsidP="00B6017F">
            <w:pPr>
              <w:spacing w:line="276" w:lineRule="auto"/>
              <w:rPr>
                <w:rFonts w:asciiTheme="minorHAnsi" w:hAnsiTheme="minorHAnsi" w:cstheme="minorHAnsi"/>
                <w:bCs/>
                <w:sz w:val="18"/>
                <w:szCs w:val="18"/>
              </w:rPr>
            </w:pPr>
            <w:r w:rsidRPr="007C4D65">
              <w:rPr>
                <w:rFonts w:asciiTheme="minorHAnsi" w:hAnsiTheme="minorHAnsi" w:cstheme="minorHAnsi"/>
                <w:b/>
                <w:sz w:val="18"/>
              </w:rPr>
              <w:t>Priority 7.4</w:t>
            </w:r>
            <w:r w:rsidRPr="007C4D65">
              <w:rPr>
                <w:rFonts w:asciiTheme="minorHAnsi" w:hAnsiTheme="minorHAnsi" w:cstheme="minorHAnsi"/>
                <w:sz w:val="18"/>
              </w:rPr>
              <w:t xml:space="preserve"> - </w:t>
            </w:r>
            <w:r w:rsidR="00A323B2" w:rsidRPr="007C4D65">
              <w:rPr>
                <w:rFonts w:asciiTheme="minorHAnsi" w:hAnsiTheme="minorHAnsi" w:cstheme="minorHAnsi"/>
                <w:sz w:val="18"/>
              </w:rPr>
              <w:t xml:space="preserve">Ensuring strong public awareness on the importance of the environmental protection and their engagement in </w:t>
            </w:r>
            <w:r w:rsidR="009F16BA" w:rsidRPr="007C4D65">
              <w:rPr>
                <w:rFonts w:asciiTheme="minorHAnsi" w:hAnsiTheme="minorHAnsi" w:cstheme="minorHAnsi"/>
                <w:sz w:val="18"/>
              </w:rPr>
              <w:t xml:space="preserve">decision-making  </w:t>
            </w:r>
            <w:r w:rsidR="00A323B2" w:rsidRPr="007C4D65">
              <w:rPr>
                <w:rFonts w:asciiTheme="minorHAnsi" w:hAnsiTheme="minorHAnsi" w:cstheme="minorHAnsi"/>
                <w:sz w:val="18"/>
              </w:rPr>
              <w:t xml:space="preserve"> processes, focusing on women, youth and socially vulnerable groups</w:t>
            </w:r>
          </w:p>
          <w:p w14:paraId="560C978E" w14:textId="77777777" w:rsidR="00635C53" w:rsidRPr="007C4D65" w:rsidRDefault="00635C53" w:rsidP="00B6017F">
            <w:pPr>
              <w:spacing w:line="276" w:lineRule="auto"/>
              <w:rPr>
                <w:rFonts w:asciiTheme="minorHAnsi" w:hAnsiTheme="minorHAnsi" w:cstheme="minorHAnsi"/>
                <w:bCs/>
                <w:sz w:val="18"/>
                <w:szCs w:val="18"/>
              </w:rPr>
            </w:pPr>
            <w:r w:rsidRPr="007C4D65">
              <w:rPr>
                <w:rFonts w:asciiTheme="minorHAnsi" w:hAnsiTheme="minorHAnsi" w:cstheme="minorHAnsi"/>
                <w:b/>
                <w:sz w:val="18"/>
              </w:rPr>
              <w:t>Priority 7.6</w:t>
            </w:r>
            <w:r w:rsidRPr="007C4D65">
              <w:rPr>
                <w:rFonts w:asciiTheme="minorHAnsi" w:hAnsiTheme="minorHAnsi" w:cstheme="minorHAnsi"/>
                <w:sz w:val="18"/>
              </w:rPr>
              <w:t xml:space="preserve"> - Ensuring a strong synergy in cross-sectoral and inter-sectoral action, and integration of public environmental policies</w:t>
            </w:r>
          </w:p>
          <w:p w14:paraId="3C1EFF1F" w14:textId="526EAD9F" w:rsidR="00635C53" w:rsidRPr="007C4D65" w:rsidRDefault="00635C53" w:rsidP="00B6017F">
            <w:pPr>
              <w:spacing w:line="276" w:lineRule="auto"/>
              <w:rPr>
                <w:rFonts w:asciiTheme="minorHAnsi" w:hAnsiTheme="minorHAnsi" w:cstheme="minorHAnsi"/>
                <w:bCs/>
                <w:sz w:val="18"/>
                <w:szCs w:val="18"/>
              </w:rPr>
            </w:pPr>
            <w:r w:rsidRPr="007C4D65">
              <w:rPr>
                <w:rFonts w:asciiTheme="minorHAnsi" w:hAnsiTheme="minorHAnsi" w:cstheme="minorHAnsi"/>
                <w:b/>
                <w:sz w:val="18"/>
              </w:rPr>
              <w:t xml:space="preserve">Priority 7.7 </w:t>
            </w:r>
            <w:r w:rsidRPr="007C4D65">
              <w:rPr>
                <w:rFonts w:asciiTheme="minorHAnsi" w:hAnsiTheme="minorHAnsi" w:cstheme="minorHAnsi"/>
                <w:sz w:val="18"/>
              </w:rPr>
              <w:t>- Ensuring financial sustainability of the environment sector in the Federation of BiH</w:t>
            </w:r>
          </w:p>
          <w:p w14:paraId="0C2E2E9E" w14:textId="3F3D9D11"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Priority 7.8</w:t>
            </w:r>
            <w:r w:rsidRPr="007C4D65">
              <w:rPr>
                <w:rFonts w:asciiTheme="minorHAnsi" w:hAnsiTheme="minorHAnsi" w:cstheme="minorHAnsi"/>
                <w:sz w:val="18"/>
              </w:rPr>
              <w:t xml:space="preserve"> - Establishing the system for </w:t>
            </w:r>
            <w:r w:rsidR="009F16BA" w:rsidRPr="007C4D65">
              <w:rPr>
                <w:rFonts w:asciiTheme="minorHAnsi" w:hAnsiTheme="minorHAnsi" w:cstheme="minorHAnsi"/>
                <w:sz w:val="18"/>
              </w:rPr>
              <w:t>strategic decision-</w:t>
            </w:r>
            <w:proofErr w:type="gramStart"/>
            <w:r w:rsidR="009F16BA" w:rsidRPr="007C4D65">
              <w:rPr>
                <w:rFonts w:asciiTheme="minorHAnsi" w:hAnsiTheme="minorHAnsi" w:cstheme="minorHAnsi"/>
                <w:sz w:val="18"/>
              </w:rPr>
              <w:t xml:space="preserve">making  </w:t>
            </w:r>
            <w:r w:rsidRPr="007C4D65">
              <w:rPr>
                <w:rFonts w:asciiTheme="minorHAnsi" w:hAnsiTheme="minorHAnsi" w:cstheme="minorHAnsi"/>
                <w:sz w:val="18"/>
              </w:rPr>
              <w:t>,</w:t>
            </w:r>
            <w:proofErr w:type="gramEnd"/>
            <w:r w:rsidRPr="007C4D65">
              <w:rPr>
                <w:rFonts w:asciiTheme="minorHAnsi" w:hAnsiTheme="minorHAnsi" w:cstheme="minorHAnsi"/>
                <w:sz w:val="18"/>
              </w:rPr>
              <w:t xml:space="preserve"> investments and monitoring of results in education, research and innovations in environment</w:t>
            </w:r>
          </w:p>
        </w:tc>
      </w:tr>
      <w:tr w:rsidR="00635C53" w:rsidRPr="007C4D65" w14:paraId="0DDD0588" w14:textId="77777777" w:rsidTr="00B6017F">
        <w:trPr>
          <w:jc w:val="center"/>
        </w:trPr>
        <w:tc>
          <w:tcPr>
            <w:tcW w:w="4076" w:type="dxa"/>
            <w:shd w:val="clear" w:color="auto" w:fill="auto"/>
            <w:vAlign w:val="center"/>
          </w:tcPr>
          <w:p w14:paraId="588F9907"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8. Developmental direction: Smart growth</w:t>
            </w:r>
          </w:p>
        </w:tc>
        <w:tc>
          <w:tcPr>
            <w:tcW w:w="9811" w:type="dxa"/>
            <w:shd w:val="clear" w:color="auto" w:fill="auto"/>
            <w:vAlign w:val="center"/>
          </w:tcPr>
          <w:p w14:paraId="17EE87F9"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3.9 </w:t>
            </w:r>
            <w:r w:rsidRPr="007C4D65">
              <w:rPr>
                <w:rFonts w:asciiTheme="minorHAnsi" w:hAnsiTheme="minorHAnsi" w:cstheme="minorHAnsi"/>
                <w:sz w:val="18"/>
              </w:rPr>
              <w:t>- Raising ecological awareness on biodiversity, nature conservation and ecosystem services</w:t>
            </w:r>
          </w:p>
          <w:p w14:paraId="34E31A8C" w14:textId="77777777" w:rsidR="00635C53" w:rsidRPr="007C4D65" w:rsidRDefault="00635C53" w:rsidP="00B6017F">
            <w:pPr>
              <w:spacing w:line="276" w:lineRule="auto"/>
              <w:rPr>
                <w:rFonts w:asciiTheme="minorHAnsi" w:hAnsiTheme="minorHAnsi" w:cstheme="minorHAnsi"/>
                <w:bCs/>
                <w:sz w:val="18"/>
                <w:szCs w:val="18"/>
              </w:rPr>
            </w:pPr>
            <w:r w:rsidRPr="007C4D65">
              <w:rPr>
                <w:rFonts w:asciiTheme="minorHAnsi" w:hAnsiTheme="minorHAnsi" w:cstheme="minorHAnsi"/>
                <w:b/>
                <w:sz w:val="18"/>
              </w:rPr>
              <w:t xml:space="preserve">Priority 5.3 </w:t>
            </w:r>
            <w:r w:rsidRPr="007C4D65">
              <w:rPr>
                <w:rFonts w:asciiTheme="minorHAnsi" w:hAnsiTheme="minorHAnsi" w:cstheme="minorHAnsi"/>
                <w:sz w:val="18"/>
              </w:rPr>
              <w:t>- Efficient operation of institutions of the Federation of BiH in the field of chemical safety</w:t>
            </w:r>
          </w:p>
          <w:p w14:paraId="077E4474" w14:textId="77777777" w:rsidR="00635C53" w:rsidRPr="007C4D65" w:rsidRDefault="00635C53" w:rsidP="00B6017F">
            <w:pPr>
              <w:spacing w:line="276" w:lineRule="auto"/>
              <w:rPr>
                <w:rFonts w:asciiTheme="minorHAnsi" w:hAnsiTheme="minorHAnsi" w:cstheme="minorHAnsi"/>
                <w:bCs/>
                <w:sz w:val="18"/>
                <w:szCs w:val="18"/>
              </w:rPr>
            </w:pPr>
            <w:r w:rsidRPr="007C4D65">
              <w:rPr>
                <w:rFonts w:asciiTheme="minorHAnsi" w:hAnsiTheme="minorHAnsi" w:cstheme="minorHAnsi"/>
                <w:b/>
                <w:sz w:val="18"/>
              </w:rPr>
              <w:t xml:space="preserve">Priority 5.7 </w:t>
            </w:r>
            <w:r w:rsidRPr="007C4D65">
              <w:rPr>
                <w:rFonts w:asciiTheme="minorHAnsi" w:hAnsiTheme="minorHAnsi" w:cstheme="minorHAnsi"/>
                <w:sz w:val="18"/>
              </w:rPr>
              <w:t xml:space="preserve">- Efficient operation of institutions </w:t>
            </w:r>
            <w:proofErr w:type="gramStart"/>
            <w:r w:rsidRPr="007C4D65">
              <w:rPr>
                <w:rFonts w:asciiTheme="minorHAnsi" w:hAnsiTheme="minorHAnsi" w:cstheme="minorHAnsi"/>
                <w:sz w:val="18"/>
              </w:rPr>
              <w:t>in the area of</w:t>
            </w:r>
            <w:proofErr w:type="gramEnd"/>
            <w:r w:rsidRPr="007C4D65">
              <w:rPr>
                <w:rFonts w:asciiTheme="minorHAnsi" w:hAnsiTheme="minorHAnsi" w:cstheme="minorHAnsi"/>
                <w:sz w:val="18"/>
              </w:rPr>
              <w:t xml:space="preserve"> environmental noise</w:t>
            </w:r>
          </w:p>
          <w:p w14:paraId="1214D695" w14:textId="77777777" w:rsidR="00635C53" w:rsidRPr="007C4D65" w:rsidRDefault="00635C53" w:rsidP="00B6017F">
            <w:pPr>
              <w:spacing w:line="276" w:lineRule="auto"/>
              <w:rPr>
                <w:rFonts w:asciiTheme="minorHAnsi" w:hAnsiTheme="minorHAnsi" w:cstheme="minorHAnsi"/>
                <w:bCs/>
                <w:sz w:val="18"/>
                <w:szCs w:val="18"/>
              </w:rPr>
            </w:pPr>
            <w:r w:rsidRPr="007C4D65">
              <w:rPr>
                <w:rFonts w:asciiTheme="minorHAnsi" w:hAnsiTheme="minorHAnsi" w:cstheme="minorHAnsi"/>
                <w:b/>
                <w:sz w:val="18"/>
              </w:rPr>
              <w:t>Priority 6.5 -</w:t>
            </w:r>
            <w:r w:rsidRPr="007C4D65">
              <w:rPr>
                <w:rFonts w:asciiTheme="minorHAnsi" w:hAnsiTheme="minorHAnsi" w:cstheme="minorHAnsi"/>
                <w:sz w:val="18"/>
              </w:rPr>
              <w:t xml:space="preserve"> Establishing a system of sustainable and responsible research, exploitation and management of mineral raw materials</w:t>
            </w:r>
          </w:p>
          <w:p w14:paraId="4478CDB2" w14:textId="480102B9" w:rsidR="00635C53" w:rsidRPr="007C4D65" w:rsidRDefault="00635C53" w:rsidP="00B6017F">
            <w:pPr>
              <w:spacing w:line="276" w:lineRule="auto"/>
              <w:rPr>
                <w:rFonts w:asciiTheme="minorHAnsi" w:hAnsiTheme="minorHAnsi" w:cstheme="minorHAnsi"/>
                <w:bCs/>
                <w:sz w:val="18"/>
                <w:szCs w:val="18"/>
              </w:rPr>
            </w:pPr>
            <w:r w:rsidRPr="007C4D65">
              <w:rPr>
                <w:rFonts w:asciiTheme="minorHAnsi" w:hAnsiTheme="minorHAnsi" w:cstheme="minorHAnsi"/>
                <w:b/>
                <w:sz w:val="18"/>
              </w:rPr>
              <w:t>Priority 7.4</w:t>
            </w:r>
            <w:r w:rsidRPr="007C4D65">
              <w:rPr>
                <w:rFonts w:asciiTheme="minorHAnsi" w:hAnsiTheme="minorHAnsi" w:cstheme="minorHAnsi"/>
                <w:sz w:val="18"/>
              </w:rPr>
              <w:t xml:space="preserve"> - </w:t>
            </w:r>
            <w:r w:rsidR="00A323B2" w:rsidRPr="007C4D65">
              <w:rPr>
                <w:rFonts w:asciiTheme="minorHAnsi" w:hAnsiTheme="minorHAnsi" w:cstheme="minorHAnsi"/>
                <w:sz w:val="18"/>
              </w:rPr>
              <w:t xml:space="preserve">Ensuring strong public awareness on the importance of the environmental protection and their engagement in </w:t>
            </w:r>
            <w:r w:rsidR="009F16BA" w:rsidRPr="007C4D65">
              <w:rPr>
                <w:rFonts w:asciiTheme="minorHAnsi" w:hAnsiTheme="minorHAnsi" w:cstheme="minorHAnsi"/>
                <w:sz w:val="18"/>
              </w:rPr>
              <w:t xml:space="preserve">decision-making  </w:t>
            </w:r>
            <w:r w:rsidR="00A323B2" w:rsidRPr="007C4D65">
              <w:rPr>
                <w:rFonts w:asciiTheme="minorHAnsi" w:hAnsiTheme="minorHAnsi" w:cstheme="minorHAnsi"/>
                <w:sz w:val="18"/>
              </w:rPr>
              <w:t xml:space="preserve"> processes, focusing on women, youth and socially vulnerable groups</w:t>
            </w:r>
          </w:p>
          <w:p w14:paraId="69780F03" w14:textId="7B077D02"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7.7 </w:t>
            </w:r>
            <w:r w:rsidRPr="007C4D65">
              <w:rPr>
                <w:rFonts w:asciiTheme="minorHAnsi" w:hAnsiTheme="minorHAnsi" w:cstheme="minorHAnsi"/>
                <w:sz w:val="18"/>
              </w:rPr>
              <w:t>- Ensuring financial sustainability of the environment sector in the Federation of BiH</w:t>
            </w:r>
          </w:p>
          <w:p w14:paraId="3DE4CEC4" w14:textId="7DE23757" w:rsidR="00635C53" w:rsidRPr="007C4D65" w:rsidRDefault="00635C53" w:rsidP="00B6017F">
            <w:pPr>
              <w:spacing w:line="276" w:lineRule="auto"/>
              <w:rPr>
                <w:rFonts w:asciiTheme="minorHAnsi" w:hAnsiTheme="minorHAnsi" w:cstheme="minorHAnsi"/>
                <w:bCs/>
                <w:sz w:val="18"/>
                <w:szCs w:val="18"/>
              </w:rPr>
            </w:pPr>
            <w:r w:rsidRPr="007C4D65">
              <w:rPr>
                <w:rFonts w:asciiTheme="minorHAnsi" w:hAnsiTheme="minorHAnsi" w:cstheme="minorHAnsi"/>
                <w:b/>
                <w:sz w:val="18"/>
              </w:rPr>
              <w:t>Priority 7.8</w:t>
            </w:r>
            <w:r w:rsidRPr="007C4D65">
              <w:rPr>
                <w:rFonts w:asciiTheme="minorHAnsi" w:hAnsiTheme="minorHAnsi" w:cstheme="minorHAnsi"/>
                <w:sz w:val="18"/>
              </w:rPr>
              <w:t xml:space="preserve"> - Establishing the system for </w:t>
            </w:r>
            <w:r w:rsidR="009F16BA" w:rsidRPr="007C4D65">
              <w:rPr>
                <w:rFonts w:asciiTheme="minorHAnsi" w:hAnsiTheme="minorHAnsi" w:cstheme="minorHAnsi"/>
                <w:sz w:val="18"/>
              </w:rPr>
              <w:t>strategic decision-</w:t>
            </w:r>
            <w:proofErr w:type="gramStart"/>
            <w:r w:rsidR="009F16BA" w:rsidRPr="007C4D65">
              <w:rPr>
                <w:rFonts w:asciiTheme="minorHAnsi" w:hAnsiTheme="minorHAnsi" w:cstheme="minorHAnsi"/>
                <w:sz w:val="18"/>
              </w:rPr>
              <w:t xml:space="preserve">making  </w:t>
            </w:r>
            <w:r w:rsidRPr="007C4D65">
              <w:rPr>
                <w:rFonts w:asciiTheme="minorHAnsi" w:hAnsiTheme="minorHAnsi" w:cstheme="minorHAnsi"/>
                <w:sz w:val="18"/>
              </w:rPr>
              <w:t>,</w:t>
            </w:r>
            <w:proofErr w:type="gramEnd"/>
            <w:r w:rsidRPr="007C4D65">
              <w:rPr>
                <w:rFonts w:asciiTheme="minorHAnsi" w:hAnsiTheme="minorHAnsi" w:cstheme="minorHAnsi"/>
                <w:sz w:val="18"/>
              </w:rPr>
              <w:t xml:space="preserve"> investments and monitoring of results in education, research and innovations in environment</w:t>
            </w:r>
          </w:p>
        </w:tc>
      </w:tr>
      <w:tr w:rsidR="00635C53" w:rsidRPr="007C4D65" w14:paraId="07F5EB90" w14:textId="77777777" w:rsidTr="00B6017F">
        <w:trPr>
          <w:jc w:val="center"/>
        </w:trPr>
        <w:tc>
          <w:tcPr>
            <w:tcW w:w="4076" w:type="dxa"/>
            <w:shd w:val="clear" w:color="auto" w:fill="auto"/>
            <w:vAlign w:val="center"/>
          </w:tcPr>
          <w:p w14:paraId="7329DB17"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lastRenderedPageBreak/>
              <w:t>9. Developmental direction: Society of equal opportunities</w:t>
            </w:r>
          </w:p>
        </w:tc>
        <w:tc>
          <w:tcPr>
            <w:tcW w:w="9811" w:type="dxa"/>
            <w:shd w:val="clear" w:color="auto" w:fill="auto"/>
            <w:vAlign w:val="center"/>
          </w:tcPr>
          <w:p w14:paraId="27C6F366" w14:textId="7F9A7DA6"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7.1 </w:t>
            </w:r>
            <w:r w:rsidRPr="007C4D65">
              <w:rPr>
                <w:rFonts w:asciiTheme="minorHAnsi" w:hAnsiTheme="minorHAnsi" w:cstheme="minorHAnsi"/>
                <w:sz w:val="18"/>
              </w:rPr>
              <w:t xml:space="preserve">- </w:t>
            </w:r>
            <w:r w:rsidR="005A2219" w:rsidRPr="007C4D65">
              <w:rPr>
                <w:rFonts w:asciiTheme="minorHAnsi" w:hAnsiTheme="minorHAnsi" w:cstheme="minorHAnsi"/>
                <w:sz w:val="18"/>
              </w:rPr>
              <w:t>Improving the legal framework and sectoral policies for planning, management and protection of the environment in the Federation of BiH with the view of fully aligning the legislation with the EU environmental acquis and international agreements</w:t>
            </w:r>
          </w:p>
          <w:p w14:paraId="16745537" w14:textId="41A690C4"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Priority 7.4 </w:t>
            </w:r>
            <w:r w:rsidRPr="007C4D65">
              <w:rPr>
                <w:rFonts w:asciiTheme="minorHAnsi" w:hAnsiTheme="minorHAnsi" w:cstheme="minorHAnsi"/>
                <w:sz w:val="18"/>
              </w:rPr>
              <w:t xml:space="preserve">- </w:t>
            </w:r>
            <w:r w:rsidR="00A323B2" w:rsidRPr="007C4D65">
              <w:rPr>
                <w:rFonts w:asciiTheme="minorHAnsi" w:hAnsiTheme="minorHAnsi" w:cstheme="minorHAnsi"/>
                <w:sz w:val="18"/>
              </w:rPr>
              <w:t xml:space="preserve">Ensuring strong public awareness on the importance of the environmental protection and their engagement in </w:t>
            </w:r>
            <w:r w:rsidR="009F16BA" w:rsidRPr="007C4D65">
              <w:rPr>
                <w:rFonts w:asciiTheme="minorHAnsi" w:hAnsiTheme="minorHAnsi" w:cstheme="minorHAnsi"/>
                <w:sz w:val="18"/>
              </w:rPr>
              <w:t xml:space="preserve">decision-making  </w:t>
            </w:r>
            <w:r w:rsidR="00A323B2" w:rsidRPr="007C4D65">
              <w:rPr>
                <w:rFonts w:asciiTheme="minorHAnsi" w:hAnsiTheme="minorHAnsi" w:cstheme="minorHAnsi"/>
                <w:sz w:val="18"/>
              </w:rPr>
              <w:t xml:space="preserve"> processes, focusing on women, youth and socially vulnerable groups</w:t>
            </w:r>
          </w:p>
        </w:tc>
      </w:tr>
      <w:tr w:rsidR="00635C53" w:rsidRPr="007C4D65" w14:paraId="4DB1B3D0" w14:textId="77777777" w:rsidTr="00B6017F">
        <w:trPr>
          <w:jc w:val="center"/>
        </w:trPr>
        <w:tc>
          <w:tcPr>
            <w:tcW w:w="4076" w:type="dxa"/>
            <w:shd w:val="clear" w:color="auto" w:fill="009D73"/>
            <w:vAlign w:val="center"/>
          </w:tcPr>
          <w:p w14:paraId="005A98DB" w14:textId="40F3DC9F" w:rsidR="00635C53" w:rsidRPr="007C4D65" w:rsidRDefault="00635C53" w:rsidP="00B6017F">
            <w:pPr>
              <w:spacing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BiH Economic Reform Program</w:t>
            </w:r>
            <w:r w:rsidR="00227D11" w:rsidRPr="007C4D65">
              <w:rPr>
                <w:rFonts w:asciiTheme="minorHAnsi" w:hAnsiTheme="minorHAnsi" w:cstheme="minorHAnsi"/>
                <w:b/>
                <w:color w:val="FFFFFF" w:themeColor="background1"/>
                <w:sz w:val="18"/>
              </w:rPr>
              <w:t>me</w:t>
            </w:r>
            <w:r w:rsidRPr="007C4D65">
              <w:rPr>
                <w:rFonts w:asciiTheme="minorHAnsi" w:hAnsiTheme="minorHAnsi" w:cstheme="minorHAnsi"/>
                <w:b/>
                <w:color w:val="FFFFFF" w:themeColor="background1"/>
                <w:sz w:val="18"/>
              </w:rPr>
              <w:t xml:space="preserve"> (ERP BiH 2021‒2023)</w:t>
            </w:r>
          </w:p>
        </w:tc>
        <w:tc>
          <w:tcPr>
            <w:tcW w:w="9811" w:type="dxa"/>
            <w:shd w:val="clear" w:color="auto" w:fill="009D73"/>
            <w:vAlign w:val="center"/>
          </w:tcPr>
          <w:p w14:paraId="2EA6BD1C" w14:textId="77777777" w:rsidR="00635C53" w:rsidRPr="007C4D65" w:rsidRDefault="00635C53" w:rsidP="00B6017F">
            <w:pPr>
              <w:spacing w:line="276" w:lineRule="auto"/>
              <w:jc w:val="center"/>
              <w:rPr>
                <w:rFonts w:asciiTheme="minorHAnsi" w:hAnsiTheme="minorHAnsi" w:cstheme="minorHAnsi"/>
                <w:b/>
                <w:color w:val="FFFFFF" w:themeColor="background1"/>
                <w:sz w:val="18"/>
                <w:szCs w:val="18"/>
                <w:lang w:val="hr-HR"/>
              </w:rPr>
            </w:pPr>
          </w:p>
        </w:tc>
      </w:tr>
      <w:tr w:rsidR="00635C53" w:rsidRPr="007C4D65" w14:paraId="0593846D" w14:textId="77777777" w:rsidTr="00B6017F">
        <w:trPr>
          <w:jc w:val="center"/>
        </w:trPr>
        <w:tc>
          <w:tcPr>
            <w:tcW w:w="4076" w:type="dxa"/>
            <w:vAlign w:val="center"/>
          </w:tcPr>
          <w:p w14:paraId="354C1638"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Measure 5.3.1.1 - Development of energy and gas market</w:t>
            </w:r>
          </w:p>
        </w:tc>
        <w:tc>
          <w:tcPr>
            <w:tcW w:w="9811" w:type="dxa"/>
            <w:vAlign w:val="center"/>
          </w:tcPr>
          <w:p w14:paraId="42FD2C26" w14:textId="491BF85E"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4.5</w:t>
            </w:r>
            <w:r w:rsidRPr="007C4D65">
              <w:rPr>
                <w:rFonts w:asciiTheme="minorHAnsi" w:hAnsiTheme="minorHAnsi" w:cstheme="minorHAnsi"/>
                <w:sz w:val="18"/>
              </w:rPr>
              <w:t xml:space="preserve"> - Improving </w:t>
            </w:r>
            <w:r w:rsidR="009477FB" w:rsidRPr="007C4D65">
              <w:rPr>
                <w:rFonts w:asciiTheme="minorHAnsi" w:hAnsiTheme="minorHAnsi" w:cstheme="minorHAnsi"/>
                <w:sz w:val="18"/>
              </w:rPr>
              <w:t>energy efficiency of final consumption</w:t>
            </w:r>
            <w:r w:rsidRPr="007C4D65">
              <w:rPr>
                <w:rFonts w:asciiTheme="minorHAnsi" w:hAnsiTheme="minorHAnsi" w:cstheme="minorHAnsi"/>
                <w:sz w:val="18"/>
              </w:rPr>
              <w:t xml:space="preserve"> in all sectors</w:t>
            </w:r>
          </w:p>
        </w:tc>
      </w:tr>
      <w:tr w:rsidR="00635C53" w:rsidRPr="007C4D65" w14:paraId="2B75428A" w14:textId="77777777" w:rsidTr="00B6017F">
        <w:trPr>
          <w:jc w:val="center"/>
        </w:trPr>
        <w:tc>
          <w:tcPr>
            <w:tcW w:w="4076" w:type="dxa"/>
            <w:tcBorders>
              <w:bottom w:val="single" w:sz="4" w:space="0" w:color="D0CECE" w:themeColor="background2" w:themeShade="E6"/>
            </w:tcBorders>
            <w:vAlign w:val="center"/>
          </w:tcPr>
          <w:p w14:paraId="074BFC2E" w14:textId="0448859A"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Measure 5.3.1.2 - </w:t>
            </w:r>
            <w:r w:rsidR="00707332" w:rsidRPr="007C4D65">
              <w:rPr>
                <w:rFonts w:asciiTheme="minorHAnsi" w:hAnsiTheme="minorHAnsi" w:cstheme="minorHAnsi"/>
                <w:b/>
                <w:sz w:val="18"/>
              </w:rPr>
              <w:t>Enhancing</w:t>
            </w:r>
            <w:r w:rsidRPr="007C4D65">
              <w:rPr>
                <w:rFonts w:asciiTheme="minorHAnsi" w:hAnsiTheme="minorHAnsi" w:cstheme="minorHAnsi"/>
                <w:b/>
                <w:sz w:val="18"/>
              </w:rPr>
              <w:t xml:space="preserve"> energy efficiency and use of renewable sources of energy</w:t>
            </w:r>
          </w:p>
        </w:tc>
        <w:tc>
          <w:tcPr>
            <w:tcW w:w="9811" w:type="dxa"/>
            <w:tcBorders>
              <w:bottom w:val="single" w:sz="4" w:space="0" w:color="D0CECE" w:themeColor="background2" w:themeShade="E6"/>
            </w:tcBorders>
            <w:vAlign w:val="center"/>
          </w:tcPr>
          <w:p w14:paraId="09161521" w14:textId="07ABB049"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4.5</w:t>
            </w:r>
            <w:r w:rsidRPr="007C4D65">
              <w:rPr>
                <w:rFonts w:asciiTheme="minorHAnsi" w:hAnsiTheme="minorHAnsi" w:cstheme="minorHAnsi"/>
                <w:sz w:val="18"/>
              </w:rPr>
              <w:t xml:space="preserve"> - </w:t>
            </w:r>
            <w:r w:rsidR="00915506" w:rsidRPr="007C4D65">
              <w:rPr>
                <w:rFonts w:asciiTheme="minorHAnsi" w:hAnsiTheme="minorHAnsi" w:cstheme="minorHAnsi"/>
                <w:sz w:val="18"/>
              </w:rPr>
              <w:t>Improving</w:t>
            </w:r>
            <w:r w:rsidRPr="007C4D65">
              <w:rPr>
                <w:rFonts w:asciiTheme="minorHAnsi" w:hAnsiTheme="minorHAnsi" w:cstheme="minorHAnsi"/>
                <w:sz w:val="18"/>
              </w:rPr>
              <w:t xml:space="preserve"> </w:t>
            </w:r>
            <w:r w:rsidR="009477FB" w:rsidRPr="007C4D65">
              <w:rPr>
                <w:rFonts w:asciiTheme="minorHAnsi" w:hAnsiTheme="minorHAnsi" w:cstheme="minorHAnsi"/>
                <w:sz w:val="18"/>
              </w:rPr>
              <w:t>energy efficiency of final consumption</w:t>
            </w:r>
            <w:r w:rsidRPr="007C4D65">
              <w:rPr>
                <w:rFonts w:asciiTheme="minorHAnsi" w:hAnsiTheme="minorHAnsi" w:cstheme="minorHAnsi"/>
                <w:sz w:val="18"/>
              </w:rPr>
              <w:t xml:space="preserve"> in all sectors</w:t>
            </w:r>
          </w:p>
          <w:p w14:paraId="2F35511B" w14:textId="24213398"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4.6</w:t>
            </w:r>
            <w:r w:rsidRPr="007C4D65">
              <w:rPr>
                <w:rFonts w:asciiTheme="minorHAnsi" w:hAnsiTheme="minorHAnsi" w:cstheme="minorHAnsi"/>
                <w:sz w:val="18"/>
              </w:rPr>
              <w:t xml:space="preserve"> - </w:t>
            </w:r>
            <w:r w:rsidR="00197A0A" w:rsidRPr="007C4D65">
              <w:rPr>
                <w:rFonts w:asciiTheme="minorHAnsi" w:hAnsiTheme="minorHAnsi" w:cstheme="minorHAnsi"/>
                <w:sz w:val="18"/>
              </w:rPr>
              <w:t>Increasing the share of renewable energy along with an incentive scheme reform (focusing on citizens energy)</w:t>
            </w:r>
          </w:p>
        </w:tc>
      </w:tr>
      <w:tr w:rsidR="00635C53" w:rsidRPr="007C4D65" w14:paraId="173F9953" w14:textId="77777777" w:rsidTr="00B6017F">
        <w:trPr>
          <w:jc w:val="center"/>
        </w:trPr>
        <w:tc>
          <w:tcPr>
            <w:tcW w:w="4076" w:type="dxa"/>
            <w:tcBorders>
              <w:bottom w:val="single" w:sz="4" w:space="0" w:color="D0CECE" w:themeColor="background2" w:themeShade="E6"/>
            </w:tcBorders>
            <w:vAlign w:val="center"/>
          </w:tcPr>
          <w:p w14:paraId="4C8677C8" w14:textId="7CCC34C9"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Measure 5.3.2.3 - </w:t>
            </w:r>
            <w:r w:rsidR="00707332" w:rsidRPr="007C4D65">
              <w:rPr>
                <w:rFonts w:asciiTheme="minorHAnsi" w:hAnsiTheme="minorHAnsi" w:cstheme="minorHAnsi"/>
                <w:b/>
                <w:sz w:val="18"/>
              </w:rPr>
              <w:t>Enhancing</w:t>
            </w:r>
            <w:r w:rsidRPr="007C4D65">
              <w:rPr>
                <w:rFonts w:asciiTheme="minorHAnsi" w:hAnsiTheme="minorHAnsi" w:cstheme="minorHAnsi"/>
                <w:b/>
                <w:sz w:val="18"/>
              </w:rPr>
              <w:t xml:space="preserve"> integrated management of waste and circular economy system</w:t>
            </w:r>
          </w:p>
        </w:tc>
        <w:tc>
          <w:tcPr>
            <w:tcW w:w="9811" w:type="dxa"/>
            <w:tcBorders>
              <w:bottom w:val="single" w:sz="4" w:space="0" w:color="D0CECE" w:themeColor="background2" w:themeShade="E6"/>
            </w:tcBorders>
            <w:vAlign w:val="center"/>
          </w:tcPr>
          <w:p w14:paraId="5DAE10B7" w14:textId="575BDBFC"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2.1</w:t>
            </w:r>
            <w:r w:rsidRPr="007C4D65">
              <w:rPr>
                <w:rFonts w:asciiTheme="minorHAnsi" w:hAnsiTheme="minorHAnsi" w:cstheme="minorHAnsi"/>
                <w:sz w:val="18"/>
              </w:rPr>
              <w:t xml:space="preserve"> - </w:t>
            </w:r>
            <w:r w:rsidR="00E55311" w:rsidRPr="007C4D65">
              <w:rPr>
                <w:rFonts w:asciiTheme="minorHAnsi" w:hAnsiTheme="minorHAnsi" w:cstheme="minorHAnsi"/>
                <w:sz w:val="18"/>
              </w:rPr>
              <w:t>Improving the legal and strategic framework in the waste management according to the EU principles</w:t>
            </w:r>
          </w:p>
          <w:p w14:paraId="79C42D3F"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2.2</w:t>
            </w:r>
            <w:r w:rsidRPr="007C4D65">
              <w:rPr>
                <w:rFonts w:asciiTheme="minorHAnsi" w:hAnsiTheme="minorHAnsi" w:cstheme="minorHAnsi"/>
                <w:sz w:val="18"/>
              </w:rPr>
              <w:t xml:space="preserve"> - Improving the waste records and reporting system</w:t>
            </w:r>
          </w:p>
          <w:p w14:paraId="7608B1E2" w14:textId="53FAC62D"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2.4</w:t>
            </w:r>
            <w:r w:rsidRPr="007C4D65">
              <w:rPr>
                <w:rFonts w:asciiTheme="minorHAnsi" w:hAnsiTheme="minorHAnsi" w:cstheme="minorHAnsi"/>
                <w:sz w:val="18"/>
              </w:rPr>
              <w:t xml:space="preserve"> - </w:t>
            </w:r>
            <w:r w:rsidR="001547A8" w:rsidRPr="007C4D65">
              <w:rPr>
                <w:rFonts w:asciiTheme="minorHAnsi" w:hAnsiTheme="minorHAnsi" w:cstheme="minorHAnsi"/>
                <w:sz w:val="18"/>
              </w:rPr>
              <w:t>Improving the municipal waste management system</w:t>
            </w:r>
          </w:p>
          <w:p w14:paraId="469D2FCD" w14:textId="2C5A154D"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2.5</w:t>
            </w:r>
            <w:r w:rsidRPr="007C4D65">
              <w:rPr>
                <w:rFonts w:asciiTheme="minorHAnsi" w:hAnsiTheme="minorHAnsi" w:cstheme="minorHAnsi"/>
                <w:sz w:val="18"/>
              </w:rPr>
              <w:t xml:space="preserve"> - </w:t>
            </w:r>
            <w:r w:rsidR="001547A8" w:rsidRPr="007C4D65">
              <w:rPr>
                <w:rFonts w:asciiTheme="minorHAnsi" w:hAnsiTheme="minorHAnsi" w:cstheme="minorHAnsi"/>
                <w:sz w:val="18"/>
              </w:rPr>
              <w:t>Improving the management of special wastes</w:t>
            </w:r>
          </w:p>
        </w:tc>
      </w:tr>
      <w:tr w:rsidR="00635C53" w:rsidRPr="007C4D65" w14:paraId="6449B9D7" w14:textId="77777777" w:rsidTr="00B6017F">
        <w:trPr>
          <w:jc w:val="center"/>
        </w:trPr>
        <w:tc>
          <w:tcPr>
            <w:tcW w:w="4076" w:type="dxa"/>
            <w:tcBorders>
              <w:bottom w:val="single" w:sz="4" w:space="0" w:color="D0CECE" w:themeColor="background2" w:themeShade="E6"/>
            </w:tcBorders>
            <w:vAlign w:val="center"/>
          </w:tcPr>
          <w:p w14:paraId="7DE9D46C"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Measure 5.3.2.4 - Implementing economic instruments </w:t>
            </w:r>
            <w:proofErr w:type="gramStart"/>
            <w:r w:rsidRPr="007C4D65">
              <w:rPr>
                <w:rFonts w:asciiTheme="minorHAnsi" w:hAnsiTheme="minorHAnsi" w:cstheme="minorHAnsi"/>
                <w:b/>
                <w:sz w:val="18"/>
              </w:rPr>
              <w:t>in the area of</w:t>
            </w:r>
            <w:proofErr w:type="gramEnd"/>
            <w:r w:rsidRPr="007C4D65">
              <w:rPr>
                <w:rFonts w:asciiTheme="minorHAnsi" w:hAnsiTheme="minorHAnsi" w:cstheme="minorHAnsi"/>
                <w:b/>
                <w:sz w:val="18"/>
              </w:rPr>
              <w:t xml:space="preserve"> environment and EE</w:t>
            </w:r>
          </w:p>
        </w:tc>
        <w:tc>
          <w:tcPr>
            <w:tcW w:w="9811" w:type="dxa"/>
            <w:tcBorders>
              <w:bottom w:val="single" w:sz="4" w:space="0" w:color="D0CECE" w:themeColor="background2" w:themeShade="E6"/>
            </w:tcBorders>
            <w:vAlign w:val="center"/>
          </w:tcPr>
          <w:p w14:paraId="0E873A2F" w14:textId="60FB00ED"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7.3</w:t>
            </w:r>
            <w:r w:rsidRPr="007C4D65">
              <w:rPr>
                <w:rFonts w:asciiTheme="minorHAnsi" w:hAnsiTheme="minorHAnsi" w:cstheme="minorHAnsi"/>
                <w:sz w:val="18"/>
              </w:rPr>
              <w:t xml:space="preserve"> - </w:t>
            </w:r>
            <w:r w:rsidR="00864E60" w:rsidRPr="007C4D65">
              <w:rPr>
                <w:rFonts w:asciiTheme="minorHAnsi" w:hAnsiTheme="minorHAnsi" w:cstheme="minorHAnsi"/>
                <w:sz w:val="18"/>
              </w:rPr>
              <w:t>Maximise the capacity of institutions and their coordination</w:t>
            </w:r>
          </w:p>
          <w:p w14:paraId="74CFD5CB" w14:textId="6953A42B"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7.7</w:t>
            </w:r>
            <w:r w:rsidRPr="007C4D65">
              <w:rPr>
                <w:rFonts w:asciiTheme="minorHAnsi" w:hAnsiTheme="minorHAnsi" w:cstheme="minorHAnsi"/>
                <w:sz w:val="18"/>
              </w:rPr>
              <w:t xml:space="preserve"> - Ensuring financial sustainability of the environment sector in the Federation of BiH</w:t>
            </w:r>
          </w:p>
        </w:tc>
      </w:tr>
      <w:tr w:rsidR="00635C53" w:rsidRPr="007C4D65" w14:paraId="7B0130CA" w14:textId="77777777" w:rsidTr="00B6017F">
        <w:trPr>
          <w:jc w:val="center"/>
        </w:trPr>
        <w:tc>
          <w:tcPr>
            <w:tcW w:w="4076" w:type="dxa"/>
            <w:shd w:val="clear" w:color="auto" w:fill="009D73"/>
            <w:vAlign w:val="center"/>
          </w:tcPr>
          <w:p w14:paraId="7B6B58ED" w14:textId="77777777" w:rsidR="00635C53" w:rsidRPr="007C4D65" w:rsidRDefault="00635C53" w:rsidP="00B6017F">
            <w:pPr>
              <w:spacing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Climate Change Adaptation and Low Emission Development Strategy for BiH (2020 - 2030)</w:t>
            </w:r>
          </w:p>
        </w:tc>
        <w:tc>
          <w:tcPr>
            <w:tcW w:w="9811" w:type="dxa"/>
            <w:shd w:val="clear" w:color="auto" w:fill="009D73"/>
            <w:vAlign w:val="center"/>
          </w:tcPr>
          <w:p w14:paraId="603F648C" w14:textId="77777777" w:rsidR="00635C53" w:rsidRPr="007C4D65" w:rsidRDefault="00635C53" w:rsidP="00B6017F">
            <w:pPr>
              <w:spacing w:line="276" w:lineRule="auto"/>
              <w:jc w:val="center"/>
              <w:rPr>
                <w:rFonts w:asciiTheme="minorHAnsi" w:hAnsiTheme="minorHAnsi" w:cstheme="minorHAnsi"/>
                <w:b/>
                <w:color w:val="FFFFFF" w:themeColor="background1"/>
                <w:sz w:val="18"/>
                <w:szCs w:val="18"/>
                <w:lang w:val="hr-HR"/>
              </w:rPr>
            </w:pPr>
          </w:p>
        </w:tc>
      </w:tr>
      <w:tr w:rsidR="00635C53" w:rsidRPr="007C4D65" w14:paraId="33FF5B10" w14:textId="77777777" w:rsidTr="00B6017F">
        <w:trPr>
          <w:jc w:val="center"/>
        </w:trPr>
        <w:tc>
          <w:tcPr>
            <w:tcW w:w="4076" w:type="dxa"/>
            <w:vAlign w:val="center"/>
          </w:tcPr>
          <w:p w14:paraId="77B99EBB"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3.1. Generating and disseminating evidence-based knowledge and information</w:t>
            </w:r>
          </w:p>
        </w:tc>
        <w:tc>
          <w:tcPr>
            <w:tcW w:w="9811" w:type="dxa"/>
            <w:vAlign w:val="center"/>
          </w:tcPr>
          <w:p w14:paraId="119AE616" w14:textId="77777777" w:rsidR="00131E81" w:rsidRPr="007C4D65" w:rsidRDefault="00635C53" w:rsidP="00B6017F">
            <w:pPr>
              <w:spacing w:line="276" w:lineRule="auto"/>
              <w:jc w:val="both"/>
              <w:rPr>
                <w:rFonts w:asciiTheme="minorHAnsi" w:hAnsiTheme="minorHAnsi" w:cstheme="minorHAnsi"/>
                <w:b/>
                <w:sz w:val="18"/>
              </w:rPr>
            </w:pPr>
            <w:r w:rsidRPr="007C4D65">
              <w:rPr>
                <w:rFonts w:asciiTheme="minorHAnsi" w:hAnsiTheme="minorHAnsi" w:cstheme="minorHAnsi"/>
                <w:b/>
                <w:sz w:val="18"/>
              </w:rPr>
              <w:t>Priority 4.3</w:t>
            </w:r>
            <w:r w:rsidRPr="007C4D65">
              <w:rPr>
                <w:rFonts w:asciiTheme="minorHAnsi" w:hAnsiTheme="minorHAnsi" w:cstheme="minorHAnsi"/>
                <w:sz w:val="18"/>
              </w:rPr>
              <w:t xml:space="preserve"> - </w:t>
            </w:r>
            <w:r w:rsidR="00131E81" w:rsidRPr="007C4D65">
              <w:rPr>
                <w:rFonts w:asciiTheme="minorHAnsi" w:hAnsiTheme="minorHAnsi" w:cstheme="minorHAnsi"/>
                <w:sz w:val="18"/>
              </w:rPr>
              <w:t xml:space="preserve">Reduce the impact of the Federation of BiH on climate changes through reduced GHG emissions and enhanced carbon sinks </w:t>
            </w:r>
          </w:p>
          <w:p w14:paraId="78BF74CF" w14:textId="37E5A13D"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4.4</w:t>
            </w:r>
            <w:r w:rsidRPr="007C4D65">
              <w:rPr>
                <w:rFonts w:asciiTheme="minorHAnsi" w:hAnsiTheme="minorHAnsi" w:cstheme="minorHAnsi"/>
                <w:sz w:val="18"/>
              </w:rPr>
              <w:t xml:space="preserve"> - </w:t>
            </w:r>
            <w:r w:rsidR="00915506" w:rsidRPr="007C4D65">
              <w:rPr>
                <w:rFonts w:asciiTheme="minorHAnsi" w:hAnsiTheme="minorHAnsi" w:cstheme="minorHAnsi"/>
                <w:sz w:val="18"/>
              </w:rPr>
              <w:t xml:space="preserve">Enhancing resilience to climate change  </w:t>
            </w:r>
          </w:p>
          <w:p w14:paraId="63F11D56"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7.6</w:t>
            </w:r>
            <w:r w:rsidRPr="007C4D65">
              <w:rPr>
                <w:rFonts w:asciiTheme="minorHAnsi" w:hAnsiTheme="minorHAnsi" w:cstheme="minorHAnsi"/>
                <w:sz w:val="18"/>
              </w:rPr>
              <w:t xml:space="preserve"> - Ensuring a strong synergy in cross-sectoral and inter-sectoral action, and integration of public environmental policies</w:t>
            </w:r>
          </w:p>
        </w:tc>
      </w:tr>
      <w:tr w:rsidR="00635C53" w:rsidRPr="007C4D65" w14:paraId="65268A98" w14:textId="77777777" w:rsidTr="00B6017F">
        <w:trPr>
          <w:jc w:val="center"/>
        </w:trPr>
        <w:tc>
          <w:tcPr>
            <w:tcW w:w="4076" w:type="dxa"/>
            <w:tcBorders>
              <w:bottom w:val="single" w:sz="4" w:space="0" w:color="D0CECE" w:themeColor="background2" w:themeShade="E6"/>
            </w:tcBorders>
            <w:vAlign w:val="center"/>
          </w:tcPr>
          <w:p w14:paraId="66554116"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3.2. Effective institutional and regulatory frameworks </w:t>
            </w:r>
          </w:p>
        </w:tc>
        <w:tc>
          <w:tcPr>
            <w:tcW w:w="9811" w:type="dxa"/>
            <w:tcBorders>
              <w:bottom w:val="single" w:sz="4" w:space="0" w:color="D0CECE" w:themeColor="background2" w:themeShade="E6"/>
            </w:tcBorders>
            <w:vAlign w:val="center"/>
          </w:tcPr>
          <w:p w14:paraId="6FAEE5BF"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4.1</w:t>
            </w:r>
            <w:r w:rsidRPr="007C4D65">
              <w:rPr>
                <w:rFonts w:asciiTheme="minorHAnsi" w:hAnsiTheme="minorHAnsi" w:cstheme="minorHAnsi"/>
                <w:sz w:val="18"/>
              </w:rPr>
              <w:t xml:space="preserve"> - Reduce air pollution by reducing air pollutants to levels that are safe for human health</w:t>
            </w:r>
          </w:p>
          <w:p w14:paraId="23B0BAC9" w14:textId="32D06F4A"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4.2</w:t>
            </w:r>
            <w:r w:rsidRPr="007C4D65">
              <w:rPr>
                <w:rFonts w:asciiTheme="minorHAnsi" w:hAnsiTheme="minorHAnsi" w:cstheme="minorHAnsi"/>
                <w:sz w:val="18"/>
              </w:rPr>
              <w:t xml:space="preserve"> - Upgrading the air quality management system to support </w:t>
            </w:r>
            <w:r w:rsidR="009F16BA" w:rsidRPr="007C4D65">
              <w:rPr>
                <w:rFonts w:asciiTheme="minorHAnsi" w:hAnsiTheme="minorHAnsi" w:cstheme="minorHAnsi"/>
                <w:sz w:val="18"/>
              </w:rPr>
              <w:t xml:space="preserve">strategic decision-making  </w:t>
            </w:r>
            <w:r w:rsidRPr="007C4D65">
              <w:rPr>
                <w:rFonts w:asciiTheme="minorHAnsi" w:hAnsiTheme="minorHAnsi" w:cstheme="minorHAnsi"/>
                <w:sz w:val="18"/>
              </w:rPr>
              <w:t xml:space="preserve"> and public information on air quality</w:t>
            </w:r>
          </w:p>
          <w:p w14:paraId="7EABDBA1" w14:textId="77777777" w:rsidR="00131E81" w:rsidRPr="007C4D65" w:rsidRDefault="00635C53" w:rsidP="00B6017F">
            <w:pPr>
              <w:spacing w:line="276" w:lineRule="auto"/>
              <w:jc w:val="both"/>
              <w:rPr>
                <w:rFonts w:asciiTheme="minorHAnsi" w:hAnsiTheme="minorHAnsi" w:cstheme="minorHAnsi"/>
                <w:b/>
                <w:sz w:val="18"/>
              </w:rPr>
            </w:pPr>
            <w:r w:rsidRPr="007C4D65">
              <w:rPr>
                <w:rFonts w:asciiTheme="minorHAnsi" w:hAnsiTheme="minorHAnsi" w:cstheme="minorHAnsi"/>
                <w:b/>
                <w:sz w:val="18"/>
              </w:rPr>
              <w:t>Priority 4.3</w:t>
            </w:r>
            <w:r w:rsidRPr="007C4D65">
              <w:rPr>
                <w:rFonts w:asciiTheme="minorHAnsi" w:hAnsiTheme="minorHAnsi" w:cstheme="minorHAnsi"/>
                <w:sz w:val="18"/>
              </w:rPr>
              <w:t xml:space="preserve"> - </w:t>
            </w:r>
            <w:r w:rsidR="00131E81" w:rsidRPr="007C4D65">
              <w:rPr>
                <w:rFonts w:asciiTheme="minorHAnsi" w:hAnsiTheme="minorHAnsi" w:cstheme="minorHAnsi"/>
                <w:sz w:val="18"/>
              </w:rPr>
              <w:t xml:space="preserve">Reduce the impact of the Federation of BiH on climate changes through reduced GHG emissions and enhanced carbon sinks </w:t>
            </w:r>
          </w:p>
          <w:p w14:paraId="1F467040" w14:textId="0BFA8C56"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4.5</w:t>
            </w:r>
            <w:r w:rsidRPr="007C4D65">
              <w:rPr>
                <w:rFonts w:asciiTheme="minorHAnsi" w:hAnsiTheme="minorHAnsi" w:cstheme="minorHAnsi"/>
                <w:sz w:val="18"/>
              </w:rPr>
              <w:t xml:space="preserve"> - </w:t>
            </w:r>
            <w:r w:rsidR="00915506" w:rsidRPr="007C4D65">
              <w:rPr>
                <w:rFonts w:asciiTheme="minorHAnsi" w:hAnsiTheme="minorHAnsi" w:cstheme="minorHAnsi"/>
                <w:sz w:val="18"/>
              </w:rPr>
              <w:t>Improving</w:t>
            </w:r>
            <w:r w:rsidRPr="007C4D65">
              <w:rPr>
                <w:rFonts w:asciiTheme="minorHAnsi" w:hAnsiTheme="minorHAnsi" w:cstheme="minorHAnsi"/>
                <w:sz w:val="18"/>
              </w:rPr>
              <w:t xml:space="preserve"> </w:t>
            </w:r>
            <w:r w:rsidR="009477FB" w:rsidRPr="007C4D65">
              <w:rPr>
                <w:rFonts w:asciiTheme="minorHAnsi" w:hAnsiTheme="minorHAnsi" w:cstheme="minorHAnsi"/>
                <w:sz w:val="18"/>
              </w:rPr>
              <w:t>energy efficiency of final consumption</w:t>
            </w:r>
            <w:r w:rsidRPr="007C4D65">
              <w:rPr>
                <w:rFonts w:asciiTheme="minorHAnsi" w:hAnsiTheme="minorHAnsi" w:cstheme="minorHAnsi"/>
                <w:sz w:val="18"/>
              </w:rPr>
              <w:t xml:space="preserve"> in all sectors</w:t>
            </w:r>
          </w:p>
          <w:p w14:paraId="6C4D1B8B" w14:textId="177651E4"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4.6</w:t>
            </w:r>
            <w:r w:rsidRPr="007C4D65">
              <w:rPr>
                <w:rFonts w:asciiTheme="minorHAnsi" w:hAnsiTheme="minorHAnsi" w:cstheme="minorHAnsi"/>
                <w:sz w:val="18"/>
              </w:rPr>
              <w:t xml:space="preserve"> - </w:t>
            </w:r>
            <w:r w:rsidR="00197A0A" w:rsidRPr="007C4D65">
              <w:rPr>
                <w:rFonts w:asciiTheme="minorHAnsi" w:hAnsiTheme="minorHAnsi" w:cstheme="minorHAnsi"/>
                <w:sz w:val="18"/>
              </w:rPr>
              <w:t>Increasing the share of renewable energy along with an incentive scheme reform (focusing on citizens energy)</w:t>
            </w:r>
          </w:p>
        </w:tc>
      </w:tr>
      <w:tr w:rsidR="00635C53" w:rsidRPr="007C4D65" w14:paraId="2C232439" w14:textId="77777777" w:rsidTr="00B6017F">
        <w:trPr>
          <w:jc w:val="center"/>
        </w:trPr>
        <w:tc>
          <w:tcPr>
            <w:tcW w:w="4076" w:type="dxa"/>
            <w:tcBorders>
              <w:bottom w:val="single" w:sz="4" w:space="0" w:color="D0CECE" w:themeColor="background2" w:themeShade="E6"/>
            </w:tcBorders>
            <w:vAlign w:val="center"/>
          </w:tcPr>
          <w:p w14:paraId="129FE707"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3.3 Effective climate change adaptation approaches</w:t>
            </w:r>
          </w:p>
        </w:tc>
        <w:tc>
          <w:tcPr>
            <w:tcW w:w="9811" w:type="dxa"/>
            <w:tcBorders>
              <w:bottom w:val="single" w:sz="4" w:space="0" w:color="D0CECE" w:themeColor="background2" w:themeShade="E6"/>
            </w:tcBorders>
            <w:vAlign w:val="center"/>
          </w:tcPr>
          <w:p w14:paraId="1B6EAA0C"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7.2</w:t>
            </w:r>
            <w:r w:rsidRPr="007C4D65">
              <w:rPr>
                <w:rFonts w:asciiTheme="minorHAnsi" w:hAnsiTheme="minorHAnsi" w:cstheme="minorHAnsi"/>
                <w:sz w:val="18"/>
              </w:rPr>
              <w:t xml:space="preserve"> - Ensuring efficient implementation of the applicable legislation and international commitments</w:t>
            </w:r>
          </w:p>
          <w:p w14:paraId="7F7E522A" w14:textId="34887FD9"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7.3</w:t>
            </w:r>
            <w:r w:rsidRPr="007C4D65">
              <w:rPr>
                <w:rFonts w:asciiTheme="minorHAnsi" w:hAnsiTheme="minorHAnsi" w:cstheme="minorHAnsi"/>
                <w:sz w:val="18"/>
              </w:rPr>
              <w:t xml:space="preserve"> - </w:t>
            </w:r>
            <w:r w:rsidR="00864E60" w:rsidRPr="007C4D65">
              <w:rPr>
                <w:rFonts w:asciiTheme="minorHAnsi" w:hAnsiTheme="minorHAnsi" w:cstheme="minorHAnsi"/>
                <w:sz w:val="18"/>
              </w:rPr>
              <w:t xml:space="preserve">Maximise the </w:t>
            </w:r>
            <w:proofErr w:type="gramStart"/>
            <w:r w:rsidR="00864E60" w:rsidRPr="007C4D65">
              <w:rPr>
                <w:rFonts w:asciiTheme="minorHAnsi" w:hAnsiTheme="minorHAnsi" w:cstheme="minorHAnsi"/>
                <w:sz w:val="18"/>
              </w:rPr>
              <w:t>capacity  of</w:t>
            </w:r>
            <w:proofErr w:type="gramEnd"/>
            <w:r w:rsidR="00864E60" w:rsidRPr="007C4D65">
              <w:rPr>
                <w:rFonts w:asciiTheme="minorHAnsi" w:hAnsiTheme="minorHAnsi" w:cstheme="minorHAnsi"/>
                <w:sz w:val="18"/>
              </w:rPr>
              <w:t xml:space="preserve"> institutions and their coordination</w:t>
            </w:r>
          </w:p>
        </w:tc>
      </w:tr>
      <w:tr w:rsidR="00635C53" w:rsidRPr="007C4D65" w14:paraId="5D9C8ED9" w14:textId="77777777" w:rsidTr="00B6017F">
        <w:trPr>
          <w:jc w:val="center"/>
        </w:trPr>
        <w:tc>
          <w:tcPr>
            <w:tcW w:w="4076" w:type="dxa"/>
            <w:shd w:val="clear" w:color="auto" w:fill="009D73"/>
            <w:vAlign w:val="center"/>
          </w:tcPr>
          <w:p w14:paraId="5B31680F" w14:textId="77777777" w:rsidR="00635C53" w:rsidRPr="007C4D65" w:rsidRDefault="00635C53" w:rsidP="00B6017F">
            <w:pPr>
              <w:spacing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lastRenderedPageBreak/>
              <w:t>Nationally Determined Contribution of Bosnia and Herzegovina (BiH NDC 2020 - 2030)</w:t>
            </w:r>
          </w:p>
        </w:tc>
        <w:tc>
          <w:tcPr>
            <w:tcW w:w="9811" w:type="dxa"/>
            <w:shd w:val="clear" w:color="auto" w:fill="009D73"/>
            <w:vAlign w:val="center"/>
          </w:tcPr>
          <w:p w14:paraId="117200FC" w14:textId="77777777" w:rsidR="00635C53" w:rsidRPr="007C4D65" w:rsidRDefault="00635C53" w:rsidP="00B6017F">
            <w:pPr>
              <w:spacing w:line="276" w:lineRule="auto"/>
              <w:jc w:val="center"/>
              <w:rPr>
                <w:rFonts w:asciiTheme="minorHAnsi" w:hAnsiTheme="minorHAnsi" w:cstheme="minorHAnsi"/>
                <w:b/>
                <w:color w:val="FFFFFF" w:themeColor="background1"/>
                <w:sz w:val="18"/>
                <w:szCs w:val="18"/>
                <w:lang w:val="hr-HR"/>
              </w:rPr>
            </w:pPr>
          </w:p>
        </w:tc>
      </w:tr>
      <w:tr w:rsidR="00635C53" w:rsidRPr="007C4D65" w14:paraId="0CFFC188" w14:textId="77777777" w:rsidTr="00B6017F">
        <w:trPr>
          <w:jc w:val="center"/>
        </w:trPr>
        <w:tc>
          <w:tcPr>
            <w:tcW w:w="4076" w:type="dxa"/>
            <w:vAlign w:val="center"/>
          </w:tcPr>
          <w:p w14:paraId="5A2109BA" w14:textId="77777777"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3 Mitigation of climate change / reduction of greenhouse gas emissions </w:t>
            </w:r>
          </w:p>
        </w:tc>
        <w:tc>
          <w:tcPr>
            <w:tcW w:w="9811" w:type="dxa"/>
            <w:vAlign w:val="center"/>
          </w:tcPr>
          <w:p w14:paraId="407EF7D1" w14:textId="2BD22333"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2.4</w:t>
            </w:r>
            <w:r w:rsidRPr="007C4D65">
              <w:rPr>
                <w:rFonts w:asciiTheme="minorHAnsi" w:hAnsiTheme="minorHAnsi" w:cstheme="minorHAnsi"/>
                <w:sz w:val="18"/>
              </w:rPr>
              <w:t xml:space="preserve"> - </w:t>
            </w:r>
            <w:r w:rsidR="001547A8" w:rsidRPr="007C4D65">
              <w:rPr>
                <w:rFonts w:asciiTheme="minorHAnsi" w:hAnsiTheme="minorHAnsi" w:cstheme="minorHAnsi"/>
                <w:sz w:val="18"/>
              </w:rPr>
              <w:t>Improving the municipal waste management system</w:t>
            </w:r>
          </w:p>
          <w:p w14:paraId="61F5DF32"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4.1</w:t>
            </w:r>
            <w:r w:rsidRPr="007C4D65">
              <w:rPr>
                <w:rFonts w:asciiTheme="minorHAnsi" w:hAnsiTheme="minorHAnsi" w:cstheme="minorHAnsi"/>
                <w:sz w:val="18"/>
              </w:rPr>
              <w:t xml:space="preserve"> - Reduce air pollution by reducing air pollutants to levels that are safe for human health</w:t>
            </w:r>
          </w:p>
          <w:p w14:paraId="30806BF0" w14:textId="3E2EB476"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4.4</w:t>
            </w:r>
            <w:r w:rsidRPr="007C4D65">
              <w:rPr>
                <w:rFonts w:asciiTheme="minorHAnsi" w:hAnsiTheme="minorHAnsi" w:cstheme="minorHAnsi"/>
                <w:sz w:val="18"/>
              </w:rPr>
              <w:t xml:space="preserve"> - </w:t>
            </w:r>
            <w:r w:rsidR="00915506" w:rsidRPr="007C4D65">
              <w:rPr>
                <w:rFonts w:asciiTheme="minorHAnsi" w:hAnsiTheme="minorHAnsi" w:cstheme="minorHAnsi"/>
                <w:sz w:val="18"/>
              </w:rPr>
              <w:t xml:space="preserve">Enhancing resilience to climate change  </w:t>
            </w:r>
          </w:p>
          <w:p w14:paraId="49B9A9CF" w14:textId="17C58C3F"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4.5</w:t>
            </w:r>
            <w:r w:rsidRPr="007C4D65">
              <w:rPr>
                <w:rFonts w:asciiTheme="minorHAnsi" w:hAnsiTheme="minorHAnsi" w:cstheme="minorHAnsi"/>
                <w:sz w:val="18"/>
              </w:rPr>
              <w:t xml:space="preserve"> - </w:t>
            </w:r>
            <w:r w:rsidR="00CF189D" w:rsidRPr="007C4D65">
              <w:rPr>
                <w:rFonts w:asciiTheme="minorHAnsi" w:hAnsiTheme="minorHAnsi" w:cstheme="minorHAnsi"/>
                <w:sz w:val="18"/>
              </w:rPr>
              <w:t xml:space="preserve">Improving </w:t>
            </w:r>
            <w:r w:rsidR="009477FB" w:rsidRPr="007C4D65">
              <w:rPr>
                <w:rFonts w:asciiTheme="minorHAnsi" w:hAnsiTheme="minorHAnsi" w:cstheme="minorHAnsi"/>
                <w:sz w:val="18"/>
              </w:rPr>
              <w:t>energy efficiency of final consumption</w:t>
            </w:r>
            <w:r w:rsidR="00CF189D" w:rsidRPr="007C4D65">
              <w:rPr>
                <w:rFonts w:asciiTheme="minorHAnsi" w:hAnsiTheme="minorHAnsi" w:cstheme="minorHAnsi"/>
                <w:sz w:val="18"/>
              </w:rPr>
              <w:t xml:space="preserve"> in all sectors</w:t>
            </w:r>
          </w:p>
          <w:p w14:paraId="72B438F2" w14:textId="3EAC8869"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4.6</w:t>
            </w:r>
            <w:r w:rsidRPr="007C4D65">
              <w:rPr>
                <w:rFonts w:asciiTheme="minorHAnsi" w:hAnsiTheme="minorHAnsi" w:cstheme="minorHAnsi"/>
                <w:sz w:val="18"/>
              </w:rPr>
              <w:t xml:space="preserve"> - </w:t>
            </w:r>
            <w:r w:rsidR="005A2219" w:rsidRPr="007C4D65">
              <w:rPr>
                <w:rFonts w:asciiTheme="minorHAnsi" w:hAnsiTheme="minorHAnsi" w:cstheme="minorHAnsi"/>
                <w:sz w:val="18"/>
              </w:rPr>
              <w:t>Increasing the share of renewable energy along with an incentive scheme reform (focusing on citizens energy)</w:t>
            </w:r>
          </w:p>
          <w:p w14:paraId="06F99873" w14:textId="30BE35CE"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 xml:space="preserve">Priority 5.2 </w:t>
            </w:r>
            <w:r w:rsidRPr="007C4D65">
              <w:rPr>
                <w:rFonts w:asciiTheme="minorHAnsi" w:hAnsiTheme="minorHAnsi" w:cstheme="minorHAnsi"/>
                <w:sz w:val="18"/>
              </w:rPr>
              <w:t xml:space="preserve">- </w:t>
            </w:r>
            <w:r w:rsidR="00735C68" w:rsidRPr="007C4D65">
              <w:rPr>
                <w:rFonts w:asciiTheme="minorHAnsi" w:hAnsiTheme="minorHAnsi" w:cstheme="minorHAnsi"/>
                <w:sz w:val="18"/>
              </w:rPr>
              <w:t xml:space="preserve">Establish a sustainable system of chemical management and implementation of EU acquis </w:t>
            </w:r>
            <w:proofErr w:type="gramStart"/>
            <w:r w:rsidR="00735C68" w:rsidRPr="007C4D65">
              <w:rPr>
                <w:rFonts w:asciiTheme="minorHAnsi" w:hAnsiTheme="minorHAnsi" w:cstheme="minorHAnsi"/>
                <w:sz w:val="18"/>
              </w:rPr>
              <w:t>in the area of</w:t>
            </w:r>
            <w:proofErr w:type="gramEnd"/>
            <w:r w:rsidR="00735C68" w:rsidRPr="007C4D65">
              <w:rPr>
                <w:rFonts w:asciiTheme="minorHAnsi" w:hAnsiTheme="minorHAnsi" w:cstheme="minorHAnsi"/>
                <w:sz w:val="18"/>
              </w:rPr>
              <w:t xml:space="preserve"> chemical safety</w:t>
            </w:r>
          </w:p>
          <w:p w14:paraId="305A230F" w14:textId="319A79FE"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6.1</w:t>
            </w:r>
            <w:r w:rsidRPr="007C4D65">
              <w:rPr>
                <w:rFonts w:asciiTheme="minorHAnsi" w:hAnsiTheme="minorHAnsi" w:cstheme="minorHAnsi"/>
                <w:sz w:val="18"/>
              </w:rPr>
              <w:t xml:space="preserve"> - </w:t>
            </w:r>
            <w:r w:rsidR="00DF4EC7" w:rsidRPr="007C4D65">
              <w:rPr>
                <w:rFonts w:asciiTheme="minorHAnsi" w:hAnsiTheme="minorHAnsi" w:cstheme="minorHAnsi"/>
                <w:sz w:val="18"/>
              </w:rPr>
              <w:t>Establish an effective legal, strategic and institutional framework for sustainable forest and forest resources management in the Federation of BiH, appropriate valuation of forest resources, and ensure integration of gender and climate change issues</w:t>
            </w:r>
          </w:p>
        </w:tc>
      </w:tr>
      <w:tr w:rsidR="00635C53" w:rsidRPr="007C4D65" w14:paraId="2E75656C" w14:textId="77777777" w:rsidTr="00B6017F">
        <w:trPr>
          <w:jc w:val="center"/>
        </w:trPr>
        <w:tc>
          <w:tcPr>
            <w:tcW w:w="4076" w:type="dxa"/>
            <w:vAlign w:val="center"/>
          </w:tcPr>
          <w:p w14:paraId="4AB03208" w14:textId="23FD09B3" w:rsidR="00635C53" w:rsidRPr="007C4D65" w:rsidRDefault="00635C53"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 xml:space="preserve">4 Climate </w:t>
            </w:r>
            <w:r w:rsidR="00707332" w:rsidRPr="007C4D65">
              <w:rPr>
                <w:rFonts w:asciiTheme="minorHAnsi" w:hAnsiTheme="minorHAnsi" w:cstheme="minorHAnsi"/>
                <w:b/>
                <w:sz w:val="18"/>
              </w:rPr>
              <w:t>c</w:t>
            </w:r>
            <w:r w:rsidRPr="007C4D65">
              <w:rPr>
                <w:rFonts w:asciiTheme="minorHAnsi" w:hAnsiTheme="minorHAnsi" w:cstheme="minorHAnsi"/>
                <w:b/>
                <w:sz w:val="18"/>
              </w:rPr>
              <w:t xml:space="preserve">hange </w:t>
            </w:r>
            <w:r w:rsidR="00707332" w:rsidRPr="007C4D65">
              <w:rPr>
                <w:rFonts w:asciiTheme="minorHAnsi" w:hAnsiTheme="minorHAnsi" w:cstheme="minorHAnsi"/>
                <w:b/>
                <w:sz w:val="18"/>
              </w:rPr>
              <w:t>a</w:t>
            </w:r>
            <w:r w:rsidRPr="007C4D65">
              <w:rPr>
                <w:rFonts w:asciiTheme="minorHAnsi" w:hAnsiTheme="minorHAnsi" w:cstheme="minorHAnsi"/>
                <w:b/>
                <w:sz w:val="18"/>
              </w:rPr>
              <w:t>daptation</w:t>
            </w:r>
          </w:p>
        </w:tc>
        <w:tc>
          <w:tcPr>
            <w:tcW w:w="9811" w:type="dxa"/>
            <w:vAlign w:val="center"/>
          </w:tcPr>
          <w:p w14:paraId="647C3C83"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4.1</w:t>
            </w:r>
            <w:r w:rsidRPr="007C4D65">
              <w:rPr>
                <w:rFonts w:asciiTheme="minorHAnsi" w:hAnsiTheme="minorHAnsi" w:cstheme="minorHAnsi"/>
                <w:sz w:val="18"/>
              </w:rPr>
              <w:t xml:space="preserve"> - Reduce air pollution by reducing air pollutants to levels that are safe for human health</w:t>
            </w:r>
          </w:p>
          <w:p w14:paraId="0D2A651B" w14:textId="77777777" w:rsidR="00635C53" w:rsidRPr="007C4D65" w:rsidRDefault="00635C53" w:rsidP="00B6017F">
            <w:pPr>
              <w:spacing w:line="276" w:lineRule="auto"/>
              <w:jc w:val="both"/>
              <w:rPr>
                <w:rFonts w:asciiTheme="minorHAnsi" w:hAnsiTheme="minorHAnsi" w:cstheme="minorHAnsi"/>
                <w:sz w:val="18"/>
                <w:szCs w:val="18"/>
              </w:rPr>
            </w:pPr>
            <w:r w:rsidRPr="007C4D65">
              <w:rPr>
                <w:rFonts w:asciiTheme="minorHAnsi" w:hAnsiTheme="minorHAnsi" w:cstheme="minorHAnsi"/>
                <w:b/>
                <w:sz w:val="18"/>
              </w:rPr>
              <w:t>Priority 4.4</w:t>
            </w:r>
            <w:r w:rsidRPr="007C4D65">
              <w:rPr>
                <w:rFonts w:asciiTheme="minorHAnsi" w:hAnsiTheme="minorHAnsi" w:cstheme="minorHAnsi"/>
                <w:sz w:val="18"/>
              </w:rPr>
              <w:t xml:space="preserve"> - Enhancing resilience to climate change</w:t>
            </w:r>
          </w:p>
        </w:tc>
      </w:tr>
    </w:tbl>
    <w:p w14:paraId="62AADC69" w14:textId="77777777" w:rsidR="008939B5" w:rsidRPr="007C4D65" w:rsidRDefault="008939B5" w:rsidP="0068355A">
      <w:pPr>
        <w:spacing w:line="276" w:lineRule="auto"/>
        <w:jc w:val="both"/>
        <w:rPr>
          <w:rFonts w:asciiTheme="minorHAnsi" w:hAnsiTheme="minorHAnsi" w:cstheme="minorHAnsi"/>
          <w:b/>
          <w:i/>
        </w:rPr>
        <w:sectPr w:rsidR="008939B5" w:rsidRPr="007C4D65" w:rsidSect="002C0058">
          <w:pgSz w:w="16838" w:h="11906" w:orient="landscape"/>
          <w:pgMar w:top="1440" w:right="1440" w:bottom="1440" w:left="1440" w:header="708" w:footer="708" w:gutter="0"/>
          <w:cols w:space="708"/>
          <w:docGrid w:linePitch="360"/>
        </w:sectPr>
      </w:pPr>
    </w:p>
    <w:p w14:paraId="4FD69E3B" w14:textId="3D69D10C" w:rsidR="002C0058" w:rsidRPr="007C4D65" w:rsidRDefault="004B250A">
      <w:pPr>
        <w:pStyle w:val="Head1"/>
        <w:spacing w:after="240" w:line="276" w:lineRule="auto"/>
        <w:rPr>
          <w:rFonts w:asciiTheme="minorHAnsi" w:hAnsiTheme="minorHAnsi" w:cstheme="minorHAnsi"/>
        </w:rPr>
      </w:pPr>
      <w:bookmarkStart w:id="220" w:name="_Toc117445372"/>
      <w:r w:rsidRPr="007C4D65">
        <w:rPr>
          <w:rFonts w:asciiTheme="minorHAnsi" w:hAnsiTheme="minorHAnsi" w:cstheme="minorHAnsi"/>
        </w:rPr>
        <w:lastRenderedPageBreak/>
        <w:t>FRAMEWORK FOR IMPLEMENTATION, MONITORING, REPORTING AND EVALUATION</w:t>
      </w:r>
      <w:bookmarkEnd w:id="220"/>
      <w:r w:rsidR="002C0058" w:rsidRPr="007C4D65">
        <w:rPr>
          <w:rFonts w:asciiTheme="minorHAnsi" w:hAnsiTheme="minorHAnsi" w:cstheme="minorHAnsi"/>
        </w:rPr>
        <w:t xml:space="preserve"> </w:t>
      </w:r>
    </w:p>
    <w:p w14:paraId="3E433EF2" w14:textId="77777777" w:rsidR="00B766E7" w:rsidRPr="007C4D65" w:rsidRDefault="00B766E7" w:rsidP="00B766E7">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This section describes the implementation, monitoring, reporting, and evaluation framework of the Strategy for the Federation of BiH 2022‒2032 that encompasses tools and processes for monitoring and evaluation of programmes (measures) outlined therein.  </w:t>
      </w:r>
    </w:p>
    <w:p w14:paraId="34D2AB8C" w14:textId="77777777" w:rsidR="00B766E7" w:rsidRPr="007C4D65" w:rsidRDefault="00B766E7" w:rsidP="00B766E7">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 xml:space="preserve">The framework for the implementation, monitoring, reporting, and evaluation of the Strategy for the Federation of BiH should incorporate the following principles: </w:t>
      </w:r>
    </w:p>
    <w:p w14:paraId="110BE757" w14:textId="77777777" w:rsidR="00B766E7" w:rsidRPr="007C4D65" w:rsidRDefault="00B766E7" w:rsidP="00B766E7">
      <w:pPr>
        <w:numPr>
          <w:ilvl w:val="0"/>
          <w:numId w:val="9"/>
        </w:numPr>
        <w:spacing w:before="240" w:after="240" w:line="276" w:lineRule="auto"/>
        <w:contextualSpacing/>
        <w:jc w:val="both"/>
        <w:rPr>
          <w:rFonts w:asciiTheme="minorHAnsi" w:hAnsiTheme="minorHAnsi" w:cstheme="minorHAnsi"/>
          <w:sz w:val="22"/>
          <w:szCs w:val="22"/>
        </w:rPr>
      </w:pPr>
      <w:r w:rsidRPr="007C4D65">
        <w:rPr>
          <w:rFonts w:asciiTheme="minorHAnsi" w:hAnsiTheme="minorHAnsi" w:cstheme="minorHAnsi"/>
          <w:sz w:val="22"/>
        </w:rPr>
        <w:t xml:space="preserve">harmonized approach to planning, monitoring and reporting at all levels of government in </w:t>
      </w:r>
      <w:proofErr w:type="gramStart"/>
      <w:r w:rsidRPr="007C4D65">
        <w:rPr>
          <w:rFonts w:asciiTheme="minorHAnsi" w:hAnsiTheme="minorHAnsi" w:cstheme="minorHAnsi"/>
          <w:sz w:val="22"/>
        </w:rPr>
        <w:t>FBiH;</w:t>
      </w:r>
      <w:proofErr w:type="gramEnd"/>
    </w:p>
    <w:p w14:paraId="10B6A10B" w14:textId="77777777" w:rsidR="00B766E7" w:rsidRPr="007C4D65" w:rsidRDefault="00B766E7" w:rsidP="00B766E7">
      <w:pPr>
        <w:numPr>
          <w:ilvl w:val="0"/>
          <w:numId w:val="9"/>
        </w:numPr>
        <w:spacing w:before="240" w:after="240" w:line="276" w:lineRule="auto"/>
        <w:contextualSpacing/>
        <w:jc w:val="both"/>
        <w:rPr>
          <w:rFonts w:asciiTheme="minorHAnsi" w:hAnsiTheme="minorHAnsi" w:cstheme="minorHAnsi"/>
          <w:sz w:val="22"/>
          <w:szCs w:val="22"/>
        </w:rPr>
      </w:pPr>
      <w:r w:rsidRPr="007C4D65">
        <w:rPr>
          <w:rFonts w:asciiTheme="minorHAnsi" w:hAnsiTheme="minorHAnsi" w:cstheme="minorHAnsi"/>
          <w:sz w:val="22"/>
        </w:rPr>
        <w:t xml:space="preserve">gender equality and equal opportunities for all </w:t>
      </w:r>
      <w:proofErr w:type="gramStart"/>
      <w:r w:rsidRPr="007C4D65">
        <w:rPr>
          <w:rFonts w:asciiTheme="minorHAnsi" w:hAnsiTheme="minorHAnsi" w:cstheme="minorHAnsi"/>
          <w:sz w:val="22"/>
        </w:rPr>
        <w:t>citizens;</w:t>
      </w:r>
      <w:proofErr w:type="gramEnd"/>
    </w:p>
    <w:p w14:paraId="494CCB75" w14:textId="77777777" w:rsidR="00B766E7" w:rsidRPr="007C4D65" w:rsidRDefault="00B766E7" w:rsidP="00B766E7">
      <w:pPr>
        <w:numPr>
          <w:ilvl w:val="0"/>
          <w:numId w:val="9"/>
        </w:numPr>
        <w:spacing w:before="240" w:after="240" w:line="276" w:lineRule="auto"/>
        <w:contextualSpacing/>
        <w:jc w:val="both"/>
        <w:rPr>
          <w:rFonts w:asciiTheme="minorHAnsi" w:hAnsiTheme="minorHAnsi" w:cstheme="minorHAnsi"/>
          <w:sz w:val="22"/>
          <w:szCs w:val="22"/>
        </w:rPr>
      </w:pPr>
      <w:r w:rsidRPr="007C4D65">
        <w:rPr>
          <w:rFonts w:asciiTheme="minorHAnsi" w:hAnsiTheme="minorHAnsi" w:cstheme="minorHAnsi"/>
          <w:sz w:val="22"/>
        </w:rPr>
        <w:t xml:space="preserve">horizontal and vertical coordination among all levels of </w:t>
      </w:r>
      <w:proofErr w:type="gramStart"/>
      <w:r w:rsidRPr="007C4D65">
        <w:rPr>
          <w:rFonts w:asciiTheme="minorHAnsi" w:hAnsiTheme="minorHAnsi" w:cstheme="minorHAnsi"/>
          <w:sz w:val="22"/>
        </w:rPr>
        <w:t>government;</w:t>
      </w:r>
      <w:proofErr w:type="gramEnd"/>
      <w:r w:rsidRPr="007C4D65">
        <w:rPr>
          <w:rFonts w:asciiTheme="minorHAnsi" w:hAnsiTheme="minorHAnsi" w:cstheme="minorHAnsi"/>
          <w:sz w:val="22"/>
        </w:rPr>
        <w:t xml:space="preserve"> </w:t>
      </w:r>
    </w:p>
    <w:p w14:paraId="222624A4" w14:textId="77777777" w:rsidR="00B766E7" w:rsidRPr="007C4D65" w:rsidRDefault="00B766E7" w:rsidP="00B766E7">
      <w:pPr>
        <w:numPr>
          <w:ilvl w:val="0"/>
          <w:numId w:val="9"/>
        </w:numPr>
        <w:spacing w:before="240" w:after="240" w:line="276" w:lineRule="auto"/>
        <w:contextualSpacing/>
        <w:jc w:val="both"/>
        <w:rPr>
          <w:rFonts w:asciiTheme="minorHAnsi" w:hAnsiTheme="minorHAnsi" w:cstheme="minorHAnsi"/>
          <w:sz w:val="22"/>
          <w:szCs w:val="22"/>
        </w:rPr>
      </w:pPr>
      <w:proofErr w:type="gramStart"/>
      <w:r w:rsidRPr="007C4D65">
        <w:rPr>
          <w:rFonts w:asciiTheme="minorHAnsi" w:hAnsiTheme="minorHAnsi" w:cstheme="minorHAnsi"/>
          <w:sz w:val="22"/>
        </w:rPr>
        <w:t>complementarity;</w:t>
      </w:r>
      <w:proofErr w:type="gramEnd"/>
    </w:p>
    <w:p w14:paraId="2C5878F4" w14:textId="77777777" w:rsidR="00B766E7" w:rsidRPr="007C4D65" w:rsidRDefault="00B766E7" w:rsidP="00B766E7">
      <w:pPr>
        <w:numPr>
          <w:ilvl w:val="0"/>
          <w:numId w:val="9"/>
        </w:numPr>
        <w:spacing w:before="240" w:after="240" w:line="276" w:lineRule="auto"/>
        <w:contextualSpacing/>
        <w:jc w:val="both"/>
        <w:rPr>
          <w:rFonts w:asciiTheme="minorHAnsi" w:hAnsiTheme="minorHAnsi" w:cstheme="minorHAnsi"/>
          <w:sz w:val="22"/>
          <w:szCs w:val="22"/>
        </w:rPr>
      </w:pPr>
      <w:r w:rsidRPr="007C4D65">
        <w:rPr>
          <w:rFonts w:asciiTheme="minorHAnsi" w:hAnsiTheme="minorHAnsi" w:cstheme="minorHAnsi"/>
          <w:sz w:val="22"/>
        </w:rPr>
        <w:t xml:space="preserve">partnership, cooperation, publicity and </w:t>
      </w:r>
      <w:proofErr w:type="gramStart"/>
      <w:r w:rsidRPr="007C4D65">
        <w:rPr>
          <w:rFonts w:asciiTheme="minorHAnsi" w:hAnsiTheme="minorHAnsi" w:cstheme="minorHAnsi"/>
          <w:sz w:val="22"/>
        </w:rPr>
        <w:t>transparency;</w:t>
      </w:r>
      <w:proofErr w:type="gramEnd"/>
    </w:p>
    <w:p w14:paraId="5924E628" w14:textId="77777777" w:rsidR="00B766E7" w:rsidRPr="007C4D65" w:rsidRDefault="00B766E7" w:rsidP="00B766E7">
      <w:pPr>
        <w:numPr>
          <w:ilvl w:val="0"/>
          <w:numId w:val="9"/>
        </w:numPr>
        <w:spacing w:before="240" w:after="240" w:line="480" w:lineRule="auto"/>
        <w:contextualSpacing/>
        <w:jc w:val="both"/>
        <w:rPr>
          <w:rFonts w:asciiTheme="minorHAnsi" w:hAnsiTheme="minorHAnsi" w:cstheme="minorHAnsi"/>
          <w:sz w:val="22"/>
          <w:szCs w:val="22"/>
        </w:rPr>
      </w:pPr>
      <w:r w:rsidRPr="007C4D65">
        <w:rPr>
          <w:rFonts w:asciiTheme="minorHAnsi" w:hAnsiTheme="minorHAnsi" w:cstheme="minorHAnsi"/>
          <w:sz w:val="22"/>
        </w:rPr>
        <w:t xml:space="preserve">accountability, effectiveness and efficiency of institutions at all levels of government in </w:t>
      </w:r>
      <w:proofErr w:type="gramStart"/>
      <w:r w:rsidRPr="007C4D65">
        <w:rPr>
          <w:rFonts w:asciiTheme="minorHAnsi" w:hAnsiTheme="minorHAnsi" w:cstheme="minorHAnsi"/>
          <w:sz w:val="22"/>
        </w:rPr>
        <w:t>FBiH;</w:t>
      </w:r>
      <w:proofErr w:type="gramEnd"/>
    </w:p>
    <w:p w14:paraId="779E6B3D" w14:textId="77777777" w:rsidR="00B766E7" w:rsidRPr="007C4D65" w:rsidRDefault="00B766E7" w:rsidP="00B766E7">
      <w:pPr>
        <w:spacing w:before="240" w:after="240" w:line="276" w:lineRule="auto"/>
        <w:contextualSpacing/>
        <w:jc w:val="both"/>
        <w:rPr>
          <w:rFonts w:asciiTheme="minorHAnsi" w:hAnsiTheme="minorHAnsi" w:cstheme="minorHAnsi"/>
          <w:sz w:val="22"/>
          <w:szCs w:val="22"/>
        </w:rPr>
      </w:pPr>
      <w:r w:rsidRPr="007C4D65">
        <w:rPr>
          <w:rFonts w:asciiTheme="minorHAnsi" w:hAnsiTheme="minorHAnsi" w:cstheme="minorHAnsi"/>
          <w:sz w:val="22"/>
        </w:rPr>
        <w:t xml:space="preserve">The framework for the implementation, monitoring, reporting and evaluation of the Strategy involves stakeholders at two different levels: </w:t>
      </w:r>
    </w:p>
    <w:p w14:paraId="1384F3C8" w14:textId="77777777" w:rsidR="00B766E7" w:rsidRPr="007C4D65" w:rsidRDefault="00B766E7" w:rsidP="00B766E7">
      <w:pPr>
        <w:numPr>
          <w:ilvl w:val="0"/>
          <w:numId w:val="192"/>
        </w:numPr>
        <w:spacing w:before="240" w:after="240" w:line="276" w:lineRule="auto"/>
        <w:contextualSpacing/>
        <w:jc w:val="both"/>
        <w:rPr>
          <w:rFonts w:asciiTheme="minorHAnsi" w:hAnsiTheme="minorHAnsi" w:cstheme="minorHAnsi"/>
          <w:sz w:val="22"/>
          <w:szCs w:val="22"/>
        </w:rPr>
      </w:pPr>
      <w:r w:rsidRPr="007C4D65">
        <w:rPr>
          <w:rFonts w:asciiTheme="minorHAnsi" w:hAnsiTheme="minorHAnsi" w:cstheme="minorHAnsi"/>
          <w:sz w:val="22"/>
        </w:rPr>
        <w:t xml:space="preserve">Implementing institutions, as defined in Annex </w:t>
      </w:r>
      <w:proofErr w:type="gramStart"/>
      <w:r w:rsidRPr="007C4D65">
        <w:rPr>
          <w:rFonts w:asciiTheme="minorHAnsi" w:hAnsiTheme="minorHAnsi" w:cstheme="minorHAnsi"/>
          <w:sz w:val="22"/>
        </w:rPr>
        <w:t>1;</w:t>
      </w:r>
      <w:proofErr w:type="gramEnd"/>
    </w:p>
    <w:p w14:paraId="6E88F36E" w14:textId="77777777" w:rsidR="00B766E7" w:rsidRPr="007C4D65" w:rsidRDefault="00B766E7" w:rsidP="00B766E7">
      <w:pPr>
        <w:numPr>
          <w:ilvl w:val="0"/>
          <w:numId w:val="192"/>
        </w:numPr>
        <w:spacing w:before="240" w:line="276" w:lineRule="auto"/>
        <w:contextualSpacing/>
        <w:jc w:val="both"/>
        <w:rPr>
          <w:rFonts w:asciiTheme="minorHAnsi" w:hAnsiTheme="minorHAnsi" w:cstheme="minorHAnsi"/>
          <w:sz w:val="22"/>
          <w:szCs w:val="22"/>
        </w:rPr>
      </w:pPr>
      <w:r w:rsidRPr="007C4D65">
        <w:rPr>
          <w:rFonts w:asciiTheme="minorHAnsi" w:hAnsiTheme="minorHAnsi" w:cstheme="minorHAnsi"/>
          <w:sz w:val="22"/>
        </w:rPr>
        <w:t>Institutions responsible for coordination of the implementation of the measures, as defined in Annex 1.</w:t>
      </w:r>
    </w:p>
    <w:p w14:paraId="16EFB082" w14:textId="77777777" w:rsidR="00B766E7" w:rsidRPr="007C4D65" w:rsidRDefault="00B766E7" w:rsidP="00B766E7">
      <w:pPr>
        <w:spacing w:before="240" w:after="240" w:line="276" w:lineRule="auto"/>
        <w:jc w:val="both"/>
        <w:rPr>
          <w:rFonts w:asciiTheme="minorHAnsi" w:hAnsiTheme="minorHAnsi" w:cstheme="minorHAnsi"/>
          <w:sz w:val="22"/>
          <w:szCs w:val="22"/>
        </w:rPr>
      </w:pPr>
      <w:r w:rsidRPr="007C4D65">
        <w:rPr>
          <w:rFonts w:asciiTheme="minorHAnsi" w:hAnsiTheme="minorHAnsi" w:cstheme="minorHAnsi"/>
          <w:sz w:val="22"/>
        </w:rPr>
        <w:t>In the Federation of BiH, the actual implementation of measures commences only after triennial and annual work plans have been prepared.</w:t>
      </w:r>
      <w:r w:rsidRPr="007C4D65">
        <w:rPr>
          <w:rFonts w:asciiTheme="minorHAnsi" w:hAnsiTheme="minorHAnsi" w:cstheme="minorHAnsi"/>
          <w:i/>
          <w:sz w:val="22"/>
        </w:rPr>
        <w:t xml:space="preserve"> </w:t>
      </w:r>
      <w:r w:rsidRPr="007C4D65">
        <w:rPr>
          <w:rFonts w:asciiTheme="minorHAnsi" w:hAnsiTheme="minorHAnsi" w:cstheme="minorHAnsi"/>
          <w:b/>
          <w:sz w:val="22"/>
        </w:rPr>
        <w:t>The Decree on Triennial and Annual Work Planning, Monitoring and Reporting in the Federation of BiH</w:t>
      </w:r>
      <w:r w:rsidRPr="007C4D65">
        <w:rPr>
          <w:rFonts w:asciiTheme="minorHAnsi" w:hAnsiTheme="minorHAnsi" w:cstheme="minorHAnsi"/>
          <w:sz w:val="22"/>
        </w:rPr>
        <w:t xml:space="preserve"> </w:t>
      </w:r>
      <w:r w:rsidRPr="007C4D65">
        <w:rPr>
          <w:rFonts w:asciiTheme="minorHAnsi" w:hAnsiTheme="minorHAnsi" w:cstheme="minorHAnsi"/>
          <w:sz w:val="22"/>
          <w:szCs w:val="22"/>
        </w:rPr>
        <w:t>(“Official Gazette of the Federation of BiH“,</w:t>
      </w:r>
      <w:r w:rsidRPr="007C4D65">
        <w:rPr>
          <w:rFonts w:asciiTheme="minorHAnsi" w:hAnsiTheme="minorHAnsi" w:cstheme="minorHAnsi"/>
          <w:sz w:val="22"/>
        </w:rPr>
        <w:t xml:space="preserve"> 74/19 and 2/21) regulates the triennial and annual work planning, drafting methods for the implementation documents, principles of planning, monitoring and reporting, structure of the implementing documents, planning, monitoring and reporting processes and other significant matters associated with planning, monitoring, and reporting in the Federation of BiH. As defined in the Rulebook, relevant measures from the strategic documents, along with corresponding indicators, baseline and target values, shall be transposed to the implementation documents (triennial and annual work plans). The triennial work plan and annual work plan should be drawn up in a format defined in the Decree on Triennial and Annual Work Planning, Monitoring, and Reporting in the Federation of BiH. Likewise, overall procedures pertaining to drafting of the triennial and annual work plans in the Federation of BiH are regulated in the above Decree (adoption, submission dates, etc.).   </w:t>
      </w:r>
    </w:p>
    <w:p w14:paraId="26DE7229" w14:textId="3E1A4E46" w:rsidR="002C0058" w:rsidRPr="007C4D65" w:rsidRDefault="004B250A">
      <w:pPr>
        <w:pStyle w:val="Head2"/>
        <w:spacing w:line="276" w:lineRule="auto"/>
        <w:ind w:hanging="792"/>
        <w:rPr>
          <w:rFonts w:asciiTheme="minorHAnsi" w:hAnsiTheme="minorHAnsi"/>
        </w:rPr>
      </w:pPr>
      <w:bookmarkStart w:id="221" w:name="_Toc117445373"/>
      <w:r w:rsidRPr="007C4D65">
        <w:rPr>
          <w:rFonts w:asciiTheme="minorHAnsi" w:hAnsiTheme="minorHAnsi"/>
        </w:rPr>
        <w:t>Monitoring and reporting</w:t>
      </w:r>
      <w:bookmarkEnd w:id="221"/>
    </w:p>
    <w:p w14:paraId="3B279017" w14:textId="77777777" w:rsidR="00B766E7" w:rsidRPr="007C4D65" w:rsidRDefault="00B766E7" w:rsidP="00B766E7">
      <w:pPr>
        <w:suppressAutoHyphens/>
        <w:autoSpaceDN w:val="0"/>
        <w:spacing w:after="240" w:line="276" w:lineRule="auto"/>
        <w:jc w:val="both"/>
        <w:textAlignment w:val="baseline"/>
        <w:rPr>
          <w:rFonts w:asciiTheme="minorHAnsi" w:hAnsiTheme="minorHAnsi" w:cstheme="minorHAnsi"/>
          <w:sz w:val="22"/>
        </w:rPr>
      </w:pPr>
      <w:r w:rsidRPr="007C4D65">
        <w:rPr>
          <w:rFonts w:asciiTheme="minorHAnsi" w:hAnsiTheme="minorHAnsi" w:cstheme="minorHAnsi"/>
          <w:sz w:val="22"/>
        </w:rPr>
        <w:t xml:space="preserve">Article 16(2) of the Decree on Triennial and Annual Work Planning, Monitoring, and Reporting in the Federation of BiH (“Official Gazette of the Federation of BiH”, 74/19) regulates that a report on the implementation of a sectoral strategy shall be prepared by the administrative authority of the Federation and/or Canton, pursuant to Article 7(g) and Article 9(f) of the Law on Development </w:t>
      </w:r>
      <w:r w:rsidRPr="007C4D65">
        <w:rPr>
          <w:rFonts w:asciiTheme="minorHAnsi" w:hAnsiTheme="minorHAnsi" w:cstheme="minorHAnsi"/>
          <w:sz w:val="22"/>
        </w:rPr>
        <w:lastRenderedPageBreak/>
        <w:t>Planning and Management (“Official Gazette of the Federation of BiH”, 32/17) by the end of year for the previous year.</w:t>
      </w:r>
    </w:p>
    <w:p w14:paraId="77CFA87B" w14:textId="77777777" w:rsidR="00B766E7" w:rsidRPr="007C4D65" w:rsidRDefault="00B766E7" w:rsidP="00B766E7">
      <w:pPr>
        <w:suppressAutoHyphens/>
        <w:autoSpaceDN w:val="0"/>
        <w:spacing w:after="240" w:line="276" w:lineRule="auto"/>
        <w:jc w:val="both"/>
        <w:textAlignment w:val="baseline"/>
        <w:rPr>
          <w:rFonts w:asciiTheme="minorHAnsi" w:hAnsiTheme="minorHAnsi" w:cstheme="minorHAnsi"/>
          <w:sz w:val="22"/>
        </w:rPr>
      </w:pPr>
      <w:r w:rsidRPr="007C4D65">
        <w:rPr>
          <w:rFonts w:asciiTheme="minorHAnsi" w:hAnsiTheme="minorHAnsi" w:cstheme="minorHAnsi"/>
          <w:sz w:val="22"/>
        </w:rPr>
        <w:t xml:space="preserve">Therefore, while the Ministries of the Federation of BiH are not required to prepare reports on the development of sectoral strategies, they are required to present reports on the implementation of sectoral strategies, such as the Environmental Strategy of the Federation of BiH. </w:t>
      </w:r>
    </w:p>
    <w:p w14:paraId="567449BB" w14:textId="747F66A0" w:rsidR="007625A2" w:rsidRPr="007C4D65" w:rsidRDefault="00B766E7" w:rsidP="00B766E7">
      <w:pPr>
        <w:suppressAutoHyphens/>
        <w:autoSpaceDN w:val="0"/>
        <w:spacing w:after="240" w:line="276" w:lineRule="auto"/>
        <w:jc w:val="both"/>
        <w:textAlignment w:val="baseline"/>
        <w:rPr>
          <w:rFonts w:asciiTheme="minorHAnsi" w:eastAsia="Calibri" w:hAnsiTheme="minorHAnsi" w:cstheme="minorHAnsi"/>
          <w:sz w:val="22"/>
          <w:szCs w:val="22"/>
        </w:rPr>
      </w:pPr>
      <w:r w:rsidRPr="007C4D65">
        <w:rPr>
          <w:rFonts w:asciiTheme="minorHAnsi" w:hAnsiTheme="minorHAnsi" w:cstheme="minorHAnsi"/>
          <w:sz w:val="22"/>
        </w:rPr>
        <w:t xml:space="preserve">Article 12 of the Decree on the Evaluation of Strategic Documents in the Federation of BiH (“Official Gazette of the Federation of </w:t>
      </w:r>
      <w:proofErr w:type="gramStart"/>
      <w:r w:rsidRPr="007C4D65">
        <w:rPr>
          <w:rFonts w:asciiTheme="minorHAnsi" w:hAnsiTheme="minorHAnsi" w:cstheme="minorHAnsi"/>
          <w:sz w:val="22"/>
        </w:rPr>
        <w:t>BiH“</w:t>
      </w:r>
      <w:proofErr w:type="gramEnd"/>
      <w:r w:rsidRPr="007C4D65">
        <w:rPr>
          <w:rFonts w:asciiTheme="minorHAnsi" w:hAnsiTheme="minorHAnsi" w:cstheme="minorHAnsi"/>
          <w:sz w:val="22"/>
        </w:rPr>
        <w:t xml:space="preserve">, 74/19) mandates an ex-ante (preliminary) evaluation of all strategic documents of the Federation of BiH. Pursuant to Article 12(4) of this Decree, the Ministries of the Federation and/or Cantons shall complete and coordinate the ex-ante evaluation of sectoral strategies. The ex-ante evaluation of the Environmental Strategy of the Federation of BiH 2023 - 2032 was completed in compliance with the provisions of the Decree, also </w:t>
      </w:r>
      <w:proofErr w:type="gramStart"/>
      <w:r w:rsidRPr="007C4D65">
        <w:rPr>
          <w:rFonts w:asciiTheme="minorHAnsi" w:hAnsiTheme="minorHAnsi" w:cstheme="minorHAnsi"/>
          <w:sz w:val="22"/>
        </w:rPr>
        <w:t>taking into account</w:t>
      </w:r>
      <w:proofErr w:type="gramEnd"/>
      <w:r w:rsidRPr="007C4D65">
        <w:rPr>
          <w:rFonts w:asciiTheme="minorHAnsi" w:hAnsiTheme="minorHAnsi" w:cstheme="minorHAnsi"/>
          <w:sz w:val="22"/>
        </w:rPr>
        <w:t xml:space="preserve"> the Handbook on the evaluation of strategic documents. This Handbook was drafted to help the leaders and practitioners in the public sector to understand the purpose and process of the evaluation, regulatory and methodological requirements, roles and responsibilities of individual actors, key procedural steps, evaluation questions, minimum structure of the evaluation plan content and evaluation report, tools and practical examples of effective evaluations. The evaluation was completed in accordance with the above legal provisions and guidance provided in the Handbook.</w:t>
      </w:r>
    </w:p>
    <w:tbl>
      <w:tblPr>
        <w:tblStyle w:val="GridTable4-Accent6117"/>
        <w:tblpPr w:leftFromText="180" w:rightFromText="180" w:vertAnchor="text" w:horzAnchor="margin" w:tblpXSpec="center" w:tblpY="307"/>
        <w:tblW w:w="4865"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213"/>
        <w:gridCol w:w="1595"/>
        <w:gridCol w:w="1287"/>
        <w:gridCol w:w="1902"/>
        <w:gridCol w:w="995"/>
        <w:gridCol w:w="1781"/>
      </w:tblGrid>
      <w:tr w:rsidR="00092F7C" w:rsidRPr="007C4D65" w14:paraId="1CB1D973" w14:textId="77777777" w:rsidTr="00B6017F">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08" w:type="pct"/>
            <w:shd w:val="clear" w:color="auto" w:fill="009D73"/>
            <w:vAlign w:val="center"/>
            <w:hideMark/>
          </w:tcPr>
          <w:p w14:paraId="2F9EC6CC" w14:textId="77777777" w:rsidR="00092F7C" w:rsidRPr="007C4D65" w:rsidRDefault="00092F7C" w:rsidP="00B6017F">
            <w:pPr>
              <w:spacing w:line="276" w:lineRule="auto"/>
              <w:jc w:val="center"/>
              <w:rPr>
                <w:rFonts w:asciiTheme="minorHAnsi" w:hAnsiTheme="minorHAnsi" w:cstheme="minorHAnsi"/>
                <w:color w:val="FFFFFF"/>
                <w:sz w:val="18"/>
                <w:szCs w:val="18"/>
              </w:rPr>
            </w:pPr>
            <w:bookmarkStart w:id="222" w:name="_Hlk116541993"/>
            <w:r w:rsidRPr="007C4D65">
              <w:rPr>
                <w:rFonts w:asciiTheme="minorHAnsi" w:hAnsiTheme="minorHAnsi" w:cstheme="minorHAnsi"/>
                <w:color w:val="FFFFFF"/>
                <w:sz w:val="18"/>
              </w:rPr>
              <w:t>Type of report</w:t>
            </w:r>
          </w:p>
        </w:tc>
        <w:tc>
          <w:tcPr>
            <w:tcW w:w="1035" w:type="pct"/>
            <w:shd w:val="clear" w:color="auto" w:fill="009D73"/>
            <w:vAlign w:val="center"/>
            <w:hideMark/>
          </w:tcPr>
          <w:p w14:paraId="793D5753" w14:textId="77777777" w:rsidR="00092F7C" w:rsidRPr="007C4D65" w:rsidRDefault="00092F7C" w:rsidP="00B6017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7C4D65">
              <w:rPr>
                <w:rFonts w:asciiTheme="minorHAnsi" w:hAnsiTheme="minorHAnsi" w:cstheme="minorHAnsi"/>
                <w:color w:val="FFFFFF"/>
                <w:sz w:val="18"/>
              </w:rPr>
              <w:t>Content</w:t>
            </w:r>
          </w:p>
        </w:tc>
        <w:tc>
          <w:tcPr>
            <w:tcW w:w="643" w:type="pct"/>
            <w:shd w:val="clear" w:color="auto" w:fill="009D73"/>
            <w:vAlign w:val="center"/>
            <w:hideMark/>
          </w:tcPr>
          <w:p w14:paraId="414BF57A" w14:textId="77777777" w:rsidR="00092F7C" w:rsidRPr="007C4D65" w:rsidRDefault="00092F7C" w:rsidP="00B6017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7C4D65">
              <w:rPr>
                <w:rFonts w:asciiTheme="minorHAnsi" w:hAnsiTheme="minorHAnsi" w:cstheme="minorHAnsi"/>
                <w:color w:val="FFFFFF"/>
                <w:sz w:val="18"/>
              </w:rPr>
              <w:t xml:space="preserve">Who provides information </w:t>
            </w:r>
          </w:p>
        </w:tc>
        <w:tc>
          <w:tcPr>
            <w:tcW w:w="1210" w:type="pct"/>
            <w:shd w:val="clear" w:color="auto" w:fill="009D73"/>
            <w:vAlign w:val="center"/>
            <w:hideMark/>
          </w:tcPr>
          <w:p w14:paraId="1A151992" w14:textId="77777777" w:rsidR="00092F7C" w:rsidRPr="007C4D65" w:rsidRDefault="00092F7C" w:rsidP="00B6017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7C4D65">
              <w:rPr>
                <w:rFonts w:asciiTheme="minorHAnsi" w:hAnsiTheme="minorHAnsi" w:cstheme="minorHAnsi"/>
                <w:sz w:val="18"/>
              </w:rPr>
              <w:t>Who carries out the evaluation</w:t>
            </w:r>
          </w:p>
        </w:tc>
        <w:tc>
          <w:tcPr>
            <w:tcW w:w="563" w:type="pct"/>
            <w:shd w:val="clear" w:color="auto" w:fill="009D73"/>
            <w:vAlign w:val="center"/>
            <w:hideMark/>
          </w:tcPr>
          <w:p w14:paraId="3682BE1F" w14:textId="77777777" w:rsidR="00092F7C" w:rsidRPr="007C4D65" w:rsidRDefault="00092F7C" w:rsidP="00B6017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7C4D65">
              <w:rPr>
                <w:rFonts w:asciiTheme="minorHAnsi" w:hAnsiTheme="minorHAnsi" w:cstheme="minorHAnsi"/>
                <w:color w:val="FFFFFF"/>
                <w:sz w:val="18"/>
              </w:rPr>
              <w:t>Frequency</w:t>
            </w:r>
          </w:p>
        </w:tc>
        <w:tc>
          <w:tcPr>
            <w:tcW w:w="1141" w:type="pct"/>
            <w:shd w:val="clear" w:color="auto" w:fill="009D73"/>
            <w:vAlign w:val="center"/>
            <w:hideMark/>
          </w:tcPr>
          <w:p w14:paraId="50C47B0F" w14:textId="77777777" w:rsidR="00092F7C" w:rsidRPr="007C4D65" w:rsidRDefault="00092F7C" w:rsidP="00B6017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7C4D65">
              <w:rPr>
                <w:rFonts w:asciiTheme="minorHAnsi" w:hAnsiTheme="minorHAnsi" w:cstheme="minorHAnsi"/>
                <w:color w:val="FFFFFF"/>
                <w:sz w:val="18"/>
              </w:rPr>
              <w:t>Purpose</w:t>
            </w:r>
          </w:p>
        </w:tc>
      </w:tr>
      <w:tr w:rsidR="00092F7C" w:rsidRPr="007C4D65" w14:paraId="164E79FD" w14:textId="77777777" w:rsidTr="00B6017F">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408" w:type="pct"/>
            <w:shd w:val="clear" w:color="auto" w:fill="FFFFFF" w:themeFill="background1"/>
            <w:hideMark/>
          </w:tcPr>
          <w:p w14:paraId="6DEFD2F0" w14:textId="07B29B53" w:rsidR="00092F7C" w:rsidRPr="007C4D65" w:rsidRDefault="00092F7C"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Annual </w:t>
            </w:r>
            <w:r w:rsidR="00707332" w:rsidRPr="007C4D65">
              <w:rPr>
                <w:rFonts w:asciiTheme="minorHAnsi" w:hAnsiTheme="minorHAnsi" w:cstheme="minorHAnsi"/>
                <w:sz w:val="18"/>
              </w:rPr>
              <w:t>w</w:t>
            </w:r>
            <w:r w:rsidRPr="007C4D65">
              <w:rPr>
                <w:rFonts w:asciiTheme="minorHAnsi" w:hAnsiTheme="minorHAnsi" w:cstheme="minorHAnsi"/>
                <w:sz w:val="18"/>
              </w:rPr>
              <w:t xml:space="preserve">ork </w:t>
            </w:r>
            <w:r w:rsidR="00707332" w:rsidRPr="007C4D65">
              <w:rPr>
                <w:rFonts w:asciiTheme="minorHAnsi" w:hAnsiTheme="minorHAnsi" w:cstheme="minorHAnsi"/>
                <w:sz w:val="18"/>
              </w:rPr>
              <w:t>p</w:t>
            </w:r>
            <w:r w:rsidRPr="007C4D65">
              <w:rPr>
                <w:rFonts w:asciiTheme="minorHAnsi" w:hAnsiTheme="minorHAnsi" w:cstheme="minorHAnsi"/>
                <w:sz w:val="18"/>
              </w:rPr>
              <w:t>lans</w:t>
            </w:r>
          </w:p>
        </w:tc>
        <w:tc>
          <w:tcPr>
            <w:tcW w:w="1035" w:type="pct"/>
            <w:shd w:val="clear" w:color="auto" w:fill="FFFFFF" w:themeFill="background1"/>
            <w:hideMark/>
          </w:tcPr>
          <w:p w14:paraId="247C29F0" w14:textId="77777777" w:rsidR="00092F7C" w:rsidRPr="007C4D65" w:rsidRDefault="00092F7C" w:rsidP="00B601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C4D65">
              <w:rPr>
                <w:rFonts w:asciiTheme="minorHAnsi" w:hAnsiTheme="minorHAnsi" w:cstheme="minorHAnsi"/>
                <w:sz w:val="18"/>
              </w:rPr>
              <w:t>Summary and analysis of the implementation programme (of measures) and activities/projects from annual work plans</w:t>
            </w:r>
          </w:p>
        </w:tc>
        <w:tc>
          <w:tcPr>
            <w:tcW w:w="643" w:type="pct"/>
            <w:shd w:val="clear" w:color="auto" w:fill="FFFFFF" w:themeFill="background1"/>
            <w:hideMark/>
          </w:tcPr>
          <w:p w14:paraId="4A61B3A1" w14:textId="77777777" w:rsidR="00092F7C" w:rsidRPr="007C4D65" w:rsidRDefault="00092F7C" w:rsidP="00B601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C4D65">
              <w:rPr>
                <w:rFonts w:asciiTheme="minorHAnsi" w:hAnsiTheme="minorHAnsi" w:cstheme="minorHAnsi"/>
                <w:sz w:val="18"/>
              </w:rPr>
              <w:t>Implementers, according to Annex 1</w:t>
            </w:r>
          </w:p>
          <w:p w14:paraId="2135005B" w14:textId="77777777" w:rsidR="00092F7C" w:rsidRPr="007C4D65" w:rsidRDefault="00092F7C" w:rsidP="00B601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hr-HR"/>
              </w:rPr>
            </w:pPr>
          </w:p>
          <w:p w14:paraId="095B66DF" w14:textId="77777777" w:rsidR="00092F7C" w:rsidRPr="007C4D65" w:rsidRDefault="00092F7C" w:rsidP="00B601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hr-HR"/>
              </w:rPr>
            </w:pPr>
          </w:p>
        </w:tc>
        <w:tc>
          <w:tcPr>
            <w:tcW w:w="1210" w:type="pct"/>
            <w:shd w:val="clear" w:color="auto" w:fill="FFFFFF" w:themeFill="background1"/>
            <w:hideMark/>
          </w:tcPr>
          <w:p w14:paraId="12863B40" w14:textId="7DF9197D" w:rsidR="00092F7C" w:rsidRPr="007C4D65" w:rsidRDefault="00092F7C" w:rsidP="00B601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C4D65">
              <w:rPr>
                <w:rFonts w:asciiTheme="minorHAnsi" w:hAnsiTheme="minorHAnsi" w:cstheme="minorHAnsi"/>
                <w:sz w:val="18"/>
              </w:rPr>
              <w:t xml:space="preserve">Secretary of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 and </w:t>
            </w:r>
            <w:r w:rsidR="00707332" w:rsidRPr="007C4D65">
              <w:rPr>
                <w:rFonts w:asciiTheme="minorHAnsi" w:hAnsiTheme="minorHAnsi" w:cstheme="minorHAnsi"/>
                <w:sz w:val="18"/>
              </w:rPr>
              <w:t>Secretary</w:t>
            </w:r>
            <w:r w:rsidRPr="007C4D65">
              <w:rPr>
                <w:rFonts w:asciiTheme="minorHAnsi" w:hAnsiTheme="minorHAnsi" w:cstheme="minorHAnsi"/>
                <w:sz w:val="18"/>
              </w:rPr>
              <w:t xml:space="preserve"> of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Agriculture, Water Management and Forestry of the Federation of BiH</w:t>
            </w:r>
          </w:p>
        </w:tc>
        <w:tc>
          <w:tcPr>
            <w:tcW w:w="563" w:type="pct"/>
            <w:shd w:val="clear" w:color="auto" w:fill="FFFFFF" w:themeFill="background1"/>
            <w:hideMark/>
          </w:tcPr>
          <w:p w14:paraId="429BCF9B" w14:textId="77777777" w:rsidR="00092F7C" w:rsidRPr="007C4D65" w:rsidRDefault="00092F7C" w:rsidP="00B601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C4D65">
              <w:rPr>
                <w:rFonts w:asciiTheme="minorHAnsi" w:hAnsiTheme="minorHAnsi" w:cstheme="minorHAnsi"/>
                <w:sz w:val="18"/>
              </w:rPr>
              <w:t>Annual</w:t>
            </w:r>
          </w:p>
        </w:tc>
        <w:tc>
          <w:tcPr>
            <w:tcW w:w="1141" w:type="pct"/>
            <w:shd w:val="clear" w:color="auto" w:fill="FFFFFF" w:themeFill="background1"/>
            <w:hideMark/>
          </w:tcPr>
          <w:p w14:paraId="6E78407A" w14:textId="77777777" w:rsidR="00092F7C" w:rsidRPr="007C4D65" w:rsidRDefault="00092F7C" w:rsidP="00B601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gramStart"/>
            <w:r w:rsidRPr="007C4D65">
              <w:rPr>
                <w:rFonts w:asciiTheme="minorHAnsi" w:hAnsiTheme="minorHAnsi" w:cstheme="minorHAnsi"/>
                <w:sz w:val="18"/>
              </w:rPr>
              <w:t>For the purpose of</w:t>
            </w:r>
            <w:proofErr w:type="gramEnd"/>
            <w:r w:rsidRPr="007C4D65">
              <w:rPr>
                <w:rFonts w:asciiTheme="minorHAnsi" w:hAnsiTheme="minorHAnsi" w:cstheme="minorHAnsi"/>
                <w:sz w:val="18"/>
              </w:rPr>
              <w:t xml:space="preserve"> record keeping on activities planned in each period and monitoring of implementation progress</w:t>
            </w:r>
          </w:p>
        </w:tc>
      </w:tr>
      <w:tr w:rsidR="00092F7C" w:rsidRPr="007C4D65" w14:paraId="3CB66F79" w14:textId="77777777" w:rsidTr="00B6017F">
        <w:trPr>
          <w:trHeight w:val="1450"/>
        </w:trPr>
        <w:tc>
          <w:tcPr>
            <w:tcW w:w="408" w:type="pct"/>
            <w:shd w:val="clear" w:color="auto" w:fill="FFFFFF" w:themeFill="background1"/>
            <w:hideMark/>
          </w:tcPr>
          <w:p w14:paraId="5BAAA784" w14:textId="77777777" w:rsidR="00092F7C" w:rsidRPr="007C4D65" w:rsidRDefault="00092F7C" w:rsidP="00B6017F">
            <w:pPr>
              <w:spacing w:line="276" w:lineRule="auto"/>
              <w:cnfStyle w:val="001000000000" w:firstRow="0" w:lastRow="0" w:firstColumn="1" w:lastColumn="0" w:oddVBand="0" w:evenVBand="0" w:oddHBand="0" w:evenHBand="0" w:firstRowFirstColumn="0" w:firstRowLastColumn="0" w:lastRowFirstColumn="0" w:lastRowLastColumn="0"/>
              <w:rPr>
                <w:rFonts w:asciiTheme="minorHAnsi" w:hAnsiTheme="minorHAnsi" w:cstheme="minorHAnsi"/>
                <w:sz w:val="18"/>
                <w:szCs w:val="18"/>
              </w:rPr>
            </w:pPr>
            <w:r w:rsidRPr="007C4D65">
              <w:rPr>
                <w:rFonts w:asciiTheme="minorHAnsi" w:hAnsiTheme="minorHAnsi" w:cstheme="minorHAnsi"/>
                <w:sz w:val="18"/>
              </w:rPr>
              <w:t>Reports on development</w:t>
            </w:r>
          </w:p>
        </w:tc>
        <w:tc>
          <w:tcPr>
            <w:tcW w:w="1035" w:type="pct"/>
            <w:shd w:val="clear" w:color="auto" w:fill="FFFFFF" w:themeFill="background1"/>
            <w:hideMark/>
          </w:tcPr>
          <w:p w14:paraId="3CE94D2B" w14:textId="77777777" w:rsidR="00092F7C" w:rsidRPr="007C4D65" w:rsidRDefault="00092F7C" w:rsidP="00B6017F">
            <w:pPr>
              <w:spacing w:line="276" w:lineRule="auto"/>
              <w:rPr>
                <w:rFonts w:asciiTheme="minorHAnsi" w:hAnsiTheme="minorHAnsi" w:cstheme="minorHAnsi"/>
                <w:sz w:val="18"/>
                <w:szCs w:val="18"/>
              </w:rPr>
            </w:pPr>
            <w:r w:rsidRPr="007C4D65">
              <w:rPr>
                <w:rFonts w:asciiTheme="minorHAnsi" w:hAnsiTheme="minorHAnsi" w:cstheme="minorHAnsi"/>
                <w:sz w:val="18"/>
              </w:rPr>
              <w:t>Summary of general development trends and evaluation of progress</w:t>
            </w:r>
          </w:p>
        </w:tc>
        <w:tc>
          <w:tcPr>
            <w:tcW w:w="643" w:type="pct"/>
            <w:shd w:val="clear" w:color="auto" w:fill="FFFFFF" w:themeFill="background1"/>
            <w:hideMark/>
          </w:tcPr>
          <w:p w14:paraId="5D4238C5" w14:textId="77777777" w:rsidR="00092F7C" w:rsidRPr="007C4D65" w:rsidRDefault="00092F7C" w:rsidP="00B6017F">
            <w:pPr>
              <w:spacing w:line="276" w:lineRule="auto"/>
              <w:rPr>
                <w:rFonts w:asciiTheme="minorHAnsi" w:hAnsiTheme="minorHAnsi" w:cstheme="minorHAnsi"/>
                <w:sz w:val="18"/>
                <w:szCs w:val="18"/>
              </w:rPr>
            </w:pPr>
            <w:r w:rsidRPr="007C4D65">
              <w:rPr>
                <w:rFonts w:asciiTheme="minorHAnsi" w:hAnsiTheme="minorHAnsi" w:cstheme="minorHAnsi"/>
                <w:sz w:val="18"/>
              </w:rPr>
              <w:t>Implementers, according to Annex 1</w:t>
            </w:r>
          </w:p>
        </w:tc>
        <w:tc>
          <w:tcPr>
            <w:tcW w:w="1210" w:type="pct"/>
            <w:shd w:val="clear" w:color="auto" w:fill="FFFFFF" w:themeFill="background1"/>
            <w:hideMark/>
          </w:tcPr>
          <w:p w14:paraId="5088C8B7" w14:textId="400AF8D1" w:rsidR="00092F7C" w:rsidRPr="007C4D65" w:rsidRDefault="00092F7C"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Secretary of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 and </w:t>
            </w:r>
            <w:r w:rsidR="00707332" w:rsidRPr="007C4D65">
              <w:rPr>
                <w:rFonts w:asciiTheme="minorHAnsi" w:hAnsiTheme="minorHAnsi" w:cstheme="minorHAnsi"/>
                <w:sz w:val="18"/>
              </w:rPr>
              <w:t>Secretary</w:t>
            </w:r>
            <w:r w:rsidRPr="007C4D65">
              <w:rPr>
                <w:rFonts w:asciiTheme="minorHAnsi" w:hAnsiTheme="minorHAnsi" w:cstheme="minorHAnsi"/>
                <w:sz w:val="18"/>
              </w:rPr>
              <w:t xml:space="preserve"> of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Agriculture, Water Management and Forestry of the Federation of BiH, and the Institute for Development Programming of the Federation of BiH</w:t>
            </w:r>
            <w:r w:rsidRPr="007C4D65">
              <w:rPr>
                <w:rFonts w:asciiTheme="minorHAnsi" w:hAnsiTheme="minorHAnsi" w:cstheme="minorHAnsi"/>
                <w:sz w:val="18"/>
                <w:szCs w:val="18"/>
                <w:vertAlign w:val="superscript"/>
                <w:lang w:val="hr-HR"/>
              </w:rPr>
              <w:footnoteReference w:id="27"/>
            </w:r>
          </w:p>
        </w:tc>
        <w:tc>
          <w:tcPr>
            <w:tcW w:w="563" w:type="pct"/>
            <w:shd w:val="clear" w:color="auto" w:fill="FFFFFF" w:themeFill="background1"/>
            <w:hideMark/>
          </w:tcPr>
          <w:p w14:paraId="2A88E495" w14:textId="77777777" w:rsidR="00092F7C" w:rsidRPr="007C4D65" w:rsidRDefault="00092F7C" w:rsidP="00B6017F">
            <w:pPr>
              <w:spacing w:line="276" w:lineRule="auto"/>
              <w:rPr>
                <w:rFonts w:asciiTheme="minorHAnsi" w:hAnsiTheme="minorHAnsi" w:cstheme="minorHAnsi"/>
                <w:sz w:val="18"/>
                <w:szCs w:val="18"/>
              </w:rPr>
            </w:pPr>
            <w:r w:rsidRPr="007C4D65">
              <w:rPr>
                <w:rFonts w:asciiTheme="minorHAnsi" w:hAnsiTheme="minorHAnsi" w:cstheme="minorHAnsi"/>
                <w:sz w:val="18"/>
              </w:rPr>
              <w:t>Annual</w:t>
            </w:r>
          </w:p>
        </w:tc>
        <w:tc>
          <w:tcPr>
            <w:tcW w:w="1141" w:type="pct"/>
            <w:shd w:val="clear" w:color="auto" w:fill="FFFFFF" w:themeFill="background1"/>
            <w:hideMark/>
          </w:tcPr>
          <w:p w14:paraId="60B5E246" w14:textId="77777777" w:rsidR="00092F7C" w:rsidRPr="007C4D65" w:rsidRDefault="00092F7C" w:rsidP="00B6017F">
            <w:pPr>
              <w:spacing w:line="276" w:lineRule="auto"/>
              <w:rPr>
                <w:rFonts w:asciiTheme="minorHAnsi" w:hAnsiTheme="minorHAnsi" w:cstheme="minorHAnsi"/>
                <w:sz w:val="18"/>
                <w:szCs w:val="18"/>
              </w:rPr>
            </w:pPr>
            <w:proofErr w:type="gramStart"/>
            <w:r w:rsidRPr="007C4D65">
              <w:rPr>
                <w:rFonts w:asciiTheme="minorHAnsi" w:hAnsiTheme="minorHAnsi" w:cstheme="minorHAnsi"/>
                <w:sz w:val="18"/>
              </w:rPr>
              <w:t>For the purpose of</w:t>
            </w:r>
            <w:proofErr w:type="gramEnd"/>
            <w:r w:rsidRPr="007C4D65">
              <w:rPr>
                <w:rFonts w:asciiTheme="minorHAnsi" w:hAnsiTheme="minorHAnsi" w:cstheme="minorHAnsi"/>
                <w:sz w:val="18"/>
              </w:rPr>
              <w:t xml:space="preserve"> the analysis of the implementation of the strategic document and action plan and understanding funds planned and anticipated.</w:t>
            </w:r>
          </w:p>
        </w:tc>
      </w:tr>
    </w:tbl>
    <w:p w14:paraId="3DDF38D8" w14:textId="598E44B1" w:rsidR="00092F7C" w:rsidRPr="007C4D65" w:rsidRDefault="00092F7C" w:rsidP="00092F7C">
      <w:pPr>
        <w:pStyle w:val="Caption"/>
        <w:spacing w:line="276" w:lineRule="auto"/>
        <w:rPr>
          <w:rFonts w:asciiTheme="minorHAnsi" w:hAnsiTheme="minorHAnsi" w:cstheme="minorHAnsi"/>
        </w:rPr>
      </w:pPr>
      <w:bookmarkStart w:id="224" w:name="_Toc116539040"/>
      <w:bookmarkStart w:id="225" w:name="_Toc117011607"/>
      <w:r w:rsidRPr="007C4D65">
        <w:rPr>
          <w:rFonts w:asciiTheme="minorHAnsi" w:hAnsiTheme="minorHAnsi" w:cstheme="minorHAnsi"/>
        </w:rPr>
        <w:t xml:space="preserve">Table </w:t>
      </w:r>
      <w:r w:rsidRPr="007C4D65">
        <w:rPr>
          <w:rFonts w:asciiTheme="minorHAnsi" w:hAnsiTheme="minorHAnsi" w:cstheme="minorHAnsi"/>
        </w:rPr>
        <w:fldChar w:fldCharType="begin"/>
      </w:r>
      <w:r w:rsidRPr="007C4D65">
        <w:rPr>
          <w:rFonts w:asciiTheme="minorHAnsi" w:hAnsiTheme="minorHAnsi" w:cstheme="minorHAnsi"/>
        </w:rPr>
        <w:instrText xml:space="preserve"> SEQ Tabela \* ARABIC </w:instrText>
      </w:r>
      <w:r w:rsidRPr="007C4D65">
        <w:rPr>
          <w:rFonts w:asciiTheme="minorHAnsi" w:hAnsiTheme="minorHAnsi" w:cstheme="minorHAnsi"/>
        </w:rPr>
        <w:fldChar w:fldCharType="separate"/>
      </w:r>
      <w:r w:rsidRPr="007C4D65">
        <w:rPr>
          <w:rFonts w:asciiTheme="minorHAnsi" w:hAnsiTheme="minorHAnsi" w:cstheme="minorHAnsi"/>
          <w:noProof/>
        </w:rPr>
        <w:t>2</w:t>
      </w:r>
      <w:r w:rsidR="004B250A" w:rsidRPr="007C4D65">
        <w:rPr>
          <w:rFonts w:asciiTheme="minorHAnsi" w:hAnsiTheme="minorHAnsi" w:cstheme="minorHAnsi"/>
          <w:noProof/>
        </w:rPr>
        <w:t>8</w:t>
      </w:r>
      <w:r w:rsidRPr="007C4D65">
        <w:rPr>
          <w:rFonts w:asciiTheme="minorHAnsi" w:hAnsiTheme="minorHAnsi" w:cstheme="minorHAnsi"/>
        </w:rPr>
        <w:fldChar w:fldCharType="end"/>
      </w:r>
      <w:bookmarkStart w:id="226" w:name="_Hlk116541860"/>
      <w:r w:rsidR="004B250A" w:rsidRPr="007C4D65">
        <w:rPr>
          <w:rFonts w:asciiTheme="minorHAnsi" w:hAnsiTheme="minorHAnsi" w:cstheme="minorHAnsi"/>
          <w:b w:val="0"/>
        </w:rPr>
        <w:t xml:space="preserve">: </w:t>
      </w:r>
      <w:r w:rsidRPr="007C4D65">
        <w:rPr>
          <w:rFonts w:asciiTheme="minorHAnsi" w:hAnsiTheme="minorHAnsi" w:cstheme="minorHAnsi"/>
          <w:b w:val="0"/>
        </w:rPr>
        <w:t>Monitoring and Reporting Plan in the Federation of BiH</w:t>
      </w:r>
      <w:bookmarkEnd w:id="224"/>
      <w:bookmarkEnd w:id="225"/>
      <w:bookmarkEnd w:id="226"/>
    </w:p>
    <w:p w14:paraId="5B82D853" w14:textId="5317D46E" w:rsidR="002C0058" w:rsidRPr="007C4D65" w:rsidRDefault="00092F7C">
      <w:pPr>
        <w:pStyle w:val="Head2"/>
        <w:spacing w:after="0" w:line="276" w:lineRule="auto"/>
        <w:ind w:hanging="792"/>
        <w:rPr>
          <w:rFonts w:asciiTheme="minorHAnsi" w:hAnsiTheme="minorHAnsi"/>
        </w:rPr>
      </w:pPr>
      <w:bookmarkStart w:id="227" w:name="_Toc117445374"/>
      <w:bookmarkEnd w:id="222"/>
      <w:r w:rsidRPr="007C4D65">
        <w:rPr>
          <w:rFonts w:asciiTheme="minorHAnsi" w:hAnsiTheme="minorHAnsi"/>
        </w:rPr>
        <w:lastRenderedPageBreak/>
        <w:t>Evaluation</w:t>
      </w:r>
      <w:bookmarkEnd w:id="227"/>
    </w:p>
    <w:p w14:paraId="4D60A9B2" w14:textId="0E933F25" w:rsidR="00542E43" w:rsidRPr="007C4D65" w:rsidRDefault="00B766E7" w:rsidP="00542E43">
      <w:pPr>
        <w:spacing w:before="240" w:after="240" w:line="276" w:lineRule="auto"/>
        <w:jc w:val="both"/>
        <w:rPr>
          <w:rFonts w:asciiTheme="minorHAnsi" w:hAnsiTheme="minorHAnsi" w:cstheme="minorHAnsi"/>
          <w:sz w:val="22"/>
          <w:szCs w:val="22"/>
        </w:rPr>
        <w:sectPr w:rsidR="00542E43" w:rsidRPr="007C4D65" w:rsidSect="00542E43">
          <w:pgSz w:w="11906" w:h="16838"/>
          <w:pgMar w:top="1440" w:right="1440" w:bottom="1440" w:left="1440" w:header="709" w:footer="709" w:gutter="0"/>
          <w:cols w:space="708"/>
          <w:docGrid w:linePitch="360"/>
        </w:sectPr>
      </w:pPr>
      <w:r w:rsidRPr="007C4D65">
        <w:rPr>
          <w:rFonts w:asciiTheme="minorHAnsi" w:hAnsiTheme="minorHAnsi" w:cstheme="minorHAnsi"/>
          <w:sz w:val="22"/>
        </w:rPr>
        <w:t xml:space="preserve">An evaluation in progress shall be completed in accordance with the applicable legislation in the second last year of the implementation of the Environmental Strategy of the Federation of BiH. An evaluation in progress shall also be completed in the middle of the implementation phase of the Strategy, as required. </w:t>
      </w:r>
    </w:p>
    <w:p w14:paraId="7757BE8C" w14:textId="105AF22D" w:rsidR="007625A2" w:rsidRPr="007C4D65" w:rsidRDefault="007625A2" w:rsidP="0068355A">
      <w:pPr>
        <w:spacing w:after="160" w:line="276" w:lineRule="auto"/>
        <w:rPr>
          <w:rFonts w:asciiTheme="minorHAnsi" w:hAnsiTheme="minorHAnsi" w:cstheme="minorHAnsi"/>
          <w:sz w:val="22"/>
          <w:szCs w:val="22"/>
        </w:rPr>
      </w:pPr>
    </w:p>
    <w:p w14:paraId="04E1C82F" w14:textId="5EA1D1D1" w:rsidR="002C0058" w:rsidRPr="007C4D65" w:rsidRDefault="004B250A">
      <w:pPr>
        <w:pStyle w:val="Head1"/>
        <w:spacing w:after="240" w:line="276" w:lineRule="auto"/>
        <w:rPr>
          <w:rFonts w:asciiTheme="minorHAnsi" w:hAnsiTheme="minorHAnsi" w:cstheme="minorHAnsi"/>
        </w:rPr>
      </w:pPr>
      <w:bookmarkStart w:id="228" w:name="_Toc117445375"/>
      <w:r w:rsidRPr="007C4D65">
        <w:rPr>
          <w:rFonts w:asciiTheme="minorHAnsi" w:hAnsiTheme="minorHAnsi" w:cstheme="minorHAnsi"/>
        </w:rPr>
        <w:t>ANNEXES</w:t>
      </w:r>
      <w:bookmarkEnd w:id="228"/>
    </w:p>
    <w:p w14:paraId="64C95AB6" w14:textId="5BFD5EC5" w:rsidR="00B13A5C" w:rsidRPr="007C4D65" w:rsidRDefault="00783AA9">
      <w:pPr>
        <w:pStyle w:val="Head2"/>
        <w:spacing w:line="276" w:lineRule="auto"/>
        <w:rPr>
          <w:rFonts w:asciiTheme="minorHAnsi" w:hAnsiTheme="minorHAnsi"/>
        </w:rPr>
      </w:pPr>
      <w:bookmarkStart w:id="229" w:name="_Toc117445376"/>
      <w:r w:rsidRPr="007C4D65">
        <w:rPr>
          <w:rFonts w:asciiTheme="minorHAnsi" w:hAnsiTheme="minorHAnsi"/>
        </w:rPr>
        <w:t xml:space="preserve">Annex 1 </w:t>
      </w:r>
      <w:r w:rsidR="004B250A" w:rsidRPr="007C4D65">
        <w:rPr>
          <w:rFonts w:asciiTheme="minorHAnsi" w:hAnsiTheme="minorHAnsi"/>
        </w:rPr>
        <w:t>Detailed overview of measures for Water Management</w:t>
      </w:r>
      <w:bookmarkEnd w:id="229"/>
      <w:r w:rsidRPr="007C4D65">
        <w:rPr>
          <w:rFonts w:asciiTheme="minorHAnsi" w:hAnsiTheme="minorHAnsi"/>
        </w:rPr>
        <w:t xml:space="preserve">  </w:t>
      </w:r>
    </w:p>
    <w:tbl>
      <w:tblPr>
        <w:tblStyle w:val="TABLICAHAOP7"/>
        <w:tblW w:w="5000" w:type="pct"/>
        <w:tblLook w:val="04A0" w:firstRow="1" w:lastRow="0" w:firstColumn="1" w:lastColumn="0" w:noHBand="0" w:noVBand="1"/>
      </w:tblPr>
      <w:tblGrid>
        <w:gridCol w:w="3886"/>
        <w:gridCol w:w="3236"/>
        <w:gridCol w:w="3562"/>
        <w:gridCol w:w="3264"/>
      </w:tblGrid>
      <w:tr w:rsidR="00A8050D" w:rsidRPr="007C4D65" w14:paraId="598E8BBC" w14:textId="77777777" w:rsidTr="00B6017F">
        <w:trPr>
          <w:trHeight w:val="567"/>
        </w:trPr>
        <w:tc>
          <w:tcPr>
            <w:tcW w:w="139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06BF045" w14:textId="68F39D53"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bookmarkStart w:id="230" w:name="_Hlk104492022"/>
            <w:r w:rsidRPr="007C4D65">
              <w:rPr>
                <w:rFonts w:asciiTheme="minorHAnsi" w:hAnsiTheme="minorHAnsi" w:cstheme="minorHAnsi"/>
                <w:b/>
                <w:color w:val="FFFFFF" w:themeColor="background1"/>
                <w:sz w:val="18"/>
                <w:szCs w:val="18"/>
              </w:rPr>
              <w:t>Link with the strategic goal</w:t>
            </w:r>
          </w:p>
        </w:tc>
        <w:tc>
          <w:tcPr>
            <w:tcW w:w="3607" w:type="pct"/>
            <w:gridSpan w:val="3"/>
            <w:tcBorders>
              <w:top w:val="single" w:sz="4" w:space="0" w:color="A6A6A6"/>
              <w:left w:val="single" w:sz="4" w:space="0" w:color="A6A6A6"/>
              <w:bottom w:val="single" w:sz="4" w:space="0" w:color="A6A6A6"/>
              <w:right w:val="single" w:sz="4" w:space="0" w:color="A6A6A6"/>
            </w:tcBorders>
            <w:vAlign w:val="center"/>
          </w:tcPr>
          <w:p w14:paraId="27ED66D4"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17C03A42" w14:textId="77777777" w:rsidTr="00B6017F">
        <w:trPr>
          <w:trHeight w:val="567"/>
        </w:trPr>
        <w:tc>
          <w:tcPr>
            <w:tcW w:w="139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C93986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607" w:type="pct"/>
            <w:gridSpan w:val="3"/>
            <w:tcBorders>
              <w:top w:val="single" w:sz="4" w:space="0" w:color="A6A6A6"/>
              <w:left w:val="single" w:sz="4" w:space="0" w:color="A6A6A6"/>
              <w:bottom w:val="single" w:sz="4" w:space="0" w:color="A6A6A6"/>
              <w:right w:val="single" w:sz="4" w:space="0" w:color="A6A6A6"/>
            </w:tcBorders>
            <w:vAlign w:val="center"/>
          </w:tcPr>
          <w:p w14:paraId="554A2026" w14:textId="77777777" w:rsidR="00A8050D" w:rsidRPr="007C4D65" w:rsidRDefault="00A8050D">
            <w:pPr>
              <w:numPr>
                <w:ilvl w:val="1"/>
                <w:numId w:val="82"/>
              </w:numPr>
              <w:spacing w:before="40" w:after="40" w:line="276" w:lineRule="auto"/>
              <w:contextualSpacing/>
              <w:rPr>
                <w:rFonts w:asciiTheme="minorHAnsi" w:hAnsiTheme="minorHAnsi" w:cstheme="minorHAnsi"/>
                <w:b/>
                <w:sz w:val="18"/>
                <w:szCs w:val="18"/>
              </w:rPr>
            </w:pPr>
            <w:r w:rsidRPr="007C4D65">
              <w:rPr>
                <w:rFonts w:asciiTheme="minorHAnsi" w:hAnsiTheme="minorHAnsi" w:cstheme="minorHAnsi"/>
                <w:b/>
                <w:sz w:val="18"/>
                <w:szCs w:val="18"/>
              </w:rPr>
              <w:t xml:space="preserve">Prevent deterioration and improve status of water bodies  </w:t>
            </w:r>
          </w:p>
        </w:tc>
      </w:tr>
      <w:tr w:rsidR="00A8050D" w:rsidRPr="007C4D65" w14:paraId="2727155D" w14:textId="77777777" w:rsidTr="00B6017F">
        <w:trPr>
          <w:trHeight w:val="567"/>
        </w:trPr>
        <w:tc>
          <w:tcPr>
            <w:tcW w:w="139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487B16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Measure name</w:t>
            </w:r>
          </w:p>
        </w:tc>
        <w:tc>
          <w:tcPr>
            <w:tcW w:w="3607" w:type="pct"/>
            <w:gridSpan w:val="3"/>
            <w:tcBorders>
              <w:top w:val="single" w:sz="4" w:space="0" w:color="A6A6A6"/>
              <w:left w:val="single" w:sz="4" w:space="0" w:color="A6A6A6"/>
              <w:bottom w:val="single" w:sz="4" w:space="0" w:color="A6A6A6"/>
              <w:right w:val="single" w:sz="4" w:space="0" w:color="A6A6A6"/>
            </w:tcBorders>
            <w:vAlign w:val="center"/>
          </w:tcPr>
          <w:p w14:paraId="24AD4B1B"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1.1.1 Achieving environmental objectives for water bodies as defined in the water basin management plans in the Federation of BiH  </w:t>
            </w:r>
          </w:p>
        </w:tc>
      </w:tr>
      <w:tr w:rsidR="00A8050D" w:rsidRPr="007C4D65" w14:paraId="4A60D04E" w14:textId="77777777" w:rsidTr="00B6017F">
        <w:trPr>
          <w:trHeight w:val="567"/>
        </w:trPr>
        <w:tc>
          <w:tcPr>
            <w:tcW w:w="139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16B605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607" w:type="pct"/>
            <w:gridSpan w:val="3"/>
            <w:tcBorders>
              <w:top w:val="single" w:sz="4" w:space="0" w:color="A6A6A6"/>
              <w:left w:val="single" w:sz="4" w:space="0" w:color="A6A6A6"/>
              <w:bottom w:val="single" w:sz="4" w:space="0" w:color="A6A6A6"/>
              <w:right w:val="single" w:sz="4" w:space="0" w:color="A6A6A6"/>
            </w:tcBorders>
            <w:vAlign w:val="center"/>
          </w:tcPr>
          <w:p w14:paraId="2F5C7F84"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This measure aims to contribute to the achievement of at least good status of surface and ground waters by implementing and precisely evaluating the implementation of measures foreseen in the basin management plans by improving legislation, providing monitoring of surface and ground water bodies, and conducting inspection oversight of activities with possible adverse environmental impact.</w:t>
            </w:r>
          </w:p>
          <w:p w14:paraId="0A94B97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General areas of intervention include two directions: </w:t>
            </w:r>
          </w:p>
          <w:p w14:paraId="069C64F3" w14:textId="77777777" w:rsidR="00A8050D" w:rsidRPr="007C4D65" w:rsidRDefault="00A8050D">
            <w:pPr>
              <w:numPr>
                <w:ilvl w:val="0"/>
                <w:numId w:val="83"/>
              </w:numPr>
              <w:spacing w:before="40" w:after="40" w:line="276" w:lineRule="auto"/>
              <w:ind w:left="360"/>
              <w:contextualSpacing/>
              <w:rPr>
                <w:rFonts w:asciiTheme="minorHAnsi" w:hAnsiTheme="minorHAnsi" w:cstheme="minorHAnsi"/>
                <w:b/>
                <w:sz w:val="18"/>
                <w:szCs w:val="18"/>
              </w:rPr>
            </w:pPr>
            <w:r w:rsidRPr="007C4D65">
              <w:rPr>
                <w:rFonts w:asciiTheme="minorHAnsi" w:hAnsiTheme="minorHAnsi" w:cstheme="minorHAnsi"/>
                <w:b/>
                <w:sz w:val="18"/>
                <w:szCs w:val="18"/>
              </w:rPr>
              <w:t xml:space="preserve">Implementation of Programme of Measures from the Management Plans, and regular reporting on progress achieved </w:t>
            </w:r>
          </w:p>
          <w:p w14:paraId="38D979C5" w14:textId="77777777"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a1) Amend and adopt changes to the Law on Organisation of Administration Bodies of Federation of BiH regarding the obligation to report on implementation of strategic and planning documents, as well as projects</w:t>
            </w:r>
          </w:p>
          <w:p w14:paraId="0A215CF3" w14:textId="77777777"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 xml:space="preserve">a2) Assess progress in implementation of Programme of measures and biannually report on the progress achieved </w:t>
            </w:r>
          </w:p>
          <w:p w14:paraId="3CF79CB6" w14:textId="77777777"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a3) Carry out monitoring of surface and ground waters and report the monitoring result on annual basis.</w:t>
            </w:r>
          </w:p>
          <w:p w14:paraId="0243C212" w14:textId="77777777" w:rsidR="00A8050D" w:rsidRPr="007C4D65" w:rsidRDefault="00A8050D">
            <w:pPr>
              <w:numPr>
                <w:ilvl w:val="0"/>
                <w:numId w:val="83"/>
              </w:numPr>
              <w:spacing w:before="40" w:after="40" w:line="276" w:lineRule="auto"/>
              <w:ind w:left="360"/>
              <w:contextualSpacing/>
              <w:rPr>
                <w:rFonts w:asciiTheme="minorHAnsi" w:hAnsiTheme="minorHAnsi" w:cstheme="minorHAnsi"/>
                <w:b/>
                <w:sz w:val="18"/>
                <w:szCs w:val="18"/>
              </w:rPr>
            </w:pPr>
            <w:r w:rsidRPr="007C4D65">
              <w:rPr>
                <w:rFonts w:asciiTheme="minorHAnsi" w:hAnsiTheme="minorHAnsi" w:cstheme="minorHAnsi"/>
                <w:b/>
                <w:sz w:val="18"/>
                <w:szCs w:val="18"/>
              </w:rPr>
              <w:t>Cooperation between water sector and water inspection for the purpose of supporting implementation of Management Plans</w:t>
            </w:r>
          </w:p>
          <w:p w14:paraId="7C78D8BE" w14:textId="77777777"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 xml:space="preserve">b1) Developed water acts containing information on current status of water bodies into which the </w:t>
            </w:r>
            <w:proofErr w:type="gramStart"/>
            <w:r w:rsidRPr="007C4D65">
              <w:rPr>
                <w:rFonts w:asciiTheme="minorHAnsi" w:hAnsiTheme="minorHAnsi" w:cstheme="minorHAnsi"/>
                <w:sz w:val="18"/>
                <w:szCs w:val="18"/>
              </w:rPr>
              <w:t>waste water</w:t>
            </w:r>
            <w:proofErr w:type="gramEnd"/>
            <w:r w:rsidRPr="007C4D65">
              <w:rPr>
                <w:rFonts w:asciiTheme="minorHAnsi" w:hAnsiTheme="minorHAnsi" w:cstheme="minorHAnsi"/>
                <w:sz w:val="18"/>
                <w:szCs w:val="18"/>
              </w:rPr>
              <w:t xml:space="preserve"> is discharged, and identified objectives regarding status of the water bodies in the Basin Management Plan for the respective water body      </w:t>
            </w:r>
          </w:p>
          <w:p w14:paraId="431FF7AC" w14:textId="77777777"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b2) Provide information / excerpts from the Water Management Plans to the inspections, and timely share information and data on the received complaints and requests of the responsible bodies in water sector</w:t>
            </w:r>
          </w:p>
          <w:p w14:paraId="3C6D5BA0" w14:textId="77777777"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 xml:space="preserve">b3) Developed annual programmes of inspection oversight of water polluters                                                                                                                                                                                                            </w:t>
            </w:r>
          </w:p>
        </w:tc>
      </w:tr>
      <w:tr w:rsidR="00A8050D" w:rsidRPr="007C4D65" w14:paraId="6BBD9FEF" w14:textId="77777777" w:rsidTr="00B6017F">
        <w:trPr>
          <w:trHeight w:val="567"/>
        </w:trPr>
        <w:tc>
          <w:tcPr>
            <w:tcW w:w="139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F242F9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Key strategic projects</w:t>
            </w:r>
          </w:p>
        </w:tc>
        <w:tc>
          <w:tcPr>
            <w:tcW w:w="3607" w:type="pct"/>
            <w:gridSpan w:val="3"/>
            <w:tcBorders>
              <w:top w:val="single" w:sz="4" w:space="0" w:color="A6A6A6"/>
              <w:left w:val="single" w:sz="4" w:space="0" w:color="A6A6A6"/>
              <w:bottom w:val="single" w:sz="4" w:space="0" w:color="A6A6A6"/>
              <w:right w:val="single" w:sz="4" w:space="0" w:color="A6A6A6"/>
            </w:tcBorders>
            <w:vAlign w:val="center"/>
          </w:tcPr>
          <w:p w14:paraId="2A431D0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1FEC6AD6" w14:textId="77777777" w:rsidTr="00B6017F">
        <w:trPr>
          <w:trHeight w:val="567"/>
        </w:trPr>
        <w:tc>
          <w:tcPr>
            <w:tcW w:w="1393" w:type="pct"/>
            <w:vMerge w:val="restart"/>
            <w:tcBorders>
              <w:top w:val="single" w:sz="4" w:space="0" w:color="A6A6A6"/>
              <w:left w:val="single" w:sz="4" w:space="0" w:color="A6A6A6"/>
              <w:right w:val="single" w:sz="4" w:space="0" w:color="A6A6A6"/>
            </w:tcBorders>
            <w:shd w:val="clear" w:color="auto" w:fill="009D73"/>
            <w:vAlign w:val="center"/>
          </w:tcPr>
          <w:p w14:paraId="64AD807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Indicators for monitoring of results of measures</w:t>
            </w:r>
          </w:p>
        </w:tc>
        <w:tc>
          <w:tcPr>
            <w:tcW w:w="116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F26641E"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2EDBBBA6" w14:textId="5622B4D3"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7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EBAA6BF"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199BC641"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17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8116F6D"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058E5488" w14:textId="77777777" w:rsidTr="00B6017F">
        <w:tc>
          <w:tcPr>
            <w:tcW w:w="1393" w:type="pct"/>
            <w:vMerge/>
            <w:tcBorders>
              <w:left w:val="single" w:sz="4" w:space="0" w:color="A6A6A6"/>
              <w:right w:val="single" w:sz="4" w:space="0" w:color="A6A6A6"/>
            </w:tcBorders>
            <w:shd w:val="clear" w:color="auto" w:fill="009D73"/>
            <w:vAlign w:val="center"/>
          </w:tcPr>
          <w:p w14:paraId="4BCB5D19" w14:textId="77777777" w:rsidR="00A8050D" w:rsidRPr="007C4D65" w:rsidRDefault="00A8050D" w:rsidP="00B6017F">
            <w:pPr>
              <w:spacing w:before="40" w:after="40" w:line="276" w:lineRule="auto"/>
              <w:rPr>
                <w:rFonts w:asciiTheme="minorHAnsi" w:hAnsiTheme="minorHAnsi" w:cstheme="minorHAnsi"/>
                <w:b/>
                <w:sz w:val="18"/>
                <w:szCs w:val="18"/>
                <w:lang w:val="hr-HR"/>
              </w:rPr>
            </w:pPr>
          </w:p>
        </w:tc>
        <w:tc>
          <w:tcPr>
            <w:tcW w:w="1160" w:type="pct"/>
            <w:tcBorders>
              <w:top w:val="single" w:sz="4" w:space="0" w:color="A6A6A6"/>
              <w:left w:val="single" w:sz="4" w:space="0" w:color="A6A6A6"/>
              <w:bottom w:val="single" w:sz="4" w:space="0" w:color="A6A6A6"/>
              <w:right w:val="single" w:sz="4" w:space="0" w:color="A6A6A6"/>
            </w:tcBorders>
            <w:vAlign w:val="center"/>
          </w:tcPr>
          <w:p w14:paraId="53BF5B40"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sz w:val="18"/>
                <w:szCs w:val="18"/>
              </w:rPr>
              <w:t>a1) Status of adoption of amendments to the Law on Organisation of Administrative Bodies for the purpose of regular and precise reporting on implementation of strategic and planning documents (Basin Management Plans).</w:t>
            </w:r>
          </w:p>
        </w:tc>
        <w:tc>
          <w:tcPr>
            <w:tcW w:w="1277" w:type="pct"/>
            <w:tcBorders>
              <w:top w:val="single" w:sz="4" w:space="0" w:color="A6A6A6"/>
              <w:left w:val="single" w:sz="4" w:space="0" w:color="A6A6A6"/>
              <w:bottom w:val="single" w:sz="4" w:space="0" w:color="A6A6A6"/>
              <w:right w:val="single" w:sz="4" w:space="0" w:color="A6A6A6"/>
            </w:tcBorders>
            <w:vAlign w:val="center"/>
          </w:tcPr>
          <w:p w14:paraId="6F1C97EA"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sz w:val="18"/>
                <w:szCs w:val="18"/>
              </w:rPr>
              <w:t>The current Law does not include provisions that would precisely define procedures and impose obligation to the institutions / bodies at various levels of government to regularly collect, process and share information / reports on implementation of the River Basin Management Plans.</w:t>
            </w:r>
          </w:p>
        </w:tc>
        <w:tc>
          <w:tcPr>
            <w:tcW w:w="1170" w:type="pct"/>
            <w:tcBorders>
              <w:top w:val="single" w:sz="4" w:space="0" w:color="A6A6A6"/>
              <w:left w:val="single" w:sz="4" w:space="0" w:color="A6A6A6"/>
              <w:bottom w:val="single" w:sz="4" w:space="0" w:color="A6A6A6"/>
              <w:right w:val="single" w:sz="4" w:space="0" w:color="A6A6A6"/>
            </w:tcBorders>
            <w:vAlign w:val="center"/>
          </w:tcPr>
          <w:p w14:paraId="36FCDAE7"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Developed and adopted amendments to the Law on Organisation of Administrative Bodies   </w:t>
            </w:r>
          </w:p>
          <w:p w14:paraId="1D66A32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(2024)</w:t>
            </w:r>
          </w:p>
        </w:tc>
      </w:tr>
      <w:tr w:rsidR="00A8050D" w:rsidRPr="007C4D65" w14:paraId="58D5822A" w14:textId="77777777" w:rsidTr="00B6017F">
        <w:tc>
          <w:tcPr>
            <w:tcW w:w="1393" w:type="pct"/>
            <w:vMerge/>
            <w:tcBorders>
              <w:left w:val="single" w:sz="4" w:space="0" w:color="A6A6A6"/>
              <w:right w:val="single" w:sz="4" w:space="0" w:color="A6A6A6"/>
            </w:tcBorders>
            <w:shd w:val="clear" w:color="auto" w:fill="009D73"/>
            <w:vAlign w:val="center"/>
          </w:tcPr>
          <w:p w14:paraId="404DA9D1" w14:textId="77777777" w:rsidR="00A8050D" w:rsidRPr="007C4D65" w:rsidRDefault="00A8050D" w:rsidP="00B6017F">
            <w:pPr>
              <w:spacing w:before="40" w:after="40" w:line="276" w:lineRule="auto"/>
              <w:rPr>
                <w:rFonts w:asciiTheme="minorHAnsi" w:hAnsiTheme="minorHAnsi" w:cstheme="minorHAnsi"/>
                <w:b/>
                <w:sz w:val="18"/>
                <w:szCs w:val="18"/>
                <w:lang w:val="hr-HR"/>
              </w:rPr>
            </w:pPr>
          </w:p>
        </w:tc>
        <w:tc>
          <w:tcPr>
            <w:tcW w:w="1160" w:type="pct"/>
            <w:tcBorders>
              <w:top w:val="single" w:sz="4" w:space="0" w:color="A6A6A6"/>
              <w:left w:val="single" w:sz="4" w:space="0" w:color="A6A6A6"/>
              <w:bottom w:val="single" w:sz="4" w:space="0" w:color="A6A6A6"/>
              <w:right w:val="single" w:sz="4" w:space="0" w:color="A6A6A6"/>
            </w:tcBorders>
            <w:vAlign w:val="center"/>
          </w:tcPr>
          <w:p w14:paraId="7E788A8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Status of reporting and publishing the Report on </w:t>
            </w:r>
            <w:r w:rsidRPr="007C4D65">
              <w:rPr>
                <w:rFonts w:asciiTheme="minorHAnsi" w:hAnsiTheme="minorHAnsi" w:cstheme="minorHAnsi"/>
                <w:i/>
                <w:sz w:val="18"/>
                <w:szCs w:val="18"/>
              </w:rPr>
              <w:t>web</w:t>
            </w:r>
            <w:r w:rsidRPr="007C4D65">
              <w:rPr>
                <w:rFonts w:asciiTheme="minorHAnsi" w:hAnsiTheme="minorHAnsi" w:cstheme="minorHAnsi"/>
                <w:sz w:val="18"/>
                <w:szCs w:val="18"/>
              </w:rPr>
              <w:t xml:space="preserve"> pages of the Sava River Basin Agency and the Adriatic Sea Watershed Agency, including:</w:t>
            </w:r>
          </w:p>
          <w:p w14:paraId="7167EB9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a2) Performed analysis and assessment of the level of realisation of the programme of measures - biannual reports on implementation of programme of measures</w:t>
            </w:r>
          </w:p>
          <w:p w14:paraId="3AC695E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 a3) Completed monitoring of surface and ground water bodies‒ annual reports on status of surface and ground water bodies</w:t>
            </w:r>
          </w:p>
        </w:tc>
        <w:tc>
          <w:tcPr>
            <w:tcW w:w="1277" w:type="pct"/>
            <w:tcBorders>
              <w:top w:val="single" w:sz="4" w:space="0" w:color="A6A6A6"/>
              <w:left w:val="single" w:sz="4" w:space="0" w:color="A6A6A6"/>
              <w:bottom w:val="single" w:sz="4" w:space="0" w:color="A6A6A6"/>
              <w:right w:val="single" w:sz="4" w:space="0" w:color="A6A6A6"/>
            </w:tcBorders>
            <w:vAlign w:val="center"/>
          </w:tcPr>
          <w:p w14:paraId="6F720E8B" w14:textId="77777777" w:rsidR="00A8050D" w:rsidRPr="007C4D65" w:rsidRDefault="00A8050D" w:rsidP="00B6017F">
            <w:pPr>
              <w:spacing w:before="40" w:after="40" w:line="276" w:lineRule="auto"/>
              <w:rPr>
                <w:rFonts w:asciiTheme="minorHAnsi" w:eastAsiaTheme="minorEastAsia" w:hAnsiTheme="minorHAnsi" w:cstheme="minorHAnsi"/>
                <w:sz w:val="18"/>
                <w:szCs w:val="18"/>
              </w:rPr>
            </w:pPr>
            <w:r w:rsidRPr="007C4D65">
              <w:rPr>
                <w:rFonts w:asciiTheme="minorHAnsi" w:hAnsiTheme="minorHAnsi" w:cstheme="minorHAnsi"/>
                <w:sz w:val="18"/>
                <w:szCs w:val="18"/>
              </w:rPr>
              <w:t xml:space="preserve">Not regular activity: </w:t>
            </w:r>
          </w:p>
          <w:p w14:paraId="05A4D0DA" w14:textId="77777777" w:rsidR="00A8050D" w:rsidRPr="007C4D65" w:rsidRDefault="00A8050D">
            <w:pPr>
              <w:numPr>
                <w:ilvl w:val="0"/>
                <w:numId w:val="85"/>
              </w:numPr>
              <w:spacing w:before="40" w:after="40"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 xml:space="preserve">submitting data for reports on implementation of the programme of measures  </w:t>
            </w:r>
          </w:p>
          <w:p w14:paraId="1EECF378" w14:textId="77777777" w:rsidR="00A8050D" w:rsidRPr="007C4D65" w:rsidRDefault="00A8050D">
            <w:pPr>
              <w:numPr>
                <w:ilvl w:val="0"/>
                <w:numId w:val="85"/>
              </w:numPr>
              <w:spacing w:before="40" w:after="40"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 xml:space="preserve">publishing the Reports on </w:t>
            </w:r>
            <w:r w:rsidRPr="007C4D65">
              <w:rPr>
                <w:rFonts w:asciiTheme="minorHAnsi" w:hAnsiTheme="minorHAnsi" w:cstheme="minorHAnsi"/>
                <w:i/>
                <w:sz w:val="18"/>
                <w:szCs w:val="18"/>
              </w:rPr>
              <w:t>web</w:t>
            </w:r>
            <w:r w:rsidRPr="007C4D65">
              <w:rPr>
                <w:rFonts w:asciiTheme="minorHAnsi" w:hAnsiTheme="minorHAnsi" w:cstheme="minorHAnsi"/>
                <w:sz w:val="18"/>
                <w:szCs w:val="18"/>
              </w:rPr>
              <w:t xml:space="preserve"> pages of the Sava River Basin Agency and the Adriatic Sea Watershed Agency</w:t>
            </w:r>
          </w:p>
        </w:tc>
        <w:tc>
          <w:tcPr>
            <w:tcW w:w="1170" w:type="pct"/>
            <w:tcBorders>
              <w:top w:val="single" w:sz="4" w:space="0" w:color="A6A6A6"/>
              <w:left w:val="single" w:sz="4" w:space="0" w:color="A6A6A6"/>
              <w:bottom w:val="single" w:sz="4" w:space="0" w:color="A6A6A6"/>
              <w:right w:val="single" w:sz="4" w:space="0" w:color="A6A6A6"/>
            </w:tcBorders>
            <w:vAlign w:val="center"/>
          </w:tcPr>
          <w:p w14:paraId="034505E2"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Published following Reports at the Agencies' web pages, full and precise:</w:t>
            </w:r>
          </w:p>
          <w:p w14:paraId="09FF66ED" w14:textId="77777777" w:rsidR="00A8050D" w:rsidRPr="007C4D65" w:rsidRDefault="00A8050D">
            <w:pPr>
              <w:numPr>
                <w:ilvl w:val="0"/>
                <w:numId w:val="85"/>
              </w:numPr>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Biannual report on implementation of the programme of measures  </w:t>
            </w:r>
          </w:p>
          <w:p w14:paraId="261C51F1" w14:textId="77777777" w:rsidR="00A8050D" w:rsidRPr="007C4D65" w:rsidRDefault="00A8050D">
            <w:pPr>
              <w:numPr>
                <w:ilvl w:val="0"/>
                <w:numId w:val="85"/>
              </w:numPr>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Annual reports on the status of surface and ground waters  </w:t>
            </w:r>
          </w:p>
          <w:p w14:paraId="27804BBB" w14:textId="77777777" w:rsidR="00A8050D" w:rsidRPr="007C4D65" w:rsidRDefault="00A8050D" w:rsidP="00B6017F">
            <w:pPr>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(2024-2034)</w:t>
            </w:r>
          </w:p>
          <w:p w14:paraId="7FE61092" w14:textId="77777777" w:rsidR="00A8050D" w:rsidRPr="007C4D65" w:rsidRDefault="00A8050D" w:rsidP="00B6017F">
            <w:p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 </w:t>
            </w:r>
          </w:p>
          <w:p w14:paraId="3816AC1C" w14:textId="77777777" w:rsidR="00A8050D" w:rsidRPr="007C4D65" w:rsidRDefault="00A8050D" w:rsidP="00B6017F">
            <w:pPr>
              <w:spacing w:before="40" w:after="40" w:line="276" w:lineRule="auto"/>
              <w:ind w:left="360"/>
              <w:contextualSpacing/>
              <w:rPr>
                <w:rFonts w:asciiTheme="minorHAnsi" w:hAnsiTheme="minorHAnsi" w:cstheme="minorHAnsi"/>
                <w:sz w:val="18"/>
                <w:szCs w:val="18"/>
                <w:lang w:val="hr-HR"/>
              </w:rPr>
            </w:pPr>
          </w:p>
        </w:tc>
      </w:tr>
      <w:tr w:rsidR="00A8050D" w:rsidRPr="007C4D65" w14:paraId="646C347D" w14:textId="77777777" w:rsidTr="00B6017F">
        <w:trPr>
          <w:trHeight w:val="2041"/>
        </w:trPr>
        <w:tc>
          <w:tcPr>
            <w:tcW w:w="1393" w:type="pct"/>
            <w:vMerge/>
            <w:tcBorders>
              <w:left w:val="single" w:sz="4" w:space="0" w:color="A6A6A6"/>
              <w:right w:val="single" w:sz="4" w:space="0" w:color="A6A6A6"/>
            </w:tcBorders>
            <w:shd w:val="clear" w:color="auto" w:fill="009D73"/>
            <w:vAlign w:val="center"/>
          </w:tcPr>
          <w:p w14:paraId="11EF76DA" w14:textId="77777777" w:rsidR="00A8050D" w:rsidRPr="007C4D65" w:rsidRDefault="00A8050D" w:rsidP="00B6017F">
            <w:pPr>
              <w:spacing w:line="276" w:lineRule="auto"/>
              <w:rPr>
                <w:rFonts w:asciiTheme="minorHAnsi" w:hAnsiTheme="minorHAnsi" w:cstheme="minorHAnsi"/>
                <w:b/>
                <w:sz w:val="18"/>
                <w:szCs w:val="18"/>
              </w:rPr>
            </w:pPr>
            <w:bookmarkStart w:id="231" w:name="_Hlk95260098"/>
          </w:p>
        </w:tc>
        <w:tc>
          <w:tcPr>
            <w:tcW w:w="1160" w:type="pct"/>
            <w:tcBorders>
              <w:top w:val="single" w:sz="4" w:space="0" w:color="A6A6A6"/>
              <w:left w:val="single" w:sz="4" w:space="0" w:color="A6A6A6"/>
              <w:bottom w:val="single" w:sz="4" w:space="0" w:color="A6A6A6"/>
              <w:right w:val="single" w:sz="4" w:space="0" w:color="A6A6A6"/>
            </w:tcBorders>
            <w:vAlign w:val="center"/>
          </w:tcPr>
          <w:p w14:paraId="2AAF4AC2" w14:textId="77777777" w:rsidR="00A8050D" w:rsidRPr="007C4D65" w:rsidRDefault="00A8050D"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b1) Level of adjusting the processing of the water acts to the needs of water inspectors     </w:t>
            </w:r>
          </w:p>
        </w:tc>
        <w:tc>
          <w:tcPr>
            <w:tcW w:w="1277" w:type="pct"/>
            <w:tcBorders>
              <w:top w:val="single" w:sz="4" w:space="0" w:color="A6A6A6"/>
              <w:left w:val="single" w:sz="4" w:space="0" w:color="A6A6A6"/>
              <w:bottom w:val="single" w:sz="4" w:space="0" w:color="A6A6A6"/>
              <w:right w:val="single" w:sz="4" w:space="0" w:color="A6A6A6"/>
            </w:tcBorders>
            <w:vAlign w:val="center"/>
          </w:tcPr>
          <w:p w14:paraId="21D3CBD8" w14:textId="77777777" w:rsidR="00A8050D" w:rsidRPr="007C4D65" w:rsidRDefault="00A8050D"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Water acts do not contain information on the status of water body into which the commercial entities release </w:t>
            </w:r>
            <w:proofErr w:type="gramStart"/>
            <w:r w:rsidRPr="007C4D65">
              <w:rPr>
                <w:rFonts w:asciiTheme="minorHAnsi" w:hAnsiTheme="minorHAnsi" w:cstheme="minorHAnsi"/>
                <w:sz w:val="18"/>
                <w:szCs w:val="18"/>
              </w:rPr>
              <w:t>waste water</w:t>
            </w:r>
            <w:proofErr w:type="gramEnd"/>
            <w:r w:rsidRPr="007C4D65">
              <w:rPr>
                <w:rFonts w:asciiTheme="minorHAnsi" w:hAnsiTheme="minorHAnsi" w:cstheme="minorHAnsi"/>
                <w:sz w:val="18"/>
                <w:szCs w:val="18"/>
              </w:rPr>
              <w:t xml:space="preserve">, nor on the objectives regarding the status of this water body according to the Management Plan  </w:t>
            </w:r>
          </w:p>
        </w:tc>
        <w:tc>
          <w:tcPr>
            <w:tcW w:w="1170" w:type="pct"/>
            <w:tcBorders>
              <w:top w:val="single" w:sz="4" w:space="0" w:color="A6A6A6"/>
              <w:left w:val="single" w:sz="4" w:space="0" w:color="A6A6A6"/>
              <w:bottom w:val="single" w:sz="4" w:space="0" w:color="A6A6A6"/>
              <w:right w:val="single" w:sz="4" w:space="0" w:color="A6A6A6"/>
            </w:tcBorders>
            <w:vAlign w:val="center"/>
          </w:tcPr>
          <w:p w14:paraId="553FEF5D" w14:textId="77777777" w:rsidR="00A8050D" w:rsidRPr="007C4D65" w:rsidRDefault="00A8050D" w:rsidP="00B6017F">
            <w:pPr>
              <w:spacing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Water acts include information on current status of water bodies into which the </w:t>
            </w:r>
            <w:proofErr w:type="gramStart"/>
            <w:r w:rsidRPr="007C4D65">
              <w:rPr>
                <w:rFonts w:asciiTheme="minorHAnsi" w:hAnsiTheme="minorHAnsi" w:cstheme="minorHAnsi"/>
                <w:sz w:val="18"/>
                <w:szCs w:val="18"/>
              </w:rPr>
              <w:t>waste water</w:t>
            </w:r>
            <w:proofErr w:type="gramEnd"/>
            <w:r w:rsidRPr="007C4D65">
              <w:rPr>
                <w:rFonts w:asciiTheme="minorHAnsi" w:hAnsiTheme="minorHAnsi" w:cstheme="minorHAnsi"/>
                <w:sz w:val="18"/>
                <w:szCs w:val="18"/>
              </w:rPr>
              <w:t xml:space="preserve"> is discharged, as well as of the identified objectives regarding status of the water body </w:t>
            </w:r>
          </w:p>
          <w:p w14:paraId="10CEB115" w14:textId="77777777" w:rsidR="00A8050D" w:rsidRPr="007C4D65" w:rsidRDefault="00A8050D" w:rsidP="00B6017F">
            <w:pPr>
              <w:spacing w:line="276" w:lineRule="auto"/>
              <w:rPr>
                <w:rFonts w:asciiTheme="minorHAnsi" w:eastAsia="Calibri" w:hAnsiTheme="minorHAnsi" w:cstheme="minorHAnsi"/>
                <w:sz w:val="18"/>
                <w:szCs w:val="18"/>
              </w:rPr>
            </w:pPr>
            <w:r w:rsidRPr="007C4D65">
              <w:rPr>
                <w:rFonts w:asciiTheme="minorHAnsi" w:hAnsiTheme="minorHAnsi" w:cstheme="minorHAnsi"/>
                <w:sz w:val="18"/>
                <w:szCs w:val="18"/>
              </w:rPr>
              <w:t>(2023-2034)</w:t>
            </w:r>
          </w:p>
        </w:tc>
      </w:tr>
      <w:bookmarkEnd w:id="231"/>
      <w:tr w:rsidR="00A8050D" w:rsidRPr="007C4D65" w14:paraId="78F2AE7B" w14:textId="77777777" w:rsidTr="00B6017F">
        <w:tc>
          <w:tcPr>
            <w:tcW w:w="1393" w:type="pct"/>
            <w:vMerge/>
            <w:tcBorders>
              <w:left w:val="single" w:sz="4" w:space="0" w:color="A6A6A6"/>
              <w:right w:val="single" w:sz="4" w:space="0" w:color="A6A6A6"/>
            </w:tcBorders>
            <w:vAlign w:val="center"/>
          </w:tcPr>
          <w:p w14:paraId="262692A7" w14:textId="77777777" w:rsidR="00A8050D" w:rsidRPr="007C4D65" w:rsidRDefault="00A8050D" w:rsidP="00B6017F">
            <w:pPr>
              <w:spacing w:before="40" w:after="40" w:line="276" w:lineRule="auto"/>
              <w:rPr>
                <w:rFonts w:asciiTheme="minorHAnsi" w:hAnsiTheme="minorHAnsi" w:cstheme="minorHAnsi"/>
                <w:b/>
                <w:sz w:val="18"/>
                <w:szCs w:val="18"/>
                <w:lang w:val="hr-HR"/>
              </w:rPr>
            </w:pPr>
          </w:p>
        </w:tc>
        <w:tc>
          <w:tcPr>
            <w:tcW w:w="1160" w:type="pct"/>
            <w:tcBorders>
              <w:top w:val="single" w:sz="4" w:space="0" w:color="A6A6A6"/>
              <w:left w:val="single" w:sz="4" w:space="0" w:color="A6A6A6"/>
              <w:bottom w:val="single" w:sz="4" w:space="0" w:color="A6A6A6"/>
              <w:right w:val="single" w:sz="4" w:space="0" w:color="A6A6A6"/>
            </w:tcBorders>
            <w:vAlign w:val="center"/>
          </w:tcPr>
          <w:p w14:paraId="30D4D21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b2) Level of readiness of the information from water management plans for the needs of inspections, with special </w:t>
            </w:r>
            <w:r w:rsidRPr="007C4D65">
              <w:rPr>
                <w:rFonts w:asciiTheme="minorHAnsi" w:hAnsiTheme="minorHAnsi" w:cstheme="minorHAnsi"/>
                <w:sz w:val="18"/>
                <w:szCs w:val="18"/>
              </w:rPr>
              <w:lastRenderedPageBreak/>
              <w:t xml:space="preserve">emphasis on water bodies that do not have at least "good" status. </w:t>
            </w:r>
          </w:p>
        </w:tc>
        <w:tc>
          <w:tcPr>
            <w:tcW w:w="1277" w:type="pct"/>
            <w:tcBorders>
              <w:top w:val="single" w:sz="4" w:space="0" w:color="A6A6A6"/>
              <w:left w:val="single" w:sz="4" w:space="0" w:color="A6A6A6"/>
              <w:bottom w:val="single" w:sz="4" w:space="0" w:color="A6A6A6"/>
              <w:right w:val="single" w:sz="4" w:space="0" w:color="A6A6A6"/>
            </w:tcBorders>
            <w:vAlign w:val="center"/>
          </w:tcPr>
          <w:p w14:paraId="6F8C390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 xml:space="preserve">The management plans 2022-2027 have not yet been adopted, so preparation of </w:t>
            </w:r>
            <w:r w:rsidRPr="007C4D65">
              <w:rPr>
                <w:rFonts w:asciiTheme="minorHAnsi" w:hAnsiTheme="minorHAnsi" w:cstheme="minorHAnsi"/>
                <w:sz w:val="18"/>
                <w:szCs w:val="18"/>
              </w:rPr>
              <w:lastRenderedPageBreak/>
              <w:t xml:space="preserve">information from the Plans has not yet started. </w:t>
            </w:r>
            <w:r w:rsidRPr="007C4D65">
              <w:rPr>
                <w:rFonts w:asciiTheme="minorHAnsi" w:hAnsiTheme="minorHAnsi" w:cstheme="minorHAnsi"/>
                <w:color w:val="FF0000"/>
                <w:sz w:val="18"/>
                <w:szCs w:val="18"/>
              </w:rPr>
              <w:t xml:space="preserve">  </w:t>
            </w:r>
          </w:p>
        </w:tc>
        <w:tc>
          <w:tcPr>
            <w:tcW w:w="1170" w:type="pct"/>
            <w:tcBorders>
              <w:top w:val="single" w:sz="4" w:space="0" w:color="A6A6A6"/>
              <w:left w:val="single" w:sz="4" w:space="0" w:color="A6A6A6"/>
              <w:bottom w:val="single" w:sz="4" w:space="0" w:color="A6A6A6"/>
              <w:right w:val="single" w:sz="4" w:space="0" w:color="A6A6A6"/>
            </w:tcBorders>
            <w:vAlign w:val="center"/>
          </w:tcPr>
          <w:p w14:paraId="7175CE9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 xml:space="preserve">Prepared and provided information from river management plans for the needs of inspections, with special emphasis on </w:t>
            </w:r>
            <w:r w:rsidRPr="007C4D65">
              <w:rPr>
                <w:rFonts w:asciiTheme="minorHAnsi" w:hAnsiTheme="minorHAnsi" w:cstheme="minorHAnsi"/>
                <w:sz w:val="18"/>
                <w:szCs w:val="18"/>
              </w:rPr>
              <w:lastRenderedPageBreak/>
              <w:t xml:space="preserve">water bodies that do not have at least "good" status. </w:t>
            </w:r>
          </w:p>
          <w:p w14:paraId="4F833E1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 (2023-2034)</w:t>
            </w:r>
          </w:p>
        </w:tc>
      </w:tr>
      <w:tr w:rsidR="00A8050D" w:rsidRPr="007C4D65" w14:paraId="11C3A3F9" w14:textId="77777777" w:rsidTr="00B6017F">
        <w:tc>
          <w:tcPr>
            <w:tcW w:w="1393" w:type="pct"/>
            <w:vMerge/>
            <w:tcBorders>
              <w:left w:val="single" w:sz="4" w:space="0" w:color="A6A6A6"/>
              <w:right w:val="single" w:sz="4" w:space="0" w:color="A6A6A6"/>
            </w:tcBorders>
            <w:vAlign w:val="center"/>
          </w:tcPr>
          <w:p w14:paraId="111C9D9F" w14:textId="77777777" w:rsidR="00A8050D" w:rsidRPr="007C4D65" w:rsidRDefault="00A8050D" w:rsidP="00B6017F">
            <w:pPr>
              <w:spacing w:before="40" w:after="40" w:line="276" w:lineRule="auto"/>
              <w:rPr>
                <w:rFonts w:asciiTheme="minorHAnsi" w:hAnsiTheme="minorHAnsi" w:cstheme="minorHAnsi"/>
                <w:b/>
                <w:sz w:val="18"/>
                <w:szCs w:val="18"/>
                <w:lang w:val="hr-HR"/>
              </w:rPr>
            </w:pPr>
          </w:p>
        </w:tc>
        <w:tc>
          <w:tcPr>
            <w:tcW w:w="1160" w:type="pct"/>
            <w:tcBorders>
              <w:top w:val="single" w:sz="4" w:space="0" w:color="A6A6A6"/>
              <w:left w:val="single" w:sz="4" w:space="0" w:color="A6A6A6"/>
              <w:bottom w:val="single" w:sz="4" w:space="0" w:color="A6A6A6"/>
              <w:right w:val="single" w:sz="4" w:space="0" w:color="A6A6A6"/>
            </w:tcBorders>
            <w:vAlign w:val="center"/>
          </w:tcPr>
          <w:p w14:paraId="11D796D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b3) Status regarding information of inspections on complaints received </w:t>
            </w:r>
          </w:p>
        </w:tc>
        <w:tc>
          <w:tcPr>
            <w:tcW w:w="1277" w:type="pct"/>
            <w:tcBorders>
              <w:top w:val="single" w:sz="4" w:space="0" w:color="A6A6A6"/>
              <w:left w:val="single" w:sz="4" w:space="0" w:color="A6A6A6"/>
              <w:bottom w:val="single" w:sz="4" w:space="0" w:color="A6A6A6"/>
              <w:right w:val="single" w:sz="4" w:space="0" w:color="A6A6A6"/>
            </w:tcBorders>
            <w:vAlign w:val="center"/>
          </w:tcPr>
          <w:p w14:paraId="16C23A74"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Inspections are informed on the complaints received   </w:t>
            </w:r>
          </w:p>
        </w:tc>
        <w:tc>
          <w:tcPr>
            <w:tcW w:w="1170" w:type="pct"/>
            <w:tcBorders>
              <w:top w:val="single" w:sz="4" w:space="0" w:color="A6A6A6"/>
              <w:left w:val="single" w:sz="4" w:space="0" w:color="A6A6A6"/>
              <w:bottom w:val="single" w:sz="4" w:space="0" w:color="A6A6A6"/>
              <w:right w:val="single" w:sz="4" w:space="0" w:color="A6A6A6"/>
            </w:tcBorders>
            <w:vAlign w:val="center"/>
          </w:tcPr>
          <w:p w14:paraId="34493C2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Timely provision of information and data to the inspections regarding received complaints and requests of the responsible bodies in water sector</w:t>
            </w:r>
          </w:p>
          <w:p w14:paraId="789546A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(2023-2034)</w:t>
            </w:r>
          </w:p>
        </w:tc>
      </w:tr>
      <w:tr w:rsidR="00A8050D" w:rsidRPr="007C4D65" w14:paraId="4D3C3661" w14:textId="77777777" w:rsidTr="00B6017F">
        <w:tc>
          <w:tcPr>
            <w:tcW w:w="1393" w:type="pct"/>
            <w:vMerge/>
            <w:tcBorders>
              <w:left w:val="single" w:sz="4" w:space="0" w:color="A6A6A6"/>
              <w:bottom w:val="single" w:sz="4" w:space="0" w:color="A6A6A6"/>
              <w:right w:val="single" w:sz="4" w:space="0" w:color="A6A6A6"/>
            </w:tcBorders>
            <w:vAlign w:val="center"/>
          </w:tcPr>
          <w:p w14:paraId="19764952" w14:textId="77777777" w:rsidR="00A8050D" w:rsidRPr="007C4D65" w:rsidRDefault="00A8050D" w:rsidP="00B6017F">
            <w:pPr>
              <w:spacing w:before="40" w:after="40" w:line="276" w:lineRule="auto"/>
              <w:rPr>
                <w:rFonts w:asciiTheme="minorHAnsi" w:hAnsiTheme="minorHAnsi" w:cstheme="minorHAnsi"/>
                <w:b/>
                <w:sz w:val="18"/>
                <w:szCs w:val="18"/>
                <w:lang w:val="hr-HR"/>
              </w:rPr>
            </w:pPr>
          </w:p>
        </w:tc>
        <w:tc>
          <w:tcPr>
            <w:tcW w:w="1160" w:type="pct"/>
            <w:tcBorders>
              <w:top w:val="single" w:sz="4" w:space="0" w:color="A6A6A6"/>
              <w:left w:val="single" w:sz="4" w:space="0" w:color="A6A6A6"/>
              <w:bottom w:val="single" w:sz="4" w:space="0" w:color="A6A6A6"/>
              <w:right w:val="single" w:sz="4" w:space="0" w:color="A6A6A6"/>
            </w:tcBorders>
            <w:vAlign w:val="center"/>
          </w:tcPr>
          <w:p w14:paraId="69E79BA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Status of developing annual programmes of inspection oversight </w:t>
            </w:r>
          </w:p>
        </w:tc>
        <w:tc>
          <w:tcPr>
            <w:tcW w:w="1277" w:type="pct"/>
            <w:tcBorders>
              <w:top w:val="single" w:sz="4" w:space="0" w:color="A6A6A6"/>
              <w:left w:val="single" w:sz="4" w:space="0" w:color="A6A6A6"/>
              <w:bottom w:val="single" w:sz="4" w:space="0" w:color="A6A6A6"/>
              <w:right w:val="single" w:sz="4" w:space="0" w:color="A6A6A6"/>
            </w:tcBorders>
            <w:vAlign w:val="center"/>
          </w:tcPr>
          <w:p w14:paraId="754BB08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Annual programmes of inspection oversight are prepared </w:t>
            </w:r>
          </w:p>
        </w:tc>
        <w:tc>
          <w:tcPr>
            <w:tcW w:w="1170" w:type="pct"/>
            <w:tcBorders>
              <w:top w:val="single" w:sz="4" w:space="0" w:color="A6A6A6"/>
              <w:left w:val="single" w:sz="4" w:space="0" w:color="A6A6A6"/>
              <w:bottom w:val="single" w:sz="4" w:space="0" w:color="A6A6A6"/>
              <w:right w:val="single" w:sz="4" w:space="0" w:color="A6A6A6"/>
            </w:tcBorders>
            <w:vAlign w:val="center"/>
          </w:tcPr>
          <w:p w14:paraId="73C0413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Annual programmes of inspection oversight developed </w:t>
            </w:r>
            <w:proofErr w:type="gramStart"/>
            <w:r w:rsidRPr="007C4D65">
              <w:rPr>
                <w:rFonts w:asciiTheme="minorHAnsi" w:hAnsiTheme="minorHAnsi" w:cstheme="minorHAnsi"/>
                <w:sz w:val="18"/>
                <w:szCs w:val="18"/>
              </w:rPr>
              <w:t>on the basis of</w:t>
            </w:r>
            <w:proofErr w:type="gramEnd"/>
            <w:r w:rsidRPr="007C4D65">
              <w:rPr>
                <w:rFonts w:asciiTheme="minorHAnsi" w:hAnsiTheme="minorHAnsi" w:cstheme="minorHAnsi"/>
                <w:sz w:val="18"/>
                <w:szCs w:val="18"/>
              </w:rPr>
              <w:t xml:space="preserve"> information from management plans, information on complaints received, etc.</w:t>
            </w:r>
          </w:p>
          <w:p w14:paraId="31921BA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(2023-2034)</w:t>
            </w:r>
          </w:p>
        </w:tc>
      </w:tr>
      <w:tr w:rsidR="00A8050D" w:rsidRPr="007C4D65" w14:paraId="6A2F261E" w14:textId="77777777" w:rsidTr="00B6017F">
        <w:trPr>
          <w:trHeight w:val="567"/>
        </w:trPr>
        <w:tc>
          <w:tcPr>
            <w:tcW w:w="139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9FEF71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607" w:type="pct"/>
            <w:gridSpan w:val="3"/>
            <w:tcBorders>
              <w:top w:val="single" w:sz="4" w:space="0" w:color="A6A6A6"/>
              <w:left w:val="single" w:sz="4" w:space="0" w:color="A6A6A6"/>
              <w:bottom w:val="single" w:sz="4" w:space="0" w:color="A6A6A6"/>
              <w:right w:val="single" w:sz="4" w:space="0" w:color="A6A6A6"/>
            </w:tcBorders>
            <w:vAlign w:val="center"/>
          </w:tcPr>
          <w:p w14:paraId="655ADF2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Improvement of strategic water management, increasing transparency and accountability of the government bodies </w:t>
            </w:r>
          </w:p>
        </w:tc>
      </w:tr>
      <w:tr w:rsidR="00A8050D" w:rsidRPr="007C4D65" w14:paraId="74368EA7" w14:textId="77777777" w:rsidTr="00B6017F">
        <w:trPr>
          <w:trHeight w:val="567"/>
        </w:trPr>
        <w:tc>
          <w:tcPr>
            <w:tcW w:w="139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DD6360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specification of sources</w:t>
            </w:r>
          </w:p>
        </w:tc>
        <w:tc>
          <w:tcPr>
            <w:tcW w:w="360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E357F4" w14:textId="77777777"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Amount: BAM 2,797,022 </w:t>
            </w:r>
          </w:p>
          <w:p w14:paraId="65B1E1F6"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 xml:space="preserve">Source: 10% from the government budget, 90% </w:t>
            </w:r>
            <w:r w:rsidRPr="007C4D65">
              <w:rPr>
                <w:rFonts w:asciiTheme="minorHAnsi" w:eastAsia="Calibri" w:hAnsiTheme="minorHAnsi" w:cstheme="minorHAnsi"/>
                <w:sz w:val="18"/>
                <w:szCs w:val="18"/>
              </w:rPr>
              <w:t>combined ‒ loans, funds from EU and other international donors, and other donations</w:t>
            </w:r>
          </w:p>
        </w:tc>
      </w:tr>
      <w:tr w:rsidR="00A8050D" w:rsidRPr="007C4D65" w14:paraId="75F36028" w14:textId="77777777" w:rsidTr="00B6017F">
        <w:trPr>
          <w:trHeight w:val="567"/>
        </w:trPr>
        <w:tc>
          <w:tcPr>
            <w:tcW w:w="139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C0B994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607" w:type="pct"/>
            <w:gridSpan w:val="3"/>
            <w:tcBorders>
              <w:top w:val="single" w:sz="4" w:space="0" w:color="A6A6A6"/>
              <w:left w:val="single" w:sz="4" w:space="0" w:color="A6A6A6"/>
              <w:bottom w:val="single" w:sz="4" w:space="0" w:color="A6A6A6"/>
              <w:right w:val="single" w:sz="4" w:space="0" w:color="A6A6A6"/>
            </w:tcBorders>
            <w:vAlign w:val="center"/>
          </w:tcPr>
          <w:p w14:paraId="1403EEF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2023-2034</w:t>
            </w:r>
          </w:p>
        </w:tc>
      </w:tr>
      <w:tr w:rsidR="00A8050D" w:rsidRPr="007C4D65" w14:paraId="29F013DC" w14:textId="77777777" w:rsidTr="00B6017F">
        <w:trPr>
          <w:trHeight w:val="567"/>
        </w:trPr>
        <w:tc>
          <w:tcPr>
            <w:tcW w:w="139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4BCC3F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607" w:type="pct"/>
            <w:gridSpan w:val="3"/>
            <w:tcBorders>
              <w:top w:val="single" w:sz="4" w:space="0" w:color="A6A6A6"/>
              <w:left w:val="single" w:sz="4" w:space="0" w:color="A6A6A6"/>
              <w:bottom w:val="single" w:sz="4" w:space="0" w:color="A6A6A6"/>
              <w:right w:val="single" w:sz="4" w:space="0" w:color="A6A6A6"/>
            </w:tcBorders>
            <w:vAlign w:val="center"/>
          </w:tcPr>
          <w:p w14:paraId="73F570AA" w14:textId="20826EDF" w:rsidR="00A8050D" w:rsidRPr="007C4D65" w:rsidRDefault="00A8050D" w:rsidP="00C90B32">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w:t>
            </w:r>
            <w:r w:rsidR="00C90B32" w:rsidRPr="007C4D65">
              <w:rPr>
                <w:rFonts w:asciiTheme="minorHAnsi" w:hAnsiTheme="minorHAnsi" w:cstheme="minorHAnsi"/>
                <w:sz w:val="18"/>
                <w:szCs w:val="18"/>
              </w:rPr>
              <w:t xml:space="preserve">, </w:t>
            </w:r>
            <w:proofErr w:type="gramStart"/>
            <w:r w:rsidRPr="007C4D65">
              <w:rPr>
                <w:rFonts w:asciiTheme="minorHAnsi" w:hAnsiTheme="minorHAnsi" w:cstheme="minorHAnsi"/>
                <w:sz w:val="18"/>
                <w:szCs w:val="18"/>
              </w:rPr>
              <w:t xml:space="preserve">SRBA </w:t>
            </w:r>
            <w:r w:rsidR="00C90B32" w:rsidRPr="007C4D65">
              <w:rPr>
                <w:rFonts w:asciiTheme="minorHAnsi" w:hAnsiTheme="minorHAnsi" w:cstheme="minorHAnsi"/>
                <w:sz w:val="18"/>
                <w:szCs w:val="18"/>
              </w:rPr>
              <w:t>,</w:t>
            </w:r>
            <w:proofErr w:type="gramEnd"/>
            <w:r w:rsidR="00C90B32" w:rsidRPr="007C4D65">
              <w:rPr>
                <w:rFonts w:asciiTheme="minorHAnsi" w:hAnsiTheme="minorHAnsi" w:cstheme="minorHAnsi"/>
                <w:sz w:val="18"/>
                <w:szCs w:val="18"/>
              </w:rPr>
              <w:t xml:space="preserve"> </w:t>
            </w:r>
            <w:r w:rsidRPr="007C4D65">
              <w:rPr>
                <w:rFonts w:asciiTheme="minorHAnsi" w:hAnsiTheme="minorHAnsi" w:cstheme="minorHAnsi"/>
                <w:sz w:val="18"/>
                <w:szCs w:val="18"/>
              </w:rPr>
              <w:t>ASWA</w:t>
            </w:r>
          </w:p>
        </w:tc>
      </w:tr>
      <w:tr w:rsidR="00A8050D" w:rsidRPr="007C4D65" w14:paraId="1977D1BE" w14:textId="77777777" w:rsidTr="00B6017F">
        <w:trPr>
          <w:trHeight w:val="567"/>
        </w:trPr>
        <w:tc>
          <w:tcPr>
            <w:tcW w:w="139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A369A30"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institutions for the measure</w:t>
            </w:r>
          </w:p>
        </w:tc>
        <w:tc>
          <w:tcPr>
            <w:tcW w:w="3607" w:type="pct"/>
            <w:gridSpan w:val="3"/>
            <w:tcBorders>
              <w:top w:val="single" w:sz="4" w:space="0" w:color="A6A6A6"/>
              <w:left w:val="single" w:sz="4" w:space="0" w:color="A6A6A6"/>
              <w:bottom w:val="single" w:sz="4" w:space="0" w:color="A6A6A6"/>
              <w:right w:val="single" w:sz="4" w:space="0" w:color="A6A6A6"/>
            </w:tcBorders>
            <w:vAlign w:val="center"/>
          </w:tcPr>
          <w:p w14:paraId="1BC6174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(C)(PUC) (Cantonal) (Public Utility Company), LGU, </w:t>
            </w:r>
            <w:proofErr w:type="spellStart"/>
            <w:r w:rsidRPr="007C4D65">
              <w:rPr>
                <w:rFonts w:asciiTheme="minorHAnsi" w:hAnsiTheme="minorHAnsi" w:cstheme="minorHAnsi"/>
                <w:sz w:val="18"/>
                <w:szCs w:val="18"/>
              </w:rPr>
              <w:t>GFBiH</w:t>
            </w:r>
            <w:proofErr w:type="spellEnd"/>
            <w:r w:rsidRPr="007C4D65">
              <w:rPr>
                <w:rFonts w:asciiTheme="minorHAnsi" w:hAnsiTheme="minorHAnsi" w:cstheme="minorHAnsi"/>
                <w:sz w:val="18"/>
                <w:szCs w:val="18"/>
              </w:rPr>
              <w:t xml:space="preserve"> and </w:t>
            </w:r>
            <w:proofErr w:type="spellStart"/>
            <w:r w:rsidRPr="007C4D65">
              <w:rPr>
                <w:rFonts w:asciiTheme="minorHAnsi" w:hAnsiTheme="minorHAnsi" w:cstheme="minorHAnsi"/>
                <w:sz w:val="18"/>
                <w:szCs w:val="18"/>
              </w:rPr>
              <w:t>PFBiH</w:t>
            </w:r>
            <w:proofErr w:type="spellEnd"/>
            <w:r w:rsidRPr="007C4D65">
              <w:rPr>
                <w:rFonts w:asciiTheme="minorHAnsi" w:hAnsiTheme="minorHAnsi" w:cstheme="minorHAnsi"/>
                <w:sz w:val="18"/>
                <w:szCs w:val="18"/>
              </w:rPr>
              <w:t>, FMAWMF; SRBA; ASWA; Federation Water Inspectorate (FWI); cantonal water inspectorates (CWI); CMW (Cantonal ministries competent for water); FMET; FMSP; FMEMI; CM_E, SP, EN, A) (Cantonal ministries with competences for environment, spatial planning, energy, agriculture, etc.)</w:t>
            </w:r>
          </w:p>
        </w:tc>
      </w:tr>
      <w:tr w:rsidR="00A8050D" w:rsidRPr="007C4D65" w14:paraId="6CDC341B" w14:textId="77777777" w:rsidTr="00B6017F">
        <w:trPr>
          <w:trHeight w:val="567"/>
        </w:trPr>
        <w:tc>
          <w:tcPr>
            <w:tcW w:w="139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4B61C6C" w14:textId="555F92A0"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607" w:type="pct"/>
            <w:gridSpan w:val="3"/>
            <w:tcBorders>
              <w:top w:val="single" w:sz="4" w:space="0" w:color="A6A6A6"/>
              <w:left w:val="single" w:sz="4" w:space="0" w:color="A6A6A6"/>
              <w:bottom w:val="single" w:sz="4" w:space="0" w:color="A6A6A6"/>
              <w:right w:val="single" w:sz="4" w:space="0" w:color="A6A6A6"/>
            </w:tcBorders>
            <w:vAlign w:val="center"/>
          </w:tcPr>
          <w:p w14:paraId="796D302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All institutions and people in the Federation of BiH</w:t>
            </w:r>
          </w:p>
        </w:tc>
      </w:tr>
    </w:tbl>
    <w:p w14:paraId="56C7F302" w14:textId="77777777" w:rsidR="00A8050D" w:rsidRPr="007C4D65" w:rsidRDefault="00A8050D" w:rsidP="00A8050D">
      <w:pPr>
        <w:spacing w:line="276" w:lineRule="auto"/>
        <w:rPr>
          <w:rFonts w:asciiTheme="minorHAnsi" w:hAnsiTheme="minorHAnsi" w:cstheme="minorHAnsi"/>
          <w:sz w:val="18"/>
          <w:szCs w:val="18"/>
          <w:lang w:val="hr-HR"/>
        </w:rPr>
      </w:pPr>
    </w:p>
    <w:tbl>
      <w:tblPr>
        <w:tblStyle w:val="TABLICAHAOP7"/>
        <w:tblW w:w="5000" w:type="pct"/>
        <w:tblLook w:val="04A0" w:firstRow="1" w:lastRow="0" w:firstColumn="1" w:lastColumn="0" w:noHBand="0" w:noVBand="1"/>
      </w:tblPr>
      <w:tblGrid>
        <w:gridCol w:w="3871"/>
        <w:gridCol w:w="2617"/>
        <w:gridCol w:w="2857"/>
        <w:gridCol w:w="4603"/>
      </w:tblGrid>
      <w:tr w:rsidR="00A8050D" w:rsidRPr="007C4D65" w14:paraId="244335A9" w14:textId="77777777" w:rsidTr="00B6017F">
        <w:trPr>
          <w:trHeight w:val="567"/>
        </w:trPr>
        <w:tc>
          <w:tcPr>
            <w:tcW w:w="138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FC26FAA" w14:textId="1DB1BA8C"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br w:type="page"/>
            </w:r>
            <w:r w:rsidR="00963086" w:rsidRPr="007C4D65">
              <w:rPr>
                <w:rFonts w:asciiTheme="minorHAnsi" w:hAnsiTheme="minorHAnsi" w:cstheme="minorHAnsi"/>
                <w:b/>
                <w:color w:val="FFFFFF" w:themeColor="background1"/>
                <w:sz w:val="18"/>
                <w:szCs w:val="18"/>
              </w:rPr>
              <w:t>Link with the strategic goal</w:t>
            </w:r>
          </w:p>
        </w:tc>
        <w:tc>
          <w:tcPr>
            <w:tcW w:w="3612" w:type="pct"/>
            <w:gridSpan w:val="3"/>
            <w:tcBorders>
              <w:top w:val="single" w:sz="4" w:space="0" w:color="A6A6A6"/>
              <w:left w:val="single" w:sz="4" w:space="0" w:color="A6A6A6"/>
              <w:bottom w:val="single" w:sz="4" w:space="0" w:color="A6A6A6"/>
              <w:right w:val="single" w:sz="4" w:space="0" w:color="A6A6A6"/>
            </w:tcBorders>
            <w:vAlign w:val="center"/>
          </w:tcPr>
          <w:p w14:paraId="7142A1B9"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1FD59B84" w14:textId="77777777" w:rsidTr="00B6017F">
        <w:trPr>
          <w:trHeight w:val="567"/>
        </w:trPr>
        <w:tc>
          <w:tcPr>
            <w:tcW w:w="138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16E6D2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612" w:type="pct"/>
            <w:gridSpan w:val="3"/>
            <w:tcBorders>
              <w:top w:val="single" w:sz="4" w:space="0" w:color="A6A6A6"/>
              <w:left w:val="single" w:sz="4" w:space="0" w:color="A6A6A6"/>
              <w:bottom w:val="single" w:sz="4" w:space="0" w:color="A6A6A6"/>
              <w:right w:val="single" w:sz="4" w:space="0" w:color="A6A6A6"/>
            </w:tcBorders>
            <w:vAlign w:val="center"/>
          </w:tcPr>
          <w:p w14:paraId="445F8748"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1.2. Provide conditions for achieving sustainable use of water resources  </w:t>
            </w:r>
          </w:p>
        </w:tc>
      </w:tr>
      <w:tr w:rsidR="00A8050D" w:rsidRPr="007C4D65" w14:paraId="3CBC69DD" w14:textId="77777777" w:rsidTr="00B6017F">
        <w:trPr>
          <w:trHeight w:val="567"/>
        </w:trPr>
        <w:tc>
          <w:tcPr>
            <w:tcW w:w="138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0BBDFEE" w14:textId="3BDA080C"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Name of the measure</w:t>
            </w:r>
          </w:p>
        </w:tc>
        <w:tc>
          <w:tcPr>
            <w:tcW w:w="3612" w:type="pct"/>
            <w:gridSpan w:val="3"/>
            <w:tcBorders>
              <w:top w:val="single" w:sz="4" w:space="0" w:color="A6A6A6"/>
              <w:left w:val="single" w:sz="4" w:space="0" w:color="A6A6A6"/>
              <w:bottom w:val="single" w:sz="4" w:space="0" w:color="A6A6A6"/>
              <w:right w:val="single" w:sz="4" w:space="0" w:color="A6A6A6"/>
            </w:tcBorders>
            <w:vAlign w:val="center"/>
          </w:tcPr>
          <w:p w14:paraId="228AAA85"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1.2.1 Intensification of cooperation between water sector and other sectors for the purpose of ensuring protection and sustainable use of water resources</w:t>
            </w:r>
          </w:p>
        </w:tc>
      </w:tr>
      <w:tr w:rsidR="00A8050D" w:rsidRPr="007C4D65" w14:paraId="5A90188C" w14:textId="77777777" w:rsidTr="00B6017F">
        <w:trPr>
          <w:trHeight w:val="567"/>
        </w:trPr>
        <w:tc>
          <w:tcPr>
            <w:tcW w:w="138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33609F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612" w:type="pct"/>
            <w:gridSpan w:val="3"/>
            <w:tcBorders>
              <w:top w:val="single" w:sz="4" w:space="0" w:color="A6A6A6"/>
              <w:left w:val="single" w:sz="4" w:space="0" w:color="A6A6A6"/>
              <w:bottom w:val="single" w:sz="4" w:space="0" w:color="A6A6A6"/>
              <w:right w:val="single" w:sz="4" w:space="0" w:color="A6A6A6"/>
            </w:tcBorders>
            <w:vAlign w:val="center"/>
          </w:tcPr>
          <w:p w14:paraId="6B284767" w14:textId="2B3AB4A9"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This measure aims to contribute that the needs and objectives of water sector are integrated into planning documents of other sectors (spatial planning, energy sector, agriculture, forestry, water inspection etc..) by implementation of activities in the water sector that may reflect on restrictions in use of water and spatial interventions in the situations when adverse impact on water is proven, and intensifying </w:t>
            </w:r>
            <w:r w:rsidR="00007DA5" w:rsidRPr="007C4D65">
              <w:rPr>
                <w:rFonts w:asciiTheme="minorHAnsi" w:hAnsiTheme="minorHAnsi" w:cstheme="minorHAnsi"/>
                <w:sz w:val="18"/>
                <w:szCs w:val="18"/>
              </w:rPr>
              <w:t>cross-sectoral</w:t>
            </w:r>
            <w:r w:rsidRPr="007C4D65">
              <w:rPr>
                <w:rFonts w:asciiTheme="minorHAnsi" w:hAnsiTheme="minorHAnsi" w:cstheme="minorHAnsi"/>
                <w:sz w:val="18"/>
                <w:szCs w:val="18"/>
              </w:rPr>
              <w:t xml:space="preserve"> cooperation, including water inspections.</w:t>
            </w:r>
          </w:p>
          <w:p w14:paraId="034826FE" w14:textId="57EED38F"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General areas of intervention include three directions:</w:t>
            </w:r>
          </w:p>
          <w:p w14:paraId="020C9965" w14:textId="38E13AD7" w:rsidR="00A8050D" w:rsidRPr="007C4D65" w:rsidRDefault="00A8050D" w:rsidP="00B6017F">
            <w:pPr>
              <w:spacing w:before="40" w:after="40" w:line="276" w:lineRule="auto"/>
              <w:ind w:left="567" w:hanging="426"/>
              <w:rPr>
                <w:rFonts w:asciiTheme="minorHAnsi" w:hAnsiTheme="minorHAnsi" w:cstheme="minorHAnsi"/>
                <w:b/>
                <w:sz w:val="18"/>
                <w:szCs w:val="18"/>
              </w:rPr>
            </w:pPr>
            <w:r w:rsidRPr="007C4D65">
              <w:rPr>
                <w:rFonts w:asciiTheme="minorHAnsi" w:hAnsiTheme="minorHAnsi" w:cstheme="minorHAnsi"/>
                <w:b/>
                <w:sz w:val="18"/>
                <w:szCs w:val="18"/>
              </w:rPr>
              <w:t>a) Cooperation and coordination of activities between water sector and other sectors</w:t>
            </w:r>
          </w:p>
          <w:p w14:paraId="3865773C" w14:textId="56EF277E" w:rsidR="00A8050D" w:rsidRPr="007C4D65" w:rsidRDefault="00A8050D" w:rsidP="00B6017F">
            <w:pPr>
              <w:spacing w:before="40" w:after="40" w:line="276" w:lineRule="auto"/>
              <w:ind w:left="708" w:hanging="283"/>
              <w:rPr>
                <w:rFonts w:asciiTheme="minorHAnsi" w:hAnsiTheme="minorHAnsi" w:cstheme="minorHAnsi"/>
                <w:sz w:val="18"/>
                <w:szCs w:val="18"/>
              </w:rPr>
            </w:pPr>
            <w:r w:rsidRPr="007C4D65">
              <w:rPr>
                <w:rFonts w:asciiTheme="minorHAnsi" w:hAnsiTheme="minorHAnsi" w:cstheme="minorHAnsi"/>
                <w:sz w:val="18"/>
                <w:szCs w:val="18"/>
              </w:rPr>
              <w:t xml:space="preserve">a1) Demonstrate and publish for professional audience (spatial planning, energy, agriculture and forestry) and non-governmental sector, in appropriate format (Excel, GIS, etc.), a set of information on water bodies from the water basin management plans that, together with the detailed analyses from the management plans, must be used by all entities interested in planning interventions in space that may impact protection, development and use of </w:t>
            </w:r>
            <w:proofErr w:type="gramStart"/>
            <w:r w:rsidRPr="007C4D65">
              <w:rPr>
                <w:rFonts w:asciiTheme="minorHAnsi" w:hAnsiTheme="minorHAnsi" w:cstheme="minorHAnsi"/>
                <w:sz w:val="18"/>
                <w:szCs w:val="18"/>
              </w:rPr>
              <w:t>water</w:t>
            </w:r>
            <w:r w:rsidR="00C90B32" w:rsidRPr="007C4D65">
              <w:rPr>
                <w:rFonts w:asciiTheme="minorHAnsi" w:hAnsiTheme="minorHAnsi" w:cstheme="minorHAnsi"/>
                <w:sz w:val="18"/>
                <w:szCs w:val="18"/>
              </w:rPr>
              <w:t>;</w:t>
            </w:r>
            <w:proofErr w:type="gramEnd"/>
          </w:p>
          <w:p w14:paraId="279C0479" w14:textId="2FCAF4C7" w:rsidR="00A8050D" w:rsidRPr="007C4D65" w:rsidRDefault="00A8050D" w:rsidP="00B6017F">
            <w:pPr>
              <w:spacing w:before="40" w:after="40" w:line="276" w:lineRule="auto"/>
              <w:ind w:left="708" w:hanging="283"/>
              <w:rPr>
                <w:rFonts w:asciiTheme="minorHAnsi" w:hAnsiTheme="minorHAnsi" w:cstheme="minorHAnsi"/>
                <w:sz w:val="18"/>
                <w:szCs w:val="18"/>
              </w:rPr>
            </w:pPr>
            <w:r w:rsidRPr="007C4D65">
              <w:rPr>
                <w:rFonts w:asciiTheme="minorHAnsi" w:hAnsiTheme="minorHAnsi" w:cstheme="minorHAnsi"/>
                <w:sz w:val="18"/>
                <w:szCs w:val="18"/>
              </w:rPr>
              <w:t xml:space="preserve">a2) Ensure a functional coordination mechanism‒ coordination meetings held on regular basis, and reports and conclusions from such meetings are </w:t>
            </w:r>
            <w:proofErr w:type="gramStart"/>
            <w:r w:rsidRPr="007C4D65">
              <w:rPr>
                <w:rFonts w:asciiTheme="minorHAnsi" w:hAnsiTheme="minorHAnsi" w:cstheme="minorHAnsi"/>
                <w:sz w:val="18"/>
                <w:szCs w:val="18"/>
              </w:rPr>
              <w:t>published</w:t>
            </w:r>
            <w:r w:rsidR="00C90B32" w:rsidRPr="007C4D65">
              <w:rPr>
                <w:rFonts w:asciiTheme="minorHAnsi" w:hAnsiTheme="minorHAnsi" w:cstheme="minorHAnsi"/>
                <w:sz w:val="18"/>
                <w:szCs w:val="18"/>
              </w:rPr>
              <w:t>;</w:t>
            </w:r>
            <w:proofErr w:type="gramEnd"/>
          </w:p>
          <w:p w14:paraId="27645353" w14:textId="181D3CA7" w:rsidR="00A8050D" w:rsidRPr="007C4D65" w:rsidRDefault="00A8050D" w:rsidP="00B6017F">
            <w:pPr>
              <w:spacing w:before="40" w:after="40" w:line="276" w:lineRule="auto"/>
              <w:ind w:left="708" w:hanging="283"/>
              <w:rPr>
                <w:rFonts w:asciiTheme="minorHAnsi" w:hAnsiTheme="minorHAnsi" w:cstheme="minorHAnsi"/>
                <w:sz w:val="18"/>
                <w:szCs w:val="18"/>
              </w:rPr>
            </w:pPr>
            <w:r w:rsidRPr="007C4D65">
              <w:rPr>
                <w:rFonts w:asciiTheme="minorHAnsi" w:hAnsiTheme="minorHAnsi" w:cstheme="minorHAnsi"/>
                <w:sz w:val="18"/>
                <w:szCs w:val="18"/>
              </w:rPr>
              <w:t xml:space="preserve">a3) Appropriately integrate the data from water management plans into spatial planning documents, as well as other planning or programming </w:t>
            </w:r>
            <w:proofErr w:type="gramStart"/>
            <w:r w:rsidRPr="007C4D65">
              <w:rPr>
                <w:rFonts w:asciiTheme="minorHAnsi" w:hAnsiTheme="minorHAnsi" w:cstheme="minorHAnsi"/>
                <w:sz w:val="18"/>
                <w:szCs w:val="18"/>
              </w:rPr>
              <w:t>documents</w:t>
            </w:r>
            <w:r w:rsidR="00C90B32" w:rsidRPr="007C4D65">
              <w:rPr>
                <w:rFonts w:asciiTheme="minorHAnsi" w:hAnsiTheme="minorHAnsi" w:cstheme="minorHAnsi"/>
                <w:sz w:val="18"/>
                <w:szCs w:val="18"/>
              </w:rPr>
              <w:t>;</w:t>
            </w:r>
            <w:proofErr w:type="gramEnd"/>
          </w:p>
          <w:p w14:paraId="4EDD67ED" w14:textId="34AC9BA6" w:rsidR="00A8050D" w:rsidRPr="007C4D65" w:rsidRDefault="00A8050D" w:rsidP="00B6017F">
            <w:pPr>
              <w:spacing w:before="40" w:after="40" w:line="276" w:lineRule="auto"/>
              <w:ind w:left="708" w:hanging="283"/>
              <w:rPr>
                <w:rFonts w:asciiTheme="minorHAnsi" w:hAnsiTheme="minorHAnsi" w:cstheme="minorHAnsi"/>
                <w:sz w:val="18"/>
                <w:szCs w:val="18"/>
              </w:rPr>
            </w:pPr>
            <w:r w:rsidRPr="007C4D65">
              <w:rPr>
                <w:rFonts w:asciiTheme="minorHAnsi" w:hAnsiTheme="minorHAnsi" w:cstheme="minorHAnsi"/>
                <w:sz w:val="18"/>
                <w:szCs w:val="18"/>
              </w:rPr>
              <w:t xml:space="preserve">a4) Following Studies developed and published: </w:t>
            </w:r>
            <w:proofErr w:type="spellStart"/>
            <w:r w:rsidRPr="007C4D65">
              <w:rPr>
                <w:rFonts w:asciiTheme="minorHAnsi" w:hAnsiTheme="minorHAnsi" w:cstheme="minorHAnsi"/>
                <w:sz w:val="18"/>
                <w:szCs w:val="18"/>
              </w:rPr>
              <w:t>i</w:t>
            </w:r>
            <w:proofErr w:type="spellEnd"/>
            <w:r w:rsidRPr="007C4D65">
              <w:rPr>
                <w:rFonts w:asciiTheme="minorHAnsi" w:hAnsiTheme="minorHAnsi" w:cstheme="minorHAnsi"/>
                <w:sz w:val="18"/>
                <w:szCs w:val="18"/>
              </w:rPr>
              <w:t>) Study for establishment of a system for reserving ground and surface waters for public water supply in the Federation of BiH; ii) Study of electric power potentials in the Federation of BiH</w:t>
            </w:r>
            <w:r w:rsidR="00C90B32" w:rsidRPr="007C4D65">
              <w:rPr>
                <w:rFonts w:asciiTheme="minorHAnsi" w:hAnsiTheme="minorHAnsi" w:cstheme="minorHAnsi"/>
                <w:sz w:val="18"/>
                <w:szCs w:val="18"/>
              </w:rPr>
              <w:t>.</w:t>
            </w:r>
          </w:p>
          <w:p w14:paraId="1EE8C199" w14:textId="77777777" w:rsidR="00A8050D" w:rsidRPr="007C4D65" w:rsidRDefault="00A8050D">
            <w:pPr>
              <w:numPr>
                <w:ilvl w:val="0"/>
                <w:numId w:val="84"/>
              </w:numPr>
              <w:spacing w:before="40" w:after="40" w:line="276" w:lineRule="auto"/>
              <w:ind w:left="360"/>
              <w:contextualSpacing/>
              <w:rPr>
                <w:rFonts w:asciiTheme="minorHAnsi" w:hAnsiTheme="minorHAnsi" w:cstheme="minorHAnsi"/>
                <w:b/>
                <w:sz w:val="18"/>
                <w:szCs w:val="18"/>
              </w:rPr>
            </w:pPr>
            <w:r w:rsidRPr="007C4D65">
              <w:rPr>
                <w:rFonts w:asciiTheme="minorHAnsi" w:hAnsiTheme="minorHAnsi" w:cstheme="minorHAnsi"/>
                <w:b/>
                <w:sz w:val="18"/>
                <w:szCs w:val="18"/>
              </w:rPr>
              <w:t>Cooperation between water sector and water inspection for the purpose of supporting implementation of Management Plans</w:t>
            </w:r>
          </w:p>
          <w:p w14:paraId="6257BD88" w14:textId="5CDC05FF"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 xml:space="preserve">b1) Provide to the inspections information from the water management plans that concern the analysis of pressures to the quantity of water bodies, with special emphasis on water bodies that are under significant pressure of human activities, and timely provision of information and data on received reports and requests from responsible bodies in water </w:t>
            </w:r>
            <w:proofErr w:type="gramStart"/>
            <w:r w:rsidRPr="007C4D65">
              <w:rPr>
                <w:rFonts w:asciiTheme="minorHAnsi" w:hAnsiTheme="minorHAnsi" w:cstheme="minorHAnsi"/>
                <w:sz w:val="18"/>
                <w:szCs w:val="18"/>
              </w:rPr>
              <w:t>sector</w:t>
            </w:r>
            <w:r w:rsidR="00C90B32" w:rsidRPr="007C4D65">
              <w:rPr>
                <w:rFonts w:asciiTheme="minorHAnsi" w:hAnsiTheme="minorHAnsi" w:cstheme="minorHAnsi"/>
                <w:sz w:val="18"/>
                <w:szCs w:val="18"/>
              </w:rPr>
              <w:t>;</w:t>
            </w:r>
            <w:proofErr w:type="gramEnd"/>
          </w:p>
          <w:p w14:paraId="5B0EF806" w14:textId="489828E2"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 xml:space="preserve">b2) Developed annual programmes of inspection oversight for all activities related to water use, in accordance with </w:t>
            </w:r>
            <w:proofErr w:type="spellStart"/>
            <w:r w:rsidRPr="007C4D65">
              <w:rPr>
                <w:rFonts w:asciiTheme="minorHAnsi" w:hAnsiTheme="minorHAnsi" w:cstheme="minorHAnsi"/>
                <w:sz w:val="18"/>
                <w:szCs w:val="18"/>
              </w:rPr>
              <w:t>LoW</w:t>
            </w:r>
            <w:proofErr w:type="spellEnd"/>
            <w:r w:rsidRPr="007C4D65">
              <w:rPr>
                <w:rFonts w:asciiTheme="minorHAnsi" w:hAnsiTheme="minorHAnsi" w:cstheme="minorHAnsi"/>
                <w:sz w:val="18"/>
                <w:szCs w:val="18"/>
              </w:rPr>
              <w:t xml:space="preserve"> and secondary legislation</w:t>
            </w:r>
            <w:r w:rsidR="00C90B32" w:rsidRPr="007C4D65">
              <w:rPr>
                <w:rFonts w:asciiTheme="minorHAnsi" w:hAnsiTheme="minorHAnsi" w:cstheme="minorHAnsi"/>
                <w:sz w:val="18"/>
                <w:szCs w:val="18"/>
              </w:rPr>
              <w:t>.</w:t>
            </w:r>
          </w:p>
          <w:p w14:paraId="684DF46A"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c) Preparation of study documents  </w:t>
            </w:r>
          </w:p>
          <w:p w14:paraId="11A6787A" w14:textId="10653348" w:rsidR="00A8050D" w:rsidRPr="007C4D65" w:rsidRDefault="00A8050D" w:rsidP="00A8050D">
            <w:pPr>
              <w:numPr>
                <w:ilvl w:val="0"/>
                <w:numId w:val="35"/>
              </w:numPr>
              <w:spacing w:before="40" w:after="40" w:line="276" w:lineRule="auto"/>
              <w:ind w:left="723"/>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Study on </w:t>
            </w:r>
            <w:proofErr w:type="gramStart"/>
            <w:r w:rsidRPr="007C4D65">
              <w:rPr>
                <w:rFonts w:asciiTheme="minorHAnsi" w:hAnsiTheme="minorHAnsi" w:cstheme="minorHAnsi"/>
                <w:sz w:val="18"/>
                <w:szCs w:val="18"/>
              </w:rPr>
              <w:t>hydro-power</w:t>
            </w:r>
            <w:proofErr w:type="gramEnd"/>
            <w:r w:rsidRPr="007C4D65">
              <w:rPr>
                <w:rFonts w:asciiTheme="minorHAnsi" w:hAnsiTheme="minorHAnsi" w:cstheme="minorHAnsi"/>
                <w:sz w:val="18"/>
                <w:szCs w:val="18"/>
              </w:rPr>
              <w:t xml:space="preserve"> potential</w:t>
            </w:r>
            <w:r w:rsidR="00C90B32" w:rsidRPr="007C4D65">
              <w:rPr>
                <w:rFonts w:asciiTheme="minorHAnsi" w:eastAsia="Calibri" w:hAnsiTheme="minorHAnsi" w:cstheme="minorHAnsi"/>
                <w:sz w:val="18"/>
                <w:szCs w:val="18"/>
              </w:rPr>
              <w:t>;</w:t>
            </w:r>
          </w:p>
          <w:p w14:paraId="3A689E5D" w14:textId="145DD10B" w:rsidR="00A8050D" w:rsidRPr="007C4D65" w:rsidRDefault="00A8050D" w:rsidP="00A8050D">
            <w:pPr>
              <w:numPr>
                <w:ilvl w:val="0"/>
                <w:numId w:val="35"/>
              </w:numPr>
              <w:spacing w:before="40" w:after="40" w:line="276" w:lineRule="auto"/>
              <w:ind w:left="723"/>
              <w:contextualSpacing/>
              <w:rPr>
                <w:rFonts w:asciiTheme="minorHAnsi" w:eastAsia="Calibri" w:hAnsiTheme="minorHAnsi" w:cstheme="minorHAnsi"/>
                <w:sz w:val="18"/>
                <w:szCs w:val="18"/>
              </w:rPr>
            </w:pPr>
            <w:r w:rsidRPr="007C4D65">
              <w:rPr>
                <w:rFonts w:asciiTheme="minorHAnsi" w:hAnsiTheme="minorHAnsi" w:cstheme="minorHAnsi"/>
                <w:sz w:val="18"/>
                <w:szCs w:val="18"/>
              </w:rPr>
              <w:t>Study on surface and ground water reserves that may be used for water supply to population</w:t>
            </w:r>
            <w:r w:rsidR="00C90B32" w:rsidRPr="007C4D65">
              <w:rPr>
                <w:rFonts w:asciiTheme="minorHAnsi" w:eastAsia="Calibri" w:hAnsiTheme="minorHAnsi" w:cstheme="minorHAnsi"/>
                <w:sz w:val="18"/>
                <w:szCs w:val="18"/>
              </w:rPr>
              <w:t>;</w:t>
            </w:r>
          </w:p>
        </w:tc>
      </w:tr>
      <w:tr w:rsidR="00A8050D" w:rsidRPr="007C4D65" w14:paraId="0942AB47" w14:textId="77777777" w:rsidTr="00B6017F">
        <w:trPr>
          <w:trHeight w:val="567"/>
        </w:trPr>
        <w:tc>
          <w:tcPr>
            <w:tcW w:w="138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50A86A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Key strategic projects</w:t>
            </w:r>
          </w:p>
        </w:tc>
        <w:tc>
          <w:tcPr>
            <w:tcW w:w="3612" w:type="pct"/>
            <w:gridSpan w:val="3"/>
            <w:tcBorders>
              <w:top w:val="single" w:sz="4" w:space="0" w:color="A6A6A6"/>
              <w:left w:val="single" w:sz="4" w:space="0" w:color="A6A6A6"/>
              <w:bottom w:val="single" w:sz="4" w:space="0" w:color="A6A6A6"/>
              <w:right w:val="single" w:sz="4" w:space="0" w:color="A6A6A6"/>
            </w:tcBorders>
            <w:vAlign w:val="center"/>
          </w:tcPr>
          <w:p w14:paraId="5FDBAB2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5F80EDC5" w14:textId="77777777" w:rsidTr="00B6017F">
        <w:trPr>
          <w:trHeight w:val="567"/>
        </w:trPr>
        <w:tc>
          <w:tcPr>
            <w:tcW w:w="138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DB172A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93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B890CF1"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53C27F4C" w14:textId="1FAAE5EA"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024"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79A694A"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29C61E31"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65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080FD44"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0B44F4EE" w14:textId="77777777" w:rsidTr="00B6017F">
        <w:trPr>
          <w:trHeight w:val="274"/>
        </w:trPr>
        <w:tc>
          <w:tcPr>
            <w:tcW w:w="1388"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702E9720"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938" w:type="pct"/>
            <w:tcBorders>
              <w:top w:val="single" w:sz="4" w:space="0" w:color="A6A6A6"/>
              <w:left w:val="single" w:sz="4" w:space="0" w:color="A6A6A6"/>
              <w:bottom w:val="single" w:sz="4" w:space="0" w:color="A6A6A6"/>
              <w:right w:val="single" w:sz="4" w:space="0" w:color="A6A6A6"/>
            </w:tcBorders>
            <w:vAlign w:val="center"/>
          </w:tcPr>
          <w:p w14:paraId="46688A6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 Level of readiness of excerpt / summary / set of information on water bodies from the river basin management plans intended for professional audience from spatial planning, energy, agriculture and forestry sectors, as well as non-governmental sector  </w:t>
            </w:r>
          </w:p>
        </w:tc>
        <w:tc>
          <w:tcPr>
            <w:tcW w:w="1024" w:type="pct"/>
            <w:tcBorders>
              <w:top w:val="single" w:sz="4" w:space="0" w:color="A6A6A6"/>
              <w:left w:val="single" w:sz="4" w:space="0" w:color="A6A6A6"/>
              <w:bottom w:val="single" w:sz="4" w:space="0" w:color="A6A6A6"/>
              <w:right w:val="single" w:sz="4" w:space="0" w:color="A6A6A6"/>
            </w:tcBorders>
            <w:vAlign w:val="center"/>
          </w:tcPr>
          <w:p w14:paraId="339375B4"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Management plans (II cycle) have not been adopted, so preparation of the excerpt/summary/ set of information on water bodies from the river basin management plans for professional audience and non-governmental sector has not started  </w:t>
            </w:r>
          </w:p>
        </w:tc>
        <w:tc>
          <w:tcPr>
            <w:tcW w:w="1650" w:type="pct"/>
            <w:tcBorders>
              <w:top w:val="single" w:sz="4" w:space="0" w:color="A6A6A6"/>
              <w:left w:val="single" w:sz="4" w:space="0" w:color="A6A6A6"/>
              <w:bottom w:val="single" w:sz="4" w:space="0" w:color="A6A6A6"/>
              <w:right w:val="single" w:sz="4" w:space="0" w:color="A6A6A6"/>
            </w:tcBorders>
            <w:vAlign w:val="center"/>
          </w:tcPr>
          <w:p w14:paraId="3B1748C4"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Developed and continuously updated excerpt / summary / set of information on water bodies from the river basin management plans that </w:t>
            </w:r>
            <w:proofErr w:type="gramStart"/>
            <w:r w:rsidRPr="007C4D65">
              <w:rPr>
                <w:rFonts w:asciiTheme="minorHAnsi" w:hAnsiTheme="minorHAnsi" w:cstheme="minorHAnsi"/>
                <w:sz w:val="18"/>
                <w:szCs w:val="18"/>
              </w:rPr>
              <w:t>have to</w:t>
            </w:r>
            <w:proofErr w:type="gramEnd"/>
            <w:r w:rsidRPr="007C4D65">
              <w:rPr>
                <w:rFonts w:asciiTheme="minorHAnsi" w:hAnsiTheme="minorHAnsi" w:cstheme="minorHAnsi"/>
                <w:sz w:val="18"/>
                <w:szCs w:val="18"/>
              </w:rPr>
              <w:t xml:space="preserve"> be used by all entities interested in planning spatial interventions that may impact protection of water, their development and use</w:t>
            </w:r>
          </w:p>
          <w:p w14:paraId="074F60E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(2024)</w:t>
            </w:r>
          </w:p>
        </w:tc>
      </w:tr>
      <w:tr w:rsidR="00A8050D" w:rsidRPr="007C4D65" w14:paraId="19A538C3" w14:textId="77777777" w:rsidTr="00B6017F">
        <w:tc>
          <w:tcPr>
            <w:tcW w:w="1388"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F7509BA"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938" w:type="pct"/>
            <w:tcBorders>
              <w:top w:val="single" w:sz="4" w:space="0" w:color="A6A6A6"/>
              <w:left w:val="single" w:sz="4" w:space="0" w:color="A6A6A6"/>
              <w:bottom w:val="single" w:sz="4" w:space="0" w:color="A6A6A6"/>
              <w:right w:val="single" w:sz="4" w:space="0" w:color="A6A6A6"/>
            </w:tcBorders>
            <w:vAlign w:val="center"/>
          </w:tcPr>
          <w:p w14:paraId="78031868" w14:textId="32E8E726"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a2) Status of functioning of </w:t>
            </w:r>
            <w:r w:rsidR="00007DA5" w:rsidRPr="007C4D65">
              <w:rPr>
                <w:rFonts w:asciiTheme="minorHAnsi" w:hAnsiTheme="minorHAnsi" w:cstheme="minorHAnsi"/>
                <w:sz w:val="18"/>
                <w:szCs w:val="18"/>
              </w:rPr>
              <w:t>cross-sectoral</w:t>
            </w:r>
            <w:r w:rsidRPr="007C4D65">
              <w:rPr>
                <w:rFonts w:asciiTheme="minorHAnsi" w:hAnsiTheme="minorHAnsi" w:cstheme="minorHAnsi"/>
                <w:sz w:val="18"/>
                <w:szCs w:val="18"/>
              </w:rPr>
              <w:t xml:space="preserve"> coordination - regular organisation of coordination meetings among representatives of water sector and representatives of spatial planning, energy, agriculture, forestry etc.</w:t>
            </w:r>
          </w:p>
        </w:tc>
        <w:tc>
          <w:tcPr>
            <w:tcW w:w="1024" w:type="pct"/>
            <w:tcBorders>
              <w:top w:val="single" w:sz="4" w:space="0" w:color="A6A6A6"/>
              <w:left w:val="single" w:sz="4" w:space="0" w:color="A6A6A6"/>
              <w:bottom w:val="single" w:sz="4" w:space="0" w:color="A6A6A6"/>
              <w:right w:val="single" w:sz="4" w:space="0" w:color="A6A6A6"/>
            </w:tcBorders>
            <w:vAlign w:val="center"/>
          </w:tcPr>
          <w:p w14:paraId="29CC471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Sporadically  </w:t>
            </w:r>
          </w:p>
        </w:tc>
        <w:tc>
          <w:tcPr>
            <w:tcW w:w="1650" w:type="pct"/>
            <w:tcBorders>
              <w:top w:val="single" w:sz="4" w:space="0" w:color="A6A6A6"/>
              <w:left w:val="single" w:sz="4" w:space="0" w:color="A6A6A6"/>
              <w:bottom w:val="single" w:sz="4" w:space="0" w:color="A6A6A6"/>
              <w:right w:val="single" w:sz="4" w:space="0" w:color="A6A6A6"/>
            </w:tcBorders>
            <w:vAlign w:val="center"/>
          </w:tcPr>
          <w:p w14:paraId="1CD01A3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Functional coordination mechanism‒ coordination meetings held on regular basis, and reports and conclusions from such meetings published </w:t>
            </w:r>
          </w:p>
          <w:p w14:paraId="7689A5A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(2023-2034)</w:t>
            </w:r>
          </w:p>
        </w:tc>
      </w:tr>
      <w:tr w:rsidR="00A8050D" w:rsidRPr="007C4D65" w14:paraId="22C6D984" w14:textId="77777777" w:rsidTr="00B6017F">
        <w:tc>
          <w:tcPr>
            <w:tcW w:w="1388"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727F47C2"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938" w:type="pct"/>
            <w:tcBorders>
              <w:top w:val="single" w:sz="4" w:space="0" w:color="A6A6A6"/>
              <w:left w:val="single" w:sz="4" w:space="0" w:color="A6A6A6"/>
              <w:bottom w:val="single" w:sz="4" w:space="0" w:color="A6A6A6"/>
              <w:right w:val="single" w:sz="4" w:space="0" w:color="A6A6A6"/>
            </w:tcBorders>
            <w:vAlign w:val="center"/>
          </w:tcPr>
          <w:p w14:paraId="17F0E32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a3) Effectiveness of legal provisions (</w:t>
            </w:r>
            <w:proofErr w:type="spellStart"/>
            <w:r w:rsidRPr="007C4D65">
              <w:rPr>
                <w:rFonts w:asciiTheme="minorHAnsi" w:hAnsiTheme="minorHAnsi" w:cstheme="minorHAnsi"/>
                <w:sz w:val="18"/>
                <w:szCs w:val="18"/>
              </w:rPr>
              <w:t>LoW</w:t>
            </w:r>
            <w:proofErr w:type="spellEnd"/>
            <w:r w:rsidRPr="007C4D65">
              <w:rPr>
                <w:rFonts w:asciiTheme="minorHAnsi" w:hAnsiTheme="minorHAnsi" w:cstheme="minorHAnsi"/>
                <w:sz w:val="18"/>
                <w:szCs w:val="18"/>
              </w:rPr>
              <w:t>) that impose the obligation</w:t>
            </w:r>
          </w:p>
          <w:p w14:paraId="0F470472" w14:textId="77777777" w:rsidR="00A8050D" w:rsidRPr="007C4D65" w:rsidRDefault="00A8050D">
            <w:pPr>
              <w:numPr>
                <w:ilvl w:val="0"/>
                <w:numId w:val="86"/>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of integrating information from the water management plans into plans of the sector whose activities may have impact on water protection, and </w:t>
            </w:r>
          </w:p>
          <w:p w14:paraId="32824283" w14:textId="77777777" w:rsidR="00A8050D" w:rsidRPr="007C4D65" w:rsidRDefault="00A8050D">
            <w:pPr>
              <w:numPr>
                <w:ilvl w:val="0"/>
                <w:numId w:val="86"/>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adequate involvement of water sector institutions at the stage of developing planning and strategic documents, including public discussions  </w:t>
            </w:r>
          </w:p>
        </w:tc>
        <w:tc>
          <w:tcPr>
            <w:tcW w:w="1024" w:type="pct"/>
            <w:tcBorders>
              <w:top w:val="single" w:sz="4" w:space="0" w:color="A6A6A6"/>
              <w:left w:val="single" w:sz="4" w:space="0" w:color="A6A6A6"/>
              <w:bottom w:val="single" w:sz="4" w:space="0" w:color="A6A6A6"/>
              <w:right w:val="single" w:sz="4" w:space="0" w:color="A6A6A6"/>
            </w:tcBorders>
            <w:vAlign w:val="center"/>
          </w:tcPr>
          <w:p w14:paraId="4A3E5EC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Low effectiveness </w:t>
            </w:r>
          </w:p>
        </w:tc>
        <w:tc>
          <w:tcPr>
            <w:tcW w:w="1650" w:type="pct"/>
            <w:tcBorders>
              <w:top w:val="single" w:sz="4" w:space="0" w:color="A6A6A6"/>
              <w:left w:val="single" w:sz="4" w:space="0" w:color="A6A6A6"/>
              <w:bottom w:val="single" w:sz="4" w:space="0" w:color="A6A6A6"/>
              <w:right w:val="single" w:sz="4" w:space="0" w:color="A6A6A6"/>
            </w:tcBorders>
            <w:vAlign w:val="center"/>
          </w:tcPr>
          <w:p w14:paraId="55C7B5B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Data from the water management plans adequately integrated into adopted spatial planning documents, as well as other planning or programming documents </w:t>
            </w:r>
            <w:proofErr w:type="gramStart"/>
            <w:r w:rsidRPr="007C4D65">
              <w:rPr>
                <w:rFonts w:asciiTheme="minorHAnsi" w:hAnsiTheme="minorHAnsi" w:cstheme="minorHAnsi"/>
                <w:sz w:val="18"/>
                <w:szCs w:val="18"/>
              </w:rPr>
              <w:t>as a result of</w:t>
            </w:r>
            <w:proofErr w:type="gramEnd"/>
            <w:r w:rsidRPr="007C4D65">
              <w:rPr>
                <w:rFonts w:asciiTheme="minorHAnsi" w:hAnsiTheme="minorHAnsi" w:cstheme="minorHAnsi"/>
                <w:sz w:val="18"/>
                <w:szCs w:val="18"/>
              </w:rPr>
              <w:t xml:space="preserve"> involvement of water sector at the phase of development of planning and strategic documents  </w:t>
            </w:r>
          </w:p>
          <w:p w14:paraId="69920B4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(2023-2034)</w:t>
            </w:r>
          </w:p>
        </w:tc>
      </w:tr>
      <w:tr w:rsidR="00A8050D" w:rsidRPr="007C4D65" w14:paraId="5345C3E3" w14:textId="77777777" w:rsidTr="00B6017F">
        <w:tc>
          <w:tcPr>
            <w:tcW w:w="1388"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1935E11"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938" w:type="pct"/>
            <w:tcBorders>
              <w:top w:val="single" w:sz="4" w:space="0" w:color="A6A6A6"/>
              <w:left w:val="single" w:sz="4" w:space="0" w:color="A6A6A6"/>
              <w:bottom w:val="single" w:sz="4" w:space="0" w:color="A6A6A6"/>
              <w:right w:val="single" w:sz="4" w:space="0" w:color="A6A6A6"/>
            </w:tcBorders>
            <w:vAlign w:val="center"/>
          </w:tcPr>
          <w:p w14:paraId="4D8C861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b1) Level of readiness of information from the water management plans for the needs of inspections </w:t>
            </w:r>
          </w:p>
        </w:tc>
        <w:tc>
          <w:tcPr>
            <w:tcW w:w="1024" w:type="pct"/>
            <w:tcBorders>
              <w:top w:val="single" w:sz="4" w:space="0" w:color="A6A6A6"/>
              <w:left w:val="single" w:sz="4" w:space="0" w:color="A6A6A6"/>
              <w:bottom w:val="single" w:sz="4" w:space="0" w:color="A6A6A6"/>
              <w:right w:val="single" w:sz="4" w:space="0" w:color="A6A6A6"/>
            </w:tcBorders>
            <w:vAlign w:val="center"/>
          </w:tcPr>
          <w:p w14:paraId="2301315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Preparation of information from water management plans has not started </w:t>
            </w:r>
          </w:p>
        </w:tc>
        <w:tc>
          <w:tcPr>
            <w:tcW w:w="1650" w:type="pct"/>
            <w:tcBorders>
              <w:top w:val="single" w:sz="4" w:space="0" w:color="A6A6A6"/>
              <w:left w:val="single" w:sz="4" w:space="0" w:color="A6A6A6"/>
              <w:bottom w:val="single" w:sz="4" w:space="0" w:color="A6A6A6"/>
              <w:right w:val="single" w:sz="4" w:space="0" w:color="A6A6A6"/>
            </w:tcBorders>
            <w:vAlign w:val="center"/>
          </w:tcPr>
          <w:p w14:paraId="7FCEC2A6" w14:textId="0D2C3CC1" w:rsidR="00A8050D" w:rsidRPr="007C4D65" w:rsidRDefault="00A8050D" w:rsidP="00B6017F">
            <w:pPr>
              <w:spacing w:before="40" w:after="40"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Provide information from water management plans to the inspections, with special emphasis on water bodies that are under pressure of human activities</w:t>
            </w:r>
          </w:p>
          <w:p w14:paraId="3A0E57A9" w14:textId="77777777" w:rsidR="00A8050D" w:rsidRPr="007C4D65" w:rsidRDefault="00A8050D" w:rsidP="00B6017F">
            <w:pPr>
              <w:spacing w:before="40" w:after="40"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(2023-2034)</w:t>
            </w:r>
          </w:p>
        </w:tc>
      </w:tr>
      <w:tr w:rsidR="00A8050D" w:rsidRPr="007C4D65" w14:paraId="74CCCD25" w14:textId="77777777" w:rsidTr="00B6017F">
        <w:tc>
          <w:tcPr>
            <w:tcW w:w="1388"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678BEF8"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938" w:type="pct"/>
            <w:tcBorders>
              <w:top w:val="single" w:sz="4" w:space="0" w:color="A6A6A6"/>
              <w:left w:val="single" w:sz="4" w:space="0" w:color="A6A6A6"/>
              <w:bottom w:val="single" w:sz="4" w:space="0" w:color="A6A6A6"/>
              <w:right w:val="single" w:sz="4" w:space="0" w:color="A6A6A6"/>
            </w:tcBorders>
            <w:vAlign w:val="center"/>
          </w:tcPr>
          <w:p w14:paraId="5143125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b2) Status regarding information of inspections on complaints received </w:t>
            </w:r>
          </w:p>
        </w:tc>
        <w:tc>
          <w:tcPr>
            <w:tcW w:w="1024" w:type="pct"/>
            <w:tcBorders>
              <w:top w:val="single" w:sz="4" w:space="0" w:color="A6A6A6"/>
              <w:left w:val="single" w:sz="4" w:space="0" w:color="A6A6A6"/>
              <w:bottom w:val="single" w:sz="4" w:space="0" w:color="A6A6A6"/>
              <w:right w:val="single" w:sz="4" w:space="0" w:color="A6A6A6"/>
            </w:tcBorders>
            <w:vAlign w:val="center"/>
          </w:tcPr>
          <w:p w14:paraId="1522D904" w14:textId="4158F7EE"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Inspections are informed on the complaints received </w:t>
            </w:r>
          </w:p>
        </w:tc>
        <w:tc>
          <w:tcPr>
            <w:tcW w:w="1650" w:type="pct"/>
            <w:tcBorders>
              <w:top w:val="single" w:sz="4" w:space="0" w:color="A6A6A6"/>
              <w:left w:val="single" w:sz="4" w:space="0" w:color="A6A6A6"/>
              <w:bottom w:val="single" w:sz="4" w:space="0" w:color="A6A6A6"/>
              <w:right w:val="single" w:sz="4" w:space="0" w:color="A6A6A6"/>
            </w:tcBorders>
            <w:vAlign w:val="center"/>
          </w:tcPr>
          <w:p w14:paraId="74EC204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Timely provision of information and data to the inspections regarding received complaints and requests of the responsible bodies in water sector</w:t>
            </w:r>
          </w:p>
          <w:p w14:paraId="219F3BF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(2023-2034)</w:t>
            </w:r>
          </w:p>
        </w:tc>
      </w:tr>
      <w:tr w:rsidR="00A8050D" w:rsidRPr="007C4D65" w14:paraId="2BA721C5" w14:textId="77777777" w:rsidTr="00B6017F">
        <w:tc>
          <w:tcPr>
            <w:tcW w:w="1388"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FE6F0C9"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938" w:type="pct"/>
            <w:tcBorders>
              <w:top w:val="single" w:sz="4" w:space="0" w:color="A6A6A6"/>
              <w:left w:val="single" w:sz="4" w:space="0" w:color="A6A6A6"/>
              <w:bottom w:val="single" w:sz="4" w:space="0" w:color="A6A6A6"/>
              <w:right w:val="single" w:sz="4" w:space="0" w:color="A6A6A6"/>
            </w:tcBorders>
            <w:vAlign w:val="center"/>
          </w:tcPr>
          <w:p w14:paraId="09B0420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Level of preparedness of Studies</w:t>
            </w:r>
          </w:p>
          <w:p w14:paraId="49E22637" w14:textId="77777777" w:rsidR="00A8050D" w:rsidRPr="007C4D65" w:rsidRDefault="00A8050D" w:rsidP="00A8050D">
            <w:pPr>
              <w:numPr>
                <w:ilvl w:val="0"/>
                <w:numId w:val="35"/>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on hydro-power potential</w:t>
            </w:r>
          </w:p>
          <w:p w14:paraId="03E0E8BF" w14:textId="77777777" w:rsidR="00A8050D" w:rsidRPr="007C4D65" w:rsidRDefault="00A8050D" w:rsidP="00A8050D">
            <w:pPr>
              <w:numPr>
                <w:ilvl w:val="0"/>
                <w:numId w:val="35"/>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on surface and ground water reserves that may be used for water supply to population  </w:t>
            </w:r>
          </w:p>
        </w:tc>
        <w:tc>
          <w:tcPr>
            <w:tcW w:w="1024" w:type="pct"/>
            <w:tcBorders>
              <w:top w:val="single" w:sz="4" w:space="0" w:color="A6A6A6"/>
              <w:left w:val="single" w:sz="4" w:space="0" w:color="A6A6A6"/>
              <w:bottom w:val="single" w:sz="4" w:space="0" w:color="A6A6A6"/>
              <w:right w:val="single" w:sz="4" w:space="0" w:color="A6A6A6"/>
            </w:tcBorders>
            <w:vAlign w:val="center"/>
          </w:tcPr>
          <w:p w14:paraId="664D95EA" w14:textId="77777777" w:rsidR="00A8050D" w:rsidRPr="007C4D65" w:rsidRDefault="00A8050D" w:rsidP="00B6017F">
            <w:pPr>
              <w:spacing w:before="40" w:after="40"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 xml:space="preserve">Development of studies has not started </w:t>
            </w:r>
          </w:p>
        </w:tc>
        <w:tc>
          <w:tcPr>
            <w:tcW w:w="1650" w:type="pct"/>
            <w:tcBorders>
              <w:top w:val="single" w:sz="4" w:space="0" w:color="A6A6A6"/>
              <w:left w:val="single" w:sz="4" w:space="0" w:color="A6A6A6"/>
              <w:bottom w:val="single" w:sz="4" w:space="0" w:color="A6A6A6"/>
              <w:right w:val="single" w:sz="4" w:space="0" w:color="A6A6A6"/>
            </w:tcBorders>
            <w:vAlign w:val="center"/>
          </w:tcPr>
          <w:p w14:paraId="497D2A7E" w14:textId="77777777" w:rsidR="00A8050D" w:rsidRPr="007C4D65" w:rsidRDefault="00A8050D" w:rsidP="00B6017F">
            <w:pPr>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 Studies completed and published</w:t>
            </w:r>
          </w:p>
          <w:p w14:paraId="61D4009C" w14:textId="77777777" w:rsidR="00A8050D" w:rsidRPr="007C4D65" w:rsidRDefault="00A8050D" w:rsidP="00A8050D">
            <w:pPr>
              <w:numPr>
                <w:ilvl w:val="0"/>
                <w:numId w:val="35"/>
              </w:numPr>
              <w:spacing w:before="40" w:after="40" w:line="276" w:lineRule="auto"/>
              <w:ind w:left="357" w:hanging="357"/>
              <w:contextualSpacing/>
              <w:rPr>
                <w:rFonts w:asciiTheme="minorHAnsi" w:eastAsia="Calibri" w:hAnsiTheme="minorHAnsi" w:cstheme="minorHAnsi"/>
                <w:sz w:val="18"/>
                <w:szCs w:val="18"/>
              </w:rPr>
            </w:pPr>
            <w:r w:rsidRPr="007C4D65">
              <w:rPr>
                <w:rFonts w:asciiTheme="minorHAnsi" w:hAnsiTheme="minorHAnsi" w:cstheme="minorHAnsi"/>
                <w:sz w:val="18"/>
                <w:szCs w:val="18"/>
              </w:rPr>
              <w:t>on hydro-power potential that include principles / guidelines / criteria for planning, and achieving / maintaining good status of water bodies, or has been aligned with Article 4(7) WFD (2026)</w:t>
            </w:r>
          </w:p>
          <w:p w14:paraId="1D283C89" w14:textId="77777777" w:rsidR="00A8050D" w:rsidRPr="007C4D65" w:rsidRDefault="00A8050D" w:rsidP="00A8050D">
            <w:pPr>
              <w:numPr>
                <w:ilvl w:val="0"/>
                <w:numId w:val="35"/>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on surface and ground water reserves that may be used for water supply to population (2026)</w:t>
            </w:r>
          </w:p>
        </w:tc>
      </w:tr>
      <w:tr w:rsidR="00A8050D" w:rsidRPr="007C4D65" w14:paraId="2A8D7F9D" w14:textId="77777777" w:rsidTr="00B6017F">
        <w:trPr>
          <w:trHeight w:val="567"/>
        </w:trPr>
        <w:tc>
          <w:tcPr>
            <w:tcW w:w="138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5C75FC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612" w:type="pct"/>
            <w:gridSpan w:val="3"/>
            <w:tcBorders>
              <w:top w:val="single" w:sz="4" w:space="0" w:color="A6A6A6"/>
              <w:left w:val="single" w:sz="4" w:space="0" w:color="A6A6A6"/>
              <w:bottom w:val="single" w:sz="4" w:space="0" w:color="A6A6A6"/>
              <w:right w:val="single" w:sz="4" w:space="0" w:color="A6A6A6"/>
            </w:tcBorders>
            <w:vAlign w:val="center"/>
          </w:tcPr>
          <w:p w14:paraId="0CB22DA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Improving coordination and cooperation among various levels of government and strengthening human and institutional capacities. Coherent systems, strong inter-sectorial connections are of essential importance for efficient water management</w:t>
            </w:r>
          </w:p>
        </w:tc>
      </w:tr>
      <w:tr w:rsidR="00A8050D" w:rsidRPr="007C4D65" w14:paraId="7C0D556D" w14:textId="77777777" w:rsidTr="00B6017F">
        <w:trPr>
          <w:trHeight w:val="567"/>
        </w:trPr>
        <w:tc>
          <w:tcPr>
            <w:tcW w:w="138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16562C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specification of sources</w:t>
            </w:r>
          </w:p>
        </w:tc>
        <w:tc>
          <w:tcPr>
            <w:tcW w:w="361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8A7335" w14:textId="77777777"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Amount: BAM 2,864,382 </w:t>
            </w:r>
          </w:p>
          <w:p w14:paraId="4F72A413"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 xml:space="preserve">Source: 10% from the government budget, 90% </w:t>
            </w:r>
            <w:r w:rsidRPr="007C4D65">
              <w:rPr>
                <w:rFonts w:asciiTheme="minorHAnsi" w:eastAsia="Calibri" w:hAnsiTheme="minorHAnsi" w:cstheme="minorHAnsi"/>
                <w:sz w:val="18"/>
                <w:szCs w:val="18"/>
              </w:rPr>
              <w:t>combined ‒ loans, funds from EU and other international donors, and other donations</w:t>
            </w:r>
          </w:p>
        </w:tc>
      </w:tr>
      <w:tr w:rsidR="00A8050D" w:rsidRPr="007C4D65" w14:paraId="5EC134CB" w14:textId="77777777" w:rsidTr="00B6017F">
        <w:trPr>
          <w:trHeight w:val="567"/>
        </w:trPr>
        <w:tc>
          <w:tcPr>
            <w:tcW w:w="138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6931F5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612" w:type="pct"/>
            <w:gridSpan w:val="3"/>
            <w:tcBorders>
              <w:top w:val="single" w:sz="4" w:space="0" w:color="A6A6A6"/>
              <w:left w:val="single" w:sz="4" w:space="0" w:color="A6A6A6"/>
              <w:bottom w:val="single" w:sz="4" w:space="0" w:color="A6A6A6"/>
              <w:right w:val="single" w:sz="4" w:space="0" w:color="A6A6A6"/>
            </w:tcBorders>
            <w:vAlign w:val="center"/>
          </w:tcPr>
          <w:p w14:paraId="752670C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2023-2034</w:t>
            </w:r>
          </w:p>
        </w:tc>
      </w:tr>
      <w:tr w:rsidR="00A8050D" w:rsidRPr="007C4D65" w14:paraId="6AADB156" w14:textId="77777777" w:rsidTr="00B6017F">
        <w:trPr>
          <w:trHeight w:val="567"/>
        </w:trPr>
        <w:tc>
          <w:tcPr>
            <w:tcW w:w="138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5133A1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612" w:type="pct"/>
            <w:gridSpan w:val="3"/>
            <w:tcBorders>
              <w:top w:val="single" w:sz="4" w:space="0" w:color="A6A6A6"/>
              <w:left w:val="single" w:sz="4" w:space="0" w:color="A6A6A6"/>
              <w:bottom w:val="single" w:sz="4" w:space="0" w:color="A6A6A6"/>
              <w:right w:val="single" w:sz="4" w:space="0" w:color="A6A6A6"/>
            </w:tcBorders>
            <w:vAlign w:val="center"/>
          </w:tcPr>
          <w:p w14:paraId="7C412823" w14:textId="26E4CA35" w:rsidR="00A8050D" w:rsidRPr="007C4D65" w:rsidRDefault="00A8050D" w:rsidP="00C90B32">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w:t>
            </w:r>
            <w:r w:rsidR="00C90B32" w:rsidRPr="007C4D65">
              <w:rPr>
                <w:rFonts w:asciiTheme="minorHAnsi" w:hAnsiTheme="minorHAnsi" w:cstheme="minorHAnsi"/>
                <w:sz w:val="18"/>
                <w:szCs w:val="18"/>
              </w:rPr>
              <w:t xml:space="preserve">, </w:t>
            </w:r>
            <w:r w:rsidRPr="007C4D65">
              <w:rPr>
                <w:rFonts w:asciiTheme="minorHAnsi" w:hAnsiTheme="minorHAnsi" w:cstheme="minorHAnsi"/>
                <w:sz w:val="18"/>
                <w:szCs w:val="18"/>
              </w:rPr>
              <w:t>SRBA</w:t>
            </w:r>
            <w:r w:rsidR="00C90B32" w:rsidRPr="007C4D65">
              <w:rPr>
                <w:rFonts w:asciiTheme="minorHAnsi" w:hAnsiTheme="minorHAnsi" w:cstheme="minorHAnsi"/>
                <w:sz w:val="18"/>
                <w:szCs w:val="18"/>
              </w:rPr>
              <w:t xml:space="preserve">, </w:t>
            </w:r>
            <w:r w:rsidRPr="007C4D65">
              <w:rPr>
                <w:rFonts w:asciiTheme="minorHAnsi" w:hAnsiTheme="minorHAnsi" w:cstheme="minorHAnsi"/>
                <w:sz w:val="18"/>
                <w:szCs w:val="18"/>
              </w:rPr>
              <w:t>ASWA</w:t>
            </w:r>
          </w:p>
        </w:tc>
      </w:tr>
      <w:tr w:rsidR="00A8050D" w:rsidRPr="007C4D65" w14:paraId="5F16E5AF" w14:textId="77777777" w:rsidTr="00B6017F">
        <w:trPr>
          <w:trHeight w:val="567"/>
        </w:trPr>
        <w:tc>
          <w:tcPr>
            <w:tcW w:w="138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4791C5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institutions for the measure</w:t>
            </w:r>
          </w:p>
        </w:tc>
        <w:tc>
          <w:tcPr>
            <w:tcW w:w="3612" w:type="pct"/>
            <w:gridSpan w:val="3"/>
            <w:tcBorders>
              <w:top w:val="single" w:sz="4" w:space="0" w:color="A6A6A6"/>
              <w:left w:val="single" w:sz="4" w:space="0" w:color="A6A6A6"/>
              <w:bottom w:val="single" w:sz="4" w:space="0" w:color="A6A6A6"/>
              <w:right w:val="single" w:sz="4" w:space="0" w:color="A6A6A6"/>
            </w:tcBorders>
            <w:vAlign w:val="center"/>
          </w:tcPr>
          <w:p w14:paraId="5541F9B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FMWMF; SRBA; ASWA; Federation Water Inspectorate (FWI); cantonal water inspectorates (CWI); CMW (Cantonal ministries competent for water); FMET; CM_E, SP, EN, A) (Cantonal ministries competent for environment, spatial planning, energy, agriculture, etc.)</w:t>
            </w:r>
          </w:p>
        </w:tc>
      </w:tr>
      <w:tr w:rsidR="00A8050D" w:rsidRPr="007C4D65" w14:paraId="358F7B9E" w14:textId="77777777" w:rsidTr="00B6017F">
        <w:trPr>
          <w:trHeight w:val="567"/>
        </w:trPr>
        <w:tc>
          <w:tcPr>
            <w:tcW w:w="138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C76477D" w14:textId="747B959B"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612" w:type="pct"/>
            <w:gridSpan w:val="3"/>
            <w:tcBorders>
              <w:top w:val="single" w:sz="4" w:space="0" w:color="A6A6A6"/>
              <w:left w:val="single" w:sz="4" w:space="0" w:color="A6A6A6"/>
              <w:bottom w:val="single" w:sz="4" w:space="0" w:color="A6A6A6"/>
              <w:right w:val="single" w:sz="4" w:space="0" w:color="A6A6A6"/>
            </w:tcBorders>
            <w:vAlign w:val="center"/>
          </w:tcPr>
          <w:p w14:paraId="30A142E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All institutions and people in the Federation of BiH</w:t>
            </w:r>
          </w:p>
        </w:tc>
      </w:tr>
    </w:tbl>
    <w:p w14:paraId="5C8639FC" w14:textId="77777777" w:rsidR="00A8050D" w:rsidRPr="007C4D65" w:rsidRDefault="00A8050D" w:rsidP="00A8050D">
      <w:pPr>
        <w:spacing w:line="276" w:lineRule="auto"/>
        <w:rPr>
          <w:rFonts w:asciiTheme="minorHAnsi" w:hAnsiTheme="minorHAnsi" w:cstheme="minorHAnsi"/>
          <w:sz w:val="18"/>
          <w:szCs w:val="18"/>
          <w:lang w:val="hr-HR"/>
        </w:rPr>
      </w:pPr>
    </w:p>
    <w:tbl>
      <w:tblPr>
        <w:tblStyle w:val="TABLICAHAOP7"/>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828"/>
        <w:gridCol w:w="2552"/>
        <w:gridCol w:w="2820"/>
        <w:gridCol w:w="4748"/>
      </w:tblGrid>
      <w:tr w:rsidR="00A8050D" w:rsidRPr="007C4D65" w14:paraId="345A9CEE" w14:textId="77777777" w:rsidTr="00B6017F">
        <w:trPr>
          <w:trHeight w:val="567"/>
        </w:trPr>
        <w:tc>
          <w:tcPr>
            <w:tcW w:w="1372" w:type="pct"/>
            <w:shd w:val="clear" w:color="auto" w:fill="009D73"/>
            <w:vAlign w:val="center"/>
          </w:tcPr>
          <w:p w14:paraId="246B4D5E" w14:textId="42C1F805"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br w:type="page"/>
            </w:r>
            <w:r w:rsidR="00963086" w:rsidRPr="007C4D65">
              <w:rPr>
                <w:rFonts w:asciiTheme="minorHAnsi" w:hAnsiTheme="minorHAnsi" w:cstheme="minorHAnsi"/>
                <w:b/>
                <w:color w:val="FFFFFF" w:themeColor="background1"/>
                <w:sz w:val="18"/>
                <w:szCs w:val="18"/>
              </w:rPr>
              <w:t>Link with the strategic goal</w:t>
            </w:r>
          </w:p>
        </w:tc>
        <w:tc>
          <w:tcPr>
            <w:tcW w:w="3628" w:type="pct"/>
            <w:gridSpan w:val="3"/>
            <w:vAlign w:val="center"/>
          </w:tcPr>
          <w:p w14:paraId="4383DA4D"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14BE6BEE" w14:textId="77777777" w:rsidTr="00B6017F">
        <w:trPr>
          <w:trHeight w:val="567"/>
        </w:trPr>
        <w:tc>
          <w:tcPr>
            <w:tcW w:w="1372" w:type="pct"/>
            <w:shd w:val="clear" w:color="auto" w:fill="009D73"/>
            <w:vAlign w:val="center"/>
          </w:tcPr>
          <w:p w14:paraId="134331F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Priority</w:t>
            </w:r>
          </w:p>
        </w:tc>
        <w:tc>
          <w:tcPr>
            <w:tcW w:w="3628" w:type="pct"/>
            <w:gridSpan w:val="3"/>
            <w:vAlign w:val="center"/>
          </w:tcPr>
          <w:p w14:paraId="13E008CD" w14:textId="77777777" w:rsidR="00A8050D" w:rsidRPr="007C4D65" w:rsidRDefault="00A8050D" w:rsidP="00B6017F">
            <w:pPr>
              <w:spacing w:before="40" w:after="40" w:line="276" w:lineRule="auto"/>
              <w:rPr>
                <w:rFonts w:asciiTheme="minorHAnsi" w:hAnsiTheme="minorHAnsi" w:cstheme="minorHAnsi"/>
                <w:color w:val="FFFFFF" w:themeColor="background1"/>
                <w:sz w:val="18"/>
                <w:szCs w:val="18"/>
              </w:rPr>
            </w:pPr>
            <w:r w:rsidRPr="007C4D65">
              <w:rPr>
                <w:rFonts w:asciiTheme="minorHAnsi" w:hAnsiTheme="minorHAnsi" w:cstheme="minorHAnsi"/>
                <w:b/>
                <w:sz w:val="18"/>
                <w:szCs w:val="18"/>
              </w:rPr>
              <w:t>1.2. Provide conditions for achieving sustainable use of water resources</w:t>
            </w:r>
          </w:p>
        </w:tc>
      </w:tr>
      <w:tr w:rsidR="00A8050D" w:rsidRPr="007C4D65" w14:paraId="2427F83C" w14:textId="77777777" w:rsidTr="00B6017F">
        <w:trPr>
          <w:trHeight w:val="567"/>
        </w:trPr>
        <w:tc>
          <w:tcPr>
            <w:tcW w:w="1372" w:type="pct"/>
            <w:shd w:val="clear" w:color="auto" w:fill="009D73"/>
            <w:vAlign w:val="center"/>
          </w:tcPr>
          <w:p w14:paraId="683F3990" w14:textId="0A2E8BAF"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628" w:type="pct"/>
            <w:gridSpan w:val="3"/>
            <w:vAlign w:val="center"/>
          </w:tcPr>
          <w:p w14:paraId="5C903AAD"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1.2.2. Ensuring transparent and defined by law procedure for awarding concessions </w:t>
            </w:r>
            <w:proofErr w:type="gramStart"/>
            <w:r w:rsidRPr="007C4D65">
              <w:rPr>
                <w:rFonts w:asciiTheme="minorHAnsi" w:hAnsiTheme="minorHAnsi" w:cstheme="minorHAnsi"/>
                <w:b/>
                <w:sz w:val="18"/>
                <w:szCs w:val="18"/>
              </w:rPr>
              <w:t>in the area of</w:t>
            </w:r>
            <w:proofErr w:type="gramEnd"/>
            <w:r w:rsidRPr="007C4D65">
              <w:rPr>
                <w:rFonts w:asciiTheme="minorHAnsi" w:hAnsiTheme="minorHAnsi" w:cstheme="minorHAnsi"/>
                <w:b/>
                <w:sz w:val="18"/>
                <w:szCs w:val="18"/>
              </w:rPr>
              <w:t xml:space="preserve"> use of water resources</w:t>
            </w:r>
          </w:p>
        </w:tc>
      </w:tr>
      <w:tr w:rsidR="00A8050D" w:rsidRPr="007C4D65" w14:paraId="197CD4EA" w14:textId="77777777" w:rsidTr="00B6017F">
        <w:trPr>
          <w:trHeight w:val="567"/>
        </w:trPr>
        <w:tc>
          <w:tcPr>
            <w:tcW w:w="1372" w:type="pct"/>
            <w:shd w:val="clear" w:color="auto" w:fill="009D73"/>
            <w:vAlign w:val="center"/>
          </w:tcPr>
          <w:p w14:paraId="2C6AD32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628" w:type="pct"/>
            <w:gridSpan w:val="3"/>
            <w:vAlign w:val="center"/>
          </w:tcPr>
          <w:p w14:paraId="1933C309" w14:textId="0117104C" w:rsidR="00A8050D" w:rsidRPr="007C4D65" w:rsidRDefault="00A8050D" w:rsidP="00B6017F">
            <w:pPr>
              <w:spacing w:after="120" w:line="276" w:lineRule="auto"/>
              <w:jc w:val="both"/>
              <w:rPr>
                <w:rFonts w:asciiTheme="minorHAnsi" w:eastAsia="Calibri" w:hAnsiTheme="minorHAnsi" w:cstheme="minorHAnsi"/>
                <w:sz w:val="18"/>
                <w:szCs w:val="18"/>
              </w:rPr>
            </w:pPr>
            <w:r w:rsidRPr="007C4D65">
              <w:rPr>
                <w:rFonts w:asciiTheme="minorHAnsi" w:hAnsiTheme="minorHAnsi" w:cstheme="minorHAnsi"/>
                <w:sz w:val="18"/>
                <w:szCs w:val="18"/>
              </w:rPr>
              <w:t xml:space="preserve">This measure aims to contribute to introduction of precise conditions for granting concessions in the area of use of water resources in the Federation of BiH, including:  harmonization of legislation on concessions and other relevant legislation with the legislative changes adopted at the Federation level (July 2022) that foresee prohibition of planning and constructing new </w:t>
            </w:r>
            <w:r w:rsidR="00A46B27" w:rsidRPr="007C4D65">
              <w:rPr>
                <w:rFonts w:asciiTheme="minorHAnsi" w:hAnsiTheme="minorHAnsi" w:cstheme="minorHAnsi"/>
                <w:sz w:val="18"/>
                <w:szCs w:val="18"/>
              </w:rPr>
              <w:t>SHPP</w:t>
            </w:r>
            <w:r w:rsidRPr="007C4D65">
              <w:rPr>
                <w:rFonts w:asciiTheme="minorHAnsi" w:hAnsiTheme="minorHAnsi" w:cstheme="minorHAnsi"/>
                <w:sz w:val="18"/>
                <w:szCs w:val="18"/>
              </w:rPr>
              <w:t xml:space="preserve"> of up to 10 MW, enforcement of the new Rulebook on </w:t>
            </w:r>
            <w:r w:rsidR="00C90B32" w:rsidRPr="007C4D65">
              <w:rPr>
                <w:rFonts w:asciiTheme="minorHAnsi" w:hAnsiTheme="minorHAnsi" w:cstheme="minorHAnsi"/>
                <w:sz w:val="18"/>
                <w:szCs w:val="18"/>
              </w:rPr>
              <w:t>environmental flaw</w:t>
            </w:r>
            <w:r w:rsidRPr="007C4D65">
              <w:rPr>
                <w:rFonts w:asciiTheme="minorHAnsi" w:hAnsiTheme="minorHAnsi" w:cstheme="minorHAnsi"/>
                <w:sz w:val="18"/>
                <w:szCs w:val="18"/>
              </w:rPr>
              <w:t xml:space="preserve"> in the Federation of BiH, and use of catalogue of criteria for sustainable development in the sector of small hydro-power plants (SHPP) or challenging extension of validity of water acts for the existing SHPP.</w:t>
            </w:r>
          </w:p>
          <w:p w14:paraId="71CDDC6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General areas of intervention: </w:t>
            </w:r>
          </w:p>
          <w:p w14:paraId="018D34BD" w14:textId="2E2BFE6C" w:rsidR="00A8050D" w:rsidRPr="007C4D65" w:rsidRDefault="00A8050D">
            <w:pPr>
              <w:numPr>
                <w:ilvl w:val="0"/>
                <w:numId w:val="87"/>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Amend and harmonise Federation and cantonal laws/regulations prescribing ways, conditions and agencies responsible for issuing </w:t>
            </w:r>
            <w:proofErr w:type="gramStart"/>
            <w:r w:rsidRPr="007C4D65">
              <w:rPr>
                <w:rFonts w:asciiTheme="minorHAnsi" w:hAnsiTheme="minorHAnsi" w:cstheme="minorHAnsi"/>
                <w:sz w:val="18"/>
                <w:szCs w:val="18"/>
              </w:rPr>
              <w:t>concessions</w:t>
            </w:r>
            <w:r w:rsidR="00C90B32" w:rsidRPr="007C4D65">
              <w:rPr>
                <w:rFonts w:asciiTheme="minorHAnsi" w:hAnsiTheme="minorHAnsi" w:cstheme="minorHAnsi"/>
                <w:sz w:val="18"/>
                <w:szCs w:val="18"/>
              </w:rPr>
              <w:t>;</w:t>
            </w:r>
            <w:proofErr w:type="gramEnd"/>
          </w:p>
          <w:p w14:paraId="50563276" w14:textId="08062F6C" w:rsidR="00A8050D" w:rsidRPr="007C4D65" w:rsidRDefault="00A8050D" w:rsidP="00DB5E0B">
            <w:pPr>
              <w:numPr>
                <w:ilvl w:val="0"/>
                <w:numId w:val="87"/>
              </w:numPr>
              <w:spacing w:before="40" w:after="40" w:line="276" w:lineRule="auto"/>
              <w:ind w:left="357" w:hanging="357"/>
              <w:contextualSpacing/>
              <w:rPr>
                <w:rFonts w:asciiTheme="minorHAnsi" w:eastAsia="Calibri" w:hAnsiTheme="minorHAnsi" w:cstheme="minorHAnsi"/>
                <w:sz w:val="18"/>
                <w:szCs w:val="18"/>
              </w:rPr>
            </w:pPr>
            <w:r w:rsidRPr="007C4D65">
              <w:rPr>
                <w:rFonts w:asciiTheme="minorHAnsi" w:hAnsiTheme="minorHAnsi" w:cstheme="minorHAnsi"/>
                <w:sz w:val="18"/>
                <w:szCs w:val="18"/>
              </w:rPr>
              <w:t>Federation and cantonal laws/regulations in the field of concessions to be aligned with provisions of the Law on Amendments to the Law on Electrical</w:t>
            </w:r>
            <w:r w:rsidR="00C90B32" w:rsidRPr="007C4D65">
              <w:rPr>
                <w:rFonts w:asciiTheme="minorHAnsi" w:hAnsiTheme="minorHAnsi" w:cstheme="minorHAnsi"/>
                <w:sz w:val="18"/>
                <w:szCs w:val="18"/>
              </w:rPr>
              <w:t xml:space="preserve"> </w:t>
            </w:r>
            <w:r w:rsidRPr="007C4D65">
              <w:rPr>
                <w:rFonts w:asciiTheme="minorHAnsi" w:hAnsiTheme="minorHAnsi" w:cstheme="minorHAnsi"/>
                <w:sz w:val="18"/>
                <w:szCs w:val="18"/>
              </w:rPr>
              <w:t xml:space="preserve">Power in the Federation of BiH, which prohibits planning and constructing new </w:t>
            </w:r>
            <w:r w:rsidR="00A46B27" w:rsidRPr="007C4D65">
              <w:rPr>
                <w:rFonts w:asciiTheme="minorHAnsi" w:hAnsiTheme="minorHAnsi" w:cstheme="minorHAnsi"/>
                <w:sz w:val="18"/>
                <w:szCs w:val="18"/>
              </w:rPr>
              <w:t>SHPP</w:t>
            </w:r>
            <w:r w:rsidRPr="007C4D65">
              <w:rPr>
                <w:rFonts w:asciiTheme="minorHAnsi" w:hAnsiTheme="minorHAnsi" w:cstheme="minorHAnsi"/>
                <w:sz w:val="18"/>
                <w:szCs w:val="18"/>
              </w:rPr>
              <w:t>s up to 10 MW in the Federation of BiH. (July 2022</w:t>
            </w:r>
            <w:proofErr w:type="gramStart"/>
            <w:r w:rsidRPr="007C4D65">
              <w:rPr>
                <w:rFonts w:asciiTheme="minorHAnsi" w:hAnsiTheme="minorHAnsi" w:cstheme="minorHAnsi"/>
                <w:i/>
                <w:sz w:val="18"/>
                <w:szCs w:val="18"/>
                <w:shd w:val="clear" w:color="auto" w:fill="FFFFFF"/>
              </w:rPr>
              <w:t>)</w:t>
            </w:r>
            <w:r w:rsidR="00C90B32" w:rsidRPr="007C4D65">
              <w:rPr>
                <w:rFonts w:asciiTheme="minorHAnsi" w:eastAsia="Calibri" w:hAnsiTheme="minorHAnsi" w:cstheme="minorHAnsi"/>
                <w:sz w:val="18"/>
                <w:szCs w:val="18"/>
              </w:rPr>
              <w:t>;</w:t>
            </w:r>
            <w:proofErr w:type="gramEnd"/>
          </w:p>
          <w:p w14:paraId="15DAAFF9" w14:textId="391FFF0C" w:rsidR="00A8050D" w:rsidRPr="007C4D65" w:rsidRDefault="00A8050D">
            <w:pPr>
              <w:numPr>
                <w:ilvl w:val="0"/>
                <w:numId w:val="87"/>
              </w:numPr>
              <w:spacing w:before="40" w:after="40" w:line="276" w:lineRule="auto"/>
              <w:ind w:left="357" w:hanging="357"/>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Adopt new Rulebook on </w:t>
            </w:r>
            <w:r w:rsidR="00C90B32" w:rsidRPr="007C4D65">
              <w:rPr>
                <w:rFonts w:asciiTheme="minorHAnsi" w:hAnsiTheme="minorHAnsi" w:cstheme="minorHAnsi"/>
                <w:sz w:val="18"/>
                <w:szCs w:val="18"/>
              </w:rPr>
              <w:t xml:space="preserve">environmental </w:t>
            </w:r>
            <w:proofErr w:type="gramStart"/>
            <w:r w:rsidR="00C90B32" w:rsidRPr="007C4D65">
              <w:rPr>
                <w:rFonts w:asciiTheme="minorHAnsi" w:hAnsiTheme="minorHAnsi" w:cstheme="minorHAnsi"/>
                <w:sz w:val="18"/>
                <w:szCs w:val="18"/>
              </w:rPr>
              <w:t>flaw</w:t>
            </w:r>
            <w:r w:rsidR="00C90B32" w:rsidRPr="007C4D65">
              <w:rPr>
                <w:rFonts w:asciiTheme="minorHAnsi" w:eastAsia="Calibri" w:hAnsiTheme="minorHAnsi" w:cstheme="minorHAnsi"/>
                <w:sz w:val="18"/>
                <w:szCs w:val="18"/>
              </w:rPr>
              <w:t>;</w:t>
            </w:r>
            <w:proofErr w:type="gramEnd"/>
          </w:p>
          <w:p w14:paraId="019DB030" w14:textId="77777777" w:rsidR="00A8050D" w:rsidRPr="007C4D65" w:rsidRDefault="00A8050D">
            <w:pPr>
              <w:numPr>
                <w:ilvl w:val="0"/>
                <w:numId w:val="87"/>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Adopt amendments / changes of secondary legislation for level of the Federation of BiH that are relevant for issuing concessions for use of water resources for the Federation of BiH </w:t>
            </w:r>
          </w:p>
        </w:tc>
      </w:tr>
      <w:tr w:rsidR="00A8050D" w:rsidRPr="007C4D65" w14:paraId="528B705B" w14:textId="77777777" w:rsidTr="00B6017F">
        <w:trPr>
          <w:trHeight w:val="567"/>
        </w:trPr>
        <w:tc>
          <w:tcPr>
            <w:tcW w:w="1372" w:type="pct"/>
            <w:shd w:val="clear" w:color="auto" w:fill="009D73"/>
            <w:vAlign w:val="center"/>
          </w:tcPr>
          <w:p w14:paraId="6500E6A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Key strategic projects</w:t>
            </w:r>
          </w:p>
        </w:tc>
        <w:tc>
          <w:tcPr>
            <w:tcW w:w="3628" w:type="pct"/>
            <w:gridSpan w:val="3"/>
            <w:vAlign w:val="center"/>
          </w:tcPr>
          <w:p w14:paraId="6E9E861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011C5D3F" w14:textId="77777777" w:rsidTr="00B6017F">
        <w:trPr>
          <w:trHeight w:val="567"/>
        </w:trPr>
        <w:tc>
          <w:tcPr>
            <w:tcW w:w="1372" w:type="pct"/>
            <w:vMerge w:val="restart"/>
            <w:shd w:val="clear" w:color="auto" w:fill="009D73"/>
            <w:vAlign w:val="center"/>
          </w:tcPr>
          <w:p w14:paraId="4A6235E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91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4BA35B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66AB3E56" w14:textId="77E14FEB"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01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283646C"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15B074C1"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70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D7BCAB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02A65668" w14:textId="77777777" w:rsidTr="00B6017F">
        <w:trPr>
          <w:trHeight w:val="567"/>
        </w:trPr>
        <w:tc>
          <w:tcPr>
            <w:tcW w:w="1372" w:type="pct"/>
            <w:vMerge/>
            <w:shd w:val="clear" w:color="auto" w:fill="009D73"/>
            <w:vAlign w:val="center"/>
          </w:tcPr>
          <w:p w14:paraId="3831E50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915" w:type="pct"/>
            <w:vAlign w:val="center"/>
          </w:tcPr>
          <w:p w14:paraId="6D2CC8D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Status of the process of adoption of amended Federation and cantonal laws/regulations</w:t>
            </w:r>
          </w:p>
        </w:tc>
        <w:tc>
          <w:tcPr>
            <w:tcW w:w="1011" w:type="pct"/>
            <w:vAlign w:val="center"/>
          </w:tcPr>
          <w:p w14:paraId="6A20B57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Amendments have not been drafted</w:t>
            </w:r>
          </w:p>
        </w:tc>
        <w:tc>
          <w:tcPr>
            <w:tcW w:w="1702" w:type="pct"/>
            <w:vAlign w:val="center"/>
          </w:tcPr>
          <w:p w14:paraId="03DF8C34" w14:textId="77777777" w:rsidR="00A8050D" w:rsidRPr="007C4D65" w:rsidRDefault="00A8050D">
            <w:pPr>
              <w:pStyle w:val="ListParagraph"/>
              <w:numPr>
                <w:ilvl w:val="0"/>
                <w:numId w:val="211"/>
              </w:numPr>
              <w:spacing w:before="40" w:after="40" w:line="276" w:lineRule="auto"/>
              <w:ind w:left="291"/>
              <w:rPr>
                <w:rFonts w:asciiTheme="minorHAnsi" w:hAnsiTheme="minorHAnsi" w:cstheme="minorHAnsi"/>
                <w:sz w:val="18"/>
                <w:szCs w:val="18"/>
              </w:rPr>
            </w:pPr>
            <w:r w:rsidRPr="007C4D65">
              <w:rPr>
                <w:rFonts w:asciiTheme="minorHAnsi" w:hAnsiTheme="minorHAnsi" w:cstheme="minorHAnsi"/>
                <w:sz w:val="18"/>
                <w:szCs w:val="18"/>
              </w:rPr>
              <w:t>Amended and harmonised the Federation and cantonal laws/regulations prescribing ways, conditions and agencies responsible for issuing concessions (2025)</w:t>
            </w:r>
          </w:p>
          <w:p w14:paraId="321249CF" w14:textId="4934DA4F" w:rsidR="00A8050D" w:rsidRPr="007C4D65" w:rsidRDefault="00A8050D">
            <w:pPr>
              <w:pStyle w:val="ListParagraph"/>
              <w:numPr>
                <w:ilvl w:val="0"/>
                <w:numId w:val="211"/>
              </w:numPr>
              <w:spacing w:before="40" w:after="40" w:line="276" w:lineRule="auto"/>
              <w:ind w:left="291"/>
              <w:rPr>
                <w:rFonts w:asciiTheme="minorHAnsi" w:hAnsiTheme="minorHAnsi" w:cstheme="minorHAnsi"/>
                <w:sz w:val="18"/>
                <w:szCs w:val="18"/>
              </w:rPr>
            </w:pPr>
            <w:r w:rsidRPr="007C4D65">
              <w:rPr>
                <w:rFonts w:asciiTheme="minorHAnsi" w:hAnsiTheme="minorHAnsi" w:cstheme="minorHAnsi"/>
                <w:sz w:val="18"/>
                <w:szCs w:val="18"/>
              </w:rPr>
              <w:t xml:space="preserve">Federation and cantonal laws/ regulations on concessions and other relevant legislation aligned with provisions of the Law on Amendments to the Law on Electrical Power in the Federation of BiH that prohibit planning and constructing new </w:t>
            </w:r>
            <w:r w:rsidR="00A46B27" w:rsidRPr="007C4D65">
              <w:rPr>
                <w:rFonts w:asciiTheme="minorHAnsi" w:hAnsiTheme="minorHAnsi" w:cstheme="minorHAnsi"/>
                <w:sz w:val="18"/>
                <w:szCs w:val="18"/>
              </w:rPr>
              <w:t>SHPP</w:t>
            </w:r>
            <w:r w:rsidRPr="007C4D65">
              <w:rPr>
                <w:rFonts w:asciiTheme="minorHAnsi" w:hAnsiTheme="minorHAnsi" w:cstheme="minorHAnsi"/>
                <w:sz w:val="18"/>
                <w:szCs w:val="18"/>
              </w:rPr>
              <w:t>s of up to 10 MW in the Federation of BiH. (July 2022).</w:t>
            </w:r>
          </w:p>
        </w:tc>
      </w:tr>
      <w:tr w:rsidR="00A8050D" w:rsidRPr="007C4D65" w14:paraId="59EFEDF7" w14:textId="77777777" w:rsidTr="00B6017F">
        <w:trPr>
          <w:trHeight w:val="567"/>
        </w:trPr>
        <w:tc>
          <w:tcPr>
            <w:tcW w:w="1372" w:type="pct"/>
            <w:vMerge/>
            <w:shd w:val="clear" w:color="auto" w:fill="009D73"/>
            <w:vAlign w:val="center"/>
          </w:tcPr>
          <w:p w14:paraId="424D7CD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915" w:type="pct"/>
            <w:vAlign w:val="center"/>
          </w:tcPr>
          <w:p w14:paraId="31BB32A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Status of the process of adoption of amended / changed secondary legislation relevant for issuing concessions for use of water resources in the Federation of BiH </w:t>
            </w:r>
          </w:p>
        </w:tc>
        <w:tc>
          <w:tcPr>
            <w:tcW w:w="1011" w:type="pct"/>
            <w:vAlign w:val="center"/>
          </w:tcPr>
          <w:p w14:paraId="759211E4" w14:textId="77777777" w:rsidR="00A8050D" w:rsidRPr="007C4D65" w:rsidRDefault="00A8050D" w:rsidP="00B6017F">
            <w:pPr>
              <w:spacing w:line="276" w:lineRule="auto"/>
              <w:ind w:right="284"/>
              <w:rPr>
                <w:rFonts w:asciiTheme="minorHAnsi" w:hAnsiTheme="minorHAnsi" w:cstheme="minorHAnsi"/>
                <w:sz w:val="18"/>
                <w:szCs w:val="18"/>
              </w:rPr>
            </w:pPr>
            <w:r w:rsidRPr="007C4D65">
              <w:rPr>
                <w:rFonts w:asciiTheme="minorHAnsi" w:hAnsiTheme="minorHAnsi" w:cstheme="minorHAnsi"/>
                <w:sz w:val="18"/>
                <w:szCs w:val="18"/>
              </w:rPr>
              <w:t>The following analyses are made for the Federation of BiH:</w:t>
            </w:r>
          </w:p>
          <w:p w14:paraId="7FC55C00" w14:textId="5392DC0C" w:rsidR="00A8050D" w:rsidRPr="007C4D65" w:rsidRDefault="00A8050D">
            <w:pPr>
              <w:pStyle w:val="ListParagraph"/>
              <w:numPr>
                <w:ilvl w:val="0"/>
                <w:numId w:val="212"/>
              </w:numPr>
              <w:spacing w:line="276" w:lineRule="auto"/>
              <w:ind w:left="324" w:hanging="283"/>
              <w:rPr>
                <w:rFonts w:asciiTheme="minorHAnsi" w:hAnsiTheme="minorHAnsi" w:cstheme="minorHAnsi"/>
                <w:sz w:val="18"/>
                <w:szCs w:val="18"/>
              </w:rPr>
            </w:pPr>
            <w:r w:rsidRPr="007C4D65">
              <w:rPr>
                <w:rFonts w:asciiTheme="minorHAnsi" w:hAnsiTheme="minorHAnsi" w:cstheme="minorHAnsi"/>
                <w:sz w:val="18"/>
                <w:szCs w:val="18"/>
              </w:rPr>
              <w:t xml:space="preserve">Developed draft of the new Rulebook on </w:t>
            </w:r>
            <w:r w:rsidR="00C90B32" w:rsidRPr="007C4D65">
              <w:rPr>
                <w:rFonts w:asciiTheme="minorHAnsi" w:hAnsiTheme="minorHAnsi" w:cstheme="minorHAnsi"/>
                <w:sz w:val="18"/>
                <w:szCs w:val="18"/>
              </w:rPr>
              <w:t>environmental flaw</w:t>
            </w:r>
            <w:r w:rsidRPr="007C4D65">
              <w:rPr>
                <w:rFonts w:asciiTheme="minorHAnsi" w:hAnsiTheme="minorHAnsi" w:cstheme="minorHAnsi"/>
                <w:sz w:val="18"/>
                <w:szCs w:val="18"/>
              </w:rPr>
              <w:t xml:space="preserve"> </w:t>
            </w:r>
          </w:p>
          <w:p w14:paraId="516755B9" w14:textId="44AD22A8" w:rsidR="00A8050D" w:rsidRPr="007C4D65" w:rsidRDefault="00A8050D">
            <w:pPr>
              <w:numPr>
                <w:ilvl w:val="0"/>
                <w:numId w:val="202"/>
              </w:numPr>
              <w:spacing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 xml:space="preserve">Applicability of the catalogue of sustainable development criteria in the sector of </w:t>
            </w:r>
            <w:r w:rsidR="00A46B27" w:rsidRPr="007C4D65">
              <w:rPr>
                <w:rFonts w:asciiTheme="minorHAnsi" w:hAnsiTheme="minorHAnsi" w:cstheme="minorHAnsi"/>
                <w:sz w:val="18"/>
                <w:szCs w:val="18"/>
              </w:rPr>
              <w:t>SHPP</w:t>
            </w:r>
            <w:r w:rsidRPr="007C4D65">
              <w:rPr>
                <w:rFonts w:asciiTheme="minorHAnsi" w:hAnsiTheme="minorHAnsi" w:cstheme="minorHAnsi"/>
                <w:sz w:val="18"/>
                <w:szCs w:val="18"/>
              </w:rPr>
              <w:t xml:space="preserve">s, and </w:t>
            </w:r>
          </w:p>
          <w:p w14:paraId="04507F70" w14:textId="378A8C97" w:rsidR="00A8050D" w:rsidRPr="007C4D65" w:rsidRDefault="00A8050D">
            <w:pPr>
              <w:numPr>
                <w:ilvl w:val="0"/>
                <w:numId w:val="202"/>
              </w:numPr>
              <w:spacing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 xml:space="preserve">on the way of adopting the Decision for applying the catalogue of criteria* for </w:t>
            </w:r>
            <w:r w:rsidR="00A46B27" w:rsidRPr="007C4D65">
              <w:rPr>
                <w:rFonts w:asciiTheme="minorHAnsi" w:hAnsiTheme="minorHAnsi" w:cstheme="minorHAnsi"/>
                <w:sz w:val="18"/>
                <w:szCs w:val="18"/>
              </w:rPr>
              <w:t>SHPP</w:t>
            </w:r>
            <w:r w:rsidRPr="007C4D65">
              <w:rPr>
                <w:rFonts w:asciiTheme="minorHAnsi" w:hAnsiTheme="minorHAnsi" w:cstheme="minorHAnsi"/>
                <w:sz w:val="18"/>
                <w:szCs w:val="18"/>
              </w:rPr>
              <w:t>s by the Government of the Federation of BiH</w:t>
            </w:r>
          </w:p>
          <w:p w14:paraId="1F35AE60" w14:textId="789441F5" w:rsidR="00A8050D" w:rsidRPr="007C4D65" w:rsidRDefault="00A8050D" w:rsidP="00B6017F">
            <w:pPr>
              <w:spacing w:line="276" w:lineRule="auto"/>
              <w:contextualSpacing/>
              <w:rPr>
                <w:rFonts w:asciiTheme="minorHAnsi" w:hAnsiTheme="minorHAnsi" w:cstheme="minorHAnsi"/>
                <w:i/>
                <w:iCs/>
                <w:sz w:val="18"/>
                <w:szCs w:val="18"/>
              </w:rPr>
            </w:pPr>
            <w:r w:rsidRPr="007C4D65">
              <w:rPr>
                <w:rFonts w:asciiTheme="minorHAnsi" w:hAnsiTheme="minorHAnsi" w:cstheme="minorHAnsi"/>
                <w:i/>
                <w:iCs/>
                <w:sz w:val="18"/>
                <w:szCs w:val="18"/>
              </w:rPr>
              <w:t xml:space="preserve">*Note: In consideration of the adopted Law on Amendments to the Law on Electrical Power in FBiH (July 2022) that prohibits planning and construction of new </w:t>
            </w:r>
            <w:r w:rsidR="00A46B27" w:rsidRPr="007C4D65">
              <w:rPr>
                <w:rFonts w:asciiTheme="minorHAnsi" w:hAnsiTheme="minorHAnsi" w:cstheme="minorHAnsi"/>
                <w:i/>
                <w:iCs/>
                <w:sz w:val="18"/>
                <w:szCs w:val="18"/>
              </w:rPr>
              <w:t>SHPP</w:t>
            </w:r>
            <w:r w:rsidRPr="007C4D65">
              <w:rPr>
                <w:rFonts w:asciiTheme="minorHAnsi" w:hAnsiTheme="minorHAnsi" w:cstheme="minorHAnsi"/>
                <w:i/>
                <w:iCs/>
                <w:sz w:val="18"/>
                <w:szCs w:val="18"/>
              </w:rPr>
              <w:t xml:space="preserve">s in FBiH, the catalogue of criteria shall not apply to planning and constructing new </w:t>
            </w:r>
            <w:r w:rsidR="00A46B27" w:rsidRPr="007C4D65">
              <w:rPr>
                <w:rFonts w:asciiTheme="minorHAnsi" w:hAnsiTheme="minorHAnsi" w:cstheme="minorHAnsi"/>
                <w:i/>
                <w:iCs/>
                <w:sz w:val="18"/>
                <w:szCs w:val="18"/>
              </w:rPr>
              <w:t>SHPP</w:t>
            </w:r>
            <w:r w:rsidRPr="007C4D65">
              <w:rPr>
                <w:rFonts w:asciiTheme="minorHAnsi" w:hAnsiTheme="minorHAnsi" w:cstheme="minorHAnsi"/>
                <w:i/>
                <w:iCs/>
                <w:sz w:val="18"/>
                <w:szCs w:val="18"/>
              </w:rPr>
              <w:t xml:space="preserve">s.  </w:t>
            </w:r>
          </w:p>
        </w:tc>
        <w:tc>
          <w:tcPr>
            <w:tcW w:w="1702" w:type="pct"/>
            <w:vAlign w:val="center"/>
          </w:tcPr>
          <w:p w14:paraId="696F65AD" w14:textId="4C57EE18" w:rsidR="00A8050D" w:rsidRPr="007C4D65" w:rsidRDefault="00A8050D">
            <w:pPr>
              <w:pStyle w:val="ListParagraph"/>
              <w:numPr>
                <w:ilvl w:val="0"/>
                <w:numId w:val="213"/>
              </w:numPr>
              <w:spacing w:line="276" w:lineRule="auto"/>
              <w:ind w:left="291" w:hanging="283"/>
              <w:rPr>
                <w:rFonts w:asciiTheme="minorHAnsi" w:eastAsia="Calibri" w:hAnsiTheme="minorHAnsi" w:cstheme="minorHAnsi"/>
                <w:sz w:val="18"/>
                <w:szCs w:val="18"/>
              </w:rPr>
            </w:pPr>
            <w:r w:rsidRPr="007C4D65">
              <w:rPr>
                <w:rFonts w:asciiTheme="minorHAnsi" w:hAnsiTheme="minorHAnsi" w:cstheme="minorHAnsi"/>
                <w:sz w:val="18"/>
                <w:szCs w:val="18"/>
              </w:rPr>
              <w:t xml:space="preserve">Adopted new Rulebook on </w:t>
            </w:r>
            <w:r w:rsidR="00C90B32" w:rsidRPr="007C4D65">
              <w:rPr>
                <w:rFonts w:asciiTheme="minorHAnsi" w:hAnsiTheme="minorHAnsi" w:cstheme="minorHAnsi"/>
                <w:sz w:val="18"/>
                <w:szCs w:val="18"/>
              </w:rPr>
              <w:t>environmental flaw</w:t>
            </w:r>
            <w:r w:rsidRPr="007C4D65">
              <w:rPr>
                <w:rFonts w:asciiTheme="minorHAnsi" w:hAnsiTheme="minorHAnsi" w:cstheme="minorHAnsi"/>
                <w:sz w:val="18"/>
                <w:szCs w:val="18"/>
              </w:rPr>
              <w:t xml:space="preserve"> </w:t>
            </w:r>
          </w:p>
          <w:p w14:paraId="719C7EA7" w14:textId="77777777" w:rsidR="00A8050D" w:rsidRPr="007C4D65" w:rsidRDefault="00A8050D">
            <w:pPr>
              <w:pStyle w:val="ListParagraph"/>
              <w:numPr>
                <w:ilvl w:val="0"/>
                <w:numId w:val="213"/>
              </w:numPr>
              <w:spacing w:line="276" w:lineRule="auto"/>
              <w:ind w:left="291" w:hanging="283"/>
              <w:rPr>
                <w:rFonts w:asciiTheme="minorHAnsi" w:eastAsia="Calibri" w:hAnsiTheme="minorHAnsi" w:cstheme="minorHAnsi"/>
                <w:sz w:val="18"/>
                <w:szCs w:val="18"/>
              </w:rPr>
            </w:pPr>
            <w:r w:rsidRPr="007C4D65">
              <w:rPr>
                <w:rFonts w:asciiTheme="minorHAnsi" w:hAnsiTheme="minorHAnsi" w:cstheme="minorHAnsi"/>
                <w:sz w:val="18"/>
                <w:szCs w:val="18"/>
              </w:rPr>
              <w:t xml:space="preserve">Article 5 changed by decision of the Government of the Federation of BiH Rules on the procedure for awarding concession </w:t>
            </w:r>
          </w:p>
          <w:p w14:paraId="1BB3C096" w14:textId="7DBABB19" w:rsidR="00A8050D" w:rsidRPr="007C4D65" w:rsidRDefault="00A8050D">
            <w:pPr>
              <w:pStyle w:val="ListParagraph"/>
              <w:numPr>
                <w:ilvl w:val="0"/>
                <w:numId w:val="213"/>
              </w:numPr>
              <w:spacing w:line="276" w:lineRule="auto"/>
              <w:ind w:left="291" w:hanging="283"/>
              <w:rPr>
                <w:rFonts w:asciiTheme="minorHAnsi" w:eastAsia="Calibri" w:hAnsiTheme="minorHAnsi" w:cstheme="minorHAnsi"/>
                <w:sz w:val="18"/>
                <w:szCs w:val="18"/>
              </w:rPr>
            </w:pPr>
            <w:r w:rsidRPr="007C4D65">
              <w:rPr>
                <w:rFonts w:asciiTheme="minorHAnsi" w:hAnsiTheme="minorHAnsi" w:cstheme="minorHAnsi"/>
                <w:sz w:val="18"/>
                <w:szCs w:val="18"/>
              </w:rPr>
              <w:t xml:space="preserve">Federation of BiH and cantons recommended to use catalogue of criteria as a tool and assistance for the cantonal bodies. and as guidance and assistance when extending or challenging the extension of water acts for the existing </w:t>
            </w:r>
            <w:r w:rsidR="00A46B27" w:rsidRPr="007C4D65">
              <w:rPr>
                <w:rFonts w:asciiTheme="minorHAnsi" w:hAnsiTheme="minorHAnsi" w:cstheme="minorHAnsi"/>
                <w:sz w:val="18"/>
                <w:szCs w:val="18"/>
              </w:rPr>
              <w:t>SHPP</w:t>
            </w:r>
            <w:r w:rsidRPr="007C4D65">
              <w:rPr>
                <w:rFonts w:asciiTheme="minorHAnsi" w:hAnsiTheme="minorHAnsi" w:cstheme="minorHAnsi"/>
                <w:sz w:val="18"/>
                <w:szCs w:val="18"/>
              </w:rPr>
              <w:t xml:space="preserve">s.    </w:t>
            </w:r>
          </w:p>
        </w:tc>
      </w:tr>
      <w:tr w:rsidR="00A8050D" w:rsidRPr="007C4D65" w14:paraId="4D2EA172" w14:textId="77777777" w:rsidTr="00B6017F">
        <w:trPr>
          <w:trHeight w:val="567"/>
        </w:trPr>
        <w:tc>
          <w:tcPr>
            <w:tcW w:w="1372" w:type="pct"/>
            <w:shd w:val="clear" w:color="auto" w:fill="009D73"/>
            <w:vAlign w:val="center"/>
          </w:tcPr>
          <w:p w14:paraId="648914C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628" w:type="pct"/>
            <w:gridSpan w:val="3"/>
            <w:vAlign w:val="center"/>
          </w:tcPr>
          <w:p w14:paraId="79EE7C9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Implementation of the good governance principles increases transparency, efficiency and accountability of institutions in the process of awarding concessions for us of water, while at the same time minimizing adverse environmental impact</w:t>
            </w:r>
          </w:p>
        </w:tc>
      </w:tr>
      <w:tr w:rsidR="00A8050D" w:rsidRPr="007C4D65" w14:paraId="790E3ABF" w14:textId="77777777" w:rsidTr="00B6017F">
        <w:trPr>
          <w:trHeight w:val="567"/>
        </w:trPr>
        <w:tc>
          <w:tcPr>
            <w:tcW w:w="1372" w:type="pct"/>
            <w:shd w:val="clear" w:color="auto" w:fill="009D73"/>
            <w:vAlign w:val="center"/>
          </w:tcPr>
          <w:p w14:paraId="10F45E2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specification of sources</w:t>
            </w:r>
          </w:p>
        </w:tc>
        <w:tc>
          <w:tcPr>
            <w:tcW w:w="3628" w:type="pct"/>
            <w:gridSpan w:val="3"/>
            <w:vAlign w:val="center"/>
          </w:tcPr>
          <w:p w14:paraId="09CD639A" w14:textId="77777777"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Amount: BAM 79,209 </w:t>
            </w:r>
          </w:p>
          <w:p w14:paraId="2772C577"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Source: 100% government budget</w:t>
            </w:r>
          </w:p>
        </w:tc>
      </w:tr>
      <w:tr w:rsidR="00A8050D" w:rsidRPr="007C4D65" w14:paraId="12312D6E" w14:textId="77777777" w:rsidTr="00B6017F">
        <w:trPr>
          <w:trHeight w:val="567"/>
        </w:trPr>
        <w:tc>
          <w:tcPr>
            <w:tcW w:w="1372" w:type="pct"/>
            <w:shd w:val="clear" w:color="auto" w:fill="009D73"/>
            <w:vAlign w:val="center"/>
          </w:tcPr>
          <w:p w14:paraId="31F0AD6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628" w:type="pct"/>
            <w:gridSpan w:val="3"/>
            <w:vAlign w:val="center"/>
          </w:tcPr>
          <w:p w14:paraId="7938C6D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2025</w:t>
            </w:r>
          </w:p>
        </w:tc>
      </w:tr>
      <w:tr w:rsidR="00A8050D" w:rsidRPr="007C4D65" w14:paraId="740C4A2F" w14:textId="77777777" w:rsidTr="00B6017F">
        <w:trPr>
          <w:trHeight w:val="567"/>
        </w:trPr>
        <w:tc>
          <w:tcPr>
            <w:tcW w:w="1372" w:type="pct"/>
            <w:shd w:val="clear" w:color="auto" w:fill="009D73"/>
            <w:vAlign w:val="center"/>
          </w:tcPr>
          <w:p w14:paraId="03A88A3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628" w:type="pct"/>
            <w:gridSpan w:val="3"/>
            <w:vAlign w:val="center"/>
          </w:tcPr>
          <w:p w14:paraId="73CBFF4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FMSP (Federation Ministry of Spatial Planning)</w:t>
            </w:r>
          </w:p>
        </w:tc>
      </w:tr>
      <w:tr w:rsidR="00A8050D" w:rsidRPr="007C4D65" w14:paraId="68941435" w14:textId="77777777" w:rsidTr="00B6017F">
        <w:trPr>
          <w:trHeight w:val="567"/>
        </w:trPr>
        <w:tc>
          <w:tcPr>
            <w:tcW w:w="1372" w:type="pct"/>
            <w:shd w:val="clear" w:color="auto" w:fill="009D73"/>
            <w:vAlign w:val="center"/>
          </w:tcPr>
          <w:p w14:paraId="1686EAB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institutions for the measure</w:t>
            </w:r>
          </w:p>
        </w:tc>
        <w:tc>
          <w:tcPr>
            <w:tcW w:w="3628" w:type="pct"/>
            <w:gridSpan w:val="3"/>
            <w:vAlign w:val="center"/>
          </w:tcPr>
          <w:p w14:paraId="50E7D2F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color w:val="000000"/>
                <w:sz w:val="18"/>
                <w:szCs w:val="18"/>
              </w:rPr>
              <w:t xml:space="preserve">Federation Commission for Concessions, cantonal bodies with competences for concessions, ministries (Federation and cantonal) competent for concessions as provided in law, FMEMI, FMAWMF, SRBA, ASWA  </w:t>
            </w:r>
          </w:p>
        </w:tc>
      </w:tr>
      <w:tr w:rsidR="00A8050D" w:rsidRPr="007C4D65" w14:paraId="04D3B84A" w14:textId="77777777" w:rsidTr="00B6017F">
        <w:trPr>
          <w:trHeight w:val="567"/>
        </w:trPr>
        <w:tc>
          <w:tcPr>
            <w:tcW w:w="1372" w:type="pct"/>
            <w:shd w:val="clear" w:color="auto" w:fill="009D73"/>
            <w:vAlign w:val="center"/>
          </w:tcPr>
          <w:p w14:paraId="13D818FD" w14:textId="331CD74A"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Target groups</w:t>
            </w:r>
          </w:p>
        </w:tc>
        <w:tc>
          <w:tcPr>
            <w:tcW w:w="3628" w:type="pct"/>
            <w:gridSpan w:val="3"/>
            <w:vAlign w:val="center"/>
          </w:tcPr>
          <w:p w14:paraId="64434C5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All institutions and people in the Federation of BiH</w:t>
            </w:r>
          </w:p>
        </w:tc>
      </w:tr>
    </w:tbl>
    <w:p w14:paraId="4951A1D5" w14:textId="77777777" w:rsidR="00A8050D" w:rsidRPr="007C4D65" w:rsidRDefault="00A8050D" w:rsidP="00A8050D">
      <w:pPr>
        <w:spacing w:line="276" w:lineRule="auto"/>
        <w:rPr>
          <w:rFonts w:asciiTheme="minorHAnsi" w:hAnsiTheme="minorHAnsi" w:cstheme="minorHAnsi"/>
          <w:sz w:val="18"/>
          <w:szCs w:val="18"/>
          <w:lang w:val="hr-HR"/>
        </w:rPr>
      </w:pPr>
    </w:p>
    <w:tbl>
      <w:tblPr>
        <w:tblStyle w:val="TABLICAHAOP7"/>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822"/>
        <w:gridCol w:w="2262"/>
        <w:gridCol w:w="4302"/>
        <w:gridCol w:w="3562"/>
      </w:tblGrid>
      <w:tr w:rsidR="00A8050D" w:rsidRPr="007C4D65" w14:paraId="165B15FB" w14:textId="77777777" w:rsidTr="00B6017F">
        <w:trPr>
          <w:trHeight w:val="567"/>
        </w:trPr>
        <w:tc>
          <w:tcPr>
            <w:tcW w:w="1370" w:type="pct"/>
            <w:shd w:val="clear" w:color="auto" w:fill="009D73"/>
            <w:vAlign w:val="center"/>
          </w:tcPr>
          <w:p w14:paraId="5BBA55FF" w14:textId="17B2286B"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630" w:type="pct"/>
            <w:gridSpan w:val="3"/>
            <w:vAlign w:val="center"/>
          </w:tcPr>
          <w:p w14:paraId="16820DE0"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74F16225" w14:textId="77777777" w:rsidTr="00B6017F">
        <w:trPr>
          <w:trHeight w:val="567"/>
        </w:trPr>
        <w:tc>
          <w:tcPr>
            <w:tcW w:w="1370" w:type="pct"/>
            <w:shd w:val="clear" w:color="auto" w:fill="009D73"/>
            <w:vAlign w:val="center"/>
          </w:tcPr>
          <w:p w14:paraId="3F66FC3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630" w:type="pct"/>
            <w:gridSpan w:val="3"/>
            <w:vAlign w:val="center"/>
          </w:tcPr>
          <w:p w14:paraId="6CE6FFD4" w14:textId="1EB95542"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1.3. Ensuring sufficient drinking water supplies and availability for public water supply purposes   </w:t>
            </w:r>
          </w:p>
        </w:tc>
      </w:tr>
      <w:tr w:rsidR="00A8050D" w:rsidRPr="007C4D65" w14:paraId="0FE25800" w14:textId="77777777" w:rsidTr="00B6017F">
        <w:trPr>
          <w:trHeight w:val="567"/>
        </w:trPr>
        <w:tc>
          <w:tcPr>
            <w:tcW w:w="1370" w:type="pct"/>
            <w:shd w:val="clear" w:color="auto" w:fill="009D73"/>
            <w:vAlign w:val="center"/>
          </w:tcPr>
          <w:p w14:paraId="6B4F28A3" w14:textId="52C11B68"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630" w:type="pct"/>
            <w:gridSpan w:val="3"/>
            <w:vAlign w:val="center"/>
          </w:tcPr>
          <w:p w14:paraId="56D6F784"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1.3.1. Development of the water supply systems that offer optimal solutions for LGUs, efficient distribution networks and safe drinking water</w:t>
            </w:r>
          </w:p>
        </w:tc>
      </w:tr>
      <w:tr w:rsidR="00A8050D" w:rsidRPr="007C4D65" w14:paraId="725177B3" w14:textId="77777777" w:rsidTr="00B6017F">
        <w:trPr>
          <w:trHeight w:val="567"/>
        </w:trPr>
        <w:tc>
          <w:tcPr>
            <w:tcW w:w="1370" w:type="pct"/>
            <w:shd w:val="clear" w:color="auto" w:fill="009D73"/>
            <w:vAlign w:val="center"/>
          </w:tcPr>
          <w:p w14:paraId="7956B1B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630" w:type="pct"/>
            <w:gridSpan w:val="3"/>
            <w:vAlign w:val="center"/>
          </w:tcPr>
          <w:p w14:paraId="0DEBCE4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This measure aims to plan improvement and development of technical and operational aspects of water supply services in urban and rural areas of the Federation of FBiH.</w:t>
            </w:r>
          </w:p>
          <w:p w14:paraId="2A5496A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General areas of intervention have been divided into two groups:</w:t>
            </w:r>
          </w:p>
          <w:p w14:paraId="0A24C5B0"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a) Improved management of unbilled water </w:t>
            </w:r>
          </w:p>
          <w:p w14:paraId="3FC0A0D1" w14:textId="0C36F08F"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 xml:space="preserve">a1) Develop plans to reduce and/or control unbilled water, projections of unbilled water for at least three following years (in the business plans, and in accordance with the Regulation on the methodology for determining the lowest basic price of water services in the Federation of BiH), and long-term target values and expected time needed to achieve </w:t>
            </w:r>
            <w:proofErr w:type="gramStart"/>
            <w:r w:rsidRPr="007C4D65">
              <w:rPr>
                <w:rFonts w:asciiTheme="minorHAnsi" w:hAnsiTheme="minorHAnsi" w:cstheme="minorHAnsi"/>
                <w:sz w:val="18"/>
                <w:szCs w:val="18"/>
              </w:rPr>
              <w:t>them</w:t>
            </w:r>
            <w:r w:rsidR="00C90B32" w:rsidRPr="007C4D65">
              <w:rPr>
                <w:rFonts w:asciiTheme="minorHAnsi" w:hAnsiTheme="minorHAnsi" w:cstheme="minorHAnsi"/>
                <w:sz w:val="18"/>
                <w:szCs w:val="18"/>
              </w:rPr>
              <w:t>;</w:t>
            </w:r>
            <w:proofErr w:type="gramEnd"/>
            <w:r w:rsidRPr="007C4D65">
              <w:rPr>
                <w:rFonts w:asciiTheme="minorHAnsi" w:hAnsiTheme="minorHAnsi" w:cstheme="minorHAnsi"/>
                <w:sz w:val="18"/>
                <w:szCs w:val="18"/>
              </w:rPr>
              <w:t xml:space="preserve"> </w:t>
            </w:r>
          </w:p>
          <w:p w14:paraId="5BE64E63" w14:textId="46241F73"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a2) Completed rehabilitation, replacement and construction of new infrastructure, and improved management of unbilled water</w:t>
            </w:r>
            <w:r w:rsidR="00C90B32" w:rsidRPr="007C4D65">
              <w:rPr>
                <w:rFonts w:asciiTheme="minorHAnsi" w:hAnsiTheme="minorHAnsi" w:cstheme="minorHAnsi"/>
                <w:sz w:val="18"/>
                <w:szCs w:val="18"/>
              </w:rPr>
              <w:t>.</w:t>
            </w:r>
          </w:p>
          <w:p w14:paraId="2D5A0B5A"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b) Optimisation of water supply systems in LGUs </w:t>
            </w:r>
          </w:p>
          <w:p w14:paraId="727237EF" w14:textId="7C8EB1C7"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 xml:space="preserve">b1) Develop master plans of water supply to LGUs inclusive of all prior assessments of cost-effectiveness of investments needed to optimise the </w:t>
            </w:r>
            <w:proofErr w:type="gramStart"/>
            <w:r w:rsidRPr="007C4D65">
              <w:rPr>
                <w:rFonts w:asciiTheme="minorHAnsi" w:hAnsiTheme="minorHAnsi" w:cstheme="minorHAnsi"/>
                <w:sz w:val="18"/>
                <w:szCs w:val="18"/>
              </w:rPr>
              <w:t>system</w:t>
            </w:r>
            <w:r w:rsidR="00C90B32" w:rsidRPr="007C4D65">
              <w:rPr>
                <w:rFonts w:asciiTheme="minorHAnsi" w:hAnsiTheme="minorHAnsi" w:cstheme="minorHAnsi"/>
                <w:sz w:val="18"/>
                <w:szCs w:val="18"/>
              </w:rPr>
              <w:t>;</w:t>
            </w:r>
            <w:proofErr w:type="gramEnd"/>
          </w:p>
          <w:p w14:paraId="22D8CD87" w14:textId="09472A24"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b2) Merge water supply companies (where justified) in the Federation of BiH or expansion of central system to sub-urban areas, or connection of rural areas to the central water supply systems</w:t>
            </w:r>
            <w:r w:rsidR="00C90B32" w:rsidRPr="007C4D65">
              <w:rPr>
                <w:rFonts w:asciiTheme="minorHAnsi" w:hAnsiTheme="minorHAnsi" w:cstheme="minorHAnsi"/>
                <w:sz w:val="18"/>
                <w:szCs w:val="18"/>
              </w:rPr>
              <w:t>.</w:t>
            </w:r>
          </w:p>
        </w:tc>
      </w:tr>
      <w:tr w:rsidR="00A8050D" w:rsidRPr="007C4D65" w14:paraId="01AC94BE" w14:textId="77777777" w:rsidTr="00B6017F">
        <w:trPr>
          <w:trHeight w:val="567"/>
        </w:trPr>
        <w:tc>
          <w:tcPr>
            <w:tcW w:w="1370" w:type="pct"/>
            <w:shd w:val="clear" w:color="auto" w:fill="009D73"/>
            <w:vAlign w:val="center"/>
          </w:tcPr>
          <w:p w14:paraId="3A6A0F0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Key strategic projects</w:t>
            </w:r>
          </w:p>
        </w:tc>
        <w:tc>
          <w:tcPr>
            <w:tcW w:w="3630" w:type="pct"/>
            <w:gridSpan w:val="3"/>
            <w:vAlign w:val="center"/>
          </w:tcPr>
          <w:p w14:paraId="11D05DD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46312A97" w14:textId="77777777" w:rsidTr="00B6017F">
        <w:trPr>
          <w:trHeight w:val="567"/>
        </w:trPr>
        <w:tc>
          <w:tcPr>
            <w:tcW w:w="1370" w:type="pct"/>
            <w:shd w:val="clear" w:color="auto" w:fill="009D73"/>
            <w:vAlign w:val="center"/>
          </w:tcPr>
          <w:p w14:paraId="54D2E0C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81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9058B5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24BF1B57" w14:textId="0D584C27"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54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2889BD1"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5DCE7824"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7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4E3E767"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0426427C" w14:textId="77777777" w:rsidTr="00B6017F">
        <w:trPr>
          <w:trHeight w:val="567"/>
        </w:trPr>
        <w:tc>
          <w:tcPr>
            <w:tcW w:w="1370" w:type="pct"/>
            <w:vMerge w:val="restart"/>
            <w:shd w:val="clear" w:color="auto" w:fill="009D73"/>
            <w:vAlign w:val="center"/>
          </w:tcPr>
          <w:p w14:paraId="673BCA5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811" w:type="pct"/>
            <w:vAlign w:val="center"/>
          </w:tcPr>
          <w:p w14:paraId="7BCDF2C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a1) Number of public utility companies (PUC) with developed plans for reduction and/or control of the unbilled water, in </w:t>
            </w:r>
            <w:r w:rsidRPr="007C4D65">
              <w:rPr>
                <w:rFonts w:asciiTheme="minorHAnsi" w:hAnsiTheme="minorHAnsi" w:cstheme="minorHAnsi"/>
                <w:sz w:val="18"/>
                <w:szCs w:val="18"/>
              </w:rPr>
              <w:lastRenderedPageBreak/>
              <w:t>accordance with the Methodology for determining minimum basic price of water services in the Federation of BiH</w:t>
            </w:r>
          </w:p>
        </w:tc>
        <w:tc>
          <w:tcPr>
            <w:tcW w:w="1542" w:type="pct"/>
            <w:vAlign w:val="center"/>
          </w:tcPr>
          <w:p w14:paraId="26E866BC" w14:textId="77777777" w:rsidR="00A8050D" w:rsidRPr="007C4D65" w:rsidRDefault="00A8050D">
            <w:pPr>
              <w:numPr>
                <w:ilvl w:val="0"/>
                <w:numId w:val="89"/>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lastRenderedPageBreak/>
              <w:t xml:space="preserve">Information on the number of PUCs who develop and implement plans for reduction the rate of unbilled water that is: </w:t>
            </w:r>
          </w:p>
          <w:p w14:paraId="3CBA000E" w14:textId="77777777" w:rsidR="00A8050D" w:rsidRPr="007C4D65" w:rsidRDefault="00A8050D">
            <w:pPr>
              <w:numPr>
                <w:ilvl w:val="0"/>
                <w:numId w:val="89"/>
              </w:numPr>
              <w:spacing w:before="40" w:after="40" w:line="276" w:lineRule="auto"/>
              <w:ind w:left="643"/>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in the </w:t>
            </w:r>
            <w:proofErr w:type="gramStart"/>
            <w:r w:rsidRPr="007C4D65">
              <w:rPr>
                <w:rFonts w:asciiTheme="minorHAnsi" w:hAnsiTheme="minorHAnsi" w:cstheme="minorHAnsi"/>
                <w:sz w:val="18"/>
                <w:szCs w:val="18"/>
              </w:rPr>
              <w:t>Sava river</w:t>
            </w:r>
            <w:proofErr w:type="gramEnd"/>
            <w:r w:rsidRPr="007C4D65">
              <w:rPr>
                <w:rFonts w:asciiTheme="minorHAnsi" w:hAnsiTheme="minorHAnsi" w:cstheme="minorHAnsi"/>
                <w:sz w:val="18"/>
                <w:szCs w:val="18"/>
              </w:rPr>
              <w:t xml:space="preserve"> basin: 16‒ 88%, average 65%, </w:t>
            </w:r>
          </w:p>
          <w:p w14:paraId="46A0F70C" w14:textId="77777777" w:rsidR="00A8050D" w:rsidRPr="007C4D65" w:rsidRDefault="00A8050D">
            <w:pPr>
              <w:numPr>
                <w:ilvl w:val="0"/>
                <w:numId w:val="89"/>
              </w:numPr>
              <w:spacing w:before="40" w:after="40" w:line="276" w:lineRule="auto"/>
              <w:ind w:left="643"/>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in the </w:t>
            </w:r>
            <w:proofErr w:type="gramStart"/>
            <w:r w:rsidRPr="007C4D65">
              <w:rPr>
                <w:rFonts w:asciiTheme="minorHAnsi" w:hAnsiTheme="minorHAnsi" w:cstheme="minorHAnsi"/>
                <w:sz w:val="18"/>
                <w:szCs w:val="18"/>
              </w:rPr>
              <w:t>Adriatic Sea river</w:t>
            </w:r>
            <w:proofErr w:type="gramEnd"/>
            <w:r w:rsidRPr="007C4D65">
              <w:rPr>
                <w:rFonts w:asciiTheme="minorHAnsi" w:hAnsiTheme="minorHAnsi" w:cstheme="minorHAnsi"/>
                <w:sz w:val="18"/>
                <w:szCs w:val="18"/>
              </w:rPr>
              <w:t xml:space="preserve"> basin: 23‒ 72%, average 46.11%</w:t>
            </w:r>
          </w:p>
          <w:p w14:paraId="283258A9" w14:textId="77777777" w:rsidR="00A8050D" w:rsidRPr="007C4D65" w:rsidRDefault="00A8050D">
            <w:pPr>
              <w:numPr>
                <w:ilvl w:val="0"/>
                <w:numId w:val="89"/>
              </w:numPr>
              <w:spacing w:before="40" w:after="40" w:line="276" w:lineRule="auto"/>
              <w:ind w:left="643"/>
              <w:contextualSpacing/>
              <w:rPr>
                <w:rFonts w:asciiTheme="minorHAnsi" w:hAnsiTheme="minorHAnsi" w:cstheme="minorHAnsi"/>
                <w:sz w:val="18"/>
                <w:szCs w:val="18"/>
              </w:rPr>
            </w:pPr>
            <w:r w:rsidRPr="007C4D65">
              <w:rPr>
                <w:rFonts w:asciiTheme="minorHAnsi" w:hAnsiTheme="minorHAnsi" w:cstheme="minorHAnsi"/>
                <w:sz w:val="18"/>
                <w:szCs w:val="18"/>
              </w:rPr>
              <w:lastRenderedPageBreak/>
              <w:t>The public utility companies (PUCs) have not started developing Plans as part of their business plans, in accordance with the Methodology for setting the minimum basic price of water services in the Federation of BiH)</w:t>
            </w:r>
          </w:p>
        </w:tc>
        <w:tc>
          <w:tcPr>
            <w:tcW w:w="1277" w:type="pct"/>
            <w:vAlign w:val="center"/>
          </w:tcPr>
          <w:p w14:paraId="2E8001F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 xml:space="preserve">All public utility companies, (PUCs) have developed plans for reduction and/or control of the unbilled water within their business plans, in accordance with the Methodology </w:t>
            </w:r>
            <w:r w:rsidRPr="007C4D65">
              <w:rPr>
                <w:rFonts w:asciiTheme="minorHAnsi" w:hAnsiTheme="minorHAnsi" w:cstheme="minorHAnsi"/>
                <w:sz w:val="18"/>
                <w:szCs w:val="18"/>
              </w:rPr>
              <w:lastRenderedPageBreak/>
              <w:t>for setting the minimum basic price of water services in the Federation of BiH.</w:t>
            </w:r>
          </w:p>
          <w:p w14:paraId="7FD75D61" w14:textId="77777777" w:rsidR="00A8050D" w:rsidRPr="007C4D65" w:rsidRDefault="00A8050D" w:rsidP="00B6017F">
            <w:pPr>
              <w:spacing w:before="40" w:after="40" w:line="276" w:lineRule="auto"/>
              <w:rPr>
                <w:rFonts w:asciiTheme="minorHAnsi" w:hAnsiTheme="minorHAnsi" w:cstheme="minorHAnsi"/>
                <w:sz w:val="18"/>
                <w:szCs w:val="18"/>
                <w:lang w:val="hr-HR"/>
              </w:rPr>
            </w:pPr>
          </w:p>
        </w:tc>
      </w:tr>
      <w:tr w:rsidR="00A8050D" w:rsidRPr="007C4D65" w14:paraId="3FCA8A32" w14:textId="77777777" w:rsidTr="00B6017F">
        <w:trPr>
          <w:trHeight w:val="567"/>
        </w:trPr>
        <w:tc>
          <w:tcPr>
            <w:tcW w:w="1370" w:type="pct"/>
            <w:vMerge/>
            <w:shd w:val="clear" w:color="auto" w:fill="009D73"/>
            <w:vAlign w:val="center"/>
          </w:tcPr>
          <w:p w14:paraId="4AD1466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811" w:type="pct"/>
            <w:shd w:val="clear" w:color="auto" w:fill="FFFFFF" w:themeFill="background1"/>
            <w:vAlign w:val="center"/>
          </w:tcPr>
          <w:p w14:paraId="598759A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a2) Level of performed infrastructural works and administrative activities for the purpose of reducing the rate of unbilled water in each PUC</w:t>
            </w:r>
          </w:p>
        </w:tc>
        <w:tc>
          <w:tcPr>
            <w:tcW w:w="1542" w:type="pct"/>
            <w:shd w:val="clear" w:color="auto" w:fill="FFFFFF" w:themeFill="background1"/>
            <w:vAlign w:val="center"/>
          </w:tcPr>
          <w:p w14:paraId="38863866" w14:textId="18F4E4FC"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Data not available</w:t>
            </w:r>
          </w:p>
        </w:tc>
        <w:tc>
          <w:tcPr>
            <w:tcW w:w="1277" w:type="pct"/>
            <w:shd w:val="clear" w:color="auto" w:fill="FFFFFF" w:themeFill="background1"/>
            <w:vAlign w:val="center"/>
          </w:tcPr>
          <w:p w14:paraId="102E82C4"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In all PUCs in the Federation of BiH achieved the planned level of implementation of the Plans</w:t>
            </w:r>
          </w:p>
          <w:p w14:paraId="635B4748" w14:textId="77777777" w:rsidR="00A8050D" w:rsidRPr="007C4D65" w:rsidRDefault="00A8050D">
            <w:pPr>
              <w:numPr>
                <w:ilvl w:val="0"/>
                <w:numId w:val="88"/>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Completed rehabilitation, replacement and construction of new infrastructure, and improved management of unbilled water (2023 -2034)</w:t>
            </w:r>
          </w:p>
        </w:tc>
      </w:tr>
      <w:tr w:rsidR="00A8050D" w:rsidRPr="007C4D65" w14:paraId="6E9ADA1D" w14:textId="77777777" w:rsidTr="00B6017F">
        <w:trPr>
          <w:trHeight w:val="567"/>
        </w:trPr>
        <w:tc>
          <w:tcPr>
            <w:tcW w:w="1370" w:type="pct"/>
            <w:vMerge/>
            <w:shd w:val="clear" w:color="auto" w:fill="009D73"/>
            <w:vAlign w:val="center"/>
          </w:tcPr>
          <w:p w14:paraId="58246F5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811" w:type="pct"/>
            <w:shd w:val="clear" w:color="auto" w:fill="FFFFFF" w:themeFill="background1"/>
            <w:vAlign w:val="center"/>
          </w:tcPr>
          <w:p w14:paraId="08D11C6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b) Number of LGUs who have developed Master Plans  </w:t>
            </w:r>
          </w:p>
        </w:tc>
        <w:tc>
          <w:tcPr>
            <w:tcW w:w="1542" w:type="pct"/>
            <w:shd w:val="clear" w:color="auto" w:fill="FFFFFF" w:themeFill="background1"/>
            <w:vAlign w:val="center"/>
          </w:tcPr>
          <w:p w14:paraId="593B582F" w14:textId="77777777" w:rsidR="00A8050D" w:rsidRPr="007C4D65" w:rsidRDefault="00A8050D" w:rsidP="00B6017F">
            <w:pPr>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Data not available </w:t>
            </w:r>
          </w:p>
        </w:tc>
        <w:tc>
          <w:tcPr>
            <w:tcW w:w="1277" w:type="pct"/>
            <w:shd w:val="clear" w:color="auto" w:fill="FFFFFF" w:themeFill="background1"/>
            <w:vAlign w:val="center"/>
          </w:tcPr>
          <w:p w14:paraId="54B2E8D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Every LGU has developed water supply Master Plan (2023 -2034)</w:t>
            </w:r>
          </w:p>
        </w:tc>
      </w:tr>
      <w:tr w:rsidR="00A8050D" w:rsidRPr="007C4D65" w14:paraId="743E13A7" w14:textId="77777777" w:rsidTr="00B6017F">
        <w:trPr>
          <w:trHeight w:val="567"/>
        </w:trPr>
        <w:tc>
          <w:tcPr>
            <w:tcW w:w="1370" w:type="pct"/>
            <w:vMerge/>
            <w:shd w:val="clear" w:color="auto" w:fill="009D73"/>
            <w:vAlign w:val="center"/>
          </w:tcPr>
          <w:p w14:paraId="45AE873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811" w:type="pct"/>
            <w:shd w:val="clear" w:color="auto" w:fill="FFFFFF" w:themeFill="background1"/>
            <w:vAlign w:val="center"/>
          </w:tcPr>
          <w:p w14:paraId="53862C6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b2) Level of construction of water supply systems with optimal solutions for LGUs</w:t>
            </w:r>
          </w:p>
        </w:tc>
        <w:tc>
          <w:tcPr>
            <w:tcW w:w="1542" w:type="pct"/>
            <w:shd w:val="clear" w:color="auto" w:fill="FFFFFF" w:themeFill="background1"/>
            <w:vAlign w:val="center"/>
          </w:tcPr>
          <w:p w14:paraId="5D629368" w14:textId="77777777" w:rsidR="00A8050D" w:rsidRPr="007C4D65" w:rsidRDefault="00A8050D" w:rsidP="00B6017F">
            <w:pPr>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Data not available </w:t>
            </w:r>
            <w:r w:rsidRPr="007C4D65">
              <w:rPr>
                <w:rFonts w:asciiTheme="minorHAnsi" w:hAnsiTheme="minorHAnsi" w:cstheme="minorHAnsi"/>
                <w:b/>
                <w:color w:val="FF0000"/>
                <w:sz w:val="18"/>
                <w:szCs w:val="18"/>
              </w:rPr>
              <w:t xml:space="preserve"> </w:t>
            </w:r>
          </w:p>
        </w:tc>
        <w:tc>
          <w:tcPr>
            <w:tcW w:w="1277" w:type="pct"/>
            <w:shd w:val="clear" w:color="auto" w:fill="FFFFFF" w:themeFill="background1"/>
            <w:vAlign w:val="center"/>
          </w:tcPr>
          <w:p w14:paraId="29BDDFC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Water supply companies merged (where justified) in the Federation of BiH, or central systems extended to include sub-urban or rural areas, in all LGUs where so foreseen in their respective master plans (2023 -2034)</w:t>
            </w:r>
          </w:p>
        </w:tc>
      </w:tr>
      <w:tr w:rsidR="00A8050D" w:rsidRPr="007C4D65" w14:paraId="49B40265" w14:textId="77777777" w:rsidTr="00B6017F">
        <w:trPr>
          <w:trHeight w:val="567"/>
        </w:trPr>
        <w:tc>
          <w:tcPr>
            <w:tcW w:w="1370" w:type="pct"/>
            <w:shd w:val="clear" w:color="auto" w:fill="009D73"/>
            <w:vAlign w:val="center"/>
          </w:tcPr>
          <w:p w14:paraId="0C84E96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630" w:type="pct"/>
            <w:gridSpan w:val="3"/>
            <w:vAlign w:val="center"/>
          </w:tcPr>
          <w:p w14:paraId="61F9DD84"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Improving conditions and quality of life of population, better conditions for economic development</w:t>
            </w:r>
          </w:p>
        </w:tc>
      </w:tr>
      <w:tr w:rsidR="00A8050D" w:rsidRPr="007C4D65" w14:paraId="1E77ACAA" w14:textId="77777777" w:rsidTr="00B6017F">
        <w:trPr>
          <w:trHeight w:val="567"/>
        </w:trPr>
        <w:tc>
          <w:tcPr>
            <w:tcW w:w="1370" w:type="pct"/>
            <w:shd w:val="clear" w:color="auto" w:fill="009D73"/>
            <w:vAlign w:val="center"/>
          </w:tcPr>
          <w:p w14:paraId="19CCB6A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specification of sources</w:t>
            </w:r>
          </w:p>
        </w:tc>
        <w:tc>
          <w:tcPr>
            <w:tcW w:w="3630" w:type="pct"/>
            <w:gridSpan w:val="3"/>
            <w:vAlign w:val="center"/>
          </w:tcPr>
          <w:p w14:paraId="5D8910D1" w14:textId="77777777"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Amount: BAM 82,940,893 </w:t>
            </w:r>
          </w:p>
          <w:p w14:paraId="6E57196F"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Source: 20% from the government budget, 80% from combination - credit funds and funds from EU and other international donors</w:t>
            </w:r>
          </w:p>
        </w:tc>
      </w:tr>
      <w:tr w:rsidR="00A8050D" w:rsidRPr="007C4D65" w14:paraId="0C7DAFC5" w14:textId="77777777" w:rsidTr="00B6017F">
        <w:trPr>
          <w:trHeight w:val="567"/>
        </w:trPr>
        <w:tc>
          <w:tcPr>
            <w:tcW w:w="1370" w:type="pct"/>
            <w:shd w:val="clear" w:color="auto" w:fill="009D73"/>
            <w:vAlign w:val="center"/>
          </w:tcPr>
          <w:p w14:paraId="7027BA9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630" w:type="pct"/>
            <w:gridSpan w:val="3"/>
            <w:shd w:val="clear" w:color="auto" w:fill="FFFFFF" w:themeFill="background1"/>
            <w:vAlign w:val="center"/>
          </w:tcPr>
          <w:p w14:paraId="3F2F167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2023-2034</w:t>
            </w:r>
          </w:p>
        </w:tc>
      </w:tr>
      <w:tr w:rsidR="00A8050D" w:rsidRPr="007C4D65" w14:paraId="11FC9491" w14:textId="77777777" w:rsidTr="00B6017F">
        <w:trPr>
          <w:trHeight w:val="567"/>
        </w:trPr>
        <w:tc>
          <w:tcPr>
            <w:tcW w:w="1370" w:type="pct"/>
            <w:shd w:val="clear" w:color="auto" w:fill="009D73"/>
            <w:vAlign w:val="center"/>
          </w:tcPr>
          <w:p w14:paraId="4CCCD88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630" w:type="pct"/>
            <w:gridSpan w:val="3"/>
            <w:vAlign w:val="center"/>
          </w:tcPr>
          <w:p w14:paraId="1B6BCF4E" w14:textId="6C7CCE17" w:rsidR="00A8050D" w:rsidRPr="007C4D65" w:rsidRDefault="00A8050D" w:rsidP="00C90B32">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w:t>
            </w:r>
            <w:r w:rsidR="00C90B32" w:rsidRPr="007C4D65">
              <w:rPr>
                <w:rFonts w:asciiTheme="minorHAnsi" w:hAnsiTheme="minorHAnsi" w:cstheme="minorHAnsi"/>
                <w:sz w:val="18"/>
                <w:szCs w:val="18"/>
              </w:rPr>
              <w:t xml:space="preserve">, </w:t>
            </w:r>
            <w:r w:rsidRPr="007C4D65">
              <w:rPr>
                <w:rFonts w:asciiTheme="minorHAnsi" w:hAnsiTheme="minorHAnsi" w:cstheme="minorHAnsi"/>
                <w:sz w:val="18"/>
                <w:szCs w:val="18"/>
              </w:rPr>
              <w:t>Cantonal Public Utility Companies (CPUCs)</w:t>
            </w:r>
            <w:r w:rsidR="00C90B32" w:rsidRPr="007C4D65">
              <w:rPr>
                <w:rFonts w:asciiTheme="minorHAnsi" w:hAnsiTheme="minorHAnsi" w:cstheme="minorHAnsi"/>
                <w:sz w:val="18"/>
                <w:szCs w:val="18"/>
              </w:rPr>
              <w:t xml:space="preserve">, </w:t>
            </w:r>
            <w:r w:rsidRPr="007C4D65">
              <w:rPr>
                <w:rFonts w:asciiTheme="minorHAnsi" w:hAnsiTheme="minorHAnsi" w:cstheme="minorHAnsi"/>
                <w:sz w:val="18"/>
                <w:szCs w:val="18"/>
              </w:rPr>
              <w:t>LGUs</w:t>
            </w:r>
            <w:r w:rsidR="00C90B32" w:rsidRPr="007C4D65">
              <w:rPr>
                <w:rFonts w:asciiTheme="minorHAnsi" w:hAnsiTheme="minorHAnsi" w:cstheme="minorHAnsi"/>
                <w:sz w:val="18"/>
                <w:szCs w:val="18"/>
              </w:rPr>
              <w:t xml:space="preserve">, </w:t>
            </w:r>
            <w:r w:rsidRPr="007C4D65">
              <w:rPr>
                <w:rFonts w:asciiTheme="minorHAnsi" w:hAnsiTheme="minorHAnsi" w:cstheme="minorHAnsi"/>
                <w:sz w:val="18"/>
                <w:szCs w:val="18"/>
              </w:rPr>
              <w:t xml:space="preserve">Environmental Protection </w:t>
            </w:r>
            <w:r w:rsidR="00C90B32" w:rsidRPr="007C4D65">
              <w:rPr>
                <w:rFonts w:asciiTheme="minorHAnsi" w:hAnsiTheme="minorHAnsi" w:cstheme="minorHAnsi"/>
                <w:sz w:val="18"/>
                <w:szCs w:val="18"/>
              </w:rPr>
              <w:t>F</w:t>
            </w:r>
            <w:r w:rsidRPr="007C4D65">
              <w:rPr>
                <w:rFonts w:asciiTheme="minorHAnsi" w:hAnsiTheme="minorHAnsi" w:cstheme="minorHAnsi"/>
                <w:sz w:val="18"/>
                <w:szCs w:val="18"/>
              </w:rPr>
              <w:t>und of Federation of BiH (EPF)</w:t>
            </w:r>
          </w:p>
        </w:tc>
      </w:tr>
      <w:tr w:rsidR="00A8050D" w:rsidRPr="007C4D65" w14:paraId="306D4795" w14:textId="77777777" w:rsidTr="00B6017F">
        <w:trPr>
          <w:trHeight w:val="567"/>
        </w:trPr>
        <w:tc>
          <w:tcPr>
            <w:tcW w:w="1370" w:type="pct"/>
            <w:shd w:val="clear" w:color="auto" w:fill="009D73"/>
            <w:vAlign w:val="center"/>
          </w:tcPr>
          <w:p w14:paraId="21DC3F1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institutions for the measure</w:t>
            </w:r>
          </w:p>
        </w:tc>
        <w:tc>
          <w:tcPr>
            <w:tcW w:w="3630" w:type="pct"/>
            <w:gridSpan w:val="3"/>
            <w:vAlign w:val="center"/>
          </w:tcPr>
          <w:p w14:paraId="196E1D7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 CMW (cantonal ministries responsible for water); FMET, FMSP; CM_E, SP, EN, P (cantonal ministries responsible for environment, spatial planning, energy and agriculture); FBiH and cantonal health institutes, SRBA, ASWA</w:t>
            </w:r>
          </w:p>
        </w:tc>
      </w:tr>
      <w:tr w:rsidR="00A8050D" w:rsidRPr="007C4D65" w14:paraId="55A83DEC" w14:textId="77777777" w:rsidTr="00B6017F">
        <w:trPr>
          <w:trHeight w:val="567"/>
        </w:trPr>
        <w:tc>
          <w:tcPr>
            <w:tcW w:w="1370" w:type="pct"/>
            <w:shd w:val="clear" w:color="auto" w:fill="009D73"/>
            <w:vAlign w:val="center"/>
          </w:tcPr>
          <w:p w14:paraId="6B5FE170" w14:textId="53650633"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Target groups</w:t>
            </w:r>
          </w:p>
        </w:tc>
        <w:tc>
          <w:tcPr>
            <w:tcW w:w="3630" w:type="pct"/>
            <w:gridSpan w:val="3"/>
            <w:shd w:val="clear" w:color="auto" w:fill="FFFFFF" w:themeFill="background1"/>
            <w:vAlign w:val="center"/>
          </w:tcPr>
          <w:p w14:paraId="58587C5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All institutions and people in the Federation of BiH</w:t>
            </w:r>
          </w:p>
        </w:tc>
      </w:tr>
    </w:tbl>
    <w:p w14:paraId="325C78C7" w14:textId="77777777" w:rsidR="00A8050D" w:rsidRPr="007C4D65" w:rsidRDefault="00A8050D" w:rsidP="00A8050D">
      <w:pPr>
        <w:spacing w:line="276" w:lineRule="auto"/>
        <w:rPr>
          <w:rFonts w:asciiTheme="minorHAnsi" w:hAnsiTheme="minorHAnsi" w:cstheme="minorHAnsi"/>
          <w:sz w:val="18"/>
          <w:szCs w:val="18"/>
          <w:lang w:val="hr-HR"/>
        </w:rPr>
      </w:pPr>
    </w:p>
    <w:tbl>
      <w:tblPr>
        <w:tblStyle w:val="TABLICAHAOP7"/>
        <w:tblW w:w="5000" w:type="pct"/>
        <w:tblLook w:val="04A0" w:firstRow="1" w:lastRow="0" w:firstColumn="1" w:lastColumn="0" w:noHBand="0" w:noVBand="1"/>
      </w:tblPr>
      <w:tblGrid>
        <w:gridCol w:w="3878"/>
        <w:gridCol w:w="2502"/>
        <w:gridCol w:w="4006"/>
        <w:gridCol w:w="3562"/>
      </w:tblGrid>
      <w:tr w:rsidR="00A8050D" w:rsidRPr="007C4D65" w14:paraId="23E027F8" w14:textId="77777777" w:rsidTr="00B6017F">
        <w:trPr>
          <w:trHeight w:val="567"/>
        </w:trPr>
        <w:tc>
          <w:tcPr>
            <w:tcW w:w="139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0922F4E" w14:textId="31EA66DE"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610" w:type="pct"/>
            <w:gridSpan w:val="3"/>
            <w:tcBorders>
              <w:top w:val="single" w:sz="4" w:space="0" w:color="A6A6A6"/>
              <w:left w:val="single" w:sz="4" w:space="0" w:color="A6A6A6"/>
              <w:bottom w:val="single" w:sz="4" w:space="0" w:color="A6A6A6"/>
              <w:right w:val="single" w:sz="4" w:space="0" w:color="A6A6A6"/>
            </w:tcBorders>
            <w:vAlign w:val="center"/>
          </w:tcPr>
          <w:p w14:paraId="232D81FA"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40DD587E" w14:textId="77777777" w:rsidTr="00B6017F">
        <w:trPr>
          <w:trHeight w:val="567"/>
        </w:trPr>
        <w:tc>
          <w:tcPr>
            <w:tcW w:w="139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96A07E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610" w:type="pct"/>
            <w:gridSpan w:val="3"/>
            <w:tcBorders>
              <w:top w:val="single" w:sz="4" w:space="0" w:color="A6A6A6"/>
              <w:left w:val="single" w:sz="4" w:space="0" w:color="A6A6A6"/>
              <w:bottom w:val="single" w:sz="4" w:space="0" w:color="A6A6A6"/>
              <w:right w:val="single" w:sz="4" w:space="0" w:color="A6A6A6"/>
            </w:tcBorders>
            <w:vAlign w:val="center"/>
          </w:tcPr>
          <w:p w14:paraId="23BDBBE0" w14:textId="4708766E"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1.3. Ensuring sufficient drinking water supplies and availability for public water supply purposes   </w:t>
            </w:r>
          </w:p>
        </w:tc>
      </w:tr>
      <w:tr w:rsidR="00A8050D" w:rsidRPr="007C4D65" w14:paraId="2C74C203" w14:textId="77777777" w:rsidTr="00B6017F">
        <w:trPr>
          <w:trHeight w:val="567"/>
        </w:trPr>
        <w:tc>
          <w:tcPr>
            <w:tcW w:w="139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698A4A1" w14:textId="5E0719D8"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610" w:type="pct"/>
            <w:gridSpan w:val="3"/>
            <w:tcBorders>
              <w:top w:val="single" w:sz="4" w:space="0" w:color="A6A6A6"/>
              <w:left w:val="single" w:sz="4" w:space="0" w:color="A6A6A6"/>
              <w:bottom w:val="single" w:sz="4" w:space="0" w:color="A6A6A6"/>
              <w:right w:val="single" w:sz="4" w:space="0" w:color="A6A6A6"/>
            </w:tcBorders>
            <w:vAlign w:val="center"/>
          </w:tcPr>
          <w:p w14:paraId="28F07993"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1.3.2. Improve the existing legislative framework in the sector of water services in the Federation of BiH</w:t>
            </w:r>
          </w:p>
        </w:tc>
      </w:tr>
      <w:tr w:rsidR="00A8050D" w:rsidRPr="007C4D65" w14:paraId="57A48A77" w14:textId="77777777" w:rsidTr="00B6017F">
        <w:trPr>
          <w:trHeight w:val="567"/>
        </w:trPr>
        <w:tc>
          <w:tcPr>
            <w:tcW w:w="139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643BD1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610" w:type="pct"/>
            <w:gridSpan w:val="3"/>
            <w:tcBorders>
              <w:top w:val="single" w:sz="4" w:space="0" w:color="A6A6A6"/>
              <w:left w:val="single" w:sz="4" w:space="0" w:color="A6A6A6"/>
              <w:bottom w:val="single" w:sz="4" w:space="0" w:color="A6A6A6"/>
              <w:right w:val="single" w:sz="4" w:space="0" w:color="A6A6A6"/>
            </w:tcBorders>
            <w:vAlign w:val="center"/>
          </w:tcPr>
          <w:p w14:paraId="3FBADB1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This measure aims to ensure consistent implementation of existing legislation and harmonise legislation or adopt new legislation for the purpose of ensuring water services standards in accordance with the Directive on water intended for human use, with special focus on the safe water supply to rural areas / local water supply systems in Federation of BiH.</w:t>
            </w:r>
          </w:p>
          <w:p w14:paraId="7E734410" w14:textId="0AFB3E12"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General areas of intervention:</w:t>
            </w:r>
          </w:p>
          <w:p w14:paraId="270703B0" w14:textId="18E40F55" w:rsidR="00A8050D" w:rsidRPr="007C4D65" w:rsidRDefault="00A8050D">
            <w:pPr>
              <w:numPr>
                <w:ilvl w:val="0"/>
                <w:numId w:val="88"/>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Amend and adopt amendments to the cantonal laws on utilities by prescribing conditions that legal entities have to comply with in order to be entrusted with provision of water supply services in rural/local </w:t>
            </w:r>
            <w:proofErr w:type="gramStart"/>
            <w:r w:rsidRPr="007C4D65">
              <w:rPr>
                <w:rFonts w:asciiTheme="minorHAnsi" w:hAnsiTheme="minorHAnsi" w:cstheme="minorHAnsi"/>
                <w:sz w:val="18"/>
                <w:szCs w:val="18"/>
              </w:rPr>
              <w:t>systems</w:t>
            </w:r>
            <w:r w:rsidR="00C90B32" w:rsidRPr="007C4D65">
              <w:rPr>
                <w:rFonts w:asciiTheme="minorHAnsi" w:hAnsiTheme="minorHAnsi" w:cstheme="minorHAnsi"/>
                <w:sz w:val="18"/>
                <w:szCs w:val="18"/>
              </w:rPr>
              <w:t>;</w:t>
            </w:r>
            <w:proofErr w:type="gramEnd"/>
          </w:p>
          <w:p w14:paraId="532543BD" w14:textId="002CEBE7" w:rsidR="00A8050D" w:rsidRPr="007C4D65" w:rsidRDefault="00A8050D">
            <w:pPr>
              <w:numPr>
                <w:ilvl w:val="0"/>
                <w:numId w:val="88"/>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Develop and adopt the Law on Water Services</w:t>
            </w:r>
            <w:r w:rsidR="00C90B32" w:rsidRPr="007C4D65">
              <w:rPr>
                <w:rFonts w:asciiTheme="minorHAnsi" w:hAnsiTheme="minorHAnsi" w:cstheme="minorHAnsi"/>
                <w:sz w:val="18"/>
                <w:szCs w:val="18"/>
              </w:rPr>
              <w:t>.</w:t>
            </w:r>
          </w:p>
        </w:tc>
      </w:tr>
      <w:tr w:rsidR="00A8050D" w:rsidRPr="007C4D65" w14:paraId="2858EFF6" w14:textId="77777777" w:rsidTr="00B6017F">
        <w:trPr>
          <w:trHeight w:val="567"/>
        </w:trPr>
        <w:tc>
          <w:tcPr>
            <w:tcW w:w="139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E60EB2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Key strategic projects</w:t>
            </w:r>
          </w:p>
        </w:tc>
        <w:tc>
          <w:tcPr>
            <w:tcW w:w="3610" w:type="pct"/>
            <w:gridSpan w:val="3"/>
            <w:tcBorders>
              <w:top w:val="single" w:sz="4" w:space="0" w:color="A6A6A6"/>
              <w:left w:val="single" w:sz="4" w:space="0" w:color="A6A6A6"/>
              <w:bottom w:val="single" w:sz="4" w:space="0" w:color="A6A6A6"/>
              <w:right w:val="single" w:sz="4" w:space="0" w:color="A6A6A6"/>
            </w:tcBorders>
            <w:vAlign w:val="center"/>
          </w:tcPr>
          <w:p w14:paraId="4729C43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41CAA15F" w14:textId="77777777" w:rsidTr="00B6017F">
        <w:trPr>
          <w:trHeight w:val="567"/>
        </w:trPr>
        <w:tc>
          <w:tcPr>
            <w:tcW w:w="1390" w:type="pct"/>
            <w:vMerge w:val="restart"/>
            <w:tcBorders>
              <w:top w:val="single" w:sz="4" w:space="0" w:color="A6A6A6"/>
              <w:left w:val="single" w:sz="4" w:space="0" w:color="A6A6A6"/>
              <w:right w:val="single" w:sz="4" w:space="0" w:color="A6A6A6"/>
            </w:tcBorders>
            <w:shd w:val="clear" w:color="auto" w:fill="009D73"/>
            <w:vAlign w:val="center"/>
          </w:tcPr>
          <w:p w14:paraId="76FA678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89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F6200CD"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6DC5AE2F" w14:textId="0E4769E3"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43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3B828B3"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5AFE3CF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7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6756C5A"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04AC5FB5" w14:textId="77777777" w:rsidTr="00B6017F">
        <w:trPr>
          <w:trHeight w:val="567"/>
        </w:trPr>
        <w:tc>
          <w:tcPr>
            <w:tcW w:w="1390" w:type="pct"/>
            <w:vMerge/>
            <w:tcBorders>
              <w:left w:val="single" w:sz="4" w:space="0" w:color="A6A6A6"/>
              <w:right w:val="single" w:sz="4" w:space="0" w:color="A6A6A6"/>
            </w:tcBorders>
            <w:shd w:val="clear" w:color="auto" w:fill="009D73"/>
            <w:vAlign w:val="center"/>
          </w:tcPr>
          <w:p w14:paraId="159D89D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897" w:type="pct"/>
            <w:tcBorders>
              <w:top w:val="single" w:sz="4" w:space="0" w:color="A6A6A6"/>
              <w:left w:val="single" w:sz="4" w:space="0" w:color="A6A6A6"/>
              <w:bottom w:val="single" w:sz="4" w:space="0" w:color="A6A6A6"/>
              <w:right w:val="single" w:sz="4" w:space="0" w:color="A6A6A6"/>
            </w:tcBorders>
            <w:vAlign w:val="center"/>
          </w:tcPr>
          <w:p w14:paraId="57BDA5C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Phase and level of implementation of the process of adoption* of amendments to the Law on Utilities for the purpose of identifying entities who may be entrusted with provision of water supply services in local systems </w:t>
            </w:r>
          </w:p>
          <w:p w14:paraId="218E286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Drafting amendments to the Law / harmonizing text of amendments between the competent government bodies </w:t>
            </w:r>
            <w:r w:rsidRPr="007C4D65">
              <w:rPr>
                <w:rFonts w:asciiTheme="minorHAnsi" w:hAnsiTheme="minorHAnsi" w:cstheme="minorHAnsi"/>
                <w:sz w:val="18"/>
                <w:szCs w:val="18"/>
              </w:rPr>
              <w:lastRenderedPageBreak/>
              <w:t>and institutions etc. - proposal of the Law submitted to the Government, Parliament of the Federation of BiH - adoption by the Parliament of the Federation of BiH)</w:t>
            </w:r>
          </w:p>
        </w:tc>
        <w:tc>
          <w:tcPr>
            <w:tcW w:w="1436" w:type="pct"/>
            <w:tcBorders>
              <w:top w:val="single" w:sz="4" w:space="0" w:color="A6A6A6"/>
              <w:left w:val="single" w:sz="4" w:space="0" w:color="A6A6A6"/>
              <w:bottom w:val="single" w:sz="4" w:space="0" w:color="A6A6A6"/>
              <w:right w:val="single" w:sz="4" w:space="0" w:color="A6A6A6"/>
            </w:tcBorders>
            <w:vAlign w:val="center"/>
          </w:tcPr>
          <w:p w14:paraId="65B1A29B" w14:textId="77777777" w:rsidR="00A8050D" w:rsidRPr="007C4D65" w:rsidRDefault="00A8050D" w:rsidP="00B6017F">
            <w:pPr>
              <w:spacing w:before="40" w:after="40" w:line="276" w:lineRule="auto"/>
              <w:contextualSpacing/>
              <w:rPr>
                <w:rFonts w:asciiTheme="minorHAnsi" w:hAnsiTheme="minorHAnsi" w:cstheme="minorHAnsi"/>
                <w:sz w:val="18"/>
                <w:szCs w:val="18"/>
              </w:rPr>
            </w:pPr>
            <w:r w:rsidRPr="007C4D65">
              <w:rPr>
                <w:rFonts w:asciiTheme="minorHAnsi" w:hAnsiTheme="minorHAnsi" w:cstheme="minorHAnsi"/>
                <w:sz w:val="18"/>
                <w:szCs w:val="18"/>
              </w:rPr>
              <w:lastRenderedPageBreak/>
              <w:t>Drafting of the Law on Utilities has not stated</w:t>
            </w:r>
          </w:p>
          <w:p w14:paraId="6AB7F94F" w14:textId="08A989E2" w:rsidR="00A8050D" w:rsidRPr="007C4D65" w:rsidRDefault="00A8050D">
            <w:pPr>
              <w:numPr>
                <w:ilvl w:val="0"/>
                <w:numId w:val="88"/>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In practice, local water supply systems are typically managed by associations of citizens, but also some informal groups of citizens who do that without being formally established</w:t>
            </w:r>
          </w:p>
          <w:p w14:paraId="2EE44635" w14:textId="77777777" w:rsidR="00A8050D" w:rsidRPr="007C4D65" w:rsidRDefault="00A8050D">
            <w:pPr>
              <w:numPr>
                <w:ilvl w:val="0"/>
                <w:numId w:val="88"/>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Law on principles of local self-government of the Federation of BiH stipulates the competence of LGUs for providing water supply services on their territories</w:t>
            </w:r>
          </w:p>
          <w:p w14:paraId="0666386C" w14:textId="6B1B5839" w:rsidR="00A8050D" w:rsidRPr="007C4D65" w:rsidRDefault="00A8050D">
            <w:pPr>
              <w:numPr>
                <w:ilvl w:val="0"/>
                <w:numId w:val="88"/>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Cantonal laws are not harmonised regarding the matter of entities who may be entrusted with provision of utility services</w:t>
            </w:r>
          </w:p>
        </w:tc>
        <w:tc>
          <w:tcPr>
            <w:tcW w:w="1277" w:type="pct"/>
            <w:tcBorders>
              <w:top w:val="single" w:sz="4" w:space="0" w:color="A6A6A6"/>
              <w:left w:val="single" w:sz="4" w:space="0" w:color="A6A6A6"/>
              <w:bottom w:val="single" w:sz="4" w:space="0" w:color="A6A6A6"/>
              <w:right w:val="single" w:sz="4" w:space="0" w:color="A6A6A6"/>
            </w:tcBorders>
            <w:vAlign w:val="center"/>
          </w:tcPr>
          <w:p w14:paraId="1A8F408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Adopted amended cantonal laws on utilities containing conditions that legal entities </w:t>
            </w:r>
            <w:proofErr w:type="gramStart"/>
            <w:r w:rsidRPr="007C4D65">
              <w:rPr>
                <w:rFonts w:asciiTheme="minorHAnsi" w:hAnsiTheme="minorHAnsi" w:cstheme="minorHAnsi"/>
                <w:sz w:val="18"/>
                <w:szCs w:val="18"/>
              </w:rPr>
              <w:t>have to</w:t>
            </w:r>
            <w:proofErr w:type="gramEnd"/>
            <w:r w:rsidRPr="007C4D65">
              <w:rPr>
                <w:rFonts w:asciiTheme="minorHAnsi" w:hAnsiTheme="minorHAnsi" w:cstheme="minorHAnsi"/>
                <w:sz w:val="18"/>
                <w:szCs w:val="18"/>
              </w:rPr>
              <w:t xml:space="preserve"> comply with in order to be entrusted with provision of water supply services (2024)</w:t>
            </w:r>
          </w:p>
        </w:tc>
      </w:tr>
      <w:tr w:rsidR="00A8050D" w:rsidRPr="007C4D65" w14:paraId="5B3C451D" w14:textId="77777777" w:rsidTr="00B6017F">
        <w:trPr>
          <w:trHeight w:val="567"/>
        </w:trPr>
        <w:tc>
          <w:tcPr>
            <w:tcW w:w="1390" w:type="pct"/>
            <w:vMerge/>
            <w:tcBorders>
              <w:left w:val="single" w:sz="4" w:space="0" w:color="A6A6A6"/>
              <w:bottom w:val="single" w:sz="4" w:space="0" w:color="A6A6A6"/>
              <w:right w:val="single" w:sz="4" w:space="0" w:color="A6A6A6"/>
            </w:tcBorders>
            <w:shd w:val="clear" w:color="auto" w:fill="009D73"/>
            <w:vAlign w:val="center"/>
          </w:tcPr>
          <w:p w14:paraId="63E0473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897"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E1A00F9" w14:textId="13AFE4AD"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Phase in the process of adopting the *Law on Water Services of the Federation of BiH that will ensure establishment of water services standards aligned with the EU requirements</w:t>
            </w:r>
          </w:p>
          <w:p w14:paraId="36A4161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Drafting amendments to the Law / harmonizing text of amendments between the competent government bodies and institutions etc. - proposal of the Law submitted to the Government, Parliament of the Federation of BiH - adoption by the Parliament of the Federation of BiH)</w:t>
            </w:r>
          </w:p>
        </w:tc>
        <w:tc>
          <w:tcPr>
            <w:tcW w:w="1436"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FEF5A3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Drafting of the Law on Water Services of the Federation of BiH has not stated</w:t>
            </w:r>
          </w:p>
          <w:p w14:paraId="2C643011" w14:textId="1FCE0BA5" w:rsidR="00A8050D" w:rsidRPr="007C4D65" w:rsidRDefault="00A8050D">
            <w:pPr>
              <w:numPr>
                <w:ilvl w:val="0"/>
                <w:numId w:val="88"/>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The Law would integrate the current and expected legislation that regulates the area of provision of water services, as an integrated response to the existing need to reform this sector</w:t>
            </w:r>
          </w:p>
        </w:tc>
        <w:tc>
          <w:tcPr>
            <w:tcW w:w="1277"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A94D85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Adopted Law on Water Services by the Government of the Federation of BiH (2027)</w:t>
            </w:r>
          </w:p>
        </w:tc>
      </w:tr>
      <w:tr w:rsidR="00A8050D" w:rsidRPr="007C4D65" w14:paraId="25ECB867" w14:textId="77777777" w:rsidTr="00B6017F">
        <w:trPr>
          <w:trHeight w:val="567"/>
        </w:trPr>
        <w:tc>
          <w:tcPr>
            <w:tcW w:w="139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2345CA0"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610" w:type="pct"/>
            <w:gridSpan w:val="3"/>
            <w:tcBorders>
              <w:top w:val="single" w:sz="4" w:space="0" w:color="A6A6A6"/>
              <w:left w:val="single" w:sz="4" w:space="0" w:color="A6A6A6"/>
              <w:bottom w:val="single" w:sz="4" w:space="0" w:color="A6A6A6"/>
              <w:right w:val="single" w:sz="4" w:space="0" w:color="A6A6A6"/>
            </w:tcBorders>
            <w:vAlign w:val="center"/>
          </w:tcPr>
          <w:p w14:paraId="1DD23FF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Improving water management in the Federation of BiH and increased scope of relevant services </w:t>
            </w:r>
          </w:p>
        </w:tc>
      </w:tr>
      <w:tr w:rsidR="00A8050D" w:rsidRPr="007C4D65" w14:paraId="10DC90C0" w14:textId="77777777" w:rsidTr="00B6017F">
        <w:trPr>
          <w:trHeight w:val="567"/>
        </w:trPr>
        <w:tc>
          <w:tcPr>
            <w:tcW w:w="139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56B20D0"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specification of sources</w:t>
            </w:r>
          </w:p>
        </w:tc>
        <w:tc>
          <w:tcPr>
            <w:tcW w:w="3610" w:type="pct"/>
            <w:gridSpan w:val="3"/>
            <w:tcBorders>
              <w:top w:val="single" w:sz="4" w:space="0" w:color="A6A6A6"/>
              <w:left w:val="single" w:sz="4" w:space="0" w:color="A6A6A6"/>
              <w:bottom w:val="single" w:sz="4" w:space="0" w:color="A6A6A6"/>
              <w:right w:val="single" w:sz="4" w:space="0" w:color="A6A6A6"/>
            </w:tcBorders>
            <w:vAlign w:val="center"/>
          </w:tcPr>
          <w:p w14:paraId="79D6736C" w14:textId="77777777"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Amount: BAM 84,295 </w:t>
            </w:r>
          </w:p>
          <w:p w14:paraId="3316E85A"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Source: 100% government budget</w:t>
            </w:r>
          </w:p>
        </w:tc>
      </w:tr>
      <w:tr w:rsidR="00A8050D" w:rsidRPr="007C4D65" w14:paraId="3E68B70B" w14:textId="77777777" w:rsidTr="00B6017F">
        <w:trPr>
          <w:trHeight w:val="567"/>
        </w:trPr>
        <w:tc>
          <w:tcPr>
            <w:tcW w:w="139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8A9D73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610"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6B30F8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2024-2027</w:t>
            </w:r>
          </w:p>
        </w:tc>
      </w:tr>
      <w:tr w:rsidR="00A8050D" w:rsidRPr="007C4D65" w14:paraId="27BD0769" w14:textId="77777777" w:rsidTr="00B6017F">
        <w:trPr>
          <w:trHeight w:val="567"/>
        </w:trPr>
        <w:tc>
          <w:tcPr>
            <w:tcW w:w="139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242EF8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610" w:type="pct"/>
            <w:gridSpan w:val="3"/>
            <w:tcBorders>
              <w:top w:val="single" w:sz="4" w:space="0" w:color="A6A6A6"/>
              <w:left w:val="single" w:sz="4" w:space="0" w:color="A6A6A6"/>
              <w:bottom w:val="single" w:sz="4" w:space="0" w:color="A6A6A6"/>
              <w:right w:val="single" w:sz="4" w:space="0" w:color="A6A6A6"/>
            </w:tcBorders>
            <w:vAlign w:val="center"/>
          </w:tcPr>
          <w:p w14:paraId="6CEBA8F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FMAWMF, CMW (cantonal ministries responsible for water); Federation and cantonal health institutes, </w:t>
            </w:r>
          </w:p>
        </w:tc>
      </w:tr>
      <w:tr w:rsidR="00A8050D" w:rsidRPr="007C4D65" w14:paraId="3142B208" w14:textId="77777777" w:rsidTr="00B6017F">
        <w:trPr>
          <w:trHeight w:val="567"/>
        </w:trPr>
        <w:tc>
          <w:tcPr>
            <w:tcW w:w="139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9D2035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institutions for the measure</w:t>
            </w:r>
          </w:p>
        </w:tc>
        <w:tc>
          <w:tcPr>
            <w:tcW w:w="3610" w:type="pct"/>
            <w:gridSpan w:val="3"/>
            <w:tcBorders>
              <w:top w:val="single" w:sz="4" w:space="0" w:color="A6A6A6"/>
              <w:left w:val="single" w:sz="4" w:space="0" w:color="A6A6A6"/>
              <w:bottom w:val="single" w:sz="4" w:space="0" w:color="A6A6A6"/>
              <w:right w:val="single" w:sz="4" w:space="0" w:color="A6A6A6"/>
            </w:tcBorders>
            <w:vAlign w:val="center"/>
          </w:tcPr>
          <w:p w14:paraId="28D5E86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LGUs, CMW (cantonal ministries responsible for water);  </w:t>
            </w:r>
          </w:p>
        </w:tc>
      </w:tr>
      <w:tr w:rsidR="00A8050D" w:rsidRPr="007C4D65" w14:paraId="7E360F59" w14:textId="77777777" w:rsidTr="00B6017F">
        <w:trPr>
          <w:trHeight w:val="567"/>
        </w:trPr>
        <w:tc>
          <w:tcPr>
            <w:tcW w:w="139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6B4B039" w14:textId="08F741AF"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Target groups</w:t>
            </w:r>
          </w:p>
        </w:tc>
        <w:tc>
          <w:tcPr>
            <w:tcW w:w="3610"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CD97A4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All institutions and people in the Federation of BiH</w:t>
            </w:r>
          </w:p>
        </w:tc>
      </w:tr>
    </w:tbl>
    <w:p w14:paraId="7AF7C3B0" w14:textId="77777777" w:rsidR="00A8050D" w:rsidRPr="007C4D65" w:rsidRDefault="00A8050D" w:rsidP="00A8050D">
      <w:pPr>
        <w:spacing w:line="276" w:lineRule="auto"/>
        <w:rPr>
          <w:rFonts w:asciiTheme="minorHAnsi" w:hAnsiTheme="minorHAnsi" w:cstheme="minorHAnsi"/>
          <w:sz w:val="18"/>
          <w:szCs w:val="18"/>
          <w:lang w:val="hr-HR"/>
        </w:rPr>
      </w:pPr>
    </w:p>
    <w:tbl>
      <w:tblPr>
        <w:tblStyle w:val="TABLICAHAOP7"/>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857"/>
        <w:gridCol w:w="2801"/>
        <w:gridCol w:w="3730"/>
        <w:gridCol w:w="3560"/>
      </w:tblGrid>
      <w:tr w:rsidR="00A8050D" w:rsidRPr="007C4D65" w14:paraId="476B0D39" w14:textId="77777777" w:rsidTr="00B6017F">
        <w:trPr>
          <w:trHeight w:val="567"/>
        </w:trPr>
        <w:tc>
          <w:tcPr>
            <w:tcW w:w="1383" w:type="pct"/>
            <w:shd w:val="clear" w:color="auto" w:fill="009D73"/>
            <w:vAlign w:val="center"/>
          </w:tcPr>
          <w:p w14:paraId="0E1B289B" w14:textId="2BBDC84F"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617" w:type="pct"/>
            <w:gridSpan w:val="3"/>
            <w:vAlign w:val="center"/>
          </w:tcPr>
          <w:p w14:paraId="42F18AEA"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30A69501" w14:textId="77777777" w:rsidTr="00B6017F">
        <w:trPr>
          <w:trHeight w:val="567"/>
        </w:trPr>
        <w:tc>
          <w:tcPr>
            <w:tcW w:w="1383" w:type="pct"/>
            <w:shd w:val="clear" w:color="auto" w:fill="009D73"/>
            <w:vAlign w:val="center"/>
          </w:tcPr>
          <w:p w14:paraId="70E711D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617" w:type="pct"/>
            <w:gridSpan w:val="3"/>
            <w:vAlign w:val="center"/>
          </w:tcPr>
          <w:p w14:paraId="6BA4E9B4" w14:textId="7B03F852" w:rsidR="00A8050D" w:rsidRPr="007C4D65" w:rsidRDefault="00A8050D" w:rsidP="001F7CB6">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1.4. </w:t>
            </w:r>
            <w:r w:rsidR="00854430" w:rsidRPr="007C4D65">
              <w:rPr>
                <w:rFonts w:asciiTheme="minorHAnsi" w:hAnsiTheme="minorHAnsi" w:cstheme="minorHAnsi"/>
                <w:b/>
                <w:sz w:val="18"/>
                <w:szCs w:val="18"/>
              </w:rPr>
              <w:t>Reducing the risk of extreme hydrological events by establishing a sustainable flood risk management system and adaptation to climate changes</w:t>
            </w:r>
          </w:p>
        </w:tc>
      </w:tr>
      <w:tr w:rsidR="00A8050D" w:rsidRPr="007C4D65" w14:paraId="14BB6483" w14:textId="77777777" w:rsidTr="00B6017F">
        <w:trPr>
          <w:trHeight w:val="567"/>
        </w:trPr>
        <w:tc>
          <w:tcPr>
            <w:tcW w:w="1383" w:type="pct"/>
            <w:shd w:val="clear" w:color="auto" w:fill="009D73"/>
            <w:vAlign w:val="center"/>
          </w:tcPr>
          <w:p w14:paraId="01AF0F86" w14:textId="6B0B4848"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617" w:type="pct"/>
            <w:gridSpan w:val="3"/>
            <w:vAlign w:val="center"/>
          </w:tcPr>
          <w:p w14:paraId="33F33816"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1.4.1 </w:t>
            </w:r>
            <w:bookmarkStart w:id="232" w:name="_Hlk95278928"/>
            <w:r w:rsidRPr="007C4D65">
              <w:rPr>
                <w:rFonts w:asciiTheme="minorHAnsi" w:hAnsiTheme="minorHAnsi" w:cstheme="minorHAnsi"/>
                <w:b/>
                <w:sz w:val="18"/>
                <w:szCs w:val="18"/>
              </w:rPr>
              <w:t>Monitoring and evaluating level of implementation of Flood Risk Management Plans in river basins in the Federation of BiH</w:t>
            </w:r>
            <w:bookmarkEnd w:id="232"/>
            <w:r w:rsidRPr="007C4D65">
              <w:rPr>
                <w:rFonts w:asciiTheme="minorHAnsi" w:hAnsiTheme="minorHAnsi" w:cstheme="minorHAnsi"/>
                <w:b/>
                <w:sz w:val="18"/>
                <w:szCs w:val="18"/>
              </w:rPr>
              <w:t xml:space="preserve"> </w:t>
            </w:r>
          </w:p>
        </w:tc>
      </w:tr>
      <w:tr w:rsidR="00A8050D" w:rsidRPr="007C4D65" w14:paraId="24BFF44B" w14:textId="77777777" w:rsidTr="00B6017F">
        <w:trPr>
          <w:trHeight w:val="567"/>
        </w:trPr>
        <w:tc>
          <w:tcPr>
            <w:tcW w:w="1383" w:type="pct"/>
            <w:shd w:val="clear" w:color="auto" w:fill="009D73"/>
            <w:vAlign w:val="center"/>
          </w:tcPr>
          <w:p w14:paraId="740BA8C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617" w:type="pct"/>
            <w:gridSpan w:val="3"/>
            <w:vAlign w:val="center"/>
          </w:tcPr>
          <w:p w14:paraId="7E56435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This measure aims to reduce probability of floods as well as the size and number of areas exposed to flood risk by improving water legislation and by monitoring. implementation of measures from the Flood Risk Management Plans. </w:t>
            </w:r>
          </w:p>
          <w:p w14:paraId="4E6330CF" w14:textId="3EA18BF6"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General areas of intervention include:</w:t>
            </w:r>
          </w:p>
          <w:p w14:paraId="4E544FF0" w14:textId="043ECFDC" w:rsidR="00A8050D" w:rsidRPr="007C4D65" w:rsidRDefault="00A8050D" w:rsidP="00B6017F">
            <w:pPr>
              <w:spacing w:before="40" w:after="40" w:line="276" w:lineRule="auto"/>
              <w:rPr>
                <w:rFonts w:asciiTheme="minorHAnsi" w:hAnsiTheme="minorHAnsi" w:cstheme="minorHAnsi"/>
                <w:b/>
                <w:bCs/>
                <w:sz w:val="18"/>
                <w:szCs w:val="18"/>
              </w:rPr>
            </w:pPr>
            <w:r w:rsidRPr="007C4D65">
              <w:rPr>
                <w:rFonts w:asciiTheme="minorHAnsi" w:hAnsiTheme="minorHAnsi" w:cstheme="minorHAnsi"/>
                <w:b/>
                <w:bCs/>
                <w:sz w:val="18"/>
                <w:szCs w:val="18"/>
              </w:rPr>
              <w:t>a) Amendments to the Law on Waters of the Federation of BiH</w:t>
            </w:r>
          </w:p>
          <w:p w14:paraId="138B82C1" w14:textId="78B8D70D" w:rsidR="00A8050D" w:rsidRPr="007C4D65" w:rsidRDefault="00A8050D" w:rsidP="00B6017F">
            <w:pPr>
              <w:spacing w:before="40" w:after="40" w:line="276" w:lineRule="auto"/>
              <w:rPr>
                <w:rFonts w:asciiTheme="minorHAnsi" w:hAnsiTheme="minorHAnsi" w:cstheme="minorHAnsi"/>
                <w:strike/>
                <w:sz w:val="18"/>
                <w:szCs w:val="18"/>
              </w:rPr>
            </w:pPr>
            <w:r w:rsidRPr="007C4D65">
              <w:rPr>
                <w:rFonts w:asciiTheme="minorHAnsi" w:hAnsiTheme="minorHAnsi" w:cstheme="minorHAnsi"/>
                <w:sz w:val="18"/>
                <w:szCs w:val="18"/>
              </w:rPr>
              <w:t xml:space="preserve">a1) Amend and adopt changes to the </w:t>
            </w:r>
            <w:proofErr w:type="spellStart"/>
            <w:r w:rsidRPr="007C4D65">
              <w:rPr>
                <w:rFonts w:asciiTheme="minorHAnsi" w:hAnsiTheme="minorHAnsi" w:cstheme="minorHAnsi"/>
                <w:sz w:val="18"/>
                <w:szCs w:val="18"/>
              </w:rPr>
              <w:t>LoW</w:t>
            </w:r>
            <w:proofErr w:type="spellEnd"/>
            <w:r w:rsidRPr="007C4D65">
              <w:rPr>
                <w:rFonts w:asciiTheme="minorHAnsi" w:hAnsiTheme="minorHAnsi" w:cstheme="minorHAnsi"/>
                <w:sz w:val="18"/>
                <w:szCs w:val="18"/>
              </w:rPr>
              <w:t xml:space="preserve"> and </w:t>
            </w:r>
            <w:proofErr w:type="spellStart"/>
            <w:r w:rsidRPr="007C4D65">
              <w:rPr>
                <w:rFonts w:asciiTheme="minorHAnsi" w:hAnsiTheme="minorHAnsi" w:cstheme="minorHAnsi"/>
                <w:sz w:val="18"/>
                <w:szCs w:val="18"/>
              </w:rPr>
              <w:t>CLoWs</w:t>
            </w:r>
            <w:proofErr w:type="spellEnd"/>
            <w:r w:rsidRPr="007C4D65">
              <w:rPr>
                <w:rFonts w:asciiTheme="minorHAnsi" w:hAnsiTheme="minorHAnsi" w:cstheme="minorHAnsi"/>
                <w:sz w:val="18"/>
                <w:szCs w:val="18"/>
              </w:rPr>
              <w:t xml:space="preserve"> to include principles/criteria, in the context of climate change, for defining the restrictions that may impact spatial planning, use of land and construction in the areas at risk of floods</w:t>
            </w:r>
            <w:r w:rsidR="00C90B32" w:rsidRPr="007C4D65">
              <w:rPr>
                <w:rFonts w:asciiTheme="minorHAnsi" w:hAnsiTheme="minorHAnsi" w:cstheme="minorHAnsi"/>
                <w:sz w:val="18"/>
                <w:szCs w:val="18"/>
              </w:rPr>
              <w:t>.</w:t>
            </w:r>
          </w:p>
          <w:p w14:paraId="6A23F469" w14:textId="77777777" w:rsidR="00A8050D" w:rsidRPr="007C4D65" w:rsidRDefault="00A8050D" w:rsidP="00B6017F">
            <w:pPr>
              <w:spacing w:before="40" w:after="40" w:line="276" w:lineRule="auto"/>
              <w:rPr>
                <w:rFonts w:asciiTheme="minorHAnsi" w:hAnsiTheme="minorHAnsi" w:cstheme="minorHAnsi"/>
                <w:b/>
                <w:bCs/>
                <w:sz w:val="18"/>
                <w:szCs w:val="18"/>
              </w:rPr>
            </w:pPr>
            <w:r w:rsidRPr="007C4D65">
              <w:rPr>
                <w:rFonts w:asciiTheme="minorHAnsi" w:hAnsiTheme="minorHAnsi" w:cstheme="minorHAnsi"/>
                <w:b/>
                <w:bCs/>
                <w:sz w:val="18"/>
                <w:szCs w:val="18"/>
              </w:rPr>
              <w:t>b) Implementation of Programme of Measures from the Flood Risk Management Plans, and regular reporting on progress achieved</w:t>
            </w:r>
          </w:p>
          <w:p w14:paraId="0064593C" w14:textId="3C0324AE" w:rsidR="00A8050D" w:rsidRPr="007C4D65" w:rsidRDefault="00A8050D" w:rsidP="00B6017F">
            <w:pPr>
              <w:spacing w:before="40" w:after="40" w:line="276" w:lineRule="auto"/>
              <w:rPr>
                <w:rFonts w:asciiTheme="minorHAnsi" w:hAnsiTheme="minorHAnsi" w:cstheme="minorHAnsi"/>
                <w:strike/>
                <w:sz w:val="18"/>
                <w:szCs w:val="18"/>
              </w:rPr>
            </w:pPr>
            <w:r w:rsidRPr="007C4D65">
              <w:rPr>
                <w:rFonts w:asciiTheme="minorHAnsi" w:hAnsiTheme="minorHAnsi" w:cstheme="minorHAnsi"/>
                <w:sz w:val="18"/>
                <w:szCs w:val="18"/>
              </w:rPr>
              <w:t xml:space="preserve">b1) Develop and publish biannual reports on achievement of objectives and implementation of measures from the Flood Risk Management Plans; b2) Publish on the </w:t>
            </w:r>
            <w:proofErr w:type="gramStart"/>
            <w:r w:rsidRPr="007C4D65">
              <w:rPr>
                <w:rFonts w:asciiTheme="minorHAnsi" w:hAnsiTheme="minorHAnsi" w:cstheme="minorHAnsi"/>
                <w:sz w:val="18"/>
                <w:szCs w:val="18"/>
              </w:rPr>
              <w:t>web-pages</w:t>
            </w:r>
            <w:proofErr w:type="gramEnd"/>
            <w:r w:rsidRPr="007C4D65">
              <w:rPr>
                <w:rFonts w:asciiTheme="minorHAnsi" w:hAnsiTheme="minorHAnsi" w:cstheme="minorHAnsi"/>
                <w:sz w:val="18"/>
                <w:szCs w:val="18"/>
              </w:rPr>
              <w:t xml:space="preserve"> of SRBA and ASWA the areas exposed to flood risk as a map in the scale 1/100, as well as the results of the projects "Flood Risk Management Plan"</w:t>
            </w:r>
            <w:r w:rsidR="00C90B32" w:rsidRPr="007C4D65">
              <w:rPr>
                <w:rFonts w:asciiTheme="minorHAnsi" w:hAnsiTheme="minorHAnsi" w:cstheme="minorHAnsi"/>
                <w:sz w:val="18"/>
                <w:szCs w:val="18"/>
              </w:rPr>
              <w:t>.</w:t>
            </w:r>
          </w:p>
        </w:tc>
      </w:tr>
      <w:tr w:rsidR="00A8050D" w:rsidRPr="007C4D65" w14:paraId="7122C18C" w14:textId="77777777" w:rsidTr="00B6017F">
        <w:trPr>
          <w:trHeight w:val="567"/>
        </w:trPr>
        <w:tc>
          <w:tcPr>
            <w:tcW w:w="1383" w:type="pct"/>
            <w:shd w:val="clear" w:color="auto" w:fill="009D73"/>
            <w:vAlign w:val="center"/>
          </w:tcPr>
          <w:p w14:paraId="730B9C2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Key strategic projects</w:t>
            </w:r>
          </w:p>
        </w:tc>
        <w:tc>
          <w:tcPr>
            <w:tcW w:w="3617" w:type="pct"/>
            <w:gridSpan w:val="3"/>
            <w:vAlign w:val="center"/>
          </w:tcPr>
          <w:p w14:paraId="1F71F07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50214467" w14:textId="77777777" w:rsidTr="00B6017F">
        <w:trPr>
          <w:trHeight w:val="516"/>
        </w:trPr>
        <w:tc>
          <w:tcPr>
            <w:tcW w:w="1383" w:type="pct"/>
            <w:vMerge w:val="restart"/>
            <w:shd w:val="clear" w:color="auto" w:fill="009D73"/>
            <w:vAlign w:val="center"/>
          </w:tcPr>
          <w:p w14:paraId="5D67FA2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04"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8F5031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6A84370F" w14:textId="2FE13B9D"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33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D413328"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7954774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8708814"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76F3923C" w14:textId="77777777" w:rsidTr="00B6017F">
        <w:trPr>
          <w:trHeight w:val="567"/>
        </w:trPr>
        <w:tc>
          <w:tcPr>
            <w:tcW w:w="1383" w:type="pct"/>
            <w:vMerge/>
            <w:shd w:val="clear" w:color="auto" w:fill="009D73"/>
            <w:vAlign w:val="center"/>
          </w:tcPr>
          <w:p w14:paraId="2749F4C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1004" w:type="pct"/>
            <w:vAlign w:val="center"/>
          </w:tcPr>
          <w:p w14:paraId="5B40CD4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a1) Phase in the process of adoption of amendments </w:t>
            </w:r>
            <w:proofErr w:type="spellStart"/>
            <w:r w:rsidRPr="007C4D65">
              <w:rPr>
                <w:rFonts w:asciiTheme="minorHAnsi" w:hAnsiTheme="minorHAnsi" w:cstheme="minorHAnsi"/>
                <w:sz w:val="18"/>
                <w:szCs w:val="18"/>
              </w:rPr>
              <w:t>LoW</w:t>
            </w:r>
            <w:proofErr w:type="spellEnd"/>
            <w:r w:rsidRPr="007C4D65">
              <w:rPr>
                <w:rFonts w:asciiTheme="minorHAnsi" w:hAnsiTheme="minorHAnsi" w:cstheme="minorHAnsi"/>
                <w:sz w:val="18"/>
                <w:szCs w:val="18"/>
              </w:rPr>
              <w:t xml:space="preserve"> and </w:t>
            </w:r>
            <w:proofErr w:type="spellStart"/>
            <w:r w:rsidRPr="007C4D65">
              <w:rPr>
                <w:rFonts w:asciiTheme="minorHAnsi" w:hAnsiTheme="minorHAnsi" w:cstheme="minorHAnsi"/>
                <w:sz w:val="18"/>
                <w:szCs w:val="18"/>
              </w:rPr>
              <w:t>CLoWs</w:t>
            </w:r>
            <w:proofErr w:type="spellEnd"/>
            <w:r w:rsidRPr="007C4D65">
              <w:rPr>
                <w:rFonts w:asciiTheme="minorHAnsi" w:hAnsiTheme="minorHAnsi" w:cstheme="minorHAnsi"/>
                <w:sz w:val="18"/>
                <w:szCs w:val="18"/>
              </w:rPr>
              <w:t xml:space="preserve"> regarding the criteria for defining the restrictions that may impact spatial planning, use of land and construction in the areas at risk of floods</w:t>
            </w:r>
          </w:p>
        </w:tc>
        <w:tc>
          <w:tcPr>
            <w:tcW w:w="1337" w:type="pct"/>
            <w:shd w:val="clear" w:color="auto" w:fill="auto"/>
            <w:vAlign w:val="center"/>
          </w:tcPr>
          <w:p w14:paraId="600F620C" w14:textId="41CE0D42" w:rsidR="00A8050D" w:rsidRPr="007C4D65" w:rsidRDefault="00A8050D"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Law on Waters prohibits construction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100-year waters</w:t>
            </w:r>
          </w:p>
        </w:tc>
        <w:tc>
          <w:tcPr>
            <w:tcW w:w="1276" w:type="pct"/>
            <w:vAlign w:val="center"/>
          </w:tcPr>
          <w:p w14:paraId="493156F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Developed and adopted amendments to the </w:t>
            </w:r>
            <w:proofErr w:type="spellStart"/>
            <w:r w:rsidRPr="007C4D65">
              <w:rPr>
                <w:rFonts w:asciiTheme="minorHAnsi" w:hAnsiTheme="minorHAnsi" w:cstheme="minorHAnsi"/>
                <w:sz w:val="18"/>
                <w:szCs w:val="18"/>
              </w:rPr>
              <w:t>LoW</w:t>
            </w:r>
            <w:proofErr w:type="spellEnd"/>
            <w:r w:rsidRPr="007C4D65">
              <w:rPr>
                <w:rFonts w:asciiTheme="minorHAnsi" w:hAnsiTheme="minorHAnsi" w:cstheme="minorHAnsi"/>
                <w:sz w:val="18"/>
                <w:szCs w:val="18"/>
              </w:rPr>
              <w:t xml:space="preserve"> and </w:t>
            </w:r>
            <w:proofErr w:type="spellStart"/>
            <w:r w:rsidRPr="007C4D65">
              <w:rPr>
                <w:rFonts w:asciiTheme="minorHAnsi" w:hAnsiTheme="minorHAnsi" w:cstheme="minorHAnsi"/>
                <w:sz w:val="18"/>
                <w:szCs w:val="18"/>
              </w:rPr>
              <w:t>CLoW</w:t>
            </w:r>
            <w:proofErr w:type="spellEnd"/>
          </w:p>
          <w:p w14:paraId="04E28EE3" w14:textId="10F80C02" w:rsidR="00A8050D" w:rsidRPr="007C4D65" w:rsidRDefault="00A8050D">
            <w:pPr>
              <w:numPr>
                <w:ilvl w:val="0"/>
                <w:numId w:val="188"/>
              </w:numPr>
              <w:spacing w:line="276" w:lineRule="auto"/>
              <w:ind w:left="357" w:hanging="357"/>
              <w:rPr>
                <w:rFonts w:asciiTheme="minorHAnsi" w:hAnsiTheme="minorHAnsi" w:cstheme="minorHAnsi"/>
                <w:sz w:val="18"/>
                <w:szCs w:val="18"/>
              </w:rPr>
            </w:pPr>
            <w:r w:rsidRPr="007C4D65">
              <w:rPr>
                <w:rFonts w:asciiTheme="minorHAnsi" w:hAnsiTheme="minorHAnsi" w:cstheme="minorHAnsi"/>
                <w:sz w:val="18"/>
                <w:szCs w:val="18"/>
              </w:rPr>
              <w:t xml:space="preserve">Exclude from the Law provisions "prohibiting" construction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100-year waters</w:t>
            </w:r>
          </w:p>
          <w:p w14:paraId="02905AAF" w14:textId="77777777" w:rsidR="00A8050D" w:rsidRPr="007C4D65" w:rsidRDefault="00A8050D">
            <w:pPr>
              <w:numPr>
                <w:ilvl w:val="0"/>
                <w:numId w:val="188"/>
              </w:numPr>
              <w:spacing w:after="300" w:line="276" w:lineRule="auto"/>
              <w:ind w:left="357" w:right="284" w:hanging="357"/>
              <w:contextualSpacing/>
              <w:rPr>
                <w:rFonts w:asciiTheme="minorHAnsi" w:hAnsiTheme="minorHAnsi" w:cstheme="minorHAnsi"/>
                <w:sz w:val="18"/>
                <w:szCs w:val="18"/>
              </w:rPr>
            </w:pPr>
            <w:r w:rsidRPr="007C4D65">
              <w:rPr>
                <w:rFonts w:asciiTheme="minorHAnsi" w:hAnsiTheme="minorHAnsi" w:cstheme="minorHAnsi"/>
                <w:sz w:val="18"/>
                <w:szCs w:val="18"/>
              </w:rPr>
              <w:t xml:space="preserve">Define in the laws the provisions regarding criteria for defining the restrictions that may impact spatial planning, use of land and </w:t>
            </w:r>
            <w:r w:rsidRPr="007C4D65">
              <w:rPr>
                <w:rFonts w:asciiTheme="minorHAnsi" w:hAnsiTheme="minorHAnsi" w:cstheme="minorHAnsi"/>
                <w:sz w:val="18"/>
                <w:szCs w:val="18"/>
              </w:rPr>
              <w:lastRenderedPageBreak/>
              <w:t>construction in the areas at risk of floods (2024)</w:t>
            </w:r>
          </w:p>
        </w:tc>
      </w:tr>
      <w:tr w:rsidR="00A8050D" w:rsidRPr="007C4D65" w14:paraId="5405A72E" w14:textId="77777777" w:rsidTr="00B6017F">
        <w:trPr>
          <w:trHeight w:val="567"/>
        </w:trPr>
        <w:tc>
          <w:tcPr>
            <w:tcW w:w="1383" w:type="pct"/>
            <w:vMerge/>
            <w:shd w:val="clear" w:color="auto" w:fill="009D73"/>
            <w:vAlign w:val="center"/>
          </w:tcPr>
          <w:p w14:paraId="793DFD8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1004" w:type="pct"/>
            <w:vAlign w:val="center"/>
          </w:tcPr>
          <w:p w14:paraId="5A3362C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a2) Reporting status  </w:t>
            </w:r>
          </w:p>
        </w:tc>
        <w:tc>
          <w:tcPr>
            <w:tcW w:w="1337" w:type="pct"/>
            <w:vAlign w:val="center"/>
          </w:tcPr>
          <w:p w14:paraId="0061648F" w14:textId="0A321F10"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Reporting has not started </w:t>
            </w:r>
            <w:r w:rsidR="004B4EEC" w:rsidRPr="007C4D65">
              <w:rPr>
                <w:rFonts w:asciiTheme="minorHAnsi" w:hAnsiTheme="minorHAnsi" w:cstheme="minorHAnsi"/>
                <w:sz w:val="18"/>
                <w:szCs w:val="18"/>
              </w:rPr>
              <w:t>yet;</w:t>
            </w:r>
            <w:r w:rsidRPr="007C4D65">
              <w:rPr>
                <w:rFonts w:asciiTheme="minorHAnsi" w:hAnsiTheme="minorHAnsi" w:cstheme="minorHAnsi"/>
                <w:sz w:val="18"/>
                <w:szCs w:val="18"/>
              </w:rPr>
              <w:t xml:space="preserve"> plans are being developed</w:t>
            </w:r>
          </w:p>
        </w:tc>
        <w:tc>
          <w:tcPr>
            <w:tcW w:w="1276" w:type="pct"/>
            <w:vAlign w:val="center"/>
          </w:tcPr>
          <w:p w14:paraId="335B638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Developed and published on web pages of the Agencies the biannual reports on the level of implementation of measures from the flood risk management plans (2024 -2034)</w:t>
            </w:r>
          </w:p>
        </w:tc>
      </w:tr>
      <w:tr w:rsidR="00A8050D" w:rsidRPr="007C4D65" w14:paraId="0C723C9F" w14:textId="77777777" w:rsidTr="00B6017F">
        <w:trPr>
          <w:trHeight w:val="567"/>
        </w:trPr>
        <w:tc>
          <w:tcPr>
            <w:tcW w:w="1383" w:type="pct"/>
            <w:vMerge/>
            <w:shd w:val="clear" w:color="auto" w:fill="009D73"/>
            <w:vAlign w:val="center"/>
          </w:tcPr>
          <w:p w14:paraId="77EB6AF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1004" w:type="pct"/>
            <w:shd w:val="clear" w:color="auto" w:fill="auto"/>
            <w:vAlign w:val="center"/>
          </w:tcPr>
          <w:p w14:paraId="1D73B571" w14:textId="4C5082EA"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a3) Status of publication at the </w:t>
            </w:r>
            <w:proofErr w:type="gramStart"/>
            <w:r w:rsidRPr="007C4D65">
              <w:rPr>
                <w:rFonts w:asciiTheme="minorHAnsi" w:hAnsiTheme="minorHAnsi" w:cstheme="minorHAnsi"/>
                <w:sz w:val="18"/>
                <w:szCs w:val="18"/>
              </w:rPr>
              <w:t>web-pages</w:t>
            </w:r>
            <w:proofErr w:type="gramEnd"/>
            <w:r w:rsidRPr="007C4D65">
              <w:rPr>
                <w:rFonts w:asciiTheme="minorHAnsi" w:hAnsiTheme="minorHAnsi" w:cstheme="minorHAnsi"/>
                <w:sz w:val="18"/>
                <w:szCs w:val="18"/>
              </w:rPr>
              <w:t xml:space="preserve"> of SRBA and ASWA in the form of zone maps (GIS)</w:t>
            </w:r>
          </w:p>
          <w:p w14:paraId="7B046193" w14:textId="77777777" w:rsidR="00A8050D" w:rsidRPr="007C4D65" w:rsidRDefault="00A8050D">
            <w:pPr>
              <w:numPr>
                <w:ilvl w:val="0"/>
                <w:numId w:val="205"/>
              </w:numPr>
              <w:spacing w:before="40" w:after="40"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of areas at risk of flooding in scale 1/100</w:t>
            </w:r>
          </w:p>
          <w:p w14:paraId="72204713" w14:textId="77777777" w:rsidR="00A8050D" w:rsidRPr="007C4D65" w:rsidRDefault="00A8050D">
            <w:pPr>
              <w:numPr>
                <w:ilvl w:val="0"/>
                <w:numId w:val="205"/>
              </w:numPr>
              <w:spacing w:before="40" w:after="40"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results of the project "Flood Risk Management Plan" for the Federation of BiH</w:t>
            </w:r>
          </w:p>
        </w:tc>
        <w:tc>
          <w:tcPr>
            <w:tcW w:w="1337" w:type="pct"/>
            <w:shd w:val="clear" w:color="auto" w:fill="auto"/>
            <w:vAlign w:val="center"/>
          </w:tcPr>
          <w:p w14:paraId="5B539BB6" w14:textId="294E6639"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Published maps (GIS) of areas at risk of flooding in scale 1/100</w:t>
            </w:r>
          </w:p>
        </w:tc>
        <w:tc>
          <w:tcPr>
            <w:tcW w:w="1276" w:type="pct"/>
            <w:shd w:val="clear" w:color="auto" w:fill="auto"/>
            <w:vAlign w:val="center"/>
          </w:tcPr>
          <w:p w14:paraId="3189800B"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Developed and published on </w:t>
            </w:r>
            <w:proofErr w:type="gramStart"/>
            <w:r w:rsidRPr="007C4D65">
              <w:rPr>
                <w:rFonts w:asciiTheme="minorHAnsi" w:hAnsiTheme="minorHAnsi" w:cstheme="minorHAnsi"/>
                <w:sz w:val="18"/>
                <w:szCs w:val="18"/>
              </w:rPr>
              <w:t>web-pages</w:t>
            </w:r>
            <w:proofErr w:type="gramEnd"/>
            <w:r w:rsidRPr="007C4D65">
              <w:rPr>
                <w:rFonts w:asciiTheme="minorHAnsi" w:hAnsiTheme="minorHAnsi" w:cstheme="minorHAnsi"/>
                <w:sz w:val="18"/>
                <w:szCs w:val="18"/>
              </w:rPr>
              <w:t xml:space="preserve"> of the water agencies (SRBA and ASWA)</w:t>
            </w:r>
          </w:p>
          <w:p w14:paraId="0301E132" w14:textId="71273165" w:rsidR="00A8050D" w:rsidRPr="007C4D65" w:rsidRDefault="00A8050D">
            <w:pPr>
              <w:numPr>
                <w:ilvl w:val="0"/>
                <w:numId w:val="201"/>
              </w:numPr>
              <w:spacing w:line="276" w:lineRule="auto"/>
              <w:ind w:left="357" w:hanging="357"/>
              <w:contextualSpacing/>
              <w:rPr>
                <w:rFonts w:asciiTheme="minorHAnsi" w:eastAsia="Calibri" w:hAnsiTheme="minorHAnsi" w:cstheme="minorHAnsi"/>
                <w:sz w:val="18"/>
                <w:szCs w:val="18"/>
              </w:rPr>
            </w:pPr>
            <w:r w:rsidRPr="007C4D65">
              <w:rPr>
                <w:rFonts w:asciiTheme="minorHAnsi" w:hAnsiTheme="minorHAnsi" w:cstheme="minorHAnsi"/>
                <w:sz w:val="18"/>
                <w:szCs w:val="18"/>
              </w:rPr>
              <w:t>the maps of areas at risk of flooding in scale 1/100, and</w:t>
            </w:r>
          </w:p>
          <w:p w14:paraId="7A28DB4E" w14:textId="726A4007" w:rsidR="00A8050D" w:rsidRPr="007C4D65" w:rsidRDefault="00A8050D">
            <w:pPr>
              <w:numPr>
                <w:ilvl w:val="0"/>
                <w:numId w:val="201"/>
              </w:numPr>
              <w:spacing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results of the Flood Risk Management Plans in the form of zone mapping (GIS) (2024-2034)</w:t>
            </w:r>
          </w:p>
        </w:tc>
      </w:tr>
      <w:tr w:rsidR="00A8050D" w:rsidRPr="007C4D65" w14:paraId="58E177B6" w14:textId="77777777" w:rsidTr="00B6017F">
        <w:trPr>
          <w:trHeight w:val="567"/>
        </w:trPr>
        <w:tc>
          <w:tcPr>
            <w:tcW w:w="1383" w:type="pct"/>
            <w:shd w:val="clear" w:color="auto" w:fill="009D73"/>
            <w:vAlign w:val="center"/>
          </w:tcPr>
          <w:p w14:paraId="158C5EE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617" w:type="pct"/>
            <w:gridSpan w:val="3"/>
            <w:vAlign w:val="center"/>
          </w:tcPr>
          <w:p w14:paraId="452288A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Mitigating consequences of climate change, improving hydrology of water courses and risk mitigation and protection against floods and landslides </w:t>
            </w:r>
          </w:p>
        </w:tc>
      </w:tr>
      <w:tr w:rsidR="00A8050D" w:rsidRPr="007C4D65" w14:paraId="257ED173" w14:textId="77777777" w:rsidTr="00B6017F">
        <w:trPr>
          <w:trHeight w:val="567"/>
        </w:trPr>
        <w:tc>
          <w:tcPr>
            <w:tcW w:w="1383" w:type="pct"/>
            <w:shd w:val="clear" w:color="auto" w:fill="009D73"/>
            <w:vAlign w:val="center"/>
          </w:tcPr>
          <w:p w14:paraId="5CBA636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specification of sources</w:t>
            </w:r>
          </w:p>
        </w:tc>
        <w:tc>
          <w:tcPr>
            <w:tcW w:w="3617" w:type="pct"/>
            <w:gridSpan w:val="3"/>
            <w:vAlign w:val="center"/>
          </w:tcPr>
          <w:p w14:paraId="75850C0F" w14:textId="77777777"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Amount: BAM 1,547,756 </w:t>
            </w:r>
          </w:p>
          <w:p w14:paraId="0C2C95E3"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 xml:space="preserve">Source: 30% from the government budget, 70% </w:t>
            </w:r>
            <w:r w:rsidRPr="007C4D65">
              <w:rPr>
                <w:rFonts w:asciiTheme="minorHAnsi" w:eastAsia="Calibri" w:hAnsiTheme="minorHAnsi" w:cstheme="minorHAnsi"/>
                <w:sz w:val="18"/>
                <w:szCs w:val="18"/>
              </w:rPr>
              <w:t>combined ‒ loans, funds from EU and other international donors, and other donations</w:t>
            </w:r>
          </w:p>
        </w:tc>
      </w:tr>
      <w:tr w:rsidR="00A8050D" w:rsidRPr="007C4D65" w14:paraId="7BF76C07" w14:textId="77777777" w:rsidTr="00B6017F">
        <w:trPr>
          <w:trHeight w:val="567"/>
        </w:trPr>
        <w:tc>
          <w:tcPr>
            <w:tcW w:w="1383" w:type="pct"/>
            <w:shd w:val="clear" w:color="auto" w:fill="009D73"/>
            <w:vAlign w:val="center"/>
          </w:tcPr>
          <w:p w14:paraId="0D35F42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617" w:type="pct"/>
            <w:gridSpan w:val="3"/>
            <w:vAlign w:val="center"/>
          </w:tcPr>
          <w:p w14:paraId="69E4720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2023-2034</w:t>
            </w:r>
          </w:p>
        </w:tc>
      </w:tr>
      <w:tr w:rsidR="00A8050D" w:rsidRPr="007C4D65" w14:paraId="02BD522F" w14:textId="77777777" w:rsidTr="00B6017F">
        <w:trPr>
          <w:trHeight w:val="567"/>
        </w:trPr>
        <w:tc>
          <w:tcPr>
            <w:tcW w:w="1383" w:type="pct"/>
            <w:shd w:val="clear" w:color="auto" w:fill="009D73"/>
            <w:vAlign w:val="center"/>
          </w:tcPr>
          <w:p w14:paraId="5DF8418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617" w:type="pct"/>
            <w:gridSpan w:val="3"/>
            <w:vAlign w:val="center"/>
          </w:tcPr>
          <w:p w14:paraId="23A8186A" w14:textId="28584D15" w:rsidR="00A8050D" w:rsidRPr="007C4D65" w:rsidRDefault="00A8050D" w:rsidP="00235519">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w:t>
            </w:r>
            <w:r w:rsidR="00C90B32" w:rsidRPr="007C4D65">
              <w:rPr>
                <w:rFonts w:asciiTheme="minorHAnsi" w:hAnsiTheme="minorHAnsi" w:cstheme="minorHAnsi"/>
                <w:sz w:val="18"/>
                <w:szCs w:val="18"/>
              </w:rPr>
              <w:t xml:space="preserve">, </w:t>
            </w:r>
            <w:r w:rsidRPr="007C4D65">
              <w:rPr>
                <w:rFonts w:asciiTheme="minorHAnsi" w:hAnsiTheme="minorHAnsi" w:cstheme="minorHAnsi"/>
                <w:sz w:val="18"/>
                <w:szCs w:val="18"/>
              </w:rPr>
              <w:t>SRBA</w:t>
            </w:r>
            <w:r w:rsidR="00C90B32" w:rsidRPr="007C4D65">
              <w:rPr>
                <w:rFonts w:asciiTheme="minorHAnsi" w:hAnsiTheme="minorHAnsi" w:cstheme="minorHAnsi"/>
                <w:sz w:val="18"/>
                <w:szCs w:val="18"/>
              </w:rPr>
              <w:t xml:space="preserve">, </w:t>
            </w:r>
            <w:r w:rsidRPr="007C4D65">
              <w:rPr>
                <w:rFonts w:asciiTheme="minorHAnsi" w:hAnsiTheme="minorHAnsi" w:cstheme="minorHAnsi"/>
                <w:sz w:val="18"/>
                <w:szCs w:val="18"/>
              </w:rPr>
              <w:t>ASWA</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FHMI</w:t>
            </w:r>
          </w:p>
        </w:tc>
      </w:tr>
      <w:tr w:rsidR="00A8050D" w:rsidRPr="007C4D65" w14:paraId="183243E2" w14:textId="77777777" w:rsidTr="00B6017F">
        <w:trPr>
          <w:trHeight w:val="567"/>
        </w:trPr>
        <w:tc>
          <w:tcPr>
            <w:tcW w:w="1383" w:type="pct"/>
            <w:shd w:val="clear" w:color="auto" w:fill="009D73"/>
            <w:vAlign w:val="center"/>
          </w:tcPr>
          <w:p w14:paraId="340686F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institutions for the measure</w:t>
            </w:r>
          </w:p>
        </w:tc>
        <w:tc>
          <w:tcPr>
            <w:tcW w:w="3617" w:type="pct"/>
            <w:gridSpan w:val="3"/>
            <w:vAlign w:val="center"/>
          </w:tcPr>
          <w:p w14:paraId="7974FD9C" w14:textId="5E91DB18" w:rsidR="00A8050D" w:rsidRPr="007C4D65" w:rsidRDefault="00A8050D" w:rsidP="00B6017F">
            <w:pPr>
              <w:spacing w:before="40" w:after="40" w:line="276" w:lineRule="auto"/>
              <w:rPr>
                <w:rFonts w:asciiTheme="minorHAnsi" w:hAnsiTheme="minorHAnsi" w:cstheme="minorHAnsi"/>
                <w:sz w:val="18"/>
                <w:szCs w:val="18"/>
              </w:rPr>
            </w:pPr>
            <w:proofErr w:type="spellStart"/>
            <w:r w:rsidRPr="007C4D65">
              <w:rPr>
                <w:rFonts w:asciiTheme="minorHAnsi" w:hAnsiTheme="minorHAnsi" w:cstheme="minorHAnsi"/>
                <w:sz w:val="18"/>
                <w:szCs w:val="18"/>
              </w:rPr>
              <w:t>GFBiH</w:t>
            </w:r>
            <w:proofErr w:type="spellEnd"/>
            <w:r w:rsidRPr="007C4D65">
              <w:rPr>
                <w:rFonts w:asciiTheme="minorHAnsi" w:hAnsiTheme="minorHAnsi" w:cstheme="minorHAnsi"/>
                <w:sz w:val="18"/>
                <w:szCs w:val="18"/>
              </w:rPr>
              <w:t xml:space="preserve"> and </w:t>
            </w:r>
            <w:proofErr w:type="spellStart"/>
            <w:r w:rsidRPr="007C4D65">
              <w:rPr>
                <w:rFonts w:asciiTheme="minorHAnsi" w:hAnsiTheme="minorHAnsi" w:cstheme="minorHAnsi"/>
                <w:sz w:val="18"/>
                <w:szCs w:val="18"/>
              </w:rPr>
              <w:t>PFBiH</w:t>
            </w:r>
            <w:proofErr w:type="spellEnd"/>
            <w:r w:rsidRPr="007C4D65">
              <w:rPr>
                <w:rFonts w:asciiTheme="minorHAnsi" w:hAnsiTheme="minorHAnsi" w:cstheme="minorHAnsi"/>
                <w:sz w:val="18"/>
                <w:szCs w:val="18"/>
              </w:rPr>
              <w:t xml:space="preserve"> (Government of the Federation of BiH and Parliament of the Federation of BiH); FMAWMF; SRBA; ASWA; FHMI, CMW (cantonal ministries responsible for water); FMET; FMSP; CM_E, SP, EN, A (Cantonal ministries competent for environment, spatial planning, energy, agriculture, etc.)</w:t>
            </w:r>
          </w:p>
        </w:tc>
      </w:tr>
      <w:tr w:rsidR="00A8050D" w:rsidRPr="007C4D65" w14:paraId="62ED06A5" w14:textId="77777777" w:rsidTr="00B6017F">
        <w:trPr>
          <w:trHeight w:val="567"/>
        </w:trPr>
        <w:tc>
          <w:tcPr>
            <w:tcW w:w="1383" w:type="pct"/>
            <w:shd w:val="clear" w:color="auto" w:fill="009D73"/>
            <w:vAlign w:val="center"/>
          </w:tcPr>
          <w:p w14:paraId="5B62F277" w14:textId="515DBEF7"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617" w:type="pct"/>
            <w:gridSpan w:val="3"/>
            <w:vAlign w:val="center"/>
          </w:tcPr>
          <w:p w14:paraId="7DFCB65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All institutions and people in the Federation of BiH</w:t>
            </w:r>
          </w:p>
        </w:tc>
      </w:tr>
    </w:tbl>
    <w:p w14:paraId="3A24C155" w14:textId="77777777" w:rsidR="00A8050D" w:rsidRPr="007C4D65" w:rsidRDefault="00A8050D" w:rsidP="00A8050D">
      <w:pPr>
        <w:spacing w:line="276" w:lineRule="auto"/>
        <w:rPr>
          <w:rFonts w:asciiTheme="minorHAnsi" w:hAnsiTheme="minorHAnsi" w:cstheme="minorHAnsi"/>
          <w:sz w:val="18"/>
          <w:szCs w:val="18"/>
          <w:lang w:val="hr-HR"/>
        </w:rPr>
      </w:pPr>
    </w:p>
    <w:tbl>
      <w:tblPr>
        <w:tblStyle w:val="TABLICAHAOP7"/>
        <w:tblW w:w="5000" w:type="pct"/>
        <w:tblLook w:val="04A0" w:firstRow="1" w:lastRow="0" w:firstColumn="1" w:lastColumn="0" w:noHBand="0" w:noVBand="1"/>
      </w:tblPr>
      <w:tblGrid>
        <w:gridCol w:w="3859"/>
        <w:gridCol w:w="2658"/>
        <w:gridCol w:w="3869"/>
        <w:gridCol w:w="3562"/>
      </w:tblGrid>
      <w:tr w:rsidR="00A8050D" w:rsidRPr="007C4D65" w14:paraId="3457634A" w14:textId="77777777" w:rsidTr="00B6017F">
        <w:trPr>
          <w:trHeight w:val="567"/>
        </w:trPr>
        <w:tc>
          <w:tcPr>
            <w:tcW w:w="13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F19A81B" w14:textId="461DA342"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617" w:type="pct"/>
            <w:gridSpan w:val="3"/>
            <w:tcBorders>
              <w:top w:val="single" w:sz="4" w:space="0" w:color="A6A6A6"/>
              <w:left w:val="single" w:sz="4" w:space="0" w:color="A6A6A6"/>
              <w:bottom w:val="single" w:sz="4" w:space="0" w:color="A6A6A6"/>
              <w:right w:val="single" w:sz="4" w:space="0" w:color="A6A6A6"/>
            </w:tcBorders>
            <w:vAlign w:val="center"/>
          </w:tcPr>
          <w:p w14:paraId="0652DF91"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6147F3D9" w14:textId="77777777" w:rsidTr="00B6017F">
        <w:trPr>
          <w:trHeight w:val="567"/>
        </w:trPr>
        <w:tc>
          <w:tcPr>
            <w:tcW w:w="13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788EEC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Priority</w:t>
            </w:r>
          </w:p>
        </w:tc>
        <w:tc>
          <w:tcPr>
            <w:tcW w:w="3617" w:type="pct"/>
            <w:gridSpan w:val="3"/>
            <w:tcBorders>
              <w:top w:val="single" w:sz="4" w:space="0" w:color="A6A6A6"/>
              <w:left w:val="single" w:sz="4" w:space="0" w:color="A6A6A6"/>
              <w:bottom w:val="single" w:sz="4" w:space="0" w:color="A6A6A6"/>
              <w:right w:val="single" w:sz="4" w:space="0" w:color="A6A6A6"/>
            </w:tcBorders>
            <w:vAlign w:val="center"/>
          </w:tcPr>
          <w:p w14:paraId="7B3CA9B8" w14:textId="3B616F89" w:rsidR="00A8050D" w:rsidRPr="007C4D65" w:rsidRDefault="00A8050D" w:rsidP="001F7CB6">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1.4. </w:t>
            </w:r>
            <w:r w:rsidR="00854430" w:rsidRPr="007C4D65">
              <w:rPr>
                <w:rFonts w:asciiTheme="minorHAnsi" w:hAnsiTheme="minorHAnsi" w:cstheme="minorHAnsi"/>
                <w:b/>
                <w:sz w:val="18"/>
                <w:szCs w:val="18"/>
              </w:rPr>
              <w:t>Reducing the risk of extreme hydrological events by establishing a sustainable flood risk management system and adaptation to climate changes</w:t>
            </w:r>
          </w:p>
        </w:tc>
      </w:tr>
      <w:tr w:rsidR="00A8050D" w:rsidRPr="007C4D65" w14:paraId="2DD7525F" w14:textId="77777777" w:rsidTr="00B6017F">
        <w:trPr>
          <w:trHeight w:val="567"/>
        </w:trPr>
        <w:tc>
          <w:tcPr>
            <w:tcW w:w="13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062BD5A" w14:textId="34BEAB6B"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617" w:type="pct"/>
            <w:gridSpan w:val="3"/>
            <w:tcBorders>
              <w:top w:val="single" w:sz="4" w:space="0" w:color="A6A6A6"/>
              <w:left w:val="single" w:sz="4" w:space="0" w:color="A6A6A6"/>
              <w:bottom w:val="single" w:sz="4" w:space="0" w:color="A6A6A6"/>
              <w:right w:val="single" w:sz="4" w:space="0" w:color="A6A6A6"/>
            </w:tcBorders>
            <w:vAlign w:val="center"/>
          </w:tcPr>
          <w:p w14:paraId="0706E04B" w14:textId="17320676"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1.4.2. Establishment and operation of hydrology forecasting systems in the Federation of BiH, including the improved network of hydrological and meteorological metering stations</w:t>
            </w:r>
          </w:p>
        </w:tc>
      </w:tr>
      <w:tr w:rsidR="00A8050D" w:rsidRPr="007C4D65" w14:paraId="137965B0" w14:textId="77777777" w:rsidTr="00B6017F">
        <w:trPr>
          <w:trHeight w:val="274"/>
        </w:trPr>
        <w:tc>
          <w:tcPr>
            <w:tcW w:w="13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87FD80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617" w:type="pct"/>
            <w:gridSpan w:val="3"/>
            <w:tcBorders>
              <w:top w:val="single" w:sz="4" w:space="0" w:color="A6A6A6"/>
              <w:left w:val="single" w:sz="4" w:space="0" w:color="A6A6A6"/>
              <w:bottom w:val="single" w:sz="4" w:space="0" w:color="A6A6A6"/>
              <w:right w:val="single" w:sz="4" w:space="0" w:color="A6A6A6"/>
            </w:tcBorders>
            <w:vAlign w:val="center"/>
          </w:tcPr>
          <w:p w14:paraId="1B8F9CBA" w14:textId="19F0A8C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This measure aims to plan further development of hydrological and meteorological and precipitation stations in the Federation of BiH as the basis for establishing and operation of hydrological and hydraulic forecasting models.</w:t>
            </w:r>
          </w:p>
          <w:p w14:paraId="6F7C3BA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General areas of intervention have been defined in two </w:t>
            </w:r>
            <w:proofErr w:type="gramStart"/>
            <w:r w:rsidRPr="007C4D65">
              <w:rPr>
                <w:rFonts w:asciiTheme="minorHAnsi" w:hAnsiTheme="minorHAnsi" w:cstheme="minorHAnsi"/>
                <w:sz w:val="18"/>
                <w:szCs w:val="18"/>
              </w:rPr>
              <w:t>groups;</w:t>
            </w:r>
            <w:proofErr w:type="gramEnd"/>
          </w:p>
          <w:p w14:paraId="0C0A26DB" w14:textId="77777777" w:rsidR="00A8050D" w:rsidRPr="007C4D65" w:rsidRDefault="00A8050D" w:rsidP="00B6017F">
            <w:pPr>
              <w:spacing w:before="40" w:after="40" w:line="276" w:lineRule="auto"/>
              <w:ind w:left="329" w:hanging="329"/>
              <w:rPr>
                <w:rFonts w:asciiTheme="minorHAnsi" w:hAnsiTheme="minorHAnsi" w:cstheme="minorHAnsi"/>
                <w:b/>
                <w:sz w:val="18"/>
                <w:szCs w:val="18"/>
              </w:rPr>
            </w:pPr>
            <w:r w:rsidRPr="007C4D65">
              <w:rPr>
                <w:rFonts w:asciiTheme="minorHAnsi" w:hAnsiTheme="minorHAnsi" w:cstheme="minorHAnsi"/>
                <w:b/>
                <w:sz w:val="18"/>
                <w:szCs w:val="18"/>
              </w:rPr>
              <w:t xml:space="preserve">a) Improved network of hydrological and meteorological and precipitation stations in the Federation of BiH </w:t>
            </w:r>
          </w:p>
          <w:p w14:paraId="7C814C4A" w14:textId="2B9B8D23"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a1) Developed and made available the Plan for extension of hydrological measuring stations network based on the identified AFAs</w:t>
            </w:r>
          </w:p>
          <w:p w14:paraId="07589D96" w14:textId="641B6D50"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 xml:space="preserve">a2) Implemented Plan of extension‒ construction of </w:t>
            </w:r>
            <w:r w:rsidR="004B4EEC" w:rsidRPr="007C4D65">
              <w:rPr>
                <w:rFonts w:asciiTheme="minorHAnsi" w:hAnsiTheme="minorHAnsi" w:cstheme="minorHAnsi"/>
                <w:sz w:val="18"/>
                <w:szCs w:val="18"/>
              </w:rPr>
              <w:t>hydrological</w:t>
            </w:r>
            <w:r w:rsidRPr="007C4D65">
              <w:rPr>
                <w:rFonts w:asciiTheme="minorHAnsi" w:hAnsiTheme="minorHAnsi" w:cstheme="minorHAnsi"/>
                <w:sz w:val="18"/>
                <w:szCs w:val="18"/>
              </w:rPr>
              <w:t xml:space="preserve"> measuring stations, accompanied by biannual reports on network </w:t>
            </w:r>
            <w:proofErr w:type="gramStart"/>
            <w:r w:rsidRPr="007C4D65">
              <w:rPr>
                <w:rFonts w:asciiTheme="minorHAnsi" w:hAnsiTheme="minorHAnsi" w:cstheme="minorHAnsi"/>
                <w:sz w:val="18"/>
                <w:szCs w:val="18"/>
              </w:rPr>
              <w:t>extension</w:t>
            </w:r>
            <w:r w:rsidR="00235519" w:rsidRPr="007C4D65">
              <w:rPr>
                <w:rFonts w:asciiTheme="minorHAnsi" w:hAnsiTheme="minorHAnsi" w:cstheme="minorHAnsi"/>
                <w:sz w:val="18"/>
                <w:szCs w:val="18"/>
              </w:rPr>
              <w:t>;</w:t>
            </w:r>
            <w:proofErr w:type="gramEnd"/>
          </w:p>
          <w:p w14:paraId="6DA229C7" w14:textId="0B3D8064"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 xml:space="preserve">a3) Developed and made available the Plan for expansion of network of meteorological and precipitation measuring stations in the Federation of </w:t>
            </w:r>
            <w:proofErr w:type="gramStart"/>
            <w:r w:rsidRPr="007C4D65">
              <w:rPr>
                <w:rFonts w:asciiTheme="minorHAnsi" w:hAnsiTheme="minorHAnsi" w:cstheme="minorHAnsi"/>
                <w:sz w:val="18"/>
                <w:szCs w:val="18"/>
              </w:rPr>
              <w:t>BiH</w:t>
            </w:r>
            <w:r w:rsidR="00235519" w:rsidRPr="007C4D65">
              <w:rPr>
                <w:rFonts w:asciiTheme="minorHAnsi" w:hAnsiTheme="minorHAnsi" w:cstheme="minorHAnsi"/>
                <w:sz w:val="18"/>
                <w:szCs w:val="18"/>
              </w:rPr>
              <w:t>;</w:t>
            </w:r>
            <w:proofErr w:type="gramEnd"/>
          </w:p>
          <w:p w14:paraId="0129B088" w14:textId="51732623"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a4) Implemented Plan of extension - construction of the network of meteorological and precipitation measuring stations in the Federation of BiH, accompanied by biannual repots on extension of the network of meteorological and precipitation stations in the Federation of BiH</w:t>
            </w:r>
            <w:r w:rsidR="00235519" w:rsidRPr="007C4D65">
              <w:rPr>
                <w:rFonts w:asciiTheme="minorHAnsi" w:hAnsiTheme="minorHAnsi" w:cstheme="minorHAnsi"/>
                <w:sz w:val="18"/>
                <w:szCs w:val="18"/>
              </w:rPr>
              <w:t>.</w:t>
            </w:r>
          </w:p>
          <w:p w14:paraId="376600FD" w14:textId="1E154CFA" w:rsidR="00A8050D" w:rsidRPr="007C4D65" w:rsidRDefault="00A8050D" w:rsidP="00B6017F">
            <w:pPr>
              <w:spacing w:before="40" w:after="40" w:line="276" w:lineRule="auto"/>
              <w:ind w:left="329" w:hanging="329"/>
              <w:rPr>
                <w:rFonts w:asciiTheme="minorHAnsi" w:hAnsiTheme="minorHAnsi" w:cstheme="minorHAnsi"/>
                <w:b/>
                <w:sz w:val="18"/>
                <w:szCs w:val="18"/>
              </w:rPr>
            </w:pPr>
            <w:r w:rsidRPr="007C4D65">
              <w:rPr>
                <w:rFonts w:asciiTheme="minorHAnsi" w:hAnsiTheme="minorHAnsi" w:cstheme="minorHAnsi"/>
                <w:b/>
                <w:sz w:val="18"/>
                <w:szCs w:val="18"/>
              </w:rPr>
              <w:t>b) Establishing and operating the hydrological and hydraulic forecasting models - operational and regularly maintained</w:t>
            </w:r>
          </w:p>
          <w:p w14:paraId="5F40AA7F" w14:textId="72C6CFB8"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 xml:space="preserve">b1) Established and operational hydrology forecasting model for the Adriatic Sea River </w:t>
            </w:r>
            <w:proofErr w:type="gramStart"/>
            <w:r w:rsidRPr="007C4D65">
              <w:rPr>
                <w:rFonts w:asciiTheme="minorHAnsi" w:hAnsiTheme="minorHAnsi" w:cstheme="minorHAnsi"/>
                <w:sz w:val="18"/>
                <w:szCs w:val="18"/>
              </w:rPr>
              <w:t>Basin</w:t>
            </w:r>
            <w:r w:rsidR="00235519" w:rsidRPr="007C4D65">
              <w:rPr>
                <w:rFonts w:asciiTheme="minorHAnsi" w:hAnsiTheme="minorHAnsi" w:cstheme="minorHAnsi"/>
                <w:sz w:val="18"/>
                <w:szCs w:val="18"/>
              </w:rPr>
              <w:t>;</w:t>
            </w:r>
            <w:proofErr w:type="gramEnd"/>
          </w:p>
          <w:p w14:paraId="4ED9C578" w14:textId="501BB077" w:rsidR="00A8050D" w:rsidRPr="007C4D65" w:rsidRDefault="00A8050D" w:rsidP="00B6017F">
            <w:pPr>
              <w:spacing w:before="40" w:after="40" w:line="276" w:lineRule="auto"/>
              <w:ind w:left="363"/>
              <w:rPr>
                <w:rFonts w:asciiTheme="minorHAnsi" w:hAnsiTheme="minorHAnsi" w:cstheme="minorHAnsi"/>
                <w:sz w:val="18"/>
                <w:szCs w:val="18"/>
              </w:rPr>
            </w:pPr>
            <w:r w:rsidRPr="007C4D65">
              <w:rPr>
                <w:rFonts w:asciiTheme="minorHAnsi" w:hAnsiTheme="minorHAnsi" w:cstheme="minorHAnsi"/>
                <w:sz w:val="18"/>
                <w:szCs w:val="18"/>
              </w:rPr>
              <w:t xml:space="preserve">b2) Operational and regularly maintained flood forecasting system for the Sava and </w:t>
            </w:r>
            <w:proofErr w:type="gramStart"/>
            <w:r w:rsidRPr="007C4D65">
              <w:rPr>
                <w:rFonts w:asciiTheme="minorHAnsi" w:hAnsiTheme="minorHAnsi" w:cstheme="minorHAnsi"/>
                <w:sz w:val="18"/>
                <w:szCs w:val="18"/>
              </w:rPr>
              <w:t>Adriatic Sea river</w:t>
            </w:r>
            <w:proofErr w:type="gramEnd"/>
            <w:r w:rsidRPr="007C4D65">
              <w:rPr>
                <w:rFonts w:asciiTheme="minorHAnsi" w:hAnsiTheme="minorHAnsi" w:cstheme="minorHAnsi"/>
                <w:sz w:val="18"/>
                <w:szCs w:val="18"/>
              </w:rPr>
              <w:t xml:space="preserve"> basins</w:t>
            </w:r>
            <w:r w:rsidR="00235519" w:rsidRPr="007C4D65">
              <w:rPr>
                <w:rFonts w:asciiTheme="minorHAnsi" w:hAnsiTheme="minorHAnsi" w:cstheme="minorHAnsi"/>
                <w:sz w:val="18"/>
                <w:szCs w:val="18"/>
              </w:rPr>
              <w:t>.</w:t>
            </w:r>
          </w:p>
        </w:tc>
      </w:tr>
      <w:tr w:rsidR="00A8050D" w:rsidRPr="007C4D65" w14:paraId="1014D1BE" w14:textId="77777777" w:rsidTr="00B6017F">
        <w:trPr>
          <w:trHeight w:val="567"/>
        </w:trPr>
        <w:tc>
          <w:tcPr>
            <w:tcW w:w="13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33EC34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Key strategic projects</w:t>
            </w:r>
          </w:p>
        </w:tc>
        <w:tc>
          <w:tcPr>
            <w:tcW w:w="3617" w:type="pct"/>
            <w:gridSpan w:val="3"/>
            <w:tcBorders>
              <w:top w:val="single" w:sz="4" w:space="0" w:color="A6A6A6"/>
              <w:left w:val="single" w:sz="4" w:space="0" w:color="A6A6A6"/>
              <w:bottom w:val="single" w:sz="4" w:space="0" w:color="A6A6A6"/>
              <w:right w:val="single" w:sz="4" w:space="0" w:color="A6A6A6"/>
            </w:tcBorders>
            <w:vAlign w:val="center"/>
          </w:tcPr>
          <w:p w14:paraId="09D6CA2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3893112D" w14:textId="77777777" w:rsidTr="00B6017F">
        <w:trPr>
          <w:trHeight w:val="567"/>
        </w:trPr>
        <w:tc>
          <w:tcPr>
            <w:tcW w:w="13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9BF2EA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95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66CB0B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12C3B78B" w14:textId="3F14E3B3"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38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9651447"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35C7DE41"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7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FA64432"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67A56F67" w14:textId="77777777" w:rsidTr="00B6017F">
        <w:trPr>
          <w:trHeight w:val="567"/>
        </w:trPr>
        <w:tc>
          <w:tcPr>
            <w:tcW w:w="1383"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7D06AB1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953" w:type="pct"/>
            <w:tcBorders>
              <w:top w:val="single" w:sz="4" w:space="0" w:color="A6A6A6"/>
              <w:left w:val="single" w:sz="4" w:space="0" w:color="A6A6A6"/>
              <w:bottom w:val="single" w:sz="4" w:space="0" w:color="A6A6A6"/>
              <w:right w:val="single" w:sz="4" w:space="0" w:color="A6A6A6"/>
            </w:tcBorders>
            <w:shd w:val="clear" w:color="auto" w:fill="auto"/>
            <w:vAlign w:val="center"/>
          </w:tcPr>
          <w:p w14:paraId="03DF411E"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a1) Status of development of the Plan for extension of hydrology measuring stations network based on the identified AFAs</w:t>
            </w:r>
          </w:p>
        </w:tc>
        <w:tc>
          <w:tcPr>
            <w:tcW w:w="1387" w:type="pct"/>
            <w:tcBorders>
              <w:top w:val="single" w:sz="4" w:space="0" w:color="A6A6A6"/>
              <w:left w:val="single" w:sz="4" w:space="0" w:color="A6A6A6"/>
              <w:bottom w:val="single" w:sz="4" w:space="0" w:color="A6A6A6"/>
              <w:right w:val="single" w:sz="4" w:space="0" w:color="A6A6A6"/>
            </w:tcBorders>
            <w:shd w:val="clear" w:color="auto" w:fill="auto"/>
            <w:vAlign w:val="center"/>
          </w:tcPr>
          <w:p w14:paraId="26D1DDC3" w14:textId="514DB15A"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 development of the Plan for extension of hydrology measuring stations network based on the identified AFAs has not started</w:t>
            </w:r>
          </w:p>
        </w:tc>
        <w:tc>
          <w:tcPr>
            <w:tcW w:w="1277" w:type="pct"/>
            <w:tcBorders>
              <w:top w:val="single" w:sz="4" w:space="0" w:color="A6A6A6"/>
              <w:left w:val="single" w:sz="4" w:space="0" w:color="A6A6A6"/>
              <w:bottom w:val="single" w:sz="4" w:space="0" w:color="A6A6A6"/>
              <w:right w:val="single" w:sz="4" w:space="0" w:color="A6A6A6"/>
            </w:tcBorders>
            <w:shd w:val="clear" w:color="auto" w:fill="auto"/>
            <w:vAlign w:val="center"/>
          </w:tcPr>
          <w:p w14:paraId="5C354EB7" w14:textId="77777777" w:rsidR="00A8050D" w:rsidRPr="007C4D65" w:rsidRDefault="00A8050D" w:rsidP="00B6017F">
            <w:pPr>
              <w:spacing w:before="40" w:after="40"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 xml:space="preserve">Developed Plans </w:t>
            </w:r>
          </w:p>
          <w:p w14:paraId="0419AA4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for extension of hydrology measuring stations network based on the identified AFAs (2024)</w:t>
            </w:r>
          </w:p>
        </w:tc>
      </w:tr>
      <w:tr w:rsidR="00A8050D" w:rsidRPr="007C4D65" w14:paraId="6F2049FF" w14:textId="77777777" w:rsidTr="00B6017F">
        <w:trPr>
          <w:trHeight w:val="567"/>
        </w:trPr>
        <w:tc>
          <w:tcPr>
            <w:tcW w:w="1383"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0AFC2E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953"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1D59EEC" w14:textId="2C99A7A8"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a) Level of completion</w:t>
            </w:r>
          </w:p>
          <w:p w14:paraId="7B3E6646" w14:textId="7AB29FA8"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of works on extension of the network of hydrological measuring stations in Federation </w:t>
            </w:r>
            <w:r w:rsidRPr="007C4D65">
              <w:rPr>
                <w:rFonts w:asciiTheme="minorHAnsi" w:hAnsiTheme="minorHAnsi" w:cstheme="minorHAnsi"/>
                <w:sz w:val="18"/>
                <w:szCs w:val="18"/>
              </w:rPr>
              <w:lastRenderedPageBreak/>
              <w:t>of BiH, in accordance with the Plan</w:t>
            </w:r>
          </w:p>
        </w:tc>
        <w:tc>
          <w:tcPr>
            <w:tcW w:w="1387"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E68185" w14:textId="3236C865"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Works on extension of the network of hydrological measuring stations in the Federation of BiH, in accordance with the Plan, have not started</w:t>
            </w:r>
          </w:p>
        </w:tc>
        <w:tc>
          <w:tcPr>
            <w:tcW w:w="1277"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D03A00F" w14:textId="10BA0CE2"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Completed works on extension of the network of hydrological measuring stations, in accordance with the Plan, accompanied with biannual reporting on the extension of </w:t>
            </w:r>
            <w:r w:rsidRPr="007C4D65">
              <w:rPr>
                <w:rFonts w:asciiTheme="minorHAnsi" w:hAnsiTheme="minorHAnsi" w:cstheme="minorHAnsi"/>
                <w:sz w:val="18"/>
                <w:szCs w:val="18"/>
              </w:rPr>
              <w:lastRenderedPageBreak/>
              <w:t>the network of hydrological measuring stations in the Federation of BiH (2025-2034)</w:t>
            </w:r>
          </w:p>
        </w:tc>
      </w:tr>
      <w:tr w:rsidR="00A8050D" w:rsidRPr="007C4D65" w14:paraId="2DAAFA49" w14:textId="77777777" w:rsidTr="00B6017F">
        <w:trPr>
          <w:trHeight w:val="567"/>
        </w:trPr>
        <w:tc>
          <w:tcPr>
            <w:tcW w:w="1383"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4C3A0B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953"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FF967A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a3) Status of development of the Plan for expansion of network of meteorological and precipitation measuring stations in the Federation of BiH</w:t>
            </w:r>
          </w:p>
        </w:tc>
        <w:tc>
          <w:tcPr>
            <w:tcW w:w="1387"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E0AE72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Drafting of the Plan for expansion of network of meteorological and precipitation measuring stations in Federation of BiH has not started</w:t>
            </w:r>
          </w:p>
        </w:tc>
        <w:tc>
          <w:tcPr>
            <w:tcW w:w="1277"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351DF4A" w14:textId="31A3EF7C"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Developed Plans</w:t>
            </w:r>
          </w:p>
          <w:p w14:paraId="36EFEED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for expansion of network of meteorological and precipitation measuring stations in the Federation of BiH (2024)</w:t>
            </w:r>
          </w:p>
        </w:tc>
      </w:tr>
      <w:tr w:rsidR="00A8050D" w:rsidRPr="007C4D65" w14:paraId="565A7195" w14:textId="77777777" w:rsidTr="00B6017F">
        <w:trPr>
          <w:trHeight w:val="567"/>
        </w:trPr>
        <w:tc>
          <w:tcPr>
            <w:tcW w:w="1383"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3509B3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953"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6602909"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a4) Level of completion </w:t>
            </w:r>
          </w:p>
          <w:p w14:paraId="021308C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of works on expansion of network </w:t>
            </w:r>
            <w:proofErr w:type="gramStart"/>
            <w:r w:rsidRPr="007C4D65">
              <w:rPr>
                <w:rFonts w:asciiTheme="minorHAnsi" w:hAnsiTheme="minorHAnsi" w:cstheme="minorHAnsi"/>
                <w:sz w:val="18"/>
                <w:szCs w:val="18"/>
              </w:rPr>
              <w:t>of  meteorological</w:t>
            </w:r>
            <w:proofErr w:type="gramEnd"/>
            <w:r w:rsidRPr="007C4D65">
              <w:rPr>
                <w:rFonts w:asciiTheme="minorHAnsi" w:hAnsiTheme="minorHAnsi" w:cstheme="minorHAnsi"/>
                <w:sz w:val="18"/>
                <w:szCs w:val="18"/>
              </w:rPr>
              <w:t xml:space="preserve"> and precipitation measuring stations in the Federation of BiH</w:t>
            </w:r>
          </w:p>
        </w:tc>
        <w:tc>
          <w:tcPr>
            <w:tcW w:w="1387"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F43765B"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Works on extension of the network of meteorological measuring stations in the Federation of BiH, in accordance with the Plan, have not started </w:t>
            </w:r>
          </w:p>
        </w:tc>
        <w:tc>
          <w:tcPr>
            <w:tcW w:w="1277"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A205B4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Completed works on expansion of the network of meteorological and precipitation measuring stations in the Federation of BiH, accompanied by biannual repots on extension of the network of meteorological and precipitation stations in FBiH (2025-2034)</w:t>
            </w:r>
          </w:p>
        </w:tc>
      </w:tr>
      <w:tr w:rsidR="00A8050D" w:rsidRPr="007C4D65" w14:paraId="6E5EC5C1" w14:textId="77777777" w:rsidTr="00B6017F">
        <w:trPr>
          <w:trHeight w:val="567"/>
        </w:trPr>
        <w:tc>
          <w:tcPr>
            <w:tcW w:w="13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6C4433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953"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2533F8B"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b1) Status of establishment of hydrology forecasting model for the Adriatic Sea Basin.</w:t>
            </w:r>
          </w:p>
        </w:tc>
        <w:tc>
          <w:tcPr>
            <w:tcW w:w="1387"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EB97191"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Partly</w:t>
            </w:r>
          </w:p>
        </w:tc>
        <w:tc>
          <w:tcPr>
            <w:tcW w:w="1277"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B4698B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established and operational hydrology forecasting model for the Adriatic Sea Basin (2024)</w:t>
            </w:r>
          </w:p>
        </w:tc>
      </w:tr>
      <w:tr w:rsidR="00A8050D" w:rsidRPr="007C4D65" w14:paraId="420C3C11" w14:textId="77777777" w:rsidTr="00B6017F">
        <w:trPr>
          <w:trHeight w:val="567"/>
        </w:trPr>
        <w:tc>
          <w:tcPr>
            <w:tcW w:w="13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4D56C4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953"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AA8DB74"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b2) Operational status and regular </w:t>
            </w:r>
            <w:proofErr w:type="gramStart"/>
            <w:r w:rsidRPr="007C4D65">
              <w:rPr>
                <w:rFonts w:asciiTheme="minorHAnsi" w:hAnsiTheme="minorHAnsi" w:cstheme="minorHAnsi"/>
                <w:sz w:val="18"/>
                <w:szCs w:val="18"/>
              </w:rPr>
              <w:t>maintenance  of</w:t>
            </w:r>
            <w:proofErr w:type="gramEnd"/>
            <w:r w:rsidRPr="007C4D65">
              <w:rPr>
                <w:rFonts w:asciiTheme="minorHAnsi" w:hAnsiTheme="minorHAnsi" w:cstheme="minorHAnsi"/>
                <w:sz w:val="18"/>
                <w:szCs w:val="18"/>
              </w:rPr>
              <w:t xml:space="preserve"> flood forecasting system for Sava and Adriatic Sea river basins</w:t>
            </w:r>
          </w:p>
        </w:tc>
        <w:tc>
          <w:tcPr>
            <w:tcW w:w="1387"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AF7D94A"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Partly </w:t>
            </w:r>
          </w:p>
        </w:tc>
        <w:tc>
          <w:tcPr>
            <w:tcW w:w="1277"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157D82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Operational and regularly maintained flood forecasting system for Sava and </w:t>
            </w:r>
            <w:proofErr w:type="gramStart"/>
            <w:r w:rsidRPr="007C4D65">
              <w:rPr>
                <w:rFonts w:asciiTheme="minorHAnsi" w:hAnsiTheme="minorHAnsi" w:cstheme="minorHAnsi"/>
                <w:sz w:val="18"/>
                <w:szCs w:val="18"/>
              </w:rPr>
              <w:t>Adriatic Sea river</w:t>
            </w:r>
            <w:proofErr w:type="gramEnd"/>
            <w:r w:rsidRPr="007C4D65">
              <w:rPr>
                <w:rFonts w:asciiTheme="minorHAnsi" w:hAnsiTheme="minorHAnsi" w:cstheme="minorHAnsi"/>
                <w:sz w:val="18"/>
                <w:szCs w:val="18"/>
              </w:rPr>
              <w:t xml:space="preserve"> basins (2024 -2034)</w:t>
            </w:r>
          </w:p>
        </w:tc>
      </w:tr>
      <w:tr w:rsidR="00A8050D" w:rsidRPr="007C4D65" w14:paraId="73B91E81" w14:textId="77777777" w:rsidTr="00B6017F">
        <w:trPr>
          <w:trHeight w:val="926"/>
        </w:trPr>
        <w:tc>
          <w:tcPr>
            <w:tcW w:w="13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A69213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617" w:type="pct"/>
            <w:gridSpan w:val="3"/>
            <w:tcBorders>
              <w:top w:val="single" w:sz="4" w:space="0" w:color="A6A6A6"/>
              <w:left w:val="single" w:sz="4" w:space="0" w:color="A6A6A6"/>
              <w:bottom w:val="single" w:sz="4" w:space="0" w:color="A6A6A6"/>
              <w:right w:val="single" w:sz="4" w:space="0" w:color="A6A6A6"/>
            </w:tcBorders>
            <w:vAlign w:val="center"/>
          </w:tcPr>
          <w:p w14:paraId="5E2CB21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bCs/>
                <w:sz w:val="18"/>
                <w:szCs w:val="18"/>
              </w:rPr>
              <w:t>Mitigating consequences of climate change, improving hydrology of water courses and risk mitigation and protection against floods and landslides</w:t>
            </w:r>
          </w:p>
        </w:tc>
      </w:tr>
      <w:tr w:rsidR="00A8050D" w:rsidRPr="007C4D65" w14:paraId="02A8080B" w14:textId="77777777" w:rsidTr="00B6017F">
        <w:trPr>
          <w:trHeight w:val="567"/>
        </w:trPr>
        <w:tc>
          <w:tcPr>
            <w:tcW w:w="13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FD4284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specification of sources</w:t>
            </w:r>
          </w:p>
        </w:tc>
        <w:tc>
          <w:tcPr>
            <w:tcW w:w="3617" w:type="pct"/>
            <w:gridSpan w:val="3"/>
            <w:tcBorders>
              <w:top w:val="single" w:sz="4" w:space="0" w:color="A6A6A6"/>
              <w:left w:val="single" w:sz="4" w:space="0" w:color="A6A6A6"/>
              <w:bottom w:val="single" w:sz="4" w:space="0" w:color="A6A6A6"/>
              <w:right w:val="single" w:sz="4" w:space="0" w:color="A6A6A6"/>
            </w:tcBorders>
            <w:vAlign w:val="center"/>
          </w:tcPr>
          <w:p w14:paraId="29194D4F" w14:textId="77777777"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Amount: BAM 15,695,088 </w:t>
            </w:r>
          </w:p>
          <w:p w14:paraId="4AB7A7AA"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 xml:space="preserve">Source: 30% from the government budget, 70% </w:t>
            </w:r>
            <w:r w:rsidRPr="007C4D65">
              <w:rPr>
                <w:rFonts w:asciiTheme="minorHAnsi" w:eastAsia="Calibri" w:hAnsiTheme="minorHAnsi" w:cstheme="minorHAnsi"/>
                <w:sz w:val="18"/>
                <w:szCs w:val="18"/>
              </w:rPr>
              <w:t>combined ‒ loans, funds from EU and other international donors, and other donations</w:t>
            </w:r>
          </w:p>
        </w:tc>
      </w:tr>
      <w:tr w:rsidR="00A8050D" w:rsidRPr="007C4D65" w14:paraId="46074D23" w14:textId="77777777" w:rsidTr="00B6017F">
        <w:trPr>
          <w:trHeight w:val="567"/>
        </w:trPr>
        <w:tc>
          <w:tcPr>
            <w:tcW w:w="13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34934F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617"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A81863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2024-2034</w:t>
            </w:r>
          </w:p>
        </w:tc>
      </w:tr>
      <w:tr w:rsidR="00A8050D" w:rsidRPr="007C4D65" w14:paraId="0F5B41EC" w14:textId="77777777" w:rsidTr="00B6017F">
        <w:trPr>
          <w:trHeight w:val="567"/>
        </w:trPr>
        <w:tc>
          <w:tcPr>
            <w:tcW w:w="13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127036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617" w:type="pct"/>
            <w:gridSpan w:val="3"/>
            <w:tcBorders>
              <w:top w:val="single" w:sz="4" w:space="0" w:color="A6A6A6"/>
              <w:left w:val="single" w:sz="4" w:space="0" w:color="A6A6A6"/>
              <w:bottom w:val="single" w:sz="4" w:space="0" w:color="A6A6A6"/>
              <w:right w:val="single" w:sz="4" w:space="0" w:color="A6A6A6"/>
            </w:tcBorders>
            <w:vAlign w:val="center"/>
          </w:tcPr>
          <w:p w14:paraId="48701826" w14:textId="792740D5" w:rsidR="00A8050D" w:rsidRPr="007C4D65" w:rsidRDefault="00A8050D" w:rsidP="00235519">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SRBA</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ASWA</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F</w:t>
            </w:r>
            <w:r w:rsidR="004B4EEC" w:rsidRPr="007C4D65">
              <w:rPr>
                <w:rFonts w:asciiTheme="minorHAnsi" w:hAnsiTheme="minorHAnsi" w:cstheme="minorHAnsi"/>
                <w:sz w:val="18"/>
                <w:szCs w:val="18"/>
              </w:rPr>
              <w:t>MHI</w:t>
            </w:r>
            <w:r w:rsidRPr="007C4D65">
              <w:rPr>
                <w:rFonts w:asciiTheme="minorHAnsi" w:hAnsiTheme="minorHAnsi" w:cstheme="minorHAnsi"/>
                <w:sz w:val="18"/>
                <w:szCs w:val="18"/>
              </w:rPr>
              <w:t xml:space="preserve"> </w:t>
            </w:r>
            <w:r w:rsidR="004B4EEC" w:rsidRPr="007C4D65">
              <w:rPr>
                <w:rFonts w:asciiTheme="minorHAnsi" w:hAnsiTheme="minorHAnsi" w:cstheme="minorHAnsi"/>
                <w:sz w:val="18"/>
                <w:szCs w:val="18"/>
              </w:rPr>
              <w:t xml:space="preserve">Federation </w:t>
            </w:r>
            <w:proofErr w:type="spellStart"/>
            <w:r w:rsidR="004B4EEC" w:rsidRPr="007C4D65">
              <w:rPr>
                <w:rFonts w:asciiTheme="minorHAnsi" w:hAnsiTheme="minorHAnsi" w:cstheme="minorHAnsi"/>
                <w:sz w:val="18"/>
                <w:szCs w:val="18"/>
              </w:rPr>
              <w:t>Hydrometeorogical</w:t>
            </w:r>
            <w:proofErr w:type="spellEnd"/>
            <w:r w:rsidR="004B4EEC" w:rsidRPr="007C4D65">
              <w:rPr>
                <w:rFonts w:asciiTheme="minorHAnsi" w:hAnsiTheme="minorHAnsi" w:cstheme="minorHAnsi"/>
                <w:sz w:val="18"/>
                <w:szCs w:val="18"/>
              </w:rPr>
              <w:t xml:space="preserve"> Institute</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CMW (cantonal ministries responsible for water)</w:t>
            </w:r>
          </w:p>
        </w:tc>
      </w:tr>
      <w:tr w:rsidR="00A8050D" w:rsidRPr="007C4D65" w14:paraId="20F24129" w14:textId="77777777" w:rsidTr="00B6017F">
        <w:trPr>
          <w:trHeight w:val="567"/>
        </w:trPr>
        <w:tc>
          <w:tcPr>
            <w:tcW w:w="13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AFCC59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Implementing institutions for the measure</w:t>
            </w:r>
          </w:p>
        </w:tc>
        <w:tc>
          <w:tcPr>
            <w:tcW w:w="3617" w:type="pct"/>
            <w:gridSpan w:val="3"/>
            <w:tcBorders>
              <w:top w:val="single" w:sz="4" w:space="0" w:color="A6A6A6"/>
              <w:left w:val="single" w:sz="4" w:space="0" w:color="A6A6A6"/>
              <w:bottom w:val="single" w:sz="4" w:space="0" w:color="A6A6A6"/>
              <w:right w:val="single" w:sz="4" w:space="0" w:color="A6A6A6"/>
            </w:tcBorders>
            <w:vAlign w:val="center"/>
          </w:tcPr>
          <w:p w14:paraId="0E34F6F1" w14:textId="1A61D889"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 SRBA, ACWA, CMWs (cantonal ministries with competence for water)</w:t>
            </w:r>
          </w:p>
        </w:tc>
      </w:tr>
      <w:tr w:rsidR="00A8050D" w:rsidRPr="007C4D65" w14:paraId="648E6FCE" w14:textId="77777777" w:rsidTr="00B6017F">
        <w:trPr>
          <w:trHeight w:val="567"/>
        </w:trPr>
        <w:tc>
          <w:tcPr>
            <w:tcW w:w="13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8BA91EC" w14:textId="3F388F54"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617"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87CBDE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All institutions and people in the Federation of BiH</w:t>
            </w:r>
          </w:p>
        </w:tc>
      </w:tr>
    </w:tbl>
    <w:p w14:paraId="47641BDC" w14:textId="77777777" w:rsidR="00A8050D" w:rsidRPr="007C4D65" w:rsidRDefault="00A8050D" w:rsidP="00A8050D">
      <w:pPr>
        <w:spacing w:line="276" w:lineRule="auto"/>
        <w:rPr>
          <w:rFonts w:asciiTheme="minorHAnsi" w:hAnsiTheme="minorHAnsi" w:cstheme="minorHAnsi"/>
          <w:sz w:val="18"/>
          <w:szCs w:val="18"/>
          <w:lang w:val="hr-HR"/>
        </w:rPr>
      </w:pPr>
    </w:p>
    <w:tbl>
      <w:tblPr>
        <w:tblStyle w:val="TABLICAHAOP7"/>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886"/>
        <w:gridCol w:w="2773"/>
        <w:gridCol w:w="3727"/>
        <w:gridCol w:w="3562"/>
      </w:tblGrid>
      <w:tr w:rsidR="00A8050D" w:rsidRPr="007C4D65" w14:paraId="683B49C6" w14:textId="77777777" w:rsidTr="00B6017F">
        <w:trPr>
          <w:trHeight w:val="567"/>
        </w:trPr>
        <w:tc>
          <w:tcPr>
            <w:tcW w:w="1393" w:type="pct"/>
            <w:shd w:val="clear" w:color="auto" w:fill="009D73"/>
            <w:vAlign w:val="center"/>
          </w:tcPr>
          <w:p w14:paraId="668DA195" w14:textId="5E91822A"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607" w:type="pct"/>
            <w:gridSpan w:val="3"/>
            <w:vAlign w:val="center"/>
          </w:tcPr>
          <w:p w14:paraId="627CC916"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3477DD81" w14:textId="77777777" w:rsidTr="00B6017F">
        <w:trPr>
          <w:trHeight w:val="567"/>
        </w:trPr>
        <w:tc>
          <w:tcPr>
            <w:tcW w:w="1393" w:type="pct"/>
            <w:shd w:val="clear" w:color="auto" w:fill="009D73"/>
            <w:vAlign w:val="center"/>
          </w:tcPr>
          <w:p w14:paraId="458A29A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607" w:type="pct"/>
            <w:gridSpan w:val="3"/>
            <w:vAlign w:val="center"/>
          </w:tcPr>
          <w:p w14:paraId="606C43F4" w14:textId="5126E8AA" w:rsidR="00A8050D" w:rsidRPr="007C4D65" w:rsidRDefault="00A8050D" w:rsidP="001F7CB6">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1.4. </w:t>
            </w:r>
            <w:r w:rsidR="00854430" w:rsidRPr="007C4D65">
              <w:rPr>
                <w:rFonts w:asciiTheme="minorHAnsi" w:hAnsiTheme="minorHAnsi" w:cstheme="minorHAnsi"/>
                <w:b/>
                <w:sz w:val="18"/>
                <w:szCs w:val="18"/>
              </w:rPr>
              <w:t>Reducing the risk of extreme hydrological events by establishing a sustainable flood risk management system and adaptation to climate changes</w:t>
            </w:r>
          </w:p>
        </w:tc>
      </w:tr>
      <w:tr w:rsidR="00A8050D" w:rsidRPr="007C4D65" w14:paraId="798A46E9" w14:textId="77777777" w:rsidTr="00B6017F">
        <w:trPr>
          <w:trHeight w:val="567"/>
        </w:trPr>
        <w:tc>
          <w:tcPr>
            <w:tcW w:w="1393" w:type="pct"/>
            <w:shd w:val="clear" w:color="auto" w:fill="009D73"/>
            <w:vAlign w:val="center"/>
          </w:tcPr>
          <w:p w14:paraId="75796CFC" w14:textId="0164B1F3"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607" w:type="pct"/>
            <w:gridSpan w:val="3"/>
            <w:vAlign w:val="center"/>
          </w:tcPr>
          <w:p w14:paraId="4E56F88E"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1.4.3. Improved planning and implementation of the measures for adaptation to climate changes that affect water resources</w:t>
            </w:r>
          </w:p>
        </w:tc>
      </w:tr>
      <w:tr w:rsidR="00A8050D" w:rsidRPr="007C4D65" w14:paraId="2277DE4E" w14:textId="77777777" w:rsidTr="00B6017F">
        <w:trPr>
          <w:trHeight w:val="567"/>
        </w:trPr>
        <w:tc>
          <w:tcPr>
            <w:tcW w:w="1393" w:type="pct"/>
            <w:shd w:val="clear" w:color="auto" w:fill="009D73"/>
            <w:vAlign w:val="center"/>
          </w:tcPr>
          <w:p w14:paraId="48CF44F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607" w:type="pct"/>
            <w:gridSpan w:val="3"/>
            <w:vAlign w:val="center"/>
          </w:tcPr>
          <w:p w14:paraId="529690ED" w14:textId="163F182A" w:rsidR="00A8050D" w:rsidRPr="007C4D65" w:rsidRDefault="00A8050D" w:rsidP="00B6017F">
            <w:pPr>
              <w:spacing w:before="240" w:after="120" w:line="276" w:lineRule="auto"/>
              <w:rPr>
                <w:rFonts w:asciiTheme="minorHAnsi" w:eastAsia="Calibri" w:hAnsiTheme="minorHAnsi" w:cstheme="minorHAnsi"/>
                <w:sz w:val="18"/>
                <w:szCs w:val="18"/>
              </w:rPr>
            </w:pPr>
            <w:r w:rsidRPr="007C4D65">
              <w:rPr>
                <w:rFonts w:asciiTheme="minorHAnsi" w:hAnsiTheme="minorHAnsi" w:cstheme="minorHAnsi"/>
                <w:sz w:val="18"/>
                <w:szCs w:val="18"/>
              </w:rPr>
              <w:t>This measure aims to program</w:t>
            </w:r>
            <w:r w:rsidR="00227D11" w:rsidRPr="007C4D65">
              <w:rPr>
                <w:rFonts w:asciiTheme="minorHAnsi" w:hAnsiTheme="minorHAnsi" w:cstheme="minorHAnsi"/>
                <w:sz w:val="18"/>
                <w:szCs w:val="18"/>
              </w:rPr>
              <w:t>me</w:t>
            </w:r>
            <w:r w:rsidRPr="007C4D65">
              <w:rPr>
                <w:rFonts w:asciiTheme="minorHAnsi" w:hAnsiTheme="minorHAnsi" w:cstheme="minorHAnsi"/>
                <w:sz w:val="18"/>
                <w:szCs w:val="18"/>
              </w:rPr>
              <w:t xml:space="preserve"> implementation of measures in water sector. monitor their implementation and report on the progress in implementation of measures that are defined in the draft National Action Plan for climate change adaptation (NAP).   </w:t>
            </w:r>
          </w:p>
          <w:p w14:paraId="7542A6F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General areas of intervention include: </w:t>
            </w:r>
          </w:p>
          <w:p w14:paraId="190C4DE4" w14:textId="36BCB784" w:rsidR="00A8050D" w:rsidRPr="007C4D65" w:rsidRDefault="00A8050D">
            <w:pPr>
              <w:numPr>
                <w:ilvl w:val="0"/>
                <w:numId w:val="88"/>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Development of a programme for implementation of measures in water sector that are identified in the National Plan for Climate Change Adaptation (NAP</w:t>
            </w:r>
            <w:proofErr w:type="gramStart"/>
            <w:r w:rsidRPr="007C4D65">
              <w:rPr>
                <w:rFonts w:asciiTheme="minorHAnsi" w:hAnsiTheme="minorHAnsi" w:cstheme="minorHAnsi"/>
                <w:sz w:val="18"/>
                <w:szCs w:val="18"/>
              </w:rPr>
              <w:t>)</w:t>
            </w:r>
            <w:r w:rsidR="00235519" w:rsidRPr="007C4D65">
              <w:rPr>
                <w:rFonts w:asciiTheme="minorHAnsi" w:hAnsiTheme="minorHAnsi" w:cstheme="minorHAnsi"/>
                <w:sz w:val="18"/>
                <w:szCs w:val="18"/>
              </w:rPr>
              <w:t>;</w:t>
            </w:r>
            <w:proofErr w:type="gramEnd"/>
          </w:p>
          <w:p w14:paraId="0814D68F" w14:textId="00D92231" w:rsidR="00A8050D" w:rsidRPr="007C4D65" w:rsidRDefault="00A8050D">
            <w:pPr>
              <w:numPr>
                <w:ilvl w:val="0"/>
                <w:numId w:val="88"/>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Monitoring implementation and biannual reporting on the progress in NAP implementation</w:t>
            </w:r>
            <w:r w:rsidR="00235519" w:rsidRPr="007C4D65">
              <w:rPr>
                <w:rFonts w:asciiTheme="minorHAnsi" w:hAnsiTheme="minorHAnsi" w:cstheme="minorHAnsi"/>
                <w:sz w:val="18"/>
                <w:szCs w:val="18"/>
              </w:rPr>
              <w:t>;</w:t>
            </w:r>
          </w:p>
        </w:tc>
      </w:tr>
      <w:tr w:rsidR="00A8050D" w:rsidRPr="007C4D65" w14:paraId="3A700DD7" w14:textId="77777777" w:rsidTr="00B6017F">
        <w:trPr>
          <w:trHeight w:val="567"/>
        </w:trPr>
        <w:tc>
          <w:tcPr>
            <w:tcW w:w="1393" w:type="pct"/>
            <w:shd w:val="clear" w:color="auto" w:fill="009D73"/>
            <w:vAlign w:val="center"/>
          </w:tcPr>
          <w:p w14:paraId="6B980C3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Key strategic projects</w:t>
            </w:r>
          </w:p>
        </w:tc>
        <w:tc>
          <w:tcPr>
            <w:tcW w:w="3607" w:type="pct"/>
            <w:gridSpan w:val="3"/>
            <w:vAlign w:val="center"/>
          </w:tcPr>
          <w:p w14:paraId="43193E1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30A4AFDF" w14:textId="77777777" w:rsidTr="00B6017F">
        <w:trPr>
          <w:trHeight w:val="567"/>
        </w:trPr>
        <w:tc>
          <w:tcPr>
            <w:tcW w:w="1393" w:type="pct"/>
            <w:vMerge w:val="restart"/>
            <w:shd w:val="clear" w:color="auto" w:fill="009D73"/>
            <w:vAlign w:val="center"/>
          </w:tcPr>
          <w:p w14:paraId="77CFB2E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994"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60EC119"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2F12C80E" w14:textId="2B989345"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33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E91912E"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317B989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7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D99642B"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1FCF287F" w14:textId="77777777" w:rsidTr="00B6017F">
        <w:trPr>
          <w:trHeight w:val="567"/>
        </w:trPr>
        <w:tc>
          <w:tcPr>
            <w:tcW w:w="1393" w:type="pct"/>
            <w:vMerge/>
            <w:shd w:val="clear" w:color="auto" w:fill="009D73"/>
            <w:vAlign w:val="center"/>
          </w:tcPr>
          <w:p w14:paraId="38FBC75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994" w:type="pct"/>
            <w:shd w:val="clear" w:color="auto" w:fill="auto"/>
            <w:vAlign w:val="center"/>
          </w:tcPr>
          <w:p w14:paraId="2E1C3452"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Degree of development of a programme for implementation of measures in water sector that are identified in the National Plan for Climate Change Adaptation (NAP)</w:t>
            </w:r>
          </w:p>
        </w:tc>
        <w:tc>
          <w:tcPr>
            <w:tcW w:w="1336" w:type="pct"/>
            <w:shd w:val="clear" w:color="auto" w:fill="auto"/>
            <w:vAlign w:val="center"/>
          </w:tcPr>
          <w:p w14:paraId="0B0FF91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NAP is in its draft form‒ the development of a programme of implementation of the measures in the water sector that are defined in the draft NAP has not started</w:t>
            </w:r>
          </w:p>
        </w:tc>
        <w:tc>
          <w:tcPr>
            <w:tcW w:w="1277" w:type="pct"/>
            <w:shd w:val="clear" w:color="auto" w:fill="auto"/>
            <w:vAlign w:val="center"/>
          </w:tcPr>
          <w:p w14:paraId="7ED3D63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Developed programme of implementation of measures in the water sector that are defined in the draft NAP (2024)</w:t>
            </w:r>
          </w:p>
        </w:tc>
      </w:tr>
      <w:tr w:rsidR="00A8050D" w:rsidRPr="007C4D65" w14:paraId="72DE28C5" w14:textId="77777777" w:rsidTr="00B6017F">
        <w:trPr>
          <w:trHeight w:val="567"/>
        </w:trPr>
        <w:tc>
          <w:tcPr>
            <w:tcW w:w="1393" w:type="pct"/>
            <w:vMerge/>
            <w:shd w:val="clear" w:color="auto" w:fill="009D73"/>
            <w:vAlign w:val="center"/>
          </w:tcPr>
          <w:p w14:paraId="6951627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994" w:type="pct"/>
            <w:vAlign w:val="center"/>
          </w:tcPr>
          <w:p w14:paraId="723BFA6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Status of reporting on implementation of measures in the water sector as defined in the NAP </w:t>
            </w:r>
          </w:p>
        </w:tc>
        <w:tc>
          <w:tcPr>
            <w:tcW w:w="1336" w:type="pct"/>
            <w:vAlign w:val="center"/>
          </w:tcPr>
          <w:p w14:paraId="0202F71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Reporting has not started, draft NAP made, not adopted </w:t>
            </w:r>
          </w:p>
        </w:tc>
        <w:tc>
          <w:tcPr>
            <w:tcW w:w="1277" w:type="pct"/>
            <w:vAlign w:val="center"/>
          </w:tcPr>
          <w:p w14:paraId="46CE494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Biannual reports on the degree of implementation of measures from the NAP developed and published on </w:t>
            </w:r>
            <w:proofErr w:type="gramStart"/>
            <w:r w:rsidRPr="007C4D65">
              <w:rPr>
                <w:rFonts w:asciiTheme="minorHAnsi" w:hAnsiTheme="minorHAnsi" w:cstheme="minorHAnsi"/>
                <w:sz w:val="18"/>
                <w:szCs w:val="18"/>
              </w:rPr>
              <w:t>web-pages</w:t>
            </w:r>
            <w:proofErr w:type="gramEnd"/>
            <w:r w:rsidRPr="007C4D65">
              <w:rPr>
                <w:rFonts w:asciiTheme="minorHAnsi" w:hAnsiTheme="minorHAnsi" w:cstheme="minorHAnsi"/>
                <w:sz w:val="18"/>
                <w:szCs w:val="18"/>
              </w:rPr>
              <w:t xml:space="preserve"> of </w:t>
            </w:r>
            <w:r w:rsidRPr="007C4D65">
              <w:rPr>
                <w:rFonts w:asciiTheme="minorHAnsi" w:hAnsiTheme="minorHAnsi" w:cstheme="minorHAnsi"/>
                <w:sz w:val="18"/>
                <w:szCs w:val="18"/>
              </w:rPr>
              <w:lastRenderedPageBreak/>
              <w:t>FMAMWF, the Agencies, and FHMI (2025-2034)</w:t>
            </w:r>
          </w:p>
        </w:tc>
      </w:tr>
      <w:tr w:rsidR="00A8050D" w:rsidRPr="007C4D65" w14:paraId="174A0C26" w14:textId="77777777" w:rsidTr="00B6017F">
        <w:trPr>
          <w:trHeight w:val="567"/>
        </w:trPr>
        <w:tc>
          <w:tcPr>
            <w:tcW w:w="1393" w:type="pct"/>
            <w:shd w:val="clear" w:color="auto" w:fill="009D73"/>
            <w:vAlign w:val="center"/>
          </w:tcPr>
          <w:p w14:paraId="4FCF07B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Developmental impact and contribution of the measure to achieving the priority</w:t>
            </w:r>
          </w:p>
        </w:tc>
        <w:tc>
          <w:tcPr>
            <w:tcW w:w="3607" w:type="pct"/>
            <w:gridSpan w:val="3"/>
            <w:vAlign w:val="center"/>
          </w:tcPr>
          <w:p w14:paraId="54673AD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bCs/>
                <w:sz w:val="18"/>
                <w:szCs w:val="18"/>
              </w:rPr>
              <w:t>Improvement of strategic planning and mitigation of consequences of climate change</w:t>
            </w:r>
          </w:p>
        </w:tc>
      </w:tr>
      <w:tr w:rsidR="00A8050D" w:rsidRPr="007C4D65" w14:paraId="74D029C8" w14:textId="77777777" w:rsidTr="00B6017F">
        <w:trPr>
          <w:trHeight w:val="567"/>
        </w:trPr>
        <w:tc>
          <w:tcPr>
            <w:tcW w:w="1393" w:type="pct"/>
            <w:shd w:val="clear" w:color="auto" w:fill="009D73"/>
            <w:vAlign w:val="center"/>
          </w:tcPr>
          <w:p w14:paraId="0EC0DBC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specification of sources</w:t>
            </w:r>
          </w:p>
        </w:tc>
        <w:tc>
          <w:tcPr>
            <w:tcW w:w="3607" w:type="pct"/>
            <w:gridSpan w:val="3"/>
            <w:vAlign w:val="center"/>
          </w:tcPr>
          <w:p w14:paraId="17BD4B0D" w14:textId="71EF34F2"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Amount: BAM 22,220</w:t>
            </w:r>
          </w:p>
          <w:p w14:paraId="53F4E3B3"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 xml:space="preserve">Source: 100% government budget </w:t>
            </w:r>
          </w:p>
        </w:tc>
      </w:tr>
      <w:tr w:rsidR="00A8050D" w:rsidRPr="007C4D65" w14:paraId="36CCFEE7" w14:textId="77777777" w:rsidTr="00B6017F">
        <w:trPr>
          <w:trHeight w:val="567"/>
        </w:trPr>
        <w:tc>
          <w:tcPr>
            <w:tcW w:w="1393" w:type="pct"/>
            <w:shd w:val="clear" w:color="auto" w:fill="009D73"/>
            <w:vAlign w:val="center"/>
          </w:tcPr>
          <w:p w14:paraId="70DFE31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607" w:type="pct"/>
            <w:gridSpan w:val="3"/>
            <w:vAlign w:val="center"/>
          </w:tcPr>
          <w:p w14:paraId="5818499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2023-2034</w:t>
            </w:r>
          </w:p>
        </w:tc>
      </w:tr>
      <w:tr w:rsidR="00A8050D" w:rsidRPr="007C4D65" w14:paraId="065A7EEA" w14:textId="77777777" w:rsidTr="00B6017F">
        <w:trPr>
          <w:trHeight w:val="567"/>
        </w:trPr>
        <w:tc>
          <w:tcPr>
            <w:tcW w:w="1393" w:type="pct"/>
            <w:shd w:val="clear" w:color="auto" w:fill="009D73"/>
            <w:vAlign w:val="center"/>
          </w:tcPr>
          <w:p w14:paraId="715BA8D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bookmarkStart w:id="233" w:name="_Hlk95290285"/>
            <w:r w:rsidRPr="007C4D65">
              <w:rPr>
                <w:rFonts w:asciiTheme="minorHAnsi" w:hAnsiTheme="minorHAnsi" w:cstheme="minorHAnsi"/>
                <w:b/>
                <w:color w:val="FFFFFF" w:themeColor="background1"/>
                <w:sz w:val="18"/>
                <w:szCs w:val="18"/>
              </w:rPr>
              <w:t>Institution responsible for coordination and implementation of the measure</w:t>
            </w:r>
          </w:p>
        </w:tc>
        <w:tc>
          <w:tcPr>
            <w:tcW w:w="3607" w:type="pct"/>
            <w:gridSpan w:val="3"/>
            <w:vAlign w:val="center"/>
          </w:tcPr>
          <w:p w14:paraId="13CEFA06" w14:textId="0FCC1B76" w:rsidR="00A8050D" w:rsidRPr="007C4D65" w:rsidRDefault="00A8050D" w:rsidP="00235519">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SRBA</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ASWA</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FHMI</w:t>
            </w:r>
          </w:p>
        </w:tc>
      </w:tr>
      <w:tr w:rsidR="00A8050D" w:rsidRPr="007C4D65" w14:paraId="052119FF" w14:textId="77777777" w:rsidTr="00B6017F">
        <w:trPr>
          <w:trHeight w:val="567"/>
        </w:trPr>
        <w:tc>
          <w:tcPr>
            <w:tcW w:w="1393" w:type="pct"/>
            <w:shd w:val="clear" w:color="auto" w:fill="009D73"/>
            <w:vAlign w:val="center"/>
          </w:tcPr>
          <w:p w14:paraId="58C39C7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institutions for the measure</w:t>
            </w:r>
          </w:p>
        </w:tc>
        <w:tc>
          <w:tcPr>
            <w:tcW w:w="3607" w:type="pct"/>
            <w:gridSpan w:val="3"/>
            <w:vAlign w:val="center"/>
          </w:tcPr>
          <w:p w14:paraId="635669AE" w14:textId="6DFA86BA"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 SRBA, ACWA, FHMI, CMWs (cantonal ministries responsible for water);</w:t>
            </w:r>
          </w:p>
        </w:tc>
      </w:tr>
      <w:bookmarkEnd w:id="233"/>
      <w:tr w:rsidR="00A8050D" w:rsidRPr="007C4D65" w14:paraId="203CF359" w14:textId="77777777" w:rsidTr="00B6017F">
        <w:trPr>
          <w:trHeight w:val="567"/>
        </w:trPr>
        <w:tc>
          <w:tcPr>
            <w:tcW w:w="1393" w:type="pct"/>
            <w:shd w:val="clear" w:color="auto" w:fill="009D73"/>
            <w:vAlign w:val="center"/>
          </w:tcPr>
          <w:p w14:paraId="61EF00AF" w14:textId="5060A6D1"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607" w:type="pct"/>
            <w:gridSpan w:val="3"/>
            <w:vAlign w:val="center"/>
          </w:tcPr>
          <w:p w14:paraId="28FA2A7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All institutions of water management and population of the Federation of BiH</w:t>
            </w:r>
          </w:p>
        </w:tc>
      </w:tr>
    </w:tbl>
    <w:p w14:paraId="5D50736C" w14:textId="77777777" w:rsidR="00A8050D" w:rsidRPr="007C4D65" w:rsidRDefault="00A8050D" w:rsidP="00A8050D">
      <w:pPr>
        <w:spacing w:line="276" w:lineRule="auto"/>
        <w:rPr>
          <w:rFonts w:asciiTheme="minorHAnsi" w:hAnsiTheme="minorHAnsi" w:cstheme="minorHAnsi"/>
          <w:sz w:val="18"/>
          <w:szCs w:val="18"/>
          <w:lang w:val="hr-HR"/>
        </w:rPr>
      </w:pPr>
    </w:p>
    <w:tbl>
      <w:tblPr>
        <w:tblStyle w:val="TABLICAHAOP7"/>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858"/>
        <w:gridCol w:w="3367"/>
        <w:gridCol w:w="3163"/>
        <w:gridCol w:w="3560"/>
      </w:tblGrid>
      <w:tr w:rsidR="00A8050D" w:rsidRPr="007C4D65" w14:paraId="2A364566" w14:textId="77777777" w:rsidTr="00B6017F">
        <w:trPr>
          <w:trHeight w:val="567"/>
        </w:trPr>
        <w:tc>
          <w:tcPr>
            <w:tcW w:w="1383" w:type="pct"/>
            <w:shd w:val="clear" w:color="auto" w:fill="009D73"/>
            <w:vAlign w:val="center"/>
          </w:tcPr>
          <w:p w14:paraId="7268EB1F" w14:textId="76797432"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bookmarkStart w:id="234" w:name="_Hlk103299580"/>
            <w:r w:rsidRPr="007C4D65">
              <w:rPr>
                <w:rFonts w:asciiTheme="minorHAnsi" w:hAnsiTheme="minorHAnsi" w:cstheme="minorHAnsi"/>
                <w:b/>
                <w:color w:val="FFFFFF" w:themeColor="background1"/>
                <w:sz w:val="18"/>
                <w:szCs w:val="18"/>
              </w:rPr>
              <w:t>Link with the strategic goal</w:t>
            </w:r>
          </w:p>
        </w:tc>
        <w:tc>
          <w:tcPr>
            <w:tcW w:w="3617" w:type="pct"/>
            <w:gridSpan w:val="3"/>
            <w:vAlign w:val="center"/>
          </w:tcPr>
          <w:p w14:paraId="3E10EBE3"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1C9D341A" w14:textId="77777777" w:rsidTr="00B6017F">
        <w:trPr>
          <w:trHeight w:val="567"/>
        </w:trPr>
        <w:tc>
          <w:tcPr>
            <w:tcW w:w="1383" w:type="pct"/>
            <w:shd w:val="clear" w:color="auto" w:fill="009D73"/>
            <w:vAlign w:val="center"/>
          </w:tcPr>
          <w:p w14:paraId="7F111D0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617" w:type="pct"/>
            <w:gridSpan w:val="3"/>
            <w:vAlign w:val="center"/>
          </w:tcPr>
          <w:p w14:paraId="4E93F14F" w14:textId="66A5893E"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1.5. </w:t>
            </w:r>
            <w:r w:rsidR="001E4D90" w:rsidRPr="007C4D65">
              <w:rPr>
                <w:rFonts w:asciiTheme="minorHAnsi" w:hAnsiTheme="minorHAnsi" w:cstheme="minorHAnsi"/>
                <w:b/>
                <w:sz w:val="18"/>
                <w:szCs w:val="18"/>
              </w:rPr>
              <w:t>Developing an effective legal and institutional framework for the purpose of alignment with the EU regulations in the water sector, and its enforcement</w:t>
            </w:r>
          </w:p>
        </w:tc>
      </w:tr>
      <w:tr w:rsidR="00A8050D" w:rsidRPr="007C4D65" w14:paraId="4E81C5BF" w14:textId="77777777" w:rsidTr="00B6017F">
        <w:trPr>
          <w:trHeight w:val="567"/>
        </w:trPr>
        <w:tc>
          <w:tcPr>
            <w:tcW w:w="1383" w:type="pct"/>
            <w:shd w:val="clear" w:color="auto" w:fill="009D73"/>
            <w:vAlign w:val="center"/>
          </w:tcPr>
          <w:p w14:paraId="55E47919" w14:textId="41E3589E"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617" w:type="pct"/>
            <w:gridSpan w:val="3"/>
            <w:vAlign w:val="center"/>
          </w:tcPr>
          <w:p w14:paraId="3906A201"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1.5.1 Ensure effective implementation of the Programme of integration with EU regarding the Water Management sector (</w:t>
            </w:r>
            <w:proofErr w:type="gramStart"/>
            <w:r w:rsidRPr="007C4D65">
              <w:rPr>
                <w:rFonts w:asciiTheme="minorHAnsi" w:hAnsiTheme="minorHAnsi" w:cstheme="minorHAnsi"/>
                <w:b/>
                <w:sz w:val="18"/>
                <w:szCs w:val="18"/>
              </w:rPr>
              <w:t>on the basis of</w:t>
            </w:r>
            <w:proofErr w:type="gramEnd"/>
            <w:r w:rsidRPr="007C4D65">
              <w:rPr>
                <w:rFonts w:asciiTheme="minorHAnsi" w:hAnsiTheme="minorHAnsi" w:cstheme="minorHAnsi"/>
                <w:b/>
                <w:sz w:val="18"/>
                <w:szCs w:val="18"/>
              </w:rPr>
              <w:t xml:space="preserve"> four-year cycles)</w:t>
            </w:r>
          </w:p>
        </w:tc>
      </w:tr>
      <w:tr w:rsidR="00A8050D" w:rsidRPr="007C4D65" w14:paraId="3F35B7AA" w14:textId="77777777" w:rsidTr="00B6017F">
        <w:trPr>
          <w:trHeight w:val="567"/>
        </w:trPr>
        <w:tc>
          <w:tcPr>
            <w:tcW w:w="1383" w:type="pct"/>
            <w:shd w:val="clear" w:color="auto" w:fill="009D73"/>
            <w:vAlign w:val="center"/>
          </w:tcPr>
          <w:p w14:paraId="638C11D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617" w:type="pct"/>
            <w:gridSpan w:val="3"/>
            <w:vAlign w:val="center"/>
          </w:tcPr>
          <w:p w14:paraId="0F96578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This measure aims to intensify cooperation with the responsible institutions in BiH (DEI and </w:t>
            </w:r>
            <w:proofErr w:type="spellStart"/>
            <w:r w:rsidRPr="007C4D65">
              <w:rPr>
                <w:rFonts w:asciiTheme="minorHAnsi" w:hAnsiTheme="minorHAnsi" w:cstheme="minorHAnsi"/>
                <w:sz w:val="18"/>
                <w:szCs w:val="18"/>
              </w:rPr>
              <w:t>MoFTER</w:t>
            </w:r>
            <w:proofErr w:type="spellEnd"/>
            <w:r w:rsidRPr="007C4D65">
              <w:rPr>
                <w:rFonts w:asciiTheme="minorHAnsi" w:hAnsiTheme="minorHAnsi" w:cstheme="minorHAnsi"/>
                <w:sz w:val="18"/>
                <w:szCs w:val="18"/>
              </w:rPr>
              <w:t xml:space="preserve">), as well as the activities related to planning priorities for harmonisation with water directives and identifying priorities for institutional measures in the field of water management, </w:t>
            </w:r>
            <w:proofErr w:type="gramStart"/>
            <w:r w:rsidRPr="007C4D65">
              <w:rPr>
                <w:rFonts w:asciiTheme="minorHAnsi" w:hAnsiTheme="minorHAnsi" w:cstheme="minorHAnsi"/>
                <w:sz w:val="18"/>
                <w:szCs w:val="18"/>
              </w:rPr>
              <w:t>on the basis of</w:t>
            </w:r>
            <w:proofErr w:type="gramEnd"/>
            <w:r w:rsidRPr="007C4D65">
              <w:rPr>
                <w:rFonts w:asciiTheme="minorHAnsi" w:hAnsiTheme="minorHAnsi" w:cstheme="minorHAnsi"/>
                <w:sz w:val="18"/>
                <w:szCs w:val="18"/>
              </w:rPr>
              <w:t xml:space="preserve"> four-year cycle.</w:t>
            </w:r>
          </w:p>
          <w:p w14:paraId="15A99743" w14:textId="3324F70C"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General areas of intervention:</w:t>
            </w:r>
          </w:p>
          <w:p w14:paraId="261CB36B" w14:textId="2C266013" w:rsidR="00A8050D" w:rsidRPr="007C4D65" w:rsidRDefault="00A8050D">
            <w:pPr>
              <w:numPr>
                <w:ilvl w:val="0"/>
                <w:numId w:val="90"/>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Develop and adopt list of priorities for harmonisation with the Water Directives and for institutional measures in the area of water management for four-year </w:t>
            </w:r>
            <w:proofErr w:type="gramStart"/>
            <w:r w:rsidRPr="007C4D65">
              <w:rPr>
                <w:rFonts w:asciiTheme="minorHAnsi" w:hAnsiTheme="minorHAnsi" w:cstheme="minorHAnsi"/>
                <w:sz w:val="18"/>
                <w:szCs w:val="18"/>
              </w:rPr>
              <w:t>periods</w:t>
            </w:r>
            <w:r w:rsidR="00235519" w:rsidRPr="007C4D65">
              <w:rPr>
                <w:rFonts w:asciiTheme="minorHAnsi" w:hAnsiTheme="minorHAnsi" w:cstheme="minorHAnsi"/>
                <w:sz w:val="18"/>
                <w:szCs w:val="18"/>
              </w:rPr>
              <w:t>;</w:t>
            </w:r>
            <w:proofErr w:type="gramEnd"/>
          </w:p>
          <w:p w14:paraId="361BCDB0" w14:textId="57409523" w:rsidR="00A8050D" w:rsidRPr="007C4D65" w:rsidRDefault="00A8050D">
            <w:pPr>
              <w:numPr>
                <w:ilvl w:val="0"/>
                <w:numId w:val="90"/>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Develop and adopt dynamic plan for approximation to the EU water regulations in FBiH and for implementation of institutional measures in the area of water management (for four-year periods</w:t>
            </w:r>
            <w:proofErr w:type="gramStart"/>
            <w:r w:rsidRPr="007C4D65">
              <w:rPr>
                <w:rFonts w:asciiTheme="minorHAnsi" w:hAnsiTheme="minorHAnsi" w:cstheme="minorHAnsi"/>
                <w:sz w:val="18"/>
                <w:szCs w:val="18"/>
              </w:rPr>
              <w:t>)</w:t>
            </w:r>
            <w:r w:rsidR="00235519" w:rsidRPr="007C4D65">
              <w:rPr>
                <w:rFonts w:asciiTheme="minorHAnsi" w:eastAsia="Calibri" w:hAnsiTheme="minorHAnsi" w:cstheme="minorHAnsi"/>
                <w:sz w:val="18"/>
                <w:szCs w:val="18"/>
              </w:rPr>
              <w:t>;</w:t>
            </w:r>
            <w:proofErr w:type="gramEnd"/>
          </w:p>
          <w:p w14:paraId="63AEAD28" w14:textId="63A6508E" w:rsidR="00A8050D" w:rsidRPr="007C4D65" w:rsidRDefault="00A8050D">
            <w:pPr>
              <w:numPr>
                <w:ilvl w:val="0"/>
                <w:numId w:val="90"/>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Establish an operational structure within the FMAWMF for coordination of the process of accession to the EU/ for coordination when implementing the Programme of integration and development of DSIPs and APIDs for water directives</w:t>
            </w:r>
            <w:r w:rsidR="00235519" w:rsidRPr="007C4D65">
              <w:rPr>
                <w:rFonts w:asciiTheme="minorHAnsi" w:hAnsiTheme="minorHAnsi" w:cstheme="minorHAnsi"/>
                <w:sz w:val="18"/>
                <w:szCs w:val="18"/>
              </w:rPr>
              <w:t>.</w:t>
            </w:r>
          </w:p>
        </w:tc>
      </w:tr>
      <w:tr w:rsidR="00A8050D" w:rsidRPr="007C4D65" w14:paraId="3F233B7D" w14:textId="77777777" w:rsidTr="00B6017F">
        <w:trPr>
          <w:trHeight w:val="567"/>
        </w:trPr>
        <w:tc>
          <w:tcPr>
            <w:tcW w:w="1383" w:type="pct"/>
            <w:shd w:val="clear" w:color="auto" w:fill="009D73"/>
            <w:vAlign w:val="center"/>
          </w:tcPr>
          <w:p w14:paraId="0AD3D05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Key strategic projects</w:t>
            </w:r>
          </w:p>
        </w:tc>
        <w:tc>
          <w:tcPr>
            <w:tcW w:w="3617" w:type="pct"/>
            <w:gridSpan w:val="3"/>
            <w:vAlign w:val="center"/>
          </w:tcPr>
          <w:p w14:paraId="7AEBB24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57476C51" w14:textId="77777777" w:rsidTr="00B6017F">
        <w:trPr>
          <w:trHeight w:val="567"/>
        </w:trPr>
        <w:tc>
          <w:tcPr>
            <w:tcW w:w="1383" w:type="pct"/>
            <w:shd w:val="clear" w:color="auto" w:fill="009D73"/>
            <w:vAlign w:val="center"/>
          </w:tcPr>
          <w:p w14:paraId="45AE014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20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F72E218"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35589780" w14:textId="6FA6F59B"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134"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2B8C8BE"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25F9E031"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E1A6FFE"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0B40FE0F" w14:textId="77777777" w:rsidTr="00B6017F">
        <w:trPr>
          <w:trHeight w:val="567"/>
        </w:trPr>
        <w:tc>
          <w:tcPr>
            <w:tcW w:w="1383" w:type="pct"/>
            <w:vMerge w:val="restart"/>
            <w:shd w:val="clear" w:color="auto" w:fill="009D73"/>
            <w:vAlign w:val="center"/>
          </w:tcPr>
          <w:p w14:paraId="6A1341C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1207" w:type="pct"/>
            <w:shd w:val="clear" w:color="auto" w:fill="auto"/>
            <w:vAlign w:val="center"/>
          </w:tcPr>
          <w:p w14:paraId="7FD068A1"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Status of development and adoption of the list of priorities for harmonisation with the Water Directives and for institutional measures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water management for four-year periods</w:t>
            </w:r>
          </w:p>
        </w:tc>
        <w:tc>
          <w:tcPr>
            <w:tcW w:w="1134" w:type="pct"/>
            <w:shd w:val="clear" w:color="auto" w:fill="auto"/>
            <w:vAlign w:val="center"/>
          </w:tcPr>
          <w:p w14:paraId="794ADECC" w14:textId="41388FCD" w:rsidR="00A8050D" w:rsidRPr="007C4D65" w:rsidRDefault="00A8050D" w:rsidP="00B6017F">
            <w:pPr>
              <w:spacing w:before="40" w:after="40"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Draft list of priorities has been developed, but it has not been adopted</w:t>
            </w:r>
          </w:p>
        </w:tc>
        <w:tc>
          <w:tcPr>
            <w:tcW w:w="1276" w:type="pct"/>
            <w:shd w:val="clear" w:color="auto" w:fill="auto"/>
            <w:vAlign w:val="center"/>
          </w:tcPr>
          <w:p w14:paraId="4852311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 final list prepared and adopted (2023)</w:t>
            </w:r>
          </w:p>
          <w:p w14:paraId="1433333A" w14:textId="77777777" w:rsidR="00A8050D" w:rsidRPr="007C4D65" w:rsidRDefault="00A8050D" w:rsidP="00B6017F">
            <w:pPr>
              <w:spacing w:before="40" w:after="40" w:line="276" w:lineRule="auto"/>
              <w:rPr>
                <w:rFonts w:asciiTheme="minorHAnsi" w:hAnsiTheme="minorHAnsi" w:cstheme="minorHAnsi"/>
                <w:sz w:val="18"/>
                <w:szCs w:val="18"/>
                <w:lang w:val="hr-HR"/>
              </w:rPr>
            </w:pPr>
          </w:p>
        </w:tc>
      </w:tr>
      <w:tr w:rsidR="00A8050D" w:rsidRPr="007C4D65" w14:paraId="7546435F" w14:textId="77777777" w:rsidTr="00B6017F">
        <w:trPr>
          <w:trHeight w:val="567"/>
        </w:trPr>
        <w:tc>
          <w:tcPr>
            <w:tcW w:w="1383" w:type="pct"/>
            <w:vMerge/>
            <w:shd w:val="clear" w:color="auto" w:fill="009D73"/>
            <w:vAlign w:val="center"/>
          </w:tcPr>
          <w:p w14:paraId="575F2B9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1207" w:type="pct"/>
            <w:shd w:val="clear" w:color="auto" w:fill="FFFFFF" w:themeFill="background1"/>
            <w:vAlign w:val="center"/>
          </w:tcPr>
          <w:p w14:paraId="791804C9"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Level of completion of the Time Plan for approximation to the EU water regulations in FBiH and for institutional measures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water management (for four-year periods)</w:t>
            </w:r>
          </w:p>
        </w:tc>
        <w:tc>
          <w:tcPr>
            <w:tcW w:w="1134" w:type="pct"/>
            <w:shd w:val="clear" w:color="auto" w:fill="FFFFFF" w:themeFill="background1"/>
            <w:vAlign w:val="center"/>
          </w:tcPr>
          <w:p w14:paraId="297C976B" w14:textId="3EFFD27F"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Time Plan for the four-year period has not been developed</w:t>
            </w:r>
          </w:p>
        </w:tc>
        <w:tc>
          <w:tcPr>
            <w:tcW w:w="1276" w:type="pct"/>
            <w:shd w:val="clear" w:color="auto" w:fill="FFFFFF" w:themeFill="background1"/>
            <w:vAlign w:val="center"/>
          </w:tcPr>
          <w:p w14:paraId="2BC9BC37" w14:textId="73B05F79"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Time Plan for the four-year period developed (2023)</w:t>
            </w:r>
          </w:p>
        </w:tc>
      </w:tr>
      <w:tr w:rsidR="00A8050D" w:rsidRPr="007C4D65" w14:paraId="59E5BC22" w14:textId="77777777" w:rsidTr="00B6017F">
        <w:trPr>
          <w:trHeight w:val="567"/>
        </w:trPr>
        <w:tc>
          <w:tcPr>
            <w:tcW w:w="1383" w:type="pct"/>
            <w:vMerge/>
            <w:shd w:val="clear" w:color="auto" w:fill="009D73"/>
            <w:vAlign w:val="center"/>
          </w:tcPr>
          <w:p w14:paraId="239398F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1207" w:type="pct"/>
            <w:shd w:val="clear" w:color="auto" w:fill="FFFFFF" w:themeFill="background1"/>
            <w:vAlign w:val="center"/>
          </w:tcPr>
          <w:p w14:paraId="705FDC2C"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Establish an operational structure within the FMAWMF for coordination of the process of accession to the EU/ for coordination when implementing the Programme of integration and development of DSIPs and APIDs for water directives</w:t>
            </w:r>
          </w:p>
        </w:tc>
        <w:tc>
          <w:tcPr>
            <w:tcW w:w="1134" w:type="pct"/>
            <w:shd w:val="clear" w:color="auto" w:fill="FFFFFF" w:themeFill="background1"/>
            <w:vAlign w:val="center"/>
          </w:tcPr>
          <w:p w14:paraId="288E76C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Official operational coordinating structure has not been established </w:t>
            </w:r>
          </w:p>
        </w:tc>
        <w:tc>
          <w:tcPr>
            <w:tcW w:w="1276" w:type="pct"/>
            <w:shd w:val="clear" w:color="auto" w:fill="FFFFFF" w:themeFill="background1"/>
            <w:vAlign w:val="center"/>
          </w:tcPr>
          <w:p w14:paraId="7C6F6E4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Coordinating structure in the FMAWMF established and operational (2023)</w:t>
            </w:r>
          </w:p>
        </w:tc>
      </w:tr>
      <w:tr w:rsidR="00A8050D" w:rsidRPr="007C4D65" w14:paraId="580BA0F8" w14:textId="77777777" w:rsidTr="00B6017F">
        <w:trPr>
          <w:trHeight w:val="567"/>
        </w:trPr>
        <w:tc>
          <w:tcPr>
            <w:tcW w:w="1383" w:type="pct"/>
            <w:shd w:val="clear" w:color="auto" w:fill="009D73"/>
            <w:vAlign w:val="center"/>
          </w:tcPr>
          <w:p w14:paraId="5D6F3C6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617" w:type="pct"/>
            <w:gridSpan w:val="3"/>
            <w:vAlign w:val="center"/>
          </w:tcPr>
          <w:p w14:paraId="0F6CB294"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Improvement of water management and progress in the process of European integrations by aligning the national legislation with the EU acquis.</w:t>
            </w:r>
          </w:p>
        </w:tc>
      </w:tr>
      <w:tr w:rsidR="00A8050D" w:rsidRPr="007C4D65" w14:paraId="7FBAE753" w14:textId="77777777" w:rsidTr="00B6017F">
        <w:trPr>
          <w:trHeight w:val="567"/>
        </w:trPr>
        <w:tc>
          <w:tcPr>
            <w:tcW w:w="1383" w:type="pct"/>
            <w:shd w:val="clear" w:color="auto" w:fill="009D73"/>
            <w:vAlign w:val="center"/>
          </w:tcPr>
          <w:p w14:paraId="512B35B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specification of sources</w:t>
            </w:r>
          </w:p>
        </w:tc>
        <w:tc>
          <w:tcPr>
            <w:tcW w:w="3617" w:type="pct"/>
            <w:gridSpan w:val="3"/>
            <w:vAlign w:val="center"/>
          </w:tcPr>
          <w:p w14:paraId="01B79ADA" w14:textId="77777777"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Amount: BAM 20,391 </w:t>
            </w:r>
          </w:p>
          <w:p w14:paraId="7BBC3E9C"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Source: 100% government budget</w:t>
            </w:r>
          </w:p>
        </w:tc>
      </w:tr>
      <w:tr w:rsidR="00A8050D" w:rsidRPr="007C4D65" w14:paraId="76107B7E" w14:textId="77777777" w:rsidTr="00B6017F">
        <w:trPr>
          <w:trHeight w:val="567"/>
        </w:trPr>
        <w:tc>
          <w:tcPr>
            <w:tcW w:w="1383" w:type="pct"/>
            <w:shd w:val="clear" w:color="auto" w:fill="009D73"/>
            <w:vAlign w:val="center"/>
          </w:tcPr>
          <w:p w14:paraId="4049474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617" w:type="pct"/>
            <w:gridSpan w:val="3"/>
            <w:shd w:val="clear" w:color="auto" w:fill="FFFFFF" w:themeFill="background1"/>
            <w:vAlign w:val="center"/>
          </w:tcPr>
          <w:p w14:paraId="5640267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2023  </w:t>
            </w:r>
          </w:p>
        </w:tc>
      </w:tr>
      <w:tr w:rsidR="00A8050D" w:rsidRPr="007C4D65" w14:paraId="5BE433BA" w14:textId="77777777" w:rsidTr="00B6017F">
        <w:trPr>
          <w:trHeight w:val="567"/>
        </w:trPr>
        <w:tc>
          <w:tcPr>
            <w:tcW w:w="1383" w:type="pct"/>
            <w:shd w:val="clear" w:color="auto" w:fill="009D73"/>
            <w:vAlign w:val="center"/>
          </w:tcPr>
          <w:p w14:paraId="715E8FE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617" w:type="pct"/>
            <w:gridSpan w:val="3"/>
            <w:vAlign w:val="center"/>
          </w:tcPr>
          <w:p w14:paraId="64744767" w14:textId="45EA5AAA" w:rsidR="00A8050D" w:rsidRPr="007C4D65" w:rsidRDefault="00A8050D" w:rsidP="00235519">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DEI</w:t>
            </w:r>
            <w:r w:rsidR="00235519"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MoFTER</w:t>
            </w:r>
            <w:proofErr w:type="spellEnd"/>
          </w:p>
        </w:tc>
      </w:tr>
      <w:tr w:rsidR="00A8050D" w:rsidRPr="007C4D65" w14:paraId="050EC60E" w14:textId="77777777" w:rsidTr="00B6017F">
        <w:trPr>
          <w:trHeight w:val="567"/>
        </w:trPr>
        <w:tc>
          <w:tcPr>
            <w:tcW w:w="1383" w:type="pct"/>
            <w:shd w:val="clear" w:color="auto" w:fill="009D73"/>
            <w:vAlign w:val="center"/>
          </w:tcPr>
          <w:p w14:paraId="5CA1435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institutions for the measure</w:t>
            </w:r>
          </w:p>
        </w:tc>
        <w:tc>
          <w:tcPr>
            <w:tcW w:w="3617" w:type="pct"/>
            <w:gridSpan w:val="3"/>
            <w:vAlign w:val="center"/>
          </w:tcPr>
          <w:p w14:paraId="31A0E8C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SRBA, ASWA, CMW (cantonal ministries responsible for water); LGUs, CPUCs (cantonal public utility companies), PCU  </w:t>
            </w:r>
          </w:p>
        </w:tc>
      </w:tr>
      <w:tr w:rsidR="00A8050D" w:rsidRPr="007C4D65" w14:paraId="01E3E391" w14:textId="77777777" w:rsidTr="00B6017F">
        <w:trPr>
          <w:trHeight w:val="567"/>
        </w:trPr>
        <w:tc>
          <w:tcPr>
            <w:tcW w:w="1383" w:type="pct"/>
            <w:shd w:val="clear" w:color="auto" w:fill="009D73"/>
            <w:vAlign w:val="center"/>
          </w:tcPr>
          <w:p w14:paraId="22D0BD90" w14:textId="587E2C15"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Target groups</w:t>
            </w:r>
          </w:p>
        </w:tc>
        <w:tc>
          <w:tcPr>
            <w:tcW w:w="3617" w:type="pct"/>
            <w:gridSpan w:val="3"/>
            <w:shd w:val="clear" w:color="auto" w:fill="FFFFFF" w:themeFill="background1"/>
            <w:vAlign w:val="center"/>
          </w:tcPr>
          <w:p w14:paraId="3D04F2D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Employees in the institutions for waters</w:t>
            </w:r>
          </w:p>
        </w:tc>
      </w:tr>
      <w:bookmarkEnd w:id="234"/>
    </w:tbl>
    <w:p w14:paraId="1E9DE887" w14:textId="77777777" w:rsidR="00A8050D" w:rsidRPr="007C4D65" w:rsidRDefault="00A8050D" w:rsidP="00A8050D">
      <w:pPr>
        <w:spacing w:line="276" w:lineRule="auto"/>
        <w:rPr>
          <w:rFonts w:asciiTheme="minorHAnsi" w:hAnsiTheme="minorHAnsi" w:cstheme="minorHAnsi"/>
          <w:sz w:val="18"/>
          <w:szCs w:val="18"/>
          <w:lang w:val="hr-HR"/>
        </w:rPr>
      </w:pPr>
    </w:p>
    <w:tbl>
      <w:tblPr>
        <w:tblStyle w:val="TABLICAHAOP7"/>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788"/>
        <w:gridCol w:w="2929"/>
        <w:gridCol w:w="3671"/>
        <w:gridCol w:w="3560"/>
      </w:tblGrid>
      <w:tr w:rsidR="00A8050D" w:rsidRPr="007C4D65" w14:paraId="154ABEC9" w14:textId="77777777" w:rsidTr="00B6017F">
        <w:trPr>
          <w:trHeight w:val="567"/>
        </w:trPr>
        <w:tc>
          <w:tcPr>
            <w:tcW w:w="1358" w:type="pct"/>
            <w:shd w:val="clear" w:color="auto" w:fill="009D73"/>
            <w:vAlign w:val="center"/>
          </w:tcPr>
          <w:p w14:paraId="2AEE3506" w14:textId="36F910A4"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642" w:type="pct"/>
            <w:gridSpan w:val="3"/>
            <w:vAlign w:val="center"/>
          </w:tcPr>
          <w:p w14:paraId="0F74F795"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2A392670" w14:textId="77777777" w:rsidTr="00B6017F">
        <w:trPr>
          <w:trHeight w:val="567"/>
        </w:trPr>
        <w:tc>
          <w:tcPr>
            <w:tcW w:w="1358" w:type="pct"/>
            <w:shd w:val="clear" w:color="auto" w:fill="009D73"/>
            <w:vAlign w:val="center"/>
          </w:tcPr>
          <w:p w14:paraId="6F85EC9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642" w:type="pct"/>
            <w:gridSpan w:val="3"/>
            <w:vAlign w:val="center"/>
          </w:tcPr>
          <w:p w14:paraId="7FD1AF25" w14:textId="45B18BDF"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1.5. </w:t>
            </w:r>
            <w:r w:rsidR="001E4D90" w:rsidRPr="007C4D65">
              <w:rPr>
                <w:rFonts w:asciiTheme="minorHAnsi" w:hAnsiTheme="minorHAnsi" w:cstheme="minorHAnsi"/>
                <w:b/>
                <w:sz w:val="18"/>
                <w:szCs w:val="18"/>
              </w:rPr>
              <w:t>Developing an effective legal and institutional framework for the purpose of alignment with the EU regulations in the water sector, and its enforcement</w:t>
            </w:r>
          </w:p>
        </w:tc>
      </w:tr>
      <w:tr w:rsidR="00A8050D" w:rsidRPr="007C4D65" w14:paraId="0C81BBF4" w14:textId="77777777" w:rsidTr="00B6017F">
        <w:trPr>
          <w:trHeight w:val="567"/>
        </w:trPr>
        <w:tc>
          <w:tcPr>
            <w:tcW w:w="1358" w:type="pct"/>
            <w:shd w:val="clear" w:color="auto" w:fill="009D73"/>
            <w:vAlign w:val="center"/>
          </w:tcPr>
          <w:p w14:paraId="6D84643C" w14:textId="1E5D2EA0"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642" w:type="pct"/>
            <w:gridSpan w:val="3"/>
            <w:vAlign w:val="center"/>
          </w:tcPr>
          <w:p w14:paraId="0B0651EE" w14:textId="15BAF19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1.5.2. Improve legislation in water sector and organize administration in the Federation of BiH for the purpose of effective approximation of the Federation of BiH legislation to the </w:t>
            </w:r>
            <w:r w:rsidR="001E4D90" w:rsidRPr="007C4D65">
              <w:rPr>
                <w:rFonts w:asciiTheme="minorHAnsi" w:hAnsiTheme="minorHAnsi" w:cstheme="minorHAnsi"/>
                <w:b/>
                <w:sz w:val="18"/>
                <w:szCs w:val="18"/>
              </w:rPr>
              <w:t>EU regulations</w:t>
            </w:r>
          </w:p>
        </w:tc>
      </w:tr>
      <w:tr w:rsidR="00A8050D" w:rsidRPr="007C4D65" w14:paraId="5FDF9AA9" w14:textId="77777777" w:rsidTr="00B6017F">
        <w:trPr>
          <w:trHeight w:val="567"/>
        </w:trPr>
        <w:tc>
          <w:tcPr>
            <w:tcW w:w="1358" w:type="pct"/>
            <w:shd w:val="clear" w:color="auto" w:fill="009D73"/>
            <w:vAlign w:val="center"/>
          </w:tcPr>
          <w:p w14:paraId="681444B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642" w:type="pct"/>
            <w:gridSpan w:val="3"/>
            <w:vAlign w:val="center"/>
          </w:tcPr>
          <w:p w14:paraId="6C9D592D" w14:textId="4F9F1346"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This measure aims to improve water legislation at all levels in the Federation of BiH and legislation on organization of administration in the Federation of BiH for the purpose of effective approximation of legislation of Federation of BiH to the </w:t>
            </w:r>
            <w:r w:rsidR="001E4D90" w:rsidRPr="007C4D65">
              <w:rPr>
                <w:rFonts w:asciiTheme="minorHAnsi" w:hAnsiTheme="minorHAnsi" w:cstheme="minorHAnsi"/>
                <w:sz w:val="18"/>
                <w:szCs w:val="18"/>
              </w:rPr>
              <w:t>EU regulations</w:t>
            </w:r>
            <w:r w:rsidRPr="007C4D65">
              <w:rPr>
                <w:rFonts w:asciiTheme="minorHAnsi" w:hAnsiTheme="minorHAnsi" w:cstheme="minorHAnsi"/>
                <w:sz w:val="18"/>
                <w:szCs w:val="18"/>
              </w:rPr>
              <w:t xml:space="preserve">. Proposals and conclusions for improving legislation will be based on previously prepared analysis of laws and legislation in water sector, and legislation applicable on administrative organisations in the Federation of BiH that will identify overlapping competences, gaps in defining the competences, and prescribed coordination mechanisms in the process of approximation to </w:t>
            </w:r>
            <w:r w:rsidR="001E4D90" w:rsidRPr="007C4D65">
              <w:rPr>
                <w:rFonts w:asciiTheme="minorHAnsi" w:hAnsiTheme="minorHAnsi" w:cstheme="minorHAnsi"/>
                <w:sz w:val="18"/>
                <w:szCs w:val="18"/>
              </w:rPr>
              <w:t>EU regulations</w:t>
            </w:r>
            <w:r w:rsidRPr="007C4D65">
              <w:rPr>
                <w:rFonts w:asciiTheme="minorHAnsi" w:hAnsiTheme="minorHAnsi" w:cstheme="minorHAnsi"/>
                <w:sz w:val="18"/>
                <w:szCs w:val="18"/>
              </w:rPr>
              <w:t>.</w:t>
            </w:r>
          </w:p>
          <w:p w14:paraId="6B7309BB" w14:textId="35566CF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General areas of intervention:</w:t>
            </w:r>
          </w:p>
          <w:p w14:paraId="37494AD6" w14:textId="24B35294" w:rsidR="00A8050D" w:rsidRPr="007C4D65" w:rsidRDefault="00A8050D">
            <w:pPr>
              <w:numPr>
                <w:ilvl w:val="0"/>
                <w:numId w:val="91"/>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Develop proposals and conclusions of analysis of water legislation for all levels in the Federation of BiH and legislation applicable on administrative organisations in the Federation of </w:t>
            </w:r>
            <w:proofErr w:type="gramStart"/>
            <w:r w:rsidRPr="007C4D65">
              <w:rPr>
                <w:rFonts w:asciiTheme="minorHAnsi" w:hAnsiTheme="minorHAnsi" w:cstheme="minorHAnsi"/>
                <w:sz w:val="18"/>
                <w:szCs w:val="18"/>
              </w:rPr>
              <w:t>BiH</w:t>
            </w:r>
            <w:r w:rsidR="00235519" w:rsidRPr="007C4D65">
              <w:rPr>
                <w:rFonts w:asciiTheme="minorHAnsi" w:hAnsiTheme="minorHAnsi" w:cstheme="minorHAnsi"/>
                <w:sz w:val="18"/>
                <w:szCs w:val="18"/>
              </w:rPr>
              <w:t>;</w:t>
            </w:r>
            <w:proofErr w:type="gramEnd"/>
          </w:p>
          <w:p w14:paraId="11C8CFFB" w14:textId="77777777" w:rsidR="00A8050D" w:rsidRPr="007C4D65" w:rsidRDefault="00A8050D">
            <w:pPr>
              <w:numPr>
                <w:ilvl w:val="0"/>
                <w:numId w:val="91"/>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Adopt changes and amendments to the legislation in the area of administration organization (Law on Federal Ministries </w:t>
            </w:r>
            <w:proofErr w:type="gramStart"/>
            <w:r w:rsidRPr="007C4D65">
              <w:rPr>
                <w:rFonts w:asciiTheme="minorHAnsi" w:hAnsiTheme="minorHAnsi" w:cstheme="minorHAnsi"/>
                <w:sz w:val="18"/>
                <w:szCs w:val="18"/>
              </w:rPr>
              <w:t>and  Law</w:t>
            </w:r>
            <w:proofErr w:type="gramEnd"/>
            <w:r w:rsidRPr="007C4D65">
              <w:rPr>
                <w:rFonts w:asciiTheme="minorHAnsi" w:hAnsiTheme="minorHAnsi" w:cstheme="minorHAnsi"/>
                <w:sz w:val="18"/>
                <w:szCs w:val="18"/>
              </w:rPr>
              <w:t xml:space="preserve"> on Cantonal Ministries), as well as water legislation, in accordance with the conclusions of the Analysis.</w:t>
            </w:r>
          </w:p>
        </w:tc>
      </w:tr>
      <w:tr w:rsidR="00A8050D" w:rsidRPr="007C4D65" w14:paraId="39360427" w14:textId="77777777" w:rsidTr="00B6017F">
        <w:trPr>
          <w:trHeight w:val="567"/>
        </w:trPr>
        <w:tc>
          <w:tcPr>
            <w:tcW w:w="1358" w:type="pct"/>
            <w:shd w:val="clear" w:color="auto" w:fill="009D73"/>
            <w:vAlign w:val="center"/>
          </w:tcPr>
          <w:p w14:paraId="203D345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Key strategic projects</w:t>
            </w:r>
          </w:p>
        </w:tc>
        <w:tc>
          <w:tcPr>
            <w:tcW w:w="3642" w:type="pct"/>
            <w:gridSpan w:val="3"/>
            <w:vAlign w:val="center"/>
          </w:tcPr>
          <w:p w14:paraId="670EADF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5735730A" w14:textId="77777777" w:rsidTr="00B6017F">
        <w:trPr>
          <w:trHeight w:val="567"/>
        </w:trPr>
        <w:tc>
          <w:tcPr>
            <w:tcW w:w="1358" w:type="pct"/>
            <w:vMerge w:val="restart"/>
            <w:shd w:val="clear" w:color="auto" w:fill="009D73"/>
            <w:vAlign w:val="center"/>
          </w:tcPr>
          <w:p w14:paraId="684A10F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5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C7930BC"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504FA32B" w14:textId="0F082BE9"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r w:rsidR="00A8050D" w:rsidRPr="007C4D65">
              <w:rPr>
                <w:rFonts w:asciiTheme="minorHAnsi" w:hAnsiTheme="minorHAnsi" w:cstheme="minorHAnsi"/>
                <w:b/>
                <w:color w:val="FFFFFF" w:themeColor="background1"/>
                <w:sz w:val="18"/>
                <w:szCs w:val="18"/>
              </w:rPr>
              <w:t xml:space="preserve"> </w:t>
            </w:r>
          </w:p>
        </w:tc>
        <w:tc>
          <w:tcPr>
            <w:tcW w:w="131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A3380AA"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44DBBDA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D072C26"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5700DAD5" w14:textId="77777777" w:rsidTr="00B6017F">
        <w:trPr>
          <w:trHeight w:val="567"/>
        </w:trPr>
        <w:tc>
          <w:tcPr>
            <w:tcW w:w="1358" w:type="pct"/>
            <w:vMerge/>
            <w:shd w:val="clear" w:color="auto" w:fill="009D73"/>
            <w:vAlign w:val="center"/>
          </w:tcPr>
          <w:p w14:paraId="388B1A2E"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1050" w:type="pct"/>
            <w:shd w:val="clear" w:color="auto" w:fill="auto"/>
            <w:vAlign w:val="center"/>
          </w:tcPr>
          <w:p w14:paraId="4B781E7E" w14:textId="0D632B9F"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Level of completion of the analysis of legislation for the purpose of identifying the competency overlaps, gaps in definition of competencies, and prescribed coordination mechanisms from the aspect of approximation of FBiH legislation to the </w:t>
            </w:r>
            <w:r w:rsidR="001E4D90" w:rsidRPr="007C4D65">
              <w:rPr>
                <w:rFonts w:asciiTheme="minorHAnsi" w:hAnsiTheme="minorHAnsi" w:cstheme="minorHAnsi"/>
                <w:sz w:val="18"/>
                <w:szCs w:val="18"/>
              </w:rPr>
              <w:t>EU regulations</w:t>
            </w:r>
          </w:p>
        </w:tc>
        <w:tc>
          <w:tcPr>
            <w:tcW w:w="1316" w:type="pct"/>
            <w:shd w:val="clear" w:color="auto" w:fill="auto"/>
            <w:vAlign w:val="center"/>
          </w:tcPr>
          <w:p w14:paraId="7CF414ED" w14:textId="3FD2EAEC" w:rsidR="00A8050D" w:rsidRPr="007C4D65" w:rsidRDefault="00A8050D" w:rsidP="00B6017F">
            <w:pPr>
              <w:spacing w:before="40" w:after="40"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The analysis has not started yet</w:t>
            </w:r>
          </w:p>
          <w:p w14:paraId="3AD3D57D" w14:textId="77777777" w:rsidR="00A8050D" w:rsidRPr="007C4D65" w:rsidRDefault="00A8050D" w:rsidP="00B6017F">
            <w:pPr>
              <w:spacing w:before="40" w:after="40" w:line="276" w:lineRule="auto"/>
              <w:contextualSpacing/>
              <w:rPr>
                <w:rFonts w:asciiTheme="minorHAnsi" w:hAnsiTheme="minorHAnsi" w:cstheme="minorHAnsi"/>
                <w:sz w:val="18"/>
                <w:szCs w:val="18"/>
                <w:lang w:val="hr-HR" w:bidi="en-US"/>
              </w:rPr>
            </w:pPr>
          </w:p>
          <w:p w14:paraId="6BB1ECF5" w14:textId="1C1BE508" w:rsidR="00A8050D" w:rsidRPr="007C4D65" w:rsidRDefault="00A8050D" w:rsidP="00B6017F">
            <w:pPr>
              <w:spacing w:before="40" w:after="40"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Currently, according to the current legislation, the transposition work in the Federation of BiH is done by at least 23 bodies in the Federation of BiH: at least 3 bodies at the Federation of BiH level and 20 bodies at cantonal levels (10 ministries responsible for water and 10 ministries of environment)</w:t>
            </w:r>
          </w:p>
        </w:tc>
        <w:tc>
          <w:tcPr>
            <w:tcW w:w="1276" w:type="pct"/>
            <w:shd w:val="clear" w:color="auto" w:fill="auto"/>
            <w:vAlign w:val="center"/>
          </w:tcPr>
          <w:p w14:paraId="23DC56F6"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sz w:val="18"/>
                <w:szCs w:val="18"/>
              </w:rPr>
              <w:t>Analysis completed and conclusions and recommendations made regarding the necessary legislative changes and amendments in water legislation and legislation regulating organisation of administration of the Federation of BiH (2024)</w:t>
            </w:r>
          </w:p>
        </w:tc>
      </w:tr>
      <w:tr w:rsidR="00A8050D" w:rsidRPr="007C4D65" w14:paraId="2FBBE401" w14:textId="77777777" w:rsidTr="00B6017F">
        <w:trPr>
          <w:trHeight w:val="567"/>
        </w:trPr>
        <w:tc>
          <w:tcPr>
            <w:tcW w:w="1358" w:type="pct"/>
            <w:vMerge/>
            <w:shd w:val="clear" w:color="auto" w:fill="009D73"/>
            <w:vAlign w:val="center"/>
          </w:tcPr>
          <w:p w14:paraId="56D7F173"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1050" w:type="pct"/>
            <w:shd w:val="clear" w:color="auto" w:fill="FFFFFF" w:themeFill="background1"/>
            <w:vAlign w:val="center"/>
          </w:tcPr>
          <w:p w14:paraId="35569AFA" w14:textId="308D243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Level of completion of the process of adoption of the legislative changes and amendments</w:t>
            </w:r>
          </w:p>
        </w:tc>
        <w:tc>
          <w:tcPr>
            <w:tcW w:w="1316" w:type="pct"/>
            <w:shd w:val="clear" w:color="auto" w:fill="FFFFFF" w:themeFill="background1"/>
            <w:vAlign w:val="center"/>
          </w:tcPr>
          <w:p w14:paraId="56842643" w14:textId="3A012934"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Process of changing and amending legislation has not started</w:t>
            </w:r>
          </w:p>
        </w:tc>
        <w:tc>
          <w:tcPr>
            <w:tcW w:w="1276" w:type="pct"/>
            <w:shd w:val="clear" w:color="auto" w:fill="FFFFFF" w:themeFill="background1"/>
            <w:vAlign w:val="center"/>
          </w:tcPr>
          <w:p w14:paraId="26BCB01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Adopted amendments to the legislation in the area of water and administrative organization (Law on FBiH Ministries </w:t>
            </w:r>
            <w:proofErr w:type="gramStart"/>
            <w:r w:rsidRPr="007C4D65">
              <w:rPr>
                <w:rFonts w:asciiTheme="minorHAnsi" w:hAnsiTheme="minorHAnsi" w:cstheme="minorHAnsi"/>
                <w:sz w:val="18"/>
                <w:szCs w:val="18"/>
              </w:rPr>
              <w:t>and  Law</w:t>
            </w:r>
            <w:proofErr w:type="gramEnd"/>
            <w:r w:rsidRPr="007C4D65">
              <w:rPr>
                <w:rFonts w:asciiTheme="minorHAnsi" w:hAnsiTheme="minorHAnsi" w:cstheme="minorHAnsi"/>
                <w:sz w:val="18"/>
                <w:szCs w:val="18"/>
              </w:rPr>
              <w:t xml:space="preserve"> on Cantonal Ministries), in accordance with the conclusions of the analysis.(2025)</w:t>
            </w:r>
          </w:p>
        </w:tc>
      </w:tr>
      <w:tr w:rsidR="00A8050D" w:rsidRPr="007C4D65" w14:paraId="1F3AB9EC" w14:textId="77777777" w:rsidTr="00B6017F">
        <w:trPr>
          <w:trHeight w:val="567"/>
        </w:trPr>
        <w:tc>
          <w:tcPr>
            <w:tcW w:w="1358" w:type="pct"/>
            <w:shd w:val="clear" w:color="auto" w:fill="009D73"/>
            <w:vAlign w:val="center"/>
          </w:tcPr>
          <w:p w14:paraId="5626D40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642" w:type="pct"/>
            <w:gridSpan w:val="3"/>
            <w:vAlign w:val="center"/>
          </w:tcPr>
          <w:p w14:paraId="2AA1E0D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Improvement of water management by aligning the national legislation with the EU acquis.</w:t>
            </w:r>
          </w:p>
        </w:tc>
      </w:tr>
      <w:tr w:rsidR="00A8050D" w:rsidRPr="007C4D65" w14:paraId="5AE28103" w14:textId="77777777" w:rsidTr="00B6017F">
        <w:trPr>
          <w:trHeight w:val="567"/>
        </w:trPr>
        <w:tc>
          <w:tcPr>
            <w:tcW w:w="1358" w:type="pct"/>
            <w:shd w:val="clear" w:color="auto" w:fill="009D73"/>
            <w:vAlign w:val="center"/>
          </w:tcPr>
          <w:p w14:paraId="2AFB603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642" w:type="pct"/>
            <w:gridSpan w:val="3"/>
            <w:vAlign w:val="center"/>
          </w:tcPr>
          <w:p w14:paraId="08A6CA6B" w14:textId="31B32753"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Amount: BAM 48,837</w:t>
            </w:r>
          </w:p>
          <w:p w14:paraId="01B01356"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Source: 100% government budget</w:t>
            </w:r>
          </w:p>
        </w:tc>
      </w:tr>
      <w:tr w:rsidR="00A8050D" w:rsidRPr="007C4D65" w14:paraId="6209B169" w14:textId="77777777" w:rsidTr="00B6017F">
        <w:trPr>
          <w:trHeight w:val="567"/>
        </w:trPr>
        <w:tc>
          <w:tcPr>
            <w:tcW w:w="1358" w:type="pct"/>
            <w:shd w:val="clear" w:color="auto" w:fill="009D73"/>
            <w:vAlign w:val="center"/>
          </w:tcPr>
          <w:p w14:paraId="3E7C47D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642" w:type="pct"/>
            <w:gridSpan w:val="3"/>
            <w:shd w:val="clear" w:color="auto" w:fill="FFFFFF" w:themeFill="background1"/>
            <w:vAlign w:val="center"/>
          </w:tcPr>
          <w:p w14:paraId="40DC648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2024 - 2025</w:t>
            </w:r>
          </w:p>
        </w:tc>
      </w:tr>
      <w:tr w:rsidR="00A8050D" w:rsidRPr="007C4D65" w14:paraId="1D221C4B" w14:textId="77777777" w:rsidTr="00B6017F">
        <w:trPr>
          <w:trHeight w:val="567"/>
        </w:trPr>
        <w:tc>
          <w:tcPr>
            <w:tcW w:w="1358" w:type="pct"/>
            <w:shd w:val="clear" w:color="auto" w:fill="009D73"/>
            <w:vAlign w:val="center"/>
          </w:tcPr>
          <w:p w14:paraId="28E7FA9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642" w:type="pct"/>
            <w:gridSpan w:val="3"/>
            <w:shd w:val="clear" w:color="auto" w:fill="FFFFFF" w:themeFill="background1"/>
            <w:vAlign w:val="center"/>
          </w:tcPr>
          <w:p w14:paraId="6685267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w:t>
            </w:r>
          </w:p>
        </w:tc>
      </w:tr>
      <w:tr w:rsidR="00A8050D" w:rsidRPr="007C4D65" w14:paraId="5FD67BD4" w14:textId="77777777" w:rsidTr="00B6017F">
        <w:trPr>
          <w:trHeight w:val="567"/>
        </w:trPr>
        <w:tc>
          <w:tcPr>
            <w:tcW w:w="1358" w:type="pct"/>
            <w:shd w:val="clear" w:color="auto" w:fill="009D73"/>
            <w:vAlign w:val="center"/>
          </w:tcPr>
          <w:p w14:paraId="40A43A6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institutions for the measure</w:t>
            </w:r>
          </w:p>
        </w:tc>
        <w:tc>
          <w:tcPr>
            <w:tcW w:w="3642" w:type="pct"/>
            <w:gridSpan w:val="3"/>
            <w:shd w:val="clear" w:color="auto" w:fill="FFFFFF" w:themeFill="background1"/>
            <w:vAlign w:val="center"/>
          </w:tcPr>
          <w:p w14:paraId="776103A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ASWA, SRBA, CMW </w:t>
            </w:r>
          </w:p>
        </w:tc>
      </w:tr>
      <w:tr w:rsidR="00A8050D" w:rsidRPr="007C4D65" w14:paraId="12B2B3C2" w14:textId="77777777" w:rsidTr="00B6017F">
        <w:trPr>
          <w:trHeight w:val="567"/>
        </w:trPr>
        <w:tc>
          <w:tcPr>
            <w:tcW w:w="1358" w:type="pct"/>
            <w:shd w:val="clear" w:color="auto" w:fill="009D73"/>
            <w:vAlign w:val="center"/>
          </w:tcPr>
          <w:p w14:paraId="4259639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p w14:paraId="7A4E36B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3642" w:type="pct"/>
            <w:gridSpan w:val="3"/>
            <w:shd w:val="clear" w:color="auto" w:fill="FFFFFF" w:themeFill="background1"/>
            <w:vAlign w:val="center"/>
          </w:tcPr>
          <w:p w14:paraId="2596511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Employees in the institutions for waters</w:t>
            </w:r>
          </w:p>
        </w:tc>
      </w:tr>
    </w:tbl>
    <w:p w14:paraId="6CA6D45E" w14:textId="77777777" w:rsidR="00A8050D" w:rsidRPr="007C4D65" w:rsidRDefault="00A8050D" w:rsidP="00A8050D">
      <w:pPr>
        <w:spacing w:line="276" w:lineRule="auto"/>
        <w:rPr>
          <w:rFonts w:asciiTheme="minorHAnsi" w:hAnsiTheme="minorHAnsi" w:cstheme="minorHAnsi"/>
          <w:sz w:val="18"/>
          <w:szCs w:val="18"/>
          <w:lang w:val="hr-HR"/>
        </w:rPr>
      </w:pPr>
    </w:p>
    <w:tbl>
      <w:tblPr>
        <w:tblStyle w:val="TABLICAHAOP71"/>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858"/>
        <w:gridCol w:w="3367"/>
        <w:gridCol w:w="3163"/>
        <w:gridCol w:w="3560"/>
      </w:tblGrid>
      <w:tr w:rsidR="00A8050D" w:rsidRPr="007C4D65" w14:paraId="692FC04F" w14:textId="77777777" w:rsidTr="00B6017F">
        <w:trPr>
          <w:trHeight w:val="567"/>
        </w:trPr>
        <w:tc>
          <w:tcPr>
            <w:tcW w:w="1383" w:type="pct"/>
            <w:shd w:val="clear" w:color="auto" w:fill="009D73"/>
            <w:vAlign w:val="center"/>
          </w:tcPr>
          <w:p w14:paraId="572E1182" w14:textId="7CE58A35"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617"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1D628FB4"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590E72BC" w14:textId="77777777" w:rsidTr="00B6017F">
        <w:trPr>
          <w:trHeight w:val="567"/>
        </w:trPr>
        <w:tc>
          <w:tcPr>
            <w:tcW w:w="1383" w:type="pct"/>
            <w:shd w:val="clear" w:color="auto" w:fill="009D73"/>
            <w:vAlign w:val="center"/>
          </w:tcPr>
          <w:p w14:paraId="67F1815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617"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36FB12D6" w14:textId="2ABCFFE2"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1.5. </w:t>
            </w:r>
            <w:r w:rsidR="001E4D90" w:rsidRPr="007C4D65">
              <w:rPr>
                <w:rFonts w:asciiTheme="minorHAnsi" w:hAnsiTheme="minorHAnsi" w:cstheme="minorHAnsi"/>
                <w:b/>
                <w:sz w:val="18"/>
                <w:szCs w:val="18"/>
              </w:rPr>
              <w:t>Developing an effective legal and institutional framework for the purpose of alignment with the EU regulations in the water sector, and its enforcement</w:t>
            </w:r>
          </w:p>
        </w:tc>
      </w:tr>
      <w:tr w:rsidR="00A8050D" w:rsidRPr="007C4D65" w14:paraId="47CD07CE" w14:textId="77777777" w:rsidTr="00B6017F">
        <w:trPr>
          <w:trHeight w:val="567"/>
        </w:trPr>
        <w:tc>
          <w:tcPr>
            <w:tcW w:w="1383" w:type="pct"/>
            <w:shd w:val="clear" w:color="auto" w:fill="009D73"/>
            <w:vAlign w:val="center"/>
          </w:tcPr>
          <w:p w14:paraId="1A546BB8" w14:textId="6234A3B6"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617"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33B52805"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1.5.3. Improving the existing institutional structure by strengthening capacities in institutions of the Federation of BiH competent for waters, with special focus on long-term and sustainable enforcement of EU water legislation</w:t>
            </w:r>
          </w:p>
        </w:tc>
      </w:tr>
      <w:tr w:rsidR="00A8050D" w:rsidRPr="007C4D65" w14:paraId="04F1A07E" w14:textId="77777777" w:rsidTr="00B6017F">
        <w:trPr>
          <w:trHeight w:val="274"/>
        </w:trPr>
        <w:tc>
          <w:tcPr>
            <w:tcW w:w="1383" w:type="pct"/>
            <w:shd w:val="clear" w:color="auto" w:fill="009D73"/>
            <w:vAlign w:val="center"/>
          </w:tcPr>
          <w:p w14:paraId="1FB1485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617"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6F304D8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This measure aims to improve the current institutional structure in the Federation of BiH - in the institutions competent for water management by conducting a detailed analysis of institutional capacities for implementation of EU water legislation and international water conventions, consistent enforcement of law and effective implementation of strategies and plans. Results and recommendation of the analysis will serve as a basis for defining and strengthening the capacities of human resources, development of a strategic approach to the new employment and measures to retain the skilled persons.</w:t>
            </w:r>
          </w:p>
          <w:p w14:paraId="2B1A0DE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General areas of intervention:</w:t>
            </w:r>
          </w:p>
          <w:p w14:paraId="219522A1" w14:textId="7FA4774D" w:rsidR="00A8050D" w:rsidRPr="007C4D65" w:rsidRDefault="00A8050D">
            <w:pPr>
              <w:numPr>
                <w:ilvl w:val="0"/>
                <w:numId w:val="198"/>
              </w:numPr>
              <w:spacing w:before="40" w:after="40"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lastRenderedPageBreak/>
              <w:t xml:space="preserve">Develop detailed study analysis / assessment of institutional capacities of competent water institutions in the Federation of BiH, with appropriate recommendations for capacity </w:t>
            </w:r>
            <w:proofErr w:type="gramStart"/>
            <w:r w:rsidRPr="007C4D65">
              <w:rPr>
                <w:rFonts w:asciiTheme="minorHAnsi" w:hAnsiTheme="minorHAnsi" w:cstheme="minorHAnsi"/>
                <w:sz w:val="18"/>
                <w:szCs w:val="18"/>
              </w:rPr>
              <w:t>improvement</w:t>
            </w:r>
            <w:r w:rsidR="00235519" w:rsidRPr="007C4D65">
              <w:rPr>
                <w:rFonts w:asciiTheme="minorHAnsi" w:hAnsiTheme="minorHAnsi" w:cstheme="minorHAnsi"/>
                <w:sz w:val="18"/>
                <w:szCs w:val="18"/>
              </w:rPr>
              <w:t>;</w:t>
            </w:r>
            <w:proofErr w:type="gramEnd"/>
          </w:p>
          <w:p w14:paraId="715E32AF" w14:textId="0211DCB8" w:rsidR="00A8050D" w:rsidRPr="007C4D65" w:rsidRDefault="00A8050D">
            <w:pPr>
              <w:numPr>
                <w:ilvl w:val="0"/>
                <w:numId w:val="199"/>
              </w:numPr>
              <w:spacing w:before="40" w:after="40"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 xml:space="preserve">Development of measures based on the analysis of institutional capacities </w:t>
            </w:r>
            <w:proofErr w:type="gramStart"/>
            <w:r w:rsidRPr="007C4D65">
              <w:rPr>
                <w:rFonts w:asciiTheme="minorHAnsi" w:hAnsiTheme="minorHAnsi" w:cstheme="minorHAnsi"/>
                <w:sz w:val="18"/>
                <w:szCs w:val="18"/>
              </w:rPr>
              <w:t>for</w:t>
            </w:r>
            <w:r w:rsidR="00235519" w:rsidRPr="007C4D65">
              <w:rPr>
                <w:rFonts w:asciiTheme="minorHAnsi" w:hAnsiTheme="minorHAnsi" w:cstheme="minorHAnsi"/>
                <w:sz w:val="18"/>
                <w:szCs w:val="18"/>
              </w:rPr>
              <w:t>;</w:t>
            </w:r>
            <w:proofErr w:type="gramEnd"/>
          </w:p>
          <w:p w14:paraId="45CB4641" w14:textId="67E65612" w:rsidR="00A8050D" w:rsidRPr="007C4D65" w:rsidRDefault="00A8050D">
            <w:pPr>
              <w:numPr>
                <w:ilvl w:val="0"/>
                <w:numId w:val="200"/>
              </w:numPr>
              <w:spacing w:before="40" w:after="40"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 xml:space="preserve">strengthening human resources in water sector </w:t>
            </w:r>
            <w:proofErr w:type="gramStart"/>
            <w:r w:rsidRPr="007C4D65">
              <w:rPr>
                <w:rFonts w:asciiTheme="minorHAnsi" w:hAnsiTheme="minorHAnsi" w:cstheme="minorHAnsi"/>
                <w:sz w:val="18"/>
                <w:szCs w:val="18"/>
              </w:rPr>
              <w:t>institutions</w:t>
            </w:r>
            <w:r w:rsidR="00235519" w:rsidRPr="007C4D65">
              <w:rPr>
                <w:rFonts w:asciiTheme="minorHAnsi" w:hAnsiTheme="minorHAnsi" w:cstheme="minorHAnsi"/>
                <w:sz w:val="18"/>
                <w:szCs w:val="18"/>
              </w:rPr>
              <w:t>;</w:t>
            </w:r>
            <w:proofErr w:type="gramEnd"/>
          </w:p>
          <w:p w14:paraId="22530DFF" w14:textId="0A80E93F" w:rsidR="00A8050D" w:rsidRPr="007C4D65" w:rsidRDefault="00A8050D">
            <w:pPr>
              <w:numPr>
                <w:ilvl w:val="0"/>
                <w:numId w:val="200"/>
              </w:numPr>
              <w:spacing w:before="40" w:after="40"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 xml:space="preserve">strategic </w:t>
            </w:r>
            <w:proofErr w:type="gramStart"/>
            <w:r w:rsidRPr="007C4D65">
              <w:rPr>
                <w:rFonts w:asciiTheme="minorHAnsi" w:hAnsiTheme="minorHAnsi" w:cstheme="minorHAnsi"/>
                <w:sz w:val="18"/>
                <w:szCs w:val="18"/>
              </w:rPr>
              <w:t>employment</w:t>
            </w:r>
            <w:r w:rsidR="00235519" w:rsidRPr="007C4D65">
              <w:rPr>
                <w:rFonts w:asciiTheme="minorHAnsi" w:hAnsiTheme="minorHAnsi" w:cstheme="minorHAnsi"/>
                <w:sz w:val="18"/>
                <w:szCs w:val="18"/>
              </w:rPr>
              <w:t>;</w:t>
            </w:r>
            <w:proofErr w:type="gramEnd"/>
          </w:p>
          <w:p w14:paraId="674CB611" w14:textId="0E80D9A0" w:rsidR="00A8050D" w:rsidRPr="007C4D65" w:rsidRDefault="00A8050D">
            <w:pPr>
              <w:numPr>
                <w:ilvl w:val="0"/>
                <w:numId w:val="200"/>
              </w:numPr>
              <w:spacing w:before="40" w:after="40" w:line="276" w:lineRule="auto"/>
              <w:contextualSpacing/>
              <w:rPr>
                <w:rFonts w:asciiTheme="minorHAnsi" w:hAnsiTheme="minorHAnsi" w:cstheme="minorHAnsi"/>
                <w:sz w:val="18"/>
                <w:szCs w:val="18"/>
              </w:rPr>
            </w:pPr>
            <w:r w:rsidRPr="007C4D65">
              <w:rPr>
                <w:rFonts w:asciiTheme="minorHAnsi" w:hAnsiTheme="minorHAnsi" w:cstheme="minorHAnsi"/>
                <w:sz w:val="18"/>
                <w:szCs w:val="18"/>
              </w:rPr>
              <w:t>retaining skilled persons in institutions</w:t>
            </w:r>
            <w:r w:rsidR="00235519" w:rsidRPr="007C4D65">
              <w:rPr>
                <w:rFonts w:asciiTheme="minorHAnsi" w:hAnsiTheme="minorHAnsi" w:cstheme="minorHAnsi"/>
                <w:sz w:val="18"/>
                <w:szCs w:val="18"/>
              </w:rPr>
              <w:t>.</w:t>
            </w:r>
          </w:p>
        </w:tc>
      </w:tr>
      <w:tr w:rsidR="00A8050D" w:rsidRPr="007C4D65" w14:paraId="029AFCBC" w14:textId="77777777" w:rsidTr="00B6017F">
        <w:trPr>
          <w:trHeight w:val="567"/>
        </w:trPr>
        <w:tc>
          <w:tcPr>
            <w:tcW w:w="1383" w:type="pct"/>
            <w:shd w:val="clear" w:color="auto" w:fill="009D73"/>
            <w:vAlign w:val="center"/>
          </w:tcPr>
          <w:p w14:paraId="44A6ADF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Key strategic projects</w:t>
            </w:r>
          </w:p>
        </w:tc>
        <w:tc>
          <w:tcPr>
            <w:tcW w:w="3617" w:type="pct"/>
            <w:gridSpan w:val="3"/>
            <w:vAlign w:val="center"/>
          </w:tcPr>
          <w:p w14:paraId="496D567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057CA119" w14:textId="77777777" w:rsidTr="00B6017F">
        <w:trPr>
          <w:trHeight w:val="567"/>
        </w:trPr>
        <w:tc>
          <w:tcPr>
            <w:tcW w:w="1383" w:type="pct"/>
            <w:shd w:val="clear" w:color="auto" w:fill="009D73"/>
            <w:vAlign w:val="center"/>
          </w:tcPr>
          <w:p w14:paraId="0EDE622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20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4696D29"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5B8D7E55" w14:textId="77ACD7EA"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134"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E3464CF"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1B0C428D"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061DD89"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265D464F" w14:textId="77777777" w:rsidTr="00B6017F">
        <w:trPr>
          <w:trHeight w:val="274"/>
        </w:trPr>
        <w:tc>
          <w:tcPr>
            <w:tcW w:w="1383" w:type="pct"/>
            <w:vMerge w:val="restart"/>
            <w:shd w:val="clear" w:color="auto" w:fill="009D73"/>
            <w:vAlign w:val="center"/>
          </w:tcPr>
          <w:p w14:paraId="193CE4C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120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021253E" w14:textId="54AF122B"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Level of development of the study analysis / assessment of institutional capacities of competent water institutions in the Federation of BiH, with appropriate recommendations for capacity improvement</w:t>
            </w:r>
          </w:p>
        </w:tc>
        <w:tc>
          <w:tcPr>
            <w:tcW w:w="1134"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29EA6E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Analysis / assessment has not started</w:t>
            </w:r>
          </w:p>
        </w:tc>
        <w:tc>
          <w:tcPr>
            <w:tcW w:w="127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B75843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Implemented comprehensive analysis / assessment of institutional capacities (2024)</w:t>
            </w:r>
          </w:p>
        </w:tc>
      </w:tr>
      <w:tr w:rsidR="00A8050D" w:rsidRPr="007C4D65" w14:paraId="4FC5AE62" w14:textId="77777777" w:rsidTr="00B6017F">
        <w:trPr>
          <w:trHeight w:val="567"/>
        </w:trPr>
        <w:tc>
          <w:tcPr>
            <w:tcW w:w="1383" w:type="pct"/>
            <w:vMerge/>
            <w:shd w:val="clear" w:color="auto" w:fill="009D73"/>
            <w:vAlign w:val="center"/>
          </w:tcPr>
          <w:p w14:paraId="635F1DD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120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30986F8" w14:textId="77777777" w:rsidR="00A8050D" w:rsidRPr="007C4D65" w:rsidRDefault="00A8050D" w:rsidP="00B6017F">
            <w:pPr>
              <w:spacing w:line="276" w:lineRule="auto"/>
              <w:rPr>
                <w:rFonts w:asciiTheme="minorHAnsi" w:eastAsia="Calibri" w:hAnsiTheme="minorHAnsi" w:cstheme="minorHAnsi"/>
                <w:sz w:val="18"/>
                <w:szCs w:val="18"/>
              </w:rPr>
            </w:pPr>
            <w:r w:rsidRPr="007C4D65">
              <w:rPr>
                <w:rFonts w:asciiTheme="minorHAnsi" w:hAnsiTheme="minorHAnsi" w:cstheme="minorHAnsi"/>
                <w:sz w:val="18"/>
                <w:szCs w:val="18"/>
              </w:rPr>
              <w:t>Number of implemented measures for improvement of capacities in the water sector institutions in the areas of:</w:t>
            </w:r>
          </w:p>
          <w:p w14:paraId="2F8BB036" w14:textId="77777777" w:rsidR="00A8050D" w:rsidRPr="007C4D65" w:rsidRDefault="00A8050D">
            <w:pPr>
              <w:numPr>
                <w:ilvl w:val="0"/>
                <w:numId w:val="200"/>
              </w:numPr>
              <w:spacing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strengthening human resources in water sector institutions </w:t>
            </w:r>
          </w:p>
          <w:p w14:paraId="1CF3D279" w14:textId="77777777" w:rsidR="00A8050D" w:rsidRPr="007C4D65" w:rsidRDefault="00A8050D">
            <w:pPr>
              <w:numPr>
                <w:ilvl w:val="0"/>
                <w:numId w:val="200"/>
              </w:numPr>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strategic approach to employment</w:t>
            </w:r>
          </w:p>
          <w:p w14:paraId="50DE310A" w14:textId="77777777" w:rsidR="00A8050D" w:rsidRPr="007C4D65" w:rsidRDefault="00A8050D">
            <w:pPr>
              <w:numPr>
                <w:ilvl w:val="0"/>
                <w:numId w:val="200"/>
              </w:numPr>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retaining skilled persons in institutions</w:t>
            </w:r>
          </w:p>
        </w:tc>
        <w:tc>
          <w:tcPr>
            <w:tcW w:w="1134"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70C389A" w14:textId="5B58CE6B"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Analysis / assessment has not started, measures have not been identified or implemented</w:t>
            </w:r>
          </w:p>
        </w:tc>
        <w:tc>
          <w:tcPr>
            <w:tcW w:w="127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AE4625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Identified and implemented all measures for:</w:t>
            </w:r>
          </w:p>
          <w:p w14:paraId="169D306C" w14:textId="77777777" w:rsidR="00A8050D" w:rsidRPr="007C4D65" w:rsidRDefault="00A8050D">
            <w:pPr>
              <w:numPr>
                <w:ilvl w:val="0"/>
                <w:numId w:val="206"/>
              </w:numPr>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Strengthening human resources in water sector institutions for implementation of EU water sector legislation and international water sector conventions, consistent enforcement of law and effective implementation of strategies and plans </w:t>
            </w:r>
          </w:p>
          <w:p w14:paraId="27575509" w14:textId="77777777" w:rsidR="00A8050D" w:rsidRPr="007C4D65" w:rsidRDefault="00A8050D">
            <w:pPr>
              <w:numPr>
                <w:ilvl w:val="0"/>
                <w:numId w:val="206"/>
              </w:numPr>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Strategic employment in institutions</w:t>
            </w:r>
          </w:p>
          <w:p w14:paraId="5C65FDC7" w14:textId="77777777" w:rsidR="00A8050D" w:rsidRPr="007C4D65" w:rsidRDefault="00A8050D">
            <w:pPr>
              <w:numPr>
                <w:ilvl w:val="0"/>
                <w:numId w:val="206"/>
              </w:numPr>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Retaining skilled persons in institutions (2026)</w:t>
            </w:r>
          </w:p>
        </w:tc>
      </w:tr>
      <w:tr w:rsidR="00A8050D" w:rsidRPr="007C4D65" w14:paraId="1C0749C0" w14:textId="77777777" w:rsidTr="00B6017F">
        <w:trPr>
          <w:trHeight w:val="567"/>
        </w:trPr>
        <w:tc>
          <w:tcPr>
            <w:tcW w:w="1383" w:type="pct"/>
            <w:shd w:val="clear" w:color="auto" w:fill="009D73"/>
            <w:vAlign w:val="center"/>
          </w:tcPr>
          <w:p w14:paraId="6DBFBF70"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617"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702023B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415B894C" w14:textId="77777777" w:rsidTr="00B6017F">
        <w:trPr>
          <w:trHeight w:val="567"/>
        </w:trPr>
        <w:tc>
          <w:tcPr>
            <w:tcW w:w="1383" w:type="pct"/>
            <w:shd w:val="clear" w:color="auto" w:fill="009D73"/>
            <w:vAlign w:val="center"/>
          </w:tcPr>
          <w:p w14:paraId="5EA5009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specification of sources</w:t>
            </w:r>
          </w:p>
        </w:tc>
        <w:tc>
          <w:tcPr>
            <w:tcW w:w="3617"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7B15C49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Amount: BAM 250,000 </w:t>
            </w:r>
          </w:p>
          <w:p w14:paraId="0D2436EB"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sz w:val="18"/>
                <w:szCs w:val="18"/>
              </w:rPr>
              <w:t xml:space="preserve">Source: 100% </w:t>
            </w:r>
            <w:r w:rsidRPr="007C4D65">
              <w:rPr>
                <w:rFonts w:asciiTheme="minorHAnsi" w:hAnsiTheme="minorHAnsi" w:cstheme="minorHAnsi"/>
                <w:color w:val="000000" w:themeColor="text1"/>
                <w:sz w:val="18"/>
                <w:szCs w:val="18"/>
              </w:rPr>
              <w:t>government budget</w:t>
            </w:r>
          </w:p>
        </w:tc>
      </w:tr>
      <w:tr w:rsidR="00A8050D" w:rsidRPr="007C4D65" w14:paraId="2A855122" w14:textId="77777777" w:rsidTr="00B6017F">
        <w:trPr>
          <w:trHeight w:val="567"/>
        </w:trPr>
        <w:tc>
          <w:tcPr>
            <w:tcW w:w="1383" w:type="pct"/>
            <w:shd w:val="clear" w:color="auto" w:fill="009D73"/>
            <w:vAlign w:val="center"/>
          </w:tcPr>
          <w:p w14:paraId="6FAEFDB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Period of implementation of the measure</w:t>
            </w:r>
          </w:p>
        </w:tc>
        <w:tc>
          <w:tcPr>
            <w:tcW w:w="3617"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748AF9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2024-2026</w:t>
            </w:r>
          </w:p>
        </w:tc>
      </w:tr>
      <w:tr w:rsidR="00A8050D" w:rsidRPr="007C4D65" w14:paraId="57798691" w14:textId="77777777" w:rsidTr="00B6017F">
        <w:trPr>
          <w:trHeight w:val="567"/>
        </w:trPr>
        <w:tc>
          <w:tcPr>
            <w:tcW w:w="1383" w:type="pct"/>
            <w:shd w:val="clear" w:color="auto" w:fill="009D73"/>
            <w:vAlign w:val="center"/>
          </w:tcPr>
          <w:p w14:paraId="578642F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617" w:type="pct"/>
            <w:gridSpan w:val="3"/>
            <w:tcBorders>
              <w:top w:val="single" w:sz="4" w:space="0" w:color="A6A6A6"/>
              <w:left w:val="single" w:sz="4" w:space="0" w:color="A6A6A6"/>
              <w:bottom w:val="single" w:sz="4" w:space="0" w:color="A6A6A6"/>
              <w:right w:val="single" w:sz="4" w:space="0" w:color="A6A6A6"/>
            </w:tcBorders>
            <w:vAlign w:val="center"/>
          </w:tcPr>
          <w:p w14:paraId="54C2FD3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w:t>
            </w:r>
          </w:p>
        </w:tc>
      </w:tr>
      <w:tr w:rsidR="00A8050D" w:rsidRPr="007C4D65" w14:paraId="185F89CB" w14:textId="77777777" w:rsidTr="00B6017F">
        <w:trPr>
          <w:trHeight w:val="567"/>
        </w:trPr>
        <w:tc>
          <w:tcPr>
            <w:tcW w:w="1383" w:type="pct"/>
            <w:shd w:val="clear" w:color="auto" w:fill="009D73"/>
            <w:vAlign w:val="center"/>
          </w:tcPr>
          <w:p w14:paraId="6C2C431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institutions for the measure</w:t>
            </w:r>
          </w:p>
        </w:tc>
        <w:tc>
          <w:tcPr>
            <w:tcW w:w="3617" w:type="pct"/>
            <w:gridSpan w:val="3"/>
            <w:tcBorders>
              <w:top w:val="single" w:sz="4" w:space="0" w:color="A6A6A6"/>
              <w:left w:val="single" w:sz="4" w:space="0" w:color="A6A6A6"/>
              <w:bottom w:val="single" w:sz="4" w:space="0" w:color="A6A6A6"/>
              <w:right w:val="single" w:sz="4" w:space="0" w:color="A6A6A6"/>
            </w:tcBorders>
            <w:vAlign w:val="center"/>
          </w:tcPr>
          <w:p w14:paraId="79179296" w14:textId="40F870B9"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 SRBA, ACWA, FHMI, CMWs (cantonal ministries responsible for water); LGUs;</w:t>
            </w:r>
          </w:p>
        </w:tc>
      </w:tr>
      <w:tr w:rsidR="00A8050D" w:rsidRPr="007C4D65" w14:paraId="74F79AC1" w14:textId="77777777" w:rsidTr="00B6017F">
        <w:trPr>
          <w:trHeight w:val="567"/>
        </w:trPr>
        <w:tc>
          <w:tcPr>
            <w:tcW w:w="1383" w:type="pct"/>
            <w:shd w:val="clear" w:color="auto" w:fill="009D73"/>
            <w:vAlign w:val="center"/>
          </w:tcPr>
          <w:p w14:paraId="2435E99E" w14:textId="4629B2B2"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617"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350271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Employees in institutions competent for water management at all levels in the Federation of BiH  </w:t>
            </w:r>
          </w:p>
        </w:tc>
      </w:tr>
    </w:tbl>
    <w:p w14:paraId="59F8C750" w14:textId="77777777" w:rsidR="00A8050D" w:rsidRPr="007C4D65" w:rsidRDefault="00A8050D" w:rsidP="00A8050D">
      <w:pPr>
        <w:spacing w:line="276" w:lineRule="auto"/>
        <w:rPr>
          <w:rFonts w:asciiTheme="minorHAnsi" w:hAnsiTheme="minorHAnsi" w:cstheme="minorHAnsi"/>
          <w:sz w:val="18"/>
          <w:szCs w:val="18"/>
          <w:lang w:val="hr-HR"/>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852"/>
        <w:gridCol w:w="2921"/>
        <w:gridCol w:w="3585"/>
        <w:gridCol w:w="3590"/>
      </w:tblGrid>
      <w:tr w:rsidR="00A8050D" w:rsidRPr="007C4D65" w14:paraId="19F7ACEF" w14:textId="77777777" w:rsidTr="00B6017F">
        <w:trPr>
          <w:trHeight w:val="567"/>
          <w:jc w:val="center"/>
        </w:trPr>
        <w:tc>
          <w:tcPr>
            <w:tcW w:w="138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80322CD" w14:textId="0B395A37"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619"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6B5AEB09"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0A3B88A2" w14:textId="77777777" w:rsidTr="00B6017F">
        <w:trPr>
          <w:trHeight w:val="567"/>
          <w:jc w:val="center"/>
        </w:trPr>
        <w:tc>
          <w:tcPr>
            <w:tcW w:w="138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DB21F9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619"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4573E596" w14:textId="3EE9E48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1.5. </w:t>
            </w:r>
            <w:r w:rsidR="001E4D90" w:rsidRPr="007C4D65">
              <w:rPr>
                <w:rFonts w:asciiTheme="minorHAnsi" w:hAnsiTheme="minorHAnsi" w:cstheme="minorHAnsi"/>
                <w:b/>
                <w:sz w:val="18"/>
                <w:szCs w:val="18"/>
              </w:rPr>
              <w:t>Developing an effective legal and institutional framework for the purpose of alignment with the EU regulations in the water sector, and its enforcement</w:t>
            </w:r>
          </w:p>
        </w:tc>
      </w:tr>
      <w:tr w:rsidR="00A8050D" w:rsidRPr="007C4D65" w14:paraId="7BAE072E" w14:textId="77777777" w:rsidTr="00B6017F">
        <w:trPr>
          <w:trHeight w:val="567"/>
          <w:jc w:val="center"/>
        </w:trPr>
        <w:tc>
          <w:tcPr>
            <w:tcW w:w="138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8F559DD" w14:textId="06371692"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619"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678530CD"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1.5.4. Realization of activities from the developed and adopted APID documents related to the EU water directives</w:t>
            </w:r>
          </w:p>
        </w:tc>
      </w:tr>
      <w:tr w:rsidR="00A8050D" w:rsidRPr="007C4D65" w14:paraId="30EBB19F" w14:textId="77777777" w:rsidTr="00B6017F">
        <w:trPr>
          <w:trHeight w:val="567"/>
          <w:jc w:val="center"/>
        </w:trPr>
        <w:tc>
          <w:tcPr>
            <w:tcW w:w="138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E56605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619"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32BA50A8" w14:textId="77777777" w:rsidR="00A8050D" w:rsidRPr="007C4D65" w:rsidRDefault="00A8050D" w:rsidP="00B6017F">
            <w:pPr>
              <w:spacing w:before="40" w:after="40" w:line="276" w:lineRule="auto"/>
              <w:rPr>
                <w:rFonts w:asciiTheme="minorHAnsi" w:hAnsiTheme="minorHAnsi" w:cstheme="minorHAnsi"/>
                <w:bCs/>
                <w:sz w:val="18"/>
                <w:szCs w:val="18"/>
              </w:rPr>
            </w:pPr>
            <w:r w:rsidRPr="007C4D65">
              <w:rPr>
                <w:rFonts w:asciiTheme="minorHAnsi" w:hAnsiTheme="minorHAnsi" w:cstheme="minorHAnsi"/>
                <w:bCs/>
                <w:sz w:val="18"/>
                <w:szCs w:val="18"/>
              </w:rPr>
              <w:t>This measure aims to intensify and speed up the implementation and enforcement of EU water directives through developed, adopted and implemented Action Plans for Implementation of Directives (APID) and Directive Specific Implementation Plans (DSIP).</w:t>
            </w:r>
          </w:p>
          <w:p w14:paraId="30B50437" w14:textId="77777777" w:rsidR="00A8050D" w:rsidRPr="007C4D65" w:rsidRDefault="00A8050D" w:rsidP="00B6017F">
            <w:pPr>
              <w:spacing w:before="40" w:after="40" w:line="276" w:lineRule="auto"/>
              <w:rPr>
                <w:rFonts w:asciiTheme="minorHAnsi" w:hAnsiTheme="minorHAnsi" w:cstheme="minorHAnsi"/>
                <w:bCs/>
                <w:sz w:val="18"/>
                <w:szCs w:val="18"/>
              </w:rPr>
            </w:pPr>
            <w:r w:rsidRPr="007C4D65">
              <w:rPr>
                <w:rFonts w:asciiTheme="minorHAnsi" w:hAnsiTheme="minorHAnsi" w:cstheme="minorHAnsi"/>
                <w:bCs/>
                <w:sz w:val="18"/>
                <w:szCs w:val="18"/>
              </w:rPr>
              <w:t xml:space="preserve">General areas of intervention:  </w:t>
            </w:r>
          </w:p>
          <w:p w14:paraId="2B6F7AE3" w14:textId="75AD0026" w:rsidR="00A8050D" w:rsidRPr="007C4D65" w:rsidRDefault="00A8050D">
            <w:pPr>
              <w:numPr>
                <w:ilvl w:val="0"/>
                <w:numId w:val="207"/>
              </w:numPr>
              <w:spacing w:line="276" w:lineRule="auto"/>
              <w:rPr>
                <w:rFonts w:asciiTheme="minorHAnsi" w:hAnsiTheme="minorHAnsi" w:cstheme="minorHAnsi"/>
                <w:bCs/>
                <w:sz w:val="18"/>
                <w:szCs w:val="18"/>
              </w:rPr>
            </w:pPr>
            <w:r w:rsidRPr="007C4D65">
              <w:rPr>
                <w:rFonts w:asciiTheme="minorHAnsi" w:hAnsiTheme="minorHAnsi" w:cstheme="minorHAnsi"/>
                <w:bCs/>
                <w:sz w:val="18"/>
                <w:szCs w:val="18"/>
              </w:rPr>
              <w:t xml:space="preserve">Develop and adopt 3 APIDs for EU water </w:t>
            </w:r>
            <w:proofErr w:type="gramStart"/>
            <w:r w:rsidRPr="007C4D65">
              <w:rPr>
                <w:rFonts w:asciiTheme="minorHAnsi" w:hAnsiTheme="minorHAnsi" w:cstheme="minorHAnsi"/>
                <w:bCs/>
                <w:sz w:val="18"/>
                <w:szCs w:val="18"/>
              </w:rPr>
              <w:t>directives</w:t>
            </w:r>
            <w:r w:rsidR="00235519" w:rsidRPr="007C4D65">
              <w:rPr>
                <w:rFonts w:asciiTheme="minorHAnsi" w:hAnsiTheme="minorHAnsi" w:cstheme="minorHAnsi"/>
                <w:bCs/>
                <w:sz w:val="18"/>
                <w:szCs w:val="18"/>
              </w:rPr>
              <w:t>;</w:t>
            </w:r>
            <w:proofErr w:type="gramEnd"/>
          </w:p>
          <w:p w14:paraId="6ECA2630" w14:textId="51A3704E" w:rsidR="00A8050D" w:rsidRPr="007C4D65" w:rsidRDefault="00A8050D">
            <w:pPr>
              <w:numPr>
                <w:ilvl w:val="0"/>
                <w:numId w:val="207"/>
              </w:numPr>
              <w:spacing w:line="276" w:lineRule="auto"/>
              <w:rPr>
                <w:rFonts w:asciiTheme="minorHAnsi" w:hAnsiTheme="minorHAnsi" w:cstheme="minorHAnsi"/>
                <w:bCs/>
                <w:sz w:val="18"/>
                <w:szCs w:val="18"/>
              </w:rPr>
            </w:pPr>
            <w:r w:rsidRPr="007C4D65">
              <w:rPr>
                <w:rFonts w:asciiTheme="minorHAnsi" w:hAnsiTheme="minorHAnsi" w:cstheme="minorHAnsi"/>
                <w:bCs/>
                <w:sz w:val="18"/>
                <w:szCs w:val="18"/>
              </w:rPr>
              <w:t xml:space="preserve">Develop and adopt 5 APIDs for EU water </w:t>
            </w:r>
            <w:proofErr w:type="gramStart"/>
            <w:r w:rsidRPr="007C4D65">
              <w:rPr>
                <w:rFonts w:asciiTheme="minorHAnsi" w:hAnsiTheme="minorHAnsi" w:cstheme="minorHAnsi"/>
                <w:bCs/>
                <w:sz w:val="18"/>
                <w:szCs w:val="18"/>
              </w:rPr>
              <w:t>directives</w:t>
            </w:r>
            <w:r w:rsidR="00235519" w:rsidRPr="007C4D65">
              <w:rPr>
                <w:rFonts w:asciiTheme="minorHAnsi" w:hAnsiTheme="minorHAnsi" w:cstheme="minorHAnsi"/>
                <w:bCs/>
                <w:sz w:val="18"/>
                <w:szCs w:val="18"/>
              </w:rPr>
              <w:t>;</w:t>
            </w:r>
            <w:proofErr w:type="gramEnd"/>
          </w:p>
          <w:p w14:paraId="5C27E377" w14:textId="213D910B" w:rsidR="00A8050D" w:rsidRPr="007C4D65" w:rsidRDefault="00A8050D">
            <w:pPr>
              <w:numPr>
                <w:ilvl w:val="0"/>
                <w:numId w:val="207"/>
              </w:numPr>
              <w:spacing w:line="276" w:lineRule="auto"/>
              <w:rPr>
                <w:rFonts w:asciiTheme="minorHAnsi" w:hAnsiTheme="minorHAnsi" w:cstheme="minorHAnsi"/>
                <w:bCs/>
                <w:sz w:val="18"/>
                <w:szCs w:val="18"/>
              </w:rPr>
            </w:pPr>
            <w:r w:rsidRPr="007C4D65">
              <w:rPr>
                <w:rFonts w:asciiTheme="minorHAnsi" w:hAnsiTheme="minorHAnsi" w:cstheme="minorHAnsi"/>
                <w:bCs/>
                <w:sz w:val="18"/>
                <w:szCs w:val="18"/>
              </w:rPr>
              <w:t>Implement 8 APIDs and provide biannual reporting on the progress of implementation</w:t>
            </w:r>
            <w:r w:rsidR="00235519" w:rsidRPr="007C4D65">
              <w:rPr>
                <w:rFonts w:asciiTheme="minorHAnsi" w:hAnsiTheme="minorHAnsi" w:cstheme="minorHAnsi"/>
                <w:bCs/>
                <w:sz w:val="18"/>
                <w:szCs w:val="18"/>
              </w:rPr>
              <w:t>.</w:t>
            </w:r>
          </w:p>
          <w:p w14:paraId="014E38F5" w14:textId="77777777" w:rsidR="00A8050D" w:rsidRPr="007C4D65" w:rsidRDefault="00A8050D" w:rsidP="00B6017F">
            <w:pPr>
              <w:spacing w:line="276" w:lineRule="auto"/>
              <w:rPr>
                <w:rFonts w:asciiTheme="minorHAnsi" w:hAnsiTheme="minorHAnsi" w:cstheme="minorHAnsi"/>
                <w:bCs/>
                <w:i/>
                <w:iCs/>
                <w:sz w:val="18"/>
                <w:szCs w:val="18"/>
              </w:rPr>
            </w:pPr>
            <w:r w:rsidRPr="007C4D65">
              <w:rPr>
                <w:rFonts w:asciiTheme="minorHAnsi" w:hAnsiTheme="minorHAnsi" w:cstheme="minorHAnsi"/>
                <w:bCs/>
                <w:i/>
                <w:iCs/>
                <w:sz w:val="18"/>
                <w:szCs w:val="18"/>
              </w:rPr>
              <w:t xml:space="preserve">Note: The Programme of EU Integrations is currently lead by the European Integrations (DEI) is being developed, and the Directives for which the APIDs will possibly not be developed have not yet been identified  </w:t>
            </w:r>
          </w:p>
        </w:tc>
      </w:tr>
      <w:tr w:rsidR="00A8050D" w:rsidRPr="007C4D65" w14:paraId="25BFDE7E" w14:textId="77777777" w:rsidTr="00B6017F">
        <w:trPr>
          <w:trHeight w:val="567"/>
          <w:jc w:val="center"/>
        </w:trPr>
        <w:tc>
          <w:tcPr>
            <w:tcW w:w="138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D09F77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Strategic projects</w:t>
            </w:r>
          </w:p>
        </w:tc>
        <w:tc>
          <w:tcPr>
            <w:tcW w:w="3619"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6267088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5F066947" w14:textId="77777777" w:rsidTr="00B6017F">
        <w:trPr>
          <w:trHeight w:val="567"/>
          <w:jc w:val="center"/>
        </w:trPr>
        <w:tc>
          <w:tcPr>
            <w:tcW w:w="1381" w:type="pct"/>
            <w:vMerge w:val="restart"/>
            <w:tcBorders>
              <w:top w:val="single" w:sz="4" w:space="0" w:color="A6A6A6"/>
              <w:left w:val="single" w:sz="4" w:space="0" w:color="A6A6A6"/>
              <w:right w:val="single" w:sz="4" w:space="0" w:color="A6A6A6"/>
            </w:tcBorders>
            <w:shd w:val="clear" w:color="auto" w:fill="009D73"/>
            <w:vAlign w:val="center"/>
          </w:tcPr>
          <w:p w14:paraId="4CC7565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4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649691C"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19520E8C" w14:textId="14A411DB"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8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C04CD40"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5F42F986"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8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76B6B77"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717FC689" w14:textId="77777777" w:rsidTr="00B6017F">
        <w:trPr>
          <w:trHeight w:val="567"/>
          <w:jc w:val="center"/>
        </w:trPr>
        <w:tc>
          <w:tcPr>
            <w:tcW w:w="1381" w:type="pct"/>
            <w:vMerge/>
            <w:tcBorders>
              <w:left w:val="single" w:sz="4" w:space="0" w:color="A6A6A6"/>
              <w:right w:val="single" w:sz="4" w:space="0" w:color="A6A6A6"/>
            </w:tcBorders>
            <w:shd w:val="clear" w:color="auto" w:fill="009D73"/>
            <w:vAlign w:val="center"/>
          </w:tcPr>
          <w:p w14:paraId="1401B9B7" w14:textId="77777777" w:rsidR="00A8050D" w:rsidRPr="007C4D65" w:rsidRDefault="00A8050D" w:rsidP="00B6017F">
            <w:pPr>
              <w:spacing w:before="40" w:after="40" w:line="276" w:lineRule="auto"/>
              <w:rPr>
                <w:rFonts w:asciiTheme="minorHAnsi" w:hAnsiTheme="minorHAnsi" w:cstheme="minorHAnsi"/>
                <w:b/>
                <w:sz w:val="18"/>
                <w:szCs w:val="18"/>
                <w:lang w:val="hr-HR"/>
              </w:rPr>
            </w:pPr>
          </w:p>
        </w:tc>
        <w:tc>
          <w:tcPr>
            <w:tcW w:w="1047" w:type="pct"/>
            <w:tcBorders>
              <w:top w:val="single" w:sz="4" w:space="0" w:color="A6A6A6"/>
              <w:left w:val="single" w:sz="4" w:space="0" w:color="A6A6A6"/>
              <w:bottom w:val="single" w:sz="4" w:space="0" w:color="A6A6A6"/>
              <w:right w:val="single" w:sz="4" w:space="0" w:color="A6A6A6"/>
            </w:tcBorders>
            <w:shd w:val="clear" w:color="auto" w:fill="auto"/>
            <w:vAlign w:val="center"/>
          </w:tcPr>
          <w:p w14:paraId="213E4AB1" w14:textId="588BEA3D"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Level of completion and implementation of the APIDs for Directives on:</w:t>
            </w:r>
          </w:p>
          <w:p w14:paraId="6DC43E64" w14:textId="08665307" w:rsidR="00A8050D" w:rsidRPr="007C4D65" w:rsidRDefault="00A8050D">
            <w:pPr>
              <w:numPr>
                <w:ilvl w:val="0"/>
                <w:numId w:val="92"/>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lastRenderedPageBreak/>
              <w:t xml:space="preserve">municipal </w:t>
            </w:r>
            <w:proofErr w:type="gramStart"/>
            <w:r w:rsidRPr="007C4D65">
              <w:rPr>
                <w:rFonts w:asciiTheme="minorHAnsi" w:hAnsiTheme="minorHAnsi" w:cstheme="minorHAnsi"/>
                <w:sz w:val="18"/>
                <w:szCs w:val="18"/>
              </w:rPr>
              <w:t>waste water</w:t>
            </w:r>
            <w:proofErr w:type="gramEnd"/>
            <w:r w:rsidRPr="007C4D65">
              <w:rPr>
                <w:rFonts w:asciiTheme="minorHAnsi" w:hAnsiTheme="minorHAnsi" w:cstheme="minorHAnsi"/>
                <w:sz w:val="18"/>
                <w:szCs w:val="18"/>
              </w:rPr>
              <w:t xml:space="preserve"> treatment 91/271/EC</w:t>
            </w:r>
          </w:p>
          <w:p w14:paraId="1C9A7738" w14:textId="77777777" w:rsidR="00A8050D" w:rsidRPr="007C4D65" w:rsidRDefault="00A8050D">
            <w:pPr>
              <w:numPr>
                <w:ilvl w:val="0"/>
                <w:numId w:val="92"/>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water for human consumption 2020/2184</w:t>
            </w:r>
          </w:p>
          <w:p w14:paraId="6CDC609B" w14:textId="77777777" w:rsidR="00A8050D" w:rsidRPr="007C4D65" w:rsidRDefault="00A8050D">
            <w:pPr>
              <w:numPr>
                <w:ilvl w:val="0"/>
                <w:numId w:val="92"/>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assessment and management of flood risks 2007/60/EC.</w:t>
            </w:r>
          </w:p>
          <w:p w14:paraId="5D72FC2A" w14:textId="77777777" w:rsidR="00A8050D" w:rsidRPr="007C4D65" w:rsidRDefault="00A8050D">
            <w:pPr>
              <w:numPr>
                <w:ilvl w:val="0"/>
                <w:numId w:val="92"/>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MSFD Directive (Marine Strategy Framework Directive) </w:t>
            </w:r>
          </w:p>
        </w:tc>
        <w:tc>
          <w:tcPr>
            <w:tcW w:w="1285" w:type="pct"/>
            <w:tcBorders>
              <w:top w:val="single" w:sz="4" w:space="0" w:color="A6A6A6"/>
              <w:left w:val="single" w:sz="4" w:space="0" w:color="A6A6A6"/>
              <w:bottom w:val="single" w:sz="4" w:space="0" w:color="A6A6A6"/>
              <w:right w:val="single" w:sz="4" w:space="0" w:color="A6A6A6"/>
            </w:tcBorders>
            <w:shd w:val="clear" w:color="auto" w:fill="auto"/>
            <w:vAlign w:val="center"/>
          </w:tcPr>
          <w:p w14:paraId="1F40B9CA" w14:textId="506D1968" w:rsidR="00A8050D" w:rsidRPr="007C4D65" w:rsidRDefault="00A8050D">
            <w:pPr>
              <w:numPr>
                <w:ilvl w:val="0"/>
                <w:numId w:val="206"/>
              </w:numPr>
              <w:spacing w:before="40" w:after="40"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lastRenderedPageBreak/>
              <w:t>Three draft APIDs (for Directives: 91/271/EC, 98/83/EC and 2007/60/EC) have been developed under EAS (2017), but not adopted</w:t>
            </w:r>
          </w:p>
          <w:p w14:paraId="11244EC1" w14:textId="77777777" w:rsidR="00A8050D" w:rsidRPr="007C4D65" w:rsidRDefault="00A8050D">
            <w:pPr>
              <w:numPr>
                <w:ilvl w:val="0"/>
                <w:numId w:val="206"/>
              </w:numPr>
              <w:spacing w:before="40" w:after="40"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lastRenderedPageBreak/>
              <w:t>Updated APID (from 2017) for the Directive on the assessment and management of flood risks 2007/60/EC</w:t>
            </w:r>
          </w:p>
          <w:p w14:paraId="38EE09D2" w14:textId="77777777" w:rsidR="00A8050D" w:rsidRPr="007C4D65" w:rsidRDefault="00A8050D">
            <w:pPr>
              <w:numPr>
                <w:ilvl w:val="0"/>
                <w:numId w:val="206"/>
              </w:numPr>
              <w:spacing w:before="40" w:after="40"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t xml:space="preserve">Activities related to transposition of MSFD directive have not started </w:t>
            </w:r>
          </w:p>
          <w:p w14:paraId="1EFB909D" w14:textId="16092D52"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 In late 2021, the Council of Ministers charged </w:t>
            </w:r>
            <w:proofErr w:type="spellStart"/>
            <w:r w:rsidRPr="007C4D65">
              <w:rPr>
                <w:rFonts w:asciiTheme="minorHAnsi" w:hAnsiTheme="minorHAnsi" w:cstheme="minorHAnsi"/>
                <w:sz w:val="18"/>
                <w:szCs w:val="18"/>
              </w:rPr>
              <w:t>MoFTER</w:t>
            </w:r>
            <w:proofErr w:type="spellEnd"/>
            <w:r w:rsidRPr="007C4D65">
              <w:rPr>
                <w:rFonts w:asciiTheme="minorHAnsi" w:hAnsiTheme="minorHAnsi" w:cstheme="minorHAnsi"/>
                <w:sz w:val="18"/>
                <w:szCs w:val="18"/>
              </w:rPr>
              <w:t xml:space="preserve"> to consider possible further activities related to transposition of MSFD Directive</w:t>
            </w:r>
          </w:p>
        </w:tc>
        <w:tc>
          <w:tcPr>
            <w:tcW w:w="1287" w:type="pct"/>
            <w:tcBorders>
              <w:top w:val="single" w:sz="4" w:space="0" w:color="A6A6A6"/>
              <w:left w:val="single" w:sz="4" w:space="0" w:color="A6A6A6"/>
              <w:bottom w:val="single" w:sz="4" w:space="0" w:color="A6A6A6"/>
              <w:right w:val="single" w:sz="4" w:space="0" w:color="A6A6A6"/>
            </w:tcBorders>
            <w:shd w:val="clear" w:color="auto" w:fill="auto"/>
            <w:vAlign w:val="center"/>
          </w:tcPr>
          <w:p w14:paraId="33E789EA" w14:textId="77777777" w:rsidR="00A8050D" w:rsidRPr="007C4D65" w:rsidRDefault="00A8050D">
            <w:pPr>
              <w:numPr>
                <w:ilvl w:val="0"/>
                <w:numId w:val="206"/>
              </w:numPr>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lastRenderedPageBreak/>
              <w:t>Updated and adopted 2 APIDs (for Directives: 91/271/EC and 2007/60/EC) (2025)</w:t>
            </w:r>
          </w:p>
          <w:p w14:paraId="54A2964C" w14:textId="77777777" w:rsidR="00A8050D" w:rsidRPr="007C4D65" w:rsidRDefault="00A8050D">
            <w:pPr>
              <w:numPr>
                <w:ilvl w:val="0"/>
                <w:numId w:val="206"/>
              </w:numPr>
              <w:spacing w:before="40" w:after="40" w:line="276" w:lineRule="auto"/>
              <w:contextualSpacing/>
              <w:rPr>
                <w:rFonts w:asciiTheme="minorHAnsi" w:eastAsia="Calibri" w:hAnsiTheme="minorHAnsi" w:cstheme="minorHAnsi"/>
                <w:bCs/>
                <w:i/>
                <w:sz w:val="18"/>
                <w:szCs w:val="18"/>
              </w:rPr>
            </w:pPr>
            <w:r w:rsidRPr="007C4D65">
              <w:rPr>
                <w:rFonts w:asciiTheme="minorHAnsi" w:hAnsiTheme="minorHAnsi" w:cstheme="minorHAnsi"/>
                <w:sz w:val="18"/>
                <w:szCs w:val="18"/>
              </w:rPr>
              <w:t xml:space="preserve">Developed and adopted APID for the new </w:t>
            </w:r>
            <w:r w:rsidRPr="007C4D65">
              <w:rPr>
                <w:rFonts w:asciiTheme="minorHAnsi" w:hAnsiTheme="minorHAnsi" w:cstheme="minorHAnsi"/>
                <w:i/>
                <w:iCs/>
                <w:sz w:val="18"/>
                <w:szCs w:val="18"/>
              </w:rPr>
              <w:t xml:space="preserve">Directive 2020/2184 </w:t>
            </w:r>
            <w:r w:rsidRPr="007C4D65">
              <w:rPr>
                <w:rFonts w:asciiTheme="minorHAnsi" w:hAnsiTheme="minorHAnsi" w:cstheme="minorHAnsi"/>
                <w:i/>
                <w:iCs/>
                <w:sz w:val="18"/>
                <w:szCs w:val="18"/>
              </w:rPr>
              <w:lastRenderedPageBreak/>
              <w:t>instead of the APID for Directive 98/83/EC (2025)</w:t>
            </w:r>
          </w:p>
          <w:p w14:paraId="7C6CB59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Realized cooperation with institutions at BiH level during the transposition of MSFD Directive / development of a strategy on marine environment for BiH</w:t>
            </w:r>
          </w:p>
        </w:tc>
      </w:tr>
      <w:tr w:rsidR="00A8050D" w:rsidRPr="007C4D65" w14:paraId="3634E306" w14:textId="77777777" w:rsidTr="00B6017F">
        <w:trPr>
          <w:trHeight w:val="567"/>
          <w:jc w:val="center"/>
        </w:trPr>
        <w:tc>
          <w:tcPr>
            <w:tcW w:w="1381" w:type="pct"/>
            <w:vMerge/>
            <w:tcBorders>
              <w:left w:val="single" w:sz="4" w:space="0" w:color="A6A6A6"/>
              <w:right w:val="single" w:sz="4" w:space="0" w:color="A6A6A6"/>
            </w:tcBorders>
            <w:shd w:val="clear" w:color="auto" w:fill="009D73"/>
            <w:vAlign w:val="center"/>
          </w:tcPr>
          <w:p w14:paraId="4DF05DB2" w14:textId="77777777" w:rsidR="00A8050D" w:rsidRPr="007C4D65" w:rsidRDefault="00A8050D" w:rsidP="00B6017F">
            <w:pPr>
              <w:spacing w:before="40" w:after="40" w:line="276" w:lineRule="auto"/>
              <w:rPr>
                <w:rFonts w:asciiTheme="minorHAnsi" w:hAnsiTheme="minorHAnsi" w:cstheme="minorHAnsi"/>
                <w:b/>
                <w:sz w:val="18"/>
                <w:szCs w:val="18"/>
                <w:lang w:val="hr-HR"/>
              </w:rPr>
            </w:pPr>
          </w:p>
        </w:tc>
        <w:tc>
          <w:tcPr>
            <w:tcW w:w="1047" w:type="pct"/>
            <w:tcBorders>
              <w:top w:val="single" w:sz="4" w:space="0" w:color="A6A6A6"/>
              <w:left w:val="single" w:sz="4" w:space="0" w:color="A6A6A6"/>
              <w:bottom w:val="single" w:sz="4" w:space="0" w:color="A6A6A6"/>
              <w:right w:val="single" w:sz="4" w:space="0" w:color="A6A6A6"/>
            </w:tcBorders>
            <w:shd w:val="clear" w:color="auto" w:fill="auto"/>
            <w:vAlign w:val="center"/>
          </w:tcPr>
          <w:p w14:paraId="19474D1C" w14:textId="77777777" w:rsidR="00A8050D" w:rsidRPr="007C4D65" w:rsidRDefault="00A8050D">
            <w:pPr>
              <w:numPr>
                <w:ilvl w:val="0"/>
                <w:numId w:val="93"/>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Level of completion of the APIDs for Directives on: </w:t>
            </w:r>
          </w:p>
          <w:p w14:paraId="5F65DDAC" w14:textId="77777777" w:rsidR="00A8050D" w:rsidRPr="007C4D65" w:rsidRDefault="00A8050D">
            <w:pPr>
              <w:numPr>
                <w:ilvl w:val="0"/>
                <w:numId w:val="93"/>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the protection of waters against pollution caused by nitrates from agricultural sources, 91/676/EC.</w:t>
            </w:r>
          </w:p>
          <w:p w14:paraId="61F5F9A8" w14:textId="77777777" w:rsidR="00A8050D" w:rsidRPr="007C4D65" w:rsidRDefault="00A8050D">
            <w:pPr>
              <w:numPr>
                <w:ilvl w:val="0"/>
                <w:numId w:val="93"/>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establishing the framework for operation of the Community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marine environment policy, 2008/56/EC.</w:t>
            </w:r>
          </w:p>
          <w:p w14:paraId="34778AA2" w14:textId="77777777" w:rsidR="00A8050D" w:rsidRPr="007C4D65" w:rsidRDefault="00A8050D">
            <w:pPr>
              <w:numPr>
                <w:ilvl w:val="0"/>
                <w:numId w:val="93"/>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managing quality of bathing water 2006/7/EC.</w:t>
            </w:r>
          </w:p>
          <w:p w14:paraId="690E3234" w14:textId="007F0E0F" w:rsidR="00A8050D" w:rsidRPr="007C4D65" w:rsidRDefault="00A8050D">
            <w:pPr>
              <w:numPr>
                <w:ilvl w:val="0"/>
                <w:numId w:val="93"/>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protection of groundwater against pollution and deterioration 2006/118/EC</w:t>
            </w:r>
          </w:p>
          <w:p w14:paraId="60A8EE6C" w14:textId="77777777" w:rsidR="00A8050D" w:rsidRPr="007C4D65" w:rsidRDefault="00A8050D">
            <w:pPr>
              <w:numPr>
                <w:ilvl w:val="0"/>
                <w:numId w:val="93"/>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environmental quality standards in the field of water policy, 2013/39/EC</w:t>
            </w:r>
          </w:p>
        </w:tc>
        <w:tc>
          <w:tcPr>
            <w:tcW w:w="1285" w:type="pct"/>
            <w:tcBorders>
              <w:top w:val="single" w:sz="4" w:space="0" w:color="A6A6A6"/>
              <w:left w:val="single" w:sz="4" w:space="0" w:color="A6A6A6"/>
              <w:bottom w:val="single" w:sz="4" w:space="0" w:color="A6A6A6"/>
              <w:right w:val="single" w:sz="4" w:space="0" w:color="A6A6A6"/>
            </w:tcBorders>
            <w:shd w:val="clear" w:color="auto" w:fill="auto"/>
            <w:vAlign w:val="center"/>
          </w:tcPr>
          <w:p w14:paraId="4BCF96E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APIDs have not been developed</w:t>
            </w:r>
          </w:p>
        </w:tc>
        <w:tc>
          <w:tcPr>
            <w:tcW w:w="1287" w:type="pct"/>
            <w:tcBorders>
              <w:top w:val="single" w:sz="4" w:space="0" w:color="A6A6A6"/>
              <w:left w:val="single" w:sz="4" w:space="0" w:color="A6A6A6"/>
              <w:bottom w:val="single" w:sz="4" w:space="0" w:color="A6A6A6"/>
              <w:right w:val="single" w:sz="4" w:space="0" w:color="A6A6A6"/>
            </w:tcBorders>
            <w:shd w:val="clear" w:color="auto" w:fill="auto"/>
            <w:vAlign w:val="center"/>
          </w:tcPr>
          <w:p w14:paraId="75DCE472" w14:textId="10551F6C"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Developed and adopted 5 APIDs (-2027), </w:t>
            </w:r>
            <w:r w:rsidRPr="007C4D65">
              <w:rPr>
                <w:rFonts w:asciiTheme="minorHAnsi" w:hAnsiTheme="minorHAnsi" w:cstheme="minorHAnsi"/>
                <w:i/>
                <w:iCs/>
                <w:sz w:val="18"/>
                <w:szCs w:val="18"/>
              </w:rPr>
              <w:t>except if it is found during the process of development of the Programme of EU integrations that the APIDs for some of 5 Directives will not be made</w:t>
            </w:r>
          </w:p>
        </w:tc>
      </w:tr>
      <w:tr w:rsidR="00A8050D" w:rsidRPr="007C4D65" w14:paraId="72C8FBD3" w14:textId="77777777" w:rsidTr="00B6017F">
        <w:trPr>
          <w:trHeight w:val="567"/>
          <w:jc w:val="center"/>
        </w:trPr>
        <w:tc>
          <w:tcPr>
            <w:tcW w:w="1381" w:type="pct"/>
            <w:vMerge/>
            <w:tcBorders>
              <w:left w:val="single" w:sz="4" w:space="0" w:color="A6A6A6"/>
              <w:bottom w:val="single" w:sz="4" w:space="0" w:color="A6A6A6"/>
              <w:right w:val="single" w:sz="4" w:space="0" w:color="A6A6A6"/>
            </w:tcBorders>
            <w:shd w:val="clear" w:color="auto" w:fill="009D73"/>
            <w:vAlign w:val="center"/>
          </w:tcPr>
          <w:p w14:paraId="25F62F8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1047" w:type="pct"/>
            <w:tcBorders>
              <w:top w:val="single" w:sz="4" w:space="0" w:color="A6A6A6"/>
              <w:left w:val="single" w:sz="4" w:space="0" w:color="A6A6A6"/>
              <w:bottom w:val="single" w:sz="4" w:space="0" w:color="A6A6A6"/>
              <w:right w:val="single" w:sz="4" w:space="0" w:color="A6A6A6"/>
            </w:tcBorders>
            <w:shd w:val="clear" w:color="auto" w:fill="auto"/>
            <w:vAlign w:val="center"/>
          </w:tcPr>
          <w:p w14:paraId="708A196B" w14:textId="34D6B783"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Level of implementation of 8 APIDs</w:t>
            </w:r>
          </w:p>
        </w:tc>
        <w:tc>
          <w:tcPr>
            <w:tcW w:w="1285" w:type="pct"/>
            <w:tcBorders>
              <w:top w:val="single" w:sz="4" w:space="0" w:color="A6A6A6"/>
              <w:left w:val="single" w:sz="4" w:space="0" w:color="A6A6A6"/>
              <w:bottom w:val="single" w:sz="4" w:space="0" w:color="A6A6A6"/>
              <w:right w:val="single" w:sz="4" w:space="0" w:color="A6A6A6"/>
            </w:tcBorders>
            <w:shd w:val="clear" w:color="auto" w:fill="auto"/>
            <w:vAlign w:val="center"/>
          </w:tcPr>
          <w:p w14:paraId="7CFE13BB" w14:textId="081BBD9D"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8 APIDs have not been prepared for implementation</w:t>
            </w:r>
          </w:p>
        </w:tc>
        <w:tc>
          <w:tcPr>
            <w:tcW w:w="1287" w:type="pct"/>
            <w:tcBorders>
              <w:top w:val="single" w:sz="4" w:space="0" w:color="A6A6A6"/>
              <w:left w:val="single" w:sz="4" w:space="0" w:color="A6A6A6"/>
              <w:bottom w:val="single" w:sz="4" w:space="0" w:color="A6A6A6"/>
              <w:right w:val="single" w:sz="4" w:space="0" w:color="A6A6A6"/>
            </w:tcBorders>
            <w:shd w:val="clear" w:color="auto" w:fill="auto"/>
            <w:vAlign w:val="center"/>
          </w:tcPr>
          <w:p w14:paraId="3A47E27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Implementation of 8 APIDs and reporting on the progress of their implementation in accordance with the defined Plan (2034)</w:t>
            </w:r>
          </w:p>
        </w:tc>
      </w:tr>
      <w:tr w:rsidR="00A8050D" w:rsidRPr="007C4D65" w14:paraId="796AD713" w14:textId="77777777" w:rsidTr="00B6017F">
        <w:trPr>
          <w:trHeight w:val="871"/>
          <w:jc w:val="center"/>
        </w:trPr>
        <w:tc>
          <w:tcPr>
            <w:tcW w:w="1381" w:type="pct"/>
            <w:tcBorders>
              <w:left w:val="single" w:sz="4" w:space="0" w:color="A6A6A6"/>
              <w:bottom w:val="single" w:sz="4" w:space="0" w:color="A6A6A6"/>
              <w:right w:val="single" w:sz="4" w:space="0" w:color="A6A6A6"/>
            </w:tcBorders>
            <w:shd w:val="clear" w:color="auto" w:fill="009D73"/>
            <w:vAlign w:val="center"/>
          </w:tcPr>
          <w:p w14:paraId="2371B7C1" w14:textId="77777777" w:rsidR="00A8050D" w:rsidRPr="007C4D65" w:rsidRDefault="00A8050D" w:rsidP="00B6017F">
            <w:pPr>
              <w:spacing w:before="40" w:after="40"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priority</w:t>
            </w:r>
          </w:p>
        </w:tc>
        <w:tc>
          <w:tcPr>
            <w:tcW w:w="3619"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5CA3226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Improvement of water management and progress in the process of European integrations by aligning the national legislation with the EU acquis.</w:t>
            </w:r>
          </w:p>
        </w:tc>
      </w:tr>
      <w:tr w:rsidR="00A8050D" w:rsidRPr="007C4D65" w14:paraId="29560EF6" w14:textId="77777777" w:rsidTr="00B6017F">
        <w:trPr>
          <w:trHeight w:val="567"/>
          <w:jc w:val="center"/>
        </w:trPr>
        <w:tc>
          <w:tcPr>
            <w:tcW w:w="138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2C9ED1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Indicative financial projection, with indication of sources</w:t>
            </w:r>
          </w:p>
        </w:tc>
        <w:tc>
          <w:tcPr>
            <w:tcW w:w="3619"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67984DB6" w14:textId="77777777"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Amount: BAM 4,271,360,350 </w:t>
            </w:r>
          </w:p>
          <w:p w14:paraId="58EA2338"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 xml:space="preserve">Source: 10% from the government budget, 90% </w:t>
            </w:r>
            <w:r w:rsidRPr="007C4D65">
              <w:rPr>
                <w:rFonts w:asciiTheme="minorHAnsi" w:eastAsia="Calibri" w:hAnsiTheme="minorHAnsi" w:cstheme="minorHAnsi"/>
                <w:sz w:val="18"/>
                <w:szCs w:val="18"/>
              </w:rPr>
              <w:t>combined ‒ loans, funds from EU and other international donors, and other donations</w:t>
            </w:r>
          </w:p>
        </w:tc>
      </w:tr>
      <w:tr w:rsidR="00A8050D" w:rsidRPr="007C4D65" w14:paraId="04B08346" w14:textId="77777777" w:rsidTr="00B6017F">
        <w:trPr>
          <w:trHeight w:val="567"/>
          <w:jc w:val="center"/>
        </w:trPr>
        <w:tc>
          <w:tcPr>
            <w:tcW w:w="138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588B14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619"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8050C2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2025-2034</w:t>
            </w:r>
          </w:p>
        </w:tc>
      </w:tr>
      <w:tr w:rsidR="00A8050D" w:rsidRPr="007C4D65" w14:paraId="6C125B90" w14:textId="77777777" w:rsidTr="00B6017F">
        <w:trPr>
          <w:trHeight w:val="567"/>
          <w:jc w:val="center"/>
        </w:trPr>
        <w:tc>
          <w:tcPr>
            <w:tcW w:w="138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2A8CA0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619" w:type="pct"/>
            <w:gridSpan w:val="3"/>
            <w:tcBorders>
              <w:top w:val="single" w:sz="4" w:space="0" w:color="A6A6A6"/>
              <w:left w:val="single" w:sz="4" w:space="0" w:color="A6A6A6"/>
              <w:bottom w:val="single" w:sz="4" w:space="0" w:color="A6A6A6"/>
              <w:right w:val="single" w:sz="4" w:space="0" w:color="A6A6A6"/>
            </w:tcBorders>
            <w:vAlign w:val="center"/>
          </w:tcPr>
          <w:p w14:paraId="370C407A" w14:textId="363A39D2" w:rsidR="00A8050D" w:rsidRPr="007C4D65" w:rsidRDefault="00A8050D" w:rsidP="00235519">
            <w:pPr>
              <w:spacing w:before="40" w:after="40" w:line="276" w:lineRule="auto"/>
              <w:rPr>
                <w:rFonts w:asciiTheme="minorHAnsi" w:hAnsiTheme="minorHAnsi" w:cstheme="minorHAnsi"/>
                <w:sz w:val="18"/>
                <w:szCs w:val="18"/>
              </w:rPr>
            </w:pPr>
            <w:proofErr w:type="spellStart"/>
            <w:r w:rsidRPr="007C4D65">
              <w:rPr>
                <w:rFonts w:asciiTheme="minorHAnsi" w:hAnsiTheme="minorHAnsi" w:cstheme="minorHAnsi"/>
                <w:sz w:val="18"/>
                <w:szCs w:val="18"/>
              </w:rPr>
              <w:t>MoFTER</w:t>
            </w:r>
            <w:proofErr w:type="spellEnd"/>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DEI</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FMAWMF</w:t>
            </w:r>
            <w:r w:rsidR="00235519" w:rsidRPr="007C4D65">
              <w:rPr>
                <w:rFonts w:asciiTheme="minorHAnsi" w:hAnsiTheme="minorHAnsi" w:cstheme="minorHAnsi"/>
                <w:sz w:val="18"/>
                <w:szCs w:val="18"/>
              </w:rPr>
              <w:t xml:space="preserve">, </w:t>
            </w:r>
            <w:proofErr w:type="gramStart"/>
            <w:r w:rsidRPr="007C4D65">
              <w:rPr>
                <w:rFonts w:asciiTheme="minorHAnsi" w:hAnsiTheme="minorHAnsi" w:cstheme="minorHAnsi"/>
                <w:sz w:val="18"/>
                <w:szCs w:val="18"/>
              </w:rPr>
              <w:t xml:space="preserve">SRBA </w:t>
            </w:r>
            <w:r w:rsidR="00235519" w:rsidRPr="007C4D65">
              <w:rPr>
                <w:rFonts w:asciiTheme="minorHAnsi" w:hAnsiTheme="minorHAnsi" w:cstheme="minorHAnsi"/>
                <w:sz w:val="18"/>
                <w:szCs w:val="18"/>
              </w:rPr>
              <w:t>,</w:t>
            </w:r>
            <w:r w:rsidRPr="007C4D65">
              <w:rPr>
                <w:rFonts w:asciiTheme="minorHAnsi" w:hAnsiTheme="minorHAnsi" w:cstheme="minorHAnsi"/>
                <w:sz w:val="18"/>
                <w:szCs w:val="18"/>
              </w:rPr>
              <w:t>ASWA</w:t>
            </w:r>
            <w:proofErr w:type="gramEnd"/>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FHMI</w:t>
            </w:r>
          </w:p>
        </w:tc>
      </w:tr>
      <w:tr w:rsidR="00A8050D" w:rsidRPr="007C4D65" w14:paraId="00CE5C4E" w14:textId="77777777" w:rsidTr="00B6017F">
        <w:trPr>
          <w:trHeight w:val="567"/>
          <w:jc w:val="center"/>
        </w:trPr>
        <w:tc>
          <w:tcPr>
            <w:tcW w:w="138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74F9BF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w:t>
            </w:r>
          </w:p>
        </w:tc>
        <w:tc>
          <w:tcPr>
            <w:tcW w:w="3619" w:type="pct"/>
            <w:gridSpan w:val="3"/>
            <w:tcBorders>
              <w:top w:val="single" w:sz="4" w:space="0" w:color="A6A6A6"/>
              <w:left w:val="single" w:sz="4" w:space="0" w:color="A6A6A6"/>
              <w:bottom w:val="single" w:sz="4" w:space="0" w:color="A6A6A6"/>
              <w:right w:val="single" w:sz="4" w:space="0" w:color="A6A6A6"/>
            </w:tcBorders>
            <w:vAlign w:val="center"/>
          </w:tcPr>
          <w:p w14:paraId="641E7DD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 SRBA, ACWA, FHMI, CMWs (cantonal ministries responsible for water); CME (cantonal ministries responsible for environment), LGUs</w:t>
            </w:r>
          </w:p>
        </w:tc>
      </w:tr>
      <w:tr w:rsidR="00A8050D" w:rsidRPr="007C4D65" w14:paraId="12CC9AE6" w14:textId="77777777" w:rsidTr="00B6017F">
        <w:trPr>
          <w:trHeight w:val="567"/>
          <w:jc w:val="center"/>
        </w:trPr>
        <w:tc>
          <w:tcPr>
            <w:tcW w:w="138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7B7BC7C" w14:textId="03C013F4"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619"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EC6919A" w14:textId="22493DE6"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Institutions competent for water management in the Federation of BiH and BiH institutions competent for approximation to the </w:t>
            </w:r>
            <w:r w:rsidR="001E4D90" w:rsidRPr="007C4D65">
              <w:rPr>
                <w:rFonts w:asciiTheme="minorHAnsi" w:hAnsiTheme="minorHAnsi" w:cstheme="minorHAnsi"/>
                <w:sz w:val="18"/>
                <w:szCs w:val="18"/>
              </w:rPr>
              <w:t>EU regulations</w:t>
            </w:r>
          </w:p>
        </w:tc>
      </w:tr>
    </w:tbl>
    <w:p w14:paraId="4E5F327F" w14:textId="77777777" w:rsidR="00A8050D" w:rsidRPr="007C4D65" w:rsidRDefault="00A8050D" w:rsidP="00A8050D">
      <w:pPr>
        <w:spacing w:line="276" w:lineRule="auto"/>
        <w:rPr>
          <w:rFonts w:asciiTheme="minorHAnsi" w:hAnsiTheme="minorHAnsi" w:cstheme="minorHAnsi"/>
          <w:sz w:val="18"/>
          <w:szCs w:val="18"/>
          <w:lang w:val="hr-HR"/>
        </w:rPr>
      </w:pPr>
    </w:p>
    <w:tbl>
      <w:tblPr>
        <w:tblStyle w:val="TABLICAHAOP7"/>
        <w:tblW w:w="4975" w:type="pct"/>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877"/>
        <w:gridCol w:w="3084"/>
        <w:gridCol w:w="3453"/>
        <w:gridCol w:w="3464"/>
      </w:tblGrid>
      <w:tr w:rsidR="00A8050D" w:rsidRPr="007C4D65" w14:paraId="6B383EC8" w14:textId="77777777" w:rsidTr="00B6017F">
        <w:trPr>
          <w:trHeight w:val="567"/>
        </w:trPr>
        <w:tc>
          <w:tcPr>
            <w:tcW w:w="1397" w:type="pct"/>
            <w:shd w:val="clear" w:color="auto" w:fill="009D73"/>
            <w:vAlign w:val="center"/>
          </w:tcPr>
          <w:p w14:paraId="35211887" w14:textId="5D8613D1"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603" w:type="pct"/>
            <w:gridSpan w:val="3"/>
            <w:vAlign w:val="center"/>
          </w:tcPr>
          <w:p w14:paraId="51B6C1DE"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51EA95B4" w14:textId="77777777" w:rsidTr="00B6017F">
        <w:trPr>
          <w:trHeight w:val="567"/>
        </w:trPr>
        <w:tc>
          <w:tcPr>
            <w:tcW w:w="1397" w:type="pct"/>
            <w:shd w:val="clear" w:color="auto" w:fill="009D73"/>
            <w:vAlign w:val="center"/>
          </w:tcPr>
          <w:p w14:paraId="67CD766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603" w:type="pct"/>
            <w:gridSpan w:val="3"/>
            <w:vAlign w:val="center"/>
          </w:tcPr>
          <w:p w14:paraId="5043BE5B" w14:textId="07247CC2"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1.6. Ensuring financial sustainability of </w:t>
            </w:r>
            <w:r w:rsidR="001E4D90" w:rsidRPr="007C4D65">
              <w:rPr>
                <w:rFonts w:asciiTheme="minorHAnsi" w:hAnsiTheme="minorHAnsi" w:cstheme="minorHAnsi"/>
                <w:b/>
                <w:sz w:val="18"/>
                <w:szCs w:val="18"/>
              </w:rPr>
              <w:t xml:space="preserve">the </w:t>
            </w:r>
            <w:r w:rsidRPr="007C4D65">
              <w:rPr>
                <w:rFonts w:asciiTheme="minorHAnsi" w:hAnsiTheme="minorHAnsi" w:cstheme="minorHAnsi"/>
                <w:b/>
                <w:sz w:val="18"/>
                <w:szCs w:val="18"/>
              </w:rPr>
              <w:t>water sector</w:t>
            </w:r>
          </w:p>
        </w:tc>
      </w:tr>
      <w:tr w:rsidR="00A8050D" w:rsidRPr="007C4D65" w14:paraId="0D6A1CFD" w14:textId="77777777" w:rsidTr="00B6017F">
        <w:trPr>
          <w:trHeight w:val="567"/>
        </w:trPr>
        <w:tc>
          <w:tcPr>
            <w:tcW w:w="1397" w:type="pct"/>
            <w:shd w:val="clear" w:color="auto" w:fill="009D73"/>
            <w:vAlign w:val="center"/>
          </w:tcPr>
          <w:p w14:paraId="2F7E02C4" w14:textId="0F4EE1D1"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603" w:type="pct"/>
            <w:gridSpan w:val="3"/>
            <w:vAlign w:val="center"/>
          </w:tcPr>
          <w:p w14:paraId="103CF405" w14:textId="6ED859B9"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1.6.1 Improve financing of water sector by re-defining tariff system and reliably estimating cost-effectiveness of investments (Feasibility Studies)</w:t>
            </w:r>
          </w:p>
        </w:tc>
      </w:tr>
      <w:tr w:rsidR="00A8050D" w:rsidRPr="007C4D65" w14:paraId="163C4A50" w14:textId="77777777" w:rsidTr="00B6017F">
        <w:trPr>
          <w:trHeight w:val="416"/>
        </w:trPr>
        <w:tc>
          <w:tcPr>
            <w:tcW w:w="1397" w:type="pct"/>
            <w:shd w:val="clear" w:color="auto" w:fill="009D73"/>
            <w:vAlign w:val="center"/>
          </w:tcPr>
          <w:p w14:paraId="3AE6E01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603" w:type="pct"/>
            <w:gridSpan w:val="3"/>
            <w:vAlign w:val="center"/>
          </w:tcPr>
          <w:p w14:paraId="462FA57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This measure aims to plan for ensuring observance of the principle of full coverage of operational and maintenance costs, as well as the investment costs in development of water supply system by adopting and implementing new bylaws/methodology, and by implementing the programme for improving water services sector.</w:t>
            </w:r>
          </w:p>
          <w:p w14:paraId="2CEB177A" w14:textId="2A97DEFF"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General areas of intervention:</w:t>
            </w:r>
          </w:p>
          <w:p w14:paraId="51F06FF9" w14:textId="1F52AEFC" w:rsidR="00A8050D" w:rsidRPr="007C4D65" w:rsidRDefault="00A8050D">
            <w:pPr>
              <w:numPr>
                <w:ilvl w:val="0"/>
                <w:numId w:val="94"/>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Implement the methodology for setting the lowest basic price of water services in LGUs and UC/</w:t>
            </w:r>
            <w:proofErr w:type="gramStart"/>
            <w:r w:rsidRPr="007C4D65">
              <w:rPr>
                <w:rFonts w:asciiTheme="minorHAnsi" w:hAnsiTheme="minorHAnsi" w:cstheme="minorHAnsi"/>
                <w:sz w:val="18"/>
                <w:szCs w:val="18"/>
              </w:rPr>
              <w:t>CPUCs</w:t>
            </w:r>
            <w:r w:rsidR="00235519" w:rsidRPr="007C4D65">
              <w:rPr>
                <w:rFonts w:asciiTheme="minorHAnsi" w:hAnsiTheme="minorHAnsi" w:cstheme="minorHAnsi"/>
                <w:sz w:val="18"/>
                <w:szCs w:val="18"/>
              </w:rPr>
              <w:t>;</w:t>
            </w:r>
            <w:proofErr w:type="gramEnd"/>
          </w:p>
          <w:p w14:paraId="10047655" w14:textId="420FC4ED" w:rsidR="00A8050D" w:rsidRPr="007C4D65" w:rsidRDefault="00A8050D">
            <w:pPr>
              <w:numPr>
                <w:ilvl w:val="0"/>
                <w:numId w:val="94"/>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Develop feasibility studies for new investments in utility infrastructure in LGUs</w:t>
            </w:r>
            <w:r w:rsidR="00235519" w:rsidRPr="007C4D65">
              <w:rPr>
                <w:rFonts w:asciiTheme="minorHAnsi" w:hAnsiTheme="minorHAnsi" w:cstheme="minorHAnsi"/>
                <w:sz w:val="18"/>
                <w:szCs w:val="18"/>
              </w:rPr>
              <w:t>.</w:t>
            </w:r>
          </w:p>
        </w:tc>
      </w:tr>
      <w:tr w:rsidR="00A8050D" w:rsidRPr="007C4D65" w14:paraId="0979F06F" w14:textId="77777777" w:rsidTr="00B6017F">
        <w:trPr>
          <w:trHeight w:val="567"/>
        </w:trPr>
        <w:tc>
          <w:tcPr>
            <w:tcW w:w="1397" w:type="pct"/>
            <w:shd w:val="clear" w:color="auto" w:fill="009D73"/>
            <w:vAlign w:val="center"/>
          </w:tcPr>
          <w:p w14:paraId="21FB91B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Key strategic projects</w:t>
            </w:r>
          </w:p>
        </w:tc>
        <w:tc>
          <w:tcPr>
            <w:tcW w:w="3603" w:type="pct"/>
            <w:gridSpan w:val="3"/>
            <w:vAlign w:val="center"/>
          </w:tcPr>
          <w:p w14:paraId="4B11EB3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07F308D5" w14:textId="77777777" w:rsidTr="00B6017F">
        <w:trPr>
          <w:trHeight w:val="567"/>
        </w:trPr>
        <w:tc>
          <w:tcPr>
            <w:tcW w:w="1397" w:type="pct"/>
            <w:vMerge w:val="restart"/>
            <w:shd w:val="clear" w:color="auto" w:fill="009D73"/>
            <w:vAlign w:val="center"/>
          </w:tcPr>
          <w:p w14:paraId="2609761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11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403364D"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1A4716CB" w14:textId="4168ECCB"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44"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4423606"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6B1F5A92"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4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CE27D70"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2E24D2DF" w14:textId="77777777" w:rsidTr="00B6017F">
        <w:trPr>
          <w:trHeight w:val="567"/>
        </w:trPr>
        <w:tc>
          <w:tcPr>
            <w:tcW w:w="1397" w:type="pct"/>
            <w:vMerge/>
            <w:shd w:val="clear" w:color="auto" w:fill="009D73"/>
            <w:vAlign w:val="center"/>
          </w:tcPr>
          <w:p w14:paraId="11A69060"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1111" w:type="pct"/>
            <w:shd w:val="clear" w:color="auto" w:fill="auto"/>
            <w:vAlign w:val="center"/>
          </w:tcPr>
          <w:p w14:paraId="3DFD60C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Number/percentage of LGUs / PUC and CPUC (cantonal public utility companies) that apply the methodology for setting the lowest </w:t>
            </w:r>
            <w:r w:rsidRPr="007C4D65">
              <w:rPr>
                <w:rFonts w:asciiTheme="minorHAnsi" w:hAnsiTheme="minorHAnsi" w:cstheme="minorHAnsi"/>
                <w:sz w:val="18"/>
                <w:szCs w:val="18"/>
              </w:rPr>
              <w:lastRenderedPageBreak/>
              <w:t>basic price of water services in the Federation of BiH / establishment of regulatory bodies for water tariffs</w:t>
            </w:r>
          </w:p>
        </w:tc>
        <w:tc>
          <w:tcPr>
            <w:tcW w:w="1244" w:type="pct"/>
            <w:shd w:val="clear" w:color="auto" w:fill="auto"/>
            <w:vAlign w:val="center"/>
          </w:tcPr>
          <w:p w14:paraId="3C77A5F0" w14:textId="77777777" w:rsidR="00A8050D" w:rsidRPr="007C4D65" w:rsidRDefault="00A8050D">
            <w:pPr>
              <w:numPr>
                <w:ilvl w:val="0"/>
                <w:numId w:val="208"/>
              </w:numPr>
              <w:spacing w:before="40" w:after="40"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lastRenderedPageBreak/>
              <w:t>Adopted Methodology for setting the lowest basic price of water services in the Federation of BiH (2022)</w:t>
            </w:r>
          </w:p>
          <w:p w14:paraId="5525BFA1" w14:textId="5FB23D66" w:rsidR="00A8050D" w:rsidRPr="007C4D65" w:rsidRDefault="00A8050D">
            <w:pPr>
              <w:numPr>
                <w:ilvl w:val="0"/>
                <w:numId w:val="208"/>
              </w:numPr>
              <w:spacing w:before="40" w:after="40" w:line="276" w:lineRule="auto"/>
              <w:ind w:left="357" w:hanging="357"/>
              <w:contextualSpacing/>
              <w:rPr>
                <w:rFonts w:asciiTheme="minorHAnsi" w:hAnsiTheme="minorHAnsi" w:cstheme="minorHAnsi"/>
                <w:sz w:val="18"/>
                <w:szCs w:val="18"/>
              </w:rPr>
            </w:pPr>
            <w:r w:rsidRPr="007C4D65">
              <w:rPr>
                <w:rFonts w:asciiTheme="minorHAnsi" w:hAnsiTheme="minorHAnsi" w:cstheme="minorHAnsi"/>
                <w:sz w:val="18"/>
                <w:szCs w:val="18"/>
              </w:rPr>
              <w:lastRenderedPageBreak/>
              <w:t>Regulatory bodies for water tariffs have not been established</w:t>
            </w:r>
          </w:p>
        </w:tc>
        <w:tc>
          <w:tcPr>
            <w:tcW w:w="1248" w:type="pct"/>
            <w:shd w:val="clear" w:color="auto" w:fill="auto"/>
            <w:vAlign w:val="center"/>
          </w:tcPr>
          <w:p w14:paraId="24355C5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Methodology applied in all LGUs / PUCs and CPUCs (2028)</w:t>
            </w:r>
          </w:p>
        </w:tc>
      </w:tr>
      <w:tr w:rsidR="00A8050D" w:rsidRPr="007C4D65" w14:paraId="3D79632F" w14:textId="77777777" w:rsidTr="00B6017F">
        <w:trPr>
          <w:trHeight w:val="567"/>
        </w:trPr>
        <w:tc>
          <w:tcPr>
            <w:tcW w:w="1397" w:type="pct"/>
            <w:vMerge/>
            <w:shd w:val="clear" w:color="auto" w:fill="009D73"/>
            <w:vAlign w:val="center"/>
          </w:tcPr>
          <w:p w14:paraId="55BA773F"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1111" w:type="pct"/>
            <w:shd w:val="clear" w:color="auto" w:fill="FFFFFF" w:themeFill="background1"/>
            <w:vAlign w:val="center"/>
          </w:tcPr>
          <w:p w14:paraId="6D7D9B9A" w14:textId="66E93F1A"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Number of completed feasibility studies for new investments in utility infrastructure in LGUs</w:t>
            </w:r>
          </w:p>
        </w:tc>
        <w:tc>
          <w:tcPr>
            <w:tcW w:w="1244" w:type="pct"/>
            <w:shd w:val="clear" w:color="auto" w:fill="FFFFFF" w:themeFill="background1"/>
            <w:vAlign w:val="center"/>
          </w:tcPr>
          <w:p w14:paraId="06C75C7C" w14:textId="6070EAB6"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No data available on the number of feasibility studies in LGUs</w:t>
            </w:r>
          </w:p>
        </w:tc>
        <w:tc>
          <w:tcPr>
            <w:tcW w:w="1248" w:type="pct"/>
            <w:shd w:val="clear" w:color="auto" w:fill="FFFFFF" w:themeFill="background1"/>
            <w:vAlign w:val="center"/>
          </w:tcPr>
          <w:p w14:paraId="2933A62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In all LGUs, developed feasibility studies for new investments in utility infrastructure (2023 -2029)</w:t>
            </w:r>
          </w:p>
        </w:tc>
      </w:tr>
      <w:tr w:rsidR="00A8050D" w:rsidRPr="007C4D65" w14:paraId="7C4B133F" w14:textId="77777777" w:rsidTr="00B6017F">
        <w:trPr>
          <w:trHeight w:val="567"/>
        </w:trPr>
        <w:tc>
          <w:tcPr>
            <w:tcW w:w="1397" w:type="pct"/>
            <w:shd w:val="clear" w:color="auto" w:fill="009D73"/>
            <w:vAlign w:val="center"/>
          </w:tcPr>
          <w:p w14:paraId="74DECD1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603" w:type="pct"/>
            <w:gridSpan w:val="3"/>
            <w:vAlign w:val="center"/>
          </w:tcPr>
          <w:p w14:paraId="226E4B4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Improvement of financial sustainability and competitiveness of utility companies, provision of better services to the citizens and businesses </w:t>
            </w:r>
          </w:p>
        </w:tc>
      </w:tr>
      <w:tr w:rsidR="00A8050D" w:rsidRPr="007C4D65" w14:paraId="0B56D773" w14:textId="77777777" w:rsidTr="00B6017F">
        <w:trPr>
          <w:trHeight w:val="567"/>
        </w:trPr>
        <w:tc>
          <w:tcPr>
            <w:tcW w:w="1397" w:type="pct"/>
            <w:shd w:val="clear" w:color="auto" w:fill="009D73"/>
            <w:vAlign w:val="center"/>
          </w:tcPr>
          <w:p w14:paraId="672E4F0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specification of sources</w:t>
            </w:r>
          </w:p>
        </w:tc>
        <w:tc>
          <w:tcPr>
            <w:tcW w:w="3603" w:type="pct"/>
            <w:gridSpan w:val="3"/>
            <w:vAlign w:val="center"/>
          </w:tcPr>
          <w:p w14:paraId="769A6BD3" w14:textId="1D26B35F"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Amount: BAM 287,791</w:t>
            </w:r>
          </w:p>
          <w:p w14:paraId="1D2764E8"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Source: 100% government budget</w:t>
            </w:r>
          </w:p>
        </w:tc>
      </w:tr>
      <w:tr w:rsidR="00A8050D" w:rsidRPr="007C4D65" w14:paraId="6975A605" w14:textId="77777777" w:rsidTr="00B6017F">
        <w:trPr>
          <w:trHeight w:val="567"/>
        </w:trPr>
        <w:tc>
          <w:tcPr>
            <w:tcW w:w="1397" w:type="pct"/>
            <w:shd w:val="clear" w:color="auto" w:fill="009D73"/>
            <w:vAlign w:val="center"/>
          </w:tcPr>
          <w:p w14:paraId="1D940EF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603" w:type="pct"/>
            <w:gridSpan w:val="3"/>
            <w:shd w:val="clear" w:color="auto" w:fill="FFFFFF" w:themeFill="background1"/>
            <w:vAlign w:val="center"/>
          </w:tcPr>
          <w:p w14:paraId="540F492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2023-2029</w:t>
            </w:r>
          </w:p>
        </w:tc>
      </w:tr>
      <w:tr w:rsidR="00A8050D" w:rsidRPr="007C4D65" w14:paraId="789D81C3" w14:textId="77777777" w:rsidTr="00B6017F">
        <w:trPr>
          <w:trHeight w:val="274"/>
        </w:trPr>
        <w:tc>
          <w:tcPr>
            <w:tcW w:w="1397" w:type="pct"/>
            <w:shd w:val="clear" w:color="auto" w:fill="009D73"/>
            <w:vAlign w:val="center"/>
          </w:tcPr>
          <w:p w14:paraId="616EF3A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603" w:type="pct"/>
            <w:gridSpan w:val="3"/>
            <w:vAlign w:val="center"/>
          </w:tcPr>
          <w:p w14:paraId="417D2266" w14:textId="746F0EAE" w:rsidR="00A8050D" w:rsidRPr="007C4D65" w:rsidRDefault="00A8050D" w:rsidP="00235519">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Cantonal Public Utility Companies (CPUCs)</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LGUs</w:t>
            </w:r>
          </w:p>
        </w:tc>
      </w:tr>
      <w:tr w:rsidR="00A8050D" w:rsidRPr="007C4D65" w14:paraId="1A6481AF" w14:textId="77777777" w:rsidTr="00B6017F">
        <w:trPr>
          <w:trHeight w:val="567"/>
        </w:trPr>
        <w:tc>
          <w:tcPr>
            <w:tcW w:w="1397" w:type="pct"/>
            <w:shd w:val="clear" w:color="auto" w:fill="009D73"/>
            <w:vAlign w:val="center"/>
          </w:tcPr>
          <w:p w14:paraId="4D88067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institutions for the measure</w:t>
            </w:r>
          </w:p>
        </w:tc>
        <w:tc>
          <w:tcPr>
            <w:tcW w:w="3603" w:type="pct"/>
            <w:gridSpan w:val="3"/>
            <w:vAlign w:val="center"/>
          </w:tcPr>
          <w:p w14:paraId="766C90A4" w14:textId="77777777" w:rsidR="00A8050D" w:rsidRPr="007C4D65" w:rsidRDefault="00A8050D" w:rsidP="00B6017F">
            <w:pPr>
              <w:spacing w:before="40" w:after="40" w:line="276" w:lineRule="auto"/>
              <w:rPr>
                <w:rFonts w:asciiTheme="minorHAnsi" w:hAnsiTheme="minorHAnsi" w:cstheme="minorHAnsi"/>
                <w:sz w:val="18"/>
                <w:szCs w:val="18"/>
              </w:rPr>
            </w:pPr>
            <w:proofErr w:type="spellStart"/>
            <w:r w:rsidRPr="007C4D65">
              <w:rPr>
                <w:rFonts w:asciiTheme="minorHAnsi" w:hAnsiTheme="minorHAnsi" w:cstheme="minorHAnsi"/>
                <w:sz w:val="18"/>
                <w:szCs w:val="18"/>
              </w:rPr>
              <w:t>GFBiH</w:t>
            </w:r>
            <w:proofErr w:type="spellEnd"/>
            <w:r w:rsidRPr="007C4D65">
              <w:rPr>
                <w:rFonts w:asciiTheme="minorHAnsi" w:hAnsiTheme="minorHAnsi" w:cstheme="minorHAnsi"/>
                <w:sz w:val="18"/>
                <w:szCs w:val="18"/>
              </w:rPr>
              <w:t xml:space="preserve"> and </w:t>
            </w:r>
            <w:proofErr w:type="spellStart"/>
            <w:r w:rsidRPr="007C4D65">
              <w:rPr>
                <w:rFonts w:asciiTheme="minorHAnsi" w:hAnsiTheme="minorHAnsi" w:cstheme="minorHAnsi"/>
                <w:sz w:val="18"/>
                <w:szCs w:val="18"/>
              </w:rPr>
              <w:t>PFBiH</w:t>
            </w:r>
            <w:proofErr w:type="spellEnd"/>
            <w:r w:rsidRPr="007C4D65">
              <w:rPr>
                <w:rFonts w:asciiTheme="minorHAnsi" w:hAnsiTheme="minorHAnsi" w:cstheme="minorHAnsi"/>
                <w:sz w:val="18"/>
                <w:szCs w:val="18"/>
              </w:rPr>
              <w:t xml:space="preserve"> (Government of the Federation of BiH and Parliament of FBiH), SRBA </w:t>
            </w:r>
          </w:p>
          <w:p w14:paraId="3DF5D12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ACWA, CMWs (cantonal ministries responsible for water);  </w:t>
            </w:r>
          </w:p>
        </w:tc>
      </w:tr>
      <w:tr w:rsidR="00A8050D" w:rsidRPr="007C4D65" w14:paraId="55DFE281" w14:textId="77777777" w:rsidTr="00B6017F">
        <w:trPr>
          <w:trHeight w:val="567"/>
        </w:trPr>
        <w:tc>
          <w:tcPr>
            <w:tcW w:w="1397" w:type="pct"/>
            <w:shd w:val="clear" w:color="auto" w:fill="009D73"/>
            <w:vAlign w:val="center"/>
          </w:tcPr>
          <w:p w14:paraId="1CCFCDE0" w14:textId="37F93A2D"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603" w:type="pct"/>
            <w:gridSpan w:val="3"/>
            <w:shd w:val="clear" w:color="auto" w:fill="FFFFFF" w:themeFill="background1"/>
            <w:vAlign w:val="center"/>
          </w:tcPr>
          <w:p w14:paraId="6B19BFC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Institutions competent for water management at all levels in the Federation of BiH</w:t>
            </w:r>
          </w:p>
        </w:tc>
      </w:tr>
    </w:tbl>
    <w:p w14:paraId="09015033" w14:textId="77777777" w:rsidR="00A8050D" w:rsidRPr="007C4D65" w:rsidRDefault="00A8050D" w:rsidP="00A8050D">
      <w:pPr>
        <w:spacing w:line="276" w:lineRule="auto"/>
        <w:rPr>
          <w:rFonts w:asciiTheme="minorHAnsi" w:hAnsiTheme="minorHAnsi" w:cstheme="minorHAnsi"/>
          <w:sz w:val="18"/>
          <w:szCs w:val="18"/>
          <w:lang w:val="hr-HR"/>
        </w:rPr>
      </w:pPr>
    </w:p>
    <w:tbl>
      <w:tblPr>
        <w:tblStyle w:val="TABLICAHAOP7"/>
        <w:tblW w:w="5000" w:type="pct"/>
        <w:tblInd w:w="-5" w:type="dxa"/>
        <w:tblLook w:val="04A0" w:firstRow="1" w:lastRow="0" w:firstColumn="1" w:lastColumn="0" w:noHBand="0" w:noVBand="1"/>
      </w:tblPr>
      <w:tblGrid>
        <w:gridCol w:w="3966"/>
        <w:gridCol w:w="2896"/>
        <w:gridCol w:w="3540"/>
        <w:gridCol w:w="3546"/>
      </w:tblGrid>
      <w:tr w:rsidR="00A8050D" w:rsidRPr="007C4D65" w14:paraId="2A2B9B65" w14:textId="77777777" w:rsidTr="00B6017F">
        <w:trPr>
          <w:trHeight w:val="567"/>
        </w:trPr>
        <w:tc>
          <w:tcPr>
            <w:tcW w:w="14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26E6622" w14:textId="235BF2EA"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78" w:type="pct"/>
            <w:gridSpan w:val="3"/>
            <w:tcBorders>
              <w:top w:val="single" w:sz="4" w:space="0" w:color="A6A6A6"/>
              <w:left w:val="single" w:sz="4" w:space="0" w:color="A6A6A6"/>
              <w:bottom w:val="single" w:sz="4" w:space="0" w:color="A6A6A6"/>
              <w:right w:val="single" w:sz="4" w:space="0" w:color="A6A6A6"/>
            </w:tcBorders>
            <w:vAlign w:val="center"/>
          </w:tcPr>
          <w:p w14:paraId="3050E345"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61A47145" w14:textId="77777777" w:rsidTr="00B6017F">
        <w:trPr>
          <w:trHeight w:val="567"/>
        </w:trPr>
        <w:tc>
          <w:tcPr>
            <w:tcW w:w="14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5F5368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78" w:type="pct"/>
            <w:gridSpan w:val="3"/>
            <w:tcBorders>
              <w:top w:val="single" w:sz="4" w:space="0" w:color="A6A6A6"/>
              <w:left w:val="single" w:sz="4" w:space="0" w:color="A6A6A6"/>
              <w:bottom w:val="single" w:sz="4" w:space="0" w:color="A6A6A6"/>
              <w:right w:val="single" w:sz="4" w:space="0" w:color="A6A6A6"/>
            </w:tcBorders>
            <w:vAlign w:val="center"/>
          </w:tcPr>
          <w:p w14:paraId="0B3A964B" w14:textId="04F7FBDC"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1.6.</w:t>
            </w:r>
            <w:r w:rsidRPr="007C4D65">
              <w:rPr>
                <w:rFonts w:asciiTheme="minorHAnsi" w:hAnsiTheme="minorHAnsi" w:cstheme="minorHAnsi"/>
                <w:sz w:val="18"/>
                <w:szCs w:val="18"/>
              </w:rPr>
              <w:t xml:space="preserve"> </w:t>
            </w:r>
            <w:r w:rsidRPr="007C4D65">
              <w:rPr>
                <w:rFonts w:asciiTheme="minorHAnsi" w:hAnsiTheme="minorHAnsi" w:cstheme="minorHAnsi"/>
                <w:b/>
                <w:sz w:val="18"/>
                <w:szCs w:val="18"/>
              </w:rPr>
              <w:t xml:space="preserve">Ensuring financial sustainability of </w:t>
            </w:r>
            <w:r w:rsidR="001E4D90" w:rsidRPr="007C4D65">
              <w:rPr>
                <w:rFonts w:asciiTheme="minorHAnsi" w:hAnsiTheme="minorHAnsi" w:cstheme="minorHAnsi"/>
                <w:b/>
                <w:sz w:val="18"/>
                <w:szCs w:val="18"/>
              </w:rPr>
              <w:t xml:space="preserve">the </w:t>
            </w:r>
            <w:r w:rsidRPr="007C4D65">
              <w:rPr>
                <w:rFonts w:asciiTheme="minorHAnsi" w:hAnsiTheme="minorHAnsi" w:cstheme="minorHAnsi"/>
                <w:b/>
                <w:sz w:val="18"/>
                <w:szCs w:val="18"/>
              </w:rPr>
              <w:t>water sector</w:t>
            </w:r>
          </w:p>
        </w:tc>
      </w:tr>
      <w:tr w:rsidR="00A8050D" w:rsidRPr="007C4D65" w14:paraId="1381942F" w14:textId="77777777" w:rsidTr="00B6017F">
        <w:trPr>
          <w:trHeight w:val="567"/>
        </w:trPr>
        <w:tc>
          <w:tcPr>
            <w:tcW w:w="14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C9A3C7A" w14:textId="25AC9B05"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578" w:type="pct"/>
            <w:gridSpan w:val="3"/>
            <w:tcBorders>
              <w:top w:val="single" w:sz="4" w:space="0" w:color="A6A6A6"/>
              <w:left w:val="single" w:sz="4" w:space="0" w:color="A6A6A6"/>
              <w:bottom w:val="single" w:sz="4" w:space="0" w:color="A6A6A6"/>
              <w:right w:val="single" w:sz="4" w:space="0" w:color="A6A6A6"/>
            </w:tcBorders>
            <w:vAlign w:val="center"/>
          </w:tcPr>
          <w:p w14:paraId="440F2169"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1.6.2. Improve the system of calculation, collection and allocation of special water fees</w:t>
            </w:r>
          </w:p>
        </w:tc>
      </w:tr>
      <w:tr w:rsidR="00A8050D" w:rsidRPr="007C4D65" w14:paraId="72633452" w14:textId="77777777" w:rsidTr="00B6017F">
        <w:trPr>
          <w:trHeight w:val="567"/>
        </w:trPr>
        <w:tc>
          <w:tcPr>
            <w:tcW w:w="14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D1E9D2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578" w:type="pct"/>
            <w:gridSpan w:val="3"/>
            <w:tcBorders>
              <w:top w:val="single" w:sz="4" w:space="0" w:color="A6A6A6"/>
              <w:left w:val="single" w:sz="4" w:space="0" w:color="A6A6A6"/>
              <w:bottom w:val="single" w:sz="4" w:space="0" w:color="A6A6A6"/>
              <w:right w:val="single" w:sz="4" w:space="0" w:color="A6A6A6"/>
            </w:tcBorders>
            <w:vAlign w:val="center"/>
          </w:tcPr>
          <w:p w14:paraId="4A7F9EF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This measure aims to analyse justification of re-defining the system of special water fees and come up with proposals to improve the level of collection of special water fees.</w:t>
            </w:r>
          </w:p>
          <w:p w14:paraId="1D02FDD8" w14:textId="206C1076"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General areas of intervention:</w:t>
            </w:r>
          </w:p>
          <w:p w14:paraId="16D10836" w14:textId="6CC05389" w:rsidR="00A8050D" w:rsidRPr="007C4D65" w:rsidRDefault="00A8050D">
            <w:pPr>
              <w:numPr>
                <w:ilvl w:val="0"/>
                <w:numId w:val="95"/>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Make an analysis of the current economic status of all segments of water management, for the purpose of determining the need to change the amount of water fees and/or their </w:t>
            </w:r>
            <w:proofErr w:type="gramStart"/>
            <w:r w:rsidRPr="007C4D65">
              <w:rPr>
                <w:rFonts w:asciiTheme="minorHAnsi" w:hAnsiTheme="minorHAnsi" w:cstheme="minorHAnsi"/>
                <w:sz w:val="18"/>
                <w:szCs w:val="18"/>
              </w:rPr>
              <w:t>allocation</w:t>
            </w:r>
            <w:r w:rsidR="00235519" w:rsidRPr="007C4D65">
              <w:rPr>
                <w:rFonts w:asciiTheme="minorHAnsi" w:eastAsia="Calibri" w:hAnsiTheme="minorHAnsi" w:cstheme="minorHAnsi"/>
                <w:sz w:val="18"/>
                <w:szCs w:val="18"/>
              </w:rPr>
              <w:t>;</w:t>
            </w:r>
            <w:proofErr w:type="gramEnd"/>
          </w:p>
          <w:p w14:paraId="6C34B0B1" w14:textId="70DCA103" w:rsidR="00A8050D" w:rsidRPr="007C4D65" w:rsidRDefault="00A8050D">
            <w:pPr>
              <w:numPr>
                <w:ilvl w:val="0"/>
                <w:numId w:val="95"/>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Amend legislation in the segment of water fees in accordance with the results of the </w:t>
            </w:r>
            <w:proofErr w:type="gramStart"/>
            <w:r w:rsidRPr="007C4D65">
              <w:rPr>
                <w:rFonts w:asciiTheme="minorHAnsi" w:hAnsiTheme="minorHAnsi" w:cstheme="minorHAnsi"/>
                <w:sz w:val="18"/>
                <w:szCs w:val="18"/>
              </w:rPr>
              <w:t>analysis</w:t>
            </w:r>
            <w:r w:rsidR="00235519" w:rsidRPr="007C4D65">
              <w:rPr>
                <w:rFonts w:asciiTheme="minorHAnsi" w:eastAsia="Calibri" w:hAnsiTheme="minorHAnsi" w:cstheme="minorHAnsi"/>
                <w:sz w:val="18"/>
                <w:szCs w:val="18"/>
              </w:rPr>
              <w:t>;</w:t>
            </w:r>
            <w:proofErr w:type="gramEnd"/>
          </w:p>
          <w:p w14:paraId="3C6B7588" w14:textId="740A605B" w:rsidR="00A8050D" w:rsidRPr="007C4D65" w:rsidRDefault="00A8050D">
            <w:pPr>
              <w:numPr>
                <w:ilvl w:val="0"/>
                <w:numId w:val="95"/>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lastRenderedPageBreak/>
              <w:t xml:space="preserve">Harmonise the legislation in financial sector - tax administration with respect to collection of public revenues from special water fees - with the water sector legislation that regulates collection of special water </w:t>
            </w:r>
            <w:proofErr w:type="gramStart"/>
            <w:r w:rsidRPr="007C4D65">
              <w:rPr>
                <w:rFonts w:asciiTheme="minorHAnsi" w:hAnsiTheme="minorHAnsi" w:cstheme="minorHAnsi"/>
                <w:sz w:val="18"/>
                <w:szCs w:val="18"/>
              </w:rPr>
              <w:t>fees</w:t>
            </w:r>
            <w:r w:rsidR="00235519" w:rsidRPr="007C4D65">
              <w:rPr>
                <w:rFonts w:asciiTheme="minorHAnsi" w:hAnsiTheme="minorHAnsi" w:cstheme="minorHAnsi"/>
                <w:sz w:val="18"/>
                <w:szCs w:val="18"/>
              </w:rPr>
              <w:t>;</w:t>
            </w:r>
            <w:proofErr w:type="gramEnd"/>
          </w:p>
          <w:p w14:paraId="0188A65F" w14:textId="6A1FA75A" w:rsidR="00A8050D" w:rsidRPr="007C4D65" w:rsidRDefault="00A8050D">
            <w:pPr>
              <w:numPr>
                <w:ilvl w:val="0"/>
                <w:numId w:val="95"/>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 xml:space="preserve">Adjust the provisions of the VAT Law to recognize the character of revenues from special water fees for the purpose of exempting public utility companies from paying VAT for collected amounts of special water fees, </w:t>
            </w:r>
            <w:proofErr w:type="gramStart"/>
            <w:r w:rsidRPr="007C4D65">
              <w:rPr>
                <w:rFonts w:asciiTheme="minorHAnsi" w:hAnsiTheme="minorHAnsi" w:cstheme="minorHAnsi"/>
                <w:sz w:val="18"/>
                <w:szCs w:val="18"/>
              </w:rPr>
              <w:t>on the basis of</w:t>
            </w:r>
            <w:proofErr w:type="gramEnd"/>
            <w:r w:rsidRPr="007C4D65">
              <w:rPr>
                <w:rFonts w:asciiTheme="minorHAnsi" w:hAnsiTheme="minorHAnsi" w:cstheme="minorHAnsi"/>
                <w:sz w:val="18"/>
                <w:szCs w:val="18"/>
              </w:rPr>
              <w:t xml:space="preserve"> amendments to the VAT Law.</w:t>
            </w:r>
          </w:p>
        </w:tc>
      </w:tr>
      <w:tr w:rsidR="00A8050D" w:rsidRPr="007C4D65" w14:paraId="665B3B56" w14:textId="77777777" w:rsidTr="00B6017F">
        <w:trPr>
          <w:trHeight w:val="567"/>
        </w:trPr>
        <w:tc>
          <w:tcPr>
            <w:tcW w:w="14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2DB154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Key strategic projects</w:t>
            </w:r>
          </w:p>
        </w:tc>
        <w:tc>
          <w:tcPr>
            <w:tcW w:w="3578" w:type="pct"/>
            <w:gridSpan w:val="3"/>
            <w:tcBorders>
              <w:top w:val="single" w:sz="4" w:space="0" w:color="A6A6A6"/>
              <w:left w:val="single" w:sz="4" w:space="0" w:color="A6A6A6"/>
              <w:bottom w:val="single" w:sz="4" w:space="0" w:color="A6A6A6"/>
              <w:right w:val="single" w:sz="4" w:space="0" w:color="A6A6A6"/>
            </w:tcBorders>
            <w:vAlign w:val="center"/>
          </w:tcPr>
          <w:p w14:paraId="09CBB13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23C6277B" w14:textId="77777777" w:rsidTr="00B6017F">
        <w:trPr>
          <w:trHeight w:val="567"/>
        </w:trPr>
        <w:tc>
          <w:tcPr>
            <w:tcW w:w="1422" w:type="pct"/>
            <w:vMerge w:val="restart"/>
            <w:tcBorders>
              <w:top w:val="single" w:sz="4" w:space="0" w:color="A6A6A6"/>
              <w:left w:val="single" w:sz="4" w:space="0" w:color="A6A6A6"/>
              <w:right w:val="single" w:sz="4" w:space="0" w:color="A6A6A6"/>
            </w:tcBorders>
            <w:shd w:val="clear" w:color="auto" w:fill="009D73"/>
            <w:vAlign w:val="center"/>
          </w:tcPr>
          <w:p w14:paraId="55004BB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3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764FCBB"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48403839" w14:textId="4CFE5A6C"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2B9B593"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0977C490"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7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2BC7AF7"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62DCFD45" w14:textId="77777777" w:rsidTr="00B6017F">
        <w:trPr>
          <w:trHeight w:val="567"/>
        </w:trPr>
        <w:tc>
          <w:tcPr>
            <w:tcW w:w="1422" w:type="pct"/>
            <w:vMerge/>
            <w:tcBorders>
              <w:left w:val="single" w:sz="4" w:space="0" w:color="A6A6A6"/>
              <w:right w:val="single" w:sz="4" w:space="0" w:color="A6A6A6"/>
            </w:tcBorders>
            <w:shd w:val="clear" w:color="auto" w:fill="009D73"/>
            <w:vAlign w:val="center"/>
          </w:tcPr>
          <w:p w14:paraId="03E553AF"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1038" w:type="pct"/>
            <w:tcBorders>
              <w:top w:val="single" w:sz="4" w:space="0" w:color="A6A6A6"/>
              <w:left w:val="single" w:sz="4" w:space="0" w:color="A6A6A6"/>
              <w:bottom w:val="single" w:sz="4" w:space="0" w:color="A6A6A6"/>
              <w:right w:val="single" w:sz="4" w:space="0" w:color="A6A6A6"/>
            </w:tcBorders>
            <w:shd w:val="clear" w:color="auto" w:fill="auto"/>
            <w:vAlign w:val="center"/>
          </w:tcPr>
          <w:p w14:paraId="0FC8045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Level of completion of the analysis of current economic status of all segments of water management</w:t>
            </w:r>
          </w:p>
        </w:tc>
        <w:tc>
          <w:tcPr>
            <w:tcW w:w="1269" w:type="pct"/>
            <w:tcBorders>
              <w:top w:val="single" w:sz="4" w:space="0" w:color="A6A6A6"/>
              <w:left w:val="single" w:sz="4" w:space="0" w:color="A6A6A6"/>
              <w:bottom w:val="single" w:sz="4" w:space="0" w:color="A6A6A6"/>
              <w:right w:val="single" w:sz="4" w:space="0" w:color="A6A6A6"/>
            </w:tcBorders>
            <w:shd w:val="clear" w:color="auto" w:fill="auto"/>
            <w:vAlign w:val="center"/>
          </w:tcPr>
          <w:p w14:paraId="075A638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Analysis has not started </w:t>
            </w:r>
          </w:p>
        </w:tc>
        <w:tc>
          <w:tcPr>
            <w:tcW w:w="1271" w:type="pct"/>
            <w:tcBorders>
              <w:top w:val="single" w:sz="4" w:space="0" w:color="A6A6A6"/>
              <w:left w:val="single" w:sz="4" w:space="0" w:color="A6A6A6"/>
              <w:bottom w:val="single" w:sz="4" w:space="0" w:color="A6A6A6"/>
              <w:right w:val="single" w:sz="4" w:space="0" w:color="A6A6A6"/>
            </w:tcBorders>
            <w:shd w:val="clear" w:color="auto" w:fill="auto"/>
            <w:vAlign w:val="center"/>
          </w:tcPr>
          <w:p w14:paraId="31AA070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Completed analysis the outcomes of which would be used to assess justification of re-defining the system of fee collection (2024)</w:t>
            </w:r>
          </w:p>
        </w:tc>
      </w:tr>
      <w:tr w:rsidR="00A8050D" w:rsidRPr="007C4D65" w14:paraId="3B1DB6ED" w14:textId="77777777" w:rsidTr="00B6017F">
        <w:trPr>
          <w:trHeight w:val="567"/>
        </w:trPr>
        <w:tc>
          <w:tcPr>
            <w:tcW w:w="1422" w:type="pct"/>
            <w:vMerge/>
            <w:tcBorders>
              <w:left w:val="single" w:sz="4" w:space="0" w:color="A6A6A6"/>
              <w:right w:val="single" w:sz="4" w:space="0" w:color="A6A6A6"/>
            </w:tcBorders>
            <w:shd w:val="clear" w:color="auto" w:fill="009D73"/>
            <w:vAlign w:val="center"/>
          </w:tcPr>
          <w:p w14:paraId="52ED3CD2"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2432EA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Level of completion of the process of developing and adopting legislation on water fees</w:t>
            </w:r>
          </w:p>
        </w:tc>
        <w:tc>
          <w:tcPr>
            <w:tcW w:w="1269"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662ED1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Analysis has not been made, and legislation has not been amended </w:t>
            </w:r>
          </w:p>
        </w:tc>
        <w:tc>
          <w:tcPr>
            <w:tcW w:w="1271"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C2DFBB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Adopted legislation in the segment of water fees in accordance with the results of the analysis (2024)</w:t>
            </w:r>
          </w:p>
        </w:tc>
      </w:tr>
      <w:tr w:rsidR="00A8050D" w:rsidRPr="007C4D65" w14:paraId="513B3352" w14:textId="77777777" w:rsidTr="00B6017F">
        <w:trPr>
          <w:trHeight w:val="274"/>
        </w:trPr>
        <w:tc>
          <w:tcPr>
            <w:tcW w:w="1422" w:type="pct"/>
            <w:vMerge/>
            <w:tcBorders>
              <w:left w:val="single" w:sz="4" w:space="0" w:color="A6A6A6"/>
              <w:right w:val="single" w:sz="4" w:space="0" w:color="A6A6A6"/>
            </w:tcBorders>
            <w:shd w:val="clear" w:color="auto" w:fill="009D73"/>
            <w:vAlign w:val="center"/>
          </w:tcPr>
          <w:p w14:paraId="7DFF8539"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EA6E7D3" w14:textId="791C5A88"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Harmonisation between solutions offered in legislation regulating operation of the TA (Tax Administration) and functioning of the water sector with respect of collection of special water fees taking into consideration that they are public revenues</w:t>
            </w:r>
          </w:p>
        </w:tc>
        <w:tc>
          <w:tcPr>
            <w:tcW w:w="1269"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41856E7" w14:textId="67BB4A4E"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Regulations on tax administration regarding collection of public revenues from special water fees are not aligned with the water sector legislation that defines collection of revenues from special water fees </w:t>
            </w:r>
          </w:p>
        </w:tc>
        <w:tc>
          <w:tcPr>
            <w:tcW w:w="1271"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4CAC02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Harmonised legislation between tax administration and water sector for the purpose of increasing the amounts collected for water fees (public </w:t>
            </w:r>
            <w:proofErr w:type="gramStart"/>
            <w:r w:rsidRPr="007C4D65">
              <w:rPr>
                <w:rFonts w:asciiTheme="minorHAnsi" w:hAnsiTheme="minorHAnsi" w:cstheme="minorHAnsi"/>
                <w:sz w:val="18"/>
                <w:szCs w:val="18"/>
              </w:rPr>
              <w:t>revenues)(</w:t>
            </w:r>
            <w:proofErr w:type="gramEnd"/>
            <w:r w:rsidRPr="007C4D65">
              <w:rPr>
                <w:rFonts w:asciiTheme="minorHAnsi" w:hAnsiTheme="minorHAnsi" w:cstheme="minorHAnsi"/>
                <w:sz w:val="18"/>
                <w:szCs w:val="18"/>
              </w:rPr>
              <w:t>2024)</w:t>
            </w:r>
          </w:p>
        </w:tc>
      </w:tr>
      <w:tr w:rsidR="00A8050D" w:rsidRPr="007C4D65" w14:paraId="2227437A" w14:textId="77777777" w:rsidTr="00B6017F">
        <w:trPr>
          <w:trHeight w:val="567"/>
        </w:trPr>
        <w:tc>
          <w:tcPr>
            <w:tcW w:w="1422" w:type="pct"/>
            <w:vMerge/>
            <w:tcBorders>
              <w:left w:val="single" w:sz="4" w:space="0" w:color="A6A6A6"/>
              <w:bottom w:val="single" w:sz="4" w:space="0" w:color="A6A6A6"/>
              <w:right w:val="single" w:sz="4" w:space="0" w:color="A6A6A6"/>
            </w:tcBorders>
            <w:shd w:val="clear" w:color="auto" w:fill="009D73"/>
            <w:vAlign w:val="center"/>
          </w:tcPr>
          <w:p w14:paraId="672CBABC"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A04B85B" w14:textId="26BD540A"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Status of harmonisation of the provisions of the VAT Law to recognize the character of revenues from special water fees for the purpose of exempting public utility companies from paying VAT for collected amounts of special water fees</w:t>
            </w:r>
          </w:p>
        </w:tc>
        <w:tc>
          <w:tcPr>
            <w:tcW w:w="1269"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22150C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Amendments to the law have not been made or adopted </w:t>
            </w:r>
          </w:p>
        </w:tc>
        <w:tc>
          <w:tcPr>
            <w:tcW w:w="1271"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324B45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Provisions of the VAT Law adjusted to recognize the character of revenues from special water fees, so the public utility </w:t>
            </w:r>
            <w:proofErr w:type="gramStart"/>
            <w:r w:rsidRPr="007C4D65">
              <w:rPr>
                <w:rFonts w:asciiTheme="minorHAnsi" w:hAnsiTheme="minorHAnsi" w:cstheme="minorHAnsi"/>
                <w:sz w:val="18"/>
                <w:szCs w:val="18"/>
              </w:rPr>
              <w:t>companies  are</w:t>
            </w:r>
            <w:proofErr w:type="gramEnd"/>
            <w:r w:rsidRPr="007C4D65">
              <w:rPr>
                <w:rFonts w:asciiTheme="minorHAnsi" w:hAnsiTheme="minorHAnsi" w:cstheme="minorHAnsi"/>
                <w:sz w:val="18"/>
                <w:szCs w:val="18"/>
              </w:rPr>
              <w:t xml:space="preserve"> exempted from paying VAT for </w:t>
            </w:r>
            <w:r w:rsidRPr="007C4D65">
              <w:rPr>
                <w:rFonts w:asciiTheme="minorHAnsi" w:hAnsiTheme="minorHAnsi" w:cstheme="minorHAnsi"/>
                <w:sz w:val="18"/>
                <w:szCs w:val="18"/>
                <w:shd w:val="clear" w:color="auto" w:fill="FFFFFF" w:themeFill="background1"/>
              </w:rPr>
              <w:t>collected amounts of special water fees.(2024)</w:t>
            </w:r>
          </w:p>
        </w:tc>
      </w:tr>
      <w:tr w:rsidR="00A8050D" w:rsidRPr="007C4D65" w14:paraId="3CEC1615" w14:textId="77777777" w:rsidTr="00B6017F">
        <w:trPr>
          <w:trHeight w:val="567"/>
        </w:trPr>
        <w:tc>
          <w:tcPr>
            <w:tcW w:w="14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75458F0"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Developmental impact and contribution of the measure to achieving the priority</w:t>
            </w:r>
          </w:p>
        </w:tc>
        <w:tc>
          <w:tcPr>
            <w:tcW w:w="3578" w:type="pct"/>
            <w:gridSpan w:val="3"/>
            <w:tcBorders>
              <w:top w:val="single" w:sz="4" w:space="0" w:color="A6A6A6"/>
              <w:left w:val="single" w:sz="4" w:space="0" w:color="A6A6A6"/>
              <w:bottom w:val="single" w:sz="4" w:space="0" w:color="A6A6A6"/>
              <w:right w:val="single" w:sz="4" w:space="0" w:color="A6A6A6"/>
            </w:tcBorders>
            <w:vAlign w:val="center"/>
          </w:tcPr>
          <w:p w14:paraId="59E4E32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Improvement of financial sustainability and competitiveness of utility companies, provision of better services to the citizens and businesses.</w:t>
            </w:r>
          </w:p>
        </w:tc>
      </w:tr>
      <w:tr w:rsidR="00A8050D" w:rsidRPr="007C4D65" w14:paraId="36F66AD5" w14:textId="77777777" w:rsidTr="00B6017F">
        <w:trPr>
          <w:trHeight w:val="567"/>
        </w:trPr>
        <w:tc>
          <w:tcPr>
            <w:tcW w:w="14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817EA3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specification of sources</w:t>
            </w:r>
          </w:p>
        </w:tc>
        <w:tc>
          <w:tcPr>
            <w:tcW w:w="3578" w:type="pct"/>
            <w:gridSpan w:val="3"/>
            <w:tcBorders>
              <w:top w:val="single" w:sz="4" w:space="0" w:color="A6A6A6"/>
              <w:left w:val="single" w:sz="4" w:space="0" w:color="A6A6A6"/>
              <w:bottom w:val="single" w:sz="4" w:space="0" w:color="A6A6A6"/>
              <w:right w:val="single" w:sz="4" w:space="0" w:color="A6A6A6"/>
            </w:tcBorders>
            <w:vAlign w:val="center"/>
          </w:tcPr>
          <w:p w14:paraId="5880F780" w14:textId="4FCA1901"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Amount: BAM 167,047</w:t>
            </w:r>
          </w:p>
          <w:p w14:paraId="66A3DA31"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Source: 100% government budget</w:t>
            </w:r>
          </w:p>
        </w:tc>
      </w:tr>
      <w:tr w:rsidR="00A8050D" w:rsidRPr="007C4D65" w14:paraId="739F6144" w14:textId="77777777" w:rsidTr="00B6017F">
        <w:trPr>
          <w:trHeight w:val="567"/>
        </w:trPr>
        <w:tc>
          <w:tcPr>
            <w:tcW w:w="14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66D4FD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578"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A9C922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2023-2024</w:t>
            </w:r>
          </w:p>
        </w:tc>
      </w:tr>
      <w:tr w:rsidR="00A8050D" w:rsidRPr="007C4D65" w14:paraId="4FAFE0C3" w14:textId="77777777" w:rsidTr="00B6017F">
        <w:trPr>
          <w:trHeight w:val="567"/>
        </w:trPr>
        <w:tc>
          <w:tcPr>
            <w:tcW w:w="14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463670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78" w:type="pct"/>
            <w:gridSpan w:val="3"/>
            <w:tcBorders>
              <w:top w:val="single" w:sz="4" w:space="0" w:color="A6A6A6"/>
              <w:left w:val="single" w:sz="4" w:space="0" w:color="A6A6A6"/>
              <w:bottom w:val="single" w:sz="4" w:space="0" w:color="A6A6A6"/>
              <w:right w:val="single" w:sz="4" w:space="0" w:color="A6A6A6"/>
            </w:tcBorders>
            <w:vAlign w:val="center"/>
          </w:tcPr>
          <w:p w14:paraId="09384B5D" w14:textId="7F277952" w:rsidR="00A8050D" w:rsidRPr="007C4D65" w:rsidRDefault="00A8050D" w:rsidP="00235519">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Ministry of Finance of BiH; Federation of BiH Ministry of Finance - Tax Administration</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LGUs</w:t>
            </w:r>
            <w:r w:rsidR="00235519" w:rsidRPr="007C4D65">
              <w:rPr>
                <w:rFonts w:asciiTheme="minorHAnsi" w:hAnsiTheme="minorHAnsi" w:cstheme="minorHAnsi"/>
                <w:sz w:val="18"/>
                <w:szCs w:val="18"/>
              </w:rPr>
              <w:t xml:space="preserve">, </w:t>
            </w:r>
            <w:r w:rsidRPr="007C4D65">
              <w:rPr>
                <w:rFonts w:asciiTheme="minorHAnsi" w:hAnsiTheme="minorHAnsi" w:cstheme="minorHAnsi"/>
                <w:sz w:val="18"/>
                <w:szCs w:val="18"/>
              </w:rPr>
              <w:t>CPUC, PUC</w:t>
            </w:r>
          </w:p>
        </w:tc>
      </w:tr>
      <w:tr w:rsidR="00A8050D" w:rsidRPr="007C4D65" w14:paraId="2CA3BADB" w14:textId="77777777" w:rsidTr="00B6017F">
        <w:trPr>
          <w:trHeight w:val="567"/>
        </w:trPr>
        <w:tc>
          <w:tcPr>
            <w:tcW w:w="14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94E789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institutions for the measure</w:t>
            </w:r>
          </w:p>
        </w:tc>
        <w:tc>
          <w:tcPr>
            <w:tcW w:w="3578" w:type="pct"/>
            <w:gridSpan w:val="3"/>
            <w:tcBorders>
              <w:top w:val="single" w:sz="4" w:space="0" w:color="A6A6A6"/>
              <w:left w:val="single" w:sz="4" w:space="0" w:color="A6A6A6"/>
              <w:bottom w:val="single" w:sz="4" w:space="0" w:color="A6A6A6"/>
              <w:right w:val="single" w:sz="4" w:space="0" w:color="A6A6A6"/>
            </w:tcBorders>
            <w:vAlign w:val="center"/>
          </w:tcPr>
          <w:p w14:paraId="427564AB" w14:textId="5D2CC65B" w:rsidR="00A8050D" w:rsidRPr="007C4D65" w:rsidRDefault="00A8050D" w:rsidP="00B6017F">
            <w:pPr>
              <w:spacing w:before="40" w:after="40" w:line="276" w:lineRule="auto"/>
              <w:rPr>
                <w:rFonts w:asciiTheme="minorHAnsi" w:hAnsiTheme="minorHAnsi" w:cstheme="minorHAnsi"/>
                <w:sz w:val="18"/>
                <w:szCs w:val="18"/>
              </w:rPr>
            </w:pPr>
            <w:proofErr w:type="spellStart"/>
            <w:r w:rsidRPr="007C4D65">
              <w:rPr>
                <w:rFonts w:asciiTheme="minorHAnsi" w:hAnsiTheme="minorHAnsi" w:cstheme="minorHAnsi"/>
                <w:sz w:val="18"/>
                <w:szCs w:val="18"/>
              </w:rPr>
              <w:t>GFBiH</w:t>
            </w:r>
            <w:proofErr w:type="spellEnd"/>
            <w:r w:rsidRPr="007C4D65">
              <w:rPr>
                <w:rFonts w:asciiTheme="minorHAnsi" w:hAnsiTheme="minorHAnsi" w:cstheme="minorHAnsi"/>
                <w:sz w:val="18"/>
                <w:szCs w:val="18"/>
              </w:rPr>
              <w:t xml:space="preserve"> and </w:t>
            </w:r>
            <w:proofErr w:type="spellStart"/>
            <w:r w:rsidRPr="007C4D65">
              <w:rPr>
                <w:rFonts w:asciiTheme="minorHAnsi" w:hAnsiTheme="minorHAnsi" w:cstheme="minorHAnsi"/>
                <w:sz w:val="18"/>
                <w:szCs w:val="18"/>
              </w:rPr>
              <w:t>PFBiH</w:t>
            </w:r>
            <w:proofErr w:type="spellEnd"/>
            <w:r w:rsidRPr="007C4D65">
              <w:rPr>
                <w:rFonts w:asciiTheme="minorHAnsi" w:hAnsiTheme="minorHAnsi" w:cstheme="minorHAnsi"/>
                <w:sz w:val="18"/>
                <w:szCs w:val="18"/>
              </w:rPr>
              <w:t xml:space="preserve"> (Government of the Federation of BiH and Parliament of the Federation of BiH), SRBA, ASWA, Ministry of Finances of BiH; Federation of BiH Ministry of Finance - Tax Administration), CMW (cantonal ministries responsible for water)</w:t>
            </w:r>
          </w:p>
        </w:tc>
      </w:tr>
      <w:tr w:rsidR="00A8050D" w:rsidRPr="007C4D65" w14:paraId="2F068DB3" w14:textId="77777777" w:rsidTr="00B6017F">
        <w:trPr>
          <w:trHeight w:val="567"/>
        </w:trPr>
        <w:tc>
          <w:tcPr>
            <w:tcW w:w="14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0442905" w14:textId="1117D290"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578"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1E666E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Institutions competent for water management at all levels in the Federation of BiH</w:t>
            </w:r>
          </w:p>
        </w:tc>
      </w:tr>
    </w:tbl>
    <w:p w14:paraId="2976E784" w14:textId="77777777" w:rsidR="00A8050D" w:rsidRPr="007C4D65" w:rsidRDefault="00A8050D" w:rsidP="00A8050D">
      <w:pPr>
        <w:spacing w:line="276" w:lineRule="auto"/>
        <w:rPr>
          <w:rFonts w:asciiTheme="minorHAnsi" w:hAnsiTheme="minorHAnsi" w:cstheme="minorHAnsi"/>
          <w:sz w:val="18"/>
          <w:szCs w:val="18"/>
          <w:lang w:val="hr-HR"/>
        </w:rPr>
      </w:pPr>
    </w:p>
    <w:tbl>
      <w:tblPr>
        <w:tblStyle w:val="TABLICAHAOP7"/>
        <w:tblW w:w="4995" w:type="pct"/>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971"/>
        <w:gridCol w:w="3021"/>
        <w:gridCol w:w="3453"/>
        <w:gridCol w:w="3489"/>
      </w:tblGrid>
      <w:tr w:rsidR="00A8050D" w:rsidRPr="007C4D65" w14:paraId="2F9E0D66" w14:textId="77777777" w:rsidTr="00B6017F">
        <w:trPr>
          <w:trHeight w:val="567"/>
        </w:trPr>
        <w:tc>
          <w:tcPr>
            <w:tcW w:w="1425" w:type="pct"/>
            <w:shd w:val="clear" w:color="auto" w:fill="009D73"/>
            <w:vAlign w:val="center"/>
          </w:tcPr>
          <w:p w14:paraId="519C8479" w14:textId="4A0167F4" w:rsidR="00A8050D" w:rsidRPr="007C4D65" w:rsidRDefault="00963086" w:rsidP="00963086">
            <w:pPr>
              <w:tabs>
                <w:tab w:val="left" w:pos="1164"/>
              </w:tabs>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75" w:type="pct"/>
            <w:gridSpan w:val="3"/>
            <w:vAlign w:val="center"/>
          </w:tcPr>
          <w:p w14:paraId="7C9307C5"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17DF321B" w14:textId="77777777" w:rsidTr="00B6017F">
        <w:trPr>
          <w:trHeight w:val="567"/>
        </w:trPr>
        <w:tc>
          <w:tcPr>
            <w:tcW w:w="1425" w:type="pct"/>
            <w:shd w:val="clear" w:color="auto" w:fill="009D73"/>
            <w:vAlign w:val="center"/>
          </w:tcPr>
          <w:p w14:paraId="5D74CD3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75" w:type="pct"/>
            <w:gridSpan w:val="3"/>
            <w:vAlign w:val="center"/>
          </w:tcPr>
          <w:p w14:paraId="64F14B36" w14:textId="4AFB4FF6"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1.6. Ensuring financial sustainability of </w:t>
            </w:r>
            <w:r w:rsidR="001E4D90" w:rsidRPr="007C4D65">
              <w:rPr>
                <w:rFonts w:asciiTheme="minorHAnsi" w:hAnsiTheme="minorHAnsi" w:cstheme="minorHAnsi"/>
                <w:b/>
                <w:sz w:val="18"/>
                <w:szCs w:val="18"/>
              </w:rPr>
              <w:t xml:space="preserve">the </w:t>
            </w:r>
            <w:r w:rsidRPr="007C4D65">
              <w:rPr>
                <w:rFonts w:asciiTheme="minorHAnsi" w:hAnsiTheme="minorHAnsi" w:cstheme="minorHAnsi"/>
                <w:b/>
                <w:sz w:val="18"/>
                <w:szCs w:val="18"/>
              </w:rPr>
              <w:t>water sector</w:t>
            </w:r>
          </w:p>
        </w:tc>
      </w:tr>
      <w:tr w:rsidR="00A8050D" w:rsidRPr="007C4D65" w14:paraId="60627A58" w14:textId="77777777" w:rsidTr="00B6017F">
        <w:trPr>
          <w:trHeight w:val="567"/>
        </w:trPr>
        <w:tc>
          <w:tcPr>
            <w:tcW w:w="1425" w:type="pct"/>
            <w:shd w:val="clear" w:color="auto" w:fill="009D73"/>
            <w:vAlign w:val="center"/>
          </w:tcPr>
          <w:p w14:paraId="68920754" w14:textId="180131E7"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575" w:type="pct"/>
            <w:gridSpan w:val="3"/>
            <w:vAlign w:val="center"/>
          </w:tcPr>
          <w:p w14:paraId="45301355" w14:textId="7542550E"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1.6.3. Establishment and operation of specialist team(s) in the water sector for economic and financial planning, project preparation and programming spending of funds</w:t>
            </w:r>
          </w:p>
        </w:tc>
      </w:tr>
      <w:tr w:rsidR="00A8050D" w:rsidRPr="007C4D65" w14:paraId="5AB2B03D" w14:textId="77777777" w:rsidTr="00B6017F">
        <w:trPr>
          <w:trHeight w:val="567"/>
        </w:trPr>
        <w:tc>
          <w:tcPr>
            <w:tcW w:w="1425" w:type="pct"/>
            <w:shd w:val="clear" w:color="auto" w:fill="009D73"/>
            <w:vAlign w:val="center"/>
          </w:tcPr>
          <w:p w14:paraId="3CFC735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575" w:type="pct"/>
            <w:gridSpan w:val="3"/>
            <w:vAlign w:val="center"/>
          </w:tcPr>
          <w:p w14:paraId="3BE17D43" w14:textId="7415B8D4"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This measure aims to train a team of water sector experts in economic and financial planning, project preparation and programming the spending for the purpose of successful use of funds for development of water sector from EU and other international financial institutions</w:t>
            </w:r>
            <w:bookmarkStart w:id="235" w:name="_Hlk95281250"/>
            <w:r w:rsidRPr="007C4D65">
              <w:rPr>
                <w:rFonts w:asciiTheme="minorHAnsi" w:hAnsiTheme="minorHAnsi" w:cstheme="minorHAnsi"/>
                <w:sz w:val="18"/>
                <w:szCs w:val="18"/>
              </w:rPr>
              <w:t>.</w:t>
            </w:r>
            <w:bookmarkEnd w:id="235"/>
          </w:p>
          <w:p w14:paraId="548F571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General areas of intervention:</w:t>
            </w:r>
          </w:p>
          <w:p w14:paraId="1A0C1E50" w14:textId="16429618" w:rsidR="00A8050D" w:rsidRPr="007C4D65" w:rsidRDefault="00A8050D">
            <w:pPr>
              <w:numPr>
                <w:ilvl w:val="0"/>
                <w:numId w:val="96"/>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Establish and make operational the body(</w:t>
            </w:r>
            <w:proofErr w:type="spellStart"/>
            <w:r w:rsidRPr="007C4D65">
              <w:rPr>
                <w:rFonts w:asciiTheme="minorHAnsi" w:hAnsiTheme="minorHAnsi" w:cstheme="minorHAnsi"/>
                <w:sz w:val="18"/>
                <w:szCs w:val="18"/>
              </w:rPr>
              <w:t>ies</w:t>
            </w:r>
            <w:proofErr w:type="spellEnd"/>
            <w:r w:rsidRPr="007C4D65">
              <w:rPr>
                <w:rFonts w:asciiTheme="minorHAnsi" w:hAnsiTheme="minorHAnsi" w:cstheme="minorHAnsi"/>
                <w:sz w:val="18"/>
                <w:szCs w:val="18"/>
              </w:rPr>
              <w:t xml:space="preserve">) (experts in water law, financial and economic experts in water) for economic and financial planning, project preparation and programming the </w:t>
            </w:r>
            <w:proofErr w:type="gramStart"/>
            <w:r w:rsidRPr="007C4D65">
              <w:rPr>
                <w:rFonts w:asciiTheme="minorHAnsi" w:hAnsiTheme="minorHAnsi" w:cstheme="minorHAnsi"/>
                <w:sz w:val="18"/>
                <w:szCs w:val="18"/>
              </w:rPr>
              <w:t>spending</w:t>
            </w:r>
            <w:r w:rsidR="00235519" w:rsidRPr="007C4D65">
              <w:rPr>
                <w:rFonts w:asciiTheme="minorHAnsi" w:eastAsia="Calibri" w:hAnsiTheme="minorHAnsi" w:cstheme="minorHAnsi"/>
                <w:sz w:val="18"/>
                <w:szCs w:val="18"/>
              </w:rPr>
              <w:t>;</w:t>
            </w:r>
            <w:proofErr w:type="gramEnd"/>
          </w:p>
          <w:p w14:paraId="5DF3B58F" w14:textId="0CC60083" w:rsidR="00A8050D" w:rsidRPr="007C4D65" w:rsidRDefault="00A8050D">
            <w:pPr>
              <w:numPr>
                <w:ilvl w:val="0"/>
                <w:numId w:val="96"/>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Develop and submit applications to international organisations for projects of specialist training of the body on economic and financial planning, project preparation and programming of the </w:t>
            </w:r>
            <w:proofErr w:type="gramStart"/>
            <w:r w:rsidRPr="007C4D65">
              <w:rPr>
                <w:rFonts w:asciiTheme="minorHAnsi" w:hAnsiTheme="minorHAnsi" w:cstheme="minorHAnsi"/>
                <w:sz w:val="18"/>
                <w:szCs w:val="18"/>
              </w:rPr>
              <w:t>spending</w:t>
            </w:r>
            <w:r w:rsidR="00235519" w:rsidRPr="007C4D65">
              <w:rPr>
                <w:rFonts w:asciiTheme="minorHAnsi" w:hAnsiTheme="minorHAnsi" w:cstheme="minorHAnsi"/>
                <w:sz w:val="18"/>
                <w:szCs w:val="18"/>
              </w:rPr>
              <w:t>;</w:t>
            </w:r>
            <w:proofErr w:type="gramEnd"/>
          </w:p>
          <w:p w14:paraId="69890843" w14:textId="5425E22C" w:rsidR="00A8050D" w:rsidRPr="007C4D65" w:rsidRDefault="00A8050D">
            <w:pPr>
              <w:numPr>
                <w:ilvl w:val="0"/>
                <w:numId w:val="96"/>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Develop a Training Programme on economic and financial planning, project preparation, and programming the spending of </w:t>
            </w:r>
            <w:proofErr w:type="gramStart"/>
            <w:r w:rsidRPr="007C4D65">
              <w:rPr>
                <w:rFonts w:asciiTheme="minorHAnsi" w:hAnsiTheme="minorHAnsi" w:cstheme="minorHAnsi"/>
                <w:sz w:val="18"/>
                <w:szCs w:val="18"/>
              </w:rPr>
              <w:t>funds</w:t>
            </w:r>
            <w:r w:rsidR="00235519" w:rsidRPr="007C4D65">
              <w:rPr>
                <w:rFonts w:asciiTheme="minorHAnsi" w:hAnsiTheme="minorHAnsi" w:cstheme="minorHAnsi"/>
                <w:sz w:val="18"/>
                <w:szCs w:val="18"/>
              </w:rPr>
              <w:t>;</w:t>
            </w:r>
            <w:proofErr w:type="gramEnd"/>
          </w:p>
          <w:p w14:paraId="490EDFF6" w14:textId="56AE42F6" w:rsidR="00A8050D" w:rsidRPr="007C4D65" w:rsidRDefault="00A8050D">
            <w:pPr>
              <w:numPr>
                <w:ilvl w:val="0"/>
                <w:numId w:val="96"/>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Implement the training programme and report on the results of implementation of the training programme</w:t>
            </w:r>
            <w:r w:rsidR="00235519" w:rsidRPr="007C4D65">
              <w:rPr>
                <w:rFonts w:asciiTheme="minorHAnsi" w:hAnsiTheme="minorHAnsi" w:cstheme="minorHAnsi"/>
                <w:sz w:val="18"/>
                <w:szCs w:val="18"/>
              </w:rPr>
              <w:t>.</w:t>
            </w:r>
          </w:p>
        </w:tc>
      </w:tr>
      <w:tr w:rsidR="00A8050D" w:rsidRPr="007C4D65" w14:paraId="7C2D9BAA" w14:textId="77777777" w:rsidTr="00B6017F">
        <w:trPr>
          <w:trHeight w:val="567"/>
        </w:trPr>
        <w:tc>
          <w:tcPr>
            <w:tcW w:w="1425" w:type="pct"/>
            <w:shd w:val="clear" w:color="auto" w:fill="009D73"/>
            <w:vAlign w:val="center"/>
          </w:tcPr>
          <w:p w14:paraId="1420062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Key strategic projects</w:t>
            </w:r>
          </w:p>
        </w:tc>
        <w:tc>
          <w:tcPr>
            <w:tcW w:w="3575" w:type="pct"/>
            <w:gridSpan w:val="3"/>
            <w:vAlign w:val="center"/>
          </w:tcPr>
          <w:p w14:paraId="2B97DE0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66366924" w14:textId="77777777" w:rsidTr="00B6017F">
        <w:trPr>
          <w:trHeight w:val="567"/>
        </w:trPr>
        <w:tc>
          <w:tcPr>
            <w:tcW w:w="1425" w:type="pct"/>
            <w:vMerge w:val="restart"/>
            <w:shd w:val="clear" w:color="auto" w:fill="009D73"/>
            <w:vAlign w:val="center"/>
          </w:tcPr>
          <w:p w14:paraId="7CB9C2E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84"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D7681A9"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465932B2" w14:textId="249D2AA6"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3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6FAABB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399A1ED0"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5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89CE628"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1B430A5E" w14:textId="77777777" w:rsidTr="00B6017F">
        <w:trPr>
          <w:trHeight w:val="567"/>
        </w:trPr>
        <w:tc>
          <w:tcPr>
            <w:tcW w:w="1425" w:type="pct"/>
            <w:vMerge/>
            <w:shd w:val="clear" w:color="auto" w:fill="009D73"/>
            <w:vAlign w:val="center"/>
          </w:tcPr>
          <w:p w14:paraId="506C776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1084" w:type="pct"/>
            <w:shd w:val="clear" w:color="auto" w:fill="auto"/>
            <w:vAlign w:val="center"/>
          </w:tcPr>
          <w:p w14:paraId="6C2D5E6A" w14:textId="230E4FF9"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Status of establishment and operation of one or several bodies in water sector (experts in water law, financial and economic experts in water) for economic and financial planning, project preparation and programming the spending</w:t>
            </w:r>
          </w:p>
        </w:tc>
        <w:tc>
          <w:tcPr>
            <w:tcW w:w="1239" w:type="pct"/>
            <w:shd w:val="clear" w:color="auto" w:fill="auto"/>
            <w:vAlign w:val="center"/>
          </w:tcPr>
          <w:p w14:paraId="238C0AF6" w14:textId="5089938C"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 process of establishing these bodies has not started</w:t>
            </w:r>
          </w:p>
        </w:tc>
        <w:tc>
          <w:tcPr>
            <w:tcW w:w="1252" w:type="pct"/>
            <w:shd w:val="clear" w:color="auto" w:fill="auto"/>
            <w:vAlign w:val="center"/>
          </w:tcPr>
          <w:p w14:paraId="4E8D3BF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One or more operational bodies have been established and made operational in water sector to do financial planning, project preparation and programming the spending (2024)</w:t>
            </w:r>
          </w:p>
        </w:tc>
      </w:tr>
      <w:tr w:rsidR="00A8050D" w:rsidRPr="007C4D65" w14:paraId="1F94E5F7" w14:textId="77777777" w:rsidTr="00B6017F">
        <w:trPr>
          <w:trHeight w:val="567"/>
        </w:trPr>
        <w:tc>
          <w:tcPr>
            <w:tcW w:w="1425" w:type="pct"/>
            <w:vMerge/>
            <w:shd w:val="clear" w:color="auto" w:fill="009D73"/>
            <w:vAlign w:val="center"/>
          </w:tcPr>
          <w:p w14:paraId="75F16720"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1084" w:type="pct"/>
            <w:shd w:val="clear" w:color="auto" w:fill="FFFFFF" w:themeFill="background1"/>
            <w:vAlign w:val="center"/>
          </w:tcPr>
          <w:p w14:paraId="490E328E"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Level of preparation of applications to international organisations for projects of specialist training of the body in water sector on economic and financial planning, project preparation and programming of the spending.     </w:t>
            </w:r>
          </w:p>
        </w:tc>
        <w:tc>
          <w:tcPr>
            <w:tcW w:w="1239" w:type="pct"/>
            <w:shd w:val="clear" w:color="auto" w:fill="FFFFFF" w:themeFill="background1"/>
            <w:vAlign w:val="center"/>
          </w:tcPr>
          <w:p w14:paraId="40B65C36" w14:textId="767513B2"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Preparation of the application has not started</w:t>
            </w:r>
          </w:p>
        </w:tc>
        <w:tc>
          <w:tcPr>
            <w:tcW w:w="1252" w:type="pct"/>
            <w:shd w:val="clear" w:color="auto" w:fill="FFFFFF" w:themeFill="background1"/>
            <w:vAlign w:val="center"/>
          </w:tcPr>
          <w:p w14:paraId="2EFC494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Prepared and submitted applications to international organisations for implementation of a project of specialist training to the body in water sector (2025)</w:t>
            </w:r>
          </w:p>
        </w:tc>
      </w:tr>
      <w:tr w:rsidR="00A8050D" w:rsidRPr="007C4D65" w14:paraId="43680EF0" w14:textId="77777777" w:rsidTr="00B6017F">
        <w:trPr>
          <w:trHeight w:val="567"/>
        </w:trPr>
        <w:tc>
          <w:tcPr>
            <w:tcW w:w="1425" w:type="pct"/>
            <w:vMerge/>
            <w:shd w:val="clear" w:color="auto" w:fill="009D73"/>
            <w:vAlign w:val="center"/>
          </w:tcPr>
          <w:p w14:paraId="2E470A2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1084" w:type="pct"/>
            <w:shd w:val="clear" w:color="auto" w:fill="FFFFFF" w:themeFill="background1"/>
            <w:vAlign w:val="center"/>
          </w:tcPr>
          <w:p w14:paraId="765D3057" w14:textId="499D51E1"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Level of development of a Training Programme on economic and financial planning, project preparation, and programming of the spending of funds</w:t>
            </w:r>
          </w:p>
        </w:tc>
        <w:tc>
          <w:tcPr>
            <w:tcW w:w="1239" w:type="pct"/>
            <w:shd w:val="clear" w:color="auto" w:fill="FFFFFF" w:themeFill="background1"/>
            <w:vAlign w:val="center"/>
          </w:tcPr>
          <w:p w14:paraId="70145FF4" w14:textId="1477C47E"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Development of the Training Programme has not started</w:t>
            </w:r>
          </w:p>
        </w:tc>
        <w:tc>
          <w:tcPr>
            <w:tcW w:w="1252" w:type="pct"/>
            <w:shd w:val="clear" w:color="auto" w:fill="FFFFFF" w:themeFill="background1"/>
            <w:vAlign w:val="center"/>
          </w:tcPr>
          <w:p w14:paraId="58B218A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Training Programme prepared (2025)</w:t>
            </w:r>
          </w:p>
        </w:tc>
      </w:tr>
      <w:tr w:rsidR="00A8050D" w:rsidRPr="007C4D65" w14:paraId="0224C523" w14:textId="77777777" w:rsidTr="00B6017F">
        <w:trPr>
          <w:trHeight w:val="567"/>
        </w:trPr>
        <w:tc>
          <w:tcPr>
            <w:tcW w:w="1425" w:type="pct"/>
            <w:vMerge/>
            <w:shd w:val="clear" w:color="auto" w:fill="009D73"/>
            <w:vAlign w:val="center"/>
          </w:tcPr>
          <w:p w14:paraId="0A11F25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rPr>
            </w:pPr>
          </w:p>
        </w:tc>
        <w:tc>
          <w:tcPr>
            <w:tcW w:w="1084" w:type="pct"/>
            <w:shd w:val="clear" w:color="auto" w:fill="FFFFFF" w:themeFill="background1"/>
            <w:vAlign w:val="center"/>
          </w:tcPr>
          <w:p w14:paraId="6D8AD5AF" w14:textId="5B3F7C43"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Implementation phase of the training programme and making the report on implementation</w:t>
            </w:r>
          </w:p>
        </w:tc>
        <w:tc>
          <w:tcPr>
            <w:tcW w:w="1239" w:type="pct"/>
            <w:shd w:val="clear" w:color="auto" w:fill="FFFFFF" w:themeFill="background1"/>
            <w:vAlign w:val="center"/>
          </w:tcPr>
          <w:p w14:paraId="023491DD" w14:textId="5C817F18"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 Training Programme preparation has not started, nor its implementation</w:t>
            </w:r>
          </w:p>
        </w:tc>
        <w:tc>
          <w:tcPr>
            <w:tcW w:w="1252" w:type="pct"/>
            <w:shd w:val="clear" w:color="auto" w:fill="FFFFFF" w:themeFill="background1"/>
            <w:vAlign w:val="center"/>
          </w:tcPr>
          <w:p w14:paraId="35CC855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Training programme completed and report on its implementation prepared (2025)</w:t>
            </w:r>
          </w:p>
        </w:tc>
      </w:tr>
      <w:tr w:rsidR="00A8050D" w:rsidRPr="007C4D65" w14:paraId="5AE35CCE" w14:textId="77777777" w:rsidTr="00B6017F">
        <w:trPr>
          <w:trHeight w:val="567"/>
        </w:trPr>
        <w:tc>
          <w:tcPr>
            <w:tcW w:w="1425" w:type="pct"/>
            <w:shd w:val="clear" w:color="auto" w:fill="009D73"/>
            <w:vAlign w:val="center"/>
          </w:tcPr>
          <w:p w14:paraId="57AB885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575" w:type="pct"/>
            <w:gridSpan w:val="3"/>
            <w:vAlign w:val="center"/>
          </w:tcPr>
          <w:p w14:paraId="6A9B178D" w14:textId="01A0B69C"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Increased amount of available financing for implementation of activities in water sector by strengthening institutional capacities and human resources for coordinated and strategic project management</w:t>
            </w:r>
          </w:p>
        </w:tc>
      </w:tr>
      <w:tr w:rsidR="00A8050D" w:rsidRPr="007C4D65" w14:paraId="6A19B8F8" w14:textId="77777777" w:rsidTr="00B6017F">
        <w:trPr>
          <w:trHeight w:val="567"/>
        </w:trPr>
        <w:tc>
          <w:tcPr>
            <w:tcW w:w="1425" w:type="pct"/>
            <w:shd w:val="clear" w:color="auto" w:fill="009D73"/>
            <w:vAlign w:val="center"/>
          </w:tcPr>
          <w:p w14:paraId="5F6C29D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575" w:type="pct"/>
            <w:gridSpan w:val="3"/>
            <w:vAlign w:val="center"/>
          </w:tcPr>
          <w:p w14:paraId="538E2998" w14:textId="77777777"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Amount: BAM 44,460 </w:t>
            </w:r>
          </w:p>
          <w:p w14:paraId="0FDE9C2A"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Source: 100% government budget</w:t>
            </w:r>
          </w:p>
        </w:tc>
      </w:tr>
      <w:tr w:rsidR="00A8050D" w:rsidRPr="007C4D65" w14:paraId="71A7F7DF" w14:textId="77777777" w:rsidTr="00B6017F">
        <w:trPr>
          <w:trHeight w:val="567"/>
        </w:trPr>
        <w:tc>
          <w:tcPr>
            <w:tcW w:w="1425" w:type="pct"/>
            <w:shd w:val="clear" w:color="auto" w:fill="009D73"/>
            <w:vAlign w:val="center"/>
          </w:tcPr>
          <w:p w14:paraId="77D9E76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575" w:type="pct"/>
            <w:gridSpan w:val="3"/>
            <w:shd w:val="clear" w:color="auto" w:fill="FFFFFF" w:themeFill="background1"/>
            <w:vAlign w:val="center"/>
          </w:tcPr>
          <w:p w14:paraId="7D8EFDB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2023-2025</w:t>
            </w:r>
          </w:p>
        </w:tc>
      </w:tr>
      <w:tr w:rsidR="00A8050D" w:rsidRPr="007C4D65" w14:paraId="56DFBCB9" w14:textId="77777777" w:rsidTr="00B6017F">
        <w:trPr>
          <w:trHeight w:val="567"/>
        </w:trPr>
        <w:tc>
          <w:tcPr>
            <w:tcW w:w="1425" w:type="pct"/>
            <w:shd w:val="clear" w:color="auto" w:fill="009D73"/>
            <w:vAlign w:val="center"/>
          </w:tcPr>
          <w:p w14:paraId="53DD0E3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Institution responsible for coordination and implementation of the measure</w:t>
            </w:r>
          </w:p>
        </w:tc>
        <w:tc>
          <w:tcPr>
            <w:tcW w:w="3575" w:type="pct"/>
            <w:gridSpan w:val="3"/>
            <w:vAlign w:val="center"/>
          </w:tcPr>
          <w:p w14:paraId="21911BAF" w14:textId="23C0C90B" w:rsidR="00A8050D" w:rsidRPr="007C4D65" w:rsidRDefault="00A8050D" w:rsidP="005C416E">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FMAWMF</w:t>
            </w:r>
            <w:r w:rsidR="005C416E" w:rsidRPr="007C4D65">
              <w:rPr>
                <w:rFonts w:asciiTheme="minorHAnsi" w:hAnsiTheme="minorHAnsi" w:cstheme="minorHAnsi"/>
                <w:sz w:val="18"/>
                <w:szCs w:val="18"/>
              </w:rPr>
              <w:t xml:space="preserve">, </w:t>
            </w:r>
            <w:r w:rsidRPr="007C4D65">
              <w:rPr>
                <w:rFonts w:asciiTheme="minorHAnsi" w:hAnsiTheme="minorHAnsi" w:cstheme="minorHAnsi"/>
                <w:sz w:val="18"/>
                <w:szCs w:val="18"/>
              </w:rPr>
              <w:t>SRBA</w:t>
            </w:r>
            <w:r w:rsidR="005C416E" w:rsidRPr="007C4D65">
              <w:rPr>
                <w:rFonts w:asciiTheme="minorHAnsi" w:hAnsiTheme="minorHAnsi" w:cstheme="minorHAnsi"/>
                <w:sz w:val="18"/>
                <w:szCs w:val="18"/>
              </w:rPr>
              <w:t xml:space="preserve">, </w:t>
            </w:r>
            <w:r w:rsidRPr="007C4D65">
              <w:rPr>
                <w:rFonts w:asciiTheme="minorHAnsi" w:hAnsiTheme="minorHAnsi" w:cstheme="minorHAnsi"/>
                <w:sz w:val="18"/>
                <w:szCs w:val="18"/>
              </w:rPr>
              <w:t>ASWA</w:t>
            </w:r>
          </w:p>
        </w:tc>
      </w:tr>
      <w:tr w:rsidR="00A8050D" w:rsidRPr="007C4D65" w14:paraId="0BDBE1AF" w14:textId="77777777" w:rsidTr="00B6017F">
        <w:trPr>
          <w:trHeight w:val="567"/>
        </w:trPr>
        <w:tc>
          <w:tcPr>
            <w:tcW w:w="1425" w:type="pct"/>
            <w:shd w:val="clear" w:color="auto" w:fill="009D73"/>
            <w:vAlign w:val="center"/>
          </w:tcPr>
          <w:p w14:paraId="6057EF3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institutions for the measure</w:t>
            </w:r>
          </w:p>
        </w:tc>
        <w:tc>
          <w:tcPr>
            <w:tcW w:w="3575" w:type="pct"/>
            <w:gridSpan w:val="3"/>
            <w:vAlign w:val="center"/>
          </w:tcPr>
          <w:p w14:paraId="28818519" w14:textId="72DDC3A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SRBA, ASWA, CMWs (cantonal ministries responsible for water)</w:t>
            </w:r>
          </w:p>
        </w:tc>
      </w:tr>
      <w:tr w:rsidR="00A8050D" w:rsidRPr="007C4D65" w14:paraId="52F2B6E8" w14:textId="77777777" w:rsidTr="00B6017F">
        <w:trPr>
          <w:trHeight w:val="567"/>
        </w:trPr>
        <w:tc>
          <w:tcPr>
            <w:tcW w:w="1425" w:type="pct"/>
            <w:shd w:val="clear" w:color="auto" w:fill="009D73"/>
            <w:vAlign w:val="center"/>
          </w:tcPr>
          <w:p w14:paraId="0D6DA2A3" w14:textId="3DD83931"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575" w:type="pct"/>
            <w:gridSpan w:val="3"/>
            <w:vAlign w:val="center"/>
          </w:tcPr>
          <w:p w14:paraId="4204F33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Institutions competent for water management at all levels in the Federation of BiH</w:t>
            </w:r>
          </w:p>
        </w:tc>
      </w:tr>
    </w:tbl>
    <w:p w14:paraId="445FB1C8" w14:textId="77777777" w:rsidR="00A8050D" w:rsidRPr="007C4D65" w:rsidRDefault="00A8050D" w:rsidP="00A8050D">
      <w:pPr>
        <w:spacing w:line="276" w:lineRule="auto"/>
        <w:rPr>
          <w:rFonts w:asciiTheme="minorHAnsi" w:hAnsiTheme="minorHAnsi" w:cstheme="minorHAnsi"/>
          <w:sz w:val="18"/>
          <w:szCs w:val="18"/>
          <w:lang w:val="hr-HR"/>
        </w:rPr>
      </w:pPr>
    </w:p>
    <w:tbl>
      <w:tblPr>
        <w:tblStyle w:val="TABLICAHAOP7"/>
        <w:tblW w:w="4995" w:type="pct"/>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969"/>
        <w:gridCol w:w="3021"/>
        <w:gridCol w:w="3472"/>
        <w:gridCol w:w="3472"/>
      </w:tblGrid>
      <w:tr w:rsidR="00A8050D" w:rsidRPr="007C4D65" w14:paraId="316DE43A" w14:textId="77777777" w:rsidTr="00B6017F">
        <w:trPr>
          <w:trHeight w:val="567"/>
        </w:trPr>
        <w:tc>
          <w:tcPr>
            <w:tcW w:w="1424" w:type="pct"/>
            <w:shd w:val="clear" w:color="auto" w:fill="009D73"/>
            <w:vAlign w:val="center"/>
          </w:tcPr>
          <w:p w14:paraId="263414C8" w14:textId="4FDF56C0"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76" w:type="pct"/>
            <w:gridSpan w:val="3"/>
            <w:vAlign w:val="center"/>
          </w:tcPr>
          <w:p w14:paraId="370E0F4E"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1. Protect water quality and secure availability of water resources and their sustainability</w:t>
            </w:r>
          </w:p>
        </w:tc>
      </w:tr>
      <w:tr w:rsidR="00A8050D" w:rsidRPr="007C4D65" w14:paraId="38F101F5" w14:textId="77777777" w:rsidTr="00B6017F">
        <w:trPr>
          <w:trHeight w:val="567"/>
        </w:trPr>
        <w:tc>
          <w:tcPr>
            <w:tcW w:w="1424" w:type="pct"/>
            <w:shd w:val="clear" w:color="auto" w:fill="009D73"/>
            <w:vAlign w:val="center"/>
          </w:tcPr>
          <w:p w14:paraId="5FD9441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76" w:type="pct"/>
            <w:gridSpan w:val="3"/>
            <w:vAlign w:val="center"/>
          </w:tcPr>
          <w:p w14:paraId="2D15D09E" w14:textId="0FFF58B4"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1.6. Ensuring financial sustainability of </w:t>
            </w:r>
            <w:r w:rsidR="001E4D90" w:rsidRPr="007C4D65">
              <w:rPr>
                <w:rFonts w:asciiTheme="minorHAnsi" w:hAnsiTheme="minorHAnsi" w:cstheme="minorHAnsi"/>
                <w:b/>
                <w:sz w:val="18"/>
                <w:szCs w:val="18"/>
              </w:rPr>
              <w:t xml:space="preserve">the </w:t>
            </w:r>
            <w:r w:rsidRPr="007C4D65">
              <w:rPr>
                <w:rFonts w:asciiTheme="minorHAnsi" w:hAnsiTheme="minorHAnsi" w:cstheme="minorHAnsi"/>
                <w:b/>
                <w:sz w:val="18"/>
                <w:szCs w:val="18"/>
              </w:rPr>
              <w:t>water sector</w:t>
            </w:r>
          </w:p>
        </w:tc>
      </w:tr>
      <w:tr w:rsidR="00A8050D" w:rsidRPr="007C4D65" w14:paraId="27A85E35" w14:textId="77777777" w:rsidTr="00B6017F">
        <w:trPr>
          <w:trHeight w:val="567"/>
        </w:trPr>
        <w:tc>
          <w:tcPr>
            <w:tcW w:w="1424" w:type="pct"/>
            <w:shd w:val="clear" w:color="auto" w:fill="009D73"/>
            <w:vAlign w:val="center"/>
          </w:tcPr>
          <w:p w14:paraId="10E4F590" w14:textId="49AB6328"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576" w:type="pct"/>
            <w:gridSpan w:val="3"/>
            <w:vAlign w:val="center"/>
          </w:tcPr>
          <w:p w14:paraId="3AAD5BD2"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1.6.4. Ensuring financing for preparation of priorities and implementation of project documents aligned with the EU climate legislation and global initiatives for climate change resilience and adaptation     </w:t>
            </w:r>
          </w:p>
        </w:tc>
      </w:tr>
      <w:tr w:rsidR="00A8050D" w:rsidRPr="007C4D65" w14:paraId="7B621CB9" w14:textId="77777777" w:rsidTr="00B6017F">
        <w:trPr>
          <w:trHeight w:val="567"/>
        </w:trPr>
        <w:tc>
          <w:tcPr>
            <w:tcW w:w="1424" w:type="pct"/>
            <w:shd w:val="clear" w:color="auto" w:fill="009D73"/>
            <w:vAlign w:val="center"/>
          </w:tcPr>
          <w:p w14:paraId="0132E5B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Description of the measure with the general area of intervention</w:t>
            </w:r>
          </w:p>
        </w:tc>
        <w:tc>
          <w:tcPr>
            <w:tcW w:w="3576" w:type="pct"/>
            <w:gridSpan w:val="3"/>
            <w:vAlign w:val="center"/>
          </w:tcPr>
          <w:p w14:paraId="18A30B0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This measure aims to achieve intensive and continuous cooperation with the </w:t>
            </w:r>
            <w:proofErr w:type="spellStart"/>
            <w:r w:rsidRPr="007C4D65">
              <w:rPr>
                <w:rFonts w:asciiTheme="minorHAnsi" w:hAnsiTheme="minorHAnsi" w:cstheme="minorHAnsi"/>
                <w:sz w:val="18"/>
                <w:szCs w:val="18"/>
              </w:rPr>
              <w:t>MoFTER</w:t>
            </w:r>
            <w:proofErr w:type="spellEnd"/>
            <w:r w:rsidRPr="007C4D65">
              <w:rPr>
                <w:rFonts w:asciiTheme="minorHAnsi" w:hAnsiTheme="minorHAnsi" w:cstheme="minorHAnsi"/>
                <w:sz w:val="18"/>
                <w:szCs w:val="18"/>
              </w:rPr>
              <w:t xml:space="preserve"> for the purpose of securing financing for measures of adaptation to climate changes that affect water resources.</w:t>
            </w:r>
          </w:p>
          <w:p w14:paraId="41EBB15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General areas of intervention:</w:t>
            </w:r>
          </w:p>
          <w:p w14:paraId="09FF1DC1" w14:textId="40A7DF38" w:rsidR="00A8050D" w:rsidRPr="007C4D65" w:rsidRDefault="00A8050D">
            <w:pPr>
              <w:numPr>
                <w:ilvl w:val="0"/>
                <w:numId w:val="97"/>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Identify list of priority projects in climate change adaptation </w:t>
            </w:r>
            <w:proofErr w:type="gramStart"/>
            <w:r w:rsidRPr="007C4D65">
              <w:rPr>
                <w:rFonts w:asciiTheme="minorHAnsi" w:hAnsiTheme="minorHAnsi" w:cstheme="minorHAnsi"/>
                <w:sz w:val="18"/>
                <w:szCs w:val="18"/>
              </w:rPr>
              <w:t>area</w:t>
            </w:r>
            <w:r w:rsidR="005C416E" w:rsidRPr="007C4D65">
              <w:rPr>
                <w:rFonts w:asciiTheme="minorHAnsi" w:hAnsiTheme="minorHAnsi" w:cstheme="minorHAnsi"/>
                <w:sz w:val="18"/>
                <w:szCs w:val="18"/>
              </w:rPr>
              <w:t>;</w:t>
            </w:r>
            <w:proofErr w:type="gramEnd"/>
          </w:p>
          <w:p w14:paraId="1B252751" w14:textId="77777777" w:rsidR="00A8050D" w:rsidRPr="007C4D65" w:rsidRDefault="00A8050D">
            <w:pPr>
              <w:numPr>
                <w:ilvl w:val="0"/>
                <w:numId w:val="97"/>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cstheme="minorHAnsi"/>
                <w:sz w:val="18"/>
                <w:szCs w:val="18"/>
              </w:rPr>
              <w:t>Prepare for financing project documents on climate change adaptation</w:t>
            </w:r>
          </w:p>
        </w:tc>
      </w:tr>
      <w:tr w:rsidR="00A8050D" w:rsidRPr="007C4D65" w14:paraId="52B0E5C7" w14:textId="77777777" w:rsidTr="00B6017F">
        <w:trPr>
          <w:trHeight w:val="567"/>
        </w:trPr>
        <w:tc>
          <w:tcPr>
            <w:tcW w:w="1424" w:type="pct"/>
            <w:shd w:val="clear" w:color="auto" w:fill="009D73"/>
            <w:vAlign w:val="center"/>
          </w:tcPr>
          <w:p w14:paraId="7DF4DE4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Key strategic projects</w:t>
            </w:r>
          </w:p>
        </w:tc>
        <w:tc>
          <w:tcPr>
            <w:tcW w:w="3576" w:type="pct"/>
            <w:gridSpan w:val="3"/>
            <w:vAlign w:val="center"/>
          </w:tcPr>
          <w:p w14:paraId="3600AB1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5EAA7CB4" w14:textId="77777777" w:rsidTr="00B6017F">
        <w:trPr>
          <w:trHeight w:val="567"/>
        </w:trPr>
        <w:tc>
          <w:tcPr>
            <w:tcW w:w="1424" w:type="pct"/>
            <w:vMerge w:val="restart"/>
            <w:shd w:val="clear" w:color="auto" w:fill="009D73"/>
            <w:vAlign w:val="center"/>
          </w:tcPr>
          <w:p w14:paraId="676BDB4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84"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FC75642"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0D44EF4E" w14:textId="32FDBEE5"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4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89D4832"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34E77D3B"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4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FBC1CD2"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71A9FE55" w14:textId="77777777" w:rsidTr="00B6017F">
        <w:trPr>
          <w:trHeight w:val="567"/>
        </w:trPr>
        <w:tc>
          <w:tcPr>
            <w:tcW w:w="1424" w:type="pct"/>
            <w:vMerge/>
            <w:shd w:val="clear" w:color="auto" w:fill="009D73"/>
            <w:vAlign w:val="center"/>
          </w:tcPr>
          <w:p w14:paraId="4D7EEC1E"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1084" w:type="pct"/>
            <w:shd w:val="clear" w:color="auto" w:fill="auto"/>
            <w:vAlign w:val="center"/>
          </w:tcPr>
          <w:p w14:paraId="193515DD" w14:textId="3B3BD680"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Status of development of list of priority projects</w:t>
            </w:r>
          </w:p>
        </w:tc>
        <w:tc>
          <w:tcPr>
            <w:tcW w:w="1246" w:type="pct"/>
            <w:shd w:val="clear" w:color="auto" w:fill="auto"/>
            <w:vAlign w:val="center"/>
          </w:tcPr>
          <w:p w14:paraId="24948665" w14:textId="2B4B23C2"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Priority projects list has not been made</w:t>
            </w:r>
          </w:p>
        </w:tc>
        <w:tc>
          <w:tcPr>
            <w:tcW w:w="1246" w:type="pct"/>
            <w:shd w:val="clear" w:color="auto" w:fill="auto"/>
            <w:vAlign w:val="center"/>
          </w:tcPr>
          <w:p w14:paraId="70F492A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 first list of priority projects in BiH prepared and regularly updated (2023)</w:t>
            </w:r>
          </w:p>
        </w:tc>
      </w:tr>
      <w:tr w:rsidR="00A8050D" w:rsidRPr="007C4D65" w14:paraId="21FFFCD5" w14:textId="77777777" w:rsidTr="00B6017F">
        <w:trPr>
          <w:trHeight w:val="567"/>
        </w:trPr>
        <w:tc>
          <w:tcPr>
            <w:tcW w:w="1424" w:type="pct"/>
            <w:vMerge/>
            <w:shd w:val="clear" w:color="auto" w:fill="009D73"/>
            <w:vAlign w:val="center"/>
          </w:tcPr>
          <w:p w14:paraId="218EE69C" w14:textId="77777777" w:rsidR="00A8050D" w:rsidRPr="007C4D65" w:rsidRDefault="00A8050D" w:rsidP="00B6017F">
            <w:pPr>
              <w:spacing w:before="40" w:after="40" w:line="276" w:lineRule="auto"/>
              <w:rPr>
                <w:rFonts w:asciiTheme="minorHAnsi" w:hAnsiTheme="minorHAnsi" w:cstheme="minorHAnsi"/>
                <w:sz w:val="18"/>
                <w:szCs w:val="18"/>
                <w:lang w:val="hr-HR"/>
              </w:rPr>
            </w:pPr>
          </w:p>
        </w:tc>
        <w:tc>
          <w:tcPr>
            <w:tcW w:w="1084" w:type="pct"/>
            <w:shd w:val="clear" w:color="auto" w:fill="FFFFFF" w:themeFill="background1"/>
            <w:vAlign w:val="center"/>
          </w:tcPr>
          <w:p w14:paraId="0231BF86" w14:textId="0628B2D0"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Status of preparation of project documents for financing </w:t>
            </w:r>
          </w:p>
        </w:tc>
        <w:tc>
          <w:tcPr>
            <w:tcW w:w="1246" w:type="pct"/>
            <w:shd w:val="clear" w:color="auto" w:fill="FFFFFF" w:themeFill="background1"/>
            <w:vAlign w:val="center"/>
          </w:tcPr>
          <w:p w14:paraId="498D2AC8" w14:textId="2DC6B5DE"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Preparation of the project documents has not starte</w:t>
            </w:r>
            <w:r w:rsidR="00CD1F6D" w:rsidRPr="007C4D65">
              <w:rPr>
                <w:rFonts w:asciiTheme="minorHAnsi" w:hAnsiTheme="minorHAnsi" w:cstheme="minorHAnsi"/>
                <w:sz w:val="18"/>
                <w:szCs w:val="18"/>
              </w:rPr>
              <w:t>d</w:t>
            </w:r>
          </w:p>
        </w:tc>
        <w:tc>
          <w:tcPr>
            <w:tcW w:w="1246" w:type="pct"/>
            <w:shd w:val="clear" w:color="auto" w:fill="FFFFFF" w:themeFill="background1"/>
            <w:vAlign w:val="center"/>
          </w:tcPr>
          <w:p w14:paraId="47AF0FDA" w14:textId="2D2FB77D"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Developed first set of project documents and regularly updated (2024 -2034)</w:t>
            </w:r>
          </w:p>
        </w:tc>
      </w:tr>
      <w:tr w:rsidR="00A8050D" w:rsidRPr="007C4D65" w14:paraId="287328D4" w14:textId="77777777" w:rsidTr="00B6017F">
        <w:trPr>
          <w:trHeight w:val="567"/>
        </w:trPr>
        <w:tc>
          <w:tcPr>
            <w:tcW w:w="1424" w:type="pct"/>
            <w:shd w:val="clear" w:color="auto" w:fill="009D73"/>
            <w:vAlign w:val="center"/>
          </w:tcPr>
          <w:p w14:paraId="74933AA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priorities</w:t>
            </w:r>
          </w:p>
        </w:tc>
        <w:tc>
          <w:tcPr>
            <w:tcW w:w="3576" w:type="pct"/>
            <w:gridSpan w:val="3"/>
            <w:vAlign w:val="center"/>
          </w:tcPr>
          <w:p w14:paraId="4F3E69F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Increased amount of available financing for implementation of activities in water sector by strengthening institutional capacities and human resources for coordinated and strategic project management</w:t>
            </w:r>
          </w:p>
        </w:tc>
      </w:tr>
      <w:tr w:rsidR="00A8050D" w:rsidRPr="007C4D65" w14:paraId="61865F97" w14:textId="77777777" w:rsidTr="00B6017F">
        <w:trPr>
          <w:trHeight w:val="567"/>
        </w:trPr>
        <w:tc>
          <w:tcPr>
            <w:tcW w:w="1424" w:type="pct"/>
            <w:shd w:val="clear" w:color="auto" w:fill="009D73"/>
            <w:vAlign w:val="center"/>
          </w:tcPr>
          <w:p w14:paraId="64F2248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specification of sources</w:t>
            </w:r>
          </w:p>
        </w:tc>
        <w:tc>
          <w:tcPr>
            <w:tcW w:w="3576" w:type="pct"/>
            <w:gridSpan w:val="3"/>
            <w:vAlign w:val="center"/>
          </w:tcPr>
          <w:p w14:paraId="3870553E" w14:textId="77777777" w:rsidR="00A8050D" w:rsidRPr="007C4D65" w:rsidRDefault="00A8050D" w:rsidP="00B6017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Amount: BAM 21,261 </w:t>
            </w:r>
          </w:p>
          <w:p w14:paraId="4882EB36" w14:textId="77777777" w:rsidR="00A8050D" w:rsidRPr="007C4D65" w:rsidRDefault="00A8050D" w:rsidP="00B6017F">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themeColor="text1"/>
                <w:sz w:val="18"/>
                <w:szCs w:val="18"/>
              </w:rPr>
              <w:t>Source: 100% government budget</w:t>
            </w:r>
          </w:p>
        </w:tc>
      </w:tr>
      <w:tr w:rsidR="00A8050D" w:rsidRPr="007C4D65" w14:paraId="134E7EEC" w14:textId="77777777" w:rsidTr="00B6017F">
        <w:trPr>
          <w:trHeight w:val="567"/>
        </w:trPr>
        <w:tc>
          <w:tcPr>
            <w:tcW w:w="1424" w:type="pct"/>
            <w:shd w:val="clear" w:color="auto" w:fill="009D73"/>
            <w:vAlign w:val="center"/>
          </w:tcPr>
          <w:p w14:paraId="7B0E100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Period of implementation of the measure</w:t>
            </w:r>
          </w:p>
        </w:tc>
        <w:tc>
          <w:tcPr>
            <w:tcW w:w="3576" w:type="pct"/>
            <w:gridSpan w:val="3"/>
            <w:shd w:val="clear" w:color="auto" w:fill="FFFFFF" w:themeFill="background1"/>
            <w:vAlign w:val="center"/>
          </w:tcPr>
          <w:p w14:paraId="658AA7A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2023-2034</w:t>
            </w:r>
          </w:p>
        </w:tc>
      </w:tr>
      <w:tr w:rsidR="00A8050D" w:rsidRPr="007C4D65" w14:paraId="05482BD8" w14:textId="77777777" w:rsidTr="00B6017F">
        <w:trPr>
          <w:trHeight w:val="567"/>
        </w:trPr>
        <w:tc>
          <w:tcPr>
            <w:tcW w:w="1424" w:type="pct"/>
            <w:shd w:val="clear" w:color="auto" w:fill="009D73"/>
            <w:vAlign w:val="center"/>
          </w:tcPr>
          <w:p w14:paraId="4567E1A0"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76" w:type="pct"/>
            <w:gridSpan w:val="3"/>
            <w:shd w:val="clear" w:color="auto" w:fill="FFFFFF" w:themeFill="background1"/>
            <w:vAlign w:val="center"/>
          </w:tcPr>
          <w:p w14:paraId="7DC4E312" w14:textId="56C74139" w:rsidR="00A8050D" w:rsidRPr="007C4D65" w:rsidRDefault="00A8050D" w:rsidP="005C416E">
            <w:pPr>
              <w:spacing w:before="40" w:after="40" w:line="276" w:lineRule="auto"/>
              <w:rPr>
                <w:rFonts w:asciiTheme="minorHAnsi" w:hAnsiTheme="minorHAnsi" w:cstheme="minorHAnsi"/>
                <w:sz w:val="18"/>
                <w:szCs w:val="18"/>
              </w:rPr>
            </w:pPr>
            <w:proofErr w:type="spellStart"/>
            <w:r w:rsidRPr="007C4D65">
              <w:rPr>
                <w:rFonts w:asciiTheme="minorHAnsi" w:hAnsiTheme="minorHAnsi" w:cstheme="minorHAnsi"/>
                <w:sz w:val="18"/>
                <w:szCs w:val="18"/>
              </w:rPr>
              <w:t>MoFTER</w:t>
            </w:r>
            <w:proofErr w:type="spellEnd"/>
            <w:r w:rsidR="005C416E" w:rsidRPr="007C4D65">
              <w:rPr>
                <w:rFonts w:asciiTheme="minorHAnsi" w:hAnsiTheme="minorHAnsi" w:cstheme="minorHAnsi"/>
                <w:sz w:val="18"/>
                <w:szCs w:val="18"/>
              </w:rPr>
              <w:t xml:space="preserve">, </w:t>
            </w:r>
            <w:r w:rsidRPr="007C4D65">
              <w:rPr>
                <w:rFonts w:asciiTheme="minorHAnsi" w:hAnsiTheme="minorHAnsi" w:cstheme="minorHAnsi"/>
                <w:sz w:val="18"/>
                <w:szCs w:val="18"/>
              </w:rPr>
              <w:t>FMAWMF</w:t>
            </w:r>
          </w:p>
        </w:tc>
      </w:tr>
      <w:tr w:rsidR="00A8050D" w:rsidRPr="007C4D65" w14:paraId="6B6BABE0" w14:textId="77777777" w:rsidTr="00B6017F">
        <w:trPr>
          <w:trHeight w:val="567"/>
        </w:trPr>
        <w:tc>
          <w:tcPr>
            <w:tcW w:w="1424" w:type="pct"/>
            <w:shd w:val="clear" w:color="auto" w:fill="009D73"/>
            <w:vAlign w:val="center"/>
          </w:tcPr>
          <w:p w14:paraId="3CC6AC2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institutions for the measure</w:t>
            </w:r>
          </w:p>
        </w:tc>
        <w:tc>
          <w:tcPr>
            <w:tcW w:w="3576" w:type="pct"/>
            <w:gridSpan w:val="3"/>
            <w:shd w:val="clear" w:color="auto" w:fill="FFFFFF" w:themeFill="background1"/>
            <w:vAlign w:val="center"/>
          </w:tcPr>
          <w:p w14:paraId="2CC70DD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FMAWMF, SRBA, ASWA, CMW, LGUs </w:t>
            </w:r>
          </w:p>
        </w:tc>
      </w:tr>
      <w:tr w:rsidR="00A8050D" w:rsidRPr="007C4D65" w14:paraId="282AC309" w14:textId="77777777" w:rsidTr="00B6017F">
        <w:trPr>
          <w:trHeight w:val="567"/>
        </w:trPr>
        <w:tc>
          <w:tcPr>
            <w:tcW w:w="1424" w:type="pct"/>
            <w:shd w:val="clear" w:color="auto" w:fill="009D73"/>
            <w:vAlign w:val="center"/>
          </w:tcPr>
          <w:p w14:paraId="1CADB35A" w14:textId="28673594"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576" w:type="pct"/>
            <w:gridSpan w:val="3"/>
            <w:shd w:val="clear" w:color="auto" w:fill="FFFFFF" w:themeFill="background1"/>
            <w:vAlign w:val="center"/>
          </w:tcPr>
          <w:p w14:paraId="4EC64AA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Institutions competent for water management at all levels in the Federation of BiH</w:t>
            </w:r>
          </w:p>
        </w:tc>
      </w:tr>
      <w:bookmarkEnd w:id="230"/>
    </w:tbl>
    <w:p w14:paraId="3ACF8001" w14:textId="4C987E84" w:rsidR="0070371F" w:rsidRPr="007C4D65" w:rsidRDefault="0070371F" w:rsidP="0068355A">
      <w:pPr>
        <w:spacing w:line="276" w:lineRule="auto"/>
        <w:rPr>
          <w:rFonts w:asciiTheme="minorHAnsi" w:hAnsiTheme="minorHAnsi" w:cstheme="minorHAnsi"/>
          <w:sz w:val="18"/>
          <w:szCs w:val="18"/>
        </w:rPr>
      </w:pPr>
    </w:p>
    <w:p w14:paraId="113A6B8B" w14:textId="02A084B5" w:rsidR="00A8050D" w:rsidRPr="007C4D65" w:rsidRDefault="00A8050D" w:rsidP="0068355A">
      <w:pPr>
        <w:spacing w:line="276" w:lineRule="auto"/>
        <w:rPr>
          <w:rFonts w:asciiTheme="minorHAnsi" w:hAnsiTheme="minorHAnsi" w:cstheme="minorHAnsi"/>
          <w:sz w:val="18"/>
          <w:szCs w:val="18"/>
        </w:rPr>
      </w:pPr>
    </w:p>
    <w:p w14:paraId="1595A6A1" w14:textId="2176BD53" w:rsidR="00B13A5C" w:rsidRPr="007C4D65" w:rsidRDefault="00783AA9">
      <w:pPr>
        <w:pStyle w:val="Head2"/>
        <w:spacing w:line="276" w:lineRule="auto"/>
        <w:rPr>
          <w:rFonts w:asciiTheme="minorHAnsi" w:hAnsiTheme="minorHAnsi"/>
          <w:sz w:val="22"/>
          <w:szCs w:val="22"/>
        </w:rPr>
      </w:pPr>
      <w:bookmarkStart w:id="236" w:name="_Toc117445377"/>
      <w:r w:rsidRPr="007C4D65">
        <w:rPr>
          <w:rFonts w:asciiTheme="minorHAnsi" w:hAnsiTheme="minorHAnsi"/>
        </w:rPr>
        <w:t xml:space="preserve">Annex 2 </w:t>
      </w:r>
      <w:r w:rsidR="00CA25B6" w:rsidRPr="007C4D65">
        <w:rPr>
          <w:rFonts w:asciiTheme="minorHAnsi" w:hAnsiTheme="minorHAnsi"/>
        </w:rPr>
        <w:t xml:space="preserve">A detailed overview of measures </w:t>
      </w:r>
      <w:r w:rsidR="00C34761" w:rsidRPr="007C4D65">
        <w:rPr>
          <w:rFonts w:asciiTheme="minorHAnsi" w:hAnsiTheme="minorHAnsi"/>
        </w:rPr>
        <w:t>for</w:t>
      </w:r>
      <w:r w:rsidR="00CA25B6" w:rsidRPr="007C4D65">
        <w:rPr>
          <w:rFonts w:asciiTheme="minorHAnsi" w:hAnsiTheme="minorHAnsi"/>
        </w:rPr>
        <w:t xml:space="preserve"> Waste Management</w:t>
      </w:r>
      <w:bookmarkEnd w:id="236"/>
    </w:p>
    <w:tbl>
      <w:tblPr>
        <w:tblW w:w="4799"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682"/>
        <w:gridCol w:w="3178"/>
        <w:gridCol w:w="3309"/>
        <w:gridCol w:w="3218"/>
      </w:tblGrid>
      <w:tr w:rsidR="00005022" w:rsidRPr="007C4D65" w14:paraId="769C5C86"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80E5ED0" w14:textId="5090EF05"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 xml:space="preserve">Link with the </w:t>
            </w:r>
            <w:r w:rsidR="00963086" w:rsidRPr="007C4D65">
              <w:rPr>
                <w:rFonts w:asciiTheme="minorHAnsi" w:eastAsiaTheme="minorHAnsi" w:hAnsiTheme="minorHAnsi" w:cstheme="minorHAnsi"/>
                <w:b/>
                <w:color w:val="FFFFFF" w:themeColor="background1"/>
                <w:sz w:val="18"/>
                <w:szCs w:val="22"/>
                <w:lang w:eastAsia="en-US"/>
              </w:rPr>
              <w:t>strategic goal</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A584003" w14:textId="7777777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 Reducing waste and increasing reuse of materials</w:t>
            </w:r>
          </w:p>
        </w:tc>
      </w:tr>
      <w:tr w:rsidR="00005022" w:rsidRPr="007C4D65" w14:paraId="72ED8942"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7966BA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Priority</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0ADB460" w14:textId="5122A647" w:rsidR="00005022" w:rsidRPr="007C4D65" w:rsidRDefault="00005022" w:rsidP="00005022">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 xml:space="preserve">2.1. </w:t>
            </w:r>
            <w:r w:rsidR="009E6B20" w:rsidRPr="007C4D65">
              <w:rPr>
                <w:rFonts w:asciiTheme="minorHAnsi" w:eastAsiaTheme="minorHAnsi" w:hAnsiTheme="minorHAnsi" w:cstheme="minorHAnsi"/>
                <w:b/>
                <w:sz w:val="18"/>
                <w:szCs w:val="22"/>
                <w:lang w:eastAsia="en-US"/>
              </w:rPr>
              <w:t>Improving the legal and strategic framework in the waste management according to the EU principles</w:t>
            </w:r>
          </w:p>
        </w:tc>
      </w:tr>
      <w:tr w:rsidR="00005022" w:rsidRPr="007C4D65" w14:paraId="3CEA2794"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DB7A6A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Title of the measure</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9805FDB" w14:textId="33A77F81"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 xml:space="preserve">2.1.1 </w:t>
            </w:r>
            <w:r w:rsidR="009E6B20" w:rsidRPr="007C4D65">
              <w:rPr>
                <w:rFonts w:asciiTheme="minorHAnsi" w:hAnsiTheme="minorHAnsi" w:cstheme="minorHAnsi"/>
                <w:b/>
                <w:sz w:val="18"/>
              </w:rPr>
              <w:t>Improve</w:t>
            </w:r>
            <w:r w:rsidR="00A61DDC" w:rsidRPr="007C4D65">
              <w:rPr>
                <w:rFonts w:asciiTheme="minorHAnsi" w:hAnsiTheme="minorHAnsi" w:cstheme="minorHAnsi"/>
                <w:b/>
                <w:sz w:val="18"/>
              </w:rPr>
              <w:t xml:space="preserve"> waste management legislation, policies and planning documents </w:t>
            </w:r>
            <w:proofErr w:type="gramStart"/>
            <w:r w:rsidR="00A61DDC" w:rsidRPr="007C4D65">
              <w:rPr>
                <w:rFonts w:asciiTheme="minorHAnsi" w:hAnsiTheme="minorHAnsi" w:cstheme="minorHAnsi"/>
                <w:b/>
                <w:sz w:val="18"/>
              </w:rPr>
              <w:t>so as to</w:t>
            </w:r>
            <w:proofErr w:type="gramEnd"/>
            <w:r w:rsidR="00A61DDC" w:rsidRPr="007C4D65">
              <w:rPr>
                <w:rFonts w:asciiTheme="minorHAnsi" w:hAnsiTheme="minorHAnsi" w:cstheme="minorHAnsi"/>
                <w:b/>
                <w:sz w:val="18"/>
              </w:rPr>
              <w:t xml:space="preserve"> be in compliance with the obligations arising from the EU acquis and international agreements</w:t>
            </w:r>
          </w:p>
        </w:tc>
      </w:tr>
      <w:tr w:rsidR="00005022" w:rsidRPr="007C4D65" w14:paraId="3056D39A"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DFD3C7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 xml:space="preserve">Description of the measure with general area of intervention </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706A4E8" w14:textId="2B64863B"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This measure aims at fully aligning the applicable legislation, policies, planning and strategic documents</w:t>
            </w:r>
            <w:r w:rsidR="00A61DDC" w:rsidRPr="007C4D65">
              <w:rPr>
                <w:rFonts w:asciiTheme="minorHAnsi" w:eastAsiaTheme="minorHAnsi" w:hAnsiTheme="minorHAnsi" w:cstheme="minorHAnsi"/>
                <w:sz w:val="18"/>
                <w:szCs w:val="22"/>
                <w:lang w:eastAsia="en-US"/>
              </w:rPr>
              <w:t xml:space="preserve"> in the Federation of BiH</w:t>
            </w:r>
            <w:r w:rsidRPr="007C4D65">
              <w:rPr>
                <w:rFonts w:asciiTheme="minorHAnsi" w:eastAsiaTheme="minorHAnsi" w:hAnsiTheme="minorHAnsi" w:cstheme="minorHAnsi"/>
                <w:sz w:val="18"/>
                <w:szCs w:val="22"/>
                <w:lang w:eastAsia="en-US"/>
              </w:rPr>
              <w:t xml:space="preserve"> with the obligations arising from the Directives and guidelines of the European Union governing the waste management sector, as well as from the requirements of the Basel Convention on control of transboundary movement of hazardous waste and its disposal.</w:t>
            </w:r>
          </w:p>
          <w:p w14:paraId="54F1514A" w14:textId="7470006D"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G</w:t>
            </w:r>
            <w:r w:rsidR="00005022" w:rsidRPr="007C4D65">
              <w:rPr>
                <w:rFonts w:asciiTheme="minorHAnsi" w:eastAsiaTheme="minorHAnsi" w:hAnsiTheme="minorHAnsi" w:cstheme="minorHAnsi"/>
                <w:sz w:val="18"/>
                <w:szCs w:val="22"/>
                <w:lang w:eastAsia="en-US"/>
              </w:rPr>
              <w:t>eneral area</w:t>
            </w:r>
            <w:r w:rsidRPr="007C4D65">
              <w:rPr>
                <w:rFonts w:asciiTheme="minorHAnsi" w:eastAsiaTheme="minorHAnsi" w:hAnsiTheme="minorHAnsi" w:cstheme="minorHAnsi"/>
                <w:sz w:val="18"/>
                <w:szCs w:val="22"/>
                <w:lang w:eastAsia="en-US"/>
              </w:rPr>
              <w:t>s</w:t>
            </w:r>
            <w:r w:rsidR="00005022" w:rsidRPr="007C4D65">
              <w:rPr>
                <w:rFonts w:asciiTheme="minorHAnsi" w:eastAsiaTheme="minorHAnsi" w:hAnsiTheme="minorHAnsi" w:cstheme="minorHAnsi"/>
                <w:sz w:val="18"/>
                <w:szCs w:val="22"/>
                <w:lang w:eastAsia="en-US"/>
              </w:rPr>
              <w:t xml:space="preserve"> of intervention </w:t>
            </w:r>
            <w:r w:rsidRPr="007C4D65">
              <w:rPr>
                <w:rFonts w:asciiTheme="minorHAnsi" w:eastAsiaTheme="minorHAnsi" w:hAnsiTheme="minorHAnsi" w:cstheme="minorHAnsi"/>
                <w:sz w:val="18"/>
                <w:szCs w:val="22"/>
                <w:lang w:eastAsia="en-US"/>
              </w:rPr>
              <w:t>include two lines of activities</w:t>
            </w:r>
            <w:r w:rsidR="00005022" w:rsidRPr="007C4D65">
              <w:rPr>
                <w:rFonts w:asciiTheme="minorHAnsi" w:eastAsiaTheme="minorHAnsi" w:hAnsiTheme="minorHAnsi" w:cstheme="minorHAnsi"/>
                <w:sz w:val="18"/>
                <w:szCs w:val="22"/>
                <w:lang w:eastAsia="en-US"/>
              </w:rPr>
              <w:t>:</w:t>
            </w:r>
          </w:p>
          <w:p w14:paraId="48C86B35" w14:textId="6F63D54C" w:rsidR="00005022" w:rsidRPr="007C4D65" w:rsidRDefault="00005022">
            <w:pPr>
              <w:numPr>
                <w:ilvl w:val="0"/>
                <w:numId w:val="9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Drawing up and implementing</w:t>
            </w:r>
            <w:r w:rsidRPr="007C4D65">
              <w:rPr>
                <w:rFonts w:asciiTheme="minorHAnsi" w:eastAsiaTheme="minorHAnsi" w:hAnsiTheme="minorHAnsi" w:cstheme="minorHAnsi"/>
                <w:b/>
                <w:bCs/>
                <w:sz w:val="18"/>
                <w:szCs w:val="22"/>
                <w:lang w:eastAsia="en-US"/>
              </w:rPr>
              <w:t xml:space="preserve"> Action Plans</w:t>
            </w:r>
            <w:r w:rsidRPr="007C4D65">
              <w:rPr>
                <w:rFonts w:asciiTheme="minorHAnsi" w:eastAsiaTheme="minorHAnsi" w:hAnsiTheme="minorHAnsi" w:cstheme="minorHAnsi"/>
                <w:sz w:val="18"/>
                <w:szCs w:val="22"/>
                <w:lang w:eastAsia="en-US"/>
              </w:rPr>
              <w:t xml:space="preserve"> for the Directive on Waste 2008/98/EC, as amended by the Directive (EU) 2018/851 and Directive 999/31/EC on landfills, as amended by the Directive (EU) 2018/850</w:t>
            </w:r>
            <w:r w:rsidR="005C416E" w:rsidRPr="007C4D65">
              <w:rPr>
                <w:rFonts w:asciiTheme="minorHAnsi" w:eastAsia="Calibri" w:hAnsiTheme="minorHAnsi" w:cstheme="minorHAnsi"/>
                <w:sz w:val="18"/>
                <w:szCs w:val="18"/>
                <w:lang w:eastAsia="en-US"/>
              </w:rPr>
              <w:t>.</w:t>
            </w:r>
          </w:p>
          <w:p w14:paraId="4BC5BC9A" w14:textId="3D5337BC" w:rsidR="00005022" w:rsidRPr="007C4D65" w:rsidRDefault="00005022">
            <w:pPr>
              <w:numPr>
                <w:ilvl w:val="0"/>
                <w:numId w:val="9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b/>
                <w:sz w:val="18"/>
                <w:szCs w:val="22"/>
                <w:lang w:eastAsia="en-US"/>
              </w:rPr>
              <w:t xml:space="preserve">Aligning the Law on Waste Management and accompanying </w:t>
            </w:r>
            <w:r w:rsidR="00B80FAD" w:rsidRPr="007C4D65">
              <w:rPr>
                <w:rFonts w:asciiTheme="minorHAnsi" w:eastAsiaTheme="minorHAnsi" w:hAnsiTheme="minorHAnsi" w:cstheme="minorHAnsi"/>
                <w:b/>
                <w:sz w:val="18"/>
                <w:szCs w:val="22"/>
                <w:lang w:eastAsia="en-US"/>
              </w:rPr>
              <w:t>bylaw</w:t>
            </w:r>
            <w:r w:rsidRPr="007C4D65">
              <w:rPr>
                <w:rFonts w:asciiTheme="minorHAnsi" w:eastAsiaTheme="minorHAnsi" w:hAnsiTheme="minorHAnsi" w:cstheme="minorHAnsi"/>
                <w:b/>
                <w:sz w:val="18"/>
                <w:szCs w:val="22"/>
                <w:lang w:eastAsia="en-US"/>
              </w:rPr>
              <w:t>s</w:t>
            </w:r>
            <w:r w:rsidRPr="007C4D65">
              <w:rPr>
                <w:rFonts w:asciiTheme="minorHAnsi" w:eastAsiaTheme="minorHAnsi" w:hAnsiTheme="minorHAnsi" w:cstheme="minorHAnsi"/>
                <w:sz w:val="18"/>
                <w:szCs w:val="22"/>
                <w:lang w:eastAsia="en-US"/>
              </w:rPr>
              <w:t xml:space="preserve"> with:</w:t>
            </w:r>
          </w:p>
          <w:p w14:paraId="7BE12C72" w14:textId="2443A96C"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Directive 94/62/EC on packaging waste, as amended by the Directive (EU) </w:t>
            </w:r>
            <w:proofErr w:type="gramStart"/>
            <w:r w:rsidRPr="007C4D65">
              <w:rPr>
                <w:rFonts w:asciiTheme="minorHAnsi" w:eastAsiaTheme="minorHAnsi" w:hAnsiTheme="minorHAnsi" w:cstheme="minorHAnsi"/>
                <w:sz w:val="18"/>
                <w:szCs w:val="22"/>
                <w:lang w:eastAsia="en-US"/>
              </w:rPr>
              <w:t>2018/852</w:t>
            </w:r>
            <w:r w:rsidR="005C416E" w:rsidRPr="007C4D65">
              <w:rPr>
                <w:rFonts w:asciiTheme="minorHAnsi" w:eastAsia="Calibri" w:hAnsiTheme="minorHAnsi" w:cstheme="minorHAnsi"/>
                <w:sz w:val="18"/>
                <w:szCs w:val="18"/>
                <w:lang w:eastAsia="en-US"/>
              </w:rPr>
              <w:t>;</w:t>
            </w:r>
            <w:proofErr w:type="gramEnd"/>
          </w:p>
          <w:p w14:paraId="0872FCB7" w14:textId="52C74AA2"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Directive 2012/19/EU on waste electric and electronic equipment, as amended by the Directive (EU) </w:t>
            </w:r>
            <w:proofErr w:type="gramStart"/>
            <w:r w:rsidRPr="007C4D65">
              <w:rPr>
                <w:rFonts w:asciiTheme="minorHAnsi" w:eastAsiaTheme="minorHAnsi" w:hAnsiTheme="minorHAnsi" w:cstheme="minorHAnsi"/>
                <w:sz w:val="18"/>
                <w:szCs w:val="22"/>
                <w:lang w:eastAsia="en-US"/>
              </w:rPr>
              <w:t>2018/849</w:t>
            </w:r>
            <w:r w:rsidR="005C416E" w:rsidRPr="007C4D65">
              <w:rPr>
                <w:rFonts w:asciiTheme="minorHAnsi" w:eastAsia="Calibri" w:hAnsiTheme="minorHAnsi" w:cstheme="minorHAnsi"/>
                <w:sz w:val="18"/>
                <w:szCs w:val="18"/>
                <w:lang w:eastAsia="en-US"/>
              </w:rPr>
              <w:t>;</w:t>
            </w:r>
            <w:proofErr w:type="gramEnd"/>
          </w:p>
          <w:p w14:paraId="3E55B027" w14:textId="4FC15A82"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Directive 2006/66/EC on batteries and accumulators and waste batteries and accumulators as amended by the Directive (EU) </w:t>
            </w:r>
            <w:proofErr w:type="gramStart"/>
            <w:r w:rsidRPr="007C4D65">
              <w:rPr>
                <w:rFonts w:asciiTheme="minorHAnsi" w:eastAsiaTheme="minorHAnsi" w:hAnsiTheme="minorHAnsi" w:cstheme="minorHAnsi"/>
                <w:sz w:val="18"/>
                <w:szCs w:val="22"/>
                <w:lang w:eastAsia="en-US"/>
              </w:rPr>
              <w:t>2018/849</w:t>
            </w:r>
            <w:r w:rsidR="005C416E" w:rsidRPr="007C4D65">
              <w:rPr>
                <w:rFonts w:asciiTheme="minorHAnsi" w:eastAsiaTheme="minorHAnsi" w:hAnsiTheme="minorHAnsi" w:cstheme="minorHAnsi"/>
                <w:sz w:val="18"/>
                <w:szCs w:val="22"/>
                <w:lang w:eastAsia="en-US"/>
              </w:rPr>
              <w:t>;</w:t>
            </w:r>
            <w:proofErr w:type="gramEnd"/>
          </w:p>
          <w:p w14:paraId="7853A06E" w14:textId="4720E3AD"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Directive 2000/53/EC on end-of-life vehicles, as amended by the Directive (EU) </w:t>
            </w:r>
            <w:proofErr w:type="gramStart"/>
            <w:r w:rsidRPr="007C4D65">
              <w:rPr>
                <w:rFonts w:asciiTheme="minorHAnsi" w:eastAsiaTheme="minorHAnsi" w:hAnsiTheme="minorHAnsi" w:cstheme="minorHAnsi"/>
                <w:sz w:val="18"/>
                <w:szCs w:val="22"/>
                <w:lang w:eastAsia="en-US"/>
              </w:rPr>
              <w:t>2018/849</w:t>
            </w:r>
            <w:r w:rsidR="005C416E" w:rsidRPr="007C4D65">
              <w:rPr>
                <w:rFonts w:asciiTheme="minorHAnsi" w:eastAsia="Calibri" w:hAnsiTheme="minorHAnsi" w:cstheme="minorHAnsi"/>
                <w:sz w:val="18"/>
                <w:szCs w:val="18"/>
                <w:lang w:eastAsia="en-US"/>
              </w:rPr>
              <w:t>;</w:t>
            </w:r>
            <w:proofErr w:type="gramEnd"/>
          </w:p>
          <w:p w14:paraId="3B3E9B1D" w14:textId="35442F0B"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the Directive 96/59/EC on disposal of polychlorinated biphenyls and polychlorinated terphenyls (PCB/ PCT</w:t>
            </w:r>
            <w:proofErr w:type="gramStart"/>
            <w:r w:rsidRPr="007C4D65">
              <w:rPr>
                <w:rFonts w:asciiTheme="minorHAnsi" w:eastAsiaTheme="minorHAnsi" w:hAnsiTheme="minorHAnsi" w:cstheme="minorHAnsi"/>
                <w:sz w:val="18"/>
                <w:szCs w:val="22"/>
                <w:lang w:eastAsia="en-US"/>
              </w:rPr>
              <w:t>)</w:t>
            </w:r>
            <w:r w:rsidR="005C416E" w:rsidRPr="007C4D65">
              <w:rPr>
                <w:rFonts w:asciiTheme="minorHAnsi" w:eastAsia="Calibri" w:hAnsiTheme="minorHAnsi" w:cstheme="minorHAnsi"/>
                <w:sz w:val="18"/>
                <w:szCs w:val="18"/>
                <w:lang w:eastAsia="en-US"/>
              </w:rPr>
              <w:t>;</w:t>
            </w:r>
            <w:proofErr w:type="gramEnd"/>
          </w:p>
          <w:p w14:paraId="6BD18AD0" w14:textId="504D7000"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lastRenderedPageBreak/>
              <w:t xml:space="preserve">the Directive 86/278/EEC on the protection of the environment, and in particular of the soil, when sewage sludge is used in </w:t>
            </w:r>
            <w:proofErr w:type="gramStart"/>
            <w:r w:rsidRPr="007C4D65">
              <w:rPr>
                <w:rFonts w:asciiTheme="minorHAnsi" w:eastAsiaTheme="minorHAnsi" w:hAnsiTheme="minorHAnsi" w:cstheme="minorHAnsi"/>
                <w:sz w:val="18"/>
                <w:szCs w:val="22"/>
                <w:lang w:eastAsia="en-US"/>
              </w:rPr>
              <w:t>agriculture</w:t>
            </w:r>
            <w:r w:rsidR="005C416E" w:rsidRPr="007C4D65">
              <w:rPr>
                <w:rFonts w:asciiTheme="minorHAnsi" w:eastAsiaTheme="minorHAnsi" w:hAnsiTheme="minorHAnsi" w:cstheme="minorHAnsi"/>
                <w:sz w:val="18"/>
                <w:szCs w:val="22"/>
                <w:lang w:eastAsia="en-US"/>
              </w:rPr>
              <w:t>;</w:t>
            </w:r>
            <w:proofErr w:type="gramEnd"/>
          </w:p>
          <w:p w14:paraId="60C74140" w14:textId="45CE8F15"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Directive (EU) 2015/720 of the European Parliament and Council of 29 April 2015 amending the Directive 94/62/EC on reduction of the annual consumption of lightweight plastic carrier </w:t>
            </w:r>
            <w:proofErr w:type="gramStart"/>
            <w:r w:rsidRPr="007C4D65">
              <w:rPr>
                <w:rFonts w:asciiTheme="minorHAnsi" w:eastAsiaTheme="minorHAnsi" w:hAnsiTheme="minorHAnsi" w:cstheme="minorHAnsi"/>
                <w:sz w:val="18"/>
                <w:szCs w:val="22"/>
                <w:lang w:eastAsia="en-US"/>
              </w:rPr>
              <w:t>bags</w:t>
            </w:r>
            <w:r w:rsidR="005C416E" w:rsidRPr="007C4D65">
              <w:rPr>
                <w:rFonts w:asciiTheme="minorHAnsi" w:eastAsia="Calibri" w:hAnsiTheme="minorHAnsi" w:cstheme="minorHAnsi"/>
                <w:sz w:val="18"/>
                <w:szCs w:val="18"/>
                <w:lang w:eastAsia="en-US"/>
              </w:rPr>
              <w:t>;</w:t>
            </w:r>
            <w:proofErr w:type="gramEnd"/>
          </w:p>
          <w:p w14:paraId="571F1F79" w14:textId="77777777"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Directive 2006/21/EC on the management of waste from extractive industries and amending Directive 2004/35/EC. </w:t>
            </w:r>
          </w:p>
          <w:p w14:paraId="60073C06" w14:textId="55C33C0E"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the Directive (EU) 2019/904 of the European Parliament and the Council of 5 June 2019 on the reduction of the impact of certain plastic products on the environment (SUP Directive</w:t>
            </w:r>
            <w:proofErr w:type="gramStart"/>
            <w:r w:rsidRPr="007C4D65">
              <w:rPr>
                <w:rFonts w:asciiTheme="minorHAnsi" w:eastAsiaTheme="minorHAnsi" w:hAnsiTheme="minorHAnsi" w:cstheme="minorHAnsi"/>
                <w:sz w:val="18"/>
                <w:szCs w:val="22"/>
                <w:lang w:eastAsia="en-US"/>
              </w:rPr>
              <w:t>)</w:t>
            </w:r>
            <w:r w:rsidR="005C416E" w:rsidRPr="007C4D65">
              <w:rPr>
                <w:rFonts w:asciiTheme="minorHAnsi" w:eastAsiaTheme="minorHAnsi" w:hAnsiTheme="minorHAnsi" w:cstheme="minorHAnsi"/>
                <w:sz w:val="18"/>
                <w:szCs w:val="22"/>
                <w:lang w:eastAsia="en-US"/>
              </w:rPr>
              <w:t>;</w:t>
            </w:r>
            <w:proofErr w:type="gramEnd"/>
          </w:p>
          <w:p w14:paraId="10968E92" w14:textId="3DE3C080"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Directive 78/176/ECC on waste from the titanium dioxide </w:t>
            </w:r>
            <w:proofErr w:type="gramStart"/>
            <w:r w:rsidRPr="007C4D65">
              <w:rPr>
                <w:rFonts w:asciiTheme="minorHAnsi" w:eastAsiaTheme="minorHAnsi" w:hAnsiTheme="minorHAnsi" w:cstheme="minorHAnsi"/>
                <w:sz w:val="18"/>
                <w:szCs w:val="22"/>
                <w:lang w:eastAsia="en-US"/>
              </w:rPr>
              <w:t>industry</w:t>
            </w:r>
            <w:r w:rsidR="005C416E" w:rsidRPr="007C4D65">
              <w:rPr>
                <w:rFonts w:asciiTheme="minorHAnsi" w:eastAsiaTheme="minorHAnsi" w:hAnsiTheme="minorHAnsi" w:cstheme="minorHAnsi"/>
                <w:sz w:val="18"/>
                <w:szCs w:val="22"/>
                <w:lang w:eastAsia="en-US"/>
              </w:rPr>
              <w:t>;</w:t>
            </w:r>
            <w:proofErr w:type="gramEnd"/>
          </w:p>
          <w:p w14:paraId="7AE82917" w14:textId="655CB90D"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Amending the Regulation on transboundary transport of waste (OG FBiH 07/11) pursuant to the Decision on terms and conditions of the transboundary transport of waste amended in accordance with the Convention on Control of Transboundary Transport of Hazardous Waste and its Disposal (OG BiH 86/16) (following the amendment of the Decision at the national level</w:t>
            </w:r>
            <w:proofErr w:type="gramStart"/>
            <w:r w:rsidRPr="007C4D65">
              <w:rPr>
                <w:rFonts w:asciiTheme="minorHAnsi" w:eastAsiaTheme="minorHAnsi" w:hAnsiTheme="minorHAnsi" w:cstheme="minorHAnsi"/>
                <w:sz w:val="18"/>
                <w:szCs w:val="22"/>
                <w:lang w:eastAsia="en-US"/>
              </w:rPr>
              <w:t>)</w:t>
            </w:r>
            <w:r w:rsidR="005C416E" w:rsidRPr="007C4D65">
              <w:rPr>
                <w:rFonts w:asciiTheme="minorHAnsi" w:eastAsiaTheme="minorHAnsi" w:hAnsiTheme="minorHAnsi" w:cstheme="minorHAnsi"/>
                <w:sz w:val="18"/>
                <w:szCs w:val="22"/>
                <w:lang w:eastAsia="en-US"/>
              </w:rPr>
              <w:t>;</w:t>
            </w:r>
            <w:proofErr w:type="gramEnd"/>
          </w:p>
          <w:p w14:paraId="377D3E15" w14:textId="31341DA9"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Law on Waste Management should allow for a regional planning of waste management in situations </w:t>
            </w:r>
            <w:r w:rsidR="004B4EEC" w:rsidRPr="007C4D65">
              <w:rPr>
                <w:rFonts w:asciiTheme="minorHAnsi" w:eastAsiaTheme="minorHAnsi" w:hAnsiTheme="minorHAnsi" w:cstheme="minorHAnsi"/>
                <w:sz w:val="18"/>
                <w:szCs w:val="22"/>
                <w:lang w:eastAsia="en-US"/>
              </w:rPr>
              <w:t>involving</w:t>
            </w:r>
            <w:r w:rsidRPr="007C4D65">
              <w:rPr>
                <w:rFonts w:asciiTheme="minorHAnsi" w:eastAsiaTheme="minorHAnsi" w:hAnsiTheme="minorHAnsi" w:cstheme="minorHAnsi"/>
                <w:sz w:val="18"/>
                <w:szCs w:val="22"/>
                <w:lang w:eastAsia="en-US"/>
              </w:rPr>
              <w:t xml:space="preserve"> formation of inter-municipal waste disposal regions which cover more than one </w:t>
            </w:r>
            <w:proofErr w:type="gramStart"/>
            <w:r w:rsidRPr="007C4D65">
              <w:rPr>
                <w:rFonts w:asciiTheme="minorHAnsi" w:eastAsiaTheme="minorHAnsi" w:hAnsiTheme="minorHAnsi" w:cstheme="minorHAnsi"/>
                <w:sz w:val="18"/>
                <w:szCs w:val="22"/>
                <w:lang w:eastAsia="en-US"/>
              </w:rPr>
              <w:t>cantons</w:t>
            </w:r>
            <w:r w:rsidR="005C416E" w:rsidRPr="007C4D65">
              <w:rPr>
                <w:rFonts w:asciiTheme="minorHAnsi" w:eastAsiaTheme="minorHAnsi" w:hAnsiTheme="minorHAnsi" w:cstheme="minorHAnsi"/>
                <w:sz w:val="18"/>
                <w:szCs w:val="22"/>
                <w:lang w:eastAsia="en-US"/>
              </w:rPr>
              <w:t>;</w:t>
            </w:r>
            <w:proofErr w:type="gramEnd"/>
          </w:p>
          <w:p w14:paraId="5AC386AA" w14:textId="77777777" w:rsidR="00005022" w:rsidRPr="007C4D65" w:rsidRDefault="00005022">
            <w:pPr>
              <w:numPr>
                <w:ilvl w:val="0"/>
                <w:numId w:val="9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Enhancing the</w:t>
            </w:r>
            <w:r w:rsidRPr="007C4D65">
              <w:rPr>
                <w:rFonts w:asciiTheme="minorHAnsi" w:eastAsiaTheme="minorHAnsi" w:hAnsiTheme="minorHAnsi" w:cstheme="minorHAnsi"/>
                <w:b/>
                <w:sz w:val="18"/>
                <w:szCs w:val="22"/>
                <w:lang w:eastAsia="en-US"/>
              </w:rPr>
              <w:t xml:space="preserve"> waste management planning sector</w:t>
            </w:r>
            <w:r w:rsidRPr="007C4D65">
              <w:rPr>
                <w:rFonts w:asciiTheme="minorHAnsi" w:eastAsiaTheme="minorHAnsi" w:hAnsiTheme="minorHAnsi" w:cstheme="minorHAnsi"/>
                <w:sz w:val="18"/>
                <w:szCs w:val="22"/>
                <w:lang w:eastAsia="en-US"/>
              </w:rPr>
              <w:t xml:space="preserve"> in compliance with the new Strategy and principles which transpose the EU requirements in the waste management sector through:</w:t>
            </w:r>
          </w:p>
          <w:p w14:paraId="1A121C33" w14:textId="3762B27D"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Adoption of guidelines for strategic planning in the waste sector for lower levels of </w:t>
            </w:r>
            <w:proofErr w:type="gramStart"/>
            <w:r w:rsidRPr="007C4D65">
              <w:rPr>
                <w:rFonts w:asciiTheme="minorHAnsi" w:eastAsiaTheme="minorHAnsi" w:hAnsiTheme="minorHAnsi" w:cstheme="minorHAnsi"/>
                <w:sz w:val="18"/>
                <w:szCs w:val="22"/>
                <w:lang w:eastAsia="en-US"/>
              </w:rPr>
              <w:t>government</w:t>
            </w:r>
            <w:r w:rsidR="005C416E" w:rsidRPr="007C4D65">
              <w:rPr>
                <w:rFonts w:asciiTheme="minorHAnsi" w:eastAsia="Calibri" w:hAnsiTheme="minorHAnsi" w:cstheme="minorHAnsi"/>
                <w:sz w:val="18"/>
                <w:szCs w:val="18"/>
                <w:lang w:eastAsia="en-US"/>
              </w:rPr>
              <w:t>;</w:t>
            </w:r>
            <w:proofErr w:type="gramEnd"/>
          </w:p>
          <w:p w14:paraId="43D08E58" w14:textId="606633EF"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Preparation of the Waste Management Plan </w:t>
            </w:r>
            <w:r w:rsidR="00A61DDC" w:rsidRPr="007C4D65">
              <w:rPr>
                <w:rFonts w:asciiTheme="minorHAnsi" w:eastAsia="Calibri" w:hAnsiTheme="minorHAnsi" w:cstheme="minorHAnsi"/>
                <w:sz w:val="18"/>
                <w:szCs w:val="18"/>
                <w:lang w:eastAsia="en-US"/>
              </w:rPr>
              <w:t xml:space="preserve">of the Federation of </w:t>
            </w:r>
            <w:proofErr w:type="gramStart"/>
            <w:r w:rsidR="00A61DDC" w:rsidRPr="007C4D65">
              <w:rPr>
                <w:rFonts w:asciiTheme="minorHAnsi" w:eastAsia="Calibri" w:hAnsiTheme="minorHAnsi" w:cstheme="minorHAnsi"/>
                <w:sz w:val="18"/>
                <w:szCs w:val="18"/>
                <w:lang w:eastAsia="en-US"/>
              </w:rPr>
              <w:t>BiH</w:t>
            </w:r>
            <w:r w:rsidR="005C416E" w:rsidRPr="007C4D65">
              <w:rPr>
                <w:rFonts w:asciiTheme="minorHAnsi" w:eastAsia="Calibri" w:hAnsiTheme="minorHAnsi" w:cstheme="minorHAnsi"/>
                <w:sz w:val="18"/>
                <w:szCs w:val="18"/>
                <w:lang w:eastAsia="en-US"/>
              </w:rPr>
              <w:t>;</w:t>
            </w:r>
            <w:proofErr w:type="gramEnd"/>
          </w:p>
          <w:p w14:paraId="32F19A30" w14:textId="4BE33F73"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Preparation of new</w:t>
            </w:r>
            <w:r w:rsidR="00A61DDC" w:rsidRPr="007C4D65">
              <w:rPr>
                <w:rFonts w:asciiTheme="minorHAnsi" w:eastAsiaTheme="minorHAnsi" w:hAnsiTheme="minorHAnsi" w:cstheme="minorHAnsi"/>
                <w:sz w:val="18"/>
                <w:szCs w:val="22"/>
                <w:lang w:eastAsia="en-US"/>
              </w:rPr>
              <w:t xml:space="preserve"> cantonal and municipal</w:t>
            </w:r>
            <w:r w:rsidRPr="007C4D65">
              <w:rPr>
                <w:rFonts w:asciiTheme="minorHAnsi" w:eastAsiaTheme="minorHAnsi" w:hAnsiTheme="minorHAnsi" w:cstheme="minorHAnsi"/>
                <w:sz w:val="18"/>
                <w:szCs w:val="22"/>
                <w:lang w:eastAsia="en-US"/>
              </w:rPr>
              <w:t xml:space="preserve"> waste management plans (and regional as appropriate</w:t>
            </w:r>
            <w:proofErr w:type="gramStart"/>
            <w:r w:rsidRPr="007C4D65">
              <w:rPr>
                <w:rFonts w:asciiTheme="minorHAnsi" w:eastAsiaTheme="minorHAnsi" w:hAnsiTheme="minorHAnsi" w:cstheme="minorHAnsi"/>
                <w:sz w:val="18"/>
                <w:szCs w:val="22"/>
                <w:lang w:eastAsia="en-US"/>
              </w:rPr>
              <w:t>)</w:t>
            </w:r>
            <w:r w:rsidR="005C416E" w:rsidRPr="007C4D65">
              <w:rPr>
                <w:rFonts w:asciiTheme="minorHAnsi" w:eastAsiaTheme="minorHAnsi" w:hAnsiTheme="minorHAnsi" w:cstheme="minorHAnsi"/>
                <w:sz w:val="18"/>
                <w:szCs w:val="22"/>
                <w:lang w:eastAsia="en-US"/>
              </w:rPr>
              <w:t>;</w:t>
            </w:r>
            <w:proofErr w:type="gramEnd"/>
          </w:p>
          <w:p w14:paraId="79B50391" w14:textId="1D5186A5" w:rsidR="00005022" w:rsidRPr="007C4D65" w:rsidRDefault="00005022">
            <w:pPr>
              <w:numPr>
                <w:ilvl w:val="0"/>
                <w:numId w:val="9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Preparing a reference document for the best available techniques for (</w:t>
            </w:r>
            <w:proofErr w:type="spellStart"/>
            <w:r w:rsidRPr="007C4D65">
              <w:rPr>
                <w:rFonts w:asciiTheme="minorHAnsi" w:eastAsiaTheme="minorHAnsi" w:hAnsiTheme="minorHAnsi" w:cstheme="minorHAnsi"/>
                <w:sz w:val="18"/>
                <w:szCs w:val="22"/>
                <w:lang w:eastAsia="en-US"/>
              </w:rPr>
              <w:t>i</w:t>
            </w:r>
            <w:proofErr w:type="spellEnd"/>
            <w:r w:rsidRPr="007C4D65">
              <w:rPr>
                <w:rFonts w:asciiTheme="minorHAnsi" w:eastAsiaTheme="minorHAnsi" w:hAnsiTheme="minorHAnsi" w:cstheme="minorHAnsi"/>
                <w:sz w:val="18"/>
                <w:szCs w:val="22"/>
                <w:lang w:eastAsia="en-US"/>
              </w:rPr>
              <w:t xml:space="preserve">) waste management, and (ii) </w:t>
            </w:r>
            <w:r w:rsidR="00A61DDC" w:rsidRPr="007C4D65">
              <w:rPr>
                <w:rFonts w:asciiTheme="minorHAnsi" w:eastAsiaTheme="minorHAnsi" w:hAnsiTheme="minorHAnsi" w:cstheme="minorHAnsi"/>
                <w:sz w:val="18"/>
                <w:szCs w:val="22"/>
                <w:lang w:eastAsia="en-US"/>
              </w:rPr>
              <w:t xml:space="preserve">management of </w:t>
            </w:r>
            <w:r w:rsidRPr="007C4D65">
              <w:rPr>
                <w:rFonts w:asciiTheme="minorHAnsi" w:eastAsiaTheme="minorHAnsi" w:hAnsiTheme="minorHAnsi" w:cstheme="minorHAnsi"/>
                <w:sz w:val="18"/>
                <w:szCs w:val="22"/>
                <w:lang w:eastAsia="en-US"/>
              </w:rPr>
              <w:t>extractive industries</w:t>
            </w:r>
            <w:r w:rsidR="00A61DDC" w:rsidRPr="007C4D65">
              <w:rPr>
                <w:rFonts w:asciiTheme="minorHAnsi" w:eastAsiaTheme="minorHAnsi" w:hAnsiTheme="minorHAnsi" w:cstheme="minorHAnsi"/>
                <w:sz w:val="18"/>
                <w:szCs w:val="22"/>
                <w:lang w:eastAsia="en-US"/>
              </w:rPr>
              <w:t xml:space="preserve"> waste</w:t>
            </w:r>
            <w:r w:rsidRPr="007C4D65">
              <w:rPr>
                <w:rFonts w:asciiTheme="minorHAnsi" w:eastAsiaTheme="minorHAnsi" w:hAnsiTheme="minorHAnsi" w:cstheme="minorHAnsi"/>
                <w:sz w:val="18"/>
                <w:szCs w:val="22"/>
                <w:lang w:eastAsia="en-US"/>
              </w:rPr>
              <w:t>.</w:t>
            </w:r>
          </w:p>
        </w:tc>
      </w:tr>
      <w:tr w:rsidR="00005022" w:rsidRPr="007C4D65" w14:paraId="4CB22570"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E00939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Strategic projects</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AB6C3"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w:t>
            </w:r>
          </w:p>
        </w:tc>
      </w:tr>
      <w:tr w:rsidR="00005022" w:rsidRPr="007C4D65" w14:paraId="3B3D8C2E" w14:textId="77777777" w:rsidTr="00BC37DE">
        <w:trPr>
          <w:trHeight w:val="567"/>
          <w:jc w:val="center"/>
        </w:trPr>
        <w:tc>
          <w:tcPr>
            <w:tcW w:w="1375" w:type="pct"/>
            <w:vMerge w:val="restart"/>
            <w:tcBorders>
              <w:top w:val="single" w:sz="4" w:space="0" w:color="A6A6A6"/>
              <w:left w:val="single" w:sz="4" w:space="0" w:color="A6A6A6"/>
              <w:right w:val="single" w:sz="4" w:space="0" w:color="A6A6A6"/>
            </w:tcBorders>
            <w:shd w:val="clear" w:color="auto" w:fill="009D73"/>
            <w:vAlign w:val="center"/>
          </w:tcPr>
          <w:p w14:paraId="6953284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 for monitoring of results</w:t>
            </w:r>
          </w:p>
        </w:tc>
        <w:tc>
          <w:tcPr>
            <w:tcW w:w="118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63D2FE4" w14:textId="77777777" w:rsidR="00005022" w:rsidRPr="007C4D65" w:rsidRDefault="00005022" w:rsidP="00005022">
            <w:pPr>
              <w:spacing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Calibri" w:hAnsiTheme="minorHAnsi" w:cstheme="minorHAnsi"/>
                <w:b/>
                <w:bCs/>
                <w:color w:val="FFFFFF"/>
                <w:sz w:val="18"/>
                <w:szCs w:val="18"/>
                <w:lang w:eastAsia="en-US" w:bidi="en-US"/>
              </w:rPr>
              <w:t>Indicators</w:t>
            </w:r>
          </w:p>
          <w:p w14:paraId="64632095"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Calibri" w:hAnsiTheme="minorHAnsi" w:cstheme="minorHAnsi"/>
                <w:b/>
                <w:bCs/>
                <w:color w:val="FFFFFF"/>
                <w:sz w:val="18"/>
                <w:szCs w:val="18"/>
                <w:lang w:eastAsia="en-US" w:bidi="en-US"/>
              </w:rPr>
              <w:t>(</w:t>
            </w:r>
            <w:proofErr w:type="gramStart"/>
            <w:r w:rsidRPr="007C4D65">
              <w:rPr>
                <w:rFonts w:asciiTheme="minorHAnsi" w:eastAsia="Calibri" w:hAnsiTheme="minorHAnsi" w:cstheme="minorHAnsi"/>
                <w:b/>
                <w:bCs/>
                <w:color w:val="FFFFFF"/>
                <w:sz w:val="18"/>
                <w:szCs w:val="18"/>
                <w:lang w:eastAsia="en-US" w:bidi="en-US"/>
              </w:rPr>
              <w:t>output</w:t>
            </w:r>
            <w:proofErr w:type="gramEnd"/>
            <w:r w:rsidRPr="007C4D65">
              <w:rPr>
                <w:rFonts w:asciiTheme="minorHAnsi" w:eastAsia="Calibri" w:hAnsiTheme="minorHAnsi" w:cstheme="minorHAnsi"/>
                <w:b/>
                <w:bCs/>
                <w:color w:val="FFFFFF"/>
                <w:sz w:val="18"/>
                <w:szCs w:val="18"/>
                <w:lang w:eastAsia="en-US" w:bidi="en-US"/>
              </w:rPr>
              <w:t xml:space="preserve"> and deliverable)</w:t>
            </w:r>
          </w:p>
          <w:p w14:paraId="49E5DD67"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p>
        </w:tc>
        <w:tc>
          <w:tcPr>
            <w:tcW w:w="123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26B9A21"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Baseline value</w:t>
            </w:r>
          </w:p>
          <w:p w14:paraId="45049212"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(2021)</w:t>
            </w:r>
          </w:p>
        </w:tc>
        <w:tc>
          <w:tcPr>
            <w:tcW w:w="120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B648B36"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value</w:t>
            </w:r>
          </w:p>
        </w:tc>
      </w:tr>
      <w:tr w:rsidR="00005022" w:rsidRPr="007C4D65" w14:paraId="6CFBACB0" w14:textId="77777777" w:rsidTr="00BC37DE">
        <w:trPr>
          <w:trHeight w:val="567"/>
          <w:jc w:val="center"/>
        </w:trPr>
        <w:tc>
          <w:tcPr>
            <w:tcW w:w="1375" w:type="pct"/>
            <w:vMerge/>
            <w:tcBorders>
              <w:left w:val="single" w:sz="4" w:space="0" w:color="A6A6A6"/>
              <w:right w:val="single" w:sz="4" w:space="0" w:color="A6A6A6"/>
            </w:tcBorders>
            <w:shd w:val="clear" w:color="auto" w:fill="009D73"/>
            <w:vAlign w:val="center"/>
          </w:tcPr>
          <w:p w14:paraId="43379A53"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18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7284548" w14:textId="77777777" w:rsidR="00005022" w:rsidRPr="007C4D65" w:rsidRDefault="00005022">
            <w:pPr>
              <w:numPr>
                <w:ilvl w:val="0"/>
                <w:numId w:val="100"/>
              </w:numPr>
              <w:spacing w:before="40" w:after="40" w:line="276" w:lineRule="auto"/>
              <w:ind w:left="335" w:hanging="284"/>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Status of the preparation and adoption of Action Plans for the Implementation of the Waste Directive and Landfill Directive</w:t>
            </w:r>
          </w:p>
        </w:tc>
        <w:tc>
          <w:tcPr>
            <w:tcW w:w="123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EF6C0E8" w14:textId="4B912D35"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The Action Plans have not been prepared and adopted</w:t>
            </w:r>
          </w:p>
        </w:tc>
        <w:tc>
          <w:tcPr>
            <w:tcW w:w="1202"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C25B0C8" w14:textId="67DCAAD7" w:rsidR="00005022" w:rsidRPr="007C4D65" w:rsidRDefault="00005022" w:rsidP="00A61DDC">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2 </w:t>
            </w:r>
            <w:r w:rsidR="00A61DDC" w:rsidRPr="007C4D65">
              <w:rPr>
                <w:rFonts w:asciiTheme="minorHAnsi" w:eastAsiaTheme="minorHAnsi" w:hAnsiTheme="minorHAnsi" w:cstheme="minorHAnsi"/>
                <w:sz w:val="18"/>
                <w:szCs w:val="22"/>
                <w:lang w:eastAsia="en-US"/>
              </w:rPr>
              <w:t xml:space="preserve">The </w:t>
            </w:r>
            <w:r w:rsidRPr="007C4D65">
              <w:rPr>
                <w:rFonts w:asciiTheme="minorHAnsi" w:eastAsiaTheme="minorHAnsi" w:hAnsiTheme="minorHAnsi" w:cstheme="minorHAnsi"/>
                <w:sz w:val="18"/>
                <w:szCs w:val="22"/>
                <w:lang w:eastAsia="en-US"/>
              </w:rPr>
              <w:t>Action Plans prepared and adopted.</w:t>
            </w:r>
            <w:r w:rsidR="00A61DDC" w:rsidRPr="007C4D65">
              <w:rPr>
                <w:rFonts w:asciiTheme="minorHAnsi" w:eastAsiaTheme="minorHAnsi" w:hAnsiTheme="minorHAnsi" w:cstheme="minorHAnsi"/>
                <w:sz w:val="18"/>
                <w:szCs w:val="22"/>
                <w:lang w:eastAsia="en-US"/>
              </w:rPr>
              <w:t xml:space="preserve"> </w:t>
            </w:r>
            <w:r w:rsidRPr="007C4D65">
              <w:rPr>
                <w:rFonts w:asciiTheme="minorHAnsi" w:eastAsiaTheme="minorHAnsi" w:hAnsiTheme="minorHAnsi" w:cstheme="minorHAnsi"/>
                <w:sz w:val="18"/>
                <w:szCs w:val="22"/>
                <w:lang w:eastAsia="en-US"/>
              </w:rPr>
              <w:t>(2025)</w:t>
            </w:r>
          </w:p>
        </w:tc>
      </w:tr>
      <w:tr w:rsidR="00005022" w:rsidRPr="007C4D65" w14:paraId="3C75A112" w14:textId="77777777" w:rsidTr="00BC37DE">
        <w:trPr>
          <w:trHeight w:val="567"/>
          <w:jc w:val="center"/>
        </w:trPr>
        <w:tc>
          <w:tcPr>
            <w:tcW w:w="1375" w:type="pct"/>
            <w:vMerge/>
            <w:tcBorders>
              <w:left w:val="single" w:sz="4" w:space="0" w:color="A6A6A6"/>
              <w:right w:val="single" w:sz="4" w:space="0" w:color="A6A6A6"/>
            </w:tcBorders>
            <w:shd w:val="clear" w:color="auto" w:fill="009D73"/>
            <w:vAlign w:val="center"/>
          </w:tcPr>
          <w:p w14:paraId="0E1CD972"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18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3CEA77C" w14:textId="2B7E2003" w:rsidR="00005022" w:rsidRPr="007C4D65" w:rsidRDefault="00005022">
            <w:pPr>
              <w:numPr>
                <w:ilvl w:val="0"/>
                <w:numId w:val="100"/>
              </w:numPr>
              <w:spacing w:before="40" w:after="40" w:line="276" w:lineRule="auto"/>
              <w:ind w:left="335" w:hanging="284"/>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Alignment of the Federation legislation with the Directives and guidelines of the European </w:t>
            </w:r>
            <w:r w:rsidR="00A61DDC" w:rsidRPr="007C4D65">
              <w:rPr>
                <w:rFonts w:asciiTheme="minorHAnsi" w:eastAsiaTheme="minorHAnsi" w:hAnsiTheme="minorHAnsi" w:cstheme="minorHAnsi"/>
                <w:sz w:val="18"/>
                <w:szCs w:val="22"/>
                <w:lang w:eastAsia="en-US"/>
              </w:rPr>
              <w:t>U</w:t>
            </w:r>
            <w:r w:rsidRPr="007C4D65">
              <w:rPr>
                <w:rFonts w:asciiTheme="minorHAnsi" w:eastAsiaTheme="minorHAnsi" w:hAnsiTheme="minorHAnsi" w:cstheme="minorHAnsi"/>
                <w:sz w:val="18"/>
                <w:szCs w:val="22"/>
                <w:lang w:eastAsia="en-US"/>
              </w:rPr>
              <w:t xml:space="preserve">nion </w:t>
            </w:r>
            <w:r w:rsidR="00A61DDC" w:rsidRPr="007C4D65">
              <w:rPr>
                <w:rFonts w:asciiTheme="minorHAnsi" w:eastAsiaTheme="minorHAnsi" w:hAnsiTheme="minorHAnsi" w:cstheme="minorHAnsi"/>
                <w:sz w:val="18"/>
                <w:szCs w:val="22"/>
                <w:lang w:eastAsia="en-US"/>
              </w:rPr>
              <w:t xml:space="preserve">governing </w:t>
            </w:r>
            <w:r w:rsidRPr="007C4D65">
              <w:rPr>
                <w:rFonts w:asciiTheme="minorHAnsi" w:eastAsiaTheme="minorHAnsi" w:hAnsiTheme="minorHAnsi" w:cstheme="minorHAnsi"/>
                <w:sz w:val="18"/>
                <w:szCs w:val="22"/>
                <w:lang w:eastAsia="en-US"/>
              </w:rPr>
              <w:t xml:space="preserve">the waste management </w:t>
            </w:r>
            <w:r w:rsidRPr="007C4D65">
              <w:rPr>
                <w:rFonts w:asciiTheme="minorHAnsi" w:eastAsiaTheme="minorHAnsi" w:hAnsiTheme="minorHAnsi" w:cstheme="minorHAnsi"/>
                <w:sz w:val="18"/>
                <w:szCs w:val="22"/>
                <w:lang w:eastAsia="en-US"/>
              </w:rPr>
              <w:lastRenderedPageBreak/>
              <w:t xml:space="preserve">sector and requirements of the Basel Convention </w:t>
            </w:r>
          </w:p>
        </w:tc>
        <w:tc>
          <w:tcPr>
            <w:tcW w:w="123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9FBF4F3" w14:textId="1B80382D"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lastRenderedPageBreak/>
              <w:t xml:space="preserve">The legislation </w:t>
            </w:r>
            <w:r w:rsidR="00A61DDC" w:rsidRPr="007C4D65">
              <w:rPr>
                <w:rFonts w:asciiTheme="minorHAnsi" w:eastAsiaTheme="minorHAnsi" w:hAnsiTheme="minorHAnsi" w:cstheme="minorHAnsi"/>
                <w:sz w:val="18"/>
                <w:szCs w:val="22"/>
                <w:lang w:eastAsia="en-US"/>
              </w:rPr>
              <w:t xml:space="preserve">of the Federation </w:t>
            </w:r>
            <w:r w:rsidRPr="007C4D65">
              <w:rPr>
                <w:rFonts w:asciiTheme="minorHAnsi" w:eastAsiaTheme="minorHAnsi" w:hAnsiTheme="minorHAnsi" w:cstheme="minorHAnsi"/>
                <w:sz w:val="18"/>
                <w:szCs w:val="22"/>
                <w:lang w:eastAsia="en-US"/>
              </w:rPr>
              <w:t xml:space="preserve">is not aligned with the Directives and guidelines of the European </w:t>
            </w:r>
            <w:r w:rsidR="00A61DDC" w:rsidRPr="007C4D65">
              <w:rPr>
                <w:rFonts w:asciiTheme="minorHAnsi" w:eastAsiaTheme="minorHAnsi" w:hAnsiTheme="minorHAnsi" w:cstheme="minorHAnsi"/>
                <w:sz w:val="18"/>
                <w:szCs w:val="22"/>
                <w:lang w:eastAsia="en-US"/>
              </w:rPr>
              <w:t>U</w:t>
            </w:r>
            <w:r w:rsidRPr="007C4D65">
              <w:rPr>
                <w:rFonts w:asciiTheme="minorHAnsi" w:eastAsiaTheme="minorHAnsi" w:hAnsiTheme="minorHAnsi" w:cstheme="minorHAnsi"/>
                <w:sz w:val="18"/>
                <w:szCs w:val="22"/>
                <w:lang w:eastAsia="en-US"/>
              </w:rPr>
              <w:t xml:space="preserve">nion </w:t>
            </w:r>
            <w:r w:rsidR="00A61DDC" w:rsidRPr="007C4D65">
              <w:rPr>
                <w:rFonts w:asciiTheme="minorHAnsi" w:eastAsiaTheme="minorHAnsi" w:hAnsiTheme="minorHAnsi" w:cstheme="minorHAnsi"/>
                <w:sz w:val="18"/>
                <w:szCs w:val="22"/>
                <w:lang w:eastAsia="en-US"/>
              </w:rPr>
              <w:t>governing</w:t>
            </w:r>
            <w:r w:rsidRPr="007C4D65">
              <w:rPr>
                <w:rFonts w:asciiTheme="minorHAnsi" w:eastAsiaTheme="minorHAnsi" w:hAnsiTheme="minorHAnsi" w:cstheme="minorHAnsi"/>
                <w:sz w:val="18"/>
                <w:szCs w:val="22"/>
                <w:lang w:eastAsia="en-US"/>
              </w:rPr>
              <w:t xml:space="preserve"> the </w:t>
            </w:r>
            <w:r w:rsidRPr="007C4D65">
              <w:rPr>
                <w:rFonts w:asciiTheme="minorHAnsi" w:eastAsiaTheme="minorHAnsi" w:hAnsiTheme="minorHAnsi" w:cstheme="minorHAnsi"/>
                <w:sz w:val="18"/>
                <w:szCs w:val="22"/>
                <w:lang w:eastAsia="en-US"/>
              </w:rPr>
              <w:lastRenderedPageBreak/>
              <w:t>waste management sector and requirements of the Basel Convention</w:t>
            </w:r>
          </w:p>
        </w:tc>
        <w:tc>
          <w:tcPr>
            <w:tcW w:w="1202"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1F0CAE5" w14:textId="47D56D9A" w:rsidR="00005022" w:rsidRPr="007C4D65" w:rsidRDefault="00987225"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lastRenderedPageBreak/>
              <w:t>T</w:t>
            </w:r>
            <w:r w:rsidR="00005022" w:rsidRPr="007C4D65">
              <w:rPr>
                <w:rFonts w:asciiTheme="minorHAnsi" w:eastAsiaTheme="minorHAnsi" w:hAnsiTheme="minorHAnsi" w:cstheme="minorHAnsi"/>
                <w:sz w:val="18"/>
                <w:szCs w:val="22"/>
                <w:lang w:eastAsia="en-US"/>
              </w:rPr>
              <w:t>he legislation</w:t>
            </w:r>
            <w:r w:rsidR="00A61DDC" w:rsidRPr="007C4D65">
              <w:rPr>
                <w:rFonts w:asciiTheme="minorHAnsi" w:eastAsiaTheme="minorHAnsi" w:hAnsiTheme="minorHAnsi" w:cstheme="minorHAnsi"/>
                <w:sz w:val="18"/>
                <w:szCs w:val="22"/>
                <w:lang w:eastAsia="en-US"/>
              </w:rPr>
              <w:t xml:space="preserve"> of the</w:t>
            </w:r>
            <w:r w:rsidR="00005022" w:rsidRPr="007C4D65">
              <w:rPr>
                <w:rFonts w:asciiTheme="minorHAnsi" w:eastAsiaTheme="minorHAnsi" w:hAnsiTheme="minorHAnsi" w:cstheme="minorHAnsi"/>
                <w:sz w:val="18"/>
                <w:szCs w:val="22"/>
                <w:lang w:eastAsia="en-US"/>
              </w:rPr>
              <w:t xml:space="preserve"> </w:t>
            </w:r>
            <w:r w:rsidR="00A61DDC" w:rsidRPr="007C4D65">
              <w:rPr>
                <w:rFonts w:asciiTheme="minorHAnsi" w:eastAsiaTheme="minorHAnsi" w:hAnsiTheme="minorHAnsi" w:cstheme="minorHAnsi"/>
                <w:sz w:val="18"/>
                <w:szCs w:val="22"/>
                <w:lang w:eastAsia="en-US"/>
              </w:rPr>
              <w:t>Federation</w:t>
            </w:r>
            <w:r w:rsidRPr="007C4D65">
              <w:rPr>
                <w:rFonts w:asciiTheme="minorHAnsi" w:eastAsiaTheme="minorHAnsi" w:hAnsiTheme="minorHAnsi" w:cstheme="minorHAnsi"/>
                <w:sz w:val="18"/>
                <w:szCs w:val="22"/>
                <w:lang w:eastAsia="en-US"/>
              </w:rPr>
              <w:t xml:space="preserve"> of BiH</w:t>
            </w:r>
            <w:r w:rsidR="00A61DDC" w:rsidRPr="007C4D65">
              <w:rPr>
                <w:rFonts w:asciiTheme="minorHAnsi" w:eastAsiaTheme="minorHAnsi" w:hAnsiTheme="minorHAnsi" w:cstheme="minorHAnsi"/>
                <w:sz w:val="18"/>
                <w:szCs w:val="22"/>
                <w:lang w:eastAsia="en-US"/>
              </w:rPr>
              <w:t xml:space="preserve"> </w:t>
            </w:r>
            <w:r w:rsidRPr="007C4D65">
              <w:rPr>
                <w:rFonts w:asciiTheme="minorHAnsi" w:eastAsiaTheme="minorHAnsi" w:hAnsiTheme="minorHAnsi" w:cstheme="minorHAnsi"/>
                <w:sz w:val="18"/>
                <w:szCs w:val="22"/>
                <w:lang w:eastAsia="en-US"/>
              </w:rPr>
              <w:t xml:space="preserve">fully aligned </w:t>
            </w:r>
            <w:r w:rsidR="00005022" w:rsidRPr="007C4D65">
              <w:rPr>
                <w:rFonts w:asciiTheme="minorHAnsi" w:eastAsiaTheme="minorHAnsi" w:hAnsiTheme="minorHAnsi" w:cstheme="minorHAnsi"/>
                <w:sz w:val="18"/>
                <w:szCs w:val="22"/>
                <w:lang w:eastAsia="en-US"/>
              </w:rPr>
              <w:t xml:space="preserve">with the Directives and guidelines of the European </w:t>
            </w:r>
            <w:r w:rsidR="00A61DDC" w:rsidRPr="007C4D65">
              <w:rPr>
                <w:rFonts w:asciiTheme="minorHAnsi" w:eastAsiaTheme="minorHAnsi" w:hAnsiTheme="minorHAnsi" w:cstheme="minorHAnsi"/>
                <w:sz w:val="18"/>
                <w:szCs w:val="22"/>
                <w:lang w:eastAsia="en-US"/>
              </w:rPr>
              <w:t>U</w:t>
            </w:r>
            <w:r w:rsidR="00005022" w:rsidRPr="007C4D65">
              <w:rPr>
                <w:rFonts w:asciiTheme="minorHAnsi" w:eastAsiaTheme="minorHAnsi" w:hAnsiTheme="minorHAnsi" w:cstheme="minorHAnsi"/>
                <w:sz w:val="18"/>
                <w:szCs w:val="22"/>
                <w:lang w:eastAsia="en-US"/>
              </w:rPr>
              <w:t xml:space="preserve">nion </w:t>
            </w:r>
            <w:r w:rsidR="00A61DDC" w:rsidRPr="007C4D65">
              <w:rPr>
                <w:rFonts w:asciiTheme="minorHAnsi" w:eastAsiaTheme="minorHAnsi" w:hAnsiTheme="minorHAnsi" w:cstheme="minorHAnsi"/>
                <w:sz w:val="18"/>
                <w:szCs w:val="22"/>
                <w:lang w:eastAsia="en-US"/>
              </w:rPr>
              <w:t xml:space="preserve">in </w:t>
            </w:r>
            <w:r w:rsidR="00005022" w:rsidRPr="007C4D65">
              <w:rPr>
                <w:rFonts w:asciiTheme="minorHAnsi" w:eastAsiaTheme="minorHAnsi" w:hAnsiTheme="minorHAnsi" w:cstheme="minorHAnsi"/>
                <w:sz w:val="18"/>
                <w:szCs w:val="22"/>
                <w:lang w:eastAsia="en-US"/>
              </w:rPr>
              <w:t xml:space="preserve">the </w:t>
            </w:r>
            <w:r w:rsidR="00005022" w:rsidRPr="007C4D65">
              <w:rPr>
                <w:rFonts w:asciiTheme="minorHAnsi" w:eastAsiaTheme="minorHAnsi" w:hAnsiTheme="minorHAnsi" w:cstheme="minorHAnsi"/>
                <w:sz w:val="18"/>
                <w:szCs w:val="22"/>
                <w:lang w:eastAsia="en-US"/>
              </w:rPr>
              <w:lastRenderedPageBreak/>
              <w:t>waste management sector and requirements of the Basel Convention</w:t>
            </w:r>
            <w:r w:rsidRPr="007C4D65">
              <w:rPr>
                <w:rFonts w:asciiTheme="minorHAnsi" w:eastAsiaTheme="minorHAnsi" w:hAnsiTheme="minorHAnsi" w:cstheme="minorHAnsi"/>
                <w:sz w:val="18"/>
                <w:szCs w:val="22"/>
                <w:lang w:eastAsia="en-US"/>
              </w:rPr>
              <w:t>.</w:t>
            </w:r>
          </w:p>
          <w:p w14:paraId="4DA48B02"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(2026)</w:t>
            </w:r>
          </w:p>
        </w:tc>
      </w:tr>
      <w:tr w:rsidR="00005022" w:rsidRPr="007C4D65" w14:paraId="0781F9EB" w14:textId="77777777" w:rsidTr="00BC37DE">
        <w:trPr>
          <w:trHeight w:val="567"/>
          <w:jc w:val="center"/>
        </w:trPr>
        <w:tc>
          <w:tcPr>
            <w:tcW w:w="1375" w:type="pct"/>
            <w:vMerge/>
            <w:tcBorders>
              <w:left w:val="single" w:sz="4" w:space="0" w:color="A6A6A6"/>
              <w:bottom w:val="single" w:sz="4" w:space="0" w:color="A6A6A6"/>
              <w:right w:val="single" w:sz="4" w:space="0" w:color="A6A6A6"/>
            </w:tcBorders>
            <w:shd w:val="clear" w:color="auto" w:fill="009D73"/>
            <w:vAlign w:val="center"/>
          </w:tcPr>
          <w:p w14:paraId="07B1051C"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18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D1DC748" w14:textId="20F7DBBC" w:rsidR="00005022" w:rsidRPr="007C4D65" w:rsidRDefault="00005022">
            <w:pPr>
              <w:numPr>
                <w:ilvl w:val="0"/>
                <w:numId w:val="100"/>
              </w:numPr>
              <w:spacing w:before="40" w:after="40" w:line="276" w:lineRule="auto"/>
              <w:ind w:left="335" w:hanging="284"/>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Number of prepared waste management plans</w:t>
            </w:r>
          </w:p>
        </w:tc>
        <w:tc>
          <w:tcPr>
            <w:tcW w:w="123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A72F344" w14:textId="08EA69C5"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Waste </w:t>
            </w:r>
            <w:r w:rsidR="004B4EEC" w:rsidRPr="007C4D65">
              <w:rPr>
                <w:rFonts w:asciiTheme="minorHAnsi" w:eastAsiaTheme="minorHAnsi" w:hAnsiTheme="minorHAnsi" w:cstheme="minorHAnsi"/>
                <w:sz w:val="18"/>
                <w:szCs w:val="22"/>
                <w:lang w:eastAsia="en-US"/>
              </w:rPr>
              <w:t>M</w:t>
            </w:r>
            <w:r w:rsidRPr="007C4D65">
              <w:rPr>
                <w:rFonts w:asciiTheme="minorHAnsi" w:eastAsiaTheme="minorHAnsi" w:hAnsiTheme="minorHAnsi" w:cstheme="minorHAnsi"/>
                <w:sz w:val="18"/>
                <w:szCs w:val="22"/>
                <w:lang w:eastAsia="en-US"/>
              </w:rPr>
              <w:t>anagement Plan (FWMP)</w:t>
            </w:r>
            <w:r w:rsidR="00987225" w:rsidRPr="007C4D65">
              <w:rPr>
                <w:rFonts w:asciiTheme="minorHAnsi" w:eastAsiaTheme="minorHAnsi" w:hAnsiTheme="minorHAnsi" w:cstheme="minorHAnsi"/>
                <w:sz w:val="18"/>
                <w:szCs w:val="22"/>
                <w:lang w:eastAsia="en-US"/>
              </w:rPr>
              <w:t xml:space="preserve"> of the Federation of BiH</w:t>
            </w:r>
            <w:r w:rsidRPr="007C4D65">
              <w:rPr>
                <w:rFonts w:asciiTheme="minorHAnsi" w:eastAsiaTheme="minorHAnsi" w:hAnsiTheme="minorHAnsi" w:cstheme="minorHAnsi"/>
                <w:sz w:val="18"/>
                <w:szCs w:val="22"/>
                <w:lang w:eastAsia="en-US"/>
              </w:rPr>
              <w:t xml:space="preserve"> has not been prepared while cantonal and municipal waste management plans are not </w:t>
            </w:r>
            <w:r w:rsidR="00987225" w:rsidRPr="007C4D65">
              <w:rPr>
                <w:rFonts w:asciiTheme="minorHAnsi" w:eastAsiaTheme="minorHAnsi" w:hAnsiTheme="minorHAnsi" w:cstheme="minorHAnsi"/>
                <w:sz w:val="18"/>
                <w:szCs w:val="22"/>
                <w:lang w:eastAsia="en-US"/>
              </w:rPr>
              <w:t>aligned</w:t>
            </w:r>
            <w:r w:rsidRPr="007C4D65">
              <w:rPr>
                <w:rFonts w:asciiTheme="minorHAnsi" w:eastAsiaTheme="minorHAnsi" w:hAnsiTheme="minorHAnsi" w:cstheme="minorHAnsi"/>
                <w:sz w:val="18"/>
                <w:szCs w:val="22"/>
                <w:lang w:eastAsia="en-US"/>
              </w:rPr>
              <w:t xml:space="preserve"> with the objectives from this Strategy and the new FWMP</w:t>
            </w:r>
          </w:p>
        </w:tc>
        <w:tc>
          <w:tcPr>
            <w:tcW w:w="1202"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6EB56F0" w14:textId="7C3368AF"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A new Waste </w:t>
            </w:r>
            <w:r w:rsidR="00987225" w:rsidRPr="007C4D65">
              <w:rPr>
                <w:rFonts w:asciiTheme="minorHAnsi" w:eastAsiaTheme="minorHAnsi" w:hAnsiTheme="minorHAnsi" w:cstheme="minorHAnsi"/>
                <w:sz w:val="18"/>
                <w:szCs w:val="22"/>
                <w:lang w:eastAsia="en-US"/>
              </w:rPr>
              <w:t>M</w:t>
            </w:r>
            <w:r w:rsidRPr="007C4D65">
              <w:rPr>
                <w:rFonts w:asciiTheme="minorHAnsi" w:eastAsiaTheme="minorHAnsi" w:hAnsiTheme="minorHAnsi" w:cstheme="minorHAnsi"/>
                <w:sz w:val="18"/>
                <w:szCs w:val="22"/>
                <w:lang w:eastAsia="en-US"/>
              </w:rPr>
              <w:t>anagement Plan</w:t>
            </w:r>
            <w:r w:rsidR="00987225" w:rsidRPr="007C4D65">
              <w:rPr>
                <w:rFonts w:asciiTheme="minorHAnsi" w:eastAsiaTheme="minorHAnsi" w:hAnsiTheme="minorHAnsi" w:cstheme="minorHAnsi"/>
                <w:sz w:val="18"/>
                <w:szCs w:val="22"/>
                <w:lang w:eastAsia="en-US"/>
              </w:rPr>
              <w:t xml:space="preserve"> of </w:t>
            </w:r>
            <w:proofErr w:type="gramStart"/>
            <w:r w:rsidR="00987225" w:rsidRPr="007C4D65">
              <w:rPr>
                <w:rFonts w:asciiTheme="minorHAnsi" w:eastAsiaTheme="minorHAnsi" w:hAnsiTheme="minorHAnsi" w:cstheme="minorHAnsi"/>
                <w:sz w:val="18"/>
                <w:szCs w:val="22"/>
                <w:lang w:eastAsia="en-US"/>
              </w:rPr>
              <w:t xml:space="preserve">the </w:t>
            </w:r>
            <w:r w:rsidRPr="007C4D65">
              <w:rPr>
                <w:rFonts w:asciiTheme="minorHAnsi" w:eastAsiaTheme="minorHAnsi" w:hAnsiTheme="minorHAnsi" w:cstheme="minorHAnsi"/>
                <w:sz w:val="18"/>
                <w:szCs w:val="22"/>
                <w:lang w:eastAsia="en-US"/>
              </w:rPr>
              <w:t xml:space="preserve"> </w:t>
            </w:r>
            <w:r w:rsidR="00987225" w:rsidRPr="007C4D65">
              <w:rPr>
                <w:rFonts w:asciiTheme="minorHAnsi" w:eastAsiaTheme="minorHAnsi" w:hAnsiTheme="minorHAnsi" w:cstheme="minorHAnsi"/>
                <w:sz w:val="18"/>
                <w:szCs w:val="22"/>
                <w:lang w:eastAsia="en-US"/>
              </w:rPr>
              <w:t>Federation</w:t>
            </w:r>
            <w:proofErr w:type="gramEnd"/>
            <w:r w:rsidR="00987225" w:rsidRPr="007C4D65">
              <w:rPr>
                <w:rFonts w:asciiTheme="minorHAnsi" w:eastAsiaTheme="minorHAnsi" w:hAnsiTheme="minorHAnsi" w:cstheme="minorHAnsi"/>
                <w:sz w:val="18"/>
                <w:szCs w:val="22"/>
                <w:lang w:eastAsia="en-US"/>
              </w:rPr>
              <w:t xml:space="preserve"> of BiH </w:t>
            </w:r>
            <w:r w:rsidRPr="007C4D65">
              <w:rPr>
                <w:rFonts w:asciiTheme="minorHAnsi" w:eastAsiaTheme="minorHAnsi" w:hAnsiTheme="minorHAnsi" w:cstheme="minorHAnsi"/>
                <w:sz w:val="18"/>
                <w:szCs w:val="22"/>
                <w:lang w:eastAsia="en-US"/>
              </w:rPr>
              <w:t>prepared and adopted (2024)</w:t>
            </w:r>
          </w:p>
          <w:p w14:paraId="1D7309D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p>
          <w:p w14:paraId="614DFA23"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10 cantonal and 79 municipal waste management plans prepared and adopted (2029)</w:t>
            </w:r>
          </w:p>
        </w:tc>
      </w:tr>
      <w:tr w:rsidR="00005022" w:rsidRPr="007C4D65" w14:paraId="2F87B64B"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05D60C0"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18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95557F4" w14:textId="77777777" w:rsidR="00005022" w:rsidRPr="007C4D65" w:rsidRDefault="00005022">
            <w:pPr>
              <w:numPr>
                <w:ilvl w:val="0"/>
                <w:numId w:val="100"/>
              </w:numPr>
              <w:spacing w:before="40" w:after="40" w:line="276" w:lineRule="auto"/>
              <w:ind w:left="335" w:hanging="284"/>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number of reference documents on the best available techniques </w:t>
            </w:r>
            <w:proofErr w:type="gramStart"/>
            <w:r w:rsidRPr="007C4D65">
              <w:rPr>
                <w:rFonts w:asciiTheme="minorHAnsi" w:eastAsiaTheme="minorHAnsi" w:hAnsiTheme="minorHAnsi" w:cstheme="minorHAnsi"/>
                <w:sz w:val="18"/>
                <w:szCs w:val="22"/>
                <w:lang w:eastAsia="en-US"/>
              </w:rPr>
              <w:t>in the area of</w:t>
            </w:r>
            <w:proofErr w:type="gramEnd"/>
            <w:r w:rsidRPr="007C4D65">
              <w:rPr>
                <w:rFonts w:asciiTheme="minorHAnsi" w:eastAsiaTheme="minorHAnsi" w:hAnsiTheme="minorHAnsi" w:cstheme="minorHAnsi"/>
                <w:sz w:val="18"/>
                <w:szCs w:val="22"/>
                <w:lang w:eastAsia="en-US"/>
              </w:rPr>
              <w:t xml:space="preserve"> waste management</w:t>
            </w:r>
          </w:p>
        </w:tc>
        <w:tc>
          <w:tcPr>
            <w:tcW w:w="123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A1BF9F1"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0</w:t>
            </w:r>
          </w:p>
          <w:p w14:paraId="3E506546"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(2021)</w:t>
            </w:r>
          </w:p>
        </w:tc>
        <w:tc>
          <w:tcPr>
            <w:tcW w:w="1202"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D49F64A"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w:t>
            </w:r>
          </w:p>
          <w:p w14:paraId="097A2FC8"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(2029)</w:t>
            </w:r>
          </w:p>
        </w:tc>
      </w:tr>
      <w:tr w:rsidR="00005022" w:rsidRPr="007C4D65" w14:paraId="6CFF8F56"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4691C4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Effect on the development and contribution of the measure to the priority</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F6EE978" w14:textId="5FB5766A" w:rsidR="00005022" w:rsidRPr="007C4D65" w:rsidRDefault="00987225"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hAnsiTheme="minorHAnsi" w:cstheme="minorHAnsi"/>
                <w:sz w:val="18"/>
              </w:rPr>
              <w:t xml:space="preserve">Improved waste management and progress in the EU integration process though alignment of the national legislation with the EU </w:t>
            </w:r>
            <w:r w:rsidR="009E6B20" w:rsidRPr="007C4D65">
              <w:rPr>
                <w:rFonts w:asciiTheme="minorHAnsi" w:hAnsiTheme="minorHAnsi" w:cstheme="minorHAnsi"/>
                <w:sz w:val="18"/>
              </w:rPr>
              <w:t>acquis</w:t>
            </w:r>
          </w:p>
        </w:tc>
      </w:tr>
      <w:tr w:rsidR="00987225" w:rsidRPr="007C4D65" w14:paraId="447CA036"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32AC1EB" w14:textId="3FD79637" w:rsidR="00987225" w:rsidRPr="007C4D65" w:rsidRDefault="00963086" w:rsidP="00987225">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Indicative financial projection, with specification of sources</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B4B8282" w14:textId="4253F492" w:rsidR="00987225" w:rsidRPr="007C4D65" w:rsidRDefault="00987225" w:rsidP="00987225">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rPr>
              <w:t>Amount: BAM 1,489,703</w:t>
            </w:r>
          </w:p>
          <w:p w14:paraId="3A5E0899" w14:textId="14A29786" w:rsidR="00987225" w:rsidRPr="007C4D65" w:rsidRDefault="00987225" w:rsidP="00987225">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rPr>
              <w:t xml:space="preserve">Source: 20% </w:t>
            </w:r>
            <w:r w:rsidR="000E401F" w:rsidRPr="007C4D65">
              <w:rPr>
                <w:rFonts w:asciiTheme="minorHAnsi" w:hAnsiTheme="minorHAnsi" w:cstheme="minorHAnsi"/>
                <w:color w:val="000000" w:themeColor="text1"/>
                <w:sz w:val="18"/>
              </w:rPr>
              <w:t>government budget</w:t>
            </w:r>
            <w:r w:rsidRPr="007C4D65">
              <w:rPr>
                <w:rFonts w:asciiTheme="minorHAnsi" w:hAnsiTheme="minorHAnsi" w:cstheme="minorHAnsi"/>
                <w:color w:val="000000" w:themeColor="text1"/>
                <w:sz w:val="18"/>
              </w:rPr>
              <w:t>, 80% EU and other international donors</w:t>
            </w:r>
          </w:p>
        </w:tc>
      </w:tr>
      <w:tr w:rsidR="00005022" w:rsidRPr="007C4D65" w14:paraId="1E296FB3"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C1B0E2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Period of the implementation of the measure</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4FB0CDE"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2023-2029</w:t>
            </w:r>
          </w:p>
        </w:tc>
      </w:tr>
      <w:tr w:rsidR="00005022" w:rsidRPr="007C4D65" w14:paraId="4AC82AD8"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6AEF1B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Institution responsible for coordination of the implementation of the measure</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07B71C3" w14:textId="68D8682B"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w:t>
            </w:r>
          </w:p>
        </w:tc>
      </w:tr>
      <w:tr w:rsidR="00005022" w:rsidRPr="007C4D65" w14:paraId="54AA785C"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C20749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Implementing institutions</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4268434" w14:textId="0132F6A8"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w:t>
            </w:r>
          </w:p>
        </w:tc>
      </w:tr>
      <w:tr w:rsidR="00005022" w:rsidRPr="007C4D65" w14:paraId="5A2DF7A8"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AD8477A" w14:textId="1F9E3928"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groups</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63AD5EE" w14:textId="500B4170"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All players in the waste </w:t>
            </w:r>
            <w:proofErr w:type="gramStart"/>
            <w:r w:rsidRPr="007C4D65">
              <w:rPr>
                <w:rFonts w:asciiTheme="minorHAnsi" w:eastAsiaTheme="minorHAnsi" w:hAnsiTheme="minorHAnsi" w:cstheme="minorHAnsi"/>
                <w:sz w:val="18"/>
                <w:szCs w:val="22"/>
                <w:lang w:eastAsia="en-US"/>
              </w:rPr>
              <w:t>management  system</w:t>
            </w:r>
            <w:proofErr w:type="gramEnd"/>
            <w:r w:rsidRPr="007C4D65">
              <w:rPr>
                <w:rFonts w:asciiTheme="minorHAnsi" w:eastAsiaTheme="minorHAnsi" w:hAnsiTheme="minorHAnsi" w:cstheme="minorHAnsi"/>
                <w:sz w:val="18"/>
                <w:szCs w:val="22"/>
                <w:lang w:eastAsia="en-US"/>
              </w:rPr>
              <w:t xml:space="preserve">, including the Federation, cantonal/municipal </w:t>
            </w:r>
            <w:r w:rsidR="00987225" w:rsidRPr="007C4D65">
              <w:rPr>
                <w:rFonts w:asciiTheme="minorHAnsi" w:eastAsiaTheme="minorHAnsi" w:hAnsiTheme="minorHAnsi" w:cstheme="minorHAnsi"/>
                <w:sz w:val="18"/>
                <w:szCs w:val="22"/>
                <w:lang w:eastAsia="en-US"/>
              </w:rPr>
              <w:t>government</w:t>
            </w:r>
            <w:r w:rsidRPr="007C4D65">
              <w:rPr>
                <w:rFonts w:asciiTheme="minorHAnsi" w:eastAsiaTheme="minorHAnsi" w:hAnsiTheme="minorHAnsi" w:cstheme="minorHAnsi"/>
                <w:sz w:val="18"/>
                <w:szCs w:val="22"/>
                <w:lang w:eastAsia="en-US"/>
              </w:rPr>
              <w:t>, utility sector, private sector and citizens</w:t>
            </w:r>
          </w:p>
        </w:tc>
      </w:tr>
    </w:tbl>
    <w:p w14:paraId="3082CCF6" w14:textId="77777777" w:rsidR="00005022" w:rsidRPr="007C4D65" w:rsidRDefault="00005022" w:rsidP="00005022">
      <w:pPr>
        <w:spacing w:line="276" w:lineRule="auto"/>
        <w:rPr>
          <w:rFonts w:asciiTheme="minorHAnsi" w:eastAsiaTheme="minorHAnsi" w:hAnsiTheme="minorHAnsi" w:cstheme="minorHAnsi"/>
          <w:sz w:val="22"/>
          <w:szCs w:val="22"/>
          <w:lang w:eastAsia="en-US"/>
        </w:rPr>
      </w:pPr>
    </w:p>
    <w:tbl>
      <w:tblPr>
        <w:tblW w:w="4823"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1"/>
        <w:gridCol w:w="2850"/>
        <w:gridCol w:w="3460"/>
        <w:gridCol w:w="3463"/>
      </w:tblGrid>
      <w:tr w:rsidR="00005022" w:rsidRPr="007C4D65" w14:paraId="171C9AF8" w14:textId="77777777" w:rsidTr="00BC37DE">
        <w:trPr>
          <w:trHeight w:val="567"/>
          <w:jc w:val="center"/>
        </w:trPr>
        <w:tc>
          <w:tcPr>
            <w:tcW w:w="1368" w:type="pct"/>
            <w:shd w:val="clear" w:color="auto" w:fill="009D73"/>
            <w:vAlign w:val="center"/>
          </w:tcPr>
          <w:p w14:paraId="24FDC68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Link with the strategic goal</w:t>
            </w:r>
          </w:p>
        </w:tc>
        <w:tc>
          <w:tcPr>
            <w:tcW w:w="3632" w:type="pct"/>
            <w:gridSpan w:val="3"/>
            <w:shd w:val="clear" w:color="auto" w:fill="FFFFFF"/>
            <w:vAlign w:val="center"/>
          </w:tcPr>
          <w:p w14:paraId="36B69FC8" w14:textId="7777777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 Reducing waste and increasing reuse of materials</w:t>
            </w:r>
          </w:p>
        </w:tc>
      </w:tr>
      <w:tr w:rsidR="00005022" w:rsidRPr="007C4D65" w14:paraId="3AF73DE2" w14:textId="77777777" w:rsidTr="00BC37DE">
        <w:trPr>
          <w:trHeight w:val="567"/>
          <w:jc w:val="center"/>
        </w:trPr>
        <w:tc>
          <w:tcPr>
            <w:tcW w:w="1368" w:type="pct"/>
            <w:shd w:val="clear" w:color="auto" w:fill="009D73"/>
            <w:vAlign w:val="center"/>
          </w:tcPr>
          <w:p w14:paraId="3F71D15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Priority</w:t>
            </w:r>
          </w:p>
        </w:tc>
        <w:tc>
          <w:tcPr>
            <w:tcW w:w="3632" w:type="pct"/>
            <w:gridSpan w:val="3"/>
            <w:shd w:val="clear" w:color="auto" w:fill="FFFFFF"/>
            <w:vAlign w:val="center"/>
          </w:tcPr>
          <w:p w14:paraId="0C79E29C" w14:textId="77777777" w:rsidR="00005022" w:rsidRPr="007C4D65" w:rsidRDefault="00005022" w:rsidP="00005022">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2.2. Improving the waste records and reporting system</w:t>
            </w:r>
          </w:p>
        </w:tc>
      </w:tr>
      <w:tr w:rsidR="00005022" w:rsidRPr="007C4D65" w14:paraId="1EFA9CED" w14:textId="77777777" w:rsidTr="00BC37DE">
        <w:trPr>
          <w:trHeight w:val="567"/>
          <w:jc w:val="center"/>
        </w:trPr>
        <w:tc>
          <w:tcPr>
            <w:tcW w:w="1368" w:type="pct"/>
            <w:shd w:val="clear" w:color="auto" w:fill="009D73"/>
            <w:vAlign w:val="center"/>
          </w:tcPr>
          <w:p w14:paraId="3A0DDE5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Title of the measure</w:t>
            </w:r>
          </w:p>
        </w:tc>
        <w:tc>
          <w:tcPr>
            <w:tcW w:w="3632" w:type="pct"/>
            <w:gridSpan w:val="3"/>
            <w:shd w:val="clear" w:color="auto" w:fill="FFFFFF"/>
            <w:vAlign w:val="center"/>
          </w:tcPr>
          <w:p w14:paraId="4116B3C0" w14:textId="7777777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2.2.1 Improving the waste records and reporting system</w:t>
            </w:r>
          </w:p>
        </w:tc>
      </w:tr>
      <w:tr w:rsidR="00005022" w:rsidRPr="007C4D65" w14:paraId="1329F28F" w14:textId="77777777" w:rsidTr="00BC37DE">
        <w:trPr>
          <w:trHeight w:val="567"/>
          <w:jc w:val="center"/>
        </w:trPr>
        <w:tc>
          <w:tcPr>
            <w:tcW w:w="1368" w:type="pct"/>
            <w:shd w:val="clear" w:color="auto" w:fill="009D73"/>
            <w:vAlign w:val="center"/>
          </w:tcPr>
          <w:p w14:paraId="0F62F13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 xml:space="preserve">Description of the measure with general area of intervention </w:t>
            </w:r>
          </w:p>
        </w:tc>
        <w:tc>
          <w:tcPr>
            <w:tcW w:w="3632" w:type="pct"/>
            <w:gridSpan w:val="3"/>
            <w:shd w:val="clear" w:color="auto" w:fill="FFFFFF"/>
            <w:vAlign w:val="center"/>
          </w:tcPr>
          <w:p w14:paraId="61CC7889" w14:textId="32DEC5E1"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This measure </w:t>
            </w:r>
            <w:r w:rsidR="00987225" w:rsidRPr="007C4D65">
              <w:rPr>
                <w:rFonts w:asciiTheme="minorHAnsi" w:eastAsiaTheme="minorHAnsi" w:hAnsiTheme="minorHAnsi" w:cstheme="minorHAnsi"/>
                <w:sz w:val="18"/>
                <w:szCs w:val="22"/>
                <w:lang w:eastAsia="en-US"/>
              </w:rPr>
              <w:t xml:space="preserve">aims </w:t>
            </w:r>
            <w:r w:rsidRPr="007C4D65">
              <w:rPr>
                <w:rFonts w:asciiTheme="minorHAnsi" w:eastAsiaTheme="minorHAnsi" w:hAnsiTheme="minorHAnsi" w:cstheme="minorHAnsi"/>
                <w:sz w:val="18"/>
                <w:szCs w:val="22"/>
                <w:lang w:eastAsia="en-US"/>
              </w:rPr>
              <w:t xml:space="preserve">at improving the records and reporting on the waste </w:t>
            </w:r>
            <w:proofErr w:type="gramStart"/>
            <w:r w:rsidRPr="007C4D65">
              <w:rPr>
                <w:rFonts w:asciiTheme="minorHAnsi" w:eastAsiaTheme="minorHAnsi" w:hAnsiTheme="minorHAnsi" w:cstheme="minorHAnsi"/>
                <w:sz w:val="18"/>
                <w:szCs w:val="22"/>
                <w:lang w:eastAsia="en-US"/>
              </w:rPr>
              <w:t>in order to</w:t>
            </w:r>
            <w:proofErr w:type="gramEnd"/>
            <w:r w:rsidRPr="007C4D65">
              <w:rPr>
                <w:rFonts w:asciiTheme="minorHAnsi" w:eastAsiaTheme="minorHAnsi" w:hAnsiTheme="minorHAnsi" w:cstheme="minorHAnsi"/>
                <w:sz w:val="18"/>
                <w:szCs w:val="22"/>
                <w:lang w:eastAsia="en-US"/>
              </w:rPr>
              <w:t xml:space="preserve"> obtain reliable data, improve strategic planning across the levels, which </w:t>
            </w:r>
            <w:r w:rsidR="00987225" w:rsidRPr="007C4D65">
              <w:rPr>
                <w:rFonts w:asciiTheme="minorHAnsi" w:eastAsiaTheme="minorHAnsi" w:hAnsiTheme="minorHAnsi" w:cstheme="minorHAnsi"/>
                <w:sz w:val="18"/>
                <w:szCs w:val="22"/>
                <w:lang w:eastAsia="en-US"/>
              </w:rPr>
              <w:t xml:space="preserve">should </w:t>
            </w:r>
            <w:r w:rsidRPr="007C4D65">
              <w:rPr>
                <w:rFonts w:asciiTheme="minorHAnsi" w:eastAsiaTheme="minorHAnsi" w:hAnsiTheme="minorHAnsi" w:cstheme="minorHAnsi"/>
                <w:sz w:val="18"/>
                <w:szCs w:val="22"/>
                <w:lang w:eastAsia="en-US"/>
              </w:rPr>
              <w:t>contribute to sustainability of future investments in the waste management</w:t>
            </w:r>
            <w:r w:rsidR="00987225" w:rsidRPr="007C4D65">
              <w:rPr>
                <w:rFonts w:asciiTheme="minorHAnsi" w:eastAsiaTheme="minorHAnsi" w:hAnsiTheme="minorHAnsi" w:cstheme="minorHAnsi"/>
                <w:sz w:val="18"/>
                <w:szCs w:val="22"/>
                <w:lang w:eastAsia="en-US"/>
              </w:rPr>
              <w:t xml:space="preserve"> sector</w:t>
            </w:r>
            <w:r w:rsidRPr="007C4D65">
              <w:rPr>
                <w:rFonts w:asciiTheme="minorHAnsi" w:eastAsiaTheme="minorHAnsi" w:hAnsiTheme="minorHAnsi" w:cstheme="minorHAnsi"/>
                <w:sz w:val="18"/>
                <w:szCs w:val="22"/>
                <w:lang w:eastAsia="en-US"/>
              </w:rPr>
              <w:t>.</w:t>
            </w:r>
          </w:p>
          <w:p w14:paraId="7C390A64" w14:textId="4ABA9919"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General</w:t>
            </w:r>
            <w:r w:rsidR="00005022" w:rsidRPr="007C4D65">
              <w:rPr>
                <w:rFonts w:asciiTheme="minorHAnsi" w:eastAsiaTheme="minorHAnsi" w:hAnsiTheme="minorHAnsi" w:cstheme="minorHAnsi"/>
                <w:sz w:val="18"/>
                <w:szCs w:val="22"/>
                <w:lang w:eastAsia="en-US"/>
              </w:rPr>
              <w:t xml:space="preserve"> area</w:t>
            </w:r>
            <w:r w:rsidRPr="007C4D65">
              <w:rPr>
                <w:rFonts w:asciiTheme="minorHAnsi" w:eastAsiaTheme="minorHAnsi" w:hAnsiTheme="minorHAnsi" w:cstheme="minorHAnsi"/>
                <w:sz w:val="18"/>
                <w:szCs w:val="22"/>
                <w:lang w:eastAsia="en-US"/>
              </w:rPr>
              <w:t>s</w:t>
            </w:r>
            <w:r w:rsidR="00005022" w:rsidRPr="007C4D65">
              <w:rPr>
                <w:rFonts w:asciiTheme="minorHAnsi" w:eastAsiaTheme="minorHAnsi" w:hAnsiTheme="minorHAnsi" w:cstheme="minorHAnsi"/>
                <w:sz w:val="18"/>
                <w:szCs w:val="22"/>
                <w:lang w:eastAsia="en-US"/>
              </w:rPr>
              <w:t xml:space="preserve"> of intervention </w:t>
            </w:r>
            <w:r w:rsidRPr="007C4D65">
              <w:rPr>
                <w:rFonts w:asciiTheme="minorHAnsi" w:eastAsiaTheme="minorHAnsi" w:hAnsiTheme="minorHAnsi" w:cstheme="minorHAnsi"/>
                <w:sz w:val="18"/>
                <w:szCs w:val="22"/>
                <w:lang w:eastAsia="en-US"/>
              </w:rPr>
              <w:t>include</w:t>
            </w:r>
            <w:r w:rsidR="00005022" w:rsidRPr="007C4D65">
              <w:rPr>
                <w:rFonts w:asciiTheme="minorHAnsi" w:eastAsiaTheme="minorHAnsi" w:hAnsiTheme="minorHAnsi" w:cstheme="minorHAnsi"/>
                <w:sz w:val="18"/>
                <w:szCs w:val="22"/>
                <w:lang w:eastAsia="en-US"/>
              </w:rPr>
              <w:t xml:space="preserve"> three lines of activities:</w:t>
            </w:r>
          </w:p>
          <w:p w14:paraId="33508A60" w14:textId="2BD78F88" w:rsidR="00005022" w:rsidRPr="007C4D65" w:rsidRDefault="00981E92">
            <w:pPr>
              <w:numPr>
                <w:ilvl w:val="0"/>
                <w:numId w:val="10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Introducing</w:t>
            </w:r>
            <w:r w:rsidR="00005022" w:rsidRPr="007C4D65">
              <w:rPr>
                <w:rFonts w:asciiTheme="minorHAnsi" w:eastAsiaTheme="minorHAnsi" w:hAnsiTheme="minorHAnsi" w:cstheme="minorHAnsi"/>
                <w:sz w:val="18"/>
                <w:szCs w:val="22"/>
                <w:lang w:eastAsia="en-US"/>
              </w:rPr>
              <w:t xml:space="preserve"> a </w:t>
            </w:r>
            <w:r w:rsidR="00B80FAD" w:rsidRPr="007C4D65">
              <w:rPr>
                <w:rFonts w:asciiTheme="minorHAnsi" w:eastAsiaTheme="minorHAnsi" w:hAnsiTheme="minorHAnsi" w:cstheme="minorHAnsi"/>
                <w:b/>
                <w:sz w:val="18"/>
                <w:szCs w:val="22"/>
                <w:lang w:eastAsia="en-US"/>
              </w:rPr>
              <w:t>bylaw</w:t>
            </w:r>
            <w:r w:rsidR="00005022" w:rsidRPr="007C4D65">
              <w:rPr>
                <w:rFonts w:asciiTheme="minorHAnsi" w:eastAsiaTheme="minorHAnsi" w:hAnsiTheme="minorHAnsi" w:cstheme="minorHAnsi"/>
                <w:b/>
                <w:sz w:val="18"/>
                <w:szCs w:val="22"/>
                <w:lang w:eastAsia="en-US"/>
              </w:rPr>
              <w:t xml:space="preserve"> imposing an obligation</w:t>
            </w:r>
            <w:r w:rsidR="00005022" w:rsidRPr="007C4D65">
              <w:rPr>
                <w:rFonts w:asciiTheme="minorHAnsi" w:eastAsiaTheme="minorHAnsi" w:hAnsiTheme="minorHAnsi" w:cstheme="minorHAnsi"/>
                <w:sz w:val="18"/>
                <w:szCs w:val="22"/>
                <w:lang w:eastAsia="en-US"/>
              </w:rPr>
              <w:t xml:space="preserve"> on all utility companies in </w:t>
            </w:r>
            <w:r w:rsidR="00987225" w:rsidRPr="007C4D65">
              <w:rPr>
                <w:rFonts w:asciiTheme="minorHAnsi" w:eastAsiaTheme="minorHAnsi" w:hAnsiTheme="minorHAnsi" w:cstheme="minorHAnsi"/>
                <w:sz w:val="18"/>
                <w:szCs w:val="22"/>
                <w:lang w:eastAsia="en-US"/>
              </w:rPr>
              <w:t xml:space="preserve">the </w:t>
            </w:r>
            <w:r w:rsidR="00005022" w:rsidRPr="007C4D65">
              <w:rPr>
                <w:rFonts w:asciiTheme="minorHAnsi" w:eastAsiaTheme="minorHAnsi" w:hAnsiTheme="minorHAnsi" w:cstheme="minorHAnsi"/>
                <w:sz w:val="18"/>
                <w:szCs w:val="22"/>
                <w:lang w:eastAsia="en-US"/>
              </w:rPr>
              <w:t>F</w:t>
            </w:r>
            <w:r w:rsidR="00987225" w:rsidRPr="007C4D65">
              <w:rPr>
                <w:rFonts w:asciiTheme="minorHAnsi" w:eastAsiaTheme="minorHAnsi" w:hAnsiTheme="minorHAnsi" w:cstheme="minorHAnsi"/>
                <w:sz w:val="18"/>
                <w:szCs w:val="22"/>
                <w:lang w:eastAsia="en-US"/>
              </w:rPr>
              <w:t xml:space="preserve">ederation of </w:t>
            </w:r>
            <w:r w:rsidR="00005022" w:rsidRPr="007C4D65">
              <w:rPr>
                <w:rFonts w:asciiTheme="minorHAnsi" w:eastAsiaTheme="minorHAnsi" w:hAnsiTheme="minorHAnsi" w:cstheme="minorHAnsi"/>
                <w:sz w:val="18"/>
                <w:szCs w:val="22"/>
                <w:lang w:eastAsia="en-US"/>
              </w:rPr>
              <w:t xml:space="preserve">BiH </w:t>
            </w:r>
            <w:r w:rsidR="00005022" w:rsidRPr="007C4D65">
              <w:rPr>
                <w:rFonts w:asciiTheme="minorHAnsi" w:eastAsiaTheme="minorHAnsi" w:hAnsiTheme="minorHAnsi" w:cstheme="minorHAnsi"/>
                <w:b/>
                <w:sz w:val="18"/>
                <w:szCs w:val="22"/>
                <w:lang w:eastAsia="en-US"/>
              </w:rPr>
              <w:t>to determine the quantity and composition of waste</w:t>
            </w:r>
            <w:r w:rsidR="00005022" w:rsidRPr="007C4D65">
              <w:rPr>
                <w:rFonts w:asciiTheme="minorHAnsi" w:eastAsiaTheme="minorHAnsi" w:hAnsiTheme="minorHAnsi" w:cstheme="minorHAnsi"/>
                <w:sz w:val="18"/>
                <w:szCs w:val="22"/>
                <w:lang w:eastAsia="en-US"/>
              </w:rPr>
              <w:t xml:space="preserve">, which should also prescribe the sampling methodology standards for waste </w:t>
            </w:r>
            <w:proofErr w:type="gramStart"/>
            <w:r w:rsidR="00005022" w:rsidRPr="007C4D65">
              <w:rPr>
                <w:rFonts w:asciiTheme="minorHAnsi" w:eastAsiaTheme="minorHAnsi" w:hAnsiTheme="minorHAnsi" w:cstheme="minorHAnsi"/>
                <w:sz w:val="18"/>
                <w:szCs w:val="22"/>
                <w:lang w:eastAsia="en-US"/>
              </w:rPr>
              <w:t>analysis</w:t>
            </w:r>
            <w:r w:rsidR="005C416E" w:rsidRPr="007C4D65">
              <w:rPr>
                <w:rFonts w:asciiTheme="minorHAnsi" w:eastAsiaTheme="minorHAnsi" w:hAnsiTheme="minorHAnsi" w:cstheme="minorHAnsi"/>
                <w:sz w:val="18"/>
                <w:szCs w:val="22"/>
                <w:lang w:eastAsia="en-US"/>
              </w:rPr>
              <w:t>;</w:t>
            </w:r>
            <w:proofErr w:type="gramEnd"/>
          </w:p>
          <w:p w14:paraId="33D95C05" w14:textId="07A4A526" w:rsidR="00005022" w:rsidRPr="007C4D65" w:rsidRDefault="00005022">
            <w:pPr>
              <w:numPr>
                <w:ilvl w:val="0"/>
                <w:numId w:val="10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Establishing a </w:t>
            </w:r>
            <w:r w:rsidRPr="007C4D65">
              <w:rPr>
                <w:rFonts w:asciiTheme="minorHAnsi" w:eastAsiaTheme="minorHAnsi" w:hAnsiTheme="minorHAnsi" w:cstheme="minorHAnsi"/>
                <w:b/>
                <w:sz w:val="18"/>
                <w:szCs w:val="22"/>
                <w:lang w:eastAsia="en-US"/>
              </w:rPr>
              <w:t>waste analysis</w:t>
            </w:r>
            <w:r w:rsidRPr="007C4D65">
              <w:rPr>
                <w:rFonts w:asciiTheme="minorHAnsi" w:eastAsiaTheme="minorHAnsi" w:hAnsiTheme="minorHAnsi" w:cstheme="minorHAnsi"/>
                <w:sz w:val="18"/>
                <w:szCs w:val="22"/>
                <w:lang w:eastAsia="en-US"/>
              </w:rPr>
              <w:t xml:space="preserve"> </w:t>
            </w:r>
            <w:proofErr w:type="gramStart"/>
            <w:r w:rsidRPr="007C4D65">
              <w:rPr>
                <w:rFonts w:asciiTheme="minorHAnsi" w:eastAsiaTheme="minorHAnsi" w:hAnsiTheme="minorHAnsi" w:cstheme="minorHAnsi"/>
                <w:sz w:val="18"/>
                <w:szCs w:val="22"/>
                <w:lang w:eastAsia="en-US"/>
              </w:rPr>
              <w:t>laboratory</w:t>
            </w:r>
            <w:r w:rsidR="00CD1F6D" w:rsidRPr="007C4D65">
              <w:rPr>
                <w:rFonts w:asciiTheme="minorHAnsi" w:eastAsiaTheme="minorHAnsi" w:hAnsiTheme="minorHAnsi" w:cstheme="minorHAnsi"/>
                <w:sz w:val="18"/>
                <w:szCs w:val="22"/>
                <w:lang w:eastAsia="en-US"/>
              </w:rPr>
              <w:t>;</w:t>
            </w:r>
            <w:proofErr w:type="gramEnd"/>
          </w:p>
          <w:p w14:paraId="34ABE8CF" w14:textId="61D8E52E" w:rsidR="00005022" w:rsidRPr="007C4D65" w:rsidRDefault="00005022">
            <w:pPr>
              <w:numPr>
                <w:ilvl w:val="0"/>
                <w:numId w:val="101"/>
              </w:numPr>
              <w:spacing w:before="40" w:after="40" w:line="276" w:lineRule="auto"/>
              <w:ind w:left="360"/>
              <w:contextualSpacing/>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Upgrading the waste management information system</w:t>
            </w:r>
            <w:r w:rsidRPr="007C4D65">
              <w:rPr>
                <w:rFonts w:asciiTheme="minorHAnsi" w:eastAsiaTheme="minorHAnsi" w:hAnsiTheme="minorHAnsi" w:cstheme="minorHAnsi"/>
                <w:sz w:val="18"/>
                <w:szCs w:val="22"/>
                <w:lang w:eastAsia="en-US"/>
              </w:rPr>
              <w:t xml:space="preserve"> through</w:t>
            </w:r>
            <w:r w:rsidR="005C416E" w:rsidRPr="007C4D65">
              <w:rPr>
                <w:rFonts w:asciiTheme="minorHAnsi" w:eastAsiaTheme="minorHAnsi" w:hAnsiTheme="minorHAnsi" w:cstheme="minorHAnsi"/>
                <w:sz w:val="18"/>
                <w:szCs w:val="22"/>
                <w:lang w:eastAsia="en-US"/>
              </w:rPr>
              <w:t>:</w:t>
            </w:r>
          </w:p>
          <w:p w14:paraId="420F217E" w14:textId="58DD0A26"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Continued upgrade of the waste management information system and furtherance of its interoperability, data preparation and forms of reports in response to users’ </w:t>
            </w:r>
            <w:proofErr w:type="gramStart"/>
            <w:r w:rsidRPr="007C4D65">
              <w:rPr>
                <w:rFonts w:asciiTheme="minorHAnsi" w:eastAsiaTheme="minorHAnsi" w:hAnsiTheme="minorHAnsi" w:cstheme="minorHAnsi"/>
                <w:sz w:val="18"/>
                <w:szCs w:val="22"/>
                <w:lang w:eastAsia="en-US"/>
              </w:rPr>
              <w:t>demand</w:t>
            </w:r>
            <w:r w:rsidR="005C416E" w:rsidRPr="007C4D65">
              <w:rPr>
                <w:rFonts w:asciiTheme="minorHAnsi" w:eastAsiaTheme="minorHAnsi" w:hAnsiTheme="minorHAnsi" w:cstheme="minorHAnsi"/>
                <w:sz w:val="18"/>
                <w:szCs w:val="22"/>
                <w:lang w:eastAsia="en-US"/>
              </w:rPr>
              <w:t>;</w:t>
            </w:r>
            <w:proofErr w:type="gramEnd"/>
          </w:p>
          <w:p w14:paraId="5984C5E0" w14:textId="1EFF92C5"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Identification and registration of all entities obliged to pay the fee</w:t>
            </w:r>
            <w:r w:rsidR="005C416E" w:rsidRPr="007C4D65">
              <w:rPr>
                <w:rFonts w:asciiTheme="minorHAnsi" w:eastAsiaTheme="minorHAnsi" w:hAnsiTheme="minorHAnsi" w:cstheme="minorHAnsi"/>
                <w:sz w:val="18"/>
                <w:szCs w:val="22"/>
                <w:lang w:eastAsia="en-US"/>
              </w:rPr>
              <w:t>:</w:t>
            </w:r>
          </w:p>
          <w:p w14:paraId="55A7F9D1" w14:textId="4DAE4956" w:rsidR="00005022" w:rsidRPr="007C4D65" w:rsidRDefault="00005022">
            <w:pPr>
              <w:numPr>
                <w:ilvl w:val="0"/>
                <w:numId w:val="99"/>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Human capacity building in the Environmental Protection Fund </w:t>
            </w:r>
            <w:r w:rsidR="00981E92" w:rsidRPr="007C4D65">
              <w:rPr>
                <w:rFonts w:asciiTheme="minorHAnsi" w:eastAsiaTheme="minorHAnsi" w:hAnsiTheme="minorHAnsi" w:cstheme="minorHAnsi"/>
                <w:sz w:val="18"/>
                <w:szCs w:val="22"/>
                <w:lang w:eastAsia="en-US"/>
              </w:rPr>
              <w:t>focusing on skills required to better run the</w:t>
            </w:r>
            <w:r w:rsidRPr="007C4D65">
              <w:rPr>
                <w:rFonts w:asciiTheme="minorHAnsi" w:eastAsiaTheme="minorHAnsi" w:hAnsiTheme="minorHAnsi" w:cstheme="minorHAnsi"/>
                <w:sz w:val="18"/>
                <w:szCs w:val="22"/>
                <w:lang w:eastAsia="en-US"/>
              </w:rPr>
              <w:t xml:space="preserve"> waste management information </w:t>
            </w:r>
            <w:proofErr w:type="gramStart"/>
            <w:r w:rsidRPr="007C4D65">
              <w:rPr>
                <w:rFonts w:asciiTheme="minorHAnsi" w:eastAsiaTheme="minorHAnsi" w:hAnsiTheme="minorHAnsi" w:cstheme="minorHAnsi"/>
                <w:sz w:val="18"/>
                <w:szCs w:val="22"/>
                <w:lang w:eastAsia="en-US"/>
              </w:rPr>
              <w:t>system</w:t>
            </w:r>
            <w:r w:rsidR="005C416E" w:rsidRPr="007C4D65">
              <w:rPr>
                <w:rFonts w:asciiTheme="minorHAnsi" w:eastAsiaTheme="minorHAnsi" w:hAnsiTheme="minorHAnsi" w:cstheme="minorHAnsi"/>
                <w:sz w:val="18"/>
                <w:szCs w:val="22"/>
                <w:lang w:eastAsia="en-US"/>
              </w:rPr>
              <w:t>;</w:t>
            </w:r>
            <w:proofErr w:type="gramEnd"/>
          </w:p>
          <w:p w14:paraId="28279FCB" w14:textId="324043CE" w:rsidR="00005022" w:rsidRPr="007C4D65" w:rsidRDefault="00005022">
            <w:pPr>
              <w:numPr>
                <w:ilvl w:val="0"/>
                <w:numId w:val="99"/>
              </w:numPr>
              <w:spacing w:before="40" w:after="40" w:line="276" w:lineRule="auto"/>
              <w:ind w:left="723"/>
              <w:contextualSpacing/>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Implementing annual education programmes for all waste reporting entities</w:t>
            </w:r>
            <w:r w:rsidR="005C416E" w:rsidRPr="007C4D65">
              <w:rPr>
                <w:rFonts w:asciiTheme="minorHAnsi" w:eastAsiaTheme="minorHAnsi" w:hAnsiTheme="minorHAnsi" w:cstheme="minorHAnsi"/>
                <w:sz w:val="18"/>
                <w:szCs w:val="22"/>
                <w:lang w:eastAsia="en-US"/>
              </w:rPr>
              <w:t>.</w:t>
            </w:r>
          </w:p>
        </w:tc>
      </w:tr>
      <w:tr w:rsidR="00005022" w:rsidRPr="007C4D65" w14:paraId="5EB27AEA" w14:textId="77777777" w:rsidTr="00BC37DE">
        <w:trPr>
          <w:trHeight w:val="567"/>
          <w:jc w:val="center"/>
        </w:trPr>
        <w:tc>
          <w:tcPr>
            <w:tcW w:w="1368" w:type="pct"/>
            <w:shd w:val="clear" w:color="auto" w:fill="009D73"/>
            <w:vAlign w:val="center"/>
          </w:tcPr>
          <w:p w14:paraId="4B4B1A2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Strategic projects</w:t>
            </w:r>
          </w:p>
        </w:tc>
        <w:tc>
          <w:tcPr>
            <w:tcW w:w="3632" w:type="pct"/>
            <w:gridSpan w:val="3"/>
            <w:shd w:val="clear" w:color="auto" w:fill="FFFFFF" w:themeFill="background1"/>
            <w:vAlign w:val="center"/>
          </w:tcPr>
          <w:p w14:paraId="1B386CCB"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w:t>
            </w:r>
          </w:p>
        </w:tc>
      </w:tr>
      <w:tr w:rsidR="00005022" w:rsidRPr="007C4D65" w14:paraId="665B387D" w14:textId="77777777" w:rsidTr="00BC37DE">
        <w:trPr>
          <w:trHeight w:val="567"/>
          <w:jc w:val="center"/>
        </w:trPr>
        <w:tc>
          <w:tcPr>
            <w:tcW w:w="1368" w:type="pct"/>
            <w:vMerge w:val="restart"/>
            <w:shd w:val="clear" w:color="auto" w:fill="009D73"/>
            <w:vAlign w:val="center"/>
          </w:tcPr>
          <w:p w14:paraId="002254A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 for monitoring of results</w:t>
            </w:r>
          </w:p>
        </w:tc>
        <w:tc>
          <w:tcPr>
            <w:tcW w:w="1059" w:type="pct"/>
            <w:shd w:val="clear" w:color="auto" w:fill="009D73"/>
            <w:vAlign w:val="center"/>
          </w:tcPr>
          <w:p w14:paraId="40173961"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5601117C"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6" w:type="pct"/>
            <w:shd w:val="clear" w:color="auto" w:fill="009D73"/>
            <w:vAlign w:val="center"/>
          </w:tcPr>
          <w:p w14:paraId="0208A2B5"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Baseline value</w:t>
            </w:r>
          </w:p>
          <w:p w14:paraId="2056B95F"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(2021)</w:t>
            </w:r>
          </w:p>
        </w:tc>
        <w:tc>
          <w:tcPr>
            <w:tcW w:w="1287" w:type="pct"/>
            <w:shd w:val="clear" w:color="auto" w:fill="009D73"/>
            <w:vAlign w:val="center"/>
          </w:tcPr>
          <w:p w14:paraId="3A122D28"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value</w:t>
            </w:r>
          </w:p>
        </w:tc>
      </w:tr>
      <w:tr w:rsidR="00005022" w:rsidRPr="007C4D65" w14:paraId="49EC18F0" w14:textId="77777777" w:rsidTr="00BC37DE">
        <w:trPr>
          <w:trHeight w:val="567"/>
          <w:jc w:val="center"/>
        </w:trPr>
        <w:tc>
          <w:tcPr>
            <w:tcW w:w="1368" w:type="pct"/>
            <w:vMerge/>
            <w:shd w:val="clear" w:color="auto" w:fill="009D73"/>
            <w:vAlign w:val="center"/>
          </w:tcPr>
          <w:p w14:paraId="5492EEE6"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059" w:type="pct"/>
            <w:shd w:val="clear" w:color="auto" w:fill="FFFFFF"/>
            <w:vAlign w:val="center"/>
          </w:tcPr>
          <w:p w14:paraId="23E3BF14" w14:textId="22FCE3C1"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a. The status of adoption of the </w:t>
            </w:r>
            <w:r w:rsidR="00B80FAD" w:rsidRPr="007C4D65">
              <w:rPr>
                <w:rFonts w:asciiTheme="minorHAnsi" w:eastAsiaTheme="minorHAnsi" w:hAnsiTheme="minorHAnsi" w:cstheme="minorHAnsi"/>
                <w:sz w:val="18"/>
                <w:szCs w:val="22"/>
                <w:lang w:eastAsia="en-US"/>
              </w:rPr>
              <w:t>bylaw</w:t>
            </w:r>
            <w:r w:rsidRPr="007C4D65">
              <w:rPr>
                <w:rFonts w:asciiTheme="minorHAnsi" w:eastAsiaTheme="minorHAnsi" w:hAnsiTheme="minorHAnsi" w:cstheme="minorHAnsi"/>
                <w:sz w:val="18"/>
                <w:szCs w:val="22"/>
                <w:lang w:eastAsia="en-US"/>
              </w:rPr>
              <w:t xml:space="preserve"> </w:t>
            </w:r>
            <w:r w:rsidR="00981E92" w:rsidRPr="007C4D65">
              <w:rPr>
                <w:rFonts w:asciiTheme="minorHAnsi" w:eastAsiaTheme="minorHAnsi" w:hAnsiTheme="minorHAnsi" w:cstheme="minorHAnsi"/>
                <w:sz w:val="18"/>
                <w:szCs w:val="22"/>
                <w:lang w:eastAsia="en-US"/>
              </w:rPr>
              <w:t>imposing</w:t>
            </w:r>
            <w:r w:rsidRPr="007C4D65">
              <w:rPr>
                <w:rFonts w:asciiTheme="minorHAnsi" w:eastAsiaTheme="minorHAnsi" w:hAnsiTheme="minorHAnsi" w:cstheme="minorHAnsi"/>
                <w:sz w:val="18"/>
                <w:szCs w:val="22"/>
                <w:lang w:eastAsia="en-US"/>
              </w:rPr>
              <w:t xml:space="preserve"> the obligation to determine the quantity and composition of waste</w:t>
            </w:r>
          </w:p>
        </w:tc>
        <w:tc>
          <w:tcPr>
            <w:tcW w:w="1286" w:type="pct"/>
            <w:shd w:val="clear" w:color="auto" w:fill="FFFFFF"/>
            <w:vAlign w:val="center"/>
          </w:tcPr>
          <w:p w14:paraId="73262DB7" w14:textId="34FDB71C"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w:t>
            </w:r>
            <w:r w:rsidR="00B80FAD" w:rsidRPr="007C4D65">
              <w:rPr>
                <w:rFonts w:asciiTheme="minorHAnsi" w:eastAsiaTheme="minorHAnsi" w:hAnsiTheme="minorHAnsi" w:cstheme="minorHAnsi"/>
                <w:sz w:val="18"/>
                <w:szCs w:val="22"/>
                <w:lang w:eastAsia="en-US"/>
              </w:rPr>
              <w:t>bylaw</w:t>
            </w:r>
            <w:r w:rsidRPr="007C4D65">
              <w:rPr>
                <w:rFonts w:asciiTheme="minorHAnsi" w:eastAsiaTheme="minorHAnsi" w:hAnsiTheme="minorHAnsi" w:cstheme="minorHAnsi"/>
                <w:sz w:val="18"/>
                <w:szCs w:val="22"/>
                <w:lang w:eastAsia="en-US"/>
              </w:rPr>
              <w:t xml:space="preserve"> has not been adopted</w:t>
            </w:r>
          </w:p>
        </w:tc>
        <w:tc>
          <w:tcPr>
            <w:tcW w:w="1287" w:type="pct"/>
            <w:shd w:val="clear" w:color="auto" w:fill="FFFFFF"/>
            <w:vAlign w:val="center"/>
          </w:tcPr>
          <w:p w14:paraId="238F4238" w14:textId="6845BE93" w:rsidR="00005022" w:rsidRPr="007C4D65" w:rsidRDefault="00005022" w:rsidP="00CD1F6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w:t>
            </w:r>
            <w:r w:rsidR="00B80FAD" w:rsidRPr="007C4D65">
              <w:rPr>
                <w:rFonts w:asciiTheme="minorHAnsi" w:eastAsiaTheme="minorHAnsi" w:hAnsiTheme="minorHAnsi" w:cstheme="minorHAnsi"/>
                <w:sz w:val="18"/>
                <w:szCs w:val="22"/>
                <w:lang w:eastAsia="en-US"/>
              </w:rPr>
              <w:t>bylaw</w:t>
            </w:r>
            <w:r w:rsidRPr="007C4D65">
              <w:rPr>
                <w:rFonts w:asciiTheme="minorHAnsi" w:eastAsiaTheme="minorHAnsi" w:hAnsiTheme="minorHAnsi" w:cstheme="minorHAnsi"/>
                <w:sz w:val="18"/>
                <w:szCs w:val="22"/>
                <w:lang w:eastAsia="en-US"/>
              </w:rPr>
              <w:t xml:space="preserve"> </w:t>
            </w:r>
            <w:r w:rsidR="00B27B33" w:rsidRPr="007C4D65">
              <w:rPr>
                <w:rFonts w:asciiTheme="minorHAnsi" w:eastAsiaTheme="minorHAnsi" w:hAnsiTheme="minorHAnsi" w:cstheme="minorHAnsi"/>
                <w:sz w:val="18"/>
                <w:szCs w:val="22"/>
                <w:lang w:eastAsia="en-US"/>
              </w:rPr>
              <w:t>imposing</w:t>
            </w:r>
            <w:r w:rsidRPr="007C4D65">
              <w:rPr>
                <w:rFonts w:asciiTheme="minorHAnsi" w:eastAsiaTheme="minorHAnsi" w:hAnsiTheme="minorHAnsi" w:cstheme="minorHAnsi"/>
                <w:sz w:val="18"/>
                <w:szCs w:val="22"/>
                <w:lang w:eastAsia="en-US"/>
              </w:rPr>
              <w:t xml:space="preserve"> the obligation to determine the quantity and composition of waste published in the Official Gazette of the Federation of BiH</w:t>
            </w:r>
            <w:r w:rsidR="00CD1F6D" w:rsidRPr="007C4D65">
              <w:rPr>
                <w:rFonts w:asciiTheme="minorHAnsi" w:eastAsiaTheme="minorHAnsi" w:hAnsiTheme="minorHAnsi" w:cstheme="minorHAnsi"/>
                <w:sz w:val="18"/>
                <w:szCs w:val="22"/>
                <w:lang w:eastAsia="en-US"/>
              </w:rPr>
              <w:t xml:space="preserve"> </w:t>
            </w:r>
            <w:r w:rsidRPr="007C4D65">
              <w:rPr>
                <w:rFonts w:asciiTheme="minorHAnsi" w:eastAsiaTheme="minorHAnsi" w:hAnsiTheme="minorHAnsi" w:cstheme="minorHAnsi"/>
                <w:sz w:val="18"/>
                <w:szCs w:val="22"/>
                <w:lang w:eastAsia="en-US"/>
              </w:rPr>
              <w:t>(2023)</w:t>
            </w:r>
          </w:p>
        </w:tc>
      </w:tr>
      <w:tr w:rsidR="00005022" w:rsidRPr="007C4D65" w14:paraId="786B0C8F" w14:textId="77777777" w:rsidTr="00BC37DE">
        <w:trPr>
          <w:trHeight w:val="567"/>
          <w:jc w:val="center"/>
        </w:trPr>
        <w:tc>
          <w:tcPr>
            <w:tcW w:w="1368" w:type="pct"/>
            <w:vMerge/>
            <w:shd w:val="clear" w:color="auto" w:fill="009D73"/>
            <w:vAlign w:val="center"/>
          </w:tcPr>
          <w:p w14:paraId="01858AAE"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059" w:type="pct"/>
            <w:shd w:val="clear" w:color="auto" w:fill="FFFFFF"/>
            <w:vAlign w:val="center"/>
          </w:tcPr>
          <w:p w14:paraId="7B25E05E"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b. Status of establishment of an accredited waste analysis laboratory</w:t>
            </w:r>
          </w:p>
        </w:tc>
        <w:tc>
          <w:tcPr>
            <w:tcW w:w="1286" w:type="pct"/>
            <w:shd w:val="clear" w:color="auto" w:fill="FFFFFF"/>
            <w:vAlign w:val="center"/>
          </w:tcPr>
          <w:p w14:paraId="771D67F6" w14:textId="5A1073D9"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No accredited waste analysis laboratory has been established</w:t>
            </w:r>
          </w:p>
        </w:tc>
        <w:tc>
          <w:tcPr>
            <w:tcW w:w="1287" w:type="pct"/>
            <w:shd w:val="clear" w:color="auto" w:fill="FFFFFF"/>
            <w:vAlign w:val="center"/>
          </w:tcPr>
          <w:p w14:paraId="3E2A50D0"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An accredited waste analysis laboratory established (2024)</w:t>
            </w:r>
          </w:p>
        </w:tc>
      </w:tr>
      <w:tr w:rsidR="00005022" w:rsidRPr="007C4D65" w14:paraId="55B16CFA" w14:textId="77777777" w:rsidTr="00BC37DE">
        <w:trPr>
          <w:trHeight w:val="567"/>
          <w:jc w:val="center"/>
        </w:trPr>
        <w:tc>
          <w:tcPr>
            <w:tcW w:w="1368" w:type="pct"/>
            <w:vMerge/>
            <w:shd w:val="clear" w:color="auto" w:fill="009D73"/>
            <w:vAlign w:val="center"/>
          </w:tcPr>
          <w:p w14:paraId="3DCDB15A"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059" w:type="pct"/>
            <w:shd w:val="clear" w:color="auto" w:fill="FFFFFF"/>
            <w:vAlign w:val="center"/>
          </w:tcPr>
          <w:p w14:paraId="171996A6"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c.1 Advanced IS modules and analytics</w:t>
            </w:r>
          </w:p>
          <w:p w14:paraId="4BB526AF"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c.2 Number of registered users of IS</w:t>
            </w:r>
          </w:p>
          <w:p w14:paraId="7F99F33E"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c.3 An IS Department formed and appropriately staffed with the </w:t>
            </w:r>
            <w:r w:rsidRPr="007C4D65">
              <w:rPr>
                <w:rFonts w:asciiTheme="minorHAnsi" w:eastAsiaTheme="minorHAnsi" w:hAnsiTheme="minorHAnsi" w:cstheme="minorHAnsi"/>
                <w:sz w:val="18"/>
                <w:szCs w:val="22"/>
                <w:lang w:eastAsia="en-US"/>
              </w:rPr>
              <w:lastRenderedPageBreak/>
              <w:t>Environmental Protection Fund of FBiH</w:t>
            </w:r>
          </w:p>
          <w:p w14:paraId="50159266"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c.4 Number of annual trainings for reporting entities</w:t>
            </w:r>
          </w:p>
        </w:tc>
        <w:tc>
          <w:tcPr>
            <w:tcW w:w="1286" w:type="pct"/>
            <w:shd w:val="clear" w:color="auto" w:fill="FFFFFF"/>
            <w:vAlign w:val="center"/>
          </w:tcPr>
          <w:p w14:paraId="669E3D14"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lastRenderedPageBreak/>
              <w:t>c.1. Limited analytical capabilities of IS</w:t>
            </w:r>
          </w:p>
          <w:p w14:paraId="5F9A02ED"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c.2 1000 users</w:t>
            </w:r>
          </w:p>
          <w:p w14:paraId="326F360F"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c.3 No IS Department formed with the Environmental Protection Fund of FBIH</w:t>
            </w:r>
          </w:p>
          <w:p w14:paraId="6F79AFDE"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c4. 1</w:t>
            </w:r>
          </w:p>
        </w:tc>
        <w:tc>
          <w:tcPr>
            <w:tcW w:w="1287" w:type="pct"/>
            <w:shd w:val="clear" w:color="auto" w:fill="FFFFFF"/>
            <w:vAlign w:val="center"/>
          </w:tcPr>
          <w:p w14:paraId="2A5CD05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c1. IS fully capable of responding to all analytical requests of the users (2028)</w:t>
            </w:r>
          </w:p>
          <w:p w14:paraId="45B224E0"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c.2. 5000 users (2032)</w:t>
            </w:r>
          </w:p>
          <w:p w14:paraId="5E3D7BD7" w14:textId="181DFD5E"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c.3 The IS Department formed with the Environmental Protection Fund of FB</w:t>
            </w:r>
            <w:r w:rsidR="00CD1F6D" w:rsidRPr="007C4D65">
              <w:rPr>
                <w:rFonts w:asciiTheme="minorHAnsi" w:eastAsiaTheme="minorHAnsi" w:hAnsiTheme="minorHAnsi" w:cstheme="minorHAnsi"/>
                <w:sz w:val="18"/>
                <w:szCs w:val="22"/>
                <w:lang w:eastAsia="en-US"/>
              </w:rPr>
              <w:t>i</w:t>
            </w:r>
            <w:r w:rsidRPr="007C4D65">
              <w:rPr>
                <w:rFonts w:asciiTheme="minorHAnsi" w:eastAsiaTheme="minorHAnsi" w:hAnsiTheme="minorHAnsi" w:cstheme="minorHAnsi"/>
                <w:sz w:val="18"/>
                <w:szCs w:val="22"/>
                <w:lang w:eastAsia="en-US"/>
              </w:rPr>
              <w:t>H (2025)</w:t>
            </w:r>
          </w:p>
          <w:p w14:paraId="77C4D878"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lastRenderedPageBreak/>
              <w:t>c4. 4 (annually, from 2023 until the end of the planning period)</w:t>
            </w:r>
          </w:p>
        </w:tc>
      </w:tr>
      <w:tr w:rsidR="00005022" w:rsidRPr="007C4D65" w14:paraId="7A1F5C21" w14:textId="77777777" w:rsidTr="00BC37DE">
        <w:trPr>
          <w:trHeight w:val="567"/>
          <w:jc w:val="center"/>
        </w:trPr>
        <w:tc>
          <w:tcPr>
            <w:tcW w:w="1368" w:type="pct"/>
            <w:shd w:val="clear" w:color="auto" w:fill="009D73"/>
            <w:vAlign w:val="center"/>
          </w:tcPr>
          <w:p w14:paraId="12AE968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Effect on the development and contribution of the measure to the priority</w:t>
            </w:r>
          </w:p>
        </w:tc>
        <w:tc>
          <w:tcPr>
            <w:tcW w:w="3632" w:type="pct"/>
            <w:gridSpan w:val="3"/>
            <w:shd w:val="clear" w:color="auto" w:fill="FFFFFF"/>
            <w:vAlign w:val="center"/>
          </w:tcPr>
          <w:p w14:paraId="4ED26FFF" w14:textId="518DC9C7" w:rsidR="00005022" w:rsidRPr="007C4D65" w:rsidRDefault="00B27B33"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waste management</w:t>
            </w:r>
          </w:p>
        </w:tc>
      </w:tr>
      <w:tr w:rsidR="00005022" w:rsidRPr="007C4D65" w14:paraId="30D8C91D" w14:textId="77777777" w:rsidTr="00BC37DE">
        <w:trPr>
          <w:trHeight w:val="567"/>
          <w:jc w:val="center"/>
        </w:trPr>
        <w:tc>
          <w:tcPr>
            <w:tcW w:w="1368" w:type="pct"/>
            <w:shd w:val="clear" w:color="auto" w:fill="009D73"/>
            <w:vAlign w:val="center"/>
          </w:tcPr>
          <w:p w14:paraId="201E5DAB" w14:textId="48F4776F"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Indicative financial projection, with specification of sources</w:t>
            </w:r>
          </w:p>
        </w:tc>
        <w:tc>
          <w:tcPr>
            <w:tcW w:w="3632" w:type="pct"/>
            <w:gridSpan w:val="3"/>
            <w:shd w:val="clear" w:color="auto" w:fill="FFFFFF"/>
            <w:vAlign w:val="center"/>
          </w:tcPr>
          <w:p w14:paraId="249F57FE" w14:textId="612F6569" w:rsidR="00B27B33" w:rsidRPr="007C4D65" w:rsidRDefault="00B27B33" w:rsidP="00B27B33">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rPr>
              <w:t>Amount: BAM 2,208,120</w:t>
            </w:r>
          </w:p>
          <w:p w14:paraId="47FC3061" w14:textId="3D2D6068" w:rsidR="00005022" w:rsidRPr="007C4D65" w:rsidRDefault="00B27B33" w:rsidP="00B27B33">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rPr>
              <w:t xml:space="preserve">Source: 20% </w:t>
            </w:r>
            <w:r w:rsidR="000E401F" w:rsidRPr="007C4D65">
              <w:rPr>
                <w:rFonts w:asciiTheme="minorHAnsi" w:hAnsiTheme="minorHAnsi" w:cstheme="minorHAnsi"/>
                <w:color w:val="000000" w:themeColor="text1"/>
                <w:sz w:val="18"/>
              </w:rPr>
              <w:t>government budget</w:t>
            </w:r>
            <w:r w:rsidRPr="007C4D65">
              <w:rPr>
                <w:rFonts w:asciiTheme="minorHAnsi" w:hAnsiTheme="minorHAnsi" w:cstheme="minorHAnsi"/>
                <w:color w:val="000000" w:themeColor="text1"/>
                <w:sz w:val="18"/>
              </w:rPr>
              <w:t>, 80% EU and other international donors</w:t>
            </w:r>
          </w:p>
        </w:tc>
      </w:tr>
      <w:tr w:rsidR="00005022" w:rsidRPr="007C4D65" w14:paraId="62275005" w14:textId="77777777" w:rsidTr="00BC37DE">
        <w:trPr>
          <w:trHeight w:val="567"/>
          <w:jc w:val="center"/>
        </w:trPr>
        <w:tc>
          <w:tcPr>
            <w:tcW w:w="1368" w:type="pct"/>
            <w:shd w:val="clear" w:color="auto" w:fill="009D73"/>
            <w:vAlign w:val="center"/>
          </w:tcPr>
          <w:p w14:paraId="07A8292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Period of the implementation of the measure</w:t>
            </w:r>
          </w:p>
        </w:tc>
        <w:tc>
          <w:tcPr>
            <w:tcW w:w="3632" w:type="pct"/>
            <w:gridSpan w:val="3"/>
            <w:shd w:val="clear" w:color="auto" w:fill="FFFFFF"/>
            <w:vAlign w:val="center"/>
          </w:tcPr>
          <w:p w14:paraId="593F081E"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2023-2032</w:t>
            </w:r>
          </w:p>
        </w:tc>
      </w:tr>
      <w:tr w:rsidR="00005022" w:rsidRPr="007C4D65" w14:paraId="441C10A8" w14:textId="77777777" w:rsidTr="00BC37DE">
        <w:trPr>
          <w:trHeight w:val="567"/>
          <w:jc w:val="center"/>
        </w:trPr>
        <w:tc>
          <w:tcPr>
            <w:tcW w:w="1368" w:type="pct"/>
            <w:shd w:val="clear" w:color="auto" w:fill="009D73"/>
            <w:vAlign w:val="center"/>
          </w:tcPr>
          <w:p w14:paraId="1935C9F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Institution responsible for coordination of the implementation of the measure</w:t>
            </w:r>
          </w:p>
        </w:tc>
        <w:tc>
          <w:tcPr>
            <w:tcW w:w="3632" w:type="pct"/>
            <w:gridSpan w:val="3"/>
            <w:shd w:val="clear" w:color="auto" w:fill="FFFFFF"/>
            <w:vAlign w:val="center"/>
          </w:tcPr>
          <w:p w14:paraId="3F914BF7" w14:textId="443922AD"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 in cooperation with the Government of FBIH</w:t>
            </w:r>
          </w:p>
        </w:tc>
      </w:tr>
      <w:tr w:rsidR="00005022" w:rsidRPr="007C4D65" w14:paraId="78FC0A35" w14:textId="77777777" w:rsidTr="00BC37DE">
        <w:trPr>
          <w:trHeight w:val="567"/>
          <w:jc w:val="center"/>
        </w:trPr>
        <w:tc>
          <w:tcPr>
            <w:tcW w:w="1368" w:type="pct"/>
            <w:shd w:val="clear" w:color="auto" w:fill="009D73"/>
            <w:vAlign w:val="center"/>
          </w:tcPr>
          <w:p w14:paraId="03B7D34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Implementing institutions</w:t>
            </w:r>
          </w:p>
        </w:tc>
        <w:tc>
          <w:tcPr>
            <w:tcW w:w="3632" w:type="pct"/>
            <w:gridSpan w:val="3"/>
            <w:shd w:val="clear" w:color="auto" w:fill="FFFFFF"/>
            <w:vAlign w:val="center"/>
          </w:tcPr>
          <w:p w14:paraId="3E3100E4" w14:textId="5C31A807"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 and Environmental Protection Fund of the Federation of BiH</w:t>
            </w:r>
          </w:p>
        </w:tc>
      </w:tr>
      <w:tr w:rsidR="00005022" w:rsidRPr="007C4D65" w14:paraId="67BF1A04" w14:textId="77777777" w:rsidTr="00BC37DE">
        <w:trPr>
          <w:trHeight w:val="567"/>
          <w:jc w:val="center"/>
        </w:trPr>
        <w:tc>
          <w:tcPr>
            <w:tcW w:w="1368" w:type="pct"/>
            <w:shd w:val="clear" w:color="auto" w:fill="009D73"/>
            <w:vAlign w:val="center"/>
          </w:tcPr>
          <w:p w14:paraId="78209C38" w14:textId="63373684"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groups</w:t>
            </w:r>
          </w:p>
        </w:tc>
        <w:tc>
          <w:tcPr>
            <w:tcW w:w="3632" w:type="pct"/>
            <w:gridSpan w:val="3"/>
            <w:shd w:val="clear" w:color="auto" w:fill="FFFFFF"/>
            <w:vAlign w:val="center"/>
          </w:tcPr>
          <w:p w14:paraId="1616120C" w14:textId="3F787532"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BiH, F</w:t>
            </w:r>
            <w:r w:rsidR="00B27B33" w:rsidRPr="007C4D65">
              <w:rPr>
                <w:rFonts w:asciiTheme="minorHAnsi" w:eastAsiaTheme="minorHAnsi" w:hAnsiTheme="minorHAnsi" w:cstheme="minorHAnsi"/>
                <w:sz w:val="18"/>
                <w:szCs w:val="22"/>
                <w:lang w:eastAsia="en-US"/>
              </w:rPr>
              <w:t>ederation</w:t>
            </w:r>
            <w:r w:rsidRPr="007C4D65">
              <w:rPr>
                <w:rFonts w:asciiTheme="minorHAnsi" w:eastAsiaTheme="minorHAnsi" w:hAnsiTheme="minorHAnsi" w:cstheme="minorHAnsi"/>
                <w:sz w:val="18"/>
                <w:szCs w:val="22"/>
                <w:lang w:eastAsia="en-US"/>
              </w:rPr>
              <w:t xml:space="preserve">, cantonal and city/municipal </w:t>
            </w:r>
            <w:r w:rsidR="00B27B33" w:rsidRPr="007C4D65">
              <w:rPr>
                <w:rFonts w:asciiTheme="minorHAnsi" w:eastAsiaTheme="minorHAnsi" w:hAnsiTheme="minorHAnsi" w:cstheme="minorHAnsi"/>
                <w:sz w:val="18"/>
                <w:szCs w:val="22"/>
                <w:lang w:eastAsia="en-US"/>
              </w:rPr>
              <w:t>governments</w:t>
            </w:r>
            <w:r w:rsidRPr="007C4D65">
              <w:rPr>
                <w:rFonts w:asciiTheme="minorHAnsi" w:eastAsiaTheme="minorHAnsi" w:hAnsiTheme="minorHAnsi" w:cstheme="minorHAnsi"/>
                <w:sz w:val="18"/>
                <w:szCs w:val="22"/>
                <w:lang w:eastAsia="en-US"/>
              </w:rPr>
              <w:t xml:space="preserve">, utility sector and private sector </w:t>
            </w:r>
          </w:p>
        </w:tc>
      </w:tr>
    </w:tbl>
    <w:p w14:paraId="29560C7B" w14:textId="77777777" w:rsidR="00005022" w:rsidRPr="007C4D65" w:rsidRDefault="00005022" w:rsidP="00005022">
      <w:pPr>
        <w:spacing w:line="276" w:lineRule="auto"/>
        <w:rPr>
          <w:rFonts w:asciiTheme="minorHAnsi" w:eastAsiaTheme="minorHAnsi" w:hAnsiTheme="minorHAnsi" w:cstheme="minorHAnsi"/>
          <w:sz w:val="22"/>
          <w:szCs w:val="22"/>
          <w:lang w:eastAsia="en-US"/>
        </w:rPr>
      </w:pPr>
    </w:p>
    <w:tbl>
      <w:tblPr>
        <w:tblW w:w="4794"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0"/>
        <w:gridCol w:w="3156"/>
        <w:gridCol w:w="3266"/>
        <w:gridCol w:w="3271"/>
      </w:tblGrid>
      <w:tr w:rsidR="00005022" w:rsidRPr="007C4D65" w14:paraId="7DB6281C" w14:textId="77777777" w:rsidTr="00BC37DE">
        <w:trPr>
          <w:trHeight w:val="567"/>
          <w:jc w:val="center"/>
        </w:trPr>
        <w:tc>
          <w:tcPr>
            <w:tcW w:w="1376" w:type="pct"/>
            <w:shd w:val="clear" w:color="auto" w:fill="009D73"/>
            <w:vAlign w:val="center"/>
          </w:tcPr>
          <w:p w14:paraId="65299C4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Link with the strategic goal</w:t>
            </w:r>
          </w:p>
        </w:tc>
        <w:tc>
          <w:tcPr>
            <w:tcW w:w="3624" w:type="pct"/>
            <w:gridSpan w:val="3"/>
            <w:shd w:val="clear" w:color="auto" w:fill="FFFFFF"/>
            <w:vAlign w:val="center"/>
          </w:tcPr>
          <w:p w14:paraId="085D4895" w14:textId="7777777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 Reducing waste and increasing reuse of materials</w:t>
            </w:r>
          </w:p>
        </w:tc>
      </w:tr>
      <w:tr w:rsidR="00005022" w:rsidRPr="007C4D65" w14:paraId="56E4AD17" w14:textId="77777777" w:rsidTr="00BC37DE">
        <w:trPr>
          <w:trHeight w:val="567"/>
          <w:jc w:val="center"/>
        </w:trPr>
        <w:tc>
          <w:tcPr>
            <w:tcW w:w="1376" w:type="pct"/>
            <w:shd w:val="clear" w:color="auto" w:fill="009D73"/>
            <w:vAlign w:val="center"/>
          </w:tcPr>
          <w:p w14:paraId="502DABE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Priority</w:t>
            </w:r>
          </w:p>
        </w:tc>
        <w:tc>
          <w:tcPr>
            <w:tcW w:w="3624" w:type="pct"/>
            <w:gridSpan w:val="3"/>
            <w:shd w:val="clear" w:color="auto" w:fill="FFFFFF"/>
            <w:vAlign w:val="center"/>
          </w:tcPr>
          <w:p w14:paraId="0328FFA9" w14:textId="69D5AB17" w:rsidR="00005022" w:rsidRPr="007C4D65" w:rsidRDefault="00005022" w:rsidP="00005022">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 xml:space="preserve">2.3. </w:t>
            </w:r>
            <w:bookmarkStart w:id="237" w:name="_Hlk116562746"/>
            <w:r w:rsidRPr="007C4D65">
              <w:rPr>
                <w:rFonts w:asciiTheme="minorHAnsi" w:eastAsiaTheme="minorHAnsi" w:hAnsiTheme="minorHAnsi" w:cstheme="minorHAnsi"/>
                <w:b/>
                <w:sz w:val="18"/>
                <w:szCs w:val="22"/>
                <w:lang w:eastAsia="en-US"/>
              </w:rPr>
              <w:t xml:space="preserve">Implementing economic and financial instruments and mechanisms </w:t>
            </w:r>
            <w:r w:rsidR="009E6B20" w:rsidRPr="007C4D65">
              <w:rPr>
                <w:rFonts w:asciiTheme="minorHAnsi" w:eastAsiaTheme="minorHAnsi" w:hAnsiTheme="minorHAnsi" w:cstheme="minorHAnsi"/>
                <w:b/>
                <w:sz w:val="18"/>
                <w:szCs w:val="22"/>
                <w:lang w:eastAsia="en-US"/>
              </w:rPr>
              <w:t>to reduce the amount of waste</w:t>
            </w:r>
            <w:r w:rsidRPr="007C4D65">
              <w:rPr>
                <w:rFonts w:asciiTheme="minorHAnsi" w:eastAsiaTheme="minorHAnsi" w:hAnsiTheme="minorHAnsi" w:cstheme="minorHAnsi"/>
                <w:b/>
                <w:sz w:val="18"/>
                <w:szCs w:val="22"/>
                <w:lang w:eastAsia="en-US"/>
              </w:rPr>
              <w:t xml:space="preserve"> and boost utilisation of all categories of waste</w:t>
            </w:r>
            <w:bookmarkEnd w:id="237"/>
          </w:p>
        </w:tc>
      </w:tr>
      <w:tr w:rsidR="00005022" w:rsidRPr="007C4D65" w14:paraId="356BB5F9" w14:textId="77777777" w:rsidTr="00BC37DE">
        <w:trPr>
          <w:trHeight w:val="567"/>
          <w:jc w:val="center"/>
        </w:trPr>
        <w:tc>
          <w:tcPr>
            <w:tcW w:w="1376" w:type="pct"/>
            <w:shd w:val="clear" w:color="auto" w:fill="009D73"/>
            <w:vAlign w:val="center"/>
          </w:tcPr>
          <w:p w14:paraId="1DD13C2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Title of the measure</w:t>
            </w:r>
          </w:p>
        </w:tc>
        <w:tc>
          <w:tcPr>
            <w:tcW w:w="3624" w:type="pct"/>
            <w:gridSpan w:val="3"/>
            <w:shd w:val="clear" w:color="auto" w:fill="FFFFFF"/>
            <w:vAlign w:val="center"/>
          </w:tcPr>
          <w:p w14:paraId="7EFC7043" w14:textId="45119289"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2.3.1 A revision of the current and implementation of further economic and financial instruments and mechanisms in the waste management sector</w:t>
            </w:r>
          </w:p>
        </w:tc>
      </w:tr>
      <w:tr w:rsidR="00005022" w:rsidRPr="007C4D65" w14:paraId="12CD22F2" w14:textId="77777777" w:rsidTr="00BC37DE">
        <w:trPr>
          <w:trHeight w:val="567"/>
          <w:jc w:val="center"/>
        </w:trPr>
        <w:tc>
          <w:tcPr>
            <w:tcW w:w="1376" w:type="pct"/>
            <w:shd w:val="clear" w:color="auto" w:fill="009D73"/>
            <w:vAlign w:val="center"/>
          </w:tcPr>
          <w:p w14:paraId="0030E03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 xml:space="preserve">Description of the measure with general area of intervention </w:t>
            </w:r>
          </w:p>
        </w:tc>
        <w:tc>
          <w:tcPr>
            <w:tcW w:w="3624" w:type="pct"/>
            <w:gridSpan w:val="3"/>
            <w:shd w:val="clear" w:color="auto" w:fill="FFFFFF"/>
            <w:vAlign w:val="center"/>
          </w:tcPr>
          <w:p w14:paraId="6E16276B" w14:textId="53D6914B"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This measure aims at supporting the transition towards a circular economy through financial instruments. </w:t>
            </w:r>
            <w:r w:rsidR="00042CF3" w:rsidRPr="007C4D65">
              <w:rPr>
                <w:rFonts w:asciiTheme="minorHAnsi" w:eastAsiaTheme="minorHAnsi" w:hAnsiTheme="minorHAnsi" w:cstheme="minorHAnsi"/>
                <w:sz w:val="18"/>
                <w:szCs w:val="22"/>
                <w:lang w:eastAsia="en-US"/>
              </w:rPr>
              <w:t>G</w:t>
            </w:r>
            <w:r w:rsidRPr="007C4D65">
              <w:rPr>
                <w:rFonts w:asciiTheme="minorHAnsi" w:eastAsiaTheme="minorHAnsi" w:hAnsiTheme="minorHAnsi" w:cstheme="minorHAnsi"/>
                <w:sz w:val="18"/>
                <w:szCs w:val="22"/>
                <w:lang w:eastAsia="en-US"/>
              </w:rPr>
              <w:t>eneral area</w:t>
            </w:r>
            <w:r w:rsidR="00042CF3" w:rsidRPr="007C4D65">
              <w:rPr>
                <w:rFonts w:asciiTheme="minorHAnsi" w:eastAsiaTheme="minorHAnsi" w:hAnsiTheme="minorHAnsi" w:cstheme="minorHAnsi"/>
                <w:sz w:val="18"/>
                <w:szCs w:val="22"/>
                <w:lang w:eastAsia="en-US"/>
              </w:rPr>
              <w:t>s</w:t>
            </w:r>
            <w:r w:rsidRPr="007C4D65">
              <w:rPr>
                <w:rFonts w:asciiTheme="minorHAnsi" w:eastAsiaTheme="minorHAnsi" w:hAnsiTheme="minorHAnsi" w:cstheme="minorHAnsi"/>
                <w:sz w:val="18"/>
                <w:szCs w:val="22"/>
                <w:lang w:eastAsia="en-US"/>
              </w:rPr>
              <w:t xml:space="preserve"> of intervention focus on a </w:t>
            </w:r>
            <w:proofErr w:type="gramStart"/>
            <w:r w:rsidRPr="007C4D65">
              <w:rPr>
                <w:rFonts w:asciiTheme="minorHAnsi" w:eastAsiaTheme="minorHAnsi" w:hAnsiTheme="minorHAnsi" w:cstheme="minorHAnsi"/>
                <w:sz w:val="18"/>
                <w:szCs w:val="22"/>
                <w:lang w:eastAsia="en-US"/>
              </w:rPr>
              <w:t>review</w:t>
            </w:r>
            <w:r w:rsidR="00CA25B6" w:rsidRPr="007C4D65">
              <w:rPr>
                <w:rFonts w:asciiTheme="minorHAnsi" w:eastAsiaTheme="minorHAnsi" w:hAnsiTheme="minorHAnsi" w:cstheme="minorHAnsi"/>
                <w:sz w:val="18"/>
                <w:szCs w:val="22"/>
                <w:lang w:eastAsia="en-US"/>
              </w:rPr>
              <w:t>ing</w:t>
            </w:r>
            <w:r w:rsidRPr="007C4D65">
              <w:rPr>
                <w:rFonts w:asciiTheme="minorHAnsi" w:eastAsiaTheme="minorHAnsi" w:hAnsiTheme="minorHAnsi" w:cstheme="minorHAnsi"/>
                <w:sz w:val="18"/>
                <w:szCs w:val="22"/>
                <w:lang w:eastAsia="en-US"/>
              </w:rPr>
              <w:t xml:space="preserve"> options</w:t>
            </w:r>
            <w:proofErr w:type="gramEnd"/>
            <w:r w:rsidRPr="007C4D65">
              <w:rPr>
                <w:rFonts w:asciiTheme="minorHAnsi" w:eastAsiaTheme="minorHAnsi" w:hAnsiTheme="minorHAnsi" w:cstheme="minorHAnsi"/>
                <w:sz w:val="18"/>
                <w:szCs w:val="22"/>
                <w:lang w:eastAsia="en-US"/>
              </w:rPr>
              <w:t xml:space="preserve"> and defining recommendations of the current and implementation of further economic and financial instruments and mechanisms which </w:t>
            </w:r>
            <w:r w:rsidR="00CA25B6" w:rsidRPr="007C4D65">
              <w:rPr>
                <w:rFonts w:asciiTheme="minorHAnsi" w:eastAsiaTheme="minorHAnsi" w:hAnsiTheme="minorHAnsi" w:cstheme="minorHAnsi"/>
                <w:sz w:val="18"/>
                <w:szCs w:val="22"/>
                <w:lang w:eastAsia="en-US"/>
              </w:rPr>
              <w:t>should</w:t>
            </w:r>
            <w:r w:rsidRPr="007C4D65">
              <w:rPr>
                <w:rFonts w:asciiTheme="minorHAnsi" w:eastAsiaTheme="minorHAnsi" w:hAnsiTheme="minorHAnsi" w:cstheme="minorHAnsi"/>
                <w:sz w:val="18"/>
                <w:szCs w:val="22"/>
                <w:lang w:eastAsia="en-US"/>
              </w:rPr>
              <w:t xml:space="preserve"> reduce the quantity and boost utilisation of all categories of waste, including but not limited </w:t>
            </w:r>
            <w:r w:rsidR="00CA25B6" w:rsidRPr="007C4D65">
              <w:rPr>
                <w:rFonts w:asciiTheme="minorHAnsi" w:eastAsiaTheme="minorHAnsi" w:hAnsiTheme="minorHAnsi" w:cstheme="minorHAnsi"/>
                <w:sz w:val="18"/>
                <w:szCs w:val="22"/>
                <w:lang w:eastAsia="en-US"/>
              </w:rPr>
              <w:t>to:</w:t>
            </w:r>
          </w:p>
          <w:p w14:paraId="267AE48A" w14:textId="74DBB0FA" w:rsidR="00005022" w:rsidRPr="007C4D65" w:rsidRDefault="00CA25B6">
            <w:pPr>
              <w:numPr>
                <w:ilvl w:val="0"/>
                <w:numId w:val="99"/>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Revision of the </w:t>
            </w:r>
            <w:r w:rsidR="000A0DEF" w:rsidRPr="007C4D65">
              <w:rPr>
                <w:rFonts w:asciiTheme="minorHAnsi" w:eastAsiaTheme="minorHAnsi" w:hAnsiTheme="minorHAnsi" w:cstheme="minorHAnsi"/>
                <w:sz w:val="18"/>
                <w:szCs w:val="22"/>
                <w:lang w:eastAsia="en-US"/>
              </w:rPr>
              <w:t>sanctions policy</w:t>
            </w:r>
            <w:r w:rsidRPr="007C4D65">
              <w:rPr>
                <w:rFonts w:asciiTheme="minorHAnsi" w:eastAsiaTheme="minorHAnsi" w:hAnsiTheme="minorHAnsi" w:cstheme="minorHAnsi"/>
                <w:sz w:val="18"/>
                <w:szCs w:val="22"/>
                <w:lang w:eastAsia="en-US"/>
              </w:rPr>
              <w:t xml:space="preserve"> and review of the current fees such as the tax on light plastic carrying bags, tax on motor vehicles registration, etc </w:t>
            </w:r>
            <w:r w:rsidR="00005022" w:rsidRPr="007C4D65">
              <w:rPr>
                <w:rFonts w:asciiTheme="minorHAnsi" w:eastAsiaTheme="minorHAnsi" w:hAnsiTheme="minorHAnsi" w:cstheme="minorHAnsi"/>
                <w:sz w:val="18"/>
                <w:szCs w:val="22"/>
                <w:lang w:eastAsia="en-US"/>
              </w:rPr>
              <w:t xml:space="preserve">Introducing tax on disposal of waste on non-compliant municipal </w:t>
            </w:r>
            <w:proofErr w:type="gramStart"/>
            <w:r w:rsidR="00005022" w:rsidRPr="007C4D65">
              <w:rPr>
                <w:rFonts w:asciiTheme="minorHAnsi" w:eastAsiaTheme="minorHAnsi" w:hAnsiTheme="minorHAnsi" w:cstheme="minorHAnsi"/>
                <w:sz w:val="18"/>
                <w:szCs w:val="22"/>
                <w:lang w:eastAsia="en-US"/>
              </w:rPr>
              <w:t>landfills</w:t>
            </w:r>
            <w:r w:rsidR="005C416E" w:rsidRPr="007C4D65">
              <w:rPr>
                <w:rFonts w:asciiTheme="minorHAnsi" w:eastAsia="Calibri" w:hAnsiTheme="minorHAnsi" w:cstheme="minorHAnsi"/>
                <w:sz w:val="18"/>
                <w:szCs w:val="18"/>
                <w:lang w:eastAsia="en-US"/>
              </w:rPr>
              <w:t>;</w:t>
            </w:r>
            <w:proofErr w:type="gramEnd"/>
          </w:p>
          <w:p w14:paraId="10977EAA" w14:textId="3CD31368" w:rsidR="00605D4F" w:rsidRPr="007C4D65" w:rsidRDefault="00605D4F">
            <w:pPr>
              <w:numPr>
                <w:ilvl w:val="0"/>
                <w:numId w:val="99"/>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Introducing a tax waste disposed on non-compliant municipal </w:t>
            </w:r>
            <w:proofErr w:type="gramStart"/>
            <w:r w:rsidRPr="007C4D65">
              <w:rPr>
                <w:rFonts w:asciiTheme="minorHAnsi" w:eastAsia="Calibri" w:hAnsiTheme="minorHAnsi" w:cstheme="minorHAnsi"/>
                <w:sz w:val="18"/>
                <w:szCs w:val="18"/>
                <w:lang w:eastAsia="en-US"/>
              </w:rPr>
              <w:t>landfills</w:t>
            </w:r>
            <w:r w:rsidR="005C416E" w:rsidRPr="007C4D65">
              <w:rPr>
                <w:rFonts w:asciiTheme="minorHAnsi" w:eastAsia="Calibri" w:hAnsiTheme="minorHAnsi" w:cstheme="minorHAnsi"/>
                <w:sz w:val="18"/>
                <w:szCs w:val="18"/>
                <w:lang w:eastAsia="en-US"/>
              </w:rPr>
              <w:t>;</w:t>
            </w:r>
            <w:proofErr w:type="gramEnd"/>
          </w:p>
          <w:p w14:paraId="539E402C" w14:textId="597E1914" w:rsidR="00005022" w:rsidRPr="007C4D65" w:rsidRDefault="00005022">
            <w:pPr>
              <w:numPr>
                <w:ilvl w:val="0"/>
                <w:numId w:val="99"/>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Introducing differential rates for different materials and types of </w:t>
            </w:r>
            <w:proofErr w:type="gramStart"/>
            <w:r w:rsidRPr="007C4D65">
              <w:rPr>
                <w:rFonts w:asciiTheme="minorHAnsi" w:eastAsiaTheme="minorHAnsi" w:hAnsiTheme="minorHAnsi" w:cstheme="minorHAnsi"/>
                <w:sz w:val="18"/>
                <w:szCs w:val="22"/>
                <w:lang w:eastAsia="en-US"/>
              </w:rPr>
              <w:t>packaging</w:t>
            </w:r>
            <w:r w:rsidR="005C416E" w:rsidRPr="007C4D65">
              <w:rPr>
                <w:rFonts w:asciiTheme="minorHAnsi" w:eastAsiaTheme="minorHAnsi" w:hAnsiTheme="minorHAnsi" w:cstheme="minorHAnsi"/>
                <w:sz w:val="18"/>
                <w:szCs w:val="22"/>
                <w:lang w:eastAsia="en-US"/>
              </w:rPr>
              <w:t>;</w:t>
            </w:r>
            <w:proofErr w:type="gramEnd"/>
          </w:p>
          <w:p w14:paraId="1A13B96A" w14:textId="4E094D46" w:rsidR="00005022" w:rsidRPr="007C4D65" w:rsidRDefault="00005022">
            <w:pPr>
              <w:numPr>
                <w:ilvl w:val="0"/>
                <w:numId w:val="99"/>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lastRenderedPageBreak/>
              <w:t xml:space="preserve">Abolish the tax on utility services, </w:t>
            </w:r>
            <w:proofErr w:type="gramStart"/>
            <w:r w:rsidRPr="007C4D65">
              <w:rPr>
                <w:rFonts w:asciiTheme="minorHAnsi" w:eastAsiaTheme="minorHAnsi" w:hAnsiTheme="minorHAnsi" w:cstheme="minorHAnsi"/>
                <w:sz w:val="18"/>
                <w:szCs w:val="22"/>
                <w:lang w:eastAsia="en-US"/>
              </w:rPr>
              <w:t>etc.</w:t>
            </w:r>
            <w:r w:rsidR="005C416E" w:rsidRPr="007C4D65">
              <w:rPr>
                <w:rFonts w:asciiTheme="minorHAnsi" w:eastAsia="Calibri" w:hAnsiTheme="minorHAnsi" w:cstheme="minorHAnsi"/>
                <w:sz w:val="18"/>
                <w:szCs w:val="18"/>
                <w:lang w:eastAsia="en-US"/>
              </w:rPr>
              <w:t>;</w:t>
            </w:r>
            <w:proofErr w:type="gramEnd"/>
          </w:p>
          <w:p w14:paraId="7910C11B" w14:textId="55E649D3" w:rsidR="00605D4F" w:rsidRPr="007C4D65" w:rsidRDefault="00605D4F">
            <w:pPr>
              <w:numPr>
                <w:ilvl w:val="0"/>
                <w:numId w:val="99"/>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Creating a legal framework and technical conditions for reuse of waste from industrial landfills (such as slag and ash waste)</w:t>
            </w:r>
            <w:r w:rsidR="005C416E" w:rsidRPr="007C4D65">
              <w:rPr>
                <w:rFonts w:asciiTheme="minorHAnsi" w:eastAsia="Calibri" w:hAnsiTheme="minorHAnsi" w:cstheme="minorHAnsi"/>
                <w:sz w:val="18"/>
                <w:szCs w:val="18"/>
                <w:lang w:eastAsia="en-US"/>
              </w:rPr>
              <w:t>.</w:t>
            </w:r>
          </w:p>
        </w:tc>
      </w:tr>
      <w:tr w:rsidR="00005022" w:rsidRPr="007C4D65" w14:paraId="3F19D404" w14:textId="77777777" w:rsidTr="00BC37DE">
        <w:trPr>
          <w:trHeight w:val="567"/>
          <w:jc w:val="center"/>
        </w:trPr>
        <w:tc>
          <w:tcPr>
            <w:tcW w:w="1376" w:type="pct"/>
            <w:shd w:val="clear" w:color="auto" w:fill="009D73"/>
            <w:vAlign w:val="center"/>
          </w:tcPr>
          <w:p w14:paraId="62C2546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Strategic projects</w:t>
            </w:r>
          </w:p>
        </w:tc>
        <w:tc>
          <w:tcPr>
            <w:tcW w:w="3624" w:type="pct"/>
            <w:gridSpan w:val="3"/>
            <w:shd w:val="clear" w:color="auto" w:fill="FFFFFF" w:themeFill="background1"/>
            <w:vAlign w:val="center"/>
          </w:tcPr>
          <w:p w14:paraId="542C35D3"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w:t>
            </w:r>
          </w:p>
        </w:tc>
      </w:tr>
      <w:tr w:rsidR="00005022" w:rsidRPr="007C4D65" w14:paraId="2FF76586" w14:textId="77777777" w:rsidTr="00BC37DE">
        <w:trPr>
          <w:trHeight w:val="567"/>
          <w:jc w:val="center"/>
        </w:trPr>
        <w:tc>
          <w:tcPr>
            <w:tcW w:w="1376" w:type="pct"/>
            <w:vMerge w:val="restart"/>
            <w:shd w:val="clear" w:color="auto" w:fill="009D73"/>
            <w:vAlign w:val="center"/>
          </w:tcPr>
          <w:p w14:paraId="5CE77AA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 for monitoring of results</w:t>
            </w:r>
          </w:p>
        </w:tc>
        <w:tc>
          <w:tcPr>
            <w:tcW w:w="1180" w:type="pct"/>
            <w:shd w:val="clear" w:color="auto" w:fill="009D73"/>
            <w:vAlign w:val="center"/>
          </w:tcPr>
          <w:p w14:paraId="3759A419"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04F932D8"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21" w:type="pct"/>
            <w:shd w:val="clear" w:color="auto" w:fill="009D73"/>
            <w:vAlign w:val="center"/>
          </w:tcPr>
          <w:p w14:paraId="67204130"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Baseline value</w:t>
            </w:r>
          </w:p>
          <w:p w14:paraId="5B71BB88"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(2021)</w:t>
            </w:r>
          </w:p>
        </w:tc>
        <w:tc>
          <w:tcPr>
            <w:tcW w:w="1223" w:type="pct"/>
            <w:shd w:val="clear" w:color="auto" w:fill="009D73"/>
            <w:vAlign w:val="center"/>
          </w:tcPr>
          <w:p w14:paraId="35343C3B"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value</w:t>
            </w:r>
          </w:p>
        </w:tc>
      </w:tr>
      <w:tr w:rsidR="00005022" w:rsidRPr="007C4D65" w14:paraId="53B99D02" w14:textId="77777777" w:rsidTr="00BC37DE">
        <w:trPr>
          <w:trHeight w:val="567"/>
          <w:jc w:val="center"/>
        </w:trPr>
        <w:tc>
          <w:tcPr>
            <w:tcW w:w="1376" w:type="pct"/>
            <w:vMerge/>
            <w:shd w:val="clear" w:color="auto" w:fill="009D73"/>
            <w:vAlign w:val="center"/>
          </w:tcPr>
          <w:p w14:paraId="40FE8119"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180" w:type="pct"/>
            <w:shd w:val="clear" w:color="auto" w:fill="FFFFFF"/>
            <w:vAlign w:val="center"/>
          </w:tcPr>
          <w:p w14:paraId="7EAB777E"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The status of the proposal for new economic and financial instruments</w:t>
            </w:r>
          </w:p>
        </w:tc>
        <w:tc>
          <w:tcPr>
            <w:tcW w:w="1221" w:type="pct"/>
            <w:shd w:val="clear" w:color="auto" w:fill="FFFFFF"/>
            <w:vAlign w:val="center"/>
          </w:tcPr>
          <w:p w14:paraId="13140DB2" w14:textId="3B9EC396" w:rsidR="00005022" w:rsidRPr="007C4D65" w:rsidRDefault="00605D4F"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No</w:t>
            </w:r>
            <w:r w:rsidR="00005022" w:rsidRPr="007C4D65">
              <w:rPr>
                <w:rFonts w:asciiTheme="minorHAnsi" w:eastAsiaTheme="minorHAnsi" w:hAnsiTheme="minorHAnsi" w:cstheme="minorHAnsi"/>
                <w:sz w:val="18"/>
                <w:szCs w:val="22"/>
                <w:lang w:eastAsia="en-US"/>
              </w:rPr>
              <w:t xml:space="preserve"> proposal has not been </w:t>
            </w:r>
            <w:r w:rsidRPr="007C4D65">
              <w:rPr>
                <w:rFonts w:asciiTheme="minorHAnsi" w:eastAsiaTheme="minorHAnsi" w:hAnsiTheme="minorHAnsi" w:cstheme="minorHAnsi"/>
                <w:sz w:val="18"/>
                <w:szCs w:val="22"/>
                <w:lang w:eastAsia="en-US"/>
              </w:rPr>
              <w:t>offered</w:t>
            </w:r>
            <w:r w:rsidR="00005022" w:rsidRPr="007C4D65">
              <w:rPr>
                <w:rFonts w:asciiTheme="minorHAnsi" w:eastAsiaTheme="minorHAnsi" w:hAnsiTheme="minorHAnsi" w:cstheme="minorHAnsi"/>
                <w:sz w:val="18"/>
                <w:szCs w:val="22"/>
                <w:lang w:eastAsia="en-US"/>
              </w:rPr>
              <w:t>, and only 2 financial instruments</w:t>
            </w:r>
            <w:r w:rsidRPr="007C4D65">
              <w:rPr>
                <w:rFonts w:asciiTheme="minorHAnsi" w:eastAsiaTheme="minorHAnsi" w:hAnsiTheme="minorHAnsi" w:cstheme="minorHAnsi"/>
                <w:sz w:val="18"/>
                <w:szCs w:val="22"/>
                <w:lang w:eastAsia="en-US"/>
              </w:rPr>
              <w:t xml:space="preserve"> are currently available</w:t>
            </w:r>
            <w:r w:rsidR="00005022" w:rsidRPr="007C4D65">
              <w:rPr>
                <w:rFonts w:asciiTheme="minorHAnsi" w:eastAsiaTheme="minorHAnsi" w:hAnsiTheme="minorHAnsi" w:cstheme="minorHAnsi"/>
                <w:sz w:val="18"/>
                <w:szCs w:val="22"/>
                <w:lang w:eastAsia="en-US"/>
              </w:rPr>
              <w:t xml:space="preserve"> in the waste management area</w:t>
            </w:r>
          </w:p>
        </w:tc>
        <w:tc>
          <w:tcPr>
            <w:tcW w:w="1223" w:type="pct"/>
            <w:shd w:val="clear" w:color="auto" w:fill="FFFFFF"/>
            <w:vAlign w:val="center"/>
          </w:tcPr>
          <w:p w14:paraId="4A705D57" w14:textId="7B53BCB6" w:rsidR="00005022" w:rsidRPr="007C4D65" w:rsidRDefault="00005022" w:rsidP="00CD1F6D">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The proposal prepared and activities on the implementation of new financial instruments initiated</w:t>
            </w:r>
            <w:r w:rsidR="00CD1F6D" w:rsidRPr="007C4D65">
              <w:rPr>
                <w:rFonts w:asciiTheme="minorHAnsi" w:eastAsiaTheme="minorHAnsi" w:hAnsiTheme="minorHAnsi" w:cstheme="minorHAnsi"/>
                <w:sz w:val="18"/>
                <w:szCs w:val="22"/>
                <w:lang w:eastAsia="en-US"/>
              </w:rPr>
              <w:t xml:space="preserve"> </w:t>
            </w:r>
            <w:r w:rsidRPr="007C4D65">
              <w:rPr>
                <w:rFonts w:asciiTheme="minorHAnsi" w:eastAsiaTheme="minorHAnsi" w:hAnsiTheme="minorHAnsi" w:cstheme="minorHAnsi"/>
                <w:sz w:val="18"/>
                <w:szCs w:val="22"/>
                <w:lang w:eastAsia="en-US"/>
              </w:rPr>
              <w:t>(2026)</w:t>
            </w:r>
          </w:p>
        </w:tc>
      </w:tr>
      <w:tr w:rsidR="00005022" w:rsidRPr="007C4D65" w14:paraId="5A14200E" w14:textId="77777777" w:rsidTr="00BC37DE">
        <w:trPr>
          <w:trHeight w:val="567"/>
          <w:jc w:val="center"/>
        </w:trPr>
        <w:tc>
          <w:tcPr>
            <w:tcW w:w="1376" w:type="pct"/>
            <w:shd w:val="clear" w:color="auto" w:fill="009D73"/>
            <w:vAlign w:val="center"/>
          </w:tcPr>
          <w:p w14:paraId="12C93DB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Effect on the development and contribution of the measure to the priority</w:t>
            </w:r>
          </w:p>
        </w:tc>
        <w:tc>
          <w:tcPr>
            <w:tcW w:w="3624" w:type="pct"/>
            <w:gridSpan w:val="3"/>
            <w:shd w:val="clear" w:color="auto" w:fill="FFFFFF"/>
            <w:vAlign w:val="center"/>
          </w:tcPr>
          <w:p w14:paraId="4D51E6E8" w14:textId="35E7CA7C" w:rsidR="00005022" w:rsidRPr="007C4D65" w:rsidRDefault="00605D4F"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Ensuring financial sustainability, and better services for citizens and industry</w:t>
            </w:r>
          </w:p>
        </w:tc>
      </w:tr>
      <w:tr w:rsidR="00005022" w:rsidRPr="007C4D65" w14:paraId="1998DF90" w14:textId="77777777" w:rsidTr="00BC37DE">
        <w:trPr>
          <w:trHeight w:val="567"/>
          <w:jc w:val="center"/>
        </w:trPr>
        <w:tc>
          <w:tcPr>
            <w:tcW w:w="1376" w:type="pct"/>
            <w:shd w:val="clear" w:color="auto" w:fill="009D73"/>
            <w:vAlign w:val="center"/>
          </w:tcPr>
          <w:p w14:paraId="511EA7C1" w14:textId="60A78751"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Indicative financial projection, with specification of sources</w:t>
            </w:r>
          </w:p>
        </w:tc>
        <w:tc>
          <w:tcPr>
            <w:tcW w:w="3624" w:type="pct"/>
            <w:gridSpan w:val="3"/>
            <w:shd w:val="clear" w:color="auto" w:fill="FFFFFF"/>
            <w:vAlign w:val="center"/>
          </w:tcPr>
          <w:p w14:paraId="6F9D6E67" w14:textId="77777777" w:rsidR="00605D4F" w:rsidRPr="007C4D65" w:rsidRDefault="00605D4F" w:rsidP="00605D4F">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Amount: BAM 58,675 </w:t>
            </w:r>
          </w:p>
          <w:p w14:paraId="20167BD2" w14:textId="25E24CDC" w:rsidR="00005022" w:rsidRPr="007C4D65" w:rsidRDefault="004B4EEC" w:rsidP="00605D4F">
            <w:pPr>
              <w:spacing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Source</w:t>
            </w:r>
            <w:r w:rsidR="00605D4F" w:rsidRPr="007C4D65">
              <w:rPr>
                <w:rFonts w:asciiTheme="minorHAnsi" w:hAnsiTheme="minorHAnsi" w:cstheme="minorHAnsi"/>
                <w:color w:val="000000" w:themeColor="text1"/>
                <w:sz w:val="18"/>
                <w:szCs w:val="18"/>
              </w:rPr>
              <w:t xml:space="preserve">: 100% </w:t>
            </w:r>
            <w:r w:rsidR="000E401F" w:rsidRPr="007C4D65">
              <w:rPr>
                <w:rFonts w:asciiTheme="minorHAnsi" w:hAnsiTheme="minorHAnsi" w:cstheme="minorHAnsi"/>
                <w:color w:val="000000" w:themeColor="text1"/>
                <w:sz w:val="18"/>
                <w:szCs w:val="18"/>
              </w:rPr>
              <w:t>government budget</w:t>
            </w:r>
          </w:p>
        </w:tc>
      </w:tr>
      <w:tr w:rsidR="00005022" w:rsidRPr="007C4D65" w14:paraId="13B2AE69" w14:textId="77777777" w:rsidTr="00BC37DE">
        <w:trPr>
          <w:trHeight w:val="567"/>
          <w:jc w:val="center"/>
        </w:trPr>
        <w:tc>
          <w:tcPr>
            <w:tcW w:w="1376" w:type="pct"/>
            <w:shd w:val="clear" w:color="auto" w:fill="009D73"/>
            <w:vAlign w:val="center"/>
          </w:tcPr>
          <w:p w14:paraId="18C55A9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Period of the implementation of the measure</w:t>
            </w:r>
          </w:p>
        </w:tc>
        <w:tc>
          <w:tcPr>
            <w:tcW w:w="3624" w:type="pct"/>
            <w:gridSpan w:val="3"/>
            <w:shd w:val="clear" w:color="auto" w:fill="FFFFFF"/>
            <w:vAlign w:val="center"/>
          </w:tcPr>
          <w:p w14:paraId="66317DC4"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2023-2026</w:t>
            </w:r>
          </w:p>
        </w:tc>
      </w:tr>
      <w:tr w:rsidR="00005022" w:rsidRPr="007C4D65" w14:paraId="7A83AF45" w14:textId="77777777" w:rsidTr="00BC37DE">
        <w:trPr>
          <w:trHeight w:val="567"/>
          <w:jc w:val="center"/>
        </w:trPr>
        <w:tc>
          <w:tcPr>
            <w:tcW w:w="1376" w:type="pct"/>
            <w:shd w:val="clear" w:color="auto" w:fill="009D73"/>
            <w:vAlign w:val="center"/>
          </w:tcPr>
          <w:p w14:paraId="48D99C5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Institution responsible for coordination of the implementation of the measure</w:t>
            </w:r>
          </w:p>
        </w:tc>
        <w:tc>
          <w:tcPr>
            <w:tcW w:w="3624" w:type="pct"/>
            <w:gridSpan w:val="3"/>
            <w:shd w:val="clear" w:color="auto" w:fill="FFFFFF"/>
            <w:vAlign w:val="center"/>
          </w:tcPr>
          <w:p w14:paraId="5F4F2678" w14:textId="4513D3EB"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w:t>
            </w:r>
          </w:p>
        </w:tc>
      </w:tr>
      <w:tr w:rsidR="00005022" w:rsidRPr="007C4D65" w14:paraId="0404A4CF" w14:textId="77777777" w:rsidTr="00BC37DE">
        <w:trPr>
          <w:trHeight w:val="567"/>
          <w:jc w:val="center"/>
        </w:trPr>
        <w:tc>
          <w:tcPr>
            <w:tcW w:w="1376" w:type="pct"/>
            <w:shd w:val="clear" w:color="auto" w:fill="009D73"/>
            <w:vAlign w:val="center"/>
          </w:tcPr>
          <w:p w14:paraId="28E7D690"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Implementing institutions</w:t>
            </w:r>
          </w:p>
        </w:tc>
        <w:tc>
          <w:tcPr>
            <w:tcW w:w="3624" w:type="pct"/>
            <w:gridSpan w:val="3"/>
            <w:shd w:val="clear" w:color="auto" w:fill="FFFFFF"/>
            <w:vAlign w:val="center"/>
          </w:tcPr>
          <w:p w14:paraId="611F2CC0" w14:textId="6A7FC041"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 </w:t>
            </w: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Finance</w:t>
            </w:r>
          </w:p>
        </w:tc>
      </w:tr>
      <w:tr w:rsidR="00005022" w:rsidRPr="007C4D65" w14:paraId="6AF1C67D" w14:textId="77777777" w:rsidTr="00BC37DE">
        <w:trPr>
          <w:trHeight w:val="567"/>
          <w:jc w:val="center"/>
        </w:trPr>
        <w:tc>
          <w:tcPr>
            <w:tcW w:w="1376" w:type="pct"/>
            <w:shd w:val="clear" w:color="auto" w:fill="009D73"/>
            <w:vAlign w:val="center"/>
          </w:tcPr>
          <w:p w14:paraId="4133519F" w14:textId="42E38C3E"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groups</w:t>
            </w:r>
          </w:p>
        </w:tc>
        <w:tc>
          <w:tcPr>
            <w:tcW w:w="3624" w:type="pct"/>
            <w:gridSpan w:val="3"/>
            <w:shd w:val="clear" w:color="auto" w:fill="FFFFFF"/>
            <w:vAlign w:val="center"/>
          </w:tcPr>
          <w:p w14:paraId="68CF11FB" w14:textId="3DC955E2"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Environmental Protection Fund of </w:t>
            </w:r>
            <w:r w:rsidR="005C416E" w:rsidRPr="007C4D65">
              <w:rPr>
                <w:rFonts w:asciiTheme="minorHAnsi" w:eastAsiaTheme="minorHAnsi" w:hAnsiTheme="minorHAnsi" w:cstheme="minorHAnsi"/>
                <w:sz w:val="18"/>
                <w:szCs w:val="22"/>
                <w:lang w:eastAsia="en-US"/>
              </w:rPr>
              <w:t xml:space="preserve">the </w:t>
            </w:r>
            <w:r w:rsidRPr="007C4D65">
              <w:rPr>
                <w:rFonts w:asciiTheme="minorHAnsi" w:eastAsiaTheme="minorHAnsi" w:hAnsiTheme="minorHAnsi" w:cstheme="minorHAnsi"/>
                <w:sz w:val="18"/>
                <w:szCs w:val="22"/>
                <w:lang w:eastAsia="en-US"/>
              </w:rPr>
              <w:t>F</w:t>
            </w:r>
            <w:r w:rsidR="005C416E" w:rsidRPr="007C4D65">
              <w:rPr>
                <w:rFonts w:asciiTheme="minorHAnsi" w:eastAsiaTheme="minorHAnsi" w:hAnsiTheme="minorHAnsi" w:cstheme="minorHAnsi"/>
                <w:sz w:val="18"/>
                <w:szCs w:val="22"/>
                <w:lang w:eastAsia="en-US"/>
              </w:rPr>
              <w:t xml:space="preserve">ederation of </w:t>
            </w:r>
            <w:r w:rsidRPr="007C4D65">
              <w:rPr>
                <w:rFonts w:asciiTheme="minorHAnsi" w:eastAsiaTheme="minorHAnsi" w:hAnsiTheme="minorHAnsi" w:cstheme="minorHAnsi"/>
                <w:sz w:val="18"/>
                <w:szCs w:val="22"/>
                <w:lang w:eastAsia="en-US"/>
              </w:rPr>
              <w:t>BiH, all the players in the waste management sector</w:t>
            </w:r>
          </w:p>
        </w:tc>
      </w:tr>
    </w:tbl>
    <w:p w14:paraId="5858905C" w14:textId="77777777" w:rsidR="00005022" w:rsidRPr="007C4D65" w:rsidRDefault="00005022" w:rsidP="00005022">
      <w:pPr>
        <w:spacing w:line="276" w:lineRule="auto"/>
        <w:rPr>
          <w:rFonts w:asciiTheme="minorHAnsi" w:eastAsiaTheme="minorHAnsi" w:hAnsiTheme="minorHAnsi" w:cstheme="minorHAnsi"/>
          <w:sz w:val="22"/>
          <w:szCs w:val="22"/>
          <w:lang w:eastAsia="en-US"/>
        </w:rPr>
      </w:pPr>
    </w:p>
    <w:tbl>
      <w:tblPr>
        <w:tblW w:w="48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682"/>
        <w:gridCol w:w="2922"/>
        <w:gridCol w:w="3390"/>
        <w:gridCol w:w="3396"/>
      </w:tblGrid>
      <w:tr w:rsidR="00005022" w:rsidRPr="007C4D65" w14:paraId="01E9731F"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8A70970"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Link with the strategic goal</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B21FCBC" w14:textId="7777777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 Reducing waste and increasing reuse of materials</w:t>
            </w:r>
          </w:p>
        </w:tc>
      </w:tr>
      <w:tr w:rsidR="00005022" w:rsidRPr="007C4D65" w14:paraId="1B57D158"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3F20FE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Priority</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859E2A0" w14:textId="243D9286" w:rsidR="00005022" w:rsidRPr="007C4D65" w:rsidRDefault="00005022" w:rsidP="00005022">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 xml:space="preserve">2.4. </w:t>
            </w:r>
            <w:r w:rsidR="001547A8" w:rsidRPr="007C4D65">
              <w:rPr>
                <w:rFonts w:asciiTheme="minorHAnsi" w:eastAsiaTheme="minorHAnsi" w:hAnsiTheme="minorHAnsi" w:cstheme="minorHAnsi"/>
                <w:b/>
                <w:sz w:val="18"/>
                <w:szCs w:val="22"/>
                <w:lang w:eastAsia="en-US"/>
              </w:rPr>
              <w:t>Improving the municipal waste management system</w:t>
            </w:r>
          </w:p>
        </w:tc>
      </w:tr>
      <w:tr w:rsidR="00005022" w:rsidRPr="007C4D65" w14:paraId="5B832BF7"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306DFC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Title of the measure</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9C4BC94" w14:textId="7777777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2.4.1 Reform of the municipal waste management sector</w:t>
            </w:r>
          </w:p>
        </w:tc>
      </w:tr>
      <w:tr w:rsidR="00005022" w:rsidRPr="007C4D65" w14:paraId="7DE06139"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23A976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 xml:space="preserve">Description of the measure with general area of intervention </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CCED06A" w14:textId="66AF6C54"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This measure aims at creating an environment which </w:t>
            </w:r>
            <w:r w:rsidR="0032537D" w:rsidRPr="007C4D65">
              <w:rPr>
                <w:rFonts w:asciiTheme="minorHAnsi" w:eastAsiaTheme="minorHAnsi" w:hAnsiTheme="minorHAnsi" w:cstheme="minorHAnsi"/>
                <w:sz w:val="18"/>
                <w:szCs w:val="22"/>
                <w:lang w:eastAsia="en-US"/>
              </w:rPr>
              <w:t>could</w:t>
            </w:r>
            <w:r w:rsidRPr="007C4D65">
              <w:rPr>
                <w:rFonts w:asciiTheme="minorHAnsi" w:eastAsiaTheme="minorHAnsi" w:hAnsiTheme="minorHAnsi" w:cstheme="minorHAnsi"/>
                <w:sz w:val="18"/>
                <w:szCs w:val="22"/>
                <w:lang w:eastAsia="en-US"/>
              </w:rPr>
              <w:t xml:space="preserve"> incentivise a reform of the municipal waste management sector, which again </w:t>
            </w:r>
            <w:r w:rsidR="0032537D" w:rsidRPr="007C4D65">
              <w:rPr>
                <w:rFonts w:asciiTheme="minorHAnsi" w:eastAsiaTheme="minorHAnsi" w:hAnsiTheme="minorHAnsi" w:cstheme="minorHAnsi"/>
                <w:sz w:val="18"/>
                <w:szCs w:val="22"/>
                <w:lang w:eastAsia="en-US"/>
              </w:rPr>
              <w:t>should</w:t>
            </w:r>
            <w:r w:rsidRPr="007C4D65">
              <w:rPr>
                <w:rFonts w:asciiTheme="minorHAnsi" w:eastAsiaTheme="minorHAnsi" w:hAnsiTheme="minorHAnsi" w:cstheme="minorHAnsi"/>
                <w:sz w:val="18"/>
                <w:szCs w:val="22"/>
                <w:lang w:eastAsia="en-US"/>
              </w:rPr>
              <w:t xml:space="preserve"> improve both the financial and operational sustainability of utility companies and enable further development of the system and improve utility services.</w:t>
            </w:r>
          </w:p>
          <w:p w14:paraId="151E3A5E" w14:textId="5B4A6633"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G</w:t>
            </w:r>
            <w:r w:rsidR="00005022" w:rsidRPr="007C4D65">
              <w:rPr>
                <w:rFonts w:asciiTheme="minorHAnsi" w:eastAsiaTheme="minorHAnsi" w:hAnsiTheme="minorHAnsi" w:cstheme="minorHAnsi"/>
                <w:sz w:val="18"/>
                <w:szCs w:val="22"/>
                <w:lang w:eastAsia="en-US"/>
              </w:rPr>
              <w:t>eneral area</w:t>
            </w:r>
            <w:r w:rsidRPr="007C4D65">
              <w:rPr>
                <w:rFonts w:asciiTheme="minorHAnsi" w:eastAsiaTheme="minorHAnsi" w:hAnsiTheme="minorHAnsi" w:cstheme="minorHAnsi"/>
                <w:sz w:val="18"/>
                <w:szCs w:val="22"/>
                <w:lang w:eastAsia="en-US"/>
              </w:rPr>
              <w:t>s</w:t>
            </w:r>
            <w:r w:rsidR="00005022" w:rsidRPr="007C4D65">
              <w:rPr>
                <w:rFonts w:asciiTheme="minorHAnsi" w:eastAsiaTheme="minorHAnsi" w:hAnsiTheme="minorHAnsi" w:cstheme="minorHAnsi"/>
                <w:sz w:val="18"/>
                <w:szCs w:val="22"/>
                <w:lang w:eastAsia="en-US"/>
              </w:rPr>
              <w:t xml:space="preserve"> of intervention focus on:</w:t>
            </w:r>
          </w:p>
          <w:p w14:paraId="43B1E30B" w14:textId="33303C89" w:rsidR="00005022" w:rsidRPr="007C4D65" w:rsidRDefault="00005022">
            <w:pPr>
              <w:numPr>
                <w:ilvl w:val="0"/>
                <w:numId w:val="102"/>
              </w:numPr>
              <w:spacing w:before="40" w:after="40" w:line="276" w:lineRule="auto"/>
              <w:ind w:left="360"/>
              <w:contextualSpacing/>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Forming a working group for the municipal waste management</w:t>
            </w:r>
            <w:r w:rsidRPr="007C4D65">
              <w:rPr>
                <w:rFonts w:asciiTheme="minorHAnsi" w:eastAsiaTheme="minorHAnsi" w:hAnsiTheme="minorHAnsi" w:cstheme="minorHAnsi"/>
                <w:sz w:val="18"/>
                <w:szCs w:val="22"/>
                <w:lang w:eastAsia="en-US"/>
              </w:rPr>
              <w:t xml:space="preserve"> </w:t>
            </w:r>
            <w:r w:rsidR="0032537D" w:rsidRPr="007C4D65">
              <w:rPr>
                <w:rFonts w:asciiTheme="minorHAnsi" w:eastAsiaTheme="minorHAnsi" w:hAnsiTheme="minorHAnsi" w:cstheme="minorHAnsi"/>
                <w:sz w:val="18"/>
                <w:szCs w:val="22"/>
                <w:lang w:eastAsia="en-US"/>
              </w:rPr>
              <w:t>t</w:t>
            </w:r>
            <w:r w:rsidRPr="007C4D65">
              <w:rPr>
                <w:rFonts w:asciiTheme="minorHAnsi" w:eastAsiaTheme="minorHAnsi" w:hAnsiTheme="minorHAnsi" w:cstheme="minorHAnsi"/>
                <w:sz w:val="18"/>
                <w:szCs w:val="22"/>
                <w:lang w:eastAsia="en-US"/>
              </w:rPr>
              <w:t>o address proposals and the implementation of the reform of the municipal waste management sector</w:t>
            </w:r>
            <w:r w:rsidR="005C416E" w:rsidRPr="007C4D65">
              <w:rPr>
                <w:rFonts w:asciiTheme="minorHAnsi" w:eastAsiaTheme="minorHAnsi" w:hAnsiTheme="minorHAnsi" w:cstheme="minorHAnsi"/>
                <w:sz w:val="18"/>
                <w:szCs w:val="22"/>
                <w:lang w:eastAsia="en-US"/>
              </w:rPr>
              <w:t>.</w:t>
            </w:r>
          </w:p>
          <w:p w14:paraId="1A5FEDFF" w14:textId="77777777" w:rsidR="00005022" w:rsidRPr="007C4D65" w:rsidRDefault="00005022">
            <w:pPr>
              <w:numPr>
                <w:ilvl w:val="0"/>
                <w:numId w:val="102"/>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b/>
                <w:sz w:val="18"/>
                <w:szCs w:val="22"/>
                <w:lang w:eastAsia="en-US"/>
              </w:rPr>
              <w:t>Preparation of Guidelines for the reform of the municipal waste management sector</w:t>
            </w:r>
            <w:r w:rsidRPr="007C4D65">
              <w:rPr>
                <w:rFonts w:asciiTheme="minorHAnsi" w:eastAsiaTheme="minorHAnsi" w:hAnsiTheme="minorHAnsi" w:cstheme="minorHAnsi"/>
                <w:sz w:val="18"/>
                <w:szCs w:val="22"/>
                <w:lang w:eastAsia="en-US"/>
              </w:rPr>
              <w:t xml:space="preserve"> based on the study “Analysis of the municipal solid waste management sector” Strategic policy areas and investment planning 2025 (World Bank 2018) including:</w:t>
            </w:r>
          </w:p>
          <w:p w14:paraId="6D3A10AC" w14:textId="79D5E25C" w:rsidR="00005022" w:rsidRPr="007C4D65" w:rsidRDefault="00005022">
            <w:pPr>
              <w:numPr>
                <w:ilvl w:val="0"/>
                <w:numId w:val="103"/>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Guidelines for the improvement of cantonal legislation on utility activities in accordance with the policy defined at the level of the Federation of </w:t>
            </w:r>
            <w:proofErr w:type="gramStart"/>
            <w:r w:rsidRPr="007C4D65">
              <w:rPr>
                <w:rFonts w:asciiTheme="minorHAnsi" w:eastAsiaTheme="minorHAnsi" w:hAnsiTheme="minorHAnsi" w:cstheme="minorHAnsi"/>
                <w:sz w:val="18"/>
                <w:szCs w:val="22"/>
                <w:lang w:eastAsia="en-US"/>
              </w:rPr>
              <w:t>BiH</w:t>
            </w:r>
            <w:r w:rsidR="005C416E" w:rsidRPr="007C4D65">
              <w:rPr>
                <w:rFonts w:asciiTheme="minorHAnsi" w:eastAsia="Calibri" w:hAnsiTheme="minorHAnsi" w:cstheme="minorHAnsi"/>
                <w:sz w:val="18"/>
                <w:szCs w:val="18"/>
                <w:lang w:eastAsia="en-US"/>
              </w:rPr>
              <w:t>;</w:t>
            </w:r>
            <w:proofErr w:type="gramEnd"/>
          </w:p>
          <w:p w14:paraId="679E89CC" w14:textId="1D1F3BA2" w:rsidR="00005022" w:rsidRPr="007C4D65" w:rsidRDefault="00005022">
            <w:pPr>
              <w:numPr>
                <w:ilvl w:val="0"/>
                <w:numId w:val="103"/>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Guidelines for improvement of municipal decisions on utility order which </w:t>
            </w:r>
            <w:proofErr w:type="gramStart"/>
            <w:r w:rsidRPr="007C4D65">
              <w:rPr>
                <w:rFonts w:asciiTheme="minorHAnsi" w:eastAsiaTheme="minorHAnsi" w:hAnsiTheme="minorHAnsi" w:cstheme="minorHAnsi"/>
                <w:sz w:val="18"/>
                <w:szCs w:val="22"/>
                <w:lang w:eastAsia="en-US"/>
              </w:rPr>
              <w:t>regulate  municipal</w:t>
            </w:r>
            <w:proofErr w:type="gramEnd"/>
            <w:r w:rsidRPr="007C4D65">
              <w:rPr>
                <w:rFonts w:asciiTheme="minorHAnsi" w:eastAsiaTheme="minorHAnsi" w:hAnsiTheme="minorHAnsi" w:cstheme="minorHAnsi"/>
                <w:sz w:val="18"/>
                <w:szCs w:val="22"/>
                <w:lang w:eastAsia="en-US"/>
              </w:rPr>
              <w:t xml:space="preserve"> waste management in accordance with the policy defined at the level of the Federation of BiH</w:t>
            </w:r>
            <w:r w:rsidR="005C416E" w:rsidRPr="007C4D65">
              <w:rPr>
                <w:rFonts w:asciiTheme="minorHAnsi" w:eastAsia="Calibri" w:hAnsiTheme="minorHAnsi" w:cstheme="minorHAnsi"/>
                <w:sz w:val="18"/>
                <w:szCs w:val="18"/>
                <w:lang w:eastAsia="en-US"/>
              </w:rPr>
              <w:t>;</w:t>
            </w:r>
          </w:p>
          <w:p w14:paraId="481945EE" w14:textId="523F6F3F" w:rsidR="00005022" w:rsidRPr="007C4D65" w:rsidRDefault="00005022">
            <w:pPr>
              <w:numPr>
                <w:ilvl w:val="0"/>
                <w:numId w:val="103"/>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Guidelines on changing the </w:t>
            </w:r>
            <w:r w:rsidR="000A0DEF" w:rsidRPr="007C4D65">
              <w:rPr>
                <w:rFonts w:asciiTheme="minorHAnsi" w:eastAsiaTheme="minorHAnsi" w:hAnsiTheme="minorHAnsi" w:cstheme="minorHAnsi"/>
                <w:sz w:val="18"/>
                <w:szCs w:val="22"/>
                <w:lang w:eastAsia="en-US"/>
              </w:rPr>
              <w:t>staffing plan</w:t>
            </w:r>
            <w:r w:rsidRPr="007C4D65">
              <w:rPr>
                <w:rFonts w:asciiTheme="minorHAnsi" w:eastAsiaTheme="minorHAnsi" w:hAnsiTheme="minorHAnsi" w:cstheme="minorHAnsi"/>
                <w:sz w:val="18"/>
                <w:szCs w:val="22"/>
                <w:lang w:eastAsia="en-US"/>
              </w:rPr>
              <w:t xml:space="preserve"> in municipal departments in order to form a special department for waste management services within the utility services division (Note: Terms of references should include preparation of municipal waste management plans, implementation of awareness raising campaigns, handling complaints, calculation of tariffs, monitoring and inspection, carrying out any other activities aimed at earning additional revenues, </w:t>
            </w:r>
            <w:proofErr w:type="gramStart"/>
            <w:r w:rsidRPr="007C4D65">
              <w:rPr>
                <w:rFonts w:asciiTheme="minorHAnsi" w:eastAsiaTheme="minorHAnsi" w:hAnsiTheme="minorHAnsi" w:cstheme="minorHAnsi"/>
                <w:sz w:val="18"/>
                <w:szCs w:val="22"/>
                <w:lang w:eastAsia="en-US"/>
              </w:rPr>
              <w:t>etc. )</w:t>
            </w:r>
            <w:proofErr w:type="gramEnd"/>
            <w:r w:rsidR="005C416E" w:rsidRPr="007C4D65">
              <w:rPr>
                <w:rFonts w:asciiTheme="minorHAnsi" w:eastAsia="Calibri" w:hAnsiTheme="minorHAnsi" w:cstheme="minorHAnsi"/>
                <w:sz w:val="18"/>
                <w:szCs w:val="18"/>
                <w:lang w:eastAsia="en-US"/>
              </w:rPr>
              <w:t>;</w:t>
            </w:r>
          </w:p>
          <w:p w14:paraId="0C9C87BE" w14:textId="7BC7F130" w:rsidR="00005022" w:rsidRPr="007C4D65" w:rsidRDefault="00005022">
            <w:pPr>
              <w:numPr>
                <w:ilvl w:val="0"/>
                <w:numId w:val="103"/>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Guidelines for restructuring (and regionalisation) of utility companies in all segments in order to provide for sustainability and </w:t>
            </w:r>
            <w:r w:rsidR="0032537D" w:rsidRPr="007C4D65">
              <w:rPr>
                <w:rFonts w:asciiTheme="minorHAnsi" w:eastAsiaTheme="minorHAnsi" w:hAnsiTheme="minorHAnsi" w:cstheme="minorHAnsi"/>
                <w:sz w:val="18"/>
                <w:szCs w:val="22"/>
                <w:lang w:eastAsia="en-US"/>
              </w:rPr>
              <w:t>access to</w:t>
            </w:r>
            <w:r w:rsidRPr="007C4D65">
              <w:rPr>
                <w:rFonts w:asciiTheme="minorHAnsi" w:eastAsiaTheme="minorHAnsi" w:hAnsiTheme="minorHAnsi" w:cstheme="minorHAnsi"/>
                <w:sz w:val="18"/>
                <w:szCs w:val="22"/>
                <w:lang w:eastAsia="en-US"/>
              </w:rPr>
              <w:t xml:space="preserve"> high quality waste management </w:t>
            </w:r>
            <w:proofErr w:type="gramStart"/>
            <w:r w:rsidRPr="007C4D65">
              <w:rPr>
                <w:rFonts w:asciiTheme="minorHAnsi" w:eastAsiaTheme="minorHAnsi" w:hAnsiTheme="minorHAnsi" w:cstheme="minorHAnsi"/>
                <w:sz w:val="18"/>
                <w:szCs w:val="22"/>
                <w:lang w:eastAsia="en-US"/>
              </w:rPr>
              <w:t>services</w:t>
            </w:r>
            <w:r w:rsidR="005C416E" w:rsidRPr="007C4D65">
              <w:rPr>
                <w:rFonts w:asciiTheme="minorHAnsi" w:eastAsia="Calibri" w:hAnsiTheme="minorHAnsi" w:cstheme="minorHAnsi"/>
                <w:sz w:val="18"/>
                <w:szCs w:val="18"/>
                <w:lang w:eastAsia="en-US"/>
              </w:rPr>
              <w:t>;</w:t>
            </w:r>
            <w:proofErr w:type="gramEnd"/>
          </w:p>
          <w:p w14:paraId="6C10340D" w14:textId="407CAA42" w:rsidR="00005022" w:rsidRPr="007C4D65" w:rsidRDefault="00005022">
            <w:pPr>
              <w:numPr>
                <w:ilvl w:val="0"/>
                <w:numId w:val="103"/>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Guidelines for the transfer of billing of household from utility companies to </w:t>
            </w:r>
            <w:proofErr w:type="gramStart"/>
            <w:r w:rsidRPr="007C4D65">
              <w:rPr>
                <w:rFonts w:asciiTheme="minorHAnsi" w:eastAsiaTheme="minorHAnsi" w:hAnsiTheme="minorHAnsi" w:cstheme="minorHAnsi"/>
                <w:sz w:val="18"/>
                <w:szCs w:val="22"/>
                <w:lang w:eastAsia="en-US"/>
              </w:rPr>
              <w:t>municipalities</w:t>
            </w:r>
            <w:r w:rsidR="005C416E" w:rsidRPr="007C4D65">
              <w:rPr>
                <w:rFonts w:asciiTheme="minorHAnsi" w:eastAsia="Calibri" w:hAnsiTheme="minorHAnsi" w:cstheme="minorHAnsi"/>
                <w:sz w:val="18"/>
                <w:szCs w:val="18"/>
                <w:lang w:eastAsia="en-US"/>
              </w:rPr>
              <w:t>;</w:t>
            </w:r>
            <w:proofErr w:type="gramEnd"/>
          </w:p>
          <w:p w14:paraId="44A9C11F" w14:textId="5613AD40" w:rsidR="00005022" w:rsidRPr="007C4D65" w:rsidRDefault="00005022">
            <w:pPr>
              <w:numPr>
                <w:ilvl w:val="0"/>
                <w:numId w:val="103"/>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Guidelines for a new tariff model for waste management services which is economically justified and affordable for all categories of the population, including vulnerable groups, and which specifies all required legal and technical modifications and investments </w:t>
            </w:r>
            <w:r w:rsidR="0032537D" w:rsidRPr="007C4D65">
              <w:rPr>
                <w:rFonts w:asciiTheme="minorHAnsi" w:eastAsiaTheme="minorHAnsi" w:hAnsiTheme="minorHAnsi" w:cstheme="minorHAnsi"/>
                <w:sz w:val="18"/>
                <w:szCs w:val="22"/>
                <w:lang w:eastAsia="en-US"/>
              </w:rPr>
              <w:t>to facilitate</w:t>
            </w:r>
            <w:r w:rsidRPr="007C4D65">
              <w:rPr>
                <w:rFonts w:asciiTheme="minorHAnsi" w:eastAsiaTheme="minorHAnsi" w:hAnsiTheme="minorHAnsi" w:cstheme="minorHAnsi"/>
                <w:sz w:val="18"/>
                <w:szCs w:val="22"/>
                <w:lang w:eastAsia="en-US"/>
              </w:rPr>
              <w:t xml:space="preserve"> the implementation of such model in </w:t>
            </w:r>
            <w:proofErr w:type="gramStart"/>
            <w:r w:rsidRPr="007C4D65">
              <w:rPr>
                <w:rFonts w:asciiTheme="minorHAnsi" w:eastAsiaTheme="minorHAnsi" w:hAnsiTheme="minorHAnsi" w:cstheme="minorHAnsi"/>
                <w:sz w:val="18"/>
                <w:szCs w:val="22"/>
                <w:lang w:eastAsia="en-US"/>
              </w:rPr>
              <w:t>practice</w:t>
            </w:r>
            <w:r w:rsidR="005C416E" w:rsidRPr="007C4D65">
              <w:rPr>
                <w:rFonts w:asciiTheme="minorHAnsi" w:eastAsiaTheme="minorHAnsi" w:hAnsiTheme="minorHAnsi" w:cstheme="minorHAnsi"/>
                <w:sz w:val="18"/>
                <w:szCs w:val="22"/>
                <w:lang w:eastAsia="en-US"/>
              </w:rPr>
              <w:t>;</w:t>
            </w:r>
            <w:proofErr w:type="gramEnd"/>
          </w:p>
          <w:p w14:paraId="3F629967" w14:textId="4BEA478B" w:rsidR="00005022" w:rsidRPr="007C4D65" w:rsidRDefault="00005022">
            <w:pPr>
              <w:numPr>
                <w:ilvl w:val="0"/>
                <w:numId w:val="103"/>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Guidelines for establishment community </w:t>
            </w:r>
            <w:r w:rsidR="00C63D3A" w:rsidRPr="007C4D65">
              <w:rPr>
                <w:rFonts w:asciiTheme="minorHAnsi" w:eastAsiaTheme="minorHAnsi" w:hAnsiTheme="minorHAnsi" w:cstheme="minorHAnsi"/>
                <w:sz w:val="18"/>
                <w:szCs w:val="22"/>
                <w:lang w:eastAsia="en-US"/>
              </w:rPr>
              <w:t>support officers</w:t>
            </w:r>
            <w:r w:rsidRPr="007C4D65">
              <w:rPr>
                <w:rFonts w:asciiTheme="minorHAnsi" w:eastAsiaTheme="minorHAnsi" w:hAnsiTheme="minorHAnsi" w:cstheme="minorHAnsi"/>
                <w:sz w:val="18"/>
                <w:szCs w:val="22"/>
                <w:lang w:eastAsia="en-US"/>
              </w:rPr>
              <w:t xml:space="preserve">/municipal </w:t>
            </w:r>
            <w:proofErr w:type="gramStart"/>
            <w:r w:rsidRPr="007C4D65">
              <w:rPr>
                <w:rFonts w:asciiTheme="minorHAnsi" w:eastAsiaTheme="minorHAnsi" w:hAnsiTheme="minorHAnsi" w:cstheme="minorHAnsi"/>
                <w:sz w:val="18"/>
                <w:szCs w:val="22"/>
                <w:lang w:eastAsia="en-US"/>
              </w:rPr>
              <w:t>police</w:t>
            </w:r>
            <w:r w:rsidR="005C416E" w:rsidRPr="007C4D65">
              <w:rPr>
                <w:rFonts w:asciiTheme="minorHAnsi" w:eastAsiaTheme="minorHAnsi" w:hAnsiTheme="minorHAnsi" w:cstheme="minorHAnsi"/>
                <w:sz w:val="18"/>
                <w:szCs w:val="22"/>
                <w:lang w:eastAsia="en-US"/>
              </w:rPr>
              <w:t>;</w:t>
            </w:r>
            <w:proofErr w:type="gramEnd"/>
          </w:p>
          <w:p w14:paraId="44A3E7C6" w14:textId="75C76A6C" w:rsidR="00005022" w:rsidRPr="007C4D65" w:rsidRDefault="00005022">
            <w:pPr>
              <w:numPr>
                <w:ilvl w:val="0"/>
                <w:numId w:val="103"/>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Guidelines for deployment of the utility infrastructure for separate waste collection at the municipal </w:t>
            </w:r>
            <w:proofErr w:type="gramStart"/>
            <w:r w:rsidRPr="007C4D65">
              <w:rPr>
                <w:rFonts w:asciiTheme="minorHAnsi" w:eastAsiaTheme="minorHAnsi" w:hAnsiTheme="minorHAnsi" w:cstheme="minorHAnsi"/>
                <w:sz w:val="18"/>
                <w:szCs w:val="22"/>
                <w:lang w:eastAsia="en-US"/>
              </w:rPr>
              <w:t>level</w:t>
            </w:r>
            <w:r w:rsidR="005C416E" w:rsidRPr="007C4D65">
              <w:rPr>
                <w:rFonts w:asciiTheme="minorHAnsi" w:eastAsia="Calibri" w:hAnsiTheme="minorHAnsi" w:cstheme="minorHAnsi"/>
                <w:sz w:val="18"/>
                <w:szCs w:val="18"/>
                <w:lang w:eastAsia="en-US"/>
              </w:rPr>
              <w:t>;</w:t>
            </w:r>
            <w:proofErr w:type="gramEnd"/>
          </w:p>
          <w:p w14:paraId="5EFF6B39" w14:textId="7E4AA3A5" w:rsidR="00005022" w:rsidRPr="007C4D65" w:rsidRDefault="00005022">
            <w:pPr>
              <w:numPr>
                <w:ilvl w:val="0"/>
                <w:numId w:val="103"/>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Guidelines for the implementation of staff training in utility companies at operational level (enhancing accounting procedures, tariff calculation, expenditure control, maintenance planning, equipment procurements, data collection and reporting, etc.</w:t>
            </w:r>
            <w:proofErr w:type="gramStart"/>
            <w:r w:rsidRPr="007C4D65">
              <w:rPr>
                <w:rFonts w:asciiTheme="minorHAnsi" w:eastAsiaTheme="minorHAnsi" w:hAnsiTheme="minorHAnsi" w:cstheme="minorHAnsi"/>
                <w:sz w:val="18"/>
                <w:szCs w:val="22"/>
                <w:lang w:eastAsia="en-US"/>
              </w:rPr>
              <w:t>)</w:t>
            </w:r>
            <w:r w:rsidR="005C416E" w:rsidRPr="007C4D65">
              <w:rPr>
                <w:rFonts w:asciiTheme="minorHAnsi" w:eastAsia="Calibri" w:hAnsiTheme="minorHAnsi" w:cstheme="minorHAnsi"/>
                <w:sz w:val="18"/>
                <w:szCs w:val="18"/>
                <w:lang w:eastAsia="en-US"/>
              </w:rPr>
              <w:t>;</w:t>
            </w:r>
            <w:proofErr w:type="gramEnd"/>
          </w:p>
          <w:p w14:paraId="07C150D0" w14:textId="1074FF3C" w:rsidR="00005022" w:rsidRPr="007C4D65" w:rsidRDefault="00005022">
            <w:pPr>
              <w:numPr>
                <w:ilvl w:val="0"/>
                <w:numId w:val="103"/>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Guidelines for the development and implementation of public communication programmes</w:t>
            </w:r>
            <w:r w:rsidR="005C416E" w:rsidRPr="007C4D65">
              <w:rPr>
                <w:rFonts w:asciiTheme="minorHAnsi" w:eastAsia="Calibri" w:hAnsiTheme="minorHAnsi" w:cstheme="minorHAnsi"/>
                <w:sz w:val="18"/>
                <w:szCs w:val="18"/>
                <w:lang w:eastAsia="en-US"/>
              </w:rPr>
              <w:t>.</w:t>
            </w:r>
          </w:p>
          <w:p w14:paraId="1E45ECA5" w14:textId="3701D73E" w:rsidR="00005022" w:rsidRPr="007C4D65" w:rsidRDefault="00005022">
            <w:pPr>
              <w:numPr>
                <w:ilvl w:val="0"/>
                <w:numId w:val="102"/>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b/>
                <w:sz w:val="18"/>
                <w:szCs w:val="22"/>
                <w:lang w:eastAsia="en-US"/>
              </w:rPr>
              <w:t>Support to the implementation of the reform</w:t>
            </w:r>
            <w:r w:rsidRPr="007C4D65">
              <w:rPr>
                <w:rFonts w:asciiTheme="minorHAnsi" w:eastAsiaTheme="minorHAnsi" w:hAnsiTheme="minorHAnsi" w:cstheme="minorHAnsi"/>
                <w:sz w:val="18"/>
                <w:szCs w:val="22"/>
                <w:lang w:eastAsia="en-US"/>
              </w:rPr>
              <w:t xml:space="preserve"> of the sector in accordance with the Guidelines and recommendations of the working group</w:t>
            </w:r>
            <w:r w:rsidR="005C416E" w:rsidRPr="007C4D65">
              <w:rPr>
                <w:rFonts w:asciiTheme="minorHAnsi" w:eastAsia="Calibri" w:hAnsiTheme="minorHAnsi" w:cstheme="minorHAnsi"/>
                <w:sz w:val="18"/>
                <w:szCs w:val="18"/>
                <w:lang w:eastAsia="en-US"/>
              </w:rPr>
              <w:t>.</w:t>
            </w:r>
          </w:p>
          <w:p w14:paraId="7B942871" w14:textId="5CAB297B" w:rsidR="00005022" w:rsidRPr="007C4D65" w:rsidRDefault="00005022">
            <w:pPr>
              <w:numPr>
                <w:ilvl w:val="0"/>
                <w:numId w:val="102"/>
              </w:numPr>
              <w:spacing w:before="40" w:after="40" w:line="276" w:lineRule="auto"/>
              <w:ind w:left="360"/>
              <w:contextualSpacing/>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Continued capacity building</w:t>
            </w:r>
            <w:r w:rsidR="00C63D3A" w:rsidRPr="007C4D65">
              <w:rPr>
                <w:rFonts w:asciiTheme="minorHAnsi" w:eastAsiaTheme="minorHAnsi" w:hAnsiTheme="minorHAnsi" w:cstheme="minorHAnsi"/>
                <w:b/>
                <w:sz w:val="18"/>
                <w:szCs w:val="22"/>
                <w:lang w:eastAsia="en-US"/>
              </w:rPr>
              <w:t xml:space="preserve"> and professional development</w:t>
            </w:r>
            <w:r w:rsidRPr="007C4D65">
              <w:rPr>
                <w:rFonts w:asciiTheme="minorHAnsi" w:eastAsiaTheme="minorHAnsi" w:hAnsiTheme="minorHAnsi" w:cstheme="minorHAnsi"/>
                <w:sz w:val="18"/>
                <w:szCs w:val="22"/>
                <w:lang w:eastAsia="en-US"/>
              </w:rPr>
              <w:t xml:space="preserve"> </w:t>
            </w:r>
            <w:r w:rsidR="00C63D3A" w:rsidRPr="007C4D65">
              <w:rPr>
                <w:rFonts w:asciiTheme="minorHAnsi" w:eastAsiaTheme="minorHAnsi" w:hAnsiTheme="minorHAnsi" w:cstheme="minorHAnsi"/>
                <w:sz w:val="18"/>
                <w:szCs w:val="22"/>
                <w:lang w:eastAsia="en-US"/>
              </w:rPr>
              <w:t>in</w:t>
            </w:r>
            <w:r w:rsidRPr="007C4D65">
              <w:rPr>
                <w:rFonts w:asciiTheme="minorHAnsi" w:eastAsiaTheme="minorHAnsi" w:hAnsiTheme="minorHAnsi" w:cstheme="minorHAnsi"/>
                <w:sz w:val="18"/>
                <w:szCs w:val="22"/>
                <w:lang w:eastAsia="en-US"/>
              </w:rPr>
              <w:t xml:space="preserve"> organisations involved in waste management at the level of cantons, municipalities and utility companies</w:t>
            </w:r>
            <w:r w:rsidR="005C416E" w:rsidRPr="007C4D65">
              <w:rPr>
                <w:rFonts w:asciiTheme="minorHAnsi" w:eastAsia="Calibri" w:hAnsiTheme="minorHAnsi" w:cstheme="minorHAnsi"/>
                <w:b/>
                <w:bCs/>
                <w:sz w:val="18"/>
                <w:szCs w:val="18"/>
                <w:lang w:eastAsia="en-US"/>
              </w:rPr>
              <w:t>.</w:t>
            </w:r>
          </w:p>
        </w:tc>
      </w:tr>
      <w:tr w:rsidR="00005022" w:rsidRPr="007C4D65" w14:paraId="23F28605"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3FEB06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Strategic projects</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CC16FFF"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w:t>
            </w:r>
          </w:p>
        </w:tc>
      </w:tr>
      <w:tr w:rsidR="00005022" w:rsidRPr="007C4D65" w14:paraId="0BBF61F8"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A0C3560"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 for monitoring of results</w:t>
            </w:r>
          </w:p>
        </w:tc>
        <w:tc>
          <w:tcPr>
            <w:tcW w:w="109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1686943"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0D9AEA76"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6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B217069"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Baseline value</w:t>
            </w:r>
          </w:p>
          <w:p w14:paraId="1CE220D2"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(2021)</w:t>
            </w:r>
          </w:p>
        </w:tc>
        <w:tc>
          <w:tcPr>
            <w:tcW w:w="126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A11E65E"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value</w:t>
            </w:r>
          </w:p>
        </w:tc>
      </w:tr>
      <w:tr w:rsidR="00005022" w:rsidRPr="007C4D65" w14:paraId="28042C30" w14:textId="77777777" w:rsidTr="00BC37DE">
        <w:trPr>
          <w:trHeight w:val="567"/>
          <w:jc w:val="center"/>
        </w:trPr>
        <w:tc>
          <w:tcPr>
            <w:tcW w:w="1375"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481E14F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09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5168E69" w14:textId="175FAC64" w:rsidR="00005022" w:rsidRPr="007C4D65" w:rsidRDefault="00005022" w:rsidP="00005022">
            <w:pPr>
              <w:spacing w:after="16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a. The status of forming </w:t>
            </w:r>
            <w:r w:rsidR="008133DF" w:rsidRPr="007C4D65">
              <w:rPr>
                <w:rFonts w:asciiTheme="minorHAnsi" w:eastAsiaTheme="minorHAnsi" w:hAnsiTheme="minorHAnsi" w:cstheme="minorHAnsi"/>
                <w:sz w:val="18"/>
                <w:szCs w:val="22"/>
                <w:lang w:eastAsia="en-US"/>
              </w:rPr>
              <w:t>the</w:t>
            </w:r>
            <w:r w:rsidRPr="007C4D65">
              <w:rPr>
                <w:rFonts w:asciiTheme="minorHAnsi" w:eastAsiaTheme="minorHAnsi" w:hAnsiTheme="minorHAnsi" w:cstheme="minorHAnsi"/>
                <w:sz w:val="18"/>
                <w:szCs w:val="22"/>
                <w:lang w:eastAsia="en-US"/>
              </w:rPr>
              <w:t xml:space="preserve"> Working Group for the reform of the municipal waste management sector</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D622DB6" w14:textId="743E1399" w:rsidR="00005022" w:rsidRPr="007C4D65" w:rsidRDefault="008133DF"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w:t>
            </w:r>
            <w:r w:rsidR="00005022" w:rsidRPr="007C4D65">
              <w:rPr>
                <w:rFonts w:asciiTheme="minorHAnsi" w:eastAsiaTheme="minorHAnsi" w:hAnsiTheme="minorHAnsi" w:cstheme="minorHAnsi"/>
                <w:sz w:val="18"/>
                <w:szCs w:val="22"/>
                <w:lang w:eastAsia="en-US"/>
              </w:rPr>
              <w:t>Working Group for the reform of the municipal waste management sector has not been formed</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7B9A537" w14:textId="55232DD2" w:rsidR="00005022" w:rsidRPr="007C4D65" w:rsidRDefault="00005022" w:rsidP="005C416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The Working Group for the reform of the municipal waste management sector formed</w:t>
            </w:r>
            <w:r w:rsidR="005C416E" w:rsidRPr="007C4D65">
              <w:rPr>
                <w:rFonts w:asciiTheme="minorHAnsi" w:eastAsiaTheme="minorHAnsi" w:hAnsiTheme="minorHAnsi" w:cstheme="minorHAnsi"/>
                <w:sz w:val="18"/>
                <w:szCs w:val="22"/>
                <w:lang w:eastAsia="en-US"/>
              </w:rPr>
              <w:t xml:space="preserve"> </w:t>
            </w:r>
            <w:r w:rsidRPr="007C4D65">
              <w:rPr>
                <w:rFonts w:asciiTheme="minorHAnsi" w:eastAsiaTheme="minorHAnsi" w:hAnsiTheme="minorHAnsi" w:cstheme="minorHAnsi"/>
                <w:sz w:val="18"/>
                <w:szCs w:val="22"/>
                <w:lang w:eastAsia="en-US"/>
              </w:rPr>
              <w:t>(2025)</w:t>
            </w:r>
          </w:p>
        </w:tc>
      </w:tr>
      <w:tr w:rsidR="00005022" w:rsidRPr="007C4D65" w14:paraId="7F25108F" w14:textId="77777777" w:rsidTr="00BC37DE">
        <w:trPr>
          <w:trHeight w:val="567"/>
          <w:jc w:val="center"/>
        </w:trPr>
        <w:tc>
          <w:tcPr>
            <w:tcW w:w="137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31FF4F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09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C06A005" w14:textId="77777777" w:rsidR="00005022" w:rsidRPr="007C4D65" w:rsidRDefault="00005022" w:rsidP="00005022">
            <w:pPr>
              <w:spacing w:after="16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b. The status of development of Guidelines for the reform of the municipal waste management sector</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535C14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There are no Guidelines for the reform of the municipal waste management sector</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37A8AA1" w14:textId="714BCCE0" w:rsidR="00005022" w:rsidRPr="007C4D65" w:rsidRDefault="00005022" w:rsidP="005C416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The Guidelines for the reform of the municipal waste management sector completed</w:t>
            </w:r>
            <w:r w:rsidR="005C416E" w:rsidRPr="007C4D65">
              <w:rPr>
                <w:rFonts w:asciiTheme="minorHAnsi" w:eastAsiaTheme="minorHAnsi" w:hAnsiTheme="minorHAnsi" w:cstheme="minorHAnsi"/>
                <w:sz w:val="18"/>
                <w:szCs w:val="22"/>
                <w:lang w:eastAsia="en-US"/>
              </w:rPr>
              <w:t xml:space="preserve"> </w:t>
            </w:r>
            <w:r w:rsidRPr="007C4D65">
              <w:rPr>
                <w:rFonts w:asciiTheme="minorHAnsi" w:eastAsiaTheme="minorHAnsi" w:hAnsiTheme="minorHAnsi" w:cstheme="minorHAnsi"/>
                <w:sz w:val="18"/>
                <w:szCs w:val="22"/>
                <w:lang w:eastAsia="en-US"/>
              </w:rPr>
              <w:t>(2027)</w:t>
            </w:r>
          </w:p>
        </w:tc>
      </w:tr>
      <w:tr w:rsidR="00005022" w:rsidRPr="007C4D65" w14:paraId="70020B91" w14:textId="77777777" w:rsidTr="00BC37DE">
        <w:trPr>
          <w:trHeight w:val="567"/>
          <w:jc w:val="center"/>
        </w:trPr>
        <w:tc>
          <w:tcPr>
            <w:tcW w:w="137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BF9487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09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55EDE12" w14:textId="6DF2FC45" w:rsidR="00005022" w:rsidRPr="007C4D65" w:rsidRDefault="00005022" w:rsidP="00005022">
            <w:pPr>
              <w:spacing w:after="16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ç </w:t>
            </w:r>
            <w:proofErr w:type="gramStart"/>
            <w:r w:rsidRPr="007C4D65">
              <w:rPr>
                <w:rFonts w:asciiTheme="minorHAnsi" w:eastAsiaTheme="minorHAnsi" w:hAnsiTheme="minorHAnsi" w:cstheme="minorHAnsi"/>
                <w:sz w:val="18"/>
                <w:szCs w:val="22"/>
                <w:lang w:eastAsia="en-US"/>
              </w:rPr>
              <w:t>The</w:t>
            </w:r>
            <w:proofErr w:type="gramEnd"/>
            <w:r w:rsidRPr="007C4D65">
              <w:rPr>
                <w:rFonts w:asciiTheme="minorHAnsi" w:eastAsiaTheme="minorHAnsi" w:hAnsiTheme="minorHAnsi" w:cstheme="minorHAnsi"/>
                <w:sz w:val="18"/>
                <w:szCs w:val="22"/>
                <w:lang w:eastAsia="en-US"/>
              </w:rPr>
              <w:t xml:space="preserve"> effectiveness and efficiency </w:t>
            </w:r>
            <w:r w:rsidR="008133DF" w:rsidRPr="007C4D65">
              <w:rPr>
                <w:rFonts w:asciiTheme="minorHAnsi" w:eastAsiaTheme="minorHAnsi" w:hAnsiTheme="minorHAnsi" w:cstheme="minorHAnsi"/>
                <w:sz w:val="18"/>
                <w:szCs w:val="22"/>
                <w:lang w:eastAsia="en-US"/>
              </w:rPr>
              <w:t xml:space="preserve">of </w:t>
            </w:r>
            <w:r w:rsidRPr="007C4D65">
              <w:rPr>
                <w:rFonts w:asciiTheme="minorHAnsi" w:eastAsiaTheme="minorHAnsi" w:hAnsiTheme="minorHAnsi" w:cstheme="minorHAnsi"/>
                <w:sz w:val="18"/>
                <w:szCs w:val="22"/>
                <w:lang w:eastAsia="en-US"/>
              </w:rPr>
              <w:t>utility companies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37A1948" w14:textId="13D1B410"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Unsatisfactory effectiveness and efficiency of utility companies</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53226AA" w14:textId="7FAD9B5F" w:rsidR="00005022" w:rsidRPr="007C4D65" w:rsidRDefault="00005022" w:rsidP="005C416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The effectiveness and efficiency of utility companies enhanced as compared to the baseline</w:t>
            </w:r>
            <w:r w:rsidR="005C416E" w:rsidRPr="007C4D65">
              <w:rPr>
                <w:rFonts w:asciiTheme="minorHAnsi" w:eastAsiaTheme="minorHAnsi" w:hAnsiTheme="minorHAnsi" w:cstheme="minorHAnsi"/>
                <w:sz w:val="18"/>
                <w:szCs w:val="22"/>
                <w:lang w:eastAsia="en-US"/>
              </w:rPr>
              <w:t xml:space="preserve"> </w:t>
            </w:r>
            <w:r w:rsidRPr="007C4D65">
              <w:rPr>
                <w:rFonts w:asciiTheme="minorHAnsi" w:eastAsiaTheme="minorHAnsi" w:hAnsiTheme="minorHAnsi" w:cstheme="minorHAnsi"/>
                <w:sz w:val="18"/>
                <w:szCs w:val="22"/>
                <w:lang w:eastAsia="en-US"/>
              </w:rPr>
              <w:t>(2032)</w:t>
            </w:r>
          </w:p>
        </w:tc>
      </w:tr>
      <w:tr w:rsidR="00005022" w:rsidRPr="007C4D65" w14:paraId="298E9528" w14:textId="77777777" w:rsidTr="00BC37DE">
        <w:trPr>
          <w:trHeight w:val="567"/>
          <w:jc w:val="center"/>
        </w:trPr>
        <w:tc>
          <w:tcPr>
            <w:tcW w:w="137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982A24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09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3984726" w14:textId="77777777" w:rsidR="00005022" w:rsidRPr="007C4D65" w:rsidRDefault="00005022" w:rsidP="00005022">
            <w:pPr>
              <w:spacing w:after="16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d. Number of technical meetings (workshops, conferences, trainings) </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3EE4FFA"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1 (annually)</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87EF520"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4 (annually, from 2023 until the end of the planning period)</w:t>
            </w:r>
          </w:p>
        </w:tc>
      </w:tr>
      <w:tr w:rsidR="00005022" w:rsidRPr="007C4D65" w14:paraId="663C1515"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DFCF2C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Effect on the development and contribution of the measure to the priority</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BFA8E90" w14:textId="56BF97F0" w:rsidR="00005022" w:rsidRPr="007C4D65" w:rsidRDefault="008133DF"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 reform will increase the accountability, transparency and efficacy of the municipal waste management sector, in compliance with the principle of non-discrimination</w:t>
            </w:r>
          </w:p>
        </w:tc>
      </w:tr>
      <w:tr w:rsidR="00005022" w:rsidRPr="007C4D65" w14:paraId="621B962F"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A01C09D" w14:textId="785C574A"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Indicative financial projection, with specification of sources</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87A192A" w14:textId="77777777" w:rsidR="00005022" w:rsidRPr="007C4D65" w:rsidRDefault="008133DF" w:rsidP="00005022">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eastAsiaTheme="minorHAnsi" w:hAnsiTheme="minorHAnsi" w:cstheme="minorHAnsi"/>
                <w:bCs/>
                <w:sz w:val="18"/>
                <w:szCs w:val="18"/>
                <w:lang w:eastAsia="en-US" w:bidi="en-US"/>
              </w:rPr>
              <w:t>Amount: BAM 813,840</w:t>
            </w:r>
          </w:p>
          <w:p w14:paraId="204715C9" w14:textId="4701642D" w:rsidR="008133DF" w:rsidRPr="007C4D65" w:rsidRDefault="008133DF" w:rsidP="00005022">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eastAsiaTheme="minorHAnsi" w:hAnsiTheme="minorHAnsi" w:cstheme="minorHAnsi"/>
                <w:bCs/>
                <w:sz w:val="18"/>
                <w:szCs w:val="18"/>
                <w:lang w:eastAsia="en-US" w:bidi="en-US"/>
              </w:rPr>
              <w:t xml:space="preserve">Source: 20% </w:t>
            </w:r>
            <w:r w:rsidR="000E401F" w:rsidRPr="007C4D65">
              <w:rPr>
                <w:rFonts w:asciiTheme="minorHAnsi" w:eastAsiaTheme="minorHAnsi" w:hAnsiTheme="minorHAnsi" w:cstheme="minorHAnsi"/>
                <w:bCs/>
                <w:sz w:val="18"/>
                <w:szCs w:val="18"/>
                <w:lang w:eastAsia="en-US" w:bidi="en-US"/>
              </w:rPr>
              <w:t>government budget</w:t>
            </w:r>
            <w:r w:rsidRPr="007C4D65">
              <w:rPr>
                <w:rFonts w:asciiTheme="minorHAnsi" w:eastAsiaTheme="minorHAnsi" w:hAnsiTheme="minorHAnsi" w:cstheme="minorHAnsi"/>
                <w:bCs/>
                <w:sz w:val="18"/>
                <w:szCs w:val="18"/>
                <w:lang w:eastAsia="en-US" w:bidi="en-US"/>
              </w:rPr>
              <w:t xml:space="preserve">, 80% combined funds from EU and other international </w:t>
            </w:r>
            <w:r w:rsidR="004B4EEC" w:rsidRPr="007C4D65">
              <w:rPr>
                <w:rFonts w:asciiTheme="minorHAnsi" w:eastAsiaTheme="minorHAnsi" w:hAnsiTheme="minorHAnsi" w:cstheme="minorHAnsi"/>
                <w:bCs/>
                <w:sz w:val="18"/>
                <w:szCs w:val="18"/>
                <w:lang w:eastAsia="en-US" w:bidi="en-US"/>
              </w:rPr>
              <w:t>donors</w:t>
            </w:r>
            <w:r w:rsidRPr="007C4D65">
              <w:rPr>
                <w:rFonts w:asciiTheme="minorHAnsi" w:eastAsiaTheme="minorHAnsi" w:hAnsiTheme="minorHAnsi" w:cstheme="minorHAnsi"/>
                <w:bCs/>
                <w:sz w:val="18"/>
                <w:szCs w:val="18"/>
                <w:lang w:eastAsia="en-US" w:bidi="en-US"/>
              </w:rPr>
              <w:t>, and other donations</w:t>
            </w:r>
          </w:p>
        </w:tc>
      </w:tr>
      <w:tr w:rsidR="00005022" w:rsidRPr="007C4D65" w14:paraId="4FA3C2F6"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75D84E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Period of the implementation of the measure</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9C181F7"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2023-2032</w:t>
            </w:r>
          </w:p>
        </w:tc>
      </w:tr>
      <w:tr w:rsidR="00005022" w:rsidRPr="007C4D65" w14:paraId="5DDB0729"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87B363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Institution responsible for coordination of the implementation of the measure</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9DC2744" w14:textId="101FCCE2"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w:t>
            </w:r>
          </w:p>
        </w:tc>
      </w:tr>
      <w:tr w:rsidR="00005022" w:rsidRPr="007C4D65" w14:paraId="1954F1CE"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6AE973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Implementing institutions</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2EC2BB0" w14:textId="726297D2"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 cantons, municipalities, cities, utility companies</w:t>
            </w:r>
          </w:p>
        </w:tc>
      </w:tr>
      <w:tr w:rsidR="00005022" w:rsidRPr="007C4D65" w14:paraId="6BC69349" w14:textId="77777777" w:rsidTr="00BC37DE">
        <w:trPr>
          <w:trHeight w:val="567"/>
          <w:jc w:val="center"/>
        </w:trPr>
        <w:tc>
          <w:tcPr>
            <w:tcW w:w="137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ACD30C5" w14:textId="33D5F233"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groups</w:t>
            </w:r>
          </w:p>
        </w:tc>
        <w:tc>
          <w:tcPr>
            <w:tcW w:w="362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CD4D39A" w14:textId="2F03A26A"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Utility sector and citizens</w:t>
            </w:r>
          </w:p>
        </w:tc>
      </w:tr>
    </w:tbl>
    <w:p w14:paraId="3C0D3747" w14:textId="77777777" w:rsidR="00005022" w:rsidRPr="007C4D65" w:rsidRDefault="00005022" w:rsidP="00005022">
      <w:pPr>
        <w:spacing w:line="276" w:lineRule="auto"/>
        <w:rPr>
          <w:rFonts w:asciiTheme="minorHAnsi" w:eastAsiaTheme="minorHAnsi" w:hAnsiTheme="minorHAnsi" w:cstheme="minorHAnsi"/>
          <w:sz w:val="22"/>
          <w:szCs w:val="22"/>
          <w:lang w:eastAsia="en-US"/>
        </w:rPr>
      </w:pPr>
    </w:p>
    <w:tbl>
      <w:tblPr>
        <w:tblW w:w="4794"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680"/>
        <w:gridCol w:w="3159"/>
        <w:gridCol w:w="3266"/>
        <w:gridCol w:w="3268"/>
      </w:tblGrid>
      <w:tr w:rsidR="00005022" w:rsidRPr="007C4D65" w14:paraId="30ECA633"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20E7E0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Link with the strategic goal</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105A736" w14:textId="7777777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 Reducing waste and increasing reuse of materials</w:t>
            </w:r>
          </w:p>
        </w:tc>
      </w:tr>
      <w:tr w:rsidR="00005022" w:rsidRPr="007C4D65" w14:paraId="42376C3F"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1B0B55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Priority</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32A8B85" w14:textId="2B0F373B" w:rsidR="00005022" w:rsidRPr="007C4D65" w:rsidRDefault="00005022" w:rsidP="00005022">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 xml:space="preserve">2.4. </w:t>
            </w:r>
            <w:r w:rsidR="001547A8" w:rsidRPr="007C4D65">
              <w:rPr>
                <w:rFonts w:asciiTheme="minorHAnsi" w:eastAsiaTheme="minorHAnsi" w:hAnsiTheme="minorHAnsi" w:cstheme="minorHAnsi"/>
                <w:b/>
                <w:sz w:val="18"/>
                <w:szCs w:val="22"/>
                <w:lang w:eastAsia="en-US"/>
              </w:rPr>
              <w:t>Improving the municipal waste management system</w:t>
            </w:r>
          </w:p>
        </w:tc>
      </w:tr>
      <w:tr w:rsidR="00005022" w:rsidRPr="007C4D65" w14:paraId="64175A13"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340924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Title of the measure</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F380B54" w14:textId="2DA90CC4"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 xml:space="preserve">2.4.2 Procurement of equipment and development of the </w:t>
            </w:r>
            <w:r w:rsidR="009E2F20" w:rsidRPr="007C4D65">
              <w:rPr>
                <w:rFonts w:asciiTheme="minorHAnsi" w:eastAsiaTheme="minorHAnsi" w:hAnsiTheme="minorHAnsi" w:cstheme="minorHAnsi"/>
                <w:b/>
                <w:sz w:val="18"/>
                <w:szCs w:val="22"/>
                <w:lang w:eastAsia="en-US"/>
              </w:rPr>
              <w:t xml:space="preserve">municipal waste management </w:t>
            </w:r>
            <w:r w:rsidRPr="007C4D65">
              <w:rPr>
                <w:rFonts w:asciiTheme="minorHAnsi" w:eastAsiaTheme="minorHAnsi" w:hAnsiTheme="minorHAnsi" w:cstheme="minorHAnsi"/>
                <w:b/>
                <w:sz w:val="18"/>
                <w:szCs w:val="22"/>
                <w:lang w:eastAsia="en-US"/>
              </w:rPr>
              <w:t xml:space="preserve">infrastructure </w:t>
            </w:r>
          </w:p>
        </w:tc>
      </w:tr>
      <w:tr w:rsidR="00005022" w:rsidRPr="007C4D65" w14:paraId="7F01AC31"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EE76C7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 xml:space="preserve">Description of the measure with general area of intervention </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F38B160" w14:textId="397A8BB5"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This measure aims at developing new and upgrading the current municipal waste management infrastructure, which </w:t>
            </w:r>
            <w:r w:rsidR="009E2F20" w:rsidRPr="007C4D65">
              <w:rPr>
                <w:rFonts w:asciiTheme="minorHAnsi" w:eastAsiaTheme="minorHAnsi" w:hAnsiTheme="minorHAnsi" w:cstheme="minorHAnsi"/>
                <w:sz w:val="18"/>
                <w:szCs w:val="22"/>
                <w:lang w:eastAsia="en-US"/>
              </w:rPr>
              <w:t xml:space="preserve">should </w:t>
            </w:r>
            <w:r w:rsidRPr="007C4D65">
              <w:rPr>
                <w:rFonts w:asciiTheme="minorHAnsi" w:eastAsiaTheme="minorHAnsi" w:hAnsiTheme="minorHAnsi" w:cstheme="minorHAnsi"/>
                <w:sz w:val="18"/>
                <w:szCs w:val="22"/>
                <w:lang w:eastAsia="en-US"/>
              </w:rPr>
              <w:t>improve waste collection, sorting, treatment and landfilling.</w:t>
            </w:r>
          </w:p>
          <w:p w14:paraId="7CF986DD" w14:textId="1CC50745"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General</w:t>
            </w:r>
            <w:r w:rsidR="00005022" w:rsidRPr="007C4D65">
              <w:rPr>
                <w:rFonts w:asciiTheme="minorHAnsi" w:eastAsiaTheme="minorHAnsi" w:hAnsiTheme="minorHAnsi" w:cstheme="minorHAnsi"/>
                <w:sz w:val="18"/>
                <w:szCs w:val="22"/>
                <w:lang w:eastAsia="en-US"/>
              </w:rPr>
              <w:t xml:space="preserve"> area</w:t>
            </w:r>
            <w:r w:rsidRPr="007C4D65">
              <w:rPr>
                <w:rFonts w:asciiTheme="minorHAnsi" w:eastAsiaTheme="minorHAnsi" w:hAnsiTheme="minorHAnsi" w:cstheme="minorHAnsi"/>
                <w:sz w:val="18"/>
                <w:szCs w:val="22"/>
                <w:lang w:eastAsia="en-US"/>
              </w:rPr>
              <w:t>s</w:t>
            </w:r>
            <w:r w:rsidR="00005022" w:rsidRPr="007C4D65">
              <w:rPr>
                <w:rFonts w:asciiTheme="minorHAnsi" w:eastAsiaTheme="minorHAnsi" w:hAnsiTheme="minorHAnsi" w:cstheme="minorHAnsi"/>
                <w:sz w:val="18"/>
                <w:szCs w:val="22"/>
                <w:lang w:eastAsia="en-US"/>
              </w:rPr>
              <w:t xml:space="preserve"> of intervention focus on:</w:t>
            </w:r>
          </w:p>
          <w:p w14:paraId="0BB7C812" w14:textId="3B0764C3" w:rsidR="00005022" w:rsidRPr="007C4D65" w:rsidRDefault="00005022">
            <w:pPr>
              <w:numPr>
                <w:ilvl w:val="0"/>
                <w:numId w:val="10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b/>
                <w:sz w:val="18"/>
                <w:szCs w:val="22"/>
                <w:lang w:eastAsia="en-US"/>
              </w:rPr>
              <w:t>Procuring equipment for municipal</w:t>
            </w:r>
            <w:r w:rsidRPr="007C4D65">
              <w:rPr>
                <w:rFonts w:asciiTheme="minorHAnsi" w:eastAsiaTheme="minorHAnsi" w:hAnsiTheme="minorHAnsi" w:cstheme="minorHAnsi"/>
                <w:sz w:val="18"/>
                <w:szCs w:val="22"/>
                <w:lang w:eastAsia="en-US"/>
              </w:rPr>
              <w:t xml:space="preserve"> </w:t>
            </w:r>
            <w:r w:rsidRPr="007C4D65">
              <w:rPr>
                <w:rFonts w:asciiTheme="minorHAnsi" w:eastAsiaTheme="minorHAnsi" w:hAnsiTheme="minorHAnsi" w:cstheme="minorHAnsi"/>
                <w:b/>
                <w:sz w:val="18"/>
                <w:szCs w:val="22"/>
                <w:lang w:eastAsia="en-US"/>
              </w:rPr>
              <w:t>waste collection and transport (containers, tracks and other equipment)</w:t>
            </w:r>
            <w:r w:rsidRPr="007C4D65">
              <w:rPr>
                <w:rFonts w:asciiTheme="minorHAnsi" w:eastAsiaTheme="minorHAnsi" w:hAnsiTheme="minorHAnsi" w:cstheme="minorHAnsi"/>
                <w:sz w:val="18"/>
                <w:szCs w:val="22"/>
                <w:lang w:eastAsia="en-US"/>
              </w:rPr>
              <w:t xml:space="preserve"> based on the needs </w:t>
            </w:r>
            <w:r w:rsidR="009E2F20" w:rsidRPr="007C4D65">
              <w:rPr>
                <w:rFonts w:asciiTheme="minorHAnsi" w:eastAsiaTheme="minorHAnsi" w:hAnsiTheme="minorHAnsi" w:cstheme="minorHAnsi"/>
                <w:sz w:val="18"/>
                <w:szCs w:val="22"/>
                <w:lang w:eastAsia="en-US"/>
              </w:rPr>
              <w:t>identified</w:t>
            </w:r>
            <w:r w:rsidRPr="007C4D65">
              <w:rPr>
                <w:rFonts w:asciiTheme="minorHAnsi" w:eastAsiaTheme="minorHAnsi" w:hAnsiTheme="minorHAnsi" w:cstheme="minorHAnsi"/>
                <w:sz w:val="18"/>
                <w:szCs w:val="22"/>
                <w:lang w:eastAsia="en-US"/>
              </w:rPr>
              <w:t xml:space="preserve"> in the cantonal/municipal waste management plans</w:t>
            </w:r>
            <w:r w:rsidR="005C416E" w:rsidRPr="007C4D65">
              <w:rPr>
                <w:rFonts w:asciiTheme="minorHAnsi" w:eastAsia="Calibri" w:hAnsiTheme="minorHAnsi" w:cstheme="minorHAnsi"/>
                <w:sz w:val="18"/>
                <w:szCs w:val="18"/>
                <w:lang w:eastAsia="en-US"/>
              </w:rPr>
              <w:t>.</w:t>
            </w:r>
          </w:p>
          <w:p w14:paraId="248310B7" w14:textId="1E788F86" w:rsidR="00005022" w:rsidRPr="007C4D65" w:rsidRDefault="00005022">
            <w:pPr>
              <w:numPr>
                <w:ilvl w:val="0"/>
                <w:numId w:val="10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b/>
                <w:sz w:val="18"/>
                <w:szCs w:val="22"/>
                <w:lang w:eastAsia="en-US"/>
              </w:rPr>
              <w:t>Procuring equipment for separate collection and sorting of waste</w:t>
            </w:r>
            <w:r w:rsidRPr="007C4D65">
              <w:rPr>
                <w:rFonts w:asciiTheme="minorHAnsi" w:eastAsiaTheme="minorHAnsi" w:hAnsiTheme="minorHAnsi" w:cstheme="minorHAnsi"/>
                <w:sz w:val="18"/>
                <w:szCs w:val="22"/>
                <w:lang w:eastAsia="en-US"/>
              </w:rPr>
              <w:t xml:space="preserve"> through purchase of containers/bins, vehicles and other equipment for separate collection of secondary raw material</w:t>
            </w:r>
            <w:r w:rsidR="005C416E" w:rsidRPr="007C4D65">
              <w:rPr>
                <w:rFonts w:asciiTheme="minorHAnsi" w:eastAsiaTheme="minorHAnsi" w:hAnsiTheme="minorHAnsi" w:cstheme="minorHAnsi"/>
                <w:sz w:val="18"/>
                <w:szCs w:val="22"/>
                <w:lang w:eastAsia="en-US"/>
              </w:rPr>
              <w:t>.</w:t>
            </w:r>
          </w:p>
          <w:p w14:paraId="5324FC78" w14:textId="77777777" w:rsidR="00005022" w:rsidRPr="007C4D65" w:rsidRDefault="00005022">
            <w:pPr>
              <w:numPr>
                <w:ilvl w:val="0"/>
                <w:numId w:val="10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Capacity building for waste treatment and disposal, including the following infrastructure:</w:t>
            </w:r>
          </w:p>
          <w:p w14:paraId="4CF66614" w14:textId="1226BB9C"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b/>
                <w:sz w:val="18"/>
                <w:szCs w:val="22"/>
                <w:lang w:eastAsia="en-US"/>
              </w:rPr>
              <w:t>Green islands and recycling yards</w:t>
            </w:r>
            <w:r w:rsidRPr="007C4D65">
              <w:rPr>
                <w:rFonts w:asciiTheme="minorHAnsi" w:eastAsiaTheme="minorHAnsi" w:hAnsiTheme="minorHAnsi" w:cstheme="minorHAnsi"/>
                <w:sz w:val="18"/>
                <w:szCs w:val="22"/>
                <w:lang w:eastAsia="en-US"/>
              </w:rPr>
              <w:t xml:space="preserve"> based on the needs </w:t>
            </w:r>
            <w:r w:rsidR="009E2F20" w:rsidRPr="007C4D65">
              <w:rPr>
                <w:rFonts w:asciiTheme="minorHAnsi" w:eastAsiaTheme="minorHAnsi" w:hAnsiTheme="minorHAnsi" w:cstheme="minorHAnsi"/>
                <w:sz w:val="18"/>
                <w:szCs w:val="22"/>
                <w:lang w:eastAsia="en-US"/>
              </w:rPr>
              <w:t xml:space="preserve">identified </w:t>
            </w:r>
            <w:r w:rsidRPr="007C4D65">
              <w:rPr>
                <w:rFonts w:asciiTheme="minorHAnsi" w:eastAsiaTheme="minorHAnsi" w:hAnsiTheme="minorHAnsi" w:cstheme="minorHAnsi"/>
                <w:sz w:val="18"/>
                <w:szCs w:val="22"/>
                <w:lang w:eastAsia="en-US"/>
              </w:rPr>
              <w:t>in the cantonal/municipal waste management plans</w:t>
            </w:r>
            <w:r w:rsidRPr="007C4D65">
              <w:rPr>
                <w:rFonts w:asciiTheme="minorHAnsi" w:eastAsia="Calibri" w:hAnsiTheme="minorHAnsi" w:cstheme="minorHAnsi"/>
                <w:sz w:val="18"/>
                <w:szCs w:val="18"/>
                <w:vertAlign w:val="superscript"/>
                <w:lang w:eastAsia="x-none"/>
              </w:rPr>
              <w:footnoteReference w:id="28"/>
            </w:r>
            <w:r w:rsidR="005C416E" w:rsidRPr="007C4D65">
              <w:rPr>
                <w:rFonts w:asciiTheme="minorHAnsi" w:eastAsia="Calibri" w:hAnsiTheme="minorHAnsi" w:cstheme="minorHAnsi"/>
                <w:sz w:val="18"/>
                <w:szCs w:val="18"/>
                <w:lang w:eastAsia="en-US"/>
              </w:rPr>
              <w:t>;</w:t>
            </w:r>
          </w:p>
          <w:p w14:paraId="23B6E8FB" w14:textId="2EE882A0"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New r</w:t>
            </w:r>
            <w:r w:rsidRPr="007C4D65">
              <w:rPr>
                <w:rFonts w:asciiTheme="minorHAnsi" w:eastAsiaTheme="minorHAnsi" w:hAnsiTheme="minorHAnsi" w:cstheme="minorHAnsi"/>
                <w:b/>
                <w:sz w:val="18"/>
                <w:szCs w:val="22"/>
                <w:lang w:eastAsia="en-US"/>
              </w:rPr>
              <w:t>egional and/or inter-municipal landfills and/or upgrading the current municipal landfills</w:t>
            </w:r>
            <w:r w:rsidRPr="007C4D65">
              <w:rPr>
                <w:rFonts w:asciiTheme="minorHAnsi" w:eastAsiaTheme="minorHAnsi" w:hAnsiTheme="minorHAnsi" w:cstheme="minorHAnsi"/>
                <w:sz w:val="18"/>
                <w:szCs w:val="22"/>
                <w:lang w:eastAsia="en-US"/>
              </w:rPr>
              <w:t xml:space="preserve"> in accordance with the new concept of waste disposal </w:t>
            </w:r>
            <w:r w:rsidR="009E2F20" w:rsidRPr="007C4D65">
              <w:rPr>
                <w:rFonts w:asciiTheme="minorHAnsi" w:eastAsiaTheme="minorHAnsi" w:hAnsiTheme="minorHAnsi" w:cstheme="minorHAnsi"/>
                <w:sz w:val="18"/>
                <w:szCs w:val="22"/>
                <w:lang w:eastAsia="en-US"/>
              </w:rPr>
              <w:t>in the Federation of BiH</w:t>
            </w:r>
            <w:r w:rsidRPr="007C4D65">
              <w:rPr>
                <w:rFonts w:asciiTheme="minorHAnsi" w:eastAsiaTheme="minorHAnsi" w:hAnsiTheme="minorHAnsi" w:cstheme="minorHAnsi"/>
                <w:sz w:val="18"/>
                <w:szCs w:val="22"/>
                <w:lang w:eastAsia="en-US"/>
              </w:rPr>
              <w:t xml:space="preserve"> which requires a revision of the current regional scheme, taking into account the geography and potential for pooling within regional and inter-municipal </w:t>
            </w:r>
            <w:proofErr w:type="gramStart"/>
            <w:r w:rsidRPr="007C4D65">
              <w:rPr>
                <w:rFonts w:asciiTheme="minorHAnsi" w:eastAsiaTheme="minorHAnsi" w:hAnsiTheme="minorHAnsi" w:cstheme="minorHAnsi"/>
                <w:sz w:val="18"/>
                <w:szCs w:val="22"/>
                <w:lang w:eastAsia="en-US"/>
              </w:rPr>
              <w:t>schemes</w:t>
            </w:r>
            <w:r w:rsidR="005C416E" w:rsidRPr="007C4D65">
              <w:rPr>
                <w:rFonts w:asciiTheme="minorHAnsi" w:eastAsiaTheme="minorHAnsi" w:hAnsiTheme="minorHAnsi" w:cstheme="minorHAnsi"/>
                <w:sz w:val="18"/>
                <w:szCs w:val="22"/>
                <w:lang w:eastAsia="en-US"/>
              </w:rPr>
              <w:t>;</w:t>
            </w:r>
            <w:proofErr w:type="gramEnd"/>
          </w:p>
          <w:p w14:paraId="3B14A53F" w14:textId="28E804AD"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b/>
                <w:sz w:val="18"/>
                <w:szCs w:val="22"/>
                <w:lang w:eastAsia="en-US"/>
              </w:rPr>
              <w:t>transfer stations</w:t>
            </w:r>
            <w:r w:rsidRPr="007C4D65">
              <w:rPr>
                <w:rFonts w:asciiTheme="minorHAnsi" w:eastAsiaTheme="minorHAnsi" w:hAnsiTheme="minorHAnsi" w:cstheme="minorHAnsi"/>
                <w:sz w:val="18"/>
                <w:szCs w:val="22"/>
                <w:lang w:eastAsia="en-US"/>
              </w:rPr>
              <w:t xml:space="preserve"> in accordance with the new concept of regional waste disposal</w:t>
            </w:r>
            <w:r w:rsidR="009E2F20" w:rsidRPr="007C4D65">
              <w:rPr>
                <w:rFonts w:asciiTheme="minorHAnsi" w:eastAsiaTheme="minorHAnsi" w:hAnsiTheme="minorHAnsi" w:cstheme="minorHAnsi"/>
                <w:sz w:val="18"/>
                <w:szCs w:val="22"/>
                <w:lang w:eastAsia="en-US"/>
              </w:rPr>
              <w:t xml:space="preserve"> in the Federation of </w:t>
            </w:r>
            <w:proofErr w:type="gramStart"/>
            <w:r w:rsidR="009E2F20" w:rsidRPr="007C4D65">
              <w:rPr>
                <w:rFonts w:asciiTheme="minorHAnsi" w:eastAsiaTheme="minorHAnsi" w:hAnsiTheme="minorHAnsi" w:cstheme="minorHAnsi"/>
                <w:sz w:val="18"/>
                <w:szCs w:val="22"/>
                <w:lang w:eastAsia="en-US"/>
              </w:rPr>
              <w:t>BiH</w:t>
            </w:r>
            <w:r w:rsidR="005C416E" w:rsidRPr="007C4D65">
              <w:rPr>
                <w:rFonts w:asciiTheme="minorHAnsi" w:eastAsiaTheme="minorHAnsi" w:hAnsiTheme="minorHAnsi" w:cstheme="minorHAnsi"/>
                <w:sz w:val="18"/>
                <w:szCs w:val="22"/>
                <w:lang w:eastAsia="en-US"/>
              </w:rPr>
              <w:t>;</w:t>
            </w:r>
            <w:proofErr w:type="gramEnd"/>
          </w:p>
          <w:p w14:paraId="22144757" w14:textId="68081E70"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Building new </w:t>
            </w:r>
            <w:r w:rsidRPr="007C4D65">
              <w:rPr>
                <w:rFonts w:asciiTheme="minorHAnsi" w:eastAsiaTheme="minorHAnsi" w:hAnsiTheme="minorHAnsi" w:cstheme="minorHAnsi"/>
                <w:b/>
                <w:sz w:val="18"/>
                <w:szCs w:val="22"/>
                <w:lang w:eastAsia="en-US"/>
              </w:rPr>
              <w:t>regional/inter-municipal waste management centres</w:t>
            </w:r>
            <w:r w:rsidRPr="007C4D65">
              <w:rPr>
                <w:rFonts w:asciiTheme="minorHAnsi" w:eastAsiaTheme="minorHAnsi" w:hAnsiTheme="minorHAnsi" w:cstheme="minorHAnsi"/>
                <w:sz w:val="18"/>
                <w:szCs w:val="22"/>
                <w:lang w:eastAsia="en-US"/>
              </w:rPr>
              <w:t xml:space="preserve"> within predefined regional/inter-municipal/municipal landfills in accordance with the new waste disposal concept </w:t>
            </w:r>
            <w:r w:rsidR="009E2F20" w:rsidRPr="007C4D65">
              <w:rPr>
                <w:rFonts w:asciiTheme="minorHAnsi" w:eastAsiaTheme="minorHAnsi" w:hAnsiTheme="minorHAnsi" w:cstheme="minorHAnsi"/>
                <w:sz w:val="18"/>
                <w:szCs w:val="22"/>
                <w:lang w:eastAsia="en-US"/>
              </w:rPr>
              <w:t xml:space="preserve">in the Federation of BiH </w:t>
            </w:r>
            <w:r w:rsidRPr="007C4D65">
              <w:rPr>
                <w:rFonts w:asciiTheme="minorHAnsi" w:eastAsiaTheme="minorHAnsi" w:hAnsiTheme="minorHAnsi" w:cstheme="minorHAnsi"/>
                <w:sz w:val="18"/>
                <w:szCs w:val="22"/>
                <w:lang w:eastAsia="en-US"/>
              </w:rPr>
              <w:t>which involves a revision of the current plan to build regional centres based on realistic indicators on waste quantities and financial sustainability of such centres.</w:t>
            </w:r>
          </w:p>
        </w:tc>
      </w:tr>
      <w:tr w:rsidR="00005022" w:rsidRPr="007C4D65" w14:paraId="5E834DD1"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E37E0F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Strategic projects</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0BE45A9"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w:t>
            </w:r>
          </w:p>
        </w:tc>
      </w:tr>
      <w:tr w:rsidR="00005022" w:rsidRPr="007C4D65" w14:paraId="5A03AFA8"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E4D3A9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 for monitoring of results</w:t>
            </w:r>
          </w:p>
        </w:tc>
        <w:tc>
          <w:tcPr>
            <w:tcW w:w="118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3CCBF3E"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00D17D07"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2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FB61E4D"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Baseline value</w:t>
            </w:r>
          </w:p>
          <w:p w14:paraId="08B568FD"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(2021)</w:t>
            </w:r>
          </w:p>
        </w:tc>
        <w:tc>
          <w:tcPr>
            <w:tcW w:w="12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289580D"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value</w:t>
            </w:r>
          </w:p>
        </w:tc>
      </w:tr>
      <w:tr w:rsidR="00005022" w:rsidRPr="007C4D65" w14:paraId="2C55973C" w14:textId="77777777" w:rsidTr="00BC37DE">
        <w:trPr>
          <w:trHeight w:val="567"/>
          <w:jc w:val="center"/>
        </w:trPr>
        <w:tc>
          <w:tcPr>
            <w:tcW w:w="1376"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5A769E11"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18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39ACA72"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xml:space="preserve">a.1 Quantity of household waste collected through public waste transport services </w:t>
            </w:r>
          </w:p>
          <w:p w14:paraId="345529D8"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p>
          <w:p w14:paraId="42330050"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p>
          <w:p w14:paraId="399FC36C"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xml:space="preserve">a.2 Percentage of the population covered by public waste transport services </w:t>
            </w:r>
          </w:p>
          <w:p w14:paraId="4118CF37"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p>
        </w:tc>
        <w:tc>
          <w:tcPr>
            <w:tcW w:w="122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FD247AB"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a.1 611,854 t/y (2020)</w:t>
            </w:r>
          </w:p>
          <w:p w14:paraId="71147164"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p>
          <w:p w14:paraId="384EF659"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p>
          <w:p w14:paraId="484D9943"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p>
          <w:p w14:paraId="63FD6C84"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a.2 68% (2018)</w:t>
            </w:r>
          </w:p>
        </w:tc>
        <w:tc>
          <w:tcPr>
            <w:tcW w:w="1222"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C38E13E"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a.1 Quantities of household waste collected through public waste transport services </w:t>
            </w:r>
            <w:proofErr w:type="gramStart"/>
            <w:r w:rsidRPr="007C4D65">
              <w:rPr>
                <w:rFonts w:asciiTheme="minorHAnsi" w:eastAsiaTheme="minorHAnsi" w:hAnsiTheme="minorHAnsi" w:cstheme="minorHAnsi"/>
                <w:sz w:val="18"/>
                <w:szCs w:val="22"/>
                <w:lang w:eastAsia="en-US"/>
              </w:rPr>
              <w:t>increased  so</w:t>
            </w:r>
            <w:proofErr w:type="gramEnd"/>
            <w:r w:rsidRPr="007C4D65">
              <w:rPr>
                <w:rFonts w:asciiTheme="minorHAnsi" w:eastAsiaTheme="minorHAnsi" w:hAnsiTheme="minorHAnsi" w:cstheme="minorHAnsi"/>
                <w:sz w:val="18"/>
                <w:szCs w:val="22"/>
                <w:lang w:eastAsia="en-US"/>
              </w:rPr>
              <w:t xml:space="preserve"> as to ensure collection of no less than 95% of municipal waste generated</w:t>
            </w:r>
          </w:p>
          <w:p w14:paraId="7D25C077" w14:textId="1AE41B92"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a.2 The percentage of population covered with organised waste collection increased to 100% in urban areas and to 90% in rural areas</w:t>
            </w:r>
          </w:p>
        </w:tc>
      </w:tr>
      <w:tr w:rsidR="00005022" w:rsidRPr="007C4D65" w14:paraId="690D0237" w14:textId="77777777" w:rsidTr="00BC37DE">
        <w:trPr>
          <w:trHeight w:val="567"/>
          <w:jc w:val="center"/>
        </w:trPr>
        <w:tc>
          <w:tcPr>
            <w:tcW w:w="1376"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A9791F7"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18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3C7A146" w14:textId="74872564"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b. Waste management - total quantities</w:t>
            </w:r>
          </w:p>
          <w:p w14:paraId="2C82CD87"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p>
        </w:tc>
        <w:tc>
          <w:tcPr>
            <w:tcW w:w="122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1137861" w14:textId="0F34B818"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The quantity of waste within a year dispatched for treatment/disposal/export - a total = 1% of the waste generated</w:t>
            </w:r>
          </w:p>
          <w:p w14:paraId="52FDEDE4"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or</w:t>
            </w:r>
          </w:p>
          <w:p w14:paraId="729C16B2" w14:textId="2D732B6D"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xml:space="preserve">Small quantities of municipal waste by </w:t>
            </w:r>
            <w:r w:rsidR="00F8755A" w:rsidRPr="007C4D65">
              <w:rPr>
                <w:rFonts w:asciiTheme="minorHAnsi" w:eastAsia="Calibri" w:hAnsiTheme="minorHAnsi" w:cstheme="minorHAnsi"/>
                <w:sz w:val="18"/>
                <w:lang w:eastAsia="en-US"/>
              </w:rPr>
              <w:t>treated in R</w:t>
            </w:r>
            <w:r w:rsidRPr="007C4D65">
              <w:rPr>
                <w:rFonts w:asciiTheme="minorHAnsi" w:eastAsia="Calibri" w:hAnsiTheme="minorHAnsi" w:cstheme="minorHAnsi"/>
                <w:sz w:val="18"/>
                <w:lang w:eastAsia="en-US"/>
              </w:rPr>
              <w:t xml:space="preserve"> procedures</w:t>
            </w:r>
          </w:p>
          <w:p w14:paraId="691FA6D1"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p>
        </w:tc>
        <w:tc>
          <w:tcPr>
            <w:tcW w:w="1222"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E4F9F60" w14:textId="7FB261C3"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The quantity of waste within a year dispatched for treatment/disposal/export - a total = 30% of the waste generated</w:t>
            </w:r>
          </w:p>
          <w:p w14:paraId="4FA224F4"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or</w:t>
            </w:r>
          </w:p>
          <w:p w14:paraId="1A7080E1" w14:textId="77777777" w:rsidR="00005022" w:rsidRPr="007C4D65" w:rsidRDefault="00005022" w:rsidP="00005022">
            <w:pPr>
              <w:spacing w:before="40" w:after="40" w:line="276" w:lineRule="auto"/>
              <w:rPr>
                <w:rFonts w:asciiTheme="minorHAnsi" w:eastAsia="Calibri" w:hAnsiTheme="minorHAnsi" w:cstheme="minorHAnsi"/>
                <w:i/>
                <w:iCs/>
                <w:sz w:val="18"/>
                <w:szCs w:val="18"/>
                <w:lang w:eastAsia="en-US"/>
              </w:rPr>
            </w:pPr>
            <w:r w:rsidRPr="007C4D65">
              <w:rPr>
                <w:rFonts w:asciiTheme="minorHAnsi" w:eastAsia="Calibri" w:hAnsiTheme="minorHAnsi" w:cstheme="minorHAnsi"/>
                <w:sz w:val="18"/>
                <w:lang w:eastAsia="en-US"/>
              </w:rPr>
              <w:t xml:space="preserve">The quantity of municipal waste </w:t>
            </w:r>
            <w:proofErr w:type="gramStart"/>
            <w:r w:rsidRPr="007C4D65">
              <w:rPr>
                <w:rFonts w:asciiTheme="minorHAnsi" w:eastAsia="Calibri" w:hAnsiTheme="minorHAnsi" w:cstheme="minorHAnsi"/>
                <w:sz w:val="18"/>
                <w:lang w:eastAsia="en-US"/>
              </w:rPr>
              <w:t>treated  in</w:t>
            </w:r>
            <w:proofErr w:type="gramEnd"/>
            <w:r w:rsidRPr="007C4D65">
              <w:rPr>
                <w:rFonts w:asciiTheme="minorHAnsi" w:eastAsia="Calibri" w:hAnsiTheme="minorHAnsi" w:cstheme="minorHAnsi"/>
                <w:sz w:val="18"/>
                <w:lang w:eastAsia="en-US"/>
              </w:rPr>
              <w:t xml:space="preserve"> R treatment procedures increased to 30% of the waste generated as compared to the base year (2032)</w:t>
            </w:r>
          </w:p>
        </w:tc>
      </w:tr>
      <w:tr w:rsidR="00005022" w:rsidRPr="007C4D65" w14:paraId="3270B648" w14:textId="77777777" w:rsidTr="00BC37DE">
        <w:trPr>
          <w:trHeight w:val="567"/>
          <w:jc w:val="center"/>
        </w:trPr>
        <w:tc>
          <w:tcPr>
            <w:tcW w:w="1376"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31AE6F3"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18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A1AD27E" w14:textId="43C76415" w:rsidR="00005022" w:rsidRPr="007C4D65" w:rsidRDefault="00005022" w:rsidP="00005022">
            <w:pPr>
              <w:spacing w:before="40" w:after="40" w:line="276" w:lineRule="auto"/>
              <w:rPr>
                <w:rFonts w:asciiTheme="minorHAnsi" w:eastAsia="Calibri" w:hAnsiTheme="minorHAnsi" w:cstheme="minorHAnsi"/>
                <w:color w:val="000000" w:themeColor="text1"/>
                <w:sz w:val="18"/>
                <w:szCs w:val="18"/>
                <w:lang w:eastAsia="en-US"/>
              </w:rPr>
            </w:pPr>
            <w:r w:rsidRPr="007C4D65">
              <w:rPr>
                <w:rFonts w:asciiTheme="minorHAnsi" w:eastAsia="Calibri" w:hAnsiTheme="minorHAnsi" w:cstheme="minorHAnsi"/>
                <w:color w:val="000000" w:themeColor="text1"/>
                <w:sz w:val="18"/>
                <w:lang w:eastAsia="en-US"/>
              </w:rPr>
              <w:t>c.1 Treatment and disposal capacities (buildings)</w:t>
            </w:r>
          </w:p>
          <w:p w14:paraId="6209F9EC"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p>
        </w:tc>
        <w:tc>
          <w:tcPr>
            <w:tcW w:w="122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3C5BDE2" w14:textId="3C026AC9"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c. 1.1 number of municipal/city recycling yards for separate collection of </w:t>
            </w:r>
            <w:r w:rsidR="00F8755A" w:rsidRPr="007C4D65">
              <w:rPr>
                <w:rFonts w:asciiTheme="minorHAnsi" w:eastAsiaTheme="minorHAnsi" w:hAnsiTheme="minorHAnsi" w:cstheme="minorHAnsi"/>
                <w:sz w:val="18"/>
                <w:szCs w:val="22"/>
                <w:lang w:eastAsia="en-US"/>
              </w:rPr>
              <w:t xml:space="preserve">different </w:t>
            </w:r>
            <w:r w:rsidRPr="007C4D65">
              <w:rPr>
                <w:rFonts w:asciiTheme="minorHAnsi" w:eastAsiaTheme="minorHAnsi" w:hAnsiTheme="minorHAnsi" w:cstheme="minorHAnsi"/>
                <w:sz w:val="18"/>
                <w:szCs w:val="22"/>
                <w:lang w:eastAsia="en-US"/>
              </w:rPr>
              <w:t xml:space="preserve">types </w:t>
            </w:r>
            <w:r w:rsidR="00F8755A" w:rsidRPr="007C4D65">
              <w:rPr>
                <w:rFonts w:asciiTheme="minorHAnsi" w:eastAsiaTheme="minorHAnsi" w:hAnsiTheme="minorHAnsi" w:cstheme="minorHAnsi"/>
                <w:sz w:val="18"/>
                <w:szCs w:val="22"/>
                <w:lang w:eastAsia="en-US"/>
              </w:rPr>
              <w:t>of</w:t>
            </w:r>
            <w:r w:rsidRPr="007C4D65">
              <w:rPr>
                <w:rFonts w:asciiTheme="minorHAnsi" w:eastAsiaTheme="minorHAnsi" w:hAnsiTheme="minorHAnsi" w:cstheme="minorHAnsi"/>
                <w:sz w:val="18"/>
                <w:szCs w:val="22"/>
                <w:lang w:eastAsia="en-US"/>
              </w:rPr>
              <w:t xml:space="preserve"> municipal waste 7</w:t>
            </w:r>
          </w:p>
          <w:p w14:paraId="44125733"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C.1.2 number of disposal sites - by landfill types 7 regional and 74 municipal landfills</w:t>
            </w:r>
          </w:p>
          <w:p w14:paraId="0EA8200A"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c.1.3 number of regional waste management centres (no.): 1 (Sarajevo)</w:t>
            </w:r>
          </w:p>
        </w:tc>
        <w:tc>
          <w:tcPr>
            <w:tcW w:w="1222"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2E1D14F" w14:textId="43F82D23"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Number of facilities for treatment and disposal of waste increased as compare</w:t>
            </w:r>
            <w:r w:rsidR="00F8755A" w:rsidRPr="007C4D65">
              <w:rPr>
                <w:rFonts w:asciiTheme="minorHAnsi" w:eastAsiaTheme="minorHAnsi" w:hAnsiTheme="minorHAnsi" w:cstheme="minorHAnsi"/>
                <w:sz w:val="18"/>
                <w:szCs w:val="22"/>
                <w:lang w:eastAsia="en-US"/>
              </w:rPr>
              <w:t>d</w:t>
            </w:r>
            <w:r w:rsidRPr="007C4D65">
              <w:rPr>
                <w:rFonts w:asciiTheme="minorHAnsi" w:eastAsiaTheme="minorHAnsi" w:hAnsiTheme="minorHAnsi" w:cstheme="minorHAnsi"/>
                <w:sz w:val="18"/>
                <w:szCs w:val="22"/>
                <w:lang w:eastAsia="en-US"/>
              </w:rPr>
              <w:t xml:space="preserve"> to the base year (20</w:t>
            </w:r>
            <w:r w:rsidR="00F8755A" w:rsidRPr="007C4D65">
              <w:rPr>
                <w:rFonts w:asciiTheme="minorHAnsi" w:eastAsiaTheme="minorHAnsi" w:hAnsiTheme="minorHAnsi" w:cstheme="minorHAnsi"/>
                <w:sz w:val="18"/>
                <w:szCs w:val="22"/>
                <w:lang w:eastAsia="en-US"/>
              </w:rPr>
              <w:t>32</w:t>
            </w:r>
            <w:r w:rsidRPr="007C4D65">
              <w:rPr>
                <w:rFonts w:asciiTheme="minorHAnsi" w:eastAsiaTheme="minorHAnsi" w:hAnsiTheme="minorHAnsi" w:cstheme="minorHAnsi"/>
                <w:sz w:val="18"/>
                <w:szCs w:val="22"/>
                <w:lang w:eastAsia="en-US"/>
              </w:rPr>
              <w:t>)</w:t>
            </w:r>
          </w:p>
          <w:p w14:paraId="0C27ADF3"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p>
          <w:p w14:paraId="69490C7B"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p>
        </w:tc>
      </w:tr>
      <w:tr w:rsidR="00005022" w:rsidRPr="007C4D65" w14:paraId="43016246"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90DBBB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Effect on the development and contribution of the measure to the priority</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EE6B02D" w14:textId="795D8087" w:rsidR="00005022" w:rsidRPr="007C4D65" w:rsidRDefault="00F8755A"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Minimising </w:t>
            </w:r>
            <w:r w:rsidR="009E6B20" w:rsidRPr="007C4D65">
              <w:rPr>
                <w:rFonts w:asciiTheme="minorHAnsi" w:eastAsiaTheme="minorHAnsi" w:hAnsiTheme="minorHAnsi" w:cstheme="minorHAnsi"/>
                <w:sz w:val="18"/>
                <w:szCs w:val="18"/>
                <w:lang w:eastAsia="en-US" w:bidi="en-US"/>
              </w:rPr>
              <w:t>adverse effects</w:t>
            </w:r>
            <w:r w:rsidRPr="007C4D65">
              <w:rPr>
                <w:rFonts w:asciiTheme="minorHAnsi" w:eastAsiaTheme="minorHAnsi" w:hAnsiTheme="minorHAnsi" w:cstheme="minorHAnsi"/>
                <w:sz w:val="18"/>
                <w:szCs w:val="18"/>
                <w:lang w:eastAsia="en-US" w:bidi="en-US"/>
              </w:rPr>
              <w:t xml:space="preserve"> on the environment and </w:t>
            </w:r>
            <w:r w:rsidR="009E6B20" w:rsidRPr="007C4D65">
              <w:rPr>
                <w:rFonts w:asciiTheme="minorHAnsi" w:eastAsiaTheme="minorHAnsi" w:hAnsiTheme="minorHAnsi" w:cstheme="minorHAnsi"/>
                <w:sz w:val="18"/>
                <w:szCs w:val="18"/>
                <w:lang w:eastAsia="en-US" w:bidi="en-US"/>
              </w:rPr>
              <w:t>improved</w:t>
            </w:r>
            <w:r w:rsidRPr="007C4D65">
              <w:rPr>
                <w:rFonts w:asciiTheme="minorHAnsi" w:eastAsiaTheme="minorHAnsi" w:hAnsiTheme="minorHAnsi" w:cstheme="minorHAnsi"/>
                <w:sz w:val="18"/>
                <w:szCs w:val="18"/>
                <w:lang w:eastAsia="en-US" w:bidi="en-US"/>
              </w:rPr>
              <w:t xml:space="preserve"> services for the citizens and industry</w:t>
            </w:r>
          </w:p>
        </w:tc>
      </w:tr>
      <w:tr w:rsidR="00005022" w:rsidRPr="007C4D65" w14:paraId="5253DDF0"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723EC8D" w14:textId="19694506"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Indicative financial projection, with specification of sources</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76AE64F" w14:textId="7C777FFE" w:rsidR="00F8755A" w:rsidRPr="007C4D65" w:rsidRDefault="00F8755A" w:rsidP="00F8755A">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Amount: BAM 527,096,185</w:t>
            </w:r>
          </w:p>
          <w:p w14:paraId="28369DE3" w14:textId="4C6C8C9E" w:rsidR="00005022" w:rsidRPr="007C4D65" w:rsidRDefault="009E6B20" w:rsidP="00F8755A">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Source</w:t>
            </w:r>
            <w:r w:rsidR="00F8755A" w:rsidRPr="007C4D65">
              <w:rPr>
                <w:rFonts w:asciiTheme="minorHAnsi" w:hAnsiTheme="minorHAnsi" w:cstheme="minorHAnsi"/>
                <w:color w:val="000000" w:themeColor="text1"/>
                <w:sz w:val="18"/>
                <w:szCs w:val="18"/>
              </w:rPr>
              <w:t xml:space="preserve">: 10% </w:t>
            </w:r>
            <w:r w:rsidR="000E401F" w:rsidRPr="007C4D65">
              <w:rPr>
                <w:rFonts w:asciiTheme="minorHAnsi" w:hAnsiTheme="minorHAnsi" w:cstheme="minorHAnsi"/>
                <w:color w:val="000000" w:themeColor="text1"/>
                <w:sz w:val="18"/>
                <w:szCs w:val="18"/>
              </w:rPr>
              <w:t>government budget</w:t>
            </w:r>
            <w:r w:rsidR="00F8755A" w:rsidRPr="007C4D65">
              <w:rPr>
                <w:rFonts w:asciiTheme="minorHAnsi" w:hAnsiTheme="minorHAnsi" w:cstheme="minorHAnsi"/>
                <w:color w:val="000000" w:themeColor="text1"/>
                <w:sz w:val="18"/>
                <w:szCs w:val="18"/>
              </w:rPr>
              <w:t>, 90% combined ‒ loans and funds from EU and other international donors</w:t>
            </w:r>
          </w:p>
        </w:tc>
      </w:tr>
      <w:tr w:rsidR="00005022" w:rsidRPr="007C4D65" w14:paraId="2F8C86C7"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6761D2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Period of the implementation of the measure</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C4A0AC9"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2023-2032</w:t>
            </w:r>
          </w:p>
        </w:tc>
      </w:tr>
      <w:tr w:rsidR="00005022" w:rsidRPr="007C4D65" w14:paraId="1C582B8F"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D1B5E4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Institution responsible for coordination of the implementation of the measure</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DFBB4E9" w14:textId="55AEB0D8"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w:t>
            </w:r>
          </w:p>
        </w:tc>
      </w:tr>
      <w:tr w:rsidR="00005022" w:rsidRPr="007C4D65" w14:paraId="78F3BE7B"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D8BC96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Implementing institutions</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6BAD7BF" w14:textId="37BC3880"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 cantons, municipalities, cities, utility companies</w:t>
            </w:r>
          </w:p>
        </w:tc>
      </w:tr>
      <w:tr w:rsidR="00005022" w:rsidRPr="007C4D65" w14:paraId="14F46CDC"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9DF7DE1" w14:textId="2CF1DD58"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groups</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DECEAB1"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Utility sector and citizens </w:t>
            </w:r>
          </w:p>
        </w:tc>
      </w:tr>
    </w:tbl>
    <w:p w14:paraId="0000DE43" w14:textId="77777777" w:rsidR="00005022" w:rsidRPr="007C4D65" w:rsidRDefault="00005022" w:rsidP="00005022">
      <w:pPr>
        <w:spacing w:line="276" w:lineRule="auto"/>
        <w:rPr>
          <w:rFonts w:asciiTheme="minorHAnsi" w:eastAsiaTheme="minorHAnsi" w:hAnsiTheme="minorHAnsi" w:cstheme="minorHAnsi"/>
          <w:sz w:val="22"/>
          <w:szCs w:val="22"/>
          <w:lang w:eastAsia="en-US"/>
        </w:rPr>
      </w:pPr>
    </w:p>
    <w:tbl>
      <w:tblPr>
        <w:tblW w:w="4794"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680"/>
        <w:gridCol w:w="3156"/>
        <w:gridCol w:w="3266"/>
        <w:gridCol w:w="3271"/>
      </w:tblGrid>
      <w:tr w:rsidR="00005022" w:rsidRPr="007C4D65" w14:paraId="79AD45A3"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C5B558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Link with the strategic goal</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6EC134E" w14:textId="7777777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 Reducing waste and increasing reuse of materials</w:t>
            </w:r>
          </w:p>
        </w:tc>
      </w:tr>
      <w:tr w:rsidR="00005022" w:rsidRPr="007C4D65" w14:paraId="1EE3738B"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755882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Priority</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7554FCD" w14:textId="703DF9B5" w:rsidR="00005022" w:rsidRPr="007C4D65" w:rsidRDefault="00005022" w:rsidP="00005022">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2.4. Improving the</w:t>
            </w:r>
            <w:r w:rsidR="001547A8" w:rsidRPr="007C4D65">
              <w:rPr>
                <w:rFonts w:asciiTheme="minorHAnsi" w:eastAsiaTheme="minorHAnsi" w:hAnsiTheme="minorHAnsi" w:cstheme="minorHAnsi"/>
                <w:b/>
                <w:sz w:val="18"/>
                <w:szCs w:val="22"/>
                <w:lang w:eastAsia="en-US"/>
              </w:rPr>
              <w:t xml:space="preserve"> municipal</w:t>
            </w:r>
            <w:r w:rsidRPr="007C4D65">
              <w:rPr>
                <w:rFonts w:asciiTheme="minorHAnsi" w:eastAsiaTheme="minorHAnsi" w:hAnsiTheme="minorHAnsi" w:cstheme="minorHAnsi"/>
                <w:b/>
                <w:sz w:val="18"/>
                <w:szCs w:val="22"/>
                <w:lang w:eastAsia="en-US"/>
              </w:rPr>
              <w:t xml:space="preserve"> waste management system</w:t>
            </w:r>
          </w:p>
        </w:tc>
      </w:tr>
      <w:tr w:rsidR="00005022" w:rsidRPr="007C4D65" w14:paraId="52A16345"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6D46FF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Title of the measure</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ED73F39" w14:textId="123D31E4"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 xml:space="preserve">2.4.3 Programme aimed at reducing the </w:t>
            </w:r>
            <w:r w:rsidR="00F8755A" w:rsidRPr="007C4D65">
              <w:rPr>
                <w:rFonts w:asciiTheme="minorHAnsi" w:eastAsiaTheme="minorHAnsi" w:hAnsiTheme="minorHAnsi" w:cstheme="minorHAnsi"/>
                <w:b/>
                <w:sz w:val="18"/>
                <w:szCs w:val="22"/>
                <w:lang w:eastAsia="en-US"/>
              </w:rPr>
              <w:t>amount</w:t>
            </w:r>
            <w:r w:rsidRPr="007C4D65">
              <w:rPr>
                <w:rFonts w:asciiTheme="minorHAnsi" w:eastAsiaTheme="minorHAnsi" w:hAnsiTheme="minorHAnsi" w:cstheme="minorHAnsi"/>
                <w:b/>
                <w:sz w:val="18"/>
                <w:szCs w:val="22"/>
                <w:lang w:eastAsia="en-US"/>
              </w:rPr>
              <w:t xml:space="preserve"> of municipal waste disposed at landfills</w:t>
            </w:r>
          </w:p>
        </w:tc>
      </w:tr>
      <w:tr w:rsidR="00005022" w:rsidRPr="007C4D65" w14:paraId="618CBD53"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46A27C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 xml:space="preserve">Description of the measure with general area of intervention </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7840136"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This measure aims at reducing the total quantity of municipal waste disposed at landfills through targeted actions. This will be achieved through the three following lines of action:</w:t>
            </w:r>
          </w:p>
          <w:p w14:paraId="2E2F5640" w14:textId="77777777" w:rsidR="00005022" w:rsidRPr="007C4D65" w:rsidRDefault="00005022">
            <w:pPr>
              <w:numPr>
                <w:ilvl w:val="0"/>
                <w:numId w:val="10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b/>
                <w:sz w:val="18"/>
                <w:szCs w:val="22"/>
                <w:lang w:eastAsia="en-US"/>
              </w:rPr>
              <w:t>reducing household waste generation</w:t>
            </w:r>
            <w:r w:rsidRPr="007C4D65">
              <w:rPr>
                <w:rFonts w:asciiTheme="minorHAnsi" w:eastAsiaTheme="minorHAnsi" w:hAnsiTheme="minorHAnsi" w:cstheme="minorHAnsi"/>
                <w:sz w:val="18"/>
                <w:szCs w:val="22"/>
                <w:lang w:eastAsia="en-US"/>
              </w:rPr>
              <w:t xml:space="preserve"> through activities such as:</w:t>
            </w:r>
          </w:p>
          <w:p w14:paraId="690CA2B9" w14:textId="29C34442"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Implementing cantonal and municipal programmes /projects focusing on reducing the use of disposable </w:t>
            </w:r>
            <w:proofErr w:type="gramStart"/>
            <w:r w:rsidRPr="007C4D65">
              <w:rPr>
                <w:rFonts w:asciiTheme="minorHAnsi" w:eastAsiaTheme="minorHAnsi" w:hAnsiTheme="minorHAnsi" w:cstheme="minorHAnsi"/>
                <w:sz w:val="18"/>
                <w:szCs w:val="22"/>
                <w:lang w:eastAsia="en-US"/>
              </w:rPr>
              <w:t>products</w:t>
            </w:r>
            <w:r w:rsidR="00BB12DE" w:rsidRPr="007C4D65">
              <w:rPr>
                <w:rFonts w:asciiTheme="minorHAnsi" w:eastAsia="Calibri" w:hAnsiTheme="minorHAnsi" w:cstheme="minorHAnsi"/>
                <w:sz w:val="18"/>
                <w:szCs w:val="18"/>
                <w:lang w:eastAsia="en-US"/>
              </w:rPr>
              <w:t>;</w:t>
            </w:r>
            <w:proofErr w:type="gramEnd"/>
          </w:p>
          <w:p w14:paraId="24CB8C5E" w14:textId="431E6022"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Implementing cantonal and municipal programmes /projects aimed at promotion and </w:t>
            </w:r>
            <w:proofErr w:type="gramStart"/>
            <w:r w:rsidRPr="007C4D65">
              <w:rPr>
                <w:rFonts w:asciiTheme="minorHAnsi" w:eastAsiaTheme="minorHAnsi" w:hAnsiTheme="minorHAnsi" w:cstheme="minorHAnsi"/>
                <w:sz w:val="18"/>
                <w:szCs w:val="22"/>
                <w:lang w:eastAsia="en-US"/>
              </w:rPr>
              <w:t>furtherance  of</w:t>
            </w:r>
            <w:proofErr w:type="gramEnd"/>
            <w:r w:rsidRPr="007C4D65">
              <w:rPr>
                <w:rFonts w:asciiTheme="minorHAnsi" w:eastAsiaTheme="minorHAnsi" w:hAnsiTheme="minorHAnsi" w:cstheme="minorHAnsi"/>
                <w:sz w:val="18"/>
                <w:szCs w:val="22"/>
                <w:lang w:eastAsia="en-US"/>
              </w:rPr>
              <w:t xml:space="preserve"> reuse of materials (e.g., repair service shops)</w:t>
            </w:r>
            <w:r w:rsidR="00BB12DE" w:rsidRPr="007C4D65">
              <w:rPr>
                <w:rFonts w:asciiTheme="minorHAnsi" w:eastAsia="Calibri" w:hAnsiTheme="minorHAnsi" w:cstheme="minorHAnsi"/>
                <w:sz w:val="18"/>
                <w:szCs w:val="18"/>
                <w:lang w:eastAsia="en-US"/>
              </w:rPr>
              <w:t>;</w:t>
            </w:r>
          </w:p>
          <w:p w14:paraId="2FD4C0F9" w14:textId="7F5ACF1D"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Implementing cantonal and municipal programmes /projects aimed at prevention of food waste </w:t>
            </w:r>
            <w:proofErr w:type="gramStart"/>
            <w:r w:rsidRPr="007C4D65">
              <w:rPr>
                <w:rFonts w:asciiTheme="minorHAnsi" w:eastAsiaTheme="minorHAnsi" w:hAnsiTheme="minorHAnsi" w:cstheme="minorHAnsi"/>
                <w:sz w:val="18"/>
                <w:szCs w:val="22"/>
                <w:lang w:eastAsia="en-US"/>
              </w:rPr>
              <w:t>generation</w:t>
            </w:r>
            <w:r w:rsidR="00BB12DE" w:rsidRPr="007C4D65">
              <w:rPr>
                <w:rFonts w:asciiTheme="minorHAnsi" w:eastAsia="Calibri" w:hAnsiTheme="minorHAnsi" w:cstheme="minorHAnsi"/>
                <w:sz w:val="18"/>
                <w:szCs w:val="18"/>
                <w:lang w:eastAsia="en-US"/>
              </w:rPr>
              <w:t>;</w:t>
            </w:r>
            <w:proofErr w:type="gramEnd"/>
          </w:p>
          <w:p w14:paraId="0FFBED99" w14:textId="77777777"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Implementing cantonal and municipal programmes /projects for promotion and furtherance of household composting</w:t>
            </w:r>
          </w:p>
          <w:p w14:paraId="4ED6B197" w14:textId="77777777" w:rsidR="00005022" w:rsidRPr="007C4D65" w:rsidRDefault="00005022">
            <w:pPr>
              <w:numPr>
                <w:ilvl w:val="0"/>
                <w:numId w:val="10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b/>
                <w:sz w:val="18"/>
                <w:szCs w:val="22"/>
                <w:lang w:eastAsia="en-US"/>
              </w:rPr>
              <w:t>Promoting separate collection of biodegradable waste</w:t>
            </w:r>
            <w:r w:rsidRPr="007C4D65">
              <w:rPr>
                <w:rFonts w:asciiTheme="minorHAnsi" w:eastAsiaTheme="minorHAnsi" w:hAnsiTheme="minorHAnsi" w:cstheme="minorHAnsi"/>
                <w:sz w:val="18"/>
                <w:szCs w:val="22"/>
                <w:lang w:eastAsia="en-US"/>
              </w:rPr>
              <w:t xml:space="preserve"> typically contained in municipal waste through activities such as:</w:t>
            </w:r>
          </w:p>
          <w:p w14:paraId="1D67D1BD" w14:textId="59C898C6"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Designing a concept to reduce biodegradable waste disposed at landfills within the Waste Management Plan</w:t>
            </w:r>
            <w:r w:rsidR="00F8755A" w:rsidRPr="007C4D65">
              <w:rPr>
                <w:rFonts w:asciiTheme="minorHAnsi" w:eastAsia="Calibri" w:hAnsiTheme="minorHAnsi" w:cstheme="minorHAnsi"/>
                <w:sz w:val="18"/>
                <w:szCs w:val="18"/>
                <w:lang w:eastAsia="en-US"/>
              </w:rPr>
              <w:t xml:space="preserve"> of the Federation of </w:t>
            </w:r>
            <w:proofErr w:type="gramStart"/>
            <w:r w:rsidR="00F8755A" w:rsidRPr="007C4D65">
              <w:rPr>
                <w:rFonts w:asciiTheme="minorHAnsi" w:eastAsia="Calibri" w:hAnsiTheme="minorHAnsi" w:cstheme="minorHAnsi"/>
                <w:sz w:val="18"/>
                <w:szCs w:val="18"/>
                <w:lang w:eastAsia="en-US"/>
              </w:rPr>
              <w:t>BiH</w:t>
            </w:r>
            <w:r w:rsidR="00BB12DE" w:rsidRPr="007C4D65">
              <w:rPr>
                <w:rFonts w:asciiTheme="minorHAnsi" w:eastAsia="Calibri" w:hAnsiTheme="minorHAnsi" w:cstheme="minorHAnsi"/>
                <w:sz w:val="18"/>
                <w:szCs w:val="18"/>
                <w:lang w:eastAsia="en-US"/>
              </w:rPr>
              <w:t>;</w:t>
            </w:r>
            <w:proofErr w:type="gramEnd"/>
          </w:p>
          <w:p w14:paraId="32E5F802" w14:textId="7F99CCE7"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Development and preparation of technical and advisory guidelines for </w:t>
            </w:r>
            <w:proofErr w:type="gramStart"/>
            <w:r w:rsidRPr="007C4D65">
              <w:rPr>
                <w:rFonts w:asciiTheme="minorHAnsi" w:eastAsiaTheme="minorHAnsi" w:hAnsiTheme="minorHAnsi" w:cstheme="minorHAnsi"/>
                <w:sz w:val="18"/>
                <w:szCs w:val="22"/>
                <w:lang w:eastAsia="en-US"/>
              </w:rPr>
              <w:t>municipalities</w:t>
            </w:r>
            <w:r w:rsidR="00BB12DE" w:rsidRPr="007C4D65">
              <w:rPr>
                <w:rFonts w:asciiTheme="minorHAnsi" w:eastAsia="Calibri" w:hAnsiTheme="minorHAnsi" w:cstheme="minorHAnsi"/>
                <w:sz w:val="18"/>
                <w:szCs w:val="18"/>
                <w:lang w:eastAsia="en-US"/>
              </w:rPr>
              <w:t>;</w:t>
            </w:r>
            <w:proofErr w:type="gramEnd"/>
          </w:p>
          <w:p w14:paraId="3B682EFB" w14:textId="4A56A61D"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Implementing cantonal and municipal programmes/projects aimed at reducing biodegradable </w:t>
            </w:r>
            <w:proofErr w:type="gramStart"/>
            <w:r w:rsidRPr="007C4D65">
              <w:rPr>
                <w:rFonts w:asciiTheme="minorHAnsi" w:eastAsiaTheme="minorHAnsi" w:hAnsiTheme="minorHAnsi" w:cstheme="minorHAnsi"/>
                <w:sz w:val="18"/>
                <w:szCs w:val="22"/>
                <w:lang w:eastAsia="en-US"/>
              </w:rPr>
              <w:t>waste</w:t>
            </w:r>
            <w:r w:rsidR="00BB12DE" w:rsidRPr="007C4D65">
              <w:rPr>
                <w:rFonts w:asciiTheme="minorHAnsi" w:eastAsiaTheme="minorHAnsi" w:hAnsiTheme="minorHAnsi" w:cstheme="minorHAnsi"/>
                <w:sz w:val="18"/>
                <w:szCs w:val="22"/>
                <w:lang w:eastAsia="en-US"/>
              </w:rPr>
              <w:t>;</w:t>
            </w:r>
            <w:proofErr w:type="gramEnd"/>
          </w:p>
          <w:p w14:paraId="26DF2D40" w14:textId="77777777" w:rsidR="00005022" w:rsidRPr="007C4D65" w:rsidRDefault="00005022">
            <w:pPr>
              <w:numPr>
                <w:ilvl w:val="0"/>
                <w:numId w:val="10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b/>
                <w:sz w:val="18"/>
                <w:szCs w:val="22"/>
                <w:lang w:eastAsia="en-US"/>
              </w:rPr>
              <w:t>Energy recovery through activities such as:</w:t>
            </w:r>
          </w:p>
          <w:p w14:paraId="5AD7B076" w14:textId="792F8B76"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Examining a possibility of energy recovery from waste in the existing cement factories in BiH and creating a roadmap / action plan which </w:t>
            </w:r>
            <w:r w:rsidR="00F8755A" w:rsidRPr="007C4D65">
              <w:rPr>
                <w:rFonts w:asciiTheme="minorHAnsi" w:eastAsiaTheme="minorHAnsi" w:hAnsiTheme="minorHAnsi" w:cstheme="minorHAnsi"/>
                <w:sz w:val="18"/>
                <w:szCs w:val="22"/>
                <w:lang w:eastAsia="en-US"/>
              </w:rPr>
              <w:t>should identify</w:t>
            </w:r>
            <w:r w:rsidRPr="007C4D65">
              <w:rPr>
                <w:rFonts w:asciiTheme="minorHAnsi" w:eastAsiaTheme="minorHAnsi" w:hAnsiTheme="minorHAnsi" w:cstheme="minorHAnsi"/>
                <w:sz w:val="18"/>
                <w:szCs w:val="22"/>
                <w:lang w:eastAsia="en-US"/>
              </w:rPr>
              <w:t xml:space="preserve"> what is </w:t>
            </w:r>
            <w:r w:rsidR="00F8755A" w:rsidRPr="007C4D65">
              <w:rPr>
                <w:rFonts w:asciiTheme="minorHAnsi" w:eastAsiaTheme="minorHAnsi" w:hAnsiTheme="minorHAnsi" w:cstheme="minorHAnsi"/>
                <w:sz w:val="18"/>
                <w:szCs w:val="22"/>
                <w:lang w:eastAsia="en-US"/>
              </w:rPr>
              <w:t>needed to initiate</w:t>
            </w:r>
            <w:r w:rsidRPr="007C4D65">
              <w:rPr>
                <w:rFonts w:asciiTheme="minorHAnsi" w:eastAsiaTheme="minorHAnsi" w:hAnsiTheme="minorHAnsi" w:cstheme="minorHAnsi"/>
                <w:sz w:val="18"/>
                <w:szCs w:val="22"/>
                <w:lang w:eastAsia="en-US"/>
              </w:rPr>
              <w:t xml:space="preserve"> RDF production in </w:t>
            </w:r>
            <w:r w:rsidR="00F8755A" w:rsidRPr="007C4D65">
              <w:rPr>
                <w:rFonts w:asciiTheme="minorHAnsi" w:eastAsiaTheme="minorHAnsi" w:hAnsiTheme="minorHAnsi" w:cstheme="minorHAnsi"/>
                <w:sz w:val="18"/>
                <w:szCs w:val="22"/>
                <w:lang w:eastAsia="en-US"/>
              </w:rPr>
              <w:t xml:space="preserve">the Federation of </w:t>
            </w:r>
            <w:proofErr w:type="gramStart"/>
            <w:r w:rsidR="00F8755A" w:rsidRPr="007C4D65">
              <w:rPr>
                <w:rFonts w:asciiTheme="minorHAnsi" w:eastAsiaTheme="minorHAnsi" w:hAnsiTheme="minorHAnsi" w:cstheme="minorHAnsi"/>
                <w:sz w:val="18"/>
                <w:szCs w:val="22"/>
                <w:lang w:eastAsia="en-US"/>
              </w:rPr>
              <w:t>BiH</w:t>
            </w:r>
            <w:r w:rsidR="00BB12DE" w:rsidRPr="007C4D65">
              <w:rPr>
                <w:rFonts w:asciiTheme="minorHAnsi" w:eastAsia="Calibri" w:hAnsiTheme="minorHAnsi" w:cstheme="minorHAnsi"/>
                <w:sz w:val="18"/>
                <w:szCs w:val="18"/>
                <w:lang w:eastAsia="en-US"/>
              </w:rPr>
              <w:t>;</w:t>
            </w:r>
            <w:proofErr w:type="gramEnd"/>
          </w:p>
          <w:p w14:paraId="1F999242" w14:textId="30062168"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Preparing a feasibility study for construction of energy plants on waste derived fuel for the major centres </w:t>
            </w:r>
            <w:r w:rsidR="00F8755A" w:rsidRPr="007C4D65">
              <w:rPr>
                <w:rFonts w:asciiTheme="minorHAnsi" w:eastAsiaTheme="minorHAnsi" w:hAnsiTheme="minorHAnsi" w:cstheme="minorHAnsi"/>
                <w:sz w:val="18"/>
                <w:szCs w:val="22"/>
                <w:lang w:eastAsia="en-US"/>
              </w:rPr>
              <w:t xml:space="preserve">in the Federation of BiH </w:t>
            </w:r>
            <w:r w:rsidRPr="007C4D65">
              <w:rPr>
                <w:rFonts w:asciiTheme="minorHAnsi" w:eastAsiaTheme="minorHAnsi" w:hAnsiTheme="minorHAnsi" w:cstheme="minorHAnsi"/>
                <w:sz w:val="18"/>
                <w:szCs w:val="22"/>
                <w:lang w:eastAsia="en-US"/>
              </w:rPr>
              <w:t>(Sarajevo, Tuzla, Mostar,).</w:t>
            </w:r>
          </w:p>
        </w:tc>
      </w:tr>
      <w:tr w:rsidR="00005022" w:rsidRPr="007C4D65" w14:paraId="698F8E5E"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F4800B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Strategic projects</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4FD448"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w:t>
            </w:r>
          </w:p>
        </w:tc>
      </w:tr>
      <w:tr w:rsidR="00005022" w:rsidRPr="007C4D65" w14:paraId="671FA29F" w14:textId="77777777" w:rsidTr="00BC37DE">
        <w:trPr>
          <w:trHeight w:val="567"/>
          <w:jc w:val="center"/>
        </w:trPr>
        <w:tc>
          <w:tcPr>
            <w:tcW w:w="1376"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43559F8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 for monitoring of results</w:t>
            </w:r>
          </w:p>
        </w:tc>
        <w:tc>
          <w:tcPr>
            <w:tcW w:w="118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6D6407B"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2474963D"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2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7B456B0"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Baseline value</w:t>
            </w:r>
          </w:p>
          <w:p w14:paraId="4C6E5E13"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(2021)</w:t>
            </w:r>
          </w:p>
        </w:tc>
        <w:tc>
          <w:tcPr>
            <w:tcW w:w="122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11BEB53"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value</w:t>
            </w:r>
          </w:p>
        </w:tc>
      </w:tr>
      <w:tr w:rsidR="00005022" w:rsidRPr="007C4D65" w14:paraId="557B01C7" w14:textId="77777777" w:rsidTr="00BC37DE">
        <w:trPr>
          <w:trHeight w:val="567"/>
          <w:jc w:val="center"/>
        </w:trPr>
        <w:tc>
          <w:tcPr>
            <w:tcW w:w="1376"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3AE94F0"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18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B94999A" w14:textId="763C703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xml:space="preserve">a. The </w:t>
            </w:r>
            <w:r w:rsidR="00F8755A" w:rsidRPr="007C4D65">
              <w:rPr>
                <w:rFonts w:asciiTheme="minorHAnsi" w:eastAsia="Calibri" w:hAnsiTheme="minorHAnsi" w:cstheme="minorHAnsi"/>
                <w:sz w:val="18"/>
                <w:lang w:eastAsia="en-US"/>
              </w:rPr>
              <w:t>amount</w:t>
            </w:r>
            <w:r w:rsidRPr="007C4D65">
              <w:rPr>
                <w:rFonts w:asciiTheme="minorHAnsi" w:eastAsia="Calibri" w:hAnsiTheme="minorHAnsi" w:cstheme="minorHAnsi"/>
                <w:sz w:val="18"/>
                <w:lang w:eastAsia="en-US"/>
              </w:rPr>
              <w:t xml:space="preserve"> of waste generated annually per capita (kg/dwelling/day)</w:t>
            </w:r>
          </w:p>
        </w:tc>
        <w:tc>
          <w:tcPr>
            <w:tcW w:w="122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ED55754"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1,1 kg/dwelling/day </w:t>
            </w:r>
          </w:p>
          <w:p w14:paraId="4983F5B3"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(2020)</w:t>
            </w:r>
          </w:p>
        </w:tc>
        <w:tc>
          <w:tcPr>
            <w:tcW w:w="12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675B91B"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Less than 0.9 kg/dwelling/day</w:t>
            </w:r>
          </w:p>
          <w:p w14:paraId="4D4B1BEC"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(2032)</w:t>
            </w:r>
          </w:p>
        </w:tc>
      </w:tr>
      <w:tr w:rsidR="00005022" w:rsidRPr="007C4D65" w14:paraId="6E910108" w14:textId="77777777" w:rsidTr="00BC37DE">
        <w:trPr>
          <w:trHeight w:val="567"/>
          <w:jc w:val="center"/>
        </w:trPr>
        <w:tc>
          <w:tcPr>
            <w:tcW w:w="1376"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B000F5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18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C59C449" w14:textId="07A9DB3B"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xml:space="preserve">b. The </w:t>
            </w:r>
            <w:r w:rsidR="00E000A6" w:rsidRPr="007C4D65">
              <w:rPr>
                <w:rFonts w:asciiTheme="minorHAnsi" w:eastAsia="Calibri" w:hAnsiTheme="minorHAnsi" w:cstheme="minorHAnsi"/>
                <w:sz w:val="18"/>
                <w:lang w:eastAsia="en-US"/>
              </w:rPr>
              <w:t>amount</w:t>
            </w:r>
            <w:r w:rsidRPr="007C4D65">
              <w:rPr>
                <w:rFonts w:asciiTheme="minorHAnsi" w:eastAsia="Calibri" w:hAnsiTheme="minorHAnsi" w:cstheme="minorHAnsi"/>
                <w:sz w:val="18"/>
                <w:lang w:eastAsia="en-US"/>
              </w:rPr>
              <w:t xml:space="preserve"> of biodegradable waste</w:t>
            </w:r>
            <w:r w:rsidRPr="007C4D65">
              <w:rPr>
                <w:rFonts w:asciiTheme="minorHAnsi" w:eastAsia="Calibri" w:hAnsiTheme="minorHAnsi" w:cstheme="minorHAnsi"/>
                <w:sz w:val="18"/>
                <w:lang w:eastAsia="en-US"/>
              </w:rPr>
              <w:br/>
              <w:t>landfilled</w:t>
            </w:r>
          </w:p>
        </w:tc>
        <w:tc>
          <w:tcPr>
            <w:tcW w:w="122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ACC2792"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100%</w:t>
            </w:r>
          </w:p>
          <w:p w14:paraId="2516DA0B" w14:textId="77777777" w:rsidR="00005022" w:rsidRPr="007C4D65" w:rsidRDefault="00005022" w:rsidP="00005022">
            <w:pPr>
              <w:spacing w:before="40" w:after="40" w:line="276" w:lineRule="auto"/>
              <w:rPr>
                <w:rFonts w:asciiTheme="minorHAnsi" w:hAnsiTheme="minorHAnsi" w:cstheme="minorHAnsi"/>
                <w:sz w:val="18"/>
                <w:szCs w:val="18"/>
              </w:rPr>
            </w:pPr>
          </w:p>
        </w:tc>
        <w:tc>
          <w:tcPr>
            <w:tcW w:w="12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4EFCCCF" w14:textId="38162326" w:rsidR="00005022" w:rsidRPr="007C4D65" w:rsidRDefault="00005022" w:rsidP="00CD3560">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Creating preconditions for separate collection of 10% of the total </w:t>
            </w:r>
            <w:r w:rsidR="00E000A6" w:rsidRPr="007C4D65">
              <w:rPr>
                <w:rFonts w:asciiTheme="minorHAnsi" w:eastAsiaTheme="minorHAnsi" w:hAnsiTheme="minorHAnsi" w:cstheme="minorHAnsi"/>
                <w:sz w:val="18"/>
                <w:szCs w:val="22"/>
                <w:lang w:eastAsia="en-US"/>
              </w:rPr>
              <w:t>amount</w:t>
            </w:r>
            <w:r w:rsidRPr="007C4D65">
              <w:rPr>
                <w:rFonts w:asciiTheme="minorHAnsi" w:eastAsiaTheme="minorHAnsi" w:hAnsiTheme="minorHAnsi" w:cstheme="minorHAnsi"/>
                <w:sz w:val="18"/>
                <w:szCs w:val="22"/>
                <w:lang w:eastAsia="en-US"/>
              </w:rPr>
              <w:t xml:space="preserve"> </w:t>
            </w:r>
            <w:proofErr w:type="gramStart"/>
            <w:r w:rsidRPr="007C4D65">
              <w:rPr>
                <w:rFonts w:asciiTheme="minorHAnsi" w:eastAsiaTheme="minorHAnsi" w:hAnsiTheme="minorHAnsi" w:cstheme="minorHAnsi"/>
                <w:sz w:val="18"/>
                <w:szCs w:val="22"/>
                <w:lang w:eastAsia="en-US"/>
              </w:rPr>
              <w:t>of  biodegradable</w:t>
            </w:r>
            <w:proofErr w:type="gramEnd"/>
            <w:r w:rsidRPr="007C4D65">
              <w:rPr>
                <w:rFonts w:asciiTheme="minorHAnsi" w:eastAsiaTheme="minorHAnsi" w:hAnsiTheme="minorHAnsi" w:cstheme="minorHAnsi"/>
                <w:sz w:val="18"/>
                <w:szCs w:val="22"/>
                <w:lang w:eastAsia="en-US"/>
              </w:rPr>
              <w:t xml:space="preserve"> waste typically contained  in municipal waste</w:t>
            </w:r>
            <w:r w:rsidR="00CD3560" w:rsidRPr="007C4D65">
              <w:rPr>
                <w:rFonts w:asciiTheme="minorHAnsi" w:eastAsiaTheme="minorHAnsi" w:hAnsiTheme="minorHAnsi" w:cstheme="minorHAnsi"/>
                <w:sz w:val="18"/>
                <w:szCs w:val="22"/>
                <w:lang w:eastAsia="en-US"/>
              </w:rPr>
              <w:t xml:space="preserve"> </w:t>
            </w:r>
            <w:r w:rsidRPr="007C4D65">
              <w:rPr>
                <w:rFonts w:asciiTheme="minorHAnsi" w:eastAsiaTheme="minorHAnsi" w:hAnsiTheme="minorHAnsi" w:cstheme="minorHAnsi"/>
                <w:sz w:val="18"/>
                <w:szCs w:val="22"/>
                <w:lang w:eastAsia="en-US"/>
              </w:rPr>
              <w:t>(2032)</w:t>
            </w:r>
          </w:p>
        </w:tc>
      </w:tr>
      <w:tr w:rsidR="00005022" w:rsidRPr="007C4D65" w14:paraId="03493E30" w14:textId="77777777" w:rsidTr="00BC37DE">
        <w:trPr>
          <w:trHeight w:val="567"/>
          <w:jc w:val="center"/>
        </w:trPr>
        <w:tc>
          <w:tcPr>
            <w:tcW w:w="1376"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BE175F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18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3772121" w14:textId="52E442A4"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xml:space="preserve">ç </w:t>
            </w:r>
            <w:r w:rsidR="00E000A6" w:rsidRPr="007C4D65">
              <w:rPr>
                <w:rFonts w:asciiTheme="minorHAnsi" w:eastAsia="Calibri" w:hAnsiTheme="minorHAnsi" w:cstheme="minorHAnsi"/>
                <w:sz w:val="18"/>
                <w:lang w:eastAsia="en-US"/>
              </w:rPr>
              <w:t>Amount</w:t>
            </w:r>
            <w:r w:rsidRPr="007C4D65">
              <w:rPr>
                <w:rFonts w:asciiTheme="minorHAnsi" w:eastAsia="Calibri" w:hAnsiTheme="minorHAnsi" w:cstheme="minorHAnsi"/>
                <w:sz w:val="18"/>
                <w:lang w:eastAsia="en-US"/>
              </w:rPr>
              <w:t xml:space="preserve"> of waste treated in R procedures, particularly for municipal waste</w:t>
            </w:r>
          </w:p>
        </w:tc>
        <w:tc>
          <w:tcPr>
            <w:tcW w:w="122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C3EC2C2"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0%</w:t>
            </w:r>
          </w:p>
        </w:tc>
        <w:tc>
          <w:tcPr>
            <w:tcW w:w="12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EC26929" w14:textId="5E71B720"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Increase of the </w:t>
            </w:r>
            <w:r w:rsidR="00E000A6" w:rsidRPr="007C4D65">
              <w:rPr>
                <w:rFonts w:asciiTheme="minorHAnsi" w:eastAsiaTheme="minorHAnsi" w:hAnsiTheme="minorHAnsi" w:cstheme="minorHAnsi"/>
                <w:sz w:val="18"/>
                <w:szCs w:val="22"/>
                <w:lang w:eastAsia="en-US"/>
              </w:rPr>
              <w:t>amount</w:t>
            </w:r>
            <w:r w:rsidRPr="007C4D65">
              <w:rPr>
                <w:rFonts w:asciiTheme="minorHAnsi" w:eastAsiaTheme="minorHAnsi" w:hAnsiTheme="minorHAnsi" w:cstheme="minorHAnsi"/>
                <w:sz w:val="18"/>
                <w:szCs w:val="22"/>
                <w:lang w:eastAsia="en-US"/>
              </w:rPr>
              <w:t xml:space="preserve"> of municipal waste treated in R procedures as compared to the base year (2032)</w:t>
            </w:r>
          </w:p>
        </w:tc>
      </w:tr>
      <w:tr w:rsidR="00005022" w:rsidRPr="007C4D65" w14:paraId="5AB47CDA"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BE3675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Effect on the development and contribution of the measure to the priority</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DFF6AE4" w14:textId="6F8A0954" w:rsidR="00005022" w:rsidRPr="007C4D65" w:rsidRDefault="00E000A6"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Reducing amounts of waste, minimising adverse effects on the environment and improved services for citizens and industry</w:t>
            </w:r>
          </w:p>
        </w:tc>
      </w:tr>
      <w:tr w:rsidR="00005022" w:rsidRPr="007C4D65" w14:paraId="77CD6A60"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92690BC" w14:textId="1C89C801"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Indicative financial projection, with specification of sources</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4480471" w14:textId="02AB8368" w:rsidR="00E000A6" w:rsidRPr="007C4D65" w:rsidRDefault="00E000A6" w:rsidP="00E000A6">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Amount: BAM 4,720,850</w:t>
            </w:r>
          </w:p>
          <w:p w14:paraId="378B5876" w14:textId="7D485DD4" w:rsidR="00005022" w:rsidRPr="007C4D65" w:rsidRDefault="00E000A6" w:rsidP="00E000A6">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20% </w:t>
            </w:r>
            <w:r w:rsidR="000E401F" w:rsidRPr="007C4D65">
              <w:rPr>
                <w:rFonts w:asciiTheme="minorHAnsi" w:hAnsiTheme="minorHAnsi" w:cstheme="minorHAnsi"/>
                <w:color w:val="000000" w:themeColor="text1"/>
                <w:sz w:val="18"/>
                <w:szCs w:val="18"/>
              </w:rPr>
              <w:t>government budget</w:t>
            </w:r>
            <w:r w:rsidRPr="007C4D65">
              <w:rPr>
                <w:rFonts w:asciiTheme="minorHAnsi" w:hAnsiTheme="minorHAnsi" w:cstheme="minorHAnsi"/>
                <w:color w:val="000000" w:themeColor="text1"/>
                <w:sz w:val="18"/>
                <w:szCs w:val="18"/>
              </w:rPr>
              <w:t>, 80% combined ‒ loan</w:t>
            </w:r>
            <w:r w:rsidR="009E6B20" w:rsidRPr="007C4D65">
              <w:rPr>
                <w:rFonts w:asciiTheme="minorHAnsi" w:hAnsiTheme="minorHAnsi" w:cstheme="minorHAnsi"/>
                <w:color w:val="000000" w:themeColor="text1"/>
                <w:sz w:val="18"/>
                <w:szCs w:val="18"/>
              </w:rPr>
              <w:t>s</w:t>
            </w:r>
            <w:r w:rsidRPr="007C4D65">
              <w:rPr>
                <w:rFonts w:asciiTheme="minorHAnsi" w:hAnsiTheme="minorHAnsi" w:cstheme="minorHAnsi"/>
                <w:color w:val="000000" w:themeColor="text1"/>
                <w:sz w:val="18"/>
                <w:szCs w:val="18"/>
              </w:rPr>
              <w:t xml:space="preserve"> and funds from EU and other international donors</w:t>
            </w:r>
          </w:p>
        </w:tc>
      </w:tr>
      <w:tr w:rsidR="00005022" w:rsidRPr="007C4D65" w14:paraId="7417CAB5"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E76D7F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Period of the implementation of the measure</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047F892"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2023-2032</w:t>
            </w:r>
          </w:p>
        </w:tc>
      </w:tr>
      <w:tr w:rsidR="00005022" w:rsidRPr="007C4D65" w14:paraId="2B5BDBC4"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FC8818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Institution responsible for coordination of the implementation of the measure</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A1D2686" w14:textId="73995C2D"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w:t>
            </w:r>
          </w:p>
        </w:tc>
      </w:tr>
      <w:tr w:rsidR="00005022" w:rsidRPr="007C4D65" w14:paraId="572D76E6"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E0AB60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Implementing institutions</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BF73EB4" w14:textId="05669C96"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 cantons, municipalities, cities, utility companies</w:t>
            </w:r>
          </w:p>
        </w:tc>
      </w:tr>
      <w:tr w:rsidR="00005022" w:rsidRPr="007C4D65" w14:paraId="4FB98BF0" w14:textId="77777777" w:rsidTr="00BC37DE">
        <w:trPr>
          <w:trHeight w:val="567"/>
          <w:jc w:val="center"/>
        </w:trPr>
        <w:tc>
          <w:tcPr>
            <w:tcW w:w="137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6374AF9" w14:textId="0CE16E11"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groups</w:t>
            </w:r>
          </w:p>
        </w:tc>
        <w:tc>
          <w:tcPr>
            <w:tcW w:w="3624"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243D7C6"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Cantons, municipalities, and utility companies </w:t>
            </w:r>
          </w:p>
        </w:tc>
      </w:tr>
    </w:tbl>
    <w:p w14:paraId="1C3A5B31" w14:textId="77777777" w:rsidR="00005022" w:rsidRPr="007C4D65" w:rsidRDefault="00005022" w:rsidP="00005022">
      <w:pPr>
        <w:spacing w:line="276" w:lineRule="auto"/>
        <w:rPr>
          <w:rFonts w:asciiTheme="minorHAnsi" w:eastAsiaTheme="minorHAnsi" w:hAnsiTheme="minorHAnsi" w:cstheme="minorHAnsi"/>
          <w:sz w:val="22"/>
          <w:szCs w:val="22"/>
          <w:lang w:eastAsia="en-US"/>
        </w:rPr>
      </w:pPr>
    </w:p>
    <w:tbl>
      <w:tblPr>
        <w:tblW w:w="4799"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1"/>
        <w:gridCol w:w="3256"/>
        <w:gridCol w:w="3154"/>
        <w:gridCol w:w="3296"/>
      </w:tblGrid>
      <w:tr w:rsidR="00005022" w:rsidRPr="007C4D65" w14:paraId="2705F1F3" w14:textId="77777777" w:rsidTr="00BC37DE">
        <w:trPr>
          <w:trHeight w:val="567"/>
          <w:jc w:val="center"/>
        </w:trPr>
        <w:tc>
          <w:tcPr>
            <w:tcW w:w="1375" w:type="pct"/>
            <w:shd w:val="clear" w:color="auto" w:fill="009D73"/>
            <w:vAlign w:val="center"/>
          </w:tcPr>
          <w:p w14:paraId="05C93AF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Link with the strategic goal</w:t>
            </w:r>
          </w:p>
        </w:tc>
        <w:tc>
          <w:tcPr>
            <w:tcW w:w="3625" w:type="pct"/>
            <w:gridSpan w:val="3"/>
            <w:shd w:val="clear" w:color="auto" w:fill="FFFFFF"/>
            <w:vAlign w:val="center"/>
          </w:tcPr>
          <w:p w14:paraId="13E72F15" w14:textId="7777777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 Reducing waste and increasing reuse of materials</w:t>
            </w:r>
          </w:p>
        </w:tc>
      </w:tr>
      <w:tr w:rsidR="00005022" w:rsidRPr="007C4D65" w14:paraId="19415FF2" w14:textId="77777777" w:rsidTr="00BC37DE">
        <w:trPr>
          <w:trHeight w:val="567"/>
          <w:jc w:val="center"/>
        </w:trPr>
        <w:tc>
          <w:tcPr>
            <w:tcW w:w="1375" w:type="pct"/>
            <w:shd w:val="clear" w:color="auto" w:fill="009D73"/>
            <w:vAlign w:val="center"/>
          </w:tcPr>
          <w:p w14:paraId="2A1FCF6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Priority</w:t>
            </w:r>
          </w:p>
        </w:tc>
        <w:tc>
          <w:tcPr>
            <w:tcW w:w="3625" w:type="pct"/>
            <w:gridSpan w:val="3"/>
            <w:shd w:val="clear" w:color="auto" w:fill="FFFFFF"/>
            <w:vAlign w:val="center"/>
          </w:tcPr>
          <w:p w14:paraId="2164208C" w14:textId="6217522E" w:rsidR="00005022" w:rsidRPr="007C4D65" w:rsidRDefault="00005022" w:rsidP="00005022">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 xml:space="preserve">2.5. </w:t>
            </w:r>
            <w:r w:rsidR="001547A8" w:rsidRPr="007C4D65">
              <w:rPr>
                <w:rFonts w:asciiTheme="minorHAnsi" w:eastAsiaTheme="minorHAnsi" w:hAnsiTheme="minorHAnsi" w:cstheme="minorHAnsi"/>
                <w:b/>
                <w:sz w:val="18"/>
                <w:szCs w:val="22"/>
                <w:lang w:eastAsia="en-US"/>
              </w:rPr>
              <w:t>Improving the management of special wastes</w:t>
            </w:r>
          </w:p>
        </w:tc>
      </w:tr>
      <w:tr w:rsidR="00005022" w:rsidRPr="007C4D65" w14:paraId="799692ED" w14:textId="77777777" w:rsidTr="00BC37DE">
        <w:trPr>
          <w:trHeight w:val="567"/>
          <w:jc w:val="center"/>
        </w:trPr>
        <w:tc>
          <w:tcPr>
            <w:tcW w:w="1375" w:type="pct"/>
            <w:shd w:val="clear" w:color="auto" w:fill="009D73"/>
            <w:vAlign w:val="center"/>
          </w:tcPr>
          <w:p w14:paraId="7C0A8C8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Title of the measure</w:t>
            </w:r>
          </w:p>
        </w:tc>
        <w:tc>
          <w:tcPr>
            <w:tcW w:w="3625" w:type="pct"/>
            <w:gridSpan w:val="3"/>
            <w:shd w:val="clear" w:color="auto" w:fill="FFFFFF"/>
            <w:vAlign w:val="center"/>
          </w:tcPr>
          <w:p w14:paraId="3BBDC0B4" w14:textId="444F47F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2.5.1 Creating conditions for adequate collection and disposal of special wastes</w:t>
            </w:r>
          </w:p>
        </w:tc>
      </w:tr>
      <w:tr w:rsidR="00005022" w:rsidRPr="007C4D65" w14:paraId="20069C78" w14:textId="77777777" w:rsidTr="00BC37DE">
        <w:trPr>
          <w:trHeight w:val="567"/>
          <w:jc w:val="center"/>
        </w:trPr>
        <w:tc>
          <w:tcPr>
            <w:tcW w:w="1375" w:type="pct"/>
            <w:shd w:val="clear" w:color="auto" w:fill="009D73"/>
            <w:vAlign w:val="center"/>
          </w:tcPr>
          <w:p w14:paraId="208F90A0"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 xml:space="preserve">Description of the measure with general area of intervention </w:t>
            </w:r>
          </w:p>
        </w:tc>
        <w:tc>
          <w:tcPr>
            <w:tcW w:w="3625" w:type="pct"/>
            <w:gridSpan w:val="3"/>
            <w:shd w:val="clear" w:color="auto" w:fill="FFFFFF"/>
            <w:vAlign w:val="center"/>
          </w:tcPr>
          <w:p w14:paraId="3EAC0DC9" w14:textId="7FE87431"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This measure aims at improving the system of collection and disposal of special wastes through targeted actions. General </w:t>
            </w:r>
            <w:r w:rsidR="0076407C" w:rsidRPr="007C4D65">
              <w:rPr>
                <w:rFonts w:asciiTheme="minorHAnsi" w:eastAsiaTheme="minorHAnsi" w:hAnsiTheme="minorHAnsi" w:cstheme="minorHAnsi"/>
                <w:sz w:val="18"/>
                <w:szCs w:val="22"/>
                <w:lang w:eastAsia="en-US"/>
              </w:rPr>
              <w:t>areas of intervention</w:t>
            </w:r>
            <w:r w:rsidRPr="007C4D65">
              <w:rPr>
                <w:rFonts w:asciiTheme="minorHAnsi" w:eastAsiaTheme="minorHAnsi" w:hAnsiTheme="minorHAnsi" w:cstheme="minorHAnsi"/>
                <w:sz w:val="18"/>
                <w:szCs w:val="22"/>
                <w:lang w:eastAsia="en-US"/>
              </w:rPr>
              <w:t xml:space="preserve"> are:</w:t>
            </w:r>
          </w:p>
          <w:p w14:paraId="6999B2AE" w14:textId="28C78722" w:rsidR="00005022" w:rsidRPr="007C4D65" w:rsidRDefault="00005022">
            <w:pPr>
              <w:numPr>
                <w:ilvl w:val="0"/>
                <w:numId w:val="109"/>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Improving </w:t>
            </w:r>
            <w:r w:rsidRPr="007C4D65">
              <w:rPr>
                <w:rFonts w:asciiTheme="minorHAnsi" w:eastAsiaTheme="minorHAnsi" w:hAnsiTheme="minorHAnsi" w:cstheme="minorHAnsi"/>
                <w:b/>
                <w:sz w:val="18"/>
                <w:szCs w:val="22"/>
                <w:lang w:eastAsia="en-US"/>
              </w:rPr>
              <w:t>the extended producers responsibility scheme</w:t>
            </w:r>
            <w:r w:rsidRPr="007C4D65">
              <w:rPr>
                <w:rFonts w:asciiTheme="minorHAnsi" w:eastAsiaTheme="minorHAnsi" w:hAnsiTheme="minorHAnsi" w:cstheme="minorHAnsi"/>
                <w:sz w:val="18"/>
                <w:szCs w:val="22"/>
                <w:lang w:eastAsia="en-US"/>
              </w:rPr>
              <w:t xml:space="preserve"> through the implementation of the recommendations in </w:t>
            </w:r>
            <w:r w:rsidR="00E000A6" w:rsidRPr="007C4D65">
              <w:rPr>
                <w:rFonts w:asciiTheme="minorHAnsi" w:eastAsiaTheme="minorHAnsi" w:hAnsiTheme="minorHAnsi" w:cstheme="minorHAnsi"/>
                <w:sz w:val="18"/>
                <w:szCs w:val="22"/>
                <w:lang w:eastAsia="en-US"/>
              </w:rPr>
              <w:t>BiH</w:t>
            </w:r>
            <w:r w:rsidRPr="007C4D65">
              <w:rPr>
                <w:rFonts w:asciiTheme="minorHAnsi" w:eastAsiaTheme="minorHAnsi" w:hAnsiTheme="minorHAnsi" w:cstheme="minorHAnsi"/>
                <w:sz w:val="18"/>
                <w:szCs w:val="22"/>
                <w:lang w:eastAsia="en-US"/>
              </w:rPr>
              <w:t xml:space="preserve"> for packaging, packaging waste and WEEE (World Bank 2018) </w:t>
            </w:r>
            <w:proofErr w:type="gramStart"/>
            <w:r w:rsidRPr="007C4D65">
              <w:rPr>
                <w:rFonts w:asciiTheme="minorHAnsi" w:eastAsiaTheme="minorHAnsi" w:hAnsiTheme="minorHAnsi" w:cstheme="minorHAnsi"/>
                <w:sz w:val="18"/>
                <w:szCs w:val="22"/>
                <w:lang w:eastAsia="en-US"/>
              </w:rPr>
              <w:t>which ,</w:t>
            </w:r>
            <w:proofErr w:type="gramEnd"/>
            <w:r w:rsidRPr="007C4D65">
              <w:rPr>
                <w:rFonts w:asciiTheme="minorHAnsi" w:eastAsiaTheme="minorHAnsi" w:hAnsiTheme="minorHAnsi" w:cstheme="minorHAnsi"/>
                <w:sz w:val="18"/>
                <w:szCs w:val="22"/>
                <w:lang w:eastAsia="en-US"/>
              </w:rPr>
              <w:t xml:space="preserve"> among other things</w:t>
            </w:r>
            <w:r w:rsidR="00E000A6" w:rsidRPr="007C4D65">
              <w:rPr>
                <w:rFonts w:asciiTheme="minorHAnsi" w:eastAsiaTheme="minorHAnsi" w:hAnsiTheme="minorHAnsi" w:cstheme="minorHAnsi"/>
                <w:sz w:val="18"/>
                <w:szCs w:val="22"/>
                <w:lang w:eastAsia="en-US"/>
              </w:rPr>
              <w:t>,</w:t>
            </w:r>
            <w:r w:rsidRPr="007C4D65">
              <w:rPr>
                <w:rFonts w:asciiTheme="minorHAnsi" w:eastAsiaTheme="minorHAnsi" w:hAnsiTheme="minorHAnsi" w:cstheme="minorHAnsi"/>
                <w:sz w:val="18"/>
                <w:szCs w:val="22"/>
                <w:lang w:eastAsia="en-US"/>
              </w:rPr>
              <w:t xml:space="preserve"> requires:</w:t>
            </w:r>
          </w:p>
          <w:p w14:paraId="4868B52C" w14:textId="54D9233A"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Undertaking of an analysis of pros and cons of a deposit system </w:t>
            </w:r>
            <w:proofErr w:type="gramStart"/>
            <w:r w:rsidRPr="007C4D65">
              <w:rPr>
                <w:rFonts w:asciiTheme="minorHAnsi" w:eastAsiaTheme="minorHAnsi" w:hAnsiTheme="minorHAnsi" w:cstheme="minorHAnsi"/>
                <w:sz w:val="18"/>
                <w:szCs w:val="22"/>
                <w:lang w:eastAsia="en-US"/>
              </w:rPr>
              <w:t>implementation</w:t>
            </w:r>
            <w:r w:rsidR="00BB12DE" w:rsidRPr="007C4D65">
              <w:rPr>
                <w:rFonts w:asciiTheme="minorHAnsi" w:eastAsia="Calibri" w:hAnsiTheme="minorHAnsi" w:cstheme="minorHAnsi"/>
                <w:sz w:val="18"/>
                <w:szCs w:val="18"/>
                <w:lang w:eastAsia="en-US"/>
              </w:rPr>
              <w:t>;</w:t>
            </w:r>
            <w:proofErr w:type="gramEnd"/>
          </w:p>
          <w:p w14:paraId="73FB2B67" w14:textId="30AF83D9"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Defining the responsibilities of municipalities and their mutual relations with the system operators in creation of a required infrastructure for separate waste collection and sorting, including a possibility that utility companies provide waste sorting services to the system operators on a competitive </w:t>
            </w:r>
            <w:proofErr w:type="gramStart"/>
            <w:r w:rsidRPr="007C4D65">
              <w:rPr>
                <w:rFonts w:asciiTheme="minorHAnsi" w:eastAsiaTheme="minorHAnsi" w:hAnsiTheme="minorHAnsi" w:cstheme="minorHAnsi"/>
                <w:sz w:val="18"/>
                <w:szCs w:val="22"/>
                <w:lang w:eastAsia="en-US"/>
              </w:rPr>
              <w:t>basis</w:t>
            </w:r>
            <w:r w:rsidR="00BB12DE" w:rsidRPr="007C4D65">
              <w:rPr>
                <w:rFonts w:asciiTheme="minorHAnsi" w:eastAsia="Calibri" w:hAnsiTheme="minorHAnsi" w:cstheme="minorHAnsi"/>
                <w:sz w:val="18"/>
                <w:szCs w:val="18"/>
                <w:lang w:eastAsia="en-US"/>
              </w:rPr>
              <w:t>;</w:t>
            </w:r>
            <w:proofErr w:type="gramEnd"/>
          </w:p>
          <w:p w14:paraId="05BD0722" w14:textId="42008ECF"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Providing a proposal of preparation and implementation of standardised agreements aimed at harmonising the relations</w:t>
            </w:r>
            <w:r w:rsidR="00E000A6" w:rsidRPr="007C4D65">
              <w:rPr>
                <w:rFonts w:asciiTheme="minorHAnsi" w:eastAsiaTheme="minorHAnsi" w:hAnsiTheme="minorHAnsi" w:cstheme="minorHAnsi"/>
                <w:sz w:val="18"/>
                <w:szCs w:val="22"/>
                <w:lang w:eastAsia="en-US"/>
              </w:rPr>
              <w:t>hip</w:t>
            </w:r>
            <w:r w:rsidRPr="007C4D65">
              <w:rPr>
                <w:rFonts w:asciiTheme="minorHAnsi" w:eastAsiaTheme="minorHAnsi" w:hAnsiTheme="minorHAnsi" w:cstheme="minorHAnsi"/>
                <w:sz w:val="18"/>
                <w:szCs w:val="22"/>
                <w:lang w:eastAsia="en-US"/>
              </w:rPr>
              <w:t xml:space="preserve"> between the system operators and local </w:t>
            </w:r>
            <w:proofErr w:type="gramStart"/>
            <w:r w:rsidRPr="007C4D65">
              <w:rPr>
                <w:rFonts w:asciiTheme="minorHAnsi" w:eastAsiaTheme="minorHAnsi" w:hAnsiTheme="minorHAnsi" w:cstheme="minorHAnsi"/>
                <w:sz w:val="18"/>
                <w:szCs w:val="22"/>
                <w:lang w:eastAsia="en-US"/>
              </w:rPr>
              <w:t>authorities</w:t>
            </w:r>
            <w:r w:rsidR="00BB12DE" w:rsidRPr="007C4D65">
              <w:rPr>
                <w:rFonts w:asciiTheme="minorHAnsi" w:eastAsia="Calibri" w:hAnsiTheme="minorHAnsi" w:cstheme="minorHAnsi"/>
                <w:sz w:val="18"/>
                <w:szCs w:val="18"/>
                <w:lang w:eastAsia="en-US"/>
              </w:rPr>
              <w:t>;</w:t>
            </w:r>
            <w:proofErr w:type="gramEnd"/>
          </w:p>
          <w:p w14:paraId="3FC74871" w14:textId="6FE961A3"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Preparing a proposal of revised requirements for support documents and </w:t>
            </w:r>
            <w:proofErr w:type="gramStart"/>
            <w:r w:rsidRPr="007C4D65">
              <w:rPr>
                <w:rFonts w:asciiTheme="minorHAnsi" w:eastAsiaTheme="minorHAnsi" w:hAnsiTheme="minorHAnsi" w:cstheme="minorHAnsi"/>
                <w:sz w:val="18"/>
                <w:szCs w:val="22"/>
                <w:lang w:eastAsia="en-US"/>
              </w:rPr>
              <w:t>reporting</w:t>
            </w:r>
            <w:r w:rsidR="00BB12DE" w:rsidRPr="007C4D65">
              <w:rPr>
                <w:rFonts w:asciiTheme="minorHAnsi" w:eastAsiaTheme="minorHAnsi" w:hAnsiTheme="minorHAnsi" w:cstheme="minorHAnsi"/>
                <w:sz w:val="18"/>
                <w:szCs w:val="22"/>
                <w:lang w:eastAsia="en-US"/>
              </w:rPr>
              <w:t>;;</w:t>
            </w:r>
            <w:proofErr w:type="gramEnd"/>
          </w:p>
          <w:p w14:paraId="5B32ED84" w14:textId="77777777"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Preparing a proposal to optimise application procedure, issuance and revocation of system operators’ licences</w:t>
            </w:r>
          </w:p>
          <w:p w14:paraId="4BCED252" w14:textId="61500934"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Preparing a proposal of a revised procedure of calculation and payment of taxes for packaging placed on the </w:t>
            </w:r>
            <w:proofErr w:type="gramStart"/>
            <w:r w:rsidRPr="007C4D65">
              <w:rPr>
                <w:rFonts w:asciiTheme="minorHAnsi" w:eastAsiaTheme="minorHAnsi" w:hAnsiTheme="minorHAnsi" w:cstheme="minorHAnsi"/>
                <w:sz w:val="18"/>
                <w:szCs w:val="22"/>
                <w:lang w:eastAsia="en-US"/>
              </w:rPr>
              <w:t>market</w:t>
            </w:r>
            <w:r w:rsidR="00BB12DE" w:rsidRPr="007C4D65">
              <w:rPr>
                <w:rFonts w:asciiTheme="minorHAnsi" w:eastAsiaTheme="minorHAnsi" w:hAnsiTheme="minorHAnsi" w:cstheme="minorHAnsi"/>
                <w:sz w:val="18"/>
                <w:szCs w:val="22"/>
                <w:lang w:eastAsia="en-US"/>
              </w:rPr>
              <w:t>;</w:t>
            </w:r>
            <w:proofErr w:type="gramEnd"/>
          </w:p>
          <w:p w14:paraId="586766CF" w14:textId="3870D19D"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Preparing a proposal of new (increased) tariffs charged by the system operator and the requirement for the system operator to notify the responsible ministry of any change of the tariffs. No agreements on individual prices/discounts should be allowed for individual </w:t>
            </w:r>
            <w:proofErr w:type="gramStart"/>
            <w:r w:rsidRPr="007C4D65">
              <w:rPr>
                <w:rFonts w:asciiTheme="minorHAnsi" w:eastAsiaTheme="minorHAnsi" w:hAnsiTheme="minorHAnsi" w:cstheme="minorHAnsi"/>
                <w:sz w:val="18"/>
                <w:szCs w:val="22"/>
                <w:lang w:eastAsia="en-US"/>
              </w:rPr>
              <w:t>clients</w:t>
            </w:r>
            <w:r w:rsidR="00BB12DE" w:rsidRPr="007C4D65">
              <w:rPr>
                <w:rFonts w:asciiTheme="minorHAnsi" w:eastAsia="Calibri" w:hAnsiTheme="minorHAnsi" w:cstheme="minorHAnsi"/>
                <w:sz w:val="18"/>
                <w:szCs w:val="18"/>
                <w:lang w:eastAsia="en-US"/>
              </w:rPr>
              <w:t>;</w:t>
            </w:r>
            <w:proofErr w:type="gramEnd"/>
          </w:p>
          <w:p w14:paraId="11DFF6EF" w14:textId="66B4857C"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Reviewing the format and scope of annual reports provided by the system operators. The reporting procedure should define how each activity should be proven (for instance, delivery notes, records on weighed quantities. etc.</w:t>
            </w:r>
            <w:proofErr w:type="gramStart"/>
            <w:r w:rsidRPr="007C4D65">
              <w:rPr>
                <w:rFonts w:asciiTheme="minorHAnsi" w:eastAsiaTheme="minorHAnsi" w:hAnsiTheme="minorHAnsi" w:cstheme="minorHAnsi"/>
                <w:sz w:val="18"/>
                <w:szCs w:val="22"/>
                <w:lang w:eastAsia="en-US"/>
              </w:rPr>
              <w:t>)</w:t>
            </w:r>
            <w:r w:rsidR="00BB12DE" w:rsidRPr="007C4D65">
              <w:rPr>
                <w:rFonts w:asciiTheme="minorHAnsi" w:eastAsia="Calibri" w:hAnsiTheme="minorHAnsi" w:cstheme="minorHAnsi"/>
                <w:sz w:val="18"/>
                <w:szCs w:val="18"/>
                <w:lang w:eastAsia="en-US"/>
              </w:rPr>
              <w:t>;</w:t>
            </w:r>
            <w:proofErr w:type="gramEnd"/>
          </w:p>
          <w:p w14:paraId="5810D93C" w14:textId="49A0E22C"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Analysing options to implement audits of annual reports of the system operators and to verify quantities reported by individual </w:t>
            </w:r>
            <w:proofErr w:type="gramStart"/>
            <w:r w:rsidRPr="007C4D65">
              <w:rPr>
                <w:rFonts w:asciiTheme="minorHAnsi" w:eastAsiaTheme="minorHAnsi" w:hAnsiTheme="minorHAnsi" w:cstheme="minorHAnsi"/>
                <w:sz w:val="18"/>
                <w:szCs w:val="22"/>
                <w:lang w:eastAsia="en-US"/>
              </w:rPr>
              <w:t>businesses</w:t>
            </w:r>
            <w:r w:rsidR="00BB12DE" w:rsidRPr="007C4D65">
              <w:rPr>
                <w:rFonts w:asciiTheme="minorHAnsi" w:eastAsia="Calibri" w:hAnsiTheme="minorHAnsi" w:cstheme="minorHAnsi"/>
                <w:sz w:val="18"/>
                <w:szCs w:val="18"/>
                <w:lang w:eastAsia="en-US"/>
              </w:rPr>
              <w:t>;</w:t>
            </w:r>
            <w:proofErr w:type="gramEnd"/>
          </w:p>
          <w:p w14:paraId="196AA54C" w14:textId="77777777"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Setting up transparent and fair mechanisms for division of responsibilities among several system operators which operate at the entity level.</w:t>
            </w:r>
          </w:p>
          <w:p w14:paraId="2B540790" w14:textId="77777777" w:rsidR="00005022" w:rsidRPr="007C4D65" w:rsidRDefault="00005022">
            <w:pPr>
              <w:numPr>
                <w:ilvl w:val="0"/>
                <w:numId w:val="109"/>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Improving the collection system for batteries</w:t>
            </w:r>
            <w:r w:rsidRPr="007C4D65">
              <w:rPr>
                <w:rFonts w:asciiTheme="minorHAnsi" w:eastAsiaTheme="minorHAnsi" w:hAnsiTheme="minorHAnsi" w:cstheme="minorHAnsi"/>
                <w:b/>
                <w:sz w:val="18"/>
                <w:szCs w:val="22"/>
                <w:lang w:eastAsia="en-US"/>
              </w:rPr>
              <w:t>, car batteries, waste tyres,</w:t>
            </w:r>
            <w:r w:rsidRPr="007C4D65">
              <w:rPr>
                <w:rFonts w:asciiTheme="minorHAnsi" w:eastAsiaTheme="minorHAnsi" w:hAnsiTheme="minorHAnsi" w:cstheme="minorHAnsi"/>
                <w:sz w:val="18"/>
                <w:szCs w:val="22"/>
                <w:lang w:eastAsia="en-US"/>
              </w:rPr>
              <w:t xml:space="preserve"> </w:t>
            </w:r>
            <w:r w:rsidRPr="007C4D65">
              <w:rPr>
                <w:rFonts w:asciiTheme="minorHAnsi" w:eastAsiaTheme="minorHAnsi" w:hAnsiTheme="minorHAnsi" w:cstheme="minorHAnsi"/>
                <w:b/>
                <w:sz w:val="18"/>
                <w:szCs w:val="22"/>
                <w:lang w:eastAsia="en-US"/>
              </w:rPr>
              <w:t>refuse oil and end-of-life vehicles</w:t>
            </w:r>
            <w:r w:rsidRPr="007C4D65">
              <w:rPr>
                <w:rFonts w:asciiTheme="minorHAnsi" w:eastAsiaTheme="minorHAnsi" w:hAnsiTheme="minorHAnsi" w:cstheme="minorHAnsi"/>
                <w:sz w:val="18"/>
                <w:szCs w:val="22"/>
                <w:lang w:eastAsia="en-US"/>
              </w:rPr>
              <w:t xml:space="preserve"> activities:</w:t>
            </w:r>
          </w:p>
          <w:p w14:paraId="51B2E692" w14:textId="0A197937"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Raising awareness among SMEs about the issue of compliance of business operations with the legislation on waste management and achievement of the objectives defined for this category of </w:t>
            </w:r>
            <w:proofErr w:type="gramStart"/>
            <w:r w:rsidRPr="007C4D65">
              <w:rPr>
                <w:rFonts w:asciiTheme="minorHAnsi" w:eastAsiaTheme="minorHAnsi" w:hAnsiTheme="minorHAnsi" w:cstheme="minorHAnsi"/>
                <w:sz w:val="18"/>
                <w:szCs w:val="22"/>
                <w:lang w:eastAsia="en-US"/>
              </w:rPr>
              <w:t>waste</w:t>
            </w:r>
            <w:r w:rsidR="00BB12DE" w:rsidRPr="007C4D65">
              <w:rPr>
                <w:rFonts w:asciiTheme="minorHAnsi" w:eastAsiaTheme="minorHAnsi" w:hAnsiTheme="minorHAnsi" w:cstheme="minorHAnsi"/>
                <w:sz w:val="18"/>
                <w:szCs w:val="22"/>
                <w:lang w:eastAsia="en-US"/>
              </w:rPr>
              <w:t>;</w:t>
            </w:r>
            <w:proofErr w:type="gramEnd"/>
          </w:p>
          <w:p w14:paraId="57443EE9" w14:textId="0EA46166"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Introducing a coordinated inspection supervision of entities who have the obligation to implement the Regulation on special </w:t>
            </w:r>
            <w:proofErr w:type="gramStart"/>
            <w:r w:rsidRPr="007C4D65">
              <w:rPr>
                <w:rFonts w:asciiTheme="minorHAnsi" w:eastAsiaTheme="minorHAnsi" w:hAnsiTheme="minorHAnsi" w:cstheme="minorHAnsi"/>
                <w:sz w:val="18"/>
                <w:szCs w:val="22"/>
                <w:lang w:eastAsia="en-US"/>
              </w:rPr>
              <w:t>wastes</w:t>
            </w:r>
            <w:r w:rsidR="00BB12DE" w:rsidRPr="007C4D65">
              <w:rPr>
                <w:rFonts w:asciiTheme="minorHAnsi" w:eastAsiaTheme="minorHAnsi" w:hAnsiTheme="minorHAnsi" w:cstheme="minorHAnsi"/>
                <w:sz w:val="18"/>
                <w:szCs w:val="22"/>
                <w:lang w:eastAsia="en-US"/>
              </w:rPr>
              <w:t>;</w:t>
            </w:r>
            <w:proofErr w:type="gramEnd"/>
          </w:p>
          <w:p w14:paraId="702E629C" w14:textId="55020C58"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Promoting a revolving fund among business companies engaged in collection and recycling of special wastes to help them improve their </w:t>
            </w:r>
            <w:proofErr w:type="gramStart"/>
            <w:r w:rsidRPr="007C4D65">
              <w:rPr>
                <w:rFonts w:asciiTheme="minorHAnsi" w:eastAsiaTheme="minorHAnsi" w:hAnsiTheme="minorHAnsi" w:cstheme="minorHAnsi"/>
                <w:sz w:val="18"/>
                <w:szCs w:val="22"/>
                <w:lang w:eastAsia="en-US"/>
              </w:rPr>
              <w:t>operation</w:t>
            </w:r>
            <w:r w:rsidR="00BB12DE" w:rsidRPr="007C4D65">
              <w:rPr>
                <w:rFonts w:asciiTheme="minorHAnsi" w:eastAsia="Calibri" w:hAnsiTheme="minorHAnsi" w:cstheme="minorHAnsi"/>
                <w:sz w:val="18"/>
                <w:szCs w:val="18"/>
                <w:lang w:eastAsia="en-US"/>
              </w:rPr>
              <w:t>;</w:t>
            </w:r>
            <w:proofErr w:type="gramEnd"/>
          </w:p>
          <w:p w14:paraId="3E89DF14" w14:textId="77777777" w:rsidR="00005022" w:rsidRPr="007C4D65" w:rsidRDefault="00005022">
            <w:pPr>
              <w:numPr>
                <w:ilvl w:val="0"/>
                <w:numId w:val="109"/>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Improving the system for collection and reuse of </w:t>
            </w:r>
            <w:r w:rsidRPr="007C4D65">
              <w:rPr>
                <w:rFonts w:asciiTheme="minorHAnsi" w:eastAsiaTheme="minorHAnsi" w:hAnsiTheme="minorHAnsi" w:cstheme="minorHAnsi"/>
                <w:b/>
                <w:sz w:val="18"/>
                <w:szCs w:val="22"/>
                <w:lang w:eastAsia="en-US"/>
              </w:rPr>
              <w:t>construction waste through</w:t>
            </w:r>
            <w:r w:rsidRPr="007C4D65">
              <w:rPr>
                <w:rFonts w:asciiTheme="minorHAnsi" w:eastAsiaTheme="minorHAnsi" w:hAnsiTheme="minorHAnsi" w:cstheme="minorHAnsi"/>
                <w:sz w:val="18"/>
                <w:szCs w:val="22"/>
                <w:lang w:eastAsia="en-US"/>
              </w:rPr>
              <w:t xml:space="preserve"> activities such as:</w:t>
            </w:r>
          </w:p>
          <w:p w14:paraId="4A3FC507" w14:textId="4AA07A43"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Designing and development of recycling yards and landfills for construction </w:t>
            </w:r>
            <w:proofErr w:type="gramStart"/>
            <w:r w:rsidRPr="007C4D65">
              <w:rPr>
                <w:rFonts w:asciiTheme="minorHAnsi" w:eastAsiaTheme="minorHAnsi" w:hAnsiTheme="minorHAnsi" w:cstheme="minorHAnsi"/>
                <w:sz w:val="18"/>
                <w:szCs w:val="22"/>
                <w:lang w:eastAsia="en-US"/>
              </w:rPr>
              <w:t>waste</w:t>
            </w:r>
            <w:r w:rsidR="00BB12DE" w:rsidRPr="007C4D65">
              <w:rPr>
                <w:rFonts w:asciiTheme="minorHAnsi" w:eastAsiaTheme="minorHAnsi" w:hAnsiTheme="minorHAnsi" w:cstheme="minorHAnsi"/>
                <w:sz w:val="18"/>
                <w:szCs w:val="22"/>
                <w:lang w:eastAsia="en-US"/>
              </w:rPr>
              <w:t>;</w:t>
            </w:r>
            <w:proofErr w:type="gramEnd"/>
          </w:p>
          <w:p w14:paraId="0B767151" w14:textId="72763B8D"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lastRenderedPageBreak/>
              <w:t xml:space="preserve">Adopting standards and regulations on construction materials which </w:t>
            </w:r>
            <w:r w:rsidR="00140311" w:rsidRPr="007C4D65">
              <w:rPr>
                <w:rFonts w:asciiTheme="minorHAnsi" w:eastAsiaTheme="minorHAnsi" w:hAnsiTheme="minorHAnsi" w:cstheme="minorHAnsi"/>
                <w:sz w:val="18"/>
                <w:szCs w:val="22"/>
                <w:lang w:eastAsia="en-US"/>
              </w:rPr>
              <w:t>are not classified as waste in</w:t>
            </w:r>
            <w:r w:rsidRPr="007C4D65">
              <w:rPr>
                <w:rFonts w:asciiTheme="minorHAnsi" w:eastAsiaTheme="minorHAnsi" w:hAnsiTheme="minorHAnsi" w:cstheme="minorHAnsi"/>
                <w:sz w:val="18"/>
                <w:szCs w:val="22"/>
                <w:lang w:eastAsia="en-US"/>
              </w:rPr>
              <w:t xml:space="preserve"> the Regulation on construction waste (OG FBiH 93/19</w:t>
            </w:r>
            <w:proofErr w:type="gramStart"/>
            <w:r w:rsidRPr="007C4D65">
              <w:rPr>
                <w:rFonts w:asciiTheme="minorHAnsi" w:eastAsiaTheme="minorHAnsi" w:hAnsiTheme="minorHAnsi" w:cstheme="minorHAnsi"/>
                <w:sz w:val="18"/>
                <w:szCs w:val="22"/>
                <w:lang w:eastAsia="en-US"/>
              </w:rPr>
              <w:t>)</w:t>
            </w:r>
            <w:r w:rsidR="00BB12DE" w:rsidRPr="007C4D65">
              <w:rPr>
                <w:rFonts w:asciiTheme="minorHAnsi" w:eastAsiaTheme="minorHAnsi" w:hAnsiTheme="minorHAnsi" w:cstheme="minorHAnsi"/>
                <w:sz w:val="18"/>
                <w:szCs w:val="22"/>
                <w:lang w:eastAsia="en-US"/>
              </w:rPr>
              <w:t>;</w:t>
            </w:r>
            <w:proofErr w:type="gramEnd"/>
          </w:p>
          <w:p w14:paraId="59E5E6BF" w14:textId="356072F9"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Developing guidelines on green/sustainable construction with information on methodologies and techniques of reducing construction waste (recovery, flexibility, exchange of materials and use of least toxic materials</w:t>
            </w:r>
            <w:proofErr w:type="gramStart"/>
            <w:r w:rsidRPr="007C4D65">
              <w:rPr>
                <w:rFonts w:asciiTheme="minorHAnsi" w:eastAsiaTheme="minorHAnsi" w:hAnsiTheme="minorHAnsi" w:cstheme="minorHAnsi"/>
                <w:sz w:val="18"/>
                <w:szCs w:val="22"/>
                <w:lang w:eastAsia="en-US"/>
              </w:rPr>
              <w:t>)</w:t>
            </w:r>
            <w:r w:rsidR="00BB12DE" w:rsidRPr="007C4D65">
              <w:rPr>
                <w:rFonts w:asciiTheme="minorHAnsi" w:eastAsiaTheme="minorHAnsi" w:hAnsiTheme="minorHAnsi" w:cstheme="minorHAnsi"/>
                <w:sz w:val="18"/>
                <w:szCs w:val="22"/>
                <w:lang w:eastAsia="en-US"/>
              </w:rPr>
              <w:t>;</w:t>
            </w:r>
            <w:proofErr w:type="gramEnd"/>
          </w:p>
          <w:p w14:paraId="63D221AC" w14:textId="50277D84" w:rsidR="00005022" w:rsidRPr="007C4D65" w:rsidRDefault="00005022">
            <w:pPr>
              <w:numPr>
                <w:ilvl w:val="0"/>
                <w:numId w:val="109"/>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Improving the system for collection </w:t>
            </w:r>
            <w:proofErr w:type="spellStart"/>
            <w:r w:rsidRPr="007C4D65">
              <w:rPr>
                <w:rFonts w:asciiTheme="minorHAnsi" w:eastAsiaTheme="minorHAnsi" w:hAnsiTheme="minorHAnsi" w:cstheme="minorHAnsi"/>
                <w:sz w:val="18"/>
                <w:szCs w:val="22"/>
                <w:lang w:eastAsia="en-US"/>
              </w:rPr>
              <w:t>ad</w:t>
            </w:r>
            <w:proofErr w:type="spellEnd"/>
            <w:r w:rsidRPr="007C4D65">
              <w:rPr>
                <w:rFonts w:asciiTheme="minorHAnsi" w:eastAsiaTheme="minorHAnsi" w:hAnsiTheme="minorHAnsi" w:cstheme="minorHAnsi"/>
                <w:sz w:val="18"/>
                <w:szCs w:val="22"/>
                <w:lang w:eastAsia="en-US"/>
              </w:rPr>
              <w:t xml:space="preserve"> reuse of </w:t>
            </w:r>
            <w:r w:rsidRPr="007C4D65">
              <w:rPr>
                <w:rFonts w:asciiTheme="minorHAnsi" w:eastAsiaTheme="minorHAnsi" w:hAnsiTheme="minorHAnsi" w:cstheme="minorHAnsi"/>
                <w:b/>
                <w:sz w:val="18"/>
                <w:szCs w:val="22"/>
                <w:lang w:eastAsia="en-US"/>
              </w:rPr>
              <w:t>hazardous waste</w:t>
            </w:r>
            <w:r w:rsidRPr="007C4D65">
              <w:rPr>
                <w:rFonts w:asciiTheme="minorHAnsi" w:eastAsiaTheme="minorHAnsi" w:hAnsiTheme="minorHAnsi" w:cstheme="minorHAnsi"/>
                <w:sz w:val="18"/>
                <w:szCs w:val="22"/>
                <w:lang w:eastAsia="en-US"/>
              </w:rPr>
              <w:t xml:space="preserve"> through an analysis of the current</w:t>
            </w:r>
            <w:r w:rsidR="00140311" w:rsidRPr="007C4D65">
              <w:rPr>
                <w:rFonts w:asciiTheme="minorHAnsi" w:eastAsiaTheme="minorHAnsi" w:hAnsiTheme="minorHAnsi" w:cstheme="minorHAnsi"/>
                <w:sz w:val="18"/>
                <w:szCs w:val="22"/>
                <w:lang w:eastAsia="en-US"/>
              </w:rPr>
              <w:t>ly available</w:t>
            </w:r>
            <w:r w:rsidRPr="007C4D65">
              <w:rPr>
                <w:rFonts w:asciiTheme="minorHAnsi" w:eastAsiaTheme="minorHAnsi" w:hAnsiTheme="minorHAnsi" w:cstheme="minorHAnsi"/>
                <w:sz w:val="18"/>
                <w:szCs w:val="22"/>
                <w:lang w:eastAsia="en-US"/>
              </w:rPr>
              <w:t xml:space="preserve"> and required capacities for disposal of different types of hazardous waste and analysis of use of sanitary landfills </w:t>
            </w:r>
            <w:r w:rsidR="00140311" w:rsidRPr="007C4D65">
              <w:rPr>
                <w:rFonts w:asciiTheme="minorHAnsi" w:eastAsiaTheme="minorHAnsi" w:hAnsiTheme="minorHAnsi" w:cstheme="minorHAnsi"/>
                <w:sz w:val="18"/>
                <w:szCs w:val="22"/>
                <w:lang w:eastAsia="en-US"/>
              </w:rPr>
              <w:t xml:space="preserve">for the </w:t>
            </w:r>
            <w:r w:rsidRPr="007C4D65">
              <w:rPr>
                <w:rFonts w:asciiTheme="minorHAnsi" w:eastAsiaTheme="minorHAnsi" w:hAnsiTheme="minorHAnsi" w:cstheme="minorHAnsi"/>
                <w:sz w:val="18"/>
                <w:szCs w:val="22"/>
                <w:lang w:eastAsia="en-US"/>
              </w:rPr>
              <w:t>collection and reuse of treated and low-contaminated materials/</w:t>
            </w:r>
            <w:proofErr w:type="gramStart"/>
            <w:r w:rsidRPr="007C4D65">
              <w:rPr>
                <w:rFonts w:asciiTheme="minorHAnsi" w:eastAsiaTheme="minorHAnsi" w:hAnsiTheme="minorHAnsi" w:cstheme="minorHAnsi"/>
                <w:sz w:val="18"/>
                <w:szCs w:val="22"/>
                <w:lang w:eastAsia="en-US"/>
              </w:rPr>
              <w:t>waste</w:t>
            </w:r>
            <w:r w:rsidR="00BB12DE" w:rsidRPr="007C4D65">
              <w:rPr>
                <w:rFonts w:asciiTheme="minorHAnsi" w:eastAsiaTheme="minorHAnsi" w:hAnsiTheme="minorHAnsi" w:cstheme="minorHAnsi"/>
                <w:sz w:val="18"/>
                <w:szCs w:val="22"/>
                <w:lang w:eastAsia="en-US"/>
              </w:rPr>
              <w:t>;</w:t>
            </w:r>
            <w:proofErr w:type="gramEnd"/>
          </w:p>
          <w:p w14:paraId="0F62C018" w14:textId="32D34372" w:rsidR="00005022" w:rsidRPr="007C4D65" w:rsidRDefault="00005022">
            <w:pPr>
              <w:numPr>
                <w:ilvl w:val="0"/>
                <w:numId w:val="109"/>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Creating conditions for adequate disposal of</w:t>
            </w:r>
            <w:r w:rsidRPr="007C4D65">
              <w:rPr>
                <w:rFonts w:asciiTheme="minorHAnsi" w:eastAsiaTheme="minorHAnsi" w:hAnsiTheme="minorHAnsi" w:cstheme="minorHAnsi"/>
                <w:b/>
                <w:sz w:val="18"/>
                <w:szCs w:val="22"/>
                <w:lang w:eastAsia="en-US"/>
              </w:rPr>
              <w:t xml:space="preserve"> waste sludge which cannot be used for other purposes</w:t>
            </w:r>
            <w:r w:rsidRPr="007C4D65">
              <w:rPr>
                <w:rFonts w:asciiTheme="minorHAnsi" w:eastAsiaTheme="minorHAnsi" w:hAnsiTheme="minorHAnsi" w:cstheme="minorHAnsi"/>
                <w:sz w:val="18"/>
                <w:szCs w:val="22"/>
                <w:lang w:eastAsia="en-US"/>
              </w:rPr>
              <w:t xml:space="preserve"> through an analysis of options for adequate disposal of sludge which cannot be used for other purposes, and preparation of necessary study and project documents and development of a plant for waste sludge </w:t>
            </w:r>
            <w:proofErr w:type="gramStart"/>
            <w:r w:rsidRPr="007C4D65">
              <w:rPr>
                <w:rFonts w:asciiTheme="minorHAnsi" w:eastAsiaTheme="minorHAnsi" w:hAnsiTheme="minorHAnsi" w:cstheme="minorHAnsi"/>
                <w:sz w:val="18"/>
                <w:szCs w:val="22"/>
                <w:lang w:eastAsia="en-US"/>
              </w:rPr>
              <w:t>treatment</w:t>
            </w:r>
            <w:r w:rsidR="00BB12DE" w:rsidRPr="007C4D65">
              <w:rPr>
                <w:rFonts w:asciiTheme="minorHAnsi" w:eastAsia="Calibri" w:hAnsiTheme="minorHAnsi" w:cstheme="minorHAnsi"/>
                <w:sz w:val="18"/>
                <w:szCs w:val="18"/>
                <w:lang w:eastAsia="en-US"/>
              </w:rPr>
              <w:t>;</w:t>
            </w:r>
            <w:proofErr w:type="gramEnd"/>
          </w:p>
          <w:p w14:paraId="17F54750" w14:textId="160EDE32" w:rsidR="00005022" w:rsidRPr="007C4D65" w:rsidRDefault="00005022" w:rsidP="00B64758">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Creating conditions for adequate disposal of </w:t>
            </w:r>
            <w:r w:rsidRPr="007C4D65">
              <w:rPr>
                <w:rFonts w:asciiTheme="minorHAnsi" w:eastAsiaTheme="minorHAnsi" w:hAnsiTheme="minorHAnsi" w:cstheme="minorHAnsi"/>
                <w:b/>
                <w:sz w:val="18"/>
                <w:szCs w:val="22"/>
                <w:lang w:eastAsia="en-US"/>
              </w:rPr>
              <w:t xml:space="preserve">animal </w:t>
            </w:r>
            <w:proofErr w:type="gramStart"/>
            <w:r w:rsidRPr="007C4D65">
              <w:rPr>
                <w:rFonts w:asciiTheme="minorHAnsi" w:eastAsiaTheme="minorHAnsi" w:hAnsiTheme="minorHAnsi" w:cstheme="minorHAnsi"/>
                <w:b/>
                <w:sz w:val="18"/>
                <w:szCs w:val="22"/>
                <w:lang w:eastAsia="en-US"/>
              </w:rPr>
              <w:t>waste</w:t>
            </w:r>
            <w:r w:rsidR="00BB12DE" w:rsidRPr="007C4D65">
              <w:rPr>
                <w:rFonts w:asciiTheme="minorHAnsi" w:eastAsiaTheme="minorHAnsi" w:hAnsiTheme="minorHAnsi" w:cstheme="minorHAnsi"/>
                <w:b/>
                <w:sz w:val="18"/>
                <w:szCs w:val="22"/>
                <w:lang w:eastAsia="en-US"/>
              </w:rPr>
              <w:t>;</w:t>
            </w:r>
            <w:r w:rsidR="00BB12DE" w:rsidRPr="007C4D65">
              <w:rPr>
                <w:rFonts w:asciiTheme="minorHAnsi" w:eastAsiaTheme="minorHAnsi" w:hAnsiTheme="minorHAnsi" w:cstheme="minorHAnsi"/>
                <w:sz w:val="18"/>
                <w:szCs w:val="22"/>
                <w:lang w:eastAsia="en-US"/>
              </w:rPr>
              <w:t>;</w:t>
            </w:r>
            <w:proofErr w:type="gramEnd"/>
            <w:r w:rsidRPr="007C4D65">
              <w:rPr>
                <w:rFonts w:asciiTheme="minorHAnsi" w:eastAsiaTheme="minorHAnsi" w:hAnsiTheme="minorHAnsi" w:cstheme="minorHAnsi"/>
                <w:sz w:val="18"/>
                <w:szCs w:val="22"/>
                <w:lang w:eastAsia="en-US"/>
              </w:rPr>
              <w:t>Adopting and implementing the Strategy and Action Plan of animal by-products and waste disposal for BiH (2019-2024), prepared within the EU project “Technical assistance supporting animal by-products and waste management in BiH”</w:t>
            </w:r>
            <w:r w:rsidR="00BB12DE" w:rsidRPr="007C4D65">
              <w:rPr>
                <w:rFonts w:asciiTheme="minorHAnsi" w:eastAsiaTheme="minorHAnsi" w:hAnsiTheme="minorHAnsi" w:cstheme="minorHAnsi"/>
                <w:sz w:val="18"/>
                <w:szCs w:val="22"/>
                <w:lang w:eastAsia="en-US"/>
              </w:rPr>
              <w:t>;</w:t>
            </w:r>
          </w:p>
          <w:p w14:paraId="37BD844E" w14:textId="536EEF51"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Developing the central facility of the pound and transfer </w:t>
            </w:r>
            <w:proofErr w:type="gramStart"/>
            <w:r w:rsidRPr="007C4D65">
              <w:rPr>
                <w:rFonts w:asciiTheme="minorHAnsi" w:eastAsiaTheme="minorHAnsi" w:hAnsiTheme="minorHAnsi" w:cstheme="minorHAnsi"/>
                <w:sz w:val="18"/>
                <w:szCs w:val="22"/>
                <w:lang w:eastAsia="en-US"/>
              </w:rPr>
              <w:t>stations</w:t>
            </w:r>
            <w:r w:rsidR="00BB12DE" w:rsidRPr="007C4D65">
              <w:rPr>
                <w:rFonts w:asciiTheme="minorHAnsi" w:eastAsia="Calibri" w:hAnsiTheme="minorHAnsi" w:cstheme="minorHAnsi"/>
                <w:sz w:val="18"/>
                <w:szCs w:val="18"/>
                <w:lang w:eastAsia="en-US"/>
              </w:rPr>
              <w:t>;</w:t>
            </w:r>
            <w:proofErr w:type="gramEnd"/>
          </w:p>
          <w:p w14:paraId="7C897FAC" w14:textId="61DFD762" w:rsidR="00005022" w:rsidRPr="007C4D65" w:rsidRDefault="00005022">
            <w:pPr>
              <w:numPr>
                <w:ilvl w:val="0"/>
                <w:numId w:val="109"/>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Creating conditions for safe treatment of all types of </w:t>
            </w:r>
            <w:r w:rsidRPr="007C4D65">
              <w:rPr>
                <w:rFonts w:asciiTheme="minorHAnsi" w:eastAsiaTheme="minorHAnsi" w:hAnsiTheme="minorHAnsi" w:cstheme="minorHAnsi"/>
                <w:b/>
                <w:sz w:val="18"/>
                <w:szCs w:val="22"/>
                <w:lang w:eastAsia="en-US"/>
              </w:rPr>
              <w:t xml:space="preserve">medical waste </w:t>
            </w:r>
            <w:proofErr w:type="gramStart"/>
            <w:r w:rsidRPr="007C4D65">
              <w:rPr>
                <w:rFonts w:asciiTheme="minorHAnsi" w:eastAsiaTheme="minorHAnsi" w:hAnsiTheme="minorHAnsi" w:cstheme="minorHAnsi"/>
                <w:bCs/>
                <w:sz w:val="18"/>
                <w:szCs w:val="22"/>
                <w:lang w:eastAsia="en-US"/>
              </w:rPr>
              <w:t>through</w:t>
            </w:r>
            <w:r w:rsidR="00BB12DE" w:rsidRPr="007C4D65">
              <w:rPr>
                <w:rFonts w:asciiTheme="minorHAnsi" w:eastAsiaTheme="minorHAnsi" w:hAnsiTheme="minorHAnsi" w:cstheme="minorHAnsi"/>
                <w:bCs/>
                <w:sz w:val="18"/>
                <w:szCs w:val="22"/>
                <w:lang w:eastAsia="en-US"/>
              </w:rPr>
              <w:t>;</w:t>
            </w:r>
            <w:proofErr w:type="gramEnd"/>
          </w:p>
          <w:p w14:paraId="41F3D36F" w14:textId="6356A616"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Drawing up a plan on procurement of equipment for treatment of infectious and pathological waste from health centres </w:t>
            </w:r>
            <w:r w:rsidR="00140311" w:rsidRPr="007C4D65">
              <w:rPr>
                <w:rFonts w:asciiTheme="minorHAnsi" w:eastAsiaTheme="minorHAnsi" w:hAnsiTheme="minorHAnsi" w:cstheme="minorHAnsi"/>
                <w:sz w:val="18"/>
                <w:szCs w:val="22"/>
                <w:lang w:eastAsia="en-US"/>
              </w:rPr>
              <w:t xml:space="preserve">in the Federation of </w:t>
            </w:r>
            <w:proofErr w:type="gramStart"/>
            <w:r w:rsidR="00140311" w:rsidRPr="007C4D65">
              <w:rPr>
                <w:rFonts w:asciiTheme="minorHAnsi" w:eastAsiaTheme="minorHAnsi" w:hAnsiTheme="minorHAnsi" w:cstheme="minorHAnsi"/>
                <w:sz w:val="18"/>
                <w:szCs w:val="22"/>
                <w:lang w:eastAsia="en-US"/>
              </w:rPr>
              <w:t>BiH</w:t>
            </w:r>
            <w:r w:rsidR="00BB12DE" w:rsidRPr="007C4D65">
              <w:rPr>
                <w:rFonts w:asciiTheme="minorHAnsi" w:eastAsia="Calibri" w:hAnsiTheme="minorHAnsi" w:cstheme="minorHAnsi"/>
                <w:sz w:val="18"/>
                <w:szCs w:val="18"/>
                <w:lang w:eastAsia="en-US"/>
              </w:rPr>
              <w:t>;</w:t>
            </w:r>
            <w:proofErr w:type="gramEnd"/>
          </w:p>
          <w:p w14:paraId="42031D2B" w14:textId="0E2E91E1"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Procuring the equipment for safe disposal of infectious medical waste in large health centres </w:t>
            </w:r>
            <w:r w:rsidR="00140311" w:rsidRPr="007C4D65">
              <w:rPr>
                <w:rFonts w:asciiTheme="minorHAnsi" w:eastAsiaTheme="minorHAnsi" w:hAnsiTheme="minorHAnsi" w:cstheme="minorHAnsi"/>
                <w:sz w:val="18"/>
                <w:szCs w:val="22"/>
                <w:lang w:eastAsia="en-US"/>
              </w:rPr>
              <w:t>in the Federation of BiH</w:t>
            </w:r>
            <w:r w:rsidRPr="007C4D65">
              <w:rPr>
                <w:rFonts w:asciiTheme="minorHAnsi" w:eastAsiaTheme="minorHAnsi" w:hAnsiTheme="minorHAnsi" w:cstheme="minorHAnsi"/>
                <w:sz w:val="18"/>
                <w:szCs w:val="22"/>
                <w:lang w:eastAsia="en-US"/>
              </w:rPr>
              <w:t xml:space="preserve">, which would at the same time receive infectious waste from local health </w:t>
            </w:r>
            <w:proofErr w:type="gramStart"/>
            <w:r w:rsidRPr="007C4D65">
              <w:rPr>
                <w:rFonts w:asciiTheme="minorHAnsi" w:eastAsiaTheme="minorHAnsi" w:hAnsiTheme="minorHAnsi" w:cstheme="minorHAnsi"/>
                <w:sz w:val="18"/>
                <w:szCs w:val="22"/>
                <w:lang w:eastAsia="en-US"/>
              </w:rPr>
              <w:t>centres</w:t>
            </w:r>
            <w:r w:rsidR="00BB12DE" w:rsidRPr="007C4D65">
              <w:rPr>
                <w:rFonts w:asciiTheme="minorHAnsi" w:eastAsiaTheme="minorHAnsi" w:hAnsiTheme="minorHAnsi" w:cstheme="minorHAnsi"/>
                <w:sz w:val="18"/>
                <w:szCs w:val="22"/>
                <w:lang w:eastAsia="en-US"/>
              </w:rPr>
              <w:t>;</w:t>
            </w:r>
            <w:proofErr w:type="gramEnd"/>
          </w:p>
          <w:p w14:paraId="0C82DE47" w14:textId="15089E45"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Procuring equipment and/or using the current capacities (incinerators) for disposal of waste at source in major medical </w:t>
            </w:r>
            <w:proofErr w:type="gramStart"/>
            <w:r w:rsidRPr="007C4D65">
              <w:rPr>
                <w:rFonts w:asciiTheme="minorHAnsi" w:eastAsiaTheme="minorHAnsi" w:hAnsiTheme="minorHAnsi" w:cstheme="minorHAnsi"/>
                <w:sz w:val="18"/>
                <w:szCs w:val="22"/>
                <w:lang w:eastAsia="en-US"/>
              </w:rPr>
              <w:t>institutions</w:t>
            </w:r>
            <w:r w:rsidR="00BB12DE" w:rsidRPr="007C4D65">
              <w:rPr>
                <w:rFonts w:asciiTheme="minorHAnsi" w:eastAsia="Calibri" w:hAnsiTheme="minorHAnsi" w:cstheme="minorHAnsi"/>
                <w:sz w:val="18"/>
                <w:szCs w:val="18"/>
                <w:lang w:eastAsia="en-US"/>
              </w:rPr>
              <w:t>;</w:t>
            </w:r>
            <w:proofErr w:type="gramEnd"/>
          </w:p>
          <w:p w14:paraId="1396139A" w14:textId="23ECED90"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Revising and effectuation of the Guide</w:t>
            </w:r>
            <w:r w:rsidR="00140311" w:rsidRPr="007C4D65">
              <w:rPr>
                <w:rFonts w:asciiTheme="minorHAnsi" w:eastAsiaTheme="minorHAnsi" w:hAnsiTheme="minorHAnsi" w:cstheme="minorHAnsi"/>
                <w:sz w:val="18"/>
                <w:szCs w:val="22"/>
                <w:lang w:eastAsia="en-US"/>
              </w:rPr>
              <w:t>book</w:t>
            </w:r>
            <w:r w:rsidRPr="007C4D65">
              <w:rPr>
                <w:rFonts w:asciiTheme="minorHAnsi" w:eastAsiaTheme="minorHAnsi" w:hAnsiTheme="minorHAnsi" w:cstheme="minorHAnsi"/>
                <w:sz w:val="18"/>
                <w:szCs w:val="22"/>
                <w:lang w:eastAsia="en-US"/>
              </w:rPr>
              <w:t xml:space="preserve"> on medical waste management for healthcare </w:t>
            </w:r>
            <w:proofErr w:type="gramStart"/>
            <w:r w:rsidRPr="007C4D65">
              <w:rPr>
                <w:rFonts w:asciiTheme="minorHAnsi" w:eastAsiaTheme="minorHAnsi" w:hAnsiTheme="minorHAnsi" w:cstheme="minorHAnsi"/>
                <w:sz w:val="18"/>
                <w:szCs w:val="22"/>
                <w:lang w:eastAsia="en-US"/>
              </w:rPr>
              <w:t>institutions</w:t>
            </w:r>
            <w:r w:rsidR="00BB12DE" w:rsidRPr="007C4D65">
              <w:rPr>
                <w:rFonts w:asciiTheme="minorHAnsi" w:eastAsiaTheme="minorHAnsi" w:hAnsiTheme="minorHAnsi" w:cstheme="minorHAnsi"/>
                <w:sz w:val="18"/>
                <w:szCs w:val="22"/>
                <w:lang w:eastAsia="en-US"/>
              </w:rPr>
              <w:t>;</w:t>
            </w:r>
            <w:proofErr w:type="gramEnd"/>
          </w:p>
          <w:p w14:paraId="7F7AAB32" w14:textId="53626AAE"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Implementation of a mandatory annual training for healthcare institutions </w:t>
            </w:r>
            <w:r w:rsidR="00140311" w:rsidRPr="007C4D65">
              <w:rPr>
                <w:rFonts w:asciiTheme="minorHAnsi" w:eastAsiaTheme="minorHAnsi" w:hAnsiTheme="minorHAnsi" w:cstheme="minorHAnsi"/>
                <w:sz w:val="18"/>
                <w:szCs w:val="22"/>
                <w:lang w:eastAsia="en-US"/>
              </w:rPr>
              <w:t>to facilitate</w:t>
            </w:r>
            <w:r w:rsidRPr="007C4D65">
              <w:rPr>
                <w:rFonts w:asciiTheme="minorHAnsi" w:eastAsiaTheme="minorHAnsi" w:hAnsiTheme="minorHAnsi" w:cstheme="minorHAnsi"/>
                <w:sz w:val="18"/>
                <w:szCs w:val="22"/>
                <w:lang w:eastAsia="en-US"/>
              </w:rPr>
              <w:t xml:space="preserve"> the implementation of medical waste management plans</w:t>
            </w:r>
            <w:r w:rsidR="00BB12DE" w:rsidRPr="007C4D65">
              <w:rPr>
                <w:rFonts w:asciiTheme="minorHAnsi" w:eastAsiaTheme="minorHAnsi" w:hAnsiTheme="minorHAnsi" w:cstheme="minorHAnsi"/>
                <w:sz w:val="18"/>
                <w:szCs w:val="22"/>
                <w:lang w:eastAsia="en-US"/>
              </w:rPr>
              <w:t>.</w:t>
            </w:r>
          </w:p>
        </w:tc>
      </w:tr>
      <w:tr w:rsidR="00005022" w:rsidRPr="007C4D65" w14:paraId="046C65E6" w14:textId="77777777" w:rsidTr="00BC37DE">
        <w:trPr>
          <w:trHeight w:val="567"/>
          <w:jc w:val="center"/>
        </w:trPr>
        <w:tc>
          <w:tcPr>
            <w:tcW w:w="1375" w:type="pct"/>
            <w:shd w:val="clear" w:color="auto" w:fill="009D73"/>
            <w:vAlign w:val="center"/>
          </w:tcPr>
          <w:p w14:paraId="38AD727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Strategic projects</w:t>
            </w:r>
          </w:p>
        </w:tc>
        <w:tc>
          <w:tcPr>
            <w:tcW w:w="3625" w:type="pct"/>
            <w:gridSpan w:val="3"/>
            <w:shd w:val="clear" w:color="auto" w:fill="FFFFFF" w:themeFill="background1"/>
            <w:vAlign w:val="center"/>
          </w:tcPr>
          <w:p w14:paraId="710C6AD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w:t>
            </w:r>
          </w:p>
        </w:tc>
      </w:tr>
      <w:tr w:rsidR="00005022" w:rsidRPr="007C4D65" w14:paraId="311270F3" w14:textId="77777777" w:rsidTr="00BC37DE">
        <w:trPr>
          <w:trHeight w:val="567"/>
          <w:jc w:val="center"/>
        </w:trPr>
        <w:tc>
          <w:tcPr>
            <w:tcW w:w="1375" w:type="pct"/>
            <w:vMerge w:val="restart"/>
            <w:shd w:val="clear" w:color="auto" w:fill="009D73"/>
            <w:vAlign w:val="center"/>
          </w:tcPr>
          <w:p w14:paraId="4D8DD24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 for monitoring of results</w:t>
            </w:r>
          </w:p>
        </w:tc>
        <w:tc>
          <w:tcPr>
            <w:tcW w:w="1216" w:type="pct"/>
            <w:shd w:val="clear" w:color="auto" w:fill="009D73"/>
            <w:vAlign w:val="center"/>
          </w:tcPr>
          <w:p w14:paraId="54C94164"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47DE715E"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178" w:type="pct"/>
            <w:shd w:val="clear" w:color="auto" w:fill="009D73"/>
            <w:vAlign w:val="center"/>
          </w:tcPr>
          <w:p w14:paraId="3BB00D66"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Baseline value</w:t>
            </w:r>
          </w:p>
          <w:p w14:paraId="6BFECB42"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(2021)</w:t>
            </w:r>
          </w:p>
        </w:tc>
        <w:tc>
          <w:tcPr>
            <w:tcW w:w="1231" w:type="pct"/>
            <w:shd w:val="clear" w:color="auto" w:fill="009D73"/>
            <w:vAlign w:val="center"/>
          </w:tcPr>
          <w:p w14:paraId="28C88E93"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value</w:t>
            </w:r>
          </w:p>
        </w:tc>
      </w:tr>
      <w:tr w:rsidR="00005022" w:rsidRPr="007C4D65" w14:paraId="75C6F237" w14:textId="77777777" w:rsidTr="00BC37DE">
        <w:trPr>
          <w:trHeight w:val="567"/>
          <w:jc w:val="center"/>
        </w:trPr>
        <w:tc>
          <w:tcPr>
            <w:tcW w:w="1375" w:type="pct"/>
            <w:vMerge/>
            <w:shd w:val="clear" w:color="auto" w:fill="009D73"/>
            <w:vAlign w:val="center"/>
          </w:tcPr>
          <w:p w14:paraId="2B83E20F"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216" w:type="pct"/>
            <w:shd w:val="clear" w:color="auto" w:fill="FFFFFF"/>
            <w:vAlign w:val="center"/>
          </w:tcPr>
          <w:p w14:paraId="7D8433BC"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a.1 Recycling rate of packaging waste (%)</w:t>
            </w:r>
          </w:p>
          <w:p w14:paraId="53C1AEC7"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a.2 Recycling rate of WEEE (%)</w:t>
            </w:r>
          </w:p>
          <w:p w14:paraId="485AEF52"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p>
        </w:tc>
        <w:tc>
          <w:tcPr>
            <w:tcW w:w="1178" w:type="pct"/>
            <w:shd w:val="clear" w:color="auto" w:fill="FFFFFF"/>
            <w:vAlign w:val="center"/>
          </w:tcPr>
          <w:p w14:paraId="639BED43"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xml:space="preserve">a.1* </w:t>
            </w:r>
          </w:p>
          <w:p w14:paraId="6FEA0053" w14:textId="01A365FD"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General goal for recovery and recycling of packaging waste is 35% of the packaging placed on the market</w:t>
            </w:r>
          </w:p>
          <w:p w14:paraId="7F1B59F3"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lastRenderedPageBreak/>
              <w:t xml:space="preserve">Minimum quantity (5%) which needs to be used or recycled </w:t>
            </w:r>
          </w:p>
          <w:p w14:paraId="5756AB66"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Glass 12%</w:t>
            </w:r>
          </w:p>
          <w:p w14:paraId="32FA4617"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Metal 10%</w:t>
            </w:r>
          </w:p>
          <w:p w14:paraId="465FB89F"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Paper 30%</w:t>
            </w:r>
          </w:p>
          <w:p w14:paraId="613A848D"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Plastic 16%</w:t>
            </w:r>
          </w:p>
          <w:p w14:paraId="1CFBF86E"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Wood 12%</w:t>
            </w:r>
          </w:p>
          <w:p w14:paraId="09765A52"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(2016)</w:t>
            </w:r>
          </w:p>
          <w:p w14:paraId="1C73C4C6" w14:textId="77777777" w:rsidR="00005022" w:rsidRPr="007C4D65" w:rsidRDefault="00005022" w:rsidP="00005022">
            <w:pPr>
              <w:spacing w:before="40" w:after="40" w:line="276" w:lineRule="auto"/>
              <w:rPr>
                <w:rFonts w:asciiTheme="minorHAnsi" w:hAnsiTheme="minorHAnsi" w:cstheme="minorHAnsi"/>
                <w:sz w:val="18"/>
                <w:szCs w:val="18"/>
              </w:rPr>
            </w:pPr>
          </w:p>
          <w:p w14:paraId="20509043" w14:textId="7C9E9426"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a.2 Objectives of collection and </w:t>
            </w:r>
            <w:r w:rsidR="00916F02" w:rsidRPr="007C4D65">
              <w:rPr>
                <w:rFonts w:asciiTheme="minorHAnsi" w:eastAsiaTheme="minorHAnsi" w:hAnsiTheme="minorHAnsi" w:cstheme="minorHAnsi"/>
                <w:sz w:val="18"/>
                <w:szCs w:val="22"/>
                <w:lang w:eastAsia="en-US"/>
              </w:rPr>
              <w:t>handling</w:t>
            </w:r>
            <w:r w:rsidRPr="007C4D65">
              <w:rPr>
                <w:rFonts w:asciiTheme="minorHAnsi" w:eastAsiaTheme="minorHAnsi" w:hAnsiTheme="minorHAnsi" w:cstheme="minorHAnsi"/>
                <w:sz w:val="18"/>
                <w:szCs w:val="22"/>
                <w:lang w:eastAsia="en-US"/>
              </w:rPr>
              <w:t xml:space="preserve"> of waste </w:t>
            </w:r>
            <w:proofErr w:type="gramStart"/>
            <w:r w:rsidRPr="007C4D65">
              <w:rPr>
                <w:rFonts w:asciiTheme="minorHAnsi" w:eastAsiaTheme="minorHAnsi" w:hAnsiTheme="minorHAnsi" w:cstheme="minorHAnsi"/>
                <w:sz w:val="18"/>
                <w:szCs w:val="22"/>
                <w:lang w:eastAsia="en-US"/>
              </w:rPr>
              <w:t>equipment  35</w:t>
            </w:r>
            <w:proofErr w:type="gramEnd"/>
            <w:r w:rsidRPr="007C4D65">
              <w:rPr>
                <w:rFonts w:asciiTheme="minorHAnsi" w:eastAsiaTheme="minorHAnsi" w:hAnsiTheme="minorHAnsi" w:cstheme="minorHAnsi"/>
                <w:sz w:val="18"/>
                <w:szCs w:val="22"/>
                <w:lang w:eastAsia="en-US"/>
              </w:rPr>
              <w:t>%</w:t>
            </w:r>
          </w:p>
          <w:p w14:paraId="4DBB13E2"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(2021)</w:t>
            </w:r>
          </w:p>
        </w:tc>
        <w:tc>
          <w:tcPr>
            <w:tcW w:w="1231" w:type="pct"/>
            <w:shd w:val="clear" w:color="auto" w:fill="FFFFFF"/>
            <w:vAlign w:val="center"/>
          </w:tcPr>
          <w:p w14:paraId="1CF6B220"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lastRenderedPageBreak/>
              <w:t>a.1 Objectives for packaging waste:</w:t>
            </w:r>
          </w:p>
          <w:p w14:paraId="3F1C341E" w14:textId="748C470A"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minimum 30 % (per weight of packaging waste) will be treated or incinerated in waste incinerators with energy recovery</w:t>
            </w:r>
          </w:p>
          <w:p w14:paraId="3808291B"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lastRenderedPageBreak/>
              <w:t>- 55 % (per weight of packaging waste) will be recycled</w:t>
            </w:r>
          </w:p>
          <w:p w14:paraId="2C1DD238"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The following objectives need to be reached for recycling of materials contained in packaging waste by 2032:</w:t>
            </w:r>
          </w:p>
          <w:p w14:paraId="0F1666EB" w14:textId="21C5B1DC"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- 20 % per wight for glass</w:t>
            </w:r>
          </w:p>
          <w:p w14:paraId="6976FE2A" w14:textId="384513BF"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- 45 % per wight for paper and cardboard</w:t>
            </w:r>
          </w:p>
          <w:p w14:paraId="15018553" w14:textId="4D136386"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xml:space="preserve">- 20 % per wight for metals </w:t>
            </w:r>
          </w:p>
          <w:p w14:paraId="7664827D" w14:textId="09761F9B"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- 19 % per wight for plastic</w:t>
            </w:r>
          </w:p>
          <w:p w14:paraId="08EEDE3D"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- 13 % per wight for wood</w:t>
            </w:r>
          </w:p>
          <w:p w14:paraId="4ED08222"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p>
          <w:p w14:paraId="301D2021"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a.2 Objectives for WEEE:</w:t>
            </w:r>
          </w:p>
          <w:p w14:paraId="68665A4B" w14:textId="7BA4435C"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 collect 55% of the total </w:t>
            </w:r>
            <w:r w:rsidR="00140311" w:rsidRPr="007C4D65">
              <w:rPr>
                <w:rFonts w:asciiTheme="minorHAnsi" w:eastAsiaTheme="minorHAnsi" w:hAnsiTheme="minorHAnsi" w:cstheme="minorHAnsi"/>
                <w:sz w:val="18"/>
                <w:szCs w:val="22"/>
                <w:lang w:eastAsia="en-US"/>
              </w:rPr>
              <w:t>amount</w:t>
            </w:r>
            <w:r w:rsidRPr="007C4D65">
              <w:rPr>
                <w:rFonts w:asciiTheme="minorHAnsi" w:eastAsiaTheme="minorHAnsi" w:hAnsiTheme="minorHAnsi" w:cstheme="minorHAnsi"/>
                <w:sz w:val="18"/>
                <w:szCs w:val="22"/>
                <w:lang w:eastAsia="en-US"/>
              </w:rPr>
              <w:t xml:space="preserve"> of the equipment placed on the market of FBiH in the current year at the following pace:</w:t>
            </w:r>
          </w:p>
          <w:p w14:paraId="39A2D3F3"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   In 2022. 40%</w:t>
            </w:r>
          </w:p>
          <w:p w14:paraId="36A9EFEA"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   In 2023. 40%</w:t>
            </w:r>
          </w:p>
          <w:p w14:paraId="3065A74B"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   In 2024. 42%</w:t>
            </w:r>
          </w:p>
          <w:p w14:paraId="46CFC66E"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   In 2025. 43%</w:t>
            </w:r>
          </w:p>
          <w:p w14:paraId="2BFC502A"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   In 2026. 45%</w:t>
            </w:r>
          </w:p>
          <w:p w14:paraId="099C2BCF"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   In 2027. 47%</w:t>
            </w:r>
          </w:p>
          <w:p w14:paraId="474961CA"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   In 2028. 49%</w:t>
            </w:r>
          </w:p>
          <w:p w14:paraId="6539680F"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   In 2029. 51%</w:t>
            </w:r>
          </w:p>
          <w:p w14:paraId="6659F3F2"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   In 2030. 53%</w:t>
            </w:r>
          </w:p>
          <w:p w14:paraId="23F0655B"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   In 2031. 55%</w:t>
            </w:r>
          </w:p>
          <w:p w14:paraId="586D10C0"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- 70-80% (per weight of devise) depending on the category will be treated</w:t>
            </w:r>
          </w:p>
          <w:p w14:paraId="0A0B7CFF" w14:textId="10C51829" w:rsidR="00005022" w:rsidRPr="007C4D65" w:rsidRDefault="00005022" w:rsidP="00BB12DE">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Between 50 and 80 % (per weight of devise) will be recycled</w:t>
            </w:r>
            <w:r w:rsidR="00BB12DE" w:rsidRPr="007C4D65">
              <w:rPr>
                <w:rFonts w:asciiTheme="minorHAnsi" w:eastAsia="Calibri" w:hAnsiTheme="minorHAnsi" w:cstheme="minorHAnsi"/>
                <w:sz w:val="18"/>
                <w:lang w:eastAsia="en-US"/>
              </w:rPr>
              <w:t xml:space="preserve"> </w:t>
            </w:r>
            <w:r w:rsidRPr="007C4D65">
              <w:rPr>
                <w:rFonts w:asciiTheme="minorHAnsi" w:eastAsia="Calibri" w:hAnsiTheme="minorHAnsi" w:cstheme="minorHAnsi"/>
                <w:sz w:val="18"/>
                <w:lang w:eastAsia="en-US"/>
              </w:rPr>
              <w:t>(2032)</w:t>
            </w:r>
          </w:p>
        </w:tc>
      </w:tr>
      <w:tr w:rsidR="00005022" w:rsidRPr="007C4D65" w14:paraId="7938C907" w14:textId="77777777" w:rsidTr="00BC37DE">
        <w:trPr>
          <w:trHeight w:val="567"/>
          <w:jc w:val="center"/>
        </w:trPr>
        <w:tc>
          <w:tcPr>
            <w:tcW w:w="1375" w:type="pct"/>
            <w:vMerge w:val="restart"/>
            <w:shd w:val="clear" w:color="auto" w:fill="009D73"/>
            <w:vAlign w:val="center"/>
          </w:tcPr>
          <w:p w14:paraId="6C470EEE"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216" w:type="pct"/>
            <w:shd w:val="clear" w:color="auto" w:fill="FFFFFF"/>
            <w:vAlign w:val="center"/>
          </w:tcPr>
          <w:p w14:paraId="7D14B07A"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b.1 Recycling rate of batteries and car batteries (%)</w:t>
            </w:r>
          </w:p>
          <w:p w14:paraId="1DC32771" w14:textId="743C8C79"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lastRenderedPageBreak/>
              <w:t xml:space="preserve">b.2 Recycling rate of waste </w:t>
            </w:r>
            <w:proofErr w:type="gramStart"/>
            <w:r w:rsidRPr="007C4D65">
              <w:rPr>
                <w:rFonts w:asciiTheme="minorHAnsi" w:eastAsia="Calibri" w:hAnsiTheme="minorHAnsi" w:cstheme="minorHAnsi"/>
                <w:sz w:val="18"/>
                <w:lang w:eastAsia="en-US"/>
              </w:rPr>
              <w:t>tyres(</w:t>
            </w:r>
            <w:proofErr w:type="gramEnd"/>
            <w:r w:rsidRPr="007C4D65">
              <w:rPr>
                <w:rFonts w:asciiTheme="minorHAnsi" w:eastAsia="Calibri" w:hAnsiTheme="minorHAnsi" w:cstheme="minorHAnsi"/>
                <w:sz w:val="18"/>
                <w:lang w:eastAsia="en-US"/>
              </w:rPr>
              <w:t>%)</w:t>
            </w:r>
          </w:p>
          <w:p w14:paraId="62CCDBE9" w14:textId="51E5E4E8"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xml:space="preserve">b.3 Recycling rate of refuse </w:t>
            </w:r>
            <w:proofErr w:type="gramStart"/>
            <w:r w:rsidRPr="007C4D65">
              <w:rPr>
                <w:rFonts w:asciiTheme="minorHAnsi" w:eastAsia="Calibri" w:hAnsiTheme="minorHAnsi" w:cstheme="minorHAnsi"/>
                <w:sz w:val="18"/>
                <w:lang w:eastAsia="en-US"/>
              </w:rPr>
              <w:t>oil(</w:t>
            </w:r>
            <w:proofErr w:type="gramEnd"/>
            <w:r w:rsidRPr="007C4D65">
              <w:rPr>
                <w:rFonts w:asciiTheme="minorHAnsi" w:eastAsia="Calibri" w:hAnsiTheme="minorHAnsi" w:cstheme="minorHAnsi"/>
                <w:sz w:val="18"/>
                <w:lang w:eastAsia="en-US"/>
              </w:rPr>
              <w:t>%)</w:t>
            </w:r>
          </w:p>
          <w:p w14:paraId="681D6CE2"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b.4 Recycling rate of ELV (%)</w:t>
            </w:r>
          </w:p>
          <w:p w14:paraId="4BE701E0"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p>
          <w:p w14:paraId="783FDE2A"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xml:space="preserve"> </w:t>
            </w:r>
          </w:p>
          <w:p w14:paraId="453AF1C3"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p>
        </w:tc>
        <w:tc>
          <w:tcPr>
            <w:tcW w:w="1178" w:type="pct"/>
            <w:shd w:val="clear" w:color="auto" w:fill="FFFFFF"/>
            <w:vAlign w:val="center"/>
          </w:tcPr>
          <w:p w14:paraId="01598D1A"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lastRenderedPageBreak/>
              <w:t>Baseline objectives have not been defined</w:t>
            </w:r>
          </w:p>
          <w:p w14:paraId="6386C7F4"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lastRenderedPageBreak/>
              <w:t>(2021)</w:t>
            </w:r>
          </w:p>
        </w:tc>
        <w:tc>
          <w:tcPr>
            <w:tcW w:w="1231" w:type="pct"/>
            <w:shd w:val="clear" w:color="auto" w:fill="FFFFFF"/>
            <w:vAlign w:val="center"/>
          </w:tcPr>
          <w:p w14:paraId="44B1CD9C" w14:textId="6AA6807F"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lastRenderedPageBreak/>
              <w:t xml:space="preserve">Separate collection, reuse and recycling of 45% (per average weight) of batteries </w:t>
            </w:r>
            <w:r w:rsidRPr="007C4D65">
              <w:rPr>
                <w:rFonts w:asciiTheme="minorHAnsi" w:eastAsiaTheme="minorHAnsi" w:hAnsiTheme="minorHAnsi" w:cstheme="minorHAnsi"/>
                <w:sz w:val="18"/>
                <w:szCs w:val="22"/>
                <w:lang w:eastAsia="en-US"/>
              </w:rPr>
              <w:lastRenderedPageBreak/>
              <w:t>and car batteries placed on the market in 2021.</w:t>
            </w:r>
          </w:p>
          <w:p w14:paraId="7429A32C" w14:textId="109C6A5F"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Absolute ban on disposal of waste tyres and recycling or reuse of at least 70% of waste tyres collected (given the possibility of co-incineration in cement plants)</w:t>
            </w:r>
          </w:p>
          <w:p w14:paraId="7C65D674" w14:textId="56DC044D"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 As of 2025, on an annual level, collect and properly dispose 40% of the total </w:t>
            </w:r>
            <w:r w:rsidR="00916F02" w:rsidRPr="007C4D65">
              <w:rPr>
                <w:rFonts w:asciiTheme="minorHAnsi" w:eastAsiaTheme="minorHAnsi" w:hAnsiTheme="minorHAnsi" w:cstheme="minorHAnsi"/>
                <w:sz w:val="18"/>
                <w:szCs w:val="22"/>
                <w:lang w:eastAsia="en-US"/>
              </w:rPr>
              <w:t>amount</w:t>
            </w:r>
            <w:r w:rsidRPr="007C4D65">
              <w:rPr>
                <w:rFonts w:asciiTheme="minorHAnsi" w:eastAsiaTheme="minorHAnsi" w:hAnsiTheme="minorHAnsi" w:cstheme="minorHAnsi"/>
                <w:sz w:val="18"/>
                <w:szCs w:val="22"/>
                <w:lang w:eastAsia="en-US"/>
              </w:rPr>
              <w:t xml:space="preserve"> of oil sold (mineral and synthetic), which became used oil</w:t>
            </w:r>
          </w:p>
          <w:p w14:paraId="69E10990"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recycle 85% of ELV (per average weight per ELV)</w:t>
            </w:r>
          </w:p>
        </w:tc>
      </w:tr>
      <w:tr w:rsidR="00005022" w:rsidRPr="007C4D65" w14:paraId="4C0DABF7" w14:textId="77777777" w:rsidTr="00BC37DE">
        <w:trPr>
          <w:trHeight w:val="567"/>
          <w:jc w:val="center"/>
        </w:trPr>
        <w:tc>
          <w:tcPr>
            <w:tcW w:w="1375" w:type="pct"/>
            <w:vMerge/>
            <w:shd w:val="clear" w:color="auto" w:fill="009D73"/>
            <w:vAlign w:val="center"/>
          </w:tcPr>
          <w:p w14:paraId="12850B14"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216" w:type="pct"/>
            <w:shd w:val="clear" w:color="auto" w:fill="FFFFFF"/>
            <w:vAlign w:val="center"/>
          </w:tcPr>
          <w:p w14:paraId="1506C9B9" w14:textId="582AD0B3"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xml:space="preserve">ç </w:t>
            </w:r>
            <w:r w:rsidR="00D82FD5" w:rsidRPr="007C4D65">
              <w:rPr>
                <w:rFonts w:asciiTheme="minorHAnsi" w:eastAsia="Calibri" w:hAnsiTheme="minorHAnsi" w:cstheme="minorHAnsi"/>
                <w:sz w:val="18"/>
                <w:lang w:eastAsia="en-US"/>
              </w:rPr>
              <w:t>Amount</w:t>
            </w:r>
            <w:r w:rsidRPr="007C4D65">
              <w:rPr>
                <w:rFonts w:asciiTheme="minorHAnsi" w:eastAsia="Calibri" w:hAnsiTheme="minorHAnsi" w:cstheme="minorHAnsi"/>
                <w:sz w:val="18"/>
                <w:lang w:eastAsia="en-US"/>
              </w:rPr>
              <w:t xml:space="preserve"> of construction and demolition waste annually - total (t/y)</w:t>
            </w:r>
          </w:p>
        </w:tc>
        <w:tc>
          <w:tcPr>
            <w:tcW w:w="1178" w:type="pct"/>
            <w:shd w:val="clear" w:color="auto" w:fill="FFFFFF"/>
            <w:vAlign w:val="center"/>
          </w:tcPr>
          <w:p w14:paraId="40756E50"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16,844 t/y</w:t>
            </w:r>
          </w:p>
          <w:p w14:paraId="7415BE10"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(2020)</w:t>
            </w:r>
          </w:p>
        </w:tc>
        <w:tc>
          <w:tcPr>
            <w:tcW w:w="1231" w:type="pct"/>
            <w:shd w:val="clear" w:color="auto" w:fill="FFFFFF"/>
            <w:vAlign w:val="center"/>
          </w:tcPr>
          <w:p w14:paraId="2C1C12E5" w14:textId="30889C6F" w:rsidR="00005022" w:rsidRPr="007C4D65" w:rsidRDefault="00005022" w:rsidP="00BB12D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Minimum 30% increase of </w:t>
            </w:r>
            <w:r w:rsidR="00916F02" w:rsidRPr="007C4D65">
              <w:rPr>
                <w:rFonts w:asciiTheme="minorHAnsi" w:eastAsiaTheme="minorHAnsi" w:hAnsiTheme="minorHAnsi" w:cstheme="minorHAnsi"/>
                <w:sz w:val="18"/>
                <w:szCs w:val="22"/>
                <w:lang w:eastAsia="en-US"/>
              </w:rPr>
              <w:t xml:space="preserve">the amount of </w:t>
            </w:r>
            <w:r w:rsidR="00D82FD5" w:rsidRPr="007C4D65">
              <w:rPr>
                <w:rFonts w:asciiTheme="minorHAnsi" w:eastAsiaTheme="minorHAnsi" w:hAnsiTheme="minorHAnsi" w:cstheme="minorHAnsi"/>
                <w:sz w:val="18"/>
                <w:szCs w:val="22"/>
                <w:lang w:eastAsia="en-US"/>
              </w:rPr>
              <w:t>reported</w:t>
            </w:r>
            <w:r w:rsidRPr="007C4D65">
              <w:rPr>
                <w:rFonts w:asciiTheme="minorHAnsi" w:eastAsiaTheme="minorHAnsi" w:hAnsiTheme="minorHAnsi" w:cstheme="minorHAnsi"/>
                <w:sz w:val="18"/>
                <w:szCs w:val="22"/>
                <w:lang w:eastAsia="en-US"/>
              </w:rPr>
              <w:t xml:space="preserve"> construction and demolition waste generated as compared to the base year (2032)</w:t>
            </w:r>
          </w:p>
        </w:tc>
      </w:tr>
      <w:tr w:rsidR="00005022" w:rsidRPr="007C4D65" w14:paraId="498F2E94" w14:textId="77777777" w:rsidTr="00BC37DE">
        <w:trPr>
          <w:trHeight w:val="567"/>
          <w:jc w:val="center"/>
        </w:trPr>
        <w:tc>
          <w:tcPr>
            <w:tcW w:w="1375" w:type="pct"/>
            <w:vMerge/>
            <w:shd w:val="clear" w:color="auto" w:fill="009D73"/>
            <w:vAlign w:val="center"/>
          </w:tcPr>
          <w:p w14:paraId="438B00BA"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216" w:type="pct"/>
            <w:shd w:val="clear" w:color="auto" w:fill="FFFFFF"/>
            <w:vAlign w:val="center"/>
          </w:tcPr>
          <w:p w14:paraId="46A7C792" w14:textId="03E60FAA"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d. </w:t>
            </w:r>
            <w:r w:rsidR="00D82FD5" w:rsidRPr="007C4D65">
              <w:rPr>
                <w:rFonts w:asciiTheme="minorHAnsi" w:eastAsiaTheme="minorHAnsi" w:hAnsiTheme="minorHAnsi" w:cstheme="minorHAnsi"/>
                <w:sz w:val="18"/>
                <w:szCs w:val="22"/>
                <w:lang w:eastAsia="en-US"/>
              </w:rPr>
              <w:t>Amount</w:t>
            </w:r>
            <w:r w:rsidRPr="007C4D65">
              <w:rPr>
                <w:rFonts w:asciiTheme="minorHAnsi" w:eastAsiaTheme="minorHAnsi" w:hAnsiTheme="minorHAnsi" w:cstheme="minorHAnsi"/>
                <w:sz w:val="18"/>
                <w:szCs w:val="22"/>
                <w:lang w:eastAsia="en-US"/>
              </w:rPr>
              <w:t xml:space="preserve"> of hazardous waste generated within a year - total (t/y)</w:t>
            </w:r>
          </w:p>
          <w:p w14:paraId="2DA00A60"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p>
          <w:p w14:paraId="6FBAD2A6"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p>
        </w:tc>
        <w:tc>
          <w:tcPr>
            <w:tcW w:w="1178" w:type="pct"/>
            <w:shd w:val="clear" w:color="auto" w:fill="FFFFFF"/>
            <w:vAlign w:val="center"/>
          </w:tcPr>
          <w:p w14:paraId="6D3018F9" w14:textId="551AD142"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5</w:t>
            </w:r>
            <w:r w:rsidR="00D82FD5" w:rsidRPr="007C4D65">
              <w:rPr>
                <w:rFonts w:asciiTheme="minorHAnsi" w:eastAsiaTheme="minorHAnsi" w:hAnsiTheme="minorHAnsi" w:cstheme="minorHAnsi"/>
                <w:sz w:val="18"/>
                <w:szCs w:val="22"/>
                <w:lang w:eastAsia="en-US"/>
              </w:rPr>
              <w:t>,</w:t>
            </w:r>
            <w:r w:rsidRPr="007C4D65">
              <w:rPr>
                <w:rFonts w:asciiTheme="minorHAnsi" w:eastAsiaTheme="minorHAnsi" w:hAnsiTheme="minorHAnsi" w:cstheme="minorHAnsi"/>
                <w:sz w:val="18"/>
                <w:szCs w:val="22"/>
                <w:lang w:eastAsia="en-US"/>
              </w:rPr>
              <w:t>756 t/y</w:t>
            </w:r>
          </w:p>
          <w:p w14:paraId="693AED3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(2020)</w:t>
            </w:r>
          </w:p>
        </w:tc>
        <w:tc>
          <w:tcPr>
            <w:tcW w:w="1231" w:type="pct"/>
            <w:shd w:val="clear" w:color="auto" w:fill="FFFFFF"/>
            <w:vAlign w:val="center"/>
          </w:tcPr>
          <w:p w14:paraId="25019A75" w14:textId="04DE29F8" w:rsidR="00005022" w:rsidRPr="007C4D65" w:rsidRDefault="00005022" w:rsidP="00BB12D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Minimum 30% increase of r</w:t>
            </w:r>
            <w:r w:rsidR="00D82FD5" w:rsidRPr="007C4D65">
              <w:rPr>
                <w:rFonts w:asciiTheme="minorHAnsi" w:eastAsiaTheme="minorHAnsi" w:hAnsiTheme="minorHAnsi" w:cstheme="minorHAnsi"/>
                <w:sz w:val="18"/>
                <w:szCs w:val="22"/>
                <w:lang w:eastAsia="en-US"/>
              </w:rPr>
              <w:t>eported amount</w:t>
            </w:r>
            <w:r w:rsidRPr="007C4D65">
              <w:rPr>
                <w:rFonts w:asciiTheme="minorHAnsi" w:eastAsiaTheme="minorHAnsi" w:hAnsiTheme="minorHAnsi" w:cstheme="minorHAnsi"/>
                <w:sz w:val="18"/>
                <w:szCs w:val="22"/>
                <w:lang w:eastAsia="en-US"/>
              </w:rPr>
              <w:t xml:space="preserve"> of hazardous waste generated as compared to the base </w:t>
            </w:r>
            <w:proofErr w:type="gramStart"/>
            <w:r w:rsidRPr="007C4D65">
              <w:rPr>
                <w:rFonts w:asciiTheme="minorHAnsi" w:eastAsiaTheme="minorHAnsi" w:hAnsiTheme="minorHAnsi" w:cstheme="minorHAnsi"/>
                <w:sz w:val="18"/>
                <w:szCs w:val="22"/>
                <w:lang w:eastAsia="en-US"/>
              </w:rPr>
              <w:t xml:space="preserve">year </w:t>
            </w:r>
            <w:r w:rsidR="00BB12DE" w:rsidRPr="007C4D65">
              <w:rPr>
                <w:rFonts w:asciiTheme="minorHAnsi" w:eastAsiaTheme="minorHAnsi" w:hAnsiTheme="minorHAnsi" w:cstheme="minorHAnsi"/>
                <w:sz w:val="18"/>
                <w:szCs w:val="22"/>
                <w:lang w:eastAsia="en-US"/>
              </w:rPr>
              <w:t xml:space="preserve"> </w:t>
            </w:r>
            <w:r w:rsidRPr="007C4D65">
              <w:rPr>
                <w:rFonts w:asciiTheme="minorHAnsi" w:eastAsiaTheme="minorHAnsi" w:hAnsiTheme="minorHAnsi" w:cstheme="minorHAnsi"/>
                <w:sz w:val="18"/>
                <w:szCs w:val="22"/>
                <w:lang w:eastAsia="en-US"/>
              </w:rPr>
              <w:t>(</w:t>
            </w:r>
            <w:proofErr w:type="gramEnd"/>
            <w:r w:rsidRPr="007C4D65">
              <w:rPr>
                <w:rFonts w:asciiTheme="minorHAnsi" w:eastAsiaTheme="minorHAnsi" w:hAnsiTheme="minorHAnsi" w:cstheme="minorHAnsi"/>
                <w:sz w:val="18"/>
                <w:szCs w:val="22"/>
                <w:lang w:eastAsia="en-US"/>
              </w:rPr>
              <w:t>2032)</w:t>
            </w:r>
          </w:p>
        </w:tc>
      </w:tr>
      <w:tr w:rsidR="00005022" w:rsidRPr="007C4D65" w14:paraId="703776FE" w14:textId="77777777" w:rsidTr="00BC37DE">
        <w:trPr>
          <w:trHeight w:val="567"/>
          <w:jc w:val="center"/>
        </w:trPr>
        <w:tc>
          <w:tcPr>
            <w:tcW w:w="1375" w:type="pct"/>
            <w:vMerge/>
            <w:shd w:val="clear" w:color="auto" w:fill="009D73"/>
            <w:vAlign w:val="center"/>
          </w:tcPr>
          <w:p w14:paraId="14FAC6D3" w14:textId="77777777"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p>
        </w:tc>
        <w:tc>
          <w:tcPr>
            <w:tcW w:w="1216" w:type="pct"/>
            <w:shd w:val="clear" w:color="auto" w:fill="FFFFFF"/>
            <w:vAlign w:val="center"/>
          </w:tcPr>
          <w:p w14:paraId="73AA4512" w14:textId="2BF3AF39"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e. </w:t>
            </w:r>
            <w:r w:rsidR="00D82FD5" w:rsidRPr="007C4D65">
              <w:rPr>
                <w:rFonts w:asciiTheme="minorHAnsi" w:eastAsiaTheme="minorHAnsi" w:hAnsiTheme="minorHAnsi" w:cstheme="minorHAnsi"/>
                <w:sz w:val="18"/>
                <w:szCs w:val="22"/>
                <w:lang w:eastAsia="en-US"/>
              </w:rPr>
              <w:t>Amount</w:t>
            </w:r>
            <w:r w:rsidRPr="007C4D65">
              <w:rPr>
                <w:rFonts w:asciiTheme="minorHAnsi" w:eastAsiaTheme="minorHAnsi" w:hAnsiTheme="minorHAnsi" w:cstheme="minorHAnsi"/>
                <w:sz w:val="18"/>
                <w:szCs w:val="22"/>
                <w:lang w:eastAsia="en-US"/>
              </w:rPr>
              <w:t xml:space="preserve"> of waste sludge generated</w:t>
            </w:r>
          </w:p>
        </w:tc>
        <w:tc>
          <w:tcPr>
            <w:tcW w:w="1178" w:type="pct"/>
            <w:shd w:val="clear" w:color="auto" w:fill="FFFFFF"/>
            <w:vAlign w:val="center"/>
          </w:tcPr>
          <w:p w14:paraId="6628BB1F"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Data not available</w:t>
            </w:r>
          </w:p>
          <w:p w14:paraId="439F9091"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p>
        </w:tc>
        <w:tc>
          <w:tcPr>
            <w:tcW w:w="1231" w:type="pct"/>
            <w:shd w:val="clear" w:color="auto" w:fill="FFFFFF"/>
            <w:vAlign w:val="center"/>
          </w:tcPr>
          <w:p w14:paraId="5B79F1A0"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No target value is defined for this indicator, it is necessary to introduce monitoring</w:t>
            </w:r>
          </w:p>
        </w:tc>
      </w:tr>
      <w:tr w:rsidR="00005022" w:rsidRPr="007C4D65" w14:paraId="2E2BDDC7" w14:textId="77777777" w:rsidTr="00BC37DE">
        <w:trPr>
          <w:trHeight w:val="567"/>
          <w:jc w:val="center"/>
        </w:trPr>
        <w:tc>
          <w:tcPr>
            <w:tcW w:w="1375" w:type="pct"/>
            <w:vMerge/>
            <w:shd w:val="clear" w:color="auto" w:fill="009D73"/>
            <w:vAlign w:val="center"/>
          </w:tcPr>
          <w:p w14:paraId="1ADCCF6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216" w:type="pct"/>
            <w:shd w:val="clear" w:color="auto" w:fill="FFFFFF"/>
            <w:vAlign w:val="center"/>
          </w:tcPr>
          <w:p w14:paraId="240CA5AA" w14:textId="3CFF7D6D"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d. </w:t>
            </w:r>
            <w:r w:rsidR="00D82FD5" w:rsidRPr="007C4D65">
              <w:rPr>
                <w:rFonts w:asciiTheme="minorHAnsi" w:eastAsiaTheme="minorHAnsi" w:hAnsiTheme="minorHAnsi" w:cstheme="minorHAnsi"/>
                <w:sz w:val="18"/>
                <w:szCs w:val="22"/>
                <w:lang w:eastAsia="en-US"/>
              </w:rPr>
              <w:t>Amount</w:t>
            </w:r>
            <w:r w:rsidRPr="007C4D65">
              <w:rPr>
                <w:rFonts w:asciiTheme="minorHAnsi" w:eastAsiaTheme="minorHAnsi" w:hAnsiTheme="minorHAnsi" w:cstheme="minorHAnsi"/>
                <w:sz w:val="18"/>
                <w:szCs w:val="22"/>
                <w:lang w:eastAsia="en-US"/>
              </w:rPr>
              <w:t xml:space="preserve"> of animal waste generated within a year - total (t/y)</w:t>
            </w:r>
          </w:p>
        </w:tc>
        <w:tc>
          <w:tcPr>
            <w:tcW w:w="1178" w:type="pct"/>
            <w:shd w:val="clear" w:color="auto" w:fill="FFFFFF"/>
            <w:vAlign w:val="center"/>
          </w:tcPr>
          <w:p w14:paraId="143C340A"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Data not available</w:t>
            </w:r>
          </w:p>
          <w:p w14:paraId="64A52FD5"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p>
        </w:tc>
        <w:tc>
          <w:tcPr>
            <w:tcW w:w="1231" w:type="pct"/>
            <w:shd w:val="clear" w:color="auto" w:fill="FFFFFF"/>
            <w:vAlign w:val="center"/>
          </w:tcPr>
          <w:p w14:paraId="3028F42B"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No target value is defined for this indicator, it is necessary to introduce monitoring</w:t>
            </w:r>
          </w:p>
        </w:tc>
      </w:tr>
      <w:tr w:rsidR="00005022" w:rsidRPr="007C4D65" w14:paraId="59DD0630" w14:textId="77777777" w:rsidTr="00BC37DE">
        <w:trPr>
          <w:trHeight w:val="567"/>
          <w:jc w:val="center"/>
        </w:trPr>
        <w:tc>
          <w:tcPr>
            <w:tcW w:w="1375" w:type="pct"/>
            <w:vMerge/>
            <w:shd w:val="clear" w:color="auto" w:fill="009D73"/>
            <w:vAlign w:val="center"/>
          </w:tcPr>
          <w:p w14:paraId="63E7F20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216" w:type="pct"/>
            <w:shd w:val="clear" w:color="auto" w:fill="FFFFFF"/>
            <w:vAlign w:val="center"/>
          </w:tcPr>
          <w:p w14:paraId="543E1053" w14:textId="11877B2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d. </w:t>
            </w:r>
            <w:r w:rsidR="00D82FD5" w:rsidRPr="007C4D65">
              <w:rPr>
                <w:rFonts w:asciiTheme="minorHAnsi" w:eastAsiaTheme="minorHAnsi" w:hAnsiTheme="minorHAnsi" w:cstheme="minorHAnsi"/>
                <w:sz w:val="18"/>
                <w:szCs w:val="22"/>
                <w:lang w:eastAsia="en-US"/>
              </w:rPr>
              <w:t>Amount</w:t>
            </w:r>
            <w:r w:rsidRPr="007C4D65">
              <w:rPr>
                <w:rFonts w:asciiTheme="minorHAnsi" w:eastAsiaTheme="minorHAnsi" w:hAnsiTheme="minorHAnsi" w:cstheme="minorHAnsi"/>
                <w:sz w:val="18"/>
                <w:szCs w:val="22"/>
                <w:lang w:eastAsia="en-US"/>
              </w:rPr>
              <w:t xml:space="preserve"> of hazardous waste generated within a year - total (t/y)</w:t>
            </w:r>
          </w:p>
        </w:tc>
        <w:tc>
          <w:tcPr>
            <w:tcW w:w="1178" w:type="pct"/>
            <w:shd w:val="clear" w:color="auto" w:fill="FFFFFF"/>
            <w:vAlign w:val="center"/>
          </w:tcPr>
          <w:p w14:paraId="6C05290D"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Data not available</w:t>
            </w:r>
          </w:p>
          <w:p w14:paraId="1D04BCF4"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p>
        </w:tc>
        <w:tc>
          <w:tcPr>
            <w:tcW w:w="1231" w:type="pct"/>
            <w:shd w:val="clear" w:color="auto" w:fill="FFFFFF"/>
            <w:vAlign w:val="center"/>
          </w:tcPr>
          <w:p w14:paraId="59D19F67"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No target value is defined for this indicator, it is necessary to introduce monitoring</w:t>
            </w:r>
          </w:p>
        </w:tc>
      </w:tr>
      <w:tr w:rsidR="00005022" w:rsidRPr="007C4D65" w14:paraId="7052A876" w14:textId="77777777" w:rsidTr="00BC37DE">
        <w:trPr>
          <w:trHeight w:val="567"/>
          <w:jc w:val="center"/>
        </w:trPr>
        <w:tc>
          <w:tcPr>
            <w:tcW w:w="1375" w:type="pct"/>
            <w:shd w:val="clear" w:color="auto" w:fill="009D73"/>
            <w:vAlign w:val="center"/>
          </w:tcPr>
          <w:p w14:paraId="0F433C2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Effect on the development and contribution of the measure to the priority</w:t>
            </w:r>
          </w:p>
        </w:tc>
        <w:tc>
          <w:tcPr>
            <w:tcW w:w="3625" w:type="pct"/>
            <w:gridSpan w:val="3"/>
            <w:shd w:val="clear" w:color="auto" w:fill="FFFFFF"/>
            <w:vAlign w:val="center"/>
          </w:tcPr>
          <w:p w14:paraId="2166658D" w14:textId="3AB82055" w:rsidR="00005022" w:rsidRPr="007C4D65" w:rsidRDefault="00D82FD5"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Minimising </w:t>
            </w:r>
            <w:r w:rsidR="009E6B20" w:rsidRPr="007C4D65">
              <w:rPr>
                <w:rFonts w:asciiTheme="minorHAnsi" w:eastAsiaTheme="minorHAnsi" w:hAnsiTheme="minorHAnsi" w:cstheme="minorHAnsi"/>
                <w:sz w:val="18"/>
                <w:szCs w:val="18"/>
                <w:lang w:eastAsia="en-US" w:bidi="en-US"/>
              </w:rPr>
              <w:t>adverse effects</w:t>
            </w:r>
            <w:r w:rsidRPr="007C4D65">
              <w:rPr>
                <w:rFonts w:asciiTheme="minorHAnsi" w:eastAsiaTheme="minorHAnsi" w:hAnsiTheme="minorHAnsi" w:cstheme="minorHAnsi"/>
                <w:sz w:val="18"/>
                <w:szCs w:val="18"/>
                <w:lang w:eastAsia="en-US" w:bidi="en-US"/>
              </w:rPr>
              <w:t xml:space="preserve"> on the environment and health</w:t>
            </w:r>
          </w:p>
        </w:tc>
      </w:tr>
      <w:tr w:rsidR="00005022" w:rsidRPr="007C4D65" w14:paraId="111DCDED" w14:textId="77777777" w:rsidTr="00BC37DE">
        <w:trPr>
          <w:trHeight w:val="567"/>
          <w:jc w:val="center"/>
        </w:trPr>
        <w:tc>
          <w:tcPr>
            <w:tcW w:w="1375" w:type="pct"/>
            <w:shd w:val="clear" w:color="auto" w:fill="009D73"/>
            <w:vAlign w:val="center"/>
          </w:tcPr>
          <w:p w14:paraId="2E15B9B2" w14:textId="329B877B"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Indicative financial projection, with specification of sources</w:t>
            </w:r>
          </w:p>
        </w:tc>
        <w:tc>
          <w:tcPr>
            <w:tcW w:w="3625" w:type="pct"/>
            <w:gridSpan w:val="3"/>
            <w:shd w:val="clear" w:color="auto" w:fill="FFFFFF"/>
            <w:vAlign w:val="center"/>
          </w:tcPr>
          <w:p w14:paraId="272E4F8E" w14:textId="77777777" w:rsidR="00D82FD5" w:rsidRPr="007C4D65" w:rsidRDefault="00D82FD5" w:rsidP="00D82FD5">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Amount: BAM 102,370,724</w:t>
            </w:r>
          </w:p>
          <w:p w14:paraId="12819AD6" w14:textId="4A5EEB21" w:rsidR="00005022" w:rsidRPr="007C4D65" w:rsidRDefault="00D82FD5" w:rsidP="00D82FD5">
            <w:pPr>
              <w:spacing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10% </w:t>
            </w:r>
            <w:r w:rsidR="000E401F" w:rsidRPr="007C4D65">
              <w:rPr>
                <w:rFonts w:asciiTheme="minorHAnsi" w:hAnsiTheme="minorHAnsi" w:cstheme="minorHAnsi"/>
                <w:color w:val="000000" w:themeColor="text1"/>
                <w:sz w:val="18"/>
                <w:szCs w:val="18"/>
              </w:rPr>
              <w:t>government budget</w:t>
            </w:r>
            <w:r w:rsidRPr="007C4D65">
              <w:rPr>
                <w:rFonts w:asciiTheme="minorHAnsi" w:hAnsiTheme="minorHAnsi" w:cstheme="minorHAnsi"/>
                <w:color w:val="000000" w:themeColor="text1"/>
                <w:sz w:val="18"/>
                <w:szCs w:val="18"/>
              </w:rPr>
              <w:t>, 90% combined loans and funds from EU and other international donors</w:t>
            </w:r>
          </w:p>
        </w:tc>
      </w:tr>
      <w:tr w:rsidR="00005022" w:rsidRPr="007C4D65" w14:paraId="6D607D21" w14:textId="77777777" w:rsidTr="00BC37DE">
        <w:trPr>
          <w:trHeight w:val="567"/>
          <w:jc w:val="center"/>
        </w:trPr>
        <w:tc>
          <w:tcPr>
            <w:tcW w:w="1375" w:type="pct"/>
            <w:shd w:val="clear" w:color="auto" w:fill="009D73"/>
            <w:vAlign w:val="center"/>
          </w:tcPr>
          <w:p w14:paraId="3F71A9D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Period of the implementation of the measure</w:t>
            </w:r>
          </w:p>
        </w:tc>
        <w:tc>
          <w:tcPr>
            <w:tcW w:w="3625" w:type="pct"/>
            <w:gridSpan w:val="3"/>
            <w:shd w:val="clear" w:color="auto" w:fill="FFFFFF"/>
            <w:vAlign w:val="center"/>
          </w:tcPr>
          <w:p w14:paraId="068D14B8"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2023-2032</w:t>
            </w:r>
          </w:p>
        </w:tc>
      </w:tr>
      <w:tr w:rsidR="00005022" w:rsidRPr="007C4D65" w14:paraId="7A449B41" w14:textId="77777777" w:rsidTr="00BC37DE">
        <w:trPr>
          <w:trHeight w:val="567"/>
          <w:jc w:val="center"/>
        </w:trPr>
        <w:tc>
          <w:tcPr>
            <w:tcW w:w="1375" w:type="pct"/>
            <w:shd w:val="clear" w:color="auto" w:fill="009D73"/>
            <w:vAlign w:val="center"/>
          </w:tcPr>
          <w:p w14:paraId="29AD543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Institution responsible for coordination of the implementation of the measure</w:t>
            </w:r>
          </w:p>
        </w:tc>
        <w:tc>
          <w:tcPr>
            <w:tcW w:w="3625" w:type="pct"/>
            <w:gridSpan w:val="3"/>
            <w:shd w:val="clear" w:color="auto" w:fill="FFFFFF"/>
            <w:vAlign w:val="center"/>
          </w:tcPr>
          <w:p w14:paraId="7984E4A6" w14:textId="522B5C6A"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w:t>
            </w:r>
          </w:p>
        </w:tc>
      </w:tr>
      <w:tr w:rsidR="00005022" w:rsidRPr="007C4D65" w14:paraId="4ACA7175" w14:textId="77777777" w:rsidTr="00BC37DE">
        <w:trPr>
          <w:trHeight w:val="567"/>
          <w:jc w:val="center"/>
        </w:trPr>
        <w:tc>
          <w:tcPr>
            <w:tcW w:w="1375" w:type="pct"/>
            <w:shd w:val="clear" w:color="auto" w:fill="009D73"/>
            <w:vAlign w:val="center"/>
          </w:tcPr>
          <w:p w14:paraId="3504FCA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Implementing institutions</w:t>
            </w:r>
          </w:p>
        </w:tc>
        <w:tc>
          <w:tcPr>
            <w:tcW w:w="3625" w:type="pct"/>
            <w:gridSpan w:val="3"/>
            <w:shd w:val="clear" w:color="auto" w:fill="FFFFFF"/>
            <w:vAlign w:val="center"/>
          </w:tcPr>
          <w:p w14:paraId="1B5C9B9C" w14:textId="4CED320D"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 </w:t>
            </w:r>
            <w:r w:rsidR="00D82FD5" w:rsidRPr="007C4D65">
              <w:rPr>
                <w:rFonts w:asciiTheme="minorHAnsi" w:eastAsiaTheme="minorHAnsi" w:hAnsiTheme="minorHAnsi" w:cstheme="minorHAnsi"/>
                <w:sz w:val="18"/>
                <w:szCs w:val="22"/>
                <w:lang w:eastAsia="en-US"/>
              </w:rPr>
              <w:t>Institute of Statistics of the Federation of BiH</w:t>
            </w:r>
            <w:r w:rsidR="00005022" w:rsidRPr="007C4D65">
              <w:rPr>
                <w:rFonts w:asciiTheme="minorHAnsi" w:eastAsiaTheme="minorHAnsi" w:hAnsiTheme="minorHAnsi" w:cstheme="minorHAnsi"/>
                <w:sz w:val="18"/>
                <w:szCs w:val="22"/>
                <w:lang w:eastAsia="en-US"/>
              </w:rPr>
              <w:t xml:space="preserve"> </w:t>
            </w:r>
          </w:p>
        </w:tc>
      </w:tr>
      <w:tr w:rsidR="00005022" w:rsidRPr="007C4D65" w14:paraId="5FD8B212" w14:textId="77777777" w:rsidTr="00BC37DE">
        <w:trPr>
          <w:trHeight w:val="567"/>
          <w:jc w:val="center"/>
        </w:trPr>
        <w:tc>
          <w:tcPr>
            <w:tcW w:w="1375" w:type="pct"/>
            <w:shd w:val="clear" w:color="auto" w:fill="009D73"/>
            <w:vAlign w:val="center"/>
          </w:tcPr>
          <w:p w14:paraId="536F81C6" w14:textId="4FEE9CF6"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groups</w:t>
            </w:r>
          </w:p>
        </w:tc>
        <w:tc>
          <w:tcPr>
            <w:tcW w:w="3625" w:type="pct"/>
            <w:gridSpan w:val="3"/>
            <w:shd w:val="clear" w:color="auto" w:fill="FFFFFF"/>
            <w:vAlign w:val="center"/>
          </w:tcPr>
          <w:p w14:paraId="77D274D3"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Cantons, municipalities and cities, operators of the extended producer responsibility scheme, entities obliged to report</w:t>
            </w:r>
          </w:p>
        </w:tc>
      </w:tr>
    </w:tbl>
    <w:p w14:paraId="17343A47" w14:textId="77777777" w:rsidR="00005022" w:rsidRPr="007C4D65" w:rsidRDefault="00005022" w:rsidP="00005022">
      <w:pPr>
        <w:spacing w:line="276" w:lineRule="auto"/>
        <w:rPr>
          <w:rFonts w:asciiTheme="minorHAnsi" w:eastAsiaTheme="minorHAnsi" w:hAnsiTheme="minorHAnsi" w:cstheme="minorHAnsi"/>
          <w:sz w:val="22"/>
          <w:szCs w:val="22"/>
          <w:lang w:eastAsia="en-US"/>
        </w:rPr>
      </w:pPr>
    </w:p>
    <w:tbl>
      <w:tblPr>
        <w:tblW w:w="479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2"/>
        <w:gridCol w:w="3163"/>
        <w:gridCol w:w="3264"/>
        <w:gridCol w:w="3270"/>
      </w:tblGrid>
      <w:tr w:rsidR="00005022" w:rsidRPr="007C4D65" w14:paraId="1E215E0A" w14:textId="77777777" w:rsidTr="00BC37DE">
        <w:trPr>
          <w:trHeight w:val="567"/>
          <w:jc w:val="center"/>
        </w:trPr>
        <w:tc>
          <w:tcPr>
            <w:tcW w:w="1376" w:type="pct"/>
            <w:shd w:val="clear" w:color="auto" w:fill="009D73"/>
            <w:vAlign w:val="center"/>
          </w:tcPr>
          <w:p w14:paraId="49AC722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Link with the strategic goal</w:t>
            </w:r>
          </w:p>
        </w:tc>
        <w:tc>
          <w:tcPr>
            <w:tcW w:w="3624" w:type="pct"/>
            <w:gridSpan w:val="3"/>
            <w:shd w:val="clear" w:color="auto" w:fill="FFFFFF"/>
            <w:vAlign w:val="center"/>
          </w:tcPr>
          <w:p w14:paraId="77A55E58" w14:textId="7777777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 Reducing waste and increasing reuse of materials</w:t>
            </w:r>
          </w:p>
        </w:tc>
      </w:tr>
      <w:tr w:rsidR="00005022" w:rsidRPr="007C4D65" w14:paraId="68B72FC0" w14:textId="77777777" w:rsidTr="00BC37DE">
        <w:trPr>
          <w:trHeight w:val="567"/>
          <w:jc w:val="center"/>
        </w:trPr>
        <w:tc>
          <w:tcPr>
            <w:tcW w:w="1376" w:type="pct"/>
            <w:shd w:val="clear" w:color="auto" w:fill="009D73"/>
            <w:vAlign w:val="center"/>
          </w:tcPr>
          <w:p w14:paraId="01217A1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Priority</w:t>
            </w:r>
          </w:p>
        </w:tc>
        <w:tc>
          <w:tcPr>
            <w:tcW w:w="3624" w:type="pct"/>
            <w:gridSpan w:val="3"/>
            <w:shd w:val="clear" w:color="auto" w:fill="FFFFFF"/>
            <w:vAlign w:val="center"/>
          </w:tcPr>
          <w:p w14:paraId="7C551FF0" w14:textId="27CAED41" w:rsidR="00005022" w:rsidRPr="007C4D65" w:rsidRDefault="00005022" w:rsidP="00005022">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 xml:space="preserve">2.5. </w:t>
            </w:r>
            <w:r w:rsidR="001547A8" w:rsidRPr="007C4D65">
              <w:rPr>
                <w:rFonts w:asciiTheme="minorHAnsi" w:eastAsiaTheme="minorHAnsi" w:hAnsiTheme="minorHAnsi" w:cstheme="minorHAnsi"/>
                <w:b/>
                <w:sz w:val="18"/>
                <w:szCs w:val="22"/>
                <w:lang w:eastAsia="en-US"/>
              </w:rPr>
              <w:t>Improving the management of special wastes</w:t>
            </w:r>
          </w:p>
        </w:tc>
      </w:tr>
      <w:tr w:rsidR="00005022" w:rsidRPr="007C4D65" w14:paraId="48191FD0" w14:textId="77777777" w:rsidTr="00BC37DE">
        <w:trPr>
          <w:trHeight w:val="567"/>
          <w:jc w:val="center"/>
        </w:trPr>
        <w:tc>
          <w:tcPr>
            <w:tcW w:w="1376" w:type="pct"/>
            <w:shd w:val="clear" w:color="auto" w:fill="009D73"/>
            <w:vAlign w:val="center"/>
          </w:tcPr>
          <w:p w14:paraId="56AFBDF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Title of the measure</w:t>
            </w:r>
          </w:p>
        </w:tc>
        <w:tc>
          <w:tcPr>
            <w:tcW w:w="3624" w:type="pct"/>
            <w:gridSpan w:val="3"/>
            <w:shd w:val="clear" w:color="auto" w:fill="FFFFFF"/>
            <w:vAlign w:val="center"/>
          </w:tcPr>
          <w:p w14:paraId="2F1808DF" w14:textId="7777777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 xml:space="preserve">2.5.2 Strengthening the recyclables market </w:t>
            </w:r>
          </w:p>
        </w:tc>
      </w:tr>
      <w:tr w:rsidR="00005022" w:rsidRPr="007C4D65" w14:paraId="6BF1E353" w14:textId="77777777" w:rsidTr="00BC37DE">
        <w:trPr>
          <w:trHeight w:val="567"/>
          <w:jc w:val="center"/>
        </w:trPr>
        <w:tc>
          <w:tcPr>
            <w:tcW w:w="1376" w:type="pct"/>
            <w:shd w:val="clear" w:color="auto" w:fill="009D73"/>
            <w:vAlign w:val="center"/>
          </w:tcPr>
          <w:p w14:paraId="06E64F60"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 xml:space="preserve">Description of the measure with general area of intervention </w:t>
            </w:r>
          </w:p>
        </w:tc>
        <w:tc>
          <w:tcPr>
            <w:tcW w:w="3624" w:type="pct"/>
            <w:gridSpan w:val="3"/>
            <w:shd w:val="clear" w:color="auto" w:fill="FFFFFF"/>
            <w:vAlign w:val="center"/>
          </w:tcPr>
          <w:p w14:paraId="4C7FBD10" w14:textId="66049200"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This measure aims </w:t>
            </w:r>
            <w:r w:rsidR="00D82FD5" w:rsidRPr="007C4D65">
              <w:rPr>
                <w:rFonts w:asciiTheme="minorHAnsi" w:eastAsiaTheme="minorHAnsi" w:hAnsiTheme="minorHAnsi" w:cstheme="minorHAnsi"/>
                <w:sz w:val="18"/>
                <w:szCs w:val="22"/>
                <w:lang w:eastAsia="en-US"/>
              </w:rPr>
              <w:t>at</w:t>
            </w:r>
            <w:r w:rsidRPr="007C4D65">
              <w:rPr>
                <w:rFonts w:asciiTheme="minorHAnsi" w:eastAsiaTheme="minorHAnsi" w:hAnsiTheme="minorHAnsi" w:cstheme="minorHAnsi"/>
                <w:sz w:val="18"/>
                <w:szCs w:val="22"/>
                <w:lang w:eastAsia="en-US"/>
              </w:rPr>
              <w:t xml:space="preserve"> strengthen</w:t>
            </w:r>
            <w:r w:rsidR="00D82FD5" w:rsidRPr="007C4D65">
              <w:rPr>
                <w:rFonts w:asciiTheme="minorHAnsi" w:eastAsiaTheme="minorHAnsi" w:hAnsiTheme="minorHAnsi" w:cstheme="minorHAnsi"/>
                <w:sz w:val="18"/>
                <w:szCs w:val="22"/>
                <w:lang w:eastAsia="en-US"/>
              </w:rPr>
              <w:t>ing</w:t>
            </w:r>
            <w:r w:rsidRPr="007C4D65">
              <w:rPr>
                <w:rFonts w:asciiTheme="minorHAnsi" w:eastAsiaTheme="minorHAnsi" w:hAnsiTheme="minorHAnsi" w:cstheme="minorHAnsi"/>
                <w:sz w:val="18"/>
                <w:szCs w:val="22"/>
                <w:lang w:eastAsia="en-US"/>
              </w:rPr>
              <w:t xml:space="preserve"> the waste market with the view of efficiently using secondary row materials and optimising the waste management through targeted actions. This measure involves the following areas of intervention:</w:t>
            </w:r>
          </w:p>
          <w:p w14:paraId="5B84E893" w14:textId="7ADA857A" w:rsidR="00005022" w:rsidRPr="007C4D65" w:rsidRDefault="00005022">
            <w:pPr>
              <w:numPr>
                <w:ilvl w:val="0"/>
                <w:numId w:val="107"/>
              </w:numPr>
              <w:spacing w:before="40" w:after="40" w:line="276" w:lineRule="auto"/>
              <w:ind w:left="360"/>
              <w:contextualSpacing/>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Initiating a waste exchange</w:t>
            </w:r>
            <w:r w:rsidR="00CD3560" w:rsidRPr="007C4D65">
              <w:rPr>
                <w:rFonts w:asciiTheme="minorHAnsi" w:eastAsiaTheme="minorHAnsi" w:hAnsiTheme="minorHAnsi" w:cstheme="minorHAnsi"/>
                <w:b/>
                <w:sz w:val="18"/>
                <w:szCs w:val="22"/>
                <w:lang w:eastAsia="en-US"/>
              </w:rPr>
              <w:t>:</w:t>
            </w:r>
          </w:p>
          <w:p w14:paraId="14DB4079" w14:textId="3ED03C61"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Creating a multi-stakeholder platform for cooperation which will gather government authorities, associations of businessmen/chambers of commerce, private sector, system operators, funds, donors with the view of strengthening the waste </w:t>
            </w:r>
            <w:proofErr w:type="gramStart"/>
            <w:r w:rsidRPr="007C4D65">
              <w:rPr>
                <w:rFonts w:asciiTheme="minorHAnsi" w:eastAsiaTheme="minorHAnsi" w:hAnsiTheme="minorHAnsi" w:cstheme="minorHAnsi"/>
                <w:sz w:val="18"/>
                <w:szCs w:val="22"/>
                <w:lang w:eastAsia="en-US"/>
              </w:rPr>
              <w:t>market</w:t>
            </w:r>
            <w:r w:rsidR="00BB12DE" w:rsidRPr="007C4D65">
              <w:rPr>
                <w:rFonts w:asciiTheme="minorHAnsi" w:eastAsiaTheme="minorHAnsi" w:hAnsiTheme="minorHAnsi" w:cstheme="minorHAnsi"/>
                <w:sz w:val="18"/>
                <w:szCs w:val="22"/>
                <w:lang w:eastAsia="en-US"/>
              </w:rPr>
              <w:t>;</w:t>
            </w:r>
            <w:proofErr w:type="gramEnd"/>
          </w:p>
          <w:p w14:paraId="3A45191B" w14:textId="55A93BF7"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Preparation of technological requirements which must be satisfied by a specific type of waste to be eligible for </w:t>
            </w:r>
            <w:proofErr w:type="gramStart"/>
            <w:r w:rsidRPr="007C4D65">
              <w:rPr>
                <w:rFonts w:asciiTheme="minorHAnsi" w:eastAsiaTheme="minorHAnsi" w:hAnsiTheme="minorHAnsi" w:cstheme="minorHAnsi"/>
                <w:sz w:val="18"/>
                <w:szCs w:val="22"/>
                <w:lang w:eastAsia="en-US"/>
              </w:rPr>
              <w:t>recycling</w:t>
            </w:r>
            <w:r w:rsidR="00BB12DE" w:rsidRPr="007C4D65">
              <w:rPr>
                <w:rFonts w:asciiTheme="minorHAnsi" w:eastAsia="Calibri" w:hAnsiTheme="minorHAnsi" w:cstheme="minorHAnsi"/>
                <w:sz w:val="18"/>
                <w:szCs w:val="18"/>
                <w:lang w:eastAsia="en-US"/>
              </w:rPr>
              <w:t>;</w:t>
            </w:r>
            <w:proofErr w:type="gramEnd"/>
          </w:p>
          <w:p w14:paraId="07E0EEAA" w14:textId="1AA76CC6"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Setting up a waste exchange and creating an IT platform of the system offer and demand</w:t>
            </w:r>
            <w:r w:rsidR="00BB12DE" w:rsidRPr="007C4D65">
              <w:rPr>
                <w:rFonts w:asciiTheme="minorHAnsi" w:eastAsia="Calibri" w:hAnsiTheme="minorHAnsi" w:cstheme="minorHAnsi"/>
                <w:sz w:val="18"/>
                <w:szCs w:val="18"/>
                <w:lang w:eastAsia="en-US"/>
              </w:rPr>
              <w:t>.</w:t>
            </w:r>
          </w:p>
          <w:p w14:paraId="5B3098AB" w14:textId="7C30E552" w:rsidR="00005022" w:rsidRPr="007C4D65" w:rsidRDefault="00005022">
            <w:pPr>
              <w:numPr>
                <w:ilvl w:val="0"/>
                <w:numId w:val="107"/>
              </w:numPr>
              <w:spacing w:before="40" w:after="40" w:line="276" w:lineRule="auto"/>
              <w:ind w:left="360"/>
              <w:contextualSpacing/>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Providing financial support to recycling industry</w:t>
            </w:r>
            <w:r w:rsidR="00CD3560" w:rsidRPr="007C4D65">
              <w:rPr>
                <w:rFonts w:asciiTheme="minorHAnsi" w:eastAsiaTheme="minorHAnsi" w:hAnsiTheme="minorHAnsi" w:cstheme="minorHAnsi"/>
                <w:b/>
                <w:sz w:val="18"/>
                <w:szCs w:val="22"/>
                <w:lang w:eastAsia="en-US"/>
              </w:rPr>
              <w:t>:</w:t>
            </w:r>
          </w:p>
          <w:p w14:paraId="725DB8B3" w14:textId="2404A9DE"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Re-initiating the “revolving fund” for recycling industry with </w:t>
            </w:r>
            <w:bookmarkStart w:id="238" w:name="_Hlk115944122"/>
            <w:r w:rsidRPr="007C4D65">
              <w:rPr>
                <w:rFonts w:asciiTheme="minorHAnsi" w:eastAsiaTheme="minorHAnsi" w:hAnsiTheme="minorHAnsi" w:cstheme="minorHAnsi"/>
                <w:sz w:val="18"/>
                <w:szCs w:val="22"/>
                <w:lang w:eastAsia="en-US"/>
              </w:rPr>
              <w:t xml:space="preserve">the Environmental Protection Fund of </w:t>
            </w:r>
            <w:r w:rsidR="00CE0A32" w:rsidRPr="007C4D65">
              <w:rPr>
                <w:rFonts w:asciiTheme="minorHAnsi" w:eastAsiaTheme="minorHAnsi" w:hAnsiTheme="minorHAnsi" w:cstheme="minorHAnsi"/>
                <w:sz w:val="18"/>
                <w:szCs w:val="22"/>
                <w:lang w:eastAsia="en-US"/>
              </w:rPr>
              <w:t>the Federation of BiH</w:t>
            </w:r>
            <w:r w:rsidRPr="007C4D65">
              <w:rPr>
                <w:rFonts w:asciiTheme="minorHAnsi" w:eastAsiaTheme="minorHAnsi" w:hAnsiTheme="minorHAnsi" w:cstheme="minorHAnsi"/>
                <w:sz w:val="18"/>
                <w:szCs w:val="22"/>
                <w:lang w:eastAsia="en-US"/>
              </w:rPr>
              <w:t xml:space="preserve"> </w:t>
            </w:r>
            <w:bookmarkEnd w:id="238"/>
            <w:r w:rsidRPr="007C4D65">
              <w:rPr>
                <w:rFonts w:asciiTheme="minorHAnsi" w:eastAsiaTheme="minorHAnsi" w:hAnsiTheme="minorHAnsi" w:cstheme="minorHAnsi"/>
                <w:sz w:val="18"/>
                <w:szCs w:val="22"/>
                <w:lang w:eastAsia="en-US"/>
              </w:rPr>
              <w:t xml:space="preserve">and securing funds from international donors </w:t>
            </w:r>
            <w:r w:rsidR="00CE0A32" w:rsidRPr="007C4D65">
              <w:rPr>
                <w:rFonts w:asciiTheme="minorHAnsi" w:eastAsiaTheme="minorHAnsi" w:hAnsiTheme="minorHAnsi" w:cstheme="minorHAnsi"/>
                <w:sz w:val="18"/>
                <w:szCs w:val="22"/>
                <w:lang w:eastAsia="en-US"/>
              </w:rPr>
              <w:t>to support</w:t>
            </w:r>
            <w:r w:rsidRPr="007C4D65">
              <w:rPr>
                <w:rFonts w:asciiTheme="minorHAnsi" w:eastAsiaTheme="minorHAnsi" w:hAnsiTheme="minorHAnsi" w:cstheme="minorHAnsi"/>
                <w:sz w:val="18"/>
                <w:szCs w:val="22"/>
                <w:lang w:eastAsia="en-US"/>
              </w:rPr>
              <w:t xml:space="preserve"> the </w:t>
            </w:r>
            <w:proofErr w:type="gramStart"/>
            <w:r w:rsidR="00CE0A32" w:rsidRPr="007C4D65">
              <w:rPr>
                <w:rFonts w:asciiTheme="minorHAnsi" w:eastAsiaTheme="minorHAnsi" w:hAnsiTheme="minorHAnsi" w:cstheme="minorHAnsi"/>
                <w:sz w:val="18"/>
                <w:szCs w:val="22"/>
                <w:lang w:eastAsia="en-US"/>
              </w:rPr>
              <w:t>F</w:t>
            </w:r>
            <w:r w:rsidRPr="007C4D65">
              <w:rPr>
                <w:rFonts w:asciiTheme="minorHAnsi" w:eastAsiaTheme="minorHAnsi" w:hAnsiTheme="minorHAnsi" w:cstheme="minorHAnsi"/>
                <w:sz w:val="18"/>
                <w:szCs w:val="22"/>
                <w:lang w:eastAsia="en-US"/>
              </w:rPr>
              <w:t>und</w:t>
            </w:r>
            <w:r w:rsidR="00BB12DE" w:rsidRPr="007C4D65">
              <w:rPr>
                <w:rFonts w:asciiTheme="minorHAnsi" w:eastAsiaTheme="minorHAnsi" w:hAnsiTheme="minorHAnsi" w:cstheme="minorHAnsi"/>
                <w:sz w:val="18"/>
                <w:szCs w:val="22"/>
                <w:lang w:eastAsia="en-US"/>
              </w:rPr>
              <w:t>;</w:t>
            </w:r>
            <w:proofErr w:type="gramEnd"/>
          </w:p>
          <w:p w14:paraId="1083B067" w14:textId="61F57D7E" w:rsidR="00005022" w:rsidRPr="007C4D65" w:rsidRDefault="00005022">
            <w:pPr>
              <w:numPr>
                <w:ilvl w:val="0"/>
                <w:numId w:val="10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Designing financial programmes </w:t>
            </w:r>
            <w:r w:rsidR="00CE0A32" w:rsidRPr="007C4D65">
              <w:rPr>
                <w:rFonts w:asciiTheme="minorHAnsi" w:eastAsiaTheme="minorHAnsi" w:hAnsiTheme="minorHAnsi" w:cstheme="minorHAnsi"/>
                <w:sz w:val="18"/>
                <w:szCs w:val="22"/>
                <w:lang w:eastAsia="en-US"/>
              </w:rPr>
              <w:t>to</w:t>
            </w:r>
            <w:r w:rsidRPr="007C4D65">
              <w:rPr>
                <w:rFonts w:asciiTheme="minorHAnsi" w:eastAsiaTheme="minorHAnsi" w:hAnsiTheme="minorHAnsi" w:cstheme="minorHAnsi"/>
                <w:sz w:val="18"/>
                <w:szCs w:val="22"/>
                <w:lang w:eastAsia="en-US"/>
              </w:rPr>
              <w:t xml:space="preserve"> support the development of the recycling </w:t>
            </w:r>
            <w:proofErr w:type="gramStart"/>
            <w:r w:rsidRPr="007C4D65">
              <w:rPr>
                <w:rFonts w:asciiTheme="minorHAnsi" w:eastAsiaTheme="minorHAnsi" w:hAnsiTheme="minorHAnsi" w:cstheme="minorHAnsi"/>
                <w:sz w:val="18"/>
                <w:szCs w:val="22"/>
                <w:lang w:eastAsia="en-US"/>
              </w:rPr>
              <w:t>industry</w:t>
            </w:r>
            <w:r w:rsidR="00BB12DE" w:rsidRPr="007C4D65">
              <w:rPr>
                <w:rFonts w:asciiTheme="minorHAnsi" w:eastAsiaTheme="minorHAnsi" w:hAnsiTheme="minorHAnsi" w:cstheme="minorHAnsi"/>
                <w:sz w:val="18"/>
                <w:szCs w:val="22"/>
                <w:lang w:eastAsia="en-US"/>
              </w:rPr>
              <w:t>;</w:t>
            </w:r>
            <w:proofErr w:type="gramEnd"/>
          </w:p>
          <w:p w14:paraId="27131F2F" w14:textId="2C3FA1EB" w:rsidR="00005022" w:rsidRPr="007C4D65" w:rsidRDefault="00005022">
            <w:pPr>
              <w:numPr>
                <w:ilvl w:val="0"/>
                <w:numId w:val="107"/>
              </w:numPr>
              <w:spacing w:before="40" w:after="40" w:line="276" w:lineRule="auto"/>
              <w:ind w:left="360"/>
              <w:contextualSpacing/>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Integration of informal collectors into the waste management system</w:t>
            </w:r>
            <w:r w:rsidR="00CD3560" w:rsidRPr="007C4D65">
              <w:rPr>
                <w:rFonts w:asciiTheme="minorHAnsi" w:eastAsiaTheme="minorHAnsi" w:hAnsiTheme="minorHAnsi" w:cstheme="minorHAnsi"/>
                <w:b/>
                <w:sz w:val="18"/>
                <w:szCs w:val="22"/>
                <w:lang w:eastAsia="en-US"/>
              </w:rPr>
              <w:t>:</w:t>
            </w:r>
          </w:p>
          <w:p w14:paraId="42E064D2" w14:textId="3588A53B" w:rsidR="00BB12DE" w:rsidRPr="007C4D65" w:rsidRDefault="00005022" w:rsidP="00BB12DE">
            <w:pPr>
              <w:numPr>
                <w:ilvl w:val="0"/>
                <w:numId w:val="105"/>
              </w:numPr>
              <w:spacing w:before="40" w:after="40" w:line="276" w:lineRule="auto"/>
              <w:ind w:left="723"/>
              <w:contextualSpacing/>
              <w:rPr>
                <w:rFonts w:asciiTheme="minorHAnsi" w:eastAsia="Calibri" w:hAnsiTheme="minorHAnsi" w:cstheme="minorHAnsi"/>
                <w:b/>
                <w:bCs/>
                <w:sz w:val="18"/>
                <w:szCs w:val="18"/>
                <w:lang w:eastAsia="en-US"/>
              </w:rPr>
            </w:pPr>
            <w:r w:rsidRPr="007C4D65">
              <w:rPr>
                <w:rFonts w:asciiTheme="minorHAnsi" w:eastAsiaTheme="minorHAnsi" w:hAnsiTheme="minorHAnsi" w:cstheme="minorHAnsi"/>
                <w:sz w:val="18"/>
                <w:szCs w:val="22"/>
                <w:lang w:eastAsia="en-US"/>
              </w:rPr>
              <w:lastRenderedPageBreak/>
              <w:t xml:space="preserve">Integration of informal collectors, including the Roma population, in the multi-stakeholder platform for cooperation with the view of exploring options for legalisation and formalisation of their integration in the waste management </w:t>
            </w:r>
            <w:proofErr w:type="gramStart"/>
            <w:r w:rsidRPr="007C4D65">
              <w:rPr>
                <w:rFonts w:asciiTheme="minorHAnsi" w:eastAsiaTheme="minorHAnsi" w:hAnsiTheme="minorHAnsi" w:cstheme="minorHAnsi"/>
                <w:sz w:val="18"/>
                <w:szCs w:val="22"/>
                <w:lang w:eastAsia="en-US"/>
              </w:rPr>
              <w:t>system</w:t>
            </w:r>
            <w:r w:rsidR="00BB12DE" w:rsidRPr="007C4D65">
              <w:rPr>
                <w:rFonts w:asciiTheme="minorHAnsi" w:eastAsia="Calibri" w:hAnsiTheme="minorHAnsi" w:cstheme="minorHAnsi"/>
                <w:b/>
                <w:bCs/>
                <w:sz w:val="18"/>
                <w:szCs w:val="18"/>
                <w:lang w:eastAsia="en-US"/>
              </w:rPr>
              <w:t>;</w:t>
            </w:r>
            <w:proofErr w:type="gramEnd"/>
          </w:p>
          <w:p w14:paraId="4FB849BE" w14:textId="56379336" w:rsidR="00005022" w:rsidRPr="007C4D65" w:rsidRDefault="00005022" w:rsidP="00BB12DE">
            <w:pPr>
              <w:numPr>
                <w:ilvl w:val="0"/>
                <w:numId w:val="105"/>
              </w:numPr>
              <w:spacing w:before="40" w:after="40" w:line="276" w:lineRule="auto"/>
              <w:ind w:left="723"/>
              <w:contextualSpacing/>
              <w:rPr>
                <w:rFonts w:asciiTheme="minorHAnsi" w:eastAsia="Calibri" w:hAnsiTheme="minorHAnsi" w:cstheme="minorHAnsi"/>
                <w:b/>
                <w:bCs/>
                <w:sz w:val="18"/>
                <w:szCs w:val="18"/>
                <w:lang w:eastAsia="en-US"/>
              </w:rPr>
            </w:pPr>
            <w:r w:rsidRPr="007C4D65">
              <w:rPr>
                <w:rFonts w:asciiTheme="minorHAnsi" w:eastAsiaTheme="minorHAnsi" w:hAnsiTheme="minorHAnsi" w:cstheme="minorHAnsi"/>
                <w:sz w:val="18"/>
                <w:szCs w:val="22"/>
                <w:lang w:eastAsia="en-US"/>
              </w:rPr>
              <w:t>Developing a roadmap and recommendations for municipalities on the integration of informal collectors into the waste management system</w:t>
            </w:r>
            <w:r w:rsidR="00BB12DE" w:rsidRPr="007C4D65">
              <w:rPr>
                <w:rFonts w:asciiTheme="minorHAnsi" w:eastAsia="Calibri" w:hAnsiTheme="minorHAnsi" w:cstheme="minorHAnsi"/>
                <w:b/>
                <w:bCs/>
                <w:sz w:val="18"/>
                <w:szCs w:val="18"/>
                <w:lang w:eastAsia="en-US"/>
              </w:rPr>
              <w:t>.</w:t>
            </w:r>
          </w:p>
        </w:tc>
      </w:tr>
      <w:tr w:rsidR="00005022" w:rsidRPr="007C4D65" w14:paraId="2250E9D0" w14:textId="77777777" w:rsidTr="00BC37DE">
        <w:trPr>
          <w:trHeight w:val="567"/>
          <w:jc w:val="center"/>
        </w:trPr>
        <w:tc>
          <w:tcPr>
            <w:tcW w:w="1376" w:type="pct"/>
            <w:shd w:val="clear" w:color="auto" w:fill="009D73"/>
            <w:vAlign w:val="center"/>
          </w:tcPr>
          <w:p w14:paraId="39AAD72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Strategic projects</w:t>
            </w:r>
          </w:p>
        </w:tc>
        <w:tc>
          <w:tcPr>
            <w:tcW w:w="3624" w:type="pct"/>
            <w:gridSpan w:val="3"/>
            <w:shd w:val="clear" w:color="auto" w:fill="FFFFFF" w:themeFill="background1"/>
            <w:vAlign w:val="center"/>
          </w:tcPr>
          <w:p w14:paraId="6A0D7BBD"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w:t>
            </w:r>
          </w:p>
        </w:tc>
      </w:tr>
      <w:tr w:rsidR="00005022" w:rsidRPr="007C4D65" w14:paraId="5F00B338" w14:textId="77777777" w:rsidTr="00BC37DE">
        <w:trPr>
          <w:trHeight w:val="567"/>
          <w:jc w:val="center"/>
        </w:trPr>
        <w:tc>
          <w:tcPr>
            <w:tcW w:w="1376" w:type="pct"/>
            <w:shd w:val="clear" w:color="auto" w:fill="009D73"/>
            <w:vAlign w:val="center"/>
          </w:tcPr>
          <w:p w14:paraId="1526967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 for monitoring of results</w:t>
            </w:r>
          </w:p>
        </w:tc>
        <w:tc>
          <w:tcPr>
            <w:tcW w:w="1182" w:type="pct"/>
            <w:shd w:val="clear" w:color="auto" w:fill="009D73"/>
            <w:vAlign w:val="center"/>
          </w:tcPr>
          <w:p w14:paraId="0467657F"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0DAD5BD5"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20" w:type="pct"/>
            <w:shd w:val="clear" w:color="auto" w:fill="009D73"/>
            <w:vAlign w:val="center"/>
          </w:tcPr>
          <w:p w14:paraId="4EA8B1AD"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Baseline value</w:t>
            </w:r>
          </w:p>
          <w:p w14:paraId="38B515A3"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(2021)</w:t>
            </w:r>
          </w:p>
        </w:tc>
        <w:tc>
          <w:tcPr>
            <w:tcW w:w="1222" w:type="pct"/>
            <w:shd w:val="clear" w:color="auto" w:fill="009D73"/>
            <w:vAlign w:val="center"/>
          </w:tcPr>
          <w:p w14:paraId="160BD540"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value</w:t>
            </w:r>
          </w:p>
        </w:tc>
      </w:tr>
      <w:tr w:rsidR="00005022" w:rsidRPr="007C4D65" w14:paraId="0227FCDC" w14:textId="77777777" w:rsidTr="00BC37DE">
        <w:trPr>
          <w:trHeight w:val="567"/>
          <w:jc w:val="center"/>
        </w:trPr>
        <w:tc>
          <w:tcPr>
            <w:tcW w:w="1376" w:type="pct"/>
            <w:vMerge w:val="restart"/>
            <w:shd w:val="clear" w:color="auto" w:fill="009D73"/>
            <w:vAlign w:val="center"/>
          </w:tcPr>
          <w:p w14:paraId="38E8434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182" w:type="pct"/>
            <w:shd w:val="clear" w:color="auto" w:fill="FFFFFF"/>
            <w:vAlign w:val="center"/>
          </w:tcPr>
          <w:p w14:paraId="416B10FB"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a. Status of establishment of the Waste Exchange</w:t>
            </w:r>
          </w:p>
        </w:tc>
        <w:tc>
          <w:tcPr>
            <w:tcW w:w="1220" w:type="pct"/>
            <w:shd w:val="clear" w:color="auto" w:fill="FFFFFF"/>
            <w:vAlign w:val="center"/>
          </w:tcPr>
          <w:p w14:paraId="43773A82"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The Waste Exchange has not been formed</w:t>
            </w:r>
          </w:p>
        </w:tc>
        <w:tc>
          <w:tcPr>
            <w:tcW w:w="1222" w:type="pct"/>
            <w:shd w:val="clear" w:color="auto" w:fill="FFFFFF"/>
            <w:vAlign w:val="center"/>
          </w:tcPr>
          <w:p w14:paraId="500C7873" w14:textId="43B50E6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Waste Exchange </w:t>
            </w:r>
            <w:r w:rsidR="00CE0A32" w:rsidRPr="007C4D65">
              <w:rPr>
                <w:rFonts w:asciiTheme="minorHAnsi" w:eastAsiaTheme="minorHAnsi" w:hAnsiTheme="minorHAnsi" w:cstheme="minorHAnsi"/>
                <w:sz w:val="18"/>
                <w:szCs w:val="22"/>
                <w:lang w:eastAsia="en-US"/>
              </w:rPr>
              <w:t>up and running</w:t>
            </w:r>
          </w:p>
          <w:p w14:paraId="0975AAD9"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(2027)</w:t>
            </w:r>
          </w:p>
        </w:tc>
      </w:tr>
      <w:tr w:rsidR="00005022" w:rsidRPr="007C4D65" w14:paraId="17B1C75B" w14:textId="77777777" w:rsidTr="00BC37DE">
        <w:trPr>
          <w:trHeight w:val="567"/>
          <w:jc w:val="center"/>
        </w:trPr>
        <w:tc>
          <w:tcPr>
            <w:tcW w:w="1376" w:type="pct"/>
            <w:vMerge/>
            <w:shd w:val="clear" w:color="auto" w:fill="009D73"/>
            <w:vAlign w:val="center"/>
          </w:tcPr>
          <w:p w14:paraId="531C35F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182" w:type="pct"/>
            <w:shd w:val="clear" w:color="auto" w:fill="FFFFFF"/>
            <w:vAlign w:val="center"/>
          </w:tcPr>
          <w:p w14:paraId="7C4F782F"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b. Investments in recycling industry from the revolving fund</w:t>
            </w:r>
          </w:p>
        </w:tc>
        <w:tc>
          <w:tcPr>
            <w:tcW w:w="1220" w:type="pct"/>
            <w:shd w:val="clear" w:color="auto" w:fill="FFFFFF"/>
            <w:vAlign w:val="center"/>
          </w:tcPr>
          <w:p w14:paraId="0FC2950B"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0</w:t>
            </w:r>
          </w:p>
        </w:tc>
        <w:tc>
          <w:tcPr>
            <w:tcW w:w="1222" w:type="pct"/>
            <w:shd w:val="clear" w:color="auto" w:fill="FFFFFF"/>
            <w:vAlign w:val="center"/>
          </w:tcPr>
          <w:p w14:paraId="36DC851D" w14:textId="4485B02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 xml:space="preserve">Continued growth of annual </w:t>
            </w:r>
            <w:r w:rsidR="00CE0A32" w:rsidRPr="007C4D65">
              <w:rPr>
                <w:rFonts w:asciiTheme="minorHAnsi" w:eastAsia="Calibri" w:hAnsiTheme="minorHAnsi" w:cstheme="minorHAnsi"/>
                <w:sz w:val="18"/>
                <w:lang w:eastAsia="en-US"/>
              </w:rPr>
              <w:t>allocations</w:t>
            </w:r>
            <w:r w:rsidRPr="007C4D65">
              <w:rPr>
                <w:rFonts w:asciiTheme="minorHAnsi" w:eastAsia="Calibri" w:hAnsiTheme="minorHAnsi" w:cstheme="minorHAnsi"/>
                <w:sz w:val="18"/>
                <w:lang w:eastAsia="en-US"/>
              </w:rPr>
              <w:t xml:space="preserve"> from the revolving fund</w:t>
            </w:r>
          </w:p>
          <w:p w14:paraId="44EB7344"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w:t>
            </w:r>
            <w:proofErr w:type="gramStart"/>
            <w:r w:rsidRPr="007C4D65">
              <w:rPr>
                <w:rFonts w:asciiTheme="minorHAnsi" w:eastAsia="Calibri" w:hAnsiTheme="minorHAnsi" w:cstheme="minorHAnsi"/>
                <w:sz w:val="18"/>
                <w:lang w:eastAsia="en-US"/>
              </w:rPr>
              <w:t>annually</w:t>
            </w:r>
            <w:proofErr w:type="gramEnd"/>
            <w:r w:rsidRPr="007C4D65">
              <w:rPr>
                <w:rFonts w:asciiTheme="minorHAnsi" w:eastAsia="Calibri" w:hAnsiTheme="minorHAnsi" w:cstheme="minorHAnsi"/>
                <w:sz w:val="18"/>
                <w:lang w:eastAsia="en-US"/>
              </w:rPr>
              <w:t>, from 2024 until the end of the planning period)</w:t>
            </w:r>
          </w:p>
        </w:tc>
      </w:tr>
      <w:tr w:rsidR="00005022" w:rsidRPr="007C4D65" w14:paraId="24037B6A" w14:textId="77777777" w:rsidTr="00BC37DE">
        <w:trPr>
          <w:trHeight w:val="567"/>
          <w:jc w:val="center"/>
        </w:trPr>
        <w:tc>
          <w:tcPr>
            <w:tcW w:w="1376" w:type="pct"/>
            <w:vMerge/>
            <w:shd w:val="clear" w:color="auto" w:fill="009D73"/>
            <w:vAlign w:val="center"/>
          </w:tcPr>
          <w:p w14:paraId="1A39A4C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182" w:type="pct"/>
            <w:shd w:val="clear" w:color="auto" w:fill="FFFFFF"/>
            <w:vAlign w:val="center"/>
          </w:tcPr>
          <w:p w14:paraId="307270E2"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ç Status of informal collectors in the recycling system</w:t>
            </w:r>
          </w:p>
        </w:tc>
        <w:tc>
          <w:tcPr>
            <w:tcW w:w="1220" w:type="pct"/>
            <w:shd w:val="clear" w:color="auto" w:fill="FFFFFF"/>
            <w:vAlign w:val="center"/>
          </w:tcPr>
          <w:p w14:paraId="31614FBD" w14:textId="77777777" w:rsidR="00005022" w:rsidRPr="007C4D65" w:rsidRDefault="00005022" w:rsidP="00005022">
            <w:pPr>
              <w:spacing w:before="40" w:after="40" w:line="276" w:lineRule="auto"/>
              <w:rPr>
                <w:rFonts w:ascii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Informal collectors are not formally recognised as a part of the recycling system</w:t>
            </w:r>
          </w:p>
        </w:tc>
        <w:tc>
          <w:tcPr>
            <w:tcW w:w="1222" w:type="pct"/>
            <w:shd w:val="clear" w:color="auto" w:fill="FFFFFF"/>
            <w:vAlign w:val="center"/>
          </w:tcPr>
          <w:p w14:paraId="7D3CE3FE"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lang w:eastAsia="en-US"/>
              </w:rPr>
              <w:t>Informal collectors are formally recognised as a part of the recycling system (2026)</w:t>
            </w:r>
          </w:p>
        </w:tc>
      </w:tr>
      <w:tr w:rsidR="00005022" w:rsidRPr="007C4D65" w14:paraId="7732941E" w14:textId="77777777" w:rsidTr="00BC37DE">
        <w:trPr>
          <w:trHeight w:val="567"/>
          <w:jc w:val="center"/>
        </w:trPr>
        <w:tc>
          <w:tcPr>
            <w:tcW w:w="1376" w:type="pct"/>
            <w:shd w:val="clear" w:color="auto" w:fill="009D73"/>
            <w:vAlign w:val="center"/>
          </w:tcPr>
          <w:p w14:paraId="34A259F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Effect on the development and contribution of the measure to the priority</w:t>
            </w:r>
          </w:p>
        </w:tc>
        <w:tc>
          <w:tcPr>
            <w:tcW w:w="3624" w:type="pct"/>
            <w:gridSpan w:val="3"/>
            <w:shd w:val="clear" w:color="auto" w:fill="FFFFFF"/>
            <w:vAlign w:val="center"/>
          </w:tcPr>
          <w:p w14:paraId="53622502" w14:textId="0DF965DF" w:rsidR="00005022" w:rsidRPr="007C4D65" w:rsidRDefault="00CE0A3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Reduced amounts of waste, improved environmental protection and growth potential through increased activity of the private sector</w:t>
            </w:r>
          </w:p>
        </w:tc>
      </w:tr>
      <w:tr w:rsidR="00005022" w:rsidRPr="007C4D65" w14:paraId="5160101B" w14:textId="77777777" w:rsidTr="00BC37DE">
        <w:trPr>
          <w:trHeight w:val="443"/>
          <w:jc w:val="center"/>
        </w:trPr>
        <w:tc>
          <w:tcPr>
            <w:tcW w:w="1376" w:type="pct"/>
            <w:shd w:val="clear" w:color="auto" w:fill="009D73"/>
            <w:vAlign w:val="center"/>
          </w:tcPr>
          <w:p w14:paraId="6A692D4B" w14:textId="61EA8DDE"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Indicative financial projection, with specification of sources</w:t>
            </w:r>
          </w:p>
        </w:tc>
        <w:tc>
          <w:tcPr>
            <w:tcW w:w="3624" w:type="pct"/>
            <w:gridSpan w:val="3"/>
            <w:shd w:val="clear" w:color="auto" w:fill="FFFFFF"/>
            <w:vAlign w:val="center"/>
          </w:tcPr>
          <w:p w14:paraId="3D32888B" w14:textId="401DAE28" w:rsidR="00CE0A32" w:rsidRPr="007C4D65" w:rsidRDefault="00CE0A32" w:rsidP="00CE0A32">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Amount: BAM 98,954</w:t>
            </w:r>
          </w:p>
          <w:p w14:paraId="5FFB93C0" w14:textId="6182FBEB" w:rsidR="00005022" w:rsidRPr="007C4D65" w:rsidRDefault="00CE0A32" w:rsidP="00CE0A32">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100% </w:t>
            </w:r>
            <w:r w:rsidR="000E401F" w:rsidRPr="007C4D65">
              <w:rPr>
                <w:rFonts w:asciiTheme="minorHAnsi" w:hAnsiTheme="minorHAnsi" w:cstheme="minorHAnsi"/>
                <w:color w:val="000000" w:themeColor="text1"/>
                <w:sz w:val="18"/>
                <w:szCs w:val="18"/>
              </w:rPr>
              <w:t>government budget</w:t>
            </w:r>
          </w:p>
        </w:tc>
      </w:tr>
      <w:tr w:rsidR="00005022" w:rsidRPr="007C4D65" w14:paraId="17841E4E" w14:textId="77777777" w:rsidTr="00BC37DE">
        <w:trPr>
          <w:trHeight w:val="567"/>
          <w:jc w:val="center"/>
        </w:trPr>
        <w:tc>
          <w:tcPr>
            <w:tcW w:w="1376" w:type="pct"/>
            <w:shd w:val="clear" w:color="auto" w:fill="009D73"/>
            <w:vAlign w:val="center"/>
          </w:tcPr>
          <w:p w14:paraId="6D56B01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Period of the implementation of the measure</w:t>
            </w:r>
          </w:p>
        </w:tc>
        <w:tc>
          <w:tcPr>
            <w:tcW w:w="3624" w:type="pct"/>
            <w:gridSpan w:val="3"/>
            <w:shd w:val="clear" w:color="auto" w:fill="FFFFFF"/>
            <w:vAlign w:val="center"/>
          </w:tcPr>
          <w:p w14:paraId="31AEBC8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2024-2030</w:t>
            </w:r>
          </w:p>
        </w:tc>
      </w:tr>
      <w:tr w:rsidR="00005022" w:rsidRPr="007C4D65" w14:paraId="734CB09B" w14:textId="77777777" w:rsidTr="00BC37DE">
        <w:trPr>
          <w:trHeight w:val="567"/>
          <w:jc w:val="center"/>
        </w:trPr>
        <w:tc>
          <w:tcPr>
            <w:tcW w:w="1376" w:type="pct"/>
            <w:shd w:val="clear" w:color="auto" w:fill="009D73"/>
            <w:vAlign w:val="center"/>
          </w:tcPr>
          <w:p w14:paraId="428B48D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Institution responsible for coordination of the implementation of the measure</w:t>
            </w:r>
          </w:p>
        </w:tc>
        <w:tc>
          <w:tcPr>
            <w:tcW w:w="3624" w:type="pct"/>
            <w:gridSpan w:val="3"/>
            <w:shd w:val="clear" w:color="auto" w:fill="FFFFFF"/>
            <w:vAlign w:val="center"/>
          </w:tcPr>
          <w:p w14:paraId="747623EA" w14:textId="758EB15C"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  </w:t>
            </w:r>
          </w:p>
        </w:tc>
      </w:tr>
      <w:tr w:rsidR="00005022" w:rsidRPr="007C4D65" w14:paraId="10B584A8" w14:textId="77777777" w:rsidTr="00BC37DE">
        <w:trPr>
          <w:trHeight w:val="567"/>
          <w:jc w:val="center"/>
        </w:trPr>
        <w:tc>
          <w:tcPr>
            <w:tcW w:w="1376" w:type="pct"/>
            <w:shd w:val="clear" w:color="auto" w:fill="009D73"/>
            <w:vAlign w:val="center"/>
          </w:tcPr>
          <w:p w14:paraId="60201A0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Implementing institutions</w:t>
            </w:r>
          </w:p>
        </w:tc>
        <w:tc>
          <w:tcPr>
            <w:tcW w:w="3624" w:type="pct"/>
            <w:gridSpan w:val="3"/>
            <w:shd w:val="clear" w:color="auto" w:fill="FFFFFF"/>
            <w:vAlign w:val="center"/>
          </w:tcPr>
          <w:p w14:paraId="4A9351CA" w14:textId="1FA8A9B0"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 Environmental Protection Fund of </w:t>
            </w:r>
            <w:r w:rsidR="00CE0A32" w:rsidRPr="007C4D65">
              <w:rPr>
                <w:rFonts w:asciiTheme="minorHAnsi" w:eastAsiaTheme="minorHAnsi" w:hAnsiTheme="minorHAnsi" w:cstheme="minorHAnsi"/>
                <w:sz w:val="18"/>
                <w:szCs w:val="22"/>
                <w:lang w:eastAsia="en-US"/>
              </w:rPr>
              <w:t>the Federation of BiH</w:t>
            </w:r>
            <w:r w:rsidR="00005022" w:rsidRPr="007C4D65">
              <w:rPr>
                <w:rFonts w:asciiTheme="minorHAnsi" w:eastAsiaTheme="minorHAnsi" w:hAnsiTheme="minorHAnsi" w:cstheme="minorHAnsi"/>
                <w:sz w:val="18"/>
                <w:szCs w:val="22"/>
                <w:lang w:eastAsia="en-US"/>
              </w:rPr>
              <w:t>, cantonal and municipal authorities, utility companies</w:t>
            </w:r>
          </w:p>
        </w:tc>
      </w:tr>
      <w:tr w:rsidR="00005022" w:rsidRPr="007C4D65" w14:paraId="7124DC3B" w14:textId="77777777" w:rsidTr="00BC37DE">
        <w:trPr>
          <w:trHeight w:val="567"/>
          <w:jc w:val="center"/>
        </w:trPr>
        <w:tc>
          <w:tcPr>
            <w:tcW w:w="1376" w:type="pct"/>
            <w:shd w:val="clear" w:color="auto" w:fill="009D73"/>
            <w:vAlign w:val="center"/>
          </w:tcPr>
          <w:p w14:paraId="1EAEE571" w14:textId="2CCCFA30"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groups</w:t>
            </w:r>
          </w:p>
        </w:tc>
        <w:tc>
          <w:tcPr>
            <w:tcW w:w="3624" w:type="pct"/>
            <w:gridSpan w:val="3"/>
            <w:shd w:val="clear" w:color="auto" w:fill="FFFFFF"/>
            <w:vAlign w:val="center"/>
          </w:tcPr>
          <w:p w14:paraId="36A4F3A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Recycling industry, informal waste collectors</w:t>
            </w:r>
          </w:p>
        </w:tc>
      </w:tr>
    </w:tbl>
    <w:p w14:paraId="2E21BFF7" w14:textId="77777777" w:rsidR="00005022" w:rsidRPr="007C4D65" w:rsidRDefault="00005022" w:rsidP="00005022">
      <w:pPr>
        <w:spacing w:line="276" w:lineRule="auto"/>
        <w:rPr>
          <w:rFonts w:asciiTheme="minorHAnsi" w:eastAsiaTheme="minorHAnsi" w:hAnsiTheme="minorHAnsi" w:cstheme="minorHAnsi"/>
          <w:sz w:val="22"/>
          <w:szCs w:val="22"/>
          <w:lang w:eastAsia="en-US"/>
        </w:rPr>
      </w:pPr>
    </w:p>
    <w:tbl>
      <w:tblPr>
        <w:tblW w:w="4794"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0"/>
        <w:gridCol w:w="3156"/>
        <w:gridCol w:w="3266"/>
        <w:gridCol w:w="3271"/>
      </w:tblGrid>
      <w:tr w:rsidR="00005022" w:rsidRPr="007C4D65" w14:paraId="3BF7DFA1" w14:textId="77777777" w:rsidTr="00BC37DE">
        <w:trPr>
          <w:trHeight w:val="567"/>
          <w:jc w:val="center"/>
        </w:trPr>
        <w:tc>
          <w:tcPr>
            <w:tcW w:w="1376" w:type="pct"/>
            <w:shd w:val="clear" w:color="auto" w:fill="009D73"/>
            <w:vAlign w:val="center"/>
          </w:tcPr>
          <w:p w14:paraId="5FCE3C5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Link with the strategic goal</w:t>
            </w:r>
          </w:p>
        </w:tc>
        <w:tc>
          <w:tcPr>
            <w:tcW w:w="3624" w:type="pct"/>
            <w:gridSpan w:val="3"/>
            <w:shd w:val="clear" w:color="auto" w:fill="FFFFFF"/>
            <w:vAlign w:val="center"/>
          </w:tcPr>
          <w:p w14:paraId="05EEF9F5" w14:textId="7777777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 Reducing waste and increasing reuse of materials</w:t>
            </w:r>
          </w:p>
        </w:tc>
      </w:tr>
      <w:tr w:rsidR="00005022" w:rsidRPr="007C4D65" w14:paraId="25965169" w14:textId="77777777" w:rsidTr="00BC37DE">
        <w:trPr>
          <w:trHeight w:val="567"/>
          <w:jc w:val="center"/>
        </w:trPr>
        <w:tc>
          <w:tcPr>
            <w:tcW w:w="1376" w:type="pct"/>
            <w:shd w:val="clear" w:color="auto" w:fill="009D73"/>
            <w:vAlign w:val="center"/>
          </w:tcPr>
          <w:p w14:paraId="2F4B031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Priority</w:t>
            </w:r>
          </w:p>
        </w:tc>
        <w:tc>
          <w:tcPr>
            <w:tcW w:w="3624" w:type="pct"/>
            <w:gridSpan w:val="3"/>
            <w:shd w:val="clear" w:color="auto" w:fill="FFFFFF"/>
            <w:vAlign w:val="center"/>
          </w:tcPr>
          <w:p w14:paraId="6BC2A73A" w14:textId="77777777" w:rsidR="00005022" w:rsidRPr="007C4D65" w:rsidRDefault="00005022" w:rsidP="00005022">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2.6. Rehabilitate surfaces beneath inadequately disposed waste</w:t>
            </w:r>
          </w:p>
        </w:tc>
      </w:tr>
      <w:tr w:rsidR="00005022" w:rsidRPr="007C4D65" w14:paraId="5E391F59" w14:textId="77777777" w:rsidTr="00BC37DE">
        <w:trPr>
          <w:trHeight w:val="567"/>
          <w:jc w:val="center"/>
        </w:trPr>
        <w:tc>
          <w:tcPr>
            <w:tcW w:w="1376" w:type="pct"/>
            <w:shd w:val="clear" w:color="auto" w:fill="009D73"/>
            <w:vAlign w:val="center"/>
          </w:tcPr>
          <w:p w14:paraId="12BDEE0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Title of the measure</w:t>
            </w:r>
          </w:p>
        </w:tc>
        <w:tc>
          <w:tcPr>
            <w:tcW w:w="3624" w:type="pct"/>
            <w:gridSpan w:val="3"/>
            <w:shd w:val="clear" w:color="auto" w:fill="FFFFFF"/>
            <w:vAlign w:val="center"/>
          </w:tcPr>
          <w:p w14:paraId="1B60736F" w14:textId="7777777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 xml:space="preserve">2.6.1 Removing and rehabilitating abandoned landfills </w:t>
            </w:r>
          </w:p>
        </w:tc>
      </w:tr>
      <w:tr w:rsidR="00005022" w:rsidRPr="007C4D65" w14:paraId="474D0D9C" w14:textId="77777777" w:rsidTr="00BC37DE">
        <w:trPr>
          <w:trHeight w:val="567"/>
          <w:jc w:val="center"/>
        </w:trPr>
        <w:tc>
          <w:tcPr>
            <w:tcW w:w="1376" w:type="pct"/>
            <w:shd w:val="clear" w:color="auto" w:fill="009D73"/>
            <w:vAlign w:val="center"/>
          </w:tcPr>
          <w:p w14:paraId="507471B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 xml:space="preserve">Description of the measure with general area of intervention </w:t>
            </w:r>
          </w:p>
        </w:tc>
        <w:tc>
          <w:tcPr>
            <w:tcW w:w="3624" w:type="pct"/>
            <w:gridSpan w:val="3"/>
            <w:shd w:val="clear" w:color="auto" w:fill="FFFFFF"/>
            <w:vAlign w:val="center"/>
          </w:tcPr>
          <w:p w14:paraId="1E3C931E"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This measure aims at removing inadequately disposed waste and rehabilitating surfaces, including formal landfills in the competence of cantons, municipalities, and cities, and utility companies, so-called “black spots”, and abandoned industrial dump sites which frequently have no owner. The Federation of BiH should take the responsibility for their rehabilitation. This measure involves the following areas of intervention:</w:t>
            </w:r>
          </w:p>
          <w:p w14:paraId="14E49A80" w14:textId="541B3C20" w:rsidR="00005022" w:rsidRPr="007C4D65" w:rsidRDefault="00005022" w:rsidP="00005022">
            <w:pPr>
              <w:spacing w:before="40" w:after="40" w:line="276" w:lineRule="auto"/>
              <w:contextualSpacing/>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 xml:space="preserve">a. Updating the list and producing a catalogue of “hot spots”, including municipal and industrial waste dumpsites. </w:t>
            </w:r>
          </w:p>
          <w:p w14:paraId="2107E79C" w14:textId="77777777" w:rsidR="00005022" w:rsidRPr="007C4D65" w:rsidRDefault="00005022" w:rsidP="00005022">
            <w:p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b/>
                <w:sz w:val="18"/>
                <w:szCs w:val="22"/>
                <w:lang w:eastAsia="en-US"/>
              </w:rPr>
              <w:t>b. Preparing a feasibility study for rehabilitation of abandoned sites and their rehabilitation.</w:t>
            </w:r>
          </w:p>
        </w:tc>
      </w:tr>
      <w:tr w:rsidR="00005022" w:rsidRPr="007C4D65" w14:paraId="72DE5EA0" w14:textId="77777777" w:rsidTr="00BC37DE">
        <w:trPr>
          <w:trHeight w:val="567"/>
          <w:jc w:val="center"/>
        </w:trPr>
        <w:tc>
          <w:tcPr>
            <w:tcW w:w="1376" w:type="pct"/>
            <w:shd w:val="clear" w:color="auto" w:fill="009D73"/>
            <w:vAlign w:val="center"/>
          </w:tcPr>
          <w:p w14:paraId="720FED8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Strategic projects</w:t>
            </w:r>
          </w:p>
        </w:tc>
        <w:tc>
          <w:tcPr>
            <w:tcW w:w="3624" w:type="pct"/>
            <w:gridSpan w:val="3"/>
            <w:shd w:val="clear" w:color="auto" w:fill="FFFFFF" w:themeFill="background1"/>
            <w:vAlign w:val="center"/>
          </w:tcPr>
          <w:p w14:paraId="6817C49B"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w:t>
            </w:r>
          </w:p>
        </w:tc>
      </w:tr>
      <w:tr w:rsidR="00005022" w:rsidRPr="007C4D65" w14:paraId="15339DAD" w14:textId="77777777" w:rsidTr="00BC37DE">
        <w:trPr>
          <w:trHeight w:val="567"/>
          <w:jc w:val="center"/>
        </w:trPr>
        <w:tc>
          <w:tcPr>
            <w:tcW w:w="1376" w:type="pct"/>
            <w:vMerge w:val="restart"/>
            <w:shd w:val="clear" w:color="auto" w:fill="009D73"/>
            <w:vAlign w:val="center"/>
          </w:tcPr>
          <w:p w14:paraId="57E104A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 for monitoring of results</w:t>
            </w:r>
          </w:p>
        </w:tc>
        <w:tc>
          <w:tcPr>
            <w:tcW w:w="1180" w:type="pct"/>
            <w:shd w:val="clear" w:color="auto" w:fill="009D73"/>
            <w:vAlign w:val="center"/>
          </w:tcPr>
          <w:p w14:paraId="6E7D580E"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59A810EA"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21" w:type="pct"/>
            <w:shd w:val="clear" w:color="auto" w:fill="009D73"/>
            <w:vAlign w:val="center"/>
          </w:tcPr>
          <w:p w14:paraId="1F9DB65A"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Baseline value</w:t>
            </w:r>
          </w:p>
          <w:p w14:paraId="00697045"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(2021)</w:t>
            </w:r>
          </w:p>
        </w:tc>
        <w:tc>
          <w:tcPr>
            <w:tcW w:w="1223" w:type="pct"/>
            <w:shd w:val="clear" w:color="auto" w:fill="009D73"/>
            <w:vAlign w:val="center"/>
          </w:tcPr>
          <w:p w14:paraId="6804A4D0"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value</w:t>
            </w:r>
          </w:p>
        </w:tc>
      </w:tr>
      <w:tr w:rsidR="00005022" w:rsidRPr="007C4D65" w14:paraId="2BED4A8D" w14:textId="77777777" w:rsidTr="00BC37DE">
        <w:trPr>
          <w:trHeight w:val="227"/>
          <w:jc w:val="center"/>
        </w:trPr>
        <w:tc>
          <w:tcPr>
            <w:tcW w:w="1376" w:type="pct"/>
            <w:vMerge/>
            <w:shd w:val="clear" w:color="auto" w:fill="009D73"/>
            <w:vAlign w:val="center"/>
          </w:tcPr>
          <w:p w14:paraId="7834BD1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180" w:type="pct"/>
            <w:shd w:val="clear" w:color="auto" w:fill="FFFFFF"/>
            <w:vAlign w:val="center"/>
          </w:tcPr>
          <w:p w14:paraId="1A4784AF" w14:textId="3CAB137B"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a. Status of development of </w:t>
            </w:r>
            <w:r w:rsidR="00CE0A32" w:rsidRPr="007C4D65">
              <w:rPr>
                <w:rFonts w:asciiTheme="minorHAnsi" w:eastAsiaTheme="minorHAnsi" w:hAnsiTheme="minorHAnsi" w:cstheme="minorHAnsi"/>
                <w:sz w:val="18"/>
                <w:szCs w:val="22"/>
                <w:lang w:eastAsia="en-US"/>
              </w:rPr>
              <w:t>the</w:t>
            </w:r>
            <w:r w:rsidRPr="007C4D65">
              <w:rPr>
                <w:rFonts w:asciiTheme="minorHAnsi" w:eastAsiaTheme="minorHAnsi" w:hAnsiTheme="minorHAnsi" w:cstheme="minorHAnsi"/>
                <w:sz w:val="18"/>
                <w:szCs w:val="22"/>
                <w:lang w:eastAsia="en-US"/>
              </w:rPr>
              <w:t xml:space="preserve"> catalogue of hotspots</w:t>
            </w:r>
          </w:p>
        </w:tc>
        <w:tc>
          <w:tcPr>
            <w:tcW w:w="1221" w:type="pct"/>
            <w:shd w:val="clear" w:color="auto" w:fill="FFFFFF"/>
            <w:vAlign w:val="center"/>
          </w:tcPr>
          <w:p w14:paraId="44B9F954"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The catalogue of hotspots has not been developed</w:t>
            </w:r>
          </w:p>
        </w:tc>
        <w:tc>
          <w:tcPr>
            <w:tcW w:w="1223" w:type="pct"/>
            <w:shd w:val="clear" w:color="auto" w:fill="FFFFFF"/>
            <w:vAlign w:val="center"/>
          </w:tcPr>
          <w:p w14:paraId="2D9ED77F"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The catalogue of hotspots has been developed </w:t>
            </w:r>
          </w:p>
          <w:p w14:paraId="41BDDDA8"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(2025)</w:t>
            </w:r>
          </w:p>
        </w:tc>
      </w:tr>
      <w:tr w:rsidR="00005022" w:rsidRPr="007C4D65" w14:paraId="56FEBA21" w14:textId="77777777" w:rsidTr="00BC37DE">
        <w:trPr>
          <w:trHeight w:val="567"/>
          <w:jc w:val="center"/>
        </w:trPr>
        <w:tc>
          <w:tcPr>
            <w:tcW w:w="1376" w:type="pct"/>
            <w:vMerge/>
            <w:shd w:val="clear" w:color="auto" w:fill="009D73"/>
            <w:vAlign w:val="center"/>
          </w:tcPr>
          <w:p w14:paraId="4951D8D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180" w:type="pct"/>
            <w:shd w:val="clear" w:color="auto" w:fill="FFFFFF"/>
            <w:vAlign w:val="center"/>
          </w:tcPr>
          <w:p w14:paraId="63F987BA"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b. Number of abandoned landfills removed and rehabilitated</w:t>
            </w:r>
          </w:p>
        </w:tc>
        <w:tc>
          <w:tcPr>
            <w:tcW w:w="1221" w:type="pct"/>
            <w:shd w:val="clear" w:color="auto" w:fill="FFFFFF"/>
            <w:vAlign w:val="center"/>
          </w:tcPr>
          <w:p w14:paraId="76D8C48E"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0</w:t>
            </w:r>
          </w:p>
        </w:tc>
        <w:tc>
          <w:tcPr>
            <w:tcW w:w="1223" w:type="pct"/>
            <w:shd w:val="clear" w:color="auto" w:fill="FFFFFF"/>
            <w:vAlign w:val="center"/>
          </w:tcPr>
          <w:p w14:paraId="22EC1C19" w14:textId="75417FCF" w:rsidR="00005022" w:rsidRPr="007C4D65" w:rsidRDefault="00005022" w:rsidP="00BB12DE">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5</w:t>
            </w:r>
            <w:r w:rsidR="00BB12DE" w:rsidRPr="007C4D65">
              <w:rPr>
                <w:rFonts w:asciiTheme="minorHAnsi" w:eastAsiaTheme="minorHAnsi" w:hAnsiTheme="minorHAnsi" w:cstheme="minorHAnsi"/>
                <w:sz w:val="18"/>
                <w:szCs w:val="22"/>
                <w:lang w:eastAsia="en-US"/>
              </w:rPr>
              <w:t xml:space="preserve"> </w:t>
            </w:r>
            <w:r w:rsidRPr="007C4D65">
              <w:rPr>
                <w:rFonts w:asciiTheme="minorHAnsi" w:eastAsiaTheme="minorHAnsi" w:hAnsiTheme="minorHAnsi" w:cstheme="minorHAnsi"/>
                <w:sz w:val="18"/>
                <w:szCs w:val="22"/>
                <w:lang w:eastAsia="en-US"/>
              </w:rPr>
              <w:t>(2032)</w:t>
            </w:r>
          </w:p>
        </w:tc>
      </w:tr>
      <w:tr w:rsidR="00005022" w:rsidRPr="007C4D65" w14:paraId="16965704" w14:textId="77777777" w:rsidTr="00BC37DE">
        <w:trPr>
          <w:trHeight w:val="567"/>
          <w:jc w:val="center"/>
        </w:trPr>
        <w:tc>
          <w:tcPr>
            <w:tcW w:w="1376" w:type="pct"/>
            <w:shd w:val="clear" w:color="auto" w:fill="009D73"/>
            <w:vAlign w:val="center"/>
          </w:tcPr>
          <w:p w14:paraId="0537760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Effect on the development and contribution of the measure to the priority</w:t>
            </w:r>
          </w:p>
        </w:tc>
        <w:tc>
          <w:tcPr>
            <w:tcW w:w="3624" w:type="pct"/>
            <w:gridSpan w:val="3"/>
            <w:shd w:val="clear" w:color="auto" w:fill="FFFFFF"/>
            <w:vAlign w:val="center"/>
          </w:tcPr>
          <w:p w14:paraId="3BB7D5EA" w14:textId="20336CF2" w:rsidR="00005022" w:rsidRPr="007C4D65" w:rsidRDefault="00CE0A3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quality of the environment, minimum adverse effects and pollution from the abandoned dumpsites</w:t>
            </w:r>
          </w:p>
        </w:tc>
      </w:tr>
      <w:tr w:rsidR="00005022" w:rsidRPr="007C4D65" w14:paraId="4DA3ED0D" w14:textId="77777777" w:rsidTr="00BC37DE">
        <w:trPr>
          <w:trHeight w:val="567"/>
          <w:jc w:val="center"/>
        </w:trPr>
        <w:tc>
          <w:tcPr>
            <w:tcW w:w="1376" w:type="pct"/>
            <w:shd w:val="clear" w:color="auto" w:fill="009D73"/>
            <w:vAlign w:val="center"/>
          </w:tcPr>
          <w:p w14:paraId="2094E23D" w14:textId="13FD4C69"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Indicative financial projection, with specification of sources</w:t>
            </w:r>
          </w:p>
        </w:tc>
        <w:tc>
          <w:tcPr>
            <w:tcW w:w="3624" w:type="pct"/>
            <w:gridSpan w:val="3"/>
            <w:shd w:val="clear" w:color="auto" w:fill="FFFFFF"/>
            <w:vAlign w:val="center"/>
          </w:tcPr>
          <w:p w14:paraId="4B411B72" w14:textId="22A5D3DD" w:rsidR="00CE0A32" w:rsidRPr="007C4D65" w:rsidRDefault="00CE0A32" w:rsidP="00CE0A32">
            <w:pPr>
              <w:spacing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Amount: BAM 20,047,258</w:t>
            </w:r>
          </w:p>
          <w:p w14:paraId="0AB7F0F7" w14:textId="2A16DCAC" w:rsidR="00005022" w:rsidRPr="007C4D65" w:rsidRDefault="001E51B8" w:rsidP="00CE0A32">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Source</w:t>
            </w:r>
            <w:r w:rsidR="00CE0A32" w:rsidRPr="007C4D65">
              <w:rPr>
                <w:rFonts w:asciiTheme="minorHAnsi" w:hAnsiTheme="minorHAnsi" w:cstheme="minorHAnsi"/>
                <w:color w:val="000000" w:themeColor="text1"/>
                <w:sz w:val="18"/>
                <w:szCs w:val="18"/>
              </w:rPr>
              <w:t xml:space="preserve">: 20% </w:t>
            </w:r>
            <w:r w:rsidR="000E401F" w:rsidRPr="007C4D65">
              <w:rPr>
                <w:rFonts w:asciiTheme="minorHAnsi" w:hAnsiTheme="minorHAnsi" w:cstheme="minorHAnsi"/>
                <w:color w:val="000000" w:themeColor="text1"/>
                <w:sz w:val="18"/>
                <w:szCs w:val="18"/>
              </w:rPr>
              <w:t>government budget</w:t>
            </w:r>
            <w:r w:rsidR="00CE0A32" w:rsidRPr="007C4D65">
              <w:rPr>
                <w:rFonts w:asciiTheme="minorHAnsi" w:hAnsiTheme="minorHAnsi" w:cstheme="minorHAnsi"/>
                <w:color w:val="000000" w:themeColor="text1"/>
                <w:sz w:val="18"/>
                <w:szCs w:val="18"/>
              </w:rPr>
              <w:t xml:space="preserve">, 80% </w:t>
            </w:r>
            <w:r w:rsidRPr="007C4D65">
              <w:rPr>
                <w:rFonts w:asciiTheme="minorHAnsi" w:hAnsiTheme="minorHAnsi" w:cstheme="minorHAnsi"/>
                <w:color w:val="000000" w:themeColor="text1"/>
                <w:sz w:val="18"/>
                <w:szCs w:val="18"/>
              </w:rPr>
              <w:t>combined loans and funds from EU and other international donors</w:t>
            </w:r>
            <w:r w:rsidRPr="007C4D65">
              <w:rPr>
                <w:rFonts w:asciiTheme="minorHAnsi" w:eastAsiaTheme="minorHAnsi" w:hAnsiTheme="minorHAnsi" w:cstheme="minorHAnsi"/>
                <w:bCs/>
                <w:sz w:val="18"/>
                <w:szCs w:val="18"/>
                <w:lang w:eastAsia="en-US" w:bidi="en-US"/>
              </w:rPr>
              <w:t>, and other donations</w:t>
            </w:r>
          </w:p>
        </w:tc>
      </w:tr>
      <w:tr w:rsidR="00005022" w:rsidRPr="007C4D65" w14:paraId="74F19773" w14:textId="77777777" w:rsidTr="00BC37DE">
        <w:trPr>
          <w:trHeight w:val="567"/>
          <w:jc w:val="center"/>
        </w:trPr>
        <w:tc>
          <w:tcPr>
            <w:tcW w:w="1376" w:type="pct"/>
            <w:shd w:val="clear" w:color="auto" w:fill="009D73"/>
            <w:vAlign w:val="center"/>
          </w:tcPr>
          <w:p w14:paraId="24C9E3D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Period of the implementation of the measure</w:t>
            </w:r>
          </w:p>
        </w:tc>
        <w:tc>
          <w:tcPr>
            <w:tcW w:w="3624" w:type="pct"/>
            <w:gridSpan w:val="3"/>
            <w:shd w:val="clear" w:color="auto" w:fill="FFFFFF"/>
            <w:vAlign w:val="center"/>
          </w:tcPr>
          <w:p w14:paraId="703679F5"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2023-2030</w:t>
            </w:r>
          </w:p>
        </w:tc>
      </w:tr>
      <w:tr w:rsidR="00005022" w:rsidRPr="007C4D65" w14:paraId="241AEC33" w14:textId="77777777" w:rsidTr="00BC37DE">
        <w:trPr>
          <w:trHeight w:val="567"/>
          <w:jc w:val="center"/>
        </w:trPr>
        <w:tc>
          <w:tcPr>
            <w:tcW w:w="1376" w:type="pct"/>
            <w:shd w:val="clear" w:color="auto" w:fill="009D73"/>
            <w:vAlign w:val="center"/>
          </w:tcPr>
          <w:p w14:paraId="734C02E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Institution responsible for coordination of the implementation of the measure</w:t>
            </w:r>
          </w:p>
        </w:tc>
        <w:tc>
          <w:tcPr>
            <w:tcW w:w="3624" w:type="pct"/>
            <w:gridSpan w:val="3"/>
            <w:shd w:val="clear" w:color="auto" w:fill="FFFFFF"/>
            <w:vAlign w:val="center"/>
          </w:tcPr>
          <w:p w14:paraId="46180F97" w14:textId="2D80DAC1"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w:t>
            </w:r>
          </w:p>
        </w:tc>
      </w:tr>
      <w:tr w:rsidR="00005022" w:rsidRPr="007C4D65" w14:paraId="1426AC06" w14:textId="77777777" w:rsidTr="00BC37DE">
        <w:trPr>
          <w:trHeight w:val="567"/>
          <w:jc w:val="center"/>
        </w:trPr>
        <w:tc>
          <w:tcPr>
            <w:tcW w:w="1376" w:type="pct"/>
            <w:shd w:val="clear" w:color="auto" w:fill="009D73"/>
            <w:vAlign w:val="center"/>
          </w:tcPr>
          <w:p w14:paraId="37E419E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Implementing institutions</w:t>
            </w:r>
          </w:p>
        </w:tc>
        <w:tc>
          <w:tcPr>
            <w:tcW w:w="3624" w:type="pct"/>
            <w:gridSpan w:val="3"/>
            <w:shd w:val="clear" w:color="auto" w:fill="FFFFFF"/>
            <w:vAlign w:val="center"/>
          </w:tcPr>
          <w:p w14:paraId="44C351D2" w14:textId="236243B8"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 cantons, municipalities, cities, </w:t>
            </w:r>
          </w:p>
        </w:tc>
      </w:tr>
      <w:tr w:rsidR="00005022" w:rsidRPr="007C4D65" w14:paraId="4B6FDB8A" w14:textId="77777777" w:rsidTr="00BC37DE">
        <w:trPr>
          <w:trHeight w:val="567"/>
          <w:jc w:val="center"/>
        </w:trPr>
        <w:tc>
          <w:tcPr>
            <w:tcW w:w="1376" w:type="pct"/>
            <w:shd w:val="clear" w:color="auto" w:fill="009D73"/>
            <w:vAlign w:val="center"/>
          </w:tcPr>
          <w:p w14:paraId="2AA227A4" w14:textId="6DEEF33A"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Target groups</w:t>
            </w:r>
          </w:p>
        </w:tc>
        <w:tc>
          <w:tcPr>
            <w:tcW w:w="3624" w:type="pct"/>
            <w:gridSpan w:val="3"/>
            <w:shd w:val="clear" w:color="auto" w:fill="FFFFFF"/>
            <w:vAlign w:val="center"/>
          </w:tcPr>
          <w:p w14:paraId="29D780AB"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Citizens </w:t>
            </w:r>
          </w:p>
        </w:tc>
      </w:tr>
    </w:tbl>
    <w:p w14:paraId="1D46188C" w14:textId="77777777" w:rsidR="00005022" w:rsidRPr="007C4D65" w:rsidRDefault="00005022" w:rsidP="00005022">
      <w:pPr>
        <w:spacing w:line="276" w:lineRule="auto"/>
        <w:rPr>
          <w:rFonts w:asciiTheme="minorHAnsi" w:eastAsiaTheme="minorHAnsi" w:hAnsiTheme="minorHAnsi" w:cstheme="minorHAnsi"/>
          <w:sz w:val="22"/>
          <w:szCs w:val="22"/>
          <w:lang w:eastAsia="en-US"/>
        </w:rPr>
      </w:pPr>
    </w:p>
    <w:tbl>
      <w:tblPr>
        <w:tblW w:w="4795"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7"/>
        <w:gridCol w:w="3157"/>
        <w:gridCol w:w="3266"/>
        <w:gridCol w:w="3266"/>
      </w:tblGrid>
      <w:tr w:rsidR="00005022" w:rsidRPr="007C4D65" w14:paraId="0AFBCABA" w14:textId="77777777" w:rsidTr="00BC37DE">
        <w:trPr>
          <w:trHeight w:val="567"/>
          <w:jc w:val="center"/>
        </w:trPr>
        <w:tc>
          <w:tcPr>
            <w:tcW w:w="1378" w:type="pct"/>
            <w:shd w:val="clear" w:color="auto" w:fill="009D73"/>
            <w:vAlign w:val="center"/>
          </w:tcPr>
          <w:p w14:paraId="25287D6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Link with the strategic goal</w:t>
            </w:r>
          </w:p>
        </w:tc>
        <w:tc>
          <w:tcPr>
            <w:tcW w:w="3622" w:type="pct"/>
            <w:gridSpan w:val="3"/>
            <w:shd w:val="clear" w:color="auto" w:fill="FFFFFF"/>
            <w:vAlign w:val="center"/>
          </w:tcPr>
          <w:p w14:paraId="1D601B16" w14:textId="77777777"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 Reducing waste and increasing reuse of materials</w:t>
            </w:r>
          </w:p>
        </w:tc>
      </w:tr>
      <w:tr w:rsidR="00005022" w:rsidRPr="007C4D65" w14:paraId="6E6659E1" w14:textId="77777777" w:rsidTr="00BC37DE">
        <w:trPr>
          <w:trHeight w:val="567"/>
          <w:jc w:val="center"/>
        </w:trPr>
        <w:tc>
          <w:tcPr>
            <w:tcW w:w="1378" w:type="pct"/>
            <w:shd w:val="clear" w:color="auto" w:fill="009D73"/>
            <w:vAlign w:val="center"/>
          </w:tcPr>
          <w:p w14:paraId="789CE9B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Priority</w:t>
            </w:r>
          </w:p>
        </w:tc>
        <w:tc>
          <w:tcPr>
            <w:tcW w:w="3622" w:type="pct"/>
            <w:gridSpan w:val="3"/>
            <w:shd w:val="clear" w:color="auto" w:fill="FFFFFF"/>
            <w:vAlign w:val="center"/>
          </w:tcPr>
          <w:p w14:paraId="36BF928F" w14:textId="77777777" w:rsidR="00005022" w:rsidRPr="007C4D65" w:rsidRDefault="00005022" w:rsidP="00005022">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2.7. Raise awareness about the proper separation, collection and disposal of waste</w:t>
            </w:r>
          </w:p>
        </w:tc>
      </w:tr>
      <w:tr w:rsidR="00005022" w:rsidRPr="007C4D65" w14:paraId="33C83A30" w14:textId="77777777" w:rsidTr="00BC37DE">
        <w:trPr>
          <w:trHeight w:val="567"/>
          <w:jc w:val="center"/>
        </w:trPr>
        <w:tc>
          <w:tcPr>
            <w:tcW w:w="1378" w:type="pct"/>
            <w:shd w:val="clear" w:color="auto" w:fill="009D73"/>
            <w:vAlign w:val="center"/>
          </w:tcPr>
          <w:p w14:paraId="6792F61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Title of the measure</w:t>
            </w:r>
          </w:p>
        </w:tc>
        <w:tc>
          <w:tcPr>
            <w:tcW w:w="3622" w:type="pct"/>
            <w:gridSpan w:val="3"/>
            <w:shd w:val="clear" w:color="auto" w:fill="FFFFFF"/>
            <w:vAlign w:val="center"/>
          </w:tcPr>
          <w:p w14:paraId="0BF792D2" w14:textId="508AC318"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22"/>
                <w:lang w:eastAsia="en-US"/>
              </w:rPr>
              <w:t>2.7.1 Running up-to-date educational and informational, gender sensitive and inclusive awareness campaigns at all levels (F</w:t>
            </w:r>
            <w:r w:rsidR="00D35822" w:rsidRPr="007C4D65">
              <w:rPr>
                <w:rFonts w:asciiTheme="minorHAnsi" w:eastAsiaTheme="minorHAnsi" w:hAnsiTheme="minorHAnsi" w:cstheme="minorHAnsi"/>
                <w:b/>
                <w:sz w:val="18"/>
                <w:szCs w:val="22"/>
                <w:lang w:eastAsia="en-US"/>
              </w:rPr>
              <w:t xml:space="preserve">ederation of </w:t>
            </w:r>
            <w:r w:rsidRPr="007C4D65">
              <w:rPr>
                <w:rFonts w:asciiTheme="minorHAnsi" w:eastAsiaTheme="minorHAnsi" w:hAnsiTheme="minorHAnsi" w:cstheme="minorHAnsi"/>
                <w:b/>
                <w:sz w:val="18"/>
                <w:szCs w:val="22"/>
                <w:lang w:eastAsia="en-US"/>
              </w:rPr>
              <w:t>BiH, cantonal, municipal)</w:t>
            </w:r>
          </w:p>
        </w:tc>
      </w:tr>
      <w:tr w:rsidR="00005022" w:rsidRPr="007C4D65" w14:paraId="642D65B4" w14:textId="77777777" w:rsidTr="00BC37DE">
        <w:trPr>
          <w:trHeight w:val="567"/>
          <w:jc w:val="center"/>
        </w:trPr>
        <w:tc>
          <w:tcPr>
            <w:tcW w:w="1378" w:type="pct"/>
            <w:shd w:val="clear" w:color="auto" w:fill="009D73"/>
            <w:vAlign w:val="center"/>
          </w:tcPr>
          <w:p w14:paraId="236D0A3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 xml:space="preserve">Description of the measure with general area of intervention </w:t>
            </w:r>
          </w:p>
        </w:tc>
        <w:tc>
          <w:tcPr>
            <w:tcW w:w="3622" w:type="pct"/>
            <w:gridSpan w:val="3"/>
            <w:shd w:val="clear" w:color="auto" w:fill="FFFFFF"/>
            <w:vAlign w:val="center"/>
          </w:tcPr>
          <w:p w14:paraId="292EDF51" w14:textId="3C30F04D"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This measure aims at raising the awareness not only among citizens but also among the members of the business community about the proper waste management, focusing primarily on waste prevention and recycling, </w:t>
            </w:r>
            <w:r w:rsidR="00D35822" w:rsidRPr="007C4D65">
              <w:rPr>
                <w:rFonts w:asciiTheme="minorHAnsi" w:eastAsiaTheme="minorHAnsi" w:hAnsiTheme="minorHAnsi" w:cstheme="minorHAnsi"/>
                <w:sz w:val="18"/>
                <w:szCs w:val="22"/>
                <w:lang w:eastAsia="en-US"/>
              </w:rPr>
              <w:t>but also at providing better</w:t>
            </w:r>
            <w:r w:rsidRPr="007C4D65">
              <w:rPr>
                <w:rFonts w:asciiTheme="minorHAnsi" w:eastAsiaTheme="minorHAnsi" w:hAnsiTheme="minorHAnsi" w:cstheme="minorHAnsi"/>
                <w:sz w:val="18"/>
                <w:szCs w:val="22"/>
                <w:lang w:eastAsia="en-US"/>
              </w:rPr>
              <w:t xml:space="preserve"> understanding how the system of waste collection and disposal works. Various trainings and public awareness raising campaigns are anticipated within this measure</w:t>
            </w:r>
            <w:r w:rsidR="00D35822" w:rsidRPr="007C4D65">
              <w:rPr>
                <w:rFonts w:asciiTheme="minorHAnsi" w:eastAsia="Calibri" w:hAnsiTheme="minorHAnsi" w:cstheme="minorHAnsi"/>
                <w:sz w:val="18"/>
                <w:szCs w:val="18"/>
                <w:lang w:eastAsia="en-US"/>
              </w:rPr>
              <w:t>, such as:</w:t>
            </w:r>
          </w:p>
          <w:p w14:paraId="0639E465" w14:textId="4354EF8F" w:rsidR="00005022" w:rsidRPr="007C4D65" w:rsidRDefault="00005022">
            <w:pPr>
              <w:numPr>
                <w:ilvl w:val="0"/>
                <w:numId w:val="10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Implementing awareness raising programmes on sustainable production and </w:t>
            </w:r>
            <w:proofErr w:type="gramStart"/>
            <w:r w:rsidRPr="007C4D65">
              <w:rPr>
                <w:rFonts w:asciiTheme="minorHAnsi" w:eastAsiaTheme="minorHAnsi" w:hAnsiTheme="minorHAnsi" w:cstheme="minorHAnsi"/>
                <w:sz w:val="18"/>
                <w:szCs w:val="22"/>
                <w:lang w:eastAsia="en-US"/>
              </w:rPr>
              <w:t>consumption</w:t>
            </w:r>
            <w:r w:rsidR="00BB12DE" w:rsidRPr="007C4D65">
              <w:rPr>
                <w:rFonts w:asciiTheme="minorHAnsi" w:eastAsiaTheme="minorHAnsi" w:hAnsiTheme="minorHAnsi" w:cstheme="minorHAnsi"/>
                <w:sz w:val="18"/>
                <w:szCs w:val="22"/>
                <w:lang w:eastAsia="en-US"/>
              </w:rPr>
              <w:t>;</w:t>
            </w:r>
            <w:proofErr w:type="gramEnd"/>
          </w:p>
          <w:p w14:paraId="75FBB27B" w14:textId="72D80BB2" w:rsidR="00005022" w:rsidRPr="007C4D65" w:rsidRDefault="00005022">
            <w:pPr>
              <w:numPr>
                <w:ilvl w:val="0"/>
                <w:numId w:val="10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Rais</w:t>
            </w:r>
            <w:r w:rsidR="00D35822" w:rsidRPr="007C4D65">
              <w:rPr>
                <w:rFonts w:asciiTheme="minorHAnsi" w:eastAsiaTheme="minorHAnsi" w:hAnsiTheme="minorHAnsi" w:cstheme="minorHAnsi"/>
                <w:sz w:val="18"/>
                <w:szCs w:val="22"/>
                <w:lang w:eastAsia="en-US"/>
              </w:rPr>
              <w:t>ing</w:t>
            </w:r>
            <w:r w:rsidRPr="007C4D65">
              <w:rPr>
                <w:rFonts w:asciiTheme="minorHAnsi" w:eastAsiaTheme="minorHAnsi" w:hAnsiTheme="minorHAnsi" w:cstheme="minorHAnsi"/>
                <w:sz w:val="18"/>
                <w:szCs w:val="22"/>
                <w:lang w:eastAsia="en-US"/>
              </w:rPr>
              <w:t xml:space="preserve"> public awareness and implement pilot projects aimed at implementing the legislation banning the use of single use plastic </w:t>
            </w:r>
            <w:proofErr w:type="gramStart"/>
            <w:r w:rsidRPr="007C4D65">
              <w:rPr>
                <w:rFonts w:asciiTheme="minorHAnsi" w:eastAsiaTheme="minorHAnsi" w:hAnsiTheme="minorHAnsi" w:cstheme="minorHAnsi"/>
                <w:sz w:val="18"/>
                <w:szCs w:val="22"/>
                <w:lang w:eastAsia="en-US"/>
              </w:rPr>
              <w:t>products</w:t>
            </w:r>
            <w:r w:rsidR="00BB12DE" w:rsidRPr="007C4D65">
              <w:rPr>
                <w:rFonts w:asciiTheme="minorHAnsi" w:eastAsia="Calibri" w:hAnsiTheme="minorHAnsi" w:cstheme="minorHAnsi"/>
                <w:sz w:val="18"/>
                <w:szCs w:val="18"/>
                <w:lang w:eastAsia="en-US"/>
              </w:rPr>
              <w:t>;</w:t>
            </w:r>
            <w:proofErr w:type="gramEnd"/>
          </w:p>
          <w:p w14:paraId="53FB16F0" w14:textId="65459CA7" w:rsidR="00005022" w:rsidRPr="007C4D65" w:rsidRDefault="00005022">
            <w:pPr>
              <w:numPr>
                <w:ilvl w:val="0"/>
                <w:numId w:val="10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Implementing inclusive training programmes on repair and recycling of various types of products (furniture, electronic devises, etc.</w:t>
            </w:r>
            <w:proofErr w:type="gramStart"/>
            <w:r w:rsidRPr="007C4D65">
              <w:rPr>
                <w:rFonts w:asciiTheme="minorHAnsi" w:eastAsiaTheme="minorHAnsi" w:hAnsiTheme="minorHAnsi" w:cstheme="minorHAnsi"/>
                <w:sz w:val="18"/>
                <w:szCs w:val="22"/>
                <w:lang w:eastAsia="en-US"/>
              </w:rPr>
              <w:t>)</w:t>
            </w:r>
            <w:r w:rsidR="00BB12DE" w:rsidRPr="007C4D65">
              <w:rPr>
                <w:rFonts w:asciiTheme="minorHAnsi" w:eastAsia="Calibri" w:hAnsiTheme="minorHAnsi" w:cstheme="minorHAnsi"/>
                <w:sz w:val="18"/>
                <w:szCs w:val="18"/>
                <w:lang w:eastAsia="en-US"/>
              </w:rPr>
              <w:t>;</w:t>
            </w:r>
            <w:proofErr w:type="gramEnd"/>
          </w:p>
          <w:p w14:paraId="62ABD193" w14:textId="10EA2F19" w:rsidR="00005022" w:rsidRPr="007C4D65" w:rsidRDefault="00005022">
            <w:pPr>
              <w:numPr>
                <w:ilvl w:val="0"/>
                <w:numId w:val="10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Conducting continuous campaigns and education through media and in direct contacts with citizens about ways and importance of </w:t>
            </w:r>
            <w:r w:rsidR="00D35822" w:rsidRPr="007C4D65">
              <w:rPr>
                <w:rFonts w:asciiTheme="minorHAnsi" w:eastAsiaTheme="minorHAnsi" w:hAnsiTheme="minorHAnsi" w:cstheme="minorHAnsi"/>
                <w:sz w:val="18"/>
                <w:szCs w:val="22"/>
                <w:lang w:eastAsia="en-US"/>
              </w:rPr>
              <w:t xml:space="preserve">the </w:t>
            </w:r>
            <w:r w:rsidRPr="007C4D65">
              <w:rPr>
                <w:rFonts w:asciiTheme="minorHAnsi" w:eastAsiaTheme="minorHAnsi" w:hAnsiTheme="minorHAnsi" w:cstheme="minorHAnsi"/>
                <w:sz w:val="18"/>
                <w:szCs w:val="22"/>
                <w:lang w:eastAsia="en-US"/>
              </w:rPr>
              <w:t>proper waste separation, importance of waste reduction, reuse and recycling, and composting</w:t>
            </w:r>
          </w:p>
          <w:p w14:paraId="7493CCD1" w14:textId="3A97AF93" w:rsidR="00005022" w:rsidRPr="007C4D65" w:rsidRDefault="00005022">
            <w:pPr>
              <w:numPr>
                <w:ilvl w:val="0"/>
                <w:numId w:val="10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Raising public awareness and awareness among business companies about the proper treatment and management of special </w:t>
            </w:r>
            <w:proofErr w:type="gramStart"/>
            <w:r w:rsidRPr="007C4D65">
              <w:rPr>
                <w:rFonts w:asciiTheme="minorHAnsi" w:eastAsiaTheme="minorHAnsi" w:hAnsiTheme="minorHAnsi" w:cstheme="minorHAnsi"/>
                <w:sz w:val="18"/>
                <w:szCs w:val="22"/>
                <w:lang w:eastAsia="en-US"/>
              </w:rPr>
              <w:t>wastes</w:t>
            </w:r>
            <w:r w:rsidR="00BB12DE" w:rsidRPr="007C4D65">
              <w:rPr>
                <w:rFonts w:asciiTheme="minorHAnsi" w:eastAsia="Calibri" w:hAnsiTheme="minorHAnsi" w:cstheme="minorHAnsi"/>
                <w:sz w:val="18"/>
                <w:szCs w:val="18"/>
                <w:lang w:eastAsia="en-US"/>
              </w:rPr>
              <w:t>;</w:t>
            </w:r>
            <w:proofErr w:type="gramEnd"/>
          </w:p>
          <w:p w14:paraId="652554A7" w14:textId="68376C5F" w:rsidR="00005022" w:rsidRPr="007C4D65" w:rsidRDefault="00005022">
            <w:pPr>
              <w:numPr>
                <w:ilvl w:val="0"/>
                <w:numId w:val="10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 xml:space="preserve">Integrating waste management training in primary and secondary </w:t>
            </w:r>
            <w:r w:rsidR="00D35822" w:rsidRPr="007C4D65">
              <w:rPr>
                <w:rFonts w:asciiTheme="minorHAnsi" w:eastAsiaTheme="minorHAnsi" w:hAnsiTheme="minorHAnsi" w:cstheme="minorHAnsi"/>
                <w:sz w:val="18"/>
                <w:szCs w:val="22"/>
                <w:lang w:eastAsia="en-US"/>
              </w:rPr>
              <w:t>education and higher education curricula</w:t>
            </w:r>
            <w:r w:rsidR="00BB12DE" w:rsidRPr="007C4D65">
              <w:rPr>
                <w:rFonts w:asciiTheme="minorHAnsi" w:eastAsiaTheme="minorHAnsi" w:hAnsiTheme="minorHAnsi" w:cstheme="minorHAnsi"/>
                <w:sz w:val="18"/>
                <w:szCs w:val="22"/>
                <w:lang w:eastAsia="en-US"/>
              </w:rPr>
              <w:t>;</w:t>
            </w:r>
          </w:p>
        </w:tc>
      </w:tr>
      <w:tr w:rsidR="00005022" w:rsidRPr="007C4D65" w14:paraId="6580C562" w14:textId="77777777" w:rsidTr="00BC37DE">
        <w:trPr>
          <w:trHeight w:val="567"/>
          <w:jc w:val="center"/>
        </w:trPr>
        <w:tc>
          <w:tcPr>
            <w:tcW w:w="1378" w:type="pct"/>
            <w:shd w:val="clear" w:color="auto" w:fill="009D73"/>
            <w:vAlign w:val="center"/>
          </w:tcPr>
          <w:p w14:paraId="3CA39ED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Strategic projects</w:t>
            </w:r>
          </w:p>
        </w:tc>
        <w:tc>
          <w:tcPr>
            <w:tcW w:w="3622" w:type="pct"/>
            <w:gridSpan w:val="3"/>
            <w:shd w:val="clear" w:color="auto" w:fill="FFFFFF" w:themeFill="background1"/>
            <w:vAlign w:val="center"/>
          </w:tcPr>
          <w:p w14:paraId="6C110F31"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w:t>
            </w:r>
          </w:p>
        </w:tc>
      </w:tr>
      <w:tr w:rsidR="00005022" w:rsidRPr="007C4D65" w14:paraId="180E7A68" w14:textId="77777777" w:rsidTr="00BC37DE">
        <w:trPr>
          <w:trHeight w:val="567"/>
          <w:jc w:val="center"/>
        </w:trPr>
        <w:tc>
          <w:tcPr>
            <w:tcW w:w="1378" w:type="pct"/>
            <w:vMerge w:val="restart"/>
            <w:shd w:val="clear" w:color="auto" w:fill="009D73"/>
            <w:vAlign w:val="center"/>
          </w:tcPr>
          <w:p w14:paraId="182120B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 for monitoring of results</w:t>
            </w:r>
          </w:p>
        </w:tc>
        <w:tc>
          <w:tcPr>
            <w:tcW w:w="1180" w:type="pct"/>
            <w:shd w:val="clear" w:color="auto" w:fill="009D73"/>
            <w:vAlign w:val="center"/>
          </w:tcPr>
          <w:p w14:paraId="49F1A7DC"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56C17B69"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21" w:type="pct"/>
            <w:shd w:val="clear" w:color="auto" w:fill="009D73"/>
            <w:vAlign w:val="center"/>
          </w:tcPr>
          <w:p w14:paraId="57A858D7"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Baseline value</w:t>
            </w:r>
          </w:p>
          <w:p w14:paraId="706506F2"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(2021)</w:t>
            </w:r>
          </w:p>
        </w:tc>
        <w:tc>
          <w:tcPr>
            <w:tcW w:w="1221" w:type="pct"/>
            <w:shd w:val="clear" w:color="auto" w:fill="009D73"/>
            <w:vAlign w:val="center"/>
          </w:tcPr>
          <w:p w14:paraId="6EC85FC2"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value</w:t>
            </w:r>
          </w:p>
        </w:tc>
      </w:tr>
      <w:tr w:rsidR="00005022" w:rsidRPr="007C4D65" w14:paraId="17C67112" w14:textId="77777777" w:rsidTr="00BC37DE">
        <w:trPr>
          <w:trHeight w:val="283"/>
          <w:jc w:val="center"/>
        </w:trPr>
        <w:tc>
          <w:tcPr>
            <w:tcW w:w="1378" w:type="pct"/>
            <w:vMerge/>
            <w:shd w:val="clear" w:color="auto" w:fill="009D73"/>
            <w:vAlign w:val="center"/>
          </w:tcPr>
          <w:p w14:paraId="7E7AB50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180" w:type="pct"/>
            <w:shd w:val="clear" w:color="auto" w:fill="FFFFFF"/>
            <w:vAlign w:val="center"/>
          </w:tcPr>
          <w:p w14:paraId="447FD829"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General perception of the status of public awareness</w:t>
            </w:r>
          </w:p>
        </w:tc>
        <w:tc>
          <w:tcPr>
            <w:tcW w:w="1221" w:type="pct"/>
            <w:shd w:val="clear" w:color="auto" w:fill="FFFFFF"/>
            <w:vAlign w:val="center"/>
          </w:tcPr>
          <w:p w14:paraId="7794783B"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Poor perception of the status of public awareness</w:t>
            </w:r>
          </w:p>
        </w:tc>
        <w:tc>
          <w:tcPr>
            <w:tcW w:w="1221" w:type="pct"/>
            <w:shd w:val="clear" w:color="auto" w:fill="FFFFFF"/>
            <w:vAlign w:val="center"/>
          </w:tcPr>
          <w:p w14:paraId="34D2D873" w14:textId="4F912909" w:rsidR="00005022" w:rsidRPr="007C4D65" w:rsidRDefault="00A86119" w:rsidP="00BB12DE">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22"/>
                <w:lang w:eastAsia="en-US"/>
              </w:rPr>
              <w:t>Positive</w:t>
            </w:r>
            <w:r w:rsidR="00005022" w:rsidRPr="007C4D65">
              <w:rPr>
                <w:rFonts w:asciiTheme="minorHAnsi" w:eastAsiaTheme="minorHAnsi" w:hAnsiTheme="minorHAnsi" w:cstheme="minorHAnsi"/>
                <w:sz w:val="18"/>
                <w:szCs w:val="22"/>
                <w:lang w:eastAsia="en-US"/>
              </w:rPr>
              <w:t xml:space="preserve"> general perception of the status of public awareness</w:t>
            </w:r>
            <w:r w:rsidR="00BB12DE" w:rsidRPr="007C4D65">
              <w:rPr>
                <w:rFonts w:asciiTheme="minorHAnsi" w:eastAsiaTheme="minorHAnsi" w:hAnsiTheme="minorHAnsi" w:cstheme="minorHAnsi"/>
                <w:sz w:val="18"/>
                <w:szCs w:val="22"/>
                <w:lang w:eastAsia="en-US"/>
              </w:rPr>
              <w:t xml:space="preserve"> </w:t>
            </w:r>
            <w:r w:rsidR="00005022" w:rsidRPr="007C4D65">
              <w:rPr>
                <w:rFonts w:asciiTheme="minorHAnsi" w:eastAsiaTheme="minorHAnsi" w:hAnsiTheme="minorHAnsi" w:cstheme="minorHAnsi"/>
                <w:sz w:val="18"/>
                <w:szCs w:val="22"/>
                <w:lang w:eastAsia="en-US"/>
              </w:rPr>
              <w:t>(2032)</w:t>
            </w:r>
          </w:p>
        </w:tc>
      </w:tr>
      <w:tr w:rsidR="00005022" w:rsidRPr="007C4D65" w14:paraId="2458126F" w14:textId="77777777" w:rsidTr="00BC37DE">
        <w:trPr>
          <w:trHeight w:val="567"/>
          <w:jc w:val="center"/>
        </w:trPr>
        <w:tc>
          <w:tcPr>
            <w:tcW w:w="1378" w:type="pct"/>
            <w:shd w:val="clear" w:color="auto" w:fill="009D73"/>
            <w:vAlign w:val="center"/>
          </w:tcPr>
          <w:p w14:paraId="32EC895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Effect on the development and contribution of the measure to the priority</w:t>
            </w:r>
          </w:p>
        </w:tc>
        <w:tc>
          <w:tcPr>
            <w:tcW w:w="3622" w:type="pct"/>
            <w:gridSpan w:val="3"/>
            <w:shd w:val="clear" w:color="auto" w:fill="FFFFFF"/>
            <w:vAlign w:val="center"/>
          </w:tcPr>
          <w:p w14:paraId="375DCB96" w14:textId="6FE738B5" w:rsidR="00005022" w:rsidRPr="007C4D65" w:rsidRDefault="00A86119"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hAnsiTheme="minorHAnsi" w:cstheme="minorHAnsi"/>
                <w:sz w:val="18"/>
                <w:szCs w:val="18"/>
                <w:lang w:bidi="en-US"/>
              </w:rPr>
              <w:t xml:space="preserve">Increase public awareness on the proper waste management, including equal opportunities for men and women, </w:t>
            </w:r>
            <w:r w:rsidR="004B4EEC" w:rsidRPr="007C4D65">
              <w:rPr>
                <w:rFonts w:asciiTheme="minorHAnsi" w:hAnsiTheme="minorHAnsi" w:cstheme="minorHAnsi"/>
                <w:sz w:val="18"/>
                <w:szCs w:val="18"/>
                <w:lang w:bidi="en-US"/>
              </w:rPr>
              <w:t>especially</w:t>
            </w:r>
            <w:r w:rsidRPr="007C4D65">
              <w:rPr>
                <w:rFonts w:asciiTheme="minorHAnsi" w:hAnsiTheme="minorHAnsi" w:cstheme="minorHAnsi"/>
                <w:sz w:val="18"/>
                <w:szCs w:val="18"/>
                <w:lang w:bidi="en-US"/>
              </w:rPr>
              <w:t xml:space="preserve"> women from vulnerable groups</w:t>
            </w:r>
          </w:p>
        </w:tc>
      </w:tr>
      <w:tr w:rsidR="00005022" w:rsidRPr="007C4D65" w14:paraId="1E7B41D4" w14:textId="77777777" w:rsidTr="00BC37DE">
        <w:trPr>
          <w:trHeight w:val="567"/>
          <w:jc w:val="center"/>
        </w:trPr>
        <w:tc>
          <w:tcPr>
            <w:tcW w:w="1378" w:type="pct"/>
            <w:shd w:val="clear" w:color="auto" w:fill="009D73"/>
            <w:vAlign w:val="center"/>
          </w:tcPr>
          <w:p w14:paraId="61C7F71A" w14:textId="13EFA470"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lastRenderedPageBreak/>
              <w:t>Indicative financial projection, with specification of sources</w:t>
            </w:r>
          </w:p>
        </w:tc>
        <w:tc>
          <w:tcPr>
            <w:tcW w:w="3622" w:type="pct"/>
            <w:gridSpan w:val="3"/>
            <w:shd w:val="clear" w:color="auto" w:fill="FFFFFF"/>
            <w:vAlign w:val="center"/>
          </w:tcPr>
          <w:p w14:paraId="5EBC6143" w14:textId="1484BE36" w:rsidR="00A86119" w:rsidRPr="007C4D65" w:rsidRDefault="00A86119" w:rsidP="00A86119">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1,046,762</w:t>
            </w:r>
          </w:p>
          <w:p w14:paraId="4F5F84EC" w14:textId="43D8A27B" w:rsidR="00005022" w:rsidRPr="007C4D65" w:rsidRDefault="00A86119" w:rsidP="00A86119">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10% </w:t>
            </w:r>
            <w:r w:rsidR="000E401F" w:rsidRPr="007C4D65">
              <w:rPr>
                <w:rFonts w:asciiTheme="minorHAnsi" w:hAnsiTheme="minorHAnsi" w:cstheme="minorHAnsi"/>
                <w:color w:val="000000" w:themeColor="text1"/>
                <w:sz w:val="18"/>
                <w:szCs w:val="18"/>
              </w:rPr>
              <w:t>government budget</w:t>
            </w:r>
            <w:r w:rsidRPr="007C4D65">
              <w:rPr>
                <w:rFonts w:asciiTheme="minorHAnsi" w:hAnsiTheme="minorHAnsi" w:cstheme="minorHAnsi"/>
                <w:color w:val="000000" w:themeColor="text1"/>
                <w:sz w:val="18"/>
                <w:szCs w:val="18"/>
              </w:rPr>
              <w:t>, 90% funds from EU and other donors</w:t>
            </w:r>
          </w:p>
        </w:tc>
      </w:tr>
      <w:tr w:rsidR="00005022" w:rsidRPr="007C4D65" w14:paraId="4A51F9D8" w14:textId="77777777" w:rsidTr="00BC37DE">
        <w:trPr>
          <w:trHeight w:val="567"/>
          <w:jc w:val="center"/>
        </w:trPr>
        <w:tc>
          <w:tcPr>
            <w:tcW w:w="1378" w:type="pct"/>
            <w:shd w:val="clear" w:color="auto" w:fill="009D73"/>
            <w:vAlign w:val="center"/>
          </w:tcPr>
          <w:p w14:paraId="799931A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Period of the implementation of the measure</w:t>
            </w:r>
          </w:p>
        </w:tc>
        <w:tc>
          <w:tcPr>
            <w:tcW w:w="3622" w:type="pct"/>
            <w:gridSpan w:val="3"/>
            <w:shd w:val="clear" w:color="auto" w:fill="FFFFFF"/>
            <w:vAlign w:val="center"/>
          </w:tcPr>
          <w:p w14:paraId="051323D3"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2023-2030</w:t>
            </w:r>
          </w:p>
        </w:tc>
      </w:tr>
      <w:tr w:rsidR="00005022" w:rsidRPr="007C4D65" w14:paraId="524C47E1" w14:textId="77777777" w:rsidTr="00BC37DE">
        <w:trPr>
          <w:trHeight w:val="567"/>
          <w:jc w:val="center"/>
        </w:trPr>
        <w:tc>
          <w:tcPr>
            <w:tcW w:w="1378" w:type="pct"/>
            <w:shd w:val="clear" w:color="auto" w:fill="009D73"/>
            <w:vAlign w:val="center"/>
          </w:tcPr>
          <w:p w14:paraId="45EAA30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Institution responsible for coordination of the implementation of the measure</w:t>
            </w:r>
          </w:p>
        </w:tc>
        <w:tc>
          <w:tcPr>
            <w:tcW w:w="3622" w:type="pct"/>
            <w:gridSpan w:val="3"/>
            <w:shd w:val="clear" w:color="auto" w:fill="FFFFFF"/>
            <w:vAlign w:val="center"/>
          </w:tcPr>
          <w:p w14:paraId="557DB316" w14:textId="4426D192"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w:t>
            </w:r>
          </w:p>
        </w:tc>
      </w:tr>
      <w:tr w:rsidR="00005022" w:rsidRPr="007C4D65" w14:paraId="0ADC9CF6" w14:textId="77777777" w:rsidTr="00BC37DE">
        <w:trPr>
          <w:trHeight w:val="567"/>
          <w:jc w:val="center"/>
        </w:trPr>
        <w:tc>
          <w:tcPr>
            <w:tcW w:w="1378" w:type="pct"/>
            <w:shd w:val="clear" w:color="auto" w:fill="009D73"/>
            <w:vAlign w:val="center"/>
          </w:tcPr>
          <w:p w14:paraId="536E6A5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Implementing institutions</w:t>
            </w:r>
          </w:p>
        </w:tc>
        <w:tc>
          <w:tcPr>
            <w:tcW w:w="3622" w:type="pct"/>
            <w:gridSpan w:val="3"/>
            <w:shd w:val="clear" w:color="auto" w:fill="FFFFFF"/>
            <w:vAlign w:val="center"/>
          </w:tcPr>
          <w:p w14:paraId="4DF353A4" w14:textId="03897693" w:rsidR="00005022" w:rsidRPr="007C4D65" w:rsidRDefault="001E6E20"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Federation Ministry</w:t>
            </w:r>
            <w:r w:rsidR="00005022" w:rsidRPr="007C4D65">
              <w:rPr>
                <w:rFonts w:asciiTheme="minorHAnsi" w:eastAsiaTheme="minorHAnsi" w:hAnsiTheme="minorHAnsi" w:cstheme="minorHAnsi"/>
                <w:sz w:val="18"/>
                <w:szCs w:val="22"/>
                <w:lang w:eastAsia="en-US"/>
              </w:rPr>
              <w:t xml:space="preserve"> of Environment and Tourism, cantons, municipalities, cities, </w:t>
            </w:r>
          </w:p>
        </w:tc>
      </w:tr>
      <w:tr w:rsidR="00005022" w:rsidRPr="007C4D65" w14:paraId="309C70CE" w14:textId="77777777" w:rsidTr="00BC37DE">
        <w:trPr>
          <w:trHeight w:val="567"/>
          <w:jc w:val="center"/>
        </w:trPr>
        <w:tc>
          <w:tcPr>
            <w:tcW w:w="1378" w:type="pct"/>
            <w:shd w:val="clear" w:color="auto" w:fill="009D73"/>
            <w:vAlign w:val="center"/>
          </w:tcPr>
          <w:p w14:paraId="4C7E4FCD" w14:textId="30343356"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Target groups</w:t>
            </w:r>
          </w:p>
        </w:tc>
        <w:tc>
          <w:tcPr>
            <w:tcW w:w="3622" w:type="pct"/>
            <w:gridSpan w:val="3"/>
            <w:shd w:val="clear" w:color="auto" w:fill="FFFFFF"/>
            <w:vAlign w:val="center"/>
          </w:tcPr>
          <w:p w14:paraId="24C83B6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22"/>
                <w:lang w:eastAsia="en-US"/>
              </w:rPr>
              <w:t>Citizens and business entities</w:t>
            </w:r>
          </w:p>
        </w:tc>
      </w:tr>
    </w:tbl>
    <w:p w14:paraId="4452D7CD" w14:textId="691E5DF9" w:rsidR="00783AA9" w:rsidRPr="007C4D65" w:rsidRDefault="00783AA9" w:rsidP="0068355A">
      <w:pPr>
        <w:spacing w:after="160" w:line="276" w:lineRule="auto"/>
        <w:rPr>
          <w:rFonts w:asciiTheme="minorHAnsi" w:hAnsiTheme="minorHAnsi" w:cstheme="minorHAnsi"/>
        </w:rPr>
      </w:pPr>
    </w:p>
    <w:p w14:paraId="392DA9A4" w14:textId="7E0EAE94" w:rsidR="00B13A5C" w:rsidRPr="007C4D65" w:rsidRDefault="00783AA9">
      <w:pPr>
        <w:pStyle w:val="Head2"/>
        <w:spacing w:line="276" w:lineRule="auto"/>
        <w:rPr>
          <w:rFonts w:asciiTheme="minorHAnsi" w:hAnsiTheme="minorHAnsi"/>
        </w:rPr>
      </w:pPr>
      <w:bookmarkStart w:id="239" w:name="_Toc117445378"/>
      <w:r w:rsidRPr="007C4D65">
        <w:rPr>
          <w:rFonts w:asciiTheme="minorHAnsi" w:hAnsiTheme="minorHAnsi"/>
        </w:rPr>
        <w:t xml:space="preserve">Annex 3 </w:t>
      </w:r>
      <w:r w:rsidR="00A86119" w:rsidRPr="007C4D65">
        <w:rPr>
          <w:rFonts w:asciiTheme="minorHAnsi" w:hAnsiTheme="minorHAnsi"/>
        </w:rPr>
        <w:t xml:space="preserve">Detailed overview of measures </w:t>
      </w:r>
      <w:r w:rsidR="00CD3D80" w:rsidRPr="007C4D65">
        <w:rPr>
          <w:rFonts w:asciiTheme="minorHAnsi" w:hAnsiTheme="minorHAnsi"/>
        </w:rPr>
        <w:t>for</w:t>
      </w:r>
      <w:r w:rsidR="00A86119" w:rsidRPr="007C4D65">
        <w:rPr>
          <w:rFonts w:asciiTheme="minorHAnsi" w:hAnsiTheme="minorHAnsi"/>
        </w:rPr>
        <w:t xml:space="preserve"> Biodiversity and Nature Conservation</w:t>
      </w:r>
      <w:bookmarkEnd w:id="239"/>
    </w:p>
    <w:tbl>
      <w:tblPr>
        <w:tblW w:w="4788"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7"/>
        <w:gridCol w:w="2818"/>
        <w:gridCol w:w="3427"/>
        <w:gridCol w:w="3425"/>
      </w:tblGrid>
      <w:tr w:rsidR="00005022" w:rsidRPr="007C4D65" w14:paraId="363032AD" w14:textId="77777777" w:rsidTr="00BC37DE">
        <w:trPr>
          <w:trHeight w:val="567"/>
          <w:jc w:val="center"/>
        </w:trPr>
        <w:tc>
          <w:tcPr>
            <w:tcW w:w="1380" w:type="pct"/>
            <w:shd w:val="clear" w:color="auto" w:fill="009D73"/>
            <w:vAlign w:val="center"/>
          </w:tcPr>
          <w:p w14:paraId="665F431E" w14:textId="7BB77DF9"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20" w:type="pct"/>
            <w:gridSpan w:val="3"/>
            <w:shd w:val="clear" w:color="auto" w:fill="FFFFFF"/>
            <w:vAlign w:val="center"/>
          </w:tcPr>
          <w:p w14:paraId="6F9EB26F" w14:textId="63CC48CD"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A86119" w:rsidRPr="007C4D65">
              <w:rPr>
                <w:rFonts w:asciiTheme="minorHAnsi" w:eastAsia="Calibri" w:hAnsiTheme="minorHAnsi" w:cstheme="minorHAnsi"/>
                <w:b/>
                <w:bCs/>
                <w:sz w:val="18"/>
                <w:szCs w:val="18"/>
                <w:lang w:eastAsia="en-US"/>
              </w:rPr>
              <w:t>Maintaining</w:t>
            </w:r>
            <w:r w:rsidRPr="007C4D65">
              <w:rPr>
                <w:rFonts w:asciiTheme="minorHAnsi" w:eastAsia="Calibri" w:hAnsiTheme="minorHAnsi" w:cstheme="minorHAnsi"/>
                <w:b/>
                <w:bCs/>
                <w:sz w:val="18"/>
                <w:szCs w:val="18"/>
                <w:lang w:eastAsia="en-US"/>
              </w:rPr>
              <w:t xml:space="preserve"> and </w:t>
            </w:r>
            <w:r w:rsidR="00A86119" w:rsidRPr="007C4D65">
              <w:rPr>
                <w:rFonts w:asciiTheme="minorHAnsi" w:eastAsia="Calibri" w:hAnsiTheme="minorHAnsi" w:cstheme="minorHAnsi"/>
                <w:b/>
                <w:bCs/>
                <w:sz w:val="18"/>
                <w:szCs w:val="18"/>
                <w:lang w:eastAsia="en-US"/>
              </w:rPr>
              <w:t>improving biodiversity and</w:t>
            </w:r>
            <w:r w:rsidRPr="007C4D65">
              <w:rPr>
                <w:rFonts w:asciiTheme="minorHAnsi" w:eastAsia="Calibri" w:hAnsiTheme="minorHAnsi" w:cstheme="minorHAnsi"/>
                <w:b/>
                <w:bCs/>
                <w:sz w:val="18"/>
                <w:szCs w:val="18"/>
                <w:lang w:eastAsia="en-US"/>
              </w:rPr>
              <w:t xml:space="preserve"> </w:t>
            </w:r>
            <w:r w:rsidR="00A86119" w:rsidRPr="007C4D65">
              <w:rPr>
                <w:rFonts w:asciiTheme="minorHAnsi" w:eastAsia="Calibri" w:hAnsiTheme="minorHAnsi" w:cstheme="minorHAnsi"/>
                <w:b/>
                <w:bCs/>
                <w:sz w:val="18"/>
                <w:szCs w:val="18"/>
                <w:lang w:eastAsia="en-US"/>
              </w:rPr>
              <w:t>protecting</w:t>
            </w:r>
            <w:r w:rsidRPr="007C4D65">
              <w:rPr>
                <w:rFonts w:asciiTheme="minorHAnsi" w:eastAsia="Calibri" w:hAnsiTheme="minorHAnsi" w:cstheme="minorHAnsi"/>
                <w:b/>
                <w:bCs/>
                <w:sz w:val="18"/>
                <w:szCs w:val="18"/>
                <w:lang w:eastAsia="en-US"/>
              </w:rPr>
              <w:t xml:space="preserve"> ecosystems</w:t>
            </w:r>
          </w:p>
        </w:tc>
      </w:tr>
      <w:tr w:rsidR="00005022" w:rsidRPr="007C4D65" w14:paraId="72E1F036" w14:textId="77777777" w:rsidTr="00BC37DE">
        <w:trPr>
          <w:trHeight w:val="567"/>
          <w:jc w:val="center"/>
        </w:trPr>
        <w:tc>
          <w:tcPr>
            <w:tcW w:w="1380" w:type="pct"/>
            <w:shd w:val="clear" w:color="auto" w:fill="009D73"/>
            <w:vAlign w:val="center"/>
          </w:tcPr>
          <w:p w14:paraId="7214F57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20" w:type="pct"/>
            <w:gridSpan w:val="3"/>
            <w:shd w:val="clear" w:color="auto" w:fill="FFFFFF"/>
            <w:vAlign w:val="center"/>
          </w:tcPr>
          <w:p w14:paraId="291A5956" w14:textId="1417ABA5" w:rsidR="00005022" w:rsidRPr="007C4D65" w:rsidRDefault="00005022" w:rsidP="00005022">
            <w:pPr>
              <w:spacing w:before="40" w:after="40" w:line="276" w:lineRule="auto"/>
              <w:rPr>
                <w:rFonts w:asciiTheme="minorHAnsi" w:hAnsiTheme="minorHAnsi" w:cstheme="minorHAnsi"/>
                <w:b/>
                <w:bCs/>
                <w:sz w:val="18"/>
                <w:szCs w:val="18"/>
                <w:lang w:eastAsia="zh-TW"/>
              </w:rPr>
            </w:pPr>
            <w:r w:rsidRPr="007C4D65">
              <w:rPr>
                <w:rFonts w:asciiTheme="minorHAnsi" w:eastAsiaTheme="minorHAnsi" w:hAnsiTheme="minorHAnsi" w:cstheme="minorHAnsi"/>
                <w:b/>
                <w:bCs/>
                <w:sz w:val="18"/>
                <w:szCs w:val="18"/>
                <w:lang w:eastAsia="zh-TW"/>
              </w:rPr>
              <w:t xml:space="preserve">3.1 </w:t>
            </w:r>
            <w:r w:rsidR="007508AB" w:rsidRPr="007C4D65">
              <w:rPr>
                <w:rFonts w:asciiTheme="minorHAnsi" w:eastAsiaTheme="minorHAnsi" w:hAnsiTheme="minorHAnsi" w:cstheme="minorHAnsi"/>
                <w:b/>
                <w:bCs/>
                <w:sz w:val="18"/>
                <w:szCs w:val="18"/>
                <w:lang w:eastAsia="zh-TW"/>
              </w:rPr>
              <w:t xml:space="preserve">Improving the legal framework </w:t>
            </w:r>
            <w:r w:rsidR="007436F1" w:rsidRPr="007C4D65">
              <w:rPr>
                <w:rFonts w:asciiTheme="minorHAnsi" w:eastAsiaTheme="minorHAnsi" w:hAnsiTheme="minorHAnsi" w:cstheme="minorHAnsi"/>
                <w:b/>
                <w:bCs/>
                <w:sz w:val="18"/>
                <w:szCs w:val="18"/>
                <w:lang w:eastAsia="zh-TW"/>
              </w:rPr>
              <w:t>of the Federation of BiH</w:t>
            </w:r>
            <w:r w:rsidR="007508AB" w:rsidRPr="007C4D65">
              <w:rPr>
                <w:rFonts w:asciiTheme="minorHAnsi" w:eastAsiaTheme="minorHAnsi" w:hAnsiTheme="minorHAnsi" w:cstheme="minorHAnsi"/>
                <w:b/>
                <w:bCs/>
                <w:sz w:val="18"/>
                <w:szCs w:val="18"/>
                <w:lang w:eastAsia="zh-TW"/>
              </w:rPr>
              <w:t xml:space="preserve"> for biodiversity and nature conservation through alignment of the legislation with the EU acquis and international agreements</w:t>
            </w:r>
          </w:p>
        </w:tc>
      </w:tr>
      <w:tr w:rsidR="00005022" w:rsidRPr="007C4D65" w14:paraId="434F221A" w14:textId="77777777" w:rsidTr="00BC37DE">
        <w:trPr>
          <w:trHeight w:val="567"/>
          <w:jc w:val="center"/>
        </w:trPr>
        <w:tc>
          <w:tcPr>
            <w:tcW w:w="1380" w:type="pct"/>
            <w:shd w:val="clear" w:color="auto" w:fill="009D73"/>
            <w:vAlign w:val="center"/>
          </w:tcPr>
          <w:p w14:paraId="60C93BC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20" w:type="pct"/>
            <w:gridSpan w:val="3"/>
            <w:shd w:val="clear" w:color="auto" w:fill="FFFFFF"/>
            <w:vAlign w:val="center"/>
          </w:tcPr>
          <w:p w14:paraId="230649EF" w14:textId="5C9C666E" w:rsidR="00005022" w:rsidRPr="007C4D65" w:rsidRDefault="00005022" w:rsidP="00005022">
            <w:pPr>
              <w:spacing w:before="40" w:after="40" w:line="276" w:lineRule="auto"/>
              <w:rPr>
                <w:rFonts w:asciiTheme="minorHAnsi" w:eastAsia="Calibri" w:hAnsiTheme="minorHAnsi" w:cstheme="minorHAnsi"/>
                <w:b/>
                <w:sz w:val="18"/>
                <w:szCs w:val="18"/>
                <w:lang w:eastAsia="x-none"/>
              </w:rPr>
            </w:pPr>
            <w:r w:rsidRPr="007C4D65">
              <w:rPr>
                <w:rFonts w:asciiTheme="minorHAnsi" w:eastAsia="Calibri" w:hAnsiTheme="minorHAnsi" w:cstheme="minorHAnsi"/>
                <w:b/>
                <w:sz w:val="18"/>
                <w:szCs w:val="18"/>
                <w:lang w:eastAsia="x-none"/>
              </w:rPr>
              <w:t xml:space="preserve">3.1.1 </w:t>
            </w:r>
            <w:r w:rsidR="005C62DC" w:rsidRPr="007C4D65">
              <w:rPr>
                <w:rFonts w:asciiTheme="minorHAnsi" w:eastAsia="Calibri" w:hAnsiTheme="minorHAnsi" w:cstheme="minorHAnsi"/>
                <w:b/>
                <w:sz w:val="18"/>
                <w:szCs w:val="18"/>
                <w:lang w:eastAsia="x-none"/>
              </w:rPr>
              <w:t>Align and harmonise the legislation on the preservation and sustainable use of biodiversity and nature conservation with the EU acquis and international agreements on biodiversity</w:t>
            </w:r>
          </w:p>
        </w:tc>
      </w:tr>
      <w:tr w:rsidR="00005022" w:rsidRPr="007C4D65" w14:paraId="3A1C0EDA" w14:textId="77777777" w:rsidTr="00BC37DE">
        <w:trPr>
          <w:trHeight w:val="567"/>
          <w:jc w:val="center"/>
        </w:trPr>
        <w:tc>
          <w:tcPr>
            <w:tcW w:w="1380" w:type="pct"/>
            <w:shd w:val="clear" w:color="auto" w:fill="009D73"/>
            <w:vAlign w:val="center"/>
          </w:tcPr>
          <w:p w14:paraId="4DDC15D6" w14:textId="77777777" w:rsidR="00005022" w:rsidRPr="007C4D65" w:rsidRDefault="00005022" w:rsidP="0023731A">
            <w:pPr>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20" w:type="pct"/>
            <w:gridSpan w:val="3"/>
            <w:shd w:val="clear" w:color="auto" w:fill="FFFFFF"/>
            <w:vAlign w:val="center"/>
          </w:tcPr>
          <w:p w14:paraId="0F3E9D25" w14:textId="3BFA31B6" w:rsidR="00005022" w:rsidRPr="007C4D65" w:rsidRDefault="00005022" w:rsidP="0023731A">
            <w:pPr>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to create an adequate and harmonized legal basis for the enforcement of the provisions of the EU </w:t>
            </w:r>
            <w:r w:rsidRPr="007C4D65">
              <w:rPr>
                <w:rFonts w:asciiTheme="minorHAnsi" w:eastAsia="Calibri" w:hAnsiTheme="minorHAnsi" w:cstheme="minorHAnsi"/>
                <w:i/>
                <w:iCs/>
                <w:sz w:val="18"/>
                <w:szCs w:val="18"/>
                <w:lang w:eastAsia="en-US"/>
              </w:rPr>
              <w:t>acquis</w:t>
            </w:r>
            <w:r w:rsidRPr="007C4D65">
              <w:rPr>
                <w:rFonts w:asciiTheme="minorHAnsi" w:eastAsia="Calibri" w:hAnsiTheme="minorHAnsi" w:cstheme="minorHAnsi"/>
                <w:sz w:val="18"/>
                <w:szCs w:val="18"/>
                <w:lang w:eastAsia="en-US"/>
              </w:rPr>
              <w:t xml:space="preserve"> and ratified international agreements on biodiversity, in the respective administrations and in the relevant sectors</w:t>
            </w:r>
            <w:r w:rsidR="005C62DC" w:rsidRPr="007C4D65">
              <w:rPr>
                <w:rFonts w:asciiTheme="minorHAnsi" w:eastAsia="Calibri" w:hAnsiTheme="minorHAnsi" w:cstheme="minorHAnsi"/>
                <w:sz w:val="18"/>
                <w:szCs w:val="18"/>
                <w:lang w:eastAsia="en-US"/>
              </w:rPr>
              <w:t xml:space="preserve"> in the Federation of BiH</w:t>
            </w:r>
            <w:r w:rsidRPr="007C4D65">
              <w:rPr>
                <w:rFonts w:asciiTheme="minorHAnsi" w:eastAsia="Calibri" w:hAnsiTheme="minorHAnsi" w:cstheme="minorHAnsi"/>
                <w:sz w:val="18"/>
                <w:szCs w:val="18"/>
                <w:lang w:eastAsia="en-US"/>
              </w:rPr>
              <w:t>.</w:t>
            </w:r>
          </w:p>
          <w:p w14:paraId="701F4538" w14:textId="1DED0AD6" w:rsidR="00005022" w:rsidRPr="007C4D65" w:rsidRDefault="005C62DC" w:rsidP="0023731A">
            <w:pPr>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General areas of intervention include</w:t>
            </w:r>
            <w:r w:rsidR="00005022" w:rsidRPr="007C4D65">
              <w:rPr>
                <w:rFonts w:asciiTheme="minorHAnsi" w:eastAsia="Calibri" w:hAnsiTheme="minorHAnsi" w:cstheme="minorHAnsi"/>
                <w:sz w:val="18"/>
                <w:szCs w:val="18"/>
                <w:lang w:eastAsia="en-US"/>
              </w:rPr>
              <w:t>:</w:t>
            </w:r>
          </w:p>
          <w:p w14:paraId="7AAF58B2" w14:textId="14776BD2" w:rsidR="00005022" w:rsidRPr="007C4D65" w:rsidRDefault="00005022" w:rsidP="0023731A">
            <w:pPr>
              <w:rPr>
                <w:rFonts w:asciiTheme="minorHAnsi" w:eastAsia="Calibri" w:hAnsiTheme="minorHAnsi" w:cstheme="minorHAnsi"/>
                <w:sz w:val="18"/>
                <w:szCs w:val="18"/>
                <w:lang w:eastAsia="x-none"/>
              </w:rPr>
            </w:pPr>
            <w:r w:rsidRPr="007C4D65">
              <w:rPr>
                <w:rFonts w:asciiTheme="minorHAnsi" w:eastAsia="Calibri" w:hAnsiTheme="minorHAnsi" w:cstheme="minorHAnsi"/>
                <w:b/>
                <w:bCs/>
                <w:sz w:val="18"/>
                <w:szCs w:val="18"/>
                <w:lang w:eastAsia="x-none"/>
              </w:rPr>
              <w:t xml:space="preserve">a. Improve the legal framework </w:t>
            </w:r>
            <w:r w:rsidR="005C62DC" w:rsidRPr="007C4D65">
              <w:rPr>
                <w:rFonts w:asciiTheme="minorHAnsi" w:eastAsia="Calibri" w:hAnsiTheme="minorHAnsi" w:cstheme="minorHAnsi"/>
                <w:b/>
                <w:bCs/>
                <w:sz w:val="18"/>
                <w:szCs w:val="18"/>
                <w:lang w:eastAsia="x-none"/>
              </w:rPr>
              <w:t>on</w:t>
            </w:r>
            <w:r w:rsidRPr="007C4D65">
              <w:rPr>
                <w:rFonts w:asciiTheme="minorHAnsi" w:eastAsia="Calibri" w:hAnsiTheme="minorHAnsi" w:cstheme="minorHAnsi"/>
                <w:b/>
                <w:bCs/>
                <w:sz w:val="18"/>
                <w:szCs w:val="18"/>
                <w:lang w:eastAsia="x-none"/>
              </w:rPr>
              <w:t xml:space="preserve"> </w:t>
            </w:r>
            <w:r w:rsidR="005C62DC" w:rsidRPr="007C4D65">
              <w:rPr>
                <w:rFonts w:asciiTheme="minorHAnsi" w:eastAsia="Calibri" w:hAnsiTheme="minorHAnsi" w:cstheme="minorHAnsi"/>
                <w:b/>
                <w:bCs/>
                <w:sz w:val="18"/>
                <w:szCs w:val="18"/>
                <w:lang w:eastAsia="x-none"/>
              </w:rPr>
              <w:t xml:space="preserve">the </w:t>
            </w:r>
            <w:r w:rsidRPr="007C4D65">
              <w:rPr>
                <w:rFonts w:asciiTheme="minorHAnsi" w:eastAsia="Calibri" w:hAnsiTheme="minorHAnsi" w:cstheme="minorHAnsi"/>
                <w:b/>
                <w:bCs/>
                <w:sz w:val="18"/>
                <w:szCs w:val="18"/>
                <w:lang w:eastAsia="x-none"/>
              </w:rPr>
              <w:t xml:space="preserve">conservation of biological and landscape diversity of the </w:t>
            </w:r>
            <w:r w:rsidR="005C62DC" w:rsidRPr="007C4D65">
              <w:rPr>
                <w:rFonts w:asciiTheme="minorHAnsi" w:eastAsia="Calibri" w:hAnsiTheme="minorHAnsi" w:cstheme="minorHAnsi"/>
                <w:b/>
                <w:bCs/>
                <w:sz w:val="18"/>
                <w:szCs w:val="18"/>
                <w:lang w:eastAsia="x-none"/>
              </w:rPr>
              <w:t>Federation of BiH</w:t>
            </w:r>
            <w:r w:rsidR="00CD3560" w:rsidRPr="007C4D65">
              <w:rPr>
                <w:rFonts w:asciiTheme="minorHAnsi" w:eastAsia="Calibri" w:hAnsiTheme="minorHAnsi" w:cstheme="minorHAnsi"/>
                <w:b/>
                <w:bCs/>
                <w:sz w:val="18"/>
                <w:szCs w:val="18"/>
                <w:lang w:eastAsia="x-none"/>
              </w:rPr>
              <w:t>:</w:t>
            </w:r>
          </w:p>
          <w:p w14:paraId="33EA9F79" w14:textId="447018B4" w:rsidR="00005022" w:rsidRPr="007C4D65" w:rsidRDefault="00005022" w:rsidP="0023731A">
            <w:pPr>
              <w:rPr>
                <w:rFonts w:asciiTheme="minorHAnsi" w:eastAsia="Calibri" w:hAnsiTheme="minorHAnsi" w:cstheme="minorHAnsi"/>
                <w:bCs/>
                <w:sz w:val="18"/>
                <w:szCs w:val="18"/>
                <w:lang w:eastAsia="x-none"/>
              </w:rPr>
            </w:pPr>
            <w:bookmarkStart w:id="240" w:name="_Toc96869539"/>
            <w:bookmarkStart w:id="241" w:name="_Toc115935655"/>
            <w:bookmarkStart w:id="242" w:name="_Hlk94472183"/>
            <w:r w:rsidRPr="007C4D65">
              <w:rPr>
                <w:rFonts w:asciiTheme="minorHAnsi" w:eastAsia="Calibri" w:hAnsiTheme="minorHAnsi" w:cstheme="minorHAnsi"/>
                <w:bCs/>
                <w:sz w:val="18"/>
                <w:szCs w:val="18"/>
                <w:lang w:eastAsia="x-none"/>
              </w:rPr>
              <w:t xml:space="preserve">Further align the Law on Nature Conservation with Council Directive 92/43/EEC of 21 May 1992 on the conservation of natural habitats and wild fauna and </w:t>
            </w:r>
            <w:proofErr w:type="gramStart"/>
            <w:r w:rsidRPr="007C4D65">
              <w:rPr>
                <w:rFonts w:asciiTheme="minorHAnsi" w:eastAsia="Calibri" w:hAnsiTheme="minorHAnsi" w:cstheme="minorHAnsi"/>
                <w:bCs/>
                <w:sz w:val="18"/>
                <w:szCs w:val="18"/>
                <w:lang w:eastAsia="x-none"/>
              </w:rPr>
              <w:t>flora</w:t>
            </w:r>
            <w:bookmarkEnd w:id="240"/>
            <w:bookmarkEnd w:id="241"/>
            <w:r w:rsidR="00CD3560" w:rsidRPr="007C4D65">
              <w:rPr>
                <w:rFonts w:asciiTheme="minorHAnsi" w:eastAsia="Calibri" w:hAnsiTheme="minorHAnsi" w:cstheme="minorHAnsi"/>
                <w:bCs/>
                <w:sz w:val="18"/>
                <w:szCs w:val="18"/>
                <w:lang w:eastAsia="x-none"/>
              </w:rPr>
              <w:t>;</w:t>
            </w:r>
            <w:proofErr w:type="gramEnd"/>
          </w:p>
          <w:p w14:paraId="4AF4B3B5" w14:textId="1B707AD3" w:rsidR="00005022" w:rsidRPr="007C4D65" w:rsidRDefault="00005022" w:rsidP="0023731A">
            <w:pPr>
              <w:rPr>
                <w:rFonts w:asciiTheme="minorHAnsi" w:eastAsia="Calibri" w:hAnsiTheme="minorHAnsi" w:cstheme="minorHAnsi"/>
                <w:bCs/>
                <w:sz w:val="18"/>
                <w:szCs w:val="18"/>
                <w:lang w:eastAsia="x-none"/>
              </w:rPr>
            </w:pPr>
            <w:bookmarkStart w:id="243" w:name="_Toc96869540"/>
            <w:bookmarkStart w:id="244" w:name="_Toc115935656"/>
            <w:r w:rsidRPr="007C4D65">
              <w:rPr>
                <w:rFonts w:asciiTheme="minorHAnsi" w:eastAsia="Calibri" w:hAnsiTheme="minorHAnsi" w:cstheme="minorHAnsi"/>
                <w:bCs/>
                <w:sz w:val="18"/>
                <w:szCs w:val="18"/>
                <w:lang w:eastAsia="x-none"/>
              </w:rPr>
              <w:t>Further align the Law on Nature Conservation</w:t>
            </w:r>
            <w:r w:rsidR="005C62DC" w:rsidRPr="007C4D65">
              <w:rPr>
                <w:rFonts w:asciiTheme="minorHAnsi" w:eastAsia="Calibri" w:hAnsiTheme="minorHAnsi" w:cstheme="minorHAnsi"/>
                <w:bCs/>
                <w:sz w:val="18"/>
                <w:szCs w:val="18"/>
                <w:lang w:eastAsia="x-none"/>
              </w:rPr>
              <w:t xml:space="preserve"> of the Federation of BiH</w:t>
            </w:r>
            <w:r w:rsidRPr="007C4D65">
              <w:rPr>
                <w:rFonts w:asciiTheme="minorHAnsi" w:eastAsia="Calibri" w:hAnsiTheme="minorHAnsi" w:cstheme="minorHAnsi"/>
                <w:bCs/>
                <w:sz w:val="18"/>
                <w:szCs w:val="18"/>
                <w:lang w:eastAsia="x-none"/>
              </w:rPr>
              <w:t xml:space="preserve"> with Directive 2009/147/EC of the European Parliament and the Council, of 30 November 2009, on the conservation of wild birds (codified version of Directive 79/406/EC and its amendments</w:t>
            </w:r>
            <w:proofErr w:type="gramStart"/>
            <w:r w:rsidRPr="007C4D65">
              <w:rPr>
                <w:rFonts w:asciiTheme="minorHAnsi" w:eastAsia="Calibri" w:hAnsiTheme="minorHAnsi" w:cstheme="minorHAnsi"/>
                <w:bCs/>
                <w:sz w:val="18"/>
                <w:szCs w:val="18"/>
                <w:lang w:eastAsia="x-none"/>
              </w:rPr>
              <w:t>)</w:t>
            </w:r>
            <w:bookmarkEnd w:id="243"/>
            <w:bookmarkEnd w:id="244"/>
            <w:r w:rsidR="00CD3560" w:rsidRPr="007C4D65">
              <w:rPr>
                <w:rFonts w:asciiTheme="minorHAnsi" w:eastAsia="Calibri" w:hAnsiTheme="minorHAnsi" w:cstheme="minorHAnsi"/>
                <w:bCs/>
                <w:sz w:val="18"/>
                <w:szCs w:val="18"/>
                <w:lang w:eastAsia="x-none"/>
              </w:rPr>
              <w:t>;</w:t>
            </w:r>
            <w:proofErr w:type="gramEnd"/>
          </w:p>
          <w:p w14:paraId="289EFCEC" w14:textId="12456EA9" w:rsidR="00005022" w:rsidRPr="007C4D65" w:rsidRDefault="005C62DC" w:rsidP="0023731A">
            <w:pPr>
              <w:rPr>
                <w:rFonts w:asciiTheme="minorHAnsi" w:eastAsia="Calibri" w:hAnsiTheme="minorHAnsi" w:cstheme="minorHAnsi"/>
                <w:bCs/>
                <w:sz w:val="18"/>
                <w:szCs w:val="18"/>
                <w:lang w:eastAsia="x-none"/>
              </w:rPr>
            </w:pPr>
            <w:bookmarkStart w:id="245" w:name="_Toc96869541"/>
            <w:bookmarkStart w:id="246" w:name="_Toc115935657"/>
            <w:r w:rsidRPr="007C4D65">
              <w:rPr>
                <w:rFonts w:asciiTheme="minorHAnsi" w:eastAsia="Calibri" w:hAnsiTheme="minorHAnsi" w:cstheme="minorHAnsi"/>
                <w:bCs/>
                <w:sz w:val="18"/>
                <w:szCs w:val="18"/>
                <w:lang w:eastAsia="x-none"/>
              </w:rPr>
              <w:t>Further align</w:t>
            </w:r>
            <w:r w:rsidR="00005022" w:rsidRPr="007C4D65">
              <w:rPr>
                <w:rFonts w:asciiTheme="minorHAnsi" w:eastAsia="Calibri" w:hAnsiTheme="minorHAnsi" w:cstheme="minorHAnsi"/>
                <w:bCs/>
                <w:sz w:val="18"/>
                <w:szCs w:val="18"/>
                <w:lang w:eastAsia="x-none"/>
              </w:rPr>
              <w:t xml:space="preserve"> the Law on Nature Conservation</w:t>
            </w:r>
            <w:r w:rsidRPr="007C4D65">
              <w:rPr>
                <w:rFonts w:asciiTheme="minorHAnsi" w:eastAsia="Calibri" w:hAnsiTheme="minorHAnsi" w:cstheme="minorHAnsi"/>
                <w:bCs/>
                <w:sz w:val="18"/>
                <w:szCs w:val="18"/>
                <w:lang w:eastAsia="x-none"/>
              </w:rPr>
              <w:t xml:space="preserve"> of the Federation of BiH</w:t>
            </w:r>
            <w:r w:rsidR="00005022" w:rsidRPr="007C4D65">
              <w:rPr>
                <w:rFonts w:asciiTheme="minorHAnsi" w:eastAsia="Calibri" w:hAnsiTheme="minorHAnsi" w:cstheme="minorHAnsi"/>
                <w:bCs/>
                <w:sz w:val="18"/>
                <w:szCs w:val="18"/>
                <w:lang w:eastAsia="x-none"/>
              </w:rPr>
              <w:t xml:space="preserve"> with the Council Regulation (EC), No. 338/97 of 9 December 1996, on the protection of species of wild fauna and flora by regulating their trade and with the CITES Convention</w:t>
            </w:r>
            <w:bookmarkEnd w:id="245"/>
            <w:bookmarkEnd w:id="246"/>
          </w:p>
          <w:p w14:paraId="7659BF39" w14:textId="4524A46E" w:rsidR="00005022" w:rsidRPr="007C4D65" w:rsidRDefault="00005022" w:rsidP="0023731A">
            <w:pPr>
              <w:rPr>
                <w:rFonts w:asciiTheme="minorHAnsi" w:eastAsia="Calibri" w:hAnsiTheme="minorHAnsi" w:cstheme="minorHAnsi"/>
                <w:bCs/>
                <w:sz w:val="18"/>
                <w:szCs w:val="18"/>
                <w:lang w:eastAsia="x-none"/>
              </w:rPr>
            </w:pPr>
            <w:bookmarkStart w:id="247" w:name="_Toc96869542"/>
            <w:bookmarkStart w:id="248" w:name="_Toc115935658"/>
            <w:r w:rsidRPr="007C4D65">
              <w:rPr>
                <w:rFonts w:asciiTheme="minorHAnsi" w:eastAsia="Calibri" w:hAnsiTheme="minorHAnsi" w:cstheme="minorHAnsi"/>
                <w:bCs/>
                <w:sz w:val="18"/>
                <w:szCs w:val="18"/>
                <w:lang w:eastAsia="x-none"/>
              </w:rPr>
              <w:t>Harmonize the Law on Nature Conservation</w:t>
            </w:r>
            <w:r w:rsidR="005C62DC" w:rsidRPr="007C4D65">
              <w:rPr>
                <w:rFonts w:asciiTheme="minorHAnsi" w:eastAsia="Calibri" w:hAnsiTheme="minorHAnsi" w:cstheme="minorHAnsi"/>
                <w:bCs/>
                <w:sz w:val="18"/>
                <w:szCs w:val="18"/>
                <w:lang w:eastAsia="x-none"/>
              </w:rPr>
              <w:t xml:space="preserve"> of the Federation of BiH</w:t>
            </w:r>
            <w:r w:rsidRPr="007C4D65">
              <w:rPr>
                <w:rFonts w:asciiTheme="minorHAnsi" w:eastAsia="Calibri" w:hAnsiTheme="minorHAnsi" w:cstheme="minorHAnsi"/>
                <w:bCs/>
                <w:sz w:val="18"/>
                <w:szCs w:val="18"/>
                <w:lang w:eastAsia="x-none"/>
              </w:rPr>
              <w:t xml:space="preserve"> with the Convention on the Conservation of Migratory Species of Wild Animals (CMS) and the AEWA </w:t>
            </w:r>
            <w:proofErr w:type="gramStart"/>
            <w:r w:rsidRPr="007C4D65">
              <w:rPr>
                <w:rFonts w:asciiTheme="minorHAnsi" w:eastAsia="Calibri" w:hAnsiTheme="minorHAnsi" w:cstheme="minorHAnsi"/>
                <w:bCs/>
                <w:sz w:val="18"/>
                <w:szCs w:val="18"/>
                <w:lang w:eastAsia="x-none"/>
              </w:rPr>
              <w:t>Agreement</w:t>
            </w:r>
            <w:bookmarkEnd w:id="247"/>
            <w:bookmarkEnd w:id="248"/>
            <w:r w:rsidR="00CD3560" w:rsidRPr="007C4D65">
              <w:rPr>
                <w:rFonts w:asciiTheme="minorHAnsi" w:eastAsia="Calibri" w:hAnsiTheme="minorHAnsi" w:cstheme="minorHAnsi"/>
                <w:bCs/>
                <w:sz w:val="18"/>
                <w:szCs w:val="18"/>
                <w:lang w:eastAsia="x-none"/>
              </w:rPr>
              <w:t>;</w:t>
            </w:r>
            <w:proofErr w:type="gramEnd"/>
          </w:p>
          <w:p w14:paraId="6C09F793" w14:textId="29C4D725" w:rsidR="00005022" w:rsidRPr="007C4D65" w:rsidRDefault="00005022" w:rsidP="0023731A">
            <w:pPr>
              <w:rPr>
                <w:rFonts w:asciiTheme="minorHAnsi" w:eastAsia="Calibri" w:hAnsiTheme="minorHAnsi" w:cstheme="minorHAnsi"/>
                <w:bCs/>
                <w:sz w:val="18"/>
                <w:szCs w:val="18"/>
                <w:lang w:eastAsia="x-none"/>
              </w:rPr>
            </w:pPr>
            <w:bookmarkStart w:id="249" w:name="_Toc96869543"/>
            <w:bookmarkStart w:id="250" w:name="_Toc115935659"/>
            <w:r w:rsidRPr="007C4D65">
              <w:rPr>
                <w:rFonts w:asciiTheme="minorHAnsi" w:eastAsia="Calibri" w:hAnsiTheme="minorHAnsi" w:cstheme="minorHAnsi"/>
                <w:bCs/>
                <w:sz w:val="18"/>
                <w:szCs w:val="18"/>
                <w:lang w:eastAsia="x-none"/>
              </w:rPr>
              <w:lastRenderedPageBreak/>
              <w:t>Develop a legal basis for the implementation of the Nagoya Protocol and the additional Kuala Lumpur Protocol in</w:t>
            </w:r>
            <w:r w:rsidR="005C62DC" w:rsidRPr="007C4D65">
              <w:rPr>
                <w:rFonts w:asciiTheme="minorHAnsi" w:eastAsia="Calibri" w:hAnsiTheme="minorHAnsi" w:cstheme="minorHAnsi"/>
                <w:bCs/>
                <w:sz w:val="18"/>
                <w:szCs w:val="18"/>
                <w:lang w:eastAsia="x-none"/>
              </w:rPr>
              <w:t xml:space="preserve"> the Federation of BiH</w:t>
            </w:r>
            <w:bookmarkEnd w:id="249"/>
            <w:bookmarkEnd w:id="250"/>
            <w:r w:rsidR="00CD3560" w:rsidRPr="007C4D65">
              <w:rPr>
                <w:rFonts w:asciiTheme="minorHAnsi" w:eastAsia="Calibri" w:hAnsiTheme="minorHAnsi" w:cstheme="minorHAnsi"/>
                <w:bCs/>
                <w:sz w:val="18"/>
                <w:szCs w:val="18"/>
                <w:lang w:eastAsia="x-none"/>
              </w:rPr>
              <w:t>.</w:t>
            </w:r>
          </w:p>
          <w:bookmarkEnd w:id="242"/>
          <w:p w14:paraId="53A4A954" w14:textId="3082790F" w:rsidR="005C62DC" w:rsidRPr="007C4D65" w:rsidRDefault="00005022" w:rsidP="0023731A">
            <w:pPr>
              <w:rPr>
                <w:rFonts w:asciiTheme="minorHAnsi" w:eastAsia="Calibri" w:hAnsiTheme="minorHAnsi" w:cstheme="minorHAnsi"/>
                <w:sz w:val="18"/>
                <w:szCs w:val="18"/>
                <w:lang w:eastAsia="x-none"/>
              </w:rPr>
            </w:pPr>
            <w:r w:rsidRPr="007C4D65">
              <w:rPr>
                <w:rFonts w:asciiTheme="minorHAnsi" w:eastAsia="Calibri" w:hAnsiTheme="minorHAnsi" w:cstheme="minorHAnsi"/>
                <w:b/>
                <w:bCs/>
                <w:sz w:val="18"/>
                <w:szCs w:val="18"/>
                <w:lang w:eastAsia="x-none"/>
              </w:rPr>
              <w:t xml:space="preserve">b. </w:t>
            </w:r>
            <w:bookmarkStart w:id="251" w:name="_Hlk94472468"/>
            <w:r w:rsidRPr="007C4D65">
              <w:rPr>
                <w:rFonts w:asciiTheme="minorHAnsi" w:eastAsia="Calibri" w:hAnsiTheme="minorHAnsi" w:cstheme="minorHAnsi"/>
                <w:b/>
                <w:bCs/>
                <w:sz w:val="18"/>
                <w:szCs w:val="18"/>
                <w:lang w:eastAsia="x-none"/>
              </w:rPr>
              <w:t xml:space="preserve">Improve the process of vertical harmonization of the </w:t>
            </w:r>
            <w:r w:rsidR="005C62DC" w:rsidRPr="007C4D65">
              <w:rPr>
                <w:rFonts w:asciiTheme="minorHAnsi" w:eastAsia="Calibri" w:hAnsiTheme="minorHAnsi" w:cstheme="minorHAnsi"/>
                <w:b/>
                <w:bCs/>
                <w:sz w:val="18"/>
                <w:szCs w:val="18"/>
                <w:lang w:eastAsia="x-none"/>
              </w:rPr>
              <w:t>legislation</w:t>
            </w:r>
            <w:r w:rsidRPr="007C4D65">
              <w:rPr>
                <w:rFonts w:asciiTheme="minorHAnsi" w:eastAsia="Calibri" w:hAnsiTheme="minorHAnsi" w:cstheme="minorHAnsi"/>
                <w:b/>
                <w:bCs/>
                <w:sz w:val="18"/>
                <w:szCs w:val="18"/>
                <w:lang w:eastAsia="x-none"/>
              </w:rPr>
              <w:t xml:space="preserve"> </w:t>
            </w:r>
            <w:r w:rsidR="005C62DC" w:rsidRPr="007C4D65">
              <w:rPr>
                <w:rFonts w:asciiTheme="minorHAnsi" w:eastAsia="Calibri" w:hAnsiTheme="minorHAnsi" w:cstheme="minorHAnsi"/>
                <w:b/>
                <w:bCs/>
                <w:sz w:val="18"/>
                <w:szCs w:val="18"/>
                <w:lang w:eastAsia="x-none"/>
              </w:rPr>
              <w:t>on</w:t>
            </w:r>
            <w:r w:rsidRPr="007C4D65">
              <w:rPr>
                <w:rFonts w:asciiTheme="minorHAnsi" w:eastAsia="Calibri" w:hAnsiTheme="minorHAnsi" w:cstheme="minorHAnsi"/>
                <w:b/>
                <w:bCs/>
                <w:sz w:val="18"/>
                <w:szCs w:val="18"/>
                <w:lang w:eastAsia="x-none"/>
              </w:rPr>
              <w:t xml:space="preserve"> the conservation of biological and landscape diversity </w:t>
            </w:r>
            <w:r w:rsidR="005C62DC" w:rsidRPr="007C4D65">
              <w:rPr>
                <w:rFonts w:asciiTheme="minorHAnsi" w:eastAsia="Calibri" w:hAnsiTheme="minorHAnsi" w:cstheme="minorHAnsi"/>
                <w:bCs/>
                <w:sz w:val="18"/>
                <w:szCs w:val="18"/>
                <w:lang w:eastAsia="x-none"/>
              </w:rPr>
              <w:t>of the Federation of BiH</w:t>
            </w:r>
            <w:r w:rsidR="00CD3560" w:rsidRPr="007C4D65">
              <w:rPr>
                <w:rFonts w:asciiTheme="minorHAnsi" w:eastAsia="Calibri" w:hAnsiTheme="minorHAnsi" w:cstheme="minorHAnsi"/>
                <w:sz w:val="18"/>
                <w:szCs w:val="18"/>
                <w:lang w:eastAsia="x-none"/>
              </w:rPr>
              <w:t>:</w:t>
            </w:r>
          </w:p>
          <w:p w14:paraId="1D97B9CA" w14:textId="186AF21E" w:rsidR="00005022" w:rsidRPr="007C4D65" w:rsidRDefault="00005022" w:rsidP="0023731A">
            <w:pPr>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Harmonize the </w:t>
            </w:r>
            <w:r w:rsidR="005C62DC" w:rsidRPr="007C4D65">
              <w:rPr>
                <w:rFonts w:asciiTheme="minorHAnsi" w:eastAsia="Calibri" w:hAnsiTheme="minorHAnsi" w:cstheme="minorHAnsi"/>
                <w:sz w:val="18"/>
                <w:szCs w:val="18"/>
                <w:lang w:eastAsia="x-none"/>
              </w:rPr>
              <w:t>legislation</w:t>
            </w:r>
            <w:r w:rsidRPr="007C4D65">
              <w:rPr>
                <w:rFonts w:asciiTheme="minorHAnsi" w:eastAsia="Calibri" w:hAnsiTheme="minorHAnsi" w:cstheme="minorHAnsi"/>
                <w:sz w:val="18"/>
                <w:szCs w:val="18"/>
                <w:lang w:eastAsia="x-none"/>
              </w:rPr>
              <w:t xml:space="preserve"> </w:t>
            </w:r>
            <w:r w:rsidR="005C62DC" w:rsidRPr="007C4D65">
              <w:rPr>
                <w:rFonts w:asciiTheme="minorHAnsi" w:eastAsia="Calibri" w:hAnsiTheme="minorHAnsi" w:cstheme="minorHAnsi"/>
                <w:sz w:val="18"/>
                <w:szCs w:val="18"/>
                <w:lang w:eastAsia="x-none"/>
              </w:rPr>
              <w:t>on</w:t>
            </w:r>
            <w:r w:rsidRPr="007C4D65">
              <w:rPr>
                <w:rFonts w:asciiTheme="minorHAnsi" w:eastAsia="Calibri" w:hAnsiTheme="minorHAnsi" w:cstheme="minorHAnsi"/>
                <w:sz w:val="18"/>
                <w:szCs w:val="18"/>
                <w:lang w:eastAsia="x-none"/>
              </w:rPr>
              <w:t xml:space="preserve"> nature conservation with the EU </w:t>
            </w:r>
            <w:r w:rsidRPr="007C4D65">
              <w:rPr>
                <w:rFonts w:asciiTheme="minorHAnsi" w:eastAsia="Calibri" w:hAnsiTheme="minorHAnsi" w:cstheme="minorHAnsi"/>
                <w:i/>
                <w:iCs/>
                <w:sz w:val="18"/>
                <w:szCs w:val="18"/>
                <w:lang w:eastAsia="x-none"/>
              </w:rPr>
              <w:t>acquis</w:t>
            </w:r>
            <w:r w:rsidRPr="007C4D65">
              <w:rPr>
                <w:rFonts w:asciiTheme="minorHAnsi" w:eastAsia="Calibri" w:hAnsiTheme="minorHAnsi" w:cstheme="minorHAnsi"/>
                <w:sz w:val="18"/>
                <w:szCs w:val="18"/>
                <w:lang w:eastAsia="x-none"/>
              </w:rPr>
              <w:t xml:space="preserve"> and the legislation of BiH, RS and the Brcko </w:t>
            </w:r>
            <w:proofErr w:type="gramStart"/>
            <w:r w:rsidRPr="007C4D65">
              <w:rPr>
                <w:rFonts w:asciiTheme="minorHAnsi" w:eastAsia="Calibri" w:hAnsiTheme="minorHAnsi" w:cstheme="minorHAnsi"/>
                <w:sz w:val="18"/>
                <w:szCs w:val="18"/>
                <w:lang w:eastAsia="x-none"/>
              </w:rPr>
              <w:t>District</w:t>
            </w:r>
            <w:r w:rsidR="00CD3560" w:rsidRPr="007C4D65">
              <w:rPr>
                <w:rFonts w:asciiTheme="minorHAnsi" w:eastAsia="Calibri" w:hAnsiTheme="minorHAnsi" w:cstheme="minorHAnsi"/>
                <w:sz w:val="18"/>
                <w:szCs w:val="18"/>
                <w:lang w:eastAsia="x-none"/>
              </w:rPr>
              <w:t>;</w:t>
            </w:r>
            <w:proofErr w:type="gramEnd"/>
          </w:p>
          <w:p w14:paraId="60BF332D" w14:textId="59D72F2E" w:rsidR="00005022" w:rsidRPr="007C4D65" w:rsidRDefault="00005022" w:rsidP="0023731A">
            <w:pPr>
              <w:rPr>
                <w:rFonts w:asciiTheme="minorHAnsi" w:eastAsia="Calibri" w:hAnsiTheme="minorHAnsi" w:cstheme="minorHAnsi"/>
                <w:i/>
                <w:iCs/>
                <w:sz w:val="18"/>
                <w:szCs w:val="18"/>
                <w:lang w:eastAsia="x-none"/>
              </w:rPr>
            </w:pPr>
            <w:r w:rsidRPr="007C4D65">
              <w:rPr>
                <w:rFonts w:asciiTheme="minorHAnsi" w:eastAsia="Calibri" w:hAnsiTheme="minorHAnsi" w:cstheme="minorHAnsi"/>
                <w:sz w:val="18"/>
                <w:szCs w:val="18"/>
                <w:lang w:eastAsia="x-none"/>
              </w:rPr>
              <w:t xml:space="preserve">Coordinate the improvement of the </w:t>
            </w:r>
            <w:r w:rsidR="005C62DC" w:rsidRPr="007C4D65">
              <w:rPr>
                <w:rFonts w:asciiTheme="minorHAnsi" w:eastAsia="Calibri" w:hAnsiTheme="minorHAnsi" w:cstheme="minorHAnsi"/>
                <w:sz w:val="18"/>
                <w:szCs w:val="18"/>
                <w:lang w:eastAsia="x-none"/>
              </w:rPr>
              <w:t>legal framework</w:t>
            </w:r>
            <w:r w:rsidRPr="007C4D65">
              <w:rPr>
                <w:rFonts w:asciiTheme="minorHAnsi" w:eastAsia="Calibri" w:hAnsiTheme="minorHAnsi" w:cstheme="minorHAnsi"/>
                <w:sz w:val="18"/>
                <w:szCs w:val="18"/>
                <w:lang w:eastAsia="x-none"/>
              </w:rPr>
              <w:t xml:space="preserve"> and implementation of legislation </w:t>
            </w:r>
            <w:r w:rsidR="005C62DC" w:rsidRPr="007C4D65">
              <w:rPr>
                <w:rFonts w:asciiTheme="minorHAnsi" w:eastAsia="Calibri" w:hAnsiTheme="minorHAnsi" w:cstheme="minorHAnsi"/>
                <w:sz w:val="18"/>
                <w:szCs w:val="18"/>
                <w:lang w:eastAsia="x-none"/>
              </w:rPr>
              <w:t>on</w:t>
            </w:r>
            <w:r w:rsidRPr="007C4D65">
              <w:rPr>
                <w:rFonts w:asciiTheme="minorHAnsi" w:eastAsia="Calibri" w:hAnsiTheme="minorHAnsi" w:cstheme="minorHAnsi"/>
                <w:sz w:val="18"/>
                <w:szCs w:val="18"/>
                <w:lang w:eastAsia="x-none"/>
              </w:rPr>
              <w:t xml:space="preserve"> nature conservation </w:t>
            </w:r>
            <w:r w:rsidR="005C62DC" w:rsidRPr="007C4D65">
              <w:rPr>
                <w:rFonts w:asciiTheme="minorHAnsi" w:eastAsia="Calibri" w:hAnsiTheme="minorHAnsi" w:cstheme="minorHAnsi"/>
                <w:bCs/>
                <w:sz w:val="18"/>
                <w:szCs w:val="18"/>
                <w:lang w:eastAsia="x-none"/>
              </w:rPr>
              <w:t xml:space="preserve">in the Federation of BiH, </w:t>
            </w:r>
            <w:r w:rsidR="005C62DC" w:rsidRPr="007C4D65">
              <w:rPr>
                <w:rFonts w:asciiTheme="minorHAnsi" w:eastAsia="Calibri" w:hAnsiTheme="minorHAnsi" w:cstheme="minorHAnsi"/>
                <w:sz w:val="18"/>
                <w:szCs w:val="18"/>
                <w:lang w:eastAsia="x-none"/>
              </w:rPr>
              <w:t>c</w:t>
            </w:r>
            <w:r w:rsidRPr="007C4D65">
              <w:rPr>
                <w:rFonts w:asciiTheme="minorHAnsi" w:eastAsia="Calibri" w:hAnsiTheme="minorHAnsi" w:cstheme="minorHAnsi"/>
                <w:sz w:val="18"/>
                <w:szCs w:val="18"/>
                <w:lang w:eastAsia="x-none"/>
              </w:rPr>
              <w:t xml:space="preserve">antons in accordance with the EU </w:t>
            </w:r>
            <w:r w:rsidRPr="007C4D65">
              <w:rPr>
                <w:rFonts w:asciiTheme="minorHAnsi" w:eastAsia="Calibri" w:hAnsiTheme="minorHAnsi" w:cstheme="minorHAnsi"/>
                <w:i/>
                <w:iCs/>
                <w:sz w:val="18"/>
                <w:szCs w:val="18"/>
                <w:lang w:eastAsia="x-none"/>
              </w:rPr>
              <w:t>acquis</w:t>
            </w:r>
            <w:r w:rsidR="00CD3560" w:rsidRPr="007C4D65">
              <w:rPr>
                <w:rFonts w:asciiTheme="minorHAnsi" w:eastAsia="Calibri" w:hAnsiTheme="minorHAnsi" w:cstheme="minorHAnsi"/>
                <w:i/>
                <w:iCs/>
                <w:sz w:val="18"/>
                <w:szCs w:val="18"/>
                <w:lang w:eastAsia="x-none"/>
              </w:rPr>
              <w:t>.</w:t>
            </w:r>
          </w:p>
          <w:bookmarkEnd w:id="251"/>
          <w:p w14:paraId="221B396A" w14:textId="2F39E016" w:rsidR="00005022" w:rsidRPr="007C4D65" w:rsidRDefault="00005022" w:rsidP="0023731A">
            <w:pPr>
              <w:rPr>
                <w:rFonts w:asciiTheme="minorHAnsi" w:eastAsia="Calibri" w:hAnsiTheme="minorHAnsi" w:cstheme="minorHAnsi"/>
                <w:b/>
                <w:bCs/>
                <w:sz w:val="18"/>
                <w:szCs w:val="18"/>
                <w:lang w:eastAsia="x-none"/>
              </w:rPr>
            </w:pPr>
            <w:r w:rsidRPr="007C4D65">
              <w:rPr>
                <w:rFonts w:asciiTheme="minorHAnsi" w:eastAsia="Calibri" w:hAnsiTheme="minorHAnsi" w:cstheme="minorHAnsi"/>
                <w:b/>
                <w:bCs/>
                <w:sz w:val="18"/>
                <w:szCs w:val="18"/>
                <w:lang w:eastAsia="x-none"/>
              </w:rPr>
              <w:t xml:space="preserve">c. </w:t>
            </w:r>
            <w:bookmarkStart w:id="252" w:name="_Hlk94472705"/>
            <w:r w:rsidRPr="007C4D65">
              <w:rPr>
                <w:rFonts w:asciiTheme="minorHAnsi" w:eastAsia="Calibri" w:hAnsiTheme="minorHAnsi" w:cstheme="minorHAnsi"/>
                <w:b/>
                <w:bCs/>
                <w:sz w:val="18"/>
                <w:szCs w:val="18"/>
                <w:lang w:eastAsia="x-none"/>
              </w:rPr>
              <w:t xml:space="preserve">Improve the process of horizontal harmonization of </w:t>
            </w:r>
            <w:r w:rsidR="005C62DC" w:rsidRPr="007C4D65">
              <w:rPr>
                <w:rFonts w:asciiTheme="minorHAnsi" w:eastAsia="Calibri" w:hAnsiTheme="minorHAnsi" w:cstheme="minorHAnsi"/>
                <w:b/>
                <w:bCs/>
                <w:sz w:val="18"/>
                <w:szCs w:val="18"/>
                <w:lang w:eastAsia="x-none"/>
              </w:rPr>
              <w:t>the legislation on</w:t>
            </w:r>
            <w:r w:rsidRPr="007C4D65">
              <w:rPr>
                <w:rFonts w:asciiTheme="minorHAnsi" w:eastAsia="Calibri" w:hAnsiTheme="minorHAnsi" w:cstheme="minorHAnsi"/>
                <w:b/>
                <w:bCs/>
                <w:sz w:val="18"/>
                <w:szCs w:val="18"/>
                <w:lang w:eastAsia="x-none"/>
              </w:rPr>
              <w:t xml:space="preserve"> the conservation of biological and landscape diversity of the FBiH</w:t>
            </w:r>
            <w:r w:rsidR="00CD3560" w:rsidRPr="007C4D65">
              <w:rPr>
                <w:rFonts w:asciiTheme="minorHAnsi" w:eastAsia="Calibri" w:hAnsiTheme="minorHAnsi" w:cstheme="minorHAnsi"/>
                <w:b/>
                <w:bCs/>
                <w:sz w:val="18"/>
                <w:szCs w:val="18"/>
                <w:lang w:eastAsia="x-none"/>
              </w:rPr>
              <w:t>:</w:t>
            </w:r>
          </w:p>
          <w:bookmarkEnd w:id="252"/>
          <w:p w14:paraId="097658D9" w14:textId="5A5686CE" w:rsidR="00005022" w:rsidRPr="007C4D65" w:rsidRDefault="00005022" w:rsidP="0023731A">
            <w:pPr>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Align the Veterinary Law</w:t>
            </w:r>
            <w:r w:rsidR="005C62DC" w:rsidRPr="007C4D65">
              <w:rPr>
                <w:rFonts w:asciiTheme="minorHAnsi" w:eastAsia="Calibri" w:hAnsiTheme="minorHAnsi" w:cstheme="minorHAnsi"/>
                <w:bCs/>
                <w:sz w:val="18"/>
                <w:szCs w:val="18"/>
                <w:lang w:eastAsia="x-none"/>
              </w:rPr>
              <w:t xml:space="preserve"> of the Federation of BiH</w:t>
            </w:r>
            <w:r w:rsidRPr="007C4D65">
              <w:rPr>
                <w:rFonts w:asciiTheme="minorHAnsi" w:eastAsia="Calibri" w:hAnsiTheme="minorHAnsi" w:cstheme="minorHAnsi"/>
                <w:sz w:val="18"/>
                <w:szCs w:val="18"/>
                <w:lang w:eastAsia="x-none"/>
              </w:rPr>
              <w:t xml:space="preserve"> with the Council Directive 1999/22/EC of 29 March 1999, on the keeping of wild animals in zoos, and with the relevant BiH laws (Veterinary Law </w:t>
            </w:r>
            <w:r w:rsidR="007A6065" w:rsidRPr="007C4D65">
              <w:rPr>
                <w:rFonts w:asciiTheme="minorHAnsi" w:eastAsia="Calibri" w:hAnsiTheme="minorHAnsi" w:cstheme="minorHAnsi"/>
                <w:sz w:val="18"/>
                <w:szCs w:val="18"/>
                <w:lang w:eastAsia="x-none"/>
              </w:rPr>
              <w:t xml:space="preserve">(“Official Gazette </w:t>
            </w:r>
            <w:r w:rsidR="007436F1" w:rsidRPr="007C4D65">
              <w:rPr>
                <w:rFonts w:asciiTheme="minorHAnsi" w:eastAsia="Calibri" w:hAnsiTheme="minorHAnsi" w:cstheme="minorHAnsi"/>
                <w:sz w:val="18"/>
                <w:szCs w:val="18"/>
                <w:lang w:eastAsia="x-none"/>
              </w:rPr>
              <w:t xml:space="preserve">of the Federation of </w:t>
            </w:r>
            <w:proofErr w:type="gramStart"/>
            <w:r w:rsidR="007436F1" w:rsidRPr="007C4D65">
              <w:rPr>
                <w:rFonts w:asciiTheme="minorHAnsi" w:eastAsia="Calibri" w:hAnsiTheme="minorHAnsi" w:cstheme="minorHAnsi"/>
                <w:sz w:val="18"/>
                <w:szCs w:val="18"/>
                <w:lang w:eastAsia="x-none"/>
              </w:rPr>
              <w:t>BiH</w:t>
            </w:r>
            <w:r w:rsidR="007A6065" w:rsidRPr="007C4D65">
              <w:rPr>
                <w:rFonts w:asciiTheme="minorHAnsi" w:eastAsia="Calibri" w:hAnsiTheme="minorHAnsi" w:cstheme="minorHAnsi"/>
                <w:sz w:val="18"/>
                <w:szCs w:val="18"/>
                <w:lang w:eastAsia="x-none"/>
              </w:rPr>
              <w:t>“</w:t>
            </w:r>
            <w:proofErr w:type="gramEnd"/>
            <w:r w:rsidR="007A6065" w:rsidRPr="007C4D65">
              <w:rPr>
                <w:rFonts w:asciiTheme="minorHAnsi" w:eastAsia="Calibri" w:hAnsiTheme="minorHAnsi" w:cstheme="minorHAnsi"/>
                <w:sz w:val="18"/>
                <w:szCs w:val="18"/>
                <w:lang w:eastAsia="x-none"/>
              </w:rPr>
              <w:t>,</w:t>
            </w:r>
            <w:r w:rsidRPr="007C4D65">
              <w:rPr>
                <w:rFonts w:asciiTheme="minorHAnsi" w:eastAsia="Calibri" w:hAnsiTheme="minorHAnsi" w:cstheme="minorHAnsi"/>
                <w:sz w:val="18"/>
                <w:szCs w:val="18"/>
                <w:lang w:eastAsia="x-none"/>
              </w:rPr>
              <w:t xml:space="preserve"> 46/00)</w:t>
            </w:r>
            <w:r w:rsidR="00CD3560" w:rsidRPr="007C4D65">
              <w:rPr>
                <w:rFonts w:asciiTheme="minorHAnsi" w:eastAsia="Calibri" w:hAnsiTheme="minorHAnsi" w:cstheme="minorHAnsi"/>
                <w:sz w:val="18"/>
                <w:szCs w:val="18"/>
                <w:lang w:eastAsia="x-none"/>
              </w:rPr>
              <w:t>;</w:t>
            </w:r>
          </w:p>
          <w:p w14:paraId="1C3B3F4C" w14:textId="447E6C5F" w:rsidR="00005022" w:rsidRPr="007C4D65" w:rsidRDefault="00005022" w:rsidP="0023731A">
            <w:pPr>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Harmonize the Law on Hunting </w:t>
            </w:r>
            <w:r w:rsidR="005C62DC" w:rsidRPr="007C4D65">
              <w:rPr>
                <w:rFonts w:asciiTheme="minorHAnsi" w:eastAsia="Calibri" w:hAnsiTheme="minorHAnsi" w:cstheme="minorHAnsi"/>
                <w:bCs/>
                <w:sz w:val="18"/>
                <w:szCs w:val="18"/>
                <w:lang w:eastAsia="x-none"/>
              </w:rPr>
              <w:t xml:space="preserve">of the Federation of BiH </w:t>
            </w:r>
            <w:r w:rsidRPr="007C4D65">
              <w:rPr>
                <w:rFonts w:asciiTheme="minorHAnsi" w:eastAsia="Calibri" w:hAnsiTheme="minorHAnsi" w:cstheme="minorHAnsi"/>
                <w:sz w:val="18"/>
                <w:szCs w:val="18"/>
                <w:lang w:eastAsia="x-none"/>
              </w:rPr>
              <w:t xml:space="preserve">with the Council Regulation (EEC) No. 3254/91 of 4 November 1991, on the prohibition of foot traps, and with the relevant laws of BiH (Law on Hunting </w:t>
            </w:r>
            <w:r w:rsidR="007A6065" w:rsidRPr="007C4D65">
              <w:rPr>
                <w:rFonts w:asciiTheme="minorHAnsi" w:eastAsia="Calibri" w:hAnsiTheme="minorHAnsi" w:cstheme="minorHAnsi"/>
                <w:sz w:val="18"/>
                <w:szCs w:val="18"/>
                <w:lang w:eastAsia="x-none"/>
              </w:rPr>
              <w:t xml:space="preserve">(“Official Gazette </w:t>
            </w:r>
            <w:r w:rsidR="007436F1" w:rsidRPr="007C4D65">
              <w:rPr>
                <w:rFonts w:asciiTheme="minorHAnsi" w:eastAsia="Calibri" w:hAnsiTheme="minorHAnsi" w:cstheme="minorHAnsi"/>
                <w:sz w:val="18"/>
                <w:szCs w:val="18"/>
                <w:lang w:eastAsia="x-none"/>
              </w:rPr>
              <w:t xml:space="preserve">of the Federation of </w:t>
            </w:r>
            <w:proofErr w:type="gramStart"/>
            <w:r w:rsidR="007436F1" w:rsidRPr="007C4D65">
              <w:rPr>
                <w:rFonts w:asciiTheme="minorHAnsi" w:eastAsia="Calibri" w:hAnsiTheme="minorHAnsi" w:cstheme="minorHAnsi"/>
                <w:sz w:val="18"/>
                <w:szCs w:val="18"/>
                <w:lang w:eastAsia="x-none"/>
              </w:rPr>
              <w:t>BiH</w:t>
            </w:r>
            <w:r w:rsidR="007A6065" w:rsidRPr="007C4D65">
              <w:rPr>
                <w:rFonts w:asciiTheme="minorHAnsi" w:eastAsia="Calibri" w:hAnsiTheme="minorHAnsi" w:cstheme="minorHAnsi"/>
                <w:sz w:val="18"/>
                <w:szCs w:val="18"/>
                <w:lang w:eastAsia="x-none"/>
              </w:rPr>
              <w:t>“</w:t>
            </w:r>
            <w:proofErr w:type="gramEnd"/>
            <w:r w:rsidR="007A6065" w:rsidRPr="007C4D65">
              <w:rPr>
                <w:rFonts w:asciiTheme="minorHAnsi" w:eastAsia="Calibri" w:hAnsiTheme="minorHAnsi" w:cstheme="minorHAnsi"/>
                <w:sz w:val="18"/>
                <w:szCs w:val="18"/>
                <w:lang w:eastAsia="x-none"/>
              </w:rPr>
              <w:t>,</w:t>
            </w:r>
            <w:r w:rsidRPr="007C4D65">
              <w:rPr>
                <w:rFonts w:asciiTheme="minorHAnsi" w:eastAsia="Calibri" w:hAnsiTheme="minorHAnsi" w:cstheme="minorHAnsi"/>
                <w:sz w:val="18"/>
                <w:szCs w:val="18"/>
                <w:lang w:eastAsia="x-none"/>
              </w:rPr>
              <w:t xml:space="preserve"> 4/06, 8/10, 81/14</w:t>
            </w:r>
            <w:r w:rsidR="007A6065" w:rsidRPr="007C4D65">
              <w:rPr>
                <w:rFonts w:asciiTheme="minorHAnsi" w:eastAsia="Calibri" w:hAnsiTheme="minorHAnsi" w:cstheme="minorHAnsi"/>
                <w:sz w:val="18"/>
                <w:szCs w:val="18"/>
                <w:lang w:eastAsia="x-none"/>
              </w:rPr>
              <w:t>)</w:t>
            </w:r>
            <w:r w:rsidRPr="007C4D65">
              <w:rPr>
                <w:rFonts w:asciiTheme="minorHAnsi" w:eastAsia="Calibri" w:hAnsiTheme="minorHAnsi" w:cstheme="minorHAnsi"/>
                <w:sz w:val="18"/>
                <w:szCs w:val="18"/>
                <w:lang w:eastAsia="x-none"/>
              </w:rPr>
              <w:t>)</w:t>
            </w:r>
            <w:r w:rsidR="00CD3560" w:rsidRPr="007C4D65">
              <w:rPr>
                <w:rFonts w:asciiTheme="minorHAnsi" w:eastAsia="Calibri" w:hAnsiTheme="minorHAnsi" w:cstheme="minorHAnsi"/>
                <w:sz w:val="18"/>
                <w:szCs w:val="18"/>
                <w:lang w:eastAsia="x-none"/>
              </w:rPr>
              <w:t>;</w:t>
            </w:r>
          </w:p>
          <w:p w14:paraId="27F7FE82" w14:textId="411042B1" w:rsidR="00005022" w:rsidRPr="007C4D65" w:rsidRDefault="00005022" w:rsidP="0023731A">
            <w:pPr>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Align the Veterinary Law</w:t>
            </w:r>
            <w:r w:rsidR="005C62DC" w:rsidRPr="007C4D65">
              <w:rPr>
                <w:rFonts w:asciiTheme="minorHAnsi" w:eastAsia="Calibri" w:hAnsiTheme="minorHAnsi" w:cstheme="minorHAnsi"/>
                <w:sz w:val="18"/>
                <w:szCs w:val="18"/>
                <w:lang w:eastAsia="x-none"/>
              </w:rPr>
              <w:t xml:space="preserve"> </w:t>
            </w:r>
            <w:r w:rsidR="005C62DC" w:rsidRPr="007C4D65">
              <w:rPr>
                <w:rFonts w:asciiTheme="minorHAnsi" w:eastAsia="Calibri" w:hAnsiTheme="minorHAnsi" w:cstheme="minorHAnsi"/>
                <w:bCs/>
                <w:sz w:val="18"/>
                <w:szCs w:val="18"/>
                <w:lang w:eastAsia="x-none"/>
              </w:rPr>
              <w:t>of the Federation of BiH</w:t>
            </w:r>
            <w:r w:rsidRPr="007C4D65">
              <w:rPr>
                <w:rFonts w:asciiTheme="minorHAnsi" w:eastAsia="Calibri" w:hAnsiTheme="minorHAnsi" w:cstheme="minorHAnsi"/>
                <w:sz w:val="18"/>
                <w:szCs w:val="18"/>
                <w:lang w:eastAsia="x-none"/>
              </w:rPr>
              <w:t xml:space="preserve"> with Regulation (EC) No 1007/2009 of the European Parliament and of the Council of 16 September 2009, on trade in seal products</w:t>
            </w:r>
            <w:r w:rsidR="00CD3560" w:rsidRPr="007C4D65">
              <w:rPr>
                <w:rFonts w:asciiTheme="minorHAnsi" w:eastAsia="Calibri" w:hAnsiTheme="minorHAnsi" w:cstheme="minorHAnsi"/>
                <w:sz w:val="18"/>
                <w:szCs w:val="18"/>
                <w:lang w:eastAsia="x-none"/>
              </w:rPr>
              <w:t>.</w:t>
            </w:r>
          </w:p>
          <w:p w14:paraId="6FEB8808" w14:textId="4737CD42" w:rsidR="00005022" w:rsidRPr="007C4D65" w:rsidRDefault="00005022" w:rsidP="0023731A">
            <w:pPr>
              <w:rPr>
                <w:rFonts w:asciiTheme="minorHAnsi" w:eastAsia="Calibri" w:hAnsiTheme="minorHAnsi" w:cstheme="minorHAnsi"/>
                <w:b/>
                <w:bCs/>
                <w:sz w:val="18"/>
                <w:szCs w:val="18"/>
                <w:lang w:eastAsia="x-none"/>
              </w:rPr>
            </w:pPr>
            <w:r w:rsidRPr="007C4D65">
              <w:rPr>
                <w:rFonts w:asciiTheme="minorHAnsi" w:eastAsia="Calibri" w:hAnsiTheme="minorHAnsi" w:cstheme="minorHAnsi"/>
                <w:b/>
                <w:bCs/>
                <w:sz w:val="18"/>
                <w:szCs w:val="18"/>
                <w:lang w:eastAsia="x-none"/>
              </w:rPr>
              <w:t>d</w:t>
            </w:r>
            <w:bookmarkStart w:id="253" w:name="_Hlk94472815"/>
            <w:r w:rsidRPr="007C4D65">
              <w:rPr>
                <w:rFonts w:asciiTheme="minorHAnsi" w:eastAsia="Calibri" w:hAnsiTheme="minorHAnsi" w:cstheme="minorHAnsi"/>
                <w:b/>
                <w:bCs/>
                <w:sz w:val="18"/>
                <w:szCs w:val="18"/>
                <w:lang w:eastAsia="x-none"/>
              </w:rPr>
              <w:t xml:space="preserve">. Improve the implementation of </w:t>
            </w:r>
            <w:r w:rsidR="00170757" w:rsidRPr="007C4D65">
              <w:rPr>
                <w:rFonts w:asciiTheme="minorHAnsi" w:eastAsia="Calibri" w:hAnsiTheme="minorHAnsi" w:cstheme="minorHAnsi"/>
                <w:b/>
                <w:bCs/>
                <w:sz w:val="18"/>
                <w:szCs w:val="18"/>
                <w:lang w:eastAsia="x-none"/>
              </w:rPr>
              <w:t xml:space="preserve">regulations and </w:t>
            </w:r>
            <w:r w:rsidR="00B80FAD" w:rsidRPr="007C4D65">
              <w:rPr>
                <w:rFonts w:asciiTheme="minorHAnsi" w:eastAsia="Calibri" w:hAnsiTheme="minorHAnsi" w:cstheme="minorHAnsi"/>
                <w:b/>
                <w:bCs/>
                <w:sz w:val="18"/>
                <w:szCs w:val="18"/>
                <w:lang w:eastAsia="x-none"/>
              </w:rPr>
              <w:t>bylaw</w:t>
            </w:r>
            <w:r w:rsidR="00170757" w:rsidRPr="007C4D65">
              <w:rPr>
                <w:rFonts w:asciiTheme="minorHAnsi" w:eastAsia="Calibri" w:hAnsiTheme="minorHAnsi" w:cstheme="minorHAnsi"/>
                <w:b/>
                <w:bCs/>
                <w:sz w:val="18"/>
                <w:szCs w:val="18"/>
                <w:lang w:eastAsia="x-none"/>
              </w:rPr>
              <w:t>s</w:t>
            </w:r>
            <w:r w:rsidRPr="007C4D65">
              <w:rPr>
                <w:rFonts w:asciiTheme="minorHAnsi" w:eastAsia="Calibri" w:hAnsiTheme="minorHAnsi" w:cstheme="minorHAnsi"/>
                <w:b/>
                <w:bCs/>
                <w:sz w:val="18"/>
                <w:szCs w:val="18"/>
                <w:lang w:eastAsia="x-none"/>
              </w:rPr>
              <w:t xml:space="preserve"> </w:t>
            </w:r>
            <w:r w:rsidR="005C62DC" w:rsidRPr="007C4D65">
              <w:rPr>
                <w:rFonts w:asciiTheme="minorHAnsi" w:eastAsia="Calibri" w:hAnsiTheme="minorHAnsi" w:cstheme="minorHAnsi"/>
                <w:bCs/>
                <w:sz w:val="18"/>
                <w:szCs w:val="18"/>
                <w:lang w:eastAsia="x-none"/>
              </w:rPr>
              <w:t xml:space="preserve">of the Federation of BiH </w:t>
            </w:r>
            <w:r w:rsidR="005C62DC" w:rsidRPr="007C4D65">
              <w:rPr>
                <w:rFonts w:asciiTheme="minorHAnsi" w:eastAsia="Calibri" w:hAnsiTheme="minorHAnsi" w:cstheme="minorHAnsi"/>
                <w:b/>
                <w:bCs/>
                <w:sz w:val="18"/>
                <w:szCs w:val="18"/>
                <w:lang w:eastAsia="x-none"/>
              </w:rPr>
              <w:t>on</w:t>
            </w:r>
            <w:r w:rsidRPr="007C4D65">
              <w:rPr>
                <w:rFonts w:asciiTheme="minorHAnsi" w:eastAsia="Calibri" w:hAnsiTheme="minorHAnsi" w:cstheme="minorHAnsi"/>
                <w:b/>
                <w:bCs/>
                <w:sz w:val="18"/>
                <w:szCs w:val="18"/>
                <w:lang w:eastAsia="x-none"/>
              </w:rPr>
              <w:t xml:space="preserve"> the conservation of biological and landscape diversity</w:t>
            </w:r>
            <w:bookmarkEnd w:id="253"/>
            <w:r w:rsidR="00CD3560" w:rsidRPr="007C4D65">
              <w:rPr>
                <w:rFonts w:asciiTheme="minorHAnsi" w:eastAsia="Calibri" w:hAnsiTheme="minorHAnsi" w:cstheme="minorHAnsi"/>
                <w:b/>
                <w:bCs/>
                <w:sz w:val="18"/>
                <w:szCs w:val="18"/>
                <w:lang w:eastAsia="x-none"/>
              </w:rPr>
              <w:t>:</w:t>
            </w:r>
          </w:p>
          <w:p w14:paraId="39CE8DB2" w14:textId="42B5ACFB" w:rsidR="00005022" w:rsidRPr="007C4D65" w:rsidRDefault="00005022" w:rsidP="0023731A">
            <w:pPr>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Enact the missing implementing regulations of the Law on Nature Conservation</w:t>
            </w:r>
            <w:r w:rsidR="00170757" w:rsidRPr="007C4D65">
              <w:rPr>
                <w:rFonts w:asciiTheme="minorHAnsi" w:eastAsia="Calibri" w:hAnsiTheme="minorHAnsi" w:cstheme="minorHAnsi"/>
                <w:sz w:val="18"/>
                <w:szCs w:val="18"/>
                <w:lang w:eastAsia="x-none"/>
              </w:rPr>
              <w:t xml:space="preserve"> </w:t>
            </w:r>
            <w:r w:rsidR="00170757" w:rsidRPr="007C4D65">
              <w:rPr>
                <w:rFonts w:asciiTheme="minorHAnsi" w:eastAsia="Calibri" w:hAnsiTheme="minorHAnsi" w:cstheme="minorHAnsi"/>
                <w:bCs/>
                <w:sz w:val="18"/>
                <w:szCs w:val="18"/>
                <w:lang w:eastAsia="x-none"/>
              </w:rPr>
              <w:t xml:space="preserve">of the Federation of </w:t>
            </w:r>
            <w:proofErr w:type="gramStart"/>
            <w:r w:rsidR="00170757" w:rsidRPr="007C4D65">
              <w:rPr>
                <w:rFonts w:asciiTheme="minorHAnsi" w:eastAsia="Calibri" w:hAnsiTheme="minorHAnsi" w:cstheme="minorHAnsi"/>
                <w:bCs/>
                <w:sz w:val="18"/>
                <w:szCs w:val="18"/>
                <w:lang w:eastAsia="x-none"/>
              </w:rPr>
              <w:t>BiH</w:t>
            </w:r>
            <w:r w:rsidR="00CD3560" w:rsidRPr="007C4D65">
              <w:rPr>
                <w:rFonts w:asciiTheme="minorHAnsi" w:eastAsia="Calibri" w:hAnsiTheme="minorHAnsi" w:cstheme="minorHAnsi"/>
                <w:sz w:val="18"/>
                <w:szCs w:val="18"/>
                <w:lang w:eastAsia="x-none"/>
              </w:rPr>
              <w:t>;</w:t>
            </w:r>
            <w:proofErr w:type="gramEnd"/>
          </w:p>
          <w:p w14:paraId="441EC9FE" w14:textId="4EB9EC0E" w:rsidR="00005022" w:rsidRPr="007C4D65" w:rsidRDefault="00005022" w:rsidP="0023731A">
            <w:pPr>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Ensure conditions under the Decision of the Council of Ministers of BiH on the conditions and manner of implementation of the Convention on International Trade in Endangered Species of Wild Animals and Plants (CITES) in Bosnia and </w:t>
            </w:r>
            <w:proofErr w:type="gramStart"/>
            <w:r w:rsidRPr="007C4D65">
              <w:rPr>
                <w:rFonts w:asciiTheme="minorHAnsi" w:eastAsia="Calibri" w:hAnsiTheme="minorHAnsi" w:cstheme="minorHAnsi"/>
                <w:sz w:val="18"/>
                <w:szCs w:val="18"/>
                <w:lang w:eastAsia="x-none"/>
              </w:rPr>
              <w:t>Herzegovina</w:t>
            </w:r>
            <w:r w:rsidR="00CD3560" w:rsidRPr="007C4D65">
              <w:rPr>
                <w:rFonts w:asciiTheme="minorHAnsi" w:eastAsia="Calibri" w:hAnsiTheme="minorHAnsi" w:cstheme="minorHAnsi"/>
                <w:sz w:val="18"/>
                <w:szCs w:val="18"/>
                <w:lang w:eastAsia="x-none"/>
              </w:rPr>
              <w:t>;</w:t>
            </w:r>
            <w:proofErr w:type="gramEnd"/>
          </w:p>
          <w:p w14:paraId="6C37F76D" w14:textId="4DA1AAE1" w:rsidR="00005022" w:rsidRPr="007C4D65" w:rsidRDefault="00170757" w:rsidP="0023731A">
            <w:pPr>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Create</w:t>
            </w:r>
            <w:r w:rsidR="00005022" w:rsidRPr="007C4D65">
              <w:rPr>
                <w:rFonts w:asciiTheme="minorHAnsi" w:eastAsia="Calibri" w:hAnsiTheme="minorHAnsi" w:cstheme="minorHAnsi"/>
                <w:sz w:val="18"/>
                <w:szCs w:val="18"/>
                <w:lang w:eastAsia="x-none"/>
              </w:rPr>
              <w:t xml:space="preserve"> conditions for the adoption </w:t>
            </w:r>
            <w:bookmarkStart w:id="254" w:name="_Hlk94473028"/>
            <w:r w:rsidR="00005022" w:rsidRPr="007C4D65">
              <w:rPr>
                <w:rFonts w:asciiTheme="minorHAnsi" w:eastAsia="Calibri" w:hAnsiTheme="minorHAnsi" w:cstheme="minorHAnsi"/>
                <w:sz w:val="18"/>
                <w:szCs w:val="18"/>
                <w:lang w:eastAsia="x-none"/>
              </w:rPr>
              <w:t>and implementation of the NBSAP, in accordance with the Global Biodiversity Framework</w:t>
            </w:r>
            <w:bookmarkEnd w:id="254"/>
            <w:r w:rsidR="00CD3560" w:rsidRPr="007C4D65">
              <w:rPr>
                <w:rFonts w:asciiTheme="minorHAnsi" w:eastAsia="Calibri" w:hAnsiTheme="minorHAnsi" w:cstheme="minorHAnsi"/>
                <w:sz w:val="18"/>
                <w:szCs w:val="18"/>
                <w:lang w:eastAsia="x-none"/>
              </w:rPr>
              <w:t>.</w:t>
            </w:r>
          </w:p>
        </w:tc>
      </w:tr>
      <w:tr w:rsidR="00005022" w:rsidRPr="007C4D65" w14:paraId="7356FC38" w14:textId="77777777" w:rsidTr="00BC37DE">
        <w:trPr>
          <w:trHeight w:val="567"/>
          <w:jc w:val="center"/>
        </w:trPr>
        <w:tc>
          <w:tcPr>
            <w:tcW w:w="1380" w:type="pct"/>
            <w:shd w:val="clear" w:color="auto" w:fill="009D73"/>
            <w:vAlign w:val="center"/>
          </w:tcPr>
          <w:p w14:paraId="61729D9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Strategic projects</w:t>
            </w:r>
          </w:p>
        </w:tc>
        <w:tc>
          <w:tcPr>
            <w:tcW w:w="3620" w:type="pct"/>
            <w:gridSpan w:val="3"/>
            <w:tcBorders>
              <w:bottom w:val="single" w:sz="4" w:space="0" w:color="A6A6A6"/>
            </w:tcBorders>
            <w:shd w:val="clear" w:color="auto" w:fill="FFFFFF" w:themeFill="background1"/>
            <w:vAlign w:val="center"/>
          </w:tcPr>
          <w:p w14:paraId="0514358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1AE2E56B" w14:textId="77777777" w:rsidTr="00BC37DE">
        <w:trPr>
          <w:trHeight w:val="567"/>
          <w:jc w:val="center"/>
        </w:trPr>
        <w:tc>
          <w:tcPr>
            <w:tcW w:w="1380" w:type="pct"/>
            <w:vMerge w:val="restart"/>
            <w:shd w:val="clear" w:color="auto" w:fill="009D73"/>
            <w:vAlign w:val="center"/>
          </w:tcPr>
          <w:p w14:paraId="6B16F1A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055" w:type="pct"/>
            <w:shd w:val="clear" w:color="auto" w:fill="009D73"/>
            <w:vAlign w:val="center"/>
          </w:tcPr>
          <w:p w14:paraId="6A421ABD"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0508BAFA"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3AF9B507"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18A2ADD4"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2" w:type="pct"/>
            <w:shd w:val="clear" w:color="auto" w:fill="009D73"/>
            <w:vAlign w:val="center"/>
          </w:tcPr>
          <w:p w14:paraId="33F36127"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2B333DD5" w14:textId="77777777" w:rsidTr="00BC37DE">
        <w:trPr>
          <w:trHeight w:val="567"/>
          <w:jc w:val="center"/>
        </w:trPr>
        <w:tc>
          <w:tcPr>
            <w:tcW w:w="1380" w:type="pct"/>
            <w:vMerge/>
            <w:shd w:val="clear" w:color="auto" w:fill="009D73"/>
            <w:vAlign w:val="center"/>
          </w:tcPr>
          <w:p w14:paraId="0D8801F5"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5" w:type="pct"/>
            <w:shd w:val="clear" w:color="auto" w:fill="FFFFFF"/>
            <w:vAlign w:val="center"/>
          </w:tcPr>
          <w:p w14:paraId="35BFBD71" w14:textId="77777777" w:rsidR="00005022" w:rsidRPr="007C4D65" w:rsidRDefault="00005022" w:rsidP="00005022">
            <w:pPr>
              <w:numPr>
                <w:ilvl w:val="0"/>
                <w:numId w:val="19"/>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Alignment of nature conservation laws with the EU </w:t>
            </w:r>
            <w:r w:rsidRPr="007C4D65">
              <w:rPr>
                <w:rFonts w:asciiTheme="minorHAnsi" w:eastAsia="Calibri" w:hAnsiTheme="minorHAnsi" w:cstheme="minorHAnsi"/>
                <w:i/>
                <w:iCs/>
                <w:sz w:val="18"/>
                <w:szCs w:val="18"/>
                <w:lang w:eastAsia="x-none"/>
              </w:rPr>
              <w:t>acquis</w:t>
            </w:r>
            <w:r w:rsidRPr="007C4D65">
              <w:rPr>
                <w:rFonts w:asciiTheme="minorHAnsi" w:eastAsia="Calibri" w:hAnsiTheme="minorHAnsi" w:cstheme="minorHAnsi"/>
                <w:sz w:val="18"/>
                <w:szCs w:val="18"/>
                <w:lang w:eastAsia="x-none"/>
              </w:rPr>
              <w:t xml:space="preserve"> and international agreements</w:t>
            </w:r>
          </w:p>
        </w:tc>
        <w:tc>
          <w:tcPr>
            <w:tcW w:w="1283" w:type="pct"/>
            <w:shd w:val="clear" w:color="auto" w:fill="FFFFFF"/>
            <w:vAlign w:val="center"/>
          </w:tcPr>
          <w:p w14:paraId="17D35CB0" w14:textId="6E13B9B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law is not sufficiently </w:t>
            </w:r>
            <w:r w:rsidR="004B4EEC" w:rsidRPr="007C4D65">
              <w:rPr>
                <w:rFonts w:asciiTheme="minorHAnsi" w:eastAsiaTheme="minorHAnsi" w:hAnsiTheme="minorHAnsi" w:cstheme="minorHAnsi"/>
                <w:sz w:val="18"/>
                <w:szCs w:val="18"/>
                <w:lang w:eastAsia="en-US" w:bidi="en-US"/>
              </w:rPr>
              <w:t>aligned</w:t>
            </w:r>
            <w:r w:rsidRPr="007C4D65">
              <w:rPr>
                <w:rFonts w:asciiTheme="minorHAnsi" w:eastAsiaTheme="minorHAnsi" w:hAnsiTheme="minorHAnsi" w:cstheme="minorHAnsi"/>
                <w:sz w:val="18"/>
                <w:szCs w:val="18"/>
                <w:lang w:eastAsia="en-US" w:bidi="en-US"/>
              </w:rPr>
              <w:t xml:space="preserve"> with the EU </w:t>
            </w:r>
            <w:r w:rsidRPr="007C4D65">
              <w:rPr>
                <w:rFonts w:asciiTheme="minorHAnsi" w:eastAsiaTheme="minorHAnsi" w:hAnsiTheme="minorHAnsi" w:cstheme="minorHAnsi"/>
                <w:i/>
                <w:iCs/>
                <w:sz w:val="18"/>
                <w:szCs w:val="18"/>
                <w:lang w:eastAsia="en-US" w:bidi="en-US"/>
              </w:rPr>
              <w:t>acquis</w:t>
            </w:r>
            <w:r w:rsidRPr="007C4D65">
              <w:rPr>
                <w:rFonts w:asciiTheme="minorHAnsi" w:eastAsiaTheme="minorHAnsi" w:hAnsiTheme="minorHAnsi" w:cstheme="minorHAnsi"/>
                <w:sz w:val="18"/>
                <w:szCs w:val="18"/>
                <w:lang w:eastAsia="en-US" w:bidi="en-US"/>
              </w:rPr>
              <w:t xml:space="preserve"> and international agreements on biodiversity</w:t>
            </w:r>
          </w:p>
        </w:tc>
        <w:tc>
          <w:tcPr>
            <w:tcW w:w="1282" w:type="pct"/>
            <w:shd w:val="clear" w:color="auto" w:fill="FFFFFF"/>
            <w:vAlign w:val="center"/>
          </w:tcPr>
          <w:p w14:paraId="22978E1A" w14:textId="55265FE6"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bidi="en-US"/>
              </w:rPr>
              <w:t xml:space="preserve">The law is partially, to a high degree, </w:t>
            </w:r>
            <w:r w:rsidR="00170757" w:rsidRPr="007C4D65">
              <w:rPr>
                <w:rFonts w:asciiTheme="minorHAnsi" w:eastAsia="Calibri" w:hAnsiTheme="minorHAnsi" w:cstheme="minorHAnsi"/>
                <w:sz w:val="18"/>
                <w:szCs w:val="18"/>
                <w:lang w:eastAsia="x-none" w:bidi="en-US"/>
              </w:rPr>
              <w:t>aligned</w:t>
            </w:r>
            <w:r w:rsidRPr="007C4D65">
              <w:rPr>
                <w:rFonts w:asciiTheme="minorHAnsi" w:eastAsia="Calibri" w:hAnsiTheme="minorHAnsi" w:cstheme="minorHAnsi"/>
                <w:sz w:val="18"/>
                <w:szCs w:val="18"/>
                <w:lang w:eastAsia="x-none" w:bidi="en-US"/>
              </w:rPr>
              <w:t xml:space="preserve"> with the EU </w:t>
            </w:r>
            <w:r w:rsidRPr="007C4D65">
              <w:rPr>
                <w:rFonts w:asciiTheme="minorHAnsi" w:eastAsia="Calibri" w:hAnsiTheme="minorHAnsi" w:cstheme="minorHAnsi"/>
                <w:i/>
                <w:iCs/>
                <w:sz w:val="18"/>
                <w:szCs w:val="18"/>
                <w:lang w:eastAsia="x-none" w:bidi="en-US"/>
              </w:rPr>
              <w:t>acquis</w:t>
            </w:r>
            <w:r w:rsidRPr="007C4D65">
              <w:rPr>
                <w:rFonts w:asciiTheme="minorHAnsi" w:eastAsia="Calibri" w:hAnsiTheme="minorHAnsi" w:cstheme="minorHAnsi"/>
                <w:sz w:val="18"/>
                <w:szCs w:val="18"/>
                <w:lang w:eastAsia="x-none" w:bidi="en-US"/>
              </w:rPr>
              <w:t xml:space="preserve"> and international agreements on biodiversity (2025)</w:t>
            </w:r>
          </w:p>
        </w:tc>
      </w:tr>
      <w:tr w:rsidR="00005022" w:rsidRPr="007C4D65" w14:paraId="0A19B806" w14:textId="77777777" w:rsidTr="00BC37DE">
        <w:trPr>
          <w:trHeight w:val="567"/>
          <w:jc w:val="center"/>
        </w:trPr>
        <w:tc>
          <w:tcPr>
            <w:tcW w:w="1380" w:type="pct"/>
            <w:vMerge/>
            <w:shd w:val="clear" w:color="auto" w:fill="009D73"/>
            <w:vAlign w:val="center"/>
          </w:tcPr>
          <w:p w14:paraId="67D7EBAB"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5" w:type="pct"/>
            <w:shd w:val="clear" w:color="auto" w:fill="FFFFFF"/>
            <w:vAlign w:val="center"/>
          </w:tcPr>
          <w:p w14:paraId="6178F069" w14:textId="144F5D92" w:rsidR="00005022" w:rsidRPr="007C4D65" w:rsidRDefault="00170757" w:rsidP="00005022">
            <w:pPr>
              <w:numPr>
                <w:ilvl w:val="0"/>
                <w:numId w:val="19"/>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Alignment</w:t>
            </w:r>
            <w:r w:rsidR="00005022" w:rsidRPr="007C4D65">
              <w:rPr>
                <w:rFonts w:asciiTheme="minorHAnsi" w:eastAsia="Calibri" w:hAnsiTheme="minorHAnsi" w:cstheme="minorHAnsi"/>
                <w:sz w:val="18"/>
                <w:szCs w:val="18"/>
                <w:lang w:eastAsia="x-none"/>
              </w:rPr>
              <w:t xml:space="preserve"> of the legal framework</w:t>
            </w:r>
            <w:r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bCs/>
                <w:sz w:val="18"/>
                <w:szCs w:val="18"/>
                <w:lang w:eastAsia="x-none"/>
              </w:rPr>
              <w:t>of the Federation of BiH</w:t>
            </w:r>
            <w:r w:rsidR="00005022" w:rsidRPr="007C4D65">
              <w:rPr>
                <w:rFonts w:asciiTheme="minorHAnsi" w:eastAsia="Calibri" w:hAnsiTheme="minorHAnsi" w:cstheme="minorHAnsi"/>
                <w:sz w:val="18"/>
                <w:szCs w:val="18"/>
                <w:lang w:eastAsia="x-none"/>
              </w:rPr>
              <w:t xml:space="preserve"> with</w:t>
            </w:r>
            <w:r w:rsidRPr="007C4D65">
              <w:rPr>
                <w:rFonts w:asciiTheme="minorHAnsi" w:eastAsia="Calibri" w:hAnsiTheme="minorHAnsi" w:cstheme="minorHAnsi"/>
                <w:sz w:val="18"/>
                <w:szCs w:val="18"/>
                <w:lang w:eastAsia="x-none"/>
              </w:rPr>
              <w:t xml:space="preserve"> the legislation of</w:t>
            </w:r>
            <w:r w:rsidR="00005022" w:rsidRPr="007C4D65">
              <w:rPr>
                <w:rFonts w:asciiTheme="minorHAnsi" w:eastAsia="Calibri" w:hAnsiTheme="minorHAnsi" w:cstheme="minorHAnsi"/>
                <w:sz w:val="18"/>
                <w:szCs w:val="18"/>
                <w:lang w:eastAsia="x-none"/>
              </w:rPr>
              <w:t xml:space="preserve"> other </w:t>
            </w:r>
            <w:r w:rsidRPr="007C4D65">
              <w:rPr>
                <w:rFonts w:asciiTheme="minorHAnsi" w:eastAsia="Calibri" w:hAnsiTheme="minorHAnsi" w:cstheme="minorHAnsi"/>
                <w:sz w:val="18"/>
                <w:szCs w:val="18"/>
                <w:lang w:eastAsia="x-none"/>
              </w:rPr>
              <w:t>levels of government</w:t>
            </w:r>
          </w:p>
        </w:tc>
        <w:tc>
          <w:tcPr>
            <w:tcW w:w="1283" w:type="pct"/>
            <w:shd w:val="clear" w:color="auto" w:fill="FFFFFF"/>
            <w:vAlign w:val="center"/>
          </w:tcPr>
          <w:p w14:paraId="77ABDE8F" w14:textId="2E60C032"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legal framework </w:t>
            </w:r>
            <w:r w:rsidR="00170757" w:rsidRPr="007C4D65">
              <w:rPr>
                <w:rFonts w:asciiTheme="minorHAnsi" w:eastAsia="Calibri" w:hAnsiTheme="minorHAnsi" w:cstheme="minorHAnsi"/>
                <w:bCs/>
                <w:sz w:val="18"/>
                <w:szCs w:val="18"/>
                <w:lang w:eastAsia="x-none"/>
              </w:rPr>
              <w:t xml:space="preserve">of the Federation of BiH </w:t>
            </w:r>
            <w:r w:rsidRPr="007C4D65">
              <w:rPr>
                <w:rFonts w:asciiTheme="minorHAnsi" w:eastAsiaTheme="minorHAnsi" w:hAnsiTheme="minorHAnsi" w:cstheme="minorHAnsi"/>
                <w:sz w:val="18"/>
                <w:szCs w:val="18"/>
                <w:lang w:eastAsia="en-US" w:bidi="en-US"/>
              </w:rPr>
              <w:t xml:space="preserve">is not harmonized </w:t>
            </w:r>
            <w:r w:rsidR="00170757" w:rsidRPr="007C4D65">
              <w:rPr>
                <w:rFonts w:asciiTheme="minorHAnsi" w:eastAsia="Calibri" w:hAnsiTheme="minorHAnsi" w:cstheme="minorHAnsi"/>
                <w:sz w:val="18"/>
                <w:szCs w:val="18"/>
                <w:lang w:eastAsia="x-none"/>
              </w:rPr>
              <w:t>with the legislation of other levels of government</w:t>
            </w:r>
          </w:p>
        </w:tc>
        <w:tc>
          <w:tcPr>
            <w:tcW w:w="1282" w:type="pct"/>
            <w:shd w:val="clear" w:color="auto" w:fill="FFFFFF"/>
            <w:vAlign w:val="center"/>
          </w:tcPr>
          <w:p w14:paraId="1785FBCD" w14:textId="33FA5C82" w:rsidR="00005022" w:rsidRPr="007C4D65" w:rsidRDefault="00170757"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Theme="minorHAnsi" w:hAnsiTheme="minorHAnsi" w:cstheme="minorHAnsi"/>
                <w:sz w:val="18"/>
                <w:szCs w:val="18"/>
                <w:lang w:eastAsia="en-US" w:bidi="en-US"/>
              </w:rPr>
              <w:t xml:space="preserve">The legal framework </w:t>
            </w:r>
            <w:r w:rsidRPr="007C4D65">
              <w:rPr>
                <w:rFonts w:asciiTheme="minorHAnsi" w:eastAsia="Calibri" w:hAnsiTheme="minorHAnsi" w:cstheme="minorHAnsi"/>
                <w:bCs/>
                <w:sz w:val="18"/>
                <w:szCs w:val="18"/>
                <w:lang w:eastAsia="x-none"/>
              </w:rPr>
              <w:t xml:space="preserve">of the Federation of BiH </w:t>
            </w:r>
            <w:r w:rsidRPr="007C4D65">
              <w:rPr>
                <w:rFonts w:asciiTheme="minorHAnsi" w:eastAsiaTheme="minorHAnsi" w:hAnsiTheme="minorHAnsi" w:cstheme="minorHAnsi"/>
                <w:sz w:val="18"/>
                <w:szCs w:val="18"/>
                <w:lang w:eastAsia="en-US" w:bidi="en-US"/>
              </w:rPr>
              <w:t xml:space="preserve">is harmonized </w:t>
            </w:r>
            <w:r w:rsidRPr="007C4D65">
              <w:rPr>
                <w:rFonts w:asciiTheme="minorHAnsi" w:eastAsia="Calibri" w:hAnsiTheme="minorHAnsi" w:cstheme="minorHAnsi"/>
                <w:sz w:val="18"/>
                <w:szCs w:val="18"/>
                <w:lang w:eastAsia="x-none"/>
              </w:rPr>
              <w:t>with the legislation of other levels of government</w:t>
            </w:r>
            <w:r w:rsidRPr="007C4D65">
              <w:rPr>
                <w:rFonts w:asciiTheme="minorHAnsi" w:eastAsia="Calibri" w:hAnsiTheme="minorHAnsi" w:cstheme="minorHAnsi"/>
                <w:sz w:val="18"/>
                <w:szCs w:val="18"/>
                <w:lang w:eastAsia="x-none" w:bidi="en-US"/>
              </w:rPr>
              <w:t xml:space="preserve"> </w:t>
            </w:r>
            <w:r w:rsidR="00005022" w:rsidRPr="007C4D65">
              <w:rPr>
                <w:rFonts w:asciiTheme="minorHAnsi" w:eastAsia="Calibri" w:hAnsiTheme="minorHAnsi" w:cstheme="minorHAnsi"/>
                <w:sz w:val="18"/>
                <w:szCs w:val="18"/>
                <w:lang w:eastAsia="x-none" w:bidi="en-US"/>
              </w:rPr>
              <w:t>(2025)</w:t>
            </w:r>
          </w:p>
        </w:tc>
      </w:tr>
      <w:tr w:rsidR="00005022" w:rsidRPr="007C4D65" w14:paraId="25EAD5E8" w14:textId="77777777" w:rsidTr="00BC37DE">
        <w:trPr>
          <w:trHeight w:val="567"/>
          <w:jc w:val="center"/>
        </w:trPr>
        <w:tc>
          <w:tcPr>
            <w:tcW w:w="1380" w:type="pct"/>
            <w:vMerge/>
            <w:shd w:val="clear" w:color="auto" w:fill="009D73"/>
            <w:vAlign w:val="center"/>
          </w:tcPr>
          <w:p w14:paraId="17B57BC6"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5" w:type="pct"/>
            <w:shd w:val="clear" w:color="auto" w:fill="FFFFFF"/>
            <w:vAlign w:val="center"/>
          </w:tcPr>
          <w:p w14:paraId="285A1A3F" w14:textId="77777777" w:rsidR="00005022" w:rsidRPr="007C4D65" w:rsidRDefault="00005022" w:rsidP="00005022">
            <w:pPr>
              <w:numPr>
                <w:ilvl w:val="0"/>
                <w:numId w:val="19"/>
              </w:numPr>
              <w:spacing w:before="40" w:after="40" w:line="276" w:lineRule="auto"/>
              <w:contextualSpacing/>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 xml:space="preserve">Alignment of sectoral regulations with the EU </w:t>
            </w:r>
            <w:r w:rsidRPr="007C4D65">
              <w:rPr>
                <w:rFonts w:asciiTheme="minorHAnsi" w:eastAsiaTheme="minorHAnsi" w:hAnsiTheme="minorHAnsi" w:cstheme="minorHAnsi"/>
                <w:i/>
                <w:iCs/>
                <w:color w:val="000000"/>
                <w:sz w:val="18"/>
                <w:szCs w:val="18"/>
                <w:lang w:eastAsia="en-US"/>
              </w:rPr>
              <w:t xml:space="preserve">acquis </w:t>
            </w:r>
            <w:r w:rsidRPr="007C4D65">
              <w:rPr>
                <w:rFonts w:asciiTheme="minorHAnsi" w:eastAsiaTheme="minorHAnsi" w:hAnsiTheme="minorHAnsi" w:cstheme="minorHAnsi"/>
                <w:color w:val="000000"/>
                <w:sz w:val="18"/>
                <w:szCs w:val="18"/>
                <w:lang w:eastAsia="en-US"/>
              </w:rPr>
              <w:t>and international agreements</w:t>
            </w:r>
          </w:p>
          <w:p w14:paraId="23ADA906" w14:textId="77777777" w:rsidR="00005022" w:rsidRPr="007C4D65" w:rsidRDefault="00005022" w:rsidP="00005022">
            <w:pPr>
              <w:spacing w:before="40" w:after="40" w:line="276" w:lineRule="auto"/>
              <w:ind w:left="360"/>
              <w:contextualSpacing/>
              <w:rPr>
                <w:rFonts w:asciiTheme="minorHAnsi" w:eastAsiaTheme="minorHAnsi" w:hAnsiTheme="minorHAnsi" w:cstheme="minorHAnsi"/>
                <w:color w:val="000000"/>
                <w:sz w:val="18"/>
                <w:szCs w:val="18"/>
                <w:lang w:eastAsia="en-US"/>
              </w:rPr>
            </w:pPr>
          </w:p>
        </w:tc>
        <w:tc>
          <w:tcPr>
            <w:tcW w:w="1283" w:type="pct"/>
            <w:shd w:val="clear" w:color="auto" w:fill="FFFFFF"/>
            <w:vAlign w:val="center"/>
          </w:tcPr>
          <w:p w14:paraId="5839FF41"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lastRenderedPageBreak/>
              <w:t xml:space="preserve">Sectoral regulations are not in line with the EU </w:t>
            </w:r>
            <w:r w:rsidRPr="007C4D65">
              <w:rPr>
                <w:rFonts w:asciiTheme="minorHAnsi" w:eastAsiaTheme="minorHAnsi" w:hAnsiTheme="minorHAnsi" w:cstheme="minorHAnsi"/>
                <w:i/>
                <w:iCs/>
                <w:sz w:val="18"/>
                <w:szCs w:val="18"/>
                <w:lang w:eastAsia="en-US" w:bidi="en-US"/>
              </w:rPr>
              <w:t>acquis</w:t>
            </w:r>
            <w:r w:rsidRPr="007C4D65">
              <w:rPr>
                <w:rFonts w:asciiTheme="minorHAnsi" w:eastAsiaTheme="minorHAnsi" w:hAnsiTheme="minorHAnsi" w:cstheme="minorHAnsi"/>
                <w:sz w:val="18"/>
                <w:szCs w:val="18"/>
                <w:lang w:eastAsia="en-US" w:bidi="en-US"/>
              </w:rPr>
              <w:t xml:space="preserve"> and international agreements</w:t>
            </w:r>
          </w:p>
        </w:tc>
        <w:tc>
          <w:tcPr>
            <w:tcW w:w="1282" w:type="pct"/>
            <w:shd w:val="clear" w:color="auto" w:fill="FFFFFF"/>
            <w:vAlign w:val="center"/>
          </w:tcPr>
          <w:p w14:paraId="440243AB" w14:textId="12F5C89D"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Sectoral regulations </w:t>
            </w:r>
            <w:r w:rsidR="00170757" w:rsidRPr="007C4D65">
              <w:rPr>
                <w:rFonts w:asciiTheme="minorHAnsi" w:eastAsiaTheme="minorHAnsi" w:hAnsiTheme="minorHAnsi" w:cstheme="minorHAnsi"/>
                <w:sz w:val="18"/>
                <w:szCs w:val="18"/>
                <w:lang w:eastAsia="en-US" w:bidi="en-US"/>
              </w:rPr>
              <w:t>aligned</w:t>
            </w:r>
            <w:r w:rsidRPr="007C4D65">
              <w:rPr>
                <w:rFonts w:asciiTheme="minorHAnsi" w:eastAsiaTheme="minorHAnsi" w:hAnsiTheme="minorHAnsi" w:cstheme="minorHAnsi"/>
                <w:sz w:val="18"/>
                <w:szCs w:val="18"/>
                <w:lang w:eastAsia="en-US" w:bidi="en-US"/>
              </w:rPr>
              <w:t xml:space="preserve"> with the EU </w:t>
            </w:r>
            <w:r w:rsidRPr="007C4D65">
              <w:rPr>
                <w:rFonts w:asciiTheme="minorHAnsi" w:eastAsiaTheme="minorHAnsi" w:hAnsiTheme="minorHAnsi" w:cstheme="minorHAnsi"/>
                <w:i/>
                <w:iCs/>
                <w:sz w:val="18"/>
                <w:szCs w:val="18"/>
                <w:lang w:eastAsia="en-US" w:bidi="en-US"/>
              </w:rPr>
              <w:t>acquis</w:t>
            </w:r>
            <w:r w:rsidRPr="007C4D65">
              <w:rPr>
                <w:rFonts w:asciiTheme="minorHAnsi" w:eastAsiaTheme="minorHAnsi" w:hAnsiTheme="minorHAnsi" w:cstheme="minorHAnsi"/>
                <w:sz w:val="18"/>
                <w:szCs w:val="18"/>
                <w:lang w:eastAsia="en-US" w:bidi="en-US"/>
              </w:rPr>
              <w:t xml:space="preserve"> and international agreements</w:t>
            </w:r>
          </w:p>
        </w:tc>
      </w:tr>
      <w:tr w:rsidR="00005022" w:rsidRPr="007C4D65" w14:paraId="10C55093" w14:textId="77777777" w:rsidTr="00BC37DE">
        <w:trPr>
          <w:trHeight w:val="567"/>
          <w:jc w:val="center"/>
        </w:trPr>
        <w:tc>
          <w:tcPr>
            <w:tcW w:w="1380" w:type="pct"/>
            <w:shd w:val="clear" w:color="auto" w:fill="009D73"/>
            <w:vAlign w:val="center"/>
          </w:tcPr>
          <w:p w14:paraId="3D1CF681"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5" w:type="pct"/>
            <w:shd w:val="clear" w:color="auto" w:fill="FFFFFF"/>
            <w:vAlign w:val="center"/>
          </w:tcPr>
          <w:p w14:paraId="1B2988CF" w14:textId="7E2CF6A6" w:rsidR="00005022" w:rsidRPr="007C4D65" w:rsidRDefault="00170757" w:rsidP="00005022">
            <w:pPr>
              <w:numPr>
                <w:ilvl w:val="0"/>
                <w:numId w:val="19"/>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Development of the mechanism for the implementation of</w:t>
            </w:r>
            <w:r w:rsidR="00005022" w:rsidRPr="007C4D65">
              <w:rPr>
                <w:rFonts w:asciiTheme="minorHAnsi" w:eastAsia="Calibri" w:hAnsiTheme="minorHAnsi" w:cstheme="minorHAnsi"/>
                <w:sz w:val="18"/>
                <w:szCs w:val="18"/>
                <w:lang w:eastAsia="x-none"/>
              </w:rPr>
              <w:t xml:space="preserve"> the Law on Nature </w:t>
            </w:r>
            <w:r w:rsidRPr="007C4D65">
              <w:rPr>
                <w:rFonts w:asciiTheme="minorHAnsi" w:eastAsia="Calibri" w:hAnsiTheme="minorHAnsi" w:cstheme="minorHAnsi"/>
                <w:sz w:val="18"/>
                <w:szCs w:val="18"/>
                <w:lang w:eastAsia="x-none"/>
              </w:rPr>
              <w:t>C</w:t>
            </w:r>
            <w:r w:rsidR="00005022" w:rsidRPr="007C4D65">
              <w:rPr>
                <w:rFonts w:asciiTheme="minorHAnsi" w:eastAsia="Calibri" w:hAnsiTheme="minorHAnsi" w:cstheme="minorHAnsi"/>
                <w:sz w:val="18"/>
                <w:szCs w:val="18"/>
                <w:lang w:eastAsia="x-none"/>
              </w:rPr>
              <w:t>onservation</w:t>
            </w:r>
          </w:p>
        </w:tc>
        <w:tc>
          <w:tcPr>
            <w:tcW w:w="1283" w:type="pct"/>
            <w:shd w:val="clear" w:color="auto" w:fill="FFFFFF"/>
            <w:vAlign w:val="center"/>
          </w:tcPr>
          <w:p w14:paraId="23722DCA" w14:textId="1F9E568B" w:rsidR="00005022" w:rsidRPr="007C4D65" w:rsidRDefault="00170757"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Poorly developed</w:t>
            </w:r>
          </w:p>
        </w:tc>
        <w:tc>
          <w:tcPr>
            <w:tcW w:w="1282" w:type="pct"/>
            <w:shd w:val="clear" w:color="auto" w:fill="FFFFFF"/>
            <w:vAlign w:val="center"/>
          </w:tcPr>
          <w:p w14:paraId="6E5367E3" w14:textId="6A67E058"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High</w:t>
            </w:r>
            <w:r w:rsidR="00170757" w:rsidRPr="007C4D65">
              <w:rPr>
                <w:rFonts w:asciiTheme="minorHAnsi" w:eastAsiaTheme="minorHAnsi" w:hAnsiTheme="minorHAnsi" w:cstheme="minorHAnsi"/>
                <w:sz w:val="18"/>
                <w:szCs w:val="18"/>
                <w:lang w:eastAsia="en-US" w:bidi="en-US"/>
              </w:rPr>
              <w:t>ly developed</w:t>
            </w:r>
            <w:r w:rsidRPr="007C4D65">
              <w:rPr>
                <w:rFonts w:asciiTheme="minorHAnsi" w:eastAsiaTheme="minorHAnsi" w:hAnsiTheme="minorHAnsi" w:cstheme="minorHAnsi"/>
                <w:sz w:val="18"/>
                <w:szCs w:val="18"/>
                <w:lang w:eastAsia="en-US" w:bidi="en-US"/>
              </w:rPr>
              <w:t xml:space="preserve"> (2023)</w:t>
            </w:r>
          </w:p>
        </w:tc>
      </w:tr>
      <w:tr w:rsidR="00005022" w:rsidRPr="007C4D65" w14:paraId="1E80FDF2" w14:textId="77777777" w:rsidTr="00BC37DE">
        <w:trPr>
          <w:trHeight w:val="567"/>
          <w:jc w:val="center"/>
        </w:trPr>
        <w:tc>
          <w:tcPr>
            <w:tcW w:w="1380" w:type="pct"/>
            <w:shd w:val="clear" w:color="auto" w:fill="009D73"/>
            <w:vAlign w:val="center"/>
          </w:tcPr>
          <w:p w14:paraId="7CB0DA7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implementation of the priorities</w:t>
            </w:r>
          </w:p>
        </w:tc>
        <w:tc>
          <w:tcPr>
            <w:tcW w:w="3620" w:type="pct"/>
            <w:gridSpan w:val="3"/>
            <w:shd w:val="clear" w:color="auto" w:fill="FFFFFF"/>
            <w:vAlign w:val="center"/>
          </w:tcPr>
          <w:p w14:paraId="27B9D083" w14:textId="028DF32A" w:rsidR="00005022" w:rsidRPr="007C4D65" w:rsidRDefault="00170757"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Improvement of the management and protection of biodiversity, nature conservation, and progress in the EU process through alignment of the national legislation with the EU acquis</w:t>
            </w:r>
          </w:p>
        </w:tc>
      </w:tr>
      <w:tr w:rsidR="00005022" w:rsidRPr="007C4D65" w14:paraId="01A20041" w14:textId="77777777" w:rsidTr="00BC37DE">
        <w:trPr>
          <w:trHeight w:val="567"/>
          <w:jc w:val="center"/>
        </w:trPr>
        <w:tc>
          <w:tcPr>
            <w:tcW w:w="1380" w:type="pct"/>
            <w:shd w:val="clear" w:color="auto" w:fill="009D73"/>
            <w:vAlign w:val="center"/>
          </w:tcPr>
          <w:p w14:paraId="559AE3E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Indicative funding completion date with funding sources </w:t>
            </w:r>
          </w:p>
        </w:tc>
        <w:tc>
          <w:tcPr>
            <w:tcW w:w="3620" w:type="pct"/>
            <w:gridSpan w:val="3"/>
            <w:shd w:val="clear" w:color="auto" w:fill="FFFFFF"/>
            <w:vAlign w:val="center"/>
          </w:tcPr>
          <w:p w14:paraId="3479D461" w14:textId="77777777" w:rsidR="00170757" w:rsidRPr="007C4D65" w:rsidRDefault="00170757" w:rsidP="00170757">
            <w:pPr>
              <w:spacing w:before="40" w:after="40" w:line="276" w:lineRule="auto"/>
              <w:rPr>
                <w:rFonts w:asciiTheme="minorHAnsi" w:hAnsiTheme="minorHAnsi" w:cstheme="minorHAnsi"/>
                <w:color w:val="000000" w:themeColor="text1"/>
                <w:sz w:val="18"/>
                <w:szCs w:val="18"/>
              </w:rPr>
            </w:pPr>
            <w:r w:rsidRPr="007C4D65">
              <w:rPr>
                <w:rFonts w:asciiTheme="minorHAnsi" w:hAnsiTheme="minorHAnsi" w:cstheme="minorHAnsi"/>
                <w:sz w:val="18"/>
                <w:szCs w:val="18"/>
                <w:lang w:bidi="en-US"/>
              </w:rPr>
              <w:t>Amount: BAM 1,283,675</w:t>
            </w:r>
          </w:p>
          <w:p w14:paraId="322647EC" w14:textId="2C0A89EC" w:rsidR="00005022" w:rsidRPr="007C4D65" w:rsidRDefault="00170757" w:rsidP="00170757">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10% </w:t>
            </w:r>
            <w:r w:rsidR="000E401F" w:rsidRPr="007C4D65">
              <w:rPr>
                <w:rFonts w:asciiTheme="minorHAnsi" w:hAnsiTheme="minorHAnsi" w:cstheme="minorHAnsi"/>
                <w:color w:val="000000" w:themeColor="text1"/>
                <w:sz w:val="18"/>
                <w:szCs w:val="18"/>
              </w:rPr>
              <w:t>government budget</w:t>
            </w:r>
            <w:r w:rsidRPr="007C4D65">
              <w:rPr>
                <w:rFonts w:asciiTheme="minorHAnsi" w:hAnsiTheme="minorHAnsi" w:cstheme="minorHAnsi"/>
                <w:color w:val="000000" w:themeColor="text1"/>
                <w:sz w:val="18"/>
                <w:szCs w:val="18"/>
              </w:rPr>
              <w:t>, 90% funds from EU and other international donors</w:t>
            </w:r>
          </w:p>
        </w:tc>
      </w:tr>
      <w:tr w:rsidR="00005022" w:rsidRPr="007C4D65" w14:paraId="0D4575A7" w14:textId="77777777" w:rsidTr="00BC37DE">
        <w:trPr>
          <w:trHeight w:val="567"/>
          <w:jc w:val="center"/>
        </w:trPr>
        <w:tc>
          <w:tcPr>
            <w:tcW w:w="1380" w:type="pct"/>
            <w:shd w:val="clear" w:color="auto" w:fill="009D73"/>
            <w:vAlign w:val="center"/>
          </w:tcPr>
          <w:p w14:paraId="3EF0771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Implementation period of the measure</w:t>
            </w:r>
          </w:p>
        </w:tc>
        <w:tc>
          <w:tcPr>
            <w:tcW w:w="3620" w:type="pct"/>
            <w:gridSpan w:val="3"/>
            <w:shd w:val="clear" w:color="auto" w:fill="FFFFFF"/>
            <w:vAlign w:val="center"/>
          </w:tcPr>
          <w:p w14:paraId="2A1546AF"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2022 - 2025</w:t>
            </w:r>
          </w:p>
        </w:tc>
      </w:tr>
      <w:tr w:rsidR="00005022" w:rsidRPr="007C4D65" w14:paraId="023462D7" w14:textId="77777777" w:rsidTr="00BC37DE">
        <w:trPr>
          <w:trHeight w:val="567"/>
          <w:jc w:val="center"/>
        </w:trPr>
        <w:tc>
          <w:tcPr>
            <w:tcW w:w="1380" w:type="pct"/>
            <w:shd w:val="clear" w:color="auto" w:fill="009D73"/>
            <w:vAlign w:val="center"/>
          </w:tcPr>
          <w:p w14:paraId="3CBF457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20" w:type="pct"/>
            <w:gridSpan w:val="3"/>
            <w:shd w:val="clear" w:color="auto" w:fill="FFFFFF"/>
            <w:vAlign w:val="center"/>
          </w:tcPr>
          <w:p w14:paraId="10D97A45"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291B0A5A" w14:textId="77777777" w:rsidTr="00BC37DE">
        <w:trPr>
          <w:trHeight w:val="567"/>
          <w:jc w:val="center"/>
        </w:trPr>
        <w:tc>
          <w:tcPr>
            <w:tcW w:w="1380" w:type="pct"/>
            <w:shd w:val="clear" w:color="auto" w:fill="009D73"/>
            <w:vAlign w:val="center"/>
          </w:tcPr>
          <w:p w14:paraId="2EC0874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Implementing institutions for the measure</w:t>
            </w:r>
          </w:p>
        </w:tc>
        <w:tc>
          <w:tcPr>
            <w:tcW w:w="3620" w:type="pct"/>
            <w:gridSpan w:val="3"/>
            <w:shd w:val="clear" w:color="auto" w:fill="FFFFFF"/>
            <w:vAlign w:val="center"/>
          </w:tcPr>
          <w:p w14:paraId="2B1393D5" w14:textId="4D3866BB"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FMET, MOFTER, IEEB, </w:t>
            </w:r>
            <w:r w:rsidR="004B4EEC" w:rsidRPr="007C4D65">
              <w:rPr>
                <w:rFonts w:asciiTheme="minorHAnsi" w:eastAsiaTheme="minorHAnsi" w:hAnsiTheme="minorHAnsi" w:cstheme="minorHAnsi"/>
                <w:sz w:val="18"/>
                <w:szCs w:val="18"/>
                <w:lang w:eastAsia="en-US" w:bidi="en-US"/>
              </w:rPr>
              <w:t>FMAWMF</w:t>
            </w:r>
            <w:r w:rsidRPr="007C4D65">
              <w:rPr>
                <w:rFonts w:asciiTheme="minorHAnsi" w:eastAsiaTheme="minorHAnsi" w:hAnsiTheme="minorHAnsi" w:cstheme="minorHAnsi"/>
                <w:sz w:val="18"/>
                <w:szCs w:val="18"/>
                <w:lang w:eastAsia="en-US" w:bidi="en-US"/>
              </w:rPr>
              <w:t xml:space="preserve">, </w:t>
            </w:r>
            <w:r w:rsidR="00170757"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ministries</w:t>
            </w:r>
          </w:p>
        </w:tc>
      </w:tr>
      <w:tr w:rsidR="00005022" w:rsidRPr="007C4D65" w14:paraId="1DAB3D0C" w14:textId="77777777" w:rsidTr="00BC37DE">
        <w:trPr>
          <w:trHeight w:val="567"/>
          <w:jc w:val="center"/>
        </w:trPr>
        <w:tc>
          <w:tcPr>
            <w:tcW w:w="1380" w:type="pct"/>
            <w:shd w:val="clear" w:color="auto" w:fill="009D73"/>
            <w:vAlign w:val="center"/>
          </w:tcPr>
          <w:p w14:paraId="0D68EC79" w14:textId="30E4D2CD"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20" w:type="pct"/>
            <w:gridSpan w:val="3"/>
            <w:shd w:val="clear" w:color="auto" w:fill="FFFFFF"/>
            <w:vAlign w:val="center"/>
          </w:tcPr>
          <w:p w14:paraId="0D44A644"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Institutions responsible for the conservation of biological and landscape diversity, non-governmental organizations</w:t>
            </w:r>
          </w:p>
        </w:tc>
      </w:tr>
    </w:tbl>
    <w:p w14:paraId="4D51ADA1"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2"/>
        <w:gridCol w:w="2814"/>
        <w:gridCol w:w="3426"/>
        <w:gridCol w:w="3429"/>
      </w:tblGrid>
      <w:tr w:rsidR="00005022" w:rsidRPr="007C4D65" w14:paraId="2822C4C2" w14:textId="77777777" w:rsidTr="00BC37DE">
        <w:trPr>
          <w:trHeight w:val="567"/>
          <w:jc w:val="center"/>
        </w:trPr>
        <w:tc>
          <w:tcPr>
            <w:tcW w:w="1379" w:type="pct"/>
            <w:shd w:val="clear" w:color="auto" w:fill="009D73"/>
            <w:vAlign w:val="center"/>
          </w:tcPr>
          <w:p w14:paraId="517EE323" w14:textId="4EA4FCCD"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21" w:type="pct"/>
            <w:gridSpan w:val="3"/>
            <w:shd w:val="clear" w:color="auto" w:fill="FFFFFF"/>
            <w:vAlign w:val="center"/>
          </w:tcPr>
          <w:p w14:paraId="0BDC93E7" w14:textId="62DA7846"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074A46" w:rsidRPr="007C4D65">
              <w:rPr>
                <w:rFonts w:asciiTheme="minorHAnsi" w:eastAsia="Calibri" w:hAnsiTheme="minorHAnsi" w:cstheme="minorHAnsi"/>
                <w:b/>
                <w:bCs/>
                <w:sz w:val="18"/>
                <w:szCs w:val="18"/>
                <w:lang w:eastAsia="en-US"/>
              </w:rPr>
              <w:t>Maintaining and improving biodiversity and protecting ecosystems</w:t>
            </w:r>
          </w:p>
        </w:tc>
      </w:tr>
      <w:tr w:rsidR="00005022" w:rsidRPr="007C4D65" w14:paraId="16586F08" w14:textId="77777777" w:rsidTr="00BC37DE">
        <w:trPr>
          <w:trHeight w:val="567"/>
          <w:jc w:val="center"/>
        </w:trPr>
        <w:tc>
          <w:tcPr>
            <w:tcW w:w="1379" w:type="pct"/>
            <w:shd w:val="clear" w:color="auto" w:fill="009D73"/>
            <w:vAlign w:val="center"/>
          </w:tcPr>
          <w:p w14:paraId="58E3170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21" w:type="pct"/>
            <w:gridSpan w:val="3"/>
            <w:shd w:val="clear" w:color="auto" w:fill="FFFFFF"/>
            <w:vAlign w:val="center"/>
          </w:tcPr>
          <w:p w14:paraId="1AF72523" w14:textId="3A4F465F" w:rsidR="00005022" w:rsidRPr="007C4D65" w:rsidRDefault="00005022" w:rsidP="00005022">
            <w:pPr>
              <w:spacing w:before="40" w:after="40" w:line="276" w:lineRule="auto"/>
              <w:rPr>
                <w:rFonts w:asciiTheme="minorHAnsi" w:hAnsiTheme="minorHAnsi" w:cstheme="minorHAnsi"/>
                <w:b/>
                <w:bCs/>
                <w:color w:val="FF0000"/>
                <w:sz w:val="18"/>
                <w:szCs w:val="18"/>
                <w:lang w:eastAsia="zh-TW"/>
              </w:rPr>
            </w:pPr>
            <w:bookmarkStart w:id="255" w:name="_Hlk94615527"/>
            <w:r w:rsidRPr="007C4D65">
              <w:rPr>
                <w:rFonts w:asciiTheme="minorHAnsi" w:hAnsiTheme="minorHAnsi" w:cstheme="minorHAnsi"/>
                <w:b/>
                <w:bCs/>
                <w:sz w:val="18"/>
                <w:szCs w:val="18"/>
                <w:lang w:eastAsia="zh-TW"/>
              </w:rPr>
              <w:t xml:space="preserve">3.2. Strengthen </w:t>
            </w:r>
            <w:r w:rsidR="00074A46" w:rsidRPr="007C4D65">
              <w:rPr>
                <w:rFonts w:asciiTheme="minorHAnsi" w:hAnsiTheme="minorHAnsi" w:cstheme="minorHAnsi"/>
                <w:b/>
                <w:bCs/>
                <w:sz w:val="18"/>
                <w:szCs w:val="18"/>
                <w:lang w:eastAsia="zh-TW"/>
              </w:rPr>
              <w:t xml:space="preserve">the </w:t>
            </w:r>
            <w:r w:rsidRPr="007C4D65">
              <w:rPr>
                <w:rFonts w:asciiTheme="minorHAnsi" w:hAnsiTheme="minorHAnsi" w:cstheme="minorHAnsi"/>
                <w:b/>
                <w:bCs/>
                <w:sz w:val="18"/>
                <w:szCs w:val="18"/>
                <w:lang w:eastAsia="zh-TW"/>
              </w:rPr>
              <w:t>institutions</w:t>
            </w:r>
            <w:r w:rsidR="00074A46" w:rsidRPr="007C4D65">
              <w:rPr>
                <w:rFonts w:asciiTheme="minorHAnsi" w:hAnsiTheme="minorHAnsi" w:cstheme="minorHAnsi"/>
                <w:b/>
                <w:bCs/>
                <w:sz w:val="18"/>
                <w:szCs w:val="18"/>
                <w:lang w:eastAsia="zh-TW"/>
              </w:rPr>
              <w:t xml:space="preserve"> of the Federation of BiH</w:t>
            </w:r>
            <w:r w:rsidRPr="007C4D65">
              <w:rPr>
                <w:rFonts w:asciiTheme="minorHAnsi" w:hAnsiTheme="minorHAnsi" w:cstheme="minorHAnsi"/>
                <w:b/>
                <w:bCs/>
                <w:sz w:val="18"/>
                <w:szCs w:val="18"/>
                <w:lang w:eastAsia="zh-TW"/>
              </w:rPr>
              <w:t xml:space="preserve"> responsible for </w:t>
            </w:r>
            <w:r w:rsidR="00074A46" w:rsidRPr="007C4D65">
              <w:rPr>
                <w:rFonts w:asciiTheme="minorHAnsi" w:hAnsiTheme="minorHAnsi" w:cstheme="minorHAnsi"/>
                <w:b/>
                <w:bCs/>
                <w:sz w:val="18"/>
                <w:szCs w:val="18"/>
                <w:lang w:eastAsia="zh-TW"/>
              </w:rPr>
              <w:t xml:space="preserve">the </w:t>
            </w:r>
            <w:r w:rsidRPr="007C4D65">
              <w:rPr>
                <w:rFonts w:asciiTheme="minorHAnsi" w:hAnsiTheme="minorHAnsi" w:cstheme="minorHAnsi"/>
                <w:b/>
                <w:bCs/>
                <w:sz w:val="18"/>
                <w:szCs w:val="18"/>
                <w:lang w:eastAsia="zh-TW"/>
              </w:rPr>
              <w:t>implement</w:t>
            </w:r>
            <w:r w:rsidR="00074A46" w:rsidRPr="007C4D65">
              <w:rPr>
                <w:rFonts w:asciiTheme="minorHAnsi" w:hAnsiTheme="minorHAnsi" w:cstheme="minorHAnsi"/>
                <w:b/>
                <w:bCs/>
                <w:sz w:val="18"/>
                <w:szCs w:val="18"/>
                <w:lang w:eastAsia="zh-TW"/>
              </w:rPr>
              <w:t>ation of the legislation</w:t>
            </w:r>
            <w:r w:rsidRPr="007C4D65">
              <w:rPr>
                <w:rFonts w:asciiTheme="minorHAnsi" w:hAnsiTheme="minorHAnsi" w:cstheme="minorHAnsi"/>
                <w:b/>
                <w:bCs/>
                <w:sz w:val="18"/>
                <w:szCs w:val="18"/>
                <w:lang w:eastAsia="zh-TW"/>
              </w:rPr>
              <w:t xml:space="preserve"> and activities </w:t>
            </w:r>
            <w:proofErr w:type="gramStart"/>
            <w:r w:rsidRPr="007C4D65">
              <w:rPr>
                <w:rFonts w:asciiTheme="minorHAnsi" w:hAnsiTheme="minorHAnsi" w:cstheme="minorHAnsi"/>
                <w:b/>
                <w:bCs/>
                <w:sz w:val="18"/>
                <w:szCs w:val="18"/>
                <w:lang w:eastAsia="zh-TW"/>
              </w:rPr>
              <w:t>in the area of</w:t>
            </w:r>
            <w:proofErr w:type="gramEnd"/>
            <w:r w:rsidRPr="007C4D65">
              <w:rPr>
                <w:rFonts w:asciiTheme="minorHAnsi" w:hAnsiTheme="minorHAnsi" w:cstheme="minorHAnsi"/>
                <w:b/>
                <w:bCs/>
                <w:sz w:val="18"/>
                <w:szCs w:val="18"/>
                <w:lang w:eastAsia="zh-TW"/>
              </w:rPr>
              <w:t xml:space="preserve"> nature conservation</w:t>
            </w:r>
            <w:bookmarkEnd w:id="255"/>
          </w:p>
        </w:tc>
      </w:tr>
      <w:tr w:rsidR="00005022" w:rsidRPr="007C4D65" w14:paraId="69E1F398" w14:textId="77777777" w:rsidTr="00BC37DE">
        <w:trPr>
          <w:trHeight w:val="567"/>
          <w:jc w:val="center"/>
        </w:trPr>
        <w:tc>
          <w:tcPr>
            <w:tcW w:w="1379" w:type="pct"/>
            <w:shd w:val="clear" w:color="auto" w:fill="009D73"/>
            <w:vAlign w:val="center"/>
          </w:tcPr>
          <w:p w14:paraId="59A84C0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21" w:type="pct"/>
            <w:gridSpan w:val="3"/>
            <w:shd w:val="clear" w:color="auto" w:fill="FFFFFF"/>
            <w:vAlign w:val="center"/>
          </w:tcPr>
          <w:p w14:paraId="2879F613" w14:textId="20A05C84" w:rsidR="00005022" w:rsidRPr="007C4D65" w:rsidRDefault="00005022" w:rsidP="00005022">
            <w:pPr>
              <w:spacing w:line="276" w:lineRule="auto"/>
              <w:rPr>
                <w:rFonts w:asciiTheme="minorHAnsi" w:eastAsia="Calibri" w:hAnsiTheme="minorHAnsi" w:cstheme="minorHAnsi"/>
                <w:b/>
                <w:bCs/>
                <w:sz w:val="18"/>
                <w:szCs w:val="18"/>
                <w:lang w:eastAsia="en-US"/>
              </w:rPr>
            </w:pPr>
            <w:bookmarkStart w:id="256" w:name="_Hlk94615566"/>
            <w:r w:rsidRPr="007C4D65">
              <w:rPr>
                <w:rFonts w:asciiTheme="minorHAnsi" w:eastAsia="Calibri" w:hAnsiTheme="minorHAnsi" w:cstheme="minorHAnsi"/>
                <w:b/>
                <w:bCs/>
                <w:sz w:val="18"/>
                <w:szCs w:val="18"/>
                <w:lang w:eastAsia="en-US"/>
              </w:rPr>
              <w:t xml:space="preserve">3.2.1. Establishment of </w:t>
            </w:r>
            <w:r w:rsidR="00074A46" w:rsidRPr="007C4D65">
              <w:rPr>
                <w:rFonts w:asciiTheme="minorHAnsi" w:eastAsia="Calibri" w:hAnsiTheme="minorHAnsi" w:cstheme="minorHAnsi"/>
                <w:b/>
                <w:bCs/>
                <w:sz w:val="18"/>
                <w:szCs w:val="18"/>
                <w:lang w:eastAsia="en-US"/>
              </w:rPr>
              <w:t>a</w:t>
            </w:r>
            <w:r w:rsidRPr="007C4D65">
              <w:rPr>
                <w:rFonts w:asciiTheme="minorHAnsi" w:eastAsia="Calibri" w:hAnsiTheme="minorHAnsi" w:cstheme="minorHAnsi"/>
                <w:b/>
                <w:bCs/>
                <w:sz w:val="18"/>
                <w:szCs w:val="18"/>
                <w:lang w:eastAsia="en-US"/>
              </w:rPr>
              <w:t xml:space="preserve"> professional institution for nature conservation in accordance with the Law on Nature Conservation of </w:t>
            </w:r>
            <w:r w:rsidR="00074A46" w:rsidRPr="007C4D65">
              <w:rPr>
                <w:rFonts w:asciiTheme="minorHAnsi" w:hAnsiTheme="minorHAnsi" w:cstheme="minorHAnsi"/>
                <w:b/>
                <w:bCs/>
                <w:sz w:val="18"/>
                <w:szCs w:val="18"/>
                <w:lang w:eastAsia="zh-TW"/>
              </w:rPr>
              <w:t>the Federation of BiH</w:t>
            </w:r>
            <w:bookmarkEnd w:id="256"/>
          </w:p>
        </w:tc>
      </w:tr>
      <w:tr w:rsidR="00005022" w:rsidRPr="007C4D65" w14:paraId="03B15DC4" w14:textId="77777777" w:rsidTr="00BC37DE">
        <w:trPr>
          <w:trHeight w:val="567"/>
          <w:jc w:val="center"/>
        </w:trPr>
        <w:tc>
          <w:tcPr>
            <w:tcW w:w="1379" w:type="pct"/>
            <w:shd w:val="clear" w:color="auto" w:fill="009D73"/>
            <w:vAlign w:val="center"/>
          </w:tcPr>
          <w:p w14:paraId="1C4AED0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21" w:type="pct"/>
            <w:gridSpan w:val="3"/>
            <w:shd w:val="clear" w:color="auto" w:fill="FFFFFF"/>
            <w:vAlign w:val="center"/>
          </w:tcPr>
          <w:p w14:paraId="01731097" w14:textId="16C24892"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257" w:name="_Hlk94615645"/>
            <w:r w:rsidRPr="007C4D65">
              <w:rPr>
                <w:rFonts w:asciiTheme="minorHAnsi" w:eastAsia="Calibri" w:hAnsiTheme="minorHAnsi" w:cstheme="minorHAnsi"/>
                <w:sz w:val="18"/>
                <w:szCs w:val="18"/>
                <w:lang w:eastAsia="en-US"/>
              </w:rPr>
              <w:t xml:space="preserve">The aim of this measure is to </w:t>
            </w:r>
            <w:r w:rsidR="00074A46" w:rsidRPr="007C4D65">
              <w:rPr>
                <w:rFonts w:asciiTheme="minorHAnsi" w:eastAsia="Calibri" w:hAnsiTheme="minorHAnsi" w:cstheme="minorHAnsi"/>
                <w:sz w:val="18"/>
                <w:szCs w:val="18"/>
                <w:lang w:eastAsia="en-US"/>
              </w:rPr>
              <w:t>have a societal choice</w:t>
            </w:r>
            <w:r w:rsidRPr="007C4D65">
              <w:rPr>
                <w:rFonts w:asciiTheme="minorHAnsi" w:eastAsia="Calibri" w:hAnsiTheme="minorHAnsi" w:cstheme="minorHAnsi"/>
                <w:sz w:val="18"/>
                <w:szCs w:val="18"/>
                <w:lang w:eastAsia="en-US"/>
              </w:rPr>
              <w:t xml:space="preserve"> on the establishment of a professional institution in accordance with the provisions of the Law on Nature Conservation of </w:t>
            </w:r>
            <w:r w:rsidR="00074A46" w:rsidRPr="007C4D65">
              <w:rPr>
                <w:rFonts w:asciiTheme="minorHAnsi" w:hAnsiTheme="minorHAnsi" w:cstheme="minorHAnsi"/>
                <w:sz w:val="18"/>
                <w:szCs w:val="18"/>
                <w:lang w:eastAsia="zh-TW"/>
              </w:rPr>
              <w:t>the Federation of BiH</w:t>
            </w:r>
            <w:r w:rsidRPr="007C4D65">
              <w:rPr>
                <w:rFonts w:asciiTheme="minorHAnsi" w:eastAsia="Calibri" w:hAnsiTheme="minorHAnsi" w:cstheme="minorHAnsi"/>
                <w:sz w:val="18"/>
                <w:szCs w:val="18"/>
                <w:lang w:eastAsia="en-US"/>
              </w:rPr>
              <w:t xml:space="preserve">. </w:t>
            </w:r>
            <w:bookmarkStart w:id="258" w:name="_Hlk94615912"/>
            <w:r w:rsidRPr="007C4D65">
              <w:rPr>
                <w:rFonts w:asciiTheme="minorHAnsi" w:eastAsia="Calibri" w:hAnsiTheme="minorHAnsi" w:cstheme="minorHAnsi"/>
                <w:sz w:val="18"/>
                <w:szCs w:val="18"/>
                <w:lang w:eastAsia="en-US"/>
              </w:rPr>
              <w:t xml:space="preserve">The tasks and duties of a professional institution are prescribed by law, and a direct consequence of its non-existence is the fact that it is impossible to implement the </w:t>
            </w:r>
            <w:r w:rsidR="00074A46" w:rsidRPr="007C4D65">
              <w:rPr>
                <w:rFonts w:asciiTheme="minorHAnsi" w:eastAsia="Calibri" w:hAnsiTheme="minorHAnsi" w:cstheme="minorHAnsi"/>
                <w:sz w:val="18"/>
                <w:szCs w:val="18"/>
                <w:lang w:eastAsia="en-US"/>
              </w:rPr>
              <w:t>legislation</w:t>
            </w:r>
            <w:r w:rsidRPr="007C4D65">
              <w:rPr>
                <w:rFonts w:asciiTheme="minorHAnsi" w:eastAsia="Calibri" w:hAnsiTheme="minorHAnsi" w:cstheme="minorHAnsi"/>
                <w:sz w:val="18"/>
                <w:szCs w:val="18"/>
                <w:lang w:eastAsia="en-US"/>
              </w:rPr>
              <w:t>.</w:t>
            </w:r>
          </w:p>
          <w:bookmarkEnd w:id="257"/>
          <w:bookmarkEnd w:id="258"/>
          <w:p w14:paraId="36502070" w14:textId="24FEF9FB" w:rsidR="00005022" w:rsidRPr="007C4D65" w:rsidRDefault="00074A46"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General area</w:t>
            </w:r>
            <w:r w:rsidR="00042CF3" w:rsidRPr="007C4D65">
              <w:rPr>
                <w:rFonts w:asciiTheme="minorHAnsi" w:eastAsia="Calibri" w:hAnsiTheme="minorHAnsi" w:cstheme="minorHAnsi"/>
                <w:sz w:val="18"/>
                <w:szCs w:val="18"/>
                <w:lang w:eastAsia="en-US"/>
              </w:rPr>
              <w:t>s</w:t>
            </w:r>
            <w:r w:rsidRPr="007C4D65">
              <w:rPr>
                <w:rFonts w:asciiTheme="minorHAnsi" w:eastAsia="Calibri" w:hAnsiTheme="minorHAnsi" w:cstheme="minorHAnsi"/>
                <w:sz w:val="18"/>
                <w:szCs w:val="18"/>
                <w:lang w:eastAsia="en-US"/>
              </w:rPr>
              <w:t xml:space="preserve"> of intervention include</w:t>
            </w:r>
            <w:r w:rsidR="00005022" w:rsidRPr="007C4D65">
              <w:rPr>
                <w:rFonts w:asciiTheme="minorHAnsi" w:eastAsia="Calibri" w:hAnsiTheme="minorHAnsi" w:cstheme="minorHAnsi"/>
                <w:sz w:val="18"/>
                <w:szCs w:val="18"/>
                <w:lang w:eastAsia="en-US"/>
              </w:rPr>
              <w:t>:</w:t>
            </w:r>
          </w:p>
          <w:p w14:paraId="3AF92947" w14:textId="4E2552C1" w:rsidR="00005022" w:rsidRPr="007C4D65" w:rsidRDefault="00005022" w:rsidP="00005022">
            <w:pPr>
              <w:numPr>
                <w:ilvl w:val="0"/>
                <w:numId w:val="32"/>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Reach</w:t>
            </w:r>
            <w:r w:rsidR="00BB1A2A" w:rsidRPr="007C4D65">
              <w:rPr>
                <w:rFonts w:asciiTheme="minorHAnsi" w:eastAsia="Calibri" w:hAnsiTheme="minorHAnsi" w:cstheme="minorHAnsi"/>
                <w:sz w:val="18"/>
                <w:szCs w:val="18"/>
                <w:lang w:eastAsia="en-US"/>
              </w:rPr>
              <w:t>ing</w:t>
            </w:r>
            <w:r w:rsidRPr="007C4D65">
              <w:rPr>
                <w:rFonts w:asciiTheme="minorHAnsi" w:eastAsia="Calibri" w:hAnsiTheme="minorHAnsi" w:cstheme="minorHAnsi"/>
                <w:sz w:val="18"/>
                <w:szCs w:val="18"/>
                <w:lang w:eastAsia="en-US"/>
              </w:rPr>
              <w:t xml:space="preserve"> agreement and </w:t>
            </w:r>
            <w:proofErr w:type="gramStart"/>
            <w:r w:rsidRPr="007C4D65">
              <w:rPr>
                <w:rFonts w:asciiTheme="minorHAnsi" w:eastAsia="Calibri" w:hAnsiTheme="minorHAnsi" w:cstheme="minorHAnsi"/>
                <w:sz w:val="18"/>
                <w:szCs w:val="18"/>
                <w:lang w:eastAsia="en-US"/>
              </w:rPr>
              <w:t>mak</w:t>
            </w:r>
            <w:r w:rsidR="00BB1A2A" w:rsidRPr="007C4D65">
              <w:rPr>
                <w:rFonts w:asciiTheme="minorHAnsi" w:eastAsia="Calibri" w:hAnsiTheme="minorHAnsi" w:cstheme="minorHAnsi"/>
                <w:sz w:val="18"/>
                <w:szCs w:val="18"/>
                <w:lang w:eastAsia="en-US"/>
              </w:rPr>
              <w:t>ing</w:t>
            </w:r>
            <w:r w:rsidRPr="007C4D65">
              <w:rPr>
                <w:rFonts w:asciiTheme="minorHAnsi" w:eastAsia="Calibri" w:hAnsiTheme="minorHAnsi" w:cstheme="minorHAnsi"/>
                <w:sz w:val="18"/>
                <w:szCs w:val="18"/>
                <w:lang w:eastAsia="en-US"/>
              </w:rPr>
              <w:t xml:space="preserve"> a decision</w:t>
            </w:r>
            <w:proofErr w:type="gramEnd"/>
            <w:r w:rsidRPr="007C4D65">
              <w:rPr>
                <w:rFonts w:asciiTheme="minorHAnsi" w:eastAsia="Calibri" w:hAnsiTheme="minorHAnsi" w:cstheme="minorHAnsi"/>
                <w:sz w:val="18"/>
                <w:szCs w:val="18"/>
                <w:lang w:eastAsia="en-US"/>
              </w:rPr>
              <w:t xml:space="preserve"> on the establishment of </w:t>
            </w:r>
            <w:r w:rsidR="00BB1A2A" w:rsidRPr="007C4D65">
              <w:rPr>
                <w:rFonts w:asciiTheme="minorHAnsi" w:eastAsia="Calibri" w:hAnsiTheme="minorHAnsi" w:cstheme="minorHAnsi"/>
                <w:sz w:val="18"/>
                <w:szCs w:val="18"/>
                <w:lang w:eastAsia="en-US"/>
              </w:rPr>
              <w:t>the</w:t>
            </w:r>
            <w:r w:rsidRPr="007C4D65">
              <w:rPr>
                <w:rFonts w:asciiTheme="minorHAnsi" w:eastAsia="Calibri" w:hAnsiTheme="minorHAnsi" w:cstheme="minorHAnsi"/>
                <w:sz w:val="18"/>
                <w:szCs w:val="18"/>
                <w:lang w:eastAsia="en-US"/>
              </w:rPr>
              <w:t xml:space="preserve"> professional institution</w:t>
            </w:r>
            <w:r w:rsidR="00CD3560" w:rsidRPr="007C4D65">
              <w:rPr>
                <w:rFonts w:asciiTheme="minorHAnsi" w:eastAsia="Calibri" w:hAnsiTheme="minorHAnsi" w:cstheme="minorHAnsi"/>
                <w:sz w:val="18"/>
                <w:szCs w:val="18"/>
                <w:lang w:eastAsia="en-US"/>
              </w:rPr>
              <w:t>.</w:t>
            </w:r>
          </w:p>
        </w:tc>
      </w:tr>
      <w:tr w:rsidR="00005022" w:rsidRPr="007C4D65" w14:paraId="0AD85B97" w14:textId="77777777" w:rsidTr="00BC37DE">
        <w:trPr>
          <w:trHeight w:val="567"/>
          <w:jc w:val="center"/>
        </w:trPr>
        <w:tc>
          <w:tcPr>
            <w:tcW w:w="1379" w:type="pct"/>
            <w:shd w:val="clear" w:color="auto" w:fill="009D73"/>
            <w:vAlign w:val="center"/>
          </w:tcPr>
          <w:p w14:paraId="4666DAE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Strategic projects</w:t>
            </w:r>
          </w:p>
        </w:tc>
        <w:tc>
          <w:tcPr>
            <w:tcW w:w="3621" w:type="pct"/>
            <w:gridSpan w:val="3"/>
            <w:tcBorders>
              <w:bottom w:val="single" w:sz="4" w:space="0" w:color="A6A6A6"/>
            </w:tcBorders>
            <w:shd w:val="clear" w:color="auto" w:fill="FFFFFF" w:themeFill="background1"/>
            <w:vAlign w:val="center"/>
          </w:tcPr>
          <w:p w14:paraId="72E9B52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263FAC0A" w14:textId="77777777" w:rsidTr="00BC37DE">
        <w:trPr>
          <w:trHeight w:val="567"/>
          <w:jc w:val="center"/>
        </w:trPr>
        <w:tc>
          <w:tcPr>
            <w:tcW w:w="1379" w:type="pct"/>
            <w:vMerge w:val="restart"/>
            <w:shd w:val="clear" w:color="auto" w:fill="009D73"/>
            <w:vAlign w:val="center"/>
          </w:tcPr>
          <w:p w14:paraId="293E540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054" w:type="pct"/>
            <w:shd w:val="clear" w:color="auto" w:fill="009D73"/>
            <w:vAlign w:val="center"/>
          </w:tcPr>
          <w:p w14:paraId="572B1FEF"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2C74E9EB"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1C3EAAE6"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2B2EFAD2"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445905C8"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0D7CAAC1" w14:textId="77777777" w:rsidTr="00BC37DE">
        <w:trPr>
          <w:trHeight w:val="567"/>
          <w:jc w:val="center"/>
        </w:trPr>
        <w:tc>
          <w:tcPr>
            <w:tcW w:w="1379" w:type="pct"/>
            <w:vMerge/>
            <w:shd w:val="clear" w:color="auto" w:fill="009D73"/>
            <w:vAlign w:val="center"/>
          </w:tcPr>
          <w:p w14:paraId="73B7C210"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4" w:type="pct"/>
            <w:shd w:val="clear" w:color="auto" w:fill="FFFFFF"/>
            <w:vAlign w:val="center"/>
          </w:tcPr>
          <w:p w14:paraId="6B9CD61F"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Decision on the establishment of the professional institution</w:t>
            </w:r>
          </w:p>
        </w:tc>
        <w:tc>
          <w:tcPr>
            <w:tcW w:w="1283" w:type="pct"/>
            <w:shd w:val="clear" w:color="auto" w:fill="FFFFFF"/>
            <w:vAlign w:val="center"/>
          </w:tcPr>
          <w:p w14:paraId="7ACF5C45"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There is no professional institution</w:t>
            </w:r>
          </w:p>
        </w:tc>
        <w:tc>
          <w:tcPr>
            <w:tcW w:w="1284" w:type="pct"/>
            <w:shd w:val="clear" w:color="auto" w:fill="FFFFFF"/>
            <w:vAlign w:val="center"/>
          </w:tcPr>
          <w:p w14:paraId="0013AA66"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Decision made on the establishment of the professional institution (2024)</w:t>
            </w:r>
          </w:p>
        </w:tc>
      </w:tr>
      <w:tr w:rsidR="00005022" w:rsidRPr="007C4D65" w14:paraId="13E85F29" w14:textId="77777777" w:rsidTr="00BC37DE">
        <w:trPr>
          <w:trHeight w:val="567"/>
          <w:jc w:val="center"/>
        </w:trPr>
        <w:tc>
          <w:tcPr>
            <w:tcW w:w="1379" w:type="pct"/>
            <w:shd w:val="clear" w:color="auto" w:fill="009D73"/>
            <w:vAlign w:val="center"/>
          </w:tcPr>
          <w:p w14:paraId="02AF5B3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realization of priorities</w:t>
            </w:r>
          </w:p>
        </w:tc>
        <w:tc>
          <w:tcPr>
            <w:tcW w:w="3621" w:type="pct"/>
            <w:gridSpan w:val="3"/>
            <w:shd w:val="clear" w:color="auto" w:fill="FFFFFF"/>
            <w:vAlign w:val="center"/>
          </w:tcPr>
          <w:p w14:paraId="1C4B682E" w14:textId="08E487DD" w:rsidR="00005022" w:rsidRPr="007C4D65" w:rsidRDefault="00BB1A2A"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Improving the protection and enhancing biodiversity and nature conservation</w:t>
            </w:r>
          </w:p>
        </w:tc>
      </w:tr>
      <w:tr w:rsidR="00005022" w:rsidRPr="007C4D65" w14:paraId="61F2AFB5" w14:textId="77777777" w:rsidTr="00BC37DE">
        <w:trPr>
          <w:trHeight w:val="567"/>
          <w:jc w:val="center"/>
        </w:trPr>
        <w:tc>
          <w:tcPr>
            <w:tcW w:w="1379" w:type="pct"/>
            <w:shd w:val="clear" w:color="auto" w:fill="009D73"/>
            <w:vAlign w:val="center"/>
          </w:tcPr>
          <w:p w14:paraId="549773DF" w14:textId="44616D72"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21" w:type="pct"/>
            <w:gridSpan w:val="3"/>
            <w:shd w:val="clear" w:color="auto" w:fill="FFFFFF"/>
            <w:vAlign w:val="center"/>
          </w:tcPr>
          <w:p w14:paraId="3DC000B6" w14:textId="7DEB1C28" w:rsidR="00BB1A2A" w:rsidRPr="007C4D65" w:rsidRDefault="00BB1A2A" w:rsidP="00BB1A2A">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9,876</w:t>
            </w:r>
          </w:p>
          <w:p w14:paraId="514512E5" w14:textId="35DF6937" w:rsidR="00005022" w:rsidRPr="007C4D65" w:rsidRDefault="00BB1A2A" w:rsidP="00BB1A2A">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100% </w:t>
            </w:r>
            <w:r w:rsidR="000E401F" w:rsidRPr="007C4D65">
              <w:rPr>
                <w:rFonts w:asciiTheme="minorHAnsi" w:hAnsiTheme="minorHAnsi" w:cstheme="minorHAnsi"/>
                <w:color w:val="000000" w:themeColor="text1"/>
                <w:sz w:val="18"/>
                <w:szCs w:val="18"/>
              </w:rPr>
              <w:t>government budget</w:t>
            </w:r>
          </w:p>
        </w:tc>
      </w:tr>
      <w:tr w:rsidR="00005022" w:rsidRPr="007C4D65" w14:paraId="08C6C65D" w14:textId="77777777" w:rsidTr="00BC37DE">
        <w:trPr>
          <w:trHeight w:val="567"/>
          <w:jc w:val="center"/>
        </w:trPr>
        <w:tc>
          <w:tcPr>
            <w:tcW w:w="1379" w:type="pct"/>
            <w:shd w:val="clear" w:color="auto" w:fill="009D73"/>
            <w:vAlign w:val="center"/>
          </w:tcPr>
          <w:p w14:paraId="364BAEC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21" w:type="pct"/>
            <w:gridSpan w:val="3"/>
            <w:shd w:val="clear" w:color="auto" w:fill="FFFFFF"/>
            <w:vAlign w:val="center"/>
          </w:tcPr>
          <w:p w14:paraId="107C39E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2022 - 2024</w:t>
            </w:r>
          </w:p>
        </w:tc>
      </w:tr>
      <w:tr w:rsidR="00005022" w:rsidRPr="007C4D65" w14:paraId="3A03EB10" w14:textId="77777777" w:rsidTr="00BC37DE">
        <w:trPr>
          <w:trHeight w:val="567"/>
          <w:jc w:val="center"/>
        </w:trPr>
        <w:tc>
          <w:tcPr>
            <w:tcW w:w="1379" w:type="pct"/>
            <w:shd w:val="clear" w:color="auto" w:fill="009D73"/>
            <w:vAlign w:val="center"/>
          </w:tcPr>
          <w:p w14:paraId="4CB4970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21" w:type="pct"/>
            <w:gridSpan w:val="3"/>
            <w:shd w:val="clear" w:color="auto" w:fill="FFFFFF"/>
            <w:vAlign w:val="center"/>
          </w:tcPr>
          <w:p w14:paraId="4712DF0E"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007FC3D5" w14:textId="77777777" w:rsidTr="00BC37DE">
        <w:trPr>
          <w:trHeight w:val="567"/>
          <w:jc w:val="center"/>
        </w:trPr>
        <w:tc>
          <w:tcPr>
            <w:tcW w:w="1379" w:type="pct"/>
            <w:shd w:val="clear" w:color="auto" w:fill="009D73"/>
            <w:vAlign w:val="center"/>
          </w:tcPr>
          <w:p w14:paraId="435D898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Implementing institutions for the measure</w:t>
            </w:r>
          </w:p>
        </w:tc>
        <w:tc>
          <w:tcPr>
            <w:tcW w:w="3621" w:type="pct"/>
            <w:gridSpan w:val="3"/>
            <w:shd w:val="clear" w:color="auto" w:fill="FFFFFF"/>
            <w:vAlign w:val="center"/>
          </w:tcPr>
          <w:p w14:paraId="7671A2CF" w14:textId="11364328"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FMET, Government of </w:t>
            </w:r>
            <w:r w:rsidR="00BB1A2A" w:rsidRPr="007C4D65">
              <w:rPr>
                <w:rFonts w:asciiTheme="minorHAnsi" w:eastAsiaTheme="minorHAnsi" w:hAnsiTheme="minorHAnsi" w:cstheme="minorHAnsi"/>
                <w:sz w:val="18"/>
                <w:szCs w:val="18"/>
                <w:lang w:eastAsia="en-US" w:bidi="en-US"/>
              </w:rPr>
              <w:t>the Federation of BiH</w:t>
            </w:r>
          </w:p>
        </w:tc>
      </w:tr>
      <w:tr w:rsidR="00005022" w:rsidRPr="007C4D65" w14:paraId="65AD3B59" w14:textId="77777777" w:rsidTr="00BC37DE">
        <w:trPr>
          <w:trHeight w:val="567"/>
          <w:jc w:val="center"/>
        </w:trPr>
        <w:tc>
          <w:tcPr>
            <w:tcW w:w="1379" w:type="pct"/>
            <w:shd w:val="clear" w:color="auto" w:fill="009D73"/>
            <w:vAlign w:val="center"/>
          </w:tcPr>
          <w:p w14:paraId="408873C2" w14:textId="727F7867"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21" w:type="pct"/>
            <w:gridSpan w:val="3"/>
            <w:shd w:val="clear" w:color="auto" w:fill="FFFFFF"/>
            <w:vAlign w:val="center"/>
          </w:tcPr>
          <w:p w14:paraId="4DCDA7DA"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Institutions responsible for the conservation of biological and landscape diversity, non-governmental organizations</w:t>
            </w:r>
          </w:p>
        </w:tc>
      </w:tr>
    </w:tbl>
    <w:p w14:paraId="41CAA76A" w14:textId="77777777" w:rsidR="00005022" w:rsidRPr="007C4D65" w:rsidRDefault="00005022" w:rsidP="00005022">
      <w:pPr>
        <w:spacing w:after="160" w:line="276" w:lineRule="auto"/>
        <w:rPr>
          <w:rFonts w:asciiTheme="minorHAnsi" w:eastAsiaTheme="minorHAnsi" w:hAnsiTheme="minorHAnsi" w:cstheme="minorHAnsi"/>
          <w:sz w:val="18"/>
          <w:szCs w:val="18"/>
          <w:lang w:eastAsia="en-US"/>
        </w:rPr>
      </w:pPr>
    </w:p>
    <w:tbl>
      <w:tblPr>
        <w:tblW w:w="478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682"/>
        <w:gridCol w:w="2814"/>
        <w:gridCol w:w="3426"/>
        <w:gridCol w:w="3429"/>
      </w:tblGrid>
      <w:tr w:rsidR="00005022" w:rsidRPr="007C4D65" w14:paraId="178B2DC4" w14:textId="77777777" w:rsidTr="00BC37DE">
        <w:trPr>
          <w:trHeight w:val="567"/>
          <w:jc w:val="center"/>
        </w:trPr>
        <w:tc>
          <w:tcPr>
            <w:tcW w:w="1379" w:type="pct"/>
            <w:shd w:val="clear" w:color="auto" w:fill="009D73"/>
            <w:vAlign w:val="center"/>
          </w:tcPr>
          <w:p w14:paraId="16855E6F" w14:textId="02F25774"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21" w:type="pct"/>
            <w:gridSpan w:val="3"/>
            <w:shd w:val="clear" w:color="auto" w:fill="FFFFFF"/>
            <w:vAlign w:val="center"/>
          </w:tcPr>
          <w:p w14:paraId="15848266" w14:textId="365F1654"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BB1A2A" w:rsidRPr="007C4D65">
              <w:rPr>
                <w:rFonts w:asciiTheme="minorHAnsi" w:eastAsia="Calibri" w:hAnsiTheme="minorHAnsi" w:cstheme="minorHAnsi"/>
                <w:b/>
                <w:bCs/>
                <w:sz w:val="18"/>
                <w:szCs w:val="18"/>
                <w:lang w:eastAsia="en-US"/>
              </w:rPr>
              <w:t>Maintaining and improving biodiversity and protecting ecosystems</w:t>
            </w:r>
          </w:p>
        </w:tc>
      </w:tr>
      <w:tr w:rsidR="00005022" w:rsidRPr="007C4D65" w14:paraId="5EB6E488" w14:textId="77777777" w:rsidTr="00BC37DE">
        <w:trPr>
          <w:trHeight w:val="567"/>
          <w:jc w:val="center"/>
        </w:trPr>
        <w:tc>
          <w:tcPr>
            <w:tcW w:w="1379" w:type="pct"/>
            <w:shd w:val="clear" w:color="auto" w:fill="009D73"/>
            <w:vAlign w:val="center"/>
          </w:tcPr>
          <w:p w14:paraId="5167803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21" w:type="pct"/>
            <w:gridSpan w:val="3"/>
            <w:shd w:val="clear" w:color="auto" w:fill="FFFFFF"/>
            <w:vAlign w:val="center"/>
          </w:tcPr>
          <w:p w14:paraId="0AAE6073" w14:textId="28E5E5C6" w:rsidR="00005022" w:rsidRPr="007C4D65" w:rsidRDefault="00005022" w:rsidP="00005022">
            <w:pPr>
              <w:spacing w:before="40" w:after="40" w:line="276" w:lineRule="auto"/>
              <w:rPr>
                <w:rFonts w:asciiTheme="minorHAnsi" w:hAnsiTheme="minorHAnsi" w:cstheme="minorHAnsi"/>
                <w:b/>
                <w:bCs/>
                <w:color w:val="FF0000"/>
                <w:sz w:val="18"/>
                <w:szCs w:val="18"/>
                <w:lang w:eastAsia="zh-TW"/>
              </w:rPr>
            </w:pPr>
            <w:r w:rsidRPr="007C4D65">
              <w:rPr>
                <w:rFonts w:asciiTheme="minorHAnsi" w:hAnsiTheme="minorHAnsi" w:cstheme="minorHAnsi"/>
                <w:b/>
                <w:bCs/>
                <w:sz w:val="18"/>
                <w:szCs w:val="18"/>
                <w:lang w:eastAsia="zh-TW"/>
              </w:rPr>
              <w:t xml:space="preserve">3.2 </w:t>
            </w:r>
            <w:r w:rsidR="00BB1A2A" w:rsidRPr="007C4D65">
              <w:rPr>
                <w:rFonts w:asciiTheme="minorHAnsi" w:hAnsiTheme="minorHAnsi" w:cstheme="minorHAnsi"/>
                <w:b/>
                <w:bCs/>
                <w:sz w:val="18"/>
                <w:szCs w:val="18"/>
                <w:lang w:eastAsia="zh-TW"/>
              </w:rPr>
              <w:t xml:space="preserve">Strengthen the institutions of the Federation of BiH responsible for the implementation of the legislation and activities </w:t>
            </w:r>
            <w:proofErr w:type="gramStart"/>
            <w:r w:rsidR="00BB1A2A" w:rsidRPr="007C4D65">
              <w:rPr>
                <w:rFonts w:asciiTheme="minorHAnsi" w:hAnsiTheme="minorHAnsi" w:cstheme="minorHAnsi"/>
                <w:b/>
                <w:bCs/>
                <w:sz w:val="18"/>
                <w:szCs w:val="18"/>
                <w:lang w:eastAsia="zh-TW"/>
              </w:rPr>
              <w:t>in the area of</w:t>
            </w:r>
            <w:proofErr w:type="gramEnd"/>
            <w:r w:rsidR="00BB1A2A" w:rsidRPr="007C4D65">
              <w:rPr>
                <w:rFonts w:asciiTheme="minorHAnsi" w:hAnsiTheme="minorHAnsi" w:cstheme="minorHAnsi"/>
                <w:b/>
                <w:bCs/>
                <w:sz w:val="18"/>
                <w:szCs w:val="18"/>
                <w:lang w:eastAsia="zh-TW"/>
              </w:rPr>
              <w:t xml:space="preserve"> nature conservation</w:t>
            </w:r>
          </w:p>
        </w:tc>
      </w:tr>
      <w:tr w:rsidR="00005022" w:rsidRPr="007C4D65" w14:paraId="08E60976" w14:textId="77777777" w:rsidTr="00BC37DE">
        <w:trPr>
          <w:trHeight w:val="567"/>
          <w:jc w:val="center"/>
        </w:trPr>
        <w:tc>
          <w:tcPr>
            <w:tcW w:w="1379" w:type="pct"/>
            <w:shd w:val="clear" w:color="auto" w:fill="009D73"/>
            <w:vAlign w:val="center"/>
          </w:tcPr>
          <w:p w14:paraId="296A1D8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21" w:type="pct"/>
            <w:gridSpan w:val="3"/>
            <w:shd w:val="clear" w:color="auto" w:fill="FFFFFF"/>
            <w:vAlign w:val="center"/>
          </w:tcPr>
          <w:p w14:paraId="66FCBCDB" w14:textId="46785327" w:rsidR="00005022" w:rsidRPr="007C4D65" w:rsidRDefault="00005022" w:rsidP="00005022">
            <w:pPr>
              <w:spacing w:line="276" w:lineRule="auto"/>
              <w:rPr>
                <w:rFonts w:asciiTheme="minorHAnsi" w:eastAsia="Calibri" w:hAnsiTheme="minorHAnsi" w:cstheme="minorHAnsi"/>
                <w:b/>
                <w:bCs/>
                <w:sz w:val="18"/>
                <w:szCs w:val="18"/>
                <w:lang w:eastAsia="en-US"/>
              </w:rPr>
            </w:pPr>
            <w:bookmarkStart w:id="259" w:name="_Hlk94615991"/>
            <w:r w:rsidRPr="007C4D65">
              <w:rPr>
                <w:rFonts w:asciiTheme="minorHAnsi" w:eastAsia="Calibri" w:hAnsiTheme="minorHAnsi" w:cstheme="minorHAnsi"/>
                <w:b/>
                <w:bCs/>
                <w:sz w:val="18"/>
                <w:szCs w:val="18"/>
                <w:lang w:eastAsia="en-US"/>
              </w:rPr>
              <w:t>3.2.</w:t>
            </w:r>
            <w:r w:rsidR="004D1282" w:rsidRPr="007C4D65">
              <w:rPr>
                <w:rFonts w:asciiTheme="minorHAnsi" w:eastAsia="Calibri" w:hAnsiTheme="minorHAnsi" w:cstheme="minorHAnsi"/>
                <w:b/>
                <w:bCs/>
                <w:sz w:val="18"/>
                <w:szCs w:val="18"/>
                <w:lang w:eastAsia="en-US"/>
              </w:rPr>
              <w:t>2</w:t>
            </w:r>
            <w:r w:rsidRPr="007C4D65">
              <w:rPr>
                <w:rFonts w:asciiTheme="minorHAnsi" w:eastAsia="Calibri" w:hAnsiTheme="minorHAnsi" w:cstheme="minorHAnsi"/>
                <w:b/>
                <w:bCs/>
                <w:sz w:val="18"/>
                <w:szCs w:val="18"/>
                <w:lang w:eastAsia="en-US"/>
              </w:rPr>
              <w:t xml:space="preserve"> </w:t>
            </w:r>
            <w:r w:rsidR="00095CAC" w:rsidRPr="007C4D65">
              <w:rPr>
                <w:rFonts w:asciiTheme="minorHAnsi" w:eastAsia="Calibri" w:hAnsiTheme="minorHAnsi" w:cstheme="minorHAnsi"/>
                <w:b/>
                <w:bCs/>
                <w:sz w:val="18"/>
                <w:szCs w:val="18"/>
                <w:lang w:eastAsia="en-US"/>
              </w:rPr>
              <w:t>Secure</w:t>
            </w:r>
            <w:r w:rsidRPr="007C4D65">
              <w:rPr>
                <w:rFonts w:asciiTheme="minorHAnsi" w:eastAsia="Calibri" w:hAnsiTheme="minorHAnsi" w:cstheme="minorHAnsi"/>
                <w:b/>
                <w:bCs/>
                <w:sz w:val="18"/>
                <w:szCs w:val="18"/>
                <w:lang w:eastAsia="en-US"/>
              </w:rPr>
              <w:t xml:space="preserve"> initial financial, human and technical capacities for the work of the professional institution for nature conservation of the </w:t>
            </w:r>
            <w:r w:rsidR="00BB1A2A" w:rsidRPr="007C4D65">
              <w:rPr>
                <w:rFonts w:asciiTheme="minorHAnsi" w:eastAsia="Calibri" w:hAnsiTheme="minorHAnsi" w:cstheme="minorHAnsi"/>
                <w:b/>
                <w:bCs/>
                <w:sz w:val="18"/>
                <w:szCs w:val="18"/>
                <w:lang w:eastAsia="en-US"/>
              </w:rPr>
              <w:t>Federation of BiH</w:t>
            </w:r>
            <w:r w:rsidRPr="007C4D65">
              <w:rPr>
                <w:rFonts w:asciiTheme="minorHAnsi" w:eastAsia="Calibri" w:hAnsiTheme="minorHAnsi" w:cstheme="minorHAnsi"/>
                <w:b/>
                <w:bCs/>
                <w:sz w:val="18"/>
                <w:szCs w:val="18"/>
                <w:lang w:eastAsia="en-US"/>
              </w:rPr>
              <w:t xml:space="preserve"> and </w:t>
            </w:r>
            <w:r w:rsidR="00BB1A2A" w:rsidRPr="007C4D65">
              <w:rPr>
                <w:rFonts w:asciiTheme="minorHAnsi" w:eastAsia="Calibri" w:hAnsiTheme="minorHAnsi" w:cstheme="minorHAnsi"/>
                <w:b/>
                <w:bCs/>
                <w:sz w:val="18"/>
                <w:szCs w:val="18"/>
                <w:lang w:eastAsia="en-US"/>
              </w:rPr>
              <w:t>c</w:t>
            </w:r>
            <w:r w:rsidRPr="007C4D65">
              <w:rPr>
                <w:rFonts w:asciiTheme="minorHAnsi" w:eastAsia="Calibri" w:hAnsiTheme="minorHAnsi" w:cstheme="minorHAnsi"/>
                <w:b/>
                <w:bCs/>
                <w:sz w:val="18"/>
                <w:szCs w:val="18"/>
                <w:lang w:eastAsia="en-US"/>
              </w:rPr>
              <w:t>antonal institutes/ professional institutions for nature conservation</w:t>
            </w:r>
            <w:bookmarkEnd w:id="259"/>
          </w:p>
        </w:tc>
      </w:tr>
      <w:tr w:rsidR="00005022" w:rsidRPr="007C4D65" w14:paraId="7C4ACAA3" w14:textId="77777777" w:rsidTr="00BC37DE">
        <w:trPr>
          <w:trHeight w:val="567"/>
          <w:jc w:val="center"/>
        </w:trPr>
        <w:tc>
          <w:tcPr>
            <w:tcW w:w="1379" w:type="pct"/>
            <w:shd w:val="clear" w:color="auto" w:fill="009D73"/>
            <w:vAlign w:val="center"/>
          </w:tcPr>
          <w:p w14:paraId="7C05968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21" w:type="pct"/>
            <w:gridSpan w:val="3"/>
            <w:shd w:val="clear" w:color="auto" w:fill="FFFFFF"/>
            <w:vAlign w:val="center"/>
          </w:tcPr>
          <w:p w14:paraId="7D6DC99B" w14:textId="6F72740D"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260" w:name="_Hlk94616033"/>
            <w:r w:rsidRPr="007C4D65">
              <w:rPr>
                <w:rFonts w:asciiTheme="minorHAnsi" w:eastAsia="Calibri" w:hAnsiTheme="minorHAnsi" w:cstheme="minorHAnsi"/>
                <w:sz w:val="18"/>
                <w:szCs w:val="18"/>
                <w:lang w:eastAsia="en-US"/>
              </w:rPr>
              <w:t xml:space="preserve">The aim of this measure is an initial development of professional, technical and financial capacities for the implementation of biodiversity conservation of nature conservation, prescribed by the Law on Nature Conservation of the </w:t>
            </w:r>
            <w:r w:rsidR="00E533B8" w:rsidRPr="007C4D65">
              <w:rPr>
                <w:rFonts w:asciiTheme="minorHAnsi" w:eastAsia="Calibri" w:hAnsiTheme="minorHAnsi" w:cstheme="minorHAnsi"/>
                <w:sz w:val="18"/>
                <w:szCs w:val="18"/>
                <w:lang w:eastAsia="en-US"/>
              </w:rPr>
              <w:t>Federation of BiH</w:t>
            </w:r>
            <w:r w:rsidRPr="007C4D65">
              <w:rPr>
                <w:rFonts w:asciiTheme="minorHAnsi" w:eastAsia="Calibri" w:hAnsiTheme="minorHAnsi" w:cstheme="minorHAnsi"/>
                <w:sz w:val="18"/>
                <w:szCs w:val="18"/>
                <w:lang w:eastAsia="en-US"/>
              </w:rPr>
              <w:t>.</w:t>
            </w:r>
            <w:bookmarkStart w:id="261" w:name="_Hlk94616316"/>
            <w:r w:rsidRPr="007C4D65">
              <w:rPr>
                <w:rFonts w:asciiTheme="minorHAnsi" w:eastAsiaTheme="minorHAnsi" w:hAnsiTheme="minorHAnsi" w:cstheme="minorHAnsi"/>
                <w:sz w:val="18"/>
                <w:szCs w:val="18"/>
                <w:lang w:eastAsia="en-US"/>
              </w:rPr>
              <w:t xml:space="preserve"> </w:t>
            </w:r>
            <w:r w:rsidRPr="007C4D65">
              <w:rPr>
                <w:rFonts w:asciiTheme="minorHAnsi" w:eastAsia="Calibri" w:hAnsiTheme="minorHAnsi" w:cstheme="minorHAnsi"/>
                <w:sz w:val="18"/>
                <w:szCs w:val="18"/>
                <w:lang w:eastAsia="en-US"/>
              </w:rPr>
              <w:t xml:space="preserve">The </w:t>
            </w:r>
            <w:r w:rsidR="00E533B8" w:rsidRPr="007C4D65">
              <w:rPr>
                <w:rFonts w:asciiTheme="minorHAnsi" w:eastAsia="Calibri" w:hAnsiTheme="minorHAnsi" w:cstheme="minorHAnsi"/>
                <w:sz w:val="18"/>
                <w:szCs w:val="18"/>
                <w:lang w:eastAsia="en-US"/>
              </w:rPr>
              <w:t>aim</w:t>
            </w:r>
            <w:r w:rsidRPr="007C4D65">
              <w:rPr>
                <w:rFonts w:asciiTheme="minorHAnsi" w:eastAsia="Calibri" w:hAnsiTheme="minorHAnsi" w:cstheme="minorHAnsi"/>
                <w:sz w:val="18"/>
                <w:szCs w:val="18"/>
                <w:lang w:eastAsia="en-US"/>
              </w:rPr>
              <w:t xml:space="preserve"> of a special emphasis given to this measure is </w:t>
            </w:r>
            <w:r w:rsidR="00E533B8" w:rsidRPr="007C4D65">
              <w:rPr>
                <w:rFonts w:asciiTheme="minorHAnsi" w:eastAsia="Calibri" w:hAnsiTheme="minorHAnsi" w:cstheme="minorHAnsi"/>
                <w:sz w:val="18"/>
                <w:szCs w:val="18"/>
                <w:lang w:eastAsia="en-US"/>
              </w:rPr>
              <w:t>to fulfil</w:t>
            </w:r>
            <w:r w:rsidRPr="007C4D65">
              <w:rPr>
                <w:rFonts w:asciiTheme="minorHAnsi" w:eastAsia="Calibri" w:hAnsiTheme="minorHAnsi" w:cstheme="minorHAnsi"/>
                <w:sz w:val="18"/>
                <w:szCs w:val="18"/>
                <w:lang w:eastAsia="en-US"/>
              </w:rPr>
              <w:t xml:space="preserve"> </w:t>
            </w:r>
            <w:r w:rsidR="00E533B8" w:rsidRPr="007C4D65">
              <w:rPr>
                <w:rFonts w:asciiTheme="minorHAnsi" w:eastAsia="Calibri" w:hAnsiTheme="minorHAnsi" w:cstheme="minorHAnsi"/>
                <w:sz w:val="18"/>
                <w:szCs w:val="18"/>
                <w:lang w:eastAsia="en-US"/>
              </w:rPr>
              <w:t>the</w:t>
            </w:r>
            <w:r w:rsidRPr="007C4D65">
              <w:rPr>
                <w:rFonts w:asciiTheme="minorHAnsi" w:eastAsia="Calibri" w:hAnsiTheme="minorHAnsi" w:cstheme="minorHAnsi"/>
                <w:sz w:val="18"/>
                <w:szCs w:val="18"/>
                <w:lang w:eastAsia="en-US"/>
              </w:rPr>
              <w:t xml:space="preserve"> practical, formal and time-adequate </w:t>
            </w:r>
            <w:r w:rsidR="00E533B8" w:rsidRPr="007C4D65">
              <w:rPr>
                <w:rFonts w:asciiTheme="minorHAnsi" w:eastAsia="Calibri" w:hAnsiTheme="minorHAnsi" w:cstheme="minorHAnsi"/>
                <w:sz w:val="18"/>
                <w:szCs w:val="18"/>
                <w:lang w:eastAsia="en-US"/>
              </w:rPr>
              <w:t>requirement</w:t>
            </w:r>
            <w:r w:rsidRPr="007C4D65">
              <w:rPr>
                <w:rFonts w:asciiTheme="minorHAnsi" w:eastAsia="Calibri" w:hAnsiTheme="minorHAnsi" w:cstheme="minorHAnsi"/>
                <w:sz w:val="18"/>
                <w:szCs w:val="18"/>
                <w:lang w:eastAsia="en-US"/>
              </w:rPr>
              <w:t xml:space="preserve"> for the implementation of other measures within different priorities in the early phase of the implementation of the FBiH ESAP.</w:t>
            </w:r>
          </w:p>
          <w:bookmarkEnd w:id="260"/>
          <w:bookmarkEnd w:id="261"/>
          <w:p w14:paraId="77DC419B" w14:textId="657E250C" w:rsidR="00005022" w:rsidRPr="007C4D65" w:rsidRDefault="00CD3560"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General areas of intervention</w:t>
            </w:r>
            <w:r w:rsidR="00005022" w:rsidRPr="007C4D65">
              <w:rPr>
                <w:rFonts w:asciiTheme="minorHAnsi" w:eastAsia="Calibri" w:hAnsiTheme="minorHAnsi" w:cstheme="minorHAnsi"/>
                <w:sz w:val="18"/>
                <w:szCs w:val="18"/>
                <w:lang w:eastAsia="en-US"/>
              </w:rPr>
              <w:t xml:space="preserve"> are:</w:t>
            </w:r>
          </w:p>
          <w:p w14:paraId="57CDD2B7" w14:textId="33603000" w:rsidR="00005022" w:rsidRPr="007C4D65" w:rsidRDefault="00005022" w:rsidP="00005022">
            <w:pPr>
              <w:numPr>
                <w:ilvl w:val="0"/>
                <w:numId w:val="31"/>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lastRenderedPageBreak/>
              <w:t xml:space="preserve">Prepare the Work Plan of the professional institution for the nature conservation of the </w:t>
            </w:r>
            <w:r w:rsidR="00E533B8" w:rsidRPr="007C4D65">
              <w:rPr>
                <w:rFonts w:asciiTheme="minorHAnsi" w:eastAsia="Calibri" w:hAnsiTheme="minorHAnsi" w:cstheme="minorHAnsi"/>
                <w:sz w:val="18"/>
                <w:szCs w:val="18"/>
                <w:lang w:eastAsia="en-US"/>
              </w:rPr>
              <w:t>Federation of BiH</w:t>
            </w:r>
            <w:r w:rsidRPr="007C4D65">
              <w:rPr>
                <w:rFonts w:asciiTheme="minorHAnsi" w:eastAsia="Calibri" w:hAnsiTheme="minorHAnsi" w:cstheme="minorHAnsi"/>
                <w:sz w:val="18"/>
                <w:szCs w:val="18"/>
                <w:lang w:eastAsia="en-US"/>
              </w:rPr>
              <w:t xml:space="preserve"> covering the period until </w:t>
            </w:r>
            <w:proofErr w:type="gramStart"/>
            <w:r w:rsidRPr="007C4D65">
              <w:rPr>
                <w:rFonts w:asciiTheme="minorHAnsi" w:eastAsia="Calibri" w:hAnsiTheme="minorHAnsi" w:cstheme="minorHAnsi"/>
                <w:sz w:val="18"/>
                <w:szCs w:val="18"/>
                <w:lang w:eastAsia="en-US"/>
              </w:rPr>
              <w:t>2030</w:t>
            </w:r>
            <w:r w:rsidR="00CD3560" w:rsidRPr="007C4D65">
              <w:rPr>
                <w:rFonts w:asciiTheme="minorHAnsi" w:eastAsia="Calibri" w:hAnsiTheme="minorHAnsi" w:cstheme="minorHAnsi"/>
                <w:sz w:val="18"/>
                <w:szCs w:val="18"/>
                <w:lang w:eastAsia="en-US"/>
              </w:rPr>
              <w:t>;</w:t>
            </w:r>
            <w:proofErr w:type="gramEnd"/>
          </w:p>
          <w:p w14:paraId="0E19969E" w14:textId="0C1E4665" w:rsidR="00005022" w:rsidRPr="007C4D65" w:rsidRDefault="00005022" w:rsidP="00005022">
            <w:pPr>
              <w:numPr>
                <w:ilvl w:val="0"/>
                <w:numId w:val="31"/>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Provide initial technical infrastructure and other capacities of the nature conservation professional institution</w:t>
            </w:r>
            <w:r w:rsidR="00E533B8" w:rsidRPr="007C4D65">
              <w:rPr>
                <w:rFonts w:asciiTheme="minorHAnsi" w:eastAsia="Calibri" w:hAnsiTheme="minorHAnsi" w:cstheme="minorHAnsi"/>
                <w:sz w:val="18"/>
                <w:szCs w:val="18"/>
                <w:lang w:eastAsia="en-US"/>
              </w:rPr>
              <w:t xml:space="preserve"> of the Federation of BiH</w:t>
            </w:r>
            <w:r w:rsidRPr="007C4D65">
              <w:rPr>
                <w:rFonts w:asciiTheme="minorHAnsi" w:eastAsia="Calibri" w:hAnsiTheme="minorHAnsi" w:cstheme="minorHAnsi"/>
                <w:sz w:val="18"/>
                <w:szCs w:val="18"/>
                <w:lang w:eastAsia="en-US"/>
              </w:rPr>
              <w:t xml:space="preserve"> and </w:t>
            </w:r>
            <w:r w:rsidR="00E533B8" w:rsidRPr="007C4D65">
              <w:rPr>
                <w:rFonts w:asciiTheme="minorHAnsi" w:eastAsia="Calibri" w:hAnsiTheme="minorHAnsi" w:cstheme="minorHAnsi"/>
                <w:sz w:val="18"/>
                <w:szCs w:val="18"/>
                <w:lang w:eastAsia="en-US"/>
              </w:rPr>
              <w:t>c</w:t>
            </w:r>
            <w:r w:rsidRPr="007C4D65">
              <w:rPr>
                <w:rFonts w:asciiTheme="minorHAnsi" w:eastAsia="Calibri" w:hAnsiTheme="minorHAnsi" w:cstheme="minorHAnsi"/>
                <w:sz w:val="18"/>
                <w:szCs w:val="18"/>
                <w:lang w:eastAsia="en-US"/>
              </w:rPr>
              <w:t xml:space="preserve">antonal professional </w:t>
            </w:r>
            <w:proofErr w:type="gramStart"/>
            <w:r w:rsidRPr="007C4D65">
              <w:rPr>
                <w:rFonts w:asciiTheme="minorHAnsi" w:eastAsia="Calibri" w:hAnsiTheme="minorHAnsi" w:cstheme="minorHAnsi"/>
                <w:sz w:val="18"/>
                <w:szCs w:val="18"/>
                <w:lang w:eastAsia="en-US"/>
              </w:rPr>
              <w:t>institutions</w:t>
            </w:r>
            <w:r w:rsidR="00CD3560" w:rsidRPr="007C4D65">
              <w:rPr>
                <w:rFonts w:asciiTheme="minorHAnsi" w:eastAsia="Calibri" w:hAnsiTheme="minorHAnsi" w:cstheme="minorHAnsi"/>
                <w:sz w:val="18"/>
                <w:szCs w:val="18"/>
                <w:lang w:eastAsia="en-US"/>
              </w:rPr>
              <w:t>;</w:t>
            </w:r>
            <w:proofErr w:type="gramEnd"/>
          </w:p>
          <w:p w14:paraId="06B3E09A" w14:textId="007F54BB" w:rsidR="00005022" w:rsidRPr="007C4D65" w:rsidRDefault="00005022" w:rsidP="00005022">
            <w:pPr>
              <w:numPr>
                <w:ilvl w:val="0"/>
                <w:numId w:val="31"/>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Prepare an expert assessment of full financial, human and </w:t>
            </w:r>
            <w:proofErr w:type="gramStart"/>
            <w:r w:rsidRPr="007C4D65">
              <w:rPr>
                <w:rFonts w:asciiTheme="minorHAnsi" w:eastAsia="Calibri" w:hAnsiTheme="minorHAnsi" w:cstheme="minorHAnsi"/>
                <w:sz w:val="18"/>
                <w:szCs w:val="18"/>
                <w:lang w:eastAsia="en-US"/>
              </w:rPr>
              <w:t>technical</w:t>
            </w:r>
            <w:r w:rsidR="00CD3560" w:rsidRPr="007C4D65">
              <w:rPr>
                <w:rFonts w:asciiTheme="minorHAnsi" w:eastAsia="Calibri" w:hAnsiTheme="minorHAnsi" w:cstheme="minorHAnsi"/>
                <w:sz w:val="18"/>
                <w:szCs w:val="18"/>
                <w:lang w:eastAsia="en-US"/>
              </w:rPr>
              <w:t>;</w:t>
            </w:r>
            <w:proofErr w:type="gramEnd"/>
          </w:p>
          <w:p w14:paraId="3DBC2613" w14:textId="2FE23AB7" w:rsidR="00005022" w:rsidRPr="007C4D65" w:rsidRDefault="00005022" w:rsidP="00005022">
            <w:pPr>
              <w:spacing w:before="40" w:after="40" w:line="276" w:lineRule="auto"/>
              <w:ind w:left="72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capacity for the work of the professional institution for the nature </w:t>
            </w:r>
            <w:proofErr w:type="gramStart"/>
            <w:r w:rsidRPr="007C4D65">
              <w:rPr>
                <w:rFonts w:asciiTheme="minorHAnsi" w:eastAsia="Calibri" w:hAnsiTheme="minorHAnsi" w:cstheme="minorHAnsi"/>
                <w:sz w:val="18"/>
                <w:szCs w:val="18"/>
                <w:lang w:eastAsia="en-US"/>
              </w:rPr>
              <w:t>conservation</w:t>
            </w:r>
            <w:r w:rsidR="00CD3560" w:rsidRPr="007C4D65">
              <w:rPr>
                <w:rFonts w:asciiTheme="minorHAnsi" w:eastAsia="Calibri" w:hAnsiTheme="minorHAnsi" w:cstheme="minorHAnsi"/>
                <w:sz w:val="18"/>
                <w:szCs w:val="18"/>
                <w:lang w:eastAsia="en-US"/>
              </w:rPr>
              <w:t>;</w:t>
            </w:r>
            <w:proofErr w:type="gramEnd"/>
          </w:p>
          <w:p w14:paraId="760D6E3B" w14:textId="14F33B7A" w:rsidR="00005022" w:rsidRPr="007C4D65" w:rsidRDefault="00005022" w:rsidP="00005022">
            <w:pPr>
              <w:numPr>
                <w:ilvl w:val="0"/>
                <w:numId w:val="31"/>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Prepare an expert assessment of the existing and necessary capacities in the field of nature conservation in the Cantons of the </w:t>
            </w:r>
            <w:proofErr w:type="gramStart"/>
            <w:r w:rsidRPr="007C4D65">
              <w:rPr>
                <w:rFonts w:asciiTheme="minorHAnsi" w:eastAsia="Calibri" w:hAnsiTheme="minorHAnsi" w:cstheme="minorHAnsi"/>
                <w:sz w:val="18"/>
                <w:szCs w:val="18"/>
                <w:lang w:eastAsia="en-US"/>
              </w:rPr>
              <w:t>FBiH, and</w:t>
            </w:r>
            <w:proofErr w:type="gramEnd"/>
            <w:r w:rsidRPr="007C4D65">
              <w:rPr>
                <w:rFonts w:asciiTheme="minorHAnsi" w:eastAsia="Calibri" w:hAnsiTheme="minorHAnsi" w:cstheme="minorHAnsi"/>
                <w:sz w:val="18"/>
                <w:szCs w:val="18"/>
                <w:lang w:eastAsia="en-US"/>
              </w:rPr>
              <w:t xml:space="preserve"> encourage better staffing of the institutions of the system,</w:t>
            </w:r>
            <w:r w:rsidRPr="007C4D65">
              <w:rPr>
                <w:rFonts w:asciiTheme="minorHAnsi" w:eastAsiaTheme="minorHAnsi" w:hAnsiTheme="minorHAnsi" w:cstheme="minorHAnsi"/>
                <w:sz w:val="18"/>
                <w:szCs w:val="18"/>
                <w:lang w:eastAsia="en-US"/>
              </w:rPr>
              <w:t xml:space="preserve"> </w:t>
            </w:r>
            <w:r w:rsidRPr="007C4D65">
              <w:rPr>
                <w:rFonts w:asciiTheme="minorHAnsi" w:eastAsia="Calibri" w:hAnsiTheme="minorHAnsi" w:cstheme="minorHAnsi"/>
                <w:sz w:val="18"/>
                <w:szCs w:val="18"/>
                <w:lang w:eastAsia="en-US"/>
              </w:rPr>
              <w:t>in line with the outputs</w:t>
            </w:r>
            <w:r w:rsidR="00CD3560" w:rsidRPr="007C4D65">
              <w:rPr>
                <w:rFonts w:asciiTheme="minorHAnsi" w:eastAsia="Calibri" w:hAnsiTheme="minorHAnsi" w:cstheme="minorHAnsi"/>
                <w:sz w:val="18"/>
                <w:szCs w:val="18"/>
                <w:lang w:eastAsia="en-US"/>
              </w:rPr>
              <w:t>.</w:t>
            </w:r>
          </w:p>
        </w:tc>
      </w:tr>
      <w:tr w:rsidR="00005022" w:rsidRPr="007C4D65" w14:paraId="4000596F" w14:textId="77777777" w:rsidTr="00BC37DE">
        <w:trPr>
          <w:trHeight w:val="567"/>
          <w:jc w:val="center"/>
        </w:trPr>
        <w:tc>
          <w:tcPr>
            <w:tcW w:w="1379" w:type="pct"/>
            <w:shd w:val="clear" w:color="auto" w:fill="009D73"/>
            <w:vAlign w:val="center"/>
          </w:tcPr>
          <w:p w14:paraId="5C4CBD2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Strategic projects</w:t>
            </w:r>
          </w:p>
        </w:tc>
        <w:tc>
          <w:tcPr>
            <w:tcW w:w="3621" w:type="pct"/>
            <w:gridSpan w:val="3"/>
            <w:shd w:val="clear" w:color="auto" w:fill="FFFFFF" w:themeFill="background1"/>
            <w:vAlign w:val="center"/>
          </w:tcPr>
          <w:p w14:paraId="0700AD2D"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127E25B9" w14:textId="77777777" w:rsidTr="00BC37DE">
        <w:trPr>
          <w:trHeight w:val="567"/>
          <w:jc w:val="center"/>
        </w:trPr>
        <w:tc>
          <w:tcPr>
            <w:tcW w:w="1379" w:type="pct"/>
            <w:vMerge w:val="restart"/>
            <w:shd w:val="clear" w:color="auto" w:fill="009D73"/>
            <w:vAlign w:val="center"/>
          </w:tcPr>
          <w:p w14:paraId="6873D91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054" w:type="pct"/>
            <w:shd w:val="clear" w:color="auto" w:fill="009D73"/>
            <w:vAlign w:val="center"/>
          </w:tcPr>
          <w:p w14:paraId="3F5CBC39"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63ADA142"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171056EB"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68E32519"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6D1324F8"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193E8F6C" w14:textId="77777777" w:rsidTr="00BC37DE">
        <w:trPr>
          <w:trHeight w:val="567"/>
          <w:jc w:val="center"/>
        </w:trPr>
        <w:tc>
          <w:tcPr>
            <w:tcW w:w="1379" w:type="pct"/>
            <w:vMerge/>
            <w:shd w:val="clear" w:color="auto" w:fill="009D73"/>
            <w:vAlign w:val="center"/>
          </w:tcPr>
          <w:p w14:paraId="0C79E5C7"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4" w:type="pct"/>
            <w:shd w:val="clear" w:color="auto" w:fill="FFFFFF"/>
            <w:vAlign w:val="center"/>
          </w:tcPr>
          <w:p w14:paraId="3B70C648"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Degree of development of initial capacities of the professional institution</w:t>
            </w:r>
          </w:p>
        </w:tc>
        <w:tc>
          <w:tcPr>
            <w:tcW w:w="1283" w:type="pct"/>
            <w:shd w:val="clear" w:color="auto" w:fill="FFFFFF"/>
            <w:vAlign w:val="center"/>
          </w:tcPr>
          <w:p w14:paraId="70737A77"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There is no professional institution</w:t>
            </w:r>
          </w:p>
        </w:tc>
        <w:tc>
          <w:tcPr>
            <w:tcW w:w="1284" w:type="pct"/>
            <w:shd w:val="clear" w:color="auto" w:fill="FFFFFF"/>
            <w:vAlign w:val="center"/>
          </w:tcPr>
          <w:p w14:paraId="192E1DEB" w14:textId="37D13946" w:rsidR="00005022" w:rsidRPr="007C4D65" w:rsidRDefault="00E533B8"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The p</w:t>
            </w:r>
            <w:r w:rsidR="00005022" w:rsidRPr="007C4D65">
              <w:rPr>
                <w:rFonts w:asciiTheme="minorHAnsi" w:eastAsia="Calibri" w:hAnsiTheme="minorHAnsi" w:cstheme="minorHAnsi"/>
                <w:sz w:val="18"/>
                <w:szCs w:val="18"/>
                <w:lang w:eastAsia="x-none"/>
              </w:rPr>
              <w:t>rofessional institution established (2025)</w:t>
            </w:r>
          </w:p>
        </w:tc>
      </w:tr>
      <w:tr w:rsidR="00005022" w:rsidRPr="007C4D65" w14:paraId="04755176" w14:textId="77777777" w:rsidTr="00BC37DE">
        <w:trPr>
          <w:trHeight w:val="567"/>
          <w:jc w:val="center"/>
        </w:trPr>
        <w:tc>
          <w:tcPr>
            <w:tcW w:w="1379" w:type="pct"/>
            <w:shd w:val="clear" w:color="auto" w:fill="009D73"/>
            <w:vAlign w:val="center"/>
          </w:tcPr>
          <w:p w14:paraId="1010EDE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realization of priorities</w:t>
            </w:r>
          </w:p>
        </w:tc>
        <w:tc>
          <w:tcPr>
            <w:tcW w:w="3621" w:type="pct"/>
            <w:gridSpan w:val="3"/>
            <w:shd w:val="clear" w:color="auto" w:fill="FFFFFF"/>
            <w:vAlign w:val="center"/>
          </w:tcPr>
          <w:p w14:paraId="7483EF04" w14:textId="10A8A405" w:rsidR="00005022" w:rsidRPr="007C4D65" w:rsidRDefault="00E533B8"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Systemic improvement of the management and protection of biodiversity and nature conservation through strengthened institutional and human capacities and increased funds</w:t>
            </w:r>
          </w:p>
        </w:tc>
      </w:tr>
      <w:tr w:rsidR="00005022" w:rsidRPr="007C4D65" w14:paraId="6A9DE146" w14:textId="77777777" w:rsidTr="00BC37DE">
        <w:trPr>
          <w:trHeight w:val="567"/>
          <w:jc w:val="center"/>
        </w:trPr>
        <w:tc>
          <w:tcPr>
            <w:tcW w:w="1379" w:type="pct"/>
            <w:shd w:val="clear" w:color="auto" w:fill="009D73"/>
            <w:vAlign w:val="center"/>
          </w:tcPr>
          <w:p w14:paraId="23C2C9A7" w14:textId="59D4DB59"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21" w:type="pct"/>
            <w:gridSpan w:val="3"/>
            <w:shd w:val="clear" w:color="auto" w:fill="FFFFFF"/>
            <w:vAlign w:val="center"/>
          </w:tcPr>
          <w:p w14:paraId="7C783A75" w14:textId="05CACAAD" w:rsidR="00E533B8" w:rsidRPr="007C4D65" w:rsidRDefault="00E533B8" w:rsidP="00E533B8">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 xml:space="preserve">Amount: BAM 1,573,548 </w:t>
            </w:r>
          </w:p>
          <w:p w14:paraId="02BEBE79" w14:textId="23E0FBFC" w:rsidR="00005022" w:rsidRPr="007C4D65" w:rsidRDefault="00E533B8" w:rsidP="00E533B8">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20% </w:t>
            </w:r>
            <w:r w:rsidR="000E401F" w:rsidRPr="007C4D65">
              <w:rPr>
                <w:rFonts w:asciiTheme="minorHAnsi" w:hAnsiTheme="minorHAnsi" w:cstheme="minorHAnsi"/>
                <w:color w:val="000000" w:themeColor="text1"/>
                <w:sz w:val="18"/>
                <w:szCs w:val="18"/>
              </w:rPr>
              <w:t>government budget</w:t>
            </w:r>
            <w:r w:rsidRPr="007C4D65">
              <w:rPr>
                <w:rFonts w:asciiTheme="minorHAnsi" w:hAnsiTheme="minorHAnsi" w:cstheme="minorHAnsi"/>
                <w:color w:val="000000" w:themeColor="text1"/>
                <w:sz w:val="18"/>
                <w:szCs w:val="18"/>
              </w:rPr>
              <w:t>, 80% funds from EU and other international donors</w:t>
            </w:r>
          </w:p>
        </w:tc>
      </w:tr>
      <w:tr w:rsidR="00005022" w:rsidRPr="007C4D65" w14:paraId="53E124E1" w14:textId="77777777" w:rsidTr="00BC37DE">
        <w:trPr>
          <w:trHeight w:val="567"/>
          <w:jc w:val="center"/>
        </w:trPr>
        <w:tc>
          <w:tcPr>
            <w:tcW w:w="1379" w:type="pct"/>
            <w:shd w:val="clear" w:color="auto" w:fill="009D73"/>
            <w:vAlign w:val="center"/>
          </w:tcPr>
          <w:p w14:paraId="45D838E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21" w:type="pct"/>
            <w:gridSpan w:val="3"/>
            <w:shd w:val="clear" w:color="auto" w:fill="FFFFFF"/>
            <w:vAlign w:val="center"/>
          </w:tcPr>
          <w:p w14:paraId="130C2481"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2024 - 2025</w:t>
            </w:r>
          </w:p>
        </w:tc>
      </w:tr>
      <w:tr w:rsidR="00005022" w:rsidRPr="007C4D65" w14:paraId="3F67787D" w14:textId="77777777" w:rsidTr="00BC37DE">
        <w:trPr>
          <w:trHeight w:val="567"/>
          <w:jc w:val="center"/>
        </w:trPr>
        <w:tc>
          <w:tcPr>
            <w:tcW w:w="1379" w:type="pct"/>
            <w:shd w:val="clear" w:color="auto" w:fill="009D73"/>
            <w:vAlign w:val="center"/>
          </w:tcPr>
          <w:p w14:paraId="7F50B88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21" w:type="pct"/>
            <w:gridSpan w:val="3"/>
            <w:shd w:val="clear" w:color="auto" w:fill="FFFFFF"/>
            <w:vAlign w:val="center"/>
          </w:tcPr>
          <w:p w14:paraId="56C42FB8" w14:textId="6F672E02"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r w:rsidR="00E533B8" w:rsidRPr="007C4D65">
              <w:rPr>
                <w:rFonts w:asciiTheme="minorHAnsi" w:eastAsiaTheme="minorHAnsi" w:hAnsiTheme="minorHAnsi" w:cstheme="minorHAnsi"/>
                <w:sz w:val="18"/>
                <w:szCs w:val="18"/>
                <w:lang w:eastAsia="en-US" w:bidi="en-US"/>
              </w:rPr>
              <w:t>/cantonal ministries responsible for nature conservation</w:t>
            </w:r>
          </w:p>
        </w:tc>
      </w:tr>
      <w:tr w:rsidR="00005022" w:rsidRPr="007C4D65" w14:paraId="23925EA1" w14:textId="77777777" w:rsidTr="00BC37DE">
        <w:trPr>
          <w:trHeight w:val="567"/>
          <w:jc w:val="center"/>
        </w:trPr>
        <w:tc>
          <w:tcPr>
            <w:tcW w:w="1379" w:type="pct"/>
            <w:shd w:val="clear" w:color="auto" w:fill="009D73"/>
            <w:vAlign w:val="center"/>
          </w:tcPr>
          <w:p w14:paraId="7F863AA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Implementing institutions </w:t>
            </w:r>
          </w:p>
        </w:tc>
        <w:tc>
          <w:tcPr>
            <w:tcW w:w="3621" w:type="pct"/>
            <w:gridSpan w:val="3"/>
            <w:shd w:val="clear" w:color="auto" w:fill="FFFFFF"/>
            <w:vAlign w:val="center"/>
          </w:tcPr>
          <w:p w14:paraId="5B854AC5" w14:textId="492529C5"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Government</w:t>
            </w:r>
            <w:r w:rsidR="00E533B8" w:rsidRPr="007C4D65">
              <w:rPr>
                <w:rFonts w:asciiTheme="minorHAnsi" w:eastAsiaTheme="minorHAnsi" w:hAnsiTheme="minorHAnsi" w:cstheme="minorHAnsi"/>
                <w:sz w:val="18"/>
                <w:szCs w:val="18"/>
                <w:lang w:eastAsia="en-US" w:bidi="en-US"/>
              </w:rPr>
              <w:t xml:space="preserve"> of the Federation of BiH, cantonal governments</w:t>
            </w:r>
            <w:r w:rsidRPr="007C4D65">
              <w:rPr>
                <w:rFonts w:asciiTheme="minorHAnsi" w:eastAsiaTheme="minorHAnsi" w:hAnsiTheme="minorHAnsi" w:cstheme="minorHAnsi"/>
                <w:sz w:val="18"/>
                <w:szCs w:val="18"/>
                <w:lang w:eastAsia="en-US" w:bidi="en-US"/>
              </w:rPr>
              <w:t xml:space="preserve"> </w:t>
            </w:r>
          </w:p>
        </w:tc>
      </w:tr>
      <w:tr w:rsidR="00005022" w:rsidRPr="007C4D65" w14:paraId="1A1BF1B7" w14:textId="77777777" w:rsidTr="00BC37DE">
        <w:trPr>
          <w:trHeight w:val="567"/>
          <w:jc w:val="center"/>
        </w:trPr>
        <w:tc>
          <w:tcPr>
            <w:tcW w:w="1379" w:type="pct"/>
            <w:shd w:val="clear" w:color="auto" w:fill="009D73"/>
            <w:vAlign w:val="center"/>
          </w:tcPr>
          <w:p w14:paraId="41451204" w14:textId="36F0ACE3"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21" w:type="pct"/>
            <w:gridSpan w:val="3"/>
            <w:shd w:val="clear" w:color="auto" w:fill="FFFFFF"/>
            <w:vAlign w:val="center"/>
          </w:tcPr>
          <w:p w14:paraId="11D100E4" w14:textId="7F8500F5"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Institutions responsible for the </w:t>
            </w:r>
            <w:r w:rsidR="00E533B8" w:rsidRPr="007C4D65">
              <w:rPr>
                <w:rFonts w:asciiTheme="minorHAnsi" w:eastAsiaTheme="minorHAnsi" w:hAnsiTheme="minorHAnsi" w:cstheme="minorHAnsi"/>
                <w:sz w:val="18"/>
                <w:szCs w:val="18"/>
                <w:lang w:eastAsia="en-US" w:bidi="en-US"/>
              </w:rPr>
              <w:t>preservation</w:t>
            </w:r>
            <w:r w:rsidRPr="007C4D65">
              <w:rPr>
                <w:rFonts w:asciiTheme="minorHAnsi" w:eastAsiaTheme="minorHAnsi" w:hAnsiTheme="minorHAnsi" w:cstheme="minorHAnsi"/>
                <w:sz w:val="18"/>
                <w:szCs w:val="18"/>
                <w:lang w:eastAsia="en-US" w:bidi="en-US"/>
              </w:rPr>
              <w:t xml:space="preserve"> of biological and landscape diversity, non-governmental organizations</w:t>
            </w:r>
          </w:p>
        </w:tc>
      </w:tr>
    </w:tbl>
    <w:p w14:paraId="3D14A683"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2"/>
        <w:gridCol w:w="2814"/>
        <w:gridCol w:w="3426"/>
        <w:gridCol w:w="3429"/>
      </w:tblGrid>
      <w:tr w:rsidR="00005022" w:rsidRPr="007C4D65" w14:paraId="1D0012F3" w14:textId="77777777" w:rsidTr="00BC37DE">
        <w:trPr>
          <w:trHeight w:val="567"/>
          <w:jc w:val="center"/>
        </w:trPr>
        <w:tc>
          <w:tcPr>
            <w:tcW w:w="1379" w:type="pct"/>
            <w:shd w:val="clear" w:color="auto" w:fill="009D73"/>
            <w:vAlign w:val="center"/>
          </w:tcPr>
          <w:p w14:paraId="5C44CFCC" w14:textId="1118BEE9"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21" w:type="pct"/>
            <w:gridSpan w:val="3"/>
            <w:shd w:val="clear" w:color="auto" w:fill="FFFFFF"/>
            <w:vAlign w:val="center"/>
          </w:tcPr>
          <w:p w14:paraId="56E4A7A4" w14:textId="34714502"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E533B8" w:rsidRPr="007C4D65">
              <w:rPr>
                <w:rFonts w:asciiTheme="minorHAnsi" w:eastAsia="Calibri" w:hAnsiTheme="minorHAnsi" w:cstheme="minorHAnsi"/>
                <w:b/>
                <w:bCs/>
                <w:sz w:val="18"/>
                <w:szCs w:val="18"/>
                <w:lang w:eastAsia="en-US"/>
              </w:rPr>
              <w:t>Maintaining and improving biodiversity and protecting ecosystems</w:t>
            </w:r>
          </w:p>
        </w:tc>
      </w:tr>
      <w:tr w:rsidR="00005022" w:rsidRPr="007C4D65" w14:paraId="2DAF6EE4" w14:textId="77777777" w:rsidTr="00BC37DE">
        <w:trPr>
          <w:trHeight w:val="567"/>
          <w:jc w:val="center"/>
        </w:trPr>
        <w:tc>
          <w:tcPr>
            <w:tcW w:w="1379" w:type="pct"/>
            <w:shd w:val="clear" w:color="auto" w:fill="009D73"/>
            <w:vAlign w:val="center"/>
          </w:tcPr>
          <w:p w14:paraId="26E3BBF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Priority</w:t>
            </w:r>
          </w:p>
        </w:tc>
        <w:tc>
          <w:tcPr>
            <w:tcW w:w="3621" w:type="pct"/>
            <w:gridSpan w:val="3"/>
            <w:shd w:val="clear" w:color="auto" w:fill="FFFFFF"/>
            <w:vAlign w:val="center"/>
          </w:tcPr>
          <w:p w14:paraId="09AF85DF" w14:textId="442E6965" w:rsidR="00005022" w:rsidRPr="007C4D65" w:rsidRDefault="00005022" w:rsidP="00005022">
            <w:pPr>
              <w:spacing w:before="40" w:after="40" w:line="276" w:lineRule="auto"/>
              <w:rPr>
                <w:rFonts w:asciiTheme="minorHAnsi" w:hAnsiTheme="minorHAnsi" w:cstheme="minorHAnsi"/>
                <w:b/>
                <w:bCs/>
                <w:color w:val="FF0000"/>
                <w:sz w:val="18"/>
                <w:szCs w:val="18"/>
                <w:lang w:eastAsia="zh-TW"/>
              </w:rPr>
            </w:pPr>
            <w:r w:rsidRPr="007C4D65">
              <w:rPr>
                <w:rFonts w:asciiTheme="minorHAnsi" w:hAnsiTheme="minorHAnsi" w:cstheme="minorHAnsi"/>
                <w:b/>
                <w:bCs/>
                <w:sz w:val="18"/>
                <w:szCs w:val="18"/>
                <w:lang w:eastAsia="zh-TW"/>
              </w:rPr>
              <w:t xml:space="preserve">3.2 </w:t>
            </w:r>
            <w:r w:rsidR="00E533B8" w:rsidRPr="007C4D65">
              <w:rPr>
                <w:rFonts w:asciiTheme="minorHAnsi" w:hAnsiTheme="minorHAnsi" w:cstheme="minorHAnsi"/>
                <w:b/>
                <w:bCs/>
                <w:sz w:val="18"/>
                <w:szCs w:val="18"/>
                <w:lang w:eastAsia="zh-TW"/>
              </w:rPr>
              <w:t xml:space="preserve">Strengthen the institutions of the Federation of BiH responsible for the implementation of the legislation and activities </w:t>
            </w:r>
            <w:proofErr w:type="gramStart"/>
            <w:r w:rsidR="00E533B8" w:rsidRPr="007C4D65">
              <w:rPr>
                <w:rFonts w:asciiTheme="minorHAnsi" w:hAnsiTheme="minorHAnsi" w:cstheme="minorHAnsi"/>
                <w:b/>
                <w:bCs/>
                <w:sz w:val="18"/>
                <w:szCs w:val="18"/>
                <w:lang w:eastAsia="zh-TW"/>
              </w:rPr>
              <w:t>in the area of</w:t>
            </w:r>
            <w:proofErr w:type="gramEnd"/>
            <w:r w:rsidR="00E533B8" w:rsidRPr="007C4D65">
              <w:rPr>
                <w:rFonts w:asciiTheme="minorHAnsi" w:hAnsiTheme="minorHAnsi" w:cstheme="minorHAnsi"/>
                <w:b/>
                <w:bCs/>
                <w:sz w:val="18"/>
                <w:szCs w:val="18"/>
                <w:lang w:eastAsia="zh-TW"/>
              </w:rPr>
              <w:t xml:space="preserve"> nature conservation</w:t>
            </w:r>
          </w:p>
        </w:tc>
      </w:tr>
      <w:tr w:rsidR="00005022" w:rsidRPr="007C4D65" w14:paraId="6F588F6B" w14:textId="77777777" w:rsidTr="00BC37DE">
        <w:trPr>
          <w:trHeight w:val="567"/>
          <w:jc w:val="center"/>
        </w:trPr>
        <w:tc>
          <w:tcPr>
            <w:tcW w:w="1379" w:type="pct"/>
            <w:shd w:val="clear" w:color="auto" w:fill="009D73"/>
            <w:vAlign w:val="center"/>
          </w:tcPr>
          <w:p w14:paraId="3E3DE11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21" w:type="pct"/>
            <w:gridSpan w:val="3"/>
            <w:shd w:val="clear" w:color="auto" w:fill="FFFFFF"/>
            <w:vAlign w:val="center"/>
          </w:tcPr>
          <w:p w14:paraId="66F20FE4" w14:textId="3B60FB7A" w:rsidR="00005022" w:rsidRPr="007C4D65" w:rsidRDefault="00005022" w:rsidP="00005022">
            <w:pPr>
              <w:spacing w:after="160" w:line="276" w:lineRule="auto"/>
              <w:rPr>
                <w:rFonts w:asciiTheme="minorHAnsi" w:eastAsia="Calibri" w:hAnsiTheme="minorHAnsi" w:cstheme="minorHAnsi"/>
                <w:b/>
                <w:bCs/>
                <w:sz w:val="18"/>
                <w:szCs w:val="18"/>
                <w:lang w:eastAsia="en-US"/>
              </w:rPr>
            </w:pPr>
            <w:bookmarkStart w:id="262" w:name="_Hlk94616371"/>
            <w:r w:rsidRPr="007C4D65">
              <w:rPr>
                <w:rFonts w:asciiTheme="minorHAnsi" w:eastAsia="Calibri" w:hAnsiTheme="minorHAnsi" w:cstheme="minorHAnsi"/>
                <w:b/>
                <w:bCs/>
                <w:sz w:val="18"/>
                <w:szCs w:val="18"/>
                <w:lang w:eastAsia="en-US"/>
              </w:rPr>
              <w:t xml:space="preserve">3.2.3 </w:t>
            </w:r>
            <w:r w:rsidR="00095CAC" w:rsidRPr="007C4D65">
              <w:rPr>
                <w:rFonts w:asciiTheme="minorHAnsi" w:eastAsia="Calibri" w:hAnsiTheme="minorHAnsi" w:cstheme="minorHAnsi"/>
                <w:b/>
                <w:bCs/>
                <w:sz w:val="18"/>
                <w:szCs w:val="18"/>
                <w:lang w:eastAsia="en-US"/>
              </w:rPr>
              <w:t>Secure</w:t>
            </w:r>
            <w:r w:rsidR="00E533B8" w:rsidRPr="007C4D65">
              <w:rPr>
                <w:rFonts w:asciiTheme="minorHAnsi" w:eastAsia="Calibri" w:hAnsiTheme="minorHAnsi" w:cstheme="minorHAnsi"/>
                <w:b/>
                <w:bCs/>
                <w:sz w:val="18"/>
                <w:szCs w:val="18"/>
                <w:lang w:eastAsia="en-US"/>
              </w:rPr>
              <w:t xml:space="preserve"> </w:t>
            </w:r>
            <w:r w:rsidR="00095CAC" w:rsidRPr="007C4D65">
              <w:rPr>
                <w:rFonts w:asciiTheme="minorHAnsi" w:eastAsia="Calibri" w:hAnsiTheme="minorHAnsi" w:cstheme="minorHAnsi"/>
                <w:b/>
                <w:bCs/>
                <w:sz w:val="18"/>
                <w:szCs w:val="18"/>
                <w:lang w:eastAsia="en-US"/>
              </w:rPr>
              <w:t>full</w:t>
            </w:r>
            <w:r w:rsidRPr="007C4D65">
              <w:rPr>
                <w:rFonts w:asciiTheme="minorHAnsi" w:eastAsia="Calibri" w:hAnsiTheme="minorHAnsi" w:cstheme="minorHAnsi"/>
                <w:b/>
                <w:bCs/>
                <w:sz w:val="18"/>
                <w:szCs w:val="18"/>
                <w:lang w:eastAsia="en-US"/>
              </w:rPr>
              <w:t xml:space="preserve"> financial, human and technical capacities for the work of the professional institution for nature conservation of the </w:t>
            </w:r>
            <w:r w:rsidR="00E533B8" w:rsidRPr="007C4D65">
              <w:rPr>
                <w:rFonts w:asciiTheme="minorHAnsi" w:eastAsia="Calibri" w:hAnsiTheme="minorHAnsi" w:cstheme="minorHAnsi"/>
                <w:b/>
                <w:bCs/>
                <w:sz w:val="18"/>
                <w:szCs w:val="18"/>
                <w:lang w:eastAsia="en-US"/>
              </w:rPr>
              <w:t>Federation of BiH</w:t>
            </w:r>
            <w:r w:rsidRPr="007C4D65">
              <w:rPr>
                <w:rFonts w:asciiTheme="minorHAnsi" w:eastAsia="Calibri" w:hAnsiTheme="minorHAnsi" w:cstheme="minorHAnsi"/>
                <w:b/>
                <w:bCs/>
                <w:sz w:val="18"/>
                <w:szCs w:val="18"/>
                <w:lang w:eastAsia="en-US"/>
              </w:rPr>
              <w:t xml:space="preserve"> and </w:t>
            </w:r>
            <w:r w:rsidR="00E533B8" w:rsidRPr="007C4D65">
              <w:rPr>
                <w:rFonts w:asciiTheme="minorHAnsi" w:eastAsia="Calibri" w:hAnsiTheme="minorHAnsi" w:cstheme="minorHAnsi"/>
                <w:b/>
                <w:bCs/>
                <w:sz w:val="18"/>
                <w:szCs w:val="18"/>
                <w:lang w:eastAsia="en-US"/>
              </w:rPr>
              <w:t>c</w:t>
            </w:r>
            <w:r w:rsidRPr="007C4D65">
              <w:rPr>
                <w:rFonts w:asciiTheme="minorHAnsi" w:eastAsia="Calibri" w:hAnsiTheme="minorHAnsi" w:cstheme="minorHAnsi"/>
                <w:b/>
                <w:bCs/>
                <w:sz w:val="18"/>
                <w:szCs w:val="18"/>
                <w:lang w:eastAsia="en-US"/>
              </w:rPr>
              <w:t>antonal institutes/professional institutions for nature conservation</w:t>
            </w:r>
            <w:bookmarkEnd w:id="262"/>
          </w:p>
        </w:tc>
      </w:tr>
      <w:tr w:rsidR="00005022" w:rsidRPr="007C4D65" w14:paraId="4BDB7047" w14:textId="77777777" w:rsidTr="00BC37DE">
        <w:trPr>
          <w:trHeight w:val="567"/>
          <w:jc w:val="center"/>
        </w:trPr>
        <w:tc>
          <w:tcPr>
            <w:tcW w:w="1379" w:type="pct"/>
            <w:shd w:val="clear" w:color="auto" w:fill="009D73"/>
            <w:vAlign w:val="center"/>
          </w:tcPr>
          <w:p w14:paraId="3382E3C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21" w:type="pct"/>
            <w:gridSpan w:val="3"/>
            <w:shd w:val="clear" w:color="auto" w:fill="FFFFFF"/>
            <w:vAlign w:val="center"/>
          </w:tcPr>
          <w:p w14:paraId="3F69E08D" w14:textId="4A250D23"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263" w:name="_Hlk94616655"/>
            <w:r w:rsidRPr="007C4D65">
              <w:rPr>
                <w:rFonts w:asciiTheme="minorHAnsi" w:eastAsia="Calibri" w:hAnsiTheme="minorHAnsi" w:cstheme="minorHAnsi"/>
                <w:sz w:val="18"/>
                <w:szCs w:val="18"/>
                <w:lang w:eastAsia="en-US"/>
              </w:rPr>
              <w:t xml:space="preserve">The aim of this measure is a full development of professional, technical and financial capacities for the implementation of biodiversity conservation activities, prescribed by the Law on Nature </w:t>
            </w:r>
            <w:r w:rsidR="00E533B8" w:rsidRPr="007C4D65">
              <w:rPr>
                <w:rFonts w:asciiTheme="minorHAnsi" w:eastAsia="Calibri" w:hAnsiTheme="minorHAnsi" w:cstheme="minorHAnsi"/>
                <w:sz w:val="18"/>
                <w:szCs w:val="18"/>
                <w:lang w:eastAsia="en-US"/>
              </w:rPr>
              <w:t>c</w:t>
            </w:r>
            <w:r w:rsidRPr="007C4D65">
              <w:rPr>
                <w:rFonts w:asciiTheme="minorHAnsi" w:eastAsia="Calibri" w:hAnsiTheme="minorHAnsi" w:cstheme="minorHAnsi"/>
                <w:sz w:val="18"/>
                <w:szCs w:val="18"/>
                <w:lang w:eastAsia="en-US"/>
              </w:rPr>
              <w:t>onservation</w:t>
            </w:r>
            <w:r w:rsidR="00E533B8" w:rsidRPr="007C4D65">
              <w:rPr>
                <w:rFonts w:asciiTheme="minorHAnsi" w:eastAsia="Calibri" w:hAnsiTheme="minorHAnsi" w:cstheme="minorHAnsi"/>
                <w:sz w:val="18"/>
                <w:szCs w:val="18"/>
                <w:lang w:eastAsia="en-US"/>
              </w:rPr>
              <w:t xml:space="preserve"> of the Federation of BiH</w:t>
            </w:r>
            <w:r w:rsidRPr="007C4D65">
              <w:rPr>
                <w:rFonts w:asciiTheme="minorHAnsi" w:eastAsia="Calibri" w:hAnsiTheme="minorHAnsi" w:cstheme="minorHAnsi"/>
                <w:sz w:val="18"/>
                <w:szCs w:val="18"/>
                <w:lang w:eastAsia="en-US"/>
              </w:rPr>
              <w:t xml:space="preserve">. The goal of a special emphasis given to this measure is </w:t>
            </w:r>
            <w:r w:rsidR="00E92FE9" w:rsidRPr="007C4D65">
              <w:rPr>
                <w:rFonts w:asciiTheme="minorHAnsi" w:eastAsia="Calibri" w:hAnsiTheme="minorHAnsi" w:cstheme="minorHAnsi"/>
                <w:sz w:val="18"/>
                <w:szCs w:val="18"/>
                <w:lang w:eastAsia="en-US"/>
              </w:rPr>
              <w:t>to further develop the</w:t>
            </w:r>
            <w:r w:rsidRPr="007C4D65">
              <w:rPr>
                <w:rFonts w:asciiTheme="minorHAnsi" w:eastAsia="Calibri" w:hAnsiTheme="minorHAnsi" w:cstheme="minorHAnsi"/>
                <w:sz w:val="18"/>
                <w:szCs w:val="18"/>
                <w:lang w:eastAsia="en-US"/>
              </w:rPr>
              <w:t xml:space="preserve"> capacities </w:t>
            </w:r>
            <w:r w:rsidR="00E92FE9" w:rsidRPr="007C4D65">
              <w:rPr>
                <w:rFonts w:asciiTheme="minorHAnsi" w:eastAsia="Calibri" w:hAnsiTheme="minorHAnsi" w:cstheme="minorHAnsi"/>
                <w:sz w:val="18"/>
                <w:szCs w:val="18"/>
                <w:lang w:eastAsia="en-US"/>
              </w:rPr>
              <w:t xml:space="preserve">to the point when they are fully developed </w:t>
            </w:r>
            <w:r w:rsidRPr="007C4D65">
              <w:rPr>
                <w:rFonts w:asciiTheme="minorHAnsi" w:eastAsia="Calibri" w:hAnsiTheme="minorHAnsi" w:cstheme="minorHAnsi"/>
                <w:sz w:val="18"/>
                <w:szCs w:val="18"/>
                <w:lang w:eastAsia="en-US"/>
              </w:rPr>
              <w:t xml:space="preserve">for performing tasks prescribed by the Law, during the implementation of </w:t>
            </w:r>
            <w:r w:rsidR="00E92FE9" w:rsidRPr="007C4D65">
              <w:rPr>
                <w:rFonts w:asciiTheme="minorHAnsi" w:eastAsia="Calibri" w:hAnsiTheme="minorHAnsi" w:cstheme="minorHAnsi"/>
                <w:sz w:val="18"/>
                <w:szCs w:val="18"/>
                <w:lang w:eastAsia="en-US"/>
              </w:rPr>
              <w:t>the Strategy of the Federation of BiH</w:t>
            </w:r>
            <w:r w:rsidRPr="007C4D65">
              <w:rPr>
                <w:rFonts w:asciiTheme="minorHAnsi" w:eastAsia="Calibri" w:hAnsiTheme="minorHAnsi" w:cstheme="minorHAnsi"/>
                <w:sz w:val="18"/>
                <w:szCs w:val="18"/>
                <w:lang w:eastAsia="en-US"/>
              </w:rPr>
              <w:t>.</w:t>
            </w:r>
          </w:p>
          <w:bookmarkEnd w:id="263"/>
          <w:p w14:paraId="5BD85A16"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p>
          <w:p w14:paraId="1604E82B" w14:textId="5BE321D1" w:rsidR="00005022" w:rsidRPr="007C4D65" w:rsidRDefault="00E92FE9"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General area</w:t>
            </w:r>
            <w:r w:rsidR="00042CF3" w:rsidRPr="007C4D65">
              <w:rPr>
                <w:rFonts w:asciiTheme="minorHAnsi" w:eastAsia="Calibri" w:hAnsiTheme="minorHAnsi" w:cstheme="minorHAnsi"/>
                <w:sz w:val="18"/>
                <w:szCs w:val="18"/>
                <w:lang w:eastAsia="en-US"/>
              </w:rPr>
              <w:t>s</w:t>
            </w:r>
            <w:r w:rsidRPr="007C4D65">
              <w:rPr>
                <w:rFonts w:asciiTheme="minorHAnsi" w:eastAsia="Calibri" w:hAnsiTheme="minorHAnsi" w:cstheme="minorHAnsi"/>
                <w:sz w:val="18"/>
                <w:szCs w:val="18"/>
                <w:lang w:eastAsia="en-US"/>
              </w:rPr>
              <w:t xml:space="preserve"> of intervention include</w:t>
            </w:r>
            <w:r w:rsidR="00005022" w:rsidRPr="007C4D65">
              <w:rPr>
                <w:rFonts w:asciiTheme="minorHAnsi" w:eastAsia="Calibri" w:hAnsiTheme="minorHAnsi" w:cstheme="minorHAnsi"/>
                <w:sz w:val="18"/>
                <w:szCs w:val="18"/>
                <w:lang w:eastAsia="en-US"/>
              </w:rPr>
              <w:t>:</w:t>
            </w:r>
          </w:p>
          <w:p w14:paraId="596C8D57" w14:textId="523D70C1"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 Implement the Work Plan of the professional </w:t>
            </w:r>
            <w:proofErr w:type="gramStart"/>
            <w:r w:rsidRPr="007C4D65">
              <w:rPr>
                <w:rFonts w:asciiTheme="minorHAnsi" w:eastAsia="Calibri" w:hAnsiTheme="minorHAnsi" w:cstheme="minorHAnsi"/>
                <w:sz w:val="18"/>
                <w:szCs w:val="18"/>
                <w:lang w:eastAsia="en-US"/>
              </w:rPr>
              <w:t>institution</w:t>
            </w:r>
            <w:r w:rsidR="00CD3560" w:rsidRPr="007C4D65">
              <w:rPr>
                <w:rFonts w:asciiTheme="minorHAnsi" w:eastAsia="Calibri" w:hAnsiTheme="minorHAnsi" w:cstheme="minorHAnsi"/>
                <w:sz w:val="18"/>
                <w:szCs w:val="18"/>
                <w:lang w:eastAsia="en-US"/>
              </w:rPr>
              <w:t>;</w:t>
            </w:r>
            <w:proofErr w:type="gramEnd"/>
          </w:p>
          <w:p w14:paraId="554B7BDB" w14:textId="1A1B6B81" w:rsidR="00E92FE9" w:rsidRPr="007C4D65" w:rsidRDefault="00E92FE9"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Development of capacities of cantonal professional institutions</w:t>
            </w:r>
            <w:r w:rsidR="00CD3560" w:rsidRPr="007C4D65">
              <w:rPr>
                <w:rFonts w:asciiTheme="minorHAnsi" w:eastAsia="Calibri" w:hAnsiTheme="minorHAnsi" w:cstheme="minorHAnsi"/>
                <w:sz w:val="18"/>
                <w:szCs w:val="18"/>
                <w:lang w:eastAsia="en-US"/>
              </w:rPr>
              <w:t>.</w:t>
            </w:r>
          </w:p>
        </w:tc>
      </w:tr>
      <w:tr w:rsidR="00005022" w:rsidRPr="007C4D65" w14:paraId="3D332ACD" w14:textId="77777777" w:rsidTr="00BC37DE">
        <w:trPr>
          <w:trHeight w:val="567"/>
          <w:jc w:val="center"/>
        </w:trPr>
        <w:tc>
          <w:tcPr>
            <w:tcW w:w="1379" w:type="pct"/>
            <w:shd w:val="clear" w:color="auto" w:fill="009D73"/>
            <w:vAlign w:val="center"/>
          </w:tcPr>
          <w:p w14:paraId="3C6F26F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21" w:type="pct"/>
            <w:gridSpan w:val="3"/>
            <w:tcBorders>
              <w:bottom w:val="single" w:sz="4" w:space="0" w:color="A6A6A6"/>
            </w:tcBorders>
            <w:shd w:val="clear" w:color="auto" w:fill="FFFFFF" w:themeFill="background1"/>
            <w:vAlign w:val="center"/>
          </w:tcPr>
          <w:p w14:paraId="0F369D09"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675A38FC" w14:textId="77777777" w:rsidTr="00BC37DE">
        <w:trPr>
          <w:trHeight w:val="567"/>
          <w:jc w:val="center"/>
        </w:trPr>
        <w:tc>
          <w:tcPr>
            <w:tcW w:w="1379" w:type="pct"/>
            <w:vMerge w:val="restart"/>
            <w:shd w:val="clear" w:color="auto" w:fill="009D73"/>
            <w:vAlign w:val="center"/>
          </w:tcPr>
          <w:p w14:paraId="6EFDCDB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054" w:type="pct"/>
            <w:shd w:val="clear" w:color="auto" w:fill="009D73"/>
            <w:vAlign w:val="center"/>
          </w:tcPr>
          <w:p w14:paraId="19C9DE1E"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705AE975"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6ABB0F0F"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253D9F79"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481BA372"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74F471CA" w14:textId="77777777" w:rsidTr="00BC37DE">
        <w:trPr>
          <w:trHeight w:val="567"/>
          <w:jc w:val="center"/>
        </w:trPr>
        <w:tc>
          <w:tcPr>
            <w:tcW w:w="1379" w:type="pct"/>
            <w:vMerge/>
            <w:shd w:val="clear" w:color="auto" w:fill="009D73"/>
            <w:vAlign w:val="center"/>
          </w:tcPr>
          <w:p w14:paraId="0B48FCF5"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4" w:type="pct"/>
            <w:shd w:val="clear" w:color="auto" w:fill="FFFFFF"/>
            <w:vAlign w:val="center"/>
          </w:tcPr>
          <w:p w14:paraId="0A1CFB94"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Degree of development of the full capacities of the professional institution</w:t>
            </w:r>
          </w:p>
        </w:tc>
        <w:tc>
          <w:tcPr>
            <w:tcW w:w="1283" w:type="pct"/>
            <w:shd w:val="clear" w:color="auto" w:fill="FFFFFF"/>
            <w:vAlign w:val="center"/>
          </w:tcPr>
          <w:p w14:paraId="14EC1590"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There is no professional institution</w:t>
            </w:r>
          </w:p>
        </w:tc>
        <w:tc>
          <w:tcPr>
            <w:tcW w:w="1284" w:type="pct"/>
            <w:shd w:val="clear" w:color="auto" w:fill="FFFFFF"/>
            <w:vAlign w:val="center"/>
          </w:tcPr>
          <w:p w14:paraId="40040303"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Efficient professional institution (2030)</w:t>
            </w:r>
          </w:p>
        </w:tc>
      </w:tr>
      <w:tr w:rsidR="00005022" w:rsidRPr="007C4D65" w14:paraId="7457F4A1" w14:textId="77777777" w:rsidTr="00BC37DE">
        <w:trPr>
          <w:trHeight w:val="567"/>
          <w:jc w:val="center"/>
        </w:trPr>
        <w:tc>
          <w:tcPr>
            <w:tcW w:w="1379" w:type="pct"/>
            <w:shd w:val="clear" w:color="auto" w:fill="009D73"/>
            <w:vAlign w:val="center"/>
          </w:tcPr>
          <w:p w14:paraId="60BE3B3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realization of priorities</w:t>
            </w:r>
          </w:p>
        </w:tc>
        <w:tc>
          <w:tcPr>
            <w:tcW w:w="3621" w:type="pct"/>
            <w:gridSpan w:val="3"/>
            <w:shd w:val="clear" w:color="auto" w:fill="FFFFFF"/>
            <w:vAlign w:val="center"/>
          </w:tcPr>
          <w:p w14:paraId="7CF23E96" w14:textId="1E00D007" w:rsidR="00005022" w:rsidRPr="007C4D65" w:rsidRDefault="00E92FE9"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Systemic improvement of the management and protection of biodiversity and nature conservation through strengthened institutional and human capacities and increased funds</w:t>
            </w:r>
          </w:p>
        </w:tc>
      </w:tr>
      <w:tr w:rsidR="00005022" w:rsidRPr="007C4D65" w14:paraId="10B79229" w14:textId="77777777" w:rsidTr="00BC37DE">
        <w:trPr>
          <w:trHeight w:val="567"/>
          <w:jc w:val="center"/>
        </w:trPr>
        <w:tc>
          <w:tcPr>
            <w:tcW w:w="1379" w:type="pct"/>
            <w:shd w:val="clear" w:color="auto" w:fill="009D73"/>
            <w:vAlign w:val="center"/>
          </w:tcPr>
          <w:p w14:paraId="6D50B34E" w14:textId="6E0958AA"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21" w:type="pct"/>
            <w:gridSpan w:val="3"/>
            <w:shd w:val="clear" w:color="auto" w:fill="FFFFFF"/>
            <w:vAlign w:val="center"/>
          </w:tcPr>
          <w:p w14:paraId="5AC50A63" w14:textId="3A589525" w:rsidR="00E92FE9" w:rsidRPr="007C4D65" w:rsidRDefault="00E92FE9" w:rsidP="00E92FE9">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7,979,048</w:t>
            </w:r>
          </w:p>
          <w:p w14:paraId="4BFBAA0D" w14:textId="07486018" w:rsidR="00005022" w:rsidRPr="007C4D65" w:rsidRDefault="00E92FE9" w:rsidP="00E92FE9">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10% </w:t>
            </w:r>
            <w:r w:rsidR="000E401F" w:rsidRPr="007C4D65">
              <w:rPr>
                <w:rFonts w:asciiTheme="minorHAnsi" w:hAnsiTheme="minorHAnsi" w:cstheme="minorHAnsi"/>
                <w:color w:val="000000" w:themeColor="text1"/>
                <w:sz w:val="18"/>
                <w:szCs w:val="18"/>
              </w:rPr>
              <w:t>government budget</w:t>
            </w:r>
            <w:r w:rsidRPr="007C4D65">
              <w:rPr>
                <w:rFonts w:asciiTheme="minorHAnsi" w:hAnsiTheme="minorHAnsi" w:cstheme="minorHAnsi"/>
                <w:color w:val="000000" w:themeColor="text1"/>
                <w:sz w:val="18"/>
                <w:szCs w:val="18"/>
              </w:rPr>
              <w:t>, 90% funds from EU and other international donors</w:t>
            </w:r>
          </w:p>
        </w:tc>
      </w:tr>
      <w:tr w:rsidR="00005022" w:rsidRPr="007C4D65" w14:paraId="70228E38" w14:textId="77777777" w:rsidTr="00BC37DE">
        <w:trPr>
          <w:trHeight w:val="567"/>
          <w:jc w:val="center"/>
        </w:trPr>
        <w:tc>
          <w:tcPr>
            <w:tcW w:w="1379" w:type="pct"/>
            <w:shd w:val="clear" w:color="auto" w:fill="009D73"/>
            <w:vAlign w:val="center"/>
          </w:tcPr>
          <w:p w14:paraId="6D6EF5C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21" w:type="pct"/>
            <w:gridSpan w:val="3"/>
            <w:shd w:val="clear" w:color="auto" w:fill="FFFFFF"/>
            <w:vAlign w:val="center"/>
          </w:tcPr>
          <w:p w14:paraId="54D7A6B0"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2025 - 2030</w:t>
            </w:r>
          </w:p>
        </w:tc>
      </w:tr>
      <w:tr w:rsidR="00005022" w:rsidRPr="007C4D65" w14:paraId="59954C00" w14:textId="77777777" w:rsidTr="00BC37DE">
        <w:trPr>
          <w:trHeight w:val="567"/>
          <w:jc w:val="center"/>
        </w:trPr>
        <w:tc>
          <w:tcPr>
            <w:tcW w:w="1379" w:type="pct"/>
            <w:shd w:val="clear" w:color="auto" w:fill="009D73"/>
            <w:vAlign w:val="center"/>
          </w:tcPr>
          <w:p w14:paraId="78B6E3D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21" w:type="pct"/>
            <w:gridSpan w:val="3"/>
            <w:shd w:val="clear" w:color="auto" w:fill="FFFFFF"/>
            <w:vAlign w:val="center"/>
          </w:tcPr>
          <w:p w14:paraId="1B4FA5B8" w14:textId="54F1DB29"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r w:rsidR="00E92FE9" w:rsidRPr="007C4D65">
              <w:rPr>
                <w:rFonts w:asciiTheme="minorHAnsi" w:eastAsiaTheme="minorHAnsi" w:hAnsiTheme="minorHAnsi" w:cstheme="minorHAnsi"/>
                <w:sz w:val="18"/>
                <w:szCs w:val="18"/>
                <w:lang w:eastAsia="en-US" w:bidi="en-US"/>
              </w:rPr>
              <w:t>/line ministries of the Cantons</w:t>
            </w:r>
          </w:p>
        </w:tc>
      </w:tr>
      <w:tr w:rsidR="00005022" w:rsidRPr="007C4D65" w14:paraId="282BD82B" w14:textId="77777777" w:rsidTr="00BC37DE">
        <w:trPr>
          <w:trHeight w:val="567"/>
          <w:jc w:val="center"/>
        </w:trPr>
        <w:tc>
          <w:tcPr>
            <w:tcW w:w="1379" w:type="pct"/>
            <w:shd w:val="clear" w:color="auto" w:fill="009D73"/>
            <w:vAlign w:val="center"/>
          </w:tcPr>
          <w:p w14:paraId="4F9172C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Implementing institutions </w:t>
            </w:r>
          </w:p>
        </w:tc>
        <w:tc>
          <w:tcPr>
            <w:tcW w:w="3621" w:type="pct"/>
            <w:gridSpan w:val="3"/>
            <w:shd w:val="clear" w:color="auto" w:fill="FFFFFF"/>
            <w:vAlign w:val="center"/>
          </w:tcPr>
          <w:p w14:paraId="19ECB015" w14:textId="28F7E551"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Government</w:t>
            </w:r>
            <w:r w:rsidR="00E92FE9" w:rsidRPr="007C4D65">
              <w:rPr>
                <w:rFonts w:asciiTheme="minorHAnsi" w:eastAsiaTheme="minorHAnsi" w:hAnsiTheme="minorHAnsi" w:cstheme="minorHAnsi"/>
                <w:sz w:val="18"/>
                <w:szCs w:val="18"/>
                <w:lang w:eastAsia="en-US" w:bidi="en-US"/>
              </w:rPr>
              <w:t xml:space="preserve"> of the Federation of BiH, cantonal governments</w:t>
            </w:r>
            <w:r w:rsidRPr="007C4D65">
              <w:rPr>
                <w:rFonts w:asciiTheme="minorHAnsi" w:eastAsiaTheme="minorHAnsi" w:hAnsiTheme="minorHAnsi" w:cstheme="minorHAnsi"/>
                <w:sz w:val="18"/>
                <w:szCs w:val="18"/>
                <w:lang w:eastAsia="en-US" w:bidi="en-US"/>
              </w:rPr>
              <w:t xml:space="preserve"> </w:t>
            </w:r>
          </w:p>
        </w:tc>
      </w:tr>
      <w:tr w:rsidR="00005022" w:rsidRPr="007C4D65" w14:paraId="705139E2" w14:textId="77777777" w:rsidTr="00BC37DE">
        <w:trPr>
          <w:trHeight w:val="567"/>
          <w:jc w:val="center"/>
        </w:trPr>
        <w:tc>
          <w:tcPr>
            <w:tcW w:w="1379" w:type="pct"/>
            <w:shd w:val="clear" w:color="auto" w:fill="009D73"/>
            <w:vAlign w:val="center"/>
          </w:tcPr>
          <w:p w14:paraId="3510A87D" w14:textId="16F4C947"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Target groups</w:t>
            </w:r>
          </w:p>
        </w:tc>
        <w:tc>
          <w:tcPr>
            <w:tcW w:w="3621" w:type="pct"/>
            <w:gridSpan w:val="3"/>
            <w:shd w:val="clear" w:color="auto" w:fill="FFFFFF"/>
            <w:vAlign w:val="center"/>
          </w:tcPr>
          <w:p w14:paraId="5B1C8618"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Institutions responsible for the conservation of biological and landscape diversity, non-governmental organizations</w:t>
            </w:r>
          </w:p>
        </w:tc>
      </w:tr>
    </w:tbl>
    <w:p w14:paraId="772673E8"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2"/>
        <w:gridCol w:w="2814"/>
        <w:gridCol w:w="3426"/>
        <w:gridCol w:w="3429"/>
      </w:tblGrid>
      <w:tr w:rsidR="00005022" w:rsidRPr="007C4D65" w14:paraId="7868A708" w14:textId="77777777" w:rsidTr="00BC37DE">
        <w:trPr>
          <w:trHeight w:val="567"/>
          <w:jc w:val="center"/>
        </w:trPr>
        <w:tc>
          <w:tcPr>
            <w:tcW w:w="1379" w:type="pct"/>
            <w:shd w:val="clear" w:color="auto" w:fill="009D73"/>
            <w:vAlign w:val="center"/>
          </w:tcPr>
          <w:p w14:paraId="19397F33" w14:textId="0070C055"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21" w:type="pct"/>
            <w:gridSpan w:val="3"/>
            <w:shd w:val="clear" w:color="auto" w:fill="FFFFFF"/>
            <w:vAlign w:val="center"/>
          </w:tcPr>
          <w:p w14:paraId="4DD17B01" w14:textId="2C0CE24C"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3</w:t>
            </w:r>
            <w:r w:rsidR="00095CAC" w:rsidRPr="007C4D65">
              <w:rPr>
                <w:rFonts w:asciiTheme="minorHAnsi" w:eastAsia="Calibri" w:hAnsiTheme="minorHAnsi" w:cstheme="minorHAnsi"/>
                <w:b/>
                <w:bCs/>
                <w:sz w:val="18"/>
                <w:szCs w:val="18"/>
                <w:lang w:eastAsia="en-US"/>
              </w:rPr>
              <w:t>.</w:t>
            </w:r>
            <w:r w:rsidR="00E92FE9" w:rsidRPr="007C4D65">
              <w:rPr>
                <w:rFonts w:asciiTheme="minorHAnsi" w:eastAsia="Calibri" w:hAnsiTheme="minorHAnsi" w:cstheme="minorHAnsi"/>
                <w:b/>
                <w:bCs/>
                <w:sz w:val="18"/>
                <w:szCs w:val="18"/>
                <w:lang w:eastAsia="en-US"/>
              </w:rPr>
              <w:t xml:space="preserve"> Maintaining and improving biodiversity and protecting ecosystems</w:t>
            </w:r>
          </w:p>
        </w:tc>
      </w:tr>
      <w:tr w:rsidR="00005022" w:rsidRPr="007C4D65" w14:paraId="697A0162" w14:textId="77777777" w:rsidTr="00BC37DE">
        <w:trPr>
          <w:trHeight w:val="567"/>
          <w:jc w:val="center"/>
        </w:trPr>
        <w:tc>
          <w:tcPr>
            <w:tcW w:w="1379" w:type="pct"/>
            <w:shd w:val="clear" w:color="auto" w:fill="009D73"/>
            <w:vAlign w:val="center"/>
          </w:tcPr>
          <w:p w14:paraId="61DCDDA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21" w:type="pct"/>
            <w:gridSpan w:val="3"/>
            <w:shd w:val="clear" w:color="auto" w:fill="FFFFFF"/>
            <w:vAlign w:val="center"/>
          </w:tcPr>
          <w:p w14:paraId="71306AB1" w14:textId="649ABE30" w:rsidR="00005022" w:rsidRPr="007C4D65" w:rsidRDefault="00005022" w:rsidP="00005022">
            <w:pPr>
              <w:spacing w:before="40" w:after="40" w:line="276" w:lineRule="auto"/>
              <w:rPr>
                <w:rFonts w:asciiTheme="minorHAnsi" w:hAnsiTheme="minorHAnsi" w:cstheme="minorHAnsi"/>
                <w:b/>
                <w:bCs/>
                <w:color w:val="FF0000"/>
                <w:sz w:val="18"/>
                <w:szCs w:val="18"/>
                <w:lang w:eastAsia="zh-TW"/>
              </w:rPr>
            </w:pPr>
            <w:bookmarkStart w:id="264" w:name="_Hlk94616713"/>
            <w:r w:rsidRPr="007C4D65">
              <w:rPr>
                <w:rFonts w:asciiTheme="minorHAnsi" w:hAnsiTheme="minorHAnsi" w:cstheme="minorHAnsi"/>
                <w:b/>
                <w:bCs/>
                <w:sz w:val="18"/>
                <w:szCs w:val="18"/>
                <w:lang w:eastAsia="zh-TW"/>
              </w:rPr>
              <w:t xml:space="preserve">3.3 </w:t>
            </w:r>
            <w:r w:rsidR="009926D3" w:rsidRPr="007C4D65">
              <w:rPr>
                <w:rFonts w:asciiTheme="minorHAnsi" w:hAnsiTheme="minorHAnsi" w:cstheme="minorHAnsi"/>
                <w:b/>
                <w:bCs/>
                <w:sz w:val="18"/>
                <w:szCs w:val="18"/>
                <w:lang w:eastAsia="zh-TW"/>
              </w:rPr>
              <w:t>Initiate</w:t>
            </w:r>
            <w:r w:rsidRPr="007C4D65">
              <w:rPr>
                <w:rFonts w:asciiTheme="minorHAnsi" w:hAnsiTheme="minorHAnsi" w:cstheme="minorHAnsi"/>
                <w:b/>
                <w:bCs/>
                <w:sz w:val="18"/>
                <w:szCs w:val="18"/>
                <w:lang w:eastAsia="zh-TW"/>
              </w:rPr>
              <w:t xml:space="preserve"> coordination, communication and reporting on biodiversity and nature conservation in the F</w:t>
            </w:r>
            <w:r w:rsidR="009926D3" w:rsidRPr="007C4D65">
              <w:rPr>
                <w:rFonts w:asciiTheme="minorHAnsi" w:hAnsiTheme="minorHAnsi" w:cstheme="minorHAnsi"/>
                <w:b/>
                <w:bCs/>
                <w:sz w:val="18"/>
                <w:szCs w:val="18"/>
                <w:lang w:eastAsia="zh-TW"/>
              </w:rPr>
              <w:t xml:space="preserve">ederation of </w:t>
            </w:r>
            <w:r w:rsidRPr="007C4D65">
              <w:rPr>
                <w:rFonts w:asciiTheme="minorHAnsi" w:hAnsiTheme="minorHAnsi" w:cstheme="minorHAnsi"/>
                <w:b/>
                <w:bCs/>
                <w:sz w:val="18"/>
                <w:szCs w:val="18"/>
                <w:lang w:eastAsia="zh-TW"/>
              </w:rPr>
              <w:t>BiH</w:t>
            </w:r>
            <w:bookmarkEnd w:id="264"/>
          </w:p>
        </w:tc>
      </w:tr>
      <w:tr w:rsidR="00005022" w:rsidRPr="007C4D65" w14:paraId="11356ADC" w14:textId="77777777" w:rsidTr="00BC37DE">
        <w:trPr>
          <w:trHeight w:val="567"/>
          <w:jc w:val="center"/>
        </w:trPr>
        <w:tc>
          <w:tcPr>
            <w:tcW w:w="1379" w:type="pct"/>
            <w:shd w:val="clear" w:color="auto" w:fill="009D73"/>
            <w:vAlign w:val="center"/>
          </w:tcPr>
          <w:p w14:paraId="0893FAD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21" w:type="pct"/>
            <w:gridSpan w:val="3"/>
            <w:shd w:val="clear" w:color="auto" w:fill="FFFFFF"/>
            <w:vAlign w:val="center"/>
          </w:tcPr>
          <w:p w14:paraId="300A2B8C" w14:textId="373FF073" w:rsidR="00005022" w:rsidRPr="007C4D65" w:rsidRDefault="00005022" w:rsidP="00005022">
            <w:pPr>
              <w:spacing w:line="276" w:lineRule="auto"/>
              <w:rPr>
                <w:rFonts w:asciiTheme="minorHAnsi" w:eastAsia="Calibri" w:hAnsiTheme="minorHAnsi" w:cstheme="minorHAnsi"/>
                <w:b/>
                <w:bCs/>
                <w:sz w:val="18"/>
                <w:szCs w:val="18"/>
                <w:lang w:eastAsia="en-US"/>
              </w:rPr>
            </w:pPr>
            <w:bookmarkStart w:id="265" w:name="_Hlk94616755"/>
            <w:r w:rsidRPr="007C4D65">
              <w:rPr>
                <w:rFonts w:asciiTheme="minorHAnsi" w:eastAsia="Calibri" w:hAnsiTheme="minorHAnsi" w:cstheme="minorHAnsi"/>
                <w:b/>
                <w:bCs/>
                <w:sz w:val="18"/>
                <w:szCs w:val="18"/>
                <w:lang w:eastAsia="en-US"/>
              </w:rPr>
              <w:t xml:space="preserve">3.3.1 Within the professional institution for nature conservation, establish </w:t>
            </w:r>
            <w:r w:rsidR="00E92FE9" w:rsidRPr="007C4D65">
              <w:rPr>
                <w:rFonts w:asciiTheme="minorHAnsi" w:eastAsia="Calibri" w:hAnsiTheme="minorHAnsi" w:cstheme="minorHAnsi"/>
                <w:b/>
                <w:bCs/>
                <w:sz w:val="18"/>
                <w:szCs w:val="18"/>
                <w:lang w:eastAsia="en-US"/>
              </w:rPr>
              <w:t>a</w:t>
            </w:r>
            <w:r w:rsidRPr="007C4D65">
              <w:rPr>
                <w:rFonts w:asciiTheme="minorHAnsi" w:eastAsia="Calibri" w:hAnsiTheme="minorHAnsi" w:cstheme="minorHAnsi"/>
                <w:b/>
                <w:bCs/>
                <w:sz w:val="18"/>
                <w:szCs w:val="18"/>
                <w:lang w:eastAsia="en-US"/>
              </w:rPr>
              <w:t xml:space="preserve"> </w:t>
            </w:r>
            <w:r w:rsidR="00E92FE9" w:rsidRPr="007C4D65">
              <w:rPr>
                <w:rFonts w:asciiTheme="minorHAnsi" w:eastAsia="Calibri" w:hAnsiTheme="minorHAnsi" w:cstheme="minorHAnsi"/>
                <w:b/>
                <w:bCs/>
                <w:sz w:val="18"/>
                <w:szCs w:val="18"/>
                <w:lang w:eastAsia="en-US"/>
              </w:rPr>
              <w:t>d</w:t>
            </w:r>
            <w:r w:rsidRPr="007C4D65">
              <w:rPr>
                <w:rFonts w:asciiTheme="minorHAnsi" w:eastAsia="Calibri" w:hAnsiTheme="minorHAnsi" w:cstheme="minorHAnsi"/>
                <w:b/>
                <w:bCs/>
                <w:sz w:val="18"/>
                <w:szCs w:val="18"/>
                <w:lang w:eastAsia="en-US"/>
              </w:rPr>
              <w:t xml:space="preserve">epartment for coordination of professional activities on nature conservation and monitoring in the </w:t>
            </w:r>
            <w:bookmarkEnd w:id="265"/>
            <w:r w:rsidR="00E92FE9" w:rsidRPr="007C4D65">
              <w:rPr>
                <w:rFonts w:asciiTheme="minorHAnsi" w:eastAsia="Calibri" w:hAnsiTheme="minorHAnsi" w:cstheme="minorHAnsi"/>
                <w:b/>
                <w:bCs/>
                <w:sz w:val="18"/>
                <w:szCs w:val="18"/>
                <w:lang w:eastAsia="en-US"/>
              </w:rPr>
              <w:t>Federation of BiH</w:t>
            </w:r>
          </w:p>
        </w:tc>
      </w:tr>
      <w:tr w:rsidR="00005022" w:rsidRPr="007C4D65" w14:paraId="3DFFA188" w14:textId="77777777" w:rsidTr="00BC37DE">
        <w:trPr>
          <w:trHeight w:val="567"/>
          <w:jc w:val="center"/>
        </w:trPr>
        <w:tc>
          <w:tcPr>
            <w:tcW w:w="1379" w:type="pct"/>
            <w:shd w:val="clear" w:color="auto" w:fill="009D73"/>
            <w:vAlign w:val="center"/>
          </w:tcPr>
          <w:p w14:paraId="49513AF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21" w:type="pct"/>
            <w:gridSpan w:val="3"/>
            <w:shd w:val="clear" w:color="auto" w:fill="FFFFFF"/>
            <w:vAlign w:val="center"/>
          </w:tcPr>
          <w:p w14:paraId="4C4FBC51" w14:textId="1720DD4E"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266" w:name="_Hlk94616860"/>
            <w:r w:rsidRPr="007C4D65">
              <w:rPr>
                <w:rFonts w:asciiTheme="minorHAnsi" w:eastAsia="Calibri" w:hAnsiTheme="minorHAnsi" w:cstheme="minorHAnsi"/>
                <w:sz w:val="18"/>
                <w:szCs w:val="18"/>
                <w:lang w:eastAsia="en-US"/>
              </w:rPr>
              <w:t>The aim of this measure is</w:t>
            </w:r>
            <w:r w:rsidR="00E92FE9" w:rsidRPr="007C4D65">
              <w:rPr>
                <w:rFonts w:asciiTheme="minorHAnsi" w:eastAsia="Calibri" w:hAnsiTheme="minorHAnsi" w:cstheme="minorHAnsi"/>
                <w:sz w:val="18"/>
                <w:szCs w:val="18"/>
                <w:lang w:eastAsia="en-US"/>
              </w:rPr>
              <w:t xml:space="preserve"> to provide for</w:t>
            </w:r>
            <w:r w:rsidRPr="007C4D65">
              <w:rPr>
                <w:rFonts w:asciiTheme="minorHAnsi" w:eastAsia="Calibri" w:hAnsiTheme="minorHAnsi" w:cstheme="minorHAnsi"/>
                <w:sz w:val="18"/>
                <w:szCs w:val="18"/>
                <w:lang w:eastAsia="en-US"/>
              </w:rPr>
              <w:t xml:space="preserve"> a coordinated development of nature conservation measures </w:t>
            </w:r>
            <w:r w:rsidR="00E92FE9" w:rsidRPr="007C4D65">
              <w:rPr>
                <w:rFonts w:asciiTheme="minorHAnsi" w:eastAsia="Calibri" w:hAnsiTheme="minorHAnsi" w:cstheme="minorHAnsi"/>
                <w:sz w:val="18"/>
                <w:szCs w:val="18"/>
                <w:lang w:eastAsia="en-US"/>
              </w:rPr>
              <w:t>at all levels</w:t>
            </w:r>
            <w:r w:rsidRPr="007C4D65">
              <w:rPr>
                <w:rFonts w:asciiTheme="minorHAnsi" w:eastAsia="Calibri" w:hAnsiTheme="minorHAnsi" w:cstheme="minorHAnsi"/>
                <w:sz w:val="18"/>
                <w:szCs w:val="18"/>
                <w:lang w:eastAsia="en-US"/>
              </w:rPr>
              <w:t xml:space="preserve"> and </w:t>
            </w:r>
            <w:r w:rsidR="00E92FE9" w:rsidRPr="007C4D65">
              <w:rPr>
                <w:rFonts w:asciiTheme="minorHAnsi" w:eastAsia="Calibri" w:hAnsiTheme="minorHAnsi" w:cstheme="minorHAnsi"/>
                <w:sz w:val="18"/>
                <w:szCs w:val="18"/>
                <w:lang w:eastAsia="en-US"/>
              </w:rPr>
              <w:t xml:space="preserve">in all </w:t>
            </w:r>
            <w:r w:rsidRPr="007C4D65">
              <w:rPr>
                <w:rFonts w:asciiTheme="minorHAnsi" w:eastAsia="Calibri" w:hAnsiTheme="minorHAnsi" w:cstheme="minorHAnsi"/>
                <w:sz w:val="18"/>
                <w:szCs w:val="18"/>
                <w:lang w:eastAsia="en-US"/>
              </w:rPr>
              <w:t xml:space="preserve">professional institutions in the </w:t>
            </w:r>
            <w:r w:rsidR="00E92FE9" w:rsidRPr="007C4D65">
              <w:rPr>
                <w:rFonts w:asciiTheme="minorHAnsi" w:eastAsia="Calibri" w:hAnsiTheme="minorHAnsi" w:cstheme="minorHAnsi"/>
                <w:sz w:val="18"/>
                <w:szCs w:val="18"/>
                <w:lang w:eastAsia="en-US"/>
              </w:rPr>
              <w:t>Federation of Bi</w:t>
            </w:r>
            <w:r w:rsidRPr="007C4D65">
              <w:rPr>
                <w:rFonts w:asciiTheme="minorHAnsi" w:eastAsia="Calibri" w:hAnsiTheme="minorHAnsi" w:cstheme="minorHAnsi"/>
                <w:sz w:val="18"/>
                <w:szCs w:val="18"/>
                <w:lang w:eastAsia="en-US"/>
              </w:rPr>
              <w:t xml:space="preserve">H. </w:t>
            </w:r>
            <w:r w:rsidR="00E92FE9" w:rsidRPr="007C4D65">
              <w:rPr>
                <w:rFonts w:asciiTheme="minorHAnsi" w:eastAsia="Calibri" w:hAnsiTheme="minorHAnsi" w:cstheme="minorHAnsi"/>
                <w:sz w:val="18"/>
                <w:szCs w:val="18"/>
                <w:lang w:eastAsia="en-US"/>
              </w:rPr>
              <w:t>A special focus should be on</w:t>
            </w:r>
            <w:r w:rsidRPr="007C4D65">
              <w:rPr>
                <w:rFonts w:asciiTheme="minorHAnsi" w:eastAsia="Calibri" w:hAnsiTheme="minorHAnsi" w:cstheme="minorHAnsi"/>
                <w:sz w:val="18"/>
                <w:szCs w:val="18"/>
                <w:lang w:eastAsia="en-US"/>
              </w:rPr>
              <w:t xml:space="preserve"> coordination </w:t>
            </w:r>
            <w:r w:rsidR="00E92FE9" w:rsidRPr="007C4D65">
              <w:rPr>
                <w:rFonts w:asciiTheme="minorHAnsi" w:eastAsia="Calibri" w:hAnsiTheme="minorHAnsi" w:cstheme="minorHAnsi"/>
                <w:sz w:val="18"/>
                <w:szCs w:val="18"/>
                <w:lang w:eastAsia="en-US"/>
              </w:rPr>
              <w:t>of</w:t>
            </w:r>
            <w:r w:rsidRPr="007C4D65">
              <w:rPr>
                <w:rFonts w:asciiTheme="minorHAnsi" w:eastAsia="Calibri" w:hAnsiTheme="minorHAnsi" w:cstheme="minorHAnsi"/>
                <w:sz w:val="18"/>
                <w:szCs w:val="18"/>
                <w:lang w:eastAsia="en-US"/>
              </w:rPr>
              <w:t xml:space="preserve"> data </w:t>
            </w:r>
            <w:r w:rsidR="00E92FE9" w:rsidRPr="007C4D65">
              <w:rPr>
                <w:rFonts w:asciiTheme="minorHAnsi" w:eastAsia="Calibri" w:hAnsiTheme="minorHAnsi" w:cstheme="minorHAnsi"/>
                <w:sz w:val="18"/>
                <w:szCs w:val="18"/>
                <w:lang w:eastAsia="en-US"/>
              </w:rPr>
              <w:t xml:space="preserve">collection and processing </w:t>
            </w:r>
            <w:r w:rsidRPr="007C4D65">
              <w:rPr>
                <w:rFonts w:asciiTheme="minorHAnsi" w:eastAsia="Calibri" w:hAnsiTheme="minorHAnsi" w:cstheme="minorHAnsi"/>
                <w:sz w:val="18"/>
                <w:szCs w:val="18"/>
                <w:lang w:eastAsia="en-US"/>
              </w:rPr>
              <w:t xml:space="preserve">based on the monitoring of species and habitats in all </w:t>
            </w:r>
            <w:r w:rsidR="00E92FE9"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 xml:space="preserve">Cantons in the </w:t>
            </w:r>
            <w:bookmarkEnd w:id="266"/>
            <w:r w:rsidR="00E92FE9" w:rsidRPr="007C4D65">
              <w:rPr>
                <w:rFonts w:asciiTheme="minorHAnsi" w:eastAsia="Calibri" w:hAnsiTheme="minorHAnsi" w:cstheme="minorHAnsi"/>
                <w:sz w:val="18"/>
                <w:szCs w:val="18"/>
                <w:lang w:eastAsia="en-US"/>
              </w:rPr>
              <w:t>Federation of BiH</w:t>
            </w:r>
            <w:r w:rsidRPr="007C4D65">
              <w:rPr>
                <w:rFonts w:asciiTheme="minorHAnsi" w:eastAsia="Calibri" w:hAnsiTheme="minorHAnsi" w:cstheme="minorHAnsi"/>
                <w:sz w:val="18"/>
                <w:szCs w:val="18"/>
                <w:lang w:eastAsia="en-US"/>
              </w:rPr>
              <w:t>.</w:t>
            </w:r>
          </w:p>
          <w:p w14:paraId="29F85E2C" w14:textId="04FD155C"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General</w:t>
            </w:r>
            <w:r w:rsidR="00E92FE9" w:rsidRPr="007C4D65">
              <w:rPr>
                <w:rFonts w:asciiTheme="minorHAnsi" w:eastAsia="Calibri" w:hAnsiTheme="minorHAnsi" w:cstheme="minorHAnsi"/>
                <w:sz w:val="18"/>
                <w:szCs w:val="18"/>
                <w:lang w:eastAsia="en-US"/>
              </w:rPr>
              <w:t xml:space="preserve"> area</w:t>
            </w:r>
            <w:r w:rsidRPr="007C4D65">
              <w:rPr>
                <w:rFonts w:asciiTheme="minorHAnsi" w:eastAsia="Calibri" w:hAnsiTheme="minorHAnsi" w:cstheme="minorHAnsi"/>
                <w:sz w:val="18"/>
                <w:szCs w:val="18"/>
                <w:lang w:eastAsia="en-US"/>
              </w:rPr>
              <w:t>s</w:t>
            </w:r>
            <w:r w:rsidR="00E92FE9" w:rsidRPr="007C4D65">
              <w:rPr>
                <w:rFonts w:asciiTheme="minorHAnsi" w:eastAsia="Calibri" w:hAnsiTheme="minorHAnsi" w:cstheme="minorHAnsi"/>
                <w:sz w:val="18"/>
                <w:szCs w:val="18"/>
                <w:lang w:eastAsia="en-US"/>
              </w:rPr>
              <w:t xml:space="preserve"> of intervention include</w:t>
            </w:r>
            <w:r w:rsidR="00005022" w:rsidRPr="007C4D65">
              <w:rPr>
                <w:rFonts w:asciiTheme="minorHAnsi" w:eastAsia="Calibri" w:hAnsiTheme="minorHAnsi" w:cstheme="minorHAnsi"/>
                <w:sz w:val="18"/>
                <w:szCs w:val="18"/>
                <w:lang w:eastAsia="en-US"/>
              </w:rPr>
              <w:t>:</w:t>
            </w:r>
          </w:p>
          <w:p w14:paraId="3841834B" w14:textId="31C04023"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Coordination between </w:t>
            </w:r>
            <w:r w:rsidR="00E92FE9" w:rsidRPr="007C4D65">
              <w:rPr>
                <w:rFonts w:asciiTheme="minorHAnsi" w:eastAsia="Calibri" w:hAnsiTheme="minorHAnsi" w:cstheme="minorHAnsi"/>
                <w:sz w:val="18"/>
                <w:szCs w:val="18"/>
                <w:lang w:eastAsia="en-US"/>
              </w:rPr>
              <w:t>line</w:t>
            </w:r>
            <w:r w:rsidRPr="007C4D65">
              <w:rPr>
                <w:rFonts w:asciiTheme="minorHAnsi" w:eastAsia="Calibri" w:hAnsiTheme="minorHAnsi" w:cstheme="minorHAnsi"/>
                <w:sz w:val="18"/>
                <w:szCs w:val="18"/>
                <w:lang w:eastAsia="en-US"/>
              </w:rPr>
              <w:t xml:space="preserve"> and sectoral institutions at all levels of </w:t>
            </w:r>
            <w:r w:rsidR="00E92FE9" w:rsidRPr="007C4D65">
              <w:rPr>
                <w:rFonts w:asciiTheme="minorHAnsi" w:eastAsia="Calibri" w:hAnsiTheme="minorHAnsi" w:cstheme="minorHAnsi"/>
                <w:sz w:val="18"/>
                <w:szCs w:val="18"/>
                <w:lang w:eastAsia="en-US"/>
              </w:rPr>
              <w:t xml:space="preserve">government in the Federation of </w:t>
            </w:r>
            <w:proofErr w:type="gramStart"/>
            <w:r w:rsidR="00E92FE9" w:rsidRPr="007C4D65">
              <w:rPr>
                <w:rFonts w:asciiTheme="minorHAnsi" w:eastAsia="Calibri" w:hAnsiTheme="minorHAnsi" w:cstheme="minorHAnsi"/>
                <w:sz w:val="18"/>
                <w:szCs w:val="18"/>
                <w:lang w:eastAsia="en-US"/>
              </w:rPr>
              <w:t>BiH</w:t>
            </w:r>
            <w:r w:rsidR="00CD3560" w:rsidRPr="007C4D65">
              <w:rPr>
                <w:rFonts w:asciiTheme="minorHAnsi" w:eastAsia="Calibri" w:hAnsiTheme="minorHAnsi" w:cstheme="minorHAnsi"/>
                <w:sz w:val="18"/>
                <w:szCs w:val="18"/>
                <w:lang w:eastAsia="en-US"/>
              </w:rPr>
              <w:t>;</w:t>
            </w:r>
            <w:proofErr w:type="gramEnd"/>
          </w:p>
          <w:p w14:paraId="4456AEC2" w14:textId="376942D3" w:rsidR="00005022" w:rsidRPr="007C4D65" w:rsidRDefault="00005022" w:rsidP="00005022">
            <w:pPr>
              <w:numPr>
                <w:ilvl w:val="0"/>
                <w:numId w:val="20"/>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Establish regular communication with </w:t>
            </w:r>
            <w:r w:rsidR="00E92FE9" w:rsidRPr="007C4D65">
              <w:rPr>
                <w:rFonts w:asciiTheme="minorHAnsi" w:eastAsia="Calibri" w:hAnsiTheme="minorHAnsi" w:cstheme="minorHAnsi"/>
                <w:sz w:val="18"/>
                <w:szCs w:val="18"/>
                <w:lang w:eastAsia="en-US"/>
              </w:rPr>
              <w:t>c</w:t>
            </w:r>
            <w:r w:rsidRPr="007C4D65">
              <w:rPr>
                <w:rFonts w:asciiTheme="minorHAnsi" w:eastAsia="Calibri" w:hAnsiTheme="minorHAnsi" w:cstheme="minorHAnsi"/>
                <w:sz w:val="18"/>
                <w:szCs w:val="18"/>
                <w:lang w:eastAsia="en-US"/>
              </w:rPr>
              <w:t xml:space="preserve">antonal ministries responsible for nature </w:t>
            </w:r>
            <w:proofErr w:type="gramStart"/>
            <w:r w:rsidRPr="007C4D65">
              <w:rPr>
                <w:rFonts w:asciiTheme="minorHAnsi" w:eastAsia="Calibri" w:hAnsiTheme="minorHAnsi" w:cstheme="minorHAnsi"/>
                <w:sz w:val="18"/>
                <w:szCs w:val="18"/>
                <w:lang w:eastAsia="en-US"/>
              </w:rPr>
              <w:t>conservation</w:t>
            </w:r>
            <w:r w:rsidR="00CD3560" w:rsidRPr="007C4D65">
              <w:rPr>
                <w:rFonts w:asciiTheme="minorHAnsi" w:eastAsia="Calibri" w:hAnsiTheme="minorHAnsi" w:cstheme="minorHAnsi"/>
                <w:sz w:val="18"/>
                <w:szCs w:val="18"/>
                <w:lang w:eastAsia="en-US"/>
              </w:rPr>
              <w:t>;</w:t>
            </w:r>
            <w:proofErr w:type="gramEnd"/>
          </w:p>
          <w:p w14:paraId="4C7B3280" w14:textId="5C3576C3" w:rsidR="00005022" w:rsidRPr="007C4D65" w:rsidRDefault="00005022" w:rsidP="00005022">
            <w:pPr>
              <w:numPr>
                <w:ilvl w:val="0"/>
                <w:numId w:val="20"/>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Establish coordination of activities with </w:t>
            </w:r>
            <w:r w:rsidR="00E92FE9" w:rsidRPr="007C4D65">
              <w:rPr>
                <w:rFonts w:asciiTheme="minorHAnsi" w:eastAsia="Calibri" w:hAnsiTheme="minorHAnsi" w:cstheme="minorHAnsi"/>
                <w:sz w:val="18"/>
                <w:szCs w:val="18"/>
                <w:lang w:eastAsia="en-US"/>
              </w:rPr>
              <w:t>c</w:t>
            </w:r>
            <w:r w:rsidRPr="007C4D65">
              <w:rPr>
                <w:rFonts w:asciiTheme="minorHAnsi" w:eastAsia="Calibri" w:hAnsiTheme="minorHAnsi" w:cstheme="minorHAnsi"/>
                <w:sz w:val="18"/>
                <w:szCs w:val="18"/>
                <w:lang w:eastAsia="en-US"/>
              </w:rPr>
              <w:t xml:space="preserve">antonal institutes/professional institutions for nature </w:t>
            </w:r>
            <w:proofErr w:type="gramStart"/>
            <w:r w:rsidRPr="007C4D65">
              <w:rPr>
                <w:rFonts w:asciiTheme="minorHAnsi" w:eastAsia="Calibri" w:hAnsiTheme="minorHAnsi" w:cstheme="minorHAnsi"/>
                <w:sz w:val="18"/>
                <w:szCs w:val="18"/>
                <w:lang w:eastAsia="en-US"/>
              </w:rPr>
              <w:t>conservation</w:t>
            </w:r>
            <w:r w:rsidR="00CD3560" w:rsidRPr="007C4D65">
              <w:rPr>
                <w:rFonts w:asciiTheme="minorHAnsi" w:eastAsia="Calibri" w:hAnsiTheme="minorHAnsi" w:cstheme="minorHAnsi"/>
                <w:sz w:val="18"/>
                <w:szCs w:val="18"/>
                <w:lang w:eastAsia="en-US"/>
              </w:rPr>
              <w:t>;</w:t>
            </w:r>
            <w:proofErr w:type="gramEnd"/>
          </w:p>
          <w:p w14:paraId="2D4D332A" w14:textId="0A19F614" w:rsidR="00005022" w:rsidRPr="007C4D65" w:rsidRDefault="00005022" w:rsidP="00005022">
            <w:pPr>
              <w:numPr>
                <w:ilvl w:val="0"/>
                <w:numId w:val="20"/>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Ensure gathering and flow of information on biodiversity</w:t>
            </w:r>
            <w:r w:rsidR="00E92FE9" w:rsidRPr="007C4D65">
              <w:rPr>
                <w:rFonts w:asciiTheme="minorHAnsi" w:eastAsia="Calibri" w:hAnsiTheme="minorHAnsi" w:cstheme="minorHAnsi"/>
                <w:sz w:val="18"/>
                <w:szCs w:val="18"/>
                <w:lang w:eastAsia="en-US"/>
              </w:rPr>
              <w:t xml:space="preserve"> of the Federation of BiH</w:t>
            </w:r>
            <w:r w:rsidRPr="007C4D65">
              <w:rPr>
                <w:rFonts w:asciiTheme="minorHAnsi" w:eastAsia="Calibri" w:hAnsiTheme="minorHAnsi" w:cstheme="minorHAnsi"/>
                <w:sz w:val="18"/>
                <w:szCs w:val="18"/>
                <w:lang w:eastAsia="en-US"/>
              </w:rPr>
              <w:t xml:space="preserve"> for continuous reporting of BiH to the </w:t>
            </w:r>
            <w:proofErr w:type="gramStart"/>
            <w:r w:rsidRPr="007C4D65">
              <w:rPr>
                <w:rFonts w:asciiTheme="minorHAnsi" w:eastAsia="Calibri" w:hAnsiTheme="minorHAnsi" w:cstheme="minorHAnsi"/>
                <w:sz w:val="18"/>
                <w:szCs w:val="18"/>
                <w:lang w:eastAsia="en-US"/>
              </w:rPr>
              <w:t>EEA</w:t>
            </w:r>
            <w:r w:rsidR="00CD3560" w:rsidRPr="007C4D65">
              <w:rPr>
                <w:rFonts w:asciiTheme="minorHAnsi" w:eastAsia="Calibri" w:hAnsiTheme="minorHAnsi" w:cstheme="minorHAnsi"/>
                <w:sz w:val="18"/>
                <w:szCs w:val="18"/>
                <w:lang w:eastAsia="en-US"/>
              </w:rPr>
              <w:t>;</w:t>
            </w:r>
            <w:proofErr w:type="gramEnd"/>
          </w:p>
          <w:p w14:paraId="05B0A3DC" w14:textId="21020B93" w:rsidR="00005022" w:rsidRPr="007C4D65" w:rsidRDefault="00005022" w:rsidP="00005022">
            <w:pPr>
              <w:numPr>
                <w:ilvl w:val="0"/>
                <w:numId w:val="20"/>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Ensure gathering and flow of information</w:t>
            </w:r>
            <w:r w:rsidR="009926D3" w:rsidRPr="007C4D65">
              <w:rPr>
                <w:rFonts w:asciiTheme="minorHAnsi" w:eastAsia="Calibri" w:hAnsiTheme="minorHAnsi" w:cstheme="minorHAnsi"/>
                <w:sz w:val="18"/>
                <w:szCs w:val="18"/>
                <w:lang w:eastAsia="en-US"/>
              </w:rPr>
              <w:t xml:space="preserve"> on the</w:t>
            </w:r>
            <w:r w:rsidR="00E92FE9" w:rsidRPr="007C4D65">
              <w:rPr>
                <w:rFonts w:asciiTheme="minorHAnsi" w:eastAsia="Calibri" w:hAnsiTheme="minorHAnsi" w:cstheme="minorHAnsi"/>
                <w:sz w:val="18"/>
                <w:szCs w:val="18"/>
                <w:lang w:eastAsia="en-US"/>
              </w:rPr>
              <w:t xml:space="preserve"> </w:t>
            </w:r>
            <w:r w:rsidR="009926D3" w:rsidRPr="007C4D65">
              <w:rPr>
                <w:rFonts w:asciiTheme="minorHAnsi" w:eastAsia="Calibri" w:hAnsiTheme="minorHAnsi" w:cstheme="minorHAnsi"/>
                <w:sz w:val="18"/>
                <w:szCs w:val="18"/>
                <w:lang w:eastAsia="en-US"/>
              </w:rPr>
              <w:t xml:space="preserve">biodiversity </w:t>
            </w:r>
            <w:r w:rsidR="00E92FE9" w:rsidRPr="007C4D65">
              <w:rPr>
                <w:rFonts w:asciiTheme="minorHAnsi" w:eastAsia="Calibri" w:hAnsiTheme="minorHAnsi" w:cstheme="minorHAnsi"/>
                <w:sz w:val="18"/>
                <w:szCs w:val="18"/>
                <w:lang w:eastAsia="en-US"/>
              </w:rPr>
              <w:t>of the</w:t>
            </w:r>
            <w:r w:rsidR="009926D3" w:rsidRPr="007C4D65">
              <w:rPr>
                <w:rFonts w:asciiTheme="minorHAnsi" w:eastAsia="Calibri" w:hAnsiTheme="minorHAnsi" w:cstheme="minorHAnsi"/>
                <w:sz w:val="18"/>
                <w:szCs w:val="18"/>
                <w:lang w:eastAsia="en-US"/>
              </w:rPr>
              <w:t xml:space="preserve"> Federation of BiH</w:t>
            </w:r>
            <w:r w:rsidRPr="007C4D65">
              <w:rPr>
                <w:rFonts w:asciiTheme="minorHAnsi" w:eastAsia="Calibri" w:hAnsiTheme="minorHAnsi" w:cstheme="minorHAnsi"/>
                <w:sz w:val="18"/>
                <w:szCs w:val="18"/>
                <w:lang w:eastAsia="en-US"/>
              </w:rPr>
              <w:t xml:space="preserve"> within BiH, according to the requirements of the Convention on Biological Diversity monitoring </w:t>
            </w:r>
            <w:proofErr w:type="gramStart"/>
            <w:r w:rsidRPr="007C4D65">
              <w:rPr>
                <w:rFonts w:asciiTheme="minorHAnsi" w:eastAsia="Calibri" w:hAnsiTheme="minorHAnsi" w:cstheme="minorHAnsi"/>
                <w:sz w:val="18"/>
                <w:szCs w:val="18"/>
                <w:lang w:eastAsia="en-US"/>
              </w:rPr>
              <w:t>framework</w:t>
            </w:r>
            <w:r w:rsidR="00CD3560" w:rsidRPr="007C4D65">
              <w:rPr>
                <w:rFonts w:asciiTheme="minorHAnsi" w:eastAsia="Calibri" w:hAnsiTheme="minorHAnsi" w:cstheme="minorHAnsi"/>
                <w:sz w:val="18"/>
                <w:szCs w:val="18"/>
                <w:lang w:eastAsia="en-US"/>
              </w:rPr>
              <w:t>;</w:t>
            </w:r>
            <w:proofErr w:type="gramEnd"/>
          </w:p>
          <w:p w14:paraId="648ADAFA" w14:textId="43DC72A1" w:rsidR="00005022" w:rsidRPr="007C4D65" w:rsidRDefault="00005022" w:rsidP="00005022">
            <w:pPr>
              <w:numPr>
                <w:ilvl w:val="0"/>
                <w:numId w:val="20"/>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Ensure </w:t>
            </w:r>
            <w:r w:rsidR="00CD3560" w:rsidRPr="007C4D65">
              <w:rPr>
                <w:rFonts w:asciiTheme="minorHAnsi" w:eastAsia="Calibri" w:hAnsiTheme="minorHAnsi" w:cstheme="minorHAnsi"/>
                <w:sz w:val="18"/>
                <w:szCs w:val="18"/>
                <w:lang w:eastAsia="en-US"/>
              </w:rPr>
              <w:t>data</w:t>
            </w:r>
            <w:r w:rsidR="009926D3" w:rsidRPr="007C4D65">
              <w:rPr>
                <w:rFonts w:asciiTheme="minorHAnsi" w:eastAsia="Calibri" w:hAnsiTheme="minorHAnsi" w:cstheme="minorHAnsi"/>
                <w:sz w:val="18"/>
                <w:szCs w:val="18"/>
                <w:lang w:eastAsia="en-US"/>
              </w:rPr>
              <w:t xml:space="preserve"> on the biodiversity of the Federation of BiH</w:t>
            </w:r>
            <w:r w:rsidR="00CD3560" w:rsidRPr="007C4D65">
              <w:rPr>
                <w:rFonts w:asciiTheme="minorHAnsi" w:eastAsia="Calibri" w:hAnsiTheme="minorHAnsi" w:cstheme="minorHAnsi"/>
                <w:sz w:val="18"/>
                <w:szCs w:val="18"/>
                <w:lang w:eastAsia="en-US"/>
              </w:rPr>
              <w:t xml:space="preserve"> is collected and shared</w:t>
            </w:r>
            <w:r w:rsidRPr="007C4D65">
              <w:rPr>
                <w:rFonts w:asciiTheme="minorHAnsi" w:eastAsia="Calibri" w:hAnsiTheme="minorHAnsi" w:cstheme="minorHAnsi"/>
                <w:sz w:val="18"/>
                <w:szCs w:val="18"/>
                <w:lang w:eastAsia="en-US"/>
              </w:rPr>
              <w:t>, in accordance with the requirements of the Habitats Directive and the Birds Directive</w:t>
            </w:r>
            <w:r w:rsidR="00CD3560" w:rsidRPr="007C4D65">
              <w:rPr>
                <w:rFonts w:asciiTheme="minorHAnsi" w:eastAsia="Calibri" w:hAnsiTheme="minorHAnsi" w:cstheme="minorHAnsi"/>
                <w:sz w:val="18"/>
                <w:szCs w:val="18"/>
                <w:lang w:eastAsia="en-US"/>
              </w:rPr>
              <w:t>.</w:t>
            </w:r>
          </w:p>
        </w:tc>
      </w:tr>
      <w:tr w:rsidR="00005022" w:rsidRPr="007C4D65" w14:paraId="165AE472" w14:textId="77777777" w:rsidTr="00BC37DE">
        <w:trPr>
          <w:trHeight w:val="567"/>
          <w:jc w:val="center"/>
        </w:trPr>
        <w:tc>
          <w:tcPr>
            <w:tcW w:w="1379" w:type="pct"/>
            <w:shd w:val="clear" w:color="auto" w:fill="009D73"/>
            <w:vAlign w:val="center"/>
          </w:tcPr>
          <w:p w14:paraId="12E4A9C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21" w:type="pct"/>
            <w:gridSpan w:val="3"/>
            <w:tcBorders>
              <w:bottom w:val="single" w:sz="4" w:space="0" w:color="A6A6A6"/>
            </w:tcBorders>
            <w:shd w:val="clear" w:color="auto" w:fill="FFFFFF" w:themeFill="background1"/>
            <w:vAlign w:val="center"/>
          </w:tcPr>
          <w:p w14:paraId="69525384"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4D746B8E" w14:textId="77777777" w:rsidTr="00BC37DE">
        <w:trPr>
          <w:trHeight w:val="567"/>
          <w:jc w:val="center"/>
        </w:trPr>
        <w:tc>
          <w:tcPr>
            <w:tcW w:w="1379" w:type="pct"/>
            <w:vMerge w:val="restart"/>
            <w:shd w:val="clear" w:color="auto" w:fill="009D73"/>
            <w:vAlign w:val="center"/>
          </w:tcPr>
          <w:p w14:paraId="37FA95B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054" w:type="pct"/>
            <w:shd w:val="clear" w:color="auto" w:fill="009D73"/>
            <w:vAlign w:val="center"/>
          </w:tcPr>
          <w:p w14:paraId="234DB4EB"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77225A62"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7BF25896"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1B3D5D6B"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1C358D24"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1D106E01" w14:textId="77777777" w:rsidTr="00BC37DE">
        <w:trPr>
          <w:trHeight w:val="567"/>
          <w:jc w:val="center"/>
        </w:trPr>
        <w:tc>
          <w:tcPr>
            <w:tcW w:w="1379" w:type="pct"/>
            <w:vMerge/>
            <w:shd w:val="clear" w:color="auto" w:fill="009D73"/>
            <w:vAlign w:val="center"/>
          </w:tcPr>
          <w:p w14:paraId="064EF963"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4" w:type="pct"/>
            <w:shd w:val="clear" w:color="auto" w:fill="FFFFFF"/>
            <w:vAlign w:val="center"/>
          </w:tcPr>
          <w:p w14:paraId="1EC1F36E"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The degree of efficiency of the flow of information and data on the state of biodiversity/nature</w:t>
            </w:r>
          </w:p>
        </w:tc>
        <w:tc>
          <w:tcPr>
            <w:tcW w:w="1283" w:type="pct"/>
            <w:shd w:val="clear" w:color="auto" w:fill="FFFFFF"/>
            <w:vAlign w:val="center"/>
          </w:tcPr>
          <w:p w14:paraId="11A479BD" w14:textId="5B9E7E84" w:rsidR="00005022" w:rsidRPr="007C4D65" w:rsidRDefault="009926D3"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Poor</w:t>
            </w:r>
            <w:r w:rsidR="00005022" w:rsidRPr="007C4D65">
              <w:rPr>
                <w:rFonts w:asciiTheme="minorHAnsi" w:eastAsiaTheme="minorHAnsi" w:hAnsiTheme="minorHAnsi" w:cstheme="minorHAnsi"/>
                <w:sz w:val="18"/>
                <w:szCs w:val="18"/>
                <w:lang w:eastAsia="en-US" w:bidi="en-US"/>
              </w:rPr>
              <w:t xml:space="preserve"> coordination in information and data </w:t>
            </w:r>
            <w:r w:rsidRPr="007C4D65">
              <w:rPr>
                <w:rFonts w:asciiTheme="minorHAnsi" w:eastAsiaTheme="minorHAnsi" w:hAnsiTheme="minorHAnsi" w:cstheme="minorHAnsi"/>
                <w:sz w:val="18"/>
                <w:szCs w:val="18"/>
                <w:lang w:eastAsia="en-US" w:bidi="en-US"/>
              </w:rPr>
              <w:t>gathering</w:t>
            </w:r>
          </w:p>
        </w:tc>
        <w:tc>
          <w:tcPr>
            <w:tcW w:w="1284" w:type="pct"/>
            <w:shd w:val="clear" w:color="auto" w:fill="FFFFFF"/>
            <w:vAlign w:val="center"/>
          </w:tcPr>
          <w:p w14:paraId="6DDEF2AB" w14:textId="0A2BA641"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Efficient flow of information and </w:t>
            </w:r>
            <w:r w:rsidR="00B30020" w:rsidRPr="007C4D65">
              <w:rPr>
                <w:rFonts w:asciiTheme="minorHAnsi" w:eastAsia="Calibri" w:hAnsiTheme="minorHAnsi" w:cstheme="minorHAnsi"/>
                <w:sz w:val="18"/>
                <w:szCs w:val="18"/>
                <w:lang w:eastAsia="x-none"/>
              </w:rPr>
              <w:t xml:space="preserve">collection of </w:t>
            </w:r>
            <w:r w:rsidRPr="007C4D65">
              <w:rPr>
                <w:rFonts w:asciiTheme="minorHAnsi" w:eastAsia="Calibri" w:hAnsiTheme="minorHAnsi" w:cstheme="minorHAnsi"/>
                <w:sz w:val="18"/>
                <w:szCs w:val="18"/>
                <w:lang w:eastAsia="x-none"/>
              </w:rPr>
              <w:t>data on the state of biodiversity/nature (2025)</w:t>
            </w:r>
          </w:p>
        </w:tc>
      </w:tr>
      <w:tr w:rsidR="00005022" w:rsidRPr="007C4D65" w14:paraId="4991C477" w14:textId="77777777" w:rsidTr="00BC37DE">
        <w:trPr>
          <w:trHeight w:val="567"/>
          <w:jc w:val="center"/>
        </w:trPr>
        <w:tc>
          <w:tcPr>
            <w:tcW w:w="1379" w:type="pct"/>
            <w:shd w:val="clear" w:color="auto" w:fill="009D73"/>
            <w:vAlign w:val="center"/>
          </w:tcPr>
          <w:p w14:paraId="1A58D4C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Development effect and contribution of the measure to the implementation of the priorities </w:t>
            </w:r>
          </w:p>
        </w:tc>
        <w:tc>
          <w:tcPr>
            <w:tcW w:w="3621" w:type="pct"/>
            <w:gridSpan w:val="3"/>
            <w:shd w:val="clear" w:color="auto" w:fill="FFFFFF"/>
            <w:vAlign w:val="center"/>
          </w:tcPr>
          <w:p w14:paraId="5CE7F43E" w14:textId="4795AF21" w:rsidR="00005022" w:rsidRPr="007C4D65" w:rsidRDefault="009926D3"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Improving the nature conservation through enhanced institutional and human capacities</w:t>
            </w:r>
          </w:p>
        </w:tc>
      </w:tr>
      <w:tr w:rsidR="00005022" w:rsidRPr="007C4D65" w14:paraId="7FB582F2" w14:textId="77777777" w:rsidTr="00BC37DE">
        <w:trPr>
          <w:trHeight w:val="567"/>
          <w:jc w:val="center"/>
        </w:trPr>
        <w:tc>
          <w:tcPr>
            <w:tcW w:w="1379" w:type="pct"/>
            <w:shd w:val="clear" w:color="auto" w:fill="009D73"/>
            <w:vAlign w:val="center"/>
          </w:tcPr>
          <w:p w14:paraId="782AF02E" w14:textId="2050490C"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Indicative financial projection, with specification of sources</w:t>
            </w:r>
          </w:p>
        </w:tc>
        <w:tc>
          <w:tcPr>
            <w:tcW w:w="3621" w:type="pct"/>
            <w:gridSpan w:val="3"/>
            <w:shd w:val="clear" w:color="auto" w:fill="FFFFFF"/>
            <w:vAlign w:val="center"/>
          </w:tcPr>
          <w:p w14:paraId="6B67BB9D" w14:textId="2E7F5107" w:rsidR="009926D3" w:rsidRPr="007C4D65" w:rsidRDefault="009926D3" w:rsidP="009926D3">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5,015,735</w:t>
            </w:r>
          </w:p>
          <w:p w14:paraId="224D0495" w14:textId="1FCDA4ED" w:rsidR="00005022" w:rsidRPr="007C4D65" w:rsidRDefault="009926D3" w:rsidP="009926D3">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bidi="en-US"/>
              </w:rPr>
              <w:t xml:space="preserve">Source: </w:t>
            </w:r>
            <w:r w:rsidRPr="007C4D65">
              <w:rPr>
                <w:rFonts w:asciiTheme="minorHAnsi" w:hAnsiTheme="minorHAnsi" w:cstheme="minorHAnsi"/>
                <w:color w:val="000000" w:themeColor="text1"/>
                <w:sz w:val="18"/>
                <w:szCs w:val="18"/>
              </w:rPr>
              <w:t xml:space="preserve">30% </w:t>
            </w:r>
            <w:r w:rsidR="000E401F" w:rsidRPr="007C4D65">
              <w:rPr>
                <w:rFonts w:asciiTheme="minorHAnsi" w:hAnsiTheme="minorHAnsi" w:cstheme="minorHAnsi"/>
                <w:color w:val="000000" w:themeColor="text1"/>
                <w:sz w:val="18"/>
                <w:szCs w:val="18"/>
              </w:rPr>
              <w:t>government budget</w:t>
            </w:r>
            <w:r w:rsidRPr="007C4D65">
              <w:rPr>
                <w:rFonts w:asciiTheme="minorHAnsi" w:hAnsiTheme="minorHAnsi" w:cstheme="minorHAnsi"/>
                <w:color w:val="000000" w:themeColor="text1"/>
                <w:sz w:val="18"/>
                <w:szCs w:val="18"/>
              </w:rPr>
              <w:t>, 70% combined ‒ funds from EU and other international donors, other donations</w:t>
            </w:r>
          </w:p>
        </w:tc>
      </w:tr>
      <w:tr w:rsidR="00005022" w:rsidRPr="007C4D65" w14:paraId="05417194" w14:textId="77777777" w:rsidTr="00BC37DE">
        <w:trPr>
          <w:trHeight w:val="567"/>
          <w:jc w:val="center"/>
        </w:trPr>
        <w:tc>
          <w:tcPr>
            <w:tcW w:w="1379" w:type="pct"/>
            <w:shd w:val="clear" w:color="auto" w:fill="009D73"/>
            <w:vAlign w:val="center"/>
          </w:tcPr>
          <w:p w14:paraId="716D6E4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21" w:type="pct"/>
            <w:gridSpan w:val="3"/>
            <w:shd w:val="clear" w:color="auto" w:fill="FFFFFF"/>
            <w:vAlign w:val="center"/>
          </w:tcPr>
          <w:p w14:paraId="0E2D91DD"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2024 - 2030</w:t>
            </w:r>
          </w:p>
        </w:tc>
      </w:tr>
      <w:tr w:rsidR="00005022" w:rsidRPr="007C4D65" w14:paraId="75BEE9B8" w14:textId="77777777" w:rsidTr="00BC37DE">
        <w:trPr>
          <w:trHeight w:val="567"/>
          <w:jc w:val="center"/>
        </w:trPr>
        <w:tc>
          <w:tcPr>
            <w:tcW w:w="1379" w:type="pct"/>
            <w:shd w:val="clear" w:color="auto" w:fill="009D73"/>
            <w:vAlign w:val="center"/>
          </w:tcPr>
          <w:p w14:paraId="3AAEE74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21" w:type="pct"/>
            <w:gridSpan w:val="3"/>
            <w:shd w:val="clear" w:color="auto" w:fill="FFFFFF"/>
            <w:vAlign w:val="center"/>
          </w:tcPr>
          <w:p w14:paraId="62EB3E39"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07449DFB" w14:textId="77777777" w:rsidTr="00BC37DE">
        <w:trPr>
          <w:trHeight w:val="567"/>
          <w:jc w:val="center"/>
        </w:trPr>
        <w:tc>
          <w:tcPr>
            <w:tcW w:w="1379" w:type="pct"/>
            <w:shd w:val="clear" w:color="auto" w:fill="009D73"/>
            <w:vAlign w:val="center"/>
          </w:tcPr>
          <w:p w14:paraId="38192FF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Implementing institutions</w:t>
            </w:r>
          </w:p>
        </w:tc>
        <w:tc>
          <w:tcPr>
            <w:tcW w:w="3621" w:type="pct"/>
            <w:gridSpan w:val="3"/>
            <w:shd w:val="clear" w:color="auto" w:fill="FFFFFF"/>
            <w:vAlign w:val="center"/>
          </w:tcPr>
          <w:p w14:paraId="39518413" w14:textId="66766B63"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FMET, sectoral ministries at the Federation level, </w:t>
            </w:r>
            <w:r w:rsidR="009926D3"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ministries</w:t>
            </w:r>
            <w:r w:rsidR="009926D3" w:rsidRPr="007C4D65">
              <w:rPr>
                <w:rFonts w:asciiTheme="minorHAnsi" w:eastAsiaTheme="minorHAnsi" w:hAnsiTheme="minorHAnsi" w:cstheme="minorHAnsi"/>
                <w:sz w:val="18"/>
                <w:szCs w:val="18"/>
                <w:lang w:eastAsia="en-US" w:bidi="en-US"/>
              </w:rPr>
              <w:t xml:space="preserve"> responsible for nature conservation, cantonal ministries responsible for agriculture, water management and forestry, cantonal public institutions/companies which manage the nature protected areas in the Federation of BiH</w:t>
            </w:r>
          </w:p>
        </w:tc>
      </w:tr>
      <w:tr w:rsidR="00005022" w:rsidRPr="007C4D65" w14:paraId="71824596" w14:textId="77777777" w:rsidTr="00BC37DE">
        <w:trPr>
          <w:trHeight w:val="567"/>
          <w:jc w:val="center"/>
        </w:trPr>
        <w:tc>
          <w:tcPr>
            <w:tcW w:w="1379" w:type="pct"/>
            <w:shd w:val="clear" w:color="auto" w:fill="009D73"/>
            <w:vAlign w:val="center"/>
          </w:tcPr>
          <w:p w14:paraId="6E6D47D3" w14:textId="1F7CEFF5"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21" w:type="pct"/>
            <w:gridSpan w:val="3"/>
            <w:shd w:val="clear" w:color="auto" w:fill="FFFFFF"/>
            <w:vAlign w:val="center"/>
          </w:tcPr>
          <w:p w14:paraId="716958D8" w14:textId="464CB993"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Administrative and professional institutions at the Federation and </w:t>
            </w:r>
            <w:r w:rsidR="009926D3"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level</w:t>
            </w:r>
          </w:p>
        </w:tc>
      </w:tr>
    </w:tbl>
    <w:p w14:paraId="2DB473B8"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2"/>
        <w:gridCol w:w="2814"/>
        <w:gridCol w:w="3426"/>
        <w:gridCol w:w="3429"/>
      </w:tblGrid>
      <w:tr w:rsidR="00005022" w:rsidRPr="007C4D65" w14:paraId="126F2F3C" w14:textId="77777777" w:rsidTr="00BC37DE">
        <w:trPr>
          <w:trHeight w:val="567"/>
          <w:jc w:val="center"/>
        </w:trPr>
        <w:tc>
          <w:tcPr>
            <w:tcW w:w="1379" w:type="pct"/>
            <w:shd w:val="clear" w:color="auto" w:fill="009D73"/>
            <w:vAlign w:val="center"/>
          </w:tcPr>
          <w:p w14:paraId="7EC826CB" w14:textId="114758D6"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21" w:type="pct"/>
            <w:gridSpan w:val="3"/>
            <w:shd w:val="clear" w:color="auto" w:fill="FFFFFF"/>
            <w:vAlign w:val="center"/>
          </w:tcPr>
          <w:p w14:paraId="5F85287D" w14:textId="687FDD21"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9926D3" w:rsidRPr="007C4D65">
              <w:rPr>
                <w:rFonts w:asciiTheme="minorHAnsi" w:eastAsia="Calibri" w:hAnsiTheme="minorHAnsi" w:cstheme="minorHAnsi"/>
                <w:b/>
                <w:bCs/>
                <w:sz w:val="18"/>
                <w:szCs w:val="18"/>
                <w:lang w:eastAsia="en-US"/>
              </w:rPr>
              <w:t>Maintaining and improving biodiversity and protecting ecosystems</w:t>
            </w:r>
          </w:p>
        </w:tc>
      </w:tr>
      <w:tr w:rsidR="00005022" w:rsidRPr="007C4D65" w14:paraId="347DFE84" w14:textId="77777777" w:rsidTr="00BC37DE">
        <w:trPr>
          <w:trHeight w:val="567"/>
          <w:jc w:val="center"/>
        </w:trPr>
        <w:tc>
          <w:tcPr>
            <w:tcW w:w="1379" w:type="pct"/>
            <w:shd w:val="clear" w:color="auto" w:fill="009D73"/>
            <w:vAlign w:val="center"/>
          </w:tcPr>
          <w:p w14:paraId="4E73D2E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21" w:type="pct"/>
            <w:gridSpan w:val="3"/>
            <w:shd w:val="clear" w:color="auto" w:fill="FFFFFF"/>
            <w:vAlign w:val="center"/>
          </w:tcPr>
          <w:p w14:paraId="4C6E09E2" w14:textId="478AC61F" w:rsidR="00005022" w:rsidRPr="007C4D65" w:rsidRDefault="00005022" w:rsidP="00005022">
            <w:pPr>
              <w:spacing w:before="40" w:after="40" w:line="276" w:lineRule="auto"/>
              <w:rPr>
                <w:rFonts w:asciiTheme="minorHAnsi" w:hAnsiTheme="minorHAnsi" w:cstheme="minorHAnsi"/>
                <w:b/>
                <w:bCs/>
                <w:color w:val="FF0000"/>
                <w:sz w:val="18"/>
                <w:szCs w:val="18"/>
                <w:lang w:eastAsia="zh-TW"/>
              </w:rPr>
            </w:pPr>
            <w:r w:rsidRPr="007C4D65">
              <w:rPr>
                <w:rFonts w:asciiTheme="minorHAnsi" w:hAnsiTheme="minorHAnsi" w:cstheme="minorHAnsi"/>
                <w:b/>
                <w:bCs/>
                <w:sz w:val="18"/>
                <w:szCs w:val="18"/>
                <w:lang w:eastAsia="zh-TW"/>
              </w:rPr>
              <w:t xml:space="preserve">3.3 </w:t>
            </w:r>
            <w:r w:rsidR="009926D3" w:rsidRPr="007C4D65">
              <w:rPr>
                <w:rFonts w:asciiTheme="minorHAnsi" w:hAnsiTheme="minorHAnsi" w:cstheme="minorHAnsi"/>
                <w:b/>
                <w:bCs/>
                <w:sz w:val="18"/>
                <w:szCs w:val="18"/>
                <w:lang w:eastAsia="zh-TW"/>
              </w:rPr>
              <w:t>Initiate coordination, communication and reporting on biodiversity and nature conservation in the Federation of BiH</w:t>
            </w:r>
          </w:p>
        </w:tc>
      </w:tr>
      <w:tr w:rsidR="00005022" w:rsidRPr="007C4D65" w14:paraId="56250890" w14:textId="77777777" w:rsidTr="00BC37DE">
        <w:trPr>
          <w:trHeight w:val="567"/>
          <w:jc w:val="center"/>
        </w:trPr>
        <w:tc>
          <w:tcPr>
            <w:tcW w:w="1379" w:type="pct"/>
            <w:shd w:val="clear" w:color="auto" w:fill="009D73"/>
            <w:vAlign w:val="center"/>
          </w:tcPr>
          <w:p w14:paraId="6099D88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21" w:type="pct"/>
            <w:gridSpan w:val="3"/>
            <w:shd w:val="clear" w:color="auto" w:fill="FFFFFF"/>
            <w:vAlign w:val="center"/>
          </w:tcPr>
          <w:p w14:paraId="0913C2CE" w14:textId="307F7B43" w:rsidR="00005022" w:rsidRPr="007C4D65" w:rsidRDefault="00005022" w:rsidP="00005022">
            <w:pPr>
              <w:spacing w:after="160" w:line="276" w:lineRule="auto"/>
              <w:rPr>
                <w:rFonts w:asciiTheme="minorHAnsi" w:eastAsia="Calibri" w:hAnsiTheme="minorHAnsi" w:cstheme="minorHAnsi"/>
                <w:b/>
                <w:bCs/>
                <w:sz w:val="18"/>
                <w:szCs w:val="18"/>
                <w:lang w:eastAsia="en-US"/>
              </w:rPr>
            </w:pPr>
            <w:bookmarkStart w:id="267" w:name="_Hlk94616908"/>
            <w:r w:rsidRPr="007C4D65">
              <w:rPr>
                <w:rFonts w:asciiTheme="minorHAnsi" w:eastAsia="Calibri" w:hAnsiTheme="minorHAnsi" w:cstheme="minorHAnsi"/>
                <w:b/>
                <w:bCs/>
                <w:sz w:val="18"/>
                <w:szCs w:val="18"/>
                <w:lang w:eastAsia="en-US"/>
              </w:rPr>
              <w:t xml:space="preserve">3.3.2 </w:t>
            </w:r>
            <w:r w:rsidR="00566B0A" w:rsidRPr="007C4D65">
              <w:rPr>
                <w:rFonts w:asciiTheme="minorHAnsi" w:eastAsia="Calibri" w:hAnsiTheme="minorHAnsi" w:cstheme="minorHAnsi"/>
                <w:b/>
                <w:bCs/>
                <w:sz w:val="18"/>
                <w:szCs w:val="18"/>
                <w:lang w:eastAsia="en-US"/>
              </w:rPr>
              <w:t>Create</w:t>
            </w:r>
            <w:r w:rsidRPr="007C4D65">
              <w:rPr>
                <w:rFonts w:asciiTheme="minorHAnsi" w:eastAsia="Calibri" w:hAnsiTheme="minorHAnsi" w:cstheme="minorHAnsi"/>
                <w:b/>
                <w:bCs/>
                <w:sz w:val="18"/>
                <w:szCs w:val="18"/>
                <w:lang w:eastAsia="en-US"/>
              </w:rPr>
              <w:t xml:space="preserve"> and </w:t>
            </w:r>
            <w:r w:rsidR="004D1282" w:rsidRPr="007C4D65">
              <w:rPr>
                <w:rFonts w:asciiTheme="minorHAnsi" w:eastAsia="Calibri" w:hAnsiTheme="minorHAnsi" w:cstheme="minorHAnsi"/>
                <w:b/>
                <w:bCs/>
                <w:sz w:val="18"/>
                <w:szCs w:val="18"/>
                <w:lang w:eastAsia="en-US"/>
              </w:rPr>
              <w:t>ensure access to</w:t>
            </w:r>
            <w:r w:rsidRPr="007C4D65">
              <w:rPr>
                <w:rFonts w:asciiTheme="minorHAnsi" w:eastAsia="Calibri" w:hAnsiTheme="minorHAnsi" w:cstheme="minorHAnsi"/>
                <w:b/>
                <w:bCs/>
                <w:sz w:val="18"/>
                <w:szCs w:val="18"/>
                <w:lang w:eastAsia="en-US"/>
              </w:rPr>
              <w:t xml:space="preserve"> a database with the results of implemented, ongoing and future projects on biodiversity of </w:t>
            </w:r>
            <w:bookmarkEnd w:id="267"/>
            <w:r w:rsidR="00566B0A" w:rsidRPr="007C4D65">
              <w:rPr>
                <w:rFonts w:asciiTheme="minorHAnsi" w:eastAsia="Calibri" w:hAnsiTheme="minorHAnsi" w:cstheme="minorHAnsi"/>
                <w:b/>
                <w:bCs/>
                <w:sz w:val="18"/>
                <w:szCs w:val="18"/>
                <w:lang w:eastAsia="en-US"/>
              </w:rPr>
              <w:t>the Federation of BiH</w:t>
            </w:r>
          </w:p>
        </w:tc>
      </w:tr>
      <w:tr w:rsidR="00005022" w:rsidRPr="007C4D65" w14:paraId="4AF4B456" w14:textId="77777777" w:rsidTr="00BC37DE">
        <w:trPr>
          <w:trHeight w:val="567"/>
          <w:jc w:val="center"/>
        </w:trPr>
        <w:tc>
          <w:tcPr>
            <w:tcW w:w="1379" w:type="pct"/>
            <w:shd w:val="clear" w:color="auto" w:fill="009D73"/>
            <w:vAlign w:val="center"/>
          </w:tcPr>
          <w:p w14:paraId="65C6713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21" w:type="pct"/>
            <w:gridSpan w:val="3"/>
            <w:shd w:val="clear" w:color="auto" w:fill="FFFFFF"/>
            <w:vAlign w:val="center"/>
          </w:tcPr>
          <w:p w14:paraId="08F19928" w14:textId="00BCAF58"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268" w:name="_Hlk94617005"/>
            <w:r w:rsidRPr="007C4D65">
              <w:rPr>
                <w:rFonts w:asciiTheme="minorHAnsi" w:eastAsia="Calibri" w:hAnsiTheme="minorHAnsi" w:cstheme="minorHAnsi"/>
                <w:sz w:val="18"/>
                <w:szCs w:val="18"/>
                <w:lang w:eastAsia="en-US"/>
              </w:rPr>
              <w:t xml:space="preserve">The aim of this measure is </w:t>
            </w:r>
            <w:r w:rsidR="00566B0A" w:rsidRPr="007C4D65">
              <w:rPr>
                <w:rFonts w:asciiTheme="minorHAnsi" w:eastAsia="Calibri" w:hAnsiTheme="minorHAnsi" w:cstheme="minorHAnsi"/>
                <w:sz w:val="18"/>
                <w:szCs w:val="18"/>
                <w:lang w:eastAsia="en-US"/>
              </w:rPr>
              <w:t xml:space="preserve">to adopt </w:t>
            </w:r>
            <w:r w:rsidRPr="007C4D65">
              <w:rPr>
                <w:rFonts w:asciiTheme="minorHAnsi" w:eastAsia="Calibri" w:hAnsiTheme="minorHAnsi" w:cstheme="minorHAnsi"/>
                <w:sz w:val="18"/>
                <w:szCs w:val="18"/>
                <w:lang w:eastAsia="en-US"/>
              </w:rPr>
              <w:t xml:space="preserve">a transparent approach to the results of implemented projects </w:t>
            </w:r>
            <w:r w:rsidR="00566B0A" w:rsidRPr="007C4D65">
              <w:rPr>
                <w:rFonts w:asciiTheme="minorHAnsi" w:eastAsia="Calibri" w:hAnsiTheme="minorHAnsi" w:cstheme="minorHAnsi"/>
                <w:sz w:val="18"/>
                <w:szCs w:val="18"/>
                <w:lang w:eastAsia="en-US"/>
              </w:rPr>
              <w:t>addressing</w:t>
            </w:r>
            <w:r w:rsidRPr="007C4D65">
              <w:rPr>
                <w:rFonts w:asciiTheme="minorHAnsi" w:eastAsia="Calibri" w:hAnsiTheme="minorHAnsi" w:cstheme="minorHAnsi"/>
                <w:sz w:val="18"/>
                <w:szCs w:val="18"/>
                <w:lang w:eastAsia="en-US"/>
              </w:rPr>
              <w:t xml:space="preserve"> the biodiversity </w:t>
            </w:r>
            <w:r w:rsidR="00566B0A" w:rsidRPr="007C4D65">
              <w:rPr>
                <w:rFonts w:asciiTheme="minorHAnsi" w:eastAsia="Calibri" w:hAnsiTheme="minorHAnsi" w:cstheme="minorHAnsi"/>
                <w:sz w:val="18"/>
                <w:szCs w:val="18"/>
                <w:lang w:eastAsia="en-US"/>
              </w:rPr>
              <w:t xml:space="preserve">preservation </w:t>
            </w:r>
            <w:r w:rsidRPr="007C4D65">
              <w:rPr>
                <w:rFonts w:asciiTheme="minorHAnsi" w:eastAsia="Calibri" w:hAnsiTheme="minorHAnsi" w:cstheme="minorHAnsi"/>
                <w:sz w:val="18"/>
                <w:szCs w:val="18"/>
                <w:lang w:eastAsia="en-US"/>
              </w:rPr>
              <w:t xml:space="preserve">and nature conservation in </w:t>
            </w:r>
            <w:r w:rsidR="00566B0A" w:rsidRPr="007C4D65">
              <w:rPr>
                <w:rFonts w:asciiTheme="minorHAnsi" w:eastAsia="Calibri" w:hAnsiTheme="minorHAnsi" w:cstheme="minorHAnsi"/>
                <w:sz w:val="18"/>
                <w:szCs w:val="18"/>
                <w:lang w:eastAsia="en-US"/>
              </w:rPr>
              <w:t>the Federation of BiH</w:t>
            </w:r>
            <w:r w:rsidRPr="007C4D65">
              <w:rPr>
                <w:rFonts w:asciiTheme="minorHAnsi" w:eastAsia="Calibri" w:hAnsiTheme="minorHAnsi" w:cstheme="minorHAnsi"/>
                <w:sz w:val="18"/>
                <w:szCs w:val="18"/>
                <w:lang w:eastAsia="en-US"/>
              </w:rPr>
              <w:t xml:space="preserve">. The preparation of a publicly available database </w:t>
            </w:r>
            <w:r w:rsidR="00566B0A" w:rsidRPr="007C4D65">
              <w:rPr>
                <w:rFonts w:asciiTheme="minorHAnsi" w:eastAsia="Calibri" w:hAnsiTheme="minorHAnsi" w:cstheme="minorHAnsi"/>
                <w:sz w:val="18"/>
                <w:szCs w:val="18"/>
                <w:lang w:eastAsia="en-US"/>
              </w:rPr>
              <w:t>should create a</w:t>
            </w:r>
            <w:r w:rsidRPr="007C4D65">
              <w:rPr>
                <w:rFonts w:asciiTheme="minorHAnsi" w:eastAsia="Calibri" w:hAnsiTheme="minorHAnsi" w:cstheme="minorHAnsi"/>
                <w:sz w:val="18"/>
                <w:szCs w:val="18"/>
                <w:lang w:eastAsia="en-US"/>
              </w:rPr>
              <w:t xml:space="preserve"> basis for </w:t>
            </w:r>
            <w:r w:rsidR="00566B0A" w:rsidRPr="007C4D65">
              <w:rPr>
                <w:rFonts w:asciiTheme="minorHAnsi" w:eastAsia="Calibri" w:hAnsiTheme="minorHAnsi" w:cstheme="minorHAnsi"/>
                <w:sz w:val="18"/>
                <w:szCs w:val="18"/>
                <w:lang w:eastAsia="en-US"/>
              </w:rPr>
              <w:t xml:space="preserve">an </w:t>
            </w:r>
            <w:r w:rsidRPr="007C4D65">
              <w:rPr>
                <w:rFonts w:asciiTheme="minorHAnsi" w:eastAsia="Calibri" w:hAnsiTheme="minorHAnsi" w:cstheme="minorHAnsi"/>
                <w:sz w:val="18"/>
                <w:szCs w:val="18"/>
                <w:lang w:eastAsia="en-US"/>
              </w:rPr>
              <w:t>assess</w:t>
            </w:r>
            <w:r w:rsidR="00566B0A" w:rsidRPr="007C4D65">
              <w:rPr>
                <w:rFonts w:asciiTheme="minorHAnsi" w:eastAsia="Calibri" w:hAnsiTheme="minorHAnsi" w:cstheme="minorHAnsi"/>
                <w:sz w:val="18"/>
                <w:szCs w:val="18"/>
                <w:lang w:eastAsia="en-US"/>
              </w:rPr>
              <w:t xml:space="preserve">ment </w:t>
            </w:r>
            <w:r w:rsidRPr="007C4D65">
              <w:rPr>
                <w:rFonts w:asciiTheme="minorHAnsi" w:eastAsia="Calibri" w:hAnsiTheme="minorHAnsi" w:cstheme="minorHAnsi"/>
                <w:sz w:val="18"/>
                <w:szCs w:val="18"/>
                <w:lang w:eastAsia="en-US"/>
              </w:rPr>
              <w:t xml:space="preserve">knowledge and data </w:t>
            </w:r>
            <w:r w:rsidR="00566B0A" w:rsidRPr="007C4D65">
              <w:rPr>
                <w:rFonts w:asciiTheme="minorHAnsi" w:eastAsia="Calibri" w:hAnsiTheme="minorHAnsi" w:cstheme="minorHAnsi"/>
                <w:sz w:val="18"/>
                <w:szCs w:val="18"/>
                <w:lang w:eastAsia="en-US"/>
              </w:rPr>
              <w:t xml:space="preserve">gaps </w:t>
            </w:r>
            <w:proofErr w:type="gramStart"/>
            <w:r w:rsidR="00566B0A" w:rsidRPr="007C4D65">
              <w:rPr>
                <w:rFonts w:asciiTheme="minorHAnsi" w:eastAsia="Calibri" w:hAnsiTheme="minorHAnsi" w:cstheme="minorHAnsi"/>
                <w:sz w:val="18"/>
                <w:szCs w:val="18"/>
                <w:lang w:eastAsia="en-US"/>
              </w:rPr>
              <w:t>in the area of</w:t>
            </w:r>
            <w:proofErr w:type="gramEnd"/>
            <w:r w:rsidRPr="007C4D65">
              <w:rPr>
                <w:rFonts w:asciiTheme="minorHAnsi" w:eastAsia="Calibri" w:hAnsiTheme="minorHAnsi" w:cstheme="minorHAnsi"/>
                <w:sz w:val="18"/>
                <w:szCs w:val="18"/>
                <w:lang w:eastAsia="en-US"/>
              </w:rPr>
              <w:t xml:space="preserve"> the biodiversity </w:t>
            </w:r>
            <w:r w:rsidR="00566B0A" w:rsidRPr="007C4D65">
              <w:rPr>
                <w:rFonts w:asciiTheme="minorHAnsi" w:eastAsia="Calibri" w:hAnsiTheme="minorHAnsi" w:cstheme="minorHAnsi"/>
                <w:sz w:val="18"/>
                <w:szCs w:val="18"/>
                <w:lang w:eastAsia="en-US"/>
              </w:rPr>
              <w:t>in the Federation of BiH</w:t>
            </w:r>
            <w:r w:rsidRPr="007C4D65">
              <w:rPr>
                <w:rFonts w:asciiTheme="minorHAnsi" w:eastAsia="Calibri" w:hAnsiTheme="minorHAnsi" w:cstheme="minorHAnsi"/>
                <w:sz w:val="18"/>
                <w:szCs w:val="18"/>
                <w:lang w:eastAsia="en-US"/>
              </w:rPr>
              <w:t xml:space="preserve">, and </w:t>
            </w:r>
            <w:r w:rsidR="00566B0A" w:rsidRPr="007C4D65">
              <w:rPr>
                <w:rFonts w:asciiTheme="minorHAnsi" w:eastAsia="Calibri" w:hAnsiTheme="minorHAnsi" w:cstheme="minorHAnsi"/>
                <w:sz w:val="18"/>
                <w:szCs w:val="18"/>
                <w:lang w:eastAsia="en-US"/>
              </w:rPr>
              <w:t>guid efforts to fill such gaps</w:t>
            </w:r>
            <w:r w:rsidRPr="007C4D65">
              <w:rPr>
                <w:rFonts w:asciiTheme="minorHAnsi" w:eastAsia="Calibri" w:hAnsiTheme="minorHAnsi" w:cstheme="minorHAnsi"/>
                <w:sz w:val="18"/>
                <w:szCs w:val="18"/>
                <w:lang w:eastAsia="en-US"/>
              </w:rPr>
              <w:t>.</w:t>
            </w:r>
          </w:p>
          <w:bookmarkEnd w:id="268"/>
          <w:p w14:paraId="378D4F06" w14:textId="2BB1F6D4"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General</w:t>
            </w:r>
            <w:r w:rsidR="00566B0A" w:rsidRPr="007C4D65">
              <w:rPr>
                <w:rFonts w:asciiTheme="minorHAnsi" w:eastAsia="Calibri" w:hAnsiTheme="minorHAnsi" w:cstheme="minorHAnsi"/>
                <w:sz w:val="18"/>
                <w:szCs w:val="18"/>
                <w:lang w:eastAsia="en-US"/>
              </w:rPr>
              <w:t xml:space="preserve"> area</w:t>
            </w:r>
            <w:r w:rsidRPr="007C4D65">
              <w:rPr>
                <w:rFonts w:asciiTheme="minorHAnsi" w:eastAsia="Calibri" w:hAnsiTheme="minorHAnsi" w:cstheme="minorHAnsi"/>
                <w:sz w:val="18"/>
                <w:szCs w:val="18"/>
                <w:lang w:eastAsia="en-US"/>
              </w:rPr>
              <w:t>s</w:t>
            </w:r>
            <w:r w:rsidR="00566B0A" w:rsidRPr="007C4D65">
              <w:rPr>
                <w:rFonts w:asciiTheme="minorHAnsi" w:eastAsia="Calibri" w:hAnsiTheme="minorHAnsi" w:cstheme="minorHAnsi"/>
                <w:sz w:val="18"/>
                <w:szCs w:val="18"/>
                <w:lang w:eastAsia="en-US"/>
              </w:rPr>
              <w:t xml:space="preserve"> of intervention include</w:t>
            </w:r>
            <w:r w:rsidR="00005022" w:rsidRPr="007C4D65">
              <w:rPr>
                <w:rFonts w:asciiTheme="minorHAnsi" w:eastAsia="Calibri" w:hAnsiTheme="minorHAnsi" w:cstheme="minorHAnsi"/>
                <w:sz w:val="18"/>
                <w:szCs w:val="18"/>
                <w:lang w:eastAsia="en-US"/>
              </w:rPr>
              <w:t>:</w:t>
            </w:r>
          </w:p>
          <w:p w14:paraId="431D7B90" w14:textId="02EF65DC" w:rsidR="00005022" w:rsidRPr="007C4D65" w:rsidRDefault="00005022" w:rsidP="00005022">
            <w:pPr>
              <w:numPr>
                <w:ilvl w:val="0"/>
                <w:numId w:val="20"/>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In cooperation with the Environmental Protection Fund</w:t>
            </w:r>
            <w:r w:rsidR="00566B0A" w:rsidRPr="007C4D65">
              <w:rPr>
                <w:rFonts w:asciiTheme="minorHAnsi" w:eastAsia="Calibri" w:hAnsiTheme="minorHAnsi" w:cstheme="minorHAnsi"/>
                <w:sz w:val="18"/>
                <w:szCs w:val="18"/>
                <w:lang w:eastAsia="en-US"/>
              </w:rPr>
              <w:t xml:space="preserve"> of the Federation of BiH</w:t>
            </w:r>
            <w:r w:rsidRPr="007C4D65">
              <w:rPr>
                <w:rFonts w:asciiTheme="minorHAnsi" w:eastAsia="Calibri" w:hAnsiTheme="minorHAnsi" w:cstheme="minorHAnsi"/>
                <w:sz w:val="18"/>
                <w:szCs w:val="18"/>
                <w:lang w:eastAsia="en-US"/>
              </w:rPr>
              <w:t>, prepare a standardized format protocol for entering the results of implemented projects f</w:t>
            </w:r>
            <w:r w:rsidR="00566B0A" w:rsidRPr="007C4D65">
              <w:rPr>
                <w:rFonts w:asciiTheme="minorHAnsi" w:eastAsia="Calibri" w:hAnsiTheme="minorHAnsi" w:cstheme="minorHAnsi"/>
                <w:sz w:val="18"/>
                <w:szCs w:val="18"/>
                <w:lang w:eastAsia="en-US"/>
              </w:rPr>
              <w:t>unded</w:t>
            </w:r>
            <w:r w:rsidRPr="007C4D65">
              <w:rPr>
                <w:rFonts w:asciiTheme="minorHAnsi" w:eastAsia="Calibri" w:hAnsiTheme="minorHAnsi" w:cstheme="minorHAnsi"/>
                <w:sz w:val="18"/>
                <w:szCs w:val="18"/>
                <w:lang w:eastAsia="en-US"/>
              </w:rPr>
              <w:t xml:space="preserve"> </w:t>
            </w:r>
            <w:r w:rsidR="00566B0A" w:rsidRPr="007C4D65">
              <w:rPr>
                <w:rFonts w:asciiTheme="minorHAnsi" w:eastAsia="Calibri" w:hAnsiTheme="minorHAnsi" w:cstheme="minorHAnsi"/>
                <w:sz w:val="18"/>
                <w:szCs w:val="18"/>
                <w:lang w:eastAsia="en-US"/>
              </w:rPr>
              <w:t xml:space="preserve">from </w:t>
            </w:r>
            <w:r w:rsidRPr="007C4D65">
              <w:rPr>
                <w:rFonts w:asciiTheme="minorHAnsi" w:eastAsia="Calibri" w:hAnsiTheme="minorHAnsi" w:cstheme="minorHAnsi"/>
                <w:sz w:val="18"/>
                <w:szCs w:val="18"/>
                <w:lang w:eastAsia="en-US"/>
              </w:rPr>
              <w:t xml:space="preserve">public domestic and international </w:t>
            </w:r>
            <w:proofErr w:type="gramStart"/>
            <w:r w:rsidR="00566B0A" w:rsidRPr="007C4D65">
              <w:rPr>
                <w:rFonts w:asciiTheme="minorHAnsi" w:eastAsia="Calibri" w:hAnsiTheme="minorHAnsi" w:cstheme="minorHAnsi"/>
                <w:sz w:val="18"/>
                <w:szCs w:val="18"/>
                <w:lang w:eastAsia="en-US"/>
              </w:rPr>
              <w:t>sources</w:t>
            </w:r>
            <w:r w:rsidR="00B30020" w:rsidRPr="007C4D65">
              <w:rPr>
                <w:rFonts w:asciiTheme="minorHAnsi" w:eastAsia="Calibri" w:hAnsiTheme="minorHAnsi" w:cstheme="minorHAnsi"/>
                <w:sz w:val="18"/>
                <w:szCs w:val="18"/>
                <w:lang w:eastAsia="en-US"/>
              </w:rPr>
              <w:t>;</w:t>
            </w:r>
            <w:proofErr w:type="gramEnd"/>
          </w:p>
          <w:p w14:paraId="5D1A09BE" w14:textId="3523550E" w:rsidR="00005022" w:rsidRPr="007C4D65" w:rsidRDefault="00566B0A" w:rsidP="00005022">
            <w:pPr>
              <w:numPr>
                <w:ilvl w:val="0"/>
                <w:numId w:val="20"/>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Complete</w:t>
            </w:r>
            <w:r w:rsidR="00005022" w:rsidRPr="007C4D65">
              <w:rPr>
                <w:rFonts w:asciiTheme="minorHAnsi" w:eastAsia="Calibri" w:hAnsiTheme="minorHAnsi" w:cstheme="minorHAnsi"/>
                <w:sz w:val="18"/>
                <w:szCs w:val="18"/>
                <w:lang w:eastAsia="en-US"/>
              </w:rPr>
              <w:t xml:space="preserve"> an expert assessment on data and knowledge </w:t>
            </w:r>
            <w:r w:rsidRPr="007C4D65">
              <w:rPr>
                <w:rFonts w:asciiTheme="minorHAnsi" w:eastAsia="Calibri" w:hAnsiTheme="minorHAnsi" w:cstheme="minorHAnsi"/>
                <w:sz w:val="18"/>
                <w:szCs w:val="18"/>
                <w:lang w:eastAsia="en-US"/>
              </w:rPr>
              <w:t xml:space="preserve">gaps </w:t>
            </w:r>
            <w:proofErr w:type="gramStart"/>
            <w:r w:rsidRPr="007C4D65">
              <w:rPr>
                <w:rFonts w:asciiTheme="minorHAnsi" w:eastAsia="Calibri" w:hAnsiTheme="minorHAnsi" w:cstheme="minorHAnsi"/>
                <w:sz w:val="18"/>
                <w:szCs w:val="18"/>
                <w:lang w:eastAsia="en-US"/>
              </w:rPr>
              <w:t>in the area of</w:t>
            </w:r>
            <w:proofErr w:type="gramEnd"/>
            <w:r w:rsidR="00005022" w:rsidRPr="007C4D65">
              <w:rPr>
                <w:rFonts w:asciiTheme="minorHAnsi" w:eastAsia="Calibri" w:hAnsiTheme="minorHAnsi" w:cstheme="minorHAnsi"/>
                <w:sz w:val="18"/>
                <w:szCs w:val="18"/>
                <w:lang w:eastAsia="en-US"/>
              </w:rPr>
              <w:t xml:space="preserve"> the biodiversity</w:t>
            </w:r>
            <w:r w:rsidRPr="007C4D65">
              <w:rPr>
                <w:rFonts w:asciiTheme="minorHAnsi" w:eastAsia="Calibri" w:hAnsiTheme="minorHAnsi" w:cstheme="minorHAnsi"/>
                <w:sz w:val="18"/>
                <w:szCs w:val="18"/>
                <w:lang w:eastAsia="en-US"/>
              </w:rPr>
              <w:t xml:space="preserve"> in the Federation of BiH</w:t>
            </w:r>
            <w:r w:rsidR="00B30020" w:rsidRPr="007C4D65">
              <w:rPr>
                <w:rFonts w:asciiTheme="minorHAnsi" w:eastAsia="Calibri" w:hAnsiTheme="minorHAnsi" w:cstheme="minorHAnsi"/>
                <w:sz w:val="18"/>
                <w:szCs w:val="18"/>
                <w:lang w:eastAsia="en-US"/>
              </w:rPr>
              <w:t>.</w:t>
            </w:r>
          </w:p>
        </w:tc>
      </w:tr>
      <w:tr w:rsidR="00005022" w:rsidRPr="007C4D65" w14:paraId="5006E7F8" w14:textId="77777777" w:rsidTr="00BC37DE">
        <w:trPr>
          <w:trHeight w:val="567"/>
          <w:jc w:val="center"/>
        </w:trPr>
        <w:tc>
          <w:tcPr>
            <w:tcW w:w="1379" w:type="pct"/>
            <w:shd w:val="clear" w:color="auto" w:fill="009D73"/>
            <w:vAlign w:val="center"/>
          </w:tcPr>
          <w:p w14:paraId="28B719D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21" w:type="pct"/>
            <w:gridSpan w:val="3"/>
            <w:tcBorders>
              <w:bottom w:val="single" w:sz="4" w:space="0" w:color="A6A6A6"/>
            </w:tcBorders>
            <w:shd w:val="clear" w:color="auto" w:fill="FFFFFF" w:themeFill="background1"/>
            <w:vAlign w:val="center"/>
          </w:tcPr>
          <w:p w14:paraId="136620D9"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1D8C79D1" w14:textId="77777777" w:rsidTr="00BC37DE">
        <w:trPr>
          <w:trHeight w:val="567"/>
          <w:jc w:val="center"/>
        </w:trPr>
        <w:tc>
          <w:tcPr>
            <w:tcW w:w="1379" w:type="pct"/>
            <w:vMerge w:val="restart"/>
            <w:shd w:val="clear" w:color="auto" w:fill="009D73"/>
            <w:vAlign w:val="center"/>
          </w:tcPr>
          <w:p w14:paraId="33FDE55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054" w:type="pct"/>
            <w:shd w:val="clear" w:color="auto" w:fill="009D73"/>
            <w:vAlign w:val="center"/>
          </w:tcPr>
          <w:p w14:paraId="2E54290D"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6DB7A785"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39A28451"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2ABAD997"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5D3A383E"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6A608048" w14:textId="77777777" w:rsidTr="00BC37DE">
        <w:trPr>
          <w:trHeight w:val="567"/>
          <w:jc w:val="center"/>
        </w:trPr>
        <w:tc>
          <w:tcPr>
            <w:tcW w:w="1379" w:type="pct"/>
            <w:vMerge/>
            <w:shd w:val="clear" w:color="auto" w:fill="009D73"/>
            <w:vAlign w:val="center"/>
          </w:tcPr>
          <w:p w14:paraId="312A11DB"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4" w:type="pct"/>
            <w:shd w:val="clear" w:color="auto" w:fill="FFFFFF"/>
            <w:vAlign w:val="center"/>
          </w:tcPr>
          <w:p w14:paraId="35FBCA9D" w14:textId="3D279E81"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Degree of using the protocol for entering project</w:t>
            </w:r>
            <w:r w:rsidR="00566B0A"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eastAsia="x-none"/>
              </w:rPr>
              <w:t xml:space="preserve"> outputs</w:t>
            </w:r>
          </w:p>
        </w:tc>
        <w:tc>
          <w:tcPr>
            <w:tcW w:w="1283" w:type="pct"/>
            <w:shd w:val="clear" w:color="auto" w:fill="FFFFFF"/>
            <w:vAlign w:val="center"/>
          </w:tcPr>
          <w:p w14:paraId="1798AA86" w14:textId="3E95620A"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results of projects </w:t>
            </w:r>
            <w:r w:rsidR="00566B0A" w:rsidRPr="007C4D65">
              <w:rPr>
                <w:rFonts w:asciiTheme="minorHAnsi" w:eastAsiaTheme="minorHAnsi" w:hAnsiTheme="minorHAnsi" w:cstheme="minorHAnsi"/>
                <w:sz w:val="18"/>
                <w:szCs w:val="18"/>
                <w:lang w:eastAsia="en-US" w:bidi="en-US"/>
              </w:rPr>
              <w:t xml:space="preserve">implemented </w:t>
            </w:r>
            <w:r w:rsidRPr="007C4D65">
              <w:rPr>
                <w:rFonts w:asciiTheme="minorHAnsi" w:eastAsiaTheme="minorHAnsi" w:hAnsiTheme="minorHAnsi" w:cstheme="minorHAnsi"/>
                <w:sz w:val="18"/>
                <w:szCs w:val="18"/>
                <w:lang w:eastAsia="en-US" w:bidi="en-US"/>
              </w:rPr>
              <w:t>are not available</w:t>
            </w:r>
          </w:p>
        </w:tc>
        <w:tc>
          <w:tcPr>
            <w:tcW w:w="1284" w:type="pct"/>
            <w:shd w:val="clear" w:color="auto" w:fill="FFFFFF"/>
            <w:vAlign w:val="center"/>
          </w:tcPr>
          <w:p w14:paraId="56D2A714"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Available standardized results of the implemented projects (2025)</w:t>
            </w:r>
          </w:p>
        </w:tc>
      </w:tr>
      <w:tr w:rsidR="00005022" w:rsidRPr="007C4D65" w14:paraId="72B4C1C5" w14:textId="77777777" w:rsidTr="00BC37DE">
        <w:trPr>
          <w:trHeight w:val="567"/>
          <w:jc w:val="center"/>
        </w:trPr>
        <w:tc>
          <w:tcPr>
            <w:tcW w:w="1379" w:type="pct"/>
            <w:vMerge/>
            <w:shd w:val="clear" w:color="auto" w:fill="009D73"/>
            <w:vAlign w:val="center"/>
          </w:tcPr>
          <w:p w14:paraId="13263814"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4" w:type="pct"/>
            <w:shd w:val="clear" w:color="auto" w:fill="FFFFFF"/>
            <w:vAlign w:val="center"/>
          </w:tcPr>
          <w:p w14:paraId="3C421CA6" w14:textId="7D767114"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Status of the assessment of data</w:t>
            </w:r>
            <w:r w:rsidR="00566B0A" w:rsidRPr="007C4D65">
              <w:rPr>
                <w:rFonts w:asciiTheme="minorHAnsi" w:eastAsia="Calibri" w:hAnsiTheme="minorHAnsi" w:cstheme="minorHAnsi"/>
                <w:sz w:val="18"/>
                <w:szCs w:val="18"/>
                <w:lang w:eastAsia="x-none"/>
              </w:rPr>
              <w:t xml:space="preserve"> gaps</w:t>
            </w:r>
            <w:r w:rsidRPr="007C4D65">
              <w:rPr>
                <w:rFonts w:asciiTheme="minorHAnsi" w:eastAsia="Calibri" w:hAnsiTheme="minorHAnsi" w:cstheme="minorHAnsi"/>
                <w:sz w:val="18"/>
                <w:szCs w:val="18"/>
                <w:lang w:eastAsia="x-none"/>
              </w:rPr>
              <w:t xml:space="preserve"> on biodiversity </w:t>
            </w:r>
            <w:r w:rsidR="00566B0A" w:rsidRPr="007C4D65">
              <w:rPr>
                <w:rFonts w:asciiTheme="minorHAnsi" w:eastAsia="Calibri" w:hAnsiTheme="minorHAnsi" w:cstheme="minorHAnsi"/>
                <w:sz w:val="18"/>
                <w:szCs w:val="18"/>
                <w:lang w:eastAsia="x-none"/>
              </w:rPr>
              <w:t>in the Federation of BiH</w:t>
            </w:r>
          </w:p>
        </w:tc>
        <w:tc>
          <w:tcPr>
            <w:tcW w:w="1283" w:type="pct"/>
            <w:shd w:val="clear" w:color="auto" w:fill="FFFFFF"/>
            <w:vAlign w:val="center"/>
          </w:tcPr>
          <w:p w14:paraId="4F51EDC9" w14:textId="68A6FF81" w:rsidR="00005022" w:rsidRPr="007C4D65" w:rsidRDefault="00566B0A"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Data gaps</w:t>
            </w:r>
            <w:r w:rsidR="00005022" w:rsidRPr="007C4D65">
              <w:rPr>
                <w:rFonts w:asciiTheme="minorHAnsi" w:eastAsia="Calibri" w:hAnsiTheme="minorHAnsi" w:cstheme="minorHAnsi"/>
                <w:sz w:val="18"/>
                <w:szCs w:val="18"/>
                <w:lang w:eastAsia="x-none"/>
              </w:rPr>
              <w:t xml:space="preserve"> not identified</w:t>
            </w:r>
          </w:p>
        </w:tc>
        <w:tc>
          <w:tcPr>
            <w:tcW w:w="1284" w:type="pct"/>
            <w:shd w:val="clear" w:color="auto" w:fill="FFFFFF"/>
            <w:vAlign w:val="center"/>
          </w:tcPr>
          <w:p w14:paraId="151C1DED" w14:textId="021A3BCA" w:rsidR="00005022" w:rsidRPr="007C4D65" w:rsidRDefault="00566B0A"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Data gaps</w:t>
            </w:r>
            <w:r w:rsidR="00005022" w:rsidRPr="007C4D65">
              <w:rPr>
                <w:rFonts w:asciiTheme="minorHAnsi" w:eastAsia="Calibri" w:hAnsiTheme="minorHAnsi" w:cstheme="minorHAnsi"/>
                <w:sz w:val="18"/>
                <w:szCs w:val="18"/>
                <w:lang w:eastAsia="x-none"/>
              </w:rPr>
              <w:t xml:space="preserve"> identified </w:t>
            </w:r>
            <w:r w:rsidR="004D1282" w:rsidRPr="007C4D65">
              <w:rPr>
                <w:rFonts w:asciiTheme="minorHAnsi" w:eastAsia="Calibri" w:hAnsiTheme="minorHAnsi" w:cstheme="minorHAnsi"/>
                <w:sz w:val="18"/>
                <w:szCs w:val="18"/>
                <w:lang w:eastAsia="x-none"/>
              </w:rPr>
              <w:t xml:space="preserve">on </w:t>
            </w:r>
            <w:r w:rsidR="00005022" w:rsidRPr="007C4D65">
              <w:rPr>
                <w:rFonts w:asciiTheme="minorHAnsi" w:eastAsia="Calibri" w:hAnsiTheme="minorHAnsi" w:cstheme="minorHAnsi"/>
                <w:sz w:val="18"/>
                <w:szCs w:val="18"/>
                <w:lang w:eastAsia="x-none"/>
              </w:rPr>
              <w:t xml:space="preserve">biodiversity </w:t>
            </w:r>
            <w:r w:rsidR="004D1282" w:rsidRPr="007C4D65">
              <w:rPr>
                <w:rFonts w:asciiTheme="minorHAnsi" w:eastAsia="Calibri" w:hAnsiTheme="minorHAnsi" w:cstheme="minorHAnsi"/>
                <w:sz w:val="18"/>
                <w:szCs w:val="18"/>
                <w:lang w:eastAsia="x-none"/>
              </w:rPr>
              <w:t>in the Federation of BiH identified</w:t>
            </w:r>
          </w:p>
        </w:tc>
      </w:tr>
      <w:tr w:rsidR="00005022" w:rsidRPr="007C4D65" w14:paraId="1C1B9976" w14:textId="77777777" w:rsidTr="00BC37DE">
        <w:trPr>
          <w:trHeight w:val="567"/>
          <w:jc w:val="center"/>
        </w:trPr>
        <w:tc>
          <w:tcPr>
            <w:tcW w:w="1379" w:type="pct"/>
            <w:shd w:val="clear" w:color="auto" w:fill="009D73"/>
            <w:vAlign w:val="center"/>
          </w:tcPr>
          <w:p w14:paraId="1B7A970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Development effect and contribution of the measure to the implementation of the priorities </w:t>
            </w:r>
          </w:p>
        </w:tc>
        <w:tc>
          <w:tcPr>
            <w:tcW w:w="3621" w:type="pct"/>
            <w:gridSpan w:val="3"/>
            <w:shd w:val="clear" w:color="auto" w:fill="FFFFFF"/>
            <w:vAlign w:val="center"/>
          </w:tcPr>
          <w:p w14:paraId="48FFE5B1" w14:textId="305B7E05" w:rsidR="00005022" w:rsidRPr="007C4D65" w:rsidRDefault="004D128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Improved access to data enables evidence-based and analysis-based </w:t>
            </w:r>
            <w:r w:rsidR="009F16BA" w:rsidRPr="007C4D65">
              <w:rPr>
                <w:rFonts w:asciiTheme="minorHAnsi" w:eastAsiaTheme="minorHAnsi" w:hAnsiTheme="minorHAnsi" w:cstheme="minorHAnsi"/>
                <w:sz w:val="18"/>
                <w:szCs w:val="18"/>
                <w:lang w:eastAsia="en-US" w:bidi="en-US"/>
              </w:rPr>
              <w:t xml:space="preserve">decision-making </w:t>
            </w:r>
            <w:r w:rsidRPr="007C4D65">
              <w:rPr>
                <w:rFonts w:asciiTheme="minorHAnsi" w:eastAsiaTheme="minorHAnsi" w:hAnsiTheme="minorHAnsi" w:cstheme="minorHAnsi"/>
                <w:sz w:val="18"/>
                <w:szCs w:val="18"/>
                <w:lang w:eastAsia="en-US" w:bidi="en-US"/>
              </w:rPr>
              <w:t>in the future</w:t>
            </w:r>
          </w:p>
        </w:tc>
      </w:tr>
      <w:tr w:rsidR="00005022" w:rsidRPr="007C4D65" w14:paraId="2ADDF7D0" w14:textId="77777777" w:rsidTr="00BC37DE">
        <w:trPr>
          <w:trHeight w:val="567"/>
          <w:jc w:val="center"/>
        </w:trPr>
        <w:tc>
          <w:tcPr>
            <w:tcW w:w="1379" w:type="pct"/>
            <w:shd w:val="clear" w:color="auto" w:fill="009D73"/>
            <w:vAlign w:val="center"/>
          </w:tcPr>
          <w:p w14:paraId="69DAF564" w14:textId="377A9AE4"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21" w:type="pct"/>
            <w:gridSpan w:val="3"/>
            <w:shd w:val="clear" w:color="auto" w:fill="FFFFFF"/>
            <w:vAlign w:val="center"/>
          </w:tcPr>
          <w:p w14:paraId="381DC94E" w14:textId="33DFDD55" w:rsidR="004D1282" w:rsidRPr="007C4D65" w:rsidRDefault="004D1282" w:rsidP="004D1282">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342,270</w:t>
            </w:r>
          </w:p>
          <w:p w14:paraId="10050002" w14:textId="4F1D613D" w:rsidR="00005022" w:rsidRPr="007C4D65" w:rsidRDefault="004D1282" w:rsidP="004D1282">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bidi="en-US"/>
              </w:rPr>
              <w:t xml:space="preserve">Source: </w:t>
            </w:r>
            <w:r w:rsidRPr="007C4D65">
              <w:rPr>
                <w:rFonts w:asciiTheme="minorHAnsi" w:hAnsiTheme="minorHAnsi" w:cstheme="minorHAnsi"/>
                <w:color w:val="000000" w:themeColor="text1"/>
                <w:sz w:val="18"/>
                <w:szCs w:val="18"/>
              </w:rPr>
              <w:t xml:space="preserve">20% </w:t>
            </w:r>
            <w:r w:rsidR="000E401F" w:rsidRPr="007C4D65">
              <w:rPr>
                <w:rFonts w:asciiTheme="minorHAnsi" w:hAnsiTheme="minorHAnsi" w:cstheme="minorHAnsi"/>
                <w:color w:val="000000" w:themeColor="text1"/>
                <w:sz w:val="18"/>
                <w:szCs w:val="18"/>
              </w:rPr>
              <w:t>government budget</w:t>
            </w:r>
            <w:r w:rsidRPr="007C4D65">
              <w:rPr>
                <w:rFonts w:asciiTheme="minorHAnsi" w:hAnsiTheme="minorHAnsi" w:cstheme="minorHAnsi"/>
                <w:color w:val="000000" w:themeColor="text1"/>
                <w:sz w:val="18"/>
                <w:szCs w:val="18"/>
              </w:rPr>
              <w:t>, 80% funds from EU and other international donors</w:t>
            </w:r>
          </w:p>
        </w:tc>
      </w:tr>
      <w:tr w:rsidR="00005022" w:rsidRPr="007C4D65" w14:paraId="4624C5E8" w14:textId="77777777" w:rsidTr="00BC37DE">
        <w:trPr>
          <w:trHeight w:val="567"/>
          <w:jc w:val="center"/>
        </w:trPr>
        <w:tc>
          <w:tcPr>
            <w:tcW w:w="1379" w:type="pct"/>
            <w:shd w:val="clear" w:color="auto" w:fill="009D73"/>
            <w:vAlign w:val="center"/>
          </w:tcPr>
          <w:p w14:paraId="2078AB0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21" w:type="pct"/>
            <w:gridSpan w:val="3"/>
            <w:shd w:val="clear" w:color="auto" w:fill="FFFFFF"/>
            <w:vAlign w:val="center"/>
          </w:tcPr>
          <w:p w14:paraId="5046C5F2"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2022 - 2023</w:t>
            </w:r>
          </w:p>
        </w:tc>
      </w:tr>
      <w:tr w:rsidR="00005022" w:rsidRPr="007C4D65" w14:paraId="6D9B3C06" w14:textId="77777777" w:rsidTr="00BC37DE">
        <w:trPr>
          <w:trHeight w:val="567"/>
          <w:jc w:val="center"/>
        </w:trPr>
        <w:tc>
          <w:tcPr>
            <w:tcW w:w="1379" w:type="pct"/>
            <w:shd w:val="clear" w:color="auto" w:fill="009D73"/>
            <w:vAlign w:val="center"/>
          </w:tcPr>
          <w:p w14:paraId="0BC92BD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21" w:type="pct"/>
            <w:gridSpan w:val="3"/>
            <w:shd w:val="clear" w:color="auto" w:fill="FFFFFF"/>
            <w:vAlign w:val="center"/>
          </w:tcPr>
          <w:p w14:paraId="3FA30FA0"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79B5D8E4" w14:textId="77777777" w:rsidTr="00BC37DE">
        <w:trPr>
          <w:trHeight w:val="567"/>
          <w:jc w:val="center"/>
        </w:trPr>
        <w:tc>
          <w:tcPr>
            <w:tcW w:w="1379" w:type="pct"/>
            <w:shd w:val="clear" w:color="auto" w:fill="009D73"/>
            <w:vAlign w:val="center"/>
          </w:tcPr>
          <w:p w14:paraId="775A964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Implementing institutions</w:t>
            </w:r>
          </w:p>
        </w:tc>
        <w:tc>
          <w:tcPr>
            <w:tcW w:w="3621" w:type="pct"/>
            <w:gridSpan w:val="3"/>
            <w:shd w:val="clear" w:color="auto" w:fill="FFFFFF"/>
            <w:vAlign w:val="center"/>
          </w:tcPr>
          <w:p w14:paraId="69443BC5"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EPF, scientific institutions, non-governmental organizations</w:t>
            </w:r>
          </w:p>
        </w:tc>
      </w:tr>
      <w:tr w:rsidR="00005022" w:rsidRPr="007C4D65" w14:paraId="0D751FC3" w14:textId="77777777" w:rsidTr="00BC37DE">
        <w:trPr>
          <w:trHeight w:val="567"/>
          <w:jc w:val="center"/>
        </w:trPr>
        <w:tc>
          <w:tcPr>
            <w:tcW w:w="1379" w:type="pct"/>
            <w:shd w:val="clear" w:color="auto" w:fill="009D73"/>
            <w:vAlign w:val="center"/>
          </w:tcPr>
          <w:p w14:paraId="504EAB59" w14:textId="186D8874"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21" w:type="pct"/>
            <w:gridSpan w:val="3"/>
            <w:shd w:val="clear" w:color="auto" w:fill="FFFFFF"/>
            <w:vAlign w:val="center"/>
          </w:tcPr>
          <w:p w14:paraId="75104D5F" w14:textId="74868163"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Sectoral ministries at the Federation level, </w:t>
            </w:r>
            <w:r w:rsidR="004D1282" w:rsidRPr="007C4D65">
              <w:rPr>
                <w:rFonts w:asciiTheme="minorHAnsi" w:eastAsiaTheme="minorHAnsi" w:hAnsiTheme="minorHAnsi" w:cstheme="minorHAnsi"/>
                <w:sz w:val="18"/>
                <w:szCs w:val="18"/>
                <w:lang w:eastAsia="en-US" w:bidi="en-US"/>
              </w:rPr>
              <w:t>cantonal</w:t>
            </w:r>
            <w:r w:rsidRPr="007C4D65">
              <w:rPr>
                <w:rFonts w:asciiTheme="minorHAnsi" w:eastAsiaTheme="minorHAnsi" w:hAnsiTheme="minorHAnsi" w:cstheme="minorHAnsi"/>
                <w:sz w:val="18"/>
                <w:szCs w:val="18"/>
                <w:lang w:eastAsia="en-US" w:bidi="en-US"/>
              </w:rPr>
              <w:t xml:space="preserve"> line and sectoral ministries, professional institutions, scientific institutions, non-governmental organizations</w:t>
            </w:r>
          </w:p>
        </w:tc>
      </w:tr>
    </w:tbl>
    <w:p w14:paraId="61504531" w14:textId="4CFC4B3D"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2"/>
        <w:gridCol w:w="2814"/>
        <w:gridCol w:w="3426"/>
        <w:gridCol w:w="3429"/>
      </w:tblGrid>
      <w:tr w:rsidR="00B0114F" w:rsidRPr="007C4D65" w14:paraId="09A3C388" w14:textId="77777777" w:rsidTr="00BC37DE">
        <w:trPr>
          <w:trHeight w:val="567"/>
          <w:jc w:val="center"/>
        </w:trPr>
        <w:tc>
          <w:tcPr>
            <w:tcW w:w="1379" w:type="pct"/>
            <w:shd w:val="clear" w:color="auto" w:fill="009D73"/>
            <w:vAlign w:val="center"/>
          </w:tcPr>
          <w:p w14:paraId="089D15AA" w14:textId="06E73D2E" w:rsidR="00B0114F" w:rsidRPr="007C4D65" w:rsidRDefault="00963086" w:rsidP="00B0114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21" w:type="pct"/>
            <w:gridSpan w:val="3"/>
            <w:shd w:val="clear" w:color="auto" w:fill="FFFFFF"/>
            <w:vAlign w:val="center"/>
          </w:tcPr>
          <w:p w14:paraId="0D54CF5C" w14:textId="2F86FCB7" w:rsidR="00B0114F" w:rsidRPr="007C4D65" w:rsidRDefault="00B0114F" w:rsidP="00B0114F">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3. Maintaining and improving biodiversity and protecting ecosystems</w:t>
            </w:r>
          </w:p>
        </w:tc>
      </w:tr>
      <w:tr w:rsidR="00B0114F" w:rsidRPr="007C4D65" w14:paraId="0A777039" w14:textId="77777777" w:rsidTr="00BC37DE">
        <w:trPr>
          <w:trHeight w:val="567"/>
          <w:jc w:val="center"/>
        </w:trPr>
        <w:tc>
          <w:tcPr>
            <w:tcW w:w="1379" w:type="pct"/>
            <w:shd w:val="clear" w:color="auto" w:fill="009D73"/>
            <w:vAlign w:val="center"/>
          </w:tcPr>
          <w:p w14:paraId="6A90FA57" w14:textId="77777777" w:rsidR="00B0114F" w:rsidRPr="007C4D65" w:rsidRDefault="00B0114F" w:rsidP="00B0114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21" w:type="pct"/>
            <w:gridSpan w:val="3"/>
            <w:shd w:val="clear" w:color="auto" w:fill="FFFFFF"/>
            <w:vAlign w:val="center"/>
          </w:tcPr>
          <w:p w14:paraId="56E0D5D0" w14:textId="00A7BE8C" w:rsidR="00B0114F" w:rsidRPr="007C4D65" w:rsidRDefault="00B0114F" w:rsidP="00B0114F">
            <w:pPr>
              <w:spacing w:before="40" w:after="40" w:line="276" w:lineRule="auto"/>
              <w:rPr>
                <w:rFonts w:asciiTheme="minorHAnsi" w:hAnsiTheme="minorHAnsi" w:cstheme="minorHAnsi"/>
                <w:b/>
                <w:bCs/>
                <w:sz w:val="18"/>
                <w:szCs w:val="18"/>
                <w:lang w:eastAsia="zh-TW"/>
              </w:rPr>
            </w:pPr>
            <w:r w:rsidRPr="007C4D65">
              <w:rPr>
                <w:rFonts w:asciiTheme="minorHAnsi" w:hAnsiTheme="minorHAnsi" w:cstheme="minorHAnsi"/>
                <w:b/>
                <w:bCs/>
                <w:sz w:val="18"/>
                <w:szCs w:val="18"/>
                <w:lang w:eastAsia="zh-TW"/>
              </w:rPr>
              <w:t>3.3 Initiate coordination, communication and reporting on biodiversity and nature conservation in the Federation of BiH</w:t>
            </w:r>
          </w:p>
        </w:tc>
      </w:tr>
      <w:tr w:rsidR="00B0114F" w:rsidRPr="007C4D65" w14:paraId="3D74BE2D" w14:textId="77777777" w:rsidTr="00BC37DE">
        <w:trPr>
          <w:trHeight w:val="567"/>
          <w:jc w:val="center"/>
        </w:trPr>
        <w:tc>
          <w:tcPr>
            <w:tcW w:w="1379" w:type="pct"/>
            <w:shd w:val="clear" w:color="auto" w:fill="009D73"/>
            <w:vAlign w:val="center"/>
          </w:tcPr>
          <w:p w14:paraId="2318DE26" w14:textId="77777777" w:rsidR="00B0114F" w:rsidRPr="007C4D65" w:rsidRDefault="00B0114F" w:rsidP="00B0114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21" w:type="pct"/>
            <w:gridSpan w:val="3"/>
            <w:shd w:val="clear" w:color="auto" w:fill="FFFFFF"/>
            <w:vAlign w:val="center"/>
          </w:tcPr>
          <w:p w14:paraId="0C0F2E6D" w14:textId="5A482AB5" w:rsidR="00B0114F" w:rsidRPr="007C4D65" w:rsidRDefault="00B0114F" w:rsidP="00B0114F">
            <w:pPr>
              <w:spacing w:after="16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3.3.3 In accordance with the INSPIRE Directive, through the Information System for the Nature Conservation of the Federation of BiH, provide for access to information on monitoring of protected and strictly protected species and areas, and species and habitats of interest for the Community</w:t>
            </w:r>
            <w:r w:rsidRPr="007C4D65">
              <w:rPr>
                <w:rFonts w:asciiTheme="minorHAnsi" w:eastAsiaTheme="minorHAnsi" w:hAnsiTheme="minorHAnsi" w:cstheme="minorHAnsi"/>
                <w:b/>
                <w:bCs/>
                <w:sz w:val="18"/>
                <w:szCs w:val="18"/>
                <w:lang w:eastAsia="en-US"/>
              </w:rPr>
              <w:t xml:space="preserve"> </w:t>
            </w:r>
          </w:p>
        </w:tc>
      </w:tr>
      <w:tr w:rsidR="00B0114F" w:rsidRPr="007C4D65" w14:paraId="4BE1AACB" w14:textId="77777777" w:rsidTr="00BC37DE">
        <w:trPr>
          <w:trHeight w:val="567"/>
          <w:jc w:val="center"/>
        </w:trPr>
        <w:tc>
          <w:tcPr>
            <w:tcW w:w="1379" w:type="pct"/>
            <w:shd w:val="clear" w:color="auto" w:fill="009D73"/>
            <w:vAlign w:val="center"/>
          </w:tcPr>
          <w:p w14:paraId="42B08F20" w14:textId="77777777" w:rsidR="00B0114F" w:rsidRPr="007C4D65" w:rsidRDefault="00B0114F" w:rsidP="00B0114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21" w:type="pct"/>
            <w:gridSpan w:val="3"/>
            <w:shd w:val="clear" w:color="auto" w:fill="FFFFFF"/>
            <w:vAlign w:val="center"/>
          </w:tcPr>
          <w:p w14:paraId="0A6FA31C" w14:textId="2157DC86" w:rsidR="00B0114F" w:rsidRPr="007C4D65" w:rsidRDefault="00B0114F" w:rsidP="00B0114F">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to provide access to transparent information on the state of biodiversity through the Information System for Nature Conservation of the Federation of BiH. Publicity of information on the state of biodiversity in </w:t>
            </w:r>
            <w:r w:rsidR="00E66367" w:rsidRPr="007C4D65">
              <w:rPr>
                <w:rFonts w:asciiTheme="minorHAnsi" w:eastAsia="Calibri" w:hAnsiTheme="minorHAnsi" w:cstheme="minorHAnsi"/>
                <w:sz w:val="18"/>
                <w:szCs w:val="18"/>
                <w:lang w:eastAsia="en-US"/>
              </w:rPr>
              <w:t>specific</w:t>
            </w:r>
            <w:r w:rsidRPr="007C4D65">
              <w:rPr>
                <w:rFonts w:asciiTheme="minorHAnsi" w:eastAsia="Calibri" w:hAnsiTheme="minorHAnsi" w:cstheme="minorHAnsi"/>
                <w:sz w:val="18"/>
                <w:szCs w:val="18"/>
                <w:lang w:eastAsia="en-US"/>
              </w:rPr>
              <w:t xml:space="preserve"> areas are the basis for environmental planning and management processes.</w:t>
            </w:r>
          </w:p>
          <w:p w14:paraId="77D10C89" w14:textId="40FE523E" w:rsidR="00B0114F" w:rsidRPr="007C4D65" w:rsidRDefault="00042CF3" w:rsidP="00B0114F">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General</w:t>
            </w:r>
            <w:r w:rsidR="00F52038" w:rsidRPr="007C4D65">
              <w:rPr>
                <w:rFonts w:asciiTheme="minorHAnsi" w:eastAsia="Calibri" w:hAnsiTheme="minorHAnsi" w:cstheme="minorHAnsi"/>
                <w:sz w:val="18"/>
                <w:szCs w:val="18"/>
                <w:lang w:eastAsia="en-US"/>
              </w:rPr>
              <w:t xml:space="preserve"> area</w:t>
            </w:r>
            <w:r w:rsidR="00B30020" w:rsidRPr="007C4D65">
              <w:rPr>
                <w:rFonts w:asciiTheme="minorHAnsi" w:eastAsia="Calibri" w:hAnsiTheme="minorHAnsi" w:cstheme="minorHAnsi"/>
                <w:sz w:val="18"/>
                <w:szCs w:val="18"/>
                <w:lang w:eastAsia="en-US"/>
              </w:rPr>
              <w:t>s</w:t>
            </w:r>
            <w:r w:rsidR="00F52038" w:rsidRPr="007C4D65">
              <w:rPr>
                <w:rFonts w:asciiTheme="minorHAnsi" w:eastAsia="Calibri" w:hAnsiTheme="minorHAnsi" w:cstheme="minorHAnsi"/>
                <w:sz w:val="18"/>
                <w:szCs w:val="18"/>
                <w:lang w:eastAsia="en-US"/>
              </w:rPr>
              <w:t xml:space="preserve"> of intervention include</w:t>
            </w:r>
            <w:r w:rsidR="00B0114F" w:rsidRPr="007C4D65">
              <w:rPr>
                <w:rFonts w:asciiTheme="minorHAnsi" w:eastAsia="Calibri" w:hAnsiTheme="minorHAnsi" w:cstheme="minorHAnsi"/>
                <w:sz w:val="18"/>
                <w:szCs w:val="18"/>
                <w:lang w:eastAsia="en-US"/>
              </w:rPr>
              <w:t>:</w:t>
            </w:r>
          </w:p>
          <w:p w14:paraId="29DAD9C9" w14:textId="0C926894" w:rsidR="00B0114F" w:rsidRPr="007C4D65" w:rsidRDefault="00F52038" w:rsidP="00B0114F">
            <w:pPr>
              <w:numPr>
                <w:ilvl w:val="0"/>
                <w:numId w:val="23"/>
              </w:numPr>
              <w:spacing w:after="160" w:line="276" w:lineRule="auto"/>
              <w:contextualSpacing/>
              <w:rPr>
                <w:rFonts w:asciiTheme="minorHAnsi" w:eastAsiaTheme="minorHAnsi" w:hAnsiTheme="minorHAnsi" w:cstheme="minorHAnsi"/>
                <w:sz w:val="18"/>
                <w:szCs w:val="18"/>
                <w:lang w:eastAsia="en-US"/>
              </w:rPr>
            </w:pPr>
            <w:r w:rsidRPr="007C4D65">
              <w:rPr>
                <w:rFonts w:asciiTheme="minorHAnsi" w:eastAsia="Calibri" w:hAnsiTheme="minorHAnsi" w:cstheme="minorHAnsi"/>
                <w:sz w:val="18"/>
                <w:szCs w:val="18"/>
                <w:lang w:eastAsia="en-US"/>
              </w:rPr>
              <w:lastRenderedPageBreak/>
              <w:t>M</w:t>
            </w:r>
            <w:r w:rsidR="00B0114F" w:rsidRPr="007C4D65">
              <w:rPr>
                <w:rFonts w:asciiTheme="minorHAnsi" w:eastAsia="Calibri" w:hAnsiTheme="minorHAnsi" w:cstheme="minorHAnsi"/>
                <w:sz w:val="18"/>
                <w:szCs w:val="18"/>
                <w:lang w:eastAsia="en-US"/>
              </w:rPr>
              <w:t xml:space="preserve">odules of protected and strictly protected species and areas, as well as species and habitats of interest for the Community should be </w:t>
            </w:r>
            <w:r w:rsidRPr="007C4D65">
              <w:rPr>
                <w:rFonts w:asciiTheme="minorHAnsi" w:eastAsia="Calibri" w:hAnsiTheme="minorHAnsi" w:cstheme="minorHAnsi"/>
                <w:sz w:val="18"/>
                <w:szCs w:val="18"/>
                <w:lang w:eastAsia="en-US"/>
              </w:rPr>
              <w:t>rely on</w:t>
            </w:r>
            <w:r w:rsidR="00B0114F" w:rsidRPr="007C4D65">
              <w:rPr>
                <w:rFonts w:asciiTheme="minorHAnsi" w:eastAsia="Calibri" w:hAnsiTheme="minorHAnsi" w:cstheme="minorHAnsi"/>
                <w:sz w:val="18"/>
                <w:szCs w:val="18"/>
                <w:lang w:eastAsia="en-US"/>
              </w:rPr>
              <w:t xml:space="preserve"> monitoring outputs and made publicly available.</w:t>
            </w:r>
            <w:r w:rsidR="00B0114F" w:rsidRPr="007C4D65">
              <w:rPr>
                <w:rFonts w:asciiTheme="minorHAnsi" w:eastAsiaTheme="minorHAnsi" w:hAnsiTheme="minorHAnsi" w:cstheme="minorHAnsi"/>
                <w:sz w:val="18"/>
                <w:szCs w:val="18"/>
                <w:lang w:eastAsia="en-US"/>
              </w:rPr>
              <w:t xml:space="preserve"> </w:t>
            </w:r>
          </w:p>
        </w:tc>
      </w:tr>
      <w:tr w:rsidR="00B0114F" w:rsidRPr="007C4D65" w14:paraId="2F3B8201" w14:textId="77777777" w:rsidTr="00BC37DE">
        <w:trPr>
          <w:trHeight w:val="567"/>
          <w:jc w:val="center"/>
        </w:trPr>
        <w:tc>
          <w:tcPr>
            <w:tcW w:w="1379" w:type="pct"/>
            <w:shd w:val="clear" w:color="auto" w:fill="009D73"/>
            <w:vAlign w:val="center"/>
          </w:tcPr>
          <w:p w14:paraId="2B61FF1F" w14:textId="77777777" w:rsidR="00B0114F" w:rsidRPr="007C4D65" w:rsidRDefault="00B0114F" w:rsidP="00B0114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Strategic projects</w:t>
            </w:r>
          </w:p>
        </w:tc>
        <w:tc>
          <w:tcPr>
            <w:tcW w:w="3621" w:type="pct"/>
            <w:gridSpan w:val="3"/>
            <w:tcBorders>
              <w:bottom w:val="single" w:sz="4" w:space="0" w:color="A6A6A6"/>
            </w:tcBorders>
            <w:shd w:val="clear" w:color="auto" w:fill="FFFFFF" w:themeFill="background1"/>
            <w:vAlign w:val="center"/>
          </w:tcPr>
          <w:p w14:paraId="698505C7" w14:textId="77777777" w:rsidR="00B0114F" w:rsidRPr="007C4D65" w:rsidRDefault="00B0114F" w:rsidP="00B0114F">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B0114F" w:rsidRPr="007C4D65" w14:paraId="2769D733" w14:textId="77777777" w:rsidTr="00BC37DE">
        <w:trPr>
          <w:trHeight w:val="567"/>
          <w:jc w:val="center"/>
        </w:trPr>
        <w:tc>
          <w:tcPr>
            <w:tcW w:w="1379" w:type="pct"/>
            <w:vMerge w:val="restart"/>
            <w:shd w:val="clear" w:color="auto" w:fill="009D73"/>
            <w:vAlign w:val="center"/>
          </w:tcPr>
          <w:p w14:paraId="18F72A9F" w14:textId="77777777" w:rsidR="00B0114F" w:rsidRPr="007C4D65" w:rsidRDefault="00B0114F" w:rsidP="00B0114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054" w:type="pct"/>
            <w:shd w:val="clear" w:color="auto" w:fill="009D73"/>
            <w:vAlign w:val="center"/>
          </w:tcPr>
          <w:p w14:paraId="5D2AC976" w14:textId="77777777" w:rsidR="00B0114F" w:rsidRPr="007C4D65" w:rsidRDefault="00B0114F" w:rsidP="00B0114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4D7F9A72" w14:textId="77777777" w:rsidR="00B0114F" w:rsidRPr="007C4D65" w:rsidRDefault="00B0114F" w:rsidP="00B0114F">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3354D471" w14:textId="77777777" w:rsidR="00B0114F" w:rsidRPr="007C4D65" w:rsidRDefault="00B0114F" w:rsidP="00B0114F">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5866C266" w14:textId="77777777" w:rsidR="00B0114F" w:rsidRPr="007C4D65" w:rsidRDefault="00B0114F" w:rsidP="00B0114F">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793CAA9A" w14:textId="77777777" w:rsidR="00B0114F" w:rsidRPr="007C4D65" w:rsidRDefault="00B0114F" w:rsidP="00B0114F">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B0114F" w:rsidRPr="007C4D65" w14:paraId="43AA7E1D" w14:textId="77777777" w:rsidTr="00BC37DE">
        <w:trPr>
          <w:trHeight w:val="567"/>
          <w:jc w:val="center"/>
        </w:trPr>
        <w:tc>
          <w:tcPr>
            <w:tcW w:w="1379" w:type="pct"/>
            <w:vMerge/>
            <w:shd w:val="clear" w:color="auto" w:fill="009D73"/>
            <w:vAlign w:val="center"/>
          </w:tcPr>
          <w:p w14:paraId="22717FBE" w14:textId="77777777" w:rsidR="00B0114F" w:rsidRPr="007C4D65" w:rsidRDefault="00B0114F" w:rsidP="00B0114F">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4" w:type="pct"/>
            <w:shd w:val="clear" w:color="auto" w:fill="FFFFFF"/>
            <w:vAlign w:val="center"/>
          </w:tcPr>
          <w:p w14:paraId="773E690C" w14:textId="77777777" w:rsidR="00B0114F" w:rsidRPr="007C4D65" w:rsidRDefault="00B0114F" w:rsidP="00B0114F">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Number of data entries on the FBiH FAP on the continuous monitoring of protected species and habitats of interest</w:t>
            </w:r>
          </w:p>
        </w:tc>
        <w:tc>
          <w:tcPr>
            <w:tcW w:w="1283" w:type="pct"/>
            <w:shd w:val="clear" w:color="auto" w:fill="FFFFFF"/>
            <w:vAlign w:val="center"/>
          </w:tcPr>
          <w:p w14:paraId="3050E713" w14:textId="77777777" w:rsidR="00B0114F" w:rsidRPr="007C4D65" w:rsidRDefault="00B0114F" w:rsidP="00B0114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Data on monitoring the status of species and habitats are not available</w:t>
            </w:r>
          </w:p>
        </w:tc>
        <w:tc>
          <w:tcPr>
            <w:tcW w:w="1284" w:type="pct"/>
            <w:shd w:val="clear" w:color="auto" w:fill="FFFFFF"/>
            <w:vAlign w:val="center"/>
          </w:tcPr>
          <w:p w14:paraId="2ABD852B" w14:textId="77777777" w:rsidR="00B0114F" w:rsidRPr="007C4D65" w:rsidRDefault="00B0114F" w:rsidP="00B0114F">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Data on monitoring the status of species and habitats are publicly available at the FBiH FAP</w:t>
            </w:r>
          </w:p>
        </w:tc>
      </w:tr>
      <w:tr w:rsidR="00B0114F" w:rsidRPr="007C4D65" w14:paraId="384597C9" w14:textId="77777777" w:rsidTr="00BC37DE">
        <w:trPr>
          <w:trHeight w:val="567"/>
          <w:jc w:val="center"/>
        </w:trPr>
        <w:tc>
          <w:tcPr>
            <w:tcW w:w="1379" w:type="pct"/>
            <w:shd w:val="clear" w:color="auto" w:fill="009D73"/>
            <w:vAlign w:val="center"/>
          </w:tcPr>
          <w:p w14:paraId="7EB500EA" w14:textId="77777777" w:rsidR="00B0114F" w:rsidRPr="007C4D65" w:rsidRDefault="00B0114F" w:rsidP="00B0114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Development effect and contribution of the measure to the implementation of the priorities </w:t>
            </w:r>
          </w:p>
        </w:tc>
        <w:tc>
          <w:tcPr>
            <w:tcW w:w="3621" w:type="pct"/>
            <w:gridSpan w:val="3"/>
            <w:shd w:val="clear" w:color="auto" w:fill="FFFFFF"/>
            <w:vAlign w:val="center"/>
          </w:tcPr>
          <w:p w14:paraId="00F0FDCF" w14:textId="3548A55A" w:rsidR="00B0114F" w:rsidRPr="007C4D65" w:rsidRDefault="00E66367" w:rsidP="00B0114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Improved access to data enables evidence-based and analysis-based </w:t>
            </w:r>
            <w:r w:rsidR="009F16BA" w:rsidRPr="007C4D65">
              <w:rPr>
                <w:rFonts w:asciiTheme="minorHAnsi" w:eastAsiaTheme="minorHAnsi" w:hAnsiTheme="minorHAnsi" w:cstheme="minorHAnsi"/>
                <w:sz w:val="18"/>
                <w:szCs w:val="18"/>
                <w:lang w:eastAsia="en-US" w:bidi="en-US"/>
              </w:rPr>
              <w:t>decision-making</w:t>
            </w:r>
            <w:r w:rsidRPr="007C4D65">
              <w:rPr>
                <w:rFonts w:asciiTheme="minorHAnsi" w:eastAsiaTheme="minorHAnsi" w:hAnsiTheme="minorHAnsi" w:cstheme="minorHAnsi"/>
                <w:sz w:val="18"/>
                <w:szCs w:val="18"/>
                <w:lang w:eastAsia="en-US" w:bidi="en-US"/>
              </w:rPr>
              <w:t xml:space="preserve"> in the future</w:t>
            </w:r>
          </w:p>
        </w:tc>
      </w:tr>
      <w:tr w:rsidR="00B0114F" w:rsidRPr="007C4D65" w14:paraId="01CDFD6E" w14:textId="77777777" w:rsidTr="00BC37DE">
        <w:trPr>
          <w:trHeight w:val="567"/>
          <w:jc w:val="center"/>
        </w:trPr>
        <w:tc>
          <w:tcPr>
            <w:tcW w:w="1379" w:type="pct"/>
            <w:shd w:val="clear" w:color="auto" w:fill="009D73"/>
            <w:vAlign w:val="center"/>
          </w:tcPr>
          <w:p w14:paraId="60DCCC97" w14:textId="6D2422AC" w:rsidR="00B0114F" w:rsidRPr="007C4D65" w:rsidRDefault="00963086" w:rsidP="00B0114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21" w:type="pct"/>
            <w:gridSpan w:val="3"/>
            <w:shd w:val="clear" w:color="auto" w:fill="FFFFFF"/>
            <w:vAlign w:val="center"/>
          </w:tcPr>
          <w:p w14:paraId="23A92A0A" w14:textId="66F4CAB8" w:rsidR="00E66367" w:rsidRPr="007C4D65" w:rsidRDefault="00E66367" w:rsidP="00E66367">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296,824</w:t>
            </w:r>
          </w:p>
          <w:p w14:paraId="11A1A89B" w14:textId="65F5E371" w:rsidR="00B0114F" w:rsidRPr="007C4D65" w:rsidRDefault="00E66367" w:rsidP="00E66367">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bidi="en-US"/>
              </w:rPr>
              <w:t xml:space="preserve">Source: </w:t>
            </w:r>
            <w:r w:rsidRPr="007C4D65">
              <w:rPr>
                <w:rFonts w:asciiTheme="minorHAnsi" w:hAnsiTheme="minorHAnsi" w:cstheme="minorHAnsi"/>
                <w:color w:val="000000" w:themeColor="text1"/>
                <w:sz w:val="18"/>
                <w:szCs w:val="18"/>
              </w:rPr>
              <w:t xml:space="preserve">10% </w:t>
            </w:r>
            <w:r w:rsidR="000E401F" w:rsidRPr="007C4D65">
              <w:rPr>
                <w:rFonts w:asciiTheme="minorHAnsi" w:hAnsiTheme="minorHAnsi" w:cstheme="minorHAnsi"/>
                <w:color w:val="000000" w:themeColor="text1"/>
                <w:sz w:val="18"/>
                <w:szCs w:val="18"/>
              </w:rPr>
              <w:t>government budget</w:t>
            </w:r>
            <w:r w:rsidRPr="007C4D65">
              <w:rPr>
                <w:rFonts w:asciiTheme="minorHAnsi" w:hAnsiTheme="minorHAnsi" w:cstheme="minorHAnsi"/>
                <w:color w:val="000000" w:themeColor="text1"/>
                <w:sz w:val="18"/>
                <w:szCs w:val="18"/>
              </w:rPr>
              <w:t>, 90% funds from EU and other international donors</w:t>
            </w:r>
          </w:p>
        </w:tc>
      </w:tr>
      <w:tr w:rsidR="00B0114F" w:rsidRPr="007C4D65" w14:paraId="184B1C37" w14:textId="77777777" w:rsidTr="00BC37DE">
        <w:trPr>
          <w:trHeight w:val="567"/>
          <w:jc w:val="center"/>
        </w:trPr>
        <w:tc>
          <w:tcPr>
            <w:tcW w:w="1379" w:type="pct"/>
            <w:shd w:val="clear" w:color="auto" w:fill="009D73"/>
            <w:vAlign w:val="center"/>
          </w:tcPr>
          <w:p w14:paraId="56802480" w14:textId="77777777" w:rsidR="00B0114F" w:rsidRPr="007C4D65" w:rsidRDefault="00B0114F" w:rsidP="00B0114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21" w:type="pct"/>
            <w:gridSpan w:val="3"/>
            <w:shd w:val="clear" w:color="auto" w:fill="FFFFFF"/>
            <w:vAlign w:val="center"/>
          </w:tcPr>
          <w:p w14:paraId="0D051D8B" w14:textId="77777777" w:rsidR="00B0114F" w:rsidRPr="007C4D65" w:rsidRDefault="00B0114F" w:rsidP="00B0114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2027 - 2030+</w:t>
            </w:r>
          </w:p>
        </w:tc>
      </w:tr>
      <w:tr w:rsidR="00B0114F" w:rsidRPr="007C4D65" w14:paraId="0CD916E2" w14:textId="77777777" w:rsidTr="00BC37DE">
        <w:trPr>
          <w:trHeight w:val="567"/>
          <w:jc w:val="center"/>
        </w:trPr>
        <w:tc>
          <w:tcPr>
            <w:tcW w:w="1379" w:type="pct"/>
            <w:shd w:val="clear" w:color="auto" w:fill="009D73"/>
            <w:vAlign w:val="center"/>
          </w:tcPr>
          <w:p w14:paraId="14861EBC" w14:textId="77777777" w:rsidR="00B0114F" w:rsidRPr="007C4D65" w:rsidRDefault="00B0114F" w:rsidP="00B0114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21" w:type="pct"/>
            <w:gridSpan w:val="3"/>
            <w:shd w:val="clear" w:color="auto" w:fill="FFFFFF"/>
            <w:vAlign w:val="center"/>
          </w:tcPr>
          <w:p w14:paraId="7855C0F9" w14:textId="77777777" w:rsidR="00B0114F" w:rsidRPr="007C4D65" w:rsidRDefault="00B0114F" w:rsidP="00B0114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B0114F" w:rsidRPr="007C4D65" w14:paraId="41046BA9" w14:textId="77777777" w:rsidTr="00BC37DE">
        <w:trPr>
          <w:trHeight w:val="567"/>
          <w:jc w:val="center"/>
        </w:trPr>
        <w:tc>
          <w:tcPr>
            <w:tcW w:w="1379" w:type="pct"/>
            <w:shd w:val="clear" w:color="auto" w:fill="009D73"/>
            <w:vAlign w:val="center"/>
          </w:tcPr>
          <w:p w14:paraId="7F4F8A7B" w14:textId="77777777" w:rsidR="00B0114F" w:rsidRPr="007C4D65" w:rsidRDefault="00B0114F" w:rsidP="00B0114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Implementing institutions </w:t>
            </w:r>
          </w:p>
        </w:tc>
        <w:tc>
          <w:tcPr>
            <w:tcW w:w="3621" w:type="pct"/>
            <w:gridSpan w:val="3"/>
            <w:shd w:val="clear" w:color="auto" w:fill="FFFFFF"/>
            <w:vAlign w:val="center"/>
          </w:tcPr>
          <w:p w14:paraId="29807B3C" w14:textId="77777777" w:rsidR="00B0114F" w:rsidRPr="007C4D65" w:rsidRDefault="00B0114F" w:rsidP="00B0114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EPF, monitoring institutions and organizations</w:t>
            </w:r>
          </w:p>
        </w:tc>
      </w:tr>
      <w:tr w:rsidR="00B0114F" w:rsidRPr="007C4D65" w14:paraId="1D7B6BCA" w14:textId="77777777" w:rsidTr="00BC37DE">
        <w:trPr>
          <w:trHeight w:val="567"/>
          <w:jc w:val="center"/>
        </w:trPr>
        <w:tc>
          <w:tcPr>
            <w:tcW w:w="1379" w:type="pct"/>
            <w:shd w:val="clear" w:color="auto" w:fill="009D73"/>
            <w:vAlign w:val="center"/>
          </w:tcPr>
          <w:p w14:paraId="61A31B71" w14:textId="70F3B86B" w:rsidR="00B0114F" w:rsidRPr="007C4D65" w:rsidRDefault="00963086" w:rsidP="00B0114F">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21" w:type="pct"/>
            <w:gridSpan w:val="3"/>
            <w:shd w:val="clear" w:color="auto" w:fill="FFFFFF"/>
            <w:vAlign w:val="center"/>
          </w:tcPr>
          <w:p w14:paraId="4960B137" w14:textId="77777777" w:rsidR="00B0114F" w:rsidRPr="007C4D65" w:rsidRDefault="00B0114F" w:rsidP="00B0114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Line and sectoral ministries, scientific institutions, non-governmental organizations</w:t>
            </w:r>
          </w:p>
        </w:tc>
      </w:tr>
    </w:tbl>
    <w:p w14:paraId="05DF301E" w14:textId="77777777" w:rsidR="00B0114F" w:rsidRPr="007C4D65" w:rsidRDefault="00B0114F" w:rsidP="00005022">
      <w:pPr>
        <w:spacing w:line="276" w:lineRule="auto"/>
        <w:rPr>
          <w:rFonts w:asciiTheme="minorHAnsi" w:eastAsiaTheme="minorHAnsi" w:hAnsiTheme="minorHAnsi" w:cstheme="minorHAnsi"/>
          <w:sz w:val="18"/>
          <w:szCs w:val="18"/>
          <w:lang w:eastAsia="en-US"/>
        </w:rPr>
      </w:pPr>
    </w:p>
    <w:p w14:paraId="662C46AC" w14:textId="77777777" w:rsidR="00B0114F" w:rsidRPr="007C4D65" w:rsidRDefault="00B0114F"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682"/>
        <w:gridCol w:w="2814"/>
        <w:gridCol w:w="3426"/>
        <w:gridCol w:w="3429"/>
      </w:tblGrid>
      <w:tr w:rsidR="00005022" w:rsidRPr="007C4D65" w14:paraId="7083EB63" w14:textId="77777777" w:rsidTr="00BC37DE">
        <w:trPr>
          <w:trHeight w:val="567"/>
          <w:jc w:val="center"/>
        </w:trPr>
        <w:tc>
          <w:tcPr>
            <w:tcW w:w="137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F7B6255" w14:textId="02DE0325"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2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B78488C" w14:textId="23995191"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4D1282" w:rsidRPr="007C4D65">
              <w:rPr>
                <w:rFonts w:asciiTheme="minorHAnsi" w:eastAsia="Calibri" w:hAnsiTheme="minorHAnsi" w:cstheme="minorHAnsi"/>
                <w:b/>
                <w:bCs/>
                <w:sz w:val="18"/>
                <w:szCs w:val="18"/>
                <w:lang w:eastAsia="en-US"/>
              </w:rPr>
              <w:t>Maintaining and improving biodiversity and protecting ecosystems</w:t>
            </w:r>
          </w:p>
        </w:tc>
      </w:tr>
      <w:tr w:rsidR="00005022" w:rsidRPr="007C4D65" w14:paraId="57DC8420" w14:textId="77777777" w:rsidTr="00BC37DE">
        <w:trPr>
          <w:trHeight w:val="567"/>
          <w:jc w:val="center"/>
        </w:trPr>
        <w:tc>
          <w:tcPr>
            <w:tcW w:w="137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FEA2E9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2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6098FC0" w14:textId="3DAF624D" w:rsidR="00005022" w:rsidRPr="007C4D65" w:rsidRDefault="00005022" w:rsidP="00005022">
            <w:pPr>
              <w:spacing w:before="40" w:after="40" w:line="276" w:lineRule="auto"/>
              <w:rPr>
                <w:rFonts w:asciiTheme="minorHAnsi" w:hAnsiTheme="minorHAnsi" w:cstheme="minorHAnsi"/>
                <w:b/>
                <w:bCs/>
                <w:sz w:val="18"/>
                <w:szCs w:val="18"/>
                <w:lang w:eastAsia="zh-TW"/>
              </w:rPr>
            </w:pPr>
            <w:bookmarkStart w:id="269" w:name="_Hlk94617185"/>
            <w:r w:rsidRPr="007C4D65">
              <w:rPr>
                <w:rFonts w:asciiTheme="minorHAnsi" w:hAnsiTheme="minorHAnsi" w:cstheme="minorHAnsi"/>
                <w:b/>
                <w:bCs/>
                <w:sz w:val="18"/>
                <w:szCs w:val="18"/>
                <w:lang w:eastAsia="zh-TW"/>
              </w:rPr>
              <w:t>3.</w:t>
            </w:r>
            <w:r w:rsidR="00D353F9" w:rsidRPr="007C4D65">
              <w:rPr>
                <w:rFonts w:asciiTheme="minorHAnsi" w:hAnsiTheme="minorHAnsi" w:cstheme="minorHAnsi"/>
                <w:b/>
                <w:bCs/>
                <w:sz w:val="18"/>
                <w:szCs w:val="18"/>
                <w:lang w:eastAsia="zh-TW"/>
              </w:rPr>
              <w:t>4</w:t>
            </w:r>
            <w:r w:rsidRPr="007C4D65">
              <w:rPr>
                <w:rFonts w:asciiTheme="minorHAnsi" w:hAnsiTheme="minorHAnsi" w:cstheme="minorHAnsi"/>
                <w:b/>
                <w:bCs/>
                <w:sz w:val="18"/>
                <w:szCs w:val="18"/>
                <w:lang w:eastAsia="zh-TW"/>
              </w:rPr>
              <w:t xml:space="preserve"> </w:t>
            </w:r>
            <w:r w:rsidR="004D1282" w:rsidRPr="007C4D65">
              <w:rPr>
                <w:rFonts w:asciiTheme="minorHAnsi" w:hAnsiTheme="minorHAnsi" w:cstheme="minorHAnsi"/>
                <w:b/>
                <w:bCs/>
                <w:sz w:val="18"/>
                <w:szCs w:val="18"/>
                <w:lang w:eastAsia="zh-TW"/>
              </w:rPr>
              <w:t>Initiate</w:t>
            </w:r>
            <w:r w:rsidRPr="007C4D65">
              <w:rPr>
                <w:rFonts w:asciiTheme="minorHAnsi" w:hAnsiTheme="minorHAnsi" w:cstheme="minorHAnsi"/>
                <w:b/>
                <w:bCs/>
                <w:sz w:val="18"/>
                <w:szCs w:val="18"/>
                <w:lang w:eastAsia="zh-TW"/>
              </w:rPr>
              <w:t xml:space="preserve"> </w:t>
            </w:r>
            <w:r w:rsidR="00B02929" w:rsidRPr="007C4D65">
              <w:rPr>
                <w:rFonts w:asciiTheme="minorHAnsi" w:hAnsiTheme="minorHAnsi" w:cstheme="minorHAnsi"/>
                <w:b/>
                <w:bCs/>
                <w:sz w:val="18"/>
                <w:szCs w:val="18"/>
                <w:lang w:eastAsia="zh-TW"/>
              </w:rPr>
              <w:t>monitoring of the state and protection of the biodiversity/nature</w:t>
            </w:r>
            <w:r w:rsidRPr="007C4D65">
              <w:rPr>
                <w:rFonts w:asciiTheme="minorHAnsi" w:hAnsiTheme="minorHAnsi" w:cstheme="minorHAnsi"/>
                <w:b/>
                <w:bCs/>
                <w:sz w:val="18"/>
                <w:szCs w:val="18"/>
                <w:lang w:eastAsia="zh-TW"/>
              </w:rPr>
              <w:t xml:space="preserve"> in the </w:t>
            </w:r>
            <w:r w:rsidR="004D1282" w:rsidRPr="007C4D65">
              <w:rPr>
                <w:rFonts w:asciiTheme="minorHAnsi" w:hAnsiTheme="minorHAnsi" w:cstheme="minorHAnsi"/>
                <w:b/>
                <w:bCs/>
                <w:sz w:val="18"/>
                <w:szCs w:val="18"/>
                <w:lang w:eastAsia="zh-TW"/>
              </w:rPr>
              <w:t>Federation of BiH</w:t>
            </w:r>
            <w:r w:rsidRPr="007C4D65">
              <w:rPr>
                <w:rFonts w:asciiTheme="minorHAnsi" w:hAnsiTheme="minorHAnsi" w:cstheme="minorHAnsi"/>
                <w:b/>
                <w:bCs/>
                <w:sz w:val="18"/>
                <w:szCs w:val="18"/>
                <w:lang w:eastAsia="zh-TW"/>
              </w:rPr>
              <w:t xml:space="preserve"> </w:t>
            </w:r>
            <w:bookmarkEnd w:id="269"/>
            <w:r w:rsidR="00B02929" w:rsidRPr="007C4D65">
              <w:rPr>
                <w:rFonts w:asciiTheme="minorHAnsi" w:hAnsiTheme="minorHAnsi" w:cstheme="minorHAnsi"/>
                <w:b/>
                <w:bCs/>
                <w:sz w:val="18"/>
                <w:szCs w:val="18"/>
                <w:lang w:eastAsia="zh-TW"/>
              </w:rPr>
              <w:t>in compliance with the standards of the EU acquis and international agreements</w:t>
            </w:r>
          </w:p>
        </w:tc>
      </w:tr>
      <w:tr w:rsidR="00005022" w:rsidRPr="007C4D65" w14:paraId="49EE996A" w14:textId="77777777" w:rsidTr="00BC37DE">
        <w:trPr>
          <w:trHeight w:val="567"/>
          <w:jc w:val="center"/>
        </w:trPr>
        <w:tc>
          <w:tcPr>
            <w:tcW w:w="137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1C5B57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bookmarkStart w:id="270" w:name="_Hlk94617290"/>
            <w:r w:rsidRPr="007C4D65">
              <w:rPr>
                <w:rFonts w:asciiTheme="minorHAnsi" w:eastAsiaTheme="minorHAnsi" w:hAnsiTheme="minorHAnsi" w:cstheme="minorHAnsi"/>
                <w:b/>
                <w:bCs/>
                <w:color w:val="FFFFFF" w:themeColor="background1"/>
                <w:sz w:val="18"/>
                <w:szCs w:val="18"/>
                <w:lang w:eastAsia="en-US" w:bidi="en-US"/>
              </w:rPr>
              <w:lastRenderedPageBreak/>
              <w:t>Name of the measure</w:t>
            </w:r>
          </w:p>
        </w:tc>
        <w:tc>
          <w:tcPr>
            <w:tcW w:w="362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8D04B89" w14:textId="70F91C7B" w:rsidR="00005022" w:rsidRPr="007C4D65" w:rsidRDefault="00005022" w:rsidP="00005022">
            <w:pPr>
              <w:spacing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3.</w:t>
            </w:r>
            <w:r w:rsidR="00D353F9" w:rsidRPr="007C4D65">
              <w:rPr>
                <w:rFonts w:asciiTheme="minorHAnsi" w:eastAsia="Calibri" w:hAnsiTheme="minorHAnsi" w:cstheme="minorHAnsi"/>
                <w:b/>
                <w:bCs/>
                <w:sz w:val="18"/>
                <w:szCs w:val="18"/>
                <w:lang w:eastAsia="en-US"/>
              </w:rPr>
              <w:t>4.1</w:t>
            </w:r>
            <w:r w:rsidRPr="007C4D65">
              <w:rPr>
                <w:rFonts w:asciiTheme="minorHAnsi" w:eastAsia="Calibri" w:hAnsiTheme="minorHAnsi" w:cstheme="minorHAnsi"/>
                <w:b/>
                <w:bCs/>
                <w:sz w:val="18"/>
                <w:szCs w:val="18"/>
                <w:lang w:eastAsia="en-US"/>
              </w:rPr>
              <w:t xml:space="preserve"> Establish a system for monitoring species from the Red List, species and habitats of interest to the Community in the F</w:t>
            </w:r>
            <w:r w:rsidR="00D353F9" w:rsidRPr="007C4D65">
              <w:rPr>
                <w:rFonts w:asciiTheme="minorHAnsi" w:eastAsia="Calibri" w:hAnsiTheme="minorHAnsi" w:cstheme="minorHAnsi"/>
                <w:b/>
                <w:bCs/>
                <w:sz w:val="18"/>
                <w:szCs w:val="18"/>
                <w:lang w:eastAsia="en-US"/>
              </w:rPr>
              <w:t>ederation of BiH</w:t>
            </w:r>
            <w:r w:rsidRPr="007C4D65">
              <w:rPr>
                <w:rFonts w:asciiTheme="minorHAnsi" w:eastAsia="Calibri" w:hAnsiTheme="minorHAnsi" w:cstheme="minorHAnsi"/>
                <w:b/>
                <w:bCs/>
                <w:sz w:val="18"/>
                <w:szCs w:val="18"/>
                <w:lang w:eastAsia="en-US"/>
              </w:rPr>
              <w:t xml:space="preserve"> and specific FBiH ecosystems (canyons, mountain, high mountain, wetland and karst ecosystems)</w:t>
            </w:r>
            <w:r w:rsidR="00D353F9" w:rsidRPr="007C4D65">
              <w:rPr>
                <w:rFonts w:asciiTheme="minorHAnsi" w:eastAsia="Calibri" w:hAnsiTheme="minorHAnsi" w:cstheme="minorHAnsi"/>
                <w:b/>
                <w:bCs/>
                <w:sz w:val="18"/>
                <w:szCs w:val="18"/>
                <w:lang w:eastAsia="en-US"/>
              </w:rPr>
              <w:t xml:space="preserve"> through activities of professional and scientific institutions</w:t>
            </w:r>
          </w:p>
        </w:tc>
      </w:tr>
      <w:bookmarkEnd w:id="270"/>
      <w:tr w:rsidR="00005022" w:rsidRPr="007C4D65" w14:paraId="3232A596" w14:textId="77777777" w:rsidTr="00BC37DE">
        <w:trPr>
          <w:trHeight w:val="567"/>
          <w:jc w:val="center"/>
        </w:trPr>
        <w:tc>
          <w:tcPr>
            <w:tcW w:w="137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1805EC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2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4C01DDC" w14:textId="71A723C4"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to develop professional and scientific capacities for targeted, standardized and regular monitoring of </w:t>
            </w:r>
            <w:r w:rsidR="00D353F9" w:rsidRPr="007C4D65">
              <w:rPr>
                <w:rFonts w:asciiTheme="minorHAnsi" w:eastAsia="Calibri" w:hAnsiTheme="minorHAnsi" w:cstheme="minorHAnsi"/>
                <w:sz w:val="18"/>
                <w:szCs w:val="18"/>
                <w:lang w:eastAsia="en-US"/>
              </w:rPr>
              <w:t>a variety</w:t>
            </w:r>
            <w:r w:rsidRPr="007C4D65">
              <w:rPr>
                <w:rFonts w:asciiTheme="minorHAnsi" w:eastAsia="Calibri" w:hAnsiTheme="minorHAnsi" w:cstheme="minorHAnsi"/>
                <w:sz w:val="18"/>
                <w:szCs w:val="18"/>
                <w:lang w:eastAsia="en-US"/>
              </w:rPr>
              <w:t xml:space="preserve"> of species, habitats and areas, as well as capacities for </w:t>
            </w:r>
            <w:r w:rsidR="00D353F9"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preparation, flow and processing of biological and environmental information.</w:t>
            </w:r>
          </w:p>
          <w:p w14:paraId="29462B2F" w14:textId="431849B3"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General</w:t>
            </w:r>
            <w:r w:rsidR="00971FDB" w:rsidRPr="007C4D65">
              <w:rPr>
                <w:rFonts w:asciiTheme="minorHAnsi" w:eastAsia="Calibri" w:hAnsiTheme="minorHAnsi" w:cstheme="minorHAnsi"/>
                <w:sz w:val="18"/>
                <w:szCs w:val="18"/>
                <w:lang w:eastAsia="en-US"/>
              </w:rPr>
              <w:t xml:space="preserve"> area</w:t>
            </w:r>
            <w:r w:rsidRPr="007C4D65">
              <w:rPr>
                <w:rFonts w:asciiTheme="minorHAnsi" w:eastAsia="Calibri" w:hAnsiTheme="minorHAnsi" w:cstheme="minorHAnsi"/>
                <w:sz w:val="18"/>
                <w:szCs w:val="18"/>
                <w:lang w:eastAsia="en-US"/>
              </w:rPr>
              <w:t>s</w:t>
            </w:r>
            <w:r w:rsidR="00971FDB" w:rsidRPr="007C4D65">
              <w:rPr>
                <w:rFonts w:asciiTheme="minorHAnsi" w:eastAsia="Calibri" w:hAnsiTheme="minorHAnsi" w:cstheme="minorHAnsi"/>
                <w:sz w:val="18"/>
                <w:szCs w:val="18"/>
                <w:lang w:eastAsia="en-US"/>
              </w:rPr>
              <w:t xml:space="preserve"> of intervention include</w:t>
            </w:r>
            <w:r w:rsidR="00005022" w:rsidRPr="007C4D65">
              <w:rPr>
                <w:rFonts w:asciiTheme="minorHAnsi" w:eastAsia="Calibri" w:hAnsiTheme="minorHAnsi" w:cstheme="minorHAnsi"/>
                <w:sz w:val="18"/>
                <w:szCs w:val="18"/>
                <w:lang w:eastAsia="en-US"/>
              </w:rPr>
              <w:t>:</w:t>
            </w:r>
          </w:p>
          <w:p w14:paraId="03F36EA3" w14:textId="3EFC45BD" w:rsidR="00005022" w:rsidRPr="007C4D65" w:rsidRDefault="00005022" w:rsidP="00005022">
            <w:pPr>
              <w:numPr>
                <w:ilvl w:val="0"/>
                <w:numId w:val="20"/>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Prepare an assessment </w:t>
            </w:r>
            <w:r w:rsidR="00D353F9" w:rsidRPr="007C4D65">
              <w:rPr>
                <w:rFonts w:asciiTheme="minorHAnsi" w:eastAsia="Calibri" w:hAnsiTheme="minorHAnsi" w:cstheme="minorHAnsi"/>
                <w:sz w:val="18"/>
                <w:szCs w:val="18"/>
                <w:lang w:eastAsia="en-US"/>
              </w:rPr>
              <w:t>of capacities</w:t>
            </w:r>
            <w:r w:rsidRPr="007C4D65">
              <w:rPr>
                <w:rFonts w:asciiTheme="minorHAnsi" w:eastAsia="Calibri" w:hAnsiTheme="minorHAnsi" w:cstheme="minorHAnsi"/>
                <w:sz w:val="18"/>
                <w:szCs w:val="18"/>
                <w:lang w:eastAsia="en-US"/>
              </w:rPr>
              <w:t xml:space="preserve"> of scientific institutions, organizations and associations with</w:t>
            </w:r>
            <w:r w:rsidR="00D353F9" w:rsidRPr="007C4D65">
              <w:rPr>
                <w:rFonts w:asciiTheme="minorHAnsi" w:eastAsia="Calibri" w:hAnsiTheme="minorHAnsi" w:cstheme="minorHAnsi"/>
                <w:sz w:val="18"/>
                <w:szCs w:val="18"/>
                <w:lang w:eastAsia="en-US"/>
              </w:rPr>
              <w:t xml:space="preserve"> a</w:t>
            </w:r>
            <w:r w:rsidRPr="007C4D65">
              <w:rPr>
                <w:rFonts w:asciiTheme="minorHAnsi" w:eastAsia="Calibri" w:hAnsiTheme="minorHAnsi" w:cstheme="minorHAnsi"/>
                <w:sz w:val="18"/>
                <w:szCs w:val="18"/>
                <w:lang w:eastAsia="en-US"/>
              </w:rPr>
              <w:t xml:space="preserve"> capacity for regular </w:t>
            </w:r>
            <w:proofErr w:type="gramStart"/>
            <w:r w:rsidRPr="007C4D65">
              <w:rPr>
                <w:rFonts w:asciiTheme="minorHAnsi" w:eastAsia="Calibri" w:hAnsiTheme="minorHAnsi" w:cstheme="minorHAnsi"/>
                <w:sz w:val="18"/>
                <w:szCs w:val="18"/>
                <w:lang w:eastAsia="en-US"/>
              </w:rPr>
              <w:t>monitoring</w:t>
            </w:r>
            <w:r w:rsidR="00B30020" w:rsidRPr="007C4D65">
              <w:rPr>
                <w:rFonts w:asciiTheme="minorHAnsi" w:eastAsia="Calibri" w:hAnsiTheme="minorHAnsi" w:cstheme="minorHAnsi"/>
                <w:sz w:val="18"/>
                <w:szCs w:val="18"/>
                <w:lang w:eastAsia="en-US"/>
              </w:rPr>
              <w:t>;</w:t>
            </w:r>
            <w:proofErr w:type="gramEnd"/>
          </w:p>
          <w:p w14:paraId="2CE81E69" w14:textId="6F0C278B" w:rsidR="00005022" w:rsidRPr="007C4D65" w:rsidRDefault="00005022" w:rsidP="00005022">
            <w:pPr>
              <w:numPr>
                <w:ilvl w:val="0"/>
                <w:numId w:val="20"/>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In cooperation with the Environmental Protection Fund</w:t>
            </w:r>
            <w:r w:rsidR="00D353F9" w:rsidRPr="007C4D65">
              <w:rPr>
                <w:rFonts w:asciiTheme="minorHAnsi" w:eastAsia="Calibri" w:hAnsiTheme="minorHAnsi" w:cstheme="minorHAnsi"/>
                <w:sz w:val="18"/>
                <w:szCs w:val="18"/>
                <w:lang w:eastAsia="en-US"/>
              </w:rPr>
              <w:t xml:space="preserve"> of the Federation of BiH</w:t>
            </w:r>
            <w:r w:rsidRPr="007C4D65">
              <w:rPr>
                <w:rFonts w:asciiTheme="minorHAnsi" w:eastAsia="Calibri" w:hAnsiTheme="minorHAnsi" w:cstheme="minorHAnsi"/>
                <w:sz w:val="18"/>
                <w:szCs w:val="18"/>
                <w:lang w:eastAsia="en-US"/>
              </w:rPr>
              <w:t xml:space="preserve">, prepare a program for the development of regular monitoring </w:t>
            </w:r>
            <w:proofErr w:type="gramStart"/>
            <w:r w:rsidRPr="007C4D65">
              <w:rPr>
                <w:rFonts w:asciiTheme="minorHAnsi" w:eastAsia="Calibri" w:hAnsiTheme="minorHAnsi" w:cstheme="minorHAnsi"/>
                <w:sz w:val="18"/>
                <w:szCs w:val="18"/>
                <w:lang w:eastAsia="en-US"/>
              </w:rPr>
              <w:t>systems</w:t>
            </w:r>
            <w:r w:rsidR="00B30020" w:rsidRPr="007C4D65">
              <w:rPr>
                <w:rFonts w:asciiTheme="minorHAnsi" w:eastAsia="Calibri" w:hAnsiTheme="minorHAnsi" w:cstheme="minorHAnsi"/>
                <w:sz w:val="18"/>
                <w:szCs w:val="18"/>
                <w:lang w:eastAsia="en-US"/>
              </w:rPr>
              <w:t>;</w:t>
            </w:r>
            <w:proofErr w:type="gramEnd"/>
          </w:p>
          <w:p w14:paraId="5FE368A7" w14:textId="4055EF11" w:rsidR="00005022" w:rsidRPr="007C4D65" w:rsidRDefault="00005022" w:rsidP="00005022">
            <w:pPr>
              <w:numPr>
                <w:ilvl w:val="0"/>
                <w:numId w:val="20"/>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In cooperation with the Environmental Protection Fund, conduct training for standardized reporting on regular monitoring of protected and strictly protected species, species of interest for the Community, habitats referred to in Annex I of the Habitats Directive and specific ecosystems</w:t>
            </w:r>
            <w:r w:rsidR="00D353F9" w:rsidRPr="007C4D65">
              <w:rPr>
                <w:rFonts w:asciiTheme="minorHAnsi" w:eastAsia="Calibri" w:hAnsiTheme="minorHAnsi" w:cstheme="minorHAnsi"/>
                <w:sz w:val="18"/>
                <w:szCs w:val="18"/>
                <w:lang w:eastAsia="en-US"/>
              </w:rPr>
              <w:t xml:space="preserve"> of the Federation of BiH</w:t>
            </w:r>
            <w:r w:rsidR="00B30020" w:rsidRPr="007C4D65">
              <w:rPr>
                <w:rFonts w:asciiTheme="minorHAnsi" w:eastAsia="Calibri" w:hAnsiTheme="minorHAnsi" w:cstheme="minorHAnsi"/>
                <w:sz w:val="18"/>
                <w:szCs w:val="18"/>
                <w:lang w:eastAsia="en-US"/>
              </w:rPr>
              <w:t>.</w:t>
            </w:r>
          </w:p>
        </w:tc>
      </w:tr>
      <w:tr w:rsidR="00005022" w:rsidRPr="007C4D65" w14:paraId="5F55DE3B" w14:textId="77777777" w:rsidTr="00BC37DE">
        <w:trPr>
          <w:trHeight w:val="567"/>
          <w:jc w:val="center"/>
        </w:trPr>
        <w:tc>
          <w:tcPr>
            <w:tcW w:w="137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C0739F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2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C46B336"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125C164A" w14:textId="77777777" w:rsidTr="00BC37DE">
        <w:trPr>
          <w:trHeight w:val="567"/>
          <w:jc w:val="center"/>
        </w:trPr>
        <w:tc>
          <w:tcPr>
            <w:tcW w:w="137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7C3B5F70"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054"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CC93C02"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1F0FD6FF"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DB7A5F1"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4965D5F5"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2CDF5D0"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1401C941" w14:textId="77777777" w:rsidTr="00BC37DE">
        <w:trPr>
          <w:trHeight w:val="567"/>
          <w:jc w:val="center"/>
        </w:trPr>
        <w:tc>
          <w:tcPr>
            <w:tcW w:w="137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71CFD3AC"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4"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CF84F91" w14:textId="77777777" w:rsidR="00005022" w:rsidRPr="007C4D65" w:rsidRDefault="00005022" w:rsidP="00005022">
            <w:pPr>
              <w:numPr>
                <w:ilvl w:val="0"/>
                <w:numId w:val="21"/>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Number of species and habitats under constant monitoring</w:t>
            </w:r>
          </w:p>
          <w:p w14:paraId="6D113EAC" w14:textId="77777777" w:rsidR="00005022" w:rsidRPr="007C4D65" w:rsidRDefault="00005022" w:rsidP="00005022">
            <w:pPr>
              <w:numPr>
                <w:ilvl w:val="0"/>
                <w:numId w:val="21"/>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Number of areas under constant monitoring</w:t>
            </w:r>
          </w:p>
        </w:tc>
        <w:tc>
          <w:tcPr>
            <w:tcW w:w="128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99E33E3" w14:textId="3BC1247C" w:rsidR="00005022" w:rsidRPr="007C4D65" w:rsidRDefault="00D353F9"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Capacities for t</w:t>
            </w:r>
            <w:r w:rsidR="00005022" w:rsidRPr="007C4D65">
              <w:rPr>
                <w:rFonts w:asciiTheme="minorHAnsi" w:eastAsiaTheme="minorHAnsi" w:hAnsiTheme="minorHAnsi" w:cstheme="minorHAnsi"/>
                <w:sz w:val="18"/>
                <w:szCs w:val="18"/>
                <w:lang w:eastAsia="en-US" w:bidi="en-US"/>
              </w:rPr>
              <w:t>argeted monitoring have not been developed and/or are not functional</w:t>
            </w:r>
          </w:p>
        </w:tc>
        <w:tc>
          <w:tcPr>
            <w:tcW w:w="1284"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539586A"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Efficient system for monitoring the status of species, habitats and areas (2025)</w:t>
            </w:r>
          </w:p>
        </w:tc>
      </w:tr>
      <w:tr w:rsidR="00005022" w:rsidRPr="007C4D65" w14:paraId="78A1B1E8" w14:textId="77777777" w:rsidTr="00BC37DE">
        <w:trPr>
          <w:trHeight w:val="567"/>
          <w:jc w:val="center"/>
        </w:trPr>
        <w:tc>
          <w:tcPr>
            <w:tcW w:w="137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39287E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implementation of the priorities</w:t>
            </w:r>
          </w:p>
        </w:tc>
        <w:tc>
          <w:tcPr>
            <w:tcW w:w="362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775433F" w14:textId="38CE8C4B" w:rsidR="00005022" w:rsidRPr="007C4D65" w:rsidRDefault="00D353F9"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Improvement of the nature conservation</w:t>
            </w:r>
          </w:p>
        </w:tc>
      </w:tr>
      <w:tr w:rsidR="00005022" w:rsidRPr="007C4D65" w14:paraId="44661FD9" w14:textId="77777777" w:rsidTr="00BC37DE">
        <w:trPr>
          <w:trHeight w:val="567"/>
          <w:jc w:val="center"/>
        </w:trPr>
        <w:tc>
          <w:tcPr>
            <w:tcW w:w="137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E33124E" w14:textId="7436E768"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2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AA9CAC6" w14:textId="13F07B1F" w:rsidR="00D353F9" w:rsidRPr="007C4D65" w:rsidRDefault="00D353F9" w:rsidP="00D353F9">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1,621,079</w:t>
            </w:r>
          </w:p>
          <w:p w14:paraId="38523272" w14:textId="586D306D" w:rsidR="00005022" w:rsidRPr="007C4D65" w:rsidRDefault="009E6B20" w:rsidP="00D353F9">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w:t>
            </w:r>
            <w:r w:rsidR="00D353F9" w:rsidRPr="007C4D65">
              <w:rPr>
                <w:rFonts w:asciiTheme="minorHAnsi" w:hAnsiTheme="minorHAnsi" w:cstheme="minorHAnsi"/>
                <w:color w:val="000000" w:themeColor="text1"/>
                <w:sz w:val="18"/>
                <w:szCs w:val="18"/>
              </w:rPr>
              <w:t xml:space="preserve"> 20% </w:t>
            </w:r>
            <w:r w:rsidR="000E401F" w:rsidRPr="007C4D65">
              <w:rPr>
                <w:rFonts w:asciiTheme="minorHAnsi" w:hAnsiTheme="minorHAnsi" w:cstheme="minorHAnsi"/>
                <w:color w:val="000000" w:themeColor="text1"/>
                <w:sz w:val="18"/>
                <w:szCs w:val="18"/>
              </w:rPr>
              <w:t>government budget</w:t>
            </w:r>
            <w:r w:rsidR="00D353F9" w:rsidRPr="007C4D65">
              <w:rPr>
                <w:rFonts w:asciiTheme="minorHAnsi" w:hAnsiTheme="minorHAnsi" w:cstheme="minorHAnsi"/>
                <w:color w:val="000000" w:themeColor="text1"/>
                <w:sz w:val="18"/>
                <w:szCs w:val="18"/>
              </w:rPr>
              <w:t>, 80% funds from EU and other international donors</w:t>
            </w:r>
          </w:p>
        </w:tc>
      </w:tr>
      <w:tr w:rsidR="00005022" w:rsidRPr="007C4D65" w14:paraId="6EB513B6" w14:textId="77777777" w:rsidTr="00BC37DE">
        <w:trPr>
          <w:trHeight w:val="567"/>
          <w:jc w:val="center"/>
        </w:trPr>
        <w:tc>
          <w:tcPr>
            <w:tcW w:w="137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CE098E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2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F56C449"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2025 – 2029</w:t>
            </w:r>
          </w:p>
        </w:tc>
      </w:tr>
      <w:tr w:rsidR="00005022" w:rsidRPr="007C4D65" w14:paraId="083A3D0F" w14:textId="77777777" w:rsidTr="00BC37DE">
        <w:trPr>
          <w:trHeight w:val="567"/>
          <w:jc w:val="center"/>
        </w:trPr>
        <w:tc>
          <w:tcPr>
            <w:tcW w:w="137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3C21C3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2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8C21206"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0CB1629F" w14:textId="77777777" w:rsidTr="00BC37DE">
        <w:trPr>
          <w:trHeight w:val="567"/>
          <w:jc w:val="center"/>
        </w:trPr>
        <w:tc>
          <w:tcPr>
            <w:tcW w:w="137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D4529D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 xml:space="preserve">Implementing institutions </w:t>
            </w:r>
          </w:p>
        </w:tc>
        <w:tc>
          <w:tcPr>
            <w:tcW w:w="362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163CCB8"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EPF, scientific institutions, non-governmental organizations</w:t>
            </w:r>
          </w:p>
        </w:tc>
      </w:tr>
      <w:tr w:rsidR="00005022" w:rsidRPr="007C4D65" w14:paraId="193B7804" w14:textId="77777777" w:rsidTr="00BC37DE">
        <w:trPr>
          <w:trHeight w:val="567"/>
          <w:jc w:val="center"/>
        </w:trPr>
        <w:tc>
          <w:tcPr>
            <w:tcW w:w="137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C2134F2" w14:textId="2A17085F"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2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0F8F0D1" w14:textId="00A825CE"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Federation sectoral ministries, </w:t>
            </w:r>
            <w:r w:rsidR="00D353F9"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line and sectoral ministries, professional institutions, scientific institutions, non-governmental organizations</w:t>
            </w:r>
          </w:p>
        </w:tc>
      </w:tr>
    </w:tbl>
    <w:p w14:paraId="1977EF1F"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2"/>
        <w:gridCol w:w="2814"/>
        <w:gridCol w:w="3426"/>
        <w:gridCol w:w="3429"/>
      </w:tblGrid>
      <w:tr w:rsidR="00005022" w:rsidRPr="007C4D65" w14:paraId="19133FD4" w14:textId="77777777" w:rsidTr="00BC37DE">
        <w:trPr>
          <w:trHeight w:val="567"/>
          <w:jc w:val="center"/>
        </w:trPr>
        <w:tc>
          <w:tcPr>
            <w:tcW w:w="1379" w:type="pct"/>
            <w:shd w:val="clear" w:color="auto" w:fill="009D73"/>
            <w:vAlign w:val="center"/>
          </w:tcPr>
          <w:p w14:paraId="291D3E8C" w14:textId="0B246EB4"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21" w:type="pct"/>
            <w:gridSpan w:val="3"/>
            <w:shd w:val="clear" w:color="auto" w:fill="FFFFFF"/>
            <w:vAlign w:val="center"/>
          </w:tcPr>
          <w:p w14:paraId="61F542DF" w14:textId="240FD1DF"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D353F9" w:rsidRPr="007C4D65">
              <w:rPr>
                <w:rFonts w:asciiTheme="minorHAnsi" w:eastAsia="Calibri" w:hAnsiTheme="minorHAnsi" w:cstheme="minorHAnsi"/>
                <w:b/>
                <w:bCs/>
                <w:sz w:val="18"/>
                <w:szCs w:val="18"/>
                <w:lang w:eastAsia="en-US"/>
              </w:rPr>
              <w:t>Maintaining and improving biodiversity and protecting ecosystems</w:t>
            </w:r>
          </w:p>
        </w:tc>
      </w:tr>
      <w:tr w:rsidR="00005022" w:rsidRPr="007C4D65" w14:paraId="0D35D87F" w14:textId="77777777" w:rsidTr="00BC37DE">
        <w:trPr>
          <w:trHeight w:val="567"/>
          <w:jc w:val="center"/>
        </w:trPr>
        <w:tc>
          <w:tcPr>
            <w:tcW w:w="1379" w:type="pct"/>
            <w:shd w:val="clear" w:color="auto" w:fill="009D73"/>
            <w:vAlign w:val="center"/>
          </w:tcPr>
          <w:p w14:paraId="12846130"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21" w:type="pct"/>
            <w:gridSpan w:val="3"/>
            <w:shd w:val="clear" w:color="auto" w:fill="FFFFFF"/>
            <w:vAlign w:val="center"/>
          </w:tcPr>
          <w:p w14:paraId="7B91389D" w14:textId="7B6DA8EA" w:rsidR="00005022" w:rsidRPr="007C4D65" w:rsidRDefault="00005022" w:rsidP="00005022">
            <w:pPr>
              <w:spacing w:before="40" w:after="40" w:line="276" w:lineRule="auto"/>
              <w:rPr>
                <w:rFonts w:asciiTheme="minorHAnsi" w:hAnsiTheme="minorHAnsi" w:cstheme="minorHAnsi"/>
                <w:b/>
                <w:bCs/>
                <w:color w:val="FF0000"/>
                <w:sz w:val="18"/>
                <w:szCs w:val="18"/>
                <w:lang w:eastAsia="zh-TW"/>
              </w:rPr>
            </w:pPr>
            <w:r w:rsidRPr="007C4D65">
              <w:rPr>
                <w:rFonts w:asciiTheme="minorHAnsi" w:hAnsiTheme="minorHAnsi" w:cstheme="minorHAnsi"/>
                <w:b/>
                <w:bCs/>
                <w:sz w:val="18"/>
                <w:szCs w:val="18"/>
                <w:lang w:eastAsia="zh-TW"/>
              </w:rPr>
              <w:t xml:space="preserve">3.4 </w:t>
            </w:r>
            <w:r w:rsidR="00D67C85" w:rsidRPr="007C4D65">
              <w:rPr>
                <w:rFonts w:asciiTheme="minorHAnsi" w:hAnsiTheme="minorHAnsi" w:cstheme="minorHAnsi"/>
                <w:b/>
                <w:bCs/>
                <w:sz w:val="18"/>
                <w:szCs w:val="18"/>
                <w:lang w:eastAsia="zh-TW"/>
              </w:rPr>
              <w:t>Initiate monitoring of the state and biodiversity/nature conservation in the Federation of BiH in compliance with the standards of the EU acquis</w:t>
            </w:r>
          </w:p>
        </w:tc>
      </w:tr>
      <w:tr w:rsidR="00005022" w:rsidRPr="007C4D65" w14:paraId="4F5B776F" w14:textId="77777777" w:rsidTr="00BC37DE">
        <w:trPr>
          <w:trHeight w:val="567"/>
          <w:jc w:val="center"/>
        </w:trPr>
        <w:tc>
          <w:tcPr>
            <w:tcW w:w="1379" w:type="pct"/>
            <w:shd w:val="clear" w:color="auto" w:fill="009D73"/>
            <w:vAlign w:val="center"/>
          </w:tcPr>
          <w:p w14:paraId="65BF448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bookmarkStart w:id="271" w:name="_Hlk94618104"/>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21" w:type="pct"/>
            <w:gridSpan w:val="3"/>
            <w:shd w:val="clear" w:color="auto" w:fill="FFFFFF"/>
            <w:vAlign w:val="center"/>
          </w:tcPr>
          <w:p w14:paraId="75B5827A" w14:textId="1021BF7C" w:rsidR="00005022" w:rsidRPr="007C4D65" w:rsidRDefault="00005022" w:rsidP="00005022">
            <w:pPr>
              <w:spacing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3.4.2 Provide support to non-governmental organizations registered </w:t>
            </w:r>
            <w:r w:rsidR="00067BF9" w:rsidRPr="007C4D65">
              <w:rPr>
                <w:rFonts w:asciiTheme="minorHAnsi" w:eastAsia="Calibri" w:hAnsiTheme="minorHAnsi" w:cstheme="minorHAnsi"/>
                <w:b/>
                <w:bCs/>
                <w:sz w:val="18"/>
                <w:szCs w:val="18"/>
                <w:lang w:eastAsia="en-US"/>
              </w:rPr>
              <w:t>for monitoring</w:t>
            </w:r>
            <w:r w:rsidRPr="007C4D65">
              <w:rPr>
                <w:rFonts w:asciiTheme="minorHAnsi" w:eastAsia="Calibri" w:hAnsiTheme="minorHAnsi" w:cstheme="minorHAnsi"/>
                <w:b/>
                <w:bCs/>
                <w:sz w:val="18"/>
                <w:szCs w:val="18"/>
                <w:lang w:eastAsia="en-US"/>
              </w:rPr>
              <w:t xml:space="preserve"> the state of biodiversity in the </w:t>
            </w:r>
            <w:r w:rsidR="00067BF9" w:rsidRPr="007C4D65">
              <w:rPr>
                <w:rFonts w:asciiTheme="minorHAnsi" w:eastAsia="Calibri" w:hAnsiTheme="minorHAnsi" w:cstheme="minorHAnsi"/>
                <w:b/>
                <w:bCs/>
                <w:sz w:val="18"/>
                <w:szCs w:val="18"/>
                <w:lang w:eastAsia="en-US"/>
              </w:rPr>
              <w:t>Federation of BiH</w:t>
            </w:r>
          </w:p>
        </w:tc>
      </w:tr>
      <w:bookmarkEnd w:id="271"/>
      <w:tr w:rsidR="00005022" w:rsidRPr="007C4D65" w14:paraId="74F6D492" w14:textId="77777777" w:rsidTr="00BC37DE">
        <w:trPr>
          <w:trHeight w:val="567"/>
          <w:jc w:val="center"/>
        </w:trPr>
        <w:tc>
          <w:tcPr>
            <w:tcW w:w="1379" w:type="pct"/>
            <w:shd w:val="clear" w:color="auto" w:fill="009D73"/>
            <w:vAlign w:val="center"/>
          </w:tcPr>
          <w:p w14:paraId="0301B39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21" w:type="pct"/>
            <w:gridSpan w:val="3"/>
            <w:shd w:val="clear" w:color="auto" w:fill="FFFFFF"/>
            <w:vAlign w:val="center"/>
          </w:tcPr>
          <w:p w14:paraId="73529E22"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272" w:name="_Hlk94618214"/>
            <w:r w:rsidRPr="007C4D65">
              <w:rPr>
                <w:rFonts w:asciiTheme="minorHAnsi" w:eastAsia="Calibri" w:hAnsiTheme="minorHAnsi" w:cstheme="minorHAnsi"/>
                <w:sz w:val="18"/>
                <w:szCs w:val="18"/>
                <w:lang w:eastAsia="en-US"/>
              </w:rPr>
              <w:t>The aim of this measure is to ensure the work of scientific and professional capacities, organized through the non-governmental sector, on the targeted monitoring of species, habitats and areas referred to in measure 3.4.1.</w:t>
            </w:r>
          </w:p>
          <w:bookmarkEnd w:id="272"/>
          <w:p w14:paraId="4389841A" w14:textId="61084483"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067BF9" w:rsidRPr="007C4D65">
              <w:rPr>
                <w:rFonts w:asciiTheme="minorHAnsi" w:eastAsia="Calibri" w:hAnsiTheme="minorHAnsi" w:cstheme="minorHAnsi"/>
                <w:sz w:val="18"/>
                <w:szCs w:val="18"/>
                <w:lang w:eastAsia="en-US"/>
              </w:rPr>
              <w:t>eneral area</w:t>
            </w:r>
            <w:r w:rsidRPr="007C4D65">
              <w:rPr>
                <w:rFonts w:asciiTheme="minorHAnsi" w:eastAsia="Calibri" w:hAnsiTheme="minorHAnsi" w:cstheme="minorHAnsi"/>
                <w:sz w:val="18"/>
                <w:szCs w:val="18"/>
                <w:lang w:eastAsia="en-US"/>
              </w:rPr>
              <w:t>s</w:t>
            </w:r>
            <w:r w:rsidR="00067BF9" w:rsidRPr="007C4D65">
              <w:rPr>
                <w:rFonts w:asciiTheme="minorHAnsi" w:eastAsia="Calibri" w:hAnsiTheme="minorHAnsi" w:cstheme="minorHAnsi"/>
                <w:sz w:val="18"/>
                <w:szCs w:val="18"/>
                <w:lang w:eastAsia="en-US"/>
              </w:rPr>
              <w:t xml:space="preserve"> of intervention include</w:t>
            </w:r>
            <w:r w:rsidR="00005022" w:rsidRPr="007C4D65">
              <w:rPr>
                <w:rFonts w:asciiTheme="minorHAnsi" w:eastAsia="Calibri" w:hAnsiTheme="minorHAnsi" w:cstheme="minorHAnsi"/>
                <w:sz w:val="18"/>
                <w:szCs w:val="18"/>
                <w:lang w:eastAsia="en-US"/>
              </w:rPr>
              <w:t>:</w:t>
            </w:r>
          </w:p>
          <w:p w14:paraId="0D9DACB2" w14:textId="7BA1838F" w:rsidR="00005022" w:rsidRPr="007C4D65" w:rsidRDefault="00067BF9" w:rsidP="00005022">
            <w:pPr>
              <w:numPr>
                <w:ilvl w:val="0"/>
                <w:numId w:val="22"/>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Providing for a continued support to the non-governmental sector to facilitate a targeted monitoring of species and areas in cooperation with the Environmental Protection Fund</w:t>
            </w:r>
            <w:r w:rsidR="00B30020" w:rsidRPr="007C4D65">
              <w:rPr>
                <w:rFonts w:asciiTheme="minorHAnsi" w:eastAsia="Calibri" w:hAnsiTheme="minorHAnsi" w:cstheme="minorHAnsi"/>
                <w:sz w:val="18"/>
                <w:szCs w:val="18"/>
                <w:lang w:eastAsia="en-US"/>
              </w:rPr>
              <w:t>.</w:t>
            </w:r>
          </w:p>
        </w:tc>
      </w:tr>
      <w:tr w:rsidR="00005022" w:rsidRPr="007C4D65" w14:paraId="4F8EE3B2" w14:textId="77777777" w:rsidTr="00BC37DE">
        <w:trPr>
          <w:trHeight w:val="567"/>
          <w:jc w:val="center"/>
        </w:trPr>
        <w:tc>
          <w:tcPr>
            <w:tcW w:w="1379" w:type="pct"/>
            <w:shd w:val="clear" w:color="auto" w:fill="009D73"/>
            <w:vAlign w:val="center"/>
          </w:tcPr>
          <w:p w14:paraId="3C45CFD0"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21" w:type="pct"/>
            <w:gridSpan w:val="3"/>
            <w:tcBorders>
              <w:bottom w:val="single" w:sz="4" w:space="0" w:color="A6A6A6"/>
            </w:tcBorders>
            <w:shd w:val="clear" w:color="auto" w:fill="FFFFFF" w:themeFill="background1"/>
            <w:vAlign w:val="center"/>
          </w:tcPr>
          <w:p w14:paraId="5D423242"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3B5489C8" w14:textId="77777777" w:rsidTr="00BC37DE">
        <w:trPr>
          <w:trHeight w:val="567"/>
          <w:jc w:val="center"/>
        </w:trPr>
        <w:tc>
          <w:tcPr>
            <w:tcW w:w="1379" w:type="pct"/>
            <w:vMerge w:val="restart"/>
            <w:shd w:val="clear" w:color="auto" w:fill="009D73"/>
            <w:vAlign w:val="center"/>
          </w:tcPr>
          <w:p w14:paraId="37C1F5B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054" w:type="pct"/>
            <w:shd w:val="clear" w:color="auto" w:fill="009D73"/>
            <w:vAlign w:val="center"/>
          </w:tcPr>
          <w:p w14:paraId="26FC1CFD"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30F0CF88"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21566209"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09FBADA4"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1741332A"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442BF100" w14:textId="77777777" w:rsidTr="00BC37DE">
        <w:trPr>
          <w:trHeight w:val="567"/>
          <w:jc w:val="center"/>
        </w:trPr>
        <w:tc>
          <w:tcPr>
            <w:tcW w:w="1379" w:type="pct"/>
            <w:vMerge/>
            <w:shd w:val="clear" w:color="auto" w:fill="009D73"/>
            <w:vAlign w:val="center"/>
          </w:tcPr>
          <w:p w14:paraId="353687FC"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4" w:type="pct"/>
            <w:shd w:val="clear" w:color="auto" w:fill="FFFFFF"/>
            <w:vAlign w:val="center"/>
          </w:tcPr>
          <w:p w14:paraId="080BAF95"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The amount and continuity of funds allocated to the NGO sector for monitoring purposes</w:t>
            </w:r>
          </w:p>
        </w:tc>
        <w:tc>
          <w:tcPr>
            <w:tcW w:w="1283" w:type="pct"/>
            <w:shd w:val="clear" w:color="auto" w:fill="FFFFFF"/>
            <w:vAlign w:val="center"/>
          </w:tcPr>
          <w:p w14:paraId="435BA339" w14:textId="32ACFEF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There are no </w:t>
            </w:r>
            <w:r w:rsidR="00067BF9" w:rsidRPr="007C4D65">
              <w:rPr>
                <w:rFonts w:asciiTheme="minorHAnsi" w:eastAsiaTheme="minorHAnsi" w:hAnsiTheme="minorHAnsi" w:cstheme="minorHAnsi"/>
                <w:sz w:val="18"/>
                <w:szCs w:val="18"/>
                <w:lang w:eastAsia="en-US" w:bidi="en-US"/>
              </w:rPr>
              <w:t>steady</w:t>
            </w:r>
            <w:r w:rsidRPr="007C4D65">
              <w:rPr>
                <w:rFonts w:asciiTheme="minorHAnsi" w:eastAsiaTheme="minorHAnsi" w:hAnsiTheme="minorHAnsi" w:cstheme="minorHAnsi"/>
                <w:sz w:val="18"/>
                <w:szCs w:val="18"/>
                <w:lang w:eastAsia="en-US" w:bidi="en-US"/>
              </w:rPr>
              <w:t xml:space="preserve"> allocations </w:t>
            </w:r>
            <w:r w:rsidR="00067BF9" w:rsidRPr="007C4D65">
              <w:rPr>
                <w:rFonts w:asciiTheme="minorHAnsi" w:eastAsiaTheme="minorHAnsi" w:hAnsiTheme="minorHAnsi" w:cstheme="minorHAnsi"/>
                <w:sz w:val="18"/>
                <w:szCs w:val="18"/>
                <w:lang w:eastAsia="en-US" w:bidi="en-US"/>
              </w:rPr>
              <w:t>to</w:t>
            </w:r>
            <w:r w:rsidRPr="007C4D65">
              <w:rPr>
                <w:rFonts w:asciiTheme="minorHAnsi" w:eastAsiaTheme="minorHAnsi" w:hAnsiTheme="minorHAnsi" w:cstheme="minorHAnsi"/>
                <w:sz w:val="18"/>
                <w:szCs w:val="18"/>
                <w:lang w:eastAsia="en-US" w:bidi="en-US"/>
              </w:rPr>
              <w:t xml:space="preserve"> the NGO sector </w:t>
            </w:r>
            <w:r w:rsidR="00067BF9" w:rsidRPr="007C4D65">
              <w:rPr>
                <w:rFonts w:asciiTheme="minorHAnsi" w:eastAsiaTheme="minorHAnsi" w:hAnsiTheme="minorHAnsi" w:cstheme="minorHAnsi"/>
                <w:sz w:val="18"/>
                <w:szCs w:val="18"/>
                <w:lang w:eastAsia="en-US" w:bidi="en-US"/>
              </w:rPr>
              <w:t>aimed at facilitating</w:t>
            </w:r>
            <w:r w:rsidRPr="007C4D65">
              <w:rPr>
                <w:rFonts w:asciiTheme="minorHAnsi" w:eastAsiaTheme="minorHAnsi" w:hAnsiTheme="minorHAnsi" w:cstheme="minorHAnsi"/>
                <w:sz w:val="18"/>
                <w:szCs w:val="18"/>
                <w:lang w:eastAsia="en-US" w:bidi="en-US"/>
              </w:rPr>
              <w:t xml:space="preserve"> the monitoring of species and areas</w:t>
            </w:r>
          </w:p>
        </w:tc>
        <w:tc>
          <w:tcPr>
            <w:tcW w:w="1284" w:type="pct"/>
            <w:shd w:val="clear" w:color="auto" w:fill="FFFFFF"/>
            <w:vAlign w:val="center"/>
          </w:tcPr>
          <w:p w14:paraId="2D918F1C" w14:textId="3CC2A236" w:rsidR="00005022" w:rsidRPr="007C4D65" w:rsidRDefault="00067BF9"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Theme="minorHAnsi" w:hAnsiTheme="minorHAnsi" w:cstheme="minorHAnsi"/>
                <w:sz w:val="18"/>
                <w:szCs w:val="18"/>
                <w:lang w:eastAsia="en-US" w:bidi="en-US"/>
              </w:rPr>
              <w:t>Steady allocations provided to the NGO sector aimed at facilitating the monitoring of species and areas</w:t>
            </w:r>
          </w:p>
        </w:tc>
      </w:tr>
      <w:tr w:rsidR="00005022" w:rsidRPr="007C4D65" w14:paraId="74FDF8BD" w14:textId="77777777" w:rsidTr="00BC37DE">
        <w:trPr>
          <w:trHeight w:val="567"/>
          <w:jc w:val="center"/>
        </w:trPr>
        <w:tc>
          <w:tcPr>
            <w:tcW w:w="1379" w:type="pct"/>
            <w:shd w:val="clear" w:color="auto" w:fill="009D73"/>
            <w:vAlign w:val="center"/>
          </w:tcPr>
          <w:p w14:paraId="64C95FF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Development effect and contribution of the measure to the implementation of the priorities </w:t>
            </w:r>
          </w:p>
        </w:tc>
        <w:tc>
          <w:tcPr>
            <w:tcW w:w="3621" w:type="pct"/>
            <w:gridSpan w:val="3"/>
            <w:shd w:val="clear" w:color="auto" w:fill="FFFFFF"/>
            <w:vAlign w:val="center"/>
          </w:tcPr>
          <w:p w14:paraId="1C72A3AE" w14:textId="7E40EEF8" w:rsidR="00005022" w:rsidRPr="007C4D65" w:rsidRDefault="00067BF9"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application of good governance though a better transparency and public participation. Improved access to data obtained through monitoring in partnership with the civil sector</w:t>
            </w:r>
          </w:p>
        </w:tc>
      </w:tr>
      <w:tr w:rsidR="00005022" w:rsidRPr="007C4D65" w14:paraId="0BB802A9" w14:textId="77777777" w:rsidTr="00BC37DE">
        <w:trPr>
          <w:trHeight w:val="567"/>
          <w:jc w:val="center"/>
        </w:trPr>
        <w:tc>
          <w:tcPr>
            <w:tcW w:w="1379" w:type="pct"/>
            <w:shd w:val="clear" w:color="auto" w:fill="009D73"/>
            <w:vAlign w:val="center"/>
          </w:tcPr>
          <w:p w14:paraId="4E3C6325" w14:textId="54982703"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21" w:type="pct"/>
            <w:gridSpan w:val="3"/>
            <w:shd w:val="clear" w:color="auto" w:fill="FFFFFF"/>
            <w:vAlign w:val="center"/>
          </w:tcPr>
          <w:p w14:paraId="6CA6B24F" w14:textId="3DB2FF57" w:rsidR="00067BF9" w:rsidRPr="007C4D65" w:rsidRDefault="00067BF9" w:rsidP="00067BF9">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245,010</w:t>
            </w:r>
          </w:p>
          <w:p w14:paraId="7DB45F46" w14:textId="2335A4DD" w:rsidR="00005022" w:rsidRPr="007C4D65" w:rsidRDefault="00067BF9" w:rsidP="00067BF9">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20% </w:t>
            </w:r>
            <w:r w:rsidR="000E401F" w:rsidRPr="007C4D65">
              <w:rPr>
                <w:rFonts w:asciiTheme="minorHAnsi" w:hAnsiTheme="minorHAnsi" w:cstheme="minorHAnsi"/>
                <w:color w:val="000000" w:themeColor="text1"/>
                <w:sz w:val="18"/>
                <w:szCs w:val="18"/>
              </w:rPr>
              <w:t>government budget</w:t>
            </w:r>
            <w:r w:rsidRPr="007C4D65">
              <w:rPr>
                <w:rFonts w:asciiTheme="minorHAnsi" w:hAnsiTheme="minorHAnsi" w:cstheme="minorHAnsi"/>
                <w:color w:val="000000" w:themeColor="text1"/>
                <w:sz w:val="18"/>
                <w:szCs w:val="18"/>
              </w:rPr>
              <w:t>, 80% funds from EU and other international donors</w:t>
            </w:r>
          </w:p>
        </w:tc>
      </w:tr>
      <w:tr w:rsidR="00005022" w:rsidRPr="007C4D65" w14:paraId="24631806" w14:textId="77777777" w:rsidTr="00BC37DE">
        <w:trPr>
          <w:trHeight w:val="567"/>
          <w:jc w:val="center"/>
        </w:trPr>
        <w:tc>
          <w:tcPr>
            <w:tcW w:w="1379" w:type="pct"/>
            <w:shd w:val="clear" w:color="auto" w:fill="009D73"/>
            <w:vAlign w:val="center"/>
          </w:tcPr>
          <w:p w14:paraId="2D4AB52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21" w:type="pct"/>
            <w:gridSpan w:val="3"/>
            <w:shd w:val="clear" w:color="auto" w:fill="FFFFFF"/>
            <w:vAlign w:val="center"/>
          </w:tcPr>
          <w:p w14:paraId="261590D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2022 - 2030</w:t>
            </w:r>
          </w:p>
        </w:tc>
      </w:tr>
      <w:tr w:rsidR="00005022" w:rsidRPr="007C4D65" w14:paraId="4975820D" w14:textId="77777777" w:rsidTr="00BC37DE">
        <w:trPr>
          <w:trHeight w:val="567"/>
          <w:jc w:val="center"/>
        </w:trPr>
        <w:tc>
          <w:tcPr>
            <w:tcW w:w="1379" w:type="pct"/>
            <w:shd w:val="clear" w:color="auto" w:fill="009D73"/>
            <w:vAlign w:val="center"/>
          </w:tcPr>
          <w:p w14:paraId="089D585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Institution responsible for coordinating the implementation of the measure</w:t>
            </w:r>
          </w:p>
        </w:tc>
        <w:tc>
          <w:tcPr>
            <w:tcW w:w="3621" w:type="pct"/>
            <w:gridSpan w:val="3"/>
            <w:shd w:val="clear" w:color="auto" w:fill="FFFFFF"/>
            <w:vAlign w:val="center"/>
          </w:tcPr>
          <w:p w14:paraId="17524032" w14:textId="296ED788"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32B53036" w14:textId="77777777" w:rsidTr="00BC37DE">
        <w:trPr>
          <w:trHeight w:val="567"/>
          <w:jc w:val="center"/>
        </w:trPr>
        <w:tc>
          <w:tcPr>
            <w:tcW w:w="1379" w:type="pct"/>
            <w:shd w:val="clear" w:color="auto" w:fill="009D73"/>
            <w:vAlign w:val="center"/>
          </w:tcPr>
          <w:p w14:paraId="3C0AF5E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\Implementing institutions </w:t>
            </w:r>
          </w:p>
        </w:tc>
        <w:tc>
          <w:tcPr>
            <w:tcW w:w="3621" w:type="pct"/>
            <w:gridSpan w:val="3"/>
            <w:shd w:val="clear" w:color="auto" w:fill="FFFFFF"/>
            <w:vAlign w:val="center"/>
          </w:tcPr>
          <w:p w14:paraId="0B8970B3"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EPF</w:t>
            </w:r>
          </w:p>
        </w:tc>
      </w:tr>
      <w:tr w:rsidR="00005022" w:rsidRPr="007C4D65" w14:paraId="4994C329" w14:textId="77777777" w:rsidTr="00BC37DE">
        <w:trPr>
          <w:trHeight w:val="567"/>
          <w:jc w:val="center"/>
        </w:trPr>
        <w:tc>
          <w:tcPr>
            <w:tcW w:w="1379" w:type="pct"/>
            <w:shd w:val="clear" w:color="auto" w:fill="009D73"/>
            <w:vAlign w:val="center"/>
          </w:tcPr>
          <w:p w14:paraId="6C074F65" w14:textId="7D8EBBBC"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21" w:type="pct"/>
            <w:gridSpan w:val="3"/>
            <w:shd w:val="clear" w:color="auto" w:fill="FFFFFF"/>
            <w:vAlign w:val="center"/>
          </w:tcPr>
          <w:p w14:paraId="6F7DD657"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Non-government organizations</w:t>
            </w:r>
          </w:p>
        </w:tc>
      </w:tr>
    </w:tbl>
    <w:p w14:paraId="6B0FE9F6"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p w14:paraId="0B67D605"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2"/>
        <w:gridCol w:w="2814"/>
        <w:gridCol w:w="3426"/>
        <w:gridCol w:w="3429"/>
      </w:tblGrid>
      <w:tr w:rsidR="00005022" w:rsidRPr="007C4D65" w14:paraId="39B88494" w14:textId="77777777" w:rsidTr="00BC37DE">
        <w:trPr>
          <w:trHeight w:val="567"/>
          <w:jc w:val="center"/>
        </w:trPr>
        <w:tc>
          <w:tcPr>
            <w:tcW w:w="1379" w:type="pct"/>
            <w:shd w:val="clear" w:color="auto" w:fill="009D73"/>
            <w:vAlign w:val="center"/>
          </w:tcPr>
          <w:p w14:paraId="298A2E83" w14:textId="158DB231"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21" w:type="pct"/>
            <w:gridSpan w:val="3"/>
            <w:shd w:val="clear" w:color="auto" w:fill="FFFFFF"/>
            <w:vAlign w:val="center"/>
          </w:tcPr>
          <w:p w14:paraId="352724B8" w14:textId="6A4ECFFE"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4E4048" w:rsidRPr="007C4D65">
              <w:rPr>
                <w:rFonts w:asciiTheme="minorHAnsi" w:eastAsia="Calibri" w:hAnsiTheme="minorHAnsi" w:cstheme="minorHAnsi"/>
                <w:b/>
                <w:bCs/>
                <w:sz w:val="18"/>
                <w:szCs w:val="18"/>
                <w:lang w:eastAsia="en-US"/>
              </w:rPr>
              <w:t>Maintaining and improving biodiversity and protecting ecosystems</w:t>
            </w:r>
          </w:p>
        </w:tc>
      </w:tr>
      <w:tr w:rsidR="00005022" w:rsidRPr="007C4D65" w14:paraId="0B0DC1A4" w14:textId="77777777" w:rsidTr="00BC37DE">
        <w:trPr>
          <w:trHeight w:val="567"/>
          <w:jc w:val="center"/>
        </w:trPr>
        <w:tc>
          <w:tcPr>
            <w:tcW w:w="1379" w:type="pct"/>
            <w:shd w:val="clear" w:color="auto" w:fill="009D73"/>
            <w:vAlign w:val="center"/>
          </w:tcPr>
          <w:p w14:paraId="76C3048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21" w:type="pct"/>
            <w:gridSpan w:val="3"/>
            <w:shd w:val="clear" w:color="auto" w:fill="FFFFFF"/>
            <w:vAlign w:val="center"/>
          </w:tcPr>
          <w:p w14:paraId="32914B98" w14:textId="52AB0FF4" w:rsidR="00005022" w:rsidRPr="007C4D65" w:rsidRDefault="00005022" w:rsidP="00005022">
            <w:pPr>
              <w:spacing w:before="40" w:after="40" w:line="276" w:lineRule="auto"/>
              <w:rPr>
                <w:rFonts w:asciiTheme="minorHAnsi" w:hAnsiTheme="minorHAnsi" w:cstheme="minorHAnsi"/>
                <w:b/>
                <w:bCs/>
                <w:color w:val="FF0000"/>
                <w:sz w:val="18"/>
                <w:szCs w:val="18"/>
                <w:lang w:eastAsia="zh-TW"/>
              </w:rPr>
            </w:pPr>
            <w:r w:rsidRPr="007C4D65">
              <w:rPr>
                <w:rFonts w:asciiTheme="minorHAnsi" w:hAnsiTheme="minorHAnsi" w:cstheme="minorHAnsi"/>
                <w:b/>
                <w:bCs/>
                <w:sz w:val="18"/>
                <w:szCs w:val="18"/>
                <w:lang w:eastAsia="zh-TW"/>
              </w:rPr>
              <w:t xml:space="preserve">3.4 </w:t>
            </w:r>
            <w:bookmarkStart w:id="273" w:name="_Hlk116670304"/>
            <w:r w:rsidR="00D67C85" w:rsidRPr="007C4D65">
              <w:rPr>
                <w:rFonts w:asciiTheme="minorHAnsi" w:hAnsiTheme="minorHAnsi" w:cstheme="minorHAnsi"/>
                <w:b/>
                <w:bCs/>
                <w:sz w:val="18"/>
                <w:szCs w:val="18"/>
                <w:lang w:eastAsia="zh-TW"/>
              </w:rPr>
              <w:t>Initiate monitoring of the state and biodiversity/nature conservation in the Federation of BiH in compliance with the standards of the EU acquis</w:t>
            </w:r>
            <w:bookmarkEnd w:id="273"/>
          </w:p>
        </w:tc>
      </w:tr>
      <w:tr w:rsidR="00005022" w:rsidRPr="007C4D65" w14:paraId="09D42193" w14:textId="77777777" w:rsidTr="00BC37DE">
        <w:trPr>
          <w:trHeight w:val="567"/>
          <w:jc w:val="center"/>
        </w:trPr>
        <w:tc>
          <w:tcPr>
            <w:tcW w:w="1379" w:type="pct"/>
            <w:shd w:val="clear" w:color="auto" w:fill="009D73"/>
            <w:vAlign w:val="center"/>
          </w:tcPr>
          <w:p w14:paraId="29CA65A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21" w:type="pct"/>
            <w:gridSpan w:val="3"/>
            <w:shd w:val="clear" w:color="auto" w:fill="FFFFFF"/>
            <w:vAlign w:val="center"/>
          </w:tcPr>
          <w:p w14:paraId="54A99C0A" w14:textId="7DDAD6E7" w:rsidR="00005022" w:rsidRPr="007C4D65" w:rsidRDefault="00005022" w:rsidP="00005022">
            <w:pPr>
              <w:spacing w:after="160" w:line="276" w:lineRule="auto"/>
              <w:rPr>
                <w:rFonts w:asciiTheme="minorHAnsi" w:eastAsia="Calibri" w:hAnsiTheme="minorHAnsi" w:cstheme="minorHAnsi"/>
                <w:b/>
                <w:bCs/>
                <w:sz w:val="18"/>
                <w:szCs w:val="18"/>
                <w:lang w:eastAsia="en-US"/>
              </w:rPr>
            </w:pPr>
            <w:bookmarkStart w:id="274" w:name="_Hlk94618698"/>
            <w:r w:rsidRPr="007C4D65">
              <w:rPr>
                <w:rFonts w:asciiTheme="minorHAnsi" w:eastAsia="Calibri" w:hAnsiTheme="minorHAnsi" w:cstheme="minorHAnsi"/>
                <w:b/>
                <w:bCs/>
                <w:sz w:val="18"/>
                <w:szCs w:val="18"/>
                <w:lang w:eastAsia="en-US"/>
              </w:rPr>
              <w:t>3.4.</w:t>
            </w:r>
            <w:r w:rsidR="004E4048" w:rsidRPr="007C4D65">
              <w:rPr>
                <w:rFonts w:asciiTheme="minorHAnsi" w:eastAsia="Calibri" w:hAnsiTheme="minorHAnsi" w:cstheme="minorHAnsi"/>
                <w:b/>
                <w:bCs/>
                <w:sz w:val="18"/>
                <w:szCs w:val="18"/>
                <w:lang w:eastAsia="en-US"/>
              </w:rPr>
              <w:t>3</w:t>
            </w:r>
            <w:r w:rsidRPr="007C4D65">
              <w:rPr>
                <w:rFonts w:asciiTheme="minorHAnsi" w:eastAsia="Calibri" w:hAnsiTheme="minorHAnsi" w:cstheme="minorHAnsi"/>
                <w:b/>
                <w:bCs/>
                <w:sz w:val="18"/>
                <w:szCs w:val="18"/>
                <w:lang w:eastAsia="en-US"/>
              </w:rPr>
              <w:t xml:space="preserve"> </w:t>
            </w:r>
            <w:bookmarkStart w:id="275" w:name="_Hlk116563739"/>
            <w:r w:rsidR="001D544B" w:rsidRPr="007C4D65">
              <w:rPr>
                <w:rFonts w:asciiTheme="minorHAnsi" w:eastAsia="Calibri" w:hAnsiTheme="minorHAnsi" w:cstheme="minorHAnsi"/>
                <w:b/>
                <w:bCs/>
                <w:sz w:val="18"/>
                <w:szCs w:val="18"/>
                <w:lang w:eastAsia="en-US"/>
              </w:rPr>
              <w:t>Fully develop</w:t>
            </w:r>
            <w:r w:rsidR="00C224E3" w:rsidRPr="007C4D65">
              <w:rPr>
                <w:rFonts w:asciiTheme="minorHAnsi" w:eastAsia="Calibri" w:hAnsiTheme="minorHAnsi" w:cstheme="minorHAnsi"/>
                <w:b/>
                <w:bCs/>
                <w:sz w:val="18"/>
                <w:szCs w:val="18"/>
                <w:lang w:eastAsia="en-US"/>
              </w:rPr>
              <w:t xml:space="preserve"> technical </w:t>
            </w:r>
            <w:r w:rsidR="001D544B" w:rsidRPr="007C4D65">
              <w:rPr>
                <w:rFonts w:asciiTheme="minorHAnsi" w:eastAsia="Calibri" w:hAnsiTheme="minorHAnsi" w:cstheme="minorHAnsi"/>
                <w:b/>
                <w:bCs/>
                <w:sz w:val="18"/>
                <w:szCs w:val="18"/>
                <w:lang w:eastAsia="en-US"/>
              </w:rPr>
              <w:t xml:space="preserve">and human </w:t>
            </w:r>
            <w:r w:rsidR="00C224E3" w:rsidRPr="007C4D65">
              <w:rPr>
                <w:rFonts w:asciiTheme="minorHAnsi" w:eastAsia="Calibri" w:hAnsiTheme="minorHAnsi" w:cstheme="minorHAnsi"/>
                <w:b/>
                <w:bCs/>
                <w:sz w:val="18"/>
                <w:szCs w:val="18"/>
                <w:lang w:eastAsia="en-US"/>
              </w:rPr>
              <w:t>capacities</w:t>
            </w:r>
            <w:r w:rsidRPr="007C4D65">
              <w:rPr>
                <w:rFonts w:asciiTheme="minorHAnsi" w:eastAsia="Calibri" w:hAnsiTheme="minorHAnsi" w:cstheme="minorHAnsi"/>
                <w:b/>
                <w:bCs/>
                <w:sz w:val="18"/>
                <w:szCs w:val="18"/>
                <w:lang w:eastAsia="en-US"/>
              </w:rPr>
              <w:t xml:space="preserve"> for the implementation of nature conservation measures in the protected and other areas of the </w:t>
            </w:r>
            <w:r w:rsidR="004E4048" w:rsidRPr="007C4D65">
              <w:rPr>
                <w:rFonts w:asciiTheme="minorHAnsi" w:eastAsia="Calibri" w:hAnsiTheme="minorHAnsi" w:cstheme="minorHAnsi"/>
                <w:b/>
                <w:bCs/>
                <w:sz w:val="18"/>
                <w:szCs w:val="18"/>
                <w:lang w:eastAsia="en-US"/>
              </w:rPr>
              <w:t>ecological</w:t>
            </w:r>
            <w:r w:rsidRPr="007C4D65">
              <w:rPr>
                <w:rFonts w:asciiTheme="minorHAnsi" w:eastAsia="Calibri" w:hAnsiTheme="minorHAnsi" w:cstheme="minorHAnsi"/>
                <w:b/>
                <w:bCs/>
                <w:sz w:val="18"/>
                <w:szCs w:val="18"/>
                <w:lang w:eastAsia="en-US"/>
              </w:rPr>
              <w:t xml:space="preserve"> network, and increase administrative capacities in nature conservation institutions by 50%</w:t>
            </w:r>
            <w:bookmarkEnd w:id="274"/>
            <w:bookmarkEnd w:id="275"/>
          </w:p>
        </w:tc>
      </w:tr>
      <w:tr w:rsidR="00005022" w:rsidRPr="007C4D65" w14:paraId="753C5B0E" w14:textId="77777777" w:rsidTr="00BC37DE">
        <w:trPr>
          <w:trHeight w:val="567"/>
          <w:jc w:val="center"/>
        </w:trPr>
        <w:tc>
          <w:tcPr>
            <w:tcW w:w="1379" w:type="pct"/>
            <w:shd w:val="clear" w:color="auto" w:fill="009D73"/>
            <w:vAlign w:val="center"/>
          </w:tcPr>
          <w:p w14:paraId="2A18B42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21" w:type="pct"/>
            <w:gridSpan w:val="3"/>
            <w:shd w:val="clear" w:color="auto" w:fill="FFFFFF"/>
            <w:vAlign w:val="center"/>
          </w:tcPr>
          <w:p w14:paraId="10C34AE1"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276" w:name="_Hlk94618964"/>
            <w:r w:rsidRPr="007C4D65">
              <w:rPr>
                <w:rFonts w:asciiTheme="minorHAnsi" w:eastAsia="Calibri" w:hAnsiTheme="minorHAnsi" w:cstheme="minorHAnsi"/>
                <w:sz w:val="18"/>
                <w:szCs w:val="18"/>
                <w:lang w:eastAsia="en-US"/>
              </w:rPr>
              <w:t>The aim of this measure is to develop technical and human capacities in the protected areas, and other areas that implement effective protection measures, such as hunting areas, seed stands, fishing areas, etc., as well as capacities within nature conservation institutions.</w:t>
            </w:r>
          </w:p>
          <w:bookmarkEnd w:id="276"/>
          <w:p w14:paraId="2F1C5B01" w14:textId="007AC208"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General</w:t>
            </w:r>
            <w:r w:rsidR="004E4048" w:rsidRPr="007C4D65">
              <w:rPr>
                <w:rFonts w:asciiTheme="minorHAnsi" w:eastAsia="Calibri" w:hAnsiTheme="minorHAnsi" w:cstheme="minorHAnsi"/>
                <w:sz w:val="18"/>
                <w:szCs w:val="18"/>
                <w:lang w:eastAsia="en-US"/>
              </w:rPr>
              <w:t xml:space="preserve"> area</w:t>
            </w:r>
            <w:r w:rsidRPr="007C4D65">
              <w:rPr>
                <w:rFonts w:asciiTheme="minorHAnsi" w:eastAsia="Calibri" w:hAnsiTheme="minorHAnsi" w:cstheme="minorHAnsi"/>
                <w:sz w:val="18"/>
                <w:szCs w:val="18"/>
                <w:lang w:eastAsia="en-US"/>
              </w:rPr>
              <w:t>s</w:t>
            </w:r>
            <w:r w:rsidR="004E4048" w:rsidRPr="007C4D65">
              <w:rPr>
                <w:rFonts w:asciiTheme="minorHAnsi" w:eastAsia="Calibri" w:hAnsiTheme="minorHAnsi" w:cstheme="minorHAnsi"/>
                <w:sz w:val="18"/>
                <w:szCs w:val="18"/>
                <w:lang w:eastAsia="en-US"/>
              </w:rPr>
              <w:t xml:space="preserve"> of intervention include</w:t>
            </w:r>
            <w:r w:rsidR="00005022" w:rsidRPr="007C4D65">
              <w:rPr>
                <w:rFonts w:asciiTheme="minorHAnsi" w:eastAsia="Calibri" w:hAnsiTheme="minorHAnsi" w:cstheme="minorHAnsi"/>
                <w:sz w:val="18"/>
                <w:szCs w:val="18"/>
                <w:lang w:eastAsia="en-US"/>
              </w:rPr>
              <w:t>:</w:t>
            </w:r>
          </w:p>
          <w:p w14:paraId="6DDBF0DB" w14:textId="1C1CA133" w:rsidR="00005022" w:rsidRPr="007C4D65" w:rsidRDefault="00005022" w:rsidP="00005022">
            <w:pPr>
              <w:numPr>
                <w:ilvl w:val="0"/>
                <w:numId w:val="23"/>
              </w:numPr>
              <w:spacing w:after="160" w:line="276" w:lineRule="auto"/>
              <w:contextualSpacing/>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Prepare and continuously implement the Program</w:t>
            </w:r>
            <w:r w:rsidR="004E4048" w:rsidRPr="007C4D65">
              <w:rPr>
                <w:rFonts w:asciiTheme="minorHAnsi" w:eastAsiaTheme="minorHAnsi" w:hAnsiTheme="minorHAnsi" w:cstheme="minorHAnsi"/>
                <w:sz w:val="18"/>
                <w:szCs w:val="18"/>
                <w:lang w:eastAsia="en-US"/>
              </w:rPr>
              <w:t>me</w:t>
            </w:r>
            <w:r w:rsidRPr="007C4D65">
              <w:rPr>
                <w:rFonts w:asciiTheme="minorHAnsi" w:eastAsiaTheme="minorHAnsi" w:hAnsiTheme="minorHAnsi" w:cstheme="minorHAnsi"/>
                <w:sz w:val="18"/>
                <w:szCs w:val="18"/>
                <w:lang w:eastAsia="en-US"/>
              </w:rPr>
              <w:t xml:space="preserve"> </w:t>
            </w:r>
            <w:r w:rsidR="004E4048" w:rsidRPr="007C4D65">
              <w:rPr>
                <w:rFonts w:asciiTheme="minorHAnsi" w:eastAsiaTheme="minorHAnsi" w:hAnsiTheme="minorHAnsi" w:cstheme="minorHAnsi"/>
                <w:sz w:val="18"/>
                <w:szCs w:val="18"/>
                <w:lang w:eastAsia="en-US"/>
              </w:rPr>
              <w:t>of</w:t>
            </w:r>
            <w:r w:rsidRPr="007C4D65">
              <w:rPr>
                <w:rFonts w:asciiTheme="minorHAnsi" w:eastAsiaTheme="minorHAnsi" w:hAnsiTheme="minorHAnsi" w:cstheme="minorHAnsi"/>
                <w:sz w:val="18"/>
                <w:szCs w:val="18"/>
                <w:lang w:eastAsia="en-US"/>
              </w:rPr>
              <w:t xml:space="preserve"> </w:t>
            </w:r>
            <w:r w:rsidR="004E4048" w:rsidRPr="007C4D65">
              <w:rPr>
                <w:rFonts w:asciiTheme="minorHAnsi" w:eastAsiaTheme="minorHAnsi" w:hAnsiTheme="minorHAnsi" w:cstheme="minorHAnsi"/>
                <w:sz w:val="18"/>
                <w:szCs w:val="18"/>
                <w:lang w:eastAsia="en-US"/>
              </w:rPr>
              <w:t>strengthening professional capacities for the nature conservation in the protected areas and ecological network areas</w:t>
            </w:r>
            <w:r w:rsidRPr="007C4D65">
              <w:rPr>
                <w:rFonts w:asciiTheme="minorHAnsi" w:eastAsiaTheme="minorHAnsi" w:hAnsiTheme="minorHAnsi" w:cstheme="minorHAnsi"/>
                <w:sz w:val="18"/>
                <w:szCs w:val="18"/>
                <w:lang w:eastAsia="en-US"/>
              </w:rPr>
              <w:t xml:space="preserve"> of the </w:t>
            </w:r>
            <w:r w:rsidR="004E4048" w:rsidRPr="007C4D65">
              <w:rPr>
                <w:rFonts w:asciiTheme="minorHAnsi" w:eastAsiaTheme="minorHAnsi" w:hAnsiTheme="minorHAnsi" w:cstheme="minorHAnsi"/>
                <w:sz w:val="18"/>
                <w:szCs w:val="18"/>
                <w:lang w:eastAsia="en-US"/>
              </w:rPr>
              <w:t>Federation of BiH</w:t>
            </w:r>
            <w:r w:rsidRPr="007C4D65">
              <w:rPr>
                <w:rFonts w:asciiTheme="minorHAnsi" w:eastAsiaTheme="minorHAnsi" w:hAnsiTheme="minorHAnsi" w:cstheme="minorHAnsi"/>
                <w:sz w:val="18"/>
                <w:szCs w:val="18"/>
                <w:lang w:eastAsia="en-US"/>
              </w:rPr>
              <w:t xml:space="preserve">, including international cooperation in the management of the protected areas and </w:t>
            </w:r>
            <w:r w:rsidR="004E4048" w:rsidRPr="007C4D65">
              <w:rPr>
                <w:rFonts w:asciiTheme="minorHAnsi" w:eastAsiaTheme="minorHAnsi" w:hAnsiTheme="minorHAnsi" w:cstheme="minorHAnsi"/>
                <w:sz w:val="18"/>
                <w:szCs w:val="18"/>
                <w:lang w:eastAsia="en-US"/>
              </w:rPr>
              <w:t>ecological</w:t>
            </w:r>
            <w:r w:rsidRPr="007C4D65">
              <w:rPr>
                <w:rFonts w:asciiTheme="minorHAnsi" w:eastAsiaTheme="minorHAnsi" w:hAnsiTheme="minorHAnsi" w:cstheme="minorHAnsi"/>
                <w:sz w:val="18"/>
                <w:szCs w:val="18"/>
                <w:lang w:eastAsia="en-US"/>
              </w:rPr>
              <w:t xml:space="preserve"> network </w:t>
            </w:r>
            <w:proofErr w:type="gramStart"/>
            <w:r w:rsidRPr="007C4D65">
              <w:rPr>
                <w:rFonts w:asciiTheme="minorHAnsi" w:eastAsiaTheme="minorHAnsi" w:hAnsiTheme="minorHAnsi" w:cstheme="minorHAnsi"/>
                <w:sz w:val="18"/>
                <w:szCs w:val="18"/>
                <w:lang w:eastAsia="en-US"/>
              </w:rPr>
              <w:t>areas</w:t>
            </w:r>
            <w:r w:rsidR="00B30020" w:rsidRPr="007C4D65">
              <w:rPr>
                <w:rFonts w:asciiTheme="minorHAnsi" w:eastAsiaTheme="minorHAnsi" w:hAnsiTheme="minorHAnsi" w:cstheme="minorHAnsi"/>
                <w:sz w:val="18"/>
                <w:szCs w:val="18"/>
                <w:lang w:eastAsia="en-US"/>
              </w:rPr>
              <w:t>;</w:t>
            </w:r>
            <w:proofErr w:type="gramEnd"/>
          </w:p>
          <w:p w14:paraId="29B3E3F1" w14:textId="6D27D7B7" w:rsidR="00005022" w:rsidRPr="007C4D65" w:rsidRDefault="00005022" w:rsidP="00005022">
            <w:pPr>
              <w:numPr>
                <w:ilvl w:val="0"/>
                <w:numId w:val="23"/>
              </w:numPr>
              <w:spacing w:after="160" w:line="276" w:lineRule="auto"/>
              <w:contextualSpacing/>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Prepare and continuously implement the Nature Conservation Capacity Building Program</w:t>
            </w:r>
            <w:r w:rsidR="004E4048" w:rsidRPr="007C4D65">
              <w:rPr>
                <w:rFonts w:asciiTheme="minorHAnsi" w:eastAsiaTheme="minorHAnsi" w:hAnsiTheme="minorHAnsi" w:cstheme="minorHAnsi"/>
                <w:sz w:val="18"/>
                <w:szCs w:val="18"/>
                <w:lang w:eastAsia="en-US"/>
              </w:rPr>
              <w:t>me in the Federation of FBiH</w:t>
            </w:r>
          </w:p>
        </w:tc>
      </w:tr>
      <w:tr w:rsidR="00005022" w:rsidRPr="007C4D65" w14:paraId="301CAF3E" w14:textId="77777777" w:rsidTr="00BC37DE">
        <w:trPr>
          <w:trHeight w:val="567"/>
          <w:jc w:val="center"/>
        </w:trPr>
        <w:tc>
          <w:tcPr>
            <w:tcW w:w="1379" w:type="pct"/>
            <w:shd w:val="clear" w:color="auto" w:fill="009D73"/>
            <w:vAlign w:val="center"/>
          </w:tcPr>
          <w:p w14:paraId="277E255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21" w:type="pct"/>
            <w:gridSpan w:val="3"/>
            <w:tcBorders>
              <w:bottom w:val="single" w:sz="4" w:space="0" w:color="A6A6A6"/>
            </w:tcBorders>
            <w:shd w:val="clear" w:color="auto" w:fill="FFFFFF" w:themeFill="background1"/>
            <w:vAlign w:val="center"/>
          </w:tcPr>
          <w:p w14:paraId="2D6C559A"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54D5CA44" w14:textId="77777777" w:rsidTr="00BC37DE">
        <w:trPr>
          <w:trHeight w:val="567"/>
          <w:jc w:val="center"/>
        </w:trPr>
        <w:tc>
          <w:tcPr>
            <w:tcW w:w="1379" w:type="pct"/>
            <w:vMerge w:val="restart"/>
            <w:shd w:val="clear" w:color="auto" w:fill="009D73"/>
            <w:vAlign w:val="center"/>
          </w:tcPr>
          <w:p w14:paraId="577B9D2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054" w:type="pct"/>
            <w:shd w:val="clear" w:color="auto" w:fill="009D73"/>
            <w:vAlign w:val="center"/>
          </w:tcPr>
          <w:p w14:paraId="3C4829B9"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37756829"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2E29D173"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1554F97A"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77F388D8"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33E0951E" w14:textId="77777777" w:rsidTr="00BC37DE">
        <w:trPr>
          <w:trHeight w:val="567"/>
          <w:jc w:val="center"/>
        </w:trPr>
        <w:tc>
          <w:tcPr>
            <w:tcW w:w="1379" w:type="pct"/>
            <w:vMerge/>
            <w:shd w:val="clear" w:color="auto" w:fill="009D73"/>
            <w:vAlign w:val="center"/>
          </w:tcPr>
          <w:p w14:paraId="28BD8006"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4" w:type="pct"/>
            <w:shd w:val="clear" w:color="auto" w:fill="FFFFFF"/>
            <w:vAlign w:val="center"/>
          </w:tcPr>
          <w:p w14:paraId="08E5408C"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Degree of development of professional capacities for the nature conservation</w:t>
            </w:r>
          </w:p>
        </w:tc>
        <w:tc>
          <w:tcPr>
            <w:tcW w:w="1283" w:type="pct"/>
            <w:shd w:val="clear" w:color="auto" w:fill="FFFFFF"/>
            <w:vAlign w:val="center"/>
          </w:tcPr>
          <w:p w14:paraId="5DE9F095" w14:textId="2D4BECBB" w:rsidR="00005022" w:rsidRPr="007C4D65" w:rsidRDefault="004E4048"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Poorly developed</w:t>
            </w:r>
          </w:p>
        </w:tc>
        <w:tc>
          <w:tcPr>
            <w:tcW w:w="1284" w:type="pct"/>
            <w:shd w:val="clear" w:color="auto" w:fill="FFFFFF"/>
            <w:vAlign w:val="center"/>
          </w:tcPr>
          <w:p w14:paraId="72BF6708" w14:textId="0B58AC6E"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High</w:t>
            </w:r>
            <w:r w:rsidR="004E4048" w:rsidRPr="007C4D65">
              <w:rPr>
                <w:rFonts w:asciiTheme="minorHAnsi" w:eastAsia="Calibri" w:hAnsiTheme="minorHAnsi" w:cstheme="minorHAnsi"/>
                <w:sz w:val="18"/>
                <w:szCs w:val="18"/>
                <w:lang w:eastAsia="x-none"/>
              </w:rPr>
              <w:t>ly developed</w:t>
            </w:r>
          </w:p>
        </w:tc>
      </w:tr>
      <w:tr w:rsidR="00005022" w:rsidRPr="007C4D65" w14:paraId="02245F87" w14:textId="77777777" w:rsidTr="00BC37DE">
        <w:trPr>
          <w:trHeight w:val="567"/>
          <w:jc w:val="center"/>
        </w:trPr>
        <w:tc>
          <w:tcPr>
            <w:tcW w:w="1379" w:type="pct"/>
            <w:vMerge/>
            <w:shd w:val="clear" w:color="auto" w:fill="009D73"/>
            <w:vAlign w:val="center"/>
          </w:tcPr>
          <w:p w14:paraId="49C57970"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054" w:type="pct"/>
            <w:shd w:val="clear" w:color="auto" w:fill="FFFFFF"/>
            <w:vAlign w:val="center"/>
          </w:tcPr>
          <w:p w14:paraId="37D099DA"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Degree of strengthening the development of administrative </w:t>
            </w:r>
            <w:r w:rsidRPr="007C4D65">
              <w:rPr>
                <w:rFonts w:asciiTheme="minorHAnsi" w:eastAsia="Calibri" w:hAnsiTheme="minorHAnsi" w:cstheme="minorHAnsi"/>
                <w:sz w:val="18"/>
                <w:szCs w:val="18"/>
                <w:lang w:eastAsia="x-none"/>
              </w:rPr>
              <w:lastRenderedPageBreak/>
              <w:t>capacities for the nature conservation</w:t>
            </w:r>
          </w:p>
        </w:tc>
        <w:tc>
          <w:tcPr>
            <w:tcW w:w="1283" w:type="pct"/>
            <w:shd w:val="clear" w:color="auto" w:fill="FFFFFF"/>
            <w:vAlign w:val="center"/>
          </w:tcPr>
          <w:p w14:paraId="58AB03B4"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lastRenderedPageBreak/>
              <w:t>Low</w:t>
            </w:r>
          </w:p>
        </w:tc>
        <w:tc>
          <w:tcPr>
            <w:tcW w:w="1284" w:type="pct"/>
            <w:shd w:val="clear" w:color="auto" w:fill="FFFFFF"/>
            <w:vAlign w:val="center"/>
          </w:tcPr>
          <w:p w14:paraId="33BA037B"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High</w:t>
            </w:r>
          </w:p>
        </w:tc>
      </w:tr>
      <w:tr w:rsidR="00005022" w:rsidRPr="007C4D65" w14:paraId="4EF5E038" w14:textId="77777777" w:rsidTr="00BC37DE">
        <w:trPr>
          <w:trHeight w:val="567"/>
          <w:jc w:val="center"/>
        </w:trPr>
        <w:tc>
          <w:tcPr>
            <w:tcW w:w="1379" w:type="pct"/>
            <w:shd w:val="clear" w:color="auto" w:fill="009D73"/>
            <w:vAlign w:val="center"/>
          </w:tcPr>
          <w:p w14:paraId="4871695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implementation of the priorities</w:t>
            </w:r>
          </w:p>
        </w:tc>
        <w:tc>
          <w:tcPr>
            <w:tcW w:w="3621" w:type="pct"/>
            <w:gridSpan w:val="3"/>
            <w:shd w:val="clear" w:color="auto" w:fill="FFFFFF"/>
            <w:vAlign w:val="center"/>
          </w:tcPr>
          <w:p w14:paraId="41E37B16" w14:textId="68CC374D" w:rsidR="00005022" w:rsidRPr="007C4D65" w:rsidRDefault="004E4048"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Strengthening the human and institutional capacities for nature conservation</w:t>
            </w:r>
          </w:p>
        </w:tc>
      </w:tr>
      <w:tr w:rsidR="00005022" w:rsidRPr="007C4D65" w14:paraId="4C1F6A95" w14:textId="77777777" w:rsidTr="00BC37DE">
        <w:trPr>
          <w:trHeight w:val="567"/>
          <w:jc w:val="center"/>
        </w:trPr>
        <w:tc>
          <w:tcPr>
            <w:tcW w:w="1379" w:type="pct"/>
            <w:shd w:val="clear" w:color="auto" w:fill="009D73"/>
            <w:vAlign w:val="center"/>
          </w:tcPr>
          <w:p w14:paraId="49A7AD65" w14:textId="44071AAE"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21" w:type="pct"/>
            <w:gridSpan w:val="3"/>
            <w:shd w:val="clear" w:color="auto" w:fill="FFFFFF"/>
            <w:vAlign w:val="center"/>
          </w:tcPr>
          <w:p w14:paraId="386EA35C" w14:textId="4839919A" w:rsidR="004E4048" w:rsidRPr="007C4D65" w:rsidRDefault="004E4048" w:rsidP="004E4048">
            <w:pPr>
              <w:spacing w:before="40" w:after="40" w:line="276" w:lineRule="auto"/>
              <w:rPr>
                <w:rFonts w:asciiTheme="minorHAnsi" w:hAnsiTheme="minorHAnsi" w:cstheme="minorHAnsi"/>
                <w:color w:val="000000" w:themeColor="text1"/>
                <w:sz w:val="18"/>
                <w:szCs w:val="18"/>
                <w:lang w:bidi="en-US"/>
              </w:rPr>
            </w:pPr>
            <w:r w:rsidRPr="007C4D65">
              <w:rPr>
                <w:rFonts w:asciiTheme="minorHAnsi" w:hAnsiTheme="minorHAnsi" w:cstheme="minorHAnsi"/>
                <w:color w:val="000000" w:themeColor="text1"/>
                <w:sz w:val="18"/>
                <w:szCs w:val="18"/>
                <w:lang w:bidi="en-US"/>
              </w:rPr>
              <w:t>Amount: BAM 1,029,348 KM</w:t>
            </w:r>
          </w:p>
          <w:p w14:paraId="40B3C87E" w14:textId="6448AD06" w:rsidR="00005022" w:rsidRPr="007C4D65" w:rsidRDefault="009E6B20" w:rsidP="004E4048">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lang w:bidi="en-US"/>
              </w:rPr>
              <w:t xml:space="preserve">Source: </w:t>
            </w:r>
            <w:r w:rsidR="004E4048" w:rsidRPr="007C4D65">
              <w:rPr>
                <w:rFonts w:asciiTheme="minorHAnsi" w:hAnsiTheme="minorHAnsi" w:cstheme="minorHAnsi"/>
                <w:color w:val="000000" w:themeColor="text1"/>
                <w:sz w:val="18"/>
                <w:szCs w:val="18"/>
                <w:lang w:bidi="en-US"/>
              </w:rPr>
              <w:t xml:space="preserve"> </w:t>
            </w:r>
            <w:r w:rsidR="004E4048" w:rsidRPr="007C4D65">
              <w:rPr>
                <w:rFonts w:asciiTheme="minorHAnsi" w:hAnsiTheme="minorHAnsi" w:cstheme="minorHAnsi"/>
                <w:color w:val="000000" w:themeColor="text1"/>
                <w:sz w:val="18"/>
                <w:szCs w:val="18"/>
              </w:rPr>
              <w:t xml:space="preserve">30% </w:t>
            </w:r>
            <w:r w:rsidR="000E401F" w:rsidRPr="007C4D65">
              <w:rPr>
                <w:rFonts w:asciiTheme="minorHAnsi" w:hAnsiTheme="minorHAnsi" w:cstheme="minorHAnsi"/>
                <w:color w:val="000000" w:themeColor="text1"/>
                <w:sz w:val="18"/>
                <w:szCs w:val="18"/>
              </w:rPr>
              <w:t>government budget</w:t>
            </w:r>
            <w:r w:rsidR="004E4048" w:rsidRPr="007C4D65">
              <w:rPr>
                <w:rFonts w:asciiTheme="minorHAnsi" w:hAnsiTheme="minorHAnsi" w:cstheme="minorHAnsi"/>
                <w:color w:val="000000" w:themeColor="text1"/>
                <w:sz w:val="18"/>
                <w:szCs w:val="18"/>
              </w:rPr>
              <w:t>, 70% funds from EU and other international donors</w:t>
            </w:r>
          </w:p>
        </w:tc>
      </w:tr>
      <w:tr w:rsidR="00005022" w:rsidRPr="007C4D65" w14:paraId="01BCF8AE" w14:textId="77777777" w:rsidTr="00BC37DE">
        <w:trPr>
          <w:trHeight w:val="567"/>
          <w:jc w:val="center"/>
        </w:trPr>
        <w:tc>
          <w:tcPr>
            <w:tcW w:w="1379" w:type="pct"/>
            <w:shd w:val="clear" w:color="auto" w:fill="009D73"/>
            <w:vAlign w:val="center"/>
          </w:tcPr>
          <w:p w14:paraId="6C48A3A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21" w:type="pct"/>
            <w:gridSpan w:val="3"/>
            <w:shd w:val="clear" w:color="auto" w:fill="FFFFFF"/>
            <w:vAlign w:val="center"/>
          </w:tcPr>
          <w:p w14:paraId="39BC23FA"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2026 - 2030+</w:t>
            </w:r>
          </w:p>
        </w:tc>
      </w:tr>
      <w:tr w:rsidR="00005022" w:rsidRPr="007C4D65" w14:paraId="3586D85A" w14:textId="77777777" w:rsidTr="00BC37DE">
        <w:trPr>
          <w:trHeight w:val="567"/>
          <w:jc w:val="center"/>
        </w:trPr>
        <w:tc>
          <w:tcPr>
            <w:tcW w:w="1379" w:type="pct"/>
            <w:shd w:val="clear" w:color="auto" w:fill="009D73"/>
            <w:vAlign w:val="center"/>
          </w:tcPr>
          <w:p w14:paraId="499CC9E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21" w:type="pct"/>
            <w:gridSpan w:val="3"/>
            <w:shd w:val="clear" w:color="auto" w:fill="FFFFFF"/>
            <w:vAlign w:val="center"/>
          </w:tcPr>
          <w:p w14:paraId="1EFB9B70"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609D271B" w14:textId="77777777" w:rsidTr="00BC37DE">
        <w:trPr>
          <w:trHeight w:val="567"/>
          <w:jc w:val="center"/>
        </w:trPr>
        <w:tc>
          <w:tcPr>
            <w:tcW w:w="1379" w:type="pct"/>
            <w:shd w:val="clear" w:color="auto" w:fill="009D73"/>
            <w:vAlign w:val="center"/>
          </w:tcPr>
          <w:p w14:paraId="1126C52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Holders of the measure</w:t>
            </w:r>
          </w:p>
        </w:tc>
        <w:tc>
          <w:tcPr>
            <w:tcW w:w="3621" w:type="pct"/>
            <w:gridSpan w:val="3"/>
            <w:shd w:val="clear" w:color="auto" w:fill="FFFFFF"/>
            <w:vAlign w:val="center"/>
          </w:tcPr>
          <w:p w14:paraId="1766DF9C" w14:textId="001BA0CD"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FMET, </w:t>
            </w:r>
            <w:r w:rsidR="004E4048" w:rsidRPr="007C4D65">
              <w:rPr>
                <w:rFonts w:asciiTheme="minorHAnsi" w:eastAsiaTheme="minorHAnsi" w:hAnsiTheme="minorHAnsi" w:cstheme="minorHAnsi"/>
                <w:sz w:val="18"/>
                <w:szCs w:val="18"/>
                <w:lang w:eastAsia="en-US" w:bidi="en-US"/>
              </w:rPr>
              <w:t>the</w:t>
            </w:r>
            <w:r w:rsidRPr="007C4D65">
              <w:rPr>
                <w:rFonts w:asciiTheme="minorHAnsi" w:eastAsiaTheme="minorHAnsi" w:hAnsiTheme="minorHAnsi" w:cstheme="minorHAnsi"/>
                <w:sz w:val="18"/>
                <w:szCs w:val="18"/>
                <w:lang w:eastAsia="en-US" w:bidi="en-US"/>
              </w:rPr>
              <w:t xml:space="preserve"> Government</w:t>
            </w:r>
            <w:r w:rsidR="004E4048" w:rsidRPr="007C4D65">
              <w:rPr>
                <w:rFonts w:asciiTheme="minorHAnsi" w:eastAsiaTheme="minorHAnsi" w:hAnsiTheme="minorHAnsi" w:cstheme="minorHAnsi"/>
                <w:sz w:val="18"/>
                <w:szCs w:val="18"/>
                <w:lang w:eastAsia="en-US" w:bidi="en-US"/>
              </w:rPr>
              <w:t xml:space="preserve"> of the Federation of BiH</w:t>
            </w:r>
            <w:r w:rsidRPr="007C4D65">
              <w:rPr>
                <w:rFonts w:asciiTheme="minorHAnsi" w:eastAsiaTheme="minorHAnsi" w:hAnsiTheme="minorHAnsi" w:cstheme="minorHAnsi"/>
                <w:sz w:val="18"/>
                <w:szCs w:val="18"/>
                <w:lang w:eastAsia="en-US" w:bidi="en-US"/>
              </w:rPr>
              <w:t xml:space="preserve">, professional institution for the nature conservation of the </w:t>
            </w:r>
            <w:r w:rsidR="004E4048" w:rsidRPr="007C4D65">
              <w:rPr>
                <w:rFonts w:asciiTheme="minorHAnsi" w:eastAsiaTheme="minorHAnsi" w:hAnsiTheme="minorHAnsi" w:cstheme="minorHAnsi"/>
                <w:sz w:val="18"/>
                <w:szCs w:val="18"/>
                <w:lang w:eastAsia="en-US" w:bidi="en-US"/>
              </w:rPr>
              <w:t>Federation</w:t>
            </w:r>
          </w:p>
        </w:tc>
      </w:tr>
      <w:tr w:rsidR="00005022" w:rsidRPr="007C4D65" w14:paraId="0E251A89" w14:textId="77777777" w:rsidTr="00BC37DE">
        <w:trPr>
          <w:trHeight w:val="567"/>
          <w:jc w:val="center"/>
        </w:trPr>
        <w:tc>
          <w:tcPr>
            <w:tcW w:w="1379" w:type="pct"/>
            <w:shd w:val="clear" w:color="auto" w:fill="009D73"/>
            <w:vAlign w:val="center"/>
          </w:tcPr>
          <w:p w14:paraId="07F222EF" w14:textId="1060A7CE"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21" w:type="pct"/>
            <w:gridSpan w:val="3"/>
            <w:shd w:val="clear" w:color="auto" w:fill="FFFFFF"/>
            <w:vAlign w:val="center"/>
          </w:tcPr>
          <w:p w14:paraId="6F32E26B" w14:textId="0D384AAE"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Users of protected areas, population </w:t>
            </w:r>
            <w:proofErr w:type="gramStart"/>
            <w:r w:rsidRPr="007C4D65">
              <w:rPr>
                <w:rFonts w:asciiTheme="minorHAnsi" w:eastAsiaTheme="minorHAnsi" w:hAnsiTheme="minorHAnsi" w:cstheme="minorHAnsi"/>
                <w:sz w:val="18"/>
                <w:szCs w:val="18"/>
                <w:lang w:eastAsia="en-US" w:bidi="en-US"/>
              </w:rPr>
              <w:t>in the area of</w:t>
            </w:r>
            <w:proofErr w:type="gramEnd"/>
            <w:r w:rsidRPr="007C4D65">
              <w:rPr>
                <w:rFonts w:asciiTheme="minorHAnsi" w:eastAsiaTheme="minorHAnsi" w:hAnsiTheme="minorHAnsi" w:cstheme="minorHAnsi"/>
                <w:sz w:val="18"/>
                <w:szCs w:val="18"/>
                <w:lang w:eastAsia="en-US" w:bidi="en-US"/>
              </w:rPr>
              <w:t xml:space="preserve"> the </w:t>
            </w:r>
            <w:r w:rsidR="004E4048" w:rsidRPr="007C4D65">
              <w:rPr>
                <w:rFonts w:asciiTheme="minorHAnsi" w:eastAsiaTheme="minorHAnsi" w:hAnsiTheme="minorHAnsi" w:cstheme="minorHAnsi"/>
                <w:sz w:val="18"/>
                <w:szCs w:val="18"/>
                <w:lang w:eastAsia="en-US" w:bidi="en-US"/>
              </w:rPr>
              <w:t>ecological</w:t>
            </w:r>
            <w:r w:rsidRPr="007C4D65">
              <w:rPr>
                <w:rFonts w:asciiTheme="minorHAnsi" w:eastAsiaTheme="minorHAnsi" w:hAnsiTheme="minorHAnsi" w:cstheme="minorHAnsi"/>
                <w:sz w:val="18"/>
                <w:szCs w:val="18"/>
                <w:lang w:eastAsia="en-US" w:bidi="en-US"/>
              </w:rPr>
              <w:t xml:space="preserve"> network</w:t>
            </w:r>
          </w:p>
        </w:tc>
      </w:tr>
    </w:tbl>
    <w:p w14:paraId="4077B064"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8"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6"/>
        <w:gridCol w:w="2957"/>
        <w:gridCol w:w="3427"/>
        <w:gridCol w:w="3427"/>
      </w:tblGrid>
      <w:tr w:rsidR="00005022" w:rsidRPr="007C4D65" w14:paraId="614EFE58" w14:textId="77777777" w:rsidTr="00BC37DE">
        <w:trPr>
          <w:trHeight w:val="567"/>
          <w:jc w:val="center"/>
        </w:trPr>
        <w:tc>
          <w:tcPr>
            <w:tcW w:w="1327" w:type="pct"/>
            <w:shd w:val="clear" w:color="auto" w:fill="009D73"/>
            <w:vAlign w:val="center"/>
          </w:tcPr>
          <w:p w14:paraId="4AB6D620" w14:textId="416FD92E"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73" w:type="pct"/>
            <w:gridSpan w:val="3"/>
            <w:shd w:val="clear" w:color="auto" w:fill="FFFFFF"/>
            <w:vAlign w:val="center"/>
          </w:tcPr>
          <w:p w14:paraId="634175BF" w14:textId="1F295E51"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4E4048" w:rsidRPr="007C4D65">
              <w:rPr>
                <w:rFonts w:asciiTheme="minorHAnsi" w:eastAsia="Calibri" w:hAnsiTheme="minorHAnsi" w:cstheme="minorHAnsi"/>
                <w:b/>
                <w:bCs/>
                <w:sz w:val="18"/>
                <w:szCs w:val="18"/>
                <w:lang w:eastAsia="en-US"/>
              </w:rPr>
              <w:t>Maintaining and improving biodiversity and protecting ecosystems</w:t>
            </w:r>
          </w:p>
        </w:tc>
      </w:tr>
      <w:tr w:rsidR="00005022" w:rsidRPr="007C4D65" w14:paraId="1B68A9E3" w14:textId="77777777" w:rsidTr="00BC37DE">
        <w:trPr>
          <w:trHeight w:val="567"/>
          <w:jc w:val="center"/>
        </w:trPr>
        <w:tc>
          <w:tcPr>
            <w:tcW w:w="1327" w:type="pct"/>
            <w:shd w:val="clear" w:color="auto" w:fill="009D73"/>
            <w:vAlign w:val="center"/>
          </w:tcPr>
          <w:p w14:paraId="2E806DA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73" w:type="pct"/>
            <w:gridSpan w:val="3"/>
            <w:shd w:val="clear" w:color="auto" w:fill="FFFFFF"/>
            <w:vAlign w:val="center"/>
          </w:tcPr>
          <w:p w14:paraId="0FFA9667" w14:textId="4C1392BC" w:rsidR="00005022" w:rsidRPr="007C4D65" w:rsidRDefault="00005022" w:rsidP="00005022">
            <w:pPr>
              <w:spacing w:before="40" w:after="40" w:line="276" w:lineRule="auto"/>
              <w:rPr>
                <w:rFonts w:asciiTheme="minorHAnsi" w:hAnsiTheme="minorHAnsi" w:cstheme="minorHAnsi"/>
                <w:b/>
                <w:bCs/>
                <w:sz w:val="18"/>
                <w:szCs w:val="18"/>
                <w:lang w:eastAsia="zh-TW"/>
              </w:rPr>
            </w:pPr>
            <w:r w:rsidRPr="007C4D65">
              <w:rPr>
                <w:rFonts w:asciiTheme="minorHAnsi" w:hAnsiTheme="minorHAnsi" w:cstheme="minorHAnsi"/>
                <w:b/>
                <w:bCs/>
                <w:sz w:val="18"/>
                <w:szCs w:val="18"/>
                <w:lang w:eastAsia="zh-TW"/>
              </w:rPr>
              <w:t xml:space="preserve">3.4 </w:t>
            </w:r>
            <w:r w:rsidR="00D67C85" w:rsidRPr="007C4D65">
              <w:rPr>
                <w:rFonts w:asciiTheme="minorHAnsi" w:hAnsiTheme="minorHAnsi" w:cstheme="minorHAnsi"/>
                <w:b/>
                <w:bCs/>
                <w:sz w:val="18"/>
                <w:szCs w:val="18"/>
                <w:lang w:eastAsia="zh-TW"/>
              </w:rPr>
              <w:t>Initiate monitoring of the state and biodiversity/nature conservation in the Federation of BiH in compliance with the standards of the EU acquis</w:t>
            </w:r>
            <w:r w:rsidR="004E4048" w:rsidRPr="007C4D65">
              <w:rPr>
                <w:rFonts w:asciiTheme="minorHAnsi" w:hAnsiTheme="minorHAnsi" w:cstheme="minorHAnsi"/>
                <w:b/>
                <w:bCs/>
                <w:color w:val="FF0000"/>
                <w:sz w:val="18"/>
                <w:szCs w:val="18"/>
                <w:lang w:eastAsia="zh-TW"/>
              </w:rPr>
              <w:t xml:space="preserve"> </w:t>
            </w:r>
            <w:r w:rsidR="004E4048" w:rsidRPr="007C4D65">
              <w:rPr>
                <w:rFonts w:asciiTheme="minorHAnsi" w:hAnsiTheme="minorHAnsi" w:cstheme="minorHAnsi"/>
                <w:b/>
                <w:bCs/>
                <w:sz w:val="18"/>
                <w:szCs w:val="18"/>
                <w:lang w:eastAsia="zh-TW"/>
              </w:rPr>
              <w:t>and international agreements</w:t>
            </w:r>
          </w:p>
        </w:tc>
      </w:tr>
      <w:tr w:rsidR="00005022" w:rsidRPr="007C4D65" w14:paraId="016FE069" w14:textId="77777777" w:rsidTr="00BC37DE">
        <w:trPr>
          <w:trHeight w:val="567"/>
          <w:jc w:val="center"/>
        </w:trPr>
        <w:tc>
          <w:tcPr>
            <w:tcW w:w="1327" w:type="pct"/>
            <w:shd w:val="clear" w:color="auto" w:fill="009D73"/>
            <w:vAlign w:val="center"/>
          </w:tcPr>
          <w:p w14:paraId="194A335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73" w:type="pct"/>
            <w:gridSpan w:val="3"/>
            <w:shd w:val="clear" w:color="auto" w:fill="FFFFFF"/>
            <w:vAlign w:val="center"/>
          </w:tcPr>
          <w:p w14:paraId="4EA0948E" w14:textId="623F72A6" w:rsidR="00005022" w:rsidRPr="007C4D65" w:rsidRDefault="00005022" w:rsidP="00005022">
            <w:pPr>
              <w:spacing w:after="160" w:line="276" w:lineRule="auto"/>
              <w:rPr>
                <w:rFonts w:asciiTheme="minorHAnsi" w:eastAsia="Calibri" w:hAnsiTheme="minorHAnsi" w:cstheme="minorHAnsi"/>
                <w:b/>
                <w:bCs/>
                <w:sz w:val="18"/>
                <w:szCs w:val="18"/>
                <w:lang w:eastAsia="en-US"/>
              </w:rPr>
            </w:pPr>
            <w:bookmarkStart w:id="277" w:name="_Hlk94619074"/>
            <w:r w:rsidRPr="007C4D65">
              <w:rPr>
                <w:rFonts w:asciiTheme="minorHAnsi" w:eastAsia="Calibri" w:hAnsiTheme="minorHAnsi" w:cstheme="minorHAnsi"/>
                <w:b/>
                <w:bCs/>
                <w:sz w:val="18"/>
                <w:szCs w:val="18"/>
                <w:lang w:eastAsia="en-US"/>
              </w:rPr>
              <w:t>3.4</w:t>
            </w:r>
            <w:r w:rsidR="00971FDB" w:rsidRPr="007C4D65">
              <w:rPr>
                <w:rFonts w:asciiTheme="minorHAnsi" w:eastAsia="Calibri" w:hAnsiTheme="minorHAnsi" w:cstheme="minorHAnsi"/>
                <w:b/>
                <w:bCs/>
                <w:sz w:val="18"/>
                <w:szCs w:val="18"/>
                <w:lang w:eastAsia="en-US"/>
              </w:rPr>
              <w:t>.4</w:t>
            </w:r>
            <w:r w:rsidRPr="007C4D65">
              <w:rPr>
                <w:rFonts w:asciiTheme="minorHAnsi" w:eastAsia="Calibri" w:hAnsiTheme="minorHAnsi" w:cstheme="minorHAnsi"/>
                <w:b/>
                <w:bCs/>
                <w:sz w:val="18"/>
                <w:szCs w:val="18"/>
                <w:lang w:eastAsia="en-US"/>
              </w:rPr>
              <w:t xml:space="preserve"> Improve the inspection </w:t>
            </w:r>
            <w:r w:rsidR="00F10471" w:rsidRPr="007C4D65">
              <w:rPr>
                <w:rFonts w:asciiTheme="minorHAnsi" w:eastAsia="Calibri" w:hAnsiTheme="minorHAnsi" w:cstheme="minorHAnsi"/>
                <w:b/>
                <w:bCs/>
                <w:sz w:val="18"/>
                <w:szCs w:val="18"/>
                <w:lang w:eastAsia="en-US"/>
              </w:rPr>
              <w:t>control of</w:t>
            </w:r>
            <w:r w:rsidRPr="007C4D65">
              <w:rPr>
                <w:rFonts w:asciiTheme="minorHAnsi" w:eastAsia="Calibri" w:hAnsiTheme="minorHAnsi" w:cstheme="minorHAnsi"/>
                <w:b/>
                <w:bCs/>
                <w:sz w:val="18"/>
                <w:szCs w:val="18"/>
                <w:lang w:eastAsia="en-US"/>
              </w:rPr>
              <w:t xml:space="preserve"> the implementation of the Law on Nature Conservation</w:t>
            </w:r>
            <w:r w:rsidR="00F10471" w:rsidRPr="007C4D65">
              <w:rPr>
                <w:rFonts w:asciiTheme="minorHAnsi" w:eastAsia="Calibri" w:hAnsiTheme="minorHAnsi" w:cstheme="minorHAnsi"/>
                <w:b/>
                <w:bCs/>
                <w:sz w:val="18"/>
                <w:szCs w:val="18"/>
                <w:lang w:eastAsia="en-US"/>
              </w:rPr>
              <w:t xml:space="preserve"> of the Federation of BiH</w:t>
            </w:r>
            <w:r w:rsidRPr="007C4D65">
              <w:rPr>
                <w:rFonts w:asciiTheme="minorHAnsi" w:eastAsia="Calibri" w:hAnsiTheme="minorHAnsi" w:cstheme="minorHAnsi"/>
                <w:b/>
                <w:bCs/>
                <w:sz w:val="18"/>
                <w:szCs w:val="18"/>
                <w:lang w:eastAsia="en-US"/>
              </w:rPr>
              <w:t xml:space="preserve"> and other laws prescribing biodiversity protection measures</w:t>
            </w:r>
            <w:bookmarkEnd w:id="277"/>
          </w:p>
        </w:tc>
      </w:tr>
      <w:tr w:rsidR="00005022" w:rsidRPr="007C4D65" w14:paraId="09F7A492" w14:textId="77777777" w:rsidTr="00BC37DE">
        <w:trPr>
          <w:trHeight w:val="567"/>
          <w:jc w:val="center"/>
        </w:trPr>
        <w:tc>
          <w:tcPr>
            <w:tcW w:w="1327" w:type="pct"/>
            <w:shd w:val="clear" w:color="auto" w:fill="009D73"/>
            <w:vAlign w:val="center"/>
          </w:tcPr>
          <w:p w14:paraId="3C00C0E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73" w:type="pct"/>
            <w:gridSpan w:val="3"/>
            <w:shd w:val="clear" w:color="auto" w:fill="FFFFFF"/>
            <w:vAlign w:val="center"/>
          </w:tcPr>
          <w:p w14:paraId="03F671C9" w14:textId="00B89DAB"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278" w:name="_Hlk94619203"/>
            <w:r w:rsidRPr="007C4D65">
              <w:rPr>
                <w:rFonts w:asciiTheme="minorHAnsi" w:eastAsia="Calibri" w:hAnsiTheme="minorHAnsi" w:cstheme="minorHAnsi"/>
                <w:sz w:val="18"/>
                <w:szCs w:val="18"/>
                <w:lang w:eastAsia="en-US"/>
              </w:rPr>
              <w:t xml:space="preserve">The aim of this measure is to develop the capacity for supervision </w:t>
            </w:r>
            <w:r w:rsidR="00F10471" w:rsidRPr="007C4D65">
              <w:rPr>
                <w:rFonts w:asciiTheme="minorHAnsi" w:eastAsia="Calibri" w:hAnsiTheme="minorHAnsi" w:cstheme="minorHAnsi"/>
                <w:sz w:val="18"/>
                <w:szCs w:val="18"/>
                <w:lang w:eastAsia="en-US"/>
              </w:rPr>
              <w:t>of</w:t>
            </w:r>
            <w:r w:rsidRPr="007C4D65">
              <w:rPr>
                <w:rFonts w:asciiTheme="minorHAnsi" w:eastAsia="Calibri" w:hAnsiTheme="minorHAnsi" w:cstheme="minorHAnsi"/>
                <w:sz w:val="18"/>
                <w:szCs w:val="18"/>
                <w:lang w:eastAsia="en-US"/>
              </w:rPr>
              <w:t xml:space="preserve"> the implementation of regulations on the nature conservation in the </w:t>
            </w:r>
            <w:r w:rsidR="00F10471" w:rsidRPr="007C4D65">
              <w:rPr>
                <w:rFonts w:asciiTheme="minorHAnsi" w:eastAsia="Calibri" w:hAnsiTheme="minorHAnsi" w:cstheme="minorHAnsi"/>
                <w:sz w:val="18"/>
                <w:szCs w:val="18"/>
                <w:lang w:eastAsia="en-US"/>
              </w:rPr>
              <w:t>Federation of BiH</w:t>
            </w:r>
            <w:r w:rsidRPr="007C4D65">
              <w:rPr>
                <w:rFonts w:asciiTheme="minorHAnsi" w:eastAsia="Calibri" w:hAnsiTheme="minorHAnsi" w:cstheme="minorHAnsi"/>
                <w:sz w:val="18"/>
                <w:szCs w:val="18"/>
                <w:lang w:eastAsia="en-US"/>
              </w:rPr>
              <w:t xml:space="preserve">. Given the current capacity, inspections </w:t>
            </w:r>
            <w:r w:rsidR="00F10471" w:rsidRPr="007C4D65">
              <w:rPr>
                <w:rFonts w:asciiTheme="minorHAnsi" w:eastAsia="Calibri" w:hAnsiTheme="minorHAnsi" w:cstheme="minorHAnsi"/>
                <w:sz w:val="18"/>
                <w:szCs w:val="18"/>
                <w:lang w:eastAsia="en-US"/>
              </w:rPr>
              <w:t>into</w:t>
            </w:r>
            <w:r w:rsidRPr="007C4D65">
              <w:rPr>
                <w:rFonts w:asciiTheme="minorHAnsi" w:eastAsia="Calibri" w:hAnsiTheme="minorHAnsi" w:cstheme="minorHAnsi"/>
                <w:sz w:val="18"/>
                <w:szCs w:val="18"/>
                <w:lang w:eastAsia="en-US"/>
              </w:rPr>
              <w:t xml:space="preserve"> the implementation of relevant regulations cannot be implemented.</w:t>
            </w:r>
          </w:p>
          <w:bookmarkEnd w:id="278"/>
          <w:p w14:paraId="2077EC9C" w14:textId="249DC1A6"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F10471" w:rsidRPr="007C4D65">
              <w:rPr>
                <w:rFonts w:asciiTheme="minorHAnsi" w:eastAsia="Calibri" w:hAnsiTheme="minorHAnsi" w:cstheme="minorHAnsi"/>
                <w:sz w:val="18"/>
                <w:szCs w:val="18"/>
                <w:lang w:eastAsia="en-US"/>
              </w:rPr>
              <w:t>eneral area</w:t>
            </w:r>
            <w:r w:rsidRPr="007C4D65">
              <w:rPr>
                <w:rFonts w:asciiTheme="minorHAnsi" w:eastAsia="Calibri" w:hAnsiTheme="minorHAnsi" w:cstheme="minorHAnsi"/>
                <w:sz w:val="18"/>
                <w:szCs w:val="18"/>
                <w:lang w:eastAsia="en-US"/>
              </w:rPr>
              <w:t>s</w:t>
            </w:r>
            <w:r w:rsidR="00F10471" w:rsidRPr="007C4D65">
              <w:rPr>
                <w:rFonts w:asciiTheme="minorHAnsi" w:eastAsia="Calibri" w:hAnsiTheme="minorHAnsi" w:cstheme="minorHAnsi"/>
                <w:sz w:val="18"/>
                <w:szCs w:val="18"/>
                <w:lang w:eastAsia="en-US"/>
              </w:rPr>
              <w:t xml:space="preserve"> of intervention include</w:t>
            </w:r>
            <w:r w:rsidR="00005022" w:rsidRPr="007C4D65">
              <w:rPr>
                <w:rFonts w:asciiTheme="minorHAnsi" w:eastAsia="Calibri" w:hAnsiTheme="minorHAnsi" w:cstheme="minorHAnsi"/>
                <w:sz w:val="18"/>
                <w:szCs w:val="18"/>
                <w:lang w:eastAsia="en-US"/>
              </w:rPr>
              <w:t>:</w:t>
            </w:r>
          </w:p>
          <w:p w14:paraId="33BCE62D" w14:textId="1160D3CF" w:rsidR="00005022" w:rsidRPr="007C4D65" w:rsidRDefault="00005022" w:rsidP="00005022">
            <w:pPr>
              <w:numPr>
                <w:ilvl w:val="0"/>
                <w:numId w:val="24"/>
              </w:numPr>
              <w:spacing w:after="160" w:line="276" w:lineRule="auto"/>
              <w:contextualSpacing/>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Increase capacities for </w:t>
            </w:r>
            <w:r w:rsidR="00F10471" w:rsidRPr="007C4D65">
              <w:rPr>
                <w:rFonts w:asciiTheme="minorHAnsi" w:eastAsiaTheme="minorHAnsi" w:hAnsiTheme="minorHAnsi" w:cstheme="minorHAnsi"/>
                <w:sz w:val="18"/>
                <w:szCs w:val="18"/>
                <w:lang w:eastAsia="en-US"/>
              </w:rPr>
              <w:t xml:space="preserve">the inspection </w:t>
            </w:r>
            <w:r w:rsidRPr="007C4D65">
              <w:rPr>
                <w:rFonts w:asciiTheme="minorHAnsi" w:eastAsiaTheme="minorHAnsi" w:hAnsiTheme="minorHAnsi" w:cstheme="minorHAnsi"/>
                <w:sz w:val="18"/>
                <w:szCs w:val="18"/>
                <w:lang w:eastAsia="en-US"/>
              </w:rPr>
              <w:t xml:space="preserve">supervision </w:t>
            </w:r>
            <w:r w:rsidR="00F10471" w:rsidRPr="007C4D65">
              <w:rPr>
                <w:rFonts w:asciiTheme="minorHAnsi" w:eastAsiaTheme="minorHAnsi" w:hAnsiTheme="minorHAnsi" w:cstheme="minorHAnsi"/>
                <w:sz w:val="18"/>
                <w:szCs w:val="18"/>
                <w:lang w:eastAsia="en-US"/>
              </w:rPr>
              <w:t>of</w:t>
            </w:r>
            <w:r w:rsidRPr="007C4D65">
              <w:rPr>
                <w:rFonts w:asciiTheme="minorHAnsi" w:eastAsiaTheme="minorHAnsi" w:hAnsiTheme="minorHAnsi" w:cstheme="minorHAnsi"/>
                <w:sz w:val="18"/>
                <w:szCs w:val="18"/>
                <w:lang w:eastAsia="en-US"/>
              </w:rPr>
              <w:t xml:space="preserve"> the enforcement of the CPA</w:t>
            </w:r>
            <w:r w:rsidR="00F10471" w:rsidRPr="007C4D65">
              <w:rPr>
                <w:rFonts w:asciiTheme="minorHAnsi" w:eastAsiaTheme="minorHAnsi" w:hAnsiTheme="minorHAnsi" w:cstheme="minorHAnsi"/>
                <w:sz w:val="18"/>
                <w:szCs w:val="18"/>
                <w:lang w:eastAsia="en-US"/>
              </w:rPr>
              <w:t xml:space="preserve"> of the Federation</w:t>
            </w:r>
            <w:r w:rsidRPr="007C4D65">
              <w:rPr>
                <w:rFonts w:asciiTheme="minorHAnsi" w:eastAsiaTheme="minorHAnsi" w:hAnsiTheme="minorHAnsi" w:cstheme="minorHAnsi"/>
                <w:sz w:val="18"/>
                <w:szCs w:val="18"/>
                <w:lang w:eastAsia="en-US"/>
              </w:rPr>
              <w:t xml:space="preserve">, </w:t>
            </w:r>
            <w:r w:rsidR="00F10471" w:rsidRPr="007C4D65">
              <w:rPr>
                <w:rFonts w:asciiTheme="minorHAnsi" w:eastAsiaTheme="minorHAnsi" w:hAnsiTheme="minorHAnsi" w:cstheme="minorHAnsi"/>
                <w:sz w:val="18"/>
                <w:szCs w:val="18"/>
                <w:lang w:eastAsia="en-US"/>
              </w:rPr>
              <w:t>c</w:t>
            </w:r>
            <w:r w:rsidRPr="007C4D65">
              <w:rPr>
                <w:rFonts w:asciiTheme="minorHAnsi" w:eastAsiaTheme="minorHAnsi" w:hAnsiTheme="minorHAnsi" w:cstheme="minorHAnsi"/>
                <w:sz w:val="18"/>
                <w:szCs w:val="18"/>
                <w:lang w:eastAsia="en-US"/>
              </w:rPr>
              <w:t xml:space="preserve">antonal laws </w:t>
            </w:r>
            <w:r w:rsidR="00F10471" w:rsidRPr="007C4D65">
              <w:rPr>
                <w:rFonts w:asciiTheme="minorHAnsi" w:eastAsiaTheme="minorHAnsi" w:hAnsiTheme="minorHAnsi" w:cstheme="minorHAnsi"/>
                <w:sz w:val="18"/>
                <w:szCs w:val="18"/>
                <w:lang w:eastAsia="en-US"/>
              </w:rPr>
              <w:t>on</w:t>
            </w:r>
            <w:r w:rsidRPr="007C4D65">
              <w:rPr>
                <w:rFonts w:asciiTheme="minorHAnsi" w:eastAsiaTheme="minorHAnsi" w:hAnsiTheme="minorHAnsi" w:cstheme="minorHAnsi"/>
                <w:sz w:val="18"/>
                <w:szCs w:val="18"/>
                <w:lang w:eastAsia="en-US"/>
              </w:rPr>
              <w:t xml:space="preserve"> the nature conservation and relevant sectoral </w:t>
            </w:r>
            <w:proofErr w:type="gramStart"/>
            <w:r w:rsidR="00F10471" w:rsidRPr="007C4D65">
              <w:rPr>
                <w:rFonts w:asciiTheme="minorHAnsi" w:eastAsiaTheme="minorHAnsi" w:hAnsiTheme="minorHAnsi" w:cstheme="minorHAnsi"/>
                <w:sz w:val="18"/>
                <w:szCs w:val="18"/>
                <w:lang w:eastAsia="en-US"/>
              </w:rPr>
              <w:t>legislation</w:t>
            </w:r>
            <w:r w:rsidR="00B30020" w:rsidRPr="007C4D65">
              <w:rPr>
                <w:rFonts w:asciiTheme="minorHAnsi" w:eastAsiaTheme="minorHAnsi" w:hAnsiTheme="minorHAnsi" w:cstheme="minorHAnsi"/>
                <w:sz w:val="18"/>
                <w:szCs w:val="18"/>
                <w:lang w:eastAsia="en-US"/>
              </w:rPr>
              <w:t>;</w:t>
            </w:r>
            <w:proofErr w:type="gramEnd"/>
          </w:p>
          <w:p w14:paraId="70D72D74" w14:textId="4AAA5B1B" w:rsidR="00005022" w:rsidRPr="007C4D65" w:rsidRDefault="00005022" w:rsidP="00005022">
            <w:pPr>
              <w:numPr>
                <w:ilvl w:val="0"/>
                <w:numId w:val="24"/>
              </w:numPr>
              <w:spacing w:after="160" w:line="276" w:lineRule="auto"/>
              <w:contextualSpacing/>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Increase the number of targeted inspections</w:t>
            </w:r>
            <w:r w:rsidR="00B30020" w:rsidRPr="007C4D65">
              <w:rPr>
                <w:rFonts w:asciiTheme="minorHAnsi" w:eastAsiaTheme="minorHAnsi" w:hAnsiTheme="minorHAnsi" w:cstheme="minorHAnsi"/>
                <w:sz w:val="18"/>
                <w:szCs w:val="18"/>
                <w:lang w:eastAsia="en-US"/>
              </w:rPr>
              <w:t>.</w:t>
            </w:r>
          </w:p>
        </w:tc>
      </w:tr>
      <w:tr w:rsidR="00005022" w:rsidRPr="007C4D65" w14:paraId="1F8FD0B9" w14:textId="77777777" w:rsidTr="00BC37DE">
        <w:trPr>
          <w:trHeight w:val="567"/>
          <w:jc w:val="center"/>
        </w:trPr>
        <w:tc>
          <w:tcPr>
            <w:tcW w:w="1327" w:type="pct"/>
            <w:shd w:val="clear" w:color="auto" w:fill="009D73"/>
            <w:vAlign w:val="center"/>
          </w:tcPr>
          <w:p w14:paraId="7C71180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73" w:type="pct"/>
            <w:gridSpan w:val="3"/>
            <w:tcBorders>
              <w:bottom w:val="single" w:sz="4" w:space="0" w:color="A6A6A6"/>
            </w:tcBorders>
            <w:shd w:val="clear" w:color="auto" w:fill="FFFFFF" w:themeFill="background1"/>
            <w:vAlign w:val="center"/>
          </w:tcPr>
          <w:p w14:paraId="19B3BE14"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71F5F5C0" w14:textId="77777777" w:rsidTr="00BC37DE">
        <w:trPr>
          <w:trHeight w:val="567"/>
          <w:jc w:val="center"/>
        </w:trPr>
        <w:tc>
          <w:tcPr>
            <w:tcW w:w="1327" w:type="pct"/>
            <w:vMerge w:val="restart"/>
            <w:shd w:val="clear" w:color="auto" w:fill="009D73"/>
            <w:vAlign w:val="center"/>
          </w:tcPr>
          <w:p w14:paraId="6B46F94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Indicators for monitoring the results of the measure</w:t>
            </w:r>
          </w:p>
        </w:tc>
        <w:tc>
          <w:tcPr>
            <w:tcW w:w="1107" w:type="pct"/>
            <w:shd w:val="clear" w:color="auto" w:fill="009D73"/>
            <w:vAlign w:val="center"/>
          </w:tcPr>
          <w:p w14:paraId="1CD73D11"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084E8846"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47CEA9C4"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5E5390DA"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3" w:type="pct"/>
            <w:shd w:val="clear" w:color="auto" w:fill="009D73"/>
            <w:vAlign w:val="center"/>
          </w:tcPr>
          <w:p w14:paraId="46E8F46E"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09BCE41B" w14:textId="77777777" w:rsidTr="00BC37DE">
        <w:trPr>
          <w:trHeight w:val="567"/>
          <w:jc w:val="center"/>
        </w:trPr>
        <w:tc>
          <w:tcPr>
            <w:tcW w:w="1327" w:type="pct"/>
            <w:vMerge/>
            <w:shd w:val="clear" w:color="auto" w:fill="009D73"/>
            <w:vAlign w:val="center"/>
          </w:tcPr>
          <w:p w14:paraId="03E1C622"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107" w:type="pct"/>
            <w:shd w:val="clear" w:color="auto" w:fill="FFFFFF"/>
            <w:vAlign w:val="center"/>
          </w:tcPr>
          <w:p w14:paraId="077AB1BD" w14:textId="77777777" w:rsidR="00005022" w:rsidRPr="007C4D65" w:rsidRDefault="00005022">
            <w:pPr>
              <w:numPr>
                <w:ilvl w:val="0"/>
                <w:numId w:val="33"/>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Degree of development</w:t>
            </w:r>
          </w:p>
          <w:p w14:paraId="090159A9" w14:textId="77777777" w:rsidR="00005022" w:rsidRPr="007C4D65" w:rsidRDefault="00005022" w:rsidP="00005022">
            <w:pPr>
              <w:spacing w:before="40" w:after="40" w:line="276" w:lineRule="auto"/>
              <w:ind w:left="720"/>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of the monitoring capacity for the</w:t>
            </w:r>
          </w:p>
          <w:p w14:paraId="13D94C23" w14:textId="77777777" w:rsidR="00005022" w:rsidRPr="007C4D65" w:rsidRDefault="00005022" w:rsidP="00005022">
            <w:pPr>
              <w:spacing w:before="40" w:after="40" w:line="276" w:lineRule="auto"/>
              <w:ind w:left="720"/>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nature conservation</w:t>
            </w:r>
          </w:p>
          <w:p w14:paraId="124AA6D8" w14:textId="77777777" w:rsidR="00005022" w:rsidRPr="007C4D65" w:rsidRDefault="00005022">
            <w:pPr>
              <w:numPr>
                <w:ilvl w:val="0"/>
                <w:numId w:val="33"/>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Number of inspections</w:t>
            </w:r>
          </w:p>
          <w:p w14:paraId="54EF74EC" w14:textId="77777777" w:rsidR="00005022" w:rsidRPr="007C4D65" w:rsidRDefault="00005022" w:rsidP="00005022">
            <w:pPr>
              <w:spacing w:before="40" w:after="40" w:line="276" w:lineRule="auto"/>
              <w:ind w:left="720"/>
              <w:contextualSpacing/>
              <w:rPr>
                <w:rFonts w:asciiTheme="minorHAnsi" w:eastAsia="Calibri" w:hAnsiTheme="minorHAnsi" w:cstheme="minorHAnsi"/>
                <w:sz w:val="18"/>
                <w:szCs w:val="18"/>
                <w:lang w:eastAsia="x-none"/>
              </w:rPr>
            </w:pPr>
          </w:p>
        </w:tc>
        <w:tc>
          <w:tcPr>
            <w:tcW w:w="1283" w:type="pct"/>
            <w:shd w:val="clear" w:color="auto" w:fill="FFFFFF"/>
            <w:vAlign w:val="center"/>
          </w:tcPr>
          <w:p w14:paraId="01657461"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Low</w:t>
            </w:r>
          </w:p>
        </w:tc>
        <w:tc>
          <w:tcPr>
            <w:tcW w:w="1283" w:type="pct"/>
            <w:shd w:val="clear" w:color="auto" w:fill="FFFFFF"/>
            <w:vAlign w:val="center"/>
          </w:tcPr>
          <w:p w14:paraId="2C2E5D45"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High</w:t>
            </w:r>
          </w:p>
        </w:tc>
      </w:tr>
      <w:tr w:rsidR="00005022" w:rsidRPr="007C4D65" w14:paraId="63CCB057" w14:textId="77777777" w:rsidTr="00BC37DE">
        <w:trPr>
          <w:trHeight w:val="567"/>
          <w:jc w:val="center"/>
        </w:trPr>
        <w:tc>
          <w:tcPr>
            <w:tcW w:w="1327" w:type="pct"/>
            <w:shd w:val="clear" w:color="auto" w:fill="009D73"/>
            <w:vAlign w:val="center"/>
          </w:tcPr>
          <w:p w14:paraId="2E879C1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implementation of the priorities</w:t>
            </w:r>
          </w:p>
        </w:tc>
        <w:tc>
          <w:tcPr>
            <w:tcW w:w="3673" w:type="pct"/>
            <w:gridSpan w:val="3"/>
            <w:shd w:val="clear" w:color="auto" w:fill="FFFFFF"/>
            <w:vAlign w:val="center"/>
          </w:tcPr>
          <w:p w14:paraId="237BE9FF" w14:textId="2BE7670E" w:rsidR="00005022" w:rsidRPr="007C4D65" w:rsidRDefault="00F10471"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Human and institutional capacity building </w:t>
            </w:r>
            <w:proofErr w:type="gramStart"/>
            <w:r w:rsidRPr="007C4D65">
              <w:rPr>
                <w:rFonts w:asciiTheme="minorHAnsi" w:eastAsiaTheme="minorHAnsi" w:hAnsiTheme="minorHAnsi" w:cstheme="minorHAnsi"/>
                <w:sz w:val="18"/>
                <w:szCs w:val="18"/>
                <w:lang w:eastAsia="en-US" w:bidi="en-US"/>
              </w:rPr>
              <w:t>in the area of</w:t>
            </w:r>
            <w:proofErr w:type="gramEnd"/>
            <w:r w:rsidRPr="007C4D65">
              <w:rPr>
                <w:rFonts w:asciiTheme="minorHAnsi" w:eastAsiaTheme="minorHAnsi" w:hAnsiTheme="minorHAnsi" w:cstheme="minorHAnsi"/>
                <w:sz w:val="18"/>
                <w:szCs w:val="18"/>
                <w:lang w:eastAsia="en-US" w:bidi="en-US"/>
              </w:rPr>
              <w:t xml:space="preserve"> the nature conservation</w:t>
            </w:r>
          </w:p>
        </w:tc>
      </w:tr>
      <w:tr w:rsidR="00005022" w:rsidRPr="007C4D65" w14:paraId="60953128" w14:textId="77777777" w:rsidTr="00BC37DE">
        <w:trPr>
          <w:trHeight w:val="567"/>
          <w:jc w:val="center"/>
        </w:trPr>
        <w:tc>
          <w:tcPr>
            <w:tcW w:w="1327" w:type="pct"/>
            <w:shd w:val="clear" w:color="auto" w:fill="009D73"/>
            <w:vAlign w:val="center"/>
          </w:tcPr>
          <w:p w14:paraId="3E95F3DA" w14:textId="4F372F99"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73" w:type="pct"/>
            <w:gridSpan w:val="3"/>
            <w:shd w:val="clear" w:color="auto" w:fill="FFFFFF"/>
            <w:vAlign w:val="center"/>
          </w:tcPr>
          <w:p w14:paraId="4E87F83F" w14:textId="4DBBC4DE" w:rsidR="00F10471" w:rsidRPr="007C4D65" w:rsidRDefault="00F10471" w:rsidP="00F10471">
            <w:pPr>
              <w:spacing w:before="40" w:after="40" w:line="276" w:lineRule="auto"/>
              <w:rPr>
                <w:rFonts w:asciiTheme="minorHAnsi" w:hAnsiTheme="minorHAnsi" w:cstheme="minorHAnsi"/>
                <w:color w:val="000000" w:themeColor="text1"/>
                <w:sz w:val="18"/>
                <w:szCs w:val="18"/>
                <w:lang w:bidi="en-US"/>
              </w:rPr>
            </w:pPr>
            <w:r w:rsidRPr="007C4D65">
              <w:rPr>
                <w:rFonts w:asciiTheme="minorHAnsi" w:hAnsiTheme="minorHAnsi" w:cstheme="minorHAnsi"/>
                <w:color w:val="000000" w:themeColor="text1"/>
                <w:sz w:val="18"/>
                <w:szCs w:val="18"/>
                <w:lang w:bidi="en-US"/>
              </w:rPr>
              <w:t>Amount: BAM 1,489,000</w:t>
            </w:r>
          </w:p>
          <w:p w14:paraId="19B8C61E" w14:textId="76D5A71E" w:rsidR="00005022" w:rsidRPr="007C4D65" w:rsidRDefault="00F10471" w:rsidP="00F10471">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lang w:bidi="en-US"/>
              </w:rPr>
              <w:t xml:space="preserve">Source: 20% </w:t>
            </w:r>
            <w:r w:rsidR="000E401F" w:rsidRPr="007C4D65">
              <w:rPr>
                <w:rFonts w:asciiTheme="minorHAnsi" w:hAnsiTheme="minorHAnsi" w:cstheme="minorHAnsi"/>
                <w:color w:val="000000" w:themeColor="text1"/>
                <w:sz w:val="18"/>
                <w:szCs w:val="18"/>
                <w:lang w:bidi="en-US"/>
              </w:rPr>
              <w:t>government budget</w:t>
            </w:r>
            <w:r w:rsidRPr="007C4D65">
              <w:rPr>
                <w:rFonts w:asciiTheme="minorHAnsi" w:hAnsiTheme="minorHAnsi" w:cstheme="minorHAnsi"/>
                <w:color w:val="000000" w:themeColor="text1"/>
                <w:sz w:val="18"/>
                <w:szCs w:val="18"/>
                <w:lang w:bidi="en-US"/>
              </w:rPr>
              <w:t>, 80% funds from EU and other international donors</w:t>
            </w:r>
          </w:p>
        </w:tc>
      </w:tr>
      <w:tr w:rsidR="00005022" w:rsidRPr="007C4D65" w14:paraId="4C480AE5" w14:textId="77777777" w:rsidTr="00BC37DE">
        <w:trPr>
          <w:trHeight w:val="567"/>
          <w:jc w:val="center"/>
        </w:trPr>
        <w:tc>
          <w:tcPr>
            <w:tcW w:w="1327" w:type="pct"/>
            <w:shd w:val="clear" w:color="auto" w:fill="009D73"/>
            <w:vAlign w:val="center"/>
          </w:tcPr>
          <w:p w14:paraId="568BB79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73" w:type="pct"/>
            <w:gridSpan w:val="3"/>
            <w:shd w:val="clear" w:color="auto" w:fill="FFFFFF"/>
            <w:vAlign w:val="center"/>
          </w:tcPr>
          <w:p w14:paraId="490E7FC2"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2026 - 2030+</w:t>
            </w:r>
          </w:p>
        </w:tc>
      </w:tr>
      <w:tr w:rsidR="00005022" w:rsidRPr="007C4D65" w14:paraId="48B95439" w14:textId="77777777" w:rsidTr="00BC37DE">
        <w:trPr>
          <w:trHeight w:val="567"/>
          <w:jc w:val="center"/>
        </w:trPr>
        <w:tc>
          <w:tcPr>
            <w:tcW w:w="1327" w:type="pct"/>
            <w:shd w:val="clear" w:color="auto" w:fill="009D73"/>
            <w:vAlign w:val="center"/>
          </w:tcPr>
          <w:p w14:paraId="02D6CFB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73" w:type="pct"/>
            <w:gridSpan w:val="3"/>
            <w:shd w:val="clear" w:color="auto" w:fill="FFFFFF"/>
            <w:vAlign w:val="center"/>
          </w:tcPr>
          <w:p w14:paraId="05EBF8ED"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FAIA (Federal Administration for Inspection Affairs)</w:t>
            </w:r>
          </w:p>
        </w:tc>
      </w:tr>
      <w:tr w:rsidR="00005022" w:rsidRPr="007C4D65" w14:paraId="7F422949" w14:textId="77777777" w:rsidTr="00BC37DE">
        <w:trPr>
          <w:trHeight w:val="567"/>
          <w:jc w:val="center"/>
        </w:trPr>
        <w:tc>
          <w:tcPr>
            <w:tcW w:w="1327" w:type="pct"/>
            <w:shd w:val="clear" w:color="auto" w:fill="009D73"/>
            <w:vAlign w:val="center"/>
          </w:tcPr>
          <w:p w14:paraId="08E0DB0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Implementing institutions </w:t>
            </w:r>
          </w:p>
        </w:tc>
        <w:tc>
          <w:tcPr>
            <w:tcW w:w="3673" w:type="pct"/>
            <w:gridSpan w:val="3"/>
            <w:shd w:val="clear" w:color="auto" w:fill="FFFFFF"/>
            <w:vAlign w:val="center"/>
          </w:tcPr>
          <w:p w14:paraId="35404FCD" w14:textId="163A6B7D"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FAIA, </w:t>
            </w:r>
            <w:r w:rsidR="00F10471" w:rsidRPr="007C4D65">
              <w:rPr>
                <w:rFonts w:asciiTheme="minorHAnsi" w:eastAsiaTheme="minorHAnsi" w:hAnsiTheme="minorHAnsi" w:cstheme="minorHAnsi"/>
                <w:sz w:val="18"/>
                <w:szCs w:val="18"/>
                <w:lang w:eastAsia="en-US" w:bidi="en-US"/>
              </w:rPr>
              <w:t xml:space="preserve">the </w:t>
            </w:r>
            <w:r w:rsidRPr="007C4D65">
              <w:rPr>
                <w:rFonts w:asciiTheme="minorHAnsi" w:eastAsiaTheme="minorHAnsi" w:hAnsiTheme="minorHAnsi" w:cstheme="minorHAnsi"/>
                <w:sz w:val="18"/>
                <w:szCs w:val="18"/>
                <w:lang w:eastAsia="en-US" w:bidi="en-US"/>
              </w:rPr>
              <w:t>Government</w:t>
            </w:r>
            <w:r w:rsidR="00F10471" w:rsidRPr="007C4D65">
              <w:rPr>
                <w:rFonts w:asciiTheme="minorHAnsi" w:eastAsiaTheme="minorHAnsi" w:hAnsiTheme="minorHAnsi" w:cstheme="minorHAnsi"/>
                <w:sz w:val="18"/>
                <w:szCs w:val="18"/>
                <w:lang w:eastAsia="en-US" w:bidi="en-US"/>
              </w:rPr>
              <w:t xml:space="preserve"> of FBiH</w:t>
            </w:r>
            <w:r w:rsidRPr="007C4D65">
              <w:rPr>
                <w:rFonts w:asciiTheme="minorHAnsi" w:eastAsiaTheme="minorHAnsi" w:hAnsiTheme="minorHAnsi" w:cstheme="minorHAnsi"/>
                <w:sz w:val="18"/>
                <w:szCs w:val="18"/>
                <w:lang w:eastAsia="en-US" w:bidi="en-US"/>
              </w:rPr>
              <w:t xml:space="preserve">, </w:t>
            </w:r>
            <w:r w:rsidR="00F10471"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governments, CAIA (Cantonal Administration for Inspection Affairs</w:t>
            </w:r>
            <w:proofErr w:type="gramStart"/>
            <w:r w:rsidRPr="007C4D65">
              <w:rPr>
                <w:rFonts w:asciiTheme="minorHAnsi" w:eastAsiaTheme="minorHAnsi" w:hAnsiTheme="minorHAnsi" w:cstheme="minorHAnsi"/>
                <w:sz w:val="18"/>
                <w:szCs w:val="18"/>
                <w:lang w:eastAsia="en-US" w:bidi="en-US"/>
              </w:rPr>
              <w:t>) ,</w:t>
            </w:r>
            <w:proofErr w:type="gramEnd"/>
            <w:r w:rsidRPr="007C4D65">
              <w:rPr>
                <w:rFonts w:asciiTheme="minorHAnsi" w:eastAsiaTheme="minorHAnsi" w:hAnsiTheme="minorHAnsi" w:cstheme="minorHAnsi"/>
                <w:sz w:val="18"/>
                <w:szCs w:val="18"/>
                <w:lang w:eastAsia="en-US" w:bidi="en-US"/>
              </w:rPr>
              <w:t xml:space="preserve"> </w:t>
            </w:r>
            <w:r w:rsidR="00F10471"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forestry administrations, hunting associations</w:t>
            </w:r>
          </w:p>
        </w:tc>
      </w:tr>
      <w:tr w:rsidR="00005022" w:rsidRPr="007C4D65" w14:paraId="2811EA54" w14:textId="77777777" w:rsidTr="00BC37DE">
        <w:trPr>
          <w:trHeight w:val="567"/>
          <w:jc w:val="center"/>
        </w:trPr>
        <w:tc>
          <w:tcPr>
            <w:tcW w:w="1327" w:type="pct"/>
            <w:shd w:val="clear" w:color="auto" w:fill="009D73"/>
            <w:vAlign w:val="center"/>
          </w:tcPr>
          <w:p w14:paraId="2836D01B" w14:textId="4100A0A8"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73" w:type="pct"/>
            <w:gridSpan w:val="3"/>
            <w:shd w:val="clear" w:color="auto" w:fill="FFFFFF"/>
            <w:vAlign w:val="center"/>
          </w:tcPr>
          <w:p w14:paraId="59DA5594"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 public</w:t>
            </w:r>
          </w:p>
        </w:tc>
      </w:tr>
    </w:tbl>
    <w:p w14:paraId="52577101"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38"/>
        <w:gridCol w:w="2956"/>
        <w:gridCol w:w="3426"/>
        <w:gridCol w:w="3431"/>
      </w:tblGrid>
      <w:tr w:rsidR="00005022" w:rsidRPr="007C4D65" w14:paraId="0CDCEBCE" w14:textId="77777777" w:rsidTr="00BC37DE">
        <w:trPr>
          <w:trHeight w:val="567"/>
          <w:jc w:val="center"/>
        </w:trPr>
        <w:tc>
          <w:tcPr>
            <w:tcW w:w="1325" w:type="pct"/>
            <w:shd w:val="clear" w:color="auto" w:fill="009D73"/>
            <w:vAlign w:val="center"/>
          </w:tcPr>
          <w:p w14:paraId="7F97210E" w14:textId="3BF2899A"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75" w:type="pct"/>
            <w:gridSpan w:val="3"/>
            <w:shd w:val="clear" w:color="auto" w:fill="FFFFFF"/>
            <w:vAlign w:val="center"/>
          </w:tcPr>
          <w:p w14:paraId="63DC134A" w14:textId="0D70ECEE"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44096A" w:rsidRPr="007C4D65">
              <w:rPr>
                <w:rFonts w:asciiTheme="minorHAnsi" w:eastAsia="Calibri" w:hAnsiTheme="minorHAnsi" w:cstheme="minorHAnsi"/>
                <w:b/>
                <w:bCs/>
                <w:sz w:val="18"/>
                <w:szCs w:val="18"/>
                <w:lang w:eastAsia="en-US"/>
              </w:rPr>
              <w:t>Maintaining and improving biodiversity and protecting ecosystems</w:t>
            </w:r>
          </w:p>
        </w:tc>
      </w:tr>
      <w:tr w:rsidR="00005022" w:rsidRPr="007C4D65" w14:paraId="0C64F08F" w14:textId="77777777" w:rsidTr="00BC37DE">
        <w:trPr>
          <w:trHeight w:val="567"/>
          <w:jc w:val="center"/>
        </w:trPr>
        <w:tc>
          <w:tcPr>
            <w:tcW w:w="1325" w:type="pct"/>
            <w:shd w:val="clear" w:color="auto" w:fill="009D73"/>
            <w:vAlign w:val="center"/>
          </w:tcPr>
          <w:p w14:paraId="124F033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75" w:type="pct"/>
            <w:gridSpan w:val="3"/>
            <w:shd w:val="clear" w:color="auto" w:fill="FFFFFF"/>
            <w:vAlign w:val="center"/>
          </w:tcPr>
          <w:p w14:paraId="7C3B5CD2" w14:textId="352FBD96" w:rsidR="00005022" w:rsidRPr="007C4D65" w:rsidRDefault="00005022" w:rsidP="00005022">
            <w:pPr>
              <w:spacing w:before="40" w:after="40" w:line="276" w:lineRule="auto"/>
              <w:rPr>
                <w:rFonts w:asciiTheme="minorHAnsi" w:hAnsiTheme="minorHAnsi" w:cstheme="minorHAnsi"/>
                <w:b/>
                <w:bCs/>
                <w:color w:val="FF0000"/>
                <w:sz w:val="18"/>
                <w:szCs w:val="18"/>
                <w:lang w:eastAsia="zh-TW"/>
              </w:rPr>
            </w:pPr>
            <w:bookmarkStart w:id="279" w:name="_Hlk94620167"/>
            <w:r w:rsidRPr="007C4D65">
              <w:rPr>
                <w:rFonts w:asciiTheme="minorHAnsi" w:hAnsiTheme="minorHAnsi" w:cstheme="minorHAnsi"/>
                <w:b/>
                <w:bCs/>
                <w:sz w:val="18"/>
                <w:szCs w:val="18"/>
                <w:lang w:eastAsia="zh-TW"/>
              </w:rPr>
              <w:t xml:space="preserve">3.5 </w:t>
            </w:r>
            <w:r w:rsidR="0082294E" w:rsidRPr="007C4D65">
              <w:rPr>
                <w:rFonts w:asciiTheme="minorHAnsi" w:hAnsiTheme="minorHAnsi" w:cstheme="minorHAnsi"/>
                <w:b/>
                <w:bCs/>
                <w:sz w:val="18"/>
                <w:szCs w:val="18"/>
                <w:lang w:eastAsia="zh-TW"/>
              </w:rPr>
              <w:t>Complete an</w:t>
            </w:r>
            <w:r w:rsidRPr="007C4D65">
              <w:rPr>
                <w:rFonts w:asciiTheme="minorHAnsi" w:hAnsiTheme="minorHAnsi" w:cstheme="minorHAnsi"/>
                <w:b/>
                <w:bCs/>
                <w:sz w:val="18"/>
                <w:szCs w:val="18"/>
                <w:lang w:eastAsia="zh-TW"/>
              </w:rPr>
              <w:t xml:space="preserve"> inventory of the FBiH biodiversity at the ecosystem, species and genetic levels</w:t>
            </w:r>
            <w:bookmarkEnd w:id="279"/>
          </w:p>
        </w:tc>
      </w:tr>
      <w:tr w:rsidR="00005022" w:rsidRPr="007C4D65" w14:paraId="358092B5" w14:textId="77777777" w:rsidTr="00BC37DE">
        <w:trPr>
          <w:trHeight w:val="567"/>
          <w:jc w:val="center"/>
        </w:trPr>
        <w:tc>
          <w:tcPr>
            <w:tcW w:w="1325" w:type="pct"/>
            <w:shd w:val="clear" w:color="auto" w:fill="009D73"/>
            <w:vAlign w:val="center"/>
          </w:tcPr>
          <w:p w14:paraId="176D52A0"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75" w:type="pct"/>
            <w:gridSpan w:val="3"/>
            <w:shd w:val="clear" w:color="auto" w:fill="auto"/>
            <w:vAlign w:val="center"/>
          </w:tcPr>
          <w:p w14:paraId="58079233" w14:textId="327C4737" w:rsidR="00005022" w:rsidRPr="007C4D65" w:rsidRDefault="00005022" w:rsidP="00005022">
            <w:pPr>
              <w:spacing w:line="276" w:lineRule="auto"/>
              <w:rPr>
                <w:rFonts w:asciiTheme="minorHAnsi" w:eastAsia="Calibri" w:hAnsiTheme="minorHAnsi" w:cstheme="minorHAnsi"/>
                <w:b/>
                <w:bCs/>
                <w:sz w:val="18"/>
                <w:szCs w:val="18"/>
                <w:lang w:eastAsia="en-US"/>
              </w:rPr>
            </w:pPr>
            <w:bookmarkStart w:id="280" w:name="_Hlk94620238"/>
            <w:r w:rsidRPr="007C4D65">
              <w:rPr>
                <w:rFonts w:asciiTheme="minorHAnsi" w:eastAsia="Calibri" w:hAnsiTheme="minorHAnsi" w:cstheme="minorHAnsi"/>
                <w:b/>
                <w:bCs/>
                <w:sz w:val="18"/>
                <w:szCs w:val="18"/>
                <w:lang w:eastAsia="en-US"/>
              </w:rPr>
              <w:t xml:space="preserve">3.5.1 </w:t>
            </w:r>
            <w:r w:rsidR="00C224E3" w:rsidRPr="007C4D65">
              <w:rPr>
                <w:rFonts w:asciiTheme="minorHAnsi" w:eastAsia="Calibri" w:hAnsiTheme="minorHAnsi" w:cstheme="minorHAnsi"/>
                <w:b/>
                <w:bCs/>
                <w:sz w:val="18"/>
                <w:szCs w:val="18"/>
                <w:lang w:eastAsia="en-US"/>
              </w:rPr>
              <w:t>Complete</w:t>
            </w:r>
            <w:r w:rsidRPr="007C4D65">
              <w:rPr>
                <w:rFonts w:asciiTheme="minorHAnsi" w:eastAsia="Calibri" w:hAnsiTheme="minorHAnsi" w:cstheme="minorHAnsi"/>
                <w:b/>
                <w:bCs/>
                <w:sz w:val="18"/>
                <w:szCs w:val="18"/>
                <w:lang w:eastAsia="en-US"/>
              </w:rPr>
              <w:t xml:space="preserve"> an inventory of flora, fauna, fungi and genetic diversity of the F</w:t>
            </w:r>
            <w:r w:rsidR="00C224E3" w:rsidRPr="007C4D65">
              <w:rPr>
                <w:rFonts w:asciiTheme="minorHAnsi" w:eastAsia="Calibri" w:hAnsiTheme="minorHAnsi" w:cstheme="minorHAnsi"/>
                <w:b/>
                <w:bCs/>
                <w:sz w:val="18"/>
                <w:szCs w:val="18"/>
                <w:lang w:eastAsia="en-US"/>
              </w:rPr>
              <w:t xml:space="preserve">ederation of </w:t>
            </w:r>
            <w:r w:rsidRPr="007C4D65">
              <w:rPr>
                <w:rFonts w:asciiTheme="minorHAnsi" w:eastAsia="Calibri" w:hAnsiTheme="minorHAnsi" w:cstheme="minorHAnsi"/>
                <w:b/>
                <w:bCs/>
                <w:sz w:val="18"/>
                <w:szCs w:val="18"/>
                <w:lang w:eastAsia="en-US"/>
              </w:rPr>
              <w:t>BiH</w:t>
            </w:r>
            <w:bookmarkEnd w:id="280"/>
          </w:p>
        </w:tc>
      </w:tr>
      <w:tr w:rsidR="00005022" w:rsidRPr="007C4D65" w14:paraId="6E324EBD" w14:textId="77777777" w:rsidTr="00BC37DE">
        <w:trPr>
          <w:trHeight w:val="567"/>
          <w:jc w:val="center"/>
        </w:trPr>
        <w:tc>
          <w:tcPr>
            <w:tcW w:w="1325" w:type="pct"/>
            <w:shd w:val="clear" w:color="auto" w:fill="009D73"/>
            <w:vAlign w:val="center"/>
          </w:tcPr>
          <w:p w14:paraId="2088FDF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75" w:type="pct"/>
            <w:gridSpan w:val="3"/>
            <w:shd w:val="clear" w:color="auto" w:fill="FFFFFF"/>
            <w:vAlign w:val="center"/>
          </w:tcPr>
          <w:p w14:paraId="42841997" w14:textId="36B77F76"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281" w:name="_Hlk94620482"/>
            <w:r w:rsidRPr="007C4D65">
              <w:rPr>
                <w:rFonts w:asciiTheme="minorHAnsi" w:eastAsia="Calibri" w:hAnsiTheme="minorHAnsi" w:cstheme="minorHAnsi"/>
                <w:sz w:val="18"/>
                <w:szCs w:val="18"/>
                <w:lang w:eastAsia="en-US"/>
              </w:rPr>
              <w:t>The aim of this measure is to prepare and implement a plan and financial program</w:t>
            </w:r>
            <w:r w:rsidR="00227D11" w:rsidRPr="007C4D65">
              <w:rPr>
                <w:rFonts w:asciiTheme="minorHAnsi" w:eastAsia="Calibri" w:hAnsiTheme="minorHAnsi" w:cstheme="minorHAnsi"/>
                <w:sz w:val="18"/>
                <w:szCs w:val="18"/>
                <w:lang w:eastAsia="en-US"/>
              </w:rPr>
              <w:t>me</w:t>
            </w:r>
            <w:r w:rsidRPr="007C4D65">
              <w:rPr>
                <w:rFonts w:asciiTheme="minorHAnsi" w:eastAsia="Calibri" w:hAnsiTheme="minorHAnsi" w:cstheme="minorHAnsi"/>
                <w:sz w:val="18"/>
                <w:szCs w:val="18"/>
                <w:lang w:eastAsia="en-US"/>
              </w:rPr>
              <w:t xml:space="preserve"> for the inventory of flora and fauna, and fungi, with the associated genetic diversity of these groups of organisms in the FBiH.</w:t>
            </w:r>
          </w:p>
          <w:bookmarkEnd w:id="281"/>
          <w:p w14:paraId="60D6916B" w14:textId="32B9DDE6"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971FDB" w:rsidRPr="007C4D65">
              <w:rPr>
                <w:rFonts w:asciiTheme="minorHAnsi" w:eastAsia="Calibri" w:hAnsiTheme="minorHAnsi" w:cstheme="minorHAnsi"/>
                <w:sz w:val="18"/>
                <w:szCs w:val="18"/>
                <w:lang w:eastAsia="en-US"/>
              </w:rPr>
              <w:t>eneral area</w:t>
            </w:r>
            <w:r w:rsidRPr="007C4D65">
              <w:rPr>
                <w:rFonts w:asciiTheme="minorHAnsi" w:eastAsia="Calibri" w:hAnsiTheme="minorHAnsi" w:cstheme="minorHAnsi"/>
                <w:sz w:val="18"/>
                <w:szCs w:val="18"/>
                <w:lang w:eastAsia="en-US"/>
              </w:rPr>
              <w:t>s</w:t>
            </w:r>
            <w:r w:rsidR="00971FDB" w:rsidRPr="007C4D65">
              <w:rPr>
                <w:rFonts w:asciiTheme="minorHAnsi" w:eastAsia="Calibri" w:hAnsiTheme="minorHAnsi" w:cstheme="minorHAnsi"/>
                <w:sz w:val="18"/>
                <w:szCs w:val="18"/>
                <w:lang w:eastAsia="en-US"/>
              </w:rPr>
              <w:t xml:space="preserve"> of intervention include</w:t>
            </w:r>
            <w:r w:rsidR="00005022" w:rsidRPr="007C4D65">
              <w:rPr>
                <w:rFonts w:asciiTheme="minorHAnsi" w:eastAsia="Calibri" w:hAnsiTheme="minorHAnsi" w:cstheme="minorHAnsi"/>
                <w:sz w:val="18"/>
                <w:szCs w:val="18"/>
                <w:lang w:eastAsia="en-US"/>
              </w:rPr>
              <w:t>:</w:t>
            </w:r>
          </w:p>
          <w:p w14:paraId="22958E5D" w14:textId="0475E96A" w:rsidR="00005022" w:rsidRPr="007C4D65" w:rsidRDefault="00005022" w:rsidP="00005022">
            <w:pPr>
              <w:numPr>
                <w:ilvl w:val="0"/>
                <w:numId w:val="25"/>
              </w:numPr>
              <w:spacing w:after="16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lastRenderedPageBreak/>
              <w:t xml:space="preserve">Prepare and implement a plan for the inventory of flora, fauna, fungi and migratory African-Eurasian bird species in the </w:t>
            </w:r>
            <w:proofErr w:type="gramStart"/>
            <w:r w:rsidRPr="007C4D65">
              <w:rPr>
                <w:rFonts w:asciiTheme="minorHAnsi" w:eastAsia="Calibri" w:hAnsiTheme="minorHAnsi" w:cstheme="minorHAnsi"/>
                <w:sz w:val="18"/>
                <w:szCs w:val="18"/>
                <w:lang w:eastAsia="en-US"/>
              </w:rPr>
              <w:t>FBiH</w:t>
            </w:r>
            <w:r w:rsidR="00B30020" w:rsidRPr="007C4D65">
              <w:rPr>
                <w:rFonts w:asciiTheme="minorHAnsi" w:eastAsia="Calibri" w:hAnsiTheme="minorHAnsi" w:cstheme="minorHAnsi"/>
                <w:sz w:val="18"/>
                <w:szCs w:val="18"/>
                <w:lang w:eastAsia="en-US"/>
              </w:rPr>
              <w:t>;</w:t>
            </w:r>
            <w:proofErr w:type="gramEnd"/>
          </w:p>
          <w:p w14:paraId="5E834D1E" w14:textId="2CA137CC" w:rsidR="00005022" w:rsidRPr="007C4D65" w:rsidRDefault="00005022" w:rsidP="00005022">
            <w:pPr>
              <w:numPr>
                <w:ilvl w:val="0"/>
                <w:numId w:val="25"/>
              </w:numPr>
              <w:spacing w:after="160" w:line="276" w:lineRule="auto"/>
              <w:contextualSpacing/>
              <w:rPr>
                <w:rFonts w:asciiTheme="minorHAnsi" w:eastAsiaTheme="minorHAnsi" w:hAnsiTheme="minorHAnsi" w:cstheme="minorHAnsi"/>
                <w:sz w:val="18"/>
                <w:szCs w:val="18"/>
                <w:lang w:eastAsia="en-US"/>
              </w:rPr>
            </w:pPr>
            <w:r w:rsidRPr="007C4D65">
              <w:rPr>
                <w:rFonts w:asciiTheme="minorHAnsi" w:eastAsia="Calibri" w:hAnsiTheme="minorHAnsi" w:cstheme="minorHAnsi"/>
                <w:sz w:val="18"/>
                <w:szCs w:val="18"/>
                <w:lang w:eastAsia="en-US"/>
              </w:rPr>
              <w:t>Prepare a program</w:t>
            </w:r>
            <w:r w:rsidR="00227D11" w:rsidRPr="007C4D65">
              <w:rPr>
                <w:rFonts w:asciiTheme="minorHAnsi" w:eastAsia="Calibri" w:hAnsiTheme="minorHAnsi" w:cstheme="minorHAnsi"/>
                <w:sz w:val="18"/>
                <w:szCs w:val="18"/>
                <w:lang w:eastAsia="en-US"/>
              </w:rPr>
              <w:t>me</w:t>
            </w:r>
            <w:r w:rsidRPr="007C4D65">
              <w:rPr>
                <w:rFonts w:asciiTheme="minorHAnsi" w:eastAsia="Calibri" w:hAnsiTheme="minorHAnsi" w:cstheme="minorHAnsi"/>
                <w:sz w:val="18"/>
                <w:szCs w:val="18"/>
                <w:lang w:eastAsia="en-US"/>
              </w:rPr>
              <w:t xml:space="preserve"> for financing the inventory of flora, fauna, fungi and migratory African-Eurasian bird species in the FBiH</w:t>
            </w:r>
            <w:r w:rsidR="00B30020" w:rsidRPr="007C4D65">
              <w:rPr>
                <w:rFonts w:asciiTheme="minorHAnsi" w:eastAsiaTheme="minorHAnsi" w:hAnsiTheme="minorHAnsi" w:cstheme="minorHAnsi"/>
                <w:sz w:val="18"/>
                <w:szCs w:val="18"/>
                <w:lang w:eastAsia="en-US"/>
              </w:rPr>
              <w:t>.</w:t>
            </w:r>
          </w:p>
        </w:tc>
      </w:tr>
      <w:tr w:rsidR="00005022" w:rsidRPr="007C4D65" w14:paraId="03E4B3ED" w14:textId="77777777" w:rsidTr="00BC37DE">
        <w:trPr>
          <w:trHeight w:val="567"/>
          <w:jc w:val="center"/>
        </w:trPr>
        <w:tc>
          <w:tcPr>
            <w:tcW w:w="1325" w:type="pct"/>
            <w:shd w:val="clear" w:color="auto" w:fill="009D73"/>
            <w:vAlign w:val="center"/>
          </w:tcPr>
          <w:p w14:paraId="1B03968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Strategic projects</w:t>
            </w:r>
          </w:p>
        </w:tc>
        <w:tc>
          <w:tcPr>
            <w:tcW w:w="3675" w:type="pct"/>
            <w:gridSpan w:val="3"/>
            <w:tcBorders>
              <w:bottom w:val="single" w:sz="4" w:space="0" w:color="A6A6A6"/>
            </w:tcBorders>
            <w:shd w:val="clear" w:color="auto" w:fill="FFFFFF" w:themeFill="background1"/>
            <w:vAlign w:val="center"/>
          </w:tcPr>
          <w:p w14:paraId="73B1B7CA"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0A372AA1" w14:textId="77777777" w:rsidTr="00BC37DE">
        <w:trPr>
          <w:trHeight w:val="567"/>
          <w:jc w:val="center"/>
        </w:trPr>
        <w:tc>
          <w:tcPr>
            <w:tcW w:w="1325" w:type="pct"/>
            <w:vMerge w:val="restart"/>
            <w:shd w:val="clear" w:color="auto" w:fill="009D73"/>
            <w:vAlign w:val="center"/>
          </w:tcPr>
          <w:p w14:paraId="77D7422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107" w:type="pct"/>
            <w:shd w:val="clear" w:color="auto" w:fill="009D73"/>
            <w:vAlign w:val="center"/>
          </w:tcPr>
          <w:p w14:paraId="181258DF"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12E81032"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6BC215F1"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0FD0BF35"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56440315"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19995514" w14:textId="77777777" w:rsidTr="00BC37DE">
        <w:trPr>
          <w:trHeight w:val="567"/>
          <w:jc w:val="center"/>
        </w:trPr>
        <w:tc>
          <w:tcPr>
            <w:tcW w:w="1325" w:type="pct"/>
            <w:vMerge/>
            <w:shd w:val="clear" w:color="auto" w:fill="009D73"/>
            <w:vAlign w:val="center"/>
          </w:tcPr>
          <w:p w14:paraId="016B087B"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107" w:type="pct"/>
            <w:shd w:val="clear" w:color="auto" w:fill="FFFFFF"/>
            <w:vAlign w:val="center"/>
          </w:tcPr>
          <w:p w14:paraId="02310DAF" w14:textId="668B6574"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Degree of completeness of the inventory of plants, animals, fungi and migratory birds</w:t>
            </w:r>
            <w:r w:rsidR="00227D11" w:rsidRPr="007C4D65">
              <w:rPr>
                <w:rFonts w:asciiTheme="minorHAnsi" w:eastAsia="Calibri" w:hAnsiTheme="minorHAnsi" w:cstheme="minorHAnsi"/>
                <w:sz w:val="18"/>
                <w:szCs w:val="18"/>
                <w:lang w:eastAsia="x-none"/>
              </w:rPr>
              <w:t xml:space="preserve"> in the Federation of BiH</w:t>
            </w:r>
          </w:p>
        </w:tc>
        <w:tc>
          <w:tcPr>
            <w:tcW w:w="1283" w:type="pct"/>
            <w:shd w:val="clear" w:color="auto" w:fill="FFFFFF"/>
            <w:vAlign w:val="center"/>
          </w:tcPr>
          <w:p w14:paraId="2EE6B27E" w14:textId="398A5B94"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No inventory of plants, animals, fungi, migratory birds in the </w:t>
            </w:r>
            <w:r w:rsidR="00227D11" w:rsidRPr="007C4D65">
              <w:rPr>
                <w:rFonts w:asciiTheme="minorHAnsi" w:eastAsiaTheme="minorHAnsi" w:hAnsiTheme="minorHAnsi" w:cstheme="minorHAnsi"/>
                <w:sz w:val="18"/>
                <w:szCs w:val="18"/>
                <w:lang w:eastAsia="en-US" w:bidi="en-US"/>
              </w:rPr>
              <w:t>Federation of BiH</w:t>
            </w:r>
            <w:r w:rsidRPr="007C4D65">
              <w:rPr>
                <w:rFonts w:asciiTheme="minorHAnsi" w:eastAsiaTheme="minorHAnsi" w:hAnsiTheme="minorHAnsi" w:cstheme="minorHAnsi"/>
                <w:sz w:val="18"/>
                <w:szCs w:val="18"/>
                <w:lang w:eastAsia="en-US" w:bidi="en-US"/>
              </w:rPr>
              <w:t xml:space="preserve"> has been made</w:t>
            </w:r>
          </w:p>
        </w:tc>
        <w:tc>
          <w:tcPr>
            <w:tcW w:w="1284" w:type="pct"/>
            <w:shd w:val="clear" w:color="auto" w:fill="FFFFFF"/>
            <w:vAlign w:val="center"/>
          </w:tcPr>
          <w:p w14:paraId="635A486C" w14:textId="76B4AA6C"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Inventory of plants, animals, fungi and migratory birds in the </w:t>
            </w:r>
            <w:r w:rsidR="00227D11" w:rsidRPr="007C4D65">
              <w:rPr>
                <w:rFonts w:asciiTheme="minorHAnsi" w:eastAsia="Calibri" w:hAnsiTheme="minorHAnsi" w:cstheme="minorHAnsi"/>
                <w:sz w:val="18"/>
                <w:szCs w:val="18"/>
                <w:lang w:eastAsia="x-none"/>
              </w:rPr>
              <w:t>Federation of BiH</w:t>
            </w:r>
            <w:r w:rsidRPr="007C4D65">
              <w:rPr>
                <w:rFonts w:asciiTheme="minorHAnsi" w:eastAsia="Calibri" w:hAnsiTheme="minorHAnsi" w:cstheme="minorHAnsi"/>
                <w:sz w:val="18"/>
                <w:szCs w:val="18"/>
                <w:lang w:eastAsia="x-none"/>
              </w:rPr>
              <w:t xml:space="preserve"> completed</w:t>
            </w:r>
          </w:p>
        </w:tc>
      </w:tr>
      <w:tr w:rsidR="00005022" w:rsidRPr="007C4D65" w14:paraId="14C45D75" w14:textId="77777777" w:rsidTr="00BC37DE">
        <w:trPr>
          <w:trHeight w:val="567"/>
          <w:jc w:val="center"/>
        </w:trPr>
        <w:tc>
          <w:tcPr>
            <w:tcW w:w="1325" w:type="pct"/>
            <w:shd w:val="clear" w:color="auto" w:fill="009D73"/>
            <w:vAlign w:val="center"/>
          </w:tcPr>
          <w:p w14:paraId="2A61A96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Development effect and contribution of the measure to the implementation of the priorities </w:t>
            </w:r>
          </w:p>
        </w:tc>
        <w:tc>
          <w:tcPr>
            <w:tcW w:w="3675" w:type="pct"/>
            <w:gridSpan w:val="3"/>
            <w:shd w:val="clear" w:color="auto" w:fill="FFFFFF"/>
            <w:vAlign w:val="center"/>
          </w:tcPr>
          <w:p w14:paraId="7FAC6C51" w14:textId="2B89767B" w:rsidR="00005022" w:rsidRPr="007C4D65" w:rsidRDefault="0082294E"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protection and enhanced biodiversity at all levels</w:t>
            </w:r>
          </w:p>
        </w:tc>
      </w:tr>
      <w:tr w:rsidR="00005022" w:rsidRPr="007C4D65" w14:paraId="03539FA6" w14:textId="77777777" w:rsidTr="00BC37DE">
        <w:trPr>
          <w:trHeight w:val="567"/>
          <w:jc w:val="center"/>
        </w:trPr>
        <w:tc>
          <w:tcPr>
            <w:tcW w:w="1325" w:type="pct"/>
            <w:shd w:val="clear" w:color="auto" w:fill="009D73"/>
            <w:vAlign w:val="center"/>
          </w:tcPr>
          <w:p w14:paraId="4C42190F" w14:textId="48F4E42A"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75" w:type="pct"/>
            <w:gridSpan w:val="3"/>
            <w:shd w:val="clear" w:color="auto" w:fill="FFFFFF"/>
            <w:vAlign w:val="center"/>
          </w:tcPr>
          <w:p w14:paraId="025E377B" w14:textId="441B5865" w:rsidR="0082294E" w:rsidRPr="007C4D65" w:rsidRDefault="0082294E" w:rsidP="0082294E">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eastAsiaTheme="minorHAnsi" w:hAnsiTheme="minorHAnsi" w:cstheme="minorHAnsi"/>
                <w:bCs/>
                <w:sz w:val="18"/>
                <w:szCs w:val="18"/>
                <w:lang w:eastAsia="en-US" w:bidi="en-US"/>
              </w:rPr>
              <w:t>Amount: BAM 24,084,819</w:t>
            </w:r>
          </w:p>
          <w:p w14:paraId="1EC84033" w14:textId="2896A421" w:rsidR="00005022" w:rsidRPr="007C4D65" w:rsidRDefault="0082294E" w:rsidP="0082294E">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eastAsiaTheme="minorHAnsi" w:hAnsiTheme="minorHAnsi" w:cstheme="minorHAnsi"/>
                <w:bCs/>
                <w:sz w:val="18"/>
                <w:szCs w:val="18"/>
                <w:lang w:eastAsia="en-US" w:bidi="en-US"/>
              </w:rPr>
              <w:t xml:space="preserve">Source: 20% </w:t>
            </w:r>
            <w:r w:rsidR="000E401F" w:rsidRPr="007C4D65">
              <w:rPr>
                <w:rFonts w:asciiTheme="minorHAnsi" w:eastAsiaTheme="minorHAnsi" w:hAnsiTheme="minorHAnsi" w:cstheme="minorHAnsi"/>
                <w:bCs/>
                <w:sz w:val="18"/>
                <w:szCs w:val="18"/>
                <w:lang w:eastAsia="en-US" w:bidi="en-US"/>
              </w:rPr>
              <w:t>government budget</w:t>
            </w:r>
            <w:r w:rsidRPr="007C4D65">
              <w:rPr>
                <w:rFonts w:asciiTheme="minorHAnsi" w:eastAsiaTheme="minorHAnsi" w:hAnsiTheme="minorHAnsi" w:cstheme="minorHAnsi"/>
                <w:bCs/>
                <w:sz w:val="18"/>
                <w:szCs w:val="18"/>
                <w:lang w:eastAsia="en-US" w:bidi="en-US"/>
              </w:rPr>
              <w:t>, 80% combined ‒ funds from EU, other donors and other donations</w:t>
            </w:r>
          </w:p>
        </w:tc>
      </w:tr>
      <w:tr w:rsidR="00005022" w:rsidRPr="007C4D65" w14:paraId="5ACB074E" w14:textId="77777777" w:rsidTr="00BC37DE">
        <w:trPr>
          <w:trHeight w:val="567"/>
          <w:jc w:val="center"/>
        </w:trPr>
        <w:tc>
          <w:tcPr>
            <w:tcW w:w="1325" w:type="pct"/>
            <w:shd w:val="clear" w:color="auto" w:fill="009D73"/>
            <w:vAlign w:val="center"/>
          </w:tcPr>
          <w:p w14:paraId="3A2062D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75" w:type="pct"/>
            <w:gridSpan w:val="3"/>
            <w:shd w:val="clear" w:color="auto" w:fill="FFFFFF"/>
            <w:vAlign w:val="center"/>
          </w:tcPr>
          <w:p w14:paraId="077CD383"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2022 - 2027</w:t>
            </w:r>
          </w:p>
        </w:tc>
      </w:tr>
      <w:tr w:rsidR="00005022" w:rsidRPr="007C4D65" w14:paraId="2DCB6E59" w14:textId="77777777" w:rsidTr="00BC37DE">
        <w:trPr>
          <w:trHeight w:val="567"/>
          <w:jc w:val="center"/>
        </w:trPr>
        <w:tc>
          <w:tcPr>
            <w:tcW w:w="1325" w:type="pct"/>
            <w:shd w:val="clear" w:color="auto" w:fill="009D73"/>
            <w:vAlign w:val="center"/>
          </w:tcPr>
          <w:p w14:paraId="39E4167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75" w:type="pct"/>
            <w:gridSpan w:val="3"/>
            <w:shd w:val="clear" w:color="auto" w:fill="FFFFFF"/>
            <w:vAlign w:val="center"/>
          </w:tcPr>
          <w:p w14:paraId="7E3E0ED1"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71FDE101" w14:textId="77777777" w:rsidTr="00BC37DE">
        <w:trPr>
          <w:trHeight w:val="567"/>
          <w:jc w:val="center"/>
        </w:trPr>
        <w:tc>
          <w:tcPr>
            <w:tcW w:w="1325" w:type="pct"/>
            <w:shd w:val="clear" w:color="auto" w:fill="009D73"/>
            <w:vAlign w:val="center"/>
          </w:tcPr>
          <w:p w14:paraId="7055211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Implementing institutions </w:t>
            </w:r>
          </w:p>
        </w:tc>
        <w:tc>
          <w:tcPr>
            <w:tcW w:w="3675" w:type="pct"/>
            <w:gridSpan w:val="3"/>
            <w:shd w:val="clear" w:color="auto" w:fill="FFFFFF"/>
            <w:vAlign w:val="center"/>
          </w:tcPr>
          <w:p w14:paraId="0CE2C074"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FBiH Government, EPF, scientific institutions, non-governmental organizations</w:t>
            </w:r>
          </w:p>
        </w:tc>
      </w:tr>
      <w:tr w:rsidR="00005022" w:rsidRPr="007C4D65" w14:paraId="4D95363F" w14:textId="77777777" w:rsidTr="00BC37DE">
        <w:trPr>
          <w:trHeight w:val="567"/>
          <w:jc w:val="center"/>
        </w:trPr>
        <w:tc>
          <w:tcPr>
            <w:tcW w:w="1325" w:type="pct"/>
            <w:shd w:val="clear" w:color="auto" w:fill="009D73"/>
            <w:vAlign w:val="center"/>
          </w:tcPr>
          <w:p w14:paraId="33ADCC6A" w14:textId="7ECD502B"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75" w:type="pct"/>
            <w:gridSpan w:val="3"/>
            <w:shd w:val="clear" w:color="auto" w:fill="FFFFFF"/>
            <w:vAlign w:val="center"/>
          </w:tcPr>
          <w:p w14:paraId="2D87CB76"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Line and sectoral ministries, scientific institutions, non-governmental organizations, the public</w:t>
            </w:r>
          </w:p>
        </w:tc>
      </w:tr>
    </w:tbl>
    <w:p w14:paraId="704EFA8E"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38"/>
        <w:gridCol w:w="2956"/>
        <w:gridCol w:w="3426"/>
        <w:gridCol w:w="3431"/>
      </w:tblGrid>
      <w:tr w:rsidR="00005022" w:rsidRPr="007C4D65" w14:paraId="47C9A77E" w14:textId="77777777" w:rsidTr="00BC37DE">
        <w:trPr>
          <w:trHeight w:val="567"/>
          <w:jc w:val="center"/>
        </w:trPr>
        <w:tc>
          <w:tcPr>
            <w:tcW w:w="1325" w:type="pct"/>
            <w:shd w:val="clear" w:color="auto" w:fill="009D73"/>
            <w:vAlign w:val="center"/>
          </w:tcPr>
          <w:p w14:paraId="20EF1A77" w14:textId="20D3BEE8"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75" w:type="pct"/>
            <w:gridSpan w:val="3"/>
            <w:shd w:val="clear" w:color="auto" w:fill="FFFFFF"/>
            <w:vAlign w:val="center"/>
          </w:tcPr>
          <w:p w14:paraId="0FD70AE5" w14:textId="30FE30EE"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971FDB" w:rsidRPr="007C4D65">
              <w:rPr>
                <w:rFonts w:asciiTheme="minorHAnsi" w:eastAsia="Calibri" w:hAnsiTheme="minorHAnsi" w:cstheme="minorHAnsi"/>
                <w:b/>
                <w:bCs/>
                <w:sz w:val="18"/>
                <w:szCs w:val="18"/>
                <w:lang w:eastAsia="en-US"/>
              </w:rPr>
              <w:t>Maintaining and improving biodiversity and protecting ecosystems</w:t>
            </w:r>
          </w:p>
        </w:tc>
      </w:tr>
      <w:tr w:rsidR="00005022" w:rsidRPr="007C4D65" w14:paraId="4E8B872B" w14:textId="77777777" w:rsidTr="00BC37DE">
        <w:trPr>
          <w:trHeight w:val="567"/>
          <w:jc w:val="center"/>
        </w:trPr>
        <w:tc>
          <w:tcPr>
            <w:tcW w:w="1325" w:type="pct"/>
            <w:shd w:val="clear" w:color="auto" w:fill="009D73"/>
            <w:vAlign w:val="center"/>
          </w:tcPr>
          <w:p w14:paraId="1E2B5E5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75" w:type="pct"/>
            <w:gridSpan w:val="3"/>
            <w:shd w:val="clear" w:color="auto" w:fill="FFFFFF"/>
            <w:vAlign w:val="center"/>
          </w:tcPr>
          <w:p w14:paraId="00D034F0" w14:textId="69301785" w:rsidR="00005022" w:rsidRPr="007C4D65" w:rsidRDefault="00005022" w:rsidP="00005022">
            <w:pPr>
              <w:spacing w:before="40" w:after="40" w:line="276" w:lineRule="auto"/>
              <w:rPr>
                <w:rFonts w:asciiTheme="minorHAnsi" w:hAnsiTheme="minorHAnsi" w:cstheme="minorHAnsi"/>
                <w:b/>
                <w:bCs/>
                <w:color w:val="FF0000"/>
                <w:sz w:val="18"/>
                <w:szCs w:val="18"/>
                <w:lang w:eastAsia="zh-TW"/>
              </w:rPr>
            </w:pPr>
            <w:r w:rsidRPr="007C4D65">
              <w:rPr>
                <w:rFonts w:asciiTheme="minorHAnsi" w:hAnsiTheme="minorHAnsi" w:cstheme="minorHAnsi"/>
                <w:b/>
                <w:bCs/>
                <w:sz w:val="18"/>
                <w:szCs w:val="18"/>
                <w:lang w:eastAsia="zh-TW"/>
              </w:rPr>
              <w:t xml:space="preserve">3.5 </w:t>
            </w:r>
            <w:r w:rsidR="00971FDB" w:rsidRPr="007C4D65">
              <w:rPr>
                <w:rFonts w:asciiTheme="minorHAnsi" w:hAnsiTheme="minorHAnsi" w:cstheme="minorHAnsi"/>
                <w:b/>
                <w:bCs/>
                <w:sz w:val="18"/>
                <w:szCs w:val="18"/>
                <w:lang w:eastAsia="zh-TW"/>
              </w:rPr>
              <w:t>Complete an</w:t>
            </w:r>
            <w:r w:rsidRPr="007C4D65">
              <w:rPr>
                <w:rFonts w:asciiTheme="minorHAnsi" w:hAnsiTheme="minorHAnsi" w:cstheme="minorHAnsi"/>
                <w:b/>
                <w:bCs/>
                <w:sz w:val="18"/>
                <w:szCs w:val="18"/>
                <w:lang w:eastAsia="zh-TW"/>
              </w:rPr>
              <w:t xml:space="preserve"> inventory of biodiversity</w:t>
            </w:r>
            <w:r w:rsidR="00971FDB" w:rsidRPr="007C4D65">
              <w:rPr>
                <w:rFonts w:asciiTheme="minorHAnsi" w:hAnsiTheme="minorHAnsi" w:cstheme="minorHAnsi"/>
                <w:b/>
                <w:bCs/>
                <w:sz w:val="18"/>
                <w:szCs w:val="18"/>
                <w:lang w:eastAsia="zh-TW"/>
              </w:rPr>
              <w:t xml:space="preserve"> in the Federation of BiH</w:t>
            </w:r>
            <w:r w:rsidRPr="007C4D65">
              <w:rPr>
                <w:rFonts w:asciiTheme="minorHAnsi" w:hAnsiTheme="minorHAnsi" w:cstheme="minorHAnsi"/>
                <w:b/>
                <w:bCs/>
                <w:sz w:val="18"/>
                <w:szCs w:val="18"/>
                <w:lang w:eastAsia="zh-TW"/>
              </w:rPr>
              <w:t xml:space="preserve"> at the ecosystem, species and genetic levels</w:t>
            </w:r>
          </w:p>
        </w:tc>
      </w:tr>
      <w:tr w:rsidR="00005022" w:rsidRPr="007C4D65" w14:paraId="2C624CDC" w14:textId="77777777" w:rsidTr="00BC37DE">
        <w:trPr>
          <w:trHeight w:val="567"/>
          <w:jc w:val="center"/>
        </w:trPr>
        <w:tc>
          <w:tcPr>
            <w:tcW w:w="1325" w:type="pct"/>
            <w:shd w:val="clear" w:color="auto" w:fill="009D73"/>
            <w:vAlign w:val="center"/>
          </w:tcPr>
          <w:p w14:paraId="59CD6E5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Name of the measure</w:t>
            </w:r>
          </w:p>
        </w:tc>
        <w:tc>
          <w:tcPr>
            <w:tcW w:w="3675" w:type="pct"/>
            <w:gridSpan w:val="3"/>
            <w:shd w:val="clear" w:color="auto" w:fill="FFFFFF"/>
            <w:vAlign w:val="center"/>
          </w:tcPr>
          <w:p w14:paraId="390FC0C0" w14:textId="5D689E33" w:rsidR="00005022" w:rsidRPr="007C4D65" w:rsidRDefault="00005022" w:rsidP="00005022">
            <w:pPr>
              <w:spacing w:after="160" w:line="276" w:lineRule="auto"/>
              <w:rPr>
                <w:rFonts w:asciiTheme="minorHAnsi" w:eastAsia="Calibri" w:hAnsiTheme="minorHAnsi" w:cstheme="minorHAnsi"/>
                <w:b/>
                <w:bCs/>
                <w:sz w:val="18"/>
                <w:szCs w:val="18"/>
                <w:lang w:eastAsia="en-US"/>
              </w:rPr>
            </w:pPr>
            <w:bookmarkStart w:id="282" w:name="_Hlk94620850"/>
            <w:r w:rsidRPr="007C4D65">
              <w:rPr>
                <w:rFonts w:asciiTheme="minorHAnsi" w:eastAsia="Calibri" w:hAnsiTheme="minorHAnsi" w:cstheme="minorHAnsi"/>
                <w:b/>
                <w:bCs/>
                <w:sz w:val="18"/>
                <w:szCs w:val="18"/>
                <w:lang w:eastAsia="en-US"/>
              </w:rPr>
              <w:t xml:space="preserve">3.5.2 </w:t>
            </w:r>
            <w:r w:rsidR="00971FDB" w:rsidRPr="007C4D65">
              <w:rPr>
                <w:rFonts w:asciiTheme="minorHAnsi" w:eastAsia="Calibri" w:hAnsiTheme="minorHAnsi" w:cstheme="minorHAnsi"/>
                <w:b/>
                <w:bCs/>
                <w:sz w:val="18"/>
                <w:szCs w:val="18"/>
                <w:lang w:eastAsia="en-US"/>
              </w:rPr>
              <w:t>Revise and organise</w:t>
            </w:r>
            <w:r w:rsidRPr="007C4D65">
              <w:rPr>
                <w:rFonts w:asciiTheme="minorHAnsi" w:eastAsia="Calibri" w:hAnsiTheme="minorHAnsi" w:cstheme="minorHAnsi"/>
                <w:b/>
                <w:bCs/>
                <w:sz w:val="18"/>
                <w:szCs w:val="18"/>
                <w:lang w:eastAsia="en-US"/>
              </w:rPr>
              <w:t xml:space="preserve"> the list of invasive species</w:t>
            </w:r>
            <w:bookmarkEnd w:id="282"/>
          </w:p>
        </w:tc>
      </w:tr>
      <w:tr w:rsidR="00005022" w:rsidRPr="007C4D65" w14:paraId="06B2BF05" w14:textId="77777777" w:rsidTr="00BC37DE">
        <w:trPr>
          <w:trHeight w:val="567"/>
          <w:jc w:val="center"/>
        </w:trPr>
        <w:tc>
          <w:tcPr>
            <w:tcW w:w="1325" w:type="pct"/>
            <w:shd w:val="clear" w:color="auto" w:fill="009D73"/>
            <w:vAlign w:val="center"/>
          </w:tcPr>
          <w:p w14:paraId="522B55D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75" w:type="pct"/>
            <w:gridSpan w:val="3"/>
            <w:shd w:val="clear" w:color="auto" w:fill="FFFFFF"/>
            <w:vAlign w:val="center"/>
          </w:tcPr>
          <w:p w14:paraId="6389ACC4" w14:textId="72E2B361"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283" w:name="_Hlk94621019"/>
            <w:r w:rsidRPr="007C4D65">
              <w:rPr>
                <w:rFonts w:asciiTheme="minorHAnsi" w:eastAsia="Calibri" w:hAnsiTheme="minorHAnsi" w:cstheme="minorHAnsi"/>
                <w:sz w:val="18"/>
                <w:szCs w:val="18"/>
                <w:lang w:eastAsia="en-US"/>
              </w:rPr>
              <w:t xml:space="preserve">The aim of this measure is to regularly review the first list of invasive species in the </w:t>
            </w:r>
            <w:r w:rsidR="00971FDB" w:rsidRPr="007C4D65">
              <w:rPr>
                <w:rFonts w:asciiTheme="minorHAnsi" w:eastAsia="Calibri" w:hAnsiTheme="minorHAnsi" w:cstheme="minorHAnsi"/>
                <w:sz w:val="18"/>
                <w:szCs w:val="18"/>
                <w:lang w:eastAsia="en-US"/>
              </w:rPr>
              <w:t xml:space="preserve">Federation of </w:t>
            </w:r>
            <w:r w:rsidRPr="007C4D65">
              <w:rPr>
                <w:rFonts w:asciiTheme="minorHAnsi" w:eastAsia="Calibri" w:hAnsiTheme="minorHAnsi" w:cstheme="minorHAnsi"/>
                <w:sz w:val="18"/>
                <w:szCs w:val="18"/>
                <w:lang w:eastAsia="en-US"/>
              </w:rPr>
              <w:t>B</w:t>
            </w:r>
            <w:r w:rsidR="004B4EEC" w:rsidRPr="007C4D65">
              <w:rPr>
                <w:rFonts w:asciiTheme="minorHAnsi" w:eastAsia="Calibri" w:hAnsiTheme="minorHAnsi" w:cstheme="minorHAnsi"/>
                <w:sz w:val="18"/>
                <w:szCs w:val="18"/>
                <w:lang w:eastAsia="en-US"/>
              </w:rPr>
              <w:t>i</w:t>
            </w:r>
            <w:r w:rsidRPr="007C4D65">
              <w:rPr>
                <w:rFonts w:asciiTheme="minorHAnsi" w:eastAsia="Calibri" w:hAnsiTheme="minorHAnsi" w:cstheme="minorHAnsi"/>
                <w:sz w:val="18"/>
                <w:szCs w:val="18"/>
                <w:lang w:eastAsia="en-US"/>
              </w:rPr>
              <w:t>H</w:t>
            </w:r>
            <w:r w:rsidR="00971FDB" w:rsidRPr="007C4D65">
              <w:rPr>
                <w:rFonts w:asciiTheme="minorHAnsi" w:eastAsia="Calibri" w:hAnsiTheme="minorHAnsi" w:cstheme="minorHAnsi"/>
                <w:sz w:val="18"/>
                <w:szCs w:val="18"/>
                <w:lang w:eastAsia="en-US"/>
              </w:rPr>
              <w:t>, and to implement plans</w:t>
            </w:r>
            <w:r w:rsidRPr="007C4D65">
              <w:rPr>
                <w:rFonts w:asciiTheme="minorHAnsi" w:eastAsia="Calibri" w:hAnsiTheme="minorHAnsi" w:cstheme="minorHAnsi"/>
                <w:sz w:val="18"/>
                <w:szCs w:val="18"/>
                <w:lang w:eastAsia="en-US"/>
              </w:rPr>
              <w:t xml:space="preserve"> </w:t>
            </w:r>
            <w:r w:rsidR="00971FDB" w:rsidRPr="007C4D65">
              <w:rPr>
                <w:rFonts w:asciiTheme="minorHAnsi" w:eastAsia="Calibri" w:hAnsiTheme="minorHAnsi" w:cstheme="minorHAnsi"/>
                <w:sz w:val="18"/>
                <w:szCs w:val="18"/>
                <w:lang w:eastAsia="en-US"/>
              </w:rPr>
              <w:t xml:space="preserve">on combating invasive species and of their </w:t>
            </w:r>
            <w:r w:rsidRPr="007C4D65">
              <w:rPr>
                <w:rFonts w:asciiTheme="minorHAnsi" w:eastAsia="Calibri" w:hAnsiTheme="minorHAnsi" w:cstheme="minorHAnsi"/>
                <w:sz w:val="18"/>
                <w:szCs w:val="18"/>
                <w:lang w:eastAsia="en-US"/>
              </w:rPr>
              <w:t xml:space="preserve">spreading. </w:t>
            </w:r>
          </w:p>
          <w:bookmarkEnd w:id="283"/>
          <w:p w14:paraId="33B5BEDC" w14:textId="6A5677B0"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971FDB" w:rsidRPr="007C4D65">
              <w:rPr>
                <w:rFonts w:asciiTheme="minorHAnsi" w:eastAsia="Calibri" w:hAnsiTheme="minorHAnsi" w:cstheme="minorHAnsi"/>
                <w:sz w:val="18"/>
                <w:szCs w:val="18"/>
                <w:lang w:eastAsia="en-US"/>
              </w:rPr>
              <w:t>eneral area</w:t>
            </w:r>
            <w:r w:rsidRPr="007C4D65">
              <w:rPr>
                <w:rFonts w:asciiTheme="minorHAnsi" w:eastAsia="Calibri" w:hAnsiTheme="minorHAnsi" w:cstheme="minorHAnsi"/>
                <w:sz w:val="18"/>
                <w:szCs w:val="18"/>
                <w:lang w:eastAsia="en-US"/>
              </w:rPr>
              <w:t>s</w:t>
            </w:r>
            <w:r w:rsidR="00971FDB" w:rsidRPr="007C4D65">
              <w:rPr>
                <w:rFonts w:asciiTheme="minorHAnsi" w:eastAsia="Calibri" w:hAnsiTheme="minorHAnsi" w:cstheme="minorHAnsi"/>
                <w:sz w:val="18"/>
                <w:szCs w:val="18"/>
                <w:lang w:eastAsia="en-US"/>
              </w:rPr>
              <w:t xml:space="preserve"> of intervention include</w:t>
            </w:r>
            <w:r w:rsidR="00005022" w:rsidRPr="007C4D65">
              <w:rPr>
                <w:rFonts w:asciiTheme="minorHAnsi" w:eastAsia="Calibri" w:hAnsiTheme="minorHAnsi" w:cstheme="minorHAnsi"/>
                <w:sz w:val="18"/>
                <w:szCs w:val="18"/>
                <w:lang w:eastAsia="en-US"/>
              </w:rPr>
              <w:t>:</w:t>
            </w:r>
          </w:p>
          <w:p w14:paraId="5E67C7BA" w14:textId="14A8259D" w:rsidR="00005022" w:rsidRPr="007C4D65" w:rsidRDefault="00005022" w:rsidP="00005022">
            <w:pPr>
              <w:numPr>
                <w:ilvl w:val="0"/>
                <w:numId w:val="25"/>
              </w:numPr>
              <w:spacing w:after="160" w:line="276" w:lineRule="auto"/>
              <w:contextualSpacing/>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Based on monitoring, update the list of invasive species in the </w:t>
            </w:r>
            <w:r w:rsidR="00971FDB" w:rsidRPr="007C4D65">
              <w:rPr>
                <w:rFonts w:asciiTheme="minorHAnsi" w:eastAsiaTheme="minorHAnsi" w:hAnsiTheme="minorHAnsi" w:cstheme="minorHAnsi"/>
                <w:sz w:val="18"/>
                <w:szCs w:val="18"/>
                <w:lang w:eastAsia="en-US"/>
              </w:rPr>
              <w:t xml:space="preserve">Federation of </w:t>
            </w:r>
            <w:proofErr w:type="gramStart"/>
            <w:r w:rsidR="00971FDB" w:rsidRPr="007C4D65">
              <w:rPr>
                <w:rFonts w:asciiTheme="minorHAnsi" w:eastAsiaTheme="minorHAnsi" w:hAnsiTheme="minorHAnsi" w:cstheme="minorHAnsi"/>
                <w:sz w:val="18"/>
                <w:szCs w:val="18"/>
                <w:lang w:eastAsia="en-US"/>
              </w:rPr>
              <w:t>BiH</w:t>
            </w:r>
            <w:r w:rsidR="00B30020" w:rsidRPr="007C4D65">
              <w:rPr>
                <w:rFonts w:asciiTheme="minorHAnsi" w:eastAsiaTheme="minorHAnsi" w:hAnsiTheme="minorHAnsi" w:cstheme="minorHAnsi"/>
                <w:sz w:val="18"/>
                <w:szCs w:val="18"/>
                <w:lang w:eastAsia="en-US"/>
              </w:rPr>
              <w:t>;</w:t>
            </w:r>
            <w:proofErr w:type="gramEnd"/>
          </w:p>
          <w:p w14:paraId="4E660130" w14:textId="11B7B46E" w:rsidR="00005022" w:rsidRPr="007C4D65" w:rsidRDefault="00005022" w:rsidP="00005022">
            <w:pPr>
              <w:numPr>
                <w:ilvl w:val="0"/>
                <w:numId w:val="25"/>
              </w:numPr>
              <w:spacing w:after="160" w:line="276" w:lineRule="auto"/>
              <w:contextualSpacing/>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Prepare a black, </w:t>
            </w:r>
            <w:r w:rsidR="00971FDB" w:rsidRPr="007C4D65">
              <w:rPr>
                <w:rFonts w:asciiTheme="minorHAnsi" w:eastAsiaTheme="minorHAnsi" w:hAnsiTheme="minorHAnsi" w:cstheme="minorHAnsi"/>
                <w:sz w:val="18"/>
                <w:szCs w:val="18"/>
                <w:lang w:eastAsia="en-US"/>
              </w:rPr>
              <w:t>grey</w:t>
            </w:r>
            <w:r w:rsidRPr="007C4D65">
              <w:rPr>
                <w:rFonts w:asciiTheme="minorHAnsi" w:eastAsiaTheme="minorHAnsi" w:hAnsiTheme="minorHAnsi" w:cstheme="minorHAnsi"/>
                <w:sz w:val="18"/>
                <w:szCs w:val="18"/>
                <w:lang w:eastAsia="en-US"/>
              </w:rPr>
              <w:t xml:space="preserve"> and </w:t>
            </w:r>
            <w:proofErr w:type="gramStart"/>
            <w:r w:rsidRPr="007C4D65">
              <w:rPr>
                <w:rFonts w:asciiTheme="minorHAnsi" w:eastAsiaTheme="minorHAnsi" w:hAnsiTheme="minorHAnsi" w:cstheme="minorHAnsi"/>
                <w:sz w:val="18"/>
                <w:szCs w:val="18"/>
                <w:lang w:eastAsia="en-US"/>
              </w:rPr>
              <w:t>white list</w:t>
            </w:r>
            <w:proofErr w:type="gramEnd"/>
            <w:r w:rsidRPr="007C4D65">
              <w:rPr>
                <w:rFonts w:asciiTheme="minorHAnsi" w:eastAsiaTheme="minorHAnsi" w:hAnsiTheme="minorHAnsi" w:cstheme="minorHAnsi"/>
                <w:sz w:val="18"/>
                <w:szCs w:val="18"/>
                <w:lang w:eastAsia="en-US"/>
              </w:rPr>
              <w:t xml:space="preserve"> of invasive species of </w:t>
            </w:r>
            <w:r w:rsidR="00971FDB" w:rsidRPr="007C4D65">
              <w:rPr>
                <w:rFonts w:asciiTheme="minorHAnsi" w:eastAsiaTheme="minorHAnsi" w:hAnsiTheme="minorHAnsi" w:cstheme="minorHAnsi"/>
                <w:sz w:val="18"/>
                <w:szCs w:val="18"/>
                <w:lang w:eastAsia="en-US"/>
              </w:rPr>
              <w:t>the Federation of BiH</w:t>
            </w:r>
            <w:r w:rsidR="00B30020" w:rsidRPr="007C4D65">
              <w:rPr>
                <w:rFonts w:asciiTheme="minorHAnsi" w:eastAsiaTheme="minorHAnsi" w:hAnsiTheme="minorHAnsi" w:cstheme="minorHAnsi"/>
                <w:sz w:val="18"/>
                <w:szCs w:val="18"/>
                <w:lang w:eastAsia="en-US"/>
              </w:rPr>
              <w:t>;</w:t>
            </w:r>
          </w:p>
          <w:p w14:paraId="3A486761" w14:textId="4F91A2DF" w:rsidR="00005022" w:rsidRPr="007C4D65" w:rsidRDefault="00005022" w:rsidP="00005022">
            <w:pPr>
              <w:numPr>
                <w:ilvl w:val="0"/>
                <w:numId w:val="25"/>
              </w:numPr>
              <w:spacing w:after="160" w:line="276" w:lineRule="auto"/>
              <w:contextualSpacing/>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Prepare and implement action plans for invasive species </w:t>
            </w:r>
            <w:proofErr w:type="gramStart"/>
            <w:r w:rsidRPr="007C4D65">
              <w:rPr>
                <w:rFonts w:asciiTheme="minorHAnsi" w:eastAsiaTheme="minorHAnsi" w:hAnsiTheme="minorHAnsi" w:cstheme="minorHAnsi"/>
                <w:sz w:val="18"/>
                <w:szCs w:val="18"/>
                <w:lang w:eastAsia="en-US"/>
              </w:rPr>
              <w:t>on the basis of</w:t>
            </w:r>
            <w:proofErr w:type="gramEnd"/>
            <w:r w:rsidRPr="007C4D65">
              <w:rPr>
                <w:rFonts w:asciiTheme="minorHAnsi" w:eastAsiaTheme="minorHAnsi" w:hAnsiTheme="minorHAnsi" w:cstheme="minorHAnsi"/>
                <w:sz w:val="18"/>
                <w:szCs w:val="18"/>
                <w:lang w:eastAsia="en-US"/>
              </w:rPr>
              <w:t xml:space="preserve"> the appropriate lists</w:t>
            </w:r>
            <w:r w:rsidR="00B30020" w:rsidRPr="007C4D65">
              <w:rPr>
                <w:rFonts w:asciiTheme="minorHAnsi" w:eastAsiaTheme="minorHAnsi" w:hAnsiTheme="minorHAnsi" w:cstheme="minorHAnsi"/>
                <w:sz w:val="18"/>
                <w:szCs w:val="18"/>
                <w:lang w:eastAsia="en-US"/>
              </w:rPr>
              <w:t>.</w:t>
            </w:r>
          </w:p>
        </w:tc>
      </w:tr>
      <w:tr w:rsidR="00005022" w:rsidRPr="007C4D65" w14:paraId="5C3BE93C" w14:textId="77777777" w:rsidTr="00BC37DE">
        <w:trPr>
          <w:trHeight w:val="567"/>
          <w:jc w:val="center"/>
        </w:trPr>
        <w:tc>
          <w:tcPr>
            <w:tcW w:w="1325" w:type="pct"/>
            <w:shd w:val="clear" w:color="auto" w:fill="009D73"/>
            <w:vAlign w:val="center"/>
          </w:tcPr>
          <w:p w14:paraId="1256E0E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75" w:type="pct"/>
            <w:gridSpan w:val="3"/>
            <w:tcBorders>
              <w:bottom w:val="single" w:sz="4" w:space="0" w:color="A6A6A6"/>
            </w:tcBorders>
            <w:shd w:val="clear" w:color="auto" w:fill="FFFFFF" w:themeFill="background1"/>
            <w:vAlign w:val="center"/>
          </w:tcPr>
          <w:p w14:paraId="29FFFA8E"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15D1A0EB" w14:textId="77777777" w:rsidTr="00BC37DE">
        <w:trPr>
          <w:trHeight w:val="567"/>
          <w:jc w:val="center"/>
        </w:trPr>
        <w:tc>
          <w:tcPr>
            <w:tcW w:w="1325" w:type="pct"/>
            <w:vMerge w:val="restart"/>
            <w:shd w:val="clear" w:color="auto" w:fill="009D73"/>
            <w:vAlign w:val="center"/>
          </w:tcPr>
          <w:p w14:paraId="016F7FD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107" w:type="pct"/>
            <w:shd w:val="clear" w:color="auto" w:fill="009D73"/>
            <w:vAlign w:val="center"/>
          </w:tcPr>
          <w:p w14:paraId="2D88E554"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77D28927"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62E48701"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741C0DE6"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734E16E7"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1B53D316" w14:textId="77777777" w:rsidTr="00BC37DE">
        <w:trPr>
          <w:trHeight w:val="567"/>
          <w:jc w:val="center"/>
        </w:trPr>
        <w:tc>
          <w:tcPr>
            <w:tcW w:w="1325" w:type="pct"/>
            <w:vMerge/>
            <w:shd w:val="clear" w:color="auto" w:fill="009D73"/>
            <w:vAlign w:val="center"/>
          </w:tcPr>
          <w:p w14:paraId="26171ABC"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107" w:type="pct"/>
            <w:shd w:val="clear" w:color="auto" w:fill="FFFFFF"/>
            <w:vAlign w:val="center"/>
          </w:tcPr>
          <w:p w14:paraId="5F695D16" w14:textId="24018BCE"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Degree of harmonization of the black, grey and </w:t>
            </w:r>
            <w:proofErr w:type="gramStart"/>
            <w:r w:rsidRPr="007C4D65">
              <w:rPr>
                <w:rFonts w:asciiTheme="minorHAnsi" w:eastAsia="Calibri" w:hAnsiTheme="minorHAnsi" w:cstheme="minorHAnsi"/>
                <w:sz w:val="18"/>
                <w:szCs w:val="18"/>
                <w:lang w:eastAsia="x-none"/>
              </w:rPr>
              <w:t>white list</w:t>
            </w:r>
            <w:r w:rsidR="00971FDB" w:rsidRPr="007C4D65">
              <w:rPr>
                <w:rFonts w:asciiTheme="minorHAnsi" w:eastAsia="Calibri" w:hAnsiTheme="minorHAnsi" w:cstheme="minorHAnsi"/>
                <w:sz w:val="18"/>
                <w:szCs w:val="18"/>
                <w:lang w:eastAsia="x-none"/>
              </w:rPr>
              <w:t>s</w:t>
            </w:r>
            <w:proofErr w:type="gramEnd"/>
            <w:r w:rsidRPr="007C4D65">
              <w:rPr>
                <w:rFonts w:asciiTheme="minorHAnsi" w:eastAsia="Calibri" w:hAnsiTheme="minorHAnsi" w:cstheme="minorHAnsi"/>
                <w:sz w:val="18"/>
                <w:szCs w:val="18"/>
                <w:lang w:eastAsia="x-none"/>
              </w:rPr>
              <w:t xml:space="preserve"> of invasive species with the </w:t>
            </w:r>
            <w:r w:rsidR="00971FDB" w:rsidRPr="007C4D65">
              <w:rPr>
                <w:rFonts w:asciiTheme="minorHAnsi" w:eastAsia="Calibri" w:hAnsiTheme="minorHAnsi" w:cstheme="minorHAnsi"/>
                <w:sz w:val="18"/>
                <w:szCs w:val="18"/>
                <w:lang w:eastAsia="x-none"/>
              </w:rPr>
              <w:t>current</w:t>
            </w:r>
            <w:r w:rsidRPr="007C4D65">
              <w:rPr>
                <w:rFonts w:asciiTheme="minorHAnsi" w:eastAsia="Calibri" w:hAnsiTheme="minorHAnsi" w:cstheme="minorHAnsi"/>
                <w:sz w:val="18"/>
                <w:szCs w:val="18"/>
                <w:lang w:eastAsia="x-none"/>
              </w:rPr>
              <w:t xml:space="preserve"> state of invasive species in the territory of the FBiH</w:t>
            </w:r>
          </w:p>
        </w:tc>
        <w:tc>
          <w:tcPr>
            <w:tcW w:w="1283" w:type="pct"/>
            <w:shd w:val="clear" w:color="auto" w:fill="FFFFFF"/>
            <w:vAlign w:val="center"/>
          </w:tcPr>
          <w:p w14:paraId="6824F712" w14:textId="150B3B13"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Initial list of invasive species in </w:t>
            </w:r>
            <w:r w:rsidR="00971FDB" w:rsidRPr="007C4D65">
              <w:rPr>
                <w:rFonts w:asciiTheme="minorHAnsi" w:eastAsiaTheme="minorHAnsi" w:hAnsiTheme="minorHAnsi" w:cstheme="minorHAnsi"/>
                <w:sz w:val="18"/>
                <w:szCs w:val="18"/>
                <w:lang w:eastAsia="en-US"/>
              </w:rPr>
              <w:t>the Federation of BiH</w:t>
            </w:r>
          </w:p>
        </w:tc>
        <w:tc>
          <w:tcPr>
            <w:tcW w:w="1284" w:type="pct"/>
            <w:shd w:val="clear" w:color="auto" w:fill="FFFFFF"/>
            <w:vAlign w:val="center"/>
          </w:tcPr>
          <w:p w14:paraId="6D2764D3" w14:textId="3A61C7AC"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Black, grey </w:t>
            </w:r>
            <w:proofErr w:type="gramStart"/>
            <w:r w:rsidRPr="007C4D65">
              <w:rPr>
                <w:rFonts w:asciiTheme="minorHAnsi" w:eastAsia="Calibri" w:hAnsiTheme="minorHAnsi" w:cstheme="minorHAnsi"/>
                <w:sz w:val="18"/>
                <w:szCs w:val="18"/>
                <w:lang w:eastAsia="x-none"/>
              </w:rPr>
              <w:t>white list</w:t>
            </w:r>
            <w:r w:rsidR="00971FDB" w:rsidRPr="007C4D65">
              <w:rPr>
                <w:rFonts w:asciiTheme="minorHAnsi" w:eastAsia="Calibri" w:hAnsiTheme="minorHAnsi" w:cstheme="minorHAnsi"/>
                <w:sz w:val="18"/>
                <w:szCs w:val="18"/>
                <w:lang w:eastAsia="x-none"/>
              </w:rPr>
              <w:t>s</w:t>
            </w:r>
            <w:proofErr w:type="gramEnd"/>
            <w:r w:rsidRPr="007C4D65">
              <w:rPr>
                <w:rFonts w:asciiTheme="minorHAnsi" w:eastAsia="Calibri" w:hAnsiTheme="minorHAnsi" w:cstheme="minorHAnsi"/>
                <w:sz w:val="18"/>
                <w:szCs w:val="18"/>
                <w:lang w:eastAsia="x-none"/>
              </w:rPr>
              <w:t xml:space="preserve"> harmonized with the </w:t>
            </w:r>
            <w:r w:rsidR="00971FDB" w:rsidRPr="007C4D65">
              <w:rPr>
                <w:rFonts w:asciiTheme="minorHAnsi" w:eastAsia="Calibri" w:hAnsiTheme="minorHAnsi" w:cstheme="minorHAnsi"/>
                <w:sz w:val="18"/>
                <w:szCs w:val="18"/>
                <w:lang w:eastAsia="x-none"/>
              </w:rPr>
              <w:t xml:space="preserve">current state </w:t>
            </w:r>
            <w:r w:rsidRPr="007C4D65">
              <w:rPr>
                <w:rFonts w:asciiTheme="minorHAnsi" w:eastAsia="Calibri" w:hAnsiTheme="minorHAnsi" w:cstheme="minorHAnsi"/>
                <w:sz w:val="18"/>
                <w:szCs w:val="18"/>
                <w:lang w:eastAsia="x-none"/>
              </w:rPr>
              <w:t xml:space="preserve">of invasive species in </w:t>
            </w:r>
            <w:r w:rsidR="00971FDB" w:rsidRPr="007C4D65">
              <w:rPr>
                <w:rFonts w:asciiTheme="minorHAnsi" w:eastAsiaTheme="minorHAnsi" w:hAnsiTheme="minorHAnsi" w:cstheme="minorHAnsi"/>
                <w:sz w:val="18"/>
                <w:szCs w:val="18"/>
                <w:lang w:eastAsia="en-US"/>
              </w:rPr>
              <w:t>the Federation of BiH</w:t>
            </w:r>
          </w:p>
        </w:tc>
      </w:tr>
      <w:tr w:rsidR="00005022" w:rsidRPr="007C4D65" w14:paraId="5AEEA5F2" w14:textId="77777777" w:rsidTr="00BC37DE">
        <w:trPr>
          <w:trHeight w:val="567"/>
          <w:jc w:val="center"/>
        </w:trPr>
        <w:tc>
          <w:tcPr>
            <w:tcW w:w="1325" w:type="pct"/>
            <w:shd w:val="clear" w:color="auto" w:fill="009D73"/>
            <w:vAlign w:val="center"/>
          </w:tcPr>
          <w:p w14:paraId="79D5C42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realization of priorities</w:t>
            </w:r>
          </w:p>
        </w:tc>
        <w:tc>
          <w:tcPr>
            <w:tcW w:w="3675" w:type="pct"/>
            <w:gridSpan w:val="3"/>
            <w:shd w:val="clear" w:color="auto" w:fill="FFFFFF"/>
            <w:vAlign w:val="center"/>
          </w:tcPr>
          <w:p w14:paraId="18D2680E" w14:textId="2CFF87B1" w:rsidR="00005022" w:rsidRPr="007C4D65" w:rsidRDefault="00971FDB"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protection and enhanced biodiversity, minimum adverse effect of the invasive species in the Federation of BiH</w:t>
            </w:r>
          </w:p>
        </w:tc>
      </w:tr>
      <w:tr w:rsidR="00005022" w:rsidRPr="007C4D65" w14:paraId="30BF5175" w14:textId="77777777" w:rsidTr="00BC37DE">
        <w:trPr>
          <w:trHeight w:val="567"/>
          <w:jc w:val="center"/>
        </w:trPr>
        <w:tc>
          <w:tcPr>
            <w:tcW w:w="1325" w:type="pct"/>
            <w:shd w:val="clear" w:color="auto" w:fill="009D73"/>
            <w:vAlign w:val="center"/>
          </w:tcPr>
          <w:p w14:paraId="10610BFC" w14:textId="77A296D2"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75" w:type="pct"/>
            <w:gridSpan w:val="3"/>
            <w:shd w:val="clear" w:color="auto" w:fill="FFFFFF"/>
            <w:vAlign w:val="center"/>
          </w:tcPr>
          <w:p w14:paraId="2FC3E7E0" w14:textId="2D102FA2" w:rsidR="00971FDB" w:rsidRPr="007C4D65" w:rsidRDefault="00971FDB" w:rsidP="00971FDB">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92,405</w:t>
            </w:r>
          </w:p>
          <w:p w14:paraId="76157891" w14:textId="052EA48E" w:rsidR="00005022" w:rsidRPr="007C4D65" w:rsidRDefault="00971FDB" w:rsidP="00971FDB">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100% </w:t>
            </w:r>
            <w:r w:rsidR="000E401F" w:rsidRPr="007C4D65">
              <w:rPr>
                <w:rFonts w:asciiTheme="minorHAnsi" w:hAnsiTheme="minorHAnsi" w:cstheme="minorHAnsi"/>
                <w:color w:val="000000" w:themeColor="text1"/>
                <w:sz w:val="18"/>
                <w:szCs w:val="18"/>
              </w:rPr>
              <w:t>government budget</w:t>
            </w:r>
          </w:p>
        </w:tc>
      </w:tr>
      <w:tr w:rsidR="00005022" w:rsidRPr="007C4D65" w14:paraId="5F72AE24" w14:textId="77777777" w:rsidTr="00BC37DE">
        <w:trPr>
          <w:trHeight w:val="567"/>
          <w:jc w:val="center"/>
        </w:trPr>
        <w:tc>
          <w:tcPr>
            <w:tcW w:w="1325" w:type="pct"/>
            <w:shd w:val="clear" w:color="auto" w:fill="009D73"/>
            <w:vAlign w:val="center"/>
          </w:tcPr>
          <w:p w14:paraId="36A4B5D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75" w:type="pct"/>
            <w:gridSpan w:val="3"/>
            <w:shd w:val="clear" w:color="auto" w:fill="FFFFFF"/>
            <w:vAlign w:val="center"/>
          </w:tcPr>
          <w:p w14:paraId="67E1E09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2028 - 2029</w:t>
            </w:r>
          </w:p>
        </w:tc>
      </w:tr>
      <w:tr w:rsidR="00005022" w:rsidRPr="007C4D65" w14:paraId="1A33AD49" w14:textId="77777777" w:rsidTr="00BC37DE">
        <w:trPr>
          <w:trHeight w:val="567"/>
          <w:jc w:val="center"/>
        </w:trPr>
        <w:tc>
          <w:tcPr>
            <w:tcW w:w="1325" w:type="pct"/>
            <w:shd w:val="clear" w:color="auto" w:fill="009D73"/>
            <w:vAlign w:val="center"/>
          </w:tcPr>
          <w:p w14:paraId="4D8F836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75" w:type="pct"/>
            <w:gridSpan w:val="3"/>
            <w:shd w:val="clear" w:color="auto" w:fill="FFFFFF"/>
            <w:vAlign w:val="center"/>
          </w:tcPr>
          <w:p w14:paraId="15AFF416"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3CDA3782" w14:textId="77777777" w:rsidTr="00BC37DE">
        <w:trPr>
          <w:trHeight w:val="567"/>
          <w:jc w:val="center"/>
        </w:trPr>
        <w:tc>
          <w:tcPr>
            <w:tcW w:w="1325" w:type="pct"/>
            <w:shd w:val="clear" w:color="auto" w:fill="009D73"/>
            <w:vAlign w:val="center"/>
          </w:tcPr>
          <w:p w14:paraId="4B8B935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Implementing institutions</w:t>
            </w:r>
          </w:p>
        </w:tc>
        <w:tc>
          <w:tcPr>
            <w:tcW w:w="3675" w:type="pct"/>
            <w:gridSpan w:val="3"/>
            <w:shd w:val="clear" w:color="auto" w:fill="FFFFFF"/>
            <w:vAlign w:val="center"/>
          </w:tcPr>
          <w:p w14:paraId="449FADC5" w14:textId="40442C9B"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FMET, professional institution for </w:t>
            </w:r>
            <w:r w:rsidR="00971FDB" w:rsidRPr="007C4D65">
              <w:rPr>
                <w:rFonts w:asciiTheme="minorHAnsi" w:eastAsiaTheme="minorHAnsi" w:hAnsiTheme="minorHAnsi" w:cstheme="minorHAnsi"/>
                <w:sz w:val="18"/>
                <w:szCs w:val="18"/>
                <w:lang w:eastAsia="en-US" w:bidi="en-US"/>
              </w:rPr>
              <w:t xml:space="preserve">the </w:t>
            </w:r>
            <w:r w:rsidRPr="007C4D65">
              <w:rPr>
                <w:rFonts w:asciiTheme="minorHAnsi" w:eastAsiaTheme="minorHAnsi" w:hAnsiTheme="minorHAnsi" w:cstheme="minorHAnsi"/>
                <w:sz w:val="18"/>
                <w:szCs w:val="18"/>
                <w:lang w:eastAsia="en-US" w:bidi="en-US"/>
              </w:rPr>
              <w:t>nature conservation, scientific institutions, non-governmental organizations</w:t>
            </w:r>
          </w:p>
        </w:tc>
      </w:tr>
      <w:tr w:rsidR="00005022" w:rsidRPr="007C4D65" w14:paraId="38A5D333" w14:textId="77777777" w:rsidTr="00BC37DE">
        <w:trPr>
          <w:trHeight w:val="567"/>
          <w:jc w:val="center"/>
        </w:trPr>
        <w:tc>
          <w:tcPr>
            <w:tcW w:w="1325" w:type="pct"/>
            <w:shd w:val="clear" w:color="auto" w:fill="009D73"/>
            <w:vAlign w:val="center"/>
          </w:tcPr>
          <w:p w14:paraId="1A904102" w14:textId="27156FAD"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75" w:type="pct"/>
            <w:gridSpan w:val="3"/>
            <w:shd w:val="clear" w:color="auto" w:fill="FFFFFF"/>
            <w:vAlign w:val="center"/>
          </w:tcPr>
          <w:p w14:paraId="2B1AA7D8"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Line and sectoral ministries, scientific institutions, non-governmental organizations, the public</w:t>
            </w:r>
          </w:p>
        </w:tc>
      </w:tr>
    </w:tbl>
    <w:p w14:paraId="4CA41B2D"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38"/>
        <w:gridCol w:w="2956"/>
        <w:gridCol w:w="3426"/>
        <w:gridCol w:w="3431"/>
      </w:tblGrid>
      <w:tr w:rsidR="00005022" w:rsidRPr="007C4D65" w14:paraId="0682CADD" w14:textId="77777777" w:rsidTr="00BC37DE">
        <w:trPr>
          <w:trHeight w:val="567"/>
          <w:jc w:val="center"/>
        </w:trPr>
        <w:tc>
          <w:tcPr>
            <w:tcW w:w="1325" w:type="pct"/>
            <w:shd w:val="clear" w:color="auto" w:fill="009D73"/>
            <w:vAlign w:val="center"/>
          </w:tcPr>
          <w:p w14:paraId="4EB36A68" w14:textId="62FA08C0"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Link with the strategic goal</w:t>
            </w:r>
          </w:p>
        </w:tc>
        <w:tc>
          <w:tcPr>
            <w:tcW w:w="3675" w:type="pct"/>
            <w:gridSpan w:val="3"/>
            <w:shd w:val="clear" w:color="auto" w:fill="FFFFFF"/>
            <w:vAlign w:val="center"/>
          </w:tcPr>
          <w:p w14:paraId="5406088C" w14:textId="5897C741"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44096A" w:rsidRPr="007C4D65">
              <w:rPr>
                <w:rFonts w:asciiTheme="minorHAnsi" w:eastAsia="Calibri" w:hAnsiTheme="minorHAnsi" w:cstheme="minorHAnsi"/>
                <w:b/>
                <w:bCs/>
                <w:sz w:val="18"/>
                <w:szCs w:val="18"/>
                <w:lang w:eastAsia="en-US"/>
              </w:rPr>
              <w:t>Maintaining and improving biodiversity and protecting ecosystems</w:t>
            </w:r>
          </w:p>
        </w:tc>
      </w:tr>
      <w:tr w:rsidR="00005022" w:rsidRPr="007C4D65" w14:paraId="7506F96B" w14:textId="77777777" w:rsidTr="00BC37DE">
        <w:trPr>
          <w:trHeight w:val="567"/>
          <w:jc w:val="center"/>
        </w:trPr>
        <w:tc>
          <w:tcPr>
            <w:tcW w:w="1325" w:type="pct"/>
            <w:shd w:val="clear" w:color="auto" w:fill="009D73"/>
            <w:vAlign w:val="center"/>
          </w:tcPr>
          <w:p w14:paraId="62AD384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75" w:type="pct"/>
            <w:gridSpan w:val="3"/>
            <w:shd w:val="clear" w:color="auto" w:fill="FFFFFF"/>
            <w:vAlign w:val="center"/>
          </w:tcPr>
          <w:p w14:paraId="2A5409C1" w14:textId="601E779C" w:rsidR="00005022" w:rsidRPr="007C4D65" w:rsidRDefault="00005022" w:rsidP="00005022">
            <w:pPr>
              <w:spacing w:before="40" w:after="40" w:line="276" w:lineRule="auto"/>
              <w:rPr>
                <w:rFonts w:asciiTheme="minorHAnsi" w:hAnsiTheme="minorHAnsi" w:cstheme="minorHAnsi"/>
                <w:b/>
                <w:bCs/>
                <w:color w:val="FF0000"/>
                <w:sz w:val="18"/>
                <w:szCs w:val="18"/>
                <w:lang w:eastAsia="zh-TW"/>
              </w:rPr>
            </w:pPr>
            <w:r w:rsidRPr="007C4D65">
              <w:rPr>
                <w:rFonts w:asciiTheme="minorHAnsi" w:hAnsiTheme="minorHAnsi" w:cstheme="minorHAnsi"/>
                <w:b/>
                <w:bCs/>
                <w:sz w:val="18"/>
                <w:szCs w:val="18"/>
                <w:lang w:eastAsia="zh-TW"/>
              </w:rPr>
              <w:t xml:space="preserve">3.5 </w:t>
            </w:r>
            <w:r w:rsidR="0044096A" w:rsidRPr="007C4D65">
              <w:rPr>
                <w:rFonts w:asciiTheme="minorHAnsi" w:hAnsiTheme="minorHAnsi" w:cstheme="minorHAnsi"/>
                <w:b/>
                <w:bCs/>
                <w:sz w:val="18"/>
                <w:szCs w:val="18"/>
                <w:lang w:eastAsia="zh-TW"/>
              </w:rPr>
              <w:t>Complete an inventory of biodiversity in the Federation of BiH at the ecosystem, species and genetic levels</w:t>
            </w:r>
          </w:p>
        </w:tc>
      </w:tr>
      <w:tr w:rsidR="00005022" w:rsidRPr="007C4D65" w14:paraId="1339C2EC" w14:textId="77777777" w:rsidTr="00BC37DE">
        <w:trPr>
          <w:trHeight w:val="567"/>
          <w:jc w:val="center"/>
        </w:trPr>
        <w:tc>
          <w:tcPr>
            <w:tcW w:w="1325" w:type="pct"/>
            <w:shd w:val="clear" w:color="auto" w:fill="009D73"/>
            <w:vAlign w:val="center"/>
          </w:tcPr>
          <w:p w14:paraId="279B629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75" w:type="pct"/>
            <w:gridSpan w:val="3"/>
            <w:shd w:val="clear" w:color="auto" w:fill="FFFFFF"/>
            <w:vAlign w:val="center"/>
          </w:tcPr>
          <w:p w14:paraId="0F21800A" w14:textId="0C601F92" w:rsidR="00005022" w:rsidRPr="007C4D65" w:rsidRDefault="00005022" w:rsidP="00005022">
            <w:pPr>
              <w:spacing w:after="160" w:line="276" w:lineRule="auto"/>
              <w:rPr>
                <w:rFonts w:asciiTheme="minorHAnsi" w:eastAsia="Calibri" w:hAnsiTheme="minorHAnsi" w:cstheme="minorHAnsi"/>
                <w:b/>
                <w:bCs/>
                <w:sz w:val="18"/>
                <w:szCs w:val="18"/>
                <w:lang w:eastAsia="en-US"/>
              </w:rPr>
            </w:pPr>
            <w:bookmarkStart w:id="284" w:name="_Hlk94621089"/>
            <w:r w:rsidRPr="007C4D65">
              <w:rPr>
                <w:rFonts w:asciiTheme="minorHAnsi" w:eastAsia="Calibri" w:hAnsiTheme="minorHAnsi" w:cstheme="minorHAnsi"/>
                <w:b/>
                <w:bCs/>
                <w:sz w:val="18"/>
                <w:szCs w:val="18"/>
                <w:lang w:eastAsia="en-US"/>
              </w:rPr>
              <w:t>3.5.3 Prepare the map of the habitats</w:t>
            </w:r>
            <w:bookmarkEnd w:id="284"/>
            <w:r w:rsidR="0044096A" w:rsidRPr="007C4D65">
              <w:rPr>
                <w:rFonts w:asciiTheme="minorHAnsi" w:eastAsia="Calibri" w:hAnsiTheme="minorHAnsi" w:cstheme="minorHAnsi"/>
                <w:b/>
                <w:bCs/>
                <w:sz w:val="18"/>
                <w:szCs w:val="18"/>
                <w:lang w:eastAsia="en-US"/>
              </w:rPr>
              <w:t xml:space="preserve"> in the Federation of BiH</w:t>
            </w:r>
          </w:p>
        </w:tc>
      </w:tr>
      <w:tr w:rsidR="00005022" w:rsidRPr="007C4D65" w14:paraId="0069DD43" w14:textId="77777777" w:rsidTr="00BC37DE">
        <w:trPr>
          <w:trHeight w:val="567"/>
          <w:jc w:val="center"/>
        </w:trPr>
        <w:tc>
          <w:tcPr>
            <w:tcW w:w="1325" w:type="pct"/>
            <w:shd w:val="clear" w:color="auto" w:fill="009D73"/>
            <w:vAlign w:val="center"/>
          </w:tcPr>
          <w:p w14:paraId="29F78F8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75" w:type="pct"/>
            <w:gridSpan w:val="3"/>
            <w:shd w:val="clear" w:color="auto" w:fill="FFFFFF"/>
            <w:vAlign w:val="center"/>
          </w:tcPr>
          <w:p w14:paraId="194B20CA" w14:textId="212226B8"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285" w:name="_Hlk94621298"/>
            <w:r w:rsidRPr="007C4D65">
              <w:rPr>
                <w:rFonts w:asciiTheme="minorHAnsi" w:eastAsia="Calibri" w:hAnsiTheme="minorHAnsi" w:cstheme="minorHAnsi"/>
                <w:sz w:val="18"/>
                <w:szCs w:val="18"/>
                <w:lang w:eastAsia="en-US"/>
              </w:rPr>
              <w:t xml:space="preserve">The aim of this measure is </w:t>
            </w:r>
            <w:r w:rsidR="0044096A" w:rsidRPr="007C4D65">
              <w:rPr>
                <w:rFonts w:asciiTheme="minorHAnsi" w:eastAsia="Calibri" w:hAnsiTheme="minorHAnsi" w:cstheme="minorHAnsi"/>
                <w:sz w:val="18"/>
                <w:szCs w:val="18"/>
                <w:lang w:eastAsia="en-US"/>
              </w:rPr>
              <w:t>to prepare and complete</w:t>
            </w:r>
            <w:r w:rsidRPr="007C4D65">
              <w:rPr>
                <w:rFonts w:asciiTheme="minorHAnsi" w:eastAsia="Calibri" w:hAnsiTheme="minorHAnsi" w:cstheme="minorHAnsi"/>
                <w:sz w:val="18"/>
                <w:szCs w:val="18"/>
                <w:lang w:eastAsia="en-US"/>
              </w:rPr>
              <w:t xml:space="preserve"> the first habitat inventory in </w:t>
            </w:r>
            <w:r w:rsidR="0044096A" w:rsidRPr="007C4D65">
              <w:rPr>
                <w:rFonts w:asciiTheme="minorHAnsi" w:eastAsia="Calibri" w:hAnsiTheme="minorHAnsi" w:cstheme="minorHAnsi"/>
                <w:sz w:val="18"/>
                <w:szCs w:val="18"/>
                <w:lang w:eastAsia="en-US"/>
              </w:rPr>
              <w:t>the Federation of BiH</w:t>
            </w:r>
            <w:r w:rsidRPr="007C4D65">
              <w:rPr>
                <w:rFonts w:asciiTheme="minorHAnsi" w:eastAsia="Calibri" w:hAnsiTheme="minorHAnsi" w:cstheme="minorHAnsi"/>
                <w:sz w:val="18"/>
                <w:szCs w:val="18"/>
                <w:lang w:eastAsia="en-US"/>
              </w:rPr>
              <w:t xml:space="preserve">. The list of habitats distributed within the territory of </w:t>
            </w:r>
            <w:r w:rsidR="0044096A" w:rsidRPr="007C4D65">
              <w:rPr>
                <w:rFonts w:asciiTheme="minorHAnsi" w:eastAsia="Calibri" w:hAnsiTheme="minorHAnsi" w:cstheme="minorHAnsi"/>
                <w:sz w:val="18"/>
                <w:szCs w:val="18"/>
                <w:lang w:eastAsia="en-US"/>
              </w:rPr>
              <w:t>the Federation of BiH</w:t>
            </w:r>
            <w:r w:rsidRPr="007C4D65">
              <w:rPr>
                <w:rFonts w:asciiTheme="minorHAnsi" w:eastAsia="Calibri" w:hAnsiTheme="minorHAnsi" w:cstheme="minorHAnsi"/>
                <w:sz w:val="18"/>
                <w:szCs w:val="18"/>
                <w:lang w:eastAsia="en-US"/>
              </w:rPr>
              <w:t xml:space="preserve"> should be scientifically harmonized with the types of habitats in the RS and the BD BiH. The habitat map should be geocoded and presented through the FBiH PHC, as information </w:t>
            </w:r>
            <w:r w:rsidR="0044096A" w:rsidRPr="007C4D65">
              <w:rPr>
                <w:rFonts w:asciiTheme="minorHAnsi" w:eastAsia="Calibri" w:hAnsiTheme="minorHAnsi" w:cstheme="minorHAnsi"/>
                <w:sz w:val="18"/>
                <w:szCs w:val="18"/>
                <w:lang w:eastAsia="en-US"/>
              </w:rPr>
              <w:t>essential in</w:t>
            </w:r>
            <w:r w:rsidRPr="007C4D65">
              <w:rPr>
                <w:rFonts w:asciiTheme="minorHAnsi" w:eastAsia="Calibri" w:hAnsiTheme="minorHAnsi" w:cstheme="minorHAnsi"/>
                <w:sz w:val="18"/>
                <w:szCs w:val="18"/>
                <w:lang w:eastAsia="en-US"/>
              </w:rPr>
              <w:t xml:space="preserve"> the processes of environmental planning and management.</w:t>
            </w:r>
          </w:p>
          <w:bookmarkEnd w:id="285"/>
          <w:p w14:paraId="7235B5EE" w14:textId="45A03D42"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971FDB" w:rsidRPr="007C4D65">
              <w:rPr>
                <w:rFonts w:asciiTheme="minorHAnsi" w:eastAsia="Calibri" w:hAnsiTheme="minorHAnsi" w:cstheme="minorHAnsi"/>
                <w:sz w:val="18"/>
                <w:szCs w:val="18"/>
                <w:lang w:eastAsia="en-US"/>
              </w:rPr>
              <w:t>eneral area</w:t>
            </w:r>
            <w:r w:rsidRPr="007C4D65">
              <w:rPr>
                <w:rFonts w:asciiTheme="minorHAnsi" w:eastAsia="Calibri" w:hAnsiTheme="minorHAnsi" w:cstheme="minorHAnsi"/>
                <w:sz w:val="18"/>
                <w:szCs w:val="18"/>
                <w:lang w:eastAsia="en-US"/>
              </w:rPr>
              <w:t>s</w:t>
            </w:r>
            <w:r w:rsidR="00971FDB" w:rsidRPr="007C4D65">
              <w:rPr>
                <w:rFonts w:asciiTheme="minorHAnsi" w:eastAsia="Calibri" w:hAnsiTheme="minorHAnsi" w:cstheme="minorHAnsi"/>
                <w:sz w:val="18"/>
                <w:szCs w:val="18"/>
                <w:lang w:eastAsia="en-US"/>
              </w:rPr>
              <w:t xml:space="preserve"> of intervention include</w:t>
            </w:r>
            <w:r w:rsidR="00005022" w:rsidRPr="007C4D65">
              <w:rPr>
                <w:rFonts w:asciiTheme="minorHAnsi" w:eastAsia="Calibri" w:hAnsiTheme="minorHAnsi" w:cstheme="minorHAnsi"/>
                <w:sz w:val="18"/>
                <w:szCs w:val="18"/>
                <w:lang w:eastAsia="en-US"/>
              </w:rPr>
              <w:t>:</w:t>
            </w:r>
          </w:p>
          <w:p w14:paraId="11914F6B" w14:textId="3634354A" w:rsidR="00005022" w:rsidRPr="007C4D65" w:rsidRDefault="00005022" w:rsidP="00005022">
            <w:pPr>
              <w:numPr>
                <w:ilvl w:val="0"/>
                <w:numId w:val="25"/>
              </w:numPr>
              <w:spacing w:after="160" w:line="276" w:lineRule="auto"/>
              <w:contextualSpacing/>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Identify existing cartographic data for the FBiH habitat </w:t>
            </w:r>
            <w:proofErr w:type="gramStart"/>
            <w:r w:rsidRPr="007C4D65">
              <w:rPr>
                <w:rFonts w:asciiTheme="minorHAnsi" w:eastAsiaTheme="minorHAnsi" w:hAnsiTheme="minorHAnsi" w:cstheme="minorHAnsi"/>
                <w:sz w:val="18"/>
                <w:szCs w:val="18"/>
                <w:lang w:eastAsia="en-US"/>
              </w:rPr>
              <w:t>map</w:t>
            </w:r>
            <w:r w:rsidR="00B30020" w:rsidRPr="007C4D65">
              <w:rPr>
                <w:rFonts w:asciiTheme="minorHAnsi" w:eastAsiaTheme="minorHAnsi" w:hAnsiTheme="minorHAnsi" w:cstheme="minorHAnsi"/>
                <w:sz w:val="18"/>
                <w:szCs w:val="18"/>
                <w:lang w:eastAsia="en-US"/>
              </w:rPr>
              <w:t>;</w:t>
            </w:r>
            <w:proofErr w:type="gramEnd"/>
          </w:p>
          <w:p w14:paraId="0EA07B57" w14:textId="0BED2690" w:rsidR="00005022" w:rsidRPr="007C4D65" w:rsidRDefault="00005022" w:rsidP="00005022">
            <w:pPr>
              <w:numPr>
                <w:ilvl w:val="0"/>
                <w:numId w:val="25"/>
              </w:numPr>
              <w:spacing w:after="160" w:line="276" w:lineRule="auto"/>
              <w:contextualSpacing/>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Identify and scientifically harmonize, in cooperation with the RS and the BD BiH, the list of habitats in BiH and </w:t>
            </w:r>
            <w:r w:rsidR="0044096A" w:rsidRPr="007C4D65">
              <w:rPr>
                <w:rFonts w:asciiTheme="minorHAnsi" w:eastAsia="Calibri" w:hAnsiTheme="minorHAnsi" w:cstheme="minorHAnsi"/>
                <w:sz w:val="18"/>
                <w:szCs w:val="18"/>
                <w:lang w:eastAsia="en-US"/>
              </w:rPr>
              <w:t xml:space="preserve">the Federation of </w:t>
            </w:r>
            <w:proofErr w:type="gramStart"/>
            <w:r w:rsidR="0044096A" w:rsidRPr="007C4D65">
              <w:rPr>
                <w:rFonts w:asciiTheme="minorHAnsi" w:eastAsia="Calibri" w:hAnsiTheme="minorHAnsi" w:cstheme="minorHAnsi"/>
                <w:sz w:val="18"/>
                <w:szCs w:val="18"/>
                <w:lang w:eastAsia="en-US"/>
              </w:rPr>
              <w:t>BiH</w:t>
            </w:r>
            <w:r w:rsidR="00B30020" w:rsidRPr="007C4D65">
              <w:rPr>
                <w:rFonts w:asciiTheme="minorHAnsi" w:eastAsiaTheme="minorHAnsi" w:hAnsiTheme="minorHAnsi" w:cstheme="minorHAnsi"/>
                <w:sz w:val="18"/>
                <w:szCs w:val="18"/>
                <w:lang w:eastAsia="en-US"/>
              </w:rPr>
              <w:t>;</w:t>
            </w:r>
            <w:proofErr w:type="gramEnd"/>
          </w:p>
          <w:p w14:paraId="3DA86650" w14:textId="23ED0B27" w:rsidR="00005022" w:rsidRPr="007C4D65" w:rsidRDefault="00005022" w:rsidP="00005022">
            <w:pPr>
              <w:numPr>
                <w:ilvl w:val="0"/>
                <w:numId w:val="25"/>
              </w:numPr>
              <w:spacing w:after="160" w:line="276" w:lineRule="auto"/>
              <w:contextualSpacing/>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Develop and make publicly available </w:t>
            </w:r>
            <w:r w:rsidR="0044096A" w:rsidRPr="007C4D65">
              <w:rPr>
                <w:rFonts w:asciiTheme="minorHAnsi" w:eastAsiaTheme="minorHAnsi" w:hAnsiTheme="minorHAnsi" w:cstheme="minorHAnsi"/>
                <w:sz w:val="18"/>
                <w:szCs w:val="18"/>
                <w:lang w:eastAsia="en-US"/>
              </w:rPr>
              <w:t>a</w:t>
            </w:r>
            <w:r w:rsidRPr="007C4D65">
              <w:rPr>
                <w:rFonts w:asciiTheme="minorHAnsi" w:eastAsiaTheme="minorHAnsi" w:hAnsiTheme="minorHAnsi" w:cstheme="minorHAnsi"/>
                <w:sz w:val="18"/>
                <w:szCs w:val="18"/>
                <w:lang w:eastAsia="en-US"/>
              </w:rPr>
              <w:t xml:space="preserve"> map of the habitats</w:t>
            </w:r>
            <w:r w:rsidR="0044096A" w:rsidRPr="007C4D65">
              <w:rPr>
                <w:rFonts w:asciiTheme="minorHAnsi" w:eastAsiaTheme="minorHAnsi" w:hAnsiTheme="minorHAnsi" w:cstheme="minorHAnsi"/>
                <w:sz w:val="18"/>
                <w:szCs w:val="18"/>
                <w:lang w:eastAsia="en-US"/>
              </w:rPr>
              <w:t xml:space="preserve"> in </w:t>
            </w:r>
            <w:r w:rsidR="0044096A" w:rsidRPr="007C4D65">
              <w:rPr>
                <w:rFonts w:asciiTheme="minorHAnsi" w:eastAsia="Calibri" w:hAnsiTheme="minorHAnsi" w:cstheme="minorHAnsi"/>
                <w:sz w:val="18"/>
                <w:szCs w:val="18"/>
                <w:lang w:eastAsia="en-US"/>
              </w:rPr>
              <w:t>the Federation of BiH</w:t>
            </w:r>
            <w:r w:rsidR="00B30020" w:rsidRPr="007C4D65">
              <w:rPr>
                <w:rFonts w:asciiTheme="minorHAnsi" w:eastAsiaTheme="minorHAnsi" w:hAnsiTheme="minorHAnsi" w:cstheme="minorHAnsi"/>
                <w:sz w:val="18"/>
                <w:szCs w:val="18"/>
                <w:lang w:eastAsia="en-US"/>
              </w:rPr>
              <w:t>.</w:t>
            </w:r>
          </w:p>
        </w:tc>
      </w:tr>
      <w:tr w:rsidR="00005022" w:rsidRPr="007C4D65" w14:paraId="411045E4" w14:textId="77777777" w:rsidTr="00BC37DE">
        <w:trPr>
          <w:trHeight w:val="567"/>
          <w:jc w:val="center"/>
        </w:trPr>
        <w:tc>
          <w:tcPr>
            <w:tcW w:w="1325" w:type="pct"/>
            <w:shd w:val="clear" w:color="auto" w:fill="009D73"/>
            <w:vAlign w:val="center"/>
          </w:tcPr>
          <w:p w14:paraId="785A10C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75" w:type="pct"/>
            <w:gridSpan w:val="3"/>
            <w:tcBorders>
              <w:bottom w:val="single" w:sz="4" w:space="0" w:color="A6A6A6"/>
            </w:tcBorders>
            <w:shd w:val="clear" w:color="auto" w:fill="FFFFFF" w:themeFill="background1"/>
            <w:vAlign w:val="center"/>
          </w:tcPr>
          <w:p w14:paraId="3242A066"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0EDD5A32" w14:textId="77777777" w:rsidTr="00BC37DE">
        <w:trPr>
          <w:trHeight w:val="567"/>
          <w:jc w:val="center"/>
        </w:trPr>
        <w:tc>
          <w:tcPr>
            <w:tcW w:w="1325" w:type="pct"/>
            <w:vMerge w:val="restart"/>
            <w:shd w:val="clear" w:color="auto" w:fill="009D73"/>
            <w:vAlign w:val="center"/>
          </w:tcPr>
          <w:p w14:paraId="285617B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107" w:type="pct"/>
            <w:shd w:val="clear" w:color="auto" w:fill="009D73"/>
            <w:vAlign w:val="center"/>
          </w:tcPr>
          <w:p w14:paraId="09D7AF4E"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326CFA2F"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19C6B56B"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772A8343"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34FAA6CA"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1CD78C8A" w14:textId="77777777" w:rsidTr="00BC37DE">
        <w:trPr>
          <w:trHeight w:val="567"/>
          <w:jc w:val="center"/>
        </w:trPr>
        <w:tc>
          <w:tcPr>
            <w:tcW w:w="1325" w:type="pct"/>
            <w:vMerge/>
            <w:shd w:val="clear" w:color="auto" w:fill="009D73"/>
            <w:vAlign w:val="center"/>
          </w:tcPr>
          <w:p w14:paraId="5CD9D63A"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107" w:type="pct"/>
            <w:shd w:val="clear" w:color="auto" w:fill="FFFFFF"/>
            <w:vAlign w:val="center"/>
          </w:tcPr>
          <w:p w14:paraId="2BFC5367" w14:textId="6FF821DB"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Degree of </w:t>
            </w:r>
            <w:r w:rsidR="0044096A" w:rsidRPr="007C4D65">
              <w:rPr>
                <w:rFonts w:asciiTheme="minorHAnsi" w:eastAsia="Calibri" w:hAnsiTheme="minorHAnsi" w:cstheme="minorHAnsi"/>
                <w:sz w:val="18"/>
                <w:szCs w:val="18"/>
                <w:lang w:eastAsia="x-none"/>
              </w:rPr>
              <w:t>completion</w:t>
            </w:r>
            <w:r w:rsidRPr="007C4D65">
              <w:rPr>
                <w:rFonts w:asciiTheme="minorHAnsi" w:eastAsia="Calibri" w:hAnsiTheme="minorHAnsi" w:cstheme="minorHAnsi"/>
                <w:sz w:val="18"/>
                <w:szCs w:val="18"/>
                <w:lang w:eastAsia="x-none"/>
              </w:rPr>
              <w:t xml:space="preserve"> and availability of the FBiH habitat map</w:t>
            </w:r>
          </w:p>
        </w:tc>
        <w:tc>
          <w:tcPr>
            <w:tcW w:w="1283" w:type="pct"/>
            <w:shd w:val="clear" w:color="auto" w:fill="FFFFFF"/>
            <w:vAlign w:val="center"/>
          </w:tcPr>
          <w:p w14:paraId="0A185237" w14:textId="260C706C"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There is no habitat map</w:t>
            </w:r>
            <w:r w:rsidR="0044096A" w:rsidRPr="007C4D65">
              <w:rPr>
                <w:rFonts w:asciiTheme="minorHAnsi" w:eastAsiaTheme="minorHAnsi" w:hAnsiTheme="minorHAnsi" w:cstheme="minorHAnsi"/>
                <w:sz w:val="18"/>
                <w:szCs w:val="18"/>
                <w:lang w:eastAsia="en-US" w:bidi="en-US"/>
              </w:rPr>
              <w:t xml:space="preserve"> of </w:t>
            </w:r>
            <w:r w:rsidR="0044096A" w:rsidRPr="007C4D65">
              <w:rPr>
                <w:rFonts w:asciiTheme="minorHAnsi" w:eastAsia="Calibri" w:hAnsiTheme="minorHAnsi" w:cstheme="minorHAnsi"/>
                <w:sz w:val="18"/>
                <w:szCs w:val="18"/>
                <w:lang w:eastAsia="x-none"/>
              </w:rPr>
              <w:t>Degree of completion</w:t>
            </w:r>
          </w:p>
        </w:tc>
        <w:tc>
          <w:tcPr>
            <w:tcW w:w="1284" w:type="pct"/>
            <w:shd w:val="clear" w:color="auto" w:fill="FFFFFF"/>
            <w:vAlign w:val="center"/>
          </w:tcPr>
          <w:p w14:paraId="6216B982" w14:textId="57D18A6B" w:rsidR="00005022" w:rsidRPr="007C4D65" w:rsidRDefault="0044096A"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H</w:t>
            </w:r>
            <w:r w:rsidR="00005022" w:rsidRPr="007C4D65">
              <w:rPr>
                <w:rFonts w:asciiTheme="minorHAnsi" w:eastAsia="Calibri" w:hAnsiTheme="minorHAnsi" w:cstheme="minorHAnsi"/>
                <w:sz w:val="18"/>
                <w:szCs w:val="18"/>
                <w:lang w:eastAsia="x-none"/>
              </w:rPr>
              <w:t xml:space="preserve">abitat types </w:t>
            </w:r>
            <w:r w:rsidRPr="007C4D65">
              <w:rPr>
                <w:rFonts w:asciiTheme="minorHAnsi" w:eastAsia="Calibri" w:hAnsiTheme="minorHAnsi" w:cstheme="minorHAnsi"/>
                <w:sz w:val="18"/>
                <w:szCs w:val="18"/>
                <w:lang w:eastAsia="x-none"/>
              </w:rPr>
              <w:t xml:space="preserve">identified and </w:t>
            </w:r>
            <w:r w:rsidR="00005022" w:rsidRPr="007C4D65">
              <w:rPr>
                <w:rFonts w:asciiTheme="minorHAnsi" w:eastAsia="Calibri" w:hAnsiTheme="minorHAnsi" w:cstheme="minorHAnsi"/>
                <w:sz w:val="18"/>
                <w:szCs w:val="18"/>
                <w:lang w:eastAsia="x-none"/>
              </w:rPr>
              <w:t>presented on a publicly available habitat map</w:t>
            </w:r>
            <w:r w:rsidRPr="007C4D65">
              <w:rPr>
                <w:rFonts w:asciiTheme="minorHAnsi" w:eastAsia="Calibri" w:hAnsiTheme="minorHAnsi" w:cstheme="minorHAnsi"/>
                <w:sz w:val="18"/>
                <w:szCs w:val="18"/>
                <w:lang w:eastAsia="x-none"/>
              </w:rPr>
              <w:t xml:space="preserve"> of Degree of completion</w:t>
            </w:r>
          </w:p>
        </w:tc>
      </w:tr>
      <w:tr w:rsidR="00005022" w:rsidRPr="007C4D65" w14:paraId="4F198C9F" w14:textId="77777777" w:rsidTr="00BC37DE">
        <w:trPr>
          <w:trHeight w:val="567"/>
          <w:jc w:val="center"/>
        </w:trPr>
        <w:tc>
          <w:tcPr>
            <w:tcW w:w="1325" w:type="pct"/>
            <w:shd w:val="clear" w:color="auto" w:fill="009D73"/>
            <w:vAlign w:val="center"/>
          </w:tcPr>
          <w:p w14:paraId="14375B9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implementation of the priorities</w:t>
            </w:r>
          </w:p>
        </w:tc>
        <w:tc>
          <w:tcPr>
            <w:tcW w:w="3675" w:type="pct"/>
            <w:gridSpan w:val="3"/>
            <w:shd w:val="clear" w:color="auto" w:fill="FFFFFF"/>
            <w:vAlign w:val="center"/>
          </w:tcPr>
          <w:p w14:paraId="2AC1279D" w14:textId="6185E2D6" w:rsidR="00005022" w:rsidRPr="007C4D65" w:rsidRDefault="0044096A"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nature conservation</w:t>
            </w:r>
          </w:p>
        </w:tc>
      </w:tr>
      <w:tr w:rsidR="00005022" w:rsidRPr="007C4D65" w14:paraId="418F1901" w14:textId="77777777" w:rsidTr="00BC37DE">
        <w:trPr>
          <w:trHeight w:val="567"/>
          <w:jc w:val="center"/>
        </w:trPr>
        <w:tc>
          <w:tcPr>
            <w:tcW w:w="1325" w:type="pct"/>
            <w:shd w:val="clear" w:color="auto" w:fill="009D73"/>
            <w:vAlign w:val="center"/>
          </w:tcPr>
          <w:p w14:paraId="2234A0C1" w14:textId="767A0623"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75" w:type="pct"/>
            <w:gridSpan w:val="3"/>
            <w:shd w:val="clear" w:color="auto" w:fill="FFFFFF"/>
            <w:vAlign w:val="center"/>
          </w:tcPr>
          <w:p w14:paraId="1703F660" w14:textId="283B6CD3" w:rsidR="0044096A" w:rsidRPr="007C4D65" w:rsidRDefault="0044096A" w:rsidP="0044096A">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158,876</w:t>
            </w:r>
          </w:p>
          <w:p w14:paraId="5807E2A8" w14:textId="5E6D69B5" w:rsidR="00005022" w:rsidRPr="007C4D65" w:rsidRDefault="0044096A" w:rsidP="0044096A">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20% </w:t>
            </w:r>
            <w:r w:rsidR="000E401F" w:rsidRPr="007C4D65">
              <w:rPr>
                <w:rFonts w:asciiTheme="minorHAnsi" w:hAnsiTheme="minorHAnsi" w:cstheme="minorHAnsi"/>
                <w:color w:val="000000" w:themeColor="text1"/>
                <w:sz w:val="18"/>
                <w:szCs w:val="18"/>
              </w:rPr>
              <w:t>government budget</w:t>
            </w:r>
            <w:r w:rsidRPr="007C4D65">
              <w:rPr>
                <w:rFonts w:asciiTheme="minorHAnsi" w:hAnsiTheme="minorHAnsi" w:cstheme="minorHAnsi"/>
                <w:color w:val="000000" w:themeColor="text1"/>
                <w:sz w:val="18"/>
                <w:szCs w:val="18"/>
              </w:rPr>
              <w:t>, 80% funds from EU and other international donors</w:t>
            </w:r>
          </w:p>
        </w:tc>
      </w:tr>
      <w:tr w:rsidR="00005022" w:rsidRPr="007C4D65" w14:paraId="212732AB" w14:textId="77777777" w:rsidTr="00BC37DE">
        <w:trPr>
          <w:trHeight w:val="567"/>
          <w:jc w:val="center"/>
        </w:trPr>
        <w:tc>
          <w:tcPr>
            <w:tcW w:w="1325" w:type="pct"/>
            <w:shd w:val="clear" w:color="auto" w:fill="009D73"/>
            <w:vAlign w:val="center"/>
          </w:tcPr>
          <w:p w14:paraId="29BF0A4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75" w:type="pct"/>
            <w:gridSpan w:val="3"/>
            <w:shd w:val="clear" w:color="auto" w:fill="FFFFFF"/>
            <w:vAlign w:val="center"/>
          </w:tcPr>
          <w:p w14:paraId="20F99072"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2026 - 2027</w:t>
            </w:r>
          </w:p>
        </w:tc>
      </w:tr>
      <w:tr w:rsidR="00005022" w:rsidRPr="007C4D65" w14:paraId="29DA9DE2" w14:textId="77777777" w:rsidTr="00BC37DE">
        <w:trPr>
          <w:trHeight w:val="567"/>
          <w:jc w:val="center"/>
        </w:trPr>
        <w:tc>
          <w:tcPr>
            <w:tcW w:w="1325" w:type="pct"/>
            <w:shd w:val="clear" w:color="auto" w:fill="009D73"/>
            <w:vAlign w:val="center"/>
          </w:tcPr>
          <w:p w14:paraId="77CF880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75" w:type="pct"/>
            <w:gridSpan w:val="3"/>
            <w:shd w:val="clear" w:color="auto" w:fill="FFFFFF"/>
            <w:vAlign w:val="center"/>
          </w:tcPr>
          <w:p w14:paraId="6FA1B646"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20C6A5BD" w14:textId="77777777" w:rsidTr="00BC37DE">
        <w:trPr>
          <w:trHeight w:val="567"/>
          <w:jc w:val="center"/>
        </w:trPr>
        <w:tc>
          <w:tcPr>
            <w:tcW w:w="1325" w:type="pct"/>
            <w:shd w:val="clear" w:color="auto" w:fill="009D73"/>
            <w:vAlign w:val="center"/>
          </w:tcPr>
          <w:p w14:paraId="42E7A3B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 xml:space="preserve">Implementing institutions </w:t>
            </w:r>
          </w:p>
        </w:tc>
        <w:tc>
          <w:tcPr>
            <w:tcW w:w="3675" w:type="pct"/>
            <w:gridSpan w:val="3"/>
            <w:shd w:val="clear" w:color="auto" w:fill="FFFFFF"/>
            <w:vAlign w:val="center"/>
          </w:tcPr>
          <w:p w14:paraId="4B80A1A9"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EPF, FMSP, scientific institutions</w:t>
            </w:r>
          </w:p>
        </w:tc>
      </w:tr>
      <w:tr w:rsidR="00005022" w:rsidRPr="007C4D65" w14:paraId="089EA2AF" w14:textId="77777777" w:rsidTr="00BC37DE">
        <w:trPr>
          <w:trHeight w:val="567"/>
          <w:jc w:val="center"/>
        </w:trPr>
        <w:tc>
          <w:tcPr>
            <w:tcW w:w="1325" w:type="pct"/>
            <w:shd w:val="clear" w:color="auto" w:fill="009D73"/>
            <w:vAlign w:val="center"/>
          </w:tcPr>
          <w:p w14:paraId="7FD1193A" w14:textId="08AE1D0F"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75" w:type="pct"/>
            <w:gridSpan w:val="3"/>
            <w:shd w:val="clear" w:color="auto" w:fill="FFFFFF"/>
            <w:vAlign w:val="center"/>
          </w:tcPr>
          <w:p w14:paraId="13C1B08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Line and sectoral ministries, scientific institutions, non-governmental organizations, the public</w:t>
            </w:r>
          </w:p>
        </w:tc>
      </w:tr>
    </w:tbl>
    <w:p w14:paraId="48D3D36A"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38"/>
        <w:gridCol w:w="2956"/>
        <w:gridCol w:w="3426"/>
        <w:gridCol w:w="3431"/>
      </w:tblGrid>
      <w:tr w:rsidR="00005022" w:rsidRPr="007C4D65" w14:paraId="01B8F851" w14:textId="77777777" w:rsidTr="00BC37DE">
        <w:trPr>
          <w:trHeight w:val="567"/>
          <w:jc w:val="center"/>
        </w:trPr>
        <w:tc>
          <w:tcPr>
            <w:tcW w:w="1325" w:type="pct"/>
            <w:shd w:val="clear" w:color="auto" w:fill="009D73"/>
            <w:vAlign w:val="center"/>
          </w:tcPr>
          <w:p w14:paraId="01625A0F" w14:textId="6F02E748"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75" w:type="pct"/>
            <w:gridSpan w:val="3"/>
            <w:shd w:val="clear" w:color="auto" w:fill="FFFFFF"/>
            <w:vAlign w:val="center"/>
          </w:tcPr>
          <w:p w14:paraId="3525AF0B" w14:textId="6493B9A3"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44096A" w:rsidRPr="007C4D65">
              <w:rPr>
                <w:rFonts w:asciiTheme="minorHAnsi" w:eastAsia="Calibri" w:hAnsiTheme="minorHAnsi" w:cstheme="minorHAnsi"/>
                <w:b/>
                <w:bCs/>
                <w:sz w:val="18"/>
                <w:szCs w:val="18"/>
                <w:lang w:eastAsia="en-US"/>
              </w:rPr>
              <w:t>Maintaining and improving biodiversity and protecting ecosystems</w:t>
            </w:r>
          </w:p>
        </w:tc>
      </w:tr>
      <w:tr w:rsidR="00005022" w:rsidRPr="007C4D65" w14:paraId="13957739" w14:textId="77777777" w:rsidTr="00BC37DE">
        <w:trPr>
          <w:trHeight w:val="567"/>
          <w:jc w:val="center"/>
        </w:trPr>
        <w:tc>
          <w:tcPr>
            <w:tcW w:w="1325" w:type="pct"/>
            <w:shd w:val="clear" w:color="auto" w:fill="009D73"/>
            <w:vAlign w:val="center"/>
          </w:tcPr>
          <w:p w14:paraId="301AE6B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75" w:type="pct"/>
            <w:gridSpan w:val="3"/>
            <w:shd w:val="clear" w:color="auto" w:fill="FFFFFF"/>
            <w:vAlign w:val="center"/>
          </w:tcPr>
          <w:p w14:paraId="131123C2" w14:textId="13F643B6" w:rsidR="00005022" w:rsidRPr="007C4D65" w:rsidRDefault="00005022" w:rsidP="00005022">
            <w:pPr>
              <w:spacing w:before="40" w:after="40" w:line="276" w:lineRule="auto"/>
              <w:rPr>
                <w:rFonts w:asciiTheme="minorHAnsi" w:hAnsiTheme="minorHAnsi" w:cstheme="minorHAnsi"/>
                <w:b/>
                <w:bCs/>
                <w:color w:val="FF0000"/>
                <w:sz w:val="18"/>
                <w:szCs w:val="18"/>
                <w:lang w:eastAsia="zh-TW"/>
              </w:rPr>
            </w:pPr>
            <w:bookmarkStart w:id="286" w:name="_Hlk94621385"/>
            <w:r w:rsidRPr="007C4D65">
              <w:rPr>
                <w:rFonts w:asciiTheme="minorHAnsi" w:hAnsiTheme="minorHAnsi" w:cstheme="minorHAnsi"/>
                <w:b/>
                <w:bCs/>
                <w:sz w:val="18"/>
                <w:szCs w:val="18"/>
                <w:lang w:eastAsia="zh-TW"/>
              </w:rPr>
              <w:t xml:space="preserve">3.6 Exponentially expand the protected areas in </w:t>
            </w:r>
            <w:r w:rsidR="0044096A" w:rsidRPr="007C4D65">
              <w:rPr>
                <w:rFonts w:asciiTheme="minorHAnsi" w:hAnsiTheme="minorHAnsi" w:cstheme="minorHAnsi"/>
                <w:b/>
                <w:bCs/>
                <w:sz w:val="18"/>
                <w:szCs w:val="18"/>
                <w:lang w:eastAsia="zh-TW"/>
              </w:rPr>
              <w:t>the Federation of BiH</w:t>
            </w:r>
            <w:r w:rsidRPr="007C4D65">
              <w:rPr>
                <w:rFonts w:asciiTheme="minorHAnsi" w:hAnsiTheme="minorHAnsi" w:cstheme="minorHAnsi"/>
                <w:b/>
                <w:bCs/>
                <w:sz w:val="18"/>
                <w:szCs w:val="18"/>
                <w:lang w:eastAsia="zh-TW"/>
              </w:rPr>
              <w:t xml:space="preserve"> in </w:t>
            </w:r>
            <w:r w:rsidR="0044096A" w:rsidRPr="007C4D65">
              <w:rPr>
                <w:rFonts w:asciiTheme="minorHAnsi" w:hAnsiTheme="minorHAnsi" w:cstheme="minorHAnsi"/>
                <w:b/>
                <w:bCs/>
                <w:sz w:val="18"/>
                <w:szCs w:val="18"/>
                <w:lang w:eastAsia="zh-TW"/>
              </w:rPr>
              <w:t>compliance</w:t>
            </w:r>
            <w:r w:rsidRPr="007C4D65">
              <w:rPr>
                <w:rFonts w:asciiTheme="minorHAnsi" w:hAnsiTheme="minorHAnsi" w:cstheme="minorHAnsi"/>
                <w:b/>
                <w:bCs/>
                <w:sz w:val="18"/>
                <w:szCs w:val="18"/>
                <w:lang w:eastAsia="zh-TW"/>
              </w:rPr>
              <w:t xml:space="preserve"> with the global goals for biodiversity, and spatially connect all ecologically important areas into the </w:t>
            </w:r>
            <w:r w:rsidR="0044096A" w:rsidRPr="007C4D65">
              <w:rPr>
                <w:rFonts w:asciiTheme="minorHAnsi" w:hAnsiTheme="minorHAnsi" w:cstheme="minorHAnsi"/>
                <w:b/>
                <w:bCs/>
                <w:sz w:val="18"/>
                <w:szCs w:val="18"/>
                <w:lang w:eastAsia="zh-TW"/>
              </w:rPr>
              <w:t xml:space="preserve">ecological </w:t>
            </w:r>
            <w:r w:rsidRPr="007C4D65">
              <w:rPr>
                <w:rFonts w:asciiTheme="minorHAnsi" w:hAnsiTheme="minorHAnsi" w:cstheme="minorHAnsi"/>
                <w:b/>
                <w:bCs/>
                <w:sz w:val="18"/>
                <w:szCs w:val="18"/>
                <w:lang w:eastAsia="zh-TW"/>
              </w:rPr>
              <w:t>network</w:t>
            </w:r>
            <w:bookmarkEnd w:id="286"/>
          </w:p>
        </w:tc>
      </w:tr>
      <w:tr w:rsidR="00005022" w:rsidRPr="007C4D65" w14:paraId="328554E5" w14:textId="77777777" w:rsidTr="00BC37DE">
        <w:trPr>
          <w:trHeight w:val="567"/>
          <w:jc w:val="center"/>
        </w:trPr>
        <w:tc>
          <w:tcPr>
            <w:tcW w:w="1325" w:type="pct"/>
            <w:shd w:val="clear" w:color="auto" w:fill="009D73"/>
            <w:vAlign w:val="center"/>
          </w:tcPr>
          <w:p w14:paraId="680B883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75" w:type="pct"/>
            <w:gridSpan w:val="3"/>
            <w:shd w:val="clear" w:color="auto" w:fill="FFFFFF"/>
            <w:vAlign w:val="center"/>
          </w:tcPr>
          <w:p w14:paraId="1D7527D2" w14:textId="7D5805FD" w:rsidR="00005022" w:rsidRPr="007C4D65" w:rsidRDefault="00005022" w:rsidP="00005022">
            <w:pPr>
              <w:spacing w:after="160" w:line="276" w:lineRule="auto"/>
              <w:rPr>
                <w:rFonts w:asciiTheme="minorHAnsi" w:eastAsia="Calibri" w:hAnsiTheme="minorHAnsi" w:cstheme="minorHAnsi"/>
                <w:b/>
                <w:bCs/>
                <w:sz w:val="18"/>
                <w:szCs w:val="18"/>
                <w:lang w:eastAsia="en-US"/>
              </w:rPr>
            </w:pPr>
            <w:bookmarkStart w:id="287" w:name="_Hlk94621547"/>
            <w:r w:rsidRPr="007C4D65">
              <w:rPr>
                <w:rFonts w:asciiTheme="minorHAnsi" w:eastAsia="Calibri" w:hAnsiTheme="minorHAnsi" w:cstheme="minorHAnsi"/>
                <w:b/>
                <w:bCs/>
                <w:sz w:val="18"/>
                <w:szCs w:val="18"/>
                <w:lang w:eastAsia="en-US"/>
              </w:rPr>
              <w:t xml:space="preserve">3.6.1 Conduct a public campaign to promote the </w:t>
            </w:r>
            <w:r w:rsidR="0044096A" w:rsidRPr="007C4D65">
              <w:rPr>
                <w:rFonts w:asciiTheme="minorHAnsi" w:eastAsia="Calibri" w:hAnsiTheme="minorHAnsi" w:cstheme="minorHAnsi"/>
                <w:b/>
                <w:bCs/>
                <w:sz w:val="18"/>
                <w:szCs w:val="18"/>
                <w:lang w:eastAsia="en-US"/>
              </w:rPr>
              <w:t>ecological</w:t>
            </w:r>
            <w:r w:rsidRPr="007C4D65">
              <w:rPr>
                <w:rFonts w:asciiTheme="minorHAnsi" w:eastAsia="Calibri" w:hAnsiTheme="minorHAnsi" w:cstheme="minorHAnsi"/>
                <w:b/>
                <w:bCs/>
                <w:sz w:val="18"/>
                <w:szCs w:val="18"/>
                <w:lang w:eastAsia="en-US"/>
              </w:rPr>
              <w:t xml:space="preserve"> network (Network of Areas of Interest for the Community)</w:t>
            </w:r>
            <w:bookmarkEnd w:id="287"/>
          </w:p>
        </w:tc>
      </w:tr>
      <w:tr w:rsidR="00005022" w:rsidRPr="007C4D65" w14:paraId="3024FD9A" w14:textId="77777777" w:rsidTr="00BC37DE">
        <w:trPr>
          <w:trHeight w:val="567"/>
          <w:jc w:val="center"/>
        </w:trPr>
        <w:tc>
          <w:tcPr>
            <w:tcW w:w="1325" w:type="pct"/>
            <w:shd w:val="clear" w:color="auto" w:fill="009D73"/>
            <w:vAlign w:val="center"/>
          </w:tcPr>
          <w:p w14:paraId="4016921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75" w:type="pct"/>
            <w:gridSpan w:val="3"/>
            <w:shd w:val="clear" w:color="auto" w:fill="FFFFFF"/>
            <w:vAlign w:val="center"/>
          </w:tcPr>
          <w:p w14:paraId="3CF00980" w14:textId="4DD7EC5A"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288" w:name="_Hlk94621838"/>
            <w:r w:rsidRPr="007C4D65">
              <w:rPr>
                <w:rFonts w:asciiTheme="minorHAnsi" w:eastAsia="Calibri" w:hAnsiTheme="minorHAnsi" w:cstheme="minorHAnsi"/>
                <w:sz w:val="18"/>
                <w:szCs w:val="18"/>
                <w:lang w:eastAsia="en-US"/>
              </w:rPr>
              <w:t xml:space="preserve">The aim of this measure is to raise public awareness about the benefits of the </w:t>
            </w:r>
            <w:r w:rsidR="00221F4A" w:rsidRPr="007C4D65">
              <w:rPr>
                <w:rFonts w:asciiTheme="minorHAnsi" w:eastAsia="Calibri" w:hAnsiTheme="minorHAnsi" w:cstheme="minorHAnsi"/>
                <w:sz w:val="18"/>
                <w:szCs w:val="18"/>
                <w:lang w:eastAsia="en-US"/>
              </w:rPr>
              <w:t>ecological network</w:t>
            </w:r>
            <w:r w:rsidR="0044096A" w:rsidRPr="007C4D65">
              <w:rPr>
                <w:rFonts w:asciiTheme="minorHAnsi" w:eastAsia="Calibri" w:hAnsiTheme="minorHAnsi" w:cstheme="minorHAnsi"/>
                <w:sz w:val="18"/>
                <w:szCs w:val="18"/>
                <w:lang w:eastAsia="en-US"/>
              </w:rPr>
              <w:t xml:space="preserve"> of the Federation of BiH</w:t>
            </w:r>
            <w:r w:rsidRPr="007C4D65">
              <w:rPr>
                <w:rFonts w:asciiTheme="minorHAnsi" w:eastAsia="Calibri" w:hAnsiTheme="minorHAnsi" w:cstheme="minorHAnsi"/>
                <w:sz w:val="18"/>
                <w:szCs w:val="18"/>
                <w:lang w:eastAsia="en-US"/>
              </w:rPr>
              <w:t>. The current state of public awareness o</w:t>
            </w:r>
            <w:r w:rsidR="0044096A" w:rsidRPr="007C4D65">
              <w:rPr>
                <w:rFonts w:asciiTheme="minorHAnsi" w:eastAsia="Calibri" w:hAnsiTheme="minorHAnsi" w:cstheme="minorHAnsi"/>
                <w:sz w:val="18"/>
                <w:szCs w:val="18"/>
                <w:lang w:eastAsia="en-US"/>
              </w:rPr>
              <w:t>n</w:t>
            </w:r>
            <w:r w:rsidRPr="007C4D65">
              <w:rPr>
                <w:rFonts w:asciiTheme="minorHAnsi" w:eastAsia="Calibri" w:hAnsiTheme="minorHAnsi" w:cstheme="minorHAnsi"/>
                <w:sz w:val="18"/>
                <w:szCs w:val="18"/>
                <w:lang w:eastAsia="en-US"/>
              </w:rPr>
              <w:t xml:space="preserve"> the need to preserve biodiversity in a </w:t>
            </w:r>
            <w:r w:rsidR="0044096A" w:rsidRPr="007C4D65">
              <w:rPr>
                <w:rFonts w:asciiTheme="minorHAnsi" w:eastAsia="Calibri" w:hAnsiTheme="minorHAnsi" w:cstheme="minorHAnsi"/>
                <w:sz w:val="18"/>
                <w:szCs w:val="18"/>
                <w:lang w:eastAsia="en-US"/>
              </w:rPr>
              <w:t>good state</w:t>
            </w:r>
            <w:r w:rsidRPr="007C4D65">
              <w:rPr>
                <w:rFonts w:asciiTheme="minorHAnsi" w:eastAsia="Calibri" w:hAnsiTheme="minorHAnsi" w:cstheme="minorHAnsi"/>
                <w:sz w:val="18"/>
                <w:szCs w:val="18"/>
                <w:lang w:eastAsia="en-US"/>
              </w:rPr>
              <w:t xml:space="preserve"> does not guarantee </w:t>
            </w:r>
            <w:r w:rsidR="0044096A" w:rsidRPr="007C4D65">
              <w:rPr>
                <w:rFonts w:asciiTheme="minorHAnsi" w:eastAsia="Calibri" w:hAnsiTheme="minorHAnsi" w:cstheme="minorHAnsi"/>
                <w:sz w:val="18"/>
                <w:szCs w:val="18"/>
                <w:lang w:eastAsia="en-US"/>
              </w:rPr>
              <w:t>that the</w:t>
            </w:r>
            <w:r w:rsidRPr="007C4D65">
              <w:rPr>
                <w:rFonts w:asciiTheme="minorHAnsi" w:eastAsia="Calibri" w:hAnsiTheme="minorHAnsi" w:cstheme="minorHAnsi"/>
                <w:sz w:val="18"/>
                <w:szCs w:val="18"/>
                <w:lang w:eastAsia="en-US"/>
              </w:rPr>
              <w:t xml:space="preserve"> stakeholders</w:t>
            </w:r>
            <w:r w:rsidR="00221F4A" w:rsidRPr="007C4D65">
              <w:rPr>
                <w:rFonts w:asciiTheme="minorHAnsi" w:eastAsia="Calibri" w:hAnsiTheme="minorHAnsi" w:cstheme="minorHAnsi"/>
                <w:sz w:val="18"/>
                <w:szCs w:val="18"/>
                <w:lang w:eastAsia="en-US"/>
              </w:rPr>
              <w:t xml:space="preserve"> may agree on the establishment of the ecological n</w:t>
            </w:r>
            <w:r w:rsidRPr="007C4D65">
              <w:rPr>
                <w:rFonts w:asciiTheme="minorHAnsi" w:eastAsia="Calibri" w:hAnsiTheme="minorHAnsi" w:cstheme="minorHAnsi"/>
                <w:sz w:val="18"/>
                <w:szCs w:val="18"/>
                <w:lang w:eastAsia="en-US"/>
              </w:rPr>
              <w:t xml:space="preserve">etwork, and it is necessary to invest </w:t>
            </w:r>
            <w:r w:rsidR="00221F4A" w:rsidRPr="007C4D65">
              <w:rPr>
                <w:rFonts w:asciiTheme="minorHAnsi" w:eastAsia="Calibri" w:hAnsiTheme="minorHAnsi" w:cstheme="minorHAnsi"/>
                <w:sz w:val="18"/>
                <w:szCs w:val="18"/>
                <w:lang w:eastAsia="en-US"/>
              </w:rPr>
              <w:t xml:space="preserve">funds </w:t>
            </w:r>
            <w:r w:rsidRPr="007C4D65">
              <w:rPr>
                <w:rFonts w:asciiTheme="minorHAnsi" w:eastAsia="Calibri" w:hAnsiTheme="minorHAnsi" w:cstheme="minorHAnsi"/>
                <w:sz w:val="18"/>
                <w:szCs w:val="18"/>
                <w:lang w:eastAsia="en-US"/>
              </w:rPr>
              <w:t>in its promotion.</w:t>
            </w:r>
          </w:p>
          <w:bookmarkEnd w:id="288"/>
          <w:p w14:paraId="5FA9385C" w14:textId="2A65234C"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971FDB" w:rsidRPr="007C4D65">
              <w:rPr>
                <w:rFonts w:asciiTheme="minorHAnsi" w:eastAsia="Calibri" w:hAnsiTheme="minorHAnsi" w:cstheme="minorHAnsi"/>
                <w:sz w:val="18"/>
                <w:szCs w:val="18"/>
                <w:lang w:eastAsia="en-US"/>
              </w:rPr>
              <w:t>eneral area</w:t>
            </w:r>
            <w:r w:rsidRPr="007C4D65">
              <w:rPr>
                <w:rFonts w:asciiTheme="minorHAnsi" w:eastAsia="Calibri" w:hAnsiTheme="minorHAnsi" w:cstheme="minorHAnsi"/>
                <w:sz w:val="18"/>
                <w:szCs w:val="18"/>
                <w:lang w:eastAsia="en-US"/>
              </w:rPr>
              <w:t>s</w:t>
            </w:r>
            <w:r w:rsidR="00971FDB" w:rsidRPr="007C4D65">
              <w:rPr>
                <w:rFonts w:asciiTheme="minorHAnsi" w:eastAsia="Calibri" w:hAnsiTheme="minorHAnsi" w:cstheme="minorHAnsi"/>
                <w:sz w:val="18"/>
                <w:szCs w:val="18"/>
                <w:lang w:eastAsia="en-US"/>
              </w:rPr>
              <w:t xml:space="preserve"> of intervention include</w:t>
            </w:r>
            <w:r w:rsidR="00005022" w:rsidRPr="007C4D65">
              <w:rPr>
                <w:rFonts w:asciiTheme="minorHAnsi" w:eastAsia="Calibri" w:hAnsiTheme="minorHAnsi" w:cstheme="minorHAnsi"/>
                <w:sz w:val="18"/>
                <w:szCs w:val="18"/>
                <w:lang w:eastAsia="en-US"/>
              </w:rPr>
              <w:t>:</w:t>
            </w:r>
          </w:p>
          <w:p w14:paraId="79E3F87C" w14:textId="1CB80E01"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Provide</w:t>
            </w:r>
            <w:r w:rsidR="00221F4A" w:rsidRPr="007C4D65">
              <w:rPr>
                <w:rFonts w:asciiTheme="minorHAnsi" w:eastAsia="Calibri" w:hAnsiTheme="minorHAnsi" w:cstheme="minorHAnsi"/>
                <w:sz w:val="18"/>
                <w:szCs w:val="18"/>
                <w:lang w:eastAsia="en-US"/>
              </w:rPr>
              <w:t xml:space="preserve"> for</w:t>
            </w:r>
            <w:r w:rsidRPr="007C4D65">
              <w:rPr>
                <w:rFonts w:asciiTheme="minorHAnsi" w:eastAsia="Calibri" w:hAnsiTheme="minorHAnsi" w:cstheme="minorHAnsi"/>
                <w:sz w:val="18"/>
                <w:szCs w:val="18"/>
                <w:lang w:eastAsia="en-US"/>
              </w:rPr>
              <w:t xml:space="preserve"> funds for the promotion campaign</w:t>
            </w:r>
            <w:r w:rsidR="00221F4A" w:rsidRPr="007C4D65">
              <w:rPr>
                <w:rFonts w:asciiTheme="minorHAnsi" w:eastAsia="Calibri" w:hAnsiTheme="minorHAnsi" w:cstheme="minorHAnsi"/>
                <w:sz w:val="18"/>
                <w:szCs w:val="18"/>
                <w:lang w:eastAsia="en-US"/>
              </w:rPr>
              <w:t xml:space="preserve"> of the ecological network of the Federation of </w:t>
            </w:r>
            <w:proofErr w:type="gramStart"/>
            <w:r w:rsidR="00221F4A" w:rsidRPr="007C4D65">
              <w:rPr>
                <w:rFonts w:asciiTheme="minorHAnsi" w:eastAsia="Calibri" w:hAnsiTheme="minorHAnsi" w:cstheme="minorHAnsi"/>
                <w:sz w:val="18"/>
                <w:szCs w:val="18"/>
                <w:lang w:eastAsia="en-US"/>
              </w:rPr>
              <w:t>BiH</w:t>
            </w:r>
            <w:r w:rsidR="00B30020" w:rsidRPr="007C4D65">
              <w:rPr>
                <w:rFonts w:asciiTheme="minorHAnsi" w:eastAsia="Calibri" w:hAnsiTheme="minorHAnsi" w:cstheme="minorHAnsi"/>
                <w:sz w:val="18"/>
                <w:szCs w:val="18"/>
                <w:lang w:eastAsia="en-US"/>
              </w:rPr>
              <w:t>;</w:t>
            </w:r>
            <w:proofErr w:type="gramEnd"/>
          </w:p>
          <w:p w14:paraId="39C0AFCC" w14:textId="5BFDFBC0" w:rsidR="00005022" w:rsidRPr="007C4D65" w:rsidRDefault="00221F4A"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Undertake a</w:t>
            </w:r>
            <w:r w:rsidR="00005022" w:rsidRPr="007C4D65">
              <w:rPr>
                <w:rFonts w:asciiTheme="minorHAnsi" w:eastAsia="Calibri" w:hAnsiTheme="minorHAnsi" w:cstheme="minorHAnsi"/>
                <w:sz w:val="18"/>
                <w:szCs w:val="18"/>
                <w:lang w:eastAsia="en-US"/>
              </w:rPr>
              <w:t xml:space="preserve"> media campaign in accordance with the goals</w:t>
            </w:r>
            <w:r w:rsidR="00B30020" w:rsidRPr="007C4D65">
              <w:rPr>
                <w:rFonts w:asciiTheme="minorHAnsi" w:eastAsia="Calibri" w:hAnsiTheme="minorHAnsi" w:cstheme="minorHAnsi"/>
                <w:sz w:val="18"/>
                <w:szCs w:val="18"/>
                <w:lang w:eastAsia="en-US"/>
              </w:rPr>
              <w:t>.</w:t>
            </w:r>
          </w:p>
        </w:tc>
      </w:tr>
      <w:tr w:rsidR="00005022" w:rsidRPr="007C4D65" w14:paraId="78FF6AB1" w14:textId="77777777" w:rsidTr="00BC37DE">
        <w:trPr>
          <w:trHeight w:val="567"/>
          <w:jc w:val="center"/>
        </w:trPr>
        <w:tc>
          <w:tcPr>
            <w:tcW w:w="1325" w:type="pct"/>
            <w:shd w:val="clear" w:color="auto" w:fill="009D73"/>
            <w:vAlign w:val="center"/>
          </w:tcPr>
          <w:p w14:paraId="1621C44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75" w:type="pct"/>
            <w:gridSpan w:val="3"/>
            <w:tcBorders>
              <w:bottom w:val="single" w:sz="4" w:space="0" w:color="A6A6A6"/>
            </w:tcBorders>
            <w:shd w:val="clear" w:color="auto" w:fill="FFFFFF" w:themeFill="background1"/>
            <w:vAlign w:val="center"/>
          </w:tcPr>
          <w:p w14:paraId="2873AEA3"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5FCFADDF" w14:textId="77777777" w:rsidTr="00BC37DE">
        <w:trPr>
          <w:trHeight w:val="567"/>
          <w:jc w:val="center"/>
        </w:trPr>
        <w:tc>
          <w:tcPr>
            <w:tcW w:w="1325" w:type="pct"/>
            <w:vMerge w:val="restart"/>
            <w:shd w:val="clear" w:color="auto" w:fill="009D73"/>
            <w:vAlign w:val="center"/>
          </w:tcPr>
          <w:p w14:paraId="79AD1370"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107" w:type="pct"/>
            <w:shd w:val="clear" w:color="auto" w:fill="009D73"/>
            <w:vAlign w:val="center"/>
          </w:tcPr>
          <w:p w14:paraId="7FCFBBBA"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5F61BB24"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4355358F"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36F494DA"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5FFF4A3B"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46145C77" w14:textId="77777777" w:rsidTr="00BC37DE">
        <w:trPr>
          <w:trHeight w:val="567"/>
          <w:jc w:val="center"/>
        </w:trPr>
        <w:tc>
          <w:tcPr>
            <w:tcW w:w="1325" w:type="pct"/>
            <w:vMerge/>
            <w:shd w:val="clear" w:color="auto" w:fill="009D73"/>
            <w:vAlign w:val="center"/>
          </w:tcPr>
          <w:p w14:paraId="3D4E2831"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107" w:type="pct"/>
            <w:shd w:val="clear" w:color="auto" w:fill="FFFFFF"/>
            <w:vAlign w:val="center"/>
          </w:tcPr>
          <w:p w14:paraId="7A68B404" w14:textId="4907B46C"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Level of public awareness of the benefits of the </w:t>
            </w:r>
            <w:r w:rsidR="00221F4A" w:rsidRPr="007C4D65">
              <w:rPr>
                <w:rFonts w:asciiTheme="minorHAnsi" w:eastAsia="Calibri" w:hAnsiTheme="minorHAnsi" w:cstheme="minorHAnsi"/>
                <w:sz w:val="18"/>
                <w:szCs w:val="18"/>
                <w:lang w:eastAsia="x-none"/>
              </w:rPr>
              <w:t xml:space="preserve">ecological </w:t>
            </w:r>
            <w:r w:rsidRPr="007C4D65">
              <w:rPr>
                <w:rFonts w:asciiTheme="minorHAnsi" w:eastAsia="Calibri" w:hAnsiTheme="minorHAnsi" w:cstheme="minorHAnsi"/>
                <w:sz w:val="18"/>
                <w:szCs w:val="18"/>
                <w:lang w:eastAsia="x-none"/>
              </w:rPr>
              <w:t xml:space="preserve">network in </w:t>
            </w:r>
            <w:r w:rsidR="00221F4A" w:rsidRPr="007C4D65">
              <w:rPr>
                <w:rFonts w:asciiTheme="minorHAnsi" w:eastAsia="Calibri" w:hAnsiTheme="minorHAnsi" w:cstheme="minorHAnsi"/>
                <w:sz w:val="18"/>
                <w:szCs w:val="18"/>
                <w:lang w:eastAsia="x-none"/>
              </w:rPr>
              <w:t>Federation of BiH</w:t>
            </w:r>
          </w:p>
        </w:tc>
        <w:tc>
          <w:tcPr>
            <w:tcW w:w="1283" w:type="pct"/>
            <w:shd w:val="clear" w:color="auto" w:fill="FFFFFF"/>
            <w:vAlign w:val="center"/>
          </w:tcPr>
          <w:p w14:paraId="1DCF03F4"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Low</w:t>
            </w:r>
          </w:p>
        </w:tc>
        <w:tc>
          <w:tcPr>
            <w:tcW w:w="1284" w:type="pct"/>
            <w:shd w:val="clear" w:color="auto" w:fill="FFFFFF"/>
            <w:vAlign w:val="center"/>
          </w:tcPr>
          <w:p w14:paraId="29D75CEB"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High</w:t>
            </w:r>
          </w:p>
        </w:tc>
      </w:tr>
      <w:tr w:rsidR="00005022" w:rsidRPr="007C4D65" w14:paraId="50A2F50C" w14:textId="77777777" w:rsidTr="00BC37DE">
        <w:trPr>
          <w:trHeight w:val="567"/>
          <w:jc w:val="center"/>
        </w:trPr>
        <w:tc>
          <w:tcPr>
            <w:tcW w:w="1325" w:type="pct"/>
            <w:shd w:val="clear" w:color="auto" w:fill="009D73"/>
            <w:vAlign w:val="center"/>
          </w:tcPr>
          <w:p w14:paraId="162C2AC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implementation of the priorities</w:t>
            </w:r>
          </w:p>
        </w:tc>
        <w:tc>
          <w:tcPr>
            <w:tcW w:w="3675" w:type="pct"/>
            <w:gridSpan w:val="3"/>
            <w:shd w:val="clear" w:color="auto" w:fill="FFFFFF"/>
            <w:vAlign w:val="center"/>
          </w:tcPr>
          <w:p w14:paraId="3772F80E" w14:textId="6D8F3508" w:rsidR="00005022" w:rsidRPr="007C4D65" w:rsidRDefault="00221F4A"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Increased public awareness of the importance of ecological networks</w:t>
            </w:r>
          </w:p>
        </w:tc>
      </w:tr>
      <w:tr w:rsidR="00005022" w:rsidRPr="007C4D65" w14:paraId="24311F06" w14:textId="77777777" w:rsidTr="00BC37DE">
        <w:trPr>
          <w:trHeight w:val="567"/>
          <w:jc w:val="center"/>
        </w:trPr>
        <w:tc>
          <w:tcPr>
            <w:tcW w:w="1325" w:type="pct"/>
            <w:shd w:val="clear" w:color="auto" w:fill="009D73"/>
            <w:vAlign w:val="center"/>
          </w:tcPr>
          <w:p w14:paraId="169F9D89" w14:textId="3AA077F2"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75" w:type="pct"/>
            <w:gridSpan w:val="3"/>
            <w:shd w:val="clear" w:color="auto" w:fill="FFFFFF"/>
            <w:vAlign w:val="center"/>
          </w:tcPr>
          <w:p w14:paraId="0D3AEE84" w14:textId="6F23AA93" w:rsidR="00221F4A" w:rsidRPr="007C4D65" w:rsidRDefault="00221F4A" w:rsidP="00221F4A">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172,442</w:t>
            </w:r>
          </w:p>
          <w:p w14:paraId="046B51E3" w14:textId="2B056821" w:rsidR="00005022" w:rsidRPr="007C4D65" w:rsidRDefault="00221F4A" w:rsidP="00221F4A">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30% </w:t>
            </w:r>
            <w:r w:rsidR="000E401F" w:rsidRPr="007C4D65">
              <w:rPr>
                <w:rFonts w:asciiTheme="minorHAnsi" w:hAnsiTheme="minorHAnsi" w:cstheme="minorHAnsi"/>
                <w:color w:val="000000" w:themeColor="text1"/>
                <w:sz w:val="18"/>
                <w:szCs w:val="18"/>
              </w:rPr>
              <w:t>government budget</w:t>
            </w:r>
            <w:r w:rsidRPr="007C4D65">
              <w:rPr>
                <w:rFonts w:asciiTheme="minorHAnsi" w:hAnsiTheme="minorHAnsi" w:cstheme="minorHAnsi"/>
                <w:color w:val="000000" w:themeColor="text1"/>
                <w:sz w:val="18"/>
                <w:szCs w:val="18"/>
              </w:rPr>
              <w:t>, 70% funds from EU and other international donors</w:t>
            </w:r>
          </w:p>
        </w:tc>
      </w:tr>
      <w:tr w:rsidR="00005022" w:rsidRPr="007C4D65" w14:paraId="2A157C4A" w14:textId="77777777" w:rsidTr="00BC37DE">
        <w:trPr>
          <w:trHeight w:val="567"/>
          <w:jc w:val="center"/>
        </w:trPr>
        <w:tc>
          <w:tcPr>
            <w:tcW w:w="1325" w:type="pct"/>
            <w:shd w:val="clear" w:color="auto" w:fill="009D73"/>
            <w:vAlign w:val="center"/>
          </w:tcPr>
          <w:p w14:paraId="0B7FED7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75" w:type="pct"/>
            <w:gridSpan w:val="3"/>
            <w:shd w:val="clear" w:color="auto" w:fill="FFFFFF"/>
            <w:vAlign w:val="center"/>
          </w:tcPr>
          <w:p w14:paraId="45C4CDB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2024 - 2025</w:t>
            </w:r>
          </w:p>
        </w:tc>
      </w:tr>
      <w:tr w:rsidR="00005022" w:rsidRPr="007C4D65" w14:paraId="64712794" w14:textId="77777777" w:rsidTr="00BC37DE">
        <w:trPr>
          <w:trHeight w:val="567"/>
          <w:jc w:val="center"/>
        </w:trPr>
        <w:tc>
          <w:tcPr>
            <w:tcW w:w="1325" w:type="pct"/>
            <w:shd w:val="clear" w:color="auto" w:fill="009D73"/>
            <w:vAlign w:val="center"/>
          </w:tcPr>
          <w:p w14:paraId="154DF84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Institution responsible for coordinating the implementation of the measure</w:t>
            </w:r>
          </w:p>
        </w:tc>
        <w:tc>
          <w:tcPr>
            <w:tcW w:w="3675" w:type="pct"/>
            <w:gridSpan w:val="3"/>
            <w:shd w:val="clear" w:color="auto" w:fill="FFFFFF"/>
            <w:vAlign w:val="center"/>
          </w:tcPr>
          <w:p w14:paraId="6B3B7E82"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47E03093" w14:textId="77777777" w:rsidTr="00BC37DE">
        <w:trPr>
          <w:trHeight w:val="567"/>
          <w:jc w:val="center"/>
        </w:trPr>
        <w:tc>
          <w:tcPr>
            <w:tcW w:w="1325" w:type="pct"/>
            <w:shd w:val="clear" w:color="auto" w:fill="009D73"/>
            <w:vAlign w:val="center"/>
          </w:tcPr>
          <w:p w14:paraId="6408376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Implementing institutions</w:t>
            </w:r>
          </w:p>
        </w:tc>
        <w:tc>
          <w:tcPr>
            <w:tcW w:w="3675" w:type="pct"/>
            <w:gridSpan w:val="3"/>
            <w:shd w:val="clear" w:color="auto" w:fill="FFFFFF"/>
            <w:vAlign w:val="center"/>
          </w:tcPr>
          <w:p w14:paraId="2A422DB5"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EPF, professional institution for nature conservation, media</w:t>
            </w:r>
          </w:p>
        </w:tc>
      </w:tr>
      <w:tr w:rsidR="00005022" w:rsidRPr="007C4D65" w14:paraId="58075C96" w14:textId="77777777" w:rsidTr="00BC37DE">
        <w:trPr>
          <w:trHeight w:val="567"/>
          <w:jc w:val="center"/>
        </w:trPr>
        <w:tc>
          <w:tcPr>
            <w:tcW w:w="1325" w:type="pct"/>
            <w:shd w:val="clear" w:color="auto" w:fill="009D73"/>
            <w:vAlign w:val="center"/>
          </w:tcPr>
          <w:p w14:paraId="7EB45D9A" w14:textId="27E4368C"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75" w:type="pct"/>
            <w:gridSpan w:val="3"/>
            <w:shd w:val="clear" w:color="auto" w:fill="FFFFFF"/>
            <w:vAlign w:val="center"/>
          </w:tcPr>
          <w:p w14:paraId="6877D3DB"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Local communities, line and sectoral ministries, scientific institutions, non-governmental organizations, the public</w:t>
            </w:r>
          </w:p>
        </w:tc>
      </w:tr>
    </w:tbl>
    <w:p w14:paraId="2D77D324"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38"/>
        <w:gridCol w:w="2956"/>
        <w:gridCol w:w="3426"/>
        <w:gridCol w:w="3431"/>
      </w:tblGrid>
      <w:tr w:rsidR="00005022" w:rsidRPr="007C4D65" w14:paraId="05A80829" w14:textId="77777777" w:rsidTr="00BC37DE">
        <w:trPr>
          <w:trHeight w:val="567"/>
          <w:jc w:val="center"/>
        </w:trPr>
        <w:tc>
          <w:tcPr>
            <w:tcW w:w="1325" w:type="pct"/>
            <w:shd w:val="clear" w:color="auto" w:fill="009D73"/>
            <w:vAlign w:val="center"/>
          </w:tcPr>
          <w:p w14:paraId="68EBCE16" w14:textId="1EBEBC81"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75" w:type="pct"/>
            <w:gridSpan w:val="3"/>
            <w:shd w:val="clear" w:color="auto" w:fill="FFFFFF"/>
            <w:vAlign w:val="center"/>
          </w:tcPr>
          <w:p w14:paraId="394E232B" w14:textId="10082780"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44096A" w:rsidRPr="007C4D65">
              <w:rPr>
                <w:rFonts w:asciiTheme="minorHAnsi" w:eastAsia="Calibri" w:hAnsiTheme="minorHAnsi" w:cstheme="minorHAnsi"/>
                <w:b/>
                <w:bCs/>
                <w:sz w:val="18"/>
                <w:szCs w:val="18"/>
                <w:lang w:eastAsia="en-US"/>
              </w:rPr>
              <w:t>Maintaining and improving biodiversity and protecting ecosystems</w:t>
            </w:r>
          </w:p>
        </w:tc>
      </w:tr>
      <w:tr w:rsidR="00005022" w:rsidRPr="007C4D65" w14:paraId="3E4B4751" w14:textId="77777777" w:rsidTr="00BC37DE">
        <w:trPr>
          <w:trHeight w:val="567"/>
          <w:jc w:val="center"/>
        </w:trPr>
        <w:tc>
          <w:tcPr>
            <w:tcW w:w="1325" w:type="pct"/>
            <w:shd w:val="clear" w:color="auto" w:fill="009D73"/>
            <w:vAlign w:val="center"/>
          </w:tcPr>
          <w:p w14:paraId="1A4DB0B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75" w:type="pct"/>
            <w:gridSpan w:val="3"/>
            <w:shd w:val="clear" w:color="auto" w:fill="FFFFFF"/>
            <w:vAlign w:val="center"/>
          </w:tcPr>
          <w:p w14:paraId="31810937" w14:textId="442340CD" w:rsidR="00005022" w:rsidRPr="007C4D65" w:rsidRDefault="00005022" w:rsidP="00005022">
            <w:pPr>
              <w:spacing w:before="40" w:after="40" w:line="276" w:lineRule="auto"/>
              <w:rPr>
                <w:rFonts w:asciiTheme="minorHAnsi" w:hAnsiTheme="minorHAnsi" w:cstheme="minorHAnsi"/>
                <w:b/>
                <w:bCs/>
                <w:color w:val="FF0000"/>
                <w:sz w:val="18"/>
                <w:szCs w:val="18"/>
                <w:lang w:eastAsia="zh-TW"/>
              </w:rPr>
            </w:pPr>
            <w:r w:rsidRPr="007C4D65">
              <w:rPr>
                <w:rFonts w:asciiTheme="minorHAnsi" w:hAnsiTheme="minorHAnsi" w:cstheme="minorHAnsi"/>
                <w:b/>
                <w:bCs/>
                <w:sz w:val="18"/>
                <w:szCs w:val="18"/>
                <w:lang w:eastAsia="zh-TW"/>
              </w:rPr>
              <w:t xml:space="preserve">3.6 Exponentially expand the protected areas in </w:t>
            </w:r>
            <w:r w:rsidR="00221F4A" w:rsidRPr="007C4D65">
              <w:rPr>
                <w:rFonts w:asciiTheme="minorHAnsi" w:hAnsiTheme="minorHAnsi" w:cstheme="minorHAnsi"/>
                <w:b/>
                <w:bCs/>
                <w:sz w:val="18"/>
                <w:szCs w:val="18"/>
                <w:lang w:eastAsia="zh-TW"/>
              </w:rPr>
              <w:t>the Federation of BiH</w:t>
            </w:r>
            <w:r w:rsidRPr="007C4D65">
              <w:rPr>
                <w:rFonts w:asciiTheme="minorHAnsi" w:hAnsiTheme="minorHAnsi" w:cstheme="minorHAnsi"/>
                <w:b/>
                <w:bCs/>
                <w:sz w:val="18"/>
                <w:szCs w:val="18"/>
                <w:lang w:eastAsia="zh-TW"/>
              </w:rPr>
              <w:t xml:space="preserve"> </w:t>
            </w:r>
            <w:r w:rsidR="00221F4A" w:rsidRPr="007C4D65">
              <w:rPr>
                <w:rFonts w:asciiTheme="minorHAnsi" w:hAnsiTheme="minorHAnsi" w:cstheme="minorHAnsi"/>
                <w:b/>
                <w:bCs/>
                <w:sz w:val="18"/>
                <w:szCs w:val="18"/>
                <w:lang w:eastAsia="zh-TW"/>
              </w:rPr>
              <w:t xml:space="preserve">in compliance with </w:t>
            </w:r>
            <w:r w:rsidRPr="007C4D65">
              <w:rPr>
                <w:rFonts w:asciiTheme="minorHAnsi" w:hAnsiTheme="minorHAnsi" w:cstheme="minorHAnsi"/>
                <w:b/>
                <w:bCs/>
                <w:sz w:val="18"/>
                <w:szCs w:val="18"/>
                <w:lang w:eastAsia="zh-TW"/>
              </w:rPr>
              <w:t xml:space="preserve">the global goals for biodiversity, and spatially connect all ecologically important areas into the </w:t>
            </w:r>
            <w:r w:rsidR="00221F4A" w:rsidRPr="007C4D65">
              <w:rPr>
                <w:rFonts w:asciiTheme="minorHAnsi" w:hAnsiTheme="minorHAnsi" w:cstheme="minorHAnsi"/>
                <w:b/>
                <w:bCs/>
                <w:sz w:val="18"/>
                <w:szCs w:val="18"/>
                <w:lang w:eastAsia="zh-TW"/>
              </w:rPr>
              <w:t>ecological network</w:t>
            </w:r>
          </w:p>
        </w:tc>
      </w:tr>
      <w:tr w:rsidR="00005022" w:rsidRPr="007C4D65" w14:paraId="14B23183" w14:textId="77777777" w:rsidTr="00BC37DE">
        <w:trPr>
          <w:trHeight w:val="567"/>
          <w:jc w:val="center"/>
        </w:trPr>
        <w:tc>
          <w:tcPr>
            <w:tcW w:w="1325" w:type="pct"/>
            <w:shd w:val="clear" w:color="auto" w:fill="009D73"/>
            <w:vAlign w:val="center"/>
          </w:tcPr>
          <w:p w14:paraId="68FBBB1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75" w:type="pct"/>
            <w:gridSpan w:val="3"/>
            <w:shd w:val="clear" w:color="auto" w:fill="FFFFFF"/>
            <w:vAlign w:val="center"/>
          </w:tcPr>
          <w:p w14:paraId="1C44C124" w14:textId="66A05317" w:rsidR="00005022" w:rsidRPr="007C4D65" w:rsidRDefault="00005022" w:rsidP="00005022">
            <w:pPr>
              <w:spacing w:after="160" w:line="276" w:lineRule="auto"/>
              <w:rPr>
                <w:rFonts w:asciiTheme="minorHAnsi" w:eastAsia="Calibri" w:hAnsiTheme="minorHAnsi" w:cstheme="minorHAnsi"/>
                <w:b/>
                <w:bCs/>
                <w:sz w:val="18"/>
                <w:szCs w:val="18"/>
                <w:lang w:eastAsia="en-US"/>
              </w:rPr>
            </w:pPr>
            <w:bookmarkStart w:id="289" w:name="_Hlk94621876"/>
            <w:r w:rsidRPr="007C4D65">
              <w:rPr>
                <w:rFonts w:asciiTheme="minorHAnsi" w:eastAsia="Calibri" w:hAnsiTheme="minorHAnsi" w:cstheme="minorHAnsi"/>
                <w:b/>
                <w:bCs/>
                <w:sz w:val="18"/>
                <w:szCs w:val="18"/>
                <w:lang w:eastAsia="en-US"/>
              </w:rPr>
              <w:t xml:space="preserve">3.6.2 </w:t>
            </w:r>
            <w:r w:rsidR="00221F4A" w:rsidRPr="007C4D65">
              <w:rPr>
                <w:rFonts w:asciiTheme="minorHAnsi" w:eastAsia="Calibri" w:hAnsiTheme="minorHAnsi" w:cstheme="minorHAnsi"/>
                <w:b/>
                <w:bCs/>
                <w:sz w:val="18"/>
                <w:szCs w:val="18"/>
                <w:lang w:eastAsia="en-US"/>
              </w:rPr>
              <w:t>Complete</w:t>
            </w:r>
            <w:r w:rsidRPr="007C4D65">
              <w:rPr>
                <w:rFonts w:asciiTheme="minorHAnsi" w:eastAsia="Calibri" w:hAnsiTheme="minorHAnsi" w:cstheme="minorHAnsi"/>
                <w:b/>
                <w:bCs/>
                <w:sz w:val="18"/>
                <w:szCs w:val="18"/>
                <w:lang w:eastAsia="en-US"/>
              </w:rPr>
              <w:t xml:space="preserve"> a consultation process with local self-governing communities and stakeholders in all areas </w:t>
            </w:r>
            <w:r w:rsidR="00221F4A" w:rsidRPr="007C4D65">
              <w:rPr>
                <w:rFonts w:asciiTheme="minorHAnsi" w:eastAsia="Calibri" w:hAnsiTheme="minorHAnsi" w:cstheme="minorHAnsi"/>
                <w:b/>
                <w:bCs/>
                <w:sz w:val="18"/>
                <w:szCs w:val="18"/>
                <w:lang w:eastAsia="en-US"/>
              </w:rPr>
              <w:t xml:space="preserve">covered by </w:t>
            </w:r>
            <w:r w:rsidRPr="007C4D65">
              <w:rPr>
                <w:rFonts w:asciiTheme="minorHAnsi" w:eastAsia="Calibri" w:hAnsiTheme="minorHAnsi" w:cstheme="minorHAnsi"/>
                <w:b/>
                <w:bCs/>
                <w:sz w:val="18"/>
                <w:szCs w:val="18"/>
                <w:lang w:eastAsia="en-US"/>
              </w:rPr>
              <w:t xml:space="preserve">the FBiH </w:t>
            </w:r>
            <w:r w:rsidR="00221F4A" w:rsidRPr="007C4D65">
              <w:rPr>
                <w:rFonts w:asciiTheme="minorHAnsi" w:eastAsia="Calibri" w:hAnsiTheme="minorHAnsi" w:cstheme="minorHAnsi"/>
                <w:b/>
                <w:bCs/>
                <w:sz w:val="18"/>
                <w:szCs w:val="18"/>
                <w:lang w:eastAsia="en-US"/>
              </w:rPr>
              <w:t>Ecological Network</w:t>
            </w:r>
            <w:r w:rsidRPr="007C4D65">
              <w:rPr>
                <w:rFonts w:asciiTheme="minorHAnsi" w:eastAsia="Calibri" w:hAnsiTheme="minorHAnsi" w:cstheme="minorHAnsi"/>
                <w:b/>
                <w:bCs/>
                <w:sz w:val="18"/>
                <w:szCs w:val="18"/>
                <w:lang w:eastAsia="en-US"/>
              </w:rPr>
              <w:t xml:space="preserve"> Plan</w:t>
            </w:r>
            <w:bookmarkEnd w:id="289"/>
            <w:r w:rsidR="00221F4A" w:rsidRPr="007C4D65">
              <w:rPr>
                <w:rFonts w:asciiTheme="minorHAnsi" w:eastAsia="Calibri" w:hAnsiTheme="minorHAnsi" w:cstheme="minorHAnsi"/>
                <w:b/>
                <w:bCs/>
                <w:sz w:val="18"/>
                <w:szCs w:val="18"/>
                <w:lang w:eastAsia="en-US"/>
              </w:rPr>
              <w:t xml:space="preserve"> in the Federation of BiH</w:t>
            </w:r>
          </w:p>
        </w:tc>
      </w:tr>
      <w:tr w:rsidR="00005022" w:rsidRPr="007C4D65" w14:paraId="7C13C9A5" w14:textId="77777777" w:rsidTr="00BC37DE">
        <w:trPr>
          <w:trHeight w:val="567"/>
          <w:jc w:val="center"/>
        </w:trPr>
        <w:tc>
          <w:tcPr>
            <w:tcW w:w="1325" w:type="pct"/>
            <w:shd w:val="clear" w:color="auto" w:fill="009D73"/>
            <w:vAlign w:val="center"/>
          </w:tcPr>
          <w:p w14:paraId="1322213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75" w:type="pct"/>
            <w:gridSpan w:val="3"/>
            <w:shd w:val="clear" w:color="auto" w:fill="FFFFFF"/>
            <w:vAlign w:val="center"/>
          </w:tcPr>
          <w:p w14:paraId="1F621946" w14:textId="49175EB3"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290" w:name="_Hlk94622051"/>
            <w:r w:rsidRPr="007C4D65">
              <w:rPr>
                <w:rFonts w:asciiTheme="minorHAnsi" w:eastAsia="Calibri" w:hAnsiTheme="minorHAnsi" w:cstheme="minorHAnsi"/>
                <w:sz w:val="18"/>
                <w:szCs w:val="18"/>
                <w:lang w:eastAsia="en-US"/>
              </w:rPr>
              <w:t xml:space="preserve">The aim of this measure is to </w:t>
            </w:r>
            <w:r w:rsidR="00221F4A" w:rsidRPr="007C4D65">
              <w:rPr>
                <w:rFonts w:asciiTheme="minorHAnsi" w:eastAsia="Calibri" w:hAnsiTheme="minorHAnsi" w:cstheme="minorHAnsi"/>
                <w:sz w:val="18"/>
                <w:szCs w:val="18"/>
                <w:lang w:eastAsia="en-US"/>
              </w:rPr>
              <w:t>secure</w:t>
            </w:r>
            <w:r w:rsidRPr="007C4D65">
              <w:rPr>
                <w:rFonts w:asciiTheme="minorHAnsi" w:eastAsia="Calibri" w:hAnsiTheme="minorHAnsi" w:cstheme="minorHAnsi"/>
                <w:sz w:val="18"/>
                <w:szCs w:val="18"/>
                <w:lang w:eastAsia="en-US"/>
              </w:rPr>
              <w:t xml:space="preserve"> an agreement between local communities and the stakeholders to include the areas into the </w:t>
            </w:r>
            <w:r w:rsidR="00221F4A" w:rsidRPr="007C4D65">
              <w:rPr>
                <w:rFonts w:asciiTheme="minorHAnsi" w:eastAsia="Calibri" w:hAnsiTheme="minorHAnsi" w:cstheme="minorHAnsi"/>
                <w:sz w:val="18"/>
                <w:szCs w:val="18"/>
                <w:lang w:eastAsia="en-US"/>
              </w:rPr>
              <w:t>ecological network of the Federation</w:t>
            </w:r>
            <w:r w:rsidRPr="007C4D65">
              <w:rPr>
                <w:rFonts w:asciiTheme="minorHAnsi" w:eastAsia="Calibri" w:hAnsiTheme="minorHAnsi" w:cstheme="minorHAnsi"/>
                <w:sz w:val="18"/>
                <w:szCs w:val="18"/>
                <w:lang w:eastAsia="en-US"/>
              </w:rPr>
              <w:t xml:space="preserve">. The consultation process should involve all </w:t>
            </w:r>
            <w:r w:rsidR="00221F4A"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 xml:space="preserve">stakeholders in individual areas, and ensure common understanding, long-term care and implementation of biodiversity protection measures in each area of the </w:t>
            </w:r>
            <w:r w:rsidR="00221F4A" w:rsidRPr="007C4D65">
              <w:rPr>
                <w:rFonts w:asciiTheme="minorHAnsi" w:eastAsia="Calibri" w:hAnsiTheme="minorHAnsi" w:cstheme="minorHAnsi"/>
                <w:sz w:val="18"/>
                <w:szCs w:val="18"/>
                <w:lang w:eastAsia="en-US"/>
              </w:rPr>
              <w:t>ecological network</w:t>
            </w:r>
            <w:r w:rsidRPr="007C4D65">
              <w:rPr>
                <w:rFonts w:asciiTheme="minorHAnsi" w:eastAsia="Calibri" w:hAnsiTheme="minorHAnsi" w:cstheme="minorHAnsi"/>
                <w:sz w:val="18"/>
                <w:szCs w:val="18"/>
                <w:lang w:eastAsia="en-US"/>
              </w:rPr>
              <w:t>.</w:t>
            </w:r>
          </w:p>
          <w:bookmarkEnd w:id="290"/>
          <w:p w14:paraId="11704C6D" w14:textId="04095089"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971FDB" w:rsidRPr="007C4D65">
              <w:rPr>
                <w:rFonts w:asciiTheme="minorHAnsi" w:eastAsia="Calibri" w:hAnsiTheme="minorHAnsi" w:cstheme="minorHAnsi"/>
                <w:sz w:val="18"/>
                <w:szCs w:val="18"/>
                <w:lang w:eastAsia="en-US"/>
              </w:rPr>
              <w:t>eneral area</w:t>
            </w:r>
            <w:r w:rsidRPr="007C4D65">
              <w:rPr>
                <w:rFonts w:asciiTheme="minorHAnsi" w:eastAsia="Calibri" w:hAnsiTheme="minorHAnsi" w:cstheme="minorHAnsi"/>
                <w:sz w:val="18"/>
                <w:szCs w:val="18"/>
                <w:lang w:eastAsia="en-US"/>
              </w:rPr>
              <w:t>s</w:t>
            </w:r>
            <w:r w:rsidR="00971FDB" w:rsidRPr="007C4D65">
              <w:rPr>
                <w:rFonts w:asciiTheme="minorHAnsi" w:eastAsia="Calibri" w:hAnsiTheme="minorHAnsi" w:cstheme="minorHAnsi"/>
                <w:sz w:val="18"/>
                <w:szCs w:val="18"/>
                <w:lang w:eastAsia="en-US"/>
              </w:rPr>
              <w:t xml:space="preserve"> of intervention include</w:t>
            </w:r>
            <w:r w:rsidR="00005022" w:rsidRPr="007C4D65">
              <w:rPr>
                <w:rFonts w:asciiTheme="minorHAnsi" w:eastAsia="Calibri" w:hAnsiTheme="minorHAnsi" w:cstheme="minorHAnsi"/>
                <w:sz w:val="18"/>
                <w:szCs w:val="18"/>
                <w:lang w:eastAsia="en-US"/>
              </w:rPr>
              <w:t>:</w:t>
            </w:r>
          </w:p>
          <w:p w14:paraId="1C30BBB4" w14:textId="39AFE837"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Prepare a plan </w:t>
            </w:r>
            <w:r w:rsidR="00221F4A" w:rsidRPr="007C4D65">
              <w:rPr>
                <w:rFonts w:asciiTheme="minorHAnsi" w:eastAsia="Calibri" w:hAnsiTheme="minorHAnsi" w:cstheme="minorHAnsi"/>
                <w:sz w:val="18"/>
                <w:szCs w:val="18"/>
                <w:lang w:eastAsia="en-US"/>
              </w:rPr>
              <w:t>the</w:t>
            </w:r>
            <w:r w:rsidRPr="007C4D65">
              <w:rPr>
                <w:rFonts w:asciiTheme="minorHAnsi" w:eastAsia="Calibri" w:hAnsiTheme="minorHAnsi" w:cstheme="minorHAnsi"/>
                <w:sz w:val="18"/>
                <w:szCs w:val="18"/>
                <w:lang w:eastAsia="en-US"/>
              </w:rPr>
              <w:t xml:space="preserve"> public consultation process in the area </w:t>
            </w:r>
            <w:r w:rsidR="00221F4A" w:rsidRPr="007C4D65">
              <w:rPr>
                <w:rFonts w:asciiTheme="minorHAnsi" w:eastAsia="Calibri" w:hAnsiTheme="minorHAnsi" w:cstheme="minorHAnsi"/>
                <w:sz w:val="18"/>
                <w:szCs w:val="18"/>
                <w:lang w:eastAsia="en-US"/>
              </w:rPr>
              <w:t xml:space="preserve">covered by </w:t>
            </w:r>
            <w:r w:rsidRPr="007C4D65">
              <w:rPr>
                <w:rFonts w:asciiTheme="minorHAnsi" w:eastAsia="Calibri" w:hAnsiTheme="minorHAnsi" w:cstheme="minorHAnsi"/>
                <w:sz w:val="18"/>
                <w:szCs w:val="18"/>
                <w:lang w:eastAsia="en-US"/>
              </w:rPr>
              <w:t xml:space="preserve">the FBiH </w:t>
            </w:r>
            <w:r w:rsidR="00221F4A" w:rsidRPr="007C4D65">
              <w:rPr>
                <w:rFonts w:asciiTheme="minorHAnsi" w:eastAsia="Calibri" w:hAnsiTheme="minorHAnsi" w:cstheme="minorHAnsi"/>
                <w:sz w:val="18"/>
                <w:szCs w:val="18"/>
                <w:lang w:eastAsia="en-US"/>
              </w:rPr>
              <w:t>Ecological network</w:t>
            </w:r>
            <w:r w:rsidRPr="007C4D65">
              <w:rPr>
                <w:rFonts w:asciiTheme="minorHAnsi" w:eastAsia="Calibri" w:hAnsiTheme="minorHAnsi" w:cstheme="minorHAnsi"/>
                <w:sz w:val="18"/>
                <w:szCs w:val="18"/>
                <w:lang w:eastAsia="en-US"/>
              </w:rPr>
              <w:t xml:space="preserve"> </w:t>
            </w:r>
            <w:proofErr w:type="gramStart"/>
            <w:r w:rsidRPr="007C4D65">
              <w:rPr>
                <w:rFonts w:asciiTheme="minorHAnsi" w:eastAsia="Calibri" w:hAnsiTheme="minorHAnsi" w:cstheme="minorHAnsi"/>
                <w:sz w:val="18"/>
                <w:szCs w:val="18"/>
                <w:lang w:eastAsia="en-US"/>
              </w:rPr>
              <w:t>Plan</w:t>
            </w:r>
            <w:r w:rsidR="00B30020" w:rsidRPr="007C4D65">
              <w:rPr>
                <w:rFonts w:asciiTheme="minorHAnsi" w:eastAsia="Calibri" w:hAnsiTheme="minorHAnsi" w:cstheme="minorHAnsi"/>
                <w:sz w:val="18"/>
                <w:szCs w:val="18"/>
                <w:lang w:eastAsia="en-US"/>
              </w:rPr>
              <w:t>;</w:t>
            </w:r>
            <w:proofErr w:type="gramEnd"/>
          </w:p>
          <w:p w14:paraId="149DB485" w14:textId="2C6C5C4D"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Provide</w:t>
            </w:r>
            <w:r w:rsidR="005E6C04" w:rsidRPr="007C4D65">
              <w:rPr>
                <w:rFonts w:asciiTheme="minorHAnsi" w:eastAsia="Calibri" w:hAnsiTheme="minorHAnsi" w:cstheme="minorHAnsi"/>
                <w:sz w:val="18"/>
                <w:szCs w:val="18"/>
                <w:lang w:eastAsia="en-US"/>
              </w:rPr>
              <w:t xml:space="preserve"> for</w:t>
            </w:r>
            <w:r w:rsidRPr="007C4D65">
              <w:rPr>
                <w:rFonts w:asciiTheme="minorHAnsi" w:eastAsia="Calibri" w:hAnsiTheme="minorHAnsi" w:cstheme="minorHAnsi"/>
                <w:sz w:val="18"/>
                <w:szCs w:val="18"/>
                <w:lang w:eastAsia="en-US"/>
              </w:rPr>
              <w:t xml:space="preserve"> professional and financial capacities to </w:t>
            </w:r>
            <w:r w:rsidR="005E6C04" w:rsidRPr="007C4D65">
              <w:rPr>
                <w:rFonts w:asciiTheme="minorHAnsi" w:eastAsia="Calibri" w:hAnsiTheme="minorHAnsi" w:cstheme="minorHAnsi"/>
                <w:sz w:val="18"/>
                <w:szCs w:val="18"/>
                <w:lang w:eastAsia="en-US"/>
              </w:rPr>
              <w:t>complete the</w:t>
            </w:r>
            <w:r w:rsidRPr="007C4D65">
              <w:rPr>
                <w:rFonts w:asciiTheme="minorHAnsi" w:eastAsia="Calibri" w:hAnsiTheme="minorHAnsi" w:cstheme="minorHAnsi"/>
                <w:sz w:val="18"/>
                <w:szCs w:val="18"/>
                <w:lang w:eastAsia="en-US"/>
              </w:rPr>
              <w:t xml:space="preserve"> consultation process with the stakeholders and local </w:t>
            </w:r>
            <w:proofErr w:type="gramStart"/>
            <w:r w:rsidRPr="007C4D65">
              <w:rPr>
                <w:rFonts w:asciiTheme="minorHAnsi" w:eastAsia="Calibri" w:hAnsiTheme="minorHAnsi" w:cstheme="minorHAnsi"/>
                <w:sz w:val="18"/>
                <w:szCs w:val="18"/>
                <w:lang w:eastAsia="en-US"/>
              </w:rPr>
              <w:t>communities</w:t>
            </w:r>
            <w:r w:rsidR="00B30020" w:rsidRPr="007C4D65">
              <w:rPr>
                <w:rFonts w:asciiTheme="minorHAnsi" w:eastAsia="Calibri" w:hAnsiTheme="minorHAnsi" w:cstheme="minorHAnsi"/>
                <w:sz w:val="18"/>
                <w:szCs w:val="18"/>
                <w:lang w:eastAsia="en-US"/>
              </w:rPr>
              <w:t>;</w:t>
            </w:r>
            <w:proofErr w:type="gramEnd"/>
          </w:p>
          <w:p w14:paraId="01231AC7" w14:textId="541DB30A" w:rsidR="00005022" w:rsidRPr="007C4D65" w:rsidRDefault="005E6C04"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Complete the consultation</w:t>
            </w:r>
            <w:r w:rsidR="00005022" w:rsidRPr="007C4D65">
              <w:rPr>
                <w:rFonts w:asciiTheme="minorHAnsi" w:eastAsia="Calibri" w:hAnsiTheme="minorHAnsi" w:cstheme="minorHAnsi"/>
                <w:sz w:val="18"/>
                <w:szCs w:val="18"/>
                <w:lang w:eastAsia="en-US"/>
              </w:rPr>
              <w:t xml:space="preserve"> process in order to obtain approval for the establishment of the </w:t>
            </w:r>
            <w:r w:rsidR="00221F4A" w:rsidRPr="007C4D65">
              <w:rPr>
                <w:rFonts w:asciiTheme="minorHAnsi" w:eastAsia="Calibri" w:hAnsiTheme="minorHAnsi" w:cstheme="minorHAnsi"/>
                <w:sz w:val="18"/>
                <w:szCs w:val="18"/>
                <w:lang w:eastAsia="en-US"/>
              </w:rPr>
              <w:t xml:space="preserve">ecological </w:t>
            </w:r>
            <w:proofErr w:type="gramStart"/>
            <w:r w:rsidR="00221F4A" w:rsidRPr="007C4D65">
              <w:rPr>
                <w:rFonts w:asciiTheme="minorHAnsi" w:eastAsia="Calibri" w:hAnsiTheme="minorHAnsi" w:cstheme="minorHAnsi"/>
                <w:sz w:val="18"/>
                <w:szCs w:val="18"/>
                <w:lang w:eastAsia="en-US"/>
              </w:rPr>
              <w:t>network</w:t>
            </w:r>
            <w:r w:rsidR="00B30020" w:rsidRPr="007C4D65">
              <w:rPr>
                <w:rFonts w:asciiTheme="minorHAnsi" w:eastAsia="Calibri" w:hAnsiTheme="minorHAnsi" w:cstheme="minorHAnsi"/>
                <w:sz w:val="18"/>
                <w:szCs w:val="18"/>
                <w:lang w:eastAsia="en-US"/>
              </w:rPr>
              <w:t>;</w:t>
            </w:r>
            <w:proofErr w:type="gramEnd"/>
          </w:p>
          <w:p w14:paraId="3AC6EA35" w14:textId="126A61E6"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Strengthen communication and cooperation with the local community in protected areas and areas </w:t>
            </w:r>
            <w:r w:rsidR="005E6C04" w:rsidRPr="007C4D65">
              <w:rPr>
                <w:rFonts w:asciiTheme="minorHAnsi" w:eastAsia="Calibri" w:hAnsiTheme="minorHAnsi" w:cstheme="minorHAnsi"/>
                <w:sz w:val="18"/>
                <w:szCs w:val="18"/>
                <w:lang w:eastAsia="en-US"/>
              </w:rPr>
              <w:t xml:space="preserve">which may be included in the </w:t>
            </w:r>
            <w:r w:rsidR="00221F4A" w:rsidRPr="007C4D65">
              <w:rPr>
                <w:rFonts w:asciiTheme="minorHAnsi" w:eastAsia="Calibri" w:hAnsiTheme="minorHAnsi" w:cstheme="minorHAnsi"/>
                <w:sz w:val="18"/>
                <w:szCs w:val="18"/>
                <w:lang w:eastAsia="en-US"/>
              </w:rPr>
              <w:t>ecological network</w:t>
            </w:r>
            <w:r w:rsidRPr="007C4D65">
              <w:rPr>
                <w:rFonts w:asciiTheme="minorHAnsi" w:eastAsia="Calibri" w:hAnsiTheme="minorHAnsi" w:cstheme="minorHAnsi"/>
                <w:sz w:val="18"/>
                <w:szCs w:val="18"/>
                <w:lang w:eastAsia="en-US"/>
              </w:rPr>
              <w:t xml:space="preserve"> for the purposes of education and implementation of measures to improve the state of nature and achieve the goals of </w:t>
            </w:r>
            <w:r w:rsidR="00221F4A" w:rsidRPr="007C4D65">
              <w:rPr>
                <w:rFonts w:asciiTheme="minorHAnsi" w:eastAsia="Calibri" w:hAnsiTheme="minorHAnsi" w:cstheme="minorHAnsi"/>
                <w:sz w:val="18"/>
                <w:szCs w:val="18"/>
                <w:lang w:eastAsia="en-US"/>
              </w:rPr>
              <w:t>ecological network</w:t>
            </w:r>
            <w:r w:rsidRPr="007C4D65">
              <w:rPr>
                <w:rFonts w:asciiTheme="minorHAnsi" w:eastAsia="Calibri" w:hAnsiTheme="minorHAnsi" w:cstheme="minorHAnsi"/>
                <w:sz w:val="18"/>
                <w:szCs w:val="18"/>
                <w:lang w:eastAsia="en-US"/>
              </w:rPr>
              <w:t xml:space="preserve"> conservation, especially their active involvement </w:t>
            </w:r>
            <w:proofErr w:type="gramStart"/>
            <w:r w:rsidRPr="007C4D65">
              <w:rPr>
                <w:rFonts w:asciiTheme="minorHAnsi" w:eastAsia="Calibri" w:hAnsiTheme="minorHAnsi" w:cstheme="minorHAnsi"/>
                <w:sz w:val="18"/>
                <w:szCs w:val="18"/>
                <w:lang w:eastAsia="en-US"/>
              </w:rPr>
              <w:t>in the area of</w:t>
            </w:r>
            <w:proofErr w:type="gramEnd"/>
            <w:r w:rsidRPr="007C4D65">
              <w:rPr>
                <w:rFonts w:asciiTheme="minorHAnsi" w:eastAsia="Calibri" w:hAnsiTheme="minorHAnsi" w:cstheme="minorHAnsi"/>
                <w:sz w:val="18"/>
                <w:szCs w:val="18"/>
                <w:lang w:eastAsia="en-US"/>
              </w:rPr>
              <w:t xml:space="preserve"> nature conservation</w:t>
            </w:r>
            <w:r w:rsidR="00B30020" w:rsidRPr="007C4D65">
              <w:rPr>
                <w:rFonts w:asciiTheme="minorHAnsi" w:eastAsia="Calibri" w:hAnsiTheme="minorHAnsi" w:cstheme="minorHAnsi"/>
                <w:sz w:val="18"/>
                <w:szCs w:val="18"/>
                <w:lang w:eastAsia="en-US"/>
              </w:rPr>
              <w:t>.</w:t>
            </w:r>
          </w:p>
        </w:tc>
      </w:tr>
      <w:tr w:rsidR="00005022" w:rsidRPr="007C4D65" w14:paraId="35F4BCE2" w14:textId="77777777" w:rsidTr="00BC37DE">
        <w:trPr>
          <w:trHeight w:val="567"/>
          <w:jc w:val="center"/>
        </w:trPr>
        <w:tc>
          <w:tcPr>
            <w:tcW w:w="1325" w:type="pct"/>
            <w:shd w:val="clear" w:color="auto" w:fill="009D73"/>
            <w:vAlign w:val="center"/>
          </w:tcPr>
          <w:p w14:paraId="1E2BB4C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75" w:type="pct"/>
            <w:gridSpan w:val="3"/>
            <w:tcBorders>
              <w:bottom w:val="single" w:sz="4" w:space="0" w:color="A6A6A6"/>
            </w:tcBorders>
            <w:shd w:val="clear" w:color="auto" w:fill="FFFFFF" w:themeFill="background1"/>
            <w:vAlign w:val="center"/>
          </w:tcPr>
          <w:p w14:paraId="0DC4120A"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76304DEE" w14:textId="77777777" w:rsidTr="00BC37DE">
        <w:trPr>
          <w:trHeight w:val="567"/>
          <w:jc w:val="center"/>
        </w:trPr>
        <w:tc>
          <w:tcPr>
            <w:tcW w:w="1325" w:type="pct"/>
            <w:vMerge w:val="restart"/>
            <w:shd w:val="clear" w:color="auto" w:fill="009D73"/>
            <w:vAlign w:val="center"/>
          </w:tcPr>
          <w:p w14:paraId="08FF0D3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107" w:type="pct"/>
            <w:shd w:val="clear" w:color="auto" w:fill="009D73"/>
            <w:vAlign w:val="center"/>
          </w:tcPr>
          <w:p w14:paraId="3BAB7630"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3BE1DC8A"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62D67073"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57A4CF35"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68ADFF84"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08469B87" w14:textId="77777777" w:rsidTr="00BC37DE">
        <w:trPr>
          <w:trHeight w:val="567"/>
          <w:jc w:val="center"/>
        </w:trPr>
        <w:tc>
          <w:tcPr>
            <w:tcW w:w="1325" w:type="pct"/>
            <w:vMerge/>
            <w:shd w:val="clear" w:color="auto" w:fill="009D73"/>
            <w:vAlign w:val="center"/>
          </w:tcPr>
          <w:p w14:paraId="362AA1A4"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107" w:type="pct"/>
            <w:shd w:val="clear" w:color="auto" w:fill="FFFFFF"/>
            <w:vAlign w:val="center"/>
          </w:tcPr>
          <w:p w14:paraId="1C87E5ED" w14:textId="4FDFB636"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Degree of </w:t>
            </w:r>
            <w:r w:rsidR="005E6C04" w:rsidRPr="007C4D65">
              <w:rPr>
                <w:rFonts w:asciiTheme="minorHAnsi" w:eastAsia="Calibri" w:hAnsiTheme="minorHAnsi" w:cstheme="minorHAnsi"/>
                <w:sz w:val="18"/>
                <w:szCs w:val="18"/>
                <w:lang w:eastAsia="x-none"/>
              </w:rPr>
              <w:t>agreement</w:t>
            </w:r>
            <w:r w:rsidRPr="007C4D65">
              <w:rPr>
                <w:rFonts w:asciiTheme="minorHAnsi" w:eastAsia="Calibri" w:hAnsiTheme="minorHAnsi" w:cstheme="minorHAnsi"/>
                <w:sz w:val="18"/>
                <w:szCs w:val="18"/>
                <w:lang w:eastAsia="x-none"/>
              </w:rPr>
              <w:t xml:space="preserve"> of local communities for</w:t>
            </w:r>
            <w:r w:rsidR="005E6C04" w:rsidRPr="007C4D65">
              <w:rPr>
                <w:rFonts w:asciiTheme="minorHAnsi" w:eastAsia="Calibri" w:hAnsiTheme="minorHAnsi" w:cstheme="minorHAnsi"/>
                <w:sz w:val="18"/>
                <w:szCs w:val="18"/>
                <w:lang w:eastAsia="x-none"/>
              </w:rPr>
              <w:t xml:space="preserve"> the</w:t>
            </w:r>
            <w:r w:rsidRPr="007C4D65">
              <w:rPr>
                <w:rFonts w:asciiTheme="minorHAnsi" w:eastAsia="Calibri" w:hAnsiTheme="minorHAnsi" w:cstheme="minorHAnsi"/>
                <w:sz w:val="18"/>
                <w:szCs w:val="18"/>
                <w:lang w:eastAsia="x-none"/>
              </w:rPr>
              <w:t xml:space="preserve"> inclusion of the</w:t>
            </w:r>
            <w:r w:rsidR="005E6C04" w:rsidRPr="007C4D65">
              <w:rPr>
                <w:rFonts w:asciiTheme="minorHAnsi" w:eastAsia="Calibri" w:hAnsiTheme="minorHAnsi" w:cstheme="minorHAnsi"/>
                <w:sz w:val="18"/>
                <w:szCs w:val="18"/>
                <w:lang w:eastAsia="x-none"/>
              </w:rPr>
              <w:t>ir respective</w:t>
            </w:r>
            <w:r w:rsidRPr="007C4D65">
              <w:rPr>
                <w:rFonts w:asciiTheme="minorHAnsi" w:eastAsia="Calibri" w:hAnsiTheme="minorHAnsi" w:cstheme="minorHAnsi"/>
                <w:sz w:val="18"/>
                <w:szCs w:val="18"/>
                <w:lang w:eastAsia="x-none"/>
              </w:rPr>
              <w:t xml:space="preserve"> areas in the </w:t>
            </w:r>
            <w:r w:rsidR="00221F4A" w:rsidRPr="007C4D65">
              <w:rPr>
                <w:rFonts w:asciiTheme="minorHAnsi" w:eastAsia="Calibri" w:hAnsiTheme="minorHAnsi" w:cstheme="minorHAnsi"/>
                <w:sz w:val="18"/>
                <w:szCs w:val="18"/>
                <w:lang w:eastAsia="x-none"/>
              </w:rPr>
              <w:t>ecological network</w:t>
            </w:r>
            <w:r w:rsidRPr="007C4D65">
              <w:rPr>
                <w:rFonts w:asciiTheme="minorHAnsi" w:eastAsia="Calibri" w:hAnsiTheme="minorHAnsi" w:cstheme="minorHAnsi"/>
                <w:sz w:val="18"/>
                <w:szCs w:val="18"/>
                <w:lang w:eastAsia="x-none"/>
              </w:rPr>
              <w:t xml:space="preserve"> of the </w:t>
            </w:r>
            <w:r w:rsidR="005E6C04" w:rsidRPr="007C4D65">
              <w:rPr>
                <w:rFonts w:asciiTheme="minorHAnsi" w:eastAsia="Calibri" w:hAnsiTheme="minorHAnsi" w:cstheme="minorHAnsi"/>
                <w:sz w:val="18"/>
                <w:szCs w:val="18"/>
                <w:lang w:eastAsia="x-none"/>
              </w:rPr>
              <w:t>Federation of BiH</w:t>
            </w:r>
          </w:p>
        </w:tc>
        <w:tc>
          <w:tcPr>
            <w:tcW w:w="1283" w:type="pct"/>
            <w:shd w:val="clear" w:color="auto" w:fill="FFFFFF"/>
            <w:vAlign w:val="center"/>
          </w:tcPr>
          <w:p w14:paraId="248C644E"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Low</w:t>
            </w:r>
          </w:p>
        </w:tc>
        <w:tc>
          <w:tcPr>
            <w:tcW w:w="1284" w:type="pct"/>
            <w:shd w:val="clear" w:color="auto" w:fill="FFFFFF"/>
            <w:vAlign w:val="center"/>
          </w:tcPr>
          <w:p w14:paraId="38F0C872"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High</w:t>
            </w:r>
          </w:p>
        </w:tc>
      </w:tr>
      <w:tr w:rsidR="00005022" w:rsidRPr="007C4D65" w14:paraId="1849D36E" w14:textId="77777777" w:rsidTr="00BC37DE">
        <w:trPr>
          <w:trHeight w:val="567"/>
          <w:jc w:val="center"/>
        </w:trPr>
        <w:tc>
          <w:tcPr>
            <w:tcW w:w="1325" w:type="pct"/>
            <w:shd w:val="clear" w:color="auto" w:fill="009D73"/>
            <w:vAlign w:val="center"/>
          </w:tcPr>
          <w:p w14:paraId="17C942E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implementation of the priorities</w:t>
            </w:r>
          </w:p>
        </w:tc>
        <w:tc>
          <w:tcPr>
            <w:tcW w:w="3675" w:type="pct"/>
            <w:gridSpan w:val="3"/>
            <w:shd w:val="clear" w:color="auto" w:fill="FFFFFF"/>
            <w:vAlign w:val="center"/>
          </w:tcPr>
          <w:p w14:paraId="1F18DFAE" w14:textId="7F281CCE" w:rsidR="00005022" w:rsidRPr="007C4D65" w:rsidRDefault="005E6C04"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More efficient management though routine participation of the stakeholders and transparency of the process. Increased awareness of the population and their active engagement in nature conservation activities</w:t>
            </w:r>
          </w:p>
        </w:tc>
      </w:tr>
      <w:tr w:rsidR="00005022" w:rsidRPr="007C4D65" w14:paraId="1E006666" w14:textId="77777777" w:rsidTr="00BC37DE">
        <w:trPr>
          <w:trHeight w:val="567"/>
          <w:jc w:val="center"/>
        </w:trPr>
        <w:tc>
          <w:tcPr>
            <w:tcW w:w="1325" w:type="pct"/>
            <w:shd w:val="clear" w:color="auto" w:fill="009D73"/>
            <w:vAlign w:val="center"/>
          </w:tcPr>
          <w:p w14:paraId="6340E5CC" w14:textId="0EBD5A93"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75" w:type="pct"/>
            <w:gridSpan w:val="3"/>
            <w:shd w:val="clear" w:color="auto" w:fill="FFFFFF"/>
            <w:vAlign w:val="center"/>
          </w:tcPr>
          <w:p w14:paraId="44AC6592" w14:textId="1C4E7C19" w:rsidR="005E6C04" w:rsidRPr="007C4D65" w:rsidRDefault="005E6C04" w:rsidP="005E6C04">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800,985</w:t>
            </w:r>
          </w:p>
          <w:p w14:paraId="4BBC9DD9" w14:textId="7244B841" w:rsidR="00005022" w:rsidRPr="007C4D65" w:rsidRDefault="005E6C04" w:rsidP="005E6C04">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30% </w:t>
            </w:r>
            <w:r w:rsidR="000E401F" w:rsidRPr="007C4D65">
              <w:rPr>
                <w:rFonts w:asciiTheme="minorHAnsi" w:hAnsiTheme="minorHAnsi" w:cstheme="minorHAnsi"/>
                <w:color w:val="000000" w:themeColor="text1"/>
                <w:sz w:val="18"/>
                <w:szCs w:val="18"/>
              </w:rPr>
              <w:t>government budget</w:t>
            </w:r>
            <w:r w:rsidRPr="007C4D65">
              <w:rPr>
                <w:rFonts w:asciiTheme="minorHAnsi" w:hAnsiTheme="minorHAnsi" w:cstheme="minorHAnsi"/>
                <w:color w:val="000000" w:themeColor="text1"/>
                <w:sz w:val="18"/>
                <w:szCs w:val="18"/>
              </w:rPr>
              <w:t>, 70% funds from EU and other donors</w:t>
            </w:r>
          </w:p>
        </w:tc>
      </w:tr>
      <w:tr w:rsidR="00005022" w:rsidRPr="007C4D65" w14:paraId="07E04E84" w14:textId="77777777" w:rsidTr="00BC37DE">
        <w:trPr>
          <w:trHeight w:val="567"/>
          <w:jc w:val="center"/>
        </w:trPr>
        <w:tc>
          <w:tcPr>
            <w:tcW w:w="1325" w:type="pct"/>
            <w:shd w:val="clear" w:color="auto" w:fill="009D73"/>
            <w:vAlign w:val="center"/>
          </w:tcPr>
          <w:p w14:paraId="1065255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75" w:type="pct"/>
            <w:gridSpan w:val="3"/>
            <w:shd w:val="clear" w:color="auto" w:fill="FFFFFF"/>
            <w:vAlign w:val="center"/>
          </w:tcPr>
          <w:p w14:paraId="1356E6C8"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2025 - 2030</w:t>
            </w:r>
          </w:p>
        </w:tc>
      </w:tr>
      <w:tr w:rsidR="00005022" w:rsidRPr="007C4D65" w14:paraId="2E14256B" w14:textId="77777777" w:rsidTr="00BC37DE">
        <w:trPr>
          <w:trHeight w:val="567"/>
          <w:jc w:val="center"/>
        </w:trPr>
        <w:tc>
          <w:tcPr>
            <w:tcW w:w="1325" w:type="pct"/>
            <w:shd w:val="clear" w:color="auto" w:fill="009D73"/>
            <w:vAlign w:val="center"/>
          </w:tcPr>
          <w:p w14:paraId="4330D8D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75" w:type="pct"/>
            <w:gridSpan w:val="3"/>
            <w:shd w:val="clear" w:color="auto" w:fill="FFFFFF"/>
            <w:vAlign w:val="center"/>
          </w:tcPr>
          <w:p w14:paraId="43FBCDD4"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31AA7F94" w14:textId="77777777" w:rsidTr="00BC37DE">
        <w:trPr>
          <w:trHeight w:val="567"/>
          <w:jc w:val="center"/>
        </w:trPr>
        <w:tc>
          <w:tcPr>
            <w:tcW w:w="1325" w:type="pct"/>
            <w:shd w:val="clear" w:color="auto" w:fill="009D73"/>
            <w:vAlign w:val="center"/>
          </w:tcPr>
          <w:p w14:paraId="55EC46D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Implementing institutions</w:t>
            </w:r>
          </w:p>
        </w:tc>
        <w:tc>
          <w:tcPr>
            <w:tcW w:w="3675" w:type="pct"/>
            <w:gridSpan w:val="3"/>
            <w:shd w:val="clear" w:color="auto" w:fill="FFFFFF"/>
            <w:vAlign w:val="center"/>
          </w:tcPr>
          <w:p w14:paraId="6465D508"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FMET, EPF, professional institution for nature conservation, </w:t>
            </w:r>
            <w:r w:rsidRPr="007C4D65">
              <w:rPr>
                <w:rFonts w:asciiTheme="minorHAnsi" w:eastAsia="Calibri" w:hAnsiTheme="minorHAnsi" w:cstheme="minorHAnsi"/>
                <w:sz w:val="18"/>
                <w:szCs w:val="18"/>
                <w:lang w:eastAsia="en-US"/>
              </w:rPr>
              <w:t>labour associations (hunting, fishing, mountaineering), local producers, accommodation providers, women's associations, youth organizations, educational institutions</w:t>
            </w:r>
          </w:p>
        </w:tc>
      </w:tr>
      <w:tr w:rsidR="00005022" w:rsidRPr="007C4D65" w14:paraId="6D9E28A9" w14:textId="77777777" w:rsidTr="00BC37DE">
        <w:trPr>
          <w:trHeight w:val="567"/>
          <w:jc w:val="center"/>
        </w:trPr>
        <w:tc>
          <w:tcPr>
            <w:tcW w:w="1325" w:type="pct"/>
            <w:shd w:val="clear" w:color="auto" w:fill="009D73"/>
            <w:vAlign w:val="center"/>
          </w:tcPr>
          <w:p w14:paraId="74ED2B47" w14:textId="0F334589"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75" w:type="pct"/>
            <w:gridSpan w:val="3"/>
            <w:shd w:val="clear" w:color="auto" w:fill="FFFFFF"/>
            <w:vAlign w:val="center"/>
          </w:tcPr>
          <w:p w14:paraId="49A22CD1"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Local communities, line and sectoral ministries, scientific institutions, non-governmental organizations, the public</w:t>
            </w:r>
          </w:p>
        </w:tc>
      </w:tr>
    </w:tbl>
    <w:p w14:paraId="678ADA52"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38"/>
        <w:gridCol w:w="2956"/>
        <w:gridCol w:w="3426"/>
        <w:gridCol w:w="3431"/>
      </w:tblGrid>
      <w:tr w:rsidR="00005022" w:rsidRPr="007C4D65" w14:paraId="27098DED" w14:textId="77777777" w:rsidTr="00BC37DE">
        <w:trPr>
          <w:trHeight w:val="567"/>
          <w:jc w:val="center"/>
        </w:trPr>
        <w:tc>
          <w:tcPr>
            <w:tcW w:w="1325" w:type="pct"/>
            <w:shd w:val="clear" w:color="auto" w:fill="009D73"/>
            <w:vAlign w:val="center"/>
          </w:tcPr>
          <w:p w14:paraId="54E6709A" w14:textId="6F9FBD98"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75" w:type="pct"/>
            <w:gridSpan w:val="3"/>
            <w:shd w:val="clear" w:color="auto" w:fill="FFFFFF"/>
            <w:vAlign w:val="center"/>
          </w:tcPr>
          <w:p w14:paraId="277AA49B" w14:textId="672A8FCC"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44096A" w:rsidRPr="007C4D65">
              <w:rPr>
                <w:rFonts w:asciiTheme="minorHAnsi" w:eastAsia="Calibri" w:hAnsiTheme="minorHAnsi" w:cstheme="minorHAnsi"/>
                <w:b/>
                <w:bCs/>
                <w:sz w:val="18"/>
                <w:szCs w:val="18"/>
                <w:lang w:eastAsia="en-US"/>
              </w:rPr>
              <w:t>Maintaining and improving biodiversity and protecting ecosystems</w:t>
            </w:r>
          </w:p>
        </w:tc>
      </w:tr>
      <w:tr w:rsidR="004E2402" w:rsidRPr="007C4D65" w14:paraId="01B78D61" w14:textId="77777777" w:rsidTr="00BC37DE">
        <w:trPr>
          <w:trHeight w:val="567"/>
          <w:jc w:val="center"/>
        </w:trPr>
        <w:tc>
          <w:tcPr>
            <w:tcW w:w="1325" w:type="pct"/>
            <w:shd w:val="clear" w:color="auto" w:fill="009D73"/>
            <w:vAlign w:val="center"/>
          </w:tcPr>
          <w:p w14:paraId="349678BE" w14:textId="77777777" w:rsidR="004E2402" w:rsidRPr="007C4D65" w:rsidRDefault="004E2402" w:rsidP="004E240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75" w:type="pct"/>
            <w:gridSpan w:val="3"/>
            <w:shd w:val="clear" w:color="auto" w:fill="FFFFFF"/>
            <w:vAlign w:val="center"/>
          </w:tcPr>
          <w:p w14:paraId="0BA2DAFB" w14:textId="58D6FDEF" w:rsidR="004E2402" w:rsidRPr="007C4D65" w:rsidRDefault="004E2402" w:rsidP="004E2402">
            <w:pPr>
              <w:spacing w:before="40" w:after="40" w:line="276" w:lineRule="auto"/>
              <w:rPr>
                <w:rFonts w:asciiTheme="minorHAnsi" w:hAnsiTheme="minorHAnsi" w:cstheme="minorHAnsi"/>
                <w:b/>
                <w:bCs/>
                <w:sz w:val="18"/>
                <w:szCs w:val="18"/>
                <w:lang w:eastAsia="zh-TW"/>
              </w:rPr>
            </w:pPr>
            <w:r w:rsidRPr="007C4D65">
              <w:rPr>
                <w:rFonts w:asciiTheme="minorHAnsi" w:hAnsiTheme="minorHAnsi" w:cstheme="minorHAnsi"/>
                <w:b/>
                <w:bCs/>
                <w:sz w:val="18"/>
                <w:szCs w:val="18"/>
                <w:lang w:eastAsia="zh-TW"/>
              </w:rPr>
              <w:t>3.6 Integrate ecologically significant areas into a network which should cover 17% of the overall territory of the FBiH</w:t>
            </w:r>
          </w:p>
        </w:tc>
      </w:tr>
      <w:tr w:rsidR="004E2402" w:rsidRPr="007C4D65" w14:paraId="31C2B4FA" w14:textId="77777777" w:rsidTr="00BC37DE">
        <w:trPr>
          <w:trHeight w:val="567"/>
          <w:jc w:val="center"/>
        </w:trPr>
        <w:tc>
          <w:tcPr>
            <w:tcW w:w="1325" w:type="pct"/>
            <w:shd w:val="clear" w:color="auto" w:fill="009D73"/>
            <w:vAlign w:val="center"/>
          </w:tcPr>
          <w:p w14:paraId="79B76C92" w14:textId="77777777" w:rsidR="004E2402" w:rsidRPr="007C4D65" w:rsidRDefault="004E2402" w:rsidP="004E2402">
            <w:pPr>
              <w:spacing w:before="40" w:after="40" w:line="276" w:lineRule="auto"/>
              <w:rPr>
                <w:rFonts w:asciiTheme="minorHAnsi" w:eastAsiaTheme="minorHAnsi" w:hAnsiTheme="minorHAnsi" w:cstheme="minorHAnsi"/>
                <w:b/>
                <w:bCs/>
                <w:color w:val="FFFFFF" w:themeColor="background1"/>
                <w:sz w:val="18"/>
                <w:szCs w:val="18"/>
                <w:lang w:eastAsia="en-US" w:bidi="en-US"/>
              </w:rPr>
            </w:pPr>
            <w:bookmarkStart w:id="291" w:name="_Hlk94622195"/>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75" w:type="pct"/>
            <w:gridSpan w:val="3"/>
            <w:shd w:val="clear" w:color="auto" w:fill="FFFFFF"/>
            <w:vAlign w:val="center"/>
          </w:tcPr>
          <w:p w14:paraId="0CCD0EF0" w14:textId="0516308F" w:rsidR="004E2402" w:rsidRPr="007C4D65" w:rsidRDefault="004E2402" w:rsidP="004E2402">
            <w:pPr>
              <w:spacing w:after="16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3.6.4. Establish the ecological network of the Federation of BiH</w:t>
            </w:r>
          </w:p>
        </w:tc>
      </w:tr>
      <w:bookmarkEnd w:id="291"/>
      <w:tr w:rsidR="004E2402" w:rsidRPr="007C4D65" w14:paraId="3A99708C" w14:textId="77777777" w:rsidTr="00BC37DE">
        <w:trPr>
          <w:trHeight w:val="567"/>
          <w:jc w:val="center"/>
        </w:trPr>
        <w:tc>
          <w:tcPr>
            <w:tcW w:w="1325" w:type="pct"/>
            <w:shd w:val="clear" w:color="auto" w:fill="009D73"/>
            <w:vAlign w:val="center"/>
          </w:tcPr>
          <w:p w14:paraId="15A59F9B" w14:textId="77777777" w:rsidR="004E2402" w:rsidRPr="007C4D65" w:rsidRDefault="004E2402" w:rsidP="004E240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75" w:type="pct"/>
            <w:gridSpan w:val="3"/>
            <w:shd w:val="clear" w:color="auto" w:fill="FFFFFF"/>
            <w:vAlign w:val="center"/>
          </w:tcPr>
          <w:p w14:paraId="45428C57" w14:textId="78F0B567" w:rsidR="004E2402" w:rsidRPr="007C4D65" w:rsidRDefault="004E2402" w:rsidP="004E2402">
            <w:pPr>
              <w:spacing w:before="40" w:after="40" w:line="276" w:lineRule="auto"/>
              <w:rPr>
                <w:rFonts w:asciiTheme="minorHAnsi" w:eastAsia="Calibri" w:hAnsiTheme="minorHAnsi" w:cstheme="minorHAnsi"/>
                <w:sz w:val="18"/>
                <w:szCs w:val="18"/>
              </w:rPr>
            </w:pPr>
            <w:bookmarkStart w:id="292" w:name="_Hlk94622345"/>
            <w:r w:rsidRPr="007C4D65">
              <w:rPr>
                <w:rFonts w:asciiTheme="minorHAnsi" w:eastAsia="Calibri" w:hAnsiTheme="minorHAnsi" w:cstheme="minorHAnsi"/>
                <w:sz w:val="18"/>
                <w:szCs w:val="18"/>
              </w:rPr>
              <w:t>The aim of this measure is to adopt an act on the FBiH environmental network area and to implement conservation measures, which is a regulation that that should be adopted after a field validation of the zero status of biodiversity of interest for protection and after obtaining agreement from local communities to include relevant areas in the network areas.</w:t>
            </w:r>
          </w:p>
          <w:bookmarkEnd w:id="292"/>
          <w:p w14:paraId="250EB2B5" w14:textId="7CF721F3" w:rsidR="004E2402" w:rsidRPr="007C4D65" w:rsidRDefault="00042CF3" w:rsidP="004E2402">
            <w:pPr>
              <w:spacing w:before="40" w:after="40" w:line="276" w:lineRule="auto"/>
              <w:rPr>
                <w:rFonts w:asciiTheme="minorHAnsi" w:eastAsia="Calibri" w:hAnsiTheme="minorHAnsi" w:cstheme="minorHAnsi"/>
                <w:sz w:val="18"/>
                <w:szCs w:val="18"/>
              </w:rPr>
            </w:pPr>
            <w:r w:rsidRPr="007C4D65">
              <w:rPr>
                <w:rFonts w:asciiTheme="minorHAnsi" w:eastAsia="Calibri" w:hAnsiTheme="minorHAnsi" w:cstheme="minorHAnsi"/>
                <w:sz w:val="18"/>
                <w:szCs w:val="18"/>
                <w:lang w:eastAsia="en-US"/>
              </w:rPr>
              <w:t>G</w:t>
            </w:r>
            <w:r w:rsidR="004E2402" w:rsidRPr="007C4D65">
              <w:rPr>
                <w:rFonts w:asciiTheme="minorHAnsi" w:eastAsia="Calibri" w:hAnsiTheme="minorHAnsi" w:cstheme="minorHAnsi"/>
                <w:sz w:val="18"/>
                <w:szCs w:val="18"/>
                <w:lang w:eastAsia="en-US"/>
              </w:rPr>
              <w:t>eneral area</w:t>
            </w:r>
            <w:r w:rsidRPr="007C4D65">
              <w:rPr>
                <w:rFonts w:asciiTheme="minorHAnsi" w:eastAsia="Calibri" w:hAnsiTheme="minorHAnsi" w:cstheme="minorHAnsi"/>
                <w:sz w:val="18"/>
                <w:szCs w:val="18"/>
                <w:lang w:eastAsia="en-US"/>
              </w:rPr>
              <w:t>s</w:t>
            </w:r>
            <w:r w:rsidR="004E2402" w:rsidRPr="007C4D65">
              <w:rPr>
                <w:rFonts w:asciiTheme="minorHAnsi" w:eastAsia="Calibri" w:hAnsiTheme="minorHAnsi" w:cstheme="minorHAnsi"/>
                <w:sz w:val="18"/>
                <w:szCs w:val="18"/>
                <w:lang w:eastAsia="en-US"/>
              </w:rPr>
              <w:t xml:space="preserve"> of intervention include</w:t>
            </w:r>
            <w:r w:rsidR="004E2402" w:rsidRPr="007C4D65">
              <w:rPr>
                <w:rFonts w:asciiTheme="minorHAnsi" w:eastAsia="Calibri" w:hAnsiTheme="minorHAnsi" w:cstheme="minorHAnsi"/>
                <w:sz w:val="18"/>
                <w:szCs w:val="18"/>
              </w:rPr>
              <w:t>:</w:t>
            </w:r>
          </w:p>
          <w:p w14:paraId="3FEAA012" w14:textId="163A712D" w:rsidR="004E2402" w:rsidRPr="007C4D65" w:rsidRDefault="004E2402" w:rsidP="004E2402">
            <w:pPr>
              <w:numPr>
                <w:ilvl w:val="0"/>
                <w:numId w:val="26"/>
              </w:numPr>
              <w:spacing w:before="40" w:after="40" w:line="276" w:lineRule="auto"/>
              <w:contextualSpacing/>
              <w:rPr>
                <w:rFonts w:asciiTheme="minorHAnsi" w:eastAsia="Calibri" w:hAnsiTheme="minorHAnsi" w:cstheme="minorHAnsi"/>
                <w:sz w:val="18"/>
                <w:szCs w:val="18"/>
              </w:rPr>
            </w:pPr>
            <w:r w:rsidRPr="007C4D65">
              <w:rPr>
                <w:rFonts w:asciiTheme="minorHAnsi" w:eastAsia="Calibri" w:hAnsiTheme="minorHAnsi" w:cstheme="minorHAnsi"/>
                <w:sz w:val="18"/>
                <w:szCs w:val="18"/>
              </w:rPr>
              <w:lastRenderedPageBreak/>
              <w:t xml:space="preserve">Secure funds to support the field validation of the zero status of protected and strictly protected species, species of interest for the Community, the state of habitats referred to in Annex I of the Habitats Directive and the state of specific </w:t>
            </w:r>
            <w:proofErr w:type="gramStart"/>
            <w:r w:rsidRPr="007C4D65">
              <w:rPr>
                <w:rFonts w:asciiTheme="minorHAnsi" w:eastAsia="Calibri" w:hAnsiTheme="minorHAnsi" w:cstheme="minorHAnsi"/>
                <w:sz w:val="18"/>
                <w:szCs w:val="18"/>
              </w:rPr>
              <w:t>ecosystems</w:t>
            </w:r>
            <w:r w:rsidR="00B30020" w:rsidRPr="007C4D65">
              <w:rPr>
                <w:rFonts w:asciiTheme="minorHAnsi" w:eastAsia="Calibri" w:hAnsiTheme="minorHAnsi" w:cstheme="minorHAnsi"/>
                <w:sz w:val="18"/>
                <w:szCs w:val="18"/>
              </w:rPr>
              <w:t>;</w:t>
            </w:r>
            <w:proofErr w:type="gramEnd"/>
          </w:p>
          <w:p w14:paraId="270BB5F9" w14:textId="5B147CCD" w:rsidR="004E2402" w:rsidRPr="007C4D65" w:rsidRDefault="004E2402" w:rsidP="004E2402">
            <w:pPr>
              <w:numPr>
                <w:ilvl w:val="0"/>
                <w:numId w:val="26"/>
              </w:numPr>
              <w:spacing w:before="40" w:after="40" w:line="276" w:lineRule="auto"/>
              <w:contextualSpacing/>
              <w:rPr>
                <w:rFonts w:asciiTheme="minorHAnsi" w:eastAsia="Calibri" w:hAnsiTheme="minorHAnsi" w:cstheme="minorHAnsi"/>
                <w:sz w:val="18"/>
                <w:szCs w:val="18"/>
              </w:rPr>
            </w:pPr>
            <w:r w:rsidRPr="007C4D65">
              <w:rPr>
                <w:rFonts w:asciiTheme="minorHAnsi" w:eastAsia="Calibri" w:hAnsiTheme="minorHAnsi" w:cstheme="minorHAnsi"/>
                <w:sz w:val="18"/>
                <w:szCs w:val="18"/>
              </w:rPr>
              <w:t>Carry out the field validation of the zero status of protected and strictly protected species, species of interest for the Community, the state of habitats referred to in Annex I of the Habitats Directive and the state of specific ecosystems (canyons, mountain, mountain, wetland and karst ecosystems</w:t>
            </w:r>
            <w:proofErr w:type="gramStart"/>
            <w:r w:rsidRPr="007C4D65">
              <w:rPr>
                <w:rFonts w:asciiTheme="minorHAnsi" w:eastAsia="Calibri" w:hAnsiTheme="minorHAnsi" w:cstheme="minorHAnsi"/>
                <w:sz w:val="18"/>
                <w:szCs w:val="18"/>
              </w:rPr>
              <w:t>)</w:t>
            </w:r>
            <w:r w:rsidR="00B30020" w:rsidRPr="007C4D65">
              <w:rPr>
                <w:rFonts w:asciiTheme="minorHAnsi" w:eastAsia="Calibri" w:hAnsiTheme="minorHAnsi" w:cstheme="minorHAnsi"/>
                <w:sz w:val="18"/>
                <w:szCs w:val="18"/>
              </w:rPr>
              <w:t>;</w:t>
            </w:r>
            <w:proofErr w:type="gramEnd"/>
          </w:p>
          <w:p w14:paraId="0750C65C" w14:textId="3C0499D1" w:rsidR="004E2402" w:rsidRPr="007C4D65" w:rsidRDefault="004E2402" w:rsidP="004E2402">
            <w:pPr>
              <w:numPr>
                <w:ilvl w:val="0"/>
                <w:numId w:val="26"/>
              </w:numPr>
              <w:spacing w:before="40" w:after="40" w:line="276" w:lineRule="auto"/>
              <w:contextualSpacing/>
              <w:rPr>
                <w:rFonts w:asciiTheme="minorHAnsi" w:eastAsia="Calibri" w:hAnsiTheme="minorHAnsi" w:cstheme="minorHAnsi"/>
                <w:sz w:val="18"/>
                <w:szCs w:val="18"/>
              </w:rPr>
            </w:pPr>
            <w:r w:rsidRPr="007C4D65">
              <w:rPr>
                <w:rFonts w:asciiTheme="minorHAnsi" w:eastAsia="Calibri" w:hAnsiTheme="minorHAnsi" w:cstheme="minorHAnsi"/>
                <w:sz w:val="18"/>
                <w:szCs w:val="18"/>
              </w:rPr>
              <w:t xml:space="preserve">Harmonize the establishment of the environmental network with other development and spatial planning processes and other jurisdictions within </w:t>
            </w:r>
            <w:proofErr w:type="gramStart"/>
            <w:r w:rsidRPr="007C4D65">
              <w:rPr>
                <w:rFonts w:asciiTheme="minorHAnsi" w:eastAsia="Calibri" w:hAnsiTheme="minorHAnsi" w:cstheme="minorHAnsi"/>
                <w:sz w:val="18"/>
                <w:szCs w:val="18"/>
              </w:rPr>
              <w:t>BiH</w:t>
            </w:r>
            <w:r w:rsidR="00B30020" w:rsidRPr="007C4D65">
              <w:rPr>
                <w:rFonts w:asciiTheme="minorHAnsi" w:eastAsia="Calibri" w:hAnsiTheme="minorHAnsi" w:cstheme="minorHAnsi"/>
                <w:sz w:val="18"/>
                <w:szCs w:val="18"/>
              </w:rPr>
              <w:t>;</w:t>
            </w:r>
            <w:proofErr w:type="gramEnd"/>
          </w:p>
          <w:p w14:paraId="40D6740A" w14:textId="178DBC7F" w:rsidR="004E2402" w:rsidRPr="007C4D65" w:rsidRDefault="004E2402" w:rsidP="004E2402">
            <w:pPr>
              <w:numPr>
                <w:ilvl w:val="0"/>
                <w:numId w:val="26"/>
              </w:numPr>
              <w:spacing w:before="40" w:after="40" w:line="276" w:lineRule="auto"/>
              <w:contextualSpacing/>
              <w:rPr>
                <w:rFonts w:asciiTheme="minorHAnsi" w:eastAsia="Calibri" w:hAnsiTheme="minorHAnsi" w:cstheme="minorHAnsi"/>
                <w:sz w:val="18"/>
                <w:szCs w:val="18"/>
              </w:rPr>
            </w:pPr>
            <w:r w:rsidRPr="007C4D65">
              <w:rPr>
                <w:rFonts w:asciiTheme="minorHAnsi" w:eastAsia="Calibri" w:hAnsiTheme="minorHAnsi" w:cstheme="minorHAnsi"/>
                <w:sz w:val="18"/>
                <w:szCs w:val="18"/>
              </w:rPr>
              <w:t xml:space="preserve">Designate the FBiH environmental </w:t>
            </w:r>
            <w:proofErr w:type="gramStart"/>
            <w:r w:rsidRPr="007C4D65">
              <w:rPr>
                <w:rFonts w:asciiTheme="minorHAnsi" w:eastAsia="Calibri" w:hAnsiTheme="minorHAnsi" w:cstheme="minorHAnsi"/>
                <w:sz w:val="18"/>
                <w:szCs w:val="18"/>
              </w:rPr>
              <w:t>network</w:t>
            </w:r>
            <w:r w:rsidR="00B30020" w:rsidRPr="007C4D65">
              <w:rPr>
                <w:rFonts w:asciiTheme="minorHAnsi" w:eastAsia="Calibri" w:hAnsiTheme="minorHAnsi" w:cstheme="minorHAnsi"/>
                <w:sz w:val="18"/>
                <w:szCs w:val="18"/>
              </w:rPr>
              <w:t>;</w:t>
            </w:r>
            <w:proofErr w:type="gramEnd"/>
          </w:p>
          <w:p w14:paraId="7E2E7B72" w14:textId="3385183F" w:rsidR="004E2402" w:rsidRPr="007C4D65" w:rsidRDefault="004E2402" w:rsidP="004E2402">
            <w:pPr>
              <w:numPr>
                <w:ilvl w:val="0"/>
                <w:numId w:val="26"/>
              </w:numPr>
              <w:spacing w:before="40" w:after="40" w:line="276" w:lineRule="auto"/>
              <w:contextualSpacing/>
              <w:rPr>
                <w:rFonts w:asciiTheme="minorHAnsi" w:eastAsia="Calibri" w:hAnsiTheme="minorHAnsi" w:cstheme="minorHAnsi"/>
                <w:sz w:val="18"/>
                <w:szCs w:val="18"/>
              </w:rPr>
            </w:pPr>
            <w:r w:rsidRPr="007C4D65">
              <w:rPr>
                <w:rFonts w:asciiTheme="minorHAnsi" w:eastAsia="Calibri" w:hAnsiTheme="minorHAnsi" w:cstheme="minorHAnsi"/>
                <w:sz w:val="18"/>
                <w:szCs w:val="18"/>
              </w:rPr>
              <w:t xml:space="preserve">Develop and implement procedures for eligibility assessment of interventions and programmes in the area of the ecological </w:t>
            </w:r>
            <w:proofErr w:type="gramStart"/>
            <w:r w:rsidRPr="007C4D65">
              <w:rPr>
                <w:rFonts w:asciiTheme="minorHAnsi" w:eastAsia="Calibri" w:hAnsiTheme="minorHAnsi" w:cstheme="minorHAnsi"/>
                <w:sz w:val="18"/>
                <w:szCs w:val="18"/>
              </w:rPr>
              <w:t>network</w:t>
            </w:r>
            <w:r w:rsidR="00B30020" w:rsidRPr="007C4D65">
              <w:rPr>
                <w:rFonts w:asciiTheme="minorHAnsi" w:eastAsia="Calibri" w:hAnsiTheme="minorHAnsi" w:cstheme="minorHAnsi"/>
                <w:sz w:val="18"/>
                <w:szCs w:val="18"/>
              </w:rPr>
              <w:t>;</w:t>
            </w:r>
            <w:proofErr w:type="gramEnd"/>
          </w:p>
          <w:p w14:paraId="5857C7D1" w14:textId="14000700" w:rsidR="004E2402" w:rsidRPr="007C4D65" w:rsidRDefault="004E2402" w:rsidP="004E240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rPr>
              <w:t xml:space="preserve">Promote sustainable tourism </w:t>
            </w:r>
            <w:proofErr w:type="gramStart"/>
            <w:r w:rsidRPr="007C4D65">
              <w:rPr>
                <w:rFonts w:asciiTheme="minorHAnsi" w:eastAsia="Calibri" w:hAnsiTheme="minorHAnsi" w:cstheme="minorHAnsi"/>
                <w:sz w:val="18"/>
                <w:szCs w:val="18"/>
              </w:rPr>
              <w:t>in the area of</w:t>
            </w:r>
            <w:proofErr w:type="gramEnd"/>
            <w:r w:rsidRPr="007C4D65">
              <w:rPr>
                <w:rFonts w:asciiTheme="minorHAnsi" w:eastAsia="Calibri" w:hAnsiTheme="minorHAnsi" w:cstheme="minorHAnsi"/>
                <w:sz w:val="18"/>
                <w:szCs w:val="18"/>
              </w:rPr>
              <w:t xml:space="preserve"> the ecological network of the Federation of BiH through activities of public institutions</w:t>
            </w:r>
            <w:r w:rsidR="00B30020" w:rsidRPr="007C4D65">
              <w:rPr>
                <w:rFonts w:asciiTheme="minorHAnsi" w:eastAsia="Calibri" w:hAnsiTheme="minorHAnsi" w:cstheme="minorHAnsi"/>
                <w:sz w:val="18"/>
                <w:szCs w:val="18"/>
              </w:rPr>
              <w:t>.</w:t>
            </w:r>
          </w:p>
        </w:tc>
      </w:tr>
      <w:tr w:rsidR="004E2402" w:rsidRPr="007C4D65" w14:paraId="61C3AC99" w14:textId="77777777" w:rsidTr="00BC37DE">
        <w:trPr>
          <w:trHeight w:val="567"/>
          <w:jc w:val="center"/>
        </w:trPr>
        <w:tc>
          <w:tcPr>
            <w:tcW w:w="1325" w:type="pct"/>
            <w:shd w:val="clear" w:color="auto" w:fill="009D73"/>
            <w:vAlign w:val="center"/>
          </w:tcPr>
          <w:p w14:paraId="2B7F799C" w14:textId="77777777" w:rsidR="004E2402" w:rsidRPr="007C4D65" w:rsidRDefault="004E2402" w:rsidP="004E240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Strategic projects</w:t>
            </w:r>
          </w:p>
        </w:tc>
        <w:tc>
          <w:tcPr>
            <w:tcW w:w="3675" w:type="pct"/>
            <w:gridSpan w:val="3"/>
            <w:tcBorders>
              <w:bottom w:val="single" w:sz="4" w:space="0" w:color="A6A6A6"/>
            </w:tcBorders>
            <w:shd w:val="clear" w:color="auto" w:fill="FFFFFF" w:themeFill="background1"/>
            <w:vAlign w:val="center"/>
          </w:tcPr>
          <w:p w14:paraId="54692BD7" w14:textId="77777777" w:rsidR="004E2402" w:rsidRPr="007C4D65" w:rsidRDefault="004E2402" w:rsidP="004E240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4E2402" w:rsidRPr="007C4D65" w14:paraId="7C0B31B7" w14:textId="77777777" w:rsidTr="00245BAA">
        <w:trPr>
          <w:trHeight w:val="567"/>
          <w:jc w:val="center"/>
        </w:trPr>
        <w:tc>
          <w:tcPr>
            <w:tcW w:w="1325" w:type="pct"/>
            <w:vMerge w:val="restart"/>
            <w:shd w:val="clear" w:color="auto" w:fill="009D73"/>
            <w:vAlign w:val="center"/>
          </w:tcPr>
          <w:p w14:paraId="2AC14D17" w14:textId="77777777" w:rsidR="004E2402" w:rsidRPr="007C4D65" w:rsidRDefault="004E2402" w:rsidP="004E240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107" w:type="pct"/>
            <w:shd w:val="clear" w:color="auto" w:fill="009D73"/>
            <w:vAlign w:val="center"/>
          </w:tcPr>
          <w:p w14:paraId="54B72739" w14:textId="77777777" w:rsidR="004E2402" w:rsidRPr="007C4D65" w:rsidRDefault="004E2402" w:rsidP="004E240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11689492" w14:textId="77777777" w:rsidR="004E2402" w:rsidRPr="007C4D65" w:rsidRDefault="004E2402" w:rsidP="004E240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741856DD" w14:textId="77777777" w:rsidR="004E2402" w:rsidRPr="007C4D65" w:rsidRDefault="004E2402" w:rsidP="004E240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64C95478" w14:textId="77777777" w:rsidR="004E2402" w:rsidRPr="007C4D65" w:rsidRDefault="004E2402" w:rsidP="004E240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5" w:type="pct"/>
            <w:shd w:val="clear" w:color="auto" w:fill="009D73"/>
            <w:vAlign w:val="center"/>
          </w:tcPr>
          <w:p w14:paraId="1ABA66EC" w14:textId="77777777" w:rsidR="004E2402" w:rsidRPr="007C4D65" w:rsidRDefault="004E2402" w:rsidP="004E240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4E2402" w:rsidRPr="007C4D65" w14:paraId="293E6018" w14:textId="77777777" w:rsidTr="00245BAA">
        <w:trPr>
          <w:trHeight w:val="567"/>
          <w:jc w:val="center"/>
        </w:trPr>
        <w:tc>
          <w:tcPr>
            <w:tcW w:w="1325" w:type="pct"/>
            <w:vMerge/>
            <w:shd w:val="clear" w:color="auto" w:fill="009D73"/>
            <w:vAlign w:val="center"/>
          </w:tcPr>
          <w:p w14:paraId="547F2C58" w14:textId="77777777" w:rsidR="004E2402" w:rsidRPr="007C4D65" w:rsidRDefault="004E2402" w:rsidP="004E240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107" w:type="pct"/>
            <w:shd w:val="clear" w:color="auto" w:fill="FFFFFF"/>
            <w:vAlign w:val="center"/>
          </w:tcPr>
          <w:p w14:paraId="2DD51758" w14:textId="60864C77" w:rsidR="004E2402" w:rsidRPr="007C4D65" w:rsidRDefault="004E2402" w:rsidP="004E240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Status of the FBiH ecological network</w:t>
            </w:r>
          </w:p>
        </w:tc>
        <w:tc>
          <w:tcPr>
            <w:tcW w:w="1283" w:type="pct"/>
            <w:shd w:val="clear" w:color="auto" w:fill="FFFFFF"/>
            <w:vAlign w:val="center"/>
          </w:tcPr>
          <w:p w14:paraId="62ED499B" w14:textId="2B8DEBBB" w:rsidR="004E2402" w:rsidRPr="007C4D65" w:rsidRDefault="004E2402" w:rsidP="004E240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 ecological network exists only at the level of the Natura 2000 Plan in BiH</w:t>
            </w:r>
          </w:p>
        </w:tc>
        <w:tc>
          <w:tcPr>
            <w:tcW w:w="1285" w:type="pct"/>
            <w:shd w:val="clear" w:color="auto" w:fill="FFFFFF"/>
            <w:vAlign w:val="center"/>
          </w:tcPr>
          <w:p w14:paraId="442DB9D1" w14:textId="01CE6F29" w:rsidR="004E2402" w:rsidRPr="007C4D65" w:rsidRDefault="004E2402" w:rsidP="004E240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The FBiH Ecological network established and serves the purpose of protecting biodiversity</w:t>
            </w:r>
          </w:p>
        </w:tc>
      </w:tr>
      <w:tr w:rsidR="004E2402" w:rsidRPr="007C4D65" w14:paraId="33DB6D9B" w14:textId="77777777" w:rsidTr="00BC37DE">
        <w:trPr>
          <w:trHeight w:val="567"/>
          <w:jc w:val="center"/>
        </w:trPr>
        <w:tc>
          <w:tcPr>
            <w:tcW w:w="1325" w:type="pct"/>
            <w:shd w:val="clear" w:color="auto" w:fill="009D73"/>
            <w:vAlign w:val="center"/>
          </w:tcPr>
          <w:p w14:paraId="58F9320A" w14:textId="77777777" w:rsidR="004E2402" w:rsidRPr="007C4D65" w:rsidRDefault="004E2402" w:rsidP="004E240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Development effect and contribution of the measure to the Description of implementation of the priorities </w:t>
            </w:r>
          </w:p>
        </w:tc>
        <w:tc>
          <w:tcPr>
            <w:tcW w:w="3675" w:type="pct"/>
            <w:gridSpan w:val="3"/>
            <w:shd w:val="clear" w:color="auto" w:fill="FFFFFF"/>
            <w:vAlign w:val="center"/>
          </w:tcPr>
          <w:p w14:paraId="6B0181BF" w14:textId="6456AEAF" w:rsidR="004E2402" w:rsidRPr="007C4D65" w:rsidRDefault="004E2402" w:rsidP="004E2402">
            <w:pPr>
              <w:spacing w:before="40" w:after="40" w:line="276" w:lineRule="auto"/>
              <w:rPr>
                <w:rFonts w:asciiTheme="minorHAnsi" w:eastAsiaTheme="minorHAnsi" w:hAnsiTheme="minorHAnsi" w:cstheme="minorHAnsi"/>
                <w:sz w:val="18"/>
                <w:szCs w:val="18"/>
                <w:lang w:eastAsia="en-US" w:bidi="en-US"/>
              </w:rPr>
            </w:pPr>
            <w:r w:rsidRPr="007C4D65">
              <w:rPr>
                <w:rFonts w:asciiTheme="minorHAnsi" w:hAnsiTheme="minorHAnsi" w:cstheme="minorHAnsi"/>
                <w:sz w:val="18"/>
                <w:szCs w:val="18"/>
              </w:rPr>
              <w:t>Better protection and preservation of the biodiversity, regeneration and sustainable use of biodiversity</w:t>
            </w:r>
          </w:p>
        </w:tc>
      </w:tr>
      <w:tr w:rsidR="004E2402" w:rsidRPr="007C4D65" w14:paraId="71E963E2" w14:textId="77777777" w:rsidTr="00BC37DE">
        <w:trPr>
          <w:trHeight w:val="567"/>
          <w:jc w:val="center"/>
        </w:trPr>
        <w:tc>
          <w:tcPr>
            <w:tcW w:w="1325" w:type="pct"/>
            <w:shd w:val="clear" w:color="auto" w:fill="009D73"/>
            <w:vAlign w:val="center"/>
          </w:tcPr>
          <w:p w14:paraId="04089879" w14:textId="224F27DF" w:rsidR="004E2402" w:rsidRPr="007C4D65" w:rsidRDefault="00963086" w:rsidP="004E240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75" w:type="pct"/>
            <w:gridSpan w:val="3"/>
            <w:shd w:val="clear" w:color="auto" w:fill="FFFFFF"/>
            <w:vAlign w:val="center"/>
          </w:tcPr>
          <w:p w14:paraId="346475EB" w14:textId="106F4556" w:rsidR="004E2402" w:rsidRPr="007C4D65" w:rsidRDefault="004E2402" w:rsidP="004E2402">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3.545.909</w:t>
            </w:r>
          </w:p>
          <w:p w14:paraId="58CE002B" w14:textId="0B46E756" w:rsidR="004E2402" w:rsidRPr="007C4D65" w:rsidRDefault="009E6B20" w:rsidP="004E2402">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bidi="en-US"/>
              </w:rPr>
              <w:t xml:space="preserve">Source: </w:t>
            </w:r>
            <w:r w:rsidR="004E2402" w:rsidRPr="007C4D65">
              <w:rPr>
                <w:rFonts w:asciiTheme="minorHAnsi" w:hAnsiTheme="minorHAnsi" w:cstheme="minorHAnsi"/>
                <w:sz w:val="18"/>
                <w:szCs w:val="18"/>
                <w:lang w:bidi="en-US"/>
              </w:rPr>
              <w:t xml:space="preserve"> 10% </w:t>
            </w:r>
            <w:r w:rsidR="000E401F" w:rsidRPr="007C4D65">
              <w:rPr>
                <w:rFonts w:asciiTheme="minorHAnsi" w:hAnsiTheme="minorHAnsi" w:cstheme="minorHAnsi"/>
                <w:sz w:val="18"/>
                <w:szCs w:val="18"/>
                <w:lang w:bidi="en-US"/>
              </w:rPr>
              <w:t>government budget</w:t>
            </w:r>
            <w:r w:rsidR="004E2402" w:rsidRPr="007C4D65">
              <w:rPr>
                <w:rFonts w:asciiTheme="minorHAnsi" w:hAnsiTheme="minorHAnsi" w:cstheme="minorHAnsi"/>
                <w:sz w:val="18"/>
                <w:szCs w:val="18"/>
                <w:lang w:bidi="en-US"/>
              </w:rPr>
              <w:t>, 90% funds from EU and other international donors</w:t>
            </w:r>
          </w:p>
        </w:tc>
      </w:tr>
      <w:tr w:rsidR="004E2402" w:rsidRPr="007C4D65" w14:paraId="40200702" w14:textId="77777777" w:rsidTr="00BC37DE">
        <w:trPr>
          <w:trHeight w:val="567"/>
          <w:jc w:val="center"/>
        </w:trPr>
        <w:tc>
          <w:tcPr>
            <w:tcW w:w="1325" w:type="pct"/>
            <w:shd w:val="clear" w:color="auto" w:fill="009D73"/>
            <w:vAlign w:val="center"/>
          </w:tcPr>
          <w:p w14:paraId="21A9D562" w14:textId="77777777" w:rsidR="004E2402" w:rsidRPr="007C4D65" w:rsidRDefault="004E2402" w:rsidP="004E240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75" w:type="pct"/>
            <w:gridSpan w:val="3"/>
            <w:shd w:val="clear" w:color="auto" w:fill="FFFFFF"/>
            <w:vAlign w:val="center"/>
          </w:tcPr>
          <w:p w14:paraId="0B6BC2E2" w14:textId="77777777" w:rsidR="004E2402" w:rsidRPr="007C4D65" w:rsidRDefault="004E2402" w:rsidP="004E240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2028 - 2030+</w:t>
            </w:r>
          </w:p>
        </w:tc>
      </w:tr>
      <w:tr w:rsidR="004E2402" w:rsidRPr="007C4D65" w14:paraId="51A5F91F" w14:textId="77777777" w:rsidTr="00BC37DE">
        <w:trPr>
          <w:trHeight w:val="567"/>
          <w:jc w:val="center"/>
        </w:trPr>
        <w:tc>
          <w:tcPr>
            <w:tcW w:w="1325" w:type="pct"/>
            <w:shd w:val="clear" w:color="auto" w:fill="009D73"/>
            <w:vAlign w:val="center"/>
          </w:tcPr>
          <w:p w14:paraId="27B9A654" w14:textId="77777777" w:rsidR="004E2402" w:rsidRPr="007C4D65" w:rsidRDefault="004E2402" w:rsidP="004E240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75" w:type="pct"/>
            <w:gridSpan w:val="3"/>
            <w:shd w:val="clear" w:color="auto" w:fill="FFFFFF"/>
            <w:vAlign w:val="center"/>
          </w:tcPr>
          <w:p w14:paraId="182EACC0" w14:textId="77777777" w:rsidR="004E2402" w:rsidRPr="007C4D65" w:rsidRDefault="004E2402" w:rsidP="004E240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4E2402" w:rsidRPr="007C4D65" w14:paraId="184EA048" w14:textId="77777777" w:rsidTr="00BC37DE">
        <w:trPr>
          <w:trHeight w:val="567"/>
          <w:jc w:val="center"/>
        </w:trPr>
        <w:tc>
          <w:tcPr>
            <w:tcW w:w="1325" w:type="pct"/>
            <w:shd w:val="clear" w:color="auto" w:fill="009D73"/>
            <w:vAlign w:val="center"/>
          </w:tcPr>
          <w:p w14:paraId="6752FD04" w14:textId="77777777" w:rsidR="004E2402" w:rsidRPr="007C4D65" w:rsidRDefault="004E2402" w:rsidP="004E240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Implementing institutions</w:t>
            </w:r>
          </w:p>
        </w:tc>
        <w:tc>
          <w:tcPr>
            <w:tcW w:w="3675" w:type="pct"/>
            <w:gridSpan w:val="3"/>
            <w:shd w:val="clear" w:color="auto" w:fill="FFFFFF"/>
            <w:vAlign w:val="center"/>
          </w:tcPr>
          <w:p w14:paraId="75C16BB9" w14:textId="0FEC9ABF" w:rsidR="004E2402" w:rsidRPr="007C4D65" w:rsidRDefault="004E2402" w:rsidP="004E240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EPF, professional institution for the nature conservation of the Federation of BiH</w:t>
            </w:r>
          </w:p>
        </w:tc>
      </w:tr>
      <w:tr w:rsidR="004E2402" w:rsidRPr="007C4D65" w14:paraId="1BA022F2" w14:textId="77777777" w:rsidTr="00BC37DE">
        <w:trPr>
          <w:trHeight w:val="567"/>
          <w:jc w:val="center"/>
        </w:trPr>
        <w:tc>
          <w:tcPr>
            <w:tcW w:w="1325" w:type="pct"/>
            <w:shd w:val="clear" w:color="auto" w:fill="009D73"/>
            <w:vAlign w:val="center"/>
          </w:tcPr>
          <w:p w14:paraId="1B67983D" w14:textId="2C363ADE" w:rsidR="004E2402" w:rsidRPr="007C4D65" w:rsidRDefault="00963086" w:rsidP="004E240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Target groups</w:t>
            </w:r>
          </w:p>
        </w:tc>
        <w:tc>
          <w:tcPr>
            <w:tcW w:w="3675" w:type="pct"/>
            <w:gridSpan w:val="3"/>
            <w:shd w:val="clear" w:color="auto" w:fill="FFFFFF"/>
            <w:vAlign w:val="center"/>
          </w:tcPr>
          <w:p w14:paraId="70482AD5" w14:textId="77777777" w:rsidR="004E2402" w:rsidRPr="007C4D65" w:rsidRDefault="004E2402" w:rsidP="004E240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Local communities, line and sectoral ministries, scientific institutions, non-governmental organizations, the public</w:t>
            </w:r>
          </w:p>
        </w:tc>
      </w:tr>
    </w:tbl>
    <w:p w14:paraId="6969513D"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p w14:paraId="0EB57ED5"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93"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38"/>
        <w:gridCol w:w="3014"/>
        <w:gridCol w:w="3407"/>
        <w:gridCol w:w="3412"/>
      </w:tblGrid>
      <w:tr w:rsidR="00005022" w:rsidRPr="007C4D65" w14:paraId="2E5D936A" w14:textId="77777777" w:rsidTr="00BC37DE">
        <w:trPr>
          <w:trHeight w:val="567"/>
          <w:jc w:val="center"/>
        </w:trPr>
        <w:tc>
          <w:tcPr>
            <w:tcW w:w="1323" w:type="pct"/>
            <w:shd w:val="clear" w:color="auto" w:fill="009D73"/>
            <w:vAlign w:val="center"/>
          </w:tcPr>
          <w:p w14:paraId="63CF5CE9" w14:textId="5A41EC15"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77" w:type="pct"/>
            <w:gridSpan w:val="3"/>
            <w:shd w:val="clear" w:color="auto" w:fill="auto"/>
            <w:vAlign w:val="center"/>
          </w:tcPr>
          <w:p w14:paraId="252C44F1" w14:textId="5079024C"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4E2402" w:rsidRPr="007C4D65">
              <w:rPr>
                <w:rFonts w:asciiTheme="minorHAnsi" w:eastAsia="Calibri" w:hAnsiTheme="minorHAnsi" w:cstheme="minorHAnsi"/>
                <w:b/>
                <w:bCs/>
                <w:sz w:val="18"/>
                <w:szCs w:val="18"/>
                <w:lang w:eastAsia="en-US"/>
              </w:rPr>
              <w:t xml:space="preserve">Maintaining and improving biodiversity and protecting ecosystems </w:t>
            </w:r>
          </w:p>
        </w:tc>
      </w:tr>
      <w:tr w:rsidR="00005022" w:rsidRPr="007C4D65" w14:paraId="3FEF73AB" w14:textId="77777777" w:rsidTr="00BC37DE">
        <w:trPr>
          <w:trHeight w:val="567"/>
          <w:jc w:val="center"/>
        </w:trPr>
        <w:tc>
          <w:tcPr>
            <w:tcW w:w="1323" w:type="pct"/>
            <w:shd w:val="clear" w:color="auto" w:fill="009D73"/>
            <w:vAlign w:val="center"/>
          </w:tcPr>
          <w:p w14:paraId="56ED166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77" w:type="pct"/>
            <w:gridSpan w:val="3"/>
            <w:shd w:val="clear" w:color="auto" w:fill="FFFFFF"/>
            <w:vAlign w:val="center"/>
          </w:tcPr>
          <w:p w14:paraId="60809560" w14:textId="2442C76E" w:rsidR="00005022" w:rsidRPr="007C4D65" w:rsidRDefault="00005022" w:rsidP="00005022">
            <w:pPr>
              <w:spacing w:before="40" w:after="40" w:line="276" w:lineRule="auto"/>
              <w:rPr>
                <w:rFonts w:asciiTheme="minorHAnsi" w:hAnsiTheme="minorHAnsi" w:cstheme="minorHAnsi"/>
                <w:b/>
                <w:bCs/>
                <w:sz w:val="18"/>
                <w:szCs w:val="18"/>
                <w:lang w:eastAsia="zh-TW"/>
              </w:rPr>
            </w:pPr>
            <w:bookmarkStart w:id="293" w:name="_Hlk94622875"/>
            <w:r w:rsidRPr="007C4D65">
              <w:rPr>
                <w:rFonts w:asciiTheme="minorHAnsi" w:hAnsiTheme="minorHAnsi" w:cstheme="minorHAnsi"/>
                <w:b/>
                <w:bCs/>
                <w:sz w:val="18"/>
                <w:szCs w:val="18"/>
                <w:lang w:eastAsia="zh-TW"/>
              </w:rPr>
              <w:t>3.</w:t>
            </w:r>
            <w:r w:rsidR="004E2402" w:rsidRPr="007C4D65">
              <w:rPr>
                <w:rFonts w:asciiTheme="minorHAnsi" w:hAnsiTheme="minorHAnsi" w:cstheme="minorHAnsi"/>
                <w:b/>
                <w:bCs/>
                <w:sz w:val="18"/>
                <w:szCs w:val="18"/>
                <w:lang w:eastAsia="zh-TW"/>
              </w:rPr>
              <w:t>7</w:t>
            </w:r>
            <w:r w:rsidRPr="007C4D65">
              <w:rPr>
                <w:rFonts w:asciiTheme="minorHAnsi" w:hAnsiTheme="minorHAnsi" w:cstheme="minorHAnsi"/>
                <w:b/>
                <w:bCs/>
                <w:sz w:val="18"/>
                <w:szCs w:val="18"/>
                <w:lang w:eastAsia="zh-TW"/>
              </w:rPr>
              <w:t xml:space="preserve"> Improve cross-sectoral cooperation and political support in the F</w:t>
            </w:r>
            <w:r w:rsidR="004E2402" w:rsidRPr="007C4D65">
              <w:rPr>
                <w:rFonts w:asciiTheme="minorHAnsi" w:hAnsiTheme="minorHAnsi" w:cstheme="minorHAnsi"/>
                <w:b/>
                <w:bCs/>
                <w:sz w:val="18"/>
                <w:szCs w:val="18"/>
                <w:lang w:eastAsia="zh-TW"/>
              </w:rPr>
              <w:t xml:space="preserve">ederation of </w:t>
            </w:r>
            <w:r w:rsidRPr="007C4D65">
              <w:rPr>
                <w:rFonts w:asciiTheme="minorHAnsi" w:hAnsiTheme="minorHAnsi" w:cstheme="minorHAnsi"/>
                <w:b/>
                <w:bCs/>
                <w:sz w:val="18"/>
                <w:szCs w:val="18"/>
                <w:lang w:eastAsia="zh-TW"/>
              </w:rPr>
              <w:t>BiH for the integration of the biodiversity protection into sectoral policies and legislation</w:t>
            </w:r>
            <w:bookmarkEnd w:id="293"/>
          </w:p>
        </w:tc>
      </w:tr>
      <w:tr w:rsidR="00005022" w:rsidRPr="007C4D65" w14:paraId="2F3DD396" w14:textId="77777777" w:rsidTr="00BC37DE">
        <w:trPr>
          <w:trHeight w:val="567"/>
          <w:jc w:val="center"/>
        </w:trPr>
        <w:tc>
          <w:tcPr>
            <w:tcW w:w="1323" w:type="pct"/>
            <w:shd w:val="clear" w:color="auto" w:fill="009D73"/>
            <w:vAlign w:val="center"/>
          </w:tcPr>
          <w:p w14:paraId="6035414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77" w:type="pct"/>
            <w:gridSpan w:val="3"/>
            <w:shd w:val="clear" w:color="auto" w:fill="FFFFFF"/>
            <w:vAlign w:val="center"/>
          </w:tcPr>
          <w:p w14:paraId="76156E85" w14:textId="0907E0FB" w:rsidR="00005022" w:rsidRPr="007C4D65" w:rsidRDefault="00005022" w:rsidP="00005022">
            <w:pPr>
              <w:spacing w:after="160" w:line="276" w:lineRule="auto"/>
              <w:rPr>
                <w:rFonts w:asciiTheme="minorHAnsi" w:eastAsia="Calibri" w:hAnsiTheme="minorHAnsi" w:cstheme="minorHAnsi"/>
                <w:b/>
                <w:bCs/>
                <w:sz w:val="18"/>
                <w:szCs w:val="18"/>
                <w:lang w:eastAsia="en-US"/>
              </w:rPr>
            </w:pPr>
            <w:bookmarkStart w:id="294" w:name="_Hlk94622961"/>
            <w:r w:rsidRPr="007C4D65">
              <w:rPr>
                <w:rFonts w:asciiTheme="minorHAnsi" w:eastAsia="Calibri" w:hAnsiTheme="minorHAnsi" w:cstheme="minorHAnsi"/>
                <w:b/>
                <w:bCs/>
                <w:sz w:val="18"/>
                <w:szCs w:val="18"/>
                <w:lang w:eastAsia="en-US"/>
              </w:rPr>
              <w:t>3.</w:t>
            </w:r>
            <w:r w:rsidR="004E2402" w:rsidRPr="007C4D65">
              <w:rPr>
                <w:rFonts w:asciiTheme="minorHAnsi" w:eastAsia="Calibri" w:hAnsiTheme="minorHAnsi" w:cstheme="minorHAnsi"/>
                <w:b/>
                <w:bCs/>
                <w:sz w:val="18"/>
                <w:szCs w:val="18"/>
                <w:lang w:eastAsia="en-US"/>
              </w:rPr>
              <w:t>7</w:t>
            </w:r>
            <w:r w:rsidRPr="007C4D65">
              <w:rPr>
                <w:rFonts w:asciiTheme="minorHAnsi" w:eastAsia="Calibri" w:hAnsiTheme="minorHAnsi" w:cstheme="minorHAnsi"/>
                <w:b/>
                <w:bCs/>
                <w:sz w:val="18"/>
                <w:szCs w:val="18"/>
                <w:lang w:eastAsia="en-US"/>
              </w:rPr>
              <w:t xml:space="preserve">.1 </w:t>
            </w:r>
            <w:r w:rsidR="004E2402" w:rsidRPr="007C4D65">
              <w:rPr>
                <w:rFonts w:asciiTheme="minorHAnsi" w:eastAsia="Calibri" w:hAnsiTheme="minorHAnsi" w:cstheme="minorHAnsi"/>
                <w:b/>
                <w:bCs/>
                <w:sz w:val="18"/>
                <w:szCs w:val="18"/>
                <w:lang w:eastAsia="en-US"/>
              </w:rPr>
              <w:t>Ensure</w:t>
            </w:r>
            <w:r w:rsidRPr="007C4D65">
              <w:rPr>
                <w:rFonts w:asciiTheme="minorHAnsi" w:eastAsia="Calibri" w:hAnsiTheme="minorHAnsi" w:cstheme="minorHAnsi"/>
                <w:b/>
                <w:bCs/>
                <w:sz w:val="18"/>
                <w:szCs w:val="18"/>
                <w:lang w:eastAsia="en-US"/>
              </w:rPr>
              <w:t xml:space="preserve"> cross-sectoral support for the implementation of the revised</w:t>
            </w:r>
            <w:r w:rsidR="004E2402" w:rsidRPr="007C4D65">
              <w:rPr>
                <w:rFonts w:asciiTheme="minorHAnsi" w:eastAsia="Calibri" w:hAnsiTheme="minorHAnsi" w:cstheme="minorHAnsi"/>
                <w:b/>
                <w:bCs/>
                <w:sz w:val="18"/>
                <w:szCs w:val="18"/>
                <w:lang w:eastAsia="en-US"/>
              </w:rPr>
              <w:t xml:space="preserve"> goals of</w:t>
            </w:r>
            <w:r w:rsidRPr="007C4D65">
              <w:rPr>
                <w:rFonts w:asciiTheme="minorHAnsi" w:eastAsia="Calibri" w:hAnsiTheme="minorHAnsi" w:cstheme="minorHAnsi"/>
                <w:b/>
                <w:bCs/>
                <w:sz w:val="18"/>
                <w:szCs w:val="18"/>
                <w:lang w:eastAsia="en-US"/>
              </w:rPr>
              <w:t xml:space="preserve"> NBSAP in the F</w:t>
            </w:r>
            <w:r w:rsidR="004E2402" w:rsidRPr="007C4D65">
              <w:rPr>
                <w:rFonts w:asciiTheme="minorHAnsi" w:eastAsia="Calibri" w:hAnsiTheme="minorHAnsi" w:cstheme="minorHAnsi"/>
                <w:b/>
                <w:bCs/>
                <w:sz w:val="18"/>
                <w:szCs w:val="18"/>
                <w:lang w:eastAsia="en-US"/>
              </w:rPr>
              <w:t xml:space="preserve">ederation of </w:t>
            </w:r>
            <w:r w:rsidRPr="007C4D65">
              <w:rPr>
                <w:rFonts w:asciiTheme="minorHAnsi" w:eastAsia="Calibri" w:hAnsiTheme="minorHAnsi" w:cstheme="minorHAnsi"/>
                <w:b/>
                <w:bCs/>
                <w:sz w:val="18"/>
                <w:szCs w:val="18"/>
                <w:lang w:eastAsia="en-US"/>
              </w:rPr>
              <w:t>BiH</w:t>
            </w:r>
            <w:r w:rsidRPr="007C4D65">
              <w:rPr>
                <w:rFonts w:asciiTheme="minorHAnsi" w:eastAsiaTheme="minorHAnsi" w:hAnsiTheme="minorHAnsi" w:cstheme="minorHAnsi"/>
                <w:b/>
                <w:bCs/>
                <w:sz w:val="18"/>
                <w:szCs w:val="18"/>
                <w:lang w:eastAsia="en-US"/>
              </w:rPr>
              <w:t xml:space="preserve"> </w:t>
            </w:r>
            <w:bookmarkEnd w:id="294"/>
          </w:p>
        </w:tc>
      </w:tr>
      <w:tr w:rsidR="00005022" w:rsidRPr="007C4D65" w14:paraId="4139F6A6" w14:textId="77777777" w:rsidTr="00BC37DE">
        <w:trPr>
          <w:trHeight w:val="567"/>
          <w:jc w:val="center"/>
        </w:trPr>
        <w:tc>
          <w:tcPr>
            <w:tcW w:w="1323" w:type="pct"/>
            <w:shd w:val="clear" w:color="auto" w:fill="009D73"/>
            <w:vAlign w:val="center"/>
          </w:tcPr>
          <w:p w14:paraId="71EAF14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77" w:type="pct"/>
            <w:gridSpan w:val="3"/>
            <w:shd w:val="clear" w:color="auto" w:fill="FFFFFF"/>
            <w:vAlign w:val="center"/>
          </w:tcPr>
          <w:p w14:paraId="5D378EE1" w14:textId="331094BC"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w:t>
            </w:r>
            <w:r w:rsidR="004E2402" w:rsidRPr="007C4D65">
              <w:rPr>
                <w:rFonts w:asciiTheme="minorHAnsi" w:eastAsia="Calibri" w:hAnsiTheme="minorHAnsi" w:cstheme="minorHAnsi"/>
                <w:sz w:val="18"/>
                <w:szCs w:val="18"/>
                <w:lang w:eastAsia="en-US"/>
              </w:rPr>
              <w:t>to provide for a</w:t>
            </w:r>
            <w:r w:rsidRPr="007C4D65">
              <w:rPr>
                <w:rFonts w:asciiTheme="minorHAnsi" w:eastAsia="Calibri" w:hAnsiTheme="minorHAnsi" w:cstheme="minorHAnsi"/>
                <w:sz w:val="18"/>
                <w:szCs w:val="18"/>
                <w:lang w:eastAsia="en-US"/>
              </w:rPr>
              <w:t xml:space="preserve"> long-term conservation and sustainable use of biodiversity </w:t>
            </w:r>
            <w:proofErr w:type="gramStart"/>
            <w:r w:rsidRPr="007C4D65">
              <w:rPr>
                <w:rFonts w:asciiTheme="minorHAnsi" w:eastAsia="Calibri" w:hAnsiTheme="minorHAnsi" w:cstheme="minorHAnsi"/>
                <w:sz w:val="18"/>
                <w:szCs w:val="18"/>
                <w:lang w:eastAsia="en-US"/>
              </w:rPr>
              <w:t>as a result of</w:t>
            </w:r>
            <w:proofErr w:type="gramEnd"/>
            <w:r w:rsidRPr="007C4D65">
              <w:rPr>
                <w:rFonts w:asciiTheme="minorHAnsi" w:eastAsia="Calibri" w:hAnsiTheme="minorHAnsi" w:cstheme="minorHAnsi"/>
                <w:sz w:val="18"/>
                <w:szCs w:val="18"/>
                <w:lang w:eastAsia="en-US"/>
              </w:rPr>
              <w:t xml:space="preserve"> sectoral policies. Given that the validity of the last NBSAP expired in 2020, a revised version of the NBSAP will be prepared during the early implementation period of the FBiH ESAP. The implementation of the revised NBSAP is, among other things, the responsibility of the F</w:t>
            </w:r>
            <w:r w:rsidR="004E2402" w:rsidRPr="007C4D65">
              <w:rPr>
                <w:rFonts w:asciiTheme="minorHAnsi" w:eastAsia="Calibri" w:hAnsiTheme="minorHAnsi" w:cstheme="minorHAnsi"/>
                <w:sz w:val="18"/>
                <w:szCs w:val="18"/>
                <w:lang w:eastAsia="en-US"/>
              </w:rPr>
              <w:t xml:space="preserve">ederation of </w:t>
            </w:r>
            <w:r w:rsidRPr="007C4D65">
              <w:rPr>
                <w:rFonts w:asciiTheme="minorHAnsi" w:eastAsia="Calibri" w:hAnsiTheme="minorHAnsi" w:cstheme="minorHAnsi"/>
                <w:sz w:val="18"/>
                <w:szCs w:val="18"/>
                <w:lang w:eastAsia="en-US"/>
              </w:rPr>
              <w:t xml:space="preserve">BiH. In line with global biodiversity </w:t>
            </w:r>
            <w:r w:rsidR="004E2402" w:rsidRPr="007C4D65">
              <w:rPr>
                <w:rFonts w:asciiTheme="minorHAnsi" w:eastAsia="Calibri" w:hAnsiTheme="minorHAnsi" w:cstheme="minorHAnsi"/>
                <w:sz w:val="18"/>
                <w:szCs w:val="18"/>
                <w:lang w:eastAsia="en-US"/>
              </w:rPr>
              <w:t>goals</w:t>
            </w:r>
            <w:r w:rsidRPr="007C4D65">
              <w:rPr>
                <w:rFonts w:asciiTheme="minorHAnsi" w:eastAsia="Calibri" w:hAnsiTheme="minorHAnsi" w:cstheme="minorHAnsi"/>
                <w:sz w:val="18"/>
                <w:szCs w:val="18"/>
                <w:lang w:eastAsia="en-US"/>
              </w:rPr>
              <w:t>, the revised NBSAP will seek to integrate biodiversity protection into sectoral policies in the best possible way.</w:t>
            </w:r>
          </w:p>
          <w:p w14:paraId="37713644" w14:textId="4CC5EA18"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971FDB" w:rsidRPr="007C4D65">
              <w:rPr>
                <w:rFonts w:asciiTheme="minorHAnsi" w:eastAsia="Calibri" w:hAnsiTheme="minorHAnsi" w:cstheme="minorHAnsi"/>
                <w:sz w:val="18"/>
                <w:szCs w:val="18"/>
                <w:lang w:eastAsia="en-US"/>
              </w:rPr>
              <w:t>eneral area</w:t>
            </w:r>
            <w:r w:rsidRPr="007C4D65">
              <w:rPr>
                <w:rFonts w:asciiTheme="minorHAnsi" w:eastAsia="Calibri" w:hAnsiTheme="minorHAnsi" w:cstheme="minorHAnsi"/>
                <w:sz w:val="18"/>
                <w:szCs w:val="18"/>
                <w:lang w:eastAsia="en-US"/>
              </w:rPr>
              <w:t>s</w:t>
            </w:r>
            <w:r w:rsidR="00971FDB" w:rsidRPr="007C4D65">
              <w:rPr>
                <w:rFonts w:asciiTheme="minorHAnsi" w:eastAsia="Calibri" w:hAnsiTheme="minorHAnsi" w:cstheme="minorHAnsi"/>
                <w:sz w:val="18"/>
                <w:szCs w:val="18"/>
                <w:lang w:eastAsia="en-US"/>
              </w:rPr>
              <w:t xml:space="preserve"> of intervention include</w:t>
            </w:r>
            <w:r w:rsidR="00005022" w:rsidRPr="007C4D65">
              <w:rPr>
                <w:rFonts w:asciiTheme="minorHAnsi" w:eastAsia="Calibri" w:hAnsiTheme="minorHAnsi" w:cstheme="minorHAnsi"/>
                <w:sz w:val="18"/>
                <w:szCs w:val="18"/>
                <w:lang w:eastAsia="en-US"/>
              </w:rPr>
              <w:t>:</w:t>
            </w:r>
          </w:p>
          <w:p w14:paraId="0D3B9118" w14:textId="601943DE"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identify and support projects that ensure the nature conservation and sustainable use of biodiversity through various sectoral policies</w:t>
            </w:r>
            <w:r w:rsidR="00B30020" w:rsidRPr="007C4D65">
              <w:rPr>
                <w:rFonts w:asciiTheme="minorHAnsi" w:eastAsia="Calibri" w:hAnsiTheme="minorHAnsi" w:cstheme="minorHAnsi"/>
                <w:sz w:val="18"/>
                <w:szCs w:val="18"/>
                <w:lang w:eastAsia="en-US"/>
              </w:rPr>
              <w:t>.</w:t>
            </w:r>
          </w:p>
        </w:tc>
      </w:tr>
      <w:tr w:rsidR="00005022" w:rsidRPr="007C4D65" w14:paraId="331182AF" w14:textId="77777777" w:rsidTr="00BC37DE">
        <w:trPr>
          <w:trHeight w:val="567"/>
          <w:jc w:val="center"/>
        </w:trPr>
        <w:tc>
          <w:tcPr>
            <w:tcW w:w="1323" w:type="pct"/>
            <w:shd w:val="clear" w:color="auto" w:fill="009D73"/>
            <w:vAlign w:val="center"/>
          </w:tcPr>
          <w:p w14:paraId="67B8093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77" w:type="pct"/>
            <w:gridSpan w:val="3"/>
            <w:tcBorders>
              <w:bottom w:val="single" w:sz="4" w:space="0" w:color="A6A6A6"/>
            </w:tcBorders>
            <w:shd w:val="clear" w:color="auto" w:fill="FFFFFF" w:themeFill="background1"/>
            <w:vAlign w:val="center"/>
          </w:tcPr>
          <w:p w14:paraId="1A470EDA"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23D32423" w14:textId="77777777" w:rsidTr="00BC37DE">
        <w:trPr>
          <w:trHeight w:val="567"/>
          <w:jc w:val="center"/>
        </w:trPr>
        <w:tc>
          <w:tcPr>
            <w:tcW w:w="1323" w:type="pct"/>
            <w:vMerge w:val="restart"/>
            <w:shd w:val="clear" w:color="auto" w:fill="009D73"/>
            <w:vAlign w:val="center"/>
          </w:tcPr>
          <w:p w14:paraId="41CF43F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127" w:type="pct"/>
            <w:shd w:val="clear" w:color="auto" w:fill="009D73"/>
            <w:vAlign w:val="center"/>
          </w:tcPr>
          <w:p w14:paraId="476F7D79"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1B2D78E1"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74" w:type="pct"/>
            <w:shd w:val="clear" w:color="auto" w:fill="009D73"/>
            <w:vAlign w:val="center"/>
          </w:tcPr>
          <w:p w14:paraId="3A83151F"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51CE27BE"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76" w:type="pct"/>
            <w:shd w:val="clear" w:color="auto" w:fill="009D73"/>
            <w:vAlign w:val="center"/>
          </w:tcPr>
          <w:p w14:paraId="6CD789EC"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2E3046B8" w14:textId="77777777" w:rsidTr="00BC37DE">
        <w:trPr>
          <w:trHeight w:val="567"/>
          <w:jc w:val="center"/>
        </w:trPr>
        <w:tc>
          <w:tcPr>
            <w:tcW w:w="1323" w:type="pct"/>
            <w:vMerge/>
            <w:shd w:val="clear" w:color="auto" w:fill="009D73"/>
            <w:vAlign w:val="center"/>
          </w:tcPr>
          <w:p w14:paraId="761E20DD"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127" w:type="pct"/>
            <w:shd w:val="clear" w:color="auto" w:fill="FFFFFF"/>
            <w:vAlign w:val="center"/>
          </w:tcPr>
          <w:p w14:paraId="7CDFA96E"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Number of projects with active biodiversity/nature conservation component</w:t>
            </w:r>
          </w:p>
        </w:tc>
        <w:tc>
          <w:tcPr>
            <w:tcW w:w="1274" w:type="pct"/>
            <w:shd w:val="clear" w:color="auto" w:fill="FFFFFF"/>
            <w:vAlign w:val="center"/>
          </w:tcPr>
          <w:p w14:paraId="2B73D793"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Biodiversity / nature conservation is not sufficiently integrated into sectoral policies</w:t>
            </w:r>
          </w:p>
        </w:tc>
        <w:tc>
          <w:tcPr>
            <w:tcW w:w="1276" w:type="pct"/>
            <w:shd w:val="clear" w:color="auto" w:fill="FFFFFF"/>
            <w:vAlign w:val="center"/>
          </w:tcPr>
          <w:p w14:paraId="1621EA90" w14:textId="53F63F47"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A significant number of sectoral projects </w:t>
            </w:r>
            <w:r w:rsidR="004E2402" w:rsidRPr="007C4D65">
              <w:rPr>
                <w:rFonts w:asciiTheme="minorHAnsi" w:eastAsia="Calibri" w:hAnsiTheme="minorHAnsi" w:cstheme="minorHAnsi"/>
                <w:sz w:val="18"/>
                <w:szCs w:val="18"/>
                <w:lang w:eastAsia="en-US"/>
              </w:rPr>
              <w:t>with a biodiversity preservation component</w:t>
            </w:r>
          </w:p>
        </w:tc>
      </w:tr>
      <w:tr w:rsidR="00005022" w:rsidRPr="007C4D65" w14:paraId="3909A43C" w14:textId="77777777" w:rsidTr="00BC37DE">
        <w:trPr>
          <w:trHeight w:val="567"/>
          <w:jc w:val="center"/>
        </w:trPr>
        <w:tc>
          <w:tcPr>
            <w:tcW w:w="1323" w:type="pct"/>
            <w:shd w:val="clear" w:color="auto" w:fill="009D73"/>
            <w:vAlign w:val="center"/>
          </w:tcPr>
          <w:p w14:paraId="0D15C15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realization of priorities</w:t>
            </w:r>
          </w:p>
        </w:tc>
        <w:tc>
          <w:tcPr>
            <w:tcW w:w="3677" w:type="pct"/>
            <w:gridSpan w:val="3"/>
            <w:shd w:val="clear" w:color="auto" w:fill="FFFFFF"/>
            <w:vAlign w:val="center"/>
          </w:tcPr>
          <w:p w14:paraId="16A7A8F6" w14:textId="4446BE68" w:rsidR="00005022" w:rsidRPr="007C4D65" w:rsidRDefault="004E240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Better management through stronger cross-sectoral cooperation and coordination. Increased general benefits from biodiversity and ecosystem services</w:t>
            </w:r>
          </w:p>
        </w:tc>
      </w:tr>
      <w:tr w:rsidR="00005022" w:rsidRPr="007C4D65" w14:paraId="021D96A5" w14:textId="77777777" w:rsidTr="00BC37DE">
        <w:trPr>
          <w:trHeight w:val="567"/>
          <w:jc w:val="center"/>
        </w:trPr>
        <w:tc>
          <w:tcPr>
            <w:tcW w:w="1323" w:type="pct"/>
            <w:shd w:val="clear" w:color="auto" w:fill="009D73"/>
            <w:vAlign w:val="center"/>
          </w:tcPr>
          <w:p w14:paraId="41EE547C" w14:textId="4C703024"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77" w:type="pct"/>
            <w:gridSpan w:val="3"/>
            <w:shd w:val="clear" w:color="auto" w:fill="FFFFFF"/>
            <w:vAlign w:val="center"/>
          </w:tcPr>
          <w:p w14:paraId="780534F6" w14:textId="6CFBBC71" w:rsidR="004E2402" w:rsidRPr="007C4D65" w:rsidRDefault="004E2402" w:rsidP="004E2402">
            <w:pPr>
              <w:spacing w:before="40" w:after="40" w:line="276" w:lineRule="auto"/>
              <w:rPr>
                <w:rFonts w:asciiTheme="minorHAnsi" w:hAnsiTheme="minorHAnsi" w:cstheme="minorHAnsi"/>
                <w:color w:val="000000" w:themeColor="text1"/>
                <w:sz w:val="18"/>
                <w:szCs w:val="18"/>
                <w:lang w:bidi="en-US"/>
              </w:rPr>
            </w:pPr>
            <w:r w:rsidRPr="007C4D65">
              <w:rPr>
                <w:rFonts w:asciiTheme="minorHAnsi" w:hAnsiTheme="minorHAnsi" w:cstheme="minorHAnsi"/>
                <w:color w:val="000000" w:themeColor="text1"/>
                <w:sz w:val="18"/>
                <w:szCs w:val="18"/>
                <w:lang w:bidi="en-US"/>
              </w:rPr>
              <w:t>Amount: BAM 61,230</w:t>
            </w:r>
          </w:p>
          <w:p w14:paraId="6F2BE5D9" w14:textId="4BB1E43B" w:rsidR="00005022" w:rsidRPr="007C4D65" w:rsidRDefault="009E6B20" w:rsidP="004E2402">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lang w:bidi="en-US"/>
              </w:rPr>
              <w:t xml:space="preserve">Source: </w:t>
            </w:r>
            <w:r w:rsidR="004E2402" w:rsidRPr="007C4D65">
              <w:rPr>
                <w:rFonts w:asciiTheme="minorHAnsi" w:hAnsiTheme="minorHAnsi" w:cstheme="minorHAnsi"/>
                <w:color w:val="000000" w:themeColor="text1"/>
                <w:sz w:val="18"/>
                <w:szCs w:val="18"/>
                <w:lang w:bidi="en-US"/>
              </w:rPr>
              <w:t xml:space="preserve"> 100% </w:t>
            </w:r>
            <w:r w:rsidR="000E401F" w:rsidRPr="007C4D65">
              <w:rPr>
                <w:rFonts w:asciiTheme="minorHAnsi" w:hAnsiTheme="minorHAnsi" w:cstheme="minorHAnsi"/>
                <w:color w:val="000000" w:themeColor="text1"/>
                <w:sz w:val="18"/>
                <w:szCs w:val="18"/>
                <w:lang w:bidi="en-US"/>
              </w:rPr>
              <w:t>government budget</w:t>
            </w:r>
          </w:p>
        </w:tc>
      </w:tr>
      <w:tr w:rsidR="00005022" w:rsidRPr="007C4D65" w14:paraId="267CA3D2" w14:textId="77777777" w:rsidTr="00BC37DE">
        <w:trPr>
          <w:trHeight w:val="567"/>
          <w:jc w:val="center"/>
        </w:trPr>
        <w:tc>
          <w:tcPr>
            <w:tcW w:w="1323" w:type="pct"/>
            <w:shd w:val="clear" w:color="auto" w:fill="009D73"/>
            <w:vAlign w:val="center"/>
          </w:tcPr>
          <w:p w14:paraId="4428DF2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77" w:type="pct"/>
            <w:gridSpan w:val="3"/>
            <w:shd w:val="clear" w:color="auto" w:fill="FFFFFF"/>
            <w:vAlign w:val="center"/>
          </w:tcPr>
          <w:p w14:paraId="6F04CEC1"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2024 - 2030</w:t>
            </w:r>
          </w:p>
        </w:tc>
      </w:tr>
      <w:tr w:rsidR="00005022" w:rsidRPr="007C4D65" w14:paraId="44DBCCA8" w14:textId="77777777" w:rsidTr="00BC37DE">
        <w:trPr>
          <w:trHeight w:val="567"/>
          <w:jc w:val="center"/>
        </w:trPr>
        <w:tc>
          <w:tcPr>
            <w:tcW w:w="1323" w:type="pct"/>
            <w:shd w:val="clear" w:color="auto" w:fill="009D73"/>
            <w:vAlign w:val="center"/>
          </w:tcPr>
          <w:p w14:paraId="16A583B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Institution responsible for coordinating the implementation of the measure</w:t>
            </w:r>
          </w:p>
        </w:tc>
        <w:tc>
          <w:tcPr>
            <w:tcW w:w="3677" w:type="pct"/>
            <w:gridSpan w:val="3"/>
            <w:shd w:val="clear" w:color="auto" w:fill="FFFFFF"/>
            <w:vAlign w:val="center"/>
          </w:tcPr>
          <w:p w14:paraId="66BB91F8"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1DFB534B" w14:textId="77777777" w:rsidTr="00BC37DE">
        <w:trPr>
          <w:trHeight w:val="567"/>
          <w:jc w:val="center"/>
        </w:trPr>
        <w:tc>
          <w:tcPr>
            <w:tcW w:w="1323" w:type="pct"/>
            <w:shd w:val="clear" w:color="auto" w:fill="009D73"/>
            <w:vAlign w:val="center"/>
          </w:tcPr>
          <w:p w14:paraId="3F4722A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Holders of the measure</w:t>
            </w:r>
          </w:p>
        </w:tc>
        <w:tc>
          <w:tcPr>
            <w:tcW w:w="3677" w:type="pct"/>
            <w:gridSpan w:val="3"/>
            <w:shd w:val="clear" w:color="auto" w:fill="FFFFFF"/>
            <w:vAlign w:val="center"/>
          </w:tcPr>
          <w:p w14:paraId="2708F713" w14:textId="106368CF"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FMET, professional institution for the nature conservation of the </w:t>
            </w:r>
            <w:r w:rsidR="004E2402" w:rsidRPr="007C4D65">
              <w:rPr>
                <w:rFonts w:asciiTheme="minorHAnsi" w:eastAsiaTheme="minorHAnsi" w:hAnsiTheme="minorHAnsi" w:cstheme="minorHAnsi"/>
                <w:sz w:val="18"/>
                <w:szCs w:val="18"/>
                <w:lang w:eastAsia="en-US" w:bidi="en-US"/>
              </w:rPr>
              <w:t>Federation of BiH</w:t>
            </w:r>
            <w:r w:rsidRPr="007C4D65">
              <w:rPr>
                <w:rFonts w:asciiTheme="minorHAnsi" w:eastAsiaTheme="minorHAnsi" w:hAnsiTheme="minorHAnsi" w:cstheme="minorHAnsi"/>
                <w:sz w:val="18"/>
                <w:szCs w:val="18"/>
                <w:lang w:eastAsia="en-US" w:bidi="en-US"/>
              </w:rPr>
              <w:t xml:space="preserve">, Federation and </w:t>
            </w:r>
            <w:r w:rsidR="004E2402"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sectoral ministries and agencies</w:t>
            </w:r>
          </w:p>
        </w:tc>
      </w:tr>
      <w:tr w:rsidR="00005022" w:rsidRPr="007C4D65" w14:paraId="293238BC" w14:textId="77777777" w:rsidTr="00BC37DE">
        <w:trPr>
          <w:trHeight w:val="567"/>
          <w:jc w:val="center"/>
        </w:trPr>
        <w:tc>
          <w:tcPr>
            <w:tcW w:w="1323" w:type="pct"/>
            <w:shd w:val="clear" w:color="auto" w:fill="009D73"/>
            <w:vAlign w:val="center"/>
          </w:tcPr>
          <w:p w14:paraId="4DB73159" w14:textId="54EE68CB"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77" w:type="pct"/>
            <w:gridSpan w:val="3"/>
            <w:shd w:val="clear" w:color="auto" w:fill="FFFFFF"/>
            <w:vAlign w:val="center"/>
          </w:tcPr>
          <w:p w14:paraId="07ECF9A7" w14:textId="0C26608D"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public, Federation and </w:t>
            </w:r>
            <w:r w:rsidR="00B82945"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sectoral ministries, local communities, non-governmental organizations</w:t>
            </w:r>
          </w:p>
        </w:tc>
      </w:tr>
    </w:tbl>
    <w:p w14:paraId="06B75F90" w14:textId="77777777" w:rsidR="00005022" w:rsidRPr="007C4D65" w:rsidRDefault="00005022" w:rsidP="00005022">
      <w:pPr>
        <w:spacing w:after="160" w:line="276" w:lineRule="auto"/>
        <w:rPr>
          <w:rFonts w:asciiTheme="minorHAnsi" w:eastAsiaTheme="minorHAnsi" w:hAnsiTheme="minorHAnsi" w:cstheme="minorHAnsi"/>
          <w:sz w:val="18"/>
          <w:szCs w:val="18"/>
          <w:lang w:eastAsia="en-US"/>
        </w:rPr>
      </w:pPr>
    </w:p>
    <w:tbl>
      <w:tblPr>
        <w:tblW w:w="4788"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0"/>
        <w:gridCol w:w="2965"/>
        <w:gridCol w:w="3427"/>
        <w:gridCol w:w="3425"/>
      </w:tblGrid>
      <w:tr w:rsidR="00005022" w:rsidRPr="007C4D65" w14:paraId="32D05E23" w14:textId="77777777" w:rsidTr="00BC37DE">
        <w:trPr>
          <w:trHeight w:val="567"/>
          <w:jc w:val="center"/>
        </w:trPr>
        <w:tc>
          <w:tcPr>
            <w:tcW w:w="1325" w:type="pct"/>
            <w:shd w:val="clear" w:color="auto" w:fill="009D73"/>
            <w:vAlign w:val="center"/>
          </w:tcPr>
          <w:p w14:paraId="43D9D3EE" w14:textId="7164271C"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75" w:type="pct"/>
            <w:gridSpan w:val="3"/>
            <w:shd w:val="clear" w:color="auto" w:fill="FFFFFF"/>
            <w:vAlign w:val="center"/>
          </w:tcPr>
          <w:p w14:paraId="16A42948" w14:textId="22D0EDB8"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3</w:t>
            </w:r>
            <w:r w:rsidR="00777D1C" w:rsidRPr="007C4D65">
              <w:rPr>
                <w:rFonts w:asciiTheme="minorHAnsi" w:eastAsia="Calibri" w:hAnsiTheme="minorHAnsi" w:cstheme="minorHAnsi"/>
                <w:b/>
                <w:bCs/>
                <w:sz w:val="18"/>
                <w:szCs w:val="18"/>
                <w:lang w:eastAsia="en-US"/>
              </w:rPr>
              <w:t xml:space="preserve">. </w:t>
            </w:r>
            <w:r w:rsidR="00203931" w:rsidRPr="007C4D65">
              <w:rPr>
                <w:rFonts w:asciiTheme="minorHAnsi" w:eastAsia="Calibri" w:hAnsiTheme="minorHAnsi" w:cstheme="minorHAnsi"/>
                <w:b/>
                <w:bCs/>
                <w:sz w:val="18"/>
                <w:szCs w:val="18"/>
                <w:lang w:eastAsia="en-US"/>
              </w:rPr>
              <w:t xml:space="preserve">Maintaining and improving biodiversity and protecting ecosystems </w:t>
            </w:r>
          </w:p>
        </w:tc>
      </w:tr>
      <w:tr w:rsidR="00005022" w:rsidRPr="007C4D65" w14:paraId="3EF0ECAC" w14:textId="77777777" w:rsidTr="00BC37DE">
        <w:trPr>
          <w:trHeight w:val="567"/>
          <w:jc w:val="center"/>
        </w:trPr>
        <w:tc>
          <w:tcPr>
            <w:tcW w:w="1325" w:type="pct"/>
            <w:shd w:val="clear" w:color="auto" w:fill="009D73"/>
            <w:vAlign w:val="center"/>
          </w:tcPr>
          <w:p w14:paraId="7EB83A4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75" w:type="pct"/>
            <w:gridSpan w:val="3"/>
            <w:shd w:val="clear" w:color="auto" w:fill="FFFFFF"/>
            <w:vAlign w:val="center"/>
          </w:tcPr>
          <w:p w14:paraId="7CA0C6A0" w14:textId="32A7918D" w:rsidR="00005022" w:rsidRPr="007C4D65" w:rsidRDefault="00005022" w:rsidP="00005022">
            <w:pPr>
              <w:spacing w:before="40" w:after="40" w:line="276" w:lineRule="auto"/>
              <w:rPr>
                <w:rFonts w:asciiTheme="minorHAnsi" w:hAnsiTheme="minorHAnsi" w:cstheme="minorHAnsi"/>
                <w:b/>
                <w:bCs/>
                <w:sz w:val="18"/>
                <w:szCs w:val="18"/>
                <w:lang w:eastAsia="zh-TW"/>
              </w:rPr>
            </w:pPr>
            <w:r w:rsidRPr="007C4D65">
              <w:rPr>
                <w:rFonts w:asciiTheme="minorHAnsi" w:hAnsiTheme="minorHAnsi" w:cstheme="minorHAnsi"/>
                <w:b/>
                <w:bCs/>
                <w:sz w:val="18"/>
                <w:szCs w:val="18"/>
                <w:lang w:eastAsia="zh-TW"/>
              </w:rPr>
              <w:t>3.</w:t>
            </w:r>
            <w:r w:rsidR="00777D1C" w:rsidRPr="007C4D65">
              <w:rPr>
                <w:rFonts w:asciiTheme="minorHAnsi" w:hAnsiTheme="minorHAnsi" w:cstheme="minorHAnsi"/>
                <w:b/>
                <w:bCs/>
                <w:sz w:val="18"/>
                <w:szCs w:val="18"/>
                <w:lang w:eastAsia="zh-TW"/>
              </w:rPr>
              <w:t>7</w:t>
            </w:r>
            <w:r w:rsidRPr="007C4D65">
              <w:rPr>
                <w:rFonts w:asciiTheme="minorHAnsi" w:hAnsiTheme="minorHAnsi" w:cstheme="minorHAnsi"/>
                <w:b/>
                <w:bCs/>
                <w:sz w:val="18"/>
                <w:szCs w:val="18"/>
                <w:lang w:eastAsia="zh-TW"/>
              </w:rPr>
              <w:t>. Improve cross-sectoral cooperation and political support in the FBiH for the integration of the biodiversity protection into sectoral policies and legislation</w:t>
            </w:r>
          </w:p>
        </w:tc>
      </w:tr>
      <w:tr w:rsidR="00005022" w:rsidRPr="007C4D65" w14:paraId="612FFAE4" w14:textId="77777777" w:rsidTr="00BC37DE">
        <w:trPr>
          <w:trHeight w:val="567"/>
          <w:jc w:val="center"/>
        </w:trPr>
        <w:tc>
          <w:tcPr>
            <w:tcW w:w="1325" w:type="pct"/>
            <w:shd w:val="clear" w:color="auto" w:fill="009D73"/>
            <w:vAlign w:val="center"/>
          </w:tcPr>
          <w:p w14:paraId="3BB468C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75" w:type="pct"/>
            <w:gridSpan w:val="3"/>
            <w:shd w:val="clear" w:color="auto" w:fill="FFFFFF"/>
            <w:vAlign w:val="center"/>
          </w:tcPr>
          <w:p w14:paraId="1323D85C" w14:textId="725F32EA" w:rsidR="00005022" w:rsidRPr="007C4D65" w:rsidRDefault="00005022" w:rsidP="00005022">
            <w:pPr>
              <w:spacing w:after="160" w:line="276" w:lineRule="auto"/>
              <w:rPr>
                <w:rFonts w:asciiTheme="minorHAnsi" w:eastAsia="Calibri" w:hAnsiTheme="minorHAnsi" w:cstheme="minorHAnsi"/>
                <w:b/>
                <w:bCs/>
                <w:sz w:val="18"/>
                <w:szCs w:val="18"/>
                <w:lang w:eastAsia="en-US"/>
              </w:rPr>
            </w:pPr>
            <w:bookmarkStart w:id="295" w:name="_Hlk94623582"/>
            <w:r w:rsidRPr="007C4D65">
              <w:rPr>
                <w:rFonts w:asciiTheme="minorHAnsi" w:eastAsia="Calibri" w:hAnsiTheme="minorHAnsi" w:cstheme="minorHAnsi"/>
                <w:b/>
                <w:bCs/>
                <w:sz w:val="18"/>
                <w:szCs w:val="18"/>
                <w:lang w:eastAsia="en-US"/>
              </w:rPr>
              <w:t>3.</w:t>
            </w:r>
            <w:r w:rsidR="00777D1C" w:rsidRPr="007C4D65">
              <w:rPr>
                <w:rFonts w:asciiTheme="minorHAnsi" w:eastAsia="Calibri" w:hAnsiTheme="minorHAnsi" w:cstheme="minorHAnsi"/>
                <w:b/>
                <w:bCs/>
                <w:sz w:val="18"/>
                <w:szCs w:val="18"/>
                <w:lang w:eastAsia="en-US"/>
              </w:rPr>
              <w:t>7</w:t>
            </w:r>
            <w:r w:rsidRPr="007C4D65">
              <w:rPr>
                <w:rFonts w:asciiTheme="minorHAnsi" w:eastAsia="Calibri" w:hAnsiTheme="minorHAnsi" w:cstheme="minorHAnsi"/>
                <w:b/>
                <w:bCs/>
                <w:sz w:val="18"/>
                <w:szCs w:val="18"/>
                <w:lang w:eastAsia="en-US"/>
              </w:rPr>
              <w:t xml:space="preserve">.2. </w:t>
            </w:r>
            <w:r w:rsidR="00777D1C" w:rsidRPr="007C4D65">
              <w:rPr>
                <w:rFonts w:asciiTheme="minorHAnsi" w:eastAsia="Calibri" w:hAnsiTheme="minorHAnsi" w:cstheme="minorHAnsi"/>
                <w:b/>
                <w:bCs/>
                <w:sz w:val="18"/>
                <w:szCs w:val="18"/>
                <w:lang w:eastAsia="en-US"/>
              </w:rPr>
              <w:t>I</w:t>
            </w:r>
            <w:r w:rsidRPr="007C4D65">
              <w:rPr>
                <w:rFonts w:asciiTheme="minorHAnsi" w:eastAsia="Calibri" w:hAnsiTheme="minorHAnsi" w:cstheme="minorHAnsi"/>
                <w:b/>
                <w:bCs/>
                <w:sz w:val="18"/>
                <w:szCs w:val="18"/>
                <w:lang w:eastAsia="en-US"/>
              </w:rPr>
              <w:t>ntegrate the protection and sustainable use of biodiversity into sectoral regulations</w:t>
            </w:r>
            <w:bookmarkEnd w:id="295"/>
          </w:p>
        </w:tc>
      </w:tr>
      <w:tr w:rsidR="00005022" w:rsidRPr="007C4D65" w14:paraId="1A76DF37" w14:textId="77777777" w:rsidTr="00BC37DE">
        <w:trPr>
          <w:trHeight w:val="567"/>
          <w:jc w:val="center"/>
        </w:trPr>
        <w:tc>
          <w:tcPr>
            <w:tcW w:w="1325" w:type="pct"/>
            <w:shd w:val="clear" w:color="auto" w:fill="009D73"/>
            <w:vAlign w:val="center"/>
          </w:tcPr>
          <w:p w14:paraId="08B8E2E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75" w:type="pct"/>
            <w:gridSpan w:val="3"/>
            <w:shd w:val="clear" w:color="auto" w:fill="FFFFFF"/>
            <w:vAlign w:val="center"/>
          </w:tcPr>
          <w:p w14:paraId="37E4BAB7" w14:textId="61D37DBC"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296" w:name="_Hlk94623908"/>
            <w:r w:rsidRPr="007C4D65">
              <w:rPr>
                <w:rFonts w:asciiTheme="minorHAnsi" w:eastAsia="Calibri" w:hAnsiTheme="minorHAnsi" w:cstheme="minorHAnsi"/>
                <w:sz w:val="18"/>
                <w:szCs w:val="18"/>
                <w:lang w:eastAsia="en-US"/>
              </w:rPr>
              <w:t xml:space="preserve">The aim of this measure is to integrate measures for the conservation and sustainable use of biodiversity into sectoral regulations. </w:t>
            </w:r>
            <w:proofErr w:type="gramStart"/>
            <w:r w:rsidRPr="007C4D65">
              <w:rPr>
                <w:rFonts w:asciiTheme="minorHAnsi" w:eastAsia="Calibri" w:hAnsiTheme="minorHAnsi" w:cstheme="minorHAnsi"/>
                <w:sz w:val="18"/>
                <w:szCs w:val="18"/>
                <w:lang w:eastAsia="en-US"/>
              </w:rPr>
              <w:t>In order to</w:t>
            </w:r>
            <w:proofErr w:type="gramEnd"/>
            <w:r w:rsidRPr="007C4D65">
              <w:rPr>
                <w:rFonts w:asciiTheme="minorHAnsi" w:eastAsia="Calibri" w:hAnsiTheme="minorHAnsi" w:cstheme="minorHAnsi"/>
                <w:sz w:val="18"/>
                <w:szCs w:val="18"/>
                <w:lang w:eastAsia="en-US"/>
              </w:rPr>
              <w:t xml:space="preserve"> ensure the long-term protection of biodiversity</w:t>
            </w:r>
            <w:r w:rsidR="00777D1C" w:rsidRPr="007C4D65">
              <w:rPr>
                <w:rFonts w:asciiTheme="minorHAnsi" w:eastAsia="Calibri" w:hAnsiTheme="minorHAnsi" w:cstheme="minorHAnsi"/>
                <w:sz w:val="18"/>
                <w:szCs w:val="18"/>
                <w:lang w:eastAsia="en-US"/>
              </w:rPr>
              <w:t xml:space="preserve">. </w:t>
            </w:r>
            <w:proofErr w:type="gramStart"/>
            <w:r w:rsidR="00777D1C" w:rsidRPr="007C4D65">
              <w:rPr>
                <w:rFonts w:asciiTheme="minorHAnsi" w:eastAsia="Calibri" w:hAnsiTheme="minorHAnsi" w:cstheme="minorHAnsi"/>
                <w:sz w:val="18"/>
                <w:szCs w:val="18"/>
                <w:lang w:eastAsia="en-US"/>
              </w:rPr>
              <w:t>In order to</w:t>
            </w:r>
            <w:proofErr w:type="gramEnd"/>
            <w:r w:rsidR="00777D1C" w:rsidRPr="007C4D65">
              <w:rPr>
                <w:rFonts w:asciiTheme="minorHAnsi" w:eastAsia="Calibri" w:hAnsiTheme="minorHAnsi" w:cstheme="minorHAnsi"/>
                <w:sz w:val="18"/>
                <w:szCs w:val="18"/>
                <w:lang w:eastAsia="en-US"/>
              </w:rPr>
              <w:t xml:space="preserve"> provide for a long-term protection,</w:t>
            </w:r>
            <w:r w:rsidRPr="007C4D65">
              <w:rPr>
                <w:rFonts w:asciiTheme="minorHAnsi" w:eastAsia="Calibri" w:hAnsiTheme="minorHAnsi" w:cstheme="minorHAnsi"/>
                <w:sz w:val="18"/>
                <w:szCs w:val="18"/>
                <w:lang w:eastAsia="en-US"/>
              </w:rPr>
              <w:t xml:space="preserve"> it is necessary to prepare, in accordance with the EU </w:t>
            </w:r>
            <w:r w:rsidRPr="007C4D65">
              <w:rPr>
                <w:rFonts w:asciiTheme="minorHAnsi" w:eastAsia="Calibri" w:hAnsiTheme="minorHAnsi" w:cstheme="minorHAnsi"/>
                <w:i/>
                <w:iCs/>
                <w:sz w:val="18"/>
                <w:szCs w:val="18"/>
                <w:lang w:eastAsia="en-US"/>
              </w:rPr>
              <w:t>acquis</w:t>
            </w:r>
            <w:r w:rsidRPr="007C4D65">
              <w:rPr>
                <w:rFonts w:asciiTheme="minorHAnsi" w:eastAsia="Calibri" w:hAnsiTheme="minorHAnsi" w:cstheme="minorHAnsi"/>
                <w:sz w:val="18"/>
                <w:szCs w:val="18"/>
                <w:lang w:eastAsia="en-US"/>
              </w:rPr>
              <w:t>, detailed guidelines for the successful integration of the biodiversity conservation into individual sectors.</w:t>
            </w:r>
          </w:p>
          <w:bookmarkEnd w:id="296"/>
          <w:p w14:paraId="5CDBC450" w14:textId="6725D56E"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971FDB" w:rsidRPr="007C4D65">
              <w:rPr>
                <w:rFonts w:asciiTheme="minorHAnsi" w:eastAsia="Calibri" w:hAnsiTheme="minorHAnsi" w:cstheme="minorHAnsi"/>
                <w:sz w:val="18"/>
                <w:szCs w:val="18"/>
                <w:lang w:eastAsia="en-US"/>
              </w:rPr>
              <w:t>eneral area of intervention include</w:t>
            </w:r>
            <w:r w:rsidR="00005022" w:rsidRPr="007C4D65">
              <w:rPr>
                <w:rFonts w:asciiTheme="minorHAnsi" w:eastAsia="Calibri" w:hAnsiTheme="minorHAnsi" w:cstheme="minorHAnsi"/>
                <w:sz w:val="18"/>
                <w:szCs w:val="18"/>
                <w:lang w:eastAsia="en-US"/>
              </w:rPr>
              <w:t>:</w:t>
            </w:r>
          </w:p>
          <w:p w14:paraId="760715FD" w14:textId="444D96AE"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hAnsiTheme="minorHAnsi" w:cstheme="minorHAnsi"/>
                <w:sz w:val="18"/>
                <w:szCs w:val="18"/>
                <w:lang w:eastAsia="en-US"/>
              </w:rPr>
              <w:t>Prepare guidelines for the integration of the preservation of ecosystem services (benefits of nature) through sectoral regulations in the F</w:t>
            </w:r>
            <w:r w:rsidR="00777D1C" w:rsidRPr="007C4D65">
              <w:rPr>
                <w:rFonts w:asciiTheme="minorHAnsi" w:hAnsiTheme="minorHAnsi" w:cstheme="minorHAnsi"/>
                <w:sz w:val="18"/>
                <w:szCs w:val="18"/>
                <w:lang w:eastAsia="en-US"/>
              </w:rPr>
              <w:t xml:space="preserve">ederation of </w:t>
            </w:r>
            <w:proofErr w:type="gramStart"/>
            <w:r w:rsidRPr="007C4D65">
              <w:rPr>
                <w:rFonts w:asciiTheme="minorHAnsi" w:hAnsiTheme="minorHAnsi" w:cstheme="minorHAnsi"/>
                <w:sz w:val="18"/>
                <w:szCs w:val="18"/>
                <w:lang w:eastAsia="en-US"/>
              </w:rPr>
              <w:t>BiH</w:t>
            </w:r>
            <w:r w:rsidR="00B30020" w:rsidRPr="007C4D65">
              <w:rPr>
                <w:rFonts w:asciiTheme="minorHAnsi" w:hAnsiTheme="minorHAnsi" w:cstheme="minorHAnsi"/>
                <w:sz w:val="18"/>
                <w:szCs w:val="18"/>
                <w:lang w:eastAsia="en-US"/>
              </w:rPr>
              <w:t>;</w:t>
            </w:r>
            <w:proofErr w:type="gramEnd"/>
          </w:p>
          <w:p w14:paraId="08E37E74" w14:textId="6F9A74CA"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Innovate sectoral regulations</w:t>
            </w:r>
            <w:r w:rsidR="00B30020" w:rsidRPr="007C4D65">
              <w:rPr>
                <w:rFonts w:asciiTheme="minorHAnsi" w:eastAsia="Calibri" w:hAnsiTheme="minorHAnsi" w:cstheme="minorHAnsi"/>
                <w:sz w:val="18"/>
                <w:szCs w:val="18"/>
                <w:lang w:eastAsia="en-US"/>
              </w:rPr>
              <w:t>.</w:t>
            </w:r>
          </w:p>
        </w:tc>
      </w:tr>
      <w:tr w:rsidR="00005022" w:rsidRPr="007C4D65" w14:paraId="3F9BFF6B" w14:textId="77777777" w:rsidTr="00BC37DE">
        <w:trPr>
          <w:trHeight w:val="567"/>
          <w:jc w:val="center"/>
        </w:trPr>
        <w:tc>
          <w:tcPr>
            <w:tcW w:w="1325" w:type="pct"/>
            <w:shd w:val="clear" w:color="auto" w:fill="009D73"/>
            <w:vAlign w:val="center"/>
          </w:tcPr>
          <w:p w14:paraId="5D5E07D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75" w:type="pct"/>
            <w:gridSpan w:val="3"/>
            <w:tcBorders>
              <w:bottom w:val="single" w:sz="4" w:space="0" w:color="A6A6A6"/>
            </w:tcBorders>
            <w:shd w:val="clear" w:color="auto" w:fill="FFFFFF" w:themeFill="background1"/>
            <w:vAlign w:val="center"/>
          </w:tcPr>
          <w:p w14:paraId="7B607CAD"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3B4B08F0" w14:textId="77777777" w:rsidTr="00BC37DE">
        <w:trPr>
          <w:trHeight w:val="567"/>
          <w:jc w:val="center"/>
        </w:trPr>
        <w:tc>
          <w:tcPr>
            <w:tcW w:w="1325" w:type="pct"/>
            <w:vMerge w:val="restart"/>
            <w:shd w:val="clear" w:color="auto" w:fill="009D73"/>
            <w:vAlign w:val="center"/>
          </w:tcPr>
          <w:p w14:paraId="5EA28E6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110" w:type="pct"/>
            <w:shd w:val="clear" w:color="auto" w:fill="009D73"/>
            <w:vAlign w:val="center"/>
          </w:tcPr>
          <w:p w14:paraId="1D3DD9CA"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68D8E216"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63665FAD"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69714916"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3" w:type="pct"/>
            <w:shd w:val="clear" w:color="auto" w:fill="009D73"/>
            <w:vAlign w:val="center"/>
          </w:tcPr>
          <w:p w14:paraId="3A0DB7A5"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257B2176" w14:textId="77777777" w:rsidTr="00BC37DE">
        <w:trPr>
          <w:trHeight w:val="567"/>
          <w:jc w:val="center"/>
        </w:trPr>
        <w:tc>
          <w:tcPr>
            <w:tcW w:w="1325" w:type="pct"/>
            <w:vMerge/>
            <w:shd w:val="clear" w:color="auto" w:fill="009D73"/>
            <w:vAlign w:val="center"/>
          </w:tcPr>
          <w:p w14:paraId="48A2AA6A"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110" w:type="pct"/>
            <w:shd w:val="clear" w:color="auto" w:fill="FFFFFF"/>
            <w:vAlign w:val="center"/>
          </w:tcPr>
          <w:p w14:paraId="23708C6F" w14:textId="6DAFA34D"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Degree of integration of biodiversity/nature conservation into sectoral </w:t>
            </w:r>
            <w:r w:rsidR="00777D1C" w:rsidRPr="007C4D65">
              <w:rPr>
                <w:rFonts w:asciiTheme="minorHAnsi" w:eastAsia="Calibri" w:hAnsiTheme="minorHAnsi" w:cstheme="minorHAnsi"/>
                <w:sz w:val="18"/>
                <w:szCs w:val="18"/>
                <w:lang w:eastAsia="x-none"/>
              </w:rPr>
              <w:t>legislation</w:t>
            </w:r>
          </w:p>
        </w:tc>
        <w:tc>
          <w:tcPr>
            <w:tcW w:w="1283" w:type="pct"/>
            <w:shd w:val="clear" w:color="auto" w:fill="FFFFFF"/>
            <w:vAlign w:val="center"/>
          </w:tcPr>
          <w:p w14:paraId="2FC855B1" w14:textId="12026580" w:rsidR="00005022" w:rsidRPr="007C4D65" w:rsidRDefault="00777D1C"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 b</w:t>
            </w:r>
            <w:r w:rsidR="00005022" w:rsidRPr="007C4D65">
              <w:rPr>
                <w:rFonts w:asciiTheme="minorHAnsi" w:eastAsiaTheme="minorHAnsi" w:hAnsiTheme="minorHAnsi" w:cstheme="minorHAnsi"/>
                <w:sz w:val="18"/>
                <w:szCs w:val="18"/>
                <w:lang w:eastAsia="en-US" w:bidi="en-US"/>
              </w:rPr>
              <w:t xml:space="preserve">iodiversity / nature conservation is not sufficiently integrated into sectoral </w:t>
            </w:r>
            <w:r w:rsidRPr="007C4D65">
              <w:rPr>
                <w:rFonts w:asciiTheme="minorHAnsi" w:eastAsiaTheme="minorHAnsi" w:hAnsiTheme="minorHAnsi" w:cstheme="minorHAnsi"/>
                <w:sz w:val="18"/>
                <w:szCs w:val="18"/>
                <w:lang w:eastAsia="en-US" w:bidi="en-US"/>
              </w:rPr>
              <w:t>legislation</w:t>
            </w:r>
          </w:p>
        </w:tc>
        <w:tc>
          <w:tcPr>
            <w:tcW w:w="1283" w:type="pct"/>
            <w:shd w:val="clear" w:color="auto" w:fill="FFFFFF"/>
            <w:vAlign w:val="center"/>
          </w:tcPr>
          <w:p w14:paraId="338C3933" w14:textId="27CAAE52"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Sectoral </w:t>
            </w:r>
            <w:r w:rsidR="00777D1C" w:rsidRPr="007C4D65">
              <w:rPr>
                <w:rFonts w:asciiTheme="minorHAnsi" w:eastAsia="Calibri" w:hAnsiTheme="minorHAnsi" w:cstheme="minorHAnsi"/>
                <w:sz w:val="18"/>
                <w:szCs w:val="18"/>
                <w:lang w:eastAsia="x-none"/>
              </w:rPr>
              <w:t>laws</w:t>
            </w:r>
            <w:r w:rsidRPr="007C4D65">
              <w:rPr>
                <w:rFonts w:asciiTheme="minorHAnsi" w:eastAsia="Calibri" w:hAnsiTheme="minorHAnsi" w:cstheme="minorHAnsi"/>
                <w:sz w:val="18"/>
                <w:szCs w:val="18"/>
                <w:lang w:eastAsia="x-none"/>
              </w:rPr>
              <w:t xml:space="preserve"> </w:t>
            </w:r>
            <w:r w:rsidR="00777D1C" w:rsidRPr="007C4D65">
              <w:rPr>
                <w:rFonts w:asciiTheme="minorHAnsi" w:eastAsia="Calibri" w:hAnsiTheme="minorHAnsi" w:cstheme="minorHAnsi"/>
                <w:sz w:val="18"/>
                <w:szCs w:val="18"/>
                <w:lang w:eastAsia="x-none"/>
              </w:rPr>
              <w:t>provide for a long-term conservation of</w:t>
            </w:r>
            <w:r w:rsidRPr="007C4D65">
              <w:rPr>
                <w:rFonts w:asciiTheme="minorHAnsi" w:eastAsia="Calibri" w:hAnsiTheme="minorHAnsi" w:cstheme="minorHAnsi"/>
                <w:sz w:val="18"/>
                <w:szCs w:val="18"/>
                <w:lang w:eastAsia="x-none"/>
              </w:rPr>
              <w:t xml:space="preserve"> the biodiversity/nature </w:t>
            </w:r>
            <w:r w:rsidR="00777D1C" w:rsidRPr="007C4D65">
              <w:rPr>
                <w:rFonts w:asciiTheme="minorHAnsi" w:eastAsia="Calibri" w:hAnsiTheme="minorHAnsi" w:cstheme="minorHAnsi"/>
                <w:sz w:val="18"/>
                <w:szCs w:val="18"/>
                <w:lang w:eastAsia="x-none"/>
              </w:rPr>
              <w:t>in the Federation of BiH</w:t>
            </w:r>
          </w:p>
        </w:tc>
      </w:tr>
      <w:tr w:rsidR="00005022" w:rsidRPr="007C4D65" w14:paraId="7BF1CC1F" w14:textId="77777777" w:rsidTr="00BC37DE">
        <w:trPr>
          <w:trHeight w:val="567"/>
          <w:jc w:val="center"/>
        </w:trPr>
        <w:tc>
          <w:tcPr>
            <w:tcW w:w="1325" w:type="pct"/>
            <w:shd w:val="clear" w:color="auto" w:fill="009D73"/>
            <w:vAlign w:val="center"/>
          </w:tcPr>
          <w:p w14:paraId="7FBF6DB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realization of priorities</w:t>
            </w:r>
          </w:p>
        </w:tc>
        <w:tc>
          <w:tcPr>
            <w:tcW w:w="3675" w:type="pct"/>
            <w:gridSpan w:val="3"/>
            <w:shd w:val="clear" w:color="auto" w:fill="FFFFFF"/>
            <w:vAlign w:val="center"/>
          </w:tcPr>
          <w:p w14:paraId="6DE16BCF" w14:textId="16BE32D6" w:rsidR="00005022" w:rsidRPr="007C4D65" w:rsidRDefault="00777D1C"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strategic management of biodiversity</w:t>
            </w:r>
          </w:p>
        </w:tc>
      </w:tr>
      <w:tr w:rsidR="00005022" w:rsidRPr="007C4D65" w14:paraId="12EFF1AE" w14:textId="77777777" w:rsidTr="00BC37DE">
        <w:trPr>
          <w:trHeight w:val="567"/>
          <w:jc w:val="center"/>
        </w:trPr>
        <w:tc>
          <w:tcPr>
            <w:tcW w:w="1325" w:type="pct"/>
            <w:shd w:val="clear" w:color="auto" w:fill="009D73"/>
            <w:vAlign w:val="center"/>
          </w:tcPr>
          <w:p w14:paraId="0630BF12" w14:textId="4FB50615"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Indicative financial projection, with specification of sources</w:t>
            </w:r>
          </w:p>
        </w:tc>
        <w:tc>
          <w:tcPr>
            <w:tcW w:w="3675" w:type="pct"/>
            <w:gridSpan w:val="3"/>
            <w:shd w:val="clear" w:color="auto" w:fill="FFFFFF"/>
            <w:vAlign w:val="center"/>
          </w:tcPr>
          <w:p w14:paraId="03143333" w14:textId="393E7F91" w:rsidR="00777D1C" w:rsidRPr="007C4D65" w:rsidRDefault="00777D1C" w:rsidP="00777D1C">
            <w:pPr>
              <w:spacing w:before="40" w:after="40" w:line="276" w:lineRule="auto"/>
              <w:rPr>
                <w:rFonts w:asciiTheme="minorHAnsi" w:hAnsiTheme="minorHAnsi" w:cstheme="minorHAnsi"/>
                <w:color w:val="000000" w:themeColor="text1"/>
                <w:sz w:val="18"/>
                <w:szCs w:val="18"/>
              </w:rPr>
            </w:pPr>
            <w:r w:rsidRPr="007C4D65">
              <w:rPr>
                <w:rFonts w:asciiTheme="minorHAnsi" w:hAnsiTheme="minorHAnsi" w:cstheme="minorHAnsi"/>
                <w:sz w:val="18"/>
                <w:szCs w:val="18"/>
                <w:lang w:bidi="en-US"/>
              </w:rPr>
              <w:t>Amount:</w:t>
            </w:r>
            <w:r w:rsidR="00C224E3" w:rsidRPr="007C4D65">
              <w:rPr>
                <w:rFonts w:asciiTheme="minorHAnsi" w:hAnsiTheme="minorHAnsi" w:cstheme="minorHAnsi"/>
                <w:sz w:val="18"/>
                <w:szCs w:val="18"/>
                <w:lang w:bidi="en-US"/>
              </w:rPr>
              <w:t xml:space="preserve"> </w:t>
            </w:r>
            <w:r w:rsidRPr="007C4D65">
              <w:rPr>
                <w:rFonts w:asciiTheme="minorHAnsi" w:hAnsiTheme="minorHAnsi" w:cstheme="minorHAnsi"/>
                <w:sz w:val="18"/>
                <w:szCs w:val="18"/>
                <w:lang w:bidi="en-US"/>
              </w:rPr>
              <w:t>BAM 49,972</w:t>
            </w:r>
          </w:p>
          <w:p w14:paraId="171EC81E" w14:textId="0BA5EFF0" w:rsidR="00005022" w:rsidRPr="007C4D65" w:rsidRDefault="00777D1C" w:rsidP="00777D1C">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100% </w:t>
            </w:r>
            <w:r w:rsidR="000E401F" w:rsidRPr="007C4D65">
              <w:rPr>
                <w:rFonts w:asciiTheme="minorHAnsi" w:hAnsiTheme="minorHAnsi" w:cstheme="minorHAnsi"/>
                <w:color w:val="000000" w:themeColor="text1"/>
                <w:sz w:val="18"/>
                <w:szCs w:val="18"/>
              </w:rPr>
              <w:t>government budget</w:t>
            </w:r>
            <w:r w:rsidR="00D2113B" w:rsidRPr="007C4D65">
              <w:rPr>
                <w:rFonts w:asciiTheme="minorHAnsi" w:hAnsiTheme="minorHAnsi" w:cstheme="minorHAnsi"/>
                <w:color w:val="000000" w:themeColor="text1"/>
                <w:sz w:val="18"/>
                <w:szCs w:val="18"/>
              </w:rPr>
              <w:t xml:space="preserve"> </w:t>
            </w:r>
          </w:p>
        </w:tc>
      </w:tr>
      <w:tr w:rsidR="00005022" w:rsidRPr="007C4D65" w14:paraId="164CEE8A" w14:textId="77777777" w:rsidTr="00BC37DE">
        <w:trPr>
          <w:trHeight w:val="567"/>
          <w:jc w:val="center"/>
        </w:trPr>
        <w:tc>
          <w:tcPr>
            <w:tcW w:w="1325" w:type="pct"/>
            <w:shd w:val="clear" w:color="auto" w:fill="009D73"/>
            <w:vAlign w:val="center"/>
          </w:tcPr>
          <w:p w14:paraId="1A175E5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75" w:type="pct"/>
            <w:gridSpan w:val="3"/>
            <w:shd w:val="clear" w:color="auto" w:fill="FFFFFF"/>
            <w:vAlign w:val="center"/>
          </w:tcPr>
          <w:p w14:paraId="0D8A8640"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2024 - 2030</w:t>
            </w:r>
          </w:p>
        </w:tc>
      </w:tr>
      <w:tr w:rsidR="00005022" w:rsidRPr="007C4D65" w14:paraId="60C2CBA8" w14:textId="77777777" w:rsidTr="00BC37DE">
        <w:trPr>
          <w:trHeight w:val="567"/>
          <w:jc w:val="center"/>
        </w:trPr>
        <w:tc>
          <w:tcPr>
            <w:tcW w:w="1325" w:type="pct"/>
            <w:shd w:val="clear" w:color="auto" w:fill="009D73"/>
            <w:vAlign w:val="center"/>
          </w:tcPr>
          <w:p w14:paraId="2067DAD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75" w:type="pct"/>
            <w:gridSpan w:val="3"/>
            <w:shd w:val="clear" w:color="auto" w:fill="FFFFFF"/>
            <w:vAlign w:val="center"/>
          </w:tcPr>
          <w:p w14:paraId="4B42E7C8"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710A5D67" w14:textId="77777777" w:rsidTr="00BC37DE">
        <w:trPr>
          <w:trHeight w:val="567"/>
          <w:jc w:val="center"/>
        </w:trPr>
        <w:tc>
          <w:tcPr>
            <w:tcW w:w="1325" w:type="pct"/>
            <w:shd w:val="clear" w:color="auto" w:fill="009D73"/>
            <w:vAlign w:val="center"/>
          </w:tcPr>
          <w:p w14:paraId="2C0BCA5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Implementing institutions</w:t>
            </w:r>
          </w:p>
        </w:tc>
        <w:tc>
          <w:tcPr>
            <w:tcW w:w="3675" w:type="pct"/>
            <w:gridSpan w:val="3"/>
            <w:shd w:val="clear" w:color="auto" w:fill="FFFFFF"/>
            <w:vAlign w:val="center"/>
          </w:tcPr>
          <w:p w14:paraId="5B5F45EC" w14:textId="3BFCF031"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professional institution for the nature conservation of the F</w:t>
            </w:r>
            <w:r w:rsidR="00D2113B" w:rsidRPr="007C4D65">
              <w:rPr>
                <w:rFonts w:asciiTheme="minorHAnsi" w:eastAsiaTheme="minorHAnsi" w:hAnsiTheme="minorHAnsi" w:cstheme="minorHAnsi"/>
                <w:sz w:val="18"/>
                <w:szCs w:val="18"/>
                <w:lang w:eastAsia="en-US" w:bidi="en-US"/>
              </w:rPr>
              <w:t xml:space="preserve">ederation of </w:t>
            </w:r>
            <w:r w:rsidRPr="007C4D65">
              <w:rPr>
                <w:rFonts w:asciiTheme="minorHAnsi" w:eastAsiaTheme="minorHAnsi" w:hAnsiTheme="minorHAnsi" w:cstheme="minorHAnsi"/>
                <w:sz w:val="18"/>
                <w:szCs w:val="18"/>
                <w:lang w:eastAsia="en-US" w:bidi="en-US"/>
              </w:rPr>
              <w:t xml:space="preserve">BiH, Federation and </w:t>
            </w:r>
            <w:r w:rsidR="00D2113B"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sectoral ministries and agencies</w:t>
            </w:r>
          </w:p>
        </w:tc>
      </w:tr>
      <w:tr w:rsidR="00005022" w:rsidRPr="007C4D65" w14:paraId="5E1B96D7" w14:textId="77777777" w:rsidTr="00BC37DE">
        <w:trPr>
          <w:trHeight w:val="567"/>
          <w:jc w:val="center"/>
        </w:trPr>
        <w:tc>
          <w:tcPr>
            <w:tcW w:w="1325" w:type="pct"/>
            <w:shd w:val="clear" w:color="auto" w:fill="009D73"/>
            <w:vAlign w:val="center"/>
          </w:tcPr>
          <w:p w14:paraId="35AE1D1F" w14:textId="31C5F182"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75" w:type="pct"/>
            <w:gridSpan w:val="3"/>
            <w:shd w:val="clear" w:color="auto" w:fill="FFFFFF"/>
            <w:vAlign w:val="center"/>
          </w:tcPr>
          <w:p w14:paraId="73A00CE5" w14:textId="3144AEC9"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public, Federation and </w:t>
            </w:r>
            <w:r w:rsidR="00D2113B"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sectoral ministries, local communities, non-governmental organizations</w:t>
            </w:r>
          </w:p>
        </w:tc>
      </w:tr>
    </w:tbl>
    <w:p w14:paraId="63769470" w14:textId="77777777" w:rsidR="00005022" w:rsidRPr="007C4D65" w:rsidRDefault="00005022" w:rsidP="00005022">
      <w:pPr>
        <w:spacing w:after="160"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38"/>
        <w:gridCol w:w="2956"/>
        <w:gridCol w:w="3426"/>
        <w:gridCol w:w="3431"/>
      </w:tblGrid>
      <w:tr w:rsidR="00005022" w:rsidRPr="007C4D65" w14:paraId="2A4BE77F" w14:textId="77777777" w:rsidTr="00BC37DE">
        <w:trPr>
          <w:trHeight w:val="567"/>
          <w:jc w:val="center"/>
        </w:trPr>
        <w:tc>
          <w:tcPr>
            <w:tcW w:w="1325" w:type="pct"/>
            <w:shd w:val="clear" w:color="auto" w:fill="009D73"/>
            <w:vAlign w:val="center"/>
          </w:tcPr>
          <w:p w14:paraId="572980D3" w14:textId="0E456849"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75" w:type="pct"/>
            <w:gridSpan w:val="3"/>
            <w:shd w:val="clear" w:color="auto" w:fill="FFFFFF"/>
            <w:vAlign w:val="center"/>
          </w:tcPr>
          <w:p w14:paraId="6E400D52" w14:textId="0EFCAB1B"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3</w:t>
            </w:r>
            <w:r w:rsidR="00D2113B" w:rsidRPr="007C4D65">
              <w:rPr>
                <w:rFonts w:asciiTheme="minorHAnsi" w:eastAsia="Calibri" w:hAnsiTheme="minorHAnsi" w:cstheme="minorHAnsi"/>
                <w:b/>
                <w:bCs/>
                <w:sz w:val="18"/>
                <w:szCs w:val="18"/>
                <w:lang w:eastAsia="en-US"/>
              </w:rPr>
              <w:t xml:space="preserve">. </w:t>
            </w:r>
            <w:r w:rsidR="00203931" w:rsidRPr="007C4D65">
              <w:rPr>
                <w:rFonts w:asciiTheme="minorHAnsi" w:eastAsia="Calibri" w:hAnsiTheme="minorHAnsi" w:cstheme="minorHAnsi"/>
                <w:b/>
                <w:bCs/>
                <w:sz w:val="18"/>
                <w:szCs w:val="18"/>
                <w:lang w:eastAsia="en-US"/>
              </w:rPr>
              <w:t xml:space="preserve">Maintaining and improving biodiversity and protecting ecosystems </w:t>
            </w:r>
          </w:p>
        </w:tc>
      </w:tr>
      <w:tr w:rsidR="00005022" w:rsidRPr="007C4D65" w14:paraId="30F2C026" w14:textId="77777777" w:rsidTr="00BC37DE">
        <w:trPr>
          <w:trHeight w:val="567"/>
          <w:jc w:val="center"/>
        </w:trPr>
        <w:tc>
          <w:tcPr>
            <w:tcW w:w="1325" w:type="pct"/>
            <w:shd w:val="clear" w:color="auto" w:fill="009D73"/>
            <w:vAlign w:val="center"/>
          </w:tcPr>
          <w:p w14:paraId="3CFCAB6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bookmarkStart w:id="297" w:name="_Hlk94628332"/>
            <w:r w:rsidRPr="007C4D65">
              <w:rPr>
                <w:rFonts w:asciiTheme="minorHAnsi" w:eastAsiaTheme="minorHAnsi" w:hAnsiTheme="minorHAnsi" w:cstheme="minorHAnsi"/>
                <w:b/>
                <w:bCs/>
                <w:color w:val="FFFFFF" w:themeColor="background1"/>
                <w:sz w:val="18"/>
                <w:szCs w:val="18"/>
                <w:lang w:eastAsia="en-US" w:bidi="en-US"/>
              </w:rPr>
              <w:t>Priority</w:t>
            </w:r>
          </w:p>
        </w:tc>
        <w:tc>
          <w:tcPr>
            <w:tcW w:w="3675" w:type="pct"/>
            <w:gridSpan w:val="3"/>
            <w:shd w:val="clear" w:color="auto" w:fill="FFFFFF"/>
            <w:vAlign w:val="center"/>
          </w:tcPr>
          <w:p w14:paraId="44489E6E" w14:textId="06C7C7B2" w:rsidR="00005022" w:rsidRPr="007C4D65" w:rsidRDefault="00005022" w:rsidP="00005022">
            <w:pPr>
              <w:spacing w:before="40" w:after="40" w:line="276" w:lineRule="auto"/>
              <w:rPr>
                <w:rFonts w:asciiTheme="minorHAnsi" w:hAnsiTheme="minorHAnsi" w:cstheme="minorHAnsi"/>
                <w:b/>
                <w:bCs/>
                <w:sz w:val="18"/>
                <w:szCs w:val="18"/>
                <w:lang w:eastAsia="zh-TW"/>
              </w:rPr>
            </w:pPr>
            <w:r w:rsidRPr="007C4D65">
              <w:rPr>
                <w:rFonts w:asciiTheme="minorHAnsi" w:hAnsiTheme="minorHAnsi" w:cstheme="minorHAnsi"/>
                <w:b/>
                <w:bCs/>
                <w:sz w:val="18"/>
                <w:szCs w:val="18"/>
                <w:lang w:eastAsia="zh-TW"/>
              </w:rPr>
              <w:t>3.</w:t>
            </w:r>
            <w:r w:rsidR="00D2113B" w:rsidRPr="007C4D65">
              <w:rPr>
                <w:rFonts w:asciiTheme="minorHAnsi" w:hAnsiTheme="minorHAnsi" w:cstheme="minorHAnsi"/>
                <w:b/>
                <w:bCs/>
                <w:sz w:val="18"/>
                <w:szCs w:val="18"/>
                <w:lang w:eastAsia="zh-TW"/>
              </w:rPr>
              <w:t>8</w:t>
            </w:r>
            <w:r w:rsidRPr="007C4D65">
              <w:rPr>
                <w:rFonts w:asciiTheme="minorHAnsi" w:hAnsiTheme="minorHAnsi" w:cstheme="minorHAnsi"/>
                <w:b/>
                <w:bCs/>
                <w:sz w:val="18"/>
                <w:szCs w:val="18"/>
                <w:lang w:eastAsia="zh-TW"/>
              </w:rPr>
              <w:t xml:space="preserve">. </w:t>
            </w:r>
            <w:r w:rsidR="00D2113B" w:rsidRPr="007C4D65">
              <w:rPr>
                <w:rFonts w:asciiTheme="minorHAnsi" w:hAnsiTheme="minorHAnsi" w:cstheme="minorHAnsi"/>
                <w:b/>
                <w:bCs/>
                <w:sz w:val="18"/>
                <w:szCs w:val="18"/>
                <w:lang w:eastAsia="zh-TW"/>
              </w:rPr>
              <w:t xml:space="preserve">Enhance science-based </w:t>
            </w:r>
            <w:r w:rsidR="009F16BA" w:rsidRPr="007C4D65">
              <w:rPr>
                <w:rFonts w:asciiTheme="minorHAnsi" w:hAnsiTheme="minorHAnsi" w:cstheme="minorHAnsi"/>
                <w:b/>
                <w:bCs/>
                <w:sz w:val="18"/>
                <w:szCs w:val="18"/>
                <w:lang w:eastAsia="zh-TW"/>
              </w:rPr>
              <w:t xml:space="preserve">decision-making  </w:t>
            </w:r>
            <w:r w:rsidRPr="007C4D65">
              <w:rPr>
                <w:rFonts w:asciiTheme="minorHAnsi" w:hAnsiTheme="minorHAnsi" w:cstheme="minorHAnsi"/>
                <w:b/>
                <w:bCs/>
                <w:sz w:val="18"/>
                <w:szCs w:val="18"/>
                <w:lang w:eastAsia="zh-TW"/>
              </w:rPr>
              <w:t xml:space="preserve"> on biodiversity</w:t>
            </w:r>
            <w:r w:rsidR="00D2113B" w:rsidRPr="007C4D65">
              <w:rPr>
                <w:rFonts w:asciiTheme="minorHAnsi" w:hAnsiTheme="minorHAnsi" w:cstheme="minorHAnsi"/>
                <w:b/>
                <w:bCs/>
                <w:sz w:val="18"/>
                <w:szCs w:val="18"/>
                <w:lang w:eastAsia="zh-TW"/>
              </w:rPr>
              <w:t>/nature through a dialog of the scientific community and decision makers</w:t>
            </w:r>
          </w:p>
        </w:tc>
      </w:tr>
      <w:bookmarkEnd w:id="297"/>
      <w:tr w:rsidR="00005022" w:rsidRPr="007C4D65" w14:paraId="12E43A71" w14:textId="77777777" w:rsidTr="00BC37DE">
        <w:trPr>
          <w:trHeight w:val="567"/>
          <w:jc w:val="center"/>
        </w:trPr>
        <w:tc>
          <w:tcPr>
            <w:tcW w:w="1325" w:type="pct"/>
            <w:shd w:val="clear" w:color="auto" w:fill="009D73"/>
            <w:vAlign w:val="center"/>
          </w:tcPr>
          <w:p w14:paraId="6BC231A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75" w:type="pct"/>
            <w:gridSpan w:val="3"/>
            <w:shd w:val="clear" w:color="auto" w:fill="FFFFFF"/>
            <w:vAlign w:val="center"/>
          </w:tcPr>
          <w:p w14:paraId="13F7577E" w14:textId="1FE73584" w:rsidR="00005022" w:rsidRPr="007C4D65" w:rsidRDefault="00005022" w:rsidP="00005022">
            <w:pPr>
              <w:spacing w:after="160" w:line="276" w:lineRule="auto"/>
              <w:rPr>
                <w:rFonts w:asciiTheme="minorHAnsi" w:eastAsia="Calibri" w:hAnsiTheme="minorHAnsi" w:cstheme="minorHAnsi"/>
                <w:b/>
                <w:bCs/>
                <w:sz w:val="18"/>
                <w:szCs w:val="18"/>
                <w:lang w:eastAsia="en-US"/>
              </w:rPr>
            </w:pPr>
            <w:bookmarkStart w:id="298" w:name="_Hlk94628447"/>
            <w:r w:rsidRPr="007C4D65">
              <w:rPr>
                <w:rFonts w:asciiTheme="minorHAnsi" w:eastAsia="Calibri" w:hAnsiTheme="minorHAnsi" w:cstheme="minorHAnsi"/>
                <w:b/>
                <w:bCs/>
                <w:sz w:val="18"/>
                <w:szCs w:val="18"/>
                <w:lang w:eastAsia="en-US"/>
              </w:rPr>
              <w:t>3.</w:t>
            </w:r>
            <w:r w:rsidR="00D2113B" w:rsidRPr="007C4D65">
              <w:rPr>
                <w:rFonts w:asciiTheme="minorHAnsi" w:eastAsia="Calibri" w:hAnsiTheme="minorHAnsi" w:cstheme="minorHAnsi"/>
                <w:b/>
                <w:bCs/>
                <w:sz w:val="18"/>
                <w:szCs w:val="18"/>
                <w:lang w:eastAsia="en-US"/>
              </w:rPr>
              <w:t>8</w:t>
            </w:r>
            <w:r w:rsidRPr="007C4D65">
              <w:rPr>
                <w:rFonts w:asciiTheme="minorHAnsi" w:eastAsia="Calibri" w:hAnsiTheme="minorHAnsi" w:cstheme="minorHAnsi"/>
                <w:b/>
                <w:bCs/>
                <w:sz w:val="18"/>
                <w:szCs w:val="18"/>
                <w:lang w:eastAsia="en-US"/>
              </w:rPr>
              <w:t xml:space="preserve">.1. Use conclusions, messages, scenarios of multidisciplinary analyses and </w:t>
            </w:r>
            <w:r w:rsidR="00D2113B" w:rsidRPr="007C4D65">
              <w:rPr>
                <w:rFonts w:asciiTheme="minorHAnsi" w:eastAsia="Calibri" w:hAnsiTheme="minorHAnsi" w:cstheme="minorHAnsi"/>
                <w:b/>
                <w:bCs/>
                <w:sz w:val="18"/>
                <w:szCs w:val="18"/>
                <w:lang w:eastAsia="en-US"/>
              </w:rPr>
              <w:t>up-to-date</w:t>
            </w:r>
            <w:r w:rsidRPr="007C4D65">
              <w:rPr>
                <w:rFonts w:asciiTheme="minorHAnsi" w:eastAsia="Calibri" w:hAnsiTheme="minorHAnsi" w:cstheme="minorHAnsi"/>
                <w:b/>
                <w:bCs/>
                <w:sz w:val="18"/>
                <w:szCs w:val="18"/>
                <w:lang w:eastAsia="en-US"/>
              </w:rPr>
              <w:t xml:space="preserve"> scientific data in making decisions that affect the state of biodiversity/nature of the F</w:t>
            </w:r>
            <w:r w:rsidR="00D2113B" w:rsidRPr="007C4D65">
              <w:rPr>
                <w:rFonts w:asciiTheme="minorHAnsi" w:eastAsia="Calibri" w:hAnsiTheme="minorHAnsi" w:cstheme="minorHAnsi"/>
                <w:b/>
                <w:bCs/>
                <w:sz w:val="18"/>
                <w:szCs w:val="18"/>
                <w:lang w:eastAsia="en-US"/>
              </w:rPr>
              <w:t xml:space="preserve">ederation of </w:t>
            </w:r>
            <w:r w:rsidRPr="007C4D65">
              <w:rPr>
                <w:rFonts w:asciiTheme="minorHAnsi" w:eastAsia="Calibri" w:hAnsiTheme="minorHAnsi" w:cstheme="minorHAnsi"/>
                <w:b/>
                <w:bCs/>
                <w:sz w:val="18"/>
                <w:szCs w:val="18"/>
                <w:lang w:eastAsia="en-US"/>
              </w:rPr>
              <w:t>BiH</w:t>
            </w:r>
            <w:bookmarkEnd w:id="298"/>
          </w:p>
        </w:tc>
      </w:tr>
      <w:tr w:rsidR="00005022" w:rsidRPr="007C4D65" w14:paraId="6FDF2B9A" w14:textId="77777777" w:rsidTr="00BC37DE">
        <w:trPr>
          <w:trHeight w:val="567"/>
          <w:jc w:val="center"/>
        </w:trPr>
        <w:tc>
          <w:tcPr>
            <w:tcW w:w="1325" w:type="pct"/>
            <w:shd w:val="clear" w:color="auto" w:fill="009D73"/>
            <w:vAlign w:val="center"/>
          </w:tcPr>
          <w:p w14:paraId="58A2C75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75" w:type="pct"/>
            <w:gridSpan w:val="3"/>
            <w:shd w:val="clear" w:color="auto" w:fill="FFFFFF"/>
            <w:vAlign w:val="center"/>
          </w:tcPr>
          <w:p w14:paraId="77C5F040" w14:textId="168FF8DF"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to expand the practice of applying scientific analysis </w:t>
            </w:r>
            <w:r w:rsidR="00D2113B" w:rsidRPr="007C4D65">
              <w:rPr>
                <w:rFonts w:asciiTheme="minorHAnsi" w:eastAsia="Calibri" w:hAnsiTheme="minorHAnsi" w:cstheme="minorHAnsi"/>
                <w:sz w:val="18"/>
                <w:szCs w:val="18"/>
                <w:lang w:eastAsia="en-US"/>
              </w:rPr>
              <w:t>to make decisions that</w:t>
            </w:r>
            <w:r w:rsidRPr="007C4D65">
              <w:rPr>
                <w:rFonts w:asciiTheme="minorHAnsi" w:eastAsia="Calibri" w:hAnsiTheme="minorHAnsi" w:cstheme="minorHAnsi"/>
                <w:sz w:val="18"/>
                <w:szCs w:val="18"/>
                <w:lang w:eastAsia="en-US"/>
              </w:rPr>
              <w:t xml:space="preserve"> affect the state of biodiversity. </w:t>
            </w:r>
            <w:proofErr w:type="gramStart"/>
            <w:r w:rsidRPr="007C4D65">
              <w:rPr>
                <w:rFonts w:asciiTheme="minorHAnsi" w:eastAsia="Calibri" w:hAnsiTheme="minorHAnsi" w:cstheme="minorHAnsi"/>
                <w:sz w:val="18"/>
                <w:szCs w:val="18"/>
                <w:lang w:eastAsia="en-US"/>
              </w:rPr>
              <w:t>In order to</w:t>
            </w:r>
            <w:proofErr w:type="gramEnd"/>
            <w:r w:rsidRPr="007C4D65">
              <w:rPr>
                <w:rFonts w:asciiTheme="minorHAnsi" w:eastAsia="Calibri" w:hAnsiTheme="minorHAnsi" w:cstheme="minorHAnsi"/>
                <w:sz w:val="18"/>
                <w:szCs w:val="18"/>
                <w:lang w:eastAsia="en-US"/>
              </w:rPr>
              <w:t xml:space="preserve"> establish this practice, an assessment of scientific knowledge on the state and management of nature is currently being prepared, which will include an analysis of </w:t>
            </w:r>
            <w:r w:rsidR="00D2113B" w:rsidRPr="007C4D65">
              <w:rPr>
                <w:rFonts w:asciiTheme="minorHAnsi" w:eastAsia="Calibri" w:hAnsiTheme="minorHAnsi" w:cstheme="minorHAnsi"/>
                <w:sz w:val="18"/>
                <w:szCs w:val="18"/>
                <w:lang w:eastAsia="en-US"/>
              </w:rPr>
              <w:t>available</w:t>
            </w:r>
            <w:r w:rsidRPr="007C4D65">
              <w:rPr>
                <w:rFonts w:asciiTheme="minorHAnsi" w:eastAsia="Calibri" w:hAnsiTheme="minorHAnsi" w:cstheme="minorHAnsi"/>
                <w:sz w:val="18"/>
                <w:szCs w:val="18"/>
                <w:lang w:eastAsia="en-US"/>
              </w:rPr>
              <w:t xml:space="preserve"> scientific results on biodiversity in BiH. The analysis will contain easy-to-understand conclusions, messages and scenarios </w:t>
            </w:r>
            <w:r w:rsidR="00D2113B" w:rsidRPr="007C4D65">
              <w:rPr>
                <w:rFonts w:asciiTheme="minorHAnsi" w:eastAsia="Calibri" w:hAnsiTheme="minorHAnsi" w:cstheme="minorHAnsi"/>
                <w:sz w:val="18"/>
                <w:szCs w:val="18"/>
                <w:lang w:eastAsia="en-US"/>
              </w:rPr>
              <w:t>on</w:t>
            </w:r>
            <w:r w:rsidRPr="007C4D65">
              <w:rPr>
                <w:rFonts w:asciiTheme="minorHAnsi" w:eastAsia="Calibri" w:hAnsiTheme="minorHAnsi" w:cstheme="minorHAnsi"/>
                <w:sz w:val="18"/>
                <w:szCs w:val="18"/>
                <w:lang w:eastAsia="en-US"/>
              </w:rPr>
              <w:t xml:space="preserve"> biodiversity that should serve as the basis for </w:t>
            </w:r>
            <w:r w:rsidR="00D2113B" w:rsidRPr="007C4D65">
              <w:rPr>
                <w:rFonts w:asciiTheme="minorHAnsi" w:eastAsia="Calibri" w:hAnsiTheme="minorHAnsi" w:cstheme="minorHAnsi"/>
                <w:sz w:val="18"/>
                <w:szCs w:val="18"/>
                <w:lang w:eastAsia="en-US"/>
              </w:rPr>
              <w:t>an</w:t>
            </w:r>
            <w:r w:rsidRPr="007C4D65">
              <w:rPr>
                <w:rFonts w:asciiTheme="minorHAnsi" w:eastAsia="Calibri" w:hAnsiTheme="minorHAnsi" w:cstheme="minorHAnsi"/>
                <w:sz w:val="18"/>
                <w:szCs w:val="18"/>
                <w:lang w:eastAsia="en-US"/>
              </w:rPr>
              <w:t xml:space="preserve"> informed </w:t>
            </w:r>
            <w:r w:rsidR="009F16BA" w:rsidRPr="007C4D65">
              <w:rPr>
                <w:rFonts w:asciiTheme="minorHAnsi" w:eastAsia="Calibri" w:hAnsiTheme="minorHAnsi" w:cstheme="minorHAnsi"/>
                <w:sz w:val="18"/>
                <w:szCs w:val="18"/>
                <w:lang w:eastAsia="en-US"/>
              </w:rPr>
              <w:t>decision-making</w:t>
            </w:r>
            <w:r w:rsidRPr="007C4D65">
              <w:rPr>
                <w:rFonts w:asciiTheme="minorHAnsi" w:eastAsia="Calibri" w:hAnsiTheme="minorHAnsi" w:cstheme="minorHAnsi"/>
                <w:sz w:val="18"/>
                <w:szCs w:val="18"/>
                <w:lang w:eastAsia="en-US"/>
              </w:rPr>
              <w:t>.</w:t>
            </w:r>
          </w:p>
          <w:p w14:paraId="7F9EC86C" w14:textId="78BDB13F"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General </w:t>
            </w:r>
            <w:r w:rsidR="0076407C" w:rsidRPr="007C4D65">
              <w:rPr>
                <w:rFonts w:asciiTheme="minorHAnsi" w:eastAsia="Calibri" w:hAnsiTheme="minorHAnsi" w:cstheme="minorHAnsi"/>
                <w:sz w:val="18"/>
                <w:szCs w:val="18"/>
                <w:lang w:eastAsia="en-US"/>
              </w:rPr>
              <w:t>areas of intervention</w:t>
            </w:r>
            <w:r w:rsidRPr="007C4D65">
              <w:rPr>
                <w:rFonts w:asciiTheme="minorHAnsi" w:eastAsia="Calibri" w:hAnsiTheme="minorHAnsi" w:cstheme="minorHAnsi"/>
                <w:sz w:val="18"/>
                <w:szCs w:val="18"/>
                <w:lang w:eastAsia="en-US"/>
              </w:rPr>
              <w:t xml:space="preserve"> include:</w:t>
            </w:r>
          </w:p>
          <w:p w14:paraId="097BDD23" w14:textId="2C4B3537"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Make the conclusions, messages and scenarios of multidisciplinary analyses on the </w:t>
            </w:r>
            <w:r w:rsidR="00D2113B" w:rsidRPr="007C4D65">
              <w:rPr>
                <w:rFonts w:asciiTheme="minorHAnsi" w:eastAsia="Calibri" w:hAnsiTheme="minorHAnsi" w:cstheme="minorHAnsi"/>
                <w:sz w:val="18"/>
                <w:szCs w:val="18"/>
                <w:lang w:eastAsia="en-US"/>
              </w:rPr>
              <w:t xml:space="preserve">state of </w:t>
            </w:r>
            <w:proofErr w:type="gramStart"/>
            <w:r w:rsidR="00D2113B"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nature</w:t>
            </w:r>
            <w:proofErr w:type="gramEnd"/>
            <w:r w:rsidRPr="007C4D65">
              <w:rPr>
                <w:rFonts w:asciiTheme="minorHAnsi" w:eastAsia="Calibri" w:hAnsiTheme="minorHAnsi" w:cstheme="minorHAnsi"/>
                <w:sz w:val="18"/>
                <w:szCs w:val="18"/>
                <w:lang w:eastAsia="en-US"/>
              </w:rPr>
              <w:t xml:space="preserve"> accessible and understandable for decision makers in the relevant sectors at the Federation and </w:t>
            </w:r>
            <w:r w:rsidR="00D2113B" w:rsidRPr="007C4D65">
              <w:rPr>
                <w:rFonts w:asciiTheme="minorHAnsi" w:eastAsia="Calibri" w:hAnsiTheme="minorHAnsi" w:cstheme="minorHAnsi"/>
                <w:sz w:val="18"/>
                <w:szCs w:val="18"/>
                <w:lang w:eastAsia="en-US"/>
              </w:rPr>
              <w:t>c</w:t>
            </w:r>
            <w:r w:rsidRPr="007C4D65">
              <w:rPr>
                <w:rFonts w:asciiTheme="minorHAnsi" w:eastAsia="Calibri" w:hAnsiTheme="minorHAnsi" w:cstheme="minorHAnsi"/>
                <w:sz w:val="18"/>
                <w:szCs w:val="18"/>
                <w:lang w:eastAsia="en-US"/>
              </w:rPr>
              <w:t>antonal level, in non-governmental sector, and public and private companies</w:t>
            </w:r>
            <w:r w:rsidR="00B30020" w:rsidRPr="007C4D65">
              <w:rPr>
                <w:rFonts w:asciiTheme="minorHAnsi" w:eastAsia="Calibri" w:hAnsiTheme="minorHAnsi" w:cstheme="minorHAnsi"/>
                <w:sz w:val="18"/>
                <w:szCs w:val="18"/>
                <w:lang w:eastAsia="en-US"/>
              </w:rPr>
              <w:t>.</w:t>
            </w:r>
          </w:p>
        </w:tc>
      </w:tr>
      <w:tr w:rsidR="00005022" w:rsidRPr="007C4D65" w14:paraId="532F411F" w14:textId="77777777" w:rsidTr="00BC37DE">
        <w:trPr>
          <w:trHeight w:val="567"/>
          <w:jc w:val="center"/>
        </w:trPr>
        <w:tc>
          <w:tcPr>
            <w:tcW w:w="1325" w:type="pct"/>
            <w:shd w:val="clear" w:color="auto" w:fill="009D73"/>
            <w:vAlign w:val="center"/>
          </w:tcPr>
          <w:p w14:paraId="5F98B35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75" w:type="pct"/>
            <w:gridSpan w:val="3"/>
            <w:tcBorders>
              <w:bottom w:val="single" w:sz="4" w:space="0" w:color="A6A6A6"/>
            </w:tcBorders>
            <w:shd w:val="clear" w:color="auto" w:fill="FFFFFF" w:themeFill="background1"/>
            <w:vAlign w:val="center"/>
          </w:tcPr>
          <w:p w14:paraId="00262A3E"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742DBD49" w14:textId="77777777" w:rsidTr="00BC37DE">
        <w:trPr>
          <w:trHeight w:val="567"/>
          <w:jc w:val="center"/>
        </w:trPr>
        <w:tc>
          <w:tcPr>
            <w:tcW w:w="1325" w:type="pct"/>
            <w:vMerge w:val="restart"/>
            <w:shd w:val="clear" w:color="auto" w:fill="009D73"/>
            <w:vAlign w:val="center"/>
          </w:tcPr>
          <w:p w14:paraId="56E22FB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107" w:type="pct"/>
            <w:shd w:val="clear" w:color="auto" w:fill="009D73"/>
            <w:vAlign w:val="center"/>
          </w:tcPr>
          <w:p w14:paraId="3E4E0F9F"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53BA15CF"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24E3983E"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4A544788"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1E491169"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12750B90" w14:textId="77777777" w:rsidTr="00BC37DE">
        <w:trPr>
          <w:trHeight w:val="567"/>
          <w:jc w:val="center"/>
        </w:trPr>
        <w:tc>
          <w:tcPr>
            <w:tcW w:w="1325" w:type="pct"/>
            <w:vMerge/>
            <w:shd w:val="clear" w:color="auto" w:fill="009D73"/>
            <w:vAlign w:val="center"/>
          </w:tcPr>
          <w:p w14:paraId="19C3990D"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107" w:type="pct"/>
            <w:shd w:val="clear" w:color="auto" w:fill="FFFFFF"/>
            <w:vAlign w:val="center"/>
          </w:tcPr>
          <w:p w14:paraId="7FD34130" w14:textId="69B295E0"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The degree of use of scientific analysis in the </w:t>
            </w:r>
            <w:r w:rsidR="009F16BA" w:rsidRPr="007C4D65">
              <w:rPr>
                <w:rFonts w:asciiTheme="minorHAnsi" w:eastAsia="Calibri" w:hAnsiTheme="minorHAnsi" w:cstheme="minorHAnsi"/>
                <w:sz w:val="18"/>
                <w:szCs w:val="18"/>
                <w:lang w:eastAsia="x-none"/>
              </w:rPr>
              <w:t>decision-making</w:t>
            </w:r>
            <w:r w:rsidRPr="007C4D65">
              <w:rPr>
                <w:rFonts w:asciiTheme="minorHAnsi" w:eastAsia="Calibri" w:hAnsiTheme="minorHAnsi" w:cstheme="minorHAnsi"/>
                <w:sz w:val="18"/>
                <w:szCs w:val="18"/>
                <w:lang w:eastAsia="x-none"/>
              </w:rPr>
              <w:t xml:space="preserve"> process</w:t>
            </w:r>
          </w:p>
        </w:tc>
        <w:tc>
          <w:tcPr>
            <w:tcW w:w="1283" w:type="pct"/>
            <w:shd w:val="clear" w:color="auto" w:fill="FFFFFF"/>
            <w:vAlign w:val="center"/>
          </w:tcPr>
          <w:p w14:paraId="6678DADA"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Low</w:t>
            </w:r>
          </w:p>
        </w:tc>
        <w:tc>
          <w:tcPr>
            <w:tcW w:w="1284" w:type="pct"/>
            <w:shd w:val="clear" w:color="auto" w:fill="FFFFFF"/>
            <w:vAlign w:val="center"/>
          </w:tcPr>
          <w:p w14:paraId="4570C652"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High</w:t>
            </w:r>
          </w:p>
        </w:tc>
      </w:tr>
      <w:tr w:rsidR="00005022" w:rsidRPr="007C4D65" w14:paraId="30C9FB52" w14:textId="77777777" w:rsidTr="00BC37DE">
        <w:trPr>
          <w:trHeight w:val="567"/>
          <w:jc w:val="center"/>
        </w:trPr>
        <w:tc>
          <w:tcPr>
            <w:tcW w:w="1325" w:type="pct"/>
            <w:shd w:val="clear" w:color="auto" w:fill="009D73"/>
            <w:vAlign w:val="center"/>
          </w:tcPr>
          <w:p w14:paraId="2F4949A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realization of priorities</w:t>
            </w:r>
          </w:p>
        </w:tc>
        <w:tc>
          <w:tcPr>
            <w:tcW w:w="3675" w:type="pct"/>
            <w:gridSpan w:val="3"/>
            <w:shd w:val="clear" w:color="auto" w:fill="FFFFFF"/>
            <w:vAlign w:val="center"/>
          </w:tcPr>
          <w:p w14:paraId="299AC024" w14:textId="6219C879" w:rsidR="00005022" w:rsidRPr="007C4D65" w:rsidRDefault="00D2113B"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Greater transparency of and better access to scientific knowledge on the improvement and protection of the biodiversity, which may be used to improve </w:t>
            </w:r>
            <w:r w:rsidR="009F16BA" w:rsidRPr="007C4D65">
              <w:rPr>
                <w:rFonts w:asciiTheme="minorHAnsi" w:eastAsiaTheme="minorHAnsi" w:hAnsiTheme="minorHAnsi" w:cstheme="minorHAnsi"/>
                <w:sz w:val="18"/>
                <w:szCs w:val="18"/>
                <w:lang w:eastAsia="en-US" w:bidi="en-US"/>
              </w:rPr>
              <w:t>decision-making</w:t>
            </w:r>
            <w:r w:rsidRPr="007C4D65">
              <w:rPr>
                <w:rFonts w:asciiTheme="minorHAnsi" w:eastAsiaTheme="minorHAnsi" w:hAnsiTheme="minorHAnsi" w:cstheme="minorHAnsi"/>
                <w:sz w:val="18"/>
                <w:szCs w:val="18"/>
                <w:lang w:eastAsia="en-US" w:bidi="en-US"/>
              </w:rPr>
              <w:t xml:space="preserve"> processes</w:t>
            </w:r>
          </w:p>
        </w:tc>
      </w:tr>
      <w:tr w:rsidR="00005022" w:rsidRPr="007C4D65" w14:paraId="1AA8C476" w14:textId="77777777" w:rsidTr="00BC37DE">
        <w:trPr>
          <w:trHeight w:val="567"/>
          <w:jc w:val="center"/>
        </w:trPr>
        <w:tc>
          <w:tcPr>
            <w:tcW w:w="1325" w:type="pct"/>
            <w:shd w:val="clear" w:color="auto" w:fill="009D73"/>
            <w:vAlign w:val="center"/>
          </w:tcPr>
          <w:p w14:paraId="4FBB5540" w14:textId="05D0B554"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75" w:type="pct"/>
            <w:gridSpan w:val="3"/>
            <w:shd w:val="clear" w:color="auto" w:fill="FFFFFF"/>
            <w:vAlign w:val="center"/>
          </w:tcPr>
          <w:p w14:paraId="64BD2A30" w14:textId="5447C82B" w:rsidR="00D2113B" w:rsidRPr="007C4D65" w:rsidRDefault="00D2113B" w:rsidP="00D2113B">
            <w:pPr>
              <w:spacing w:before="40" w:after="40" w:line="276" w:lineRule="auto"/>
              <w:rPr>
                <w:rFonts w:asciiTheme="minorHAnsi" w:hAnsiTheme="minorHAnsi" w:cstheme="minorHAnsi"/>
                <w:color w:val="000000" w:themeColor="text1"/>
                <w:sz w:val="18"/>
                <w:szCs w:val="18"/>
                <w:lang w:bidi="en-US"/>
              </w:rPr>
            </w:pPr>
            <w:r w:rsidRPr="007C4D65">
              <w:rPr>
                <w:rFonts w:asciiTheme="minorHAnsi" w:hAnsiTheme="minorHAnsi" w:cstheme="minorHAnsi"/>
                <w:color w:val="000000" w:themeColor="text1"/>
                <w:sz w:val="18"/>
                <w:szCs w:val="18"/>
                <w:lang w:bidi="en-US"/>
              </w:rPr>
              <w:t>Amount: BAM 30,372</w:t>
            </w:r>
          </w:p>
          <w:p w14:paraId="60C257A2" w14:textId="3004C64F" w:rsidR="00005022" w:rsidRPr="007C4D65" w:rsidRDefault="00D2113B" w:rsidP="00D2113B">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100% </w:t>
            </w:r>
            <w:r w:rsidR="000E401F" w:rsidRPr="007C4D65">
              <w:rPr>
                <w:rFonts w:asciiTheme="minorHAnsi" w:hAnsiTheme="minorHAnsi" w:cstheme="minorHAnsi"/>
                <w:color w:val="000000" w:themeColor="text1"/>
                <w:sz w:val="18"/>
                <w:szCs w:val="18"/>
              </w:rPr>
              <w:t>government budget</w:t>
            </w:r>
          </w:p>
        </w:tc>
      </w:tr>
      <w:tr w:rsidR="00005022" w:rsidRPr="007C4D65" w14:paraId="2EDED5C8" w14:textId="77777777" w:rsidTr="00BC37DE">
        <w:trPr>
          <w:trHeight w:val="567"/>
          <w:jc w:val="center"/>
        </w:trPr>
        <w:tc>
          <w:tcPr>
            <w:tcW w:w="1325" w:type="pct"/>
            <w:shd w:val="clear" w:color="auto" w:fill="009D73"/>
            <w:vAlign w:val="center"/>
          </w:tcPr>
          <w:p w14:paraId="578597D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75" w:type="pct"/>
            <w:gridSpan w:val="3"/>
            <w:shd w:val="clear" w:color="auto" w:fill="FFFFFF"/>
            <w:vAlign w:val="center"/>
          </w:tcPr>
          <w:p w14:paraId="3B1EFD0E"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2024 - 2030</w:t>
            </w:r>
          </w:p>
        </w:tc>
      </w:tr>
      <w:tr w:rsidR="00005022" w:rsidRPr="007C4D65" w14:paraId="2E3DFE9B" w14:textId="77777777" w:rsidTr="00BC37DE">
        <w:trPr>
          <w:trHeight w:val="567"/>
          <w:jc w:val="center"/>
        </w:trPr>
        <w:tc>
          <w:tcPr>
            <w:tcW w:w="1325" w:type="pct"/>
            <w:shd w:val="clear" w:color="auto" w:fill="009D73"/>
            <w:vAlign w:val="center"/>
          </w:tcPr>
          <w:p w14:paraId="35BC2F60"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75" w:type="pct"/>
            <w:gridSpan w:val="3"/>
            <w:shd w:val="clear" w:color="auto" w:fill="FFFFFF"/>
            <w:vAlign w:val="center"/>
          </w:tcPr>
          <w:p w14:paraId="0F7247ED"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03C285BB" w14:textId="77777777" w:rsidTr="00BC37DE">
        <w:trPr>
          <w:trHeight w:val="567"/>
          <w:jc w:val="center"/>
        </w:trPr>
        <w:tc>
          <w:tcPr>
            <w:tcW w:w="1325" w:type="pct"/>
            <w:shd w:val="clear" w:color="auto" w:fill="009D73"/>
            <w:vAlign w:val="center"/>
          </w:tcPr>
          <w:p w14:paraId="1B5D39E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Implementing institutions</w:t>
            </w:r>
          </w:p>
        </w:tc>
        <w:tc>
          <w:tcPr>
            <w:tcW w:w="3675" w:type="pct"/>
            <w:gridSpan w:val="3"/>
            <w:shd w:val="clear" w:color="auto" w:fill="FFFFFF"/>
            <w:vAlign w:val="center"/>
          </w:tcPr>
          <w:p w14:paraId="62842D16"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professional institution for the nature conservation of the FBiH, Federation and Cantonal line and sectoral ministries and agencies</w:t>
            </w:r>
          </w:p>
        </w:tc>
      </w:tr>
      <w:tr w:rsidR="00005022" w:rsidRPr="007C4D65" w14:paraId="110BF06B" w14:textId="77777777" w:rsidTr="00BC37DE">
        <w:trPr>
          <w:trHeight w:val="567"/>
          <w:jc w:val="center"/>
        </w:trPr>
        <w:tc>
          <w:tcPr>
            <w:tcW w:w="1325" w:type="pct"/>
            <w:shd w:val="clear" w:color="auto" w:fill="009D73"/>
            <w:vAlign w:val="center"/>
          </w:tcPr>
          <w:p w14:paraId="5890F727" w14:textId="46CF4E5A"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75" w:type="pct"/>
            <w:gridSpan w:val="3"/>
            <w:shd w:val="clear" w:color="auto" w:fill="FFFFFF"/>
            <w:vAlign w:val="center"/>
          </w:tcPr>
          <w:p w14:paraId="4C66710D" w14:textId="21F37989"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public, Federation and </w:t>
            </w:r>
            <w:r w:rsidR="00173810"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line and sectoral ministries, business companies, local communities, non-governmental organizations</w:t>
            </w:r>
          </w:p>
        </w:tc>
      </w:tr>
    </w:tbl>
    <w:p w14:paraId="1212F38B"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38"/>
        <w:gridCol w:w="2956"/>
        <w:gridCol w:w="3426"/>
        <w:gridCol w:w="3431"/>
      </w:tblGrid>
      <w:tr w:rsidR="00005022" w:rsidRPr="007C4D65" w14:paraId="2F2A74E1" w14:textId="77777777" w:rsidTr="00BC37DE">
        <w:trPr>
          <w:trHeight w:val="567"/>
          <w:jc w:val="center"/>
        </w:trPr>
        <w:tc>
          <w:tcPr>
            <w:tcW w:w="1325" w:type="pct"/>
            <w:shd w:val="clear" w:color="auto" w:fill="009D73"/>
            <w:vAlign w:val="center"/>
          </w:tcPr>
          <w:p w14:paraId="7C15D796" w14:textId="7EB50DA4"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75" w:type="pct"/>
            <w:gridSpan w:val="3"/>
            <w:shd w:val="clear" w:color="auto" w:fill="FFFFFF"/>
            <w:vAlign w:val="center"/>
          </w:tcPr>
          <w:p w14:paraId="6CFC8941" w14:textId="1549E879"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b/>
                <w:bCs/>
                <w:sz w:val="18"/>
                <w:szCs w:val="18"/>
                <w:lang w:eastAsia="en-US"/>
              </w:rPr>
              <w:t>3</w:t>
            </w:r>
            <w:r w:rsidR="00173810" w:rsidRPr="007C4D65">
              <w:rPr>
                <w:rFonts w:asciiTheme="minorHAnsi" w:eastAsia="Calibri" w:hAnsiTheme="minorHAnsi" w:cstheme="minorHAnsi"/>
                <w:b/>
                <w:bCs/>
                <w:sz w:val="18"/>
                <w:szCs w:val="18"/>
                <w:lang w:eastAsia="en-US"/>
              </w:rPr>
              <w:t xml:space="preserve">. </w:t>
            </w:r>
            <w:r w:rsidR="00203931" w:rsidRPr="007C4D65">
              <w:rPr>
                <w:rFonts w:asciiTheme="minorHAnsi" w:eastAsia="Calibri" w:hAnsiTheme="minorHAnsi" w:cstheme="minorHAnsi"/>
                <w:b/>
                <w:bCs/>
                <w:sz w:val="18"/>
                <w:szCs w:val="18"/>
                <w:lang w:eastAsia="en-US"/>
              </w:rPr>
              <w:t xml:space="preserve">Maintaining and improving biodiversity and protecting ecosystems </w:t>
            </w:r>
          </w:p>
        </w:tc>
      </w:tr>
      <w:tr w:rsidR="00005022" w:rsidRPr="007C4D65" w14:paraId="1F4C35DC" w14:textId="77777777" w:rsidTr="00BC37DE">
        <w:trPr>
          <w:trHeight w:val="567"/>
          <w:jc w:val="center"/>
        </w:trPr>
        <w:tc>
          <w:tcPr>
            <w:tcW w:w="1325" w:type="pct"/>
            <w:shd w:val="clear" w:color="auto" w:fill="009D73"/>
            <w:vAlign w:val="center"/>
          </w:tcPr>
          <w:p w14:paraId="0AD2B5B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bookmarkStart w:id="299" w:name="_Hlk94116564"/>
            <w:r w:rsidRPr="007C4D65">
              <w:rPr>
                <w:rFonts w:asciiTheme="minorHAnsi" w:eastAsiaTheme="minorHAnsi" w:hAnsiTheme="minorHAnsi" w:cstheme="minorHAnsi"/>
                <w:b/>
                <w:bCs/>
                <w:color w:val="FFFFFF" w:themeColor="background1"/>
                <w:sz w:val="18"/>
                <w:szCs w:val="18"/>
                <w:lang w:eastAsia="en-US" w:bidi="en-US"/>
              </w:rPr>
              <w:t>Priority</w:t>
            </w:r>
          </w:p>
        </w:tc>
        <w:tc>
          <w:tcPr>
            <w:tcW w:w="3675" w:type="pct"/>
            <w:gridSpan w:val="3"/>
            <w:shd w:val="clear" w:color="auto" w:fill="FFFFFF"/>
            <w:vAlign w:val="center"/>
          </w:tcPr>
          <w:p w14:paraId="5092802E" w14:textId="7B636B8D"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r w:rsidRPr="007C4D65">
              <w:rPr>
                <w:rFonts w:asciiTheme="minorHAnsi" w:eastAsiaTheme="minorHAnsi" w:hAnsiTheme="minorHAnsi" w:cstheme="minorHAnsi"/>
                <w:b/>
                <w:bCs/>
                <w:sz w:val="18"/>
                <w:szCs w:val="18"/>
                <w:lang w:eastAsia="en-US" w:bidi="en-US"/>
              </w:rPr>
              <w:t>3.</w:t>
            </w:r>
            <w:r w:rsidR="00173810" w:rsidRPr="007C4D65">
              <w:rPr>
                <w:rFonts w:asciiTheme="minorHAnsi" w:eastAsiaTheme="minorHAnsi" w:hAnsiTheme="minorHAnsi" w:cstheme="minorHAnsi"/>
                <w:b/>
                <w:bCs/>
                <w:sz w:val="18"/>
                <w:szCs w:val="18"/>
                <w:lang w:eastAsia="en-US" w:bidi="en-US"/>
              </w:rPr>
              <w:t>8</w:t>
            </w:r>
            <w:r w:rsidRPr="007C4D65">
              <w:rPr>
                <w:rFonts w:asciiTheme="minorHAnsi" w:eastAsiaTheme="minorHAnsi" w:hAnsiTheme="minorHAnsi" w:cstheme="minorHAnsi"/>
                <w:b/>
                <w:bCs/>
                <w:sz w:val="18"/>
                <w:szCs w:val="18"/>
                <w:lang w:eastAsia="en-US" w:bidi="en-US"/>
              </w:rPr>
              <w:t xml:space="preserve"> Strengthen the</w:t>
            </w:r>
            <w:r w:rsidR="00173810" w:rsidRPr="007C4D65">
              <w:rPr>
                <w:rFonts w:asciiTheme="minorHAnsi" w:eastAsiaTheme="minorHAnsi" w:hAnsiTheme="minorHAnsi" w:cstheme="minorHAnsi"/>
                <w:b/>
                <w:bCs/>
                <w:sz w:val="18"/>
                <w:szCs w:val="18"/>
                <w:lang w:eastAsia="en-US" w:bidi="en-US"/>
              </w:rPr>
              <w:t xml:space="preserve"> science-based </w:t>
            </w:r>
            <w:r w:rsidR="009F16BA" w:rsidRPr="007C4D65">
              <w:rPr>
                <w:rFonts w:asciiTheme="minorHAnsi" w:eastAsiaTheme="minorHAnsi" w:hAnsiTheme="minorHAnsi" w:cstheme="minorHAnsi"/>
                <w:b/>
                <w:bCs/>
                <w:sz w:val="18"/>
                <w:szCs w:val="18"/>
                <w:lang w:eastAsia="en-US" w:bidi="en-US"/>
              </w:rPr>
              <w:t xml:space="preserve">decision-making  </w:t>
            </w:r>
            <w:r w:rsidR="00173810" w:rsidRPr="007C4D65">
              <w:rPr>
                <w:rFonts w:asciiTheme="minorHAnsi" w:eastAsiaTheme="minorHAnsi" w:hAnsiTheme="minorHAnsi" w:cstheme="minorHAnsi"/>
                <w:b/>
                <w:bCs/>
                <w:sz w:val="18"/>
                <w:szCs w:val="18"/>
                <w:lang w:eastAsia="en-US" w:bidi="en-US"/>
              </w:rPr>
              <w:t xml:space="preserve"> through a dialogue of the</w:t>
            </w:r>
            <w:r w:rsidRPr="007C4D65">
              <w:rPr>
                <w:rFonts w:asciiTheme="minorHAnsi" w:eastAsiaTheme="minorHAnsi" w:hAnsiTheme="minorHAnsi" w:cstheme="minorHAnsi"/>
                <w:b/>
                <w:bCs/>
                <w:sz w:val="18"/>
                <w:szCs w:val="18"/>
                <w:lang w:eastAsia="en-US" w:bidi="en-US"/>
              </w:rPr>
              <w:t xml:space="preserve"> scien</w:t>
            </w:r>
            <w:r w:rsidR="00173810" w:rsidRPr="007C4D65">
              <w:rPr>
                <w:rFonts w:asciiTheme="minorHAnsi" w:eastAsiaTheme="minorHAnsi" w:hAnsiTheme="minorHAnsi" w:cstheme="minorHAnsi"/>
                <w:b/>
                <w:bCs/>
                <w:sz w:val="18"/>
                <w:szCs w:val="18"/>
                <w:lang w:eastAsia="en-US" w:bidi="en-US"/>
              </w:rPr>
              <w:t>ce</w:t>
            </w:r>
            <w:r w:rsidRPr="007C4D65">
              <w:rPr>
                <w:rFonts w:asciiTheme="minorHAnsi" w:eastAsiaTheme="minorHAnsi" w:hAnsiTheme="minorHAnsi" w:cstheme="minorHAnsi"/>
                <w:b/>
                <w:bCs/>
                <w:sz w:val="18"/>
                <w:szCs w:val="18"/>
                <w:lang w:eastAsia="en-US" w:bidi="en-US"/>
              </w:rPr>
              <w:t xml:space="preserve"> and </w:t>
            </w:r>
            <w:r w:rsidR="00173810" w:rsidRPr="007C4D65">
              <w:rPr>
                <w:rFonts w:asciiTheme="minorHAnsi" w:eastAsiaTheme="minorHAnsi" w:hAnsiTheme="minorHAnsi" w:cstheme="minorHAnsi"/>
                <w:b/>
                <w:bCs/>
                <w:sz w:val="18"/>
                <w:szCs w:val="18"/>
                <w:lang w:eastAsia="en-US" w:bidi="en-US"/>
              </w:rPr>
              <w:t>decision makers</w:t>
            </w:r>
          </w:p>
        </w:tc>
      </w:tr>
      <w:bookmarkEnd w:id="299"/>
      <w:tr w:rsidR="00005022" w:rsidRPr="007C4D65" w14:paraId="2F2B44D6" w14:textId="77777777" w:rsidTr="00BC37DE">
        <w:trPr>
          <w:trHeight w:val="567"/>
          <w:jc w:val="center"/>
        </w:trPr>
        <w:tc>
          <w:tcPr>
            <w:tcW w:w="1325" w:type="pct"/>
            <w:shd w:val="clear" w:color="auto" w:fill="009D73"/>
            <w:vAlign w:val="center"/>
          </w:tcPr>
          <w:p w14:paraId="49BB07E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75" w:type="pct"/>
            <w:gridSpan w:val="3"/>
            <w:shd w:val="clear" w:color="auto" w:fill="FFFFFF"/>
            <w:vAlign w:val="center"/>
          </w:tcPr>
          <w:p w14:paraId="272AC744" w14:textId="3A3111CC" w:rsidR="00005022" w:rsidRPr="007C4D65" w:rsidRDefault="00005022" w:rsidP="00005022">
            <w:pPr>
              <w:spacing w:before="40" w:after="40" w:line="276" w:lineRule="auto"/>
              <w:rPr>
                <w:rFonts w:asciiTheme="minorHAnsi" w:eastAsiaTheme="minorHAnsi" w:hAnsiTheme="minorHAnsi" w:cstheme="minorHAnsi"/>
                <w:b/>
                <w:bCs/>
                <w:sz w:val="18"/>
                <w:szCs w:val="18"/>
                <w:lang w:eastAsia="en-US" w:bidi="en-US"/>
              </w:rPr>
            </w:pPr>
            <w:bookmarkStart w:id="300" w:name="_Hlk94634277"/>
            <w:r w:rsidRPr="007C4D65">
              <w:rPr>
                <w:rFonts w:asciiTheme="minorHAnsi" w:eastAsiaTheme="minorHAnsi" w:hAnsiTheme="minorHAnsi" w:cstheme="minorHAnsi"/>
                <w:b/>
                <w:bCs/>
                <w:sz w:val="18"/>
                <w:szCs w:val="18"/>
                <w:lang w:eastAsia="en-US" w:bidi="en-US"/>
              </w:rPr>
              <w:t>3.</w:t>
            </w:r>
            <w:r w:rsidR="00173810" w:rsidRPr="007C4D65">
              <w:rPr>
                <w:rFonts w:asciiTheme="minorHAnsi" w:eastAsiaTheme="minorHAnsi" w:hAnsiTheme="minorHAnsi" w:cstheme="minorHAnsi"/>
                <w:b/>
                <w:bCs/>
                <w:sz w:val="18"/>
                <w:szCs w:val="18"/>
                <w:lang w:eastAsia="en-US" w:bidi="en-US"/>
              </w:rPr>
              <w:t>8</w:t>
            </w:r>
            <w:r w:rsidRPr="007C4D65">
              <w:rPr>
                <w:rFonts w:asciiTheme="minorHAnsi" w:eastAsiaTheme="minorHAnsi" w:hAnsiTheme="minorHAnsi" w:cstheme="minorHAnsi"/>
                <w:b/>
                <w:bCs/>
                <w:sz w:val="18"/>
                <w:szCs w:val="18"/>
                <w:lang w:eastAsia="en-US" w:bidi="en-US"/>
              </w:rPr>
              <w:t>.</w:t>
            </w:r>
            <w:r w:rsidR="00173810" w:rsidRPr="007C4D65">
              <w:rPr>
                <w:rFonts w:asciiTheme="minorHAnsi" w:eastAsiaTheme="minorHAnsi" w:hAnsiTheme="minorHAnsi" w:cstheme="minorHAnsi"/>
                <w:b/>
                <w:bCs/>
                <w:sz w:val="18"/>
                <w:szCs w:val="18"/>
                <w:lang w:eastAsia="en-US" w:bidi="en-US"/>
              </w:rPr>
              <w:t>2</w:t>
            </w:r>
            <w:r w:rsidRPr="007C4D65">
              <w:rPr>
                <w:rFonts w:asciiTheme="minorHAnsi" w:eastAsiaTheme="minorHAnsi" w:hAnsiTheme="minorHAnsi" w:cstheme="minorHAnsi"/>
                <w:b/>
                <w:bCs/>
                <w:sz w:val="18"/>
                <w:szCs w:val="18"/>
                <w:lang w:eastAsia="en-US" w:bidi="en-US"/>
              </w:rPr>
              <w:t xml:space="preserve"> In cooperation with </w:t>
            </w:r>
            <w:r w:rsidR="00173810" w:rsidRPr="007C4D65">
              <w:rPr>
                <w:rFonts w:asciiTheme="minorHAnsi" w:eastAsiaTheme="minorHAnsi" w:hAnsiTheme="minorHAnsi" w:cstheme="minorHAnsi"/>
                <w:b/>
                <w:bCs/>
                <w:sz w:val="18"/>
                <w:szCs w:val="18"/>
                <w:lang w:eastAsia="en-US" w:bidi="en-US"/>
              </w:rPr>
              <w:t xml:space="preserve">the institutions of </w:t>
            </w:r>
            <w:r w:rsidRPr="007C4D65">
              <w:rPr>
                <w:rFonts w:asciiTheme="minorHAnsi" w:eastAsiaTheme="minorHAnsi" w:hAnsiTheme="minorHAnsi" w:cstheme="minorHAnsi"/>
                <w:b/>
                <w:bCs/>
                <w:sz w:val="18"/>
                <w:szCs w:val="18"/>
                <w:lang w:eastAsia="en-US" w:bidi="en-US"/>
              </w:rPr>
              <w:t xml:space="preserve">BiH, </w:t>
            </w:r>
            <w:proofErr w:type="spellStart"/>
            <w:r w:rsidRPr="007C4D65">
              <w:rPr>
                <w:rFonts w:asciiTheme="minorHAnsi" w:eastAsiaTheme="minorHAnsi" w:hAnsiTheme="minorHAnsi" w:cstheme="minorHAnsi"/>
                <w:b/>
                <w:bCs/>
                <w:sz w:val="18"/>
                <w:szCs w:val="18"/>
                <w:lang w:eastAsia="en-US" w:bidi="en-US"/>
              </w:rPr>
              <w:t>R</w:t>
            </w:r>
            <w:r w:rsidR="00173810" w:rsidRPr="007C4D65">
              <w:rPr>
                <w:rFonts w:asciiTheme="minorHAnsi" w:eastAsiaTheme="minorHAnsi" w:hAnsiTheme="minorHAnsi" w:cstheme="minorHAnsi"/>
                <w:b/>
                <w:bCs/>
                <w:sz w:val="18"/>
                <w:szCs w:val="18"/>
                <w:lang w:eastAsia="en-US" w:bidi="en-US"/>
              </w:rPr>
              <w:t>epublika</w:t>
            </w:r>
            <w:proofErr w:type="spellEnd"/>
            <w:r w:rsidR="00173810" w:rsidRPr="007C4D65">
              <w:rPr>
                <w:rFonts w:asciiTheme="minorHAnsi" w:eastAsiaTheme="minorHAnsi" w:hAnsiTheme="minorHAnsi" w:cstheme="minorHAnsi"/>
                <w:b/>
                <w:bCs/>
                <w:sz w:val="18"/>
                <w:szCs w:val="18"/>
                <w:lang w:eastAsia="en-US" w:bidi="en-US"/>
              </w:rPr>
              <w:t xml:space="preserve"> </w:t>
            </w:r>
            <w:r w:rsidRPr="007C4D65">
              <w:rPr>
                <w:rFonts w:asciiTheme="minorHAnsi" w:eastAsiaTheme="minorHAnsi" w:hAnsiTheme="minorHAnsi" w:cstheme="minorHAnsi"/>
                <w:b/>
                <w:bCs/>
                <w:sz w:val="18"/>
                <w:szCs w:val="18"/>
                <w:lang w:eastAsia="en-US" w:bidi="en-US"/>
              </w:rPr>
              <w:t>S</w:t>
            </w:r>
            <w:r w:rsidR="00173810" w:rsidRPr="007C4D65">
              <w:rPr>
                <w:rFonts w:asciiTheme="minorHAnsi" w:eastAsiaTheme="minorHAnsi" w:hAnsiTheme="minorHAnsi" w:cstheme="minorHAnsi"/>
                <w:b/>
                <w:bCs/>
                <w:sz w:val="18"/>
                <w:szCs w:val="18"/>
                <w:lang w:eastAsia="en-US" w:bidi="en-US"/>
              </w:rPr>
              <w:t>rpska</w:t>
            </w:r>
            <w:r w:rsidRPr="007C4D65">
              <w:rPr>
                <w:rFonts w:asciiTheme="minorHAnsi" w:eastAsiaTheme="minorHAnsi" w:hAnsiTheme="minorHAnsi" w:cstheme="minorHAnsi"/>
                <w:b/>
                <w:bCs/>
                <w:sz w:val="18"/>
                <w:szCs w:val="18"/>
                <w:lang w:eastAsia="en-US" w:bidi="en-US"/>
              </w:rPr>
              <w:t xml:space="preserve"> and the B</w:t>
            </w:r>
            <w:r w:rsidR="00173810" w:rsidRPr="007C4D65">
              <w:rPr>
                <w:rFonts w:asciiTheme="minorHAnsi" w:eastAsiaTheme="minorHAnsi" w:hAnsiTheme="minorHAnsi" w:cstheme="minorHAnsi"/>
                <w:b/>
                <w:bCs/>
                <w:sz w:val="18"/>
                <w:szCs w:val="18"/>
                <w:lang w:eastAsia="en-US" w:bidi="en-US"/>
              </w:rPr>
              <w:t>rcko District</w:t>
            </w:r>
            <w:r w:rsidRPr="007C4D65">
              <w:rPr>
                <w:rFonts w:asciiTheme="minorHAnsi" w:eastAsiaTheme="minorHAnsi" w:hAnsiTheme="minorHAnsi" w:cstheme="minorHAnsi"/>
                <w:b/>
                <w:bCs/>
                <w:sz w:val="18"/>
                <w:szCs w:val="18"/>
                <w:lang w:eastAsia="en-US" w:bidi="en-US"/>
              </w:rPr>
              <w:t xml:space="preserve"> BiH, organize the exchange of information between the academic community and policy makers that affect the state of biodiversity/nature of BiH</w:t>
            </w:r>
            <w:bookmarkEnd w:id="300"/>
          </w:p>
        </w:tc>
      </w:tr>
      <w:tr w:rsidR="00005022" w:rsidRPr="007C4D65" w14:paraId="7CD66366" w14:textId="77777777" w:rsidTr="00BC37DE">
        <w:trPr>
          <w:trHeight w:val="567"/>
          <w:jc w:val="center"/>
        </w:trPr>
        <w:tc>
          <w:tcPr>
            <w:tcW w:w="1325" w:type="pct"/>
            <w:shd w:val="clear" w:color="auto" w:fill="009D73"/>
            <w:vAlign w:val="center"/>
          </w:tcPr>
          <w:p w14:paraId="29FC840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Description of the measure with the general area of intervention </w:t>
            </w:r>
          </w:p>
        </w:tc>
        <w:tc>
          <w:tcPr>
            <w:tcW w:w="3675" w:type="pct"/>
            <w:gridSpan w:val="3"/>
            <w:shd w:val="clear" w:color="auto" w:fill="FFFFFF"/>
            <w:vAlign w:val="center"/>
          </w:tcPr>
          <w:p w14:paraId="57611864" w14:textId="128107A7" w:rsidR="00005022" w:rsidRPr="007C4D65" w:rsidRDefault="00005022" w:rsidP="00005022">
            <w:pPr>
              <w:spacing w:before="40" w:after="40" w:line="276" w:lineRule="auto"/>
              <w:jc w:val="both"/>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aim of this measure is </w:t>
            </w:r>
            <w:r w:rsidR="00173810" w:rsidRPr="007C4D65">
              <w:rPr>
                <w:rFonts w:asciiTheme="minorHAnsi" w:eastAsiaTheme="minorHAnsi" w:hAnsiTheme="minorHAnsi" w:cstheme="minorHAnsi"/>
                <w:sz w:val="18"/>
                <w:szCs w:val="18"/>
                <w:lang w:eastAsia="en-US" w:bidi="en-US"/>
              </w:rPr>
              <w:t>to provide for periodical meetings, coordinated by MOFTER, for the purpose of exchange of information between the scientific community and decision makers.</w:t>
            </w:r>
          </w:p>
          <w:p w14:paraId="42F1A219" w14:textId="7B0F4CEF" w:rsidR="00005022" w:rsidRPr="007C4D65" w:rsidRDefault="00971FDB"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 general area of intervention includes</w:t>
            </w:r>
            <w:r w:rsidR="00005022" w:rsidRPr="007C4D65">
              <w:rPr>
                <w:rFonts w:asciiTheme="minorHAnsi" w:eastAsiaTheme="minorHAnsi" w:hAnsiTheme="minorHAnsi" w:cstheme="minorHAnsi"/>
                <w:sz w:val="18"/>
                <w:szCs w:val="18"/>
                <w:lang w:eastAsia="en-US" w:bidi="en-US"/>
              </w:rPr>
              <w:t>:</w:t>
            </w:r>
          </w:p>
          <w:p w14:paraId="4AE476E4" w14:textId="5A013ED4" w:rsidR="00005022" w:rsidRPr="007C4D65" w:rsidRDefault="00005022" w:rsidP="00005022">
            <w:pPr>
              <w:numPr>
                <w:ilvl w:val="0"/>
                <w:numId w:val="27"/>
              </w:numPr>
              <w:spacing w:before="40" w:after="40" w:line="276" w:lineRule="auto"/>
              <w:contextualSpacing/>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Provide</w:t>
            </w:r>
            <w:r w:rsidR="00173810" w:rsidRPr="007C4D65">
              <w:rPr>
                <w:rFonts w:asciiTheme="minorHAnsi" w:eastAsiaTheme="minorHAnsi" w:hAnsiTheme="minorHAnsi" w:cstheme="minorHAnsi"/>
                <w:sz w:val="18"/>
                <w:szCs w:val="18"/>
                <w:lang w:eastAsia="en-US" w:bidi="en-US"/>
              </w:rPr>
              <w:t xml:space="preserve"> for</w:t>
            </w:r>
            <w:r w:rsidRPr="007C4D65">
              <w:rPr>
                <w:rFonts w:asciiTheme="minorHAnsi" w:eastAsiaTheme="minorHAnsi" w:hAnsiTheme="minorHAnsi" w:cstheme="minorHAnsi"/>
                <w:sz w:val="18"/>
                <w:szCs w:val="18"/>
                <w:lang w:eastAsia="en-US" w:bidi="en-US"/>
              </w:rPr>
              <w:t xml:space="preserve"> financial support </w:t>
            </w:r>
            <w:r w:rsidR="00173810" w:rsidRPr="007C4D65">
              <w:rPr>
                <w:rFonts w:asciiTheme="minorHAnsi" w:eastAsiaTheme="minorHAnsi" w:hAnsiTheme="minorHAnsi" w:cstheme="minorHAnsi"/>
                <w:sz w:val="18"/>
                <w:szCs w:val="18"/>
                <w:lang w:eastAsia="en-US" w:bidi="en-US"/>
              </w:rPr>
              <w:t>to support</w:t>
            </w:r>
            <w:r w:rsidRPr="007C4D65">
              <w:rPr>
                <w:rFonts w:asciiTheme="minorHAnsi" w:eastAsiaTheme="minorHAnsi" w:hAnsiTheme="minorHAnsi" w:cstheme="minorHAnsi"/>
                <w:sz w:val="18"/>
                <w:szCs w:val="18"/>
                <w:lang w:eastAsia="en-US" w:bidi="en-US"/>
              </w:rPr>
              <w:t xml:space="preserve"> annual round tables for the exchange of information on the state and use of </w:t>
            </w:r>
            <w:r w:rsidR="00173810" w:rsidRPr="007C4D65">
              <w:rPr>
                <w:rFonts w:asciiTheme="minorHAnsi" w:eastAsiaTheme="minorHAnsi" w:hAnsiTheme="minorHAnsi" w:cstheme="minorHAnsi"/>
                <w:sz w:val="18"/>
                <w:szCs w:val="18"/>
                <w:lang w:eastAsia="en-US" w:bidi="en-US"/>
              </w:rPr>
              <w:t xml:space="preserve">the </w:t>
            </w:r>
            <w:r w:rsidRPr="007C4D65">
              <w:rPr>
                <w:rFonts w:asciiTheme="minorHAnsi" w:eastAsiaTheme="minorHAnsi" w:hAnsiTheme="minorHAnsi" w:cstheme="minorHAnsi"/>
                <w:sz w:val="18"/>
                <w:szCs w:val="18"/>
                <w:lang w:eastAsia="en-US" w:bidi="en-US"/>
              </w:rPr>
              <w:t xml:space="preserve">nature in </w:t>
            </w:r>
            <w:proofErr w:type="gramStart"/>
            <w:r w:rsidRPr="007C4D65">
              <w:rPr>
                <w:rFonts w:asciiTheme="minorHAnsi" w:eastAsiaTheme="minorHAnsi" w:hAnsiTheme="minorHAnsi" w:cstheme="minorHAnsi"/>
                <w:sz w:val="18"/>
                <w:szCs w:val="18"/>
                <w:lang w:eastAsia="en-US" w:bidi="en-US"/>
              </w:rPr>
              <w:t>BiH</w:t>
            </w:r>
            <w:r w:rsidR="00B30020" w:rsidRPr="007C4D65">
              <w:rPr>
                <w:rFonts w:asciiTheme="minorHAnsi" w:eastAsiaTheme="minorHAnsi" w:hAnsiTheme="minorHAnsi" w:cstheme="minorHAnsi"/>
                <w:sz w:val="18"/>
                <w:szCs w:val="18"/>
                <w:lang w:eastAsia="en-US" w:bidi="en-US"/>
              </w:rPr>
              <w:t>;</w:t>
            </w:r>
            <w:proofErr w:type="gramEnd"/>
          </w:p>
          <w:p w14:paraId="39B1F28D" w14:textId="740C3AE8" w:rsidR="00005022" w:rsidRPr="007C4D65" w:rsidRDefault="00005022" w:rsidP="00005022">
            <w:pPr>
              <w:numPr>
                <w:ilvl w:val="0"/>
                <w:numId w:val="27"/>
              </w:numPr>
              <w:spacing w:before="40" w:after="40" w:line="276" w:lineRule="auto"/>
              <w:contextualSpacing/>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In coordination with </w:t>
            </w:r>
            <w:r w:rsidR="00173810" w:rsidRPr="007C4D65">
              <w:rPr>
                <w:rFonts w:asciiTheme="minorHAnsi" w:eastAsiaTheme="minorHAnsi" w:hAnsiTheme="minorHAnsi" w:cstheme="minorHAnsi"/>
                <w:sz w:val="18"/>
                <w:szCs w:val="18"/>
                <w:lang w:eastAsia="en-US" w:bidi="en-US"/>
              </w:rPr>
              <w:t xml:space="preserve">the institutions of </w:t>
            </w:r>
            <w:r w:rsidR="00173810" w:rsidRPr="007C4D65">
              <w:rPr>
                <w:rFonts w:asciiTheme="minorHAnsi" w:eastAsiaTheme="minorHAnsi" w:hAnsiTheme="minorHAnsi" w:cstheme="minorHAnsi"/>
                <w:b/>
                <w:bCs/>
                <w:sz w:val="18"/>
                <w:szCs w:val="18"/>
                <w:lang w:eastAsia="en-US" w:bidi="en-US"/>
              </w:rPr>
              <w:t xml:space="preserve">BiH, </w:t>
            </w:r>
            <w:proofErr w:type="spellStart"/>
            <w:r w:rsidR="00173810" w:rsidRPr="007C4D65">
              <w:rPr>
                <w:rFonts w:asciiTheme="minorHAnsi" w:eastAsiaTheme="minorHAnsi" w:hAnsiTheme="minorHAnsi" w:cstheme="minorHAnsi"/>
                <w:b/>
                <w:bCs/>
                <w:sz w:val="18"/>
                <w:szCs w:val="18"/>
                <w:lang w:eastAsia="en-US" w:bidi="en-US"/>
              </w:rPr>
              <w:t>Republika</w:t>
            </w:r>
            <w:proofErr w:type="spellEnd"/>
            <w:r w:rsidR="00173810" w:rsidRPr="007C4D65">
              <w:rPr>
                <w:rFonts w:asciiTheme="minorHAnsi" w:eastAsiaTheme="minorHAnsi" w:hAnsiTheme="minorHAnsi" w:cstheme="minorHAnsi"/>
                <w:b/>
                <w:bCs/>
                <w:sz w:val="18"/>
                <w:szCs w:val="18"/>
                <w:lang w:eastAsia="en-US" w:bidi="en-US"/>
              </w:rPr>
              <w:t xml:space="preserve"> Srpska and the Brcko District BiH</w:t>
            </w:r>
            <w:r w:rsidRPr="007C4D65">
              <w:rPr>
                <w:rFonts w:asciiTheme="minorHAnsi" w:eastAsiaTheme="minorHAnsi" w:hAnsiTheme="minorHAnsi" w:cstheme="minorHAnsi"/>
                <w:sz w:val="18"/>
                <w:szCs w:val="18"/>
                <w:lang w:eastAsia="en-US" w:bidi="en-US"/>
              </w:rPr>
              <w:t>, prepare a plan and program</w:t>
            </w:r>
            <w:r w:rsidR="00173810" w:rsidRPr="007C4D65">
              <w:rPr>
                <w:rFonts w:asciiTheme="minorHAnsi" w:eastAsiaTheme="minorHAnsi" w:hAnsiTheme="minorHAnsi" w:cstheme="minorHAnsi"/>
                <w:sz w:val="18"/>
                <w:szCs w:val="18"/>
                <w:lang w:eastAsia="en-US" w:bidi="en-US"/>
              </w:rPr>
              <w:t>me</w:t>
            </w:r>
            <w:r w:rsidRPr="007C4D65">
              <w:rPr>
                <w:rFonts w:asciiTheme="minorHAnsi" w:eastAsiaTheme="minorHAnsi" w:hAnsiTheme="minorHAnsi" w:cstheme="minorHAnsi"/>
                <w:sz w:val="18"/>
                <w:szCs w:val="18"/>
                <w:lang w:eastAsia="en-US" w:bidi="en-US"/>
              </w:rPr>
              <w:t xml:space="preserve"> for annual round tables for</w:t>
            </w:r>
            <w:r w:rsidR="00173810" w:rsidRPr="007C4D65">
              <w:rPr>
                <w:rFonts w:asciiTheme="minorHAnsi" w:eastAsiaTheme="minorHAnsi" w:hAnsiTheme="minorHAnsi" w:cstheme="minorHAnsi"/>
                <w:sz w:val="18"/>
                <w:szCs w:val="18"/>
                <w:lang w:eastAsia="en-US" w:bidi="en-US"/>
              </w:rPr>
              <w:t xml:space="preserve"> the</w:t>
            </w:r>
            <w:r w:rsidRPr="007C4D65">
              <w:rPr>
                <w:rFonts w:asciiTheme="minorHAnsi" w:eastAsiaTheme="minorHAnsi" w:hAnsiTheme="minorHAnsi" w:cstheme="minorHAnsi"/>
                <w:sz w:val="18"/>
                <w:szCs w:val="18"/>
                <w:lang w:eastAsia="en-US" w:bidi="en-US"/>
              </w:rPr>
              <w:t xml:space="preserve"> </w:t>
            </w:r>
            <w:r w:rsidR="00173810" w:rsidRPr="007C4D65">
              <w:rPr>
                <w:rFonts w:asciiTheme="minorHAnsi" w:eastAsiaTheme="minorHAnsi" w:hAnsiTheme="minorHAnsi" w:cstheme="minorHAnsi"/>
                <w:sz w:val="18"/>
                <w:szCs w:val="18"/>
                <w:lang w:eastAsia="en-US" w:bidi="en-US"/>
              </w:rPr>
              <w:t xml:space="preserve">exchange of </w:t>
            </w:r>
            <w:proofErr w:type="gramStart"/>
            <w:r w:rsidRPr="007C4D65">
              <w:rPr>
                <w:rFonts w:asciiTheme="minorHAnsi" w:eastAsiaTheme="minorHAnsi" w:hAnsiTheme="minorHAnsi" w:cstheme="minorHAnsi"/>
                <w:sz w:val="18"/>
                <w:szCs w:val="18"/>
                <w:lang w:eastAsia="en-US" w:bidi="en-US"/>
              </w:rPr>
              <w:t>information</w:t>
            </w:r>
            <w:r w:rsidR="00B30020" w:rsidRPr="007C4D65">
              <w:rPr>
                <w:rFonts w:asciiTheme="minorHAnsi" w:eastAsiaTheme="minorHAnsi" w:hAnsiTheme="minorHAnsi" w:cstheme="minorHAnsi"/>
                <w:sz w:val="18"/>
                <w:szCs w:val="18"/>
                <w:lang w:eastAsia="en-US" w:bidi="en-US"/>
              </w:rPr>
              <w:t>;</w:t>
            </w:r>
            <w:proofErr w:type="gramEnd"/>
          </w:p>
          <w:p w14:paraId="7AB2F05F" w14:textId="79E9883A" w:rsidR="00005022" w:rsidRPr="007C4D65" w:rsidRDefault="00005022" w:rsidP="00005022">
            <w:pPr>
              <w:numPr>
                <w:ilvl w:val="0"/>
                <w:numId w:val="27"/>
              </w:numPr>
              <w:spacing w:before="40" w:after="40" w:line="276" w:lineRule="auto"/>
              <w:contextualSpacing/>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Organize at least three round tables for the exchange of information between the academic community and policy makers that </w:t>
            </w:r>
            <w:r w:rsidR="0032506A" w:rsidRPr="007C4D65">
              <w:rPr>
                <w:rFonts w:asciiTheme="minorHAnsi" w:eastAsiaTheme="minorHAnsi" w:hAnsiTheme="minorHAnsi" w:cstheme="minorHAnsi"/>
                <w:sz w:val="18"/>
                <w:szCs w:val="18"/>
                <w:lang w:eastAsia="en-US" w:bidi="en-US"/>
              </w:rPr>
              <w:t xml:space="preserve">concerns </w:t>
            </w:r>
            <w:r w:rsidRPr="007C4D65">
              <w:rPr>
                <w:rFonts w:asciiTheme="minorHAnsi" w:eastAsiaTheme="minorHAnsi" w:hAnsiTheme="minorHAnsi" w:cstheme="minorHAnsi"/>
                <w:sz w:val="18"/>
                <w:szCs w:val="18"/>
                <w:lang w:eastAsia="en-US" w:bidi="en-US"/>
              </w:rPr>
              <w:t xml:space="preserve">the state of </w:t>
            </w:r>
            <w:r w:rsidR="0032506A" w:rsidRPr="007C4D65">
              <w:rPr>
                <w:rFonts w:asciiTheme="minorHAnsi" w:eastAsiaTheme="minorHAnsi" w:hAnsiTheme="minorHAnsi" w:cstheme="minorHAnsi"/>
                <w:sz w:val="18"/>
                <w:szCs w:val="18"/>
                <w:lang w:eastAsia="en-US" w:bidi="en-US"/>
              </w:rPr>
              <w:t xml:space="preserve">the </w:t>
            </w:r>
            <w:r w:rsidRPr="007C4D65">
              <w:rPr>
                <w:rFonts w:asciiTheme="minorHAnsi" w:eastAsiaTheme="minorHAnsi" w:hAnsiTheme="minorHAnsi" w:cstheme="minorHAnsi"/>
                <w:sz w:val="18"/>
                <w:szCs w:val="18"/>
                <w:lang w:eastAsia="en-US" w:bidi="en-US"/>
              </w:rPr>
              <w:t xml:space="preserve">nature in </w:t>
            </w:r>
            <w:proofErr w:type="gramStart"/>
            <w:r w:rsidRPr="007C4D65">
              <w:rPr>
                <w:rFonts w:asciiTheme="minorHAnsi" w:eastAsiaTheme="minorHAnsi" w:hAnsiTheme="minorHAnsi" w:cstheme="minorHAnsi"/>
                <w:sz w:val="18"/>
                <w:szCs w:val="18"/>
                <w:lang w:eastAsia="en-US" w:bidi="en-US"/>
              </w:rPr>
              <w:t>BiH</w:t>
            </w:r>
            <w:r w:rsidR="00B30020" w:rsidRPr="007C4D65">
              <w:rPr>
                <w:rFonts w:asciiTheme="minorHAnsi" w:eastAsiaTheme="minorHAnsi" w:hAnsiTheme="minorHAnsi" w:cstheme="minorHAnsi"/>
                <w:sz w:val="18"/>
                <w:szCs w:val="18"/>
                <w:lang w:eastAsia="en-US" w:bidi="en-US"/>
              </w:rPr>
              <w:t>;</w:t>
            </w:r>
            <w:proofErr w:type="gramEnd"/>
          </w:p>
          <w:p w14:paraId="3DBC74F5" w14:textId="41BADE5B" w:rsidR="00005022" w:rsidRPr="007C4D65" w:rsidRDefault="00005022" w:rsidP="00005022">
            <w:pPr>
              <w:numPr>
                <w:ilvl w:val="0"/>
                <w:numId w:val="27"/>
              </w:numPr>
              <w:spacing w:before="40" w:after="40" w:line="276" w:lineRule="auto"/>
              <w:contextualSpacing/>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lastRenderedPageBreak/>
              <w:t>Submit a report to the Inter-Entity Body on each roundtable for the exchange of information</w:t>
            </w:r>
            <w:r w:rsidR="0032506A" w:rsidRPr="007C4D65">
              <w:rPr>
                <w:rFonts w:asciiTheme="minorHAnsi" w:eastAsiaTheme="minorHAnsi" w:hAnsiTheme="minorHAnsi" w:cstheme="minorHAnsi"/>
                <w:sz w:val="18"/>
                <w:szCs w:val="18"/>
                <w:lang w:eastAsia="en-US" w:bidi="en-US"/>
              </w:rPr>
              <w:t xml:space="preserve"> that was held</w:t>
            </w:r>
            <w:r w:rsidRPr="007C4D65">
              <w:rPr>
                <w:rFonts w:asciiTheme="minorHAnsi" w:eastAsiaTheme="minorHAnsi" w:hAnsiTheme="minorHAnsi" w:cstheme="minorHAnsi"/>
                <w:sz w:val="18"/>
                <w:szCs w:val="18"/>
                <w:lang w:eastAsia="en-US" w:bidi="en-US"/>
              </w:rPr>
              <w:t xml:space="preserve"> between the academic community and policy makers </w:t>
            </w:r>
            <w:r w:rsidR="0032506A" w:rsidRPr="007C4D65">
              <w:rPr>
                <w:rFonts w:asciiTheme="minorHAnsi" w:eastAsiaTheme="minorHAnsi" w:hAnsiTheme="minorHAnsi" w:cstheme="minorHAnsi"/>
                <w:sz w:val="18"/>
                <w:szCs w:val="18"/>
                <w:lang w:eastAsia="en-US" w:bidi="en-US"/>
              </w:rPr>
              <w:t>that concerns</w:t>
            </w:r>
            <w:r w:rsidRPr="007C4D65">
              <w:rPr>
                <w:rFonts w:asciiTheme="minorHAnsi" w:eastAsiaTheme="minorHAnsi" w:hAnsiTheme="minorHAnsi" w:cstheme="minorHAnsi"/>
                <w:sz w:val="18"/>
                <w:szCs w:val="18"/>
                <w:lang w:eastAsia="en-US" w:bidi="en-US"/>
              </w:rPr>
              <w:t xml:space="preserve"> the state of </w:t>
            </w:r>
            <w:r w:rsidR="0032506A" w:rsidRPr="007C4D65">
              <w:rPr>
                <w:rFonts w:asciiTheme="minorHAnsi" w:eastAsiaTheme="minorHAnsi" w:hAnsiTheme="minorHAnsi" w:cstheme="minorHAnsi"/>
                <w:sz w:val="18"/>
                <w:szCs w:val="18"/>
                <w:lang w:eastAsia="en-US" w:bidi="en-US"/>
              </w:rPr>
              <w:t xml:space="preserve">the </w:t>
            </w:r>
            <w:r w:rsidRPr="007C4D65">
              <w:rPr>
                <w:rFonts w:asciiTheme="minorHAnsi" w:eastAsiaTheme="minorHAnsi" w:hAnsiTheme="minorHAnsi" w:cstheme="minorHAnsi"/>
                <w:sz w:val="18"/>
                <w:szCs w:val="18"/>
                <w:lang w:eastAsia="en-US" w:bidi="en-US"/>
              </w:rPr>
              <w:t xml:space="preserve">nature in </w:t>
            </w:r>
            <w:proofErr w:type="gramStart"/>
            <w:r w:rsidRPr="007C4D65">
              <w:rPr>
                <w:rFonts w:asciiTheme="minorHAnsi" w:eastAsiaTheme="minorHAnsi" w:hAnsiTheme="minorHAnsi" w:cstheme="minorHAnsi"/>
                <w:sz w:val="18"/>
                <w:szCs w:val="18"/>
                <w:lang w:eastAsia="en-US" w:bidi="en-US"/>
              </w:rPr>
              <w:t>BiH</w:t>
            </w:r>
            <w:r w:rsidR="00B30020" w:rsidRPr="007C4D65">
              <w:rPr>
                <w:rFonts w:asciiTheme="minorHAnsi" w:eastAsiaTheme="minorHAnsi" w:hAnsiTheme="minorHAnsi" w:cstheme="minorHAnsi"/>
                <w:sz w:val="18"/>
                <w:szCs w:val="18"/>
                <w:lang w:eastAsia="en-US" w:bidi="en-US"/>
              </w:rPr>
              <w:t>;</w:t>
            </w:r>
            <w:proofErr w:type="gramEnd"/>
          </w:p>
          <w:p w14:paraId="01DFAC01" w14:textId="35CEAF6A" w:rsidR="00005022" w:rsidRPr="007C4D65" w:rsidRDefault="00005022" w:rsidP="00005022">
            <w:pPr>
              <w:numPr>
                <w:ilvl w:val="0"/>
                <w:numId w:val="27"/>
              </w:numPr>
              <w:spacing w:before="40" w:after="40" w:line="276" w:lineRule="auto"/>
              <w:contextualSpacing/>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Send report</w:t>
            </w:r>
            <w:r w:rsidR="0032506A" w:rsidRPr="007C4D65">
              <w:rPr>
                <w:rFonts w:asciiTheme="minorHAnsi" w:eastAsiaTheme="minorHAnsi" w:hAnsiTheme="minorHAnsi" w:cstheme="minorHAnsi"/>
                <w:sz w:val="18"/>
                <w:szCs w:val="18"/>
                <w:lang w:eastAsia="en-US" w:bidi="en-US"/>
              </w:rPr>
              <w:t>s</w:t>
            </w:r>
            <w:r w:rsidRPr="007C4D65">
              <w:rPr>
                <w:rFonts w:asciiTheme="minorHAnsi" w:eastAsiaTheme="minorHAnsi" w:hAnsiTheme="minorHAnsi" w:cstheme="minorHAnsi"/>
                <w:sz w:val="18"/>
                <w:szCs w:val="18"/>
                <w:lang w:eastAsia="en-US" w:bidi="en-US"/>
              </w:rPr>
              <w:t xml:space="preserve"> to all relevant Federation and </w:t>
            </w:r>
            <w:r w:rsidR="0032506A"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administrations.</w:t>
            </w:r>
          </w:p>
        </w:tc>
      </w:tr>
      <w:tr w:rsidR="00005022" w:rsidRPr="007C4D65" w14:paraId="66090DCC" w14:textId="77777777" w:rsidTr="00BC37DE">
        <w:trPr>
          <w:trHeight w:val="567"/>
          <w:jc w:val="center"/>
        </w:trPr>
        <w:tc>
          <w:tcPr>
            <w:tcW w:w="1325" w:type="pct"/>
            <w:shd w:val="clear" w:color="auto" w:fill="009D73"/>
            <w:vAlign w:val="center"/>
          </w:tcPr>
          <w:p w14:paraId="47B0335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Strategic projects</w:t>
            </w:r>
          </w:p>
        </w:tc>
        <w:tc>
          <w:tcPr>
            <w:tcW w:w="3675" w:type="pct"/>
            <w:gridSpan w:val="3"/>
            <w:tcBorders>
              <w:bottom w:val="single" w:sz="4" w:space="0" w:color="A6A6A6"/>
            </w:tcBorders>
            <w:shd w:val="clear" w:color="auto" w:fill="FFFFFF"/>
            <w:vAlign w:val="center"/>
          </w:tcPr>
          <w:p w14:paraId="4DAFA2E5"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w:t>
            </w:r>
          </w:p>
        </w:tc>
      </w:tr>
      <w:tr w:rsidR="00005022" w:rsidRPr="007C4D65" w14:paraId="1EB16758" w14:textId="77777777" w:rsidTr="00BC37DE">
        <w:trPr>
          <w:trHeight w:val="567"/>
          <w:jc w:val="center"/>
        </w:trPr>
        <w:tc>
          <w:tcPr>
            <w:tcW w:w="1325" w:type="pct"/>
            <w:vMerge w:val="restart"/>
            <w:shd w:val="clear" w:color="auto" w:fill="009D73"/>
            <w:vAlign w:val="center"/>
          </w:tcPr>
          <w:p w14:paraId="0463267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107" w:type="pct"/>
            <w:shd w:val="clear" w:color="auto" w:fill="009D73"/>
            <w:vAlign w:val="center"/>
          </w:tcPr>
          <w:p w14:paraId="6AC6CD5C"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67C13C7A"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7B3A1079"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7D96F155"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22B541FE"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70468685" w14:textId="77777777" w:rsidTr="00BC37DE">
        <w:trPr>
          <w:trHeight w:val="567"/>
          <w:jc w:val="center"/>
        </w:trPr>
        <w:tc>
          <w:tcPr>
            <w:tcW w:w="1325" w:type="pct"/>
            <w:vMerge/>
            <w:shd w:val="clear" w:color="auto" w:fill="009D73"/>
            <w:vAlign w:val="center"/>
          </w:tcPr>
          <w:p w14:paraId="16D66C0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107" w:type="pct"/>
            <w:shd w:val="clear" w:color="auto" w:fill="FFFFFF"/>
            <w:vAlign w:val="center"/>
          </w:tcPr>
          <w:p w14:paraId="3AFBAA01"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The degree of information exchange between the academic community and policy makers</w:t>
            </w:r>
          </w:p>
        </w:tc>
        <w:tc>
          <w:tcPr>
            <w:tcW w:w="1283" w:type="pct"/>
            <w:shd w:val="clear" w:color="auto" w:fill="FFFFFF"/>
            <w:vAlign w:val="center"/>
          </w:tcPr>
          <w:p w14:paraId="63B5B131"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Low</w:t>
            </w:r>
          </w:p>
        </w:tc>
        <w:tc>
          <w:tcPr>
            <w:tcW w:w="1284" w:type="pct"/>
            <w:shd w:val="clear" w:color="auto" w:fill="FFFFFF"/>
            <w:vAlign w:val="center"/>
          </w:tcPr>
          <w:p w14:paraId="4C5B93EB" w14:textId="77777777"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High</w:t>
            </w:r>
          </w:p>
        </w:tc>
      </w:tr>
      <w:tr w:rsidR="00005022" w:rsidRPr="007C4D65" w14:paraId="27EC7B41" w14:textId="77777777" w:rsidTr="00BC37DE">
        <w:trPr>
          <w:trHeight w:val="567"/>
          <w:jc w:val="center"/>
        </w:trPr>
        <w:tc>
          <w:tcPr>
            <w:tcW w:w="1325" w:type="pct"/>
            <w:shd w:val="clear" w:color="auto" w:fill="009D73"/>
            <w:vAlign w:val="center"/>
          </w:tcPr>
          <w:p w14:paraId="5CA38896"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realization of priorities</w:t>
            </w:r>
          </w:p>
        </w:tc>
        <w:tc>
          <w:tcPr>
            <w:tcW w:w="3675" w:type="pct"/>
            <w:gridSpan w:val="3"/>
            <w:shd w:val="clear" w:color="auto" w:fill="FFFFFF"/>
            <w:vAlign w:val="center"/>
          </w:tcPr>
          <w:p w14:paraId="08BBCE78" w14:textId="5EA552F0" w:rsidR="00005022" w:rsidRPr="007C4D65" w:rsidRDefault="0032506A"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Increased scientific knowledge on the protection and improvement of biodiversity aimed at improved </w:t>
            </w:r>
            <w:r w:rsidR="009F16BA" w:rsidRPr="007C4D65">
              <w:rPr>
                <w:rFonts w:asciiTheme="minorHAnsi" w:eastAsiaTheme="minorHAnsi" w:hAnsiTheme="minorHAnsi" w:cstheme="minorHAnsi"/>
                <w:sz w:val="18"/>
                <w:szCs w:val="18"/>
                <w:lang w:eastAsia="en-US" w:bidi="en-US"/>
              </w:rPr>
              <w:t>decision-making</w:t>
            </w:r>
          </w:p>
        </w:tc>
      </w:tr>
      <w:tr w:rsidR="00005022" w:rsidRPr="007C4D65" w14:paraId="3B8ADA64" w14:textId="77777777" w:rsidTr="00BC37DE">
        <w:trPr>
          <w:trHeight w:val="567"/>
          <w:jc w:val="center"/>
        </w:trPr>
        <w:tc>
          <w:tcPr>
            <w:tcW w:w="1325" w:type="pct"/>
            <w:shd w:val="clear" w:color="auto" w:fill="009D73"/>
            <w:vAlign w:val="center"/>
          </w:tcPr>
          <w:p w14:paraId="36414627" w14:textId="653EC960"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75" w:type="pct"/>
            <w:gridSpan w:val="3"/>
            <w:shd w:val="clear" w:color="auto" w:fill="FFFFFF"/>
            <w:vAlign w:val="center"/>
          </w:tcPr>
          <w:p w14:paraId="24B93166" w14:textId="2BBC4799" w:rsidR="0032506A" w:rsidRPr="007C4D65" w:rsidRDefault="0032506A" w:rsidP="0032506A">
            <w:pPr>
              <w:spacing w:before="40" w:after="40" w:line="276" w:lineRule="auto"/>
              <w:rPr>
                <w:rFonts w:asciiTheme="minorHAnsi" w:hAnsiTheme="minorHAnsi" w:cstheme="minorHAnsi"/>
                <w:color w:val="000000" w:themeColor="text1"/>
                <w:sz w:val="18"/>
                <w:szCs w:val="18"/>
                <w:lang w:bidi="en-US"/>
              </w:rPr>
            </w:pPr>
            <w:r w:rsidRPr="007C4D65">
              <w:rPr>
                <w:rFonts w:asciiTheme="minorHAnsi" w:hAnsiTheme="minorHAnsi" w:cstheme="minorHAnsi"/>
                <w:color w:val="000000" w:themeColor="text1"/>
                <w:sz w:val="18"/>
                <w:szCs w:val="18"/>
                <w:lang w:bidi="en-US"/>
              </w:rPr>
              <w:t>Amount: BAM 181,374</w:t>
            </w:r>
          </w:p>
          <w:p w14:paraId="012D2255" w14:textId="0E6F451B" w:rsidR="00005022" w:rsidRPr="007C4D65" w:rsidRDefault="0032506A" w:rsidP="0032506A">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rPr>
              <w:t xml:space="preserve">Source: 100% </w:t>
            </w:r>
            <w:r w:rsidR="000E401F" w:rsidRPr="007C4D65">
              <w:rPr>
                <w:rFonts w:asciiTheme="minorHAnsi" w:hAnsiTheme="minorHAnsi" w:cstheme="minorHAnsi"/>
                <w:color w:val="000000" w:themeColor="text1"/>
                <w:sz w:val="18"/>
                <w:szCs w:val="18"/>
              </w:rPr>
              <w:t>government budget</w:t>
            </w:r>
          </w:p>
        </w:tc>
      </w:tr>
      <w:tr w:rsidR="00005022" w:rsidRPr="007C4D65" w14:paraId="3E7E1EFC" w14:textId="77777777" w:rsidTr="00BC37DE">
        <w:trPr>
          <w:trHeight w:val="567"/>
          <w:jc w:val="center"/>
        </w:trPr>
        <w:tc>
          <w:tcPr>
            <w:tcW w:w="1325" w:type="pct"/>
            <w:shd w:val="clear" w:color="auto" w:fill="009D73"/>
            <w:vAlign w:val="center"/>
          </w:tcPr>
          <w:p w14:paraId="58E8FB0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75" w:type="pct"/>
            <w:gridSpan w:val="3"/>
            <w:shd w:val="clear" w:color="auto" w:fill="FFFFFF"/>
            <w:vAlign w:val="center"/>
          </w:tcPr>
          <w:p w14:paraId="7CF42D63"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2023 - 2030</w:t>
            </w:r>
          </w:p>
        </w:tc>
      </w:tr>
      <w:tr w:rsidR="00005022" w:rsidRPr="007C4D65" w14:paraId="2DD17D89" w14:textId="77777777" w:rsidTr="00BC37DE">
        <w:trPr>
          <w:trHeight w:val="567"/>
          <w:jc w:val="center"/>
        </w:trPr>
        <w:tc>
          <w:tcPr>
            <w:tcW w:w="1325" w:type="pct"/>
            <w:shd w:val="clear" w:color="auto" w:fill="009D73"/>
            <w:vAlign w:val="center"/>
          </w:tcPr>
          <w:p w14:paraId="0777724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75" w:type="pct"/>
            <w:gridSpan w:val="3"/>
            <w:shd w:val="clear" w:color="auto" w:fill="FFFFFF"/>
            <w:vAlign w:val="center"/>
          </w:tcPr>
          <w:p w14:paraId="0C68DC20"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w:t>
            </w:r>
          </w:p>
        </w:tc>
      </w:tr>
      <w:tr w:rsidR="00005022" w:rsidRPr="007C4D65" w14:paraId="00B3B4FE" w14:textId="77777777" w:rsidTr="00BC37DE">
        <w:trPr>
          <w:trHeight w:val="567"/>
          <w:jc w:val="center"/>
        </w:trPr>
        <w:tc>
          <w:tcPr>
            <w:tcW w:w="1325" w:type="pct"/>
            <w:shd w:val="clear" w:color="auto" w:fill="009D73"/>
            <w:vAlign w:val="center"/>
          </w:tcPr>
          <w:p w14:paraId="58C9B64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Implementing institutions </w:t>
            </w:r>
          </w:p>
        </w:tc>
        <w:tc>
          <w:tcPr>
            <w:tcW w:w="3675" w:type="pct"/>
            <w:gridSpan w:val="3"/>
            <w:shd w:val="clear" w:color="auto" w:fill="FFFFFF"/>
            <w:vAlign w:val="center"/>
          </w:tcPr>
          <w:p w14:paraId="4D639764"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MOFTER, IEEB (Inter-entity environmental body)</w:t>
            </w:r>
          </w:p>
        </w:tc>
      </w:tr>
      <w:tr w:rsidR="00005022" w:rsidRPr="007C4D65" w14:paraId="6EBE4F48" w14:textId="77777777" w:rsidTr="00BC37DE">
        <w:trPr>
          <w:trHeight w:val="567"/>
          <w:jc w:val="center"/>
        </w:trPr>
        <w:tc>
          <w:tcPr>
            <w:tcW w:w="1325" w:type="pct"/>
            <w:shd w:val="clear" w:color="auto" w:fill="009D73"/>
            <w:vAlign w:val="center"/>
          </w:tcPr>
          <w:p w14:paraId="093329B3" w14:textId="31F96AA7"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75" w:type="pct"/>
            <w:gridSpan w:val="3"/>
            <w:shd w:val="clear" w:color="auto" w:fill="FFFFFF"/>
            <w:vAlign w:val="center"/>
          </w:tcPr>
          <w:p w14:paraId="0AD37F10" w14:textId="2E5D9109"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public, Federation and </w:t>
            </w:r>
            <w:r w:rsidR="0032506A"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line and sectoral ministries, academic community, non-governmental organizations</w:t>
            </w:r>
          </w:p>
        </w:tc>
      </w:tr>
    </w:tbl>
    <w:p w14:paraId="15F463C6"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38"/>
        <w:gridCol w:w="2956"/>
        <w:gridCol w:w="3426"/>
        <w:gridCol w:w="3431"/>
      </w:tblGrid>
      <w:tr w:rsidR="00005022" w:rsidRPr="007C4D65" w14:paraId="798DC618" w14:textId="77777777" w:rsidTr="00BC37DE">
        <w:trPr>
          <w:trHeight w:val="567"/>
          <w:jc w:val="center"/>
        </w:trPr>
        <w:tc>
          <w:tcPr>
            <w:tcW w:w="1325" w:type="pct"/>
            <w:shd w:val="clear" w:color="auto" w:fill="009D73"/>
            <w:vAlign w:val="center"/>
          </w:tcPr>
          <w:p w14:paraId="5BA4604B" w14:textId="66D635A5"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75" w:type="pct"/>
            <w:gridSpan w:val="3"/>
            <w:shd w:val="clear" w:color="auto" w:fill="FFFFFF"/>
            <w:vAlign w:val="center"/>
          </w:tcPr>
          <w:p w14:paraId="4C0F1462" w14:textId="35EA9CDC"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3</w:t>
            </w:r>
            <w:r w:rsidR="0032506A" w:rsidRPr="007C4D65">
              <w:rPr>
                <w:rFonts w:asciiTheme="minorHAnsi" w:eastAsia="Calibri" w:hAnsiTheme="minorHAnsi" w:cstheme="minorHAnsi"/>
                <w:b/>
                <w:bCs/>
                <w:sz w:val="18"/>
                <w:szCs w:val="18"/>
                <w:lang w:eastAsia="en-US"/>
              </w:rPr>
              <w:t xml:space="preserve">. </w:t>
            </w:r>
            <w:r w:rsidR="00203931" w:rsidRPr="007C4D65">
              <w:rPr>
                <w:rFonts w:asciiTheme="minorHAnsi" w:eastAsia="Calibri" w:hAnsiTheme="minorHAnsi" w:cstheme="minorHAnsi"/>
                <w:b/>
                <w:bCs/>
                <w:sz w:val="18"/>
                <w:szCs w:val="18"/>
                <w:lang w:eastAsia="en-US"/>
              </w:rPr>
              <w:t xml:space="preserve">Maintaining and improving biodiversity and protecting ecosystems </w:t>
            </w:r>
          </w:p>
        </w:tc>
      </w:tr>
      <w:tr w:rsidR="00005022" w:rsidRPr="007C4D65" w14:paraId="5B5ED2EF" w14:textId="77777777" w:rsidTr="00BC37DE">
        <w:trPr>
          <w:trHeight w:val="567"/>
          <w:jc w:val="center"/>
        </w:trPr>
        <w:tc>
          <w:tcPr>
            <w:tcW w:w="1325" w:type="pct"/>
            <w:shd w:val="clear" w:color="auto" w:fill="009D73"/>
            <w:vAlign w:val="center"/>
          </w:tcPr>
          <w:p w14:paraId="4EF5866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bookmarkStart w:id="301" w:name="_Hlk94116595"/>
            <w:r w:rsidRPr="007C4D65">
              <w:rPr>
                <w:rFonts w:asciiTheme="minorHAnsi" w:eastAsiaTheme="minorHAnsi" w:hAnsiTheme="minorHAnsi" w:cstheme="minorHAnsi"/>
                <w:b/>
                <w:bCs/>
                <w:color w:val="FFFFFF" w:themeColor="background1"/>
                <w:sz w:val="18"/>
                <w:szCs w:val="18"/>
                <w:lang w:eastAsia="en-US" w:bidi="en-US"/>
              </w:rPr>
              <w:t>Priority</w:t>
            </w:r>
          </w:p>
        </w:tc>
        <w:tc>
          <w:tcPr>
            <w:tcW w:w="3675" w:type="pct"/>
            <w:gridSpan w:val="3"/>
            <w:shd w:val="clear" w:color="auto" w:fill="FFFFFF"/>
            <w:vAlign w:val="center"/>
          </w:tcPr>
          <w:p w14:paraId="3C31BE50" w14:textId="455156F0" w:rsidR="00005022" w:rsidRPr="007C4D65" w:rsidRDefault="00005022" w:rsidP="00005022">
            <w:pPr>
              <w:spacing w:before="40" w:after="40" w:line="276" w:lineRule="auto"/>
              <w:rPr>
                <w:rFonts w:asciiTheme="minorHAnsi" w:hAnsiTheme="minorHAnsi" w:cstheme="minorHAnsi"/>
                <w:b/>
                <w:bCs/>
                <w:sz w:val="18"/>
                <w:szCs w:val="18"/>
                <w:lang w:eastAsia="zh-TW"/>
              </w:rPr>
            </w:pPr>
            <w:bookmarkStart w:id="302" w:name="_Hlk94634665"/>
            <w:r w:rsidRPr="007C4D65">
              <w:rPr>
                <w:rFonts w:asciiTheme="minorHAnsi" w:hAnsiTheme="minorHAnsi" w:cstheme="minorHAnsi"/>
                <w:b/>
                <w:bCs/>
                <w:sz w:val="18"/>
                <w:szCs w:val="18"/>
                <w:lang w:eastAsia="zh-TW"/>
              </w:rPr>
              <w:t>3.</w:t>
            </w:r>
            <w:r w:rsidR="0032506A" w:rsidRPr="007C4D65">
              <w:rPr>
                <w:rFonts w:asciiTheme="minorHAnsi" w:hAnsiTheme="minorHAnsi" w:cstheme="minorHAnsi"/>
                <w:b/>
                <w:bCs/>
                <w:sz w:val="18"/>
                <w:szCs w:val="18"/>
                <w:lang w:eastAsia="zh-TW"/>
              </w:rPr>
              <w:t>9</w:t>
            </w:r>
            <w:r w:rsidRPr="007C4D65">
              <w:rPr>
                <w:rFonts w:asciiTheme="minorHAnsi" w:hAnsiTheme="minorHAnsi" w:cstheme="minorHAnsi"/>
                <w:b/>
                <w:bCs/>
                <w:sz w:val="18"/>
                <w:szCs w:val="18"/>
                <w:lang w:eastAsia="zh-TW"/>
              </w:rPr>
              <w:t xml:space="preserve"> </w:t>
            </w:r>
            <w:r w:rsidR="001B3EDE" w:rsidRPr="007C4D65">
              <w:rPr>
                <w:rFonts w:asciiTheme="minorHAnsi" w:hAnsiTheme="minorHAnsi" w:cstheme="minorHAnsi"/>
                <w:b/>
                <w:bCs/>
                <w:sz w:val="18"/>
                <w:szCs w:val="18"/>
                <w:lang w:eastAsia="zh-TW"/>
              </w:rPr>
              <w:t>Raising</w:t>
            </w:r>
            <w:r w:rsidRPr="007C4D65">
              <w:rPr>
                <w:rFonts w:asciiTheme="minorHAnsi" w:hAnsiTheme="minorHAnsi" w:cstheme="minorHAnsi"/>
                <w:b/>
                <w:bCs/>
                <w:sz w:val="18"/>
                <w:szCs w:val="18"/>
                <w:lang w:eastAsia="zh-TW"/>
              </w:rPr>
              <w:t xml:space="preserve"> environmental awareness about biodiversity, nature conservation and ecosystem services</w:t>
            </w:r>
            <w:bookmarkEnd w:id="302"/>
          </w:p>
        </w:tc>
      </w:tr>
      <w:bookmarkEnd w:id="301"/>
      <w:tr w:rsidR="00005022" w:rsidRPr="007C4D65" w14:paraId="6B5B5924" w14:textId="77777777" w:rsidTr="00BC37DE">
        <w:trPr>
          <w:trHeight w:val="567"/>
          <w:jc w:val="center"/>
        </w:trPr>
        <w:tc>
          <w:tcPr>
            <w:tcW w:w="1325" w:type="pct"/>
            <w:shd w:val="clear" w:color="auto" w:fill="009D73"/>
            <w:vAlign w:val="center"/>
          </w:tcPr>
          <w:p w14:paraId="5FCF0CC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75" w:type="pct"/>
            <w:gridSpan w:val="3"/>
            <w:shd w:val="clear" w:color="auto" w:fill="FFFFFF"/>
            <w:vAlign w:val="center"/>
          </w:tcPr>
          <w:p w14:paraId="252A85CA" w14:textId="1B428654" w:rsidR="00005022" w:rsidRPr="007C4D65" w:rsidRDefault="00005022" w:rsidP="00005022">
            <w:pPr>
              <w:spacing w:after="160" w:line="276" w:lineRule="auto"/>
              <w:rPr>
                <w:rFonts w:asciiTheme="minorHAnsi" w:eastAsia="Calibri" w:hAnsiTheme="minorHAnsi" w:cstheme="minorHAnsi"/>
                <w:b/>
                <w:bCs/>
                <w:sz w:val="18"/>
                <w:szCs w:val="18"/>
                <w:lang w:eastAsia="en-US"/>
              </w:rPr>
            </w:pPr>
            <w:bookmarkStart w:id="303" w:name="_Hlk94634690"/>
            <w:r w:rsidRPr="007C4D65">
              <w:rPr>
                <w:rFonts w:asciiTheme="minorHAnsi" w:eastAsia="Calibri" w:hAnsiTheme="minorHAnsi" w:cstheme="minorHAnsi"/>
                <w:b/>
                <w:bCs/>
                <w:sz w:val="18"/>
                <w:szCs w:val="18"/>
                <w:lang w:eastAsia="en-US"/>
              </w:rPr>
              <w:t>3.</w:t>
            </w:r>
            <w:r w:rsidR="0032506A" w:rsidRPr="007C4D65">
              <w:rPr>
                <w:rFonts w:asciiTheme="minorHAnsi" w:eastAsia="Calibri" w:hAnsiTheme="minorHAnsi" w:cstheme="minorHAnsi"/>
                <w:b/>
                <w:bCs/>
                <w:sz w:val="18"/>
                <w:szCs w:val="18"/>
                <w:lang w:eastAsia="en-US"/>
              </w:rPr>
              <w:t>9</w:t>
            </w:r>
            <w:r w:rsidRPr="007C4D65">
              <w:rPr>
                <w:rFonts w:asciiTheme="minorHAnsi" w:eastAsia="Calibri" w:hAnsiTheme="minorHAnsi" w:cstheme="minorHAnsi"/>
                <w:b/>
                <w:bCs/>
                <w:sz w:val="18"/>
                <w:szCs w:val="18"/>
                <w:lang w:eastAsia="en-US"/>
              </w:rPr>
              <w:t xml:space="preserve">.1 Develop an effective network of non-governmental organizations for monitoring the state of biodiversity/nature, active participation in </w:t>
            </w:r>
            <w:r w:rsidR="009F16BA" w:rsidRPr="007C4D65">
              <w:rPr>
                <w:rFonts w:asciiTheme="minorHAnsi" w:eastAsia="Calibri" w:hAnsiTheme="minorHAnsi" w:cstheme="minorHAnsi"/>
                <w:b/>
                <w:bCs/>
                <w:sz w:val="18"/>
                <w:szCs w:val="18"/>
                <w:lang w:eastAsia="en-US"/>
              </w:rPr>
              <w:t xml:space="preserve">decision-making  </w:t>
            </w:r>
            <w:r w:rsidRPr="007C4D65">
              <w:rPr>
                <w:rFonts w:asciiTheme="minorHAnsi" w:eastAsia="Calibri" w:hAnsiTheme="minorHAnsi" w:cstheme="minorHAnsi"/>
                <w:b/>
                <w:bCs/>
                <w:sz w:val="18"/>
                <w:szCs w:val="18"/>
                <w:lang w:eastAsia="en-US"/>
              </w:rPr>
              <w:t xml:space="preserve"> and the promotion of sustainable development</w:t>
            </w:r>
            <w:bookmarkEnd w:id="303"/>
          </w:p>
        </w:tc>
      </w:tr>
      <w:tr w:rsidR="00005022" w:rsidRPr="007C4D65" w14:paraId="60C979D2" w14:textId="77777777" w:rsidTr="00BC37DE">
        <w:trPr>
          <w:trHeight w:val="567"/>
          <w:jc w:val="center"/>
        </w:trPr>
        <w:tc>
          <w:tcPr>
            <w:tcW w:w="1325" w:type="pct"/>
            <w:shd w:val="clear" w:color="auto" w:fill="009D73"/>
            <w:vAlign w:val="center"/>
          </w:tcPr>
          <w:p w14:paraId="2A77B43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Description of the measure with the general area of intervention</w:t>
            </w:r>
          </w:p>
        </w:tc>
        <w:tc>
          <w:tcPr>
            <w:tcW w:w="3675" w:type="pct"/>
            <w:gridSpan w:val="3"/>
            <w:shd w:val="clear" w:color="auto" w:fill="FFFFFF"/>
            <w:vAlign w:val="center"/>
          </w:tcPr>
          <w:p w14:paraId="4D495874"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304" w:name="_Hlk94634890"/>
            <w:r w:rsidRPr="007C4D65">
              <w:rPr>
                <w:rFonts w:asciiTheme="minorHAnsi" w:eastAsia="Calibri" w:hAnsiTheme="minorHAnsi" w:cstheme="minorHAnsi"/>
                <w:sz w:val="18"/>
                <w:szCs w:val="18"/>
                <w:lang w:eastAsia="en-US"/>
              </w:rPr>
              <w:t>The aim of this measure is to strengthen the capacity and role of the non-governmental sector as an active component of the framework for biodiversity/nature conservation. In addition, the measure envisages activities for the development of cooperation between governmental institutions and the non-governmental sector.</w:t>
            </w:r>
          </w:p>
          <w:bookmarkEnd w:id="304"/>
          <w:p w14:paraId="11D33601" w14:textId="640BDF64"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General </w:t>
            </w:r>
            <w:r w:rsidR="0076407C" w:rsidRPr="007C4D65">
              <w:rPr>
                <w:rFonts w:asciiTheme="minorHAnsi" w:eastAsia="Calibri" w:hAnsiTheme="minorHAnsi" w:cstheme="minorHAnsi"/>
                <w:sz w:val="18"/>
                <w:szCs w:val="18"/>
                <w:lang w:eastAsia="en-US"/>
              </w:rPr>
              <w:t>areas of intervention</w:t>
            </w:r>
            <w:r w:rsidRPr="007C4D65">
              <w:rPr>
                <w:rFonts w:asciiTheme="minorHAnsi" w:eastAsia="Calibri" w:hAnsiTheme="minorHAnsi" w:cstheme="minorHAnsi"/>
                <w:sz w:val="18"/>
                <w:szCs w:val="18"/>
                <w:lang w:eastAsia="en-US"/>
              </w:rPr>
              <w:t xml:space="preserve"> include:</w:t>
            </w:r>
          </w:p>
          <w:p w14:paraId="6ECB925C" w14:textId="076BB4CE"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In cooperation with the NGO sector, prepare a communication strategy for the nature conservation, ecosystem services and sustainable management of natural resources </w:t>
            </w:r>
            <w:r w:rsidR="001B3EDE" w:rsidRPr="007C4D65">
              <w:rPr>
                <w:rFonts w:asciiTheme="minorHAnsi" w:eastAsia="Calibri" w:hAnsiTheme="minorHAnsi" w:cstheme="minorHAnsi"/>
                <w:sz w:val="18"/>
                <w:szCs w:val="18"/>
                <w:lang w:eastAsia="en-US"/>
              </w:rPr>
              <w:t>in</w:t>
            </w:r>
            <w:r w:rsidRPr="007C4D65">
              <w:rPr>
                <w:rFonts w:asciiTheme="minorHAnsi" w:eastAsia="Calibri" w:hAnsiTheme="minorHAnsi" w:cstheme="minorHAnsi"/>
                <w:sz w:val="18"/>
                <w:szCs w:val="18"/>
                <w:lang w:eastAsia="en-US"/>
              </w:rPr>
              <w:t xml:space="preserve"> the F</w:t>
            </w:r>
            <w:r w:rsidR="001B3EDE" w:rsidRPr="007C4D65">
              <w:rPr>
                <w:rFonts w:asciiTheme="minorHAnsi" w:eastAsia="Calibri" w:hAnsiTheme="minorHAnsi" w:cstheme="minorHAnsi"/>
                <w:sz w:val="18"/>
                <w:szCs w:val="18"/>
                <w:lang w:eastAsia="en-US"/>
              </w:rPr>
              <w:t xml:space="preserve">ederation of </w:t>
            </w:r>
            <w:proofErr w:type="gramStart"/>
            <w:r w:rsidRPr="007C4D65">
              <w:rPr>
                <w:rFonts w:asciiTheme="minorHAnsi" w:eastAsia="Calibri" w:hAnsiTheme="minorHAnsi" w:cstheme="minorHAnsi"/>
                <w:sz w:val="18"/>
                <w:szCs w:val="18"/>
                <w:lang w:eastAsia="en-US"/>
              </w:rPr>
              <w:t>BiH</w:t>
            </w:r>
            <w:r w:rsidR="00B30020" w:rsidRPr="007C4D65">
              <w:rPr>
                <w:rFonts w:asciiTheme="minorHAnsi" w:eastAsia="Calibri" w:hAnsiTheme="minorHAnsi" w:cstheme="minorHAnsi"/>
                <w:sz w:val="18"/>
                <w:szCs w:val="18"/>
                <w:lang w:eastAsia="en-US"/>
              </w:rPr>
              <w:t>;</w:t>
            </w:r>
            <w:proofErr w:type="gramEnd"/>
          </w:p>
          <w:p w14:paraId="12BAD700" w14:textId="4A0400BA" w:rsidR="00005022" w:rsidRPr="007C4D65" w:rsidRDefault="001B3EDE"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Undertake</w:t>
            </w:r>
            <w:r w:rsidR="00005022" w:rsidRPr="007C4D65">
              <w:rPr>
                <w:rFonts w:asciiTheme="minorHAnsi" w:eastAsia="Calibri" w:hAnsiTheme="minorHAnsi" w:cstheme="minorHAnsi"/>
                <w:sz w:val="18"/>
                <w:szCs w:val="18"/>
                <w:lang w:eastAsia="en-US"/>
              </w:rPr>
              <w:t xml:space="preserve"> targeted campaigns in order to raise public awareness and promote nature conservation, taking into account gender equality and social equality in the area of the conservation of the biological and landscape diversity and identify key </w:t>
            </w:r>
            <w:proofErr w:type="gramStart"/>
            <w:r w:rsidR="00005022" w:rsidRPr="007C4D65">
              <w:rPr>
                <w:rFonts w:asciiTheme="minorHAnsi" w:eastAsia="Calibri" w:hAnsiTheme="minorHAnsi" w:cstheme="minorHAnsi"/>
                <w:sz w:val="18"/>
                <w:szCs w:val="18"/>
                <w:lang w:eastAsia="en-US"/>
              </w:rPr>
              <w:t>interventions</w:t>
            </w:r>
            <w:r w:rsidR="00B30020" w:rsidRPr="007C4D65">
              <w:rPr>
                <w:rFonts w:asciiTheme="minorHAnsi" w:eastAsia="Calibri" w:hAnsiTheme="minorHAnsi" w:cstheme="minorHAnsi"/>
                <w:sz w:val="18"/>
                <w:szCs w:val="18"/>
                <w:lang w:eastAsia="en-US"/>
              </w:rPr>
              <w:t>;</w:t>
            </w:r>
            <w:proofErr w:type="gramEnd"/>
          </w:p>
          <w:p w14:paraId="24D6CCFB" w14:textId="169CBAC3"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Promote cooperation within the NGO </w:t>
            </w:r>
            <w:proofErr w:type="gramStart"/>
            <w:r w:rsidRPr="007C4D65">
              <w:rPr>
                <w:rFonts w:asciiTheme="minorHAnsi" w:eastAsia="Calibri" w:hAnsiTheme="minorHAnsi" w:cstheme="minorHAnsi"/>
                <w:sz w:val="18"/>
                <w:szCs w:val="18"/>
                <w:lang w:eastAsia="en-US"/>
              </w:rPr>
              <w:t>sector</w:t>
            </w:r>
            <w:r w:rsidR="00B30020" w:rsidRPr="007C4D65">
              <w:rPr>
                <w:rFonts w:asciiTheme="minorHAnsi" w:eastAsia="Calibri" w:hAnsiTheme="minorHAnsi" w:cstheme="minorHAnsi"/>
                <w:sz w:val="18"/>
                <w:szCs w:val="18"/>
                <w:lang w:eastAsia="en-US"/>
              </w:rPr>
              <w:t>;</w:t>
            </w:r>
            <w:proofErr w:type="gramEnd"/>
          </w:p>
          <w:p w14:paraId="5F827294" w14:textId="15B5807E"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Improve cooperation with organizations</w:t>
            </w:r>
            <w:r w:rsidR="001B3EDE" w:rsidRPr="007C4D65">
              <w:rPr>
                <w:rFonts w:asciiTheme="minorHAnsi" w:eastAsia="Calibri" w:hAnsiTheme="minorHAnsi" w:cstheme="minorHAnsi"/>
                <w:sz w:val="18"/>
                <w:szCs w:val="18"/>
                <w:lang w:eastAsia="en-US"/>
              </w:rPr>
              <w:t xml:space="preserve"> focusing on</w:t>
            </w:r>
            <w:r w:rsidRPr="007C4D65">
              <w:rPr>
                <w:rFonts w:asciiTheme="minorHAnsi" w:eastAsia="Calibri" w:hAnsiTheme="minorHAnsi" w:cstheme="minorHAnsi"/>
                <w:sz w:val="18"/>
                <w:szCs w:val="18"/>
                <w:lang w:eastAsia="en-US"/>
              </w:rPr>
              <w:t xml:space="preserve"> the nature conservation, and encourage the implementation of volunteer program</w:t>
            </w:r>
            <w:r w:rsidR="001B3EDE" w:rsidRPr="007C4D65">
              <w:rPr>
                <w:rFonts w:asciiTheme="minorHAnsi" w:eastAsia="Calibri" w:hAnsiTheme="minorHAnsi" w:cstheme="minorHAnsi"/>
                <w:sz w:val="18"/>
                <w:szCs w:val="18"/>
                <w:lang w:eastAsia="en-US"/>
              </w:rPr>
              <w:t>me</w:t>
            </w:r>
            <w:r w:rsidRPr="007C4D65">
              <w:rPr>
                <w:rFonts w:asciiTheme="minorHAnsi" w:eastAsia="Calibri" w:hAnsiTheme="minorHAnsi" w:cstheme="minorHAnsi"/>
                <w:sz w:val="18"/>
                <w:szCs w:val="18"/>
                <w:lang w:eastAsia="en-US"/>
              </w:rPr>
              <w:t xml:space="preserve">s in this </w:t>
            </w:r>
            <w:proofErr w:type="gramStart"/>
            <w:r w:rsidRPr="007C4D65">
              <w:rPr>
                <w:rFonts w:asciiTheme="minorHAnsi" w:eastAsia="Calibri" w:hAnsiTheme="minorHAnsi" w:cstheme="minorHAnsi"/>
                <w:sz w:val="18"/>
                <w:szCs w:val="18"/>
                <w:lang w:eastAsia="en-US"/>
              </w:rPr>
              <w:t>area;</w:t>
            </w:r>
            <w:proofErr w:type="gramEnd"/>
          </w:p>
          <w:p w14:paraId="2A7276DA" w14:textId="6F0F1758"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Ensure and encourage a greater public participation in </w:t>
            </w:r>
            <w:r w:rsidR="00F47646"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 xml:space="preserve">planning </w:t>
            </w:r>
            <w:r w:rsidR="00F47646" w:rsidRPr="007C4D65">
              <w:rPr>
                <w:rFonts w:asciiTheme="minorHAnsi" w:eastAsia="Calibri" w:hAnsiTheme="minorHAnsi" w:cstheme="minorHAnsi"/>
                <w:sz w:val="18"/>
                <w:szCs w:val="18"/>
                <w:lang w:eastAsia="en-US"/>
              </w:rPr>
              <w:t xml:space="preserve">process </w:t>
            </w:r>
            <w:r w:rsidRPr="007C4D65">
              <w:rPr>
                <w:rFonts w:asciiTheme="minorHAnsi" w:eastAsia="Calibri" w:hAnsiTheme="minorHAnsi" w:cstheme="minorHAnsi"/>
                <w:sz w:val="18"/>
                <w:szCs w:val="18"/>
                <w:lang w:eastAsia="en-US"/>
              </w:rPr>
              <w:t>and nature conservation</w:t>
            </w:r>
            <w:r w:rsidR="00F47646" w:rsidRPr="007C4D65">
              <w:rPr>
                <w:rFonts w:asciiTheme="minorHAnsi" w:eastAsia="Calibri" w:hAnsiTheme="minorHAnsi" w:cstheme="minorHAnsi"/>
                <w:sz w:val="18"/>
                <w:szCs w:val="18"/>
                <w:lang w:eastAsia="en-US"/>
              </w:rPr>
              <w:t xml:space="preserve"> activities</w:t>
            </w:r>
            <w:r w:rsidRPr="007C4D65">
              <w:rPr>
                <w:rFonts w:asciiTheme="minorHAnsi" w:eastAsia="Calibri" w:hAnsiTheme="minorHAnsi" w:cstheme="minorHAnsi"/>
                <w:sz w:val="18"/>
                <w:szCs w:val="18"/>
                <w:lang w:eastAsia="en-US"/>
              </w:rPr>
              <w:t xml:space="preserve">, and </w:t>
            </w:r>
            <w:proofErr w:type="gramStart"/>
            <w:r w:rsidRPr="007C4D65">
              <w:rPr>
                <w:rFonts w:asciiTheme="minorHAnsi" w:eastAsia="Calibri" w:hAnsiTheme="minorHAnsi" w:cstheme="minorHAnsi"/>
                <w:sz w:val="18"/>
                <w:szCs w:val="18"/>
                <w:lang w:eastAsia="en-US"/>
              </w:rPr>
              <w:t xml:space="preserve">in  </w:t>
            </w:r>
            <w:r w:rsidR="009F16BA" w:rsidRPr="007C4D65">
              <w:rPr>
                <w:rFonts w:asciiTheme="minorHAnsi" w:eastAsia="Calibri" w:hAnsiTheme="minorHAnsi" w:cstheme="minorHAnsi"/>
                <w:sz w:val="18"/>
                <w:szCs w:val="18"/>
                <w:lang w:eastAsia="en-US"/>
              </w:rPr>
              <w:t>decision</w:t>
            </w:r>
            <w:proofErr w:type="gramEnd"/>
            <w:r w:rsidR="009F16BA" w:rsidRPr="007C4D65">
              <w:rPr>
                <w:rFonts w:asciiTheme="minorHAnsi" w:eastAsia="Calibri" w:hAnsiTheme="minorHAnsi" w:cstheme="minorHAnsi"/>
                <w:sz w:val="18"/>
                <w:szCs w:val="18"/>
                <w:lang w:eastAsia="en-US"/>
              </w:rPr>
              <w:t xml:space="preserve">-making  </w:t>
            </w:r>
            <w:r w:rsidR="00F47646" w:rsidRPr="007C4D65">
              <w:rPr>
                <w:rFonts w:asciiTheme="minorHAnsi" w:eastAsia="Calibri" w:hAnsiTheme="minorHAnsi" w:cstheme="minorHAnsi"/>
                <w:sz w:val="18"/>
                <w:szCs w:val="18"/>
                <w:lang w:eastAsia="en-US"/>
              </w:rPr>
              <w:t xml:space="preserve"> on </w:t>
            </w:r>
            <w:r w:rsidRPr="007C4D65">
              <w:rPr>
                <w:rFonts w:asciiTheme="minorHAnsi" w:eastAsia="Calibri" w:hAnsiTheme="minorHAnsi" w:cstheme="minorHAnsi"/>
                <w:sz w:val="18"/>
                <w:szCs w:val="18"/>
                <w:lang w:eastAsia="en-US"/>
              </w:rPr>
              <w:t>plan</w:t>
            </w:r>
            <w:r w:rsidR="00F47646" w:rsidRPr="007C4D65">
              <w:rPr>
                <w:rFonts w:asciiTheme="minorHAnsi" w:eastAsia="Calibri" w:hAnsiTheme="minorHAnsi" w:cstheme="minorHAnsi"/>
                <w:sz w:val="18"/>
                <w:szCs w:val="18"/>
                <w:lang w:eastAsia="en-US"/>
              </w:rPr>
              <w:t>s</w:t>
            </w:r>
            <w:r w:rsidRPr="007C4D65">
              <w:rPr>
                <w:rFonts w:asciiTheme="minorHAnsi" w:eastAsia="Calibri" w:hAnsiTheme="minorHAnsi" w:cstheme="minorHAnsi"/>
                <w:sz w:val="18"/>
                <w:szCs w:val="18"/>
                <w:lang w:eastAsia="en-US"/>
              </w:rPr>
              <w:t xml:space="preserve"> and legislat</w:t>
            </w:r>
            <w:r w:rsidR="00F47646" w:rsidRPr="007C4D65">
              <w:rPr>
                <w:rFonts w:asciiTheme="minorHAnsi" w:eastAsia="Calibri" w:hAnsiTheme="minorHAnsi" w:cstheme="minorHAnsi"/>
                <w:sz w:val="18"/>
                <w:szCs w:val="18"/>
                <w:lang w:eastAsia="en-US"/>
              </w:rPr>
              <w:t>ive activities</w:t>
            </w:r>
            <w:r w:rsidR="00B30020" w:rsidRPr="007C4D65">
              <w:rPr>
                <w:rFonts w:asciiTheme="minorHAnsi" w:eastAsia="Calibri" w:hAnsiTheme="minorHAnsi" w:cstheme="minorHAnsi"/>
                <w:sz w:val="18"/>
                <w:szCs w:val="18"/>
                <w:lang w:eastAsia="en-US"/>
              </w:rPr>
              <w:t>;</w:t>
            </w:r>
          </w:p>
          <w:p w14:paraId="04464FEE" w14:textId="7C377321"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Strengthen cooperation between institutions, NGOs and the media </w:t>
            </w:r>
            <w:r w:rsidR="00F47646" w:rsidRPr="007C4D65">
              <w:rPr>
                <w:rFonts w:asciiTheme="minorHAnsi" w:eastAsia="Calibri" w:hAnsiTheme="minorHAnsi" w:cstheme="minorHAnsi"/>
                <w:sz w:val="18"/>
                <w:szCs w:val="18"/>
                <w:lang w:eastAsia="en-US"/>
              </w:rPr>
              <w:t>to keep focus on</w:t>
            </w:r>
            <w:r w:rsidRPr="007C4D65">
              <w:rPr>
                <w:rFonts w:asciiTheme="minorHAnsi" w:eastAsia="Calibri" w:hAnsiTheme="minorHAnsi" w:cstheme="minorHAnsi"/>
                <w:sz w:val="18"/>
                <w:szCs w:val="18"/>
                <w:lang w:eastAsia="en-US"/>
              </w:rPr>
              <w:t xml:space="preserve"> the nature conservation</w:t>
            </w:r>
            <w:r w:rsidR="00F47646" w:rsidRPr="007C4D65">
              <w:rPr>
                <w:rFonts w:asciiTheme="minorHAnsi" w:eastAsia="Calibri" w:hAnsiTheme="minorHAnsi" w:cstheme="minorHAnsi"/>
                <w:sz w:val="18"/>
                <w:szCs w:val="18"/>
                <w:lang w:eastAsia="en-US"/>
              </w:rPr>
              <w:t xml:space="preserve"> </w:t>
            </w:r>
            <w:proofErr w:type="gramStart"/>
            <w:r w:rsidR="00F47646" w:rsidRPr="007C4D65">
              <w:rPr>
                <w:rFonts w:asciiTheme="minorHAnsi" w:eastAsia="Calibri" w:hAnsiTheme="minorHAnsi" w:cstheme="minorHAnsi"/>
                <w:sz w:val="18"/>
                <w:szCs w:val="18"/>
                <w:lang w:eastAsia="en-US"/>
              </w:rPr>
              <w:t>topics</w:t>
            </w:r>
            <w:r w:rsidRPr="007C4D65">
              <w:rPr>
                <w:rFonts w:asciiTheme="minorHAnsi" w:eastAsia="Calibri" w:hAnsiTheme="minorHAnsi" w:cstheme="minorHAnsi"/>
                <w:sz w:val="18"/>
                <w:szCs w:val="18"/>
                <w:lang w:eastAsia="en-US"/>
              </w:rPr>
              <w:t>;</w:t>
            </w:r>
            <w:proofErr w:type="gramEnd"/>
          </w:p>
          <w:p w14:paraId="187522EC" w14:textId="30FF864D"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Identify the institution/organization for monitoring public awareness about the environment/biodiversity and</w:t>
            </w:r>
            <w:r w:rsidR="00F47646" w:rsidRPr="007C4D65">
              <w:rPr>
                <w:rFonts w:asciiTheme="minorHAnsi" w:eastAsia="Calibri" w:hAnsiTheme="minorHAnsi" w:cstheme="minorHAnsi"/>
                <w:sz w:val="18"/>
                <w:szCs w:val="18"/>
                <w:lang w:eastAsia="en-US"/>
              </w:rPr>
              <w:t xml:space="preserve"> </w:t>
            </w:r>
            <w:r w:rsidR="000A3893" w:rsidRPr="007C4D65">
              <w:rPr>
                <w:rFonts w:asciiTheme="minorHAnsi" w:eastAsia="Calibri" w:hAnsiTheme="minorHAnsi" w:cstheme="minorHAnsi"/>
                <w:sz w:val="18"/>
                <w:szCs w:val="18"/>
                <w:lang w:eastAsia="en-US"/>
              </w:rPr>
              <w:t xml:space="preserve">benefits from </w:t>
            </w:r>
            <w:proofErr w:type="gramStart"/>
            <w:r w:rsidR="000A3893" w:rsidRPr="007C4D65">
              <w:rPr>
                <w:rFonts w:asciiTheme="minorHAnsi" w:eastAsia="Calibri" w:hAnsiTheme="minorHAnsi" w:cstheme="minorHAnsi"/>
                <w:sz w:val="18"/>
                <w:szCs w:val="18"/>
                <w:lang w:eastAsia="en-US"/>
              </w:rPr>
              <w:t xml:space="preserve">nature </w:t>
            </w:r>
            <w:r w:rsidR="00F47646" w:rsidRPr="007C4D65">
              <w:rPr>
                <w:rFonts w:asciiTheme="minorHAnsi" w:eastAsia="Calibri" w:hAnsiTheme="minorHAnsi" w:cstheme="minorHAnsi"/>
                <w:sz w:val="18"/>
                <w:szCs w:val="18"/>
                <w:lang w:eastAsia="en-US"/>
              </w:rPr>
              <w:t>,</w:t>
            </w:r>
            <w:proofErr w:type="gramEnd"/>
            <w:r w:rsidRPr="007C4D65">
              <w:rPr>
                <w:rFonts w:asciiTheme="minorHAnsi" w:eastAsia="Calibri" w:hAnsiTheme="minorHAnsi" w:cstheme="minorHAnsi"/>
                <w:sz w:val="18"/>
                <w:szCs w:val="18"/>
                <w:lang w:eastAsia="en-US"/>
              </w:rPr>
              <w:t xml:space="preserve"> and ensure its </w:t>
            </w:r>
            <w:r w:rsidR="00F47646" w:rsidRPr="007C4D65">
              <w:rPr>
                <w:rFonts w:asciiTheme="minorHAnsi" w:eastAsia="Calibri" w:hAnsiTheme="minorHAnsi" w:cstheme="minorHAnsi"/>
                <w:sz w:val="18"/>
                <w:szCs w:val="18"/>
                <w:lang w:eastAsia="en-US"/>
              </w:rPr>
              <w:t>efficacy</w:t>
            </w:r>
            <w:r w:rsidR="00B30020" w:rsidRPr="007C4D65">
              <w:rPr>
                <w:rFonts w:asciiTheme="minorHAnsi" w:eastAsia="Calibri" w:hAnsiTheme="minorHAnsi" w:cstheme="minorHAnsi"/>
                <w:sz w:val="18"/>
                <w:szCs w:val="18"/>
                <w:lang w:eastAsia="en-US"/>
              </w:rPr>
              <w:t>.</w:t>
            </w:r>
          </w:p>
        </w:tc>
      </w:tr>
      <w:tr w:rsidR="00005022" w:rsidRPr="007C4D65" w14:paraId="7E819B31" w14:textId="77777777" w:rsidTr="00BC37DE">
        <w:trPr>
          <w:trHeight w:val="567"/>
          <w:jc w:val="center"/>
        </w:trPr>
        <w:tc>
          <w:tcPr>
            <w:tcW w:w="1325" w:type="pct"/>
            <w:shd w:val="clear" w:color="auto" w:fill="009D73"/>
            <w:vAlign w:val="center"/>
          </w:tcPr>
          <w:p w14:paraId="2C534F12"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75" w:type="pct"/>
            <w:gridSpan w:val="3"/>
            <w:tcBorders>
              <w:bottom w:val="single" w:sz="4" w:space="0" w:color="A6A6A6"/>
            </w:tcBorders>
            <w:shd w:val="clear" w:color="auto" w:fill="FFFFFF" w:themeFill="background1"/>
            <w:vAlign w:val="center"/>
          </w:tcPr>
          <w:p w14:paraId="130D40F4"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6EFDD7FE" w14:textId="77777777" w:rsidTr="00BC37DE">
        <w:trPr>
          <w:trHeight w:val="567"/>
          <w:jc w:val="center"/>
        </w:trPr>
        <w:tc>
          <w:tcPr>
            <w:tcW w:w="1325" w:type="pct"/>
            <w:vMerge w:val="restart"/>
            <w:shd w:val="clear" w:color="auto" w:fill="009D73"/>
            <w:vAlign w:val="center"/>
          </w:tcPr>
          <w:p w14:paraId="4D2B9CB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107" w:type="pct"/>
            <w:shd w:val="clear" w:color="auto" w:fill="009D73"/>
            <w:vAlign w:val="center"/>
          </w:tcPr>
          <w:p w14:paraId="1D28D4E8"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427C7E61"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3D092E9F"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244E6C5F"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6FA02D7C"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5AD2E5FB" w14:textId="77777777" w:rsidTr="00BC37DE">
        <w:trPr>
          <w:trHeight w:val="567"/>
          <w:jc w:val="center"/>
        </w:trPr>
        <w:tc>
          <w:tcPr>
            <w:tcW w:w="1325" w:type="pct"/>
            <w:vMerge/>
            <w:shd w:val="clear" w:color="auto" w:fill="009D73"/>
            <w:vAlign w:val="center"/>
          </w:tcPr>
          <w:p w14:paraId="1B54257C"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107" w:type="pct"/>
            <w:shd w:val="clear" w:color="auto" w:fill="FFFFFF"/>
            <w:vAlign w:val="center"/>
          </w:tcPr>
          <w:p w14:paraId="062EC36B" w14:textId="0A191C32"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The level of environmental awareness of the population</w:t>
            </w:r>
            <w:r w:rsidR="007219B1" w:rsidRPr="007C4D65">
              <w:rPr>
                <w:rFonts w:asciiTheme="minorHAnsi" w:eastAsia="Calibri" w:hAnsiTheme="minorHAnsi" w:cstheme="minorHAnsi"/>
                <w:sz w:val="18"/>
                <w:szCs w:val="18"/>
                <w:lang w:eastAsia="x-none"/>
              </w:rPr>
              <w:t xml:space="preserve"> in the Federation of BiH</w:t>
            </w:r>
            <w:r w:rsidRPr="007C4D65">
              <w:rPr>
                <w:rFonts w:asciiTheme="minorHAnsi" w:eastAsia="Calibri" w:hAnsiTheme="minorHAnsi" w:cstheme="minorHAnsi"/>
                <w:sz w:val="18"/>
                <w:szCs w:val="18"/>
                <w:lang w:eastAsia="x-none"/>
              </w:rPr>
              <w:t xml:space="preserve"> </w:t>
            </w:r>
            <w:proofErr w:type="gramStart"/>
            <w:r w:rsidRPr="007C4D65">
              <w:rPr>
                <w:rFonts w:asciiTheme="minorHAnsi" w:eastAsia="Calibri" w:hAnsiTheme="minorHAnsi" w:cstheme="minorHAnsi"/>
                <w:sz w:val="18"/>
                <w:szCs w:val="18"/>
                <w:lang w:eastAsia="x-none"/>
              </w:rPr>
              <w:t>as a result of</w:t>
            </w:r>
            <w:proofErr w:type="gramEnd"/>
            <w:r w:rsidRPr="007C4D65">
              <w:rPr>
                <w:rFonts w:asciiTheme="minorHAnsi" w:eastAsia="Calibri" w:hAnsiTheme="minorHAnsi" w:cstheme="minorHAnsi"/>
                <w:sz w:val="18"/>
                <w:szCs w:val="18"/>
                <w:lang w:eastAsia="x-none"/>
              </w:rPr>
              <w:t xml:space="preserve"> the </w:t>
            </w:r>
            <w:r w:rsidR="007219B1" w:rsidRPr="007C4D65">
              <w:rPr>
                <w:rFonts w:asciiTheme="minorHAnsi" w:eastAsia="Calibri" w:hAnsiTheme="minorHAnsi" w:cstheme="minorHAnsi"/>
                <w:sz w:val="18"/>
                <w:szCs w:val="18"/>
                <w:lang w:eastAsia="x-none"/>
              </w:rPr>
              <w:t>efforts</w:t>
            </w:r>
            <w:r w:rsidRPr="007C4D65">
              <w:rPr>
                <w:rFonts w:asciiTheme="minorHAnsi" w:eastAsia="Calibri" w:hAnsiTheme="minorHAnsi" w:cstheme="minorHAnsi"/>
                <w:sz w:val="18"/>
                <w:szCs w:val="18"/>
                <w:lang w:eastAsia="x-none"/>
              </w:rPr>
              <w:t xml:space="preserve"> of an efficient network of non-governmental organizations</w:t>
            </w:r>
          </w:p>
        </w:tc>
        <w:tc>
          <w:tcPr>
            <w:tcW w:w="1283" w:type="pct"/>
            <w:shd w:val="clear" w:color="auto" w:fill="FFFFFF"/>
            <w:vAlign w:val="center"/>
          </w:tcPr>
          <w:p w14:paraId="4B0B8A48" w14:textId="55D01136"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Low </w:t>
            </w:r>
            <w:r w:rsidR="007219B1" w:rsidRPr="007C4D65">
              <w:rPr>
                <w:rFonts w:asciiTheme="minorHAnsi" w:eastAsiaTheme="minorHAnsi" w:hAnsiTheme="minorHAnsi" w:cstheme="minorHAnsi"/>
                <w:sz w:val="18"/>
                <w:szCs w:val="18"/>
                <w:lang w:eastAsia="en-US" w:bidi="en-US"/>
              </w:rPr>
              <w:t xml:space="preserve">level of </w:t>
            </w:r>
            <w:r w:rsidRPr="007C4D65">
              <w:rPr>
                <w:rFonts w:asciiTheme="minorHAnsi" w:eastAsiaTheme="minorHAnsi" w:hAnsiTheme="minorHAnsi" w:cstheme="minorHAnsi"/>
                <w:sz w:val="18"/>
                <w:szCs w:val="18"/>
                <w:lang w:eastAsia="en-US" w:bidi="en-US"/>
              </w:rPr>
              <w:t>environmental awareness</w:t>
            </w:r>
          </w:p>
        </w:tc>
        <w:tc>
          <w:tcPr>
            <w:tcW w:w="1284" w:type="pct"/>
            <w:shd w:val="clear" w:color="auto" w:fill="FFFFFF"/>
            <w:vAlign w:val="center"/>
          </w:tcPr>
          <w:p w14:paraId="14C4BEA8" w14:textId="4CF7A620"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High </w:t>
            </w:r>
            <w:r w:rsidR="007219B1" w:rsidRPr="007C4D65">
              <w:rPr>
                <w:rFonts w:asciiTheme="minorHAnsi" w:eastAsiaTheme="minorHAnsi" w:hAnsiTheme="minorHAnsi" w:cstheme="minorHAnsi"/>
                <w:sz w:val="18"/>
                <w:szCs w:val="18"/>
                <w:lang w:eastAsia="en-US" w:bidi="en-US"/>
              </w:rPr>
              <w:t>level of environmental awareness</w:t>
            </w:r>
          </w:p>
        </w:tc>
      </w:tr>
      <w:tr w:rsidR="00005022" w:rsidRPr="007C4D65" w14:paraId="5E711AB8" w14:textId="77777777" w:rsidTr="00BC37DE">
        <w:trPr>
          <w:trHeight w:val="567"/>
          <w:jc w:val="center"/>
        </w:trPr>
        <w:tc>
          <w:tcPr>
            <w:tcW w:w="1325" w:type="pct"/>
            <w:shd w:val="clear" w:color="auto" w:fill="009D73"/>
            <w:vAlign w:val="center"/>
          </w:tcPr>
          <w:p w14:paraId="67CDBBCD"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realization of priorities</w:t>
            </w:r>
          </w:p>
        </w:tc>
        <w:tc>
          <w:tcPr>
            <w:tcW w:w="3675" w:type="pct"/>
            <w:gridSpan w:val="3"/>
            <w:shd w:val="clear" w:color="auto" w:fill="FFFFFF"/>
            <w:vAlign w:val="center"/>
          </w:tcPr>
          <w:p w14:paraId="5AAA9DB5" w14:textId="293BC3D1" w:rsidR="00005022" w:rsidRPr="007C4D65" w:rsidRDefault="007219B1"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Enhanced participation of citizens </w:t>
            </w:r>
            <w:r w:rsidR="00C224E3" w:rsidRPr="007C4D65">
              <w:rPr>
                <w:rFonts w:asciiTheme="minorHAnsi" w:eastAsiaTheme="minorHAnsi" w:hAnsiTheme="minorHAnsi" w:cstheme="minorHAnsi"/>
                <w:sz w:val="18"/>
                <w:szCs w:val="18"/>
                <w:lang w:eastAsia="en-US" w:bidi="en-US"/>
              </w:rPr>
              <w:t>through</w:t>
            </w:r>
            <w:r w:rsidRPr="007C4D65">
              <w:rPr>
                <w:rFonts w:asciiTheme="minorHAnsi" w:eastAsiaTheme="minorHAnsi" w:hAnsiTheme="minorHAnsi" w:cstheme="minorHAnsi"/>
                <w:sz w:val="18"/>
                <w:szCs w:val="18"/>
                <w:lang w:eastAsia="en-US" w:bidi="en-US"/>
              </w:rPr>
              <w:t xml:space="preserve"> a partnership with the civil sector</w:t>
            </w:r>
          </w:p>
        </w:tc>
      </w:tr>
      <w:tr w:rsidR="00005022" w:rsidRPr="007C4D65" w14:paraId="61ADE9DC" w14:textId="77777777" w:rsidTr="00BC37DE">
        <w:trPr>
          <w:trHeight w:val="567"/>
          <w:jc w:val="center"/>
        </w:trPr>
        <w:tc>
          <w:tcPr>
            <w:tcW w:w="1325" w:type="pct"/>
            <w:shd w:val="clear" w:color="auto" w:fill="009D73"/>
            <w:vAlign w:val="center"/>
          </w:tcPr>
          <w:p w14:paraId="341AE940" w14:textId="5185BA0B"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75" w:type="pct"/>
            <w:gridSpan w:val="3"/>
            <w:shd w:val="clear" w:color="auto" w:fill="FFFFFF"/>
            <w:vAlign w:val="center"/>
          </w:tcPr>
          <w:p w14:paraId="1E2E7E95" w14:textId="2601F98D" w:rsidR="007219B1" w:rsidRPr="007C4D65" w:rsidRDefault="007219B1" w:rsidP="007219B1">
            <w:pPr>
              <w:spacing w:before="40" w:after="40" w:line="276" w:lineRule="auto"/>
              <w:rPr>
                <w:rFonts w:asciiTheme="minorHAnsi" w:hAnsiTheme="minorHAnsi" w:cstheme="minorHAnsi"/>
                <w:color w:val="000000" w:themeColor="text1"/>
                <w:sz w:val="18"/>
                <w:szCs w:val="18"/>
                <w:lang w:bidi="en-US"/>
              </w:rPr>
            </w:pPr>
            <w:r w:rsidRPr="007C4D65">
              <w:rPr>
                <w:rFonts w:asciiTheme="minorHAnsi" w:hAnsiTheme="minorHAnsi" w:cstheme="minorHAnsi"/>
                <w:color w:val="000000" w:themeColor="text1"/>
                <w:sz w:val="18"/>
                <w:szCs w:val="18"/>
                <w:lang w:bidi="en-US"/>
              </w:rPr>
              <w:t>Amount: BAM 484,295</w:t>
            </w:r>
          </w:p>
          <w:p w14:paraId="0772FF04" w14:textId="62BE5339" w:rsidR="00005022" w:rsidRPr="007C4D65" w:rsidRDefault="009E6B20" w:rsidP="007219B1">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lang w:bidi="en-US"/>
              </w:rPr>
              <w:t xml:space="preserve">Source: </w:t>
            </w:r>
            <w:r w:rsidR="007219B1" w:rsidRPr="007C4D65">
              <w:rPr>
                <w:rFonts w:asciiTheme="minorHAnsi" w:hAnsiTheme="minorHAnsi" w:cstheme="minorHAnsi"/>
                <w:color w:val="000000" w:themeColor="text1"/>
                <w:sz w:val="18"/>
                <w:szCs w:val="18"/>
                <w:lang w:bidi="en-US"/>
              </w:rPr>
              <w:t xml:space="preserve"> </w:t>
            </w:r>
            <w:r w:rsidR="007219B1" w:rsidRPr="007C4D65">
              <w:rPr>
                <w:rFonts w:asciiTheme="minorHAnsi" w:hAnsiTheme="minorHAnsi" w:cstheme="minorHAnsi"/>
                <w:color w:val="000000" w:themeColor="text1"/>
                <w:sz w:val="18"/>
                <w:szCs w:val="18"/>
              </w:rPr>
              <w:t xml:space="preserve">20% </w:t>
            </w:r>
            <w:r w:rsidR="000E401F" w:rsidRPr="007C4D65">
              <w:rPr>
                <w:rFonts w:asciiTheme="minorHAnsi" w:hAnsiTheme="minorHAnsi" w:cstheme="minorHAnsi"/>
                <w:color w:val="000000" w:themeColor="text1"/>
                <w:sz w:val="18"/>
                <w:szCs w:val="18"/>
              </w:rPr>
              <w:t>government budget</w:t>
            </w:r>
            <w:r w:rsidR="007219B1" w:rsidRPr="007C4D65">
              <w:rPr>
                <w:rFonts w:asciiTheme="minorHAnsi" w:hAnsiTheme="minorHAnsi" w:cstheme="minorHAnsi"/>
                <w:color w:val="000000" w:themeColor="text1"/>
                <w:sz w:val="18"/>
                <w:szCs w:val="18"/>
              </w:rPr>
              <w:t xml:space="preserve">, </w:t>
            </w:r>
            <w:r w:rsidR="007219B1" w:rsidRPr="007C4D65">
              <w:rPr>
                <w:rFonts w:asciiTheme="minorHAnsi" w:hAnsiTheme="minorHAnsi" w:cstheme="minorHAnsi"/>
                <w:color w:val="000000" w:themeColor="text1"/>
                <w:sz w:val="18"/>
                <w:szCs w:val="18"/>
                <w:lang w:bidi="en-US"/>
              </w:rPr>
              <w:t>80% combined ‒ funds from EU and other international donors, other donations</w:t>
            </w:r>
          </w:p>
        </w:tc>
      </w:tr>
      <w:tr w:rsidR="00005022" w:rsidRPr="007C4D65" w14:paraId="00097AD4" w14:textId="77777777" w:rsidTr="00BC37DE">
        <w:trPr>
          <w:trHeight w:val="567"/>
          <w:jc w:val="center"/>
        </w:trPr>
        <w:tc>
          <w:tcPr>
            <w:tcW w:w="1325" w:type="pct"/>
            <w:shd w:val="clear" w:color="auto" w:fill="009D73"/>
            <w:vAlign w:val="center"/>
          </w:tcPr>
          <w:p w14:paraId="67F1799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75" w:type="pct"/>
            <w:gridSpan w:val="3"/>
            <w:shd w:val="clear" w:color="auto" w:fill="FFFFFF"/>
            <w:vAlign w:val="center"/>
          </w:tcPr>
          <w:p w14:paraId="35D32399"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2024 - 2030</w:t>
            </w:r>
          </w:p>
        </w:tc>
      </w:tr>
      <w:tr w:rsidR="00005022" w:rsidRPr="007C4D65" w14:paraId="65D617A1" w14:textId="77777777" w:rsidTr="00BC37DE">
        <w:trPr>
          <w:trHeight w:val="567"/>
          <w:jc w:val="center"/>
        </w:trPr>
        <w:tc>
          <w:tcPr>
            <w:tcW w:w="1325" w:type="pct"/>
            <w:shd w:val="clear" w:color="auto" w:fill="009D73"/>
            <w:vAlign w:val="center"/>
          </w:tcPr>
          <w:p w14:paraId="06B9CD1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Institution responsible for coordinating the implementation of the measure</w:t>
            </w:r>
          </w:p>
        </w:tc>
        <w:tc>
          <w:tcPr>
            <w:tcW w:w="3675" w:type="pct"/>
            <w:gridSpan w:val="3"/>
            <w:shd w:val="clear" w:color="auto" w:fill="FFFFFF"/>
            <w:vAlign w:val="center"/>
          </w:tcPr>
          <w:p w14:paraId="20FEB0EC"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NGOs</w:t>
            </w:r>
          </w:p>
        </w:tc>
      </w:tr>
      <w:tr w:rsidR="00005022" w:rsidRPr="007C4D65" w14:paraId="6B3297DC" w14:textId="77777777" w:rsidTr="00BC37DE">
        <w:trPr>
          <w:trHeight w:val="567"/>
          <w:jc w:val="center"/>
        </w:trPr>
        <w:tc>
          <w:tcPr>
            <w:tcW w:w="1325" w:type="pct"/>
            <w:shd w:val="clear" w:color="auto" w:fill="009D73"/>
            <w:vAlign w:val="center"/>
          </w:tcPr>
          <w:p w14:paraId="6155779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Implementing institutions </w:t>
            </w:r>
          </w:p>
        </w:tc>
        <w:tc>
          <w:tcPr>
            <w:tcW w:w="3675" w:type="pct"/>
            <w:gridSpan w:val="3"/>
            <w:shd w:val="clear" w:color="auto" w:fill="FFFFFF"/>
            <w:vAlign w:val="center"/>
          </w:tcPr>
          <w:p w14:paraId="26D8EE16" w14:textId="335288E9"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FMET, </w:t>
            </w:r>
            <w:r w:rsidR="007219B1" w:rsidRPr="007C4D65">
              <w:rPr>
                <w:rFonts w:asciiTheme="minorHAnsi" w:eastAsiaTheme="minorHAnsi" w:hAnsiTheme="minorHAnsi" w:cstheme="minorHAnsi"/>
                <w:sz w:val="18"/>
                <w:szCs w:val="18"/>
                <w:lang w:eastAsia="en-US" w:bidi="en-US"/>
              </w:rPr>
              <w:t>non-governmental organisations, public</w:t>
            </w:r>
            <w:r w:rsidRPr="007C4D65">
              <w:rPr>
                <w:rFonts w:asciiTheme="minorHAnsi" w:eastAsiaTheme="minorHAnsi" w:hAnsiTheme="minorHAnsi" w:cstheme="minorHAnsi"/>
                <w:sz w:val="18"/>
                <w:szCs w:val="18"/>
                <w:lang w:eastAsia="en-US" w:bidi="en-US"/>
              </w:rPr>
              <w:t xml:space="preserve"> institution</w:t>
            </w:r>
            <w:r w:rsidR="007219B1" w:rsidRPr="007C4D65">
              <w:rPr>
                <w:rFonts w:asciiTheme="minorHAnsi" w:eastAsiaTheme="minorHAnsi" w:hAnsiTheme="minorHAnsi" w:cstheme="minorHAnsi"/>
                <w:sz w:val="18"/>
                <w:szCs w:val="18"/>
                <w:lang w:eastAsia="en-US" w:bidi="en-US"/>
              </w:rPr>
              <w:t>s/companies responsible</w:t>
            </w:r>
            <w:r w:rsidRPr="007C4D65">
              <w:rPr>
                <w:rFonts w:asciiTheme="minorHAnsi" w:eastAsiaTheme="minorHAnsi" w:hAnsiTheme="minorHAnsi" w:cstheme="minorHAnsi"/>
                <w:sz w:val="18"/>
                <w:szCs w:val="18"/>
                <w:lang w:eastAsia="en-US" w:bidi="en-US"/>
              </w:rPr>
              <w:t xml:space="preserve"> for the nature conservation</w:t>
            </w:r>
            <w:r w:rsidR="007219B1" w:rsidRPr="007C4D65">
              <w:rPr>
                <w:rFonts w:asciiTheme="minorHAnsi" w:eastAsiaTheme="minorHAnsi" w:hAnsiTheme="minorHAnsi" w:cstheme="minorHAnsi"/>
                <w:sz w:val="18"/>
                <w:szCs w:val="18"/>
                <w:lang w:eastAsia="en-US" w:bidi="en-US"/>
              </w:rPr>
              <w:t>,</w:t>
            </w:r>
            <w:r w:rsidRPr="007C4D65">
              <w:rPr>
                <w:rFonts w:asciiTheme="minorHAnsi" w:eastAsiaTheme="minorHAnsi" w:hAnsiTheme="minorHAnsi" w:cstheme="minorHAnsi"/>
                <w:sz w:val="18"/>
                <w:szCs w:val="18"/>
                <w:lang w:eastAsia="en-US" w:bidi="en-US"/>
              </w:rPr>
              <w:t xml:space="preserve"> </w:t>
            </w:r>
            <w:r w:rsidR="007219B1" w:rsidRPr="007C4D65">
              <w:rPr>
                <w:rFonts w:asciiTheme="minorHAnsi" w:eastAsiaTheme="minorHAnsi" w:hAnsiTheme="minorHAnsi" w:cstheme="minorHAnsi"/>
                <w:sz w:val="18"/>
                <w:szCs w:val="18"/>
                <w:lang w:eastAsia="en-US" w:bidi="en-US"/>
              </w:rPr>
              <w:t>sustainable use, and promotion of protected areas</w:t>
            </w:r>
          </w:p>
        </w:tc>
      </w:tr>
      <w:tr w:rsidR="00005022" w:rsidRPr="007C4D65" w14:paraId="35ADF3E3" w14:textId="77777777" w:rsidTr="00BC37DE">
        <w:trPr>
          <w:trHeight w:val="567"/>
          <w:jc w:val="center"/>
        </w:trPr>
        <w:tc>
          <w:tcPr>
            <w:tcW w:w="1325" w:type="pct"/>
            <w:shd w:val="clear" w:color="auto" w:fill="009D73"/>
            <w:vAlign w:val="center"/>
          </w:tcPr>
          <w:p w14:paraId="0EF8B2E9" w14:textId="0AF44107"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75" w:type="pct"/>
            <w:gridSpan w:val="3"/>
            <w:shd w:val="clear" w:color="auto" w:fill="FFFFFF"/>
            <w:vAlign w:val="center"/>
          </w:tcPr>
          <w:p w14:paraId="75F43BFB" w14:textId="44E8E12B"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public, Federation and </w:t>
            </w:r>
            <w:r w:rsidR="007219B1"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line and sectoral ministries, business companies, local communities, non-governmental organizations</w:t>
            </w:r>
          </w:p>
        </w:tc>
      </w:tr>
    </w:tbl>
    <w:p w14:paraId="6D720DEC"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86"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38"/>
        <w:gridCol w:w="2956"/>
        <w:gridCol w:w="3426"/>
        <w:gridCol w:w="3431"/>
      </w:tblGrid>
      <w:tr w:rsidR="00005022" w:rsidRPr="007C4D65" w14:paraId="08DAE69B" w14:textId="77777777" w:rsidTr="00BC37DE">
        <w:trPr>
          <w:trHeight w:val="567"/>
          <w:jc w:val="center"/>
        </w:trPr>
        <w:tc>
          <w:tcPr>
            <w:tcW w:w="1325" w:type="pct"/>
            <w:shd w:val="clear" w:color="auto" w:fill="009D73"/>
            <w:vAlign w:val="center"/>
          </w:tcPr>
          <w:p w14:paraId="4B8D1B5B" w14:textId="7AB47CAA"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75" w:type="pct"/>
            <w:gridSpan w:val="3"/>
            <w:shd w:val="clear" w:color="auto" w:fill="FFFFFF"/>
            <w:vAlign w:val="center"/>
          </w:tcPr>
          <w:p w14:paraId="7F5F5F60" w14:textId="347DCAD8" w:rsidR="00005022" w:rsidRPr="007C4D65" w:rsidRDefault="00005022" w:rsidP="00005022">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3</w:t>
            </w:r>
            <w:r w:rsidR="007219B1" w:rsidRPr="007C4D65">
              <w:rPr>
                <w:rFonts w:asciiTheme="minorHAnsi" w:eastAsia="Calibri" w:hAnsiTheme="minorHAnsi" w:cstheme="minorHAnsi"/>
                <w:b/>
                <w:bCs/>
                <w:sz w:val="18"/>
                <w:szCs w:val="18"/>
                <w:lang w:eastAsia="en-US"/>
              </w:rPr>
              <w:t xml:space="preserve">. </w:t>
            </w:r>
            <w:r w:rsidR="00203931" w:rsidRPr="007C4D65">
              <w:rPr>
                <w:rFonts w:asciiTheme="minorHAnsi" w:eastAsia="Calibri" w:hAnsiTheme="minorHAnsi" w:cstheme="minorHAnsi"/>
                <w:b/>
                <w:bCs/>
                <w:sz w:val="18"/>
                <w:szCs w:val="18"/>
                <w:lang w:eastAsia="en-US"/>
              </w:rPr>
              <w:t xml:space="preserve">Maintaining and improving biodiversity and protecting ecosystems </w:t>
            </w:r>
          </w:p>
        </w:tc>
      </w:tr>
      <w:tr w:rsidR="00005022" w:rsidRPr="007C4D65" w14:paraId="0C525F32" w14:textId="77777777" w:rsidTr="00BC37DE">
        <w:trPr>
          <w:trHeight w:val="567"/>
          <w:jc w:val="center"/>
        </w:trPr>
        <w:tc>
          <w:tcPr>
            <w:tcW w:w="1325" w:type="pct"/>
            <w:shd w:val="clear" w:color="auto" w:fill="009D73"/>
            <w:vAlign w:val="center"/>
          </w:tcPr>
          <w:p w14:paraId="50CD7E2E"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75" w:type="pct"/>
            <w:gridSpan w:val="3"/>
            <w:shd w:val="clear" w:color="auto" w:fill="FFFFFF"/>
            <w:vAlign w:val="center"/>
          </w:tcPr>
          <w:p w14:paraId="766E9B8D" w14:textId="5CCF02A3" w:rsidR="00005022" w:rsidRPr="007C4D65" w:rsidRDefault="00005022" w:rsidP="00005022">
            <w:pPr>
              <w:spacing w:before="40" w:after="40" w:line="276" w:lineRule="auto"/>
              <w:rPr>
                <w:rFonts w:asciiTheme="minorHAnsi" w:hAnsiTheme="minorHAnsi" w:cstheme="minorHAnsi"/>
                <w:b/>
                <w:bCs/>
                <w:sz w:val="18"/>
                <w:szCs w:val="18"/>
                <w:lang w:eastAsia="zh-TW"/>
              </w:rPr>
            </w:pPr>
            <w:r w:rsidRPr="007C4D65">
              <w:rPr>
                <w:rFonts w:asciiTheme="minorHAnsi" w:hAnsiTheme="minorHAnsi" w:cstheme="minorHAnsi"/>
                <w:b/>
                <w:bCs/>
                <w:sz w:val="18"/>
                <w:szCs w:val="18"/>
                <w:lang w:eastAsia="zh-TW"/>
              </w:rPr>
              <w:t>3.</w:t>
            </w:r>
            <w:r w:rsidR="007219B1" w:rsidRPr="007C4D65">
              <w:rPr>
                <w:rFonts w:asciiTheme="minorHAnsi" w:hAnsiTheme="minorHAnsi" w:cstheme="minorHAnsi"/>
                <w:b/>
                <w:bCs/>
                <w:sz w:val="18"/>
                <w:szCs w:val="18"/>
                <w:lang w:eastAsia="zh-TW"/>
              </w:rPr>
              <w:t>9</w:t>
            </w:r>
            <w:r w:rsidRPr="007C4D65">
              <w:rPr>
                <w:rFonts w:asciiTheme="minorHAnsi" w:hAnsiTheme="minorHAnsi" w:cstheme="minorHAnsi"/>
                <w:b/>
                <w:bCs/>
                <w:sz w:val="18"/>
                <w:szCs w:val="18"/>
                <w:lang w:eastAsia="zh-TW"/>
              </w:rPr>
              <w:t xml:space="preserve"> Strengthen environmental awareness on </w:t>
            </w:r>
            <w:r w:rsidR="007219B1" w:rsidRPr="007C4D65">
              <w:rPr>
                <w:rFonts w:asciiTheme="minorHAnsi" w:hAnsiTheme="minorHAnsi" w:cstheme="minorHAnsi"/>
                <w:b/>
                <w:bCs/>
                <w:sz w:val="18"/>
                <w:szCs w:val="18"/>
                <w:lang w:eastAsia="zh-TW"/>
              </w:rPr>
              <w:t xml:space="preserve">the </w:t>
            </w:r>
            <w:r w:rsidRPr="007C4D65">
              <w:rPr>
                <w:rFonts w:asciiTheme="minorHAnsi" w:hAnsiTheme="minorHAnsi" w:cstheme="minorHAnsi"/>
                <w:b/>
                <w:bCs/>
                <w:sz w:val="18"/>
                <w:szCs w:val="18"/>
                <w:lang w:eastAsia="zh-TW"/>
              </w:rPr>
              <w:t>biodiversity, nature conservation and ecosystem services</w:t>
            </w:r>
          </w:p>
        </w:tc>
      </w:tr>
      <w:tr w:rsidR="00005022" w:rsidRPr="007C4D65" w14:paraId="392BF0FC" w14:textId="77777777" w:rsidTr="00BC37DE">
        <w:trPr>
          <w:trHeight w:val="567"/>
          <w:jc w:val="center"/>
        </w:trPr>
        <w:tc>
          <w:tcPr>
            <w:tcW w:w="1325" w:type="pct"/>
            <w:shd w:val="clear" w:color="auto" w:fill="009D73"/>
            <w:vAlign w:val="center"/>
          </w:tcPr>
          <w:p w14:paraId="4F1AB51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75" w:type="pct"/>
            <w:gridSpan w:val="3"/>
            <w:shd w:val="clear" w:color="auto" w:fill="FFFFFF"/>
            <w:vAlign w:val="center"/>
          </w:tcPr>
          <w:p w14:paraId="4EA20879" w14:textId="596EE413" w:rsidR="00005022" w:rsidRPr="007C4D65" w:rsidRDefault="00005022" w:rsidP="00005022">
            <w:pPr>
              <w:spacing w:after="160" w:line="276" w:lineRule="auto"/>
              <w:rPr>
                <w:rFonts w:asciiTheme="minorHAnsi" w:eastAsia="Calibri" w:hAnsiTheme="minorHAnsi" w:cstheme="minorHAnsi"/>
                <w:b/>
                <w:bCs/>
                <w:sz w:val="18"/>
                <w:szCs w:val="18"/>
                <w:lang w:eastAsia="en-US"/>
              </w:rPr>
            </w:pPr>
            <w:bookmarkStart w:id="305" w:name="_Hlk94634927"/>
            <w:r w:rsidRPr="007C4D65">
              <w:rPr>
                <w:rFonts w:asciiTheme="minorHAnsi" w:eastAsia="Calibri" w:hAnsiTheme="minorHAnsi" w:cstheme="minorHAnsi"/>
                <w:b/>
                <w:bCs/>
                <w:sz w:val="18"/>
                <w:szCs w:val="18"/>
                <w:lang w:eastAsia="en-US"/>
              </w:rPr>
              <w:t>3.</w:t>
            </w:r>
            <w:r w:rsidR="007219B1" w:rsidRPr="007C4D65">
              <w:rPr>
                <w:rFonts w:asciiTheme="minorHAnsi" w:eastAsia="Calibri" w:hAnsiTheme="minorHAnsi" w:cstheme="minorHAnsi"/>
                <w:b/>
                <w:bCs/>
                <w:sz w:val="18"/>
                <w:szCs w:val="18"/>
                <w:lang w:eastAsia="en-US"/>
              </w:rPr>
              <w:t>9</w:t>
            </w:r>
            <w:r w:rsidRPr="007C4D65">
              <w:rPr>
                <w:rFonts w:asciiTheme="minorHAnsi" w:eastAsia="Calibri" w:hAnsiTheme="minorHAnsi" w:cstheme="minorHAnsi"/>
                <w:b/>
                <w:bCs/>
                <w:sz w:val="18"/>
                <w:szCs w:val="18"/>
                <w:lang w:eastAsia="en-US"/>
              </w:rPr>
              <w:t xml:space="preserve">.2 Strengthening support for the education of teaching staff at all levels of education </w:t>
            </w:r>
            <w:proofErr w:type="gramStart"/>
            <w:r w:rsidRPr="007C4D65">
              <w:rPr>
                <w:rFonts w:asciiTheme="minorHAnsi" w:eastAsia="Calibri" w:hAnsiTheme="minorHAnsi" w:cstheme="minorHAnsi"/>
                <w:b/>
                <w:bCs/>
                <w:sz w:val="18"/>
                <w:szCs w:val="18"/>
                <w:lang w:eastAsia="en-US"/>
              </w:rPr>
              <w:t>in the area of</w:t>
            </w:r>
            <w:proofErr w:type="gramEnd"/>
            <w:r w:rsidRPr="007C4D65">
              <w:rPr>
                <w:rFonts w:asciiTheme="minorHAnsi" w:eastAsia="Calibri" w:hAnsiTheme="minorHAnsi" w:cstheme="minorHAnsi"/>
                <w:b/>
                <w:bCs/>
                <w:sz w:val="18"/>
                <w:szCs w:val="18"/>
                <w:lang w:eastAsia="en-US"/>
              </w:rPr>
              <w:t xml:space="preserve"> biodiversity protection and sustainable management of </w:t>
            </w:r>
            <w:r w:rsidR="007219B1" w:rsidRPr="007C4D65">
              <w:rPr>
                <w:rFonts w:asciiTheme="minorHAnsi" w:eastAsia="Calibri" w:hAnsiTheme="minorHAnsi" w:cstheme="minorHAnsi"/>
                <w:b/>
                <w:bCs/>
                <w:sz w:val="18"/>
                <w:szCs w:val="18"/>
                <w:lang w:eastAsia="en-US"/>
              </w:rPr>
              <w:t xml:space="preserve">benefits from the </w:t>
            </w:r>
            <w:r w:rsidRPr="007C4D65">
              <w:rPr>
                <w:rFonts w:asciiTheme="minorHAnsi" w:eastAsia="Calibri" w:hAnsiTheme="minorHAnsi" w:cstheme="minorHAnsi"/>
                <w:b/>
                <w:bCs/>
                <w:sz w:val="18"/>
                <w:szCs w:val="18"/>
                <w:lang w:eastAsia="en-US"/>
              </w:rPr>
              <w:t>natural in the F</w:t>
            </w:r>
            <w:r w:rsidR="007219B1" w:rsidRPr="007C4D65">
              <w:rPr>
                <w:rFonts w:asciiTheme="minorHAnsi" w:eastAsia="Calibri" w:hAnsiTheme="minorHAnsi" w:cstheme="minorHAnsi"/>
                <w:b/>
                <w:bCs/>
                <w:sz w:val="18"/>
                <w:szCs w:val="18"/>
                <w:lang w:eastAsia="en-US"/>
              </w:rPr>
              <w:t xml:space="preserve">ederation of </w:t>
            </w:r>
            <w:r w:rsidRPr="007C4D65">
              <w:rPr>
                <w:rFonts w:asciiTheme="minorHAnsi" w:eastAsia="Calibri" w:hAnsiTheme="minorHAnsi" w:cstheme="minorHAnsi"/>
                <w:b/>
                <w:bCs/>
                <w:sz w:val="18"/>
                <w:szCs w:val="18"/>
                <w:lang w:eastAsia="en-US"/>
              </w:rPr>
              <w:t>BiH</w:t>
            </w:r>
            <w:bookmarkEnd w:id="305"/>
          </w:p>
        </w:tc>
      </w:tr>
      <w:tr w:rsidR="00005022" w:rsidRPr="007C4D65" w14:paraId="6D3DA865" w14:textId="77777777" w:rsidTr="00BC37DE">
        <w:trPr>
          <w:trHeight w:val="567"/>
          <w:jc w:val="center"/>
        </w:trPr>
        <w:tc>
          <w:tcPr>
            <w:tcW w:w="1325" w:type="pct"/>
            <w:shd w:val="clear" w:color="auto" w:fill="009D73"/>
            <w:vAlign w:val="center"/>
          </w:tcPr>
          <w:p w14:paraId="65C8C405"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75" w:type="pct"/>
            <w:gridSpan w:val="3"/>
            <w:shd w:val="clear" w:color="auto" w:fill="FFFFFF"/>
            <w:vAlign w:val="center"/>
          </w:tcPr>
          <w:p w14:paraId="6214D0CD" w14:textId="5674B2AD" w:rsidR="00005022" w:rsidRPr="007C4D65" w:rsidRDefault="00005022"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The aim of this measure is to strengthen the capacity to innovate the content of educational process</w:t>
            </w:r>
            <w:r w:rsidR="007219B1" w:rsidRPr="007C4D65">
              <w:rPr>
                <w:rFonts w:asciiTheme="minorHAnsi" w:eastAsia="Calibri" w:hAnsiTheme="minorHAnsi" w:cstheme="minorHAnsi"/>
                <w:sz w:val="18"/>
                <w:szCs w:val="18"/>
                <w:lang w:eastAsia="en-US"/>
              </w:rPr>
              <w:t>es</w:t>
            </w:r>
            <w:r w:rsidRPr="007C4D65">
              <w:rPr>
                <w:rFonts w:asciiTheme="minorHAnsi" w:eastAsia="Calibri" w:hAnsiTheme="minorHAnsi" w:cstheme="minorHAnsi"/>
                <w:sz w:val="18"/>
                <w:szCs w:val="18"/>
                <w:lang w:eastAsia="en-US"/>
              </w:rPr>
              <w:t xml:space="preserve"> through </w:t>
            </w:r>
            <w:r w:rsidR="007219B1" w:rsidRPr="007C4D65">
              <w:rPr>
                <w:rFonts w:asciiTheme="minorHAnsi" w:eastAsia="Calibri" w:hAnsiTheme="minorHAnsi" w:cstheme="minorHAnsi"/>
                <w:sz w:val="18"/>
                <w:szCs w:val="18"/>
                <w:lang w:eastAsia="en-US"/>
              </w:rPr>
              <w:t>a better understanding of</w:t>
            </w:r>
            <w:r w:rsidRPr="007C4D65">
              <w:rPr>
                <w:rFonts w:asciiTheme="minorHAnsi" w:eastAsia="Calibri" w:hAnsiTheme="minorHAnsi" w:cstheme="minorHAnsi"/>
                <w:sz w:val="18"/>
                <w:szCs w:val="18"/>
                <w:lang w:eastAsia="en-US"/>
              </w:rPr>
              <w:t xml:space="preserve"> the values of local biodiversity/nature. The measure also envisages activities </w:t>
            </w:r>
            <w:r w:rsidR="007219B1" w:rsidRPr="007C4D65">
              <w:rPr>
                <w:rFonts w:asciiTheme="minorHAnsi" w:eastAsia="Calibri" w:hAnsiTheme="minorHAnsi" w:cstheme="minorHAnsi"/>
                <w:sz w:val="18"/>
                <w:szCs w:val="18"/>
                <w:lang w:eastAsia="en-US"/>
              </w:rPr>
              <w:t xml:space="preserve">on development of </w:t>
            </w:r>
            <w:r w:rsidRPr="007C4D65">
              <w:rPr>
                <w:rFonts w:asciiTheme="minorHAnsi" w:eastAsia="Calibri" w:hAnsiTheme="minorHAnsi" w:cstheme="minorHAnsi"/>
                <w:sz w:val="18"/>
                <w:szCs w:val="18"/>
                <w:lang w:eastAsia="en-US"/>
              </w:rPr>
              <w:t>cooperation between the environmental sector and the education sector in the Federation of BiH.</w:t>
            </w:r>
          </w:p>
          <w:p w14:paraId="539B3245" w14:textId="4B58B0B8"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General </w:t>
            </w:r>
            <w:r w:rsidR="0076407C" w:rsidRPr="007C4D65">
              <w:rPr>
                <w:rFonts w:asciiTheme="minorHAnsi" w:eastAsia="Calibri" w:hAnsiTheme="minorHAnsi" w:cstheme="minorHAnsi"/>
                <w:sz w:val="18"/>
                <w:szCs w:val="18"/>
                <w:lang w:eastAsia="en-US"/>
              </w:rPr>
              <w:t>areas of intervention</w:t>
            </w:r>
            <w:r w:rsidRPr="007C4D65">
              <w:rPr>
                <w:rFonts w:asciiTheme="minorHAnsi" w:eastAsia="Calibri" w:hAnsiTheme="minorHAnsi" w:cstheme="minorHAnsi"/>
                <w:sz w:val="18"/>
                <w:szCs w:val="18"/>
                <w:lang w:eastAsia="en-US"/>
              </w:rPr>
              <w:t xml:space="preserve"> include:</w:t>
            </w:r>
          </w:p>
          <w:p w14:paraId="03E46D31" w14:textId="2A312B45" w:rsidR="00005022" w:rsidRPr="007C4D65" w:rsidRDefault="00005022" w:rsidP="00005022">
            <w:pPr>
              <w:numPr>
                <w:ilvl w:val="0"/>
                <w:numId w:val="2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In cooperation with the education sector, identify </w:t>
            </w:r>
            <w:r w:rsidR="007219B1"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needs for support in the education of teaching staff on the values of biodiversity/nature of the F</w:t>
            </w:r>
            <w:r w:rsidR="007219B1" w:rsidRPr="007C4D65">
              <w:rPr>
                <w:rFonts w:asciiTheme="minorHAnsi" w:eastAsia="Calibri" w:hAnsiTheme="minorHAnsi" w:cstheme="minorHAnsi"/>
                <w:sz w:val="18"/>
                <w:szCs w:val="18"/>
                <w:lang w:eastAsia="en-US"/>
              </w:rPr>
              <w:t xml:space="preserve">ederation of </w:t>
            </w:r>
            <w:r w:rsidRPr="007C4D65">
              <w:rPr>
                <w:rFonts w:asciiTheme="minorHAnsi" w:eastAsia="Calibri" w:hAnsiTheme="minorHAnsi" w:cstheme="minorHAnsi"/>
                <w:sz w:val="18"/>
                <w:szCs w:val="18"/>
                <w:lang w:eastAsia="en-US"/>
              </w:rPr>
              <w:t xml:space="preserve">BiH, </w:t>
            </w:r>
            <w:r w:rsidR="007219B1" w:rsidRPr="007C4D65">
              <w:rPr>
                <w:rFonts w:asciiTheme="minorHAnsi" w:eastAsia="Calibri" w:hAnsiTheme="minorHAnsi" w:cstheme="minorHAnsi"/>
                <w:sz w:val="18"/>
                <w:szCs w:val="18"/>
                <w:lang w:eastAsia="en-US"/>
              </w:rPr>
              <w:t>conservation</w:t>
            </w:r>
            <w:r w:rsidRPr="007C4D65">
              <w:rPr>
                <w:rFonts w:asciiTheme="minorHAnsi" w:eastAsia="Calibri" w:hAnsiTheme="minorHAnsi" w:cstheme="minorHAnsi"/>
                <w:sz w:val="18"/>
                <w:szCs w:val="18"/>
                <w:lang w:eastAsia="en-US"/>
              </w:rPr>
              <w:t xml:space="preserve"> measures and sustainable management of </w:t>
            </w:r>
            <w:r w:rsidR="000A3893" w:rsidRPr="007C4D65">
              <w:rPr>
                <w:rFonts w:asciiTheme="minorHAnsi" w:eastAsia="Calibri" w:hAnsiTheme="minorHAnsi" w:cstheme="minorHAnsi"/>
                <w:sz w:val="18"/>
                <w:szCs w:val="18"/>
                <w:lang w:eastAsia="en-US"/>
              </w:rPr>
              <w:t xml:space="preserve">benefits from </w:t>
            </w:r>
            <w:proofErr w:type="gramStart"/>
            <w:r w:rsidR="000A3893" w:rsidRPr="007C4D65">
              <w:rPr>
                <w:rFonts w:asciiTheme="minorHAnsi" w:eastAsia="Calibri" w:hAnsiTheme="minorHAnsi" w:cstheme="minorHAnsi"/>
                <w:sz w:val="18"/>
                <w:szCs w:val="18"/>
                <w:lang w:eastAsia="en-US"/>
              </w:rPr>
              <w:t xml:space="preserve">nature </w:t>
            </w:r>
            <w:r w:rsidRPr="007C4D65">
              <w:rPr>
                <w:rFonts w:asciiTheme="minorHAnsi" w:eastAsia="Calibri" w:hAnsiTheme="minorHAnsi" w:cstheme="minorHAnsi"/>
                <w:sz w:val="18"/>
                <w:szCs w:val="18"/>
                <w:lang w:eastAsia="en-US"/>
              </w:rPr>
              <w:t xml:space="preserve"> at</w:t>
            </w:r>
            <w:proofErr w:type="gramEnd"/>
            <w:r w:rsidRPr="007C4D65">
              <w:rPr>
                <w:rFonts w:asciiTheme="minorHAnsi" w:eastAsia="Calibri" w:hAnsiTheme="minorHAnsi" w:cstheme="minorHAnsi"/>
                <w:sz w:val="18"/>
                <w:szCs w:val="18"/>
                <w:lang w:eastAsia="en-US"/>
              </w:rPr>
              <w:t xml:space="preserve"> all levels of education</w:t>
            </w:r>
            <w:r w:rsidR="00B30020" w:rsidRPr="007C4D65">
              <w:rPr>
                <w:rFonts w:asciiTheme="minorHAnsi" w:eastAsia="Calibri" w:hAnsiTheme="minorHAnsi" w:cstheme="minorHAnsi"/>
                <w:sz w:val="18"/>
                <w:szCs w:val="18"/>
                <w:lang w:eastAsia="en-US"/>
              </w:rPr>
              <w:t>.</w:t>
            </w:r>
          </w:p>
        </w:tc>
      </w:tr>
      <w:tr w:rsidR="00005022" w:rsidRPr="007C4D65" w14:paraId="10A60416" w14:textId="77777777" w:rsidTr="00BC37DE">
        <w:trPr>
          <w:trHeight w:val="567"/>
          <w:jc w:val="center"/>
        </w:trPr>
        <w:tc>
          <w:tcPr>
            <w:tcW w:w="1325" w:type="pct"/>
            <w:shd w:val="clear" w:color="auto" w:fill="009D73"/>
            <w:vAlign w:val="center"/>
          </w:tcPr>
          <w:p w14:paraId="7172225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75" w:type="pct"/>
            <w:gridSpan w:val="3"/>
            <w:tcBorders>
              <w:bottom w:val="single" w:sz="4" w:space="0" w:color="A6A6A6"/>
            </w:tcBorders>
            <w:shd w:val="clear" w:color="auto" w:fill="FFFFFF" w:themeFill="background1"/>
            <w:vAlign w:val="center"/>
          </w:tcPr>
          <w:p w14:paraId="429CB3AE"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4F10636C" w14:textId="77777777" w:rsidTr="00BC37DE">
        <w:trPr>
          <w:trHeight w:val="567"/>
          <w:jc w:val="center"/>
        </w:trPr>
        <w:tc>
          <w:tcPr>
            <w:tcW w:w="1325" w:type="pct"/>
            <w:vMerge w:val="restart"/>
            <w:shd w:val="clear" w:color="auto" w:fill="009D73"/>
            <w:vAlign w:val="center"/>
          </w:tcPr>
          <w:p w14:paraId="4BF78CB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107" w:type="pct"/>
            <w:shd w:val="clear" w:color="auto" w:fill="009D73"/>
            <w:vAlign w:val="center"/>
          </w:tcPr>
          <w:p w14:paraId="72DE48AE"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5497333F"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p>
        </w:tc>
        <w:tc>
          <w:tcPr>
            <w:tcW w:w="1283" w:type="pct"/>
            <w:shd w:val="clear" w:color="auto" w:fill="009D73"/>
            <w:vAlign w:val="center"/>
          </w:tcPr>
          <w:p w14:paraId="4795D16D"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59901EC2"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84" w:type="pct"/>
            <w:shd w:val="clear" w:color="auto" w:fill="009D73"/>
            <w:vAlign w:val="center"/>
          </w:tcPr>
          <w:p w14:paraId="08F8E25B"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6A6F0335" w14:textId="77777777" w:rsidTr="00BC37DE">
        <w:trPr>
          <w:trHeight w:val="567"/>
          <w:jc w:val="center"/>
        </w:trPr>
        <w:tc>
          <w:tcPr>
            <w:tcW w:w="1325" w:type="pct"/>
            <w:vMerge/>
            <w:shd w:val="clear" w:color="auto" w:fill="009D73"/>
            <w:vAlign w:val="center"/>
          </w:tcPr>
          <w:p w14:paraId="42C30013"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107" w:type="pct"/>
            <w:shd w:val="clear" w:color="auto" w:fill="FFFFFF"/>
            <w:vAlign w:val="center"/>
          </w:tcPr>
          <w:p w14:paraId="4DE6AA93" w14:textId="6BEEA00A" w:rsidR="00005022" w:rsidRPr="007C4D65" w:rsidRDefault="000A3893"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Integration of the</w:t>
            </w:r>
            <w:r w:rsidR="00005022" w:rsidRPr="007C4D65">
              <w:rPr>
                <w:rFonts w:asciiTheme="minorHAnsi" w:eastAsia="Calibri" w:hAnsiTheme="minorHAnsi" w:cstheme="minorHAnsi"/>
                <w:sz w:val="18"/>
                <w:szCs w:val="18"/>
                <w:lang w:eastAsia="x-none"/>
              </w:rPr>
              <w:t xml:space="preserve"> knowledge about the values of the biodiversity/nature of the F</w:t>
            </w:r>
            <w:r w:rsidRPr="007C4D65">
              <w:rPr>
                <w:rFonts w:asciiTheme="minorHAnsi" w:eastAsia="Calibri" w:hAnsiTheme="minorHAnsi" w:cstheme="minorHAnsi"/>
                <w:sz w:val="18"/>
                <w:szCs w:val="18"/>
                <w:lang w:eastAsia="x-none"/>
              </w:rPr>
              <w:t xml:space="preserve">ederation of </w:t>
            </w:r>
            <w:r w:rsidR="00005022" w:rsidRPr="007C4D65">
              <w:rPr>
                <w:rFonts w:asciiTheme="minorHAnsi" w:eastAsia="Calibri" w:hAnsiTheme="minorHAnsi" w:cstheme="minorHAnsi"/>
                <w:sz w:val="18"/>
                <w:szCs w:val="18"/>
                <w:lang w:eastAsia="x-none"/>
              </w:rPr>
              <w:t>BiH into educational processes</w:t>
            </w:r>
          </w:p>
        </w:tc>
        <w:tc>
          <w:tcPr>
            <w:tcW w:w="1283" w:type="pct"/>
            <w:shd w:val="clear" w:color="auto" w:fill="FFFFFF"/>
            <w:vAlign w:val="center"/>
          </w:tcPr>
          <w:p w14:paraId="252AA2CB" w14:textId="2CA986AA"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Knowledge about the values of the biodiversity/nature of the FBiH </w:t>
            </w:r>
            <w:r w:rsidR="000A3893" w:rsidRPr="007C4D65">
              <w:rPr>
                <w:rFonts w:asciiTheme="minorHAnsi" w:eastAsiaTheme="minorHAnsi" w:hAnsiTheme="minorHAnsi" w:cstheme="minorHAnsi"/>
                <w:sz w:val="18"/>
                <w:szCs w:val="18"/>
                <w:lang w:eastAsia="en-US" w:bidi="en-US"/>
              </w:rPr>
              <w:t>plays is underrepresented</w:t>
            </w:r>
            <w:r w:rsidRPr="007C4D65">
              <w:rPr>
                <w:rFonts w:asciiTheme="minorHAnsi" w:eastAsiaTheme="minorHAnsi" w:hAnsiTheme="minorHAnsi" w:cstheme="minorHAnsi"/>
                <w:sz w:val="18"/>
                <w:szCs w:val="18"/>
                <w:lang w:eastAsia="en-US" w:bidi="en-US"/>
              </w:rPr>
              <w:t xml:space="preserve"> in educational processes</w:t>
            </w:r>
          </w:p>
        </w:tc>
        <w:tc>
          <w:tcPr>
            <w:tcW w:w="1284" w:type="pct"/>
            <w:shd w:val="clear" w:color="auto" w:fill="FFFFFF"/>
            <w:vAlign w:val="center"/>
          </w:tcPr>
          <w:p w14:paraId="6FB413F8" w14:textId="2FB03521"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Knowledge of the values about the biodiversity/nature of the F</w:t>
            </w:r>
            <w:r w:rsidR="000A3893" w:rsidRPr="007C4D65">
              <w:rPr>
                <w:rFonts w:asciiTheme="minorHAnsi" w:eastAsia="Calibri" w:hAnsiTheme="minorHAnsi" w:cstheme="minorHAnsi"/>
                <w:sz w:val="18"/>
                <w:szCs w:val="18"/>
                <w:lang w:eastAsia="x-none"/>
              </w:rPr>
              <w:t xml:space="preserve">ederation of </w:t>
            </w:r>
            <w:r w:rsidRPr="007C4D65">
              <w:rPr>
                <w:rFonts w:asciiTheme="minorHAnsi" w:eastAsia="Calibri" w:hAnsiTheme="minorHAnsi" w:cstheme="minorHAnsi"/>
                <w:sz w:val="18"/>
                <w:szCs w:val="18"/>
                <w:lang w:eastAsia="x-none"/>
              </w:rPr>
              <w:t xml:space="preserve">BiH </w:t>
            </w:r>
            <w:r w:rsidR="000A3893" w:rsidRPr="007C4D65">
              <w:rPr>
                <w:rFonts w:asciiTheme="minorHAnsi" w:eastAsia="Calibri" w:hAnsiTheme="minorHAnsi" w:cstheme="minorHAnsi"/>
                <w:sz w:val="18"/>
                <w:szCs w:val="18"/>
                <w:lang w:eastAsia="x-none"/>
              </w:rPr>
              <w:t>is well represented</w:t>
            </w:r>
            <w:r w:rsidRPr="007C4D65">
              <w:rPr>
                <w:rFonts w:asciiTheme="minorHAnsi" w:eastAsia="Calibri" w:hAnsiTheme="minorHAnsi" w:cstheme="minorHAnsi"/>
                <w:sz w:val="18"/>
                <w:szCs w:val="18"/>
                <w:lang w:eastAsia="x-none"/>
              </w:rPr>
              <w:t xml:space="preserve"> in educational processes</w:t>
            </w:r>
          </w:p>
        </w:tc>
      </w:tr>
      <w:tr w:rsidR="00005022" w:rsidRPr="007C4D65" w14:paraId="03BB75DC" w14:textId="77777777" w:rsidTr="00BC37DE">
        <w:trPr>
          <w:trHeight w:val="567"/>
          <w:jc w:val="center"/>
        </w:trPr>
        <w:tc>
          <w:tcPr>
            <w:tcW w:w="1325" w:type="pct"/>
            <w:shd w:val="clear" w:color="auto" w:fill="009D73"/>
            <w:vAlign w:val="center"/>
          </w:tcPr>
          <w:p w14:paraId="3FDAFAA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implementation of the priorities</w:t>
            </w:r>
          </w:p>
        </w:tc>
        <w:tc>
          <w:tcPr>
            <w:tcW w:w="3675" w:type="pct"/>
            <w:gridSpan w:val="3"/>
            <w:shd w:val="clear" w:color="auto" w:fill="FFFFFF"/>
            <w:vAlign w:val="center"/>
          </w:tcPr>
          <w:p w14:paraId="4ECF59F9" w14:textId="16EE6052" w:rsidR="00005022" w:rsidRPr="007C4D65" w:rsidRDefault="000A3893"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Increased knowledge, competencies and awareness of the teaching staff of the protection and improvement of biodiversity</w:t>
            </w:r>
          </w:p>
        </w:tc>
      </w:tr>
      <w:tr w:rsidR="00005022" w:rsidRPr="007C4D65" w14:paraId="405E9E89" w14:textId="77777777" w:rsidTr="00BC37DE">
        <w:trPr>
          <w:trHeight w:val="567"/>
          <w:jc w:val="center"/>
        </w:trPr>
        <w:tc>
          <w:tcPr>
            <w:tcW w:w="1325" w:type="pct"/>
            <w:shd w:val="clear" w:color="auto" w:fill="009D73"/>
            <w:vAlign w:val="center"/>
          </w:tcPr>
          <w:p w14:paraId="49A52893" w14:textId="1B6AB016"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Indicative financial projection, with specification of sources</w:t>
            </w:r>
          </w:p>
        </w:tc>
        <w:tc>
          <w:tcPr>
            <w:tcW w:w="3675" w:type="pct"/>
            <w:gridSpan w:val="3"/>
            <w:shd w:val="clear" w:color="auto" w:fill="FFFFFF"/>
            <w:vAlign w:val="center"/>
          </w:tcPr>
          <w:p w14:paraId="4C3BEB7F" w14:textId="2262F871" w:rsidR="000A3893" w:rsidRPr="007C4D65" w:rsidRDefault="000A3893" w:rsidP="000A3893">
            <w:pPr>
              <w:spacing w:before="40" w:after="40" w:line="276" w:lineRule="auto"/>
              <w:rPr>
                <w:rFonts w:asciiTheme="minorHAnsi" w:hAnsiTheme="minorHAnsi" w:cstheme="minorHAnsi"/>
                <w:color w:val="000000" w:themeColor="text1"/>
                <w:sz w:val="18"/>
                <w:szCs w:val="18"/>
                <w:lang w:bidi="en-US"/>
              </w:rPr>
            </w:pPr>
            <w:r w:rsidRPr="007C4D65">
              <w:rPr>
                <w:rFonts w:asciiTheme="minorHAnsi" w:hAnsiTheme="minorHAnsi" w:cstheme="minorHAnsi"/>
                <w:color w:val="000000" w:themeColor="text1"/>
                <w:sz w:val="18"/>
                <w:szCs w:val="18"/>
                <w:lang w:bidi="en-US"/>
              </w:rPr>
              <w:t>Amount: BAM 14,669</w:t>
            </w:r>
          </w:p>
          <w:p w14:paraId="60127D52" w14:textId="1B54D368" w:rsidR="00005022" w:rsidRPr="007C4D65" w:rsidRDefault="009E6B20" w:rsidP="000A3893">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lang w:bidi="en-US"/>
              </w:rPr>
              <w:t xml:space="preserve">Source: </w:t>
            </w:r>
            <w:r w:rsidR="000A3893" w:rsidRPr="007C4D65">
              <w:rPr>
                <w:rFonts w:asciiTheme="minorHAnsi" w:hAnsiTheme="minorHAnsi" w:cstheme="minorHAnsi"/>
                <w:color w:val="000000" w:themeColor="text1"/>
                <w:sz w:val="18"/>
                <w:szCs w:val="18"/>
                <w:lang w:bidi="en-US"/>
              </w:rPr>
              <w:t xml:space="preserve"> 100% </w:t>
            </w:r>
            <w:r w:rsidR="000E401F" w:rsidRPr="007C4D65">
              <w:rPr>
                <w:rFonts w:asciiTheme="minorHAnsi" w:hAnsiTheme="minorHAnsi" w:cstheme="minorHAnsi"/>
                <w:color w:val="000000" w:themeColor="text1"/>
                <w:sz w:val="18"/>
                <w:szCs w:val="18"/>
                <w:lang w:bidi="en-US"/>
              </w:rPr>
              <w:t>government budget</w:t>
            </w:r>
          </w:p>
        </w:tc>
      </w:tr>
      <w:tr w:rsidR="00005022" w:rsidRPr="007C4D65" w14:paraId="7ED5A334" w14:textId="77777777" w:rsidTr="00BC37DE">
        <w:trPr>
          <w:trHeight w:val="567"/>
          <w:jc w:val="center"/>
        </w:trPr>
        <w:tc>
          <w:tcPr>
            <w:tcW w:w="1325" w:type="pct"/>
            <w:shd w:val="clear" w:color="auto" w:fill="009D73"/>
            <w:vAlign w:val="center"/>
          </w:tcPr>
          <w:p w14:paraId="08F4CF41"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75" w:type="pct"/>
            <w:gridSpan w:val="3"/>
            <w:shd w:val="clear" w:color="auto" w:fill="FFFFFF"/>
            <w:vAlign w:val="center"/>
          </w:tcPr>
          <w:p w14:paraId="32BFB027"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2024 - 2030</w:t>
            </w:r>
          </w:p>
        </w:tc>
      </w:tr>
      <w:tr w:rsidR="00005022" w:rsidRPr="007C4D65" w14:paraId="0B5BB8A1" w14:textId="77777777" w:rsidTr="00BC37DE">
        <w:trPr>
          <w:trHeight w:val="567"/>
          <w:jc w:val="center"/>
        </w:trPr>
        <w:tc>
          <w:tcPr>
            <w:tcW w:w="1325" w:type="pct"/>
            <w:shd w:val="clear" w:color="auto" w:fill="009D73"/>
            <w:vAlign w:val="center"/>
          </w:tcPr>
          <w:p w14:paraId="64E2F65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75" w:type="pct"/>
            <w:gridSpan w:val="3"/>
            <w:shd w:val="clear" w:color="auto" w:fill="FFFFFF"/>
            <w:vAlign w:val="center"/>
          </w:tcPr>
          <w:p w14:paraId="7210D8D8" w14:textId="05602BD4"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FMET, FMES, </w:t>
            </w:r>
            <w:r w:rsidR="000A3893"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ministries</w:t>
            </w:r>
          </w:p>
        </w:tc>
      </w:tr>
      <w:tr w:rsidR="00005022" w:rsidRPr="007C4D65" w14:paraId="0075FF70" w14:textId="77777777" w:rsidTr="00BC37DE">
        <w:trPr>
          <w:trHeight w:val="567"/>
          <w:jc w:val="center"/>
        </w:trPr>
        <w:tc>
          <w:tcPr>
            <w:tcW w:w="1325" w:type="pct"/>
            <w:shd w:val="clear" w:color="auto" w:fill="009D73"/>
            <w:vAlign w:val="center"/>
          </w:tcPr>
          <w:p w14:paraId="58C6AA2A"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Holders of the measure</w:t>
            </w:r>
          </w:p>
        </w:tc>
        <w:tc>
          <w:tcPr>
            <w:tcW w:w="3675" w:type="pct"/>
            <w:gridSpan w:val="3"/>
            <w:shd w:val="clear" w:color="auto" w:fill="FFFFFF"/>
            <w:vAlign w:val="center"/>
          </w:tcPr>
          <w:p w14:paraId="587AF781" w14:textId="26D235D3"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professional institution for the nature conservation of the F</w:t>
            </w:r>
            <w:r w:rsidR="000A3893" w:rsidRPr="007C4D65">
              <w:rPr>
                <w:rFonts w:asciiTheme="minorHAnsi" w:eastAsiaTheme="minorHAnsi" w:hAnsiTheme="minorHAnsi" w:cstheme="minorHAnsi"/>
                <w:sz w:val="18"/>
                <w:szCs w:val="18"/>
                <w:lang w:eastAsia="en-US" w:bidi="en-US"/>
              </w:rPr>
              <w:t xml:space="preserve">ederation of </w:t>
            </w:r>
            <w:r w:rsidRPr="007C4D65">
              <w:rPr>
                <w:rFonts w:asciiTheme="minorHAnsi" w:eastAsiaTheme="minorHAnsi" w:hAnsiTheme="minorHAnsi" w:cstheme="minorHAnsi"/>
                <w:sz w:val="18"/>
                <w:szCs w:val="18"/>
                <w:lang w:eastAsia="en-US" w:bidi="en-US"/>
              </w:rPr>
              <w:t xml:space="preserve">BiH, Federation and </w:t>
            </w:r>
            <w:r w:rsidR="000A3893"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ministries of education, the public</w:t>
            </w:r>
          </w:p>
        </w:tc>
      </w:tr>
      <w:tr w:rsidR="00005022" w:rsidRPr="007C4D65" w14:paraId="42DE5262" w14:textId="77777777" w:rsidTr="00BC37DE">
        <w:trPr>
          <w:trHeight w:val="567"/>
          <w:jc w:val="center"/>
        </w:trPr>
        <w:tc>
          <w:tcPr>
            <w:tcW w:w="1325" w:type="pct"/>
            <w:shd w:val="clear" w:color="auto" w:fill="009D73"/>
            <w:vAlign w:val="center"/>
          </w:tcPr>
          <w:p w14:paraId="49D50A8F" w14:textId="64846F2E"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75" w:type="pct"/>
            <w:gridSpan w:val="3"/>
            <w:shd w:val="clear" w:color="auto" w:fill="FFFFFF"/>
            <w:vAlign w:val="center"/>
          </w:tcPr>
          <w:p w14:paraId="0D02E380" w14:textId="697488DF"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public, </w:t>
            </w:r>
            <w:r w:rsidR="000A3893" w:rsidRPr="007C4D65">
              <w:rPr>
                <w:rFonts w:asciiTheme="minorHAnsi" w:eastAsiaTheme="minorHAnsi" w:hAnsiTheme="minorHAnsi" w:cstheme="minorHAnsi"/>
                <w:sz w:val="18"/>
                <w:szCs w:val="18"/>
                <w:lang w:eastAsia="en-US" w:bidi="en-US"/>
              </w:rPr>
              <w:t>non-governmental organisations</w:t>
            </w:r>
          </w:p>
        </w:tc>
      </w:tr>
    </w:tbl>
    <w:p w14:paraId="660B4BDF" w14:textId="77777777" w:rsidR="00005022" w:rsidRPr="007C4D65" w:rsidRDefault="00005022" w:rsidP="00005022">
      <w:pPr>
        <w:spacing w:line="276" w:lineRule="auto"/>
        <w:rPr>
          <w:rFonts w:asciiTheme="minorHAnsi" w:eastAsiaTheme="minorHAnsi" w:hAnsiTheme="minorHAnsi" w:cstheme="minorHAnsi"/>
          <w:sz w:val="18"/>
          <w:szCs w:val="18"/>
          <w:lang w:eastAsia="en-US"/>
        </w:rPr>
      </w:pPr>
    </w:p>
    <w:tbl>
      <w:tblPr>
        <w:tblW w:w="4794"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38"/>
        <w:gridCol w:w="3017"/>
        <w:gridCol w:w="3405"/>
        <w:gridCol w:w="3413"/>
      </w:tblGrid>
      <w:tr w:rsidR="00005022" w:rsidRPr="007C4D65" w14:paraId="729D8053" w14:textId="77777777" w:rsidTr="00BC37DE">
        <w:trPr>
          <w:trHeight w:val="567"/>
          <w:jc w:val="center"/>
        </w:trPr>
        <w:tc>
          <w:tcPr>
            <w:tcW w:w="1323" w:type="pct"/>
            <w:shd w:val="clear" w:color="auto" w:fill="009D73"/>
            <w:vAlign w:val="center"/>
          </w:tcPr>
          <w:p w14:paraId="5A6A94C9" w14:textId="46D39D9A"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with the strategic goal</w:t>
            </w:r>
          </w:p>
        </w:tc>
        <w:tc>
          <w:tcPr>
            <w:tcW w:w="3677" w:type="pct"/>
            <w:gridSpan w:val="3"/>
            <w:shd w:val="clear" w:color="auto" w:fill="FFFFFF"/>
            <w:vAlign w:val="center"/>
          </w:tcPr>
          <w:p w14:paraId="45DAB6A4" w14:textId="50BFD5E8" w:rsidR="00005022" w:rsidRPr="007C4D65" w:rsidRDefault="00737CB6" w:rsidP="00737CB6">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3. </w:t>
            </w:r>
            <w:r w:rsidR="00203931" w:rsidRPr="007C4D65">
              <w:rPr>
                <w:rFonts w:asciiTheme="minorHAnsi" w:eastAsia="Calibri" w:hAnsiTheme="minorHAnsi" w:cstheme="minorHAnsi"/>
                <w:b/>
                <w:bCs/>
                <w:sz w:val="18"/>
                <w:szCs w:val="18"/>
                <w:lang w:eastAsia="en-US"/>
              </w:rPr>
              <w:t xml:space="preserve">Maintaining and improving biodiversity and protecting ecosystems </w:t>
            </w:r>
          </w:p>
        </w:tc>
      </w:tr>
      <w:tr w:rsidR="00005022" w:rsidRPr="007C4D65" w14:paraId="2D44EE6C" w14:textId="77777777" w:rsidTr="00BC37DE">
        <w:trPr>
          <w:trHeight w:val="567"/>
          <w:jc w:val="center"/>
        </w:trPr>
        <w:tc>
          <w:tcPr>
            <w:tcW w:w="1323" w:type="pct"/>
            <w:shd w:val="clear" w:color="auto" w:fill="009D73"/>
            <w:vAlign w:val="center"/>
          </w:tcPr>
          <w:p w14:paraId="1F50ECA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bookmarkStart w:id="306" w:name="_Hlk94116635"/>
            <w:r w:rsidRPr="007C4D65">
              <w:rPr>
                <w:rFonts w:asciiTheme="minorHAnsi" w:eastAsiaTheme="minorHAnsi" w:hAnsiTheme="minorHAnsi" w:cstheme="minorHAnsi"/>
                <w:b/>
                <w:bCs/>
                <w:color w:val="FFFFFF" w:themeColor="background1"/>
                <w:sz w:val="18"/>
                <w:szCs w:val="18"/>
                <w:lang w:eastAsia="en-US" w:bidi="en-US"/>
              </w:rPr>
              <w:t>Priority</w:t>
            </w:r>
          </w:p>
        </w:tc>
        <w:tc>
          <w:tcPr>
            <w:tcW w:w="3677" w:type="pct"/>
            <w:gridSpan w:val="3"/>
            <w:shd w:val="clear" w:color="auto" w:fill="FFFFFF"/>
            <w:vAlign w:val="center"/>
          </w:tcPr>
          <w:p w14:paraId="7E94CB37" w14:textId="308A29DD" w:rsidR="00005022" w:rsidRPr="007C4D65" w:rsidRDefault="00005022" w:rsidP="00005022">
            <w:pPr>
              <w:spacing w:before="40" w:after="40" w:line="276" w:lineRule="auto"/>
              <w:rPr>
                <w:rFonts w:asciiTheme="minorHAnsi" w:hAnsiTheme="minorHAnsi" w:cstheme="minorHAnsi"/>
                <w:b/>
                <w:bCs/>
                <w:sz w:val="18"/>
                <w:szCs w:val="18"/>
                <w:lang w:eastAsia="zh-TW"/>
              </w:rPr>
            </w:pPr>
            <w:r w:rsidRPr="007C4D65">
              <w:rPr>
                <w:rFonts w:asciiTheme="minorHAnsi" w:hAnsiTheme="minorHAnsi" w:cstheme="minorHAnsi"/>
                <w:b/>
                <w:bCs/>
                <w:sz w:val="18"/>
                <w:szCs w:val="18"/>
                <w:lang w:eastAsia="zh-TW"/>
              </w:rPr>
              <w:t>3.1</w:t>
            </w:r>
            <w:r w:rsidR="00B5586D" w:rsidRPr="007C4D65">
              <w:rPr>
                <w:rFonts w:asciiTheme="minorHAnsi" w:hAnsiTheme="minorHAnsi" w:cstheme="minorHAnsi"/>
                <w:b/>
                <w:bCs/>
                <w:sz w:val="18"/>
                <w:szCs w:val="18"/>
                <w:lang w:eastAsia="zh-TW"/>
              </w:rPr>
              <w:t>0</w:t>
            </w:r>
            <w:r w:rsidRPr="007C4D65">
              <w:rPr>
                <w:rFonts w:asciiTheme="minorHAnsi" w:hAnsiTheme="minorHAnsi" w:cstheme="minorHAnsi"/>
                <w:b/>
                <w:bCs/>
                <w:sz w:val="18"/>
                <w:szCs w:val="18"/>
                <w:lang w:eastAsia="zh-TW"/>
              </w:rPr>
              <w:t xml:space="preserve"> Mobilize </w:t>
            </w:r>
            <w:r w:rsidR="00B5586D" w:rsidRPr="007C4D65">
              <w:rPr>
                <w:rFonts w:asciiTheme="minorHAnsi" w:hAnsiTheme="minorHAnsi" w:cstheme="minorHAnsi"/>
                <w:b/>
                <w:bCs/>
                <w:sz w:val="18"/>
                <w:szCs w:val="18"/>
                <w:lang w:eastAsia="zh-TW"/>
              </w:rPr>
              <w:t>national</w:t>
            </w:r>
            <w:r w:rsidRPr="007C4D65">
              <w:rPr>
                <w:rFonts w:asciiTheme="minorHAnsi" w:hAnsiTheme="minorHAnsi" w:cstheme="minorHAnsi"/>
                <w:b/>
                <w:bCs/>
                <w:sz w:val="18"/>
                <w:szCs w:val="18"/>
                <w:lang w:eastAsia="zh-TW"/>
              </w:rPr>
              <w:t xml:space="preserve"> and international fund</w:t>
            </w:r>
            <w:r w:rsidR="00B5586D" w:rsidRPr="007C4D65">
              <w:rPr>
                <w:rFonts w:asciiTheme="minorHAnsi" w:hAnsiTheme="minorHAnsi" w:cstheme="minorHAnsi"/>
                <w:b/>
                <w:bCs/>
                <w:sz w:val="18"/>
                <w:szCs w:val="18"/>
                <w:lang w:eastAsia="zh-TW"/>
              </w:rPr>
              <w:t>s</w:t>
            </w:r>
            <w:r w:rsidRPr="007C4D65">
              <w:rPr>
                <w:rFonts w:asciiTheme="minorHAnsi" w:hAnsiTheme="minorHAnsi" w:cstheme="minorHAnsi"/>
                <w:b/>
                <w:bCs/>
                <w:sz w:val="18"/>
                <w:szCs w:val="18"/>
                <w:lang w:eastAsia="zh-TW"/>
              </w:rPr>
              <w:t xml:space="preserve"> for the </w:t>
            </w:r>
            <w:r w:rsidR="00B5586D" w:rsidRPr="007C4D65">
              <w:rPr>
                <w:rFonts w:asciiTheme="minorHAnsi" w:hAnsiTheme="minorHAnsi" w:cstheme="minorHAnsi"/>
                <w:b/>
                <w:bCs/>
                <w:sz w:val="18"/>
                <w:szCs w:val="18"/>
                <w:lang w:eastAsia="zh-TW"/>
              </w:rPr>
              <w:t xml:space="preserve">biodiversity of the </w:t>
            </w:r>
            <w:r w:rsidRPr="007C4D65">
              <w:rPr>
                <w:rFonts w:asciiTheme="minorHAnsi" w:hAnsiTheme="minorHAnsi" w:cstheme="minorHAnsi"/>
                <w:b/>
                <w:bCs/>
                <w:sz w:val="18"/>
                <w:szCs w:val="18"/>
                <w:lang w:eastAsia="zh-TW"/>
              </w:rPr>
              <w:t>F</w:t>
            </w:r>
            <w:r w:rsidR="00B5586D" w:rsidRPr="007C4D65">
              <w:rPr>
                <w:rFonts w:asciiTheme="minorHAnsi" w:hAnsiTheme="minorHAnsi" w:cstheme="minorHAnsi"/>
                <w:b/>
                <w:bCs/>
                <w:sz w:val="18"/>
                <w:szCs w:val="18"/>
                <w:lang w:eastAsia="zh-TW"/>
              </w:rPr>
              <w:t xml:space="preserve">ederation of </w:t>
            </w:r>
            <w:r w:rsidRPr="007C4D65">
              <w:rPr>
                <w:rFonts w:asciiTheme="minorHAnsi" w:hAnsiTheme="minorHAnsi" w:cstheme="minorHAnsi"/>
                <w:b/>
                <w:bCs/>
                <w:sz w:val="18"/>
                <w:szCs w:val="18"/>
                <w:lang w:eastAsia="zh-TW"/>
              </w:rPr>
              <w:t xml:space="preserve">BiH </w:t>
            </w:r>
          </w:p>
        </w:tc>
      </w:tr>
      <w:bookmarkEnd w:id="306"/>
      <w:tr w:rsidR="00005022" w:rsidRPr="007C4D65" w14:paraId="52E3015B" w14:textId="77777777" w:rsidTr="00BC37DE">
        <w:trPr>
          <w:trHeight w:val="567"/>
          <w:jc w:val="center"/>
        </w:trPr>
        <w:tc>
          <w:tcPr>
            <w:tcW w:w="1323" w:type="pct"/>
            <w:shd w:val="clear" w:color="auto" w:fill="009D73"/>
            <w:vAlign w:val="center"/>
          </w:tcPr>
          <w:p w14:paraId="487B7F5F"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Name of the measure</w:t>
            </w:r>
          </w:p>
        </w:tc>
        <w:tc>
          <w:tcPr>
            <w:tcW w:w="3677" w:type="pct"/>
            <w:gridSpan w:val="3"/>
            <w:shd w:val="clear" w:color="auto" w:fill="FFFFFF"/>
            <w:vAlign w:val="center"/>
          </w:tcPr>
          <w:p w14:paraId="44D24D0F" w14:textId="1DE96CDF" w:rsidR="00005022" w:rsidRPr="007C4D65" w:rsidRDefault="00005022" w:rsidP="00005022">
            <w:pPr>
              <w:spacing w:after="160" w:line="276" w:lineRule="auto"/>
              <w:rPr>
                <w:rFonts w:asciiTheme="minorHAnsi" w:eastAsia="Calibri" w:hAnsiTheme="minorHAnsi" w:cstheme="minorHAnsi"/>
                <w:b/>
                <w:bCs/>
                <w:sz w:val="18"/>
                <w:szCs w:val="18"/>
                <w:lang w:eastAsia="en-US"/>
              </w:rPr>
            </w:pPr>
            <w:bookmarkStart w:id="307" w:name="_Hlk94635236"/>
            <w:r w:rsidRPr="007C4D65">
              <w:rPr>
                <w:rFonts w:asciiTheme="minorHAnsi" w:eastAsia="Calibri" w:hAnsiTheme="minorHAnsi" w:cstheme="minorHAnsi"/>
                <w:b/>
                <w:bCs/>
                <w:sz w:val="18"/>
                <w:szCs w:val="18"/>
                <w:lang w:eastAsia="en-US"/>
              </w:rPr>
              <w:t>3.1</w:t>
            </w:r>
            <w:r w:rsidR="00B5586D" w:rsidRPr="007C4D65">
              <w:rPr>
                <w:rFonts w:asciiTheme="minorHAnsi" w:eastAsia="Calibri" w:hAnsiTheme="minorHAnsi" w:cstheme="minorHAnsi"/>
                <w:b/>
                <w:bCs/>
                <w:sz w:val="18"/>
                <w:szCs w:val="18"/>
                <w:lang w:eastAsia="en-US"/>
              </w:rPr>
              <w:t>0</w:t>
            </w:r>
            <w:r w:rsidRPr="007C4D65">
              <w:rPr>
                <w:rFonts w:asciiTheme="minorHAnsi" w:eastAsia="Calibri" w:hAnsiTheme="minorHAnsi" w:cstheme="minorHAnsi"/>
                <w:b/>
                <w:bCs/>
                <w:sz w:val="18"/>
                <w:szCs w:val="18"/>
                <w:lang w:eastAsia="en-US"/>
              </w:rPr>
              <w:t xml:space="preserve">.1 </w:t>
            </w:r>
            <w:bookmarkEnd w:id="307"/>
            <w:r w:rsidRPr="007C4D65">
              <w:rPr>
                <w:rFonts w:asciiTheme="minorHAnsi" w:eastAsia="Calibri" w:hAnsiTheme="minorHAnsi" w:cstheme="minorHAnsi"/>
                <w:b/>
                <w:bCs/>
                <w:sz w:val="18"/>
                <w:szCs w:val="18"/>
                <w:lang w:eastAsia="en-US"/>
              </w:rPr>
              <w:t xml:space="preserve">Provide funds for: (a) capacity building of the institutional framework in line with the improved legal framework for </w:t>
            </w:r>
            <w:r w:rsidR="00B5586D" w:rsidRPr="007C4D65">
              <w:rPr>
                <w:rFonts w:asciiTheme="minorHAnsi" w:eastAsia="Calibri" w:hAnsiTheme="minorHAnsi" w:cstheme="minorHAnsi"/>
                <w:b/>
                <w:bCs/>
                <w:sz w:val="18"/>
                <w:szCs w:val="18"/>
                <w:lang w:eastAsia="en-US"/>
              </w:rPr>
              <w:t xml:space="preserve">the </w:t>
            </w:r>
            <w:r w:rsidRPr="007C4D65">
              <w:rPr>
                <w:rFonts w:asciiTheme="minorHAnsi" w:eastAsia="Calibri" w:hAnsiTheme="minorHAnsi" w:cstheme="minorHAnsi"/>
                <w:b/>
                <w:bCs/>
                <w:sz w:val="18"/>
                <w:szCs w:val="18"/>
                <w:lang w:eastAsia="en-US"/>
              </w:rPr>
              <w:t>biodiversity/nature of the F</w:t>
            </w:r>
            <w:r w:rsidR="00B5586D" w:rsidRPr="007C4D65">
              <w:rPr>
                <w:rFonts w:asciiTheme="minorHAnsi" w:eastAsia="Calibri" w:hAnsiTheme="minorHAnsi" w:cstheme="minorHAnsi"/>
                <w:b/>
                <w:bCs/>
                <w:sz w:val="18"/>
                <w:szCs w:val="18"/>
                <w:lang w:eastAsia="en-US"/>
              </w:rPr>
              <w:t xml:space="preserve">ederation of </w:t>
            </w:r>
            <w:r w:rsidRPr="007C4D65">
              <w:rPr>
                <w:rFonts w:asciiTheme="minorHAnsi" w:eastAsia="Calibri" w:hAnsiTheme="minorHAnsi" w:cstheme="minorHAnsi"/>
                <w:b/>
                <w:bCs/>
                <w:sz w:val="18"/>
                <w:szCs w:val="18"/>
                <w:lang w:eastAsia="en-US"/>
              </w:rPr>
              <w:t xml:space="preserve">BiH (b) inventory of areas and preparation of habitat maps, (c) inventory and monitoring of flora, fauna, fungi and genetic resources (d) effective implementation of global goals for biodiversity and implementation of obligations </w:t>
            </w:r>
            <w:r w:rsidR="00B5586D" w:rsidRPr="007C4D65">
              <w:rPr>
                <w:rFonts w:asciiTheme="minorHAnsi" w:eastAsia="Calibri" w:hAnsiTheme="minorHAnsi" w:cstheme="minorHAnsi"/>
                <w:b/>
                <w:bCs/>
                <w:sz w:val="18"/>
                <w:szCs w:val="18"/>
                <w:lang w:eastAsia="en-US"/>
              </w:rPr>
              <w:t>arising from</w:t>
            </w:r>
            <w:r w:rsidRPr="007C4D65">
              <w:rPr>
                <w:rFonts w:asciiTheme="minorHAnsi" w:eastAsia="Calibri" w:hAnsiTheme="minorHAnsi" w:cstheme="minorHAnsi"/>
                <w:b/>
                <w:bCs/>
                <w:sz w:val="18"/>
                <w:szCs w:val="18"/>
                <w:lang w:eastAsia="en-US"/>
              </w:rPr>
              <w:t xml:space="preserve"> international agreements of BiH, including the process of establishing the </w:t>
            </w:r>
            <w:r w:rsidR="00221F4A" w:rsidRPr="007C4D65">
              <w:rPr>
                <w:rFonts w:asciiTheme="minorHAnsi" w:eastAsia="Calibri" w:hAnsiTheme="minorHAnsi" w:cstheme="minorHAnsi"/>
                <w:b/>
                <w:bCs/>
                <w:sz w:val="18"/>
                <w:szCs w:val="18"/>
                <w:lang w:eastAsia="en-US"/>
              </w:rPr>
              <w:t>ecological network</w:t>
            </w:r>
            <w:r w:rsidRPr="007C4D65">
              <w:rPr>
                <w:rFonts w:asciiTheme="minorHAnsi" w:eastAsia="Calibri" w:hAnsiTheme="minorHAnsi" w:cstheme="minorHAnsi"/>
                <w:b/>
                <w:bCs/>
                <w:sz w:val="18"/>
                <w:szCs w:val="18"/>
                <w:lang w:eastAsia="en-US"/>
              </w:rPr>
              <w:t xml:space="preserve"> (e) development of permanent scientific and political dialogue, (f) environmental awareness</w:t>
            </w:r>
            <w:r w:rsidR="00B5586D" w:rsidRPr="007C4D65">
              <w:rPr>
                <w:rFonts w:asciiTheme="minorHAnsi" w:eastAsia="Calibri" w:hAnsiTheme="minorHAnsi" w:cstheme="minorHAnsi"/>
                <w:b/>
                <w:bCs/>
                <w:sz w:val="18"/>
                <w:szCs w:val="18"/>
                <w:lang w:eastAsia="en-US"/>
              </w:rPr>
              <w:t xml:space="preserve"> raising</w:t>
            </w:r>
          </w:p>
        </w:tc>
      </w:tr>
      <w:tr w:rsidR="00005022" w:rsidRPr="007C4D65" w14:paraId="5674AC5E" w14:textId="77777777" w:rsidTr="00BC37DE">
        <w:trPr>
          <w:trHeight w:val="567"/>
          <w:jc w:val="center"/>
        </w:trPr>
        <w:tc>
          <w:tcPr>
            <w:tcW w:w="1323" w:type="pct"/>
            <w:shd w:val="clear" w:color="auto" w:fill="009D73"/>
            <w:vAlign w:val="center"/>
          </w:tcPr>
          <w:p w14:paraId="69B7CFC8"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tc>
        <w:tc>
          <w:tcPr>
            <w:tcW w:w="3677" w:type="pct"/>
            <w:gridSpan w:val="3"/>
            <w:shd w:val="clear" w:color="auto" w:fill="FFFFFF"/>
            <w:vAlign w:val="center"/>
          </w:tcPr>
          <w:p w14:paraId="4BAB0FAF" w14:textId="543BFE0E" w:rsidR="00005022" w:rsidRPr="007C4D65" w:rsidRDefault="00005022" w:rsidP="00005022">
            <w:pPr>
              <w:spacing w:before="40" w:after="40" w:line="276" w:lineRule="auto"/>
              <w:rPr>
                <w:rFonts w:asciiTheme="minorHAnsi" w:eastAsia="Calibri" w:hAnsiTheme="minorHAnsi" w:cstheme="minorHAnsi"/>
                <w:sz w:val="18"/>
                <w:szCs w:val="18"/>
                <w:lang w:eastAsia="en-US"/>
              </w:rPr>
            </w:pPr>
            <w:bookmarkStart w:id="308" w:name="_Hlk94635273"/>
            <w:r w:rsidRPr="007C4D65">
              <w:rPr>
                <w:rFonts w:asciiTheme="minorHAnsi" w:eastAsia="Calibri" w:hAnsiTheme="minorHAnsi" w:cstheme="minorHAnsi"/>
                <w:sz w:val="18"/>
                <w:szCs w:val="18"/>
                <w:lang w:eastAsia="en-US"/>
              </w:rPr>
              <w:t xml:space="preserve">The aim of this measure is to develop capacity and provide necessary conditions for the implementation of measures, </w:t>
            </w:r>
            <w:proofErr w:type="gramStart"/>
            <w:r w:rsidRPr="007C4D65">
              <w:rPr>
                <w:rFonts w:asciiTheme="minorHAnsi" w:eastAsia="Calibri" w:hAnsiTheme="minorHAnsi" w:cstheme="minorHAnsi"/>
                <w:sz w:val="18"/>
                <w:szCs w:val="18"/>
                <w:lang w:eastAsia="en-US"/>
              </w:rPr>
              <w:t>in order to</w:t>
            </w:r>
            <w:proofErr w:type="gramEnd"/>
            <w:r w:rsidRPr="007C4D65">
              <w:rPr>
                <w:rFonts w:asciiTheme="minorHAnsi" w:eastAsia="Calibri" w:hAnsiTheme="minorHAnsi" w:cstheme="minorHAnsi"/>
                <w:sz w:val="18"/>
                <w:szCs w:val="18"/>
                <w:lang w:eastAsia="en-US"/>
              </w:rPr>
              <w:t xml:space="preserve"> achieve the priorities and general strategic goal for the biodiversity and nature conservation of the F</w:t>
            </w:r>
            <w:r w:rsidR="00663954" w:rsidRPr="007C4D65">
              <w:rPr>
                <w:rFonts w:asciiTheme="minorHAnsi" w:eastAsia="Calibri" w:hAnsiTheme="minorHAnsi" w:cstheme="minorHAnsi"/>
                <w:sz w:val="18"/>
                <w:szCs w:val="18"/>
                <w:lang w:eastAsia="en-US"/>
              </w:rPr>
              <w:t xml:space="preserve">ederation of </w:t>
            </w:r>
            <w:r w:rsidRPr="007C4D65">
              <w:rPr>
                <w:rFonts w:asciiTheme="minorHAnsi" w:eastAsia="Calibri" w:hAnsiTheme="minorHAnsi" w:cstheme="minorHAnsi"/>
                <w:sz w:val="18"/>
                <w:szCs w:val="18"/>
                <w:lang w:eastAsia="en-US"/>
              </w:rPr>
              <w:t>BiH</w:t>
            </w:r>
            <w:bookmarkEnd w:id="308"/>
            <w:r w:rsidRPr="007C4D65">
              <w:rPr>
                <w:rFonts w:asciiTheme="minorHAnsi" w:eastAsia="Calibri" w:hAnsiTheme="minorHAnsi" w:cstheme="minorHAnsi"/>
                <w:sz w:val="18"/>
                <w:szCs w:val="18"/>
                <w:lang w:eastAsia="en-US"/>
              </w:rPr>
              <w:t>.</w:t>
            </w:r>
          </w:p>
          <w:p w14:paraId="7C859938" w14:textId="6C1CEF7C" w:rsidR="00005022" w:rsidRPr="007C4D65" w:rsidRDefault="00042CF3" w:rsidP="00005022">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General </w:t>
            </w:r>
            <w:r w:rsidR="0076407C" w:rsidRPr="007C4D65">
              <w:rPr>
                <w:rFonts w:asciiTheme="minorHAnsi" w:eastAsia="Calibri" w:hAnsiTheme="minorHAnsi" w:cstheme="minorHAnsi"/>
                <w:sz w:val="18"/>
                <w:szCs w:val="18"/>
                <w:lang w:eastAsia="en-US"/>
              </w:rPr>
              <w:t>areas of intervention</w:t>
            </w:r>
            <w:r w:rsidRPr="007C4D65">
              <w:rPr>
                <w:rFonts w:asciiTheme="minorHAnsi" w:eastAsia="Calibri" w:hAnsiTheme="minorHAnsi" w:cstheme="minorHAnsi"/>
                <w:sz w:val="18"/>
                <w:szCs w:val="18"/>
                <w:lang w:eastAsia="en-US"/>
              </w:rPr>
              <w:t xml:space="preserve"> include:</w:t>
            </w:r>
          </w:p>
          <w:p w14:paraId="2C53E1B8" w14:textId="4407C453" w:rsidR="00005022" w:rsidRPr="007C4D65" w:rsidRDefault="00005022" w:rsidP="00005022">
            <w:pPr>
              <w:numPr>
                <w:ilvl w:val="0"/>
                <w:numId w:val="29"/>
              </w:numPr>
              <w:spacing w:before="40" w:after="40" w:line="276" w:lineRule="auto"/>
              <w:contextualSpacing/>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Mobilization of </w:t>
            </w:r>
            <w:r w:rsidR="00737CB6" w:rsidRPr="007C4D65">
              <w:rPr>
                <w:rFonts w:asciiTheme="minorHAnsi" w:eastAsia="Calibri" w:hAnsiTheme="minorHAnsi" w:cstheme="minorHAnsi"/>
                <w:b/>
                <w:bCs/>
                <w:sz w:val="18"/>
                <w:szCs w:val="18"/>
                <w:lang w:eastAsia="en-US"/>
              </w:rPr>
              <w:t xml:space="preserve">funding from national </w:t>
            </w:r>
            <w:r w:rsidRPr="007C4D65">
              <w:rPr>
                <w:rFonts w:asciiTheme="minorHAnsi" w:eastAsia="Calibri" w:hAnsiTheme="minorHAnsi" w:cstheme="minorHAnsi"/>
                <w:b/>
                <w:bCs/>
                <w:sz w:val="18"/>
                <w:szCs w:val="18"/>
                <w:lang w:eastAsia="en-US"/>
              </w:rPr>
              <w:t>sources</w:t>
            </w:r>
            <w:r w:rsidR="00B30020" w:rsidRPr="007C4D65">
              <w:rPr>
                <w:rFonts w:asciiTheme="minorHAnsi" w:eastAsia="Calibri" w:hAnsiTheme="minorHAnsi" w:cstheme="minorHAnsi"/>
                <w:b/>
                <w:bCs/>
                <w:sz w:val="18"/>
                <w:szCs w:val="18"/>
                <w:lang w:eastAsia="en-US"/>
              </w:rPr>
              <w:t>:</w:t>
            </w:r>
          </w:p>
          <w:p w14:paraId="29072ABC" w14:textId="3B55CA10" w:rsidR="00005022" w:rsidRPr="007C4D65" w:rsidRDefault="00005022" w:rsidP="00005022">
            <w:pPr>
              <w:numPr>
                <w:ilvl w:val="0"/>
                <w:numId w:val="28"/>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Carry out an analysis and establish a system </w:t>
            </w:r>
            <w:r w:rsidR="00663954" w:rsidRPr="007C4D65">
              <w:rPr>
                <w:rFonts w:asciiTheme="minorHAnsi" w:eastAsia="Calibri" w:hAnsiTheme="minorHAnsi" w:cstheme="minorHAnsi"/>
                <w:sz w:val="18"/>
                <w:szCs w:val="18"/>
                <w:lang w:eastAsia="en-US"/>
              </w:rPr>
              <w:t>of keeping a record</w:t>
            </w:r>
            <w:r w:rsidRPr="007C4D65">
              <w:rPr>
                <w:rFonts w:asciiTheme="minorHAnsi" w:eastAsia="Calibri" w:hAnsiTheme="minorHAnsi" w:cstheme="minorHAnsi"/>
                <w:sz w:val="18"/>
                <w:szCs w:val="18"/>
                <w:lang w:eastAsia="en-US"/>
              </w:rPr>
              <w:t xml:space="preserve">, monitoring </w:t>
            </w:r>
            <w:r w:rsidR="00663954" w:rsidRPr="007C4D65">
              <w:rPr>
                <w:rFonts w:asciiTheme="minorHAnsi" w:eastAsia="Calibri" w:hAnsiTheme="minorHAnsi" w:cstheme="minorHAnsi"/>
                <w:sz w:val="18"/>
                <w:szCs w:val="18"/>
                <w:lang w:eastAsia="en-US"/>
              </w:rPr>
              <w:t xml:space="preserve">of </w:t>
            </w:r>
            <w:r w:rsidRPr="007C4D65">
              <w:rPr>
                <w:rFonts w:asciiTheme="minorHAnsi" w:eastAsia="Calibri" w:hAnsiTheme="minorHAnsi" w:cstheme="minorHAnsi"/>
                <w:sz w:val="18"/>
                <w:szCs w:val="18"/>
                <w:lang w:eastAsia="en-US"/>
              </w:rPr>
              <w:t xml:space="preserve">and reporting on investments in the area of nature </w:t>
            </w:r>
            <w:proofErr w:type="gramStart"/>
            <w:r w:rsidRPr="007C4D65">
              <w:rPr>
                <w:rFonts w:asciiTheme="minorHAnsi" w:eastAsia="Calibri" w:hAnsiTheme="minorHAnsi" w:cstheme="minorHAnsi"/>
                <w:sz w:val="18"/>
                <w:szCs w:val="18"/>
                <w:lang w:eastAsia="en-US"/>
              </w:rPr>
              <w:t>conservation</w:t>
            </w:r>
            <w:r w:rsidR="00B30020" w:rsidRPr="007C4D65">
              <w:rPr>
                <w:rFonts w:asciiTheme="minorHAnsi" w:eastAsia="Calibri" w:hAnsiTheme="minorHAnsi" w:cstheme="minorHAnsi"/>
                <w:sz w:val="18"/>
                <w:szCs w:val="18"/>
                <w:lang w:eastAsia="en-US"/>
              </w:rPr>
              <w:t>;</w:t>
            </w:r>
            <w:proofErr w:type="gramEnd"/>
          </w:p>
          <w:p w14:paraId="12FF2E70" w14:textId="6535930A" w:rsidR="00005022" w:rsidRPr="007C4D65" w:rsidRDefault="00005022" w:rsidP="00005022">
            <w:pPr>
              <w:numPr>
                <w:ilvl w:val="0"/>
                <w:numId w:val="28"/>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Improve innovative financing mechanisms for the nature conservation sector, including the establishment of a fund to support co-</w:t>
            </w:r>
            <w:r w:rsidR="00663954" w:rsidRPr="007C4D65">
              <w:rPr>
                <w:rFonts w:asciiTheme="minorHAnsi" w:eastAsia="Calibri" w:hAnsiTheme="minorHAnsi" w:cstheme="minorHAnsi"/>
                <w:sz w:val="18"/>
                <w:szCs w:val="18"/>
                <w:lang w:eastAsia="en-US"/>
              </w:rPr>
              <w:t>funding of</w:t>
            </w:r>
            <w:r w:rsidRPr="007C4D65">
              <w:rPr>
                <w:rFonts w:asciiTheme="minorHAnsi" w:eastAsia="Calibri" w:hAnsiTheme="minorHAnsi" w:cstheme="minorHAnsi"/>
                <w:sz w:val="18"/>
                <w:szCs w:val="18"/>
                <w:lang w:eastAsia="en-US"/>
              </w:rPr>
              <w:t xml:space="preserve"> international </w:t>
            </w:r>
            <w:proofErr w:type="gramStart"/>
            <w:r w:rsidRPr="007C4D65">
              <w:rPr>
                <w:rFonts w:asciiTheme="minorHAnsi" w:eastAsia="Calibri" w:hAnsiTheme="minorHAnsi" w:cstheme="minorHAnsi"/>
                <w:sz w:val="18"/>
                <w:szCs w:val="18"/>
                <w:lang w:eastAsia="en-US"/>
              </w:rPr>
              <w:t>projects</w:t>
            </w:r>
            <w:r w:rsidR="00B30020" w:rsidRPr="007C4D65">
              <w:rPr>
                <w:rFonts w:asciiTheme="minorHAnsi" w:eastAsia="Calibri" w:hAnsiTheme="minorHAnsi" w:cstheme="minorHAnsi"/>
                <w:sz w:val="18"/>
                <w:szCs w:val="18"/>
                <w:lang w:eastAsia="en-US"/>
              </w:rPr>
              <w:t>;</w:t>
            </w:r>
            <w:proofErr w:type="gramEnd"/>
          </w:p>
          <w:p w14:paraId="62A544BE" w14:textId="77777777" w:rsidR="00005022" w:rsidRPr="007C4D65" w:rsidRDefault="00005022" w:rsidP="00005022">
            <w:pPr>
              <w:numPr>
                <w:ilvl w:val="0"/>
                <w:numId w:val="28"/>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Revise the existing legal funding mechanisms to ensure greater availability of </w:t>
            </w:r>
            <w:proofErr w:type="gramStart"/>
            <w:r w:rsidRPr="007C4D65">
              <w:rPr>
                <w:rFonts w:asciiTheme="minorHAnsi" w:eastAsia="Calibri" w:hAnsiTheme="minorHAnsi" w:cstheme="minorHAnsi"/>
                <w:sz w:val="18"/>
                <w:szCs w:val="18"/>
                <w:lang w:eastAsia="en-US"/>
              </w:rPr>
              <w:t>funds;</w:t>
            </w:r>
            <w:proofErr w:type="gramEnd"/>
          </w:p>
          <w:p w14:paraId="794B26DB" w14:textId="77777777" w:rsidR="00005022" w:rsidRPr="007C4D65" w:rsidRDefault="00005022" w:rsidP="00005022">
            <w:pPr>
              <w:spacing w:before="40" w:after="40" w:line="276" w:lineRule="auto"/>
              <w:rPr>
                <w:rFonts w:asciiTheme="minorHAnsi" w:eastAsia="Calibri" w:hAnsiTheme="minorHAnsi" w:cstheme="minorHAnsi"/>
                <w:sz w:val="18"/>
                <w:szCs w:val="18"/>
                <w:lang w:eastAsia="en-US"/>
              </w:rPr>
            </w:pPr>
          </w:p>
          <w:p w14:paraId="531E86BC" w14:textId="79036C15" w:rsidR="00005022" w:rsidRPr="007C4D65" w:rsidRDefault="00005022" w:rsidP="00005022">
            <w:pPr>
              <w:numPr>
                <w:ilvl w:val="0"/>
                <w:numId w:val="29"/>
              </w:numPr>
              <w:spacing w:before="40" w:after="40" w:line="276" w:lineRule="auto"/>
              <w:contextualSpacing/>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Mobilization of international funds</w:t>
            </w:r>
            <w:r w:rsidR="00B30020" w:rsidRPr="007C4D65">
              <w:rPr>
                <w:rFonts w:asciiTheme="minorHAnsi" w:eastAsia="Calibri" w:hAnsiTheme="minorHAnsi" w:cstheme="minorHAnsi"/>
                <w:b/>
                <w:bCs/>
                <w:sz w:val="18"/>
                <w:szCs w:val="18"/>
                <w:lang w:eastAsia="en-US"/>
              </w:rPr>
              <w:t>:</w:t>
            </w:r>
          </w:p>
          <w:p w14:paraId="5523B8C8" w14:textId="705C2382" w:rsidR="00005022" w:rsidRPr="007C4D65" w:rsidRDefault="00005022" w:rsidP="00005022">
            <w:pPr>
              <w:numPr>
                <w:ilvl w:val="0"/>
                <w:numId w:val="28"/>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lastRenderedPageBreak/>
              <w:t xml:space="preserve">In coordination with BiH, and in cooperation with </w:t>
            </w:r>
            <w:proofErr w:type="spellStart"/>
            <w:r w:rsidR="00663954" w:rsidRPr="007C4D65">
              <w:rPr>
                <w:rFonts w:asciiTheme="minorHAnsi" w:eastAsia="Calibri" w:hAnsiTheme="minorHAnsi" w:cstheme="minorHAnsi"/>
                <w:sz w:val="18"/>
                <w:szCs w:val="18"/>
                <w:lang w:eastAsia="en-US"/>
              </w:rPr>
              <w:t>Republika</w:t>
            </w:r>
            <w:proofErr w:type="spellEnd"/>
            <w:r w:rsidR="00663954" w:rsidRPr="007C4D65">
              <w:rPr>
                <w:rFonts w:asciiTheme="minorHAnsi" w:eastAsia="Calibri" w:hAnsiTheme="minorHAnsi" w:cstheme="minorHAnsi"/>
                <w:sz w:val="18"/>
                <w:szCs w:val="18"/>
                <w:lang w:eastAsia="en-US"/>
              </w:rPr>
              <w:t xml:space="preserve"> Srpska</w:t>
            </w:r>
            <w:r w:rsidRPr="007C4D65">
              <w:rPr>
                <w:rFonts w:asciiTheme="minorHAnsi" w:eastAsia="Calibri" w:hAnsiTheme="minorHAnsi" w:cstheme="minorHAnsi"/>
                <w:sz w:val="18"/>
                <w:szCs w:val="18"/>
                <w:lang w:eastAsia="en-US"/>
              </w:rPr>
              <w:t xml:space="preserve"> and the Brcko District of BiH, prepare applications for international financial support for a-f</w:t>
            </w:r>
            <w:r w:rsidR="00B30020" w:rsidRPr="007C4D65">
              <w:rPr>
                <w:rFonts w:asciiTheme="minorHAnsi" w:eastAsia="Calibri" w:hAnsiTheme="minorHAnsi" w:cstheme="minorHAnsi"/>
                <w:sz w:val="18"/>
                <w:szCs w:val="18"/>
                <w:lang w:eastAsia="en-US"/>
              </w:rPr>
              <w:t>.</w:t>
            </w:r>
          </w:p>
        </w:tc>
      </w:tr>
      <w:tr w:rsidR="00005022" w:rsidRPr="007C4D65" w14:paraId="78C89D26" w14:textId="77777777" w:rsidTr="00BC37DE">
        <w:trPr>
          <w:trHeight w:val="567"/>
          <w:jc w:val="center"/>
        </w:trPr>
        <w:tc>
          <w:tcPr>
            <w:tcW w:w="1323" w:type="pct"/>
            <w:shd w:val="clear" w:color="auto" w:fill="009D73"/>
            <w:vAlign w:val="center"/>
          </w:tcPr>
          <w:p w14:paraId="55057893"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Strategic projects</w:t>
            </w:r>
          </w:p>
        </w:tc>
        <w:tc>
          <w:tcPr>
            <w:tcW w:w="3677" w:type="pct"/>
            <w:gridSpan w:val="3"/>
            <w:tcBorders>
              <w:bottom w:val="single" w:sz="4" w:space="0" w:color="A6A6A6"/>
            </w:tcBorders>
            <w:shd w:val="clear" w:color="auto" w:fill="FFFFFF" w:themeFill="background1"/>
            <w:vAlign w:val="center"/>
          </w:tcPr>
          <w:p w14:paraId="4DEF84DB"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005022" w:rsidRPr="007C4D65" w14:paraId="68BF7714" w14:textId="77777777" w:rsidTr="00BC37DE">
        <w:trPr>
          <w:trHeight w:val="567"/>
          <w:jc w:val="center"/>
        </w:trPr>
        <w:tc>
          <w:tcPr>
            <w:tcW w:w="1323" w:type="pct"/>
            <w:vMerge w:val="restart"/>
            <w:shd w:val="clear" w:color="auto" w:fill="009D73"/>
            <w:vAlign w:val="center"/>
          </w:tcPr>
          <w:p w14:paraId="4341A19B"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the results of the measure</w:t>
            </w:r>
          </w:p>
        </w:tc>
        <w:tc>
          <w:tcPr>
            <w:tcW w:w="1128" w:type="pct"/>
            <w:shd w:val="clear" w:color="auto" w:fill="009D73"/>
            <w:vAlign w:val="center"/>
          </w:tcPr>
          <w:p w14:paraId="47E1993D"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22"/>
                <w:lang w:eastAsia="en-US"/>
              </w:rPr>
              <w:t>Indicators</w:t>
            </w:r>
          </w:p>
          <w:p w14:paraId="34C0A283"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22"/>
                <w:lang w:eastAsia="en-US"/>
              </w:rPr>
              <w:t>(</w:t>
            </w:r>
            <w:proofErr w:type="gramStart"/>
            <w:r w:rsidRPr="007C4D65">
              <w:rPr>
                <w:rFonts w:asciiTheme="minorHAnsi" w:eastAsiaTheme="minorHAnsi" w:hAnsiTheme="minorHAnsi" w:cstheme="minorHAnsi"/>
                <w:b/>
                <w:color w:val="FFFFFF" w:themeColor="background1"/>
                <w:sz w:val="18"/>
                <w:szCs w:val="22"/>
                <w:lang w:eastAsia="en-US"/>
              </w:rPr>
              <w:t>outputs</w:t>
            </w:r>
            <w:proofErr w:type="gramEnd"/>
            <w:r w:rsidRPr="007C4D65">
              <w:rPr>
                <w:rFonts w:asciiTheme="minorHAnsi" w:eastAsiaTheme="minorHAnsi" w:hAnsiTheme="minorHAnsi" w:cstheme="minorHAnsi"/>
                <w:b/>
                <w:color w:val="FFFFFF" w:themeColor="background1"/>
                <w:sz w:val="18"/>
                <w:szCs w:val="22"/>
                <w:lang w:eastAsia="en-US"/>
              </w:rPr>
              <w:t xml:space="preserve"> and deliverables)</w:t>
            </w:r>
            <w:r w:rsidRPr="007C4D65">
              <w:rPr>
                <w:rFonts w:asciiTheme="minorHAnsi" w:eastAsiaTheme="minorHAnsi" w:hAnsiTheme="minorHAnsi" w:cstheme="minorHAnsi"/>
                <w:b/>
                <w:color w:val="FFFFFF" w:themeColor="background1"/>
                <w:sz w:val="18"/>
                <w:szCs w:val="18"/>
                <w:lang w:eastAsia="en-US" w:bidi="en-US"/>
              </w:rPr>
              <w:t xml:space="preserve"> </w:t>
            </w:r>
          </w:p>
        </w:tc>
        <w:tc>
          <w:tcPr>
            <w:tcW w:w="1273" w:type="pct"/>
            <w:shd w:val="clear" w:color="auto" w:fill="009D73"/>
            <w:vAlign w:val="center"/>
          </w:tcPr>
          <w:p w14:paraId="5D273DE6"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Baseline value</w:t>
            </w:r>
          </w:p>
          <w:p w14:paraId="457E973E"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(2021)</w:t>
            </w:r>
          </w:p>
        </w:tc>
        <w:tc>
          <w:tcPr>
            <w:tcW w:w="1276" w:type="pct"/>
            <w:shd w:val="clear" w:color="auto" w:fill="009D73"/>
            <w:vAlign w:val="center"/>
          </w:tcPr>
          <w:p w14:paraId="247CF493" w14:textId="77777777" w:rsidR="00005022" w:rsidRPr="007C4D65" w:rsidRDefault="00005022" w:rsidP="0000502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bidi="en-US"/>
              </w:rPr>
              <w:t>Target value</w:t>
            </w:r>
          </w:p>
        </w:tc>
      </w:tr>
      <w:tr w:rsidR="00005022" w:rsidRPr="007C4D65" w14:paraId="57287216" w14:textId="77777777" w:rsidTr="00BC37DE">
        <w:trPr>
          <w:trHeight w:val="567"/>
          <w:jc w:val="center"/>
        </w:trPr>
        <w:tc>
          <w:tcPr>
            <w:tcW w:w="1323" w:type="pct"/>
            <w:vMerge/>
            <w:shd w:val="clear" w:color="auto" w:fill="009D73"/>
            <w:vAlign w:val="center"/>
          </w:tcPr>
          <w:p w14:paraId="144825A4"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128" w:type="pct"/>
            <w:shd w:val="clear" w:color="auto" w:fill="FFFFFF"/>
            <w:vAlign w:val="center"/>
          </w:tcPr>
          <w:p w14:paraId="2ED8C338" w14:textId="7DBDB95E" w:rsidR="00005022" w:rsidRPr="007C4D65" w:rsidRDefault="00005022" w:rsidP="00005022">
            <w:pPr>
              <w:numPr>
                <w:ilvl w:val="0"/>
                <w:numId w:val="30"/>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Amount of funds from </w:t>
            </w:r>
            <w:r w:rsidR="00663954" w:rsidRPr="007C4D65">
              <w:rPr>
                <w:rFonts w:asciiTheme="minorHAnsi" w:eastAsia="Calibri" w:hAnsiTheme="minorHAnsi" w:cstheme="minorHAnsi"/>
                <w:sz w:val="18"/>
                <w:szCs w:val="18"/>
                <w:lang w:eastAsia="x-none"/>
              </w:rPr>
              <w:t>national</w:t>
            </w:r>
            <w:r w:rsidRPr="007C4D65">
              <w:rPr>
                <w:rFonts w:asciiTheme="minorHAnsi" w:eastAsia="Calibri" w:hAnsiTheme="minorHAnsi" w:cstheme="minorHAnsi"/>
                <w:sz w:val="18"/>
                <w:szCs w:val="18"/>
                <w:lang w:eastAsia="x-none"/>
              </w:rPr>
              <w:t xml:space="preserve"> sources</w:t>
            </w:r>
          </w:p>
        </w:tc>
        <w:tc>
          <w:tcPr>
            <w:tcW w:w="1273" w:type="pct"/>
            <w:shd w:val="clear" w:color="auto" w:fill="FFFFFF"/>
            <w:vAlign w:val="center"/>
          </w:tcPr>
          <w:p w14:paraId="4CC60F7D" w14:textId="1DC30839"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Low fund</w:t>
            </w:r>
            <w:r w:rsidR="00663954" w:rsidRPr="007C4D65">
              <w:rPr>
                <w:rFonts w:asciiTheme="minorHAnsi" w:eastAsia="Calibri" w:hAnsiTheme="minorHAnsi" w:cstheme="minorHAnsi"/>
                <w:sz w:val="18"/>
                <w:szCs w:val="18"/>
                <w:lang w:eastAsia="x-none"/>
              </w:rPr>
              <w:t>ing</w:t>
            </w:r>
          </w:p>
        </w:tc>
        <w:tc>
          <w:tcPr>
            <w:tcW w:w="1276" w:type="pct"/>
            <w:shd w:val="clear" w:color="auto" w:fill="FFFFFF"/>
            <w:vAlign w:val="center"/>
          </w:tcPr>
          <w:p w14:paraId="654D0793" w14:textId="28C21230"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Satisfactory fund</w:t>
            </w:r>
            <w:r w:rsidR="00663954" w:rsidRPr="007C4D65">
              <w:rPr>
                <w:rFonts w:asciiTheme="minorHAnsi" w:eastAsia="Calibri" w:hAnsiTheme="minorHAnsi" w:cstheme="minorHAnsi"/>
                <w:sz w:val="18"/>
                <w:szCs w:val="18"/>
                <w:lang w:eastAsia="x-none"/>
              </w:rPr>
              <w:t>ing</w:t>
            </w:r>
          </w:p>
        </w:tc>
      </w:tr>
      <w:tr w:rsidR="00005022" w:rsidRPr="007C4D65" w14:paraId="1C92151C" w14:textId="77777777" w:rsidTr="00BC37DE">
        <w:trPr>
          <w:trHeight w:val="567"/>
          <w:jc w:val="center"/>
        </w:trPr>
        <w:tc>
          <w:tcPr>
            <w:tcW w:w="1323" w:type="pct"/>
            <w:vMerge/>
            <w:shd w:val="clear" w:color="auto" w:fill="009D73"/>
            <w:vAlign w:val="center"/>
          </w:tcPr>
          <w:p w14:paraId="45AD8E1C" w14:textId="77777777" w:rsidR="00005022" w:rsidRPr="007C4D65" w:rsidRDefault="00005022"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p>
        </w:tc>
        <w:tc>
          <w:tcPr>
            <w:tcW w:w="1128" w:type="pct"/>
            <w:shd w:val="clear" w:color="auto" w:fill="FFFFFF"/>
            <w:vAlign w:val="center"/>
          </w:tcPr>
          <w:p w14:paraId="2E319307" w14:textId="77777777" w:rsidR="00005022" w:rsidRPr="007C4D65" w:rsidRDefault="00005022" w:rsidP="00005022">
            <w:pPr>
              <w:numPr>
                <w:ilvl w:val="0"/>
                <w:numId w:val="30"/>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Amount of funds from international sources</w:t>
            </w:r>
          </w:p>
        </w:tc>
        <w:tc>
          <w:tcPr>
            <w:tcW w:w="1273" w:type="pct"/>
            <w:shd w:val="clear" w:color="auto" w:fill="FFFFFF"/>
            <w:vAlign w:val="center"/>
          </w:tcPr>
          <w:p w14:paraId="3EE238A1" w14:textId="3E484DC9"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Low fund</w:t>
            </w:r>
            <w:r w:rsidR="00663954" w:rsidRPr="007C4D65">
              <w:rPr>
                <w:rFonts w:asciiTheme="minorHAnsi" w:eastAsia="Calibri" w:hAnsiTheme="minorHAnsi" w:cstheme="minorHAnsi"/>
                <w:sz w:val="18"/>
                <w:szCs w:val="18"/>
                <w:lang w:eastAsia="x-none"/>
              </w:rPr>
              <w:t>ing</w:t>
            </w:r>
          </w:p>
        </w:tc>
        <w:tc>
          <w:tcPr>
            <w:tcW w:w="1276" w:type="pct"/>
            <w:shd w:val="clear" w:color="auto" w:fill="FFFFFF"/>
            <w:vAlign w:val="center"/>
          </w:tcPr>
          <w:p w14:paraId="07A33E1A" w14:textId="1CC0882E" w:rsidR="00005022" w:rsidRPr="007C4D65" w:rsidRDefault="00005022" w:rsidP="0000502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Satisfactory fund</w:t>
            </w:r>
            <w:r w:rsidR="00663954" w:rsidRPr="007C4D65">
              <w:rPr>
                <w:rFonts w:asciiTheme="minorHAnsi" w:eastAsia="Calibri" w:hAnsiTheme="minorHAnsi" w:cstheme="minorHAnsi"/>
                <w:sz w:val="18"/>
                <w:szCs w:val="18"/>
                <w:lang w:eastAsia="x-none"/>
              </w:rPr>
              <w:t>ing</w:t>
            </w:r>
          </w:p>
        </w:tc>
      </w:tr>
      <w:tr w:rsidR="00005022" w:rsidRPr="007C4D65" w14:paraId="69A72BA5" w14:textId="77777777" w:rsidTr="00BC37DE">
        <w:trPr>
          <w:trHeight w:val="567"/>
          <w:jc w:val="center"/>
        </w:trPr>
        <w:tc>
          <w:tcPr>
            <w:tcW w:w="1323" w:type="pct"/>
            <w:shd w:val="clear" w:color="auto" w:fill="009D73"/>
            <w:vAlign w:val="center"/>
          </w:tcPr>
          <w:p w14:paraId="2B408659"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Development effect and contribution of the measure to the implementation of the priorities</w:t>
            </w:r>
          </w:p>
        </w:tc>
        <w:tc>
          <w:tcPr>
            <w:tcW w:w="3677" w:type="pct"/>
            <w:gridSpan w:val="3"/>
            <w:shd w:val="clear" w:color="auto" w:fill="FFFFFF"/>
            <w:vAlign w:val="center"/>
          </w:tcPr>
          <w:p w14:paraId="656EE07E" w14:textId="014B5F9C" w:rsidR="00005022" w:rsidRPr="007C4D65" w:rsidRDefault="00663954" w:rsidP="00005022">
            <w:pPr>
              <w:spacing w:before="40" w:after="40" w:line="276" w:lineRule="auto"/>
              <w:rPr>
                <w:rFonts w:asciiTheme="minorHAnsi" w:eastAsiaTheme="minorHAnsi" w:hAnsiTheme="minorHAnsi" w:cstheme="minorHAnsi"/>
                <w:sz w:val="18"/>
                <w:szCs w:val="18"/>
                <w:lang w:eastAsia="en-US" w:bidi="en-US"/>
              </w:rPr>
            </w:pPr>
            <w:proofErr w:type="gramStart"/>
            <w:r w:rsidRPr="007C4D65">
              <w:rPr>
                <w:rFonts w:asciiTheme="minorHAnsi" w:eastAsiaTheme="minorHAnsi" w:hAnsiTheme="minorHAnsi" w:cstheme="minorHAnsi"/>
                <w:sz w:val="18"/>
                <w:szCs w:val="18"/>
                <w:lang w:eastAsia="en-US" w:bidi="en-US"/>
              </w:rPr>
              <w:t>Improved  biodiversity</w:t>
            </w:r>
            <w:proofErr w:type="gramEnd"/>
            <w:r w:rsidRPr="007C4D65">
              <w:rPr>
                <w:rFonts w:asciiTheme="minorHAnsi" w:eastAsiaTheme="minorHAnsi" w:hAnsiTheme="minorHAnsi" w:cstheme="minorHAnsi"/>
                <w:sz w:val="18"/>
                <w:szCs w:val="18"/>
                <w:lang w:eastAsia="en-US" w:bidi="en-US"/>
              </w:rPr>
              <w:t xml:space="preserve"> through development of human, institutional and funding capacities</w:t>
            </w:r>
          </w:p>
        </w:tc>
      </w:tr>
      <w:tr w:rsidR="00005022" w:rsidRPr="007C4D65" w14:paraId="5435790F" w14:textId="77777777" w:rsidTr="00BC37DE">
        <w:trPr>
          <w:trHeight w:val="567"/>
          <w:jc w:val="center"/>
        </w:trPr>
        <w:tc>
          <w:tcPr>
            <w:tcW w:w="1323" w:type="pct"/>
            <w:shd w:val="clear" w:color="auto" w:fill="009D73"/>
            <w:vAlign w:val="center"/>
          </w:tcPr>
          <w:p w14:paraId="4D424C08" w14:textId="6B401778" w:rsidR="00005022" w:rsidRPr="007C4D65" w:rsidRDefault="00963086"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Indicative financial projection, with specification of sources</w:t>
            </w:r>
          </w:p>
        </w:tc>
        <w:tc>
          <w:tcPr>
            <w:tcW w:w="3677" w:type="pct"/>
            <w:gridSpan w:val="3"/>
            <w:shd w:val="clear" w:color="auto" w:fill="FFFFFF"/>
            <w:vAlign w:val="center"/>
          </w:tcPr>
          <w:p w14:paraId="7FEE163D" w14:textId="77777777" w:rsidR="00663954" w:rsidRPr="007C4D65" w:rsidRDefault="00663954" w:rsidP="00663954">
            <w:pPr>
              <w:spacing w:before="40" w:after="40" w:line="276" w:lineRule="auto"/>
              <w:rPr>
                <w:rFonts w:asciiTheme="minorHAnsi" w:hAnsiTheme="minorHAnsi" w:cstheme="minorHAnsi"/>
                <w:color w:val="000000" w:themeColor="text1"/>
                <w:sz w:val="18"/>
                <w:szCs w:val="18"/>
                <w:lang w:bidi="en-US"/>
              </w:rPr>
            </w:pPr>
            <w:r w:rsidRPr="007C4D65">
              <w:rPr>
                <w:rFonts w:asciiTheme="minorHAnsi" w:hAnsiTheme="minorHAnsi" w:cstheme="minorHAnsi"/>
                <w:color w:val="000000" w:themeColor="text1"/>
                <w:sz w:val="18"/>
                <w:szCs w:val="18"/>
                <w:lang w:bidi="en-US"/>
              </w:rPr>
              <w:t>Amount: BAM 667,826</w:t>
            </w:r>
          </w:p>
          <w:p w14:paraId="036BA8C0" w14:textId="2BB04D56" w:rsidR="00005022" w:rsidRPr="007C4D65" w:rsidRDefault="00663954" w:rsidP="00663954">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color w:val="000000" w:themeColor="text1"/>
                <w:sz w:val="18"/>
                <w:szCs w:val="18"/>
                <w:lang w:bidi="en-US"/>
              </w:rPr>
              <w:t xml:space="preserve">Source: 10% </w:t>
            </w:r>
            <w:r w:rsidR="000E401F" w:rsidRPr="007C4D65">
              <w:rPr>
                <w:rFonts w:asciiTheme="minorHAnsi" w:hAnsiTheme="minorHAnsi" w:cstheme="minorHAnsi"/>
                <w:color w:val="000000" w:themeColor="text1"/>
                <w:sz w:val="18"/>
                <w:szCs w:val="18"/>
                <w:lang w:bidi="en-US"/>
              </w:rPr>
              <w:t>government budget</w:t>
            </w:r>
            <w:r w:rsidRPr="007C4D65">
              <w:rPr>
                <w:rFonts w:asciiTheme="minorHAnsi" w:hAnsiTheme="minorHAnsi" w:cstheme="minorHAnsi"/>
                <w:color w:val="000000" w:themeColor="text1"/>
                <w:sz w:val="18"/>
                <w:szCs w:val="18"/>
                <w:lang w:bidi="en-US"/>
              </w:rPr>
              <w:t>, 90% funds from EU and other international donors</w:t>
            </w:r>
          </w:p>
        </w:tc>
      </w:tr>
      <w:tr w:rsidR="00005022" w:rsidRPr="007C4D65" w14:paraId="1B7DEBA2" w14:textId="77777777" w:rsidTr="00BC37DE">
        <w:trPr>
          <w:trHeight w:val="567"/>
          <w:jc w:val="center"/>
        </w:trPr>
        <w:tc>
          <w:tcPr>
            <w:tcW w:w="1323" w:type="pct"/>
            <w:shd w:val="clear" w:color="auto" w:fill="009D73"/>
            <w:vAlign w:val="center"/>
          </w:tcPr>
          <w:p w14:paraId="22720DD7"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Period of implementation of the measure</w:t>
            </w:r>
          </w:p>
        </w:tc>
        <w:tc>
          <w:tcPr>
            <w:tcW w:w="3677" w:type="pct"/>
            <w:gridSpan w:val="3"/>
            <w:shd w:val="clear" w:color="auto" w:fill="FFFFFF"/>
            <w:vAlign w:val="center"/>
          </w:tcPr>
          <w:p w14:paraId="0C89BF56" w14:textId="77777777"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2024 - 2030+</w:t>
            </w:r>
          </w:p>
        </w:tc>
      </w:tr>
      <w:tr w:rsidR="00005022" w:rsidRPr="007C4D65" w14:paraId="5157F613" w14:textId="77777777" w:rsidTr="00BC37DE">
        <w:trPr>
          <w:trHeight w:val="567"/>
          <w:jc w:val="center"/>
        </w:trPr>
        <w:tc>
          <w:tcPr>
            <w:tcW w:w="1323" w:type="pct"/>
            <w:shd w:val="clear" w:color="auto" w:fill="009D73"/>
            <w:vAlign w:val="center"/>
          </w:tcPr>
          <w:p w14:paraId="48C571D4"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Institution responsible for coordinating the implementation of the measure</w:t>
            </w:r>
          </w:p>
        </w:tc>
        <w:tc>
          <w:tcPr>
            <w:tcW w:w="3677" w:type="pct"/>
            <w:gridSpan w:val="3"/>
            <w:shd w:val="clear" w:color="auto" w:fill="FFFFFF"/>
            <w:vAlign w:val="center"/>
          </w:tcPr>
          <w:p w14:paraId="59ACB2E6" w14:textId="54941F4F"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FMET, Government</w:t>
            </w:r>
            <w:r w:rsidR="00663954" w:rsidRPr="007C4D65">
              <w:rPr>
                <w:rFonts w:asciiTheme="minorHAnsi" w:eastAsiaTheme="minorHAnsi" w:hAnsiTheme="minorHAnsi" w:cstheme="minorHAnsi"/>
                <w:sz w:val="18"/>
                <w:szCs w:val="18"/>
                <w:lang w:eastAsia="en-US" w:bidi="en-US"/>
              </w:rPr>
              <w:t xml:space="preserve"> of the Federation of BiH</w:t>
            </w:r>
            <w:r w:rsidRPr="007C4D65">
              <w:rPr>
                <w:rFonts w:asciiTheme="minorHAnsi" w:eastAsiaTheme="minorHAnsi" w:hAnsiTheme="minorHAnsi" w:cstheme="minorHAnsi"/>
                <w:sz w:val="18"/>
                <w:szCs w:val="18"/>
                <w:lang w:eastAsia="en-US" w:bidi="en-US"/>
              </w:rPr>
              <w:t xml:space="preserve"> </w:t>
            </w:r>
          </w:p>
        </w:tc>
      </w:tr>
      <w:tr w:rsidR="00005022" w:rsidRPr="007C4D65" w14:paraId="2F60CE2D" w14:textId="77777777" w:rsidTr="00BC37DE">
        <w:trPr>
          <w:trHeight w:val="567"/>
          <w:jc w:val="center"/>
        </w:trPr>
        <w:tc>
          <w:tcPr>
            <w:tcW w:w="1323" w:type="pct"/>
            <w:shd w:val="clear" w:color="auto" w:fill="009D73"/>
            <w:vAlign w:val="center"/>
          </w:tcPr>
          <w:p w14:paraId="36880C8C" w14:textId="77777777" w:rsidR="00005022" w:rsidRPr="007C4D65" w:rsidRDefault="00005022" w:rsidP="0000502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Implementing institutions</w:t>
            </w:r>
          </w:p>
        </w:tc>
        <w:tc>
          <w:tcPr>
            <w:tcW w:w="3677" w:type="pct"/>
            <w:gridSpan w:val="3"/>
            <w:shd w:val="clear" w:color="auto" w:fill="FFFFFF"/>
            <w:vAlign w:val="center"/>
          </w:tcPr>
          <w:p w14:paraId="1C5621F1" w14:textId="352A7DED"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FMET, </w:t>
            </w:r>
            <w:r w:rsidR="00663954" w:rsidRPr="007C4D65">
              <w:rPr>
                <w:rFonts w:asciiTheme="minorHAnsi" w:eastAsiaTheme="minorHAnsi" w:hAnsiTheme="minorHAnsi" w:cstheme="minorHAnsi"/>
                <w:sz w:val="18"/>
                <w:szCs w:val="18"/>
                <w:lang w:eastAsia="en-US" w:bidi="en-US"/>
              </w:rPr>
              <w:t>Government of the Federation of BiH</w:t>
            </w:r>
            <w:r w:rsidRPr="007C4D65">
              <w:rPr>
                <w:rFonts w:asciiTheme="minorHAnsi" w:eastAsiaTheme="minorHAnsi" w:hAnsiTheme="minorHAnsi" w:cstheme="minorHAnsi"/>
                <w:sz w:val="18"/>
                <w:szCs w:val="18"/>
                <w:lang w:eastAsia="en-US" w:bidi="en-US"/>
              </w:rPr>
              <w:t xml:space="preserve">, EPF, </w:t>
            </w:r>
            <w:proofErr w:type="spellStart"/>
            <w:r w:rsidRPr="007C4D65">
              <w:rPr>
                <w:rFonts w:asciiTheme="minorHAnsi" w:eastAsiaTheme="minorHAnsi" w:hAnsiTheme="minorHAnsi" w:cstheme="minorHAnsi"/>
                <w:sz w:val="18"/>
                <w:szCs w:val="18"/>
                <w:lang w:eastAsia="en-US" w:bidi="en-US"/>
              </w:rPr>
              <w:t>MoFTER</w:t>
            </w:r>
            <w:proofErr w:type="spellEnd"/>
          </w:p>
        </w:tc>
      </w:tr>
      <w:tr w:rsidR="00005022" w:rsidRPr="007C4D65" w14:paraId="0E645A25" w14:textId="77777777" w:rsidTr="00BC37DE">
        <w:trPr>
          <w:trHeight w:val="567"/>
          <w:jc w:val="center"/>
        </w:trPr>
        <w:tc>
          <w:tcPr>
            <w:tcW w:w="1323" w:type="pct"/>
            <w:shd w:val="clear" w:color="auto" w:fill="009D73"/>
            <w:vAlign w:val="center"/>
          </w:tcPr>
          <w:p w14:paraId="2FD273F5" w14:textId="6372D441" w:rsidR="00005022" w:rsidRPr="007C4D65" w:rsidRDefault="00963086" w:rsidP="00005022">
            <w:pPr>
              <w:spacing w:before="40" w:after="40" w:line="276" w:lineRule="auto"/>
              <w:jc w:val="both"/>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Target groups</w:t>
            </w:r>
          </w:p>
        </w:tc>
        <w:tc>
          <w:tcPr>
            <w:tcW w:w="3677" w:type="pct"/>
            <w:gridSpan w:val="3"/>
            <w:shd w:val="clear" w:color="auto" w:fill="FFFFFF"/>
            <w:vAlign w:val="center"/>
          </w:tcPr>
          <w:p w14:paraId="37B74F27" w14:textId="07868A43" w:rsidR="00005022" w:rsidRPr="007C4D65" w:rsidRDefault="00005022" w:rsidP="0000502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Federation and </w:t>
            </w:r>
            <w:r w:rsidR="00663954" w:rsidRPr="007C4D65">
              <w:rPr>
                <w:rFonts w:asciiTheme="minorHAnsi" w:eastAsiaTheme="minorHAnsi" w:hAnsiTheme="minorHAnsi" w:cstheme="minorHAnsi"/>
                <w:sz w:val="18"/>
                <w:szCs w:val="18"/>
                <w:lang w:eastAsia="en-US" w:bidi="en-US"/>
              </w:rPr>
              <w:t>c</w:t>
            </w:r>
            <w:r w:rsidRPr="007C4D65">
              <w:rPr>
                <w:rFonts w:asciiTheme="minorHAnsi" w:eastAsiaTheme="minorHAnsi" w:hAnsiTheme="minorHAnsi" w:cstheme="minorHAnsi"/>
                <w:sz w:val="18"/>
                <w:szCs w:val="18"/>
                <w:lang w:eastAsia="en-US" w:bidi="en-US"/>
              </w:rPr>
              <w:t>antonal line and sectoral ministries, business companies, scientific institutions, non-governmental organizations, the public</w:t>
            </w:r>
          </w:p>
        </w:tc>
      </w:tr>
    </w:tbl>
    <w:p w14:paraId="1DA5141A" w14:textId="2EC4B22A" w:rsidR="00D05B00" w:rsidRPr="007C4D65" w:rsidRDefault="00D05B00" w:rsidP="0068355A">
      <w:pPr>
        <w:spacing w:after="160" w:line="276" w:lineRule="auto"/>
        <w:rPr>
          <w:rFonts w:asciiTheme="minorHAnsi" w:hAnsiTheme="minorHAnsi" w:cstheme="minorHAnsi"/>
        </w:rPr>
      </w:pPr>
    </w:p>
    <w:p w14:paraId="6100DA86" w14:textId="7AB5AE99" w:rsidR="00B13A5C" w:rsidRPr="007C4D65" w:rsidRDefault="00783AA9">
      <w:pPr>
        <w:pStyle w:val="Head2"/>
        <w:spacing w:line="276" w:lineRule="auto"/>
        <w:rPr>
          <w:rFonts w:asciiTheme="minorHAnsi" w:hAnsiTheme="minorHAnsi"/>
        </w:rPr>
      </w:pPr>
      <w:bookmarkStart w:id="309" w:name="_Toc117445379"/>
      <w:r w:rsidRPr="007C4D65">
        <w:rPr>
          <w:rFonts w:asciiTheme="minorHAnsi" w:hAnsiTheme="minorHAnsi"/>
        </w:rPr>
        <w:t>Annex 4</w:t>
      </w:r>
      <w:r w:rsidR="00AA2A8B" w:rsidRPr="007C4D65">
        <w:rPr>
          <w:rFonts w:asciiTheme="minorHAnsi" w:hAnsiTheme="minorHAnsi"/>
        </w:rPr>
        <w:t>:</w:t>
      </w:r>
      <w:r w:rsidRPr="007C4D65">
        <w:rPr>
          <w:rFonts w:asciiTheme="minorHAnsi" w:hAnsiTheme="minorHAnsi"/>
        </w:rPr>
        <w:t xml:space="preserve"> </w:t>
      </w:r>
      <w:r w:rsidR="00737CB6" w:rsidRPr="007C4D65">
        <w:rPr>
          <w:rFonts w:asciiTheme="minorHAnsi" w:hAnsiTheme="minorHAnsi"/>
        </w:rPr>
        <w:t xml:space="preserve">A detailed overview of measures </w:t>
      </w:r>
      <w:r w:rsidR="00CD3D80" w:rsidRPr="007C4D65">
        <w:rPr>
          <w:rFonts w:asciiTheme="minorHAnsi" w:hAnsiTheme="minorHAnsi"/>
        </w:rPr>
        <w:t>for</w:t>
      </w:r>
      <w:r w:rsidR="00737CB6" w:rsidRPr="007C4D65">
        <w:rPr>
          <w:rFonts w:asciiTheme="minorHAnsi" w:hAnsiTheme="minorHAnsi"/>
        </w:rPr>
        <w:t xml:space="preserve"> Air </w:t>
      </w:r>
      <w:r w:rsidR="00F63776" w:rsidRPr="007C4D65">
        <w:rPr>
          <w:rFonts w:asciiTheme="minorHAnsi" w:hAnsiTheme="minorHAnsi"/>
        </w:rPr>
        <w:t>Quality</w:t>
      </w:r>
      <w:r w:rsidR="00737CB6" w:rsidRPr="007C4D65">
        <w:rPr>
          <w:rFonts w:asciiTheme="minorHAnsi" w:hAnsiTheme="minorHAnsi"/>
        </w:rPr>
        <w:t>, Climate Change and Energy</w:t>
      </w:r>
      <w:bookmarkEnd w:id="309"/>
      <w:r w:rsidRPr="007C4D65">
        <w:rPr>
          <w:rFonts w:asciiTheme="minorHAnsi" w:hAnsiTheme="minorHAnsi"/>
        </w:rPr>
        <w:tab/>
      </w:r>
    </w:p>
    <w:tbl>
      <w:tblPr>
        <w:tblW w:w="4794"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38"/>
        <w:gridCol w:w="3017"/>
        <w:gridCol w:w="3405"/>
        <w:gridCol w:w="3413"/>
      </w:tblGrid>
      <w:tr w:rsidR="00EE66FD" w:rsidRPr="007C4D65" w14:paraId="63B9C2C0" w14:textId="77777777" w:rsidTr="00BC37DE">
        <w:trPr>
          <w:trHeight w:val="567"/>
          <w:jc w:val="center"/>
        </w:trPr>
        <w:tc>
          <w:tcPr>
            <w:tcW w:w="1323" w:type="pct"/>
            <w:shd w:val="clear" w:color="auto" w:fill="009D73"/>
            <w:vAlign w:val="center"/>
          </w:tcPr>
          <w:p w14:paraId="03086AC4"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Link with strategic goal</w:t>
            </w:r>
          </w:p>
        </w:tc>
        <w:tc>
          <w:tcPr>
            <w:tcW w:w="3677" w:type="pct"/>
            <w:gridSpan w:val="3"/>
            <w:shd w:val="clear" w:color="auto" w:fill="FFFFFF"/>
            <w:vAlign w:val="center"/>
          </w:tcPr>
          <w:p w14:paraId="74F485B1" w14:textId="0FD4343C" w:rsidR="00EE66FD" w:rsidRPr="007C4D65" w:rsidRDefault="00EE66FD" w:rsidP="00EE66FD">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4</w:t>
            </w:r>
            <w:r w:rsidR="00737CB6" w:rsidRPr="007C4D65">
              <w:rPr>
                <w:rFonts w:asciiTheme="minorHAnsi" w:eastAsia="Calibri" w:hAnsiTheme="minorHAnsi" w:cstheme="minorHAnsi"/>
                <w:b/>
                <w:bCs/>
                <w:sz w:val="18"/>
                <w:szCs w:val="18"/>
                <w:lang w:eastAsia="en-US"/>
              </w:rPr>
              <w:t>.</w:t>
            </w:r>
            <w:r w:rsidRPr="007C4D65">
              <w:rPr>
                <w:rFonts w:asciiTheme="minorHAnsi" w:eastAsia="Calibri" w:hAnsiTheme="minorHAnsi" w:cstheme="minorHAnsi"/>
                <w:b/>
                <w:bCs/>
                <w:sz w:val="18"/>
                <w:szCs w:val="18"/>
                <w:lang w:eastAsia="en-US"/>
              </w:rPr>
              <w:t xml:space="preserve"> </w:t>
            </w:r>
            <w:r w:rsidR="00FE2B6F" w:rsidRPr="007C4D65">
              <w:rPr>
                <w:rFonts w:asciiTheme="minorHAnsi" w:eastAsia="Calibri" w:hAnsiTheme="minorHAnsi" w:cstheme="minorHAnsi"/>
                <w:b/>
                <w:bCs/>
                <w:sz w:val="18"/>
                <w:szCs w:val="18"/>
                <w:lang w:eastAsia="en-US"/>
              </w:rPr>
              <w:t>Climate change mitigation and adaptation and improvement of air quality</w:t>
            </w:r>
          </w:p>
        </w:tc>
      </w:tr>
      <w:tr w:rsidR="00EE66FD" w:rsidRPr="007C4D65" w14:paraId="3FA2D747" w14:textId="77777777" w:rsidTr="00BC37DE">
        <w:trPr>
          <w:trHeight w:val="567"/>
          <w:jc w:val="center"/>
        </w:trPr>
        <w:tc>
          <w:tcPr>
            <w:tcW w:w="1323" w:type="pct"/>
            <w:shd w:val="clear" w:color="auto" w:fill="009D73"/>
            <w:vAlign w:val="center"/>
          </w:tcPr>
          <w:p w14:paraId="68711C6F"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Priority</w:t>
            </w:r>
          </w:p>
        </w:tc>
        <w:tc>
          <w:tcPr>
            <w:tcW w:w="3677" w:type="pct"/>
            <w:gridSpan w:val="3"/>
            <w:shd w:val="clear" w:color="auto" w:fill="FFFFFF"/>
            <w:vAlign w:val="center"/>
          </w:tcPr>
          <w:p w14:paraId="565CC29D" w14:textId="77777777" w:rsidR="00EE66FD" w:rsidRPr="007C4D65" w:rsidRDefault="00EE66FD" w:rsidP="00EE66FD">
            <w:pPr>
              <w:spacing w:before="40" w:after="40" w:line="276" w:lineRule="auto"/>
              <w:rPr>
                <w:rFonts w:asciiTheme="minorHAnsi" w:hAnsiTheme="minorHAnsi" w:cstheme="minorHAnsi"/>
                <w:b/>
                <w:bCs/>
                <w:sz w:val="18"/>
                <w:szCs w:val="18"/>
                <w:lang w:eastAsia="en-US"/>
              </w:rPr>
            </w:pPr>
            <w:r w:rsidRPr="007C4D65">
              <w:rPr>
                <w:rFonts w:asciiTheme="minorHAnsi" w:hAnsiTheme="minorHAnsi" w:cstheme="minorHAnsi"/>
                <w:b/>
                <w:bCs/>
                <w:sz w:val="18"/>
                <w:szCs w:val="18"/>
                <w:lang w:eastAsia="en-US"/>
              </w:rPr>
              <w:t>4.1 Reduce air pollution by reducing levels of key air pollutants to levels that are safe for human health</w:t>
            </w:r>
          </w:p>
        </w:tc>
      </w:tr>
      <w:tr w:rsidR="00EE66FD" w:rsidRPr="007C4D65" w14:paraId="17AB783F" w14:textId="77777777" w:rsidTr="00BC37DE">
        <w:trPr>
          <w:trHeight w:val="567"/>
          <w:jc w:val="center"/>
        </w:trPr>
        <w:tc>
          <w:tcPr>
            <w:tcW w:w="1323" w:type="pct"/>
            <w:shd w:val="clear" w:color="auto" w:fill="009D73"/>
            <w:vAlign w:val="center"/>
          </w:tcPr>
          <w:p w14:paraId="65299B41"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Title of the measure</w:t>
            </w:r>
          </w:p>
        </w:tc>
        <w:tc>
          <w:tcPr>
            <w:tcW w:w="3677" w:type="pct"/>
            <w:gridSpan w:val="3"/>
            <w:shd w:val="clear" w:color="auto" w:fill="FFFFFF"/>
            <w:vAlign w:val="center"/>
          </w:tcPr>
          <w:p w14:paraId="0835EC00" w14:textId="77777777" w:rsidR="00EE66FD" w:rsidRPr="007C4D65" w:rsidRDefault="00EE66FD" w:rsidP="00EE66FD">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4.1.1 Reducing emissions from large combustion plants and achieving compliance of all industrial facilities with best available techniques</w:t>
            </w:r>
          </w:p>
        </w:tc>
      </w:tr>
      <w:tr w:rsidR="00EE66FD" w:rsidRPr="007C4D65" w14:paraId="460F6213" w14:textId="77777777" w:rsidTr="00BC37DE">
        <w:trPr>
          <w:trHeight w:val="567"/>
          <w:jc w:val="center"/>
        </w:trPr>
        <w:tc>
          <w:tcPr>
            <w:tcW w:w="1323" w:type="pct"/>
            <w:shd w:val="clear" w:color="auto" w:fill="009D73"/>
            <w:vAlign w:val="center"/>
          </w:tcPr>
          <w:p w14:paraId="2830BDDD"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 xml:space="preserve">Description of the measure with the general areas of intervention </w:t>
            </w:r>
          </w:p>
        </w:tc>
        <w:tc>
          <w:tcPr>
            <w:tcW w:w="3677" w:type="pct"/>
            <w:gridSpan w:val="3"/>
            <w:shd w:val="clear" w:color="auto" w:fill="FFFFFF"/>
            <w:vAlign w:val="center"/>
          </w:tcPr>
          <w:p w14:paraId="677950E4" w14:textId="77777777" w:rsidR="00F63776"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to design a funding programme </w:t>
            </w:r>
            <w:r w:rsidR="00F63776" w:rsidRPr="007C4D65">
              <w:rPr>
                <w:rFonts w:asciiTheme="minorHAnsi" w:eastAsia="Calibri" w:hAnsiTheme="minorHAnsi" w:cstheme="minorHAnsi"/>
                <w:sz w:val="18"/>
                <w:szCs w:val="18"/>
                <w:lang w:eastAsia="en-US"/>
              </w:rPr>
              <w:t xml:space="preserve">for </w:t>
            </w:r>
            <w:r w:rsidRPr="007C4D65">
              <w:rPr>
                <w:rFonts w:asciiTheme="minorHAnsi" w:eastAsia="Calibri" w:hAnsiTheme="minorHAnsi" w:cstheme="minorHAnsi"/>
                <w:sz w:val="18"/>
                <w:szCs w:val="18"/>
                <w:lang w:eastAsia="en-US"/>
              </w:rPr>
              <w:t>NERP implementation, to identify sources of funding in line with NERP timeline</w:t>
            </w:r>
            <w:r w:rsidR="00F63776" w:rsidRPr="007C4D65">
              <w:rPr>
                <w:rFonts w:asciiTheme="minorHAnsi" w:eastAsia="Calibri" w:hAnsiTheme="minorHAnsi" w:cstheme="minorHAnsi"/>
                <w:sz w:val="18"/>
                <w:szCs w:val="18"/>
                <w:lang w:eastAsia="en-US"/>
              </w:rPr>
              <w:t>,</w:t>
            </w:r>
            <w:r w:rsidRPr="007C4D65">
              <w:rPr>
                <w:rFonts w:asciiTheme="minorHAnsi" w:eastAsia="Calibri" w:hAnsiTheme="minorHAnsi" w:cstheme="minorHAnsi"/>
                <w:sz w:val="18"/>
                <w:szCs w:val="18"/>
                <w:lang w:eastAsia="en-US"/>
              </w:rPr>
              <w:t xml:space="preserve"> and development of reference documents for best available techniques for all relevant industrial processes.</w:t>
            </w:r>
          </w:p>
          <w:p w14:paraId="70F08ADE" w14:textId="19CB20F9" w:rsidR="00EE66FD" w:rsidRPr="007C4D65" w:rsidRDefault="00F63776"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EE66FD" w:rsidRPr="007C4D65">
              <w:rPr>
                <w:rFonts w:asciiTheme="minorHAnsi" w:eastAsia="Calibri" w:hAnsiTheme="minorHAnsi" w:cstheme="minorHAnsi"/>
                <w:sz w:val="18"/>
                <w:szCs w:val="18"/>
                <w:lang w:eastAsia="en-US"/>
              </w:rPr>
              <w:t>eneral areas of intervention are:</w:t>
            </w:r>
          </w:p>
          <w:p w14:paraId="570C60B5" w14:textId="20BCB5EB" w:rsidR="00EE66FD" w:rsidRPr="007C4D65" w:rsidRDefault="00F63776">
            <w:pPr>
              <w:numPr>
                <w:ilvl w:val="0"/>
                <w:numId w:val="110"/>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Drawing up</w:t>
            </w:r>
            <w:r w:rsidR="00EE66FD" w:rsidRPr="007C4D65">
              <w:rPr>
                <w:rFonts w:asciiTheme="minorHAnsi" w:eastAsia="Calibri" w:hAnsiTheme="minorHAnsi" w:cstheme="minorHAnsi"/>
                <w:sz w:val="18"/>
                <w:szCs w:val="18"/>
                <w:lang w:eastAsia="en-US"/>
              </w:rPr>
              <w:t xml:space="preserve"> a funding programme for the implementation of NERP and its </w:t>
            </w:r>
            <w:proofErr w:type="gramStart"/>
            <w:r w:rsidR="00EE66FD" w:rsidRPr="007C4D65">
              <w:rPr>
                <w:rFonts w:asciiTheme="minorHAnsi" w:eastAsia="Calibri" w:hAnsiTheme="minorHAnsi" w:cstheme="minorHAnsi"/>
                <w:sz w:val="18"/>
                <w:szCs w:val="18"/>
                <w:lang w:eastAsia="en-US"/>
              </w:rPr>
              <w:t>implementation</w:t>
            </w:r>
            <w:r w:rsidR="00B30020" w:rsidRPr="007C4D65">
              <w:rPr>
                <w:rFonts w:asciiTheme="minorHAnsi" w:eastAsia="Calibri" w:hAnsiTheme="minorHAnsi" w:cstheme="minorHAnsi"/>
                <w:sz w:val="18"/>
                <w:szCs w:val="18"/>
                <w:lang w:eastAsia="en-US"/>
              </w:rPr>
              <w:t>;</w:t>
            </w:r>
            <w:proofErr w:type="gramEnd"/>
          </w:p>
          <w:p w14:paraId="10E6D58D" w14:textId="029BBA76" w:rsidR="00EE66FD" w:rsidRPr="007C4D65" w:rsidRDefault="00EE66FD">
            <w:pPr>
              <w:numPr>
                <w:ilvl w:val="0"/>
                <w:numId w:val="110"/>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Drafting reference documents for </w:t>
            </w:r>
            <w:r w:rsidR="00F63776" w:rsidRPr="007C4D65">
              <w:rPr>
                <w:rFonts w:asciiTheme="minorHAnsi" w:eastAsia="Calibri" w:hAnsiTheme="minorHAnsi" w:cstheme="minorHAnsi"/>
                <w:sz w:val="18"/>
                <w:szCs w:val="18"/>
                <w:lang w:eastAsia="en-US"/>
              </w:rPr>
              <w:t xml:space="preserve">best available techniques </w:t>
            </w:r>
            <w:r w:rsidRPr="007C4D65">
              <w:rPr>
                <w:rFonts w:asciiTheme="minorHAnsi" w:eastAsia="Calibri" w:hAnsiTheme="minorHAnsi" w:cstheme="minorHAnsi"/>
                <w:sz w:val="18"/>
                <w:szCs w:val="18"/>
                <w:lang w:eastAsia="en-US"/>
              </w:rPr>
              <w:t xml:space="preserve">for all industrial </w:t>
            </w:r>
            <w:proofErr w:type="gramStart"/>
            <w:r w:rsidRPr="007C4D65">
              <w:rPr>
                <w:rFonts w:asciiTheme="minorHAnsi" w:eastAsia="Calibri" w:hAnsiTheme="minorHAnsi" w:cstheme="minorHAnsi"/>
                <w:sz w:val="18"/>
                <w:szCs w:val="18"/>
                <w:lang w:eastAsia="en-US"/>
              </w:rPr>
              <w:t>processes</w:t>
            </w:r>
            <w:r w:rsidR="00B30020" w:rsidRPr="007C4D65">
              <w:rPr>
                <w:rFonts w:asciiTheme="minorHAnsi" w:eastAsia="Calibri" w:hAnsiTheme="minorHAnsi" w:cstheme="minorHAnsi"/>
                <w:sz w:val="18"/>
                <w:szCs w:val="18"/>
                <w:lang w:eastAsia="en-US"/>
              </w:rPr>
              <w:t>;</w:t>
            </w:r>
            <w:proofErr w:type="gramEnd"/>
          </w:p>
          <w:p w14:paraId="029B34E1" w14:textId="2B4CFC49" w:rsidR="00EE66FD" w:rsidRPr="007C4D65" w:rsidRDefault="00EE66FD">
            <w:pPr>
              <w:numPr>
                <w:ilvl w:val="0"/>
                <w:numId w:val="110"/>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Environmental licencing and permitting procedure in compliance with best available </w:t>
            </w:r>
            <w:proofErr w:type="gramStart"/>
            <w:r w:rsidRPr="007C4D65">
              <w:rPr>
                <w:rFonts w:asciiTheme="minorHAnsi" w:eastAsia="Calibri" w:hAnsiTheme="minorHAnsi" w:cstheme="minorHAnsi"/>
                <w:sz w:val="18"/>
                <w:szCs w:val="18"/>
                <w:lang w:eastAsia="en-US"/>
              </w:rPr>
              <w:t>techniques</w:t>
            </w:r>
            <w:r w:rsidR="00B30020" w:rsidRPr="007C4D65">
              <w:rPr>
                <w:rFonts w:asciiTheme="minorHAnsi" w:eastAsia="Calibri" w:hAnsiTheme="minorHAnsi" w:cstheme="minorHAnsi"/>
                <w:sz w:val="18"/>
                <w:szCs w:val="18"/>
                <w:lang w:eastAsia="en-US"/>
              </w:rPr>
              <w:t>;</w:t>
            </w:r>
            <w:proofErr w:type="gramEnd"/>
          </w:p>
          <w:p w14:paraId="17484720" w14:textId="437757EF" w:rsidR="00EE66FD" w:rsidRPr="007C4D65" w:rsidRDefault="00EE66FD">
            <w:pPr>
              <w:numPr>
                <w:ilvl w:val="0"/>
                <w:numId w:val="110"/>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Introducing digitalised and centralised reporting on </w:t>
            </w:r>
            <w:r w:rsidR="00F63776" w:rsidRPr="007C4D65">
              <w:rPr>
                <w:rFonts w:asciiTheme="minorHAnsi" w:eastAsia="Calibri" w:hAnsiTheme="minorHAnsi" w:cstheme="minorHAnsi"/>
                <w:sz w:val="18"/>
                <w:szCs w:val="18"/>
                <w:lang w:eastAsia="en-US"/>
              </w:rPr>
              <w:t>measuring</w:t>
            </w:r>
            <w:r w:rsidRPr="007C4D65">
              <w:rPr>
                <w:rFonts w:asciiTheme="minorHAnsi" w:eastAsia="Calibri" w:hAnsiTheme="minorHAnsi" w:cstheme="minorHAnsi"/>
                <w:sz w:val="18"/>
                <w:szCs w:val="18"/>
                <w:lang w:eastAsia="en-US"/>
              </w:rPr>
              <w:t xml:space="preserve">, particularly </w:t>
            </w:r>
            <w:r w:rsidR="00F63776" w:rsidRPr="007C4D65">
              <w:rPr>
                <w:rFonts w:asciiTheme="minorHAnsi" w:eastAsia="Calibri" w:hAnsiTheme="minorHAnsi" w:cstheme="minorHAnsi"/>
                <w:sz w:val="18"/>
                <w:szCs w:val="18"/>
                <w:lang w:eastAsia="en-US"/>
              </w:rPr>
              <w:t xml:space="preserve">focusing on data obtained from </w:t>
            </w:r>
            <w:r w:rsidRPr="007C4D65">
              <w:rPr>
                <w:rFonts w:asciiTheme="minorHAnsi" w:eastAsia="Calibri" w:hAnsiTheme="minorHAnsi" w:cstheme="minorHAnsi"/>
                <w:sz w:val="18"/>
                <w:szCs w:val="18"/>
                <w:lang w:eastAsia="en-US"/>
              </w:rPr>
              <w:t xml:space="preserve">continued monitoring in real </w:t>
            </w:r>
            <w:proofErr w:type="gramStart"/>
            <w:r w:rsidRPr="007C4D65">
              <w:rPr>
                <w:rFonts w:asciiTheme="minorHAnsi" w:eastAsia="Calibri" w:hAnsiTheme="minorHAnsi" w:cstheme="minorHAnsi"/>
                <w:sz w:val="18"/>
                <w:szCs w:val="18"/>
                <w:lang w:eastAsia="en-US"/>
              </w:rPr>
              <w:t>time</w:t>
            </w:r>
            <w:r w:rsidR="00B30020" w:rsidRPr="007C4D65">
              <w:rPr>
                <w:rFonts w:asciiTheme="minorHAnsi" w:eastAsia="Calibri" w:hAnsiTheme="minorHAnsi" w:cstheme="minorHAnsi"/>
                <w:sz w:val="18"/>
                <w:szCs w:val="18"/>
                <w:lang w:eastAsia="en-US"/>
              </w:rPr>
              <w:t>;</w:t>
            </w:r>
            <w:proofErr w:type="gramEnd"/>
          </w:p>
          <w:p w14:paraId="4ADD509F" w14:textId="54754D61" w:rsidR="00EE66FD" w:rsidRPr="007C4D65" w:rsidRDefault="00EE66FD">
            <w:pPr>
              <w:numPr>
                <w:ilvl w:val="0"/>
                <w:numId w:val="110"/>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Strengthening the capacities of the institutions responsible for environmental licencing and permitting (ministries), and monitoring of the implementation of environmental permits (inspection bodies</w:t>
            </w:r>
            <w:proofErr w:type="gramStart"/>
            <w:r w:rsidRPr="007C4D65">
              <w:rPr>
                <w:rFonts w:asciiTheme="minorHAnsi" w:eastAsia="Calibri" w:hAnsiTheme="minorHAnsi" w:cstheme="minorHAnsi"/>
                <w:sz w:val="18"/>
                <w:szCs w:val="18"/>
                <w:lang w:eastAsia="en-US"/>
              </w:rPr>
              <w:t>)</w:t>
            </w:r>
            <w:r w:rsidR="00B30020" w:rsidRPr="007C4D65">
              <w:rPr>
                <w:rFonts w:asciiTheme="minorHAnsi" w:eastAsia="Calibri" w:hAnsiTheme="minorHAnsi" w:cstheme="minorHAnsi"/>
                <w:sz w:val="18"/>
                <w:szCs w:val="18"/>
                <w:lang w:eastAsia="en-US"/>
              </w:rPr>
              <w:t>;</w:t>
            </w:r>
            <w:proofErr w:type="gramEnd"/>
          </w:p>
          <w:p w14:paraId="276AC4DF" w14:textId="33266F1C" w:rsidR="00EE66FD" w:rsidRPr="007C4D65" w:rsidRDefault="00EE66FD">
            <w:pPr>
              <w:numPr>
                <w:ilvl w:val="0"/>
                <w:numId w:val="110"/>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Amending the Decree on fees </w:t>
            </w:r>
            <w:r w:rsidR="00F63776" w:rsidRPr="007C4D65">
              <w:rPr>
                <w:rFonts w:asciiTheme="minorHAnsi" w:eastAsia="Calibri" w:hAnsiTheme="minorHAnsi" w:cstheme="minorHAnsi"/>
                <w:sz w:val="18"/>
                <w:szCs w:val="18"/>
                <w:lang w:eastAsia="en-US"/>
              </w:rPr>
              <w:t xml:space="preserve">charged from </w:t>
            </w:r>
            <w:r w:rsidRPr="007C4D65">
              <w:rPr>
                <w:rFonts w:asciiTheme="minorHAnsi" w:eastAsia="Calibri" w:hAnsiTheme="minorHAnsi" w:cstheme="minorHAnsi"/>
                <w:sz w:val="18"/>
                <w:szCs w:val="18"/>
                <w:lang w:eastAsia="en-US"/>
              </w:rPr>
              <w:t>air polluters</w:t>
            </w:r>
            <w:r w:rsidR="00B30020" w:rsidRPr="007C4D65">
              <w:rPr>
                <w:rFonts w:asciiTheme="minorHAnsi" w:eastAsia="Calibri" w:hAnsiTheme="minorHAnsi" w:cstheme="minorHAnsi"/>
                <w:sz w:val="18"/>
                <w:szCs w:val="18"/>
                <w:lang w:eastAsia="en-US"/>
              </w:rPr>
              <w:t>.</w:t>
            </w:r>
          </w:p>
        </w:tc>
      </w:tr>
      <w:tr w:rsidR="00EE66FD" w:rsidRPr="007C4D65" w14:paraId="33F3AA38" w14:textId="77777777" w:rsidTr="00BC37DE">
        <w:trPr>
          <w:trHeight w:val="567"/>
          <w:jc w:val="center"/>
        </w:trPr>
        <w:tc>
          <w:tcPr>
            <w:tcW w:w="1323" w:type="pct"/>
            <w:shd w:val="clear" w:color="auto" w:fill="009D73"/>
            <w:vAlign w:val="center"/>
          </w:tcPr>
          <w:p w14:paraId="57323C2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Strategic projects</w:t>
            </w:r>
          </w:p>
        </w:tc>
        <w:tc>
          <w:tcPr>
            <w:tcW w:w="3677" w:type="pct"/>
            <w:gridSpan w:val="3"/>
            <w:tcBorders>
              <w:bottom w:val="single" w:sz="4" w:space="0" w:color="A6A6A6"/>
            </w:tcBorders>
            <w:shd w:val="clear" w:color="auto" w:fill="FFFFFF" w:themeFill="background1"/>
            <w:vAlign w:val="center"/>
          </w:tcPr>
          <w:p w14:paraId="3D3BA347"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E66FD" w:rsidRPr="007C4D65" w14:paraId="5D48F698" w14:textId="77777777" w:rsidTr="00BC37DE">
        <w:trPr>
          <w:trHeight w:val="567"/>
          <w:jc w:val="center"/>
        </w:trPr>
        <w:tc>
          <w:tcPr>
            <w:tcW w:w="1323" w:type="pct"/>
            <w:vMerge w:val="restart"/>
            <w:shd w:val="clear" w:color="auto" w:fill="009D73"/>
            <w:vAlign w:val="center"/>
          </w:tcPr>
          <w:p w14:paraId="25D5EE80"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 for monitoring of results</w:t>
            </w:r>
          </w:p>
        </w:tc>
        <w:tc>
          <w:tcPr>
            <w:tcW w:w="1128" w:type="pct"/>
            <w:shd w:val="clear" w:color="auto" w:fill="009D73"/>
            <w:vAlign w:val="center"/>
          </w:tcPr>
          <w:p w14:paraId="1B2B7B45"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w:t>
            </w:r>
          </w:p>
          <w:p w14:paraId="6E24C694"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w:t>
            </w:r>
            <w:proofErr w:type="gramStart"/>
            <w:r w:rsidRPr="007C4D65">
              <w:rPr>
                <w:rFonts w:asciiTheme="minorHAnsi" w:eastAsiaTheme="minorHAnsi" w:hAnsiTheme="minorHAnsi" w:cstheme="minorHAnsi"/>
                <w:b/>
                <w:bCs/>
                <w:color w:val="FFFFFF" w:themeColor="background1"/>
                <w:sz w:val="18"/>
                <w:szCs w:val="18"/>
                <w:lang w:eastAsia="en-US"/>
              </w:rPr>
              <w:t>outputs</w:t>
            </w:r>
            <w:proofErr w:type="gramEnd"/>
            <w:r w:rsidRPr="007C4D65">
              <w:rPr>
                <w:rFonts w:asciiTheme="minorHAnsi" w:eastAsiaTheme="minorHAnsi" w:hAnsiTheme="minorHAnsi" w:cstheme="minorHAnsi"/>
                <w:b/>
                <w:bCs/>
                <w:color w:val="FFFFFF" w:themeColor="background1"/>
                <w:sz w:val="18"/>
                <w:szCs w:val="18"/>
                <w:lang w:eastAsia="en-US"/>
              </w:rPr>
              <w:t xml:space="preserve"> and deliverables)</w:t>
            </w:r>
          </w:p>
        </w:tc>
        <w:tc>
          <w:tcPr>
            <w:tcW w:w="1273" w:type="pct"/>
            <w:shd w:val="clear" w:color="auto" w:fill="009D73"/>
            <w:vAlign w:val="center"/>
          </w:tcPr>
          <w:p w14:paraId="13E304AB"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Baseline value</w:t>
            </w:r>
          </w:p>
        </w:tc>
        <w:tc>
          <w:tcPr>
            <w:tcW w:w="1276" w:type="pct"/>
            <w:shd w:val="clear" w:color="auto" w:fill="009D73"/>
            <w:vAlign w:val="center"/>
          </w:tcPr>
          <w:p w14:paraId="0736D2FD"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value</w:t>
            </w:r>
          </w:p>
        </w:tc>
      </w:tr>
      <w:tr w:rsidR="00EE66FD" w:rsidRPr="007C4D65" w14:paraId="1527EDAB" w14:textId="77777777" w:rsidTr="00BC37DE">
        <w:trPr>
          <w:trHeight w:val="567"/>
          <w:jc w:val="center"/>
        </w:trPr>
        <w:tc>
          <w:tcPr>
            <w:tcW w:w="1323" w:type="pct"/>
            <w:vMerge/>
            <w:shd w:val="clear" w:color="auto" w:fill="009D73"/>
            <w:vAlign w:val="center"/>
          </w:tcPr>
          <w:p w14:paraId="53291862"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28" w:type="pct"/>
            <w:shd w:val="clear" w:color="auto" w:fill="FFFFFF"/>
            <w:vAlign w:val="center"/>
          </w:tcPr>
          <w:p w14:paraId="6A994868" w14:textId="66E95372" w:rsidR="00EE66FD" w:rsidRPr="007C4D65" w:rsidRDefault="00EE66FD" w:rsidP="00EE66FD">
            <w:p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a. </w:t>
            </w:r>
            <w:r w:rsidR="00990EA2" w:rsidRPr="007C4D65">
              <w:rPr>
                <w:rFonts w:asciiTheme="minorHAnsi" w:eastAsia="Calibri" w:hAnsiTheme="minorHAnsi" w:cstheme="minorHAnsi"/>
                <w:sz w:val="18"/>
                <w:szCs w:val="18"/>
                <w:lang w:eastAsia="en-US"/>
              </w:rPr>
              <w:t>Sta</w:t>
            </w:r>
            <w:r w:rsidR="005A6B91" w:rsidRPr="007C4D65">
              <w:rPr>
                <w:rFonts w:asciiTheme="minorHAnsi" w:eastAsia="Calibri" w:hAnsiTheme="minorHAnsi" w:cstheme="minorHAnsi"/>
                <w:sz w:val="18"/>
                <w:szCs w:val="18"/>
                <w:lang w:eastAsia="en-US"/>
              </w:rPr>
              <w:t>t</w:t>
            </w:r>
            <w:r w:rsidR="00990EA2" w:rsidRPr="007C4D65">
              <w:rPr>
                <w:rFonts w:asciiTheme="minorHAnsi" w:eastAsia="Calibri" w:hAnsiTheme="minorHAnsi" w:cstheme="minorHAnsi"/>
                <w:sz w:val="18"/>
                <w:szCs w:val="18"/>
                <w:lang w:eastAsia="en-US"/>
              </w:rPr>
              <w:t xml:space="preserve">us </w:t>
            </w:r>
            <w:r w:rsidR="00F63776" w:rsidRPr="007C4D65">
              <w:rPr>
                <w:rFonts w:asciiTheme="minorHAnsi" w:eastAsia="Calibri" w:hAnsiTheme="minorHAnsi" w:cstheme="minorHAnsi"/>
                <w:sz w:val="18"/>
                <w:szCs w:val="18"/>
                <w:lang w:eastAsia="en-US"/>
              </w:rPr>
              <w:t>of the development and implementation of</w:t>
            </w:r>
            <w:r w:rsidRPr="007C4D65">
              <w:rPr>
                <w:rFonts w:asciiTheme="minorHAnsi" w:eastAsia="Calibri" w:hAnsiTheme="minorHAnsi" w:cstheme="minorHAnsi"/>
                <w:sz w:val="18"/>
                <w:szCs w:val="18"/>
                <w:lang w:eastAsia="en-US"/>
              </w:rPr>
              <w:t xml:space="preserve"> a funding programme for the implementation of NERP </w:t>
            </w:r>
          </w:p>
        </w:tc>
        <w:tc>
          <w:tcPr>
            <w:tcW w:w="1273" w:type="pct"/>
            <w:shd w:val="clear" w:color="auto" w:fill="FFFFFF"/>
            <w:vAlign w:val="center"/>
          </w:tcPr>
          <w:p w14:paraId="157BB1B3" w14:textId="1F8C06B4" w:rsidR="00EE66FD" w:rsidRPr="007C4D65" w:rsidRDefault="00F63776"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Unidentified</w:t>
            </w:r>
            <w:r w:rsidR="00EE66FD" w:rsidRPr="007C4D65">
              <w:rPr>
                <w:rFonts w:asciiTheme="minorHAnsi" w:eastAsiaTheme="minorHAnsi" w:hAnsiTheme="minorHAnsi" w:cstheme="minorHAnsi"/>
                <w:sz w:val="18"/>
                <w:szCs w:val="18"/>
                <w:lang w:eastAsia="en-US"/>
              </w:rPr>
              <w:t xml:space="preserve"> sources of funding and delays in</w:t>
            </w:r>
            <w:r w:rsidRPr="007C4D65">
              <w:rPr>
                <w:rFonts w:asciiTheme="minorHAnsi" w:eastAsiaTheme="minorHAnsi" w:hAnsiTheme="minorHAnsi" w:cstheme="minorHAnsi"/>
                <w:sz w:val="18"/>
                <w:szCs w:val="18"/>
                <w:lang w:eastAsia="en-US"/>
              </w:rPr>
              <w:t xml:space="preserve"> the</w:t>
            </w:r>
            <w:r w:rsidR="00EE66FD" w:rsidRPr="007C4D65">
              <w:rPr>
                <w:rFonts w:asciiTheme="minorHAnsi" w:eastAsiaTheme="minorHAnsi" w:hAnsiTheme="minorHAnsi" w:cstheme="minorHAnsi"/>
                <w:sz w:val="18"/>
                <w:szCs w:val="18"/>
                <w:lang w:eastAsia="en-US"/>
              </w:rPr>
              <w:t xml:space="preserve"> </w:t>
            </w:r>
            <w:r w:rsidRPr="007C4D65">
              <w:rPr>
                <w:rFonts w:asciiTheme="minorHAnsi" w:eastAsiaTheme="minorHAnsi" w:hAnsiTheme="minorHAnsi" w:cstheme="minorHAnsi"/>
                <w:sz w:val="18"/>
                <w:szCs w:val="18"/>
                <w:lang w:eastAsia="en-US"/>
              </w:rPr>
              <w:t xml:space="preserve">implementation of </w:t>
            </w:r>
            <w:r w:rsidR="00EE66FD" w:rsidRPr="007C4D65">
              <w:rPr>
                <w:rFonts w:asciiTheme="minorHAnsi" w:eastAsiaTheme="minorHAnsi" w:hAnsiTheme="minorHAnsi" w:cstheme="minorHAnsi"/>
                <w:sz w:val="18"/>
                <w:szCs w:val="18"/>
                <w:lang w:eastAsia="en-US"/>
              </w:rPr>
              <w:t xml:space="preserve">NERP </w:t>
            </w:r>
          </w:p>
        </w:tc>
        <w:tc>
          <w:tcPr>
            <w:tcW w:w="1276" w:type="pct"/>
            <w:shd w:val="clear" w:color="auto" w:fill="FFFFFF"/>
            <w:vAlign w:val="center"/>
          </w:tcPr>
          <w:p w14:paraId="455CD36E" w14:textId="64815C16" w:rsidR="00EE66FD" w:rsidRPr="007C4D65" w:rsidRDefault="00F63776"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A f</w:t>
            </w:r>
            <w:r w:rsidR="00EE66FD" w:rsidRPr="007C4D65">
              <w:rPr>
                <w:rFonts w:asciiTheme="minorHAnsi" w:eastAsiaTheme="minorHAnsi" w:hAnsiTheme="minorHAnsi" w:cstheme="minorHAnsi"/>
                <w:sz w:val="18"/>
                <w:szCs w:val="18"/>
                <w:lang w:eastAsia="en-US"/>
              </w:rPr>
              <w:t>unding programme for NERP and its implementation</w:t>
            </w:r>
            <w:r w:rsidRPr="007C4D65">
              <w:rPr>
                <w:rFonts w:asciiTheme="minorHAnsi" w:eastAsia="Calibri" w:hAnsiTheme="minorHAnsi" w:cstheme="minorHAnsi"/>
                <w:sz w:val="18"/>
                <w:szCs w:val="18"/>
                <w:lang w:eastAsia="en-US"/>
              </w:rPr>
              <w:t xml:space="preserve"> developed and effective</w:t>
            </w:r>
          </w:p>
        </w:tc>
      </w:tr>
      <w:tr w:rsidR="00EE66FD" w:rsidRPr="007C4D65" w14:paraId="10ACBFB1" w14:textId="77777777" w:rsidTr="00BC37DE">
        <w:trPr>
          <w:trHeight w:val="567"/>
          <w:jc w:val="center"/>
        </w:trPr>
        <w:tc>
          <w:tcPr>
            <w:tcW w:w="1323" w:type="pct"/>
            <w:vMerge/>
            <w:shd w:val="clear" w:color="auto" w:fill="009D73"/>
            <w:vAlign w:val="center"/>
          </w:tcPr>
          <w:p w14:paraId="37D57045"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28" w:type="pct"/>
            <w:shd w:val="clear" w:color="auto" w:fill="FFFFFF"/>
            <w:vAlign w:val="center"/>
          </w:tcPr>
          <w:p w14:paraId="1240D4EC" w14:textId="77777777" w:rsidR="00EE66FD" w:rsidRPr="007C4D65" w:rsidRDefault="00EE66FD" w:rsidP="00EE66FD">
            <w:pPr>
              <w:numPr>
                <w:ilvl w:val="0"/>
                <w:numId w:val="30"/>
              </w:numPr>
              <w:spacing w:before="40" w:after="40" w:line="276" w:lineRule="auto"/>
              <w:ind w:left="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b. Number of adopted BREFs for BATs</w:t>
            </w:r>
          </w:p>
        </w:tc>
        <w:tc>
          <w:tcPr>
            <w:tcW w:w="1273" w:type="pct"/>
            <w:shd w:val="clear" w:color="auto" w:fill="FFFFFF"/>
            <w:vAlign w:val="center"/>
          </w:tcPr>
          <w:p w14:paraId="5C350AA5" w14:textId="56F1986E" w:rsidR="00EE66FD" w:rsidRPr="007C4D65" w:rsidRDefault="00F63776"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The Federation of BiH has no</w:t>
            </w:r>
            <w:r w:rsidR="00EE66FD" w:rsidRPr="007C4D65">
              <w:rPr>
                <w:rFonts w:asciiTheme="minorHAnsi" w:eastAsiaTheme="minorHAnsi" w:hAnsiTheme="minorHAnsi" w:cstheme="minorHAnsi"/>
                <w:sz w:val="18"/>
                <w:szCs w:val="18"/>
                <w:lang w:eastAsia="en-US"/>
              </w:rPr>
              <w:t xml:space="preserve"> BREFs developed or adopted</w:t>
            </w:r>
          </w:p>
        </w:tc>
        <w:tc>
          <w:tcPr>
            <w:tcW w:w="1276" w:type="pct"/>
            <w:shd w:val="clear" w:color="auto" w:fill="FFFFFF"/>
            <w:vAlign w:val="center"/>
          </w:tcPr>
          <w:p w14:paraId="79E63C85" w14:textId="20014173"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Reference documents developed and adopted for all significant industrial processes in </w:t>
            </w:r>
            <w:r w:rsidR="00F63776" w:rsidRPr="007C4D65">
              <w:rPr>
                <w:rFonts w:asciiTheme="minorHAnsi" w:eastAsiaTheme="minorHAnsi" w:hAnsiTheme="minorHAnsi" w:cstheme="minorHAnsi"/>
                <w:sz w:val="18"/>
                <w:szCs w:val="18"/>
                <w:lang w:eastAsia="en-US"/>
              </w:rPr>
              <w:t>the Federation of BiH</w:t>
            </w:r>
          </w:p>
        </w:tc>
      </w:tr>
      <w:tr w:rsidR="00EE66FD" w:rsidRPr="007C4D65" w14:paraId="353736A0" w14:textId="77777777" w:rsidTr="00BC37DE">
        <w:trPr>
          <w:trHeight w:val="567"/>
          <w:jc w:val="center"/>
        </w:trPr>
        <w:tc>
          <w:tcPr>
            <w:tcW w:w="1323" w:type="pct"/>
            <w:vMerge/>
            <w:shd w:val="clear" w:color="auto" w:fill="009D73"/>
            <w:vAlign w:val="center"/>
          </w:tcPr>
          <w:p w14:paraId="4E42A910"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28" w:type="pct"/>
            <w:shd w:val="clear" w:color="auto" w:fill="FFFFFF"/>
            <w:vAlign w:val="center"/>
          </w:tcPr>
          <w:p w14:paraId="6E5CBAC1" w14:textId="4D266963" w:rsidR="00EE66FD" w:rsidRPr="007C4D65" w:rsidRDefault="00EE66FD" w:rsidP="00EE66FD">
            <w:pPr>
              <w:numPr>
                <w:ilvl w:val="0"/>
                <w:numId w:val="30"/>
              </w:numPr>
              <w:spacing w:before="40" w:after="40" w:line="276" w:lineRule="auto"/>
              <w:ind w:left="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c. Number of environmental permits that require harmonisation of industrial processes with BATs</w:t>
            </w:r>
            <w:r w:rsidR="00F63776" w:rsidRPr="007C4D65">
              <w:rPr>
                <w:rFonts w:asciiTheme="minorHAnsi" w:eastAsia="Calibri" w:hAnsiTheme="minorHAnsi" w:cstheme="minorHAnsi"/>
                <w:sz w:val="18"/>
                <w:szCs w:val="18"/>
                <w:lang w:eastAsia="en-US"/>
              </w:rPr>
              <w:t xml:space="preserve"> adopted</w:t>
            </w:r>
          </w:p>
        </w:tc>
        <w:tc>
          <w:tcPr>
            <w:tcW w:w="1273" w:type="pct"/>
            <w:shd w:val="clear" w:color="auto" w:fill="FFFFFF"/>
            <w:vAlign w:val="center"/>
          </w:tcPr>
          <w:p w14:paraId="76756630" w14:textId="77777777"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Unknown number of environmental permits that </w:t>
            </w:r>
            <w:proofErr w:type="gramStart"/>
            <w:r w:rsidRPr="007C4D65">
              <w:rPr>
                <w:rFonts w:asciiTheme="minorHAnsi" w:eastAsiaTheme="minorHAnsi" w:hAnsiTheme="minorHAnsi" w:cstheme="minorHAnsi"/>
                <w:sz w:val="18"/>
                <w:szCs w:val="18"/>
                <w:lang w:eastAsia="en-US"/>
              </w:rPr>
              <w:t>are in compliance with</w:t>
            </w:r>
            <w:proofErr w:type="gramEnd"/>
            <w:r w:rsidRPr="007C4D65">
              <w:rPr>
                <w:rFonts w:asciiTheme="minorHAnsi" w:eastAsiaTheme="minorHAnsi" w:hAnsiTheme="minorHAnsi" w:cstheme="minorHAnsi"/>
                <w:sz w:val="18"/>
                <w:szCs w:val="18"/>
                <w:lang w:eastAsia="en-US"/>
              </w:rPr>
              <w:t xml:space="preserve"> EU BREFs </w:t>
            </w:r>
          </w:p>
        </w:tc>
        <w:tc>
          <w:tcPr>
            <w:tcW w:w="1276" w:type="pct"/>
            <w:shd w:val="clear" w:color="auto" w:fill="FFFFFF"/>
            <w:vAlign w:val="center"/>
          </w:tcPr>
          <w:p w14:paraId="10DE24D2" w14:textId="58EC51BC"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Environmental permits issued to all industrial facilities who are </w:t>
            </w:r>
            <w:r w:rsidR="00990EA2" w:rsidRPr="007C4D65">
              <w:rPr>
                <w:rFonts w:asciiTheme="minorHAnsi" w:eastAsiaTheme="minorHAnsi" w:hAnsiTheme="minorHAnsi" w:cstheme="minorHAnsi"/>
                <w:sz w:val="18"/>
                <w:szCs w:val="18"/>
                <w:lang w:eastAsia="en-US"/>
              </w:rPr>
              <w:t>required to</w:t>
            </w:r>
            <w:r w:rsidRPr="007C4D65">
              <w:rPr>
                <w:rFonts w:asciiTheme="minorHAnsi" w:eastAsiaTheme="minorHAnsi" w:hAnsiTheme="minorHAnsi" w:cstheme="minorHAnsi"/>
                <w:sz w:val="18"/>
                <w:szCs w:val="18"/>
                <w:lang w:eastAsia="en-US"/>
              </w:rPr>
              <w:t xml:space="preserve"> obtain a permit</w:t>
            </w:r>
          </w:p>
        </w:tc>
      </w:tr>
      <w:tr w:rsidR="00EE66FD" w:rsidRPr="007C4D65" w14:paraId="4ED20ADF" w14:textId="77777777" w:rsidTr="00BC37DE">
        <w:trPr>
          <w:trHeight w:val="567"/>
          <w:jc w:val="center"/>
        </w:trPr>
        <w:tc>
          <w:tcPr>
            <w:tcW w:w="1323" w:type="pct"/>
            <w:vMerge/>
            <w:shd w:val="clear" w:color="auto" w:fill="009D73"/>
            <w:vAlign w:val="center"/>
          </w:tcPr>
          <w:p w14:paraId="223763A8"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28" w:type="pct"/>
            <w:shd w:val="clear" w:color="auto" w:fill="FFFFFF"/>
            <w:vAlign w:val="center"/>
          </w:tcPr>
          <w:p w14:paraId="41F6DB1B" w14:textId="77777777" w:rsidR="00EE66FD" w:rsidRPr="007C4D65" w:rsidRDefault="00EE66FD" w:rsidP="00EE66FD">
            <w:pPr>
              <w:numPr>
                <w:ilvl w:val="0"/>
                <w:numId w:val="30"/>
              </w:numPr>
              <w:spacing w:before="40" w:after="40" w:line="276" w:lineRule="auto"/>
              <w:ind w:left="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d. Number of facilities included in the digitalised and centralised system of reporting on emissions measurement </w:t>
            </w:r>
          </w:p>
        </w:tc>
        <w:tc>
          <w:tcPr>
            <w:tcW w:w="1273" w:type="pct"/>
            <w:shd w:val="clear" w:color="auto" w:fill="FFFFFF"/>
            <w:vAlign w:val="center"/>
          </w:tcPr>
          <w:p w14:paraId="364061B1" w14:textId="77777777"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There is no digitalised and centralised system of reporting on emissions measurement in place</w:t>
            </w:r>
          </w:p>
        </w:tc>
        <w:tc>
          <w:tcPr>
            <w:tcW w:w="1276" w:type="pct"/>
            <w:shd w:val="clear" w:color="auto" w:fill="FFFFFF"/>
            <w:vAlign w:val="center"/>
          </w:tcPr>
          <w:p w14:paraId="5EF096B2" w14:textId="77777777"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Digitalised and centralised system of reporting on emissions measurement established</w:t>
            </w:r>
          </w:p>
        </w:tc>
      </w:tr>
      <w:tr w:rsidR="00EE66FD" w:rsidRPr="007C4D65" w14:paraId="4847E742" w14:textId="77777777" w:rsidTr="00BC37DE">
        <w:trPr>
          <w:trHeight w:val="567"/>
          <w:jc w:val="center"/>
        </w:trPr>
        <w:tc>
          <w:tcPr>
            <w:tcW w:w="1323" w:type="pct"/>
            <w:vMerge/>
            <w:shd w:val="clear" w:color="auto" w:fill="009D73"/>
            <w:vAlign w:val="center"/>
          </w:tcPr>
          <w:p w14:paraId="6AF7EF8A"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28" w:type="pct"/>
            <w:shd w:val="clear" w:color="auto" w:fill="FFFFFF"/>
            <w:vAlign w:val="center"/>
          </w:tcPr>
          <w:p w14:paraId="44AD7BDE" w14:textId="77777777" w:rsidR="00EE66FD" w:rsidRPr="007C4D65" w:rsidRDefault="00EE66FD" w:rsidP="00EE66FD">
            <w:pPr>
              <w:numPr>
                <w:ilvl w:val="0"/>
                <w:numId w:val="30"/>
              </w:numPr>
              <w:spacing w:before="40" w:after="40" w:line="276" w:lineRule="auto"/>
              <w:ind w:left="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e. Level of the implementation of the capacity development programme</w:t>
            </w:r>
          </w:p>
        </w:tc>
        <w:tc>
          <w:tcPr>
            <w:tcW w:w="1273" w:type="pct"/>
            <w:shd w:val="clear" w:color="auto" w:fill="FFFFFF"/>
            <w:vAlign w:val="center"/>
          </w:tcPr>
          <w:p w14:paraId="4E75BB81" w14:textId="0C9EA05F"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Insufficient capacities </w:t>
            </w:r>
            <w:r w:rsidR="00990EA2" w:rsidRPr="007C4D65">
              <w:rPr>
                <w:rFonts w:asciiTheme="minorHAnsi" w:eastAsiaTheme="minorHAnsi" w:hAnsiTheme="minorHAnsi" w:cstheme="minorHAnsi"/>
                <w:sz w:val="18"/>
                <w:szCs w:val="18"/>
                <w:lang w:eastAsia="en-US"/>
              </w:rPr>
              <w:t>to support</w:t>
            </w:r>
            <w:r w:rsidRPr="007C4D65">
              <w:rPr>
                <w:rFonts w:asciiTheme="minorHAnsi" w:eastAsiaTheme="minorHAnsi" w:hAnsiTheme="minorHAnsi" w:cstheme="minorHAnsi"/>
                <w:sz w:val="18"/>
                <w:szCs w:val="18"/>
                <w:lang w:eastAsia="en-US"/>
              </w:rPr>
              <w:t xml:space="preserve"> introducing and overseeing</w:t>
            </w:r>
            <w:r w:rsidR="00990EA2" w:rsidRPr="007C4D65">
              <w:rPr>
                <w:rFonts w:asciiTheme="minorHAnsi" w:eastAsiaTheme="minorHAnsi" w:hAnsiTheme="minorHAnsi" w:cstheme="minorHAnsi"/>
                <w:sz w:val="18"/>
                <w:szCs w:val="18"/>
                <w:lang w:eastAsia="en-US"/>
              </w:rPr>
              <w:t xml:space="preserve"> the</w:t>
            </w:r>
            <w:r w:rsidRPr="007C4D65">
              <w:rPr>
                <w:rFonts w:asciiTheme="minorHAnsi" w:eastAsiaTheme="minorHAnsi" w:hAnsiTheme="minorHAnsi" w:cstheme="minorHAnsi"/>
                <w:sz w:val="18"/>
                <w:szCs w:val="18"/>
                <w:lang w:eastAsia="en-US"/>
              </w:rPr>
              <w:t xml:space="preserve"> implementation of the requirements from the environmental permits</w:t>
            </w:r>
          </w:p>
        </w:tc>
        <w:tc>
          <w:tcPr>
            <w:tcW w:w="1276" w:type="pct"/>
            <w:shd w:val="clear" w:color="auto" w:fill="FFFFFF"/>
            <w:vAlign w:val="center"/>
          </w:tcPr>
          <w:p w14:paraId="15A72520" w14:textId="4533D135"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Capacity </w:t>
            </w:r>
            <w:r w:rsidR="00990EA2" w:rsidRPr="007C4D65">
              <w:rPr>
                <w:rFonts w:asciiTheme="minorHAnsi" w:eastAsiaTheme="minorHAnsi" w:hAnsiTheme="minorHAnsi" w:cstheme="minorHAnsi"/>
                <w:sz w:val="18"/>
                <w:szCs w:val="18"/>
                <w:lang w:eastAsia="en-US"/>
              </w:rPr>
              <w:t>building</w:t>
            </w:r>
            <w:r w:rsidRPr="007C4D65">
              <w:rPr>
                <w:rFonts w:asciiTheme="minorHAnsi" w:eastAsiaTheme="minorHAnsi" w:hAnsiTheme="minorHAnsi" w:cstheme="minorHAnsi"/>
                <w:sz w:val="18"/>
                <w:szCs w:val="18"/>
                <w:lang w:eastAsia="en-US"/>
              </w:rPr>
              <w:t xml:space="preserve"> programme developed and implemented</w:t>
            </w:r>
          </w:p>
        </w:tc>
      </w:tr>
      <w:tr w:rsidR="00EE66FD" w:rsidRPr="007C4D65" w14:paraId="08D17E1E" w14:textId="77777777" w:rsidTr="00BC37DE">
        <w:trPr>
          <w:trHeight w:val="567"/>
          <w:jc w:val="center"/>
        </w:trPr>
        <w:tc>
          <w:tcPr>
            <w:tcW w:w="1323" w:type="pct"/>
            <w:vMerge/>
            <w:shd w:val="clear" w:color="auto" w:fill="009D73"/>
            <w:vAlign w:val="center"/>
          </w:tcPr>
          <w:p w14:paraId="097FB662"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28" w:type="pct"/>
            <w:shd w:val="clear" w:color="auto" w:fill="FFFFFF"/>
            <w:vAlign w:val="center"/>
          </w:tcPr>
          <w:p w14:paraId="03847432" w14:textId="66E424E9" w:rsidR="00EE66FD" w:rsidRPr="007C4D65" w:rsidRDefault="00EE66FD" w:rsidP="00EE66FD">
            <w:pPr>
              <w:numPr>
                <w:ilvl w:val="0"/>
                <w:numId w:val="30"/>
              </w:numPr>
              <w:spacing w:before="40" w:after="40" w:line="276" w:lineRule="auto"/>
              <w:ind w:left="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f. Status of adoption of </w:t>
            </w:r>
            <w:r w:rsidR="00990EA2" w:rsidRPr="007C4D65">
              <w:rPr>
                <w:rFonts w:asciiTheme="minorHAnsi" w:eastAsia="Calibri" w:hAnsiTheme="minorHAnsi" w:cstheme="minorHAnsi"/>
                <w:sz w:val="18"/>
                <w:szCs w:val="18"/>
                <w:lang w:eastAsia="en-US"/>
              </w:rPr>
              <w:t xml:space="preserve">amendments to the </w:t>
            </w:r>
            <w:r w:rsidRPr="007C4D65">
              <w:rPr>
                <w:rFonts w:asciiTheme="minorHAnsi" w:eastAsia="Calibri" w:hAnsiTheme="minorHAnsi" w:cstheme="minorHAnsi"/>
                <w:sz w:val="18"/>
                <w:szCs w:val="18"/>
                <w:lang w:eastAsia="en-US"/>
              </w:rPr>
              <w:t>Decree</w:t>
            </w:r>
          </w:p>
        </w:tc>
        <w:tc>
          <w:tcPr>
            <w:tcW w:w="1273" w:type="pct"/>
            <w:shd w:val="clear" w:color="auto" w:fill="FFFFFF"/>
            <w:vAlign w:val="center"/>
          </w:tcPr>
          <w:p w14:paraId="0B6A442F" w14:textId="76055605" w:rsidR="00EE66FD" w:rsidRPr="007C4D65" w:rsidRDefault="00990EA2"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The c</w:t>
            </w:r>
            <w:r w:rsidR="00EE66FD" w:rsidRPr="007C4D65">
              <w:rPr>
                <w:rFonts w:asciiTheme="minorHAnsi" w:eastAsiaTheme="minorHAnsi" w:hAnsiTheme="minorHAnsi" w:cstheme="minorHAnsi"/>
                <w:sz w:val="18"/>
                <w:szCs w:val="18"/>
                <w:lang w:eastAsia="en-US"/>
              </w:rPr>
              <w:t xml:space="preserve">urrent Decree does not </w:t>
            </w:r>
            <w:r w:rsidRPr="007C4D65">
              <w:rPr>
                <w:rFonts w:asciiTheme="minorHAnsi" w:eastAsiaTheme="minorHAnsi" w:hAnsiTheme="minorHAnsi" w:cstheme="minorHAnsi"/>
                <w:sz w:val="18"/>
                <w:szCs w:val="18"/>
                <w:lang w:eastAsia="en-US"/>
              </w:rPr>
              <w:t>cover</w:t>
            </w:r>
            <w:r w:rsidR="00EE66FD" w:rsidRPr="007C4D65">
              <w:rPr>
                <w:rFonts w:asciiTheme="minorHAnsi" w:eastAsiaTheme="minorHAnsi" w:hAnsiTheme="minorHAnsi" w:cstheme="minorHAnsi"/>
                <w:sz w:val="18"/>
                <w:szCs w:val="18"/>
                <w:lang w:eastAsia="en-US"/>
              </w:rPr>
              <w:t xml:space="preserve"> many pollutants and does not </w:t>
            </w:r>
            <w:r w:rsidRPr="007C4D65">
              <w:rPr>
                <w:rFonts w:asciiTheme="minorHAnsi" w:eastAsiaTheme="minorHAnsi" w:hAnsiTheme="minorHAnsi" w:cstheme="minorHAnsi"/>
                <w:sz w:val="18"/>
                <w:szCs w:val="18"/>
                <w:lang w:eastAsia="en-US"/>
              </w:rPr>
              <w:t>envisage</w:t>
            </w:r>
            <w:r w:rsidR="00EE66FD" w:rsidRPr="007C4D65">
              <w:rPr>
                <w:rFonts w:asciiTheme="minorHAnsi" w:eastAsiaTheme="minorHAnsi" w:hAnsiTheme="minorHAnsi" w:cstheme="minorHAnsi"/>
                <w:sz w:val="18"/>
                <w:szCs w:val="18"/>
                <w:lang w:eastAsia="en-US"/>
              </w:rPr>
              <w:t xml:space="preserve"> electronic and centralised reporting</w:t>
            </w:r>
          </w:p>
        </w:tc>
        <w:tc>
          <w:tcPr>
            <w:tcW w:w="1276" w:type="pct"/>
            <w:shd w:val="clear" w:color="auto" w:fill="FFFFFF"/>
            <w:vAlign w:val="center"/>
          </w:tcPr>
          <w:p w14:paraId="06C68463" w14:textId="4B49CD3B" w:rsidR="00EE66FD" w:rsidRPr="007C4D65" w:rsidRDefault="00990EA2"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Amendments to the </w:t>
            </w:r>
            <w:r w:rsidR="00EE66FD" w:rsidRPr="007C4D65">
              <w:rPr>
                <w:rFonts w:asciiTheme="minorHAnsi" w:eastAsiaTheme="minorHAnsi" w:hAnsiTheme="minorHAnsi" w:cstheme="minorHAnsi"/>
                <w:sz w:val="18"/>
                <w:szCs w:val="18"/>
                <w:lang w:eastAsia="en-US"/>
              </w:rPr>
              <w:t>Decree on fees for air pollut</w:t>
            </w:r>
            <w:r w:rsidRPr="007C4D65">
              <w:rPr>
                <w:rFonts w:asciiTheme="minorHAnsi" w:eastAsiaTheme="minorHAnsi" w:hAnsiTheme="minorHAnsi" w:cstheme="minorHAnsi"/>
                <w:sz w:val="18"/>
                <w:szCs w:val="18"/>
                <w:lang w:eastAsia="en-US"/>
              </w:rPr>
              <w:t>ion</w:t>
            </w:r>
            <w:r w:rsidR="00EE66FD" w:rsidRPr="007C4D65">
              <w:rPr>
                <w:rFonts w:asciiTheme="minorHAnsi" w:eastAsiaTheme="minorHAnsi" w:hAnsiTheme="minorHAnsi" w:cstheme="minorHAnsi"/>
                <w:sz w:val="18"/>
                <w:szCs w:val="18"/>
                <w:lang w:eastAsia="en-US"/>
              </w:rPr>
              <w:t xml:space="preserve"> adopted</w:t>
            </w:r>
          </w:p>
        </w:tc>
      </w:tr>
      <w:tr w:rsidR="00EE66FD" w:rsidRPr="007C4D65" w14:paraId="7A16C8A1" w14:textId="77777777" w:rsidTr="00BC37DE">
        <w:trPr>
          <w:trHeight w:val="567"/>
          <w:jc w:val="center"/>
        </w:trPr>
        <w:tc>
          <w:tcPr>
            <w:tcW w:w="1323" w:type="pct"/>
            <w:shd w:val="clear" w:color="auto" w:fill="009D73"/>
            <w:vAlign w:val="center"/>
          </w:tcPr>
          <w:p w14:paraId="67E0088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Effect on the development and contribution of the measure to the priority</w:t>
            </w:r>
          </w:p>
        </w:tc>
        <w:tc>
          <w:tcPr>
            <w:tcW w:w="3677" w:type="pct"/>
            <w:gridSpan w:val="3"/>
            <w:shd w:val="clear" w:color="auto" w:fill="FFFFFF"/>
            <w:vAlign w:val="center"/>
          </w:tcPr>
          <w:p w14:paraId="18B5309D" w14:textId="71759004" w:rsidR="00EE66FD" w:rsidRPr="007C4D65" w:rsidRDefault="00990EA2"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Reduced pollution and improved air quality in BiH</w:t>
            </w:r>
          </w:p>
        </w:tc>
      </w:tr>
      <w:tr w:rsidR="00EE66FD" w:rsidRPr="007C4D65" w14:paraId="49A3D9AC" w14:textId="77777777" w:rsidTr="00BC37DE">
        <w:trPr>
          <w:trHeight w:val="567"/>
          <w:jc w:val="center"/>
        </w:trPr>
        <w:tc>
          <w:tcPr>
            <w:tcW w:w="1323" w:type="pct"/>
            <w:shd w:val="clear" w:color="auto" w:fill="009D73"/>
            <w:vAlign w:val="center"/>
          </w:tcPr>
          <w:p w14:paraId="571BC146" w14:textId="3C29F6CF"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Indicative financial projection, with specification of sources</w:t>
            </w:r>
          </w:p>
        </w:tc>
        <w:tc>
          <w:tcPr>
            <w:tcW w:w="3677" w:type="pct"/>
            <w:gridSpan w:val="3"/>
            <w:shd w:val="clear" w:color="auto" w:fill="FFFFFF"/>
            <w:vAlign w:val="center"/>
          </w:tcPr>
          <w:p w14:paraId="2562BD4C" w14:textId="356C0920" w:rsidR="00990EA2" w:rsidRPr="007C4D65" w:rsidRDefault="00990EA2" w:rsidP="00990EA2">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951,751</w:t>
            </w:r>
          </w:p>
          <w:p w14:paraId="5ED26CC6" w14:textId="2D8C6303" w:rsidR="00EE66FD" w:rsidRPr="007C4D65" w:rsidRDefault="00990EA2" w:rsidP="00990EA2">
            <w:pPr>
              <w:spacing w:before="40" w:after="40" w:line="276" w:lineRule="auto"/>
              <w:rPr>
                <w:rFonts w:asciiTheme="minorHAnsi" w:eastAsiaTheme="minorHAnsi" w:hAnsiTheme="minorHAnsi" w:cstheme="minorHAnsi"/>
                <w:bCs/>
                <w:sz w:val="18"/>
                <w:szCs w:val="18"/>
                <w:lang w:eastAsia="en-US"/>
              </w:rPr>
            </w:pPr>
            <w:r w:rsidRPr="007C4D65">
              <w:rPr>
                <w:rFonts w:asciiTheme="minorHAnsi" w:hAnsiTheme="minorHAnsi" w:cstheme="minorHAnsi"/>
                <w:sz w:val="18"/>
                <w:szCs w:val="18"/>
                <w:lang w:bidi="en-US"/>
              </w:rPr>
              <w:t xml:space="preserve">Source: 20% </w:t>
            </w:r>
            <w:r w:rsidR="000E401F" w:rsidRPr="007C4D65">
              <w:rPr>
                <w:rFonts w:asciiTheme="minorHAnsi" w:hAnsiTheme="minorHAnsi" w:cstheme="minorHAnsi"/>
                <w:sz w:val="18"/>
                <w:szCs w:val="18"/>
                <w:lang w:bidi="en-US"/>
              </w:rPr>
              <w:t>government budget</w:t>
            </w:r>
            <w:r w:rsidRPr="007C4D65">
              <w:rPr>
                <w:rFonts w:asciiTheme="minorHAnsi" w:hAnsiTheme="minorHAnsi" w:cstheme="minorHAnsi"/>
                <w:sz w:val="18"/>
                <w:szCs w:val="18"/>
                <w:lang w:bidi="en-US"/>
              </w:rPr>
              <w:t>, 80% funds from EU and international donors</w:t>
            </w:r>
          </w:p>
        </w:tc>
      </w:tr>
      <w:tr w:rsidR="00EE66FD" w:rsidRPr="007C4D65" w14:paraId="4338DD21" w14:textId="77777777" w:rsidTr="00BC37DE">
        <w:trPr>
          <w:trHeight w:val="567"/>
          <w:jc w:val="center"/>
        </w:trPr>
        <w:tc>
          <w:tcPr>
            <w:tcW w:w="1323" w:type="pct"/>
            <w:shd w:val="clear" w:color="auto" w:fill="009D73"/>
            <w:vAlign w:val="center"/>
          </w:tcPr>
          <w:p w14:paraId="2DE26AFC"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Period of the implementation of the measure</w:t>
            </w:r>
          </w:p>
        </w:tc>
        <w:tc>
          <w:tcPr>
            <w:tcW w:w="3677" w:type="pct"/>
            <w:gridSpan w:val="3"/>
            <w:shd w:val="clear" w:color="auto" w:fill="FFFFFF"/>
            <w:vAlign w:val="center"/>
          </w:tcPr>
          <w:p w14:paraId="622F14AB"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 2032</w:t>
            </w:r>
          </w:p>
        </w:tc>
      </w:tr>
      <w:tr w:rsidR="00EE66FD" w:rsidRPr="007C4D65" w14:paraId="707575D4" w14:textId="77777777" w:rsidTr="00BC37DE">
        <w:trPr>
          <w:trHeight w:val="567"/>
          <w:jc w:val="center"/>
        </w:trPr>
        <w:tc>
          <w:tcPr>
            <w:tcW w:w="1323" w:type="pct"/>
            <w:shd w:val="clear" w:color="auto" w:fill="009D73"/>
            <w:vAlign w:val="center"/>
          </w:tcPr>
          <w:p w14:paraId="7788223D"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Institution responsible for coordination of the implementation of the measure</w:t>
            </w:r>
          </w:p>
        </w:tc>
        <w:tc>
          <w:tcPr>
            <w:tcW w:w="3677" w:type="pct"/>
            <w:gridSpan w:val="3"/>
            <w:shd w:val="clear" w:color="auto" w:fill="FFFFFF"/>
            <w:vAlign w:val="center"/>
          </w:tcPr>
          <w:p w14:paraId="3C96638A" w14:textId="1AAB821F"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Ministry of Environment and Tourism</w:t>
            </w:r>
            <w:r w:rsidR="00990EA2" w:rsidRPr="007C4D65">
              <w:rPr>
                <w:rFonts w:asciiTheme="minorHAnsi" w:eastAsiaTheme="minorHAnsi" w:hAnsiTheme="minorHAnsi" w:cstheme="minorHAnsi"/>
                <w:sz w:val="18"/>
                <w:szCs w:val="18"/>
                <w:lang w:eastAsia="en-US"/>
              </w:rPr>
              <w:t xml:space="preserve"> of the Federation of BiH (F</w:t>
            </w:r>
            <w:r w:rsidR="004B4EEC" w:rsidRPr="007C4D65">
              <w:rPr>
                <w:rFonts w:asciiTheme="minorHAnsi" w:eastAsiaTheme="minorHAnsi" w:hAnsiTheme="minorHAnsi" w:cstheme="minorHAnsi"/>
                <w:sz w:val="18"/>
                <w:szCs w:val="18"/>
                <w:lang w:eastAsia="en-US"/>
              </w:rPr>
              <w:t>ME</w:t>
            </w:r>
            <w:r w:rsidR="00990EA2" w:rsidRPr="007C4D65">
              <w:rPr>
                <w:rFonts w:asciiTheme="minorHAnsi" w:eastAsiaTheme="minorHAnsi" w:hAnsiTheme="minorHAnsi" w:cstheme="minorHAnsi"/>
                <w:sz w:val="18"/>
                <w:szCs w:val="18"/>
                <w:lang w:eastAsia="en-US"/>
              </w:rPr>
              <w:t>T)</w:t>
            </w:r>
          </w:p>
        </w:tc>
      </w:tr>
      <w:tr w:rsidR="00EE66FD" w:rsidRPr="007C4D65" w14:paraId="148805BB" w14:textId="77777777" w:rsidTr="00BC37DE">
        <w:trPr>
          <w:trHeight w:val="567"/>
          <w:jc w:val="center"/>
        </w:trPr>
        <w:tc>
          <w:tcPr>
            <w:tcW w:w="1323" w:type="pct"/>
            <w:shd w:val="clear" w:color="auto" w:fill="009D73"/>
            <w:vAlign w:val="center"/>
          </w:tcPr>
          <w:p w14:paraId="653637E8"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Implementing institutions</w:t>
            </w:r>
          </w:p>
        </w:tc>
        <w:tc>
          <w:tcPr>
            <w:tcW w:w="3677" w:type="pct"/>
            <w:gridSpan w:val="3"/>
            <w:shd w:val="clear" w:color="auto" w:fill="FFFFFF"/>
            <w:vAlign w:val="center"/>
          </w:tcPr>
          <w:p w14:paraId="6C0B9CB7" w14:textId="5062A849"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Thermal power plants operators, FMEMI, Environmental Protection Fund, inspection</w:t>
            </w:r>
            <w:r w:rsidR="00990EA2" w:rsidRPr="007C4D65">
              <w:rPr>
                <w:rFonts w:asciiTheme="minorHAnsi" w:eastAsiaTheme="minorHAnsi" w:hAnsiTheme="minorHAnsi" w:cstheme="minorHAnsi"/>
                <w:sz w:val="18"/>
                <w:szCs w:val="18"/>
                <w:lang w:eastAsia="en-US"/>
              </w:rPr>
              <w:t xml:space="preserve"> of the Federation of BiH</w:t>
            </w:r>
            <w:r w:rsidRPr="007C4D65">
              <w:rPr>
                <w:rFonts w:asciiTheme="minorHAnsi" w:eastAsiaTheme="minorHAnsi" w:hAnsiTheme="minorHAnsi" w:cstheme="minorHAnsi"/>
                <w:sz w:val="18"/>
                <w:szCs w:val="18"/>
                <w:lang w:eastAsia="en-US"/>
              </w:rPr>
              <w:t>, Hydrometeorological Institute</w:t>
            </w:r>
          </w:p>
        </w:tc>
      </w:tr>
      <w:tr w:rsidR="00EE66FD" w:rsidRPr="007C4D65" w14:paraId="367CFF80" w14:textId="77777777" w:rsidTr="00BC37DE">
        <w:trPr>
          <w:trHeight w:val="567"/>
          <w:jc w:val="center"/>
        </w:trPr>
        <w:tc>
          <w:tcPr>
            <w:tcW w:w="1323" w:type="pct"/>
            <w:shd w:val="clear" w:color="auto" w:fill="009D73"/>
            <w:vAlign w:val="center"/>
          </w:tcPr>
          <w:p w14:paraId="4150841E" w14:textId="5640ED9A"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groups</w:t>
            </w:r>
          </w:p>
        </w:tc>
        <w:tc>
          <w:tcPr>
            <w:tcW w:w="3677" w:type="pct"/>
            <w:gridSpan w:val="3"/>
            <w:shd w:val="clear" w:color="auto" w:fill="FFFFFF"/>
            <w:vAlign w:val="center"/>
          </w:tcPr>
          <w:p w14:paraId="48E93AAE"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Industrial enterprises, universities, NGO</w:t>
            </w:r>
          </w:p>
        </w:tc>
      </w:tr>
    </w:tbl>
    <w:p w14:paraId="7462A69E" w14:textId="77777777" w:rsidR="00EE66FD" w:rsidRPr="007C4D65" w:rsidRDefault="00EE66FD" w:rsidP="00EE66FD">
      <w:pPr>
        <w:spacing w:line="276" w:lineRule="auto"/>
        <w:rPr>
          <w:rFonts w:asciiTheme="minorHAnsi" w:eastAsiaTheme="minorHAnsi" w:hAnsiTheme="minorHAnsi" w:cstheme="minorHAnsi"/>
          <w:sz w:val="22"/>
          <w:szCs w:val="22"/>
          <w:lang w:eastAsia="en-US"/>
        </w:rPr>
      </w:pPr>
    </w:p>
    <w:tbl>
      <w:tblPr>
        <w:tblW w:w="4799"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0"/>
        <w:gridCol w:w="1558"/>
        <w:gridCol w:w="1360"/>
        <w:gridCol w:w="3387"/>
        <w:gridCol w:w="3542"/>
      </w:tblGrid>
      <w:tr w:rsidR="00EE66FD" w:rsidRPr="007C4D65" w14:paraId="2EE6AF66"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79EE26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Link with strategic goal</w:t>
            </w:r>
          </w:p>
        </w:tc>
        <w:tc>
          <w:tcPr>
            <w:tcW w:w="3678" w:type="pct"/>
            <w:gridSpan w:val="4"/>
            <w:tcBorders>
              <w:top w:val="single" w:sz="4" w:space="0" w:color="A6A6A6"/>
              <w:left w:val="single" w:sz="4" w:space="0" w:color="A6A6A6"/>
              <w:bottom w:val="single" w:sz="4" w:space="0" w:color="A6A6A6"/>
              <w:right w:val="single" w:sz="4" w:space="0" w:color="A6A6A6"/>
            </w:tcBorders>
            <w:shd w:val="clear" w:color="auto" w:fill="FFFFFF"/>
            <w:vAlign w:val="center"/>
          </w:tcPr>
          <w:p w14:paraId="75614025" w14:textId="0CB881B1" w:rsidR="00EE66FD" w:rsidRPr="007C4D65" w:rsidRDefault="00EE66FD" w:rsidP="00EE66FD">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4</w:t>
            </w:r>
            <w:r w:rsidR="00990EA2" w:rsidRPr="007C4D65">
              <w:rPr>
                <w:rFonts w:asciiTheme="minorHAnsi" w:eastAsia="Calibri" w:hAnsiTheme="minorHAnsi" w:cstheme="minorHAnsi"/>
                <w:b/>
                <w:bCs/>
                <w:sz w:val="18"/>
                <w:szCs w:val="18"/>
                <w:lang w:eastAsia="en-US"/>
              </w:rPr>
              <w:t>.</w:t>
            </w:r>
            <w:r w:rsidRPr="007C4D65">
              <w:rPr>
                <w:rFonts w:asciiTheme="minorHAnsi" w:eastAsia="Calibri" w:hAnsiTheme="minorHAnsi" w:cstheme="minorHAnsi"/>
                <w:b/>
                <w:bCs/>
                <w:sz w:val="18"/>
                <w:szCs w:val="18"/>
                <w:lang w:eastAsia="en-US"/>
              </w:rPr>
              <w:t xml:space="preserve"> </w:t>
            </w:r>
            <w:r w:rsidR="00FE2B6F" w:rsidRPr="007C4D65">
              <w:rPr>
                <w:rFonts w:asciiTheme="minorHAnsi" w:eastAsia="Calibri" w:hAnsiTheme="minorHAnsi" w:cstheme="minorHAnsi"/>
                <w:b/>
                <w:bCs/>
                <w:sz w:val="18"/>
                <w:szCs w:val="18"/>
                <w:lang w:eastAsia="en-US"/>
              </w:rPr>
              <w:t>Climate change mitigation and adaptation and improvement of air quality</w:t>
            </w:r>
          </w:p>
        </w:tc>
      </w:tr>
      <w:tr w:rsidR="00EE66FD" w:rsidRPr="007C4D65" w14:paraId="25F1D52A"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2E39B84"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Priority</w:t>
            </w:r>
          </w:p>
        </w:tc>
        <w:tc>
          <w:tcPr>
            <w:tcW w:w="3678" w:type="pct"/>
            <w:gridSpan w:val="4"/>
            <w:tcBorders>
              <w:top w:val="single" w:sz="4" w:space="0" w:color="A6A6A6"/>
              <w:left w:val="single" w:sz="4" w:space="0" w:color="A6A6A6"/>
              <w:bottom w:val="single" w:sz="4" w:space="0" w:color="A6A6A6"/>
              <w:right w:val="single" w:sz="4" w:space="0" w:color="A6A6A6"/>
            </w:tcBorders>
            <w:shd w:val="clear" w:color="auto" w:fill="FFFFFF"/>
            <w:vAlign w:val="center"/>
          </w:tcPr>
          <w:p w14:paraId="50D21163" w14:textId="77777777" w:rsidR="00EE66FD" w:rsidRPr="007C4D65" w:rsidRDefault="00EE66FD" w:rsidP="00EE66FD">
            <w:pPr>
              <w:spacing w:before="40" w:after="40" w:line="276" w:lineRule="auto"/>
              <w:rPr>
                <w:rFonts w:asciiTheme="minorHAnsi" w:hAnsiTheme="minorHAnsi" w:cstheme="minorHAnsi"/>
                <w:b/>
                <w:bCs/>
                <w:sz w:val="18"/>
                <w:szCs w:val="18"/>
                <w:lang w:eastAsia="en-US"/>
              </w:rPr>
            </w:pPr>
            <w:r w:rsidRPr="007C4D65">
              <w:rPr>
                <w:rFonts w:asciiTheme="minorHAnsi" w:hAnsiTheme="minorHAnsi" w:cstheme="minorHAnsi"/>
                <w:b/>
                <w:bCs/>
                <w:sz w:val="18"/>
                <w:szCs w:val="18"/>
                <w:lang w:eastAsia="en-US"/>
              </w:rPr>
              <w:t>4.1 Reduce air pollution by reducing levels of key air pollutants to levels that are safe for human health</w:t>
            </w:r>
          </w:p>
        </w:tc>
      </w:tr>
      <w:tr w:rsidR="00EE66FD" w:rsidRPr="007C4D65" w14:paraId="5DC986F1"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98B69B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Title of the measure</w:t>
            </w:r>
          </w:p>
        </w:tc>
        <w:tc>
          <w:tcPr>
            <w:tcW w:w="3678" w:type="pct"/>
            <w:gridSpan w:val="4"/>
            <w:tcBorders>
              <w:top w:val="single" w:sz="4" w:space="0" w:color="A6A6A6"/>
              <w:left w:val="single" w:sz="4" w:space="0" w:color="A6A6A6"/>
              <w:bottom w:val="single" w:sz="4" w:space="0" w:color="A6A6A6"/>
              <w:right w:val="single" w:sz="4" w:space="0" w:color="A6A6A6"/>
            </w:tcBorders>
            <w:shd w:val="clear" w:color="auto" w:fill="FFFFFF"/>
            <w:vAlign w:val="center"/>
          </w:tcPr>
          <w:p w14:paraId="0462CFC6" w14:textId="77777777" w:rsidR="00EE66FD" w:rsidRPr="007C4D65" w:rsidRDefault="00EE66FD" w:rsidP="00EE66FD">
            <w:pPr>
              <w:spacing w:before="40" w:after="40" w:line="276" w:lineRule="auto"/>
              <w:rPr>
                <w:rFonts w:asciiTheme="minorHAnsi" w:eastAsia="Calibri" w:hAnsiTheme="minorHAnsi" w:cstheme="minorHAnsi"/>
                <w:b/>
                <w:sz w:val="18"/>
                <w:szCs w:val="18"/>
                <w:lang w:eastAsia="en-US"/>
              </w:rPr>
            </w:pPr>
            <w:r w:rsidRPr="007C4D65">
              <w:rPr>
                <w:rFonts w:asciiTheme="minorHAnsi" w:eastAsia="Calibri" w:hAnsiTheme="minorHAnsi" w:cstheme="minorHAnsi"/>
                <w:b/>
                <w:bCs/>
                <w:sz w:val="18"/>
                <w:szCs w:val="18"/>
                <w:lang w:eastAsia="en-US"/>
              </w:rPr>
              <w:t>4.1.2 Reducing air pollution from local sources</w:t>
            </w:r>
          </w:p>
        </w:tc>
      </w:tr>
      <w:tr w:rsidR="00EE66FD" w:rsidRPr="007C4D65" w14:paraId="3B4BABC2"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74AA53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 xml:space="preserve">Description of the measure with the general areas of intervention </w:t>
            </w:r>
          </w:p>
        </w:tc>
        <w:tc>
          <w:tcPr>
            <w:tcW w:w="3678" w:type="pct"/>
            <w:gridSpan w:val="4"/>
            <w:tcBorders>
              <w:top w:val="single" w:sz="4" w:space="0" w:color="A6A6A6"/>
              <w:left w:val="single" w:sz="4" w:space="0" w:color="A6A6A6"/>
              <w:bottom w:val="single" w:sz="4" w:space="0" w:color="A6A6A6"/>
              <w:right w:val="single" w:sz="4" w:space="0" w:color="A6A6A6"/>
            </w:tcBorders>
            <w:shd w:val="clear" w:color="auto" w:fill="FFFFFF"/>
            <w:vAlign w:val="center"/>
          </w:tcPr>
          <w:p w14:paraId="25B1FF43" w14:textId="00D9B583"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to reduce air pollution from the local sources, </w:t>
            </w:r>
            <w:proofErr w:type="gramStart"/>
            <w:r w:rsidRPr="007C4D65">
              <w:rPr>
                <w:rFonts w:asciiTheme="minorHAnsi" w:eastAsia="Calibri" w:hAnsiTheme="minorHAnsi" w:cstheme="minorHAnsi"/>
                <w:sz w:val="18"/>
                <w:szCs w:val="18"/>
                <w:lang w:eastAsia="en-US"/>
              </w:rPr>
              <w:t>i.e.</w:t>
            </w:r>
            <w:proofErr w:type="gramEnd"/>
            <w:r w:rsidRPr="007C4D65">
              <w:rPr>
                <w:rFonts w:asciiTheme="minorHAnsi" w:eastAsia="Calibri" w:hAnsiTheme="minorHAnsi" w:cstheme="minorHAnsi"/>
                <w:sz w:val="18"/>
                <w:szCs w:val="18"/>
                <w:lang w:eastAsia="en-US"/>
              </w:rPr>
              <w:t xml:space="preserve"> </w:t>
            </w:r>
            <w:r w:rsidR="001A31CC" w:rsidRPr="007C4D65">
              <w:rPr>
                <w:rFonts w:asciiTheme="minorHAnsi" w:eastAsia="Calibri" w:hAnsiTheme="minorHAnsi" w:cstheme="minorHAnsi"/>
                <w:sz w:val="18"/>
                <w:szCs w:val="18"/>
                <w:lang w:eastAsia="en-US"/>
              </w:rPr>
              <w:t>household stoves</w:t>
            </w:r>
            <w:r w:rsidRPr="007C4D65">
              <w:rPr>
                <w:rFonts w:asciiTheme="minorHAnsi" w:eastAsia="Calibri" w:hAnsiTheme="minorHAnsi" w:cstheme="minorHAnsi"/>
                <w:sz w:val="18"/>
                <w:szCs w:val="18"/>
                <w:lang w:eastAsia="en-US"/>
              </w:rPr>
              <w:t xml:space="preserve">, service industry and transport through regulating the market for stoves/boilers and energy commodities, by designing incentive schemes for procurement of efficient and low polluting stoves/boilers, expanding district heating, enhancing infrastructure for motorised and low-polluting transport and </w:t>
            </w:r>
            <w:r w:rsidR="001A31CC" w:rsidRPr="007C4D65">
              <w:rPr>
                <w:rFonts w:asciiTheme="minorHAnsi" w:eastAsia="Calibri" w:hAnsiTheme="minorHAnsi" w:cstheme="minorHAnsi"/>
                <w:sz w:val="18"/>
                <w:szCs w:val="18"/>
                <w:lang w:eastAsia="en-US"/>
              </w:rPr>
              <w:t>amending the legislation</w:t>
            </w:r>
            <w:r w:rsidRPr="007C4D65">
              <w:rPr>
                <w:rFonts w:asciiTheme="minorHAnsi" w:eastAsia="Calibri" w:hAnsiTheme="minorHAnsi" w:cstheme="minorHAnsi"/>
                <w:sz w:val="18"/>
                <w:szCs w:val="18"/>
                <w:lang w:eastAsia="en-US"/>
              </w:rPr>
              <w:t xml:space="preserve"> to encourage development of public transport and low polluting vehicles.</w:t>
            </w:r>
          </w:p>
          <w:p w14:paraId="389A689C" w14:textId="1B1EBA1D" w:rsidR="00EE66FD" w:rsidRPr="007C4D65" w:rsidRDefault="009878D7"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EE66FD" w:rsidRPr="007C4D65">
              <w:rPr>
                <w:rFonts w:asciiTheme="minorHAnsi" w:eastAsia="Calibri" w:hAnsiTheme="minorHAnsi" w:cstheme="minorHAnsi"/>
                <w:sz w:val="18"/>
                <w:szCs w:val="18"/>
                <w:lang w:eastAsia="en-US"/>
              </w:rPr>
              <w:t xml:space="preserve">eneral areas of intervention are: </w:t>
            </w:r>
          </w:p>
          <w:p w14:paraId="16ABF627" w14:textId="26A25449" w:rsidR="00EE66FD" w:rsidRPr="007C4D65" w:rsidRDefault="00EE66FD">
            <w:pPr>
              <w:numPr>
                <w:ilvl w:val="0"/>
                <w:numId w:val="11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Adopt legislation to ban retail of coal with the total sulphur content of more than 1%, regulate the quality of </w:t>
            </w:r>
            <w:proofErr w:type="gramStart"/>
            <w:r w:rsidRPr="007C4D65">
              <w:rPr>
                <w:rFonts w:asciiTheme="minorHAnsi" w:eastAsia="Calibri" w:hAnsiTheme="minorHAnsi" w:cstheme="minorHAnsi"/>
                <w:sz w:val="18"/>
                <w:szCs w:val="18"/>
                <w:lang w:eastAsia="en-US"/>
              </w:rPr>
              <w:t>fire wood</w:t>
            </w:r>
            <w:proofErr w:type="gramEnd"/>
            <w:r w:rsidRPr="007C4D65">
              <w:rPr>
                <w:rFonts w:asciiTheme="minorHAnsi" w:eastAsia="Calibri" w:hAnsiTheme="minorHAnsi" w:cstheme="minorHAnsi"/>
                <w:sz w:val="18"/>
                <w:szCs w:val="18"/>
                <w:lang w:eastAsia="en-US"/>
              </w:rPr>
              <w:t xml:space="preserve"> sold on the market (moisture content) and pellet (in accordance with the applicable standards in BIH), including the ban on sale of non-certified stoves/boilers</w:t>
            </w:r>
            <w:r w:rsidR="009878D7" w:rsidRPr="007C4D65">
              <w:rPr>
                <w:rFonts w:asciiTheme="minorHAnsi" w:eastAsia="Calibri" w:hAnsiTheme="minorHAnsi" w:cstheme="minorHAnsi"/>
                <w:sz w:val="18"/>
                <w:szCs w:val="18"/>
                <w:lang w:eastAsia="en-US"/>
              </w:rPr>
              <w:t>;</w:t>
            </w:r>
          </w:p>
          <w:p w14:paraId="5E0EE299" w14:textId="3C882A65" w:rsidR="00EE66FD" w:rsidRPr="007C4D65" w:rsidRDefault="00EE66FD">
            <w:pPr>
              <w:numPr>
                <w:ilvl w:val="0"/>
                <w:numId w:val="11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Design</w:t>
            </w:r>
            <w:r w:rsidR="00326836" w:rsidRPr="007C4D65">
              <w:rPr>
                <w:rFonts w:asciiTheme="minorHAnsi" w:eastAsia="Calibri" w:hAnsiTheme="minorHAnsi" w:cstheme="minorHAnsi"/>
                <w:sz w:val="18"/>
                <w:szCs w:val="18"/>
                <w:lang w:eastAsia="en-US"/>
              </w:rPr>
              <w:t xml:space="preserve"> </w:t>
            </w:r>
            <w:r w:rsidRPr="007C4D65">
              <w:rPr>
                <w:rFonts w:asciiTheme="minorHAnsi" w:eastAsia="Calibri" w:hAnsiTheme="minorHAnsi" w:cstheme="minorHAnsi"/>
                <w:sz w:val="18"/>
                <w:szCs w:val="18"/>
                <w:lang w:eastAsia="en-US"/>
              </w:rPr>
              <w:t xml:space="preserve">an incentive scheme to encourage replacement of solid </w:t>
            </w:r>
            <w:proofErr w:type="gramStart"/>
            <w:r w:rsidRPr="007C4D65">
              <w:rPr>
                <w:rFonts w:asciiTheme="minorHAnsi" w:eastAsia="Calibri" w:hAnsiTheme="minorHAnsi" w:cstheme="minorHAnsi"/>
                <w:sz w:val="18"/>
                <w:szCs w:val="18"/>
                <w:lang w:eastAsia="en-US"/>
              </w:rPr>
              <w:t>fuel based</w:t>
            </w:r>
            <w:proofErr w:type="gramEnd"/>
            <w:r w:rsidRPr="007C4D65">
              <w:rPr>
                <w:rFonts w:asciiTheme="minorHAnsi" w:eastAsia="Calibri" w:hAnsiTheme="minorHAnsi" w:cstheme="minorHAnsi"/>
                <w:sz w:val="18"/>
                <w:szCs w:val="18"/>
                <w:lang w:eastAsia="en-US"/>
              </w:rPr>
              <w:t xml:space="preserve"> stoves/boilers with certified heating appliances (using pallet, heat pumps, natural gas based condensation boilers, connection to the district heating system)</w:t>
            </w:r>
            <w:r w:rsidR="009878D7" w:rsidRPr="007C4D65">
              <w:rPr>
                <w:rFonts w:asciiTheme="minorHAnsi" w:eastAsia="Calibri" w:hAnsiTheme="minorHAnsi" w:cstheme="minorHAnsi"/>
                <w:sz w:val="18"/>
                <w:szCs w:val="18"/>
                <w:lang w:eastAsia="en-US"/>
              </w:rPr>
              <w:t>;</w:t>
            </w:r>
          </w:p>
          <w:p w14:paraId="7C17FCC4" w14:textId="4D221FBA" w:rsidR="00EE66FD" w:rsidRPr="007C4D65" w:rsidRDefault="00326836">
            <w:pPr>
              <w:numPr>
                <w:ilvl w:val="0"/>
                <w:numId w:val="11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Define a way to initiate </w:t>
            </w:r>
            <w:r w:rsidR="00EE66FD" w:rsidRPr="007C4D65">
              <w:rPr>
                <w:rFonts w:asciiTheme="minorHAnsi" w:eastAsia="Calibri" w:hAnsiTheme="minorHAnsi" w:cstheme="minorHAnsi"/>
                <w:sz w:val="18"/>
                <w:szCs w:val="18"/>
                <w:lang w:eastAsia="en-US"/>
              </w:rPr>
              <w:t>inspection</w:t>
            </w:r>
            <w:r w:rsidRPr="007C4D65">
              <w:rPr>
                <w:rFonts w:asciiTheme="minorHAnsi" w:eastAsia="Calibri" w:hAnsiTheme="minorHAnsi" w:cstheme="minorHAnsi"/>
                <w:sz w:val="18"/>
                <w:szCs w:val="18"/>
                <w:lang w:eastAsia="en-US"/>
              </w:rPr>
              <w:t>s</w:t>
            </w:r>
            <w:r w:rsidR="00EE66FD" w:rsidRPr="007C4D65">
              <w:rPr>
                <w:rFonts w:asciiTheme="minorHAnsi" w:eastAsia="Calibri" w:hAnsiTheme="minorHAnsi" w:cstheme="minorHAnsi"/>
                <w:sz w:val="18"/>
                <w:szCs w:val="18"/>
                <w:lang w:eastAsia="en-US"/>
              </w:rPr>
              <w:t xml:space="preserve"> of </w:t>
            </w:r>
            <w:r w:rsidR="001A31CC" w:rsidRPr="007C4D65">
              <w:rPr>
                <w:rFonts w:asciiTheme="minorHAnsi" w:eastAsia="Calibri" w:hAnsiTheme="minorHAnsi" w:cstheme="minorHAnsi"/>
                <w:sz w:val="18"/>
                <w:szCs w:val="18"/>
                <w:lang w:eastAsia="en-US"/>
              </w:rPr>
              <w:t>household stoves</w:t>
            </w:r>
            <w:r w:rsidR="00EE66FD" w:rsidRPr="007C4D65">
              <w:rPr>
                <w:rFonts w:asciiTheme="minorHAnsi" w:eastAsia="Calibri" w:hAnsiTheme="minorHAnsi" w:cstheme="minorHAnsi"/>
                <w:sz w:val="18"/>
                <w:szCs w:val="18"/>
                <w:lang w:eastAsia="en-US"/>
              </w:rPr>
              <w:t xml:space="preserve"> and increased inspection control of the fuel market</w:t>
            </w:r>
          </w:p>
          <w:p w14:paraId="3F48EEB4" w14:textId="4ECF2F2B" w:rsidR="00EE66FD" w:rsidRPr="007C4D65" w:rsidRDefault="00EE66FD">
            <w:pPr>
              <w:numPr>
                <w:ilvl w:val="0"/>
                <w:numId w:val="11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Conduct environmental impact assessment of regulation </w:t>
            </w:r>
            <w:proofErr w:type="gramStart"/>
            <w:r w:rsidRPr="007C4D65">
              <w:rPr>
                <w:rFonts w:asciiTheme="minorHAnsi" w:eastAsia="Calibri" w:hAnsiTheme="minorHAnsi" w:cstheme="minorHAnsi"/>
                <w:sz w:val="18"/>
                <w:szCs w:val="18"/>
                <w:lang w:eastAsia="en-US"/>
              </w:rPr>
              <w:t>plans</w:t>
            </w:r>
            <w:r w:rsidR="009878D7" w:rsidRPr="007C4D65">
              <w:rPr>
                <w:rFonts w:asciiTheme="minorHAnsi" w:eastAsia="Calibri" w:hAnsiTheme="minorHAnsi" w:cstheme="minorHAnsi"/>
                <w:sz w:val="18"/>
                <w:szCs w:val="18"/>
                <w:lang w:eastAsia="en-US"/>
              </w:rPr>
              <w:t>;</w:t>
            </w:r>
            <w:proofErr w:type="gramEnd"/>
          </w:p>
          <w:p w14:paraId="6BFA40D6" w14:textId="0F0F7AB1" w:rsidR="00EE66FD" w:rsidRPr="007C4D65" w:rsidRDefault="00326836">
            <w:pPr>
              <w:numPr>
                <w:ilvl w:val="0"/>
                <w:numId w:val="11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Pass</w:t>
            </w:r>
            <w:r w:rsidR="00EE66FD" w:rsidRPr="007C4D65">
              <w:rPr>
                <w:rFonts w:asciiTheme="minorHAnsi" w:eastAsia="Calibri" w:hAnsiTheme="minorHAnsi" w:cstheme="minorHAnsi"/>
                <w:sz w:val="18"/>
                <w:szCs w:val="18"/>
                <w:lang w:eastAsia="en-US"/>
              </w:rPr>
              <w:t xml:space="preserve"> a law on district heating in F</w:t>
            </w:r>
            <w:r w:rsidRPr="007C4D65">
              <w:rPr>
                <w:rFonts w:asciiTheme="minorHAnsi" w:eastAsia="Calibri" w:hAnsiTheme="minorHAnsi" w:cstheme="minorHAnsi"/>
                <w:sz w:val="18"/>
                <w:szCs w:val="18"/>
                <w:lang w:eastAsia="en-US"/>
              </w:rPr>
              <w:t xml:space="preserve">ederation of </w:t>
            </w:r>
            <w:r w:rsidR="00EE66FD" w:rsidRPr="007C4D65">
              <w:rPr>
                <w:rFonts w:asciiTheme="minorHAnsi" w:eastAsia="Calibri" w:hAnsiTheme="minorHAnsi" w:cstheme="minorHAnsi"/>
                <w:sz w:val="18"/>
                <w:szCs w:val="18"/>
                <w:lang w:eastAsia="en-US"/>
              </w:rPr>
              <w:t>BiH (among other things, define the obligation to connect to the heating system for new buildings in areas covered by the network, sources and criteria for subsidising district heating on renewable energy sources, etc.</w:t>
            </w:r>
            <w:proofErr w:type="gramStart"/>
            <w:r w:rsidR="00EE66FD" w:rsidRPr="007C4D65">
              <w:rPr>
                <w:rFonts w:asciiTheme="minorHAnsi" w:eastAsia="Calibri" w:hAnsiTheme="minorHAnsi" w:cstheme="minorHAnsi"/>
                <w:sz w:val="18"/>
                <w:szCs w:val="18"/>
                <w:lang w:eastAsia="en-US"/>
              </w:rPr>
              <w:t>)</w:t>
            </w:r>
            <w:r w:rsidR="009878D7" w:rsidRPr="007C4D65">
              <w:rPr>
                <w:rFonts w:asciiTheme="minorHAnsi" w:eastAsia="Calibri" w:hAnsiTheme="minorHAnsi" w:cstheme="minorHAnsi"/>
                <w:sz w:val="18"/>
                <w:szCs w:val="18"/>
                <w:lang w:eastAsia="en-US"/>
              </w:rPr>
              <w:t>;</w:t>
            </w:r>
            <w:proofErr w:type="gramEnd"/>
          </w:p>
          <w:p w14:paraId="7A963C96" w14:textId="5FE29D15" w:rsidR="00EE66FD" w:rsidRPr="007C4D65" w:rsidRDefault="00EE66FD">
            <w:pPr>
              <w:numPr>
                <w:ilvl w:val="0"/>
                <w:numId w:val="11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Develop (and implement) a strategy on increased share of the district heating in the total heated </w:t>
            </w:r>
            <w:proofErr w:type="gramStart"/>
            <w:r w:rsidRPr="007C4D65">
              <w:rPr>
                <w:rFonts w:asciiTheme="minorHAnsi" w:eastAsia="Calibri" w:hAnsiTheme="minorHAnsi" w:cstheme="minorHAnsi"/>
                <w:sz w:val="18"/>
                <w:szCs w:val="18"/>
                <w:lang w:eastAsia="en-US"/>
              </w:rPr>
              <w:t>area</w:t>
            </w:r>
            <w:r w:rsidR="009878D7" w:rsidRPr="007C4D65">
              <w:rPr>
                <w:rFonts w:asciiTheme="minorHAnsi" w:eastAsia="Calibri" w:hAnsiTheme="minorHAnsi" w:cstheme="minorHAnsi"/>
                <w:sz w:val="18"/>
                <w:szCs w:val="18"/>
                <w:lang w:eastAsia="en-US"/>
              </w:rPr>
              <w:t>;</w:t>
            </w:r>
            <w:proofErr w:type="gramEnd"/>
          </w:p>
          <w:p w14:paraId="709F4797" w14:textId="13B12518" w:rsidR="00EE66FD" w:rsidRPr="007C4D65" w:rsidRDefault="00EE66FD">
            <w:pPr>
              <w:numPr>
                <w:ilvl w:val="0"/>
                <w:numId w:val="11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Develop infrastructure and </w:t>
            </w:r>
            <w:r w:rsidR="00FB6A4F" w:rsidRPr="007C4D65">
              <w:rPr>
                <w:rFonts w:asciiTheme="minorHAnsi" w:eastAsia="Calibri" w:hAnsiTheme="minorHAnsi" w:cstheme="minorHAnsi"/>
                <w:sz w:val="18"/>
                <w:szCs w:val="18"/>
                <w:lang w:eastAsia="en-US"/>
              </w:rPr>
              <w:t>encourage</w:t>
            </w:r>
            <w:r w:rsidRPr="007C4D65">
              <w:rPr>
                <w:rFonts w:asciiTheme="minorHAnsi" w:eastAsia="Calibri" w:hAnsiTheme="minorHAnsi" w:cstheme="minorHAnsi"/>
                <w:sz w:val="18"/>
                <w:szCs w:val="18"/>
                <w:lang w:eastAsia="en-US"/>
              </w:rPr>
              <w:t xml:space="preserve"> non-motorised transport (especially in urban areas</w:t>
            </w:r>
            <w:proofErr w:type="gramStart"/>
            <w:r w:rsidRPr="007C4D65">
              <w:rPr>
                <w:rFonts w:asciiTheme="minorHAnsi" w:eastAsia="Calibri" w:hAnsiTheme="minorHAnsi" w:cstheme="minorHAnsi"/>
                <w:sz w:val="18"/>
                <w:szCs w:val="18"/>
                <w:lang w:eastAsia="en-US"/>
              </w:rPr>
              <w:t>)</w:t>
            </w:r>
            <w:r w:rsidR="009878D7" w:rsidRPr="007C4D65">
              <w:rPr>
                <w:rFonts w:asciiTheme="minorHAnsi" w:eastAsia="Calibri" w:hAnsiTheme="minorHAnsi" w:cstheme="minorHAnsi"/>
                <w:sz w:val="18"/>
                <w:szCs w:val="18"/>
                <w:lang w:eastAsia="en-US"/>
              </w:rPr>
              <w:t>;</w:t>
            </w:r>
            <w:proofErr w:type="gramEnd"/>
          </w:p>
          <w:p w14:paraId="298A6ADC" w14:textId="0DE8C3DE" w:rsidR="00EE66FD" w:rsidRPr="007C4D65" w:rsidRDefault="00EE66FD">
            <w:pPr>
              <w:numPr>
                <w:ilvl w:val="0"/>
                <w:numId w:val="11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Adopt a mechanism and identify funding sources to increase the share of public transport (electrified and </w:t>
            </w:r>
            <w:proofErr w:type="gramStart"/>
            <w:r w:rsidRPr="007C4D65">
              <w:rPr>
                <w:rFonts w:asciiTheme="minorHAnsi" w:eastAsia="Calibri" w:hAnsiTheme="minorHAnsi" w:cstheme="minorHAnsi"/>
                <w:sz w:val="18"/>
                <w:szCs w:val="18"/>
                <w:lang w:eastAsia="en-US"/>
              </w:rPr>
              <w:t>low-emission</w:t>
            </w:r>
            <w:proofErr w:type="gramEnd"/>
            <w:r w:rsidRPr="007C4D65">
              <w:rPr>
                <w:rFonts w:asciiTheme="minorHAnsi" w:eastAsia="Calibri" w:hAnsiTheme="minorHAnsi" w:cstheme="minorHAnsi"/>
                <w:sz w:val="18"/>
                <w:szCs w:val="18"/>
                <w:lang w:eastAsia="en-US"/>
              </w:rPr>
              <w:t>) in the total travel kilometres</w:t>
            </w:r>
            <w:r w:rsidR="009878D7" w:rsidRPr="007C4D65">
              <w:rPr>
                <w:rFonts w:asciiTheme="minorHAnsi" w:eastAsia="Calibri" w:hAnsiTheme="minorHAnsi" w:cstheme="minorHAnsi"/>
                <w:sz w:val="18"/>
                <w:szCs w:val="18"/>
                <w:lang w:eastAsia="en-US"/>
              </w:rPr>
              <w:t>;</w:t>
            </w:r>
          </w:p>
          <w:p w14:paraId="3E324F44" w14:textId="35AECD54" w:rsidR="00EE66FD" w:rsidRPr="007C4D65" w:rsidRDefault="00EE66FD">
            <w:pPr>
              <w:numPr>
                <w:ilvl w:val="0"/>
                <w:numId w:val="11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Reform</w:t>
            </w:r>
            <w:r w:rsidR="00326836" w:rsidRPr="007C4D65">
              <w:rPr>
                <w:rFonts w:asciiTheme="minorHAnsi" w:eastAsia="Calibri" w:hAnsiTheme="minorHAnsi" w:cstheme="minorHAnsi"/>
                <w:sz w:val="18"/>
                <w:szCs w:val="18"/>
                <w:lang w:eastAsia="en-US"/>
              </w:rPr>
              <w:t xml:space="preserve"> </w:t>
            </w:r>
            <w:r w:rsidRPr="007C4D65">
              <w:rPr>
                <w:rFonts w:asciiTheme="minorHAnsi" w:eastAsia="Calibri" w:hAnsiTheme="minorHAnsi" w:cstheme="minorHAnsi"/>
                <w:sz w:val="18"/>
                <w:szCs w:val="18"/>
                <w:lang w:eastAsia="en-US"/>
              </w:rPr>
              <w:t>the passenger car taxation system with the view of discouraging the use of old vehicles, and encouraging the purchase of low-emission vehicles (lower consumption, electric and hybrid vehicles, LPG and CNG</w:t>
            </w:r>
            <w:proofErr w:type="gramStart"/>
            <w:r w:rsidRPr="007C4D65">
              <w:rPr>
                <w:rFonts w:asciiTheme="minorHAnsi" w:eastAsia="Calibri" w:hAnsiTheme="minorHAnsi" w:cstheme="minorHAnsi"/>
                <w:sz w:val="18"/>
                <w:szCs w:val="18"/>
                <w:lang w:eastAsia="en-US"/>
              </w:rPr>
              <w:t>)</w:t>
            </w:r>
            <w:r w:rsidR="009878D7" w:rsidRPr="007C4D65">
              <w:rPr>
                <w:rFonts w:asciiTheme="minorHAnsi" w:eastAsia="Calibri" w:hAnsiTheme="minorHAnsi" w:cstheme="minorHAnsi"/>
                <w:sz w:val="18"/>
                <w:szCs w:val="18"/>
                <w:lang w:eastAsia="en-US"/>
              </w:rPr>
              <w:t>;</w:t>
            </w:r>
            <w:proofErr w:type="gramEnd"/>
          </w:p>
          <w:p w14:paraId="2B17B946" w14:textId="0E07D367" w:rsidR="00EE66FD" w:rsidRPr="007C4D65" w:rsidRDefault="00EE66FD">
            <w:pPr>
              <w:numPr>
                <w:ilvl w:val="0"/>
                <w:numId w:val="11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Routine cleaning of streets with the view of reducing dust from roads (especially after the winter season</w:t>
            </w:r>
            <w:proofErr w:type="gramStart"/>
            <w:r w:rsidRPr="007C4D65">
              <w:rPr>
                <w:rFonts w:asciiTheme="minorHAnsi" w:eastAsia="Calibri" w:hAnsiTheme="minorHAnsi" w:cstheme="minorHAnsi"/>
                <w:sz w:val="18"/>
                <w:szCs w:val="18"/>
                <w:lang w:eastAsia="en-US"/>
              </w:rPr>
              <w:t>)</w:t>
            </w:r>
            <w:r w:rsidR="009878D7" w:rsidRPr="007C4D65">
              <w:rPr>
                <w:rFonts w:asciiTheme="minorHAnsi" w:eastAsia="Calibri" w:hAnsiTheme="minorHAnsi" w:cstheme="minorHAnsi"/>
                <w:sz w:val="18"/>
                <w:szCs w:val="18"/>
                <w:lang w:eastAsia="en-US"/>
              </w:rPr>
              <w:t>;</w:t>
            </w:r>
            <w:proofErr w:type="gramEnd"/>
          </w:p>
          <w:p w14:paraId="482B768A" w14:textId="5CA0C25B" w:rsidR="00EE66FD" w:rsidRPr="007C4D65" w:rsidRDefault="00EE66FD">
            <w:pPr>
              <w:numPr>
                <w:ilvl w:val="0"/>
                <w:numId w:val="11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Developing and implementing smart city concept in bigger cities (urban settlements with more than 50.000 population</w:t>
            </w:r>
            <w:proofErr w:type="gramStart"/>
            <w:r w:rsidRPr="007C4D65">
              <w:rPr>
                <w:rFonts w:asciiTheme="minorHAnsi" w:eastAsia="Calibri" w:hAnsiTheme="minorHAnsi" w:cstheme="minorHAnsi"/>
                <w:sz w:val="18"/>
                <w:szCs w:val="18"/>
                <w:lang w:eastAsia="en-US"/>
              </w:rPr>
              <w:t>)</w:t>
            </w:r>
            <w:r w:rsidR="009878D7" w:rsidRPr="007C4D65">
              <w:rPr>
                <w:rFonts w:asciiTheme="minorHAnsi" w:eastAsia="Calibri" w:hAnsiTheme="minorHAnsi" w:cstheme="minorHAnsi"/>
                <w:sz w:val="18"/>
                <w:szCs w:val="18"/>
                <w:lang w:eastAsia="en-US"/>
              </w:rPr>
              <w:t>;</w:t>
            </w:r>
            <w:proofErr w:type="gramEnd"/>
          </w:p>
          <w:p w14:paraId="466F6A3E" w14:textId="1E4D16F8" w:rsidR="00EE66FD" w:rsidRPr="007C4D65" w:rsidRDefault="00326836">
            <w:pPr>
              <w:numPr>
                <w:ilvl w:val="0"/>
                <w:numId w:val="11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Methodically p</w:t>
            </w:r>
            <w:r w:rsidR="00EE66FD" w:rsidRPr="007C4D65">
              <w:rPr>
                <w:rFonts w:asciiTheme="minorHAnsi" w:eastAsia="Calibri" w:hAnsiTheme="minorHAnsi" w:cstheme="minorHAnsi"/>
                <w:sz w:val="18"/>
                <w:szCs w:val="18"/>
                <w:lang w:eastAsia="en-US"/>
              </w:rPr>
              <w:t>lanned procurement of electric and/or hybrid vehicles for F</w:t>
            </w:r>
            <w:r w:rsidRPr="007C4D65">
              <w:rPr>
                <w:rFonts w:asciiTheme="minorHAnsi" w:eastAsia="Calibri" w:hAnsiTheme="minorHAnsi" w:cstheme="minorHAnsi"/>
                <w:sz w:val="18"/>
                <w:szCs w:val="18"/>
                <w:lang w:eastAsia="en-US"/>
              </w:rPr>
              <w:t xml:space="preserve">ederation of </w:t>
            </w:r>
            <w:r w:rsidR="00EE66FD" w:rsidRPr="007C4D65">
              <w:rPr>
                <w:rFonts w:asciiTheme="minorHAnsi" w:eastAsia="Calibri" w:hAnsiTheme="minorHAnsi" w:cstheme="minorHAnsi"/>
                <w:sz w:val="18"/>
                <w:szCs w:val="18"/>
                <w:lang w:eastAsia="en-US"/>
              </w:rPr>
              <w:t>BiH institutions</w:t>
            </w:r>
            <w:r w:rsidR="009878D7" w:rsidRPr="007C4D65">
              <w:rPr>
                <w:rFonts w:asciiTheme="minorHAnsi" w:eastAsia="Calibri" w:hAnsiTheme="minorHAnsi" w:cstheme="minorHAnsi"/>
                <w:sz w:val="18"/>
                <w:szCs w:val="18"/>
                <w:lang w:eastAsia="en-US"/>
              </w:rPr>
              <w:t>.</w:t>
            </w:r>
          </w:p>
        </w:tc>
      </w:tr>
      <w:tr w:rsidR="00EE66FD" w:rsidRPr="007C4D65" w14:paraId="00BDB205"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1090625"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Strategic projects</w:t>
            </w:r>
          </w:p>
        </w:tc>
        <w:tc>
          <w:tcPr>
            <w:tcW w:w="3678" w:type="pct"/>
            <w:gridSpan w:val="4"/>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23D9D06"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E66FD" w:rsidRPr="007C4D65" w14:paraId="34CB9663"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8631E32"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 for monitoring of results</w:t>
            </w:r>
          </w:p>
        </w:tc>
        <w:tc>
          <w:tcPr>
            <w:tcW w:w="1090" w:type="pct"/>
            <w:gridSpan w:val="2"/>
            <w:tcBorders>
              <w:top w:val="single" w:sz="4" w:space="0" w:color="A6A6A6"/>
              <w:left w:val="single" w:sz="4" w:space="0" w:color="A6A6A6"/>
              <w:bottom w:val="single" w:sz="4" w:space="0" w:color="A6A6A6"/>
              <w:right w:val="single" w:sz="4" w:space="0" w:color="A6A6A6"/>
            </w:tcBorders>
            <w:shd w:val="clear" w:color="auto" w:fill="009D73"/>
            <w:vAlign w:val="center"/>
          </w:tcPr>
          <w:p w14:paraId="5D8A165E"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w:t>
            </w:r>
          </w:p>
          <w:p w14:paraId="1588EDF4"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w:t>
            </w:r>
            <w:proofErr w:type="gramStart"/>
            <w:r w:rsidRPr="007C4D65">
              <w:rPr>
                <w:rFonts w:asciiTheme="minorHAnsi" w:eastAsiaTheme="minorHAnsi" w:hAnsiTheme="minorHAnsi" w:cstheme="minorHAnsi"/>
                <w:b/>
                <w:bCs/>
                <w:color w:val="FFFFFF" w:themeColor="background1"/>
                <w:sz w:val="18"/>
                <w:szCs w:val="18"/>
                <w:lang w:eastAsia="en-US"/>
              </w:rPr>
              <w:t>outputs</w:t>
            </w:r>
            <w:proofErr w:type="gramEnd"/>
            <w:r w:rsidRPr="007C4D65">
              <w:rPr>
                <w:rFonts w:asciiTheme="minorHAnsi" w:eastAsiaTheme="minorHAnsi" w:hAnsiTheme="minorHAnsi" w:cstheme="minorHAnsi"/>
                <w:b/>
                <w:bCs/>
                <w:color w:val="FFFFFF" w:themeColor="background1"/>
                <w:sz w:val="18"/>
                <w:szCs w:val="18"/>
                <w:lang w:eastAsia="en-US"/>
              </w:rPr>
              <w:t xml:space="preserve"> and deliverables)</w:t>
            </w:r>
          </w:p>
        </w:tc>
        <w:tc>
          <w:tcPr>
            <w:tcW w:w="126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11D64AF"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Baseline value</w:t>
            </w:r>
          </w:p>
        </w:tc>
        <w:tc>
          <w:tcPr>
            <w:tcW w:w="132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FAC6C83"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value</w:t>
            </w:r>
          </w:p>
        </w:tc>
      </w:tr>
      <w:tr w:rsidR="00EE66FD" w:rsidRPr="007C4D65" w14:paraId="3CFC1850" w14:textId="77777777" w:rsidTr="00BC37DE">
        <w:trPr>
          <w:trHeight w:val="567"/>
          <w:jc w:val="center"/>
        </w:trPr>
        <w:tc>
          <w:tcPr>
            <w:tcW w:w="1322"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015521AB"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090" w:type="pct"/>
            <w:gridSpan w:val="2"/>
            <w:tcBorders>
              <w:top w:val="single" w:sz="4" w:space="0" w:color="A6A6A6"/>
              <w:left w:val="single" w:sz="4" w:space="0" w:color="A6A6A6"/>
              <w:bottom w:val="single" w:sz="4" w:space="0" w:color="A6A6A6"/>
              <w:right w:val="single" w:sz="4" w:space="0" w:color="A6A6A6"/>
            </w:tcBorders>
            <w:shd w:val="clear" w:color="auto" w:fill="FFFFFF"/>
            <w:vAlign w:val="center"/>
          </w:tcPr>
          <w:p w14:paraId="39F95E76" w14:textId="77777777" w:rsidR="00EE66FD" w:rsidRPr="007C4D65" w:rsidRDefault="00EE66FD">
            <w:pPr>
              <w:numPr>
                <w:ilvl w:val="0"/>
                <w:numId w:val="112"/>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the law adoption</w:t>
            </w:r>
          </w:p>
        </w:tc>
        <w:tc>
          <w:tcPr>
            <w:tcW w:w="126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EA99755" w14:textId="3A117209"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Current law does not regulate </w:t>
            </w:r>
            <w:r w:rsidR="00326836" w:rsidRPr="007C4D65">
              <w:rPr>
                <w:rFonts w:asciiTheme="minorHAnsi" w:eastAsiaTheme="minorHAnsi" w:hAnsiTheme="minorHAnsi" w:cstheme="minorHAnsi"/>
                <w:sz w:val="18"/>
                <w:szCs w:val="18"/>
                <w:lang w:eastAsia="en-US"/>
              </w:rPr>
              <w:t xml:space="preserve">the </w:t>
            </w:r>
            <w:r w:rsidRPr="007C4D65">
              <w:rPr>
                <w:rFonts w:asciiTheme="minorHAnsi" w:eastAsiaTheme="minorHAnsi" w:hAnsiTheme="minorHAnsi" w:cstheme="minorHAnsi"/>
                <w:sz w:val="18"/>
                <w:szCs w:val="18"/>
                <w:lang w:eastAsia="en-US"/>
              </w:rPr>
              <w:t>quality of solid fuels and stoves and boilers</w:t>
            </w:r>
          </w:p>
        </w:tc>
        <w:tc>
          <w:tcPr>
            <w:tcW w:w="13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B1F5B3D" w14:textId="5DC732FD"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Law on air protection that specifie</w:t>
            </w:r>
            <w:r w:rsidR="00326836" w:rsidRPr="007C4D65">
              <w:rPr>
                <w:rFonts w:asciiTheme="minorHAnsi" w:eastAsiaTheme="minorHAnsi" w:hAnsiTheme="minorHAnsi" w:cstheme="minorHAnsi"/>
                <w:sz w:val="18"/>
                <w:szCs w:val="18"/>
                <w:lang w:eastAsia="en-US"/>
              </w:rPr>
              <w:t>s the</w:t>
            </w:r>
            <w:r w:rsidRPr="007C4D65">
              <w:rPr>
                <w:rFonts w:asciiTheme="minorHAnsi" w:eastAsiaTheme="minorHAnsi" w:hAnsiTheme="minorHAnsi" w:cstheme="minorHAnsi"/>
                <w:sz w:val="18"/>
                <w:szCs w:val="18"/>
                <w:lang w:eastAsia="en-US"/>
              </w:rPr>
              <w:t xml:space="preserve"> quality of (solid) fuels and bans sale of non-certified stoves and boilers adopted</w:t>
            </w:r>
          </w:p>
        </w:tc>
      </w:tr>
      <w:tr w:rsidR="00EE66FD" w:rsidRPr="007C4D65" w14:paraId="769174E0"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E3D9725"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090" w:type="pct"/>
            <w:gridSpan w:val="2"/>
            <w:tcBorders>
              <w:top w:val="single" w:sz="4" w:space="0" w:color="A6A6A6"/>
              <w:left w:val="single" w:sz="4" w:space="0" w:color="A6A6A6"/>
              <w:bottom w:val="single" w:sz="4" w:space="0" w:color="A6A6A6"/>
              <w:right w:val="single" w:sz="4" w:space="0" w:color="A6A6A6"/>
            </w:tcBorders>
            <w:shd w:val="clear" w:color="auto" w:fill="FFFFFF"/>
            <w:vAlign w:val="center"/>
          </w:tcPr>
          <w:p w14:paraId="0BDC375E" w14:textId="77777777" w:rsidR="00EE66FD" w:rsidRPr="007C4D65" w:rsidRDefault="00EE66FD">
            <w:pPr>
              <w:numPr>
                <w:ilvl w:val="0"/>
                <w:numId w:val="112"/>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Number of cantons with regulated incentive scheme models</w:t>
            </w:r>
          </w:p>
        </w:tc>
        <w:tc>
          <w:tcPr>
            <w:tcW w:w="126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A44CB38"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Some of the cantons have pilot incentive schemes</w:t>
            </w:r>
          </w:p>
        </w:tc>
        <w:tc>
          <w:tcPr>
            <w:tcW w:w="13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C34F46A" w14:textId="7F3CE282"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Development of the model for incentive schemes in each canton, in coordination with </w:t>
            </w:r>
            <w:r w:rsidR="00326836" w:rsidRPr="007C4D65">
              <w:rPr>
                <w:rFonts w:asciiTheme="minorHAnsi" w:eastAsiaTheme="minorHAnsi" w:hAnsiTheme="minorHAnsi" w:cstheme="minorHAnsi"/>
                <w:sz w:val="18"/>
                <w:szCs w:val="18"/>
                <w:lang w:eastAsia="en-US"/>
              </w:rPr>
              <w:t>the entity</w:t>
            </w:r>
          </w:p>
        </w:tc>
      </w:tr>
      <w:tr w:rsidR="00EE66FD" w:rsidRPr="007C4D65" w14:paraId="77A51FC3"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53DA492"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090" w:type="pct"/>
            <w:gridSpan w:val="2"/>
            <w:tcBorders>
              <w:top w:val="single" w:sz="4" w:space="0" w:color="A6A6A6"/>
              <w:left w:val="single" w:sz="4" w:space="0" w:color="A6A6A6"/>
              <w:bottom w:val="single" w:sz="4" w:space="0" w:color="A6A6A6"/>
              <w:right w:val="single" w:sz="4" w:space="0" w:color="A6A6A6"/>
            </w:tcBorders>
            <w:shd w:val="clear" w:color="auto" w:fill="FFFFFF"/>
            <w:vAlign w:val="center"/>
          </w:tcPr>
          <w:p w14:paraId="68DF3DCB" w14:textId="5DCAA04B" w:rsidR="00EE66FD" w:rsidRPr="007C4D65" w:rsidRDefault="00EE66FD">
            <w:pPr>
              <w:numPr>
                <w:ilvl w:val="0"/>
                <w:numId w:val="112"/>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amendments to the relevant legislation and level of capacity development in the inspections</w:t>
            </w:r>
          </w:p>
        </w:tc>
        <w:tc>
          <w:tcPr>
            <w:tcW w:w="126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7527CE5" w14:textId="7854F945" w:rsidR="00EE66FD" w:rsidRPr="007C4D65" w:rsidRDefault="00EE66FD" w:rsidP="00EE66FD">
            <w:pPr>
              <w:spacing w:before="40" w:after="40" w:line="276" w:lineRule="auto"/>
              <w:rPr>
                <w:rFonts w:asciiTheme="minorHAnsi" w:eastAsiaTheme="minorHAnsi" w:hAnsiTheme="minorHAnsi" w:cstheme="minorHAnsi"/>
                <w:b/>
                <w:sz w:val="18"/>
                <w:szCs w:val="18"/>
                <w:lang w:eastAsia="en-US"/>
              </w:rPr>
            </w:pPr>
            <w:r w:rsidRPr="007C4D65">
              <w:rPr>
                <w:rFonts w:asciiTheme="minorHAnsi" w:eastAsiaTheme="minorHAnsi" w:hAnsiTheme="minorHAnsi" w:cstheme="minorHAnsi"/>
                <w:sz w:val="18"/>
                <w:szCs w:val="18"/>
                <w:lang w:eastAsia="en-US"/>
              </w:rPr>
              <w:t>Current legislative framework does not allow</w:t>
            </w:r>
            <w:r w:rsidR="00326836" w:rsidRPr="007C4D65">
              <w:rPr>
                <w:rFonts w:asciiTheme="minorHAnsi" w:eastAsiaTheme="minorHAnsi" w:hAnsiTheme="minorHAnsi" w:cstheme="minorHAnsi"/>
                <w:sz w:val="18"/>
                <w:szCs w:val="18"/>
                <w:lang w:eastAsia="en-US"/>
              </w:rPr>
              <w:t xml:space="preserve"> for</w:t>
            </w:r>
            <w:r w:rsidRPr="007C4D65">
              <w:rPr>
                <w:rFonts w:asciiTheme="minorHAnsi" w:eastAsiaTheme="minorHAnsi" w:hAnsiTheme="minorHAnsi" w:cstheme="minorHAnsi"/>
                <w:sz w:val="18"/>
                <w:szCs w:val="18"/>
                <w:lang w:eastAsia="en-US"/>
              </w:rPr>
              <w:t xml:space="preserve"> adequate inspection</w:t>
            </w:r>
            <w:r w:rsidR="00326836" w:rsidRPr="007C4D65">
              <w:rPr>
                <w:rFonts w:asciiTheme="minorHAnsi" w:eastAsiaTheme="minorHAnsi" w:hAnsiTheme="minorHAnsi" w:cstheme="minorHAnsi"/>
                <w:sz w:val="18"/>
                <w:szCs w:val="18"/>
                <w:lang w:eastAsia="en-US"/>
              </w:rPr>
              <w:t>s</w:t>
            </w:r>
            <w:r w:rsidRPr="007C4D65">
              <w:rPr>
                <w:rFonts w:asciiTheme="minorHAnsi" w:eastAsiaTheme="minorHAnsi" w:hAnsiTheme="minorHAnsi" w:cstheme="minorHAnsi"/>
                <w:sz w:val="18"/>
                <w:szCs w:val="18"/>
                <w:lang w:eastAsia="en-US"/>
              </w:rPr>
              <w:t xml:space="preserve"> of </w:t>
            </w:r>
            <w:r w:rsidR="001A31CC" w:rsidRPr="007C4D65">
              <w:rPr>
                <w:rFonts w:asciiTheme="minorHAnsi" w:eastAsiaTheme="minorHAnsi" w:hAnsiTheme="minorHAnsi" w:cstheme="minorHAnsi"/>
                <w:sz w:val="18"/>
                <w:szCs w:val="18"/>
                <w:lang w:eastAsia="en-US"/>
              </w:rPr>
              <w:t>household stoves</w:t>
            </w:r>
            <w:r w:rsidRPr="007C4D65">
              <w:rPr>
                <w:rFonts w:asciiTheme="minorHAnsi" w:eastAsiaTheme="minorHAnsi" w:hAnsiTheme="minorHAnsi" w:cstheme="minorHAnsi"/>
                <w:sz w:val="18"/>
                <w:szCs w:val="18"/>
                <w:lang w:eastAsia="en-US"/>
              </w:rPr>
              <w:t>, inspections do not have sufficient capacities</w:t>
            </w:r>
          </w:p>
        </w:tc>
        <w:tc>
          <w:tcPr>
            <w:tcW w:w="13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28E4977" w14:textId="6EEBD662"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Relevant legislation amended and capacities of municipal and cantonal inspections developed (number of inspectors increased and training programme</w:t>
            </w:r>
            <w:r w:rsidR="00326836" w:rsidRPr="007C4D65">
              <w:rPr>
                <w:rFonts w:asciiTheme="minorHAnsi" w:eastAsiaTheme="minorHAnsi" w:hAnsiTheme="minorHAnsi" w:cstheme="minorHAnsi"/>
                <w:sz w:val="18"/>
                <w:szCs w:val="18"/>
                <w:lang w:eastAsia="en-US"/>
              </w:rPr>
              <w:t>s</w:t>
            </w:r>
            <w:r w:rsidRPr="007C4D65">
              <w:rPr>
                <w:rFonts w:asciiTheme="minorHAnsi" w:eastAsiaTheme="minorHAnsi" w:hAnsiTheme="minorHAnsi" w:cstheme="minorHAnsi"/>
                <w:sz w:val="18"/>
                <w:szCs w:val="18"/>
                <w:lang w:eastAsia="en-US"/>
              </w:rPr>
              <w:t xml:space="preserve"> implemented)</w:t>
            </w:r>
          </w:p>
        </w:tc>
      </w:tr>
      <w:tr w:rsidR="00EE66FD" w:rsidRPr="007C4D65" w14:paraId="48D1DE3A"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4C06B43"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090" w:type="pct"/>
            <w:gridSpan w:val="2"/>
            <w:tcBorders>
              <w:top w:val="single" w:sz="4" w:space="0" w:color="A6A6A6"/>
              <w:left w:val="single" w:sz="4" w:space="0" w:color="A6A6A6"/>
              <w:bottom w:val="single" w:sz="4" w:space="0" w:color="A6A6A6"/>
              <w:right w:val="single" w:sz="4" w:space="0" w:color="A6A6A6"/>
            </w:tcBorders>
            <w:shd w:val="clear" w:color="auto" w:fill="FFFFFF"/>
            <w:vAlign w:val="center"/>
          </w:tcPr>
          <w:p w14:paraId="34DFA0B6" w14:textId="2914B90B" w:rsidR="00EE66FD" w:rsidRPr="007C4D65" w:rsidRDefault="00326836">
            <w:pPr>
              <w:numPr>
                <w:ilvl w:val="0"/>
                <w:numId w:val="112"/>
              </w:numPr>
              <w:spacing w:before="40" w:after="40" w:line="276" w:lineRule="auto"/>
              <w:ind w:left="190" w:hanging="19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Number of</w:t>
            </w:r>
            <w:r w:rsidR="000E4167" w:rsidRPr="007C4D65">
              <w:rPr>
                <w:rFonts w:asciiTheme="minorHAnsi" w:eastAsia="Calibri" w:hAnsiTheme="minorHAnsi" w:cstheme="minorHAnsi"/>
                <w:sz w:val="18"/>
                <w:szCs w:val="18"/>
                <w:lang w:eastAsia="en-US"/>
              </w:rPr>
              <w:t xml:space="preserve"> completed</w:t>
            </w:r>
            <w:r w:rsidRPr="007C4D65">
              <w:rPr>
                <w:rFonts w:asciiTheme="minorHAnsi" w:eastAsia="Calibri" w:hAnsiTheme="minorHAnsi" w:cstheme="minorHAnsi"/>
                <w:sz w:val="18"/>
                <w:szCs w:val="18"/>
                <w:lang w:eastAsia="en-US"/>
              </w:rPr>
              <w:t xml:space="preserve"> strategic environmental assessments</w:t>
            </w:r>
            <w:r w:rsidR="000E4167" w:rsidRPr="007C4D65">
              <w:rPr>
                <w:rFonts w:asciiTheme="minorHAnsi" w:eastAsia="Calibri" w:hAnsiTheme="minorHAnsi" w:cstheme="minorHAnsi"/>
                <w:sz w:val="18"/>
                <w:szCs w:val="18"/>
                <w:lang w:eastAsia="en-US"/>
              </w:rPr>
              <w:t xml:space="preserve"> of planning documents</w:t>
            </w:r>
          </w:p>
        </w:tc>
        <w:tc>
          <w:tcPr>
            <w:tcW w:w="126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22548E0" w14:textId="3FDE631D" w:rsidR="00EE66FD" w:rsidRPr="007C4D65" w:rsidRDefault="000E4167"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Strategic environmental assessment has not been sufficiently used</w:t>
            </w:r>
            <w:r w:rsidR="00EE66FD" w:rsidRPr="007C4D65">
              <w:rPr>
                <w:rFonts w:asciiTheme="minorHAnsi" w:eastAsiaTheme="minorHAnsi" w:hAnsiTheme="minorHAnsi" w:cstheme="minorHAnsi"/>
                <w:sz w:val="18"/>
                <w:szCs w:val="18"/>
                <w:lang w:eastAsia="en-US"/>
              </w:rPr>
              <w:t xml:space="preserve"> </w:t>
            </w:r>
          </w:p>
        </w:tc>
        <w:tc>
          <w:tcPr>
            <w:tcW w:w="13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B697C49" w14:textId="5C499F1A" w:rsidR="00EE66FD" w:rsidRPr="007C4D65" w:rsidRDefault="000E4167"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Calibri" w:hAnsiTheme="minorHAnsi" w:cstheme="minorHAnsi"/>
                <w:sz w:val="18"/>
                <w:szCs w:val="18"/>
                <w:lang w:eastAsia="en-US"/>
              </w:rPr>
              <w:t>Strategic environmental assessments consistently completed for every planning document</w:t>
            </w:r>
          </w:p>
        </w:tc>
      </w:tr>
      <w:tr w:rsidR="00EE66FD" w:rsidRPr="007C4D65" w14:paraId="1B078702"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6474298"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090" w:type="pct"/>
            <w:gridSpan w:val="2"/>
            <w:tcBorders>
              <w:top w:val="single" w:sz="4" w:space="0" w:color="A6A6A6"/>
              <w:left w:val="single" w:sz="4" w:space="0" w:color="A6A6A6"/>
              <w:bottom w:val="single" w:sz="4" w:space="0" w:color="A6A6A6"/>
              <w:right w:val="single" w:sz="4" w:space="0" w:color="A6A6A6"/>
            </w:tcBorders>
            <w:shd w:val="clear" w:color="auto" w:fill="FFFFFF"/>
            <w:vAlign w:val="center"/>
          </w:tcPr>
          <w:p w14:paraId="66D28DCB" w14:textId="0EF887C6" w:rsidR="00EE66FD" w:rsidRPr="007C4D65" w:rsidRDefault="00EE66FD">
            <w:pPr>
              <w:numPr>
                <w:ilvl w:val="0"/>
                <w:numId w:val="112"/>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the adoption</w:t>
            </w:r>
            <w:r w:rsidR="000E4167" w:rsidRPr="007C4D65">
              <w:rPr>
                <w:rFonts w:asciiTheme="minorHAnsi" w:eastAsia="Calibri" w:hAnsiTheme="minorHAnsi" w:cstheme="minorHAnsi"/>
                <w:sz w:val="18"/>
                <w:szCs w:val="18"/>
                <w:lang w:eastAsia="en-US"/>
              </w:rPr>
              <w:t xml:space="preserve"> of the law </w:t>
            </w:r>
          </w:p>
        </w:tc>
        <w:tc>
          <w:tcPr>
            <w:tcW w:w="126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6969703" w14:textId="5E86C628"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 is no law on heating</w:t>
            </w:r>
            <w:r w:rsidR="000E4167" w:rsidRPr="007C4D65">
              <w:rPr>
                <w:rFonts w:asciiTheme="minorHAnsi" w:eastAsiaTheme="minorHAnsi" w:hAnsiTheme="minorHAnsi" w:cstheme="minorHAnsi"/>
                <w:sz w:val="18"/>
                <w:szCs w:val="18"/>
                <w:lang w:eastAsia="en-US"/>
              </w:rPr>
              <w:t xml:space="preserve"> industry</w:t>
            </w:r>
          </w:p>
        </w:tc>
        <w:tc>
          <w:tcPr>
            <w:tcW w:w="13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A2C2801" w14:textId="69F8D6A0"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Law on </w:t>
            </w:r>
            <w:r w:rsidR="000E4167" w:rsidRPr="007C4D65">
              <w:rPr>
                <w:rFonts w:asciiTheme="minorHAnsi" w:eastAsia="Calibri" w:hAnsiTheme="minorHAnsi" w:cstheme="minorHAnsi"/>
                <w:sz w:val="18"/>
                <w:szCs w:val="18"/>
                <w:lang w:eastAsia="en-US"/>
              </w:rPr>
              <w:t>heating industry</w:t>
            </w:r>
            <w:r w:rsidRPr="007C4D65">
              <w:rPr>
                <w:rFonts w:asciiTheme="minorHAnsi" w:eastAsia="Calibri" w:hAnsiTheme="minorHAnsi" w:cstheme="minorHAnsi"/>
                <w:sz w:val="18"/>
                <w:szCs w:val="18"/>
                <w:lang w:eastAsia="en-US"/>
              </w:rPr>
              <w:t xml:space="preserve"> adopted</w:t>
            </w:r>
          </w:p>
        </w:tc>
      </w:tr>
      <w:tr w:rsidR="00EE66FD" w:rsidRPr="007C4D65" w14:paraId="2C4F0EA5"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AD306A3"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090" w:type="pct"/>
            <w:gridSpan w:val="2"/>
            <w:tcBorders>
              <w:top w:val="single" w:sz="4" w:space="0" w:color="A6A6A6"/>
              <w:left w:val="single" w:sz="4" w:space="0" w:color="A6A6A6"/>
              <w:bottom w:val="single" w:sz="4" w:space="0" w:color="A6A6A6"/>
              <w:right w:val="single" w:sz="4" w:space="0" w:color="A6A6A6"/>
            </w:tcBorders>
            <w:shd w:val="clear" w:color="auto" w:fill="FFFFFF"/>
            <w:vAlign w:val="center"/>
          </w:tcPr>
          <w:p w14:paraId="5CB24373" w14:textId="099D6112" w:rsidR="00EE66FD" w:rsidRPr="007C4D65" w:rsidRDefault="00EE66FD">
            <w:pPr>
              <w:numPr>
                <w:ilvl w:val="0"/>
                <w:numId w:val="112"/>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the adoption of strategy and number of </w:t>
            </w:r>
            <w:r w:rsidR="000E4167" w:rsidRPr="007C4D65">
              <w:rPr>
                <w:rFonts w:asciiTheme="minorHAnsi" w:eastAsia="Calibri" w:hAnsiTheme="minorHAnsi" w:cstheme="minorHAnsi"/>
                <w:sz w:val="18"/>
                <w:szCs w:val="18"/>
                <w:lang w:eastAsia="en-US"/>
              </w:rPr>
              <w:t xml:space="preserve">completed </w:t>
            </w:r>
            <w:r w:rsidRPr="007C4D65">
              <w:rPr>
                <w:rFonts w:asciiTheme="minorHAnsi" w:eastAsia="Calibri" w:hAnsiTheme="minorHAnsi" w:cstheme="minorHAnsi"/>
                <w:sz w:val="18"/>
                <w:szCs w:val="18"/>
                <w:lang w:eastAsia="en-US"/>
              </w:rPr>
              <w:t>studies</w:t>
            </w:r>
          </w:p>
        </w:tc>
        <w:tc>
          <w:tcPr>
            <w:tcW w:w="126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DD2815F" w14:textId="27432758"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 is no strategy, studies</w:t>
            </w:r>
            <w:r w:rsidR="000E4167" w:rsidRPr="007C4D65">
              <w:rPr>
                <w:rFonts w:asciiTheme="minorHAnsi" w:eastAsiaTheme="minorHAnsi" w:hAnsiTheme="minorHAnsi" w:cstheme="minorHAnsi"/>
                <w:sz w:val="18"/>
                <w:szCs w:val="18"/>
                <w:lang w:eastAsia="en-US"/>
              </w:rPr>
              <w:t xml:space="preserve"> completed</w:t>
            </w:r>
            <w:r w:rsidRPr="007C4D65">
              <w:rPr>
                <w:rFonts w:asciiTheme="minorHAnsi" w:eastAsiaTheme="minorHAnsi" w:hAnsiTheme="minorHAnsi" w:cstheme="minorHAnsi"/>
                <w:sz w:val="18"/>
                <w:szCs w:val="18"/>
                <w:lang w:eastAsia="en-US"/>
              </w:rPr>
              <w:t xml:space="preserve"> for some urban areas</w:t>
            </w:r>
          </w:p>
        </w:tc>
        <w:tc>
          <w:tcPr>
            <w:tcW w:w="13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FB9F73F" w14:textId="39894273"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Strategy developed, studies (for new district heating </w:t>
            </w:r>
            <w:r w:rsidR="000E4167" w:rsidRPr="007C4D65">
              <w:rPr>
                <w:rFonts w:asciiTheme="minorHAnsi" w:eastAsia="Calibri" w:hAnsiTheme="minorHAnsi" w:cstheme="minorHAnsi"/>
                <w:sz w:val="18"/>
                <w:szCs w:val="18"/>
                <w:lang w:eastAsia="en-US"/>
              </w:rPr>
              <w:t xml:space="preserve">systems </w:t>
            </w:r>
            <w:r w:rsidRPr="007C4D65">
              <w:rPr>
                <w:rFonts w:asciiTheme="minorHAnsi" w:eastAsia="Calibri" w:hAnsiTheme="minorHAnsi" w:cstheme="minorHAnsi"/>
                <w:sz w:val="18"/>
                <w:szCs w:val="18"/>
                <w:lang w:eastAsia="en-US"/>
              </w:rPr>
              <w:t xml:space="preserve">and expansion of the </w:t>
            </w:r>
            <w:r w:rsidR="000E4167" w:rsidRPr="007C4D65">
              <w:rPr>
                <w:rFonts w:asciiTheme="minorHAnsi" w:eastAsia="Calibri" w:hAnsiTheme="minorHAnsi" w:cstheme="minorHAnsi"/>
                <w:sz w:val="18"/>
                <w:szCs w:val="18"/>
                <w:lang w:eastAsia="en-US"/>
              </w:rPr>
              <w:t>current network</w:t>
            </w:r>
            <w:r w:rsidRPr="007C4D65">
              <w:rPr>
                <w:rFonts w:asciiTheme="minorHAnsi" w:eastAsia="Calibri" w:hAnsiTheme="minorHAnsi" w:cstheme="minorHAnsi"/>
                <w:sz w:val="18"/>
                <w:szCs w:val="18"/>
                <w:lang w:eastAsia="en-US"/>
              </w:rPr>
              <w:t xml:space="preserve">) for urban settlements </w:t>
            </w:r>
            <w:r w:rsidR="000E4167" w:rsidRPr="007C4D65">
              <w:rPr>
                <w:rFonts w:asciiTheme="minorHAnsi" w:eastAsia="Calibri" w:hAnsiTheme="minorHAnsi" w:cstheme="minorHAnsi"/>
                <w:sz w:val="18"/>
                <w:szCs w:val="18"/>
                <w:lang w:eastAsia="en-US"/>
              </w:rPr>
              <w:t>with more than</w:t>
            </w:r>
            <w:r w:rsidRPr="007C4D65">
              <w:rPr>
                <w:rFonts w:asciiTheme="minorHAnsi" w:eastAsia="Calibri" w:hAnsiTheme="minorHAnsi" w:cstheme="minorHAnsi"/>
                <w:sz w:val="18"/>
                <w:szCs w:val="18"/>
                <w:lang w:eastAsia="en-US"/>
              </w:rPr>
              <w:t xml:space="preserve"> 10,000 residents</w:t>
            </w:r>
          </w:p>
        </w:tc>
      </w:tr>
      <w:tr w:rsidR="00EE66FD" w:rsidRPr="007C4D65" w14:paraId="30ADF411"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FF192DA"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090" w:type="pct"/>
            <w:gridSpan w:val="2"/>
            <w:tcBorders>
              <w:top w:val="single" w:sz="4" w:space="0" w:color="A6A6A6"/>
              <w:left w:val="single" w:sz="4" w:space="0" w:color="A6A6A6"/>
              <w:bottom w:val="single" w:sz="4" w:space="0" w:color="A6A6A6"/>
              <w:right w:val="single" w:sz="4" w:space="0" w:color="A6A6A6"/>
            </w:tcBorders>
            <w:shd w:val="clear" w:color="auto" w:fill="FFFFFF"/>
            <w:vAlign w:val="center"/>
          </w:tcPr>
          <w:p w14:paraId="219B96E7" w14:textId="77777777" w:rsidR="00EE66FD" w:rsidRPr="007C4D65" w:rsidRDefault="00EE66FD">
            <w:pPr>
              <w:numPr>
                <w:ilvl w:val="0"/>
                <w:numId w:val="112"/>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Number of cantons that have adopted the model</w:t>
            </w:r>
          </w:p>
        </w:tc>
        <w:tc>
          <w:tcPr>
            <w:tcW w:w="126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8F8F05C" w14:textId="491303F3"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 are no incentive models for non-motorised transport, infrastructure unde</w:t>
            </w:r>
            <w:r w:rsidR="000E4167" w:rsidRPr="007C4D65">
              <w:rPr>
                <w:rFonts w:asciiTheme="minorHAnsi" w:eastAsiaTheme="minorHAnsi" w:hAnsiTheme="minorHAnsi" w:cstheme="minorHAnsi"/>
                <w:sz w:val="18"/>
                <w:szCs w:val="18"/>
                <w:lang w:eastAsia="en-US"/>
              </w:rPr>
              <w:t>rde</w:t>
            </w:r>
            <w:r w:rsidRPr="007C4D65">
              <w:rPr>
                <w:rFonts w:asciiTheme="minorHAnsi" w:eastAsiaTheme="minorHAnsi" w:hAnsiTheme="minorHAnsi" w:cstheme="minorHAnsi"/>
                <w:sz w:val="18"/>
                <w:szCs w:val="18"/>
                <w:lang w:eastAsia="en-US"/>
              </w:rPr>
              <w:t>veloped</w:t>
            </w:r>
          </w:p>
        </w:tc>
        <w:tc>
          <w:tcPr>
            <w:tcW w:w="13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129EE76" w14:textId="77777777"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Model adopted (cantonal level) and minimum infrastructure developed</w:t>
            </w:r>
          </w:p>
        </w:tc>
      </w:tr>
      <w:tr w:rsidR="00EE66FD" w:rsidRPr="007C4D65" w14:paraId="20CA91DC"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C7909CB"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090" w:type="pct"/>
            <w:gridSpan w:val="2"/>
            <w:tcBorders>
              <w:top w:val="single" w:sz="4" w:space="0" w:color="A6A6A6"/>
              <w:left w:val="single" w:sz="4" w:space="0" w:color="A6A6A6"/>
              <w:bottom w:val="single" w:sz="4" w:space="0" w:color="A6A6A6"/>
              <w:right w:val="single" w:sz="4" w:space="0" w:color="A6A6A6"/>
            </w:tcBorders>
            <w:shd w:val="clear" w:color="auto" w:fill="FFFFFF"/>
            <w:vAlign w:val="center"/>
          </w:tcPr>
          <w:p w14:paraId="6A796D83" w14:textId="77777777" w:rsidR="00EE66FD" w:rsidRPr="007C4D65" w:rsidRDefault="00EE66FD">
            <w:pPr>
              <w:numPr>
                <w:ilvl w:val="0"/>
                <w:numId w:val="112"/>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Number of mechanisms adopted at the level of entity and cantons</w:t>
            </w:r>
          </w:p>
        </w:tc>
        <w:tc>
          <w:tcPr>
            <w:tcW w:w="126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F6B2058" w14:textId="4FBC3D23" w:rsidR="00EE66FD" w:rsidRPr="007C4D65" w:rsidRDefault="000E4167"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w:t>
            </w:r>
            <w:r w:rsidR="00EE66FD" w:rsidRPr="007C4D65">
              <w:rPr>
                <w:rFonts w:asciiTheme="minorHAnsi" w:eastAsiaTheme="minorHAnsi" w:hAnsiTheme="minorHAnsi" w:cstheme="minorHAnsi"/>
                <w:sz w:val="18"/>
                <w:szCs w:val="18"/>
                <w:lang w:eastAsia="en-US"/>
              </w:rPr>
              <w:t>o incentives offered for</w:t>
            </w:r>
            <w:r w:rsidRPr="007C4D65">
              <w:rPr>
                <w:rFonts w:asciiTheme="minorHAnsi" w:eastAsiaTheme="minorHAnsi" w:hAnsiTheme="minorHAnsi" w:cstheme="minorHAnsi"/>
                <w:sz w:val="18"/>
                <w:szCs w:val="18"/>
                <w:lang w:eastAsia="en-US"/>
              </w:rPr>
              <w:t xml:space="preserve"> the</w:t>
            </w:r>
            <w:r w:rsidR="00EE66FD" w:rsidRPr="007C4D65">
              <w:rPr>
                <w:rFonts w:asciiTheme="minorHAnsi" w:eastAsiaTheme="minorHAnsi" w:hAnsiTheme="minorHAnsi" w:cstheme="minorHAnsi"/>
                <w:sz w:val="18"/>
                <w:szCs w:val="18"/>
                <w:lang w:eastAsia="en-US"/>
              </w:rPr>
              <w:t xml:space="preserve"> development of public transport</w:t>
            </w:r>
          </w:p>
        </w:tc>
        <w:tc>
          <w:tcPr>
            <w:tcW w:w="13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BC49D12" w14:textId="77777777"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Mechanisms adopted (entity and cantonal levels harmonised)</w:t>
            </w:r>
          </w:p>
        </w:tc>
      </w:tr>
      <w:tr w:rsidR="00EE66FD" w:rsidRPr="007C4D65" w14:paraId="5CC33334"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64A61FE"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090" w:type="pct"/>
            <w:gridSpan w:val="2"/>
            <w:tcBorders>
              <w:top w:val="single" w:sz="4" w:space="0" w:color="A6A6A6"/>
              <w:left w:val="single" w:sz="4" w:space="0" w:color="A6A6A6"/>
              <w:bottom w:val="single" w:sz="4" w:space="0" w:color="A6A6A6"/>
              <w:right w:val="single" w:sz="4" w:space="0" w:color="A6A6A6"/>
            </w:tcBorders>
            <w:shd w:val="clear" w:color="auto" w:fill="FFFFFF"/>
            <w:vAlign w:val="center"/>
          </w:tcPr>
          <w:p w14:paraId="3E9E022C" w14:textId="5224237B" w:rsidR="00EE66FD" w:rsidRPr="007C4D65" w:rsidRDefault="00EE66FD">
            <w:pPr>
              <w:numPr>
                <w:ilvl w:val="0"/>
                <w:numId w:val="112"/>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amendments to the car taxation system</w:t>
            </w:r>
          </w:p>
        </w:tc>
        <w:tc>
          <w:tcPr>
            <w:tcW w:w="126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EC634F7" w14:textId="32C0FD73"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Current taxation system discourages </w:t>
            </w:r>
            <w:r w:rsidR="000E4167" w:rsidRPr="007C4D65">
              <w:rPr>
                <w:rFonts w:asciiTheme="minorHAnsi" w:eastAsiaTheme="minorHAnsi" w:hAnsiTheme="minorHAnsi" w:cstheme="minorHAnsi"/>
                <w:sz w:val="18"/>
                <w:szCs w:val="18"/>
                <w:lang w:eastAsia="en-US"/>
              </w:rPr>
              <w:t>procurement</w:t>
            </w:r>
            <w:r w:rsidRPr="007C4D65">
              <w:rPr>
                <w:rFonts w:asciiTheme="minorHAnsi" w:eastAsiaTheme="minorHAnsi" w:hAnsiTheme="minorHAnsi" w:cstheme="minorHAnsi"/>
                <w:sz w:val="18"/>
                <w:szCs w:val="18"/>
                <w:lang w:eastAsia="en-US"/>
              </w:rPr>
              <w:t xml:space="preserve"> and use of low polluting vehicles</w:t>
            </w:r>
          </w:p>
        </w:tc>
        <w:tc>
          <w:tcPr>
            <w:tcW w:w="13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4EABF8C" w14:textId="01DC0956" w:rsidR="00EE66FD" w:rsidRPr="007C4D65" w:rsidRDefault="000E4167"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w:t>
            </w:r>
            <w:r w:rsidR="00EE66FD" w:rsidRPr="007C4D65">
              <w:rPr>
                <w:rFonts w:asciiTheme="minorHAnsi" w:eastAsia="Calibri" w:hAnsiTheme="minorHAnsi" w:cstheme="minorHAnsi"/>
                <w:sz w:val="18"/>
                <w:szCs w:val="18"/>
                <w:lang w:eastAsia="en-US"/>
              </w:rPr>
              <w:t xml:space="preserve">taxation system </w:t>
            </w:r>
            <w:r w:rsidRPr="007C4D65">
              <w:rPr>
                <w:rFonts w:asciiTheme="minorHAnsi" w:eastAsia="Calibri" w:hAnsiTheme="minorHAnsi" w:cstheme="minorHAnsi"/>
                <w:sz w:val="18"/>
                <w:szCs w:val="18"/>
                <w:lang w:eastAsia="en-US"/>
              </w:rPr>
              <w:t>improved</w:t>
            </w:r>
            <w:r w:rsidR="00EE66FD" w:rsidRPr="007C4D65">
              <w:rPr>
                <w:rFonts w:asciiTheme="minorHAnsi" w:eastAsia="Calibri" w:hAnsiTheme="minorHAnsi" w:cstheme="minorHAnsi"/>
                <w:sz w:val="18"/>
                <w:szCs w:val="18"/>
                <w:lang w:eastAsia="en-US"/>
              </w:rPr>
              <w:t xml:space="preserve"> (coordination with BiH level)</w:t>
            </w:r>
          </w:p>
        </w:tc>
      </w:tr>
      <w:tr w:rsidR="00EE66FD" w:rsidRPr="007C4D65" w14:paraId="71B059B7"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7902775"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090" w:type="pct"/>
            <w:gridSpan w:val="2"/>
            <w:tcBorders>
              <w:top w:val="single" w:sz="4" w:space="0" w:color="A6A6A6"/>
              <w:left w:val="single" w:sz="4" w:space="0" w:color="A6A6A6"/>
              <w:bottom w:val="single" w:sz="4" w:space="0" w:color="A6A6A6"/>
              <w:right w:val="single" w:sz="4" w:space="0" w:color="A6A6A6"/>
            </w:tcBorders>
            <w:shd w:val="clear" w:color="auto" w:fill="FFFFFF"/>
            <w:vAlign w:val="center"/>
          </w:tcPr>
          <w:p w14:paraId="00469DFB" w14:textId="06764996" w:rsidR="00EE66FD" w:rsidRPr="007C4D65" w:rsidRDefault="00EE66FD">
            <w:pPr>
              <w:numPr>
                <w:ilvl w:val="0"/>
                <w:numId w:val="112"/>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0E4167"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 xml:space="preserve">adoption of </w:t>
            </w:r>
            <w:r w:rsidR="000E4167" w:rsidRPr="007C4D65">
              <w:rPr>
                <w:rFonts w:asciiTheme="minorHAnsi" w:eastAsia="Calibri" w:hAnsiTheme="minorHAnsi" w:cstheme="minorHAnsi"/>
                <w:sz w:val="18"/>
                <w:szCs w:val="18"/>
                <w:lang w:eastAsia="en-US"/>
              </w:rPr>
              <w:t>amendments to</w:t>
            </w:r>
            <w:r w:rsidRPr="007C4D65">
              <w:rPr>
                <w:rFonts w:asciiTheme="minorHAnsi" w:eastAsia="Calibri" w:hAnsiTheme="minorHAnsi" w:cstheme="minorHAnsi"/>
                <w:sz w:val="18"/>
                <w:szCs w:val="18"/>
                <w:lang w:eastAsia="en-US"/>
              </w:rPr>
              <w:t xml:space="preserve"> regulation</w:t>
            </w:r>
            <w:r w:rsidR="000E4167" w:rsidRPr="007C4D65">
              <w:rPr>
                <w:rFonts w:asciiTheme="minorHAnsi" w:eastAsia="Calibri" w:hAnsiTheme="minorHAnsi" w:cstheme="minorHAnsi"/>
                <w:sz w:val="18"/>
                <w:szCs w:val="18"/>
                <w:lang w:eastAsia="en-US"/>
              </w:rPr>
              <w:t>s</w:t>
            </w:r>
          </w:p>
        </w:tc>
        <w:tc>
          <w:tcPr>
            <w:tcW w:w="126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0275DEE" w14:textId="47483032" w:rsidR="00EE66FD" w:rsidRPr="007C4D65" w:rsidRDefault="000E4167"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w:t>
            </w:r>
            <w:r w:rsidR="00EE66FD" w:rsidRPr="007C4D65">
              <w:rPr>
                <w:rFonts w:asciiTheme="minorHAnsi" w:eastAsiaTheme="minorHAnsi" w:hAnsiTheme="minorHAnsi" w:cstheme="minorHAnsi"/>
                <w:sz w:val="18"/>
                <w:szCs w:val="18"/>
                <w:lang w:eastAsia="en-US"/>
              </w:rPr>
              <w:t xml:space="preserve"> obligation to clea</w:t>
            </w:r>
            <w:r w:rsidRPr="007C4D65">
              <w:rPr>
                <w:rFonts w:asciiTheme="minorHAnsi" w:eastAsiaTheme="minorHAnsi" w:hAnsiTheme="minorHAnsi" w:cstheme="minorHAnsi"/>
                <w:sz w:val="18"/>
                <w:szCs w:val="18"/>
                <w:lang w:eastAsia="en-US"/>
              </w:rPr>
              <w:t>n</w:t>
            </w:r>
            <w:r w:rsidR="00EE66FD" w:rsidRPr="007C4D65">
              <w:rPr>
                <w:rFonts w:asciiTheme="minorHAnsi" w:eastAsiaTheme="minorHAnsi" w:hAnsiTheme="minorHAnsi" w:cstheme="minorHAnsi"/>
                <w:sz w:val="18"/>
                <w:szCs w:val="18"/>
                <w:lang w:eastAsia="en-US"/>
              </w:rPr>
              <w:t xml:space="preserve"> the streets in certain intervals</w:t>
            </w:r>
            <w:r w:rsidRPr="007C4D65">
              <w:rPr>
                <w:rFonts w:asciiTheme="minorHAnsi" w:eastAsiaTheme="minorHAnsi" w:hAnsiTheme="minorHAnsi" w:cstheme="minorHAnsi"/>
                <w:sz w:val="18"/>
                <w:szCs w:val="18"/>
                <w:lang w:eastAsia="en-US"/>
              </w:rPr>
              <w:t xml:space="preserve"> is not regulated.</w:t>
            </w:r>
          </w:p>
        </w:tc>
        <w:tc>
          <w:tcPr>
            <w:tcW w:w="13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14B52B2" w14:textId="3A99D0DF"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Provision</w:t>
            </w:r>
            <w:r w:rsidR="00FB6A4F" w:rsidRPr="007C4D65">
              <w:rPr>
                <w:rFonts w:asciiTheme="minorHAnsi" w:eastAsia="Calibri" w:hAnsiTheme="minorHAnsi" w:cstheme="minorHAnsi"/>
                <w:sz w:val="18"/>
                <w:szCs w:val="18"/>
                <w:lang w:eastAsia="en-US"/>
              </w:rPr>
              <w:t>s regulating the</w:t>
            </w:r>
            <w:r w:rsidRPr="007C4D65">
              <w:rPr>
                <w:rFonts w:asciiTheme="minorHAnsi" w:eastAsia="Calibri" w:hAnsiTheme="minorHAnsi" w:cstheme="minorHAnsi"/>
                <w:sz w:val="18"/>
                <w:szCs w:val="18"/>
                <w:lang w:eastAsia="en-US"/>
              </w:rPr>
              <w:t xml:space="preserve"> street cleanliness</w:t>
            </w:r>
            <w:r w:rsidR="00FB6A4F" w:rsidRPr="007C4D65">
              <w:rPr>
                <w:rFonts w:asciiTheme="minorHAnsi" w:eastAsia="Calibri" w:hAnsiTheme="minorHAnsi" w:cstheme="minorHAnsi"/>
                <w:sz w:val="18"/>
                <w:szCs w:val="18"/>
                <w:lang w:eastAsia="en-US"/>
              </w:rPr>
              <w:t xml:space="preserve"> standards</w:t>
            </w:r>
            <w:r w:rsidRPr="007C4D65">
              <w:rPr>
                <w:rFonts w:asciiTheme="minorHAnsi" w:eastAsia="Calibri" w:hAnsiTheme="minorHAnsi" w:cstheme="minorHAnsi"/>
                <w:sz w:val="18"/>
                <w:szCs w:val="18"/>
                <w:lang w:eastAsia="en-US"/>
              </w:rPr>
              <w:t xml:space="preserve">, including control mechanism and sanctions, included in </w:t>
            </w:r>
            <w:r w:rsidR="00FB6A4F" w:rsidRPr="007C4D65">
              <w:rPr>
                <w:rFonts w:asciiTheme="minorHAnsi" w:eastAsia="Calibri" w:hAnsiTheme="minorHAnsi" w:cstheme="minorHAnsi"/>
                <w:sz w:val="18"/>
                <w:szCs w:val="18"/>
                <w:lang w:eastAsia="en-US"/>
              </w:rPr>
              <w:t>agreements</w:t>
            </w:r>
            <w:r w:rsidRPr="007C4D65">
              <w:rPr>
                <w:rFonts w:asciiTheme="minorHAnsi" w:eastAsia="Calibri" w:hAnsiTheme="minorHAnsi" w:cstheme="minorHAnsi"/>
                <w:sz w:val="18"/>
                <w:szCs w:val="18"/>
                <w:lang w:eastAsia="en-US"/>
              </w:rPr>
              <w:t xml:space="preserve"> on road maintenance</w:t>
            </w:r>
          </w:p>
        </w:tc>
      </w:tr>
      <w:tr w:rsidR="00EE66FD" w:rsidRPr="007C4D65" w14:paraId="6B135CDC"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56EC6C8"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090" w:type="pct"/>
            <w:gridSpan w:val="2"/>
            <w:tcBorders>
              <w:top w:val="single" w:sz="4" w:space="0" w:color="A6A6A6"/>
              <w:left w:val="single" w:sz="4" w:space="0" w:color="A6A6A6"/>
              <w:bottom w:val="single" w:sz="4" w:space="0" w:color="A6A6A6"/>
              <w:right w:val="single" w:sz="4" w:space="0" w:color="A6A6A6"/>
            </w:tcBorders>
            <w:shd w:val="clear" w:color="auto" w:fill="FFFFFF"/>
            <w:vAlign w:val="center"/>
          </w:tcPr>
          <w:p w14:paraId="55CC9F87" w14:textId="27F3E24B" w:rsidR="00EE66FD" w:rsidRPr="007C4D65" w:rsidRDefault="00EE66FD">
            <w:pPr>
              <w:numPr>
                <w:ilvl w:val="0"/>
                <w:numId w:val="112"/>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Number of cities </w:t>
            </w:r>
            <w:r w:rsidR="00FB6A4F" w:rsidRPr="007C4D65">
              <w:rPr>
                <w:rFonts w:asciiTheme="minorHAnsi" w:eastAsia="Calibri" w:hAnsiTheme="minorHAnsi" w:cstheme="minorHAnsi"/>
                <w:sz w:val="18"/>
                <w:szCs w:val="18"/>
                <w:lang w:eastAsia="en-US"/>
              </w:rPr>
              <w:t>which</w:t>
            </w:r>
            <w:r w:rsidRPr="007C4D65">
              <w:rPr>
                <w:rFonts w:asciiTheme="minorHAnsi" w:eastAsia="Calibri" w:hAnsiTheme="minorHAnsi" w:cstheme="minorHAnsi"/>
                <w:sz w:val="18"/>
                <w:szCs w:val="18"/>
                <w:lang w:eastAsia="en-US"/>
              </w:rPr>
              <w:t xml:space="preserve"> adopted </w:t>
            </w:r>
            <w:r w:rsidR="00FB6A4F"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concept of smart cities</w:t>
            </w:r>
          </w:p>
        </w:tc>
        <w:tc>
          <w:tcPr>
            <w:tcW w:w="126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610D2B7" w14:textId="1734F45D"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Only several </w:t>
            </w:r>
            <w:r w:rsidR="00FB6A4F" w:rsidRPr="007C4D65">
              <w:rPr>
                <w:rFonts w:asciiTheme="minorHAnsi" w:eastAsiaTheme="minorHAnsi" w:hAnsiTheme="minorHAnsi" w:cstheme="minorHAnsi"/>
                <w:sz w:val="18"/>
                <w:szCs w:val="18"/>
                <w:lang w:eastAsia="en-US"/>
              </w:rPr>
              <w:t>big</w:t>
            </w:r>
            <w:r w:rsidRPr="007C4D65">
              <w:rPr>
                <w:rFonts w:asciiTheme="minorHAnsi" w:eastAsiaTheme="minorHAnsi" w:hAnsiTheme="minorHAnsi" w:cstheme="minorHAnsi"/>
                <w:sz w:val="18"/>
                <w:szCs w:val="18"/>
                <w:lang w:eastAsia="en-US"/>
              </w:rPr>
              <w:t xml:space="preserve"> cities work on </w:t>
            </w:r>
            <w:r w:rsidR="00FB6A4F" w:rsidRPr="007C4D65">
              <w:rPr>
                <w:rFonts w:asciiTheme="minorHAnsi" w:eastAsiaTheme="minorHAnsi" w:hAnsiTheme="minorHAnsi" w:cstheme="minorHAnsi"/>
                <w:sz w:val="18"/>
                <w:szCs w:val="18"/>
                <w:lang w:eastAsia="en-US"/>
              </w:rPr>
              <w:t xml:space="preserve">the </w:t>
            </w:r>
            <w:r w:rsidRPr="007C4D65">
              <w:rPr>
                <w:rFonts w:asciiTheme="minorHAnsi" w:eastAsiaTheme="minorHAnsi" w:hAnsiTheme="minorHAnsi" w:cstheme="minorHAnsi"/>
                <w:sz w:val="18"/>
                <w:szCs w:val="18"/>
                <w:lang w:eastAsia="en-US"/>
              </w:rPr>
              <w:t>development of the smart city concept</w:t>
            </w:r>
          </w:p>
        </w:tc>
        <w:tc>
          <w:tcPr>
            <w:tcW w:w="13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E7073B2" w14:textId="05C8988F"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Smart city concept adopted for settlements of the</w:t>
            </w:r>
            <w:r w:rsidR="00FB6A4F" w:rsidRPr="007C4D65">
              <w:rPr>
                <w:rFonts w:asciiTheme="minorHAnsi" w:eastAsia="Calibri" w:hAnsiTheme="minorHAnsi" w:cstheme="minorHAnsi"/>
                <w:sz w:val="18"/>
                <w:szCs w:val="18"/>
                <w:lang w:eastAsia="en-US"/>
              </w:rPr>
              <w:t xml:space="preserve"> above</w:t>
            </w:r>
            <w:r w:rsidRPr="007C4D65">
              <w:rPr>
                <w:rFonts w:asciiTheme="minorHAnsi" w:eastAsia="Calibri" w:hAnsiTheme="minorHAnsi" w:cstheme="minorHAnsi"/>
                <w:sz w:val="18"/>
                <w:szCs w:val="18"/>
                <w:lang w:eastAsia="en-US"/>
              </w:rPr>
              <w:t xml:space="preserve"> size</w:t>
            </w:r>
            <w:r w:rsidR="00FB6A4F" w:rsidRPr="007C4D65">
              <w:rPr>
                <w:rFonts w:asciiTheme="minorHAnsi" w:eastAsia="Calibri" w:hAnsiTheme="minorHAnsi" w:cstheme="minorHAnsi"/>
                <w:sz w:val="18"/>
                <w:szCs w:val="18"/>
                <w:lang w:eastAsia="en-US"/>
              </w:rPr>
              <w:t xml:space="preserve"> by</w:t>
            </w:r>
            <w:r w:rsidRPr="007C4D65">
              <w:rPr>
                <w:rFonts w:asciiTheme="minorHAnsi" w:eastAsia="Calibri" w:hAnsiTheme="minorHAnsi" w:cstheme="minorHAnsi"/>
                <w:sz w:val="18"/>
                <w:szCs w:val="18"/>
                <w:lang w:eastAsia="en-US"/>
              </w:rPr>
              <w:t xml:space="preserve"> 2025, and is continuously implemented</w:t>
            </w:r>
          </w:p>
        </w:tc>
      </w:tr>
      <w:tr w:rsidR="00EE66FD" w:rsidRPr="007C4D65" w14:paraId="17035575"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0DE6506"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090" w:type="pct"/>
            <w:gridSpan w:val="2"/>
            <w:tcBorders>
              <w:top w:val="single" w:sz="4" w:space="0" w:color="A6A6A6"/>
              <w:left w:val="single" w:sz="4" w:space="0" w:color="A6A6A6"/>
              <w:bottom w:val="single" w:sz="4" w:space="0" w:color="A6A6A6"/>
              <w:right w:val="single" w:sz="4" w:space="0" w:color="A6A6A6"/>
            </w:tcBorders>
            <w:shd w:val="clear" w:color="auto" w:fill="FFFFFF"/>
            <w:vAlign w:val="center"/>
          </w:tcPr>
          <w:p w14:paraId="4ED66FD2" w14:textId="77777777" w:rsidR="00EE66FD" w:rsidRPr="007C4D65" w:rsidRDefault="00EE66FD">
            <w:pPr>
              <w:numPr>
                <w:ilvl w:val="0"/>
                <w:numId w:val="112"/>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the adoption of the plan</w:t>
            </w:r>
          </w:p>
        </w:tc>
        <w:tc>
          <w:tcPr>
            <w:tcW w:w="126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38CA08F" w14:textId="0B30CE10"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Insignificant share of hybrid/electric vehicles in institutions</w:t>
            </w:r>
            <w:r w:rsidR="00FB6A4F" w:rsidRPr="007C4D65">
              <w:rPr>
                <w:rFonts w:asciiTheme="minorHAnsi" w:eastAsiaTheme="minorHAnsi" w:hAnsiTheme="minorHAnsi" w:cstheme="minorHAnsi"/>
                <w:sz w:val="18"/>
                <w:szCs w:val="18"/>
                <w:lang w:eastAsia="en-US"/>
              </w:rPr>
              <w:t xml:space="preserve"> of the Federation of BiH</w:t>
            </w:r>
          </w:p>
        </w:tc>
        <w:tc>
          <w:tcPr>
            <w:tcW w:w="132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4F85C8D" w14:textId="77777777"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Plan for procurement of new vehicles adopted and implemented</w:t>
            </w:r>
          </w:p>
        </w:tc>
      </w:tr>
      <w:tr w:rsidR="00EE66FD" w:rsidRPr="007C4D65" w14:paraId="1CE51F6A"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5F220DF"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Effect on the development and contribution of the measure to the priority</w:t>
            </w:r>
          </w:p>
        </w:tc>
        <w:tc>
          <w:tcPr>
            <w:tcW w:w="3678" w:type="pct"/>
            <w:gridSpan w:val="4"/>
            <w:tcBorders>
              <w:top w:val="single" w:sz="4" w:space="0" w:color="A6A6A6"/>
              <w:left w:val="single" w:sz="4" w:space="0" w:color="A6A6A6"/>
              <w:bottom w:val="single" w:sz="4" w:space="0" w:color="A6A6A6"/>
              <w:right w:val="single" w:sz="4" w:space="0" w:color="A6A6A6"/>
            </w:tcBorders>
            <w:shd w:val="clear" w:color="auto" w:fill="FFFFFF"/>
            <w:vAlign w:val="center"/>
          </w:tcPr>
          <w:p w14:paraId="64E41421" w14:textId="06729B40" w:rsidR="00EE66FD" w:rsidRPr="007C4D65" w:rsidRDefault="00FB6A4F"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Reduced pollution and improved air quality in the Federation of BiH</w:t>
            </w:r>
          </w:p>
        </w:tc>
      </w:tr>
      <w:tr w:rsidR="00EE66FD" w:rsidRPr="007C4D65" w14:paraId="04C154EC"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CF2EECA" w14:textId="3C32F6A1"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Indicative financial projection, with specification of sources</w:t>
            </w:r>
          </w:p>
        </w:tc>
        <w:tc>
          <w:tcPr>
            <w:tcW w:w="3678" w:type="pct"/>
            <w:gridSpan w:val="4"/>
            <w:tcBorders>
              <w:top w:val="single" w:sz="4" w:space="0" w:color="A6A6A6"/>
              <w:left w:val="single" w:sz="4" w:space="0" w:color="A6A6A6"/>
              <w:bottom w:val="single" w:sz="4" w:space="0" w:color="A6A6A6"/>
              <w:right w:val="single" w:sz="4" w:space="0" w:color="A6A6A6"/>
            </w:tcBorders>
            <w:shd w:val="clear" w:color="auto" w:fill="FFFFFF"/>
            <w:vAlign w:val="center"/>
          </w:tcPr>
          <w:p w14:paraId="130F0F00" w14:textId="7FF0A173" w:rsidR="00FB6A4F" w:rsidRPr="007C4D65" w:rsidRDefault="00FB6A4F" w:rsidP="00FB6A4F">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323,854,576</w:t>
            </w:r>
          </w:p>
          <w:p w14:paraId="2EBF8796" w14:textId="2A05FC85" w:rsidR="00EE66FD" w:rsidRPr="007C4D65" w:rsidRDefault="00FB6A4F" w:rsidP="00FB6A4F">
            <w:pPr>
              <w:spacing w:before="40" w:after="40" w:line="276" w:lineRule="auto"/>
              <w:rPr>
                <w:rFonts w:asciiTheme="minorHAnsi" w:eastAsiaTheme="minorHAnsi" w:hAnsiTheme="minorHAnsi" w:cstheme="minorHAnsi"/>
                <w:bCs/>
                <w:sz w:val="18"/>
                <w:szCs w:val="18"/>
                <w:lang w:eastAsia="en-US"/>
              </w:rPr>
            </w:pPr>
            <w:r w:rsidRPr="007C4D65">
              <w:rPr>
                <w:rFonts w:asciiTheme="minorHAnsi" w:hAnsiTheme="minorHAnsi" w:cstheme="minorHAnsi"/>
                <w:sz w:val="18"/>
                <w:szCs w:val="18"/>
                <w:lang w:bidi="en-US"/>
              </w:rPr>
              <w:t xml:space="preserve">Source: 10% </w:t>
            </w:r>
            <w:r w:rsidR="000E401F" w:rsidRPr="007C4D65">
              <w:rPr>
                <w:rFonts w:asciiTheme="minorHAnsi" w:hAnsiTheme="minorHAnsi" w:cstheme="minorHAnsi"/>
                <w:sz w:val="18"/>
                <w:szCs w:val="18"/>
                <w:lang w:bidi="en-US"/>
              </w:rPr>
              <w:t>government budget</w:t>
            </w:r>
            <w:r w:rsidRPr="007C4D65">
              <w:rPr>
                <w:rFonts w:asciiTheme="minorHAnsi" w:hAnsiTheme="minorHAnsi" w:cstheme="minorHAnsi"/>
                <w:sz w:val="18"/>
                <w:szCs w:val="18"/>
                <w:lang w:bidi="en-US"/>
              </w:rPr>
              <w:t>, 90</w:t>
            </w:r>
            <w:proofErr w:type="gramStart"/>
            <w:r w:rsidRPr="007C4D65">
              <w:rPr>
                <w:rFonts w:asciiTheme="minorHAnsi" w:hAnsiTheme="minorHAnsi" w:cstheme="minorHAnsi"/>
                <w:sz w:val="18"/>
                <w:szCs w:val="18"/>
                <w:lang w:bidi="en-US"/>
              </w:rPr>
              <w:t>%  combination</w:t>
            </w:r>
            <w:proofErr w:type="gramEnd"/>
            <w:r w:rsidRPr="007C4D65">
              <w:rPr>
                <w:rFonts w:asciiTheme="minorHAnsi" w:hAnsiTheme="minorHAnsi" w:cstheme="minorHAnsi"/>
                <w:sz w:val="18"/>
                <w:szCs w:val="18"/>
                <w:lang w:bidi="en-US"/>
              </w:rPr>
              <w:t xml:space="preserve"> – loans, funds from EU and international donors</w:t>
            </w:r>
          </w:p>
        </w:tc>
      </w:tr>
      <w:tr w:rsidR="00EE66FD" w:rsidRPr="007C4D65" w14:paraId="450DF413" w14:textId="77777777" w:rsidTr="009878D7">
        <w:trPr>
          <w:gridAfter w:val="3"/>
          <w:wAfter w:w="3096" w:type="pct"/>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7E38388"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Period of the implementation of the measure</w:t>
            </w:r>
          </w:p>
        </w:tc>
        <w:tc>
          <w:tcPr>
            <w:tcW w:w="582" w:type="pct"/>
            <w:tcBorders>
              <w:top w:val="single" w:sz="4" w:space="0" w:color="A6A6A6"/>
              <w:left w:val="single" w:sz="4" w:space="0" w:color="A6A6A6"/>
              <w:bottom w:val="single" w:sz="4" w:space="0" w:color="A6A6A6"/>
            </w:tcBorders>
            <w:shd w:val="clear" w:color="auto" w:fill="FFFFFF"/>
            <w:vAlign w:val="center"/>
          </w:tcPr>
          <w:p w14:paraId="3E39A8CF" w14:textId="04B77622"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2022 – </w:t>
            </w:r>
            <w:r w:rsidR="00FB6A4F" w:rsidRPr="007C4D65">
              <w:rPr>
                <w:rFonts w:asciiTheme="minorHAnsi" w:eastAsiaTheme="minorHAnsi" w:hAnsiTheme="minorHAnsi" w:cstheme="minorHAnsi"/>
                <w:sz w:val="18"/>
                <w:szCs w:val="18"/>
                <w:lang w:eastAsia="en-US"/>
              </w:rPr>
              <w:t>2</w:t>
            </w:r>
            <w:r w:rsidRPr="007C4D65">
              <w:rPr>
                <w:rFonts w:asciiTheme="minorHAnsi" w:eastAsiaTheme="minorHAnsi" w:hAnsiTheme="minorHAnsi" w:cstheme="minorHAnsi"/>
                <w:sz w:val="18"/>
                <w:szCs w:val="18"/>
                <w:lang w:eastAsia="en-US"/>
              </w:rPr>
              <w:t>032</w:t>
            </w:r>
          </w:p>
        </w:tc>
      </w:tr>
      <w:tr w:rsidR="00EE66FD" w:rsidRPr="007C4D65" w14:paraId="2F0F1214"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35965CD" w14:textId="7358D70F" w:rsidR="00EE66FD" w:rsidRPr="007C4D65" w:rsidRDefault="009E313F"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Pr>
                <w:rFonts w:asciiTheme="minorHAnsi" w:eastAsiaTheme="minorHAnsi" w:hAnsiTheme="minorHAnsi" w:cstheme="minorHAnsi"/>
                <w:b/>
                <w:bCs/>
                <w:color w:val="FFFFFF" w:themeColor="background1"/>
                <w:sz w:val="18"/>
                <w:szCs w:val="18"/>
                <w:lang w:eastAsia="en-US"/>
              </w:rPr>
              <w:t>I</w:t>
            </w:r>
            <w:r w:rsidR="00EE66FD" w:rsidRPr="007C4D65">
              <w:rPr>
                <w:rFonts w:asciiTheme="minorHAnsi" w:eastAsiaTheme="minorHAnsi" w:hAnsiTheme="minorHAnsi" w:cstheme="minorHAnsi"/>
                <w:b/>
                <w:bCs/>
                <w:color w:val="FFFFFF" w:themeColor="background1"/>
                <w:sz w:val="18"/>
                <w:szCs w:val="18"/>
                <w:lang w:eastAsia="en-US"/>
              </w:rPr>
              <w:t>nstitution responsible for coordination of the implementation of the measure</w:t>
            </w:r>
          </w:p>
        </w:tc>
        <w:tc>
          <w:tcPr>
            <w:tcW w:w="3678" w:type="pct"/>
            <w:gridSpan w:val="4"/>
            <w:tcBorders>
              <w:top w:val="single" w:sz="4" w:space="0" w:color="A6A6A6"/>
              <w:left w:val="single" w:sz="4" w:space="0" w:color="A6A6A6"/>
              <w:bottom w:val="single" w:sz="4" w:space="0" w:color="A6A6A6"/>
              <w:right w:val="single" w:sz="4" w:space="0" w:color="A6A6A6"/>
            </w:tcBorders>
            <w:shd w:val="clear" w:color="auto" w:fill="FFFFFF"/>
            <w:vAlign w:val="center"/>
          </w:tcPr>
          <w:p w14:paraId="57A34EB3" w14:textId="7A4028F8" w:rsidR="00EE66FD" w:rsidRPr="007C4D65" w:rsidRDefault="00FB6A4F"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FMET</w:t>
            </w:r>
          </w:p>
        </w:tc>
      </w:tr>
      <w:tr w:rsidR="00EE66FD" w:rsidRPr="007C4D65" w14:paraId="5E335319"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0355611"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Implementing institutions</w:t>
            </w:r>
          </w:p>
        </w:tc>
        <w:tc>
          <w:tcPr>
            <w:tcW w:w="3678" w:type="pct"/>
            <w:gridSpan w:val="4"/>
            <w:tcBorders>
              <w:top w:val="single" w:sz="4" w:space="0" w:color="A6A6A6"/>
              <w:left w:val="single" w:sz="4" w:space="0" w:color="A6A6A6"/>
              <w:bottom w:val="single" w:sz="4" w:space="0" w:color="A6A6A6"/>
              <w:right w:val="single" w:sz="4" w:space="0" w:color="A6A6A6"/>
            </w:tcBorders>
            <w:shd w:val="clear" w:color="auto" w:fill="FFFFFF"/>
            <w:vAlign w:val="center"/>
          </w:tcPr>
          <w:p w14:paraId="4933AAFC" w14:textId="629ACEF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Ministry of Physical Planning, FMEMI, Ministry of Transport and Communications, responsible cantonal ministries, Environmental Protection Fund, institutions</w:t>
            </w:r>
            <w:r w:rsidR="00FB6A4F" w:rsidRPr="007C4D65">
              <w:rPr>
                <w:rFonts w:asciiTheme="minorHAnsi" w:eastAsiaTheme="minorHAnsi" w:hAnsiTheme="minorHAnsi" w:cstheme="minorHAnsi"/>
                <w:sz w:val="18"/>
                <w:szCs w:val="18"/>
                <w:lang w:eastAsia="en-US"/>
              </w:rPr>
              <w:t xml:space="preserve"> of the Federation of BiH</w:t>
            </w:r>
            <w:r w:rsidRPr="007C4D65">
              <w:rPr>
                <w:rFonts w:asciiTheme="minorHAnsi" w:eastAsiaTheme="minorHAnsi" w:hAnsiTheme="minorHAnsi" w:cstheme="minorHAnsi"/>
                <w:sz w:val="18"/>
                <w:szCs w:val="18"/>
                <w:lang w:eastAsia="en-US"/>
              </w:rPr>
              <w:t>, inspections</w:t>
            </w:r>
          </w:p>
        </w:tc>
      </w:tr>
      <w:tr w:rsidR="00EE66FD" w:rsidRPr="007C4D65" w14:paraId="75690F5A"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207BFD8" w14:textId="497B461F"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groups</w:t>
            </w:r>
          </w:p>
        </w:tc>
        <w:tc>
          <w:tcPr>
            <w:tcW w:w="3678" w:type="pct"/>
            <w:gridSpan w:val="4"/>
            <w:tcBorders>
              <w:top w:val="single" w:sz="4" w:space="0" w:color="A6A6A6"/>
              <w:left w:val="single" w:sz="4" w:space="0" w:color="A6A6A6"/>
              <w:bottom w:val="single" w:sz="4" w:space="0" w:color="A6A6A6"/>
              <w:right w:val="single" w:sz="4" w:space="0" w:color="A6A6A6"/>
            </w:tcBorders>
            <w:shd w:val="clear" w:color="auto" w:fill="FFFFFF"/>
            <w:vAlign w:val="center"/>
          </w:tcPr>
          <w:p w14:paraId="2E57B289" w14:textId="50924ABB"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Institutions for spatial planning, companies for district heating systems, importers and </w:t>
            </w:r>
            <w:r w:rsidR="00FB6A4F" w:rsidRPr="007C4D65">
              <w:rPr>
                <w:rFonts w:asciiTheme="minorHAnsi" w:eastAsiaTheme="minorHAnsi" w:hAnsiTheme="minorHAnsi" w:cstheme="minorHAnsi"/>
                <w:sz w:val="18"/>
                <w:szCs w:val="18"/>
                <w:lang w:eastAsia="en-US"/>
              </w:rPr>
              <w:t>retail shops</w:t>
            </w:r>
            <w:r w:rsidRPr="007C4D65">
              <w:rPr>
                <w:rFonts w:asciiTheme="minorHAnsi" w:eastAsiaTheme="minorHAnsi" w:hAnsiTheme="minorHAnsi" w:cstheme="minorHAnsi"/>
                <w:sz w:val="18"/>
                <w:szCs w:val="18"/>
                <w:lang w:eastAsia="en-US"/>
              </w:rPr>
              <w:t xml:space="preserve"> of </w:t>
            </w:r>
            <w:r w:rsidR="001A31CC" w:rsidRPr="007C4D65">
              <w:rPr>
                <w:rFonts w:asciiTheme="minorHAnsi" w:eastAsiaTheme="minorHAnsi" w:hAnsiTheme="minorHAnsi" w:cstheme="minorHAnsi"/>
                <w:sz w:val="18"/>
                <w:szCs w:val="18"/>
                <w:lang w:eastAsia="en-US"/>
              </w:rPr>
              <w:t>household stoves</w:t>
            </w:r>
            <w:r w:rsidRPr="007C4D65">
              <w:rPr>
                <w:rFonts w:asciiTheme="minorHAnsi" w:eastAsiaTheme="minorHAnsi" w:hAnsiTheme="minorHAnsi" w:cstheme="minorHAnsi"/>
                <w:sz w:val="18"/>
                <w:szCs w:val="18"/>
                <w:lang w:eastAsia="en-US"/>
              </w:rPr>
              <w:t xml:space="preserve">/boilers, inspections, those who sell and distribute coal and </w:t>
            </w:r>
            <w:proofErr w:type="gramStart"/>
            <w:r w:rsidRPr="007C4D65">
              <w:rPr>
                <w:rFonts w:asciiTheme="minorHAnsi" w:eastAsiaTheme="minorHAnsi" w:hAnsiTheme="minorHAnsi" w:cstheme="minorHAnsi"/>
                <w:sz w:val="18"/>
                <w:szCs w:val="18"/>
                <w:lang w:eastAsia="en-US"/>
              </w:rPr>
              <w:t>fire wood</w:t>
            </w:r>
            <w:proofErr w:type="gramEnd"/>
            <w:r w:rsidRPr="007C4D65">
              <w:rPr>
                <w:rFonts w:asciiTheme="minorHAnsi" w:eastAsiaTheme="minorHAnsi" w:hAnsiTheme="minorHAnsi" w:cstheme="minorHAnsi"/>
                <w:sz w:val="18"/>
                <w:szCs w:val="18"/>
                <w:lang w:eastAsia="en-US"/>
              </w:rPr>
              <w:t>, importers of new and used vehicles, institutions</w:t>
            </w:r>
            <w:r w:rsidR="00FB6A4F" w:rsidRPr="007C4D65">
              <w:rPr>
                <w:rFonts w:asciiTheme="minorHAnsi" w:eastAsiaTheme="minorHAnsi" w:hAnsiTheme="minorHAnsi" w:cstheme="minorHAnsi"/>
                <w:sz w:val="18"/>
                <w:szCs w:val="18"/>
                <w:lang w:eastAsia="en-US"/>
              </w:rPr>
              <w:t xml:space="preserve"> of the Federation of BiH</w:t>
            </w:r>
          </w:p>
        </w:tc>
      </w:tr>
    </w:tbl>
    <w:p w14:paraId="5A7EEAE0" w14:textId="77777777" w:rsidR="00EE66FD" w:rsidRPr="007C4D65" w:rsidRDefault="00EE66FD" w:rsidP="00EE66FD">
      <w:pPr>
        <w:spacing w:line="276" w:lineRule="auto"/>
        <w:rPr>
          <w:rFonts w:asciiTheme="minorHAnsi" w:eastAsiaTheme="minorHAnsi" w:hAnsiTheme="minorHAnsi" w:cstheme="minorHAnsi"/>
          <w:sz w:val="22"/>
          <w:szCs w:val="22"/>
          <w:lang w:eastAsia="en-US"/>
        </w:rPr>
      </w:pPr>
    </w:p>
    <w:tbl>
      <w:tblPr>
        <w:tblW w:w="48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1"/>
        <w:gridCol w:w="3066"/>
        <w:gridCol w:w="3393"/>
        <w:gridCol w:w="3390"/>
      </w:tblGrid>
      <w:tr w:rsidR="00EE66FD" w:rsidRPr="007C4D65" w14:paraId="6BAC9D81" w14:textId="77777777" w:rsidTr="00BC37DE">
        <w:trPr>
          <w:trHeight w:val="567"/>
          <w:jc w:val="center"/>
        </w:trPr>
        <w:tc>
          <w:tcPr>
            <w:tcW w:w="1322" w:type="pct"/>
            <w:shd w:val="clear" w:color="auto" w:fill="009D73"/>
            <w:vAlign w:val="center"/>
          </w:tcPr>
          <w:p w14:paraId="520584E4"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Link with strategic goal</w:t>
            </w:r>
          </w:p>
        </w:tc>
        <w:tc>
          <w:tcPr>
            <w:tcW w:w="3678" w:type="pct"/>
            <w:gridSpan w:val="3"/>
            <w:shd w:val="clear" w:color="auto" w:fill="FFFFFF"/>
            <w:vAlign w:val="center"/>
          </w:tcPr>
          <w:p w14:paraId="38C7FFC9" w14:textId="416A3A64" w:rsidR="00EE66FD" w:rsidRPr="007C4D65" w:rsidRDefault="00EE66FD" w:rsidP="00EE66FD">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4 </w:t>
            </w:r>
            <w:r w:rsidR="00FE2B6F" w:rsidRPr="007C4D65">
              <w:rPr>
                <w:rFonts w:asciiTheme="minorHAnsi" w:eastAsia="Calibri" w:hAnsiTheme="minorHAnsi" w:cstheme="minorHAnsi"/>
                <w:b/>
                <w:bCs/>
                <w:sz w:val="18"/>
                <w:szCs w:val="18"/>
                <w:lang w:eastAsia="en-US"/>
              </w:rPr>
              <w:t>Climate change mitigation and adaptation and improvement of air quality</w:t>
            </w:r>
          </w:p>
        </w:tc>
      </w:tr>
      <w:tr w:rsidR="00EE66FD" w:rsidRPr="007C4D65" w14:paraId="59330B5B" w14:textId="77777777" w:rsidTr="00BC37DE">
        <w:trPr>
          <w:trHeight w:val="567"/>
          <w:jc w:val="center"/>
        </w:trPr>
        <w:tc>
          <w:tcPr>
            <w:tcW w:w="1322" w:type="pct"/>
            <w:shd w:val="clear" w:color="auto" w:fill="009D73"/>
            <w:vAlign w:val="center"/>
          </w:tcPr>
          <w:p w14:paraId="582355BF"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Priority</w:t>
            </w:r>
          </w:p>
        </w:tc>
        <w:tc>
          <w:tcPr>
            <w:tcW w:w="3678" w:type="pct"/>
            <w:gridSpan w:val="3"/>
            <w:shd w:val="clear" w:color="auto" w:fill="FFFFFF"/>
            <w:vAlign w:val="center"/>
          </w:tcPr>
          <w:p w14:paraId="5E9D7234" w14:textId="187C88BC" w:rsidR="00EE66FD" w:rsidRPr="007C4D65" w:rsidRDefault="00EE66FD" w:rsidP="00EE66FD">
            <w:pPr>
              <w:spacing w:before="40" w:after="40" w:line="276" w:lineRule="auto"/>
              <w:rPr>
                <w:rFonts w:asciiTheme="minorHAnsi" w:hAnsiTheme="minorHAnsi" w:cstheme="minorHAnsi"/>
                <w:b/>
                <w:bCs/>
                <w:sz w:val="18"/>
                <w:szCs w:val="18"/>
                <w:lang w:eastAsia="en-US"/>
              </w:rPr>
            </w:pPr>
            <w:r w:rsidRPr="007C4D65">
              <w:rPr>
                <w:rFonts w:asciiTheme="minorHAnsi" w:hAnsiTheme="minorHAnsi" w:cstheme="minorHAnsi"/>
                <w:b/>
                <w:bCs/>
                <w:sz w:val="18"/>
                <w:szCs w:val="18"/>
                <w:lang w:eastAsia="en-US"/>
              </w:rPr>
              <w:t xml:space="preserve">4.2 </w:t>
            </w:r>
            <w:r w:rsidR="00FB6A4F" w:rsidRPr="007C4D65">
              <w:rPr>
                <w:rFonts w:asciiTheme="minorHAnsi" w:hAnsiTheme="minorHAnsi" w:cstheme="minorHAnsi"/>
                <w:b/>
                <w:bCs/>
                <w:sz w:val="18"/>
                <w:szCs w:val="18"/>
                <w:lang w:eastAsia="en-US"/>
              </w:rPr>
              <w:t xml:space="preserve">Upgrading the air quality management system to support </w:t>
            </w:r>
            <w:r w:rsidR="009F16BA" w:rsidRPr="007C4D65">
              <w:rPr>
                <w:rFonts w:asciiTheme="minorHAnsi" w:hAnsiTheme="minorHAnsi" w:cstheme="minorHAnsi"/>
                <w:b/>
                <w:bCs/>
                <w:sz w:val="18"/>
                <w:szCs w:val="18"/>
                <w:lang w:eastAsia="en-US"/>
              </w:rPr>
              <w:t xml:space="preserve">strategic decision-making  </w:t>
            </w:r>
            <w:r w:rsidR="00FB6A4F" w:rsidRPr="007C4D65">
              <w:rPr>
                <w:rFonts w:asciiTheme="minorHAnsi" w:hAnsiTheme="minorHAnsi" w:cstheme="minorHAnsi"/>
                <w:b/>
                <w:bCs/>
                <w:sz w:val="18"/>
                <w:szCs w:val="18"/>
                <w:lang w:eastAsia="en-US"/>
              </w:rPr>
              <w:t xml:space="preserve"> and public information on air quality and emissions</w:t>
            </w:r>
          </w:p>
        </w:tc>
      </w:tr>
      <w:tr w:rsidR="00EE66FD" w:rsidRPr="007C4D65" w14:paraId="4B658421" w14:textId="77777777" w:rsidTr="00BC37DE">
        <w:trPr>
          <w:trHeight w:val="567"/>
          <w:jc w:val="center"/>
        </w:trPr>
        <w:tc>
          <w:tcPr>
            <w:tcW w:w="1322" w:type="pct"/>
            <w:shd w:val="clear" w:color="auto" w:fill="009D73"/>
            <w:vAlign w:val="center"/>
          </w:tcPr>
          <w:p w14:paraId="1647936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Title of the measure</w:t>
            </w:r>
          </w:p>
        </w:tc>
        <w:tc>
          <w:tcPr>
            <w:tcW w:w="3678" w:type="pct"/>
            <w:gridSpan w:val="3"/>
            <w:shd w:val="clear" w:color="auto" w:fill="FFFFFF"/>
            <w:vAlign w:val="center"/>
          </w:tcPr>
          <w:p w14:paraId="52EF8F9E" w14:textId="2783534B" w:rsidR="00EE66FD" w:rsidRPr="007C4D65" w:rsidRDefault="00EE66FD" w:rsidP="00EE66FD">
            <w:pPr>
              <w:spacing w:before="40" w:after="40" w:line="276" w:lineRule="auto"/>
              <w:rPr>
                <w:rFonts w:asciiTheme="minorHAnsi" w:eastAsia="Calibri" w:hAnsiTheme="minorHAnsi" w:cstheme="minorHAnsi"/>
                <w:b/>
                <w:sz w:val="18"/>
                <w:szCs w:val="18"/>
                <w:lang w:eastAsia="en-US"/>
              </w:rPr>
            </w:pPr>
            <w:r w:rsidRPr="007C4D65">
              <w:rPr>
                <w:rFonts w:asciiTheme="minorHAnsi" w:eastAsia="Calibri" w:hAnsiTheme="minorHAnsi" w:cstheme="minorHAnsi"/>
                <w:b/>
                <w:bCs/>
                <w:sz w:val="18"/>
                <w:szCs w:val="18"/>
                <w:lang w:eastAsia="en-US"/>
              </w:rPr>
              <w:t xml:space="preserve">4.2.1 </w:t>
            </w:r>
            <w:r w:rsidR="00FB6A4F" w:rsidRPr="007C4D65">
              <w:rPr>
                <w:rFonts w:asciiTheme="minorHAnsi" w:eastAsia="Calibri" w:hAnsiTheme="minorHAnsi" w:cstheme="minorHAnsi"/>
                <w:b/>
                <w:bCs/>
                <w:sz w:val="18"/>
                <w:szCs w:val="18"/>
                <w:lang w:eastAsia="en-US"/>
              </w:rPr>
              <w:t>Improvement of</w:t>
            </w:r>
            <w:r w:rsidRPr="007C4D65">
              <w:rPr>
                <w:rFonts w:asciiTheme="minorHAnsi" w:eastAsia="Calibri" w:hAnsiTheme="minorHAnsi" w:cstheme="minorHAnsi"/>
                <w:b/>
                <w:bCs/>
                <w:sz w:val="18"/>
                <w:szCs w:val="18"/>
                <w:lang w:eastAsia="en-US"/>
              </w:rPr>
              <w:t xml:space="preserve"> the air quality monitoring system</w:t>
            </w:r>
          </w:p>
        </w:tc>
      </w:tr>
      <w:tr w:rsidR="00EE66FD" w:rsidRPr="007C4D65" w14:paraId="71913142" w14:textId="77777777" w:rsidTr="00BC37DE">
        <w:trPr>
          <w:trHeight w:val="567"/>
          <w:jc w:val="center"/>
        </w:trPr>
        <w:tc>
          <w:tcPr>
            <w:tcW w:w="1322" w:type="pct"/>
            <w:shd w:val="clear" w:color="auto" w:fill="009D73"/>
            <w:vAlign w:val="center"/>
          </w:tcPr>
          <w:p w14:paraId="108AB6C4"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Description of the measure with the general areas of intervention</w:t>
            </w:r>
          </w:p>
        </w:tc>
        <w:tc>
          <w:tcPr>
            <w:tcW w:w="3678" w:type="pct"/>
            <w:gridSpan w:val="3"/>
            <w:shd w:val="clear" w:color="auto" w:fill="FFFFFF"/>
            <w:vAlign w:val="center"/>
          </w:tcPr>
          <w:p w14:paraId="34922956" w14:textId="35443D23"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The aim of this measure is to cover the entire territory</w:t>
            </w:r>
            <w:r w:rsidR="00DA0608" w:rsidRPr="007C4D65">
              <w:rPr>
                <w:rFonts w:asciiTheme="minorHAnsi" w:eastAsia="Calibri" w:hAnsiTheme="minorHAnsi" w:cstheme="minorHAnsi"/>
                <w:sz w:val="18"/>
                <w:szCs w:val="18"/>
                <w:lang w:eastAsia="en-US"/>
              </w:rPr>
              <w:t xml:space="preserve"> of the Federation of BiH</w:t>
            </w:r>
            <w:r w:rsidRPr="007C4D65">
              <w:rPr>
                <w:rFonts w:asciiTheme="minorHAnsi" w:eastAsia="Calibri" w:hAnsiTheme="minorHAnsi" w:cstheme="minorHAnsi"/>
                <w:sz w:val="18"/>
                <w:szCs w:val="18"/>
                <w:lang w:eastAsia="en-US"/>
              </w:rPr>
              <w:t xml:space="preserve"> with </w:t>
            </w:r>
            <w:r w:rsidR="00DA0608" w:rsidRPr="007C4D65">
              <w:rPr>
                <w:rFonts w:asciiTheme="minorHAnsi" w:eastAsia="Calibri" w:hAnsiTheme="minorHAnsi" w:cstheme="minorHAnsi"/>
                <w:sz w:val="18"/>
                <w:szCs w:val="18"/>
                <w:lang w:eastAsia="en-US"/>
              </w:rPr>
              <w:t>the</w:t>
            </w:r>
            <w:r w:rsidRPr="007C4D65">
              <w:rPr>
                <w:rFonts w:asciiTheme="minorHAnsi" w:eastAsia="Calibri" w:hAnsiTheme="minorHAnsi" w:cstheme="minorHAnsi"/>
                <w:sz w:val="18"/>
                <w:szCs w:val="18"/>
                <w:lang w:eastAsia="en-US"/>
              </w:rPr>
              <w:t xml:space="preserve"> network of measuring stations, </w:t>
            </w:r>
            <w:r w:rsidR="00DA0608" w:rsidRPr="007C4D65">
              <w:rPr>
                <w:rFonts w:asciiTheme="minorHAnsi" w:eastAsia="Calibri" w:hAnsiTheme="minorHAnsi" w:cstheme="minorHAnsi"/>
                <w:sz w:val="18"/>
                <w:szCs w:val="18"/>
                <w:lang w:eastAsia="en-US"/>
              </w:rPr>
              <w:t xml:space="preserve">and to </w:t>
            </w:r>
            <w:r w:rsidRPr="007C4D65">
              <w:rPr>
                <w:rFonts w:asciiTheme="minorHAnsi" w:eastAsia="Calibri" w:hAnsiTheme="minorHAnsi" w:cstheme="minorHAnsi"/>
                <w:sz w:val="18"/>
                <w:szCs w:val="18"/>
                <w:lang w:eastAsia="en-US"/>
              </w:rPr>
              <w:t xml:space="preserve">strengthen </w:t>
            </w:r>
            <w:r w:rsidR="00DA0608" w:rsidRPr="007C4D65">
              <w:rPr>
                <w:rFonts w:asciiTheme="minorHAnsi" w:eastAsia="Calibri" w:hAnsiTheme="minorHAnsi" w:cstheme="minorHAnsi"/>
                <w:sz w:val="18"/>
                <w:szCs w:val="18"/>
                <w:lang w:eastAsia="en-US"/>
              </w:rPr>
              <w:t>the capacity</w:t>
            </w:r>
            <w:r w:rsidRPr="007C4D65">
              <w:rPr>
                <w:rFonts w:asciiTheme="minorHAnsi" w:eastAsia="Calibri" w:hAnsiTheme="minorHAnsi" w:cstheme="minorHAnsi"/>
                <w:sz w:val="18"/>
                <w:szCs w:val="18"/>
                <w:lang w:eastAsia="en-US"/>
              </w:rPr>
              <w:t xml:space="preserve"> of the Hydrometeorological Institute</w:t>
            </w:r>
            <w:r w:rsidR="00DA0608" w:rsidRPr="007C4D65">
              <w:rPr>
                <w:rFonts w:asciiTheme="minorHAnsi" w:eastAsia="Calibri" w:hAnsiTheme="minorHAnsi" w:cstheme="minorHAnsi"/>
                <w:sz w:val="18"/>
                <w:szCs w:val="18"/>
                <w:lang w:eastAsia="en-US"/>
              </w:rPr>
              <w:t xml:space="preserve"> of the Federation</w:t>
            </w:r>
            <w:r w:rsidRPr="007C4D65">
              <w:rPr>
                <w:rFonts w:asciiTheme="minorHAnsi" w:eastAsia="Calibri" w:hAnsiTheme="minorHAnsi" w:cstheme="minorHAnsi"/>
                <w:sz w:val="18"/>
                <w:szCs w:val="18"/>
                <w:lang w:eastAsia="en-US"/>
              </w:rPr>
              <w:t xml:space="preserve"> </w:t>
            </w:r>
            <w:r w:rsidR="00DA0608" w:rsidRPr="007C4D65">
              <w:rPr>
                <w:rFonts w:asciiTheme="minorHAnsi" w:eastAsia="Calibri" w:hAnsiTheme="minorHAnsi" w:cstheme="minorHAnsi"/>
                <w:sz w:val="18"/>
                <w:szCs w:val="18"/>
                <w:lang w:eastAsia="en-US"/>
              </w:rPr>
              <w:t>to better</w:t>
            </w:r>
            <w:r w:rsidRPr="007C4D65">
              <w:rPr>
                <w:rFonts w:asciiTheme="minorHAnsi" w:eastAsia="Calibri" w:hAnsiTheme="minorHAnsi" w:cstheme="minorHAnsi"/>
                <w:sz w:val="18"/>
                <w:szCs w:val="18"/>
                <w:lang w:eastAsia="en-US"/>
              </w:rPr>
              <w:t xml:space="preserve"> manag</w:t>
            </w:r>
            <w:r w:rsidR="00DA0608" w:rsidRPr="007C4D65">
              <w:rPr>
                <w:rFonts w:asciiTheme="minorHAnsi" w:eastAsia="Calibri" w:hAnsiTheme="minorHAnsi" w:cstheme="minorHAnsi"/>
                <w:sz w:val="18"/>
                <w:szCs w:val="18"/>
                <w:lang w:eastAsia="en-US"/>
              </w:rPr>
              <w:t>e</w:t>
            </w:r>
            <w:r w:rsidRPr="007C4D65">
              <w:rPr>
                <w:rFonts w:asciiTheme="minorHAnsi" w:eastAsia="Calibri" w:hAnsiTheme="minorHAnsi" w:cstheme="minorHAnsi"/>
                <w:sz w:val="18"/>
                <w:szCs w:val="18"/>
                <w:lang w:eastAsia="en-US"/>
              </w:rPr>
              <w:t xml:space="preserve"> the network of stations and report on the values </w:t>
            </w:r>
            <w:r w:rsidR="00DA0608" w:rsidRPr="007C4D65">
              <w:rPr>
                <w:rFonts w:asciiTheme="minorHAnsi" w:eastAsia="Calibri" w:hAnsiTheme="minorHAnsi" w:cstheme="minorHAnsi"/>
                <w:sz w:val="18"/>
                <w:szCs w:val="18"/>
                <w:lang w:eastAsia="en-US"/>
              </w:rPr>
              <w:t xml:space="preserve">measured </w:t>
            </w:r>
            <w:r w:rsidRPr="007C4D65">
              <w:rPr>
                <w:rFonts w:asciiTheme="minorHAnsi" w:eastAsia="Calibri" w:hAnsiTheme="minorHAnsi" w:cstheme="minorHAnsi"/>
                <w:sz w:val="18"/>
                <w:szCs w:val="18"/>
                <w:lang w:eastAsia="en-US"/>
              </w:rPr>
              <w:t xml:space="preserve">so that the obtained results </w:t>
            </w:r>
            <w:r w:rsidR="00DA0608" w:rsidRPr="007C4D65">
              <w:rPr>
                <w:rFonts w:asciiTheme="minorHAnsi" w:eastAsia="Calibri" w:hAnsiTheme="minorHAnsi" w:cstheme="minorHAnsi"/>
                <w:sz w:val="18"/>
                <w:szCs w:val="18"/>
                <w:lang w:eastAsia="en-US"/>
              </w:rPr>
              <w:t>c</w:t>
            </w:r>
            <w:r w:rsidRPr="007C4D65">
              <w:rPr>
                <w:rFonts w:asciiTheme="minorHAnsi" w:eastAsia="Calibri" w:hAnsiTheme="minorHAnsi" w:cstheme="minorHAnsi"/>
                <w:sz w:val="18"/>
                <w:szCs w:val="18"/>
                <w:lang w:eastAsia="en-US"/>
              </w:rPr>
              <w:t>ould be used for spatial planning and design of rehabilitation plans</w:t>
            </w:r>
            <w:r w:rsidR="00DA0608" w:rsidRPr="007C4D65">
              <w:rPr>
                <w:rFonts w:asciiTheme="minorHAnsi" w:eastAsia="Calibri" w:hAnsiTheme="minorHAnsi" w:cstheme="minorHAnsi"/>
                <w:sz w:val="18"/>
                <w:szCs w:val="18"/>
                <w:lang w:eastAsia="en-US"/>
              </w:rPr>
              <w:t xml:space="preserve"> to a greater extent</w:t>
            </w:r>
            <w:r w:rsidRPr="007C4D65">
              <w:rPr>
                <w:rFonts w:asciiTheme="minorHAnsi" w:eastAsia="Calibri" w:hAnsiTheme="minorHAnsi" w:cstheme="minorHAnsi"/>
                <w:sz w:val="18"/>
                <w:szCs w:val="18"/>
                <w:lang w:eastAsia="en-US"/>
              </w:rPr>
              <w:t>.</w:t>
            </w:r>
          </w:p>
          <w:p w14:paraId="6648A18E" w14:textId="059E536E" w:rsidR="00EE66FD" w:rsidRPr="007C4D65" w:rsidRDefault="009878D7"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Calibri" w:hAnsiTheme="minorHAnsi" w:cstheme="minorHAnsi"/>
                <w:sz w:val="18"/>
                <w:szCs w:val="18"/>
                <w:lang w:eastAsia="en-US"/>
              </w:rPr>
              <w:t>General</w:t>
            </w:r>
            <w:r w:rsidR="00EE66FD" w:rsidRPr="007C4D65">
              <w:rPr>
                <w:rFonts w:asciiTheme="minorHAnsi" w:eastAsia="Calibri" w:hAnsiTheme="minorHAnsi" w:cstheme="minorHAnsi"/>
                <w:sz w:val="18"/>
                <w:szCs w:val="18"/>
                <w:lang w:eastAsia="en-US"/>
              </w:rPr>
              <w:t xml:space="preserve"> areas of intervention are:</w:t>
            </w:r>
          </w:p>
          <w:p w14:paraId="0B6AB236" w14:textId="04D69B2B" w:rsidR="00EE66FD" w:rsidRPr="007C4D65" w:rsidRDefault="00EE66FD" w:rsidP="00EE66FD">
            <w:pPr>
              <w:spacing w:before="40" w:after="40" w:line="276" w:lineRule="auto"/>
              <w:ind w:left="180" w:hanging="180"/>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a. Preparing a study (plan) of </w:t>
            </w:r>
            <w:r w:rsidR="00DA0608" w:rsidRPr="007C4D65">
              <w:rPr>
                <w:rFonts w:asciiTheme="minorHAnsi" w:eastAsia="Calibri" w:hAnsiTheme="minorHAnsi" w:cstheme="minorHAnsi"/>
                <w:sz w:val="18"/>
                <w:szCs w:val="18"/>
                <w:lang w:eastAsia="en-US"/>
              </w:rPr>
              <w:t>the</w:t>
            </w:r>
            <w:r w:rsidRPr="007C4D65">
              <w:rPr>
                <w:rFonts w:asciiTheme="minorHAnsi" w:eastAsia="Calibri" w:hAnsiTheme="minorHAnsi" w:cstheme="minorHAnsi"/>
                <w:sz w:val="18"/>
                <w:szCs w:val="18"/>
                <w:lang w:eastAsia="en-US"/>
              </w:rPr>
              <w:t xml:space="preserve"> measuring stations network (including the creation of AQ assessment system, territorial division into AQ management zones), also </w:t>
            </w:r>
            <w:r w:rsidR="00DA0608" w:rsidRPr="007C4D65">
              <w:rPr>
                <w:rFonts w:asciiTheme="minorHAnsi" w:eastAsia="Calibri" w:hAnsiTheme="minorHAnsi" w:cstheme="minorHAnsi"/>
                <w:sz w:val="18"/>
                <w:szCs w:val="18"/>
                <w:lang w:eastAsia="en-US"/>
              </w:rPr>
              <w:t>defining</w:t>
            </w:r>
            <w:r w:rsidRPr="007C4D65">
              <w:rPr>
                <w:rFonts w:asciiTheme="minorHAnsi" w:eastAsia="Calibri" w:hAnsiTheme="minorHAnsi" w:cstheme="minorHAnsi"/>
                <w:sz w:val="18"/>
                <w:szCs w:val="18"/>
                <w:lang w:eastAsia="en-US"/>
              </w:rPr>
              <w:t xml:space="preserve"> the types of pollutants which should be </w:t>
            </w:r>
            <w:proofErr w:type="gramStart"/>
            <w:r w:rsidRPr="007C4D65">
              <w:rPr>
                <w:rFonts w:asciiTheme="minorHAnsi" w:eastAsia="Calibri" w:hAnsiTheme="minorHAnsi" w:cstheme="minorHAnsi"/>
                <w:sz w:val="18"/>
                <w:szCs w:val="18"/>
                <w:lang w:eastAsia="en-US"/>
              </w:rPr>
              <w:t>measured</w:t>
            </w:r>
            <w:r w:rsidR="009878D7" w:rsidRPr="007C4D65">
              <w:rPr>
                <w:rFonts w:asciiTheme="minorHAnsi" w:eastAsia="Calibri" w:hAnsiTheme="minorHAnsi" w:cstheme="minorHAnsi"/>
                <w:sz w:val="18"/>
                <w:szCs w:val="18"/>
                <w:lang w:eastAsia="en-US"/>
              </w:rPr>
              <w:t>;</w:t>
            </w:r>
            <w:proofErr w:type="gramEnd"/>
          </w:p>
          <w:p w14:paraId="17436B21" w14:textId="29C81C63" w:rsidR="00EE66FD" w:rsidRPr="007C4D65" w:rsidRDefault="00EE66FD" w:rsidP="00EE66FD">
            <w:pPr>
              <w:spacing w:before="40" w:after="40" w:line="276" w:lineRule="auto"/>
              <w:ind w:left="180" w:hanging="180"/>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b. Procuring, installing and maintaining additional measuring stations, </w:t>
            </w:r>
            <w:r w:rsidR="00DA0608" w:rsidRPr="007C4D65">
              <w:rPr>
                <w:rFonts w:asciiTheme="minorHAnsi" w:eastAsia="Calibri" w:hAnsiTheme="minorHAnsi" w:cstheme="minorHAnsi"/>
                <w:sz w:val="18"/>
                <w:szCs w:val="18"/>
                <w:lang w:eastAsia="en-US"/>
              </w:rPr>
              <w:t>and</w:t>
            </w:r>
            <w:r w:rsidRPr="007C4D65">
              <w:rPr>
                <w:rFonts w:asciiTheme="minorHAnsi" w:eastAsia="Calibri" w:hAnsiTheme="minorHAnsi" w:cstheme="minorHAnsi"/>
                <w:sz w:val="18"/>
                <w:szCs w:val="18"/>
                <w:lang w:eastAsia="en-US"/>
              </w:rPr>
              <w:t xml:space="preserve"> ensuring reliability of </w:t>
            </w:r>
            <w:proofErr w:type="gramStart"/>
            <w:r w:rsidRPr="007C4D65">
              <w:rPr>
                <w:rFonts w:asciiTheme="minorHAnsi" w:eastAsia="Calibri" w:hAnsiTheme="minorHAnsi" w:cstheme="minorHAnsi"/>
                <w:sz w:val="18"/>
                <w:szCs w:val="18"/>
                <w:lang w:eastAsia="en-US"/>
              </w:rPr>
              <w:t>measurements</w:t>
            </w:r>
            <w:r w:rsidR="009878D7" w:rsidRPr="007C4D65">
              <w:rPr>
                <w:rFonts w:asciiTheme="minorHAnsi" w:eastAsia="Calibri" w:hAnsiTheme="minorHAnsi" w:cstheme="minorHAnsi"/>
                <w:sz w:val="18"/>
                <w:szCs w:val="18"/>
                <w:lang w:eastAsia="en-US"/>
              </w:rPr>
              <w:t>;</w:t>
            </w:r>
            <w:proofErr w:type="gramEnd"/>
          </w:p>
          <w:p w14:paraId="10719C98" w14:textId="7CF5C1F3" w:rsidR="00EE66FD" w:rsidRPr="007C4D65" w:rsidRDefault="00EE66FD" w:rsidP="00EE66FD">
            <w:pPr>
              <w:spacing w:before="40" w:after="40" w:line="276" w:lineRule="auto"/>
              <w:ind w:left="180" w:hanging="180"/>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lastRenderedPageBreak/>
              <w:t>c. Strengthening capacities of the Hydrometeorological Institute</w:t>
            </w:r>
            <w:r w:rsidR="00DA0608" w:rsidRPr="007C4D65">
              <w:rPr>
                <w:rFonts w:asciiTheme="minorHAnsi" w:eastAsia="Calibri" w:hAnsiTheme="minorHAnsi" w:cstheme="minorHAnsi"/>
                <w:sz w:val="18"/>
                <w:szCs w:val="18"/>
                <w:lang w:eastAsia="en-US"/>
              </w:rPr>
              <w:t xml:space="preserve"> of the Federation of BiH</w:t>
            </w:r>
            <w:r w:rsidRPr="007C4D65">
              <w:rPr>
                <w:rFonts w:asciiTheme="minorHAnsi" w:eastAsia="Calibri" w:hAnsiTheme="minorHAnsi" w:cstheme="minorHAnsi"/>
                <w:sz w:val="18"/>
                <w:szCs w:val="18"/>
                <w:lang w:eastAsia="en-US"/>
              </w:rPr>
              <w:t xml:space="preserve"> and cantonal (human and </w:t>
            </w:r>
            <w:r w:rsidR="00DA0608" w:rsidRPr="007C4D65">
              <w:rPr>
                <w:rFonts w:asciiTheme="minorHAnsi" w:eastAsia="Calibri" w:hAnsiTheme="minorHAnsi" w:cstheme="minorHAnsi"/>
                <w:sz w:val="18"/>
                <w:szCs w:val="18"/>
                <w:lang w:eastAsia="en-US"/>
              </w:rPr>
              <w:t>technical</w:t>
            </w:r>
            <w:r w:rsidRPr="007C4D65">
              <w:rPr>
                <w:rFonts w:asciiTheme="minorHAnsi" w:eastAsia="Calibri" w:hAnsiTheme="minorHAnsi" w:cstheme="minorHAnsi"/>
                <w:sz w:val="18"/>
                <w:szCs w:val="18"/>
                <w:lang w:eastAsia="en-US"/>
              </w:rPr>
              <w:t>)</w:t>
            </w:r>
            <w:r w:rsidR="009878D7" w:rsidRPr="007C4D65">
              <w:rPr>
                <w:rFonts w:asciiTheme="minorHAnsi" w:eastAsia="Calibri" w:hAnsiTheme="minorHAnsi" w:cstheme="minorHAnsi"/>
                <w:sz w:val="18"/>
                <w:szCs w:val="18"/>
                <w:lang w:eastAsia="en-US"/>
              </w:rPr>
              <w:t>.</w:t>
            </w:r>
          </w:p>
        </w:tc>
      </w:tr>
      <w:tr w:rsidR="00EE66FD" w:rsidRPr="007C4D65" w14:paraId="01FF198B" w14:textId="77777777" w:rsidTr="00BC37DE">
        <w:trPr>
          <w:trHeight w:val="567"/>
          <w:jc w:val="center"/>
        </w:trPr>
        <w:tc>
          <w:tcPr>
            <w:tcW w:w="1322" w:type="pct"/>
            <w:shd w:val="clear" w:color="auto" w:fill="009D73"/>
            <w:vAlign w:val="center"/>
          </w:tcPr>
          <w:p w14:paraId="6A1B9A19"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Strategic projects</w:t>
            </w:r>
          </w:p>
        </w:tc>
        <w:tc>
          <w:tcPr>
            <w:tcW w:w="3678" w:type="pct"/>
            <w:gridSpan w:val="3"/>
            <w:shd w:val="clear" w:color="auto" w:fill="FFFFFF" w:themeFill="background1"/>
            <w:vAlign w:val="center"/>
          </w:tcPr>
          <w:p w14:paraId="3FF3AB4A"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E66FD" w:rsidRPr="007C4D65" w14:paraId="7E511785" w14:textId="77777777" w:rsidTr="00BC37DE">
        <w:trPr>
          <w:trHeight w:val="567"/>
          <w:jc w:val="center"/>
        </w:trPr>
        <w:tc>
          <w:tcPr>
            <w:tcW w:w="1322" w:type="pct"/>
            <w:vMerge w:val="restart"/>
            <w:shd w:val="clear" w:color="auto" w:fill="009D73"/>
            <w:vAlign w:val="center"/>
          </w:tcPr>
          <w:p w14:paraId="32838CF0"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 for monitoring of results</w:t>
            </w:r>
          </w:p>
        </w:tc>
        <w:tc>
          <w:tcPr>
            <w:tcW w:w="1145" w:type="pct"/>
            <w:shd w:val="clear" w:color="auto" w:fill="009D73"/>
            <w:vAlign w:val="center"/>
          </w:tcPr>
          <w:p w14:paraId="7BC2A9CE"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w:t>
            </w:r>
          </w:p>
          <w:p w14:paraId="75F933C7"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w:t>
            </w:r>
            <w:proofErr w:type="gramStart"/>
            <w:r w:rsidRPr="007C4D65">
              <w:rPr>
                <w:rFonts w:asciiTheme="minorHAnsi" w:eastAsiaTheme="minorHAnsi" w:hAnsiTheme="minorHAnsi" w:cstheme="minorHAnsi"/>
                <w:b/>
                <w:bCs/>
                <w:color w:val="FFFFFF" w:themeColor="background1"/>
                <w:sz w:val="18"/>
                <w:szCs w:val="18"/>
                <w:lang w:eastAsia="en-US"/>
              </w:rPr>
              <w:t>outputs</w:t>
            </w:r>
            <w:proofErr w:type="gramEnd"/>
            <w:r w:rsidRPr="007C4D65">
              <w:rPr>
                <w:rFonts w:asciiTheme="minorHAnsi" w:eastAsiaTheme="minorHAnsi" w:hAnsiTheme="minorHAnsi" w:cstheme="minorHAnsi"/>
                <w:b/>
                <w:bCs/>
                <w:color w:val="FFFFFF" w:themeColor="background1"/>
                <w:sz w:val="18"/>
                <w:szCs w:val="18"/>
                <w:lang w:eastAsia="en-US"/>
              </w:rPr>
              <w:t xml:space="preserve"> and deliverables)</w:t>
            </w:r>
          </w:p>
        </w:tc>
        <w:tc>
          <w:tcPr>
            <w:tcW w:w="1267" w:type="pct"/>
            <w:shd w:val="clear" w:color="auto" w:fill="009D73"/>
            <w:vAlign w:val="center"/>
          </w:tcPr>
          <w:p w14:paraId="74444184"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Baseline value</w:t>
            </w:r>
          </w:p>
        </w:tc>
        <w:tc>
          <w:tcPr>
            <w:tcW w:w="1267" w:type="pct"/>
            <w:shd w:val="clear" w:color="auto" w:fill="009D73"/>
            <w:vAlign w:val="center"/>
          </w:tcPr>
          <w:p w14:paraId="79925844"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value</w:t>
            </w:r>
          </w:p>
        </w:tc>
      </w:tr>
      <w:tr w:rsidR="00EE66FD" w:rsidRPr="007C4D65" w14:paraId="0B79B911" w14:textId="77777777" w:rsidTr="00BC37DE">
        <w:trPr>
          <w:trHeight w:val="567"/>
          <w:jc w:val="center"/>
        </w:trPr>
        <w:tc>
          <w:tcPr>
            <w:tcW w:w="1322" w:type="pct"/>
            <w:vMerge/>
            <w:shd w:val="clear" w:color="auto" w:fill="009D73"/>
            <w:vAlign w:val="center"/>
          </w:tcPr>
          <w:p w14:paraId="08003C09"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0C0BDC58" w14:textId="5DF28369" w:rsidR="00EE66FD" w:rsidRPr="007C4D65" w:rsidRDefault="00EE66FD">
            <w:pPr>
              <w:numPr>
                <w:ilvl w:val="0"/>
                <w:numId w:val="113"/>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DA0608"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development and adoption of the study</w:t>
            </w:r>
          </w:p>
        </w:tc>
        <w:tc>
          <w:tcPr>
            <w:tcW w:w="1267" w:type="pct"/>
            <w:shd w:val="clear" w:color="auto" w:fill="FFFFFF"/>
            <w:vAlign w:val="center"/>
          </w:tcPr>
          <w:p w14:paraId="3E10E2DA" w14:textId="7B1E8C1F" w:rsidR="00EE66FD" w:rsidRPr="007C4D65" w:rsidRDefault="00DA0608"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d</w:t>
            </w:r>
            <w:r w:rsidR="00EE66FD" w:rsidRPr="007C4D65">
              <w:rPr>
                <w:rFonts w:asciiTheme="minorHAnsi" w:eastAsiaTheme="minorHAnsi" w:hAnsiTheme="minorHAnsi" w:cstheme="minorHAnsi"/>
                <w:sz w:val="18"/>
                <w:szCs w:val="18"/>
                <w:lang w:eastAsia="en-US"/>
              </w:rPr>
              <w:t>evelopment of the plan/study in progress</w:t>
            </w:r>
          </w:p>
        </w:tc>
        <w:tc>
          <w:tcPr>
            <w:tcW w:w="1267" w:type="pct"/>
            <w:shd w:val="clear" w:color="auto" w:fill="FFFFFF"/>
            <w:vAlign w:val="center"/>
          </w:tcPr>
          <w:p w14:paraId="28DB9898" w14:textId="3328BAB1" w:rsidR="00EE66FD" w:rsidRPr="007C4D65" w:rsidRDefault="00DA0608"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 xml:space="preserve">Study (plan) developed and adopted, with all the elements </w:t>
            </w:r>
            <w:r w:rsidRPr="007C4D65">
              <w:rPr>
                <w:rFonts w:asciiTheme="minorHAnsi" w:eastAsiaTheme="minorHAnsi" w:hAnsiTheme="minorHAnsi" w:cstheme="minorHAnsi"/>
                <w:sz w:val="18"/>
                <w:szCs w:val="18"/>
                <w:lang w:eastAsia="en-US"/>
              </w:rPr>
              <w:t>of measurements</w:t>
            </w:r>
            <w:r w:rsidR="00EE66FD" w:rsidRPr="007C4D65">
              <w:rPr>
                <w:rFonts w:asciiTheme="minorHAnsi" w:eastAsiaTheme="minorHAnsi" w:hAnsiTheme="minorHAnsi" w:cstheme="minorHAnsi"/>
                <w:sz w:val="18"/>
                <w:szCs w:val="18"/>
                <w:lang w:eastAsia="en-US"/>
              </w:rPr>
              <w:t xml:space="preserve"> defined</w:t>
            </w:r>
          </w:p>
        </w:tc>
      </w:tr>
      <w:tr w:rsidR="00EE66FD" w:rsidRPr="007C4D65" w14:paraId="0D3152D8" w14:textId="77777777" w:rsidTr="00BC37DE">
        <w:trPr>
          <w:trHeight w:val="567"/>
          <w:jc w:val="center"/>
        </w:trPr>
        <w:tc>
          <w:tcPr>
            <w:tcW w:w="1322" w:type="pct"/>
            <w:vMerge/>
            <w:shd w:val="clear" w:color="auto" w:fill="009D73"/>
            <w:vAlign w:val="center"/>
          </w:tcPr>
          <w:p w14:paraId="57BD7D58"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1B7E6D57" w14:textId="24B4DF94" w:rsidR="00EE66FD" w:rsidRPr="007C4D65" w:rsidRDefault="00EE66FD">
            <w:pPr>
              <w:numPr>
                <w:ilvl w:val="0"/>
                <w:numId w:val="113"/>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Number of measuring stations </w:t>
            </w:r>
            <w:r w:rsidR="00DA0608" w:rsidRPr="007C4D65">
              <w:rPr>
                <w:rFonts w:asciiTheme="minorHAnsi" w:eastAsia="Calibri" w:hAnsiTheme="minorHAnsi" w:cstheme="minorHAnsi"/>
                <w:sz w:val="18"/>
                <w:szCs w:val="18"/>
                <w:lang w:eastAsia="en-US"/>
              </w:rPr>
              <w:t>commissioned</w:t>
            </w:r>
          </w:p>
        </w:tc>
        <w:tc>
          <w:tcPr>
            <w:tcW w:w="1267" w:type="pct"/>
            <w:shd w:val="clear" w:color="auto" w:fill="FFFFFF"/>
            <w:vAlign w:val="center"/>
          </w:tcPr>
          <w:p w14:paraId="5C356A4F" w14:textId="3BA8409E"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22 measuring stations were operational in 2019, some parts of </w:t>
            </w:r>
            <w:r w:rsidR="00DA0608" w:rsidRPr="007C4D65">
              <w:rPr>
                <w:rFonts w:asciiTheme="minorHAnsi" w:eastAsiaTheme="minorHAnsi" w:hAnsiTheme="minorHAnsi" w:cstheme="minorHAnsi"/>
                <w:sz w:val="18"/>
                <w:szCs w:val="18"/>
                <w:lang w:eastAsia="en-US"/>
              </w:rPr>
              <w:t xml:space="preserve">the </w:t>
            </w:r>
            <w:r w:rsidRPr="007C4D65">
              <w:rPr>
                <w:rFonts w:asciiTheme="minorHAnsi" w:eastAsiaTheme="minorHAnsi" w:hAnsiTheme="minorHAnsi" w:cstheme="minorHAnsi"/>
                <w:sz w:val="18"/>
                <w:szCs w:val="18"/>
                <w:lang w:eastAsia="en-US"/>
              </w:rPr>
              <w:t>F</w:t>
            </w:r>
            <w:r w:rsidR="00DA0608" w:rsidRPr="007C4D65">
              <w:rPr>
                <w:rFonts w:asciiTheme="minorHAnsi" w:eastAsiaTheme="minorHAnsi" w:hAnsiTheme="minorHAnsi" w:cstheme="minorHAnsi"/>
                <w:sz w:val="18"/>
                <w:szCs w:val="18"/>
                <w:lang w:eastAsia="en-US"/>
              </w:rPr>
              <w:t xml:space="preserve">ederation of </w:t>
            </w:r>
            <w:r w:rsidRPr="007C4D65">
              <w:rPr>
                <w:rFonts w:asciiTheme="minorHAnsi" w:eastAsiaTheme="minorHAnsi" w:hAnsiTheme="minorHAnsi" w:cstheme="minorHAnsi"/>
                <w:sz w:val="18"/>
                <w:szCs w:val="18"/>
                <w:lang w:eastAsia="en-US"/>
              </w:rPr>
              <w:t>BiH</w:t>
            </w:r>
            <w:r w:rsidR="00DA0608" w:rsidRPr="007C4D65">
              <w:rPr>
                <w:rFonts w:asciiTheme="minorHAnsi" w:eastAsiaTheme="minorHAnsi" w:hAnsiTheme="minorHAnsi" w:cstheme="minorHAnsi"/>
                <w:sz w:val="18"/>
                <w:szCs w:val="18"/>
                <w:lang w:eastAsia="en-US"/>
              </w:rPr>
              <w:t xml:space="preserve"> are not covered by a measuring station</w:t>
            </w:r>
          </w:p>
        </w:tc>
        <w:tc>
          <w:tcPr>
            <w:tcW w:w="1267" w:type="pct"/>
            <w:shd w:val="clear" w:color="auto" w:fill="FFFFFF"/>
            <w:vAlign w:val="center"/>
          </w:tcPr>
          <w:p w14:paraId="083C5263"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Equipment - measuring stations procured and installed</w:t>
            </w:r>
          </w:p>
        </w:tc>
      </w:tr>
      <w:tr w:rsidR="00EE66FD" w:rsidRPr="007C4D65" w14:paraId="71E9195D" w14:textId="77777777" w:rsidTr="00BC37DE">
        <w:trPr>
          <w:trHeight w:val="567"/>
          <w:jc w:val="center"/>
        </w:trPr>
        <w:tc>
          <w:tcPr>
            <w:tcW w:w="1322" w:type="pct"/>
            <w:vMerge/>
            <w:shd w:val="clear" w:color="auto" w:fill="009D73"/>
            <w:vAlign w:val="center"/>
          </w:tcPr>
          <w:p w14:paraId="3843E8C2"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20452E79" w14:textId="6573B398" w:rsidR="00EE66FD" w:rsidRPr="007C4D65" w:rsidRDefault="00EE66FD">
            <w:pPr>
              <w:numPr>
                <w:ilvl w:val="0"/>
                <w:numId w:val="113"/>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Level of the implementation of the programme for strengthening human and </w:t>
            </w:r>
            <w:r w:rsidR="00DA0608" w:rsidRPr="007C4D65">
              <w:rPr>
                <w:rFonts w:asciiTheme="minorHAnsi" w:eastAsia="Calibri" w:hAnsiTheme="minorHAnsi" w:cstheme="minorHAnsi"/>
                <w:sz w:val="18"/>
                <w:szCs w:val="18"/>
                <w:lang w:eastAsia="en-US"/>
              </w:rPr>
              <w:t>technical</w:t>
            </w:r>
            <w:r w:rsidRPr="007C4D65">
              <w:rPr>
                <w:rFonts w:asciiTheme="minorHAnsi" w:eastAsia="Calibri" w:hAnsiTheme="minorHAnsi" w:cstheme="minorHAnsi"/>
                <w:sz w:val="18"/>
                <w:szCs w:val="18"/>
                <w:lang w:eastAsia="en-US"/>
              </w:rPr>
              <w:t xml:space="preserve"> capacities of the FBiH Hydrometeorological Institute and cantonal organisation for monitoring air quality</w:t>
            </w:r>
          </w:p>
        </w:tc>
        <w:tc>
          <w:tcPr>
            <w:tcW w:w="1267" w:type="pct"/>
            <w:shd w:val="clear" w:color="auto" w:fill="FFFFFF"/>
            <w:vAlign w:val="center"/>
          </w:tcPr>
          <w:p w14:paraId="1914A330"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Human and material capacities of the FBiH Hydrometeorological Institute and cantonal organisations insufficient</w:t>
            </w:r>
          </w:p>
        </w:tc>
        <w:tc>
          <w:tcPr>
            <w:tcW w:w="1267" w:type="pct"/>
            <w:shd w:val="clear" w:color="auto" w:fill="FFFFFF"/>
            <w:vAlign w:val="center"/>
          </w:tcPr>
          <w:p w14:paraId="47C52A00" w14:textId="16CBD5E3" w:rsidR="00EE66FD" w:rsidRPr="007C4D65" w:rsidRDefault="00DA0608"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 p</w:t>
            </w:r>
            <w:r w:rsidR="00EE66FD" w:rsidRPr="007C4D65">
              <w:rPr>
                <w:rFonts w:asciiTheme="minorHAnsi" w:eastAsiaTheme="minorHAnsi" w:hAnsiTheme="minorHAnsi" w:cstheme="minorHAnsi"/>
                <w:sz w:val="18"/>
                <w:szCs w:val="18"/>
                <w:lang w:eastAsia="en-US"/>
              </w:rPr>
              <w:t>rogramme for strengthening human and material capacities implemented</w:t>
            </w:r>
          </w:p>
        </w:tc>
      </w:tr>
      <w:tr w:rsidR="00EE66FD" w:rsidRPr="007C4D65" w14:paraId="46DC47FB" w14:textId="77777777" w:rsidTr="00BC37DE">
        <w:trPr>
          <w:trHeight w:val="567"/>
          <w:jc w:val="center"/>
        </w:trPr>
        <w:tc>
          <w:tcPr>
            <w:tcW w:w="1322" w:type="pct"/>
            <w:shd w:val="clear" w:color="auto" w:fill="009D73"/>
            <w:vAlign w:val="center"/>
          </w:tcPr>
          <w:p w14:paraId="167EFD0C"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Effect on the development and contribution of the measure to the priority</w:t>
            </w:r>
          </w:p>
        </w:tc>
        <w:tc>
          <w:tcPr>
            <w:tcW w:w="3678" w:type="pct"/>
            <w:gridSpan w:val="3"/>
            <w:shd w:val="clear" w:color="auto" w:fill="FFFFFF"/>
            <w:vAlign w:val="center"/>
          </w:tcPr>
          <w:p w14:paraId="20BE7D5E" w14:textId="2EDBEE15" w:rsidR="00EE66FD" w:rsidRPr="007C4D65" w:rsidRDefault="00DA0608"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management system improved, better access to information, human and institutional capacities for air quality management enhanced</w:t>
            </w:r>
          </w:p>
        </w:tc>
      </w:tr>
      <w:tr w:rsidR="00EE66FD" w:rsidRPr="007C4D65" w14:paraId="25DC8284" w14:textId="77777777" w:rsidTr="00BC37DE">
        <w:trPr>
          <w:trHeight w:val="567"/>
          <w:jc w:val="center"/>
        </w:trPr>
        <w:tc>
          <w:tcPr>
            <w:tcW w:w="1322" w:type="pct"/>
            <w:shd w:val="clear" w:color="auto" w:fill="009D73"/>
            <w:vAlign w:val="center"/>
          </w:tcPr>
          <w:p w14:paraId="0BC230F1" w14:textId="5F79A063"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Indicative financial projection, with specification of sources</w:t>
            </w:r>
          </w:p>
        </w:tc>
        <w:tc>
          <w:tcPr>
            <w:tcW w:w="3678" w:type="pct"/>
            <w:gridSpan w:val="3"/>
            <w:shd w:val="clear" w:color="auto" w:fill="FFFFFF"/>
            <w:vAlign w:val="center"/>
          </w:tcPr>
          <w:p w14:paraId="0460DFB0" w14:textId="037C1F79" w:rsidR="00DA0608" w:rsidRPr="007C4D65" w:rsidRDefault="00DA0608" w:rsidP="00DA0608">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lang w:bidi="en-US"/>
              </w:rPr>
              <w:t>Amount: BAM 3,340,737</w:t>
            </w:r>
          </w:p>
          <w:p w14:paraId="33DC4F57" w14:textId="40C3AF56" w:rsidR="00EE66FD" w:rsidRPr="007C4D65" w:rsidRDefault="00DA0608" w:rsidP="00DA0608">
            <w:pPr>
              <w:spacing w:before="40" w:after="40" w:line="276" w:lineRule="auto"/>
              <w:rPr>
                <w:rFonts w:asciiTheme="minorHAnsi" w:eastAsiaTheme="minorHAnsi" w:hAnsiTheme="minorHAnsi" w:cstheme="minorHAnsi"/>
                <w:bCs/>
                <w:sz w:val="18"/>
                <w:szCs w:val="18"/>
                <w:lang w:eastAsia="en-US"/>
              </w:rPr>
            </w:pPr>
            <w:r w:rsidRPr="007C4D65">
              <w:rPr>
                <w:rFonts w:asciiTheme="minorHAnsi" w:eastAsia="Calibri" w:hAnsiTheme="minorHAnsi" w:cstheme="minorHAnsi"/>
                <w:sz w:val="18"/>
                <w:szCs w:val="18"/>
              </w:rPr>
              <w:t xml:space="preserve">Source: 10% </w:t>
            </w:r>
            <w:r w:rsidR="000E401F" w:rsidRPr="007C4D65">
              <w:rPr>
                <w:rFonts w:asciiTheme="minorHAnsi" w:eastAsia="Calibri" w:hAnsiTheme="minorHAnsi" w:cstheme="minorHAnsi"/>
                <w:sz w:val="18"/>
                <w:szCs w:val="18"/>
              </w:rPr>
              <w:t>government budget</w:t>
            </w:r>
            <w:r w:rsidRPr="007C4D65">
              <w:rPr>
                <w:rFonts w:asciiTheme="minorHAnsi" w:eastAsia="Calibri" w:hAnsiTheme="minorHAnsi" w:cstheme="minorHAnsi"/>
                <w:sz w:val="18"/>
                <w:szCs w:val="18"/>
              </w:rPr>
              <w:t>, 90% funds from EU and other international donors</w:t>
            </w:r>
          </w:p>
        </w:tc>
      </w:tr>
      <w:tr w:rsidR="00EE66FD" w:rsidRPr="007C4D65" w14:paraId="53AFE5E4" w14:textId="77777777" w:rsidTr="00BC37DE">
        <w:trPr>
          <w:trHeight w:val="567"/>
          <w:jc w:val="center"/>
        </w:trPr>
        <w:tc>
          <w:tcPr>
            <w:tcW w:w="1322" w:type="pct"/>
            <w:shd w:val="clear" w:color="auto" w:fill="009D73"/>
            <w:vAlign w:val="center"/>
          </w:tcPr>
          <w:p w14:paraId="1787C77D"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Period of the implementation of the measure</w:t>
            </w:r>
          </w:p>
        </w:tc>
        <w:tc>
          <w:tcPr>
            <w:tcW w:w="3678" w:type="pct"/>
            <w:gridSpan w:val="3"/>
            <w:shd w:val="clear" w:color="auto" w:fill="FFFFFF"/>
            <w:vAlign w:val="center"/>
          </w:tcPr>
          <w:p w14:paraId="4EFCCF77"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 2025</w:t>
            </w:r>
          </w:p>
        </w:tc>
      </w:tr>
      <w:tr w:rsidR="00EE66FD" w:rsidRPr="007C4D65" w14:paraId="3644B04B" w14:textId="77777777" w:rsidTr="00BC37DE">
        <w:trPr>
          <w:trHeight w:val="567"/>
          <w:jc w:val="center"/>
        </w:trPr>
        <w:tc>
          <w:tcPr>
            <w:tcW w:w="1322" w:type="pct"/>
            <w:shd w:val="clear" w:color="auto" w:fill="009D73"/>
            <w:vAlign w:val="center"/>
          </w:tcPr>
          <w:p w14:paraId="1E13379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Institution responsible for coordination of the implementation of the measure</w:t>
            </w:r>
          </w:p>
        </w:tc>
        <w:tc>
          <w:tcPr>
            <w:tcW w:w="3678" w:type="pct"/>
            <w:gridSpan w:val="3"/>
            <w:shd w:val="clear" w:color="auto" w:fill="FFFFFF"/>
            <w:vAlign w:val="center"/>
          </w:tcPr>
          <w:p w14:paraId="62496F6E" w14:textId="044220C6" w:rsidR="00EE66FD" w:rsidRPr="007C4D65" w:rsidRDefault="00DA0608"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FMET</w:t>
            </w:r>
          </w:p>
        </w:tc>
      </w:tr>
      <w:tr w:rsidR="00EE66FD" w:rsidRPr="007C4D65" w14:paraId="102B03E2" w14:textId="77777777" w:rsidTr="00BC37DE">
        <w:trPr>
          <w:trHeight w:val="567"/>
          <w:jc w:val="center"/>
        </w:trPr>
        <w:tc>
          <w:tcPr>
            <w:tcW w:w="1322" w:type="pct"/>
            <w:shd w:val="clear" w:color="auto" w:fill="009D73"/>
            <w:vAlign w:val="center"/>
          </w:tcPr>
          <w:p w14:paraId="042C0537"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Implementing institutions</w:t>
            </w:r>
          </w:p>
        </w:tc>
        <w:tc>
          <w:tcPr>
            <w:tcW w:w="3678" w:type="pct"/>
            <w:gridSpan w:val="3"/>
            <w:shd w:val="clear" w:color="auto" w:fill="FFFFFF"/>
            <w:vAlign w:val="center"/>
          </w:tcPr>
          <w:p w14:paraId="27D0CBE6" w14:textId="7245E552" w:rsidR="00EE66FD" w:rsidRPr="007C4D65" w:rsidRDefault="00DA0608"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FHMI</w:t>
            </w:r>
            <w:r w:rsidR="00EE66FD" w:rsidRPr="007C4D65">
              <w:rPr>
                <w:rFonts w:asciiTheme="minorHAnsi" w:eastAsiaTheme="minorHAnsi" w:hAnsiTheme="minorHAnsi" w:cstheme="minorHAnsi"/>
                <w:sz w:val="18"/>
                <w:szCs w:val="18"/>
                <w:lang w:eastAsia="en-US"/>
              </w:rPr>
              <w:t xml:space="preserve">, cantonal institutions responsible for air quality monitoring, Environmental Protection Fund, universities  </w:t>
            </w:r>
          </w:p>
        </w:tc>
      </w:tr>
      <w:tr w:rsidR="00EE66FD" w:rsidRPr="007C4D65" w14:paraId="644A23B5" w14:textId="77777777" w:rsidTr="00BC37DE">
        <w:trPr>
          <w:trHeight w:val="567"/>
          <w:jc w:val="center"/>
        </w:trPr>
        <w:tc>
          <w:tcPr>
            <w:tcW w:w="1322" w:type="pct"/>
            <w:shd w:val="clear" w:color="auto" w:fill="009D73"/>
            <w:vAlign w:val="center"/>
          </w:tcPr>
          <w:p w14:paraId="5D40B9F6" w14:textId="7550EC0C"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groups</w:t>
            </w:r>
          </w:p>
        </w:tc>
        <w:tc>
          <w:tcPr>
            <w:tcW w:w="3678" w:type="pct"/>
            <w:gridSpan w:val="3"/>
            <w:shd w:val="clear" w:color="auto" w:fill="FFFFFF"/>
            <w:vAlign w:val="center"/>
          </w:tcPr>
          <w:p w14:paraId="172AE970" w14:textId="60AAE302"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Citizens, NGO</w:t>
            </w:r>
            <w:r w:rsidR="00D322EC" w:rsidRPr="007C4D65">
              <w:rPr>
                <w:rFonts w:asciiTheme="minorHAnsi" w:eastAsiaTheme="minorHAnsi" w:hAnsiTheme="minorHAnsi" w:cstheme="minorHAnsi"/>
                <w:sz w:val="18"/>
                <w:szCs w:val="18"/>
                <w:lang w:eastAsia="en-US"/>
              </w:rPr>
              <w:t>s</w:t>
            </w:r>
          </w:p>
        </w:tc>
      </w:tr>
    </w:tbl>
    <w:p w14:paraId="0B48D589" w14:textId="77777777" w:rsidR="00EE66FD" w:rsidRPr="007C4D65" w:rsidRDefault="00EE66FD" w:rsidP="00EE66FD">
      <w:pPr>
        <w:spacing w:line="276" w:lineRule="auto"/>
        <w:rPr>
          <w:rFonts w:asciiTheme="minorHAnsi" w:eastAsiaTheme="minorHAnsi" w:hAnsiTheme="minorHAnsi" w:cstheme="minorHAnsi"/>
          <w:sz w:val="22"/>
          <w:szCs w:val="22"/>
          <w:lang w:eastAsia="en-US"/>
        </w:rPr>
      </w:pPr>
    </w:p>
    <w:tbl>
      <w:tblPr>
        <w:tblW w:w="48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1"/>
        <w:gridCol w:w="3066"/>
        <w:gridCol w:w="3390"/>
        <w:gridCol w:w="3393"/>
      </w:tblGrid>
      <w:tr w:rsidR="00EE66FD" w:rsidRPr="007C4D65" w14:paraId="5FCDE288"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434A92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Link with strategic goal</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3495850" w14:textId="25DA0389" w:rsidR="00EE66FD" w:rsidRPr="007C4D65" w:rsidRDefault="00EE66FD" w:rsidP="00EE66FD">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4</w:t>
            </w:r>
            <w:r w:rsidR="005A6B91" w:rsidRPr="007C4D65">
              <w:rPr>
                <w:rFonts w:asciiTheme="minorHAnsi" w:eastAsia="Calibri" w:hAnsiTheme="minorHAnsi" w:cstheme="minorHAnsi"/>
                <w:b/>
                <w:bCs/>
                <w:sz w:val="18"/>
                <w:szCs w:val="18"/>
                <w:lang w:eastAsia="en-US"/>
              </w:rPr>
              <w:t>.</w:t>
            </w:r>
            <w:r w:rsidRPr="007C4D65">
              <w:rPr>
                <w:rFonts w:asciiTheme="minorHAnsi" w:eastAsia="Calibri" w:hAnsiTheme="minorHAnsi" w:cstheme="minorHAnsi"/>
                <w:b/>
                <w:bCs/>
                <w:sz w:val="18"/>
                <w:szCs w:val="18"/>
                <w:lang w:eastAsia="en-US"/>
              </w:rPr>
              <w:t xml:space="preserve"> </w:t>
            </w:r>
            <w:r w:rsidR="00FE2B6F" w:rsidRPr="007C4D65">
              <w:rPr>
                <w:rFonts w:asciiTheme="minorHAnsi" w:eastAsia="Calibri" w:hAnsiTheme="minorHAnsi" w:cstheme="minorHAnsi"/>
                <w:b/>
                <w:bCs/>
                <w:sz w:val="18"/>
                <w:szCs w:val="18"/>
                <w:lang w:eastAsia="en-US"/>
              </w:rPr>
              <w:t>Climate change mitigation and adaptation and improvement of air quality</w:t>
            </w:r>
          </w:p>
        </w:tc>
      </w:tr>
      <w:tr w:rsidR="00EE66FD" w:rsidRPr="007C4D65" w14:paraId="299C3D21"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87863C7"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Priority</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D98CA78" w14:textId="276911A6" w:rsidR="00EE66FD" w:rsidRPr="007C4D65" w:rsidRDefault="005A6B91" w:rsidP="00EE66FD">
            <w:pPr>
              <w:spacing w:before="40" w:after="40" w:line="276" w:lineRule="auto"/>
              <w:rPr>
                <w:rFonts w:asciiTheme="minorHAnsi" w:hAnsiTheme="minorHAnsi" w:cstheme="minorHAnsi"/>
                <w:b/>
                <w:bCs/>
                <w:sz w:val="18"/>
                <w:szCs w:val="18"/>
                <w:lang w:eastAsia="en-US"/>
              </w:rPr>
            </w:pPr>
            <w:r w:rsidRPr="007C4D65">
              <w:rPr>
                <w:rFonts w:asciiTheme="minorHAnsi" w:hAnsiTheme="minorHAnsi" w:cstheme="minorHAnsi"/>
                <w:b/>
                <w:bCs/>
                <w:sz w:val="18"/>
                <w:szCs w:val="18"/>
                <w:lang w:eastAsia="en-US"/>
              </w:rPr>
              <w:t xml:space="preserve">4.2 </w:t>
            </w:r>
            <w:r w:rsidR="00F00EB6" w:rsidRPr="007C4D65">
              <w:rPr>
                <w:rFonts w:asciiTheme="minorHAnsi" w:hAnsiTheme="minorHAnsi" w:cstheme="minorHAnsi"/>
                <w:b/>
                <w:bCs/>
                <w:sz w:val="18"/>
                <w:szCs w:val="18"/>
                <w:lang w:eastAsia="en-US"/>
              </w:rPr>
              <w:t xml:space="preserve">Upgrading the air quality management system to support </w:t>
            </w:r>
            <w:r w:rsidR="009F16BA" w:rsidRPr="007C4D65">
              <w:rPr>
                <w:rFonts w:asciiTheme="minorHAnsi" w:hAnsiTheme="minorHAnsi" w:cstheme="minorHAnsi"/>
                <w:b/>
                <w:bCs/>
                <w:sz w:val="18"/>
                <w:szCs w:val="18"/>
                <w:lang w:eastAsia="en-US"/>
              </w:rPr>
              <w:t>strategic decision-making</w:t>
            </w:r>
            <w:r w:rsidR="00F00EB6" w:rsidRPr="007C4D65">
              <w:rPr>
                <w:rFonts w:asciiTheme="minorHAnsi" w:hAnsiTheme="minorHAnsi" w:cstheme="minorHAnsi"/>
                <w:b/>
                <w:bCs/>
                <w:sz w:val="18"/>
                <w:szCs w:val="18"/>
                <w:lang w:eastAsia="en-US"/>
              </w:rPr>
              <w:t xml:space="preserve"> and public information on the air quality</w:t>
            </w:r>
          </w:p>
        </w:tc>
      </w:tr>
      <w:tr w:rsidR="00EE66FD" w:rsidRPr="007C4D65" w14:paraId="10ADD82E"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9E1E52A"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Title of the measure</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A2175B8" w14:textId="77777777" w:rsidR="00EE66FD" w:rsidRPr="007C4D65" w:rsidRDefault="00EE66FD" w:rsidP="00EE66FD">
            <w:pPr>
              <w:spacing w:before="40" w:after="40" w:line="276" w:lineRule="auto"/>
              <w:rPr>
                <w:rFonts w:asciiTheme="minorHAnsi" w:eastAsia="Calibri" w:hAnsiTheme="minorHAnsi" w:cstheme="minorHAnsi"/>
                <w:b/>
                <w:sz w:val="18"/>
                <w:szCs w:val="18"/>
                <w:lang w:eastAsia="en-US"/>
              </w:rPr>
            </w:pPr>
            <w:r w:rsidRPr="007C4D65">
              <w:rPr>
                <w:rFonts w:asciiTheme="minorHAnsi" w:eastAsia="Calibri" w:hAnsiTheme="minorHAnsi" w:cstheme="minorHAnsi"/>
                <w:b/>
                <w:bCs/>
                <w:sz w:val="18"/>
                <w:szCs w:val="18"/>
                <w:lang w:eastAsia="en-US"/>
              </w:rPr>
              <w:t>4.2.2 Developing the system for reporting to international institutions and coordination of improvement of the public information system on air quality</w:t>
            </w:r>
          </w:p>
        </w:tc>
      </w:tr>
      <w:tr w:rsidR="00EE66FD" w:rsidRPr="007C4D65" w14:paraId="76900FC8"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84B295C"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 xml:space="preserve">Description of the measure with the general areas of intervention </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67EA7A7" w14:textId="77777777"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to establish a comprehensive system for reporting on emissions of pollutants, GHG and air quality to the international institutions (in cooperation with state level institutions) and improving the system of public communication on air quality, in real and integrated time. </w:t>
            </w:r>
          </w:p>
          <w:p w14:paraId="73F2ADF9" w14:textId="0039C12F" w:rsidR="00EE66FD" w:rsidRPr="007C4D65" w:rsidRDefault="006917FB"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EE66FD" w:rsidRPr="007C4D65">
              <w:rPr>
                <w:rFonts w:asciiTheme="minorHAnsi" w:eastAsia="Calibri" w:hAnsiTheme="minorHAnsi" w:cstheme="minorHAnsi"/>
                <w:sz w:val="18"/>
                <w:szCs w:val="18"/>
                <w:lang w:eastAsia="en-US"/>
              </w:rPr>
              <w:t xml:space="preserve">eneral areas of intervention are: </w:t>
            </w:r>
          </w:p>
          <w:p w14:paraId="4009107C" w14:textId="42B4C692" w:rsidR="00EE66FD" w:rsidRPr="007C4D65" w:rsidRDefault="00EE66FD">
            <w:pPr>
              <w:numPr>
                <w:ilvl w:val="0"/>
                <w:numId w:val="11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Devising a public </w:t>
            </w:r>
            <w:r w:rsidR="003C3B39" w:rsidRPr="007C4D65">
              <w:rPr>
                <w:rFonts w:asciiTheme="minorHAnsi" w:eastAsia="Calibri" w:hAnsiTheme="minorHAnsi" w:cstheme="minorHAnsi"/>
                <w:sz w:val="18"/>
                <w:szCs w:val="18"/>
                <w:lang w:eastAsia="en-US"/>
              </w:rPr>
              <w:t>information</w:t>
            </w:r>
            <w:r w:rsidRPr="007C4D65">
              <w:rPr>
                <w:rFonts w:asciiTheme="minorHAnsi" w:eastAsia="Calibri" w:hAnsiTheme="minorHAnsi" w:cstheme="minorHAnsi"/>
                <w:sz w:val="18"/>
                <w:szCs w:val="18"/>
                <w:lang w:eastAsia="en-US"/>
              </w:rPr>
              <w:t xml:space="preserve"> programme on air quality (harmonised manner and content of information </w:t>
            </w:r>
            <w:r w:rsidR="003C3B39" w:rsidRPr="007C4D65">
              <w:rPr>
                <w:rFonts w:asciiTheme="minorHAnsi" w:eastAsia="Calibri" w:hAnsiTheme="minorHAnsi" w:cstheme="minorHAnsi"/>
                <w:sz w:val="18"/>
                <w:szCs w:val="18"/>
                <w:lang w:eastAsia="en-US"/>
              </w:rPr>
              <w:t>across the territory of the Federation of BiH</w:t>
            </w:r>
            <w:proofErr w:type="gramStart"/>
            <w:r w:rsidRPr="007C4D65">
              <w:rPr>
                <w:rFonts w:asciiTheme="minorHAnsi" w:eastAsia="Calibri" w:hAnsiTheme="minorHAnsi" w:cstheme="minorHAnsi"/>
                <w:sz w:val="18"/>
                <w:szCs w:val="18"/>
                <w:lang w:eastAsia="en-US"/>
              </w:rPr>
              <w:t>)</w:t>
            </w:r>
            <w:r w:rsidR="006917FB" w:rsidRPr="007C4D65">
              <w:rPr>
                <w:rFonts w:asciiTheme="minorHAnsi" w:eastAsia="Calibri" w:hAnsiTheme="minorHAnsi" w:cstheme="minorHAnsi"/>
                <w:sz w:val="18"/>
                <w:szCs w:val="18"/>
                <w:lang w:eastAsia="en-US"/>
              </w:rPr>
              <w:t>;</w:t>
            </w:r>
            <w:proofErr w:type="gramEnd"/>
          </w:p>
          <w:p w14:paraId="36CA3598" w14:textId="2C32A61C" w:rsidR="00EE66FD" w:rsidRPr="007C4D65" w:rsidRDefault="00EE66FD">
            <w:pPr>
              <w:numPr>
                <w:ilvl w:val="0"/>
                <w:numId w:val="11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Developing and implementing </w:t>
            </w:r>
            <w:r w:rsidR="003C3B39" w:rsidRPr="007C4D65">
              <w:rPr>
                <w:rFonts w:asciiTheme="minorHAnsi" w:eastAsia="Calibri" w:hAnsiTheme="minorHAnsi" w:cstheme="minorHAnsi"/>
                <w:sz w:val="18"/>
                <w:szCs w:val="18"/>
                <w:lang w:eastAsia="en-US"/>
              </w:rPr>
              <w:t>a capacity building programme for</w:t>
            </w:r>
            <w:r w:rsidRPr="007C4D65">
              <w:rPr>
                <w:rFonts w:asciiTheme="minorHAnsi" w:eastAsia="Calibri" w:hAnsiTheme="minorHAnsi" w:cstheme="minorHAnsi"/>
                <w:sz w:val="18"/>
                <w:szCs w:val="18"/>
                <w:lang w:eastAsia="en-US"/>
              </w:rPr>
              <w:t xml:space="preserve"> organisations in charge of air quality (</w:t>
            </w:r>
            <w:r w:rsidR="003C3B39" w:rsidRPr="007C4D65">
              <w:rPr>
                <w:rFonts w:asciiTheme="minorHAnsi" w:eastAsia="Calibri" w:hAnsiTheme="minorHAnsi" w:cstheme="minorHAnsi"/>
                <w:sz w:val="18"/>
                <w:szCs w:val="18"/>
                <w:lang w:eastAsia="en-US"/>
              </w:rPr>
              <w:t xml:space="preserve">the Federation of BiH </w:t>
            </w:r>
            <w:r w:rsidRPr="007C4D65">
              <w:rPr>
                <w:rFonts w:asciiTheme="minorHAnsi" w:eastAsia="Calibri" w:hAnsiTheme="minorHAnsi" w:cstheme="minorHAnsi"/>
                <w:sz w:val="18"/>
                <w:szCs w:val="18"/>
                <w:lang w:eastAsia="en-US"/>
              </w:rPr>
              <w:t>and cantons</w:t>
            </w:r>
            <w:proofErr w:type="gramStart"/>
            <w:r w:rsidRPr="007C4D65">
              <w:rPr>
                <w:rFonts w:asciiTheme="minorHAnsi" w:eastAsia="Calibri" w:hAnsiTheme="minorHAnsi" w:cstheme="minorHAnsi"/>
                <w:sz w:val="18"/>
                <w:szCs w:val="18"/>
                <w:lang w:eastAsia="en-US"/>
              </w:rPr>
              <w:t>)</w:t>
            </w:r>
            <w:r w:rsidR="006917FB" w:rsidRPr="007C4D65">
              <w:rPr>
                <w:rFonts w:asciiTheme="minorHAnsi" w:eastAsia="Calibri" w:hAnsiTheme="minorHAnsi" w:cstheme="minorHAnsi"/>
                <w:sz w:val="18"/>
                <w:szCs w:val="18"/>
                <w:lang w:eastAsia="en-US"/>
              </w:rPr>
              <w:t>;</w:t>
            </w:r>
            <w:proofErr w:type="gramEnd"/>
          </w:p>
          <w:p w14:paraId="20E368AD" w14:textId="2E1B4495" w:rsidR="003C3B39" w:rsidRPr="007C4D65" w:rsidRDefault="00EE66FD">
            <w:pPr>
              <w:numPr>
                <w:ilvl w:val="0"/>
                <w:numId w:val="11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Dividing the territory of </w:t>
            </w:r>
            <w:r w:rsidR="003C3B39" w:rsidRPr="007C4D65">
              <w:rPr>
                <w:rFonts w:asciiTheme="minorHAnsi" w:eastAsia="Calibri" w:hAnsiTheme="minorHAnsi" w:cstheme="minorHAnsi"/>
                <w:sz w:val="18"/>
                <w:szCs w:val="18"/>
                <w:lang w:eastAsia="en-US"/>
              </w:rPr>
              <w:t>the Federation of BiH</w:t>
            </w:r>
            <w:r w:rsidRPr="007C4D65">
              <w:rPr>
                <w:rFonts w:asciiTheme="minorHAnsi" w:eastAsia="Calibri" w:hAnsiTheme="minorHAnsi" w:cstheme="minorHAnsi"/>
                <w:sz w:val="18"/>
                <w:szCs w:val="18"/>
                <w:lang w:eastAsia="en-US"/>
              </w:rPr>
              <w:t xml:space="preserve"> into zones and agglomerations </w:t>
            </w:r>
            <w:r w:rsidR="003C3B39" w:rsidRPr="007C4D65">
              <w:rPr>
                <w:rFonts w:asciiTheme="minorHAnsi" w:eastAsia="Calibri" w:hAnsiTheme="minorHAnsi" w:cstheme="minorHAnsi"/>
                <w:sz w:val="18"/>
                <w:szCs w:val="18"/>
                <w:lang w:eastAsia="en-US"/>
              </w:rPr>
              <w:t>based on the air quality</w:t>
            </w:r>
            <w:r w:rsidRPr="007C4D65">
              <w:rPr>
                <w:rFonts w:asciiTheme="minorHAnsi" w:eastAsia="Calibri" w:hAnsiTheme="minorHAnsi" w:cstheme="minorHAnsi"/>
                <w:sz w:val="18"/>
                <w:szCs w:val="18"/>
                <w:lang w:eastAsia="en-US"/>
              </w:rPr>
              <w:t xml:space="preserve"> (possible updating based on measurements </w:t>
            </w:r>
            <w:r w:rsidR="003C3B39" w:rsidRPr="007C4D65">
              <w:rPr>
                <w:rFonts w:asciiTheme="minorHAnsi" w:eastAsia="Calibri" w:hAnsiTheme="minorHAnsi" w:cstheme="minorHAnsi"/>
                <w:sz w:val="18"/>
                <w:szCs w:val="18"/>
                <w:lang w:eastAsia="en-US"/>
              </w:rPr>
              <w:t>across the territory of the Federation of BiH</w:t>
            </w:r>
            <w:proofErr w:type="gramStart"/>
            <w:r w:rsidR="003C3B39" w:rsidRPr="007C4D65">
              <w:rPr>
                <w:rFonts w:asciiTheme="minorHAnsi" w:eastAsia="Calibri" w:hAnsiTheme="minorHAnsi" w:cstheme="minorHAnsi"/>
                <w:sz w:val="18"/>
                <w:szCs w:val="18"/>
                <w:lang w:eastAsia="en-US"/>
              </w:rPr>
              <w:t>)</w:t>
            </w:r>
            <w:r w:rsidR="006917FB" w:rsidRPr="007C4D65">
              <w:rPr>
                <w:rFonts w:asciiTheme="minorHAnsi" w:eastAsia="Calibri" w:hAnsiTheme="minorHAnsi" w:cstheme="minorHAnsi"/>
                <w:sz w:val="18"/>
                <w:szCs w:val="18"/>
                <w:lang w:eastAsia="en-US"/>
              </w:rPr>
              <w:t>;</w:t>
            </w:r>
            <w:proofErr w:type="gramEnd"/>
          </w:p>
          <w:p w14:paraId="1B4F39AA" w14:textId="6722DBBF" w:rsidR="00EE66FD" w:rsidRPr="007C4D65" w:rsidRDefault="00EE66FD">
            <w:pPr>
              <w:numPr>
                <w:ilvl w:val="0"/>
                <w:numId w:val="11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Drawing up air quality rehabilitation plans for all the areas with air category II and III, including integration of air quality </w:t>
            </w:r>
            <w:r w:rsidR="003C3B39" w:rsidRPr="007C4D65">
              <w:rPr>
                <w:rFonts w:asciiTheme="minorHAnsi" w:eastAsia="Calibri" w:hAnsiTheme="minorHAnsi" w:cstheme="minorHAnsi"/>
                <w:sz w:val="18"/>
                <w:szCs w:val="18"/>
                <w:lang w:eastAsia="en-US"/>
              </w:rPr>
              <w:t>perspectives</w:t>
            </w:r>
            <w:r w:rsidRPr="007C4D65">
              <w:rPr>
                <w:rFonts w:asciiTheme="minorHAnsi" w:eastAsia="Calibri" w:hAnsiTheme="minorHAnsi" w:cstheme="minorHAnsi"/>
                <w:sz w:val="18"/>
                <w:szCs w:val="18"/>
                <w:lang w:eastAsia="en-US"/>
              </w:rPr>
              <w:t xml:space="preserve"> in the spatial </w:t>
            </w:r>
            <w:proofErr w:type="gramStart"/>
            <w:r w:rsidRPr="007C4D65">
              <w:rPr>
                <w:rFonts w:asciiTheme="minorHAnsi" w:eastAsia="Calibri" w:hAnsiTheme="minorHAnsi" w:cstheme="minorHAnsi"/>
                <w:sz w:val="18"/>
                <w:szCs w:val="18"/>
                <w:lang w:eastAsia="en-US"/>
              </w:rPr>
              <w:t>planning</w:t>
            </w:r>
            <w:r w:rsidR="006917FB" w:rsidRPr="007C4D65">
              <w:rPr>
                <w:rFonts w:asciiTheme="minorHAnsi" w:eastAsia="Calibri" w:hAnsiTheme="minorHAnsi" w:cstheme="minorHAnsi"/>
                <w:sz w:val="18"/>
                <w:szCs w:val="18"/>
                <w:lang w:eastAsia="en-US"/>
              </w:rPr>
              <w:t>;</w:t>
            </w:r>
            <w:proofErr w:type="gramEnd"/>
          </w:p>
          <w:p w14:paraId="4963F4E4" w14:textId="403FBBAB" w:rsidR="00EE66FD" w:rsidRPr="007C4D65" w:rsidRDefault="00EE66FD">
            <w:pPr>
              <w:numPr>
                <w:ilvl w:val="0"/>
                <w:numId w:val="11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Establishment of </w:t>
            </w:r>
            <w:r w:rsidR="003C3B39" w:rsidRPr="007C4D65">
              <w:rPr>
                <w:rFonts w:asciiTheme="minorHAnsi" w:eastAsia="Calibri" w:hAnsiTheme="minorHAnsi" w:cstheme="minorHAnsi"/>
                <w:sz w:val="18"/>
                <w:szCs w:val="18"/>
                <w:lang w:eastAsia="en-US"/>
              </w:rPr>
              <w:t xml:space="preserve">air quality </w:t>
            </w:r>
            <w:r w:rsidRPr="007C4D65">
              <w:rPr>
                <w:rFonts w:asciiTheme="minorHAnsi" w:eastAsia="Calibri" w:hAnsiTheme="minorHAnsi" w:cstheme="minorHAnsi"/>
                <w:sz w:val="18"/>
                <w:szCs w:val="18"/>
                <w:lang w:eastAsia="en-US"/>
              </w:rPr>
              <w:t xml:space="preserve">information </w:t>
            </w:r>
            <w:proofErr w:type="gramStart"/>
            <w:r w:rsidRPr="007C4D65">
              <w:rPr>
                <w:rFonts w:asciiTheme="minorHAnsi" w:eastAsia="Calibri" w:hAnsiTheme="minorHAnsi" w:cstheme="minorHAnsi"/>
                <w:sz w:val="18"/>
                <w:szCs w:val="18"/>
                <w:lang w:eastAsia="en-US"/>
              </w:rPr>
              <w:t>system</w:t>
            </w:r>
            <w:r w:rsidR="006917FB" w:rsidRPr="007C4D65">
              <w:rPr>
                <w:rFonts w:asciiTheme="minorHAnsi" w:eastAsia="Calibri" w:hAnsiTheme="minorHAnsi" w:cstheme="minorHAnsi"/>
                <w:sz w:val="18"/>
                <w:szCs w:val="18"/>
                <w:lang w:eastAsia="en-US"/>
              </w:rPr>
              <w:t>;</w:t>
            </w:r>
            <w:proofErr w:type="gramEnd"/>
          </w:p>
          <w:p w14:paraId="1AB6A945" w14:textId="680F649D" w:rsidR="00EE66FD" w:rsidRPr="007C4D65" w:rsidRDefault="00EE66FD">
            <w:pPr>
              <w:numPr>
                <w:ilvl w:val="0"/>
                <w:numId w:val="11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Designating reference laboratories for measurement of emissions and air </w:t>
            </w:r>
            <w:proofErr w:type="gramStart"/>
            <w:r w:rsidRPr="007C4D65">
              <w:rPr>
                <w:rFonts w:asciiTheme="minorHAnsi" w:eastAsia="Calibri" w:hAnsiTheme="minorHAnsi" w:cstheme="minorHAnsi"/>
                <w:sz w:val="18"/>
                <w:szCs w:val="18"/>
                <w:lang w:eastAsia="en-US"/>
              </w:rPr>
              <w:t>quality</w:t>
            </w:r>
            <w:r w:rsidR="006917FB" w:rsidRPr="007C4D65">
              <w:rPr>
                <w:rFonts w:asciiTheme="minorHAnsi" w:eastAsia="Calibri" w:hAnsiTheme="minorHAnsi" w:cstheme="minorHAnsi"/>
                <w:sz w:val="18"/>
                <w:szCs w:val="18"/>
                <w:lang w:eastAsia="en-US"/>
              </w:rPr>
              <w:t>;</w:t>
            </w:r>
            <w:proofErr w:type="gramEnd"/>
          </w:p>
          <w:p w14:paraId="6C8878C2" w14:textId="3193BE8B" w:rsidR="00EE66FD" w:rsidRPr="007C4D65" w:rsidRDefault="00EE66FD">
            <w:pPr>
              <w:numPr>
                <w:ilvl w:val="0"/>
                <w:numId w:val="11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Improving reporting on emissions through introduction of a uniform electronic reporting system on measurement</w:t>
            </w:r>
            <w:r w:rsidR="003C3B39" w:rsidRPr="007C4D65">
              <w:rPr>
                <w:rFonts w:asciiTheme="minorHAnsi" w:eastAsia="Calibri" w:hAnsiTheme="minorHAnsi" w:cstheme="minorHAnsi"/>
                <w:sz w:val="18"/>
                <w:szCs w:val="18"/>
                <w:lang w:eastAsia="en-US"/>
              </w:rPr>
              <w:t>s</w:t>
            </w:r>
            <w:r w:rsidRPr="007C4D65">
              <w:rPr>
                <w:rFonts w:asciiTheme="minorHAnsi" w:eastAsia="Calibri" w:hAnsiTheme="minorHAnsi" w:cstheme="minorHAnsi"/>
                <w:sz w:val="18"/>
                <w:szCs w:val="18"/>
                <w:lang w:eastAsia="en-US"/>
              </w:rPr>
              <w:t xml:space="preserve"> of emissions and general data on emission, including </w:t>
            </w:r>
            <w:r w:rsidR="009728FE" w:rsidRPr="007C4D65">
              <w:rPr>
                <w:rFonts w:asciiTheme="minorHAnsi" w:eastAsia="Calibri" w:hAnsiTheme="minorHAnsi" w:cstheme="minorHAnsi"/>
                <w:sz w:val="18"/>
                <w:szCs w:val="18"/>
                <w:lang w:eastAsia="en-US"/>
              </w:rPr>
              <w:t>sanctioning of</w:t>
            </w:r>
            <w:r w:rsidRPr="007C4D65">
              <w:rPr>
                <w:rFonts w:asciiTheme="minorHAnsi" w:eastAsia="Calibri" w:hAnsiTheme="minorHAnsi" w:cstheme="minorHAnsi"/>
                <w:sz w:val="18"/>
                <w:szCs w:val="18"/>
                <w:lang w:eastAsia="en-US"/>
              </w:rPr>
              <w:t xml:space="preserve"> failure</w:t>
            </w:r>
            <w:r w:rsidR="009728FE" w:rsidRPr="007C4D65">
              <w:rPr>
                <w:rFonts w:asciiTheme="minorHAnsi" w:eastAsia="Calibri" w:hAnsiTheme="minorHAnsi" w:cstheme="minorHAnsi"/>
                <w:sz w:val="18"/>
                <w:szCs w:val="18"/>
                <w:lang w:eastAsia="en-US"/>
              </w:rPr>
              <w:t>s</w:t>
            </w:r>
            <w:r w:rsidRPr="007C4D65">
              <w:rPr>
                <w:rFonts w:asciiTheme="minorHAnsi" w:eastAsia="Calibri" w:hAnsiTheme="minorHAnsi" w:cstheme="minorHAnsi"/>
                <w:sz w:val="18"/>
                <w:szCs w:val="18"/>
                <w:lang w:eastAsia="en-US"/>
              </w:rPr>
              <w:t xml:space="preserve"> to provide </w:t>
            </w:r>
            <w:proofErr w:type="gramStart"/>
            <w:r w:rsidRPr="007C4D65">
              <w:rPr>
                <w:rFonts w:asciiTheme="minorHAnsi" w:eastAsia="Calibri" w:hAnsiTheme="minorHAnsi" w:cstheme="minorHAnsi"/>
                <w:sz w:val="18"/>
                <w:szCs w:val="18"/>
                <w:lang w:eastAsia="en-US"/>
              </w:rPr>
              <w:t>data</w:t>
            </w:r>
            <w:r w:rsidR="006917FB" w:rsidRPr="007C4D65">
              <w:rPr>
                <w:rFonts w:asciiTheme="minorHAnsi" w:eastAsia="Calibri" w:hAnsiTheme="minorHAnsi" w:cstheme="minorHAnsi"/>
                <w:sz w:val="18"/>
                <w:szCs w:val="18"/>
                <w:lang w:eastAsia="en-US"/>
              </w:rPr>
              <w:t>;</w:t>
            </w:r>
            <w:proofErr w:type="gramEnd"/>
          </w:p>
          <w:p w14:paraId="4A8D8943" w14:textId="0C01965E" w:rsidR="00EE66FD" w:rsidRPr="007C4D65" w:rsidRDefault="009728FE">
            <w:pPr>
              <w:numPr>
                <w:ilvl w:val="0"/>
                <w:numId w:val="11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Regulating the</w:t>
            </w:r>
            <w:r w:rsidR="00EE66FD" w:rsidRPr="007C4D65">
              <w:rPr>
                <w:rFonts w:asciiTheme="minorHAnsi" w:eastAsia="Calibri" w:hAnsiTheme="minorHAnsi" w:cstheme="minorHAnsi"/>
                <w:sz w:val="18"/>
                <w:szCs w:val="18"/>
                <w:lang w:eastAsia="en-US"/>
              </w:rPr>
              <w:t xml:space="preserve"> method</w:t>
            </w:r>
            <w:r w:rsidRPr="007C4D65">
              <w:rPr>
                <w:rFonts w:asciiTheme="minorHAnsi" w:eastAsia="Calibri" w:hAnsiTheme="minorHAnsi" w:cstheme="minorHAnsi"/>
                <w:sz w:val="18"/>
                <w:szCs w:val="18"/>
                <w:lang w:eastAsia="en-US"/>
              </w:rPr>
              <w:t>ology</w:t>
            </w:r>
            <w:r w:rsidR="00EE66FD" w:rsidRPr="007C4D65">
              <w:rPr>
                <w:rFonts w:asciiTheme="minorHAnsi" w:eastAsia="Calibri" w:hAnsiTheme="minorHAnsi" w:cstheme="minorHAnsi"/>
                <w:sz w:val="18"/>
                <w:szCs w:val="18"/>
                <w:lang w:eastAsia="en-US"/>
              </w:rPr>
              <w:t xml:space="preserve"> and deadlines for providing data on emissions </w:t>
            </w:r>
            <w:r w:rsidRPr="007C4D65">
              <w:rPr>
                <w:rFonts w:asciiTheme="minorHAnsi" w:eastAsia="Calibri" w:hAnsiTheme="minorHAnsi" w:cstheme="minorHAnsi"/>
                <w:sz w:val="18"/>
                <w:szCs w:val="18"/>
                <w:lang w:eastAsia="en-US"/>
              </w:rPr>
              <w:t>needed for the</w:t>
            </w:r>
            <w:r w:rsidR="00EE66FD" w:rsidRPr="007C4D65">
              <w:rPr>
                <w:rFonts w:asciiTheme="minorHAnsi" w:eastAsia="Calibri" w:hAnsiTheme="minorHAnsi" w:cstheme="minorHAnsi"/>
                <w:sz w:val="18"/>
                <w:szCs w:val="18"/>
                <w:lang w:eastAsia="en-US"/>
              </w:rPr>
              <w:t xml:space="preserve"> information </w:t>
            </w:r>
            <w:proofErr w:type="gramStart"/>
            <w:r w:rsidR="00EE66FD" w:rsidRPr="007C4D65">
              <w:rPr>
                <w:rFonts w:asciiTheme="minorHAnsi" w:eastAsia="Calibri" w:hAnsiTheme="minorHAnsi" w:cstheme="minorHAnsi"/>
                <w:sz w:val="18"/>
                <w:szCs w:val="18"/>
                <w:lang w:eastAsia="en-US"/>
              </w:rPr>
              <w:t>system</w:t>
            </w:r>
            <w:r w:rsidR="006917FB" w:rsidRPr="007C4D65">
              <w:rPr>
                <w:rFonts w:asciiTheme="minorHAnsi" w:eastAsia="Calibri" w:hAnsiTheme="minorHAnsi" w:cstheme="minorHAnsi"/>
                <w:sz w:val="18"/>
                <w:szCs w:val="18"/>
                <w:lang w:eastAsia="en-US"/>
              </w:rPr>
              <w:t>;</w:t>
            </w:r>
            <w:proofErr w:type="gramEnd"/>
          </w:p>
          <w:p w14:paraId="32D7A0A3" w14:textId="33F24CA5" w:rsidR="00EE66FD" w:rsidRPr="007C4D65" w:rsidRDefault="00EE66FD">
            <w:pPr>
              <w:numPr>
                <w:ilvl w:val="0"/>
                <w:numId w:val="11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Strengthening capacities for verification of results of pollutants emission </w:t>
            </w:r>
            <w:proofErr w:type="gramStart"/>
            <w:r w:rsidRPr="007C4D65">
              <w:rPr>
                <w:rFonts w:asciiTheme="minorHAnsi" w:eastAsia="Calibri" w:hAnsiTheme="minorHAnsi" w:cstheme="minorHAnsi"/>
                <w:sz w:val="18"/>
                <w:szCs w:val="18"/>
                <w:lang w:eastAsia="en-US"/>
              </w:rPr>
              <w:t>measurements</w:t>
            </w:r>
            <w:r w:rsidR="006917FB" w:rsidRPr="007C4D65">
              <w:rPr>
                <w:rFonts w:asciiTheme="minorHAnsi" w:eastAsia="Calibri" w:hAnsiTheme="minorHAnsi" w:cstheme="minorHAnsi"/>
                <w:sz w:val="18"/>
                <w:szCs w:val="18"/>
                <w:lang w:eastAsia="en-US"/>
              </w:rPr>
              <w:t>;</w:t>
            </w:r>
            <w:proofErr w:type="gramEnd"/>
          </w:p>
          <w:p w14:paraId="153A6A21" w14:textId="71732E21" w:rsidR="00EE66FD" w:rsidRPr="007C4D65" w:rsidRDefault="00EE66FD">
            <w:pPr>
              <w:numPr>
                <w:ilvl w:val="0"/>
                <w:numId w:val="11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Regulating the </w:t>
            </w:r>
            <w:r w:rsidR="009728FE" w:rsidRPr="007C4D65">
              <w:rPr>
                <w:rFonts w:asciiTheme="minorHAnsi" w:eastAsia="Calibri" w:hAnsiTheme="minorHAnsi" w:cstheme="minorHAnsi"/>
                <w:sz w:val="18"/>
                <w:szCs w:val="18"/>
                <w:lang w:eastAsia="en-US"/>
              </w:rPr>
              <w:t>methodology</w:t>
            </w:r>
            <w:r w:rsidRPr="007C4D65">
              <w:rPr>
                <w:rFonts w:asciiTheme="minorHAnsi" w:eastAsia="Calibri" w:hAnsiTheme="minorHAnsi" w:cstheme="minorHAnsi"/>
                <w:sz w:val="18"/>
                <w:szCs w:val="18"/>
                <w:lang w:eastAsia="en-US"/>
              </w:rPr>
              <w:t xml:space="preserve"> of calculation of emissions, along with a development of national emission </w:t>
            </w:r>
            <w:proofErr w:type="gramStart"/>
            <w:r w:rsidRPr="007C4D65">
              <w:rPr>
                <w:rFonts w:asciiTheme="minorHAnsi" w:eastAsia="Calibri" w:hAnsiTheme="minorHAnsi" w:cstheme="minorHAnsi"/>
                <w:sz w:val="18"/>
                <w:szCs w:val="18"/>
                <w:lang w:eastAsia="en-US"/>
              </w:rPr>
              <w:t>factors</w:t>
            </w:r>
            <w:r w:rsidR="006917FB" w:rsidRPr="007C4D65">
              <w:rPr>
                <w:rFonts w:asciiTheme="minorHAnsi" w:eastAsia="Calibri" w:hAnsiTheme="minorHAnsi" w:cstheme="minorHAnsi"/>
                <w:sz w:val="18"/>
                <w:szCs w:val="18"/>
                <w:lang w:eastAsia="en-US"/>
              </w:rPr>
              <w:t>;</w:t>
            </w:r>
            <w:proofErr w:type="gramEnd"/>
          </w:p>
          <w:p w14:paraId="7D063074" w14:textId="6ABDA02C" w:rsidR="00EE66FD" w:rsidRPr="007C4D65" w:rsidRDefault="00EE66FD">
            <w:pPr>
              <w:numPr>
                <w:ilvl w:val="0"/>
                <w:numId w:val="11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Adopting cantonal air quality </w:t>
            </w:r>
            <w:proofErr w:type="gramStart"/>
            <w:r w:rsidRPr="007C4D65">
              <w:rPr>
                <w:rFonts w:asciiTheme="minorHAnsi" w:eastAsia="Calibri" w:hAnsiTheme="minorHAnsi" w:cstheme="minorHAnsi"/>
                <w:sz w:val="18"/>
                <w:szCs w:val="18"/>
                <w:lang w:eastAsia="en-US"/>
              </w:rPr>
              <w:t>laws</w:t>
            </w:r>
            <w:r w:rsidR="006917FB" w:rsidRPr="007C4D65">
              <w:rPr>
                <w:rFonts w:asciiTheme="minorHAnsi" w:eastAsia="Calibri" w:hAnsiTheme="minorHAnsi" w:cstheme="minorHAnsi"/>
                <w:sz w:val="18"/>
                <w:szCs w:val="18"/>
                <w:lang w:eastAsia="en-US"/>
              </w:rPr>
              <w:t>;</w:t>
            </w:r>
            <w:proofErr w:type="gramEnd"/>
          </w:p>
          <w:p w14:paraId="717DC261" w14:textId="07B69F50" w:rsidR="00EE66FD" w:rsidRPr="007C4D65" w:rsidRDefault="00EE66FD">
            <w:pPr>
              <w:numPr>
                <w:ilvl w:val="0"/>
                <w:numId w:val="11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Completing an inventory of pollution and developing a register of operators (cantonal</w:t>
            </w:r>
            <w:proofErr w:type="gramStart"/>
            <w:r w:rsidRPr="007C4D65">
              <w:rPr>
                <w:rFonts w:asciiTheme="minorHAnsi" w:eastAsia="Calibri" w:hAnsiTheme="minorHAnsi" w:cstheme="minorHAnsi"/>
                <w:sz w:val="18"/>
                <w:szCs w:val="18"/>
                <w:lang w:eastAsia="en-US"/>
              </w:rPr>
              <w:t>)</w:t>
            </w:r>
            <w:r w:rsidR="006917FB" w:rsidRPr="007C4D65">
              <w:rPr>
                <w:rFonts w:asciiTheme="minorHAnsi" w:eastAsia="Calibri" w:hAnsiTheme="minorHAnsi" w:cstheme="minorHAnsi"/>
                <w:sz w:val="18"/>
                <w:szCs w:val="18"/>
                <w:lang w:eastAsia="en-US"/>
              </w:rPr>
              <w:t>;</w:t>
            </w:r>
            <w:proofErr w:type="gramEnd"/>
          </w:p>
          <w:p w14:paraId="00970757" w14:textId="040A860D" w:rsidR="00EE66FD" w:rsidRPr="007C4D65" w:rsidRDefault="00EE66FD">
            <w:pPr>
              <w:numPr>
                <w:ilvl w:val="0"/>
                <w:numId w:val="11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Developing a baseline dispersion model for air quality monitoring and spatial planning, and implement it (at the cantonal level</w:t>
            </w:r>
            <w:proofErr w:type="gramStart"/>
            <w:r w:rsidRPr="007C4D65">
              <w:rPr>
                <w:rFonts w:asciiTheme="minorHAnsi" w:eastAsia="Calibri" w:hAnsiTheme="minorHAnsi" w:cstheme="minorHAnsi"/>
                <w:sz w:val="18"/>
                <w:szCs w:val="18"/>
                <w:lang w:eastAsia="en-US"/>
              </w:rPr>
              <w:t>)</w:t>
            </w:r>
            <w:r w:rsidR="006917FB" w:rsidRPr="007C4D65">
              <w:rPr>
                <w:rFonts w:asciiTheme="minorHAnsi" w:eastAsia="Calibri" w:hAnsiTheme="minorHAnsi" w:cstheme="minorHAnsi"/>
                <w:sz w:val="18"/>
                <w:szCs w:val="18"/>
                <w:lang w:eastAsia="en-US"/>
              </w:rPr>
              <w:t>;</w:t>
            </w:r>
            <w:proofErr w:type="gramEnd"/>
          </w:p>
          <w:p w14:paraId="3D015113" w14:textId="053C5139" w:rsidR="00EE66FD" w:rsidRPr="007C4D65" w:rsidRDefault="009728FE">
            <w:pPr>
              <w:numPr>
                <w:ilvl w:val="0"/>
                <w:numId w:val="11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Define the methodology</w:t>
            </w:r>
            <w:r w:rsidR="00EE66FD" w:rsidRPr="007C4D65">
              <w:rPr>
                <w:rFonts w:asciiTheme="minorHAnsi" w:eastAsia="Calibri" w:hAnsiTheme="minorHAnsi" w:cstheme="minorHAnsi"/>
                <w:sz w:val="18"/>
                <w:szCs w:val="18"/>
                <w:lang w:eastAsia="en-US"/>
              </w:rPr>
              <w:t xml:space="preserve"> of reporting on emissions and air quality towards the state level</w:t>
            </w:r>
            <w:r w:rsidR="006917FB" w:rsidRPr="007C4D65">
              <w:rPr>
                <w:rFonts w:asciiTheme="minorHAnsi" w:eastAsia="Calibri" w:hAnsiTheme="minorHAnsi" w:cstheme="minorHAnsi"/>
                <w:sz w:val="18"/>
                <w:szCs w:val="18"/>
                <w:lang w:eastAsia="en-US"/>
              </w:rPr>
              <w:t>.</w:t>
            </w:r>
          </w:p>
        </w:tc>
      </w:tr>
      <w:tr w:rsidR="00EE66FD" w:rsidRPr="007C4D65" w14:paraId="7B009822"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FBA54B6"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Strategic projects</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A5070B4"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E66FD" w:rsidRPr="007C4D65" w14:paraId="06319149" w14:textId="77777777" w:rsidTr="00BC37DE">
        <w:trPr>
          <w:trHeight w:val="567"/>
          <w:jc w:val="center"/>
        </w:trPr>
        <w:tc>
          <w:tcPr>
            <w:tcW w:w="1322" w:type="pct"/>
            <w:vMerge w:val="restart"/>
            <w:tcBorders>
              <w:top w:val="single" w:sz="4" w:space="0" w:color="A6A6A6"/>
              <w:left w:val="single" w:sz="4" w:space="0" w:color="A6A6A6"/>
              <w:right w:val="single" w:sz="4" w:space="0" w:color="A6A6A6"/>
            </w:tcBorders>
            <w:shd w:val="clear" w:color="auto" w:fill="009D73"/>
            <w:vAlign w:val="center"/>
          </w:tcPr>
          <w:p w14:paraId="60D93C2C"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Indicators for monitoring of results</w:t>
            </w:r>
          </w:p>
        </w:tc>
        <w:tc>
          <w:tcPr>
            <w:tcW w:w="114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8E64C83"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w:t>
            </w:r>
          </w:p>
          <w:p w14:paraId="0611FFFB"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w:t>
            </w:r>
            <w:proofErr w:type="gramStart"/>
            <w:r w:rsidRPr="007C4D65">
              <w:rPr>
                <w:rFonts w:asciiTheme="minorHAnsi" w:eastAsiaTheme="minorHAnsi" w:hAnsiTheme="minorHAnsi" w:cstheme="minorHAnsi"/>
                <w:b/>
                <w:bCs/>
                <w:color w:val="FFFFFF" w:themeColor="background1"/>
                <w:sz w:val="18"/>
                <w:szCs w:val="18"/>
                <w:lang w:eastAsia="en-US"/>
              </w:rPr>
              <w:t>outputs</w:t>
            </w:r>
            <w:proofErr w:type="gramEnd"/>
            <w:r w:rsidRPr="007C4D65">
              <w:rPr>
                <w:rFonts w:asciiTheme="minorHAnsi" w:eastAsiaTheme="minorHAnsi" w:hAnsiTheme="minorHAnsi" w:cstheme="minorHAnsi"/>
                <w:b/>
                <w:bCs/>
                <w:color w:val="FFFFFF" w:themeColor="background1"/>
                <w:sz w:val="18"/>
                <w:szCs w:val="18"/>
                <w:lang w:eastAsia="en-US"/>
              </w:rPr>
              <w:t xml:space="preserve"> and deliverables)</w:t>
            </w:r>
          </w:p>
        </w:tc>
        <w:tc>
          <w:tcPr>
            <w:tcW w:w="126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B95F11C"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Baseline value</w:t>
            </w:r>
          </w:p>
        </w:tc>
        <w:tc>
          <w:tcPr>
            <w:tcW w:w="126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24FB077"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value</w:t>
            </w:r>
          </w:p>
        </w:tc>
      </w:tr>
      <w:tr w:rsidR="00EE66FD" w:rsidRPr="007C4D65" w14:paraId="30D959E3" w14:textId="77777777" w:rsidTr="00BC37DE">
        <w:trPr>
          <w:trHeight w:val="567"/>
          <w:jc w:val="center"/>
        </w:trPr>
        <w:tc>
          <w:tcPr>
            <w:tcW w:w="1322" w:type="pct"/>
            <w:vMerge/>
            <w:tcBorders>
              <w:left w:val="single" w:sz="4" w:space="0" w:color="A6A6A6"/>
              <w:right w:val="single" w:sz="4" w:space="0" w:color="A6A6A6"/>
            </w:tcBorders>
            <w:shd w:val="clear" w:color="auto" w:fill="009D73"/>
            <w:vAlign w:val="center"/>
          </w:tcPr>
          <w:p w14:paraId="369F5F02"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B0CA021" w14:textId="77777777" w:rsidR="00EE66FD" w:rsidRPr="007C4D65" w:rsidRDefault="00EE66FD">
            <w:pPr>
              <w:numPr>
                <w:ilvl w:val="0"/>
                <w:numId w:val="11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the programme development</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E67C1A4"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Insufficiently developed system of informing the public on air quality</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D7C9E7F" w14:textId="0CA068F2"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Information programme adopted at the level of </w:t>
            </w:r>
            <w:r w:rsidR="009728FE" w:rsidRPr="007C4D65">
              <w:rPr>
                <w:rFonts w:asciiTheme="minorHAnsi" w:eastAsiaTheme="minorHAnsi" w:hAnsiTheme="minorHAnsi" w:cstheme="minorHAnsi"/>
                <w:sz w:val="18"/>
                <w:szCs w:val="18"/>
                <w:lang w:eastAsia="en-US"/>
              </w:rPr>
              <w:t xml:space="preserve">the Federation of </w:t>
            </w:r>
            <w:r w:rsidRPr="007C4D65">
              <w:rPr>
                <w:rFonts w:asciiTheme="minorHAnsi" w:eastAsiaTheme="minorHAnsi" w:hAnsiTheme="minorHAnsi" w:cstheme="minorHAnsi"/>
                <w:sz w:val="18"/>
                <w:szCs w:val="18"/>
                <w:lang w:eastAsia="en-US"/>
              </w:rPr>
              <w:t>BiH, with clear</w:t>
            </w:r>
            <w:r w:rsidR="009728FE" w:rsidRPr="007C4D65">
              <w:rPr>
                <w:rFonts w:asciiTheme="minorHAnsi" w:eastAsiaTheme="minorHAnsi" w:hAnsiTheme="minorHAnsi" w:cstheme="minorHAnsi"/>
                <w:sz w:val="18"/>
                <w:szCs w:val="18"/>
                <w:lang w:eastAsia="en-US"/>
              </w:rPr>
              <w:t>ly defined</w:t>
            </w:r>
            <w:r w:rsidRPr="007C4D65">
              <w:rPr>
                <w:rFonts w:asciiTheme="minorHAnsi" w:eastAsiaTheme="minorHAnsi" w:hAnsiTheme="minorHAnsi" w:cstheme="minorHAnsi"/>
                <w:sz w:val="18"/>
                <w:szCs w:val="18"/>
                <w:lang w:eastAsia="en-US"/>
              </w:rPr>
              <w:t xml:space="preserve"> roles of cantons and municipalities</w:t>
            </w:r>
          </w:p>
        </w:tc>
      </w:tr>
      <w:tr w:rsidR="00EE66FD" w:rsidRPr="007C4D65" w14:paraId="320554D4" w14:textId="77777777" w:rsidTr="00BC37DE">
        <w:trPr>
          <w:trHeight w:val="567"/>
          <w:jc w:val="center"/>
        </w:trPr>
        <w:tc>
          <w:tcPr>
            <w:tcW w:w="1322" w:type="pct"/>
            <w:vMerge/>
            <w:tcBorders>
              <w:left w:val="single" w:sz="4" w:space="0" w:color="A6A6A6"/>
              <w:right w:val="single" w:sz="4" w:space="0" w:color="A6A6A6"/>
            </w:tcBorders>
            <w:shd w:val="clear" w:color="auto" w:fill="009D73"/>
            <w:vAlign w:val="center"/>
          </w:tcPr>
          <w:p w14:paraId="1D5A14BC"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3DA3DC6" w14:textId="6734423F" w:rsidR="00EE66FD" w:rsidRPr="007C4D65" w:rsidRDefault="00EE66FD">
            <w:pPr>
              <w:numPr>
                <w:ilvl w:val="0"/>
                <w:numId w:val="11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Level of the implementation of the capacity </w:t>
            </w:r>
            <w:r w:rsidR="009728FE" w:rsidRPr="007C4D65">
              <w:rPr>
                <w:rFonts w:asciiTheme="minorHAnsi" w:eastAsia="Calibri" w:hAnsiTheme="minorHAnsi" w:cstheme="minorHAnsi"/>
                <w:sz w:val="18"/>
                <w:szCs w:val="18"/>
                <w:lang w:eastAsia="en-US"/>
              </w:rPr>
              <w:t xml:space="preserve">building </w:t>
            </w:r>
            <w:r w:rsidRPr="007C4D65">
              <w:rPr>
                <w:rFonts w:asciiTheme="minorHAnsi" w:eastAsia="Calibri" w:hAnsiTheme="minorHAnsi" w:cstheme="minorHAnsi"/>
                <w:sz w:val="18"/>
                <w:szCs w:val="18"/>
                <w:lang w:eastAsia="en-US"/>
              </w:rPr>
              <w:t>programme</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680A7BB"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Insufficient capacities of responsible institutions </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0AF5966" w14:textId="6DD4EC7D" w:rsidR="00EE66FD" w:rsidRPr="007C4D65" w:rsidRDefault="009728FE"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c</w:t>
            </w:r>
            <w:r w:rsidR="00EE66FD" w:rsidRPr="007C4D65">
              <w:rPr>
                <w:rFonts w:asciiTheme="minorHAnsi" w:eastAsiaTheme="minorHAnsi" w:hAnsiTheme="minorHAnsi" w:cstheme="minorHAnsi"/>
                <w:sz w:val="18"/>
                <w:szCs w:val="18"/>
                <w:lang w:eastAsia="en-US"/>
              </w:rPr>
              <w:t xml:space="preserve">apacity </w:t>
            </w:r>
            <w:r w:rsidRPr="007C4D65">
              <w:rPr>
                <w:rFonts w:asciiTheme="minorHAnsi" w:eastAsiaTheme="minorHAnsi" w:hAnsiTheme="minorHAnsi" w:cstheme="minorHAnsi"/>
                <w:sz w:val="18"/>
                <w:szCs w:val="18"/>
                <w:lang w:eastAsia="en-US"/>
              </w:rPr>
              <w:t>building</w:t>
            </w:r>
            <w:r w:rsidR="00EE66FD" w:rsidRPr="007C4D65">
              <w:rPr>
                <w:rFonts w:asciiTheme="minorHAnsi" w:eastAsiaTheme="minorHAnsi" w:hAnsiTheme="minorHAnsi" w:cstheme="minorHAnsi"/>
                <w:sz w:val="18"/>
                <w:szCs w:val="18"/>
                <w:lang w:eastAsia="en-US"/>
              </w:rPr>
              <w:t xml:space="preserve"> programme implemented</w:t>
            </w:r>
          </w:p>
        </w:tc>
      </w:tr>
      <w:tr w:rsidR="00EE66FD" w:rsidRPr="007C4D65" w14:paraId="782BCFCB" w14:textId="77777777" w:rsidTr="00BC37DE">
        <w:trPr>
          <w:trHeight w:val="567"/>
          <w:jc w:val="center"/>
        </w:trPr>
        <w:tc>
          <w:tcPr>
            <w:tcW w:w="1322" w:type="pct"/>
            <w:vMerge/>
            <w:tcBorders>
              <w:left w:val="single" w:sz="4" w:space="0" w:color="A6A6A6"/>
              <w:right w:val="single" w:sz="4" w:space="0" w:color="A6A6A6"/>
            </w:tcBorders>
            <w:shd w:val="clear" w:color="auto" w:fill="009D73"/>
            <w:vAlign w:val="center"/>
          </w:tcPr>
          <w:p w14:paraId="11941A64"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9C52BD7" w14:textId="77777777" w:rsidR="00EE66FD" w:rsidRPr="007C4D65" w:rsidRDefault="00EE66FD">
            <w:pPr>
              <w:numPr>
                <w:ilvl w:val="0"/>
                <w:numId w:val="11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defining zones and agglomerations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C2FDC2E" w14:textId="06C1A6F7" w:rsidR="00EE66FD" w:rsidRPr="007C4D65" w:rsidRDefault="00EE66FD" w:rsidP="00EE66FD">
            <w:pPr>
              <w:spacing w:before="40" w:after="40" w:line="276" w:lineRule="auto"/>
              <w:rPr>
                <w:rFonts w:asciiTheme="minorHAnsi" w:eastAsiaTheme="minorHAnsi" w:hAnsiTheme="minorHAnsi" w:cstheme="minorHAnsi"/>
                <w:b/>
                <w:sz w:val="18"/>
                <w:szCs w:val="18"/>
                <w:lang w:eastAsia="en-US"/>
              </w:rPr>
            </w:pPr>
            <w:r w:rsidRPr="007C4D65">
              <w:rPr>
                <w:rFonts w:asciiTheme="minorHAnsi" w:eastAsiaTheme="minorHAnsi" w:hAnsiTheme="minorHAnsi" w:cstheme="minorHAnsi"/>
                <w:sz w:val="18"/>
                <w:szCs w:val="18"/>
                <w:lang w:eastAsia="en-US"/>
              </w:rPr>
              <w:t xml:space="preserve">Current zones and agglomerations have been defined without measurements in some parts of </w:t>
            </w:r>
            <w:r w:rsidR="009728FE" w:rsidRPr="007C4D65">
              <w:rPr>
                <w:rFonts w:asciiTheme="minorHAnsi" w:eastAsiaTheme="minorHAnsi" w:hAnsiTheme="minorHAnsi" w:cstheme="minorHAnsi"/>
                <w:sz w:val="18"/>
                <w:szCs w:val="18"/>
                <w:lang w:eastAsia="en-US"/>
              </w:rPr>
              <w:t xml:space="preserve">the </w:t>
            </w:r>
            <w:r w:rsidRPr="007C4D65">
              <w:rPr>
                <w:rFonts w:asciiTheme="minorHAnsi" w:eastAsiaTheme="minorHAnsi" w:hAnsiTheme="minorHAnsi" w:cstheme="minorHAnsi"/>
                <w:sz w:val="18"/>
                <w:szCs w:val="18"/>
                <w:lang w:eastAsia="en-US"/>
              </w:rPr>
              <w:t>F</w:t>
            </w:r>
            <w:r w:rsidR="009728FE" w:rsidRPr="007C4D65">
              <w:rPr>
                <w:rFonts w:asciiTheme="minorHAnsi" w:eastAsiaTheme="minorHAnsi" w:hAnsiTheme="minorHAnsi" w:cstheme="minorHAnsi"/>
                <w:sz w:val="18"/>
                <w:szCs w:val="18"/>
                <w:lang w:eastAsia="en-US"/>
              </w:rPr>
              <w:t xml:space="preserve">ederation of </w:t>
            </w:r>
            <w:r w:rsidRPr="007C4D65">
              <w:rPr>
                <w:rFonts w:asciiTheme="minorHAnsi" w:eastAsiaTheme="minorHAnsi" w:hAnsiTheme="minorHAnsi" w:cstheme="minorHAnsi"/>
                <w:sz w:val="18"/>
                <w:szCs w:val="18"/>
                <w:lang w:eastAsia="en-US"/>
              </w:rPr>
              <w:t>BiH</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31E9AF6"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Zones and agglomerations defined</w:t>
            </w:r>
          </w:p>
        </w:tc>
      </w:tr>
      <w:tr w:rsidR="00EE66FD" w:rsidRPr="007C4D65" w14:paraId="5B571ED4" w14:textId="77777777" w:rsidTr="00BC37DE">
        <w:trPr>
          <w:trHeight w:val="567"/>
          <w:jc w:val="center"/>
        </w:trPr>
        <w:tc>
          <w:tcPr>
            <w:tcW w:w="1322" w:type="pct"/>
            <w:vMerge/>
            <w:tcBorders>
              <w:left w:val="single" w:sz="4" w:space="0" w:color="A6A6A6"/>
              <w:right w:val="single" w:sz="4" w:space="0" w:color="A6A6A6"/>
            </w:tcBorders>
            <w:shd w:val="clear" w:color="auto" w:fill="009D73"/>
            <w:vAlign w:val="center"/>
          </w:tcPr>
          <w:p w14:paraId="43CF8579"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B404E00" w14:textId="77777777" w:rsidR="00EE66FD" w:rsidRPr="007C4D65" w:rsidRDefault="00EE66FD">
            <w:pPr>
              <w:numPr>
                <w:ilvl w:val="0"/>
                <w:numId w:val="115"/>
              </w:numPr>
              <w:spacing w:before="40" w:after="40" w:line="276" w:lineRule="auto"/>
              <w:ind w:left="280" w:hanging="27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Number of developed and adopted rehabilitation plans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CFCFDB6"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Rehabilitation plans not developed</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09E134C"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Rehabilitation plans developed and adopted</w:t>
            </w:r>
          </w:p>
        </w:tc>
      </w:tr>
      <w:tr w:rsidR="00EE66FD" w:rsidRPr="007C4D65" w14:paraId="2F018D7D" w14:textId="77777777" w:rsidTr="00BC37DE">
        <w:trPr>
          <w:trHeight w:val="567"/>
          <w:jc w:val="center"/>
        </w:trPr>
        <w:tc>
          <w:tcPr>
            <w:tcW w:w="1322" w:type="pct"/>
            <w:vMerge/>
            <w:tcBorders>
              <w:left w:val="single" w:sz="4" w:space="0" w:color="A6A6A6"/>
              <w:right w:val="single" w:sz="4" w:space="0" w:color="A6A6A6"/>
            </w:tcBorders>
            <w:shd w:val="clear" w:color="auto" w:fill="009D73"/>
            <w:vAlign w:val="center"/>
          </w:tcPr>
          <w:p w14:paraId="38468B26"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5550C5F" w14:textId="39EAD96E" w:rsidR="00EE66FD" w:rsidRPr="007C4D65" w:rsidRDefault="00EE66FD">
            <w:pPr>
              <w:numPr>
                <w:ilvl w:val="0"/>
                <w:numId w:val="11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9728FE"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 xml:space="preserve">establishment of </w:t>
            </w:r>
            <w:r w:rsidR="009728FE" w:rsidRPr="007C4D65">
              <w:rPr>
                <w:rFonts w:asciiTheme="minorHAnsi" w:eastAsia="Calibri" w:hAnsiTheme="minorHAnsi" w:cstheme="minorHAnsi"/>
                <w:sz w:val="18"/>
                <w:szCs w:val="18"/>
                <w:lang w:eastAsia="en-US"/>
              </w:rPr>
              <w:t>the</w:t>
            </w:r>
            <w:r w:rsidRPr="007C4D65">
              <w:rPr>
                <w:rFonts w:asciiTheme="minorHAnsi" w:eastAsia="Calibri" w:hAnsiTheme="minorHAnsi" w:cstheme="minorHAnsi"/>
                <w:sz w:val="18"/>
                <w:szCs w:val="18"/>
                <w:lang w:eastAsia="en-US"/>
              </w:rPr>
              <w:t xml:space="preserve"> information system</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AC84AA4"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Information system not established</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0E43CE8" w14:textId="4854AD35" w:rsidR="00EE66FD" w:rsidRPr="007C4D65" w:rsidRDefault="009728FE"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air quality </w:t>
            </w:r>
            <w:r w:rsidR="00EE66FD" w:rsidRPr="007C4D65">
              <w:rPr>
                <w:rFonts w:asciiTheme="minorHAnsi" w:eastAsiaTheme="minorHAnsi" w:hAnsiTheme="minorHAnsi" w:cstheme="minorHAnsi"/>
                <w:sz w:val="18"/>
                <w:szCs w:val="18"/>
                <w:lang w:eastAsia="en-US"/>
              </w:rPr>
              <w:t>Information system established</w:t>
            </w:r>
          </w:p>
        </w:tc>
      </w:tr>
      <w:tr w:rsidR="00EE66FD" w:rsidRPr="007C4D65" w14:paraId="6837538B" w14:textId="77777777" w:rsidTr="00BC37DE">
        <w:trPr>
          <w:trHeight w:val="567"/>
          <w:jc w:val="center"/>
        </w:trPr>
        <w:tc>
          <w:tcPr>
            <w:tcW w:w="1322" w:type="pct"/>
            <w:vMerge/>
            <w:tcBorders>
              <w:left w:val="single" w:sz="4" w:space="0" w:color="A6A6A6"/>
              <w:right w:val="single" w:sz="4" w:space="0" w:color="A6A6A6"/>
            </w:tcBorders>
            <w:shd w:val="clear" w:color="auto" w:fill="009D73"/>
            <w:vAlign w:val="center"/>
          </w:tcPr>
          <w:p w14:paraId="699DBBE4"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33DFE9B" w14:textId="13A9004C" w:rsidR="00EE66FD" w:rsidRPr="007C4D65" w:rsidRDefault="00EE66FD">
            <w:pPr>
              <w:numPr>
                <w:ilvl w:val="0"/>
                <w:numId w:val="11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Number of pollutants for which </w:t>
            </w:r>
            <w:r w:rsidR="00903767" w:rsidRPr="007C4D65">
              <w:rPr>
                <w:rFonts w:asciiTheme="minorHAnsi" w:eastAsia="Calibri" w:hAnsiTheme="minorHAnsi" w:cstheme="minorHAnsi"/>
                <w:sz w:val="18"/>
                <w:szCs w:val="18"/>
                <w:lang w:eastAsia="en-US"/>
              </w:rPr>
              <w:t xml:space="preserve">a </w:t>
            </w:r>
            <w:r w:rsidRPr="007C4D65">
              <w:rPr>
                <w:rFonts w:asciiTheme="minorHAnsi" w:eastAsia="Calibri" w:hAnsiTheme="minorHAnsi" w:cstheme="minorHAnsi"/>
                <w:sz w:val="18"/>
                <w:szCs w:val="18"/>
                <w:lang w:eastAsia="en-US"/>
              </w:rPr>
              <w:t>reference laboratory has been designated</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C5D65E9"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Reference laboratories not designated</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61B812D"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Reference laboratories designated</w:t>
            </w:r>
          </w:p>
        </w:tc>
      </w:tr>
      <w:tr w:rsidR="00EE66FD" w:rsidRPr="007C4D65" w14:paraId="6E075973" w14:textId="77777777" w:rsidTr="00BC37DE">
        <w:trPr>
          <w:trHeight w:val="567"/>
          <w:jc w:val="center"/>
        </w:trPr>
        <w:tc>
          <w:tcPr>
            <w:tcW w:w="1322" w:type="pct"/>
            <w:vMerge/>
            <w:tcBorders>
              <w:left w:val="single" w:sz="4" w:space="0" w:color="A6A6A6"/>
              <w:right w:val="single" w:sz="4" w:space="0" w:color="A6A6A6"/>
            </w:tcBorders>
            <w:shd w:val="clear" w:color="auto" w:fill="009D73"/>
            <w:vAlign w:val="center"/>
          </w:tcPr>
          <w:p w14:paraId="2D8CDE2E"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03446A8" w14:textId="28137438" w:rsidR="00EE66FD" w:rsidRPr="007C4D65" w:rsidRDefault="00EE66FD">
            <w:pPr>
              <w:numPr>
                <w:ilvl w:val="0"/>
                <w:numId w:val="11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w:t>
            </w:r>
            <w:r w:rsidR="00903767" w:rsidRPr="007C4D65">
              <w:rPr>
                <w:rFonts w:asciiTheme="minorHAnsi" w:eastAsia="Calibri" w:hAnsiTheme="minorHAnsi" w:cstheme="minorHAnsi"/>
                <w:sz w:val="18"/>
                <w:szCs w:val="18"/>
                <w:lang w:eastAsia="en-US"/>
              </w:rPr>
              <w:t xml:space="preserve">of the </w:t>
            </w:r>
            <w:r w:rsidRPr="007C4D65">
              <w:rPr>
                <w:rFonts w:asciiTheme="minorHAnsi" w:eastAsia="Calibri" w:hAnsiTheme="minorHAnsi" w:cstheme="minorHAnsi"/>
                <w:sz w:val="18"/>
                <w:szCs w:val="18"/>
                <w:lang w:eastAsia="en-US"/>
              </w:rPr>
              <w:t>adoption of the regulation</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0875A7F" w14:textId="04E30E81"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There is no </w:t>
            </w:r>
            <w:r w:rsidR="00903767" w:rsidRPr="007C4D65">
              <w:rPr>
                <w:rFonts w:asciiTheme="minorHAnsi" w:eastAsiaTheme="minorHAnsi" w:hAnsiTheme="minorHAnsi" w:cstheme="minorHAnsi"/>
                <w:sz w:val="18"/>
                <w:szCs w:val="18"/>
                <w:lang w:eastAsia="en-US"/>
              </w:rPr>
              <w:t>specific</w:t>
            </w:r>
            <w:r w:rsidRPr="007C4D65">
              <w:rPr>
                <w:rFonts w:asciiTheme="minorHAnsi" w:eastAsiaTheme="minorHAnsi" w:hAnsiTheme="minorHAnsi" w:cstheme="minorHAnsi"/>
                <w:sz w:val="18"/>
                <w:szCs w:val="18"/>
                <w:lang w:eastAsia="en-US"/>
              </w:rPr>
              <w:t xml:space="preserve"> regulation that clearly </w:t>
            </w:r>
            <w:r w:rsidR="00903767" w:rsidRPr="007C4D65">
              <w:rPr>
                <w:rFonts w:asciiTheme="minorHAnsi" w:eastAsiaTheme="minorHAnsi" w:hAnsiTheme="minorHAnsi" w:cstheme="minorHAnsi"/>
                <w:sz w:val="18"/>
                <w:szCs w:val="18"/>
                <w:lang w:eastAsia="en-US"/>
              </w:rPr>
              <w:t>defines the method of</w:t>
            </w:r>
            <w:r w:rsidRPr="007C4D65">
              <w:rPr>
                <w:rFonts w:asciiTheme="minorHAnsi" w:eastAsiaTheme="minorHAnsi" w:hAnsiTheme="minorHAnsi" w:cstheme="minorHAnsi"/>
                <w:sz w:val="18"/>
                <w:szCs w:val="18"/>
                <w:lang w:eastAsia="en-US"/>
              </w:rPr>
              <w:t xml:space="preserve"> </w:t>
            </w:r>
            <w:r w:rsidR="00903767" w:rsidRPr="007C4D65">
              <w:rPr>
                <w:rFonts w:asciiTheme="minorHAnsi" w:eastAsiaTheme="minorHAnsi" w:hAnsiTheme="minorHAnsi" w:cstheme="minorHAnsi"/>
                <w:sz w:val="18"/>
                <w:szCs w:val="18"/>
                <w:lang w:eastAsia="en-US"/>
              </w:rPr>
              <w:t>reporting</w:t>
            </w:r>
            <w:r w:rsidRPr="007C4D65">
              <w:rPr>
                <w:rFonts w:asciiTheme="minorHAnsi" w:eastAsiaTheme="minorHAnsi" w:hAnsiTheme="minorHAnsi" w:cstheme="minorHAnsi"/>
                <w:sz w:val="18"/>
                <w:szCs w:val="18"/>
                <w:lang w:eastAsia="en-US"/>
              </w:rPr>
              <w:t xml:space="preserve"> data on emissions</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3A78E35" w14:textId="49EA4049"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Regulation </w:t>
            </w:r>
            <w:r w:rsidR="00903767" w:rsidRPr="007C4D65">
              <w:rPr>
                <w:rFonts w:asciiTheme="minorHAnsi" w:eastAsiaTheme="minorHAnsi" w:hAnsiTheme="minorHAnsi" w:cstheme="minorHAnsi"/>
                <w:sz w:val="18"/>
                <w:szCs w:val="18"/>
                <w:lang w:eastAsia="en-US"/>
              </w:rPr>
              <w:t>defining the method of reporting</w:t>
            </w:r>
            <w:r w:rsidRPr="007C4D65">
              <w:rPr>
                <w:rFonts w:asciiTheme="minorHAnsi" w:eastAsiaTheme="minorHAnsi" w:hAnsiTheme="minorHAnsi" w:cstheme="minorHAnsi"/>
                <w:sz w:val="18"/>
                <w:szCs w:val="18"/>
                <w:lang w:eastAsia="en-US"/>
              </w:rPr>
              <w:t xml:space="preserve"> data on emissions adopted</w:t>
            </w:r>
          </w:p>
        </w:tc>
      </w:tr>
      <w:tr w:rsidR="00EE66FD" w:rsidRPr="007C4D65" w14:paraId="630FCFC4" w14:textId="77777777" w:rsidTr="00BC37DE">
        <w:trPr>
          <w:trHeight w:val="567"/>
          <w:jc w:val="center"/>
        </w:trPr>
        <w:tc>
          <w:tcPr>
            <w:tcW w:w="1322" w:type="pct"/>
            <w:vMerge/>
            <w:tcBorders>
              <w:left w:val="single" w:sz="4" w:space="0" w:color="A6A6A6"/>
              <w:right w:val="single" w:sz="4" w:space="0" w:color="A6A6A6"/>
            </w:tcBorders>
            <w:shd w:val="clear" w:color="auto" w:fill="009D73"/>
            <w:vAlign w:val="center"/>
          </w:tcPr>
          <w:p w14:paraId="2AFF7495"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5284FDF" w14:textId="77777777" w:rsidR="00EE66FD" w:rsidRPr="007C4D65" w:rsidRDefault="00EE66FD">
            <w:pPr>
              <w:numPr>
                <w:ilvl w:val="0"/>
                <w:numId w:val="11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Number of electronic reports on emissions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68CEC64"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 is no electronic reporting on emission measurements</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7556BA8"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Uniform electronic reporting on emission measurements introduced</w:t>
            </w:r>
          </w:p>
        </w:tc>
      </w:tr>
      <w:tr w:rsidR="00EE66FD" w:rsidRPr="007C4D65" w14:paraId="0B2B42D7" w14:textId="77777777" w:rsidTr="00BC37DE">
        <w:trPr>
          <w:trHeight w:val="567"/>
          <w:jc w:val="center"/>
        </w:trPr>
        <w:tc>
          <w:tcPr>
            <w:tcW w:w="1322" w:type="pct"/>
            <w:vMerge/>
            <w:tcBorders>
              <w:left w:val="single" w:sz="4" w:space="0" w:color="A6A6A6"/>
              <w:right w:val="single" w:sz="4" w:space="0" w:color="A6A6A6"/>
            </w:tcBorders>
            <w:shd w:val="clear" w:color="auto" w:fill="009D73"/>
            <w:vAlign w:val="center"/>
          </w:tcPr>
          <w:p w14:paraId="70A273D5"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342A638" w14:textId="6365B95E" w:rsidR="00EE66FD" w:rsidRPr="007C4D65" w:rsidRDefault="00EE66FD">
            <w:pPr>
              <w:numPr>
                <w:ilvl w:val="0"/>
                <w:numId w:val="11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Level of the implementation of the capacity </w:t>
            </w:r>
            <w:r w:rsidR="00903767" w:rsidRPr="007C4D65">
              <w:rPr>
                <w:rFonts w:asciiTheme="minorHAnsi" w:eastAsia="Calibri" w:hAnsiTheme="minorHAnsi" w:cstheme="minorHAnsi"/>
                <w:sz w:val="18"/>
                <w:szCs w:val="18"/>
                <w:lang w:eastAsia="en-US"/>
              </w:rPr>
              <w:t>building</w:t>
            </w:r>
            <w:r w:rsidRPr="007C4D65">
              <w:rPr>
                <w:rFonts w:asciiTheme="minorHAnsi" w:eastAsia="Calibri" w:hAnsiTheme="minorHAnsi" w:cstheme="minorHAnsi"/>
                <w:sz w:val="18"/>
                <w:szCs w:val="18"/>
                <w:lang w:eastAsia="en-US"/>
              </w:rPr>
              <w:t xml:space="preserve"> programme</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EEF854A" w14:textId="3D6736F4"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Insufficient capac</w:t>
            </w:r>
            <w:r w:rsidR="00903767" w:rsidRPr="007C4D65">
              <w:rPr>
                <w:rFonts w:asciiTheme="minorHAnsi" w:eastAsiaTheme="minorHAnsi" w:hAnsiTheme="minorHAnsi" w:cstheme="minorHAnsi"/>
                <w:sz w:val="18"/>
                <w:szCs w:val="18"/>
                <w:lang w:eastAsia="en-US"/>
              </w:rPr>
              <w:t>ity</w:t>
            </w:r>
            <w:r w:rsidRPr="007C4D65">
              <w:rPr>
                <w:rFonts w:asciiTheme="minorHAnsi" w:eastAsiaTheme="minorHAnsi" w:hAnsiTheme="minorHAnsi" w:cstheme="minorHAnsi"/>
                <w:sz w:val="18"/>
                <w:szCs w:val="18"/>
                <w:lang w:eastAsia="en-US"/>
              </w:rPr>
              <w:t xml:space="preserve"> </w:t>
            </w:r>
            <w:r w:rsidR="00903767" w:rsidRPr="007C4D65">
              <w:rPr>
                <w:rFonts w:asciiTheme="minorHAnsi" w:eastAsiaTheme="minorHAnsi" w:hAnsiTheme="minorHAnsi" w:cstheme="minorHAnsi"/>
                <w:sz w:val="18"/>
                <w:szCs w:val="18"/>
                <w:lang w:eastAsia="en-US"/>
              </w:rPr>
              <w:t>in</w:t>
            </w:r>
            <w:r w:rsidRPr="007C4D65">
              <w:rPr>
                <w:rFonts w:asciiTheme="minorHAnsi" w:eastAsiaTheme="minorHAnsi" w:hAnsiTheme="minorHAnsi" w:cstheme="minorHAnsi"/>
                <w:sz w:val="18"/>
                <w:szCs w:val="18"/>
                <w:lang w:eastAsia="en-US"/>
              </w:rPr>
              <w:t xml:space="preserve"> responsible institutions</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5D944A5" w14:textId="39DA39F3" w:rsidR="00EE66FD" w:rsidRPr="007C4D65" w:rsidRDefault="00903767"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c</w:t>
            </w:r>
            <w:r w:rsidR="00EE66FD" w:rsidRPr="007C4D65">
              <w:rPr>
                <w:rFonts w:asciiTheme="minorHAnsi" w:eastAsiaTheme="minorHAnsi" w:hAnsiTheme="minorHAnsi" w:cstheme="minorHAnsi"/>
                <w:sz w:val="18"/>
                <w:szCs w:val="18"/>
                <w:lang w:eastAsia="en-US"/>
              </w:rPr>
              <w:t xml:space="preserve">apacity </w:t>
            </w:r>
            <w:r w:rsidRPr="007C4D65">
              <w:rPr>
                <w:rFonts w:asciiTheme="minorHAnsi" w:eastAsiaTheme="minorHAnsi" w:hAnsiTheme="minorHAnsi" w:cstheme="minorHAnsi"/>
                <w:sz w:val="18"/>
                <w:szCs w:val="18"/>
                <w:lang w:eastAsia="en-US"/>
              </w:rPr>
              <w:t>building</w:t>
            </w:r>
            <w:r w:rsidR="00EE66FD" w:rsidRPr="007C4D65">
              <w:rPr>
                <w:rFonts w:asciiTheme="minorHAnsi" w:eastAsiaTheme="minorHAnsi" w:hAnsiTheme="minorHAnsi" w:cstheme="minorHAnsi"/>
                <w:sz w:val="18"/>
                <w:szCs w:val="18"/>
                <w:lang w:eastAsia="en-US"/>
              </w:rPr>
              <w:t xml:space="preserve"> programme for verification of results of emission measurements implemented </w:t>
            </w:r>
          </w:p>
        </w:tc>
      </w:tr>
      <w:tr w:rsidR="00EE66FD" w:rsidRPr="007C4D65" w14:paraId="64B70955" w14:textId="77777777" w:rsidTr="00BC37DE">
        <w:trPr>
          <w:trHeight w:val="567"/>
          <w:jc w:val="center"/>
        </w:trPr>
        <w:tc>
          <w:tcPr>
            <w:tcW w:w="1322" w:type="pct"/>
            <w:vMerge/>
            <w:tcBorders>
              <w:left w:val="single" w:sz="4" w:space="0" w:color="A6A6A6"/>
              <w:right w:val="single" w:sz="4" w:space="0" w:color="A6A6A6"/>
            </w:tcBorders>
            <w:shd w:val="clear" w:color="auto" w:fill="009D73"/>
            <w:vAlign w:val="center"/>
          </w:tcPr>
          <w:p w14:paraId="15AFDDDE"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6DF4420" w14:textId="483DDCA2" w:rsidR="00EE66FD" w:rsidRPr="007C4D65" w:rsidRDefault="00EE66FD">
            <w:pPr>
              <w:numPr>
                <w:ilvl w:val="0"/>
                <w:numId w:val="11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903767"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adoption of national emission coefficients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E453521"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National emission coefficients not identified</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013DAA1"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National emission coefficients adopted</w:t>
            </w:r>
          </w:p>
        </w:tc>
      </w:tr>
      <w:tr w:rsidR="00EE66FD" w:rsidRPr="007C4D65" w14:paraId="0209A177" w14:textId="77777777" w:rsidTr="00BC37DE">
        <w:trPr>
          <w:trHeight w:val="567"/>
          <w:jc w:val="center"/>
        </w:trPr>
        <w:tc>
          <w:tcPr>
            <w:tcW w:w="1322" w:type="pct"/>
            <w:vMerge/>
            <w:tcBorders>
              <w:left w:val="single" w:sz="4" w:space="0" w:color="A6A6A6"/>
              <w:right w:val="single" w:sz="4" w:space="0" w:color="A6A6A6"/>
            </w:tcBorders>
            <w:shd w:val="clear" w:color="auto" w:fill="009D73"/>
            <w:vAlign w:val="center"/>
          </w:tcPr>
          <w:p w14:paraId="5CEE0095"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19933E3" w14:textId="77777777" w:rsidR="00EE66FD" w:rsidRPr="007C4D65" w:rsidRDefault="00EE66FD">
            <w:pPr>
              <w:numPr>
                <w:ilvl w:val="0"/>
                <w:numId w:val="11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Number of cantonal laws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D686A8C" w14:textId="08460F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Draft of the new law on air quality provides an opportunity for cantons to adopt cantonal laws on air protection</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9CC69F5" w14:textId="6F2F3D57" w:rsidR="00EE66FD" w:rsidRPr="007C4D65" w:rsidRDefault="00903767"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l</w:t>
            </w:r>
            <w:r w:rsidR="00EE66FD" w:rsidRPr="007C4D65">
              <w:rPr>
                <w:rFonts w:asciiTheme="minorHAnsi" w:eastAsiaTheme="minorHAnsi" w:hAnsiTheme="minorHAnsi" w:cstheme="minorHAnsi"/>
                <w:sz w:val="18"/>
                <w:szCs w:val="18"/>
                <w:lang w:eastAsia="en-US"/>
              </w:rPr>
              <w:t xml:space="preserve">aws adopted </w:t>
            </w:r>
            <w:r w:rsidRPr="007C4D65">
              <w:rPr>
                <w:rFonts w:asciiTheme="minorHAnsi" w:eastAsiaTheme="minorHAnsi" w:hAnsiTheme="minorHAnsi" w:cstheme="minorHAnsi"/>
                <w:sz w:val="18"/>
                <w:szCs w:val="18"/>
                <w:lang w:eastAsia="en-US"/>
              </w:rPr>
              <w:t>in the cantons</w:t>
            </w:r>
          </w:p>
        </w:tc>
      </w:tr>
      <w:tr w:rsidR="00EE66FD" w:rsidRPr="007C4D65" w14:paraId="247DD402" w14:textId="77777777" w:rsidTr="00BC37DE">
        <w:trPr>
          <w:trHeight w:val="567"/>
          <w:jc w:val="center"/>
        </w:trPr>
        <w:tc>
          <w:tcPr>
            <w:tcW w:w="1322" w:type="pct"/>
            <w:vMerge/>
            <w:tcBorders>
              <w:left w:val="single" w:sz="4" w:space="0" w:color="A6A6A6"/>
              <w:right w:val="single" w:sz="4" w:space="0" w:color="A6A6A6"/>
            </w:tcBorders>
            <w:shd w:val="clear" w:color="auto" w:fill="009D73"/>
            <w:vAlign w:val="center"/>
          </w:tcPr>
          <w:p w14:paraId="46841451"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40C4935" w14:textId="77777777" w:rsidR="00EE66FD" w:rsidRPr="007C4D65" w:rsidRDefault="00EE66FD">
            <w:pPr>
              <w:numPr>
                <w:ilvl w:val="0"/>
                <w:numId w:val="11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Number of cantons with completed inventories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66168AB"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Three cantons have completed inventories of pollution</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1F94FFA" w14:textId="6F4D3321" w:rsidR="00EE66FD" w:rsidRPr="007C4D65" w:rsidRDefault="00903767"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i</w:t>
            </w:r>
            <w:r w:rsidR="00EE66FD" w:rsidRPr="007C4D65">
              <w:rPr>
                <w:rFonts w:asciiTheme="minorHAnsi" w:eastAsiaTheme="minorHAnsi" w:hAnsiTheme="minorHAnsi" w:cstheme="minorHAnsi"/>
                <w:sz w:val="18"/>
                <w:szCs w:val="18"/>
                <w:lang w:eastAsia="en-US"/>
              </w:rPr>
              <w:t xml:space="preserve">nventories of pollution </w:t>
            </w:r>
            <w:r w:rsidRPr="007C4D65">
              <w:rPr>
                <w:rFonts w:asciiTheme="minorHAnsi" w:eastAsiaTheme="minorHAnsi" w:hAnsiTheme="minorHAnsi" w:cstheme="minorHAnsi"/>
                <w:sz w:val="18"/>
                <w:szCs w:val="18"/>
                <w:lang w:eastAsia="en-US"/>
              </w:rPr>
              <w:t>completed</w:t>
            </w:r>
          </w:p>
        </w:tc>
      </w:tr>
      <w:tr w:rsidR="00EE66FD" w:rsidRPr="007C4D65" w14:paraId="38853BF7" w14:textId="77777777" w:rsidTr="00BC37DE">
        <w:trPr>
          <w:trHeight w:val="567"/>
          <w:jc w:val="center"/>
        </w:trPr>
        <w:tc>
          <w:tcPr>
            <w:tcW w:w="1322" w:type="pct"/>
            <w:vMerge/>
            <w:tcBorders>
              <w:left w:val="single" w:sz="4" w:space="0" w:color="A6A6A6"/>
              <w:right w:val="single" w:sz="4" w:space="0" w:color="A6A6A6"/>
            </w:tcBorders>
            <w:shd w:val="clear" w:color="auto" w:fill="009D73"/>
            <w:vAlign w:val="center"/>
          </w:tcPr>
          <w:p w14:paraId="0A3B0E52"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6A11F1B" w14:textId="77777777" w:rsidR="00EE66FD" w:rsidRPr="007C4D65" w:rsidRDefault="00EE66FD">
            <w:pPr>
              <w:numPr>
                <w:ilvl w:val="0"/>
                <w:numId w:val="11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development of baseline model</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E3314F1" w14:textId="71EABDF8"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There is no baseline model for </w:t>
            </w:r>
            <w:r w:rsidR="00903767" w:rsidRPr="007C4D65">
              <w:rPr>
                <w:rFonts w:asciiTheme="minorHAnsi" w:eastAsiaTheme="minorHAnsi" w:hAnsiTheme="minorHAnsi" w:cstheme="minorHAnsi"/>
                <w:sz w:val="18"/>
                <w:szCs w:val="18"/>
                <w:lang w:eastAsia="en-US"/>
              </w:rPr>
              <w:t xml:space="preserve">the air quality </w:t>
            </w:r>
            <w:r w:rsidRPr="007C4D65">
              <w:rPr>
                <w:rFonts w:asciiTheme="minorHAnsi" w:eastAsiaTheme="minorHAnsi" w:hAnsiTheme="minorHAnsi" w:cstheme="minorHAnsi"/>
                <w:sz w:val="18"/>
                <w:szCs w:val="18"/>
                <w:lang w:eastAsia="en-US"/>
              </w:rPr>
              <w:t xml:space="preserve">monitoring </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8B73BFD" w14:textId="5DF7FBC1" w:rsidR="00EE66FD" w:rsidRPr="007C4D65" w:rsidRDefault="00903767"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b</w:t>
            </w:r>
            <w:r w:rsidR="00EE66FD" w:rsidRPr="007C4D65">
              <w:rPr>
                <w:rFonts w:asciiTheme="minorHAnsi" w:eastAsiaTheme="minorHAnsi" w:hAnsiTheme="minorHAnsi" w:cstheme="minorHAnsi"/>
                <w:sz w:val="18"/>
                <w:szCs w:val="18"/>
                <w:lang w:eastAsia="en-US"/>
              </w:rPr>
              <w:t xml:space="preserve">aseline model </w:t>
            </w:r>
            <w:r w:rsidRPr="007C4D65">
              <w:rPr>
                <w:rFonts w:asciiTheme="minorHAnsi" w:eastAsiaTheme="minorHAnsi" w:hAnsiTheme="minorHAnsi" w:cstheme="minorHAnsi"/>
                <w:sz w:val="18"/>
                <w:szCs w:val="18"/>
                <w:lang w:eastAsia="en-US"/>
              </w:rPr>
              <w:t>for the air quality monitoring</w:t>
            </w:r>
            <w:r w:rsidR="00EE66FD" w:rsidRPr="007C4D65">
              <w:rPr>
                <w:rFonts w:asciiTheme="minorHAnsi" w:eastAsiaTheme="minorHAnsi" w:hAnsiTheme="minorHAnsi" w:cstheme="minorHAnsi"/>
                <w:sz w:val="18"/>
                <w:szCs w:val="18"/>
                <w:lang w:eastAsia="en-US"/>
              </w:rPr>
              <w:t xml:space="preserve"> for the purposes of spatial planning adopted</w:t>
            </w:r>
          </w:p>
        </w:tc>
      </w:tr>
      <w:tr w:rsidR="00EE66FD" w:rsidRPr="007C4D65" w14:paraId="09931640" w14:textId="77777777" w:rsidTr="00BC37DE">
        <w:trPr>
          <w:trHeight w:val="567"/>
          <w:jc w:val="center"/>
        </w:trPr>
        <w:tc>
          <w:tcPr>
            <w:tcW w:w="1322" w:type="pct"/>
            <w:vMerge/>
            <w:tcBorders>
              <w:left w:val="single" w:sz="4" w:space="0" w:color="A6A6A6"/>
              <w:bottom w:val="single" w:sz="4" w:space="0" w:color="A6A6A6"/>
              <w:right w:val="single" w:sz="4" w:space="0" w:color="A6A6A6"/>
            </w:tcBorders>
            <w:shd w:val="clear" w:color="auto" w:fill="009D73"/>
            <w:vAlign w:val="center"/>
          </w:tcPr>
          <w:p w14:paraId="6A5A5183"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5F6062D" w14:textId="5DAFCA77" w:rsidR="00EE66FD" w:rsidRPr="007C4D65" w:rsidRDefault="00EE66FD">
            <w:pPr>
              <w:numPr>
                <w:ilvl w:val="0"/>
                <w:numId w:val="11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903767"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adoption of the procedure</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A57C24A" w14:textId="13DD320B"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 is no system for reporting to</w:t>
            </w:r>
            <w:r w:rsidR="00903767" w:rsidRPr="007C4D65">
              <w:rPr>
                <w:rFonts w:asciiTheme="minorHAnsi" w:eastAsiaTheme="minorHAnsi" w:hAnsiTheme="minorHAnsi" w:cstheme="minorHAnsi"/>
                <w:sz w:val="18"/>
                <w:szCs w:val="18"/>
                <w:lang w:eastAsia="en-US"/>
              </w:rPr>
              <w:t xml:space="preserve"> </w:t>
            </w:r>
            <w:r w:rsidRPr="007C4D65">
              <w:rPr>
                <w:rFonts w:asciiTheme="minorHAnsi" w:eastAsiaTheme="minorHAnsi" w:hAnsiTheme="minorHAnsi" w:cstheme="minorHAnsi"/>
                <w:sz w:val="18"/>
                <w:szCs w:val="18"/>
                <w:lang w:eastAsia="en-US"/>
              </w:rPr>
              <w:t>the state level</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3C577D6" w14:textId="29C5BF13" w:rsidR="00EE66FD" w:rsidRPr="007C4D65" w:rsidRDefault="00903767"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r</w:t>
            </w:r>
            <w:r w:rsidR="00EE66FD" w:rsidRPr="007C4D65">
              <w:rPr>
                <w:rFonts w:asciiTheme="minorHAnsi" w:eastAsiaTheme="minorHAnsi" w:hAnsiTheme="minorHAnsi" w:cstheme="minorHAnsi"/>
                <w:sz w:val="18"/>
                <w:szCs w:val="18"/>
                <w:lang w:eastAsia="en-US"/>
              </w:rPr>
              <w:t>eporting procedure adopted</w:t>
            </w:r>
          </w:p>
        </w:tc>
      </w:tr>
      <w:tr w:rsidR="00EE66FD" w:rsidRPr="007C4D65" w14:paraId="76041861"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AC94FF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Effect on the development and contribution of the measure to the priority</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80EACB3" w14:textId="4AC9BC24" w:rsidR="00EE66FD" w:rsidRPr="007C4D65" w:rsidRDefault="00903767"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Timely information and increased awareness of the population about the air quality, including </w:t>
            </w:r>
            <w:r w:rsidR="008D6823" w:rsidRPr="007C4D65">
              <w:rPr>
                <w:rFonts w:asciiTheme="minorHAnsi" w:eastAsiaTheme="minorHAnsi" w:hAnsiTheme="minorHAnsi" w:cstheme="minorHAnsi"/>
                <w:sz w:val="18"/>
                <w:szCs w:val="18"/>
                <w:lang w:eastAsia="en-US"/>
              </w:rPr>
              <w:t>increased trust in the competent institutions</w:t>
            </w:r>
          </w:p>
        </w:tc>
      </w:tr>
      <w:tr w:rsidR="00EE66FD" w:rsidRPr="007C4D65" w14:paraId="259A4B12"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6283AC6" w14:textId="360E92C1"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Indicative financial projection, with specification of sources</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F909A69" w14:textId="1F1746AF" w:rsidR="008D6823" w:rsidRPr="007C4D65" w:rsidRDefault="008D6823" w:rsidP="008D6823">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 BAM 238,458,352</w:t>
            </w:r>
          </w:p>
          <w:p w14:paraId="20638962" w14:textId="5DD99EAF" w:rsidR="00EE66FD" w:rsidRPr="007C4D65" w:rsidRDefault="008D6823" w:rsidP="008D6823">
            <w:pPr>
              <w:spacing w:before="40" w:after="40" w:line="276" w:lineRule="auto"/>
              <w:rPr>
                <w:rFonts w:asciiTheme="minorHAnsi" w:eastAsiaTheme="minorHAnsi" w:hAnsiTheme="minorHAnsi" w:cstheme="minorHAnsi"/>
                <w:bCs/>
                <w:sz w:val="18"/>
                <w:szCs w:val="18"/>
                <w:lang w:eastAsia="en-US"/>
              </w:rPr>
            </w:pPr>
            <w:r w:rsidRPr="007C4D65">
              <w:rPr>
                <w:rFonts w:asciiTheme="minorHAnsi" w:eastAsia="Calibri" w:hAnsiTheme="minorHAnsi" w:cstheme="minorHAnsi"/>
                <w:sz w:val="18"/>
                <w:szCs w:val="18"/>
              </w:rPr>
              <w:t xml:space="preserve">Source: 10% </w:t>
            </w:r>
            <w:r w:rsidR="000E401F" w:rsidRPr="007C4D65">
              <w:rPr>
                <w:rFonts w:asciiTheme="minorHAnsi" w:eastAsia="Calibri" w:hAnsiTheme="minorHAnsi" w:cstheme="minorHAnsi"/>
                <w:sz w:val="18"/>
                <w:szCs w:val="18"/>
              </w:rPr>
              <w:t>government budget</w:t>
            </w:r>
            <w:r w:rsidRPr="007C4D65">
              <w:rPr>
                <w:rFonts w:asciiTheme="minorHAnsi" w:eastAsia="Calibri" w:hAnsiTheme="minorHAnsi" w:cstheme="minorHAnsi"/>
                <w:sz w:val="18"/>
                <w:szCs w:val="18"/>
              </w:rPr>
              <w:t>, 90% combined ‒ funds from EU and other international donors and other donations</w:t>
            </w:r>
          </w:p>
        </w:tc>
      </w:tr>
      <w:tr w:rsidR="00EE66FD" w:rsidRPr="007C4D65" w14:paraId="7E31F2AE"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B3EBC8B"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Period of the implementation of the measure</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0D3F385"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 2032</w:t>
            </w:r>
          </w:p>
        </w:tc>
      </w:tr>
      <w:tr w:rsidR="00EE66FD" w:rsidRPr="007C4D65" w14:paraId="61B57A12"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D37F458"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Institution responsible for coordination of the implementation of the measure</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6A5CCFA" w14:textId="6C1A79E8" w:rsidR="00EE66FD" w:rsidRPr="007C4D65" w:rsidRDefault="001E6E20"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EE66FD" w:rsidRPr="007C4D65">
              <w:rPr>
                <w:rFonts w:asciiTheme="minorHAnsi" w:eastAsiaTheme="minorHAnsi" w:hAnsiTheme="minorHAnsi" w:cstheme="minorHAnsi"/>
                <w:sz w:val="18"/>
                <w:szCs w:val="18"/>
                <w:lang w:eastAsia="en-US"/>
              </w:rPr>
              <w:t xml:space="preserve"> of Environment and Tourism</w:t>
            </w:r>
          </w:p>
        </w:tc>
      </w:tr>
      <w:tr w:rsidR="00EE66FD" w:rsidRPr="007C4D65" w14:paraId="45437732"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A18E9EC"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Implementing institutions</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8D2ACFE" w14:textId="1AA7601C" w:rsidR="00EE66FD" w:rsidRPr="007C4D65" w:rsidRDefault="008D682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FHMI</w:t>
            </w:r>
            <w:r w:rsidR="00EE66FD" w:rsidRPr="007C4D65">
              <w:rPr>
                <w:rFonts w:asciiTheme="minorHAnsi" w:eastAsiaTheme="minorHAnsi" w:hAnsiTheme="minorHAnsi" w:cstheme="minorHAnsi"/>
                <w:sz w:val="18"/>
                <w:szCs w:val="18"/>
                <w:lang w:eastAsia="en-US"/>
              </w:rPr>
              <w:t xml:space="preserve">, Environmental Protection Fund, cantonal ministries and organisations </w:t>
            </w:r>
            <w:r w:rsidRPr="007C4D65">
              <w:rPr>
                <w:rFonts w:asciiTheme="minorHAnsi" w:eastAsiaTheme="minorHAnsi" w:hAnsiTheme="minorHAnsi" w:cstheme="minorHAnsi"/>
                <w:sz w:val="18"/>
                <w:szCs w:val="18"/>
                <w:lang w:eastAsia="en-US"/>
              </w:rPr>
              <w:t>focusing on</w:t>
            </w:r>
            <w:r w:rsidR="00EE66FD" w:rsidRPr="007C4D65">
              <w:rPr>
                <w:rFonts w:asciiTheme="minorHAnsi" w:eastAsiaTheme="minorHAnsi" w:hAnsiTheme="minorHAnsi" w:cstheme="minorHAnsi"/>
                <w:sz w:val="18"/>
                <w:szCs w:val="18"/>
                <w:lang w:eastAsia="en-US"/>
              </w:rPr>
              <w:t xml:space="preserve"> air quality</w:t>
            </w:r>
            <w:r w:rsidRPr="007C4D65">
              <w:rPr>
                <w:rFonts w:asciiTheme="minorHAnsi" w:eastAsiaTheme="minorHAnsi" w:hAnsiTheme="minorHAnsi" w:cstheme="minorHAnsi"/>
                <w:sz w:val="18"/>
                <w:szCs w:val="18"/>
                <w:lang w:eastAsia="en-US"/>
              </w:rPr>
              <w:t xml:space="preserve"> issues</w:t>
            </w:r>
            <w:r w:rsidR="00EE66FD" w:rsidRPr="007C4D65">
              <w:rPr>
                <w:rFonts w:asciiTheme="minorHAnsi" w:eastAsiaTheme="minorHAnsi" w:hAnsiTheme="minorHAnsi" w:cstheme="minorHAnsi"/>
                <w:sz w:val="18"/>
                <w:szCs w:val="18"/>
                <w:lang w:eastAsia="en-US"/>
              </w:rPr>
              <w:t>, universities</w:t>
            </w:r>
          </w:p>
        </w:tc>
      </w:tr>
      <w:tr w:rsidR="00EE66FD" w:rsidRPr="007C4D65" w14:paraId="3C69BA4A"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8409ACC" w14:textId="11A98163"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groups</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17F5195"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NGOs and citizens</w:t>
            </w:r>
          </w:p>
        </w:tc>
      </w:tr>
    </w:tbl>
    <w:p w14:paraId="3F1C77C8" w14:textId="77777777" w:rsidR="00EE66FD" w:rsidRPr="007C4D65" w:rsidRDefault="00EE66FD" w:rsidP="00EE66FD">
      <w:pPr>
        <w:spacing w:line="276" w:lineRule="auto"/>
        <w:rPr>
          <w:rFonts w:asciiTheme="minorHAnsi" w:eastAsiaTheme="minorHAnsi" w:hAnsiTheme="minorHAnsi" w:cstheme="minorHAnsi"/>
          <w:sz w:val="22"/>
          <w:szCs w:val="22"/>
          <w:lang w:eastAsia="en-US"/>
        </w:rPr>
      </w:pPr>
    </w:p>
    <w:tbl>
      <w:tblPr>
        <w:tblW w:w="4799"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0"/>
        <w:gridCol w:w="3060"/>
        <w:gridCol w:w="3392"/>
        <w:gridCol w:w="3395"/>
      </w:tblGrid>
      <w:tr w:rsidR="00EE66FD" w:rsidRPr="007C4D65" w14:paraId="60D1939C"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22C17C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Link with strategic goal</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0986118" w14:textId="516D289B" w:rsidR="00EE66FD" w:rsidRPr="007C4D65" w:rsidRDefault="00EE66FD" w:rsidP="00EE66FD">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4</w:t>
            </w:r>
            <w:r w:rsidR="008D6823" w:rsidRPr="007C4D65">
              <w:rPr>
                <w:rFonts w:asciiTheme="minorHAnsi" w:eastAsia="Calibri" w:hAnsiTheme="minorHAnsi" w:cstheme="minorHAnsi"/>
                <w:b/>
                <w:bCs/>
                <w:sz w:val="18"/>
                <w:szCs w:val="18"/>
                <w:lang w:eastAsia="en-US"/>
              </w:rPr>
              <w:t>.</w:t>
            </w:r>
            <w:r w:rsidRPr="007C4D65">
              <w:rPr>
                <w:rFonts w:asciiTheme="minorHAnsi" w:eastAsia="Calibri" w:hAnsiTheme="minorHAnsi" w:cstheme="minorHAnsi"/>
                <w:b/>
                <w:bCs/>
                <w:sz w:val="18"/>
                <w:szCs w:val="18"/>
                <w:lang w:eastAsia="en-US"/>
              </w:rPr>
              <w:t xml:space="preserve"> </w:t>
            </w:r>
            <w:r w:rsidR="00FE2B6F" w:rsidRPr="007C4D65">
              <w:rPr>
                <w:rFonts w:asciiTheme="minorHAnsi" w:eastAsia="Calibri" w:hAnsiTheme="minorHAnsi" w:cstheme="minorHAnsi"/>
                <w:b/>
                <w:bCs/>
                <w:sz w:val="18"/>
                <w:szCs w:val="18"/>
                <w:lang w:eastAsia="en-US"/>
              </w:rPr>
              <w:t>Climate change mitigation and adaptation and improvement of air quality</w:t>
            </w:r>
          </w:p>
        </w:tc>
      </w:tr>
      <w:tr w:rsidR="00EE66FD" w:rsidRPr="007C4D65" w14:paraId="241985C3"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318A2DC"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Priority</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32CADEF" w14:textId="2ADE1AAB" w:rsidR="00EE66FD" w:rsidRPr="007C4D65" w:rsidRDefault="00EE66FD" w:rsidP="00EE66FD">
            <w:pPr>
              <w:spacing w:before="40" w:after="40" w:line="276" w:lineRule="auto"/>
              <w:rPr>
                <w:rFonts w:asciiTheme="minorHAnsi" w:hAnsiTheme="minorHAnsi" w:cstheme="minorHAnsi"/>
                <w:b/>
                <w:bCs/>
                <w:sz w:val="18"/>
                <w:szCs w:val="18"/>
                <w:lang w:eastAsia="en-US"/>
              </w:rPr>
            </w:pPr>
            <w:r w:rsidRPr="007C4D65">
              <w:rPr>
                <w:rFonts w:asciiTheme="minorHAnsi" w:hAnsiTheme="minorHAnsi" w:cstheme="minorHAnsi"/>
                <w:b/>
                <w:bCs/>
                <w:sz w:val="18"/>
                <w:szCs w:val="18"/>
                <w:lang w:eastAsia="en-US"/>
              </w:rPr>
              <w:t xml:space="preserve">4.3 </w:t>
            </w:r>
            <w:r w:rsidR="005D6389" w:rsidRPr="007C4D65">
              <w:rPr>
                <w:rFonts w:asciiTheme="minorHAnsi" w:hAnsiTheme="minorHAnsi" w:cstheme="minorHAnsi"/>
                <w:b/>
                <w:bCs/>
                <w:sz w:val="18"/>
                <w:szCs w:val="18"/>
                <w:lang w:eastAsia="en-US"/>
              </w:rPr>
              <w:t>Reduce the impact of the Federation of BiH on climate change</w:t>
            </w:r>
          </w:p>
        </w:tc>
      </w:tr>
      <w:tr w:rsidR="00EE66FD" w:rsidRPr="007C4D65" w14:paraId="53006399"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22D5ED0"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Title of the measure</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19B044B" w14:textId="68C40B0E" w:rsidR="00EE66FD" w:rsidRPr="007C4D65" w:rsidRDefault="00EE66FD" w:rsidP="00EE66FD">
            <w:pPr>
              <w:spacing w:before="40" w:after="40" w:line="276" w:lineRule="auto"/>
              <w:rPr>
                <w:rFonts w:asciiTheme="minorHAnsi" w:eastAsia="Calibri" w:hAnsiTheme="minorHAnsi" w:cstheme="minorHAnsi"/>
                <w:b/>
                <w:sz w:val="18"/>
                <w:szCs w:val="18"/>
                <w:lang w:eastAsia="en-US"/>
              </w:rPr>
            </w:pPr>
            <w:r w:rsidRPr="007C4D65">
              <w:rPr>
                <w:rFonts w:asciiTheme="minorHAnsi" w:eastAsiaTheme="minorHAnsi" w:hAnsiTheme="minorHAnsi" w:cstheme="minorHAnsi"/>
                <w:b/>
                <w:bCs/>
                <w:sz w:val="18"/>
                <w:szCs w:val="18"/>
                <w:lang w:eastAsia="en-US"/>
              </w:rPr>
              <w:t>4.3.1 Reduce</w:t>
            </w:r>
            <w:r w:rsidR="008D6823" w:rsidRPr="007C4D65">
              <w:rPr>
                <w:rFonts w:asciiTheme="minorHAnsi" w:eastAsiaTheme="minorHAnsi" w:hAnsiTheme="minorHAnsi" w:cstheme="minorHAnsi"/>
                <w:b/>
                <w:bCs/>
                <w:sz w:val="18"/>
                <w:szCs w:val="18"/>
                <w:lang w:eastAsia="en-US"/>
              </w:rPr>
              <w:t>d impact of the</w:t>
            </w:r>
            <w:r w:rsidRPr="007C4D65">
              <w:rPr>
                <w:rFonts w:asciiTheme="minorHAnsi" w:eastAsiaTheme="minorHAnsi" w:hAnsiTheme="minorHAnsi" w:cstheme="minorHAnsi"/>
                <w:b/>
                <w:bCs/>
                <w:sz w:val="18"/>
                <w:szCs w:val="18"/>
                <w:lang w:eastAsia="en-US"/>
              </w:rPr>
              <w:t xml:space="preserve"> F</w:t>
            </w:r>
            <w:r w:rsidR="008D6823" w:rsidRPr="007C4D65">
              <w:rPr>
                <w:rFonts w:asciiTheme="minorHAnsi" w:eastAsiaTheme="minorHAnsi" w:hAnsiTheme="minorHAnsi" w:cstheme="minorHAnsi"/>
                <w:b/>
                <w:bCs/>
                <w:sz w:val="18"/>
                <w:szCs w:val="18"/>
                <w:lang w:eastAsia="en-US"/>
              </w:rPr>
              <w:t xml:space="preserve">ederation of </w:t>
            </w:r>
            <w:r w:rsidRPr="007C4D65">
              <w:rPr>
                <w:rFonts w:asciiTheme="minorHAnsi" w:eastAsiaTheme="minorHAnsi" w:hAnsiTheme="minorHAnsi" w:cstheme="minorHAnsi"/>
                <w:b/>
                <w:bCs/>
                <w:sz w:val="18"/>
                <w:szCs w:val="18"/>
                <w:lang w:eastAsia="en-US"/>
              </w:rPr>
              <w:t>BiH on climate changes</w:t>
            </w:r>
          </w:p>
        </w:tc>
      </w:tr>
      <w:tr w:rsidR="00EE66FD" w:rsidRPr="007C4D65" w14:paraId="401C1937"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0F9D7D2"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 xml:space="preserve">Description of the measure with the general areas of intervention </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BD97B11" w14:textId="4F6D7269"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to reduce GHG emissions and increase </w:t>
            </w:r>
            <w:r w:rsidR="008D6823" w:rsidRPr="007C4D65">
              <w:rPr>
                <w:rFonts w:asciiTheme="minorHAnsi" w:eastAsia="Calibri" w:hAnsiTheme="minorHAnsi" w:cstheme="minorHAnsi"/>
                <w:sz w:val="18"/>
                <w:szCs w:val="18"/>
                <w:lang w:eastAsia="en-US"/>
              </w:rPr>
              <w:t xml:space="preserve">carbon </w:t>
            </w:r>
            <w:r w:rsidRPr="007C4D65">
              <w:rPr>
                <w:rFonts w:asciiTheme="minorHAnsi" w:eastAsia="Calibri" w:hAnsiTheme="minorHAnsi" w:cstheme="minorHAnsi"/>
                <w:sz w:val="18"/>
                <w:szCs w:val="18"/>
                <w:lang w:eastAsia="en-US"/>
              </w:rPr>
              <w:t xml:space="preserve">sinks, which </w:t>
            </w:r>
            <w:r w:rsidR="008D6823" w:rsidRPr="007C4D65">
              <w:rPr>
                <w:rFonts w:asciiTheme="minorHAnsi" w:eastAsia="Calibri" w:hAnsiTheme="minorHAnsi" w:cstheme="minorHAnsi"/>
                <w:sz w:val="18"/>
                <w:szCs w:val="18"/>
                <w:lang w:eastAsia="en-US"/>
              </w:rPr>
              <w:t>should</w:t>
            </w:r>
            <w:r w:rsidRPr="007C4D65">
              <w:rPr>
                <w:rFonts w:asciiTheme="minorHAnsi" w:eastAsia="Calibri" w:hAnsiTheme="minorHAnsi" w:cstheme="minorHAnsi"/>
                <w:sz w:val="18"/>
                <w:szCs w:val="18"/>
                <w:lang w:eastAsia="en-US"/>
              </w:rPr>
              <w:t xml:space="preserve"> lead to </w:t>
            </w:r>
            <w:r w:rsidR="008D6823" w:rsidRPr="007C4D65">
              <w:rPr>
                <w:rFonts w:asciiTheme="minorHAnsi" w:eastAsia="Calibri" w:hAnsiTheme="minorHAnsi" w:cstheme="minorHAnsi"/>
                <w:sz w:val="18"/>
                <w:szCs w:val="18"/>
                <w:lang w:eastAsia="en-US"/>
              </w:rPr>
              <w:t xml:space="preserve">a </w:t>
            </w:r>
            <w:r w:rsidRPr="007C4D65">
              <w:rPr>
                <w:rFonts w:asciiTheme="minorHAnsi" w:eastAsia="Calibri" w:hAnsiTheme="minorHAnsi" w:cstheme="minorHAnsi"/>
                <w:sz w:val="18"/>
                <w:szCs w:val="18"/>
                <w:lang w:eastAsia="en-US"/>
              </w:rPr>
              <w:t>partial decarbonisation and achievement of climate neutrality</w:t>
            </w:r>
            <w:r w:rsidR="008D6823" w:rsidRPr="007C4D65">
              <w:rPr>
                <w:rFonts w:asciiTheme="minorHAnsi" w:eastAsia="Calibri" w:hAnsiTheme="minorHAnsi" w:cstheme="minorHAnsi"/>
                <w:sz w:val="18"/>
                <w:szCs w:val="18"/>
                <w:lang w:eastAsia="en-US"/>
              </w:rPr>
              <w:t xml:space="preserve"> on the long run</w:t>
            </w:r>
            <w:r w:rsidRPr="007C4D65">
              <w:rPr>
                <w:rFonts w:asciiTheme="minorHAnsi" w:eastAsia="Calibri" w:hAnsiTheme="minorHAnsi" w:cstheme="minorHAnsi"/>
                <w:sz w:val="18"/>
                <w:szCs w:val="18"/>
                <w:lang w:eastAsia="en-US"/>
              </w:rPr>
              <w:t xml:space="preserve">. </w:t>
            </w:r>
          </w:p>
          <w:p w14:paraId="0153049C" w14:textId="7604AF60"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The general areas of intervention are:</w:t>
            </w:r>
          </w:p>
          <w:p w14:paraId="6B97D40D" w14:textId="2CC8F481" w:rsidR="008520BC" w:rsidRPr="007C4D65" w:rsidRDefault="008520BC">
            <w:pPr>
              <w:numPr>
                <w:ilvl w:val="0"/>
                <w:numId w:val="11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Form a Decarbonisation </w:t>
            </w:r>
            <w:proofErr w:type="gramStart"/>
            <w:r w:rsidRPr="007C4D65">
              <w:rPr>
                <w:rFonts w:asciiTheme="minorHAnsi" w:eastAsia="Calibri" w:hAnsiTheme="minorHAnsi" w:cstheme="minorHAnsi"/>
                <w:sz w:val="18"/>
                <w:szCs w:val="18"/>
                <w:lang w:eastAsia="en-US"/>
              </w:rPr>
              <w:t>Committee</w:t>
            </w:r>
            <w:r w:rsidR="006917FB" w:rsidRPr="007C4D65">
              <w:rPr>
                <w:rFonts w:asciiTheme="minorHAnsi" w:eastAsia="Calibri" w:hAnsiTheme="minorHAnsi" w:cstheme="minorHAnsi"/>
                <w:sz w:val="18"/>
                <w:szCs w:val="18"/>
                <w:lang w:eastAsia="en-US"/>
              </w:rPr>
              <w:t>;</w:t>
            </w:r>
            <w:proofErr w:type="gramEnd"/>
          </w:p>
          <w:p w14:paraId="68E48872" w14:textId="101FE984" w:rsidR="00EE66FD" w:rsidRPr="007C4D65" w:rsidRDefault="00EE66FD">
            <w:pPr>
              <w:numPr>
                <w:ilvl w:val="0"/>
                <w:numId w:val="11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lastRenderedPageBreak/>
              <w:t xml:space="preserve">Developing and adopting a regulation on </w:t>
            </w:r>
            <w:r w:rsidR="008D6823" w:rsidRPr="007C4D65">
              <w:rPr>
                <w:rFonts w:asciiTheme="minorHAnsi" w:eastAsia="Calibri" w:hAnsiTheme="minorHAnsi" w:cstheme="minorHAnsi"/>
                <w:sz w:val="18"/>
                <w:szCs w:val="18"/>
                <w:lang w:eastAsia="en-US"/>
              </w:rPr>
              <w:t>completion</w:t>
            </w:r>
            <w:r w:rsidRPr="007C4D65">
              <w:rPr>
                <w:rFonts w:asciiTheme="minorHAnsi" w:eastAsia="Calibri" w:hAnsiTheme="minorHAnsi" w:cstheme="minorHAnsi"/>
                <w:sz w:val="18"/>
                <w:szCs w:val="18"/>
                <w:lang w:eastAsia="en-US"/>
              </w:rPr>
              <w:t xml:space="preserve"> of </w:t>
            </w:r>
            <w:r w:rsidR="008D6823" w:rsidRPr="007C4D65">
              <w:rPr>
                <w:rFonts w:asciiTheme="minorHAnsi" w:eastAsia="Calibri" w:hAnsiTheme="minorHAnsi" w:cstheme="minorHAnsi"/>
                <w:sz w:val="18"/>
                <w:szCs w:val="18"/>
                <w:lang w:eastAsia="en-US"/>
              </w:rPr>
              <w:t>a</w:t>
            </w:r>
            <w:r w:rsidRPr="007C4D65">
              <w:rPr>
                <w:rFonts w:asciiTheme="minorHAnsi" w:eastAsia="Calibri" w:hAnsiTheme="minorHAnsi" w:cstheme="minorHAnsi"/>
                <w:sz w:val="18"/>
                <w:szCs w:val="18"/>
                <w:lang w:eastAsia="en-US"/>
              </w:rPr>
              <w:t xml:space="preserve"> GHG </w:t>
            </w:r>
            <w:proofErr w:type="gramStart"/>
            <w:r w:rsidRPr="007C4D65">
              <w:rPr>
                <w:rFonts w:asciiTheme="minorHAnsi" w:eastAsia="Calibri" w:hAnsiTheme="minorHAnsi" w:cstheme="minorHAnsi"/>
                <w:sz w:val="18"/>
                <w:szCs w:val="18"/>
                <w:lang w:eastAsia="en-US"/>
              </w:rPr>
              <w:t>inventory</w:t>
            </w:r>
            <w:r w:rsidR="006917FB" w:rsidRPr="007C4D65">
              <w:rPr>
                <w:rFonts w:asciiTheme="minorHAnsi" w:eastAsia="Calibri" w:hAnsiTheme="minorHAnsi" w:cstheme="minorHAnsi"/>
                <w:sz w:val="18"/>
                <w:szCs w:val="18"/>
                <w:lang w:eastAsia="en-US"/>
              </w:rPr>
              <w:t>;</w:t>
            </w:r>
            <w:proofErr w:type="gramEnd"/>
          </w:p>
          <w:p w14:paraId="22536AF6" w14:textId="334E36AF" w:rsidR="00EE66FD" w:rsidRPr="007C4D65" w:rsidRDefault="00EE66FD">
            <w:pPr>
              <w:numPr>
                <w:ilvl w:val="0"/>
                <w:numId w:val="11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Strengthening the capacity of </w:t>
            </w:r>
            <w:r w:rsidR="008D6823" w:rsidRPr="007C4D65">
              <w:rPr>
                <w:rFonts w:asciiTheme="minorHAnsi" w:eastAsia="Calibri" w:hAnsiTheme="minorHAnsi" w:cstheme="minorHAnsi"/>
                <w:sz w:val="18"/>
                <w:szCs w:val="18"/>
                <w:lang w:eastAsia="en-US"/>
              </w:rPr>
              <w:t>FHMI</w:t>
            </w:r>
            <w:r w:rsidRPr="007C4D65">
              <w:rPr>
                <w:rFonts w:asciiTheme="minorHAnsi" w:eastAsia="Calibri" w:hAnsiTheme="minorHAnsi" w:cstheme="minorHAnsi"/>
                <w:sz w:val="18"/>
                <w:szCs w:val="18"/>
                <w:lang w:eastAsia="en-US"/>
              </w:rPr>
              <w:t xml:space="preserve"> for </w:t>
            </w:r>
            <w:r w:rsidR="008D6823" w:rsidRPr="007C4D65">
              <w:rPr>
                <w:rFonts w:asciiTheme="minorHAnsi" w:eastAsia="Calibri" w:hAnsiTheme="minorHAnsi" w:cstheme="minorHAnsi"/>
                <w:sz w:val="18"/>
                <w:szCs w:val="18"/>
                <w:lang w:eastAsia="en-US"/>
              </w:rPr>
              <w:t>preparation</w:t>
            </w:r>
            <w:r w:rsidRPr="007C4D65">
              <w:rPr>
                <w:rFonts w:asciiTheme="minorHAnsi" w:eastAsia="Calibri" w:hAnsiTheme="minorHAnsi" w:cstheme="minorHAnsi"/>
                <w:sz w:val="18"/>
                <w:szCs w:val="18"/>
                <w:lang w:eastAsia="en-US"/>
              </w:rPr>
              <w:t xml:space="preserve"> of </w:t>
            </w:r>
            <w:proofErr w:type="gramStart"/>
            <w:r w:rsidRPr="007C4D65">
              <w:rPr>
                <w:rFonts w:asciiTheme="minorHAnsi" w:eastAsia="Calibri" w:hAnsiTheme="minorHAnsi" w:cstheme="minorHAnsi"/>
                <w:sz w:val="18"/>
                <w:szCs w:val="18"/>
                <w:lang w:eastAsia="en-US"/>
              </w:rPr>
              <w:t>inventories</w:t>
            </w:r>
            <w:r w:rsidR="006917FB" w:rsidRPr="007C4D65">
              <w:rPr>
                <w:rFonts w:asciiTheme="minorHAnsi" w:eastAsia="Calibri" w:hAnsiTheme="minorHAnsi" w:cstheme="minorHAnsi"/>
                <w:sz w:val="18"/>
                <w:szCs w:val="18"/>
                <w:lang w:eastAsia="en-US"/>
              </w:rPr>
              <w:t>;</w:t>
            </w:r>
            <w:proofErr w:type="gramEnd"/>
          </w:p>
          <w:p w14:paraId="753B33BC" w14:textId="5A94A739" w:rsidR="00EE66FD" w:rsidRPr="007C4D65" w:rsidRDefault="00EE66FD">
            <w:pPr>
              <w:numPr>
                <w:ilvl w:val="0"/>
                <w:numId w:val="11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Adopting a climate law which, among other things, should introduce decarbonisation </w:t>
            </w:r>
            <w:proofErr w:type="gramStart"/>
            <w:r w:rsidRPr="007C4D65">
              <w:rPr>
                <w:rFonts w:asciiTheme="minorHAnsi" w:eastAsia="Calibri" w:hAnsiTheme="minorHAnsi" w:cstheme="minorHAnsi"/>
                <w:sz w:val="18"/>
                <w:szCs w:val="18"/>
                <w:lang w:eastAsia="en-US"/>
              </w:rPr>
              <w:t>mechanisms</w:t>
            </w:r>
            <w:r w:rsidR="006917FB" w:rsidRPr="007C4D65">
              <w:rPr>
                <w:rFonts w:asciiTheme="minorHAnsi" w:eastAsia="Calibri" w:hAnsiTheme="minorHAnsi" w:cstheme="minorHAnsi"/>
                <w:sz w:val="18"/>
                <w:szCs w:val="18"/>
                <w:lang w:eastAsia="en-US"/>
              </w:rPr>
              <w:t>;</w:t>
            </w:r>
            <w:proofErr w:type="gramEnd"/>
          </w:p>
          <w:p w14:paraId="7B3CA15D" w14:textId="13E012C5" w:rsidR="00EE66FD" w:rsidRPr="007C4D65" w:rsidRDefault="00EE66FD">
            <w:pPr>
              <w:numPr>
                <w:ilvl w:val="0"/>
                <w:numId w:val="11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Adopting a decree on the monitoring and reporting </w:t>
            </w:r>
            <w:proofErr w:type="gramStart"/>
            <w:r w:rsidRPr="007C4D65">
              <w:rPr>
                <w:rFonts w:asciiTheme="minorHAnsi" w:eastAsia="Calibri" w:hAnsiTheme="minorHAnsi" w:cstheme="minorHAnsi"/>
                <w:sz w:val="18"/>
                <w:szCs w:val="18"/>
                <w:lang w:eastAsia="en-US"/>
              </w:rPr>
              <w:t>mechanism</w:t>
            </w:r>
            <w:r w:rsidR="006917FB" w:rsidRPr="007C4D65">
              <w:rPr>
                <w:rFonts w:asciiTheme="minorHAnsi" w:eastAsia="Calibri" w:hAnsiTheme="minorHAnsi" w:cstheme="minorHAnsi"/>
                <w:sz w:val="18"/>
                <w:szCs w:val="18"/>
                <w:lang w:eastAsia="en-US"/>
              </w:rPr>
              <w:t>;</w:t>
            </w:r>
            <w:proofErr w:type="gramEnd"/>
          </w:p>
          <w:p w14:paraId="6007668B" w14:textId="163CD9F9" w:rsidR="00EE66FD" w:rsidRPr="007C4D65" w:rsidRDefault="00EE66FD">
            <w:pPr>
              <w:numPr>
                <w:ilvl w:val="0"/>
                <w:numId w:val="11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Participating in development of the Integrated energy and climate plan (NECP) every five </w:t>
            </w:r>
            <w:proofErr w:type="gramStart"/>
            <w:r w:rsidRPr="007C4D65">
              <w:rPr>
                <w:rFonts w:asciiTheme="minorHAnsi" w:eastAsia="Calibri" w:hAnsiTheme="minorHAnsi" w:cstheme="minorHAnsi"/>
                <w:sz w:val="18"/>
                <w:szCs w:val="18"/>
                <w:lang w:eastAsia="en-US"/>
              </w:rPr>
              <w:t>years</w:t>
            </w:r>
            <w:r w:rsidR="006917FB" w:rsidRPr="007C4D65">
              <w:rPr>
                <w:rFonts w:asciiTheme="minorHAnsi" w:eastAsia="Calibri" w:hAnsiTheme="minorHAnsi" w:cstheme="minorHAnsi"/>
                <w:sz w:val="18"/>
                <w:szCs w:val="18"/>
                <w:lang w:eastAsia="en-US"/>
              </w:rPr>
              <w:t>;</w:t>
            </w:r>
            <w:proofErr w:type="gramEnd"/>
          </w:p>
          <w:p w14:paraId="16F5C2C8" w14:textId="3782E718" w:rsidR="00EE66FD" w:rsidRPr="007C4D65" w:rsidRDefault="00EE66FD">
            <w:pPr>
              <w:numPr>
                <w:ilvl w:val="0"/>
                <w:numId w:val="11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Developing and implementing SECAP for all the municipalities and </w:t>
            </w:r>
            <w:proofErr w:type="gramStart"/>
            <w:r w:rsidRPr="007C4D65">
              <w:rPr>
                <w:rFonts w:asciiTheme="minorHAnsi" w:eastAsia="Calibri" w:hAnsiTheme="minorHAnsi" w:cstheme="minorHAnsi"/>
                <w:sz w:val="18"/>
                <w:szCs w:val="18"/>
                <w:lang w:eastAsia="en-US"/>
              </w:rPr>
              <w:t>cities</w:t>
            </w:r>
            <w:r w:rsidR="006917FB" w:rsidRPr="007C4D65">
              <w:rPr>
                <w:rFonts w:asciiTheme="minorHAnsi" w:eastAsia="Calibri" w:hAnsiTheme="minorHAnsi" w:cstheme="minorHAnsi"/>
                <w:sz w:val="18"/>
                <w:szCs w:val="18"/>
                <w:lang w:eastAsia="en-US"/>
              </w:rPr>
              <w:t>;</w:t>
            </w:r>
            <w:proofErr w:type="gramEnd"/>
          </w:p>
          <w:p w14:paraId="6D3E35CA" w14:textId="77777777" w:rsidR="00EE66FD" w:rsidRPr="007C4D65" w:rsidRDefault="00EE66FD">
            <w:pPr>
              <w:numPr>
                <w:ilvl w:val="0"/>
                <w:numId w:val="11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Drawing up plans for a just transition of mining areas, and identifying mechanisms and sources of funding for the transition</w:t>
            </w:r>
          </w:p>
          <w:p w14:paraId="06A27D00" w14:textId="33E8620E" w:rsidR="00EE66FD" w:rsidRPr="007C4D65" w:rsidRDefault="00EE66FD">
            <w:pPr>
              <w:numPr>
                <w:ilvl w:val="0"/>
                <w:numId w:val="11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Drafting a proposal for the implementation of the ЕU ETS </w:t>
            </w:r>
            <w:proofErr w:type="gramStart"/>
            <w:r w:rsidRPr="007C4D65">
              <w:rPr>
                <w:rFonts w:asciiTheme="minorHAnsi" w:eastAsia="Calibri" w:hAnsiTheme="minorHAnsi" w:cstheme="minorHAnsi"/>
                <w:sz w:val="18"/>
                <w:szCs w:val="18"/>
                <w:lang w:eastAsia="en-US"/>
              </w:rPr>
              <w:t>Directive</w:t>
            </w:r>
            <w:r w:rsidR="006917FB" w:rsidRPr="007C4D65">
              <w:rPr>
                <w:rFonts w:asciiTheme="minorHAnsi" w:eastAsia="Calibri" w:hAnsiTheme="minorHAnsi" w:cstheme="minorHAnsi"/>
                <w:sz w:val="18"/>
                <w:szCs w:val="18"/>
                <w:lang w:eastAsia="en-US"/>
              </w:rPr>
              <w:t>;</w:t>
            </w:r>
            <w:proofErr w:type="gramEnd"/>
          </w:p>
          <w:p w14:paraId="22A20ACB" w14:textId="750680DC" w:rsidR="00EE66FD" w:rsidRPr="007C4D65" w:rsidRDefault="00EE66FD">
            <w:pPr>
              <w:numPr>
                <w:ilvl w:val="0"/>
                <w:numId w:val="11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Designating an institution which should </w:t>
            </w:r>
            <w:r w:rsidR="008520BC" w:rsidRPr="007C4D65">
              <w:rPr>
                <w:rFonts w:asciiTheme="minorHAnsi" w:eastAsia="Calibri" w:hAnsiTheme="minorHAnsi" w:cstheme="minorHAnsi"/>
                <w:sz w:val="18"/>
                <w:szCs w:val="18"/>
                <w:lang w:eastAsia="en-US"/>
              </w:rPr>
              <w:t>devise</w:t>
            </w:r>
            <w:r w:rsidRPr="007C4D65">
              <w:rPr>
                <w:rFonts w:asciiTheme="minorHAnsi" w:eastAsia="Calibri" w:hAnsiTheme="minorHAnsi" w:cstheme="minorHAnsi"/>
                <w:sz w:val="18"/>
                <w:szCs w:val="18"/>
                <w:lang w:eastAsia="en-US"/>
              </w:rPr>
              <w:t xml:space="preserve"> the emissions trading </w:t>
            </w:r>
            <w:proofErr w:type="gramStart"/>
            <w:r w:rsidRPr="007C4D65">
              <w:rPr>
                <w:rFonts w:asciiTheme="minorHAnsi" w:eastAsia="Calibri" w:hAnsiTheme="minorHAnsi" w:cstheme="minorHAnsi"/>
                <w:sz w:val="18"/>
                <w:szCs w:val="18"/>
                <w:lang w:eastAsia="en-US"/>
              </w:rPr>
              <w:t>scheme</w:t>
            </w:r>
            <w:r w:rsidR="006917FB" w:rsidRPr="007C4D65">
              <w:rPr>
                <w:rFonts w:asciiTheme="minorHAnsi" w:eastAsia="Calibri" w:hAnsiTheme="minorHAnsi" w:cstheme="minorHAnsi"/>
                <w:sz w:val="18"/>
                <w:szCs w:val="18"/>
                <w:lang w:eastAsia="en-US"/>
              </w:rPr>
              <w:t>;</w:t>
            </w:r>
            <w:proofErr w:type="gramEnd"/>
          </w:p>
          <w:p w14:paraId="3D84E483" w14:textId="798E93A1" w:rsidR="00EE66FD" w:rsidRPr="007C4D65" w:rsidRDefault="008520BC">
            <w:pPr>
              <w:numPr>
                <w:ilvl w:val="0"/>
                <w:numId w:val="11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Capacity building of the</w:t>
            </w:r>
            <w:r w:rsidR="00EE66FD" w:rsidRPr="007C4D65">
              <w:rPr>
                <w:rFonts w:asciiTheme="minorHAnsi" w:eastAsia="Calibri" w:hAnsiTheme="minorHAnsi" w:cstheme="minorHAnsi"/>
                <w:sz w:val="18"/>
                <w:szCs w:val="18"/>
                <w:lang w:eastAsia="en-US"/>
              </w:rPr>
              <w:t xml:space="preserve"> institution</w:t>
            </w:r>
            <w:r w:rsidRPr="007C4D65">
              <w:rPr>
                <w:rFonts w:asciiTheme="minorHAnsi" w:eastAsia="Calibri" w:hAnsiTheme="minorHAnsi" w:cstheme="minorHAnsi"/>
                <w:sz w:val="18"/>
                <w:szCs w:val="18"/>
                <w:lang w:eastAsia="en-US"/>
              </w:rPr>
              <w:t xml:space="preserve"> designated to set up</w:t>
            </w:r>
            <w:r w:rsidR="00EE66FD" w:rsidRPr="007C4D65">
              <w:rPr>
                <w:rFonts w:asciiTheme="minorHAnsi" w:eastAsia="Calibri" w:hAnsiTheme="minorHAnsi" w:cstheme="minorHAnsi"/>
                <w:sz w:val="18"/>
                <w:szCs w:val="18"/>
                <w:lang w:eastAsia="en-US"/>
              </w:rPr>
              <w:t xml:space="preserve"> the emissions trading </w:t>
            </w:r>
            <w:proofErr w:type="gramStart"/>
            <w:r w:rsidR="00EE66FD" w:rsidRPr="007C4D65">
              <w:rPr>
                <w:rFonts w:asciiTheme="minorHAnsi" w:eastAsia="Calibri" w:hAnsiTheme="minorHAnsi" w:cstheme="minorHAnsi"/>
                <w:sz w:val="18"/>
                <w:szCs w:val="18"/>
                <w:lang w:eastAsia="en-US"/>
              </w:rPr>
              <w:t>scheme</w:t>
            </w:r>
            <w:r w:rsidR="006917FB" w:rsidRPr="007C4D65">
              <w:rPr>
                <w:rFonts w:asciiTheme="minorHAnsi" w:eastAsia="Calibri" w:hAnsiTheme="minorHAnsi" w:cstheme="minorHAnsi"/>
                <w:sz w:val="18"/>
                <w:szCs w:val="18"/>
                <w:lang w:eastAsia="en-US"/>
              </w:rPr>
              <w:t>;</w:t>
            </w:r>
            <w:proofErr w:type="gramEnd"/>
          </w:p>
          <w:p w14:paraId="2E3F5C78" w14:textId="6DC29374" w:rsidR="00EE66FD" w:rsidRPr="007C4D65" w:rsidRDefault="00EE66FD">
            <w:pPr>
              <w:numPr>
                <w:ilvl w:val="0"/>
                <w:numId w:val="11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Participating in development of the state level strategy for enhancement of carbon </w:t>
            </w:r>
            <w:proofErr w:type="gramStart"/>
            <w:r w:rsidRPr="007C4D65">
              <w:rPr>
                <w:rFonts w:asciiTheme="minorHAnsi" w:eastAsia="Calibri" w:hAnsiTheme="minorHAnsi" w:cstheme="minorHAnsi"/>
                <w:sz w:val="18"/>
                <w:szCs w:val="18"/>
                <w:lang w:eastAsia="en-US"/>
              </w:rPr>
              <w:t>sinks</w:t>
            </w:r>
            <w:r w:rsidR="006917FB" w:rsidRPr="007C4D65">
              <w:rPr>
                <w:rFonts w:asciiTheme="minorHAnsi" w:eastAsia="Calibri" w:hAnsiTheme="minorHAnsi" w:cstheme="minorHAnsi"/>
                <w:sz w:val="18"/>
                <w:szCs w:val="18"/>
                <w:lang w:eastAsia="en-US"/>
              </w:rPr>
              <w:t>;</w:t>
            </w:r>
            <w:proofErr w:type="gramEnd"/>
          </w:p>
          <w:p w14:paraId="4FCB2A21" w14:textId="5C9FAEAB" w:rsidR="00EE66FD" w:rsidRPr="007C4D65" w:rsidRDefault="00EE66FD">
            <w:pPr>
              <w:numPr>
                <w:ilvl w:val="0"/>
                <w:numId w:val="11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Boosting the breeding of </w:t>
            </w:r>
            <w:proofErr w:type="gramStart"/>
            <w:r w:rsidRPr="007C4D65">
              <w:rPr>
                <w:rFonts w:asciiTheme="minorHAnsi" w:eastAsia="Calibri" w:hAnsiTheme="minorHAnsi" w:cstheme="minorHAnsi"/>
                <w:sz w:val="18"/>
                <w:szCs w:val="18"/>
                <w:lang w:eastAsia="en-US"/>
              </w:rPr>
              <w:t>fast growing</w:t>
            </w:r>
            <w:proofErr w:type="gramEnd"/>
            <w:r w:rsidRPr="007C4D65">
              <w:rPr>
                <w:rFonts w:asciiTheme="minorHAnsi" w:eastAsia="Calibri" w:hAnsiTheme="minorHAnsi" w:cstheme="minorHAnsi"/>
                <w:sz w:val="18"/>
                <w:szCs w:val="18"/>
                <w:lang w:eastAsia="en-US"/>
              </w:rPr>
              <w:t xml:space="preserve"> energy crops on degraded land</w:t>
            </w:r>
            <w:r w:rsidR="006917FB" w:rsidRPr="007C4D65">
              <w:rPr>
                <w:rFonts w:asciiTheme="minorHAnsi" w:eastAsia="Calibri" w:hAnsiTheme="minorHAnsi" w:cstheme="minorHAnsi"/>
                <w:sz w:val="18"/>
                <w:szCs w:val="18"/>
                <w:lang w:eastAsia="en-US"/>
              </w:rPr>
              <w:t>.</w:t>
            </w:r>
          </w:p>
        </w:tc>
      </w:tr>
      <w:tr w:rsidR="00EE66FD" w:rsidRPr="007C4D65" w14:paraId="4C92BF90"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1003C08"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Strategic projects</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10BCBB5"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E66FD" w:rsidRPr="007C4D65" w14:paraId="19A45D75"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4CBC4DD"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 for monitoring of results</w:t>
            </w:r>
          </w:p>
        </w:tc>
        <w:tc>
          <w:tcPr>
            <w:tcW w:w="114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84C2C0E"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w:t>
            </w:r>
          </w:p>
          <w:p w14:paraId="6D42B96C"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w:t>
            </w:r>
            <w:proofErr w:type="gramStart"/>
            <w:r w:rsidRPr="007C4D65">
              <w:rPr>
                <w:rFonts w:asciiTheme="minorHAnsi" w:eastAsiaTheme="minorHAnsi" w:hAnsiTheme="minorHAnsi" w:cstheme="minorHAnsi"/>
                <w:b/>
                <w:bCs/>
                <w:color w:val="FFFFFF" w:themeColor="background1"/>
                <w:sz w:val="18"/>
                <w:szCs w:val="18"/>
                <w:lang w:eastAsia="en-US"/>
              </w:rPr>
              <w:t>outputs</w:t>
            </w:r>
            <w:proofErr w:type="gramEnd"/>
            <w:r w:rsidRPr="007C4D65">
              <w:rPr>
                <w:rFonts w:asciiTheme="minorHAnsi" w:eastAsiaTheme="minorHAnsi" w:hAnsiTheme="minorHAnsi" w:cstheme="minorHAnsi"/>
                <w:b/>
                <w:bCs/>
                <w:color w:val="FFFFFF" w:themeColor="background1"/>
                <w:sz w:val="18"/>
                <w:szCs w:val="18"/>
                <w:lang w:eastAsia="en-US"/>
              </w:rPr>
              <w:t xml:space="preserve"> and deliverables)</w:t>
            </w:r>
          </w:p>
        </w:tc>
        <w:tc>
          <w:tcPr>
            <w:tcW w:w="126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3D0681C"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Baseline value</w:t>
            </w:r>
          </w:p>
        </w:tc>
        <w:tc>
          <w:tcPr>
            <w:tcW w:w="126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D36C805"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value</w:t>
            </w:r>
          </w:p>
        </w:tc>
      </w:tr>
      <w:tr w:rsidR="008520BC" w:rsidRPr="007C4D65" w14:paraId="5B089A04"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16DA339" w14:textId="77777777" w:rsidR="008520BC" w:rsidRPr="007C4D65" w:rsidRDefault="008520BC" w:rsidP="00EE66FD">
            <w:pPr>
              <w:spacing w:before="40" w:after="40" w:line="276" w:lineRule="auto"/>
              <w:rPr>
                <w:rFonts w:asciiTheme="minorHAnsi" w:eastAsiaTheme="minorHAnsi" w:hAnsiTheme="minorHAnsi" w:cstheme="minorHAnsi"/>
                <w:b/>
                <w:bCs/>
                <w:sz w:val="18"/>
                <w:szCs w:val="18"/>
                <w:lang w:eastAsia="en-US"/>
              </w:rPr>
            </w:pPr>
          </w:p>
        </w:tc>
        <w:tc>
          <w:tcPr>
            <w:tcW w:w="11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61BA330" w14:textId="46552A40" w:rsidR="008520BC" w:rsidRPr="007C4D65" w:rsidRDefault="008520BC">
            <w:pPr>
              <w:numPr>
                <w:ilvl w:val="0"/>
                <w:numId w:val="117"/>
              </w:numPr>
              <w:spacing w:before="40" w:after="40" w:line="276" w:lineRule="auto"/>
              <w:ind w:left="297" w:hanging="297"/>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the creation of the Committee</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D504E57" w14:textId="37DE0A22" w:rsidR="008520BC" w:rsidRPr="007C4D65" w:rsidRDefault="008520BC"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Federation of BiH has no intersectoral body for planning, implementation and follow-up activities in the carbonisation process</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CDA3AA4" w14:textId="4F28D827" w:rsidR="008520BC" w:rsidRPr="007C4D65" w:rsidRDefault="008520BC"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Decarbonisation Committee formed, it comprises representatives of the business sector, government, unions, non-governmental organisations, etc.</w:t>
            </w:r>
          </w:p>
        </w:tc>
      </w:tr>
      <w:tr w:rsidR="00EE66FD" w:rsidRPr="007C4D65" w14:paraId="6F0713F9" w14:textId="77777777" w:rsidTr="00BC37DE">
        <w:trPr>
          <w:trHeight w:val="567"/>
          <w:jc w:val="center"/>
        </w:trPr>
        <w:tc>
          <w:tcPr>
            <w:tcW w:w="1322"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51A20BB9"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0A89737" w14:textId="6D695F26" w:rsidR="00EE66FD" w:rsidRPr="007C4D65" w:rsidRDefault="00EE66FD">
            <w:pPr>
              <w:numPr>
                <w:ilvl w:val="0"/>
                <w:numId w:val="117"/>
              </w:numPr>
              <w:spacing w:before="40" w:after="40" w:line="276" w:lineRule="auto"/>
              <w:ind w:left="297" w:hanging="297"/>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w:t>
            </w:r>
            <w:r w:rsidR="008520BC" w:rsidRPr="007C4D65">
              <w:rPr>
                <w:rFonts w:asciiTheme="minorHAnsi" w:eastAsia="Calibri" w:hAnsiTheme="minorHAnsi" w:cstheme="minorHAnsi"/>
                <w:sz w:val="18"/>
                <w:szCs w:val="18"/>
                <w:lang w:eastAsia="en-US"/>
              </w:rPr>
              <w:t xml:space="preserve"> the</w:t>
            </w:r>
            <w:r w:rsidRPr="007C4D65">
              <w:rPr>
                <w:rFonts w:asciiTheme="minorHAnsi" w:eastAsia="Calibri" w:hAnsiTheme="minorHAnsi" w:cstheme="minorHAnsi"/>
                <w:sz w:val="18"/>
                <w:szCs w:val="18"/>
                <w:lang w:eastAsia="en-US"/>
              </w:rPr>
              <w:t xml:space="preserve"> development and adoption of the Strategy</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EBDFF1B" w14:textId="74ED8A1C"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Lack of </w:t>
            </w:r>
            <w:r w:rsidR="008520BC" w:rsidRPr="007C4D65">
              <w:rPr>
                <w:rFonts w:asciiTheme="minorHAnsi" w:eastAsiaTheme="minorHAnsi" w:hAnsiTheme="minorHAnsi" w:cstheme="minorHAnsi"/>
                <w:sz w:val="18"/>
                <w:szCs w:val="18"/>
                <w:lang w:eastAsia="en-US"/>
              </w:rPr>
              <w:t xml:space="preserve">an </w:t>
            </w:r>
            <w:r w:rsidRPr="007C4D65">
              <w:rPr>
                <w:rFonts w:asciiTheme="minorHAnsi" w:eastAsiaTheme="minorHAnsi" w:hAnsiTheme="minorHAnsi" w:cstheme="minorHAnsi"/>
                <w:sz w:val="18"/>
                <w:szCs w:val="18"/>
                <w:lang w:eastAsia="en-US"/>
              </w:rPr>
              <w:t>integr</w:t>
            </w:r>
            <w:r w:rsidR="008520BC" w:rsidRPr="007C4D65">
              <w:rPr>
                <w:rFonts w:asciiTheme="minorHAnsi" w:eastAsiaTheme="minorHAnsi" w:hAnsiTheme="minorHAnsi" w:cstheme="minorHAnsi"/>
                <w:sz w:val="18"/>
                <w:szCs w:val="18"/>
                <w:lang w:eastAsia="en-US"/>
              </w:rPr>
              <w:t>ated</w:t>
            </w:r>
            <w:r w:rsidRPr="007C4D65">
              <w:rPr>
                <w:rFonts w:asciiTheme="minorHAnsi" w:eastAsiaTheme="minorHAnsi" w:hAnsiTheme="minorHAnsi" w:cstheme="minorHAnsi"/>
                <w:sz w:val="18"/>
                <w:szCs w:val="18"/>
                <w:lang w:eastAsia="en-US"/>
              </w:rPr>
              <w:t xml:space="preserve"> strategy </w:t>
            </w:r>
            <w:r w:rsidR="008520BC" w:rsidRPr="007C4D65">
              <w:rPr>
                <w:rFonts w:asciiTheme="minorHAnsi" w:eastAsiaTheme="minorHAnsi" w:hAnsiTheme="minorHAnsi" w:cstheme="minorHAnsi"/>
                <w:sz w:val="18"/>
                <w:szCs w:val="18"/>
                <w:lang w:eastAsia="en-US"/>
              </w:rPr>
              <w:t>on</w:t>
            </w:r>
            <w:r w:rsidRPr="007C4D65">
              <w:rPr>
                <w:rFonts w:asciiTheme="minorHAnsi" w:eastAsiaTheme="minorHAnsi" w:hAnsiTheme="minorHAnsi" w:cstheme="minorHAnsi"/>
                <w:sz w:val="18"/>
                <w:szCs w:val="18"/>
                <w:lang w:eastAsia="en-US"/>
              </w:rPr>
              <w:t xml:space="preserve"> climate change</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9F09EC1" w14:textId="0443642A" w:rsidR="00EE66FD" w:rsidRPr="007C4D65" w:rsidRDefault="008520BC"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Rulebook adopted</w:t>
            </w:r>
          </w:p>
        </w:tc>
      </w:tr>
      <w:tr w:rsidR="00EE66FD" w:rsidRPr="007C4D65" w14:paraId="342A3E22"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7D962AB1"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4F0D698" w14:textId="16031C4F" w:rsidR="00EE66FD" w:rsidRPr="007C4D65" w:rsidRDefault="00EE66FD">
            <w:pPr>
              <w:numPr>
                <w:ilvl w:val="0"/>
                <w:numId w:val="117"/>
              </w:numPr>
              <w:spacing w:before="40" w:after="40" w:line="276" w:lineRule="auto"/>
              <w:ind w:left="297" w:hanging="297"/>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Level of the implementation of the capacity </w:t>
            </w:r>
            <w:r w:rsidR="008520BC" w:rsidRPr="007C4D65">
              <w:rPr>
                <w:rFonts w:asciiTheme="minorHAnsi" w:eastAsia="Calibri" w:hAnsiTheme="minorHAnsi" w:cstheme="minorHAnsi"/>
                <w:sz w:val="18"/>
                <w:szCs w:val="18"/>
                <w:lang w:eastAsia="en-US"/>
              </w:rPr>
              <w:t>building</w:t>
            </w:r>
            <w:r w:rsidRPr="007C4D65">
              <w:rPr>
                <w:rFonts w:asciiTheme="minorHAnsi" w:eastAsia="Calibri" w:hAnsiTheme="minorHAnsi" w:cstheme="minorHAnsi"/>
                <w:sz w:val="18"/>
                <w:szCs w:val="18"/>
                <w:lang w:eastAsia="en-US"/>
              </w:rPr>
              <w:t xml:space="preserve"> programme</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665364C" w14:textId="2FAA7F68"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Insufficient </w:t>
            </w:r>
            <w:r w:rsidR="008520BC" w:rsidRPr="007C4D65">
              <w:rPr>
                <w:rFonts w:asciiTheme="minorHAnsi" w:eastAsiaTheme="minorHAnsi" w:hAnsiTheme="minorHAnsi" w:cstheme="minorHAnsi"/>
                <w:sz w:val="18"/>
                <w:szCs w:val="18"/>
                <w:lang w:eastAsia="en-US"/>
              </w:rPr>
              <w:t>capacity of FHMI</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3E0DA7A" w14:textId="7BE06E36" w:rsidR="00EE66FD" w:rsidRPr="007C4D65" w:rsidRDefault="008520BC"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c</w:t>
            </w:r>
            <w:r w:rsidR="00EE66FD" w:rsidRPr="007C4D65">
              <w:rPr>
                <w:rFonts w:asciiTheme="minorHAnsi" w:eastAsiaTheme="minorHAnsi" w:hAnsiTheme="minorHAnsi" w:cstheme="minorHAnsi"/>
                <w:sz w:val="18"/>
                <w:szCs w:val="18"/>
                <w:lang w:eastAsia="en-US"/>
              </w:rPr>
              <w:t xml:space="preserve">apacity </w:t>
            </w:r>
            <w:r w:rsidRPr="007C4D65">
              <w:rPr>
                <w:rFonts w:asciiTheme="minorHAnsi" w:eastAsiaTheme="minorHAnsi" w:hAnsiTheme="minorHAnsi" w:cstheme="minorHAnsi"/>
                <w:sz w:val="18"/>
                <w:szCs w:val="18"/>
                <w:lang w:eastAsia="en-US"/>
              </w:rPr>
              <w:t xml:space="preserve">building </w:t>
            </w:r>
            <w:r w:rsidR="00EE66FD" w:rsidRPr="007C4D65">
              <w:rPr>
                <w:rFonts w:asciiTheme="minorHAnsi" w:eastAsiaTheme="minorHAnsi" w:hAnsiTheme="minorHAnsi" w:cstheme="minorHAnsi"/>
                <w:sz w:val="18"/>
                <w:szCs w:val="18"/>
                <w:lang w:eastAsia="en-US"/>
              </w:rPr>
              <w:t>programme implemented</w:t>
            </w:r>
          </w:p>
        </w:tc>
      </w:tr>
      <w:tr w:rsidR="00EE66FD" w:rsidRPr="007C4D65" w14:paraId="35CCE449"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39E6096"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DEC4A35" w14:textId="77777777" w:rsidR="00EE66FD" w:rsidRPr="007C4D65" w:rsidRDefault="00EE66FD">
            <w:pPr>
              <w:numPr>
                <w:ilvl w:val="0"/>
                <w:numId w:val="117"/>
              </w:numPr>
              <w:spacing w:before="40" w:after="40" w:line="276" w:lineRule="auto"/>
              <w:ind w:left="297" w:hanging="297"/>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the law adoption</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CE7CCC9" w14:textId="17BCED93" w:rsidR="00EE66FD" w:rsidRPr="007C4D65" w:rsidRDefault="008B23C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w:t>
            </w:r>
            <w:r w:rsidR="00EE66FD" w:rsidRPr="007C4D65">
              <w:rPr>
                <w:rFonts w:asciiTheme="minorHAnsi" w:eastAsiaTheme="minorHAnsi" w:hAnsiTheme="minorHAnsi" w:cstheme="minorHAnsi"/>
                <w:sz w:val="18"/>
                <w:szCs w:val="18"/>
                <w:lang w:eastAsia="en-US"/>
              </w:rPr>
              <w:t>o climate law</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3A82CD7" w14:textId="7347CBA1" w:rsidR="00EE66FD" w:rsidRPr="007C4D65" w:rsidRDefault="008B23C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c</w:t>
            </w:r>
            <w:r w:rsidR="00EE66FD" w:rsidRPr="007C4D65">
              <w:rPr>
                <w:rFonts w:asciiTheme="minorHAnsi" w:eastAsiaTheme="minorHAnsi" w:hAnsiTheme="minorHAnsi" w:cstheme="minorHAnsi"/>
                <w:sz w:val="18"/>
                <w:szCs w:val="18"/>
                <w:lang w:eastAsia="en-US"/>
              </w:rPr>
              <w:t>limate law adopted</w:t>
            </w:r>
          </w:p>
        </w:tc>
      </w:tr>
      <w:tr w:rsidR="00EE66FD" w:rsidRPr="007C4D65" w14:paraId="70D2460F"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05E967F"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7C02EAD" w14:textId="76BFE5CA" w:rsidR="00EE66FD" w:rsidRPr="007C4D65" w:rsidRDefault="00EE66FD">
            <w:pPr>
              <w:numPr>
                <w:ilvl w:val="0"/>
                <w:numId w:val="117"/>
              </w:numPr>
              <w:spacing w:before="40" w:after="40" w:line="276" w:lineRule="auto"/>
              <w:ind w:left="270" w:hanging="27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Status of </w:t>
            </w:r>
            <w:r w:rsidR="008B23CD"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adoption of the decree</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2CB6097"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 is no decree on the monitoring and reporting mechanism</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F454E1C" w14:textId="45730278" w:rsidR="00EE66FD" w:rsidRPr="007C4D65" w:rsidRDefault="008B23C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Decree on the monitoring and reporting mechanism adopted</w:t>
            </w:r>
          </w:p>
        </w:tc>
      </w:tr>
      <w:tr w:rsidR="00EE66FD" w:rsidRPr="007C4D65" w14:paraId="3771B9E2"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DD6AF00"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0046F16" w14:textId="77777777" w:rsidR="00EE66FD" w:rsidRPr="007C4D65" w:rsidRDefault="00EE66FD">
            <w:pPr>
              <w:numPr>
                <w:ilvl w:val="0"/>
                <w:numId w:val="117"/>
              </w:numPr>
              <w:spacing w:before="40" w:after="40" w:line="276" w:lineRule="auto"/>
              <w:ind w:left="27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the adoption of NECP</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52681E7"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Working version completed, finalisation in progress</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1522567"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NECP adopted every five years</w:t>
            </w:r>
          </w:p>
        </w:tc>
      </w:tr>
      <w:tr w:rsidR="00EE66FD" w:rsidRPr="007C4D65" w14:paraId="274D6D72"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0F4E84C"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E80733D" w14:textId="015BCED5" w:rsidR="00EE66FD" w:rsidRPr="007C4D65" w:rsidRDefault="00EE66FD">
            <w:pPr>
              <w:numPr>
                <w:ilvl w:val="0"/>
                <w:numId w:val="117"/>
              </w:numPr>
              <w:spacing w:before="40" w:after="40" w:line="276" w:lineRule="auto"/>
              <w:ind w:left="270" w:hanging="27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Number of SECAPs</w:t>
            </w:r>
            <w:r w:rsidR="008B23CD" w:rsidRPr="007C4D65">
              <w:rPr>
                <w:rFonts w:asciiTheme="minorHAnsi" w:eastAsiaTheme="minorHAnsi" w:hAnsiTheme="minorHAnsi" w:cstheme="minorHAnsi"/>
                <w:color w:val="000000"/>
                <w:sz w:val="18"/>
                <w:szCs w:val="18"/>
                <w:lang w:eastAsia="en-US"/>
              </w:rPr>
              <w:t xml:space="preserve"> </w:t>
            </w:r>
            <w:r w:rsidR="00C224E3" w:rsidRPr="007C4D65">
              <w:rPr>
                <w:rFonts w:asciiTheme="minorHAnsi" w:eastAsiaTheme="minorHAnsi" w:hAnsiTheme="minorHAnsi" w:cstheme="minorHAnsi"/>
                <w:color w:val="000000"/>
                <w:sz w:val="18"/>
                <w:szCs w:val="18"/>
                <w:lang w:eastAsia="en-US"/>
              </w:rPr>
              <w:t>prepared</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0D1DDE0" w14:textId="0380E603" w:rsidR="00EE66FD" w:rsidRPr="007C4D65" w:rsidRDefault="008B23C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 few</w:t>
            </w:r>
            <w:r w:rsidR="00EE66FD" w:rsidRPr="007C4D65">
              <w:rPr>
                <w:rFonts w:asciiTheme="minorHAnsi" w:eastAsiaTheme="minorHAnsi" w:hAnsiTheme="minorHAnsi" w:cstheme="minorHAnsi"/>
                <w:sz w:val="18"/>
                <w:szCs w:val="18"/>
                <w:lang w:eastAsia="en-US"/>
              </w:rPr>
              <w:t xml:space="preserve"> municipalities and cities have SECAP</w:t>
            </w:r>
            <w:r w:rsidRPr="007C4D65">
              <w:rPr>
                <w:rFonts w:asciiTheme="minorHAnsi" w:eastAsiaTheme="minorHAnsi" w:hAnsiTheme="minorHAnsi" w:cstheme="minorHAnsi"/>
                <w:sz w:val="18"/>
                <w:szCs w:val="18"/>
                <w:lang w:eastAsia="en-US"/>
              </w:rPr>
              <w:t>s</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E39B7D0" w14:textId="461020DA"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SECAPs </w:t>
            </w:r>
            <w:r w:rsidR="008B23CD" w:rsidRPr="007C4D65">
              <w:rPr>
                <w:rFonts w:asciiTheme="minorHAnsi" w:eastAsiaTheme="minorHAnsi" w:hAnsiTheme="minorHAnsi" w:cstheme="minorHAnsi"/>
                <w:sz w:val="18"/>
                <w:szCs w:val="18"/>
                <w:lang w:eastAsia="en-US"/>
              </w:rPr>
              <w:t>prepared</w:t>
            </w:r>
            <w:r w:rsidRPr="007C4D65">
              <w:rPr>
                <w:rFonts w:asciiTheme="minorHAnsi" w:eastAsiaTheme="minorHAnsi" w:hAnsiTheme="minorHAnsi" w:cstheme="minorHAnsi"/>
                <w:sz w:val="18"/>
                <w:szCs w:val="18"/>
                <w:lang w:eastAsia="en-US"/>
              </w:rPr>
              <w:t xml:space="preserve"> and adopted</w:t>
            </w:r>
          </w:p>
        </w:tc>
      </w:tr>
      <w:tr w:rsidR="00EE66FD" w:rsidRPr="007C4D65" w14:paraId="0A595909"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06C81CF"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DBCC268" w14:textId="2D16666D" w:rsidR="00EE66FD" w:rsidRPr="007C4D65" w:rsidRDefault="008B23CD">
            <w:pPr>
              <w:numPr>
                <w:ilvl w:val="0"/>
                <w:numId w:val="117"/>
              </w:numPr>
              <w:spacing w:before="40" w:after="40" w:line="276" w:lineRule="auto"/>
              <w:ind w:left="27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the adoption of the plan</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D7AF251" w14:textId="15A67B6B" w:rsidR="00EE66FD" w:rsidRPr="007C4D65" w:rsidRDefault="008B23C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 is no action plan on phasing out coal</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0AEBB6F" w14:textId="03B2E6BA" w:rsidR="00EE66FD" w:rsidRPr="007C4D65" w:rsidRDefault="008B23C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 xml:space="preserve">Plans </w:t>
            </w:r>
            <w:r w:rsidRPr="007C4D65">
              <w:rPr>
                <w:rFonts w:asciiTheme="minorHAnsi" w:eastAsiaTheme="minorHAnsi" w:hAnsiTheme="minorHAnsi" w:cstheme="minorHAnsi"/>
                <w:sz w:val="18"/>
                <w:szCs w:val="18"/>
                <w:lang w:eastAsia="en-US"/>
              </w:rPr>
              <w:t>prepared</w:t>
            </w:r>
            <w:r w:rsidR="00EE66FD" w:rsidRPr="007C4D65">
              <w:rPr>
                <w:rFonts w:asciiTheme="minorHAnsi" w:eastAsiaTheme="minorHAnsi" w:hAnsiTheme="minorHAnsi" w:cstheme="minorHAnsi"/>
                <w:sz w:val="18"/>
                <w:szCs w:val="18"/>
                <w:lang w:eastAsia="en-US"/>
              </w:rPr>
              <w:t xml:space="preserve"> and adopted</w:t>
            </w:r>
          </w:p>
        </w:tc>
      </w:tr>
      <w:tr w:rsidR="008B23CD" w:rsidRPr="007C4D65" w14:paraId="44125EA1"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4FC7C08" w14:textId="77777777" w:rsidR="008B23CD" w:rsidRPr="007C4D65" w:rsidRDefault="008B23CD" w:rsidP="00EE66FD">
            <w:pPr>
              <w:spacing w:before="40" w:after="40" w:line="276" w:lineRule="auto"/>
              <w:rPr>
                <w:rFonts w:asciiTheme="minorHAnsi" w:eastAsiaTheme="minorHAnsi" w:hAnsiTheme="minorHAnsi" w:cstheme="minorHAnsi"/>
                <w:b/>
                <w:bCs/>
                <w:sz w:val="18"/>
                <w:szCs w:val="18"/>
                <w:lang w:eastAsia="en-US"/>
              </w:rPr>
            </w:pPr>
          </w:p>
        </w:tc>
        <w:tc>
          <w:tcPr>
            <w:tcW w:w="11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52F245B" w14:textId="1B40BF91" w:rsidR="008B23CD" w:rsidRPr="007C4D65" w:rsidRDefault="008B23CD">
            <w:pPr>
              <w:numPr>
                <w:ilvl w:val="0"/>
                <w:numId w:val="117"/>
              </w:numPr>
              <w:spacing w:before="40" w:after="40" w:line="276" w:lineRule="auto"/>
              <w:ind w:left="27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Number of the plans adopted</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C92B504" w14:textId="6F86DDF2" w:rsidR="008B23CD" w:rsidRPr="007C4D65" w:rsidRDefault="008B23C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Not a single mining region has a plan for a just transition</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3371AF8" w14:textId="72E6650C" w:rsidR="008B23CD" w:rsidRPr="007C4D65" w:rsidRDefault="008B23C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plan prepared and adopted</w:t>
            </w:r>
          </w:p>
        </w:tc>
      </w:tr>
      <w:tr w:rsidR="00EE66FD" w:rsidRPr="007C4D65" w14:paraId="2CB7DA89"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0B95B3B"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1ED9950" w14:textId="4C817074" w:rsidR="00EE66FD" w:rsidRPr="007C4D65" w:rsidRDefault="00EE66FD">
            <w:pPr>
              <w:numPr>
                <w:ilvl w:val="0"/>
                <w:numId w:val="117"/>
              </w:numPr>
              <w:spacing w:before="40" w:after="40" w:line="276" w:lineRule="auto"/>
              <w:ind w:left="270" w:hanging="270"/>
              <w:contextualSpacing/>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 xml:space="preserve">Status of the </w:t>
            </w:r>
            <w:r w:rsidR="008B23CD" w:rsidRPr="007C4D65">
              <w:rPr>
                <w:rFonts w:asciiTheme="minorHAnsi" w:eastAsiaTheme="minorHAnsi" w:hAnsiTheme="minorHAnsi" w:cstheme="minorHAnsi"/>
                <w:color w:val="000000"/>
                <w:sz w:val="18"/>
                <w:szCs w:val="18"/>
                <w:lang w:eastAsia="en-US"/>
              </w:rPr>
              <w:t xml:space="preserve">development of the </w:t>
            </w:r>
            <w:r w:rsidRPr="007C4D65">
              <w:rPr>
                <w:rFonts w:asciiTheme="minorHAnsi" w:eastAsiaTheme="minorHAnsi" w:hAnsiTheme="minorHAnsi" w:cstheme="minorHAnsi"/>
                <w:color w:val="000000"/>
                <w:sz w:val="18"/>
                <w:szCs w:val="18"/>
                <w:lang w:eastAsia="en-US"/>
              </w:rPr>
              <w:t xml:space="preserve">proposal </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31F525B"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ETS Directive not transposed</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3A71AB1" w14:textId="662359AF" w:rsidR="00EE66FD" w:rsidRPr="007C4D65" w:rsidRDefault="008B23C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 xml:space="preserve">Proposal </w:t>
            </w:r>
            <w:r w:rsidRPr="007C4D65">
              <w:rPr>
                <w:rFonts w:asciiTheme="minorHAnsi" w:eastAsiaTheme="minorHAnsi" w:hAnsiTheme="minorHAnsi" w:cstheme="minorHAnsi"/>
                <w:sz w:val="18"/>
                <w:szCs w:val="18"/>
                <w:lang w:eastAsia="en-US"/>
              </w:rPr>
              <w:t>developed in</w:t>
            </w:r>
            <w:r w:rsidR="00EE66FD" w:rsidRPr="007C4D65">
              <w:rPr>
                <w:rFonts w:asciiTheme="minorHAnsi" w:eastAsiaTheme="minorHAnsi" w:hAnsiTheme="minorHAnsi" w:cstheme="minorHAnsi"/>
                <w:sz w:val="18"/>
                <w:szCs w:val="18"/>
                <w:lang w:eastAsia="en-US"/>
              </w:rPr>
              <w:t xml:space="preserve"> cooperation with MOFTER</w:t>
            </w:r>
          </w:p>
        </w:tc>
      </w:tr>
      <w:tr w:rsidR="00EE66FD" w:rsidRPr="007C4D65" w14:paraId="671135DA"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4477244"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3F772E4" w14:textId="77777777" w:rsidR="00EE66FD" w:rsidRPr="007C4D65" w:rsidRDefault="00EE66FD">
            <w:pPr>
              <w:numPr>
                <w:ilvl w:val="0"/>
                <w:numId w:val="117"/>
              </w:numPr>
              <w:spacing w:before="40" w:after="40" w:line="276" w:lineRule="auto"/>
              <w:ind w:left="270" w:hanging="270"/>
              <w:contextualSpacing/>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Status of the designation of the institution</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6FF8D04" w14:textId="4AD56D3C" w:rsidR="00EE66FD" w:rsidRPr="007C4D65" w:rsidRDefault="008B23C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w:t>
            </w:r>
            <w:r w:rsidR="00EE66FD" w:rsidRPr="007C4D65">
              <w:rPr>
                <w:rFonts w:asciiTheme="minorHAnsi" w:eastAsiaTheme="minorHAnsi" w:hAnsiTheme="minorHAnsi" w:cstheme="minorHAnsi"/>
                <w:sz w:val="18"/>
                <w:szCs w:val="18"/>
                <w:lang w:eastAsia="en-US"/>
              </w:rPr>
              <w:t xml:space="preserve">o institution </w:t>
            </w:r>
            <w:r w:rsidRPr="007C4D65">
              <w:rPr>
                <w:rFonts w:asciiTheme="minorHAnsi" w:eastAsiaTheme="minorHAnsi" w:hAnsiTheme="minorHAnsi" w:cstheme="minorHAnsi"/>
                <w:sz w:val="18"/>
                <w:szCs w:val="18"/>
                <w:lang w:eastAsia="en-US"/>
              </w:rPr>
              <w:t xml:space="preserve">has been </w:t>
            </w:r>
            <w:r w:rsidR="00EE66FD" w:rsidRPr="007C4D65">
              <w:rPr>
                <w:rFonts w:asciiTheme="minorHAnsi" w:eastAsiaTheme="minorHAnsi" w:hAnsiTheme="minorHAnsi" w:cstheme="minorHAnsi"/>
                <w:sz w:val="18"/>
                <w:szCs w:val="18"/>
                <w:lang w:eastAsia="en-US"/>
              </w:rPr>
              <w:t xml:space="preserve">designated for </w:t>
            </w: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establishment and operation of ETS</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4D1936B" w14:textId="191A91DD" w:rsidR="00EE66FD" w:rsidRPr="007C4D65" w:rsidRDefault="008B23C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 xml:space="preserve">Institution </w:t>
            </w:r>
            <w:r w:rsidRPr="007C4D65">
              <w:rPr>
                <w:rFonts w:asciiTheme="minorHAnsi" w:eastAsiaTheme="minorHAnsi" w:hAnsiTheme="minorHAnsi" w:cstheme="minorHAnsi"/>
                <w:sz w:val="18"/>
                <w:szCs w:val="18"/>
                <w:lang w:eastAsia="en-US"/>
              </w:rPr>
              <w:t>of the Federation of BiH</w:t>
            </w:r>
            <w:r w:rsidR="00EE66FD" w:rsidRPr="007C4D65">
              <w:rPr>
                <w:rFonts w:asciiTheme="minorHAnsi" w:eastAsiaTheme="minorHAnsi" w:hAnsiTheme="minorHAnsi" w:cstheme="minorHAnsi"/>
                <w:sz w:val="18"/>
                <w:szCs w:val="18"/>
                <w:lang w:eastAsia="en-US"/>
              </w:rPr>
              <w:t xml:space="preserve"> appointed</w:t>
            </w:r>
          </w:p>
        </w:tc>
      </w:tr>
      <w:tr w:rsidR="00EE66FD" w:rsidRPr="007C4D65" w14:paraId="585A7829"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A4BDF10"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BB92DBF" w14:textId="64FF2551" w:rsidR="00EE66FD" w:rsidRPr="007C4D65" w:rsidRDefault="00EE66FD">
            <w:pPr>
              <w:numPr>
                <w:ilvl w:val="0"/>
                <w:numId w:val="117"/>
              </w:numPr>
              <w:spacing w:before="40" w:after="40" w:line="276" w:lineRule="auto"/>
              <w:ind w:left="270" w:hanging="27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Level of the implementation of the capacity </w:t>
            </w:r>
            <w:r w:rsidR="008B23CD" w:rsidRPr="007C4D65">
              <w:rPr>
                <w:rFonts w:asciiTheme="minorHAnsi" w:eastAsia="Calibri" w:hAnsiTheme="minorHAnsi" w:cstheme="minorHAnsi"/>
                <w:sz w:val="18"/>
                <w:szCs w:val="18"/>
                <w:lang w:eastAsia="en-US"/>
              </w:rPr>
              <w:t>building</w:t>
            </w:r>
            <w:r w:rsidRPr="007C4D65">
              <w:rPr>
                <w:rFonts w:asciiTheme="minorHAnsi" w:eastAsia="Calibri" w:hAnsiTheme="minorHAnsi" w:cstheme="minorHAnsi"/>
                <w:sz w:val="18"/>
                <w:szCs w:val="18"/>
                <w:lang w:eastAsia="en-US"/>
              </w:rPr>
              <w:t xml:space="preserve"> programme</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A1CD66C" w14:textId="77532EBD" w:rsidR="00EE66FD" w:rsidRPr="007C4D65" w:rsidRDefault="008B23C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Lack of capacities</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F5AC592" w14:textId="3F01C1E6" w:rsidR="00EE66FD" w:rsidRPr="007C4D65" w:rsidRDefault="008B23C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capacity building</w:t>
            </w:r>
            <w:r w:rsidR="00EE66FD" w:rsidRPr="007C4D65">
              <w:rPr>
                <w:rFonts w:asciiTheme="minorHAnsi" w:eastAsiaTheme="minorHAnsi" w:hAnsiTheme="minorHAnsi" w:cstheme="minorHAnsi"/>
                <w:sz w:val="18"/>
                <w:szCs w:val="18"/>
                <w:lang w:eastAsia="en-US"/>
              </w:rPr>
              <w:t xml:space="preserve"> programme implemented</w:t>
            </w:r>
          </w:p>
        </w:tc>
      </w:tr>
      <w:tr w:rsidR="00EE66FD" w:rsidRPr="007C4D65" w14:paraId="5DF4749E"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1C09C21"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53272A8" w14:textId="609F7B55" w:rsidR="00EE66FD" w:rsidRPr="007C4D65" w:rsidRDefault="00EE66FD">
            <w:pPr>
              <w:numPr>
                <w:ilvl w:val="0"/>
                <w:numId w:val="117"/>
              </w:numPr>
              <w:spacing w:before="40" w:after="40" w:line="276" w:lineRule="auto"/>
              <w:ind w:left="270" w:hanging="270"/>
              <w:contextualSpacing/>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 xml:space="preserve">Status of </w:t>
            </w:r>
            <w:r w:rsidR="008B23CD" w:rsidRPr="007C4D65">
              <w:rPr>
                <w:rFonts w:asciiTheme="minorHAnsi" w:eastAsiaTheme="minorHAnsi" w:hAnsiTheme="minorHAnsi" w:cstheme="minorHAnsi"/>
                <w:color w:val="000000"/>
                <w:sz w:val="18"/>
                <w:szCs w:val="18"/>
                <w:lang w:eastAsia="en-US"/>
              </w:rPr>
              <w:t xml:space="preserve">the </w:t>
            </w:r>
            <w:r w:rsidRPr="007C4D65">
              <w:rPr>
                <w:rFonts w:asciiTheme="minorHAnsi" w:eastAsiaTheme="minorHAnsi" w:hAnsiTheme="minorHAnsi" w:cstheme="minorHAnsi"/>
                <w:color w:val="000000"/>
                <w:sz w:val="18"/>
                <w:szCs w:val="18"/>
                <w:lang w:eastAsia="en-US"/>
              </w:rPr>
              <w:t>strategy development and adoption</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B657A9D" w14:textId="38F88775"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Lack of</w:t>
            </w:r>
            <w:r w:rsidR="008B23CD" w:rsidRPr="007C4D65">
              <w:rPr>
                <w:rFonts w:asciiTheme="minorHAnsi" w:eastAsiaTheme="minorHAnsi" w:hAnsiTheme="minorHAnsi" w:cstheme="minorHAnsi"/>
                <w:sz w:val="18"/>
                <w:szCs w:val="18"/>
                <w:lang w:eastAsia="en-US"/>
              </w:rPr>
              <w:t xml:space="preserve"> a</w:t>
            </w:r>
            <w:r w:rsidRPr="007C4D65">
              <w:rPr>
                <w:rFonts w:asciiTheme="minorHAnsi" w:eastAsiaTheme="minorHAnsi" w:hAnsiTheme="minorHAnsi" w:cstheme="minorHAnsi"/>
                <w:sz w:val="18"/>
                <w:szCs w:val="18"/>
                <w:lang w:eastAsia="en-US"/>
              </w:rPr>
              <w:t xml:space="preserve"> strategy </w:t>
            </w:r>
            <w:r w:rsidR="008B23CD" w:rsidRPr="007C4D65">
              <w:rPr>
                <w:rFonts w:asciiTheme="minorHAnsi" w:eastAsiaTheme="minorHAnsi" w:hAnsiTheme="minorHAnsi" w:cstheme="minorHAnsi"/>
                <w:sz w:val="18"/>
                <w:szCs w:val="18"/>
                <w:lang w:eastAsia="en-US"/>
              </w:rPr>
              <w:t>on</w:t>
            </w:r>
            <w:r w:rsidRPr="007C4D65">
              <w:rPr>
                <w:rFonts w:asciiTheme="minorHAnsi" w:eastAsiaTheme="minorHAnsi" w:hAnsiTheme="minorHAnsi" w:cstheme="minorHAnsi"/>
                <w:sz w:val="18"/>
                <w:szCs w:val="18"/>
                <w:lang w:eastAsia="en-US"/>
              </w:rPr>
              <w:t xml:space="preserve"> enhancement of carbon sinks</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F1D9BF2" w14:textId="142BF739" w:rsidR="00EE66FD" w:rsidRPr="007C4D65" w:rsidRDefault="008B23C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 xml:space="preserve">Strategy </w:t>
            </w:r>
            <w:r w:rsidRPr="007C4D65">
              <w:rPr>
                <w:rFonts w:asciiTheme="minorHAnsi" w:eastAsiaTheme="minorHAnsi" w:hAnsiTheme="minorHAnsi" w:cstheme="minorHAnsi"/>
                <w:sz w:val="18"/>
                <w:szCs w:val="18"/>
                <w:lang w:eastAsia="en-US"/>
              </w:rPr>
              <w:t>on</w:t>
            </w:r>
            <w:r w:rsidR="00EE66FD" w:rsidRPr="007C4D65">
              <w:rPr>
                <w:rFonts w:asciiTheme="minorHAnsi" w:eastAsiaTheme="minorHAnsi" w:hAnsiTheme="minorHAnsi" w:cstheme="minorHAnsi"/>
                <w:sz w:val="18"/>
                <w:szCs w:val="18"/>
                <w:lang w:eastAsia="en-US"/>
              </w:rPr>
              <w:t xml:space="preserve"> enhancement of carbon sinks</w:t>
            </w:r>
          </w:p>
        </w:tc>
      </w:tr>
      <w:tr w:rsidR="00EE66FD" w:rsidRPr="007C4D65" w14:paraId="76A1D0DB" w14:textId="77777777" w:rsidTr="00BC37DE">
        <w:trPr>
          <w:trHeight w:val="567"/>
          <w:jc w:val="center"/>
        </w:trPr>
        <w:tc>
          <w:tcPr>
            <w:tcW w:w="1322"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62ACC36"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2E8DBEE" w14:textId="41783766" w:rsidR="00EE66FD" w:rsidRPr="007C4D65" w:rsidRDefault="00EE66FD">
            <w:pPr>
              <w:numPr>
                <w:ilvl w:val="0"/>
                <w:numId w:val="117"/>
              </w:numPr>
              <w:spacing w:before="40" w:after="40" w:line="276" w:lineRule="auto"/>
              <w:ind w:left="270" w:hanging="270"/>
              <w:contextualSpacing/>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 xml:space="preserve">Status of </w:t>
            </w:r>
            <w:r w:rsidR="00BA2165" w:rsidRPr="007C4D65">
              <w:rPr>
                <w:rFonts w:asciiTheme="minorHAnsi" w:eastAsiaTheme="minorHAnsi" w:hAnsiTheme="minorHAnsi" w:cstheme="minorHAnsi"/>
                <w:color w:val="000000"/>
                <w:sz w:val="18"/>
                <w:szCs w:val="18"/>
                <w:lang w:eastAsia="en-US"/>
              </w:rPr>
              <w:t xml:space="preserve">the </w:t>
            </w:r>
            <w:r w:rsidRPr="007C4D65">
              <w:rPr>
                <w:rFonts w:asciiTheme="minorHAnsi" w:eastAsiaTheme="minorHAnsi" w:hAnsiTheme="minorHAnsi" w:cstheme="minorHAnsi"/>
                <w:color w:val="000000"/>
                <w:sz w:val="18"/>
                <w:szCs w:val="18"/>
                <w:lang w:eastAsia="en-US"/>
              </w:rPr>
              <w:t>adoption of the models</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A4A08A9" w14:textId="55E383E8"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Lack of </w:t>
            </w:r>
            <w:r w:rsidR="00BA2165" w:rsidRPr="007C4D65">
              <w:rPr>
                <w:rFonts w:asciiTheme="minorHAnsi" w:eastAsiaTheme="minorHAnsi" w:hAnsiTheme="minorHAnsi" w:cstheme="minorHAnsi"/>
                <w:sz w:val="18"/>
                <w:szCs w:val="18"/>
                <w:lang w:eastAsia="en-US"/>
              </w:rPr>
              <w:t xml:space="preserve">a </w:t>
            </w:r>
            <w:r w:rsidRPr="007C4D65">
              <w:rPr>
                <w:rFonts w:asciiTheme="minorHAnsi" w:eastAsiaTheme="minorHAnsi" w:hAnsiTheme="minorHAnsi" w:cstheme="minorHAnsi"/>
                <w:sz w:val="18"/>
                <w:szCs w:val="18"/>
                <w:lang w:eastAsia="en-US"/>
              </w:rPr>
              <w:t xml:space="preserve">model for </w:t>
            </w:r>
            <w:r w:rsidR="00BA2165" w:rsidRPr="007C4D65">
              <w:rPr>
                <w:rFonts w:asciiTheme="minorHAnsi" w:eastAsiaTheme="minorHAnsi" w:hAnsiTheme="minorHAnsi" w:cstheme="minorHAnsi"/>
                <w:sz w:val="18"/>
                <w:szCs w:val="18"/>
                <w:lang w:eastAsia="en-US"/>
              </w:rPr>
              <w:t>promotion of</w:t>
            </w:r>
            <w:r w:rsidRPr="007C4D65">
              <w:rPr>
                <w:rFonts w:asciiTheme="minorHAnsi" w:eastAsiaTheme="minorHAnsi" w:hAnsiTheme="minorHAnsi" w:cstheme="minorHAnsi"/>
                <w:sz w:val="18"/>
                <w:szCs w:val="18"/>
                <w:lang w:eastAsia="en-US"/>
              </w:rPr>
              <w:t xml:space="preserve"> </w:t>
            </w:r>
            <w:r w:rsidR="00BA2165" w:rsidRPr="007C4D65">
              <w:rPr>
                <w:rFonts w:asciiTheme="minorHAnsi" w:eastAsiaTheme="minorHAnsi" w:hAnsiTheme="minorHAnsi" w:cstheme="minorHAnsi"/>
                <w:sz w:val="18"/>
                <w:szCs w:val="18"/>
                <w:lang w:eastAsia="en-US"/>
              </w:rPr>
              <w:t xml:space="preserve">growing </w:t>
            </w:r>
            <w:r w:rsidRPr="007C4D65">
              <w:rPr>
                <w:rFonts w:asciiTheme="minorHAnsi" w:eastAsiaTheme="minorHAnsi" w:hAnsiTheme="minorHAnsi" w:cstheme="minorHAnsi"/>
                <w:sz w:val="18"/>
                <w:szCs w:val="18"/>
                <w:lang w:eastAsia="en-US"/>
              </w:rPr>
              <w:t>fast growing energy crops</w:t>
            </w:r>
          </w:p>
        </w:tc>
        <w:tc>
          <w:tcPr>
            <w:tcW w:w="126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53B1501" w14:textId="6883B4F8" w:rsidR="00EE66FD" w:rsidRPr="007C4D65" w:rsidRDefault="00BA2165"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 m</w:t>
            </w:r>
            <w:r w:rsidR="00EE66FD" w:rsidRPr="007C4D65">
              <w:rPr>
                <w:rFonts w:asciiTheme="minorHAnsi" w:eastAsiaTheme="minorHAnsi" w:hAnsiTheme="minorHAnsi" w:cstheme="minorHAnsi"/>
                <w:sz w:val="18"/>
                <w:szCs w:val="18"/>
                <w:lang w:eastAsia="en-US"/>
              </w:rPr>
              <w:t xml:space="preserve">odel for </w:t>
            </w:r>
            <w:r w:rsidRPr="007C4D65">
              <w:rPr>
                <w:rFonts w:asciiTheme="minorHAnsi" w:eastAsiaTheme="minorHAnsi" w:hAnsiTheme="minorHAnsi" w:cstheme="minorHAnsi"/>
                <w:sz w:val="18"/>
                <w:szCs w:val="18"/>
                <w:lang w:eastAsia="en-US"/>
              </w:rPr>
              <w:t>promotion of growing</w:t>
            </w:r>
            <w:r w:rsidR="00EE66FD" w:rsidRPr="007C4D65">
              <w:rPr>
                <w:rFonts w:asciiTheme="minorHAnsi" w:eastAsiaTheme="minorHAnsi" w:hAnsiTheme="minorHAnsi" w:cstheme="minorHAnsi"/>
                <w:sz w:val="18"/>
                <w:szCs w:val="18"/>
                <w:lang w:eastAsia="en-US"/>
              </w:rPr>
              <w:t xml:space="preserve"> fast growing energy crops on degraded land adopted</w:t>
            </w:r>
          </w:p>
        </w:tc>
      </w:tr>
      <w:tr w:rsidR="00EE66FD" w:rsidRPr="007C4D65" w14:paraId="5B028C56"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8D6476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Effect on the development and contribution of the measure to the priority</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F7D751D" w14:textId="1FC26D54" w:rsidR="00EE66FD" w:rsidRPr="007C4D65" w:rsidRDefault="00BA2165"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E66FD" w:rsidRPr="007C4D65" w14:paraId="5B2E82D5"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BCE9EEE" w14:textId="4AE85711"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Indicative financial projection, with specification of sources</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078EFE3" w14:textId="3F8D98AE" w:rsidR="00BA2165" w:rsidRPr="007C4D65" w:rsidRDefault="00C224E3" w:rsidP="00BA2165">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 xml:space="preserve">Amount: </w:t>
            </w:r>
            <w:r w:rsidR="00BA2165" w:rsidRPr="007C4D65">
              <w:rPr>
                <w:rFonts w:asciiTheme="minorHAnsi" w:hAnsiTheme="minorHAnsi" w:cstheme="minorHAnsi"/>
                <w:sz w:val="18"/>
                <w:szCs w:val="18"/>
                <w:lang w:bidi="en-US"/>
              </w:rPr>
              <w:t xml:space="preserve"> BAM 8,874,483</w:t>
            </w:r>
          </w:p>
          <w:p w14:paraId="10B3C237" w14:textId="74FCB4C1" w:rsidR="00EE66FD" w:rsidRPr="007C4D65" w:rsidRDefault="009E6B20" w:rsidP="00BA2165">
            <w:pPr>
              <w:spacing w:before="40" w:after="40" w:line="276" w:lineRule="auto"/>
              <w:rPr>
                <w:rFonts w:asciiTheme="minorHAnsi" w:eastAsiaTheme="minorHAnsi" w:hAnsiTheme="minorHAnsi" w:cstheme="minorHAnsi"/>
                <w:bCs/>
                <w:sz w:val="18"/>
                <w:szCs w:val="18"/>
                <w:lang w:eastAsia="en-US"/>
              </w:rPr>
            </w:pPr>
            <w:r w:rsidRPr="007C4D65">
              <w:rPr>
                <w:rFonts w:asciiTheme="minorHAnsi" w:eastAsia="Calibri" w:hAnsiTheme="minorHAnsi" w:cstheme="minorHAnsi"/>
                <w:sz w:val="18"/>
                <w:szCs w:val="18"/>
              </w:rPr>
              <w:t xml:space="preserve">Source: </w:t>
            </w:r>
            <w:r w:rsidR="00BA2165" w:rsidRPr="007C4D65">
              <w:rPr>
                <w:rFonts w:asciiTheme="minorHAnsi" w:eastAsia="Calibri" w:hAnsiTheme="minorHAnsi" w:cstheme="minorHAnsi"/>
                <w:sz w:val="18"/>
                <w:szCs w:val="18"/>
              </w:rPr>
              <w:t xml:space="preserve"> 10% </w:t>
            </w:r>
            <w:r w:rsidR="000E401F" w:rsidRPr="007C4D65">
              <w:rPr>
                <w:rFonts w:asciiTheme="minorHAnsi" w:eastAsia="Calibri" w:hAnsiTheme="minorHAnsi" w:cstheme="minorHAnsi"/>
                <w:sz w:val="18"/>
                <w:szCs w:val="18"/>
              </w:rPr>
              <w:t xml:space="preserve">government </w:t>
            </w:r>
            <w:proofErr w:type="gramStart"/>
            <w:r w:rsidR="000E401F" w:rsidRPr="007C4D65">
              <w:rPr>
                <w:rFonts w:asciiTheme="minorHAnsi" w:eastAsia="Calibri" w:hAnsiTheme="minorHAnsi" w:cstheme="minorHAnsi"/>
                <w:sz w:val="18"/>
                <w:szCs w:val="18"/>
              </w:rPr>
              <w:t>budget</w:t>
            </w:r>
            <w:r w:rsidR="00C224E3" w:rsidRPr="007C4D65">
              <w:rPr>
                <w:rFonts w:asciiTheme="minorHAnsi" w:eastAsia="Calibri" w:hAnsiTheme="minorHAnsi" w:cstheme="minorHAnsi"/>
                <w:sz w:val="18"/>
                <w:szCs w:val="18"/>
              </w:rPr>
              <w:t xml:space="preserve"> </w:t>
            </w:r>
            <w:r w:rsidR="00BA2165" w:rsidRPr="007C4D65">
              <w:rPr>
                <w:rFonts w:asciiTheme="minorHAnsi" w:eastAsia="Calibri" w:hAnsiTheme="minorHAnsi" w:cstheme="minorHAnsi"/>
                <w:sz w:val="18"/>
                <w:szCs w:val="18"/>
              </w:rPr>
              <w:t>,</w:t>
            </w:r>
            <w:proofErr w:type="gramEnd"/>
            <w:r w:rsidR="00BA2165" w:rsidRPr="007C4D65">
              <w:rPr>
                <w:rFonts w:asciiTheme="minorHAnsi" w:eastAsia="Calibri" w:hAnsiTheme="minorHAnsi" w:cstheme="minorHAnsi"/>
                <w:sz w:val="18"/>
                <w:szCs w:val="18"/>
              </w:rPr>
              <w:t xml:space="preserve"> 90% </w:t>
            </w:r>
            <w:r w:rsidR="00C224E3" w:rsidRPr="007C4D65">
              <w:rPr>
                <w:rFonts w:asciiTheme="minorHAnsi" w:eastAsia="Calibri" w:hAnsiTheme="minorHAnsi" w:cstheme="minorHAnsi"/>
                <w:sz w:val="18"/>
                <w:szCs w:val="18"/>
              </w:rPr>
              <w:t xml:space="preserve">combined </w:t>
            </w:r>
            <w:r w:rsidR="00BA2165" w:rsidRPr="007C4D65">
              <w:rPr>
                <w:rFonts w:asciiTheme="minorHAnsi" w:eastAsia="Calibri" w:hAnsiTheme="minorHAnsi" w:cstheme="minorHAnsi"/>
                <w:sz w:val="18"/>
                <w:szCs w:val="18"/>
              </w:rPr>
              <w:t xml:space="preserve">‒ </w:t>
            </w:r>
            <w:r w:rsidR="00C224E3" w:rsidRPr="007C4D65">
              <w:rPr>
                <w:rFonts w:asciiTheme="minorHAnsi" w:eastAsia="Calibri" w:hAnsiTheme="minorHAnsi" w:cstheme="minorHAnsi"/>
                <w:sz w:val="18"/>
                <w:szCs w:val="18"/>
              </w:rPr>
              <w:t xml:space="preserve">funds from EU and other international donors, and other donations </w:t>
            </w:r>
          </w:p>
        </w:tc>
      </w:tr>
      <w:tr w:rsidR="00EE66FD" w:rsidRPr="007C4D65" w14:paraId="74797C25"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25E10D4"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Period of the implementation of the measure</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DB85AA1"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 2032</w:t>
            </w:r>
          </w:p>
        </w:tc>
      </w:tr>
      <w:tr w:rsidR="00EE66FD" w:rsidRPr="007C4D65" w14:paraId="5BC0A6CE"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39C9757"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Institution responsible for coordination of the implementation of the measure</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966E734" w14:textId="106282EB" w:rsidR="00EE66FD" w:rsidRPr="007C4D65" w:rsidRDefault="00BA2165"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FMET</w:t>
            </w:r>
          </w:p>
        </w:tc>
      </w:tr>
      <w:tr w:rsidR="00EE66FD" w:rsidRPr="007C4D65" w14:paraId="442BA0B4"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8CC22C7"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Implementing institutions</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A5EDC06" w14:textId="2E453016"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FMEMI, Environmental Protection Fund, ministries of forestry and agriculture, universities</w:t>
            </w:r>
          </w:p>
        </w:tc>
      </w:tr>
      <w:tr w:rsidR="00EE66FD" w:rsidRPr="007C4D65" w14:paraId="5B873114" w14:textId="77777777" w:rsidTr="00BC37DE">
        <w:trPr>
          <w:trHeight w:val="567"/>
          <w:jc w:val="center"/>
        </w:trPr>
        <w:tc>
          <w:tcPr>
            <w:tcW w:w="132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8C10104" w14:textId="4F79842C"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groups</w:t>
            </w:r>
          </w:p>
        </w:tc>
        <w:tc>
          <w:tcPr>
            <w:tcW w:w="3678"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F50D84E" w14:textId="38A23B34"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Municipalities, cities, large industrial companies, mines, forestry </w:t>
            </w:r>
            <w:proofErr w:type="gramStart"/>
            <w:r w:rsidRPr="007C4D65">
              <w:rPr>
                <w:rFonts w:asciiTheme="minorHAnsi" w:eastAsiaTheme="minorHAnsi" w:hAnsiTheme="minorHAnsi" w:cstheme="minorHAnsi"/>
                <w:sz w:val="18"/>
                <w:szCs w:val="18"/>
                <w:lang w:eastAsia="en-US"/>
              </w:rPr>
              <w:t>compan</w:t>
            </w:r>
            <w:r w:rsidR="00BA2165" w:rsidRPr="007C4D65">
              <w:rPr>
                <w:rFonts w:asciiTheme="minorHAnsi" w:eastAsiaTheme="minorHAnsi" w:hAnsiTheme="minorHAnsi" w:cstheme="minorHAnsi"/>
                <w:sz w:val="18"/>
                <w:szCs w:val="18"/>
                <w:lang w:eastAsia="en-US"/>
              </w:rPr>
              <w:t>ies</w:t>
            </w:r>
            <w:proofErr w:type="gramEnd"/>
            <w:r w:rsidRPr="007C4D65">
              <w:rPr>
                <w:rFonts w:asciiTheme="minorHAnsi" w:eastAsiaTheme="minorHAnsi" w:hAnsiTheme="minorHAnsi" w:cstheme="minorHAnsi"/>
                <w:sz w:val="18"/>
                <w:szCs w:val="18"/>
                <w:lang w:eastAsia="en-US"/>
              </w:rPr>
              <w:t xml:space="preserve"> </w:t>
            </w:r>
            <w:r w:rsidR="00BA2165" w:rsidRPr="007C4D65">
              <w:rPr>
                <w:rFonts w:asciiTheme="minorHAnsi" w:eastAsiaTheme="minorHAnsi" w:hAnsiTheme="minorHAnsi" w:cstheme="minorHAnsi"/>
                <w:sz w:val="18"/>
                <w:szCs w:val="18"/>
                <w:lang w:eastAsia="en-US"/>
              </w:rPr>
              <w:t>management</w:t>
            </w:r>
            <w:r w:rsidRPr="007C4D65">
              <w:rPr>
                <w:rFonts w:asciiTheme="minorHAnsi" w:eastAsiaTheme="minorHAnsi" w:hAnsiTheme="minorHAnsi" w:cstheme="minorHAnsi"/>
                <w:sz w:val="18"/>
                <w:szCs w:val="18"/>
                <w:lang w:eastAsia="en-US"/>
              </w:rPr>
              <w:t xml:space="preserve">, farmers </w:t>
            </w:r>
          </w:p>
        </w:tc>
      </w:tr>
    </w:tbl>
    <w:p w14:paraId="6C72B922" w14:textId="77777777" w:rsidR="00EE66FD" w:rsidRPr="007C4D65" w:rsidRDefault="00EE66FD" w:rsidP="00EE66FD">
      <w:pPr>
        <w:spacing w:line="276" w:lineRule="auto"/>
        <w:rPr>
          <w:rFonts w:asciiTheme="minorHAnsi" w:eastAsiaTheme="minorHAnsi" w:hAnsiTheme="minorHAnsi" w:cstheme="minorHAnsi"/>
          <w:sz w:val="22"/>
          <w:szCs w:val="22"/>
          <w:lang w:eastAsia="en-US"/>
        </w:rPr>
      </w:pPr>
    </w:p>
    <w:tbl>
      <w:tblPr>
        <w:tblW w:w="4799"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0"/>
        <w:gridCol w:w="3060"/>
        <w:gridCol w:w="3392"/>
        <w:gridCol w:w="3395"/>
      </w:tblGrid>
      <w:tr w:rsidR="00EE66FD" w:rsidRPr="007C4D65" w14:paraId="782825A1" w14:textId="77777777" w:rsidTr="00BC37DE">
        <w:trPr>
          <w:trHeight w:val="567"/>
          <w:jc w:val="center"/>
        </w:trPr>
        <w:tc>
          <w:tcPr>
            <w:tcW w:w="1322" w:type="pct"/>
            <w:shd w:val="clear" w:color="auto" w:fill="009D73"/>
            <w:vAlign w:val="center"/>
          </w:tcPr>
          <w:p w14:paraId="08354AA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Link with strategic goal</w:t>
            </w:r>
          </w:p>
        </w:tc>
        <w:tc>
          <w:tcPr>
            <w:tcW w:w="3678" w:type="pct"/>
            <w:gridSpan w:val="3"/>
            <w:shd w:val="clear" w:color="auto" w:fill="FFFFFF"/>
            <w:vAlign w:val="center"/>
          </w:tcPr>
          <w:p w14:paraId="7F7CF74C" w14:textId="301A2733" w:rsidR="00EE66FD" w:rsidRPr="007C4D65" w:rsidRDefault="00EE66FD" w:rsidP="00EE66FD">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4</w:t>
            </w:r>
            <w:r w:rsidR="00BA2165" w:rsidRPr="007C4D65">
              <w:rPr>
                <w:rFonts w:asciiTheme="minorHAnsi" w:eastAsia="Calibri" w:hAnsiTheme="minorHAnsi" w:cstheme="minorHAnsi"/>
                <w:b/>
                <w:bCs/>
                <w:sz w:val="18"/>
                <w:szCs w:val="18"/>
                <w:lang w:eastAsia="en-US"/>
              </w:rPr>
              <w:t>.</w:t>
            </w:r>
            <w:r w:rsidRPr="007C4D65">
              <w:rPr>
                <w:rFonts w:asciiTheme="minorHAnsi" w:eastAsia="Calibri" w:hAnsiTheme="minorHAnsi" w:cstheme="minorHAnsi"/>
                <w:b/>
                <w:bCs/>
                <w:sz w:val="18"/>
                <w:szCs w:val="18"/>
                <w:lang w:eastAsia="en-US"/>
              </w:rPr>
              <w:t xml:space="preserve"> </w:t>
            </w:r>
            <w:r w:rsidR="00FE2B6F" w:rsidRPr="007C4D65">
              <w:rPr>
                <w:rFonts w:asciiTheme="minorHAnsi" w:eastAsia="Calibri" w:hAnsiTheme="minorHAnsi" w:cstheme="minorHAnsi"/>
                <w:b/>
                <w:bCs/>
                <w:sz w:val="18"/>
                <w:szCs w:val="18"/>
                <w:lang w:eastAsia="en-US"/>
              </w:rPr>
              <w:t>Climate change mitigation and adaptation and improvement of air quality</w:t>
            </w:r>
          </w:p>
        </w:tc>
      </w:tr>
      <w:tr w:rsidR="00EE66FD" w:rsidRPr="007C4D65" w14:paraId="35288BC4" w14:textId="77777777" w:rsidTr="00BC37DE">
        <w:trPr>
          <w:trHeight w:val="567"/>
          <w:jc w:val="center"/>
        </w:trPr>
        <w:tc>
          <w:tcPr>
            <w:tcW w:w="1322" w:type="pct"/>
            <w:shd w:val="clear" w:color="auto" w:fill="009D73"/>
            <w:vAlign w:val="center"/>
          </w:tcPr>
          <w:p w14:paraId="3738779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Priority</w:t>
            </w:r>
          </w:p>
        </w:tc>
        <w:tc>
          <w:tcPr>
            <w:tcW w:w="3678" w:type="pct"/>
            <w:gridSpan w:val="3"/>
            <w:shd w:val="clear" w:color="auto" w:fill="FFFFFF"/>
            <w:vAlign w:val="center"/>
          </w:tcPr>
          <w:p w14:paraId="0C51B20E" w14:textId="3C701575" w:rsidR="00EE66FD" w:rsidRPr="007C4D65" w:rsidRDefault="00EE66FD" w:rsidP="00EE66FD">
            <w:pPr>
              <w:spacing w:before="40" w:after="40" w:line="276" w:lineRule="auto"/>
              <w:rPr>
                <w:rFonts w:asciiTheme="minorHAnsi" w:hAnsiTheme="minorHAnsi" w:cstheme="minorHAnsi"/>
                <w:b/>
                <w:bCs/>
                <w:sz w:val="18"/>
                <w:szCs w:val="18"/>
                <w:lang w:eastAsia="en-US"/>
              </w:rPr>
            </w:pPr>
            <w:r w:rsidRPr="007C4D65">
              <w:rPr>
                <w:rFonts w:asciiTheme="minorHAnsi" w:hAnsiTheme="minorHAnsi" w:cstheme="minorHAnsi"/>
                <w:b/>
                <w:bCs/>
                <w:sz w:val="18"/>
                <w:szCs w:val="18"/>
                <w:lang w:eastAsia="en-US"/>
              </w:rPr>
              <w:t xml:space="preserve">4.4. </w:t>
            </w:r>
            <w:r w:rsidR="00915506" w:rsidRPr="007C4D65">
              <w:rPr>
                <w:rFonts w:asciiTheme="minorHAnsi" w:hAnsiTheme="minorHAnsi" w:cstheme="minorHAnsi"/>
                <w:b/>
                <w:bCs/>
                <w:sz w:val="18"/>
                <w:szCs w:val="18"/>
                <w:lang w:eastAsia="en-US"/>
              </w:rPr>
              <w:t>Enhancing resilience to climate change</w:t>
            </w:r>
          </w:p>
        </w:tc>
      </w:tr>
      <w:tr w:rsidR="00EE66FD" w:rsidRPr="007C4D65" w14:paraId="1AA4B5CC" w14:textId="77777777" w:rsidTr="00BC37DE">
        <w:trPr>
          <w:trHeight w:val="567"/>
          <w:jc w:val="center"/>
        </w:trPr>
        <w:tc>
          <w:tcPr>
            <w:tcW w:w="1322" w:type="pct"/>
            <w:shd w:val="clear" w:color="auto" w:fill="009D73"/>
            <w:vAlign w:val="center"/>
          </w:tcPr>
          <w:p w14:paraId="6F86BF62"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Title of the measure</w:t>
            </w:r>
          </w:p>
        </w:tc>
        <w:tc>
          <w:tcPr>
            <w:tcW w:w="3678" w:type="pct"/>
            <w:gridSpan w:val="3"/>
            <w:shd w:val="clear" w:color="auto" w:fill="FFFFFF"/>
            <w:vAlign w:val="center"/>
          </w:tcPr>
          <w:p w14:paraId="1F6902FF" w14:textId="458DBED5" w:rsidR="00EE66FD" w:rsidRPr="007C4D65" w:rsidRDefault="00EE66FD" w:rsidP="00EE66FD">
            <w:pPr>
              <w:spacing w:before="40" w:after="40" w:line="276" w:lineRule="auto"/>
              <w:rPr>
                <w:rFonts w:asciiTheme="minorHAnsi" w:eastAsia="Calibri" w:hAnsiTheme="minorHAnsi" w:cstheme="minorHAnsi"/>
                <w:b/>
                <w:sz w:val="18"/>
                <w:szCs w:val="18"/>
                <w:lang w:eastAsia="en-US"/>
              </w:rPr>
            </w:pPr>
            <w:r w:rsidRPr="007C4D65">
              <w:rPr>
                <w:rFonts w:asciiTheme="minorHAnsi" w:eastAsia="Calibri" w:hAnsiTheme="minorHAnsi" w:cstheme="minorHAnsi"/>
                <w:b/>
                <w:bCs/>
                <w:sz w:val="18"/>
                <w:szCs w:val="18"/>
                <w:lang w:eastAsia="en-US"/>
              </w:rPr>
              <w:t xml:space="preserve">4.4.1. Develop institutional capacities and knowledge </w:t>
            </w:r>
            <w:r w:rsidR="00BA2165" w:rsidRPr="007C4D65">
              <w:rPr>
                <w:rFonts w:asciiTheme="minorHAnsi" w:eastAsia="Calibri" w:hAnsiTheme="minorHAnsi" w:cstheme="minorHAnsi"/>
                <w:b/>
                <w:bCs/>
                <w:sz w:val="18"/>
                <w:szCs w:val="18"/>
                <w:lang w:eastAsia="en-US"/>
              </w:rPr>
              <w:t>to</w:t>
            </w:r>
            <w:r w:rsidRPr="007C4D65">
              <w:rPr>
                <w:rFonts w:asciiTheme="minorHAnsi" w:eastAsia="Calibri" w:hAnsiTheme="minorHAnsi" w:cstheme="minorHAnsi"/>
                <w:b/>
                <w:bCs/>
                <w:sz w:val="18"/>
                <w:szCs w:val="18"/>
                <w:lang w:eastAsia="en-US"/>
              </w:rPr>
              <w:t xml:space="preserve"> </w:t>
            </w:r>
            <w:r w:rsidR="00BA2165" w:rsidRPr="007C4D65">
              <w:rPr>
                <w:rFonts w:asciiTheme="minorHAnsi" w:eastAsia="Calibri" w:hAnsiTheme="minorHAnsi" w:cstheme="minorHAnsi"/>
                <w:b/>
                <w:bCs/>
                <w:sz w:val="18"/>
                <w:szCs w:val="18"/>
                <w:lang w:eastAsia="en-US"/>
              </w:rPr>
              <w:t>increase</w:t>
            </w:r>
            <w:r w:rsidRPr="007C4D65">
              <w:rPr>
                <w:rFonts w:asciiTheme="minorHAnsi" w:eastAsia="Calibri" w:hAnsiTheme="minorHAnsi" w:cstheme="minorHAnsi"/>
                <w:b/>
                <w:bCs/>
                <w:sz w:val="18"/>
                <w:szCs w:val="18"/>
                <w:lang w:eastAsia="en-US"/>
              </w:rPr>
              <w:t xml:space="preserve"> resilience to climate change</w:t>
            </w:r>
          </w:p>
        </w:tc>
      </w:tr>
      <w:tr w:rsidR="00EE66FD" w:rsidRPr="007C4D65" w14:paraId="2207B251" w14:textId="77777777" w:rsidTr="00BC37DE">
        <w:trPr>
          <w:trHeight w:val="567"/>
          <w:jc w:val="center"/>
        </w:trPr>
        <w:tc>
          <w:tcPr>
            <w:tcW w:w="1322" w:type="pct"/>
            <w:shd w:val="clear" w:color="auto" w:fill="009D73"/>
            <w:vAlign w:val="center"/>
          </w:tcPr>
          <w:p w14:paraId="3BDF1FB0"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 xml:space="preserve">Description of the measure with the general areas of intervention </w:t>
            </w:r>
          </w:p>
        </w:tc>
        <w:tc>
          <w:tcPr>
            <w:tcW w:w="3678" w:type="pct"/>
            <w:gridSpan w:val="3"/>
            <w:shd w:val="clear" w:color="auto" w:fill="FFFFFF"/>
            <w:vAlign w:val="center"/>
          </w:tcPr>
          <w:p w14:paraId="79CF6ED6" w14:textId="32F3F5A2"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to develop capacities for adaptation to climate change and </w:t>
            </w:r>
            <w:r w:rsidR="00832E5F" w:rsidRPr="007C4D65">
              <w:rPr>
                <w:rFonts w:asciiTheme="minorHAnsi" w:eastAsia="Calibri" w:hAnsiTheme="minorHAnsi" w:cstheme="minorHAnsi"/>
                <w:sz w:val="18"/>
                <w:szCs w:val="18"/>
                <w:lang w:eastAsia="en-US"/>
              </w:rPr>
              <w:t>for building a</w:t>
            </w:r>
            <w:r w:rsidRPr="007C4D65">
              <w:rPr>
                <w:rFonts w:asciiTheme="minorHAnsi" w:eastAsia="Calibri" w:hAnsiTheme="minorHAnsi" w:cstheme="minorHAnsi"/>
                <w:sz w:val="18"/>
                <w:szCs w:val="18"/>
                <w:lang w:eastAsia="en-US"/>
              </w:rPr>
              <w:t xml:space="preserve"> strategic and legislative framework.</w:t>
            </w:r>
          </w:p>
          <w:p w14:paraId="25DC0805" w14:textId="5D063063" w:rsidR="00EE66FD" w:rsidRPr="007C4D65" w:rsidRDefault="009568AA"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EE66FD" w:rsidRPr="007C4D65">
              <w:rPr>
                <w:rFonts w:asciiTheme="minorHAnsi" w:eastAsia="Calibri" w:hAnsiTheme="minorHAnsi" w:cstheme="minorHAnsi"/>
                <w:sz w:val="18"/>
                <w:szCs w:val="18"/>
                <w:lang w:eastAsia="en-US"/>
              </w:rPr>
              <w:t>eneral areas of intervention are:</w:t>
            </w:r>
          </w:p>
          <w:p w14:paraId="052C8076" w14:textId="603572F9" w:rsidR="00EE66FD" w:rsidRPr="007C4D65" w:rsidRDefault="00EE66FD">
            <w:pPr>
              <w:numPr>
                <w:ilvl w:val="0"/>
                <w:numId w:val="11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Enhancing knowledge and developing databases on threats, measures, damages and losses for the purpose of vulnerability </w:t>
            </w:r>
            <w:proofErr w:type="gramStart"/>
            <w:r w:rsidRPr="007C4D65">
              <w:rPr>
                <w:rFonts w:asciiTheme="minorHAnsi" w:eastAsia="Calibri" w:hAnsiTheme="minorHAnsi" w:cstheme="minorHAnsi"/>
                <w:sz w:val="18"/>
                <w:szCs w:val="18"/>
                <w:lang w:eastAsia="en-US"/>
              </w:rPr>
              <w:t>assessment</w:t>
            </w:r>
            <w:r w:rsidR="009568AA" w:rsidRPr="007C4D65">
              <w:rPr>
                <w:rFonts w:asciiTheme="minorHAnsi" w:eastAsia="Calibri" w:hAnsiTheme="minorHAnsi" w:cstheme="minorHAnsi"/>
                <w:sz w:val="18"/>
                <w:szCs w:val="18"/>
                <w:lang w:eastAsia="en-US"/>
              </w:rPr>
              <w:t>;</w:t>
            </w:r>
            <w:proofErr w:type="gramEnd"/>
          </w:p>
          <w:p w14:paraId="1748DDC6" w14:textId="7D88B736" w:rsidR="00EE66FD" w:rsidRPr="007C4D65" w:rsidRDefault="00EE66FD">
            <w:pPr>
              <w:numPr>
                <w:ilvl w:val="0"/>
                <w:numId w:val="11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Designate a body that will establish and maintain the </w:t>
            </w:r>
            <w:r w:rsidR="00832E5F" w:rsidRPr="007C4D65">
              <w:rPr>
                <w:rFonts w:asciiTheme="minorHAnsi" w:eastAsia="Calibri" w:hAnsiTheme="minorHAnsi" w:cstheme="minorHAnsi"/>
                <w:sz w:val="18"/>
                <w:szCs w:val="18"/>
                <w:lang w:eastAsia="en-US"/>
              </w:rPr>
              <w:t>damage</w:t>
            </w:r>
            <w:r w:rsidRPr="007C4D65">
              <w:rPr>
                <w:rFonts w:asciiTheme="minorHAnsi" w:eastAsia="Calibri" w:hAnsiTheme="minorHAnsi" w:cstheme="minorHAnsi"/>
                <w:sz w:val="18"/>
                <w:szCs w:val="18"/>
                <w:lang w:eastAsia="en-US"/>
              </w:rPr>
              <w:t xml:space="preserve"> record </w:t>
            </w:r>
            <w:proofErr w:type="gramStart"/>
            <w:r w:rsidRPr="007C4D65">
              <w:rPr>
                <w:rFonts w:asciiTheme="minorHAnsi" w:eastAsia="Calibri" w:hAnsiTheme="minorHAnsi" w:cstheme="minorHAnsi"/>
                <w:sz w:val="18"/>
                <w:szCs w:val="18"/>
                <w:lang w:eastAsia="en-US"/>
              </w:rPr>
              <w:t>system</w:t>
            </w:r>
            <w:r w:rsidR="009568AA" w:rsidRPr="007C4D65">
              <w:rPr>
                <w:rFonts w:asciiTheme="minorHAnsi" w:eastAsia="Calibri" w:hAnsiTheme="minorHAnsi" w:cstheme="minorHAnsi"/>
                <w:sz w:val="18"/>
                <w:szCs w:val="18"/>
                <w:lang w:eastAsia="en-US"/>
              </w:rPr>
              <w:t>;</w:t>
            </w:r>
            <w:proofErr w:type="gramEnd"/>
          </w:p>
          <w:p w14:paraId="6170C387" w14:textId="00E97D05" w:rsidR="00EE66FD" w:rsidRPr="007C4D65" w:rsidRDefault="00EE66FD">
            <w:pPr>
              <w:numPr>
                <w:ilvl w:val="0"/>
                <w:numId w:val="11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Improving forecasting capacities for hazardous meteorological and hydrological occurrences and providing timely warnings </w:t>
            </w:r>
            <w:r w:rsidR="00832E5F" w:rsidRPr="007C4D65">
              <w:rPr>
                <w:rFonts w:asciiTheme="minorHAnsi" w:eastAsia="Calibri" w:hAnsiTheme="minorHAnsi" w:cstheme="minorHAnsi"/>
                <w:sz w:val="18"/>
                <w:szCs w:val="18"/>
                <w:lang w:eastAsia="en-US"/>
              </w:rPr>
              <w:t>to</w:t>
            </w:r>
            <w:r w:rsidRPr="007C4D65">
              <w:rPr>
                <w:rFonts w:asciiTheme="minorHAnsi" w:eastAsia="Calibri" w:hAnsiTheme="minorHAnsi" w:cstheme="minorHAnsi"/>
                <w:sz w:val="18"/>
                <w:szCs w:val="18"/>
                <w:lang w:eastAsia="en-US"/>
              </w:rPr>
              <w:t xml:space="preserve"> </w:t>
            </w:r>
            <w:r w:rsidR="00832E5F" w:rsidRPr="007C4D65">
              <w:rPr>
                <w:rFonts w:asciiTheme="minorHAnsi" w:eastAsia="Calibri" w:hAnsiTheme="minorHAnsi" w:cstheme="minorHAnsi"/>
                <w:sz w:val="18"/>
                <w:szCs w:val="18"/>
                <w:lang w:eastAsia="en-US"/>
              </w:rPr>
              <w:t>contribute to reducing</w:t>
            </w:r>
            <w:r w:rsidRPr="007C4D65">
              <w:rPr>
                <w:rFonts w:asciiTheme="minorHAnsi" w:eastAsia="Calibri" w:hAnsiTheme="minorHAnsi" w:cstheme="minorHAnsi"/>
                <w:sz w:val="18"/>
                <w:szCs w:val="18"/>
                <w:lang w:eastAsia="en-US"/>
              </w:rPr>
              <w:t xml:space="preserve"> the risk of </w:t>
            </w:r>
            <w:proofErr w:type="gramStart"/>
            <w:r w:rsidRPr="007C4D65">
              <w:rPr>
                <w:rFonts w:asciiTheme="minorHAnsi" w:eastAsia="Calibri" w:hAnsiTheme="minorHAnsi" w:cstheme="minorHAnsi"/>
                <w:sz w:val="18"/>
                <w:szCs w:val="18"/>
                <w:lang w:eastAsia="en-US"/>
              </w:rPr>
              <w:t>disasters</w:t>
            </w:r>
            <w:r w:rsidR="009568AA" w:rsidRPr="007C4D65">
              <w:rPr>
                <w:rFonts w:asciiTheme="minorHAnsi" w:eastAsia="Calibri" w:hAnsiTheme="minorHAnsi" w:cstheme="minorHAnsi"/>
                <w:sz w:val="18"/>
                <w:szCs w:val="18"/>
                <w:lang w:eastAsia="en-US"/>
              </w:rPr>
              <w:t>;</w:t>
            </w:r>
            <w:proofErr w:type="gramEnd"/>
          </w:p>
          <w:p w14:paraId="3E0A00A3" w14:textId="186DD999" w:rsidR="00EE66FD" w:rsidRPr="007C4D65" w:rsidRDefault="00EE66FD">
            <w:pPr>
              <w:numPr>
                <w:ilvl w:val="0"/>
                <w:numId w:val="11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Enhancing and coordinating cooperation among the institutions responsible for </w:t>
            </w:r>
            <w:r w:rsidR="00832E5F"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assessment, prevention and response to disasters and major accidents linked with climate change (</w:t>
            </w:r>
            <w:r w:rsidR="00832E5F" w:rsidRPr="007C4D65">
              <w:rPr>
                <w:rFonts w:asciiTheme="minorHAnsi" w:eastAsia="Calibri" w:hAnsiTheme="minorHAnsi" w:cstheme="minorHAnsi"/>
                <w:sz w:val="18"/>
                <w:szCs w:val="18"/>
                <w:lang w:eastAsia="en-US"/>
              </w:rPr>
              <w:t>FHMI</w:t>
            </w:r>
            <w:r w:rsidRPr="007C4D65">
              <w:rPr>
                <w:rFonts w:asciiTheme="minorHAnsi" w:eastAsia="Calibri" w:hAnsiTheme="minorHAnsi" w:cstheme="minorHAnsi"/>
                <w:sz w:val="18"/>
                <w:szCs w:val="18"/>
                <w:lang w:eastAsia="en-US"/>
              </w:rPr>
              <w:t>, Civil Protection, etc.</w:t>
            </w:r>
            <w:proofErr w:type="gramStart"/>
            <w:r w:rsidRPr="007C4D65">
              <w:rPr>
                <w:rFonts w:asciiTheme="minorHAnsi" w:eastAsia="Calibri" w:hAnsiTheme="minorHAnsi" w:cstheme="minorHAnsi"/>
                <w:sz w:val="18"/>
                <w:szCs w:val="18"/>
                <w:lang w:eastAsia="en-US"/>
              </w:rPr>
              <w:t>)</w:t>
            </w:r>
            <w:r w:rsidR="009568AA" w:rsidRPr="007C4D65">
              <w:rPr>
                <w:rFonts w:asciiTheme="minorHAnsi" w:eastAsia="Calibri" w:hAnsiTheme="minorHAnsi" w:cstheme="minorHAnsi"/>
                <w:sz w:val="18"/>
                <w:szCs w:val="18"/>
                <w:lang w:eastAsia="en-US"/>
              </w:rPr>
              <w:t>;</w:t>
            </w:r>
            <w:proofErr w:type="gramEnd"/>
          </w:p>
          <w:p w14:paraId="20C74AF4" w14:textId="49417F93" w:rsidR="00EE66FD" w:rsidRPr="007C4D65" w:rsidRDefault="00EE66FD">
            <w:pPr>
              <w:numPr>
                <w:ilvl w:val="0"/>
                <w:numId w:val="11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Carrying out quarterly </w:t>
            </w:r>
            <w:r w:rsidR="00832E5F" w:rsidRPr="007C4D65">
              <w:rPr>
                <w:rFonts w:asciiTheme="minorHAnsi" w:eastAsia="Calibri" w:hAnsiTheme="minorHAnsi" w:cstheme="minorHAnsi"/>
                <w:sz w:val="18"/>
                <w:szCs w:val="18"/>
                <w:lang w:eastAsia="en-US"/>
              </w:rPr>
              <w:t xml:space="preserve">assessments of </w:t>
            </w:r>
            <w:r w:rsidRPr="007C4D65">
              <w:rPr>
                <w:rFonts w:asciiTheme="minorHAnsi" w:eastAsia="Calibri" w:hAnsiTheme="minorHAnsi" w:cstheme="minorHAnsi"/>
                <w:sz w:val="18"/>
                <w:szCs w:val="18"/>
                <w:lang w:eastAsia="en-US"/>
              </w:rPr>
              <w:t>extreme climate change</w:t>
            </w:r>
            <w:r w:rsidR="00832E5F" w:rsidRPr="007C4D65">
              <w:rPr>
                <w:rFonts w:asciiTheme="minorHAnsi" w:eastAsia="Calibri" w:hAnsiTheme="minorHAnsi" w:cstheme="minorHAnsi"/>
                <w:sz w:val="18"/>
                <w:szCs w:val="18"/>
                <w:lang w:eastAsia="en-US"/>
              </w:rPr>
              <w:t xml:space="preserve"> </w:t>
            </w:r>
            <w:proofErr w:type="gramStart"/>
            <w:r w:rsidR="00832E5F" w:rsidRPr="007C4D65">
              <w:rPr>
                <w:rFonts w:asciiTheme="minorHAnsi" w:eastAsia="Calibri" w:hAnsiTheme="minorHAnsi" w:cstheme="minorHAnsi"/>
                <w:sz w:val="18"/>
                <w:szCs w:val="18"/>
                <w:lang w:eastAsia="en-US"/>
              </w:rPr>
              <w:t>risk</w:t>
            </w:r>
            <w:r w:rsidR="009568AA" w:rsidRPr="007C4D65">
              <w:rPr>
                <w:rFonts w:asciiTheme="minorHAnsi" w:eastAsia="Calibri" w:hAnsiTheme="minorHAnsi" w:cstheme="minorHAnsi"/>
                <w:sz w:val="18"/>
                <w:szCs w:val="18"/>
                <w:lang w:eastAsia="en-US"/>
              </w:rPr>
              <w:t>;</w:t>
            </w:r>
            <w:proofErr w:type="gramEnd"/>
          </w:p>
          <w:p w14:paraId="18932F09" w14:textId="453C15F4" w:rsidR="00EE66FD" w:rsidRPr="007C4D65" w:rsidRDefault="00EE66FD">
            <w:pPr>
              <w:numPr>
                <w:ilvl w:val="0"/>
                <w:numId w:val="11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Developing and adopting an action plan </w:t>
            </w:r>
            <w:r w:rsidR="00832E5F" w:rsidRPr="007C4D65">
              <w:rPr>
                <w:rFonts w:asciiTheme="minorHAnsi" w:eastAsia="Calibri" w:hAnsiTheme="minorHAnsi" w:cstheme="minorHAnsi"/>
                <w:sz w:val="18"/>
                <w:szCs w:val="18"/>
                <w:lang w:eastAsia="en-US"/>
              </w:rPr>
              <w:t>on</w:t>
            </w:r>
            <w:r w:rsidRPr="007C4D65">
              <w:rPr>
                <w:rFonts w:asciiTheme="minorHAnsi" w:eastAsia="Calibri" w:hAnsiTheme="minorHAnsi" w:cstheme="minorHAnsi"/>
                <w:sz w:val="18"/>
                <w:szCs w:val="18"/>
                <w:lang w:eastAsia="en-US"/>
              </w:rPr>
              <w:t xml:space="preserve"> climate change adaptation based on the national Strategy (and updating it every five years</w:t>
            </w:r>
            <w:proofErr w:type="gramStart"/>
            <w:r w:rsidRPr="007C4D65">
              <w:rPr>
                <w:rFonts w:asciiTheme="minorHAnsi" w:eastAsia="Calibri" w:hAnsiTheme="minorHAnsi" w:cstheme="minorHAnsi"/>
                <w:sz w:val="18"/>
                <w:szCs w:val="18"/>
                <w:lang w:eastAsia="en-US"/>
              </w:rPr>
              <w:t>)</w:t>
            </w:r>
            <w:r w:rsidR="009568AA" w:rsidRPr="007C4D65">
              <w:rPr>
                <w:rFonts w:asciiTheme="minorHAnsi" w:eastAsia="Calibri" w:hAnsiTheme="minorHAnsi" w:cstheme="minorHAnsi"/>
                <w:sz w:val="18"/>
                <w:szCs w:val="18"/>
                <w:lang w:eastAsia="en-US"/>
              </w:rPr>
              <w:t>;</w:t>
            </w:r>
            <w:proofErr w:type="gramEnd"/>
          </w:p>
          <w:p w14:paraId="61802F2E" w14:textId="2D22F9CC" w:rsidR="00EE66FD" w:rsidRPr="007C4D65" w:rsidRDefault="00EE66FD">
            <w:pPr>
              <w:numPr>
                <w:ilvl w:val="0"/>
                <w:numId w:val="11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Establish a system for coordination and monitoring of the implementation of adaptation measures among the </w:t>
            </w:r>
            <w:r w:rsidR="00832E5F" w:rsidRPr="007C4D65">
              <w:rPr>
                <w:rFonts w:asciiTheme="minorHAnsi" w:eastAsia="Calibri" w:hAnsiTheme="minorHAnsi" w:cstheme="minorHAnsi"/>
                <w:sz w:val="18"/>
                <w:szCs w:val="18"/>
                <w:lang w:eastAsia="en-US"/>
              </w:rPr>
              <w:t>competent</w:t>
            </w:r>
            <w:r w:rsidRPr="007C4D65">
              <w:rPr>
                <w:rFonts w:asciiTheme="minorHAnsi" w:eastAsia="Calibri" w:hAnsiTheme="minorHAnsi" w:cstheme="minorHAnsi"/>
                <w:sz w:val="18"/>
                <w:szCs w:val="18"/>
                <w:lang w:eastAsia="en-US"/>
              </w:rPr>
              <w:t xml:space="preserve"> institutions and continuously work on strengthening its </w:t>
            </w:r>
            <w:proofErr w:type="gramStart"/>
            <w:r w:rsidRPr="007C4D65">
              <w:rPr>
                <w:rFonts w:asciiTheme="minorHAnsi" w:eastAsia="Calibri" w:hAnsiTheme="minorHAnsi" w:cstheme="minorHAnsi"/>
                <w:sz w:val="18"/>
                <w:szCs w:val="18"/>
                <w:lang w:eastAsia="en-US"/>
              </w:rPr>
              <w:t>capacities</w:t>
            </w:r>
            <w:r w:rsidR="009568AA" w:rsidRPr="007C4D65">
              <w:rPr>
                <w:rFonts w:asciiTheme="minorHAnsi" w:eastAsia="Calibri" w:hAnsiTheme="minorHAnsi" w:cstheme="minorHAnsi"/>
                <w:sz w:val="18"/>
                <w:szCs w:val="18"/>
                <w:lang w:eastAsia="en-US"/>
              </w:rPr>
              <w:t>;</w:t>
            </w:r>
            <w:proofErr w:type="gramEnd"/>
          </w:p>
          <w:p w14:paraId="0D9ED96C" w14:textId="293C1982" w:rsidR="00EE66FD" w:rsidRPr="007C4D65" w:rsidRDefault="00EE66FD">
            <w:pPr>
              <w:numPr>
                <w:ilvl w:val="0"/>
                <w:numId w:val="11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Identify </w:t>
            </w:r>
            <w:r w:rsidR="00832E5F" w:rsidRPr="007C4D65">
              <w:rPr>
                <w:rFonts w:asciiTheme="minorHAnsi" w:eastAsia="Calibri" w:hAnsiTheme="minorHAnsi" w:cstheme="minorHAnsi"/>
                <w:sz w:val="18"/>
                <w:szCs w:val="18"/>
                <w:lang w:eastAsia="en-US"/>
              </w:rPr>
              <w:t>fundraising methods and how such funds</w:t>
            </w:r>
            <w:r w:rsidRPr="007C4D65">
              <w:rPr>
                <w:rFonts w:asciiTheme="minorHAnsi" w:eastAsia="Calibri" w:hAnsiTheme="minorHAnsi" w:cstheme="minorHAnsi"/>
                <w:sz w:val="18"/>
                <w:szCs w:val="18"/>
                <w:lang w:eastAsia="en-US"/>
              </w:rPr>
              <w:t xml:space="preserve"> </w:t>
            </w:r>
            <w:r w:rsidR="00832E5F" w:rsidRPr="007C4D65">
              <w:rPr>
                <w:rFonts w:asciiTheme="minorHAnsi" w:eastAsia="Calibri" w:hAnsiTheme="minorHAnsi" w:cstheme="minorHAnsi"/>
                <w:sz w:val="18"/>
                <w:szCs w:val="18"/>
                <w:lang w:eastAsia="en-US"/>
              </w:rPr>
              <w:t xml:space="preserve">should be used </w:t>
            </w:r>
            <w:r w:rsidRPr="007C4D65">
              <w:rPr>
                <w:rFonts w:asciiTheme="minorHAnsi" w:eastAsia="Calibri" w:hAnsiTheme="minorHAnsi" w:cstheme="minorHAnsi"/>
                <w:sz w:val="18"/>
                <w:szCs w:val="18"/>
                <w:lang w:eastAsia="en-US"/>
              </w:rPr>
              <w:t xml:space="preserve">for the climate change adaptation measures in line with NAP </w:t>
            </w:r>
            <w:r w:rsidR="00832E5F" w:rsidRPr="007C4D65">
              <w:rPr>
                <w:rFonts w:asciiTheme="minorHAnsi" w:eastAsia="Calibri" w:hAnsiTheme="minorHAnsi" w:cstheme="minorHAnsi"/>
                <w:sz w:val="18"/>
                <w:szCs w:val="18"/>
                <w:lang w:eastAsia="en-US"/>
              </w:rPr>
              <w:t>funding</w:t>
            </w:r>
            <w:r w:rsidRPr="007C4D65">
              <w:rPr>
                <w:rFonts w:asciiTheme="minorHAnsi" w:eastAsia="Calibri" w:hAnsiTheme="minorHAnsi" w:cstheme="minorHAnsi"/>
                <w:sz w:val="18"/>
                <w:szCs w:val="18"/>
                <w:lang w:eastAsia="en-US"/>
              </w:rPr>
              <w:t xml:space="preserve"> strategy which is currently </w:t>
            </w:r>
            <w:r w:rsidR="00832E5F" w:rsidRPr="007C4D65">
              <w:rPr>
                <w:rFonts w:asciiTheme="minorHAnsi" w:eastAsia="Calibri" w:hAnsiTheme="minorHAnsi" w:cstheme="minorHAnsi"/>
                <w:sz w:val="18"/>
                <w:szCs w:val="18"/>
                <w:lang w:eastAsia="en-US"/>
              </w:rPr>
              <w:t>being prepared</w:t>
            </w:r>
            <w:r w:rsidRPr="007C4D65">
              <w:rPr>
                <w:rFonts w:asciiTheme="minorHAnsi" w:eastAsia="Calibri" w:hAnsiTheme="minorHAnsi" w:cstheme="minorHAnsi"/>
                <w:sz w:val="18"/>
                <w:szCs w:val="18"/>
                <w:lang w:eastAsia="en-US"/>
              </w:rPr>
              <w:t>.</w:t>
            </w:r>
          </w:p>
        </w:tc>
      </w:tr>
      <w:tr w:rsidR="00EE66FD" w:rsidRPr="007C4D65" w14:paraId="0D65738F" w14:textId="77777777" w:rsidTr="00BC37DE">
        <w:trPr>
          <w:trHeight w:val="567"/>
          <w:jc w:val="center"/>
        </w:trPr>
        <w:tc>
          <w:tcPr>
            <w:tcW w:w="1322" w:type="pct"/>
            <w:shd w:val="clear" w:color="auto" w:fill="009D73"/>
            <w:vAlign w:val="center"/>
          </w:tcPr>
          <w:p w14:paraId="1C509C1A"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Strategic projects</w:t>
            </w:r>
          </w:p>
        </w:tc>
        <w:tc>
          <w:tcPr>
            <w:tcW w:w="3678" w:type="pct"/>
            <w:gridSpan w:val="3"/>
            <w:shd w:val="clear" w:color="auto" w:fill="FFFFFF" w:themeFill="background1"/>
            <w:vAlign w:val="center"/>
          </w:tcPr>
          <w:p w14:paraId="5B8160A5"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E66FD" w:rsidRPr="007C4D65" w14:paraId="4CD13DEA" w14:textId="77777777" w:rsidTr="00BC37DE">
        <w:trPr>
          <w:trHeight w:val="567"/>
          <w:jc w:val="center"/>
        </w:trPr>
        <w:tc>
          <w:tcPr>
            <w:tcW w:w="1322" w:type="pct"/>
            <w:shd w:val="clear" w:color="auto" w:fill="009D73"/>
            <w:vAlign w:val="center"/>
          </w:tcPr>
          <w:p w14:paraId="080EF1B8"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 for monitoring of results</w:t>
            </w:r>
          </w:p>
        </w:tc>
        <w:tc>
          <w:tcPr>
            <w:tcW w:w="1143" w:type="pct"/>
            <w:shd w:val="clear" w:color="auto" w:fill="009D73"/>
            <w:vAlign w:val="center"/>
          </w:tcPr>
          <w:p w14:paraId="405BDF3C"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w:t>
            </w:r>
          </w:p>
          <w:p w14:paraId="1F8FCDE7"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w:t>
            </w:r>
            <w:proofErr w:type="gramStart"/>
            <w:r w:rsidRPr="007C4D65">
              <w:rPr>
                <w:rFonts w:asciiTheme="minorHAnsi" w:eastAsiaTheme="minorHAnsi" w:hAnsiTheme="minorHAnsi" w:cstheme="minorHAnsi"/>
                <w:b/>
                <w:bCs/>
                <w:color w:val="FFFFFF" w:themeColor="background1"/>
                <w:sz w:val="18"/>
                <w:szCs w:val="18"/>
                <w:lang w:eastAsia="en-US"/>
              </w:rPr>
              <w:t>outputs</w:t>
            </w:r>
            <w:proofErr w:type="gramEnd"/>
            <w:r w:rsidRPr="007C4D65">
              <w:rPr>
                <w:rFonts w:asciiTheme="minorHAnsi" w:eastAsiaTheme="minorHAnsi" w:hAnsiTheme="minorHAnsi" w:cstheme="minorHAnsi"/>
                <w:b/>
                <w:bCs/>
                <w:color w:val="FFFFFF" w:themeColor="background1"/>
                <w:sz w:val="18"/>
                <w:szCs w:val="18"/>
                <w:lang w:eastAsia="en-US"/>
              </w:rPr>
              <w:t xml:space="preserve"> and deliverables)</w:t>
            </w:r>
          </w:p>
        </w:tc>
        <w:tc>
          <w:tcPr>
            <w:tcW w:w="1267" w:type="pct"/>
            <w:shd w:val="clear" w:color="auto" w:fill="009D73"/>
            <w:vAlign w:val="center"/>
          </w:tcPr>
          <w:p w14:paraId="6ADAC6DF"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Baseline value</w:t>
            </w:r>
          </w:p>
          <w:p w14:paraId="660C3C71"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p>
        </w:tc>
        <w:tc>
          <w:tcPr>
            <w:tcW w:w="1268" w:type="pct"/>
            <w:shd w:val="clear" w:color="auto" w:fill="009D73"/>
            <w:vAlign w:val="center"/>
          </w:tcPr>
          <w:p w14:paraId="7E779663"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value</w:t>
            </w:r>
          </w:p>
        </w:tc>
      </w:tr>
      <w:tr w:rsidR="00EE66FD" w:rsidRPr="007C4D65" w14:paraId="63CE8456" w14:textId="77777777" w:rsidTr="00BC37DE">
        <w:trPr>
          <w:trHeight w:val="567"/>
          <w:jc w:val="center"/>
        </w:trPr>
        <w:tc>
          <w:tcPr>
            <w:tcW w:w="1322" w:type="pct"/>
            <w:vMerge w:val="restart"/>
            <w:shd w:val="clear" w:color="auto" w:fill="009D73"/>
            <w:vAlign w:val="center"/>
          </w:tcPr>
          <w:p w14:paraId="12410DDB"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shd w:val="clear" w:color="auto" w:fill="FFFFFF"/>
            <w:vAlign w:val="center"/>
          </w:tcPr>
          <w:p w14:paraId="64BD47D9" w14:textId="58CCE9F6" w:rsidR="00EE66FD" w:rsidRPr="007C4D65" w:rsidRDefault="00EE66FD">
            <w:pPr>
              <w:numPr>
                <w:ilvl w:val="0"/>
                <w:numId w:val="119"/>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832E5F"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 xml:space="preserve">implementation of capacity </w:t>
            </w:r>
            <w:r w:rsidR="007D0553" w:rsidRPr="007C4D65">
              <w:rPr>
                <w:rFonts w:asciiTheme="minorHAnsi" w:eastAsia="Calibri" w:hAnsiTheme="minorHAnsi" w:cstheme="minorHAnsi"/>
                <w:sz w:val="18"/>
                <w:szCs w:val="18"/>
                <w:lang w:eastAsia="en-US"/>
              </w:rPr>
              <w:t>building</w:t>
            </w:r>
            <w:r w:rsidRPr="007C4D65">
              <w:rPr>
                <w:rFonts w:asciiTheme="minorHAnsi" w:eastAsia="Calibri" w:hAnsiTheme="minorHAnsi" w:cstheme="minorHAnsi"/>
                <w:sz w:val="18"/>
                <w:szCs w:val="18"/>
                <w:lang w:eastAsia="en-US"/>
              </w:rPr>
              <w:t xml:space="preserve"> programme</w:t>
            </w:r>
            <w:r w:rsidR="007D0553" w:rsidRPr="007C4D65">
              <w:rPr>
                <w:rFonts w:asciiTheme="minorHAnsi" w:eastAsia="Calibri" w:hAnsiTheme="minorHAnsi" w:cstheme="minorHAnsi"/>
                <w:sz w:val="18"/>
                <w:szCs w:val="18"/>
                <w:lang w:eastAsia="en-US"/>
              </w:rPr>
              <w:t>s</w:t>
            </w:r>
            <w:r w:rsidRPr="007C4D65">
              <w:rPr>
                <w:rFonts w:asciiTheme="minorHAnsi" w:eastAsia="Calibri" w:hAnsiTheme="minorHAnsi" w:cstheme="minorHAnsi"/>
                <w:sz w:val="18"/>
                <w:szCs w:val="18"/>
                <w:lang w:eastAsia="en-US"/>
              </w:rPr>
              <w:t xml:space="preserve"> and improvement of knowledge</w:t>
            </w:r>
          </w:p>
        </w:tc>
        <w:tc>
          <w:tcPr>
            <w:tcW w:w="1267" w:type="pct"/>
            <w:shd w:val="clear" w:color="auto" w:fill="FFFFFF"/>
            <w:vAlign w:val="center"/>
          </w:tcPr>
          <w:p w14:paraId="4C7A4000"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Insufficient knowledge and capacities</w:t>
            </w:r>
          </w:p>
        </w:tc>
        <w:tc>
          <w:tcPr>
            <w:tcW w:w="1268" w:type="pct"/>
            <w:shd w:val="clear" w:color="auto" w:fill="FFFFFF"/>
            <w:vAlign w:val="center"/>
          </w:tcPr>
          <w:p w14:paraId="08F6169F" w14:textId="55B6651F"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Calibri" w:hAnsiTheme="minorHAnsi" w:cstheme="minorHAnsi"/>
                <w:sz w:val="18"/>
                <w:szCs w:val="18"/>
                <w:lang w:eastAsia="en-US"/>
              </w:rPr>
              <w:t xml:space="preserve">Knowledge improved and capacities strengthened though </w:t>
            </w:r>
            <w:r w:rsidR="007D0553" w:rsidRPr="007C4D65">
              <w:rPr>
                <w:rFonts w:asciiTheme="minorHAnsi" w:eastAsia="Calibri" w:hAnsiTheme="minorHAnsi" w:cstheme="minorHAnsi"/>
                <w:sz w:val="18"/>
                <w:szCs w:val="18"/>
                <w:lang w:eastAsia="en-US"/>
              </w:rPr>
              <w:t xml:space="preserve">the implementation of </w:t>
            </w:r>
            <w:r w:rsidRPr="007C4D65">
              <w:rPr>
                <w:rFonts w:asciiTheme="minorHAnsi" w:eastAsia="Calibri" w:hAnsiTheme="minorHAnsi" w:cstheme="minorHAnsi"/>
                <w:sz w:val="18"/>
                <w:szCs w:val="18"/>
                <w:lang w:eastAsia="en-US"/>
              </w:rPr>
              <w:t xml:space="preserve">capacity </w:t>
            </w:r>
            <w:r w:rsidR="007D0553" w:rsidRPr="007C4D65">
              <w:rPr>
                <w:rFonts w:asciiTheme="minorHAnsi" w:eastAsia="Calibri" w:hAnsiTheme="minorHAnsi" w:cstheme="minorHAnsi"/>
                <w:sz w:val="18"/>
                <w:szCs w:val="18"/>
                <w:lang w:eastAsia="en-US"/>
              </w:rPr>
              <w:t>building</w:t>
            </w:r>
            <w:r w:rsidRPr="007C4D65">
              <w:rPr>
                <w:rFonts w:asciiTheme="minorHAnsi" w:eastAsia="Calibri" w:hAnsiTheme="minorHAnsi" w:cstheme="minorHAnsi"/>
                <w:sz w:val="18"/>
                <w:szCs w:val="18"/>
                <w:lang w:eastAsia="en-US"/>
              </w:rPr>
              <w:t xml:space="preserve"> programmes</w:t>
            </w:r>
          </w:p>
        </w:tc>
      </w:tr>
      <w:tr w:rsidR="00EE66FD" w:rsidRPr="007C4D65" w14:paraId="1510F79A" w14:textId="77777777" w:rsidTr="00BC37DE">
        <w:trPr>
          <w:trHeight w:val="567"/>
          <w:jc w:val="center"/>
        </w:trPr>
        <w:tc>
          <w:tcPr>
            <w:tcW w:w="1322" w:type="pct"/>
            <w:vMerge/>
            <w:shd w:val="clear" w:color="auto" w:fill="009D73"/>
            <w:vAlign w:val="center"/>
          </w:tcPr>
          <w:p w14:paraId="04B7C863"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shd w:val="clear" w:color="auto" w:fill="FFFFFF"/>
            <w:vAlign w:val="center"/>
          </w:tcPr>
          <w:p w14:paraId="198F3C15" w14:textId="77777777" w:rsidR="00EE66FD" w:rsidRPr="007C4D65" w:rsidRDefault="00EE66FD">
            <w:pPr>
              <w:numPr>
                <w:ilvl w:val="0"/>
                <w:numId w:val="119"/>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the appointment of the body</w:t>
            </w:r>
          </w:p>
        </w:tc>
        <w:tc>
          <w:tcPr>
            <w:tcW w:w="1267" w:type="pct"/>
            <w:shd w:val="clear" w:color="auto" w:fill="FFFFFF"/>
            <w:vAlign w:val="center"/>
          </w:tcPr>
          <w:p w14:paraId="2700BB5C" w14:textId="7ABB3CB3"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There is no body </w:t>
            </w:r>
            <w:r w:rsidR="007D0553" w:rsidRPr="007C4D65">
              <w:rPr>
                <w:rFonts w:asciiTheme="minorHAnsi" w:eastAsiaTheme="minorHAnsi" w:hAnsiTheme="minorHAnsi" w:cstheme="minorHAnsi"/>
                <w:sz w:val="18"/>
                <w:szCs w:val="18"/>
                <w:lang w:eastAsia="en-US"/>
              </w:rPr>
              <w:t>which keeps the records</w:t>
            </w:r>
            <w:r w:rsidRPr="007C4D65">
              <w:rPr>
                <w:rFonts w:asciiTheme="minorHAnsi" w:eastAsiaTheme="minorHAnsi" w:hAnsiTheme="minorHAnsi" w:cstheme="minorHAnsi"/>
                <w:sz w:val="18"/>
                <w:szCs w:val="18"/>
                <w:lang w:eastAsia="en-US"/>
              </w:rPr>
              <w:t xml:space="preserve"> of damages caused by climate change</w:t>
            </w:r>
          </w:p>
        </w:tc>
        <w:tc>
          <w:tcPr>
            <w:tcW w:w="1268" w:type="pct"/>
            <w:shd w:val="clear" w:color="auto" w:fill="FFFFFF"/>
            <w:vAlign w:val="center"/>
          </w:tcPr>
          <w:p w14:paraId="62208812" w14:textId="625BA3AC"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Calibri" w:hAnsiTheme="minorHAnsi" w:cstheme="minorHAnsi"/>
                <w:sz w:val="18"/>
                <w:szCs w:val="18"/>
                <w:lang w:eastAsia="en-US"/>
              </w:rPr>
              <w:t xml:space="preserve">Body for establishment and maintenance of the </w:t>
            </w:r>
            <w:r w:rsidR="007D0553" w:rsidRPr="007C4D65">
              <w:rPr>
                <w:rFonts w:asciiTheme="minorHAnsi" w:eastAsia="Calibri" w:hAnsiTheme="minorHAnsi" w:cstheme="minorHAnsi"/>
                <w:sz w:val="18"/>
                <w:szCs w:val="18"/>
                <w:lang w:eastAsia="en-US"/>
              </w:rPr>
              <w:t>damage</w:t>
            </w:r>
            <w:r w:rsidRPr="007C4D65">
              <w:rPr>
                <w:rFonts w:asciiTheme="minorHAnsi" w:eastAsia="Calibri" w:hAnsiTheme="minorHAnsi" w:cstheme="minorHAnsi"/>
                <w:sz w:val="18"/>
                <w:szCs w:val="18"/>
                <w:lang w:eastAsia="en-US"/>
              </w:rPr>
              <w:t xml:space="preserve"> record</w:t>
            </w:r>
            <w:r w:rsidR="007D0553" w:rsidRPr="007C4D65">
              <w:rPr>
                <w:rFonts w:asciiTheme="minorHAnsi" w:eastAsia="Calibri" w:hAnsiTheme="minorHAnsi" w:cstheme="minorHAnsi"/>
                <w:sz w:val="18"/>
                <w:szCs w:val="18"/>
                <w:lang w:eastAsia="en-US"/>
              </w:rPr>
              <w:t>s</w:t>
            </w:r>
            <w:r w:rsidRPr="007C4D65">
              <w:rPr>
                <w:rFonts w:asciiTheme="minorHAnsi" w:eastAsia="Calibri" w:hAnsiTheme="minorHAnsi" w:cstheme="minorHAnsi"/>
                <w:sz w:val="18"/>
                <w:szCs w:val="18"/>
                <w:lang w:eastAsia="en-US"/>
              </w:rPr>
              <w:t xml:space="preserve"> system</w:t>
            </w:r>
          </w:p>
        </w:tc>
      </w:tr>
      <w:tr w:rsidR="00EE66FD" w:rsidRPr="007C4D65" w14:paraId="35A0ABC9" w14:textId="77777777" w:rsidTr="00BC37DE">
        <w:trPr>
          <w:trHeight w:val="567"/>
          <w:jc w:val="center"/>
        </w:trPr>
        <w:tc>
          <w:tcPr>
            <w:tcW w:w="1322" w:type="pct"/>
            <w:vMerge/>
            <w:shd w:val="clear" w:color="auto" w:fill="009D73"/>
            <w:vAlign w:val="center"/>
          </w:tcPr>
          <w:p w14:paraId="46F79959"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shd w:val="clear" w:color="auto" w:fill="FFFFFF"/>
            <w:vAlign w:val="center"/>
          </w:tcPr>
          <w:p w14:paraId="23C2D356" w14:textId="3635614C" w:rsidR="00EE66FD" w:rsidRPr="007C4D65" w:rsidRDefault="00EE66FD">
            <w:pPr>
              <w:numPr>
                <w:ilvl w:val="0"/>
                <w:numId w:val="119"/>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Level of the implementation of the capacity </w:t>
            </w:r>
            <w:r w:rsidR="007D0553" w:rsidRPr="007C4D65">
              <w:rPr>
                <w:rFonts w:asciiTheme="minorHAnsi" w:eastAsia="Calibri" w:hAnsiTheme="minorHAnsi" w:cstheme="minorHAnsi"/>
                <w:sz w:val="18"/>
                <w:szCs w:val="18"/>
                <w:lang w:eastAsia="en-US"/>
              </w:rPr>
              <w:t>building</w:t>
            </w:r>
            <w:r w:rsidRPr="007C4D65">
              <w:rPr>
                <w:rFonts w:asciiTheme="minorHAnsi" w:eastAsia="Calibri" w:hAnsiTheme="minorHAnsi" w:cstheme="minorHAnsi"/>
                <w:sz w:val="18"/>
                <w:szCs w:val="18"/>
                <w:lang w:eastAsia="en-US"/>
              </w:rPr>
              <w:t xml:space="preserve"> programme</w:t>
            </w:r>
          </w:p>
        </w:tc>
        <w:tc>
          <w:tcPr>
            <w:tcW w:w="1267" w:type="pct"/>
            <w:shd w:val="clear" w:color="auto" w:fill="FFFFFF"/>
            <w:vAlign w:val="center"/>
          </w:tcPr>
          <w:p w14:paraId="04324238"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Insufficient forecasting capacities for hazardous meteorological and hydrological occurrences</w:t>
            </w:r>
          </w:p>
        </w:tc>
        <w:tc>
          <w:tcPr>
            <w:tcW w:w="1268" w:type="pct"/>
            <w:shd w:val="clear" w:color="auto" w:fill="FFFFFF"/>
            <w:vAlign w:val="center"/>
          </w:tcPr>
          <w:p w14:paraId="172305C2" w14:textId="3A9DE0AD" w:rsidR="00EE66FD" w:rsidRPr="007C4D65" w:rsidRDefault="007D055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c</w:t>
            </w:r>
            <w:r w:rsidR="00EE66FD" w:rsidRPr="007C4D65">
              <w:rPr>
                <w:rFonts w:asciiTheme="minorHAnsi" w:eastAsiaTheme="minorHAnsi" w:hAnsiTheme="minorHAnsi" w:cstheme="minorHAnsi"/>
                <w:sz w:val="18"/>
                <w:szCs w:val="18"/>
                <w:lang w:eastAsia="en-US"/>
              </w:rPr>
              <w:t xml:space="preserve">apacity </w:t>
            </w:r>
            <w:r w:rsidRPr="007C4D65">
              <w:rPr>
                <w:rFonts w:asciiTheme="minorHAnsi" w:eastAsiaTheme="minorHAnsi" w:hAnsiTheme="minorHAnsi" w:cstheme="minorHAnsi"/>
                <w:sz w:val="18"/>
                <w:szCs w:val="18"/>
                <w:lang w:eastAsia="en-US"/>
              </w:rPr>
              <w:t>building</w:t>
            </w:r>
            <w:r w:rsidR="00EE66FD" w:rsidRPr="007C4D65">
              <w:rPr>
                <w:rFonts w:asciiTheme="minorHAnsi" w:eastAsiaTheme="minorHAnsi" w:hAnsiTheme="minorHAnsi" w:cstheme="minorHAnsi"/>
                <w:sz w:val="18"/>
                <w:szCs w:val="18"/>
                <w:lang w:eastAsia="en-US"/>
              </w:rPr>
              <w:t xml:space="preserve"> programme implemented</w:t>
            </w:r>
          </w:p>
        </w:tc>
      </w:tr>
      <w:tr w:rsidR="00EE66FD" w:rsidRPr="007C4D65" w14:paraId="0D0DF6C8" w14:textId="77777777" w:rsidTr="00BC37DE">
        <w:trPr>
          <w:trHeight w:val="567"/>
          <w:jc w:val="center"/>
        </w:trPr>
        <w:tc>
          <w:tcPr>
            <w:tcW w:w="1322" w:type="pct"/>
            <w:vMerge/>
            <w:shd w:val="clear" w:color="auto" w:fill="009D73"/>
            <w:vAlign w:val="center"/>
          </w:tcPr>
          <w:p w14:paraId="6FEAFC5B"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shd w:val="clear" w:color="auto" w:fill="FFFFFF"/>
            <w:vAlign w:val="center"/>
          </w:tcPr>
          <w:p w14:paraId="24E0340F" w14:textId="4A7125A9" w:rsidR="00EE66FD" w:rsidRPr="007C4D65" w:rsidRDefault="00EE66FD">
            <w:pPr>
              <w:numPr>
                <w:ilvl w:val="0"/>
                <w:numId w:val="119"/>
              </w:numPr>
              <w:spacing w:before="40" w:after="40" w:line="276" w:lineRule="auto"/>
              <w:ind w:left="280" w:hanging="27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Status of </w:t>
            </w:r>
            <w:r w:rsidR="007D0553" w:rsidRPr="007C4D65">
              <w:rPr>
                <w:rFonts w:asciiTheme="minorHAnsi" w:eastAsia="Calibri" w:hAnsiTheme="minorHAnsi" w:cstheme="minorHAnsi"/>
                <w:sz w:val="18"/>
                <w:szCs w:val="18"/>
                <w:lang w:eastAsia="en-US"/>
              </w:rPr>
              <w:t>the development</w:t>
            </w:r>
            <w:r w:rsidRPr="007C4D65">
              <w:rPr>
                <w:rFonts w:asciiTheme="minorHAnsi" w:eastAsia="Calibri" w:hAnsiTheme="minorHAnsi" w:cstheme="minorHAnsi"/>
                <w:sz w:val="18"/>
                <w:szCs w:val="18"/>
                <w:lang w:eastAsia="en-US"/>
              </w:rPr>
              <w:t xml:space="preserve"> of the system for coordination</w:t>
            </w:r>
          </w:p>
        </w:tc>
        <w:tc>
          <w:tcPr>
            <w:tcW w:w="1267" w:type="pct"/>
            <w:shd w:val="clear" w:color="auto" w:fill="FFFFFF"/>
            <w:vAlign w:val="center"/>
          </w:tcPr>
          <w:p w14:paraId="4839E6CF"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Lack of coordination</w:t>
            </w:r>
          </w:p>
        </w:tc>
        <w:tc>
          <w:tcPr>
            <w:tcW w:w="1268" w:type="pct"/>
            <w:shd w:val="clear" w:color="auto" w:fill="FFFFFF"/>
            <w:vAlign w:val="center"/>
          </w:tcPr>
          <w:p w14:paraId="7058785A" w14:textId="42B769E3" w:rsidR="00EE66FD" w:rsidRPr="007C4D65" w:rsidRDefault="007D055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method of</w:t>
            </w:r>
            <w:r w:rsidR="00EE66FD" w:rsidRPr="007C4D65">
              <w:rPr>
                <w:rFonts w:asciiTheme="minorHAnsi" w:eastAsiaTheme="minorHAnsi" w:hAnsiTheme="minorHAnsi" w:cstheme="minorHAnsi"/>
                <w:sz w:val="18"/>
                <w:szCs w:val="18"/>
                <w:lang w:eastAsia="en-US"/>
              </w:rPr>
              <w:t xml:space="preserve"> coordination </w:t>
            </w:r>
            <w:r w:rsidRPr="007C4D65">
              <w:rPr>
                <w:rFonts w:asciiTheme="minorHAnsi" w:eastAsiaTheme="minorHAnsi" w:hAnsiTheme="minorHAnsi" w:cstheme="minorHAnsi"/>
                <w:sz w:val="18"/>
                <w:szCs w:val="18"/>
                <w:lang w:eastAsia="en-US"/>
              </w:rPr>
              <w:t>defined</w:t>
            </w:r>
          </w:p>
        </w:tc>
      </w:tr>
      <w:tr w:rsidR="00EE66FD" w:rsidRPr="007C4D65" w14:paraId="3B1DFCEA" w14:textId="77777777" w:rsidTr="00BC37DE">
        <w:trPr>
          <w:trHeight w:val="567"/>
          <w:jc w:val="center"/>
        </w:trPr>
        <w:tc>
          <w:tcPr>
            <w:tcW w:w="1322" w:type="pct"/>
            <w:vMerge/>
            <w:shd w:val="clear" w:color="auto" w:fill="009D73"/>
            <w:vAlign w:val="center"/>
          </w:tcPr>
          <w:p w14:paraId="6BC1014A"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shd w:val="clear" w:color="auto" w:fill="FFFFFF"/>
            <w:vAlign w:val="center"/>
          </w:tcPr>
          <w:p w14:paraId="665B5B48" w14:textId="06D6D2BC" w:rsidR="00EE66FD" w:rsidRPr="007C4D65" w:rsidRDefault="00EE66FD">
            <w:pPr>
              <w:numPr>
                <w:ilvl w:val="0"/>
                <w:numId w:val="119"/>
              </w:numPr>
              <w:spacing w:before="40" w:after="40" w:line="276" w:lineRule="auto"/>
              <w:ind w:left="280" w:hanging="27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Status of </w:t>
            </w:r>
            <w:r w:rsidR="007D0553"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drafting and adopt</w:t>
            </w:r>
            <w:r w:rsidR="007D0553" w:rsidRPr="007C4D65">
              <w:rPr>
                <w:rFonts w:asciiTheme="minorHAnsi" w:eastAsia="Calibri" w:hAnsiTheme="minorHAnsi" w:cstheme="minorHAnsi"/>
                <w:sz w:val="18"/>
                <w:szCs w:val="18"/>
                <w:lang w:eastAsia="en-US"/>
              </w:rPr>
              <w:t>ion process of</w:t>
            </w:r>
            <w:r w:rsidRPr="007C4D65">
              <w:rPr>
                <w:rFonts w:asciiTheme="minorHAnsi" w:eastAsia="Calibri" w:hAnsiTheme="minorHAnsi" w:cstheme="minorHAnsi"/>
                <w:sz w:val="18"/>
                <w:szCs w:val="18"/>
                <w:lang w:eastAsia="en-US"/>
              </w:rPr>
              <w:t xml:space="preserve"> risk assessment reports</w:t>
            </w:r>
          </w:p>
        </w:tc>
        <w:tc>
          <w:tcPr>
            <w:tcW w:w="1267" w:type="pct"/>
            <w:shd w:val="clear" w:color="auto" w:fill="FFFFFF"/>
            <w:vAlign w:val="center"/>
          </w:tcPr>
          <w:p w14:paraId="59C9CC78"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Calibri" w:hAnsiTheme="minorHAnsi" w:cstheme="minorHAnsi"/>
                <w:sz w:val="18"/>
                <w:szCs w:val="18"/>
                <w:lang w:eastAsia="en-US"/>
              </w:rPr>
              <w:t>Lack of quarterly reports</w:t>
            </w:r>
          </w:p>
        </w:tc>
        <w:tc>
          <w:tcPr>
            <w:tcW w:w="1268" w:type="pct"/>
            <w:shd w:val="clear" w:color="auto" w:fill="FFFFFF"/>
            <w:vAlign w:val="center"/>
          </w:tcPr>
          <w:p w14:paraId="2DB60657" w14:textId="453A842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Quarterly report</w:t>
            </w:r>
            <w:r w:rsidR="007D0553" w:rsidRPr="007C4D65">
              <w:rPr>
                <w:rFonts w:asciiTheme="minorHAnsi" w:eastAsiaTheme="minorHAnsi" w:hAnsiTheme="minorHAnsi" w:cstheme="minorHAnsi"/>
                <w:sz w:val="18"/>
                <w:szCs w:val="18"/>
                <w:lang w:eastAsia="en-US"/>
              </w:rPr>
              <w:t>s</w:t>
            </w:r>
            <w:r w:rsidRPr="007C4D65">
              <w:rPr>
                <w:rFonts w:asciiTheme="minorHAnsi" w:eastAsiaTheme="minorHAnsi" w:hAnsiTheme="minorHAnsi" w:cstheme="minorHAnsi"/>
                <w:sz w:val="18"/>
                <w:szCs w:val="18"/>
                <w:lang w:eastAsia="en-US"/>
              </w:rPr>
              <w:t xml:space="preserve"> on risk assessment of extreme climate changes</w:t>
            </w:r>
            <w:r w:rsidR="007D0553" w:rsidRPr="007C4D65">
              <w:rPr>
                <w:rFonts w:asciiTheme="minorHAnsi" w:eastAsiaTheme="minorHAnsi" w:hAnsiTheme="minorHAnsi" w:cstheme="minorHAnsi"/>
                <w:sz w:val="18"/>
                <w:szCs w:val="18"/>
                <w:lang w:eastAsia="en-US"/>
              </w:rPr>
              <w:t xml:space="preserve"> adopted</w:t>
            </w:r>
          </w:p>
        </w:tc>
      </w:tr>
      <w:tr w:rsidR="00EE66FD" w:rsidRPr="007C4D65" w14:paraId="7D0A372D" w14:textId="77777777" w:rsidTr="00BC37DE">
        <w:trPr>
          <w:trHeight w:val="567"/>
          <w:jc w:val="center"/>
        </w:trPr>
        <w:tc>
          <w:tcPr>
            <w:tcW w:w="1322" w:type="pct"/>
            <w:vMerge/>
            <w:shd w:val="clear" w:color="auto" w:fill="009D73"/>
            <w:vAlign w:val="center"/>
          </w:tcPr>
          <w:p w14:paraId="087C7786"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shd w:val="clear" w:color="auto" w:fill="FFFFFF"/>
            <w:vAlign w:val="center"/>
          </w:tcPr>
          <w:p w14:paraId="2A021357" w14:textId="3A003892" w:rsidR="00EE66FD" w:rsidRPr="007C4D65" w:rsidRDefault="00EE66FD">
            <w:pPr>
              <w:numPr>
                <w:ilvl w:val="0"/>
                <w:numId w:val="119"/>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7D0553"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development and adoption of the action plan</w:t>
            </w:r>
          </w:p>
        </w:tc>
        <w:tc>
          <w:tcPr>
            <w:tcW w:w="1267" w:type="pct"/>
            <w:shd w:val="clear" w:color="auto" w:fill="FFFFFF"/>
            <w:vAlign w:val="center"/>
          </w:tcPr>
          <w:p w14:paraId="2CACCB45"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Lack of action plan</w:t>
            </w:r>
          </w:p>
        </w:tc>
        <w:tc>
          <w:tcPr>
            <w:tcW w:w="1268" w:type="pct"/>
            <w:shd w:val="clear" w:color="auto" w:fill="FFFFFF"/>
            <w:vAlign w:val="center"/>
          </w:tcPr>
          <w:p w14:paraId="7BFEE7A9" w14:textId="664266BA" w:rsidR="00EE66FD" w:rsidRPr="007C4D65" w:rsidRDefault="007D055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a</w:t>
            </w:r>
            <w:r w:rsidR="00EE66FD" w:rsidRPr="007C4D65">
              <w:rPr>
                <w:rFonts w:asciiTheme="minorHAnsi" w:eastAsiaTheme="minorHAnsi" w:hAnsiTheme="minorHAnsi" w:cstheme="minorHAnsi"/>
                <w:sz w:val="18"/>
                <w:szCs w:val="18"/>
                <w:lang w:eastAsia="en-US"/>
              </w:rPr>
              <w:t xml:space="preserve">ction plan </w:t>
            </w:r>
            <w:r w:rsidRPr="007C4D65">
              <w:rPr>
                <w:rFonts w:asciiTheme="minorHAnsi" w:eastAsiaTheme="minorHAnsi" w:hAnsiTheme="minorHAnsi" w:cstheme="minorHAnsi"/>
                <w:sz w:val="18"/>
                <w:szCs w:val="18"/>
                <w:lang w:eastAsia="en-US"/>
              </w:rPr>
              <w:t>prepared</w:t>
            </w:r>
            <w:r w:rsidR="00EE66FD" w:rsidRPr="007C4D65">
              <w:rPr>
                <w:rFonts w:asciiTheme="minorHAnsi" w:eastAsiaTheme="minorHAnsi" w:hAnsiTheme="minorHAnsi" w:cstheme="minorHAnsi"/>
                <w:sz w:val="18"/>
                <w:szCs w:val="18"/>
                <w:lang w:eastAsia="en-US"/>
              </w:rPr>
              <w:t xml:space="preserve"> and adopted</w:t>
            </w:r>
          </w:p>
        </w:tc>
      </w:tr>
      <w:tr w:rsidR="00EE66FD" w:rsidRPr="007C4D65" w14:paraId="0E8EB51E" w14:textId="77777777" w:rsidTr="00BC37DE">
        <w:trPr>
          <w:trHeight w:val="567"/>
          <w:jc w:val="center"/>
        </w:trPr>
        <w:tc>
          <w:tcPr>
            <w:tcW w:w="1322" w:type="pct"/>
            <w:vMerge/>
            <w:shd w:val="clear" w:color="auto" w:fill="009D73"/>
            <w:vAlign w:val="center"/>
          </w:tcPr>
          <w:p w14:paraId="0BF3B210"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shd w:val="clear" w:color="auto" w:fill="auto"/>
            <w:vAlign w:val="center"/>
          </w:tcPr>
          <w:p w14:paraId="1F02B4E8" w14:textId="21A63C9C" w:rsidR="00EE66FD" w:rsidRPr="007C4D65" w:rsidRDefault="00EE66FD">
            <w:pPr>
              <w:numPr>
                <w:ilvl w:val="0"/>
                <w:numId w:val="119"/>
              </w:numPr>
              <w:spacing w:before="40" w:after="40" w:line="276" w:lineRule="auto"/>
              <w:ind w:left="280" w:hanging="27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Status of </w:t>
            </w:r>
            <w:r w:rsidR="007D0553" w:rsidRPr="007C4D65">
              <w:rPr>
                <w:rFonts w:asciiTheme="minorHAnsi" w:eastAsia="Calibri" w:hAnsiTheme="minorHAnsi" w:cstheme="minorHAnsi"/>
                <w:sz w:val="18"/>
                <w:szCs w:val="18"/>
                <w:lang w:eastAsia="en-US"/>
              </w:rPr>
              <w:t>the development</w:t>
            </w:r>
            <w:r w:rsidRPr="007C4D65">
              <w:rPr>
                <w:rFonts w:asciiTheme="minorHAnsi" w:eastAsia="Calibri" w:hAnsiTheme="minorHAnsi" w:cstheme="minorHAnsi"/>
                <w:sz w:val="18"/>
                <w:szCs w:val="18"/>
                <w:lang w:eastAsia="en-US"/>
              </w:rPr>
              <w:t xml:space="preserve"> of the system for coordination and monitoring </w:t>
            </w:r>
            <w:r w:rsidR="007D0553" w:rsidRPr="007C4D65">
              <w:rPr>
                <w:rFonts w:asciiTheme="minorHAnsi" w:eastAsia="Calibri" w:hAnsiTheme="minorHAnsi" w:cstheme="minorHAnsi"/>
                <w:sz w:val="18"/>
                <w:szCs w:val="18"/>
                <w:lang w:eastAsia="en-US"/>
              </w:rPr>
              <w:t xml:space="preserve">of </w:t>
            </w:r>
            <w:proofErr w:type="gramStart"/>
            <w:r w:rsidR="007D0553"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 xml:space="preserve"> implementation</w:t>
            </w:r>
            <w:proofErr w:type="gramEnd"/>
            <w:r w:rsidRPr="007C4D65">
              <w:rPr>
                <w:rFonts w:asciiTheme="minorHAnsi" w:eastAsia="Calibri" w:hAnsiTheme="minorHAnsi" w:cstheme="minorHAnsi"/>
                <w:sz w:val="18"/>
                <w:szCs w:val="18"/>
                <w:lang w:eastAsia="en-US"/>
              </w:rPr>
              <w:t xml:space="preserve"> of the measures</w:t>
            </w:r>
          </w:p>
        </w:tc>
        <w:tc>
          <w:tcPr>
            <w:tcW w:w="1267" w:type="pct"/>
            <w:shd w:val="clear" w:color="auto" w:fill="FFFFFF"/>
            <w:vAlign w:val="center"/>
          </w:tcPr>
          <w:p w14:paraId="45E2D863" w14:textId="2D3E79D4" w:rsidR="00EE66FD" w:rsidRPr="007C4D65" w:rsidRDefault="0076407C"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Lack of a</w:t>
            </w:r>
            <w:r w:rsidR="007D0553" w:rsidRPr="007C4D65">
              <w:rPr>
                <w:rFonts w:asciiTheme="minorHAnsi" w:eastAsiaTheme="minorHAnsi" w:hAnsiTheme="minorHAnsi" w:cstheme="minorHAnsi"/>
                <w:sz w:val="18"/>
                <w:szCs w:val="18"/>
                <w:lang w:eastAsia="en-US"/>
              </w:rPr>
              <w:t xml:space="preserve"> </w:t>
            </w:r>
            <w:r w:rsidR="00EE66FD" w:rsidRPr="007C4D65">
              <w:rPr>
                <w:rFonts w:asciiTheme="minorHAnsi" w:eastAsiaTheme="minorHAnsi" w:hAnsiTheme="minorHAnsi" w:cstheme="minorHAnsi"/>
                <w:sz w:val="18"/>
                <w:szCs w:val="18"/>
                <w:lang w:eastAsia="en-US"/>
              </w:rPr>
              <w:t xml:space="preserve">system for coordination and monitoring of </w:t>
            </w:r>
            <w:r w:rsidR="007D0553"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implementation of measures</w:t>
            </w:r>
          </w:p>
        </w:tc>
        <w:tc>
          <w:tcPr>
            <w:tcW w:w="1268" w:type="pct"/>
            <w:shd w:val="clear" w:color="auto" w:fill="FFFFFF"/>
            <w:vAlign w:val="center"/>
          </w:tcPr>
          <w:p w14:paraId="2A9418F8" w14:textId="388208E2" w:rsidR="00EE66FD" w:rsidRPr="007C4D65" w:rsidRDefault="007D055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s</w:t>
            </w:r>
            <w:r w:rsidR="00EE66FD" w:rsidRPr="007C4D65">
              <w:rPr>
                <w:rFonts w:asciiTheme="minorHAnsi" w:eastAsiaTheme="minorHAnsi" w:hAnsiTheme="minorHAnsi" w:cstheme="minorHAnsi"/>
                <w:sz w:val="18"/>
                <w:szCs w:val="18"/>
                <w:lang w:eastAsia="en-US"/>
              </w:rPr>
              <w:t xml:space="preserve">ystem for coordination and monitoring of </w:t>
            </w: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implementation of adaptation measures to climate change</w:t>
            </w:r>
            <w:r w:rsidRPr="007C4D65">
              <w:rPr>
                <w:rFonts w:asciiTheme="minorHAnsi" w:eastAsiaTheme="minorHAnsi" w:hAnsiTheme="minorHAnsi" w:cstheme="minorHAnsi"/>
                <w:sz w:val="18"/>
                <w:szCs w:val="18"/>
                <w:lang w:eastAsia="en-US"/>
              </w:rPr>
              <w:t xml:space="preserve"> set up</w:t>
            </w:r>
          </w:p>
        </w:tc>
      </w:tr>
      <w:tr w:rsidR="00EE66FD" w:rsidRPr="007C4D65" w14:paraId="589BACC7" w14:textId="77777777" w:rsidTr="00BC37DE">
        <w:trPr>
          <w:trHeight w:val="567"/>
          <w:jc w:val="center"/>
        </w:trPr>
        <w:tc>
          <w:tcPr>
            <w:tcW w:w="1322" w:type="pct"/>
            <w:vMerge/>
            <w:shd w:val="clear" w:color="auto" w:fill="009D73"/>
            <w:vAlign w:val="center"/>
          </w:tcPr>
          <w:p w14:paraId="13C6FD45" w14:textId="77777777" w:rsidR="00EE66FD" w:rsidRPr="007C4D65" w:rsidRDefault="00EE66FD" w:rsidP="00EE66FD">
            <w:pPr>
              <w:spacing w:before="40" w:after="40" w:line="276" w:lineRule="auto"/>
              <w:rPr>
                <w:rFonts w:asciiTheme="minorHAnsi" w:eastAsiaTheme="minorHAnsi" w:hAnsiTheme="minorHAnsi" w:cstheme="minorHAnsi"/>
                <w:b/>
                <w:bCs/>
                <w:sz w:val="18"/>
                <w:szCs w:val="18"/>
                <w:lang w:eastAsia="en-US"/>
              </w:rPr>
            </w:pPr>
          </w:p>
        </w:tc>
        <w:tc>
          <w:tcPr>
            <w:tcW w:w="1143" w:type="pct"/>
            <w:shd w:val="clear" w:color="auto" w:fill="auto"/>
            <w:vAlign w:val="center"/>
          </w:tcPr>
          <w:p w14:paraId="53EEEA7A" w14:textId="7A5C82CE" w:rsidR="00EE66FD" w:rsidRPr="007C4D65" w:rsidRDefault="00EE66FD">
            <w:pPr>
              <w:numPr>
                <w:ilvl w:val="0"/>
                <w:numId w:val="119"/>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defining </w:t>
            </w:r>
            <w:r w:rsidR="007D0553" w:rsidRPr="007C4D65">
              <w:rPr>
                <w:rFonts w:asciiTheme="minorHAnsi" w:eastAsia="Calibri" w:hAnsiTheme="minorHAnsi" w:cstheme="minorHAnsi"/>
                <w:sz w:val="18"/>
                <w:szCs w:val="18"/>
                <w:lang w:eastAsia="en-US"/>
              </w:rPr>
              <w:t>a fundraising method</w:t>
            </w:r>
          </w:p>
        </w:tc>
        <w:tc>
          <w:tcPr>
            <w:tcW w:w="1267" w:type="pct"/>
            <w:shd w:val="clear" w:color="auto" w:fill="FFFFFF"/>
            <w:vAlign w:val="center"/>
          </w:tcPr>
          <w:p w14:paraId="0FA61CD2" w14:textId="027BD54D" w:rsidR="00EE66FD" w:rsidRPr="007C4D65" w:rsidRDefault="0076407C"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Lack of a</w:t>
            </w:r>
            <w:r w:rsidR="007D0553" w:rsidRPr="007C4D65">
              <w:rPr>
                <w:rFonts w:asciiTheme="minorHAnsi" w:eastAsiaTheme="minorHAnsi" w:hAnsiTheme="minorHAnsi" w:cstheme="minorHAnsi"/>
                <w:sz w:val="18"/>
                <w:szCs w:val="18"/>
                <w:lang w:eastAsia="en-US"/>
              </w:rPr>
              <w:t xml:space="preserve"> </w:t>
            </w:r>
            <w:r w:rsidR="00EE66FD" w:rsidRPr="007C4D65">
              <w:rPr>
                <w:rFonts w:asciiTheme="minorHAnsi" w:eastAsiaTheme="minorHAnsi" w:hAnsiTheme="minorHAnsi" w:cstheme="minorHAnsi"/>
                <w:sz w:val="18"/>
                <w:szCs w:val="18"/>
                <w:lang w:eastAsia="en-US"/>
              </w:rPr>
              <w:t xml:space="preserve">system for </w:t>
            </w:r>
            <w:r w:rsidR="007D0553" w:rsidRPr="007C4D65">
              <w:rPr>
                <w:rFonts w:asciiTheme="minorHAnsi" w:eastAsiaTheme="minorHAnsi" w:hAnsiTheme="minorHAnsi" w:cstheme="minorHAnsi"/>
                <w:sz w:val="18"/>
                <w:szCs w:val="18"/>
                <w:lang w:eastAsia="en-US"/>
              </w:rPr>
              <w:t>fund</w:t>
            </w:r>
            <w:r w:rsidR="00EE66FD" w:rsidRPr="007C4D65">
              <w:rPr>
                <w:rFonts w:asciiTheme="minorHAnsi" w:eastAsiaTheme="minorHAnsi" w:hAnsiTheme="minorHAnsi" w:cstheme="minorHAnsi"/>
                <w:sz w:val="18"/>
                <w:szCs w:val="18"/>
                <w:lang w:eastAsia="en-US"/>
              </w:rPr>
              <w:t>raising and us</w:t>
            </w:r>
            <w:r w:rsidR="007D0553" w:rsidRPr="007C4D65">
              <w:rPr>
                <w:rFonts w:asciiTheme="minorHAnsi" w:eastAsiaTheme="minorHAnsi" w:hAnsiTheme="minorHAnsi" w:cstheme="minorHAnsi"/>
                <w:sz w:val="18"/>
                <w:szCs w:val="18"/>
                <w:lang w:eastAsia="en-US"/>
              </w:rPr>
              <w:t>e of</w:t>
            </w:r>
            <w:r w:rsidR="00EE66FD" w:rsidRPr="007C4D65">
              <w:rPr>
                <w:rFonts w:asciiTheme="minorHAnsi" w:eastAsiaTheme="minorHAnsi" w:hAnsiTheme="minorHAnsi" w:cstheme="minorHAnsi"/>
                <w:sz w:val="18"/>
                <w:szCs w:val="18"/>
                <w:lang w:eastAsia="en-US"/>
              </w:rPr>
              <w:t xml:space="preserve"> funds for the climate change adaptation measures</w:t>
            </w:r>
          </w:p>
        </w:tc>
        <w:tc>
          <w:tcPr>
            <w:tcW w:w="1268" w:type="pct"/>
            <w:shd w:val="clear" w:color="auto" w:fill="FFFFFF"/>
            <w:vAlign w:val="center"/>
          </w:tcPr>
          <w:p w14:paraId="72AC573D" w14:textId="2C9C86D1" w:rsidR="00EE66FD" w:rsidRPr="007C4D65" w:rsidRDefault="007D055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m</w:t>
            </w:r>
            <w:r w:rsidR="00EE66FD" w:rsidRPr="007C4D65">
              <w:rPr>
                <w:rFonts w:asciiTheme="minorHAnsi" w:eastAsiaTheme="minorHAnsi" w:hAnsiTheme="minorHAnsi" w:cstheme="minorHAnsi"/>
                <w:sz w:val="18"/>
                <w:szCs w:val="18"/>
                <w:lang w:eastAsia="en-US"/>
              </w:rPr>
              <w:t xml:space="preserve">ethod of </w:t>
            </w:r>
            <w:r w:rsidRPr="007C4D65">
              <w:rPr>
                <w:rFonts w:asciiTheme="minorHAnsi" w:eastAsiaTheme="minorHAnsi" w:hAnsiTheme="minorHAnsi" w:cstheme="minorHAnsi"/>
                <w:sz w:val="18"/>
                <w:szCs w:val="18"/>
                <w:lang w:eastAsia="en-US"/>
              </w:rPr>
              <w:t>fund</w:t>
            </w:r>
            <w:r w:rsidR="00EE66FD" w:rsidRPr="007C4D65">
              <w:rPr>
                <w:rFonts w:asciiTheme="minorHAnsi" w:eastAsiaTheme="minorHAnsi" w:hAnsiTheme="minorHAnsi" w:cstheme="minorHAnsi"/>
                <w:sz w:val="18"/>
                <w:szCs w:val="18"/>
                <w:lang w:eastAsia="en-US"/>
              </w:rPr>
              <w:t>raising and us</w:t>
            </w:r>
            <w:r w:rsidRPr="007C4D65">
              <w:rPr>
                <w:rFonts w:asciiTheme="minorHAnsi" w:eastAsiaTheme="minorHAnsi" w:hAnsiTheme="minorHAnsi" w:cstheme="minorHAnsi"/>
                <w:sz w:val="18"/>
                <w:szCs w:val="18"/>
                <w:lang w:eastAsia="en-US"/>
              </w:rPr>
              <w:t>e of</w:t>
            </w:r>
            <w:r w:rsidR="00EE66FD" w:rsidRPr="007C4D65">
              <w:rPr>
                <w:rFonts w:asciiTheme="minorHAnsi" w:eastAsiaTheme="minorHAnsi" w:hAnsiTheme="minorHAnsi" w:cstheme="minorHAnsi"/>
                <w:sz w:val="18"/>
                <w:szCs w:val="18"/>
                <w:lang w:eastAsia="en-US"/>
              </w:rPr>
              <w:t xml:space="preserve"> funds for the climate change adaptation measures defined</w:t>
            </w:r>
          </w:p>
        </w:tc>
      </w:tr>
      <w:tr w:rsidR="00EE66FD" w:rsidRPr="007C4D65" w14:paraId="10B85806" w14:textId="77777777" w:rsidTr="00BC37DE">
        <w:trPr>
          <w:trHeight w:val="567"/>
          <w:jc w:val="center"/>
        </w:trPr>
        <w:tc>
          <w:tcPr>
            <w:tcW w:w="1322" w:type="pct"/>
            <w:shd w:val="clear" w:color="auto" w:fill="009D73"/>
            <w:vAlign w:val="center"/>
          </w:tcPr>
          <w:p w14:paraId="6740449A"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Effect on the development and contribution of the measure to the priority</w:t>
            </w:r>
          </w:p>
        </w:tc>
        <w:tc>
          <w:tcPr>
            <w:tcW w:w="3678" w:type="pct"/>
            <w:gridSpan w:val="3"/>
            <w:shd w:val="clear" w:color="auto" w:fill="FFFFFF"/>
            <w:vAlign w:val="center"/>
          </w:tcPr>
          <w:p w14:paraId="2794C0E2" w14:textId="0C5B73DD" w:rsidR="00EE66FD" w:rsidRPr="007C4D65" w:rsidRDefault="007D055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Improved management and enhanced human and institutional capacities increased resilience to climate change </w:t>
            </w:r>
          </w:p>
        </w:tc>
      </w:tr>
      <w:tr w:rsidR="00EE66FD" w:rsidRPr="007C4D65" w14:paraId="722164ED" w14:textId="77777777" w:rsidTr="00BC37DE">
        <w:trPr>
          <w:trHeight w:val="567"/>
          <w:jc w:val="center"/>
        </w:trPr>
        <w:tc>
          <w:tcPr>
            <w:tcW w:w="1322" w:type="pct"/>
            <w:shd w:val="clear" w:color="auto" w:fill="009D73"/>
            <w:vAlign w:val="center"/>
          </w:tcPr>
          <w:p w14:paraId="0B15A152" w14:textId="7A962671"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Indicative financial projection, with specification of sources</w:t>
            </w:r>
          </w:p>
        </w:tc>
        <w:tc>
          <w:tcPr>
            <w:tcW w:w="3678" w:type="pct"/>
            <w:gridSpan w:val="3"/>
            <w:shd w:val="clear" w:color="auto" w:fill="FFFFFF"/>
            <w:vAlign w:val="center"/>
          </w:tcPr>
          <w:p w14:paraId="1BF8C26A" w14:textId="31D5DDE1" w:rsidR="007D0553" w:rsidRPr="007C4D65" w:rsidRDefault="00C224E3" w:rsidP="007D0553">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 xml:space="preserve">Amount: </w:t>
            </w:r>
            <w:r w:rsidR="007D0553" w:rsidRPr="007C4D65">
              <w:rPr>
                <w:rFonts w:asciiTheme="minorHAnsi" w:hAnsiTheme="minorHAnsi" w:cstheme="minorHAnsi"/>
                <w:sz w:val="18"/>
                <w:szCs w:val="18"/>
                <w:lang w:bidi="en-US"/>
              </w:rPr>
              <w:t>BAM 738,117</w:t>
            </w:r>
          </w:p>
          <w:p w14:paraId="57DA70AC" w14:textId="43F19D1A" w:rsidR="00EE66FD" w:rsidRPr="007C4D65" w:rsidRDefault="009E6B20" w:rsidP="007D0553">
            <w:pPr>
              <w:spacing w:before="40" w:after="40" w:line="276" w:lineRule="auto"/>
              <w:rPr>
                <w:rFonts w:asciiTheme="minorHAnsi" w:eastAsiaTheme="minorHAnsi" w:hAnsiTheme="minorHAnsi" w:cstheme="minorHAnsi"/>
                <w:bCs/>
                <w:sz w:val="18"/>
                <w:szCs w:val="18"/>
                <w:lang w:eastAsia="en-US"/>
              </w:rPr>
            </w:pPr>
            <w:r w:rsidRPr="007C4D65">
              <w:rPr>
                <w:rFonts w:asciiTheme="minorHAnsi" w:eastAsia="Calibri" w:hAnsiTheme="minorHAnsi" w:cstheme="minorHAnsi"/>
                <w:sz w:val="18"/>
                <w:szCs w:val="18"/>
              </w:rPr>
              <w:t xml:space="preserve">Source: </w:t>
            </w:r>
            <w:r w:rsidR="007D0553" w:rsidRPr="007C4D65">
              <w:rPr>
                <w:rFonts w:asciiTheme="minorHAnsi" w:eastAsia="Calibri" w:hAnsiTheme="minorHAnsi" w:cstheme="minorHAnsi"/>
                <w:sz w:val="18"/>
                <w:szCs w:val="18"/>
              </w:rPr>
              <w:t xml:space="preserve"> 20% </w:t>
            </w:r>
            <w:r w:rsidR="000E401F" w:rsidRPr="007C4D65">
              <w:rPr>
                <w:rFonts w:asciiTheme="minorHAnsi" w:eastAsia="Calibri" w:hAnsiTheme="minorHAnsi" w:cstheme="minorHAnsi"/>
                <w:sz w:val="18"/>
                <w:szCs w:val="18"/>
              </w:rPr>
              <w:t xml:space="preserve">government </w:t>
            </w:r>
            <w:proofErr w:type="gramStart"/>
            <w:r w:rsidR="000E401F" w:rsidRPr="007C4D65">
              <w:rPr>
                <w:rFonts w:asciiTheme="minorHAnsi" w:eastAsia="Calibri" w:hAnsiTheme="minorHAnsi" w:cstheme="minorHAnsi"/>
                <w:sz w:val="18"/>
                <w:szCs w:val="18"/>
              </w:rPr>
              <w:t>budget</w:t>
            </w:r>
            <w:r w:rsidR="00C224E3" w:rsidRPr="007C4D65">
              <w:rPr>
                <w:rFonts w:asciiTheme="minorHAnsi" w:eastAsia="Calibri" w:hAnsiTheme="minorHAnsi" w:cstheme="minorHAnsi"/>
                <w:sz w:val="18"/>
                <w:szCs w:val="18"/>
              </w:rPr>
              <w:t xml:space="preserve"> </w:t>
            </w:r>
            <w:r w:rsidR="007D0553" w:rsidRPr="007C4D65">
              <w:rPr>
                <w:rFonts w:asciiTheme="minorHAnsi" w:eastAsia="Calibri" w:hAnsiTheme="minorHAnsi" w:cstheme="minorHAnsi"/>
                <w:sz w:val="18"/>
                <w:szCs w:val="18"/>
              </w:rPr>
              <w:t>,</w:t>
            </w:r>
            <w:proofErr w:type="gramEnd"/>
            <w:r w:rsidR="007D0553" w:rsidRPr="007C4D65">
              <w:rPr>
                <w:rFonts w:asciiTheme="minorHAnsi" w:eastAsia="Calibri" w:hAnsiTheme="minorHAnsi" w:cstheme="minorHAnsi"/>
                <w:sz w:val="18"/>
                <w:szCs w:val="18"/>
              </w:rPr>
              <w:t xml:space="preserve"> 80% </w:t>
            </w:r>
            <w:r w:rsidR="00C224E3" w:rsidRPr="007C4D65">
              <w:rPr>
                <w:rFonts w:asciiTheme="minorHAnsi" w:eastAsia="Calibri" w:hAnsiTheme="minorHAnsi" w:cstheme="minorHAnsi"/>
                <w:sz w:val="18"/>
                <w:szCs w:val="18"/>
              </w:rPr>
              <w:t xml:space="preserve">combined </w:t>
            </w:r>
            <w:r w:rsidR="007D0553" w:rsidRPr="007C4D65">
              <w:rPr>
                <w:rFonts w:asciiTheme="minorHAnsi" w:eastAsia="Calibri" w:hAnsiTheme="minorHAnsi" w:cstheme="minorHAnsi"/>
                <w:sz w:val="18"/>
                <w:szCs w:val="18"/>
              </w:rPr>
              <w:t xml:space="preserve"> ‒ </w:t>
            </w:r>
            <w:r w:rsidR="00C224E3" w:rsidRPr="007C4D65">
              <w:rPr>
                <w:rFonts w:asciiTheme="minorHAnsi" w:eastAsia="Calibri" w:hAnsiTheme="minorHAnsi" w:cstheme="minorHAnsi"/>
                <w:sz w:val="18"/>
                <w:szCs w:val="18"/>
              </w:rPr>
              <w:t xml:space="preserve">funds from EU and other international donors, and other donations </w:t>
            </w:r>
          </w:p>
        </w:tc>
      </w:tr>
      <w:tr w:rsidR="00EE66FD" w:rsidRPr="007C4D65" w14:paraId="3AFAACDA" w14:textId="77777777" w:rsidTr="00BC37DE">
        <w:trPr>
          <w:trHeight w:val="567"/>
          <w:jc w:val="center"/>
        </w:trPr>
        <w:tc>
          <w:tcPr>
            <w:tcW w:w="1322" w:type="pct"/>
            <w:shd w:val="clear" w:color="auto" w:fill="009D73"/>
            <w:vAlign w:val="center"/>
          </w:tcPr>
          <w:p w14:paraId="0629CE4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Period of the implementation of the measure</w:t>
            </w:r>
          </w:p>
        </w:tc>
        <w:tc>
          <w:tcPr>
            <w:tcW w:w="3678" w:type="pct"/>
            <w:gridSpan w:val="3"/>
            <w:shd w:val="clear" w:color="auto" w:fill="FFFFFF"/>
            <w:vAlign w:val="center"/>
          </w:tcPr>
          <w:p w14:paraId="0CDAA50D"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 2032</w:t>
            </w:r>
          </w:p>
        </w:tc>
      </w:tr>
      <w:tr w:rsidR="00EE66FD" w:rsidRPr="007C4D65" w14:paraId="7F619231" w14:textId="77777777" w:rsidTr="00BC37DE">
        <w:trPr>
          <w:trHeight w:val="567"/>
          <w:jc w:val="center"/>
        </w:trPr>
        <w:tc>
          <w:tcPr>
            <w:tcW w:w="1322" w:type="pct"/>
            <w:shd w:val="clear" w:color="auto" w:fill="009D73"/>
            <w:vAlign w:val="center"/>
          </w:tcPr>
          <w:p w14:paraId="3DC60BD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Institution responsible for coordination of the implementation of the measure</w:t>
            </w:r>
          </w:p>
        </w:tc>
        <w:tc>
          <w:tcPr>
            <w:tcW w:w="3678" w:type="pct"/>
            <w:gridSpan w:val="3"/>
            <w:shd w:val="clear" w:color="auto" w:fill="FFFFFF"/>
            <w:vAlign w:val="center"/>
          </w:tcPr>
          <w:p w14:paraId="71C07551" w14:textId="20859062" w:rsidR="00EE66FD" w:rsidRPr="007C4D65" w:rsidRDefault="00714110"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FMET</w:t>
            </w:r>
          </w:p>
        </w:tc>
      </w:tr>
      <w:tr w:rsidR="00EE66FD" w:rsidRPr="007C4D65" w14:paraId="1B5A72A1" w14:textId="77777777" w:rsidTr="00BC37DE">
        <w:trPr>
          <w:trHeight w:val="567"/>
          <w:jc w:val="center"/>
        </w:trPr>
        <w:tc>
          <w:tcPr>
            <w:tcW w:w="1322" w:type="pct"/>
            <w:shd w:val="clear" w:color="auto" w:fill="009D73"/>
            <w:vAlign w:val="center"/>
          </w:tcPr>
          <w:p w14:paraId="5D32660C"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Implementing institutions</w:t>
            </w:r>
          </w:p>
        </w:tc>
        <w:tc>
          <w:tcPr>
            <w:tcW w:w="3678" w:type="pct"/>
            <w:gridSpan w:val="3"/>
            <w:shd w:val="clear" w:color="auto" w:fill="FFFFFF"/>
            <w:vAlign w:val="center"/>
          </w:tcPr>
          <w:p w14:paraId="7181CB20" w14:textId="54F3B840" w:rsidR="00EE66FD" w:rsidRPr="007C4D65" w:rsidRDefault="00714110"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FMAWMF</w:t>
            </w:r>
            <w:r w:rsidR="00EE66FD" w:rsidRPr="007C4D65">
              <w:rPr>
                <w:rFonts w:asciiTheme="minorHAnsi" w:eastAsiaTheme="minorHAnsi" w:hAnsiTheme="minorHAnsi" w:cstheme="minorHAnsi"/>
                <w:sz w:val="18"/>
                <w:szCs w:val="18"/>
                <w:lang w:eastAsia="en-US"/>
              </w:rPr>
              <w:t xml:space="preserve">, </w:t>
            </w:r>
            <w:r w:rsidRPr="007C4D65">
              <w:rPr>
                <w:rFonts w:asciiTheme="minorHAnsi" w:eastAsiaTheme="minorHAnsi" w:hAnsiTheme="minorHAnsi" w:cstheme="minorHAnsi"/>
                <w:sz w:val="18"/>
                <w:szCs w:val="18"/>
                <w:lang w:eastAsia="en-US"/>
              </w:rPr>
              <w:t>FHMI</w:t>
            </w:r>
            <w:r w:rsidR="00EE66FD" w:rsidRPr="007C4D65">
              <w:rPr>
                <w:rFonts w:asciiTheme="minorHAnsi" w:eastAsiaTheme="minorHAnsi" w:hAnsiTheme="minorHAnsi" w:cstheme="minorHAnsi"/>
                <w:sz w:val="18"/>
                <w:szCs w:val="18"/>
                <w:lang w:eastAsia="en-US"/>
              </w:rPr>
              <w:t xml:space="preserve">, Civil </w:t>
            </w:r>
            <w:r w:rsidRPr="007C4D65">
              <w:rPr>
                <w:rFonts w:asciiTheme="minorHAnsi" w:eastAsiaTheme="minorHAnsi" w:hAnsiTheme="minorHAnsi" w:cstheme="minorHAnsi"/>
                <w:sz w:val="18"/>
                <w:szCs w:val="18"/>
                <w:lang w:eastAsia="en-US"/>
              </w:rPr>
              <w:t>P</w:t>
            </w:r>
            <w:r w:rsidR="00EE66FD" w:rsidRPr="007C4D65">
              <w:rPr>
                <w:rFonts w:asciiTheme="minorHAnsi" w:eastAsiaTheme="minorHAnsi" w:hAnsiTheme="minorHAnsi" w:cstheme="minorHAnsi"/>
                <w:sz w:val="18"/>
                <w:szCs w:val="18"/>
                <w:lang w:eastAsia="en-US"/>
              </w:rPr>
              <w:t>rotection, Environmental Protection Fund, universities</w:t>
            </w:r>
          </w:p>
        </w:tc>
      </w:tr>
      <w:tr w:rsidR="00EE66FD" w:rsidRPr="007C4D65" w14:paraId="4EDA6066" w14:textId="77777777" w:rsidTr="00BC37DE">
        <w:trPr>
          <w:trHeight w:val="567"/>
          <w:jc w:val="center"/>
        </w:trPr>
        <w:tc>
          <w:tcPr>
            <w:tcW w:w="1322" w:type="pct"/>
            <w:shd w:val="clear" w:color="auto" w:fill="009D73"/>
            <w:vAlign w:val="center"/>
          </w:tcPr>
          <w:p w14:paraId="77EC4275" w14:textId="70969684"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groups</w:t>
            </w:r>
          </w:p>
        </w:tc>
        <w:tc>
          <w:tcPr>
            <w:tcW w:w="3678" w:type="pct"/>
            <w:gridSpan w:val="3"/>
            <w:shd w:val="clear" w:color="auto" w:fill="FFFFFF"/>
            <w:vAlign w:val="center"/>
          </w:tcPr>
          <w:p w14:paraId="3DBE76A5" w14:textId="2FC97932"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Civil </w:t>
            </w:r>
            <w:r w:rsidR="00714110" w:rsidRPr="007C4D65">
              <w:rPr>
                <w:rFonts w:asciiTheme="minorHAnsi" w:eastAsiaTheme="minorHAnsi" w:hAnsiTheme="minorHAnsi" w:cstheme="minorHAnsi"/>
                <w:sz w:val="18"/>
                <w:szCs w:val="18"/>
                <w:lang w:eastAsia="en-US"/>
              </w:rPr>
              <w:t>P</w:t>
            </w:r>
            <w:r w:rsidRPr="007C4D65">
              <w:rPr>
                <w:rFonts w:asciiTheme="minorHAnsi" w:eastAsiaTheme="minorHAnsi" w:hAnsiTheme="minorHAnsi" w:cstheme="minorHAnsi"/>
                <w:sz w:val="18"/>
                <w:szCs w:val="18"/>
                <w:lang w:eastAsia="en-US"/>
              </w:rPr>
              <w:t>rotection, NGOs, citizens, media</w:t>
            </w:r>
          </w:p>
        </w:tc>
      </w:tr>
    </w:tbl>
    <w:p w14:paraId="2AB0F555" w14:textId="77777777" w:rsidR="00EE66FD" w:rsidRPr="007C4D65" w:rsidRDefault="00EE66FD" w:rsidP="00EE66FD">
      <w:pPr>
        <w:spacing w:line="276" w:lineRule="auto"/>
        <w:rPr>
          <w:rFonts w:asciiTheme="minorHAnsi" w:eastAsiaTheme="minorHAnsi" w:hAnsiTheme="minorHAnsi" w:cstheme="minorHAnsi"/>
          <w:sz w:val="22"/>
          <w:szCs w:val="22"/>
          <w:lang w:eastAsia="en-US"/>
        </w:rPr>
      </w:pPr>
    </w:p>
    <w:tbl>
      <w:tblPr>
        <w:tblW w:w="48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1"/>
        <w:gridCol w:w="3066"/>
        <w:gridCol w:w="3393"/>
        <w:gridCol w:w="3390"/>
      </w:tblGrid>
      <w:tr w:rsidR="00EE66FD" w:rsidRPr="007C4D65" w14:paraId="3FAF7D5F" w14:textId="77777777" w:rsidTr="00BC37DE">
        <w:trPr>
          <w:trHeight w:val="567"/>
          <w:jc w:val="center"/>
        </w:trPr>
        <w:tc>
          <w:tcPr>
            <w:tcW w:w="1322" w:type="pct"/>
            <w:shd w:val="clear" w:color="auto" w:fill="009D73"/>
            <w:vAlign w:val="center"/>
          </w:tcPr>
          <w:p w14:paraId="61C09445"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Link with strategic goal</w:t>
            </w:r>
          </w:p>
        </w:tc>
        <w:tc>
          <w:tcPr>
            <w:tcW w:w="3678" w:type="pct"/>
            <w:gridSpan w:val="3"/>
            <w:shd w:val="clear" w:color="auto" w:fill="FFFFFF"/>
            <w:vAlign w:val="center"/>
          </w:tcPr>
          <w:p w14:paraId="34050577" w14:textId="293B0552" w:rsidR="00EE66FD" w:rsidRPr="007C4D65" w:rsidRDefault="00EE66FD" w:rsidP="00EE66FD">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4. </w:t>
            </w:r>
            <w:r w:rsidR="00FE2B6F" w:rsidRPr="007C4D65">
              <w:rPr>
                <w:rFonts w:asciiTheme="minorHAnsi" w:eastAsia="Calibri" w:hAnsiTheme="minorHAnsi" w:cstheme="minorHAnsi"/>
                <w:b/>
                <w:bCs/>
                <w:sz w:val="18"/>
                <w:szCs w:val="18"/>
                <w:lang w:eastAsia="en-US"/>
              </w:rPr>
              <w:t>Climate change mitigation and adaptation and improvement of air quality</w:t>
            </w:r>
          </w:p>
        </w:tc>
      </w:tr>
      <w:tr w:rsidR="00EE66FD" w:rsidRPr="007C4D65" w14:paraId="20C384A8" w14:textId="77777777" w:rsidTr="00BC37DE">
        <w:trPr>
          <w:trHeight w:val="567"/>
          <w:jc w:val="center"/>
        </w:trPr>
        <w:tc>
          <w:tcPr>
            <w:tcW w:w="1322" w:type="pct"/>
            <w:shd w:val="clear" w:color="auto" w:fill="009D73"/>
            <w:vAlign w:val="center"/>
          </w:tcPr>
          <w:p w14:paraId="4A6988D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Priority</w:t>
            </w:r>
          </w:p>
        </w:tc>
        <w:tc>
          <w:tcPr>
            <w:tcW w:w="3678" w:type="pct"/>
            <w:gridSpan w:val="3"/>
            <w:shd w:val="clear" w:color="auto" w:fill="FFFFFF"/>
            <w:vAlign w:val="center"/>
          </w:tcPr>
          <w:p w14:paraId="4DB480F1" w14:textId="48DB9D26" w:rsidR="00EE66FD" w:rsidRPr="007C4D65" w:rsidRDefault="00EE66FD" w:rsidP="00EE66FD">
            <w:pPr>
              <w:spacing w:before="40" w:after="40" w:line="276" w:lineRule="auto"/>
              <w:rPr>
                <w:rFonts w:asciiTheme="minorHAnsi" w:hAnsiTheme="minorHAnsi" w:cstheme="minorHAnsi"/>
                <w:b/>
                <w:bCs/>
                <w:sz w:val="18"/>
                <w:szCs w:val="18"/>
                <w:lang w:eastAsia="en-US"/>
              </w:rPr>
            </w:pPr>
            <w:r w:rsidRPr="007C4D65">
              <w:rPr>
                <w:rFonts w:asciiTheme="minorHAnsi" w:hAnsiTheme="minorHAnsi" w:cstheme="minorHAnsi"/>
                <w:b/>
                <w:bCs/>
                <w:sz w:val="18"/>
                <w:szCs w:val="18"/>
                <w:lang w:eastAsia="en-US"/>
              </w:rPr>
              <w:t xml:space="preserve">4.4 </w:t>
            </w:r>
            <w:r w:rsidR="00915506" w:rsidRPr="007C4D65">
              <w:rPr>
                <w:rFonts w:asciiTheme="minorHAnsi" w:hAnsiTheme="minorHAnsi" w:cstheme="minorHAnsi"/>
                <w:b/>
                <w:bCs/>
                <w:sz w:val="18"/>
                <w:szCs w:val="18"/>
                <w:lang w:eastAsia="en-US"/>
              </w:rPr>
              <w:t>Enhancing resilience to climate change</w:t>
            </w:r>
          </w:p>
        </w:tc>
      </w:tr>
      <w:tr w:rsidR="00EE66FD" w:rsidRPr="007C4D65" w14:paraId="0E742472" w14:textId="77777777" w:rsidTr="00BC37DE">
        <w:trPr>
          <w:trHeight w:val="567"/>
          <w:jc w:val="center"/>
        </w:trPr>
        <w:tc>
          <w:tcPr>
            <w:tcW w:w="1322" w:type="pct"/>
            <w:shd w:val="clear" w:color="auto" w:fill="009D73"/>
            <w:vAlign w:val="center"/>
          </w:tcPr>
          <w:p w14:paraId="07C4D21D"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Title of the measure</w:t>
            </w:r>
          </w:p>
        </w:tc>
        <w:tc>
          <w:tcPr>
            <w:tcW w:w="3678" w:type="pct"/>
            <w:gridSpan w:val="3"/>
            <w:shd w:val="clear" w:color="auto" w:fill="FFFFFF"/>
            <w:vAlign w:val="center"/>
          </w:tcPr>
          <w:p w14:paraId="24BD550A" w14:textId="7DE8406E" w:rsidR="00EE66FD" w:rsidRPr="007C4D65" w:rsidRDefault="00EE66FD" w:rsidP="00EE66FD">
            <w:pPr>
              <w:spacing w:before="40" w:after="40" w:line="276" w:lineRule="auto"/>
              <w:rPr>
                <w:rFonts w:asciiTheme="minorHAnsi" w:eastAsia="Calibri" w:hAnsiTheme="minorHAnsi" w:cstheme="minorHAnsi"/>
                <w:b/>
                <w:sz w:val="18"/>
                <w:szCs w:val="18"/>
                <w:lang w:eastAsia="en-US"/>
              </w:rPr>
            </w:pPr>
            <w:r w:rsidRPr="007C4D65">
              <w:rPr>
                <w:rFonts w:asciiTheme="minorHAnsi" w:eastAsia="Calibri" w:hAnsiTheme="minorHAnsi" w:cstheme="minorHAnsi"/>
                <w:b/>
                <w:bCs/>
                <w:sz w:val="18"/>
                <w:szCs w:val="18"/>
                <w:lang w:eastAsia="en-US"/>
              </w:rPr>
              <w:t xml:space="preserve">4.4.2 </w:t>
            </w:r>
            <w:bookmarkStart w:id="310" w:name="_Hlk116032224"/>
            <w:r w:rsidR="00714110" w:rsidRPr="007C4D65">
              <w:rPr>
                <w:rFonts w:asciiTheme="minorHAnsi" w:eastAsia="Calibri" w:hAnsiTheme="minorHAnsi" w:cstheme="minorHAnsi"/>
                <w:b/>
                <w:bCs/>
                <w:sz w:val="18"/>
                <w:szCs w:val="18"/>
                <w:lang w:eastAsia="en-US"/>
              </w:rPr>
              <w:t>Infrastructure capacity building</w:t>
            </w:r>
            <w:r w:rsidRPr="007C4D65">
              <w:rPr>
                <w:rFonts w:asciiTheme="minorHAnsi" w:eastAsia="Calibri" w:hAnsiTheme="minorHAnsi" w:cstheme="minorHAnsi"/>
                <w:b/>
                <w:bCs/>
                <w:sz w:val="18"/>
                <w:szCs w:val="18"/>
                <w:lang w:eastAsia="en-US"/>
              </w:rPr>
              <w:t xml:space="preserve"> </w:t>
            </w:r>
            <w:r w:rsidR="00714110" w:rsidRPr="007C4D65">
              <w:rPr>
                <w:rFonts w:asciiTheme="minorHAnsi" w:eastAsia="Calibri" w:hAnsiTheme="minorHAnsi" w:cstheme="minorHAnsi"/>
                <w:b/>
                <w:bCs/>
                <w:sz w:val="18"/>
                <w:szCs w:val="18"/>
                <w:lang w:eastAsia="en-US"/>
              </w:rPr>
              <w:t>to enhance</w:t>
            </w:r>
            <w:r w:rsidRPr="007C4D65">
              <w:rPr>
                <w:rFonts w:asciiTheme="minorHAnsi" w:eastAsia="Calibri" w:hAnsiTheme="minorHAnsi" w:cstheme="minorHAnsi"/>
                <w:b/>
                <w:bCs/>
                <w:sz w:val="18"/>
                <w:szCs w:val="18"/>
                <w:lang w:eastAsia="en-US"/>
              </w:rPr>
              <w:t xml:space="preserve"> resilience to climate change</w:t>
            </w:r>
            <w:bookmarkEnd w:id="310"/>
          </w:p>
        </w:tc>
      </w:tr>
      <w:tr w:rsidR="00EE66FD" w:rsidRPr="007C4D65" w14:paraId="0143242D" w14:textId="77777777" w:rsidTr="00BC37DE">
        <w:trPr>
          <w:trHeight w:val="567"/>
          <w:jc w:val="center"/>
        </w:trPr>
        <w:tc>
          <w:tcPr>
            <w:tcW w:w="1322" w:type="pct"/>
            <w:shd w:val="clear" w:color="auto" w:fill="009D73"/>
            <w:vAlign w:val="center"/>
          </w:tcPr>
          <w:p w14:paraId="18A6EBA7"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 xml:space="preserve">Description of the measure with the general areas of intervention </w:t>
            </w:r>
          </w:p>
        </w:tc>
        <w:tc>
          <w:tcPr>
            <w:tcW w:w="3678" w:type="pct"/>
            <w:gridSpan w:val="3"/>
            <w:shd w:val="clear" w:color="auto" w:fill="FFFFFF"/>
            <w:vAlign w:val="center"/>
          </w:tcPr>
          <w:p w14:paraId="56AB2F06" w14:textId="2C28A009"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The aim of this measure is to develop infrastructure capacities for adaptation to climate change in the sectors that are most vulnerable to climate change.</w:t>
            </w:r>
          </w:p>
          <w:p w14:paraId="0037CC5B" w14:textId="4FF1F654" w:rsidR="00EE66FD" w:rsidRPr="007C4D65" w:rsidRDefault="009568AA"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EE66FD" w:rsidRPr="007C4D65">
              <w:rPr>
                <w:rFonts w:asciiTheme="minorHAnsi" w:eastAsia="Calibri" w:hAnsiTheme="minorHAnsi" w:cstheme="minorHAnsi"/>
                <w:sz w:val="18"/>
                <w:szCs w:val="18"/>
                <w:lang w:eastAsia="en-US"/>
              </w:rPr>
              <w:t>eneral areas of intervention are:</w:t>
            </w:r>
          </w:p>
          <w:p w14:paraId="77A763FF" w14:textId="517B3EAC" w:rsidR="00EE66FD" w:rsidRPr="007C4D65" w:rsidRDefault="00EE66FD">
            <w:pPr>
              <w:numPr>
                <w:ilvl w:val="0"/>
                <w:numId w:val="120"/>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Developing a programme to strengthen the irrigation </w:t>
            </w:r>
            <w:proofErr w:type="gramStart"/>
            <w:r w:rsidRPr="007C4D65">
              <w:rPr>
                <w:rFonts w:asciiTheme="minorHAnsi" w:eastAsia="Calibri" w:hAnsiTheme="minorHAnsi" w:cstheme="minorHAnsi"/>
                <w:sz w:val="18"/>
                <w:szCs w:val="18"/>
                <w:lang w:eastAsia="en-US"/>
              </w:rPr>
              <w:t>infrastructure</w:t>
            </w:r>
            <w:r w:rsidR="009568AA" w:rsidRPr="007C4D65">
              <w:rPr>
                <w:rFonts w:asciiTheme="minorHAnsi" w:eastAsia="Calibri" w:hAnsiTheme="minorHAnsi" w:cstheme="minorHAnsi"/>
                <w:sz w:val="18"/>
                <w:szCs w:val="18"/>
                <w:lang w:eastAsia="en-US"/>
              </w:rPr>
              <w:t>;</w:t>
            </w:r>
            <w:proofErr w:type="gramEnd"/>
          </w:p>
          <w:p w14:paraId="6BB41C88" w14:textId="00203E3B" w:rsidR="00EE66FD" w:rsidRPr="007C4D65" w:rsidRDefault="00551E3B">
            <w:pPr>
              <w:numPr>
                <w:ilvl w:val="0"/>
                <w:numId w:val="120"/>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Application of sustainability principles in the use of water for irrigation and establishment of a counselling office for </w:t>
            </w:r>
            <w:proofErr w:type="gramStart"/>
            <w:r w:rsidRPr="007C4D65">
              <w:rPr>
                <w:rFonts w:asciiTheme="minorHAnsi" w:eastAsia="Calibri" w:hAnsiTheme="minorHAnsi" w:cstheme="minorHAnsi"/>
                <w:sz w:val="18"/>
                <w:szCs w:val="18"/>
                <w:lang w:eastAsia="en-US"/>
              </w:rPr>
              <w:t>farmers</w:t>
            </w:r>
            <w:r w:rsidR="009568AA" w:rsidRPr="007C4D65">
              <w:rPr>
                <w:rFonts w:asciiTheme="minorHAnsi" w:eastAsia="Calibri" w:hAnsiTheme="minorHAnsi" w:cstheme="minorHAnsi"/>
                <w:sz w:val="18"/>
                <w:szCs w:val="18"/>
                <w:lang w:eastAsia="en-US"/>
              </w:rPr>
              <w:t>;</w:t>
            </w:r>
            <w:proofErr w:type="gramEnd"/>
          </w:p>
          <w:p w14:paraId="77B76F09" w14:textId="70000691" w:rsidR="00EE66FD" w:rsidRPr="007C4D65" w:rsidRDefault="00551E3B">
            <w:pPr>
              <w:numPr>
                <w:ilvl w:val="0"/>
                <w:numId w:val="120"/>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Application of ecological principles in the c</w:t>
            </w:r>
            <w:r w:rsidR="00EE66FD" w:rsidRPr="007C4D65">
              <w:rPr>
                <w:rFonts w:asciiTheme="minorHAnsi" w:eastAsia="Calibri" w:hAnsiTheme="minorHAnsi" w:cstheme="minorHAnsi"/>
                <w:sz w:val="18"/>
                <w:szCs w:val="18"/>
                <w:lang w:eastAsia="en-US"/>
              </w:rPr>
              <w:t xml:space="preserve">onstruction of multipurpose </w:t>
            </w:r>
            <w:proofErr w:type="gramStart"/>
            <w:r w:rsidR="00EE66FD" w:rsidRPr="007C4D65">
              <w:rPr>
                <w:rFonts w:asciiTheme="minorHAnsi" w:eastAsia="Calibri" w:hAnsiTheme="minorHAnsi" w:cstheme="minorHAnsi"/>
                <w:sz w:val="18"/>
                <w:szCs w:val="18"/>
                <w:lang w:eastAsia="en-US"/>
              </w:rPr>
              <w:t>reservoirs</w:t>
            </w:r>
            <w:r w:rsidR="009568AA" w:rsidRPr="007C4D65">
              <w:rPr>
                <w:rFonts w:asciiTheme="minorHAnsi" w:eastAsia="Calibri" w:hAnsiTheme="minorHAnsi" w:cstheme="minorHAnsi"/>
                <w:sz w:val="18"/>
                <w:szCs w:val="18"/>
                <w:lang w:eastAsia="en-US"/>
              </w:rPr>
              <w:t>;</w:t>
            </w:r>
            <w:proofErr w:type="gramEnd"/>
          </w:p>
          <w:p w14:paraId="532BA02F" w14:textId="4C08DE2A" w:rsidR="00EE66FD" w:rsidRPr="007C4D65" w:rsidRDefault="00EE66FD">
            <w:pPr>
              <w:numPr>
                <w:ilvl w:val="0"/>
                <w:numId w:val="120"/>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Conducting a study aimed at identifying the needs for equipment and human resources for early detection of fire and </w:t>
            </w:r>
            <w:proofErr w:type="gramStart"/>
            <w:r w:rsidRPr="007C4D65">
              <w:rPr>
                <w:rFonts w:asciiTheme="minorHAnsi" w:eastAsia="Calibri" w:hAnsiTheme="minorHAnsi" w:cstheme="minorHAnsi"/>
                <w:sz w:val="18"/>
                <w:szCs w:val="18"/>
                <w:lang w:eastAsia="en-US"/>
              </w:rPr>
              <w:t>firefighting</w:t>
            </w:r>
            <w:r w:rsidR="009568AA" w:rsidRPr="007C4D65">
              <w:rPr>
                <w:rFonts w:asciiTheme="minorHAnsi" w:eastAsia="Calibri" w:hAnsiTheme="minorHAnsi" w:cstheme="minorHAnsi"/>
                <w:sz w:val="18"/>
                <w:szCs w:val="18"/>
                <w:lang w:eastAsia="en-US"/>
              </w:rPr>
              <w:t>;</w:t>
            </w:r>
            <w:proofErr w:type="gramEnd"/>
          </w:p>
          <w:p w14:paraId="4BAD04EA" w14:textId="77777777" w:rsidR="00EE66FD" w:rsidRPr="007C4D65" w:rsidRDefault="00EE66FD">
            <w:pPr>
              <w:numPr>
                <w:ilvl w:val="0"/>
                <w:numId w:val="120"/>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Procurement of equipment and employing human resources for the system of early fire detection and firefighting</w:t>
            </w:r>
          </w:p>
          <w:p w14:paraId="47A256AE" w14:textId="0B3FD24B" w:rsidR="00EE66FD" w:rsidRPr="007C4D65" w:rsidRDefault="00EE66FD">
            <w:pPr>
              <w:numPr>
                <w:ilvl w:val="0"/>
                <w:numId w:val="120"/>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Undertaking a study aimed at identifying infrastructure needed for firefighting (such as water reservoirs, fire escape paths, etc.</w:t>
            </w:r>
            <w:proofErr w:type="gramStart"/>
            <w:r w:rsidRPr="007C4D65">
              <w:rPr>
                <w:rFonts w:asciiTheme="minorHAnsi" w:eastAsia="Calibri" w:hAnsiTheme="minorHAnsi" w:cstheme="minorHAnsi"/>
                <w:sz w:val="18"/>
                <w:szCs w:val="18"/>
                <w:lang w:eastAsia="en-US"/>
              </w:rPr>
              <w:t>)</w:t>
            </w:r>
            <w:r w:rsidR="009568AA" w:rsidRPr="007C4D65">
              <w:rPr>
                <w:rFonts w:asciiTheme="minorHAnsi" w:eastAsia="Calibri" w:hAnsiTheme="minorHAnsi" w:cstheme="minorHAnsi"/>
                <w:sz w:val="18"/>
                <w:szCs w:val="18"/>
                <w:lang w:eastAsia="en-US"/>
              </w:rPr>
              <w:t>;</w:t>
            </w:r>
            <w:proofErr w:type="gramEnd"/>
          </w:p>
          <w:p w14:paraId="39E42A9A" w14:textId="2A734357" w:rsidR="00EE66FD" w:rsidRPr="007C4D65" w:rsidRDefault="00551E3B">
            <w:pPr>
              <w:numPr>
                <w:ilvl w:val="0"/>
                <w:numId w:val="120"/>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Developing the</w:t>
            </w:r>
            <w:r w:rsidR="00EE66FD" w:rsidRPr="007C4D65">
              <w:rPr>
                <w:rFonts w:asciiTheme="minorHAnsi" w:eastAsia="Calibri" w:hAnsiTheme="minorHAnsi" w:cstheme="minorHAnsi"/>
                <w:sz w:val="18"/>
                <w:szCs w:val="18"/>
                <w:lang w:eastAsia="en-US"/>
              </w:rPr>
              <w:t xml:space="preserve"> flood protection</w:t>
            </w:r>
            <w:r w:rsidRPr="007C4D65">
              <w:rPr>
                <w:rFonts w:asciiTheme="minorHAnsi" w:eastAsiaTheme="minorHAnsi" w:hAnsiTheme="minorHAnsi" w:cstheme="minorHAnsi"/>
                <w:color w:val="000000"/>
                <w:sz w:val="18"/>
                <w:szCs w:val="18"/>
                <w:lang w:eastAsia="en-US"/>
              </w:rPr>
              <w:t xml:space="preserve"> capacity</w:t>
            </w:r>
            <w:r w:rsidR="009568AA" w:rsidRPr="007C4D65">
              <w:rPr>
                <w:rFonts w:asciiTheme="minorHAnsi" w:eastAsiaTheme="minorHAnsi" w:hAnsiTheme="minorHAnsi" w:cstheme="minorHAnsi"/>
                <w:color w:val="000000"/>
                <w:sz w:val="18"/>
                <w:szCs w:val="18"/>
                <w:lang w:eastAsia="en-US"/>
              </w:rPr>
              <w:t>.</w:t>
            </w:r>
          </w:p>
        </w:tc>
      </w:tr>
      <w:tr w:rsidR="00EE66FD" w:rsidRPr="007C4D65" w14:paraId="2948AE9A" w14:textId="77777777" w:rsidTr="00BC37DE">
        <w:trPr>
          <w:trHeight w:val="567"/>
          <w:jc w:val="center"/>
        </w:trPr>
        <w:tc>
          <w:tcPr>
            <w:tcW w:w="1322" w:type="pct"/>
            <w:shd w:val="clear" w:color="auto" w:fill="009D73"/>
            <w:vAlign w:val="center"/>
          </w:tcPr>
          <w:p w14:paraId="07CF77B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Strategic projects</w:t>
            </w:r>
          </w:p>
        </w:tc>
        <w:tc>
          <w:tcPr>
            <w:tcW w:w="3678" w:type="pct"/>
            <w:gridSpan w:val="3"/>
            <w:shd w:val="clear" w:color="auto" w:fill="FFFFFF" w:themeFill="background1"/>
            <w:vAlign w:val="center"/>
          </w:tcPr>
          <w:p w14:paraId="3D3159A4"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E66FD" w:rsidRPr="007C4D65" w14:paraId="10BE8D4C" w14:textId="77777777" w:rsidTr="00BC37DE">
        <w:trPr>
          <w:trHeight w:val="567"/>
          <w:jc w:val="center"/>
        </w:trPr>
        <w:tc>
          <w:tcPr>
            <w:tcW w:w="1322" w:type="pct"/>
            <w:vMerge w:val="restart"/>
            <w:shd w:val="clear" w:color="auto" w:fill="009D73"/>
            <w:vAlign w:val="center"/>
          </w:tcPr>
          <w:p w14:paraId="645F06C9"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 for monitoring of results</w:t>
            </w:r>
          </w:p>
        </w:tc>
        <w:tc>
          <w:tcPr>
            <w:tcW w:w="1145" w:type="pct"/>
            <w:shd w:val="clear" w:color="auto" w:fill="009D73"/>
            <w:vAlign w:val="center"/>
          </w:tcPr>
          <w:p w14:paraId="2C9439BE"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w:t>
            </w:r>
          </w:p>
          <w:p w14:paraId="4D77F701"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w:t>
            </w:r>
            <w:proofErr w:type="gramStart"/>
            <w:r w:rsidRPr="007C4D65">
              <w:rPr>
                <w:rFonts w:asciiTheme="minorHAnsi" w:eastAsiaTheme="minorHAnsi" w:hAnsiTheme="minorHAnsi" w:cstheme="minorHAnsi"/>
                <w:b/>
                <w:bCs/>
                <w:color w:val="FFFFFF" w:themeColor="background1"/>
                <w:sz w:val="18"/>
                <w:szCs w:val="18"/>
                <w:lang w:eastAsia="en-US"/>
              </w:rPr>
              <w:t>outputs</w:t>
            </w:r>
            <w:proofErr w:type="gramEnd"/>
            <w:r w:rsidRPr="007C4D65">
              <w:rPr>
                <w:rFonts w:asciiTheme="minorHAnsi" w:eastAsiaTheme="minorHAnsi" w:hAnsiTheme="minorHAnsi" w:cstheme="minorHAnsi"/>
                <w:b/>
                <w:bCs/>
                <w:color w:val="FFFFFF" w:themeColor="background1"/>
                <w:sz w:val="18"/>
                <w:szCs w:val="18"/>
                <w:lang w:eastAsia="en-US"/>
              </w:rPr>
              <w:t xml:space="preserve"> and deliverables)</w:t>
            </w:r>
          </w:p>
        </w:tc>
        <w:tc>
          <w:tcPr>
            <w:tcW w:w="1267" w:type="pct"/>
            <w:shd w:val="clear" w:color="auto" w:fill="009D73"/>
            <w:vAlign w:val="center"/>
          </w:tcPr>
          <w:p w14:paraId="0E4BB80F"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Baseline value</w:t>
            </w:r>
          </w:p>
        </w:tc>
        <w:tc>
          <w:tcPr>
            <w:tcW w:w="1267" w:type="pct"/>
            <w:shd w:val="clear" w:color="auto" w:fill="009D73"/>
            <w:vAlign w:val="center"/>
          </w:tcPr>
          <w:p w14:paraId="09E0D0FF"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value</w:t>
            </w:r>
          </w:p>
        </w:tc>
      </w:tr>
      <w:tr w:rsidR="00EE66FD" w:rsidRPr="007C4D65" w14:paraId="709F9FCA" w14:textId="77777777" w:rsidTr="00BC37DE">
        <w:trPr>
          <w:trHeight w:val="567"/>
          <w:jc w:val="center"/>
        </w:trPr>
        <w:tc>
          <w:tcPr>
            <w:tcW w:w="1322" w:type="pct"/>
            <w:vMerge/>
            <w:shd w:val="clear" w:color="auto" w:fill="009D73"/>
            <w:vAlign w:val="center"/>
          </w:tcPr>
          <w:p w14:paraId="793F5B19"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0E96BAA8" w14:textId="77777777" w:rsidR="00EE66FD" w:rsidRPr="007C4D65" w:rsidRDefault="00EE66FD">
            <w:pPr>
              <w:numPr>
                <w:ilvl w:val="0"/>
                <w:numId w:val="121"/>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the programme development</w:t>
            </w:r>
          </w:p>
        </w:tc>
        <w:tc>
          <w:tcPr>
            <w:tcW w:w="1267" w:type="pct"/>
            <w:shd w:val="clear" w:color="auto" w:fill="FFFFFF"/>
            <w:vAlign w:val="center"/>
          </w:tcPr>
          <w:p w14:paraId="47837A26" w14:textId="6783E29F"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Lack of </w:t>
            </w:r>
            <w:r w:rsidR="00551E3B" w:rsidRPr="007C4D65">
              <w:rPr>
                <w:rFonts w:asciiTheme="minorHAnsi" w:eastAsiaTheme="minorHAnsi" w:hAnsiTheme="minorHAnsi" w:cstheme="minorHAnsi"/>
                <w:sz w:val="18"/>
                <w:szCs w:val="18"/>
                <w:lang w:eastAsia="en-US"/>
              </w:rPr>
              <w:t xml:space="preserve">a </w:t>
            </w:r>
            <w:r w:rsidRPr="007C4D65">
              <w:rPr>
                <w:rFonts w:asciiTheme="minorHAnsi" w:eastAsiaTheme="minorHAnsi" w:hAnsiTheme="minorHAnsi" w:cstheme="minorHAnsi"/>
                <w:sz w:val="18"/>
                <w:szCs w:val="18"/>
                <w:lang w:eastAsia="en-US"/>
              </w:rPr>
              <w:t xml:space="preserve">programme </w:t>
            </w:r>
          </w:p>
        </w:tc>
        <w:tc>
          <w:tcPr>
            <w:tcW w:w="1267" w:type="pct"/>
            <w:shd w:val="clear" w:color="auto" w:fill="FFFFFF"/>
            <w:vAlign w:val="center"/>
          </w:tcPr>
          <w:p w14:paraId="19F1E9B6" w14:textId="1152EC3B" w:rsidR="00EE66FD" w:rsidRPr="007C4D65" w:rsidRDefault="00551E3B"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Calibri" w:hAnsiTheme="minorHAnsi" w:cstheme="minorHAnsi"/>
                <w:sz w:val="18"/>
                <w:szCs w:val="18"/>
                <w:lang w:eastAsia="en-US"/>
              </w:rPr>
              <w:t>The p</w:t>
            </w:r>
            <w:r w:rsidR="00EE66FD" w:rsidRPr="007C4D65">
              <w:rPr>
                <w:rFonts w:asciiTheme="minorHAnsi" w:eastAsia="Calibri" w:hAnsiTheme="minorHAnsi" w:cstheme="minorHAnsi"/>
                <w:sz w:val="18"/>
                <w:szCs w:val="18"/>
                <w:lang w:eastAsia="en-US"/>
              </w:rPr>
              <w:t xml:space="preserve">rogramme developed and adopted </w:t>
            </w:r>
          </w:p>
        </w:tc>
      </w:tr>
      <w:tr w:rsidR="00EE66FD" w:rsidRPr="007C4D65" w14:paraId="49E636A2" w14:textId="77777777" w:rsidTr="00BC37DE">
        <w:trPr>
          <w:trHeight w:val="567"/>
          <w:jc w:val="center"/>
        </w:trPr>
        <w:tc>
          <w:tcPr>
            <w:tcW w:w="1322" w:type="pct"/>
            <w:vMerge/>
            <w:shd w:val="clear" w:color="auto" w:fill="009D73"/>
            <w:vAlign w:val="center"/>
          </w:tcPr>
          <w:p w14:paraId="36C1FCD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4B0CE89E" w14:textId="3F769ADD" w:rsidR="00EE66FD" w:rsidRPr="007C4D65" w:rsidRDefault="001D5B7D">
            <w:pPr>
              <w:numPr>
                <w:ilvl w:val="0"/>
                <w:numId w:val="121"/>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Level of the application of the principles of sustainable use of water for irrigation and number of counselling offices</w:t>
            </w:r>
          </w:p>
        </w:tc>
        <w:tc>
          <w:tcPr>
            <w:tcW w:w="1267" w:type="pct"/>
            <w:shd w:val="clear" w:color="auto" w:fill="FFFFFF"/>
            <w:vAlign w:val="center"/>
          </w:tcPr>
          <w:p w14:paraId="4944D78E" w14:textId="37734126" w:rsidR="00EE66FD" w:rsidRPr="007C4D65" w:rsidRDefault="001D5B7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Insufficient application of the principles of sustainable use of water for irrigation and insufficient number of counselling offices for farmers</w:t>
            </w:r>
          </w:p>
        </w:tc>
        <w:tc>
          <w:tcPr>
            <w:tcW w:w="1267" w:type="pct"/>
            <w:shd w:val="clear" w:color="auto" w:fill="FFFFFF"/>
            <w:vAlign w:val="center"/>
          </w:tcPr>
          <w:p w14:paraId="710E3A79" w14:textId="1C19D34F" w:rsidR="00EE66FD" w:rsidRPr="007C4D65" w:rsidRDefault="001D5B7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Application of the principles of sustainable use of water for irrigation and adequate number of counselling offices for farmers</w:t>
            </w:r>
          </w:p>
        </w:tc>
      </w:tr>
      <w:tr w:rsidR="00EE66FD" w:rsidRPr="007C4D65" w14:paraId="07D4FAE1" w14:textId="77777777" w:rsidTr="00BC37DE">
        <w:trPr>
          <w:trHeight w:val="567"/>
          <w:jc w:val="center"/>
        </w:trPr>
        <w:tc>
          <w:tcPr>
            <w:tcW w:w="1322" w:type="pct"/>
            <w:vMerge/>
            <w:shd w:val="clear" w:color="auto" w:fill="009D73"/>
            <w:vAlign w:val="center"/>
          </w:tcPr>
          <w:p w14:paraId="1FCAB64D"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3EC06C75" w14:textId="7726A8AC" w:rsidR="00EE66FD" w:rsidRPr="007C4D65" w:rsidRDefault="00EE66FD">
            <w:pPr>
              <w:numPr>
                <w:ilvl w:val="0"/>
                <w:numId w:val="121"/>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551E3B" w:rsidRPr="007C4D65">
              <w:rPr>
                <w:rFonts w:asciiTheme="minorHAnsi" w:eastAsia="Calibri" w:hAnsiTheme="minorHAnsi" w:cstheme="minorHAnsi"/>
                <w:sz w:val="18"/>
                <w:szCs w:val="18"/>
                <w:lang w:eastAsia="en-US"/>
              </w:rPr>
              <w:t>the completion</w:t>
            </w:r>
            <w:r w:rsidRPr="007C4D65">
              <w:rPr>
                <w:rFonts w:asciiTheme="minorHAnsi" w:eastAsia="Calibri" w:hAnsiTheme="minorHAnsi" w:cstheme="minorHAnsi"/>
                <w:sz w:val="18"/>
                <w:szCs w:val="18"/>
                <w:lang w:eastAsia="en-US"/>
              </w:rPr>
              <w:t xml:space="preserve"> of </w:t>
            </w:r>
            <w:r w:rsidR="00551E3B" w:rsidRPr="007C4D65">
              <w:rPr>
                <w:rFonts w:asciiTheme="minorHAnsi" w:eastAsia="Calibri" w:hAnsiTheme="minorHAnsi" w:cstheme="minorHAnsi"/>
                <w:sz w:val="18"/>
                <w:szCs w:val="18"/>
                <w:lang w:eastAsia="en-US"/>
              </w:rPr>
              <w:t>the</w:t>
            </w:r>
            <w:r w:rsidRPr="007C4D65">
              <w:rPr>
                <w:rFonts w:asciiTheme="minorHAnsi" w:eastAsia="Calibri" w:hAnsiTheme="minorHAnsi" w:cstheme="minorHAnsi"/>
                <w:sz w:val="18"/>
                <w:szCs w:val="18"/>
                <w:lang w:eastAsia="en-US"/>
              </w:rPr>
              <w:t xml:space="preserve"> study; implementation phase of the multipurpose reservoir construction.</w:t>
            </w:r>
          </w:p>
        </w:tc>
        <w:tc>
          <w:tcPr>
            <w:tcW w:w="1267" w:type="pct"/>
            <w:shd w:val="clear" w:color="auto" w:fill="FFFFFF"/>
            <w:vAlign w:val="center"/>
          </w:tcPr>
          <w:p w14:paraId="770D9F17" w14:textId="57458E50"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Insufficient </w:t>
            </w:r>
            <w:r w:rsidR="00551E3B" w:rsidRPr="007C4D65">
              <w:rPr>
                <w:rFonts w:asciiTheme="minorHAnsi" w:eastAsiaTheme="minorHAnsi" w:hAnsiTheme="minorHAnsi" w:cstheme="minorHAnsi"/>
                <w:sz w:val="18"/>
                <w:szCs w:val="18"/>
                <w:lang w:eastAsia="en-US"/>
              </w:rPr>
              <w:t xml:space="preserve">application of the ecological principles in the construction </w:t>
            </w:r>
            <w:r w:rsidRPr="007C4D65">
              <w:rPr>
                <w:rFonts w:asciiTheme="minorHAnsi" w:eastAsiaTheme="minorHAnsi" w:hAnsiTheme="minorHAnsi" w:cstheme="minorHAnsi"/>
                <w:sz w:val="18"/>
                <w:szCs w:val="18"/>
                <w:lang w:eastAsia="en-US"/>
              </w:rPr>
              <w:t>of multipurpose reservoirs</w:t>
            </w:r>
          </w:p>
        </w:tc>
        <w:tc>
          <w:tcPr>
            <w:tcW w:w="1267" w:type="pct"/>
            <w:shd w:val="clear" w:color="auto" w:fill="FFFFFF"/>
            <w:vAlign w:val="center"/>
          </w:tcPr>
          <w:p w14:paraId="609D2658" w14:textId="22EB2E02"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Studies carried out; Multipurpose reservoir construction completed</w:t>
            </w:r>
          </w:p>
        </w:tc>
      </w:tr>
      <w:tr w:rsidR="00EE66FD" w:rsidRPr="007C4D65" w14:paraId="048813DC" w14:textId="77777777" w:rsidTr="00BC37DE">
        <w:trPr>
          <w:trHeight w:val="567"/>
          <w:jc w:val="center"/>
        </w:trPr>
        <w:tc>
          <w:tcPr>
            <w:tcW w:w="1322" w:type="pct"/>
            <w:vMerge/>
            <w:shd w:val="clear" w:color="auto" w:fill="009D73"/>
            <w:vAlign w:val="center"/>
          </w:tcPr>
          <w:p w14:paraId="10A9355A"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4670663B" w14:textId="77777777" w:rsidR="00EE66FD" w:rsidRPr="007C4D65" w:rsidRDefault="00EE66FD">
            <w:pPr>
              <w:numPr>
                <w:ilvl w:val="0"/>
                <w:numId w:val="121"/>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the study development</w:t>
            </w:r>
          </w:p>
        </w:tc>
        <w:tc>
          <w:tcPr>
            <w:tcW w:w="1267" w:type="pct"/>
            <w:shd w:val="clear" w:color="auto" w:fill="FFFFFF"/>
            <w:vAlign w:val="center"/>
          </w:tcPr>
          <w:p w14:paraId="610EC989" w14:textId="255F1ED5"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Lack of </w:t>
            </w:r>
            <w:r w:rsidR="001D5B7D" w:rsidRPr="007C4D65">
              <w:rPr>
                <w:rFonts w:asciiTheme="minorHAnsi" w:eastAsiaTheme="minorHAnsi" w:hAnsiTheme="minorHAnsi" w:cstheme="minorHAnsi"/>
                <w:sz w:val="18"/>
                <w:szCs w:val="18"/>
                <w:lang w:eastAsia="en-US"/>
              </w:rPr>
              <w:t>a</w:t>
            </w:r>
            <w:r w:rsidRPr="007C4D65">
              <w:rPr>
                <w:rFonts w:asciiTheme="minorHAnsi" w:eastAsiaTheme="minorHAnsi" w:hAnsiTheme="minorHAnsi" w:cstheme="minorHAnsi"/>
                <w:sz w:val="18"/>
                <w:szCs w:val="18"/>
                <w:lang w:eastAsia="en-US"/>
              </w:rPr>
              <w:t xml:space="preserve"> study</w:t>
            </w:r>
          </w:p>
        </w:tc>
        <w:tc>
          <w:tcPr>
            <w:tcW w:w="1267" w:type="pct"/>
            <w:shd w:val="clear" w:color="auto" w:fill="FFFFFF"/>
            <w:vAlign w:val="center"/>
          </w:tcPr>
          <w:p w14:paraId="0F568063"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Study developed and adopted</w:t>
            </w:r>
          </w:p>
        </w:tc>
      </w:tr>
      <w:tr w:rsidR="00EE66FD" w:rsidRPr="007C4D65" w14:paraId="6192E27B" w14:textId="77777777" w:rsidTr="00BC37DE">
        <w:trPr>
          <w:trHeight w:val="567"/>
          <w:jc w:val="center"/>
        </w:trPr>
        <w:tc>
          <w:tcPr>
            <w:tcW w:w="1322" w:type="pct"/>
            <w:vMerge/>
            <w:shd w:val="clear" w:color="auto" w:fill="009D73"/>
            <w:vAlign w:val="center"/>
          </w:tcPr>
          <w:p w14:paraId="736E93B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7426E265" w14:textId="4ECB80FA" w:rsidR="00EE66FD" w:rsidRPr="007C4D65" w:rsidRDefault="00EE66FD">
            <w:pPr>
              <w:numPr>
                <w:ilvl w:val="0"/>
                <w:numId w:val="121"/>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the equipment </w:t>
            </w:r>
            <w:r w:rsidR="001D5B7D" w:rsidRPr="007C4D65">
              <w:rPr>
                <w:rFonts w:asciiTheme="minorHAnsi" w:eastAsia="Calibri" w:hAnsiTheme="minorHAnsi" w:cstheme="minorHAnsi"/>
                <w:sz w:val="18"/>
                <w:szCs w:val="18"/>
                <w:lang w:eastAsia="en-US"/>
              </w:rPr>
              <w:t xml:space="preserve">procurement </w:t>
            </w:r>
            <w:r w:rsidRPr="007C4D65">
              <w:rPr>
                <w:rFonts w:asciiTheme="minorHAnsi" w:eastAsia="Calibri" w:hAnsiTheme="minorHAnsi" w:cstheme="minorHAnsi"/>
                <w:sz w:val="18"/>
                <w:szCs w:val="18"/>
                <w:lang w:eastAsia="en-US"/>
              </w:rPr>
              <w:t>and number of employees</w:t>
            </w:r>
          </w:p>
        </w:tc>
        <w:tc>
          <w:tcPr>
            <w:tcW w:w="1267" w:type="pct"/>
            <w:shd w:val="clear" w:color="auto" w:fill="FFFFFF"/>
            <w:vAlign w:val="center"/>
          </w:tcPr>
          <w:p w14:paraId="12C83EFF"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Insufficient number of employees and inadequate equipment</w:t>
            </w:r>
          </w:p>
        </w:tc>
        <w:tc>
          <w:tcPr>
            <w:tcW w:w="1267" w:type="pct"/>
            <w:shd w:val="clear" w:color="auto" w:fill="FFFFFF"/>
            <w:vAlign w:val="center"/>
          </w:tcPr>
          <w:p w14:paraId="27256B52" w14:textId="35BB7670"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Equipment procured and </w:t>
            </w:r>
            <w:r w:rsidR="001D5B7D" w:rsidRPr="007C4D65">
              <w:rPr>
                <w:rFonts w:asciiTheme="minorHAnsi" w:eastAsiaTheme="minorHAnsi" w:hAnsiTheme="minorHAnsi" w:cstheme="minorHAnsi"/>
                <w:sz w:val="18"/>
                <w:szCs w:val="18"/>
                <w:lang w:eastAsia="en-US"/>
              </w:rPr>
              <w:t>required number of</w:t>
            </w:r>
            <w:r w:rsidRPr="007C4D65">
              <w:rPr>
                <w:rFonts w:asciiTheme="minorHAnsi" w:eastAsiaTheme="minorHAnsi" w:hAnsiTheme="minorHAnsi" w:cstheme="minorHAnsi"/>
                <w:sz w:val="18"/>
                <w:szCs w:val="18"/>
                <w:lang w:eastAsia="en-US"/>
              </w:rPr>
              <w:t xml:space="preserve"> </w:t>
            </w:r>
            <w:r w:rsidR="001D5B7D" w:rsidRPr="007C4D65">
              <w:rPr>
                <w:rFonts w:asciiTheme="minorHAnsi" w:eastAsiaTheme="minorHAnsi" w:hAnsiTheme="minorHAnsi" w:cstheme="minorHAnsi"/>
                <w:sz w:val="18"/>
                <w:szCs w:val="18"/>
                <w:lang w:eastAsia="en-US"/>
              </w:rPr>
              <w:t xml:space="preserve">staff </w:t>
            </w:r>
            <w:r w:rsidRPr="007C4D65">
              <w:rPr>
                <w:rFonts w:asciiTheme="minorHAnsi" w:eastAsiaTheme="minorHAnsi" w:hAnsiTheme="minorHAnsi" w:cstheme="minorHAnsi"/>
                <w:sz w:val="18"/>
                <w:szCs w:val="18"/>
                <w:lang w:eastAsia="en-US"/>
              </w:rPr>
              <w:t>employed</w:t>
            </w:r>
          </w:p>
        </w:tc>
      </w:tr>
      <w:tr w:rsidR="00EE66FD" w:rsidRPr="007C4D65" w14:paraId="7F738130" w14:textId="77777777" w:rsidTr="00BC37DE">
        <w:trPr>
          <w:trHeight w:val="567"/>
          <w:jc w:val="center"/>
        </w:trPr>
        <w:tc>
          <w:tcPr>
            <w:tcW w:w="1322" w:type="pct"/>
            <w:vMerge/>
            <w:shd w:val="clear" w:color="auto" w:fill="009D73"/>
            <w:vAlign w:val="center"/>
          </w:tcPr>
          <w:p w14:paraId="5B0783A4"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4A520730" w14:textId="09595555" w:rsidR="00EE66FD" w:rsidRPr="007C4D65" w:rsidRDefault="00EE66FD">
            <w:pPr>
              <w:numPr>
                <w:ilvl w:val="0"/>
                <w:numId w:val="121"/>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the study </w:t>
            </w:r>
            <w:r w:rsidR="001D5B7D" w:rsidRPr="007C4D65">
              <w:rPr>
                <w:rFonts w:asciiTheme="minorHAnsi" w:eastAsia="Calibri" w:hAnsiTheme="minorHAnsi" w:cstheme="minorHAnsi"/>
                <w:sz w:val="18"/>
                <w:szCs w:val="18"/>
                <w:lang w:eastAsia="en-US"/>
              </w:rPr>
              <w:t>completion</w:t>
            </w:r>
          </w:p>
        </w:tc>
        <w:tc>
          <w:tcPr>
            <w:tcW w:w="1267" w:type="pct"/>
            <w:shd w:val="clear" w:color="auto" w:fill="FFFFFF"/>
            <w:vAlign w:val="center"/>
          </w:tcPr>
          <w:p w14:paraId="47EAA9C2" w14:textId="3DDDB33E" w:rsidR="00EE66FD" w:rsidRPr="007C4D65" w:rsidRDefault="001D5B7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w:t>
            </w:r>
            <w:r w:rsidR="00EE66FD" w:rsidRPr="007C4D65">
              <w:rPr>
                <w:rFonts w:asciiTheme="minorHAnsi" w:eastAsiaTheme="minorHAnsi" w:hAnsiTheme="minorHAnsi" w:cstheme="minorHAnsi"/>
                <w:sz w:val="18"/>
                <w:szCs w:val="18"/>
                <w:lang w:eastAsia="en-US"/>
              </w:rPr>
              <w:t>eed</w:t>
            </w:r>
            <w:r w:rsidRPr="007C4D65">
              <w:rPr>
                <w:rFonts w:asciiTheme="minorHAnsi" w:eastAsiaTheme="minorHAnsi" w:hAnsiTheme="minorHAnsi" w:cstheme="minorHAnsi"/>
                <w:sz w:val="18"/>
                <w:szCs w:val="18"/>
                <w:lang w:eastAsia="en-US"/>
              </w:rPr>
              <w:t>s</w:t>
            </w:r>
            <w:r w:rsidR="00EE66FD" w:rsidRPr="007C4D65">
              <w:rPr>
                <w:rFonts w:asciiTheme="minorHAnsi" w:eastAsiaTheme="minorHAnsi" w:hAnsiTheme="minorHAnsi" w:cstheme="minorHAnsi"/>
                <w:sz w:val="18"/>
                <w:szCs w:val="18"/>
                <w:lang w:eastAsia="en-US"/>
              </w:rPr>
              <w:t xml:space="preserve"> assessment</w:t>
            </w:r>
            <w:r w:rsidRPr="007C4D65">
              <w:rPr>
                <w:rFonts w:asciiTheme="minorHAnsi" w:eastAsiaTheme="minorHAnsi" w:hAnsiTheme="minorHAnsi" w:cstheme="minorHAnsi"/>
                <w:sz w:val="18"/>
                <w:szCs w:val="18"/>
                <w:lang w:eastAsia="en-US"/>
              </w:rPr>
              <w:t xml:space="preserve"> not available</w:t>
            </w:r>
          </w:p>
        </w:tc>
        <w:tc>
          <w:tcPr>
            <w:tcW w:w="1267" w:type="pct"/>
            <w:shd w:val="clear" w:color="auto" w:fill="FFFFFF"/>
            <w:vAlign w:val="center"/>
          </w:tcPr>
          <w:p w14:paraId="107F51D8" w14:textId="2B629F71"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Study </w:t>
            </w:r>
            <w:r w:rsidR="001D5B7D" w:rsidRPr="007C4D65">
              <w:rPr>
                <w:rFonts w:asciiTheme="minorHAnsi" w:eastAsiaTheme="minorHAnsi" w:hAnsiTheme="minorHAnsi" w:cstheme="minorHAnsi"/>
                <w:sz w:val="18"/>
                <w:szCs w:val="18"/>
                <w:lang w:eastAsia="en-US"/>
              </w:rPr>
              <w:t>completed</w:t>
            </w:r>
            <w:r w:rsidRPr="007C4D65">
              <w:rPr>
                <w:rFonts w:asciiTheme="minorHAnsi" w:eastAsiaTheme="minorHAnsi" w:hAnsiTheme="minorHAnsi" w:cstheme="minorHAnsi"/>
                <w:sz w:val="18"/>
                <w:szCs w:val="18"/>
                <w:lang w:eastAsia="en-US"/>
              </w:rPr>
              <w:t xml:space="preserve"> and adopted</w:t>
            </w:r>
          </w:p>
        </w:tc>
      </w:tr>
      <w:tr w:rsidR="00EE66FD" w:rsidRPr="007C4D65" w14:paraId="62FA0A4F" w14:textId="77777777" w:rsidTr="00BC37DE">
        <w:trPr>
          <w:trHeight w:val="567"/>
          <w:jc w:val="center"/>
        </w:trPr>
        <w:tc>
          <w:tcPr>
            <w:tcW w:w="1322" w:type="pct"/>
            <w:vMerge/>
            <w:shd w:val="clear" w:color="auto" w:fill="009D73"/>
            <w:vAlign w:val="center"/>
          </w:tcPr>
          <w:p w14:paraId="0D3017B6"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090A4B9B" w14:textId="77777777" w:rsidR="00EE66FD" w:rsidRPr="007C4D65" w:rsidRDefault="00EE66FD">
            <w:pPr>
              <w:numPr>
                <w:ilvl w:val="0"/>
                <w:numId w:val="121"/>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Level of capacity development</w:t>
            </w:r>
          </w:p>
        </w:tc>
        <w:tc>
          <w:tcPr>
            <w:tcW w:w="1267" w:type="pct"/>
            <w:shd w:val="clear" w:color="auto" w:fill="FFFFFF"/>
            <w:vAlign w:val="center"/>
          </w:tcPr>
          <w:p w14:paraId="6B032C68"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Insufficient capacities</w:t>
            </w:r>
          </w:p>
        </w:tc>
        <w:tc>
          <w:tcPr>
            <w:tcW w:w="1267" w:type="pct"/>
            <w:shd w:val="clear" w:color="auto" w:fill="FFFFFF"/>
            <w:vAlign w:val="center"/>
          </w:tcPr>
          <w:p w14:paraId="73CB8D56"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Institutional and infrastructure capacities strengthened</w:t>
            </w:r>
          </w:p>
        </w:tc>
      </w:tr>
      <w:tr w:rsidR="00EE66FD" w:rsidRPr="007C4D65" w14:paraId="456172A6" w14:textId="77777777" w:rsidTr="00BC37DE">
        <w:trPr>
          <w:trHeight w:val="567"/>
          <w:jc w:val="center"/>
        </w:trPr>
        <w:tc>
          <w:tcPr>
            <w:tcW w:w="1322" w:type="pct"/>
            <w:shd w:val="clear" w:color="auto" w:fill="009D73"/>
            <w:vAlign w:val="center"/>
          </w:tcPr>
          <w:p w14:paraId="2D6A7276"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Effect on the development and contribution of the measure to the priority</w:t>
            </w:r>
          </w:p>
        </w:tc>
        <w:tc>
          <w:tcPr>
            <w:tcW w:w="3678" w:type="pct"/>
            <w:gridSpan w:val="3"/>
            <w:shd w:val="clear" w:color="auto" w:fill="FFFFFF"/>
            <w:vAlign w:val="center"/>
          </w:tcPr>
          <w:p w14:paraId="67B5D2B6" w14:textId="24C1612A" w:rsidR="00EE66FD" w:rsidRPr="007C4D65" w:rsidRDefault="001D5B7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Mitigation of climate change impact in BiH</w:t>
            </w:r>
          </w:p>
        </w:tc>
      </w:tr>
      <w:tr w:rsidR="00EE66FD" w:rsidRPr="007C4D65" w14:paraId="1B5F0CE9" w14:textId="77777777" w:rsidTr="00BC37DE">
        <w:trPr>
          <w:trHeight w:val="567"/>
          <w:jc w:val="center"/>
        </w:trPr>
        <w:tc>
          <w:tcPr>
            <w:tcW w:w="1322" w:type="pct"/>
            <w:shd w:val="clear" w:color="auto" w:fill="009D73"/>
            <w:vAlign w:val="center"/>
          </w:tcPr>
          <w:p w14:paraId="46781EAD" w14:textId="58097377"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Indicative financial projection, with specification of sources</w:t>
            </w:r>
          </w:p>
        </w:tc>
        <w:tc>
          <w:tcPr>
            <w:tcW w:w="3678" w:type="pct"/>
            <w:gridSpan w:val="3"/>
            <w:shd w:val="clear" w:color="auto" w:fill="FFFFFF"/>
            <w:vAlign w:val="center"/>
          </w:tcPr>
          <w:p w14:paraId="5CA5D4B1" w14:textId="4521FEE6" w:rsidR="001D5B7D" w:rsidRPr="007C4D65" w:rsidRDefault="00C224E3" w:rsidP="001D5B7D">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 xml:space="preserve">Amount: </w:t>
            </w:r>
            <w:r w:rsidR="001D5B7D" w:rsidRPr="007C4D65">
              <w:rPr>
                <w:rFonts w:asciiTheme="minorHAnsi" w:hAnsiTheme="minorHAnsi" w:cstheme="minorHAnsi"/>
                <w:sz w:val="18"/>
                <w:szCs w:val="18"/>
                <w:lang w:bidi="en-US"/>
              </w:rPr>
              <w:t xml:space="preserve"> BAM 596,910,755</w:t>
            </w:r>
          </w:p>
          <w:p w14:paraId="093D9A8F" w14:textId="47F0D807" w:rsidR="00EE66FD" w:rsidRPr="007C4D65" w:rsidRDefault="00C224E3" w:rsidP="001D5B7D">
            <w:pPr>
              <w:spacing w:before="40" w:after="40" w:line="276" w:lineRule="auto"/>
              <w:rPr>
                <w:rFonts w:asciiTheme="minorHAnsi" w:eastAsiaTheme="minorHAnsi" w:hAnsiTheme="minorHAnsi" w:cstheme="minorHAnsi"/>
                <w:bCs/>
                <w:sz w:val="18"/>
                <w:szCs w:val="18"/>
                <w:lang w:eastAsia="en-US"/>
              </w:rPr>
            </w:pPr>
            <w:r w:rsidRPr="007C4D65">
              <w:rPr>
                <w:rFonts w:asciiTheme="minorHAnsi" w:hAnsiTheme="minorHAnsi" w:cstheme="minorHAnsi"/>
                <w:sz w:val="18"/>
                <w:szCs w:val="18"/>
                <w:lang w:bidi="en-US"/>
              </w:rPr>
              <w:t>Source</w:t>
            </w:r>
            <w:r w:rsidR="001D5B7D" w:rsidRPr="007C4D65">
              <w:rPr>
                <w:rFonts w:asciiTheme="minorHAnsi" w:hAnsiTheme="minorHAnsi" w:cstheme="minorHAnsi"/>
                <w:sz w:val="18"/>
                <w:szCs w:val="18"/>
                <w:lang w:bidi="en-US"/>
              </w:rPr>
              <w:t xml:space="preserve">: 10% </w:t>
            </w:r>
            <w:r w:rsidR="000E401F" w:rsidRPr="007C4D65">
              <w:rPr>
                <w:rFonts w:asciiTheme="minorHAnsi" w:eastAsia="Calibri" w:hAnsiTheme="minorHAnsi" w:cstheme="minorHAnsi"/>
                <w:sz w:val="18"/>
                <w:szCs w:val="18"/>
              </w:rPr>
              <w:t xml:space="preserve">government </w:t>
            </w:r>
            <w:proofErr w:type="gramStart"/>
            <w:r w:rsidR="000E401F" w:rsidRPr="007C4D65">
              <w:rPr>
                <w:rFonts w:asciiTheme="minorHAnsi" w:eastAsia="Calibri" w:hAnsiTheme="minorHAnsi" w:cstheme="minorHAnsi"/>
                <w:sz w:val="18"/>
                <w:szCs w:val="18"/>
              </w:rPr>
              <w:t>budget</w:t>
            </w:r>
            <w:r w:rsidRPr="007C4D65">
              <w:rPr>
                <w:rFonts w:asciiTheme="minorHAnsi" w:eastAsia="Calibri" w:hAnsiTheme="minorHAnsi" w:cstheme="minorHAnsi"/>
                <w:sz w:val="18"/>
                <w:szCs w:val="18"/>
              </w:rPr>
              <w:t xml:space="preserve"> </w:t>
            </w:r>
            <w:r w:rsidR="001D5B7D" w:rsidRPr="007C4D65">
              <w:rPr>
                <w:rFonts w:asciiTheme="minorHAnsi" w:eastAsia="Calibri" w:hAnsiTheme="minorHAnsi" w:cstheme="minorHAnsi"/>
                <w:sz w:val="18"/>
                <w:szCs w:val="18"/>
              </w:rPr>
              <w:t>,</w:t>
            </w:r>
            <w:proofErr w:type="gramEnd"/>
            <w:r w:rsidR="001D5B7D" w:rsidRPr="007C4D65">
              <w:rPr>
                <w:rFonts w:asciiTheme="minorHAnsi" w:eastAsia="Calibri" w:hAnsiTheme="minorHAnsi" w:cstheme="minorHAnsi"/>
                <w:sz w:val="18"/>
                <w:szCs w:val="18"/>
              </w:rPr>
              <w:t xml:space="preserve"> 90% </w:t>
            </w:r>
            <w:r w:rsidRPr="007C4D65">
              <w:rPr>
                <w:rFonts w:asciiTheme="minorHAnsi" w:eastAsia="Calibri" w:hAnsiTheme="minorHAnsi" w:cstheme="minorHAnsi"/>
                <w:sz w:val="18"/>
                <w:szCs w:val="18"/>
              </w:rPr>
              <w:t xml:space="preserve">combined </w:t>
            </w:r>
            <w:r w:rsidR="001D5B7D" w:rsidRPr="007C4D65">
              <w:rPr>
                <w:rFonts w:asciiTheme="minorHAnsi" w:eastAsia="Calibri" w:hAnsiTheme="minorHAnsi" w:cstheme="minorHAnsi"/>
                <w:sz w:val="18"/>
                <w:szCs w:val="18"/>
              </w:rPr>
              <w:t xml:space="preserve"> ‒ </w:t>
            </w:r>
            <w:r w:rsidRPr="007C4D65">
              <w:rPr>
                <w:rFonts w:asciiTheme="minorHAnsi" w:eastAsia="Calibri" w:hAnsiTheme="minorHAnsi" w:cstheme="minorHAnsi"/>
                <w:sz w:val="18"/>
                <w:szCs w:val="18"/>
              </w:rPr>
              <w:t>loans</w:t>
            </w:r>
            <w:r w:rsidR="001D5B7D" w:rsidRPr="007C4D65">
              <w:rPr>
                <w:rFonts w:asciiTheme="minorHAnsi" w:eastAsia="Calibri" w:hAnsiTheme="minorHAnsi" w:cstheme="minorHAnsi"/>
                <w:sz w:val="18"/>
                <w:szCs w:val="18"/>
              </w:rPr>
              <w:t xml:space="preserve">, </w:t>
            </w:r>
            <w:r w:rsidRPr="007C4D65">
              <w:rPr>
                <w:rFonts w:asciiTheme="minorHAnsi" w:eastAsia="Calibri" w:hAnsiTheme="minorHAnsi" w:cstheme="minorHAnsi"/>
                <w:sz w:val="18"/>
                <w:szCs w:val="18"/>
              </w:rPr>
              <w:t xml:space="preserve">funds from EU and other international donors, and other donations </w:t>
            </w:r>
          </w:p>
        </w:tc>
      </w:tr>
      <w:tr w:rsidR="00EE66FD" w:rsidRPr="007C4D65" w14:paraId="261D8317" w14:textId="77777777" w:rsidTr="00BC37DE">
        <w:trPr>
          <w:trHeight w:val="567"/>
          <w:jc w:val="center"/>
        </w:trPr>
        <w:tc>
          <w:tcPr>
            <w:tcW w:w="1322" w:type="pct"/>
            <w:shd w:val="clear" w:color="auto" w:fill="009D73"/>
            <w:vAlign w:val="center"/>
          </w:tcPr>
          <w:p w14:paraId="287EF986"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Period of the implementation of the measure</w:t>
            </w:r>
          </w:p>
        </w:tc>
        <w:tc>
          <w:tcPr>
            <w:tcW w:w="3678" w:type="pct"/>
            <w:gridSpan w:val="3"/>
            <w:shd w:val="clear" w:color="auto" w:fill="FFFFFF"/>
            <w:vAlign w:val="center"/>
          </w:tcPr>
          <w:p w14:paraId="2A3749F8"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 2032</w:t>
            </w:r>
          </w:p>
        </w:tc>
      </w:tr>
      <w:tr w:rsidR="00EE66FD" w:rsidRPr="007C4D65" w14:paraId="37783074" w14:textId="77777777" w:rsidTr="00BC37DE">
        <w:trPr>
          <w:trHeight w:val="567"/>
          <w:jc w:val="center"/>
        </w:trPr>
        <w:tc>
          <w:tcPr>
            <w:tcW w:w="1322" w:type="pct"/>
            <w:shd w:val="clear" w:color="auto" w:fill="009D73"/>
            <w:vAlign w:val="center"/>
          </w:tcPr>
          <w:p w14:paraId="553AD495"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Institution responsible for coordination of the implementation of the measure</w:t>
            </w:r>
          </w:p>
        </w:tc>
        <w:tc>
          <w:tcPr>
            <w:tcW w:w="3678" w:type="pct"/>
            <w:gridSpan w:val="3"/>
            <w:shd w:val="clear" w:color="auto" w:fill="FFFFFF"/>
            <w:vAlign w:val="center"/>
          </w:tcPr>
          <w:p w14:paraId="4CFA400E" w14:textId="5FE65EE8" w:rsidR="00EE66FD" w:rsidRPr="007C4D65" w:rsidRDefault="001D5B7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FMAWMF</w:t>
            </w:r>
          </w:p>
        </w:tc>
      </w:tr>
      <w:tr w:rsidR="00EE66FD" w:rsidRPr="007C4D65" w14:paraId="7BD00B89" w14:textId="77777777" w:rsidTr="00BC37DE">
        <w:trPr>
          <w:trHeight w:val="567"/>
          <w:jc w:val="center"/>
        </w:trPr>
        <w:tc>
          <w:tcPr>
            <w:tcW w:w="1322" w:type="pct"/>
            <w:shd w:val="clear" w:color="auto" w:fill="009D73"/>
            <w:vAlign w:val="center"/>
          </w:tcPr>
          <w:p w14:paraId="18E7A40A"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Implementing institutions</w:t>
            </w:r>
          </w:p>
        </w:tc>
        <w:tc>
          <w:tcPr>
            <w:tcW w:w="3678" w:type="pct"/>
            <w:gridSpan w:val="3"/>
            <w:shd w:val="clear" w:color="auto" w:fill="FFFFFF"/>
            <w:vAlign w:val="center"/>
          </w:tcPr>
          <w:p w14:paraId="098CDB91" w14:textId="0E99D849"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Civil protection, </w:t>
            </w:r>
            <w:r w:rsidR="001D5B7D" w:rsidRPr="007C4D65">
              <w:rPr>
                <w:rFonts w:asciiTheme="minorHAnsi" w:eastAsiaTheme="minorHAnsi" w:hAnsiTheme="minorHAnsi" w:cstheme="minorHAnsi"/>
                <w:sz w:val="18"/>
                <w:szCs w:val="18"/>
                <w:lang w:eastAsia="en-US"/>
              </w:rPr>
              <w:t>FMET</w:t>
            </w:r>
            <w:r w:rsidRPr="007C4D65">
              <w:rPr>
                <w:rFonts w:asciiTheme="minorHAnsi" w:eastAsiaTheme="minorHAnsi" w:hAnsiTheme="minorHAnsi" w:cstheme="minorHAnsi"/>
                <w:sz w:val="18"/>
                <w:szCs w:val="18"/>
                <w:lang w:eastAsia="en-US"/>
              </w:rPr>
              <w:t xml:space="preserve">, Environmental Protection Fund, </w:t>
            </w:r>
            <w:r w:rsidR="001D5B7D" w:rsidRPr="007C4D65">
              <w:rPr>
                <w:rFonts w:asciiTheme="minorHAnsi" w:eastAsiaTheme="minorHAnsi" w:hAnsiTheme="minorHAnsi" w:cstheme="minorHAnsi"/>
                <w:sz w:val="18"/>
                <w:szCs w:val="18"/>
                <w:lang w:eastAsia="en-US"/>
              </w:rPr>
              <w:t xml:space="preserve">water </w:t>
            </w:r>
            <w:r w:rsidRPr="007C4D65">
              <w:rPr>
                <w:rFonts w:asciiTheme="minorHAnsi" w:eastAsiaTheme="minorHAnsi" w:hAnsiTheme="minorHAnsi" w:cstheme="minorHAnsi"/>
                <w:sz w:val="18"/>
                <w:szCs w:val="18"/>
                <w:lang w:eastAsia="en-US"/>
              </w:rPr>
              <w:t>agencies, universities</w:t>
            </w:r>
          </w:p>
        </w:tc>
      </w:tr>
      <w:tr w:rsidR="00EE66FD" w:rsidRPr="007C4D65" w14:paraId="336A8C1C" w14:textId="77777777" w:rsidTr="00BC37DE">
        <w:trPr>
          <w:trHeight w:val="567"/>
          <w:jc w:val="center"/>
        </w:trPr>
        <w:tc>
          <w:tcPr>
            <w:tcW w:w="1322" w:type="pct"/>
            <w:shd w:val="clear" w:color="auto" w:fill="009D73"/>
            <w:vAlign w:val="center"/>
          </w:tcPr>
          <w:p w14:paraId="77577A02" w14:textId="4D60C3D6"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groups</w:t>
            </w:r>
          </w:p>
        </w:tc>
        <w:tc>
          <w:tcPr>
            <w:tcW w:w="3678" w:type="pct"/>
            <w:gridSpan w:val="3"/>
            <w:shd w:val="clear" w:color="auto" w:fill="FFFFFF"/>
            <w:vAlign w:val="center"/>
          </w:tcPr>
          <w:p w14:paraId="71F086A6" w14:textId="2A547F41"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Civil </w:t>
            </w:r>
            <w:r w:rsidR="001D5B7D" w:rsidRPr="007C4D65">
              <w:rPr>
                <w:rFonts w:asciiTheme="minorHAnsi" w:eastAsiaTheme="minorHAnsi" w:hAnsiTheme="minorHAnsi" w:cstheme="minorHAnsi"/>
                <w:sz w:val="18"/>
                <w:szCs w:val="18"/>
                <w:lang w:eastAsia="en-US"/>
              </w:rPr>
              <w:t>P</w:t>
            </w:r>
            <w:r w:rsidRPr="007C4D65">
              <w:rPr>
                <w:rFonts w:asciiTheme="minorHAnsi" w:eastAsiaTheme="minorHAnsi" w:hAnsiTheme="minorHAnsi" w:cstheme="minorHAnsi"/>
                <w:sz w:val="18"/>
                <w:szCs w:val="18"/>
                <w:lang w:eastAsia="en-US"/>
              </w:rPr>
              <w:t>rotection, farmers, NGOs, citizens, media</w:t>
            </w:r>
          </w:p>
        </w:tc>
      </w:tr>
    </w:tbl>
    <w:p w14:paraId="198DE71D" w14:textId="77777777" w:rsidR="00EE66FD" w:rsidRPr="007C4D65" w:rsidRDefault="00EE66FD" w:rsidP="00EE66FD">
      <w:pPr>
        <w:spacing w:line="276" w:lineRule="auto"/>
        <w:rPr>
          <w:rFonts w:asciiTheme="minorHAnsi" w:eastAsiaTheme="minorHAnsi" w:hAnsiTheme="minorHAnsi" w:cstheme="minorHAnsi"/>
          <w:sz w:val="22"/>
          <w:szCs w:val="22"/>
          <w:lang w:eastAsia="en-US"/>
        </w:rPr>
      </w:pPr>
    </w:p>
    <w:tbl>
      <w:tblPr>
        <w:tblW w:w="48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0"/>
        <w:gridCol w:w="3061"/>
        <w:gridCol w:w="3393"/>
        <w:gridCol w:w="3396"/>
      </w:tblGrid>
      <w:tr w:rsidR="00EE66FD" w:rsidRPr="007C4D65" w14:paraId="6A1A594C" w14:textId="77777777" w:rsidTr="00BC37DE">
        <w:trPr>
          <w:trHeight w:val="567"/>
          <w:jc w:val="center"/>
        </w:trPr>
        <w:tc>
          <w:tcPr>
            <w:tcW w:w="1322" w:type="pct"/>
            <w:shd w:val="clear" w:color="auto" w:fill="009D73"/>
            <w:vAlign w:val="center"/>
          </w:tcPr>
          <w:p w14:paraId="73E80E50"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Link with strategic goal</w:t>
            </w:r>
          </w:p>
        </w:tc>
        <w:tc>
          <w:tcPr>
            <w:tcW w:w="3678" w:type="pct"/>
            <w:gridSpan w:val="3"/>
            <w:shd w:val="clear" w:color="auto" w:fill="FFFFFF"/>
            <w:vAlign w:val="center"/>
          </w:tcPr>
          <w:p w14:paraId="2879F78B" w14:textId="0497C3F8" w:rsidR="00EE66FD" w:rsidRPr="007C4D65" w:rsidRDefault="00EE66FD" w:rsidP="00EE66FD">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4. </w:t>
            </w:r>
            <w:r w:rsidR="00FE2B6F" w:rsidRPr="007C4D65">
              <w:rPr>
                <w:rFonts w:asciiTheme="minorHAnsi" w:eastAsia="Calibri" w:hAnsiTheme="minorHAnsi" w:cstheme="minorHAnsi"/>
                <w:b/>
                <w:bCs/>
                <w:sz w:val="18"/>
                <w:szCs w:val="18"/>
                <w:lang w:eastAsia="en-US"/>
              </w:rPr>
              <w:t>Climate change mitigation and adaptation and improvement of air quality</w:t>
            </w:r>
          </w:p>
        </w:tc>
      </w:tr>
      <w:tr w:rsidR="00EE66FD" w:rsidRPr="007C4D65" w14:paraId="23136EE4" w14:textId="77777777" w:rsidTr="00BC37DE">
        <w:trPr>
          <w:trHeight w:val="567"/>
          <w:jc w:val="center"/>
        </w:trPr>
        <w:tc>
          <w:tcPr>
            <w:tcW w:w="1322" w:type="pct"/>
            <w:shd w:val="clear" w:color="auto" w:fill="009D73"/>
            <w:vAlign w:val="center"/>
          </w:tcPr>
          <w:p w14:paraId="0FE0B598"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Priority</w:t>
            </w:r>
          </w:p>
        </w:tc>
        <w:tc>
          <w:tcPr>
            <w:tcW w:w="3678" w:type="pct"/>
            <w:gridSpan w:val="3"/>
            <w:shd w:val="clear" w:color="auto" w:fill="FFFFFF"/>
            <w:vAlign w:val="center"/>
          </w:tcPr>
          <w:p w14:paraId="3AA33ACC" w14:textId="34F43EEE" w:rsidR="00EE66FD" w:rsidRPr="007C4D65" w:rsidRDefault="00EE66FD" w:rsidP="00EE66FD">
            <w:pPr>
              <w:spacing w:before="40" w:after="40" w:line="276" w:lineRule="auto"/>
              <w:rPr>
                <w:rFonts w:asciiTheme="minorHAnsi" w:hAnsiTheme="minorHAnsi" w:cstheme="minorHAnsi"/>
                <w:b/>
                <w:bCs/>
                <w:sz w:val="18"/>
                <w:szCs w:val="18"/>
                <w:lang w:eastAsia="en-US"/>
              </w:rPr>
            </w:pPr>
            <w:r w:rsidRPr="007C4D65">
              <w:rPr>
                <w:rFonts w:asciiTheme="minorHAnsi" w:hAnsiTheme="minorHAnsi" w:cstheme="minorHAnsi"/>
                <w:b/>
                <w:bCs/>
                <w:sz w:val="18"/>
                <w:szCs w:val="18"/>
                <w:lang w:eastAsia="en-US"/>
              </w:rPr>
              <w:t xml:space="preserve">4.5 </w:t>
            </w:r>
            <w:r w:rsidR="00CF189D" w:rsidRPr="007C4D65">
              <w:rPr>
                <w:rFonts w:asciiTheme="minorHAnsi" w:hAnsiTheme="minorHAnsi" w:cstheme="minorHAnsi"/>
                <w:b/>
                <w:bCs/>
                <w:sz w:val="18"/>
                <w:szCs w:val="18"/>
                <w:lang w:eastAsia="en-US"/>
              </w:rPr>
              <w:t xml:space="preserve">Improving </w:t>
            </w:r>
            <w:r w:rsidR="009477FB" w:rsidRPr="007C4D65">
              <w:rPr>
                <w:rFonts w:asciiTheme="minorHAnsi" w:hAnsiTheme="minorHAnsi" w:cstheme="minorHAnsi"/>
                <w:b/>
                <w:bCs/>
                <w:sz w:val="18"/>
                <w:szCs w:val="18"/>
                <w:lang w:eastAsia="en-US"/>
              </w:rPr>
              <w:t>energy efficiency of final consumption</w:t>
            </w:r>
            <w:r w:rsidR="00CF189D" w:rsidRPr="007C4D65">
              <w:rPr>
                <w:rFonts w:asciiTheme="minorHAnsi" w:hAnsiTheme="minorHAnsi" w:cstheme="minorHAnsi"/>
                <w:b/>
                <w:bCs/>
                <w:sz w:val="18"/>
                <w:szCs w:val="18"/>
                <w:lang w:eastAsia="en-US"/>
              </w:rPr>
              <w:t xml:space="preserve"> in all sectors</w:t>
            </w:r>
          </w:p>
        </w:tc>
      </w:tr>
      <w:tr w:rsidR="00EE66FD" w:rsidRPr="007C4D65" w14:paraId="5C529097" w14:textId="77777777" w:rsidTr="00BC37DE">
        <w:trPr>
          <w:trHeight w:val="567"/>
          <w:jc w:val="center"/>
        </w:trPr>
        <w:tc>
          <w:tcPr>
            <w:tcW w:w="1322" w:type="pct"/>
            <w:shd w:val="clear" w:color="auto" w:fill="009D73"/>
            <w:vAlign w:val="center"/>
          </w:tcPr>
          <w:p w14:paraId="3B91DEF2"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Title of the measure</w:t>
            </w:r>
          </w:p>
        </w:tc>
        <w:tc>
          <w:tcPr>
            <w:tcW w:w="3678" w:type="pct"/>
            <w:gridSpan w:val="3"/>
            <w:shd w:val="clear" w:color="auto" w:fill="FFFFFF"/>
            <w:vAlign w:val="center"/>
          </w:tcPr>
          <w:p w14:paraId="6622B3A4" w14:textId="0A42EAE5" w:rsidR="00EE66FD" w:rsidRPr="007C4D65" w:rsidRDefault="00EE66FD" w:rsidP="00EE66FD">
            <w:pPr>
              <w:spacing w:before="40" w:after="40" w:line="276" w:lineRule="auto"/>
              <w:rPr>
                <w:rFonts w:asciiTheme="minorHAnsi" w:eastAsia="Calibri" w:hAnsiTheme="minorHAnsi" w:cstheme="minorHAnsi"/>
                <w:b/>
                <w:sz w:val="18"/>
                <w:szCs w:val="18"/>
                <w:lang w:eastAsia="en-US"/>
              </w:rPr>
            </w:pPr>
            <w:r w:rsidRPr="007C4D65">
              <w:rPr>
                <w:rFonts w:asciiTheme="minorHAnsi" w:eastAsia="Calibri" w:hAnsiTheme="minorHAnsi" w:cstheme="minorHAnsi"/>
                <w:b/>
                <w:bCs/>
                <w:sz w:val="18"/>
                <w:szCs w:val="18"/>
                <w:lang w:eastAsia="en-US"/>
              </w:rPr>
              <w:t xml:space="preserve">4.5.1 Creating </w:t>
            </w:r>
            <w:r w:rsidR="00FE2B6F" w:rsidRPr="007C4D65">
              <w:rPr>
                <w:rFonts w:asciiTheme="minorHAnsi" w:eastAsia="Calibri" w:hAnsiTheme="minorHAnsi" w:cstheme="minorHAnsi"/>
                <w:b/>
                <w:bCs/>
                <w:sz w:val="18"/>
                <w:szCs w:val="18"/>
                <w:lang w:eastAsia="en-US"/>
              </w:rPr>
              <w:t xml:space="preserve">an </w:t>
            </w:r>
            <w:r w:rsidRPr="007C4D65">
              <w:rPr>
                <w:rFonts w:asciiTheme="minorHAnsi" w:eastAsia="Calibri" w:hAnsiTheme="minorHAnsi" w:cstheme="minorHAnsi"/>
                <w:b/>
                <w:bCs/>
                <w:sz w:val="18"/>
                <w:szCs w:val="18"/>
                <w:lang w:eastAsia="en-US"/>
              </w:rPr>
              <w:t>enabling environment for energy efficiency</w:t>
            </w:r>
          </w:p>
        </w:tc>
      </w:tr>
      <w:tr w:rsidR="00EE66FD" w:rsidRPr="007C4D65" w14:paraId="2EEC35E8" w14:textId="77777777" w:rsidTr="00BC37DE">
        <w:trPr>
          <w:trHeight w:val="567"/>
          <w:jc w:val="center"/>
        </w:trPr>
        <w:tc>
          <w:tcPr>
            <w:tcW w:w="1322" w:type="pct"/>
            <w:shd w:val="clear" w:color="auto" w:fill="009D73"/>
            <w:vAlign w:val="center"/>
          </w:tcPr>
          <w:p w14:paraId="6681CDEA"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 xml:space="preserve">Description of the measure with the general areas of intervention </w:t>
            </w:r>
          </w:p>
        </w:tc>
        <w:tc>
          <w:tcPr>
            <w:tcW w:w="3678" w:type="pct"/>
            <w:gridSpan w:val="3"/>
            <w:shd w:val="clear" w:color="auto" w:fill="FFFFFF"/>
            <w:vAlign w:val="center"/>
          </w:tcPr>
          <w:p w14:paraId="1CC57AC7" w14:textId="465605D9"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The aim of this measure is to create</w:t>
            </w:r>
            <w:r w:rsidR="00FE2B6F" w:rsidRPr="007C4D65">
              <w:rPr>
                <w:rFonts w:asciiTheme="minorHAnsi" w:eastAsia="Calibri" w:hAnsiTheme="minorHAnsi" w:cstheme="minorHAnsi"/>
                <w:sz w:val="18"/>
                <w:szCs w:val="18"/>
                <w:lang w:eastAsia="en-US"/>
              </w:rPr>
              <w:t xml:space="preserve"> an</w:t>
            </w:r>
            <w:r w:rsidRPr="007C4D65">
              <w:rPr>
                <w:rFonts w:asciiTheme="minorHAnsi" w:eastAsia="Calibri" w:hAnsiTheme="minorHAnsi" w:cstheme="minorHAnsi"/>
                <w:sz w:val="18"/>
                <w:szCs w:val="18"/>
                <w:lang w:eastAsia="en-US"/>
              </w:rPr>
              <w:t xml:space="preserve"> enabling environment for energy efficiency through improvement of legislative and strategic framework in this area.</w:t>
            </w:r>
          </w:p>
          <w:p w14:paraId="5F03E5EE" w14:textId="3FCB286B" w:rsidR="00EE66FD" w:rsidRPr="007C4D65" w:rsidRDefault="008C3DFC"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lastRenderedPageBreak/>
              <w:t>G</w:t>
            </w:r>
            <w:r w:rsidR="00EE66FD" w:rsidRPr="007C4D65">
              <w:rPr>
                <w:rFonts w:asciiTheme="minorHAnsi" w:eastAsia="Calibri" w:hAnsiTheme="minorHAnsi" w:cstheme="minorHAnsi"/>
                <w:sz w:val="18"/>
                <w:szCs w:val="18"/>
                <w:lang w:eastAsia="en-US"/>
              </w:rPr>
              <w:t>eneral areas of intervention are:</w:t>
            </w:r>
          </w:p>
          <w:p w14:paraId="3398B9CC" w14:textId="27B2CB82" w:rsidR="00EE66FD" w:rsidRPr="007C4D65" w:rsidRDefault="00EE66FD">
            <w:pPr>
              <w:numPr>
                <w:ilvl w:val="0"/>
                <w:numId w:val="122"/>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Establishing an energy counselling </w:t>
            </w:r>
            <w:proofErr w:type="gramStart"/>
            <w:r w:rsidRPr="007C4D65">
              <w:rPr>
                <w:rFonts w:asciiTheme="minorHAnsi" w:eastAsia="Calibri" w:hAnsiTheme="minorHAnsi" w:cstheme="minorHAnsi"/>
                <w:sz w:val="18"/>
                <w:szCs w:val="18"/>
                <w:lang w:eastAsia="en-US"/>
              </w:rPr>
              <w:t>office</w:t>
            </w:r>
            <w:r w:rsidR="008C3DFC" w:rsidRPr="007C4D65">
              <w:rPr>
                <w:rFonts w:asciiTheme="minorHAnsi" w:eastAsia="Calibri" w:hAnsiTheme="minorHAnsi" w:cstheme="minorHAnsi"/>
                <w:sz w:val="18"/>
                <w:szCs w:val="18"/>
                <w:lang w:eastAsia="en-US"/>
              </w:rPr>
              <w:t>;</w:t>
            </w:r>
            <w:proofErr w:type="gramEnd"/>
          </w:p>
          <w:p w14:paraId="051C94E4" w14:textId="113608D4" w:rsidR="00EE66FD" w:rsidRPr="007C4D65" w:rsidRDefault="00EE66FD">
            <w:pPr>
              <w:numPr>
                <w:ilvl w:val="0"/>
                <w:numId w:val="122"/>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Implement green procurements - amend the Public Procurement </w:t>
            </w:r>
            <w:proofErr w:type="gramStart"/>
            <w:r w:rsidRPr="007C4D65">
              <w:rPr>
                <w:rFonts w:asciiTheme="minorHAnsi" w:eastAsia="Calibri" w:hAnsiTheme="minorHAnsi" w:cstheme="minorHAnsi"/>
                <w:sz w:val="18"/>
                <w:szCs w:val="18"/>
                <w:lang w:eastAsia="en-US"/>
              </w:rPr>
              <w:t>Law</w:t>
            </w:r>
            <w:r w:rsidR="008C3DFC" w:rsidRPr="007C4D65">
              <w:rPr>
                <w:rFonts w:asciiTheme="minorHAnsi" w:eastAsia="Calibri" w:hAnsiTheme="minorHAnsi" w:cstheme="minorHAnsi"/>
                <w:sz w:val="18"/>
                <w:szCs w:val="18"/>
                <w:lang w:eastAsia="en-US"/>
              </w:rPr>
              <w:t>;</w:t>
            </w:r>
            <w:proofErr w:type="gramEnd"/>
          </w:p>
          <w:p w14:paraId="348890C6" w14:textId="60FD753F" w:rsidR="00EE66FD" w:rsidRPr="007C4D65" w:rsidRDefault="00FE2B6F">
            <w:pPr>
              <w:numPr>
                <w:ilvl w:val="0"/>
                <w:numId w:val="122"/>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Initiating</w:t>
            </w:r>
            <w:r w:rsidR="00EE66FD" w:rsidRPr="007C4D65">
              <w:rPr>
                <w:rFonts w:asciiTheme="minorHAnsi" w:eastAsia="Calibri" w:hAnsiTheme="minorHAnsi" w:cstheme="minorHAnsi"/>
                <w:sz w:val="18"/>
                <w:szCs w:val="18"/>
                <w:lang w:eastAsia="en-US"/>
              </w:rPr>
              <w:t xml:space="preserve"> obligation schemes for electricity, natural gas and heat </w:t>
            </w:r>
            <w:proofErr w:type="gramStart"/>
            <w:r w:rsidR="00EE66FD" w:rsidRPr="007C4D65">
              <w:rPr>
                <w:rFonts w:asciiTheme="minorHAnsi" w:eastAsia="Calibri" w:hAnsiTheme="minorHAnsi" w:cstheme="minorHAnsi"/>
                <w:sz w:val="18"/>
                <w:szCs w:val="18"/>
                <w:lang w:eastAsia="en-US"/>
              </w:rPr>
              <w:t>suppliers</w:t>
            </w:r>
            <w:r w:rsidR="008C3DFC" w:rsidRPr="007C4D65">
              <w:rPr>
                <w:rFonts w:asciiTheme="minorHAnsi" w:eastAsia="Calibri" w:hAnsiTheme="minorHAnsi" w:cstheme="minorHAnsi"/>
                <w:sz w:val="18"/>
                <w:szCs w:val="18"/>
                <w:lang w:eastAsia="en-US"/>
              </w:rPr>
              <w:t>;</w:t>
            </w:r>
            <w:proofErr w:type="gramEnd"/>
          </w:p>
          <w:p w14:paraId="7626BA44" w14:textId="7687CF9E" w:rsidR="00EE66FD" w:rsidRPr="007C4D65" w:rsidRDefault="00EE66FD">
            <w:pPr>
              <w:numPr>
                <w:ilvl w:val="0"/>
                <w:numId w:val="122"/>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Developing a model to increase the public lighting energy </w:t>
            </w:r>
            <w:proofErr w:type="gramStart"/>
            <w:r w:rsidRPr="007C4D65">
              <w:rPr>
                <w:rFonts w:asciiTheme="minorHAnsi" w:eastAsia="Calibri" w:hAnsiTheme="minorHAnsi" w:cstheme="minorHAnsi"/>
                <w:sz w:val="18"/>
                <w:szCs w:val="18"/>
                <w:lang w:eastAsia="en-US"/>
              </w:rPr>
              <w:t>efficiency</w:t>
            </w:r>
            <w:r w:rsidR="008C3DFC" w:rsidRPr="007C4D65">
              <w:rPr>
                <w:rFonts w:asciiTheme="minorHAnsi" w:eastAsia="Calibri" w:hAnsiTheme="minorHAnsi" w:cstheme="minorHAnsi"/>
                <w:sz w:val="18"/>
                <w:szCs w:val="18"/>
                <w:lang w:eastAsia="en-US"/>
              </w:rPr>
              <w:t>;</w:t>
            </w:r>
            <w:proofErr w:type="gramEnd"/>
          </w:p>
          <w:p w14:paraId="46C4C7B3" w14:textId="61DC8AA6" w:rsidR="00EE66FD" w:rsidRPr="007C4D65" w:rsidRDefault="00EE66FD">
            <w:pPr>
              <w:numPr>
                <w:ilvl w:val="0"/>
                <w:numId w:val="122"/>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Amending the Law on Energy </w:t>
            </w:r>
            <w:r w:rsidR="00FE2B6F" w:rsidRPr="007C4D65">
              <w:rPr>
                <w:rFonts w:asciiTheme="minorHAnsi" w:eastAsia="Calibri" w:hAnsiTheme="minorHAnsi" w:cstheme="minorHAnsi"/>
                <w:sz w:val="18"/>
                <w:szCs w:val="18"/>
                <w:lang w:eastAsia="en-US"/>
              </w:rPr>
              <w:t>E</w:t>
            </w:r>
            <w:r w:rsidRPr="007C4D65">
              <w:rPr>
                <w:rFonts w:asciiTheme="minorHAnsi" w:eastAsia="Calibri" w:hAnsiTheme="minorHAnsi" w:cstheme="minorHAnsi"/>
                <w:sz w:val="18"/>
                <w:szCs w:val="18"/>
                <w:lang w:eastAsia="en-US"/>
              </w:rPr>
              <w:t xml:space="preserve">fficiency, and adopting all </w:t>
            </w:r>
            <w:r w:rsidR="00FE2B6F" w:rsidRPr="007C4D65">
              <w:rPr>
                <w:rFonts w:asciiTheme="minorHAnsi" w:eastAsia="Calibri" w:hAnsiTheme="minorHAnsi" w:cstheme="minorHAnsi"/>
                <w:sz w:val="18"/>
                <w:szCs w:val="18"/>
                <w:lang w:eastAsia="en-US"/>
              </w:rPr>
              <w:t xml:space="preserve">relevant </w:t>
            </w:r>
            <w:r w:rsidR="00B80FAD" w:rsidRPr="007C4D65">
              <w:rPr>
                <w:rFonts w:asciiTheme="minorHAnsi" w:eastAsia="Calibri" w:hAnsiTheme="minorHAnsi" w:cstheme="minorHAnsi"/>
                <w:sz w:val="18"/>
                <w:szCs w:val="18"/>
                <w:lang w:eastAsia="en-US"/>
              </w:rPr>
              <w:t>bylaw</w:t>
            </w:r>
            <w:r w:rsidRPr="007C4D65">
              <w:rPr>
                <w:rFonts w:asciiTheme="minorHAnsi" w:eastAsia="Calibri" w:hAnsiTheme="minorHAnsi" w:cstheme="minorHAnsi"/>
                <w:sz w:val="18"/>
                <w:szCs w:val="18"/>
                <w:lang w:eastAsia="en-US"/>
              </w:rPr>
              <w:t>s (ESCO product labelling, financial policy for EE - tax loans, fiscal policy, determination of the consumption threshold for major energy consumers, etc</w:t>
            </w:r>
            <w:proofErr w:type="gramStart"/>
            <w:r w:rsidRPr="007C4D65">
              <w:rPr>
                <w:rFonts w:asciiTheme="minorHAnsi" w:eastAsia="Calibri" w:hAnsiTheme="minorHAnsi" w:cstheme="minorHAnsi"/>
                <w:sz w:val="18"/>
                <w:szCs w:val="18"/>
                <w:lang w:eastAsia="en-US"/>
              </w:rPr>
              <w:t>)</w:t>
            </w:r>
            <w:r w:rsidR="008C3DFC" w:rsidRPr="007C4D65">
              <w:rPr>
                <w:rFonts w:asciiTheme="minorHAnsi" w:eastAsia="Calibri" w:hAnsiTheme="minorHAnsi" w:cstheme="minorHAnsi"/>
                <w:sz w:val="18"/>
                <w:szCs w:val="18"/>
                <w:lang w:eastAsia="en-US"/>
              </w:rPr>
              <w:t>;</w:t>
            </w:r>
            <w:proofErr w:type="gramEnd"/>
          </w:p>
          <w:p w14:paraId="6AD3CBD5" w14:textId="2FEF5661" w:rsidR="00EE66FD" w:rsidRPr="007C4D65" w:rsidRDefault="00EE66FD">
            <w:pPr>
              <w:numPr>
                <w:ilvl w:val="0"/>
                <w:numId w:val="122"/>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Adopting and implementing </w:t>
            </w:r>
            <w:r w:rsidR="00FE2B6F" w:rsidRPr="007C4D65">
              <w:rPr>
                <w:rFonts w:asciiTheme="minorHAnsi" w:eastAsia="Calibri" w:hAnsiTheme="minorHAnsi" w:cstheme="minorHAnsi"/>
                <w:sz w:val="18"/>
                <w:szCs w:val="18"/>
                <w:lang w:eastAsia="en-US"/>
              </w:rPr>
              <w:t>a</w:t>
            </w:r>
            <w:r w:rsidRPr="007C4D65">
              <w:rPr>
                <w:rFonts w:asciiTheme="minorHAnsi" w:eastAsia="Calibri" w:hAnsiTheme="minorHAnsi" w:cstheme="minorHAnsi"/>
                <w:sz w:val="18"/>
                <w:szCs w:val="18"/>
                <w:lang w:eastAsia="en-US"/>
              </w:rPr>
              <w:t xml:space="preserve"> strategy on retrofitting of </w:t>
            </w:r>
            <w:proofErr w:type="gramStart"/>
            <w:r w:rsidRPr="007C4D65">
              <w:rPr>
                <w:rFonts w:asciiTheme="minorHAnsi" w:eastAsia="Calibri" w:hAnsiTheme="minorHAnsi" w:cstheme="minorHAnsi"/>
                <w:sz w:val="18"/>
                <w:szCs w:val="18"/>
                <w:lang w:eastAsia="en-US"/>
              </w:rPr>
              <w:t>buildings</w:t>
            </w:r>
            <w:r w:rsidR="008C3DFC" w:rsidRPr="007C4D65">
              <w:rPr>
                <w:rFonts w:asciiTheme="minorHAnsi" w:eastAsia="Calibri" w:hAnsiTheme="minorHAnsi" w:cstheme="minorHAnsi"/>
                <w:sz w:val="18"/>
                <w:szCs w:val="18"/>
                <w:lang w:eastAsia="en-US"/>
              </w:rPr>
              <w:t>;</w:t>
            </w:r>
            <w:proofErr w:type="gramEnd"/>
          </w:p>
          <w:p w14:paraId="062E07C1" w14:textId="0BD19086" w:rsidR="00FE2B6F" w:rsidRPr="007C4D65" w:rsidRDefault="00FE2B6F">
            <w:pPr>
              <w:numPr>
                <w:ilvl w:val="0"/>
                <w:numId w:val="122"/>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Further development of the energy efficiency information system</w:t>
            </w:r>
            <w:r w:rsidR="008C3DFC" w:rsidRPr="007C4D65">
              <w:rPr>
                <w:rFonts w:asciiTheme="minorHAnsi" w:eastAsia="Calibri" w:hAnsiTheme="minorHAnsi" w:cstheme="minorHAnsi"/>
                <w:sz w:val="18"/>
                <w:szCs w:val="18"/>
                <w:lang w:eastAsia="en-US"/>
              </w:rPr>
              <w:t>.</w:t>
            </w:r>
          </w:p>
        </w:tc>
      </w:tr>
      <w:tr w:rsidR="00EE66FD" w:rsidRPr="007C4D65" w14:paraId="6288572A" w14:textId="77777777" w:rsidTr="00BC37DE">
        <w:trPr>
          <w:trHeight w:val="567"/>
          <w:jc w:val="center"/>
        </w:trPr>
        <w:tc>
          <w:tcPr>
            <w:tcW w:w="1322" w:type="pct"/>
            <w:shd w:val="clear" w:color="auto" w:fill="009D73"/>
            <w:vAlign w:val="center"/>
          </w:tcPr>
          <w:p w14:paraId="36DCC100"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Strategic projects</w:t>
            </w:r>
          </w:p>
        </w:tc>
        <w:tc>
          <w:tcPr>
            <w:tcW w:w="3678" w:type="pct"/>
            <w:gridSpan w:val="3"/>
            <w:shd w:val="clear" w:color="auto" w:fill="FFFFFF" w:themeFill="background1"/>
            <w:vAlign w:val="center"/>
          </w:tcPr>
          <w:p w14:paraId="4DE4EDEC"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E66FD" w:rsidRPr="007C4D65" w14:paraId="5C1B6431" w14:textId="77777777" w:rsidTr="00BC37DE">
        <w:trPr>
          <w:trHeight w:val="567"/>
          <w:jc w:val="center"/>
        </w:trPr>
        <w:tc>
          <w:tcPr>
            <w:tcW w:w="1322" w:type="pct"/>
            <w:vMerge w:val="restart"/>
            <w:shd w:val="clear" w:color="auto" w:fill="009D73"/>
            <w:vAlign w:val="center"/>
          </w:tcPr>
          <w:p w14:paraId="2384DDB2"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 for monitoring of results</w:t>
            </w:r>
          </w:p>
        </w:tc>
        <w:tc>
          <w:tcPr>
            <w:tcW w:w="1143" w:type="pct"/>
            <w:shd w:val="clear" w:color="auto" w:fill="009D73"/>
            <w:vAlign w:val="center"/>
          </w:tcPr>
          <w:p w14:paraId="3B39BDAC"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w:t>
            </w:r>
          </w:p>
          <w:p w14:paraId="312E3851"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w:t>
            </w:r>
            <w:proofErr w:type="gramStart"/>
            <w:r w:rsidRPr="007C4D65">
              <w:rPr>
                <w:rFonts w:asciiTheme="minorHAnsi" w:eastAsiaTheme="minorHAnsi" w:hAnsiTheme="minorHAnsi" w:cstheme="minorHAnsi"/>
                <w:b/>
                <w:bCs/>
                <w:color w:val="FFFFFF" w:themeColor="background1"/>
                <w:sz w:val="18"/>
                <w:szCs w:val="18"/>
                <w:lang w:eastAsia="en-US"/>
              </w:rPr>
              <w:t>outputs</w:t>
            </w:r>
            <w:proofErr w:type="gramEnd"/>
            <w:r w:rsidRPr="007C4D65">
              <w:rPr>
                <w:rFonts w:asciiTheme="minorHAnsi" w:eastAsiaTheme="minorHAnsi" w:hAnsiTheme="minorHAnsi" w:cstheme="minorHAnsi"/>
                <w:b/>
                <w:bCs/>
                <w:color w:val="FFFFFF" w:themeColor="background1"/>
                <w:sz w:val="18"/>
                <w:szCs w:val="18"/>
                <w:lang w:eastAsia="en-US"/>
              </w:rPr>
              <w:t xml:space="preserve"> and deliverables)</w:t>
            </w:r>
          </w:p>
        </w:tc>
        <w:tc>
          <w:tcPr>
            <w:tcW w:w="1267" w:type="pct"/>
            <w:shd w:val="clear" w:color="auto" w:fill="009D73"/>
            <w:vAlign w:val="center"/>
          </w:tcPr>
          <w:p w14:paraId="5533442E"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Baseline value</w:t>
            </w:r>
          </w:p>
        </w:tc>
        <w:tc>
          <w:tcPr>
            <w:tcW w:w="1268" w:type="pct"/>
            <w:shd w:val="clear" w:color="auto" w:fill="009D73"/>
            <w:vAlign w:val="center"/>
          </w:tcPr>
          <w:p w14:paraId="2ACB80DD"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value</w:t>
            </w:r>
          </w:p>
        </w:tc>
      </w:tr>
      <w:tr w:rsidR="00EE66FD" w:rsidRPr="007C4D65" w14:paraId="5A802584" w14:textId="77777777" w:rsidTr="00BC37DE">
        <w:trPr>
          <w:trHeight w:val="567"/>
          <w:jc w:val="center"/>
        </w:trPr>
        <w:tc>
          <w:tcPr>
            <w:tcW w:w="1322" w:type="pct"/>
            <w:vMerge/>
            <w:shd w:val="clear" w:color="auto" w:fill="009D73"/>
            <w:vAlign w:val="center"/>
          </w:tcPr>
          <w:p w14:paraId="21DF97B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3" w:type="pct"/>
            <w:shd w:val="clear" w:color="auto" w:fill="FFFFFF"/>
            <w:vAlign w:val="center"/>
          </w:tcPr>
          <w:p w14:paraId="19CB7716" w14:textId="77777777" w:rsidR="00EE66FD" w:rsidRPr="007C4D65" w:rsidRDefault="00EE66FD">
            <w:pPr>
              <w:numPr>
                <w:ilvl w:val="0"/>
                <w:numId w:val="123"/>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Level of the implementation of the campaign and number of established counselling offices</w:t>
            </w:r>
          </w:p>
        </w:tc>
        <w:tc>
          <w:tcPr>
            <w:tcW w:w="1267" w:type="pct"/>
            <w:shd w:val="clear" w:color="auto" w:fill="FFFFFF"/>
            <w:vAlign w:val="center"/>
          </w:tcPr>
          <w:p w14:paraId="2DA43E4A" w14:textId="4E01FA5E" w:rsidR="00EE66FD" w:rsidRPr="007C4D65" w:rsidRDefault="00FE2B6F"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Poor </w:t>
            </w:r>
            <w:r w:rsidR="00EE66FD" w:rsidRPr="007C4D65">
              <w:rPr>
                <w:rFonts w:asciiTheme="minorHAnsi" w:eastAsiaTheme="minorHAnsi" w:hAnsiTheme="minorHAnsi" w:cstheme="minorHAnsi"/>
                <w:sz w:val="18"/>
                <w:szCs w:val="18"/>
                <w:lang w:eastAsia="en-US"/>
              </w:rPr>
              <w:t>awareness on energy efficiency, very small number of counselling offices</w:t>
            </w:r>
          </w:p>
        </w:tc>
        <w:tc>
          <w:tcPr>
            <w:tcW w:w="1268" w:type="pct"/>
            <w:shd w:val="clear" w:color="auto" w:fill="FFFFFF"/>
            <w:vAlign w:val="center"/>
          </w:tcPr>
          <w:p w14:paraId="10F678AC"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Counselling offices established in all municipalities/cities</w:t>
            </w:r>
          </w:p>
        </w:tc>
      </w:tr>
      <w:tr w:rsidR="00EE66FD" w:rsidRPr="007C4D65" w14:paraId="304CB071" w14:textId="77777777" w:rsidTr="00BC37DE">
        <w:trPr>
          <w:trHeight w:val="567"/>
          <w:jc w:val="center"/>
        </w:trPr>
        <w:tc>
          <w:tcPr>
            <w:tcW w:w="1322" w:type="pct"/>
            <w:vMerge/>
            <w:shd w:val="clear" w:color="auto" w:fill="009D73"/>
            <w:vAlign w:val="center"/>
          </w:tcPr>
          <w:p w14:paraId="012C1A4A"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3" w:type="pct"/>
            <w:shd w:val="clear" w:color="auto" w:fill="FFFFFF"/>
            <w:vAlign w:val="center"/>
          </w:tcPr>
          <w:p w14:paraId="13F93A7D" w14:textId="4B679160" w:rsidR="00EE66FD" w:rsidRPr="007C4D65" w:rsidRDefault="00EE66FD">
            <w:pPr>
              <w:numPr>
                <w:ilvl w:val="0"/>
                <w:numId w:val="123"/>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adopting amendments </w:t>
            </w:r>
            <w:r w:rsidR="00FE2B6F" w:rsidRPr="007C4D65">
              <w:rPr>
                <w:rFonts w:asciiTheme="minorHAnsi" w:eastAsia="Calibri" w:hAnsiTheme="minorHAnsi" w:cstheme="minorHAnsi"/>
                <w:sz w:val="18"/>
                <w:szCs w:val="18"/>
                <w:lang w:eastAsia="en-US"/>
              </w:rPr>
              <w:t>to the</w:t>
            </w:r>
            <w:r w:rsidRPr="007C4D65">
              <w:rPr>
                <w:rFonts w:asciiTheme="minorHAnsi" w:eastAsia="Calibri" w:hAnsiTheme="minorHAnsi" w:cstheme="minorHAnsi"/>
                <w:sz w:val="18"/>
                <w:szCs w:val="18"/>
                <w:lang w:eastAsia="en-US"/>
              </w:rPr>
              <w:t xml:space="preserve"> </w:t>
            </w:r>
            <w:r w:rsidR="00FE2B6F" w:rsidRPr="007C4D65">
              <w:rPr>
                <w:rFonts w:asciiTheme="minorHAnsi" w:eastAsia="Calibri" w:hAnsiTheme="minorHAnsi" w:cstheme="minorHAnsi"/>
                <w:sz w:val="18"/>
                <w:szCs w:val="18"/>
                <w:lang w:eastAsia="en-US"/>
              </w:rPr>
              <w:t>L</w:t>
            </w:r>
            <w:r w:rsidRPr="007C4D65">
              <w:rPr>
                <w:rFonts w:asciiTheme="minorHAnsi" w:eastAsia="Calibri" w:hAnsiTheme="minorHAnsi" w:cstheme="minorHAnsi"/>
                <w:sz w:val="18"/>
                <w:szCs w:val="18"/>
                <w:lang w:eastAsia="en-US"/>
              </w:rPr>
              <w:t xml:space="preserve">aw on </w:t>
            </w:r>
            <w:r w:rsidR="00FE2B6F" w:rsidRPr="007C4D65">
              <w:rPr>
                <w:rFonts w:asciiTheme="minorHAnsi" w:eastAsia="Calibri" w:hAnsiTheme="minorHAnsi" w:cstheme="minorHAnsi"/>
                <w:sz w:val="18"/>
                <w:szCs w:val="18"/>
                <w:lang w:eastAsia="en-US"/>
              </w:rPr>
              <w:t>Public Procurement</w:t>
            </w:r>
          </w:p>
        </w:tc>
        <w:tc>
          <w:tcPr>
            <w:tcW w:w="1267" w:type="pct"/>
            <w:shd w:val="clear" w:color="auto" w:fill="FFFFFF"/>
            <w:vAlign w:val="center"/>
          </w:tcPr>
          <w:p w14:paraId="5B458A54" w14:textId="746AB214" w:rsidR="00EE66FD" w:rsidRPr="007C4D65" w:rsidRDefault="00FE2B6F"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applicable L</w:t>
            </w:r>
            <w:r w:rsidR="00EE66FD" w:rsidRPr="007C4D65">
              <w:rPr>
                <w:rFonts w:asciiTheme="minorHAnsi" w:eastAsiaTheme="minorHAnsi" w:hAnsiTheme="minorHAnsi" w:cstheme="minorHAnsi"/>
                <w:sz w:val="18"/>
                <w:szCs w:val="18"/>
                <w:lang w:eastAsia="en-US"/>
              </w:rPr>
              <w:t xml:space="preserve">aw on </w:t>
            </w:r>
            <w:r w:rsidRPr="007C4D65">
              <w:rPr>
                <w:rFonts w:asciiTheme="minorHAnsi" w:eastAsiaTheme="minorHAnsi" w:hAnsiTheme="minorHAnsi" w:cstheme="minorHAnsi"/>
                <w:sz w:val="18"/>
                <w:szCs w:val="18"/>
                <w:lang w:eastAsia="en-US"/>
              </w:rPr>
              <w:t xml:space="preserve">Public Procurement </w:t>
            </w:r>
            <w:r w:rsidR="00EE66FD" w:rsidRPr="007C4D65">
              <w:rPr>
                <w:rFonts w:asciiTheme="minorHAnsi" w:eastAsiaTheme="minorHAnsi" w:hAnsiTheme="minorHAnsi" w:cstheme="minorHAnsi"/>
                <w:sz w:val="18"/>
                <w:szCs w:val="18"/>
                <w:lang w:eastAsia="en-US"/>
              </w:rPr>
              <w:t xml:space="preserve">does not </w:t>
            </w:r>
            <w:r w:rsidRPr="007C4D65">
              <w:rPr>
                <w:rFonts w:asciiTheme="minorHAnsi" w:eastAsiaTheme="minorHAnsi" w:hAnsiTheme="minorHAnsi" w:cstheme="minorHAnsi"/>
                <w:sz w:val="18"/>
                <w:szCs w:val="18"/>
                <w:lang w:eastAsia="en-US"/>
              </w:rPr>
              <w:t>envisage</w:t>
            </w:r>
            <w:r w:rsidR="00EE66FD" w:rsidRPr="007C4D65">
              <w:rPr>
                <w:rFonts w:asciiTheme="minorHAnsi" w:eastAsiaTheme="minorHAnsi" w:hAnsiTheme="minorHAnsi" w:cstheme="minorHAnsi"/>
                <w:sz w:val="18"/>
                <w:szCs w:val="18"/>
                <w:lang w:eastAsia="en-US"/>
              </w:rPr>
              <w:t xml:space="preserve"> green procurement</w:t>
            </w:r>
            <w:r w:rsidRPr="007C4D65">
              <w:rPr>
                <w:rFonts w:asciiTheme="minorHAnsi" w:eastAsiaTheme="minorHAnsi" w:hAnsiTheme="minorHAnsi" w:cstheme="minorHAnsi"/>
                <w:sz w:val="18"/>
                <w:szCs w:val="18"/>
                <w:lang w:eastAsia="en-US"/>
              </w:rPr>
              <w:t>s</w:t>
            </w:r>
          </w:p>
        </w:tc>
        <w:tc>
          <w:tcPr>
            <w:tcW w:w="1268" w:type="pct"/>
            <w:shd w:val="clear" w:color="auto" w:fill="FFFFFF"/>
            <w:vAlign w:val="center"/>
          </w:tcPr>
          <w:p w14:paraId="15D89159" w14:textId="7059C2A2" w:rsidR="00EE66FD" w:rsidRPr="007C4D65" w:rsidRDefault="00FE2B6F"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 xml:space="preserve">Law on </w:t>
            </w:r>
            <w:r w:rsidRPr="007C4D65">
              <w:rPr>
                <w:rFonts w:asciiTheme="minorHAnsi" w:eastAsiaTheme="minorHAnsi" w:hAnsiTheme="minorHAnsi" w:cstheme="minorHAnsi"/>
                <w:sz w:val="18"/>
                <w:szCs w:val="18"/>
                <w:lang w:eastAsia="en-US"/>
              </w:rPr>
              <w:t xml:space="preserve">Public Procurement </w:t>
            </w:r>
            <w:r w:rsidR="00EE66FD" w:rsidRPr="007C4D65">
              <w:rPr>
                <w:rFonts w:asciiTheme="minorHAnsi" w:eastAsiaTheme="minorHAnsi" w:hAnsiTheme="minorHAnsi" w:cstheme="minorHAnsi"/>
                <w:sz w:val="18"/>
                <w:szCs w:val="18"/>
                <w:lang w:eastAsia="en-US"/>
              </w:rPr>
              <w:t>amended</w:t>
            </w:r>
          </w:p>
        </w:tc>
      </w:tr>
      <w:tr w:rsidR="00EE66FD" w:rsidRPr="007C4D65" w14:paraId="305EFFBF" w14:textId="77777777" w:rsidTr="00BC37DE">
        <w:trPr>
          <w:trHeight w:val="567"/>
          <w:jc w:val="center"/>
        </w:trPr>
        <w:tc>
          <w:tcPr>
            <w:tcW w:w="1322" w:type="pct"/>
            <w:vMerge/>
            <w:shd w:val="clear" w:color="auto" w:fill="009D73"/>
            <w:vAlign w:val="center"/>
          </w:tcPr>
          <w:p w14:paraId="09199FD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3" w:type="pct"/>
            <w:shd w:val="clear" w:color="auto" w:fill="FFFFFF"/>
            <w:vAlign w:val="center"/>
          </w:tcPr>
          <w:p w14:paraId="3716BFB2" w14:textId="7B168B9E" w:rsidR="00EE66FD" w:rsidRPr="007C4D65" w:rsidRDefault="00EE66FD">
            <w:pPr>
              <w:numPr>
                <w:ilvl w:val="0"/>
                <w:numId w:val="123"/>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FE2B6F"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adoption of the regulation</w:t>
            </w:r>
          </w:p>
        </w:tc>
        <w:tc>
          <w:tcPr>
            <w:tcW w:w="1267" w:type="pct"/>
            <w:shd w:val="clear" w:color="auto" w:fill="FFFFFF"/>
            <w:vAlign w:val="center"/>
          </w:tcPr>
          <w:p w14:paraId="7EC4E468"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 is no regulation on obligation schemes</w:t>
            </w:r>
          </w:p>
        </w:tc>
        <w:tc>
          <w:tcPr>
            <w:tcW w:w="1268" w:type="pct"/>
            <w:shd w:val="clear" w:color="auto" w:fill="FFFFFF"/>
            <w:vAlign w:val="center"/>
          </w:tcPr>
          <w:p w14:paraId="627B5454" w14:textId="31584F47" w:rsidR="00EE66FD" w:rsidRPr="007C4D65" w:rsidRDefault="00FE2B6F"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r</w:t>
            </w:r>
            <w:r w:rsidR="00EE66FD" w:rsidRPr="007C4D65">
              <w:rPr>
                <w:rFonts w:asciiTheme="minorHAnsi" w:eastAsiaTheme="minorHAnsi" w:hAnsiTheme="minorHAnsi" w:cstheme="minorHAnsi"/>
                <w:sz w:val="18"/>
                <w:szCs w:val="18"/>
                <w:lang w:eastAsia="en-US"/>
              </w:rPr>
              <w:t xml:space="preserve">egulation on obligation schemes adopted in </w:t>
            </w: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F</w:t>
            </w:r>
            <w:r w:rsidRPr="007C4D65">
              <w:rPr>
                <w:rFonts w:asciiTheme="minorHAnsi" w:eastAsiaTheme="minorHAnsi" w:hAnsiTheme="minorHAnsi" w:cstheme="minorHAnsi"/>
                <w:sz w:val="18"/>
                <w:szCs w:val="18"/>
                <w:lang w:eastAsia="en-US"/>
              </w:rPr>
              <w:t xml:space="preserve">ederation of </w:t>
            </w:r>
            <w:r w:rsidR="00EE66FD" w:rsidRPr="007C4D65">
              <w:rPr>
                <w:rFonts w:asciiTheme="minorHAnsi" w:eastAsiaTheme="minorHAnsi" w:hAnsiTheme="minorHAnsi" w:cstheme="minorHAnsi"/>
                <w:sz w:val="18"/>
                <w:szCs w:val="18"/>
                <w:lang w:eastAsia="en-US"/>
              </w:rPr>
              <w:t>BiH</w:t>
            </w:r>
          </w:p>
        </w:tc>
      </w:tr>
      <w:tr w:rsidR="00EE66FD" w:rsidRPr="007C4D65" w14:paraId="0E48BB08" w14:textId="77777777" w:rsidTr="00BC37DE">
        <w:trPr>
          <w:trHeight w:val="567"/>
          <w:jc w:val="center"/>
        </w:trPr>
        <w:tc>
          <w:tcPr>
            <w:tcW w:w="1322" w:type="pct"/>
            <w:vMerge/>
            <w:shd w:val="clear" w:color="auto" w:fill="009D73"/>
            <w:vAlign w:val="center"/>
          </w:tcPr>
          <w:p w14:paraId="4786051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3" w:type="pct"/>
            <w:shd w:val="clear" w:color="auto" w:fill="FFFFFF"/>
            <w:vAlign w:val="center"/>
          </w:tcPr>
          <w:p w14:paraId="7B7D76B3" w14:textId="4AC57B77" w:rsidR="00EE66FD" w:rsidRPr="007C4D65" w:rsidRDefault="00EE66FD">
            <w:pPr>
              <w:numPr>
                <w:ilvl w:val="0"/>
                <w:numId w:val="123"/>
              </w:numPr>
              <w:spacing w:before="40" w:after="40" w:line="276" w:lineRule="auto"/>
              <w:ind w:left="190" w:hanging="19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Status of </w:t>
            </w:r>
            <w:r w:rsidR="00FE2B6F"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development and adoption of the model</w:t>
            </w:r>
          </w:p>
        </w:tc>
        <w:tc>
          <w:tcPr>
            <w:tcW w:w="1267" w:type="pct"/>
            <w:shd w:val="clear" w:color="auto" w:fill="FFFFFF"/>
            <w:vAlign w:val="center"/>
          </w:tcPr>
          <w:p w14:paraId="173FB833"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 is no systemic model for EE public lighting</w:t>
            </w:r>
          </w:p>
        </w:tc>
        <w:tc>
          <w:tcPr>
            <w:tcW w:w="1268" w:type="pct"/>
            <w:shd w:val="clear" w:color="auto" w:fill="FFFFFF"/>
            <w:vAlign w:val="center"/>
          </w:tcPr>
          <w:p w14:paraId="028A4A15" w14:textId="5D07727A" w:rsidR="00EE66FD" w:rsidRPr="007C4D65" w:rsidRDefault="00FE2B6F"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m</w:t>
            </w:r>
            <w:r w:rsidR="00EE66FD" w:rsidRPr="007C4D65">
              <w:rPr>
                <w:rFonts w:asciiTheme="minorHAnsi" w:eastAsiaTheme="minorHAnsi" w:hAnsiTheme="minorHAnsi" w:cstheme="minorHAnsi"/>
                <w:sz w:val="18"/>
                <w:szCs w:val="18"/>
                <w:lang w:eastAsia="en-US"/>
              </w:rPr>
              <w:t>odel developed and adopted; revolving fund established</w:t>
            </w:r>
          </w:p>
        </w:tc>
      </w:tr>
      <w:tr w:rsidR="00EE66FD" w:rsidRPr="007C4D65" w14:paraId="3396AC29" w14:textId="77777777" w:rsidTr="00BC37DE">
        <w:trPr>
          <w:trHeight w:val="567"/>
          <w:jc w:val="center"/>
        </w:trPr>
        <w:tc>
          <w:tcPr>
            <w:tcW w:w="1322" w:type="pct"/>
            <w:vMerge/>
            <w:shd w:val="clear" w:color="auto" w:fill="009D73"/>
            <w:vAlign w:val="center"/>
          </w:tcPr>
          <w:p w14:paraId="173BEC9D"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3" w:type="pct"/>
            <w:shd w:val="clear" w:color="auto" w:fill="FFFFFF"/>
            <w:vAlign w:val="center"/>
          </w:tcPr>
          <w:p w14:paraId="70F1112F" w14:textId="262D5172" w:rsidR="00EE66FD" w:rsidRPr="007C4D65" w:rsidRDefault="00EE66FD">
            <w:pPr>
              <w:numPr>
                <w:ilvl w:val="0"/>
                <w:numId w:val="123"/>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FE2B6F" w:rsidRPr="007C4D65">
              <w:rPr>
                <w:rFonts w:asciiTheme="minorHAnsi" w:eastAsia="Calibri" w:hAnsiTheme="minorHAnsi" w:cstheme="minorHAnsi"/>
                <w:sz w:val="18"/>
                <w:szCs w:val="18"/>
                <w:lang w:eastAsia="en-US"/>
              </w:rPr>
              <w:t>the enactment</w:t>
            </w:r>
            <w:r w:rsidRPr="007C4D65">
              <w:rPr>
                <w:rFonts w:asciiTheme="minorHAnsi" w:eastAsia="Calibri" w:hAnsiTheme="minorHAnsi" w:cstheme="minorHAnsi"/>
                <w:sz w:val="18"/>
                <w:szCs w:val="18"/>
                <w:lang w:eastAsia="en-US"/>
              </w:rPr>
              <w:t xml:space="preserve"> of the improved law and number of adopted rulebooks</w:t>
            </w:r>
          </w:p>
        </w:tc>
        <w:tc>
          <w:tcPr>
            <w:tcW w:w="1267" w:type="pct"/>
            <w:shd w:val="clear" w:color="auto" w:fill="FFFFFF"/>
            <w:vAlign w:val="center"/>
          </w:tcPr>
          <w:p w14:paraId="6B2D2338" w14:textId="1E3BE787" w:rsidR="00EE66FD" w:rsidRPr="007C4D65" w:rsidRDefault="00FE2B6F"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applicable</w:t>
            </w:r>
            <w:r w:rsidR="00EE66FD" w:rsidRPr="007C4D65">
              <w:rPr>
                <w:rFonts w:asciiTheme="minorHAnsi" w:eastAsiaTheme="minorHAnsi" w:hAnsiTheme="minorHAnsi" w:cstheme="minorHAnsi"/>
                <w:sz w:val="18"/>
                <w:szCs w:val="18"/>
                <w:lang w:eastAsia="en-US"/>
              </w:rPr>
              <w:t xml:space="preserve"> Law on EE </w:t>
            </w:r>
            <w:r w:rsidRPr="007C4D65">
              <w:rPr>
                <w:rFonts w:asciiTheme="minorHAnsi" w:eastAsiaTheme="minorHAnsi" w:hAnsiTheme="minorHAnsi" w:cstheme="minorHAnsi"/>
                <w:sz w:val="18"/>
                <w:szCs w:val="18"/>
                <w:lang w:eastAsia="en-US"/>
              </w:rPr>
              <w:t>failed to define</w:t>
            </w:r>
            <w:r w:rsidR="00EE66FD" w:rsidRPr="007C4D65">
              <w:rPr>
                <w:rFonts w:asciiTheme="minorHAnsi" w:eastAsiaTheme="minorHAnsi" w:hAnsiTheme="minorHAnsi" w:cstheme="minorHAnsi"/>
                <w:sz w:val="18"/>
                <w:szCs w:val="18"/>
                <w:lang w:eastAsia="en-US"/>
              </w:rPr>
              <w:t xml:space="preserve"> some aspects of EE and some rulebooks are still missing</w:t>
            </w:r>
          </w:p>
        </w:tc>
        <w:tc>
          <w:tcPr>
            <w:tcW w:w="1268" w:type="pct"/>
            <w:shd w:val="clear" w:color="auto" w:fill="FFFFFF"/>
            <w:vAlign w:val="center"/>
          </w:tcPr>
          <w:p w14:paraId="3DAD11F5" w14:textId="11215092" w:rsidR="00EE66FD" w:rsidRPr="007C4D65" w:rsidRDefault="00FE2B6F"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A</w:t>
            </w:r>
            <w:r w:rsidR="00EE66FD" w:rsidRPr="007C4D65">
              <w:rPr>
                <w:rFonts w:asciiTheme="minorHAnsi" w:eastAsia="Calibri" w:hAnsiTheme="minorHAnsi" w:cstheme="minorHAnsi"/>
                <w:sz w:val="18"/>
                <w:szCs w:val="18"/>
                <w:lang w:eastAsia="en-US"/>
              </w:rPr>
              <w:t xml:space="preserve">mendments </w:t>
            </w:r>
            <w:r w:rsidRPr="007C4D65">
              <w:rPr>
                <w:rFonts w:asciiTheme="minorHAnsi" w:eastAsia="Calibri" w:hAnsiTheme="minorHAnsi" w:cstheme="minorHAnsi"/>
                <w:sz w:val="18"/>
                <w:szCs w:val="18"/>
                <w:lang w:eastAsia="en-US"/>
              </w:rPr>
              <w:t>to</w:t>
            </w:r>
            <w:r w:rsidR="00EE66FD" w:rsidRPr="007C4D65">
              <w:rPr>
                <w:rFonts w:asciiTheme="minorHAnsi" w:eastAsia="Calibri" w:hAnsiTheme="minorHAnsi" w:cstheme="minorHAnsi"/>
                <w:sz w:val="18"/>
                <w:szCs w:val="18"/>
                <w:lang w:eastAsia="en-US"/>
              </w:rPr>
              <w:t xml:space="preserve"> the law adopted; </w:t>
            </w:r>
            <w:r w:rsidRPr="007C4D65">
              <w:rPr>
                <w:rFonts w:asciiTheme="minorHAnsi" w:eastAsia="Calibri" w:hAnsiTheme="minorHAnsi" w:cstheme="minorHAnsi"/>
                <w:sz w:val="18"/>
                <w:szCs w:val="18"/>
                <w:lang w:eastAsia="en-US"/>
              </w:rPr>
              <w:t>relevant</w:t>
            </w:r>
            <w:r w:rsidR="00EE66FD" w:rsidRPr="007C4D65">
              <w:rPr>
                <w:rFonts w:asciiTheme="minorHAnsi" w:eastAsia="Calibri" w:hAnsiTheme="minorHAnsi" w:cstheme="minorHAnsi"/>
                <w:sz w:val="18"/>
                <w:szCs w:val="18"/>
                <w:lang w:eastAsia="en-US"/>
              </w:rPr>
              <w:t xml:space="preserve"> rulebooks adopted</w:t>
            </w:r>
          </w:p>
        </w:tc>
      </w:tr>
      <w:tr w:rsidR="00EE66FD" w:rsidRPr="007C4D65" w14:paraId="75DEA80D" w14:textId="77777777" w:rsidTr="00BC37DE">
        <w:trPr>
          <w:trHeight w:val="567"/>
          <w:jc w:val="center"/>
        </w:trPr>
        <w:tc>
          <w:tcPr>
            <w:tcW w:w="1322" w:type="pct"/>
            <w:vMerge/>
            <w:shd w:val="clear" w:color="auto" w:fill="009D73"/>
            <w:vAlign w:val="center"/>
          </w:tcPr>
          <w:p w14:paraId="365777AA"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3" w:type="pct"/>
            <w:shd w:val="clear" w:color="auto" w:fill="FFFFFF"/>
            <w:vAlign w:val="center"/>
          </w:tcPr>
          <w:p w14:paraId="54967545" w14:textId="58B76196" w:rsidR="00EE66FD" w:rsidRPr="007C4D65" w:rsidRDefault="00EE66FD">
            <w:pPr>
              <w:numPr>
                <w:ilvl w:val="0"/>
                <w:numId w:val="123"/>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FE2B6F"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adoption and percentage of strategy implementation</w:t>
            </w:r>
          </w:p>
        </w:tc>
        <w:tc>
          <w:tcPr>
            <w:tcW w:w="1267" w:type="pct"/>
            <w:shd w:val="clear" w:color="auto" w:fill="FFFFFF"/>
            <w:vAlign w:val="center"/>
          </w:tcPr>
          <w:p w14:paraId="2B1DC0F8"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Strategy developed, not adopted</w:t>
            </w:r>
          </w:p>
        </w:tc>
        <w:tc>
          <w:tcPr>
            <w:tcW w:w="1268" w:type="pct"/>
            <w:shd w:val="clear" w:color="auto" w:fill="FFFFFF"/>
            <w:vAlign w:val="center"/>
          </w:tcPr>
          <w:p w14:paraId="2F80A8F6" w14:textId="7D1796C0"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Strategy o</w:t>
            </w:r>
            <w:r w:rsidR="00FE2B6F" w:rsidRPr="007C4D65">
              <w:rPr>
                <w:rFonts w:asciiTheme="minorHAnsi" w:eastAsia="Calibri" w:hAnsiTheme="minorHAnsi" w:cstheme="minorHAnsi"/>
                <w:sz w:val="18"/>
                <w:szCs w:val="18"/>
                <w:lang w:eastAsia="en-US"/>
              </w:rPr>
              <w:t>n</w:t>
            </w:r>
            <w:r w:rsidRPr="007C4D65">
              <w:rPr>
                <w:rFonts w:asciiTheme="minorHAnsi" w:eastAsia="Calibri" w:hAnsiTheme="minorHAnsi" w:cstheme="minorHAnsi"/>
                <w:sz w:val="18"/>
                <w:szCs w:val="18"/>
                <w:lang w:eastAsia="en-US"/>
              </w:rPr>
              <w:t xml:space="preserve"> </w:t>
            </w:r>
            <w:proofErr w:type="gramStart"/>
            <w:r w:rsidR="00FE2B6F" w:rsidRPr="007C4D65">
              <w:rPr>
                <w:rFonts w:asciiTheme="minorHAnsi" w:eastAsia="Calibri" w:hAnsiTheme="minorHAnsi" w:cstheme="minorHAnsi"/>
                <w:sz w:val="18"/>
                <w:szCs w:val="18"/>
                <w:lang w:eastAsia="en-US"/>
              </w:rPr>
              <w:t>retrofitting  of</w:t>
            </w:r>
            <w:proofErr w:type="gramEnd"/>
            <w:r w:rsidR="00FE2B6F" w:rsidRPr="007C4D65">
              <w:rPr>
                <w:rFonts w:asciiTheme="minorHAnsi" w:eastAsia="Calibri" w:hAnsiTheme="minorHAnsi" w:cstheme="minorHAnsi"/>
                <w:sz w:val="18"/>
                <w:szCs w:val="18"/>
                <w:lang w:eastAsia="en-US"/>
              </w:rPr>
              <w:t xml:space="preserve"> </w:t>
            </w:r>
            <w:r w:rsidRPr="007C4D65">
              <w:rPr>
                <w:rFonts w:asciiTheme="minorHAnsi" w:eastAsia="Calibri" w:hAnsiTheme="minorHAnsi" w:cstheme="minorHAnsi"/>
                <w:sz w:val="18"/>
                <w:szCs w:val="18"/>
                <w:lang w:eastAsia="en-US"/>
              </w:rPr>
              <w:t>building</w:t>
            </w:r>
            <w:r w:rsidR="00FE2B6F" w:rsidRPr="007C4D65">
              <w:rPr>
                <w:rFonts w:asciiTheme="minorHAnsi" w:eastAsia="Calibri" w:hAnsiTheme="minorHAnsi" w:cstheme="minorHAnsi"/>
                <w:sz w:val="18"/>
                <w:szCs w:val="18"/>
                <w:lang w:eastAsia="en-US"/>
              </w:rPr>
              <w:t>s</w:t>
            </w:r>
            <w:r w:rsidRPr="007C4D65">
              <w:rPr>
                <w:rFonts w:asciiTheme="minorHAnsi" w:eastAsia="Calibri" w:hAnsiTheme="minorHAnsi" w:cstheme="minorHAnsi"/>
                <w:sz w:val="18"/>
                <w:szCs w:val="18"/>
                <w:lang w:eastAsia="en-US"/>
              </w:rPr>
              <w:t xml:space="preserve"> adopted and implemented</w:t>
            </w:r>
          </w:p>
        </w:tc>
      </w:tr>
      <w:tr w:rsidR="00FE2B6F" w:rsidRPr="007C4D65" w14:paraId="75933899" w14:textId="77777777" w:rsidTr="00BC37DE">
        <w:trPr>
          <w:trHeight w:val="567"/>
          <w:jc w:val="center"/>
        </w:trPr>
        <w:tc>
          <w:tcPr>
            <w:tcW w:w="1322" w:type="pct"/>
            <w:shd w:val="clear" w:color="auto" w:fill="009D73"/>
            <w:vAlign w:val="center"/>
          </w:tcPr>
          <w:p w14:paraId="10791101" w14:textId="77777777" w:rsidR="00FE2B6F" w:rsidRPr="007C4D65" w:rsidRDefault="00FE2B6F"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3" w:type="pct"/>
            <w:shd w:val="clear" w:color="auto" w:fill="FFFFFF"/>
            <w:vAlign w:val="center"/>
          </w:tcPr>
          <w:p w14:paraId="0F8DFC0D" w14:textId="0C2314A3" w:rsidR="00FE2B6F" w:rsidRPr="007C4D65" w:rsidRDefault="00FE2B6F">
            <w:pPr>
              <w:numPr>
                <w:ilvl w:val="0"/>
                <w:numId w:val="123"/>
              </w:numPr>
              <w:spacing w:before="40" w:after="40" w:line="276" w:lineRule="auto"/>
              <w:ind w:left="190" w:hanging="19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percentage of public buildings registered in the information system </w:t>
            </w:r>
          </w:p>
        </w:tc>
        <w:tc>
          <w:tcPr>
            <w:tcW w:w="1267" w:type="pct"/>
            <w:shd w:val="clear" w:color="auto" w:fill="FFFFFF"/>
            <w:vAlign w:val="center"/>
          </w:tcPr>
          <w:p w14:paraId="550B4A66" w14:textId="430C3F69" w:rsidR="00FE2B6F" w:rsidRPr="007C4D65" w:rsidRDefault="00FE2B6F"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energy efficiency information system set up</w:t>
            </w:r>
          </w:p>
        </w:tc>
        <w:tc>
          <w:tcPr>
            <w:tcW w:w="1268" w:type="pct"/>
            <w:shd w:val="clear" w:color="auto" w:fill="FFFFFF"/>
            <w:vAlign w:val="center"/>
          </w:tcPr>
          <w:p w14:paraId="2D32166E" w14:textId="1C9D3A53" w:rsidR="00FE2B6F" w:rsidRPr="007C4D65" w:rsidRDefault="00FE2B6F"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The information system effective</w:t>
            </w:r>
          </w:p>
        </w:tc>
      </w:tr>
      <w:tr w:rsidR="00EE66FD" w:rsidRPr="007C4D65" w14:paraId="427D70ED" w14:textId="77777777" w:rsidTr="00BC37DE">
        <w:trPr>
          <w:trHeight w:val="567"/>
          <w:jc w:val="center"/>
        </w:trPr>
        <w:tc>
          <w:tcPr>
            <w:tcW w:w="1322" w:type="pct"/>
            <w:shd w:val="clear" w:color="auto" w:fill="009D73"/>
            <w:vAlign w:val="center"/>
          </w:tcPr>
          <w:p w14:paraId="79E1EDE2"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Effect on the development and contribution of the measure to the priority</w:t>
            </w:r>
          </w:p>
        </w:tc>
        <w:tc>
          <w:tcPr>
            <w:tcW w:w="3678" w:type="pct"/>
            <w:gridSpan w:val="3"/>
            <w:shd w:val="clear" w:color="auto" w:fill="FFFFFF"/>
            <w:vAlign w:val="center"/>
          </w:tcPr>
          <w:p w14:paraId="6B6FFE58" w14:textId="2185FF59" w:rsidR="00EE66FD" w:rsidRPr="007C4D65" w:rsidRDefault="00FE2B6F"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Improved competitiveness of industry and improved living and working conditions, including reduced electricity costs</w:t>
            </w:r>
          </w:p>
        </w:tc>
      </w:tr>
      <w:tr w:rsidR="00EE66FD" w:rsidRPr="007C4D65" w14:paraId="249F6629" w14:textId="77777777" w:rsidTr="00BC37DE">
        <w:trPr>
          <w:trHeight w:val="567"/>
          <w:jc w:val="center"/>
        </w:trPr>
        <w:tc>
          <w:tcPr>
            <w:tcW w:w="1322" w:type="pct"/>
            <w:shd w:val="clear" w:color="auto" w:fill="009D73"/>
            <w:vAlign w:val="center"/>
          </w:tcPr>
          <w:p w14:paraId="616210C8" w14:textId="6861EF24"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Indicative financial projection, with specification of sources</w:t>
            </w:r>
          </w:p>
        </w:tc>
        <w:tc>
          <w:tcPr>
            <w:tcW w:w="3678" w:type="pct"/>
            <w:gridSpan w:val="3"/>
            <w:shd w:val="clear" w:color="auto" w:fill="FFFFFF"/>
            <w:vAlign w:val="center"/>
          </w:tcPr>
          <w:p w14:paraId="7A79E9B5" w14:textId="6634F095" w:rsidR="00270A84" w:rsidRPr="007C4D65" w:rsidRDefault="00C224E3" w:rsidP="00270A84">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 xml:space="preserve">Amount: </w:t>
            </w:r>
            <w:r w:rsidR="00270A84" w:rsidRPr="007C4D65">
              <w:rPr>
                <w:rFonts w:asciiTheme="minorHAnsi" w:hAnsiTheme="minorHAnsi" w:cstheme="minorHAnsi"/>
                <w:sz w:val="18"/>
                <w:szCs w:val="18"/>
                <w:lang w:bidi="en-US"/>
              </w:rPr>
              <w:t xml:space="preserve"> BAM 1,956,024,103</w:t>
            </w:r>
          </w:p>
          <w:p w14:paraId="0A2ABCF3" w14:textId="01A20A86" w:rsidR="00EE66FD" w:rsidRPr="007C4D65" w:rsidRDefault="009E6B20" w:rsidP="00270A84">
            <w:pPr>
              <w:spacing w:before="40" w:after="40" w:line="276" w:lineRule="auto"/>
              <w:rPr>
                <w:rFonts w:asciiTheme="minorHAnsi" w:eastAsiaTheme="minorHAnsi" w:hAnsiTheme="minorHAnsi" w:cstheme="minorHAnsi"/>
                <w:bCs/>
                <w:sz w:val="18"/>
                <w:szCs w:val="18"/>
                <w:lang w:eastAsia="en-US"/>
              </w:rPr>
            </w:pPr>
            <w:r w:rsidRPr="007C4D65">
              <w:rPr>
                <w:rFonts w:asciiTheme="minorHAnsi" w:hAnsiTheme="minorHAnsi" w:cstheme="minorHAnsi"/>
                <w:sz w:val="18"/>
                <w:szCs w:val="18"/>
                <w:lang w:bidi="en-US"/>
              </w:rPr>
              <w:t xml:space="preserve">Source: </w:t>
            </w:r>
            <w:r w:rsidR="00270A84" w:rsidRPr="007C4D65">
              <w:rPr>
                <w:rFonts w:asciiTheme="minorHAnsi" w:hAnsiTheme="minorHAnsi" w:cstheme="minorHAnsi"/>
                <w:sz w:val="18"/>
                <w:szCs w:val="18"/>
                <w:lang w:bidi="en-US"/>
              </w:rPr>
              <w:t xml:space="preserve"> 10% </w:t>
            </w:r>
            <w:r w:rsidR="000E401F" w:rsidRPr="007C4D65">
              <w:rPr>
                <w:rFonts w:asciiTheme="minorHAnsi" w:hAnsiTheme="minorHAnsi" w:cstheme="minorHAnsi"/>
                <w:sz w:val="18"/>
                <w:szCs w:val="18"/>
                <w:lang w:bidi="en-US"/>
              </w:rPr>
              <w:t xml:space="preserve">government </w:t>
            </w:r>
            <w:proofErr w:type="gramStart"/>
            <w:r w:rsidR="000E401F" w:rsidRPr="007C4D65">
              <w:rPr>
                <w:rFonts w:asciiTheme="minorHAnsi" w:hAnsiTheme="minorHAnsi" w:cstheme="minorHAnsi"/>
                <w:sz w:val="18"/>
                <w:szCs w:val="18"/>
                <w:lang w:bidi="en-US"/>
              </w:rPr>
              <w:t>budget</w:t>
            </w:r>
            <w:r w:rsidR="00C224E3" w:rsidRPr="007C4D65">
              <w:rPr>
                <w:rFonts w:asciiTheme="minorHAnsi" w:hAnsiTheme="minorHAnsi" w:cstheme="minorHAnsi"/>
                <w:sz w:val="18"/>
                <w:szCs w:val="18"/>
                <w:lang w:bidi="en-US"/>
              </w:rPr>
              <w:t xml:space="preserve"> </w:t>
            </w:r>
            <w:r w:rsidR="00270A84" w:rsidRPr="007C4D65">
              <w:rPr>
                <w:rFonts w:asciiTheme="minorHAnsi" w:hAnsiTheme="minorHAnsi" w:cstheme="minorHAnsi"/>
                <w:sz w:val="18"/>
                <w:szCs w:val="18"/>
                <w:lang w:bidi="en-US"/>
              </w:rPr>
              <w:t>,</w:t>
            </w:r>
            <w:proofErr w:type="gramEnd"/>
            <w:r w:rsidR="00270A84" w:rsidRPr="007C4D65">
              <w:rPr>
                <w:rFonts w:asciiTheme="minorHAnsi" w:hAnsiTheme="minorHAnsi" w:cstheme="minorHAnsi"/>
                <w:sz w:val="18"/>
                <w:szCs w:val="18"/>
                <w:lang w:bidi="en-US"/>
              </w:rPr>
              <w:t xml:space="preserve"> 90% </w:t>
            </w:r>
            <w:r w:rsidR="00C224E3" w:rsidRPr="007C4D65">
              <w:rPr>
                <w:rFonts w:asciiTheme="minorHAnsi" w:hAnsiTheme="minorHAnsi" w:cstheme="minorHAnsi"/>
                <w:sz w:val="18"/>
                <w:szCs w:val="18"/>
                <w:lang w:bidi="en-US"/>
              </w:rPr>
              <w:t>combined</w:t>
            </w:r>
            <w:r w:rsidR="00270A84" w:rsidRPr="007C4D65">
              <w:rPr>
                <w:rFonts w:asciiTheme="minorHAnsi" w:hAnsiTheme="minorHAnsi" w:cstheme="minorHAnsi"/>
                <w:sz w:val="18"/>
                <w:szCs w:val="18"/>
                <w:lang w:bidi="en-US"/>
              </w:rPr>
              <w:t xml:space="preserve"> ‒ </w:t>
            </w:r>
            <w:r w:rsidR="00C224E3" w:rsidRPr="007C4D65">
              <w:rPr>
                <w:rFonts w:asciiTheme="minorHAnsi" w:hAnsiTheme="minorHAnsi" w:cstheme="minorHAnsi"/>
                <w:sz w:val="18"/>
                <w:szCs w:val="18"/>
                <w:lang w:bidi="en-US"/>
              </w:rPr>
              <w:t>loans</w:t>
            </w:r>
            <w:r w:rsidR="00270A84" w:rsidRPr="007C4D65">
              <w:rPr>
                <w:rFonts w:asciiTheme="minorHAnsi" w:hAnsiTheme="minorHAnsi" w:cstheme="minorHAnsi"/>
                <w:sz w:val="18"/>
                <w:szCs w:val="18"/>
                <w:lang w:bidi="en-US"/>
              </w:rPr>
              <w:t xml:space="preserve">, </w:t>
            </w:r>
            <w:r w:rsidR="00C224E3" w:rsidRPr="007C4D65">
              <w:rPr>
                <w:rFonts w:asciiTheme="minorHAnsi" w:hAnsiTheme="minorHAnsi" w:cstheme="minorHAnsi"/>
                <w:sz w:val="18"/>
                <w:szCs w:val="18"/>
                <w:lang w:bidi="en-US"/>
              </w:rPr>
              <w:t xml:space="preserve">funds from EU and other international donors, and other donations </w:t>
            </w:r>
          </w:p>
        </w:tc>
      </w:tr>
      <w:tr w:rsidR="00EE66FD" w:rsidRPr="007C4D65" w14:paraId="2FAD0AA3" w14:textId="77777777" w:rsidTr="00BC37DE">
        <w:trPr>
          <w:trHeight w:val="567"/>
          <w:jc w:val="center"/>
        </w:trPr>
        <w:tc>
          <w:tcPr>
            <w:tcW w:w="1322" w:type="pct"/>
            <w:shd w:val="clear" w:color="auto" w:fill="009D73"/>
            <w:vAlign w:val="center"/>
          </w:tcPr>
          <w:p w14:paraId="121EE8FF"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Period of the implementation of the measure</w:t>
            </w:r>
          </w:p>
        </w:tc>
        <w:tc>
          <w:tcPr>
            <w:tcW w:w="3678" w:type="pct"/>
            <w:gridSpan w:val="3"/>
            <w:shd w:val="clear" w:color="auto" w:fill="FFFFFF"/>
            <w:vAlign w:val="center"/>
          </w:tcPr>
          <w:p w14:paraId="46DD37A8"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 2032</w:t>
            </w:r>
          </w:p>
        </w:tc>
      </w:tr>
      <w:tr w:rsidR="00EE66FD" w:rsidRPr="007C4D65" w14:paraId="6EB224AD" w14:textId="77777777" w:rsidTr="00BC37DE">
        <w:trPr>
          <w:trHeight w:val="567"/>
          <w:jc w:val="center"/>
        </w:trPr>
        <w:tc>
          <w:tcPr>
            <w:tcW w:w="1322" w:type="pct"/>
            <w:shd w:val="clear" w:color="auto" w:fill="009D73"/>
            <w:vAlign w:val="center"/>
          </w:tcPr>
          <w:p w14:paraId="1C7DEA8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Institution responsible for coordination of the implementation of the measure</w:t>
            </w:r>
          </w:p>
        </w:tc>
        <w:tc>
          <w:tcPr>
            <w:tcW w:w="3678" w:type="pct"/>
            <w:gridSpan w:val="3"/>
            <w:shd w:val="clear" w:color="auto" w:fill="FFFFFF"/>
            <w:vAlign w:val="center"/>
          </w:tcPr>
          <w:p w14:paraId="259C0D2C"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FMEMI</w:t>
            </w:r>
          </w:p>
        </w:tc>
      </w:tr>
      <w:tr w:rsidR="00EE66FD" w:rsidRPr="007C4D65" w14:paraId="52943918" w14:textId="77777777" w:rsidTr="00BC37DE">
        <w:trPr>
          <w:trHeight w:val="567"/>
          <w:jc w:val="center"/>
        </w:trPr>
        <w:tc>
          <w:tcPr>
            <w:tcW w:w="1322" w:type="pct"/>
            <w:shd w:val="clear" w:color="auto" w:fill="009D73"/>
            <w:vAlign w:val="center"/>
          </w:tcPr>
          <w:p w14:paraId="4335FCE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Implementing institutions</w:t>
            </w:r>
          </w:p>
        </w:tc>
        <w:tc>
          <w:tcPr>
            <w:tcW w:w="3678" w:type="pct"/>
            <w:gridSpan w:val="3"/>
            <w:shd w:val="clear" w:color="auto" w:fill="FFFFFF"/>
            <w:vAlign w:val="center"/>
          </w:tcPr>
          <w:p w14:paraId="09350883" w14:textId="0DBE6C42"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Environmental Protection Fund, </w:t>
            </w:r>
            <w:r w:rsidR="00270A84" w:rsidRPr="007C4D65">
              <w:rPr>
                <w:rFonts w:asciiTheme="minorHAnsi" w:eastAsiaTheme="minorHAnsi" w:hAnsiTheme="minorHAnsi" w:cstheme="minorHAnsi"/>
                <w:sz w:val="18"/>
                <w:szCs w:val="18"/>
                <w:lang w:eastAsia="en-US"/>
              </w:rPr>
              <w:t>competent</w:t>
            </w:r>
            <w:r w:rsidRPr="007C4D65">
              <w:rPr>
                <w:rFonts w:asciiTheme="minorHAnsi" w:eastAsiaTheme="minorHAnsi" w:hAnsiTheme="minorHAnsi" w:cstheme="minorHAnsi"/>
                <w:sz w:val="18"/>
                <w:szCs w:val="18"/>
                <w:lang w:eastAsia="en-US"/>
              </w:rPr>
              <w:t xml:space="preserve"> cantonal ministries, Government</w:t>
            </w:r>
            <w:r w:rsidR="00270A84" w:rsidRPr="007C4D65">
              <w:rPr>
                <w:rFonts w:asciiTheme="minorHAnsi" w:eastAsiaTheme="minorHAnsi" w:hAnsiTheme="minorHAnsi" w:cstheme="minorHAnsi"/>
                <w:sz w:val="18"/>
                <w:szCs w:val="18"/>
                <w:lang w:eastAsia="en-US"/>
              </w:rPr>
              <w:t xml:space="preserve"> of the Federation of BiH</w:t>
            </w:r>
            <w:r w:rsidRPr="007C4D65">
              <w:rPr>
                <w:rFonts w:asciiTheme="minorHAnsi" w:eastAsiaTheme="minorHAnsi" w:hAnsiTheme="minorHAnsi" w:cstheme="minorHAnsi"/>
                <w:sz w:val="18"/>
                <w:szCs w:val="18"/>
                <w:lang w:eastAsia="en-US"/>
              </w:rPr>
              <w:t>, BiH Public Procurement Agency</w:t>
            </w:r>
          </w:p>
        </w:tc>
      </w:tr>
      <w:tr w:rsidR="00EE66FD" w:rsidRPr="007C4D65" w14:paraId="34FE1A30" w14:textId="77777777" w:rsidTr="00BC37DE">
        <w:trPr>
          <w:trHeight w:val="567"/>
          <w:jc w:val="center"/>
        </w:trPr>
        <w:tc>
          <w:tcPr>
            <w:tcW w:w="1322" w:type="pct"/>
            <w:shd w:val="clear" w:color="auto" w:fill="009D73"/>
            <w:vAlign w:val="center"/>
          </w:tcPr>
          <w:p w14:paraId="1B5F2DB4" w14:textId="54B3AF60"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groups</w:t>
            </w:r>
          </w:p>
        </w:tc>
        <w:tc>
          <w:tcPr>
            <w:tcW w:w="3678" w:type="pct"/>
            <w:gridSpan w:val="3"/>
            <w:shd w:val="clear" w:color="auto" w:fill="FFFFFF"/>
            <w:vAlign w:val="center"/>
          </w:tcPr>
          <w:p w14:paraId="2D692005"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Citizens, local communities, energy supply companies, ESCO, industrial enterprises, retail chains, importers of household appliances</w:t>
            </w:r>
          </w:p>
        </w:tc>
      </w:tr>
    </w:tbl>
    <w:p w14:paraId="133F6A06" w14:textId="77777777" w:rsidR="00EE66FD" w:rsidRPr="007C4D65" w:rsidRDefault="00EE66FD" w:rsidP="00EE66FD">
      <w:pPr>
        <w:spacing w:line="276" w:lineRule="auto"/>
        <w:rPr>
          <w:rFonts w:asciiTheme="minorHAnsi" w:eastAsiaTheme="minorHAnsi" w:hAnsiTheme="minorHAnsi" w:cstheme="minorHAnsi"/>
          <w:sz w:val="22"/>
          <w:szCs w:val="22"/>
          <w:lang w:eastAsia="en-US"/>
        </w:rPr>
      </w:pPr>
    </w:p>
    <w:tbl>
      <w:tblPr>
        <w:tblW w:w="48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39"/>
        <w:gridCol w:w="3070"/>
        <w:gridCol w:w="3395"/>
        <w:gridCol w:w="3392"/>
      </w:tblGrid>
      <w:tr w:rsidR="00EE66FD" w:rsidRPr="007C4D65" w14:paraId="1632A1E2" w14:textId="77777777" w:rsidTr="00BC37DE">
        <w:trPr>
          <w:trHeight w:val="567"/>
          <w:jc w:val="center"/>
        </w:trPr>
        <w:tc>
          <w:tcPr>
            <w:tcW w:w="132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2D31FB5"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Link with strategic goal</w:t>
            </w:r>
          </w:p>
        </w:tc>
        <w:tc>
          <w:tcPr>
            <w:tcW w:w="3679"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87406B7" w14:textId="0424CE1F" w:rsidR="00EE66FD" w:rsidRPr="007C4D65" w:rsidRDefault="00EE66FD" w:rsidP="00EE66FD">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4. </w:t>
            </w:r>
            <w:r w:rsidR="00FE2B6F" w:rsidRPr="007C4D65">
              <w:rPr>
                <w:rFonts w:asciiTheme="minorHAnsi" w:eastAsia="Calibri" w:hAnsiTheme="minorHAnsi" w:cstheme="minorHAnsi"/>
                <w:b/>
                <w:bCs/>
                <w:sz w:val="18"/>
                <w:szCs w:val="18"/>
                <w:lang w:eastAsia="en-US"/>
              </w:rPr>
              <w:t>Climate change mitigation and adaptation and improvement of air quality</w:t>
            </w:r>
          </w:p>
        </w:tc>
      </w:tr>
      <w:tr w:rsidR="00EE66FD" w:rsidRPr="007C4D65" w14:paraId="7B4F08EA" w14:textId="77777777" w:rsidTr="00BC37DE">
        <w:trPr>
          <w:trHeight w:val="567"/>
          <w:jc w:val="center"/>
        </w:trPr>
        <w:tc>
          <w:tcPr>
            <w:tcW w:w="132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F7907D6"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Priority</w:t>
            </w:r>
          </w:p>
        </w:tc>
        <w:tc>
          <w:tcPr>
            <w:tcW w:w="3679"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12E6113" w14:textId="52DE8B8E" w:rsidR="00EE66FD" w:rsidRPr="007C4D65" w:rsidRDefault="00EE66FD" w:rsidP="00EE66FD">
            <w:pPr>
              <w:spacing w:before="40" w:after="40" w:line="276" w:lineRule="auto"/>
              <w:rPr>
                <w:rFonts w:asciiTheme="minorHAnsi" w:hAnsiTheme="minorHAnsi" w:cstheme="minorHAnsi"/>
                <w:b/>
                <w:bCs/>
                <w:sz w:val="18"/>
                <w:szCs w:val="18"/>
                <w:lang w:eastAsia="en-US"/>
              </w:rPr>
            </w:pPr>
            <w:r w:rsidRPr="007C4D65">
              <w:rPr>
                <w:rFonts w:asciiTheme="minorHAnsi" w:hAnsiTheme="minorHAnsi" w:cstheme="minorHAnsi"/>
                <w:b/>
                <w:bCs/>
                <w:sz w:val="18"/>
                <w:szCs w:val="18"/>
                <w:lang w:eastAsia="en-US"/>
              </w:rPr>
              <w:t xml:space="preserve">4.5 </w:t>
            </w:r>
            <w:r w:rsidR="00915506" w:rsidRPr="007C4D65">
              <w:rPr>
                <w:rFonts w:asciiTheme="minorHAnsi" w:hAnsiTheme="minorHAnsi" w:cstheme="minorHAnsi"/>
                <w:b/>
                <w:bCs/>
                <w:sz w:val="18"/>
                <w:szCs w:val="18"/>
                <w:lang w:eastAsia="en-US"/>
              </w:rPr>
              <w:t>Improving</w:t>
            </w:r>
            <w:r w:rsidRPr="007C4D65">
              <w:rPr>
                <w:rFonts w:asciiTheme="minorHAnsi" w:hAnsiTheme="minorHAnsi" w:cstheme="minorHAnsi"/>
                <w:b/>
                <w:bCs/>
                <w:sz w:val="18"/>
                <w:szCs w:val="18"/>
                <w:lang w:eastAsia="en-US"/>
              </w:rPr>
              <w:t xml:space="preserve"> </w:t>
            </w:r>
            <w:r w:rsidR="009477FB" w:rsidRPr="007C4D65">
              <w:rPr>
                <w:rFonts w:asciiTheme="minorHAnsi" w:hAnsiTheme="minorHAnsi" w:cstheme="minorHAnsi"/>
                <w:b/>
                <w:bCs/>
                <w:sz w:val="18"/>
                <w:szCs w:val="18"/>
                <w:lang w:eastAsia="en-US"/>
              </w:rPr>
              <w:t>energy efficiency of final consumption</w:t>
            </w:r>
            <w:r w:rsidRPr="007C4D65">
              <w:rPr>
                <w:rFonts w:asciiTheme="minorHAnsi" w:hAnsiTheme="minorHAnsi" w:cstheme="minorHAnsi"/>
                <w:b/>
                <w:bCs/>
                <w:sz w:val="18"/>
                <w:szCs w:val="18"/>
                <w:lang w:eastAsia="en-US"/>
              </w:rPr>
              <w:t xml:space="preserve"> in all sectors</w:t>
            </w:r>
          </w:p>
        </w:tc>
      </w:tr>
      <w:tr w:rsidR="00EE66FD" w:rsidRPr="007C4D65" w14:paraId="3FCD5E2F" w14:textId="77777777" w:rsidTr="00BC37DE">
        <w:trPr>
          <w:trHeight w:val="567"/>
          <w:jc w:val="center"/>
        </w:trPr>
        <w:tc>
          <w:tcPr>
            <w:tcW w:w="132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215F23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Title of the measure</w:t>
            </w:r>
          </w:p>
        </w:tc>
        <w:tc>
          <w:tcPr>
            <w:tcW w:w="3679"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EFB0A77" w14:textId="407A5FBE" w:rsidR="00EE66FD" w:rsidRPr="007C4D65" w:rsidRDefault="00EE66FD" w:rsidP="00EE66FD">
            <w:pPr>
              <w:spacing w:before="40" w:after="40" w:line="276" w:lineRule="auto"/>
              <w:rPr>
                <w:rFonts w:asciiTheme="minorHAnsi" w:eastAsia="Calibri" w:hAnsiTheme="minorHAnsi" w:cstheme="minorHAnsi"/>
                <w:b/>
                <w:sz w:val="18"/>
                <w:szCs w:val="18"/>
                <w:lang w:eastAsia="en-US"/>
              </w:rPr>
            </w:pPr>
            <w:r w:rsidRPr="007C4D65">
              <w:rPr>
                <w:rFonts w:asciiTheme="minorHAnsi" w:eastAsia="Calibri" w:hAnsiTheme="minorHAnsi" w:cstheme="minorHAnsi"/>
                <w:b/>
                <w:bCs/>
                <w:sz w:val="18"/>
                <w:szCs w:val="18"/>
                <w:lang w:eastAsia="en-US"/>
              </w:rPr>
              <w:t xml:space="preserve">4.5.2 </w:t>
            </w:r>
            <w:r w:rsidR="0015005B" w:rsidRPr="007C4D65">
              <w:rPr>
                <w:rFonts w:asciiTheme="minorHAnsi" w:eastAsia="Calibri" w:hAnsiTheme="minorHAnsi" w:cstheme="minorHAnsi"/>
                <w:b/>
                <w:bCs/>
                <w:sz w:val="18"/>
                <w:szCs w:val="18"/>
                <w:lang w:eastAsia="en-US"/>
              </w:rPr>
              <w:t>Reducing the</w:t>
            </w:r>
            <w:r w:rsidRPr="007C4D65">
              <w:rPr>
                <w:rFonts w:asciiTheme="minorHAnsi" w:eastAsia="Calibri" w:hAnsiTheme="minorHAnsi" w:cstheme="minorHAnsi"/>
                <w:b/>
                <w:bCs/>
                <w:sz w:val="18"/>
                <w:szCs w:val="18"/>
                <w:lang w:eastAsia="en-US"/>
              </w:rPr>
              <w:t xml:space="preserve"> final energy consumption</w:t>
            </w:r>
          </w:p>
        </w:tc>
      </w:tr>
      <w:tr w:rsidR="00EE66FD" w:rsidRPr="007C4D65" w14:paraId="12326602" w14:textId="77777777" w:rsidTr="00BC37DE">
        <w:trPr>
          <w:trHeight w:val="567"/>
          <w:jc w:val="center"/>
        </w:trPr>
        <w:tc>
          <w:tcPr>
            <w:tcW w:w="132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4A2FA94"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 xml:space="preserve">Description of the measure with the general areas of intervention </w:t>
            </w:r>
          </w:p>
        </w:tc>
        <w:tc>
          <w:tcPr>
            <w:tcW w:w="3679"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B73E0E0" w14:textId="31B7C42F" w:rsidR="00EE66FD"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The aim of this measure is to reduce</w:t>
            </w:r>
            <w:r w:rsidR="0015005B" w:rsidRPr="007C4D65">
              <w:rPr>
                <w:rFonts w:asciiTheme="minorHAnsi" w:eastAsia="Calibri" w:hAnsiTheme="minorHAnsi" w:cstheme="minorHAnsi"/>
                <w:sz w:val="18"/>
                <w:szCs w:val="18"/>
                <w:lang w:eastAsia="en-US"/>
              </w:rPr>
              <w:t xml:space="preserve"> the</w:t>
            </w:r>
            <w:r w:rsidRPr="007C4D65">
              <w:rPr>
                <w:rFonts w:asciiTheme="minorHAnsi" w:eastAsia="Calibri" w:hAnsiTheme="minorHAnsi" w:cstheme="minorHAnsi"/>
                <w:sz w:val="18"/>
                <w:szCs w:val="18"/>
                <w:lang w:eastAsia="en-US"/>
              </w:rPr>
              <w:t xml:space="preserve"> final energy consumption through increase in energy efficiency in residential and non-residential buildings and industry.</w:t>
            </w:r>
          </w:p>
          <w:p w14:paraId="6786B46F" w14:textId="4348BBC8" w:rsidR="00EE66FD" w:rsidRPr="007C4D65" w:rsidRDefault="008C3DFC"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EE66FD" w:rsidRPr="007C4D65">
              <w:rPr>
                <w:rFonts w:asciiTheme="minorHAnsi" w:eastAsia="Calibri" w:hAnsiTheme="minorHAnsi" w:cstheme="minorHAnsi"/>
                <w:sz w:val="18"/>
                <w:szCs w:val="18"/>
                <w:lang w:eastAsia="en-US"/>
              </w:rPr>
              <w:t>eneral areas of intervention are:</w:t>
            </w:r>
          </w:p>
          <w:p w14:paraId="35C4F5F8" w14:textId="216961E5" w:rsidR="00EE66FD" w:rsidRPr="007C4D65" w:rsidRDefault="00EE66FD">
            <w:pPr>
              <w:numPr>
                <w:ilvl w:val="0"/>
                <w:numId w:val="124"/>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Implementation of the Energy Labelling Standards for household </w:t>
            </w:r>
            <w:proofErr w:type="gramStart"/>
            <w:r w:rsidRPr="007C4D65">
              <w:rPr>
                <w:rFonts w:asciiTheme="minorHAnsi" w:eastAsia="Calibri" w:hAnsiTheme="minorHAnsi" w:cstheme="minorHAnsi"/>
                <w:sz w:val="18"/>
                <w:szCs w:val="18"/>
                <w:lang w:eastAsia="en-US"/>
              </w:rPr>
              <w:t>appliances</w:t>
            </w:r>
            <w:r w:rsidR="008C3DFC" w:rsidRPr="007C4D65">
              <w:rPr>
                <w:rFonts w:asciiTheme="minorHAnsi" w:eastAsia="Calibri" w:hAnsiTheme="minorHAnsi" w:cstheme="minorHAnsi"/>
                <w:sz w:val="18"/>
                <w:szCs w:val="18"/>
                <w:lang w:eastAsia="en-US"/>
              </w:rPr>
              <w:t>;</w:t>
            </w:r>
            <w:proofErr w:type="gramEnd"/>
          </w:p>
          <w:p w14:paraId="601CF74B" w14:textId="5D019977" w:rsidR="00EE66FD" w:rsidRPr="007C4D65" w:rsidRDefault="00EE66FD">
            <w:pPr>
              <w:numPr>
                <w:ilvl w:val="0"/>
                <w:numId w:val="124"/>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Developing a model to promote energy efficiency in residential </w:t>
            </w:r>
            <w:proofErr w:type="gramStart"/>
            <w:r w:rsidRPr="007C4D65">
              <w:rPr>
                <w:rFonts w:asciiTheme="minorHAnsi" w:eastAsia="Calibri" w:hAnsiTheme="minorHAnsi" w:cstheme="minorHAnsi"/>
                <w:sz w:val="18"/>
                <w:szCs w:val="18"/>
                <w:lang w:eastAsia="en-US"/>
              </w:rPr>
              <w:t>buildings</w:t>
            </w:r>
            <w:r w:rsidR="008C3DFC" w:rsidRPr="007C4D65">
              <w:rPr>
                <w:rFonts w:asciiTheme="minorHAnsi" w:eastAsia="Calibri" w:hAnsiTheme="minorHAnsi" w:cstheme="minorHAnsi"/>
                <w:sz w:val="18"/>
                <w:szCs w:val="18"/>
                <w:lang w:eastAsia="en-US"/>
              </w:rPr>
              <w:t>;</w:t>
            </w:r>
            <w:proofErr w:type="gramEnd"/>
          </w:p>
          <w:p w14:paraId="5247EE08" w14:textId="5DA2E97D" w:rsidR="00EE66FD" w:rsidRPr="007C4D65" w:rsidRDefault="00EE66FD">
            <w:pPr>
              <w:numPr>
                <w:ilvl w:val="0"/>
                <w:numId w:val="12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Applying stricter requirements for energy efficiency to new buildings, and building</w:t>
            </w:r>
            <w:r w:rsidR="0015005B" w:rsidRPr="007C4D65">
              <w:rPr>
                <w:rFonts w:asciiTheme="minorHAnsi" w:eastAsia="Calibri" w:hAnsiTheme="minorHAnsi" w:cstheme="minorHAnsi"/>
                <w:sz w:val="18"/>
                <w:szCs w:val="18"/>
                <w:lang w:eastAsia="en-US"/>
              </w:rPr>
              <w:t>s</w:t>
            </w:r>
            <w:r w:rsidRPr="007C4D65">
              <w:rPr>
                <w:rFonts w:asciiTheme="minorHAnsi" w:eastAsia="Calibri" w:hAnsiTheme="minorHAnsi" w:cstheme="minorHAnsi"/>
                <w:sz w:val="18"/>
                <w:szCs w:val="18"/>
                <w:lang w:eastAsia="en-US"/>
              </w:rPr>
              <w:t xml:space="preserve"> which are reconstructed (including both heating and HVAC needs</w:t>
            </w:r>
            <w:proofErr w:type="gramStart"/>
            <w:r w:rsidRPr="007C4D65">
              <w:rPr>
                <w:rFonts w:asciiTheme="minorHAnsi" w:eastAsia="Calibri" w:hAnsiTheme="minorHAnsi" w:cstheme="minorHAnsi"/>
                <w:sz w:val="18"/>
                <w:szCs w:val="18"/>
                <w:lang w:eastAsia="en-US"/>
              </w:rPr>
              <w:t>)</w:t>
            </w:r>
            <w:r w:rsidR="008C3DFC" w:rsidRPr="007C4D65">
              <w:rPr>
                <w:rFonts w:asciiTheme="minorHAnsi" w:eastAsia="Calibri" w:hAnsiTheme="minorHAnsi" w:cstheme="minorHAnsi"/>
                <w:sz w:val="18"/>
                <w:szCs w:val="18"/>
                <w:lang w:eastAsia="en-US"/>
              </w:rPr>
              <w:t>;</w:t>
            </w:r>
            <w:proofErr w:type="gramEnd"/>
          </w:p>
          <w:p w14:paraId="2C83976D" w14:textId="4AF6F441" w:rsidR="00EE66FD" w:rsidRPr="007C4D65" w:rsidRDefault="00EE66FD">
            <w:pPr>
              <w:numPr>
                <w:ilvl w:val="0"/>
                <w:numId w:val="12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Developing a model </w:t>
            </w:r>
            <w:r w:rsidR="0015005B" w:rsidRPr="007C4D65">
              <w:rPr>
                <w:rFonts w:asciiTheme="minorHAnsi" w:eastAsia="Calibri" w:hAnsiTheme="minorHAnsi" w:cstheme="minorHAnsi"/>
                <w:sz w:val="18"/>
                <w:szCs w:val="18"/>
                <w:lang w:eastAsia="en-US"/>
              </w:rPr>
              <w:t>to fund retrofitting</w:t>
            </w:r>
            <w:r w:rsidRPr="007C4D65">
              <w:rPr>
                <w:rFonts w:asciiTheme="minorHAnsi" w:eastAsia="Calibri" w:hAnsiTheme="minorHAnsi" w:cstheme="minorHAnsi"/>
                <w:sz w:val="18"/>
                <w:szCs w:val="18"/>
                <w:lang w:eastAsia="en-US"/>
              </w:rPr>
              <w:t xml:space="preserve"> of public </w:t>
            </w:r>
            <w:proofErr w:type="gramStart"/>
            <w:r w:rsidRPr="007C4D65">
              <w:rPr>
                <w:rFonts w:asciiTheme="minorHAnsi" w:eastAsia="Calibri" w:hAnsiTheme="minorHAnsi" w:cstheme="minorHAnsi"/>
                <w:sz w:val="18"/>
                <w:szCs w:val="18"/>
                <w:lang w:eastAsia="en-US"/>
              </w:rPr>
              <w:t>buildings</w:t>
            </w:r>
            <w:r w:rsidR="008C3DFC" w:rsidRPr="007C4D65">
              <w:rPr>
                <w:rFonts w:asciiTheme="minorHAnsi" w:eastAsia="Calibri" w:hAnsiTheme="minorHAnsi" w:cstheme="minorHAnsi"/>
                <w:sz w:val="18"/>
                <w:szCs w:val="18"/>
                <w:lang w:eastAsia="en-US"/>
              </w:rPr>
              <w:t>;</w:t>
            </w:r>
            <w:proofErr w:type="gramEnd"/>
          </w:p>
          <w:p w14:paraId="4F55075D" w14:textId="7F05366E" w:rsidR="00EE66FD" w:rsidRPr="007C4D65" w:rsidRDefault="00EE66FD">
            <w:pPr>
              <w:numPr>
                <w:ilvl w:val="0"/>
                <w:numId w:val="12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Development of the ESCO </w:t>
            </w:r>
            <w:proofErr w:type="gramStart"/>
            <w:r w:rsidRPr="007C4D65">
              <w:rPr>
                <w:rFonts w:asciiTheme="minorHAnsi" w:eastAsia="Calibri" w:hAnsiTheme="minorHAnsi" w:cstheme="minorHAnsi"/>
                <w:sz w:val="18"/>
                <w:szCs w:val="18"/>
                <w:lang w:eastAsia="en-US"/>
              </w:rPr>
              <w:t>market</w:t>
            </w:r>
            <w:r w:rsidR="008C3DFC" w:rsidRPr="007C4D65">
              <w:rPr>
                <w:rFonts w:asciiTheme="minorHAnsi" w:eastAsia="Calibri" w:hAnsiTheme="minorHAnsi" w:cstheme="minorHAnsi"/>
                <w:sz w:val="18"/>
                <w:szCs w:val="18"/>
                <w:lang w:eastAsia="en-US"/>
              </w:rPr>
              <w:t>;</w:t>
            </w:r>
            <w:proofErr w:type="gramEnd"/>
          </w:p>
          <w:p w14:paraId="0C0861AA" w14:textId="30F3285B" w:rsidR="00EE66FD" w:rsidRPr="007C4D65" w:rsidRDefault="00EE66FD">
            <w:pPr>
              <w:numPr>
                <w:ilvl w:val="0"/>
                <w:numId w:val="124"/>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Implementing the obligation to perform energy audits in industrial facilities with significant energy consumption, including implementation of schemes of co-financing the audits and favourable funding of </w:t>
            </w:r>
            <w:proofErr w:type="gramStart"/>
            <w:r w:rsidRPr="007C4D65">
              <w:rPr>
                <w:rFonts w:asciiTheme="minorHAnsi" w:eastAsia="Calibri" w:hAnsiTheme="minorHAnsi" w:cstheme="minorHAnsi"/>
                <w:sz w:val="18"/>
                <w:szCs w:val="18"/>
                <w:lang w:eastAsia="en-US"/>
              </w:rPr>
              <w:t>measures</w:t>
            </w:r>
            <w:r w:rsidR="008C3DFC" w:rsidRPr="007C4D65">
              <w:rPr>
                <w:rFonts w:asciiTheme="minorHAnsi" w:eastAsiaTheme="minorHAnsi" w:hAnsiTheme="minorHAnsi" w:cstheme="minorHAnsi"/>
                <w:color w:val="000000"/>
                <w:sz w:val="18"/>
                <w:szCs w:val="18"/>
                <w:lang w:eastAsia="en-US"/>
              </w:rPr>
              <w:t>;;</w:t>
            </w:r>
            <w:proofErr w:type="gramEnd"/>
          </w:p>
          <w:p w14:paraId="3897794B" w14:textId="77777777" w:rsidR="00EE66FD" w:rsidRPr="007C4D65" w:rsidRDefault="00EE66FD">
            <w:pPr>
              <w:numPr>
                <w:ilvl w:val="0"/>
                <w:numId w:val="124"/>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lastRenderedPageBreak/>
              <w:t>Creating a network for energy efficiency of industrial companies (benchmarking) and its integration into the EU network through the national network</w:t>
            </w:r>
          </w:p>
          <w:p w14:paraId="2615177A" w14:textId="424944DF" w:rsidR="00EE66FD" w:rsidRPr="007C4D65" w:rsidRDefault="00EE66FD">
            <w:pPr>
              <w:numPr>
                <w:ilvl w:val="0"/>
                <w:numId w:val="124"/>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Appointment of energy managers in facilities which use more energy than defined in the regulation</w:t>
            </w:r>
            <w:r w:rsidR="008C3DFC" w:rsidRPr="007C4D65">
              <w:rPr>
                <w:rFonts w:asciiTheme="minorHAnsi" w:eastAsia="Calibri" w:hAnsiTheme="minorHAnsi" w:cstheme="minorHAnsi"/>
                <w:sz w:val="18"/>
                <w:szCs w:val="18"/>
                <w:lang w:eastAsia="en-US"/>
              </w:rPr>
              <w:t>.</w:t>
            </w:r>
          </w:p>
        </w:tc>
      </w:tr>
      <w:tr w:rsidR="00EE66FD" w:rsidRPr="007C4D65" w14:paraId="3C9FE6BF" w14:textId="77777777" w:rsidTr="00BC37DE">
        <w:trPr>
          <w:trHeight w:val="567"/>
          <w:jc w:val="center"/>
        </w:trPr>
        <w:tc>
          <w:tcPr>
            <w:tcW w:w="132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2802787"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Strategic projects</w:t>
            </w:r>
          </w:p>
        </w:tc>
        <w:tc>
          <w:tcPr>
            <w:tcW w:w="3679"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7946D9"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E66FD" w:rsidRPr="007C4D65" w14:paraId="6BB13DC6" w14:textId="77777777" w:rsidTr="00BC37DE">
        <w:trPr>
          <w:trHeight w:val="567"/>
          <w:jc w:val="center"/>
        </w:trPr>
        <w:tc>
          <w:tcPr>
            <w:tcW w:w="1321"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5D640739"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 for monitoring of results</w:t>
            </w:r>
          </w:p>
        </w:tc>
        <w:tc>
          <w:tcPr>
            <w:tcW w:w="114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1760DBE"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w:t>
            </w:r>
          </w:p>
          <w:p w14:paraId="08FA0B6B"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w:t>
            </w:r>
            <w:proofErr w:type="gramStart"/>
            <w:r w:rsidRPr="007C4D65">
              <w:rPr>
                <w:rFonts w:asciiTheme="minorHAnsi" w:eastAsiaTheme="minorHAnsi" w:hAnsiTheme="minorHAnsi" w:cstheme="minorHAnsi"/>
                <w:b/>
                <w:bCs/>
                <w:color w:val="FFFFFF" w:themeColor="background1"/>
                <w:sz w:val="18"/>
                <w:szCs w:val="18"/>
                <w:lang w:eastAsia="en-US"/>
              </w:rPr>
              <w:t>outputs</w:t>
            </w:r>
            <w:proofErr w:type="gramEnd"/>
            <w:r w:rsidRPr="007C4D65">
              <w:rPr>
                <w:rFonts w:asciiTheme="minorHAnsi" w:eastAsiaTheme="minorHAnsi" w:hAnsiTheme="minorHAnsi" w:cstheme="minorHAnsi"/>
                <w:b/>
                <w:bCs/>
                <w:color w:val="FFFFFF" w:themeColor="background1"/>
                <w:sz w:val="18"/>
                <w:szCs w:val="18"/>
                <w:lang w:eastAsia="en-US"/>
              </w:rPr>
              <w:t xml:space="preserve"> and deliverables)</w:t>
            </w:r>
          </w:p>
        </w:tc>
        <w:tc>
          <w:tcPr>
            <w:tcW w:w="126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B94AFBB"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Baseline value</w:t>
            </w:r>
          </w:p>
        </w:tc>
        <w:tc>
          <w:tcPr>
            <w:tcW w:w="126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2268B0D"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value</w:t>
            </w:r>
          </w:p>
        </w:tc>
      </w:tr>
      <w:tr w:rsidR="00EE66FD" w:rsidRPr="007C4D65" w14:paraId="2CF532F0" w14:textId="77777777" w:rsidTr="00BC37DE">
        <w:trPr>
          <w:trHeight w:val="567"/>
          <w:jc w:val="center"/>
        </w:trPr>
        <w:tc>
          <w:tcPr>
            <w:tcW w:w="1321"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99BBCC9"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6A61534" w14:textId="2637E903" w:rsidR="00EE66FD" w:rsidRPr="007C4D65" w:rsidRDefault="00EE66FD">
            <w:pPr>
              <w:numPr>
                <w:ilvl w:val="0"/>
                <w:numId w:val="12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Percentage of household appliances on the market with </w:t>
            </w:r>
            <w:r w:rsidR="0015005B" w:rsidRPr="007C4D65">
              <w:rPr>
                <w:rFonts w:asciiTheme="minorHAnsi" w:eastAsia="Calibri" w:hAnsiTheme="minorHAnsi" w:cstheme="minorHAnsi"/>
                <w:sz w:val="18"/>
                <w:szCs w:val="18"/>
                <w:lang w:eastAsia="en-US"/>
              </w:rPr>
              <w:t>Energy Labelling</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C884FD9"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 is no official system of labelling energy efficiency on appliances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46BF726" w14:textId="75BCA915" w:rsidR="00EE66FD" w:rsidRPr="007C4D65" w:rsidRDefault="00902A50"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e</w:t>
            </w:r>
            <w:r w:rsidR="00EE66FD" w:rsidRPr="007C4D65">
              <w:rPr>
                <w:rFonts w:asciiTheme="minorHAnsi" w:eastAsiaTheme="minorHAnsi" w:hAnsiTheme="minorHAnsi" w:cstheme="minorHAnsi"/>
                <w:sz w:val="18"/>
                <w:szCs w:val="18"/>
                <w:lang w:eastAsia="en-US"/>
              </w:rPr>
              <w:t>nergy Labelling Standard for household appliances implemented</w:t>
            </w:r>
          </w:p>
        </w:tc>
      </w:tr>
      <w:tr w:rsidR="00EE66FD" w:rsidRPr="007C4D65" w14:paraId="2466CB5E" w14:textId="77777777" w:rsidTr="00BC37DE">
        <w:trPr>
          <w:trHeight w:val="567"/>
          <w:jc w:val="center"/>
        </w:trPr>
        <w:tc>
          <w:tcPr>
            <w:tcW w:w="1321"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5AFFBA0"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B550C2E" w14:textId="13576BF1" w:rsidR="00EE66FD" w:rsidRPr="007C4D65" w:rsidRDefault="00EE66FD">
            <w:pPr>
              <w:numPr>
                <w:ilvl w:val="0"/>
                <w:numId w:val="12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902A50"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development and adoption of the model</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8C11F7E" w14:textId="34A567CD" w:rsidR="00EE66FD" w:rsidRPr="007C4D65" w:rsidRDefault="00902A50"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w:t>
            </w:r>
            <w:r w:rsidR="00EE66FD" w:rsidRPr="007C4D65">
              <w:rPr>
                <w:rFonts w:asciiTheme="minorHAnsi" w:eastAsiaTheme="minorHAnsi" w:hAnsiTheme="minorHAnsi" w:cstheme="minorHAnsi"/>
                <w:sz w:val="18"/>
                <w:szCs w:val="18"/>
                <w:lang w:eastAsia="en-US"/>
              </w:rPr>
              <w:t xml:space="preserve"> is no comprehensive model in</w:t>
            </w:r>
            <w:r w:rsidRPr="007C4D65">
              <w:rPr>
                <w:rFonts w:asciiTheme="minorHAnsi" w:eastAsiaTheme="minorHAnsi" w:hAnsiTheme="minorHAnsi" w:cstheme="minorHAnsi"/>
                <w:sz w:val="18"/>
                <w:szCs w:val="18"/>
                <w:lang w:eastAsia="en-US"/>
              </w:rPr>
              <w:t xml:space="preserve"> the</w:t>
            </w:r>
            <w:r w:rsidR="00EE66FD" w:rsidRPr="007C4D65">
              <w:rPr>
                <w:rFonts w:asciiTheme="minorHAnsi" w:eastAsiaTheme="minorHAnsi" w:hAnsiTheme="minorHAnsi" w:cstheme="minorHAnsi"/>
                <w:sz w:val="18"/>
                <w:szCs w:val="18"/>
                <w:lang w:eastAsia="en-US"/>
              </w:rPr>
              <w:t xml:space="preserve"> entire F</w:t>
            </w:r>
            <w:r w:rsidRPr="007C4D65">
              <w:rPr>
                <w:rFonts w:asciiTheme="minorHAnsi" w:eastAsiaTheme="minorHAnsi" w:hAnsiTheme="minorHAnsi" w:cstheme="minorHAnsi"/>
                <w:sz w:val="18"/>
                <w:szCs w:val="18"/>
                <w:lang w:eastAsia="en-US"/>
              </w:rPr>
              <w:t xml:space="preserve">ederation of </w:t>
            </w:r>
            <w:r w:rsidR="00EE66FD" w:rsidRPr="007C4D65">
              <w:rPr>
                <w:rFonts w:asciiTheme="minorHAnsi" w:eastAsiaTheme="minorHAnsi" w:hAnsiTheme="minorHAnsi" w:cstheme="minorHAnsi"/>
                <w:sz w:val="18"/>
                <w:szCs w:val="18"/>
                <w:lang w:eastAsia="en-US"/>
              </w:rPr>
              <w:t>BiH which specifies criteria</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3E21C5C" w14:textId="1C25608B" w:rsidR="00EE66FD" w:rsidRPr="007C4D65" w:rsidRDefault="00902A50"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Calibri" w:hAnsiTheme="minorHAnsi" w:cstheme="minorHAnsi"/>
                <w:sz w:val="18"/>
                <w:szCs w:val="18"/>
                <w:lang w:eastAsia="en-US"/>
              </w:rPr>
              <w:t>The m</w:t>
            </w:r>
            <w:r w:rsidR="00EE66FD" w:rsidRPr="007C4D65">
              <w:rPr>
                <w:rFonts w:asciiTheme="minorHAnsi" w:eastAsia="Calibri" w:hAnsiTheme="minorHAnsi" w:cstheme="minorHAnsi"/>
                <w:sz w:val="18"/>
                <w:szCs w:val="18"/>
                <w:lang w:eastAsia="en-US"/>
              </w:rPr>
              <w:t>odel developed and adopted</w:t>
            </w:r>
          </w:p>
        </w:tc>
      </w:tr>
      <w:tr w:rsidR="00EE66FD" w:rsidRPr="007C4D65" w14:paraId="3E8372E6" w14:textId="77777777" w:rsidTr="00BC37DE">
        <w:trPr>
          <w:trHeight w:val="567"/>
          <w:jc w:val="center"/>
        </w:trPr>
        <w:tc>
          <w:tcPr>
            <w:tcW w:w="1321"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69495BD"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D413D2A" w14:textId="2783C2CE" w:rsidR="00EE66FD" w:rsidRPr="007C4D65" w:rsidRDefault="00EE66FD">
            <w:pPr>
              <w:numPr>
                <w:ilvl w:val="0"/>
                <w:numId w:val="12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902A50"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 xml:space="preserve">adoption of </w:t>
            </w:r>
            <w:r w:rsidR="00902A50" w:rsidRPr="007C4D65">
              <w:rPr>
                <w:rFonts w:asciiTheme="minorHAnsi" w:eastAsia="Calibri" w:hAnsiTheme="minorHAnsi" w:cstheme="minorHAnsi"/>
                <w:sz w:val="18"/>
                <w:szCs w:val="18"/>
                <w:lang w:eastAsia="en-US"/>
              </w:rPr>
              <w:t xml:space="preserve">amendments to the </w:t>
            </w:r>
            <w:r w:rsidRPr="007C4D65">
              <w:rPr>
                <w:rFonts w:asciiTheme="minorHAnsi" w:eastAsia="Calibri" w:hAnsiTheme="minorHAnsi" w:cstheme="minorHAnsi"/>
                <w:sz w:val="18"/>
                <w:szCs w:val="18"/>
                <w:lang w:eastAsia="en-US"/>
              </w:rPr>
              <w:t xml:space="preserve">rulebook </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AD4555E" w14:textId="7401B624" w:rsidR="00EE66FD" w:rsidRPr="007C4D65" w:rsidRDefault="007B1E4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applicable</w:t>
            </w:r>
            <w:r w:rsidR="00EE66FD" w:rsidRPr="007C4D65">
              <w:rPr>
                <w:rFonts w:asciiTheme="minorHAnsi" w:eastAsiaTheme="minorHAnsi" w:hAnsiTheme="minorHAnsi" w:cstheme="minorHAnsi"/>
                <w:sz w:val="18"/>
                <w:szCs w:val="18"/>
                <w:lang w:eastAsia="en-US"/>
              </w:rPr>
              <w:t xml:space="preserve"> regulation does not take into consideration the need for cooling and DHW, and </w:t>
            </w:r>
            <w:r w:rsidRPr="007C4D65">
              <w:rPr>
                <w:rFonts w:asciiTheme="minorHAnsi" w:eastAsiaTheme="minorHAnsi" w:hAnsiTheme="minorHAnsi" w:cstheme="minorHAnsi"/>
                <w:sz w:val="18"/>
                <w:szCs w:val="18"/>
                <w:lang w:eastAsia="en-US"/>
              </w:rPr>
              <w:t>n</w:t>
            </w:r>
            <w:r w:rsidR="00EE66FD" w:rsidRPr="007C4D65">
              <w:rPr>
                <w:rFonts w:asciiTheme="minorHAnsi" w:eastAsiaTheme="minorHAnsi" w:hAnsiTheme="minorHAnsi" w:cstheme="minorHAnsi"/>
                <w:sz w:val="18"/>
                <w:szCs w:val="18"/>
                <w:lang w:eastAsia="en-US"/>
              </w:rPr>
              <w:t>eeds for heating are relatively high</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EDBBA36" w14:textId="530821BB" w:rsidR="00EE66FD" w:rsidRPr="007C4D65" w:rsidRDefault="007B1E4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Rulebook adopted</w:t>
            </w:r>
            <w:r w:rsidRPr="007C4D65">
              <w:rPr>
                <w:rFonts w:asciiTheme="minorHAnsi" w:eastAsiaTheme="minorHAnsi" w:hAnsiTheme="minorHAnsi" w:cstheme="minorHAnsi"/>
                <w:sz w:val="18"/>
                <w:szCs w:val="18"/>
                <w:lang w:eastAsia="en-US"/>
              </w:rPr>
              <w:t>, as amended</w:t>
            </w:r>
          </w:p>
        </w:tc>
      </w:tr>
      <w:tr w:rsidR="00EE66FD" w:rsidRPr="007C4D65" w14:paraId="5FE4D1FF" w14:textId="77777777" w:rsidTr="00BC37DE">
        <w:trPr>
          <w:trHeight w:val="567"/>
          <w:jc w:val="center"/>
        </w:trPr>
        <w:tc>
          <w:tcPr>
            <w:tcW w:w="1321"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3DBADC2"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DA5BAE7" w14:textId="003E2F1F" w:rsidR="00EE66FD" w:rsidRPr="007C4D65" w:rsidRDefault="00EE66FD">
            <w:pPr>
              <w:numPr>
                <w:ilvl w:val="0"/>
                <w:numId w:val="12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w:t>
            </w:r>
            <w:r w:rsidR="007B1E43" w:rsidRPr="007C4D65">
              <w:rPr>
                <w:rFonts w:asciiTheme="minorHAnsi" w:eastAsia="Calibri" w:hAnsiTheme="minorHAnsi" w:cstheme="minorHAnsi"/>
                <w:sz w:val="18"/>
                <w:szCs w:val="18"/>
                <w:lang w:eastAsia="en-US"/>
              </w:rPr>
              <w:t xml:space="preserve"> the</w:t>
            </w:r>
            <w:r w:rsidRPr="007C4D65">
              <w:rPr>
                <w:rFonts w:asciiTheme="minorHAnsi" w:eastAsia="Calibri" w:hAnsiTheme="minorHAnsi" w:cstheme="minorHAnsi"/>
                <w:sz w:val="18"/>
                <w:szCs w:val="18"/>
                <w:lang w:eastAsia="en-US"/>
              </w:rPr>
              <w:t xml:space="preserve"> development and adoption of the model</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9FFF813" w14:textId="206574B1"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Three is no comprehensive model </w:t>
            </w:r>
            <w:r w:rsidR="007B1E43" w:rsidRPr="007C4D65">
              <w:rPr>
                <w:rFonts w:asciiTheme="minorHAnsi" w:eastAsiaTheme="minorHAnsi" w:hAnsiTheme="minorHAnsi" w:cstheme="minorHAnsi"/>
                <w:sz w:val="18"/>
                <w:szCs w:val="18"/>
                <w:lang w:eastAsia="en-US"/>
              </w:rPr>
              <w:t>in the</w:t>
            </w:r>
            <w:r w:rsidRPr="007C4D65">
              <w:rPr>
                <w:rFonts w:asciiTheme="minorHAnsi" w:eastAsiaTheme="minorHAnsi" w:hAnsiTheme="minorHAnsi" w:cstheme="minorHAnsi"/>
                <w:sz w:val="18"/>
                <w:szCs w:val="18"/>
                <w:lang w:eastAsia="en-US"/>
              </w:rPr>
              <w:t xml:space="preserve"> entire F</w:t>
            </w:r>
            <w:r w:rsidR="007B1E43" w:rsidRPr="007C4D65">
              <w:rPr>
                <w:rFonts w:asciiTheme="minorHAnsi" w:eastAsiaTheme="minorHAnsi" w:hAnsiTheme="minorHAnsi" w:cstheme="minorHAnsi"/>
                <w:sz w:val="18"/>
                <w:szCs w:val="18"/>
                <w:lang w:eastAsia="en-US"/>
              </w:rPr>
              <w:t xml:space="preserve">ederation of </w:t>
            </w:r>
            <w:r w:rsidRPr="007C4D65">
              <w:rPr>
                <w:rFonts w:asciiTheme="minorHAnsi" w:eastAsiaTheme="minorHAnsi" w:hAnsiTheme="minorHAnsi" w:cstheme="minorHAnsi"/>
                <w:sz w:val="18"/>
                <w:szCs w:val="18"/>
                <w:lang w:eastAsia="en-US"/>
              </w:rPr>
              <w:t>BiH which specifies criteria</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BDCC7AA" w14:textId="1519CD0F" w:rsidR="00EE66FD" w:rsidRPr="007C4D65" w:rsidRDefault="007B1E4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m</w:t>
            </w:r>
            <w:r w:rsidR="00EE66FD" w:rsidRPr="007C4D65">
              <w:rPr>
                <w:rFonts w:asciiTheme="minorHAnsi" w:eastAsiaTheme="minorHAnsi" w:hAnsiTheme="minorHAnsi" w:cstheme="minorHAnsi"/>
                <w:sz w:val="18"/>
                <w:szCs w:val="18"/>
                <w:lang w:eastAsia="en-US"/>
              </w:rPr>
              <w:t>odel developed and adopted</w:t>
            </w:r>
          </w:p>
        </w:tc>
      </w:tr>
      <w:tr w:rsidR="00EE66FD" w:rsidRPr="007C4D65" w14:paraId="362145FD" w14:textId="77777777" w:rsidTr="00BC37DE">
        <w:trPr>
          <w:trHeight w:val="567"/>
          <w:jc w:val="center"/>
        </w:trPr>
        <w:tc>
          <w:tcPr>
            <w:tcW w:w="1321"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8590C9C"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B45A8DE" w14:textId="77777777" w:rsidR="00EE66FD" w:rsidRPr="007C4D65" w:rsidRDefault="00EE66FD">
            <w:pPr>
              <w:numPr>
                <w:ilvl w:val="0"/>
                <w:numId w:val="12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Number of implemented ESCO projects</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A6C3193" w14:textId="4AD59255" w:rsidR="00EE66FD" w:rsidRPr="007C4D65" w:rsidRDefault="007B1E4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 s</w:t>
            </w:r>
            <w:r w:rsidR="00EE66FD" w:rsidRPr="007C4D65">
              <w:rPr>
                <w:rFonts w:asciiTheme="minorHAnsi" w:eastAsiaTheme="minorHAnsi" w:hAnsiTheme="minorHAnsi" w:cstheme="minorHAnsi"/>
                <w:sz w:val="18"/>
                <w:szCs w:val="18"/>
                <w:lang w:eastAsia="en-US"/>
              </w:rPr>
              <w:t>mall number of ESCO projects</w:t>
            </w:r>
            <w:r w:rsidRPr="007C4D65">
              <w:rPr>
                <w:rFonts w:asciiTheme="minorHAnsi" w:eastAsiaTheme="minorHAnsi" w:hAnsiTheme="minorHAnsi" w:cstheme="minorHAnsi"/>
                <w:sz w:val="18"/>
                <w:szCs w:val="18"/>
                <w:lang w:eastAsia="en-US"/>
              </w:rPr>
              <w:t xml:space="preserve"> </w:t>
            </w:r>
            <w:proofErr w:type="gramStart"/>
            <w:r w:rsidRPr="007C4D65">
              <w:rPr>
                <w:rFonts w:asciiTheme="minorHAnsi" w:eastAsiaTheme="minorHAnsi" w:hAnsiTheme="minorHAnsi" w:cstheme="minorHAnsi"/>
                <w:sz w:val="18"/>
                <w:szCs w:val="18"/>
                <w:lang w:eastAsia="en-US"/>
              </w:rPr>
              <w:t>implemented,</w:t>
            </w:r>
            <w:proofErr w:type="gramEnd"/>
            <w:r w:rsidR="00EE66FD" w:rsidRPr="007C4D65">
              <w:rPr>
                <w:rFonts w:asciiTheme="minorHAnsi" w:eastAsiaTheme="minorHAnsi" w:hAnsiTheme="minorHAnsi" w:cstheme="minorHAnsi"/>
                <w:sz w:val="18"/>
                <w:szCs w:val="18"/>
                <w:lang w:eastAsia="en-US"/>
              </w:rPr>
              <w:t xml:space="preserve"> </w:t>
            </w:r>
            <w:r w:rsidRPr="007C4D65">
              <w:rPr>
                <w:rFonts w:asciiTheme="minorHAnsi" w:eastAsiaTheme="minorHAnsi" w:hAnsiTheme="minorHAnsi" w:cstheme="minorHAnsi"/>
                <w:sz w:val="18"/>
                <w:szCs w:val="18"/>
                <w:lang w:eastAsia="en-US"/>
              </w:rPr>
              <w:t xml:space="preserve">implementation of pilot projects is underway in the </w:t>
            </w:r>
            <w:r w:rsidR="00EE66FD" w:rsidRPr="007C4D65">
              <w:rPr>
                <w:rFonts w:asciiTheme="minorHAnsi" w:eastAsiaTheme="minorHAnsi" w:hAnsiTheme="minorHAnsi" w:cstheme="minorHAnsi"/>
                <w:sz w:val="18"/>
                <w:szCs w:val="18"/>
                <w:lang w:eastAsia="en-US"/>
              </w:rPr>
              <w:t>public sector</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3B6C7F2"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ESCO market developed</w:t>
            </w:r>
          </w:p>
        </w:tc>
      </w:tr>
      <w:tr w:rsidR="00EE66FD" w:rsidRPr="007C4D65" w14:paraId="7E0C6717" w14:textId="77777777" w:rsidTr="00BC37DE">
        <w:trPr>
          <w:trHeight w:val="567"/>
          <w:jc w:val="center"/>
        </w:trPr>
        <w:tc>
          <w:tcPr>
            <w:tcW w:w="1321"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586C1CB"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DC55C25" w14:textId="77777777" w:rsidR="00EE66FD" w:rsidRPr="007C4D65" w:rsidRDefault="00EE66FD">
            <w:pPr>
              <w:numPr>
                <w:ilvl w:val="0"/>
                <w:numId w:val="12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Percentage of industrial facilities with major energy consumption that have completed energy audit</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76CB149" w14:textId="0116B80B" w:rsidR="00EE66FD" w:rsidRPr="007C4D65" w:rsidRDefault="007B1E4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 s</w:t>
            </w:r>
            <w:r w:rsidR="00EE66FD" w:rsidRPr="007C4D65">
              <w:rPr>
                <w:rFonts w:asciiTheme="minorHAnsi" w:eastAsiaTheme="minorHAnsi" w:hAnsiTheme="minorHAnsi" w:cstheme="minorHAnsi"/>
                <w:sz w:val="18"/>
                <w:szCs w:val="18"/>
                <w:lang w:eastAsia="en-US"/>
              </w:rPr>
              <w:t>mall number of industrial facilities have completed energy audit</w:t>
            </w:r>
            <w:r w:rsidRPr="007C4D65">
              <w:rPr>
                <w:rFonts w:asciiTheme="minorHAnsi" w:eastAsiaTheme="minorHAnsi" w:hAnsiTheme="minorHAnsi" w:cstheme="minorHAnsi"/>
                <w:sz w:val="18"/>
                <w:szCs w:val="18"/>
                <w:lang w:eastAsia="en-US"/>
              </w:rPr>
              <w:t>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FDA200D" w14:textId="736C0073"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Energy audits </w:t>
            </w:r>
            <w:r w:rsidR="007B1E43" w:rsidRPr="007C4D65">
              <w:rPr>
                <w:rFonts w:asciiTheme="minorHAnsi" w:eastAsiaTheme="minorHAnsi" w:hAnsiTheme="minorHAnsi" w:cstheme="minorHAnsi"/>
                <w:sz w:val="18"/>
                <w:szCs w:val="18"/>
                <w:lang w:eastAsia="en-US"/>
              </w:rPr>
              <w:t>completed</w:t>
            </w:r>
            <w:r w:rsidRPr="007C4D65">
              <w:rPr>
                <w:rFonts w:asciiTheme="minorHAnsi" w:eastAsiaTheme="minorHAnsi" w:hAnsiTheme="minorHAnsi" w:cstheme="minorHAnsi"/>
                <w:sz w:val="18"/>
                <w:szCs w:val="18"/>
                <w:lang w:eastAsia="en-US"/>
              </w:rPr>
              <w:t xml:space="preserve"> in all </w:t>
            </w:r>
            <w:r w:rsidR="007B1E43" w:rsidRPr="007C4D65">
              <w:rPr>
                <w:rFonts w:asciiTheme="minorHAnsi" w:eastAsiaTheme="minorHAnsi" w:hAnsiTheme="minorHAnsi" w:cstheme="minorHAnsi"/>
                <w:sz w:val="18"/>
                <w:szCs w:val="18"/>
                <w:lang w:eastAsia="en-US"/>
              </w:rPr>
              <w:t xml:space="preserve">the </w:t>
            </w:r>
            <w:r w:rsidRPr="007C4D65">
              <w:rPr>
                <w:rFonts w:asciiTheme="minorHAnsi" w:eastAsiaTheme="minorHAnsi" w:hAnsiTheme="minorHAnsi" w:cstheme="minorHAnsi"/>
                <w:sz w:val="18"/>
                <w:szCs w:val="18"/>
                <w:lang w:eastAsia="en-US"/>
              </w:rPr>
              <w:t>facilities</w:t>
            </w:r>
          </w:p>
        </w:tc>
      </w:tr>
      <w:tr w:rsidR="00EE66FD" w:rsidRPr="007C4D65" w14:paraId="66997259" w14:textId="77777777" w:rsidTr="00BC37DE">
        <w:trPr>
          <w:trHeight w:val="567"/>
          <w:jc w:val="center"/>
        </w:trPr>
        <w:tc>
          <w:tcPr>
            <w:tcW w:w="1321"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CDBCB6D"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717E7FE" w14:textId="77777777" w:rsidR="00EE66FD" w:rsidRPr="007C4D65" w:rsidRDefault="00EE66FD">
            <w:pPr>
              <w:numPr>
                <w:ilvl w:val="0"/>
                <w:numId w:val="12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Number of industrial companies in the network </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B2BDB7B" w14:textId="115A1E03"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 is no EE network</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C8FE036" w14:textId="46935650" w:rsidR="00EE66FD" w:rsidRPr="007C4D65" w:rsidRDefault="007B1E4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n</w:t>
            </w:r>
            <w:r w:rsidR="00EE66FD" w:rsidRPr="007C4D65">
              <w:rPr>
                <w:rFonts w:asciiTheme="minorHAnsi" w:eastAsiaTheme="minorHAnsi" w:hAnsiTheme="minorHAnsi" w:cstheme="minorHAnsi"/>
                <w:sz w:val="18"/>
                <w:szCs w:val="18"/>
                <w:lang w:eastAsia="en-US"/>
              </w:rPr>
              <w:t xml:space="preserve">etwork established and </w:t>
            </w:r>
            <w:r w:rsidRPr="007C4D65">
              <w:rPr>
                <w:rFonts w:asciiTheme="minorHAnsi" w:eastAsiaTheme="minorHAnsi" w:hAnsiTheme="minorHAnsi" w:cstheme="minorHAnsi"/>
                <w:sz w:val="18"/>
                <w:szCs w:val="18"/>
                <w:lang w:eastAsia="en-US"/>
              </w:rPr>
              <w:t>connected</w:t>
            </w:r>
            <w:r w:rsidR="00EE66FD" w:rsidRPr="007C4D65">
              <w:rPr>
                <w:rFonts w:asciiTheme="minorHAnsi" w:eastAsiaTheme="minorHAnsi" w:hAnsiTheme="minorHAnsi" w:cstheme="minorHAnsi"/>
                <w:sz w:val="18"/>
                <w:szCs w:val="18"/>
                <w:lang w:eastAsia="en-US"/>
              </w:rPr>
              <w:t xml:space="preserve"> to </w:t>
            </w:r>
            <w:r w:rsidRPr="007C4D65">
              <w:rPr>
                <w:rFonts w:asciiTheme="minorHAnsi" w:eastAsiaTheme="minorHAnsi" w:hAnsiTheme="minorHAnsi" w:cstheme="minorHAnsi"/>
                <w:sz w:val="18"/>
                <w:szCs w:val="18"/>
                <w:lang w:eastAsia="en-US"/>
              </w:rPr>
              <w:t>the national</w:t>
            </w:r>
            <w:r w:rsidR="00EE66FD" w:rsidRPr="007C4D65">
              <w:rPr>
                <w:rFonts w:asciiTheme="minorHAnsi" w:eastAsiaTheme="minorHAnsi" w:hAnsiTheme="minorHAnsi" w:cstheme="minorHAnsi"/>
                <w:sz w:val="18"/>
                <w:szCs w:val="18"/>
                <w:lang w:eastAsia="en-US"/>
              </w:rPr>
              <w:t xml:space="preserve"> network</w:t>
            </w:r>
          </w:p>
        </w:tc>
      </w:tr>
      <w:tr w:rsidR="00EE66FD" w:rsidRPr="007C4D65" w14:paraId="3842B4FD" w14:textId="77777777" w:rsidTr="00BC37DE">
        <w:trPr>
          <w:trHeight w:val="567"/>
          <w:jc w:val="center"/>
        </w:trPr>
        <w:tc>
          <w:tcPr>
            <w:tcW w:w="1321"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7C4AE8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F69387B" w14:textId="77777777" w:rsidR="00EE66FD" w:rsidRPr="007C4D65" w:rsidRDefault="00EE66FD">
            <w:pPr>
              <w:numPr>
                <w:ilvl w:val="0"/>
                <w:numId w:val="125"/>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Percentage of industrial facilities that have appointed energy managers</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2A897AE" w14:textId="4CD7AB77" w:rsidR="00EE66FD" w:rsidRPr="007C4D65" w:rsidRDefault="007B1E4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 s</w:t>
            </w:r>
            <w:r w:rsidR="00EE66FD" w:rsidRPr="007C4D65">
              <w:rPr>
                <w:rFonts w:asciiTheme="minorHAnsi" w:eastAsiaTheme="minorHAnsi" w:hAnsiTheme="minorHAnsi" w:cstheme="minorHAnsi"/>
                <w:sz w:val="18"/>
                <w:szCs w:val="18"/>
                <w:lang w:eastAsia="en-US"/>
              </w:rPr>
              <w:t>mall number of industrial companies have appointed energy managers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8CFD59C"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Energy managers appointed</w:t>
            </w:r>
          </w:p>
        </w:tc>
      </w:tr>
      <w:tr w:rsidR="00EE66FD" w:rsidRPr="007C4D65" w14:paraId="2B4C222D" w14:textId="77777777" w:rsidTr="00BC37DE">
        <w:trPr>
          <w:trHeight w:val="567"/>
          <w:jc w:val="center"/>
        </w:trPr>
        <w:tc>
          <w:tcPr>
            <w:tcW w:w="132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226164A"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Effect on the development and contribution of the measure to the priority</w:t>
            </w:r>
          </w:p>
        </w:tc>
        <w:tc>
          <w:tcPr>
            <w:tcW w:w="3679"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A32008E" w14:textId="1371E9F1" w:rsidR="00EE66FD" w:rsidRPr="007C4D65" w:rsidRDefault="007B1E43"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Improved competitiveness of industry and improved living and working conditions, including reduced electricity costs</w:t>
            </w:r>
          </w:p>
        </w:tc>
      </w:tr>
      <w:tr w:rsidR="00EE66FD" w:rsidRPr="007C4D65" w14:paraId="72992CC1" w14:textId="77777777" w:rsidTr="00BC37DE">
        <w:trPr>
          <w:trHeight w:val="567"/>
          <w:jc w:val="center"/>
        </w:trPr>
        <w:tc>
          <w:tcPr>
            <w:tcW w:w="132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2C7E2FA" w14:textId="3D95056B"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Indicative financial projection, with specification of sources</w:t>
            </w:r>
          </w:p>
        </w:tc>
        <w:tc>
          <w:tcPr>
            <w:tcW w:w="3679"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8F26F22" w14:textId="16D4A8D6" w:rsidR="007B1E43" w:rsidRPr="007C4D65" w:rsidRDefault="00C224E3" w:rsidP="007B1E43">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 xml:space="preserve">Amount: </w:t>
            </w:r>
            <w:r w:rsidR="007B1E43" w:rsidRPr="007C4D65">
              <w:rPr>
                <w:rFonts w:asciiTheme="minorHAnsi" w:hAnsiTheme="minorHAnsi" w:cstheme="minorHAnsi"/>
                <w:sz w:val="18"/>
                <w:szCs w:val="18"/>
                <w:lang w:bidi="en-US"/>
              </w:rPr>
              <w:t xml:space="preserve"> BAM 1,245,212</w:t>
            </w:r>
          </w:p>
          <w:p w14:paraId="695B675C" w14:textId="0FE3F45C" w:rsidR="00EE66FD" w:rsidRPr="007C4D65" w:rsidRDefault="009E6B20" w:rsidP="007B1E43">
            <w:pPr>
              <w:spacing w:before="40" w:after="40" w:line="276" w:lineRule="auto"/>
              <w:rPr>
                <w:rFonts w:asciiTheme="minorHAnsi" w:eastAsiaTheme="minorHAnsi" w:hAnsiTheme="minorHAnsi" w:cstheme="minorHAnsi"/>
                <w:bCs/>
                <w:sz w:val="18"/>
                <w:szCs w:val="18"/>
                <w:lang w:eastAsia="en-US"/>
              </w:rPr>
            </w:pPr>
            <w:r w:rsidRPr="007C4D65">
              <w:rPr>
                <w:rFonts w:asciiTheme="minorHAnsi" w:hAnsiTheme="minorHAnsi" w:cstheme="minorHAnsi"/>
                <w:sz w:val="18"/>
                <w:szCs w:val="18"/>
                <w:lang w:bidi="en-US"/>
              </w:rPr>
              <w:t xml:space="preserve">Source: </w:t>
            </w:r>
            <w:r w:rsidR="007B1E43" w:rsidRPr="007C4D65">
              <w:rPr>
                <w:rFonts w:asciiTheme="minorHAnsi" w:hAnsiTheme="minorHAnsi" w:cstheme="minorHAnsi"/>
                <w:sz w:val="18"/>
                <w:szCs w:val="18"/>
                <w:lang w:bidi="en-US"/>
              </w:rPr>
              <w:t xml:space="preserve"> 20% </w:t>
            </w:r>
            <w:r w:rsidR="000E401F" w:rsidRPr="007C4D65">
              <w:rPr>
                <w:rFonts w:asciiTheme="minorHAnsi" w:hAnsiTheme="minorHAnsi" w:cstheme="minorHAnsi"/>
                <w:sz w:val="18"/>
                <w:szCs w:val="18"/>
                <w:lang w:bidi="en-US"/>
              </w:rPr>
              <w:t xml:space="preserve">government </w:t>
            </w:r>
            <w:proofErr w:type="gramStart"/>
            <w:r w:rsidR="000E401F" w:rsidRPr="007C4D65">
              <w:rPr>
                <w:rFonts w:asciiTheme="minorHAnsi" w:hAnsiTheme="minorHAnsi" w:cstheme="minorHAnsi"/>
                <w:sz w:val="18"/>
                <w:szCs w:val="18"/>
                <w:lang w:bidi="en-US"/>
              </w:rPr>
              <w:t>budget</w:t>
            </w:r>
            <w:r w:rsidR="00C224E3" w:rsidRPr="007C4D65">
              <w:rPr>
                <w:rFonts w:asciiTheme="minorHAnsi" w:hAnsiTheme="minorHAnsi" w:cstheme="minorHAnsi"/>
                <w:sz w:val="18"/>
                <w:szCs w:val="18"/>
                <w:lang w:bidi="en-US"/>
              </w:rPr>
              <w:t xml:space="preserve"> </w:t>
            </w:r>
            <w:r w:rsidR="007B1E43" w:rsidRPr="007C4D65">
              <w:rPr>
                <w:rFonts w:asciiTheme="minorHAnsi" w:hAnsiTheme="minorHAnsi" w:cstheme="minorHAnsi"/>
                <w:sz w:val="18"/>
                <w:szCs w:val="18"/>
                <w:lang w:bidi="en-US"/>
              </w:rPr>
              <w:t>,</w:t>
            </w:r>
            <w:proofErr w:type="gramEnd"/>
            <w:r w:rsidR="007B1E43" w:rsidRPr="007C4D65">
              <w:rPr>
                <w:rFonts w:asciiTheme="minorHAnsi" w:hAnsiTheme="minorHAnsi" w:cstheme="minorHAnsi"/>
                <w:sz w:val="18"/>
                <w:szCs w:val="18"/>
                <w:lang w:bidi="en-US"/>
              </w:rPr>
              <w:t xml:space="preserve"> 80% </w:t>
            </w:r>
            <w:r w:rsidR="00C224E3" w:rsidRPr="007C4D65">
              <w:rPr>
                <w:rFonts w:asciiTheme="minorHAnsi" w:hAnsiTheme="minorHAnsi" w:cstheme="minorHAnsi"/>
                <w:sz w:val="18"/>
                <w:szCs w:val="18"/>
                <w:lang w:bidi="en-US"/>
              </w:rPr>
              <w:t>combined</w:t>
            </w:r>
            <w:r w:rsidR="007B1E43" w:rsidRPr="007C4D65">
              <w:rPr>
                <w:rFonts w:asciiTheme="minorHAnsi" w:hAnsiTheme="minorHAnsi" w:cstheme="minorHAnsi"/>
                <w:sz w:val="18"/>
                <w:szCs w:val="18"/>
                <w:lang w:bidi="en-US"/>
              </w:rPr>
              <w:t xml:space="preserve"> ‒ </w:t>
            </w:r>
            <w:r w:rsidR="00C224E3" w:rsidRPr="007C4D65">
              <w:rPr>
                <w:rFonts w:asciiTheme="minorHAnsi" w:hAnsiTheme="minorHAnsi" w:cstheme="minorHAnsi"/>
                <w:sz w:val="18"/>
                <w:szCs w:val="18"/>
                <w:lang w:bidi="en-US"/>
              </w:rPr>
              <w:t xml:space="preserve">funds from EU and other international donors, and other donations </w:t>
            </w:r>
          </w:p>
        </w:tc>
      </w:tr>
      <w:tr w:rsidR="00EE66FD" w:rsidRPr="007C4D65" w14:paraId="49DE3D61" w14:textId="77777777" w:rsidTr="00BC37DE">
        <w:trPr>
          <w:trHeight w:val="567"/>
          <w:jc w:val="center"/>
        </w:trPr>
        <w:tc>
          <w:tcPr>
            <w:tcW w:w="132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956DD5F"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Period of the implementation of the measure</w:t>
            </w:r>
          </w:p>
        </w:tc>
        <w:tc>
          <w:tcPr>
            <w:tcW w:w="3679"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477900F"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 2027</w:t>
            </w:r>
          </w:p>
        </w:tc>
      </w:tr>
      <w:tr w:rsidR="00EE66FD" w:rsidRPr="007C4D65" w14:paraId="3D15834D" w14:textId="77777777" w:rsidTr="00BC37DE">
        <w:trPr>
          <w:trHeight w:val="567"/>
          <w:jc w:val="center"/>
        </w:trPr>
        <w:tc>
          <w:tcPr>
            <w:tcW w:w="132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DE59956"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Institution responsible for coordination of the implementation of the measure</w:t>
            </w:r>
          </w:p>
        </w:tc>
        <w:tc>
          <w:tcPr>
            <w:tcW w:w="3679"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C38760D"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FMEMI</w:t>
            </w:r>
          </w:p>
        </w:tc>
      </w:tr>
      <w:tr w:rsidR="00EE66FD" w:rsidRPr="007C4D65" w14:paraId="0955E63E" w14:textId="77777777" w:rsidTr="00BC37DE">
        <w:trPr>
          <w:trHeight w:val="567"/>
          <w:jc w:val="center"/>
        </w:trPr>
        <w:tc>
          <w:tcPr>
            <w:tcW w:w="132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D5AEBBF"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Implementing institutions</w:t>
            </w:r>
          </w:p>
        </w:tc>
        <w:tc>
          <w:tcPr>
            <w:tcW w:w="3679"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413093B" w14:textId="5FD3AC7D"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Environmental Protection Fund, Ministry of Physical Planning, </w:t>
            </w:r>
            <w:r w:rsidR="007B1E43" w:rsidRPr="007C4D65">
              <w:rPr>
                <w:rFonts w:asciiTheme="minorHAnsi" w:eastAsiaTheme="minorHAnsi" w:hAnsiTheme="minorHAnsi" w:cstheme="minorHAnsi"/>
                <w:sz w:val="18"/>
                <w:szCs w:val="18"/>
                <w:lang w:eastAsia="en-US"/>
              </w:rPr>
              <w:t>competent</w:t>
            </w:r>
            <w:r w:rsidRPr="007C4D65">
              <w:rPr>
                <w:rFonts w:asciiTheme="minorHAnsi" w:eastAsiaTheme="minorHAnsi" w:hAnsiTheme="minorHAnsi" w:cstheme="minorHAnsi"/>
                <w:sz w:val="18"/>
                <w:szCs w:val="18"/>
                <w:lang w:eastAsia="en-US"/>
              </w:rPr>
              <w:t xml:space="preserve"> cantonal ministries</w:t>
            </w:r>
          </w:p>
        </w:tc>
      </w:tr>
      <w:tr w:rsidR="00EE66FD" w:rsidRPr="007C4D65" w14:paraId="2F28AF94" w14:textId="77777777" w:rsidTr="00BC37DE">
        <w:trPr>
          <w:trHeight w:val="567"/>
          <w:jc w:val="center"/>
        </w:trPr>
        <w:tc>
          <w:tcPr>
            <w:tcW w:w="132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F6E88C7" w14:textId="3B393A43"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groups</w:t>
            </w:r>
          </w:p>
        </w:tc>
        <w:tc>
          <w:tcPr>
            <w:tcW w:w="3679"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E82133C"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Industrial enterprises, ESCO, ministries (public buildings), retail chains, importers of household appliances</w:t>
            </w:r>
          </w:p>
        </w:tc>
      </w:tr>
    </w:tbl>
    <w:p w14:paraId="46E47EE2" w14:textId="77777777" w:rsidR="00EE66FD" w:rsidRPr="007C4D65" w:rsidRDefault="00EE66FD" w:rsidP="00EE66FD">
      <w:pPr>
        <w:spacing w:line="276" w:lineRule="auto"/>
        <w:rPr>
          <w:rFonts w:asciiTheme="minorHAnsi" w:eastAsiaTheme="minorHAnsi" w:hAnsiTheme="minorHAnsi" w:cstheme="minorHAnsi"/>
          <w:sz w:val="22"/>
          <w:szCs w:val="22"/>
          <w:lang w:eastAsia="en-US"/>
        </w:rPr>
      </w:pPr>
    </w:p>
    <w:tbl>
      <w:tblPr>
        <w:tblW w:w="48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1"/>
        <w:gridCol w:w="3066"/>
        <w:gridCol w:w="3393"/>
        <w:gridCol w:w="3390"/>
      </w:tblGrid>
      <w:tr w:rsidR="00EE66FD" w:rsidRPr="007C4D65" w14:paraId="3EE26D9B" w14:textId="77777777" w:rsidTr="00BC37DE">
        <w:trPr>
          <w:trHeight w:val="567"/>
          <w:jc w:val="center"/>
        </w:trPr>
        <w:tc>
          <w:tcPr>
            <w:tcW w:w="1322" w:type="pct"/>
            <w:shd w:val="clear" w:color="auto" w:fill="009D73"/>
            <w:vAlign w:val="center"/>
          </w:tcPr>
          <w:p w14:paraId="46E46DD5"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Link with strategic goal</w:t>
            </w:r>
          </w:p>
        </w:tc>
        <w:tc>
          <w:tcPr>
            <w:tcW w:w="3678" w:type="pct"/>
            <w:gridSpan w:val="3"/>
            <w:shd w:val="clear" w:color="auto" w:fill="FFFFFF"/>
            <w:vAlign w:val="center"/>
          </w:tcPr>
          <w:p w14:paraId="44565407" w14:textId="24FD1DC1" w:rsidR="00EE66FD" w:rsidRPr="007C4D65" w:rsidRDefault="00EE66FD" w:rsidP="00EE66FD">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4. </w:t>
            </w:r>
            <w:r w:rsidR="00FE2B6F" w:rsidRPr="007C4D65">
              <w:rPr>
                <w:rFonts w:asciiTheme="minorHAnsi" w:eastAsia="Calibri" w:hAnsiTheme="minorHAnsi" w:cstheme="minorHAnsi"/>
                <w:b/>
                <w:bCs/>
                <w:sz w:val="18"/>
                <w:szCs w:val="18"/>
                <w:lang w:eastAsia="en-US"/>
              </w:rPr>
              <w:t>Climate change mitigation and adaptation and improvement of air quality</w:t>
            </w:r>
          </w:p>
        </w:tc>
      </w:tr>
      <w:tr w:rsidR="00EE66FD" w:rsidRPr="007C4D65" w14:paraId="484D583C" w14:textId="77777777" w:rsidTr="00BC37DE">
        <w:trPr>
          <w:trHeight w:val="567"/>
          <w:jc w:val="center"/>
        </w:trPr>
        <w:tc>
          <w:tcPr>
            <w:tcW w:w="1322" w:type="pct"/>
            <w:shd w:val="clear" w:color="auto" w:fill="009D73"/>
            <w:vAlign w:val="center"/>
          </w:tcPr>
          <w:p w14:paraId="0F939DB7"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Priority</w:t>
            </w:r>
          </w:p>
        </w:tc>
        <w:tc>
          <w:tcPr>
            <w:tcW w:w="3678" w:type="pct"/>
            <w:gridSpan w:val="3"/>
            <w:shd w:val="clear" w:color="auto" w:fill="FFFFFF"/>
            <w:vAlign w:val="center"/>
          </w:tcPr>
          <w:p w14:paraId="2D16371E" w14:textId="1A785F20" w:rsidR="00EE66FD" w:rsidRPr="007C4D65" w:rsidRDefault="00EE66FD" w:rsidP="00EE66FD">
            <w:pPr>
              <w:spacing w:before="40" w:after="40" w:line="276" w:lineRule="auto"/>
              <w:rPr>
                <w:rFonts w:asciiTheme="minorHAnsi" w:hAnsiTheme="minorHAnsi" w:cstheme="minorHAnsi"/>
                <w:b/>
                <w:bCs/>
                <w:sz w:val="18"/>
                <w:szCs w:val="18"/>
                <w:lang w:eastAsia="en-US"/>
              </w:rPr>
            </w:pPr>
            <w:r w:rsidRPr="007C4D65">
              <w:rPr>
                <w:rFonts w:asciiTheme="minorHAnsi" w:hAnsiTheme="minorHAnsi" w:cstheme="minorHAnsi"/>
                <w:b/>
                <w:bCs/>
                <w:sz w:val="18"/>
                <w:szCs w:val="18"/>
                <w:lang w:eastAsia="en-US"/>
              </w:rPr>
              <w:t xml:space="preserve">4.5 </w:t>
            </w:r>
            <w:r w:rsidR="00915506" w:rsidRPr="007C4D65">
              <w:rPr>
                <w:rFonts w:asciiTheme="minorHAnsi" w:hAnsiTheme="minorHAnsi" w:cstheme="minorHAnsi"/>
                <w:b/>
                <w:bCs/>
                <w:sz w:val="18"/>
                <w:szCs w:val="18"/>
                <w:lang w:eastAsia="en-US"/>
              </w:rPr>
              <w:t>Improving</w:t>
            </w:r>
            <w:r w:rsidRPr="007C4D65">
              <w:rPr>
                <w:rFonts w:asciiTheme="minorHAnsi" w:hAnsiTheme="minorHAnsi" w:cstheme="minorHAnsi"/>
                <w:b/>
                <w:bCs/>
                <w:sz w:val="18"/>
                <w:szCs w:val="18"/>
                <w:lang w:eastAsia="en-US"/>
              </w:rPr>
              <w:t xml:space="preserve"> </w:t>
            </w:r>
            <w:r w:rsidR="009477FB" w:rsidRPr="007C4D65">
              <w:rPr>
                <w:rFonts w:asciiTheme="minorHAnsi" w:hAnsiTheme="minorHAnsi" w:cstheme="minorHAnsi"/>
                <w:b/>
                <w:bCs/>
                <w:sz w:val="18"/>
                <w:szCs w:val="18"/>
                <w:lang w:eastAsia="en-US"/>
              </w:rPr>
              <w:t>energy efficiency of final consumption</w:t>
            </w:r>
            <w:r w:rsidRPr="007C4D65">
              <w:rPr>
                <w:rFonts w:asciiTheme="minorHAnsi" w:hAnsiTheme="minorHAnsi" w:cstheme="minorHAnsi"/>
                <w:b/>
                <w:bCs/>
                <w:sz w:val="18"/>
                <w:szCs w:val="18"/>
                <w:lang w:eastAsia="en-US"/>
              </w:rPr>
              <w:t xml:space="preserve"> in all sectors</w:t>
            </w:r>
          </w:p>
        </w:tc>
      </w:tr>
      <w:tr w:rsidR="00EE66FD" w:rsidRPr="007C4D65" w14:paraId="4FC55275" w14:textId="77777777" w:rsidTr="00BC37DE">
        <w:trPr>
          <w:trHeight w:val="567"/>
          <w:jc w:val="center"/>
        </w:trPr>
        <w:tc>
          <w:tcPr>
            <w:tcW w:w="1322" w:type="pct"/>
            <w:shd w:val="clear" w:color="auto" w:fill="009D73"/>
            <w:vAlign w:val="center"/>
          </w:tcPr>
          <w:p w14:paraId="5A3EC392"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Title of the measure</w:t>
            </w:r>
          </w:p>
        </w:tc>
        <w:tc>
          <w:tcPr>
            <w:tcW w:w="3678" w:type="pct"/>
            <w:gridSpan w:val="3"/>
            <w:shd w:val="clear" w:color="auto" w:fill="FFFFFF"/>
            <w:vAlign w:val="center"/>
          </w:tcPr>
          <w:p w14:paraId="34E1A6B6" w14:textId="37221CA1" w:rsidR="00EE66FD" w:rsidRPr="007C4D65" w:rsidRDefault="00EE66FD" w:rsidP="00EE66FD">
            <w:pPr>
              <w:spacing w:before="40" w:after="40" w:line="276" w:lineRule="auto"/>
              <w:rPr>
                <w:rFonts w:asciiTheme="minorHAnsi" w:eastAsia="Calibri" w:hAnsiTheme="minorHAnsi" w:cstheme="minorHAnsi"/>
                <w:b/>
                <w:sz w:val="18"/>
                <w:szCs w:val="18"/>
                <w:lang w:eastAsia="en-US"/>
              </w:rPr>
            </w:pPr>
            <w:r w:rsidRPr="007C4D65">
              <w:rPr>
                <w:rFonts w:asciiTheme="minorHAnsi" w:eastAsia="Calibri" w:hAnsiTheme="minorHAnsi" w:cstheme="minorHAnsi"/>
                <w:b/>
                <w:bCs/>
                <w:sz w:val="18"/>
                <w:szCs w:val="18"/>
                <w:lang w:eastAsia="en-US"/>
              </w:rPr>
              <w:t>4.5.3 Reduc</w:t>
            </w:r>
            <w:r w:rsidR="007B1E43" w:rsidRPr="007C4D65">
              <w:rPr>
                <w:rFonts w:asciiTheme="minorHAnsi" w:eastAsia="Calibri" w:hAnsiTheme="minorHAnsi" w:cstheme="minorHAnsi"/>
                <w:b/>
                <w:bCs/>
                <w:sz w:val="18"/>
                <w:szCs w:val="18"/>
                <w:lang w:eastAsia="en-US"/>
              </w:rPr>
              <w:t>ing the</w:t>
            </w:r>
            <w:r w:rsidRPr="007C4D65">
              <w:rPr>
                <w:rFonts w:asciiTheme="minorHAnsi" w:eastAsia="Calibri" w:hAnsiTheme="minorHAnsi" w:cstheme="minorHAnsi"/>
                <w:b/>
                <w:bCs/>
                <w:sz w:val="18"/>
                <w:szCs w:val="18"/>
                <w:lang w:eastAsia="en-US"/>
              </w:rPr>
              <w:t xml:space="preserve"> primary energy consumption</w:t>
            </w:r>
          </w:p>
        </w:tc>
      </w:tr>
      <w:tr w:rsidR="00EE66FD" w:rsidRPr="007C4D65" w14:paraId="716436ED" w14:textId="77777777" w:rsidTr="00BC37DE">
        <w:trPr>
          <w:trHeight w:val="567"/>
          <w:jc w:val="center"/>
        </w:trPr>
        <w:tc>
          <w:tcPr>
            <w:tcW w:w="1322" w:type="pct"/>
            <w:shd w:val="clear" w:color="auto" w:fill="009D73"/>
            <w:vAlign w:val="center"/>
          </w:tcPr>
          <w:p w14:paraId="5FF9312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 xml:space="preserve">Description of the measure with the general areas of intervention </w:t>
            </w:r>
          </w:p>
        </w:tc>
        <w:tc>
          <w:tcPr>
            <w:tcW w:w="3678" w:type="pct"/>
            <w:gridSpan w:val="3"/>
            <w:shd w:val="clear" w:color="auto" w:fill="FFFFFF"/>
            <w:vAlign w:val="center"/>
          </w:tcPr>
          <w:p w14:paraId="438A5A99" w14:textId="10EFBF4B" w:rsidR="008C3DFC"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The aim of this measure is to reduce</w:t>
            </w:r>
            <w:r w:rsidR="007B1E43" w:rsidRPr="007C4D65">
              <w:rPr>
                <w:rFonts w:asciiTheme="minorHAnsi" w:eastAsia="Calibri" w:hAnsiTheme="minorHAnsi" w:cstheme="minorHAnsi"/>
                <w:sz w:val="18"/>
                <w:szCs w:val="18"/>
                <w:lang w:eastAsia="en-US"/>
              </w:rPr>
              <w:t xml:space="preserve"> the</w:t>
            </w:r>
            <w:r w:rsidRPr="007C4D65">
              <w:rPr>
                <w:rFonts w:asciiTheme="minorHAnsi" w:eastAsia="Calibri" w:hAnsiTheme="minorHAnsi" w:cstheme="minorHAnsi"/>
                <w:sz w:val="18"/>
                <w:szCs w:val="18"/>
                <w:lang w:eastAsia="en-US"/>
              </w:rPr>
              <w:t xml:space="preserve"> </w:t>
            </w:r>
            <w:r w:rsidR="007B1E43" w:rsidRPr="007C4D65">
              <w:rPr>
                <w:rFonts w:asciiTheme="minorHAnsi" w:eastAsia="Calibri" w:hAnsiTheme="minorHAnsi" w:cstheme="minorHAnsi"/>
                <w:sz w:val="18"/>
                <w:szCs w:val="18"/>
                <w:lang w:eastAsia="en-US"/>
              </w:rPr>
              <w:t xml:space="preserve">primary energy </w:t>
            </w:r>
            <w:r w:rsidRPr="007C4D65">
              <w:rPr>
                <w:rFonts w:asciiTheme="minorHAnsi" w:eastAsia="Calibri" w:hAnsiTheme="minorHAnsi" w:cstheme="minorHAnsi"/>
                <w:sz w:val="18"/>
                <w:szCs w:val="18"/>
                <w:lang w:eastAsia="en-US"/>
              </w:rPr>
              <w:t>consumption through strengthening of the legislative and strategic framework focus</w:t>
            </w:r>
            <w:r w:rsidR="007B1E43" w:rsidRPr="007C4D65">
              <w:rPr>
                <w:rFonts w:asciiTheme="minorHAnsi" w:eastAsia="Calibri" w:hAnsiTheme="minorHAnsi" w:cstheme="minorHAnsi"/>
                <w:sz w:val="18"/>
                <w:szCs w:val="18"/>
                <w:lang w:eastAsia="en-US"/>
              </w:rPr>
              <w:t>ing</w:t>
            </w:r>
            <w:r w:rsidRPr="007C4D65">
              <w:rPr>
                <w:rFonts w:asciiTheme="minorHAnsi" w:eastAsia="Calibri" w:hAnsiTheme="minorHAnsi" w:cstheme="minorHAnsi"/>
                <w:sz w:val="18"/>
                <w:szCs w:val="18"/>
                <w:lang w:eastAsia="en-US"/>
              </w:rPr>
              <w:t xml:space="preserve"> on reduction of losses in power generation.</w:t>
            </w:r>
          </w:p>
          <w:p w14:paraId="75DEF55C" w14:textId="588A5BE3" w:rsidR="00EE66FD" w:rsidRPr="007C4D65" w:rsidRDefault="008C3DFC"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EE66FD" w:rsidRPr="007C4D65">
              <w:rPr>
                <w:rFonts w:asciiTheme="minorHAnsi" w:eastAsia="Calibri" w:hAnsiTheme="minorHAnsi" w:cstheme="minorHAnsi"/>
                <w:sz w:val="18"/>
                <w:szCs w:val="18"/>
                <w:lang w:eastAsia="en-US"/>
              </w:rPr>
              <w:t>eneral areas of intervention are:</w:t>
            </w:r>
          </w:p>
          <w:p w14:paraId="0577CEF9" w14:textId="0241F437" w:rsidR="00EE66FD" w:rsidRPr="007C4D65" w:rsidRDefault="00EE66FD">
            <w:pPr>
              <w:numPr>
                <w:ilvl w:val="0"/>
                <w:numId w:val="12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Implementing the Eco-design standard for stoves/</w:t>
            </w:r>
            <w:proofErr w:type="gramStart"/>
            <w:r w:rsidRPr="007C4D65">
              <w:rPr>
                <w:rFonts w:asciiTheme="minorHAnsi" w:eastAsia="Calibri" w:hAnsiTheme="minorHAnsi" w:cstheme="minorHAnsi"/>
                <w:sz w:val="18"/>
                <w:szCs w:val="18"/>
                <w:lang w:eastAsia="en-US"/>
              </w:rPr>
              <w:t>boilers</w:t>
            </w:r>
            <w:r w:rsidR="008C3DFC" w:rsidRPr="007C4D65">
              <w:rPr>
                <w:rFonts w:asciiTheme="minorHAnsi" w:eastAsia="Calibri" w:hAnsiTheme="minorHAnsi" w:cstheme="minorHAnsi"/>
                <w:sz w:val="18"/>
                <w:szCs w:val="18"/>
                <w:lang w:eastAsia="en-US"/>
              </w:rPr>
              <w:t>;</w:t>
            </w:r>
            <w:proofErr w:type="gramEnd"/>
          </w:p>
          <w:p w14:paraId="604BE65F" w14:textId="37428C51" w:rsidR="00EE66FD" w:rsidRPr="007C4D65" w:rsidRDefault="00EE66FD">
            <w:pPr>
              <w:numPr>
                <w:ilvl w:val="0"/>
                <w:numId w:val="12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Offering incentives to promote purchase of efficient heating and cooling </w:t>
            </w:r>
            <w:proofErr w:type="gramStart"/>
            <w:r w:rsidRPr="007C4D65">
              <w:rPr>
                <w:rFonts w:asciiTheme="minorHAnsi" w:eastAsia="Calibri" w:hAnsiTheme="minorHAnsi" w:cstheme="minorHAnsi"/>
                <w:sz w:val="18"/>
                <w:szCs w:val="18"/>
                <w:lang w:eastAsia="en-US"/>
              </w:rPr>
              <w:t>appliances</w:t>
            </w:r>
            <w:r w:rsidR="008C3DFC" w:rsidRPr="007C4D65">
              <w:rPr>
                <w:rFonts w:asciiTheme="minorHAnsi" w:eastAsia="Calibri" w:hAnsiTheme="minorHAnsi" w:cstheme="minorHAnsi"/>
                <w:sz w:val="18"/>
                <w:szCs w:val="18"/>
                <w:lang w:eastAsia="en-US"/>
              </w:rPr>
              <w:t>;</w:t>
            </w:r>
            <w:proofErr w:type="gramEnd"/>
          </w:p>
          <w:p w14:paraId="5AD1A207" w14:textId="1F2FE715" w:rsidR="00EE66FD" w:rsidRPr="007C4D65" w:rsidRDefault="00EE66FD">
            <w:pPr>
              <w:numPr>
                <w:ilvl w:val="0"/>
                <w:numId w:val="126"/>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Reducing losses in distribution of heat and </w:t>
            </w:r>
            <w:proofErr w:type="gramStart"/>
            <w:r w:rsidRPr="007C4D65">
              <w:rPr>
                <w:rFonts w:asciiTheme="minorHAnsi" w:eastAsia="Calibri" w:hAnsiTheme="minorHAnsi" w:cstheme="minorHAnsi"/>
                <w:sz w:val="18"/>
                <w:szCs w:val="18"/>
                <w:lang w:eastAsia="en-US"/>
              </w:rPr>
              <w:t>electricity</w:t>
            </w:r>
            <w:r w:rsidR="008C3DFC" w:rsidRPr="007C4D65">
              <w:rPr>
                <w:rFonts w:asciiTheme="minorHAnsi" w:eastAsia="Calibri" w:hAnsiTheme="minorHAnsi" w:cstheme="minorHAnsi"/>
                <w:sz w:val="18"/>
                <w:szCs w:val="18"/>
                <w:lang w:eastAsia="en-US"/>
              </w:rPr>
              <w:t>;.</w:t>
            </w:r>
            <w:proofErr w:type="gramEnd"/>
          </w:p>
          <w:p w14:paraId="3741C661" w14:textId="578A642F" w:rsidR="00EE66FD" w:rsidRPr="007C4D65" w:rsidRDefault="00EE66FD">
            <w:pPr>
              <w:numPr>
                <w:ilvl w:val="0"/>
                <w:numId w:val="126"/>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Introducing subsidies for energy from highly efficient </w:t>
            </w:r>
            <w:r w:rsidR="008C3DFC" w:rsidRPr="007C4D65">
              <w:rPr>
                <w:rFonts w:asciiTheme="minorHAnsi" w:eastAsia="Calibri" w:hAnsiTheme="minorHAnsi" w:cstheme="minorHAnsi"/>
                <w:sz w:val="18"/>
                <w:szCs w:val="18"/>
                <w:lang w:eastAsia="en-US"/>
              </w:rPr>
              <w:t>cogeneration</w:t>
            </w:r>
            <w:r w:rsidR="008C3DFC" w:rsidRPr="007C4D65">
              <w:rPr>
                <w:rFonts w:asciiTheme="minorHAnsi" w:eastAsiaTheme="minorHAnsi" w:hAnsiTheme="minorHAnsi" w:cstheme="minorHAnsi"/>
                <w:color w:val="000000"/>
                <w:sz w:val="18"/>
                <w:szCs w:val="18"/>
                <w:lang w:eastAsia="en-US"/>
              </w:rPr>
              <w:t>.</w:t>
            </w:r>
          </w:p>
        </w:tc>
      </w:tr>
      <w:tr w:rsidR="00EE66FD" w:rsidRPr="007C4D65" w14:paraId="30EFFA19" w14:textId="77777777" w:rsidTr="00BC37DE">
        <w:trPr>
          <w:trHeight w:val="567"/>
          <w:jc w:val="center"/>
        </w:trPr>
        <w:tc>
          <w:tcPr>
            <w:tcW w:w="1322" w:type="pct"/>
            <w:shd w:val="clear" w:color="auto" w:fill="009D73"/>
            <w:vAlign w:val="center"/>
          </w:tcPr>
          <w:p w14:paraId="2C9C0B1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Strategic projects</w:t>
            </w:r>
          </w:p>
        </w:tc>
        <w:tc>
          <w:tcPr>
            <w:tcW w:w="3678" w:type="pct"/>
            <w:gridSpan w:val="3"/>
            <w:shd w:val="clear" w:color="auto" w:fill="FFFFFF" w:themeFill="background1"/>
            <w:vAlign w:val="center"/>
          </w:tcPr>
          <w:p w14:paraId="79619DCF"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E66FD" w:rsidRPr="007C4D65" w14:paraId="5F4A1857" w14:textId="77777777" w:rsidTr="00BC37DE">
        <w:trPr>
          <w:trHeight w:val="567"/>
          <w:jc w:val="center"/>
        </w:trPr>
        <w:tc>
          <w:tcPr>
            <w:tcW w:w="1322" w:type="pct"/>
            <w:vMerge w:val="restart"/>
            <w:shd w:val="clear" w:color="auto" w:fill="009D73"/>
            <w:vAlign w:val="center"/>
          </w:tcPr>
          <w:p w14:paraId="015A5A24"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 for monitoring of results</w:t>
            </w:r>
          </w:p>
        </w:tc>
        <w:tc>
          <w:tcPr>
            <w:tcW w:w="1145" w:type="pct"/>
            <w:shd w:val="clear" w:color="auto" w:fill="009D73"/>
            <w:vAlign w:val="center"/>
          </w:tcPr>
          <w:p w14:paraId="0240CE61"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w:t>
            </w:r>
          </w:p>
          <w:p w14:paraId="0B3A14AB"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w:t>
            </w:r>
            <w:proofErr w:type="gramStart"/>
            <w:r w:rsidRPr="007C4D65">
              <w:rPr>
                <w:rFonts w:asciiTheme="minorHAnsi" w:eastAsiaTheme="minorHAnsi" w:hAnsiTheme="minorHAnsi" w:cstheme="minorHAnsi"/>
                <w:b/>
                <w:bCs/>
                <w:color w:val="FFFFFF" w:themeColor="background1"/>
                <w:sz w:val="18"/>
                <w:szCs w:val="18"/>
                <w:lang w:eastAsia="en-US"/>
              </w:rPr>
              <w:t>outputs</w:t>
            </w:r>
            <w:proofErr w:type="gramEnd"/>
            <w:r w:rsidRPr="007C4D65">
              <w:rPr>
                <w:rFonts w:asciiTheme="minorHAnsi" w:eastAsiaTheme="minorHAnsi" w:hAnsiTheme="minorHAnsi" w:cstheme="minorHAnsi"/>
                <w:b/>
                <w:bCs/>
                <w:color w:val="FFFFFF" w:themeColor="background1"/>
                <w:sz w:val="18"/>
                <w:szCs w:val="18"/>
                <w:lang w:eastAsia="en-US"/>
              </w:rPr>
              <w:t xml:space="preserve"> and deliverables)</w:t>
            </w:r>
          </w:p>
        </w:tc>
        <w:tc>
          <w:tcPr>
            <w:tcW w:w="1267" w:type="pct"/>
            <w:shd w:val="clear" w:color="auto" w:fill="009D73"/>
            <w:vAlign w:val="center"/>
          </w:tcPr>
          <w:p w14:paraId="4E37904A"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Baseline value</w:t>
            </w:r>
          </w:p>
        </w:tc>
        <w:tc>
          <w:tcPr>
            <w:tcW w:w="1267" w:type="pct"/>
            <w:shd w:val="clear" w:color="auto" w:fill="009D73"/>
            <w:vAlign w:val="center"/>
          </w:tcPr>
          <w:p w14:paraId="44A73FDF"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value</w:t>
            </w:r>
          </w:p>
        </w:tc>
      </w:tr>
      <w:tr w:rsidR="00EE66FD" w:rsidRPr="007C4D65" w14:paraId="6FC2D830" w14:textId="77777777" w:rsidTr="00BC37DE">
        <w:trPr>
          <w:trHeight w:val="567"/>
          <w:jc w:val="center"/>
        </w:trPr>
        <w:tc>
          <w:tcPr>
            <w:tcW w:w="1322" w:type="pct"/>
            <w:vMerge/>
            <w:shd w:val="clear" w:color="auto" w:fill="009D73"/>
            <w:vAlign w:val="center"/>
          </w:tcPr>
          <w:p w14:paraId="3894A2A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393029AC" w14:textId="62171695" w:rsidR="00EE66FD" w:rsidRPr="007C4D65" w:rsidRDefault="00EE66FD">
            <w:pPr>
              <w:numPr>
                <w:ilvl w:val="0"/>
                <w:numId w:val="127"/>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7B1E43"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adoption of the regulation</w:t>
            </w:r>
          </w:p>
        </w:tc>
        <w:tc>
          <w:tcPr>
            <w:tcW w:w="1267" w:type="pct"/>
            <w:shd w:val="clear" w:color="auto" w:fill="FFFFFF"/>
            <w:vAlign w:val="center"/>
          </w:tcPr>
          <w:p w14:paraId="07BB78E4" w14:textId="248F431A"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No regulation </w:t>
            </w:r>
            <w:r w:rsidR="007B1E43" w:rsidRPr="007C4D65">
              <w:rPr>
                <w:rFonts w:asciiTheme="minorHAnsi" w:eastAsiaTheme="minorHAnsi" w:hAnsiTheme="minorHAnsi" w:cstheme="minorHAnsi"/>
                <w:sz w:val="18"/>
                <w:szCs w:val="18"/>
                <w:lang w:eastAsia="en-US"/>
              </w:rPr>
              <w:t>requiring</w:t>
            </w:r>
            <w:r w:rsidRPr="007C4D65">
              <w:rPr>
                <w:rFonts w:asciiTheme="minorHAnsi" w:eastAsiaTheme="minorHAnsi" w:hAnsiTheme="minorHAnsi" w:cstheme="minorHAnsi"/>
                <w:sz w:val="18"/>
                <w:szCs w:val="18"/>
                <w:lang w:eastAsia="en-US"/>
              </w:rPr>
              <w:t xml:space="preserve"> compliance with </w:t>
            </w:r>
            <w:proofErr w:type="spellStart"/>
            <w:r w:rsidRPr="007C4D65">
              <w:rPr>
                <w:rFonts w:asciiTheme="minorHAnsi" w:eastAsiaTheme="minorHAnsi" w:hAnsiTheme="minorHAnsi" w:cstheme="minorHAnsi"/>
                <w:sz w:val="18"/>
                <w:szCs w:val="18"/>
                <w:lang w:eastAsia="en-US"/>
              </w:rPr>
              <w:t>EcoDesign</w:t>
            </w:r>
            <w:proofErr w:type="spellEnd"/>
          </w:p>
        </w:tc>
        <w:tc>
          <w:tcPr>
            <w:tcW w:w="1267" w:type="pct"/>
            <w:shd w:val="clear" w:color="auto" w:fill="FFFFFF"/>
            <w:vAlign w:val="center"/>
          </w:tcPr>
          <w:p w14:paraId="3E19684B" w14:textId="120F2C94"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Rulebook adopted (rulebook </w:t>
            </w:r>
            <w:r w:rsidR="007B1E43" w:rsidRPr="007C4D65">
              <w:rPr>
                <w:rFonts w:asciiTheme="minorHAnsi" w:eastAsiaTheme="minorHAnsi" w:hAnsiTheme="minorHAnsi" w:cstheme="minorHAnsi"/>
                <w:sz w:val="18"/>
                <w:szCs w:val="18"/>
                <w:lang w:eastAsia="en-US"/>
              </w:rPr>
              <w:t>accompanying</w:t>
            </w:r>
            <w:r w:rsidRPr="007C4D65">
              <w:rPr>
                <w:rFonts w:asciiTheme="minorHAnsi" w:eastAsiaTheme="minorHAnsi" w:hAnsiTheme="minorHAnsi" w:cstheme="minorHAnsi"/>
                <w:sz w:val="18"/>
                <w:szCs w:val="18"/>
                <w:lang w:eastAsia="en-US"/>
              </w:rPr>
              <w:t xml:space="preserve"> Law on EE)</w:t>
            </w:r>
          </w:p>
        </w:tc>
      </w:tr>
      <w:tr w:rsidR="00EE66FD" w:rsidRPr="007C4D65" w14:paraId="29653976" w14:textId="77777777" w:rsidTr="00BC37DE">
        <w:trPr>
          <w:trHeight w:val="567"/>
          <w:jc w:val="center"/>
        </w:trPr>
        <w:tc>
          <w:tcPr>
            <w:tcW w:w="1322" w:type="pct"/>
            <w:vMerge/>
            <w:shd w:val="clear" w:color="auto" w:fill="009D73"/>
            <w:vAlign w:val="center"/>
          </w:tcPr>
          <w:p w14:paraId="20ECAC90"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32A4E55B" w14:textId="1D89B795" w:rsidR="00EE66FD" w:rsidRPr="007C4D65" w:rsidRDefault="00EE66FD">
            <w:pPr>
              <w:numPr>
                <w:ilvl w:val="0"/>
                <w:numId w:val="127"/>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7B1E43"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adoption of the incentive scheme</w:t>
            </w:r>
          </w:p>
        </w:tc>
        <w:tc>
          <w:tcPr>
            <w:tcW w:w="1267" w:type="pct"/>
            <w:shd w:val="clear" w:color="auto" w:fill="FFFFFF"/>
            <w:vAlign w:val="center"/>
          </w:tcPr>
          <w:p w14:paraId="7AFFB41D" w14:textId="01DF2B7E"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Three is no comprehensive scheme</w:t>
            </w:r>
            <w:r w:rsidR="007B1E43" w:rsidRPr="007C4D65">
              <w:rPr>
                <w:rFonts w:asciiTheme="minorHAnsi" w:eastAsiaTheme="minorHAnsi" w:hAnsiTheme="minorHAnsi" w:cstheme="minorHAnsi"/>
                <w:sz w:val="18"/>
                <w:szCs w:val="18"/>
                <w:lang w:eastAsia="en-US"/>
              </w:rPr>
              <w:t xml:space="preserve"> in the</w:t>
            </w:r>
            <w:r w:rsidRPr="007C4D65">
              <w:rPr>
                <w:rFonts w:asciiTheme="minorHAnsi" w:eastAsiaTheme="minorHAnsi" w:hAnsiTheme="minorHAnsi" w:cstheme="minorHAnsi"/>
                <w:sz w:val="18"/>
                <w:szCs w:val="18"/>
                <w:lang w:eastAsia="en-US"/>
              </w:rPr>
              <w:t xml:space="preserve"> entire F</w:t>
            </w:r>
            <w:r w:rsidR="007B1E43" w:rsidRPr="007C4D65">
              <w:rPr>
                <w:rFonts w:asciiTheme="minorHAnsi" w:eastAsiaTheme="minorHAnsi" w:hAnsiTheme="minorHAnsi" w:cstheme="minorHAnsi"/>
                <w:sz w:val="18"/>
                <w:szCs w:val="18"/>
                <w:lang w:eastAsia="en-US"/>
              </w:rPr>
              <w:t xml:space="preserve">ederation of </w:t>
            </w:r>
            <w:r w:rsidRPr="007C4D65">
              <w:rPr>
                <w:rFonts w:asciiTheme="minorHAnsi" w:eastAsiaTheme="minorHAnsi" w:hAnsiTheme="minorHAnsi" w:cstheme="minorHAnsi"/>
                <w:sz w:val="18"/>
                <w:szCs w:val="18"/>
                <w:lang w:eastAsia="en-US"/>
              </w:rPr>
              <w:t>BiH</w:t>
            </w:r>
          </w:p>
        </w:tc>
        <w:tc>
          <w:tcPr>
            <w:tcW w:w="1267" w:type="pct"/>
            <w:shd w:val="clear" w:color="auto" w:fill="FFFFFF"/>
            <w:vAlign w:val="center"/>
          </w:tcPr>
          <w:p w14:paraId="3EADB77E"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Incentive scheme introduced</w:t>
            </w:r>
          </w:p>
        </w:tc>
      </w:tr>
      <w:tr w:rsidR="00EE66FD" w:rsidRPr="007C4D65" w14:paraId="3F0EBECC" w14:textId="77777777" w:rsidTr="00BC37DE">
        <w:trPr>
          <w:trHeight w:val="567"/>
          <w:jc w:val="center"/>
        </w:trPr>
        <w:tc>
          <w:tcPr>
            <w:tcW w:w="1322" w:type="pct"/>
            <w:vMerge/>
            <w:shd w:val="clear" w:color="auto" w:fill="009D73"/>
            <w:vAlign w:val="center"/>
          </w:tcPr>
          <w:p w14:paraId="2B5A31CB"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3E350EFD" w14:textId="0828D366" w:rsidR="00EE66FD" w:rsidRPr="007C4D65" w:rsidRDefault="00EE66FD">
            <w:pPr>
              <w:numPr>
                <w:ilvl w:val="0"/>
                <w:numId w:val="127"/>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Percentage </w:t>
            </w:r>
            <w:r w:rsidR="00EB2270" w:rsidRPr="007C4D65">
              <w:rPr>
                <w:rFonts w:asciiTheme="minorHAnsi" w:eastAsia="Calibri" w:hAnsiTheme="minorHAnsi" w:cstheme="minorHAnsi"/>
                <w:sz w:val="18"/>
                <w:szCs w:val="18"/>
                <w:lang w:eastAsia="en-US"/>
              </w:rPr>
              <w:t>reduction of</w:t>
            </w:r>
            <w:r w:rsidRPr="007C4D65">
              <w:rPr>
                <w:rFonts w:asciiTheme="minorHAnsi" w:eastAsia="Calibri" w:hAnsiTheme="minorHAnsi" w:cstheme="minorHAnsi"/>
                <w:sz w:val="18"/>
                <w:szCs w:val="18"/>
                <w:lang w:eastAsia="en-US"/>
              </w:rPr>
              <w:t xml:space="preserve"> losses in distribution of heat and electricity</w:t>
            </w:r>
          </w:p>
        </w:tc>
        <w:tc>
          <w:tcPr>
            <w:tcW w:w="1267" w:type="pct"/>
            <w:shd w:val="clear" w:color="auto" w:fill="FFFFFF"/>
            <w:vAlign w:val="center"/>
          </w:tcPr>
          <w:p w14:paraId="148CDC60" w14:textId="3BAC0FFF" w:rsidR="00EE66FD" w:rsidRPr="007C4D65" w:rsidRDefault="00EB2270"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Current</w:t>
            </w:r>
            <w:r w:rsidR="00EE66FD" w:rsidRPr="007C4D65">
              <w:rPr>
                <w:rFonts w:asciiTheme="minorHAnsi" w:eastAsiaTheme="minorHAnsi" w:hAnsiTheme="minorHAnsi" w:cstheme="minorHAnsi"/>
                <w:sz w:val="18"/>
                <w:szCs w:val="18"/>
                <w:lang w:eastAsia="en-US"/>
              </w:rPr>
              <w:t xml:space="preserve"> losses, </w:t>
            </w:r>
            <w:proofErr w:type="gramStart"/>
            <w:r w:rsidR="00EE66FD" w:rsidRPr="007C4D65">
              <w:rPr>
                <w:rFonts w:asciiTheme="minorHAnsi" w:eastAsiaTheme="minorHAnsi" w:hAnsiTheme="minorHAnsi" w:cstheme="minorHAnsi"/>
                <w:sz w:val="18"/>
                <w:szCs w:val="18"/>
                <w:lang w:eastAsia="en-US"/>
              </w:rPr>
              <w:t xml:space="preserve">in particular </w:t>
            </w:r>
            <w:r w:rsidRPr="007C4D65">
              <w:rPr>
                <w:rFonts w:asciiTheme="minorHAnsi" w:eastAsiaTheme="minorHAnsi" w:hAnsiTheme="minorHAnsi" w:cstheme="minorHAnsi"/>
                <w:sz w:val="18"/>
                <w:szCs w:val="18"/>
                <w:lang w:eastAsia="en-US"/>
              </w:rPr>
              <w:t>in</w:t>
            </w:r>
            <w:proofErr w:type="gramEnd"/>
            <w:r w:rsidR="00EE66FD" w:rsidRPr="007C4D65">
              <w:rPr>
                <w:rFonts w:asciiTheme="minorHAnsi" w:eastAsiaTheme="minorHAnsi" w:hAnsiTheme="minorHAnsi" w:cstheme="minorHAnsi"/>
                <w:sz w:val="18"/>
                <w:szCs w:val="18"/>
                <w:lang w:eastAsia="en-US"/>
              </w:rPr>
              <w:t xml:space="preserve"> heat distribution are relatively high</w:t>
            </w:r>
          </w:p>
        </w:tc>
        <w:tc>
          <w:tcPr>
            <w:tcW w:w="1267" w:type="pct"/>
            <w:shd w:val="clear" w:color="auto" w:fill="FFFFFF"/>
            <w:vAlign w:val="center"/>
          </w:tcPr>
          <w:p w14:paraId="7AEF07E4"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Energy losses reduced</w:t>
            </w:r>
          </w:p>
        </w:tc>
      </w:tr>
      <w:tr w:rsidR="00EE66FD" w:rsidRPr="007C4D65" w14:paraId="63D4EE76" w14:textId="77777777" w:rsidTr="00BC37DE">
        <w:trPr>
          <w:trHeight w:val="567"/>
          <w:jc w:val="center"/>
        </w:trPr>
        <w:tc>
          <w:tcPr>
            <w:tcW w:w="1322" w:type="pct"/>
            <w:vMerge/>
            <w:shd w:val="clear" w:color="auto" w:fill="009D73"/>
            <w:vAlign w:val="center"/>
          </w:tcPr>
          <w:p w14:paraId="33BA737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12EBC65E" w14:textId="320045F3" w:rsidR="00EE66FD" w:rsidRPr="007C4D65" w:rsidRDefault="00EE66FD">
            <w:pPr>
              <w:numPr>
                <w:ilvl w:val="0"/>
                <w:numId w:val="127"/>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Status of adopting </w:t>
            </w:r>
            <w:r w:rsidR="00EB2270" w:rsidRPr="007C4D65">
              <w:rPr>
                <w:rFonts w:asciiTheme="minorHAnsi" w:eastAsiaTheme="minorHAnsi" w:hAnsiTheme="minorHAnsi" w:cstheme="minorHAnsi"/>
                <w:sz w:val="18"/>
                <w:szCs w:val="18"/>
                <w:lang w:eastAsia="en-US"/>
              </w:rPr>
              <w:t xml:space="preserve">an </w:t>
            </w:r>
            <w:r w:rsidRPr="007C4D65">
              <w:rPr>
                <w:rFonts w:asciiTheme="minorHAnsi" w:eastAsiaTheme="minorHAnsi" w:hAnsiTheme="minorHAnsi" w:cstheme="minorHAnsi"/>
                <w:sz w:val="18"/>
                <w:szCs w:val="18"/>
                <w:lang w:eastAsia="en-US"/>
              </w:rPr>
              <w:t>improved scheme for subsiding cogeneration</w:t>
            </w:r>
          </w:p>
        </w:tc>
        <w:tc>
          <w:tcPr>
            <w:tcW w:w="1267" w:type="pct"/>
            <w:shd w:val="clear" w:color="auto" w:fill="FFFFFF"/>
            <w:vAlign w:val="center"/>
          </w:tcPr>
          <w:p w14:paraId="7A25B17A" w14:textId="0A9D4588"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There are no quotas </w:t>
            </w:r>
            <w:r w:rsidR="00EB2270" w:rsidRPr="007C4D65">
              <w:rPr>
                <w:rFonts w:asciiTheme="minorHAnsi" w:eastAsiaTheme="minorHAnsi" w:hAnsiTheme="minorHAnsi" w:cstheme="minorHAnsi"/>
                <w:sz w:val="18"/>
                <w:szCs w:val="18"/>
                <w:lang w:eastAsia="en-US"/>
              </w:rPr>
              <w:t>to incentivise</w:t>
            </w:r>
            <w:r w:rsidRPr="007C4D65">
              <w:rPr>
                <w:rFonts w:asciiTheme="minorHAnsi" w:eastAsiaTheme="minorHAnsi" w:hAnsiTheme="minorHAnsi" w:cstheme="minorHAnsi"/>
                <w:sz w:val="18"/>
                <w:szCs w:val="18"/>
                <w:lang w:eastAsia="en-US"/>
              </w:rPr>
              <w:t xml:space="preserve"> cogeneration</w:t>
            </w:r>
          </w:p>
        </w:tc>
        <w:tc>
          <w:tcPr>
            <w:tcW w:w="1267" w:type="pct"/>
            <w:shd w:val="clear" w:color="auto" w:fill="FFFFFF"/>
            <w:vAlign w:val="center"/>
          </w:tcPr>
          <w:p w14:paraId="13169168" w14:textId="701A286F" w:rsidR="00EE66FD" w:rsidRPr="007C4D65" w:rsidRDefault="00EB2270"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c</w:t>
            </w:r>
            <w:r w:rsidR="00EE66FD" w:rsidRPr="007C4D65">
              <w:rPr>
                <w:rFonts w:asciiTheme="minorHAnsi" w:eastAsiaTheme="minorHAnsi" w:hAnsiTheme="minorHAnsi" w:cstheme="minorHAnsi"/>
                <w:sz w:val="18"/>
                <w:szCs w:val="18"/>
                <w:lang w:eastAsia="en-US"/>
              </w:rPr>
              <w:t>urrent scheme for subsiding cogeneration improved</w:t>
            </w:r>
          </w:p>
        </w:tc>
      </w:tr>
      <w:tr w:rsidR="00EE66FD" w:rsidRPr="007C4D65" w14:paraId="631F05E0" w14:textId="77777777" w:rsidTr="00BC37DE">
        <w:trPr>
          <w:trHeight w:val="567"/>
          <w:jc w:val="center"/>
        </w:trPr>
        <w:tc>
          <w:tcPr>
            <w:tcW w:w="1322" w:type="pct"/>
            <w:shd w:val="clear" w:color="auto" w:fill="009D73"/>
            <w:vAlign w:val="center"/>
          </w:tcPr>
          <w:p w14:paraId="7ACD2118"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Effect on the development and contribution of the measure to the priority</w:t>
            </w:r>
          </w:p>
        </w:tc>
        <w:tc>
          <w:tcPr>
            <w:tcW w:w="3678" w:type="pct"/>
            <w:gridSpan w:val="3"/>
            <w:shd w:val="clear" w:color="auto" w:fill="FFFFFF"/>
            <w:vAlign w:val="center"/>
          </w:tcPr>
          <w:p w14:paraId="2A7B9C11" w14:textId="0AFC1E8D" w:rsidR="00EE66FD" w:rsidRPr="007C4D65" w:rsidRDefault="00EB2270"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Improved competitiveness of industry and improved living and working conditions, including reduced electricity costs</w:t>
            </w:r>
          </w:p>
        </w:tc>
      </w:tr>
      <w:tr w:rsidR="00EE66FD" w:rsidRPr="007C4D65" w14:paraId="7EDCF4D4" w14:textId="77777777" w:rsidTr="00BC37DE">
        <w:trPr>
          <w:trHeight w:val="567"/>
          <w:jc w:val="center"/>
        </w:trPr>
        <w:tc>
          <w:tcPr>
            <w:tcW w:w="1322" w:type="pct"/>
            <w:shd w:val="clear" w:color="auto" w:fill="009D73"/>
            <w:vAlign w:val="center"/>
          </w:tcPr>
          <w:p w14:paraId="38314A14" w14:textId="5593F96E"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Indicative financial projection, with specification of sources</w:t>
            </w:r>
          </w:p>
        </w:tc>
        <w:tc>
          <w:tcPr>
            <w:tcW w:w="3678" w:type="pct"/>
            <w:gridSpan w:val="3"/>
            <w:shd w:val="clear" w:color="auto" w:fill="FFFFFF"/>
            <w:vAlign w:val="center"/>
          </w:tcPr>
          <w:p w14:paraId="0BCEC7A9" w14:textId="062A3FC8" w:rsidR="00EB2270" w:rsidRPr="007C4D65" w:rsidRDefault="00353DF0" w:rsidP="00EB2270">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w:t>
            </w:r>
            <w:r w:rsidR="00EB2270" w:rsidRPr="007C4D65">
              <w:rPr>
                <w:rFonts w:asciiTheme="minorHAnsi" w:hAnsiTheme="minorHAnsi" w:cstheme="minorHAnsi"/>
                <w:sz w:val="18"/>
                <w:szCs w:val="18"/>
                <w:lang w:bidi="en-US"/>
              </w:rPr>
              <w:t>: BAM 90 975 955</w:t>
            </w:r>
          </w:p>
          <w:p w14:paraId="55F3A3BA" w14:textId="514895B7" w:rsidR="00EE66FD" w:rsidRPr="007C4D65" w:rsidRDefault="00353DF0" w:rsidP="00EB2270">
            <w:pPr>
              <w:spacing w:before="40" w:after="40" w:line="276" w:lineRule="auto"/>
              <w:rPr>
                <w:rFonts w:asciiTheme="minorHAnsi" w:eastAsiaTheme="minorHAnsi" w:hAnsiTheme="minorHAnsi" w:cstheme="minorHAnsi"/>
                <w:bCs/>
                <w:sz w:val="18"/>
                <w:szCs w:val="18"/>
                <w:lang w:eastAsia="en-US"/>
              </w:rPr>
            </w:pPr>
            <w:r w:rsidRPr="007C4D65">
              <w:rPr>
                <w:rFonts w:asciiTheme="minorHAnsi" w:hAnsiTheme="minorHAnsi" w:cstheme="minorHAnsi"/>
                <w:sz w:val="18"/>
                <w:szCs w:val="18"/>
                <w:lang w:bidi="en-US"/>
              </w:rPr>
              <w:t>Source</w:t>
            </w:r>
            <w:r w:rsidR="00EB2270" w:rsidRPr="007C4D65">
              <w:rPr>
                <w:rFonts w:asciiTheme="minorHAnsi" w:hAnsiTheme="minorHAnsi" w:cstheme="minorHAnsi"/>
                <w:sz w:val="18"/>
                <w:szCs w:val="18"/>
                <w:lang w:bidi="en-US"/>
              </w:rPr>
              <w:t xml:space="preserve">: 10% </w:t>
            </w:r>
            <w:r w:rsidR="000E401F" w:rsidRPr="007C4D65">
              <w:rPr>
                <w:rFonts w:asciiTheme="minorHAnsi" w:hAnsiTheme="minorHAnsi" w:cstheme="minorHAnsi"/>
                <w:sz w:val="18"/>
                <w:szCs w:val="18"/>
                <w:lang w:bidi="en-US"/>
              </w:rPr>
              <w:t>government budget</w:t>
            </w:r>
            <w:r w:rsidR="00EB2270" w:rsidRPr="007C4D65">
              <w:rPr>
                <w:rFonts w:asciiTheme="minorHAnsi" w:hAnsiTheme="minorHAnsi" w:cstheme="minorHAnsi"/>
                <w:sz w:val="18"/>
                <w:szCs w:val="18"/>
                <w:lang w:bidi="en-US"/>
              </w:rPr>
              <w:t xml:space="preserve">, 90% </w:t>
            </w:r>
            <w:r w:rsidRPr="007C4D65">
              <w:rPr>
                <w:rFonts w:asciiTheme="minorHAnsi" w:hAnsiTheme="minorHAnsi" w:cstheme="minorHAnsi"/>
                <w:sz w:val="18"/>
                <w:szCs w:val="18"/>
                <w:lang w:bidi="en-US"/>
              </w:rPr>
              <w:t>combined – loans, funds from EU and other international donors, and other donations</w:t>
            </w:r>
          </w:p>
        </w:tc>
      </w:tr>
      <w:tr w:rsidR="00EE66FD" w:rsidRPr="007C4D65" w14:paraId="4174518F" w14:textId="77777777" w:rsidTr="00BC37DE">
        <w:trPr>
          <w:trHeight w:val="567"/>
          <w:jc w:val="center"/>
        </w:trPr>
        <w:tc>
          <w:tcPr>
            <w:tcW w:w="1322" w:type="pct"/>
            <w:shd w:val="clear" w:color="auto" w:fill="009D73"/>
            <w:vAlign w:val="center"/>
          </w:tcPr>
          <w:p w14:paraId="7DA9562F"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Period of the implementation of the measure</w:t>
            </w:r>
          </w:p>
        </w:tc>
        <w:tc>
          <w:tcPr>
            <w:tcW w:w="3678" w:type="pct"/>
            <w:gridSpan w:val="3"/>
            <w:shd w:val="clear" w:color="auto" w:fill="FFFFFF"/>
            <w:vAlign w:val="center"/>
          </w:tcPr>
          <w:p w14:paraId="645C3BF0"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 2032</w:t>
            </w:r>
          </w:p>
        </w:tc>
      </w:tr>
      <w:tr w:rsidR="00EE66FD" w:rsidRPr="007C4D65" w14:paraId="0CFE4330" w14:textId="77777777" w:rsidTr="00BC37DE">
        <w:trPr>
          <w:trHeight w:val="567"/>
          <w:jc w:val="center"/>
        </w:trPr>
        <w:tc>
          <w:tcPr>
            <w:tcW w:w="1322" w:type="pct"/>
            <w:shd w:val="clear" w:color="auto" w:fill="009D73"/>
            <w:vAlign w:val="center"/>
          </w:tcPr>
          <w:p w14:paraId="2669BFF4"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Institution responsible for coordination of the implementation of the measure</w:t>
            </w:r>
          </w:p>
        </w:tc>
        <w:tc>
          <w:tcPr>
            <w:tcW w:w="3678" w:type="pct"/>
            <w:gridSpan w:val="3"/>
            <w:shd w:val="clear" w:color="auto" w:fill="FFFFFF"/>
            <w:vAlign w:val="center"/>
          </w:tcPr>
          <w:p w14:paraId="41F5C7C9"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FMEMI</w:t>
            </w:r>
          </w:p>
        </w:tc>
      </w:tr>
      <w:tr w:rsidR="00EE66FD" w:rsidRPr="007C4D65" w14:paraId="5CCD9D12" w14:textId="77777777" w:rsidTr="00BC37DE">
        <w:trPr>
          <w:trHeight w:val="567"/>
          <w:jc w:val="center"/>
        </w:trPr>
        <w:tc>
          <w:tcPr>
            <w:tcW w:w="1322" w:type="pct"/>
            <w:shd w:val="clear" w:color="auto" w:fill="009D73"/>
            <w:vAlign w:val="center"/>
          </w:tcPr>
          <w:p w14:paraId="116441C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Implementing institutions</w:t>
            </w:r>
          </w:p>
        </w:tc>
        <w:tc>
          <w:tcPr>
            <w:tcW w:w="3678" w:type="pct"/>
            <w:gridSpan w:val="3"/>
            <w:shd w:val="clear" w:color="auto" w:fill="FFFFFF"/>
            <w:vAlign w:val="center"/>
          </w:tcPr>
          <w:p w14:paraId="4E3B8797" w14:textId="4EF219DD"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Environmental Protection Fund, </w:t>
            </w:r>
            <w:r w:rsidR="00EB2270" w:rsidRPr="007C4D65">
              <w:rPr>
                <w:rFonts w:asciiTheme="minorHAnsi" w:eastAsiaTheme="minorHAnsi" w:hAnsiTheme="minorHAnsi" w:cstheme="minorHAnsi"/>
                <w:sz w:val="18"/>
                <w:szCs w:val="18"/>
                <w:lang w:eastAsia="en-US"/>
              </w:rPr>
              <w:t>competent</w:t>
            </w:r>
            <w:r w:rsidRPr="007C4D65">
              <w:rPr>
                <w:rFonts w:asciiTheme="minorHAnsi" w:eastAsiaTheme="minorHAnsi" w:hAnsiTheme="minorHAnsi" w:cstheme="minorHAnsi"/>
                <w:sz w:val="18"/>
                <w:szCs w:val="18"/>
                <w:lang w:eastAsia="en-US"/>
              </w:rPr>
              <w:t xml:space="preserve"> cantonal ministries, electricity and heat suppliers, inspections</w:t>
            </w:r>
          </w:p>
        </w:tc>
      </w:tr>
      <w:tr w:rsidR="00EE66FD" w:rsidRPr="007C4D65" w14:paraId="455BA757" w14:textId="77777777" w:rsidTr="00BC37DE">
        <w:trPr>
          <w:trHeight w:val="567"/>
          <w:jc w:val="center"/>
        </w:trPr>
        <w:tc>
          <w:tcPr>
            <w:tcW w:w="1322" w:type="pct"/>
            <w:shd w:val="clear" w:color="auto" w:fill="009D73"/>
            <w:vAlign w:val="center"/>
          </w:tcPr>
          <w:p w14:paraId="570FA6FC" w14:textId="5DD7B610"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groups</w:t>
            </w:r>
          </w:p>
        </w:tc>
        <w:tc>
          <w:tcPr>
            <w:tcW w:w="3678" w:type="pct"/>
            <w:gridSpan w:val="3"/>
            <w:shd w:val="clear" w:color="auto" w:fill="FFFFFF"/>
            <w:vAlign w:val="center"/>
          </w:tcPr>
          <w:p w14:paraId="0E85FD86"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Retail chains, agents and sellers of stoves and boilers, citizens, enterprises for distribution of electricity and heat </w:t>
            </w:r>
          </w:p>
        </w:tc>
      </w:tr>
    </w:tbl>
    <w:p w14:paraId="682F8E25" w14:textId="77777777" w:rsidR="00EE66FD" w:rsidRPr="007C4D65" w:rsidRDefault="00EE66FD" w:rsidP="00EE66FD">
      <w:pPr>
        <w:spacing w:line="276" w:lineRule="auto"/>
        <w:rPr>
          <w:rFonts w:asciiTheme="minorHAnsi" w:eastAsiaTheme="minorHAnsi" w:hAnsiTheme="minorHAnsi" w:cstheme="minorHAnsi"/>
          <w:sz w:val="22"/>
          <w:szCs w:val="22"/>
          <w:lang w:eastAsia="en-US"/>
        </w:rPr>
      </w:pPr>
    </w:p>
    <w:tbl>
      <w:tblPr>
        <w:tblW w:w="48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1"/>
        <w:gridCol w:w="3066"/>
        <w:gridCol w:w="3393"/>
        <w:gridCol w:w="3390"/>
      </w:tblGrid>
      <w:tr w:rsidR="00EE66FD" w:rsidRPr="007C4D65" w14:paraId="3928D304" w14:textId="77777777" w:rsidTr="00BC37DE">
        <w:trPr>
          <w:trHeight w:val="567"/>
          <w:jc w:val="center"/>
        </w:trPr>
        <w:tc>
          <w:tcPr>
            <w:tcW w:w="1322" w:type="pct"/>
            <w:shd w:val="clear" w:color="auto" w:fill="009D73"/>
            <w:vAlign w:val="center"/>
          </w:tcPr>
          <w:p w14:paraId="036CFD9B"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Link with strategic goal</w:t>
            </w:r>
          </w:p>
        </w:tc>
        <w:tc>
          <w:tcPr>
            <w:tcW w:w="3678" w:type="pct"/>
            <w:gridSpan w:val="3"/>
            <w:shd w:val="clear" w:color="auto" w:fill="FFFFFF"/>
            <w:vAlign w:val="center"/>
          </w:tcPr>
          <w:p w14:paraId="0749E6D3" w14:textId="346E0A1B" w:rsidR="00EE66FD" w:rsidRPr="007C4D65" w:rsidRDefault="00EE66FD" w:rsidP="00EE66FD">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4. </w:t>
            </w:r>
            <w:r w:rsidR="00FE2B6F" w:rsidRPr="007C4D65">
              <w:rPr>
                <w:rFonts w:asciiTheme="minorHAnsi" w:eastAsia="Calibri" w:hAnsiTheme="minorHAnsi" w:cstheme="minorHAnsi"/>
                <w:b/>
                <w:bCs/>
                <w:sz w:val="18"/>
                <w:szCs w:val="18"/>
                <w:lang w:eastAsia="en-US"/>
              </w:rPr>
              <w:t>Climate change mitigation and adaptation and improvement of air quality</w:t>
            </w:r>
          </w:p>
        </w:tc>
      </w:tr>
      <w:tr w:rsidR="00EE66FD" w:rsidRPr="007C4D65" w14:paraId="691B90E9" w14:textId="77777777" w:rsidTr="00BC37DE">
        <w:trPr>
          <w:trHeight w:val="567"/>
          <w:jc w:val="center"/>
        </w:trPr>
        <w:tc>
          <w:tcPr>
            <w:tcW w:w="1322" w:type="pct"/>
            <w:shd w:val="clear" w:color="auto" w:fill="009D73"/>
            <w:vAlign w:val="center"/>
          </w:tcPr>
          <w:p w14:paraId="6E341A4A"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Priority</w:t>
            </w:r>
          </w:p>
        </w:tc>
        <w:tc>
          <w:tcPr>
            <w:tcW w:w="3678" w:type="pct"/>
            <w:gridSpan w:val="3"/>
            <w:shd w:val="clear" w:color="auto" w:fill="FFFFFF"/>
            <w:vAlign w:val="center"/>
          </w:tcPr>
          <w:p w14:paraId="5FE180EB" w14:textId="4887F485" w:rsidR="00EE66FD" w:rsidRPr="007C4D65" w:rsidRDefault="00EE66FD" w:rsidP="00EE66FD">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bCs/>
                <w:sz w:val="18"/>
                <w:szCs w:val="18"/>
                <w:lang w:eastAsia="en-US"/>
              </w:rPr>
              <w:t xml:space="preserve">4.6 </w:t>
            </w:r>
            <w:r w:rsidR="005A2219" w:rsidRPr="007C4D65">
              <w:rPr>
                <w:rFonts w:asciiTheme="minorHAnsi" w:eastAsiaTheme="minorHAnsi" w:hAnsiTheme="minorHAnsi" w:cstheme="minorHAnsi"/>
                <w:b/>
                <w:bCs/>
                <w:sz w:val="18"/>
                <w:szCs w:val="18"/>
                <w:lang w:eastAsia="en-US"/>
              </w:rPr>
              <w:t>Increasing the share of renewable energy along with an incentive scheme reform (focusing on citizens energy)</w:t>
            </w:r>
          </w:p>
        </w:tc>
      </w:tr>
      <w:tr w:rsidR="00EE66FD" w:rsidRPr="007C4D65" w14:paraId="177A00D9" w14:textId="77777777" w:rsidTr="00BC37DE">
        <w:trPr>
          <w:trHeight w:val="567"/>
          <w:jc w:val="center"/>
        </w:trPr>
        <w:tc>
          <w:tcPr>
            <w:tcW w:w="1322" w:type="pct"/>
            <w:shd w:val="clear" w:color="auto" w:fill="009D73"/>
            <w:vAlign w:val="center"/>
          </w:tcPr>
          <w:p w14:paraId="619316C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Title of the measure</w:t>
            </w:r>
          </w:p>
        </w:tc>
        <w:tc>
          <w:tcPr>
            <w:tcW w:w="3678" w:type="pct"/>
            <w:gridSpan w:val="3"/>
            <w:shd w:val="clear" w:color="auto" w:fill="FFFFFF"/>
            <w:vAlign w:val="center"/>
          </w:tcPr>
          <w:p w14:paraId="62DEC6B5" w14:textId="6AB24284" w:rsidR="00EE66FD" w:rsidRPr="007C4D65" w:rsidRDefault="00EE66FD" w:rsidP="00EE66FD">
            <w:pPr>
              <w:spacing w:before="40" w:after="40" w:line="276" w:lineRule="auto"/>
              <w:rPr>
                <w:rFonts w:asciiTheme="minorHAnsi" w:eastAsia="Calibri" w:hAnsiTheme="minorHAnsi" w:cstheme="minorHAnsi"/>
                <w:b/>
                <w:sz w:val="18"/>
                <w:szCs w:val="18"/>
                <w:lang w:eastAsia="en-US"/>
              </w:rPr>
            </w:pPr>
            <w:r w:rsidRPr="007C4D65">
              <w:rPr>
                <w:rFonts w:asciiTheme="minorHAnsi" w:eastAsia="Calibri" w:hAnsiTheme="minorHAnsi" w:cstheme="minorHAnsi"/>
                <w:b/>
                <w:bCs/>
                <w:sz w:val="18"/>
                <w:szCs w:val="18"/>
                <w:lang w:eastAsia="en-US"/>
              </w:rPr>
              <w:t xml:space="preserve">4.6.1 Creating </w:t>
            </w:r>
            <w:r w:rsidR="00EB2270" w:rsidRPr="007C4D65">
              <w:rPr>
                <w:rFonts w:asciiTheme="minorHAnsi" w:eastAsia="Calibri" w:hAnsiTheme="minorHAnsi" w:cstheme="minorHAnsi"/>
                <w:b/>
                <w:bCs/>
                <w:sz w:val="18"/>
                <w:szCs w:val="18"/>
                <w:lang w:eastAsia="en-US"/>
              </w:rPr>
              <w:t xml:space="preserve">an </w:t>
            </w:r>
            <w:r w:rsidRPr="007C4D65">
              <w:rPr>
                <w:rFonts w:asciiTheme="minorHAnsi" w:eastAsia="Calibri" w:hAnsiTheme="minorHAnsi" w:cstheme="minorHAnsi"/>
                <w:b/>
                <w:bCs/>
                <w:sz w:val="18"/>
                <w:szCs w:val="18"/>
                <w:lang w:eastAsia="en-US"/>
              </w:rPr>
              <w:t xml:space="preserve">enabling environment for </w:t>
            </w:r>
            <w:r w:rsidR="00EB2270" w:rsidRPr="007C4D65">
              <w:rPr>
                <w:rFonts w:asciiTheme="minorHAnsi" w:eastAsia="Calibri" w:hAnsiTheme="minorHAnsi" w:cstheme="minorHAnsi"/>
                <w:b/>
                <w:bCs/>
                <w:sz w:val="18"/>
                <w:szCs w:val="18"/>
                <w:lang w:eastAsia="en-US"/>
              </w:rPr>
              <w:t xml:space="preserve">the </w:t>
            </w:r>
            <w:r w:rsidRPr="007C4D65">
              <w:rPr>
                <w:rFonts w:asciiTheme="minorHAnsi" w:eastAsia="Calibri" w:hAnsiTheme="minorHAnsi" w:cstheme="minorHAnsi"/>
                <w:b/>
                <w:bCs/>
                <w:sz w:val="18"/>
                <w:szCs w:val="18"/>
                <w:lang w:eastAsia="en-US"/>
              </w:rPr>
              <w:t>renewable energy sources</w:t>
            </w:r>
          </w:p>
        </w:tc>
      </w:tr>
      <w:tr w:rsidR="00EE66FD" w:rsidRPr="007C4D65" w14:paraId="7B2F1A23" w14:textId="77777777" w:rsidTr="00BC37DE">
        <w:trPr>
          <w:trHeight w:val="227"/>
          <w:jc w:val="center"/>
        </w:trPr>
        <w:tc>
          <w:tcPr>
            <w:tcW w:w="1322" w:type="pct"/>
            <w:shd w:val="clear" w:color="auto" w:fill="009D73"/>
            <w:vAlign w:val="center"/>
          </w:tcPr>
          <w:p w14:paraId="3E7F384F"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 xml:space="preserve">Description of the measure with the general areas of intervention </w:t>
            </w:r>
          </w:p>
        </w:tc>
        <w:tc>
          <w:tcPr>
            <w:tcW w:w="3678" w:type="pct"/>
            <w:gridSpan w:val="3"/>
            <w:shd w:val="clear" w:color="auto" w:fill="FFFFFF"/>
            <w:vAlign w:val="center"/>
          </w:tcPr>
          <w:p w14:paraId="36F467D3" w14:textId="77777777" w:rsidR="008C3DFC"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The aim of this measure is to create enabling environment for renewable energy sources through improvement of legislative and strategic framework in this area.</w:t>
            </w:r>
          </w:p>
          <w:p w14:paraId="31A0005F" w14:textId="2681BF67" w:rsidR="00EE66FD" w:rsidRPr="007C4D65" w:rsidRDefault="008C3DFC"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EE66FD" w:rsidRPr="007C4D65">
              <w:rPr>
                <w:rFonts w:asciiTheme="minorHAnsi" w:eastAsia="Calibri" w:hAnsiTheme="minorHAnsi" w:cstheme="minorHAnsi"/>
                <w:sz w:val="18"/>
                <w:szCs w:val="18"/>
                <w:lang w:eastAsia="en-US"/>
              </w:rPr>
              <w:t>eneral areas of intervention are:</w:t>
            </w:r>
          </w:p>
          <w:p w14:paraId="623B15E6" w14:textId="2B8E6EC0" w:rsidR="00EE66FD" w:rsidRPr="007C4D65" w:rsidRDefault="00EB2270">
            <w:pPr>
              <w:numPr>
                <w:ilvl w:val="0"/>
                <w:numId w:val="128"/>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lastRenderedPageBreak/>
              <w:t>Routine preparation of</w:t>
            </w:r>
            <w:r w:rsidR="00EE66FD" w:rsidRPr="007C4D65">
              <w:rPr>
                <w:rFonts w:asciiTheme="minorHAnsi" w:eastAsia="Calibri" w:hAnsiTheme="minorHAnsi" w:cstheme="minorHAnsi"/>
                <w:sz w:val="18"/>
                <w:szCs w:val="18"/>
                <w:lang w:eastAsia="en-US"/>
              </w:rPr>
              <w:t xml:space="preserve"> </w:t>
            </w:r>
            <w:r w:rsidRPr="007C4D65">
              <w:rPr>
                <w:rFonts w:asciiTheme="minorHAnsi" w:eastAsia="Calibri" w:hAnsiTheme="minorHAnsi" w:cstheme="minorHAnsi"/>
                <w:sz w:val="18"/>
                <w:szCs w:val="18"/>
                <w:lang w:eastAsia="en-US"/>
              </w:rPr>
              <w:t xml:space="preserve">the </w:t>
            </w:r>
            <w:r w:rsidR="00EE66FD" w:rsidRPr="007C4D65">
              <w:rPr>
                <w:rFonts w:asciiTheme="minorHAnsi" w:eastAsia="Calibri" w:hAnsiTheme="minorHAnsi" w:cstheme="minorHAnsi"/>
                <w:sz w:val="18"/>
                <w:szCs w:val="18"/>
                <w:lang w:eastAsia="en-US"/>
              </w:rPr>
              <w:t>integrated climate and energy plan (within the national plan)</w:t>
            </w:r>
            <w:r w:rsidR="008C3DFC" w:rsidRPr="007C4D65">
              <w:rPr>
                <w:rFonts w:asciiTheme="minorHAnsi" w:eastAsiaTheme="minorHAnsi" w:hAnsiTheme="minorHAnsi" w:cstheme="minorHAnsi"/>
                <w:color w:val="000000"/>
                <w:sz w:val="18"/>
                <w:szCs w:val="18"/>
                <w:lang w:eastAsia="en-US"/>
              </w:rPr>
              <w:t>:</w:t>
            </w:r>
          </w:p>
          <w:p w14:paraId="0FC40D25" w14:textId="102F1829" w:rsidR="00EE66FD" w:rsidRPr="007C4D65" w:rsidRDefault="00EE66FD">
            <w:pPr>
              <w:numPr>
                <w:ilvl w:val="0"/>
                <w:numId w:val="128"/>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Introducing incentive schemes for </w:t>
            </w:r>
            <w:r w:rsidR="005C0A68"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 xml:space="preserve">use of RES in heating and </w:t>
            </w:r>
            <w:proofErr w:type="gramStart"/>
            <w:r w:rsidRPr="007C4D65">
              <w:rPr>
                <w:rFonts w:asciiTheme="minorHAnsi" w:eastAsia="Calibri" w:hAnsiTheme="minorHAnsi" w:cstheme="minorHAnsi"/>
                <w:sz w:val="18"/>
                <w:szCs w:val="18"/>
                <w:lang w:eastAsia="en-US"/>
              </w:rPr>
              <w:t>cooling</w:t>
            </w:r>
            <w:r w:rsidR="008C3DFC" w:rsidRPr="007C4D65">
              <w:rPr>
                <w:rFonts w:asciiTheme="minorHAnsi" w:eastAsia="Calibri" w:hAnsiTheme="minorHAnsi" w:cstheme="minorHAnsi"/>
                <w:sz w:val="18"/>
                <w:szCs w:val="18"/>
                <w:lang w:eastAsia="en-US"/>
              </w:rPr>
              <w:t>;</w:t>
            </w:r>
            <w:proofErr w:type="gramEnd"/>
          </w:p>
          <w:p w14:paraId="6F391031" w14:textId="79BE97EF" w:rsidR="00EE66FD" w:rsidRPr="007C4D65" w:rsidRDefault="005C0A68">
            <w:pPr>
              <w:numPr>
                <w:ilvl w:val="0"/>
                <w:numId w:val="128"/>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Introducing Guarantee of</w:t>
            </w:r>
            <w:r w:rsidR="00EE66FD" w:rsidRPr="007C4D65">
              <w:rPr>
                <w:rFonts w:asciiTheme="minorHAnsi" w:eastAsia="Calibri" w:hAnsiTheme="minorHAnsi" w:cstheme="minorHAnsi"/>
                <w:sz w:val="18"/>
                <w:szCs w:val="18"/>
                <w:lang w:eastAsia="en-US"/>
              </w:rPr>
              <w:t xml:space="preserve"> </w:t>
            </w:r>
            <w:r w:rsidRPr="007C4D65">
              <w:rPr>
                <w:rFonts w:asciiTheme="minorHAnsi" w:eastAsia="Calibri" w:hAnsiTheme="minorHAnsi" w:cstheme="minorHAnsi"/>
                <w:sz w:val="18"/>
                <w:szCs w:val="18"/>
                <w:lang w:eastAsia="en-US"/>
              </w:rPr>
              <w:t>O</w:t>
            </w:r>
            <w:r w:rsidR="00EE66FD" w:rsidRPr="007C4D65">
              <w:rPr>
                <w:rFonts w:asciiTheme="minorHAnsi" w:eastAsia="Calibri" w:hAnsiTheme="minorHAnsi" w:cstheme="minorHAnsi"/>
                <w:sz w:val="18"/>
                <w:szCs w:val="18"/>
                <w:lang w:eastAsia="en-US"/>
              </w:rPr>
              <w:t xml:space="preserve">rigin </w:t>
            </w:r>
            <w:r w:rsidRPr="007C4D65">
              <w:rPr>
                <w:rFonts w:asciiTheme="minorHAnsi" w:eastAsia="Calibri" w:hAnsiTheme="minorHAnsi" w:cstheme="minorHAnsi"/>
                <w:sz w:val="18"/>
                <w:szCs w:val="18"/>
                <w:lang w:eastAsia="en-US"/>
              </w:rPr>
              <w:t>for</w:t>
            </w:r>
            <w:r w:rsidR="00EE66FD" w:rsidRPr="007C4D65">
              <w:rPr>
                <w:rFonts w:asciiTheme="minorHAnsi" w:eastAsia="Calibri" w:hAnsiTheme="minorHAnsi" w:cstheme="minorHAnsi"/>
                <w:sz w:val="18"/>
                <w:szCs w:val="18"/>
                <w:lang w:eastAsia="en-US"/>
              </w:rPr>
              <w:t xml:space="preserve"> energy.</w:t>
            </w:r>
          </w:p>
        </w:tc>
      </w:tr>
      <w:tr w:rsidR="00EE66FD" w:rsidRPr="007C4D65" w14:paraId="149689C3" w14:textId="77777777" w:rsidTr="00BC37DE">
        <w:trPr>
          <w:trHeight w:val="567"/>
          <w:jc w:val="center"/>
        </w:trPr>
        <w:tc>
          <w:tcPr>
            <w:tcW w:w="1322" w:type="pct"/>
            <w:shd w:val="clear" w:color="auto" w:fill="009D73"/>
            <w:vAlign w:val="center"/>
          </w:tcPr>
          <w:p w14:paraId="590AB81C"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Strategic projects</w:t>
            </w:r>
          </w:p>
        </w:tc>
        <w:tc>
          <w:tcPr>
            <w:tcW w:w="3678" w:type="pct"/>
            <w:gridSpan w:val="3"/>
            <w:shd w:val="clear" w:color="auto" w:fill="FFFFFF" w:themeFill="background1"/>
            <w:vAlign w:val="center"/>
          </w:tcPr>
          <w:p w14:paraId="0B45ECB5"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E66FD" w:rsidRPr="007C4D65" w14:paraId="57A329BB" w14:textId="77777777" w:rsidTr="00BC37DE">
        <w:trPr>
          <w:trHeight w:val="567"/>
          <w:jc w:val="center"/>
        </w:trPr>
        <w:tc>
          <w:tcPr>
            <w:tcW w:w="1322" w:type="pct"/>
            <w:vMerge w:val="restart"/>
            <w:shd w:val="clear" w:color="auto" w:fill="009D73"/>
            <w:vAlign w:val="center"/>
          </w:tcPr>
          <w:p w14:paraId="6E2FC58B"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 for monitoring of results</w:t>
            </w:r>
          </w:p>
        </w:tc>
        <w:tc>
          <w:tcPr>
            <w:tcW w:w="1145" w:type="pct"/>
            <w:shd w:val="clear" w:color="auto" w:fill="009D73"/>
            <w:vAlign w:val="center"/>
          </w:tcPr>
          <w:p w14:paraId="39BA5F2E"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w:t>
            </w:r>
          </w:p>
          <w:p w14:paraId="3DE240F3"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w:t>
            </w:r>
            <w:proofErr w:type="gramStart"/>
            <w:r w:rsidRPr="007C4D65">
              <w:rPr>
                <w:rFonts w:asciiTheme="minorHAnsi" w:eastAsiaTheme="minorHAnsi" w:hAnsiTheme="minorHAnsi" w:cstheme="minorHAnsi"/>
                <w:b/>
                <w:bCs/>
                <w:color w:val="FFFFFF" w:themeColor="background1"/>
                <w:sz w:val="18"/>
                <w:szCs w:val="18"/>
                <w:lang w:eastAsia="en-US"/>
              </w:rPr>
              <w:t>outputs</w:t>
            </w:r>
            <w:proofErr w:type="gramEnd"/>
            <w:r w:rsidRPr="007C4D65">
              <w:rPr>
                <w:rFonts w:asciiTheme="minorHAnsi" w:eastAsiaTheme="minorHAnsi" w:hAnsiTheme="minorHAnsi" w:cstheme="minorHAnsi"/>
                <w:b/>
                <w:bCs/>
                <w:color w:val="FFFFFF" w:themeColor="background1"/>
                <w:sz w:val="18"/>
                <w:szCs w:val="18"/>
                <w:lang w:eastAsia="en-US"/>
              </w:rPr>
              <w:t xml:space="preserve"> and deliverables)</w:t>
            </w:r>
          </w:p>
        </w:tc>
        <w:tc>
          <w:tcPr>
            <w:tcW w:w="1267" w:type="pct"/>
            <w:shd w:val="clear" w:color="auto" w:fill="009D73"/>
            <w:vAlign w:val="center"/>
          </w:tcPr>
          <w:p w14:paraId="2BE290EE"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Baseline value</w:t>
            </w:r>
          </w:p>
        </w:tc>
        <w:tc>
          <w:tcPr>
            <w:tcW w:w="1267" w:type="pct"/>
            <w:shd w:val="clear" w:color="auto" w:fill="009D73"/>
            <w:vAlign w:val="center"/>
          </w:tcPr>
          <w:p w14:paraId="2DDECE75"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value</w:t>
            </w:r>
          </w:p>
        </w:tc>
      </w:tr>
      <w:tr w:rsidR="00EE66FD" w:rsidRPr="007C4D65" w14:paraId="5AC2C7B7" w14:textId="77777777" w:rsidTr="00BC37DE">
        <w:trPr>
          <w:trHeight w:val="567"/>
          <w:jc w:val="center"/>
        </w:trPr>
        <w:tc>
          <w:tcPr>
            <w:tcW w:w="1322" w:type="pct"/>
            <w:vMerge/>
            <w:shd w:val="clear" w:color="auto" w:fill="009D73"/>
            <w:vAlign w:val="center"/>
          </w:tcPr>
          <w:p w14:paraId="2984D2DC"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679A1949" w14:textId="780260ED" w:rsidR="00EE66FD" w:rsidRPr="007C4D65" w:rsidRDefault="00EE66FD">
            <w:pPr>
              <w:numPr>
                <w:ilvl w:val="0"/>
                <w:numId w:val="129"/>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5C0A68"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development and adoption of NECP</w:t>
            </w:r>
          </w:p>
        </w:tc>
        <w:tc>
          <w:tcPr>
            <w:tcW w:w="1267" w:type="pct"/>
            <w:shd w:val="clear" w:color="auto" w:fill="FFFFFF"/>
            <w:vAlign w:val="center"/>
          </w:tcPr>
          <w:p w14:paraId="1DC8FDC8"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Development of NECP in progress</w:t>
            </w:r>
          </w:p>
        </w:tc>
        <w:tc>
          <w:tcPr>
            <w:tcW w:w="1267" w:type="pct"/>
            <w:shd w:val="clear" w:color="auto" w:fill="FFFFFF"/>
            <w:vAlign w:val="center"/>
          </w:tcPr>
          <w:p w14:paraId="42BCA996" w14:textId="52BFD5B1" w:rsidR="00EE66FD" w:rsidRPr="007C4D65" w:rsidRDefault="005C0A68"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i</w:t>
            </w:r>
            <w:r w:rsidR="00EE66FD" w:rsidRPr="007C4D65">
              <w:rPr>
                <w:rFonts w:asciiTheme="minorHAnsi" w:eastAsiaTheme="minorHAnsi" w:hAnsiTheme="minorHAnsi" w:cstheme="minorHAnsi"/>
                <w:sz w:val="18"/>
                <w:szCs w:val="18"/>
                <w:lang w:eastAsia="en-US"/>
              </w:rPr>
              <w:t xml:space="preserve">ntegrated energy and climate plan developed and </w:t>
            </w:r>
            <w:r w:rsidRPr="007C4D65">
              <w:rPr>
                <w:rFonts w:asciiTheme="minorHAnsi" w:eastAsiaTheme="minorHAnsi" w:hAnsiTheme="minorHAnsi" w:cstheme="minorHAnsi"/>
                <w:sz w:val="18"/>
                <w:szCs w:val="18"/>
                <w:lang w:eastAsia="en-US"/>
              </w:rPr>
              <w:t>adopted</w:t>
            </w:r>
          </w:p>
        </w:tc>
      </w:tr>
      <w:tr w:rsidR="00EE66FD" w:rsidRPr="007C4D65" w14:paraId="2B7D6C92" w14:textId="77777777" w:rsidTr="00BC37DE">
        <w:trPr>
          <w:trHeight w:val="567"/>
          <w:jc w:val="center"/>
        </w:trPr>
        <w:tc>
          <w:tcPr>
            <w:tcW w:w="1322" w:type="pct"/>
            <w:vMerge/>
            <w:shd w:val="clear" w:color="auto" w:fill="009D73"/>
            <w:vAlign w:val="center"/>
          </w:tcPr>
          <w:p w14:paraId="7D74AAB7"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7FC63C9E" w14:textId="4A18560A" w:rsidR="00EE66FD" w:rsidRPr="007C4D65" w:rsidRDefault="00EE66FD">
            <w:pPr>
              <w:numPr>
                <w:ilvl w:val="0"/>
                <w:numId w:val="129"/>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5C0A68"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adoption of the amended law</w:t>
            </w:r>
          </w:p>
        </w:tc>
        <w:tc>
          <w:tcPr>
            <w:tcW w:w="1267" w:type="pct"/>
            <w:shd w:val="clear" w:color="auto" w:fill="FFFFFF"/>
            <w:vAlign w:val="center"/>
          </w:tcPr>
          <w:p w14:paraId="73106943" w14:textId="56347FA5" w:rsidR="00EE66FD" w:rsidRPr="007C4D65" w:rsidRDefault="005C0A68"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applicable</w:t>
            </w:r>
            <w:r w:rsidR="00EE66FD" w:rsidRPr="007C4D65">
              <w:rPr>
                <w:rFonts w:asciiTheme="minorHAnsi" w:eastAsiaTheme="minorHAnsi" w:hAnsiTheme="minorHAnsi" w:cstheme="minorHAnsi"/>
                <w:sz w:val="18"/>
                <w:szCs w:val="18"/>
                <w:lang w:eastAsia="en-US"/>
              </w:rPr>
              <w:t xml:space="preserve"> Law on RES does not </w:t>
            </w:r>
            <w:proofErr w:type="gramStart"/>
            <w:r w:rsidRPr="007C4D65">
              <w:rPr>
                <w:rFonts w:asciiTheme="minorHAnsi" w:eastAsiaTheme="minorHAnsi" w:hAnsiTheme="minorHAnsi" w:cstheme="minorHAnsi"/>
                <w:sz w:val="18"/>
                <w:szCs w:val="18"/>
                <w:lang w:eastAsia="en-US"/>
              </w:rPr>
              <w:t xml:space="preserve">offer </w:t>
            </w:r>
            <w:r w:rsidR="00EE66FD" w:rsidRPr="007C4D65">
              <w:rPr>
                <w:rFonts w:asciiTheme="minorHAnsi" w:eastAsiaTheme="minorHAnsi" w:hAnsiTheme="minorHAnsi" w:cstheme="minorHAnsi"/>
                <w:sz w:val="18"/>
                <w:szCs w:val="18"/>
                <w:lang w:eastAsia="en-US"/>
              </w:rPr>
              <w:t xml:space="preserve"> incentive</w:t>
            </w:r>
            <w:proofErr w:type="gramEnd"/>
            <w:r w:rsidR="00EE66FD" w:rsidRPr="007C4D65">
              <w:rPr>
                <w:rFonts w:asciiTheme="minorHAnsi" w:eastAsiaTheme="minorHAnsi" w:hAnsiTheme="minorHAnsi" w:cstheme="minorHAnsi"/>
                <w:sz w:val="18"/>
                <w:szCs w:val="18"/>
                <w:lang w:eastAsia="en-US"/>
              </w:rPr>
              <w:t xml:space="preserve"> schemes for </w:t>
            </w: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use of RES in heating and cooling</w:t>
            </w:r>
          </w:p>
        </w:tc>
        <w:tc>
          <w:tcPr>
            <w:tcW w:w="1267" w:type="pct"/>
            <w:shd w:val="clear" w:color="auto" w:fill="FFFFFF"/>
            <w:vAlign w:val="center"/>
          </w:tcPr>
          <w:p w14:paraId="57A336E2" w14:textId="6B941B1C"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Amended Law on RES offering incentive schemes for </w:t>
            </w:r>
            <w:r w:rsidR="005C0A68" w:rsidRPr="007C4D65">
              <w:rPr>
                <w:rFonts w:asciiTheme="minorHAnsi" w:eastAsiaTheme="minorHAnsi" w:hAnsiTheme="minorHAnsi" w:cstheme="minorHAnsi"/>
                <w:sz w:val="18"/>
                <w:szCs w:val="18"/>
                <w:lang w:eastAsia="en-US"/>
              </w:rPr>
              <w:t xml:space="preserve">the </w:t>
            </w:r>
            <w:r w:rsidRPr="007C4D65">
              <w:rPr>
                <w:rFonts w:asciiTheme="minorHAnsi" w:eastAsiaTheme="minorHAnsi" w:hAnsiTheme="minorHAnsi" w:cstheme="minorHAnsi"/>
                <w:sz w:val="18"/>
                <w:szCs w:val="18"/>
                <w:lang w:eastAsia="en-US"/>
              </w:rPr>
              <w:t>use of RES in heating and cooling</w:t>
            </w:r>
          </w:p>
        </w:tc>
      </w:tr>
      <w:tr w:rsidR="00EE66FD" w:rsidRPr="007C4D65" w14:paraId="2EF82E9B" w14:textId="77777777" w:rsidTr="00BC37DE">
        <w:trPr>
          <w:trHeight w:val="567"/>
          <w:jc w:val="center"/>
        </w:trPr>
        <w:tc>
          <w:tcPr>
            <w:tcW w:w="1322" w:type="pct"/>
            <w:vMerge/>
            <w:shd w:val="clear" w:color="auto" w:fill="009D73"/>
            <w:vAlign w:val="center"/>
          </w:tcPr>
          <w:p w14:paraId="05BAE92C"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6E8FDF13" w14:textId="4E5E751F" w:rsidR="00EE66FD" w:rsidRPr="007C4D65" w:rsidRDefault="00EE66FD">
            <w:pPr>
              <w:numPr>
                <w:ilvl w:val="0"/>
                <w:numId w:val="129"/>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5C0A68"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adoption of the regulation</w:t>
            </w:r>
          </w:p>
        </w:tc>
        <w:tc>
          <w:tcPr>
            <w:tcW w:w="1267" w:type="pct"/>
            <w:shd w:val="clear" w:color="auto" w:fill="FFFFFF"/>
            <w:vAlign w:val="center"/>
          </w:tcPr>
          <w:p w14:paraId="206DCE8B" w14:textId="0B0445F0"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There is no regulation on </w:t>
            </w:r>
            <w:r w:rsidR="005C0A68" w:rsidRPr="007C4D65">
              <w:rPr>
                <w:rFonts w:asciiTheme="minorHAnsi" w:eastAsia="Calibri" w:hAnsiTheme="minorHAnsi" w:cstheme="minorHAnsi"/>
                <w:sz w:val="18"/>
                <w:szCs w:val="18"/>
                <w:lang w:eastAsia="en-US"/>
              </w:rPr>
              <w:t>Guarantee of Origin for energy</w:t>
            </w:r>
          </w:p>
        </w:tc>
        <w:tc>
          <w:tcPr>
            <w:tcW w:w="1267" w:type="pct"/>
            <w:shd w:val="clear" w:color="auto" w:fill="FFFFFF"/>
            <w:vAlign w:val="center"/>
          </w:tcPr>
          <w:p w14:paraId="2F99810A" w14:textId="3A5F33B1" w:rsidR="00EE66FD" w:rsidRPr="007C4D65" w:rsidRDefault="005C0A68"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Regulation on </w:t>
            </w:r>
            <w:r w:rsidRPr="007C4D65">
              <w:rPr>
                <w:rFonts w:asciiTheme="minorHAnsi" w:eastAsia="Calibri" w:hAnsiTheme="minorHAnsi" w:cstheme="minorHAnsi"/>
                <w:sz w:val="18"/>
                <w:szCs w:val="18"/>
                <w:lang w:eastAsia="en-US"/>
              </w:rPr>
              <w:t>Guarantee of Origin for energy</w:t>
            </w:r>
            <w:r w:rsidRPr="007C4D65">
              <w:rPr>
                <w:rFonts w:asciiTheme="minorHAnsi" w:eastAsiaTheme="minorHAnsi" w:hAnsiTheme="minorHAnsi" w:cstheme="minorHAnsi"/>
                <w:sz w:val="18"/>
                <w:szCs w:val="18"/>
                <w:lang w:eastAsia="en-US"/>
              </w:rPr>
              <w:t xml:space="preserve"> </w:t>
            </w:r>
            <w:r w:rsidR="00EE66FD" w:rsidRPr="007C4D65">
              <w:rPr>
                <w:rFonts w:asciiTheme="minorHAnsi" w:eastAsiaTheme="minorHAnsi" w:hAnsiTheme="minorHAnsi" w:cstheme="minorHAnsi"/>
                <w:sz w:val="18"/>
                <w:szCs w:val="18"/>
                <w:lang w:eastAsia="en-US"/>
              </w:rPr>
              <w:t>adopted</w:t>
            </w:r>
          </w:p>
        </w:tc>
      </w:tr>
      <w:tr w:rsidR="00EE66FD" w:rsidRPr="007C4D65" w14:paraId="6302EEAC" w14:textId="77777777" w:rsidTr="00BC37DE">
        <w:trPr>
          <w:trHeight w:val="567"/>
          <w:jc w:val="center"/>
        </w:trPr>
        <w:tc>
          <w:tcPr>
            <w:tcW w:w="1322" w:type="pct"/>
            <w:shd w:val="clear" w:color="auto" w:fill="009D73"/>
            <w:vAlign w:val="center"/>
          </w:tcPr>
          <w:p w14:paraId="0220BF36"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Effect on the development and contribution of the measure to the priority</w:t>
            </w:r>
          </w:p>
        </w:tc>
        <w:tc>
          <w:tcPr>
            <w:tcW w:w="3678" w:type="pct"/>
            <w:gridSpan w:val="3"/>
            <w:shd w:val="clear" w:color="auto" w:fill="FFFFFF"/>
            <w:vAlign w:val="center"/>
          </w:tcPr>
          <w:p w14:paraId="3D54385C" w14:textId="1FD7B120" w:rsidR="00EE66FD" w:rsidRPr="007C4D65" w:rsidRDefault="005C0A68"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Increased share of RES in the total energy production and consumption in the Federation of BiH, including a greater participation of citizens in investments</w:t>
            </w:r>
          </w:p>
        </w:tc>
      </w:tr>
      <w:tr w:rsidR="00EE66FD" w:rsidRPr="007C4D65" w14:paraId="6A1DD647" w14:textId="77777777" w:rsidTr="00BC37DE">
        <w:trPr>
          <w:trHeight w:val="567"/>
          <w:jc w:val="center"/>
        </w:trPr>
        <w:tc>
          <w:tcPr>
            <w:tcW w:w="1322" w:type="pct"/>
            <w:shd w:val="clear" w:color="auto" w:fill="009D73"/>
            <w:vAlign w:val="center"/>
          </w:tcPr>
          <w:p w14:paraId="028B37BF" w14:textId="07216464"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Indicative financial projection, with specification of sources</w:t>
            </w:r>
          </w:p>
        </w:tc>
        <w:tc>
          <w:tcPr>
            <w:tcW w:w="3678" w:type="pct"/>
            <w:gridSpan w:val="3"/>
            <w:shd w:val="clear" w:color="auto" w:fill="FFFFFF"/>
            <w:vAlign w:val="center"/>
          </w:tcPr>
          <w:p w14:paraId="7F1649EE" w14:textId="1DE08E26" w:rsidR="005C0A68" w:rsidRPr="007C4D65" w:rsidRDefault="00353DF0" w:rsidP="005C0A68">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Amount</w:t>
            </w:r>
            <w:r w:rsidR="005C0A68" w:rsidRPr="007C4D65">
              <w:rPr>
                <w:rFonts w:asciiTheme="minorHAnsi" w:hAnsiTheme="minorHAnsi" w:cstheme="minorHAnsi"/>
                <w:sz w:val="18"/>
                <w:szCs w:val="18"/>
                <w:lang w:bidi="en-US"/>
              </w:rPr>
              <w:t>: BAM 137 104</w:t>
            </w:r>
          </w:p>
          <w:p w14:paraId="31E64625" w14:textId="070B1BBB" w:rsidR="00EE66FD" w:rsidRPr="007C4D65" w:rsidRDefault="00353DF0" w:rsidP="005C0A68">
            <w:pPr>
              <w:spacing w:before="40" w:after="40" w:line="276" w:lineRule="auto"/>
              <w:rPr>
                <w:rFonts w:asciiTheme="minorHAnsi" w:eastAsiaTheme="minorHAnsi" w:hAnsiTheme="minorHAnsi" w:cstheme="minorHAnsi"/>
                <w:bCs/>
                <w:sz w:val="18"/>
                <w:szCs w:val="18"/>
                <w:lang w:eastAsia="en-US"/>
              </w:rPr>
            </w:pPr>
            <w:r w:rsidRPr="007C4D65">
              <w:rPr>
                <w:rFonts w:asciiTheme="minorHAnsi" w:hAnsiTheme="minorHAnsi" w:cstheme="minorHAnsi"/>
                <w:sz w:val="18"/>
                <w:szCs w:val="18"/>
                <w:lang w:bidi="en-US"/>
              </w:rPr>
              <w:t>Source</w:t>
            </w:r>
            <w:r w:rsidR="005C0A68" w:rsidRPr="007C4D65">
              <w:rPr>
                <w:rFonts w:asciiTheme="minorHAnsi" w:hAnsiTheme="minorHAnsi" w:cstheme="minorHAnsi"/>
                <w:sz w:val="18"/>
                <w:szCs w:val="18"/>
                <w:lang w:bidi="en-US"/>
              </w:rPr>
              <w:t xml:space="preserve">: 20% </w:t>
            </w:r>
            <w:r w:rsidR="000E401F" w:rsidRPr="007C4D65">
              <w:rPr>
                <w:rFonts w:asciiTheme="minorHAnsi" w:hAnsiTheme="minorHAnsi" w:cstheme="minorHAnsi"/>
                <w:sz w:val="18"/>
                <w:szCs w:val="18"/>
                <w:lang w:bidi="en-US"/>
              </w:rPr>
              <w:t xml:space="preserve">government </w:t>
            </w:r>
            <w:proofErr w:type="gramStart"/>
            <w:r w:rsidR="000E401F" w:rsidRPr="007C4D65">
              <w:rPr>
                <w:rFonts w:asciiTheme="minorHAnsi" w:hAnsiTheme="minorHAnsi" w:cstheme="minorHAnsi"/>
                <w:sz w:val="18"/>
                <w:szCs w:val="18"/>
                <w:lang w:bidi="en-US"/>
              </w:rPr>
              <w:t>budget</w:t>
            </w:r>
            <w:r w:rsidR="00C224E3" w:rsidRPr="007C4D65">
              <w:rPr>
                <w:rFonts w:asciiTheme="minorHAnsi" w:hAnsiTheme="minorHAnsi" w:cstheme="minorHAnsi"/>
                <w:sz w:val="18"/>
                <w:szCs w:val="18"/>
                <w:lang w:bidi="en-US"/>
              </w:rPr>
              <w:t xml:space="preserve"> </w:t>
            </w:r>
            <w:r w:rsidR="005C0A68" w:rsidRPr="007C4D65">
              <w:rPr>
                <w:rFonts w:asciiTheme="minorHAnsi" w:hAnsiTheme="minorHAnsi" w:cstheme="minorHAnsi"/>
                <w:sz w:val="18"/>
                <w:szCs w:val="18"/>
                <w:lang w:bidi="en-US"/>
              </w:rPr>
              <w:t>,</w:t>
            </w:r>
            <w:proofErr w:type="gramEnd"/>
            <w:r w:rsidR="005C0A68" w:rsidRPr="007C4D65">
              <w:rPr>
                <w:rFonts w:asciiTheme="minorHAnsi" w:hAnsiTheme="minorHAnsi" w:cstheme="minorHAnsi"/>
                <w:sz w:val="18"/>
                <w:szCs w:val="18"/>
                <w:lang w:bidi="en-US"/>
              </w:rPr>
              <w:t xml:space="preserve"> 80% </w:t>
            </w:r>
            <w:r w:rsidR="00C224E3" w:rsidRPr="007C4D65">
              <w:rPr>
                <w:rFonts w:asciiTheme="minorHAnsi" w:hAnsiTheme="minorHAnsi" w:cstheme="minorHAnsi"/>
                <w:sz w:val="18"/>
                <w:szCs w:val="18"/>
                <w:lang w:bidi="en-US"/>
              </w:rPr>
              <w:t>funds from EU and other international donors</w:t>
            </w:r>
          </w:p>
        </w:tc>
      </w:tr>
      <w:tr w:rsidR="00EE66FD" w:rsidRPr="007C4D65" w14:paraId="7C88208C" w14:textId="77777777" w:rsidTr="00BC37DE">
        <w:trPr>
          <w:trHeight w:val="567"/>
          <w:jc w:val="center"/>
        </w:trPr>
        <w:tc>
          <w:tcPr>
            <w:tcW w:w="1322" w:type="pct"/>
            <w:shd w:val="clear" w:color="auto" w:fill="009D73"/>
            <w:vAlign w:val="center"/>
          </w:tcPr>
          <w:p w14:paraId="15B254A9"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Period of the implementation of the measure</w:t>
            </w:r>
          </w:p>
        </w:tc>
        <w:tc>
          <w:tcPr>
            <w:tcW w:w="3678" w:type="pct"/>
            <w:gridSpan w:val="3"/>
            <w:shd w:val="clear" w:color="auto" w:fill="FFFFFF"/>
            <w:vAlign w:val="center"/>
          </w:tcPr>
          <w:p w14:paraId="75669C53"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 2032</w:t>
            </w:r>
          </w:p>
        </w:tc>
      </w:tr>
      <w:tr w:rsidR="00EE66FD" w:rsidRPr="007C4D65" w14:paraId="64F8B67E" w14:textId="77777777" w:rsidTr="00BC37DE">
        <w:trPr>
          <w:trHeight w:val="567"/>
          <w:jc w:val="center"/>
        </w:trPr>
        <w:tc>
          <w:tcPr>
            <w:tcW w:w="1322" w:type="pct"/>
            <w:shd w:val="clear" w:color="auto" w:fill="009D73"/>
            <w:vAlign w:val="center"/>
          </w:tcPr>
          <w:p w14:paraId="0D559991"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Institution responsible for coordination of the implementation of the measure</w:t>
            </w:r>
          </w:p>
        </w:tc>
        <w:tc>
          <w:tcPr>
            <w:tcW w:w="3678" w:type="pct"/>
            <w:gridSpan w:val="3"/>
            <w:shd w:val="clear" w:color="auto" w:fill="FFFFFF"/>
            <w:vAlign w:val="center"/>
          </w:tcPr>
          <w:p w14:paraId="27F10926"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FMEMI</w:t>
            </w:r>
          </w:p>
        </w:tc>
      </w:tr>
      <w:tr w:rsidR="00EE66FD" w:rsidRPr="007C4D65" w14:paraId="66FFE00E" w14:textId="77777777" w:rsidTr="00BC37DE">
        <w:trPr>
          <w:trHeight w:val="567"/>
          <w:jc w:val="center"/>
        </w:trPr>
        <w:tc>
          <w:tcPr>
            <w:tcW w:w="1322" w:type="pct"/>
            <w:shd w:val="clear" w:color="auto" w:fill="009D73"/>
            <w:vAlign w:val="center"/>
          </w:tcPr>
          <w:p w14:paraId="347DE8C0"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Implementing institutions</w:t>
            </w:r>
          </w:p>
        </w:tc>
        <w:tc>
          <w:tcPr>
            <w:tcW w:w="3678" w:type="pct"/>
            <w:gridSpan w:val="3"/>
            <w:shd w:val="clear" w:color="auto" w:fill="FFFFFF"/>
            <w:vAlign w:val="center"/>
          </w:tcPr>
          <w:p w14:paraId="5D56D395" w14:textId="163B7191"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Cantonal ministries </w:t>
            </w:r>
            <w:r w:rsidR="005C0A68" w:rsidRPr="007C4D65">
              <w:rPr>
                <w:rFonts w:asciiTheme="minorHAnsi" w:eastAsiaTheme="minorHAnsi" w:hAnsiTheme="minorHAnsi" w:cstheme="minorHAnsi"/>
                <w:sz w:val="18"/>
                <w:szCs w:val="18"/>
                <w:lang w:eastAsia="en-US"/>
              </w:rPr>
              <w:t>of</w:t>
            </w:r>
            <w:r w:rsidRPr="007C4D65">
              <w:rPr>
                <w:rFonts w:asciiTheme="minorHAnsi" w:eastAsiaTheme="minorHAnsi" w:hAnsiTheme="minorHAnsi" w:cstheme="minorHAnsi"/>
                <w:sz w:val="18"/>
                <w:szCs w:val="18"/>
                <w:lang w:eastAsia="en-US"/>
              </w:rPr>
              <w:t xml:space="preserve"> energy, RES operator, FERK, universities</w:t>
            </w:r>
          </w:p>
        </w:tc>
      </w:tr>
      <w:tr w:rsidR="00EE66FD" w:rsidRPr="007C4D65" w14:paraId="48148274" w14:textId="77777777" w:rsidTr="00BC37DE">
        <w:trPr>
          <w:trHeight w:val="567"/>
          <w:jc w:val="center"/>
        </w:trPr>
        <w:tc>
          <w:tcPr>
            <w:tcW w:w="1322" w:type="pct"/>
            <w:shd w:val="clear" w:color="auto" w:fill="009D73"/>
            <w:vAlign w:val="center"/>
          </w:tcPr>
          <w:p w14:paraId="01436CA1" w14:textId="6EFBE7DC"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groups</w:t>
            </w:r>
          </w:p>
        </w:tc>
        <w:tc>
          <w:tcPr>
            <w:tcW w:w="3678" w:type="pct"/>
            <w:gridSpan w:val="3"/>
            <w:shd w:val="clear" w:color="auto" w:fill="FFFFFF"/>
            <w:vAlign w:val="center"/>
          </w:tcPr>
          <w:p w14:paraId="12AB136A"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Experts, NGO</w:t>
            </w:r>
          </w:p>
        </w:tc>
      </w:tr>
    </w:tbl>
    <w:p w14:paraId="55DD8347" w14:textId="77777777" w:rsidR="00EE66FD" w:rsidRPr="007C4D65" w:rsidRDefault="00EE66FD" w:rsidP="00EE66FD">
      <w:pPr>
        <w:spacing w:line="276" w:lineRule="auto"/>
        <w:rPr>
          <w:rFonts w:asciiTheme="minorHAnsi" w:eastAsiaTheme="minorHAnsi" w:hAnsiTheme="minorHAnsi" w:cstheme="minorHAnsi"/>
          <w:sz w:val="22"/>
          <w:szCs w:val="22"/>
          <w:lang w:eastAsia="en-US"/>
        </w:rPr>
      </w:pPr>
    </w:p>
    <w:tbl>
      <w:tblPr>
        <w:tblW w:w="48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1"/>
        <w:gridCol w:w="3066"/>
        <w:gridCol w:w="3393"/>
        <w:gridCol w:w="3390"/>
      </w:tblGrid>
      <w:tr w:rsidR="00EE66FD" w:rsidRPr="007C4D65" w14:paraId="4A1A7270" w14:textId="77777777" w:rsidTr="00BC37DE">
        <w:trPr>
          <w:trHeight w:val="567"/>
          <w:jc w:val="center"/>
        </w:trPr>
        <w:tc>
          <w:tcPr>
            <w:tcW w:w="1322" w:type="pct"/>
            <w:shd w:val="clear" w:color="auto" w:fill="009D73"/>
            <w:vAlign w:val="center"/>
          </w:tcPr>
          <w:p w14:paraId="2E0228F0"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Link with strategic goal</w:t>
            </w:r>
          </w:p>
        </w:tc>
        <w:tc>
          <w:tcPr>
            <w:tcW w:w="3678" w:type="pct"/>
            <w:gridSpan w:val="3"/>
            <w:shd w:val="clear" w:color="auto" w:fill="FFFFFF"/>
            <w:vAlign w:val="center"/>
          </w:tcPr>
          <w:p w14:paraId="23E9597A" w14:textId="4C4BC84D" w:rsidR="00EE66FD" w:rsidRPr="007C4D65" w:rsidRDefault="00EE66FD" w:rsidP="00EE66FD">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4. </w:t>
            </w:r>
            <w:r w:rsidR="00FE2B6F" w:rsidRPr="007C4D65">
              <w:rPr>
                <w:rFonts w:asciiTheme="minorHAnsi" w:eastAsia="Calibri" w:hAnsiTheme="minorHAnsi" w:cstheme="minorHAnsi"/>
                <w:b/>
                <w:bCs/>
                <w:sz w:val="18"/>
                <w:szCs w:val="18"/>
                <w:lang w:eastAsia="en-US"/>
              </w:rPr>
              <w:t>Climate change mitigation and adaptation and improvement of air quality</w:t>
            </w:r>
          </w:p>
        </w:tc>
      </w:tr>
      <w:tr w:rsidR="00EE66FD" w:rsidRPr="007C4D65" w14:paraId="48CCDAC7" w14:textId="77777777" w:rsidTr="00BC37DE">
        <w:trPr>
          <w:trHeight w:val="567"/>
          <w:jc w:val="center"/>
        </w:trPr>
        <w:tc>
          <w:tcPr>
            <w:tcW w:w="1322" w:type="pct"/>
            <w:shd w:val="clear" w:color="auto" w:fill="009D73"/>
            <w:vAlign w:val="center"/>
          </w:tcPr>
          <w:p w14:paraId="73A519B6"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Priority</w:t>
            </w:r>
          </w:p>
        </w:tc>
        <w:tc>
          <w:tcPr>
            <w:tcW w:w="3678" w:type="pct"/>
            <w:gridSpan w:val="3"/>
            <w:shd w:val="clear" w:color="auto" w:fill="FFFFFF"/>
            <w:vAlign w:val="center"/>
          </w:tcPr>
          <w:p w14:paraId="1FD851F5" w14:textId="7FE2ACA4" w:rsidR="00EE66FD" w:rsidRPr="007C4D65" w:rsidRDefault="00EE66FD" w:rsidP="00EE66FD">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bCs/>
                <w:sz w:val="18"/>
                <w:szCs w:val="18"/>
                <w:lang w:eastAsia="en-US"/>
              </w:rPr>
              <w:t xml:space="preserve">4.6 </w:t>
            </w:r>
            <w:r w:rsidR="005A2219" w:rsidRPr="007C4D65">
              <w:rPr>
                <w:rFonts w:asciiTheme="minorHAnsi" w:eastAsiaTheme="minorHAnsi" w:hAnsiTheme="minorHAnsi" w:cstheme="minorHAnsi"/>
                <w:b/>
                <w:bCs/>
                <w:sz w:val="18"/>
                <w:szCs w:val="18"/>
                <w:lang w:eastAsia="en-US"/>
              </w:rPr>
              <w:t>Increasing the share of renewable energy along with an incentive scheme reform (focusing on citizens energy)</w:t>
            </w:r>
          </w:p>
        </w:tc>
      </w:tr>
      <w:tr w:rsidR="00EE66FD" w:rsidRPr="007C4D65" w14:paraId="3A045200" w14:textId="77777777" w:rsidTr="00BC37DE">
        <w:trPr>
          <w:trHeight w:val="567"/>
          <w:jc w:val="center"/>
        </w:trPr>
        <w:tc>
          <w:tcPr>
            <w:tcW w:w="1322" w:type="pct"/>
            <w:shd w:val="clear" w:color="auto" w:fill="009D73"/>
            <w:vAlign w:val="center"/>
          </w:tcPr>
          <w:p w14:paraId="75F1D5AA"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Title of the measure</w:t>
            </w:r>
          </w:p>
        </w:tc>
        <w:tc>
          <w:tcPr>
            <w:tcW w:w="3678" w:type="pct"/>
            <w:gridSpan w:val="3"/>
            <w:shd w:val="clear" w:color="auto" w:fill="FFFFFF"/>
            <w:vAlign w:val="center"/>
          </w:tcPr>
          <w:p w14:paraId="599EBEA3" w14:textId="247E8219" w:rsidR="00EE66FD" w:rsidRPr="007C4D65" w:rsidRDefault="00EE66FD" w:rsidP="00EE66FD">
            <w:pPr>
              <w:spacing w:before="40" w:after="40" w:line="276" w:lineRule="auto"/>
              <w:rPr>
                <w:rFonts w:asciiTheme="minorHAnsi" w:eastAsia="Calibri" w:hAnsiTheme="minorHAnsi" w:cstheme="minorHAnsi"/>
                <w:b/>
                <w:sz w:val="18"/>
                <w:szCs w:val="18"/>
                <w:lang w:eastAsia="en-US"/>
              </w:rPr>
            </w:pPr>
            <w:r w:rsidRPr="007C4D65">
              <w:rPr>
                <w:rFonts w:asciiTheme="minorHAnsi" w:eastAsia="Calibri" w:hAnsiTheme="minorHAnsi" w:cstheme="minorHAnsi"/>
                <w:b/>
                <w:bCs/>
                <w:sz w:val="18"/>
                <w:szCs w:val="18"/>
                <w:lang w:eastAsia="en-US"/>
              </w:rPr>
              <w:t xml:space="preserve">4.6.2 Increase </w:t>
            </w:r>
            <w:r w:rsidR="005C0A68" w:rsidRPr="007C4D65">
              <w:rPr>
                <w:rFonts w:asciiTheme="minorHAnsi" w:eastAsia="Calibri" w:hAnsiTheme="minorHAnsi" w:cstheme="minorHAnsi"/>
                <w:b/>
                <w:bCs/>
                <w:sz w:val="18"/>
                <w:szCs w:val="18"/>
                <w:lang w:eastAsia="en-US"/>
              </w:rPr>
              <w:t xml:space="preserve">the </w:t>
            </w:r>
            <w:r w:rsidRPr="007C4D65">
              <w:rPr>
                <w:rFonts w:asciiTheme="minorHAnsi" w:eastAsia="Calibri" w:hAnsiTheme="minorHAnsi" w:cstheme="minorHAnsi"/>
                <w:b/>
                <w:bCs/>
                <w:sz w:val="18"/>
                <w:szCs w:val="18"/>
                <w:lang w:eastAsia="en-US"/>
              </w:rPr>
              <w:t xml:space="preserve">share of the renewable energy sources in power generation </w:t>
            </w:r>
            <w:r w:rsidR="005C0A68" w:rsidRPr="007C4D65">
              <w:rPr>
                <w:rFonts w:asciiTheme="minorHAnsi" w:eastAsia="Calibri" w:hAnsiTheme="minorHAnsi" w:cstheme="minorHAnsi"/>
                <w:b/>
                <w:bCs/>
                <w:sz w:val="18"/>
                <w:szCs w:val="18"/>
                <w:lang w:eastAsia="en-US"/>
              </w:rPr>
              <w:t>in the</w:t>
            </w:r>
            <w:r w:rsidRPr="007C4D65">
              <w:rPr>
                <w:rFonts w:asciiTheme="minorHAnsi" w:eastAsia="Calibri" w:hAnsiTheme="minorHAnsi" w:cstheme="minorHAnsi"/>
                <w:b/>
                <w:bCs/>
                <w:sz w:val="18"/>
                <w:szCs w:val="18"/>
                <w:lang w:eastAsia="en-US"/>
              </w:rPr>
              <w:t xml:space="preserve"> transport</w:t>
            </w:r>
            <w:r w:rsidR="005C0A68" w:rsidRPr="007C4D65">
              <w:rPr>
                <w:rFonts w:asciiTheme="minorHAnsi" w:eastAsia="Calibri" w:hAnsiTheme="minorHAnsi" w:cstheme="minorHAnsi"/>
                <w:b/>
                <w:sz w:val="18"/>
                <w:szCs w:val="18"/>
                <w:lang w:eastAsia="en-US"/>
              </w:rPr>
              <w:t xml:space="preserve"> sector</w:t>
            </w:r>
          </w:p>
        </w:tc>
      </w:tr>
      <w:tr w:rsidR="00EE66FD" w:rsidRPr="007C4D65" w14:paraId="1B1821FD" w14:textId="77777777" w:rsidTr="00BC37DE">
        <w:trPr>
          <w:trHeight w:val="567"/>
          <w:jc w:val="center"/>
        </w:trPr>
        <w:tc>
          <w:tcPr>
            <w:tcW w:w="1322" w:type="pct"/>
            <w:shd w:val="clear" w:color="auto" w:fill="009D73"/>
            <w:vAlign w:val="center"/>
          </w:tcPr>
          <w:p w14:paraId="52CA9B39"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 xml:space="preserve">Description of the measure with the general areas of intervention </w:t>
            </w:r>
          </w:p>
        </w:tc>
        <w:tc>
          <w:tcPr>
            <w:tcW w:w="3678" w:type="pct"/>
            <w:gridSpan w:val="3"/>
            <w:shd w:val="clear" w:color="auto" w:fill="FFFFFF"/>
            <w:vAlign w:val="center"/>
          </w:tcPr>
          <w:p w14:paraId="5CE30825" w14:textId="77777777" w:rsidR="008C3DFC"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to increase </w:t>
            </w:r>
            <w:r w:rsidR="005C0A68"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 xml:space="preserve">share of the renewable energy sources in power generation and </w:t>
            </w:r>
            <w:r w:rsidR="005C0A68"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transport</w:t>
            </w:r>
            <w:r w:rsidR="005C0A68" w:rsidRPr="007C4D65">
              <w:rPr>
                <w:rFonts w:asciiTheme="minorHAnsi" w:eastAsia="Calibri" w:hAnsiTheme="minorHAnsi" w:cstheme="minorHAnsi"/>
                <w:sz w:val="18"/>
                <w:szCs w:val="18"/>
                <w:lang w:eastAsia="en-US"/>
              </w:rPr>
              <w:t xml:space="preserve"> sector</w:t>
            </w:r>
            <w:r w:rsidRPr="007C4D65">
              <w:rPr>
                <w:rFonts w:asciiTheme="minorHAnsi" w:eastAsia="Calibri" w:hAnsiTheme="minorHAnsi" w:cstheme="minorHAnsi"/>
                <w:sz w:val="18"/>
                <w:szCs w:val="18"/>
                <w:lang w:eastAsia="en-US"/>
              </w:rPr>
              <w:t>, through improvement of strategic framework and incentive scheme and strengthening of infrastructure for partial decarbonisation of</w:t>
            </w:r>
            <w:r w:rsidR="005C0A68" w:rsidRPr="007C4D65">
              <w:rPr>
                <w:rFonts w:asciiTheme="minorHAnsi" w:eastAsia="Calibri" w:hAnsiTheme="minorHAnsi" w:cstheme="minorHAnsi"/>
                <w:sz w:val="18"/>
                <w:szCs w:val="18"/>
                <w:lang w:eastAsia="en-US"/>
              </w:rPr>
              <w:t xml:space="preserve"> the</w:t>
            </w:r>
            <w:r w:rsidRPr="007C4D65">
              <w:rPr>
                <w:rFonts w:asciiTheme="minorHAnsi" w:eastAsia="Calibri" w:hAnsiTheme="minorHAnsi" w:cstheme="minorHAnsi"/>
                <w:sz w:val="18"/>
                <w:szCs w:val="18"/>
                <w:lang w:eastAsia="en-US"/>
              </w:rPr>
              <w:t xml:space="preserve"> transpor</w:t>
            </w:r>
            <w:r w:rsidR="008C3DFC" w:rsidRPr="007C4D65">
              <w:rPr>
                <w:rFonts w:asciiTheme="minorHAnsi" w:eastAsia="Calibri" w:hAnsiTheme="minorHAnsi" w:cstheme="minorHAnsi"/>
                <w:sz w:val="18"/>
                <w:szCs w:val="18"/>
                <w:lang w:eastAsia="en-US"/>
              </w:rPr>
              <w:t>t.</w:t>
            </w:r>
          </w:p>
          <w:p w14:paraId="41B1AFA6" w14:textId="24E76633" w:rsidR="00EE66FD" w:rsidRPr="007C4D65" w:rsidRDefault="008C3DFC"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EE66FD" w:rsidRPr="007C4D65">
              <w:rPr>
                <w:rFonts w:asciiTheme="minorHAnsi" w:eastAsia="Calibri" w:hAnsiTheme="minorHAnsi" w:cstheme="minorHAnsi"/>
                <w:sz w:val="18"/>
                <w:szCs w:val="18"/>
                <w:lang w:eastAsia="en-US"/>
              </w:rPr>
              <w:t>eneral areas of intervention are:</w:t>
            </w:r>
          </w:p>
          <w:p w14:paraId="58AC5A41" w14:textId="5C4888D8" w:rsidR="00EE66FD" w:rsidRPr="007C4D65" w:rsidRDefault="00EE66FD">
            <w:pPr>
              <w:numPr>
                <w:ilvl w:val="0"/>
                <w:numId w:val="130"/>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Implementing incentive schemes for citizens energy projects and auctions (gradually phase out buy-in tariffs, implementing net measurement</w:t>
            </w:r>
            <w:r w:rsidR="005C0A68" w:rsidRPr="007C4D65">
              <w:rPr>
                <w:rFonts w:asciiTheme="minorHAnsi" w:eastAsia="Calibri" w:hAnsiTheme="minorHAnsi" w:cstheme="minorHAnsi"/>
                <w:sz w:val="18"/>
                <w:szCs w:val="18"/>
                <w:lang w:eastAsia="en-US"/>
              </w:rPr>
              <w:t>s</w:t>
            </w:r>
            <w:r w:rsidRPr="007C4D65">
              <w:rPr>
                <w:rFonts w:asciiTheme="minorHAnsi" w:eastAsia="Calibri" w:hAnsiTheme="minorHAnsi" w:cstheme="minorHAnsi"/>
                <w:sz w:val="18"/>
                <w:szCs w:val="18"/>
                <w:lang w:eastAsia="en-US"/>
              </w:rPr>
              <w:t xml:space="preserve"> or net calculation, specify prosumers</w:t>
            </w:r>
            <w:proofErr w:type="gramStart"/>
            <w:r w:rsidRPr="007C4D65">
              <w:rPr>
                <w:rFonts w:asciiTheme="minorHAnsi" w:eastAsia="Calibri" w:hAnsiTheme="minorHAnsi" w:cstheme="minorHAnsi"/>
                <w:sz w:val="18"/>
                <w:szCs w:val="18"/>
                <w:lang w:eastAsia="en-US"/>
              </w:rPr>
              <w:t>)</w:t>
            </w:r>
            <w:r w:rsidR="008C3DFC" w:rsidRPr="007C4D65">
              <w:rPr>
                <w:rFonts w:asciiTheme="minorHAnsi" w:eastAsia="Calibri" w:hAnsiTheme="minorHAnsi" w:cstheme="minorHAnsi"/>
                <w:sz w:val="18"/>
                <w:szCs w:val="18"/>
                <w:lang w:eastAsia="en-US"/>
              </w:rPr>
              <w:t>;</w:t>
            </w:r>
            <w:proofErr w:type="gramEnd"/>
          </w:p>
          <w:p w14:paraId="670F5F7B" w14:textId="65B6A9E6" w:rsidR="00EE66FD" w:rsidRPr="007C4D65" w:rsidRDefault="00EE66FD">
            <w:pPr>
              <w:numPr>
                <w:ilvl w:val="0"/>
                <w:numId w:val="130"/>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Adopting and regularly updating catalogues of environmental criteria for </w:t>
            </w:r>
            <w:r w:rsidR="005C0A68" w:rsidRPr="007C4D65">
              <w:rPr>
                <w:rFonts w:asciiTheme="minorHAnsi" w:eastAsia="Calibri" w:hAnsiTheme="minorHAnsi" w:cstheme="minorHAnsi"/>
                <w:sz w:val="18"/>
                <w:szCs w:val="18"/>
                <w:lang w:eastAsia="en-US"/>
              </w:rPr>
              <w:t>development</w:t>
            </w:r>
            <w:r w:rsidRPr="007C4D65">
              <w:rPr>
                <w:rFonts w:asciiTheme="minorHAnsi" w:eastAsia="Calibri" w:hAnsiTheme="minorHAnsi" w:cstheme="minorHAnsi"/>
                <w:sz w:val="18"/>
                <w:szCs w:val="18"/>
                <w:lang w:eastAsia="en-US"/>
              </w:rPr>
              <w:t xml:space="preserve"> of all renewable energy sources (within the system of impact assessment</w:t>
            </w:r>
            <w:r w:rsidR="00C25E5D" w:rsidRPr="007C4D65">
              <w:rPr>
                <w:rFonts w:asciiTheme="minorHAnsi" w:eastAsia="Calibri" w:hAnsiTheme="minorHAnsi" w:cstheme="minorHAnsi"/>
                <w:sz w:val="18"/>
                <w:szCs w:val="18"/>
                <w:lang w:eastAsia="en-US"/>
              </w:rPr>
              <w:t>s</w:t>
            </w:r>
            <w:proofErr w:type="gramStart"/>
            <w:r w:rsidRPr="007C4D65">
              <w:rPr>
                <w:rFonts w:asciiTheme="minorHAnsi" w:eastAsia="Calibri" w:hAnsiTheme="minorHAnsi" w:cstheme="minorHAnsi"/>
                <w:sz w:val="18"/>
                <w:szCs w:val="18"/>
                <w:lang w:eastAsia="en-US"/>
              </w:rPr>
              <w:t>)</w:t>
            </w:r>
            <w:r w:rsidR="008C3DFC" w:rsidRPr="007C4D65">
              <w:rPr>
                <w:rFonts w:asciiTheme="minorHAnsi" w:eastAsiaTheme="minorHAnsi" w:hAnsiTheme="minorHAnsi" w:cstheme="minorHAnsi"/>
                <w:color w:val="000000"/>
                <w:sz w:val="18"/>
                <w:szCs w:val="18"/>
                <w:lang w:eastAsia="en-US"/>
              </w:rPr>
              <w:t>;</w:t>
            </w:r>
            <w:proofErr w:type="gramEnd"/>
          </w:p>
          <w:p w14:paraId="53CED2CA" w14:textId="7B412F18" w:rsidR="00EE66FD" w:rsidRPr="007C4D65" w:rsidRDefault="00EE66FD">
            <w:pPr>
              <w:numPr>
                <w:ilvl w:val="0"/>
                <w:numId w:val="130"/>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Implementing incentives for rooftop solar photovoltaic power plants on new </w:t>
            </w:r>
            <w:proofErr w:type="gramStart"/>
            <w:r w:rsidRPr="007C4D65">
              <w:rPr>
                <w:rFonts w:asciiTheme="minorHAnsi" w:eastAsia="Calibri" w:hAnsiTheme="minorHAnsi" w:cstheme="minorHAnsi"/>
                <w:sz w:val="18"/>
                <w:szCs w:val="18"/>
                <w:lang w:eastAsia="en-US"/>
              </w:rPr>
              <w:t>buildings</w:t>
            </w:r>
            <w:r w:rsidR="008C3DFC" w:rsidRPr="007C4D65">
              <w:rPr>
                <w:rFonts w:asciiTheme="minorHAnsi" w:eastAsiaTheme="minorHAnsi" w:hAnsiTheme="minorHAnsi" w:cstheme="minorHAnsi"/>
                <w:color w:val="000000"/>
                <w:sz w:val="18"/>
                <w:szCs w:val="18"/>
                <w:lang w:eastAsia="en-US"/>
              </w:rPr>
              <w:t>;</w:t>
            </w:r>
            <w:proofErr w:type="gramEnd"/>
          </w:p>
          <w:p w14:paraId="407978CF" w14:textId="0EB8A76E" w:rsidR="00EE66FD" w:rsidRPr="007C4D65" w:rsidRDefault="00EE66FD">
            <w:pPr>
              <w:numPr>
                <w:ilvl w:val="0"/>
                <w:numId w:val="130"/>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Conduct a study on construction of required infrastructure for electric and plug-in hybrid </w:t>
            </w:r>
            <w:proofErr w:type="gramStart"/>
            <w:r w:rsidRPr="007C4D65">
              <w:rPr>
                <w:rFonts w:asciiTheme="minorHAnsi" w:eastAsia="Calibri" w:hAnsiTheme="minorHAnsi" w:cstheme="minorHAnsi"/>
                <w:sz w:val="18"/>
                <w:szCs w:val="18"/>
                <w:lang w:eastAsia="en-US"/>
              </w:rPr>
              <w:t>vehicles</w:t>
            </w:r>
            <w:r w:rsidR="008C3DFC" w:rsidRPr="007C4D65">
              <w:rPr>
                <w:rFonts w:asciiTheme="minorHAnsi" w:eastAsiaTheme="minorHAnsi" w:hAnsiTheme="minorHAnsi" w:cstheme="minorHAnsi"/>
                <w:color w:val="000000"/>
                <w:sz w:val="18"/>
                <w:szCs w:val="18"/>
                <w:lang w:eastAsia="en-US"/>
              </w:rPr>
              <w:t>;</w:t>
            </w:r>
            <w:proofErr w:type="gramEnd"/>
          </w:p>
          <w:p w14:paraId="0F1C667B" w14:textId="5CFBD63D" w:rsidR="00EE66FD" w:rsidRPr="007C4D65" w:rsidRDefault="00EE66FD">
            <w:pPr>
              <w:numPr>
                <w:ilvl w:val="0"/>
                <w:numId w:val="130"/>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Promoting purchase and use of hybrid, electric and plug-in passenger vehicles (subsidies for purchase, the right to enter ‘green’ city areas, cheaper/free of charge parking, etc.), public transport </w:t>
            </w:r>
            <w:proofErr w:type="gramStart"/>
            <w:r w:rsidRPr="007C4D65">
              <w:rPr>
                <w:rFonts w:asciiTheme="minorHAnsi" w:eastAsia="Calibri" w:hAnsiTheme="minorHAnsi" w:cstheme="minorHAnsi"/>
                <w:sz w:val="18"/>
                <w:szCs w:val="18"/>
                <w:lang w:eastAsia="en-US"/>
              </w:rPr>
              <w:t>vehicles</w:t>
            </w:r>
            <w:r w:rsidR="008C3DFC" w:rsidRPr="007C4D65">
              <w:rPr>
                <w:rFonts w:asciiTheme="minorHAnsi" w:eastAsia="Calibri" w:hAnsiTheme="minorHAnsi" w:cstheme="minorHAnsi"/>
                <w:sz w:val="18"/>
                <w:szCs w:val="18"/>
                <w:lang w:eastAsia="en-US"/>
              </w:rPr>
              <w:t>;</w:t>
            </w:r>
            <w:proofErr w:type="gramEnd"/>
          </w:p>
          <w:p w14:paraId="4F9448E3" w14:textId="4456D39A" w:rsidR="00EE66FD" w:rsidRPr="007C4D65" w:rsidRDefault="00EE66FD">
            <w:pPr>
              <w:numPr>
                <w:ilvl w:val="0"/>
                <w:numId w:val="130"/>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Building the infrastructure for hybrid, electric and plug-in passenger vehicles (charging points, disposal of used spare parts, etc.</w:t>
            </w:r>
            <w:proofErr w:type="gramStart"/>
            <w:r w:rsidRPr="007C4D65">
              <w:rPr>
                <w:rFonts w:asciiTheme="minorHAnsi" w:eastAsia="Calibri" w:hAnsiTheme="minorHAnsi" w:cstheme="minorHAnsi"/>
                <w:sz w:val="18"/>
                <w:szCs w:val="18"/>
                <w:lang w:eastAsia="en-US"/>
              </w:rPr>
              <w:t>)</w:t>
            </w:r>
            <w:r w:rsidR="008C3DFC" w:rsidRPr="007C4D65">
              <w:rPr>
                <w:rFonts w:asciiTheme="minorHAnsi" w:eastAsiaTheme="minorHAnsi" w:hAnsiTheme="minorHAnsi" w:cstheme="minorHAnsi"/>
                <w:color w:val="000000"/>
                <w:sz w:val="18"/>
                <w:szCs w:val="18"/>
                <w:lang w:eastAsia="en-US"/>
              </w:rPr>
              <w:t>;</w:t>
            </w:r>
            <w:proofErr w:type="gramEnd"/>
          </w:p>
          <w:p w14:paraId="06BCFBE5" w14:textId="4AAA1EB6" w:rsidR="00EE66FD" w:rsidRPr="007C4D65" w:rsidRDefault="00EE66FD">
            <w:pPr>
              <w:numPr>
                <w:ilvl w:val="0"/>
                <w:numId w:val="130"/>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Building cycling trails and parking facilities, </w:t>
            </w:r>
            <w:r w:rsidR="00C25E5D" w:rsidRPr="007C4D65">
              <w:rPr>
                <w:rFonts w:asciiTheme="minorHAnsi" w:eastAsia="Calibri" w:hAnsiTheme="minorHAnsi" w:cstheme="minorHAnsi"/>
                <w:sz w:val="18"/>
                <w:szCs w:val="18"/>
                <w:lang w:eastAsia="en-US"/>
              </w:rPr>
              <w:t>developing</w:t>
            </w:r>
            <w:r w:rsidRPr="007C4D65">
              <w:rPr>
                <w:rFonts w:asciiTheme="minorHAnsi" w:eastAsia="Calibri" w:hAnsiTheme="minorHAnsi" w:cstheme="minorHAnsi"/>
                <w:sz w:val="18"/>
                <w:szCs w:val="18"/>
                <w:lang w:eastAsia="en-US"/>
              </w:rPr>
              <w:t xml:space="preserve"> pedestrian walkways.</w:t>
            </w:r>
          </w:p>
        </w:tc>
      </w:tr>
      <w:tr w:rsidR="00EE66FD" w:rsidRPr="007C4D65" w14:paraId="559AE616" w14:textId="77777777" w:rsidTr="00BC37DE">
        <w:trPr>
          <w:trHeight w:val="567"/>
          <w:jc w:val="center"/>
        </w:trPr>
        <w:tc>
          <w:tcPr>
            <w:tcW w:w="1322" w:type="pct"/>
            <w:shd w:val="clear" w:color="auto" w:fill="009D73"/>
            <w:vAlign w:val="center"/>
          </w:tcPr>
          <w:p w14:paraId="07DC9751"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Strategic projects</w:t>
            </w:r>
          </w:p>
        </w:tc>
        <w:tc>
          <w:tcPr>
            <w:tcW w:w="3678" w:type="pct"/>
            <w:gridSpan w:val="3"/>
            <w:shd w:val="clear" w:color="auto" w:fill="FFFFFF" w:themeFill="background1"/>
            <w:vAlign w:val="center"/>
          </w:tcPr>
          <w:p w14:paraId="34A5BEF1"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E66FD" w:rsidRPr="007C4D65" w14:paraId="449596FA" w14:textId="77777777" w:rsidTr="00BC37DE">
        <w:trPr>
          <w:trHeight w:val="567"/>
          <w:jc w:val="center"/>
        </w:trPr>
        <w:tc>
          <w:tcPr>
            <w:tcW w:w="1322" w:type="pct"/>
            <w:vMerge w:val="restart"/>
            <w:shd w:val="clear" w:color="auto" w:fill="009D73"/>
            <w:vAlign w:val="center"/>
          </w:tcPr>
          <w:p w14:paraId="3279BF39"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 for monitoring of results</w:t>
            </w:r>
          </w:p>
        </w:tc>
        <w:tc>
          <w:tcPr>
            <w:tcW w:w="1145" w:type="pct"/>
            <w:shd w:val="clear" w:color="auto" w:fill="009D73"/>
            <w:vAlign w:val="center"/>
          </w:tcPr>
          <w:p w14:paraId="03A9B066"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w:t>
            </w:r>
          </w:p>
          <w:p w14:paraId="1FE0DF7F"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w:t>
            </w:r>
            <w:proofErr w:type="gramStart"/>
            <w:r w:rsidRPr="007C4D65">
              <w:rPr>
                <w:rFonts w:asciiTheme="minorHAnsi" w:eastAsiaTheme="minorHAnsi" w:hAnsiTheme="minorHAnsi" w:cstheme="minorHAnsi"/>
                <w:b/>
                <w:bCs/>
                <w:color w:val="FFFFFF" w:themeColor="background1"/>
                <w:sz w:val="18"/>
                <w:szCs w:val="18"/>
                <w:lang w:eastAsia="en-US"/>
              </w:rPr>
              <w:t>outputs</w:t>
            </w:r>
            <w:proofErr w:type="gramEnd"/>
            <w:r w:rsidRPr="007C4D65">
              <w:rPr>
                <w:rFonts w:asciiTheme="minorHAnsi" w:eastAsiaTheme="minorHAnsi" w:hAnsiTheme="minorHAnsi" w:cstheme="minorHAnsi"/>
                <w:b/>
                <w:bCs/>
                <w:color w:val="FFFFFF" w:themeColor="background1"/>
                <w:sz w:val="18"/>
                <w:szCs w:val="18"/>
                <w:lang w:eastAsia="en-US"/>
              </w:rPr>
              <w:t xml:space="preserve"> and deliverables)</w:t>
            </w:r>
          </w:p>
        </w:tc>
        <w:tc>
          <w:tcPr>
            <w:tcW w:w="1267" w:type="pct"/>
            <w:shd w:val="clear" w:color="auto" w:fill="009D73"/>
            <w:vAlign w:val="center"/>
          </w:tcPr>
          <w:p w14:paraId="10EAC596"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Baseline value</w:t>
            </w:r>
          </w:p>
        </w:tc>
        <w:tc>
          <w:tcPr>
            <w:tcW w:w="1267" w:type="pct"/>
            <w:shd w:val="clear" w:color="auto" w:fill="009D73"/>
            <w:vAlign w:val="center"/>
          </w:tcPr>
          <w:p w14:paraId="19AAB2AF"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value</w:t>
            </w:r>
          </w:p>
        </w:tc>
      </w:tr>
      <w:tr w:rsidR="00EE66FD" w:rsidRPr="007C4D65" w14:paraId="66361522" w14:textId="77777777" w:rsidTr="00BC37DE">
        <w:trPr>
          <w:trHeight w:val="567"/>
          <w:jc w:val="center"/>
        </w:trPr>
        <w:tc>
          <w:tcPr>
            <w:tcW w:w="1322" w:type="pct"/>
            <w:vMerge/>
            <w:shd w:val="clear" w:color="auto" w:fill="009D73"/>
            <w:vAlign w:val="center"/>
          </w:tcPr>
          <w:p w14:paraId="39CDBF86"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25395531" w14:textId="77777777" w:rsidR="00EE66FD" w:rsidRPr="007C4D65" w:rsidRDefault="00EE66FD">
            <w:pPr>
              <w:numPr>
                <w:ilvl w:val="0"/>
                <w:numId w:val="131"/>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the law adoption</w:t>
            </w:r>
          </w:p>
        </w:tc>
        <w:tc>
          <w:tcPr>
            <w:tcW w:w="1267" w:type="pct"/>
            <w:shd w:val="clear" w:color="auto" w:fill="FFFFFF"/>
            <w:vAlign w:val="center"/>
          </w:tcPr>
          <w:p w14:paraId="238606A7" w14:textId="0058A2A7" w:rsidR="00EE66FD" w:rsidRPr="007C4D65" w:rsidRDefault="00C25E5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applicable</w:t>
            </w:r>
            <w:r w:rsidR="00EE66FD" w:rsidRPr="007C4D65">
              <w:rPr>
                <w:rFonts w:asciiTheme="minorHAnsi" w:eastAsiaTheme="minorHAnsi" w:hAnsiTheme="minorHAnsi" w:cstheme="minorHAnsi"/>
                <w:sz w:val="18"/>
                <w:szCs w:val="18"/>
                <w:lang w:eastAsia="en-US"/>
              </w:rPr>
              <w:t xml:space="preserve"> law does not </w:t>
            </w:r>
            <w:r w:rsidRPr="007C4D65">
              <w:rPr>
                <w:rFonts w:asciiTheme="minorHAnsi" w:eastAsiaTheme="minorHAnsi" w:hAnsiTheme="minorHAnsi" w:cstheme="minorHAnsi"/>
                <w:sz w:val="18"/>
                <w:szCs w:val="18"/>
                <w:lang w:eastAsia="en-US"/>
              </w:rPr>
              <w:t>offer</w:t>
            </w:r>
            <w:r w:rsidR="00EE66FD" w:rsidRPr="007C4D65">
              <w:rPr>
                <w:rFonts w:asciiTheme="minorHAnsi" w:eastAsiaTheme="minorHAnsi" w:hAnsiTheme="minorHAnsi" w:cstheme="minorHAnsi"/>
                <w:sz w:val="18"/>
                <w:szCs w:val="18"/>
                <w:lang w:eastAsia="en-US"/>
              </w:rPr>
              <w:t xml:space="preserve"> incentives scheme</w:t>
            </w:r>
            <w:r w:rsidRPr="007C4D65">
              <w:rPr>
                <w:rFonts w:asciiTheme="minorHAnsi" w:eastAsiaTheme="minorHAnsi" w:hAnsiTheme="minorHAnsi" w:cstheme="minorHAnsi"/>
                <w:sz w:val="18"/>
                <w:szCs w:val="18"/>
                <w:lang w:eastAsia="en-US"/>
              </w:rPr>
              <w:t>s</w:t>
            </w:r>
            <w:r w:rsidR="00EE66FD" w:rsidRPr="007C4D65">
              <w:rPr>
                <w:rFonts w:asciiTheme="minorHAnsi" w:eastAsiaTheme="minorHAnsi" w:hAnsiTheme="minorHAnsi" w:cstheme="minorHAnsi"/>
                <w:sz w:val="18"/>
                <w:szCs w:val="18"/>
                <w:lang w:eastAsia="en-US"/>
              </w:rPr>
              <w:t xml:space="preserve"> for citizen energy projects</w:t>
            </w:r>
          </w:p>
        </w:tc>
        <w:tc>
          <w:tcPr>
            <w:tcW w:w="1267" w:type="pct"/>
            <w:shd w:val="clear" w:color="auto" w:fill="FFFFFF"/>
            <w:vAlign w:val="center"/>
          </w:tcPr>
          <w:p w14:paraId="67BA03F1" w14:textId="420E5767" w:rsidR="00EE66FD" w:rsidRPr="007C4D65" w:rsidRDefault="00C25E5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w:t>
            </w:r>
            <w:r w:rsidR="00EE66FD" w:rsidRPr="007C4D65">
              <w:rPr>
                <w:rFonts w:asciiTheme="minorHAnsi" w:eastAsiaTheme="minorHAnsi" w:hAnsiTheme="minorHAnsi" w:cstheme="minorHAnsi"/>
                <w:sz w:val="18"/>
                <w:szCs w:val="18"/>
                <w:lang w:eastAsia="en-US"/>
              </w:rPr>
              <w:t>mend</w:t>
            </w:r>
            <w:r w:rsidRPr="007C4D65">
              <w:rPr>
                <w:rFonts w:asciiTheme="minorHAnsi" w:eastAsiaTheme="minorHAnsi" w:hAnsiTheme="minorHAnsi" w:cstheme="minorHAnsi"/>
                <w:sz w:val="18"/>
                <w:szCs w:val="18"/>
                <w:lang w:eastAsia="en-US"/>
              </w:rPr>
              <w:t xml:space="preserve">ments to the </w:t>
            </w:r>
            <w:r w:rsidR="00EE66FD" w:rsidRPr="007C4D65">
              <w:rPr>
                <w:rFonts w:asciiTheme="minorHAnsi" w:eastAsiaTheme="minorHAnsi" w:hAnsiTheme="minorHAnsi" w:cstheme="minorHAnsi"/>
                <w:sz w:val="18"/>
                <w:szCs w:val="18"/>
                <w:lang w:eastAsia="en-US"/>
              </w:rPr>
              <w:t>Law on RES adopted</w:t>
            </w:r>
          </w:p>
        </w:tc>
      </w:tr>
      <w:tr w:rsidR="00EE66FD" w:rsidRPr="007C4D65" w14:paraId="4FE9FCE7" w14:textId="77777777" w:rsidTr="00BC37DE">
        <w:trPr>
          <w:trHeight w:val="567"/>
          <w:jc w:val="center"/>
        </w:trPr>
        <w:tc>
          <w:tcPr>
            <w:tcW w:w="1322" w:type="pct"/>
            <w:vMerge/>
            <w:shd w:val="clear" w:color="auto" w:fill="009D73"/>
            <w:vAlign w:val="center"/>
          </w:tcPr>
          <w:p w14:paraId="43D5985C"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7442E78C" w14:textId="77777777" w:rsidR="00EE66FD" w:rsidRPr="007C4D65" w:rsidRDefault="00EE66FD">
            <w:pPr>
              <w:numPr>
                <w:ilvl w:val="0"/>
                <w:numId w:val="131"/>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Number of adopted catalogues (one catalogue per each type of RES)</w:t>
            </w:r>
          </w:p>
        </w:tc>
        <w:tc>
          <w:tcPr>
            <w:tcW w:w="1267" w:type="pct"/>
            <w:shd w:val="clear" w:color="auto" w:fill="FFFFFF"/>
            <w:vAlign w:val="center"/>
          </w:tcPr>
          <w:p w14:paraId="45B9D5CD" w14:textId="1CD2141C"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There are no catalogues of criteria, </w:t>
            </w:r>
            <w:r w:rsidR="00C25E5D" w:rsidRPr="007C4D65">
              <w:rPr>
                <w:rFonts w:asciiTheme="minorHAnsi" w:eastAsiaTheme="minorHAnsi" w:hAnsiTheme="minorHAnsi" w:cstheme="minorHAnsi"/>
                <w:sz w:val="18"/>
                <w:szCs w:val="18"/>
                <w:lang w:eastAsia="en-US"/>
              </w:rPr>
              <w:t xml:space="preserve">they were prepared </w:t>
            </w:r>
            <w:r w:rsidRPr="007C4D65">
              <w:rPr>
                <w:rFonts w:asciiTheme="minorHAnsi" w:eastAsiaTheme="minorHAnsi" w:hAnsiTheme="minorHAnsi" w:cstheme="minorHAnsi"/>
                <w:sz w:val="18"/>
                <w:szCs w:val="18"/>
                <w:lang w:eastAsia="en-US"/>
              </w:rPr>
              <w:t>for small hydropower plants, but not adopted</w:t>
            </w:r>
          </w:p>
        </w:tc>
        <w:tc>
          <w:tcPr>
            <w:tcW w:w="1267" w:type="pct"/>
            <w:shd w:val="clear" w:color="auto" w:fill="FFFFFF"/>
            <w:vAlign w:val="center"/>
          </w:tcPr>
          <w:p w14:paraId="054C01B4"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Catalogues of criteria for all RES adopted</w:t>
            </w:r>
          </w:p>
        </w:tc>
      </w:tr>
      <w:tr w:rsidR="00EE66FD" w:rsidRPr="007C4D65" w14:paraId="5E0EE8B6" w14:textId="77777777" w:rsidTr="00BC37DE">
        <w:trPr>
          <w:trHeight w:val="567"/>
          <w:jc w:val="center"/>
        </w:trPr>
        <w:tc>
          <w:tcPr>
            <w:tcW w:w="1322" w:type="pct"/>
            <w:vMerge/>
            <w:shd w:val="clear" w:color="auto" w:fill="009D73"/>
            <w:vAlign w:val="center"/>
          </w:tcPr>
          <w:p w14:paraId="5E9811B1"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0AEBA319" w14:textId="77777777" w:rsidR="00EE66FD" w:rsidRPr="007C4D65" w:rsidRDefault="00EE66FD">
            <w:pPr>
              <w:numPr>
                <w:ilvl w:val="0"/>
                <w:numId w:val="131"/>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Status of the law adoption</w:t>
            </w:r>
          </w:p>
        </w:tc>
        <w:tc>
          <w:tcPr>
            <w:tcW w:w="1267" w:type="pct"/>
            <w:shd w:val="clear" w:color="auto" w:fill="FFFFFF"/>
            <w:vAlign w:val="center"/>
          </w:tcPr>
          <w:p w14:paraId="0CDCA9DC" w14:textId="08248A57" w:rsidR="00EE66FD" w:rsidRPr="007C4D65" w:rsidRDefault="00C25E5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applicable law </w:t>
            </w:r>
            <w:r w:rsidR="00EE66FD" w:rsidRPr="007C4D65">
              <w:rPr>
                <w:rFonts w:asciiTheme="minorHAnsi" w:eastAsiaTheme="minorHAnsi" w:hAnsiTheme="minorHAnsi" w:cstheme="minorHAnsi"/>
                <w:sz w:val="18"/>
                <w:szCs w:val="18"/>
                <w:lang w:eastAsia="en-US"/>
              </w:rPr>
              <w:t xml:space="preserve">does not </w:t>
            </w:r>
            <w:r w:rsidRPr="007C4D65">
              <w:rPr>
                <w:rFonts w:asciiTheme="minorHAnsi" w:eastAsiaTheme="minorHAnsi" w:hAnsiTheme="minorHAnsi" w:cstheme="minorHAnsi"/>
                <w:sz w:val="18"/>
                <w:szCs w:val="18"/>
                <w:lang w:eastAsia="en-US"/>
              </w:rPr>
              <w:t>offer</w:t>
            </w:r>
            <w:r w:rsidR="00EE66FD" w:rsidRPr="007C4D65">
              <w:rPr>
                <w:rFonts w:asciiTheme="minorHAnsi" w:eastAsiaTheme="minorHAnsi" w:hAnsiTheme="minorHAnsi" w:cstheme="minorHAnsi"/>
                <w:sz w:val="18"/>
                <w:szCs w:val="18"/>
                <w:lang w:eastAsia="en-US"/>
              </w:rPr>
              <w:t xml:space="preserve"> incentives scheme</w:t>
            </w:r>
            <w:r w:rsidRPr="007C4D65">
              <w:rPr>
                <w:rFonts w:asciiTheme="minorHAnsi" w:eastAsiaTheme="minorHAnsi" w:hAnsiTheme="minorHAnsi" w:cstheme="minorHAnsi"/>
                <w:sz w:val="18"/>
                <w:szCs w:val="18"/>
                <w:lang w:eastAsia="en-US"/>
              </w:rPr>
              <w:t>s</w:t>
            </w:r>
            <w:r w:rsidR="00EE66FD" w:rsidRPr="007C4D65">
              <w:rPr>
                <w:rFonts w:asciiTheme="minorHAnsi" w:eastAsiaTheme="minorHAnsi" w:hAnsiTheme="minorHAnsi" w:cstheme="minorHAnsi"/>
                <w:sz w:val="18"/>
                <w:szCs w:val="18"/>
                <w:lang w:eastAsia="en-US"/>
              </w:rPr>
              <w:t xml:space="preserve"> for rooftop solar </w:t>
            </w:r>
            <w:r w:rsidR="00EE66FD" w:rsidRPr="007C4D65">
              <w:rPr>
                <w:rFonts w:asciiTheme="minorHAnsi" w:eastAsiaTheme="minorHAnsi" w:hAnsiTheme="minorHAnsi" w:cstheme="minorHAnsi"/>
                <w:sz w:val="18"/>
                <w:szCs w:val="18"/>
                <w:lang w:eastAsia="en-US"/>
              </w:rPr>
              <w:lastRenderedPageBreak/>
              <w:t>photovoltaic power plants on new buildings</w:t>
            </w:r>
          </w:p>
        </w:tc>
        <w:tc>
          <w:tcPr>
            <w:tcW w:w="1267" w:type="pct"/>
            <w:shd w:val="clear" w:color="auto" w:fill="FFFFFF"/>
            <w:vAlign w:val="center"/>
          </w:tcPr>
          <w:p w14:paraId="086D241C" w14:textId="0AE27200" w:rsidR="00EE66FD" w:rsidRPr="007C4D65" w:rsidRDefault="00C25E5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lastRenderedPageBreak/>
              <w:t>Amendments to the Law on RES adopted</w:t>
            </w:r>
          </w:p>
        </w:tc>
      </w:tr>
      <w:tr w:rsidR="00EE66FD" w:rsidRPr="007C4D65" w14:paraId="496254B9" w14:textId="77777777" w:rsidTr="00BC37DE">
        <w:trPr>
          <w:trHeight w:val="567"/>
          <w:jc w:val="center"/>
        </w:trPr>
        <w:tc>
          <w:tcPr>
            <w:tcW w:w="1322" w:type="pct"/>
            <w:vMerge/>
            <w:shd w:val="clear" w:color="auto" w:fill="009D73"/>
            <w:vAlign w:val="center"/>
          </w:tcPr>
          <w:p w14:paraId="7D02843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6496A2EB" w14:textId="3EF7F3A6" w:rsidR="00EE66FD" w:rsidRPr="007C4D65" w:rsidRDefault="00EE66FD">
            <w:pPr>
              <w:numPr>
                <w:ilvl w:val="0"/>
                <w:numId w:val="131"/>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C25E5D" w:rsidRPr="007C4D65">
              <w:rPr>
                <w:rFonts w:asciiTheme="minorHAnsi" w:eastAsia="Calibri" w:hAnsiTheme="minorHAnsi" w:cstheme="minorHAnsi"/>
                <w:sz w:val="18"/>
                <w:szCs w:val="18"/>
                <w:lang w:eastAsia="en-US"/>
              </w:rPr>
              <w:t>the completion</w:t>
            </w:r>
            <w:r w:rsidRPr="007C4D65">
              <w:rPr>
                <w:rFonts w:asciiTheme="minorHAnsi" w:eastAsia="Calibri" w:hAnsiTheme="minorHAnsi" w:cstheme="minorHAnsi"/>
                <w:sz w:val="18"/>
                <w:szCs w:val="18"/>
                <w:lang w:eastAsia="en-US"/>
              </w:rPr>
              <w:t xml:space="preserve"> and adoption of the study</w:t>
            </w:r>
          </w:p>
        </w:tc>
        <w:tc>
          <w:tcPr>
            <w:tcW w:w="1267" w:type="pct"/>
            <w:shd w:val="clear" w:color="auto" w:fill="FFFFFF"/>
            <w:vAlign w:val="center"/>
          </w:tcPr>
          <w:p w14:paraId="01F4FE19"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 is no comprehensive analysis</w:t>
            </w:r>
          </w:p>
        </w:tc>
        <w:tc>
          <w:tcPr>
            <w:tcW w:w="1267" w:type="pct"/>
            <w:shd w:val="clear" w:color="auto" w:fill="FFFFFF"/>
            <w:vAlign w:val="center"/>
          </w:tcPr>
          <w:p w14:paraId="2EC4A7B3" w14:textId="6B1AD4EF" w:rsidR="00EE66FD" w:rsidRPr="007C4D65" w:rsidRDefault="00C25E5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 xml:space="preserve">Study </w:t>
            </w:r>
            <w:r w:rsidRPr="007C4D65">
              <w:rPr>
                <w:rFonts w:asciiTheme="minorHAnsi" w:eastAsiaTheme="minorHAnsi" w:hAnsiTheme="minorHAnsi" w:cstheme="minorHAnsi"/>
                <w:sz w:val="18"/>
                <w:szCs w:val="18"/>
                <w:lang w:eastAsia="en-US"/>
              </w:rPr>
              <w:t>completed</w:t>
            </w:r>
            <w:r w:rsidR="00EE66FD" w:rsidRPr="007C4D65">
              <w:rPr>
                <w:rFonts w:asciiTheme="minorHAnsi" w:eastAsiaTheme="minorHAnsi" w:hAnsiTheme="minorHAnsi" w:cstheme="minorHAnsi"/>
                <w:sz w:val="18"/>
                <w:szCs w:val="18"/>
                <w:lang w:eastAsia="en-US"/>
              </w:rPr>
              <w:t xml:space="preserve"> and adopted</w:t>
            </w:r>
          </w:p>
        </w:tc>
      </w:tr>
      <w:tr w:rsidR="00EE66FD" w:rsidRPr="007C4D65" w14:paraId="2EEDA1BE" w14:textId="77777777" w:rsidTr="00BC37DE">
        <w:trPr>
          <w:trHeight w:val="567"/>
          <w:jc w:val="center"/>
        </w:trPr>
        <w:tc>
          <w:tcPr>
            <w:tcW w:w="1322" w:type="pct"/>
            <w:vMerge/>
            <w:shd w:val="clear" w:color="auto" w:fill="009D73"/>
            <w:vAlign w:val="center"/>
          </w:tcPr>
          <w:p w14:paraId="5C590DC1"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5F718911" w14:textId="54D09AE0" w:rsidR="00EE66FD" w:rsidRPr="007C4D65" w:rsidRDefault="00EE66FD">
            <w:pPr>
              <w:numPr>
                <w:ilvl w:val="0"/>
                <w:numId w:val="131"/>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C25E5D"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adoption of the incentive schemes</w:t>
            </w:r>
          </w:p>
        </w:tc>
        <w:tc>
          <w:tcPr>
            <w:tcW w:w="1267" w:type="pct"/>
            <w:shd w:val="clear" w:color="auto" w:fill="FFFFFF"/>
            <w:vAlign w:val="center"/>
          </w:tcPr>
          <w:p w14:paraId="21A436DB"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 is no incentive scheme for hybrid, electric and plug-in passenger vehicles</w:t>
            </w:r>
          </w:p>
        </w:tc>
        <w:tc>
          <w:tcPr>
            <w:tcW w:w="1267" w:type="pct"/>
            <w:shd w:val="clear" w:color="auto" w:fill="FFFFFF"/>
            <w:vAlign w:val="center"/>
          </w:tcPr>
          <w:p w14:paraId="33D935B1" w14:textId="7AED9C6B" w:rsidR="00EE66FD" w:rsidRPr="007C4D65" w:rsidRDefault="00C25E5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 m</w:t>
            </w:r>
            <w:r w:rsidR="00EE66FD" w:rsidRPr="007C4D65">
              <w:rPr>
                <w:rFonts w:asciiTheme="minorHAnsi" w:eastAsiaTheme="minorHAnsi" w:hAnsiTheme="minorHAnsi" w:cstheme="minorHAnsi"/>
                <w:sz w:val="18"/>
                <w:szCs w:val="18"/>
                <w:lang w:eastAsia="en-US"/>
              </w:rPr>
              <w:t>odel for incentives scheme adopted</w:t>
            </w:r>
          </w:p>
        </w:tc>
      </w:tr>
      <w:tr w:rsidR="00EE66FD" w:rsidRPr="007C4D65" w14:paraId="2DA3F459" w14:textId="77777777" w:rsidTr="00BC37DE">
        <w:trPr>
          <w:trHeight w:val="567"/>
          <w:jc w:val="center"/>
        </w:trPr>
        <w:tc>
          <w:tcPr>
            <w:tcW w:w="1322" w:type="pct"/>
            <w:vMerge/>
            <w:shd w:val="clear" w:color="auto" w:fill="009D73"/>
            <w:vAlign w:val="center"/>
          </w:tcPr>
          <w:p w14:paraId="6D62B2B7"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7E6EF543" w14:textId="1DEF53DF" w:rsidR="00EE66FD" w:rsidRPr="007C4D65" w:rsidRDefault="00EE66FD">
            <w:pPr>
              <w:numPr>
                <w:ilvl w:val="0"/>
                <w:numId w:val="131"/>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Level of </w:t>
            </w:r>
            <w:r w:rsidR="00C25E5D"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 xml:space="preserve">development of infrastructure </w:t>
            </w:r>
            <w:r w:rsidR="00C25E5D" w:rsidRPr="007C4D65">
              <w:rPr>
                <w:rFonts w:asciiTheme="minorHAnsi" w:eastAsia="Calibri" w:hAnsiTheme="minorHAnsi" w:cstheme="minorHAnsi"/>
                <w:sz w:val="18"/>
                <w:szCs w:val="18"/>
                <w:lang w:eastAsia="en-US"/>
              </w:rPr>
              <w:t>as</w:t>
            </w:r>
            <w:r w:rsidRPr="007C4D65">
              <w:rPr>
                <w:rFonts w:asciiTheme="minorHAnsi" w:eastAsia="Calibri" w:hAnsiTheme="minorHAnsi" w:cstheme="minorHAnsi"/>
                <w:sz w:val="18"/>
                <w:szCs w:val="18"/>
                <w:lang w:eastAsia="en-US"/>
              </w:rPr>
              <w:t xml:space="preserve"> </w:t>
            </w:r>
            <w:r w:rsidR="00C25E5D" w:rsidRPr="007C4D65">
              <w:rPr>
                <w:rFonts w:asciiTheme="minorHAnsi" w:eastAsia="Calibri" w:hAnsiTheme="minorHAnsi" w:cstheme="minorHAnsi"/>
                <w:sz w:val="18"/>
                <w:szCs w:val="18"/>
                <w:lang w:eastAsia="en-US"/>
              </w:rPr>
              <w:t xml:space="preserve">defined </w:t>
            </w:r>
            <w:r w:rsidRPr="007C4D65">
              <w:rPr>
                <w:rFonts w:asciiTheme="minorHAnsi" w:eastAsia="Calibri" w:hAnsiTheme="minorHAnsi" w:cstheme="minorHAnsi"/>
                <w:sz w:val="18"/>
                <w:szCs w:val="18"/>
                <w:lang w:eastAsia="en-US"/>
              </w:rPr>
              <w:t xml:space="preserve">in the </w:t>
            </w:r>
            <w:r w:rsidR="00C25E5D" w:rsidRPr="007C4D65">
              <w:rPr>
                <w:rFonts w:asciiTheme="minorHAnsi" w:eastAsia="Calibri" w:hAnsiTheme="minorHAnsi" w:cstheme="minorHAnsi"/>
                <w:sz w:val="18"/>
                <w:szCs w:val="18"/>
                <w:lang w:eastAsia="en-US"/>
              </w:rPr>
              <w:t>S</w:t>
            </w:r>
            <w:r w:rsidRPr="007C4D65">
              <w:rPr>
                <w:rFonts w:asciiTheme="minorHAnsi" w:eastAsia="Calibri" w:hAnsiTheme="minorHAnsi" w:cstheme="minorHAnsi"/>
                <w:sz w:val="18"/>
                <w:szCs w:val="18"/>
                <w:lang w:eastAsia="en-US"/>
              </w:rPr>
              <w:t>tudy</w:t>
            </w:r>
          </w:p>
        </w:tc>
        <w:tc>
          <w:tcPr>
            <w:tcW w:w="1267" w:type="pct"/>
            <w:shd w:val="clear" w:color="auto" w:fill="FFFFFF"/>
            <w:vAlign w:val="center"/>
          </w:tcPr>
          <w:p w14:paraId="01C40301"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Insufficiently developed infrastructure</w:t>
            </w:r>
          </w:p>
        </w:tc>
        <w:tc>
          <w:tcPr>
            <w:tcW w:w="1267" w:type="pct"/>
            <w:shd w:val="clear" w:color="auto" w:fill="FFFFFF"/>
            <w:vAlign w:val="center"/>
          </w:tcPr>
          <w:p w14:paraId="57B3F3FC"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Minimum infrastructure developed</w:t>
            </w:r>
          </w:p>
        </w:tc>
      </w:tr>
      <w:tr w:rsidR="00EE66FD" w:rsidRPr="007C4D65" w14:paraId="08110A04" w14:textId="77777777" w:rsidTr="00BC37DE">
        <w:trPr>
          <w:trHeight w:val="567"/>
          <w:jc w:val="center"/>
        </w:trPr>
        <w:tc>
          <w:tcPr>
            <w:tcW w:w="1322" w:type="pct"/>
            <w:vMerge/>
            <w:shd w:val="clear" w:color="auto" w:fill="009D73"/>
            <w:vAlign w:val="center"/>
          </w:tcPr>
          <w:p w14:paraId="05E1D719"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4405889D" w14:textId="6F017490" w:rsidR="00EE66FD" w:rsidRPr="007C4D65" w:rsidRDefault="00EE66FD">
            <w:pPr>
              <w:numPr>
                <w:ilvl w:val="0"/>
                <w:numId w:val="131"/>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Number of kilometres of </w:t>
            </w:r>
            <w:r w:rsidR="00C25E5D" w:rsidRPr="007C4D65">
              <w:rPr>
                <w:rFonts w:asciiTheme="minorHAnsi" w:eastAsia="Calibri" w:hAnsiTheme="minorHAnsi" w:cstheme="minorHAnsi"/>
                <w:sz w:val="18"/>
                <w:szCs w:val="18"/>
                <w:lang w:eastAsia="en-US"/>
              </w:rPr>
              <w:t>developed</w:t>
            </w:r>
            <w:r w:rsidRPr="007C4D65">
              <w:rPr>
                <w:rFonts w:asciiTheme="minorHAnsi" w:eastAsia="Calibri" w:hAnsiTheme="minorHAnsi" w:cstheme="minorHAnsi"/>
                <w:sz w:val="18"/>
                <w:szCs w:val="18"/>
                <w:lang w:eastAsia="en-US"/>
              </w:rPr>
              <w:t xml:space="preserve"> cycling</w:t>
            </w:r>
            <w:r w:rsidR="00C25E5D" w:rsidRPr="007C4D65">
              <w:rPr>
                <w:rFonts w:asciiTheme="minorHAnsi" w:eastAsia="Calibri" w:hAnsiTheme="minorHAnsi" w:cstheme="minorHAnsi"/>
                <w:sz w:val="18"/>
                <w:szCs w:val="18"/>
                <w:lang w:eastAsia="en-US"/>
              </w:rPr>
              <w:t xml:space="preserve"> tracks</w:t>
            </w:r>
            <w:r w:rsidRPr="007C4D65">
              <w:rPr>
                <w:rFonts w:asciiTheme="minorHAnsi" w:eastAsia="Calibri" w:hAnsiTheme="minorHAnsi" w:cstheme="minorHAnsi"/>
                <w:sz w:val="18"/>
                <w:szCs w:val="18"/>
                <w:lang w:eastAsia="en-US"/>
              </w:rPr>
              <w:t xml:space="preserve"> and pedestrian walkways</w:t>
            </w:r>
          </w:p>
        </w:tc>
        <w:tc>
          <w:tcPr>
            <w:tcW w:w="1267" w:type="pct"/>
            <w:shd w:val="clear" w:color="auto" w:fill="FFFFFF"/>
            <w:vAlign w:val="center"/>
          </w:tcPr>
          <w:p w14:paraId="2356C129"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Insufficiently developed infrastructure</w:t>
            </w:r>
          </w:p>
        </w:tc>
        <w:tc>
          <w:tcPr>
            <w:tcW w:w="1267" w:type="pct"/>
            <w:shd w:val="clear" w:color="auto" w:fill="FFFFFF"/>
            <w:vAlign w:val="center"/>
          </w:tcPr>
          <w:p w14:paraId="523CF85E"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Minimum infrastructure developed</w:t>
            </w:r>
          </w:p>
        </w:tc>
      </w:tr>
      <w:tr w:rsidR="00EE66FD" w:rsidRPr="007C4D65" w14:paraId="17538105" w14:textId="77777777" w:rsidTr="00BC37DE">
        <w:trPr>
          <w:trHeight w:val="567"/>
          <w:jc w:val="center"/>
        </w:trPr>
        <w:tc>
          <w:tcPr>
            <w:tcW w:w="1322" w:type="pct"/>
            <w:shd w:val="clear" w:color="auto" w:fill="009D73"/>
            <w:vAlign w:val="center"/>
          </w:tcPr>
          <w:p w14:paraId="10B9E318"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Effect on the development and contribution of the measure to the priority</w:t>
            </w:r>
          </w:p>
        </w:tc>
        <w:tc>
          <w:tcPr>
            <w:tcW w:w="3678" w:type="pct"/>
            <w:gridSpan w:val="3"/>
            <w:shd w:val="clear" w:color="auto" w:fill="FFFFFF"/>
            <w:vAlign w:val="center"/>
          </w:tcPr>
          <w:p w14:paraId="4649C691" w14:textId="040A837A" w:rsidR="00EE66FD" w:rsidRPr="007C4D65" w:rsidRDefault="00C25E5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Increased share of RES in the total electricity production and consumption in the Federation of BiH</w:t>
            </w:r>
          </w:p>
        </w:tc>
      </w:tr>
      <w:tr w:rsidR="00EE66FD" w:rsidRPr="007C4D65" w14:paraId="099BA434" w14:textId="77777777" w:rsidTr="00BC37DE">
        <w:trPr>
          <w:trHeight w:val="567"/>
          <w:jc w:val="center"/>
        </w:trPr>
        <w:tc>
          <w:tcPr>
            <w:tcW w:w="1322" w:type="pct"/>
            <w:shd w:val="clear" w:color="auto" w:fill="009D73"/>
            <w:vAlign w:val="center"/>
          </w:tcPr>
          <w:p w14:paraId="79895635" w14:textId="699F25C5"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Indicative financial projection, with specification of sources</w:t>
            </w:r>
          </w:p>
        </w:tc>
        <w:tc>
          <w:tcPr>
            <w:tcW w:w="3678" w:type="pct"/>
            <w:gridSpan w:val="3"/>
            <w:shd w:val="clear" w:color="auto" w:fill="FFFFFF"/>
            <w:vAlign w:val="center"/>
          </w:tcPr>
          <w:p w14:paraId="31EDBC48" w14:textId="635A7D3D" w:rsidR="00C25E5D" w:rsidRPr="007C4D65" w:rsidRDefault="00C224E3" w:rsidP="00C25E5D">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 xml:space="preserve">Amount: </w:t>
            </w:r>
            <w:r w:rsidR="00C25E5D" w:rsidRPr="007C4D65">
              <w:rPr>
                <w:rFonts w:asciiTheme="minorHAnsi" w:hAnsiTheme="minorHAnsi" w:cstheme="minorHAnsi"/>
                <w:sz w:val="18"/>
                <w:szCs w:val="18"/>
                <w:lang w:bidi="en-US"/>
              </w:rPr>
              <w:t xml:space="preserve"> BAM 104,069,339</w:t>
            </w:r>
          </w:p>
          <w:p w14:paraId="24BD34B4" w14:textId="646F5108" w:rsidR="00EE66FD" w:rsidRPr="007C4D65" w:rsidRDefault="009E6B20" w:rsidP="00C25E5D">
            <w:pPr>
              <w:spacing w:before="40" w:after="40" w:line="276" w:lineRule="auto"/>
              <w:rPr>
                <w:rFonts w:asciiTheme="minorHAnsi" w:eastAsiaTheme="minorHAnsi" w:hAnsiTheme="minorHAnsi" w:cstheme="minorHAnsi"/>
                <w:bCs/>
                <w:sz w:val="18"/>
                <w:szCs w:val="18"/>
                <w:lang w:eastAsia="en-US"/>
              </w:rPr>
            </w:pPr>
            <w:r w:rsidRPr="007C4D65">
              <w:rPr>
                <w:rFonts w:asciiTheme="minorHAnsi" w:hAnsiTheme="minorHAnsi" w:cstheme="minorHAnsi"/>
                <w:sz w:val="18"/>
                <w:szCs w:val="18"/>
                <w:lang w:bidi="en-US"/>
              </w:rPr>
              <w:t xml:space="preserve">Source: </w:t>
            </w:r>
            <w:r w:rsidR="00C25E5D" w:rsidRPr="007C4D65">
              <w:rPr>
                <w:rFonts w:asciiTheme="minorHAnsi" w:hAnsiTheme="minorHAnsi" w:cstheme="minorHAnsi"/>
                <w:sz w:val="18"/>
                <w:szCs w:val="18"/>
                <w:lang w:bidi="en-US"/>
              </w:rPr>
              <w:t xml:space="preserve"> 10% </w:t>
            </w:r>
            <w:r w:rsidR="000E401F" w:rsidRPr="007C4D65">
              <w:rPr>
                <w:rFonts w:asciiTheme="minorHAnsi" w:hAnsiTheme="minorHAnsi" w:cstheme="minorHAnsi"/>
                <w:sz w:val="18"/>
                <w:szCs w:val="18"/>
                <w:lang w:bidi="en-US"/>
              </w:rPr>
              <w:t xml:space="preserve">government </w:t>
            </w:r>
            <w:proofErr w:type="gramStart"/>
            <w:r w:rsidR="000E401F" w:rsidRPr="007C4D65">
              <w:rPr>
                <w:rFonts w:asciiTheme="minorHAnsi" w:hAnsiTheme="minorHAnsi" w:cstheme="minorHAnsi"/>
                <w:sz w:val="18"/>
                <w:szCs w:val="18"/>
                <w:lang w:bidi="en-US"/>
              </w:rPr>
              <w:t>budget</w:t>
            </w:r>
            <w:r w:rsidR="00C224E3" w:rsidRPr="007C4D65">
              <w:rPr>
                <w:rFonts w:asciiTheme="minorHAnsi" w:hAnsiTheme="minorHAnsi" w:cstheme="minorHAnsi"/>
                <w:sz w:val="18"/>
                <w:szCs w:val="18"/>
                <w:lang w:bidi="en-US"/>
              </w:rPr>
              <w:t xml:space="preserve"> </w:t>
            </w:r>
            <w:r w:rsidR="00C25E5D" w:rsidRPr="007C4D65">
              <w:rPr>
                <w:rFonts w:asciiTheme="minorHAnsi" w:hAnsiTheme="minorHAnsi" w:cstheme="minorHAnsi"/>
                <w:sz w:val="18"/>
                <w:szCs w:val="18"/>
                <w:lang w:bidi="en-US"/>
              </w:rPr>
              <w:t>,</w:t>
            </w:r>
            <w:proofErr w:type="gramEnd"/>
            <w:r w:rsidR="00C25E5D" w:rsidRPr="007C4D65">
              <w:rPr>
                <w:rFonts w:asciiTheme="minorHAnsi" w:hAnsiTheme="minorHAnsi" w:cstheme="minorHAnsi"/>
                <w:sz w:val="18"/>
                <w:szCs w:val="18"/>
                <w:lang w:bidi="en-US"/>
              </w:rPr>
              <w:t xml:space="preserve"> 90% </w:t>
            </w:r>
            <w:r w:rsidR="00C224E3" w:rsidRPr="007C4D65">
              <w:rPr>
                <w:rFonts w:asciiTheme="minorHAnsi" w:hAnsiTheme="minorHAnsi" w:cstheme="minorHAnsi"/>
                <w:sz w:val="18"/>
                <w:szCs w:val="18"/>
                <w:lang w:bidi="en-US"/>
              </w:rPr>
              <w:t xml:space="preserve">combined </w:t>
            </w:r>
            <w:r w:rsidR="00C25E5D" w:rsidRPr="007C4D65">
              <w:rPr>
                <w:rFonts w:asciiTheme="minorHAnsi" w:hAnsiTheme="minorHAnsi" w:cstheme="minorHAnsi"/>
                <w:sz w:val="18"/>
                <w:szCs w:val="18"/>
                <w:lang w:bidi="en-US"/>
              </w:rPr>
              <w:t xml:space="preserve"> ‒ </w:t>
            </w:r>
            <w:r w:rsidR="00A36259" w:rsidRPr="007C4D65">
              <w:rPr>
                <w:rFonts w:asciiTheme="minorHAnsi" w:hAnsiTheme="minorHAnsi" w:cstheme="minorHAnsi"/>
                <w:sz w:val="18"/>
                <w:szCs w:val="18"/>
                <w:lang w:bidi="en-US"/>
              </w:rPr>
              <w:t xml:space="preserve">loans and funds </w:t>
            </w:r>
            <w:r w:rsidR="00C224E3" w:rsidRPr="007C4D65">
              <w:rPr>
                <w:rFonts w:asciiTheme="minorHAnsi" w:hAnsiTheme="minorHAnsi" w:cstheme="minorHAnsi"/>
                <w:sz w:val="18"/>
                <w:szCs w:val="18"/>
                <w:lang w:bidi="en-US"/>
              </w:rPr>
              <w:t>from EU and other international donors</w:t>
            </w:r>
          </w:p>
        </w:tc>
      </w:tr>
      <w:tr w:rsidR="00EE66FD" w:rsidRPr="007C4D65" w14:paraId="31475440" w14:textId="77777777" w:rsidTr="00BC37DE">
        <w:trPr>
          <w:trHeight w:val="567"/>
          <w:jc w:val="center"/>
        </w:trPr>
        <w:tc>
          <w:tcPr>
            <w:tcW w:w="1322" w:type="pct"/>
            <w:shd w:val="clear" w:color="auto" w:fill="009D73"/>
            <w:vAlign w:val="center"/>
          </w:tcPr>
          <w:p w14:paraId="32F704F5"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Period of the implementation of the measure</w:t>
            </w:r>
          </w:p>
        </w:tc>
        <w:tc>
          <w:tcPr>
            <w:tcW w:w="3678" w:type="pct"/>
            <w:gridSpan w:val="3"/>
            <w:shd w:val="clear" w:color="auto" w:fill="FFFFFF"/>
            <w:vAlign w:val="center"/>
          </w:tcPr>
          <w:p w14:paraId="4985E8F8"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 2032</w:t>
            </w:r>
          </w:p>
        </w:tc>
      </w:tr>
      <w:tr w:rsidR="00EE66FD" w:rsidRPr="007C4D65" w14:paraId="37F835C7" w14:textId="77777777" w:rsidTr="00BC37DE">
        <w:trPr>
          <w:trHeight w:val="567"/>
          <w:jc w:val="center"/>
        </w:trPr>
        <w:tc>
          <w:tcPr>
            <w:tcW w:w="1322" w:type="pct"/>
            <w:shd w:val="clear" w:color="auto" w:fill="009D73"/>
            <w:vAlign w:val="center"/>
          </w:tcPr>
          <w:p w14:paraId="1877F325"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Institution responsible for coordination of the implementation of the measure</w:t>
            </w:r>
          </w:p>
        </w:tc>
        <w:tc>
          <w:tcPr>
            <w:tcW w:w="3678" w:type="pct"/>
            <w:gridSpan w:val="3"/>
            <w:shd w:val="clear" w:color="auto" w:fill="FFFFFF"/>
            <w:vAlign w:val="center"/>
          </w:tcPr>
          <w:p w14:paraId="4CB78864"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FMEMI </w:t>
            </w:r>
          </w:p>
        </w:tc>
      </w:tr>
      <w:tr w:rsidR="00EE66FD" w:rsidRPr="007C4D65" w14:paraId="2EA5F3BB" w14:textId="77777777" w:rsidTr="00BC37DE">
        <w:trPr>
          <w:trHeight w:val="567"/>
          <w:jc w:val="center"/>
        </w:trPr>
        <w:tc>
          <w:tcPr>
            <w:tcW w:w="1322" w:type="pct"/>
            <w:shd w:val="clear" w:color="auto" w:fill="009D73"/>
            <w:vAlign w:val="center"/>
          </w:tcPr>
          <w:p w14:paraId="4833D7C7"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Implementing institutions</w:t>
            </w:r>
          </w:p>
        </w:tc>
        <w:tc>
          <w:tcPr>
            <w:tcW w:w="3678" w:type="pct"/>
            <w:gridSpan w:val="3"/>
            <w:shd w:val="clear" w:color="auto" w:fill="FFFFFF"/>
            <w:vAlign w:val="center"/>
          </w:tcPr>
          <w:p w14:paraId="07E9C7E3" w14:textId="5CDABFED"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Ministry of Transport and Communications, RES operator, cantonal ministries of transport, institutes for spatial planning, Environmental Protection Fund</w:t>
            </w:r>
          </w:p>
        </w:tc>
      </w:tr>
      <w:tr w:rsidR="00EE66FD" w:rsidRPr="007C4D65" w14:paraId="0CD6F926" w14:textId="77777777" w:rsidTr="00BC37DE">
        <w:trPr>
          <w:trHeight w:val="567"/>
          <w:jc w:val="center"/>
        </w:trPr>
        <w:tc>
          <w:tcPr>
            <w:tcW w:w="1322" w:type="pct"/>
            <w:shd w:val="clear" w:color="auto" w:fill="009D73"/>
            <w:vAlign w:val="center"/>
          </w:tcPr>
          <w:p w14:paraId="2F84237A" w14:textId="42E83FF5"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groups</w:t>
            </w:r>
          </w:p>
        </w:tc>
        <w:tc>
          <w:tcPr>
            <w:tcW w:w="3678" w:type="pct"/>
            <w:gridSpan w:val="3"/>
            <w:shd w:val="clear" w:color="auto" w:fill="FFFFFF"/>
            <w:vAlign w:val="center"/>
          </w:tcPr>
          <w:p w14:paraId="7B51D14A"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Citizens, NGO, vehicle importers</w:t>
            </w:r>
          </w:p>
        </w:tc>
      </w:tr>
    </w:tbl>
    <w:p w14:paraId="2E20E49F" w14:textId="77777777" w:rsidR="00EE66FD" w:rsidRPr="007C4D65" w:rsidRDefault="00EE66FD" w:rsidP="00EE66FD">
      <w:pPr>
        <w:spacing w:line="276" w:lineRule="auto"/>
        <w:rPr>
          <w:rFonts w:asciiTheme="minorHAnsi" w:eastAsiaTheme="minorHAnsi" w:hAnsiTheme="minorHAnsi" w:cstheme="minorHAnsi"/>
          <w:sz w:val="22"/>
          <w:szCs w:val="22"/>
          <w:lang w:eastAsia="en-US"/>
        </w:rPr>
      </w:pPr>
    </w:p>
    <w:tbl>
      <w:tblPr>
        <w:tblW w:w="48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1"/>
        <w:gridCol w:w="3066"/>
        <w:gridCol w:w="3393"/>
        <w:gridCol w:w="3390"/>
      </w:tblGrid>
      <w:tr w:rsidR="00EE66FD" w:rsidRPr="007C4D65" w14:paraId="77D4FAFC" w14:textId="77777777" w:rsidTr="00BC37DE">
        <w:trPr>
          <w:trHeight w:val="567"/>
          <w:jc w:val="center"/>
        </w:trPr>
        <w:tc>
          <w:tcPr>
            <w:tcW w:w="1322" w:type="pct"/>
            <w:shd w:val="clear" w:color="auto" w:fill="009D73"/>
            <w:vAlign w:val="center"/>
          </w:tcPr>
          <w:p w14:paraId="3EEF7BFB"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Link with strategic goal</w:t>
            </w:r>
          </w:p>
        </w:tc>
        <w:tc>
          <w:tcPr>
            <w:tcW w:w="3678" w:type="pct"/>
            <w:gridSpan w:val="3"/>
            <w:shd w:val="clear" w:color="auto" w:fill="FFFFFF"/>
            <w:vAlign w:val="center"/>
          </w:tcPr>
          <w:p w14:paraId="04742C52" w14:textId="23BF7DCA" w:rsidR="00EE66FD" w:rsidRPr="007C4D65" w:rsidRDefault="00EE66FD" w:rsidP="00EE66FD">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4. </w:t>
            </w:r>
            <w:r w:rsidR="00FE2B6F" w:rsidRPr="007C4D65">
              <w:rPr>
                <w:rFonts w:asciiTheme="minorHAnsi" w:eastAsia="Calibri" w:hAnsiTheme="minorHAnsi" w:cstheme="minorHAnsi"/>
                <w:b/>
                <w:bCs/>
                <w:sz w:val="18"/>
                <w:szCs w:val="18"/>
                <w:lang w:eastAsia="en-US"/>
              </w:rPr>
              <w:t>Climate change mitigation and adaptation and improvement of air quality</w:t>
            </w:r>
          </w:p>
        </w:tc>
      </w:tr>
      <w:tr w:rsidR="00EE66FD" w:rsidRPr="007C4D65" w14:paraId="7EFD4E76" w14:textId="77777777" w:rsidTr="00BC37DE">
        <w:trPr>
          <w:trHeight w:val="567"/>
          <w:jc w:val="center"/>
        </w:trPr>
        <w:tc>
          <w:tcPr>
            <w:tcW w:w="1322" w:type="pct"/>
            <w:shd w:val="clear" w:color="auto" w:fill="009D73"/>
            <w:vAlign w:val="center"/>
          </w:tcPr>
          <w:p w14:paraId="40AD9467"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Priority</w:t>
            </w:r>
          </w:p>
        </w:tc>
        <w:tc>
          <w:tcPr>
            <w:tcW w:w="3678" w:type="pct"/>
            <w:gridSpan w:val="3"/>
            <w:shd w:val="clear" w:color="auto" w:fill="FFFFFF"/>
            <w:vAlign w:val="center"/>
          </w:tcPr>
          <w:p w14:paraId="5E22FAD3" w14:textId="1DEF1ECD" w:rsidR="00EE66FD" w:rsidRPr="007C4D65" w:rsidRDefault="00EE66FD" w:rsidP="00EE66FD">
            <w:pPr>
              <w:spacing w:before="40" w:after="40" w:line="276" w:lineRule="auto"/>
              <w:rPr>
                <w:rFonts w:asciiTheme="minorHAnsi" w:hAnsiTheme="minorHAnsi" w:cstheme="minorHAnsi"/>
                <w:b/>
                <w:bCs/>
                <w:sz w:val="18"/>
                <w:szCs w:val="18"/>
                <w:lang w:eastAsia="en-US"/>
              </w:rPr>
            </w:pPr>
            <w:proofErr w:type="gramStart"/>
            <w:r w:rsidRPr="007C4D65">
              <w:rPr>
                <w:rFonts w:asciiTheme="minorHAnsi" w:eastAsiaTheme="minorHAnsi" w:hAnsiTheme="minorHAnsi" w:cstheme="minorHAnsi"/>
                <w:b/>
                <w:bCs/>
                <w:sz w:val="18"/>
                <w:szCs w:val="18"/>
                <w:lang w:eastAsia="en-US"/>
              </w:rPr>
              <w:t>4.7  Reduc</w:t>
            </w:r>
            <w:r w:rsidR="005A2219" w:rsidRPr="007C4D65">
              <w:rPr>
                <w:rFonts w:asciiTheme="minorHAnsi" w:eastAsiaTheme="minorHAnsi" w:hAnsiTheme="minorHAnsi" w:cstheme="minorHAnsi"/>
                <w:b/>
                <w:bCs/>
                <w:sz w:val="18"/>
                <w:szCs w:val="18"/>
                <w:lang w:eastAsia="en-US"/>
              </w:rPr>
              <w:t>ing</w:t>
            </w:r>
            <w:proofErr w:type="gramEnd"/>
            <w:r w:rsidR="005A2219" w:rsidRPr="007C4D65">
              <w:rPr>
                <w:rFonts w:asciiTheme="minorHAnsi" w:eastAsiaTheme="minorHAnsi" w:hAnsiTheme="minorHAnsi" w:cstheme="minorHAnsi"/>
                <w:b/>
                <w:bCs/>
                <w:sz w:val="18"/>
                <w:szCs w:val="18"/>
                <w:lang w:eastAsia="en-US"/>
              </w:rPr>
              <w:t xml:space="preserve"> </w:t>
            </w:r>
            <w:r w:rsidRPr="007C4D65">
              <w:rPr>
                <w:rFonts w:asciiTheme="minorHAnsi" w:eastAsiaTheme="minorHAnsi" w:hAnsiTheme="minorHAnsi" w:cstheme="minorHAnsi"/>
                <w:b/>
                <w:bCs/>
                <w:sz w:val="18"/>
                <w:szCs w:val="18"/>
                <w:lang w:eastAsia="en-US"/>
              </w:rPr>
              <w:t>light pollution</w:t>
            </w:r>
          </w:p>
        </w:tc>
      </w:tr>
      <w:tr w:rsidR="00EE66FD" w:rsidRPr="007C4D65" w14:paraId="2FFB9AAE" w14:textId="77777777" w:rsidTr="00BC37DE">
        <w:trPr>
          <w:trHeight w:val="567"/>
          <w:jc w:val="center"/>
        </w:trPr>
        <w:tc>
          <w:tcPr>
            <w:tcW w:w="1322" w:type="pct"/>
            <w:shd w:val="clear" w:color="auto" w:fill="009D73"/>
            <w:vAlign w:val="center"/>
          </w:tcPr>
          <w:p w14:paraId="56B7EE97"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Title of the measure</w:t>
            </w:r>
          </w:p>
        </w:tc>
        <w:tc>
          <w:tcPr>
            <w:tcW w:w="3678" w:type="pct"/>
            <w:gridSpan w:val="3"/>
            <w:shd w:val="clear" w:color="auto" w:fill="FFFFFF"/>
            <w:vAlign w:val="center"/>
          </w:tcPr>
          <w:p w14:paraId="6948FC15" w14:textId="2F489508" w:rsidR="00EE66FD" w:rsidRPr="007C4D65" w:rsidRDefault="00EE66FD" w:rsidP="00EE66FD">
            <w:pPr>
              <w:spacing w:before="40" w:after="40" w:line="276" w:lineRule="auto"/>
              <w:rPr>
                <w:rFonts w:asciiTheme="minorHAnsi" w:eastAsia="Calibri" w:hAnsiTheme="minorHAnsi" w:cstheme="minorHAnsi"/>
                <w:b/>
                <w:sz w:val="18"/>
                <w:szCs w:val="18"/>
                <w:lang w:eastAsia="en-US"/>
              </w:rPr>
            </w:pPr>
            <w:r w:rsidRPr="007C4D65">
              <w:rPr>
                <w:rFonts w:asciiTheme="minorHAnsi" w:eastAsia="Calibri" w:hAnsiTheme="minorHAnsi" w:cstheme="minorHAnsi"/>
                <w:b/>
                <w:bCs/>
                <w:sz w:val="18"/>
                <w:szCs w:val="18"/>
                <w:lang w:eastAsia="en-US"/>
              </w:rPr>
              <w:t>4.7.1 Adopt</w:t>
            </w:r>
            <w:r w:rsidR="00D42C09" w:rsidRPr="007C4D65">
              <w:rPr>
                <w:rFonts w:asciiTheme="minorHAnsi" w:eastAsia="Calibri" w:hAnsiTheme="minorHAnsi" w:cstheme="minorHAnsi"/>
                <w:b/>
                <w:bCs/>
                <w:sz w:val="18"/>
                <w:szCs w:val="18"/>
                <w:lang w:eastAsia="en-US"/>
              </w:rPr>
              <w:t xml:space="preserve">ing </w:t>
            </w:r>
            <w:r w:rsidRPr="007C4D65">
              <w:rPr>
                <w:rFonts w:asciiTheme="minorHAnsi" w:eastAsia="Calibri" w:hAnsiTheme="minorHAnsi" w:cstheme="minorHAnsi"/>
                <w:b/>
                <w:bCs/>
                <w:sz w:val="18"/>
                <w:szCs w:val="18"/>
                <w:lang w:eastAsia="en-US"/>
              </w:rPr>
              <w:t>light pollution</w:t>
            </w:r>
            <w:r w:rsidR="00D42C09" w:rsidRPr="007C4D65">
              <w:rPr>
                <w:rFonts w:asciiTheme="minorHAnsi" w:eastAsia="Calibri" w:hAnsiTheme="minorHAnsi" w:cstheme="minorHAnsi"/>
                <w:b/>
                <w:bCs/>
                <w:sz w:val="18"/>
                <w:szCs w:val="18"/>
                <w:lang w:eastAsia="en-US"/>
              </w:rPr>
              <w:t xml:space="preserve"> legislation</w:t>
            </w:r>
          </w:p>
        </w:tc>
      </w:tr>
      <w:tr w:rsidR="00EE66FD" w:rsidRPr="007C4D65" w14:paraId="304F4142" w14:textId="77777777" w:rsidTr="00BC37DE">
        <w:trPr>
          <w:trHeight w:val="567"/>
          <w:jc w:val="center"/>
        </w:trPr>
        <w:tc>
          <w:tcPr>
            <w:tcW w:w="1322" w:type="pct"/>
            <w:shd w:val="clear" w:color="auto" w:fill="009D73"/>
            <w:vAlign w:val="center"/>
          </w:tcPr>
          <w:p w14:paraId="6269D20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lastRenderedPageBreak/>
              <w:t xml:space="preserve">Description of the measure with the general areas of intervention </w:t>
            </w:r>
          </w:p>
        </w:tc>
        <w:tc>
          <w:tcPr>
            <w:tcW w:w="3678" w:type="pct"/>
            <w:gridSpan w:val="3"/>
            <w:shd w:val="clear" w:color="auto" w:fill="FFFFFF"/>
            <w:vAlign w:val="center"/>
          </w:tcPr>
          <w:p w14:paraId="71A59778" w14:textId="77777777" w:rsidR="008C3DFC" w:rsidRPr="007C4D65" w:rsidRDefault="00EE66FD"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to </w:t>
            </w:r>
            <w:r w:rsidR="00D42C09" w:rsidRPr="007C4D65">
              <w:rPr>
                <w:rFonts w:asciiTheme="minorHAnsi" w:eastAsia="Calibri" w:hAnsiTheme="minorHAnsi" w:cstheme="minorHAnsi"/>
                <w:sz w:val="18"/>
                <w:szCs w:val="18"/>
                <w:lang w:eastAsia="en-US"/>
              </w:rPr>
              <w:t>enact legislation</w:t>
            </w:r>
            <w:r w:rsidRPr="007C4D65">
              <w:rPr>
                <w:rFonts w:asciiTheme="minorHAnsi" w:eastAsia="Calibri" w:hAnsiTheme="minorHAnsi" w:cstheme="minorHAnsi"/>
                <w:sz w:val="18"/>
                <w:szCs w:val="18"/>
                <w:lang w:eastAsia="en-US"/>
              </w:rPr>
              <w:t xml:space="preserve"> and develop capacities </w:t>
            </w:r>
            <w:r w:rsidR="00D42C09" w:rsidRPr="007C4D65">
              <w:rPr>
                <w:rFonts w:asciiTheme="minorHAnsi" w:eastAsia="Calibri" w:hAnsiTheme="minorHAnsi" w:cstheme="minorHAnsi"/>
                <w:sz w:val="18"/>
                <w:szCs w:val="18"/>
                <w:lang w:eastAsia="en-US"/>
              </w:rPr>
              <w:t>to</w:t>
            </w:r>
            <w:r w:rsidRPr="007C4D65">
              <w:rPr>
                <w:rFonts w:asciiTheme="minorHAnsi" w:eastAsia="Calibri" w:hAnsiTheme="minorHAnsi" w:cstheme="minorHAnsi"/>
                <w:sz w:val="18"/>
                <w:szCs w:val="18"/>
                <w:lang w:eastAsia="en-US"/>
              </w:rPr>
              <w:t xml:space="preserve"> regulat</w:t>
            </w:r>
            <w:r w:rsidR="00D42C09" w:rsidRPr="007C4D65">
              <w:rPr>
                <w:rFonts w:asciiTheme="minorHAnsi" w:eastAsia="Calibri" w:hAnsiTheme="minorHAnsi" w:cstheme="minorHAnsi"/>
                <w:sz w:val="18"/>
                <w:szCs w:val="18"/>
                <w:lang w:eastAsia="en-US"/>
              </w:rPr>
              <w:t>e</w:t>
            </w:r>
            <w:r w:rsidRPr="007C4D65">
              <w:rPr>
                <w:rFonts w:asciiTheme="minorHAnsi" w:eastAsia="Calibri" w:hAnsiTheme="minorHAnsi" w:cstheme="minorHAnsi"/>
                <w:sz w:val="18"/>
                <w:szCs w:val="18"/>
                <w:lang w:eastAsia="en-US"/>
              </w:rPr>
              <w:t xml:space="preserve"> light pollution.</w:t>
            </w:r>
          </w:p>
          <w:p w14:paraId="10AA9DE7" w14:textId="5EF4C633" w:rsidR="00EE66FD" w:rsidRPr="007C4D65" w:rsidRDefault="008C3DFC" w:rsidP="00EE66FD">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G</w:t>
            </w:r>
            <w:r w:rsidR="00EE66FD" w:rsidRPr="007C4D65">
              <w:rPr>
                <w:rFonts w:asciiTheme="minorHAnsi" w:eastAsia="Calibri" w:hAnsiTheme="minorHAnsi" w:cstheme="minorHAnsi"/>
                <w:sz w:val="18"/>
                <w:szCs w:val="18"/>
                <w:lang w:eastAsia="en-US"/>
              </w:rPr>
              <w:t>eneral areas of intervention are:</w:t>
            </w:r>
          </w:p>
          <w:p w14:paraId="7C784E1A" w14:textId="7D4D24E8" w:rsidR="00EE66FD" w:rsidRPr="007C4D65" w:rsidRDefault="00EE66FD">
            <w:pPr>
              <w:numPr>
                <w:ilvl w:val="0"/>
                <w:numId w:val="132"/>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Developing and adopting </w:t>
            </w:r>
            <w:r w:rsidR="00D42C09" w:rsidRPr="007C4D65">
              <w:rPr>
                <w:rFonts w:asciiTheme="minorHAnsi" w:eastAsia="Calibri" w:hAnsiTheme="minorHAnsi" w:cstheme="minorHAnsi"/>
                <w:sz w:val="18"/>
                <w:szCs w:val="18"/>
                <w:lang w:eastAsia="en-US"/>
              </w:rPr>
              <w:t xml:space="preserve">a rulebook </w:t>
            </w:r>
            <w:r w:rsidRPr="007C4D65">
              <w:rPr>
                <w:rFonts w:asciiTheme="minorHAnsi" w:eastAsia="Calibri" w:hAnsiTheme="minorHAnsi" w:cstheme="minorHAnsi"/>
                <w:sz w:val="18"/>
                <w:szCs w:val="18"/>
                <w:lang w:eastAsia="en-US"/>
              </w:rPr>
              <w:t>on light pollution in</w:t>
            </w:r>
            <w:r w:rsidR="00D42C09" w:rsidRPr="007C4D65">
              <w:rPr>
                <w:rFonts w:asciiTheme="minorHAnsi" w:eastAsia="Calibri" w:hAnsiTheme="minorHAnsi" w:cstheme="minorHAnsi"/>
                <w:sz w:val="18"/>
                <w:szCs w:val="18"/>
                <w:lang w:eastAsia="en-US"/>
              </w:rPr>
              <w:t xml:space="preserve"> the</w:t>
            </w:r>
            <w:r w:rsidRPr="007C4D65">
              <w:rPr>
                <w:rFonts w:asciiTheme="minorHAnsi" w:eastAsia="Calibri" w:hAnsiTheme="minorHAnsi" w:cstheme="minorHAnsi"/>
                <w:sz w:val="18"/>
                <w:szCs w:val="18"/>
                <w:lang w:eastAsia="en-US"/>
              </w:rPr>
              <w:t xml:space="preserve"> F</w:t>
            </w:r>
            <w:r w:rsidR="00D42C09" w:rsidRPr="007C4D65">
              <w:rPr>
                <w:rFonts w:asciiTheme="minorHAnsi" w:eastAsia="Calibri" w:hAnsiTheme="minorHAnsi" w:cstheme="minorHAnsi"/>
                <w:sz w:val="18"/>
                <w:szCs w:val="18"/>
                <w:lang w:eastAsia="en-US"/>
              </w:rPr>
              <w:t xml:space="preserve">ederation of </w:t>
            </w:r>
            <w:r w:rsidRPr="007C4D65">
              <w:rPr>
                <w:rFonts w:asciiTheme="minorHAnsi" w:eastAsia="Calibri" w:hAnsiTheme="minorHAnsi" w:cstheme="minorHAnsi"/>
                <w:sz w:val="18"/>
                <w:szCs w:val="18"/>
                <w:lang w:eastAsia="en-US"/>
              </w:rPr>
              <w:t>BiH (illumination zone</w:t>
            </w:r>
            <w:r w:rsidR="00D42C09" w:rsidRPr="007C4D65">
              <w:rPr>
                <w:rFonts w:asciiTheme="minorHAnsi" w:eastAsia="Calibri" w:hAnsiTheme="minorHAnsi" w:cstheme="minorHAnsi"/>
                <w:sz w:val="18"/>
                <w:szCs w:val="18"/>
                <w:lang w:eastAsia="en-US"/>
              </w:rPr>
              <w:t>s</w:t>
            </w:r>
            <w:r w:rsidRPr="007C4D65">
              <w:rPr>
                <w:rFonts w:asciiTheme="minorHAnsi" w:eastAsia="Calibri" w:hAnsiTheme="minorHAnsi" w:cstheme="minorHAnsi"/>
                <w:sz w:val="18"/>
                <w:szCs w:val="18"/>
                <w:lang w:eastAsia="en-US"/>
              </w:rPr>
              <w:t xml:space="preserve">, </w:t>
            </w:r>
            <w:r w:rsidR="00D42C09" w:rsidRPr="007C4D65">
              <w:rPr>
                <w:rFonts w:asciiTheme="minorHAnsi" w:eastAsia="Calibri" w:hAnsiTheme="minorHAnsi" w:cstheme="minorHAnsi"/>
                <w:sz w:val="18"/>
                <w:szCs w:val="18"/>
                <w:lang w:eastAsia="en-US"/>
              </w:rPr>
              <w:t>permitted</w:t>
            </w:r>
            <w:r w:rsidRPr="007C4D65">
              <w:rPr>
                <w:rFonts w:asciiTheme="minorHAnsi" w:eastAsia="Calibri" w:hAnsiTheme="minorHAnsi" w:cstheme="minorHAnsi"/>
                <w:sz w:val="18"/>
                <w:szCs w:val="18"/>
                <w:lang w:eastAsia="en-US"/>
              </w:rPr>
              <w:t xml:space="preserve"> values of illumination, methods of managing the lighting systems, inspections, etc.</w:t>
            </w:r>
            <w:proofErr w:type="gramStart"/>
            <w:r w:rsidRPr="007C4D65">
              <w:rPr>
                <w:rFonts w:asciiTheme="minorHAnsi" w:eastAsia="Calibri" w:hAnsiTheme="minorHAnsi" w:cstheme="minorHAnsi"/>
                <w:sz w:val="18"/>
                <w:szCs w:val="18"/>
                <w:lang w:eastAsia="en-US"/>
              </w:rPr>
              <w:t>)</w:t>
            </w:r>
            <w:r w:rsidR="008C3DFC" w:rsidRPr="007C4D65">
              <w:rPr>
                <w:rFonts w:asciiTheme="minorHAnsi" w:eastAsiaTheme="minorHAnsi" w:hAnsiTheme="minorHAnsi" w:cstheme="minorHAnsi"/>
                <w:color w:val="000000"/>
                <w:sz w:val="18"/>
                <w:szCs w:val="18"/>
                <w:lang w:eastAsia="en-US"/>
              </w:rPr>
              <w:t>;</w:t>
            </w:r>
            <w:proofErr w:type="gramEnd"/>
          </w:p>
          <w:p w14:paraId="2E593B93" w14:textId="138DE4A0" w:rsidR="00EE66FD" w:rsidRPr="007C4D65" w:rsidRDefault="00EE66FD">
            <w:pPr>
              <w:numPr>
                <w:ilvl w:val="0"/>
                <w:numId w:val="132"/>
              </w:numPr>
              <w:spacing w:before="40" w:after="40" w:line="276" w:lineRule="auto"/>
              <w:ind w:left="360"/>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Strengthening capacities of competent institutions (for spatial planning, inspections, etc.)</w:t>
            </w:r>
            <w:r w:rsidR="008C3DFC" w:rsidRPr="007C4D65">
              <w:rPr>
                <w:rFonts w:asciiTheme="minorHAnsi" w:eastAsia="Calibri" w:hAnsiTheme="minorHAnsi" w:cstheme="minorHAnsi"/>
                <w:sz w:val="18"/>
                <w:szCs w:val="18"/>
                <w:lang w:eastAsia="en-US"/>
              </w:rPr>
              <w:t>.</w:t>
            </w:r>
          </w:p>
        </w:tc>
      </w:tr>
      <w:tr w:rsidR="00EE66FD" w:rsidRPr="007C4D65" w14:paraId="35E59455" w14:textId="77777777" w:rsidTr="00BC37DE">
        <w:trPr>
          <w:trHeight w:val="567"/>
          <w:jc w:val="center"/>
        </w:trPr>
        <w:tc>
          <w:tcPr>
            <w:tcW w:w="1322" w:type="pct"/>
            <w:shd w:val="clear" w:color="auto" w:fill="009D73"/>
            <w:vAlign w:val="center"/>
          </w:tcPr>
          <w:p w14:paraId="6B87460F"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Strategic projects</w:t>
            </w:r>
          </w:p>
        </w:tc>
        <w:tc>
          <w:tcPr>
            <w:tcW w:w="3678" w:type="pct"/>
            <w:gridSpan w:val="3"/>
            <w:shd w:val="clear" w:color="auto" w:fill="FFFFFF" w:themeFill="background1"/>
            <w:vAlign w:val="center"/>
          </w:tcPr>
          <w:p w14:paraId="3F97996C"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E66FD" w:rsidRPr="007C4D65" w14:paraId="1F9127CE" w14:textId="77777777" w:rsidTr="00BC37DE">
        <w:trPr>
          <w:trHeight w:val="567"/>
          <w:jc w:val="center"/>
        </w:trPr>
        <w:tc>
          <w:tcPr>
            <w:tcW w:w="1322" w:type="pct"/>
            <w:vMerge w:val="restart"/>
            <w:shd w:val="clear" w:color="auto" w:fill="009D73"/>
            <w:vAlign w:val="center"/>
          </w:tcPr>
          <w:p w14:paraId="43786163"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 for monitoring of results</w:t>
            </w:r>
          </w:p>
        </w:tc>
        <w:tc>
          <w:tcPr>
            <w:tcW w:w="1145" w:type="pct"/>
            <w:shd w:val="clear" w:color="auto" w:fill="009D73"/>
            <w:vAlign w:val="center"/>
          </w:tcPr>
          <w:p w14:paraId="7C3CEB01"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Indicators</w:t>
            </w:r>
          </w:p>
          <w:p w14:paraId="48106F9D"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w:t>
            </w:r>
            <w:proofErr w:type="gramStart"/>
            <w:r w:rsidRPr="007C4D65">
              <w:rPr>
                <w:rFonts w:asciiTheme="minorHAnsi" w:eastAsiaTheme="minorHAnsi" w:hAnsiTheme="minorHAnsi" w:cstheme="minorHAnsi"/>
                <w:b/>
                <w:bCs/>
                <w:color w:val="FFFFFF" w:themeColor="background1"/>
                <w:sz w:val="18"/>
                <w:szCs w:val="18"/>
                <w:lang w:eastAsia="en-US"/>
              </w:rPr>
              <w:t>outputs</w:t>
            </w:r>
            <w:proofErr w:type="gramEnd"/>
            <w:r w:rsidRPr="007C4D65">
              <w:rPr>
                <w:rFonts w:asciiTheme="minorHAnsi" w:eastAsiaTheme="minorHAnsi" w:hAnsiTheme="minorHAnsi" w:cstheme="minorHAnsi"/>
                <w:b/>
                <w:bCs/>
                <w:color w:val="FFFFFF" w:themeColor="background1"/>
                <w:sz w:val="18"/>
                <w:szCs w:val="18"/>
                <w:lang w:eastAsia="en-US"/>
              </w:rPr>
              <w:t xml:space="preserve"> and deliverables)</w:t>
            </w:r>
          </w:p>
        </w:tc>
        <w:tc>
          <w:tcPr>
            <w:tcW w:w="1267" w:type="pct"/>
            <w:shd w:val="clear" w:color="auto" w:fill="009D73"/>
            <w:vAlign w:val="center"/>
          </w:tcPr>
          <w:p w14:paraId="3996A364"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Baseline value</w:t>
            </w:r>
          </w:p>
        </w:tc>
        <w:tc>
          <w:tcPr>
            <w:tcW w:w="1267" w:type="pct"/>
            <w:shd w:val="clear" w:color="auto" w:fill="009D73"/>
            <w:vAlign w:val="center"/>
          </w:tcPr>
          <w:p w14:paraId="6307067F" w14:textId="77777777" w:rsidR="00EE66FD" w:rsidRPr="007C4D65" w:rsidRDefault="00EE66FD" w:rsidP="00EE66FD">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value</w:t>
            </w:r>
          </w:p>
        </w:tc>
      </w:tr>
      <w:tr w:rsidR="00EE66FD" w:rsidRPr="007C4D65" w14:paraId="63567F29" w14:textId="77777777" w:rsidTr="00BC37DE">
        <w:trPr>
          <w:trHeight w:val="567"/>
          <w:jc w:val="center"/>
        </w:trPr>
        <w:tc>
          <w:tcPr>
            <w:tcW w:w="1322" w:type="pct"/>
            <w:vMerge/>
            <w:shd w:val="clear" w:color="auto" w:fill="009D73"/>
            <w:vAlign w:val="center"/>
          </w:tcPr>
          <w:p w14:paraId="1EB0D25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00833366" w14:textId="2C55D805" w:rsidR="00EE66FD" w:rsidRPr="007C4D65" w:rsidRDefault="00EE66FD">
            <w:pPr>
              <w:numPr>
                <w:ilvl w:val="0"/>
                <w:numId w:val="133"/>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Status of </w:t>
            </w:r>
            <w:r w:rsidR="00D42C09"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development and adoption of the rulebook</w:t>
            </w:r>
          </w:p>
        </w:tc>
        <w:tc>
          <w:tcPr>
            <w:tcW w:w="1267" w:type="pct"/>
            <w:shd w:val="clear" w:color="auto" w:fill="FFFFFF"/>
            <w:vAlign w:val="center"/>
          </w:tcPr>
          <w:p w14:paraId="44577BF6" w14:textId="2430552F"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Rulebook </w:t>
            </w:r>
            <w:r w:rsidR="00D42C09" w:rsidRPr="007C4D65">
              <w:rPr>
                <w:rFonts w:asciiTheme="minorHAnsi" w:eastAsiaTheme="minorHAnsi" w:hAnsiTheme="minorHAnsi" w:cstheme="minorHAnsi"/>
                <w:sz w:val="18"/>
                <w:szCs w:val="18"/>
                <w:lang w:eastAsia="en-US"/>
              </w:rPr>
              <w:t>envisaged</w:t>
            </w:r>
            <w:r w:rsidRPr="007C4D65">
              <w:rPr>
                <w:rFonts w:asciiTheme="minorHAnsi" w:eastAsiaTheme="minorHAnsi" w:hAnsiTheme="minorHAnsi" w:cstheme="minorHAnsi"/>
                <w:sz w:val="18"/>
                <w:szCs w:val="18"/>
                <w:lang w:eastAsia="en-US"/>
              </w:rPr>
              <w:t xml:space="preserve"> in the law on environment protection</w:t>
            </w:r>
          </w:p>
        </w:tc>
        <w:tc>
          <w:tcPr>
            <w:tcW w:w="1267" w:type="pct"/>
            <w:shd w:val="clear" w:color="auto" w:fill="FFFFFF"/>
            <w:vAlign w:val="center"/>
          </w:tcPr>
          <w:p w14:paraId="6B3B7724" w14:textId="0E1047A9" w:rsidR="00EE66FD" w:rsidRPr="007C4D65" w:rsidRDefault="00D42C09"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w:t>
            </w:r>
            <w:r w:rsidR="00EE66FD" w:rsidRPr="007C4D65">
              <w:rPr>
                <w:rFonts w:asciiTheme="minorHAnsi" w:eastAsiaTheme="minorHAnsi" w:hAnsiTheme="minorHAnsi" w:cstheme="minorHAnsi"/>
                <w:sz w:val="18"/>
                <w:szCs w:val="18"/>
                <w:lang w:eastAsia="en-US"/>
              </w:rPr>
              <w:t>Rulebook developed and adopted</w:t>
            </w:r>
          </w:p>
        </w:tc>
      </w:tr>
      <w:tr w:rsidR="00EE66FD" w:rsidRPr="007C4D65" w14:paraId="31448A62" w14:textId="77777777" w:rsidTr="00BC37DE">
        <w:trPr>
          <w:trHeight w:val="567"/>
          <w:jc w:val="center"/>
        </w:trPr>
        <w:tc>
          <w:tcPr>
            <w:tcW w:w="1322" w:type="pct"/>
            <w:vMerge/>
            <w:shd w:val="clear" w:color="auto" w:fill="009D73"/>
            <w:vAlign w:val="center"/>
          </w:tcPr>
          <w:p w14:paraId="08593512"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p>
        </w:tc>
        <w:tc>
          <w:tcPr>
            <w:tcW w:w="1145" w:type="pct"/>
            <w:shd w:val="clear" w:color="auto" w:fill="FFFFFF"/>
            <w:vAlign w:val="center"/>
          </w:tcPr>
          <w:p w14:paraId="6155999A" w14:textId="4ECC7E48" w:rsidR="00EE66FD" w:rsidRPr="007C4D65" w:rsidRDefault="00EE66FD">
            <w:pPr>
              <w:numPr>
                <w:ilvl w:val="0"/>
                <w:numId w:val="133"/>
              </w:numPr>
              <w:spacing w:before="40" w:after="40" w:line="276" w:lineRule="auto"/>
              <w:ind w:left="280" w:hanging="27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Level of the implementation of capacity </w:t>
            </w:r>
            <w:r w:rsidR="00D42C09" w:rsidRPr="007C4D65">
              <w:rPr>
                <w:rFonts w:asciiTheme="minorHAnsi" w:eastAsiaTheme="minorHAnsi" w:hAnsiTheme="minorHAnsi" w:cstheme="minorHAnsi"/>
                <w:sz w:val="18"/>
                <w:szCs w:val="18"/>
                <w:lang w:eastAsia="en-US"/>
              </w:rPr>
              <w:t xml:space="preserve">building </w:t>
            </w:r>
            <w:r w:rsidRPr="007C4D65">
              <w:rPr>
                <w:rFonts w:asciiTheme="minorHAnsi" w:eastAsiaTheme="minorHAnsi" w:hAnsiTheme="minorHAnsi" w:cstheme="minorHAnsi"/>
                <w:sz w:val="18"/>
                <w:szCs w:val="18"/>
                <w:lang w:eastAsia="en-US"/>
              </w:rPr>
              <w:t>programme</w:t>
            </w:r>
            <w:r w:rsidR="00D42C09" w:rsidRPr="007C4D65">
              <w:rPr>
                <w:rFonts w:asciiTheme="minorHAnsi" w:eastAsiaTheme="minorHAnsi" w:hAnsiTheme="minorHAnsi" w:cstheme="minorHAnsi"/>
                <w:sz w:val="18"/>
                <w:szCs w:val="18"/>
                <w:lang w:eastAsia="en-US"/>
              </w:rPr>
              <w:t>s</w:t>
            </w:r>
          </w:p>
        </w:tc>
        <w:tc>
          <w:tcPr>
            <w:tcW w:w="1267" w:type="pct"/>
            <w:shd w:val="clear" w:color="auto" w:fill="FFFFFF"/>
            <w:vAlign w:val="center"/>
          </w:tcPr>
          <w:p w14:paraId="2BF28D47"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Insufficient capacities for regulating light pollution</w:t>
            </w:r>
          </w:p>
        </w:tc>
        <w:tc>
          <w:tcPr>
            <w:tcW w:w="1267" w:type="pct"/>
            <w:shd w:val="clear" w:color="auto" w:fill="FFFFFF"/>
            <w:vAlign w:val="center"/>
          </w:tcPr>
          <w:p w14:paraId="13229897" w14:textId="504925E4" w:rsidR="00EE66FD" w:rsidRPr="007C4D65" w:rsidRDefault="00D42C09"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 c</w:t>
            </w:r>
            <w:r w:rsidR="00EE66FD" w:rsidRPr="007C4D65">
              <w:rPr>
                <w:rFonts w:asciiTheme="minorHAnsi" w:eastAsiaTheme="minorHAnsi" w:hAnsiTheme="minorHAnsi" w:cstheme="minorHAnsi"/>
                <w:sz w:val="18"/>
                <w:szCs w:val="18"/>
                <w:lang w:eastAsia="en-US"/>
              </w:rPr>
              <w:t xml:space="preserve">apacity </w:t>
            </w:r>
            <w:r w:rsidRPr="007C4D65">
              <w:rPr>
                <w:rFonts w:asciiTheme="minorHAnsi" w:eastAsiaTheme="minorHAnsi" w:hAnsiTheme="minorHAnsi" w:cstheme="minorHAnsi"/>
                <w:sz w:val="18"/>
                <w:szCs w:val="18"/>
                <w:lang w:eastAsia="en-US"/>
              </w:rPr>
              <w:t xml:space="preserve">building </w:t>
            </w:r>
            <w:r w:rsidR="00EE66FD" w:rsidRPr="007C4D65">
              <w:rPr>
                <w:rFonts w:asciiTheme="minorHAnsi" w:eastAsiaTheme="minorHAnsi" w:hAnsiTheme="minorHAnsi" w:cstheme="minorHAnsi"/>
                <w:sz w:val="18"/>
                <w:szCs w:val="18"/>
                <w:lang w:eastAsia="en-US"/>
              </w:rPr>
              <w:t>programme implemented</w:t>
            </w:r>
          </w:p>
        </w:tc>
      </w:tr>
      <w:tr w:rsidR="00EE66FD" w:rsidRPr="007C4D65" w14:paraId="2A753BFD" w14:textId="77777777" w:rsidTr="00BC37DE">
        <w:trPr>
          <w:trHeight w:val="567"/>
          <w:jc w:val="center"/>
        </w:trPr>
        <w:tc>
          <w:tcPr>
            <w:tcW w:w="1322" w:type="pct"/>
            <w:shd w:val="clear" w:color="auto" w:fill="009D73"/>
            <w:vAlign w:val="center"/>
          </w:tcPr>
          <w:p w14:paraId="2D7DADEA"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Effect on the development and contribution of the measure to the priority</w:t>
            </w:r>
          </w:p>
        </w:tc>
        <w:tc>
          <w:tcPr>
            <w:tcW w:w="3678" w:type="pct"/>
            <w:gridSpan w:val="3"/>
            <w:shd w:val="clear" w:color="auto" w:fill="FFFFFF"/>
            <w:vAlign w:val="center"/>
          </w:tcPr>
          <w:p w14:paraId="4985BB74" w14:textId="3D8EC440" w:rsidR="00EE66FD" w:rsidRPr="007C4D65" w:rsidRDefault="00D42C09"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Better living conditions in communities with high light pollution and better protection of animals sensitive to light</w:t>
            </w:r>
          </w:p>
        </w:tc>
      </w:tr>
      <w:tr w:rsidR="00EE66FD" w:rsidRPr="007C4D65" w14:paraId="51974888" w14:textId="77777777" w:rsidTr="00BC37DE">
        <w:trPr>
          <w:trHeight w:val="567"/>
          <w:jc w:val="center"/>
        </w:trPr>
        <w:tc>
          <w:tcPr>
            <w:tcW w:w="1322" w:type="pct"/>
            <w:shd w:val="clear" w:color="auto" w:fill="009D73"/>
            <w:vAlign w:val="center"/>
          </w:tcPr>
          <w:p w14:paraId="6E8B337F" w14:textId="4B97EF2D"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Indicative financial projection, with specification of sources</w:t>
            </w:r>
          </w:p>
        </w:tc>
        <w:tc>
          <w:tcPr>
            <w:tcW w:w="3678" w:type="pct"/>
            <w:gridSpan w:val="3"/>
            <w:shd w:val="clear" w:color="auto" w:fill="FFFFFF"/>
            <w:vAlign w:val="center"/>
          </w:tcPr>
          <w:p w14:paraId="6D438020" w14:textId="7E538526" w:rsidR="00EE66FD" w:rsidRPr="007C4D65" w:rsidRDefault="00D42C09" w:rsidP="00EE66FD">
            <w:pPr>
              <w:spacing w:before="40" w:after="40" w:line="276" w:lineRule="auto"/>
              <w:rPr>
                <w:rFonts w:asciiTheme="minorHAnsi" w:eastAsiaTheme="minorHAnsi" w:hAnsiTheme="minorHAnsi" w:cstheme="minorHAnsi"/>
                <w:bCs/>
                <w:sz w:val="18"/>
                <w:szCs w:val="18"/>
                <w:lang w:eastAsia="en-US"/>
              </w:rPr>
            </w:pPr>
            <w:r w:rsidRPr="007C4D65">
              <w:rPr>
                <w:rFonts w:asciiTheme="minorHAnsi" w:hAnsiTheme="minorHAnsi" w:cstheme="minorHAnsi"/>
                <w:sz w:val="18"/>
                <w:szCs w:val="18"/>
                <w:lang w:bidi="en-US"/>
              </w:rPr>
              <w:t>Amount: BAM 120,070</w:t>
            </w:r>
            <w:r w:rsidRPr="007C4D65">
              <w:rPr>
                <w:rFonts w:asciiTheme="minorHAnsi" w:hAnsiTheme="minorHAnsi" w:cstheme="minorHAnsi"/>
                <w:sz w:val="18"/>
                <w:szCs w:val="18"/>
              </w:rPr>
              <w:br/>
            </w:r>
            <w:r w:rsidRPr="007C4D65">
              <w:rPr>
                <w:rFonts w:asciiTheme="minorHAnsi" w:hAnsiTheme="minorHAnsi" w:cstheme="minorHAnsi"/>
                <w:sz w:val="18"/>
                <w:szCs w:val="18"/>
                <w:lang w:bidi="en-US"/>
              </w:rPr>
              <w:t xml:space="preserve">Source: 100% </w:t>
            </w:r>
            <w:r w:rsidR="000E401F" w:rsidRPr="007C4D65">
              <w:rPr>
                <w:rFonts w:asciiTheme="minorHAnsi" w:hAnsiTheme="minorHAnsi" w:cstheme="minorHAnsi"/>
                <w:sz w:val="18"/>
                <w:szCs w:val="18"/>
                <w:lang w:bidi="en-US"/>
              </w:rPr>
              <w:t>government budget</w:t>
            </w:r>
          </w:p>
        </w:tc>
      </w:tr>
      <w:tr w:rsidR="00EE66FD" w:rsidRPr="007C4D65" w14:paraId="6E43F7B5" w14:textId="77777777" w:rsidTr="00BC37DE">
        <w:trPr>
          <w:trHeight w:val="567"/>
          <w:jc w:val="center"/>
        </w:trPr>
        <w:tc>
          <w:tcPr>
            <w:tcW w:w="1322" w:type="pct"/>
            <w:shd w:val="clear" w:color="auto" w:fill="009D73"/>
            <w:vAlign w:val="center"/>
          </w:tcPr>
          <w:p w14:paraId="33C65B74"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Period of the implementation of the measure</w:t>
            </w:r>
          </w:p>
        </w:tc>
        <w:tc>
          <w:tcPr>
            <w:tcW w:w="3678" w:type="pct"/>
            <w:gridSpan w:val="3"/>
            <w:shd w:val="clear" w:color="auto" w:fill="FFFFFF"/>
            <w:vAlign w:val="center"/>
          </w:tcPr>
          <w:p w14:paraId="5BAF4702" w14:textId="77777777"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 2025</w:t>
            </w:r>
          </w:p>
        </w:tc>
      </w:tr>
      <w:tr w:rsidR="00EE66FD" w:rsidRPr="007C4D65" w14:paraId="072EEC10" w14:textId="77777777" w:rsidTr="00BC37DE">
        <w:trPr>
          <w:trHeight w:val="567"/>
          <w:jc w:val="center"/>
        </w:trPr>
        <w:tc>
          <w:tcPr>
            <w:tcW w:w="1322" w:type="pct"/>
            <w:shd w:val="clear" w:color="auto" w:fill="009D73"/>
            <w:vAlign w:val="center"/>
          </w:tcPr>
          <w:p w14:paraId="4082CEBE"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Institution responsible for coordination of the implementation of the measure</w:t>
            </w:r>
          </w:p>
        </w:tc>
        <w:tc>
          <w:tcPr>
            <w:tcW w:w="3678" w:type="pct"/>
            <w:gridSpan w:val="3"/>
            <w:shd w:val="clear" w:color="auto" w:fill="FFFFFF"/>
            <w:vAlign w:val="center"/>
          </w:tcPr>
          <w:p w14:paraId="75422FC1" w14:textId="5F1E25EC" w:rsidR="00EE66FD" w:rsidRPr="007C4D65" w:rsidRDefault="008E4744"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FMET</w:t>
            </w:r>
          </w:p>
        </w:tc>
      </w:tr>
      <w:tr w:rsidR="00EE66FD" w:rsidRPr="007C4D65" w14:paraId="7A42CFD9" w14:textId="77777777" w:rsidTr="00BC37DE">
        <w:trPr>
          <w:trHeight w:val="567"/>
          <w:jc w:val="center"/>
        </w:trPr>
        <w:tc>
          <w:tcPr>
            <w:tcW w:w="1322" w:type="pct"/>
            <w:shd w:val="clear" w:color="auto" w:fill="009D73"/>
            <w:vAlign w:val="center"/>
          </w:tcPr>
          <w:p w14:paraId="2E22D97C" w14:textId="77777777" w:rsidR="00EE66FD" w:rsidRPr="007C4D65" w:rsidRDefault="00EE66FD"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Implementing institutions</w:t>
            </w:r>
          </w:p>
        </w:tc>
        <w:tc>
          <w:tcPr>
            <w:tcW w:w="3678" w:type="pct"/>
            <w:gridSpan w:val="3"/>
            <w:shd w:val="clear" w:color="auto" w:fill="FFFFFF"/>
            <w:vAlign w:val="center"/>
          </w:tcPr>
          <w:p w14:paraId="09FE4251" w14:textId="0F4D4E20"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Ministry of </w:t>
            </w:r>
            <w:r w:rsidR="008E4744" w:rsidRPr="007C4D65">
              <w:rPr>
                <w:rFonts w:asciiTheme="minorHAnsi" w:eastAsiaTheme="minorHAnsi" w:hAnsiTheme="minorHAnsi" w:cstheme="minorHAnsi"/>
                <w:sz w:val="18"/>
                <w:szCs w:val="18"/>
                <w:lang w:eastAsia="en-US"/>
              </w:rPr>
              <w:t xml:space="preserve">Spatial </w:t>
            </w:r>
            <w:r w:rsidRPr="007C4D65">
              <w:rPr>
                <w:rFonts w:asciiTheme="minorHAnsi" w:eastAsiaTheme="minorHAnsi" w:hAnsiTheme="minorHAnsi" w:cstheme="minorHAnsi"/>
                <w:sz w:val="18"/>
                <w:szCs w:val="18"/>
                <w:lang w:eastAsia="en-US"/>
              </w:rPr>
              <w:t xml:space="preserve">Planning, cantonal ministries of </w:t>
            </w:r>
            <w:r w:rsidR="008E4744" w:rsidRPr="007C4D65">
              <w:rPr>
                <w:rFonts w:asciiTheme="minorHAnsi" w:eastAsiaTheme="minorHAnsi" w:hAnsiTheme="minorHAnsi" w:cstheme="minorHAnsi"/>
                <w:sz w:val="18"/>
                <w:szCs w:val="18"/>
                <w:lang w:eastAsia="en-US"/>
              </w:rPr>
              <w:t>spatial</w:t>
            </w:r>
            <w:r w:rsidRPr="007C4D65">
              <w:rPr>
                <w:rFonts w:asciiTheme="minorHAnsi" w:eastAsiaTheme="minorHAnsi" w:hAnsiTheme="minorHAnsi" w:cstheme="minorHAnsi"/>
                <w:sz w:val="18"/>
                <w:szCs w:val="18"/>
                <w:lang w:eastAsia="en-US"/>
              </w:rPr>
              <w:t xml:space="preserve"> planning, universities</w:t>
            </w:r>
          </w:p>
        </w:tc>
      </w:tr>
      <w:tr w:rsidR="00EE66FD" w:rsidRPr="007C4D65" w14:paraId="40E86559" w14:textId="77777777" w:rsidTr="00BC37DE">
        <w:trPr>
          <w:trHeight w:val="567"/>
          <w:jc w:val="center"/>
        </w:trPr>
        <w:tc>
          <w:tcPr>
            <w:tcW w:w="1322" w:type="pct"/>
            <w:shd w:val="clear" w:color="auto" w:fill="009D73"/>
            <w:vAlign w:val="center"/>
          </w:tcPr>
          <w:p w14:paraId="702CC166" w14:textId="56E99CF6" w:rsidR="00EE66FD" w:rsidRPr="007C4D65" w:rsidRDefault="00963086" w:rsidP="00EE66FD">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bCs/>
                <w:color w:val="FFFFFF" w:themeColor="background1"/>
                <w:sz w:val="18"/>
                <w:szCs w:val="18"/>
                <w:lang w:eastAsia="en-US"/>
              </w:rPr>
              <w:t>Target groups</w:t>
            </w:r>
          </w:p>
        </w:tc>
        <w:tc>
          <w:tcPr>
            <w:tcW w:w="3678" w:type="pct"/>
            <w:gridSpan w:val="3"/>
            <w:shd w:val="clear" w:color="auto" w:fill="FFFFFF"/>
            <w:vAlign w:val="center"/>
          </w:tcPr>
          <w:p w14:paraId="000452C8" w14:textId="4F2C7DDF" w:rsidR="00EE66FD" w:rsidRPr="007C4D65" w:rsidRDefault="00EE66FD" w:rsidP="00EE66FD">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Inspections, municipal </w:t>
            </w:r>
            <w:r w:rsidR="008E4744" w:rsidRPr="007C4D65">
              <w:rPr>
                <w:rFonts w:asciiTheme="minorHAnsi" w:eastAsiaTheme="minorHAnsi" w:hAnsiTheme="minorHAnsi" w:cstheme="minorHAnsi"/>
                <w:sz w:val="18"/>
                <w:szCs w:val="18"/>
                <w:lang w:eastAsia="en-US"/>
              </w:rPr>
              <w:t>departments in charge of urban and building permitting procedures</w:t>
            </w:r>
          </w:p>
        </w:tc>
      </w:tr>
    </w:tbl>
    <w:p w14:paraId="2E84E4FF" w14:textId="77777777" w:rsidR="00EE66FD" w:rsidRPr="007C4D65" w:rsidRDefault="00EE66FD" w:rsidP="00EE66FD">
      <w:pPr>
        <w:spacing w:line="276" w:lineRule="auto"/>
        <w:rPr>
          <w:rFonts w:asciiTheme="minorHAnsi" w:eastAsiaTheme="minorHAnsi" w:hAnsiTheme="minorHAnsi" w:cstheme="minorHAnsi"/>
          <w:sz w:val="22"/>
          <w:szCs w:val="22"/>
          <w:lang w:eastAsia="en-US"/>
        </w:rPr>
      </w:pPr>
    </w:p>
    <w:p w14:paraId="02D172B9" w14:textId="77777777" w:rsidR="00AA2A8B" w:rsidRPr="007C4D65" w:rsidRDefault="00AA2A8B" w:rsidP="00AA2A8B">
      <w:pPr>
        <w:spacing w:after="160" w:line="276" w:lineRule="auto"/>
        <w:rPr>
          <w:rFonts w:asciiTheme="minorHAnsi" w:hAnsiTheme="minorHAnsi" w:cstheme="minorHAnsi"/>
        </w:rPr>
      </w:pPr>
    </w:p>
    <w:p w14:paraId="382AE140" w14:textId="79C31C49" w:rsidR="00AA2A8B" w:rsidRPr="007C4D65" w:rsidRDefault="00554F5A" w:rsidP="0058588C">
      <w:pPr>
        <w:pStyle w:val="Head2"/>
        <w:rPr>
          <w:rFonts w:asciiTheme="minorHAnsi" w:hAnsiTheme="minorHAnsi"/>
        </w:rPr>
      </w:pPr>
      <w:bookmarkStart w:id="311" w:name="_Toc104460943"/>
      <w:bookmarkStart w:id="312" w:name="_Toc117445380"/>
      <w:r w:rsidRPr="007C4D65">
        <w:rPr>
          <w:rFonts w:asciiTheme="minorHAnsi" w:hAnsiTheme="minorHAnsi"/>
        </w:rPr>
        <w:lastRenderedPageBreak/>
        <w:t>Annex</w:t>
      </w:r>
      <w:r w:rsidR="00AA2A8B" w:rsidRPr="007C4D65">
        <w:rPr>
          <w:rFonts w:asciiTheme="minorHAnsi" w:hAnsiTheme="minorHAnsi"/>
        </w:rPr>
        <w:t xml:space="preserve"> 5 </w:t>
      </w:r>
      <w:bookmarkEnd w:id="311"/>
      <w:r w:rsidRPr="007C4D65">
        <w:rPr>
          <w:rFonts w:asciiTheme="minorHAnsi" w:hAnsiTheme="minorHAnsi"/>
        </w:rPr>
        <w:t xml:space="preserve">A detailed overview of measures </w:t>
      </w:r>
      <w:r w:rsidR="00CD3D80" w:rsidRPr="007C4D65">
        <w:rPr>
          <w:rFonts w:asciiTheme="minorHAnsi" w:hAnsiTheme="minorHAnsi"/>
        </w:rPr>
        <w:t>for</w:t>
      </w:r>
      <w:r w:rsidRPr="007C4D65">
        <w:rPr>
          <w:rFonts w:asciiTheme="minorHAnsi" w:hAnsiTheme="minorHAnsi"/>
        </w:rPr>
        <w:t xml:space="preserve"> Chemical Safety and Noise</w:t>
      </w:r>
      <w:bookmarkEnd w:id="312"/>
    </w:p>
    <w:tbl>
      <w:tblPr>
        <w:tblW w:w="4775"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682"/>
        <w:gridCol w:w="3114"/>
        <w:gridCol w:w="2246"/>
        <w:gridCol w:w="4278"/>
      </w:tblGrid>
      <w:tr w:rsidR="00A8050D" w:rsidRPr="007C4D65" w14:paraId="1F115B0A" w14:textId="77777777" w:rsidTr="00A8050D">
        <w:trPr>
          <w:trHeight w:val="567"/>
          <w:jc w:val="center"/>
        </w:trPr>
        <w:tc>
          <w:tcPr>
            <w:tcW w:w="1382" w:type="pct"/>
            <w:shd w:val="clear" w:color="auto" w:fill="009D73"/>
            <w:vAlign w:val="center"/>
          </w:tcPr>
          <w:p w14:paraId="40BB5442" w14:textId="4486E4EF"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618" w:type="pct"/>
            <w:gridSpan w:val="3"/>
            <w:shd w:val="clear" w:color="auto" w:fill="FFFFFF"/>
            <w:vAlign w:val="center"/>
          </w:tcPr>
          <w:p w14:paraId="6D9C4509" w14:textId="72E5AD73" w:rsidR="00A8050D" w:rsidRPr="007C4D65" w:rsidRDefault="00A8050D" w:rsidP="00206652">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 </w:t>
            </w:r>
            <w:r w:rsidR="00206652" w:rsidRPr="007C4D65">
              <w:rPr>
                <w:rFonts w:asciiTheme="minorHAnsi" w:hAnsiTheme="minorHAnsi" w:cstheme="minorHAnsi"/>
                <w:b/>
                <w:sz w:val="18"/>
                <w:szCs w:val="18"/>
              </w:rPr>
              <w:t xml:space="preserve">Protection of human health </w:t>
            </w:r>
            <w:r w:rsidRPr="007C4D65">
              <w:rPr>
                <w:rFonts w:asciiTheme="minorHAnsi" w:hAnsiTheme="minorHAnsi" w:cstheme="minorHAnsi"/>
                <w:b/>
                <w:sz w:val="18"/>
                <w:szCs w:val="18"/>
              </w:rPr>
              <w:t>and improving well-being and quality of life for all</w:t>
            </w:r>
          </w:p>
        </w:tc>
      </w:tr>
      <w:tr w:rsidR="00A8050D" w:rsidRPr="007C4D65" w14:paraId="414BB816" w14:textId="77777777" w:rsidTr="00A8050D">
        <w:trPr>
          <w:trHeight w:val="567"/>
          <w:jc w:val="center"/>
        </w:trPr>
        <w:tc>
          <w:tcPr>
            <w:tcW w:w="1382" w:type="pct"/>
            <w:shd w:val="clear" w:color="auto" w:fill="009D73"/>
            <w:vAlign w:val="center"/>
          </w:tcPr>
          <w:p w14:paraId="77DE505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618" w:type="pct"/>
            <w:gridSpan w:val="3"/>
            <w:shd w:val="clear" w:color="auto" w:fill="FFFFFF"/>
            <w:vAlign w:val="center"/>
          </w:tcPr>
          <w:p w14:paraId="26BD2546" w14:textId="45273E2F"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5.1. Improve</w:t>
            </w:r>
            <w:r w:rsidR="00735C68" w:rsidRPr="007C4D65">
              <w:rPr>
                <w:rFonts w:asciiTheme="minorHAnsi" w:hAnsiTheme="minorHAnsi" w:cstheme="minorHAnsi"/>
                <w:b/>
                <w:sz w:val="18"/>
                <w:szCs w:val="18"/>
              </w:rPr>
              <w:t>d</w:t>
            </w:r>
            <w:r w:rsidRPr="007C4D65">
              <w:rPr>
                <w:rFonts w:asciiTheme="minorHAnsi" w:hAnsiTheme="minorHAnsi" w:cstheme="minorHAnsi"/>
                <w:b/>
                <w:sz w:val="18"/>
                <w:szCs w:val="18"/>
              </w:rPr>
              <w:t xml:space="preserve"> legislation in the field of chemical safety</w:t>
            </w:r>
          </w:p>
        </w:tc>
      </w:tr>
      <w:tr w:rsidR="00A8050D" w:rsidRPr="007C4D65" w14:paraId="55996126" w14:textId="77777777" w:rsidTr="00A8050D">
        <w:trPr>
          <w:trHeight w:val="567"/>
          <w:jc w:val="center"/>
        </w:trPr>
        <w:tc>
          <w:tcPr>
            <w:tcW w:w="1382" w:type="pct"/>
            <w:shd w:val="clear" w:color="auto" w:fill="009D73"/>
            <w:vAlign w:val="center"/>
          </w:tcPr>
          <w:p w14:paraId="10E1ECA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618" w:type="pct"/>
            <w:gridSpan w:val="3"/>
            <w:shd w:val="clear" w:color="auto" w:fill="FFFFFF"/>
            <w:vAlign w:val="center"/>
          </w:tcPr>
          <w:p w14:paraId="464163AB" w14:textId="3DAC8B8F"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5.1.1 Partial transposition of </w:t>
            </w:r>
            <w:r w:rsidR="001E4D90" w:rsidRPr="007C4D65">
              <w:rPr>
                <w:rFonts w:asciiTheme="minorHAnsi" w:hAnsiTheme="minorHAnsi" w:cstheme="minorHAnsi"/>
                <w:b/>
                <w:sz w:val="18"/>
                <w:szCs w:val="18"/>
              </w:rPr>
              <w:t>EU regulations</w:t>
            </w:r>
            <w:r w:rsidRPr="007C4D65">
              <w:rPr>
                <w:rFonts w:asciiTheme="minorHAnsi" w:hAnsiTheme="minorHAnsi" w:cstheme="minorHAnsi"/>
                <w:b/>
                <w:sz w:val="18"/>
                <w:szCs w:val="18"/>
              </w:rPr>
              <w:t xml:space="preserve"> and international agreements / conventions in the field of chemical safety </w:t>
            </w:r>
          </w:p>
        </w:tc>
      </w:tr>
      <w:tr w:rsidR="00A8050D" w:rsidRPr="007C4D65" w14:paraId="6D7E9EC6" w14:textId="77777777" w:rsidTr="00A8050D">
        <w:trPr>
          <w:trHeight w:val="567"/>
          <w:jc w:val="center"/>
        </w:trPr>
        <w:tc>
          <w:tcPr>
            <w:tcW w:w="1382" w:type="pct"/>
            <w:shd w:val="clear" w:color="auto" w:fill="009D73"/>
            <w:vAlign w:val="center"/>
          </w:tcPr>
          <w:p w14:paraId="7830DA5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618" w:type="pct"/>
            <w:gridSpan w:val="3"/>
            <w:shd w:val="clear" w:color="auto" w:fill="FFFFFF"/>
            <w:vAlign w:val="center"/>
          </w:tcPr>
          <w:p w14:paraId="05349519" w14:textId="12A2952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This measure aims to achieve alignment of Federation of BiH legislation with requirements of international agreements and </w:t>
            </w:r>
            <w:r w:rsidR="001E4D90" w:rsidRPr="007C4D65">
              <w:rPr>
                <w:rFonts w:asciiTheme="minorHAnsi" w:hAnsiTheme="minorHAnsi" w:cstheme="minorHAnsi"/>
                <w:sz w:val="18"/>
                <w:szCs w:val="18"/>
              </w:rPr>
              <w:t>EU regulations</w:t>
            </w:r>
            <w:r w:rsidRPr="007C4D65">
              <w:rPr>
                <w:rFonts w:asciiTheme="minorHAnsi" w:hAnsiTheme="minorHAnsi" w:cstheme="minorHAnsi"/>
                <w:sz w:val="18"/>
                <w:szCs w:val="18"/>
              </w:rPr>
              <w:t xml:space="preserve"> in the field of chemical safety:</w:t>
            </w:r>
          </w:p>
          <w:p w14:paraId="4D4885C5" w14:textId="65DDA294"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Regulation (EC) no. 1907 / 2006 (REACH</w:t>
            </w:r>
            <w:proofErr w:type="gramStart"/>
            <w:r w:rsidRPr="007C4D65">
              <w:rPr>
                <w:rFonts w:asciiTheme="minorHAnsi" w:hAnsiTheme="minorHAnsi" w:cstheme="minorHAnsi"/>
                <w:sz w:val="18"/>
                <w:szCs w:val="18"/>
              </w:rPr>
              <w:t>)</w:t>
            </w:r>
            <w:r w:rsidR="008C3DFC" w:rsidRPr="007C4D65">
              <w:rPr>
                <w:rFonts w:asciiTheme="minorHAnsi" w:hAnsiTheme="minorHAnsi" w:cstheme="minorHAnsi"/>
                <w:sz w:val="18"/>
                <w:szCs w:val="18"/>
              </w:rPr>
              <w:t>;</w:t>
            </w:r>
            <w:proofErr w:type="gramEnd"/>
          </w:p>
          <w:p w14:paraId="7240BE6A" w14:textId="2648E92B"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Regulation (EC) no. 1272/2008 (CLP Regulation</w:t>
            </w:r>
            <w:proofErr w:type="gramStart"/>
            <w:r w:rsidRPr="007C4D65">
              <w:rPr>
                <w:rFonts w:asciiTheme="minorHAnsi" w:hAnsiTheme="minorHAnsi" w:cstheme="minorHAnsi"/>
                <w:sz w:val="18"/>
                <w:szCs w:val="18"/>
              </w:rPr>
              <w:t>)</w:t>
            </w:r>
            <w:r w:rsidR="008C3DFC" w:rsidRPr="007C4D65">
              <w:rPr>
                <w:rFonts w:asciiTheme="minorHAnsi" w:eastAsia="Calibri" w:hAnsiTheme="minorHAnsi" w:cstheme="minorHAnsi"/>
                <w:sz w:val="18"/>
                <w:szCs w:val="18"/>
              </w:rPr>
              <w:t>;</w:t>
            </w:r>
            <w:proofErr w:type="gramEnd"/>
          </w:p>
          <w:p w14:paraId="38D5DF45" w14:textId="5625DFAD"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Regulation (EC) no. 648/2004 on </w:t>
            </w:r>
            <w:proofErr w:type="gramStart"/>
            <w:r w:rsidRPr="007C4D65">
              <w:rPr>
                <w:rFonts w:asciiTheme="minorHAnsi" w:hAnsiTheme="minorHAnsi" w:cstheme="minorHAnsi"/>
                <w:sz w:val="18"/>
                <w:szCs w:val="18"/>
              </w:rPr>
              <w:t>detergents</w:t>
            </w:r>
            <w:r w:rsidR="008C3DFC" w:rsidRPr="007C4D65">
              <w:rPr>
                <w:rFonts w:asciiTheme="minorHAnsi" w:eastAsia="Calibri" w:hAnsiTheme="minorHAnsi" w:cstheme="minorHAnsi"/>
                <w:sz w:val="18"/>
                <w:szCs w:val="18"/>
              </w:rPr>
              <w:t>;</w:t>
            </w:r>
            <w:proofErr w:type="gramEnd"/>
          </w:p>
          <w:p w14:paraId="7FE33028" w14:textId="3A94D4A1"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Regulation (EU) no. 649/2012, concerning the export and import of hazardous chemicals and Rotterdam </w:t>
            </w:r>
            <w:proofErr w:type="gramStart"/>
            <w:r w:rsidRPr="007C4D65">
              <w:rPr>
                <w:rFonts w:asciiTheme="minorHAnsi" w:hAnsiTheme="minorHAnsi" w:cstheme="minorHAnsi"/>
                <w:sz w:val="18"/>
                <w:szCs w:val="18"/>
              </w:rPr>
              <w:t>Convention</w:t>
            </w:r>
            <w:r w:rsidR="008C3DFC" w:rsidRPr="007C4D65">
              <w:rPr>
                <w:rFonts w:asciiTheme="minorHAnsi" w:eastAsia="Calibri" w:hAnsiTheme="minorHAnsi" w:cstheme="minorHAnsi"/>
                <w:sz w:val="18"/>
                <w:szCs w:val="18"/>
              </w:rPr>
              <w:t>;</w:t>
            </w:r>
            <w:proofErr w:type="gramEnd"/>
          </w:p>
          <w:p w14:paraId="49BB636B" w14:textId="7AADF57C"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Regulation (EU) 2019/1021 on POPs chemicals and the Stockholm </w:t>
            </w:r>
            <w:proofErr w:type="gramStart"/>
            <w:r w:rsidRPr="007C4D65">
              <w:rPr>
                <w:rFonts w:asciiTheme="minorHAnsi" w:hAnsiTheme="minorHAnsi" w:cstheme="minorHAnsi"/>
                <w:sz w:val="18"/>
                <w:szCs w:val="18"/>
              </w:rPr>
              <w:t>Convention</w:t>
            </w:r>
            <w:r w:rsidR="008C3DFC" w:rsidRPr="007C4D65">
              <w:rPr>
                <w:rFonts w:asciiTheme="minorHAnsi" w:eastAsia="Calibri" w:hAnsiTheme="minorHAnsi" w:cstheme="minorHAnsi"/>
                <w:sz w:val="18"/>
                <w:szCs w:val="18"/>
              </w:rPr>
              <w:t>;</w:t>
            </w:r>
            <w:proofErr w:type="gramEnd"/>
          </w:p>
          <w:p w14:paraId="34E1E77F" w14:textId="2D6C71BB"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Directive 2004/10/EC relating to the application of the principles of good laboratory </w:t>
            </w:r>
            <w:proofErr w:type="gramStart"/>
            <w:r w:rsidRPr="007C4D65">
              <w:rPr>
                <w:rFonts w:asciiTheme="minorHAnsi" w:hAnsiTheme="minorHAnsi" w:cstheme="minorHAnsi"/>
                <w:sz w:val="18"/>
                <w:szCs w:val="18"/>
              </w:rPr>
              <w:t>practices</w:t>
            </w:r>
            <w:r w:rsidR="008C3DFC" w:rsidRPr="007C4D65">
              <w:rPr>
                <w:rFonts w:asciiTheme="minorHAnsi" w:eastAsia="Calibri" w:hAnsiTheme="minorHAnsi" w:cstheme="minorHAnsi"/>
                <w:sz w:val="18"/>
                <w:szCs w:val="18"/>
              </w:rPr>
              <w:t>;</w:t>
            </w:r>
            <w:proofErr w:type="gramEnd"/>
          </w:p>
          <w:p w14:paraId="597AD4FE" w14:textId="3453DB64"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Regulation (EU) no. 528/2012 concerning the making available in the market and use of biocidal </w:t>
            </w:r>
            <w:proofErr w:type="gramStart"/>
            <w:r w:rsidRPr="007C4D65">
              <w:rPr>
                <w:rFonts w:asciiTheme="minorHAnsi" w:hAnsiTheme="minorHAnsi" w:cstheme="minorHAnsi"/>
                <w:sz w:val="18"/>
                <w:szCs w:val="18"/>
              </w:rPr>
              <w:t>products</w:t>
            </w:r>
            <w:r w:rsidR="008C3DFC" w:rsidRPr="007C4D65">
              <w:rPr>
                <w:rFonts w:asciiTheme="minorHAnsi" w:eastAsia="Calibri" w:hAnsiTheme="minorHAnsi" w:cstheme="minorHAnsi"/>
                <w:sz w:val="18"/>
                <w:szCs w:val="18"/>
              </w:rPr>
              <w:t>;</w:t>
            </w:r>
            <w:proofErr w:type="gramEnd"/>
          </w:p>
          <w:p w14:paraId="5849F6A7" w14:textId="7771ABB3"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EU Directive 87/217/EEC on the prevention and reduction of environmental pollution by </w:t>
            </w:r>
            <w:proofErr w:type="gramStart"/>
            <w:r w:rsidRPr="007C4D65">
              <w:rPr>
                <w:rFonts w:asciiTheme="minorHAnsi" w:hAnsiTheme="minorHAnsi" w:cstheme="minorHAnsi"/>
                <w:sz w:val="18"/>
                <w:szCs w:val="18"/>
              </w:rPr>
              <w:t>asbestos</w:t>
            </w:r>
            <w:r w:rsidR="008C3DFC" w:rsidRPr="007C4D65">
              <w:rPr>
                <w:rFonts w:asciiTheme="minorHAnsi" w:hAnsiTheme="minorHAnsi" w:cstheme="minorHAnsi"/>
                <w:sz w:val="18"/>
                <w:szCs w:val="18"/>
              </w:rPr>
              <w:t>;</w:t>
            </w:r>
            <w:proofErr w:type="gramEnd"/>
          </w:p>
          <w:p w14:paraId="28885177" w14:textId="5ED4DC6D"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Regulation (EU) 2017/852 o mercury, as well as the Minamata </w:t>
            </w:r>
            <w:proofErr w:type="gramStart"/>
            <w:r w:rsidRPr="007C4D65">
              <w:rPr>
                <w:rFonts w:asciiTheme="minorHAnsi" w:hAnsiTheme="minorHAnsi" w:cstheme="minorHAnsi"/>
                <w:sz w:val="18"/>
                <w:szCs w:val="18"/>
              </w:rPr>
              <w:t>convention</w:t>
            </w:r>
            <w:r w:rsidR="008C3DFC" w:rsidRPr="007C4D65">
              <w:rPr>
                <w:rFonts w:asciiTheme="minorHAnsi" w:hAnsiTheme="minorHAnsi" w:cstheme="minorHAnsi"/>
                <w:sz w:val="18"/>
                <w:szCs w:val="18"/>
              </w:rPr>
              <w:t>;</w:t>
            </w:r>
            <w:proofErr w:type="gramEnd"/>
          </w:p>
          <w:p w14:paraId="10AA122F" w14:textId="271918BE"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General areas of intervention:</w:t>
            </w:r>
          </w:p>
          <w:p w14:paraId="67884148" w14:textId="08D6EE05" w:rsidR="00A8050D" w:rsidRPr="007C4D65" w:rsidRDefault="00A8050D">
            <w:pPr>
              <w:pStyle w:val="ListParagraph"/>
              <w:numPr>
                <w:ilvl w:val="0"/>
                <w:numId w:val="169"/>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Develop and adopt all secondary legislation (bylaws) as foreseen in the Law on Chemicals. In addition to those specified under Art. 58 of the Law on Chemicals, clear specification of the conditions for performance of job of advisors for </w:t>
            </w:r>
            <w:proofErr w:type="gramStart"/>
            <w:r w:rsidRPr="007C4D65">
              <w:rPr>
                <w:rFonts w:asciiTheme="minorHAnsi" w:hAnsiTheme="minorHAnsi" w:cstheme="minorHAnsi"/>
                <w:sz w:val="18"/>
                <w:szCs w:val="18"/>
              </w:rPr>
              <w:t>chemicals</w:t>
            </w:r>
            <w:r w:rsidR="008C3DFC" w:rsidRPr="007C4D65">
              <w:rPr>
                <w:rFonts w:asciiTheme="minorHAnsi" w:eastAsia="Calibri" w:hAnsiTheme="minorHAnsi" w:cstheme="minorHAnsi"/>
                <w:sz w:val="18"/>
                <w:szCs w:val="18"/>
              </w:rPr>
              <w:t>;</w:t>
            </w:r>
            <w:proofErr w:type="gramEnd"/>
          </w:p>
          <w:p w14:paraId="713D4770" w14:textId="3875E3C0" w:rsidR="00A8050D" w:rsidRPr="007C4D65" w:rsidRDefault="00A8050D">
            <w:pPr>
              <w:pStyle w:val="ListParagraph"/>
              <w:numPr>
                <w:ilvl w:val="0"/>
                <w:numId w:val="169"/>
              </w:numPr>
              <w:spacing w:before="40" w:after="40" w:line="276" w:lineRule="auto"/>
              <w:ind w:left="397"/>
              <w:rPr>
                <w:rFonts w:asciiTheme="minorHAnsi" w:eastAsia="Calibri" w:hAnsiTheme="minorHAnsi" w:cstheme="minorHAnsi"/>
                <w:sz w:val="18"/>
                <w:szCs w:val="18"/>
              </w:rPr>
            </w:pPr>
            <w:r w:rsidRPr="007C4D65">
              <w:rPr>
                <w:rFonts w:asciiTheme="minorHAnsi" w:hAnsiTheme="minorHAnsi" w:cstheme="minorHAnsi"/>
                <w:sz w:val="18"/>
                <w:szCs w:val="18"/>
              </w:rPr>
              <w:t>Formal designation of the Poison Control Centre (PCC) for Federation of BiH or making an agreement on cooperation and reporting with the existing PCC in the region (</w:t>
            </w:r>
            <w:proofErr w:type="gramStart"/>
            <w:r w:rsidRPr="007C4D65">
              <w:rPr>
                <w:rFonts w:asciiTheme="minorHAnsi" w:hAnsiTheme="minorHAnsi" w:cstheme="minorHAnsi"/>
                <w:sz w:val="18"/>
                <w:szCs w:val="18"/>
              </w:rPr>
              <w:t>e.g.</w:t>
            </w:r>
            <w:proofErr w:type="gramEnd"/>
            <w:r w:rsidRPr="007C4D65">
              <w:rPr>
                <w:rFonts w:asciiTheme="minorHAnsi" w:hAnsiTheme="minorHAnsi" w:cstheme="minorHAnsi"/>
                <w:sz w:val="18"/>
                <w:szCs w:val="18"/>
              </w:rPr>
              <w:t xml:space="preserve"> VMA‒Belgrade; Institute for Medical Research and Work Medicine, Zagreb)</w:t>
            </w:r>
            <w:r w:rsidR="008C3DFC" w:rsidRPr="007C4D65">
              <w:rPr>
                <w:rFonts w:asciiTheme="minorHAnsi" w:eastAsia="Calibri" w:hAnsiTheme="minorHAnsi" w:cstheme="minorHAnsi"/>
                <w:sz w:val="18"/>
                <w:szCs w:val="18"/>
              </w:rPr>
              <w:t>;</w:t>
            </w:r>
          </w:p>
          <w:p w14:paraId="56EA7D2F" w14:textId="677F330F" w:rsidR="00A8050D" w:rsidRPr="007C4D65" w:rsidRDefault="00A8050D">
            <w:pPr>
              <w:pStyle w:val="ListParagraph"/>
              <w:numPr>
                <w:ilvl w:val="0"/>
                <w:numId w:val="169"/>
              </w:numPr>
              <w:spacing w:before="40" w:after="40" w:line="276" w:lineRule="auto"/>
              <w:ind w:left="397"/>
              <w:rPr>
                <w:rFonts w:asciiTheme="minorHAnsi" w:eastAsia="Calibri" w:hAnsiTheme="minorHAnsi" w:cstheme="minorHAnsi"/>
                <w:sz w:val="18"/>
                <w:szCs w:val="18"/>
              </w:rPr>
            </w:pPr>
            <w:r w:rsidRPr="007C4D65">
              <w:rPr>
                <w:rFonts w:asciiTheme="minorHAnsi" w:hAnsiTheme="minorHAnsi" w:cstheme="minorHAnsi"/>
                <w:sz w:val="18"/>
                <w:szCs w:val="18"/>
              </w:rPr>
              <w:t xml:space="preserve">Development and adoption of the Law on </w:t>
            </w:r>
            <w:proofErr w:type="gramStart"/>
            <w:r w:rsidRPr="007C4D65">
              <w:rPr>
                <w:rFonts w:asciiTheme="minorHAnsi" w:hAnsiTheme="minorHAnsi" w:cstheme="minorHAnsi"/>
                <w:sz w:val="18"/>
                <w:szCs w:val="18"/>
              </w:rPr>
              <w:t>Biocides</w:t>
            </w:r>
            <w:r w:rsidR="008C3DFC" w:rsidRPr="007C4D65">
              <w:rPr>
                <w:rFonts w:asciiTheme="minorHAnsi" w:hAnsiTheme="minorHAnsi" w:cstheme="minorHAnsi"/>
                <w:sz w:val="18"/>
                <w:szCs w:val="18"/>
              </w:rPr>
              <w:t>;</w:t>
            </w:r>
            <w:proofErr w:type="gramEnd"/>
          </w:p>
          <w:p w14:paraId="7CD16AAF" w14:textId="15D6B0A0" w:rsidR="00A8050D" w:rsidRPr="007C4D65" w:rsidRDefault="00A8050D">
            <w:pPr>
              <w:pStyle w:val="ListParagraph"/>
              <w:numPr>
                <w:ilvl w:val="0"/>
                <w:numId w:val="169"/>
              </w:numPr>
              <w:spacing w:before="40" w:after="40" w:line="276" w:lineRule="auto"/>
              <w:ind w:left="397"/>
              <w:rPr>
                <w:rFonts w:asciiTheme="minorHAnsi" w:eastAsia="Calibri" w:hAnsiTheme="minorHAnsi" w:cstheme="minorHAnsi"/>
                <w:sz w:val="18"/>
                <w:szCs w:val="18"/>
              </w:rPr>
            </w:pPr>
            <w:r w:rsidRPr="007C4D65">
              <w:rPr>
                <w:rFonts w:asciiTheme="minorHAnsi" w:hAnsiTheme="minorHAnsi" w:cstheme="minorHAnsi"/>
                <w:sz w:val="18"/>
                <w:szCs w:val="18"/>
              </w:rPr>
              <w:t xml:space="preserve">Development and adoption of bylaws in the area of biocide </w:t>
            </w:r>
            <w:proofErr w:type="gramStart"/>
            <w:r w:rsidRPr="007C4D65">
              <w:rPr>
                <w:rFonts w:asciiTheme="minorHAnsi" w:hAnsiTheme="minorHAnsi" w:cstheme="minorHAnsi"/>
                <w:sz w:val="18"/>
                <w:szCs w:val="18"/>
              </w:rPr>
              <w:t>management</w:t>
            </w:r>
            <w:r w:rsidR="008C3DFC" w:rsidRPr="007C4D65">
              <w:rPr>
                <w:rFonts w:asciiTheme="minorHAnsi" w:hAnsiTheme="minorHAnsi" w:cstheme="minorHAnsi"/>
                <w:sz w:val="18"/>
                <w:szCs w:val="18"/>
              </w:rPr>
              <w:t>;</w:t>
            </w:r>
            <w:proofErr w:type="gramEnd"/>
          </w:p>
          <w:p w14:paraId="08F6AA06" w14:textId="6842AC5C" w:rsidR="00A8050D" w:rsidRPr="007C4D65" w:rsidRDefault="00A8050D">
            <w:pPr>
              <w:pStyle w:val="ListParagraph"/>
              <w:numPr>
                <w:ilvl w:val="0"/>
                <w:numId w:val="169"/>
              </w:numPr>
              <w:spacing w:before="40" w:after="40" w:line="276" w:lineRule="auto"/>
              <w:ind w:left="397"/>
              <w:rPr>
                <w:rFonts w:asciiTheme="minorHAnsi" w:eastAsia="Calibri" w:hAnsiTheme="minorHAnsi" w:cstheme="minorHAnsi"/>
                <w:sz w:val="18"/>
                <w:szCs w:val="18"/>
              </w:rPr>
            </w:pPr>
            <w:r w:rsidRPr="007C4D65">
              <w:rPr>
                <w:rFonts w:asciiTheme="minorHAnsi" w:hAnsiTheme="minorHAnsi" w:cstheme="minorHAnsi"/>
                <w:sz w:val="18"/>
                <w:szCs w:val="18"/>
              </w:rPr>
              <w:t xml:space="preserve">Adoption of bylaws that would ensure prohibition of use of mercury and restrict placement in the market of the products containing mercury or mercury </w:t>
            </w:r>
            <w:proofErr w:type="gramStart"/>
            <w:r w:rsidRPr="007C4D65">
              <w:rPr>
                <w:rFonts w:asciiTheme="minorHAnsi" w:hAnsiTheme="minorHAnsi" w:cstheme="minorHAnsi"/>
                <w:sz w:val="18"/>
                <w:szCs w:val="18"/>
              </w:rPr>
              <w:t>compounds</w:t>
            </w:r>
            <w:r w:rsidR="008C3DFC" w:rsidRPr="007C4D65">
              <w:rPr>
                <w:rFonts w:asciiTheme="minorHAnsi" w:eastAsia="Calibri" w:hAnsiTheme="minorHAnsi" w:cstheme="minorHAnsi"/>
                <w:sz w:val="18"/>
                <w:szCs w:val="18"/>
              </w:rPr>
              <w:t>;</w:t>
            </w:r>
            <w:proofErr w:type="gramEnd"/>
          </w:p>
          <w:p w14:paraId="79E551C3" w14:textId="60DB3523" w:rsidR="00A8050D" w:rsidRPr="007C4D65" w:rsidRDefault="00A8050D">
            <w:pPr>
              <w:pStyle w:val="ListParagraph"/>
              <w:numPr>
                <w:ilvl w:val="0"/>
                <w:numId w:val="169"/>
              </w:numPr>
              <w:spacing w:before="40" w:after="40" w:line="276" w:lineRule="auto"/>
              <w:ind w:left="397"/>
              <w:rPr>
                <w:rFonts w:asciiTheme="minorHAnsi" w:eastAsia="Calibri" w:hAnsiTheme="minorHAnsi" w:cstheme="minorHAnsi"/>
                <w:sz w:val="18"/>
                <w:szCs w:val="18"/>
              </w:rPr>
            </w:pPr>
            <w:r w:rsidRPr="007C4D65">
              <w:rPr>
                <w:rFonts w:asciiTheme="minorHAnsi" w:hAnsiTheme="minorHAnsi" w:cstheme="minorHAnsi"/>
                <w:sz w:val="18"/>
                <w:szCs w:val="18"/>
              </w:rPr>
              <w:t>Adoption of bylaws that will prohibit production, trade and use of products containing asbestos fibres, and ensure special conditions for labelling the products containing asbestos</w:t>
            </w:r>
            <w:r w:rsidR="008C3DFC" w:rsidRPr="007C4D65">
              <w:rPr>
                <w:rFonts w:asciiTheme="minorHAnsi" w:hAnsiTheme="minorHAnsi" w:cstheme="minorHAnsi"/>
                <w:sz w:val="18"/>
                <w:szCs w:val="18"/>
              </w:rPr>
              <w:t>.</w:t>
            </w:r>
          </w:p>
        </w:tc>
      </w:tr>
      <w:tr w:rsidR="00A8050D" w:rsidRPr="007C4D65" w14:paraId="671561CC" w14:textId="77777777" w:rsidTr="00A8050D">
        <w:trPr>
          <w:trHeight w:val="567"/>
          <w:jc w:val="center"/>
        </w:trPr>
        <w:tc>
          <w:tcPr>
            <w:tcW w:w="1382" w:type="pct"/>
            <w:shd w:val="clear" w:color="auto" w:fill="009D73"/>
            <w:vAlign w:val="center"/>
          </w:tcPr>
          <w:p w14:paraId="2D9DF25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Strategic projects</w:t>
            </w:r>
          </w:p>
        </w:tc>
        <w:tc>
          <w:tcPr>
            <w:tcW w:w="3618" w:type="pct"/>
            <w:gridSpan w:val="3"/>
            <w:shd w:val="clear" w:color="auto" w:fill="FFFFFF" w:themeFill="background1"/>
            <w:vAlign w:val="center"/>
          </w:tcPr>
          <w:p w14:paraId="1F67AAE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7659A700" w14:textId="77777777" w:rsidTr="00A8050D">
        <w:trPr>
          <w:trHeight w:val="567"/>
          <w:jc w:val="center"/>
        </w:trPr>
        <w:tc>
          <w:tcPr>
            <w:tcW w:w="1382" w:type="pct"/>
            <w:vMerge w:val="restart"/>
            <w:shd w:val="clear" w:color="auto" w:fill="009D73"/>
            <w:vAlign w:val="center"/>
          </w:tcPr>
          <w:p w14:paraId="3A55BA2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169" w:type="pct"/>
            <w:shd w:val="clear" w:color="auto" w:fill="009D73"/>
            <w:vAlign w:val="center"/>
          </w:tcPr>
          <w:p w14:paraId="05D4663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4061BD85" w14:textId="3BA60C62"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843" w:type="pct"/>
            <w:shd w:val="clear" w:color="auto" w:fill="009D73"/>
            <w:vAlign w:val="center"/>
          </w:tcPr>
          <w:p w14:paraId="00B06EFD"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0B9E80F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606" w:type="pct"/>
            <w:shd w:val="clear" w:color="auto" w:fill="009D73"/>
            <w:vAlign w:val="center"/>
          </w:tcPr>
          <w:p w14:paraId="5AC5EE73"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1C17D0AD" w14:textId="77777777" w:rsidTr="00A8050D">
        <w:trPr>
          <w:trHeight w:val="567"/>
          <w:jc w:val="center"/>
        </w:trPr>
        <w:tc>
          <w:tcPr>
            <w:tcW w:w="1382" w:type="pct"/>
            <w:vMerge/>
            <w:shd w:val="clear" w:color="auto" w:fill="009D73"/>
            <w:vAlign w:val="center"/>
          </w:tcPr>
          <w:p w14:paraId="68689ED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169" w:type="pct"/>
            <w:shd w:val="clear" w:color="auto" w:fill="FFFFFF"/>
            <w:vAlign w:val="center"/>
          </w:tcPr>
          <w:p w14:paraId="10A2710E" w14:textId="77777777" w:rsidR="00A8050D" w:rsidRPr="007C4D65" w:rsidRDefault="00A8050D">
            <w:pPr>
              <w:pStyle w:val="ListParagraph"/>
              <w:numPr>
                <w:ilvl w:val="0"/>
                <w:numId w:val="134"/>
              </w:numPr>
              <w:spacing w:before="40" w:after="40" w:line="276" w:lineRule="auto"/>
              <w:ind w:left="254" w:hanging="254"/>
              <w:rPr>
                <w:rFonts w:asciiTheme="minorHAnsi" w:eastAsia="Calibri" w:hAnsiTheme="minorHAnsi" w:cstheme="minorHAnsi"/>
                <w:sz w:val="18"/>
                <w:szCs w:val="18"/>
              </w:rPr>
            </w:pPr>
            <w:r w:rsidRPr="007C4D65">
              <w:rPr>
                <w:rFonts w:asciiTheme="minorHAnsi" w:hAnsiTheme="minorHAnsi" w:cstheme="minorHAnsi"/>
                <w:sz w:val="18"/>
                <w:szCs w:val="18"/>
              </w:rPr>
              <w:t>Completeness of legal framework for implementation of the Law on Chemicals</w:t>
            </w:r>
          </w:p>
        </w:tc>
        <w:tc>
          <w:tcPr>
            <w:tcW w:w="843" w:type="pct"/>
            <w:shd w:val="clear" w:color="auto" w:fill="FFFFFF"/>
            <w:vAlign w:val="center"/>
          </w:tcPr>
          <w:p w14:paraId="42D7DC7C" w14:textId="7508927F"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There are legal grounds in place for transposition of the </w:t>
            </w:r>
            <w:r w:rsidR="001E4D90" w:rsidRPr="007C4D65">
              <w:rPr>
                <w:rFonts w:asciiTheme="minorHAnsi" w:hAnsiTheme="minorHAnsi" w:cstheme="minorHAnsi"/>
                <w:sz w:val="18"/>
                <w:szCs w:val="18"/>
              </w:rPr>
              <w:t>EU regulations</w:t>
            </w:r>
            <w:r w:rsidRPr="007C4D65">
              <w:rPr>
                <w:rFonts w:asciiTheme="minorHAnsi" w:hAnsiTheme="minorHAnsi" w:cstheme="minorHAnsi"/>
                <w:sz w:val="18"/>
                <w:szCs w:val="18"/>
              </w:rPr>
              <w:t xml:space="preserve"> in the field of chemical safety, and the Rotterdam, Stockholm and Minamata Conventions, no secondary legislation (bylaws) has been adopted that were foreseen under the Law on Chemicals, so transposition of the said </w:t>
            </w:r>
            <w:r w:rsidR="001E4D90" w:rsidRPr="007C4D65">
              <w:rPr>
                <w:rFonts w:asciiTheme="minorHAnsi" w:hAnsiTheme="minorHAnsi" w:cstheme="minorHAnsi"/>
                <w:sz w:val="18"/>
                <w:szCs w:val="18"/>
              </w:rPr>
              <w:t>EU regulations</w:t>
            </w:r>
            <w:r w:rsidRPr="007C4D65">
              <w:rPr>
                <w:rFonts w:asciiTheme="minorHAnsi" w:hAnsiTheme="minorHAnsi" w:cstheme="minorHAnsi"/>
                <w:sz w:val="18"/>
                <w:szCs w:val="18"/>
              </w:rPr>
              <w:t xml:space="preserve"> and conventions is at a low level</w:t>
            </w:r>
          </w:p>
        </w:tc>
        <w:tc>
          <w:tcPr>
            <w:tcW w:w="1606" w:type="pct"/>
            <w:shd w:val="clear" w:color="auto" w:fill="FFFFFF"/>
            <w:vAlign w:val="center"/>
          </w:tcPr>
          <w:p w14:paraId="6E3255F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19 secondary legislative acts stated in Article 58 of the Law on Chemicals have been adopted and they clearly define the conditions for the work of Advisors for chemicals (2023)</w:t>
            </w:r>
          </w:p>
        </w:tc>
      </w:tr>
      <w:tr w:rsidR="00A8050D" w:rsidRPr="007C4D65" w14:paraId="60931A1A" w14:textId="77777777" w:rsidTr="00A8050D">
        <w:trPr>
          <w:trHeight w:val="567"/>
          <w:jc w:val="center"/>
        </w:trPr>
        <w:tc>
          <w:tcPr>
            <w:tcW w:w="1382" w:type="pct"/>
            <w:vMerge/>
            <w:shd w:val="clear" w:color="auto" w:fill="009D73"/>
            <w:vAlign w:val="center"/>
          </w:tcPr>
          <w:p w14:paraId="58AD335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169" w:type="pct"/>
            <w:shd w:val="clear" w:color="auto" w:fill="FFFFFF"/>
            <w:vAlign w:val="center"/>
          </w:tcPr>
          <w:p w14:paraId="0796ACA8" w14:textId="77777777" w:rsidR="00A8050D" w:rsidRPr="007C4D65" w:rsidRDefault="00A8050D">
            <w:pPr>
              <w:pStyle w:val="ListParagraph"/>
              <w:numPr>
                <w:ilvl w:val="0"/>
                <w:numId w:val="134"/>
              </w:numPr>
              <w:spacing w:before="40" w:after="40" w:line="276" w:lineRule="auto"/>
              <w:ind w:left="254" w:hanging="254"/>
              <w:rPr>
                <w:rFonts w:asciiTheme="minorHAnsi" w:eastAsia="Calibri" w:hAnsiTheme="minorHAnsi" w:cstheme="minorHAnsi"/>
                <w:sz w:val="18"/>
                <w:szCs w:val="18"/>
              </w:rPr>
            </w:pPr>
            <w:r w:rsidRPr="007C4D65">
              <w:rPr>
                <w:rFonts w:asciiTheme="minorHAnsi" w:hAnsiTheme="minorHAnsi" w:cstheme="minorHAnsi"/>
                <w:sz w:val="18"/>
                <w:szCs w:val="18"/>
              </w:rPr>
              <w:t xml:space="preserve">Status of appointment of the Poison Control Centre </w:t>
            </w:r>
            <w:proofErr w:type="gramStart"/>
            <w:r w:rsidRPr="007C4D65">
              <w:rPr>
                <w:rFonts w:asciiTheme="minorHAnsi" w:hAnsiTheme="minorHAnsi" w:cstheme="minorHAnsi"/>
                <w:sz w:val="18"/>
                <w:szCs w:val="18"/>
              </w:rPr>
              <w:t>of  the</w:t>
            </w:r>
            <w:proofErr w:type="gramEnd"/>
            <w:r w:rsidRPr="007C4D65">
              <w:rPr>
                <w:rFonts w:asciiTheme="minorHAnsi" w:hAnsiTheme="minorHAnsi" w:cstheme="minorHAnsi"/>
                <w:sz w:val="18"/>
                <w:szCs w:val="18"/>
              </w:rPr>
              <w:t xml:space="preserve"> Federation of BiH (PCC)</w:t>
            </w:r>
          </w:p>
        </w:tc>
        <w:tc>
          <w:tcPr>
            <w:tcW w:w="843" w:type="pct"/>
            <w:shd w:val="clear" w:color="auto" w:fill="FFFFFF"/>
            <w:vAlign w:val="center"/>
          </w:tcPr>
          <w:p w14:paraId="3A6A50A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Poison Control Centre does not exist</w:t>
            </w:r>
          </w:p>
        </w:tc>
        <w:tc>
          <w:tcPr>
            <w:tcW w:w="1606" w:type="pct"/>
            <w:shd w:val="clear" w:color="auto" w:fill="FFFFFF"/>
            <w:vAlign w:val="center"/>
          </w:tcPr>
          <w:p w14:paraId="392BCE38" w14:textId="5492793F" w:rsidR="00A8050D" w:rsidRPr="007C4D65" w:rsidRDefault="00A8050D" w:rsidP="008C3DFC">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rPr>
              <w:t>Formal designation of the Poison Control Centre (PCC) for Federation of BiH or making an agreement on cooperation and reporting with the existing PCC in the region (</w:t>
            </w:r>
            <w:proofErr w:type="gramStart"/>
            <w:r w:rsidRPr="007C4D65">
              <w:rPr>
                <w:rFonts w:asciiTheme="minorHAnsi" w:hAnsiTheme="minorHAnsi" w:cstheme="minorHAnsi"/>
                <w:sz w:val="18"/>
                <w:szCs w:val="18"/>
              </w:rPr>
              <w:t>e.g.</w:t>
            </w:r>
            <w:proofErr w:type="gramEnd"/>
            <w:r w:rsidRPr="007C4D65">
              <w:rPr>
                <w:rFonts w:asciiTheme="minorHAnsi" w:hAnsiTheme="minorHAnsi" w:cstheme="minorHAnsi"/>
                <w:sz w:val="18"/>
                <w:szCs w:val="18"/>
              </w:rPr>
              <w:t xml:space="preserve"> VMA‒Belgrade; Institute for Medical Research and Work Medicine, Zagreb) (2024)</w:t>
            </w:r>
          </w:p>
        </w:tc>
      </w:tr>
      <w:tr w:rsidR="00A8050D" w:rsidRPr="007C4D65" w14:paraId="46D8CE46" w14:textId="77777777" w:rsidTr="00A8050D">
        <w:trPr>
          <w:trHeight w:val="567"/>
          <w:jc w:val="center"/>
        </w:trPr>
        <w:tc>
          <w:tcPr>
            <w:tcW w:w="1382" w:type="pct"/>
            <w:vMerge/>
            <w:shd w:val="clear" w:color="auto" w:fill="009D73"/>
            <w:vAlign w:val="center"/>
          </w:tcPr>
          <w:p w14:paraId="065D368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169" w:type="pct"/>
            <w:shd w:val="clear" w:color="auto" w:fill="FFFFFF"/>
            <w:vAlign w:val="center"/>
          </w:tcPr>
          <w:p w14:paraId="4101C624" w14:textId="1242578E" w:rsidR="00A8050D" w:rsidRPr="007C4D65" w:rsidRDefault="00A8050D">
            <w:pPr>
              <w:pStyle w:val="ListParagraph"/>
              <w:numPr>
                <w:ilvl w:val="0"/>
                <w:numId w:val="134"/>
              </w:numPr>
              <w:spacing w:before="40" w:after="40" w:line="276" w:lineRule="auto"/>
              <w:ind w:left="254" w:hanging="254"/>
              <w:rPr>
                <w:rFonts w:asciiTheme="minorHAnsi" w:eastAsia="Calibri" w:hAnsiTheme="minorHAnsi" w:cstheme="minorHAnsi"/>
                <w:sz w:val="18"/>
                <w:szCs w:val="18"/>
              </w:rPr>
            </w:pPr>
            <w:r w:rsidRPr="007C4D65">
              <w:rPr>
                <w:rFonts w:asciiTheme="minorHAnsi" w:hAnsiTheme="minorHAnsi" w:cstheme="minorHAnsi"/>
                <w:sz w:val="18"/>
                <w:szCs w:val="18"/>
              </w:rPr>
              <w:t>Status of legislative framework regarding biocidal product management</w:t>
            </w:r>
          </w:p>
        </w:tc>
        <w:tc>
          <w:tcPr>
            <w:tcW w:w="843" w:type="pct"/>
            <w:shd w:val="clear" w:color="auto" w:fill="FFFFFF"/>
            <w:vAlign w:val="center"/>
          </w:tcPr>
          <w:p w14:paraId="7C1B188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Law on Biocides has not been adopted</w:t>
            </w:r>
          </w:p>
        </w:tc>
        <w:tc>
          <w:tcPr>
            <w:tcW w:w="1606" w:type="pct"/>
            <w:shd w:val="clear" w:color="auto" w:fill="FFFFFF"/>
            <w:vAlign w:val="center"/>
          </w:tcPr>
          <w:p w14:paraId="3689283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Adopted Law on Biocides by the Government of the Federation of BiH (2023)</w:t>
            </w:r>
          </w:p>
        </w:tc>
      </w:tr>
      <w:tr w:rsidR="00A8050D" w:rsidRPr="007C4D65" w14:paraId="53AC2C69" w14:textId="77777777" w:rsidTr="00A8050D">
        <w:trPr>
          <w:trHeight w:val="567"/>
          <w:jc w:val="center"/>
        </w:trPr>
        <w:tc>
          <w:tcPr>
            <w:tcW w:w="1382" w:type="pct"/>
            <w:vMerge/>
            <w:shd w:val="clear" w:color="auto" w:fill="009D73"/>
            <w:vAlign w:val="center"/>
          </w:tcPr>
          <w:p w14:paraId="066E3CC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169" w:type="pct"/>
            <w:shd w:val="clear" w:color="auto" w:fill="FFFFFF"/>
            <w:vAlign w:val="center"/>
          </w:tcPr>
          <w:p w14:paraId="4E1E86F8" w14:textId="77777777" w:rsidR="00A8050D" w:rsidRPr="007C4D65" w:rsidRDefault="00A8050D">
            <w:pPr>
              <w:pStyle w:val="ListParagraph"/>
              <w:numPr>
                <w:ilvl w:val="0"/>
                <w:numId w:val="134"/>
              </w:numPr>
              <w:spacing w:before="40" w:after="40" w:line="276" w:lineRule="auto"/>
              <w:ind w:left="254" w:hanging="254"/>
              <w:rPr>
                <w:rFonts w:asciiTheme="minorHAnsi" w:eastAsia="Calibri" w:hAnsiTheme="minorHAnsi" w:cstheme="minorHAnsi"/>
                <w:sz w:val="18"/>
                <w:szCs w:val="18"/>
              </w:rPr>
            </w:pPr>
            <w:r w:rsidRPr="007C4D65">
              <w:rPr>
                <w:rFonts w:asciiTheme="minorHAnsi" w:hAnsiTheme="minorHAnsi" w:cstheme="minorHAnsi"/>
                <w:sz w:val="18"/>
                <w:szCs w:val="18"/>
              </w:rPr>
              <w:t>Completeness of legal framework for implementation of the Law on Biocides</w:t>
            </w:r>
          </w:p>
        </w:tc>
        <w:tc>
          <w:tcPr>
            <w:tcW w:w="843" w:type="pct"/>
            <w:shd w:val="clear" w:color="auto" w:fill="FFFFFF"/>
            <w:vAlign w:val="center"/>
          </w:tcPr>
          <w:p w14:paraId="042CA86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 Law on Biocides has not been adopted, therefore there is no legal basis for adoption of secondary legislation</w:t>
            </w:r>
          </w:p>
        </w:tc>
        <w:tc>
          <w:tcPr>
            <w:tcW w:w="1606" w:type="pct"/>
            <w:shd w:val="clear" w:color="auto" w:fill="FFFFFF"/>
            <w:vAlign w:val="center"/>
          </w:tcPr>
          <w:p w14:paraId="4045DFE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Adopted secondary legislation (bylaws)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biocide management (2025)</w:t>
            </w:r>
          </w:p>
        </w:tc>
      </w:tr>
      <w:tr w:rsidR="00A8050D" w:rsidRPr="007C4D65" w14:paraId="7E3CBDC6" w14:textId="77777777" w:rsidTr="00A8050D">
        <w:trPr>
          <w:trHeight w:val="567"/>
          <w:jc w:val="center"/>
        </w:trPr>
        <w:tc>
          <w:tcPr>
            <w:tcW w:w="1382" w:type="pct"/>
            <w:vMerge/>
            <w:shd w:val="clear" w:color="auto" w:fill="009D73"/>
            <w:vAlign w:val="center"/>
          </w:tcPr>
          <w:p w14:paraId="0F30A38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169" w:type="pct"/>
            <w:shd w:val="clear" w:color="auto" w:fill="FFFFFF"/>
            <w:vAlign w:val="center"/>
          </w:tcPr>
          <w:p w14:paraId="57FDE3F5" w14:textId="77777777" w:rsidR="00A8050D" w:rsidRPr="007C4D65" w:rsidRDefault="00A8050D">
            <w:pPr>
              <w:pStyle w:val="ListParagraph"/>
              <w:numPr>
                <w:ilvl w:val="0"/>
                <w:numId w:val="134"/>
              </w:numPr>
              <w:spacing w:before="40" w:after="40" w:line="276" w:lineRule="auto"/>
              <w:ind w:left="254" w:hanging="254"/>
              <w:rPr>
                <w:rFonts w:asciiTheme="minorHAnsi" w:hAnsiTheme="minorHAnsi" w:cstheme="minorHAnsi"/>
                <w:color w:val="000000"/>
                <w:sz w:val="18"/>
                <w:szCs w:val="18"/>
              </w:rPr>
            </w:pPr>
            <w:r w:rsidRPr="007C4D65">
              <w:rPr>
                <w:rFonts w:asciiTheme="minorHAnsi" w:hAnsiTheme="minorHAnsi" w:cstheme="minorHAnsi"/>
                <w:sz w:val="18"/>
                <w:szCs w:val="18"/>
              </w:rPr>
              <w:t xml:space="preserve">Completeness of legislative framework that ensures prohibition </w:t>
            </w:r>
            <w:r w:rsidRPr="007C4D65">
              <w:rPr>
                <w:rFonts w:asciiTheme="minorHAnsi" w:hAnsiTheme="minorHAnsi" w:cstheme="minorHAnsi"/>
                <w:sz w:val="18"/>
                <w:szCs w:val="18"/>
              </w:rPr>
              <w:lastRenderedPageBreak/>
              <w:t>of use of mercury and restricts placement in the market of the products containing mercury or mercury compounds</w:t>
            </w:r>
          </w:p>
        </w:tc>
        <w:tc>
          <w:tcPr>
            <w:tcW w:w="843" w:type="pct"/>
            <w:shd w:val="clear" w:color="auto" w:fill="FFFFFF"/>
            <w:vAlign w:val="center"/>
          </w:tcPr>
          <w:p w14:paraId="421F022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 xml:space="preserve">There is no legislation in force that would ensure </w:t>
            </w:r>
            <w:r w:rsidRPr="007C4D65">
              <w:rPr>
                <w:rFonts w:asciiTheme="minorHAnsi" w:hAnsiTheme="minorHAnsi" w:cstheme="minorHAnsi"/>
                <w:sz w:val="18"/>
                <w:szCs w:val="18"/>
              </w:rPr>
              <w:lastRenderedPageBreak/>
              <w:t>prohibition of use of mercury and restrict placement in the market of the products containing mercury or mercury compounds</w:t>
            </w:r>
          </w:p>
        </w:tc>
        <w:tc>
          <w:tcPr>
            <w:tcW w:w="1606" w:type="pct"/>
            <w:shd w:val="clear" w:color="auto" w:fill="FFFFFF"/>
            <w:vAlign w:val="center"/>
          </w:tcPr>
          <w:p w14:paraId="3AA244F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 xml:space="preserve">Adopted secondary legislation that would ensure prohibition of use of mercury and restrict placement in </w:t>
            </w:r>
            <w:r w:rsidRPr="007C4D65">
              <w:rPr>
                <w:rFonts w:asciiTheme="minorHAnsi" w:hAnsiTheme="minorHAnsi" w:cstheme="minorHAnsi"/>
                <w:sz w:val="18"/>
                <w:szCs w:val="18"/>
              </w:rPr>
              <w:lastRenderedPageBreak/>
              <w:t>the market of the products containing mercury or mercury compounds (2025)</w:t>
            </w:r>
          </w:p>
        </w:tc>
      </w:tr>
      <w:tr w:rsidR="00A8050D" w:rsidRPr="007C4D65" w14:paraId="03868DDD" w14:textId="77777777" w:rsidTr="00A8050D">
        <w:trPr>
          <w:trHeight w:val="567"/>
          <w:jc w:val="center"/>
        </w:trPr>
        <w:tc>
          <w:tcPr>
            <w:tcW w:w="1382" w:type="pct"/>
            <w:vMerge/>
            <w:shd w:val="clear" w:color="auto" w:fill="009D73"/>
            <w:vAlign w:val="center"/>
          </w:tcPr>
          <w:p w14:paraId="7B49536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169" w:type="pct"/>
            <w:shd w:val="clear" w:color="auto" w:fill="FFFFFF"/>
            <w:vAlign w:val="center"/>
          </w:tcPr>
          <w:p w14:paraId="4711ADFF" w14:textId="77777777" w:rsidR="00A8050D" w:rsidRPr="007C4D65" w:rsidRDefault="00A8050D">
            <w:pPr>
              <w:pStyle w:val="ListParagraph"/>
              <w:numPr>
                <w:ilvl w:val="0"/>
                <w:numId w:val="134"/>
              </w:numPr>
              <w:spacing w:before="40" w:after="40" w:line="276" w:lineRule="auto"/>
              <w:ind w:left="252" w:hanging="252"/>
              <w:rPr>
                <w:rFonts w:asciiTheme="minorHAnsi" w:hAnsiTheme="minorHAnsi" w:cstheme="minorHAnsi"/>
                <w:color w:val="000000"/>
                <w:sz w:val="18"/>
                <w:szCs w:val="18"/>
              </w:rPr>
            </w:pPr>
            <w:r w:rsidRPr="007C4D65">
              <w:rPr>
                <w:rFonts w:asciiTheme="minorHAnsi" w:hAnsiTheme="minorHAnsi" w:cstheme="minorHAnsi"/>
                <w:sz w:val="18"/>
                <w:szCs w:val="18"/>
              </w:rPr>
              <w:t>Completeness of legal framework that prohibits production, trade and use of products containing asbestos fibres, and ensures special conditions for labelling the products containing asbestos</w:t>
            </w:r>
          </w:p>
        </w:tc>
        <w:tc>
          <w:tcPr>
            <w:tcW w:w="843" w:type="pct"/>
            <w:shd w:val="clear" w:color="auto" w:fill="FFFFFF"/>
            <w:vAlign w:val="center"/>
          </w:tcPr>
          <w:p w14:paraId="0C4CFB2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There is no legislation in force that would prohibit production, trade and use of products containing asbestos fibres, and ensure special conditions for labelling the products containing asbestos</w:t>
            </w:r>
          </w:p>
        </w:tc>
        <w:tc>
          <w:tcPr>
            <w:tcW w:w="1606" w:type="pct"/>
            <w:shd w:val="clear" w:color="auto" w:fill="FFFFFF"/>
            <w:vAlign w:val="center"/>
          </w:tcPr>
          <w:p w14:paraId="004C207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Adopted secondary legislation (bylaw) that prohibits production, trade and use of products containing asbestos fibres, and ensure special conditions for labelling the products containing asbestos (2025)</w:t>
            </w:r>
          </w:p>
        </w:tc>
      </w:tr>
      <w:tr w:rsidR="00A8050D" w:rsidRPr="007C4D65" w14:paraId="275EBE19" w14:textId="77777777" w:rsidTr="00A8050D">
        <w:trPr>
          <w:trHeight w:val="567"/>
          <w:jc w:val="center"/>
        </w:trPr>
        <w:tc>
          <w:tcPr>
            <w:tcW w:w="1382" w:type="pct"/>
            <w:shd w:val="clear" w:color="auto" w:fill="009D73"/>
            <w:vAlign w:val="center"/>
          </w:tcPr>
          <w:p w14:paraId="5BFD0AD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618" w:type="pct"/>
            <w:gridSpan w:val="3"/>
            <w:shd w:val="clear" w:color="auto" w:fill="FFFFFF"/>
            <w:vAlign w:val="center"/>
          </w:tcPr>
          <w:p w14:paraId="15959AC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Improvement of chemicals management and progress in the process of European integrations by aligning the national legislation with the EU acquis</w:t>
            </w:r>
          </w:p>
        </w:tc>
      </w:tr>
      <w:tr w:rsidR="00A8050D" w:rsidRPr="007C4D65" w14:paraId="58B38508" w14:textId="77777777" w:rsidTr="00A8050D">
        <w:trPr>
          <w:trHeight w:val="567"/>
          <w:jc w:val="center"/>
        </w:trPr>
        <w:tc>
          <w:tcPr>
            <w:tcW w:w="1382" w:type="pct"/>
            <w:shd w:val="clear" w:color="auto" w:fill="009D73"/>
            <w:vAlign w:val="center"/>
          </w:tcPr>
          <w:p w14:paraId="78AF92B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618" w:type="pct"/>
            <w:gridSpan w:val="3"/>
            <w:shd w:val="clear" w:color="auto" w:fill="FFFFFF"/>
            <w:vAlign w:val="center"/>
          </w:tcPr>
          <w:p w14:paraId="029C0A7E" w14:textId="1625AB1F"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257,548</w:t>
            </w:r>
          </w:p>
          <w:p w14:paraId="374B241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Source: </w:t>
            </w:r>
            <w:r w:rsidRPr="007C4D65">
              <w:rPr>
                <w:rFonts w:asciiTheme="minorHAnsi" w:hAnsiTheme="minorHAnsi" w:cstheme="minorHAnsi"/>
                <w:color w:val="000000" w:themeColor="text1"/>
                <w:sz w:val="18"/>
                <w:szCs w:val="18"/>
              </w:rPr>
              <w:t xml:space="preserve">70% from the government budget, 30% </w:t>
            </w:r>
            <w:r w:rsidRPr="007C4D65">
              <w:rPr>
                <w:rFonts w:asciiTheme="minorHAnsi" w:eastAsia="Calibri" w:hAnsiTheme="minorHAnsi" w:cstheme="minorHAnsi"/>
                <w:sz w:val="18"/>
                <w:szCs w:val="18"/>
              </w:rPr>
              <w:t>combined ‒ loans, funds from EU and other international donors, and other donations</w:t>
            </w:r>
          </w:p>
        </w:tc>
      </w:tr>
      <w:tr w:rsidR="00A8050D" w:rsidRPr="007C4D65" w14:paraId="2D90C7FF" w14:textId="77777777" w:rsidTr="00A8050D">
        <w:trPr>
          <w:trHeight w:val="567"/>
          <w:jc w:val="center"/>
        </w:trPr>
        <w:tc>
          <w:tcPr>
            <w:tcW w:w="1382" w:type="pct"/>
            <w:shd w:val="clear" w:color="auto" w:fill="009D73"/>
            <w:vAlign w:val="center"/>
          </w:tcPr>
          <w:p w14:paraId="7A03611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618" w:type="pct"/>
            <w:gridSpan w:val="3"/>
            <w:shd w:val="clear" w:color="auto" w:fill="FFFFFF"/>
            <w:vAlign w:val="center"/>
          </w:tcPr>
          <w:p w14:paraId="6EB1943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2023-2034</w:t>
            </w:r>
          </w:p>
        </w:tc>
      </w:tr>
      <w:tr w:rsidR="00A8050D" w:rsidRPr="007C4D65" w14:paraId="2DB07FB7" w14:textId="77777777" w:rsidTr="00A8050D">
        <w:trPr>
          <w:trHeight w:val="567"/>
          <w:jc w:val="center"/>
        </w:trPr>
        <w:tc>
          <w:tcPr>
            <w:tcW w:w="1382" w:type="pct"/>
            <w:shd w:val="clear" w:color="auto" w:fill="009D73"/>
            <w:vAlign w:val="center"/>
          </w:tcPr>
          <w:p w14:paraId="2655416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618" w:type="pct"/>
            <w:gridSpan w:val="3"/>
            <w:shd w:val="clear" w:color="auto" w:fill="FFFFFF"/>
            <w:vAlign w:val="center"/>
          </w:tcPr>
          <w:p w14:paraId="2FBAD60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Federation of BiH Ministry of Health</w:t>
            </w:r>
          </w:p>
        </w:tc>
      </w:tr>
      <w:tr w:rsidR="00A8050D" w:rsidRPr="007C4D65" w14:paraId="45784982" w14:textId="77777777" w:rsidTr="00A8050D">
        <w:trPr>
          <w:trHeight w:val="567"/>
          <w:jc w:val="center"/>
        </w:trPr>
        <w:tc>
          <w:tcPr>
            <w:tcW w:w="1382" w:type="pct"/>
            <w:shd w:val="clear" w:color="auto" w:fill="009D73"/>
            <w:vAlign w:val="center"/>
          </w:tcPr>
          <w:p w14:paraId="67204E6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w:t>
            </w:r>
          </w:p>
        </w:tc>
        <w:tc>
          <w:tcPr>
            <w:tcW w:w="3618" w:type="pct"/>
            <w:gridSpan w:val="3"/>
            <w:shd w:val="clear" w:color="auto" w:fill="FFFFFF"/>
            <w:vAlign w:val="center"/>
          </w:tcPr>
          <w:p w14:paraId="5D6D4EE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Federation of BiH Ministry of Health</w:t>
            </w:r>
          </w:p>
        </w:tc>
      </w:tr>
      <w:tr w:rsidR="00A8050D" w:rsidRPr="007C4D65" w14:paraId="0409DA83" w14:textId="77777777" w:rsidTr="00A8050D">
        <w:trPr>
          <w:trHeight w:val="567"/>
          <w:jc w:val="center"/>
        </w:trPr>
        <w:tc>
          <w:tcPr>
            <w:tcW w:w="1382" w:type="pct"/>
            <w:shd w:val="clear" w:color="auto" w:fill="009D73"/>
            <w:vAlign w:val="center"/>
          </w:tcPr>
          <w:p w14:paraId="32A8E169" w14:textId="35EC2264"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618" w:type="pct"/>
            <w:gridSpan w:val="3"/>
            <w:shd w:val="clear" w:color="auto" w:fill="FFFFFF"/>
            <w:vAlign w:val="center"/>
          </w:tcPr>
          <w:p w14:paraId="13DC432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Commercial sector (imports/exports, transport, use of chemicals and products containing POPs, mercury and dangerous chemicals), representatives of institutions and citizens</w:t>
            </w:r>
          </w:p>
        </w:tc>
      </w:tr>
    </w:tbl>
    <w:p w14:paraId="091079CF" w14:textId="77777777" w:rsidR="00A8050D" w:rsidRPr="007C4D65" w:rsidRDefault="00A8050D" w:rsidP="00A8050D">
      <w:pPr>
        <w:spacing w:line="276" w:lineRule="auto"/>
        <w:rPr>
          <w:rFonts w:asciiTheme="minorHAnsi" w:hAnsiTheme="minorHAnsi" w:cstheme="minorHAnsi"/>
          <w:sz w:val="18"/>
          <w:szCs w:val="18"/>
          <w:lang w:val="hr-HR"/>
        </w:rPr>
      </w:pPr>
    </w:p>
    <w:tbl>
      <w:tblPr>
        <w:tblW w:w="4852"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2"/>
        <w:gridCol w:w="3124"/>
        <w:gridCol w:w="3194"/>
        <w:gridCol w:w="3395"/>
      </w:tblGrid>
      <w:tr w:rsidR="00A8050D" w:rsidRPr="007C4D65" w14:paraId="4444B30B" w14:textId="77777777" w:rsidTr="00B6017F">
        <w:trPr>
          <w:trHeight w:val="567"/>
          <w:jc w:val="center"/>
        </w:trPr>
        <w:tc>
          <w:tcPr>
            <w:tcW w:w="1412" w:type="pct"/>
            <w:shd w:val="clear" w:color="auto" w:fill="009D73"/>
            <w:vAlign w:val="center"/>
          </w:tcPr>
          <w:p w14:paraId="581D9FBD" w14:textId="37F932A7"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88" w:type="pct"/>
            <w:gridSpan w:val="3"/>
            <w:shd w:val="clear" w:color="auto" w:fill="FFFFFF"/>
            <w:vAlign w:val="center"/>
          </w:tcPr>
          <w:p w14:paraId="0385EF94" w14:textId="4B84F85D"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 </w:t>
            </w:r>
            <w:r w:rsidR="00206652" w:rsidRPr="007C4D65">
              <w:rPr>
                <w:rFonts w:asciiTheme="minorHAnsi" w:hAnsiTheme="minorHAnsi" w:cstheme="minorHAnsi"/>
                <w:b/>
                <w:sz w:val="18"/>
                <w:szCs w:val="18"/>
              </w:rPr>
              <w:t>Human health protection</w:t>
            </w:r>
            <w:r w:rsidRPr="007C4D65">
              <w:rPr>
                <w:rFonts w:asciiTheme="minorHAnsi" w:hAnsiTheme="minorHAnsi" w:cstheme="minorHAnsi"/>
                <w:b/>
                <w:sz w:val="18"/>
                <w:szCs w:val="18"/>
              </w:rPr>
              <w:t xml:space="preserve"> and improving well-being and quality of life for all</w:t>
            </w:r>
          </w:p>
        </w:tc>
      </w:tr>
      <w:tr w:rsidR="00A8050D" w:rsidRPr="007C4D65" w14:paraId="1AAA2D92" w14:textId="77777777" w:rsidTr="00B6017F">
        <w:trPr>
          <w:trHeight w:val="567"/>
          <w:jc w:val="center"/>
        </w:trPr>
        <w:tc>
          <w:tcPr>
            <w:tcW w:w="1412" w:type="pct"/>
            <w:shd w:val="clear" w:color="auto" w:fill="009D73"/>
            <w:vAlign w:val="center"/>
          </w:tcPr>
          <w:p w14:paraId="1A95824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88" w:type="pct"/>
            <w:gridSpan w:val="3"/>
            <w:shd w:val="clear" w:color="auto" w:fill="FFFFFF"/>
            <w:vAlign w:val="center"/>
          </w:tcPr>
          <w:p w14:paraId="74B3394D" w14:textId="0D897854"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5.1. Improve</w:t>
            </w:r>
            <w:r w:rsidR="00735C68" w:rsidRPr="007C4D65">
              <w:rPr>
                <w:rFonts w:asciiTheme="minorHAnsi" w:hAnsiTheme="minorHAnsi" w:cstheme="minorHAnsi"/>
                <w:b/>
                <w:sz w:val="18"/>
                <w:szCs w:val="18"/>
              </w:rPr>
              <w:t>d</w:t>
            </w:r>
            <w:r w:rsidRPr="007C4D65">
              <w:rPr>
                <w:rFonts w:asciiTheme="minorHAnsi" w:hAnsiTheme="minorHAnsi" w:cstheme="minorHAnsi"/>
                <w:b/>
                <w:sz w:val="18"/>
                <w:szCs w:val="18"/>
              </w:rPr>
              <w:t xml:space="preserve"> legislation in the field of chemical safety</w:t>
            </w:r>
          </w:p>
        </w:tc>
      </w:tr>
      <w:tr w:rsidR="00A8050D" w:rsidRPr="007C4D65" w14:paraId="03E4FFD5" w14:textId="77777777" w:rsidTr="00B6017F">
        <w:trPr>
          <w:trHeight w:val="567"/>
          <w:jc w:val="center"/>
        </w:trPr>
        <w:tc>
          <w:tcPr>
            <w:tcW w:w="1412" w:type="pct"/>
            <w:shd w:val="clear" w:color="auto" w:fill="009D73"/>
            <w:vAlign w:val="center"/>
          </w:tcPr>
          <w:p w14:paraId="0DA2F16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Name of the measure</w:t>
            </w:r>
          </w:p>
        </w:tc>
        <w:tc>
          <w:tcPr>
            <w:tcW w:w="3588" w:type="pct"/>
            <w:gridSpan w:val="3"/>
            <w:shd w:val="clear" w:color="auto" w:fill="FFFFFF"/>
            <w:vAlign w:val="center"/>
          </w:tcPr>
          <w:p w14:paraId="3F142BE7" w14:textId="3E227125"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5.1.2. Partial transposition of the SEVESO III Directive in legislation of the Federation of BiH</w:t>
            </w:r>
          </w:p>
        </w:tc>
      </w:tr>
      <w:tr w:rsidR="00A8050D" w:rsidRPr="007C4D65" w14:paraId="28639841" w14:textId="77777777" w:rsidTr="00B6017F">
        <w:trPr>
          <w:trHeight w:val="274"/>
          <w:jc w:val="center"/>
        </w:trPr>
        <w:tc>
          <w:tcPr>
            <w:tcW w:w="1412" w:type="pct"/>
            <w:shd w:val="clear" w:color="auto" w:fill="009D73"/>
            <w:vAlign w:val="center"/>
          </w:tcPr>
          <w:p w14:paraId="033749B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588" w:type="pct"/>
            <w:gridSpan w:val="3"/>
            <w:shd w:val="clear" w:color="auto" w:fill="FFFFFF"/>
            <w:vAlign w:val="center"/>
          </w:tcPr>
          <w:p w14:paraId="7B1412A6"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This measure aims to achieve harmonisation of Federation of BiH legislation with requirements of the SEVESO III Directive (2012/18/EU) for the purpose of prevention of major incidents and intervention plans for cases of inadequate handling of chemicals </w:t>
            </w:r>
          </w:p>
          <w:p w14:paraId="4C1C5F58" w14:textId="4A5B6AB6"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General areas of intervention:</w:t>
            </w:r>
          </w:p>
          <w:p w14:paraId="7782993E" w14:textId="3019B2E4" w:rsidR="00A8050D" w:rsidRPr="007C4D65" w:rsidRDefault="00A8050D">
            <w:pPr>
              <w:pStyle w:val="ListParagraph"/>
              <w:numPr>
                <w:ilvl w:val="0"/>
                <w:numId w:val="170"/>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Development and adoption of regulation that determines the content and method of maintaining the Registry of Major </w:t>
            </w:r>
            <w:proofErr w:type="gramStart"/>
            <w:r w:rsidRPr="007C4D65">
              <w:rPr>
                <w:rFonts w:asciiTheme="minorHAnsi" w:hAnsiTheme="minorHAnsi" w:cstheme="minorHAnsi"/>
                <w:sz w:val="18"/>
                <w:szCs w:val="18"/>
              </w:rPr>
              <w:t>Accidents</w:t>
            </w:r>
            <w:r w:rsidR="008C3DFC" w:rsidRPr="007C4D65">
              <w:rPr>
                <w:rFonts w:asciiTheme="minorHAnsi" w:hAnsiTheme="minorHAnsi" w:cstheme="minorHAnsi"/>
                <w:sz w:val="18"/>
                <w:szCs w:val="18"/>
              </w:rPr>
              <w:t>;</w:t>
            </w:r>
            <w:proofErr w:type="gramEnd"/>
          </w:p>
          <w:p w14:paraId="683DDD67" w14:textId="64F0A872" w:rsidR="00A8050D" w:rsidRPr="007C4D65" w:rsidRDefault="00A8050D">
            <w:pPr>
              <w:pStyle w:val="ListParagraph"/>
              <w:numPr>
                <w:ilvl w:val="0"/>
                <w:numId w:val="170"/>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Updating or making a new Rulebook on the content of the report on safety status, content of information on safety measures and contents of internal and external intervention plans</w:t>
            </w:r>
            <w:r w:rsidR="008C3DFC" w:rsidRPr="007C4D65">
              <w:rPr>
                <w:rFonts w:asciiTheme="minorHAnsi" w:eastAsia="Calibri" w:hAnsiTheme="minorHAnsi" w:cstheme="minorHAnsi"/>
                <w:sz w:val="18"/>
                <w:szCs w:val="18"/>
              </w:rPr>
              <w:t>.</w:t>
            </w:r>
          </w:p>
        </w:tc>
      </w:tr>
      <w:tr w:rsidR="00A8050D" w:rsidRPr="007C4D65" w14:paraId="16A1B71D" w14:textId="77777777" w:rsidTr="00B6017F">
        <w:trPr>
          <w:trHeight w:val="567"/>
          <w:jc w:val="center"/>
        </w:trPr>
        <w:tc>
          <w:tcPr>
            <w:tcW w:w="1412" w:type="pct"/>
            <w:shd w:val="clear" w:color="auto" w:fill="009D73"/>
            <w:vAlign w:val="center"/>
          </w:tcPr>
          <w:p w14:paraId="0FD4B54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Strategic projects</w:t>
            </w:r>
          </w:p>
        </w:tc>
        <w:tc>
          <w:tcPr>
            <w:tcW w:w="3588" w:type="pct"/>
            <w:gridSpan w:val="3"/>
            <w:shd w:val="clear" w:color="auto" w:fill="FFFFFF" w:themeFill="background1"/>
            <w:vAlign w:val="center"/>
          </w:tcPr>
          <w:p w14:paraId="6E3C33F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368ABE66" w14:textId="77777777" w:rsidTr="00B6017F">
        <w:trPr>
          <w:trHeight w:val="567"/>
          <w:jc w:val="center"/>
        </w:trPr>
        <w:tc>
          <w:tcPr>
            <w:tcW w:w="1412" w:type="pct"/>
            <w:vMerge w:val="restart"/>
            <w:shd w:val="clear" w:color="auto" w:fill="009D73"/>
            <w:vAlign w:val="center"/>
          </w:tcPr>
          <w:p w14:paraId="54FA921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154" w:type="pct"/>
            <w:shd w:val="clear" w:color="auto" w:fill="009D73"/>
            <w:vAlign w:val="center"/>
          </w:tcPr>
          <w:p w14:paraId="2BC3BC9F"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0F27FD0D" w14:textId="69991E44"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180" w:type="pct"/>
            <w:shd w:val="clear" w:color="auto" w:fill="009D73"/>
            <w:vAlign w:val="center"/>
          </w:tcPr>
          <w:p w14:paraId="0C2394AC"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4C0B3FC2"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54" w:type="pct"/>
            <w:shd w:val="clear" w:color="auto" w:fill="009D73"/>
            <w:vAlign w:val="center"/>
          </w:tcPr>
          <w:p w14:paraId="6699D4EF"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797362BD" w14:textId="77777777" w:rsidTr="00B6017F">
        <w:trPr>
          <w:trHeight w:val="567"/>
          <w:jc w:val="center"/>
        </w:trPr>
        <w:tc>
          <w:tcPr>
            <w:tcW w:w="1412" w:type="pct"/>
            <w:vMerge/>
            <w:shd w:val="clear" w:color="auto" w:fill="009D73"/>
            <w:vAlign w:val="center"/>
          </w:tcPr>
          <w:p w14:paraId="03B7264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154" w:type="pct"/>
            <w:shd w:val="clear" w:color="auto" w:fill="FFFFFF"/>
            <w:vAlign w:val="center"/>
          </w:tcPr>
          <w:p w14:paraId="24440F64" w14:textId="77777777" w:rsidR="00A8050D" w:rsidRPr="007C4D65" w:rsidRDefault="00A8050D">
            <w:pPr>
              <w:pStyle w:val="ListParagraph"/>
              <w:numPr>
                <w:ilvl w:val="0"/>
                <w:numId w:val="135"/>
              </w:numPr>
              <w:spacing w:before="40" w:after="40" w:line="276" w:lineRule="auto"/>
              <w:ind w:left="254" w:hanging="254"/>
              <w:rPr>
                <w:rFonts w:asciiTheme="minorHAnsi" w:eastAsia="Calibri" w:hAnsiTheme="minorHAnsi" w:cstheme="minorHAnsi"/>
                <w:sz w:val="18"/>
                <w:szCs w:val="18"/>
              </w:rPr>
            </w:pPr>
            <w:r w:rsidRPr="007C4D65">
              <w:rPr>
                <w:rFonts w:asciiTheme="minorHAnsi" w:hAnsiTheme="minorHAnsi" w:cstheme="minorHAnsi"/>
                <w:sz w:val="18"/>
                <w:szCs w:val="18"/>
              </w:rPr>
              <w:t>Completeness of legal framework for implementation of the Law on Environmental Protection in terms of transposition of the SEVESO III Directive</w:t>
            </w:r>
          </w:p>
        </w:tc>
        <w:tc>
          <w:tcPr>
            <w:tcW w:w="1180" w:type="pct"/>
            <w:shd w:val="clear" w:color="auto" w:fill="FFFFFF"/>
            <w:vAlign w:val="center"/>
          </w:tcPr>
          <w:p w14:paraId="620F3F8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Legal basis for transposition of the Seveso III Directive has been created in the Law Environment Protection; however, legislation needs to be passed to specify the content and method of maintaining of Registry of Major Accidents</w:t>
            </w:r>
          </w:p>
        </w:tc>
        <w:tc>
          <w:tcPr>
            <w:tcW w:w="1254" w:type="pct"/>
            <w:shd w:val="clear" w:color="auto" w:fill="FFFFFF"/>
            <w:vAlign w:val="center"/>
          </w:tcPr>
          <w:p w14:paraId="7E03F8F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Develop and adopt legislation defining the content and method of maintaining the Registry of Major Accidents (2023)</w:t>
            </w:r>
          </w:p>
        </w:tc>
      </w:tr>
      <w:tr w:rsidR="00A8050D" w:rsidRPr="007C4D65" w14:paraId="45ABA00E" w14:textId="77777777" w:rsidTr="00B6017F">
        <w:trPr>
          <w:trHeight w:val="567"/>
          <w:jc w:val="center"/>
        </w:trPr>
        <w:tc>
          <w:tcPr>
            <w:tcW w:w="1412" w:type="pct"/>
            <w:vMerge/>
            <w:shd w:val="clear" w:color="auto" w:fill="009D73"/>
            <w:vAlign w:val="center"/>
          </w:tcPr>
          <w:p w14:paraId="5A9FD74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154" w:type="pct"/>
            <w:shd w:val="clear" w:color="auto" w:fill="FFFFFF"/>
            <w:vAlign w:val="center"/>
          </w:tcPr>
          <w:p w14:paraId="4112D147" w14:textId="77777777" w:rsidR="00A8050D" w:rsidRPr="007C4D65" w:rsidRDefault="00A8050D">
            <w:pPr>
              <w:pStyle w:val="ListParagraph"/>
              <w:numPr>
                <w:ilvl w:val="0"/>
                <w:numId w:val="135"/>
              </w:numPr>
              <w:spacing w:before="40" w:after="40" w:line="276" w:lineRule="auto"/>
              <w:ind w:left="254" w:hanging="254"/>
              <w:rPr>
                <w:rFonts w:asciiTheme="minorHAnsi" w:eastAsia="Calibri" w:hAnsiTheme="minorHAnsi" w:cstheme="minorHAnsi"/>
                <w:sz w:val="18"/>
                <w:szCs w:val="18"/>
              </w:rPr>
            </w:pPr>
            <w:r w:rsidRPr="007C4D65">
              <w:rPr>
                <w:rFonts w:asciiTheme="minorHAnsi" w:hAnsiTheme="minorHAnsi" w:cstheme="minorHAnsi"/>
                <w:sz w:val="18"/>
                <w:szCs w:val="18"/>
              </w:rPr>
              <w:t xml:space="preserve"> Status of the Rulebook on the content of the report on safety status, content of information of safety measures and contents of internal and external intervention plans</w:t>
            </w:r>
          </w:p>
        </w:tc>
        <w:tc>
          <w:tcPr>
            <w:tcW w:w="1180" w:type="pct"/>
            <w:shd w:val="clear" w:color="auto" w:fill="FFFFFF"/>
            <w:vAlign w:val="center"/>
          </w:tcPr>
          <w:p w14:paraId="09F36EC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 existing Rulebook on the content of the report on safety status, content of information of safety measures and contents of internal and external intervention plans was made in 2005 and needs to be updated to include the new requirements</w:t>
            </w:r>
          </w:p>
        </w:tc>
        <w:tc>
          <w:tcPr>
            <w:tcW w:w="1254" w:type="pct"/>
            <w:shd w:val="clear" w:color="auto" w:fill="FFFFFF"/>
            <w:vAlign w:val="center"/>
          </w:tcPr>
          <w:p w14:paraId="5AECB36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Updating or making a new Rulebook on the content of the report on safety status, content of information on safety measures and contents of internal and external intervention plans (2023)</w:t>
            </w:r>
          </w:p>
        </w:tc>
      </w:tr>
      <w:tr w:rsidR="00A8050D" w:rsidRPr="007C4D65" w14:paraId="001904D7" w14:textId="77777777" w:rsidTr="00B6017F">
        <w:trPr>
          <w:trHeight w:val="567"/>
          <w:jc w:val="center"/>
        </w:trPr>
        <w:tc>
          <w:tcPr>
            <w:tcW w:w="1412" w:type="pct"/>
            <w:shd w:val="clear" w:color="auto" w:fill="009D73"/>
            <w:vAlign w:val="center"/>
          </w:tcPr>
          <w:p w14:paraId="64281BE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588" w:type="pct"/>
            <w:gridSpan w:val="3"/>
            <w:shd w:val="clear" w:color="auto" w:fill="FFFFFF"/>
            <w:vAlign w:val="center"/>
          </w:tcPr>
          <w:p w14:paraId="71C3D03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Improvement of chemicals management and progress in the process of European integrations by aligning the national legislation with the EU acquis.</w:t>
            </w:r>
          </w:p>
        </w:tc>
      </w:tr>
      <w:tr w:rsidR="00A8050D" w:rsidRPr="007C4D65" w14:paraId="6B4FFC97" w14:textId="77777777" w:rsidTr="00B6017F">
        <w:trPr>
          <w:trHeight w:val="567"/>
          <w:jc w:val="center"/>
        </w:trPr>
        <w:tc>
          <w:tcPr>
            <w:tcW w:w="1412" w:type="pct"/>
            <w:shd w:val="clear" w:color="auto" w:fill="009D73"/>
            <w:vAlign w:val="center"/>
          </w:tcPr>
          <w:p w14:paraId="5ADB5AA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588" w:type="pct"/>
            <w:gridSpan w:val="3"/>
            <w:shd w:val="clear" w:color="auto" w:fill="FFFFFF"/>
            <w:vAlign w:val="center"/>
          </w:tcPr>
          <w:p w14:paraId="2C30F157" w14:textId="7F7B1286"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19,558</w:t>
            </w:r>
          </w:p>
          <w:p w14:paraId="6CA75AB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Source: 100% government budget</w:t>
            </w:r>
          </w:p>
        </w:tc>
      </w:tr>
      <w:tr w:rsidR="00A8050D" w:rsidRPr="007C4D65" w14:paraId="2853E0B5" w14:textId="77777777" w:rsidTr="00B6017F">
        <w:trPr>
          <w:trHeight w:val="567"/>
          <w:jc w:val="center"/>
        </w:trPr>
        <w:tc>
          <w:tcPr>
            <w:tcW w:w="1412" w:type="pct"/>
            <w:shd w:val="clear" w:color="auto" w:fill="009D73"/>
            <w:vAlign w:val="center"/>
          </w:tcPr>
          <w:p w14:paraId="769A0C1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Period of implementation of the measure</w:t>
            </w:r>
          </w:p>
        </w:tc>
        <w:tc>
          <w:tcPr>
            <w:tcW w:w="3588" w:type="pct"/>
            <w:gridSpan w:val="3"/>
            <w:shd w:val="clear" w:color="auto" w:fill="FFFFFF"/>
            <w:vAlign w:val="center"/>
          </w:tcPr>
          <w:p w14:paraId="0ECEA31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2022-2023 </w:t>
            </w:r>
          </w:p>
        </w:tc>
      </w:tr>
      <w:tr w:rsidR="00A8050D" w:rsidRPr="007C4D65" w14:paraId="6C8AD8A0" w14:textId="77777777" w:rsidTr="00B6017F">
        <w:trPr>
          <w:trHeight w:val="567"/>
          <w:jc w:val="center"/>
        </w:trPr>
        <w:tc>
          <w:tcPr>
            <w:tcW w:w="1412" w:type="pct"/>
            <w:shd w:val="clear" w:color="auto" w:fill="009D73"/>
            <w:vAlign w:val="center"/>
          </w:tcPr>
          <w:p w14:paraId="34E04570"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88" w:type="pct"/>
            <w:gridSpan w:val="3"/>
            <w:shd w:val="clear" w:color="auto" w:fill="FFFFFF"/>
            <w:vAlign w:val="center"/>
          </w:tcPr>
          <w:p w14:paraId="1AD4B0A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FMET</w:t>
            </w:r>
          </w:p>
        </w:tc>
      </w:tr>
      <w:tr w:rsidR="00A8050D" w:rsidRPr="007C4D65" w14:paraId="7CB918C2" w14:textId="77777777" w:rsidTr="00B6017F">
        <w:trPr>
          <w:trHeight w:val="567"/>
          <w:jc w:val="center"/>
        </w:trPr>
        <w:tc>
          <w:tcPr>
            <w:tcW w:w="1412" w:type="pct"/>
            <w:shd w:val="clear" w:color="auto" w:fill="009D73"/>
            <w:vAlign w:val="center"/>
          </w:tcPr>
          <w:p w14:paraId="25A5750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w:t>
            </w:r>
          </w:p>
        </w:tc>
        <w:tc>
          <w:tcPr>
            <w:tcW w:w="3588" w:type="pct"/>
            <w:gridSpan w:val="3"/>
            <w:shd w:val="clear" w:color="auto" w:fill="FFFFFF"/>
            <w:vAlign w:val="center"/>
          </w:tcPr>
          <w:p w14:paraId="57874D9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FMET and cantonal ministries responsible for environment</w:t>
            </w:r>
          </w:p>
        </w:tc>
      </w:tr>
      <w:tr w:rsidR="00A8050D" w:rsidRPr="007C4D65" w14:paraId="75999CA4" w14:textId="77777777" w:rsidTr="00B6017F">
        <w:trPr>
          <w:trHeight w:val="567"/>
          <w:jc w:val="center"/>
        </w:trPr>
        <w:tc>
          <w:tcPr>
            <w:tcW w:w="1412" w:type="pct"/>
            <w:shd w:val="clear" w:color="auto" w:fill="009D73"/>
            <w:vAlign w:val="center"/>
          </w:tcPr>
          <w:p w14:paraId="63F7C86E" w14:textId="1D5B2B7B"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588" w:type="pct"/>
            <w:gridSpan w:val="3"/>
            <w:shd w:val="clear" w:color="auto" w:fill="FFFFFF"/>
            <w:vAlign w:val="center"/>
          </w:tcPr>
          <w:p w14:paraId="33D10AD7" w14:textId="2F829B36"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Commercial sector (industries where major incidents are more likely)</w:t>
            </w:r>
          </w:p>
        </w:tc>
      </w:tr>
    </w:tbl>
    <w:p w14:paraId="211B24CF" w14:textId="77777777" w:rsidR="00A8050D" w:rsidRPr="007C4D65" w:rsidRDefault="00A8050D" w:rsidP="00A8050D">
      <w:pPr>
        <w:spacing w:line="276" w:lineRule="auto"/>
        <w:rPr>
          <w:rFonts w:asciiTheme="minorHAnsi" w:hAnsiTheme="minorHAnsi" w:cstheme="minorHAnsi"/>
          <w:sz w:val="18"/>
          <w:szCs w:val="18"/>
          <w:lang w:val="hr-HR"/>
        </w:rPr>
      </w:pPr>
    </w:p>
    <w:tbl>
      <w:tblPr>
        <w:tblW w:w="4852"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2"/>
        <w:gridCol w:w="3124"/>
        <w:gridCol w:w="3194"/>
        <w:gridCol w:w="3395"/>
      </w:tblGrid>
      <w:tr w:rsidR="00A8050D" w:rsidRPr="007C4D65" w14:paraId="02575B68" w14:textId="77777777" w:rsidTr="00B6017F">
        <w:trPr>
          <w:trHeight w:val="567"/>
          <w:jc w:val="center"/>
        </w:trPr>
        <w:tc>
          <w:tcPr>
            <w:tcW w:w="1412" w:type="pct"/>
            <w:shd w:val="clear" w:color="auto" w:fill="009D73"/>
            <w:vAlign w:val="center"/>
          </w:tcPr>
          <w:p w14:paraId="295FDBF6" w14:textId="4E62152E"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88" w:type="pct"/>
            <w:gridSpan w:val="3"/>
            <w:shd w:val="clear" w:color="auto" w:fill="FFFFFF"/>
            <w:vAlign w:val="center"/>
          </w:tcPr>
          <w:p w14:paraId="5D864023" w14:textId="6A62DDBF"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 </w:t>
            </w:r>
            <w:r w:rsidR="00206652" w:rsidRPr="007C4D65">
              <w:rPr>
                <w:rFonts w:asciiTheme="minorHAnsi" w:hAnsiTheme="minorHAnsi" w:cstheme="minorHAnsi"/>
                <w:b/>
                <w:sz w:val="18"/>
                <w:szCs w:val="18"/>
              </w:rPr>
              <w:t>Human health protection</w:t>
            </w:r>
            <w:r w:rsidRPr="007C4D65">
              <w:rPr>
                <w:rFonts w:asciiTheme="minorHAnsi" w:hAnsiTheme="minorHAnsi" w:cstheme="minorHAnsi"/>
                <w:b/>
                <w:sz w:val="18"/>
                <w:szCs w:val="18"/>
              </w:rPr>
              <w:t xml:space="preserve"> and improving well-being and quality of life for all</w:t>
            </w:r>
          </w:p>
        </w:tc>
      </w:tr>
      <w:tr w:rsidR="00A8050D" w:rsidRPr="007C4D65" w14:paraId="416EE515" w14:textId="77777777" w:rsidTr="00B6017F">
        <w:trPr>
          <w:trHeight w:val="567"/>
          <w:jc w:val="center"/>
        </w:trPr>
        <w:tc>
          <w:tcPr>
            <w:tcW w:w="1412" w:type="pct"/>
            <w:shd w:val="clear" w:color="auto" w:fill="009D73"/>
            <w:vAlign w:val="center"/>
          </w:tcPr>
          <w:p w14:paraId="6C5A4C5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88" w:type="pct"/>
            <w:gridSpan w:val="3"/>
            <w:shd w:val="clear" w:color="auto" w:fill="FFFFFF"/>
            <w:vAlign w:val="center"/>
          </w:tcPr>
          <w:p w14:paraId="5F2FA236" w14:textId="6DD9ED8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5.1. Improve</w:t>
            </w:r>
            <w:r w:rsidR="00735C68" w:rsidRPr="007C4D65">
              <w:rPr>
                <w:rFonts w:asciiTheme="minorHAnsi" w:hAnsiTheme="minorHAnsi" w:cstheme="minorHAnsi"/>
                <w:b/>
                <w:sz w:val="18"/>
                <w:szCs w:val="18"/>
              </w:rPr>
              <w:t>d</w:t>
            </w:r>
            <w:r w:rsidRPr="007C4D65">
              <w:rPr>
                <w:rFonts w:asciiTheme="minorHAnsi" w:hAnsiTheme="minorHAnsi" w:cstheme="minorHAnsi"/>
                <w:b/>
                <w:sz w:val="18"/>
                <w:szCs w:val="18"/>
              </w:rPr>
              <w:t xml:space="preserve"> legislation in the field of chemical safety</w:t>
            </w:r>
          </w:p>
        </w:tc>
      </w:tr>
      <w:tr w:rsidR="00A8050D" w:rsidRPr="007C4D65" w14:paraId="41ACC23B" w14:textId="77777777" w:rsidTr="00B6017F">
        <w:trPr>
          <w:trHeight w:val="567"/>
          <w:jc w:val="center"/>
        </w:trPr>
        <w:tc>
          <w:tcPr>
            <w:tcW w:w="1412" w:type="pct"/>
            <w:shd w:val="clear" w:color="auto" w:fill="009D73"/>
            <w:vAlign w:val="center"/>
          </w:tcPr>
          <w:p w14:paraId="56572CF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588" w:type="pct"/>
            <w:gridSpan w:val="3"/>
            <w:shd w:val="clear" w:color="auto" w:fill="FFFFFF"/>
            <w:vAlign w:val="center"/>
          </w:tcPr>
          <w:p w14:paraId="69642357" w14:textId="59E202D6"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5.1.3. Harmonise / develop secondary legislation (bylaws) to enable implementation of the Montreal Protocol, the Kigali Amendment, and </w:t>
            </w:r>
            <w:r w:rsidR="001E4D90" w:rsidRPr="007C4D65">
              <w:rPr>
                <w:rFonts w:asciiTheme="minorHAnsi" w:hAnsiTheme="minorHAnsi" w:cstheme="minorHAnsi"/>
                <w:b/>
                <w:sz w:val="18"/>
                <w:szCs w:val="18"/>
              </w:rPr>
              <w:t>EU regulations</w:t>
            </w:r>
            <w:r w:rsidRPr="007C4D65">
              <w:rPr>
                <w:rFonts w:asciiTheme="minorHAnsi" w:hAnsiTheme="minorHAnsi" w:cstheme="minorHAnsi"/>
                <w:b/>
                <w:sz w:val="18"/>
                <w:szCs w:val="18"/>
              </w:rPr>
              <w:t xml:space="preserve"> that facilitates their legal implementation in the EU member countries</w:t>
            </w:r>
          </w:p>
        </w:tc>
      </w:tr>
      <w:tr w:rsidR="00A8050D" w:rsidRPr="007C4D65" w14:paraId="6CD3742C" w14:textId="77777777" w:rsidTr="00B6017F">
        <w:trPr>
          <w:trHeight w:val="567"/>
          <w:jc w:val="center"/>
        </w:trPr>
        <w:tc>
          <w:tcPr>
            <w:tcW w:w="1412" w:type="pct"/>
            <w:shd w:val="clear" w:color="auto" w:fill="009D73"/>
            <w:vAlign w:val="center"/>
          </w:tcPr>
          <w:p w14:paraId="1BA4346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588" w:type="pct"/>
            <w:gridSpan w:val="3"/>
            <w:shd w:val="clear" w:color="auto" w:fill="FFFFFF"/>
            <w:vAlign w:val="center"/>
          </w:tcPr>
          <w:p w14:paraId="057B9E54" w14:textId="6BD9A16A"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This measure aims to achieve harmonisation of Federation of BiH legislation with requirements of the Montreal Agreement, the Kigali Amendment, and the </w:t>
            </w:r>
            <w:r w:rsidR="001E4D90" w:rsidRPr="007C4D65">
              <w:rPr>
                <w:rFonts w:asciiTheme="minorHAnsi" w:hAnsiTheme="minorHAnsi" w:cstheme="minorHAnsi"/>
                <w:sz w:val="18"/>
                <w:szCs w:val="18"/>
              </w:rPr>
              <w:t>EU regulations</w:t>
            </w:r>
            <w:r w:rsidRPr="007C4D65">
              <w:rPr>
                <w:rFonts w:asciiTheme="minorHAnsi" w:hAnsiTheme="minorHAnsi" w:cstheme="minorHAnsi"/>
                <w:sz w:val="18"/>
                <w:szCs w:val="18"/>
              </w:rPr>
              <w:t xml:space="preserve"> whereby these international agreements are implemented in EU member countries, particularly:</w:t>
            </w:r>
          </w:p>
          <w:p w14:paraId="7275AB7E" w14:textId="17125FDD"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Regulation (EC) no. 1005/2009 on substances that deplete the ozone </w:t>
            </w:r>
            <w:proofErr w:type="gramStart"/>
            <w:r w:rsidRPr="007C4D65">
              <w:rPr>
                <w:rFonts w:asciiTheme="minorHAnsi" w:hAnsiTheme="minorHAnsi" w:cstheme="minorHAnsi"/>
                <w:sz w:val="18"/>
                <w:szCs w:val="18"/>
              </w:rPr>
              <w:t>layer</w:t>
            </w:r>
            <w:r w:rsidR="008C3DFC" w:rsidRPr="007C4D65">
              <w:rPr>
                <w:rFonts w:asciiTheme="minorHAnsi" w:hAnsiTheme="minorHAnsi" w:cstheme="minorHAnsi"/>
                <w:sz w:val="18"/>
                <w:szCs w:val="18"/>
              </w:rPr>
              <w:t>;</w:t>
            </w:r>
            <w:proofErr w:type="gramEnd"/>
          </w:p>
          <w:p w14:paraId="2740FCB5" w14:textId="04305474"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EC 517/2014 on fluorinated greenhouse gases</w:t>
            </w:r>
            <w:r w:rsidR="008C3DFC" w:rsidRPr="007C4D65">
              <w:rPr>
                <w:rFonts w:asciiTheme="minorHAnsi" w:eastAsia="Calibri" w:hAnsiTheme="minorHAnsi" w:cstheme="minorHAnsi"/>
                <w:sz w:val="18"/>
                <w:szCs w:val="18"/>
              </w:rPr>
              <w:t>.</w:t>
            </w:r>
          </w:p>
          <w:p w14:paraId="032B7005" w14:textId="4D24AB39"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General areas of intervention:</w:t>
            </w:r>
          </w:p>
          <w:p w14:paraId="34750F23" w14:textId="12C995AF" w:rsidR="00A8050D" w:rsidRPr="007C4D65" w:rsidRDefault="00A8050D">
            <w:pPr>
              <w:pStyle w:val="ListParagraph"/>
              <w:numPr>
                <w:ilvl w:val="0"/>
                <w:numId w:val="171"/>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Development and adoption of the Rulebook on Ozone Depleting Substances </w:t>
            </w:r>
            <w:proofErr w:type="gramStart"/>
            <w:r w:rsidRPr="007C4D65">
              <w:rPr>
                <w:rFonts w:asciiTheme="minorHAnsi" w:hAnsiTheme="minorHAnsi" w:cstheme="minorHAnsi"/>
                <w:sz w:val="18"/>
                <w:szCs w:val="18"/>
              </w:rPr>
              <w:t>management</w:t>
            </w:r>
            <w:r w:rsidR="008C3DFC" w:rsidRPr="007C4D65">
              <w:rPr>
                <w:rFonts w:asciiTheme="minorHAnsi" w:eastAsia="Calibri" w:hAnsiTheme="minorHAnsi" w:cstheme="minorHAnsi"/>
                <w:sz w:val="18"/>
                <w:szCs w:val="18"/>
              </w:rPr>
              <w:t>;</w:t>
            </w:r>
            <w:proofErr w:type="gramEnd"/>
          </w:p>
          <w:p w14:paraId="09D288B6" w14:textId="5A80043C" w:rsidR="00A8050D" w:rsidRPr="007C4D65" w:rsidRDefault="00A8050D">
            <w:pPr>
              <w:pStyle w:val="ListParagraph"/>
              <w:numPr>
                <w:ilvl w:val="0"/>
                <w:numId w:val="171"/>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Development and adoption of legislation that will allow for training of repair/maintenance providers in accordance with the training programmes aligned with the EU acquis</w:t>
            </w:r>
            <w:r w:rsidR="008C3DFC" w:rsidRPr="007C4D65">
              <w:rPr>
                <w:rFonts w:asciiTheme="minorHAnsi" w:eastAsia="Calibri" w:hAnsiTheme="minorHAnsi" w:cstheme="minorHAnsi"/>
                <w:sz w:val="18"/>
                <w:szCs w:val="18"/>
              </w:rPr>
              <w:t>.</w:t>
            </w:r>
          </w:p>
        </w:tc>
      </w:tr>
      <w:tr w:rsidR="00A8050D" w:rsidRPr="007C4D65" w14:paraId="5CC85598" w14:textId="77777777" w:rsidTr="00B6017F">
        <w:trPr>
          <w:trHeight w:val="567"/>
          <w:jc w:val="center"/>
        </w:trPr>
        <w:tc>
          <w:tcPr>
            <w:tcW w:w="1412" w:type="pct"/>
            <w:shd w:val="clear" w:color="auto" w:fill="009D73"/>
            <w:vAlign w:val="center"/>
          </w:tcPr>
          <w:p w14:paraId="071CB5D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Strategic projects</w:t>
            </w:r>
          </w:p>
        </w:tc>
        <w:tc>
          <w:tcPr>
            <w:tcW w:w="3588" w:type="pct"/>
            <w:gridSpan w:val="3"/>
            <w:shd w:val="clear" w:color="auto" w:fill="FFFFFF" w:themeFill="background1"/>
            <w:vAlign w:val="center"/>
          </w:tcPr>
          <w:p w14:paraId="7377FA4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63276FCF" w14:textId="77777777" w:rsidTr="00B6017F">
        <w:trPr>
          <w:trHeight w:val="567"/>
          <w:jc w:val="center"/>
        </w:trPr>
        <w:tc>
          <w:tcPr>
            <w:tcW w:w="1412" w:type="pct"/>
            <w:vMerge w:val="restart"/>
            <w:shd w:val="clear" w:color="auto" w:fill="009D73"/>
            <w:vAlign w:val="center"/>
          </w:tcPr>
          <w:p w14:paraId="0C889B3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154" w:type="pct"/>
            <w:shd w:val="clear" w:color="auto" w:fill="009D73"/>
            <w:vAlign w:val="center"/>
          </w:tcPr>
          <w:p w14:paraId="6FB81FAA"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05A3B8EB" w14:textId="36B67B03"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180" w:type="pct"/>
            <w:shd w:val="clear" w:color="auto" w:fill="009D73"/>
            <w:vAlign w:val="center"/>
          </w:tcPr>
          <w:p w14:paraId="74F9C218"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2C9811CC"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54" w:type="pct"/>
            <w:shd w:val="clear" w:color="auto" w:fill="009D73"/>
            <w:vAlign w:val="center"/>
          </w:tcPr>
          <w:p w14:paraId="60EF9B58"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4C556CEB" w14:textId="77777777" w:rsidTr="00B6017F">
        <w:trPr>
          <w:trHeight w:val="567"/>
          <w:jc w:val="center"/>
        </w:trPr>
        <w:tc>
          <w:tcPr>
            <w:tcW w:w="1412" w:type="pct"/>
            <w:vMerge/>
            <w:shd w:val="clear" w:color="auto" w:fill="009D73"/>
            <w:vAlign w:val="center"/>
          </w:tcPr>
          <w:p w14:paraId="7AF9472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154" w:type="pct"/>
            <w:shd w:val="clear" w:color="auto" w:fill="FFFFFF"/>
            <w:vAlign w:val="center"/>
          </w:tcPr>
          <w:p w14:paraId="482C16D6" w14:textId="77777777" w:rsidR="00A8050D" w:rsidRPr="007C4D65" w:rsidRDefault="00A8050D">
            <w:pPr>
              <w:pStyle w:val="ListParagraph"/>
              <w:numPr>
                <w:ilvl w:val="0"/>
                <w:numId w:val="136"/>
              </w:numPr>
              <w:spacing w:before="40" w:after="40" w:line="276" w:lineRule="auto"/>
              <w:ind w:left="254" w:hanging="254"/>
              <w:rPr>
                <w:rFonts w:asciiTheme="minorHAnsi" w:eastAsia="Calibri" w:hAnsiTheme="minorHAnsi" w:cstheme="minorHAnsi"/>
                <w:sz w:val="18"/>
                <w:szCs w:val="18"/>
              </w:rPr>
            </w:pPr>
            <w:r w:rsidRPr="007C4D65">
              <w:rPr>
                <w:rFonts w:asciiTheme="minorHAnsi" w:hAnsiTheme="minorHAnsi" w:cstheme="minorHAnsi"/>
                <w:sz w:val="18"/>
                <w:szCs w:val="18"/>
              </w:rPr>
              <w:t xml:space="preserve">Completeness of the legal framework for implementation of the Kigali Amendment, Regulation </w:t>
            </w:r>
            <w:r w:rsidRPr="007C4D65">
              <w:rPr>
                <w:rFonts w:asciiTheme="minorHAnsi" w:hAnsiTheme="minorHAnsi" w:cstheme="minorHAnsi"/>
                <w:sz w:val="18"/>
                <w:szCs w:val="18"/>
              </w:rPr>
              <w:lastRenderedPageBreak/>
              <w:t>EC 517/2014 on certain fluorinated greenhouse gases in terms of managing ozone layer depleting substances</w:t>
            </w:r>
          </w:p>
        </w:tc>
        <w:tc>
          <w:tcPr>
            <w:tcW w:w="1180" w:type="pct"/>
            <w:shd w:val="clear" w:color="auto" w:fill="FFFFFF"/>
            <w:vAlign w:val="center"/>
          </w:tcPr>
          <w:p w14:paraId="5E74DDE4" w14:textId="3D69FE68"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lastRenderedPageBreak/>
              <w:t>There is in force a Rulebook on gradual exclusion of ozone layer depleting substances (</w:t>
            </w:r>
            <w:r w:rsidR="007436F1" w:rsidRPr="007C4D65">
              <w:rPr>
                <w:rFonts w:asciiTheme="minorHAnsi" w:hAnsiTheme="minorHAnsi" w:cstheme="minorHAnsi"/>
                <w:sz w:val="18"/>
                <w:szCs w:val="18"/>
              </w:rPr>
              <w:t>“</w:t>
            </w:r>
            <w:r w:rsidRPr="007C4D65">
              <w:rPr>
                <w:rFonts w:asciiTheme="minorHAnsi" w:hAnsiTheme="minorHAnsi" w:cstheme="minorHAnsi"/>
                <w:sz w:val="18"/>
                <w:szCs w:val="18"/>
              </w:rPr>
              <w:t xml:space="preserve">Official Gazette of the </w:t>
            </w:r>
            <w:r w:rsidRPr="007C4D65">
              <w:rPr>
                <w:rFonts w:asciiTheme="minorHAnsi" w:hAnsiTheme="minorHAnsi" w:cstheme="minorHAnsi"/>
                <w:sz w:val="18"/>
                <w:szCs w:val="18"/>
              </w:rPr>
              <w:lastRenderedPageBreak/>
              <w:t>Federation of BiH</w:t>
            </w:r>
            <w:r w:rsidR="007436F1" w:rsidRPr="007C4D65">
              <w:rPr>
                <w:rFonts w:asciiTheme="minorHAnsi" w:hAnsiTheme="minorHAnsi" w:cstheme="minorHAnsi"/>
                <w:sz w:val="18"/>
                <w:szCs w:val="18"/>
              </w:rPr>
              <w:t>”</w:t>
            </w:r>
            <w:r w:rsidRPr="007C4D65">
              <w:rPr>
                <w:rFonts w:asciiTheme="minorHAnsi" w:hAnsiTheme="minorHAnsi" w:cstheme="minorHAnsi"/>
                <w:sz w:val="18"/>
                <w:szCs w:val="18"/>
              </w:rPr>
              <w:t>, 39/05) that needs to be aligned with requirements of the Kigali Amendment and the Regulation EC 517/2014</w:t>
            </w:r>
          </w:p>
        </w:tc>
        <w:tc>
          <w:tcPr>
            <w:tcW w:w="1254" w:type="pct"/>
            <w:shd w:val="clear" w:color="auto" w:fill="FFFFFF"/>
            <w:vAlign w:val="center"/>
          </w:tcPr>
          <w:p w14:paraId="44715EF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Adopted Rulebook on Ozone Depleting Substances management (2024)</w:t>
            </w:r>
          </w:p>
        </w:tc>
      </w:tr>
      <w:tr w:rsidR="00A8050D" w:rsidRPr="007C4D65" w14:paraId="178EF1A1" w14:textId="77777777" w:rsidTr="00B6017F">
        <w:trPr>
          <w:trHeight w:val="567"/>
          <w:jc w:val="center"/>
        </w:trPr>
        <w:tc>
          <w:tcPr>
            <w:tcW w:w="1412" w:type="pct"/>
            <w:vMerge/>
            <w:shd w:val="clear" w:color="auto" w:fill="009D73"/>
            <w:vAlign w:val="center"/>
          </w:tcPr>
          <w:p w14:paraId="044053E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154" w:type="pct"/>
            <w:shd w:val="clear" w:color="auto" w:fill="FFFFFF"/>
            <w:vAlign w:val="center"/>
          </w:tcPr>
          <w:p w14:paraId="32DEB6C8" w14:textId="77777777" w:rsidR="00A8050D" w:rsidRPr="007C4D65" w:rsidRDefault="00A8050D">
            <w:pPr>
              <w:pStyle w:val="ListParagraph"/>
              <w:numPr>
                <w:ilvl w:val="0"/>
                <w:numId w:val="136"/>
              </w:numPr>
              <w:spacing w:before="40" w:after="40" w:line="276" w:lineRule="auto"/>
              <w:ind w:left="254" w:hanging="254"/>
              <w:rPr>
                <w:rFonts w:asciiTheme="minorHAnsi" w:eastAsia="Calibri" w:hAnsiTheme="minorHAnsi" w:cstheme="minorHAnsi"/>
                <w:sz w:val="18"/>
                <w:szCs w:val="18"/>
              </w:rPr>
            </w:pPr>
            <w:r w:rsidRPr="007C4D65">
              <w:rPr>
                <w:rFonts w:asciiTheme="minorHAnsi" w:hAnsiTheme="minorHAnsi" w:cstheme="minorHAnsi"/>
                <w:sz w:val="18"/>
                <w:szCs w:val="18"/>
              </w:rPr>
              <w:t xml:space="preserve"> Completeness of legal framework for implementation of the requirements of the Kigali amendments and the Regulation EC 517/2014 in terms of establishing certification and training programme for entities and individuals involved in installation, servicing, maintenance, repairing or disposing of F-gases equipment</w:t>
            </w:r>
          </w:p>
        </w:tc>
        <w:tc>
          <w:tcPr>
            <w:tcW w:w="1180" w:type="pct"/>
            <w:shd w:val="clear" w:color="auto" w:fill="FFFFFF"/>
            <w:vAlign w:val="center"/>
          </w:tcPr>
          <w:p w14:paraId="2516DA8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There is no Rulebook that would regulate training of the servicemen in accordance with the training programmes aligned with the Regulation EC 517/2014 on establishing certification and training programme for entities and individuals involved in installation, servicing, maintenance, repairing or disposing of F-gases equipment</w:t>
            </w:r>
          </w:p>
        </w:tc>
        <w:tc>
          <w:tcPr>
            <w:tcW w:w="1254" w:type="pct"/>
            <w:shd w:val="clear" w:color="auto" w:fill="FFFFFF"/>
            <w:vAlign w:val="center"/>
          </w:tcPr>
          <w:p w14:paraId="78CACFB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Adopted legislation that enables training of servicemen in accordance with the training programme aligned with the Regulation EC 517/2014 on establishing certification and training programme for entities and individuals involved in installation, servicing, maintenance, repairing or disposing of F-gases equipment (2024.)</w:t>
            </w:r>
          </w:p>
        </w:tc>
      </w:tr>
      <w:tr w:rsidR="00A8050D" w:rsidRPr="007C4D65" w14:paraId="647D4AFD" w14:textId="77777777" w:rsidTr="00B6017F">
        <w:trPr>
          <w:trHeight w:val="567"/>
          <w:jc w:val="center"/>
        </w:trPr>
        <w:tc>
          <w:tcPr>
            <w:tcW w:w="1412" w:type="pct"/>
            <w:shd w:val="clear" w:color="auto" w:fill="009D73"/>
            <w:vAlign w:val="center"/>
          </w:tcPr>
          <w:p w14:paraId="61D85AA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588" w:type="pct"/>
            <w:gridSpan w:val="3"/>
            <w:shd w:val="clear" w:color="auto" w:fill="FFFFFF"/>
            <w:vAlign w:val="center"/>
          </w:tcPr>
          <w:p w14:paraId="441B4044"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Improved chemicals management</w:t>
            </w:r>
          </w:p>
        </w:tc>
      </w:tr>
      <w:tr w:rsidR="00A8050D" w:rsidRPr="007C4D65" w14:paraId="5A412364" w14:textId="77777777" w:rsidTr="00B6017F">
        <w:trPr>
          <w:trHeight w:val="567"/>
          <w:jc w:val="center"/>
        </w:trPr>
        <w:tc>
          <w:tcPr>
            <w:tcW w:w="1412" w:type="pct"/>
            <w:shd w:val="clear" w:color="auto" w:fill="009D73"/>
            <w:vAlign w:val="center"/>
          </w:tcPr>
          <w:p w14:paraId="35B2C76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588" w:type="pct"/>
            <w:gridSpan w:val="3"/>
            <w:shd w:val="clear" w:color="auto" w:fill="FFFFFF"/>
            <w:vAlign w:val="center"/>
          </w:tcPr>
          <w:p w14:paraId="26982E5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Amount: BAM 124,432 </w:t>
            </w:r>
          </w:p>
          <w:p w14:paraId="3737298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Source: 100% government budget</w:t>
            </w:r>
          </w:p>
        </w:tc>
      </w:tr>
      <w:tr w:rsidR="00A8050D" w:rsidRPr="007C4D65" w14:paraId="0D163D5A" w14:textId="77777777" w:rsidTr="00B6017F">
        <w:trPr>
          <w:trHeight w:val="567"/>
          <w:jc w:val="center"/>
        </w:trPr>
        <w:tc>
          <w:tcPr>
            <w:tcW w:w="1412" w:type="pct"/>
            <w:shd w:val="clear" w:color="auto" w:fill="009D73"/>
            <w:vAlign w:val="center"/>
          </w:tcPr>
          <w:p w14:paraId="0FF79D2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588" w:type="pct"/>
            <w:gridSpan w:val="3"/>
            <w:shd w:val="clear" w:color="auto" w:fill="FFFFFF"/>
            <w:vAlign w:val="center"/>
          </w:tcPr>
          <w:p w14:paraId="2953C0C0" w14:textId="26519F72"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2022-2024</w:t>
            </w:r>
          </w:p>
        </w:tc>
      </w:tr>
      <w:tr w:rsidR="00A8050D" w:rsidRPr="007C4D65" w14:paraId="0C84E4E3" w14:textId="77777777" w:rsidTr="00B6017F">
        <w:trPr>
          <w:trHeight w:val="567"/>
          <w:jc w:val="center"/>
        </w:trPr>
        <w:tc>
          <w:tcPr>
            <w:tcW w:w="1412" w:type="pct"/>
            <w:shd w:val="clear" w:color="auto" w:fill="009D73"/>
            <w:vAlign w:val="center"/>
          </w:tcPr>
          <w:p w14:paraId="293C50A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88" w:type="pct"/>
            <w:gridSpan w:val="3"/>
            <w:shd w:val="clear" w:color="auto" w:fill="FFFFFF"/>
            <w:vAlign w:val="center"/>
          </w:tcPr>
          <w:p w14:paraId="09EE0D6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FMET</w:t>
            </w:r>
          </w:p>
        </w:tc>
      </w:tr>
      <w:tr w:rsidR="00A8050D" w:rsidRPr="007C4D65" w14:paraId="66150767" w14:textId="77777777" w:rsidTr="00B6017F">
        <w:trPr>
          <w:trHeight w:val="567"/>
          <w:jc w:val="center"/>
        </w:trPr>
        <w:tc>
          <w:tcPr>
            <w:tcW w:w="1412" w:type="pct"/>
            <w:shd w:val="clear" w:color="auto" w:fill="009D73"/>
            <w:vAlign w:val="center"/>
          </w:tcPr>
          <w:p w14:paraId="614DA25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w:t>
            </w:r>
          </w:p>
        </w:tc>
        <w:tc>
          <w:tcPr>
            <w:tcW w:w="3588" w:type="pct"/>
            <w:gridSpan w:val="3"/>
            <w:shd w:val="clear" w:color="auto" w:fill="FFFFFF"/>
            <w:vAlign w:val="center"/>
          </w:tcPr>
          <w:p w14:paraId="7A59E78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FMET, Environmental Protection Fund of Federation of BiH</w:t>
            </w:r>
          </w:p>
        </w:tc>
      </w:tr>
      <w:tr w:rsidR="00A8050D" w:rsidRPr="007C4D65" w14:paraId="4329A425" w14:textId="77777777" w:rsidTr="00B6017F">
        <w:trPr>
          <w:trHeight w:val="567"/>
          <w:jc w:val="center"/>
        </w:trPr>
        <w:tc>
          <w:tcPr>
            <w:tcW w:w="1412" w:type="pct"/>
            <w:shd w:val="clear" w:color="auto" w:fill="009D73"/>
            <w:vAlign w:val="center"/>
          </w:tcPr>
          <w:p w14:paraId="4FC9EBEF" w14:textId="05322E87"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588" w:type="pct"/>
            <w:gridSpan w:val="3"/>
            <w:shd w:val="clear" w:color="auto" w:fill="FFFFFF"/>
            <w:vAlign w:val="center"/>
          </w:tcPr>
          <w:p w14:paraId="106D10C9" w14:textId="245E8CB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Operators of systems for heating, ventilation and air conditioning (HVAC), repairers/servicing shops for HVAC equipment, centres for training HVAC service workers</w:t>
            </w:r>
          </w:p>
        </w:tc>
      </w:tr>
    </w:tbl>
    <w:p w14:paraId="2F8AF0F7" w14:textId="77777777" w:rsidR="00A8050D" w:rsidRPr="007C4D65" w:rsidRDefault="00A8050D" w:rsidP="00A8050D">
      <w:pPr>
        <w:spacing w:line="276" w:lineRule="auto"/>
        <w:rPr>
          <w:rFonts w:asciiTheme="minorHAnsi" w:hAnsiTheme="minorHAnsi" w:cstheme="minorHAnsi"/>
          <w:sz w:val="18"/>
          <w:szCs w:val="18"/>
          <w:lang w:val="hr-HR"/>
        </w:rPr>
      </w:pPr>
    </w:p>
    <w:tbl>
      <w:tblPr>
        <w:tblW w:w="4854"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832"/>
        <w:gridCol w:w="2657"/>
        <w:gridCol w:w="3659"/>
        <w:gridCol w:w="3393"/>
      </w:tblGrid>
      <w:tr w:rsidR="00A8050D" w:rsidRPr="007C4D65" w14:paraId="3EE59380" w14:textId="77777777" w:rsidTr="00B6017F">
        <w:trPr>
          <w:trHeight w:val="567"/>
          <w:jc w:val="center"/>
        </w:trPr>
        <w:tc>
          <w:tcPr>
            <w:tcW w:w="141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04AFF30" w14:textId="7DCF03DC"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8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82C848A" w14:textId="0B23E2E1"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 </w:t>
            </w:r>
            <w:r w:rsidR="00206652" w:rsidRPr="007C4D65">
              <w:rPr>
                <w:rFonts w:asciiTheme="minorHAnsi" w:hAnsiTheme="minorHAnsi" w:cstheme="minorHAnsi"/>
                <w:b/>
                <w:sz w:val="18"/>
                <w:szCs w:val="18"/>
              </w:rPr>
              <w:t>Human health protection</w:t>
            </w:r>
            <w:r w:rsidRPr="007C4D65">
              <w:rPr>
                <w:rFonts w:asciiTheme="minorHAnsi" w:hAnsiTheme="minorHAnsi" w:cstheme="minorHAnsi"/>
                <w:b/>
                <w:sz w:val="18"/>
                <w:szCs w:val="18"/>
              </w:rPr>
              <w:t xml:space="preserve"> and improving well-being and quality of life for all</w:t>
            </w:r>
          </w:p>
        </w:tc>
      </w:tr>
      <w:tr w:rsidR="00A8050D" w:rsidRPr="007C4D65" w14:paraId="7427FA23" w14:textId="77777777" w:rsidTr="00B6017F">
        <w:trPr>
          <w:trHeight w:val="567"/>
          <w:jc w:val="center"/>
        </w:trPr>
        <w:tc>
          <w:tcPr>
            <w:tcW w:w="141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85876E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8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4D68137" w14:textId="3631CE5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5.2. </w:t>
            </w:r>
            <w:r w:rsidR="00735C68" w:rsidRPr="007C4D65">
              <w:rPr>
                <w:rFonts w:asciiTheme="minorHAnsi" w:hAnsiTheme="minorHAnsi" w:cstheme="minorHAnsi"/>
                <w:b/>
                <w:sz w:val="18"/>
                <w:szCs w:val="18"/>
              </w:rPr>
              <w:t xml:space="preserve">Establish a sustainable system of chemical management and implementation of EU acquis </w:t>
            </w:r>
            <w:proofErr w:type="gramStart"/>
            <w:r w:rsidR="00735C68" w:rsidRPr="007C4D65">
              <w:rPr>
                <w:rFonts w:asciiTheme="minorHAnsi" w:hAnsiTheme="minorHAnsi" w:cstheme="minorHAnsi"/>
                <w:b/>
                <w:sz w:val="18"/>
                <w:szCs w:val="18"/>
              </w:rPr>
              <w:t>in the area of</w:t>
            </w:r>
            <w:proofErr w:type="gramEnd"/>
            <w:r w:rsidR="00735C68" w:rsidRPr="007C4D65">
              <w:rPr>
                <w:rFonts w:asciiTheme="minorHAnsi" w:hAnsiTheme="minorHAnsi" w:cstheme="minorHAnsi"/>
                <w:b/>
                <w:sz w:val="18"/>
                <w:szCs w:val="18"/>
              </w:rPr>
              <w:t xml:space="preserve"> chemical safety</w:t>
            </w:r>
          </w:p>
        </w:tc>
      </w:tr>
      <w:tr w:rsidR="00A8050D" w:rsidRPr="007C4D65" w14:paraId="5D7C31F8" w14:textId="77777777" w:rsidTr="00B6017F">
        <w:trPr>
          <w:trHeight w:val="567"/>
          <w:jc w:val="center"/>
        </w:trPr>
        <w:tc>
          <w:tcPr>
            <w:tcW w:w="141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CB404C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Name of the Measure</w:t>
            </w:r>
          </w:p>
        </w:tc>
        <w:tc>
          <w:tcPr>
            <w:tcW w:w="358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1282E11" w14:textId="77777777"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5.2.1. Efficient implementation of legislation partially transposing EU acquis and conventions </w:t>
            </w:r>
            <w:proofErr w:type="gramStart"/>
            <w:r w:rsidRPr="007C4D65">
              <w:rPr>
                <w:rFonts w:asciiTheme="minorHAnsi" w:hAnsiTheme="minorHAnsi" w:cstheme="minorHAnsi"/>
                <w:b/>
                <w:sz w:val="18"/>
                <w:szCs w:val="18"/>
              </w:rPr>
              <w:t>in the area of</w:t>
            </w:r>
            <w:proofErr w:type="gramEnd"/>
            <w:r w:rsidRPr="007C4D65">
              <w:rPr>
                <w:rFonts w:asciiTheme="minorHAnsi" w:hAnsiTheme="minorHAnsi" w:cstheme="minorHAnsi"/>
                <w:b/>
                <w:sz w:val="18"/>
                <w:szCs w:val="18"/>
              </w:rPr>
              <w:t xml:space="preserve"> chemical safety  </w:t>
            </w:r>
          </w:p>
        </w:tc>
      </w:tr>
      <w:tr w:rsidR="00A8050D" w:rsidRPr="007C4D65" w14:paraId="595DFAE6" w14:textId="77777777" w:rsidTr="00B6017F">
        <w:trPr>
          <w:trHeight w:val="567"/>
          <w:jc w:val="center"/>
        </w:trPr>
        <w:tc>
          <w:tcPr>
            <w:tcW w:w="141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095D13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58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E88B1FB"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This measure aims to implement the legislation of the Federation of BiH that have been harmonized with requirements of U legislation and international agreements, as follows:</w:t>
            </w:r>
          </w:p>
          <w:p w14:paraId="2D20B317" w14:textId="0A83894A"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Regulation (EC) no. 1907 / 2006 (REACH</w:t>
            </w:r>
            <w:proofErr w:type="gramStart"/>
            <w:r w:rsidRPr="007C4D65">
              <w:rPr>
                <w:rFonts w:asciiTheme="minorHAnsi" w:hAnsiTheme="minorHAnsi" w:cstheme="minorHAnsi"/>
                <w:sz w:val="18"/>
                <w:szCs w:val="18"/>
              </w:rPr>
              <w:t>)</w:t>
            </w:r>
            <w:r w:rsidR="008C3DFC" w:rsidRPr="007C4D65">
              <w:rPr>
                <w:rFonts w:asciiTheme="minorHAnsi" w:eastAsia="Calibri" w:hAnsiTheme="minorHAnsi" w:cstheme="minorHAnsi"/>
                <w:sz w:val="18"/>
                <w:szCs w:val="18"/>
              </w:rPr>
              <w:t>;</w:t>
            </w:r>
            <w:proofErr w:type="gramEnd"/>
          </w:p>
          <w:p w14:paraId="5A835494" w14:textId="555F372F"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Regulation (EC) no. 1272/2008 (CLP Regulation</w:t>
            </w:r>
            <w:proofErr w:type="gramStart"/>
            <w:r w:rsidRPr="007C4D65">
              <w:rPr>
                <w:rFonts w:asciiTheme="minorHAnsi" w:hAnsiTheme="minorHAnsi" w:cstheme="minorHAnsi"/>
                <w:sz w:val="18"/>
                <w:szCs w:val="18"/>
              </w:rPr>
              <w:t>)</w:t>
            </w:r>
            <w:r w:rsidR="008C3DFC" w:rsidRPr="007C4D65">
              <w:rPr>
                <w:rFonts w:asciiTheme="minorHAnsi" w:hAnsiTheme="minorHAnsi" w:cstheme="minorHAnsi"/>
                <w:sz w:val="18"/>
                <w:szCs w:val="18"/>
              </w:rPr>
              <w:t>;</w:t>
            </w:r>
            <w:proofErr w:type="gramEnd"/>
          </w:p>
          <w:p w14:paraId="7B50A471" w14:textId="32103349"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 Regulation (EC) no. 648/2004 on </w:t>
            </w:r>
            <w:proofErr w:type="gramStart"/>
            <w:r w:rsidRPr="007C4D65">
              <w:rPr>
                <w:rFonts w:asciiTheme="minorHAnsi" w:hAnsiTheme="minorHAnsi" w:cstheme="minorHAnsi"/>
                <w:sz w:val="18"/>
                <w:szCs w:val="18"/>
              </w:rPr>
              <w:t>detergents</w:t>
            </w:r>
            <w:r w:rsidR="008C3DFC" w:rsidRPr="007C4D65">
              <w:rPr>
                <w:rFonts w:asciiTheme="minorHAnsi" w:hAnsiTheme="minorHAnsi" w:cstheme="minorHAnsi"/>
                <w:sz w:val="18"/>
                <w:szCs w:val="18"/>
              </w:rPr>
              <w:t>;</w:t>
            </w:r>
            <w:proofErr w:type="gramEnd"/>
          </w:p>
          <w:p w14:paraId="5FC17025" w14:textId="4C11687B"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Regulation (EU) no. 649/2012, concerning the export and import of hazardous chemicals and Rotterdam </w:t>
            </w:r>
            <w:proofErr w:type="gramStart"/>
            <w:r w:rsidRPr="007C4D65">
              <w:rPr>
                <w:rFonts w:asciiTheme="minorHAnsi" w:hAnsiTheme="minorHAnsi" w:cstheme="minorHAnsi"/>
                <w:sz w:val="18"/>
                <w:szCs w:val="18"/>
              </w:rPr>
              <w:t>Convention</w:t>
            </w:r>
            <w:r w:rsidR="008C3DFC" w:rsidRPr="007C4D65">
              <w:rPr>
                <w:rFonts w:asciiTheme="minorHAnsi" w:eastAsia="Calibri" w:hAnsiTheme="minorHAnsi" w:cstheme="minorHAnsi"/>
                <w:sz w:val="18"/>
                <w:szCs w:val="18"/>
              </w:rPr>
              <w:t>;</w:t>
            </w:r>
            <w:proofErr w:type="gramEnd"/>
          </w:p>
          <w:p w14:paraId="1AF82744" w14:textId="412F79C4"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 Regulation (EU) 2019/1021 on POPs chemicals and the Stockholm </w:t>
            </w:r>
            <w:proofErr w:type="gramStart"/>
            <w:r w:rsidRPr="007C4D65">
              <w:rPr>
                <w:rFonts w:asciiTheme="minorHAnsi" w:hAnsiTheme="minorHAnsi" w:cstheme="minorHAnsi"/>
                <w:sz w:val="18"/>
                <w:szCs w:val="18"/>
              </w:rPr>
              <w:t>Convention</w:t>
            </w:r>
            <w:r w:rsidR="008C3DFC" w:rsidRPr="007C4D65">
              <w:rPr>
                <w:rFonts w:asciiTheme="minorHAnsi" w:hAnsiTheme="minorHAnsi" w:cstheme="minorHAnsi"/>
                <w:sz w:val="18"/>
                <w:szCs w:val="18"/>
              </w:rPr>
              <w:t>;</w:t>
            </w:r>
            <w:proofErr w:type="gramEnd"/>
          </w:p>
          <w:p w14:paraId="3D071DCA" w14:textId="3F3C38B3"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Directive 2004/10/EC relating to the application of the principles of good laboratory </w:t>
            </w:r>
            <w:proofErr w:type="gramStart"/>
            <w:r w:rsidRPr="007C4D65">
              <w:rPr>
                <w:rFonts w:asciiTheme="minorHAnsi" w:hAnsiTheme="minorHAnsi" w:cstheme="minorHAnsi"/>
                <w:sz w:val="18"/>
                <w:szCs w:val="18"/>
              </w:rPr>
              <w:t>practice</w:t>
            </w:r>
            <w:r w:rsidR="008C3DFC" w:rsidRPr="007C4D65">
              <w:rPr>
                <w:rFonts w:asciiTheme="minorHAnsi" w:eastAsia="Calibri" w:hAnsiTheme="minorHAnsi" w:cstheme="minorHAnsi"/>
                <w:sz w:val="18"/>
                <w:szCs w:val="18"/>
              </w:rPr>
              <w:t>;</w:t>
            </w:r>
            <w:proofErr w:type="gramEnd"/>
          </w:p>
          <w:p w14:paraId="550EB02A" w14:textId="04580E76"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Regulation (EU) no. 528/2012 concerning the making available in the market and use of biocidal </w:t>
            </w:r>
            <w:proofErr w:type="gramStart"/>
            <w:r w:rsidRPr="007C4D65">
              <w:rPr>
                <w:rFonts w:asciiTheme="minorHAnsi" w:hAnsiTheme="minorHAnsi" w:cstheme="minorHAnsi"/>
                <w:sz w:val="18"/>
                <w:szCs w:val="18"/>
              </w:rPr>
              <w:t>products</w:t>
            </w:r>
            <w:r w:rsidR="008C3DFC" w:rsidRPr="007C4D65">
              <w:rPr>
                <w:rFonts w:asciiTheme="minorHAnsi" w:hAnsiTheme="minorHAnsi" w:cstheme="minorHAnsi"/>
                <w:sz w:val="18"/>
                <w:szCs w:val="18"/>
              </w:rPr>
              <w:t>;</w:t>
            </w:r>
            <w:proofErr w:type="gramEnd"/>
          </w:p>
          <w:p w14:paraId="2F8916AC" w14:textId="1615F5B3"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 EU Directive 87/217/EEC on the prevention and reduction of environmental pollution by </w:t>
            </w:r>
            <w:proofErr w:type="gramStart"/>
            <w:r w:rsidRPr="007C4D65">
              <w:rPr>
                <w:rFonts w:asciiTheme="minorHAnsi" w:hAnsiTheme="minorHAnsi" w:cstheme="minorHAnsi"/>
                <w:sz w:val="18"/>
                <w:szCs w:val="18"/>
              </w:rPr>
              <w:t>asbestos</w:t>
            </w:r>
            <w:r w:rsidR="008C3DFC" w:rsidRPr="007C4D65">
              <w:rPr>
                <w:rFonts w:asciiTheme="minorHAnsi" w:hAnsiTheme="minorHAnsi" w:cstheme="minorHAnsi"/>
                <w:sz w:val="18"/>
                <w:szCs w:val="18"/>
              </w:rPr>
              <w:t>;</w:t>
            </w:r>
            <w:proofErr w:type="gramEnd"/>
          </w:p>
          <w:p w14:paraId="39378F0A" w14:textId="637F8BC6"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Regulation (EU) 2017/852 o mercury, as well as the Minamata convention.</w:t>
            </w:r>
          </w:p>
          <w:p w14:paraId="23774235" w14:textId="2F220A2A"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General areas of intervention:</w:t>
            </w:r>
          </w:p>
          <w:p w14:paraId="3133C159" w14:textId="47ECC1ED" w:rsidR="00A8050D" w:rsidRPr="007C4D65" w:rsidRDefault="00A8050D">
            <w:pPr>
              <w:pStyle w:val="ListParagraph"/>
              <w:numPr>
                <w:ilvl w:val="0"/>
                <w:numId w:val="172"/>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Efficient implementation of the Law on Chemicals and secondary legislation stemming from it (reporting, evaluation and issuing approval</w:t>
            </w:r>
            <w:proofErr w:type="gramStart"/>
            <w:r w:rsidRPr="007C4D65">
              <w:rPr>
                <w:rFonts w:asciiTheme="minorHAnsi" w:hAnsiTheme="minorHAnsi" w:cstheme="minorHAnsi"/>
                <w:sz w:val="18"/>
                <w:szCs w:val="18"/>
              </w:rPr>
              <w:t>)</w:t>
            </w:r>
            <w:r w:rsidR="008C3DFC" w:rsidRPr="007C4D65">
              <w:rPr>
                <w:rFonts w:asciiTheme="minorHAnsi" w:eastAsia="Calibri" w:hAnsiTheme="minorHAnsi" w:cstheme="minorHAnsi"/>
                <w:sz w:val="18"/>
                <w:szCs w:val="18"/>
              </w:rPr>
              <w:t>;</w:t>
            </w:r>
            <w:proofErr w:type="gramEnd"/>
          </w:p>
          <w:p w14:paraId="298D41DC" w14:textId="60D884AD" w:rsidR="00A8050D" w:rsidRPr="007C4D65" w:rsidRDefault="00A8050D">
            <w:pPr>
              <w:pStyle w:val="ListParagraph"/>
              <w:numPr>
                <w:ilvl w:val="0"/>
                <w:numId w:val="172"/>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Efficient implementation of the Law on Biocides and secondary legislation stemming from it (reporting, evaluation and issuing approval</w:t>
            </w:r>
            <w:proofErr w:type="gramStart"/>
            <w:r w:rsidRPr="007C4D65">
              <w:rPr>
                <w:rFonts w:asciiTheme="minorHAnsi" w:hAnsiTheme="minorHAnsi" w:cstheme="minorHAnsi"/>
                <w:sz w:val="18"/>
                <w:szCs w:val="18"/>
              </w:rPr>
              <w:t>)</w:t>
            </w:r>
            <w:r w:rsidR="008C3DFC" w:rsidRPr="007C4D65">
              <w:rPr>
                <w:rFonts w:asciiTheme="minorHAnsi" w:hAnsiTheme="minorHAnsi" w:cstheme="minorHAnsi"/>
                <w:sz w:val="18"/>
                <w:szCs w:val="18"/>
              </w:rPr>
              <w:t>;</w:t>
            </w:r>
            <w:proofErr w:type="gramEnd"/>
          </w:p>
          <w:p w14:paraId="2B245630" w14:textId="6D66CA0B" w:rsidR="00A8050D" w:rsidRPr="007C4D65" w:rsidRDefault="00A8050D">
            <w:pPr>
              <w:pStyle w:val="ListParagraph"/>
              <w:numPr>
                <w:ilvl w:val="0"/>
                <w:numId w:val="172"/>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Establishing a </w:t>
            </w:r>
            <w:r w:rsidRPr="007C4D65">
              <w:rPr>
                <w:rFonts w:asciiTheme="minorHAnsi" w:hAnsiTheme="minorHAnsi" w:cstheme="minorHAnsi"/>
                <w:i/>
                <w:sz w:val="18"/>
                <w:szCs w:val="18"/>
              </w:rPr>
              <w:t>helpdesk</w:t>
            </w:r>
            <w:r w:rsidRPr="007C4D65">
              <w:rPr>
                <w:rFonts w:asciiTheme="minorHAnsi" w:hAnsiTheme="minorHAnsi" w:cstheme="minorHAnsi"/>
                <w:sz w:val="18"/>
                <w:szCs w:val="18"/>
              </w:rPr>
              <w:t xml:space="preserve"> to assist the businesses in meeting their legal obligation to report </w:t>
            </w:r>
            <w:proofErr w:type="gramStart"/>
            <w:r w:rsidRPr="007C4D65">
              <w:rPr>
                <w:rFonts w:asciiTheme="minorHAnsi" w:hAnsiTheme="minorHAnsi" w:cstheme="minorHAnsi"/>
                <w:sz w:val="18"/>
                <w:szCs w:val="18"/>
              </w:rPr>
              <w:t>chemicals</w:t>
            </w:r>
            <w:r w:rsidR="008C3DFC" w:rsidRPr="007C4D65">
              <w:rPr>
                <w:rFonts w:asciiTheme="minorHAnsi" w:eastAsia="Calibri" w:hAnsiTheme="minorHAnsi" w:cstheme="minorHAnsi"/>
                <w:sz w:val="18"/>
                <w:szCs w:val="18"/>
              </w:rPr>
              <w:t>;</w:t>
            </w:r>
            <w:proofErr w:type="gramEnd"/>
          </w:p>
          <w:p w14:paraId="2C0B2AEF" w14:textId="6E41C975" w:rsidR="00A8050D" w:rsidRPr="007C4D65" w:rsidRDefault="00A8050D">
            <w:pPr>
              <w:pStyle w:val="ListParagraph"/>
              <w:numPr>
                <w:ilvl w:val="0"/>
                <w:numId w:val="172"/>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Established IT tool for effective maintenance of chemicals inventory and the list of biocides that will allow for statistical processing of </w:t>
            </w:r>
            <w:proofErr w:type="gramStart"/>
            <w:r w:rsidRPr="007C4D65">
              <w:rPr>
                <w:rFonts w:asciiTheme="minorHAnsi" w:hAnsiTheme="minorHAnsi" w:cstheme="minorHAnsi"/>
                <w:sz w:val="18"/>
                <w:szCs w:val="18"/>
              </w:rPr>
              <w:t>data</w:t>
            </w:r>
            <w:r w:rsidR="00622C5C" w:rsidRPr="007C4D65">
              <w:rPr>
                <w:rFonts w:asciiTheme="minorHAnsi" w:eastAsia="Calibri" w:hAnsiTheme="minorHAnsi" w:cstheme="minorHAnsi"/>
                <w:sz w:val="18"/>
                <w:szCs w:val="18"/>
              </w:rPr>
              <w:t>;</w:t>
            </w:r>
            <w:proofErr w:type="gramEnd"/>
          </w:p>
          <w:p w14:paraId="437ACED8" w14:textId="6CDA7175" w:rsidR="00A8050D" w:rsidRPr="007C4D65" w:rsidRDefault="00A8050D">
            <w:pPr>
              <w:pStyle w:val="ListParagraph"/>
              <w:numPr>
                <w:ilvl w:val="0"/>
                <w:numId w:val="172"/>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Establish inspection oversight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chemical safety</w:t>
            </w:r>
            <w:r w:rsidR="00622C5C" w:rsidRPr="007C4D65">
              <w:rPr>
                <w:rFonts w:asciiTheme="minorHAnsi" w:hAnsiTheme="minorHAnsi" w:cstheme="minorHAnsi"/>
                <w:sz w:val="18"/>
                <w:szCs w:val="18"/>
              </w:rPr>
              <w:t>.</w:t>
            </w:r>
          </w:p>
        </w:tc>
      </w:tr>
      <w:tr w:rsidR="00A8050D" w:rsidRPr="007C4D65" w14:paraId="391916A1" w14:textId="77777777" w:rsidTr="00B6017F">
        <w:trPr>
          <w:trHeight w:val="567"/>
          <w:jc w:val="center"/>
        </w:trPr>
        <w:tc>
          <w:tcPr>
            <w:tcW w:w="141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56F3FD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Strategic projects</w:t>
            </w:r>
          </w:p>
        </w:tc>
        <w:tc>
          <w:tcPr>
            <w:tcW w:w="3585"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7F1FA3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1AC119A7" w14:textId="77777777" w:rsidTr="00B6017F">
        <w:trPr>
          <w:trHeight w:val="567"/>
          <w:jc w:val="center"/>
        </w:trPr>
        <w:tc>
          <w:tcPr>
            <w:tcW w:w="1415"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1285E1A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98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52D8760"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2EAF35F5" w14:textId="581B50E5"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35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2B5C7CE"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62BEEE78"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5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1CF5A1E"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3750ED25" w14:textId="77777777" w:rsidTr="00B6017F">
        <w:trPr>
          <w:trHeight w:val="567"/>
          <w:jc w:val="center"/>
        </w:trPr>
        <w:tc>
          <w:tcPr>
            <w:tcW w:w="141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7D01CC9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98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912D483" w14:textId="77777777" w:rsidR="00A8050D" w:rsidRPr="007C4D65" w:rsidRDefault="00A8050D">
            <w:pPr>
              <w:pStyle w:val="ListParagraph"/>
              <w:numPr>
                <w:ilvl w:val="0"/>
                <w:numId w:val="137"/>
              </w:numPr>
              <w:spacing w:before="40" w:after="40" w:line="276" w:lineRule="auto"/>
              <w:ind w:left="254" w:hanging="254"/>
              <w:rPr>
                <w:rFonts w:asciiTheme="minorHAnsi" w:eastAsia="Calibri" w:hAnsiTheme="minorHAnsi" w:cstheme="minorHAnsi"/>
                <w:sz w:val="18"/>
                <w:szCs w:val="18"/>
              </w:rPr>
            </w:pPr>
            <w:r w:rsidRPr="007C4D65">
              <w:rPr>
                <w:rFonts w:asciiTheme="minorHAnsi" w:hAnsiTheme="minorHAnsi" w:cstheme="minorHAnsi"/>
                <w:sz w:val="18"/>
                <w:szCs w:val="18"/>
              </w:rPr>
              <w:t>Efficiency in implementation of the Law on Chemicals</w:t>
            </w:r>
          </w:p>
        </w:tc>
        <w:tc>
          <w:tcPr>
            <w:tcW w:w="135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26F71A4" w14:textId="133F7B56"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Chemical safety strategy has not been developed or adopted There is no developed system of inventorying chemicals, and there is no registration of importers of chemicals Secondary legislation (bylaw) that ensures fair trade with chemicals for commercial entities </w:t>
            </w:r>
            <w:r w:rsidRPr="007C4D65">
              <w:rPr>
                <w:rFonts w:asciiTheme="minorHAnsi" w:hAnsiTheme="minorHAnsi" w:cstheme="minorHAnsi"/>
                <w:sz w:val="18"/>
                <w:szCs w:val="18"/>
              </w:rPr>
              <w:lastRenderedPageBreak/>
              <w:t>from Federation of BiH in the whole BiH has not yet been adopted</w:t>
            </w:r>
          </w:p>
          <w:p w14:paraId="3867886E" w14:textId="056B400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There is no established inspection oversight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chemical management</w:t>
            </w:r>
          </w:p>
          <w:p w14:paraId="76E9B481" w14:textId="28E7B2A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Training plan and programme for advisors for chemicals is not prescribed. Conditions for performance of tasks of advisors for chemicals have not been specified</w:t>
            </w:r>
          </w:p>
        </w:tc>
        <w:tc>
          <w:tcPr>
            <w:tcW w:w="1252"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EBEC32D" w14:textId="5BBD88DB"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 Development and adoption of chemical safety strategy</w:t>
            </w:r>
          </w:p>
          <w:p w14:paraId="7752A18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Established system of registration of chemicals, evaluation, and issuing approval</w:t>
            </w:r>
          </w:p>
          <w:p w14:paraId="380BFF4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 Developed and regularly updated Inventory of Chemicals</w:t>
            </w:r>
          </w:p>
          <w:p w14:paraId="3F4D200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Developed and regularly updated Registry of Producers and Importers of chemicals</w:t>
            </w:r>
          </w:p>
          <w:p w14:paraId="0B2576F3" w14:textId="33D92D5A" w:rsidR="00A8050D" w:rsidRPr="007C4D65" w:rsidRDefault="00A8050D" w:rsidP="00622C5C">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Developed training plan and programme for the advisors for chemical and their continuous education</w:t>
            </w:r>
            <w:r w:rsidR="00622C5C" w:rsidRPr="007C4D65">
              <w:rPr>
                <w:rFonts w:asciiTheme="minorHAnsi" w:hAnsiTheme="minorHAnsi" w:cstheme="minorHAnsi"/>
                <w:sz w:val="18"/>
                <w:szCs w:val="18"/>
              </w:rPr>
              <w:t xml:space="preserve"> </w:t>
            </w:r>
            <w:r w:rsidRPr="007C4D65">
              <w:rPr>
                <w:rFonts w:asciiTheme="minorHAnsi" w:hAnsiTheme="minorHAnsi" w:cstheme="minorHAnsi"/>
                <w:sz w:val="18"/>
                <w:szCs w:val="18"/>
              </w:rPr>
              <w:t>(2024)</w:t>
            </w:r>
          </w:p>
        </w:tc>
      </w:tr>
      <w:tr w:rsidR="00A8050D" w:rsidRPr="007C4D65" w14:paraId="62B9E63A" w14:textId="77777777" w:rsidTr="00B6017F">
        <w:trPr>
          <w:trHeight w:val="567"/>
          <w:jc w:val="center"/>
        </w:trPr>
        <w:tc>
          <w:tcPr>
            <w:tcW w:w="141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6A6660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98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8A40BBB" w14:textId="77777777" w:rsidR="00A8050D" w:rsidRPr="007C4D65" w:rsidRDefault="00A8050D">
            <w:pPr>
              <w:pStyle w:val="ListParagraph"/>
              <w:numPr>
                <w:ilvl w:val="0"/>
                <w:numId w:val="137"/>
              </w:numPr>
              <w:spacing w:before="40" w:after="40" w:line="276" w:lineRule="auto"/>
              <w:ind w:left="254" w:hanging="254"/>
              <w:rPr>
                <w:rFonts w:asciiTheme="minorHAnsi" w:eastAsia="Calibri" w:hAnsiTheme="minorHAnsi" w:cstheme="minorHAnsi"/>
                <w:sz w:val="18"/>
                <w:szCs w:val="18"/>
              </w:rPr>
            </w:pPr>
            <w:r w:rsidRPr="007C4D65">
              <w:rPr>
                <w:rFonts w:asciiTheme="minorHAnsi" w:hAnsiTheme="minorHAnsi" w:cstheme="minorHAnsi"/>
                <w:sz w:val="18"/>
                <w:szCs w:val="18"/>
              </w:rPr>
              <w:t>Efficiency in implementation of the Law on Biocides</w:t>
            </w:r>
          </w:p>
        </w:tc>
        <w:tc>
          <w:tcPr>
            <w:tcW w:w="135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862D6D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Law on Biocides has not been developed It is expected that the content of the Law would be harmonised with the law that is in force in </w:t>
            </w:r>
            <w:proofErr w:type="spellStart"/>
            <w:r w:rsidRPr="007C4D65">
              <w:rPr>
                <w:rFonts w:asciiTheme="minorHAnsi" w:hAnsiTheme="minorHAnsi" w:cstheme="minorHAnsi"/>
                <w:sz w:val="18"/>
                <w:szCs w:val="18"/>
              </w:rPr>
              <w:t>Republika</w:t>
            </w:r>
            <w:proofErr w:type="spellEnd"/>
            <w:r w:rsidRPr="007C4D65">
              <w:rPr>
                <w:rFonts w:asciiTheme="minorHAnsi" w:hAnsiTheme="minorHAnsi" w:cstheme="minorHAnsi"/>
                <w:sz w:val="18"/>
                <w:szCs w:val="18"/>
              </w:rPr>
              <w:t xml:space="preserve"> Srpska, and its effective implementation would require an inventory of biocidal products and registry of biocide producers and importers</w:t>
            </w:r>
          </w:p>
        </w:tc>
        <w:tc>
          <w:tcPr>
            <w:tcW w:w="1252"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2D8714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Established system of registration of chemicals, evaluation, and issuing approval</w:t>
            </w:r>
          </w:p>
          <w:p w14:paraId="047FCBE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Developed and regularly updated Inventory of Biocides</w:t>
            </w:r>
          </w:p>
          <w:p w14:paraId="35BF0FF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Developed and regularly updated Registry of Producers and Importers of biocides</w:t>
            </w:r>
          </w:p>
          <w:p w14:paraId="7DD4AB3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(2026)</w:t>
            </w:r>
          </w:p>
        </w:tc>
      </w:tr>
      <w:tr w:rsidR="00A8050D" w:rsidRPr="007C4D65" w14:paraId="26086886" w14:textId="77777777" w:rsidTr="00B6017F">
        <w:trPr>
          <w:trHeight w:val="567"/>
          <w:jc w:val="center"/>
        </w:trPr>
        <w:tc>
          <w:tcPr>
            <w:tcW w:w="1415"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10C2193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98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14DF3CE" w14:textId="77777777" w:rsidR="00A8050D" w:rsidRPr="007C4D65" w:rsidRDefault="00A8050D">
            <w:pPr>
              <w:pStyle w:val="ListParagraph"/>
              <w:numPr>
                <w:ilvl w:val="0"/>
                <w:numId w:val="137"/>
              </w:numPr>
              <w:spacing w:before="40" w:after="40" w:line="276" w:lineRule="auto"/>
              <w:ind w:left="254" w:hanging="254"/>
              <w:rPr>
                <w:rFonts w:asciiTheme="minorHAnsi" w:eastAsia="Calibri" w:hAnsiTheme="minorHAnsi" w:cstheme="minorHAnsi"/>
                <w:sz w:val="18"/>
                <w:szCs w:val="18"/>
              </w:rPr>
            </w:pPr>
            <w:r w:rsidRPr="007C4D65">
              <w:rPr>
                <w:rFonts w:asciiTheme="minorHAnsi" w:hAnsiTheme="minorHAnsi" w:cstheme="minorHAnsi"/>
                <w:sz w:val="18"/>
                <w:szCs w:val="18"/>
              </w:rPr>
              <w:t xml:space="preserve">Status of establishing </w:t>
            </w:r>
            <w:r w:rsidRPr="007C4D65">
              <w:rPr>
                <w:rFonts w:asciiTheme="minorHAnsi" w:hAnsiTheme="minorHAnsi" w:cstheme="minorHAnsi"/>
                <w:i/>
                <w:iCs/>
                <w:sz w:val="18"/>
                <w:szCs w:val="18"/>
              </w:rPr>
              <w:t>help desk</w:t>
            </w:r>
            <w:r w:rsidRPr="007C4D65">
              <w:rPr>
                <w:rFonts w:asciiTheme="minorHAnsi" w:hAnsiTheme="minorHAnsi" w:cstheme="minorHAnsi"/>
                <w:sz w:val="18"/>
                <w:szCs w:val="18"/>
              </w:rPr>
              <w:t xml:space="preserve"> or contact person/institution for helping businesses to meet legal basis to report chemicals</w:t>
            </w:r>
          </w:p>
        </w:tc>
        <w:tc>
          <w:tcPr>
            <w:tcW w:w="135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68EC86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The </w:t>
            </w:r>
            <w:proofErr w:type="gramStart"/>
            <w:r w:rsidRPr="007C4D65">
              <w:rPr>
                <w:rFonts w:asciiTheme="minorHAnsi" w:hAnsiTheme="minorHAnsi" w:cstheme="minorHAnsi"/>
                <w:sz w:val="18"/>
                <w:szCs w:val="18"/>
              </w:rPr>
              <w:t>help-desk</w:t>
            </w:r>
            <w:proofErr w:type="gramEnd"/>
            <w:r w:rsidRPr="007C4D65">
              <w:rPr>
                <w:rFonts w:asciiTheme="minorHAnsi" w:hAnsiTheme="minorHAnsi" w:cstheme="minorHAnsi"/>
                <w:sz w:val="18"/>
                <w:szCs w:val="18"/>
              </w:rPr>
              <w:t xml:space="preserve"> i.e. contact number and e-mail the business entities may call when they need help to meet legal obligation of reporting the chemical has not been established</w:t>
            </w:r>
          </w:p>
        </w:tc>
        <w:tc>
          <w:tcPr>
            <w:tcW w:w="1252"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EAA00F6"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Establishing the </w:t>
            </w:r>
            <w:proofErr w:type="gramStart"/>
            <w:r w:rsidRPr="007C4D65">
              <w:rPr>
                <w:rFonts w:asciiTheme="minorHAnsi" w:hAnsiTheme="minorHAnsi" w:cstheme="minorHAnsi"/>
                <w:sz w:val="18"/>
                <w:szCs w:val="18"/>
              </w:rPr>
              <w:t>help-desk</w:t>
            </w:r>
            <w:proofErr w:type="gramEnd"/>
            <w:r w:rsidRPr="007C4D65">
              <w:rPr>
                <w:rFonts w:asciiTheme="minorHAnsi" w:hAnsiTheme="minorHAnsi" w:cstheme="minorHAnsi"/>
                <w:sz w:val="18"/>
                <w:szCs w:val="18"/>
              </w:rPr>
              <w:t xml:space="preserve"> for helping businesses meet their legal obligation to report the chemicals (2023)</w:t>
            </w:r>
          </w:p>
          <w:p w14:paraId="6AF3CCE5" w14:textId="77777777" w:rsidR="00A8050D" w:rsidRPr="007C4D65" w:rsidRDefault="00A8050D" w:rsidP="00B6017F">
            <w:pPr>
              <w:spacing w:before="40" w:after="40" w:line="276" w:lineRule="auto"/>
              <w:rPr>
                <w:rFonts w:asciiTheme="minorHAnsi" w:hAnsiTheme="minorHAnsi" w:cstheme="minorHAnsi"/>
                <w:sz w:val="18"/>
                <w:szCs w:val="18"/>
                <w:lang w:val="hr-HR" w:bidi="en-US"/>
              </w:rPr>
            </w:pPr>
          </w:p>
        </w:tc>
      </w:tr>
      <w:tr w:rsidR="00A8050D" w:rsidRPr="007C4D65" w14:paraId="60FAFB2D" w14:textId="77777777" w:rsidTr="00B6017F">
        <w:trPr>
          <w:trHeight w:val="567"/>
          <w:jc w:val="center"/>
        </w:trPr>
        <w:tc>
          <w:tcPr>
            <w:tcW w:w="141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B9EB5E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98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2B5DF07" w14:textId="77777777" w:rsidR="00A8050D" w:rsidRPr="007C4D65" w:rsidRDefault="00A8050D">
            <w:pPr>
              <w:pStyle w:val="ListParagraph"/>
              <w:numPr>
                <w:ilvl w:val="0"/>
                <w:numId w:val="137"/>
              </w:numPr>
              <w:spacing w:before="40" w:after="40" w:line="276" w:lineRule="auto"/>
              <w:ind w:left="254" w:hanging="254"/>
              <w:rPr>
                <w:rFonts w:asciiTheme="minorHAnsi" w:eastAsia="Calibri" w:hAnsiTheme="minorHAnsi" w:cstheme="minorHAnsi"/>
                <w:sz w:val="18"/>
                <w:szCs w:val="18"/>
              </w:rPr>
            </w:pPr>
            <w:r w:rsidRPr="007C4D65">
              <w:rPr>
                <w:rFonts w:asciiTheme="minorHAnsi" w:hAnsiTheme="minorHAnsi" w:cstheme="minorHAnsi"/>
                <w:sz w:val="18"/>
                <w:szCs w:val="18"/>
              </w:rPr>
              <w:t xml:space="preserve">Systematic inventory of chemicals and biocides </w:t>
            </w:r>
          </w:p>
        </w:tc>
        <w:tc>
          <w:tcPr>
            <w:tcW w:w="135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639BD2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There is no adopted information tool that would enable simple entry of new data and regular updating of inventory of chemicals and biocides</w:t>
            </w:r>
          </w:p>
        </w:tc>
        <w:tc>
          <w:tcPr>
            <w:tcW w:w="1252"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01B3294"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Established IT tool for effective maintenance of chemicals inventory and a list of biocides that will allow for statistical processing of data</w:t>
            </w:r>
          </w:p>
          <w:p w14:paraId="6E703054" w14:textId="77777777" w:rsidR="00A8050D" w:rsidRPr="007C4D65" w:rsidRDefault="00A8050D" w:rsidP="00B6017F">
            <w:pPr>
              <w:spacing w:before="40" w:after="40" w:line="276" w:lineRule="auto"/>
              <w:rPr>
                <w:rFonts w:asciiTheme="minorHAnsi" w:hAnsiTheme="minorHAnsi" w:cstheme="minorHAnsi"/>
                <w:sz w:val="18"/>
                <w:szCs w:val="18"/>
                <w:lang w:val="hr-HR" w:bidi="en-US"/>
              </w:rPr>
            </w:pPr>
          </w:p>
        </w:tc>
      </w:tr>
      <w:tr w:rsidR="00A8050D" w:rsidRPr="007C4D65" w14:paraId="40DCE547" w14:textId="77777777" w:rsidTr="00B6017F">
        <w:trPr>
          <w:trHeight w:val="567"/>
          <w:jc w:val="center"/>
        </w:trPr>
        <w:tc>
          <w:tcPr>
            <w:tcW w:w="141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782E68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98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3D1D80E" w14:textId="77777777" w:rsidR="00A8050D" w:rsidRPr="007C4D65" w:rsidRDefault="00A8050D">
            <w:pPr>
              <w:pStyle w:val="ListParagraph"/>
              <w:numPr>
                <w:ilvl w:val="0"/>
                <w:numId w:val="137"/>
              </w:numPr>
              <w:spacing w:before="40" w:after="40" w:line="276" w:lineRule="auto"/>
              <w:ind w:left="254" w:hanging="254"/>
              <w:rPr>
                <w:rFonts w:asciiTheme="minorHAnsi" w:eastAsia="Calibri" w:hAnsiTheme="minorHAnsi" w:cstheme="minorHAnsi"/>
                <w:sz w:val="18"/>
                <w:szCs w:val="18"/>
              </w:rPr>
            </w:pPr>
            <w:r w:rsidRPr="007C4D65">
              <w:rPr>
                <w:rFonts w:asciiTheme="minorHAnsi" w:hAnsiTheme="minorHAnsi" w:cstheme="minorHAnsi"/>
                <w:sz w:val="18"/>
                <w:szCs w:val="18"/>
              </w:rPr>
              <w:t>Efficient control of implementation of legislation in the field of chemical safety</w:t>
            </w:r>
          </w:p>
        </w:tc>
        <w:tc>
          <w:tcPr>
            <w:tcW w:w="135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45A47D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Secondary legislation (bylaws) under the Law on Chemicals have not been developed, so there are no conditions in place for inspection oversight Law and secondary legislation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biocides management have not been established, so there are no conditions in place for inspection oversight</w:t>
            </w:r>
          </w:p>
        </w:tc>
        <w:tc>
          <w:tcPr>
            <w:tcW w:w="1252"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683944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Established inspection oversight and a registry of misdemeanour reports in the field of managing chemicals and biocides (2025)</w:t>
            </w:r>
          </w:p>
        </w:tc>
      </w:tr>
      <w:tr w:rsidR="00A8050D" w:rsidRPr="007C4D65" w14:paraId="01534EAF" w14:textId="77777777" w:rsidTr="00B6017F">
        <w:trPr>
          <w:trHeight w:val="567"/>
          <w:jc w:val="center"/>
        </w:trPr>
        <w:tc>
          <w:tcPr>
            <w:tcW w:w="141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5549B1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Developmental impact and contribution of the measure to achieving the priority</w:t>
            </w:r>
          </w:p>
        </w:tc>
        <w:tc>
          <w:tcPr>
            <w:tcW w:w="358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9CE104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Safer use of chemicals and protection of health of humans and environment</w:t>
            </w:r>
          </w:p>
        </w:tc>
      </w:tr>
      <w:tr w:rsidR="00A8050D" w:rsidRPr="007C4D65" w14:paraId="4D5C3127" w14:textId="77777777" w:rsidTr="00B6017F">
        <w:trPr>
          <w:trHeight w:val="567"/>
          <w:jc w:val="center"/>
        </w:trPr>
        <w:tc>
          <w:tcPr>
            <w:tcW w:w="141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3FE4FB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58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E44E589" w14:textId="2DAD9BAE"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1,351,451</w:t>
            </w:r>
          </w:p>
          <w:p w14:paraId="3426BE3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Source: 20% from the government budget, 80% </w:t>
            </w:r>
            <w:r w:rsidRPr="007C4D65">
              <w:rPr>
                <w:rFonts w:asciiTheme="minorHAnsi" w:eastAsia="Calibri" w:hAnsiTheme="minorHAnsi" w:cstheme="minorHAnsi"/>
                <w:sz w:val="18"/>
                <w:szCs w:val="18"/>
              </w:rPr>
              <w:t>combined ‒ loans, funds from EU and other international donors, and other donations</w:t>
            </w:r>
          </w:p>
        </w:tc>
      </w:tr>
      <w:tr w:rsidR="00A8050D" w:rsidRPr="007C4D65" w14:paraId="0F44B505" w14:textId="77777777" w:rsidTr="00B6017F">
        <w:trPr>
          <w:trHeight w:val="567"/>
          <w:jc w:val="center"/>
        </w:trPr>
        <w:tc>
          <w:tcPr>
            <w:tcW w:w="141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4D6719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58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1D0B88D" w14:textId="783A2EB6"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2024-2026</w:t>
            </w:r>
          </w:p>
        </w:tc>
      </w:tr>
      <w:tr w:rsidR="00A8050D" w:rsidRPr="007C4D65" w14:paraId="7310399A" w14:textId="77777777" w:rsidTr="00B6017F">
        <w:trPr>
          <w:trHeight w:val="567"/>
          <w:jc w:val="center"/>
        </w:trPr>
        <w:tc>
          <w:tcPr>
            <w:tcW w:w="141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9E1325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8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F55364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FMH</w:t>
            </w:r>
          </w:p>
        </w:tc>
      </w:tr>
      <w:tr w:rsidR="00A8050D" w:rsidRPr="007C4D65" w14:paraId="30DD669D" w14:textId="77777777" w:rsidTr="00B6017F">
        <w:trPr>
          <w:trHeight w:val="567"/>
          <w:jc w:val="center"/>
        </w:trPr>
        <w:tc>
          <w:tcPr>
            <w:tcW w:w="141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07EB3C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w:t>
            </w:r>
          </w:p>
        </w:tc>
        <w:tc>
          <w:tcPr>
            <w:tcW w:w="358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7C44D7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Federation of BiH Ministry of Health</w:t>
            </w:r>
          </w:p>
        </w:tc>
      </w:tr>
      <w:tr w:rsidR="00A8050D" w:rsidRPr="007C4D65" w14:paraId="4FB14796" w14:textId="77777777" w:rsidTr="00B6017F">
        <w:trPr>
          <w:trHeight w:val="567"/>
          <w:jc w:val="center"/>
        </w:trPr>
        <w:tc>
          <w:tcPr>
            <w:tcW w:w="141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8B66356" w14:textId="4A9F414F"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585"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80DACF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Commercial sector (imports/exports, transport, use of chemicals and products containing POPs, mercury and dangerous chemicals), representatives of institutions and citizens</w:t>
            </w:r>
          </w:p>
        </w:tc>
      </w:tr>
    </w:tbl>
    <w:p w14:paraId="5F1426BF" w14:textId="77777777" w:rsidR="00A8050D" w:rsidRPr="007C4D65" w:rsidRDefault="00A8050D" w:rsidP="00A8050D">
      <w:pPr>
        <w:spacing w:line="276" w:lineRule="auto"/>
        <w:rPr>
          <w:rFonts w:asciiTheme="minorHAnsi" w:hAnsiTheme="minorHAnsi" w:cstheme="minorHAnsi"/>
          <w:sz w:val="18"/>
          <w:szCs w:val="18"/>
          <w:lang w:val="hr-HR"/>
        </w:rPr>
      </w:pPr>
    </w:p>
    <w:tbl>
      <w:tblPr>
        <w:tblW w:w="4837"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6"/>
        <w:gridCol w:w="2847"/>
        <w:gridCol w:w="3684"/>
        <w:gridCol w:w="3136"/>
      </w:tblGrid>
      <w:tr w:rsidR="00A8050D" w:rsidRPr="007C4D65" w14:paraId="7F9E4455" w14:textId="77777777" w:rsidTr="00B6017F">
        <w:trPr>
          <w:trHeight w:val="567"/>
          <w:jc w:val="center"/>
        </w:trPr>
        <w:tc>
          <w:tcPr>
            <w:tcW w:w="1418" w:type="pct"/>
            <w:shd w:val="clear" w:color="auto" w:fill="009D73"/>
            <w:vAlign w:val="center"/>
          </w:tcPr>
          <w:p w14:paraId="231F64C0" w14:textId="24F96B88"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82" w:type="pct"/>
            <w:gridSpan w:val="3"/>
            <w:shd w:val="clear" w:color="auto" w:fill="FFFFFF"/>
            <w:vAlign w:val="center"/>
          </w:tcPr>
          <w:p w14:paraId="0668DACB" w14:textId="3CC5BF07"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 </w:t>
            </w:r>
            <w:r w:rsidR="00206652" w:rsidRPr="007C4D65">
              <w:rPr>
                <w:rFonts w:asciiTheme="minorHAnsi" w:hAnsiTheme="minorHAnsi" w:cstheme="minorHAnsi"/>
                <w:b/>
                <w:sz w:val="18"/>
                <w:szCs w:val="18"/>
              </w:rPr>
              <w:t>Human health protection</w:t>
            </w:r>
            <w:r w:rsidRPr="007C4D65">
              <w:rPr>
                <w:rFonts w:asciiTheme="minorHAnsi" w:hAnsiTheme="minorHAnsi" w:cstheme="minorHAnsi"/>
                <w:b/>
                <w:sz w:val="18"/>
                <w:szCs w:val="18"/>
              </w:rPr>
              <w:t xml:space="preserve"> and improving well-being and quality of life for all</w:t>
            </w:r>
          </w:p>
        </w:tc>
      </w:tr>
      <w:tr w:rsidR="00A8050D" w:rsidRPr="007C4D65" w14:paraId="6A7436A7" w14:textId="77777777" w:rsidTr="00B6017F">
        <w:trPr>
          <w:trHeight w:val="567"/>
          <w:jc w:val="center"/>
        </w:trPr>
        <w:tc>
          <w:tcPr>
            <w:tcW w:w="1418" w:type="pct"/>
            <w:shd w:val="clear" w:color="auto" w:fill="009D73"/>
            <w:vAlign w:val="center"/>
          </w:tcPr>
          <w:p w14:paraId="75B05F9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82" w:type="pct"/>
            <w:gridSpan w:val="3"/>
            <w:shd w:val="clear" w:color="auto" w:fill="FFFFFF"/>
            <w:vAlign w:val="center"/>
          </w:tcPr>
          <w:p w14:paraId="0A514296" w14:textId="6AFB8120"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5.2. </w:t>
            </w:r>
            <w:r w:rsidR="00735C68" w:rsidRPr="007C4D65">
              <w:rPr>
                <w:rFonts w:asciiTheme="minorHAnsi" w:hAnsiTheme="minorHAnsi" w:cstheme="minorHAnsi"/>
                <w:b/>
                <w:sz w:val="18"/>
                <w:szCs w:val="18"/>
              </w:rPr>
              <w:t xml:space="preserve">Establish a sustainable system of chemical management and implementation of EU acquis </w:t>
            </w:r>
            <w:proofErr w:type="gramStart"/>
            <w:r w:rsidR="00735C68" w:rsidRPr="007C4D65">
              <w:rPr>
                <w:rFonts w:asciiTheme="minorHAnsi" w:hAnsiTheme="minorHAnsi" w:cstheme="minorHAnsi"/>
                <w:b/>
                <w:sz w:val="18"/>
                <w:szCs w:val="18"/>
              </w:rPr>
              <w:t>in the area of</w:t>
            </w:r>
            <w:proofErr w:type="gramEnd"/>
            <w:r w:rsidR="00735C68" w:rsidRPr="007C4D65">
              <w:rPr>
                <w:rFonts w:asciiTheme="minorHAnsi" w:hAnsiTheme="minorHAnsi" w:cstheme="minorHAnsi"/>
                <w:b/>
                <w:sz w:val="18"/>
                <w:szCs w:val="18"/>
              </w:rPr>
              <w:t xml:space="preserve"> chemical safety</w:t>
            </w:r>
          </w:p>
        </w:tc>
      </w:tr>
      <w:tr w:rsidR="00A8050D" w:rsidRPr="007C4D65" w14:paraId="41812B30" w14:textId="77777777" w:rsidTr="00B6017F">
        <w:trPr>
          <w:trHeight w:val="567"/>
          <w:jc w:val="center"/>
        </w:trPr>
        <w:tc>
          <w:tcPr>
            <w:tcW w:w="1418" w:type="pct"/>
            <w:shd w:val="clear" w:color="auto" w:fill="009D73"/>
            <w:vAlign w:val="center"/>
          </w:tcPr>
          <w:p w14:paraId="07618D6C" w14:textId="74C05614"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582" w:type="pct"/>
            <w:gridSpan w:val="3"/>
            <w:shd w:val="clear" w:color="auto" w:fill="FFFFFF"/>
            <w:vAlign w:val="center"/>
          </w:tcPr>
          <w:p w14:paraId="447B192A" w14:textId="77777777"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5.2.2. High level of implementation of the SEVESO III Directive</w:t>
            </w:r>
          </w:p>
        </w:tc>
      </w:tr>
      <w:tr w:rsidR="00A8050D" w:rsidRPr="007C4D65" w14:paraId="7E81A5F2" w14:textId="77777777" w:rsidTr="00B6017F">
        <w:trPr>
          <w:trHeight w:val="567"/>
          <w:jc w:val="center"/>
        </w:trPr>
        <w:tc>
          <w:tcPr>
            <w:tcW w:w="1418" w:type="pct"/>
            <w:shd w:val="clear" w:color="auto" w:fill="009D73"/>
            <w:vAlign w:val="center"/>
          </w:tcPr>
          <w:p w14:paraId="13629C7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582" w:type="pct"/>
            <w:gridSpan w:val="3"/>
            <w:shd w:val="clear" w:color="auto" w:fill="FFFFFF"/>
            <w:vAlign w:val="center"/>
          </w:tcPr>
          <w:p w14:paraId="491A4F4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This measure aims to achieve effective implementation of legislation regulating transposition SEVESO III Directive and provides better protection of population against major accidents caused by inadequate storing, handling or use of chemicals. </w:t>
            </w:r>
          </w:p>
          <w:p w14:paraId="115F8DBE" w14:textId="560EBF3C"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General areas of intervention:</w:t>
            </w:r>
          </w:p>
          <w:p w14:paraId="19CD61AE" w14:textId="0ECB3193" w:rsidR="00A8050D" w:rsidRPr="007C4D65" w:rsidRDefault="00A8050D">
            <w:pPr>
              <w:pStyle w:val="ListParagraph"/>
              <w:numPr>
                <w:ilvl w:val="0"/>
                <w:numId w:val="173"/>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Development of the Major Accidents </w:t>
            </w:r>
            <w:proofErr w:type="gramStart"/>
            <w:r w:rsidRPr="007C4D65">
              <w:rPr>
                <w:rFonts w:asciiTheme="minorHAnsi" w:hAnsiTheme="minorHAnsi" w:cstheme="minorHAnsi"/>
                <w:sz w:val="18"/>
                <w:szCs w:val="18"/>
              </w:rPr>
              <w:t>Registry</w:t>
            </w:r>
            <w:r w:rsidR="005452A5" w:rsidRPr="007C4D65">
              <w:rPr>
                <w:rFonts w:asciiTheme="minorHAnsi" w:eastAsia="Calibri" w:hAnsiTheme="minorHAnsi" w:cstheme="minorHAnsi"/>
                <w:sz w:val="18"/>
                <w:szCs w:val="18"/>
              </w:rPr>
              <w:t>;</w:t>
            </w:r>
            <w:proofErr w:type="gramEnd"/>
          </w:p>
          <w:p w14:paraId="772917C4" w14:textId="77777777" w:rsidR="00A8050D" w:rsidRPr="007C4D65" w:rsidRDefault="00A8050D">
            <w:pPr>
              <w:pStyle w:val="ListParagraph"/>
              <w:numPr>
                <w:ilvl w:val="0"/>
                <w:numId w:val="173"/>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Reporting hazardous substances, warehousing conditions and other information required by legislation related to implementation of the SEVESO III.</w:t>
            </w:r>
          </w:p>
        </w:tc>
      </w:tr>
      <w:tr w:rsidR="00A8050D" w:rsidRPr="007C4D65" w14:paraId="043D4BEF" w14:textId="77777777" w:rsidTr="00B6017F">
        <w:trPr>
          <w:trHeight w:val="567"/>
          <w:jc w:val="center"/>
        </w:trPr>
        <w:tc>
          <w:tcPr>
            <w:tcW w:w="1418" w:type="pct"/>
            <w:shd w:val="clear" w:color="auto" w:fill="009D73"/>
            <w:vAlign w:val="center"/>
          </w:tcPr>
          <w:p w14:paraId="4EC83CE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Strategic projects</w:t>
            </w:r>
          </w:p>
        </w:tc>
        <w:tc>
          <w:tcPr>
            <w:tcW w:w="3582" w:type="pct"/>
            <w:gridSpan w:val="3"/>
            <w:shd w:val="clear" w:color="auto" w:fill="FFFFFF" w:themeFill="background1"/>
            <w:vAlign w:val="center"/>
          </w:tcPr>
          <w:p w14:paraId="72D5843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72058C05" w14:textId="77777777" w:rsidTr="00B6017F">
        <w:trPr>
          <w:trHeight w:val="567"/>
          <w:jc w:val="center"/>
        </w:trPr>
        <w:tc>
          <w:tcPr>
            <w:tcW w:w="1418" w:type="pct"/>
            <w:vMerge w:val="restart"/>
            <w:shd w:val="clear" w:color="auto" w:fill="009D73"/>
            <w:vAlign w:val="center"/>
          </w:tcPr>
          <w:p w14:paraId="3E96B45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55" w:type="pct"/>
            <w:shd w:val="clear" w:color="auto" w:fill="009D73"/>
            <w:vAlign w:val="center"/>
          </w:tcPr>
          <w:p w14:paraId="36904C83"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58D40332" w14:textId="051F9C0B"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365" w:type="pct"/>
            <w:shd w:val="clear" w:color="auto" w:fill="009D73"/>
            <w:vAlign w:val="center"/>
          </w:tcPr>
          <w:p w14:paraId="588B8B8D"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7C7579C2"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161" w:type="pct"/>
            <w:shd w:val="clear" w:color="auto" w:fill="009D73"/>
            <w:vAlign w:val="center"/>
          </w:tcPr>
          <w:p w14:paraId="41CD0A00"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5364933E" w14:textId="77777777" w:rsidTr="00B6017F">
        <w:trPr>
          <w:trHeight w:val="567"/>
          <w:jc w:val="center"/>
        </w:trPr>
        <w:tc>
          <w:tcPr>
            <w:tcW w:w="1418" w:type="pct"/>
            <w:vMerge/>
            <w:shd w:val="clear" w:color="auto" w:fill="009D73"/>
            <w:vAlign w:val="center"/>
          </w:tcPr>
          <w:p w14:paraId="59D99CD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55" w:type="pct"/>
            <w:shd w:val="clear" w:color="auto" w:fill="FFFFFF"/>
            <w:vAlign w:val="center"/>
          </w:tcPr>
          <w:p w14:paraId="0C62DC38" w14:textId="77777777" w:rsidR="00A8050D" w:rsidRPr="007C4D65" w:rsidRDefault="00A8050D">
            <w:pPr>
              <w:pStyle w:val="ListParagraph"/>
              <w:numPr>
                <w:ilvl w:val="0"/>
                <w:numId w:val="138"/>
              </w:numPr>
              <w:tabs>
                <w:tab w:val="left" w:pos="254"/>
              </w:tabs>
              <w:spacing w:before="40" w:after="40" w:line="276" w:lineRule="auto"/>
              <w:ind w:left="0" w:hanging="360"/>
              <w:rPr>
                <w:rFonts w:asciiTheme="minorHAnsi" w:eastAsia="Calibri" w:hAnsiTheme="minorHAnsi" w:cstheme="minorHAnsi"/>
                <w:sz w:val="18"/>
                <w:szCs w:val="18"/>
              </w:rPr>
            </w:pPr>
            <w:r w:rsidRPr="007C4D65">
              <w:rPr>
                <w:rFonts w:asciiTheme="minorHAnsi" w:hAnsiTheme="minorHAnsi" w:cstheme="minorHAnsi"/>
                <w:sz w:val="18"/>
                <w:szCs w:val="18"/>
              </w:rPr>
              <w:t>a. Status of establishing the Major Accidents Registry</w:t>
            </w:r>
          </w:p>
        </w:tc>
        <w:tc>
          <w:tcPr>
            <w:tcW w:w="1365" w:type="pct"/>
            <w:shd w:val="clear" w:color="auto" w:fill="FFFFFF"/>
            <w:vAlign w:val="center"/>
          </w:tcPr>
          <w:p w14:paraId="47A70A5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 Major Accidents Registry has not been developed and made public</w:t>
            </w:r>
          </w:p>
        </w:tc>
        <w:tc>
          <w:tcPr>
            <w:tcW w:w="1161" w:type="pct"/>
            <w:shd w:val="clear" w:color="auto" w:fill="FFFFFF"/>
            <w:vAlign w:val="center"/>
          </w:tcPr>
          <w:p w14:paraId="6E4475B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Established Major Accidents Registry </w:t>
            </w:r>
            <w:r w:rsidRPr="007C4D65">
              <w:rPr>
                <w:rFonts w:asciiTheme="minorHAnsi" w:hAnsiTheme="minorHAnsi" w:cstheme="minorHAnsi"/>
                <w:sz w:val="18"/>
                <w:szCs w:val="18"/>
              </w:rPr>
              <w:br/>
              <w:t>(2024)</w:t>
            </w:r>
          </w:p>
        </w:tc>
      </w:tr>
      <w:tr w:rsidR="00A8050D" w:rsidRPr="007C4D65" w14:paraId="52250FF1" w14:textId="77777777" w:rsidTr="00B6017F">
        <w:trPr>
          <w:trHeight w:val="567"/>
          <w:jc w:val="center"/>
        </w:trPr>
        <w:tc>
          <w:tcPr>
            <w:tcW w:w="1418" w:type="pct"/>
            <w:vMerge/>
            <w:shd w:val="clear" w:color="auto" w:fill="009D73"/>
            <w:vAlign w:val="center"/>
          </w:tcPr>
          <w:p w14:paraId="5471A05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55" w:type="pct"/>
            <w:shd w:val="clear" w:color="auto" w:fill="FFFFFF"/>
            <w:vAlign w:val="center"/>
          </w:tcPr>
          <w:p w14:paraId="26211C3F" w14:textId="77777777" w:rsidR="00A8050D" w:rsidRPr="007C4D65" w:rsidRDefault="00A8050D">
            <w:pPr>
              <w:pStyle w:val="ListParagraph"/>
              <w:numPr>
                <w:ilvl w:val="0"/>
                <w:numId w:val="138"/>
              </w:numPr>
              <w:tabs>
                <w:tab w:val="left" w:pos="254"/>
              </w:tabs>
              <w:spacing w:before="40" w:after="40" w:line="276" w:lineRule="auto"/>
              <w:ind w:left="30" w:hanging="360"/>
              <w:rPr>
                <w:rFonts w:asciiTheme="minorHAnsi" w:eastAsia="Calibri" w:hAnsiTheme="minorHAnsi" w:cstheme="minorHAnsi"/>
                <w:sz w:val="18"/>
                <w:szCs w:val="18"/>
              </w:rPr>
            </w:pPr>
            <w:r w:rsidRPr="007C4D65">
              <w:rPr>
                <w:rFonts w:asciiTheme="minorHAnsi" w:hAnsiTheme="minorHAnsi" w:cstheme="minorHAnsi"/>
                <w:sz w:val="18"/>
                <w:szCs w:val="18"/>
              </w:rPr>
              <w:t>b. Efficiency of reporting hazardous substances, conditions for storing, and other information required by legislation that implements the SEVESO III</w:t>
            </w:r>
          </w:p>
        </w:tc>
        <w:tc>
          <w:tcPr>
            <w:tcW w:w="1365" w:type="pct"/>
            <w:shd w:val="clear" w:color="auto" w:fill="FFFFFF"/>
            <w:vAlign w:val="center"/>
          </w:tcPr>
          <w:p w14:paraId="5F45734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There is no reporting of hazardous substances, warehousing conditions and other information required by legislation related to implementation of the SEVESO III </w:t>
            </w:r>
          </w:p>
        </w:tc>
        <w:tc>
          <w:tcPr>
            <w:tcW w:w="1161" w:type="pct"/>
            <w:shd w:val="clear" w:color="auto" w:fill="FFFFFF"/>
            <w:vAlign w:val="center"/>
          </w:tcPr>
          <w:p w14:paraId="0664553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Reported hazardous substances, warehousing conditions and other information required by legislation related to implementation of the SEVESO III (2026)</w:t>
            </w:r>
          </w:p>
        </w:tc>
      </w:tr>
      <w:tr w:rsidR="00A8050D" w:rsidRPr="007C4D65" w14:paraId="7DE77193" w14:textId="77777777" w:rsidTr="00B6017F">
        <w:trPr>
          <w:trHeight w:val="567"/>
          <w:jc w:val="center"/>
        </w:trPr>
        <w:tc>
          <w:tcPr>
            <w:tcW w:w="1418" w:type="pct"/>
            <w:shd w:val="clear" w:color="auto" w:fill="009D73"/>
            <w:vAlign w:val="center"/>
          </w:tcPr>
          <w:p w14:paraId="72E173E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582" w:type="pct"/>
            <w:gridSpan w:val="3"/>
            <w:shd w:val="clear" w:color="auto" w:fill="FFFFFF"/>
            <w:vAlign w:val="center"/>
          </w:tcPr>
          <w:p w14:paraId="4E285F9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Safer use of chemicals and protection of health of humans and environment</w:t>
            </w:r>
          </w:p>
        </w:tc>
      </w:tr>
      <w:tr w:rsidR="00A8050D" w:rsidRPr="007C4D65" w14:paraId="1627D700" w14:textId="77777777" w:rsidTr="00B6017F">
        <w:trPr>
          <w:trHeight w:val="567"/>
          <w:jc w:val="center"/>
        </w:trPr>
        <w:tc>
          <w:tcPr>
            <w:tcW w:w="1418" w:type="pct"/>
            <w:shd w:val="clear" w:color="auto" w:fill="009D73"/>
            <w:vAlign w:val="center"/>
          </w:tcPr>
          <w:p w14:paraId="32FD192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582" w:type="pct"/>
            <w:gridSpan w:val="3"/>
            <w:shd w:val="clear" w:color="auto" w:fill="FFFFFF"/>
            <w:vAlign w:val="center"/>
          </w:tcPr>
          <w:p w14:paraId="32BBA818" w14:textId="2439808A"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15,925</w:t>
            </w:r>
          </w:p>
          <w:p w14:paraId="642C64E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Source: 100% government budget</w:t>
            </w:r>
          </w:p>
        </w:tc>
      </w:tr>
      <w:tr w:rsidR="00A8050D" w:rsidRPr="007C4D65" w14:paraId="53C0C4CE" w14:textId="77777777" w:rsidTr="00B6017F">
        <w:trPr>
          <w:trHeight w:val="567"/>
          <w:jc w:val="center"/>
        </w:trPr>
        <w:tc>
          <w:tcPr>
            <w:tcW w:w="1418" w:type="pct"/>
            <w:shd w:val="clear" w:color="auto" w:fill="009D73"/>
            <w:vAlign w:val="center"/>
          </w:tcPr>
          <w:p w14:paraId="116FCFC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582" w:type="pct"/>
            <w:gridSpan w:val="3"/>
            <w:shd w:val="clear" w:color="auto" w:fill="FFFFFF"/>
            <w:vAlign w:val="center"/>
          </w:tcPr>
          <w:p w14:paraId="0981CDC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2024-2026</w:t>
            </w:r>
          </w:p>
        </w:tc>
      </w:tr>
      <w:tr w:rsidR="00A8050D" w:rsidRPr="007C4D65" w14:paraId="3D36255C" w14:textId="77777777" w:rsidTr="00B6017F">
        <w:trPr>
          <w:trHeight w:val="567"/>
          <w:jc w:val="center"/>
        </w:trPr>
        <w:tc>
          <w:tcPr>
            <w:tcW w:w="1418" w:type="pct"/>
            <w:shd w:val="clear" w:color="auto" w:fill="009D73"/>
            <w:vAlign w:val="center"/>
          </w:tcPr>
          <w:p w14:paraId="254AE76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82" w:type="pct"/>
            <w:gridSpan w:val="3"/>
            <w:shd w:val="clear" w:color="auto" w:fill="FFFFFF"/>
            <w:vAlign w:val="center"/>
          </w:tcPr>
          <w:p w14:paraId="459D439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FMET</w:t>
            </w:r>
          </w:p>
        </w:tc>
      </w:tr>
      <w:tr w:rsidR="00A8050D" w:rsidRPr="007C4D65" w14:paraId="6827D1B6" w14:textId="77777777" w:rsidTr="00B6017F">
        <w:trPr>
          <w:trHeight w:val="567"/>
          <w:jc w:val="center"/>
        </w:trPr>
        <w:tc>
          <w:tcPr>
            <w:tcW w:w="1418" w:type="pct"/>
            <w:shd w:val="clear" w:color="auto" w:fill="009D73"/>
            <w:vAlign w:val="center"/>
          </w:tcPr>
          <w:p w14:paraId="614414C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w:t>
            </w:r>
          </w:p>
        </w:tc>
        <w:tc>
          <w:tcPr>
            <w:tcW w:w="3582" w:type="pct"/>
            <w:gridSpan w:val="3"/>
            <w:shd w:val="clear" w:color="auto" w:fill="FFFFFF"/>
            <w:vAlign w:val="center"/>
          </w:tcPr>
          <w:p w14:paraId="0BDE3F1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FMET and cantonal ministries responsible for environment</w:t>
            </w:r>
          </w:p>
        </w:tc>
      </w:tr>
      <w:tr w:rsidR="00A8050D" w:rsidRPr="007C4D65" w14:paraId="2B99BF61" w14:textId="77777777" w:rsidTr="00B6017F">
        <w:trPr>
          <w:trHeight w:val="567"/>
          <w:jc w:val="center"/>
        </w:trPr>
        <w:tc>
          <w:tcPr>
            <w:tcW w:w="1418" w:type="pct"/>
            <w:shd w:val="clear" w:color="auto" w:fill="009D73"/>
            <w:vAlign w:val="center"/>
          </w:tcPr>
          <w:p w14:paraId="5AA52A54" w14:textId="4690F52F"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582" w:type="pct"/>
            <w:gridSpan w:val="3"/>
            <w:shd w:val="clear" w:color="auto" w:fill="FFFFFF"/>
            <w:vAlign w:val="center"/>
          </w:tcPr>
          <w:p w14:paraId="0D55B1F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Commercial sector (industries where major accidents are more likely)</w:t>
            </w:r>
          </w:p>
        </w:tc>
      </w:tr>
    </w:tbl>
    <w:p w14:paraId="444FB3DF" w14:textId="77777777" w:rsidR="00A8050D" w:rsidRPr="007C4D65" w:rsidRDefault="00A8050D" w:rsidP="00A8050D">
      <w:pPr>
        <w:spacing w:line="276" w:lineRule="auto"/>
        <w:rPr>
          <w:rFonts w:asciiTheme="minorHAnsi" w:hAnsiTheme="minorHAnsi" w:cstheme="minorHAnsi"/>
          <w:sz w:val="18"/>
          <w:szCs w:val="18"/>
          <w:lang w:val="hr-HR"/>
        </w:rPr>
      </w:pPr>
    </w:p>
    <w:tbl>
      <w:tblPr>
        <w:tblW w:w="4825"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8"/>
        <w:gridCol w:w="2714"/>
        <w:gridCol w:w="3330"/>
        <w:gridCol w:w="3588"/>
      </w:tblGrid>
      <w:tr w:rsidR="00A8050D" w:rsidRPr="007C4D65" w14:paraId="0F8798B9" w14:textId="77777777" w:rsidTr="00B6017F">
        <w:trPr>
          <w:trHeight w:val="567"/>
          <w:jc w:val="center"/>
        </w:trPr>
        <w:tc>
          <w:tcPr>
            <w:tcW w:w="1422" w:type="pct"/>
            <w:shd w:val="clear" w:color="auto" w:fill="009D73"/>
            <w:vAlign w:val="center"/>
          </w:tcPr>
          <w:p w14:paraId="40B43E5D" w14:textId="642F2688"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78" w:type="pct"/>
            <w:gridSpan w:val="3"/>
            <w:shd w:val="clear" w:color="auto" w:fill="FFFFFF"/>
            <w:vAlign w:val="center"/>
          </w:tcPr>
          <w:p w14:paraId="5DC95325" w14:textId="35EE0223"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 </w:t>
            </w:r>
            <w:r w:rsidR="00206652" w:rsidRPr="007C4D65">
              <w:rPr>
                <w:rFonts w:asciiTheme="minorHAnsi" w:hAnsiTheme="minorHAnsi" w:cstheme="minorHAnsi"/>
                <w:b/>
                <w:sz w:val="18"/>
                <w:szCs w:val="18"/>
              </w:rPr>
              <w:t>Human health protection</w:t>
            </w:r>
            <w:r w:rsidRPr="007C4D65">
              <w:rPr>
                <w:rFonts w:asciiTheme="minorHAnsi" w:hAnsiTheme="minorHAnsi" w:cstheme="minorHAnsi"/>
                <w:b/>
                <w:sz w:val="18"/>
                <w:szCs w:val="18"/>
              </w:rPr>
              <w:t xml:space="preserve"> and improving well-being and quality of life for all</w:t>
            </w:r>
          </w:p>
        </w:tc>
      </w:tr>
      <w:tr w:rsidR="00A8050D" w:rsidRPr="007C4D65" w14:paraId="2C3F3AAB" w14:textId="77777777" w:rsidTr="00B6017F">
        <w:trPr>
          <w:trHeight w:val="567"/>
          <w:jc w:val="center"/>
        </w:trPr>
        <w:tc>
          <w:tcPr>
            <w:tcW w:w="1422" w:type="pct"/>
            <w:shd w:val="clear" w:color="auto" w:fill="009D73"/>
            <w:vAlign w:val="center"/>
          </w:tcPr>
          <w:p w14:paraId="5FFAA25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78" w:type="pct"/>
            <w:gridSpan w:val="3"/>
            <w:shd w:val="clear" w:color="auto" w:fill="FFFFFF"/>
            <w:vAlign w:val="center"/>
          </w:tcPr>
          <w:p w14:paraId="2D338342" w14:textId="73EADC1C"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5.2. </w:t>
            </w:r>
            <w:r w:rsidR="00735C68" w:rsidRPr="007C4D65">
              <w:rPr>
                <w:rFonts w:asciiTheme="minorHAnsi" w:hAnsiTheme="minorHAnsi" w:cstheme="minorHAnsi"/>
                <w:b/>
                <w:sz w:val="18"/>
                <w:szCs w:val="18"/>
              </w:rPr>
              <w:t xml:space="preserve">Establish a sustainable system of chemical management and implementation of EU acquis </w:t>
            </w:r>
            <w:proofErr w:type="gramStart"/>
            <w:r w:rsidR="00735C68" w:rsidRPr="007C4D65">
              <w:rPr>
                <w:rFonts w:asciiTheme="minorHAnsi" w:hAnsiTheme="minorHAnsi" w:cstheme="minorHAnsi"/>
                <w:b/>
                <w:sz w:val="18"/>
                <w:szCs w:val="18"/>
              </w:rPr>
              <w:t>in the area of</w:t>
            </w:r>
            <w:proofErr w:type="gramEnd"/>
            <w:r w:rsidR="00735C68" w:rsidRPr="007C4D65">
              <w:rPr>
                <w:rFonts w:asciiTheme="minorHAnsi" w:hAnsiTheme="minorHAnsi" w:cstheme="minorHAnsi"/>
                <w:b/>
                <w:sz w:val="18"/>
                <w:szCs w:val="18"/>
              </w:rPr>
              <w:t xml:space="preserve"> chemical safety</w:t>
            </w:r>
          </w:p>
        </w:tc>
      </w:tr>
      <w:tr w:rsidR="00A8050D" w:rsidRPr="007C4D65" w14:paraId="62E6D4EA" w14:textId="77777777" w:rsidTr="00B6017F">
        <w:trPr>
          <w:trHeight w:val="567"/>
          <w:jc w:val="center"/>
        </w:trPr>
        <w:tc>
          <w:tcPr>
            <w:tcW w:w="1422" w:type="pct"/>
            <w:shd w:val="clear" w:color="auto" w:fill="009D73"/>
            <w:vAlign w:val="center"/>
          </w:tcPr>
          <w:p w14:paraId="10BA74BC" w14:textId="2089E18A"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578" w:type="pct"/>
            <w:gridSpan w:val="3"/>
            <w:shd w:val="clear" w:color="auto" w:fill="FFFFFF"/>
            <w:vAlign w:val="center"/>
          </w:tcPr>
          <w:p w14:paraId="5C1D1621" w14:textId="6A6277A6"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5.2.3. Established systems of reporting on the matter of registration of cooling equipment and HVAC equipment services shops in accordance with the EU acquis in the field of ozone depleting substances, and of training the </w:t>
            </w:r>
            <w:r w:rsidR="004B4EEC" w:rsidRPr="007C4D65">
              <w:rPr>
                <w:rFonts w:asciiTheme="minorHAnsi" w:hAnsiTheme="minorHAnsi" w:cstheme="minorHAnsi"/>
                <w:b/>
                <w:sz w:val="18"/>
                <w:szCs w:val="18"/>
              </w:rPr>
              <w:t>HVAC equipment</w:t>
            </w:r>
            <w:r w:rsidRPr="007C4D65">
              <w:rPr>
                <w:rFonts w:asciiTheme="minorHAnsi" w:hAnsiTheme="minorHAnsi" w:cstheme="minorHAnsi"/>
                <w:b/>
                <w:sz w:val="18"/>
                <w:szCs w:val="18"/>
              </w:rPr>
              <w:t xml:space="preserve"> repairers</w:t>
            </w:r>
          </w:p>
        </w:tc>
      </w:tr>
      <w:tr w:rsidR="00A8050D" w:rsidRPr="007C4D65" w14:paraId="7237206A" w14:textId="77777777" w:rsidTr="00B6017F">
        <w:trPr>
          <w:trHeight w:val="567"/>
          <w:jc w:val="center"/>
        </w:trPr>
        <w:tc>
          <w:tcPr>
            <w:tcW w:w="1422" w:type="pct"/>
            <w:shd w:val="clear" w:color="auto" w:fill="009D73"/>
            <w:vAlign w:val="center"/>
          </w:tcPr>
          <w:p w14:paraId="4C83088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578" w:type="pct"/>
            <w:gridSpan w:val="3"/>
            <w:shd w:val="clear" w:color="auto" w:fill="FFFFFF"/>
            <w:vAlign w:val="center"/>
          </w:tcPr>
          <w:p w14:paraId="59EBC025"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This measure aims to achieve high level of reporting on the matter of registration of cooling equipment and HVAC equipment service shops in accordance with the EU acquis in the field of ozone depleting substances.</w:t>
            </w:r>
          </w:p>
          <w:p w14:paraId="44372AC0" w14:textId="4D04E115"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General areas of intervention:</w:t>
            </w:r>
          </w:p>
          <w:p w14:paraId="136FE364" w14:textId="4F3BD040" w:rsidR="00A8050D" w:rsidRPr="007C4D65" w:rsidRDefault="00A8050D">
            <w:pPr>
              <w:pStyle w:val="ListParagraph"/>
              <w:numPr>
                <w:ilvl w:val="0"/>
                <w:numId w:val="174"/>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lastRenderedPageBreak/>
              <w:t xml:space="preserve">Achieved technical conditions for existence and entry of data into the data base regarding the service shops for cooling and HVAC </w:t>
            </w:r>
            <w:proofErr w:type="gramStart"/>
            <w:r w:rsidRPr="007C4D65">
              <w:rPr>
                <w:rFonts w:asciiTheme="minorHAnsi" w:hAnsiTheme="minorHAnsi" w:cstheme="minorHAnsi"/>
                <w:sz w:val="18"/>
                <w:szCs w:val="18"/>
              </w:rPr>
              <w:t>equipment</w:t>
            </w:r>
            <w:r w:rsidR="005452A5" w:rsidRPr="007C4D65">
              <w:rPr>
                <w:rFonts w:asciiTheme="minorHAnsi" w:eastAsia="Calibri" w:hAnsiTheme="minorHAnsi" w:cstheme="minorHAnsi"/>
                <w:sz w:val="18"/>
                <w:szCs w:val="18"/>
              </w:rPr>
              <w:t>;</w:t>
            </w:r>
            <w:proofErr w:type="gramEnd"/>
          </w:p>
          <w:p w14:paraId="46732C6C" w14:textId="5405523A" w:rsidR="00A8050D" w:rsidRPr="007C4D65" w:rsidRDefault="00A8050D">
            <w:pPr>
              <w:pStyle w:val="ListParagraph"/>
              <w:numPr>
                <w:ilvl w:val="0"/>
                <w:numId w:val="174"/>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Completed registration of at least 30% operators/owners of the HVAC devices and 100% of the service/repair </w:t>
            </w:r>
            <w:proofErr w:type="gramStart"/>
            <w:r w:rsidRPr="007C4D65">
              <w:rPr>
                <w:rFonts w:asciiTheme="minorHAnsi" w:hAnsiTheme="minorHAnsi" w:cstheme="minorHAnsi"/>
                <w:sz w:val="18"/>
                <w:szCs w:val="18"/>
              </w:rPr>
              <w:t>shops</w:t>
            </w:r>
            <w:r w:rsidR="005452A5" w:rsidRPr="007C4D65">
              <w:rPr>
                <w:rFonts w:asciiTheme="minorHAnsi" w:eastAsia="Calibri" w:hAnsiTheme="minorHAnsi" w:cstheme="minorHAnsi"/>
                <w:sz w:val="18"/>
                <w:szCs w:val="18"/>
              </w:rPr>
              <w:t>;</w:t>
            </w:r>
            <w:proofErr w:type="gramEnd"/>
          </w:p>
          <w:p w14:paraId="4B7C14CF" w14:textId="6B305F79" w:rsidR="00A8050D" w:rsidRPr="007C4D65" w:rsidRDefault="00A8050D">
            <w:pPr>
              <w:pStyle w:val="ListParagraph"/>
              <w:numPr>
                <w:ilvl w:val="0"/>
                <w:numId w:val="174"/>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Developing a training plan and programme (curriculum) for training repairers of cooling and HVAC equipment</w:t>
            </w:r>
            <w:r w:rsidR="005452A5" w:rsidRPr="007C4D65">
              <w:rPr>
                <w:rFonts w:asciiTheme="minorHAnsi" w:eastAsia="Calibri" w:hAnsiTheme="minorHAnsi" w:cstheme="minorHAnsi"/>
                <w:sz w:val="18"/>
                <w:szCs w:val="18"/>
              </w:rPr>
              <w:t>.</w:t>
            </w:r>
          </w:p>
        </w:tc>
      </w:tr>
      <w:tr w:rsidR="00A8050D" w:rsidRPr="007C4D65" w14:paraId="0A72A393" w14:textId="77777777" w:rsidTr="00B6017F">
        <w:trPr>
          <w:trHeight w:val="567"/>
          <w:jc w:val="center"/>
        </w:trPr>
        <w:tc>
          <w:tcPr>
            <w:tcW w:w="1422" w:type="pct"/>
            <w:shd w:val="clear" w:color="auto" w:fill="009D73"/>
            <w:vAlign w:val="center"/>
          </w:tcPr>
          <w:p w14:paraId="47E36CD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Strategic projects</w:t>
            </w:r>
          </w:p>
        </w:tc>
        <w:tc>
          <w:tcPr>
            <w:tcW w:w="3578" w:type="pct"/>
            <w:gridSpan w:val="3"/>
            <w:shd w:val="clear" w:color="auto" w:fill="FFFFFF" w:themeFill="background1"/>
            <w:vAlign w:val="center"/>
          </w:tcPr>
          <w:p w14:paraId="7AD2F7A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3F361191" w14:textId="77777777" w:rsidTr="00B6017F">
        <w:trPr>
          <w:trHeight w:val="567"/>
          <w:jc w:val="center"/>
        </w:trPr>
        <w:tc>
          <w:tcPr>
            <w:tcW w:w="1422" w:type="pct"/>
            <w:vMerge w:val="restart"/>
            <w:shd w:val="clear" w:color="auto" w:fill="009D73"/>
            <w:vAlign w:val="center"/>
          </w:tcPr>
          <w:p w14:paraId="6AF9E7F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08" w:type="pct"/>
            <w:shd w:val="clear" w:color="auto" w:fill="009D73"/>
            <w:vAlign w:val="center"/>
          </w:tcPr>
          <w:p w14:paraId="1045A77C"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5B36FA1D" w14:textId="530CA7A9"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37" w:type="pct"/>
            <w:shd w:val="clear" w:color="auto" w:fill="009D73"/>
            <w:vAlign w:val="center"/>
          </w:tcPr>
          <w:p w14:paraId="672621F8"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3CF21577"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333" w:type="pct"/>
            <w:shd w:val="clear" w:color="auto" w:fill="009D73"/>
            <w:vAlign w:val="center"/>
          </w:tcPr>
          <w:p w14:paraId="2E2E3F10"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1D5B16F2" w14:textId="77777777" w:rsidTr="00B6017F">
        <w:trPr>
          <w:trHeight w:val="567"/>
          <w:jc w:val="center"/>
        </w:trPr>
        <w:tc>
          <w:tcPr>
            <w:tcW w:w="1422" w:type="pct"/>
            <w:vMerge/>
            <w:shd w:val="clear" w:color="auto" w:fill="009D73"/>
            <w:vAlign w:val="center"/>
          </w:tcPr>
          <w:p w14:paraId="184CCFD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08" w:type="pct"/>
            <w:shd w:val="clear" w:color="auto" w:fill="FFFFFF"/>
            <w:vAlign w:val="center"/>
          </w:tcPr>
          <w:p w14:paraId="55CDBDEC" w14:textId="77777777" w:rsidR="00A8050D" w:rsidRPr="007C4D65" w:rsidRDefault="00A8050D">
            <w:pPr>
              <w:pStyle w:val="ListParagraph"/>
              <w:numPr>
                <w:ilvl w:val="0"/>
                <w:numId w:val="139"/>
              </w:numPr>
              <w:tabs>
                <w:tab w:val="left" w:pos="254"/>
              </w:tabs>
              <w:spacing w:before="40" w:after="40" w:line="276" w:lineRule="auto"/>
              <w:ind w:left="0" w:hanging="360"/>
              <w:rPr>
                <w:rFonts w:asciiTheme="minorHAnsi" w:eastAsia="Calibri" w:hAnsiTheme="minorHAnsi" w:cstheme="minorHAnsi"/>
                <w:sz w:val="18"/>
                <w:szCs w:val="18"/>
              </w:rPr>
            </w:pPr>
            <w:r w:rsidRPr="007C4D65">
              <w:rPr>
                <w:rFonts w:asciiTheme="minorHAnsi" w:hAnsiTheme="minorHAnsi" w:cstheme="minorHAnsi"/>
                <w:sz w:val="18"/>
                <w:szCs w:val="18"/>
              </w:rPr>
              <w:t>a. Status of the information system for registration of HVAC equipment containing ODS and their substitutes</w:t>
            </w:r>
          </w:p>
        </w:tc>
        <w:tc>
          <w:tcPr>
            <w:tcW w:w="1237" w:type="pct"/>
            <w:shd w:val="clear" w:color="auto" w:fill="FFFFFF"/>
            <w:vAlign w:val="center"/>
          </w:tcPr>
          <w:p w14:paraId="50FBF2A1" w14:textId="39CB8E15"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There is no in place an information system that would provide for registration of HVAC equipment and servicing shops for HVAC equipment</w:t>
            </w:r>
          </w:p>
        </w:tc>
        <w:tc>
          <w:tcPr>
            <w:tcW w:w="1333" w:type="pct"/>
            <w:shd w:val="clear" w:color="auto" w:fill="FFFFFF"/>
            <w:vAlign w:val="center"/>
          </w:tcPr>
          <w:p w14:paraId="6C97F9E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Established information system for registration of HVAC equipment containing ODS and their substitutes (2024)</w:t>
            </w:r>
          </w:p>
        </w:tc>
      </w:tr>
      <w:tr w:rsidR="00A8050D" w:rsidRPr="007C4D65" w14:paraId="446D4F8B" w14:textId="77777777" w:rsidTr="00B6017F">
        <w:trPr>
          <w:trHeight w:val="567"/>
          <w:jc w:val="center"/>
        </w:trPr>
        <w:tc>
          <w:tcPr>
            <w:tcW w:w="1422" w:type="pct"/>
            <w:vMerge/>
            <w:shd w:val="clear" w:color="auto" w:fill="009D73"/>
            <w:vAlign w:val="center"/>
          </w:tcPr>
          <w:p w14:paraId="4A8BF77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08" w:type="pct"/>
            <w:shd w:val="clear" w:color="auto" w:fill="FFFFFF"/>
            <w:vAlign w:val="center"/>
          </w:tcPr>
          <w:p w14:paraId="76A24B60" w14:textId="77777777" w:rsidR="00A8050D" w:rsidRPr="007C4D65" w:rsidRDefault="00A8050D">
            <w:pPr>
              <w:pStyle w:val="ListParagraph"/>
              <w:numPr>
                <w:ilvl w:val="0"/>
                <w:numId w:val="139"/>
              </w:numPr>
              <w:tabs>
                <w:tab w:val="left" w:pos="254"/>
              </w:tabs>
              <w:spacing w:before="40" w:after="40" w:line="276" w:lineRule="auto"/>
              <w:ind w:left="30" w:hanging="360"/>
              <w:rPr>
                <w:rFonts w:asciiTheme="minorHAnsi" w:eastAsia="Calibri" w:hAnsiTheme="minorHAnsi" w:cstheme="minorHAnsi"/>
                <w:sz w:val="18"/>
                <w:szCs w:val="18"/>
              </w:rPr>
            </w:pPr>
            <w:r w:rsidRPr="007C4D65">
              <w:rPr>
                <w:rFonts w:asciiTheme="minorHAnsi" w:hAnsiTheme="minorHAnsi" w:cstheme="minorHAnsi"/>
                <w:sz w:val="18"/>
                <w:szCs w:val="18"/>
              </w:rPr>
              <w:t>b. Efficiency of registration of service shops and owners of equipment (operators) of cooling and HVAC equipment</w:t>
            </w:r>
          </w:p>
        </w:tc>
        <w:tc>
          <w:tcPr>
            <w:tcW w:w="1237" w:type="pct"/>
            <w:shd w:val="clear" w:color="auto" w:fill="FFFFFF"/>
            <w:vAlign w:val="center"/>
          </w:tcPr>
          <w:p w14:paraId="4B32A154"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There is no established registry of service shops and owners of equipment (operators) of cooling and HVAC equipment. According to the preliminary assessment that was done in the framework of the HFC Outlook model for BiH under a project financed by UNIDO, there are around 67062 devices with over 3 kg cooling medium</w:t>
            </w:r>
          </w:p>
        </w:tc>
        <w:tc>
          <w:tcPr>
            <w:tcW w:w="1333" w:type="pct"/>
            <w:shd w:val="clear" w:color="auto" w:fill="FFFFFF"/>
            <w:vAlign w:val="center"/>
          </w:tcPr>
          <w:p w14:paraId="7063EC4E"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Completed registration of at least 30% operators/owners of the HVAC devices and 100% of the service/repair shops (2030)</w:t>
            </w:r>
          </w:p>
        </w:tc>
      </w:tr>
      <w:tr w:rsidR="00A8050D" w:rsidRPr="007C4D65" w14:paraId="6F93A3F8" w14:textId="77777777" w:rsidTr="00B6017F">
        <w:trPr>
          <w:trHeight w:val="567"/>
          <w:jc w:val="center"/>
        </w:trPr>
        <w:tc>
          <w:tcPr>
            <w:tcW w:w="1422" w:type="pct"/>
            <w:vMerge/>
            <w:shd w:val="clear" w:color="auto" w:fill="009D73"/>
            <w:vAlign w:val="center"/>
          </w:tcPr>
          <w:p w14:paraId="30914DD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08" w:type="pct"/>
            <w:shd w:val="clear" w:color="auto" w:fill="FFFFFF"/>
            <w:vAlign w:val="center"/>
          </w:tcPr>
          <w:p w14:paraId="5164938A" w14:textId="77777777" w:rsidR="00A8050D" w:rsidRPr="007C4D65" w:rsidRDefault="00A8050D">
            <w:pPr>
              <w:pStyle w:val="ListParagraph"/>
              <w:numPr>
                <w:ilvl w:val="0"/>
                <w:numId w:val="139"/>
              </w:numPr>
              <w:tabs>
                <w:tab w:val="left" w:pos="254"/>
              </w:tabs>
              <w:spacing w:before="40" w:after="40" w:line="276" w:lineRule="auto"/>
              <w:ind w:left="30" w:hanging="360"/>
              <w:rPr>
                <w:rFonts w:asciiTheme="minorHAnsi" w:eastAsia="Calibri" w:hAnsiTheme="minorHAnsi" w:cstheme="minorHAnsi"/>
                <w:sz w:val="18"/>
                <w:szCs w:val="18"/>
              </w:rPr>
            </w:pPr>
            <w:r w:rsidRPr="007C4D65">
              <w:rPr>
                <w:rFonts w:asciiTheme="minorHAnsi" w:hAnsiTheme="minorHAnsi" w:cstheme="minorHAnsi"/>
                <w:sz w:val="18"/>
                <w:szCs w:val="18"/>
              </w:rPr>
              <w:t>c. Status of a training plan and programme (curriculum) for training repairers of cooling and HVAC equipment</w:t>
            </w:r>
          </w:p>
        </w:tc>
        <w:tc>
          <w:tcPr>
            <w:tcW w:w="1237" w:type="pct"/>
            <w:shd w:val="clear" w:color="auto" w:fill="FFFFFF"/>
            <w:vAlign w:val="center"/>
          </w:tcPr>
          <w:p w14:paraId="1A7CEBD4"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 plan for training repairers does not exist</w:t>
            </w:r>
          </w:p>
        </w:tc>
        <w:tc>
          <w:tcPr>
            <w:tcW w:w="1333" w:type="pct"/>
            <w:shd w:val="clear" w:color="auto" w:fill="FFFFFF"/>
            <w:vAlign w:val="center"/>
          </w:tcPr>
          <w:p w14:paraId="456FDD9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Prepared plan and programme (curriculum) for training repairers of cooling and HVAC equipment (2024)</w:t>
            </w:r>
          </w:p>
        </w:tc>
      </w:tr>
      <w:tr w:rsidR="00A8050D" w:rsidRPr="007C4D65" w14:paraId="2774E078" w14:textId="77777777" w:rsidTr="00B6017F">
        <w:trPr>
          <w:trHeight w:val="567"/>
          <w:jc w:val="center"/>
        </w:trPr>
        <w:tc>
          <w:tcPr>
            <w:tcW w:w="1422" w:type="pct"/>
            <w:vMerge/>
            <w:shd w:val="clear" w:color="auto" w:fill="009D73"/>
            <w:vAlign w:val="center"/>
          </w:tcPr>
          <w:p w14:paraId="0E0645F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08" w:type="pct"/>
            <w:shd w:val="clear" w:color="auto" w:fill="FFFFFF"/>
            <w:vAlign w:val="center"/>
          </w:tcPr>
          <w:p w14:paraId="21B641A3" w14:textId="77777777" w:rsidR="00A8050D" w:rsidRPr="007C4D65" w:rsidRDefault="00A8050D">
            <w:pPr>
              <w:pStyle w:val="ListParagraph"/>
              <w:numPr>
                <w:ilvl w:val="0"/>
                <w:numId w:val="139"/>
              </w:numPr>
              <w:tabs>
                <w:tab w:val="left" w:pos="254"/>
              </w:tabs>
              <w:spacing w:before="40" w:after="40" w:line="276" w:lineRule="auto"/>
              <w:ind w:left="30" w:hanging="360"/>
              <w:rPr>
                <w:rFonts w:asciiTheme="minorHAnsi" w:eastAsia="Calibri" w:hAnsiTheme="minorHAnsi" w:cstheme="minorHAnsi"/>
                <w:sz w:val="18"/>
                <w:szCs w:val="18"/>
              </w:rPr>
            </w:pPr>
            <w:r w:rsidRPr="007C4D65">
              <w:rPr>
                <w:rFonts w:asciiTheme="minorHAnsi" w:hAnsiTheme="minorHAnsi" w:cstheme="minorHAnsi"/>
                <w:sz w:val="18"/>
                <w:szCs w:val="18"/>
              </w:rPr>
              <w:t>d. Status of designation of training centres for training repairers of cooling and HVAC equipment that meet the prescribed criteria</w:t>
            </w:r>
          </w:p>
        </w:tc>
        <w:tc>
          <w:tcPr>
            <w:tcW w:w="1237" w:type="pct"/>
            <w:shd w:val="clear" w:color="auto" w:fill="FFFFFF"/>
            <w:vAlign w:val="center"/>
          </w:tcPr>
          <w:p w14:paraId="6800D331" w14:textId="77777777" w:rsidR="00A8050D" w:rsidRPr="007C4D65" w:rsidRDefault="00A8050D">
            <w:pPr>
              <w:pStyle w:val="ListParagraph"/>
              <w:numPr>
                <w:ilvl w:val="0"/>
                <w:numId w:val="139"/>
              </w:numPr>
              <w:tabs>
                <w:tab w:val="left" w:pos="254"/>
              </w:tabs>
              <w:spacing w:before="40" w:after="40" w:line="276" w:lineRule="auto"/>
              <w:ind w:left="30" w:hanging="360"/>
              <w:rPr>
                <w:rFonts w:asciiTheme="minorHAnsi" w:hAnsiTheme="minorHAnsi" w:cstheme="minorHAnsi"/>
                <w:sz w:val="18"/>
                <w:szCs w:val="18"/>
              </w:rPr>
            </w:pPr>
            <w:r w:rsidRPr="007C4D65">
              <w:rPr>
                <w:rFonts w:asciiTheme="minorHAnsi" w:hAnsiTheme="minorHAnsi" w:cstheme="minorHAnsi"/>
                <w:sz w:val="18"/>
                <w:szCs w:val="18"/>
              </w:rPr>
              <w:t xml:space="preserve">The Rulebook prescribing criteria the training centres should comply with </w:t>
            </w:r>
          </w:p>
        </w:tc>
        <w:tc>
          <w:tcPr>
            <w:tcW w:w="1333" w:type="pct"/>
            <w:shd w:val="clear" w:color="auto" w:fill="FFFFFF"/>
            <w:vAlign w:val="center"/>
          </w:tcPr>
          <w:p w14:paraId="02B2FBD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Designating training centres for training repairers of cooling and HVAC equipment that meet the prescribed criteria (2023)</w:t>
            </w:r>
          </w:p>
        </w:tc>
      </w:tr>
      <w:tr w:rsidR="00A8050D" w:rsidRPr="007C4D65" w14:paraId="3EBF0850" w14:textId="77777777" w:rsidTr="00B6017F">
        <w:trPr>
          <w:trHeight w:val="567"/>
          <w:jc w:val="center"/>
        </w:trPr>
        <w:tc>
          <w:tcPr>
            <w:tcW w:w="1422" w:type="pct"/>
            <w:shd w:val="clear" w:color="auto" w:fill="009D73"/>
            <w:vAlign w:val="center"/>
          </w:tcPr>
          <w:p w14:paraId="49D4224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578" w:type="pct"/>
            <w:gridSpan w:val="3"/>
            <w:shd w:val="clear" w:color="auto" w:fill="FFFFFF"/>
            <w:vAlign w:val="center"/>
          </w:tcPr>
          <w:p w14:paraId="6A32ED1B" w14:textId="51168F79"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Improved chemicals management, minimized harmful impacts, protection of health of humans and environment</w:t>
            </w:r>
          </w:p>
        </w:tc>
      </w:tr>
      <w:tr w:rsidR="00A8050D" w:rsidRPr="007C4D65" w14:paraId="418384D2" w14:textId="77777777" w:rsidTr="00B6017F">
        <w:trPr>
          <w:trHeight w:val="567"/>
          <w:jc w:val="center"/>
        </w:trPr>
        <w:tc>
          <w:tcPr>
            <w:tcW w:w="1422" w:type="pct"/>
            <w:shd w:val="clear" w:color="auto" w:fill="009D73"/>
            <w:vAlign w:val="center"/>
          </w:tcPr>
          <w:p w14:paraId="41AEC74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Indicative financial projection, with indication of sources</w:t>
            </w:r>
          </w:p>
        </w:tc>
        <w:tc>
          <w:tcPr>
            <w:tcW w:w="3578" w:type="pct"/>
            <w:gridSpan w:val="3"/>
            <w:shd w:val="clear" w:color="auto" w:fill="FFFFFF"/>
            <w:vAlign w:val="center"/>
          </w:tcPr>
          <w:p w14:paraId="6920671A" w14:textId="698AF89C"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78,478</w:t>
            </w:r>
          </w:p>
          <w:p w14:paraId="1B204F0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Source: 100% government budget</w:t>
            </w:r>
          </w:p>
        </w:tc>
      </w:tr>
      <w:tr w:rsidR="00A8050D" w:rsidRPr="007C4D65" w14:paraId="2C166E41" w14:textId="77777777" w:rsidTr="00B6017F">
        <w:trPr>
          <w:trHeight w:val="567"/>
          <w:jc w:val="center"/>
        </w:trPr>
        <w:tc>
          <w:tcPr>
            <w:tcW w:w="1422" w:type="pct"/>
            <w:shd w:val="clear" w:color="auto" w:fill="009D73"/>
            <w:vAlign w:val="center"/>
          </w:tcPr>
          <w:p w14:paraId="6D8B539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578" w:type="pct"/>
            <w:gridSpan w:val="3"/>
            <w:shd w:val="clear" w:color="auto" w:fill="FFFFFF"/>
            <w:vAlign w:val="center"/>
          </w:tcPr>
          <w:p w14:paraId="15139A6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2024-2030</w:t>
            </w:r>
          </w:p>
        </w:tc>
      </w:tr>
      <w:tr w:rsidR="00A8050D" w:rsidRPr="007C4D65" w14:paraId="08B9C933" w14:textId="77777777" w:rsidTr="00B6017F">
        <w:trPr>
          <w:trHeight w:val="567"/>
          <w:jc w:val="center"/>
        </w:trPr>
        <w:tc>
          <w:tcPr>
            <w:tcW w:w="1422" w:type="pct"/>
            <w:shd w:val="clear" w:color="auto" w:fill="009D73"/>
            <w:vAlign w:val="center"/>
          </w:tcPr>
          <w:p w14:paraId="7390867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78" w:type="pct"/>
            <w:gridSpan w:val="3"/>
            <w:shd w:val="clear" w:color="auto" w:fill="FFFFFF"/>
            <w:vAlign w:val="center"/>
          </w:tcPr>
          <w:p w14:paraId="0A8418D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FMET</w:t>
            </w:r>
          </w:p>
        </w:tc>
      </w:tr>
      <w:tr w:rsidR="00A8050D" w:rsidRPr="007C4D65" w14:paraId="510E1B4C" w14:textId="77777777" w:rsidTr="00B6017F">
        <w:trPr>
          <w:trHeight w:val="567"/>
          <w:jc w:val="center"/>
        </w:trPr>
        <w:tc>
          <w:tcPr>
            <w:tcW w:w="1422" w:type="pct"/>
            <w:shd w:val="clear" w:color="auto" w:fill="009D73"/>
            <w:vAlign w:val="center"/>
          </w:tcPr>
          <w:p w14:paraId="5A685BE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w:t>
            </w:r>
          </w:p>
        </w:tc>
        <w:tc>
          <w:tcPr>
            <w:tcW w:w="3578" w:type="pct"/>
            <w:gridSpan w:val="3"/>
            <w:shd w:val="clear" w:color="auto" w:fill="FFFFFF"/>
            <w:vAlign w:val="center"/>
          </w:tcPr>
          <w:p w14:paraId="7099A2F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FMET, Environmental Protection Fund of Federation of BiH</w:t>
            </w:r>
          </w:p>
        </w:tc>
      </w:tr>
      <w:tr w:rsidR="00A8050D" w:rsidRPr="007C4D65" w14:paraId="4A83B31D" w14:textId="77777777" w:rsidTr="00B6017F">
        <w:trPr>
          <w:trHeight w:val="567"/>
          <w:jc w:val="center"/>
        </w:trPr>
        <w:tc>
          <w:tcPr>
            <w:tcW w:w="1422" w:type="pct"/>
            <w:shd w:val="clear" w:color="auto" w:fill="009D73"/>
            <w:vAlign w:val="center"/>
          </w:tcPr>
          <w:p w14:paraId="253A21BB" w14:textId="1CD654FA"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578" w:type="pct"/>
            <w:gridSpan w:val="3"/>
            <w:shd w:val="clear" w:color="auto" w:fill="FFFFFF"/>
            <w:vAlign w:val="center"/>
          </w:tcPr>
          <w:p w14:paraId="422CC4B9" w14:textId="137068D8"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Operators of systems for heating, ventilation and air conditioning (HVAC), repairers/servicing shops for HVAC equipment, centres for training HVAC service workers</w:t>
            </w:r>
          </w:p>
        </w:tc>
      </w:tr>
    </w:tbl>
    <w:p w14:paraId="397B4B6F" w14:textId="77777777" w:rsidR="00A8050D" w:rsidRPr="007C4D65" w:rsidRDefault="00A8050D" w:rsidP="00A8050D">
      <w:pPr>
        <w:spacing w:line="276" w:lineRule="auto"/>
        <w:rPr>
          <w:rFonts w:asciiTheme="minorHAnsi" w:hAnsiTheme="minorHAnsi" w:cstheme="minorHAnsi"/>
          <w:sz w:val="18"/>
          <w:szCs w:val="18"/>
          <w:lang w:val="hr-HR"/>
        </w:rPr>
      </w:pPr>
    </w:p>
    <w:tbl>
      <w:tblPr>
        <w:tblW w:w="4802"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8"/>
        <w:gridCol w:w="2781"/>
        <w:gridCol w:w="3392"/>
        <w:gridCol w:w="3395"/>
      </w:tblGrid>
      <w:tr w:rsidR="00A8050D" w:rsidRPr="007C4D65" w14:paraId="1F5FDB58" w14:textId="77777777" w:rsidTr="00B6017F">
        <w:trPr>
          <w:trHeight w:val="567"/>
          <w:jc w:val="center"/>
        </w:trPr>
        <w:tc>
          <w:tcPr>
            <w:tcW w:w="1429" w:type="pct"/>
            <w:shd w:val="clear" w:color="auto" w:fill="009D73"/>
            <w:vAlign w:val="center"/>
          </w:tcPr>
          <w:p w14:paraId="4A09AA61" w14:textId="3C476AA6"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71" w:type="pct"/>
            <w:gridSpan w:val="3"/>
            <w:shd w:val="clear" w:color="auto" w:fill="FFFFFF"/>
            <w:vAlign w:val="center"/>
          </w:tcPr>
          <w:p w14:paraId="6FDA28E5" w14:textId="2B094101"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 </w:t>
            </w:r>
            <w:r w:rsidR="00206652" w:rsidRPr="007C4D65">
              <w:rPr>
                <w:rFonts w:asciiTheme="minorHAnsi" w:hAnsiTheme="minorHAnsi" w:cstheme="minorHAnsi"/>
                <w:b/>
                <w:sz w:val="18"/>
                <w:szCs w:val="18"/>
              </w:rPr>
              <w:t>Human health protection</w:t>
            </w:r>
            <w:r w:rsidRPr="007C4D65">
              <w:rPr>
                <w:rFonts w:asciiTheme="minorHAnsi" w:hAnsiTheme="minorHAnsi" w:cstheme="minorHAnsi"/>
                <w:b/>
                <w:sz w:val="18"/>
                <w:szCs w:val="18"/>
              </w:rPr>
              <w:t xml:space="preserve"> and improving well-being and quality of life for all</w:t>
            </w:r>
          </w:p>
        </w:tc>
      </w:tr>
      <w:tr w:rsidR="00A8050D" w:rsidRPr="007C4D65" w14:paraId="0328F1BD" w14:textId="77777777" w:rsidTr="00B6017F">
        <w:trPr>
          <w:trHeight w:val="567"/>
          <w:jc w:val="center"/>
        </w:trPr>
        <w:tc>
          <w:tcPr>
            <w:tcW w:w="1429" w:type="pct"/>
            <w:shd w:val="clear" w:color="auto" w:fill="009D73"/>
            <w:vAlign w:val="center"/>
          </w:tcPr>
          <w:p w14:paraId="3B6E861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71" w:type="pct"/>
            <w:gridSpan w:val="3"/>
            <w:shd w:val="clear" w:color="auto" w:fill="FFFFFF"/>
            <w:vAlign w:val="center"/>
          </w:tcPr>
          <w:p w14:paraId="1A1A6F35"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5.3. Efficient operation of the Federation of BiH institutions in the field of chemical safety</w:t>
            </w:r>
          </w:p>
        </w:tc>
      </w:tr>
      <w:tr w:rsidR="00A8050D" w:rsidRPr="007C4D65" w14:paraId="52CC3109" w14:textId="77777777" w:rsidTr="00B6017F">
        <w:trPr>
          <w:trHeight w:val="567"/>
          <w:jc w:val="center"/>
        </w:trPr>
        <w:tc>
          <w:tcPr>
            <w:tcW w:w="1429" w:type="pct"/>
            <w:shd w:val="clear" w:color="auto" w:fill="009D73"/>
            <w:vAlign w:val="center"/>
          </w:tcPr>
          <w:p w14:paraId="54CE9CF3" w14:textId="2150F51D"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571" w:type="pct"/>
            <w:gridSpan w:val="3"/>
            <w:shd w:val="clear" w:color="auto" w:fill="FFFFFF"/>
            <w:vAlign w:val="center"/>
          </w:tcPr>
          <w:p w14:paraId="15680673" w14:textId="77777777"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5.3. 1 Enhance human and technical capacities and competences of public services </w:t>
            </w:r>
            <w:proofErr w:type="gramStart"/>
            <w:r w:rsidRPr="007C4D65">
              <w:rPr>
                <w:rFonts w:asciiTheme="minorHAnsi" w:hAnsiTheme="minorHAnsi" w:cstheme="minorHAnsi"/>
                <w:b/>
                <w:sz w:val="18"/>
                <w:szCs w:val="18"/>
              </w:rPr>
              <w:t>in the area of</w:t>
            </w:r>
            <w:proofErr w:type="gramEnd"/>
            <w:r w:rsidRPr="007C4D65">
              <w:rPr>
                <w:rFonts w:asciiTheme="minorHAnsi" w:hAnsiTheme="minorHAnsi" w:cstheme="minorHAnsi"/>
                <w:b/>
                <w:sz w:val="18"/>
                <w:szCs w:val="18"/>
              </w:rPr>
              <w:t xml:space="preserve"> chemicals safety</w:t>
            </w:r>
          </w:p>
        </w:tc>
      </w:tr>
      <w:tr w:rsidR="00A8050D" w:rsidRPr="007C4D65" w14:paraId="2BE43FD7" w14:textId="77777777" w:rsidTr="00B6017F">
        <w:trPr>
          <w:trHeight w:val="567"/>
          <w:jc w:val="center"/>
        </w:trPr>
        <w:tc>
          <w:tcPr>
            <w:tcW w:w="1429" w:type="pct"/>
            <w:shd w:val="clear" w:color="auto" w:fill="009D73"/>
            <w:vAlign w:val="center"/>
          </w:tcPr>
          <w:p w14:paraId="7E81F62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571" w:type="pct"/>
            <w:gridSpan w:val="3"/>
            <w:shd w:val="clear" w:color="auto" w:fill="FFFFFF"/>
            <w:vAlign w:val="center"/>
          </w:tcPr>
          <w:p w14:paraId="5ACCB50B"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This measure aims to strengthen human and technical capacities of institutions responsible for effective implementation of legislation in the field of chemical safety.</w:t>
            </w:r>
          </w:p>
          <w:p w14:paraId="7A4A4B79" w14:textId="5A72D6B9"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General areas of intervention:</w:t>
            </w:r>
          </w:p>
          <w:p w14:paraId="0F3E510E" w14:textId="02A45027" w:rsidR="00A8050D" w:rsidRPr="007C4D65" w:rsidRDefault="00A8050D">
            <w:pPr>
              <w:pStyle w:val="ListParagraph"/>
              <w:numPr>
                <w:ilvl w:val="0"/>
                <w:numId w:val="175"/>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Analyse human and technical capacities in competent institutions once the legislation foreseen in this Plan were </w:t>
            </w:r>
            <w:proofErr w:type="gramStart"/>
            <w:r w:rsidRPr="007C4D65">
              <w:rPr>
                <w:rFonts w:asciiTheme="minorHAnsi" w:hAnsiTheme="minorHAnsi" w:cstheme="minorHAnsi"/>
                <w:sz w:val="18"/>
                <w:szCs w:val="18"/>
              </w:rPr>
              <w:t>adopted</w:t>
            </w:r>
            <w:r w:rsidR="005452A5" w:rsidRPr="007C4D65">
              <w:rPr>
                <w:rFonts w:asciiTheme="minorHAnsi" w:eastAsia="Calibri" w:hAnsiTheme="minorHAnsi" w:cstheme="minorHAnsi"/>
                <w:sz w:val="18"/>
                <w:szCs w:val="18"/>
              </w:rPr>
              <w:t>;</w:t>
            </w:r>
            <w:proofErr w:type="gramEnd"/>
          </w:p>
          <w:p w14:paraId="64B82F5F" w14:textId="74A38C95" w:rsidR="00A8050D" w:rsidRPr="007C4D65" w:rsidRDefault="00A8050D">
            <w:pPr>
              <w:pStyle w:val="ListParagraph"/>
              <w:numPr>
                <w:ilvl w:val="0"/>
                <w:numId w:val="175"/>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Hire and train new people in public services in the field of chemical safety, and procure equipment, in accordance with the requirements of the new regulations and the analysis previously </w:t>
            </w:r>
            <w:proofErr w:type="gramStart"/>
            <w:r w:rsidRPr="007C4D65">
              <w:rPr>
                <w:rFonts w:asciiTheme="minorHAnsi" w:hAnsiTheme="minorHAnsi" w:cstheme="minorHAnsi"/>
                <w:sz w:val="18"/>
                <w:szCs w:val="18"/>
              </w:rPr>
              <w:t>made</w:t>
            </w:r>
            <w:r w:rsidR="005452A5" w:rsidRPr="007C4D65">
              <w:rPr>
                <w:rFonts w:asciiTheme="minorHAnsi" w:eastAsia="Calibri" w:hAnsiTheme="minorHAnsi" w:cstheme="minorHAnsi"/>
                <w:sz w:val="18"/>
                <w:szCs w:val="18"/>
              </w:rPr>
              <w:t>;</w:t>
            </w:r>
            <w:proofErr w:type="gramEnd"/>
          </w:p>
          <w:p w14:paraId="08FE2C94" w14:textId="4155149C" w:rsidR="00A8050D" w:rsidRPr="007C4D65" w:rsidRDefault="00A8050D">
            <w:pPr>
              <w:pStyle w:val="ListParagraph"/>
              <w:numPr>
                <w:ilvl w:val="0"/>
                <w:numId w:val="175"/>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Developed plan and programme of annual training of civil servants in the area of chemical safety continuous provision of the </w:t>
            </w:r>
            <w:proofErr w:type="gramStart"/>
            <w:r w:rsidRPr="007C4D65">
              <w:rPr>
                <w:rFonts w:asciiTheme="minorHAnsi" w:hAnsiTheme="minorHAnsi" w:cstheme="minorHAnsi"/>
                <w:sz w:val="18"/>
                <w:szCs w:val="18"/>
              </w:rPr>
              <w:t>training</w:t>
            </w:r>
            <w:r w:rsidR="005452A5" w:rsidRPr="007C4D65">
              <w:rPr>
                <w:rFonts w:asciiTheme="minorHAnsi" w:eastAsia="Calibri" w:hAnsiTheme="minorHAnsi" w:cstheme="minorHAnsi"/>
                <w:sz w:val="18"/>
                <w:szCs w:val="18"/>
              </w:rPr>
              <w:t>;</w:t>
            </w:r>
            <w:proofErr w:type="gramEnd"/>
          </w:p>
          <w:p w14:paraId="1A00CDCF" w14:textId="78048567" w:rsidR="00A8050D" w:rsidRPr="007C4D65" w:rsidRDefault="00A8050D">
            <w:pPr>
              <w:pStyle w:val="ListParagraph"/>
              <w:numPr>
                <w:ilvl w:val="0"/>
                <w:numId w:val="175"/>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Analysis of human and technical capacities and financial needs for establishment of the Poison Control Centre of Federation of </w:t>
            </w:r>
            <w:proofErr w:type="gramStart"/>
            <w:r w:rsidRPr="007C4D65">
              <w:rPr>
                <w:rFonts w:asciiTheme="minorHAnsi" w:hAnsiTheme="minorHAnsi" w:cstheme="minorHAnsi"/>
                <w:sz w:val="18"/>
                <w:szCs w:val="18"/>
              </w:rPr>
              <w:t>BiH, and</w:t>
            </w:r>
            <w:proofErr w:type="gramEnd"/>
            <w:r w:rsidRPr="007C4D65">
              <w:rPr>
                <w:rFonts w:asciiTheme="minorHAnsi" w:hAnsiTheme="minorHAnsi" w:cstheme="minorHAnsi"/>
                <w:sz w:val="18"/>
                <w:szCs w:val="18"/>
              </w:rPr>
              <w:t xml:space="preserve"> making decision on selecting / designating legal persons responsible for poison control</w:t>
            </w:r>
            <w:r w:rsidR="005452A5" w:rsidRPr="007C4D65">
              <w:rPr>
                <w:rFonts w:asciiTheme="minorHAnsi" w:eastAsia="Calibri" w:hAnsiTheme="minorHAnsi" w:cstheme="minorHAnsi"/>
                <w:sz w:val="18"/>
                <w:szCs w:val="18"/>
              </w:rPr>
              <w:t>.</w:t>
            </w:r>
          </w:p>
        </w:tc>
      </w:tr>
      <w:tr w:rsidR="00A8050D" w:rsidRPr="007C4D65" w14:paraId="755F9273" w14:textId="77777777" w:rsidTr="00B6017F">
        <w:trPr>
          <w:trHeight w:val="567"/>
          <w:jc w:val="center"/>
        </w:trPr>
        <w:tc>
          <w:tcPr>
            <w:tcW w:w="1429" w:type="pct"/>
            <w:shd w:val="clear" w:color="auto" w:fill="009D73"/>
            <w:vAlign w:val="center"/>
          </w:tcPr>
          <w:p w14:paraId="6E71D31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Strategic projects</w:t>
            </w:r>
          </w:p>
        </w:tc>
        <w:tc>
          <w:tcPr>
            <w:tcW w:w="3571" w:type="pct"/>
            <w:gridSpan w:val="3"/>
            <w:shd w:val="clear" w:color="auto" w:fill="FFFFFF" w:themeFill="background1"/>
            <w:vAlign w:val="center"/>
          </w:tcPr>
          <w:p w14:paraId="1FBB740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1D1D22C4" w14:textId="77777777" w:rsidTr="00B6017F">
        <w:trPr>
          <w:trHeight w:val="567"/>
          <w:jc w:val="center"/>
        </w:trPr>
        <w:tc>
          <w:tcPr>
            <w:tcW w:w="1429" w:type="pct"/>
            <w:vMerge w:val="restart"/>
            <w:shd w:val="clear" w:color="auto" w:fill="009D73"/>
            <w:vAlign w:val="center"/>
          </w:tcPr>
          <w:p w14:paraId="6E82386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38" w:type="pct"/>
            <w:shd w:val="clear" w:color="auto" w:fill="009D73"/>
            <w:vAlign w:val="center"/>
          </w:tcPr>
          <w:p w14:paraId="14BB376B"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6D49AF8D" w14:textId="476F0C62"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shd w:val="clear" w:color="auto" w:fill="009D73"/>
            <w:vAlign w:val="center"/>
          </w:tcPr>
          <w:p w14:paraId="3EE0B074"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4CDE3246"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shd w:val="clear" w:color="auto" w:fill="009D73"/>
            <w:vAlign w:val="center"/>
          </w:tcPr>
          <w:p w14:paraId="033B82FF"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19F1DF04" w14:textId="77777777" w:rsidTr="00B6017F">
        <w:trPr>
          <w:trHeight w:val="567"/>
          <w:jc w:val="center"/>
        </w:trPr>
        <w:tc>
          <w:tcPr>
            <w:tcW w:w="1429" w:type="pct"/>
            <w:vMerge/>
            <w:shd w:val="clear" w:color="auto" w:fill="009D73"/>
            <w:vAlign w:val="center"/>
          </w:tcPr>
          <w:p w14:paraId="01CB808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shd w:val="clear" w:color="auto" w:fill="FFFFFF"/>
            <w:vAlign w:val="center"/>
          </w:tcPr>
          <w:p w14:paraId="770EF59D" w14:textId="77777777" w:rsidR="00A8050D" w:rsidRPr="007C4D65" w:rsidRDefault="00A8050D">
            <w:pPr>
              <w:pStyle w:val="ListParagraph"/>
              <w:numPr>
                <w:ilvl w:val="0"/>
                <w:numId w:val="140"/>
              </w:numPr>
              <w:tabs>
                <w:tab w:val="left" w:pos="254"/>
              </w:tabs>
              <w:spacing w:before="40" w:after="40" w:line="276" w:lineRule="auto"/>
              <w:ind w:left="0" w:hanging="360"/>
              <w:rPr>
                <w:rFonts w:asciiTheme="minorHAnsi" w:eastAsia="Calibri" w:hAnsiTheme="minorHAnsi" w:cstheme="minorHAnsi"/>
                <w:sz w:val="18"/>
                <w:szCs w:val="18"/>
              </w:rPr>
            </w:pPr>
            <w:r w:rsidRPr="007C4D65">
              <w:rPr>
                <w:rFonts w:asciiTheme="minorHAnsi" w:hAnsiTheme="minorHAnsi" w:cstheme="minorHAnsi"/>
                <w:sz w:val="18"/>
                <w:szCs w:val="18"/>
              </w:rPr>
              <w:t>a. Analysis of capacities of competent institutions in Federation of BiH in the field of chemical safety after the adoption of legislation</w:t>
            </w:r>
          </w:p>
        </w:tc>
        <w:tc>
          <w:tcPr>
            <w:tcW w:w="1266" w:type="pct"/>
            <w:shd w:val="clear" w:color="auto" w:fill="FFFFFF"/>
            <w:vAlign w:val="center"/>
          </w:tcPr>
          <w:p w14:paraId="13F16CD2" w14:textId="607EAD5D"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There is no relevant analysis of capacities of competent institutions in the Federation of BiH in the field of chemical safety It needs to be made, and possibly updated once the proposed legislation is drafted</w:t>
            </w:r>
          </w:p>
        </w:tc>
        <w:tc>
          <w:tcPr>
            <w:tcW w:w="1267" w:type="pct"/>
            <w:shd w:val="clear" w:color="auto" w:fill="FFFFFF"/>
            <w:vAlign w:val="center"/>
          </w:tcPr>
          <w:p w14:paraId="0157A216" w14:textId="76CDA6D1" w:rsidR="00A8050D" w:rsidRPr="007C4D65" w:rsidRDefault="00A8050D" w:rsidP="005452A5">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rPr>
              <w:t>Completed Report on Analysis of capacities of responsible institutions in Federation of BiH in the field of chemical safety after the adoption of the legislation (2024)</w:t>
            </w:r>
          </w:p>
        </w:tc>
      </w:tr>
      <w:tr w:rsidR="00A8050D" w:rsidRPr="007C4D65" w14:paraId="12C17624" w14:textId="77777777" w:rsidTr="00B6017F">
        <w:trPr>
          <w:trHeight w:val="567"/>
          <w:jc w:val="center"/>
        </w:trPr>
        <w:tc>
          <w:tcPr>
            <w:tcW w:w="1429" w:type="pct"/>
            <w:vMerge/>
            <w:shd w:val="clear" w:color="auto" w:fill="009D73"/>
            <w:vAlign w:val="center"/>
          </w:tcPr>
          <w:p w14:paraId="6F0558B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shd w:val="clear" w:color="auto" w:fill="FFFFFF"/>
            <w:vAlign w:val="center"/>
          </w:tcPr>
          <w:p w14:paraId="3B288B81" w14:textId="77777777" w:rsidR="00A8050D" w:rsidRPr="007C4D65" w:rsidRDefault="00A8050D">
            <w:pPr>
              <w:pStyle w:val="ListParagraph"/>
              <w:numPr>
                <w:ilvl w:val="0"/>
                <w:numId w:val="140"/>
              </w:numPr>
              <w:tabs>
                <w:tab w:val="left" w:pos="254"/>
              </w:tabs>
              <w:spacing w:before="40" w:after="40" w:line="276" w:lineRule="auto"/>
              <w:ind w:left="30" w:hanging="360"/>
              <w:rPr>
                <w:rFonts w:asciiTheme="minorHAnsi" w:eastAsia="Calibri" w:hAnsiTheme="minorHAnsi" w:cstheme="minorHAnsi"/>
                <w:sz w:val="18"/>
                <w:szCs w:val="18"/>
              </w:rPr>
            </w:pPr>
            <w:r w:rsidRPr="007C4D65">
              <w:rPr>
                <w:rFonts w:asciiTheme="minorHAnsi" w:hAnsiTheme="minorHAnsi" w:cstheme="minorHAnsi"/>
                <w:sz w:val="18"/>
                <w:szCs w:val="18"/>
              </w:rPr>
              <w:t>b. Implementation status of the identified shortcomings of the analysis of capacities of responsible institutions after the adoption of legislation</w:t>
            </w:r>
          </w:p>
        </w:tc>
        <w:tc>
          <w:tcPr>
            <w:tcW w:w="1266" w:type="pct"/>
            <w:shd w:val="clear" w:color="auto" w:fill="FFFFFF"/>
            <w:vAlign w:val="center"/>
          </w:tcPr>
          <w:p w14:paraId="1D7CA63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There is no relevant analysis of capacities of responsible institutions It needs to be made, and possibly updated once the proposed legislation is developed. </w:t>
            </w:r>
          </w:p>
        </w:tc>
        <w:tc>
          <w:tcPr>
            <w:tcW w:w="1267" w:type="pct"/>
            <w:shd w:val="clear" w:color="auto" w:fill="FFFFFF"/>
            <w:vAlign w:val="center"/>
          </w:tcPr>
          <w:p w14:paraId="520130F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Hire and train new people in institutions in the field of chemical safety, in accordance with the requirements of the new legislation and the analysis previously made (2025)</w:t>
            </w:r>
          </w:p>
        </w:tc>
      </w:tr>
      <w:tr w:rsidR="00A8050D" w:rsidRPr="007C4D65" w14:paraId="1AA56CDD" w14:textId="77777777" w:rsidTr="00B6017F">
        <w:trPr>
          <w:trHeight w:val="567"/>
          <w:jc w:val="center"/>
        </w:trPr>
        <w:tc>
          <w:tcPr>
            <w:tcW w:w="1429" w:type="pct"/>
            <w:vMerge/>
            <w:shd w:val="clear" w:color="auto" w:fill="009D73"/>
            <w:vAlign w:val="center"/>
          </w:tcPr>
          <w:p w14:paraId="22DDEBD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shd w:val="clear" w:color="auto" w:fill="FFFFFF"/>
            <w:vAlign w:val="center"/>
          </w:tcPr>
          <w:p w14:paraId="36AD69C1" w14:textId="77777777" w:rsidR="00A8050D" w:rsidRPr="007C4D65" w:rsidRDefault="00A8050D">
            <w:pPr>
              <w:pStyle w:val="ListParagraph"/>
              <w:numPr>
                <w:ilvl w:val="0"/>
                <w:numId w:val="140"/>
              </w:numPr>
              <w:tabs>
                <w:tab w:val="left" w:pos="254"/>
              </w:tabs>
              <w:spacing w:before="40" w:after="40" w:line="276" w:lineRule="auto"/>
              <w:ind w:left="30" w:hanging="360"/>
              <w:rPr>
                <w:rFonts w:asciiTheme="minorHAnsi" w:eastAsia="Calibri" w:hAnsiTheme="minorHAnsi" w:cstheme="minorHAnsi"/>
                <w:sz w:val="18"/>
                <w:szCs w:val="18"/>
              </w:rPr>
            </w:pPr>
            <w:r w:rsidRPr="007C4D65">
              <w:rPr>
                <w:rFonts w:asciiTheme="minorHAnsi" w:hAnsiTheme="minorHAnsi" w:cstheme="minorHAnsi"/>
                <w:sz w:val="18"/>
                <w:szCs w:val="18"/>
              </w:rPr>
              <w:t xml:space="preserve">c. Implementation status of the plan and programme of annual training of civil servants on the topic of chemical safety </w:t>
            </w:r>
          </w:p>
        </w:tc>
        <w:tc>
          <w:tcPr>
            <w:tcW w:w="1266" w:type="pct"/>
            <w:shd w:val="clear" w:color="auto" w:fill="FFFFFF"/>
            <w:vAlign w:val="center"/>
          </w:tcPr>
          <w:p w14:paraId="35BED20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There is no plan and programme of annual training of civil servants on the topic of chemical safety</w:t>
            </w:r>
          </w:p>
        </w:tc>
        <w:tc>
          <w:tcPr>
            <w:tcW w:w="1267" w:type="pct"/>
            <w:shd w:val="clear" w:color="auto" w:fill="FFFFFF"/>
            <w:vAlign w:val="center"/>
          </w:tcPr>
          <w:p w14:paraId="748B2F6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Developed plan and programme of annual training of civil servants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chemical safety, and first training implemented (2026)</w:t>
            </w:r>
          </w:p>
        </w:tc>
      </w:tr>
      <w:tr w:rsidR="00A8050D" w:rsidRPr="007C4D65" w14:paraId="17B9AFE7" w14:textId="77777777" w:rsidTr="00B6017F">
        <w:trPr>
          <w:trHeight w:val="567"/>
          <w:jc w:val="center"/>
        </w:trPr>
        <w:tc>
          <w:tcPr>
            <w:tcW w:w="1429" w:type="pct"/>
            <w:vMerge/>
            <w:shd w:val="clear" w:color="auto" w:fill="009D73"/>
            <w:vAlign w:val="center"/>
          </w:tcPr>
          <w:p w14:paraId="574E1ED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shd w:val="clear" w:color="auto" w:fill="FFFFFF"/>
            <w:vAlign w:val="center"/>
          </w:tcPr>
          <w:p w14:paraId="6B022606" w14:textId="4A859E8E" w:rsidR="00A8050D" w:rsidRPr="007C4D65" w:rsidRDefault="00A8050D">
            <w:pPr>
              <w:pStyle w:val="ListParagraph"/>
              <w:numPr>
                <w:ilvl w:val="0"/>
                <w:numId w:val="140"/>
              </w:numPr>
              <w:tabs>
                <w:tab w:val="left" w:pos="254"/>
              </w:tabs>
              <w:spacing w:before="40" w:after="40" w:line="276" w:lineRule="auto"/>
              <w:ind w:left="30" w:hanging="360"/>
              <w:rPr>
                <w:rFonts w:asciiTheme="minorHAnsi" w:eastAsia="Calibri" w:hAnsiTheme="minorHAnsi" w:cstheme="minorHAnsi"/>
                <w:sz w:val="18"/>
                <w:szCs w:val="18"/>
              </w:rPr>
            </w:pPr>
            <w:r w:rsidRPr="007C4D65">
              <w:rPr>
                <w:rFonts w:asciiTheme="minorHAnsi" w:hAnsiTheme="minorHAnsi" w:cstheme="minorHAnsi"/>
                <w:sz w:val="18"/>
                <w:szCs w:val="18"/>
              </w:rPr>
              <w:t>d. Analysis of human and technical capacities and financial needs for establishment of the Poison Control Centre of the Federation of BiH, and making decision on selecting / designating legal persons responsible for poison control</w:t>
            </w:r>
          </w:p>
        </w:tc>
        <w:tc>
          <w:tcPr>
            <w:tcW w:w="1266" w:type="pct"/>
            <w:shd w:val="clear" w:color="auto" w:fill="FFFFFF"/>
            <w:vAlign w:val="center"/>
          </w:tcPr>
          <w:p w14:paraId="4C79A10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At present time, no legal persons responsible for poison control have been appointed Obligations of the appointed legal persons stem from Art. 45. of the Law on Chemicals (Official Gazette of Federation of BiH, 77/20)</w:t>
            </w:r>
          </w:p>
        </w:tc>
        <w:tc>
          <w:tcPr>
            <w:tcW w:w="1267" w:type="pct"/>
            <w:shd w:val="clear" w:color="auto" w:fill="FFFFFF"/>
            <w:vAlign w:val="center"/>
          </w:tcPr>
          <w:p w14:paraId="712446B6"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Completed analysis of human and technical capacities and financial needs for establishment of the Poison Control Centre of the Federation of BiH, and making decision on selecting / designating legal persons responsible for poison control (2023)</w:t>
            </w:r>
          </w:p>
        </w:tc>
      </w:tr>
      <w:tr w:rsidR="00A8050D" w:rsidRPr="007C4D65" w14:paraId="16AD553E" w14:textId="77777777" w:rsidTr="00B6017F">
        <w:trPr>
          <w:trHeight w:val="567"/>
          <w:jc w:val="center"/>
        </w:trPr>
        <w:tc>
          <w:tcPr>
            <w:tcW w:w="1429" w:type="pct"/>
            <w:shd w:val="clear" w:color="auto" w:fill="009D73"/>
            <w:vAlign w:val="center"/>
          </w:tcPr>
          <w:p w14:paraId="499DE71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571" w:type="pct"/>
            <w:gridSpan w:val="3"/>
            <w:shd w:val="clear" w:color="auto" w:fill="FFFFFF"/>
            <w:vAlign w:val="center"/>
          </w:tcPr>
          <w:p w14:paraId="49B743B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Improved chemicals management, minimized harmful impacts, protection of health of humans and environment </w:t>
            </w:r>
          </w:p>
        </w:tc>
      </w:tr>
      <w:tr w:rsidR="00A8050D" w:rsidRPr="007C4D65" w14:paraId="19346BAC" w14:textId="77777777" w:rsidTr="00B6017F">
        <w:trPr>
          <w:trHeight w:val="567"/>
          <w:jc w:val="center"/>
        </w:trPr>
        <w:tc>
          <w:tcPr>
            <w:tcW w:w="1429" w:type="pct"/>
            <w:shd w:val="clear" w:color="auto" w:fill="009D73"/>
            <w:vAlign w:val="center"/>
          </w:tcPr>
          <w:p w14:paraId="12ABE0E0"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571" w:type="pct"/>
            <w:gridSpan w:val="3"/>
            <w:shd w:val="clear" w:color="auto" w:fill="FFFFFF" w:themeFill="background1"/>
            <w:vAlign w:val="center"/>
          </w:tcPr>
          <w:p w14:paraId="66DEB170" w14:textId="03208688"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2,287,141</w:t>
            </w:r>
          </w:p>
          <w:p w14:paraId="0849FB2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Source: 10% from the government budget, 90% </w:t>
            </w:r>
            <w:r w:rsidRPr="007C4D65">
              <w:rPr>
                <w:rFonts w:asciiTheme="minorHAnsi" w:eastAsia="Calibri" w:hAnsiTheme="minorHAnsi" w:cstheme="minorHAnsi"/>
                <w:sz w:val="18"/>
                <w:szCs w:val="18"/>
              </w:rPr>
              <w:t>combined ‒ loans, funds from EU and other international donors, and other donations</w:t>
            </w:r>
          </w:p>
        </w:tc>
      </w:tr>
      <w:tr w:rsidR="00A8050D" w:rsidRPr="007C4D65" w14:paraId="03D2931C" w14:textId="77777777" w:rsidTr="00B6017F">
        <w:trPr>
          <w:trHeight w:val="567"/>
          <w:jc w:val="center"/>
        </w:trPr>
        <w:tc>
          <w:tcPr>
            <w:tcW w:w="1429" w:type="pct"/>
            <w:shd w:val="clear" w:color="auto" w:fill="009D73"/>
            <w:vAlign w:val="center"/>
          </w:tcPr>
          <w:p w14:paraId="0B1365E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571" w:type="pct"/>
            <w:gridSpan w:val="3"/>
            <w:shd w:val="clear" w:color="auto" w:fill="FFFFFF"/>
            <w:vAlign w:val="center"/>
          </w:tcPr>
          <w:p w14:paraId="0239F0A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2022-2026</w:t>
            </w:r>
          </w:p>
        </w:tc>
      </w:tr>
      <w:tr w:rsidR="00A8050D" w:rsidRPr="007C4D65" w14:paraId="315B4BD9" w14:textId="77777777" w:rsidTr="00B6017F">
        <w:trPr>
          <w:trHeight w:val="567"/>
          <w:jc w:val="center"/>
        </w:trPr>
        <w:tc>
          <w:tcPr>
            <w:tcW w:w="1429" w:type="pct"/>
            <w:shd w:val="clear" w:color="auto" w:fill="009D73"/>
            <w:vAlign w:val="center"/>
          </w:tcPr>
          <w:p w14:paraId="40625B7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71" w:type="pct"/>
            <w:gridSpan w:val="3"/>
            <w:shd w:val="clear" w:color="auto" w:fill="FFFFFF"/>
            <w:vAlign w:val="center"/>
          </w:tcPr>
          <w:p w14:paraId="185C8B5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FMH</w:t>
            </w:r>
          </w:p>
        </w:tc>
      </w:tr>
      <w:tr w:rsidR="00A8050D" w:rsidRPr="007C4D65" w14:paraId="07641F73" w14:textId="77777777" w:rsidTr="00B6017F">
        <w:trPr>
          <w:trHeight w:val="567"/>
          <w:jc w:val="center"/>
        </w:trPr>
        <w:tc>
          <w:tcPr>
            <w:tcW w:w="1429" w:type="pct"/>
            <w:shd w:val="clear" w:color="auto" w:fill="009D73"/>
            <w:vAlign w:val="center"/>
          </w:tcPr>
          <w:p w14:paraId="16798E3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Implementing institution</w:t>
            </w:r>
          </w:p>
        </w:tc>
        <w:tc>
          <w:tcPr>
            <w:tcW w:w="3571" w:type="pct"/>
            <w:gridSpan w:val="3"/>
            <w:shd w:val="clear" w:color="auto" w:fill="FFFFFF"/>
            <w:vAlign w:val="center"/>
          </w:tcPr>
          <w:p w14:paraId="50527BC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FMH, FMET, FBiH Administration for Inspection</w:t>
            </w:r>
          </w:p>
        </w:tc>
      </w:tr>
      <w:tr w:rsidR="00A8050D" w:rsidRPr="007C4D65" w14:paraId="105B6684" w14:textId="77777777" w:rsidTr="00B6017F">
        <w:trPr>
          <w:trHeight w:val="567"/>
          <w:jc w:val="center"/>
        </w:trPr>
        <w:tc>
          <w:tcPr>
            <w:tcW w:w="1429" w:type="pct"/>
            <w:shd w:val="clear" w:color="auto" w:fill="009D73"/>
            <w:vAlign w:val="center"/>
          </w:tcPr>
          <w:p w14:paraId="27172631" w14:textId="7B356724"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571" w:type="pct"/>
            <w:gridSpan w:val="3"/>
            <w:shd w:val="clear" w:color="auto" w:fill="FFFFFF"/>
            <w:vAlign w:val="center"/>
          </w:tcPr>
          <w:p w14:paraId="3E20EE1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FBiH institutions operating in the field of health and environment</w:t>
            </w:r>
          </w:p>
        </w:tc>
      </w:tr>
    </w:tbl>
    <w:p w14:paraId="1D788E3A" w14:textId="77777777" w:rsidR="00A8050D" w:rsidRPr="007C4D65" w:rsidRDefault="00A8050D" w:rsidP="00A8050D">
      <w:pPr>
        <w:spacing w:line="276" w:lineRule="auto"/>
        <w:rPr>
          <w:rFonts w:asciiTheme="minorHAnsi" w:hAnsiTheme="minorHAnsi" w:cstheme="minorHAnsi"/>
          <w:sz w:val="18"/>
          <w:szCs w:val="18"/>
          <w:lang w:val="hr-HR"/>
        </w:rPr>
      </w:pPr>
    </w:p>
    <w:tbl>
      <w:tblPr>
        <w:tblW w:w="48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828"/>
        <w:gridCol w:w="2781"/>
        <w:gridCol w:w="3392"/>
        <w:gridCol w:w="3395"/>
      </w:tblGrid>
      <w:tr w:rsidR="00A8050D" w:rsidRPr="007C4D65" w14:paraId="55A3E7BA"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4F50A5B" w14:textId="313C1135"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79B233F" w14:textId="794E39BC"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 </w:t>
            </w:r>
            <w:r w:rsidR="00206652" w:rsidRPr="007C4D65">
              <w:rPr>
                <w:rFonts w:asciiTheme="minorHAnsi" w:hAnsiTheme="minorHAnsi" w:cstheme="minorHAnsi"/>
                <w:b/>
                <w:sz w:val="18"/>
                <w:szCs w:val="18"/>
              </w:rPr>
              <w:t>Human health protection</w:t>
            </w:r>
            <w:r w:rsidRPr="007C4D65">
              <w:rPr>
                <w:rFonts w:asciiTheme="minorHAnsi" w:hAnsiTheme="minorHAnsi" w:cstheme="minorHAnsi"/>
                <w:b/>
                <w:sz w:val="18"/>
                <w:szCs w:val="18"/>
              </w:rPr>
              <w:t xml:space="preserve"> and improving well-being and quality of life for all</w:t>
            </w:r>
          </w:p>
        </w:tc>
      </w:tr>
      <w:tr w:rsidR="00A8050D" w:rsidRPr="007C4D65" w14:paraId="4F97DDDF"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BFD9B1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B34B1DB" w14:textId="3C550DCE"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5.3. Efficient operation of institutions</w:t>
            </w:r>
            <w:r w:rsidR="00436AC8" w:rsidRPr="007C4D65">
              <w:rPr>
                <w:rFonts w:asciiTheme="minorHAnsi" w:hAnsiTheme="minorHAnsi" w:cstheme="minorHAnsi"/>
                <w:b/>
                <w:sz w:val="18"/>
                <w:szCs w:val="18"/>
              </w:rPr>
              <w:t xml:space="preserve"> of the Federation of BiH</w:t>
            </w:r>
            <w:r w:rsidRPr="007C4D65">
              <w:rPr>
                <w:rFonts w:asciiTheme="minorHAnsi" w:hAnsiTheme="minorHAnsi" w:cstheme="minorHAnsi"/>
                <w:b/>
                <w:sz w:val="18"/>
                <w:szCs w:val="18"/>
              </w:rPr>
              <w:t xml:space="preserve"> in the field of chemical safety</w:t>
            </w:r>
          </w:p>
        </w:tc>
      </w:tr>
      <w:tr w:rsidR="00A8050D" w:rsidRPr="007C4D65" w14:paraId="12BFDDD1"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027A083" w14:textId="323589B8"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B4575AA" w14:textId="77777777"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5.3.2. Improved coordination, collaboration and synergic approach of the competent institutions in the field of environment and health</w:t>
            </w:r>
          </w:p>
        </w:tc>
      </w:tr>
      <w:tr w:rsidR="00A8050D" w:rsidRPr="007C4D65" w14:paraId="744FEA7F" w14:textId="77777777" w:rsidTr="00B6017F">
        <w:trPr>
          <w:trHeight w:val="274"/>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5AD535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5634E8E"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This measure aims to improve coordination, cooperation and synergy of institutions responsible for effective implementation of legislation in the field of chemical safety.</w:t>
            </w:r>
          </w:p>
          <w:p w14:paraId="0DC97388" w14:textId="11D5B3D3"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General areas of intervention:</w:t>
            </w:r>
          </w:p>
          <w:p w14:paraId="0461E900" w14:textId="4E6063C5" w:rsidR="00A8050D" w:rsidRPr="007C4D65" w:rsidRDefault="00A8050D">
            <w:pPr>
              <w:pStyle w:val="ListParagraph"/>
              <w:numPr>
                <w:ilvl w:val="0"/>
                <w:numId w:val="176"/>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Establishment of a team/mechanism for cooperation between the Administration for Inspections of the </w:t>
            </w:r>
            <w:proofErr w:type="spellStart"/>
            <w:r w:rsidRPr="007C4D65">
              <w:rPr>
                <w:rFonts w:asciiTheme="minorHAnsi" w:hAnsiTheme="minorHAnsi" w:cstheme="minorHAnsi"/>
                <w:sz w:val="18"/>
                <w:szCs w:val="18"/>
              </w:rPr>
              <w:t>Republika</w:t>
            </w:r>
            <w:proofErr w:type="spellEnd"/>
            <w:r w:rsidRPr="007C4D65">
              <w:rPr>
                <w:rFonts w:asciiTheme="minorHAnsi" w:hAnsiTheme="minorHAnsi" w:cstheme="minorHAnsi"/>
                <w:sz w:val="18"/>
                <w:szCs w:val="18"/>
              </w:rPr>
              <w:t xml:space="preserve"> Srpska and the Inspectorate of the Federation of BiH, as well as the Inspectorate of Brcko District in the field of chemical </w:t>
            </w:r>
            <w:proofErr w:type="gramStart"/>
            <w:r w:rsidRPr="007C4D65">
              <w:rPr>
                <w:rFonts w:asciiTheme="minorHAnsi" w:hAnsiTheme="minorHAnsi" w:cstheme="minorHAnsi"/>
                <w:sz w:val="18"/>
                <w:szCs w:val="18"/>
              </w:rPr>
              <w:t>safety</w:t>
            </w:r>
            <w:r w:rsidR="005452A5" w:rsidRPr="007C4D65">
              <w:rPr>
                <w:rFonts w:asciiTheme="minorHAnsi" w:hAnsiTheme="minorHAnsi" w:cstheme="minorHAnsi"/>
                <w:sz w:val="18"/>
                <w:szCs w:val="18"/>
              </w:rPr>
              <w:t>;</w:t>
            </w:r>
            <w:proofErr w:type="gramEnd"/>
          </w:p>
          <w:p w14:paraId="3B344824" w14:textId="62E05D4C" w:rsidR="00A8050D" w:rsidRPr="007C4D65" w:rsidRDefault="00A8050D">
            <w:pPr>
              <w:pStyle w:val="ListParagraph"/>
              <w:numPr>
                <w:ilvl w:val="0"/>
                <w:numId w:val="176"/>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Participation of the Federation Ministry of Health and PCC in a meeting (once a year) organized by the MCA BiH for the purpose of sharing experiences and planning future activities related to prevention, combating, treatment and reporting on poisoning to institutions in BiH and to the World Health </w:t>
            </w:r>
            <w:proofErr w:type="gramStart"/>
            <w:r w:rsidRPr="007C4D65">
              <w:rPr>
                <w:rFonts w:asciiTheme="minorHAnsi" w:hAnsiTheme="minorHAnsi" w:cstheme="minorHAnsi"/>
                <w:sz w:val="18"/>
                <w:szCs w:val="18"/>
              </w:rPr>
              <w:t>Organization</w:t>
            </w:r>
            <w:r w:rsidR="005452A5" w:rsidRPr="007C4D65">
              <w:rPr>
                <w:rFonts w:asciiTheme="minorHAnsi" w:eastAsia="Calibri" w:hAnsiTheme="minorHAnsi" w:cstheme="minorHAnsi"/>
                <w:sz w:val="18"/>
                <w:szCs w:val="18"/>
              </w:rPr>
              <w:t>;</w:t>
            </w:r>
            <w:proofErr w:type="gramEnd"/>
          </w:p>
          <w:p w14:paraId="5FC06E2F" w14:textId="38A93A79" w:rsidR="00A8050D" w:rsidRPr="007C4D65" w:rsidRDefault="00A8050D">
            <w:pPr>
              <w:pStyle w:val="ListParagraph"/>
              <w:numPr>
                <w:ilvl w:val="0"/>
                <w:numId w:val="176"/>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Establishment of an IT team that will link and manage data bases that exist with the ministries that have competence for chemical management</w:t>
            </w:r>
            <w:r w:rsidR="005452A5" w:rsidRPr="007C4D65">
              <w:rPr>
                <w:rFonts w:asciiTheme="minorHAnsi" w:eastAsia="Calibri" w:hAnsiTheme="minorHAnsi" w:cstheme="minorHAnsi"/>
                <w:sz w:val="18"/>
                <w:szCs w:val="18"/>
              </w:rPr>
              <w:t>;</w:t>
            </w:r>
          </w:p>
        </w:tc>
      </w:tr>
      <w:tr w:rsidR="00A8050D" w:rsidRPr="007C4D65" w14:paraId="13A83C17"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8E3F9C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Strategic projects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CF23A0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29924FB0" w14:textId="77777777" w:rsidTr="00B6017F">
        <w:trPr>
          <w:trHeight w:val="567"/>
          <w:jc w:val="center"/>
        </w:trPr>
        <w:tc>
          <w:tcPr>
            <w:tcW w:w="142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3815FE4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3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EC8749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2B2D57F7" w14:textId="10E86D12"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5945E6C"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27F717D9"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D5AA5AA"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0688EAB2"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D07E01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22D95D2" w14:textId="4F20774C" w:rsidR="00A8050D" w:rsidRPr="007C4D65" w:rsidRDefault="00A8050D">
            <w:pPr>
              <w:pStyle w:val="ListParagraph"/>
              <w:numPr>
                <w:ilvl w:val="0"/>
                <w:numId w:val="141"/>
              </w:numPr>
              <w:spacing w:before="40" w:after="40" w:line="276" w:lineRule="auto"/>
              <w:ind w:left="265" w:hanging="265"/>
              <w:rPr>
                <w:rFonts w:asciiTheme="minorHAnsi" w:eastAsia="Calibri" w:hAnsiTheme="minorHAnsi" w:cstheme="minorHAnsi"/>
                <w:sz w:val="18"/>
                <w:szCs w:val="18"/>
              </w:rPr>
            </w:pPr>
            <w:r w:rsidRPr="007C4D65">
              <w:rPr>
                <w:rFonts w:asciiTheme="minorHAnsi" w:hAnsiTheme="minorHAnsi" w:cstheme="minorHAnsi"/>
                <w:sz w:val="18"/>
                <w:szCs w:val="18"/>
              </w:rPr>
              <w:t xml:space="preserve">Effectiveness in sharing data and experiences of the entity and </w:t>
            </w:r>
            <w:r w:rsidR="00295360" w:rsidRPr="007C4D65">
              <w:rPr>
                <w:rFonts w:asciiTheme="minorHAnsi" w:hAnsiTheme="minorHAnsi" w:cstheme="minorHAnsi"/>
                <w:sz w:val="18"/>
                <w:szCs w:val="18"/>
              </w:rPr>
              <w:t>Brcko</w:t>
            </w:r>
            <w:r w:rsidRPr="007C4D65">
              <w:rPr>
                <w:rFonts w:asciiTheme="minorHAnsi" w:hAnsiTheme="minorHAnsi" w:cstheme="minorHAnsi"/>
                <w:sz w:val="18"/>
                <w:szCs w:val="18"/>
              </w:rPr>
              <w:t xml:space="preserve"> district BiH's inspection bodies in the field of chemical safety</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9D978AD" w14:textId="6F6F0D22"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There is no official system of reporting and coordination among inspection services of the entities and </w:t>
            </w:r>
            <w:r w:rsidR="00295360" w:rsidRPr="007C4D65">
              <w:rPr>
                <w:rFonts w:asciiTheme="minorHAnsi" w:hAnsiTheme="minorHAnsi" w:cstheme="minorHAnsi"/>
                <w:sz w:val="18"/>
                <w:szCs w:val="18"/>
              </w:rPr>
              <w:t>Brcko</w:t>
            </w:r>
            <w:r w:rsidRPr="007C4D65">
              <w:rPr>
                <w:rFonts w:asciiTheme="minorHAnsi" w:hAnsiTheme="minorHAnsi" w:cstheme="minorHAnsi"/>
                <w:sz w:val="18"/>
                <w:szCs w:val="18"/>
              </w:rPr>
              <w:t xml:space="preserve"> District of BiH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chemical safety</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6F7411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Establish a team/mechanism for cooperation among the Administration for Inspections of the </w:t>
            </w:r>
            <w:proofErr w:type="spellStart"/>
            <w:r w:rsidRPr="007C4D65">
              <w:rPr>
                <w:rFonts w:asciiTheme="minorHAnsi" w:hAnsiTheme="minorHAnsi" w:cstheme="minorHAnsi"/>
                <w:sz w:val="18"/>
                <w:szCs w:val="18"/>
              </w:rPr>
              <w:t>Republika</w:t>
            </w:r>
            <w:proofErr w:type="spellEnd"/>
            <w:r w:rsidRPr="007C4D65">
              <w:rPr>
                <w:rFonts w:asciiTheme="minorHAnsi" w:hAnsiTheme="minorHAnsi" w:cstheme="minorHAnsi"/>
                <w:sz w:val="18"/>
                <w:szCs w:val="18"/>
              </w:rPr>
              <w:t xml:space="preserve"> Srpska and the Inspectorate of the Federation of BiH, as well as the Inspectorate of Brcko District in the field of chemical safety (2023)</w:t>
            </w:r>
          </w:p>
        </w:tc>
      </w:tr>
      <w:tr w:rsidR="00A8050D" w:rsidRPr="007C4D65" w14:paraId="55F6A1CA"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DA0725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F4EB4D1" w14:textId="4F34FE49" w:rsidR="00A8050D" w:rsidRPr="007C4D65" w:rsidRDefault="00A8050D">
            <w:pPr>
              <w:pStyle w:val="ListParagraph"/>
              <w:numPr>
                <w:ilvl w:val="0"/>
                <w:numId w:val="141"/>
              </w:numPr>
              <w:spacing w:before="40" w:after="40" w:line="276" w:lineRule="auto"/>
              <w:ind w:left="265" w:hanging="265"/>
              <w:rPr>
                <w:rFonts w:asciiTheme="minorHAnsi" w:eastAsia="Calibri" w:hAnsiTheme="minorHAnsi" w:cstheme="minorHAnsi"/>
                <w:sz w:val="18"/>
                <w:szCs w:val="18"/>
              </w:rPr>
            </w:pPr>
            <w:r w:rsidRPr="007C4D65">
              <w:rPr>
                <w:rFonts w:asciiTheme="minorHAnsi" w:hAnsiTheme="minorHAnsi" w:cstheme="minorHAnsi"/>
                <w:sz w:val="18"/>
                <w:szCs w:val="18"/>
              </w:rPr>
              <w:t xml:space="preserve">Efficiency of sharing data and experiences among entity / </w:t>
            </w:r>
            <w:r w:rsidR="00295360" w:rsidRPr="007C4D65">
              <w:rPr>
                <w:rFonts w:asciiTheme="minorHAnsi" w:hAnsiTheme="minorHAnsi" w:cstheme="minorHAnsi"/>
                <w:sz w:val="18"/>
                <w:szCs w:val="18"/>
              </w:rPr>
              <w:t>Brcko</w:t>
            </w:r>
            <w:r w:rsidRPr="007C4D65">
              <w:rPr>
                <w:rFonts w:asciiTheme="minorHAnsi" w:hAnsiTheme="minorHAnsi" w:cstheme="minorHAnsi"/>
                <w:sz w:val="18"/>
                <w:szCs w:val="18"/>
              </w:rPr>
              <w:t xml:space="preserve"> district BiH ministries in the field of health regarding the results of poison control</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97B878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Poison control centres in BiH have not been appointed, so there has been no reporting on this issue to this date</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30AF21B"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Participation of the Federation Ministry of Health and PCC in a meeting (once a year) organized by the MCA BiH for the purpose of sharing experiences and planning future activities related to prevention, combating, treatment and reporting on poisoning to institutions in BiH and to the World Health Organization (2025)</w:t>
            </w:r>
          </w:p>
        </w:tc>
      </w:tr>
      <w:tr w:rsidR="00A8050D" w:rsidRPr="007C4D65" w14:paraId="5C385531"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71A9B420"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6701621" w14:textId="77777777" w:rsidR="00A8050D" w:rsidRPr="007C4D65" w:rsidRDefault="00A8050D">
            <w:pPr>
              <w:pStyle w:val="ListParagraph"/>
              <w:numPr>
                <w:ilvl w:val="0"/>
                <w:numId w:val="141"/>
              </w:numPr>
              <w:spacing w:before="40" w:after="40" w:line="276" w:lineRule="auto"/>
              <w:ind w:left="265" w:hanging="265"/>
              <w:rPr>
                <w:rFonts w:asciiTheme="minorHAnsi" w:eastAsia="Calibri" w:hAnsiTheme="minorHAnsi" w:cstheme="minorHAnsi"/>
                <w:sz w:val="18"/>
                <w:szCs w:val="18"/>
              </w:rPr>
            </w:pPr>
            <w:r w:rsidRPr="007C4D65">
              <w:rPr>
                <w:rFonts w:asciiTheme="minorHAnsi" w:hAnsiTheme="minorHAnsi" w:cstheme="minorHAnsi"/>
                <w:sz w:val="18"/>
                <w:szCs w:val="18"/>
              </w:rPr>
              <w:t>Simplicity and efficiency of data sharing in the field of chemical safety between state level, entity and Brcko District of BiH institutions in the field of chemical safety</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50DB60B" w14:textId="3F0C178D"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 data on chemical safety are not systematically allocated to institutions in the fields of health and environment</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A0DBDD4"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Establish an IT team that will link and manage data bases that exist with the competent ministries to manage chemicals (2026)</w:t>
            </w:r>
          </w:p>
        </w:tc>
      </w:tr>
      <w:tr w:rsidR="00A8050D" w:rsidRPr="007C4D65" w14:paraId="63FA7F0B"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829173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B6C475C" w14:textId="4DF05EAE" w:rsidR="00A8050D" w:rsidRPr="007C4D65" w:rsidRDefault="00A8050D"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Improved coordination among various levels of government, creation of a coherent system, strong inter-sectorial connections and good coordination, which are of essential importance for efficient management of chemicals</w:t>
            </w:r>
          </w:p>
        </w:tc>
      </w:tr>
      <w:tr w:rsidR="00A8050D" w:rsidRPr="007C4D65" w14:paraId="00C1BB0E"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BE8B50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993713B" w14:textId="386BC132" w:rsidR="005452A5" w:rsidRPr="007C4D65" w:rsidRDefault="00A8050D" w:rsidP="005452A5">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33,948</w:t>
            </w:r>
          </w:p>
          <w:p w14:paraId="5834E854" w14:textId="06A380DE" w:rsidR="00A8050D" w:rsidRPr="007C4D65" w:rsidRDefault="00A8050D" w:rsidP="005452A5">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Source: 100% government budget</w:t>
            </w:r>
          </w:p>
        </w:tc>
      </w:tr>
      <w:tr w:rsidR="00A8050D" w:rsidRPr="007C4D65" w14:paraId="5FB9402D"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331C81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7D55F6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2022-2026</w:t>
            </w:r>
          </w:p>
        </w:tc>
      </w:tr>
      <w:tr w:rsidR="00A8050D" w:rsidRPr="007C4D65" w14:paraId="41D8E0DF"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0DFF36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A88EC2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FMH</w:t>
            </w:r>
          </w:p>
        </w:tc>
      </w:tr>
      <w:tr w:rsidR="00A8050D" w:rsidRPr="007C4D65" w14:paraId="38FB387B"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837AE2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B2080D5"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FMH, FMET, FBiH Administration for Inspection</w:t>
            </w:r>
          </w:p>
        </w:tc>
      </w:tr>
      <w:tr w:rsidR="00A8050D" w:rsidRPr="007C4D65" w14:paraId="3DA41339"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8B29D01" w14:textId="2C2809A6"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73DEC6F" w14:textId="3E5277C5"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FMH, FMET, Federation Administration for Inspection, </w:t>
            </w:r>
            <w:proofErr w:type="spellStart"/>
            <w:r w:rsidRPr="007C4D65">
              <w:rPr>
                <w:rFonts w:asciiTheme="minorHAnsi" w:hAnsiTheme="minorHAnsi" w:cstheme="minorHAnsi"/>
                <w:sz w:val="18"/>
                <w:szCs w:val="18"/>
              </w:rPr>
              <w:t>MoFTER</w:t>
            </w:r>
            <w:proofErr w:type="spellEnd"/>
            <w:r w:rsidRPr="007C4D65">
              <w:rPr>
                <w:rFonts w:asciiTheme="minorHAnsi" w:hAnsiTheme="minorHAnsi" w:cstheme="minorHAnsi"/>
                <w:sz w:val="18"/>
                <w:szCs w:val="18"/>
              </w:rPr>
              <w:t xml:space="preserve">, MCA, MHSP RS, MSPCE, </w:t>
            </w:r>
            <w:r w:rsidR="00295360" w:rsidRPr="007C4D65">
              <w:rPr>
                <w:rFonts w:asciiTheme="minorHAnsi" w:hAnsiTheme="minorHAnsi" w:cstheme="minorHAnsi"/>
                <w:sz w:val="18"/>
                <w:szCs w:val="18"/>
              </w:rPr>
              <w:t>Brcko</w:t>
            </w:r>
            <w:r w:rsidRPr="007C4D65">
              <w:rPr>
                <w:rFonts w:asciiTheme="minorHAnsi" w:hAnsiTheme="minorHAnsi" w:cstheme="minorHAnsi"/>
                <w:sz w:val="18"/>
                <w:szCs w:val="18"/>
              </w:rPr>
              <w:t xml:space="preserve"> District of BiH, Department for Spatial Planning and Property Affairs of Brcko District of BiH, Department for Health and Other services</w:t>
            </w:r>
          </w:p>
        </w:tc>
      </w:tr>
    </w:tbl>
    <w:p w14:paraId="5A8254B0" w14:textId="77777777" w:rsidR="00A8050D" w:rsidRPr="007C4D65" w:rsidRDefault="00A8050D" w:rsidP="00A8050D">
      <w:pPr>
        <w:spacing w:line="276" w:lineRule="auto"/>
        <w:rPr>
          <w:rFonts w:asciiTheme="minorHAnsi" w:hAnsiTheme="minorHAnsi" w:cstheme="minorHAnsi"/>
          <w:sz w:val="18"/>
          <w:szCs w:val="18"/>
          <w:lang w:val="hr-HR"/>
        </w:rPr>
      </w:pPr>
    </w:p>
    <w:tbl>
      <w:tblPr>
        <w:tblW w:w="48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828"/>
        <w:gridCol w:w="2781"/>
        <w:gridCol w:w="3392"/>
        <w:gridCol w:w="3395"/>
      </w:tblGrid>
      <w:tr w:rsidR="00A8050D" w:rsidRPr="007C4D65" w14:paraId="4C804E12"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4F7BBC1" w14:textId="33603177"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EEAB075" w14:textId="19A70E10"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 </w:t>
            </w:r>
            <w:r w:rsidR="00206652" w:rsidRPr="007C4D65">
              <w:rPr>
                <w:rFonts w:asciiTheme="minorHAnsi" w:hAnsiTheme="minorHAnsi" w:cstheme="minorHAnsi"/>
                <w:b/>
                <w:sz w:val="18"/>
                <w:szCs w:val="18"/>
              </w:rPr>
              <w:t>Human health protection</w:t>
            </w:r>
            <w:r w:rsidRPr="007C4D65">
              <w:rPr>
                <w:rFonts w:asciiTheme="minorHAnsi" w:hAnsiTheme="minorHAnsi" w:cstheme="minorHAnsi"/>
                <w:b/>
                <w:sz w:val="18"/>
                <w:szCs w:val="18"/>
              </w:rPr>
              <w:t xml:space="preserve"> and improving well-being and quality of life for all</w:t>
            </w:r>
          </w:p>
        </w:tc>
      </w:tr>
      <w:tr w:rsidR="00A8050D" w:rsidRPr="007C4D65" w14:paraId="578DBBC3"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13FF30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D5A9833" w14:textId="28DE3E29"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5.3. </w:t>
            </w:r>
            <w:r w:rsidR="00436AC8" w:rsidRPr="007C4D65">
              <w:rPr>
                <w:rFonts w:asciiTheme="minorHAnsi" w:hAnsiTheme="minorHAnsi" w:cstheme="minorHAnsi"/>
                <w:b/>
                <w:sz w:val="18"/>
                <w:szCs w:val="18"/>
              </w:rPr>
              <w:t>Efficient work of institutions of the Federation of BiH in the field of chemical safety</w:t>
            </w:r>
          </w:p>
        </w:tc>
      </w:tr>
      <w:tr w:rsidR="00A8050D" w:rsidRPr="007C4D65" w14:paraId="675BCA1C"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368FC82" w14:textId="1E3D6417"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Name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tcPr>
          <w:p w14:paraId="1DABEACF" w14:textId="08199F3E"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5.3.3. Improved system of registration of people who became ill or died from poisoning resulting from inadequate handling of chemical products</w:t>
            </w:r>
          </w:p>
        </w:tc>
      </w:tr>
      <w:tr w:rsidR="00A8050D" w:rsidRPr="007C4D65" w14:paraId="2E0872F6"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76575E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tcPr>
          <w:p w14:paraId="1A680D2F" w14:textId="59FEB529"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This measure aims to improve the method of registration of people who have become ill or died from poisoning resulting from inadequate handling of chemical products.</w:t>
            </w:r>
          </w:p>
          <w:p w14:paraId="24CE92C0" w14:textId="1B78C31C"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General areas of intervention:</w:t>
            </w:r>
          </w:p>
          <w:p w14:paraId="23E09EF4" w14:textId="28D58091" w:rsidR="00A8050D" w:rsidRPr="007C4D65" w:rsidRDefault="00A8050D">
            <w:pPr>
              <w:numPr>
                <w:ilvl w:val="0"/>
                <w:numId w:val="247"/>
              </w:numPr>
              <w:tabs>
                <w:tab w:val="left" w:pos="462"/>
              </w:tabs>
              <w:spacing w:line="276" w:lineRule="auto"/>
              <w:ind w:left="406" w:right="567"/>
              <w:contextualSpacing/>
              <w:rPr>
                <w:rFonts w:asciiTheme="minorHAnsi" w:hAnsiTheme="minorHAnsi" w:cstheme="minorHAnsi"/>
                <w:sz w:val="18"/>
                <w:szCs w:val="18"/>
              </w:rPr>
            </w:pPr>
            <w:r w:rsidRPr="007C4D65">
              <w:rPr>
                <w:rFonts w:asciiTheme="minorHAnsi" w:hAnsiTheme="minorHAnsi" w:cstheme="minorHAnsi"/>
                <w:sz w:val="18"/>
                <w:szCs w:val="18"/>
              </w:rPr>
              <w:t xml:space="preserve">Established new methodology for collecting routine statistics in the Public Health Institute of the Federation of BiH, that includes data on morbidity due to poisoning caused by inadequate handling with chemical products, disaggregated by gender and age </w:t>
            </w:r>
            <w:proofErr w:type="gramStart"/>
            <w:r w:rsidRPr="007C4D65">
              <w:rPr>
                <w:rFonts w:asciiTheme="minorHAnsi" w:hAnsiTheme="minorHAnsi" w:cstheme="minorHAnsi"/>
                <w:sz w:val="18"/>
                <w:szCs w:val="18"/>
              </w:rPr>
              <w:t>groups</w:t>
            </w:r>
            <w:r w:rsidR="005452A5" w:rsidRPr="007C4D65">
              <w:rPr>
                <w:rFonts w:asciiTheme="minorHAnsi" w:hAnsiTheme="minorHAnsi" w:cstheme="minorHAnsi"/>
                <w:sz w:val="18"/>
                <w:szCs w:val="18"/>
              </w:rPr>
              <w:t>;</w:t>
            </w:r>
            <w:proofErr w:type="gramEnd"/>
          </w:p>
          <w:p w14:paraId="7B3EA9E3" w14:textId="21B1F367" w:rsidR="00A8050D" w:rsidRPr="007C4D65" w:rsidRDefault="00A8050D">
            <w:pPr>
              <w:numPr>
                <w:ilvl w:val="0"/>
                <w:numId w:val="247"/>
              </w:numPr>
              <w:tabs>
                <w:tab w:val="left" w:pos="462"/>
              </w:tabs>
              <w:spacing w:line="276" w:lineRule="auto"/>
              <w:ind w:left="406" w:right="567"/>
              <w:contextualSpacing/>
              <w:rPr>
                <w:rFonts w:asciiTheme="minorHAnsi" w:hAnsiTheme="minorHAnsi" w:cstheme="minorHAnsi"/>
                <w:sz w:val="18"/>
                <w:szCs w:val="18"/>
              </w:rPr>
            </w:pPr>
            <w:r w:rsidRPr="007C4D65">
              <w:rPr>
                <w:rFonts w:asciiTheme="minorHAnsi" w:hAnsiTheme="minorHAnsi" w:cstheme="minorHAnsi"/>
                <w:sz w:val="18"/>
                <w:szCs w:val="18"/>
              </w:rPr>
              <w:t xml:space="preserve">Established and publicly available the statistical yearbook of the Federation Public Health Institute, which includes data on deaths caused by poisoning </w:t>
            </w:r>
            <w:proofErr w:type="gramStart"/>
            <w:r w:rsidRPr="007C4D65">
              <w:rPr>
                <w:rFonts w:asciiTheme="minorHAnsi" w:hAnsiTheme="minorHAnsi" w:cstheme="minorHAnsi"/>
                <w:sz w:val="18"/>
                <w:szCs w:val="18"/>
              </w:rPr>
              <w:t>as a result of</w:t>
            </w:r>
            <w:proofErr w:type="gramEnd"/>
            <w:r w:rsidRPr="007C4D65">
              <w:rPr>
                <w:rFonts w:asciiTheme="minorHAnsi" w:hAnsiTheme="minorHAnsi" w:cstheme="minorHAnsi"/>
                <w:sz w:val="18"/>
                <w:szCs w:val="18"/>
              </w:rPr>
              <w:t xml:space="preserve"> inappropriate handling of chemical products, disaggregated by gender and age groups</w:t>
            </w:r>
            <w:r w:rsidR="005452A5" w:rsidRPr="007C4D65">
              <w:rPr>
                <w:rFonts w:asciiTheme="minorHAnsi" w:hAnsiTheme="minorHAnsi" w:cstheme="minorHAnsi"/>
                <w:sz w:val="18"/>
                <w:szCs w:val="18"/>
              </w:rPr>
              <w:t>.</w:t>
            </w:r>
          </w:p>
        </w:tc>
      </w:tr>
      <w:tr w:rsidR="00A8050D" w:rsidRPr="007C4D65" w14:paraId="721326F9"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52F06D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Strategic projects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25ED7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5C3F7C9D" w14:textId="77777777" w:rsidTr="00B6017F">
        <w:trPr>
          <w:trHeight w:val="567"/>
          <w:jc w:val="center"/>
        </w:trPr>
        <w:tc>
          <w:tcPr>
            <w:tcW w:w="142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63CB024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3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E229C14"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10CAA002" w14:textId="6B72461B"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8692034"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04053C91"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7F139B3"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2967E521"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A9C852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tcPr>
          <w:p w14:paraId="31ACF525" w14:textId="77777777" w:rsidR="00A8050D" w:rsidRPr="007C4D65" w:rsidRDefault="00A8050D">
            <w:pPr>
              <w:numPr>
                <w:ilvl w:val="0"/>
                <w:numId w:val="248"/>
              </w:numPr>
              <w:spacing w:before="40" w:after="40" w:line="276" w:lineRule="auto"/>
              <w:ind w:hanging="265"/>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Methodology for collecting data for the needs of developing statistical yearbook of the Public Health Institute of the Federation of BiH, which would include data on deaths caused by poisoning </w:t>
            </w:r>
            <w:proofErr w:type="gramStart"/>
            <w:r w:rsidRPr="007C4D65">
              <w:rPr>
                <w:rFonts w:asciiTheme="minorHAnsi" w:hAnsiTheme="minorHAnsi" w:cstheme="minorHAnsi"/>
                <w:sz w:val="18"/>
                <w:szCs w:val="18"/>
              </w:rPr>
              <w:t>as a result of</w:t>
            </w:r>
            <w:proofErr w:type="gramEnd"/>
            <w:r w:rsidRPr="007C4D65">
              <w:rPr>
                <w:rFonts w:asciiTheme="minorHAnsi" w:hAnsiTheme="minorHAnsi" w:cstheme="minorHAnsi"/>
                <w:sz w:val="18"/>
                <w:szCs w:val="18"/>
              </w:rPr>
              <w:t xml:space="preserve"> inappropriate handling of chemical products, disaggregated by gender and age groups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tcPr>
          <w:p w14:paraId="53456D5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The Annual publication of the Public Health Institute (PHI) of the Federation of BiH do not register the frequency of diseases or deaths caused by poisoning that is a consequence of inadequate handling of chemical products. However, since 2019, the PHI has had detailed data on poisonings, disaggregated by gender and age groups. Although the system of data collection and processing exists, what is questionable is the procedure of data entry, </w:t>
            </w:r>
            <w:proofErr w:type="gramStart"/>
            <w:r w:rsidRPr="007C4D65">
              <w:rPr>
                <w:rFonts w:asciiTheme="minorHAnsi" w:hAnsiTheme="minorHAnsi" w:cstheme="minorHAnsi"/>
                <w:sz w:val="18"/>
                <w:szCs w:val="18"/>
              </w:rPr>
              <w:t>i.e.</w:t>
            </w:r>
            <w:proofErr w:type="gramEnd"/>
            <w:r w:rsidRPr="007C4D65">
              <w:rPr>
                <w:rFonts w:asciiTheme="minorHAnsi" w:hAnsiTheme="minorHAnsi" w:cstheme="minorHAnsi"/>
                <w:sz w:val="18"/>
                <w:szCs w:val="18"/>
              </w:rPr>
              <w:t xml:space="preserve"> whether all public and private health centres diligently report cases of poisoning as there is no clearly prescribed methodology or instructions for reporting</w:t>
            </w:r>
          </w:p>
        </w:tc>
        <w:tc>
          <w:tcPr>
            <w:tcW w:w="1267" w:type="pct"/>
            <w:tcBorders>
              <w:top w:val="single" w:sz="4" w:space="0" w:color="A6A6A6"/>
              <w:left w:val="single" w:sz="4" w:space="0" w:color="A6A6A6"/>
              <w:bottom w:val="single" w:sz="4" w:space="0" w:color="A6A6A6"/>
              <w:right w:val="single" w:sz="4" w:space="0" w:color="A6A6A6"/>
            </w:tcBorders>
            <w:shd w:val="clear" w:color="auto" w:fill="FFFFFF"/>
          </w:tcPr>
          <w:p w14:paraId="297FDDA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 legal act regulates the methodology for collecting data for the needs of developing statistical yearbook of the Public Health Institute of the Federation of BiH, which includes the data on deaths caused by poisoning </w:t>
            </w:r>
            <w:proofErr w:type="gramStart"/>
            <w:r w:rsidRPr="007C4D65">
              <w:rPr>
                <w:rFonts w:asciiTheme="minorHAnsi" w:hAnsiTheme="minorHAnsi" w:cstheme="minorHAnsi"/>
                <w:sz w:val="18"/>
                <w:szCs w:val="18"/>
              </w:rPr>
              <w:t>as a result of</w:t>
            </w:r>
            <w:proofErr w:type="gramEnd"/>
            <w:r w:rsidRPr="007C4D65">
              <w:rPr>
                <w:rFonts w:asciiTheme="minorHAnsi" w:hAnsiTheme="minorHAnsi" w:cstheme="minorHAnsi"/>
                <w:sz w:val="18"/>
                <w:szCs w:val="18"/>
              </w:rPr>
              <w:t xml:space="preserve"> inappropriate handling of chemical products, disaggregated by gender and age groups (2025)</w:t>
            </w:r>
          </w:p>
        </w:tc>
      </w:tr>
      <w:tr w:rsidR="00A8050D" w:rsidRPr="007C4D65" w14:paraId="54F34815"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1CDEE1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tcPr>
          <w:p w14:paraId="2432DC2B" w14:textId="0984AC31" w:rsidR="00A8050D" w:rsidRPr="007C4D65" w:rsidRDefault="004B4EEC">
            <w:pPr>
              <w:numPr>
                <w:ilvl w:val="0"/>
                <w:numId w:val="248"/>
              </w:numPr>
              <w:spacing w:before="40" w:after="40" w:line="276" w:lineRule="auto"/>
              <w:ind w:left="265" w:hanging="265"/>
              <w:contextualSpacing/>
              <w:rPr>
                <w:rFonts w:asciiTheme="minorHAnsi" w:eastAsia="Calibri" w:hAnsiTheme="minorHAnsi" w:cstheme="minorHAnsi"/>
                <w:sz w:val="18"/>
                <w:szCs w:val="18"/>
              </w:rPr>
            </w:pPr>
            <w:r w:rsidRPr="007C4D65">
              <w:rPr>
                <w:rFonts w:asciiTheme="minorHAnsi" w:hAnsiTheme="minorHAnsi" w:cstheme="minorHAnsi"/>
                <w:sz w:val="18"/>
                <w:szCs w:val="18"/>
              </w:rPr>
              <w:t>Publicly</w:t>
            </w:r>
            <w:r w:rsidR="00A8050D" w:rsidRPr="007C4D65">
              <w:rPr>
                <w:rFonts w:asciiTheme="minorHAnsi" w:hAnsiTheme="minorHAnsi" w:cstheme="minorHAnsi"/>
                <w:sz w:val="18"/>
                <w:szCs w:val="18"/>
              </w:rPr>
              <w:t xml:space="preserve"> available data on lethality from non-deliberate </w:t>
            </w:r>
            <w:r w:rsidR="00A8050D" w:rsidRPr="007C4D65">
              <w:rPr>
                <w:rFonts w:asciiTheme="minorHAnsi" w:hAnsiTheme="minorHAnsi" w:cstheme="minorHAnsi"/>
                <w:sz w:val="18"/>
                <w:szCs w:val="18"/>
              </w:rPr>
              <w:lastRenderedPageBreak/>
              <w:t xml:space="preserve">poisoning, disaggregated by gender and age groups </w:t>
            </w:r>
          </w:p>
        </w:tc>
        <w:tc>
          <w:tcPr>
            <w:tcW w:w="1266" w:type="pct"/>
            <w:tcBorders>
              <w:top w:val="single" w:sz="4" w:space="0" w:color="A6A6A6"/>
              <w:left w:val="single" w:sz="4" w:space="0" w:color="A6A6A6"/>
              <w:bottom w:val="single" w:sz="4" w:space="0" w:color="A6A6A6"/>
              <w:right w:val="single" w:sz="4" w:space="0" w:color="A6A6A6"/>
            </w:tcBorders>
            <w:shd w:val="clear" w:color="auto" w:fill="FFFFFF"/>
          </w:tcPr>
          <w:p w14:paraId="4E3516D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 xml:space="preserve">The Yearbook - publication of the Public Health Institute (PHI) - does not record the frequency of diseases or deaths caused by </w:t>
            </w:r>
            <w:r w:rsidRPr="007C4D65">
              <w:rPr>
                <w:rFonts w:asciiTheme="minorHAnsi" w:hAnsiTheme="minorHAnsi" w:cstheme="minorHAnsi"/>
                <w:sz w:val="18"/>
                <w:szCs w:val="18"/>
              </w:rPr>
              <w:lastRenderedPageBreak/>
              <w:t>poisoning that is a consequence of inappropriate handling of chemical products</w:t>
            </w:r>
          </w:p>
        </w:tc>
        <w:tc>
          <w:tcPr>
            <w:tcW w:w="1267" w:type="pct"/>
            <w:tcBorders>
              <w:top w:val="single" w:sz="4" w:space="0" w:color="A6A6A6"/>
              <w:left w:val="single" w:sz="4" w:space="0" w:color="A6A6A6"/>
              <w:bottom w:val="single" w:sz="4" w:space="0" w:color="A6A6A6"/>
              <w:right w:val="single" w:sz="4" w:space="0" w:color="A6A6A6"/>
            </w:tcBorders>
            <w:shd w:val="clear" w:color="auto" w:fill="FFFFFF"/>
          </w:tcPr>
          <w:p w14:paraId="65BB13CB"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lastRenderedPageBreak/>
              <w:t xml:space="preserve">Health Statistics Yearbook of the Federation of BiH (published by the Public Health Institute of the Federation of BiH) </w:t>
            </w:r>
            <w:r w:rsidRPr="007C4D65">
              <w:rPr>
                <w:rFonts w:asciiTheme="minorHAnsi" w:hAnsiTheme="minorHAnsi" w:cstheme="minorHAnsi"/>
                <w:sz w:val="18"/>
                <w:szCs w:val="18"/>
              </w:rPr>
              <w:lastRenderedPageBreak/>
              <w:t>includes data on morbidity due to poisoning caused by inadequate handling with chemical products, disaggregated by gender and age groups (2025)</w:t>
            </w:r>
          </w:p>
        </w:tc>
      </w:tr>
      <w:tr w:rsidR="00A8050D" w:rsidRPr="007C4D65" w14:paraId="7BCB44F1"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42138B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Developmental impact and contribution of the measure to achieving the priority</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9891A85" w14:textId="42D36DCA" w:rsidR="00A8050D" w:rsidRPr="007C4D65" w:rsidRDefault="00A8050D"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 xml:space="preserve">Enabled efficient and reliable collection of data on the diseased and deceased due to poisoning </w:t>
            </w:r>
            <w:proofErr w:type="gramStart"/>
            <w:r w:rsidRPr="007C4D65">
              <w:rPr>
                <w:rFonts w:asciiTheme="minorHAnsi" w:hAnsiTheme="minorHAnsi" w:cstheme="minorHAnsi"/>
                <w:sz w:val="18"/>
                <w:szCs w:val="18"/>
              </w:rPr>
              <w:t>as a result of</w:t>
            </w:r>
            <w:proofErr w:type="gramEnd"/>
            <w:r w:rsidRPr="007C4D65">
              <w:rPr>
                <w:rFonts w:asciiTheme="minorHAnsi" w:hAnsiTheme="minorHAnsi" w:cstheme="minorHAnsi"/>
                <w:sz w:val="18"/>
                <w:szCs w:val="18"/>
              </w:rPr>
              <w:t xml:space="preserve"> inadequate handling of chemicals, which is of essential importance for achieving SDG indicators and strategic goal indicators in the area of chemical safety</w:t>
            </w:r>
          </w:p>
        </w:tc>
      </w:tr>
      <w:tr w:rsidR="00A8050D" w:rsidRPr="007C4D65" w14:paraId="25AADA46"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020CF9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5C84EAF" w14:textId="4427C123"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4,977</w:t>
            </w:r>
          </w:p>
          <w:p w14:paraId="307F7B5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Source: 100% government budget</w:t>
            </w:r>
          </w:p>
        </w:tc>
      </w:tr>
      <w:tr w:rsidR="00A8050D" w:rsidRPr="007C4D65" w14:paraId="7E2C156C"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6846EF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1A1FB2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2022-2025</w:t>
            </w:r>
          </w:p>
        </w:tc>
      </w:tr>
      <w:tr w:rsidR="00A8050D" w:rsidRPr="007C4D65" w14:paraId="6890D9AB"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C3EDAC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25BD89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FMH</w:t>
            </w:r>
          </w:p>
        </w:tc>
      </w:tr>
      <w:tr w:rsidR="00A8050D" w:rsidRPr="007C4D65" w14:paraId="31C2655B"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7FB538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FC05D2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Public Health Institute of Federation of BiH</w:t>
            </w:r>
          </w:p>
        </w:tc>
      </w:tr>
      <w:tr w:rsidR="00A8050D" w:rsidRPr="007C4D65" w14:paraId="0092A80B"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9B712C7" w14:textId="01C1E844"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F58110B" w14:textId="7E487F9D"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FMH, PHI of Federation of BiH, health institutions at the level of cantons, municipalities and cities that register the diseased, </w:t>
            </w:r>
            <w:proofErr w:type="gramStart"/>
            <w:r w:rsidRPr="007C4D65">
              <w:rPr>
                <w:rFonts w:asciiTheme="minorHAnsi" w:hAnsiTheme="minorHAnsi" w:cstheme="minorHAnsi"/>
                <w:sz w:val="18"/>
                <w:szCs w:val="18"/>
              </w:rPr>
              <w:t>general public</w:t>
            </w:r>
            <w:proofErr w:type="gramEnd"/>
          </w:p>
        </w:tc>
      </w:tr>
    </w:tbl>
    <w:p w14:paraId="154567B2" w14:textId="77777777" w:rsidR="00A8050D" w:rsidRPr="007C4D65" w:rsidRDefault="00A8050D" w:rsidP="00A8050D">
      <w:pPr>
        <w:spacing w:line="276" w:lineRule="auto"/>
        <w:rPr>
          <w:rFonts w:asciiTheme="minorHAnsi" w:hAnsiTheme="minorHAnsi" w:cstheme="minorHAnsi"/>
          <w:sz w:val="18"/>
          <w:szCs w:val="18"/>
          <w:lang w:val="hr-HR"/>
        </w:rPr>
      </w:pPr>
    </w:p>
    <w:tbl>
      <w:tblPr>
        <w:tblW w:w="48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828"/>
        <w:gridCol w:w="2781"/>
        <w:gridCol w:w="3392"/>
        <w:gridCol w:w="3395"/>
      </w:tblGrid>
      <w:tr w:rsidR="00A8050D" w:rsidRPr="007C4D65" w14:paraId="0AE0E7F2"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2A7C5E6" w14:textId="6D66CA42"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95FCA4F" w14:textId="199052A2"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 </w:t>
            </w:r>
            <w:r w:rsidR="00206652" w:rsidRPr="007C4D65">
              <w:rPr>
                <w:rFonts w:asciiTheme="minorHAnsi" w:hAnsiTheme="minorHAnsi" w:cstheme="minorHAnsi"/>
                <w:b/>
                <w:sz w:val="18"/>
                <w:szCs w:val="18"/>
              </w:rPr>
              <w:t>Human health protection</w:t>
            </w:r>
            <w:r w:rsidRPr="007C4D65">
              <w:rPr>
                <w:rFonts w:asciiTheme="minorHAnsi" w:hAnsiTheme="minorHAnsi" w:cstheme="minorHAnsi"/>
                <w:b/>
                <w:sz w:val="18"/>
                <w:szCs w:val="18"/>
              </w:rPr>
              <w:t xml:space="preserve"> and improving well-being and quality of life for all</w:t>
            </w:r>
          </w:p>
        </w:tc>
      </w:tr>
      <w:tr w:rsidR="00A8050D" w:rsidRPr="007C4D65" w14:paraId="0FD44D23"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12EE35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ED3D663" w14:textId="00312840"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5.4. </w:t>
            </w:r>
            <w:r w:rsidR="0078459D" w:rsidRPr="007C4D65">
              <w:rPr>
                <w:rFonts w:asciiTheme="minorHAnsi" w:hAnsiTheme="minorHAnsi" w:cstheme="minorHAnsi"/>
                <w:b/>
                <w:sz w:val="18"/>
                <w:szCs w:val="18"/>
              </w:rPr>
              <w:t xml:space="preserve">Reduced incidence of diseases or deaths due to poisoning </w:t>
            </w:r>
            <w:proofErr w:type="gramStart"/>
            <w:r w:rsidR="0078459D" w:rsidRPr="007C4D65">
              <w:rPr>
                <w:rFonts w:asciiTheme="minorHAnsi" w:hAnsiTheme="minorHAnsi" w:cstheme="minorHAnsi"/>
                <w:b/>
                <w:sz w:val="18"/>
                <w:szCs w:val="18"/>
              </w:rPr>
              <w:t>as a consequence of</w:t>
            </w:r>
            <w:proofErr w:type="gramEnd"/>
            <w:r w:rsidR="0078459D" w:rsidRPr="007C4D65">
              <w:rPr>
                <w:rFonts w:asciiTheme="minorHAnsi" w:hAnsiTheme="minorHAnsi" w:cstheme="minorHAnsi"/>
                <w:b/>
                <w:sz w:val="18"/>
                <w:szCs w:val="18"/>
              </w:rPr>
              <w:t xml:space="preserve"> inadequate handling of chemical products</w:t>
            </w:r>
          </w:p>
        </w:tc>
      </w:tr>
      <w:tr w:rsidR="00A8050D" w:rsidRPr="007C4D65" w14:paraId="25EDB838"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EA001E4" w14:textId="04E2B749"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B75814A"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5.4.1 Raising public awareness on the risks posed by use of chemicals</w:t>
            </w:r>
          </w:p>
        </w:tc>
      </w:tr>
      <w:tr w:rsidR="00A8050D" w:rsidRPr="007C4D65" w14:paraId="04AA6392"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BC108F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782F182" w14:textId="3E54A4D8"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This measure aims to enhance level of information and knowledge of harmful impact of chemicals, and on requirements that stem from the adopted legislation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chemical safety.</w:t>
            </w:r>
          </w:p>
          <w:p w14:paraId="6577DE04" w14:textId="5044C138"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General areas of intervention:</w:t>
            </w:r>
          </w:p>
          <w:p w14:paraId="428D3ED5" w14:textId="1B194175" w:rsidR="00A8050D" w:rsidRPr="007C4D65" w:rsidRDefault="00A8050D">
            <w:pPr>
              <w:numPr>
                <w:ilvl w:val="0"/>
                <w:numId w:val="146"/>
              </w:numPr>
              <w:spacing w:before="40" w:after="40" w:line="276" w:lineRule="auto"/>
              <w:ind w:left="265" w:hanging="284"/>
              <w:contextualSpacing/>
              <w:rPr>
                <w:rFonts w:asciiTheme="minorHAnsi" w:eastAsia="Calibri" w:hAnsiTheme="minorHAnsi" w:cstheme="minorHAnsi"/>
                <w:sz w:val="18"/>
                <w:szCs w:val="18"/>
              </w:rPr>
            </w:pPr>
            <w:r w:rsidRPr="007C4D65">
              <w:rPr>
                <w:rFonts w:asciiTheme="minorHAnsi" w:hAnsiTheme="minorHAnsi" w:cstheme="minorHAnsi"/>
                <w:sz w:val="18"/>
                <w:szCs w:val="18"/>
              </w:rPr>
              <w:t>Continuous implementation of promotional and educational activities in the field of chemical management, taking into consideration aspects of gender equality, social equity and poverty, as well as the environmental impact (FMH, FMET</w:t>
            </w:r>
            <w:proofErr w:type="gramStart"/>
            <w:r w:rsidRPr="007C4D65">
              <w:rPr>
                <w:rFonts w:asciiTheme="minorHAnsi" w:hAnsiTheme="minorHAnsi" w:cstheme="minorHAnsi"/>
                <w:sz w:val="18"/>
                <w:szCs w:val="18"/>
              </w:rPr>
              <w:t>)</w:t>
            </w:r>
            <w:r w:rsidR="005452A5" w:rsidRPr="007C4D65">
              <w:rPr>
                <w:rFonts w:asciiTheme="minorHAnsi" w:eastAsia="Calibri" w:hAnsiTheme="minorHAnsi" w:cstheme="minorHAnsi"/>
                <w:sz w:val="18"/>
                <w:szCs w:val="18"/>
              </w:rPr>
              <w:t>;</w:t>
            </w:r>
            <w:proofErr w:type="gramEnd"/>
          </w:p>
          <w:p w14:paraId="3FB04320" w14:textId="58219335" w:rsidR="00A8050D" w:rsidRPr="007C4D65" w:rsidRDefault="00A8050D">
            <w:pPr>
              <w:numPr>
                <w:ilvl w:val="0"/>
                <w:numId w:val="146"/>
              </w:numPr>
              <w:spacing w:before="40" w:after="40" w:line="276" w:lineRule="auto"/>
              <w:ind w:left="264" w:hanging="264"/>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Recognizing the field of chemical safety in the scope of public calls for raising public awareness, research and educational activities in the field of environment that is issued the Environment Protection </w:t>
            </w:r>
            <w:proofErr w:type="gramStart"/>
            <w:r w:rsidRPr="007C4D65">
              <w:rPr>
                <w:rFonts w:asciiTheme="minorHAnsi" w:hAnsiTheme="minorHAnsi" w:cstheme="minorHAnsi"/>
                <w:sz w:val="18"/>
                <w:szCs w:val="18"/>
              </w:rPr>
              <w:t>Fund</w:t>
            </w:r>
            <w:r w:rsidR="005452A5" w:rsidRPr="007C4D65">
              <w:rPr>
                <w:rFonts w:asciiTheme="minorHAnsi" w:eastAsia="Calibri" w:hAnsiTheme="minorHAnsi" w:cstheme="minorHAnsi"/>
                <w:sz w:val="18"/>
                <w:szCs w:val="18"/>
              </w:rPr>
              <w:t>;</w:t>
            </w:r>
            <w:proofErr w:type="gramEnd"/>
          </w:p>
          <w:p w14:paraId="680C02FB" w14:textId="32F0D9E1" w:rsidR="00A8050D" w:rsidRPr="007C4D65" w:rsidRDefault="00A8050D">
            <w:pPr>
              <w:numPr>
                <w:ilvl w:val="0"/>
                <w:numId w:val="146"/>
              </w:numPr>
              <w:spacing w:before="40" w:after="40" w:line="276" w:lineRule="auto"/>
              <w:ind w:left="264" w:hanging="264"/>
              <w:contextualSpacing/>
              <w:rPr>
                <w:rFonts w:asciiTheme="minorHAnsi" w:eastAsia="Calibri" w:hAnsiTheme="minorHAnsi" w:cstheme="minorHAnsi"/>
                <w:sz w:val="18"/>
                <w:szCs w:val="18"/>
              </w:rPr>
            </w:pPr>
            <w:r w:rsidRPr="007C4D65">
              <w:rPr>
                <w:rFonts w:asciiTheme="minorHAnsi" w:hAnsiTheme="minorHAnsi" w:cstheme="minorHAnsi"/>
                <w:sz w:val="18"/>
                <w:szCs w:val="18"/>
              </w:rPr>
              <w:lastRenderedPageBreak/>
              <w:t xml:space="preserve">Harmonizing ongoing training of advisors for chemicals to be aligned with the data of the Federation Administration for Inspection in the field of health inspection with respect to the most common irregularities identified in the field, and with the information from FMH, PCC, and recognizing gender equality, social equity and poverty in chemical </w:t>
            </w:r>
            <w:proofErr w:type="gramStart"/>
            <w:r w:rsidRPr="007C4D65">
              <w:rPr>
                <w:rFonts w:asciiTheme="minorHAnsi" w:hAnsiTheme="minorHAnsi" w:cstheme="minorHAnsi"/>
                <w:sz w:val="18"/>
                <w:szCs w:val="18"/>
              </w:rPr>
              <w:t>safety</w:t>
            </w:r>
            <w:r w:rsidR="005452A5" w:rsidRPr="007C4D65">
              <w:rPr>
                <w:rFonts w:asciiTheme="minorHAnsi" w:eastAsia="Calibri" w:hAnsiTheme="minorHAnsi" w:cstheme="minorHAnsi"/>
                <w:sz w:val="18"/>
                <w:szCs w:val="18"/>
              </w:rPr>
              <w:t>;</w:t>
            </w:r>
            <w:proofErr w:type="gramEnd"/>
          </w:p>
          <w:p w14:paraId="2FDB47A7" w14:textId="1AB22FA3" w:rsidR="00A8050D" w:rsidRPr="007C4D65" w:rsidRDefault="00A8050D">
            <w:pPr>
              <w:numPr>
                <w:ilvl w:val="0"/>
                <w:numId w:val="146"/>
              </w:numPr>
              <w:spacing w:before="40" w:after="40" w:line="276" w:lineRule="auto"/>
              <w:ind w:left="265" w:hanging="267"/>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Preparation and implementation of joint campaign of the competent entity ministries and inspectorate of the Brcko District BiH in the field of health regarding the risks related to use of chemicals, for the purpose of protection of human health, and taking into consideration the aspects of gender equality, social equity and poverty, and </w:t>
            </w:r>
            <w:proofErr w:type="gramStart"/>
            <w:r w:rsidRPr="007C4D65">
              <w:rPr>
                <w:rFonts w:asciiTheme="minorHAnsi" w:hAnsiTheme="minorHAnsi" w:cstheme="minorHAnsi"/>
                <w:sz w:val="18"/>
                <w:szCs w:val="18"/>
              </w:rPr>
              <w:t>environment</w:t>
            </w:r>
            <w:r w:rsidR="005452A5" w:rsidRPr="007C4D65">
              <w:rPr>
                <w:rFonts w:asciiTheme="minorHAnsi" w:eastAsia="Calibri" w:hAnsiTheme="minorHAnsi" w:cstheme="minorHAnsi"/>
                <w:sz w:val="18"/>
                <w:szCs w:val="18"/>
              </w:rPr>
              <w:t>;</w:t>
            </w:r>
            <w:proofErr w:type="gramEnd"/>
          </w:p>
          <w:p w14:paraId="0A589DCC" w14:textId="40DA52F0" w:rsidR="00A8050D" w:rsidRPr="007C4D65" w:rsidRDefault="00A8050D">
            <w:pPr>
              <w:numPr>
                <w:ilvl w:val="0"/>
                <w:numId w:val="146"/>
              </w:numPr>
              <w:spacing w:before="40" w:after="40" w:line="276" w:lineRule="auto"/>
              <w:ind w:left="265" w:hanging="265"/>
              <w:contextualSpacing/>
              <w:rPr>
                <w:rFonts w:asciiTheme="minorHAnsi" w:eastAsia="Calibri" w:hAnsiTheme="minorHAnsi" w:cstheme="minorHAnsi"/>
                <w:sz w:val="18"/>
                <w:szCs w:val="18"/>
              </w:rPr>
            </w:pPr>
            <w:r w:rsidRPr="007C4D65">
              <w:rPr>
                <w:rFonts w:asciiTheme="minorHAnsi" w:hAnsiTheme="minorHAnsi" w:cstheme="minorHAnsi"/>
                <w:sz w:val="18"/>
                <w:szCs w:val="18"/>
              </w:rPr>
              <w:t>Organisation and implementation of training of repairers of HVAC equipment and provision of certificates</w:t>
            </w:r>
            <w:r w:rsidR="005452A5" w:rsidRPr="007C4D65">
              <w:rPr>
                <w:rFonts w:asciiTheme="minorHAnsi" w:hAnsiTheme="minorHAnsi" w:cstheme="minorHAnsi"/>
                <w:sz w:val="18"/>
                <w:szCs w:val="18"/>
              </w:rPr>
              <w:t>.</w:t>
            </w:r>
          </w:p>
        </w:tc>
      </w:tr>
      <w:tr w:rsidR="00A8050D" w:rsidRPr="007C4D65" w14:paraId="63FFAD4D"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7BA7DF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Strategic projects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87ED00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23E1FC2D" w14:textId="77777777" w:rsidTr="00B6017F">
        <w:trPr>
          <w:trHeight w:val="567"/>
          <w:jc w:val="center"/>
        </w:trPr>
        <w:tc>
          <w:tcPr>
            <w:tcW w:w="142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62A8607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3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08A0BAC"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7AEEC024" w14:textId="6890C353"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44E0C41"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3138F819"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192B2CB"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4E7FAAD3"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F94098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D3DC526" w14:textId="77777777" w:rsidR="00A8050D" w:rsidRPr="007C4D65" w:rsidRDefault="00A8050D" w:rsidP="00B6017F">
            <w:pPr>
              <w:tabs>
                <w:tab w:val="left" w:pos="548"/>
              </w:tabs>
              <w:spacing w:before="40" w:after="40" w:line="276" w:lineRule="auto"/>
              <w:ind w:left="141"/>
              <w:contextualSpacing/>
              <w:rPr>
                <w:rFonts w:asciiTheme="minorHAnsi" w:eastAsia="Calibri" w:hAnsiTheme="minorHAnsi" w:cstheme="minorHAnsi"/>
                <w:sz w:val="18"/>
                <w:szCs w:val="18"/>
              </w:rPr>
            </w:pPr>
            <w:r w:rsidRPr="007C4D65">
              <w:rPr>
                <w:rFonts w:asciiTheme="minorHAnsi" w:hAnsiTheme="minorHAnsi" w:cstheme="minorHAnsi"/>
                <w:sz w:val="18"/>
                <w:szCs w:val="18"/>
              </w:rPr>
              <w:t>a. Continuously implemented promotional and educational activities in the field of chemical management, taking into consideration other aspects of gender equality, social equality and poverty, as well as the environmental impact</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5C1257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Public information campaigns in media that provide information about the risks for human health and environment related to use of chemicals are rare and only implemented under special projects, not as a part of regular work of institutions</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DC7E859" w14:textId="77777777" w:rsidR="00A8050D" w:rsidRPr="007C4D65" w:rsidRDefault="00A8050D">
            <w:pPr>
              <w:numPr>
                <w:ilvl w:val="0"/>
                <w:numId w:val="249"/>
              </w:numPr>
              <w:spacing w:before="40" w:after="40" w:line="276" w:lineRule="auto"/>
              <w:ind w:left="332"/>
              <w:contextualSpacing/>
              <w:rPr>
                <w:rFonts w:asciiTheme="minorHAnsi" w:eastAsia="Calibri" w:hAnsiTheme="minorHAnsi" w:cstheme="minorHAnsi"/>
                <w:sz w:val="18"/>
                <w:szCs w:val="18"/>
              </w:rPr>
            </w:pPr>
            <w:r w:rsidRPr="007C4D65">
              <w:rPr>
                <w:rFonts w:asciiTheme="minorHAnsi" w:hAnsiTheme="minorHAnsi" w:cstheme="minorHAnsi"/>
                <w:sz w:val="18"/>
                <w:szCs w:val="18"/>
              </w:rPr>
              <w:t>Periodically developed educational guides/brochures/leaflets available in health institutions of the Federation of BiH (2030)</w:t>
            </w:r>
          </w:p>
          <w:p w14:paraId="7929AA85" w14:textId="77777777" w:rsidR="00A8050D" w:rsidRPr="007C4D65" w:rsidRDefault="00A8050D">
            <w:pPr>
              <w:numPr>
                <w:ilvl w:val="0"/>
                <w:numId w:val="249"/>
              </w:numPr>
              <w:spacing w:before="40" w:after="40" w:line="276" w:lineRule="auto"/>
              <w:ind w:left="332"/>
              <w:contextualSpacing/>
              <w:rPr>
                <w:rFonts w:asciiTheme="minorHAnsi" w:eastAsia="Calibri" w:hAnsiTheme="minorHAnsi" w:cstheme="minorHAnsi"/>
                <w:sz w:val="18"/>
                <w:szCs w:val="18"/>
              </w:rPr>
            </w:pPr>
            <w:r w:rsidRPr="007C4D65">
              <w:rPr>
                <w:rFonts w:asciiTheme="minorHAnsi" w:hAnsiTheme="minorHAnsi" w:cstheme="minorHAnsi"/>
                <w:sz w:val="18"/>
                <w:szCs w:val="18"/>
              </w:rPr>
              <w:t>Addressing the general public through the media on the risks of use of chemicals implemented on annual level on appropriate dates when such risks are especially emphasized at international level (</w:t>
            </w:r>
            <w:proofErr w:type="gramStart"/>
            <w:r w:rsidRPr="007C4D65">
              <w:rPr>
                <w:rFonts w:asciiTheme="minorHAnsi" w:hAnsiTheme="minorHAnsi" w:cstheme="minorHAnsi"/>
                <w:sz w:val="18"/>
                <w:szCs w:val="18"/>
              </w:rPr>
              <w:t>e.g.</w:t>
            </w:r>
            <w:proofErr w:type="gramEnd"/>
            <w:r w:rsidRPr="007C4D65">
              <w:rPr>
                <w:rFonts w:asciiTheme="minorHAnsi" w:hAnsiTheme="minorHAnsi" w:cstheme="minorHAnsi"/>
                <w:sz w:val="18"/>
                <w:szCs w:val="18"/>
              </w:rPr>
              <w:t xml:space="preserve"> lead poisoning, use of pesticides, mercury poisoning, etc.) or as a part of specific project activities (2030)</w:t>
            </w:r>
          </w:p>
        </w:tc>
      </w:tr>
      <w:tr w:rsidR="00A8050D" w:rsidRPr="007C4D65" w14:paraId="16DF069E"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2C939E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CBEC67B" w14:textId="77777777" w:rsidR="00A8050D" w:rsidRPr="007C4D65" w:rsidRDefault="00A8050D">
            <w:pPr>
              <w:numPr>
                <w:ilvl w:val="0"/>
                <w:numId w:val="142"/>
              </w:numPr>
              <w:tabs>
                <w:tab w:val="left" w:pos="265"/>
              </w:tabs>
              <w:spacing w:before="40" w:after="40" w:line="276" w:lineRule="auto"/>
              <w:ind w:left="0"/>
              <w:contextualSpacing/>
              <w:rPr>
                <w:rFonts w:asciiTheme="minorHAnsi" w:eastAsia="Calibri" w:hAnsiTheme="minorHAnsi" w:cstheme="minorHAnsi"/>
                <w:sz w:val="18"/>
                <w:szCs w:val="18"/>
              </w:rPr>
            </w:pPr>
            <w:r w:rsidRPr="007C4D65">
              <w:rPr>
                <w:rFonts w:asciiTheme="minorHAnsi" w:hAnsiTheme="minorHAnsi" w:cstheme="minorHAnsi"/>
                <w:sz w:val="18"/>
                <w:szCs w:val="18"/>
              </w:rPr>
              <w:t>Public call for the civil society organizations, research and education centres on the topic of raising awareness on chemical safety among the population issued on annual basis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DD130A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 Environment Protection Fund of has been regularly issuing public calls for projects to implement the measures from the Environmental Strategy Chemical safety has not been included in the public calls so far</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D454E70"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Recognize chemical safety in the scope of public calls for raising public awareness, research and educational activities in the field of environment that is issued the Environmental Protection Fund of Federation of BiH (2030)</w:t>
            </w:r>
          </w:p>
        </w:tc>
      </w:tr>
      <w:tr w:rsidR="00A8050D" w:rsidRPr="007C4D65" w14:paraId="2CCA07A3"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50D8C7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3D2FD2F" w14:textId="77777777" w:rsidR="00A8050D" w:rsidRPr="007C4D65" w:rsidRDefault="00A8050D">
            <w:pPr>
              <w:numPr>
                <w:ilvl w:val="0"/>
                <w:numId w:val="142"/>
              </w:numPr>
              <w:tabs>
                <w:tab w:val="left" w:pos="265"/>
                <w:tab w:val="left" w:pos="406"/>
              </w:tabs>
              <w:spacing w:before="40" w:after="40" w:line="276" w:lineRule="auto"/>
              <w:ind w:left="0"/>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Frequency and appropriateness of education of advisors for chemicals and users of chemicals, as well as provision of </w:t>
            </w:r>
            <w:r w:rsidRPr="007C4D65">
              <w:rPr>
                <w:rFonts w:asciiTheme="minorHAnsi" w:hAnsiTheme="minorHAnsi" w:cstheme="minorHAnsi"/>
                <w:sz w:val="18"/>
                <w:szCs w:val="18"/>
              </w:rPr>
              <w:lastRenderedPageBreak/>
              <w:t xml:space="preserve">better information to legal entities in the chain of chemical safety </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047DE4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The system for periodic training of advisors for chemicals has not been established</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025FF8F"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Continuous training of advisors for chemicals aligned with the data of the Federation Administration for Inspection in the field of health inspection on the most </w:t>
            </w:r>
            <w:r w:rsidRPr="007C4D65">
              <w:rPr>
                <w:rFonts w:asciiTheme="minorHAnsi" w:hAnsiTheme="minorHAnsi" w:cstheme="minorHAnsi"/>
                <w:sz w:val="18"/>
                <w:szCs w:val="18"/>
              </w:rPr>
              <w:lastRenderedPageBreak/>
              <w:t>common irregularities identified in the field, and with the information from FMH, PCC, and recognizing gender equality, social equity and poverty in chemical safety (2030)</w:t>
            </w:r>
          </w:p>
        </w:tc>
      </w:tr>
      <w:tr w:rsidR="00A8050D" w:rsidRPr="007C4D65" w14:paraId="566ECFD7"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D93D5A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B782E8E" w14:textId="77777777" w:rsidR="00A8050D" w:rsidRPr="007C4D65" w:rsidRDefault="00A8050D">
            <w:pPr>
              <w:numPr>
                <w:ilvl w:val="0"/>
                <w:numId w:val="142"/>
              </w:numPr>
              <w:tabs>
                <w:tab w:val="left" w:pos="265"/>
              </w:tabs>
              <w:spacing w:before="40" w:after="40" w:line="276" w:lineRule="auto"/>
              <w:ind w:left="0"/>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Frequency and appropriateness of educational activities targeting </w:t>
            </w:r>
            <w:proofErr w:type="gramStart"/>
            <w:r w:rsidRPr="007C4D65">
              <w:rPr>
                <w:rFonts w:asciiTheme="minorHAnsi" w:hAnsiTheme="minorHAnsi" w:cstheme="minorHAnsi"/>
                <w:sz w:val="18"/>
                <w:szCs w:val="18"/>
              </w:rPr>
              <w:t>general public</w:t>
            </w:r>
            <w:proofErr w:type="gramEnd"/>
            <w:r w:rsidRPr="007C4D65">
              <w:rPr>
                <w:rFonts w:asciiTheme="minorHAnsi" w:hAnsiTheme="minorHAnsi" w:cstheme="minorHAnsi"/>
                <w:sz w:val="18"/>
                <w:szCs w:val="18"/>
              </w:rPr>
              <w:t xml:space="preserve"> on the risks that stem from use of chemicals.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C9EAA9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Competent institutions in the field of health and chemicals management do not inform </w:t>
            </w:r>
            <w:proofErr w:type="gramStart"/>
            <w:r w:rsidRPr="007C4D65">
              <w:rPr>
                <w:rFonts w:asciiTheme="minorHAnsi" w:hAnsiTheme="minorHAnsi" w:cstheme="minorHAnsi"/>
                <w:sz w:val="18"/>
                <w:szCs w:val="18"/>
              </w:rPr>
              <w:t>general public</w:t>
            </w:r>
            <w:proofErr w:type="gramEnd"/>
            <w:r w:rsidRPr="007C4D65">
              <w:rPr>
                <w:rFonts w:asciiTheme="minorHAnsi" w:hAnsiTheme="minorHAnsi" w:cstheme="minorHAnsi"/>
                <w:sz w:val="18"/>
                <w:szCs w:val="18"/>
              </w:rPr>
              <w:t xml:space="preserve"> on the risks posed by use of chemicals, particularly on the most common cases of poisoning and harm</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E044F9C" w14:textId="5F5A60C0"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Periodical educational activities targeting </w:t>
            </w:r>
            <w:proofErr w:type="gramStart"/>
            <w:r w:rsidRPr="007C4D65">
              <w:rPr>
                <w:rFonts w:asciiTheme="minorHAnsi" w:hAnsiTheme="minorHAnsi" w:cstheme="minorHAnsi"/>
                <w:sz w:val="18"/>
                <w:szCs w:val="18"/>
              </w:rPr>
              <w:t>general public</w:t>
            </w:r>
            <w:proofErr w:type="gramEnd"/>
            <w:r w:rsidRPr="007C4D65">
              <w:rPr>
                <w:rFonts w:asciiTheme="minorHAnsi" w:hAnsiTheme="minorHAnsi" w:cstheme="minorHAnsi"/>
                <w:sz w:val="18"/>
                <w:szCs w:val="18"/>
              </w:rPr>
              <w:t xml:space="preserve"> jointly implemented by the competent entity ministries and the Inspectorate of the </w:t>
            </w:r>
            <w:r w:rsidR="00295360" w:rsidRPr="007C4D65">
              <w:rPr>
                <w:rFonts w:asciiTheme="minorHAnsi" w:hAnsiTheme="minorHAnsi" w:cstheme="minorHAnsi"/>
                <w:sz w:val="18"/>
                <w:szCs w:val="18"/>
              </w:rPr>
              <w:t>Brcko</w:t>
            </w:r>
            <w:r w:rsidRPr="007C4D65">
              <w:rPr>
                <w:rFonts w:asciiTheme="minorHAnsi" w:hAnsiTheme="minorHAnsi" w:cstheme="minorHAnsi"/>
                <w:sz w:val="18"/>
                <w:szCs w:val="18"/>
              </w:rPr>
              <w:t xml:space="preserve"> district BiH in the field of health regarding the risks related to use of chemicals, for the purpose of protection of human health, and taking into consideration the aspects of gender equality, social equity and poverty, and environment (2030)</w:t>
            </w:r>
          </w:p>
        </w:tc>
      </w:tr>
      <w:tr w:rsidR="00A8050D" w:rsidRPr="007C4D65" w14:paraId="7A9AF638"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74283F7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717F307" w14:textId="77777777" w:rsidR="00A8050D" w:rsidRPr="007C4D65" w:rsidRDefault="00A8050D" w:rsidP="00B6017F">
            <w:p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 Periodic organisation and implementation of training of repairers of HVAC equipment and provision of certificates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CD326E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Piece of legislation that regulates the training of repairers of HVAC equipment has not yet been adopted</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B89A565"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The HVAC equipment repairers trained and given the certificates of passed exam in accordance with applicable legislation in the field of managing ozone depleting substances (2024)</w:t>
            </w:r>
          </w:p>
        </w:tc>
      </w:tr>
      <w:tr w:rsidR="00A8050D" w:rsidRPr="007C4D65" w14:paraId="6A783684"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5E4BD1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336701F" w14:textId="12AC890C"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Higher awareness of population and users of chemicals on adequate handling and negative effects of chemicals on environment and human health</w:t>
            </w:r>
          </w:p>
        </w:tc>
      </w:tr>
      <w:tr w:rsidR="00A8050D" w:rsidRPr="007C4D65" w14:paraId="57D98287"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0D05D5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498AD76" w14:textId="00124C42"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501,659</w:t>
            </w:r>
          </w:p>
          <w:p w14:paraId="20437B2F"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Source: 10% from the government budget, 90% </w:t>
            </w:r>
            <w:r w:rsidRPr="007C4D65">
              <w:rPr>
                <w:rFonts w:asciiTheme="minorHAnsi" w:eastAsia="Calibri" w:hAnsiTheme="minorHAnsi" w:cstheme="minorHAnsi"/>
                <w:sz w:val="18"/>
                <w:szCs w:val="18"/>
              </w:rPr>
              <w:t>combined ‒ loans, funds from EU and other international donors, and other donations</w:t>
            </w:r>
          </w:p>
        </w:tc>
      </w:tr>
      <w:tr w:rsidR="00A8050D" w:rsidRPr="007C4D65" w14:paraId="6DB14020"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E7167A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FA37AF7" w14:textId="59042A9C" w:rsidR="00A8050D" w:rsidRPr="007C4D65" w:rsidRDefault="00A8050D" w:rsidP="00B6017F">
            <w:pPr>
              <w:spacing w:before="40" w:after="40" w:line="276" w:lineRule="auto"/>
              <w:rPr>
                <w:rFonts w:asciiTheme="minorHAnsi" w:hAnsiTheme="minorHAnsi" w:cstheme="minorHAnsi"/>
                <w:sz w:val="18"/>
                <w:szCs w:val="18"/>
              </w:rPr>
            </w:pPr>
            <w:bookmarkStart w:id="313" w:name="_Hlk100675002"/>
            <w:r w:rsidRPr="007C4D65">
              <w:rPr>
                <w:rFonts w:asciiTheme="minorHAnsi" w:hAnsiTheme="minorHAnsi" w:cstheme="minorHAnsi"/>
                <w:sz w:val="18"/>
                <w:szCs w:val="18"/>
              </w:rPr>
              <w:t>2024‒2030</w:t>
            </w:r>
            <w:bookmarkEnd w:id="313"/>
          </w:p>
        </w:tc>
      </w:tr>
      <w:tr w:rsidR="00A8050D" w:rsidRPr="007C4D65" w14:paraId="4E075622"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3F6092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0C91A6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FMH</w:t>
            </w:r>
          </w:p>
        </w:tc>
      </w:tr>
      <w:tr w:rsidR="00A8050D" w:rsidRPr="007C4D65" w14:paraId="2F2C0702"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A80395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42449B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FMH, FMET Federation of BiH Administration for Inspection, Public Health Institute of Federation of BiH</w:t>
            </w:r>
          </w:p>
        </w:tc>
      </w:tr>
      <w:tr w:rsidR="00A8050D" w:rsidRPr="007C4D65" w14:paraId="5ABCDAD8"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715AD5F" w14:textId="785C628C"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Target groups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5A8E09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FMH, FMET, Federation of BiH Administration for Inspection, </w:t>
            </w:r>
            <w:proofErr w:type="spellStart"/>
            <w:r w:rsidRPr="007C4D65">
              <w:rPr>
                <w:rFonts w:asciiTheme="minorHAnsi" w:hAnsiTheme="minorHAnsi" w:cstheme="minorHAnsi"/>
                <w:sz w:val="18"/>
                <w:szCs w:val="18"/>
              </w:rPr>
              <w:t>MoFTER</w:t>
            </w:r>
            <w:proofErr w:type="spellEnd"/>
            <w:r w:rsidRPr="007C4D65">
              <w:rPr>
                <w:rFonts w:asciiTheme="minorHAnsi" w:hAnsiTheme="minorHAnsi" w:cstheme="minorHAnsi"/>
                <w:sz w:val="18"/>
                <w:szCs w:val="18"/>
              </w:rPr>
              <w:t xml:space="preserve">, MCA, MHSP RS, MSPCE, Brcko District of BiH - Department for Spatial Planning and Property Affairs, Brcko District of BiH - Department for Health and Other services, scientific and research centres, non-governmental organizations and </w:t>
            </w:r>
            <w:proofErr w:type="gramStart"/>
            <w:r w:rsidRPr="007C4D65">
              <w:rPr>
                <w:rFonts w:asciiTheme="minorHAnsi" w:hAnsiTheme="minorHAnsi" w:cstheme="minorHAnsi"/>
                <w:sz w:val="18"/>
                <w:szCs w:val="18"/>
              </w:rPr>
              <w:t>general public</w:t>
            </w:r>
            <w:proofErr w:type="gramEnd"/>
          </w:p>
        </w:tc>
      </w:tr>
    </w:tbl>
    <w:p w14:paraId="1A247014" w14:textId="77777777" w:rsidR="00A8050D" w:rsidRPr="007C4D65" w:rsidRDefault="00A8050D" w:rsidP="00A8050D">
      <w:pPr>
        <w:spacing w:line="276" w:lineRule="auto"/>
        <w:rPr>
          <w:rFonts w:asciiTheme="minorHAnsi" w:hAnsiTheme="minorHAnsi" w:cstheme="minorHAnsi"/>
          <w:sz w:val="18"/>
          <w:szCs w:val="18"/>
          <w:lang w:val="hr-HR"/>
        </w:rPr>
      </w:pPr>
    </w:p>
    <w:tbl>
      <w:tblPr>
        <w:tblW w:w="4802"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8"/>
        <w:gridCol w:w="2781"/>
        <w:gridCol w:w="3392"/>
        <w:gridCol w:w="3395"/>
      </w:tblGrid>
      <w:tr w:rsidR="00A8050D" w:rsidRPr="007C4D65" w14:paraId="1D0226C3" w14:textId="77777777" w:rsidTr="00B6017F">
        <w:trPr>
          <w:trHeight w:val="567"/>
          <w:jc w:val="center"/>
        </w:trPr>
        <w:tc>
          <w:tcPr>
            <w:tcW w:w="1429" w:type="pct"/>
            <w:shd w:val="clear" w:color="auto" w:fill="009D73"/>
            <w:vAlign w:val="center"/>
          </w:tcPr>
          <w:p w14:paraId="02EC806B" w14:textId="5758215A"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71" w:type="pct"/>
            <w:gridSpan w:val="3"/>
            <w:shd w:val="clear" w:color="auto" w:fill="FFFFFF"/>
            <w:vAlign w:val="center"/>
          </w:tcPr>
          <w:p w14:paraId="4607317B" w14:textId="44CE9609"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 </w:t>
            </w:r>
            <w:r w:rsidR="00206652" w:rsidRPr="007C4D65">
              <w:rPr>
                <w:rFonts w:asciiTheme="minorHAnsi" w:hAnsiTheme="minorHAnsi" w:cstheme="minorHAnsi"/>
                <w:b/>
                <w:sz w:val="18"/>
                <w:szCs w:val="18"/>
              </w:rPr>
              <w:t>Human health protection</w:t>
            </w:r>
            <w:r w:rsidRPr="007C4D65">
              <w:rPr>
                <w:rFonts w:asciiTheme="minorHAnsi" w:hAnsiTheme="minorHAnsi" w:cstheme="minorHAnsi"/>
                <w:b/>
                <w:sz w:val="18"/>
                <w:szCs w:val="18"/>
              </w:rPr>
              <w:t xml:space="preserve"> and improving well-being and quality of life for all</w:t>
            </w:r>
          </w:p>
        </w:tc>
      </w:tr>
      <w:tr w:rsidR="00A8050D" w:rsidRPr="007C4D65" w14:paraId="427B6270" w14:textId="77777777" w:rsidTr="00B6017F">
        <w:trPr>
          <w:trHeight w:val="567"/>
          <w:jc w:val="center"/>
        </w:trPr>
        <w:tc>
          <w:tcPr>
            <w:tcW w:w="1429" w:type="pct"/>
            <w:shd w:val="clear" w:color="auto" w:fill="009D73"/>
            <w:vAlign w:val="center"/>
          </w:tcPr>
          <w:p w14:paraId="7695C09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71" w:type="pct"/>
            <w:gridSpan w:val="3"/>
            <w:shd w:val="clear" w:color="auto" w:fill="FFFFFF"/>
            <w:vAlign w:val="center"/>
          </w:tcPr>
          <w:p w14:paraId="6A0AFC3B" w14:textId="15D52AFB"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5.5. </w:t>
            </w:r>
            <w:r w:rsidR="00C749AE" w:rsidRPr="007C4D65">
              <w:rPr>
                <w:rFonts w:asciiTheme="minorHAnsi" w:hAnsiTheme="minorHAnsi" w:cstheme="minorHAnsi"/>
                <w:b/>
                <w:sz w:val="18"/>
                <w:szCs w:val="18"/>
              </w:rPr>
              <w:t>Establish a legislative framework and clear institutional competences to transpose EU acquis on environmental noise in legislation of the Federation of BiH</w:t>
            </w:r>
          </w:p>
        </w:tc>
      </w:tr>
      <w:tr w:rsidR="00A8050D" w:rsidRPr="007C4D65" w14:paraId="1701828B" w14:textId="77777777" w:rsidTr="00B6017F">
        <w:trPr>
          <w:trHeight w:val="567"/>
          <w:jc w:val="center"/>
        </w:trPr>
        <w:tc>
          <w:tcPr>
            <w:tcW w:w="1429" w:type="pct"/>
            <w:shd w:val="clear" w:color="auto" w:fill="009D73"/>
            <w:vAlign w:val="center"/>
          </w:tcPr>
          <w:p w14:paraId="127C37F6" w14:textId="33AADEBC" w:rsidR="00A8050D" w:rsidRPr="007C4D65" w:rsidRDefault="007934C2"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571" w:type="pct"/>
            <w:gridSpan w:val="3"/>
            <w:shd w:val="clear" w:color="auto" w:fill="FFFFFF"/>
            <w:vAlign w:val="center"/>
          </w:tcPr>
          <w:p w14:paraId="427B809B" w14:textId="77777777"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5.5.1 Established legislative framework and institutional competences on noise evaluation and management, noise emission by outdoor equipment, in accordance with requirements of Directive 2002/49/EC and 2000/14/EC</w:t>
            </w:r>
          </w:p>
        </w:tc>
      </w:tr>
      <w:tr w:rsidR="00A8050D" w:rsidRPr="007C4D65" w14:paraId="7B655197" w14:textId="77777777" w:rsidTr="00B6017F">
        <w:trPr>
          <w:trHeight w:val="567"/>
          <w:jc w:val="center"/>
        </w:trPr>
        <w:tc>
          <w:tcPr>
            <w:tcW w:w="1429" w:type="pct"/>
            <w:shd w:val="clear" w:color="auto" w:fill="009D73"/>
            <w:vAlign w:val="center"/>
          </w:tcPr>
          <w:p w14:paraId="2FF9C5D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571" w:type="pct"/>
            <w:gridSpan w:val="3"/>
            <w:shd w:val="clear" w:color="auto" w:fill="FFFFFF"/>
            <w:vAlign w:val="center"/>
          </w:tcPr>
          <w:p w14:paraId="1C28B868"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This measure aims to achieve partial transposition of EU directives and establishment of institutional framework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managing protection against noise.</w:t>
            </w:r>
          </w:p>
          <w:p w14:paraId="613730B1" w14:textId="0FE38A14"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General areas of intervention:</w:t>
            </w:r>
          </w:p>
          <w:p w14:paraId="1D53D802" w14:textId="30EF0D67" w:rsidR="00A8050D" w:rsidRPr="007C4D65" w:rsidRDefault="00A8050D">
            <w:pPr>
              <w:pStyle w:val="ListParagraph"/>
              <w:numPr>
                <w:ilvl w:val="0"/>
                <w:numId w:val="177"/>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Updating current Law on Noise Protection to clearly define institutional </w:t>
            </w:r>
            <w:proofErr w:type="gramStart"/>
            <w:r w:rsidRPr="007C4D65">
              <w:rPr>
                <w:rFonts w:asciiTheme="minorHAnsi" w:hAnsiTheme="minorHAnsi" w:cstheme="minorHAnsi"/>
                <w:sz w:val="18"/>
                <w:szCs w:val="18"/>
              </w:rPr>
              <w:t>competences</w:t>
            </w:r>
            <w:r w:rsidR="005452A5" w:rsidRPr="007C4D65">
              <w:rPr>
                <w:rFonts w:asciiTheme="minorHAnsi" w:hAnsiTheme="minorHAnsi" w:cstheme="minorHAnsi"/>
                <w:sz w:val="18"/>
                <w:szCs w:val="18"/>
              </w:rPr>
              <w:t>;</w:t>
            </w:r>
            <w:proofErr w:type="gramEnd"/>
          </w:p>
          <w:p w14:paraId="3492992C" w14:textId="5DE1FEF5" w:rsidR="00A8050D" w:rsidRPr="007C4D65" w:rsidRDefault="00A8050D">
            <w:pPr>
              <w:pStyle w:val="ListParagraph"/>
              <w:numPr>
                <w:ilvl w:val="0"/>
                <w:numId w:val="177"/>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Development of secondary legislation (bylaws) that follow from the Law on Noise, which regulate development of strategic noise maps and noise protection action plans, in accordance with requirements of the Directive 2002/49/</w:t>
            </w:r>
            <w:proofErr w:type="gramStart"/>
            <w:r w:rsidRPr="007C4D65">
              <w:rPr>
                <w:rFonts w:asciiTheme="minorHAnsi" w:hAnsiTheme="minorHAnsi" w:cstheme="minorHAnsi"/>
                <w:sz w:val="18"/>
                <w:szCs w:val="18"/>
              </w:rPr>
              <w:t>EC</w:t>
            </w:r>
            <w:r w:rsidR="005452A5" w:rsidRPr="007C4D65">
              <w:rPr>
                <w:rFonts w:asciiTheme="minorHAnsi" w:eastAsia="Calibri" w:hAnsiTheme="minorHAnsi" w:cstheme="minorHAnsi"/>
                <w:sz w:val="18"/>
                <w:szCs w:val="18"/>
              </w:rPr>
              <w:t>;</w:t>
            </w:r>
            <w:proofErr w:type="gramEnd"/>
          </w:p>
          <w:p w14:paraId="770AFBA8" w14:textId="41FEF557" w:rsidR="00A8050D" w:rsidRPr="007C4D65" w:rsidRDefault="00A8050D">
            <w:pPr>
              <w:pStyle w:val="ListParagraph"/>
              <w:numPr>
                <w:ilvl w:val="0"/>
                <w:numId w:val="177"/>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Law or secondary legislation (bylaws) to prescribe clear institutional competences and obligations regarding noise emission by outdoor equipment</w:t>
            </w:r>
            <w:r w:rsidR="005452A5" w:rsidRPr="007C4D65">
              <w:rPr>
                <w:rFonts w:asciiTheme="minorHAnsi" w:eastAsia="Calibri" w:hAnsiTheme="minorHAnsi" w:cstheme="minorHAnsi"/>
                <w:sz w:val="18"/>
                <w:szCs w:val="18"/>
              </w:rPr>
              <w:t>.</w:t>
            </w:r>
          </w:p>
        </w:tc>
      </w:tr>
      <w:tr w:rsidR="00A8050D" w:rsidRPr="007C4D65" w14:paraId="5E9FB5D0" w14:textId="77777777" w:rsidTr="00B6017F">
        <w:trPr>
          <w:trHeight w:val="567"/>
          <w:jc w:val="center"/>
        </w:trPr>
        <w:tc>
          <w:tcPr>
            <w:tcW w:w="1429" w:type="pct"/>
            <w:shd w:val="clear" w:color="auto" w:fill="009D73"/>
            <w:vAlign w:val="center"/>
          </w:tcPr>
          <w:p w14:paraId="78F80DE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Strategic projects</w:t>
            </w:r>
          </w:p>
        </w:tc>
        <w:tc>
          <w:tcPr>
            <w:tcW w:w="3571" w:type="pct"/>
            <w:gridSpan w:val="3"/>
            <w:shd w:val="clear" w:color="auto" w:fill="FFFFFF" w:themeFill="background1"/>
            <w:vAlign w:val="center"/>
          </w:tcPr>
          <w:p w14:paraId="5F3A6774"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203013D9" w14:textId="77777777" w:rsidTr="00B6017F">
        <w:trPr>
          <w:trHeight w:val="567"/>
          <w:jc w:val="center"/>
        </w:trPr>
        <w:tc>
          <w:tcPr>
            <w:tcW w:w="1429" w:type="pct"/>
            <w:vMerge w:val="restart"/>
            <w:shd w:val="clear" w:color="auto" w:fill="009D73"/>
            <w:vAlign w:val="center"/>
          </w:tcPr>
          <w:p w14:paraId="300EE340"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38" w:type="pct"/>
            <w:shd w:val="clear" w:color="auto" w:fill="009D73"/>
            <w:vAlign w:val="center"/>
          </w:tcPr>
          <w:p w14:paraId="4630DD4D"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5BA69EA6" w14:textId="2B8D99CD"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shd w:val="clear" w:color="auto" w:fill="009D73"/>
            <w:vAlign w:val="center"/>
          </w:tcPr>
          <w:p w14:paraId="222131AE"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6E7B9ED9"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shd w:val="clear" w:color="auto" w:fill="009D73"/>
            <w:vAlign w:val="center"/>
          </w:tcPr>
          <w:p w14:paraId="1789E558"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7B72ED2E" w14:textId="77777777" w:rsidTr="00B6017F">
        <w:trPr>
          <w:trHeight w:val="274"/>
          <w:jc w:val="center"/>
        </w:trPr>
        <w:tc>
          <w:tcPr>
            <w:tcW w:w="1429" w:type="pct"/>
            <w:vMerge/>
            <w:shd w:val="clear" w:color="auto" w:fill="009D73"/>
            <w:vAlign w:val="center"/>
          </w:tcPr>
          <w:p w14:paraId="6F762C1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shd w:val="clear" w:color="auto" w:fill="FFFFFF"/>
            <w:vAlign w:val="center"/>
          </w:tcPr>
          <w:p w14:paraId="23877542" w14:textId="20A30DF8" w:rsidR="00A8050D" w:rsidRPr="007C4D65" w:rsidRDefault="00A8050D">
            <w:pPr>
              <w:pStyle w:val="ListParagraph"/>
              <w:numPr>
                <w:ilvl w:val="0"/>
                <w:numId w:val="143"/>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Status of transposition of </w:t>
            </w:r>
            <w:r w:rsidR="001E4D90" w:rsidRPr="007C4D65">
              <w:rPr>
                <w:rFonts w:asciiTheme="minorHAnsi" w:hAnsiTheme="minorHAnsi" w:cstheme="minorHAnsi"/>
                <w:sz w:val="18"/>
                <w:szCs w:val="18"/>
              </w:rPr>
              <w:t>EU regulations</w:t>
            </w:r>
            <w:r w:rsidRPr="007C4D65">
              <w:rPr>
                <w:rFonts w:asciiTheme="minorHAnsi" w:hAnsiTheme="minorHAnsi" w:cstheme="minorHAnsi"/>
                <w:sz w:val="18"/>
                <w:szCs w:val="18"/>
              </w:rPr>
              <w:t xml:space="preserve"> on environmental noise</w:t>
            </w:r>
          </w:p>
        </w:tc>
        <w:tc>
          <w:tcPr>
            <w:tcW w:w="1266" w:type="pct"/>
            <w:shd w:val="clear" w:color="auto" w:fill="FFFFFF"/>
            <w:vAlign w:val="center"/>
          </w:tcPr>
          <w:p w14:paraId="1EAA304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Low level of transposition of the Directive 2002/49/EC on environmental noise and </w:t>
            </w:r>
          </w:p>
        </w:tc>
        <w:tc>
          <w:tcPr>
            <w:tcW w:w="1267" w:type="pct"/>
            <w:shd w:val="clear" w:color="auto" w:fill="FFFFFF"/>
            <w:vAlign w:val="center"/>
          </w:tcPr>
          <w:p w14:paraId="020B02B1"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Updated current Law on Noise Protection, including clear description of institutional competences (2025)</w:t>
            </w:r>
          </w:p>
        </w:tc>
      </w:tr>
      <w:tr w:rsidR="00A8050D" w:rsidRPr="007C4D65" w14:paraId="3199FD10" w14:textId="77777777" w:rsidTr="00B6017F">
        <w:trPr>
          <w:trHeight w:val="567"/>
          <w:jc w:val="center"/>
        </w:trPr>
        <w:tc>
          <w:tcPr>
            <w:tcW w:w="1429" w:type="pct"/>
            <w:vMerge/>
            <w:shd w:val="clear" w:color="auto" w:fill="009D73"/>
            <w:vAlign w:val="center"/>
          </w:tcPr>
          <w:p w14:paraId="0301F65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shd w:val="clear" w:color="auto" w:fill="FFFFFF"/>
            <w:vAlign w:val="center"/>
          </w:tcPr>
          <w:p w14:paraId="7D548FD1" w14:textId="77777777" w:rsidR="00A8050D" w:rsidRPr="007C4D65" w:rsidRDefault="00A8050D">
            <w:pPr>
              <w:pStyle w:val="ListParagraph"/>
              <w:numPr>
                <w:ilvl w:val="0"/>
                <w:numId w:val="143"/>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Status of secondary legislation (bylaws) that follow from the Law on Noise, which regulate development of strategic noise maps and noise protection action plans, in accordance with </w:t>
            </w:r>
            <w:r w:rsidRPr="007C4D65">
              <w:rPr>
                <w:rFonts w:asciiTheme="minorHAnsi" w:hAnsiTheme="minorHAnsi" w:cstheme="minorHAnsi"/>
                <w:sz w:val="18"/>
                <w:szCs w:val="18"/>
              </w:rPr>
              <w:lastRenderedPageBreak/>
              <w:t>requirements of the Directive 2002/49/EC</w:t>
            </w:r>
          </w:p>
        </w:tc>
        <w:tc>
          <w:tcPr>
            <w:tcW w:w="1266" w:type="pct"/>
            <w:shd w:val="clear" w:color="auto" w:fill="FFFFFF"/>
            <w:vAlign w:val="center"/>
          </w:tcPr>
          <w:p w14:paraId="301E3CD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 xml:space="preserve">Low level of transposition of the Directive 2002/49/EC on environmental noise. Upon harmonisation of the Law on Noise Protection, it will be necessary to adopt secondary legislation (bylaws) to closely define the area of development of </w:t>
            </w:r>
            <w:r w:rsidRPr="007C4D65">
              <w:rPr>
                <w:rFonts w:asciiTheme="minorHAnsi" w:hAnsiTheme="minorHAnsi" w:cstheme="minorHAnsi"/>
                <w:sz w:val="18"/>
                <w:szCs w:val="18"/>
              </w:rPr>
              <w:lastRenderedPageBreak/>
              <w:t xml:space="preserve">strategic noise maps and noise protection action plans </w:t>
            </w:r>
          </w:p>
        </w:tc>
        <w:tc>
          <w:tcPr>
            <w:tcW w:w="1267" w:type="pct"/>
            <w:shd w:val="clear" w:color="auto" w:fill="FFFFFF"/>
            <w:vAlign w:val="center"/>
          </w:tcPr>
          <w:p w14:paraId="130FDA19"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lastRenderedPageBreak/>
              <w:t>Developed and adopted secondary legislation (bylaws) that follow from the Law on Noise, which regulate development of strategic noise maps and noise protection action plans, in accordance with requirements of the Directive 2002/49/EC</w:t>
            </w:r>
          </w:p>
          <w:p w14:paraId="622E9F1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(2026)</w:t>
            </w:r>
          </w:p>
        </w:tc>
      </w:tr>
      <w:tr w:rsidR="00A8050D" w:rsidRPr="007C4D65" w14:paraId="6FBBE8D3" w14:textId="77777777" w:rsidTr="00B6017F">
        <w:trPr>
          <w:trHeight w:val="567"/>
          <w:jc w:val="center"/>
        </w:trPr>
        <w:tc>
          <w:tcPr>
            <w:tcW w:w="1429" w:type="pct"/>
            <w:vMerge/>
            <w:shd w:val="clear" w:color="auto" w:fill="009D73"/>
            <w:vAlign w:val="center"/>
          </w:tcPr>
          <w:p w14:paraId="7B8E222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shd w:val="clear" w:color="auto" w:fill="FFFFFF"/>
            <w:vAlign w:val="center"/>
          </w:tcPr>
          <w:p w14:paraId="16C04B98" w14:textId="4956453B" w:rsidR="00A8050D" w:rsidRPr="007C4D65" w:rsidRDefault="00A8050D">
            <w:pPr>
              <w:pStyle w:val="ListParagraph"/>
              <w:numPr>
                <w:ilvl w:val="0"/>
                <w:numId w:val="143"/>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Status of transposition of </w:t>
            </w:r>
            <w:r w:rsidR="001E4D90" w:rsidRPr="007C4D65">
              <w:rPr>
                <w:rFonts w:asciiTheme="minorHAnsi" w:hAnsiTheme="minorHAnsi" w:cstheme="minorHAnsi"/>
                <w:sz w:val="18"/>
                <w:szCs w:val="18"/>
              </w:rPr>
              <w:t>EU regulations</w:t>
            </w:r>
            <w:r w:rsidRPr="007C4D65">
              <w:rPr>
                <w:rFonts w:asciiTheme="minorHAnsi" w:hAnsiTheme="minorHAnsi" w:cstheme="minorHAnsi"/>
                <w:sz w:val="18"/>
                <w:szCs w:val="18"/>
              </w:rPr>
              <w:t xml:space="preserve"> on environmental noise emission by outdoor equipment</w:t>
            </w:r>
          </w:p>
        </w:tc>
        <w:tc>
          <w:tcPr>
            <w:tcW w:w="1266" w:type="pct"/>
            <w:shd w:val="clear" w:color="auto" w:fill="FFFFFF"/>
            <w:vAlign w:val="center"/>
          </w:tcPr>
          <w:p w14:paraId="6A20C694"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There is no legal basis for transposition of the Directive 2000/14/EC regarding harmonisation of legislation of member countries regulating the environmental noise emission by outdoor equipment</w:t>
            </w:r>
          </w:p>
        </w:tc>
        <w:tc>
          <w:tcPr>
            <w:tcW w:w="1267" w:type="pct"/>
            <w:shd w:val="clear" w:color="auto" w:fill="FFFFFF"/>
            <w:vAlign w:val="center"/>
          </w:tcPr>
          <w:p w14:paraId="066F1D1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Law or secondary legislation (bylaws) to prescribe obligations and establish clear institutional competences and obligations regarding noise emission by outdoor equipment (2031)</w:t>
            </w:r>
          </w:p>
        </w:tc>
      </w:tr>
      <w:tr w:rsidR="00A8050D" w:rsidRPr="007C4D65" w14:paraId="33B78AB4" w14:textId="77777777" w:rsidTr="00B6017F">
        <w:trPr>
          <w:trHeight w:val="567"/>
          <w:jc w:val="center"/>
        </w:trPr>
        <w:tc>
          <w:tcPr>
            <w:tcW w:w="1429" w:type="pct"/>
            <w:shd w:val="clear" w:color="auto" w:fill="009D73"/>
            <w:vAlign w:val="center"/>
          </w:tcPr>
          <w:p w14:paraId="16DFCEF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571" w:type="pct"/>
            <w:gridSpan w:val="3"/>
            <w:shd w:val="clear" w:color="auto" w:fill="FFFFFF"/>
            <w:vAlign w:val="center"/>
          </w:tcPr>
          <w:p w14:paraId="23133A7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Improvement of noise management and progress in the process of European integrations by aligning the national legislation with the EU acquis</w:t>
            </w:r>
          </w:p>
        </w:tc>
      </w:tr>
      <w:tr w:rsidR="00A8050D" w:rsidRPr="007C4D65" w14:paraId="682E126F" w14:textId="77777777" w:rsidTr="00B6017F">
        <w:trPr>
          <w:trHeight w:val="567"/>
          <w:jc w:val="center"/>
        </w:trPr>
        <w:tc>
          <w:tcPr>
            <w:tcW w:w="1429" w:type="pct"/>
            <w:shd w:val="clear" w:color="auto" w:fill="009D73"/>
            <w:vAlign w:val="center"/>
          </w:tcPr>
          <w:p w14:paraId="2350E53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571" w:type="pct"/>
            <w:gridSpan w:val="3"/>
            <w:shd w:val="clear" w:color="auto" w:fill="FFFFFF"/>
            <w:vAlign w:val="center"/>
          </w:tcPr>
          <w:p w14:paraId="717585C7" w14:textId="2A5BB059"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115,345</w:t>
            </w:r>
          </w:p>
          <w:p w14:paraId="449A229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Source: 100% government budget</w:t>
            </w:r>
          </w:p>
        </w:tc>
      </w:tr>
      <w:tr w:rsidR="00A8050D" w:rsidRPr="007C4D65" w14:paraId="71959A27" w14:textId="77777777" w:rsidTr="00B6017F">
        <w:trPr>
          <w:trHeight w:val="567"/>
          <w:jc w:val="center"/>
        </w:trPr>
        <w:tc>
          <w:tcPr>
            <w:tcW w:w="1429" w:type="pct"/>
            <w:shd w:val="clear" w:color="auto" w:fill="009D73"/>
            <w:vAlign w:val="center"/>
          </w:tcPr>
          <w:p w14:paraId="4A8617C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571" w:type="pct"/>
            <w:gridSpan w:val="3"/>
            <w:shd w:val="clear" w:color="auto" w:fill="FFFFFF"/>
            <w:vAlign w:val="center"/>
          </w:tcPr>
          <w:p w14:paraId="154ACC8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2025-2031</w:t>
            </w:r>
          </w:p>
        </w:tc>
      </w:tr>
      <w:tr w:rsidR="00A8050D" w:rsidRPr="007C4D65" w14:paraId="1864CCC6" w14:textId="77777777" w:rsidTr="00B6017F">
        <w:trPr>
          <w:trHeight w:val="567"/>
          <w:jc w:val="center"/>
        </w:trPr>
        <w:tc>
          <w:tcPr>
            <w:tcW w:w="1429" w:type="pct"/>
            <w:shd w:val="clear" w:color="auto" w:fill="009D73"/>
            <w:vAlign w:val="center"/>
          </w:tcPr>
          <w:p w14:paraId="1347CA13"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71" w:type="pct"/>
            <w:gridSpan w:val="3"/>
            <w:shd w:val="clear" w:color="auto" w:fill="FFFFFF"/>
            <w:vAlign w:val="center"/>
          </w:tcPr>
          <w:p w14:paraId="441FF0C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FMET</w:t>
            </w:r>
          </w:p>
        </w:tc>
      </w:tr>
      <w:tr w:rsidR="00A8050D" w:rsidRPr="007C4D65" w14:paraId="0009DEB4" w14:textId="77777777" w:rsidTr="00B6017F">
        <w:trPr>
          <w:trHeight w:val="567"/>
          <w:jc w:val="center"/>
        </w:trPr>
        <w:tc>
          <w:tcPr>
            <w:tcW w:w="1429" w:type="pct"/>
            <w:shd w:val="clear" w:color="auto" w:fill="009D73"/>
            <w:vAlign w:val="center"/>
          </w:tcPr>
          <w:p w14:paraId="6E10908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w:t>
            </w:r>
          </w:p>
        </w:tc>
        <w:tc>
          <w:tcPr>
            <w:tcW w:w="3571" w:type="pct"/>
            <w:gridSpan w:val="3"/>
            <w:shd w:val="clear" w:color="auto" w:fill="FFFFFF"/>
            <w:vAlign w:val="center"/>
          </w:tcPr>
          <w:p w14:paraId="0C85B1F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FMET, FMH, FMET, in cooperation with other line ministries responsible for planning, transport and health</w:t>
            </w:r>
          </w:p>
        </w:tc>
      </w:tr>
      <w:tr w:rsidR="00A8050D" w:rsidRPr="007C4D65" w14:paraId="6694558E" w14:textId="77777777" w:rsidTr="00B6017F">
        <w:trPr>
          <w:trHeight w:val="567"/>
          <w:jc w:val="center"/>
        </w:trPr>
        <w:tc>
          <w:tcPr>
            <w:tcW w:w="1429" w:type="pct"/>
            <w:shd w:val="clear" w:color="auto" w:fill="009D73"/>
            <w:vAlign w:val="center"/>
          </w:tcPr>
          <w:p w14:paraId="15B13DD0" w14:textId="54A2FB83"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571" w:type="pct"/>
            <w:gridSpan w:val="3"/>
            <w:shd w:val="clear" w:color="auto" w:fill="FFFFFF"/>
            <w:vAlign w:val="center"/>
          </w:tcPr>
          <w:p w14:paraId="4B9D24A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Federation of BiH, cantonal and city administrative bodies, administrative organisations and public companies competent for noise management, citizens of the Federation of BiH</w:t>
            </w:r>
          </w:p>
        </w:tc>
      </w:tr>
    </w:tbl>
    <w:p w14:paraId="63A3215E" w14:textId="77777777" w:rsidR="00A8050D" w:rsidRPr="007C4D65" w:rsidRDefault="00A8050D" w:rsidP="00A8050D">
      <w:pPr>
        <w:spacing w:line="276" w:lineRule="auto"/>
        <w:rPr>
          <w:rFonts w:asciiTheme="minorHAnsi" w:hAnsiTheme="minorHAnsi" w:cstheme="minorHAnsi"/>
          <w:sz w:val="18"/>
          <w:szCs w:val="18"/>
          <w:lang w:val="hr-HR"/>
        </w:rPr>
      </w:pPr>
    </w:p>
    <w:tbl>
      <w:tblPr>
        <w:tblW w:w="48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828"/>
        <w:gridCol w:w="2781"/>
        <w:gridCol w:w="3392"/>
        <w:gridCol w:w="3395"/>
      </w:tblGrid>
      <w:tr w:rsidR="00A8050D" w:rsidRPr="007C4D65" w14:paraId="1035D37A"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4440BDD" w14:textId="236C7942"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187C24D" w14:textId="01751D10"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 </w:t>
            </w:r>
            <w:r w:rsidR="00206652" w:rsidRPr="007C4D65">
              <w:rPr>
                <w:rFonts w:asciiTheme="minorHAnsi" w:hAnsiTheme="minorHAnsi" w:cstheme="minorHAnsi"/>
                <w:b/>
                <w:sz w:val="18"/>
                <w:szCs w:val="18"/>
              </w:rPr>
              <w:t>Human health protection</w:t>
            </w:r>
            <w:r w:rsidRPr="007C4D65">
              <w:rPr>
                <w:rFonts w:asciiTheme="minorHAnsi" w:hAnsiTheme="minorHAnsi" w:cstheme="minorHAnsi"/>
                <w:b/>
                <w:sz w:val="18"/>
                <w:szCs w:val="18"/>
              </w:rPr>
              <w:t xml:space="preserve"> and improving well-being and quality of life for all</w:t>
            </w:r>
          </w:p>
        </w:tc>
      </w:tr>
      <w:tr w:rsidR="00A8050D" w:rsidRPr="007C4D65" w14:paraId="07D1D4C2"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BFE981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11D3046" w14:textId="77777777"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5.6. Enhance strategic planning and monitoring of environmental noise</w:t>
            </w:r>
          </w:p>
        </w:tc>
      </w:tr>
      <w:tr w:rsidR="00A8050D" w:rsidRPr="007C4D65" w14:paraId="1AC1D657"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7DBDC8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8A8473D" w14:textId="77777777"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5.6.1 Development of noise maps and action plan</w:t>
            </w:r>
          </w:p>
        </w:tc>
      </w:tr>
      <w:tr w:rsidR="00A8050D" w:rsidRPr="007C4D65" w14:paraId="1FE9A64D"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9487FA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D55FE6A" w14:textId="1573D9E6"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This measure aims to implement legislation on noise management and protection against noise</w:t>
            </w:r>
            <w:r w:rsidR="005452A5" w:rsidRPr="007C4D65">
              <w:rPr>
                <w:rFonts w:asciiTheme="minorHAnsi" w:eastAsia="Calibri" w:hAnsiTheme="minorHAnsi" w:cstheme="minorHAnsi"/>
                <w:sz w:val="18"/>
                <w:szCs w:val="18"/>
              </w:rPr>
              <w:t>.</w:t>
            </w:r>
          </w:p>
          <w:p w14:paraId="370DECB2" w14:textId="187B0235"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General areas of intervention:</w:t>
            </w:r>
          </w:p>
          <w:p w14:paraId="2C3E2761" w14:textId="421060D4" w:rsidR="00A8050D" w:rsidRPr="007C4D65" w:rsidRDefault="00A8050D">
            <w:pPr>
              <w:numPr>
                <w:ilvl w:val="0"/>
                <w:numId w:val="178"/>
              </w:numPr>
              <w:spacing w:before="240" w:after="240" w:line="276" w:lineRule="auto"/>
              <w:ind w:left="462"/>
              <w:contextualSpacing/>
              <w:rPr>
                <w:rFonts w:asciiTheme="minorHAnsi" w:eastAsia="Calibri" w:hAnsiTheme="minorHAnsi" w:cstheme="minorHAnsi"/>
                <w:sz w:val="18"/>
                <w:szCs w:val="18"/>
              </w:rPr>
            </w:pPr>
            <w:r w:rsidRPr="007C4D65">
              <w:rPr>
                <w:rFonts w:asciiTheme="minorHAnsi" w:hAnsiTheme="minorHAnsi" w:cstheme="minorHAnsi"/>
                <w:sz w:val="18"/>
                <w:szCs w:val="18"/>
              </w:rPr>
              <w:t>Analysis of road, railway and airport transport in the Federation of BiH for the purpose of identifying the "major roads", "major railways" and "major airports" in line with recommendations from Directive 2002/49/</w:t>
            </w:r>
            <w:proofErr w:type="gramStart"/>
            <w:r w:rsidRPr="007C4D65">
              <w:rPr>
                <w:rFonts w:asciiTheme="minorHAnsi" w:hAnsiTheme="minorHAnsi" w:cstheme="minorHAnsi"/>
                <w:sz w:val="18"/>
                <w:szCs w:val="18"/>
              </w:rPr>
              <w:t>EC</w:t>
            </w:r>
            <w:r w:rsidR="005452A5" w:rsidRPr="007C4D65">
              <w:rPr>
                <w:rFonts w:asciiTheme="minorHAnsi" w:hAnsiTheme="minorHAnsi" w:cstheme="minorHAnsi"/>
                <w:sz w:val="18"/>
                <w:szCs w:val="18"/>
              </w:rPr>
              <w:t>;</w:t>
            </w:r>
            <w:proofErr w:type="gramEnd"/>
          </w:p>
          <w:p w14:paraId="67798F59" w14:textId="095F79FD" w:rsidR="00A8050D" w:rsidRPr="007C4D65" w:rsidRDefault="00A8050D">
            <w:pPr>
              <w:numPr>
                <w:ilvl w:val="0"/>
                <w:numId w:val="178"/>
              </w:numPr>
              <w:spacing w:before="240" w:after="240" w:line="276" w:lineRule="auto"/>
              <w:ind w:left="462"/>
              <w:contextualSpacing/>
              <w:rPr>
                <w:rFonts w:asciiTheme="minorHAnsi" w:eastAsia="Calibri" w:hAnsiTheme="minorHAnsi" w:cstheme="minorHAnsi"/>
                <w:sz w:val="18"/>
                <w:szCs w:val="18"/>
              </w:rPr>
            </w:pPr>
            <w:r w:rsidRPr="007C4D65">
              <w:rPr>
                <w:rFonts w:asciiTheme="minorHAnsi" w:hAnsiTheme="minorHAnsi" w:cstheme="minorHAnsi"/>
                <w:sz w:val="18"/>
                <w:szCs w:val="18"/>
              </w:rPr>
              <w:lastRenderedPageBreak/>
              <w:t xml:space="preserve">Development of noise maps for previously identified "inhabited areas", "major roads", "major railways", and "major airports" by use of the prescribed </w:t>
            </w:r>
            <w:proofErr w:type="gramStart"/>
            <w:r w:rsidRPr="007C4D65">
              <w:rPr>
                <w:rFonts w:asciiTheme="minorHAnsi" w:hAnsiTheme="minorHAnsi" w:cstheme="minorHAnsi"/>
                <w:sz w:val="18"/>
                <w:szCs w:val="18"/>
              </w:rPr>
              <w:t>models</w:t>
            </w:r>
            <w:r w:rsidR="005452A5" w:rsidRPr="007C4D65">
              <w:rPr>
                <w:rFonts w:asciiTheme="minorHAnsi" w:eastAsia="Calibri" w:hAnsiTheme="minorHAnsi" w:cstheme="minorHAnsi"/>
                <w:sz w:val="18"/>
                <w:szCs w:val="18"/>
              </w:rPr>
              <w:t>;</w:t>
            </w:r>
            <w:proofErr w:type="gramEnd"/>
          </w:p>
          <w:p w14:paraId="3D7D44BD" w14:textId="2ED791A3" w:rsidR="00A8050D" w:rsidRPr="007C4D65" w:rsidRDefault="00A8050D">
            <w:pPr>
              <w:numPr>
                <w:ilvl w:val="0"/>
                <w:numId w:val="178"/>
              </w:numPr>
              <w:spacing w:before="240" w:after="240" w:line="276" w:lineRule="auto"/>
              <w:ind w:left="462"/>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Estimating number of people exposed to noise, by classes of noise and age </w:t>
            </w:r>
            <w:proofErr w:type="gramStart"/>
            <w:r w:rsidRPr="007C4D65">
              <w:rPr>
                <w:rFonts w:asciiTheme="minorHAnsi" w:hAnsiTheme="minorHAnsi" w:cstheme="minorHAnsi"/>
                <w:sz w:val="18"/>
                <w:szCs w:val="18"/>
              </w:rPr>
              <w:t>groups</w:t>
            </w:r>
            <w:r w:rsidR="005452A5" w:rsidRPr="007C4D65">
              <w:rPr>
                <w:rFonts w:asciiTheme="minorHAnsi" w:eastAsia="Calibri" w:hAnsiTheme="minorHAnsi" w:cstheme="minorHAnsi"/>
                <w:sz w:val="18"/>
                <w:szCs w:val="18"/>
              </w:rPr>
              <w:t>;</w:t>
            </w:r>
            <w:proofErr w:type="gramEnd"/>
          </w:p>
          <w:p w14:paraId="09C2E6B9" w14:textId="1EFAF2EF" w:rsidR="00A8050D" w:rsidRPr="007C4D65" w:rsidRDefault="00A8050D">
            <w:pPr>
              <w:numPr>
                <w:ilvl w:val="0"/>
                <w:numId w:val="178"/>
              </w:numPr>
              <w:spacing w:before="240" w:after="240" w:line="276" w:lineRule="auto"/>
              <w:ind w:left="462"/>
              <w:contextualSpacing/>
              <w:rPr>
                <w:rFonts w:asciiTheme="minorHAnsi" w:eastAsia="Calibri" w:hAnsiTheme="minorHAnsi" w:cstheme="minorHAnsi"/>
                <w:sz w:val="18"/>
                <w:szCs w:val="18"/>
              </w:rPr>
            </w:pPr>
            <w:r w:rsidRPr="007C4D65">
              <w:rPr>
                <w:rFonts w:asciiTheme="minorHAnsi" w:hAnsiTheme="minorHAnsi" w:cstheme="minorHAnsi"/>
                <w:sz w:val="18"/>
                <w:szCs w:val="18"/>
              </w:rPr>
              <w:t xml:space="preserve">Development of noise management action plans for five-year period, which will be based on entry data and results of strategic noise </w:t>
            </w:r>
            <w:proofErr w:type="gramStart"/>
            <w:r w:rsidRPr="007C4D65">
              <w:rPr>
                <w:rFonts w:asciiTheme="minorHAnsi" w:hAnsiTheme="minorHAnsi" w:cstheme="minorHAnsi"/>
                <w:sz w:val="18"/>
                <w:szCs w:val="18"/>
              </w:rPr>
              <w:t>maps</w:t>
            </w:r>
            <w:r w:rsidR="005452A5" w:rsidRPr="007C4D65">
              <w:rPr>
                <w:rFonts w:asciiTheme="minorHAnsi" w:hAnsiTheme="minorHAnsi" w:cstheme="minorHAnsi"/>
                <w:sz w:val="18"/>
                <w:szCs w:val="18"/>
              </w:rPr>
              <w:t>;</w:t>
            </w:r>
            <w:proofErr w:type="gramEnd"/>
          </w:p>
          <w:p w14:paraId="1519F571" w14:textId="1C4670B3" w:rsidR="00A8050D" w:rsidRPr="007C4D65" w:rsidRDefault="00A8050D">
            <w:pPr>
              <w:numPr>
                <w:ilvl w:val="0"/>
                <w:numId w:val="178"/>
              </w:numPr>
              <w:spacing w:before="40" w:after="40" w:line="276" w:lineRule="auto"/>
              <w:ind w:left="462"/>
              <w:contextualSpacing/>
              <w:rPr>
                <w:rFonts w:asciiTheme="minorHAnsi" w:eastAsia="Calibri" w:hAnsiTheme="minorHAnsi" w:cstheme="minorHAnsi"/>
                <w:sz w:val="18"/>
                <w:szCs w:val="18"/>
              </w:rPr>
            </w:pPr>
            <w:r w:rsidRPr="007C4D65">
              <w:rPr>
                <w:rFonts w:asciiTheme="minorHAnsi" w:hAnsiTheme="minorHAnsi" w:cstheme="minorHAnsi"/>
                <w:sz w:val="18"/>
                <w:szCs w:val="18"/>
              </w:rPr>
              <w:t>Establishment of a noise monitoring system, which would check the noise levels at selected locations that are determined in the forecasting model, and verification of successfulness of implementation of measures from the action plan</w:t>
            </w:r>
            <w:r w:rsidR="005452A5" w:rsidRPr="007C4D65">
              <w:rPr>
                <w:rFonts w:asciiTheme="minorHAnsi" w:hAnsiTheme="minorHAnsi" w:cstheme="minorHAnsi"/>
                <w:sz w:val="18"/>
                <w:szCs w:val="18"/>
              </w:rPr>
              <w:t>.</w:t>
            </w:r>
          </w:p>
        </w:tc>
      </w:tr>
      <w:tr w:rsidR="00A8050D" w:rsidRPr="007C4D65" w14:paraId="13CB7CBE"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19D9EE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Strategic projects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6E6EAD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70F50E9C" w14:textId="77777777" w:rsidTr="00B6017F">
        <w:trPr>
          <w:trHeight w:val="567"/>
          <w:jc w:val="center"/>
        </w:trPr>
        <w:tc>
          <w:tcPr>
            <w:tcW w:w="142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007D41A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3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04C0864"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5FEAE009" w14:textId="50400D56"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0A19A4D"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62A95E6D"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6986F5D"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26A665D4"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43E6FF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A5ACD04" w14:textId="77777777" w:rsidR="00A8050D" w:rsidRPr="007C4D65" w:rsidRDefault="00A8050D">
            <w:pPr>
              <w:pStyle w:val="ListParagraph"/>
              <w:numPr>
                <w:ilvl w:val="0"/>
                <w:numId w:val="250"/>
              </w:numPr>
              <w:spacing w:line="276" w:lineRule="auto"/>
              <w:ind w:left="223" w:hanging="223"/>
              <w:rPr>
                <w:rFonts w:asciiTheme="minorHAnsi" w:eastAsia="Calibri" w:hAnsiTheme="minorHAnsi" w:cstheme="minorHAnsi"/>
                <w:sz w:val="18"/>
                <w:szCs w:val="18"/>
              </w:rPr>
            </w:pPr>
            <w:r w:rsidRPr="007C4D65">
              <w:rPr>
                <w:rFonts w:asciiTheme="minorHAnsi" w:hAnsiTheme="minorHAnsi" w:cstheme="minorHAnsi"/>
                <w:sz w:val="18"/>
                <w:szCs w:val="18"/>
              </w:rPr>
              <w:t>Status of identification of priority sections of road and railway transport and airports (major roads, major railways and major airports) for which the strategic noise maps are to be made in accordance with recommendations of Directive 2002/49/EC</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87814AE" w14:textId="555E4D81"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Priority sections of roads or railways, airports or administrative centres for which the strategic noise maps will be done have not been identified</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1BE2535"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Identified "major roads", "major airports", and "major railways" in accordance with recommendations of Directive 2002/49/EC</w:t>
            </w:r>
          </w:p>
        </w:tc>
      </w:tr>
      <w:tr w:rsidR="00A8050D" w:rsidRPr="007C4D65" w14:paraId="3032CA1D"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89D4E5B"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tcPr>
          <w:p w14:paraId="25D3D8D2" w14:textId="77777777" w:rsidR="00A8050D" w:rsidRPr="007C4D65" w:rsidRDefault="00A8050D">
            <w:pPr>
              <w:numPr>
                <w:ilvl w:val="0"/>
                <w:numId w:val="250"/>
              </w:numPr>
              <w:tabs>
                <w:tab w:val="left" w:pos="254"/>
              </w:tabs>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Status of strategic noise maps for inhabited areas, identified major roads, airports and railways in accordance with previously established priorities in the Federation of BiH</w:t>
            </w:r>
          </w:p>
        </w:tc>
        <w:tc>
          <w:tcPr>
            <w:tcW w:w="1266" w:type="pct"/>
            <w:tcBorders>
              <w:top w:val="single" w:sz="4" w:space="0" w:color="A6A6A6"/>
              <w:left w:val="single" w:sz="4" w:space="0" w:color="A6A6A6"/>
              <w:bottom w:val="single" w:sz="4" w:space="0" w:color="A6A6A6"/>
              <w:right w:val="single" w:sz="4" w:space="0" w:color="A6A6A6"/>
            </w:tcBorders>
            <w:shd w:val="clear" w:color="auto" w:fill="FFFFFF"/>
          </w:tcPr>
          <w:p w14:paraId="4B31A90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Noise maps for inhabited areas, roads, airports and railways in the Federation of BiH have not been developed </w:t>
            </w:r>
          </w:p>
        </w:tc>
        <w:tc>
          <w:tcPr>
            <w:tcW w:w="1267" w:type="pct"/>
            <w:tcBorders>
              <w:top w:val="single" w:sz="4" w:space="0" w:color="A6A6A6"/>
              <w:left w:val="single" w:sz="4" w:space="0" w:color="A6A6A6"/>
              <w:bottom w:val="single" w:sz="4" w:space="0" w:color="A6A6A6"/>
              <w:right w:val="single" w:sz="4" w:space="0" w:color="A6A6A6"/>
            </w:tcBorders>
            <w:shd w:val="clear" w:color="auto" w:fill="FFFFFF"/>
          </w:tcPr>
          <w:p w14:paraId="4B2D9ED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Developed strategic noise maps for inhabited areas, identified major roads, airports and railways in accordance with previously established priorities in the Federation of BiH (2027)</w:t>
            </w:r>
          </w:p>
        </w:tc>
      </w:tr>
      <w:tr w:rsidR="00A8050D" w:rsidRPr="007C4D65" w14:paraId="22D5611A"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7807CA0"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739C18C" w14:textId="77777777" w:rsidR="00A8050D" w:rsidRPr="007C4D65" w:rsidRDefault="00A8050D">
            <w:pPr>
              <w:numPr>
                <w:ilvl w:val="0"/>
                <w:numId w:val="250"/>
              </w:numPr>
              <w:tabs>
                <w:tab w:val="left" w:pos="254"/>
              </w:tabs>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Status of the estimation of number of people exposed to noise, by classes of noise and age groups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DC2CCE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There is no estimate of number of people exposed to noise in Federation of BiH</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53BD133"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Estimated number of people exposed to noise, by classes of noise and age groups (2027)</w:t>
            </w:r>
          </w:p>
        </w:tc>
      </w:tr>
      <w:tr w:rsidR="00A8050D" w:rsidRPr="007C4D65" w14:paraId="70F394D8"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EFAF88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D1D94A9" w14:textId="77777777" w:rsidR="00A8050D" w:rsidRPr="007C4D65" w:rsidRDefault="00A8050D">
            <w:pPr>
              <w:numPr>
                <w:ilvl w:val="0"/>
                <w:numId w:val="250"/>
              </w:numPr>
              <w:tabs>
                <w:tab w:val="left" w:pos="254"/>
              </w:tabs>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Status of development of noise protection action plan in the Federation of BiH</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2DCD8A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There are no developed noise protection action plans for Federation of BiH</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D7086E3"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Action plans for five-year period, based on entry data and results of strategic noise maps developed (2029)</w:t>
            </w:r>
          </w:p>
        </w:tc>
      </w:tr>
      <w:tr w:rsidR="00A8050D" w:rsidRPr="007C4D65" w14:paraId="326BEC8D"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BA20F4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33073A7" w14:textId="77777777" w:rsidR="00A8050D" w:rsidRPr="007C4D65" w:rsidRDefault="00A8050D">
            <w:pPr>
              <w:numPr>
                <w:ilvl w:val="0"/>
                <w:numId w:val="250"/>
              </w:numPr>
              <w:tabs>
                <w:tab w:val="left" w:pos="254"/>
              </w:tabs>
              <w:spacing w:before="40" w:after="40" w:line="276" w:lineRule="auto"/>
              <w:contextualSpacing/>
              <w:rPr>
                <w:rFonts w:asciiTheme="minorHAnsi" w:eastAsia="Calibri" w:hAnsiTheme="minorHAnsi" w:cstheme="minorHAnsi"/>
                <w:sz w:val="18"/>
                <w:szCs w:val="18"/>
              </w:rPr>
            </w:pPr>
            <w:r w:rsidRPr="007C4D65">
              <w:rPr>
                <w:rFonts w:asciiTheme="minorHAnsi" w:hAnsiTheme="minorHAnsi" w:cstheme="minorHAnsi"/>
                <w:sz w:val="18"/>
                <w:szCs w:val="18"/>
              </w:rPr>
              <w:t>Sustainable noise monitoring system</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4D1A03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 noise monitoring system, that measures the noise levels at selected locations determined in the forecasting model, and verifies effectiveness of implementation of measures from the action plan, has not been established</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8FD247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Established noise monitoring system to measure the noise levels at selected locations that are determined in the forecasting model, and verify effectiveness of measures from the action plan developed after the noise maps (2031)</w:t>
            </w:r>
          </w:p>
        </w:tc>
      </w:tr>
      <w:tr w:rsidR="00A8050D" w:rsidRPr="007C4D65" w14:paraId="08142696"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15EAD7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831C30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Reduced level of noise the population is exposed to</w:t>
            </w:r>
          </w:p>
        </w:tc>
      </w:tr>
      <w:tr w:rsidR="00A8050D" w:rsidRPr="007C4D65" w14:paraId="110183C7"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818F4B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070574F" w14:textId="77777777" w:rsidR="00A8050D" w:rsidRPr="007C4D65" w:rsidRDefault="00A8050D" w:rsidP="00B6017F">
            <w:pPr>
              <w:spacing w:before="40" w:after="40" w:line="276" w:lineRule="auto"/>
              <w:rPr>
                <w:rFonts w:ascii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Amount: BAM 905,774 </w:t>
            </w:r>
          </w:p>
          <w:p w14:paraId="30D25B33"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color w:val="000000" w:themeColor="text1"/>
                <w:sz w:val="18"/>
                <w:szCs w:val="18"/>
              </w:rPr>
              <w:t xml:space="preserve">Source: 10% from the government budget, 90% </w:t>
            </w:r>
            <w:r w:rsidRPr="007C4D65">
              <w:rPr>
                <w:rFonts w:asciiTheme="minorHAnsi" w:eastAsia="Calibri" w:hAnsiTheme="minorHAnsi" w:cstheme="minorHAnsi"/>
                <w:sz w:val="18"/>
                <w:szCs w:val="18"/>
              </w:rPr>
              <w:t>combined ‒ loans, funds from EU and other international donors, and other donations</w:t>
            </w:r>
          </w:p>
        </w:tc>
      </w:tr>
      <w:tr w:rsidR="00A8050D" w:rsidRPr="007C4D65" w14:paraId="27F8547C"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2293161"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157FFA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2025‒2031</w:t>
            </w:r>
          </w:p>
        </w:tc>
      </w:tr>
      <w:tr w:rsidR="00A8050D" w:rsidRPr="007C4D65" w14:paraId="1D1EF263"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CCDF23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3D1A7C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FMET</w:t>
            </w:r>
          </w:p>
        </w:tc>
      </w:tr>
      <w:tr w:rsidR="00A8050D" w:rsidRPr="007C4D65" w14:paraId="3686A366"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745790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F421E0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FMH, FMET, </w:t>
            </w:r>
            <w:proofErr w:type="spellStart"/>
            <w:r w:rsidRPr="007C4D65">
              <w:rPr>
                <w:rFonts w:asciiTheme="minorHAnsi" w:hAnsiTheme="minorHAnsi" w:cstheme="minorHAnsi"/>
                <w:sz w:val="18"/>
                <w:szCs w:val="18"/>
              </w:rPr>
              <w:t>Zenica</w:t>
            </w:r>
            <w:proofErr w:type="spellEnd"/>
            <w:r w:rsidRPr="007C4D65">
              <w:rPr>
                <w:rFonts w:asciiTheme="minorHAnsi" w:hAnsiTheme="minorHAnsi" w:cstheme="minorHAnsi"/>
                <w:sz w:val="18"/>
                <w:szCs w:val="18"/>
              </w:rPr>
              <w:t xml:space="preserve">-Doboj Canton, Herzegovina-Neretva Canton, Tuzla Canton and Canton Sarajevo, cities of Mostar, Sarajevo, Tuzla and </w:t>
            </w:r>
            <w:proofErr w:type="spellStart"/>
            <w:r w:rsidRPr="007C4D65">
              <w:rPr>
                <w:rFonts w:asciiTheme="minorHAnsi" w:hAnsiTheme="minorHAnsi" w:cstheme="minorHAnsi"/>
                <w:sz w:val="18"/>
                <w:szCs w:val="18"/>
              </w:rPr>
              <w:t>Zenica</w:t>
            </w:r>
            <w:proofErr w:type="spellEnd"/>
            <w:r w:rsidRPr="007C4D65">
              <w:rPr>
                <w:rFonts w:asciiTheme="minorHAnsi" w:hAnsiTheme="minorHAnsi" w:cstheme="minorHAnsi"/>
                <w:sz w:val="18"/>
                <w:szCs w:val="18"/>
              </w:rPr>
              <w:t>, Ministry of Transport and Communication of the Federation of BiH</w:t>
            </w:r>
          </w:p>
        </w:tc>
      </w:tr>
      <w:tr w:rsidR="00A8050D" w:rsidRPr="007C4D65" w14:paraId="37326A9A"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6374403" w14:textId="55EA9EB1"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1391DA0"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Federation of BiH, cantonal and city administrative bodies, administrative organisations and public companies competent for noise management, citizens of the Federation of BiH</w:t>
            </w:r>
          </w:p>
        </w:tc>
      </w:tr>
    </w:tbl>
    <w:p w14:paraId="243069F1" w14:textId="77777777" w:rsidR="00A8050D" w:rsidRPr="007C4D65" w:rsidRDefault="00A8050D" w:rsidP="00A8050D">
      <w:pPr>
        <w:spacing w:line="276" w:lineRule="auto"/>
        <w:rPr>
          <w:rFonts w:asciiTheme="minorHAnsi" w:hAnsiTheme="minorHAnsi" w:cstheme="minorHAnsi"/>
          <w:sz w:val="18"/>
          <w:szCs w:val="18"/>
          <w:lang w:val="hr-HR"/>
        </w:rPr>
      </w:pPr>
    </w:p>
    <w:tbl>
      <w:tblPr>
        <w:tblW w:w="48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828"/>
        <w:gridCol w:w="2781"/>
        <w:gridCol w:w="3392"/>
        <w:gridCol w:w="3395"/>
      </w:tblGrid>
      <w:tr w:rsidR="00A8050D" w:rsidRPr="007C4D65" w14:paraId="6FDF02C8"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05D0DC7" w14:textId="7BC6B295"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CE67338" w14:textId="6914802B"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 </w:t>
            </w:r>
            <w:r w:rsidR="00206652" w:rsidRPr="007C4D65">
              <w:rPr>
                <w:rFonts w:asciiTheme="minorHAnsi" w:hAnsiTheme="minorHAnsi" w:cstheme="minorHAnsi"/>
                <w:b/>
                <w:sz w:val="18"/>
                <w:szCs w:val="18"/>
              </w:rPr>
              <w:t>Human health protection</w:t>
            </w:r>
            <w:r w:rsidRPr="007C4D65">
              <w:rPr>
                <w:rFonts w:asciiTheme="minorHAnsi" w:hAnsiTheme="minorHAnsi" w:cstheme="minorHAnsi"/>
                <w:b/>
                <w:sz w:val="18"/>
                <w:szCs w:val="18"/>
              </w:rPr>
              <w:t xml:space="preserve"> and improving well-being and quality of life for all</w:t>
            </w:r>
          </w:p>
        </w:tc>
      </w:tr>
      <w:tr w:rsidR="00A8050D" w:rsidRPr="007C4D65" w14:paraId="51CDC6C5"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97AB1E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307156D" w14:textId="77777777"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5.7. Efficient operation of institutions </w:t>
            </w:r>
            <w:proofErr w:type="gramStart"/>
            <w:r w:rsidRPr="007C4D65">
              <w:rPr>
                <w:rFonts w:asciiTheme="minorHAnsi" w:hAnsiTheme="minorHAnsi" w:cstheme="minorHAnsi"/>
                <w:b/>
                <w:sz w:val="18"/>
                <w:szCs w:val="18"/>
              </w:rPr>
              <w:t>in the area of</w:t>
            </w:r>
            <w:proofErr w:type="gramEnd"/>
            <w:r w:rsidRPr="007C4D65">
              <w:rPr>
                <w:rFonts w:asciiTheme="minorHAnsi" w:hAnsiTheme="minorHAnsi" w:cstheme="minorHAnsi"/>
                <w:b/>
                <w:sz w:val="18"/>
                <w:szCs w:val="18"/>
              </w:rPr>
              <w:t xml:space="preserve"> environmental noise </w:t>
            </w:r>
          </w:p>
        </w:tc>
      </w:tr>
      <w:tr w:rsidR="00A8050D" w:rsidRPr="007C4D65" w14:paraId="1CE563A2"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E4F5B0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56488EB" w14:textId="77777777"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5.7.1 Improve capacities and competences of civil servants </w:t>
            </w:r>
            <w:proofErr w:type="gramStart"/>
            <w:r w:rsidRPr="007C4D65">
              <w:rPr>
                <w:rFonts w:asciiTheme="minorHAnsi" w:hAnsiTheme="minorHAnsi" w:cstheme="minorHAnsi"/>
                <w:b/>
                <w:sz w:val="18"/>
                <w:szCs w:val="18"/>
              </w:rPr>
              <w:t>in the area of</w:t>
            </w:r>
            <w:proofErr w:type="gramEnd"/>
            <w:r w:rsidRPr="007C4D65">
              <w:rPr>
                <w:rFonts w:asciiTheme="minorHAnsi" w:hAnsiTheme="minorHAnsi" w:cstheme="minorHAnsi"/>
                <w:b/>
                <w:sz w:val="18"/>
                <w:szCs w:val="18"/>
              </w:rPr>
              <w:t xml:space="preserve"> noise management</w:t>
            </w:r>
          </w:p>
        </w:tc>
      </w:tr>
      <w:tr w:rsidR="00A8050D" w:rsidRPr="007C4D65" w14:paraId="011C225F"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72C0389"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E9075C2" w14:textId="1DD03CD6"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This measure aims to strengthen technical and human capacities of the competent authorities for the purpose of implementing legislation in the field of noise management.</w:t>
            </w:r>
          </w:p>
          <w:p w14:paraId="67028F42" w14:textId="58BA919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lastRenderedPageBreak/>
              <w:t>General areas of intervention:</w:t>
            </w:r>
          </w:p>
          <w:p w14:paraId="683EB383" w14:textId="0870425F" w:rsidR="00A8050D" w:rsidRPr="007C4D65" w:rsidRDefault="00A8050D">
            <w:pPr>
              <w:pStyle w:val="ListParagraph"/>
              <w:numPr>
                <w:ilvl w:val="0"/>
                <w:numId w:val="179"/>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Analyse capacities of civil servants in competent institutions once the legislation foreseen in this Plan were </w:t>
            </w:r>
            <w:proofErr w:type="gramStart"/>
            <w:r w:rsidRPr="007C4D65">
              <w:rPr>
                <w:rFonts w:asciiTheme="minorHAnsi" w:hAnsiTheme="minorHAnsi" w:cstheme="minorHAnsi"/>
                <w:sz w:val="18"/>
                <w:szCs w:val="18"/>
              </w:rPr>
              <w:t>adopted</w:t>
            </w:r>
            <w:r w:rsidR="005452A5" w:rsidRPr="007C4D65">
              <w:rPr>
                <w:rFonts w:asciiTheme="minorHAnsi" w:eastAsia="Calibri" w:hAnsiTheme="minorHAnsi" w:cstheme="minorHAnsi"/>
                <w:sz w:val="18"/>
                <w:szCs w:val="18"/>
              </w:rPr>
              <w:t>;</w:t>
            </w:r>
            <w:proofErr w:type="gramEnd"/>
          </w:p>
          <w:p w14:paraId="48798EF1" w14:textId="55AEFB4B" w:rsidR="00A8050D" w:rsidRPr="007C4D65" w:rsidRDefault="00A8050D">
            <w:pPr>
              <w:pStyle w:val="ListParagraph"/>
              <w:numPr>
                <w:ilvl w:val="0"/>
                <w:numId w:val="179"/>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Hire and train new people in public services (Federation, cantonal) in the field of environmental noise, in accordance with the requirements of the new legislation and the analysis previously </w:t>
            </w:r>
            <w:proofErr w:type="gramStart"/>
            <w:r w:rsidRPr="007C4D65">
              <w:rPr>
                <w:rFonts w:asciiTheme="minorHAnsi" w:hAnsiTheme="minorHAnsi" w:cstheme="minorHAnsi"/>
                <w:sz w:val="18"/>
                <w:szCs w:val="18"/>
              </w:rPr>
              <w:t>made</w:t>
            </w:r>
            <w:r w:rsidR="005452A5" w:rsidRPr="007C4D65">
              <w:rPr>
                <w:rFonts w:asciiTheme="minorHAnsi" w:eastAsia="Calibri" w:hAnsiTheme="minorHAnsi" w:cstheme="minorHAnsi"/>
                <w:sz w:val="18"/>
                <w:szCs w:val="18"/>
              </w:rPr>
              <w:t>;</w:t>
            </w:r>
            <w:proofErr w:type="gramEnd"/>
          </w:p>
          <w:p w14:paraId="7A6D9208" w14:textId="34EB62B5" w:rsidR="00A8050D" w:rsidRPr="007C4D65" w:rsidRDefault="00A8050D">
            <w:pPr>
              <w:pStyle w:val="ListParagraph"/>
              <w:numPr>
                <w:ilvl w:val="0"/>
                <w:numId w:val="179"/>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Developed plan and curriculum for annual training of civil servants in the area of environmental noise, and first training implemented by </w:t>
            </w:r>
            <w:proofErr w:type="gramStart"/>
            <w:r w:rsidRPr="007C4D65">
              <w:rPr>
                <w:rFonts w:asciiTheme="minorHAnsi" w:hAnsiTheme="minorHAnsi" w:cstheme="minorHAnsi"/>
                <w:sz w:val="18"/>
                <w:szCs w:val="18"/>
              </w:rPr>
              <w:t>2024</w:t>
            </w:r>
            <w:r w:rsidR="005452A5" w:rsidRPr="007C4D65">
              <w:rPr>
                <w:rFonts w:asciiTheme="minorHAnsi" w:eastAsia="Calibri" w:hAnsiTheme="minorHAnsi" w:cstheme="minorHAnsi"/>
                <w:sz w:val="18"/>
                <w:szCs w:val="18"/>
              </w:rPr>
              <w:t>;</w:t>
            </w:r>
            <w:proofErr w:type="gramEnd"/>
          </w:p>
          <w:p w14:paraId="58883EFB" w14:textId="45369A43" w:rsidR="00A8050D" w:rsidRPr="007C4D65" w:rsidRDefault="00A8050D">
            <w:pPr>
              <w:pStyle w:val="ListParagraph"/>
              <w:numPr>
                <w:ilvl w:val="0"/>
                <w:numId w:val="179"/>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Implement a pilot project of strategic noise mapping in some of the cities or parts of the cities, as well as along some of the main communications for the purpose of acquiring skills and technical competencies, and determining the baseline </w:t>
            </w:r>
            <w:proofErr w:type="gramStart"/>
            <w:r w:rsidRPr="007C4D65">
              <w:rPr>
                <w:rFonts w:asciiTheme="minorHAnsi" w:hAnsiTheme="minorHAnsi" w:cstheme="minorHAnsi"/>
                <w:sz w:val="18"/>
                <w:szCs w:val="18"/>
              </w:rPr>
              <w:t>parameters</w:t>
            </w:r>
            <w:r w:rsidR="005452A5" w:rsidRPr="007C4D65">
              <w:rPr>
                <w:rFonts w:asciiTheme="minorHAnsi" w:hAnsiTheme="minorHAnsi" w:cstheme="minorHAnsi"/>
                <w:sz w:val="18"/>
                <w:szCs w:val="18"/>
              </w:rPr>
              <w:t>;</w:t>
            </w:r>
            <w:proofErr w:type="gramEnd"/>
          </w:p>
          <w:p w14:paraId="7DE5099B" w14:textId="5AC8D461" w:rsidR="00A8050D" w:rsidRPr="007C4D65" w:rsidRDefault="00A8050D">
            <w:pPr>
              <w:pStyle w:val="ListParagraph"/>
              <w:numPr>
                <w:ilvl w:val="0"/>
                <w:numId w:val="179"/>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Upgrading of the existing information system of the Environmental Protection Fund of Federation of BiH that will enable development and presentation of strategic noise maps in Federation of </w:t>
            </w:r>
            <w:proofErr w:type="gramStart"/>
            <w:r w:rsidRPr="007C4D65">
              <w:rPr>
                <w:rFonts w:asciiTheme="minorHAnsi" w:hAnsiTheme="minorHAnsi" w:cstheme="minorHAnsi"/>
                <w:sz w:val="18"/>
                <w:szCs w:val="18"/>
              </w:rPr>
              <w:t>BiH</w:t>
            </w:r>
            <w:r w:rsidR="005452A5" w:rsidRPr="007C4D65">
              <w:rPr>
                <w:rFonts w:asciiTheme="minorHAnsi" w:eastAsia="Calibri" w:hAnsiTheme="minorHAnsi" w:cstheme="minorHAnsi"/>
                <w:sz w:val="18"/>
                <w:szCs w:val="18"/>
              </w:rPr>
              <w:t>;</w:t>
            </w:r>
            <w:proofErr w:type="gramEnd"/>
          </w:p>
          <w:p w14:paraId="56AE8B20" w14:textId="6588777C" w:rsidR="00A8050D" w:rsidRPr="007C4D65" w:rsidRDefault="00A8050D">
            <w:pPr>
              <w:pStyle w:val="ListParagraph"/>
              <w:numPr>
                <w:ilvl w:val="0"/>
                <w:numId w:val="179"/>
              </w:numPr>
              <w:spacing w:before="40" w:after="40" w:line="276" w:lineRule="auto"/>
              <w:ind w:left="360"/>
              <w:rPr>
                <w:rFonts w:asciiTheme="minorHAnsi" w:eastAsia="Calibri" w:hAnsiTheme="minorHAnsi" w:cstheme="minorHAnsi"/>
                <w:b/>
                <w:sz w:val="18"/>
                <w:szCs w:val="18"/>
              </w:rPr>
            </w:pPr>
            <w:r w:rsidRPr="007C4D65">
              <w:rPr>
                <w:rFonts w:asciiTheme="minorHAnsi" w:hAnsiTheme="minorHAnsi" w:cstheme="minorHAnsi"/>
                <w:sz w:val="18"/>
                <w:szCs w:val="18"/>
              </w:rPr>
              <w:t xml:space="preserve">Establishment of inspection oversight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environmental noise</w:t>
            </w:r>
            <w:r w:rsidR="005452A5" w:rsidRPr="007C4D65">
              <w:rPr>
                <w:rFonts w:asciiTheme="minorHAnsi" w:hAnsiTheme="minorHAnsi" w:cstheme="minorHAnsi"/>
                <w:sz w:val="18"/>
                <w:szCs w:val="18"/>
              </w:rPr>
              <w:t>.</w:t>
            </w:r>
          </w:p>
        </w:tc>
      </w:tr>
      <w:tr w:rsidR="00A8050D" w:rsidRPr="007C4D65" w14:paraId="1DF32FC0"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F5F3E8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Strategic projects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3EE745E"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w:t>
            </w:r>
          </w:p>
        </w:tc>
      </w:tr>
      <w:tr w:rsidR="00A8050D" w:rsidRPr="007C4D65" w14:paraId="7548E81D" w14:textId="77777777" w:rsidTr="00B6017F">
        <w:trPr>
          <w:trHeight w:val="567"/>
          <w:jc w:val="center"/>
        </w:trPr>
        <w:tc>
          <w:tcPr>
            <w:tcW w:w="142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157BA2B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3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31DB7F2"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66268F9C" w14:textId="43805F21"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060458F"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385982C0"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CF9C6B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7B562145"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8FDA2F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5628088" w14:textId="77777777" w:rsidR="00A8050D" w:rsidRPr="007C4D65" w:rsidRDefault="00A8050D">
            <w:pPr>
              <w:pStyle w:val="ListParagraph"/>
              <w:numPr>
                <w:ilvl w:val="0"/>
                <w:numId w:val="144"/>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Status of analysis of capacities of public servants in competent institutions once the legislation foreseen in this Plan were adopted</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EE992D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No analysis of capacities of civil servants in competent institutions has been done</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1B3D744" w14:textId="642FD5A1"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Analysis of capacities of public servants in competent institutions once the legislation foreseen in this Plan were adopted is completed</w:t>
            </w:r>
            <w:r w:rsidR="005452A5" w:rsidRPr="007C4D65">
              <w:rPr>
                <w:rFonts w:asciiTheme="minorHAnsi" w:hAnsiTheme="minorHAnsi" w:cstheme="minorHAnsi"/>
                <w:sz w:val="18"/>
                <w:szCs w:val="18"/>
              </w:rPr>
              <w:t xml:space="preserve"> </w:t>
            </w:r>
            <w:r w:rsidRPr="007C4D65">
              <w:rPr>
                <w:rFonts w:asciiTheme="minorHAnsi" w:hAnsiTheme="minorHAnsi" w:cstheme="minorHAnsi"/>
                <w:sz w:val="18"/>
                <w:szCs w:val="18"/>
              </w:rPr>
              <w:t>(2024)</w:t>
            </w:r>
          </w:p>
        </w:tc>
      </w:tr>
      <w:tr w:rsidR="00A8050D" w:rsidRPr="007C4D65" w14:paraId="03B0353A"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2473E8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2371251" w14:textId="77777777" w:rsidR="00A8050D" w:rsidRPr="007C4D65" w:rsidRDefault="00A8050D">
            <w:pPr>
              <w:pStyle w:val="ListParagraph"/>
              <w:numPr>
                <w:ilvl w:val="0"/>
                <w:numId w:val="144"/>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Status of realization of shortcomings identified through the analysis of capacities of responsible institutions after the adoption of legislation on environmental noise</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5C693A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There is no relevant analysis of capacities of responsible institutions It needs to be made, and possibly updated once the proposed legislation is drafted </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E1A5809"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Hire and train new people in institutions in the field of chemical safety, in accordance with the requirements of the new legislation and the analysis previously made (2025)</w:t>
            </w:r>
          </w:p>
        </w:tc>
      </w:tr>
      <w:tr w:rsidR="00A8050D" w:rsidRPr="007C4D65" w14:paraId="4B536509"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9F6B18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805A8D7" w14:textId="77777777" w:rsidR="00A8050D" w:rsidRPr="007C4D65" w:rsidRDefault="00A8050D">
            <w:pPr>
              <w:pStyle w:val="ListParagraph"/>
              <w:numPr>
                <w:ilvl w:val="0"/>
                <w:numId w:val="144"/>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Implementation status of the plan and programme of annual training of civil servants on the topic of environmental noise</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C2B124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There is no plan and programme of annual training of civil servants on the topic of environmental noise</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B69F7C8"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Developed plan and programme of annual training of civil servants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environmental noise, and first training implemented (2026)</w:t>
            </w:r>
          </w:p>
        </w:tc>
      </w:tr>
      <w:tr w:rsidR="00A8050D" w:rsidRPr="007C4D65" w14:paraId="293C161A"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957D8A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A1F0BA2" w14:textId="77777777" w:rsidR="00A8050D" w:rsidRPr="007C4D65" w:rsidRDefault="00A8050D">
            <w:pPr>
              <w:pStyle w:val="ListParagraph"/>
              <w:numPr>
                <w:ilvl w:val="0"/>
                <w:numId w:val="144"/>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Enhancing expert and technical competences for development of </w:t>
            </w:r>
            <w:r w:rsidRPr="007C4D65">
              <w:rPr>
                <w:rFonts w:asciiTheme="minorHAnsi" w:hAnsiTheme="minorHAnsi" w:cstheme="minorHAnsi"/>
                <w:sz w:val="18"/>
                <w:szCs w:val="18"/>
              </w:rPr>
              <w:lastRenderedPageBreak/>
              <w:t>strategic noise maps and determining baseline parameters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40E099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lastRenderedPageBreak/>
              <w:t xml:space="preserve">Lacking human and technical capacities for improving skills and technical competences </w:t>
            </w:r>
            <w:r w:rsidRPr="007C4D65">
              <w:rPr>
                <w:rFonts w:asciiTheme="minorHAnsi" w:hAnsiTheme="minorHAnsi" w:cstheme="minorHAnsi"/>
                <w:sz w:val="18"/>
                <w:szCs w:val="18"/>
              </w:rPr>
              <w:lastRenderedPageBreak/>
              <w:t>for development of strategic noise maps and determining baseline parameters</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992A120"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lastRenderedPageBreak/>
              <w:t xml:space="preserve">Enhanced human and technical capacities for improving skills and technical competences for development of strategic </w:t>
            </w:r>
            <w:r w:rsidRPr="007C4D65">
              <w:rPr>
                <w:rFonts w:asciiTheme="minorHAnsi" w:hAnsiTheme="minorHAnsi" w:cstheme="minorHAnsi"/>
                <w:sz w:val="18"/>
                <w:szCs w:val="18"/>
              </w:rPr>
              <w:lastRenderedPageBreak/>
              <w:t>noise maps and determining baseline parameters (2026)</w:t>
            </w:r>
          </w:p>
        </w:tc>
      </w:tr>
      <w:tr w:rsidR="00A8050D" w:rsidRPr="007C4D65" w14:paraId="15602A89"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128B63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1E4375A" w14:textId="77777777" w:rsidR="00A8050D" w:rsidRPr="007C4D65" w:rsidRDefault="00A8050D">
            <w:pPr>
              <w:pStyle w:val="ListParagraph"/>
              <w:numPr>
                <w:ilvl w:val="0"/>
                <w:numId w:val="144"/>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Status of development of a pilot project of strategic noise mapping in some of the cities or parts of the cities, as well as along some of the main communications for the purpose of acquiring skills and technical competencies, and determining the baseline parameters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B2C2E7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color w:val="000000" w:themeColor="text1"/>
                <w:sz w:val="18"/>
                <w:szCs w:val="18"/>
              </w:rPr>
              <w:t>Insufficient experiences and competencies of representatives of public institutions with respect to development of strategic noise maps</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F095DCC" w14:textId="1A237B66" w:rsidR="00A8050D" w:rsidRPr="007C4D65" w:rsidRDefault="00A8050D" w:rsidP="005452A5">
            <w:pPr>
              <w:spacing w:before="40" w:after="40" w:line="276" w:lineRule="auto"/>
              <w:rPr>
                <w:rFonts w:asciiTheme="minorHAnsi" w:eastAsia="Calibri" w:hAnsiTheme="minorHAnsi" w:cstheme="minorHAnsi"/>
                <w:sz w:val="18"/>
                <w:szCs w:val="18"/>
                <w:lang w:val="hr-HR"/>
              </w:rPr>
            </w:pPr>
            <w:r w:rsidRPr="007C4D65">
              <w:rPr>
                <w:rFonts w:asciiTheme="minorHAnsi" w:hAnsiTheme="minorHAnsi" w:cstheme="minorHAnsi"/>
                <w:sz w:val="18"/>
                <w:szCs w:val="18"/>
              </w:rPr>
              <w:t>Implement a pilot project of strategic noise mapping in some of the cities or parts of the cities, as well as along some of the main communications for the purpose of acquiring skills and technical competencies, and determining the baseline parameters (2026)</w:t>
            </w:r>
          </w:p>
        </w:tc>
      </w:tr>
      <w:tr w:rsidR="00A8050D" w:rsidRPr="007C4D65" w14:paraId="2EF319FA"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54C91E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58707DE" w14:textId="77777777" w:rsidR="00A8050D" w:rsidRPr="007C4D65" w:rsidRDefault="00A8050D">
            <w:pPr>
              <w:pStyle w:val="ListParagraph"/>
              <w:numPr>
                <w:ilvl w:val="0"/>
                <w:numId w:val="144"/>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Status of information system of the Environmental Protection Fund of Federation of BiH for publication of strategic noise maps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845902A"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There is no information system in Federation of BiH for presentation of strategic noise maps</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FB85DC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Information system of the Environmental Protection Fund of Federation of BiH adapted to allow for presentation of strategic noise maps in the Federation of BiH (2028)</w:t>
            </w:r>
          </w:p>
        </w:tc>
      </w:tr>
      <w:tr w:rsidR="00A8050D" w:rsidRPr="007C4D65" w14:paraId="6DA96C5E"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F384E8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E289E07" w14:textId="77777777" w:rsidR="00A8050D" w:rsidRPr="007C4D65" w:rsidRDefault="00A8050D">
            <w:pPr>
              <w:pStyle w:val="ListParagraph"/>
              <w:numPr>
                <w:ilvl w:val="0"/>
                <w:numId w:val="144"/>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Status of inspection oversight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environmental noise</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743535A" w14:textId="77777777" w:rsidR="00A8050D" w:rsidRPr="007C4D65" w:rsidRDefault="00A8050D" w:rsidP="00B6017F">
            <w:pPr>
              <w:spacing w:line="276" w:lineRule="auto"/>
              <w:rPr>
                <w:rFonts w:asciiTheme="minorHAnsi" w:hAnsiTheme="minorHAnsi" w:cstheme="minorHAnsi"/>
                <w:strike/>
                <w:color w:val="FF0000"/>
                <w:sz w:val="18"/>
                <w:szCs w:val="18"/>
              </w:rPr>
            </w:pPr>
            <w:r w:rsidRPr="007C4D65">
              <w:rPr>
                <w:rFonts w:asciiTheme="minorHAnsi" w:hAnsiTheme="minorHAnsi" w:cstheme="minorHAnsi"/>
                <w:sz w:val="18"/>
                <w:szCs w:val="18"/>
              </w:rPr>
              <w:t>Inspection oversight of protection against noise has not been established</w:t>
            </w:r>
          </w:p>
          <w:p w14:paraId="5CE1713F" w14:textId="77777777" w:rsidR="00A8050D" w:rsidRPr="007C4D65" w:rsidRDefault="00A8050D" w:rsidP="00B6017F">
            <w:pPr>
              <w:spacing w:before="40" w:after="40" w:line="276" w:lineRule="auto"/>
              <w:rPr>
                <w:rFonts w:asciiTheme="minorHAnsi" w:hAnsiTheme="minorHAnsi" w:cstheme="minorHAnsi"/>
                <w:sz w:val="18"/>
                <w:szCs w:val="18"/>
                <w:lang w:val="hr-HR" w:bidi="en-US"/>
              </w:rPr>
            </w:pP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FC257A6"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Established inspection oversight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environmental noise (2026)</w:t>
            </w:r>
          </w:p>
        </w:tc>
      </w:tr>
      <w:tr w:rsidR="00A8050D" w:rsidRPr="007C4D65" w14:paraId="2CE8EC2F"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7AF560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C83F208" w14:textId="5E41BFD6" w:rsidR="00A8050D" w:rsidRPr="007C4D65" w:rsidRDefault="00A8050D"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Improved strategic approach to noise management</w:t>
            </w:r>
          </w:p>
        </w:tc>
      </w:tr>
      <w:tr w:rsidR="00A8050D" w:rsidRPr="007C4D65" w14:paraId="7E95FA99"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EB9814A"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DA1F942" w14:textId="1B694F09"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1,368,644</w:t>
            </w:r>
          </w:p>
          <w:p w14:paraId="39E418B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Source: 20% from the government budget, 80% </w:t>
            </w:r>
            <w:r w:rsidRPr="007C4D65">
              <w:rPr>
                <w:rFonts w:asciiTheme="minorHAnsi" w:eastAsia="Calibri" w:hAnsiTheme="minorHAnsi" w:cstheme="minorHAnsi"/>
                <w:sz w:val="18"/>
                <w:szCs w:val="18"/>
              </w:rPr>
              <w:t>combined ‒ loans, funds from EU and other international donors, and other donations</w:t>
            </w:r>
          </w:p>
        </w:tc>
      </w:tr>
      <w:tr w:rsidR="00A8050D" w:rsidRPr="007C4D65" w14:paraId="0C11FDCA"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ABBCE0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1DB7B3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2024‒2028</w:t>
            </w:r>
          </w:p>
        </w:tc>
      </w:tr>
      <w:tr w:rsidR="00A8050D" w:rsidRPr="007C4D65" w14:paraId="64289DAD"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941F2F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211E91B"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FMET</w:t>
            </w:r>
          </w:p>
        </w:tc>
      </w:tr>
      <w:tr w:rsidR="00A8050D" w:rsidRPr="007C4D65" w14:paraId="4BD33458"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535F322"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1BD077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FMH, FMET, </w:t>
            </w:r>
            <w:proofErr w:type="spellStart"/>
            <w:r w:rsidRPr="007C4D65">
              <w:rPr>
                <w:rFonts w:asciiTheme="minorHAnsi" w:hAnsiTheme="minorHAnsi" w:cstheme="minorHAnsi"/>
                <w:sz w:val="18"/>
                <w:szCs w:val="18"/>
              </w:rPr>
              <w:t>Zenica</w:t>
            </w:r>
            <w:proofErr w:type="spellEnd"/>
            <w:r w:rsidRPr="007C4D65">
              <w:rPr>
                <w:rFonts w:asciiTheme="minorHAnsi" w:hAnsiTheme="minorHAnsi" w:cstheme="minorHAnsi"/>
                <w:sz w:val="18"/>
                <w:szCs w:val="18"/>
              </w:rPr>
              <w:t xml:space="preserve">-Doboj Canton, Herzegovina-Neretva Canton, Tuzla Canton and Canton Sarajevo, cities of Mostar, Sarajevo, Tuzla and </w:t>
            </w:r>
            <w:proofErr w:type="spellStart"/>
            <w:r w:rsidRPr="007C4D65">
              <w:rPr>
                <w:rFonts w:asciiTheme="minorHAnsi" w:hAnsiTheme="minorHAnsi" w:cstheme="minorHAnsi"/>
                <w:sz w:val="18"/>
                <w:szCs w:val="18"/>
              </w:rPr>
              <w:t>Zenica</w:t>
            </w:r>
            <w:proofErr w:type="spellEnd"/>
            <w:r w:rsidRPr="007C4D65">
              <w:rPr>
                <w:rFonts w:asciiTheme="minorHAnsi" w:hAnsiTheme="minorHAnsi" w:cstheme="minorHAnsi"/>
                <w:sz w:val="18"/>
                <w:szCs w:val="18"/>
              </w:rPr>
              <w:t>, Ministry of Transport and Communication of the Federation of BiH</w:t>
            </w:r>
          </w:p>
        </w:tc>
      </w:tr>
      <w:tr w:rsidR="00A8050D" w:rsidRPr="007C4D65" w14:paraId="56B691FC"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08BF9F4" w14:textId="5E008A4F"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groups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500B1E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Federation of BiH, cantonal and city administrative bodies, administrative organisations and public companies competent for noise management, citizens of the Federation of BiH</w:t>
            </w:r>
          </w:p>
        </w:tc>
      </w:tr>
    </w:tbl>
    <w:p w14:paraId="350B616D" w14:textId="77777777" w:rsidR="00A8050D" w:rsidRPr="007C4D65" w:rsidRDefault="00A8050D" w:rsidP="00A8050D">
      <w:pPr>
        <w:spacing w:line="276" w:lineRule="auto"/>
        <w:rPr>
          <w:rFonts w:asciiTheme="minorHAnsi" w:hAnsiTheme="minorHAnsi" w:cstheme="minorHAnsi"/>
          <w:sz w:val="18"/>
          <w:szCs w:val="18"/>
          <w:lang w:val="hr-HR"/>
        </w:rPr>
      </w:pPr>
    </w:p>
    <w:tbl>
      <w:tblPr>
        <w:tblW w:w="480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833"/>
        <w:gridCol w:w="2780"/>
        <w:gridCol w:w="3394"/>
        <w:gridCol w:w="3397"/>
      </w:tblGrid>
      <w:tr w:rsidR="00A8050D" w:rsidRPr="007C4D65" w14:paraId="126992D5"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0A571E9" w14:textId="622967C4"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Link with the strategic goal</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60FACEB" w14:textId="76F586CA"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 </w:t>
            </w:r>
            <w:r w:rsidR="00206652" w:rsidRPr="007C4D65">
              <w:rPr>
                <w:rFonts w:asciiTheme="minorHAnsi" w:hAnsiTheme="minorHAnsi" w:cstheme="minorHAnsi"/>
                <w:b/>
                <w:sz w:val="18"/>
                <w:szCs w:val="18"/>
              </w:rPr>
              <w:t>Human health protection</w:t>
            </w:r>
            <w:r w:rsidRPr="007C4D65">
              <w:rPr>
                <w:rFonts w:asciiTheme="minorHAnsi" w:hAnsiTheme="minorHAnsi" w:cstheme="minorHAnsi"/>
                <w:b/>
                <w:sz w:val="18"/>
                <w:szCs w:val="18"/>
              </w:rPr>
              <w:t xml:space="preserve"> and improving well-being and quality of life for all</w:t>
            </w:r>
          </w:p>
        </w:tc>
      </w:tr>
      <w:tr w:rsidR="00A8050D" w:rsidRPr="007C4D65" w14:paraId="0B6CACDE"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732B89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Priority</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FE05012" w14:textId="75218F2B" w:rsidR="00A8050D" w:rsidRPr="007C4D65" w:rsidRDefault="00A8050D" w:rsidP="00B6017F">
            <w:pPr>
              <w:spacing w:before="40" w:after="40" w:line="276" w:lineRule="auto"/>
              <w:rPr>
                <w:rFonts w:asciiTheme="minorHAnsi" w:hAnsiTheme="minorHAnsi" w:cstheme="minorHAnsi"/>
                <w:b/>
                <w:sz w:val="18"/>
                <w:szCs w:val="18"/>
              </w:rPr>
            </w:pPr>
            <w:r w:rsidRPr="007C4D65">
              <w:rPr>
                <w:rFonts w:asciiTheme="minorHAnsi" w:hAnsiTheme="minorHAnsi" w:cstheme="minorHAnsi"/>
                <w:b/>
                <w:sz w:val="18"/>
                <w:szCs w:val="18"/>
              </w:rPr>
              <w:t xml:space="preserve">5.8.  </w:t>
            </w:r>
            <w:r w:rsidR="00467B07" w:rsidRPr="007C4D65">
              <w:rPr>
                <w:rFonts w:asciiTheme="minorHAnsi" w:hAnsiTheme="minorHAnsi" w:cstheme="minorHAnsi"/>
                <w:b/>
                <w:sz w:val="18"/>
                <w:szCs w:val="18"/>
              </w:rPr>
              <w:t>Reduce the risk to human health from environmental noise</w:t>
            </w:r>
          </w:p>
        </w:tc>
      </w:tr>
      <w:tr w:rsidR="00A8050D" w:rsidRPr="007C4D65" w14:paraId="1D4667FF" w14:textId="77777777" w:rsidTr="00B6017F">
        <w:trPr>
          <w:trHeight w:val="435"/>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3306A8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Name of the measure</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373D1DA" w14:textId="3A58BC35" w:rsidR="00A8050D" w:rsidRPr="007C4D65" w:rsidRDefault="00A8050D" w:rsidP="00B6017F">
            <w:pPr>
              <w:spacing w:before="40" w:after="40" w:line="276" w:lineRule="auto"/>
              <w:rPr>
                <w:rFonts w:asciiTheme="minorHAnsi" w:eastAsia="Calibri" w:hAnsiTheme="minorHAnsi" w:cstheme="minorHAnsi"/>
                <w:b/>
                <w:sz w:val="18"/>
                <w:szCs w:val="18"/>
              </w:rPr>
            </w:pPr>
            <w:r w:rsidRPr="007C4D65">
              <w:rPr>
                <w:rFonts w:asciiTheme="minorHAnsi" w:hAnsiTheme="minorHAnsi" w:cstheme="minorHAnsi"/>
                <w:b/>
                <w:sz w:val="18"/>
                <w:szCs w:val="18"/>
              </w:rPr>
              <w:t xml:space="preserve">5.8.1 Improve level of information and knowledge of </w:t>
            </w:r>
            <w:proofErr w:type="gramStart"/>
            <w:r w:rsidRPr="007C4D65">
              <w:rPr>
                <w:rFonts w:asciiTheme="minorHAnsi" w:hAnsiTheme="minorHAnsi" w:cstheme="minorHAnsi"/>
                <w:b/>
                <w:sz w:val="18"/>
                <w:szCs w:val="18"/>
              </w:rPr>
              <w:t>general public</w:t>
            </w:r>
            <w:proofErr w:type="gramEnd"/>
            <w:r w:rsidRPr="007C4D65">
              <w:rPr>
                <w:rFonts w:asciiTheme="minorHAnsi" w:hAnsiTheme="minorHAnsi" w:cstheme="minorHAnsi"/>
                <w:b/>
                <w:sz w:val="18"/>
                <w:szCs w:val="18"/>
              </w:rPr>
              <w:t xml:space="preserve"> on negative impact of noise and their role in </w:t>
            </w:r>
            <w:r w:rsidR="009F16BA" w:rsidRPr="007C4D65">
              <w:rPr>
                <w:rFonts w:asciiTheme="minorHAnsi" w:hAnsiTheme="minorHAnsi" w:cstheme="minorHAnsi"/>
                <w:b/>
                <w:sz w:val="18"/>
                <w:szCs w:val="18"/>
              </w:rPr>
              <w:t>decision-making</w:t>
            </w:r>
            <w:r w:rsidRPr="007C4D65">
              <w:rPr>
                <w:rFonts w:asciiTheme="minorHAnsi" w:hAnsiTheme="minorHAnsi" w:cstheme="minorHAnsi"/>
                <w:b/>
                <w:sz w:val="18"/>
                <w:szCs w:val="18"/>
              </w:rPr>
              <w:t xml:space="preserve"> process</w:t>
            </w:r>
          </w:p>
        </w:tc>
      </w:tr>
      <w:tr w:rsidR="00A8050D" w:rsidRPr="007C4D65" w14:paraId="764F535D"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110664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 xml:space="preserve">Description of the measure with the general area of intervention </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D304D97"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This measure enhances level of information and knowledge of harmful impact of noise on human health, and of requirements that stem from the adopted legislation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protection against noise.</w:t>
            </w:r>
          </w:p>
          <w:p w14:paraId="211D829C" w14:textId="79390DB9"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General areas of intervention:</w:t>
            </w:r>
          </w:p>
          <w:p w14:paraId="04284B9B" w14:textId="70F8120E" w:rsidR="00A8050D" w:rsidRPr="007C4D65" w:rsidRDefault="00A8050D">
            <w:pPr>
              <w:pStyle w:val="ListParagraph"/>
              <w:numPr>
                <w:ilvl w:val="0"/>
                <w:numId w:val="180"/>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Competent institutions should implement at least one campaign in five years regarding harmful effect of noise on health of population (taking into consideration gender equality, social equity and poverty) and environment, and the role of the public in </w:t>
            </w:r>
            <w:r w:rsidR="009F16BA" w:rsidRPr="007C4D65">
              <w:rPr>
                <w:rFonts w:asciiTheme="minorHAnsi" w:hAnsiTheme="minorHAnsi" w:cstheme="minorHAnsi"/>
                <w:sz w:val="18"/>
                <w:szCs w:val="18"/>
              </w:rPr>
              <w:t xml:space="preserve">decision-making </w:t>
            </w:r>
            <w:proofErr w:type="gramStart"/>
            <w:r w:rsidRPr="007C4D65">
              <w:rPr>
                <w:rFonts w:asciiTheme="minorHAnsi" w:hAnsiTheme="minorHAnsi" w:cstheme="minorHAnsi"/>
                <w:sz w:val="18"/>
                <w:szCs w:val="18"/>
              </w:rPr>
              <w:t>process</w:t>
            </w:r>
            <w:r w:rsidR="005452A5" w:rsidRPr="007C4D65">
              <w:rPr>
                <w:rFonts w:asciiTheme="minorHAnsi" w:eastAsia="Calibri" w:hAnsiTheme="minorHAnsi" w:cstheme="minorHAnsi"/>
                <w:sz w:val="18"/>
                <w:szCs w:val="18"/>
              </w:rPr>
              <w:t>;</w:t>
            </w:r>
            <w:proofErr w:type="gramEnd"/>
          </w:p>
          <w:p w14:paraId="18E91DE0" w14:textId="77D99B1E" w:rsidR="00A8050D" w:rsidRPr="007C4D65" w:rsidRDefault="00A8050D">
            <w:pPr>
              <w:pStyle w:val="ListParagraph"/>
              <w:numPr>
                <w:ilvl w:val="0"/>
                <w:numId w:val="180"/>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Make general assessment of impact of noise on people’s health (taking into consideration aspects of gender equality, social equity and poverty) in zones exposed to </w:t>
            </w:r>
            <w:proofErr w:type="gramStart"/>
            <w:r w:rsidRPr="007C4D65">
              <w:rPr>
                <w:rFonts w:asciiTheme="minorHAnsi" w:hAnsiTheme="minorHAnsi" w:cstheme="minorHAnsi"/>
                <w:sz w:val="18"/>
                <w:szCs w:val="18"/>
              </w:rPr>
              <w:t>noise</w:t>
            </w:r>
            <w:r w:rsidR="005452A5" w:rsidRPr="007C4D65">
              <w:rPr>
                <w:rFonts w:asciiTheme="minorHAnsi" w:hAnsiTheme="minorHAnsi" w:cstheme="minorHAnsi"/>
                <w:sz w:val="18"/>
                <w:szCs w:val="18"/>
              </w:rPr>
              <w:t>;</w:t>
            </w:r>
            <w:proofErr w:type="gramEnd"/>
          </w:p>
          <w:p w14:paraId="4E13B58C" w14:textId="77777777" w:rsidR="005452A5" w:rsidRPr="007C4D65" w:rsidRDefault="00A8050D" w:rsidP="005B235C">
            <w:pPr>
              <w:pStyle w:val="ListParagraph"/>
              <w:numPr>
                <w:ilvl w:val="0"/>
                <w:numId w:val="180"/>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Recognizing the field of environmental noise in the scope of public calls for raising public awareness, research and educational activities in the field of environment that is issued the Environmental Protection Fund of the Federation of </w:t>
            </w:r>
            <w:proofErr w:type="gramStart"/>
            <w:r w:rsidRPr="007C4D65">
              <w:rPr>
                <w:rFonts w:asciiTheme="minorHAnsi" w:hAnsiTheme="minorHAnsi" w:cstheme="minorHAnsi"/>
                <w:sz w:val="18"/>
                <w:szCs w:val="18"/>
              </w:rPr>
              <w:t>BiH</w:t>
            </w:r>
            <w:r w:rsidR="005452A5" w:rsidRPr="007C4D65">
              <w:rPr>
                <w:rFonts w:asciiTheme="minorHAnsi" w:hAnsiTheme="minorHAnsi" w:cstheme="minorHAnsi"/>
                <w:sz w:val="18"/>
                <w:szCs w:val="18"/>
              </w:rPr>
              <w:t>;</w:t>
            </w:r>
            <w:proofErr w:type="gramEnd"/>
          </w:p>
          <w:p w14:paraId="2933CB73" w14:textId="41450EDB" w:rsidR="00A8050D" w:rsidRPr="007C4D65" w:rsidRDefault="00A8050D" w:rsidP="005B235C">
            <w:pPr>
              <w:pStyle w:val="ListParagraph"/>
              <w:numPr>
                <w:ilvl w:val="0"/>
                <w:numId w:val="180"/>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 xml:space="preserve">Implementation of continuous promotional and educational activities at the level of health institutions regarding the risks related to the impact of noise on health, as well as preventative measures that can be </w:t>
            </w:r>
            <w:proofErr w:type="gramStart"/>
            <w:r w:rsidRPr="007C4D65">
              <w:rPr>
                <w:rFonts w:asciiTheme="minorHAnsi" w:hAnsiTheme="minorHAnsi" w:cstheme="minorHAnsi"/>
                <w:sz w:val="18"/>
                <w:szCs w:val="18"/>
              </w:rPr>
              <w:t>used</w:t>
            </w:r>
            <w:r w:rsidR="005452A5" w:rsidRPr="007C4D65">
              <w:rPr>
                <w:rFonts w:asciiTheme="minorHAnsi" w:hAnsiTheme="minorHAnsi" w:cstheme="minorHAnsi"/>
                <w:sz w:val="18"/>
                <w:szCs w:val="18"/>
              </w:rPr>
              <w:t>;</w:t>
            </w:r>
            <w:proofErr w:type="gramEnd"/>
          </w:p>
          <w:p w14:paraId="4310CB2D" w14:textId="1157CC44" w:rsidR="00A8050D" w:rsidRPr="007C4D65" w:rsidRDefault="00A8050D">
            <w:pPr>
              <w:pStyle w:val="ListParagraph"/>
              <w:numPr>
                <w:ilvl w:val="0"/>
                <w:numId w:val="180"/>
              </w:numPr>
              <w:spacing w:before="40" w:after="40" w:line="276" w:lineRule="auto"/>
              <w:ind w:left="360"/>
              <w:rPr>
                <w:rFonts w:asciiTheme="minorHAnsi" w:eastAsia="Calibri" w:hAnsiTheme="minorHAnsi" w:cstheme="minorHAnsi"/>
                <w:sz w:val="18"/>
                <w:szCs w:val="18"/>
              </w:rPr>
            </w:pPr>
            <w:r w:rsidRPr="007C4D65">
              <w:rPr>
                <w:rFonts w:asciiTheme="minorHAnsi" w:hAnsiTheme="minorHAnsi" w:cstheme="minorHAnsi"/>
                <w:sz w:val="18"/>
                <w:szCs w:val="18"/>
              </w:rPr>
              <w:t>Setting up displays along the roads in major cities showing the level of noise as measured at that moment</w:t>
            </w:r>
            <w:r w:rsidR="005452A5" w:rsidRPr="007C4D65">
              <w:rPr>
                <w:rFonts w:asciiTheme="minorHAnsi" w:eastAsia="Calibri" w:hAnsiTheme="minorHAnsi" w:cstheme="minorHAnsi"/>
                <w:sz w:val="18"/>
                <w:szCs w:val="18"/>
              </w:rPr>
              <w:t>.</w:t>
            </w:r>
          </w:p>
        </w:tc>
      </w:tr>
      <w:tr w:rsidR="00A8050D" w:rsidRPr="007C4D65" w14:paraId="16365512" w14:textId="77777777" w:rsidTr="00B6017F">
        <w:trPr>
          <w:trHeight w:val="365"/>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C3E04B4"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Strategic projects</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247593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w:t>
            </w:r>
          </w:p>
        </w:tc>
      </w:tr>
      <w:tr w:rsidR="00A8050D" w:rsidRPr="007C4D65" w14:paraId="1092C803" w14:textId="77777777" w:rsidTr="00B6017F">
        <w:trPr>
          <w:trHeight w:val="567"/>
          <w:jc w:val="center"/>
        </w:trPr>
        <w:tc>
          <w:tcPr>
            <w:tcW w:w="1430"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3D6A4EF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 for monitoring of results of measures</w:t>
            </w:r>
          </w:p>
        </w:tc>
        <w:tc>
          <w:tcPr>
            <w:tcW w:w="103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263E86B"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3DD81B6D" w14:textId="3C93229A" w:rsidR="00A8050D" w:rsidRPr="007C4D65" w:rsidRDefault="005C416E"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6A0F42C"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07C41215"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7F657CB" w14:textId="77777777" w:rsidR="00A8050D" w:rsidRPr="007C4D65" w:rsidRDefault="00A8050D"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A8050D" w:rsidRPr="007C4D65" w14:paraId="0B324E90" w14:textId="77777777" w:rsidTr="00B6017F">
        <w:trPr>
          <w:trHeight w:val="274"/>
          <w:jc w:val="center"/>
        </w:trPr>
        <w:tc>
          <w:tcPr>
            <w:tcW w:w="1430"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A0FD695"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CA7F482" w14:textId="77777777" w:rsidR="00A8050D" w:rsidRPr="007C4D65" w:rsidRDefault="00A8050D">
            <w:pPr>
              <w:pStyle w:val="ListParagraph"/>
              <w:numPr>
                <w:ilvl w:val="0"/>
                <w:numId w:val="145"/>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Informing population on harmful effects of noise on human health</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25C0C0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There are no campaigns related to protection of environment and health of population</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0461221" w14:textId="7C7FAE1A"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Implemented at least one campaign in five years by competent institutions regarding harmful effect of noise on health of population (taking into consideration gender equality, social equity and poverty) and environment, and the role of the public in </w:t>
            </w:r>
            <w:r w:rsidR="009F16BA" w:rsidRPr="007C4D65">
              <w:rPr>
                <w:rFonts w:asciiTheme="minorHAnsi" w:hAnsiTheme="minorHAnsi" w:cstheme="minorHAnsi"/>
                <w:sz w:val="18"/>
                <w:szCs w:val="18"/>
              </w:rPr>
              <w:t>decision-making</w:t>
            </w:r>
            <w:r w:rsidRPr="007C4D65">
              <w:rPr>
                <w:rFonts w:asciiTheme="minorHAnsi" w:hAnsiTheme="minorHAnsi" w:cstheme="minorHAnsi"/>
                <w:sz w:val="18"/>
                <w:szCs w:val="18"/>
              </w:rPr>
              <w:t xml:space="preserve"> process (2025)</w:t>
            </w:r>
          </w:p>
        </w:tc>
      </w:tr>
      <w:tr w:rsidR="00A8050D" w:rsidRPr="007C4D65" w14:paraId="6D55C058" w14:textId="77777777" w:rsidTr="00B6017F">
        <w:trPr>
          <w:trHeight w:val="567"/>
          <w:jc w:val="center"/>
        </w:trPr>
        <w:tc>
          <w:tcPr>
            <w:tcW w:w="1430"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3FCA43C"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E3554EF" w14:textId="77777777" w:rsidR="00A8050D" w:rsidRPr="007C4D65" w:rsidRDefault="00A8050D">
            <w:pPr>
              <w:pStyle w:val="ListParagraph"/>
              <w:numPr>
                <w:ilvl w:val="0"/>
                <w:numId w:val="145"/>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Level of impact of noise on people’s health in zones of higher exposure to noise </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F082512"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color w:val="000000" w:themeColor="text1"/>
                <w:sz w:val="18"/>
                <w:szCs w:val="18"/>
              </w:rPr>
              <w:t xml:space="preserve">Effects of noise on general health of population, or most frequent disorders appearing in the areas with increased level of noise, are not known. </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68311F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color w:val="000000" w:themeColor="text1"/>
                <w:sz w:val="18"/>
                <w:szCs w:val="18"/>
              </w:rPr>
              <w:t>Developed population scientific research by health institution on the most common illnesses appearing in the high-noise zones (taking into consideration gender equality, social equity and poverty) (2029)</w:t>
            </w:r>
          </w:p>
        </w:tc>
      </w:tr>
      <w:tr w:rsidR="00A8050D" w:rsidRPr="007C4D65" w14:paraId="632C0131" w14:textId="77777777" w:rsidTr="00B6017F">
        <w:trPr>
          <w:trHeight w:val="567"/>
          <w:jc w:val="center"/>
        </w:trPr>
        <w:tc>
          <w:tcPr>
            <w:tcW w:w="1430"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DC0DAF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A9D1E42" w14:textId="77777777" w:rsidR="00A8050D" w:rsidRPr="007C4D65" w:rsidRDefault="00A8050D">
            <w:pPr>
              <w:pStyle w:val="ListParagraph"/>
              <w:numPr>
                <w:ilvl w:val="0"/>
                <w:numId w:val="145"/>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Public call for the civil society organizations, research and education centres on the topic of raising awareness on environmental noise and its effect on health issued on annual basis </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89E8C5D"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The Environmental Protection Fund of has been regularly issuing public calls for projects to implement the measures from the Environmental Strategy So far, topic of environmental noise and impact of noise on human health has not been included in public call</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57BA314"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Recognize environmental noise and impact of noise on human health within the scope of public calls for raising public awareness, research and educational activities in the field of environment that is issued the Environment Protection Fund of Federation of BiH (2030)</w:t>
            </w:r>
          </w:p>
        </w:tc>
      </w:tr>
      <w:tr w:rsidR="00A8050D" w:rsidRPr="007C4D65" w14:paraId="5D1C2C25" w14:textId="77777777" w:rsidTr="00B6017F">
        <w:trPr>
          <w:trHeight w:val="567"/>
          <w:jc w:val="center"/>
        </w:trPr>
        <w:tc>
          <w:tcPr>
            <w:tcW w:w="1430"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A36A738"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DB9D0D6" w14:textId="77777777" w:rsidR="00A8050D" w:rsidRPr="007C4D65" w:rsidRDefault="00A8050D">
            <w:pPr>
              <w:pStyle w:val="ListParagraph"/>
              <w:numPr>
                <w:ilvl w:val="0"/>
                <w:numId w:val="145"/>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Representation of institutions of primary health care (health centres) in promotional and educational activities the purpose of which is to inform </w:t>
            </w:r>
            <w:proofErr w:type="gramStart"/>
            <w:r w:rsidRPr="007C4D65">
              <w:rPr>
                <w:rFonts w:asciiTheme="minorHAnsi" w:hAnsiTheme="minorHAnsi" w:cstheme="minorHAnsi"/>
                <w:sz w:val="18"/>
                <w:szCs w:val="18"/>
              </w:rPr>
              <w:t>general public</w:t>
            </w:r>
            <w:proofErr w:type="gramEnd"/>
            <w:r w:rsidRPr="007C4D65">
              <w:rPr>
                <w:rFonts w:asciiTheme="minorHAnsi" w:hAnsiTheme="minorHAnsi" w:cstheme="minorHAnsi"/>
                <w:sz w:val="18"/>
                <w:szCs w:val="18"/>
              </w:rPr>
              <w:t xml:space="preserve"> on the risks of harmful impact of noise on health of population</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C8D4BC7"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Health institutions of primary health care are the closest to </w:t>
            </w:r>
            <w:proofErr w:type="gramStart"/>
            <w:r w:rsidRPr="007C4D65">
              <w:rPr>
                <w:rFonts w:asciiTheme="minorHAnsi" w:hAnsiTheme="minorHAnsi" w:cstheme="minorHAnsi"/>
                <w:sz w:val="18"/>
                <w:szCs w:val="18"/>
              </w:rPr>
              <w:t>general public</w:t>
            </w:r>
            <w:proofErr w:type="gramEnd"/>
            <w:r w:rsidRPr="007C4D65">
              <w:rPr>
                <w:rFonts w:asciiTheme="minorHAnsi" w:hAnsiTheme="minorHAnsi" w:cstheme="minorHAnsi"/>
                <w:sz w:val="18"/>
                <w:szCs w:val="18"/>
              </w:rPr>
              <w:t xml:space="preserve"> and can contribute to prevention of risks for health of population by means of educational posters, brochures, etc. So far, noise has not been presented as a health risk in educational campaigns </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ED6AF9F" w14:textId="49472025" w:rsidR="00A8050D" w:rsidRPr="007C4D65" w:rsidRDefault="00A8050D" w:rsidP="005452A5">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rPr>
              <w:t>Implementation of continuous promotional and educational activities at the level of health institutions regarding the risks related to the impact of noise on health, as well as preventative measures that can be used (2028)</w:t>
            </w:r>
          </w:p>
        </w:tc>
      </w:tr>
      <w:tr w:rsidR="00A8050D" w:rsidRPr="007C4D65" w14:paraId="1D93821E" w14:textId="77777777" w:rsidTr="00B6017F">
        <w:trPr>
          <w:trHeight w:val="567"/>
          <w:jc w:val="center"/>
        </w:trPr>
        <w:tc>
          <w:tcPr>
            <w:tcW w:w="1430"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CD668ED"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lang w:val="hr-HR" w:bidi="en-US"/>
              </w:rPr>
            </w:pPr>
          </w:p>
        </w:tc>
        <w:tc>
          <w:tcPr>
            <w:tcW w:w="103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8840BA2" w14:textId="77777777" w:rsidR="00A8050D" w:rsidRPr="007C4D65" w:rsidRDefault="00A8050D">
            <w:pPr>
              <w:pStyle w:val="ListParagraph"/>
              <w:numPr>
                <w:ilvl w:val="0"/>
                <w:numId w:val="145"/>
              </w:numPr>
              <w:tabs>
                <w:tab w:val="left" w:pos="254"/>
              </w:tabs>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Continually draw attention of population to increased noise in their near environment</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CBF4741"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Population is not aware of increased levels of noise along main roads, which they may also contribute to or are exposed to </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11D56B0" w14:textId="77777777" w:rsidR="00A8050D" w:rsidRPr="007C4D65" w:rsidRDefault="00A8050D"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Installed displays along the roads in major cities showing the level of noise in real time (2026)</w:t>
            </w:r>
          </w:p>
        </w:tc>
      </w:tr>
      <w:tr w:rsidR="00A8050D" w:rsidRPr="007C4D65" w14:paraId="73CA4677"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EF38D1E"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Developmental impact and contribution of the measure to achieving the priority</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0799809" w14:textId="48A8F94B" w:rsidR="00A8050D" w:rsidRPr="007C4D65" w:rsidRDefault="00A8050D" w:rsidP="00B6017F">
            <w:pPr>
              <w:spacing w:line="276" w:lineRule="auto"/>
              <w:rPr>
                <w:rFonts w:asciiTheme="minorHAnsi" w:hAnsiTheme="minorHAnsi" w:cstheme="minorHAnsi"/>
                <w:sz w:val="18"/>
                <w:szCs w:val="18"/>
              </w:rPr>
            </w:pPr>
            <w:r w:rsidRPr="007C4D65">
              <w:rPr>
                <w:rFonts w:asciiTheme="minorHAnsi" w:hAnsiTheme="minorHAnsi" w:cstheme="minorHAnsi"/>
                <w:sz w:val="18"/>
                <w:szCs w:val="18"/>
              </w:rPr>
              <w:t>Citizens' awareness on harmful impact of noise is at a higher level</w:t>
            </w:r>
          </w:p>
        </w:tc>
      </w:tr>
      <w:tr w:rsidR="00A8050D" w:rsidRPr="007C4D65" w14:paraId="70390B02"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1FE421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Indicative financial projection, with indication of sources</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23A0D67" w14:textId="15708186"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576,133</w:t>
            </w:r>
          </w:p>
          <w:p w14:paraId="0820DFD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Source: 100% funds from EU and other international donors</w:t>
            </w:r>
          </w:p>
        </w:tc>
      </w:tr>
      <w:tr w:rsidR="00A8050D" w:rsidRPr="007C4D65" w14:paraId="72B78953" w14:textId="77777777" w:rsidTr="00B6017F">
        <w:trPr>
          <w:trHeight w:val="351"/>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76847DF"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Period of implementation of the measure</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69A262E"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2025‒2030</w:t>
            </w:r>
          </w:p>
        </w:tc>
      </w:tr>
      <w:tr w:rsidR="00A8050D" w:rsidRPr="007C4D65" w14:paraId="5FF98981" w14:textId="77777777" w:rsidTr="00B6017F">
        <w:trPr>
          <w:trHeight w:val="271"/>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61C3476"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Institution responsible for coordination and implementation of the measure</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315375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FMET in cooperation with FMH</w:t>
            </w:r>
          </w:p>
        </w:tc>
      </w:tr>
      <w:tr w:rsidR="00A8050D" w:rsidRPr="007C4D65" w14:paraId="40CA5B0B" w14:textId="77777777" w:rsidTr="00B6017F">
        <w:trPr>
          <w:trHeight w:val="35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31D05D7" w14:textId="77777777" w:rsidR="00A8050D" w:rsidRPr="007C4D65" w:rsidRDefault="00A8050D"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Implementing institution</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B75C9C6"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FMET in cooperation with FMH</w:t>
            </w:r>
          </w:p>
        </w:tc>
      </w:tr>
      <w:tr w:rsidR="00A8050D" w:rsidRPr="007C4D65" w14:paraId="6EAE6387" w14:textId="77777777" w:rsidTr="00B6017F">
        <w:trPr>
          <w:trHeight w:val="276"/>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E13829D" w14:textId="4B05C195" w:rsidR="00A8050D" w:rsidRPr="007C4D65" w:rsidRDefault="00963086" w:rsidP="00B6017F">
            <w:pPr>
              <w:spacing w:before="40" w:after="40" w:line="276" w:lineRule="auto"/>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lastRenderedPageBreak/>
              <w:t>Target groups</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D86927C" w14:textId="77777777" w:rsidR="00A8050D" w:rsidRPr="007C4D65" w:rsidRDefault="00A8050D"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General public</w:t>
            </w:r>
          </w:p>
        </w:tc>
      </w:tr>
    </w:tbl>
    <w:p w14:paraId="18E40714" w14:textId="77777777" w:rsidR="00D05B00" w:rsidRPr="007C4D65" w:rsidRDefault="00D05B00" w:rsidP="0068355A">
      <w:pPr>
        <w:spacing w:after="160" w:line="276" w:lineRule="auto"/>
        <w:rPr>
          <w:rFonts w:asciiTheme="minorHAnsi" w:hAnsiTheme="minorHAnsi" w:cstheme="minorHAnsi"/>
        </w:rPr>
      </w:pPr>
    </w:p>
    <w:p w14:paraId="1CD47F9B" w14:textId="250CFDB5" w:rsidR="00B13A5C" w:rsidRPr="007C4D65" w:rsidRDefault="00997BE2">
      <w:pPr>
        <w:pStyle w:val="Head2"/>
        <w:spacing w:line="276" w:lineRule="auto"/>
        <w:rPr>
          <w:rFonts w:asciiTheme="minorHAnsi" w:hAnsiTheme="minorHAnsi"/>
        </w:rPr>
      </w:pPr>
      <w:bookmarkStart w:id="314" w:name="_Toc117445381"/>
      <w:r w:rsidRPr="007C4D65">
        <w:rPr>
          <w:rFonts w:asciiTheme="minorHAnsi" w:hAnsiTheme="minorHAnsi"/>
        </w:rPr>
        <w:t xml:space="preserve">Annex </w:t>
      </w:r>
      <w:proofErr w:type="gramStart"/>
      <w:r w:rsidRPr="007C4D65">
        <w:rPr>
          <w:rFonts w:asciiTheme="minorHAnsi" w:hAnsiTheme="minorHAnsi"/>
        </w:rPr>
        <w:t xml:space="preserve">6  </w:t>
      </w:r>
      <w:r w:rsidR="00554F5A" w:rsidRPr="007C4D65">
        <w:rPr>
          <w:rFonts w:asciiTheme="minorHAnsi" w:hAnsiTheme="minorHAnsi"/>
        </w:rPr>
        <w:t>A</w:t>
      </w:r>
      <w:proofErr w:type="gramEnd"/>
      <w:r w:rsidR="00554F5A" w:rsidRPr="007C4D65">
        <w:rPr>
          <w:rFonts w:asciiTheme="minorHAnsi" w:hAnsiTheme="minorHAnsi"/>
        </w:rPr>
        <w:t xml:space="preserve"> detailed overview of measures </w:t>
      </w:r>
      <w:r w:rsidR="00CD3D80" w:rsidRPr="007C4D65">
        <w:rPr>
          <w:rFonts w:asciiTheme="minorHAnsi" w:hAnsiTheme="minorHAnsi"/>
        </w:rPr>
        <w:t>for</w:t>
      </w:r>
      <w:r w:rsidR="00554F5A" w:rsidRPr="007C4D65">
        <w:rPr>
          <w:rFonts w:asciiTheme="minorHAnsi" w:hAnsiTheme="minorHAnsi"/>
        </w:rPr>
        <w:t xml:space="preserve"> </w:t>
      </w:r>
      <w:r w:rsidR="007934C2" w:rsidRPr="007C4D65">
        <w:rPr>
          <w:rFonts w:asciiTheme="minorHAnsi" w:hAnsiTheme="minorHAnsi"/>
        </w:rPr>
        <w:t>Sustainable resource management</w:t>
      </w:r>
      <w:bookmarkEnd w:id="314"/>
    </w:p>
    <w:tbl>
      <w:tblPr>
        <w:tblW w:w="480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833"/>
        <w:gridCol w:w="2780"/>
        <w:gridCol w:w="3394"/>
        <w:gridCol w:w="3397"/>
      </w:tblGrid>
      <w:tr w:rsidR="0059116C" w:rsidRPr="007C4D65" w14:paraId="43AFBFE6"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615EFC3" w14:textId="3ACCA724"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29BF26A" w14:textId="56B208E0"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0E92D87C"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861A9E7"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5BFEA78" w14:textId="66B24990"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6.1. </w:t>
            </w:r>
            <w:r w:rsidR="00DF4EC7" w:rsidRPr="007C4D65">
              <w:rPr>
                <w:rFonts w:asciiTheme="minorHAnsi" w:hAnsiTheme="minorHAnsi" w:cstheme="minorHAnsi"/>
                <w:b/>
                <w:bCs/>
                <w:sz w:val="18"/>
                <w:szCs w:val="18"/>
              </w:rPr>
              <w:t>Establish an effective legal, strategic and institutional framework for sustainable forest and forest resources management in the Federation of BiH, appropriate valuation of forest resources, and ensure integration of gender and climate change issues</w:t>
            </w:r>
          </w:p>
        </w:tc>
      </w:tr>
      <w:tr w:rsidR="0059116C" w:rsidRPr="007C4D65" w14:paraId="4A038B9B"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287CD3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ED7707F" w14:textId="77777777" w:rsidR="0059116C" w:rsidRPr="007C4D65" w:rsidRDefault="0059116C" w:rsidP="00B6017F">
            <w:pPr>
              <w:spacing w:before="40" w:after="40" w:line="276" w:lineRule="auto"/>
              <w:rPr>
                <w:rFonts w:asciiTheme="minorHAnsi" w:eastAsia="Calibri" w:hAnsiTheme="minorHAnsi" w:cstheme="minorHAnsi"/>
                <w:b/>
                <w:bCs/>
                <w:sz w:val="18"/>
                <w:szCs w:val="18"/>
              </w:rPr>
            </w:pPr>
            <w:r w:rsidRPr="007C4D65">
              <w:rPr>
                <w:rFonts w:asciiTheme="minorHAnsi" w:hAnsiTheme="minorHAnsi" w:cstheme="minorHAnsi"/>
                <w:b/>
                <w:bCs/>
                <w:sz w:val="18"/>
                <w:szCs w:val="18"/>
              </w:rPr>
              <w:t>6.1.1 Establishing strategic and legal framework for sustainable management of forest resources</w:t>
            </w:r>
          </w:p>
        </w:tc>
      </w:tr>
      <w:tr w:rsidR="0059116C" w:rsidRPr="007C4D65" w14:paraId="2FF6107E" w14:textId="77777777" w:rsidTr="00B6017F">
        <w:trPr>
          <w:trHeight w:val="274"/>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50FA07D"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38C9375" w14:textId="78407590"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This measure aims to create strategic and legal framework for sustainable management of forest resources based on the principles of multi-functionality and protection of biodiversity of forest ecosystems, to be applicable to private and </w:t>
            </w:r>
            <w:proofErr w:type="gramStart"/>
            <w:r w:rsidRPr="007C4D65">
              <w:rPr>
                <w:rFonts w:asciiTheme="minorHAnsi" w:hAnsiTheme="minorHAnsi" w:cstheme="minorHAnsi"/>
                <w:sz w:val="18"/>
                <w:szCs w:val="18"/>
              </w:rPr>
              <w:t>state owned</w:t>
            </w:r>
            <w:proofErr w:type="gramEnd"/>
            <w:r w:rsidRPr="007C4D65">
              <w:rPr>
                <w:rFonts w:asciiTheme="minorHAnsi" w:hAnsiTheme="minorHAnsi" w:cstheme="minorHAnsi"/>
                <w:sz w:val="18"/>
                <w:szCs w:val="18"/>
              </w:rPr>
              <w:t xml:space="preserve"> forests.</w:t>
            </w:r>
          </w:p>
          <w:p w14:paraId="0301C440"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Achieving this goal includes a range of legislative, planning and institutional measures:</w:t>
            </w:r>
          </w:p>
          <w:p w14:paraId="75D28F6F" w14:textId="4A11D36F" w:rsidR="0059116C" w:rsidRPr="007C4D65" w:rsidRDefault="0059116C">
            <w:pPr>
              <w:numPr>
                <w:ilvl w:val="0"/>
                <w:numId w:val="67"/>
              </w:numPr>
              <w:spacing w:line="276" w:lineRule="auto"/>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Adopting the Proposal of the Law on Forests - which is in the parliamentary </w:t>
            </w:r>
            <w:proofErr w:type="gramStart"/>
            <w:r w:rsidRPr="007C4D65">
              <w:rPr>
                <w:rFonts w:asciiTheme="minorHAnsi" w:hAnsiTheme="minorHAnsi" w:cstheme="minorHAnsi"/>
                <w:sz w:val="18"/>
                <w:szCs w:val="18"/>
              </w:rPr>
              <w:t>procedure</w:t>
            </w:r>
            <w:r w:rsidR="005452A5" w:rsidRPr="007C4D65">
              <w:rPr>
                <w:rFonts w:asciiTheme="minorHAnsi" w:eastAsiaTheme="minorHAnsi" w:hAnsiTheme="minorHAnsi" w:cstheme="minorHAnsi"/>
                <w:sz w:val="18"/>
                <w:szCs w:val="18"/>
              </w:rPr>
              <w:t>;</w:t>
            </w:r>
            <w:proofErr w:type="gramEnd"/>
          </w:p>
          <w:p w14:paraId="29D57A68" w14:textId="28E92A82" w:rsidR="0059116C" w:rsidRPr="007C4D65" w:rsidRDefault="0059116C">
            <w:pPr>
              <w:numPr>
                <w:ilvl w:val="0"/>
                <w:numId w:val="67"/>
              </w:numPr>
              <w:spacing w:line="276" w:lineRule="auto"/>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Development and adoption of amendments to the Law on Forests with the aim of further alignment of the Law with international conventions and EU </w:t>
            </w:r>
            <w:proofErr w:type="gramStart"/>
            <w:r w:rsidRPr="007C4D65">
              <w:rPr>
                <w:rFonts w:asciiTheme="minorHAnsi" w:hAnsiTheme="minorHAnsi" w:cstheme="minorHAnsi"/>
                <w:sz w:val="18"/>
                <w:szCs w:val="18"/>
              </w:rPr>
              <w:t>directives</w:t>
            </w:r>
            <w:r w:rsidR="005452A5" w:rsidRPr="007C4D65">
              <w:rPr>
                <w:rFonts w:asciiTheme="minorHAnsi" w:hAnsiTheme="minorHAnsi" w:cstheme="minorHAnsi"/>
                <w:sz w:val="18"/>
                <w:szCs w:val="18"/>
              </w:rPr>
              <w:t>;</w:t>
            </w:r>
            <w:proofErr w:type="gramEnd"/>
          </w:p>
          <w:p w14:paraId="7DC5B388" w14:textId="5921B422" w:rsidR="0059116C" w:rsidRPr="007C4D65" w:rsidRDefault="0059116C">
            <w:pPr>
              <w:numPr>
                <w:ilvl w:val="0"/>
                <w:numId w:val="67"/>
              </w:numPr>
              <w:spacing w:line="276" w:lineRule="auto"/>
              <w:contextualSpacing/>
              <w:rPr>
                <w:rFonts w:asciiTheme="minorHAnsi" w:eastAsiaTheme="minorHAnsi" w:hAnsiTheme="minorHAnsi" w:cstheme="minorHAnsi"/>
                <w:sz w:val="18"/>
                <w:szCs w:val="18"/>
              </w:rPr>
            </w:pPr>
            <w:r w:rsidRPr="007C4D65">
              <w:rPr>
                <w:rFonts w:asciiTheme="minorHAnsi" w:hAnsiTheme="minorHAnsi" w:cstheme="minorHAnsi"/>
                <w:color w:val="000000" w:themeColor="text1"/>
                <w:sz w:val="18"/>
                <w:szCs w:val="18"/>
              </w:rPr>
              <w:t xml:space="preserve">Adoption of bylaws specifying the content and method of developing forest management plans for privately and state-owned forests, scope and methodology of monitoring health status of forests, monitoring indicators of sustainable use of forests and reporting, issuing licenses for pickers of non-timber forest </w:t>
            </w:r>
            <w:proofErr w:type="gramStart"/>
            <w:r w:rsidRPr="007C4D65">
              <w:rPr>
                <w:rFonts w:asciiTheme="minorHAnsi" w:hAnsiTheme="minorHAnsi" w:cstheme="minorHAnsi"/>
                <w:color w:val="000000" w:themeColor="text1"/>
                <w:sz w:val="18"/>
                <w:szCs w:val="18"/>
              </w:rPr>
              <w:t>products</w:t>
            </w:r>
            <w:r w:rsidR="005452A5" w:rsidRPr="007C4D65">
              <w:rPr>
                <w:rFonts w:asciiTheme="minorHAnsi" w:eastAsiaTheme="minorHAnsi" w:hAnsiTheme="minorHAnsi" w:cstheme="minorHAnsi"/>
                <w:sz w:val="18"/>
                <w:szCs w:val="18"/>
              </w:rPr>
              <w:t>;</w:t>
            </w:r>
            <w:proofErr w:type="gramEnd"/>
          </w:p>
          <w:p w14:paraId="24855AC0" w14:textId="7D086F4A" w:rsidR="0059116C" w:rsidRPr="007C4D65" w:rsidRDefault="0059116C">
            <w:pPr>
              <w:numPr>
                <w:ilvl w:val="0"/>
                <w:numId w:val="67"/>
              </w:numPr>
              <w:spacing w:line="276" w:lineRule="auto"/>
              <w:contextualSpacing/>
              <w:rPr>
                <w:rFonts w:asciiTheme="minorHAnsi" w:eastAsiaTheme="minorHAnsi" w:hAnsiTheme="minorHAnsi" w:cstheme="minorHAnsi"/>
                <w:sz w:val="18"/>
                <w:szCs w:val="18"/>
              </w:rPr>
            </w:pPr>
            <w:r w:rsidRPr="007C4D65">
              <w:rPr>
                <w:rFonts w:asciiTheme="minorHAnsi" w:hAnsiTheme="minorHAnsi" w:cstheme="minorHAnsi"/>
                <w:color w:val="000000" w:themeColor="text1"/>
                <w:sz w:val="18"/>
                <w:szCs w:val="18"/>
              </w:rPr>
              <w:t>Identification of principles and criteria for sustainable forest management, which will be sensitive to the social inequality issues, in line with the EU Forest Strategy (</w:t>
            </w:r>
            <w:proofErr w:type="gramStart"/>
            <w:r w:rsidRPr="007C4D65">
              <w:rPr>
                <w:rFonts w:asciiTheme="minorHAnsi" w:hAnsiTheme="minorHAnsi" w:cstheme="minorHAnsi"/>
                <w:color w:val="000000" w:themeColor="text1"/>
                <w:sz w:val="18"/>
                <w:szCs w:val="18"/>
              </w:rPr>
              <w:t>COM(</w:t>
            </w:r>
            <w:proofErr w:type="gramEnd"/>
            <w:r w:rsidRPr="007C4D65">
              <w:rPr>
                <w:rFonts w:asciiTheme="minorHAnsi" w:hAnsiTheme="minorHAnsi" w:cstheme="minorHAnsi"/>
                <w:color w:val="000000" w:themeColor="text1"/>
                <w:sz w:val="18"/>
                <w:szCs w:val="18"/>
              </w:rPr>
              <w:t xml:space="preserve">2021)572), as the European reference framework for development of sector policies that impact forests, and European Green Deal, the Road Map. Criteria and principles need to be harmonized among entities and </w:t>
            </w:r>
            <w:r w:rsidR="00295360" w:rsidRPr="007C4D65">
              <w:rPr>
                <w:rFonts w:asciiTheme="minorHAnsi" w:hAnsiTheme="minorHAnsi" w:cstheme="minorHAnsi"/>
                <w:color w:val="000000" w:themeColor="text1"/>
                <w:sz w:val="18"/>
                <w:szCs w:val="18"/>
              </w:rPr>
              <w:t>Brcko</w:t>
            </w:r>
            <w:r w:rsidRPr="007C4D65">
              <w:rPr>
                <w:rFonts w:asciiTheme="minorHAnsi" w:hAnsiTheme="minorHAnsi" w:cstheme="minorHAnsi"/>
                <w:color w:val="000000" w:themeColor="text1"/>
                <w:sz w:val="18"/>
                <w:szCs w:val="18"/>
              </w:rPr>
              <w:t xml:space="preserve"> district of </w:t>
            </w:r>
            <w:proofErr w:type="gramStart"/>
            <w:r w:rsidRPr="007C4D65">
              <w:rPr>
                <w:rFonts w:asciiTheme="minorHAnsi" w:hAnsiTheme="minorHAnsi" w:cstheme="minorHAnsi"/>
                <w:color w:val="000000" w:themeColor="text1"/>
                <w:sz w:val="18"/>
                <w:szCs w:val="18"/>
              </w:rPr>
              <w:t>BiH</w:t>
            </w:r>
            <w:r w:rsidR="005452A5" w:rsidRPr="007C4D65">
              <w:rPr>
                <w:rFonts w:asciiTheme="minorHAnsi" w:eastAsiaTheme="minorHAnsi" w:hAnsiTheme="minorHAnsi" w:cstheme="minorHAnsi"/>
                <w:sz w:val="18"/>
                <w:szCs w:val="18"/>
              </w:rPr>
              <w:t>;</w:t>
            </w:r>
            <w:proofErr w:type="gramEnd"/>
          </w:p>
          <w:p w14:paraId="2AF7326C" w14:textId="47A25C26" w:rsidR="0059116C" w:rsidRPr="007C4D65" w:rsidRDefault="0059116C">
            <w:pPr>
              <w:numPr>
                <w:ilvl w:val="0"/>
                <w:numId w:val="67"/>
              </w:numPr>
              <w:spacing w:line="276" w:lineRule="auto"/>
              <w:contextualSpacing/>
              <w:rPr>
                <w:rFonts w:asciiTheme="minorHAnsi" w:eastAsiaTheme="minorHAnsi" w:hAnsiTheme="minorHAnsi" w:cstheme="minorHAnsi"/>
                <w:sz w:val="18"/>
                <w:szCs w:val="18"/>
              </w:rPr>
            </w:pPr>
            <w:r w:rsidRPr="007C4D65">
              <w:rPr>
                <w:rFonts w:asciiTheme="minorHAnsi" w:hAnsiTheme="minorHAnsi" w:cstheme="minorHAnsi"/>
                <w:color w:val="000000" w:themeColor="text1"/>
                <w:sz w:val="18"/>
                <w:szCs w:val="18"/>
              </w:rPr>
              <w:t>Adoption of Forestry Programme of Federation of BiH and adoption of the Executive Part of the Forestry Programme of Federation of BiH (strategic documents</w:t>
            </w:r>
            <w:proofErr w:type="gramStart"/>
            <w:r w:rsidRPr="007C4D65">
              <w:rPr>
                <w:rFonts w:asciiTheme="minorHAnsi" w:hAnsiTheme="minorHAnsi" w:cstheme="minorHAnsi"/>
                <w:color w:val="000000" w:themeColor="text1"/>
                <w:sz w:val="18"/>
                <w:szCs w:val="18"/>
              </w:rPr>
              <w:t>)</w:t>
            </w:r>
            <w:r w:rsidR="005452A5" w:rsidRPr="007C4D65">
              <w:rPr>
                <w:rFonts w:asciiTheme="minorHAnsi" w:hAnsiTheme="minorHAnsi" w:cstheme="minorHAnsi"/>
                <w:color w:val="000000" w:themeColor="text1"/>
                <w:sz w:val="18"/>
                <w:szCs w:val="18"/>
              </w:rPr>
              <w:t>;</w:t>
            </w:r>
            <w:proofErr w:type="gramEnd"/>
          </w:p>
          <w:p w14:paraId="68561553" w14:textId="71F0065A" w:rsidR="0059116C" w:rsidRPr="007C4D65" w:rsidRDefault="0059116C">
            <w:pPr>
              <w:numPr>
                <w:ilvl w:val="0"/>
                <w:numId w:val="67"/>
              </w:numPr>
              <w:spacing w:line="276" w:lineRule="auto"/>
              <w:contextualSpacing/>
              <w:rPr>
                <w:rFonts w:asciiTheme="minorHAnsi" w:eastAsiaTheme="minorHAnsi" w:hAnsiTheme="minorHAnsi" w:cstheme="minorHAnsi"/>
                <w:sz w:val="18"/>
                <w:szCs w:val="18"/>
              </w:rPr>
            </w:pPr>
            <w:r w:rsidRPr="007C4D65">
              <w:rPr>
                <w:rFonts w:asciiTheme="minorHAnsi" w:hAnsiTheme="minorHAnsi" w:cstheme="minorHAnsi"/>
                <w:color w:val="000000" w:themeColor="text1"/>
                <w:sz w:val="18"/>
                <w:szCs w:val="18"/>
              </w:rPr>
              <w:t xml:space="preserve">Definition of standard methodology for development of forest management plans, while at the same time recognizing planning for other functions of forests, planning the use of bio-mass and non-timber forest products, as well as the protective role of </w:t>
            </w:r>
            <w:proofErr w:type="gramStart"/>
            <w:r w:rsidRPr="007C4D65">
              <w:rPr>
                <w:rFonts w:asciiTheme="minorHAnsi" w:hAnsiTheme="minorHAnsi" w:cstheme="minorHAnsi"/>
                <w:color w:val="000000" w:themeColor="text1"/>
                <w:sz w:val="18"/>
                <w:szCs w:val="18"/>
              </w:rPr>
              <w:t>forests</w:t>
            </w:r>
            <w:r w:rsidR="005452A5" w:rsidRPr="007C4D65">
              <w:rPr>
                <w:rFonts w:asciiTheme="minorHAnsi" w:eastAsiaTheme="minorHAnsi" w:hAnsiTheme="minorHAnsi" w:cstheme="minorHAnsi"/>
                <w:sz w:val="18"/>
                <w:szCs w:val="18"/>
              </w:rPr>
              <w:t>;</w:t>
            </w:r>
            <w:proofErr w:type="gramEnd"/>
          </w:p>
          <w:p w14:paraId="497D04EB" w14:textId="11EB6E04" w:rsidR="0059116C" w:rsidRPr="007C4D65" w:rsidRDefault="0059116C">
            <w:pPr>
              <w:numPr>
                <w:ilvl w:val="0"/>
                <w:numId w:val="67"/>
              </w:numPr>
              <w:spacing w:line="276" w:lineRule="auto"/>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Training the employees to use new methodology when developing forest management plans, and when implementing them and monitoring the performance of the forest management </w:t>
            </w:r>
            <w:proofErr w:type="gramStart"/>
            <w:r w:rsidRPr="007C4D65">
              <w:rPr>
                <w:rFonts w:asciiTheme="minorHAnsi" w:hAnsiTheme="minorHAnsi" w:cstheme="minorHAnsi"/>
                <w:sz w:val="18"/>
                <w:szCs w:val="18"/>
              </w:rPr>
              <w:t>activities</w:t>
            </w:r>
            <w:r w:rsidR="005452A5" w:rsidRPr="007C4D65">
              <w:rPr>
                <w:rFonts w:asciiTheme="minorHAnsi" w:eastAsiaTheme="minorHAnsi" w:hAnsiTheme="minorHAnsi" w:cstheme="minorHAnsi"/>
                <w:sz w:val="18"/>
                <w:szCs w:val="18"/>
              </w:rPr>
              <w:t>;</w:t>
            </w:r>
            <w:proofErr w:type="gramEnd"/>
          </w:p>
          <w:p w14:paraId="5C327732" w14:textId="5EFD17DE" w:rsidR="0059116C" w:rsidRPr="007C4D65" w:rsidRDefault="0059116C">
            <w:pPr>
              <w:numPr>
                <w:ilvl w:val="0"/>
                <w:numId w:val="67"/>
              </w:numPr>
              <w:spacing w:line="276" w:lineRule="auto"/>
              <w:contextualSpacing/>
              <w:rPr>
                <w:rFonts w:asciiTheme="minorHAnsi" w:eastAsiaTheme="minorHAnsi" w:hAnsiTheme="minorHAnsi" w:cstheme="minorHAnsi"/>
                <w:sz w:val="18"/>
                <w:szCs w:val="18"/>
              </w:rPr>
            </w:pPr>
            <w:r w:rsidRPr="007C4D65">
              <w:rPr>
                <w:rFonts w:asciiTheme="minorHAnsi" w:hAnsiTheme="minorHAnsi" w:cstheme="minorHAnsi"/>
                <w:color w:val="000000" w:themeColor="text1"/>
                <w:sz w:val="18"/>
                <w:szCs w:val="18"/>
              </w:rPr>
              <w:lastRenderedPageBreak/>
              <w:t xml:space="preserve">Demonstrating the use of the new methodology in at least 2 pilot forest </w:t>
            </w:r>
            <w:proofErr w:type="gramStart"/>
            <w:r w:rsidRPr="007C4D65">
              <w:rPr>
                <w:rFonts w:asciiTheme="minorHAnsi" w:hAnsiTheme="minorHAnsi" w:cstheme="minorHAnsi"/>
                <w:color w:val="000000" w:themeColor="text1"/>
                <w:sz w:val="18"/>
                <w:szCs w:val="18"/>
              </w:rPr>
              <w:t>areas</w:t>
            </w:r>
            <w:r w:rsidR="005452A5" w:rsidRPr="007C4D65">
              <w:rPr>
                <w:rFonts w:asciiTheme="minorHAnsi" w:eastAsiaTheme="minorHAnsi" w:hAnsiTheme="minorHAnsi" w:cstheme="minorHAnsi"/>
                <w:sz w:val="18"/>
                <w:szCs w:val="18"/>
              </w:rPr>
              <w:t>;</w:t>
            </w:r>
            <w:proofErr w:type="gramEnd"/>
          </w:p>
          <w:p w14:paraId="1713B27A" w14:textId="2E899A28" w:rsidR="0059116C" w:rsidRPr="007C4D65" w:rsidRDefault="0059116C">
            <w:pPr>
              <w:numPr>
                <w:ilvl w:val="0"/>
                <w:numId w:val="67"/>
              </w:numPr>
              <w:spacing w:line="276" w:lineRule="auto"/>
              <w:contextualSpacing/>
              <w:rPr>
                <w:rFonts w:asciiTheme="minorHAnsi" w:eastAsiaTheme="minorHAnsi" w:hAnsiTheme="minorHAnsi" w:cstheme="minorHAnsi"/>
                <w:sz w:val="18"/>
                <w:szCs w:val="18"/>
              </w:rPr>
            </w:pPr>
            <w:r w:rsidRPr="007C4D65">
              <w:rPr>
                <w:rFonts w:asciiTheme="minorHAnsi" w:hAnsiTheme="minorHAnsi" w:cstheme="minorHAnsi"/>
                <w:color w:val="000000" w:themeColor="text1"/>
                <w:sz w:val="18"/>
                <w:szCs w:val="18"/>
              </w:rPr>
              <w:t xml:space="preserve">Successive development of FMP in accordance with standard methodology for all forest </w:t>
            </w:r>
            <w:proofErr w:type="gramStart"/>
            <w:r w:rsidRPr="007C4D65">
              <w:rPr>
                <w:rFonts w:asciiTheme="minorHAnsi" w:hAnsiTheme="minorHAnsi" w:cstheme="minorHAnsi"/>
                <w:color w:val="000000" w:themeColor="text1"/>
                <w:sz w:val="18"/>
                <w:szCs w:val="18"/>
              </w:rPr>
              <w:t>areas</w:t>
            </w:r>
            <w:r w:rsidR="005452A5" w:rsidRPr="007C4D65">
              <w:rPr>
                <w:rFonts w:asciiTheme="minorHAnsi" w:eastAsiaTheme="minorHAnsi" w:hAnsiTheme="minorHAnsi" w:cstheme="minorHAnsi"/>
                <w:sz w:val="18"/>
                <w:szCs w:val="18"/>
              </w:rPr>
              <w:t>;</w:t>
            </w:r>
            <w:proofErr w:type="gramEnd"/>
          </w:p>
          <w:p w14:paraId="69B2A8B7" w14:textId="6FEBC9B1" w:rsidR="0059116C" w:rsidRPr="007C4D65" w:rsidRDefault="0059116C">
            <w:pPr>
              <w:numPr>
                <w:ilvl w:val="0"/>
                <w:numId w:val="67"/>
              </w:numPr>
              <w:spacing w:line="276" w:lineRule="auto"/>
              <w:contextualSpacing/>
              <w:rPr>
                <w:rFonts w:asciiTheme="minorHAnsi" w:eastAsiaTheme="minorHAnsi" w:hAnsiTheme="minorHAnsi" w:cstheme="minorHAnsi"/>
                <w:sz w:val="18"/>
                <w:szCs w:val="18"/>
              </w:rPr>
            </w:pPr>
            <w:r w:rsidRPr="007C4D65">
              <w:rPr>
                <w:rFonts w:asciiTheme="minorHAnsi" w:hAnsiTheme="minorHAnsi" w:cstheme="minorHAnsi"/>
                <w:color w:val="000000" w:themeColor="text1"/>
                <w:sz w:val="18"/>
                <w:szCs w:val="18"/>
              </w:rPr>
              <w:t xml:space="preserve">Development of models for admeasuring and developing private forests, but also for management of private </w:t>
            </w:r>
            <w:proofErr w:type="gramStart"/>
            <w:r w:rsidRPr="007C4D65">
              <w:rPr>
                <w:rFonts w:asciiTheme="minorHAnsi" w:hAnsiTheme="minorHAnsi" w:cstheme="minorHAnsi"/>
                <w:color w:val="000000" w:themeColor="text1"/>
                <w:sz w:val="18"/>
                <w:szCs w:val="18"/>
              </w:rPr>
              <w:t>forests</w:t>
            </w:r>
            <w:r w:rsidR="005452A5" w:rsidRPr="007C4D65">
              <w:rPr>
                <w:rFonts w:asciiTheme="minorHAnsi" w:hAnsiTheme="minorHAnsi" w:cstheme="minorHAnsi"/>
                <w:color w:val="000000" w:themeColor="text1"/>
                <w:sz w:val="18"/>
                <w:szCs w:val="18"/>
              </w:rPr>
              <w:t>;</w:t>
            </w:r>
            <w:proofErr w:type="gramEnd"/>
          </w:p>
          <w:p w14:paraId="05FF6FBE" w14:textId="43A59159" w:rsidR="0059116C" w:rsidRPr="007C4D65" w:rsidRDefault="0059116C">
            <w:pPr>
              <w:numPr>
                <w:ilvl w:val="0"/>
                <w:numId w:val="67"/>
              </w:numPr>
              <w:spacing w:line="276" w:lineRule="auto"/>
              <w:contextualSpacing/>
              <w:rPr>
                <w:rFonts w:asciiTheme="minorHAnsi" w:eastAsiaTheme="minorHAnsi" w:hAnsiTheme="minorHAnsi" w:cstheme="minorHAnsi"/>
                <w:sz w:val="18"/>
                <w:szCs w:val="18"/>
              </w:rPr>
            </w:pPr>
            <w:r w:rsidRPr="007C4D65">
              <w:rPr>
                <w:rFonts w:asciiTheme="minorHAnsi" w:hAnsiTheme="minorHAnsi" w:cstheme="minorHAnsi"/>
                <w:color w:val="000000" w:themeColor="text1"/>
                <w:sz w:val="18"/>
                <w:szCs w:val="18"/>
              </w:rPr>
              <w:t xml:space="preserve">Training of private forest owners on the new methods of forest </w:t>
            </w:r>
            <w:proofErr w:type="gramStart"/>
            <w:r w:rsidRPr="007C4D65">
              <w:rPr>
                <w:rFonts w:asciiTheme="minorHAnsi" w:hAnsiTheme="minorHAnsi" w:cstheme="minorHAnsi"/>
                <w:color w:val="000000" w:themeColor="text1"/>
                <w:sz w:val="18"/>
                <w:szCs w:val="18"/>
              </w:rPr>
              <w:t>management</w:t>
            </w:r>
            <w:r w:rsidR="005452A5" w:rsidRPr="007C4D65">
              <w:rPr>
                <w:rFonts w:asciiTheme="minorHAnsi" w:eastAsiaTheme="minorHAnsi" w:hAnsiTheme="minorHAnsi" w:cstheme="minorHAnsi"/>
                <w:sz w:val="18"/>
                <w:szCs w:val="18"/>
              </w:rPr>
              <w:t>;</w:t>
            </w:r>
            <w:proofErr w:type="gramEnd"/>
          </w:p>
          <w:p w14:paraId="336E77C8" w14:textId="341C48E0" w:rsidR="0059116C" w:rsidRPr="007C4D65" w:rsidRDefault="0059116C">
            <w:pPr>
              <w:numPr>
                <w:ilvl w:val="0"/>
                <w:numId w:val="67"/>
              </w:numPr>
              <w:spacing w:line="276" w:lineRule="auto"/>
              <w:contextualSpacing/>
              <w:rPr>
                <w:rFonts w:asciiTheme="minorHAnsi" w:eastAsiaTheme="minorHAnsi" w:hAnsiTheme="minorHAnsi" w:cstheme="minorHAnsi"/>
                <w:sz w:val="18"/>
                <w:szCs w:val="18"/>
              </w:rPr>
            </w:pPr>
            <w:r w:rsidRPr="007C4D65">
              <w:rPr>
                <w:rFonts w:asciiTheme="minorHAnsi" w:hAnsiTheme="minorHAnsi" w:cstheme="minorHAnsi"/>
                <w:color w:val="000000" w:themeColor="text1"/>
                <w:sz w:val="18"/>
                <w:szCs w:val="18"/>
              </w:rPr>
              <w:t>Development of management plans for privately owned forests</w:t>
            </w:r>
            <w:r w:rsidR="00A970D9" w:rsidRPr="007C4D65">
              <w:rPr>
                <w:rFonts w:asciiTheme="minorHAnsi" w:hAnsiTheme="minorHAnsi" w:cstheme="minorHAnsi"/>
                <w:color w:val="000000" w:themeColor="text1"/>
                <w:sz w:val="18"/>
                <w:szCs w:val="18"/>
              </w:rPr>
              <w:t>.</w:t>
            </w:r>
          </w:p>
        </w:tc>
      </w:tr>
      <w:tr w:rsidR="0059116C" w:rsidRPr="007C4D65" w14:paraId="18203F32"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DE38DA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Strategic projects</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DBD7436"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03CC492D" w14:textId="77777777" w:rsidTr="00B6017F">
        <w:trPr>
          <w:trHeight w:val="567"/>
          <w:jc w:val="center"/>
        </w:trPr>
        <w:tc>
          <w:tcPr>
            <w:tcW w:w="1430" w:type="pct"/>
            <w:vMerge w:val="restart"/>
            <w:tcBorders>
              <w:top w:val="single" w:sz="4" w:space="0" w:color="A6A6A6"/>
              <w:left w:val="single" w:sz="4" w:space="0" w:color="A6A6A6"/>
              <w:right w:val="single" w:sz="4" w:space="0" w:color="A6A6A6"/>
            </w:tcBorders>
            <w:shd w:val="clear" w:color="auto" w:fill="009D73"/>
            <w:vAlign w:val="center"/>
          </w:tcPr>
          <w:p w14:paraId="28251325"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Indicators for monitoring of results of measures</w:t>
            </w:r>
          </w:p>
        </w:tc>
        <w:tc>
          <w:tcPr>
            <w:tcW w:w="103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15C2BD6"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380A8FD4" w14:textId="57C6D58E"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83C7EC0"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13D75136"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65346B4"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5E03E761" w14:textId="77777777" w:rsidTr="00B6017F">
        <w:trPr>
          <w:trHeight w:val="567"/>
          <w:jc w:val="center"/>
        </w:trPr>
        <w:tc>
          <w:tcPr>
            <w:tcW w:w="1430" w:type="pct"/>
            <w:vMerge/>
            <w:tcBorders>
              <w:left w:val="single" w:sz="4" w:space="0" w:color="A6A6A6"/>
              <w:right w:val="single" w:sz="4" w:space="0" w:color="A6A6A6"/>
            </w:tcBorders>
            <w:shd w:val="clear" w:color="auto" w:fill="009D73"/>
            <w:vAlign w:val="center"/>
          </w:tcPr>
          <w:p w14:paraId="4F1FF865"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8892B9C"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Existence of Law on Forests </w:t>
            </w:r>
            <w:r w:rsidRPr="007C4D65">
              <w:rPr>
                <w:rFonts w:asciiTheme="minorHAnsi" w:hAnsiTheme="minorHAnsi" w:cstheme="minorHAnsi"/>
                <w:color w:val="000000" w:themeColor="text1"/>
                <w:sz w:val="18"/>
                <w:szCs w:val="18"/>
              </w:rPr>
              <w:t xml:space="preserve"> </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15ACF3E"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Federation of BiH does not have a law on forests</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3CD79FA"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By 2022, Federation of BiH adopted the Law on Forests </w:t>
            </w:r>
          </w:p>
          <w:p w14:paraId="2CCD60B6"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2023, Federation of BiH adopted amendments to the law on forests</w:t>
            </w:r>
          </w:p>
        </w:tc>
      </w:tr>
      <w:tr w:rsidR="0059116C" w:rsidRPr="007C4D65" w14:paraId="41881D82" w14:textId="77777777" w:rsidTr="00B6017F">
        <w:trPr>
          <w:trHeight w:val="567"/>
          <w:jc w:val="center"/>
        </w:trPr>
        <w:tc>
          <w:tcPr>
            <w:tcW w:w="1430" w:type="pct"/>
            <w:vMerge/>
            <w:tcBorders>
              <w:left w:val="single" w:sz="4" w:space="0" w:color="A6A6A6"/>
              <w:right w:val="single" w:sz="4" w:space="0" w:color="A6A6A6"/>
            </w:tcBorders>
            <w:shd w:val="clear" w:color="auto" w:fill="009D73"/>
            <w:vAlign w:val="center"/>
          </w:tcPr>
          <w:p w14:paraId="56D0561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183B91A"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secondary legislation (bylaws)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560E0E2"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sz w:val="18"/>
                <w:szCs w:val="18"/>
              </w:rPr>
              <w:t xml:space="preserve">Federation of BiH does not have in place the bylaws specifying the content and method of developing forest management plans for privately and state-owned forests based on principles of multi-functionality and protection of biodiversity, scope and methodology of monitoring health status of forests, monitoring indicators of sustainable use </w:t>
            </w:r>
            <w:proofErr w:type="gramStart"/>
            <w:r w:rsidRPr="007C4D65">
              <w:rPr>
                <w:rFonts w:asciiTheme="minorHAnsi" w:hAnsiTheme="minorHAnsi" w:cstheme="minorHAnsi"/>
                <w:sz w:val="18"/>
                <w:szCs w:val="18"/>
              </w:rPr>
              <w:t>of  forests</w:t>
            </w:r>
            <w:proofErr w:type="gramEnd"/>
            <w:r w:rsidRPr="007C4D65">
              <w:rPr>
                <w:rFonts w:asciiTheme="minorHAnsi" w:hAnsiTheme="minorHAnsi" w:cstheme="minorHAnsi"/>
                <w:sz w:val="18"/>
                <w:szCs w:val="18"/>
              </w:rPr>
              <w:t xml:space="preserve"> and reporting, issuing licenses for pickers of non-timber forest products</w:t>
            </w:r>
            <w:r w:rsidRPr="007C4D65">
              <w:rPr>
                <w:rFonts w:asciiTheme="minorHAnsi" w:hAnsiTheme="minorHAnsi" w:cstheme="minorHAnsi"/>
                <w:color w:val="000000" w:themeColor="text1"/>
                <w:sz w:val="18"/>
                <w:szCs w:val="18"/>
              </w:rPr>
              <w:t xml:space="preserve"> </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09FE7AF"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the end of 2023, secondary legislation adopted</w:t>
            </w:r>
          </w:p>
        </w:tc>
      </w:tr>
      <w:tr w:rsidR="0059116C" w:rsidRPr="007C4D65" w14:paraId="282C7A0D" w14:textId="77777777" w:rsidTr="00B6017F">
        <w:trPr>
          <w:trHeight w:val="567"/>
          <w:jc w:val="center"/>
        </w:trPr>
        <w:tc>
          <w:tcPr>
            <w:tcW w:w="1430" w:type="pct"/>
            <w:vMerge/>
            <w:tcBorders>
              <w:left w:val="single" w:sz="4" w:space="0" w:color="A6A6A6"/>
              <w:right w:val="single" w:sz="4" w:space="0" w:color="A6A6A6"/>
            </w:tcBorders>
            <w:shd w:val="clear" w:color="auto" w:fill="009D73"/>
            <w:vAlign w:val="center"/>
          </w:tcPr>
          <w:p w14:paraId="1DE0E4A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7B0F877"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principles and criteria of sustainable forest management</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B38DB9A"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Federation of BiH has not established principles and criteria of sustainable management, sensitive to social inequality issues, in line with the EU Forest Strategy, European Green Plan and Road Map</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F4D6BC7"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the end of 2023, adopted principles and criteria of sustainable forest management</w:t>
            </w:r>
          </w:p>
        </w:tc>
      </w:tr>
      <w:tr w:rsidR="0059116C" w:rsidRPr="007C4D65" w14:paraId="7CCE24CF" w14:textId="77777777" w:rsidTr="00B6017F">
        <w:trPr>
          <w:trHeight w:val="1889"/>
          <w:jc w:val="center"/>
        </w:trPr>
        <w:tc>
          <w:tcPr>
            <w:tcW w:w="1430" w:type="pct"/>
            <w:vMerge/>
            <w:tcBorders>
              <w:left w:val="single" w:sz="4" w:space="0" w:color="A6A6A6"/>
              <w:right w:val="single" w:sz="4" w:space="0" w:color="A6A6A6"/>
            </w:tcBorders>
            <w:shd w:val="clear" w:color="auto" w:fill="009D73"/>
            <w:vAlign w:val="center"/>
          </w:tcPr>
          <w:p w14:paraId="4D53068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7" w:type="pct"/>
            <w:tcBorders>
              <w:top w:val="single" w:sz="4" w:space="0" w:color="A6A6A6"/>
              <w:left w:val="single" w:sz="4" w:space="0" w:color="A6A6A6"/>
              <w:right w:val="single" w:sz="4" w:space="0" w:color="A6A6A6"/>
            </w:tcBorders>
            <w:shd w:val="clear" w:color="auto" w:fill="FFFFFF"/>
            <w:vAlign w:val="center"/>
          </w:tcPr>
          <w:p w14:paraId="052D9580" w14:textId="77777777" w:rsidR="0059116C" w:rsidRPr="007C4D65" w:rsidRDefault="0059116C" w:rsidP="00B6017F">
            <w:pPr>
              <w:spacing w:before="40" w:after="40" w:line="276" w:lineRule="auto"/>
              <w:rPr>
                <w:rFonts w:asciiTheme="minorHAnsi" w:eastAsiaTheme="minorHAnsi" w:hAnsiTheme="minorHAnsi" w:cstheme="minorHAnsi"/>
                <w:strike/>
                <w:color w:val="000000"/>
                <w:sz w:val="18"/>
                <w:szCs w:val="18"/>
              </w:rPr>
            </w:pPr>
            <w:r w:rsidRPr="007C4D65">
              <w:rPr>
                <w:rFonts w:asciiTheme="minorHAnsi" w:hAnsiTheme="minorHAnsi" w:cstheme="minorHAnsi"/>
                <w:sz w:val="18"/>
                <w:szCs w:val="18"/>
              </w:rPr>
              <w:t>Existence of Forestry Programme of the Federation of BiH and Executive Part of the Forestry Programme (documents defining long-term policy and strategy of development of forestry and hunting)</w:t>
            </w:r>
          </w:p>
        </w:tc>
        <w:tc>
          <w:tcPr>
            <w:tcW w:w="1266" w:type="pct"/>
            <w:tcBorders>
              <w:top w:val="single" w:sz="4" w:space="0" w:color="A6A6A6"/>
              <w:left w:val="single" w:sz="4" w:space="0" w:color="A6A6A6"/>
              <w:right w:val="single" w:sz="4" w:space="0" w:color="A6A6A6"/>
            </w:tcBorders>
            <w:shd w:val="clear" w:color="auto" w:fill="FFFFFF"/>
            <w:vAlign w:val="center"/>
          </w:tcPr>
          <w:p w14:paraId="40CD1509" w14:textId="77777777" w:rsidR="0059116C" w:rsidRPr="007C4D65" w:rsidRDefault="0059116C" w:rsidP="00B6017F">
            <w:pPr>
              <w:spacing w:before="40" w:after="40" w:line="276" w:lineRule="auto"/>
              <w:rPr>
                <w:rFonts w:asciiTheme="minorHAnsi" w:eastAsiaTheme="minorHAnsi" w:hAnsiTheme="minorHAnsi" w:cstheme="minorHAnsi"/>
                <w:strike/>
                <w:color w:val="000000" w:themeColor="text1"/>
                <w:sz w:val="18"/>
                <w:szCs w:val="18"/>
              </w:rPr>
            </w:pPr>
            <w:r w:rsidRPr="007C4D65">
              <w:rPr>
                <w:rFonts w:asciiTheme="minorHAnsi" w:hAnsiTheme="minorHAnsi" w:cstheme="minorHAnsi"/>
                <w:sz w:val="18"/>
                <w:szCs w:val="18"/>
              </w:rPr>
              <w:t>Federation of BiH has not adopted the Forestry programme and action plan</w:t>
            </w:r>
          </w:p>
        </w:tc>
        <w:tc>
          <w:tcPr>
            <w:tcW w:w="1267" w:type="pct"/>
            <w:tcBorders>
              <w:top w:val="single" w:sz="4" w:space="0" w:color="A6A6A6"/>
              <w:left w:val="single" w:sz="4" w:space="0" w:color="A6A6A6"/>
              <w:right w:val="single" w:sz="4" w:space="0" w:color="A6A6A6"/>
            </w:tcBorders>
            <w:shd w:val="clear" w:color="auto" w:fill="FFFFFF"/>
            <w:vAlign w:val="center"/>
          </w:tcPr>
          <w:p w14:paraId="16ACC354" w14:textId="3C248248" w:rsidR="0059116C" w:rsidRPr="007C4D65" w:rsidRDefault="0059116C" w:rsidP="00B6017F">
            <w:pPr>
              <w:spacing w:before="40" w:after="40" w:line="276" w:lineRule="auto"/>
              <w:rPr>
                <w:rFonts w:asciiTheme="minorHAnsi" w:eastAsiaTheme="minorHAnsi" w:hAnsiTheme="minorHAnsi" w:cstheme="minorHAnsi"/>
                <w:strike/>
                <w:sz w:val="18"/>
                <w:szCs w:val="18"/>
              </w:rPr>
            </w:pPr>
            <w:r w:rsidRPr="007C4D65">
              <w:rPr>
                <w:rFonts w:asciiTheme="minorHAnsi" w:hAnsiTheme="minorHAnsi" w:cstheme="minorHAnsi"/>
                <w:sz w:val="18"/>
                <w:szCs w:val="18"/>
              </w:rPr>
              <w:t>By the end of 2022, adopt Forestry Programme of the Federation of BiH; the Executive Part of Forestry Programme adopted by the end of 2024</w:t>
            </w:r>
          </w:p>
        </w:tc>
      </w:tr>
      <w:tr w:rsidR="0059116C" w:rsidRPr="007C4D65" w14:paraId="22BAAC96" w14:textId="77777777" w:rsidTr="00B6017F">
        <w:trPr>
          <w:trHeight w:val="567"/>
          <w:jc w:val="center"/>
        </w:trPr>
        <w:tc>
          <w:tcPr>
            <w:tcW w:w="1430" w:type="pct"/>
            <w:vMerge/>
            <w:tcBorders>
              <w:left w:val="single" w:sz="4" w:space="0" w:color="A6A6A6"/>
              <w:right w:val="single" w:sz="4" w:space="0" w:color="A6A6A6"/>
            </w:tcBorders>
            <w:shd w:val="clear" w:color="auto" w:fill="009D73"/>
            <w:vAlign w:val="center"/>
          </w:tcPr>
          <w:p w14:paraId="0B671B5A"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D9112CE"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sz w:val="18"/>
                <w:szCs w:val="18"/>
              </w:rPr>
              <w:t>Existence of standard methodology in development of forest management plans (FMP)</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18B2AC7" w14:textId="5FA6D3E1"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The existing methodology of developing FMPs does not recognize in full the planning of other forest functions, planning use of the biomass</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2F4C1C7"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color w:val="000000"/>
                <w:sz w:val="18"/>
                <w:szCs w:val="18"/>
              </w:rPr>
              <w:t>By the end of 2025, adopted standard methodology for developing FMP</w:t>
            </w:r>
          </w:p>
        </w:tc>
      </w:tr>
      <w:tr w:rsidR="0059116C" w:rsidRPr="007C4D65" w14:paraId="46E78E21" w14:textId="77777777" w:rsidTr="00B6017F">
        <w:trPr>
          <w:trHeight w:val="567"/>
          <w:jc w:val="center"/>
        </w:trPr>
        <w:tc>
          <w:tcPr>
            <w:tcW w:w="1430" w:type="pct"/>
            <w:vMerge/>
            <w:tcBorders>
              <w:left w:val="single" w:sz="4" w:space="0" w:color="A6A6A6"/>
              <w:right w:val="single" w:sz="4" w:space="0" w:color="A6A6A6"/>
            </w:tcBorders>
            <w:shd w:val="clear" w:color="auto" w:fill="009D73"/>
            <w:vAlign w:val="center"/>
          </w:tcPr>
          <w:p w14:paraId="6E7BC04B"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C8CFA3B"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Share of staff trained in use of the new methodologies for development of FMP, and FMP implementation and monitoring</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7685C02"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Staff in working on development of FMPs do not possess satisfactory level of knowledge and skills for planning for other functions of forests, planning the use of bio-mass and non-timber forest products, and the protective role of forests 0%,</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99EA9DF"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the end of 2025, 100% of staff completed the training programme in use of new methodology for FMP development, FMP implementation and monitoring</w:t>
            </w:r>
          </w:p>
        </w:tc>
      </w:tr>
      <w:tr w:rsidR="0059116C" w:rsidRPr="007C4D65" w14:paraId="4AEF9871" w14:textId="77777777" w:rsidTr="00B6017F">
        <w:trPr>
          <w:trHeight w:val="567"/>
          <w:jc w:val="center"/>
        </w:trPr>
        <w:tc>
          <w:tcPr>
            <w:tcW w:w="1430" w:type="pct"/>
            <w:vMerge/>
            <w:tcBorders>
              <w:left w:val="single" w:sz="4" w:space="0" w:color="A6A6A6"/>
              <w:right w:val="single" w:sz="4" w:space="0" w:color="A6A6A6"/>
            </w:tcBorders>
            <w:shd w:val="clear" w:color="auto" w:fill="009D73"/>
            <w:vAlign w:val="center"/>
          </w:tcPr>
          <w:p w14:paraId="3C4451B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3FFCF7F"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Number of areas where the new FMP methodology is used.</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7C7F1D6"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0</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C956926"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color w:val="000000" w:themeColor="text1"/>
                <w:sz w:val="18"/>
                <w:szCs w:val="18"/>
              </w:rPr>
              <w:t xml:space="preserve">2 pilot areas by the end of 2025 </w:t>
            </w:r>
          </w:p>
        </w:tc>
      </w:tr>
      <w:tr w:rsidR="0059116C" w:rsidRPr="007C4D65" w14:paraId="5F1B55FB" w14:textId="77777777" w:rsidTr="00B6017F">
        <w:trPr>
          <w:trHeight w:val="567"/>
          <w:jc w:val="center"/>
        </w:trPr>
        <w:tc>
          <w:tcPr>
            <w:tcW w:w="1430" w:type="pct"/>
            <w:vMerge/>
            <w:tcBorders>
              <w:left w:val="single" w:sz="4" w:space="0" w:color="A6A6A6"/>
              <w:right w:val="single" w:sz="4" w:space="0" w:color="A6A6A6"/>
            </w:tcBorders>
            <w:shd w:val="clear" w:color="auto" w:fill="009D73"/>
            <w:vAlign w:val="center"/>
          </w:tcPr>
          <w:p w14:paraId="64B8056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2B374BF"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sz w:val="18"/>
                <w:szCs w:val="18"/>
              </w:rPr>
              <w:t>Number of FMPs developed in accordance with the new standard methodology</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9926554"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0</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0462C39"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color w:val="000000" w:themeColor="text1"/>
                <w:sz w:val="18"/>
                <w:szCs w:val="18"/>
              </w:rPr>
              <w:t>Successively develop FMPs for all forest areas (100%)</w:t>
            </w:r>
          </w:p>
        </w:tc>
      </w:tr>
      <w:tr w:rsidR="0059116C" w:rsidRPr="007C4D65" w14:paraId="4F704CCE" w14:textId="77777777" w:rsidTr="00B6017F">
        <w:trPr>
          <w:trHeight w:val="567"/>
          <w:jc w:val="center"/>
        </w:trPr>
        <w:tc>
          <w:tcPr>
            <w:tcW w:w="1430" w:type="pct"/>
            <w:vMerge/>
            <w:tcBorders>
              <w:left w:val="single" w:sz="4" w:space="0" w:color="A6A6A6"/>
              <w:right w:val="single" w:sz="4" w:space="0" w:color="A6A6A6"/>
            </w:tcBorders>
            <w:shd w:val="clear" w:color="auto" w:fill="009D73"/>
            <w:vAlign w:val="center"/>
          </w:tcPr>
          <w:p w14:paraId="36BE5EC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0466436"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Percentage of private forest owners trained in the new methods of forest management</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77F51BE"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0%,</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A6FD5F8"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By 2028, complete training of private forest owners on the new ways of forest management</w:t>
            </w:r>
          </w:p>
        </w:tc>
      </w:tr>
      <w:tr w:rsidR="0059116C" w:rsidRPr="007C4D65" w14:paraId="713A0AFA"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23F602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priorities</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4580EBB"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Strengthening the system of strategic planning of natural resources Improving coordination among various levels of government by creating a coherent system, with strong inter-sectorial connections and good coordination, which is of essential importance for efficient management of natural resources</w:t>
            </w:r>
          </w:p>
        </w:tc>
      </w:tr>
      <w:tr w:rsidR="0059116C" w:rsidRPr="007C4D65" w14:paraId="56F5BF11"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AC3FA27"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B608236" w14:textId="77777777" w:rsidR="0059116C" w:rsidRPr="007C4D65" w:rsidRDefault="0059116C"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165,984</w:t>
            </w:r>
          </w:p>
          <w:p w14:paraId="30701581"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sz w:val="18"/>
                <w:szCs w:val="18"/>
              </w:rPr>
              <w:t>Source: 10% from the government budget, 90% from EU and other international donors</w:t>
            </w:r>
          </w:p>
        </w:tc>
      </w:tr>
      <w:tr w:rsidR="0059116C" w:rsidRPr="007C4D65" w14:paraId="586D5D1A"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CAFDAC6"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168B179" w14:textId="1E1B42C5"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2022‒2030</w:t>
            </w:r>
          </w:p>
        </w:tc>
      </w:tr>
      <w:tr w:rsidR="0059116C" w:rsidRPr="007C4D65" w14:paraId="5BA8C277"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69988E1"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Institution responsible for coordination and implementation of the measure</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B252927"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Federation of BiH Ministry of Agriculture, Forestry and Water Management</w:t>
            </w:r>
          </w:p>
        </w:tc>
      </w:tr>
      <w:tr w:rsidR="0059116C" w:rsidRPr="007C4D65" w14:paraId="4C43DE49"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4392E76"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Implementing institution</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0B85FE6" w14:textId="16DD45DA"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Parliament of the Federation of BiH, Government of the Federation of BiH, </w:t>
            </w:r>
            <w:r w:rsidR="00295360" w:rsidRPr="007C4D65">
              <w:rPr>
                <w:rFonts w:asciiTheme="minorHAnsi" w:hAnsiTheme="minorHAnsi" w:cstheme="minorHAnsi"/>
                <w:sz w:val="18"/>
                <w:szCs w:val="18"/>
              </w:rPr>
              <w:t>Federation Ministry of</w:t>
            </w:r>
            <w:r w:rsidRPr="007C4D65">
              <w:rPr>
                <w:rFonts w:asciiTheme="minorHAnsi" w:hAnsiTheme="minorHAnsi" w:cstheme="minorHAnsi"/>
                <w:sz w:val="18"/>
                <w:szCs w:val="18"/>
              </w:rPr>
              <w:t xml:space="preserve"> Agriculture, Water Management and Forestry and competent cantonal ministries</w:t>
            </w:r>
          </w:p>
        </w:tc>
      </w:tr>
      <w:tr w:rsidR="0059116C" w:rsidRPr="007C4D65" w14:paraId="5007A456"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2B3674A" w14:textId="58FE975B"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Target groups</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78E7ABF"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Competent Federation of BiH and cantonal ministries, cantonal forest management companies, forest users, private forest owners</w:t>
            </w:r>
          </w:p>
        </w:tc>
      </w:tr>
    </w:tbl>
    <w:p w14:paraId="503864DD" w14:textId="77777777" w:rsidR="0059116C" w:rsidRPr="007C4D65" w:rsidRDefault="0059116C" w:rsidP="0059116C">
      <w:pPr>
        <w:spacing w:line="276" w:lineRule="auto"/>
        <w:rPr>
          <w:rFonts w:asciiTheme="minorHAnsi" w:eastAsiaTheme="minorHAnsi" w:hAnsiTheme="minorHAnsi" w:cstheme="minorHAnsi"/>
          <w:sz w:val="18"/>
          <w:szCs w:val="18"/>
          <w:lang w:val="hr-HR" w:eastAsia="en-US"/>
        </w:rPr>
      </w:pPr>
    </w:p>
    <w:tbl>
      <w:tblPr>
        <w:tblW w:w="4802"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8"/>
        <w:gridCol w:w="2781"/>
        <w:gridCol w:w="3392"/>
        <w:gridCol w:w="3395"/>
      </w:tblGrid>
      <w:tr w:rsidR="0059116C" w:rsidRPr="007C4D65" w14:paraId="1DA0EE8B" w14:textId="77777777" w:rsidTr="00B6017F">
        <w:trPr>
          <w:trHeight w:val="567"/>
          <w:jc w:val="center"/>
        </w:trPr>
        <w:tc>
          <w:tcPr>
            <w:tcW w:w="1429" w:type="pct"/>
            <w:shd w:val="clear" w:color="auto" w:fill="009D73"/>
            <w:vAlign w:val="center"/>
          </w:tcPr>
          <w:p w14:paraId="1E824229" w14:textId="024EFEEA" w:rsidR="0059116C" w:rsidRPr="007C4D65" w:rsidRDefault="00963086" w:rsidP="00B6017F">
            <w:pPr>
              <w:spacing w:before="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71" w:type="pct"/>
            <w:gridSpan w:val="3"/>
            <w:shd w:val="clear" w:color="auto" w:fill="FFFFFF"/>
            <w:vAlign w:val="center"/>
          </w:tcPr>
          <w:p w14:paraId="0630EA80" w14:textId="59F42619"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0C832C14" w14:textId="77777777" w:rsidTr="00B6017F">
        <w:trPr>
          <w:trHeight w:val="567"/>
          <w:jc w:val="center"/>
        </w:trPr>
        <w:tc>
          <w:tcPr>
            <w:tcW w:w="1429" w:type="pct"/>
            <w:shd w:val="clear" w:color="auto" w:fill="009D73"/>
            <w:vAlign w:val="center"/>
          </w:tcPr>
          <w:p w14:paraId="41EC0D4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71" w:type="pct"/>
            <w:gridSpan w:val="3"/>
            <w:shd w:val="clear" w:color="auto" w:fill="FFFFFF"/>
            <w:vAlign w:val="center"/>
          </w:tcPr>
          <w:p w14:paraId="17C570C0" w14:textId="59D6181F"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6.1. </w:t>
            </w:r>
            <w:r w:rsidR="00DF4EC7" w:rsidRPr="007C4D65">
              <w:rPr>
                <w:rFonts w:asciiTheme="minorHAnsi" w:hAnsiTheme="minorHAnsi" w:cstheme="minorHAnsi"/>
                <w:b/>
                <w:bCs/>
                <w:sz w:val="18"/>
                <w:szCs w:val="18"/>
              </w:rPr>
              <w:t>Establish an effective legal, strategic and institutional framework for sustainable forest and forest resources management in the Federation of BiH, appropriate valuation of forest resources, and ensure integration of gender and climate change issues</w:t>
            </w:r>
          </w:p>
        </w:tc>
      </w:tr>
      <w:tr w:rsidR="0059116C" w:rsidRPr="007C4D65" w14:paraId="3D144170" w14:textId="77777777" w:rsidTr="00B6017F">
        <w:trPr>
          <w:trHeight w:val="567"/>
          <w:jc w:val="center"/>
        </w:trPr>
        <w:tc>
          <w:tcPr>
            <w:tcW w:w="1429" w:type="pct"/>
            <w:shd w:val="clear" w:color="auto" w:fill="009D73"/>
            <w:vAlign w:val="center"/>
          </w:tcPr>
          <w:p w14:paraId="1F3EA2D5" w14:textId="66CC44D4"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71" w:type="pct"/>
            <w:gridSpan w:val="3"/>
            <w:shd w:val="clear" w:color="auto" w:fill="FFFFFF"/>
            <w:vAlign w:val="center"/>
          </w:tcPr>
          <w:p w14:paraId="40F97542" w14:textId="77777777" w:rsidR="0059116C" w:rsidRPr="007C4D65" w:rsidRDefault="0059116C" w:rsidP="00B6017F">
            <w:pPr>
              <w:spacing w:before="40" w:after="40" w:line="276" w:lineRule="auto"/>
              <w:rPr>
                <w:rFonts w:asciiTheme="minorHAnsi" w:eastAsia="Calibri" w:hAnsiTheme="minorHAnsi" w:cstheme="minorHAnsi"/>
                <w:b/>
                <w:bCs/>
                <w:sz w:val="18"/>
                <w:szCs w:val="18"/>
              </w:rPr>
            </w:pPr>
            <w:r w:rsidRPr="007C4D65">
              <w:rPr>
                <w:rFonts w:asciiTheme="minorHAnsi" w:hAnsiTheme="minorHAnsi" w:cstheme="minorHAnsi"/>
                <w:b/>
                <w:bCs/>
                <w:sz w:val="18"/>
                <w:szCs w:val="18"/>
              </w:rPr>
              <w:t>6.1.2. Establishing a system of control of picking medicinal, edible and aromatic plants and non-timber forest products</w:t>
            </w:r>
          </w:p>
        </w:tc>
      </w:tr>
      <w:tr w:rsidR="0059116C" w:rsidRPr="007C4D65" w14:paraId="672308CA" w14:textId="77777777" w:rsidTr="00B6017F">
        <w:trPr>
          <w:trHeight w:val="567"/>
          <w:jc w:val="center"/>
        </w:trPr>
        <w:tc>
          <w:tcPr>
            <w:tcW w:w="1429" w:type="pct"/>
            <w:shd w:val="clear" w:color="auto" w:fill="009D73"/>
            <w:vAlign w:val="center"/>
          </w:tcPr>
          <w:p w14:paraId="4D1F451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71" w:type="pct"/>
            <w:gridSpan w:val="3"/>
            <w:shd w:val="clear" w:color="auto" w:fill="auto"/>
            <w:vAlign w:val="center"/>
          </w:tcPr>
          <w:p w14:paraId="43A9A625" w14:textId="036F9212" w:rsidR="0059116C" w:rsidRPr="007C4D65" w:rsidRDefault="0059116C" w:rsidP="00B6017F">
            <w:pPr>
              <w:spacing w:before="40" w:after="40" w:line="276" w:lineRule="auto"/>
              <w:rPr>
                <w:rFonts w:asciiTheme="minorHAnsi" w:eastAsia="Calibri" w:hAnsiTheme="minorHAnsi" w:cstheme="minorHAnsi"/>
                <w:bCs/>
                <w:color w:val="000000" w:themeColor="text1"/>
                <w:sz w:val="18"/>
                <w:szCs w:val="18"/>
              </w:rPr>
            </w:pPr>
            <w:r w:rsidRPr="007C4D65">
              <w:rPr>
                <w:rFonts w:asciiTheme="minorHAnsi" w:hAnsiTheme="minorHAnsi" w:cstheme="minorHAnsi"/>
                <w:bCs/>
                <w:color w:val="000000" w:themeColor="text1"/>
                <w:sz w:val="18"/>
                <w:szCs w:val="18"/>
              </w:rPr>
              <w:t>This measure aims to establish a systematic framework for achieving sustainability in collecting medicinal, edible and aromatic plants and other non-timber forest products.</w:t>
            </w:r>
          </w:p>
          <w:p w14:paraId="5E57B4C7" w14:textId="0BF13267" w:rsidR="0059116C" w:rsidRPr="007C4D65" w:rsidRDefault="0059116C" w:rsidP="00B6017F">
            <w:pPr>
              <w:spacing w:before="40" w:after="40" w:line="276" w:lineRule="auto"/>
              <w:rPr>
                <w:rFonts w:asciiTheme="minorHAnsi" w:eastAsia="Calibri" w:hAnsiTheme="minorHAnsi" w:cstheme="minorHAnsi"/>
                <w:bCs/>
                <w:color w:val="000000" w:themeColor="text1"/>
                <w:sz w:val="18"/>
                <w:szCs w:val="18"/>
              </w:rPr>
            </w:pPr>
            <w:r w:rsidRPr="007C4D65">
              <w:rPr>
                <w:rFonts w:asciiTheme="minorHAnsi" w:hAnsiTheme="minorHAnsi" w:cstheme="minorHAnsi"/>
                <w:bCs/>
                <w:color w:val="000000" w:themeColor="text1"/>
                <w:sz w:val="18"/>
                <w:szCs w:val="18"/>
              </w:rPr>
              <w:t xml:space="preserve">The measure implies activities </w:t>
            </w:r>
            <w:r w:rsidR="00A970D9" w:rsidRPr="007C4D65">
              <w:rPr>
                <w:rFonts w:asciiTheme="minorHAnsi" w:hAnsiTheme="minorHAnsi" w:cstheme="minorHAnsi"/>
                <w:bCs/>
                <w:color w:val="000000" w:themeColor="text1"/>
                <w:sz w:val="18"/>
                <w:szCs w:val="18"/>
              </w:rPr>
              <w:t xml:space="preserve">focusing </w:t>
            </w:r>
            <w:r w:rsidRPr="007C4D65">
              <w:rPr>
                <w:rFonts w:asciiTheme="minorHAnsi" w:hAnsiTheme="minorHAnsi" w:cstheme="minorHAnsi"/>
                <w:bCs/>
                <w:color w:val="000000" w:themeColor="text1"/>
                <w:sz w:val="18"/>
                <w:szCs w:val="18"/>
              </w:rPr>
              <w:t>on introduction of certification system:</w:t>
            </w:r>
          </w:p>
          <w:p w14:paraId="65BF203D" w14:textId="3907914C" w:rsidR="0059116C" w:rsidRPr="007C4D65" w:rsidRDefault="0059116C">
            <w:pPr>
              <w:numPr>
                <w:ilvl w:val="0"/>
                <w:numId w:val="68"/>
              </w:numPr>
              <w:spacing w:before="40" w:after="40" w:line="276" w:lineRule="auto"/>
              <w:ind w:left="360"/>
              <w:contextualSpacing/>
              <w:rPr>
                <w:rFonts w:asciiTheme="minorHAnsi" w:eastAsia="Calibri" w:hAnsiTheme="minorHAnsi" w:cstheme="minorHAnsi"/>
                <w:bCs/>
                <w:color w:val="000000" w:themeColor="text1"/>
                <w:sz w:val="18"/>
                <w:szCs w:val="18"/>
              </w:rPr>
            </w:pPr>
            <w:r w:rsidRPr="007C4D65">
              <w:rPr>
                <w:rFonts w:asciiTheme="minorHAnsi" w:hAnsiTheme="minorHAnsi" w:cstheme="minorHAnsi"/>
                <w:bCs/>
                <w:color w:val="000000" w:themeColor="text1"/>
                <w:sz w:val="18"/>
                <w:szCs w:val="18"/>
              </w:rPr>
              <w:t xml:space="preserve">Development of an action plan for introduction of a system of certification in the sector of use of medicinal, edible and aromatic plants and other non-timber forest </w:t>
            </w:r>
            <w:proofErr w:type="gramStart"/>
            <w:r w:rsidRPr="007C4D65">
              <w:rPr>
                <w:rFonts w:asciiTheme="minorHAnsi" w:hAnsiTheme="minorHAnsi" w:cstheme="minorHAnsi"/>
                <w:bCs/>
                <w:color w:val="000000" w:themeColor="text1"/>
                <w:sz w:val="18"/>
                <w:szCs w:val="18"/>
              </w:rPr>
              <w:t>products</w:t>
            </w:r>
            <w:r w:rsidR="00A970D9" w:rsidRPr="007C4D65">
              <w:rPr>
                <w:rFonts w:asciiTheme="minorHAnsi" w:hAnsiTheme="minorHAnsi" w:cstheme="minorHAnsi"/>
                <w:bCs/>
                <w:color w:val="000000" w:themeColor="text1"/>
                <w:sz w:val="18"/>
                <w:szCs w:val="18"/>
              </w:rPr>
              <w:t>;</w:t>
            </w:r>
            <w:proofErr w:type="gramEnd"/>
          </w:p>
          <w:p w14:paraId="7044BE37" w14:textId="725DE3B4" w:rsidR="0059116C" w:rsidRPr="007C4D65" w:rsidRDefault="0059116C">
            <w:pPr>
              <w:numPr>
                <w:ilvl w:val="0"/>
                <w:numId w:val="68"/>
              </w:numPr>
              <w:spacing w:before="40" w:after="40" w:line="276" w:lineRule="auto"/>
              <w:ind w:left="360"/>
              <w:contextualSpacing/>
              <w:rPr>
                <w:rFonts w:asciiTheme="minorHAnsi" w:eastAsia="Calibri" w:hAnsiTheme="minorHAnsi" w:cstheme="minorHAnsi"/>
                <w:bCs/>
                <w:color w:val="000000" w:themeColor="text1"/>
                <w:sz w:val="18"/>
                <w:szCs w:val="18"/>
              </w:rPr>
            </w:pPr>
            <w:r w:rsidRPr="007C4D65">
              <w:rPr>
                <w:rFonts w:asciiTheme="minorHAnsi" w:hAnsiTheme="minorHAnsi" w:cstheme="minorHAnsi"/>
                <w:bCs/>
                <w:color w:val="000000" w:themeColor="text1"/>
                <w:sz w:val="18"/>
                <w:szCs w:val="18"/>
              </w:rPr>
              <w:t xml:space="preserve">Establishment of a system for certification in the sector of use of medicinal, edible and aromatic plants and other non-timber forest products on a fair and inclusive </w:t>
            </w:r>
            <w:proofErr w:type="gramStart"/>
            <w:r w:rsidRPr="007C4D65">
              <w:rPr>
                <w:rFonts w:asciiTheme="minorHAnsi" w:hAnsiTheme="minorHAnsi" w:cstheme="minorHAnsi"/>
                <w:bCs/>
                <w:color w:val="000000" w:themeColor="text1"/>
                <w:sz w:val="18"/>
                <w:szCs w:val="18"/>
              </w:rPr>
              <w:t>basis</w:t>
            </w:r>
            <w:r w:rsidR="00A970D9" w:rsidRPr="007C4D65">
              <w:rPr>
                <w:rFonts w:asciiTheme="minorHAnsi" w:eastAsia="Calibri" w:hAnsiTheme="minorHAnsi" w:cstheme="minorHAnsi"/>
                <w:bCs/>
                <w:color w:val="000000" w:themeColor="text1"/>
                <w:sz w:val="18"/>
                <w:szCs w:val="18"/>
              </w:rPr>
              <w:t>;</w:t>
            </w:r>
            <w:proofErr w:type="gramEnd"/>
          </w:p>
          <w:p w14:paraId="18424011" w14:textId="3F27422E" w:rsidR="0059116C" w:rsidRPr="007C4D65" w:rsidRDefault="0059116C" w:rsidP="00B6017F">
            <w:pPr>
              <w:spacing w:before="40" w:after="40" w:line="276" w:lineRule="auto"/>
              <w:rPr>
                <w:rFonts w:asciiTheme="minorHAnsi" w:eastAsia="Calibri" w:hAnsiTheme="minorHAnsi" w:cstheme="minorHAnsi"/>
                <w:bCs/>
                <w:color w:val="000000" w:themeColor="text1"/>
                <w:sz w:val="18"/>
                <w:szCs w:val="18"/>
              </w:rPr>
            </w:pPr>
            <w:r w:rsidRPr="007C4D65">
              <w:rPr>
                <w:rFonts w:asciiTheme="minorHAnsi" w:hAnsiTheme="minorHAnsi" w:cstheme="minorHAnsi"/>
                <w:sz w:val="18"/>
                <w:szCs w:val="18"/>
              </w:rPr>
              <w:t xml:space="preserve">Introduction of certification system is a </w:t>
            </w:r>
            <w:r w:rsidRPr="007C4D65">
              <w:rPr>
                <w:rFonts w:asciiTheme="minorHAnsi" w:hAnsiTheme="minorHAnsi" w:cstheme="minorHAnsi"/>
                <w:bCs/>
                <w:color w:val="000000" w:themeColor="text1"/>
                <w:sz w:val="18"/>
                <w:szCs w:val="18"/>
              </w:rPr>
              <w:t>measure planned to be implemented in coordination with the Ministry of Foreign Trade and Economic Relations of BiH</w:t>
            </w:r>
            <w:r w:rsidRPr="007C4D65">
              <w:rPr>
                <w:rFonts w:asciiTheme="minorHAnsi" w:hAnsiTheme="minorHAnsi" w:cstheme="minorHAnsi"/>
                <w:sz w:val="18"/>
                <w:szCs w:val="18"/>
              </w:rPr>
              <w:t xml:space="preserve"> and the competent ministries of the Federation of BiH, </w:t>
            </w:r>
            <w:proofErr w:type="spellStart"/>
            <w:r w:rsidRPr="007C4D65">
              <w:rPr>
                <w:rFonts w:asciiTheme="minorHAnsi" w:hAnsiTheme="minorHAnsi" w:cstheme="minorHAnsi"/>
                <w:sz w:val="18"/>
                <w:szCs w:val="18"/>
              </w:rPr>
              <w:t>Republika</w:t>
            </w:r>
            <w:proofErr w:type="spellEnd"/>
            <w:r w:rsidRPr="007C4D65">
              <w:rPr>
                <w:rFonts w:asciiTheme="minorHAnsi" w:hAnsiTheme="minorHAnsi" w:cstheme="minorHAnsi"/>
                <w:sz w:val="18"/>
                <w:szCs w:val="18"/>
              </w:rPr>
              <w:t xml:space="preserve"> Srpska and the Government of </w:t>
            </w:r>
            <w:r w:rsidR="00295360" w:rsidRPr="007C4D65">
              <w:rPr>
                <w:rFonts w:asciiTheme="minorHAnsi" w:hAnsiTheme="minorHAnsi" w:cstheme="minorHAnsi"/>
                <w:sz w:val="18"/>
                <w:szCs w:val="18"/>
              </w:rPr>
              <w:t>Brcko</w:t>
            </w:r>
            <w:r w:rsidRPr="007C4D65">
              <w:rPr>
                <w:rFonts w:asciiTheme="minorHAnsi" w:hAnsiTheme="minorHAnsi" w:cstheme="minorHAnsi"/>
                <w:sz w:val="18"/>
                <w:szCs w:val="18"/>
              </w:rPr>
              <w:t xml:space="preserve"> district of BiH</w:t>
            </w:r>
            <w:r w:rsidR="00A970D9" w:rsidRPr="007C4D65">
              <w:rPr>
                <w:rFonts w:asciiTheme="minorHAnsi" w:eastAsia="Calibri" w:hAnsiTheme="minorHAnsi" w:cstheme="minorHAnsi"/>
                <w:bCs/>
                <w:color w:val="000000" w:themeColor="text1"/>
                <w:sz w:val="18"/>
                <w:szCs w:val="18"/>
              </w:rPr>
              <w:t>.</w:t>
            </w:r>
          </w:p>
          <w:p w14:paraId="40A077DC" w14:textId="77777777" w:rsidR="0059116C" w:rsidRPr="007C4D65" w:rsidRDefault="0059116C" w:rsidP="00B6017F">
            <w:pPr>
              <w:spacing w:before="40" w:after="40" w:line="276" w:lineRule="auto"/>
              <w:rPr>
                <w:rFonts w:asciiTheme="minorHAnsi" w:eastAsia="Calibri" w:hAnsiTheme="minorHAnsi" w:cstheme="minorHAnsi"/>
                <w:bCs/>
                <w:sz w:val="18"/>
                <w:szCs w:val="18"/>
              </w:rPr>
            </w:pPr>
            <w:r w:rsidRPr="007C4D65">
              <w:rPr>
                <w:rFonts w:asciiTheme="minorHAnsi" w:hAnsiTheme="minorHAnsi" w:cstheme="minorHAnsi"/>
                <w:bCs/>
                <w:color w:val="000000" w:themeColor="text1"/>
                <w:sz w:val="18"/>
                <w:szCs w:val="18"/>
              </w:rPr>
              <w:t>A prerequisite for starting the implementation of this measure is adoption of the Law on Forests and the secondary legislation (bylaw) that will regulate conditions for growing, using and trading with non-timber forest products, as planned under Measure 6.1.1.</w:t>
            </w:r>
          </w:p>
        </w:tc>
      </w:tr>
      <w:tr w:rsidR="0059116C" w:rsidRPr="007C4D65" w14:paraId="35C138AA" w14:textId="77777777" w:rsidTr="00B6017F">
        <w:trPr>
          <w:trHeight w:val="567"/>
          <w:jc w:val="center"/>
        </w:trPr>
        <w:tc>
          <w:tcPr>
            <w:tcW w:w="1429" w:type="pct"/>
            <w:shd w:val="clear" w:color="auto" w:fill="009D73"/>
            <w:vAlign w:val="center"/>
          </w:tcPr>
          <w:p w14:paraId="46150D5E"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Strategic projects</w:t>
            </w:r>
          </w:p>
        </w:tc>
        <w:tc>
          <w:tcPr>
            <w:tcW w:w="3571" w:type="pct"/>
            <w:gridSpan w:val="3"/>
            <w:shd w:val="clear" w:color="auto" w:fill="auto"/>
            <w:vAlign w:val="center"/>
          </w:tcPr>
          <w:p w14:paraId="30AE9CC7"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4A47327E" w14:textId="77777777" w:rsidTr="00B6017F">
        <w:trPr>
          <w:trHeight w:val="567"/>
          <w:jc w:val="center"/>
        </w:trPr>
        <w:tc>
          <w:tcPr>
            <w:tcW w:w="1429" w:type="pct"/>
            <w:vMerge w:val="restart"/>
            <w:shd w:val="clear" w:color="auto" w:fill="009D73"/>
            <w:vAlign w:val="center"/>
          </w:tcPr>
          <w:p w14:paraId="50A79857"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Indicators for monitoring of results of measures</w:t>
            </w:r>
          </w:p>
        </w:tc>
        <w:tc>
          <w:tcPr>
            <w:tcW w:w="1038" w:type="pct"/>
            <w:shd w:val="clear" w:color="auto" w:fill="009D73"/>
            <w:vAlign w:val="center"/>
          </w:tcPr>
          <w:p w14:paraId="488C1F7E"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42A0EF1A" w14:textId="2B84C1B7"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shd w:val="clear" w:color="auto" w:fill="009D73"/>
            <w:vAlign w:val="center"/>
          </w:tcPr>
          <w:p w14:paraId="3301997B"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5F69BFC6"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shd w:val="clear" w:color="auto" w:fill="009D73"/>
            <w:vAlign w:val="center"/>
          </w:tcPr>
          <w:p w14:paraId="76EF02B1"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2AAC88ED" w14:textId="77777777" w:rsidTr="00B6017F">
        <w:trPr>
          <w:trHeight w:val="567"/>
          <w:jc w:val="center"/>
        </w:trPr>
        <w:tc>
          <w:tcPr>
            <w:tcW w:w="1429" w:type="pct"/>
            <w:vMerge/>
            <w:shd w:val="clear" w:color="auto" w:fill="009D73"/>
            <w:vAlign w:val="center"/>
          </w:tcPr>
          <w:p w14:paraId="2868DEB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5A35159B" w14:textId="77777777" w:rsidR="0059116C" w:rsidRPr="007C4D65" w:rsidRDefault="0059116C" w:rsidP="00B6017F">
            <w:pPr>
              <w:spacing w:before="40" w:after="40" w:line="276" w:lineRule="auto"/>
              <w:rPr>
                <w:rFonts w:asciiTheme="minorHAnsi" w:eastAsia="Calibri" w:hAnsiTheme="minorHAnsi" w:cstheme="minorHAnsi"/>
                <w:color w:val="000000" w:themeColor="text1"/>
                <w:sz w:val="18"/>
                <w:szCs w:val="18"/>
              </w:rPr>
            </w:pPr>
            <w:r w:rsidRPr="007C4D65">
              <w:rPr>
                <w:rFonts w:asciiTheme="minorHAnsi" w:hAnsiTheme="minorHAnsi" w:cstheme="minorHAnsi"/>
                <w:color w:val="000000" w:themeColor="text1"/>
                <w:sz w:val="18"/>
                <w:szCs w:val="18"/>
              </w:rPr>
              <w:t>Existence of an action plan for introduction of a system of certification in the sector of use of medicinal</w:t>
            </w:r>
            <w:r w:rsidRPr="007C4D65">
              <w:rPr>
                <w:rFonts w:asciiTheme="minorHAnsi" w:hAnsiTheme="minorHAnsi" w:cstheme="minorHAnsi"/>
                <w:bCs/>
                <w:color w:val="000000" w:themeColor="text1"/>
                <w:sz w:val="18"/>
                <w:szCs w:val="18"/>
              </w:rPr>
              <w:t>, edible and aromatic plants and other</w:t>
            </w:r>
            <w:r w:rsidRPr="007C4D65">
              <w:rPr>
                <w:rFonts w:asciiTheme="minorHAnsi" w:hAnsiTheme="minorHAnsi" w:cstheme="minorHAnsi"/>
                <w:color w:val="000000" w:themeColor="text1"/>
                <w:sz w:val="18"/>
                <w:szCs w:val="18"/>
              </w:rPr>
              <w:t xml:space="preserve"> non-timber forest products</w:t>
            </w:r>
          </w:p>
        </w:tc>
        <w:tc>
          <w:tcPr>
            <w:tcW w:w="1266" w:type="pct"/>
            <w:shd w:val="clear" w:color="auto" w:fill="FFFFFF"/>
            <w:vAlign w:val="center"/>
          </w:tcPr>
          <w:p w14:paraId="418AB034" w14:textId="6022B15B"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sz w:val="18"/>
                <w:szCs w:val="18"/>
              </w:rPr>
              <w:t>In the Federation of BiH, there is no system of certification in the sector of use of medicinal, edible and aromatic plants and other non-timber forest products.</w:t>
            </w:r>
          </w:p>
        </w:tc>
        <w:tc>
          <w:tcPr>
            <w:tcW w:w="1267" w:type="pct"/>
            <w:shd w:val="clear" w:color="auto" w:fill="FFFFFF"/>
            <w:vAlign w:val="center"/>
          </w:tcPr>
          <w:p w14:paraId="00968D04" w14:textId="0B22D715"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By the end of 2025, the Action Plan adopted</w:t>
            </w:r>
          </w:p>
        </w:tc>
      </w:tr>
      <w:tr w:rsidR="0059116C" w:rsidRPr="007C4D65" w14:paraId="48927AAB" w14:textId="77777777" w:rsidTr="00B6017F">
        <w:trPr>
          <w:trHeight w:val="274"/>
          <w:jc w:val="center"/>
        </w:trPr>
        <w:tc>
          <w:tcPr>
            <w:tcW w:w="1429" w:type="pct"/>
            <w:vMerge/>
            <w:shd w:val="clear" w:color="auto" w:fill="009D73"/>
            <w:vAlign w:val="center"/>
          </w:tcPr>
          <w:p w14:paraId="380DC7F6"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03BD01DF" w14:textId="77777777" w:rsidR="0059116C" w:rsidRPr="007C4D65" w:rsidRDefault="0059116C" w:rsidP="00B6017F">
            <w:pPr>
              <w:spacing w:before="40" w:after="40" w:line="276" w:lineRule="auto"/>
              <w:rPr>
                <w:rFonts w:asciiTheme="minorHAnsi" w:eastAsia="Calibri" w:hAnsiTheme="minorHAnsi" w:cstheme="minorHAnsi"/>
                <w:color w:val="000000" w:themeColor="text1"/>
                <w:sz w:val="18"/>
                <w:szCs w:val="18"/>
              </w:rPr>
            </w:pPr>
            <w:r w:rsidRPr="007C4D65">
              <w:rPr>
                <w:rFonts w:asciiTheme="minorHAnsi" w:hAnsiTheme="minorHAnsi" w:cstheme="minorHAnsi"/>
                <w:bCs/>
                <w:color w:val="000000" w:themeColor="text1"/>
                <w:sz w:val="18"/>
                <w:szCs w:val="18"/>
              </w:rPr>
              <w:t>Existence of a system for certification in the sector of use of medicinal, edible and aromatic plants and other non-timber forest products on a fair and inclusive basis</w:t>
            </w:r>
          </w:p>
        </w:tc>
        <w:tc>
          <w:tcPr>
            <w:tcW w:w="1266" w:type="pct"/>
            <w:shd w:val="clear" w:color="auto" w:fill="FFFFFF"/>
            <w:vAlign w:val="center"/>
          </w:tcPr>
          <w:p w14:paraId="04FD8D8D"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sz w:val="18"/>
                <w:szCs w:val="18"/>
              </w:rPr>
              <w:t>In the Federation of BiH, there is no system of certification in the sector of use of medicinal, edible and aromatic plants and other non-timber forest products</w:t>
            </w:r>
          </w:p>
        </w:tc>
        <w:tc>
          <w:tcPr>
            <w:tcW w:w="1267" w:type="pct"/>
            <w:shd w:val="clear" w:color="auto" w:fill="FFFFFF"/>
            <w:vAlign w:val="center"/>
          </w:tcPr>
          <w:p w14:paraId="0E2BFCEB"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the end of 2027, establish the certification system</w:t>
            </w:r>
          </w:p>
        </w:tc>
      </w:tr>
      <w:tr w:rsidR="0059116C" w:rsidRPr="007C4D65" w14:paraId="76F2102D" w14:textId="77777777" w:rsidTr="00B6017F">
        <w:trPr>
          <w:trHeight w:val="567"/>
          <w:jc w:val="center"/>
        </w:trPr>
        <w:tc>
          <w:tcPr>
            <w:tcW w:w="1429" w:type="pct"/>
            <w:shd w:val="clear" w:color="auto" w:fill="009D73"/>
            <w:vAlign w:val="center"/>
          </w:tcPr>
          <w:p w14:paraId="3678CDE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priority</w:t>
            </w:r>
          </w:p>
        </w:tc>
        <w:tc>
          <w:tcPr>
            <w:tcW w:w="3571" w:type="pct"/>
            <w:gridSpan w:val="3"/>
            <w:shd w:val="clear" w:color="auto" w:fill="FFFFFF"/>
            <w:vAlign w:val="center"/>
          </w:tcPr>
          <w:p w14:paraId="53802AAD" w14:textId="52A1EAE3"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bCs/>
                <w:sz w:val="18"/>
                <w:szCs w:val="18"/>
              </w:rPr>
              <w:t>Sustainable use of medicinal, edible and aromatic plants and non-timber forest products as potential for diversification of economic activities, particularly in rural areas</w:t>
            </w:r>
          </w:p>
        </w:tc>
      </w:tr>
      <w:tr w:rsidR="0059116C" w:rsidRPr="007C4D65" w14:paraId="7ECD2B10" w14:textId="77777777" w:rsidTr="00B6017F">
        <w:trPr>
          <w:trHeight w:val="567"/>
          <w:jc w:val="center"/>
        </w:trPr>
        <w:tc>
          <w:tcPr>
            <w:tcW w:w="1429" w:type="pct"/>
            <w:shd w:val="clear" w:color="auto" w:fill="009D73"/>
            <w:vAlign w:val="center"/>
          </w:tcPr>
          <w:p w14:paraId="3F638CAD"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71" w:type="pct"/>
            <w:gridSpan w:val="3"/>
            <w:shd w:val="clear" w:color="auto" w:fill="FFFFFF"/>
            <w:vAlign w:val="center"/>
          </w:tcPr>
          <w:p w14:paraId="6918AC46" w14:textId="28BCF164" w:rsidR="0059116C" w:rsidRPr="007C4D65" w:rsidRDefault="0059116C"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313,281</w:t>
            </w:r>
          </w:p>
          <w:p w14:paraId="7295FB0E"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sz w:val="18"/>
                <w:szCs w:val="18"/>
              </w:rPr>
              <w:t>Source: 20% from the government budget, 80% from EU and other international donors</w:t>
            </w:r>
          </w:p>
        </w:tc>
      </w:tr>
      <w:tr w:rsidR="0059116C" w:rsidRPr="007C4D65" w14:paraId="25AE8FBB" w14:textId="77777777" w:rsidTr="00B6017F">
        <w:trPr>
          <w:trHeight w:val="567"/>
          <w:jc w:val="center"/>
        </w:trPr>
        <w:tc>
          <w:tcPr>
            <w:tcW w:w="1429" w:type="pct"/>
            <w:shd w:val="clear" w:color="auto" w:fill="009D73"/>
            <w:vAlign w:val="center"/>
          </w:tcPr>
          <w:p w14:paraId="1FFA031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71" w:type="pct"/>
            <w:gridSpan w:val="3"/>
            <w:shd w:val="clear" w:color="auto" w:fill="FFFFFF"/>
            <w:vAlign w:val="center"/>
          </w:tcPr>
          <w:p w14:paraId="55547F90"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2025‒2027</w:t>
            </w:r>
          </w:p>
        </w:tc>
      </w:tr>
      <w:tr w:rsidR="0059116C" w:rsidRPr="007C4D65" w14:paraId="2C779583" w14:textId="77777777" w:rsidTr="00B6017F">
        <w:trPr>
          <w:trHeight w:val="567"/>
          <w:jc w:val="center"/>
        </w:trPr>
        <w:tc>
          <w:tcPr>
            <w:tcW w:w="1429" w:type="pct"/>
            <w:shd w:val="clear" w:color="auto" w:fill="009D73"/>
            <w:vAlign w:val="center"/>
          </w:tcPr>
          <w:p w14:paraId="34CCB94C"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Institution responsible for coordination and implementation of the measure</w:t>
            </w:r>
          </w:p>
        </w:tc>
        <w:tc>
          <w:tcPr>
            <w:tcW w:w="3571" w:type="pct"/>
            <w:gridSpan w:val="3"/>
            <w:shd w:val="clear" w:color="auto" w:fill="FFFFFF"/>
            <w:vAlign w:val="center"/>
          </w:tcPr>
          <w:p w14:paraId="2CED7393" w14:textId="77777777" w:rsidR="0059116C" w:rsidRPr="007C4D65" w:rsidRDefault="0059116C" w:rsidP="00B6017F">
            <w:pPr>
              <w:spacing w:before="40" w:after="40" w:line="276" w:lineRule="auto"/>
              <w:rPr>
                <w:rFonts w:asciiTheme="minorHAnsi" w:eastAsiaTheme="minorHAnsi" w:hAnsiTheme="minorHAnsi" w:cstheme="minorHAnsi"/>
                <w:strike/>
                <w:color w:val="000000" w:themeColor="text1"/>
                <w:sz w:val="18"/>
                <w:szCs w:val="18"/>
              </w:rPr>
            </w:pPr>
            <w:r w:rsidRPr="007C4D65">
              <w:rPr>
                <w:rFonts w:asciiTheme="minorHAnsi" w:hAnsiTheme="minorHAnsi" w:cstheme="minorHAnsi"/>
                <w:color w:val="000000" w:themeColor="text1"/>
                <w:sz w:val="18"/>
                <w:szCs w:val="18"/>
              </w:rPr>
              <w:t>Ministry of Foreign Trade and Economic Relations of BiH</w:t>
            </w:r>
          </w:p>
        </w:tc>
      </w:tr>
      <w:tr w:rsidR="0059116C" w:rsidRPr="007C4D65" w14:paraId="4F696017" w14:textId="77777777" w:rsidTr="00B6017F">
        <w:trPr>
          <w:trHeight w:val="567"/>
          <w:jc w:val="center"/>
        </w:trPr>
        <w:tc>
          <w:tcPr>
            <w:tcW w:w="1429" w:type="pct"/>
            <w:shd w:val="clear" w:color="auto" w:fill="009D73"/>
            <w:vAlign w:val="center"/>
          </w:tcPr>
          <w:p w14:paraId="02AF848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Implementing institution</w:t>
            </w:r>
          </w:p>
        </w:tc>
        <w:tc>
          <w:tcPr>
            <w:tcW w:w="3571" w:type="pct"/>
            <w:gridSpan w:val="3"/>
            <w:shd w:val="clear" w:color="auto" w:fill="FFFFFF"/>
            <w:vAlign w:val="center"/>
          </w:tcPr>
          <w:p w14:paraId="227C02E4" w14:textId="73854485"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Ministry of Foreign Trade and Economic Relations of BiH</w:t>
            </w:r>
          </w:p>
          <w:p w14:paraId="0A87A220"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Federation of BiH Ministry of Agriculture, Water Management and Forestry</w:t>
            </w:r>
          </w:p>
          <w:p w14:paraId="10636013"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Competent cantonal ministries</w:t>
            </w:r>
          </w:p>
        </w:tc>
      </w:tr>
      <w:tr w:rsidR="0059116C" w:rsidRPr="007C4D65" w14:paraId="7596D85F" w14:textId="77777777" w:rsidTr="00B6017F">
        <w:trPr>
          <w:trHeight w:val="567"/>
          <w:jc w:val="center"/>
        </w:trPr>
        <w:tc>
          <w:tcPr>
            <w:tcW w:w="1429" w:type="pct"/>
            <w:shd w:val="clear" w:color="auto" w:fill="009D73"/>
            <w:vAlign w:val="center"/>
          </w:tcPr>
          <w:p w14:paraId="18982C1F" w14:textId="61117EAA"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Target groups</w:t>
            </w:r>
          </w:p>
        </w:tc>
        <w:tc>
          <w:tcPr>
            <w:tcW w:w="3571" w:type="pct"/>
            <w:gridSpan w:val="3"/>
            <w:shd w:val="clear" w:color="auto" w:fill="FFFFFF"/>
            <w:vAlign w:val="center"/>
          </w:tcPr>
          <w:p w14:paraId="02F7C03F" w14:textId="295BFB6E" w:rsidR="0059116C" w:rsidRPr="007C4D65" w:rsidRDefault="0059116C" w:rsidP="00A970D9">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Competent Federation of BiH and cantonal ministries, forest users, private forest owners,</w:t>
            </w:r>
            <w:r w:rsidR="00A970D9" w:rsidRPr="007C4D65">
              <w:rPr>
                <w:rFonts w:asciiTheme="minorHAnsi" w:hAnsiTheme="minorHAnsi" w:cstheme="minorHAnsi"/>
                <w:color w:val="000000" w:themeColor="text1"/>
                <w:sz w:val="18"/>
                <w:szCs w:val="18"/>
              </w:rPr>
              <w:t xml:space="preserve"> </w:t>
            </w:r>
            <w:r w:rsidRPr="007C4D65">
              <w:rPr>
                <w:rFonts w:asciiTheme="minorHAnsi" w:hAnsiTheme="minorHAnsi" w:cstheme="minorHAnsi"/>
                <w:color w:val="000000" w:themeColor="text1"/>
                <w:sz w:val="18"/>
                <w:szCs w:val="18"/>
              </w:rPr>
              <w:t>pickers</w:t>
            </w:r>
          </w:p>
        </w:tc>
      </w:tr>
    </w:tbl>
    <w:p w14:paraId="36F7AA27" w14:textId="77777777" w:rsidR="0059116C" w:rsidRPr="007C4D65" w:rsidRDefault="0059116C" w:rsidP="0059116C">
      <w:pPr>
        <w:spacing w:line="276" w:lineRule="auto"/>
        <w:rPr>
          <w:rFonts w:asciiTheme="minorHAnsi" w:eastAsiaTheme="minorHAnsi" w:hAnsiTheme="minorHAnsi" w:cstheme="minorHAnsi"/>
          <w:sz w:val="18"/>
          <w:szCs w:val="18"/>
          <w:lang w:val="hr-HR" w:eastAsia="en-US"/>
        </w:rPr>
      </w:pPr>
    </w:p>
    <w:tbl>
      <w:tblPr>
        <w:tblW w:w="4802"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8"/>
        <w:gridCol w:w="2781"/>
        <w:gridCol w:w="3392"/>
        <w:gridCol w:w="3395"/>
      </w:tblGrid>
      <w:tr w:rsidR="0059116C" w:rsidRPr="007C4D65" w14:paraId="50B6F4E8" w14:textId="77777777" w:rsidTr="00B6017F">
        <w:trPr>
          <w:trHeight w:val="567"/>
          <w:jc w:val="center"/>
        </w:trPr>
        <w:tc>
          <w:tcPr>
            <w:tcW w:w="1429" w:type="pct"/>
            <w:shd w:val="clear" w:color="auto" w:fill="009D73"/>
            <w:vAlign w:val="center"/>
          </w:tcPr>
          <w:p w14:paraId="56476B77" w14:textId="38870CEB"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71" w:type="pct"/>
            <w:gridSpan w:val="3"/>
            <w:shd w:val="clear" w:color="auto" w:fill="FFFFFF"/>
            <w:vAlign w:val="center"/>
          </w:tcPr>
          <w:p w14:paraId="0CF29125" w14:textId="22E5EDA1"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54860785" w14:textId="77777777" w:rsidTr="00B6017F">
        <w:trPr>
          <w:trHeight w:val="567"/>
          <w:jc w:val="center"/>
        </w:trPr>
        <w:tc>
          <w:tcPr>
            <w:tcW w:w="1429" w:type="pct"/>
            <w:shd w:val="clear" w:color="auto" w:fill="009D73"/>
            <w:vAlign w:val="center"/>
          </w:tcPr>
          <w:p w14:paraId="15DE5887"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71" w:type="pct"/>
            <w:gridSpan w:val="3"/>
            <w:shd w:val="clear" w:color="auto" w:fill="FFFFFF"/>
            <w:vAlign w:val="center"/>
          </w:tcPr>
          <w:p w14:paraId="0DF6EA45" w14:textId="63768E35"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6.1. </w:t>
            </w:r>
            <w:r w:rsidR="00DF4EC7" w:rsidRPr="007C4D65">
              <w:rPr>
                <w:rFonts w:asciiTheme="minorHAnsi" w:hAnsiTheme="minorHAnsi" w:cstheme="minorHAnsi"/>
                <w:b/>
                <w:bCs/>
                <w:sz w:val="18"/>
                <w:szCs w:val="18"/>
              </w:rPr>
              <w:t>Establish an effective legal, strategic and institutional framework for sustainable forest and forest resources management in the Federation of BiH, appropriate valuation of forest resources, and ensure integration of gender and climate change issues</w:t>
            </w:r>
          </w:p>
        </w:tc>
      </w:tr>
      <w:tr w:rsidR="0059116C" w:rsidRPr="007C4D65" w14:paraId="343014BB" w14:textId="77777777" w:rsidTr="00B6017F">
        <w:trPr>
          <w:trHeight w:val="567"/>
          <w:jc w:val="center"/>
        </w:trPr>
        <w:tc>
          <w:tcPr>
            <w:tcW w:w="1429" w:type="pct"/>
            <w:shd w:val="clear" w:color="auto" w:fill="009D73"/>
            <w:vAlign w:val="center"/>
          </w:tcPr>
          <w:p w14:paraId="34DB6AD5" w14:textId="5C18B9F6"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Name of the measure</w:t>
            </w:r>
          </w:p>
        </w:tc>
        <w:tc>
          <w:tcPr>
            <w:tcW w:w="3571" w:type="pct"/>
            <w:gridSpan w:val="3"/>
            <w:shd w:val="clear" w:color="auto" w:fill="auto"/>
            <w:vAlign w:val="center"/>
          </w:tcPr>
          <w:p w14:paraId="609E4E56" w14:textId="77777777" w:rsidR="0059116C" w:rsidRPr="007C4D65" w:rsidRDefault="0059116C" w:rsidP="00B6017F">
            <w:pPr>
              <w:spacing w:before="40" w:after="40" w:line="276" w:lineRule="auto"/>
              <w:rPr>
                <w:rFonts w:asciiTheme="minorHAnsi" w:eastAsia="Calibri" w:hAnsiTheme="minorHAnsi" w:cstheme="minorHAnsi"/>
                <w:b/>
                <w:bCs/>
                <w:color w:val="000000" w:themeColor="text1"/>
                <w:sz w:val="18"/>
                <w:szCs w:val="18"/>
              </w:rPr>
            </w:pPr>
            <w:r w:rsidRPr="007C4D65">
              <w:rPr>
                <w:rFonts w:asciiTheme="minorHAnsi" w:hAnsiTheme="minorHAnsi" w:cstheme="minorHAnsi"/>
                <w:b/>
                <w:bCs/>
                <w:color w:val="000000" w:themeColor="text1"/>
                <w:sz w:val="18"/>
                <w:szCs w:val="18"/>
              </w:rPr>
              <w:t xml:space="preserve">6.1.3. Establishing regular monitoring of forest health status </w:t>
            </w:r>
          </w:p>
        </w:tc>
      </w:tr>
      <w:tr w:rsidR="0059116C" w:rsidRPr="007C4D65" w14:paraId="5936B5D8" w14:textId="77777777" w:rsidTr="00B6017F">
        <w:trPr>
          <w:trHeight w:val="567"/>
          <w:jc w:val="center"/>
        </w:trPr>
        <w:tc>
          <w:tcPr>
            <w:tcW w:w="1429" w:type="pct"/>
            <w:shd w:val="clear" w:color="auto" w:fill="009D73"/>
            <w:vAlign w:val="center"/>
          </w:tcPr>
          <w:p w14:paraId="33981B75"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71" w:type="pct"/>
            <w:gridSpan w:val="3"/>
            <w:shd w:val="clear" w:color="auto" w:fill="auto"/>
            <w:vAlign w:val="center"/>
          </w:tcPr>
          <w:p w14:paraId="6D6222F4" w14:textId="48C98061"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This measure aims to establish regular monitoring of health status of forests that will include monitoring of changes in forest ecosystems in terms of the species diversity status, changed areas, health status, and other biotic and abiotic factors.  The measure includes following activities:</w:t>
            </w:r>
          </w:p>
          <w:p w14:paraId="68E3E778" w14:textId="6ED1C347" w:rsidR="0059116C" w:rsidRPr="007C4D65" w:rsidRDefault="0059116C">
            <w:pPr>
              <w:numPr>
                <w:ilvl w:val="0"/>
                <w:numId w:val="69"/>
              </w:numPr>
              <w:spacing w:before="40" w:after="40" w:line="276" w:lineRule="auto"/>
              <w:ind w:left="360"/>
              <w:contextualSpacing/>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Development of a method for harmonized sampling and assessment and monitoring of the status of forests in accordance with previously identified </w:t>
            </w:r>
            <w:proofErr w:type="gramStart"/>
            <w:r w:rsidRPr="007C4D65">
              <w:rPr>
                <w:rFonts w:asciiTheme="minorHAnsi" w:hAnsiTheme="minorHAnsi" w:cstheme="minorHAnsi"/>
                <w:color w:val="000000" w:themeColor="text1"/>
                <w:sz w:val="18"/>
                <w:szCs w:val="18"/>
              </w:rPr>
              <w:t>indicators</w:t>
            </w:r>
            <w:r w:rsidR="00A970D9" w:rsidRPr="007C4D65">
              <w:rPr>
                <w:rFonts w:asciiTheme="minorHAnsi" w:eastAsiaTheme="minorHAnsi" w:hAnsiTheme="minorHAnsi" w:cstheme="minorHAnsi"/>
                <w:color w:val="000000" w:themeColor="text1"/>
                <w:sz w:val="18"/>
                <w:szCs w:val="18"/>
              </w:rPr>
              <w:t>;</w:t>
            </w:r>
            <w:proofErr w:type="gramEnd"/>
          </w:p>
          <w:p w14:paraId="0A33D81D" w14:textId="003D7FCB" w:rsidR="0059116C" w:rsidRPr="007C4D65" w:rsidRDefault="0059116C">
            <w:pPr>
              <w:numPr>
                <w:ilvl w:val="0"/>
                <w:numId w:val="69"/>
              </w:numPr>
              <w:spacing w:before="40" w:after="40" w:line="276" w:lineRule="auto"/>
              <w:ind w:left="360"/>
              <w:contextualSpacing/>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Adoption of a rulebook specifying the method of monitoring health status of forests, method of conducting health protection of forests, and reporting </w:t>
            </w:r>
            <w:proofErr w:type="gramStart"/>
            <w:r w:rsidRPr="007C4D65">
              <w:rPr>
                <w:rFonts w:asciiTheme="minorHAnsi" w:hAnsiTheme="minorHAnsi" w:cstheme="minorHAnsi"/>
                <w:color w:val="000000" w:themeColor="text1"/>
                <w:sz w:val="18"/>
                <w:szCs w:val="18"/>
              </w:rPr>
              <w:t>methods</w:t>
            </w:r>
            <w:r w:rsidR="00A970D9" w:rsidRPr="007C4D65">
              <w:rPr>
                <w:rFonts w:asciiTheme="minorHAnsi" w:hAnsiTheme="minorHAnsi" w:cstheme="minorHAnsi"/>
                <w:color w:val="000000" w:themeColor="text1"/>
                <w:sz w:val="18"/>
                <w:szCs w:val="18"/>
              </w:rPr>
              <w:t>;</w:t>
            </w:r>
            <w:proofErr w:type="gramEnd"/>
          </w:p>
          <w:p w14:paraId="01F68B22" w14:textId="3AC6BAF7" w:rsidR="0059116C" w:rsidRPr="007C4D65" w:rsidRDefault="0059116C">
            <w:pPr>
              <w:numPr>
                <w:ilvl w:val="0"/>
                <w:numId w:val="69"/>
              </w:numPr>
              <w:spacing w:before="40" w:after="40" w:line="276" w:lineRule="auto"/>
              <w:ind w:left="360"/>
              <w:contextualSpacing/>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Identifying a network of monitoring </w:t>
            </w:r>
            <w:proofErr w:type="gramStart"/>
            <w:r w:rsidRPr="007C4D65">
              <w:rPr>
                <w:rFonts w:asciiTheme="minorHAnsi" w:hAnsiTheme="minorHAnsi" w:cstheme="minorHAnsi"/>
                <w:color w:val="000000" w:themeColor="text1"/>
                <w:sz w:val="18"/>
                <w:szCs w:val="18"/>
              </w:rPr>
              <w:t>points</w:t>
            </w:r>
            <w:r w:rsidR="00A970D9" w:rsidRPr="007C4D65">
              <w:rPr>
                <w:rFonts w:asciiTheme="minorHAnsi" w:hAnsiTheme="minorHAnsi" w:cstheme="minorHAnsi"/>
                <w:color w:val="000000" w:themeColor="text1"/>
                <w:sz w:val="18"/>
                <w:szCs w:val="18"/>
              </w:rPr>
              <w:t>;</w:t>
            </w:r>
            <w:proofErr w:type="gramEnd"/>
          </w:p>
          <w:p w14:paraId="6A444C79" w14:textId="74FF5FD5" w:rsidR="0059116C" w:rsidRPr="007C4D65" w:rsidRDefault="0059116C">
            <w:pPr>
              <w:numPr>
                <w:ilvl w:val="0"/>
                <w:numId w:val="69"/>
              </w:numPr>
              <w:spacing w:before="40" w:after="40" w:line="276" w:lineRule="auto"/>
              <w:ind w:left="360"/>
              <w:contextualSpacing/>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Provision of training and developing capacities of forest users to carry out monitoring of forest status in accordance with the identified programme</w:t>
            </w:r>
            <w:r w:rsidR="00A970D9" w:rsidRPr="007C4D65">
              <w:rPr>
                <w:rFonts w:asciiTheme="minorHAnsi" w:hAnsiTheme="minorHAnsi" w:cstheme="minorHAnsi"/>
                <w:color w:val="000000" w:themeColor="text1"/>
                <w:sz w:val="18"/>
                <w:szCs w:val="18"/>
              </w:rPr>
              <w:t>.</w:t>
            </w:r>
          </w:p>
        </w:tc>
      </w:tr>
      <w:tr w:rsidR="0059116C" w:rsidRPr="007C4D65" w14:paraId="50F43054" w14:textId="77777777" w:rsidTr="00B6017F">
        <w:trPr>
          <w:trHeight w:val="567"/>
          <w:jc w:val="center"/>
        </w:trPr>
        <w:tc>
          <w:tcPr>
            <w:tcW w:w="1429" w:type="pct"/>
            <w:shd w:val="clear" w:color="auto" w:fill="009D73"/>
            <w:vAlign w:val="center"/>
          </w:tcPr>
          <w:p w14:paraId="22EB01ED"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Strategic projects</w:t>
            </w:r>
          </w:p>
        </w:tc>
        <w:tc>
          <w:tcPr>
            <w:tcW w:w="3571" w:type="pct"/>
            <w:gridSpan w:val="3"/>
            <w:shd w:val="clear" w:color="auto" w:fill="auto"/>
            <w:vAlign w:val="center"/>
          </w:tcPr>
          <w:p w14:paraId="2CB5AE80"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2342D2ED" w14:textId="77777777" w:rsidTr="00B6017F">
        <w:trPr>
          <w:trHeight w:val="274"/>
          <w:jc w:val="center"/>
        </w:trPr>
        <w:tc>
          <w:tcPr>
            <w:tcW w:w="1429" w:type="pct"/>
            <w:vMerge w:val="restart"/>
            <w:shd w:val="clear" w:color="auto" w:fill="009D73"/>
            <w:vAlign w:val="center"/>
          </w:tcPr>
          <w:p w14:paraId="42EED976"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Indicators for monitoring of results of measures</w:t>
            </w:r>
          </w:p>
        </w:tc>
        <w:tc>
          <w:tcPr>
            <w:tcW w:w="1038" w:type="pct"/>
            <w:shd w:val="clear" w:color="auto" w:fill="009D73"/>
            <w:vAlign w:val="center"/>
          </w:tcPr>
          <w:p w14:paraId="601960A0"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489CD562" w14:textId="1E8F7836"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shd w:val="clear" w:color="auto" w:fill="009D73"/>
            <w:vAlign w:val="center"/>
          </w:tcPr>
          <w:p w14:paraId="43B2E2B9"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40B0B00B"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shd w:val="clear" w:color="auto" w:fill="009D73"/>
            <w:vAlign w:val="center"/>
          </w:tcPr>
          <w:p w14:paraId="555E71DB"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5A481863" w14:textId="77777777" w:rsidTr="00B6017F">
        <w:trPr>
          <w:trHeight w:val="567"/>
          <w:jc w:val="center"/>
        </w:trPr>
        <w:tc>
          <w:tcPr>
            <w:tcW w:w="1429" w:type="pct"/>
            <w:vMerge/>
            <w:shd w:val="clear" w:color="auto" w:fill="009D73"/>
            <w:vAlign w:val="center"/>
          </w:tcPr>
          <w:p w14:paraId="55A284F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56D31041"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the method for harmonized sampling, assessment and monitoring status of forests, in accordance with previously identified indicators</w:t>
            </w:r>
          </w:p>
        </w:tc>
        <w:tc>
          <w:tcPr>
            <w:tcW w:w="1266" w:type="pct"/>
            <w:shd w:val="clear" w:color="auto" w:fill="FFFFFF"/>
            <w:vAlign w:val="center"/>
          </w:tcPr>
          <w:p w14:paraId="7A236D5E" w14:textId="040C60E0"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In the Federation of BiH, there is no identified standard method for sampling, assessment and monitoring status of forests</w:t>
            </w:r>
          </w:p>
        </w:tc>
        <w:tc>
          <w:tcPr>
            <w:tcW w:w="1267" w:type="pct"/>
            <w:shd w:val="clear" w:color="auto" w:fill="FFFFFF"/>
            <w:vAlign w:val="center"/>
          </w:tcPr>
          <w:p w14:paraId="3C27B499"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the end of 2023, adopted the standardized method</w:t>
            </w:r>
          </w:p>
        </w:tc>
      </w:tr>
      <w:tr w:rsidR="0059116C" w:rsidRPr="007C4D65" w14:paraId="0C0115C2" w14:textId="77777777" w:rsidTr="00B6017F">
        <w:trPr>
          <w:trHeight w:val="567"/>
          <w:jc w:val="center"/>
        </w:trPr>
        <w:tc>
          <w:tcPr>
            <w:tcW w:w="1429" w:type="pct"/>
            <w:vMerge/>
            <w:shd w:val="clear" w:color="auto" w:fill="009D73"/>
            <w:vAlign w:val="center"/>
          </w:tcPr>
          <w:p w14:paraId="1ADC80C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18445072"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a rulebook specifying the method of monitoring health status of forests, method of conducting health protection of forests, and reporting methods</w:t>
            </w:r>
          </w:p>
        </w:tc>
        <w:tc>
          <w:tcPr>
            <w:tcW w:w="1266" w:type="pct"/>
            <w:shd w:val="clear" w:color="auto" w:fill="FFFFFF"/>
            <w:vAlign w:val="center"/>
          </w:tcPr>
          <w:p w14:paraId="0FCEE136"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In the Federation of BiH, existence of standardised sampling, assessment and monitoring of status of forests is not regulated by law</w:t>
            </w:r>
          </w:p>
        </w:tc>
        <w:tc>
          <w:tcPr>
            <w:tcW w:w="1267" w:type="pct"/>
            <w:shd w:val="clear" w:color="auto" w:fill="FFFFFF"/>
            <w:vAlign w:val="center"/>
          </w:tcPr>
          <w:p w14:paraId="0EA28626"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the end of 2024, adopt the Rulebook</w:t>
            </w:r>
          </w:p>
        </w:tc>
      </w:tr>
      <w:tr w:rsidR="0059116C" w:rsidRPr="007C4D65" w14:paraId="7CA24E92" w14:textId="77777777" w:rsidTr="00B6017F">
        <w:trPr>
          <w:trHeight w:val="567"/>
          <w:jc w:val="center"/>
        </w:trPr>
        <w:tc>
          <w:tcPr>
            <w:tcW w:w="1429" w:type="pct"/>
            <w:vMerge/>
            <w:shd w:val="clear" w:color="auto" w:fill="009D73"/>
            <w:vAlign w:val="center"/>
          </w:tcPr>
          <w:p w14:paraId="20AC5E9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0FB47ECD" w14:textId="77777777" w:rsidR="0059116C" w:rsidRPr="007C4D65" w:rsidRDefault="0059116C" w:rsidP="00B6017F">
            <w:pPr>
              <w:spacing w:before="40" w:after="40" w:line="276" w:lineRule="auto"/>
              <w:rPr>
                <w:rFonts w:asciiTheme="minorHAnsi" w:eastAsia="Calibri" w:hAnsiTheme="minorHAnsi" w:cstheme="minorHAnsi"/>
                <w:color w:val="000000" w:themeColor="text1"/>
                <w:sz w:val="18"/>
                <w:szCs w:val="18"/>
              </w:rPr>
            </w:pPr>
            <w:r w:rsidRPr="007C4D65">
              <w:rPr>
                <w:rFonts w:asciiTheme="minorHAnsi" w:hAnsiTheme="minorHAnsi" w:cstheme="minorHAnsi"/>
                <w:color w:val="000000" w:themeColor="text1"/>
                <w:sz w:val="18"/>
                <w:szCs w:val="18"/>
              </w:rPr>
              <w:t>Existence of a network of monitoring points</w:t>
            </w:r>
          </w:p>
        </w:tc>
        <w:tc>
          <w:tcPr>
            <w:tcW w:w="1266" w:type="pct"/>
            <w:shd w:val="clear" w:color="auto" w:fill="FFFFFF"/>
            <w:vAlign w:val="center"/>
          </w:tcPr>
          <w:p w14:paraId="1A7132B3"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sz w:val="18"/>
                <w:szCs w:val="18"/>
              </w:rPr>
              <w:t>In Federation of BiH, the network of monitoring points has not been identified</w:t>
            </w:r>
          </w:p>
        </w:tc>
        <w:tc>
          <w:tcPr>
            <w:tcW w:w="1267" w:type="pct"/>
            <w:shd w:val="clear" w:color="auto" w:fill="FFFFFF"/>
            <w:vAlign w:val="center"/>
          </w:tcPr>
          <w:p w14:paraId="03B2C7A9"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By the end of 2025, identify and set up a network of monitoring points</w:t>
            </w:r>
          </w:p>
        </w:tc>
      </w:tr>
      <w:tr w:rsidR="0059116C" w:rsidRPr="007C4D65" w14:paraId="3B9F0F04" w14:textId="77777777" w:rsidTr="00B6017F">
        <w:trPr>
          <w:trHeight w:val="567"/>
          <w:jc w:val="center"/>
        </w:trPr>
        <w:tc>
          <w:tcPr>
            <w:tcW w:w="1429" w:type="pct"/>
            <w:vMerge/>
            <w:shd w:val="clear" w:color="auto" w:fill="009D73"/>
            <w:vAlign w:val="center"/>
          </w:tcPr>
          <w:p w14:paraId="79AD2F5F"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03FF44EE"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 </w:t>
            </w:r>
            <w:proofErr w:type="gramStart"/>
            <w:r w:rsidRPr="007C4D65">
              <w:rPr>
                <w:rFonts w:asciiTheme="minorHAnsi" w:hAnsiTheme="minorHAnsi" w:cstheme="minorHAnsi"/>
                <w:color w:val="000000" w:themeColor="text1"/>
                <w:sz w:val="18"/>
                <w:szCs w:val="18"/>
              </w:rPr>
              <w:t>of</w:t>
            </w:r>
            <w:proofErr w:type="gramEnd"/>
            <w:r w:rsidRPr="007C4D65">
              <w:rPr>
                <w:rFonts w:asciiTheme="minorHAnsi" w:hAnsiTheme="minorHAnsi" w:cstheme="minorHAnsi"/>
                <w:color w:val="000000" w:themeColor="text1"/>
                <w:sz w:val="18"/>
                <w:szCs w:val="18"/>
              </w:rPr>
              <w:t xml:space="preserve"> forest users and cantonal forest management companies trained to carry out monitoring of </w:t>
            </w:r>
            <w:r w:rsidRPr="007C4D65">
              <w:rPr>
                <w:rFonts w:asciiTheme="minorHAnsi" w:hAnsiTheme="minorHAnsi" w:cstheme="minorHAnsi"/>
                <w:color w:val="000000" w:themeColor="text1"/>
                <w:sz w:val="18"/>
                <w:szCs w:val="18"/>
              </w:rPr>
              <w:lastRenderedPageBreak/>
              <w:t>forest status in accordance with the new method</w:t>
            </w:r>
          </w:p>
        </w:tc>
        <w:tc>
          <w:tcPr>
            <w:tcW w:w="1266" w:type="pct"/>
            <w:shd w:val="clear" w:color="auto" w:fill="FFFFFF"/>
            <w:vAlign w:val="center"/>
          </w:tcPr>
          <w:p w14:paraId="730403D9"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lastRenderedPageBreak/>
              <w:t xml:space="preserve">Forest users and cantonal forest management companies have not had training programmes regarding sampling, </w:t>
            </w:r>
            <w:r w:rsidRPr="007C4D65">
              <w:rPr>
                <w:rFonts w:asciiTheme="minorHAnsi" w:hAnsiTheme="minorHAnsi" w:cstheme="minorHAnsi"/>
                <w:color w:val="000000" w:themeColor="text1"/>
                <w:sz w:val="18"/>
                <w:szCs w:val="18"/>
              </w:rPr>
              <w:lastRenderedPageBreak/>
              <w:t>assessment and monitoring the status of forests</w:t>
            </w:r>
          </w:p>
        </w:tc>
        <w:tc>
          <w:tcPr>
            <w:tcW w:w="1267" w:type="pct"/>
            <w:shd w:val="clear" w:color="auto" w:fill="FFFFFF"/>
            <w:vAlign w:val="center"/>
          </w:tcPr>
          <w:p w14:paraId="7C148E2B"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lastRenderedPageBreak/>
              <w:t>By the end of 2026, all forest users and cantonal forest management companies have received training (100%)</w:t>
            </w:r>
          </w:p>
        </w:tc>
      </w:tr>
      <w:tr w:rsidR="0059116C" w:rsidRPr="007C4D65" w14:paraId="4032B814" w14:textId="77777777" w:rsidTr="00B6017F">
        <w:trPr>
          <w:trHeight w:val="567"/>
          <w:jc w:val="center"/>
        </w:trPr>
        <w:tc>
          <w:tcPr>
            <w:tcW w:w="1429" w:type="pct"/>
            <w:shd w:val="clear" w:color="auto" w:fill="009D73"/>
            <w:vAlign w:val="center"/>
          </w:tcPr>
          <w:p w14:paraId="600FEEFB"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priorities</w:t>
            </w:r>
          </w:p>
        </w:tc>
        <w:tc>
          <w:tcPr>
            <w:tcW w:w="3571" w:type="pct"/>
            <w:gridSpan w:val="3"/>
            <w:shd w:val="clear" w:color="auto" w:fill="FFFFFF"/>
            <w:vAlign w:val="center"/>
          </w:tcPr>
          <w:p w14:paraId="5E500DEA"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Improvement of forest management</w:t>
            </w:r>
          </w:p>
        </w:tc>
      </w:tr>
      <w:tr w:rsidR="0059116C" w:rsidRPr="007C4D65" w14:paraId="26DE675C" w14:textId="77777777" w:rsidTr="00B6017F">
        <w:trPr>
          <w:trHeight w:val="567"/>
          <w:jc w:val="center"/>
        </w:trPr>
        <w:tc>
          <w:tcPr>
            <w:tcW w:w="1429" w:type="pct"/>
            <w:shd w:val="clear" w:color="auto" w:fill="009D73"/>
            <w:vAlign w:val="center"/>
          </w:tcPr>
          <w:p w14:paraId="74CCAA95"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71" w:type="pct"/>
            <w:gridSpan w:val="3"/>
            <w:shd w:val="clear" w:color="auto" w:fill="FFFFFF"/>
            <w:vAlign w:val="center"/>
          </w:tcPr>
          <w:p w14:paraId="6AB915BB" w14:textId="77777777" w:rsidR="0059116C" w:rsidRPr="007C4D65" w:rsidRDefault="0059116C"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Amount: BAM 100,778 </w:t>
            </w:r>
          </w:p>
          <w:p w14:paraId="59838DA9"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sz w:val="18"/>
                <w:szCs w:val="18"/>
              </w:rPr>
              <w:t>Source: 100% government budget</w:t>
            </w:r>
          </w:p>
        </w:tc>
      </w:tr>
      <w:tr w:rsidR="0059116C" w:rsidRPr="007C4D65" w14:paraId="1D50CDD1" w14:textId="77777777" w:rsidTr="00B6017F">
        <w:trPr>
          <w:trHeight w:val="567"/>
          <w:jc w:val="center"/>
        </w:trPr>
        <w:tc>
          <w:tcPr>
            <w:tcW w:w="1429" w:type="pct"/>
            <w:shd w:val="clear" w:color="auto" w:fill="009D73"/>
            <w:vAlign w:val="center"/>
          </w:tcPr>
          <w:p w14:paraId="3D2FFB8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71" w:type="pct"/>
            <w:gridSpan w:val="3"/>
            <w:shd w:val="clear" w:color="auto" w:fill="FFFFFF"/>
            <w:vAlign w:val="center"/>
          </w:tcPr>
          <w:p w14:paraId="74D15257"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2022‒2026</w:t>
            </w:r>
          </w:p>
        </w:tc>
      </w:tr>
      <w:tr w:rsidR="0059116C" w:rsidRPr="007C4D65" w14:paraId="3C457050" w14:textId="77777777" w:rsidTr="00B6017F">
        <w:trPr>
          <w:trHeight w:val="567"/>
          <w:jc w:val="center"/>
        </w:trPr>
        <w:tc>
          <w:tcPr>
            <w:tcW w:w="1429" w:type="pct"/>
            <w:shd w:val="clear" w:color="auto" w:fill="009D73"/>
            <w:vAlign w:val="center"/>
          </w:tcPr>
          <w:p w14:paraId="3FF4884B"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Institution responsible for coordination and implementation of the measure</w:t>
            </w:r>
          </w:p>
        </w:tc>
        <w:tc>
          <w:tcPr>
            <w:tcW w:w="3571" w:type="pct"/>
            <w:gridSpan w:val="3"/>
            <w:shd w:val="clear" w:color="auto" w:fill="FFFFFF"/>
            <w:vAlign w:val="center"/>
          </w:tcPr>
          <w:p w14:paraId="231D7605"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Agriculture, Forestry and Water Management</w:t>
            </w:r>
          </w:p>
        </w:tc>
      </w:tr>
      <w:tr w:rsidR="0059116C" w:rsidRPr="007C4D65" w14:paraId="479D24B1" w14:textId="77777777" w:rsidTr="00B6017F">
        <w:trPr>
          <w:trHeight w:val="567"/>
          <w:jc w:val="center"/>
        </w:trPr>
        <w:tc>
          <w:tcPr>
            <w:tcW w:w="1429" w:type="pct"/>
            <w:shd w:val="clear" w:color="auto" w:fill="009D73"/>
            <w:vAlign w:val="center"/>
          </w:tcPr>
          <w:p w14:paraId="4EF2866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Implementing institution</w:t>
            </w:r>
          </w:p>
        </w:tc>
        <w:tc>
          <w:tcPr>
            <w:tcW w:w="3571" w:type="pct"/>
            <w:gridSpan w:val="3"/>
            <w:shd w:val="clear" w:color="auto" w:fill="FFFFFF"/>
            <w:vAlign w:val="center"/>
          </w:tcPr>
          <w:p w14:paraId="4919FE7F"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Agriculture, Forestry and Water Management</w:t>
            </w:r>
          </w:p>
          <w:p w14:paraId="05451E04"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color w:val="000000"/>
                <w:sz w:val="18"/>
                <w:szCs w:val="18"/>
              </w:rPr>
              <w:t>Competent cantonal ministries</w:t>
            </w:r>
          </w:p>
        </w:tc>
      </w:tr>
      <w:tr w:rsidR="0059116C" w:rsidRPr="007C4D65" w14:paraId="597284E0" w14:textId="77777777" w:rsidTr="00B6017F">
        <w:trPr>
          <w:trHeight w:val="567"/>
          <w:jc w:val="center"/>
        </w:trPr>
        <w:tc>
          <w:tcPr>
            <w:tcW w:w="1429" w:type="pct"/>
            <w:shd w:val="clear" w:color="auto" w:fill="009D73"/>
            <w:vAlign w:val="center"/>
          </w:tcPr>
          <w:p w14:paraId="72957EB4" w14:textId="4D431BD0" w:rsidR="0059116C" w:rsidRPr="007C4D65" w:rsidRDefault="00963086" w:rsidP="00B6017F">
            <w:pPr>
              <w:spacing w:before="40" w:after="40" w:line="276" w:lineRule="auto"/>
              <w:rPr>
                <w:rFonts w:asciiTheme="minorHAnsi" w:eastAsiaTheme="minorHAnsi" w:hAnsiTheme="minorHAnsi" w:cstheme="minorHAnsi"/>
                <w:b/>
                <w:bCs/>
                <w:color w:val="000000" w:themeColor="text1"/>
                <w:sz w:val="18"/>
                <w:szCs w:val="18"/>
              </w:rPr>
            </w:pPr>
            <w:r w:rsidRPr="007C4D65">
              <w:rPr>
                <w:rFonts w:asciiTheme="minorHAnsi" w:hAnsiTheme="minorHAnsi" w:cstheme="minorHAnsi"/>
                <w:b/>
                <w:bCs/>
                <w:color w:val="FFFFFF" w:themeColor="background1"/>
                <w:sz w:val="18"/>
                <w:szCs w:val="18"/>
              </w:rPr>
              <w:t>Target groups</w:t>
            </w:r>
          </w:p>
        </w:tc>
        <w:tc>
          <w:tcPr>
            <w:tcW w:w="3571" w:type="pct"/>
            <w:gridSpan w:val="3"/>
            <w:shd w:val="clear" w:color="auto" w:fill="FFFFFF"/>
            <w:vAlign w:val="center"/>
          </w:tcPr>
          <w:p w14:paraId="6C2AA883"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Competent ministries</w:t>
            </w:r>
          </w:p>
          <w:p w14:paraId="3B8FA3CC" w14:textId="77777777" w:rsidR="0059116C" w:rsidRPr="007C4D65" w:rsidRDefault="0059116C" w:rsidP="00B6017F">
            <w:pPr>
              <w:spacing w:before="40" w:after="40" w:line="276" w:lineRule="auto"/>
              <w:rPr>
                <w:rFonts w:asciiTheme="minorHAnsi" w:eastAsiaTheme="minorHAnsi" w:hAnsiTheme="minorHAnsi" w:cstheme="minorHAnsi"/>
                <w:strike/>
                <w:color w:val="000000" w:themeColor="text1"/>
                <w:sz w:val="18"/>
                <w:szCs w:val="18"/>
              </w:rPr>
            </w:pPr>
            <w:r w:rsidRPr="007C4D65">
              <w:rPr>
                <w:rFonts w:asciiTheme="minorHAnsi" w:hAnsiTheme="minorHAnsi" w:cstheme="minorHAnsi"/>
                <w:color w:val="000000" w:themeColor="text1"/>
                <w:sz w:val="18"/>
                <w:szCs w:val="18"/>
              </w:rPr>
              <w:t xml:space="preserve">Cantonal forest management companies </w:t>
            </w:r>
          </w:p>
          <w:p w14:paraId="108BACD8"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Forest users</w:t>
            </w:r>
          </w:p>
        </w:tc>
      </w:tr>
    </w:tbl>
    <w:p w14:paraId="19607E3D" w14:textId="77777777" w:rsidR="0059116C" w:rsidRPr="007C4D65" w:rsidRDefault="0059116C" w:rsidP="0059116C">
      <w:pPr>
        <w:spacing w:line="276" w:lineRule="auto"/>
        <w:rPr>
          <w:rFonts w:asciiTheme="minorHAnsi" w:eastAsiaTheme="minorHAnsi" w:hAnsiTheme="minorHAnsi" w:cstheme="minorHAnsi"/>
          <w:color w:val="000000" w:themeColor="text1"/>
          <w:sz w:val="18"/>
          <w:szCs w:val="18"/>
          <w:lang w:val="hr-HR" w:eastAsia="en-US"/>
        </w:rPr>
      </w:pPr>
    </w:p>
    <w:tbl>
      <w:tblPr>
        <w:tblW w:w="4802"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8"/>
        <w:gridCol w:w="2781"/>
        <w:gridCol w:w="3392"/>
        <w:gridCol w:w="3395"/>
      </w:tblGrid>
      <w:tr w:rsidR="0059116C" w:rsidRPr="007C4D65" w14:paraId="0330C3A0" w14:textId="77777777" w:rsidTr="00B6017F">
        <w:trPr>
          <w:trHeight w:val="567"/>
          <w:jc w:val="center"/>
        </w:trPr>
        <w:tc>
          <w:tcPr>
            <w:tcW w:w="1429" w:type="pct"/>
            <w:shd w:val="clear" w:color="auto" w:fill="009D73"/>
            <w:vAlign w:val="center"/>
          </w:tcPr>
          <w:p w14:paraId="25D79D1D" w14:textId="250A23EA"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71" w:type="pct"/>
            <w:gridSpan w:val="3"/>
            <w:shd w:val="clear" w:color="auto" w:fill="FFFFFF"/>
            <w:vAlign w:val="center"/>
          </w:tcPr>
          <w:p w14:paraId="5BB328CA" w14:textId="6D77D6F2" w:rsidR="0059116C" w:rsidRPr="007C4D65" w:rsidRDefault="0059116C" w:rsidP="00B6017F">
            <w:pPr>
              <w:spacing w:line="276" w:lineRule="auto"/>
              <w:rPr>
                <w:rFonts w:asciiTheme="minorHAnsi" w:eastAsiaTheme="minorHAnsi" w:hAnsiTheme="minorHAnsi" w:cstheme="minorHAnsi"/>
                <w:b/>
                <w:bCs/>
                <w:color w:val="000000" w:themeColor="text1"/>
                <w:sz w:val="18"/>
                <w:szCs w:val="18"/>
              </w:rPr>
            </w:pPr>
            <w:r w:rsidRPr="007C4D65">
              <w:rPr>
                <w:rFonts w:asciiTheme="minorHAnsi" w:hAnsiTheme="minorHAnsi" w:cstheme="minorHAnsi"/>
                <w:b/>
                <w:bCs/>
                <w:color w:val="000000" w:themeColor="text1"/>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4ABADB8F" w14:textId="77777777" w:rsidTr="00B6017F">
        <w:trPr>
          <w:trHeight w:val="567"/>
          <w:jc w:val="center"/>
        </w:trPr>
        <w:tc>
          <w:tcPr>
            <w:tcW w:w="1429" w:type="pct"/>
            <w:shd w:val="clear" w:color="auto" w:fill="009D73"/>
            <w:vAlign w:val="center"/>
          </w:tcPr>
          <w:p w14:paraId="00CD765E"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71" w:type="pct"/>
            <w:gridSpan w:val="3"/>
            <w:shd w:val="clear" w:color="auto" w:fill="FFFFFF"/>
            <w:vAlign w:val="center"/>
          </w:tcPr>
          <w:p w14:paraId="6542B231" w14:textId="43661D1A" w:rsidR="0059116C" w:rsidRPr="007C4D65" w:rsidRDefault="0059116C" w:rsidP="00B6017F">
            <w:pPr>
              <w:spacing w:before="40" w:after="40" w:line="276" w:lineRule="auto"/>
              <w:rPr>
                <w:rFonts w:asciiTheme="minorHAnsi" w:eastAsiaTheme="minorHAnsi" w:hAnsiTheme="minorHAnsi" w:cstheme="minorHAnsi"/>
                <w:b/>
                <w:bCs/>
                <w:color w:val="000000" w:themeColor="text1"/>
                <w:sz w:val="18"/>
                <w:szCs w:val="18"/>
              </w:rPr>
            </w:pPr>
            <w:r w:rsidRPr="007C4D65">
              <w:rPr>
                <w:rFonts w:asciiTheme="minorHAnsi" w:hAnsiTheme="minorHAnsi" w:cstheme="minorHAnsi"/>
                <w:b/>
                <w:bCs/>
                <w:color w:val="000000" w:themeColor="text1"/>
                <w:sz w:val="18"/>
                <w:szCs w:val="18"/>
              </w:rPr>
              <w:t xml:space="preserve">6.1. </w:t>
            </w:r>
            <w:r w:rsidR="00DF4EC7" w:rsidRPr="007C4D65">
              <w:rPr>
                <w:rFonts w:asciiTheme="minorHAnsi" w:hAnsiTheme="minorHAnsi" w:cstheme="minorHAnsi"/>
                <w:b/>
                <w:bCs/>
                <w:color w:val="000000" w:themeColor="text1"/>
                <w:sz w:val="18"/>
                <w:szCs w:val="18"/>
              </w:rPr>
              <w:t>Establish an effective legal, strategic and institutional framework for sustainable forest and forest resources management in the Federation of BiH, appropriate valuation of forest resources, and ensure integration of gender and climate change issues</w:t>
            </w:r>
          </w:p>
        </w:tc>
      </w:tr>
      <w:tr w:rsidR="0059116C" w:rsidRPr="007C4D65" w14:paraId="1754138A" w14:textId="77777777" w:rsidTr="00B6017F">
        <w:trPr>
          <w:trHeight w:val="567"/>
          <w:jc w:val="center"/>
        </w:trPr>
        <w:tc>
          <w:tcPr>
            <w:tcW w:w="1429" w:type="pct"/>
            <w:shd w:val="clear" w:color="auto" w:fill="009D73"/>
            <w:vAlign w:val="center"/>
          </w:tcPr>
          <w:p w14:paraId="7D85DAE8" w14:textId="7432A016"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71" w:type="pct"/>
            <w:gridSpan w:val="3"/>
            <w:shd w:val="clear" w:color="auto" w:fill="FFFFFF"/>
            <w:vAlign w:val="center"/>
          </w:tcPr>
          <w:p w14:paraId="132BEDF2" w14:textId="75FE7CA2" w:rsidR="0059116C" w:rsidRPr="007C4D65" w:rsidRDefault="0059116C" w:rsidP="00B6017F">
            <w:pPr>
              <w:spacing w:before="40" w:after="40" w:line="276" w:lineRule="auto"/>
              <w:rPr>
                <w:rFonts w:asciiTheme="minorHAnsi" w:eastAsia="Calibri" w:hAnsiTheme="minorHAnsi" w:cstheme="minorHAnsi"/>
                <w:b/>
                <w:bCs/>
                <w:color w:val="000000" w:themeColor="text1"/>
                <w:sz w:val="18"/>
                <w:szCs w:val="18"/>
              </w:rPr>
            </w:pPr>
            <w:r w:rsidRPr="007C4D65">
              <w:rPr>
                <w:rFonts w:asciiTheme="minorHAnsi" w:hAnsiTheme="minorHAnsi" w:cstheme="minorHAnsi"/>
                <w:b/>
                <w:bCs/>
                <w:color w:val="000000" w:themeColor="text1"/>
                <w:sz w:val="18"/>
                <w:szCs w:val="18"/>
              </w:rPr>
              <w:t xml:space="preserve">6.1.4. Enhancing </w:t>
            </w:r>
            <w:r w:rsidR="004B4EEC" w:rsidRPr="007C4D65">
              <w:rPr>
                <w:rFonts w:asciiTheme="minorHAnsi" w:hAnsiTheme="minorHAnsi" w:cstheme="minorHAnsi"/>
                <w:b/>
                <w:bCs/>
                <w:color w:val="000000" w:themeColor="text1"/>
                <w:sz w:val="18"/>
                <w:szCs w:val="18"/>
              </w:rPr>
              <w:t>access to</w:t>
            </w:r>
            <w:r w:rsidRPr="007C4D65">
              <w:rPr>
                <w:rFonts w:asciiTheme="minorHAnsi" w:hAnsiTheme="minorHAnsi" w:cstheme="minorHAnsi"/>
                <w:b/>
                <w:bCs/>
                <w:color w:val="000000" w:themeColor="text1"/>
                <w:sz w:val="18"/>
                <w:szCs w:val="18"/>
              </w:rPr>
              <w:t xml:space="preserve"> forests and </w:t>
            </w:r>
            <w:r w:rsidR="004B4EEC" w:rsidRPr="007C4D65">
              <w:rPr>
                <w:rFonts w:asciiTheme="minorHAnsi" w:hAnsiTheme="minorHAnsi" w:cstheme="minorHAnsi"/>
                <w:b/>
                <w:bCs/>
                <w:color w:val="000000" w:themeColor="text1"/>
                <w:sz w:val="18"/>
                <w:szCs w:val="18"/>
              </w:rPr>
              <w:t>training</w:t>
            </w:r>
            <w:r w:rsidRPr="007C4D65">
              <w:rPr>
                <w:rFonts w:asciiTheme="minorHAnsi" w:hAnsiTheme="minorHAnsi" w:cstheme="minorHAnsi"/>
                <w:b/>
                <w:bCs/>
                <w:color w:val="000000" w:themeColor="text1"/>
                <w:sz w:val="18"/>
                <w:szCs w:val="18"/>
              </w:rPr>
              <w:t xml:space="preserve"> forest users </w:t>
            </w:r>
            <w:r w:rsidR="004B4EEC" w:rsidRPr="007C4D65">
              <w:rPr>
                <w:rFonts w:asciiTheme="minorHAnsi" w:hAnsiTheme="minorHAnsi" w:cstheme="minorHAnsi"/>
                <w:b/>
                <w:bCs/>
                <w:color w:val="000000" w:themeColor="text1"/>
                <w:sz w:val="18"/>
                <w:szCs w:val="18"/>
              </w:rPr>
              <w:t>in</w:t>
            </w:r>
            <w:r w:rsidRPr="007C4D65">
              <w:rPr>
                <w:rFonts w:asciiTheme="minorHAnsi" w:hAnsiTheme="minorHAnsi" w:cstheme="minorHAnsi"/>
                <w:b/>
                <w:bCs/>
                <w:color w:val="000000" w:themeColor="text1"/>
                <w:sz w:val="18"/>
                <w:szCs w:val="18"/>
              </w:rPr>
              <w:t xml:space="preserve"> early detection and prevention of forest fires</w:t>
            </w:r>
          </w:p>
        </w:tc>
      </w:tr>
      <w:tr w:rsidR="0059116C" w:rsidRPr="007C4D65" w14:paraId="591582B7" w14:textId="77777777" w:rsidTr="00B6017F">
        <w:trPr>
          <w:trHeight w:val="567"/>
          <w:jc w:val="center"/>
        </w:trPr>
        <w:tc>
          <w:tcPr>
            <w:tcW w:w="1429" w:type="pct"/>
            <w:shd w:val="clear" w:color="auto" w:fill="009D73"/>
            <w:vAlign w:val="center"/>
          </w:tcPr>
          <w:p w14:paraId="0F7E589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71" w:type="pct"/>
            <w:gridSpan w:val="3"/>
            <w:shd w:val="clear" w:color="auto" w:fill="FFFFFF"/>
            <w:vAlign w:val="center"/>
          </w:tcPr>
          <w:p w14:paraId="7D189ECB"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This measure aims to ensure conditions for early detection and prevention of forest fires and includes technical, equipment procurement measures and training of the forest users’ employees. The measure includes following activities:</w:t>
            </w:r>
          </w:p>
          <w:p w14:paraId="3490D612" w14:textId="4710AEDF" w:rsidR="0059116C" w:rsidRPr="007C4D65" w:rsidRDefault="0059116C">
            <w:pPr>
              <w:numPr>
                <w:ilvl w:val="0"/>
                <w:numId w:val="70"/>
              </w:numPr>
              <w:spacing w:before="40" w:after="40" w:line="276" w:lineRule="auto"/>
              <w:ind w:left="360"/>
              <w:contextualSpacing/>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Developing plans for construction of </w:t>
            </w:r>
            <w:proofErr w:type="gramStart"/>
            <w:r w:rsidRPr="007C4D65">
              <w:rPr>
                <w:rFonts w:asciiTheme="minorHAnsi" w:hAnsiTheme="minorHAnsi" w:cstheme="minorHAnsi"/>
                <w:color w:val="000000" w:themeColor="text1"/>
                <w:sz w:val="18"/>
                <w:szCs w:val="18"/>
              </w:rPr>
              <w:t>fire-breaks</w:t>
            </w:r>
            <w:proofErr w:type="gramEnd"/>
            <w:r w:rsidRPr="007C4D65">
              <w:rPr>
                <w:rFonts w:asciiTheme="minorHAnsi" w:hAnsiTheme="minorHAnsi" w:cstheme="minorHAnsi"/>
                <w:color w:val="000000" w:themeColor="text1"/>
                <w:sz w:val="18"/>
                <w:szCs w:val="18"/>
              </w:rPr>
              <w:t xml:space="preserve"> (cuts through the growth)</w:t>
            </w:r>
            <w:r w:rsidR="00A970D9" w:rsidRPr="007C4D65">
              <w:rPr>
                <w:rFonts w:asciiTheme="minorHAnsi" w:eastAsiaTheme="minorHAnsi" w:hAnsiTheme="minorHAnsi" w:cstheme="minorHAnsi"/>
                <w:color w:val="000000" w:themeColor="text1"/>
                <w:sz w:val="18"/>
                <w:szCs w:val="18"/>
              </w:rPr>
              <w:t>;</w:t>
            </w:r>
          </w:p>
          <w:p w14:paraId="337141FD" w14:textId="66117767" w:rsidR="0059116C" w:rsidRPr="007C4D65" w:rsidRDefault="0059116C">
            <w:pPr>
              <w:numPr>
                <w:ilvl w:val="0"/>
                <w:numId w:val="70"/>
              </w:numPr>
              <w:spacing w:before="40" w:after="40" w:line="276" w:lineRule="auto"/>
              <w:ind w:left="360"/>
              <w:contextualSpacing/>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Procurement of vehicles and appropriate techniques and tools for cutting trees and making </w:t>
            </w:r>
            <w:proofErr w:type="gramStart"/>
            <w:r w:rsidRPr="007C4D65">
              <w:rPr>
                <w:rFonts w:asciiTheme="minorHAnsi" w:hAnsiTheme="minorHAnsi" w:cstheme="minorHAnsi"/>
                <w:color w:val="000000" w:themeColor="text1"/>
                <w:sz w:val="18"/>
                <w:szCs w:val="18"/>
              </w:rPr>
              <w:t>fire-breaks</w:t>
            </w:r>
            <w:proofErr w:type="gramEnd"/>
            <w:r w:rsidRPr="007C4D65">
              <w:rPr>
                <w:rFonts w:asciiTheme="minorHAnsi" w:hAnsiTheme="minorHAnsi" w:cstheme="minorHAnsi"/>
                <w:color w:val="000000" w:themeColor="text1"/>
                <w:sz w:val="18"/>
                <w:szCs w:val="18"/>
              </w:rPr>
              <w:t xml:space="preserve"> for the needs of forest management companies</w:t>
            </w:r>
            <w:r w:rsidR="00A970D9" w:rsidRPr="007C4D65">
              <w:rPr>
                <w:rFonts w:asciiTheme="minorHAnsi" w:eastAsiaTheme="minorHAnsi" w:hAnsiTheme="minorHAnsi" w:cstheme="minorHAnsi"/>
                <w:color w:val="000000" w:themeColor="text1"/>
                <w:sz w:val="18"/>
                <w:szCs w:val="18"/>
              </w:rPr>
              <w:t>;</w:t>
            </w:r>
          </w:p>
          <w:p w14:paraId="1AFD4B66" w14:textId="471E94D1" w:rsidR="0059116C" w:rsidRPr="007C4D65" w:rsidRDefault="0059116C">
            <w:pPr>
              <w:numPr>
                <w:ilvl w:val="0"/>
                <w:numId w:val="70"/>
              </w:numPr>
              <w:spacing w:before="40" w:after="40" w:line="276" w:lineRule="auto"/>
              <w:ind w:left="360"/>
              <w:contextualSpacing/>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Construction of fire-beaks with elements of forest </w:t>
            </w:r>
            <w:proofErr w:type="gramStart"/>
            <w:r w:rsidRPr="007C4D65">
              <w:rPr>
                <w:rFonts w:asciiTheme="minorHAnsi" w:hAnsiTheme="minorHAnsi" w:cstheme="minorHAnsi"/>
                <w:color w:val="000000" w:themeColor="text1"/>
                <w:sz w:val="18"/>
                <w:szCs w:val="18"/>
              </w:rPr>
              <w:t>roads</w:t>
            </w:r>
            <w:r w:rsidR="00A970D9" w:rsidRPr="007C4D65">
              <w:rPr>
                <w:rFonts w:asciiTheme="minorHAnsi" w:hAnsiTheme="minorHAnsi" w:cstheme="minorHAnsi"/>
                <w:color w:val="000000" w:themeColor="text1"/>
                <w:sz w:val="18"/>
                <w:szCs w:val="18"/>
              </w:rPr>
              <w:t>;</w:t>
            </w:r>
            <w:proofErr w:type="gramEnd"/>
          </w:p>
          <w:p w14:paraId="02423C49" w14:textId="77777777" w:rsidR="0059116C" w:rsidRPr="007C4D65" w:rsidRDefault="0059116C">
            <w:pPr>
              <w:numPr>
                <w:ilvl w:val="0"/>
                <w:numId w:val="70"/>
              </w:numPr>
              <w:spacing w:before="40" w:after="40" w:line="276" w:lineRule="auto"/>
              <w:ind w:left="360"/>
              <w:contextualSpacing/>
              <w:rPr>
                <w:rFonts w:asciiTheme="minorHAnsi" w:eastAsiaTheme="minorHAnsi" w:hAnsiTheme="minorHAnsi" w:cstheme="minorHAnsi"/>
                <w:strike/>
                <w:color w:val="000000" w:themeColor="text1"/>
                <w:sz w:val="18"/>
                <w:szCs w:val="18"/>
              </w:rPr>
            </w:pPr>
            <w:r w:rsidRPr="007C4D65">
              <w:rPr>
                <w:rFonts w:asciiTheme="minorHAnsi" w:hAnsiTheme="minorHAnsi" w:cstheme="minorHAnsi"/>
                <w:color w:val="000000" w:themeColor="text1"/>
                <w:sz w:val="18"/>
                <w:szCs w:val="18"/>
              </w:rPr>
              <w:t>Procurement and installation of informative boards and signs warning of fire danger on the territories of all forest users</w:t>
            </w:r>
          </w:p>
          <w:p w14:paraId="420F60C9" w14:textId="7B3FED10" w:rsidR="0059116C" w:rsidRPr="007C4D65" w:rsidRDefault="0059116C">
            <w:pPr>
              <w:numPr>
                <w:ilvl w:val="0"/>
                <w:numId w:val="70"/>
              </w:numPr>
              <w:spacing w:before="40" w:after="40" w:line="276" w:lineRule="auto"/>
              <w:ind w:left="360"/>
              <w:contextualSpacing/>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Procurement of equipment for spatial observation and remote </w:t>
            </w:r>
            <w:proofErr w:type="gramStart"/>
            <w:r w:rsidRPr="007C4D65">
              <w:rPr>
                <w:rFonts w:asciiTheme="minorHAnsi" w:hAnsiTheme="minorHAnsi" w:cstheme="minorHAnsi"/>
                <w:color w:val="000000" w:themeColor="text1"/>
                <w:sz w:val="18"/>
                <w:szCs w:val="18"/>
              </w:rPr>
              <w:t>surveillance</w:t>
            </w:r>
            <w:r w:rsidR="00A970D9" w:rsidRPr="007C4D65">
              <w:rPr>
                <w:rFonts w:asciiTheme="minorHAnsi" w:eastAsiaTheme="minorHAnsi" w:hAnsiTheme="minorHAnsi" w:cstheme="minorHAnsi"/>
                <w:color w:val="000000" w:themeColor="text1"/>
                <w:sz w:val="18"/>
                <w:szCs w:val="18"/>
              </w:rPr>
              <w:t>;</w:t>
            </w:r>
            <w:proofErr w:type="gramEnd"/>
          </w:p>
          <w:p w14:paraId="6300D590" w14:textId="5E768887" w:rsidR="0059116C" w:rsidRPr="007C4D65" w:rsidRDefault="0059116C">
            <w:pPr>
              <w:numPr>
                <w:ilvl w:val="0"/>
                <w:numId w:val="70"/>
              </w:numPr>
              <w:spacing w:before="40" w:after="40" w:line="276" w:lineRule="auto"/>
              <w:ind w:left="360"/>
              <w:contextualSpacing/>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lastRenderedPageBreak/>
              <w:t xml:space="preserve">Training the employees for spatial observation and remote </w:t>
            </w:r>
            <w:proofErr w:type="gramStart"/>
            <w:r w:rsidRPr="007C4D65">
              <w:rPr>
                <w:rFonts w:asciiTheme="minorHAnsi" w:hAnsiTheme="minorHAnsi" w:cstheme="minorHAnsi"/>
                <w:color w:val="000000" w:themeColor="text1"/>
                <w:sz w:val="18"/>
                <w:szCs w:val="18"/>
              </w:rPr>
              <w:t>surveillance</w:t>
            </w:r>
            <w:r w:rsidR="00A970D9" w:rsidRPr="007C4D65">
              <w:rPr>
                <w:rFonts w:asciiTheme="minorHAnsi" w:eastAsiaTheme="minorHAnsi" w:hAnsiTheme="minorHAnsi" w:cstheme="minorHAnsi"/>
                <w:color w:val="000000" w:themeColor="text1"/>
                <w:sz w:val="18"/>
                <w:szCs w:val="18"/>
              </w:rPr>
              <w:t>;</w:t>
            </w:r>
            <w:proofErr w:type="gramEnd"/>
          </w:p>
          <w:p w14:paraId="320DDE4A" w14:textId="04609DDB"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Equipment for spatial observation and remote surveillance includes not only equipment for early detection of fires, but also the equipment for monitoring health status of forests (measure 6.1.3) (optical sensors and cameras, drones, smart devices for registering status and taking photographs with the ability to transfer data to GIS).</w:t>
            </w:r>
          </w:p>
        </w:tc>
      </w:tr>
      <w:tr w:rsidR="0059116C" w:rsidRPr="007C4D65" w14:paraId="673D0F13" w14:textId="77777777" w:rsidTr="00B6017F">
        <w:trPr>
          <w:trHeight w:val="567"/>
          <w:jc w:val="center"/>
        </w:trPr>
        <w:tc>
          <w:tcPr>
            <w:tcW w:w="1429" w:type="pct"/>
            <w:shd w:val="clear" w:color="auto" w:fill="009D73"/>
            <w:vAlign w:val="center"/>
          </w:tcPr>
          <w:p w14:paraId="29448B6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Strategic projects</w:t>
            </w:r>
          </w:p>
        </w:tc>
        <w:tc>
          <w:tcPr>
            <w:tcW w:w="3571" w:type="pct"/>
            <w:gridSpan w:val="3"/>
            <w:shd w:val="clear" w:color="auto" w:fill="FFFFFF" w:themeFill="background1"/>
            <w:vAlign w:val="center"/>
          </w:tcPr>
          <w:p w14:paraId="45A50852"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3ED9E313" w14:textId="77777777" w:rsidTr="00B6017F">
        <w:trPr>
          <w:trHeight w:val="567"/>
          <w:jc w:val="center"/>
        </w:trPr>
        <w:tc>
          <w:tcPr>
            <w:tcW w:w="1429" w:type="pct"/>
            <w:vMerge w:val="restart"/>
            <w:shd w:val="clear" w:color="auto" w:fill="009D73"/>
            <w:vAlign w:val="center"/>
          </w:tcPr>
          <w:p w14:paraId="2C782B36"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Indicators for monitoring of results of measures</w:t>
            </w:r>
          </w:p>
        </w:tc>
        <w:tc>
          <w:tcPr>
            <w:tcW w:w="1038" w:type="pct"/>
            <w:shd w:val="clear" w:color="auto" w:fill="009D73"/>
            <w:vAlign w:val="center"/>
          </w:tcPr>
          <w:p w14:paraId="191E9242"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44DDA712" w14:textId="79FA8184"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shd w:val="clear" w:color="auto" w:fill="009D73"/>
            <w:vAlign w:val="center"/>
          </w:tcPr>
          <w:p w14:paraId="065F471E"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1037FAC1"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shd w:val="clear" w:color="auto" w:fill="009D73"/>
            <w:vAlign w:val="center"/>
          </w:tcPr>
          <w:p w14:paraId="4E9B8213"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4293F1F9" w14:textId="77777777" w:rsidTr="00B6017F">
        <w:trPr>
          <w:trHeight w:val="567"/>
          <w:jc w:val="center"/>
        </w:trPr>
        <w:tc>
          <w:tcPr>
            <w:tcW w:w="1429" w:type="pct"/>
            <w:vMerge/>
            <w:shd w:val="clear" w:color="auto" w:fill="009D73"/>
            <w:vAlign w:val="center"/>
          </w:tcPr>
          <w:p w14:paraId="47E93761"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58FE5828" w14:textId="77777777" w:rsidR="0059116C" w:rsidRPr="007C4D65" w:rsidRDefault="0059116C" w:rsidP="00B6017F">
            <w:pPr>
              <w:spacing w:before="40" w:after="40" w:line="276" w:lineRule="auto"/>
              <w:rPr>
                <w:rFonts w:asciiTheme="minorHAnsi" w:eastAsia="Calibr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Existence of plans for construction of </w:t>
            </w:r>
            <w:proofErr w:type="gramStart"/>
            <w:r w:rsidRPr="007C4D65">
              <w:rPr>
                <w:rFonts w:asciiTheme="minorHAnsi" w:hAnsiTheme="minorHAnsi" w:cstheme="minorHAnsi"/>
                <w:color w:val="000000" w:themeColor="text1"/>
                <w:sz w:val="18"/>
                <w:szCs w:val="18"/>
              </w:rPr>
              <w:t>fire-breaks</w:t>
            </w:r>
            <w:proofErr w:type="gramEnd"/>
            <w:r w:rsidRPr="007C4D65">
              <w:rPr>
                <w:rFonts w:asciiTheme="minorHAnsi" w:hAnsiTheme="minorHAnsi" w:cstheme="minorHAnsi"/>
                <w:color w:val="000000" w:themeColor="text1"/>
                <w:sz w:val="18"/>
                <w:szCs w:val="18"/>
              </w:rPr>
              <w:t xml:space="preserve"> (cuts through the growth)</w:t>
            </w:r>
          </w:p>
        </w:tc>
        <w:tc>
          <w:tcPr>
            <w:tcW w:w="1266" w:type="pct"/>
            <w:shd w:val="clear" w:color="auto" w:fill="FFFFFF"/>
            <w:vAlign w:val="center"/>
          </w:tcPr>
          <w:p w14:paraId="3088E128"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sz w:val="18"/>
                <w:szCs w:val="18"/>
              </w:rPr>
              <w:t xml:space="preserve">Forest management areas in the Federation of BiH are not fully covered by plans for construction of </w:t>
            </w:r>
            <w:proofErr w:type="gramStart"/>
            <w:r w:rsidRPr="007C4D65">
              <w:rPr>
                <w:rFonts w:asciiTheme="minorHAnsi" w:hAnsiTheme="minorHAnsi" w:cstheme="minorHAnsi"/>
                <w:sz w:val="18"/>
                <w:szCs w:val="18"/>
              </w:rPr>
              <w:t>fire-breaks</w:t>
            </w:r>
            <w:proofErr w:type="gramEnd"/>
          </w:p>
        </w:tc>
        <w:tc>
          <w:tcPr>
            <w:tcW w:w="1267" w:type="pct"/>
            <w:shd w:val="clear" w:color="auto" w:fill="FFFFFF"/>
            <w:vAlign w:val="center"/>
          </w:tcPr>
          <w:p w14:paraId="0E328138"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By 2023, developed plans for construction of firebreaks</w:t>
            </w:r>
          </w:p>
        </w:tc>
      </w:tr>
      <w:tr w:rsidR="0059116C" w:rsidRPr="007C4D65" w14:paraId="21ADE4FA" w14:textId="77777777" w:rsidTr="00B6017F">
        <w:trPr>
          <w:trHeight w:val="567"/>
          <w:jc w:val="center"/>
        </w:trPr>
        <w:tc>
          <w:tcPr>
            <w:tcW w:w="1429" w:type="pct"/>
            <w:vMerge/>
            <w:shd w:val="clear" w:color="auto" w:fill="009D73"/>
            <w:vAlign w:val="center"/>
          </w:tcPr>
          <w:p w14:paraId="40B6B2E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3BF917E9" w14:textId="77777777" w:rsidR="0059116C" w:rsidRPr="007C4D65" w:rsidRDefault="0059116C" w:rsidP="00B6017F">
            <w:pPr>
              <w:spacing w:before="40" w:after="40" w:line="276" w:lineRule="auto"/>
              <w:rPr>
                <w:rFonts w:asciiTheme="minorHAnsi" w:eastAsia="Calibr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Existence of vehicles and technical equipment for construction of </w:t>
            </w:r>
            <w:proofErr w:type="gramStart"/>
            <w:r w:rsidRPr="007C4D65">
              <w:rPr>
                <w:rFonts w:asciiTheme="minorHAnsi" w:hAnsiTheme="minorHAnsi" w:cstheme="minorHAnsi"/>
                <w:color w:val="000000" w:themeColor="text1"/>
                <w:sz w:val="18"/>
                <w:szCs w:val="18"/>
              </w:rPr>
              <w:t>fire-breaks</w:t>
            </w:r>
            <w:proofErr w:type="gramEnd"/>
            <w:r w:rsidRPr="007C4D65">
              <w:rPr>
                <w:rFonts w:asciiTheme="minorHAnsi" w:hAnsiTheme="minorHAnsi" w:cstheme="minorHAnsi"/>
                <w:color w:val="000000" w:themeColor="text1"/>
                <w:sz w:val="18"/>
                <w:szCs w:val="18"/>
              </w:rPr>
              <w:t xml:space="preserve"> (cuts through the growth)</w:t>
            </w:r>
          </w:p>
        </w:tc>
        <w:tc>
          <w:tcPr>
            <w:tcW w:w="1266" w:type="pct"/>
            <w:shd w:val="clear" w:color="auto" w:fill="FFFFFF"/>
            <w:vAlign w:val="center"/>
          </w:tcPr>
          <w:p w14:paraId="5E172BFF"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Forest users are not adequately equipped with vehicles, technical equipment and tools for cutting trees and making the firebreaks </w:t>
            </w:r>
          </w:p>
        </w:tc>
        <w:tc>
          <w:tcPr>
            <w:tcW w:w="1267" w:type="pct"/>
            <w:shd w:val="clear" w:color="auto" w:fill="FFFFFF"/>
            <w:vAlign w:val="center"/>
          </w:tcPr>
          <w:p w14:paraId="39FFB41F"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By 2025, procured equipment for all forest users</w:t>
            </w:r>
          </w:p>
        </w:tc>
      </w:tr>
      <w:tr w:rsidR="0059116C" w:rsidRPr="007C4D65" w14:paraId="45C6D4BC" w14:textId="77777777" w:rsidTr="00B6017F">
        <w:trPr>
          <w:trHeight w:val="567"/>
          <w:jc w:val="center"/>
        </w:trPr>
        <w:tc>
          <w:tcPr>
            <w:tcW w:w="1429" w:type="pct"/>
            <w:vMerge/>
            <w:shd w:val="clear" w:color="auto" w:fill="009D73"/>
            <w:vAlign w:val="center"/>
          </w:tcPr>
          <w:p w14:paraId="27360AE3"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5F4C658E" w14:textId="77777777" w:rsidR="0059116C" w:rsidRPr="007C4D65" w:rsidRDefault="0059116C" w:rsidP="00B6017F">
            <w:pPr>
              <w:spacing w:before="40" w:after="40" w:line="276" w:lineRule="auto"/>
              <w:rPr>
                <w:rFonts w:asciiTheme="minorHAnsi" w:eastAsia="Calibri" w:hAnsiTheme="minorHAnsi" w:cstheme="minorHAnsi"/>
                <w:color w:val="000000" w:themeColor="text1"/>
                <w:sz w:val="18"/>
                <w:szCs w:val="18"/>
              </w:rPr>
            </w:pPr>
            <w:r w:rsidRPr="007C4D65">
              <w:rPr>
                <w:rFonts w:asciiTheme="minorHAnsi" w:hAnsiTheme="minorHAnsi" w:cstheme="minorHAnsi"/>
                <w:color w:val="000000" w:themeColor="text1"/>
                <w:sz w:val="18"/>
                <w:szCs w:val="18"/>
              </w:rPr>
              <w:t>Existence of fire-beaks with elements of forest roads</w:t>
            </w:r>
          </w:p>
        </w:tc>
        <w:tc>
          <w:tcPr>
            <w:tcW w:w="1266" w:type="pct"/>
            <w:shd w:val="clear" w:color="auto" w:fill="FFFFFF"/>
            <w:vAlign w:val="center"/>
          </w:tcPr>
          <w:p w14:paraId="10E0D02E"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Construction of fire-beaks with elements of forest roads</w:t>
            </w:r>
          </w:p>
        </w:tc>
        <w:tc>
          <w:tcPr>
            <w:tcW w:w="1267" w:type="pct"/>
            <w:shd w:val="clear" w:color="auto" w:fill="FFFFFF"/>
            <w:vAlign w:val="center"/>
          </w:tcPr>
          <w:p w14:paraId="1B9F3527"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By the end of </w:t>
            </w:r>
            <w:proofErr w:type="gramStart"/>
            <w:r w:rsidRPr="007C4D65">
              <w:rPr>
                <w:rFonts w:asciiTheme="minorHAnsi" w:hAnsiTheme="minorHAnsi" w:cstheme="minorHAnsi"/>
                <w:color w:val="000000" w:themeColor="text1"/>
                <w:sz w:val="18"/>
                <w:szCs w:val="18"/>
              </w:rPr>
              <w:t>2027,  completed</w:t>
            </w:r>
            <w:proofErr w:type="gramEnd"/>
            <w:r w:rsidRPr="007C4D65">
              <w:rPr>
                <w:rFonts w:asciiTheme="minorHAnsi" w:hAnsiTheme="minorHAnsi" w:cstheme="minorHAnsi"/>
                <w:color w:val="000000" w:themeColor="text1"/>
                <w:sz w:val="18"/>
                <w:szCs w:val="18"/>
              </w:rPr>
              <w:t xml:space="preserve"> construction of fire-breaks on the territories of all forest management areas </w:t>
            </w:r>
          </w:p>
        </w:tc>
      </w:tr>
      <w:tr w:rsidR="0059116C" w:rsidRPr="007C4D65" w14:paraId="6B41398B" w14:textId="77777777" w:rsidTr="00B6017F">
        <w:trPr>
          <w:trHeight w:val="567"/>
          <w:jc w:val="center"/>
        </w:trPr>
        <w:tc>
          <w:tcPr>
            <w:tcW w:w="1429" w:type="pct"/>
            <w:vMerge/>
            <w:shd w:val="clear" w:color="auto" w:fill="009D73"/>
            <w:vAlign w:val="center"/>
          </w:tcPr>
          <w:p w14:paraId="77DC19A5"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51D0B79E"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Existence of informational boards and warning signs for prevention of fires </w:t>
            </w:r>
          </w:p>
        </w:tc>
        <w:tc>
          <w:tcPr>
            <w:tcW w:w="1266" w:type="pct"/>
            <w:shd w:val="clear" w:color="auto" w:fill="FFFFFF"/>
            <w:vAlign w:val="center"/>
          </w:tcPr>
          <w:p w14:paraId="4F20F8CC"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Procurement and installation of informative boards and signs warning of fire danger on the territories of all forest users</w:t>
            </w:r>
          </w:p>
        </w:tc>
        <w:tc>
          <w:tcPr>
            <w:tcW w:w="1267" w:type="pct"/>
            <w:shd w:val="clear" w:color="auto" w:fill="FFFFFF"/>
            <w:vAlign w:val="center"/>
          </w:tcPr>
          <w:p w14:paraId="3EF58021"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By the end of 2025, all forest users will have installed the warning signs</w:t>
            </w:r>
          </w:p>
        </w:tc>
      </w:tr>
      <w:tr w:rsidR="0059116C" w:rsidRPr="007C4D65" w14:paraId="7FB7B380" w14:textId="77777777" w:rsidTr="00B6017F">
        <w:trPr>
          <w:trHeight w:val="567"/>
          <w:jc w:val="center"/>
        </w:trPr>
        <w:tc>
          <w:tcPr>
            <w:tcW w:w="1429" w:type="pct"/>
            <w:vMerge/>
            <w:shd w:val="clear" w:color="auto" w:fill="009D73"/>
            <w:vAlign w:val="center"/>
          </w:tcPr>
          <w:p w14:paraId="4049753E"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5D23AD27"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Existence of equipment for spatial observation and remote surveillance</w:t>
            </w:r>
          </w:p>
        </w:tc>
        <w:tc>
          <w:tcPr>
            <w:tcW w:w="1266" w:type="pct"/>
            <w:shd w:val="clear" w:color="auto" w:fill="FFFFFF"/>
            <w:vAlign w:val="center"/>
          </w:tcPr>
          <w:p w14:paraId="3CB6A502"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Forest users do not have equipment for observation and remote surveillance</w:t>
            </w:r>
          </w:p>
        </w:tc>
        <w:tc>
          <w:tcPr>
            <w:tcW w:w="1267" w:type="pct"/>
            <w:shd w:val="clear" w:color="auto" w:fill="FFFFFF"/>
            <w:vAlign w:val="center"/>
          </w:tcPr>
          <w:p w14:paraId="45E51086"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By 2026, observation and remote surveillance equipment procured </w:t>
            </w:r>
          </w:p>
        </w:tc>
      </w:tr>
      <w:tr w:rsidR="0059116C" w:rsidRPr="007C4D65" w14:paraId="3E5AE717" w14:textId="77777777" w:rsidTr="00B6017F">
        <w:trPr>
          <w:trHeight w:val="567"/>
          <w:jc w:val="center"/>
        </w:trPr>
        <w:tc>
          <w:tcPr>
            <w:tcW w:w="1429" w:type="pct"/>
            <w:vMerge/>
            <w:shd w:val="clear" w:color="auto" w:fill="009D73"/>
            <w:vAlign w:val="center"/>
          </w:tcPr>
          <w:p w14:paraId="456E390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308D8673"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 </w:t>
            </w:r>
            <w:proofErr w:type="gramStart"/>
            <w:r w:rsidRPr="007C4D65">
              <w:rPr>
                <w:rFonts w:asciiTheme="minorHAnsi" w:hAnsiTheme="minorHAnsi" w:cstheme="minorHAnsi"/>
                <w:color w:val="000000" w:themeColor="text1"/>
                <w:sz w:val="18"/>
                <w:szCs w:val="18"/>
              </w:rPr>
              <w:t>of</w:t>
            </w:r>
            <w:proofErr w:type="gramEnd"/>
            <w:r w:rsidRPr="007C4D65">
              <w:rPr>
                <w:rFonts w:asciiTheme="minorHAnsi" w:hAnsiTheme="minorHAnsi" w:cstheme="minorHAnsi"/>
                <w:color w:val="000000" w:themeColor="text1"/>
                <w:sz w:val="18"/>
                <w:szCs w:val="18"/>
              </w:rPr>
              <w:t xml:space="preserve"> forest users trained in spatial observation and remote surveillance</w:t>
            </w:r>
          </w:p>
        </w:tc>
        <w:tc>
          <w:tcPr>
            <w:tcW w:w="1266" w:type="pct"/>
            <w:shd w:val="clear" w:color="auto" w:fill="FFFFFF"/>
            <w:vAlign w:val="center"/>
          </w:tcPr>
          <w:p w14:paraId="406BAE43"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Forest users do not have sufficient capacities </w:t>
            </w:r>
            <w:proofErr w:type="gramStart"/>
            <w:r w:rsidRPr="007C4D65">
              <w:rPr>
                <w:rFonts w:asciiTheme="minorHAnsi" w:hAnsiTheme="minorHAnsi" w:cstheme="minorHAnsi"/>
                <w:color w:val="000000" w:themeColor="text1"/>
                <w:sz w:val="18"/>
                <w:szCs w:val="18"/>
              </w:rPr>
              <w:t>for  observation</w:t>
            </w:r>
            <w:proofErr w:type="gramEnd"/>
            <w:r w:rsidRPr="007C4D65">
              <w:rPr>
                <w:rFonts w:asciiTheme="minorHAnsi" w:hAnsiTheme="minorHAnsi" w:cstheme="minorHAnsi"/>
                <w:color w:val="000000" w:themeColor="text1"/>
                <w:sz w:val="18"/>
                <w:szCs w:val="18"/>
              </w:rPr>
              <w:t xml:space="preserve"> and remote surveillance</w:t>
            </w:r>
          </w:p>
        </w:tc>
        <w:tc>
          <w:tcPr>
            <w:tcW w:w="1267" w:type="pct"/>
            <w:shd w:val="clear" w:color="auto" w:fill="FFFFFF"/>
            <w:vAlign w:val="center"/>
          </w:tcPr>
          <w:p w14:paraId="7E091AED"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By 2027, completed training of employees of all forest users in observation and surveillance</w:t>
            </w:r>
          </w:p>
        </w:tc>
      </w:tr>
      <w:tr w:rsidR="0059116C" w:rsidRPr="007C4D65" w14:paraId="1E5399F2" w14:textId="77777777" w:rsidTr="00B6017F">
        <w:trPr>
          <w:trHeight w:val="567"/>
          <w:jc w:val="center"/>
        </w:trPr>
        <w:tc>
          <w:tcPr>
            <w:tcW w:w="1429" w:type="pct"/>
            <w:shd w:val="clear" w:color="auto" w:fill="009D73"/>
            <w:vAlign w:val="center"/>
          </w:tcPr>
          <w:p w14:paraId="406033E6"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priorities</w:t>
            </w:r>
          </w:p>
        </w:tc>
        <w:tc>
          <w:tcPr>
            <w:tcW w:w="3571" w:type="pct"/>
            <w:gridSpan w:val="3"/>
            <w:shd w:val="clear" w:color="auto" w:fill="FFFFFF"/>
            <w:vAlign w:val="center"/>
          </w:tcPr>
          <w:p w14:paraId="45B3D087"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Improved fire safety</w:t>
            </w:r>
          </w:p>
        </w:tc>
      </w:tr>
      <w:tr w:rsidR="0059116C" w:rsidRPr="007C4D65" w14:paraId="7F7A057B" w14:textId="77777777" w:rsidTr="00B6017F">
        <w:trPr>
          <w:trHeight w:val="567"/>
          <w:jc w:val="center"/>
        </w:trPr>
        <w:tc>
          <w:tcPr>
            <w:tcW w:w="1429" w:type="pct"/>
            <w:shd w:val="clear" w:color="auto" w:fill="009D73"/>
            <w:vAlign w:val="center"/>
          </w:tcPr>
          <w:p w14:paraId="084596A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Indicative financial projection, with indication of sources</w:t>
            </w:r>
          </w:p>
        </w:tc>
        <w:tc>
          <w:tcPr>
            <w:tcW w:w="3571" w:type="pct"/>
            <w:gridSpan w:val="3"/>
            <w:shd w:val="clear" w:color="auto" w:fill="FFFFFF"/>
            <w:vAlign w:val="center"/>
          </w:tcPr>
          <w:p w14:paraId="70B17848" w14:textId="099482E0" w:rsidR="0059116C" w:rsidRPr="007C4D65" w:rsidRDefault="0059116C" w:rsidP="00B6017F">
            <w:pPr>
              <w:spacing w:before="40" w:after="40" w:line="276" w:lineRule="auto"/>
              <w:rPr>
                <w:rFonts w:asciiTheme="minorHAnsi" w:eastAsiaTheme="minorHAnsi" w:hAnsiTheme="minorHAnsi" w:cstheme="minorHAnsi"/>
                <w:bCs/>
                <w:color w:val="000000" w:themeColor="text1"/>
                <w:sz w:val="18"/>
                <w:szCs w:val="18"/>
              </w:rPr>
            </w:pPr>
            <w:r w:rsidRPr="007C4D65">
              <w:rPr>
                <w:rFonts w:asciiTheme="minorHAnsi" w:hAnsiTheme="minorHAnsi" w:cstheme="minorHAnsi"/>
                <w:bCs/>
                <w:color w:val="000000" w:themeColor="text1"/>
                <w:sz w:val="18"/>
                <w:szCs w:val="18"/>
              </w:rPr>
              <w:t>Amount: BAM 8,996,818</w:t>
            </w:r>
          </w:p>
          <w:p w14:paraId="63604669" w14:textId="77777777" w:rsidR="0059116C" w:rsidRPr="007C4D65" w:rsidRDefault="0059116C" w:rsidP="00B6017F">
            <w:pPr>
              <w:spacing w:before="40" w:after="40" w:line="276" w:lineRule="auto"/>
              <w:rPr>
                <w:rFonts w:asciiTheme="minorHAnsi" w:eastAsiaTheme="minorHAnsi" w:hAnsiTheme="minorHAnsi" w:cstheme="minorHAnsi"/>
                <w:bCs/>
                <w:color w:val="000000" w:themeColor="text1"/>
                <w:sz w:val="18"/>
                <w:szCs w:val="18"/>
              </w:rPr>
            </w:pPr>
            <w:r w:rsidRPr="007C4D65">
              <w:rPr>
                <w:rFonts w:asciiTheme="minorHAnsi" w:hAnsiTheme="minorHAnsi" w:cstheme="minorHAnsi"/>
                <w:bCs/>
                <w:color w:val="000000" w:themeColor="text1"/>
                <w:sz w:val="18"/>
                <w:szCs w:val="18"/>
              </w:rPr>
              <w:t>Source: 10% from the government budget, 90% from EU and other international donors</w:t>
            </w:r>
          </w:p>
        </w:tc>
      </w:tr>
      <w:tr w:rsidR="0059116C" w:rsidRPr="007C4D65" w14:paraId="015C3353" w14:textId="77777777" w:rsidTr="00B6017F">
        <w:trPr>
          <w:trHeight w:val="567"/>
          <w:jc w:val="center"/>
        </w:trPr>
        <w:tc>
          <w:tcPr>
            <w:tcW w:w="1429" w:type="pct"/>
            <w:shd w:val="clear" w:color="auto" w:fill="009D73"/>
            <w:vAlign w:val="center"/>
          </w:tcPr>
          <w:p w14:paraId="073129A3"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71" w:type="pct"/>
            <w:gridSpan w:val="3"/>
            <w:shd w:val="clear" w:color="auto" w:fill="FFFFFF"/>
            <w:vAlign w:val="center"/>
          </w:tcPr>
          <w:p w14:paraId="0416FFB3"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2022‒2027</w:t>
            </w:r>
          </w:p>
        </w:tc>
      </w:tr>
      <w:tr w:rsidR="0059116C" w:rsidRPr="007C4D65" w14:paraId="4EC6E925" w14:textId="77777777" w:rsidTr="00B6017F">
        <w:trPr>
          <w:trHeight w:val="567"/>
          <w:jc w:val="center"/>
        </w:trPr>
        <w:tc>
          <w:tcPr>
            <w:tcW w:w="1429" w:type="pct"/>
            <w:shd w:val="clear" w:color="auto" w:fill="009D73"/>
            <w:vAlign w:val="center"/>
          </w:tcPr>
          <w:p w14:paraId="49299A9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Institution responsible for coordination and implementation of the measure</w:t>
            </w:r>
          </w:p>
        </w:tc>
        <w:tc>
          <w:tcPr>
            <w:tcW w:w="3571" w:type="pct"/>
            <w:gridSpan w:val="3"/>
            <w:shd w:val="clear" w:color="auto" w:fill="FFFFFF"/>
            <w:vAlign w:val="center"/>
          </w:tcPr>
          <w:p w14:paraId="5C1C8FD6"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Federation of BiH Ministry of Agriculture, Forestry and Water Management</w:t>
            </w:r>
          </w:p>
        </w:tc>
      </w:tr>
      <w:tr w:rsidR="0059116C" w:rsidRPr="007C4D65" w14:paraId="2FF4985F" w14:textId="77777777" w:rsidTr="00B6017F">
        <w:trPr>
          <w:trHeight w:val="567"/>
          <w:jc w:val="center"/>
        </w:trPr>
        <w:tc>
          <w:tcPr>
            <w:tcW w:w="1429" w:type="pct"/>
            <w:shd w:val="clear" w:color="auto" w:fill="009D73"/>
            <w:vAlign w:val="center"/>
          </w:tcPr>
          <w:p w14:paraId="3FEB1991"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Implementing institution</w:t>
            </w:r>
          </w:p>
        </w:tc>
        <w:tc>
          <w:tcPr>
            <w:tcW w:w="3571" w:type="pct"/>
            <w:gridSpan w:val="3"/>
            <w:shd w:val="clear" w:color="auto" w:fill="FFFFFF"/>
            <w:vAlign w:val="center"/>
          </w:tcPr>
          <w:p w14:paraId="3940A372" w14:textId="77777777" w:rsidR="0059116C" w:rsidRPr="007C4D65" w:rsidRDefault="0059116C" w:rsidP="00B6017F">
            <w:pPr>
              <w:spacing w:before="40" w:after="40" w:line="276" w:lineRule="auto"/>
              <w:rPr>
                <w:rFonts w:asciiTheme="minorHAnsi" w:eastAsiaTheme="minorHAnsi" w:hAnsiTheme="minorHAnsi" w:cstheme="minorHAnsi"/>
                <w:strike/>
                <w:color w:val="000000" w:themeColor="text1"/>
                <w:sz w:val="18"/>
                <w:szCs w:val="18"/>
              </w:rPr>
            </w:pPr>
            <w:r w:rsidRPr="007C4D65">
              <w:rPr>
                <w:rFonts w:asciiTheme="minorHAnsi" w:hAnsiTheme="minorHAnsi" w:cstheme="minorHAnsi"/>
                <w:color w:val="000000" w:themeColor="text1"/>
                <w:sz w:val="18"/>
                <w:szCs w:val="18"/>
              </w:rPr>
              <w:t>Forest users</w:t>
            </w:r>
          </w:p>
          <w:p w14:paraId="7FCB2919"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Competent cantonal ministries, cantonal forest management companies</w:t>
            </w:r>
          </w:p>
        </w:tc>
      </w:tr>
      <w:tr w:rsidR="0059116C" w:rsidRPr="007C4D65" w14:paraId="1CE209A1" w14:textId="77777777" w:rsidTr="00B6017F">
        <w:trPr>
          <w:trHeight w:val="567"/>
          <w:jc w:val="center"/>
        </w:trPr>
        <w:tc>
          <w:tcPr>
            <w:tcW w:w="1429" w:type="pct"/>
            <w:shd w:val="clear" w:color="auto" w:fill="009D73"/>
            <w:vAlign w:val="center"/>
          </w:tcPr>
          <w:p w14:paraId="55864AC1" w14:textId="5AAB59C8"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Target groups</w:t>
            </w:r>
          </w:p>
        </w:tc>
        <w:tc>
          <w:tcPr>
            <w:tcW w:w="3571" w:type="pct"/>
            <w:gridSpan w:val="3"/>
            <w:shd w:val="clear" w:color="auto" w:fill="FFFFFF"/>
            <w:vAlign w:val="center"/>
          </w:tcPr>
          <w:p w14:paraId="1BEEAA94"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Competent cantonal ministries, cantonal forestry management companies</w:t>
            </w:r>
          </w:p>
          <w:p w14:paraId="2E12A8CA" w14:textId="77777777" w:rsidR="0059116C" w:rsidRPr="007C4D65" w:rsidRDefault="0059116C" w:rsidP="00B6017F">
            <w:pPr>
              <w:spacing w:before="40" w:after="40" w:line="276" w:lineRule="auto"/>
              <w:rPr>
                <w:rFonts w:asciiTheme="minorHAnsi" w:eastAsiaTheme="minorHAnsi" w:hAnsiTheme="minorHAnsi" w:cstheme="minorHAnsi"/>
                <w:strike/>
                <w:color w:val="000000" w:themeColor="text1"/>
                <w:sz w:val="18"/>
                <w:szCs w:val="18"/>
              </w:rPr>
            </w:pPr>
            <w:r w:rsidRPr="007C4D65">
              <w:rPr>
                <w:rFonts w:asciiTheme="minorHAnsi" w:hAnsiTheme="minorHAnsi" w:cstheme="minorHAnsi"/>
                <w:color w:val="000000" w:themeColor="text1"/>
                <w:sz w:val="18"/>
                <w:szCs w:val="18"/>
              </w:rPr>
              <w:t>Forest users</w:t>
            </w:r>
          </w:p>
        </w:tc>
      </w:tr>
    </w:tbl>
    <w:p w14:paraId="26981A77" w14:textId="77777777" w:rsidR="0059116C" w:rsidRPr="007C4D65" w:rsidRDefault="0059116C" w:rsidP="0059116C">
      <w:pPr>
        <w:spacing w:line="276" w:lineRule="auto"/>
        <w:rPr>
          <w:rFonts w:asciiTheme="minorHAnsi" w:eastAsiaTheme="minorHAnsi" w:hAnsiTheme="minorHAnsi" w:cstheme="minorHAnsi"/>
          <w:sz w:val="18"/>
          <w:szCs w:val="18"/>
          <w:lang w:val="hr-HR" w:eastAsia="en-US"/>
        </w:rPr>
      </w:pPr>
    </w:p>
    <w:tbl>
      <w:tblPr>
        <w:tblW w:w="4802"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8"/>
        <w:gridCol w:w="2781"/>
        <w:gridCol w:w="3392"/>
        <w:gridCol w:w="3395"/>
      </w:tblGrid>
      <w:tr w:rsidR="0059116C" w:rsidRPr="007C4D65" w14:paraId="5431F47B" w14:textId="77777777" w:rsidTr="00B6017F">
        <w:trPr>
          <w:trHeight w:val="567"/>
          <w:jc w:val="center"/>
        </w:trPr>
        <w:tc>
          <w:tcPr>
            <w:tcW w:w="1429" w:type="pct"/>
            <w:shd w:val="clear" w:color="auto" w:fill="009D73"/>
            <w:vAlign w:val="center"/>
          </w:tcPr>
          <w:p w14:paraId="343C0AD1" w14:textId="45A518EF"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71" w:type="pct"/>
            <w:gridSpan w:val="3"/>
            <w:shd w:val="clear" w:color="auto" w:fill="FFFFFF"/>
            <w:vAlign w:val="center"/>
          </w:tcPr>
          <w:p w14:paraId="7E77C79E" w14:textId="5EE27026"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6EE82B74" w14:textId="77777777" w:rsidTr="00B6017F">
        <w:trPr>
          <w:trHeight w:val="567"/>
          <w:jc w:val="center"/>
        </w:trPr>
        <w:tc>
          <w:tcPr>
            <w:tcW w:w="1429" w:type="pct"/>
            <w:shd w:val="clear" w:color="auto" w:fill="009D73"/>
            <w:vAlign w:val="center"/>
          </w:tcPr>
          <w:p w14:paraId="1B7CE4BC"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71" w:type="pct"/>
            <w:gridSpan w:val="3"/>
            <w:shd w:val="clear" w:color="auto" w:fill="FFFFFF"/>
            <w:vAlign w:val="center"/>
          </w:tcPr>
          <w:p w14:paraId="215FAFCE" w14:textId="17A20EAA"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6.1. </w:t>
            </w:r>
            <w:r w:rsidR="00DF4EC7" w:rsidRPr="007C4D65">
              <w:rPr>
                <w:rFonts w:asciiTheme="minorHAnsi" w:hAnsiTheme="minorHAnsi" w:cstheme="minorHAnsi"/>
                <w:b/>
                <w:bCs/>
                <w:sz w:val="18"/>
                <w:szCs w:val="18"/>
              </w:rPr>
              <w:t>Establish an effective legal, strategic and institutional framework for sustainable forest and forest resources management in the Federation of BiH, appropriate valuation of forest resources, and ensure integration of gender and climate change issues</w:t>
            </w:r>
          </w:p>
        </w:tc>
      </w:tr>
      <w:tr w:rsidR="0059116C" w:rsidRPr="007C4D65" w14:paraId="6D3E26C9" w14:textId="77777777" w:rsidTr="00B6017F">
        <w:trPr>
          <w:trHeight w:val="567"/>
          <w:jc w:val="center"/>
        </w:trPr>
        <w:tc>
          <w:tcPr>
            <w:tcW w:w="1429" w:type="pct"/>
            <w:shd w:val="clear" w:color="auto" w:fill="009D73"/>
            <w:vAlign w:val="center"/>
          </w:tcPr>
          <w:p w14:paraId="5BD7F521" w14:textId="56E56ECF"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71" w:type="pct"/>
            <w:gridSpan w:val="3"/>
            <w:shd w:val="clear" w:color="auto" w:fill="FFFFFF"/>
            <w:vAlign w:val="center"/>
          </w:tcPr>
          <w:p w14:paraId="06E3D3B9" w14:textId="77777777" w:rsidR="0059116C" w:rsidRPr="007C4D65" w:rsidRDefault="0059116C" w:rsidP="00B6017F">
            <w:pPr>
              <w:spacing w:before="40" w:after="40" w:line="276" w:lineRule="auto"/>
              <w:rPr>
                <w:rFonts w:asciiTheme="minorHAnsi" w:eastAsia="Calibri" w:hAnsiTheme="minorHAnsi" w:cstheme="minorHAnsi"/>
                <w:b/>
                <w:bCs/>
                <w:sz w:val="18"/>
                <w:szCs w:val="18"/>
              </w:rPr>
            </w:pPr>
            <w:r w:rsidRPr="007C4D65">
              <w:rPr>
                <w:rFonts w:asciiTheme="minorHAnsi" w:hAnsiTheme="minorHAnsi" w:cstheme="minorHAnsi"/>
                <w:b/>
                <w:bCs/>
                <w:sz w:val="18"/>
                <w:szCs w:val="18"/>
              </w:rPr>
              <w:t xml:space="preserve">6.1.5. Afforestation of barren land and transition of coppice forests into high forests </w:t>
            </w:r>
          </w:p>
        </w:tc>
      </w:tr>
      <w:tr w:rsidR="0059116C" w:rsidRPr="007C4D65" w14:paraId="4B257415" w14:textId="77777777" w:rsidTr="00B6017F">
        <w:trPr>
          <w:trHeight w:val="567"/>
          <w:jc w:val="center"/>
        </w:trPr>
        <w:tc>
          <w:tcPr>
            <w:tcW w:w="1429" w:type="pct"/>
            <w:shd w:val="clear" w:color="auto" w:fill="009D73"/>
            <w:vAlign w:val="center"/>
          </w:tcPr>
          <w:p w14:paraId="0462F146"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71" w:type="pct"/>
            <w:gridSpan w:val="3"/>
            <w:shd w:val="clear" w:color="auto" w:fill="FFFFFF"/>
            <w:vAlign w:val="center"/>
          </w:tcPr>
          <w:p w14:paraId="62CEAE78" w14:textId="5A496C86"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This measure aims to increase the total area under forest in Federation of BiH and thus contribute to prevention of climate change. The measure focuses on afforestation of barren land and transition of coppice forests into high forests:</w:t>
            </w:r>
          </w:p>
          <w:p w14:paraId="2E081998" w14:textId="089BA1A9" w:rsidR="0059116C" w:rsidRPr="007C4D65" w:rsidRDefault="0059116C">
            <w:pPr>
              <w:numPr>
                <w:ilvl w:val="0"/>
                <w:numId w:val="71"/>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Adoption of the Law on Reproduction Material of Forest and Decorative Trees and Bushes on the basis of which the Rulebook on provenience of forest trees will be </w:t>
            </w:r>
            <w:proofErr w:type="gramStart"/>
            <w:r w:rsidRPr="007C4D65">
              <w:rPr>
                <w:rFonts w:asciiTheme="minorHAnsi" w:hAnsiTheme="minorHAnsi" w:cstheme="minorHAnsi"/>
                <w:sz w:val="18"/>
                <w:szCs w:val="18"/>
              </w:rPr>
              <w:t>defined</w:t>
            </w:r>
            <w:r w:rsidR="00A970D9" w:rsidRPr="007C4D65">
              <w:rPr>
                <w:rFonts w:asciiTheme="minorHAnsi" w:hAnsiTheme="minorHAnsi" w:cstheme="minorHAnsi"/>
                <w:sz w:val="18"/>
                <w:szCs w:val="18"/>
              </w:rPr>
              <w:t>;</w:t>
            </w:r>
            <w:proofErr w:type="gramEnd"/>
          </w:p>
          <w:p w14:paraId="07CABA8F" w14:textId="559588F7" w:rsidR="0059116C" w:rsidRPr="007C4D65" w:rsidRDefault="0059116C">
            <w:pPr>
              <w:numPr>
                <w:ilvl w:val="0"/>
                <w:numId w:val="71"/>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Adoption of a rulebook that would establish the regions of provenience and prescribe the method, procedure and conditions for evaluating and recognizing the starting material of the forest </w:t>
            </w:r>
            <w:proofErr w:type="gramStart"/>
            <w:r w:rsidRPr="007C4D65">
              <w:rPr>
                <w:rFonts w:asciiTheme="minorHAnsi" w:hAnsiTheme="minorHAnsi" w:cstheme="minorHAnsi"/>
                <w:sz w:val="18"/>
                <w:szCs w:val="18"/>
              </w:rPr>
              <w:t>trees</w:t>
            </w:r>
            <w:r w:rsidR="00A970D9" w:rsidRPr="007C4D65">
              <w:rPr>
                <w:rFonts w:asciiTheme="minorHAnsi" w:eastAsiaTheme="minorHAnsi" w:hAnsiTheme="minorHAnsi" w:cstheme="minorHAnsi"/>
                <w:sz w:val="18"/>
                <w:szCs w:val="18"/>
              </w:rPr>
              <w:t>;</w:t>
            </w:r>
            <w:proofErr w:type="gramEnd"/>
          </w:p>
          <w:p w14:paraId="0763A75E" w14:textId="64B44AE3" w:rsidR="0059116C" w:rsidRPr="007C4D65" w:rsidRDefault="0059116C">
            <w:pPr>
              <w:numPr>
                <w:ilvl w:val="0"/>
                <w:numId w:val="71"/>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Increasing the land area under high forests by transitioning at least 20% of current land under coppice forests and bushes transitioned into higher form, where </w:t>
            </w:r>
            <w:proofErr w:type="gramStart"/>
            <w:r w:rsidRPr="007C4D65">
              <w:rPr>
                <w:rFonts w:asciiTheme="minorHAnsi" w:hAnsiTheme="minorHAnsi" w:cstheme="minorHAnsi"/>
                <w:sz w:val="18"/>
                <w:szCs w:val="18"/>
              </w:rPr>
              <w:t>possible</w:t>
            </w:r>
            <w:r w:rsidR="00A970D9" w:rsidRPr="007C4D65">
              <w:rPr>
                <w:rFonts w:asciiTheme="minorHAnsi" w:hAnsiTheme="minorHAnsi" w:cstheme="minorHAnsi"/>
                <w:sz w:val="18"/>
                <w:szCs w:val="18"/>
              </w:rPr>
              <w:t>;</w:t>
            </w:r>
            <w:proofErr w:type="gramEnd"/>
          </w:p>
          <w:p w14:paraId="15186318" w14:textId="77777777" w:rsidR="0059116C" w:rsidRPr="007C4D65" w:rsidRDefault="0059116C">
            <w:pPr>
              <w:numPr>
                <w:ilvl w:val="0"/>
                <w:numId w:val="71"/>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Development of a gender sensitive afforestation plan for the karst and barren land in Federation of BiH</w:t>
            </w:r>
          </w:p>
          <w:p w14:paraId="639E4E0F" w14:textId="73A9DA87" w:rsidR="0059116C" w:rsidRPr="007C4D65" w:rsidRDefault="0059116C">
            <w:pPr>
              <w:numPr>
                <w:ilvl w:val="0"/>
                <w:numId w:val="71"/>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Afforestation of at least 10 % of the current karst and barren land</w:t>
            </w:r>
            <w:r w:rsidR="00A970D9" w:rsidRPr="007C4D65">
              <w:rPr>
                <w:rFonts w:asciiTheme="minorHAnsi" w:eastAsiaTheme="minorHAnsi" w:hAnsiTheme="minorHAnsi" w:cstheme="minorHAnsi"/>
                <w:sz w:val="18"/>
                <w:szCs w:val="18"/>
              </w:rPr>
              <w:t>.</w:t>
            </w:r>
          </w:p>
        </w:tc>
      </w:tr>
      <w:tr w:rsidR="0059116C" w:rsidRPr="007C4D65" w14:paraId="11EC451A" w14:textId="77777777" w:rsidTr="00B6017F">
        <w:trPr>
          <w:trHeight w:val="567"/>
          <w:jc w:val="center"/>
        </w:trPr>
        <w:tc>
          <w:tcPr>
            <w:tcW w:w="1429" w:type="pct"/>
            <w:shd w:val="clear" w:color="auto" w:fill="009D73"/>
            <w:vAlign w:val="center"/>
          </w:tcPr>
          <w:p w14:paraId="76E33346"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Strategic projects</w:t>
            </w:r>
          </w:p>
        </w:tc>
        <w:tc>
          <w:tcPr>
            <w:tcW w:w="3571" w:type="pct"/>
            <w:gridSpan w:val="3"/>
            <w:shd w:val="clear" w:color="auto" w:fill="FFFFFF" w:themeFill="background1"/>
            <w:vAlign w:val="center"/>
          </w:tcPr>
          <w:p w14:paraId="053308FB"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37BD8565" w14:textId="77777777" w:rsidTr="00B6017F">
        <w:trPr>
          <w:trHeight w:val="567"/>
          <w:jc w:val="center"/>
        </w:trPr>
        <w:tc>
          <w:tcPr>
            <w:tcW w:w="1429" w:type="pct"/>
            <w:vMerge w:val="restart"/>
            <w:shd w:val="clear" w:color="auto" w:fill="009D73"/>
            <w:vAlign w:val="center"/>
          </w:tcPr>
          <w:p w14:paraId="3023A79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Indicators for monitoring of results of measures</w:t>
            </w:r>
          </w:p>
        </w:tc>
        <w:tc>
          <w:tcPr>
            <w:tcW w:w="1038" w:type="pct"/>
            <w:shd w:val="clear" w:color="auto" w:fill="009D73"/>
            <w:vAlign w:val="center"/>
          </w:tcPr>
          <w:p w14:paraId="62E1786A"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7ED5608E" w14:textId="4A24A668"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shd w:val="clear" w:color="auto" w:fill="009D73"/>
            <w:vAlign w:val="center"/>
          </w:tcPr>
          <w:p w14:paraId="5AE636EC"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4CD5E801"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shd w:val="clear" w:color="auto" w:fill="009D73"/>
            <w:vAlign w:val="center"/>
          </w:tcPr>
          <w:p w14:paraId="45325A43"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0839A471" w14:textId="77777777" w:rsidTr="00B6017F">
        <w:trPr>
          <w:trHeight w:val="567"/>
          <w:jc w:val="center"/>
        </w:trPr>
        <w:tc>
          <w:tcPr>
            <w:tcW w:w="1429" w:type="pct"/>
            <w:vMerge/>
            <w:shd w:val="clear" w:color="auto" w:fill="009D73"/>
            <w:vAlign w:val="center"/>
          </w:tcPr>
          <w:p w14:paraId="7CB3515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0644C57C"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legislation that would establish the regions of provenience and prescribe the method, procedure and conditions for evaluating and recognizing the starting material of the forest trees</w:t>
            </w:r>
          </w:p>
        </w:tc>
        <w:tc>
          <w:tcPr>
            <w:tcW w:w="1266" w:type="pct"/>
            <w:shd w:val="clear" w:color="auto" w:fill="FFFFFF"/>
            <w:vAlign w:val="center"/>
          </w:tcPr>
          <w:p w14:paraId="1758ED28"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Regions of provenience, method, procedure and conditions for evaluation and recognition of forest trees starting material in Federation of BiH have not been prescribed</w:t>
            </w:r>
          </w:p>
        </w:tc>
        <w:tc>
          <w:tcPr>
            <w:tcW w:w="1267" w:type="pct"/>
            <w:shd w:val="clear" w:color="auto" w:fill="FFFFFF"/>
            <w:vAlign w:val="center"/>
          </w:tcPr>
          <w:p w14:paraId="498ED978" w14:textId="563154BE"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By the end of 2023, adopt the Law on Reproduction Material of Forest and Decorative Trees and Bushes </w:t>
            </w:r>
            <w:proofErr w:type="gramStart"/>
            <w:r w:rsidRPr="007C4D65">
              <w:rPr>
                <w:rFonts w:asciiTheme="minorHAnsi" w:hAnsiTheme="minorHAnsi" w:cstheme="minorHAnsi"/>
                <w:sz w:val="18"/>
                <w:szCs w:val="18"/>
              </w:rPr>
              <w:t>on the basis of</w:t>
            </w:r>
            <w:proofErr w:type="gramEnd"/>
            <w:r w:rsidRPr="007C4D65">
              <w:rPr>
                <w:rFonts w:asciiTheme="minorHAnsi" w:hAnsiTheme="minorHAnsi" w:cstheme="minorHAnsi"/>
                <w:sz w:val="18"/>
                <w:szCs w:val="18"/>
              </w:rPr>
              <w:t xml:space="preserve"> which the Rulebook on provenience of forest trees will be defined</w:t>
            </w:r>
          </w:p>
        </w:tc>
      </w:tr>
      <w:tr w:rsidR="0059116C" w:rsidRPr="007C4D65" w14:paraId="3A655940" w14:textId="77777777" w:rsidTr="00B6017F">
        <w:trPr>
          <w:trHeight w:val="567"/>
          <w:jc w:val="center"/>
        </w:trPr>
        <w:tc>
          <w:tcPr>
            <w:tcW w:w="1429" w:type="pct"/>
            <w:vMerge/>
            <w:shd w:val="clear" w:color="auto" w:fill="009D73"/>
            <w:vAlign w:val="center"/>
          </w:tcPr>
          <w:p w14:paraId="2666405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3BBF39C6"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Areas under coppice forests</w:t>
            </w:r>
          </w:p>
        </w:tc>
        <w:tc>
          <w:tcPr>
            <w:tcW w:w="1266" w:type="pct"/>
            <w:shd w:val="clear" w:color="auto" w:fill="FFFFFF"/>
            <w:vAlign w:val="center"/>
          </w:tcPr>
          <w:p w14:paraId="3218378C"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Area under coppice forests is 257,879.6 ha</w:t>
            </w:r>
          </w:p>
        </w:tc>
        <w:tc>
          <w:tcPr>
            <w:tcW w:w="1267" w:type="pct"/>
            <w:shd w:val="clear" w:color="auto" w:fill="FFFFFF"/>
            <w:vAlign w:val="center"/>
          </w:tcPr>
          <w:p w14:paraId="6617CECC"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2026, reduced area under coppice forests and bushes by 50,000 ha and transitioned into the higher form</w:t>
            </w:r>
          </w:p>
        </w:tc>
      </w:tr>
      <w:tr w:rsidR="0059116C" w:rsidRPr="007C4D65" w14:paraId="43EDBEDF" w14:textId="77777777" w:rsidTr="00B6017F">
        <w:trPr>
          <w:trHeight w:val="567"/>
          <w:jc w:val="center"/>
        </w:trPr>
        <w:tc>
          <w:tcPr>
            <w:tcW w:w="1429" w:type="pct"/>
            <w:vMerge/>
            <w:shd w:val="clear" w:color="auto" w:fill="009D73"/>
            <w:vAlign w:val="center"/>
          </w:tcPr>
          <w:p w14:paraId="5D1DD0BA"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5BDD5FA9"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sz w:val="18"/>
                <w:szCs w:val="18"/>
              </w:rPr>
              <w:t xml:space="preserve">Area of productive barren land suitable for afforestation  </w:t>
            </w:r>
          </w:p>
        </w:tc>
        <w:tc>
          <w:tcPr>
            <w:tcW w:w="1266" w:type="pct"/>
            <w:shd w:val="clear" w:color="auto" w:fill="FFFFFF"/>
            <w:vAlign w:val="center"/>
          </w:tcPr>
          <w:p w14:paraId="56ABCC68"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Area of productive barren land suitable for afforestation is 159,913.5 ha</w:t>
            </w:r>
          </w:p>
        </w:tc>
        <w:tc>
          <w:tcPr>
            <w:tcW w:w="1267" w:type="pct"/>
            <w:shd w:val="clear" w:color="auto" w:fill="FFFFFF"/>
            <w:vAlign w:val="center"/>
          </w:tcPr>
          <w:p w14:paraId="17CD8ED8"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color w:val="000000"/>
                <w:sz w:val="18"/>
                <w:szCs w:val="18"/>
              </w:rPr>
              <w:t>By 2031, 16,000 ha of current territory of karst and barren land afforested</w:t>
            </w:r>
          </w:p>
        </w:tc>
      </w:tr>
      <w:tr w:rsidR="0059116C" w:rsidRPr="007C4D65" w14:paraId="0AB47160" w14:textId="77777777" w:rsidTr="00B6017F">
        <w:trPr>
          <w:trHeight w:val="567"/>
          <w:jc w:val="center"/>
        </w:trPr>
        <w:tc>
          <w:tcPr>
            <w:tcW w:w="1429" w:type="pct"/>
            <w:shd w:val="clear" w:color="auto" w:fill="009D73"/>
            <w:vAlign w:val="center"/>
          </w:tcPr>
          <w:p w14:paraId="12C0590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priorities</w:t>
            </w:r>
          </w:p>
        </w:tc>
        <w:tc>
          <w:tcPr>
            <w:tcW w:w="3571" w:type="pct"/>
            <w:gridSpan w:val="3"/>
            <w:shd w:val="clear" w:color="auto" w:fill="FFFFFF"/>
            <w:vAlign w:val="center"/>
          </w:tcPr>
          <w:p w14:paraId="7823A66C"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Improvement of the forest management forests and increased resilience to climate change in the Federation of BiH</w:t>
            </w:r>
          </w:p>
        </w:tc>
      </w:tr>
      <w:tr w:rsidR="0059116C" w:rsidRPr="007C4D65" w14:paraId="3D97F522" w14:textId="77777777" w:rsidTr="00B6017F">
        <w:trPr>
          <w:trHeight w:val="567"/>
          <w:jc w:val="center"/>
        </w:trPr>
        <w:tc>
          <w:tcPr>
            <w:tcW w:w="1429" w:type="pct"/>
            <w:shd w:val="clear" w:color="auto" w:fill="009D73"/>
            <w:vAlign w:val="center"/>
          </w:tcPr>
          <w:p w14:paraId="476E3855"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71" w:type="pct"/>
            <w:gridSpan w:val="3"/>
            <w:shd w:val="clear" w:color="auto" w:fill="FFFFFF"/>
            <w:vAlign w:val="center"/>
          </w:tcPr>
          <w:p w14:paraId="6A73E127" w14:textId="3D8CE5D9" w:rsidR="0059116C" w:rsidRPr="007C4D65" w:rsidRDefault="0059116C"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132,163,137</w:t>
            </w:r>
          </w:p>
          <w:p w14:paraId="7A9191EC"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sz w:val="18"/>
                <w:szCs w:val="18"/>
              </w:rPr>
              <w:t xml:space="preserve">Source: 10% from the government budget, 90% </w:t>
            </w:r>
            <w:r w:rsidRPr="007C4D65">
              <w:rPr>
                <w:rFonts w:asciiTheme="minorHAnsi" w:eastAsia="Calibri" w:hAnsiTheme="minorHAnsi" w:cstheme="minorHAnsi"/>
                <w:sz w:val="18"/>
                <w:szCs w:val="18"/>
              </w:rPr>
              <w:t>combined ‒ loans, funds from EU and other international donors, and other donations</w:t>
            </w:r>
          </w:p>
        </w:tc>
      </w:tr>
      <w:tr w:rsidR="0059116C" w:rsidRPr="007C4D65" w14:paraId="56C1C748" w14:textId="77777777" w:rsidTr="00B6017F">
        <w:trPr>
          <w:trHeight w:val="567"/>
          <w:jc w:val="center"/>
        </w:trPr>
        <w:tc>
          <w:tcPr>
            <w:tcW w:w="1429" w:type="pct"/>
            <w:shd w:val="clear" w:color="auto" w:fill="009D73"/>
            <w:vAlign w:val="center"/>
          </w:tcPr>
          <w:p w14:paraId="09A3F07F"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71" w:type="pct"/>
            <w:gridSpan w:val="3"/>
            <w:shd w:val="clear" w:color="auto" w:fill="FFFFFF"/>
            <w:vAlign w:val="center"/>
          </w:tcPr>
          <w:p w14:paraId="714DF520"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2023‒2031</w:t>
            </w:r>
          </w:p>
        </w:tc>
      </w:tr>
      <w:tr w:rsidR="0059116C" w:rsidRPr="007C4D65" w14:paraId="2CEF16A1" w14:textId="77777777" w:rsidTr="00B6017F">
        <w:trPr>
          <w:trHeight w:val="567"/>
          <w:jc w:val="center"/>
        </w:trPr>
        <w:tc>
          <w:tcPr>
            <w:tcW w:w="1429" w:type="pct"/>
            <w:shd w:val="clear" w:color="auto" w:fill="009D73"/>
            <w:vAlign w:val="center"/>
          </w:tcPr>
          <w:p w14:paraId="6306FC55"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Institution responsible for coordination and implementation of the measure</w:t>
            </w:r>
          </w:p>
        </w:tc>
        <w:tc>
          <w:tcPr>
            <w:tcW w:w="3571" w:type="pct"/>
            <w:gridSpan w:val="3"/>
            <w:shd w:val="clear" w:color="auto" w:fill="FFFFFF"/>
            <w:vAlign w:val="center"/>
          </w:tcPr>
          <w:p w14:paraId="1E0B274A"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Agriculture, Forestry and Water Management</w:t>
            </w:r>
          </w:p>
        </w:tc>
      </w:tr>
      <w:tr w:rsidR="0059116C" w:rsidRPr="007C4D65" w14:paraId="6C9B0A82" w14:textId="77777777" w:rsidTr="00B6017F">
        <w:trPr>
          <w:trHeight w:val="567"/>
          <w:jc w:val="center"/>
        </w:trPr>
        <w:tc>
          <w:tcPr>
            <w:tcW w:w="1429" w:type="pct"/>
            <w:shd w:val="clear" w:color="auto" w:fill="009D73"/>
            <w:vAlign w:val="center"/>
          </w:tcPr>
          <w:p w14:paraId="6B43E2AC"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Implementing institution</w:t>
            </w:r>
          </w:p>
        </w:tc>
        <w:tc>
          <w:tcPr>
            <w:tcW w:w="3571" w:type="pct"/>
            <w:gridSpan w:val="3"/>
            <w:shd w:val="clear" w:color="auto" w:fill="FFFFFF"/>
            <w:vAlign w:val="center"/>
          </w:tcPr>
          <w:p w14:paraId="265BC591"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Federation of BiH Ministry of Agriculture, Forestry and Water Management</w:t>
            </w:r>
          </w:p>
          <w:p w14:paraId="29B70080"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Competent cantonal ministries, forest users</w:t>
            </w:r>
          </w:p>
        </w:tc>
      </w:tr>
      <w:tr w:rsidR="0059116C" w:rsidRPr="007C4D65" w14:paraId="381FEE78" w14:textId="77777777" w:rsidTr="00B6017F">
        <w:trPr>
          <w:trHeight w:val="567"/>
          <w:jc w:val="center"/>
        </w:trPr>
        <w:tc>
          <w:tcPr>
            <w:tcW w:w="1429" w:type="pct"/>
            <w:shd w:val="clear" w:color="auto" w:fill="009D73"/>
            <w:vAlign w:val="center"/>
          </w:tcPr>
          <w:p w14:paraId="12EF1F88" w14:textId="6E1AB92B"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Target groups</w:t>
            </w:r>
          </w:p>
        </w:tc>
        <w:tc>
          <w:tcPr>
            <w:tcW w:w="3571" w:type="pct"/>
            <w:gridSpan w:val="3"/>
            <w:shd w:val="clear" w:color="auto" w:fill="FFFFFF"/>
            <w:vAlign w:val="center"/>
          </w:tcPr>
          <w:p w14:paraId="7A995315"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Competent ministries</w:t>
            </w:r>
          </w:p>
          <w:p w14:paraId="6715530C" w14:textId="77777777" w:rsidR="0059116C" w:rsidRPr="007C4D65" w:rsidRDefault="0059116C" w:rsidP="00B6017F">
            <w:pPr>
              <w:spacing w:before="40" w:after="40" w:line="276" w:lineRule="auto"/>
              <w:rPr>
                <w:rFonts w:asciiTheme="minorHAnsi" w:eastAsiaTheme="minorHAnsi" w:hAnsiTheme="minorHAnsi" w:cstheme="minorHAnsi"/>
                <w:strike/>
                <w:color w:val="000000" w:themeColor="text1"/>
                <w:sz w:val="18"/>
                <w:szCs w:val="18"/>
              </w:rPr>
            </w:pPr>
            <w:r w:rsidRPr="007C4D65">
              <w:rPr>
                <w:rFonts w:asciiTheme="minorHAnsi" w:hAnsiTheme="minorHAnsi" w:cstheme="minorHAnsi"/>
                <w:color w:val="000000" w:themeColor="text1"/>
                <w:sz w:val="18"/>
                <w:szCs w:val="18"/>
              </w:rPr>
              <w:t>Cantonal forest management companies, forest users</w:t>
            </w:r>
          </w:p>
        </w:tc>
      </w:tr>
    </w:tbl>
    <w:p w14:paraId="3C0C35C7" w14:textId="77777777" w:rsidR="0059116C" w:rsidRPr="007C4D65" w:rsidRDefault="0059116C" w:rsidP="0059116C">
      <w:pPr>
        <w:spacing w:line="276" w:lineRule="auto"/>
        <w:rPr>
          <w:rFonts w:asciiTheme="minorHAnsi" w:eastAsiaTheme="minorHAnsi" w:hAnsiTheme="minorHAnsi" w:cstheme="minorHAnsi"/>
          <w:sz w:val="18"/>
          <w:szCs w:val="18"/>
          <w:lang w:val="hr-HR" w:eastAsia="en-US"/>
        </w:rPr>
      </w:pPr>
    </w:p>
    <w:tbl>
      <w:tblPr>
        <w:tblW w:w="48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828"/>
        <w:gridCol w:w="2781"/>
        <w:gridCol w:w="3392"/>
        <w:gridCol w:w="3395"/>
      </w:tblGrid>
      <w:tr w:rsidR="0059116C" w:rsidRPr="007C4D65" w14:paraId="44AFE22B"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B77F85F" w14:textId="3147C453"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4802FA1" w14:textId="6FD84546"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388EA973"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A846BAE"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Priority</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523C6CE" w14:textId="075B2F57"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6.1. </w:t>
            </w:r>
            <w:r w:rsidR="00DF4EC7" w:rsidRPr="007C4D65">
              <w:rPr>
                <w:rFonts w:asciiTheme="minorHAnsi" w:hAnsiTheme="minorHAnsi" w:cstheme="minorHAnsi"/>
                <w:b/>
                <w:bCs/>
                <w:sz w:val="18"/>
                <w:szCs w:val="18"/>
              </w:rPr>
              <w:t>Establish an effective legal, strategic and institutional framework for sustainable forest and forest resources management in the Federation of BiH, appropriate valuation of forest resources, and ensure integration of gender and climate change issues</w:t>
            </w:r>
          </w:p>
        </w:tc>
      </w:tr>
      <w:tr w:rsidR="0059116C" w:rsidRPr="007C4D65" w14:paraId="59CC3C7B"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40767BC" w14:textId="2E1533EA"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B2371A9" w14:textId="77777777" w:rsidR="0059116C" w:rsidRPr="007C4D65" w:rsidRDefault="0059116C" w:rsidP="00B6017F">
            <w:pPr>
              <w:spacing w:before="40" w:after="40" w:line="276" w:lineRule="auto"/>
              <w:rPr>
                <w:rFonts w:asciiTheme="minorHAnsi" w:eastAsia="Calibri" w:hAnsiTheme="minorHAnsi" w:cstheme="minorHAnsi"/>
                <w:b/>
                <w:bCs/>
                <w:sz w:val="18"/>
                <w:szCs w:val="18"/>
              </w:rPr>
            </w:pPr>
            <w:r w:rsidRPr="007C4D65">
              <w:rPr>
                <w:rFonts w:asciiTheme="minorHAnsi" w:hAnsiTheme="minorHAnsi" w:cstheme="minorHAnsi"/>
                <w:b/>
                <w:bCs/>
                <w:sz w:val="18"/>
                <w:szCs w:val="18"/>
              </w:rPr>
              <w:t>6.1.6. Establishment of a Forest Information System</w:t>
            </w:r>
          </w:p>
        </w:tc>
      </w:tr>
      <w:tr w:rsidR="0059116C" w:rsidRPr="007C4D65" w14:paraId="5DAFFCBD"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B391D9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930FAB4" w14:textId="615A941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This measure aims to establish a forest information system FIS is to create IT preconditions for sustainable management of forest resources.</w:t>
            </w:r>
          </w:p>
          <w:p w14:paraId="570EA4DB" w14:textId="6AF02386"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FIS should include priority themes for data and information on forests, such as main information on forests, natural and biological diversity, forest and climate change (impacts, adaptation and mitigation), forest health and resilience (natural disruptions, fires and pests) and (forest) </w:t>
            </w:r>
            <w:proofErr w:type="gramStart"/>
            <w:r w:rsidRPr="007C4D65">
              <w:rPr>
                <w:rFonts w:asciiTheme="minorHAnsi" w:hAnsiTheme="minorHAnsi" w:cstheme="minorHAnsi"/>
                <w:sz w:val="18"/>
                <w:szCs w:val="18"/>
              </w:rPr>
              <w:t>bio-economy</w:t>
            </w:r>
            <w:proofErr w:type="gramEnd"/>
            <w:r w:rsidR="00A970D9" w:rsidRPr="007C4D65">
              <w:rPr>
                <w:rFonts w:asciiTheme="minorHAnsi" w:hAnsiTheme="minorHAnsi" w:cstheme="minorHAnsi"/>
                <w:sz w:val="18"/>
                <w:szCs w:val="18"/>
              </w:rPr>
              <w:t>.</w:t>
            </w:r>
          </w:p>
          <w:p w14:paraId="67D73AC0"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Part of the information system is already developed, but the work and harmonisation of the structure with the EU’s Forest Information System in Europe (FISE) needs to continue. </w:t>
            </w:r>
          </w:p>
          <w:p w14:paraId="46F5C5BF"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This activity should be preceded by urgent adoption and publication of the data from the II Forest Inventory. </w:t>
            </w:r>
          </w:p>
        </w:tc>
      </w:tr>
      <w:tr w:rsidR="0059116C" w:rsidRPr="007C4D65" w14:paraId="06C05A3D"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37FBC05"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Strategic projects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65CF219"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5BE4D564" w14:textId="77777777" w:rsidTr="00B6017F">
        <w:trPr>
          <w:trHeight w:val="567"/>
          <w:jc w:val="center"/>
        </w:trPr>
        <w:tc>
          <w:tcPr>
            <w:tcW w:w="142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1C528FA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Indicators for monitoring of results of measures</w:t>
            </w:r>
          </w:p>
        </w:tc>
        <w:tc>
          <w:tcPr>
            <w:tcW w:w="103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65CF98B"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57DE0C1B" w14:textId="4A89C27B"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C835400"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553A8F4A"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297FD7F"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34ADCA72" w14:textId="77777777" w:rsidTr="00B6017F">
        <w:trPr>
          <w:trHeight w:val="274"/>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74DB3883"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913FBF8"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a FIS aligned with the EU’s Forest Information System for Europe (FISE)</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EB60EAB" w14:textId="198FBE79"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Part of the information system is already developed, but the work and harmonisation of the structure with the EU’s Forest Information System in Europe (FISE) needs to continue</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95D8B18"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the end of 2025, established harmonised FIS</w:t>
            </w:r>
          </w:p>
        </w:tc>
      </w:tr>
      <w:tr w:rsidR="0059116C" w:rsidRPr="007C4D65" w14:paraId="558C218C"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A3C502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priority</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6DADE3A"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Improving the forest management system</w:t>
            </w:r>
          </w:p>
        </w:tc>
      </w:tr>
      <w:tr w:rsidR="0059116C" w:rsidRPr="007C4D65" w14:paraId="7A498546"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BEFE6D3"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D772D3B"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bCs/>
                <w:sz w:val="18"/>
                <w:szCs w:val="18"/>
              </w:rPr>
              <w:t xml:space="preserve">Amount: BAM 136,908 </w:t>
            </w:r>
          </w:p>
          <w:p w14:paraId="200EFE96"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bCs/>
                <w:sz w:val="18"/>
                <w:szCs w:val="18"/>
              </w:rPr>
              <w:t>Source: 30% from the government budget, 70% funds from EU and other international donors</w:t>
            </w:r>
          </w:p>
        </w:tc>
      </w:tr>
      <w:tr w:rsidR="0059116C" w:rsidRPr="007C4D65" w14:paraId="4B7D7E3A"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18AC4E3"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3B03F68"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2023‒2025</w:t>
            </w:r>
          </w:p>
        </w:tc>
      </w:tr>
      <w:tr w:rsidR="0059116C" w:rsidRPr="007C4D65" w14:paraId="32FDD09C"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860643E"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Institution responsible for coordination and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4F26AF4"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Federation of BiH Ministry of Agriculture, Forestry and Water Management</w:t>
            </w:r>
          </w:p>
        </w:tc>
      </w:tr>
      <w:tr w:rsidR="0059116C" w:rsidRPr="007C4D65" w14:paraId="1EEEE6DA"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E38AC77"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Implementing institution</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F3D291E"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Federation of BiH Ministry of Agriculture, Forestry and Water Management</w:t>
            </w:r>
          </w:p>
          <w:p w14:paraId="185F6693"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Competent cantonal ministries, cantonal forest management companies</w:t>
            </w:r>
          </w:p>
        </w:tc>
      </w:tr>
      <w:tr w:rsidR="0059116C" w:rsidRPr="007C4D65" w14:paraId="740958FC"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E1AFDAE" w14:textId="04AA6B69"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Target groups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C82D6CC"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Competent cantonal ministries</w:t>
            </w:r>
          </w:p>
          <w:p w14:paraId="4277411A" w14:textId="77777777" w:rsidR="0059116C" w:rsidRPr="007C4D65" w:rsidRDefault="0059116C" w:rsidP="00B6017F">
            <w:pPr>
              <w:spacing w:before="40" w:after="40" w:line="276" w:lineRule="auto"/>
              <w:rPr>
                <w:rFonts w:asciiTheme="minorHAnsi" w:eastAsiaTheme="minorHAnsi" w:hAnsiTheme="minorHAnsi" w:cstheme="minorHAnsi"/>
                <w:strike/>
                <w:color w:val="000000" w:themeColor="text1"/>
                <w:sz w:val="18"/>
                <w:szCs w:val="18"/>
              </w:rPr>
            </w:pPr>
            <w:r w:rsidRPr="007C4D65">
              <w:rPr>
                <w:rFonts w:asciiTheme="minorHAnsi" w:hAnsiTheme="minorHAnsi" w:cstheme="minorHAnsi"/>
                <w:color w:val="000000" w:themeColor="text1"/>
                <w:sz w:val="18"/>
                <w:szCs w:val="18"/>
              </w:rPr>
              <w:t>Cantonal forest management companies, forest users</w:t>
            </w:r>
          </w:p>
        </w:tc>
      </w:tr>
    </w:tbl>
    <w:p w14:paraId="25A7B3E2" w14:textId="77777777" w:rsidR="0059116C" w:rsidRPr="007C4D65" w:rsidRDefault="0059116C" w:rsidP="0059116C">
      <w:pPr>
        <w:spacing w:line="276" w:lineRule="auto"/>
        <w:rPr>
          <w:rFonts w:asciiTheme="minorHAnsi" w:eastAsiaTheme="minorHAnsi" w:hAnsiTheme="minorHAnsi" w:cstheme="minorHAnsi"/>
          <w:sz w:val="18"/>
          <w:szCs w:val="18"/>
          <w:lang w:val="hr-HR" w:eastAsia="en-US"/>
        </w:rPr>
      </w:pPr>
    </w:p>
    <w:tbl>
      <w:tblPr>
        <w:tblW w:w="4802"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8"/>
        <w:gridCol w:w="2781"/>
        <w:gridCol w:w="3392"/>
        <w:gridCol w:w="3395"/>
      </w:tblGrid>
      <w:tr w:rsidR="0059116C" w:rsidRPr="007C4D65" w14:paraId="5EA1D4D7" w14:textId="77777777" w:rsidTr="00B6017F">
        <w:trPr>
          <w:trHeight w:val="567"/>
          <w:jc w:val="center"/>
        </w:trPr>
        <w:tc>
          <w:tcPr>
            <w:tcW w:w="1429" w:type="pct"/>
            <w:shd w:val="clear" w:color="auto" w:fill="009D73"/>
            <w:vAlign w:val="center"/>
          </w:tcPr>
          <w:p w14:paraId="2DACB427" w14:textId="1A542CD5"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71" w:type="pct"/>
            <w:gridSpan w:val="3"/>
            <w:shd w:val="clear" w:color="auto" w:fill="FFFFFF"/>
            <w:vAlign w:val="center"/>
          </w:tcPr>
          <w:p w14:paraId="558807D8" w14:textId="61BEFF6D"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41CA1398" w14:textId="77777777" w:rsidTr="00B6017F">
        <w:trPr>
          <w:trHeight w:val="567"/>
          <w:jc w:val="center"/>
        </w:trPr>
        <w:tc>
          <w:tcPr>
            <w:tcW w:w="1429" w:type="pct"/>
            <w:shd w:val="clear" w:color="auto" w:fill="009D73"/>
            <w:vAlign w:val="center"/>
          </w:tcPr>
          <w:p w14:paraId="016F211D"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71" w:type="pct"/>
            <w:gridSpan w:val="3"/>
            <w:shd w:val="clear" w:color="auto" w:fill="FFFFFF"/>
            <w:vAlign w:val="center"/>
          </w:tcPr>
          <w:p w14:paraId="1F560352" w14:textId="77777777"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6.2. Enhance legal, strategic and institutional frameworks for sustainable management of hunting game</w:t>
            </w:r>
          </w:p>
        </w:tc>
      </w:tr>
      <w:tr w:rsidR="0059116C" w:rsidRPr="007C4D65" w14:paraId="648BDD41" w14:textId="77777777" w:rsidTr="00B6017F">
        <w:trPr>
          <w:trHeight w:val="567"/>
          <w:jc w:val="center"/>
        </w:trPr>
        <w:tc>
          <w:tcPr>
            <w:tcW w:w="1429" w:type="pct"/>
            <w:shd w:val="clear" w:color="auto" w:fill="009D73"/>
            <w:vAlign w:val="center"/>
          </w:tcPr>
          <w:p w14:paraId="005E730B" w14:textId="7924D471"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71" w:type="pct"/>
            <w:gridSpan w:val="3"/>
            <w:shd w:val="clear" w:color="auto" w:fill="auto"/>
            <w:vAlign w:val="center"/>
          </w:tcPr>
          <w:p w14:paraId="42702D6F" w14:textId="77777777" w:rsidR="0059116C" w:rsidRPr="007C4D65" w:rsidRDefault="0059116C" w:rsidP="00B6017F">
            <w:pPr>
              <w:spacing w:before="40" w:after="40" w:line="276" w:lineRule="auto"/>
              <w:rPr>
                <w:rFonts w:asciiTheme="minorHAnsi" w:eastAsiaTheme="minorHAnsi" w:hAnsiTheme="minorHAnsi" w:cstheme="minorHAnsi"/>
                <w:b/>
                <w:bCs/>
                <w:color w:val="000000"/>
                <w:sz w:val="18"/>
                <w:szCs w:val="18"/>
              </w:rPr>
            </w:pPr>
            <w:r w:rsidRPr="007C4D65">
              <w:rPr>
                <w:rFonts w:asciiTheme="minorHAnsi" w:hAnsiTheme="minorHAnsi" w:cstheme="minorHAnsi"/>
                <w:b/>
                <w:bCs/>
                <w:color w:val="000000"/>
                <w:sz w:val="18"/>
                <w:szCs w:val="18"/>
              </w:rPr>
              <w:t xml:space="preserve">6.2.1 </w:t>
            </w:r>
            <w:r w:rsidRPr="007C4D65">
              <w:rPr>
                <w:rFonts w:asciiTheme="minorHAnsi" w:hAnsiTheme="minorHAnsi" w:cstheme="minorHAnsi"/>
                <w:b/>
                <w:bCs/>
                <w:sz w:val="18"/>
                <w:szCs w:val="18"/>
              </w:rPr>
              <w:t>Establish a harmonized regulatory framework for establishing hunting grounds, managing the population and planned rearing of wild game</w:t>
            </w:r>
          </w:p>
        </w:tc>
      </w:tr>
      <w:tr w:rsidR="0059116C" w:rsidRPr="007C4D65" w14:paraId="0AF23812" w14:textId="77777777" w:rsidTr="00B6017F">
        <w:trPr>
          <w:trHeight w:val="274"/>
          <w:jc w:val="center"/>
        </w:trPr>
        <w:tc>
          <w:tcPr>
            <w:tcW w:w="1429" w:type="pct"/>
            <w:shd w:val="clear" w:color="auto" w:fill="009D73"/>
            <w:vAlign w:val="center"/>
          </w:tcPr>
          <w:p w14:paraId="64B3FE5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71" w:type="pct"/>
            <w:gridSpan w:val="3"/>
            <w:shd w:val="clear" w:color="auto" w:fill="auto"/>
            <w:vAlign w:val="center"/>
          </w:tcPr>
          <w:p w14:paraId="68318036" w14:textId="3A8AE5EC"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This measure aims to harmonise the legislation on hunting with the relevant EU directives and international agreements regarding biodiversity.</w:t>
            </w:r>
          </w:p>
          <w:p w14:paraId="4E107653" w14:textId="7DA370E3"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This measure involves:</w:t>
            </w:r>
          </w:p>
          <w:p w14:paraId="68983EC4" w14:textId="022EB2B9" w:rsidR="0059116C" w:rsidRPr="007C4D65" w:rsidRDefault="0059116C">
            <w:pPr>
              <w:numPr>
                <w:ilvl w:val="0"/>
                <w:numId w:val="147"/>
              </w:numPr>
              <w:spacing w:before="40" w:after="40" w:line="276" w:lineRule="auto"/>
              <w:ind w:left="360"/>
              <w:contextualSpacing/>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 xml:space="preserve">Adoption of a new, harmonised Law on </w:t>
            </w:r>
            <w:proofErr w:type="gramStart"/>
            <w:r w:rsidRPr="007C4D65">
              <w:rPr>
                <w:rFonts w:asciiTheme="minorHAnsi" w:hAnsiTheme="minorHAnsi" w:cstheme="minorHAnsi"/>
                <w:color w:val="000000"/>
                <w:sz w:val="18"/>
                <w:szCs w:val="18"/>
              </w:rPr>
              <w:t>Hunting</w:t>
            </w:r>
            <w:r w:rsidR="00A970D9" w:rsidRPr="007C4D65">
              <w:rPr>
                <w:rFonts w:asciiTheme="minorHAnsi" w:hAnsiTheme="minorHAnsi" w:cstheme="minorHAnsi"/>
                <w:color w:val="000000"/>
                <w:sz w:val="18"/>
                <w:szCs w:val="18"/>
              </w:rPr>
              <w:t>;</w:t>
            </w:r>
            <w:proofErr w:type="gramEnd"/>
          </w:p>
          <w:p w14:paraId="33ACE5A2" w14:textId="7753C4D9" w:rsidR="0059116C" w:rsidRPr="007C4D65" w:rsidRDefault="0059116C">
            <w:pPr>
              <w:numPr>
                <w:ilvl w:val="0"/>
                <w:numId w:val="147"/>
              </w:numPr>
              <w:spacing w:before="40" w:after="40" w:line="276" w:lineRule="auto"/>
              <w:ind w:left="360"/>
              <w:contextualSpacing/>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Adoption of a set of new bylaws, in accordance with the new law</w:t>
            </w:r>
            <w:r w:rsidR="00A970D9" w:rsidRPr="007C4D65">
              <w:rPr>
                <w:rFonts w:asciiTheme="minorHAnsi" w:eastAsiaTheme="minorHAnsi" w:hAnsiTheme="minorHAnsi" w:cstheme="minorHAnsi"/>
                <w:color w:val="000000"/>
                <w:sz w:val="18"/>
                <w:szCs w:val="18"/>
              </w:rPr>
              <w:t>.</w:t>
            </w:r>
          </w:p>
        </w:tc>
      </w:tr>
      <w:tr w:rsidR="0059116C" w:rsidRPr="007C4D65" w14:paraId="15AAF6B7" w14:textId="77777777" w:rsidTr="00B6017F">
        <w:trPr>
          <w:trHeight w:val="567"/>
          <w:jc w:val="center"/>
        </w:trPr>
        <w:tc>
          <w:tcPr>
            <w:tcW w:w="1429" w:type="pct"/>
            <w:shd w:val="clear" w:color="auto" w:fill="009D73"/>
            <w:vAlign w:val="center"/>
          </w:tcPr>
          <w:p w14:paraId="095DB135"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Strategic projects</w:t>
            </w:r>
          </w:p>
        </w:tc>
        <w:tc>
          <w:tcPr>
            <w:tcW w:w="3571" w:type="pct"/>
            <w:gridSpan w:val="3"/>
            <w:shd w:val="clear" w:color="auto" w:fill="FFFFFF" w:themeFill="background1"/>
            <w:vAlign w:val="center"/>
          </w:tcPr>
          <w:p w14:paraId="6A63E73D"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0713C735" w14:textId="77777777" w:rsidTr="00B6017F">
        <w:trPr>
          <w:trHeight w:val="567"/>
          <w:jc w:val="center"/>
        </w:trPr>
        <w:tc>
          <w:tcPr>
            <w:tcW w:w="1429" w:type="pct"/>
            <w:vMerge w:val="restart"/>
            <w:shd w:val="clear" w:color="auto" w:fill="009D73"/>
            <w:vAlign w:val="center"/>
          </w:tcPr>
          <w:p w14:paraId="5AC77F01"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Indicators for monitoring of results of measures</w:t>
            </w:r>
          </w:p>
        </w:tc>
        <w:tc>
          <w:tcPr>
            <w:tcW w:w="1038" w:type="pct"/>
            <w:shd w:val="clear" w:color="auto" w:fill="009D73"/>
            <w:vAlign w:val="center"/>
          </w:tcPr>
          <w:p w14:paraId="32602FDE"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2F191DB5" w14:textId="10807827"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shd w:val="clear" w:color="auto" w:fill="009D73"/>
            <w:vAlign w:val="center"/>
          </w:tcPr>
          <w:p w14:paraId="71957C39"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0ECB7DE3"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shd w:val="clear" w:color="auto" w:fill="009D73"/>
            <w:vAlign w:val="center"/>
          </w:tcPr>
          <w:p w14:paraId="2FA92596"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3656995C" w14:textId="77777777" w:rsidTr="00B6017F">
        <w:trPr>
          <w:trHeight w:val="567"/>
          <w:jc w:val="center"/>
        </w:trPr>
        <w:tc>
          <w:tcPr>
            <w:tcW w:w="1429" w:type="pct"/>
            <w:vMerge/>
            <w:shd w:val="clear" w:color="auto" w:fill="009D73"/>
            <w:vAlign w:val="center"/>
          </w:tcPr>
          <w:p w14:paraId="1CCDFC5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255594E1"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legislation on hunting aligned with EU directives and international agreements related to biodiversity</w:t>
            </w:r>
          </w:p>
        </w:tc>
        <w:tc>
          <w:tcPr>
            <w:tcW w:w="1266" w:type="pct"/>
            <w:shd w:val="clear" w:color="auto" w:fill="FFFFFF"/>
            <w:vAlign w:val="center"/>
          </w:tcPr>
          <w:p w14:paraId="5F3D5354"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Law on hunting of the Federation of BiH is not fully aligned with EU directives and international agreements on biodiversity</w:t>
            </w:r>
          </w:p>
        </w:tc>
        <w:tc>
          <w:tcPr>
            <w:tcW w:w="1267" w:type="pct"/>
            <w:shd w:val="clear" w:color="auto" w:fill="FFFFFF"/>
            <w:vAlign w:val="center"/>
          </w:tcPr>
          <w:p w14:paraId="4EB2A451"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the end of 2024, adopted harmonised Law on Hunting and set of bylaws, in accordance with the new law</w:t>
            </w:r>
          </w:p>
        </w:tc>
      </w:tr>
      <w:tr w:rsidR="0059116C" w:rsidRPr="007C4D65" w14:paraId="569907D3" w14:textId="77777777" w:rsidTr="00B6017F">
        <w:trPr>
          <w:trHeight w:val="567"/>
          <w:jc w:val="center"/>
        </w:trPr>
        <w:tc>
          <w:tcPr>
            <w:tcW w:w="1429" w:type="pct"/>
            <w:shd w:val="clear" w:color="auto" w:fill="009D73"/>
            <w:vAlign w:val="center"/>
          </w:tcPr>
          <w:p w14:paraId="3346216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priority</w:t>
            </w:r>
          </w:p>
        </w:tc>
        <w:tc>
          <w:tcPr>
            <w:tcW w:w="3571" w:type="pct"/>
            <w:gridSpan w:val="3"/>
            <w:shd w:val="clear" w:color="auto" w:fill="FFFFFF" w:themeFill="background1"/>
            <w:vAlign w:val="center"/>
          </w:tcPr>
          <w:p w14:paraId="247C7B75"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Improved management of hunting game</w:t>
            </w:r>
          </w:p>
        </w:tc>
      </w:tr>
      <w:tr w:rsidR="0059116C" w:rsidRPr="007C4D65" w14:paraId="367B07AE" w14:textId="77777777" w:rsidTr="00B6017F">
        <w:trPr>
          <w:trHeight w:val="567"/>
          <w:jc w:val="center"/>
        </w:trPr>
        <w:tc>
          <w:tcPr>
            <w:tcW w:w="1429" w:type="pct"/>
            <w:shd w:val="clear" w:color="auto" w:fill="009D73"/>
            <w:vAlign w:val="center"/>
          </w:tcPr>
          <w:p w14:paraId="47CE1F11"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71" w:type="pct"/>
            <w:gridSpan w:val="3"/>
            <w:shd w:val="clear" w:color="auto" w:fill="FFFFFF" w:themeFill="background1"/>
            <w:vAlign w:val="center"/>
          </w:tcPr>
          <w:p w14:paraId="498A9ADA" w14:textId="63B3B68F" w:rsidR="0059116C" w:rsidRPr="007C4D65" w:rsidRDefault="0059116C"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1,643</w:t>
            </w:r>
          </w:p>
          <w:p w14:paraId="65638891"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sz w:val="18"/>
                <w:szCs w:val="18"/>
              </w:rPr>
              <w:t>Source: 100% government budget</w:t>
            </w:r>
          </w:p>
        </w:tc>
      </w:tr>
      <w:tr w:rsidR="0059116C" w:rsidRPr="007C4D65" w14:paraId="3811F864" w14:textId="77777777" w:rsidTr="00B6017F">
        <w:trPr>
          <w:trHeight w:val="567"/>
          <w:jc w:val="center"/>
        </w:trPr>
        <w:tc>
          <w:tcPr>
            <w:tcW w:w="1429" w:type="pct"/>
            <w:shd w:val="clear" w:color="auto" w:fill="009D73"/>
            <w:vAlign w:val="center"/>
          </w:tcPr>
          <w:p w14:paraId="28E2725B"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71" w:type="pct"/>
            <w:gridSpan w:val="3"/>
            <w:shd w:val="clear" w:color="auto" w:fill="FFFFFF"/>
            <w:vAlign w:val="center"/>
          </w:tcPr>
          <w:p w14:paraId="1249E63A"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2022‒2024</w:t>
            </w:r>
          </w:p>
        </w:tc>
      </w:tr>
      <w:tr w:rsidR="0059116C" w:rsidRPr="007C4D65" w14:paraId="5C1345C6" w14:textId="77777777" w:rsidTr="00B6017F">
        <w:trPr>
          <w:trHeight w:val="567"/>
          <w:jc w:val="center"/>
        </w:trPr>
        <w:tc>
          <w:tcPr>
            <w:tcW w:w="1429" w:type="pct"/>
            <w:shd w:val="clear" w:color="auto" w:fill="009D73"/>
            <w:vAlign w:val="center"/>
          </w:tcPr>
          <w:p w14:paraId="2472EC7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Institution responsible for coordination and implementation of the measure</w:t>
            </w:r>
          </w:p>
        </w:tc>
        <w:tc>
          <w:tcPr>
            <w:tcW w:w="3571" w:type="pct"/>
            <w:gridSpan w:val="3"/>
            <w:shd w:val="clear" w:color="auto" w:fill="FFFFFF"/>
            <w:vAlign w:val="center"/>
          </w:tcPr>
          <w:p w14:paraId="67E59C44"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Federation of BiH Ministry of Agriculture, Forestry and Water Management</w:t>
            </w:r>
          </w:p>
          <w:p w14:paraId="6EA8C826"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Competent cantonal ministries</w:t>
            </w:r>
          </w:p>
        </w:tc>
      </w:tr>
      <w:tr w:rsidR="0059116C" w:rsidRPr="007C4D65" w14:paraId="0C40C2E8" w14:textId="77777777" w:rsidTr="00B6017F">
        <w:trPr>
          <w:trHeight w:val="567"/>
          <w:jc w:val="center"/>
        </w:trPr>
        <w:tc>
          <w:tcPr>
            <w:tcW w:w="1429" w:type="pct"/>
            <w:shd w:val="clear" w:color="auto" w:fill="009D73"/>
            <w:vAlign w:val="center"/>
          </w:tcPr>
          <w:p w14:paraId="6A68B36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Implementing institution</w:t>
            </w:r>
          </w:p>
        </w:tc>
        <w:tc>
          <w:tcPr>
            <w:tcW w:w="3571" w:type="pct"/>
            <w:gridSpan w:val="3"/>
            <w:shd w:val="clear" w:color="auto" w:fill="FFFFFF"/>
            <w:vAlign w:val="center"/>
          </w:tcPr>
          <w:p w14:paraId="4DB6E3D6" w14:textId="006F845D"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Parliament of the Federation of BiH, Government of the Federation of BiH, </w:t>
            </w:r>
            <w:r w:rsidR="00295360" w:rsidRPr="007C4D65">
              <w:rPr>
                <w:rFonts w:asciiTheme="minorHAnsi" w:hAnsiTheme="minorHAnsi" w:cstheme="minorHAnsi"/>
                <w:color w:val="000000" w:themeColor="text1"/>
                <w:sz w:val="18"/>
                <w:szCs w:val="18"/>
              </w:rPr>
              <w:t>Federation Ministry of</w:t>
            </w:r>
            <w:r w:rsidRPr="007C4D65">
              <w:rPr>
                <w:rFonts w:asciiTheme="minorHAnsi" w:hAnsiTheme="minorHAnsi" w:cstheme="minorHAnsi"/>
                <w:color w:val="000000" w:themeColor="text1"/>
                <w:sz w:val="18"/>
                <w:szCs w:val="18"/>
              </w:rPr>
              <w:t xml:space="preserve"> Agriculture, Water Management and Forestry</w:t>
            </w:r>
          </w:p>
          <w:p w14:paraId="7C4F60C8" w14:textId="77777777" w:rsidR="0059116C" w:rsidRPr="007C4D65" w:rsidRDefault="0059116C" w:rsidP="00B6017F">
            <w:pPr>
              <w:spacing w:before="40" w:after="40" w:line="276" w:lineRule="auto"/>
              <w:rPr>
                <w:rFonts w:asciiTheme="minorHAnsi" w:eastAsiaTheme="minorHAnsi" w:hAnsiTheme="minorHAnsi" w:cstheme="minorHAnsi"/>
                <w:strike/>
                <w:color w:val="000000" w:themeColor="text1"/>
                <w:sz w:val="18"/>
                <w:szCs w:val="18"/>
              </w:rPr>
            </w:pPr>
            <w:r w:rsidRPr="007C4D65">
              <w:rPr>
                <w:rFonts w:asciiTheme="minorHAnsi" w:hAnsiTheme="minorHAnsi" w:cstheme="minorHAnsi"/>
                <w:color w:val="000000" w:themeColor="text1"/>
                <w:sz w:val="18"/>
                <w:szCs w:val="18"/>
              </w:rPr>
              <w:t>Competent cantonal ministries, users of hunting grounds</w:t>
            </w:r>
          </w:p>
        </w:tc>
      </w:tr>
      <w:tr w:rsidR="0059116C" w:rsidRPr="007C4D65" w14:paraId="5287FF99" w14:textId="77777777" w:rsidTr="00B6017F">
        <w:trPr>
          <w:trHeight w:val="567"/>
          <w:jc w:val="center"/>
        </w:trPr>
        <w:tc>
          <w:tcPr>
            <w:tcW w:w="1429" w:type="pct"/>
            <w:shd w:val="clear" w:color="auto" w:fill="009D73"/>
            <w:vAlign w:val="center"/>
          </w:tcPr>
          <w:p w14:paraId="2B8207A3" w14:textId="7A2DB90C"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Target groups</w:t>
            </w:r>
          </w:p>
        </w:tc>
        <w:tc>
          <w:tcPr>
            <w:tcW w:w="3571" w:type="pct"/>
            <w:gridSpan w:val="3"/>
            <w:shd w:val="clear" w:color="auto" w:fill="FFFFFF"/>
            <w:vAlign w:val="center"/>
          </w:tcPr>
          <w:p w14:paraId="366BCB63"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Federation Ministry of Agriculture, Forestry and Water Management</w:t>
            </w:r>
          </w:p>
          <w:p w14:paraId="60666044"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Competent cantonal ministries, users of hunting grounds (hunting associations, forest management companies)</w:t>
            </w:r>
          </w:p>
        </w:tc>
      </w:tr>
    </w:tbl>
    <w:p w14:paraId="466563D4" w14:textId="77777777" w:rsidR="0059116C" w:rsidRPr="007C4D65" w:rsidRDefault="0059116C" w:rsidP="0059116C">
      <w:pPr>
        <w:spacing w:line="276" w:lineRule="auto"/>
        <w:rPr>
          <w:rFonts w:asciiTheme="minorHAnsi" w:eastAsiaTheme="minorHAnsi" w:hAnsiTheme="minorHAnsi" w:cstheme="minorHAnsi"/>
          <w:sz w:val="18"/>
          <w:szCs w:val="18"/>
          <w:lang w:val="hr-HR" w:eastAsia="en-US"/>
        </w:rPr>
      </w:pPr>
    </w:p>
    <w:tbl>
      <w:tblPr>
        <w:tblW w:w="4802"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8"/>
        <w:gridCol w:w="2781"/>
        <w:gridCol w:w="3392"/>
        <w:gridCol w:w="3395"/>
      </w:tblGrid>
      <w:tr w:rsidR="0059116C" w:rsidRPr="007C4D65" w14:paraId="16151DDE" w14:textId="77777777" w:rsidTr="00B6017F">
        <w:trPr>
          <w:trHeight w:val="567"/>
          <w:jc w:val="center"/>
        </w:trPr>
        <w:tc>
          <w:tcPr>
            <w:tcW w:w="1429" w:type="pct"/>
            <w:shd w:val="clear" w:color="auto" w:fill="009D73"/>
            <w:vAlign w:val="center"/>
          </w:tcPr>
          <w:p w14:paraId="3AB38E4A" w14:textId="3F2D0C70"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71" w:type="pct"/>
            <w:gridSpan w:val="3"/>
            <w:shd w:val="clear" w:color="auto" w:fill="FFFFFF"/>
            <w:vAlign w:val="center"/>
          </w:tcPr>
          <w:p w14:paraId="1566714C" w14:textId="50CD4C1A"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7D2C1F32" w14:textId="77777777" w:rsidTr="00B6017F">
        <w:trPr>
          <w:trHeight w:val="567"/>
          <w:jc w:val="center"/>
        </w:trPr>
        <w:tc>
          <w:tcPr>
            <w:tcW w:w="1429" w:type="pct"/>
            <w:shd w:val="clear" w:color="auto" w:fill="009D73"/>
            <w:vAlign w:val="center"/>
          </w:tcPr>
          <w:p w14:paraId="43279C66"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71" w:type="pct"/>
            <w:gridSpan w:val="3"/>
            <w:shd w:val="clear" w:color="auto" w:fill="FFFFFF"/>
            <w:vAlign w:val="center"/>
          </w:tcPr>
          <w:p w14:paraId="61A7CB38" w14:textId="77777777"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6.2. Enhance strategic, legal and institutional frameworks for sustainable management of hunting grounds and game</w:t>
            </w:r>
          </w:p>
        </w:tc>
      </w:tr>
      <w:tr w:rsidR="0059116C" w:rsidRPr="007C4D65" w14:paraId="60E92193" w14:textId="77777777" w:rsidTr="00B6017F">
        <w:trPr>
          <w:trHeight w:val="567"/>
          <w:jc w:val="center"/>
        </w:trPr>
        <w:tc>
          <w:tcPr>
            <w:tcW w:w="1429" w:type="pct"/>
            <w:shd w:val="clear" w:color="auto" w:fill="009D73"/>
            <w:vAlign w:val="center"/>
          </w:tcPr>
          <w:p w14:paraId="20B5CB09" w14:textId="613AD238"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71" w:type="pct"/>
            <w:gridSpan w:val="3"/>
            <w:shd w:val="clear" w:color="auto" w:fill="auto"/>
            <w:vAlign w:val="center"/>
          </w:tcPr>
          <w:p w14:paraId="793AD422" w14:textId="77777777" w:rsidR="0059116C" w:rsidRPr="007C4D65" w:rsidRDefault="0059116C" w:rsidP="00B6017F">
            <w:pPr>
              <w:spacing w:before="40" w:after="40" w:line="276" w:lineRule="auto"/>
              <w:rPr>
                <w:rFonts w:asciiTheme="minorHAnsi" w:eastAsia="Calibri" w:hAnsiTheme="minorHAnsi" w:cstheme="minorHAnsi"/>
                <w:b/>
                <w:bCs/>
                <w:sz w:val="18"/>
                <w:szCs w:val="18"/>
              </w:rPr>
            </w:pPr>
            <w:r w:rsidRPr="007C4D65">
              <w:rPr>
                <w:rFonts w:asciiTheme="minorHAnsi" w:hAnsiTheme="minorHAnsi" w:cstheme="minorHAnsi"/>
                <w:b/>
                <w:bCs/>
                <w:color w:val="000000"/>
                <w:sz w:val="18"/>
                <w:szCs w:val="18"/>
              </w:rPr>
              <w:t xml:space="preserve">6.2.2. </w:t>
            </w:r>
            <w:r w:rsidRPr="007C4D65">
              <w:rPr>
                <w:rFonts w:asciiTheme="minorHAnsi" w:hAnsiTheme="minorHAnsi" w:cstheme="minorHAnsi"/>
                <w:b/>
                <w:bCs/>
                <w:sz w:val="18"/>
                <w:szCs w:val="18"/>
              </w:rPr>
              <w:t>Improve the system of planning and managing hunting grounds and game</w:t>
            </w:r>
          </w:p>
        </w:tc>
      </w:tr>
      <w:tr w:rsidR="0059116C" w:rsidRPr="007C4D65" w14:paraId="2D2BDF66" w14:textId="77777777" w:rsidTr="00B6017F">
        <w:trPr>
          <w:trHeight w:val="274"/>
          <w:jc w:val="center"/>
        </w:trPr>
        <w:tc>
          <w:tcPr>
            <w:tcW w:w="1429" w:type="pct"/>
            <w:shd w:val="clear" w:color="auto" w:fill="009D73"/>
            <w:vAlign w:val="center"/>
          </w:tcPr>
          <w:p w14:paraId="6AB9DCBE"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71" w:type="pct"/>
            <w:gridSpan w:val="3"/>
            <w:vAlign w:val="center"/>
          </w:tcPr>
          <w:p w14:paraId="775644C7" w14:textId="5135934A"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This measure aims to provide preconditions for efficient game management planning, recognizing administrative borders, but in such a way that the borders are not an obstacle. Implementation of this measure requires:</w:t>
            </w:r>
          </w:p>
          <w:p w14:paraId="43998BBE" w14:textId="7EFDE6BC" w:rsidR="0059116C" w:rsidRPr="007C4D65" w:rsidRDefault="0059116C">
            <w:pPr>
              <w:numPr>
                <w:ilvl w:val="0"/>
                <w:numId w:val="73"/>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Conduct categorization, establishment and assigning of the hunting grounds for use, in accordance with provisions of the new Law (Measure 6.2.1</w:t>
            </w:r>
            <w:proofErr w:type="gramStart"/>
            <w:r w:rsidRPr="007C4D65">
              <w:rPr>
                <w:rFonts w:asciiTheme="minorHAnsi" w:hAnsiTheme="minorHAnsi" w:cstheme="minorHAnsi"/>
                <w:sz w:val="18"/>
                <w:szCs w:val="18"/>
              </w:rPr>
              <w:t>)</w:t>
            </w:r>
            <w:r w:rsidR="00A970D9" w:rsidRPr="007C4D65">
              <w:rPr>
                <w:rFonts w:asciiTheme="minorHAnsi" w:eastAsiaTheme="minorHAnsi" w:hAnsiTheme="minorHAnsi" w:cstheme="minorHAnsi"/>
                <w:sz w:val="18"/>
                <w:szCs w:val="18"/>
              </w:rPr>
              <w:t>;</w:t>
            </w:r>
            <w:proofErr w:type="gramEnd"/>
          </w:p>
          <w:p w14:paraId="7492BED4" w14:textId="77777777" w:rsidR="0059116C" w:rsidRPr="007C4D65" w:rsidRDefault="0059116C">
            <w:pPr>
              <w:numPr>
                <w:ilvl w:val="0"/>
                <w:numId w:val="73"/>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Establish in all hunting grounds of a technical service for overseeing and implementing measures from laws and plans </w:t>
            </w:r>
          </w:p>
          <w:p w14:paraId="3CAFBDCE" w14:textId="199C0CEF" w:rsidR="0059116C" w:rsidRPr="007C4D65" w:rsidRDefault="0059116C">
            <w:pPr>
              <w:numPr>
                <w:ilvl w:val="0"/>
                <w:numId w:val="73"/>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Develop and adopt plans for managing wild game population of wolf, bear and lynx, harmonized with the corresponding plans of </w:t>
            </w:r>
            <w:proofErr w:type="spellStart"/>
            <w:r w:rsidRPr="007C4D65">
              <w:rPr>
                <w:rFonts w:asciiTheme="minorHAnsi" w:hAnsiTheme="minorHAnsi" w:cstheme="minorHAnsi"/>
                <w:sz w:val="18"/>
                <w:szCs w:val="18"/>
              </w:rPr>
              <w:t>Republika</w:t>
            </w:r>
            <w:proofErr w:type="spellEnd"/>
            <w:r w:rsidRPr="007C4D65">
              <w:rPr>
                <w:rFonts w:asciiTheme="minorHAnsi" w:hAnsiTheme="minorHAnsi" w:cstheme="minorHAnsi"/>
                <w:sz w:val="18"/>
                <w:szCs w:val="18"/>
              </w:rPr>
              <w:t xml:space="preserve"> </w:t>
            </w:r>
            <w:proofErr w:type="gramStart"/>
            <w:r w:rsidRPr="007C4D65">
              <w:rPr>
                <w:rFonts w:asciiTheme="minorHAnsi" w:hAnsiTheme="minorHAnsi" w:cstheme="minorHAnsi"/>
                <w:sz w:val="18"/>
                <w:szCs w:val="18"/>
              </w:rPr>
              <w:t>Srpska</w:t>
            </w:r>
            <w:r w:rsidR="00A970D9" w:rsidRPr="007C4D65">
              <w:rPr>
                <w:rFonts w:asciiTheme="minorHAnsi" w:hAnsiTheme="minorHAnsi" w:cstheme="minorHAnsi"/>
                <w:sz w:val="18"/>
                <w:szCs w:val="18"/>
              </w:rPr>
              <w:t>;</w:t>
            </w:r>
            <w:proofErr w:type="gramEnd"/>
          </w:p>
          <w:p w14:paraId="3D116C2A" w14:textId="12A8DC8E" w:rsidR="0059116C" w:rsidRPr="007C4D65" w:rsidRDefault="0059116C">
            <w:pPr>
              <w:numPr>
                <w:ilvl w:val="0"/>
                <w:numId w:val="73"/>
              </w:numPr>
              <w:spacing w:before="40" w:after="40" w:line="276" w:lineRule="auto"/>
              <w:ind w:left="360"/>
              <w:contextualSpacing/>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Develop hunting management plans for all hunting grounds in </w:t>
            </w:r>
            <w:r w:rsidR="004B4EEC" w:rsidRPr="007C4D65">
              <w:rPr>
                <w:rFonts w:asciiTheme="minorHAnsi" w:hAnsiTheme="minorHAnsi" w:cstheme="minorHAnsi"/>
                <w:color w:val="000000" w:themeColor="text1"/>
                <w:sz w:val="18"/>
                <w:szCs w:val="18"/>
              </w:rPr>
              <w:t>accordance</w:t>
            </w:r>
            <w:r w:rsidRPr="007C4D65">
              <w:rPr>
                <w:rFonts w:asciiTheme="minorHAnsi" w:hAnsiTheme="minorHAnsi" w:cstheme="minorHAnsi"/>
                <w:color w:val="000000" w:themeColor="text1"/>
                <w:sz w:val="18"/>
                <w:szCs w:val="18"/>
              </w:rPr>
              <w:t xml:space="preserve"> with applicable legislation in the Federation of BiH and international legislation in this </w:t>
            </w:r>
            <w:proofErr w:type="gramStart"/>
            <w:r w:rsidRPr="007C4D65">
              <w:rPr>
                <w:rFonts w:asciiTheme="minorHAnsi" w:hAnsiTheme="minorHAnsi" w:cstheme="minorHAnsi"/>
                <w:color w:val="000000" w:themeColor="text1"/>
                <w:sz w:val="18"/>
                <w:szCs w:val="18"/>
              </w:rPr>
              <w:t>area</w:t>
            </w:r>
            <w:r w:rsidR="00A970D9" w:rsidRPr="007C4D65">
              <w:rPr>
                <w:rFonts w:asciiTheme="minorHAnsi" w:hAnsiTheme="minorHAnsi" w:cstheme="minorHAnsi"/>
                <w:color w:val="000000" w:themeColor="text1"/>
                <w:sz w:val="18"/>
                <w:szCs w:val="18"/>
              </w:rPr>
              <w:t>;</w:t>
            </w:r>
            <w:proofErr w:type="gramEnd"/>
          </w:p>
          <w:p w14:paraId="606F696A" w14:textId="7AB7D3CB" w:rsidR="0059116C" w:rsidRPr="007C4D65" w:rsidRDefault="0059116C">
            <w:pPr>
              <w:numPr>
                <w:ilvl w:val="0"/>
                <w:numId w:val="73"/>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Establish a separate module for hunting within the forestry information system</w:t>
            </w:r>
            <w:r w:rsidR="00A970D9" w:rsidRPr="007C4D65">
              <w:rPr>
                <w:rFonts w:asciiTheme="minorHAnsi" w:eastAsiaTheme="minorHAnsi" w:hAnsiTheme="minorHAnsi" w:cstheme="minorHAnsi"/>
                <w:sz w:val="18"/>
                <w:szCs w:val="18"/>
              </w:rPr>
              <w:t>.</w:t>
            </w:r>
          </w:p>
        </w:tc>
      </w:tr>
      <w:tr w:rsidR="0059116C" w:rsidRPr="007C4D65" w14:paraId="12B10512" w14:textId="77777777" w:rsidTr="00B6017F">
        <w:trPr>
          <w:trHeight w:val="567"/>
          <w:jc w:val="center"/>
        </w:trPr>
        <w:tc>
          <w:tcPr>
            <w:tcW w:w="1429" w:type="pct"/>
            <w:shd w:val="clear" w:color="auto" w:fill="009D73"/>
            <w:vAlign w:val="center"/>
          </w:tcPr>
          <w:p w14:paraId="0726285F"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Strategic projects</w:t>
            </w:r>
          </w:p>
        </w:tc>
        <w:tc>
          <w:tcPr>
            <w:tcW w:w="3571" w:type="pct"/>
            <w:gridSpan w:val="3"/>
            <w:vAlign w:val="center"/>
          </w:tcPr>
          <w:p w14:paraId="5DE76F98"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7B2B292E" w14:textId="77777777" w:rsidTr="00B6017F">
        <w:trPr>
          <w:trHeight w:val="567"/>
          <w:jc w:val="center"/>
        </w:trPr>
        <w:tc>
          <w:tcPr>
            <w:tcW w:w="1429" w:type="pct"/>
            <w:vMerge w:val="restart"/>
            <w:shd w:val="clear" w:color="auto" w:fill="009D73"/>
            <w:vAlign w:val="center"/>
          </w:tcPr>
          <w:p w14:paraId="2C1C37C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Indicators for monitoring of results of measures</w:t>
            </w:r>
          </w:p>
        </w:tc>
        <w:tc>
          <w:tcPr>
            <w:tcW w:w="1038" w:type="pct"/>
            <w:shd w:val="clear" w:color="auto" w:fill="009D73"/>
            <w:vAlign w:val="center"/>
          </w:tcPr>
          <w:p w14:paraId="519424D5"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3B55D5EC" w14:textId="059012EA"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shd w:val="clear" w:color="auto" w:fill="009D73"/>
            <w:vAlign w:val="center"/>
          </w:tcPr>
          <w:p w14:paraId="66FC90B4"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02483EA8"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shd w:val="clear" w:color="auto" w:fill="009D73"/>
            <w:vAlign w:val="center"/>
          </w:tcPr>
          <w:p w14:paraId="289870C6"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23D21697" w14:textId="77777777" w:rsidTr="00B6017F">
        <w:trPr>
          <w:trHeight w:val="567"/>
          <w:jc w:val="center"/>
        </w:trPr>
        <w:tc>
          <w:tcPr>
            <w:tcW w:w="1429" w:type="pct"/>
            <w:vMerge/>
            <w:shd w:val="clear" w:color="auto" w:fill="009D73"/>
            <w:vAlign w:val="center"/>
          </w:tcPr>
          <w:p w14:paraId="41D7C4F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vAlign w:val="center"/>
          </w:tcPr>
          <w:p w14:paraId="0DAC304B" w14:textId="77777777" w:rsidR="0059116C" w:rsidRPr="007C4D65" w:rsidRDefault="0059116C" w:rsidP="00B6017F">
            <w:pPr>
              <w:spacing w:before="40" w:after="40" w:line="276" w:lineRule="auto"/>
              <w:rPr>
                <w:rFonts w:asciiTheme="minorHAnsi" w:eastAsia="Calibri" w:hAnsiTheme="minorHAnsi" w:cstheme="minorHAnsi"/>
                <w:color w:val="000000" w:themeColor="text1"/>
                <w:sz w:val="18"/>
                <w:szCs w:val="18"/>
              </w:rPr>
            </w:pPr>
            <w:r w:rsidRPr="007C4D65">
              <w:rPr>
                <w:rFonts w:asciiTheme="minorHAnsi" w:hAnsiTheme="minorHAnsi" w:cstheme="minorHAnsi"/>
                <w:color w:val="000000" w:themeColor="text1"/>
                <w:sz w:val="18"/>
                <w:szCs w:val="18"/>
              </w:rPr>
              <w:t>Existence of categorization, establishment and assigning the hunting grounds for use</w:t>
            </w:r>
          </w:p>
        </w:tc>
        <w:tc>
          <w:tcPr>
            <w:tcW w:w="1266" w:type="pct"/>
            <w:shd w:val="clear" w:color="auto" w:fill="FFFFFF"/>
            <w:vAlign w:val="center"/>
          </w:tcPr>
          <w:p w14:paraId="21C56AB1"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sz w:val="18"/>
                <w:szCs w:val="18"/>
              </w:rPr>
              <w:t>Categorization, establishment and assignment of the hunting grounds in Federation of BiH are not fully completed</w:t>
            </w:r>
            <w:r w:rsidRPr="007C4D65">
              <w:rPr>
                <w:rFonts w:asciiTheme="minorHAnsi" w:hAnsiTheme="minorHAnsi" w:cstheme="minorHAnsi"/>
                <w:color w:val="000000" w:themeColor="text1"/>
                <w:sz w:val="18"/>
                <w:szCs w:val="18"/>
              </w:rPr>
              <w:t xml:space="preserve"> </w:t>
            </w:r>
          </w:p>
        </w:tc>
        <w:tc>
          <w:tcPr>
            <w:tcW w:w="1267" w:type="pct"/>
            <w:shd w:val="clear" w:color="auto" w:fill="FFFFFF"/>
            <w:vAlign w:val="center"/>
          </w:tcPr>
          <w:p w14:paraId="2D9AB9AE"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By the end of 2024, completed categorization, establishment and assigning the hunting grounds for use</w:t>
            </w:r>
          </w:p>
        </w:tc>
      </w:tr>
      <w:tr w:rsidR="0059116C" w:rsidRPr="007C4D65" w14:paraId="049F0A5C" w14:textId="77777777" w:rsidTr="00B6017F">
        <w:trPr>
          <w:trHeight w:val="567"/>
          <w:jc w:val="center"/>
        </w:trPr>
        <w:tc>
          <w:tcPr>
            <w:tcW w:w="1429" w:type="pct"/>
            <w:vMerge/>
            <w:shd w:val="clear" w:color="auto" w:fill="009D73"/>
            <w:vAlign w:val="center"/>
          </w:tcPr>
          <w:p w14:paraId="4DB9522E"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599298CF" w14:textId="77777777" w:rsidR="0059116C" w:rsidRPr="007C4D65" w:rsidRDefault="0059116C" w:rsidP="00B6017F">
            <w:pPr>
              <w:spacing w:before="40" w:after="40" w:line="276" w:lineRule="auto"/>
              <w:rPr>
                <w:rFonts w:asciiTheme="minorHAnsi" w:eastAsia="Calibri" w:hAnsiTheme="minorHAnsi" w:cstheme="minorHAnsi"/>
                <w:color w:val="000000" w:themeColor="text1"/>
                <w:sz w:val="18"/>
                <w:szCs w:val="18"/>
              </w:rPr>
            </w:pPr>
            <w:r w:rsidRPr="007C4D65">
              <w:rPr>
                <w:rFonts w:asciiTheme="minorHAnsi" w:hAnsiTheme="minorHAnsi" w:cstheme="minorHAnsi"/>
                <w:color w:val="000000" w:themeColor="text1"/>
                <w:sz w:val="18"/>
                <w:szCs w:val="18"/>
              </w:rPr>
              <w:t>Existence of a technical service for oversight and implementation of measures foreseen in laws and plans</w:t>
            </w:r>
          </w:p>
        </w:tc>
        <w:tc>
          <w:tcPr>
            <w:tcW w:w="1266" w:type="pct"/>
            <w:shd w:val="clear" w:color="auto" w:fill="FFFFFF"/>
            <w:vAlign w:val="center"/>
          </w:tcPr>
          <w:p w14:paraId="67FD1ED4"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sz w:val="18"/>
                <w:szCs w:val="18"/>
              </w:rPr>
              <w:t xml:space="preserve">Technical service </w:t>
            </w:r>
            <w:r w:rsidRPr="007C4D65">
              <w:rPr>
                <w:rFonts w:asciiTheme="minorHAnsi" w:hAnsiTheme="minorHAnsi" w:cstheme="minorHAnsi"/>
                <w:color w:val="000000" w:themeColor="text1"/>
                <w:sz w:val="18"/>
                <w:szCs w:val="18"/>
              </w:rPr>
              <w:t>for oversight and implementation of measures</w:t>
            </w:r>
            <w:r w:rsidRPr="007C4D65">
              <w:rPr>
                <w:rFonts w:asciiTheme="minorHAnsi" w:hAnsiTheme="minorHAnsi" w:cstheme="minorHAnsi"/>
                <w:sz w:val="18"/>
                <w:szCs w:val="18"/>
              </w:rPr>
              <w:t xml:space="preserve"> from laws and plans has not been established in all hunting grounds in the Federation of BiH</w:t>
            </w:r>
          </w:p>
        </w:tc>
        <w:tc>
          <w:tcPr>
            <w:tcW w:w="1267" w:type="pct"/>
            <w:shd w:val="clear" w:color="auto" w:fill="FFFFFF"/>
            <w:vAlign w:val="center"/>
          </w:tcPr>
          <w:p w14:paraId="74949EDA"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By the end of 2024, established in all hunting grounds the technical services for supervision and implementation of measures from laws and plans</w:t>
            </w:r>
          </w:p>
        </w:tc>
      </w:tr>
      <w:tr w:rsidR="0059116C" w:rsidRPr="007C4D65" w14:paraId="1FCE3E9A" w14:textId="77777777" w:rsidTr="00B6017F">
        <w:trPr>
          <w:trHeight w:val="567"/>
          <w:jc w:val="center"/>
        </w:trPr>
        <w:tc>
          <w:tcPr>
            <w:tcW w:w="1429" w:type="pct"/>
            <w:vMerge/>
            <w:shd w:val="clear" w:color="auto" w:fill="009D73"/>
            <w:vAlign w:val="center"/>
          </w:tcPr>
          <w:p w14:paraId="645D13F5"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61D3821B" w14:textId="77777777" w:rsidR="0059116C" w:rsidRPr="007C4D65" w:rsidRDefault="0059116C" w:rsidP="00B6017F">
            <w:pPr>
              <w:spacing w:before="40" w:after="40" w:line="276" w:lineRule="auto"/>
              <w:rPr>
                <w:rFonts w:asciiTheme="minorHAnsi" w:eastAsia="Calibri" w:hAnsiTheme="minorHAnsi" w:cstheme="minorHAnsi"/>
                <w:color w:val="000000" w:themeColor="text1"/>
                <w:sz w:val="18"/>
                <w:szCs w:val="18"/>
              </w:rPr>
            </w:pPr>
            <w:r w:rsidRPr="007C4D65">
              <w:rPr>
                <w:rFonts w:asciiTheme="minorHAnsi" w:hAnsiTheme="minorHAnsi" w:cstheme="minorHAnsi"/>
                <w:color w:val="000000" w:themeColor="text1"/>
                <w:sz w:val="18"/>
                <w:szCs w:val="18"/>
              </w:rPr>
              <w:t>Existence of plans for managing wild population of wolf, bear, and lynx</w:t>
            </w:r>
          </w:p>
        </w:tc>
        <w:tc>
          <w:tcPr>
            <w:tcW w:w="1266" w:type="pct"/>
            <w:shd w:val="clear" w:color="auto" w:fill="FFFFFF"/>
            <w:vAlign w:val="center"/>
          </w:tcPr>
          <w:p w14:paraId="0A33396D"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sz w:val="18"/>
                <w:szCs w:val="18"/>
              </w:rPr>
              <w:t>In the Federation of BiH, planned approach to managing wild population of wolf, bear, and lynx is not established</w:t>
            </w:r>
            <w:r w:rsidRPr="007C4D65">
              <w:rPr>
                <w:rFonts w:asciiTheme="minorHAnsi" w:hAnsiTheme="minorHAnsi" w:cstheme="minorHAnsi"/>
                <w:color w:val="000000" w:themeColor="text1"/>
                <w:sz w:val="18"/>
                <w:szCs w:val="18"/>
              </w:rPr>
              <w:t xml:space="preserve"> </w:t>
            </w:r>
          </w:p>
        </w:tc>
        <w:tc>
          <w:tcPr>
            <w:tcW w:w="1267" w:type="pct"/>
            <w:shd w:val="clear" w:color="auto" w:fill="FFFFFF"/>
            <w:vAlign w:val="center"/>
          </w:tcPr>
          <w:p w14:paraId="6A2EC87C"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By the end of 2025, adopted plans for managing wild population of wolf, bear, and lynx, harmonized with the corresponding plans of </w:t>
            </w:r>
            <w:proofErr w:type="spellStart"/>
            <w:r w:rsidRPr="007C4D65">
              <w:rPr>
                <w:rFonts w:asciiTheme="minorHAnsi" w:hAnsiTheme="minorHAnsi" w:cstheme="minorHAnsi"/>
                <w:color w:val="000000" w:themeColor="text1"/>
                <w:sz w:val="18"/>
                <w:szCs w:val="18"/>
              </w:rPr>
              <w:t>Republika</w:t>
            </w:r>
            <w:proofErr w:type="spellEnd"/>
            <w:r w:rsidRPr="007C4D65">
              <w:rPr>
                <w:rFonts w:asciiTheme="minorHAnsi" w:hAnsiTheme="minorHAnsi" w:cstheme="minorHAnsi"/>
                <w:color w:val="000000" w:themeColor="text1"/>
                <w:sz w:val="18"/>
                <w:szCs w:val="18"/>
              </w:rPr>
              <w:t xml:space="preserve"> Srpska </w:t>
            </w:r>
          </w:p>
        </w:tc>
      </w:tr>
      <w:tr w:rsidR="0059116C" w:rsidRPr="007C4D65" w14:paraId="3CF65D92" w14:textId="77777777" w:rsidTr="00B6017F">
        <w:trPr>
          <w:trHeight w:val="567"/>
          <w:jc w:val="center"/>
        </w:trPr>
        <w:tc>
          <w:tcPr>
            <w:tcW w:w="1429" w:type="pct"/>
            <w:vMerge/>
            <w:shd w:val="clear" w:color="auto" w:fill="009D73"/>
            <w:vAlign w:val="center"/>
          </w:tcPr>
          <w:p w14:paraId="46444F9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45AE5628"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Existence of hunting grounds management plans that recognize principles of protection of species, in accordance with conventions and EU directives</w:t>
            </w:r>
          </w:p>
        </w:tc>
        <w:tc>
          <w:tcPr>
            <w:tcW w:w="1266" w:type="pct"/>
            <w:shd w:val="clear" w:color="auto" w:fill="FFFFFF"/>
            <w:vAlign w:val="center"/>
          </w:tcPr>
          <w:p w14:paraId="4C2C1180"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sz w:val="18"/>
                <w:szCs w:val="18"/>
              </w:rPr>
              <w:t>In the Federation of BiH, hunting grounds management plans for a limited number of hunting grounds have not been developed in a way that recognizes principle of protection of species, in accordance with conventions and EU directives regarding biodiversity</w:t>
            </w:r>
          </w:p>
        </w:tc>
        <w:tc>
          <w:tcPr>
            <w:tcW w:w="1267" w:type="pct"/>
            <w:shd w:val="clear" w:color="auto" w:fill="FFFFFF"/>
            <w:vAlign w:val="center"/>
          </w:tcPr>
          <w:p w14:paraId="51A83497"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By the end of 2024, developed management plans for all hunting grounds, which recognize principles of protection of species, in accordance with conventions and EU directives</w:t>
            </w:r>
          </w:p>
        </w:tc>
      </w:tr>
      <w:tr w:rsidR="0059116C" w:rsidRPr="007C4D65" w14:paraId="0BFA6C33" w14:textId="77777777" w:rsidTr="00B6017F">
        <w:trPr>
          <w:trHeight w:val="274"/>
          <w:jc w:val="center"/>
        </w:trPr>
        <w:tc>
          <w:tcPr>
            <w:tcW w:w="1429" w:type="pct"/>
            <w:vMerge/>
            <w:shd w:val="clear" w:color="auto" w:fill="009D73"/>
            <w:vAlign w:val="center"/>
          </w:tcPr>
          <w:p w14:paraId="52708646"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41DC1C46"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Existence of functional module in IT system for hunting</w:t>
            </w:r>
          </w:p>
        </w:tc>
        <w:tc>
          <w:tcPr>
            <w:tcW w:w="1266" w:type="pct"/>
            <w:shd w:val="clear" w:color="auto" w:fill="FFFFFF"/>
            <w:vAlign w:val="center"/>
          </w:tcPr>
          <w:p w14:paraId="34357209"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Forestry information system in the Federation of BiH is under development, the module for hunting is not yet functional</w:t>
            </w:r>
          </w:p>
        </w:tc>
        <w:tc>
          <w:tcPr>
            <w:tcW w:w="1267" w:type="pct"/>
            <w:shd w:val="clear" w:color="auto" w:fill="FFFFFF"/>
            <w:vAlign w:val="center"/>
          </w:tcPr>
          <w:p w14:paraId="01649D7D" w14:textId="79451B0A"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the end of 2025, hunting module functional</w:t>
            </w:r>
          </w:p>
        </w:tc>
      </w:tr>
      <w:tr w:rsidR="0059116C" w:rsidRPr="007C4D65" w14:paraId="330C478D" w14:textId="77777777" w:rsidTr="00B6017F">
        <w:trPr>
          <w:trHeight w:val="567"/>
          <w:jc w:val="center"/>
        </w:trPr>
        <w:tc>
          <w:tcPr>
            <w:tcW w:w="1429" w:type="pct"/>
            <w:shd w:val="clear" w:color="auto" w:fill="009D73"/>
            <w:vAlign w:val="center"/>
          </w:tcPr>
          <w:p w14:paraId="2115A551"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priority</w:t>
            </w:r>
          </w:p>
        </w:tc>
        <w:tc>
          <w:tcPr>
            <w:tcW w:w="3571" w:type="pct"/>
            <w:gridSpan w:val="3"/>
            <w:shd w:val="clear" w:color="auto" w:fill="FFFFFF" w:themeFill="background1"/>
            <w:vAlign w:val="center"/>
          </w:tcPr>
          <w:p w14:paraId="5673C9A9" w14:textId="6B2B380E"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Improved management of hunting game</w:t>
            </w:r>
          </w:p>
        </w:tc>
      </w:tr>
      <w:tr w:rsidR="0059116C" w:rsidRPr="007C4D65" w14:paraId="571B85EE" w14:textId="77777777" w:rsidTr="00B6017F">
        <w:trPr>
          <w:trHeight w:val="567"/>
          <w:jc w:val="center"/>
        </w:trPr>
        <w:tc>
          <w:tcPr>
            <w:tcW w:w="1429" w:type="pct"/>
            <w:shd w:val="clear" w:color="auto" w:fill="009D73"/>
            <w:vAlign w:val="center"/>
          </w:tcPr>
          <w:p w14:paraId="7921C4A3"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71" w:type="pct"/>
            <w:gridSpan w:val="3"/>
            <w:shd w:val="clear" w:color="auto" w:fill="FFFFFF" w:themeFill="background1"/>
            <w:vAlign w:val="center"/>
          </w:tcPr>
          <w:p w14:paraId="1F8187F2" w14:textId="77777777" w:rsidR="0059116C" w:rsidRPr="007C4D65" w:rsidRDefault="0059116C"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Amount: BAM 1,761,233 </w:t>
            </w:r>
          </w:p>
          <w:p w14:paraId="47490397"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sz w:val="18"/>
                <w:szCs w:val="18"/>
              </w:rPr>
              <w:t>Source: 10% from the government budget, 90% from EU and other international donors</w:t>
            </w:r>
          </w:p>
        </w:tc>
      </w:tr>
      <w:tr w:rsidR="0059116C" w:rsidRPr="007C4D65" w14:paraId="7B72F43D" w14:textId="77777777" w:rsidTr="00B6017F">
        <w:trPr>
          <w:trHeight w:val="567"/>
          <w:jc w:val="center"/>
        </w:trPr>
        <w:tc>
          <w:tcPr>
            <w:tcW w:w="1429" w:type="pct"/>
            <w:shd w:val="clear" w:color="auto" w:fill="009D73"/>
            <w:vAlign w:val="center"/>
          </w:tcPr>
          <w:p w14:paraId="55EDDFA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71" w:type="pct"/>
            <w:gridSpan w:val="3"/>
            <w:shd w:val="clear" w:color="auto" w:fill="FFFFFF"/>
            <w:vAlign w:val="center"/>
          </w:tcPr>
          <w:p w14:paraId="21A96ACD"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2023‒2025</w:t>
            </w:r>
          </w:p>
        </w:tc>
      </w:tr>
      <w:tr w:rsidR="0059116C" w:rsidRPr="007C4D65" w14:paraId="3018D5DD" w14:textId="77777777" w:rsidTr="00B6017F">
        <w:trPr>
          <w:trHeight w:val="567"/>
          <w:jc w:val="center"/>
        </w:trPr>
        <w:tc>
          <w:tcPr>
            <w:tcW w:w="1429" w:type="pct"/>
            <w:shd w:val="clear" w:color="auto" w:fill="009D73"/>
            <w:vAlign w:val="center"/>
          </w:tcPr>
          <w:p w14:paraId="0410CA17"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Institution responsible for coordination and implementation of the measure</w:t>
            </w:r>
          </w:p>
        </w:tc>
        <w:tc>
          <w:tcPr>
            <w:tcW w:w="3571" w:type="pct"/>
            <w:gridSpan w:val="3"/>
            <w:shd w:val="clear" w:color="auto" w:fill="FFFFFF"/>
            <w:vAlign w:val="center"/>
          </w:tcPr>
          <w:p w14:paraId="132586A3"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Federation of BiH Ministry of Agriculture, Forestry and Water Management</w:t>
            </w:r>
          </w:p>
          <w:p w14:paraId="21AACA1F"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Competent cantonal ministries</w:t>
            </w:r>
          </w:p>
        </w:tc>
      </w:tr>
      <w:tr w:rsidR="0059116C" w:rsidRPr="007C4D65" w14:paraId="25375994" w14:textId="77777777" w:rsidTr="00B6017F">
        <w:trPr>
          <w:trHeight w:val="567"/>
          <w:jc w:val="center"/>
        </w:trPr>
        <w:tc>
          <w:tcPr>
            <w:tcW w:w="1429" w:type="pct"/>
            <w:shd w:val="clear" w:color="auto" w:fill="009D73"/>
            <w:vAlign w:val="center"/>
          </w:tcPr>
          <w:p w14:paraId="43D1478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Implementing institution</w:t>
            </w:r>
          </w:p>
        </w:tc>
        <w:tc>
          <w:tcPr>
            <w:tcW w:w="3571" w:type="pct"/>
            <w:gridSpan w:val="3"/>
            <w:shd w:val="clear" w:color="auto" w:fill="FFFFFF"/>
            <w:vAlign w:val="center"/>
          </w:tcPr>
          <w:p w14:paraId="4EB170B0"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Competent cantonal ministries</w:t>
            </w:r>
          </w:p>
          <w:p w14:paraId="083CF2B2" w14:textId="77777777" w:rsidR="0059116C" w:rsidRPr="007C4D65" w:rsidRDefault="0059116C" w:rsidP="00B6017F">
            <w:pPr>
              <w:spacing w:before="40" w:after="40" w:line="276" w:lineRule="auto"/>
              <w:rPr>
                <w:rFonts w:asciiTheme="minorHAnsi" w:eastAsiaTheme="minorHAnsi" w:hAnsiTheme="minorHAnsi" w:cstheme="minorHAnsi"/>
                <w:strike/>
                <w:color w:val="000000" w:themeColor="text1"/>
                <w:sz w:val="18"/>
                <w:szCs w:val="18"/>
              </w:rPr>
            </w:pPr>
            <w:r w:rsidRPr="007C4D65">
              <w:rPr>
                <w:rFonts w:asciiTheme="minorHAnsi" w:hAnsiTheme="minorHAnsi" w:cstheme="minorHAnsi"/>
                <w:color w:val="000000" w:themeColor="text1"/>
                <w:sz w:val="18"/>
                <w:szCs w:val="18"/>
              </w:rPr>
              <w:t>hunting ground users</w:t>
            </w:r>
          </w:p>
        </w:tc>
      </w:tr>
      <w:tr w:rsidR="0059116C" w:rsidRPr="007C4D65" w14:paraId="4D39A01A" w14:textId="77777777" w:rsidTr="00B6017F">
        <w:trPr>
          <w:trHeight w:val="567"/>
          <w:jc w:val="center"/>
        </w:trPr>
        <w:tc>
          <w:tcPr>
            <w:tcW w:w="1429" w:type="pct"/>
            <w:shd w:val="clear" w:color="auto" w:fill="009D73"/>
            <w:vAlign w:val="center"/>
          </w:tcPr>
          <w:p w14:paraId="57743E1C" w14:textId="55E73E45"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Target groups</w:t>
            </w:r>
          </w:p>
        </w:tc>
        <w:tc>
          <w:tcPr>
            <w:tcW w:w="3571" w:type="pct"/>
            <w:gridSpan w:val="3"/>
            <w:shd w:val="clear" w:color="auto" w:fill="FFFFFF"/>
            <w:vAlign w:val="center"/>
          </w:tcPr>
          <w:p w14:paraId="217F8C9E"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Federation of BiH Ministry of Agriculture, Forestry and Water Management</w:t>
            </w:r>
          </w:p>
          <w:p w14:paraId="35425813"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color w:val="000000" w:themeColor="text1"/>
                <w:sz w:val="18"/>
                <w:szCs w:val="18"/>
              </w:rPr>
              <w:t xml:space="preserve">Competent cantonal ministries, users of hunting grounds </w:t>
            </w:r>
          </w:p>
        </w:tc>
      </w:tr>
    </w:tbl>
    <w:p w14:paraId="36BFDF0F" w14:textId="77777777" w:rsidR="0059116C" w:rsidRPr="007C4D65" w:rsidRDefault="0059116C" w:rsidP="0059116C">
      <w:pPr>
        <w:spacing w:line="276" w:lineRule="auto"/>
        <w:rPr>
          <w:rFonts w:asciiTheme="minorHAnsi" w:eastAsiaTheme="minorHAnsi" w:hAnsiTheme="minorHAnsi" w:cstheme="minorHAnsi"/>
          <w:sz w:val="18"/>
          <w:szCs w:val="18"/>
          <w:lang w:val="hr-HR" w:eastAsia="en-US"/>
        </w:rPr>
      </w:pPr>
    </w:p>
    <w:tbl>
      <w:tblPr>
        <w:tblW w:w="48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828"/>
        <w:gridCol w:w="2781"/>
        <w:gridCol w:w="3392"/>
        <w:gridCol w:w="3395"/>
      </w:tblGrid>
      <w:tr w:rsidR="0059116C" w:rsidRPr="007C4D65" w14:paraId="39A3AF91"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9DD2593" w14:textId="2959A7AB"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3F78485" w14:textId="2454FFDD"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2C428651"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79331EE"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4EF52A6" w14:textId="77777777"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6.3. Improve legal, strategic and institutional frameworks for sustainable management of fish stock</w:t>
            </w:r>
          </w:p>
        </w:tc>
      </w:tr>
      <w:tr w:rsidR="0059116C" w:rsidRPr="007C4D65" w14:paraId="30DACE34"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F27AD5E" w14:textId="0F6E3441"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00329DC2" w14:textId="77777777" w:rsidR="0059116C" w:rsidRPr="007C4D65" w:rsidRDefault="0059116C" w:rsidP="00B6017F">
            <w:pPr>
              <w:spacing w:before="40" w:after="40" w:line="276" w:lineRule="auto"/>
              <w:rPr>
                <w:rFonts w:asciiTheme="minorHAnsi" w:eastAsia="Calibri" w:hAnsiTheme="minorHAnsi" w:cstheme="minorHAnsi"/>
                <w:b/>
                <w:bCs/>
                <w:sz w:val="18"/>
                <w:szCs w:val="18"/>
              </w:rPr>
            </w:pPr>
            <w:r w:rsidRPr="007C4D65">
              <w:rPr>
                <w:rFonts w:asciiTheme="minorHAnsi" w:hAnsiTheme="minorHAnsi" w:cstheme="minorHAnsi"/>
                <w:b/>
                <w:bCs/>
                <w:color w:val="000000"/>
                <w:sz w:val="18"/>
                <w:szCs w:val="18"/>
              </w:rPr>
              <w:t>6.3.1 Harmonisation of the regulatory framework for fishing with the EU acquis and international conventions</w:t>
            </w:r>
          </w:p>
        </w:tc>
      </w:tr>
      <w:tr w:rsidR="0059116C" w:rsidRPr="007C4D65" w14:paraId="4DD5E03A"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525799B"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71" w:type="pct"/>
            <w:gridSpan w:val="3"/>
            <w:tcBorders>
              <w:top w:val="single" w:sz="4" w:space="0" w:color="A6A6A6"/>
              <w:left w:val="single" w:sz="4" w:space="0" w:color="A6A6A6"/>
              <w:bottom w:val="single" w:sz="4" w:space="0" w:color="A6A6A6"/>
              <w:right w:val="single" w:sz="4" w:space="0" w:color="A6A6A6"/>
            </w:tcBorders>
            <w:vAlign w:val="center"/>
          </w:tcPr>
          <w:p w14:paraId="19B719EF"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sz w:val="18"/>
                <w:szCs w:val="18"/>
              </w:rPr>
              <w:t xml:space="preserve">This measure aims to align legislation that applies on fisheries with EU acquis and regulate commercial fishing on </w:t>
            </w:r>
            <w:proofErr w:type="gramStart"/>
            <w:r w:rsidRPr="007C4D65">
              <w:rPr>
                <w:rFonts w:asciiTheme="minorHAnsi" w:hAnsiTheme="minorHAnsi" w:cstheme="minorHAnsi"/>
                <w:sz w:val="18"/>
                <w:szCs w:val="18"/>
              </w:rPr>
              <w:t>sea, and</w:t>
            </w:r>
            <w:proofErr w:type="gramEnd"/>
            <w:r w:rsidRPr="007C4D65">
              <w:rPr>
                <w:rFonts w:asciiTheme="minorHAnsi" w:hAnsiTheme="minorHAnsi" w:cstheme="minorHAnsi"/>
                <w:sz w:val="18"/>
                <w:szCs w:val="18"/>
              </w:rPr>
              <w:t xml:space="preserve"> align legislation on fisheries with legislation on waters.</w:t>
            </w:r>
            <w:r w:rsidRPr="007C4D65">
              <w:rPr>
                <w:rFonts w:asciiTheme="minorHAnsi" w:hAnsiTheme="minorHAnsi" w:cstheme="minorHAnsi"/>
                <w:color w:val="000000"/>
                <w:sz w:val="18"/>
                <w:szCs w:val="18"/>
              </w:rPr>
              <w:t xml:space="preserve"> The following activities are included:</w:t>
            </w:r>
          </w:p>
          <w:p w14:paraId="206AAB83" w14:textId="741260CD" w:rsidR="0059116C" w:rsidRPr="007C4D65" w:rsidRDefault="0059116C">
            <w:pPr>
              <w:numPr>
                <w:ilvl w:val="0"/>
                <w:numId w:val="74"/>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Adoption of a law and bylaws on commercial fishing at sea, harmonized with the common fisheries policy, commitments under EU Directives, and international </w:t>
            </w:r>
            <w:proofErr w:type="gramStart"/>
            <w:r w:rsidRPr="007C4D65">
              <w:rPr>
                <w:rFonts w:asciiTheme="minorHAnsi" w:hAnsiTheme="minorHAnsi" w:cstheme="minorHAnsi"/>
                <w:sz w:val="18"/>
                <w:szCs w:val="18"/>
              </w:rPr>
              <w:t>agreements</w:t>
            </w:r>
            <w:r w:rsidR="00A970D9" w:rsidRPr="007C4D65">
              <w:rPr>
                <w:rFonts w:asciiTheme="minorHAnsi" w:eastAsiaTheme="minorHAnsi" w:hAnsiTheme="minorHAnsi" w:cstheme="minorHAnsi"/>
                <w:sz w:val="18"/>
                <w:szCs w:val="18"/>
              </w:rPr>
              <w:t>;</w:t>
            </w:r>
            <w:proofErr w:type="gramEnd"/>
          </w:p>
          <w:p w14:paraId="37427138" w14:textId="00189216" w:rsidR="0059116C" w:rsidRPr="007C4D65" w:rsidRDefault="0059116C">
            <w:pPr>
              <w:numPr>
                <w:ilvl w:val="0"/>
                <w:numId w:val="74"/>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Harmonization of the Law on Fresh Water Fishing with the laws in the area of waters and requirements of international conventions and EU directives in the area of fisheries and </w:t>
            </w:r>
            <w:proofErr w:type="gramStart"/>
            <w:r w:rsidRPr="007C4D65">
              <w:rPr>
                <w:rFonts w:asciiTheme="minorHAnsi" w:hAnsiTheme="minorHAnsi" w:cstheme="minorHAnsi"/>
                <w:sz w:val="18"/>
                <w:szCs w:val="18"/>
              </w:rPr>
              <w:t>biodiversity</w:t>
            </w:r>
            <w:r w:rsidR="00A970D9" w:rsidRPr="007C4D65">
              <w:rPr>
                <w:rFonts w:asciiTheme="minorHAnsi" w:eastAsiaTheme="minorHAnsi" w:hAnsiTheme="minorHAnsi" w:cstheme="minorHAnsi"/>
                <w:sz w:val="18"/>
                <w:szCs w:val="18"/>
              </w:rPr>
              <w:t>;</w:t>
            </w:r>
            <w:proofErr w:type="gramEnd"/>
          </w:p>
          <w:p w14:paraId="0AFE46C4" w14:textId="49A901FA" w:rsidR="0059116C" w:rsidRPr="007C4D65" w:rsidRDefault="0059116C">
            <w:pPr>
              <w:numPr>
                <w:ilvl w:val="0"/>
                <w:numId w:val="74"/>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Adoption of Agricultural Sector Development Strategy 2022-2028, aligned with the common EU strategy for fisheries and </w:t>
            </w:r>
            <w:proofErr w:type="gramStart"/>
            <w:r w:rsidRPr="007C4D65">
              <w:rPr>
                <w:rFonts w:asciiTheme="minorHAnsi" w:hAnsiTheme="minorHAnsi" w:cstheme="minorHAnsi"/>
                <w:sz w:val="18"/>
                <w:szCs w:val="18"/>
              </w:rPr>
              <w:t>aquaculture</w:t>
            </w:r>
            <w:r w:rsidR="00A970D9" w:rsidRPr="007C4D65">
              <w:rPr>
                <w:rFonts w:asciiTheme="minorHAnsi" w:eastAsiaTheme="minorHAnsi" w:hAnsiTheme="minorHAnsi" w:cstheme="minorHAnsi"/>
                <w:sz w:val="18"/>
                <w:szCs w:val="18"/>
              </w:rPr>
              <w:t>;</w:t>
            </w:r>
            <w:proofErr w:type="gramEnd"/>
          </w:p>
          <w:p w14:paraId="57ED8360" w14:textId="4C9144AA" w:rsidR="0059116C" w:rsidRPr="007C4D65" w:rsidRDefault="0059116C">
            <w:pPr>
              <w:numPr>
                <w:ilvl w:val="0"/>
                <w:numId w:val="74"/>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Successive preparation of fisheries management plans in line with the new Law on Fresh Water Fishing</w:t>
            </w:r>
            <w:r w:rsidR="00A970D9" w:rsidRPr="007C4D65">
              <w:rPr>
                <w:rFonts w:asciiTheme="minorHAnsi" w:eastAsiaTheme="minorHAnsi" w:hAnsiTheme="minorHAnsi" w:cstheme="minorHAnsi"/>
                <w:sz w:val="18"/>
                <w:szCs w:val="18"/>
              </w:rPr>
              <w:t>.</w:t>
            </w:r>
          </w:p>
        </w:tc>
      </w:tr>
      <w:tr w:rsidR="0059116C" w:rsidRPr="007C4D65" w14:paraId="235EA80A"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107EF8F"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Strategic projects</w:t>
            </w:r>
          </w:p>
        </w:tc>
        <w:tc>
          <w:tcPr>
            <w:tcW w:w="3571" w:type="pct"/>
            <w:gridSpan w:val="3"/>
            <w:tcBorders>
              <w:top w:val="single" w:sz="4" w:space="0" w:color="A6A6A6"/>
              <w:left w:val="single" w:sz="4" w:space="0" w:color="A6A6A6"/>
              <w:bottom w:val="single" w:sz="4" w:space="0" w:color="A6A6A6"/>
              <w:right w:val="single" w:sz="4" w:space="0" w:color="A6A6A6"/>
            </w:tcBorders>
            <w:vAlign w:val="center"/>
          </w:tcPr>
          <w:p w14:paraId="487DF64C"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13B58D43" w14:textId="77777777" w:rsidTr="00B6017F">
        <w:trPr>
          <w:trHeight w:val="567"/>
          <w:jc w:val="center"/>
        </w:trPr>
        <w:tc>
          <w:tcPr>
            <w:tcW w:w="142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016146BA"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Indicators for monitoring of results of measures</w:t>
            </w:r>
          </w:p>
        </w:tc>
        <w:tc>
          <w:tcPr>
            <w:tcW w:w="103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BE2FECD"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1E55BEEA" w14:textId="393C5C46"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A89DE13"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761976E6"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9F33E9B"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40CE9E47"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6F90BB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B437D85"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Existence of legal framework on commercial fishing at sea, harmonized with the common fisheries policy, commitments under EU Directives, and international agreements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7330B78" w14:textId="7C03FF34"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Federation of BiH does not have legislation on commercial fishing at sea</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C4BBE41"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the end of 2023, adopted Law on commercial fishing at sea, harmonized with the common fishing policy, commitments under EU Directives, and international agreements</w:t>
            </w:r>
          </w:p>
        </w:tc>
      </w:tr>
      <w:tr w:rsidR="0059116C" w:rsidRPr="007C4D65" w14:paraId="2D81C95E"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19ADB6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CDF5DC0"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Existence of the Law on Fresh Water Fishing with the laws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waters and requirements of international conventions and EU directives in the area of fisheries and biodiversity</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01C6118"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The current Law on Fresh Water Fishing is not aligned with the laws </w:t>
            </w:r>
            <w:proofErr w:type="gramStart"/>
            <w:r w:rsidRPr="007C4D65">
              <w:rPr>
                <w:rFonts w:asciiTheme="minorHAnsi" w:hAnsiTheme="minorHAnsi" w:cstheme="minorHAnsi"/>
                <w:sz w:val="18"/>
                <w:szCs w:val="18"/>
              </w:rPr>
              <w:t>in the area of</w:t>
            </w:r>
            <w:proofErr w:type="gramEnd"/>
            <w:r w:rsidRPr="007C4D65">
              <w:rPr>
                <w:rFonts w:asciiTheme="minorHAnsi" w:hAnsiTheme="minorHAnsi" w:cstheme="minorHAnsi"/>
                <w:sz w:val="18"/>
                <w:szCs w:val="18"/>
              </w:rPr>
              <w:t xml:space="preserve"> waters, and requirements of international conventions and EU directives in the area of fisheries and biodiversity</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BC5C776"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the end of 2023, completed harmonization of the Law on Fresh Water Fishing</w:t>
            </w:r>
          </w:p>
        </w:tc>
      </w:tr>
      <w:tr w:rsidR="0059116C" w:rsidRPr="007C4D65" w14:paraId="28F18E3A"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716EA45"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5265213" w14:textId="77777777" w:rsidR="0059116C" w:rsidRPr="007C4D65" w:rsidRDefault="0059116C" w:rsidP="00B6017F">
            <w:pPr>
              <w:spacing w:before="40" w:after="40" w:line="276" w:lineRule="auto"/>
              <w:rPr>
                <w:rFonts w:asciiTheme="minorHAnsi" w:eastAsia="Calibri" w:hAnsiTheme="minorHAnsi" w:cstheme="minorHAnsi"/>
                <w:color w:val="000000" w:themeColor="text1"/>
                <w:sz w:val="18"/>
                <w:szCs w:val="18"/>
              </w:rPr>
            </w:pPr>
            <w:r w:rsidRPr="007C4D65">
              <w:rPr>
                <w:rFonts w:asciiTheme="minorHAnsi" w:hAnsiTheme="minorHAnsi" w:cstheme="minorHAnsi"/>
                <w:color w:val="000000" w:themeColor="text1"/>
                <w:sz w:val="18"/>
                <w:szCs w:val="18"/>
              </w:rPr>
              <w:t>Existence of a strategic framework for sustainable development of fishing sector</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A278A27" w14:textId="77777777" w:rsidR="0059116C" w:rsidRPr="007C4D65" w:rsidRDefault="0059116C" w:rsidP="00B6017F">
            <w:pPr>
              <w:spacing w:before="40" w:after="40" w:line="276" w:lineRule="auto"/>
              <w:rPr>
                <w:rFonts w:asciiTheme="minorHAnsi" w:eastAsiaTheme="minorHAnsi" w:hAnsiTheme="minorHAnsi" w:cstheme="minorHAnsi"/>
                <w:color w:val="000000" w:themeColor="text1"/>
                <w:sz w:val="18"/>
                <w:szCs w:val="18"/>
              </w:rPr>
            </w:pPr>
            <w:r w:rsidRPr="007C4D65">
              <w:rPr>
                <w:rFonts w:asciiTheme="minorHAnsi" w:hAnsiTheme="minorHAnsi" w:cstheme="minorHAnsi"/>
                <w:sz w:val="18"/>
                <w:szCs w:val="18"/>
              </w:rPr>
              <w:t>Mid-term fisheries development strategy of Federation of BiH 2015‒ 2019 was valid until the end of 2021</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9EBDFB2"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the end of 2023, adopted Agricultural Sector Development Strategy for the period aligned with the common strategy for fisheries and aquaculture of EU</w:t>
            </w:r>
          </w:p>
        </w:tc>
      </w:tr>
      <w:tr w:rsidR="0059116C" w:rsidRPr="007C4D65" w14:paraId="2DCB748A"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5EA0363"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D90CF46"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sz w:val="18"/>
                <w:szCs w:val="18"/>
              </w:rPr>
              <w:t>Existence of fisheries plans aligned with the Strategy for Fisheries and Aquaculture of EU, 0%</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76C6FE6"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Successive preparation of fisheries management plans in line with the new Law on Fresh Water Fishing;</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60D7842"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2031, 100% of fisheries management plans aligned with the Strategy for Fisheries and Aquaculture of EU</w:t>
            </w:r>
          </w:p>
        </w:tc>
      </w:tr>
      <w:tr w:rsidR="0059116C" w:rsidRPr="007C4D65" w14:paraId="65ACA3E4"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1428F9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priority</w:t>
            </w:r>
          </w:p>
        </w:tc>
        <w:tc>
          <w:tcPr>
            <w:tcW w:w="35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18AD225" w14:textId="406258BD"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color w:val="000000"/>
                <w:sz w:val="18"/>
                <w:szCs w:val="18"/>
              </w:rPr>
              <w:t>Improvement of fishery management plans and progress in the process of European integrations by aligning the national legislation with the EU acquis</w:t>
            </w:r>
          </w:p>
        </w:tc>
      </w:tr>
      <w:tr w:rsidR="0059116C" w:rsidRPr="007C4D65" w14:paraId="7A558063"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B18427D"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CBB7506" w14:textId="77777777" w:rsidR="0059116C" w:rsidRPr="007C4D65" w:rsidRDefault="0059116C"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Amount: BAM 58,675 </w:t>
            </w:r>
          </w:p>
          <w:p w14:paraId="1E854930"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sz w:val="18"/>
                <w:szCs w:val="18"/>
              </w:rPr>
              <w:t>Source: 100% government budget</w:t>
            </w:r>
          </w:p>
        </w:tc>
      </w:tr>
      <w:tr w:rsidR="0059116C" w:rsidRPr="007C4D65" w14:paraId="15E8D9BF"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D2B60E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4308EF3" w14:textId="17F3256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2022‒2031</w:t>
            </w:r>
          </w:p>
        </w:tc>
      </w:tr>
      <w:tr w:rsidR="0059116C" w:rsidRPr="007C4D65" w14:paraId="4C5D5D2C"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0F6233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Institution responsible for coordination and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DB1E2FA"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Agriculture, Forestry and Water Management</w:t>
            </w:r>
          </w:p>
        </w:tc>
      </w:tr>
      <w:tr w:rsidR="0059116C" w:rsidRPr="007C4D65" w14:paraId="670AF340"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4CC3E5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Implementing institution</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A809C40"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Agriculture, Forestry and Water Management</w:t>
            </w:r>
          </w:p>
          <w:p w14:paraId="52F6F467"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color w:val="000000"/>
                <w:sz w:val="18"/>
                <w:szCs w:val="18"/>
              </w:rPr>
              <w:t>Competent cantonal ministries</w:t>
            </w:r>
          </w:p>
        </w:tc>
      </w:tr>
      <w:tr w:rsidR="0059116C" w:rsidRPr="007C4D65" w14:paraId="3138DD1A"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A22C44E" w14:textId="54D4A8A1"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Target groups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2D1A6F3"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Fishing associations</w:t>
            </w:r>
          </w:p>
          <w:p w14:paraId="0FFE7E1D"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Commercial entities operating in the field of fisheries</w:t>
            </w:r>
          </w:p>
        </w:tc>
      </w:tr>
    </w:tbl>
    <w:p w14:paraId="6D86FB9E" w14:textId="77777777" w:rsidR="0059116C" w:rsidRPr="007C4D65" w:rsidRDefault="0059116C" w:rsidP="0059116C">
      <w:pPr>
        <w:spacing w:line="276" w:lineRule="auto"/>
        <w:rPr>
          <w:rFonts w:asciiTheme="minorHAnsi" w:eastAsiaTheme="minorHAnsi" w:hAnsiTheme="minorHAnsi" w:cstheme="minorHAnsi"/>
          <w:sz w:val="18"/>
          <w:szCs w:val="18"/>
          <w:lang w:val="hr-HR" w:eastAsia="en-US"/>
        </w:rPr>
      </w:pPr>
    </w:p>
    <w:tbl>
      <w:tblPr>
        <w:tblW w:w="4802"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8"/>
        <w:gridCol w:w="2781"/>
        <w:gridCol w:w="3392"/>
        <w:gridCol w:w="3395"/>
      </w:tblGrid>
      <w:tr w:rsidR="0059116C" w:rsidRPr="007C4D65" w14:paraId="0B165AB5" w14:textId="77777777" w:rsidTr="00B6017F">
        <w:trPr>
          <w:trHeight w:val="567"/>
          <w:jc w:val="center"/>
        </w:trPr>
        <w:tc>
          <w:tcPr>
            <w:tcW w:w="1429" w:type="pct"/>
            <w:shd w:val="clear" w:color="auto" w:fill="009D73"/>
            <w:vAlign w:val="center"/>
          </w:tcPr>
          <w:p w14:paraId="6E6FE00C" w14:textId="6B4FEB63"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71" w:type="pct"/>
            <w:gridSpan w:val="3"/>
            <w:shd w:val="clear" w:color="auto" w:fill="FFFFFF"/>
            <w:vAlign w:val="center"/>
          </w:tcPr>
          <w:p w14:paraId="54F30BBE" w14:textId="533E0732"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57E574EB" w14:textId="77777777" w:rsidTr="00B6017F">
        <w:trPr>
          <w:trHeight w:val="567"/>
          <w:jc w:val="center"/>
        </w:trPr>
        <w:tc>
          <w:tcPr>
            <w:tcW w:w="1429" w:type="pct"/>
            <w:shd w:val="clear" w:color="auto" w:fill="009D73"/>
            <w:vAlign w:val="center"/>
          </w:tcPr>
          <w:p w14:paraId="73A28DB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71" w:type="pct"/>
            <w:gridSpan w:val="3"/>
            <w:shd w:val="clear" w:color="auto" w:fill="FFFFFF"/>
            <w:vAlign w:val="center"/>
          </w:tcPr>
          <w:p w14:paraId="3E22CB7E" w14:textId="77777777"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6.3. Improve legal, strategic and institutional frameworks for sustainable management of fish stock</w:t>
            </w:r>
          </w:p>
        </w:tc>
      </w:tr>
      <w:tr w:rsidR="0059116C" w:rsidRPr="007C4D65" w14:paraId="46327942" w14:textId="77777777" w:rsidTr="00B6017F">
        <w:trPr>
          <w:trHeight w:val="567"/>
          <w:jc w:val="center"/>
        </w:trPr>
        <w:tc>
          <w:tcPr>
            <w:tcW w:w="1429" w:type="pct"/>
            <w:shd w:val="clear" w:color="auto" w:fill="009D73"/>
            <w:vAlign w:val="center"/>
          </w:tcPr>
          <w:p w14:paraId="18C3348A" w14:textId="0B36188F"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71" w:type="pct"/>
            <w:gridSpan w:val="3"/>
            <w:shd w:val="clear" w:color="auto" w:fill="auto"/>
            <w:vAlign w:val="center"/>
          </w:tcPr>
          <w:p w14:paraId="13C34B75" w14:textId="77777777" w:rsidR="0059116C" w:rsidRPr="007C4D65" w:rsidRDefault="0059116C" w:rsidP="00B6017F">
            <w:pPr>
              <w:spacing w:before="40" w:after="40" w:line="276" w:lineRule="auto"/>
              <w:rPr>
                <w:rFonts w:asciiTheme="minorHAnsi" w:eastAsia="Calibri" w:hAnsiTheme="minorHAnsi" w:cstheme="minorHAnsi"/>
                <w:b/>
                <w:bCs/>
                <w:sz w:val="18"/>
                <w:szCs w:val="18"/>
              </w:rPr>
            </w:pPr>
            <w:r w:rsidRPr="007C4D65">
              <w:rPr>
                <w:rFonts w:asciiTheme="minorHAnsi" w:hAnsiTheme="minorHAnsi" w:cstheme="minorHAnsi"/>
                <w:b/>
                <w:bCs/>
                <w:color w:val="000000"/>
                <w:sz w:val="18"/>
                <w:szCs w:val="18"/>
              </w:rPr>
              <w:t>6.3.2. Establishing an information system on fisheries and statistical reporting on fish farming</w:t>
            </w:r>
          </w:p>
        </w:tc>
      </w:tr>
      <w:tr w:rsidR="0059116C" w:rsidRPr="007C4D65" w14:paraId="2B656681" w14:textId="77777777" w:rsidTr="00B6017F">
        <w:trPr>
          <w:trHeight w:val="567"/>
          <w:jc w:val="center"/>
        </w:trPr>
        <w:tc>
          <w:tcPr>
            <w:tcW w:w="1429" w:type="pct"/>
            <w:shd w:val="clear" w:color="auto" w:fill="009D73"/>
            <w:vAlign w:val="center"/>
          </w:tcPr>
          <w:p w14:paraId="1962A3D5"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71" w:type="pct"/>
            <w:gridSpan w:val="3"/>
            <w:vAlign w:val="center"/>
          </w:tcPr>
          <w:p w14:paraId="7833E776" w14:textId="65EE929E"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This measure aims to establish an information system on fisheries and statistical reporting on fish farming. </w:t>
            </w:r>
            <w:proofErr w:type="gramStart"/>
            <w:r w:rsidRPr="007C4D65">
              <w:rPr>
                <w:rFonts w:asciiTheme="minorHAnsi" w:hAnsiTheme="minorHAnsi" w:cstheme="minorHAnsi"/>
                <w:sz w:val="18"/>
                <w:szCs w:val="18"/>
              </w:rPr>
              <w:t>Particular progress</w:t>
            </w:r>
            <w:proofErr w:type="gramEnd"/>
            <w:r w:rsidRPr="007C4D65">
              <w:rPr>
                <w:rFonts w:asciiTheme="minorHAnsi" w:hAnsiTheme="minorHAnsi" w:cstheme="minorHAnsi"/>
                <w:sz w:val="18"/>
                <w:szCs w:val="18"/>
              </w:rPr>
              <w:t xml:space="preserve"> is expected in the field of commercial marine fishing and Mari culture.</w:t>
            </w:r>
          </w:p>
          <w:p w14:paraId="7A4385D6" w14:textId="0C7BAC11"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The measure includes following activities:</w:t>
            </w:r>
          </w:p>
          <w:p w14:paraId="0B725935" w14:textId="210EB3A1" w:rsidR="0059116C" w:rsidRPr="007C4D65" w:rsidRDefault="0059116C">
            <w:pPr>
              <w:numPr>
                <w:ilvl w:val="0"/>
                <w:numId w:val="75"/>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Development of a registry of vessels and permits for commercial marine fishing and Mari </w:t>
            </w:r>
            <w:proofErr w:type="gramStart"/>
            <w:r w:rsidRPr="007C4D65">
              <w:rPr>
                <w:rFonts w:asciiTheme="minorHAnsi" w:hAnsiTheme="minorHAnsi" w:cstheme="minorHAnsi"/>
                <w:sz w:val="18"/>
                <w:szCs w:val="18"/>
              </w:rPr>
              <w:t>culture</w:t>
            </w:r>
            <w:r w:rsidR="00A970D9" w:rsidRPr="007C4D65">
              <w:rPr>
                <w:rFonts w:asciiTheme="minorHAnsi" w:eastAsiaTheme="minorHAnsi" w:hAnsiTheme="minorHAnsi" w:cstheme="minorHAnsi"/>
                <w:sz w:val="18"/>
                <w:szCs w:val="18"/>
              </w:rPr>
              <w:t>;</w:t>
            </w:r>
            <w:proofErr w:type="gramEnd"/>
          </w:p>
          <w:p w14:paraId="3CD50079" w14:textId="4BB57A78" w:rsidR="0059116C" w:rsidRPr="007C4D65" w:rsidRDefault="0059116C">
            <w:pPr>
              <w:numPr>
                <w:ilvl w:val="0"/>
                <w:numId w:val="75"/>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lastRenderedPageBreak/>
              <w:t xml:space="preserve">Establishment of a system for issuing </w:t>
            </w:r>
            <w:proofErr w:type="gramStart"/>
            <w:r w:rsidRPr="007C4D65">
              <w:rPr>
                <w:rFonts w:asciiTheme="minorHAnsi" w:hAnsiTheme="minorHAnsi" w:cstheme="minorHAnsi"/>
                <w:sz w:val="18"/>
                <w:szCs w:val="18"/>
              </w:rPr>
              <w:t>permits</w:t>
            </w:r>
            <w:r w:rsidR="00A970D9" w:rsidRPr="007C4D65">
              <w:rPr>
                <w:rFonts w:asciiTheme="minorHAnsi" w:eastAsiaTheme="minorHAnsi" w:hAnsiTheme="minorHAnsi" w:cstheme="minorHAnsi"/>
                <w:sz w:val="18"/>
                <w:szCs w:val="18"/>
              </w:rPr>
              <w:t>;</w:t>
            </w:r>
            <w:proofErr w:type="gramEnd"/>
          </w:p>
          <w:p w14:paraId="528000F7" w14:textId="7CE7CEB3" w:rsidR="0059116C" w:rsidRPr="007C4D65" w:rsidRDefault="0059116C">
            <w:pPr>
              <w:numPr>
                <w:ilvl w:val="0"/>
                <w:numId w:val="75"/>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Establishment of a system for recording and reporting on fishing activities and landing the </w:t>
            </w:r>
            <w:proofErr w:type="gramStart"/>
            <w:r w:rsidRPr="007C4D65">
              <w:rPr>
                <w:rFonts w:asciiTheme="minorHAnsi" w:hAnsiTheme="minorHAnsi" w:cstheme="minorHAnsi"/>
                <w:sz w:val="18"/>
                <w:szCs w:val="18"/>
              </w:rPr>
              <w:t>catch</w:t>
            </w:r>
            <w:r w:rsidR="00A970D9" w:rsidRPr="007C4D65">
              <w:rPr>
                <w:rFonts w:asciiTheme="minorHAnsi" w:hAnsiTheme="minorHAnsi" w:cstheme="minorHAnsi"/>
                <w:sz w:val="18"/>
                <w:szCs w:val="18"/>
              </w:rPr>
              <w:t>;</w:t>
            </w:r>
            <w:proofErr w:type="gramEnd"/>
          </w:p>
          <w:p w14:paraId="13B1E9DC" w14:textId="63F1943F" w:rsidR="0059116C" w:rsidRPr="007C4D65" w:rsidRDefault="0059116C">
            <w:pPr>
              <w:numPr>
                <w:ilvl w:val="0"/>
                <w:numId w:val="75"/>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Establishment of a model of statistical monitoring of marine and </w:t>
            </w:r>
            <w:proofErr w:type="gramStart"/>
            <w:r w:rsidRPr="007C4D65">
              <w:rPr>
                <w:rFonts w:asciiTheme="minorHAnsi" w:hAnsiTheme="minorHAnsi" w:cstheme="minorHAnsi"/>
                <w:sz w:val="18"/>
                <w:szCs w:val="18"/>
              </w:rPr>
              <w:t>fresh water</w:t>
            </w:r>
            <w:proofErr w:type="gramEnd"/>
            <w:r w:rsidRPr="007C4D65">
              <w:rPr>
                <w:rFonts w:asciiTheme="minorHAnsi" w:hAnsiTheme="minorHAnsi" w:cstheme="minorHAnsi"/>
                <w:sz w:val="18"/>
                <w:szCs w:val="18"/>
              </w:rPr>
              <w:t xml:space="preserve"> fish farms in accordance with the adopted methodology for BiH</w:t>
            </w:r>
            <w:r w:rsidR="00A970D9" w:rsidRPr="007C4D65">
              <w:rPr>
                <w:rFonts w:asciiTheme="minorHAnsi" w:hAnsiTheme="minorHAnsi" w:cstheme="minorHAnsi"/>
                <w:sz w:val="18"/>
                <w:szCs w:val="18"/>
              </w:rPr>
              <w:t>.</w:t>
            </w:r>
          </w:p>
        </w:tc>
      </w:tr>
      <w:tr w:rsidR="0059116C" w:rsidRPr="007C4D65" w14:paraId="2EF9E969" w14:textId="77777777" w:rsidTr="00B6017F">
        <w:trPr>
          <w:trHeight w:val="567"/>
          <w:jc w:val="center"/>
        </w:trPr>
        <w:tc>
          <w:tcPr>
            <w:tcW w:w="1429" w:type="pct"/>
            <w:shd w:val="clear" w:color="auto" w:fill="009D73"/>
            <w:vAlign w:val="center"/>
          </w:tcPr>
          <w:p w14:paraId="6C1A2493"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Strategic projects</w:t>
            </w:r>
          </w:p>
        </w:tc>
        <w:tc>
          <w:tcPr>
            <w:tcW w:w="3571" w:type="pct"/>
            <w:gridSpan w:val="3"/>
            <w:vAlign w:val="center"/>
          </w:tcPr>
          <w:p w14:paraId="41FA00B5"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273DA77C" w14:textId="77777777" w:rsidTr="00B6017F">
        <w:trPr>
          <w:trHeight w:val="567"/>
          <w:jc w:val="center"/>
        </w:trPr>
        <w:tc>
          <w:tcPr>
            <w:tcW w:w="1429" w:type="pct"/>
            <w:vMerge w:val="restart"/>
            <w:shd w:val="clear" w:color="auto" w:fill="009D73"/>
            <w:vAlign w:val="center"/>
          </w:tcPr>
          <w:p w14:paraId="447C29D3"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Indicators for monitoring of results of measures</w:t>
            </w:r>
          </w:p>
        </w:tc>
        <w:tc>
          <w:tcPr>
            <w:tcW w:w="1038" w:type="pct"/>
            <w:shd w:val="clear" w:color="auto" w:fill="009D73"/>
            <w:vAlign w:val="center"/>
          </w:tcPr>
          <w:p w14:paraId="6A5D64D5"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1BF22FC6" w14:textId="0EF1498E"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shd w:val="clear" w:color="auto" w:fill="009D73"/>
            <w:vAlign w:val="center"/>
          </w:tcPr>
          <w:p w14:paraId="351F8417"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151B32EF"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shd w:val="clear" w:color="auto" w:fill="009D73"/>
            <w:vAlign w:val="center"/>
          </w:tcPr>
          <w:p w14:paraId="4F7DC6BA"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36976C71" w14:textId="77777777" w:rsidTr="00B6017F">
        <w:trPr>
          <w:trHeight w:val="567"/>
          <w:jc w:val="center"/>
        </w:trPr>
        <w:tc>
          <w:tcPr>
            <w:tcW w:w="1429" w:type="pct"/>
            <w:vMerge/>
            <w:shd w:val="clear" w:color="auto" w:fill="009D73"/>
            <w:vAlign w:val="center"/>
          </w:tcPr>
          <w:p w14:paraId="034F18B1"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vAlign w:val="center"/>
          </w:tcPr>
          <w:p w14:paraId="0C72ED36"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a registry of vessels and permits for commercial marine fishing and Mari culture</w:t>
            </w:r>
          </w:p>
        </w:tc>
        <w:tc>
          <w:tcPr>
            <w:tcW w:w="1266" w:type="pct"/>
            <w:shd w:val="clear" w:color="auto" w:fill="FFFFFF"/>
            <w:vAlign w:val="center"/>
          </w:tcPr>
          <w:p w14:paraId="3002D8DB"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Federation of BiH does not have an established registry of vessels and permits for marine commercial fishing and Mari culture</w:t>
            </w:r>
          </w:p>
        </w:tc>
        <w:tc>
          <w:tcPr>
            <w:tcW w:w="1267" w:type="pct"/>
            <w:shd w:val="clear" w:color="auto" w:fill="FFFFFF"/>
            <w:vAlign w:val="center"/>
          </w:tcPr>
          <w:p w14:paraId="784628C8"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2025, developed registry of vessels and permits for marine commercial fishing and Mari culture</w:t>
            </w:r>
          </w:p>
        </w:tc>
      </w:tr>
      <w:tr w:rsidR="0059116C" w:rsidRPr="007C4D65" w14:paraId="14DEDBBA" w14:textId="77777777" w:rsidTr="00B6017F">
        <w:trPr>
          <w:trHeight w:val="567"/>
          <w:jc w:val="center"/>
        </w:trPr>
        <w:tc>
          <w:tcPr>
            <w:tcW w:w="1429" w:type="pct"/>
            <w:vMerge/>
            <w:shd w:val="clear" w:color="auto" w:fill="009D73"/>
            <w:vAlign w:val="center"/>
          </w:tcPr>
          <w:p w14:paraId="6A27FCF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1B1FBE36" w14:textId="288B52DF"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a system for issuing permits</w:t>
            </w:r>
          </w:p>
        </w:tc>
        <w:tc>
          <w:tcPr>
            <w:tcW w:w="1266" w:type="pct"/>
            <w:shd w:val="clear" w:color="auto" w:fill="FFFFFF"/>
            <w:vAlign w:val="center"/>
          </w:tcPr>
          <w:p w14:paraId="2BD0DF7B"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Federation of BiH has not established a system for issuing the permits for commercial marine fishing</w:t>
            </w:r>
          </w:p>
        </w:tc>
        <w:tc>
          <w:tcPr>
            <w:tcW w:w="1267" w:type="pct"/>
            <w:shd w:val="clear" w:color="auto" w:fill="FFFFFF"/>
            <w:vAlign w:val="center"/>
          </w:tcPr>
          <w:p w14:paraId="071A3E90" w14:textId="45D13264"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2025, established system for issuing the permits</w:t>
            </w:r>
          </w:p>
        </w:tc>
      </w:tr>
      <w:tr w:rsidR="0059116C" w:rsidRPr="007C4D65" w14:paraId="12596D9D" w14:textId="77777777" w:rsidTr="00B6017F">
        <w:trPr>
          <w:trHeight w:val="567"/>
          <w:jc w:val="center"/>
        </w:trPr>
        <w:tc>
          <w:tcPr>
            <w:tcW w:w="1429" w:type="pct"/>
            <w:vMerge/>
            <w:shd w:val="clear" w:color="auto" w:fill="009D73"/>
            <w:vAlign w:val="center"/>
          </w:tcPr>
          <w:p w14:paraId="44A0380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51913223" w14:textId="03F6F5C1"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a system for recording and reporting on fishing activities and landing the catch</w:t>
            </w:r>
          </w:p>
        </w:tc>
        <w:tc>
          <w:tcPr>
            <w:tcW w:w="1266" w:type="pct"/>
            <w:shd w:val="clear" w:color="auto" w:fill="FFFFFF"/>
            <w:vAlign w:val="center"/>
          </w:tcPr>
          <w:p w14:paraId="4A3D5642"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Federation of BiH has not stablished a system for recording and reporting on fishing activities and landing the catch </w:t>
            </w:r>
          </w:p>
        </w:tc>
        <w:tc>
          <w:tcPr>
            <w:tcW w:w="1267" w:type="pct"/>
            <w:shd w:val="clear" w:color="auto" w:fill="FFFFFF"/>
            <w:vAlign w:val="center"/>
          </w:tcPr>
          <w:p w14:paraId="2E23113F"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By 2025, established system for registering and reporting on fishing activities and landing the catch </w:t>
            </w:r>
          </w:p>
        </w:tc>
      </w:tr>
      <w:tr w:rsidR="0059116C" w:rsidRPr="007C4D65" w14:paraId="7A9B1BD4" w14:textId="77777777" w:rsidTr="00B6017F">
        <w:trPr>
          <w:trHeight w:val="567"/>
          <w:jc w:val="center"/>
        </w:trPr>
        <w:tc>
          <w:tcPr>
            <w:tcW w:w="1429" w:type="pct"/>
            <w:vMerge/>
            <w:shd w:val="clear" w:color="auto" w:fill="009D73"/>
            <w:vAlign w:val="center"/>
          </w:tcPr>
          <w:p w14:paraId="0BCEDDB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1A1C08AD"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sz w:val="18"/>
                <w:szCs w:val="18"/>
              </w:rPr>
              <w:t xml:space="preserve">Existence of a model of statistical monitoring of marine and </w:t>
            </w:r>
            <w:proofErr w:type="gramStart"/>
            <w:r w:rsidRPr="007C4D65">
              <w:rPr>
                <w:rFonts w:asciiTheme="minorHAnsi" w:hAnsiTheme="minorHAnsi" w:cstheme="minorHAnsi"/>
                <w:sz w:val="18"/>
                <w:szCs w:val="18"/>
              </w:rPr>
              <w:t>fresh water</w:t>
            </w:r>
            <w:proofErr w:type="gramEnd"/>
            <w:r w:rsidRPr="007C4D65">
              <w:rPr>
                <w:rFonts w:asciiTheme="minorHAnsi" w:hAnsiTheme="minorHAnsi" w:cstheme="minorHAnsi"/>
                <w:sz w:val="18"/>
                <w:szCs w:val="18"/>
              </w:rPr>
              <w:t xml:space="preserve"> fish farms in accordance with the adopted methodology for BiH</w:t>
            </w:r>
          </w:p>
        </w:tc>
        <w:tc>
          <w:tcPr>
            <w:tcW w:w="1266" w:type="pct"/>
            <w:shd w:val="clear" w:color="auto" w:fill="FFFFFF"/>
            <w:vAlign w:val="center"/>
          </w:tcPr>
          <w:p w14:paraId="408596DC" w14:textId="343E9E31"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Federation of BiH has not established a model of statistical reporting on marine and </w:t>
            </w:r>
            <w:proofErr w:type="gramStart"/>
            <w:r w:rsidRPr="007C4D65">
              <w:rPr>
                <w:rFonts w:asciiTheme="minorHAnsi" w:hAnsiTheme="minorHAnsi" w:cstheme="minorHAnsi"/>
                <w:sz w:val="18"/>
                <w:szCs w:val="18"/>
              </w:rPr>
              <w:t>fresh water</w:t>
            </w:r>
            <w:proofErr w:type="gramEnd"/>
            <w:r w:rsidRPr="007C4D65">
              <w:rPr>
                <w:rFonts w:asciiTheme="minorHAnsi" w:hAnsiTheme="minorHAnsi" w:cstheme="minorHAnsi"/>
                <w:sz w:val="18"/>
                <w:szCs w:val="18"/>
              </w:rPr>
              <w:t xml:space="preserve"> fish farms</w:t>
            </w:r>
          </w:p>
        </w:tc>
        <w:tc>
          <w:tcPr>
            <w:tcW w:w="1267" w:type="pct"/>
            <w:shd w:val="clear" w:color="auto" w:fill="FFFFFF"/>
            <w:vAlign w:val="center"/>
          </w:tcPr>
          <w:p w14:paraId="5FF950BC" w14:textId="614796AA"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By 2025, established model of statistical reporting on marine and </w:t>
            </w:r>
            <w:proofErr w:type="gramStart"/>
            <w:r w:rsidRPr="007C4D65">
              <w:rPr>
                <w:rFonts w:asciiTheme="minorHAnsi" w:hAnsiTheme="minorHAnsi" w:cstheme="minorHAnsi"/>
                <w:sz w:val="18"/>
                <w:szCs w:val="18"/>
              </w:rPr>
              <w:t>fresh water</w:t>
            </w:r>
            <w:proofErr w:type="gramEnd"/>
            <w:r w:rsidRPr="007C4D65">
              <w:rPr>
                <w:rFonts w:asciiTheme="minorHAnsi" w:hAnsiTheme="minorHAnsi" w:cstheme="minorHAnsi"/>
                <w:sz w:val="18"/>
                <w:szCs w:val="18"/>
              </w:rPr>
              <w:t xml:space="preserve"> fish farms</w:t>
            </w:r>
          </w:p>
        </w:tc>
      </w:tr>
      <w:tr w:rsidR="0059116C" w:rsidRPr="007C4D65" w14:paraId="4206916F" w14:textId="77777777" w:rsidTr="00B6017F">
        <w:trPr>
          <w:trHeight w:val="567"/>
          <w:jc w:val="center"/>
        </w:trPr>
        <w:tc>
          <w:tcPr>
            <w:tcW w:w="1429" w:type="pct"/>
            <w:shd w:val="clear" w:color="auto" w:fill="009D73"/>
            <w:vAlign w:val="center"/>
          </w:tcPr>
          <w:p w14:paraId="2B87848F"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priority</w:t>
            </w:r>
          </w:p>
        </w:tc>
        <w:tc>
          <w:tcPr>
            <w:tcW w:w="3571" w:type="pct"/>
            <w:gridSpan w:val="3"/>
            <w:shd w:val="clear" w:color="auto" w:fill="FFFFFF" w:themeFill="background1"/>
            <w:vAlign w:val="center"/>
          </w:tcPr>
          <w:p w14:paraId="08F53533" w14:textId="126BE1EF"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Improving management and more rational use and protection of fish stock</w:t>
            </w:r>
          </w:p>
        </w:tc>
      </w:tr>
      <w:tr w:rsidR="0059116C" w:rsidRPr="007C4D65" w14:paraId="4A71A73F" w14:textId="77777777" w:rsidTr="00B6017F">
        <w:trPr>
          <w:trHeight w:val="567"/>
          <w:jc w:val="center"/>
        </w:trPr>
        <w:tc>
          <w:tcPr>
            <w:tcW w:w="1429" w:type="pct"/>
            <w:shd w:val="clear" w:color="auto" w:fill="009D73"/>
            <w:vAlign w:val="center"/>
          </w:tcPr>
          <w:p w14:paraId="11063A1A"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71" w:type="pct"/>
            <w:gridSpan w:val="3"/>
            <w:shd w:val="clear" w:color="auto" w:fill="FFFFFF" w:themeFill="background1"/>
            <w:vAlign w:val="center"/>
          </w:tcPr>
          <w:p w14:paraId="36EFA4B4" w14:textId="77777777" w:rsidR="0059116C" w:rsidRPr="007C4D65" w:rsidRDefault="0059116C"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 xml:space="preserve">Amount: BAM 586,749 </w:t>
            </w:r>
          </w:p>
          <w:p w14:paraId="228E5C24"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sz w:val="18"/>
                <w:szCs w:val="18"/>
              </w:rPr>
              <w:t>Source: 30% from the government budget, 70% from EU and other international donors</w:t>
            </w:r>
          </w:p>
        </w:tc>
      </w:tr>
      <w:tr w:rsidR="0059116C" w:rsidRPr="007C4D65" w14:paraId="5A02D041" w14:textId="77777777" w:rsidTr="00B6017F">
        <w:trPr>
          <w:trHeight w:val="567"/>
          <w:jc w:val="center"/>
        </w:trPr>
        <w:tc>
          <w:tcPr>
            <w:tcW w:w="1429" w:type="pct"/>
            <w:shd w:val="clear" w:color="auto" w:fill="009D73"/>
            <w:vAlign w:val="center"/>
          </w:tcPr>
          <w:p w14:paraId="0529F16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71" w:type="pct"/>
            <w:gridSpan w:val="3"/>
            <w:shd w:val="clear" w:color="auto" w:fill="FFFFFF"/>
            <w:vAlign w:val="center"/>
          </w:tcPr>
          <w:p w14:paraId="351DF9BE"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2024‒2025</w:t>
            </w:r>
          </w:p>
        </w:tc>
      </w:tr>
      <w:tr w:rsidR="0059116C" w:rsidRPr="007C4D65" w14:paraId="4CE9E1A0" w14:textId="77777777" w:rsidTr="00B6017F">
        <w:trPr>
          <w:trHeight w:val="567"/>
          <w:jc w:val="center"/>
        </w:trPr>
        <w:tc>
          <w:tcPr>
            <w:tcW w:w="1429" w:type="pct"/>
            <w:shd w:val="clear" w:color="auto" w:fill="009D73"/>
            <w:vAlign w:val="center"/>
          </w:tcPr>
          <w:p w14:paraId="38FC2C7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Institution responsible for coordination and implementation of the measure</w:t>
            </w:r>
          </w:p>
        </w:tc>
        <w:tc>
          <w:tcPr>
            <w:tcW w:w="3571" w:type="pct"/>
            <w:gridSpan w:val="3"/>
            <w:shd w:val="clear" w:color="auto" w:fill="FFFFFF"/>
            <w:vAlign w:val="center"/>
          </w:tcPr>
          <w:p w14:paraId="3D42F626"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Agriculture, Forestry and Water Management</w:t>
            </w:r>
          </w:p>
        </w:tc>
      </w:tr>
      <w:tr w:rsidR="0059116C" w:rsidRPr="007C4D65" w14:paraId="03612E21" w14:textId="77777777" w:rsidTr="00B6017F">
        <w:trPr>
          <w:trHeight w:val="567"/>
          <w:jc w:val="center"/>
        </w:trPr>
        <w:tc>
          <w:tcPr>
            <w:tcW w:w="1429" w:type="pct"/>
            <w:shd w:val="clear" w:color="auto" w:fill="009D73"/>
            <w:vAlign w:val="center"/>
          </w:tcPr>
          <w:p w14:paraId="43819E7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Implementing institution</w:t>
            </w:r>
          </w:p>
        </w:tc>
        <w:tc>
          <w:tcPr>
            <w:tcW w:w="3571" w:type="pct"/>
            <w:gridSpan w:val="3"/>
            <w:shd w:val="clear" w:color="auto" w:fill="FFFFFF"/>
            <w:vAlign w:val="center"/>
          </w:tcPr>
          <w:p w14:paraId="5EA88E1F"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color w:val="000000"/>
                <w:sz w:val="18"/>
                <w:szCs w:val="18"/>
              </w:rPr>
              <w:t>Federation of BiH Ministry of Agriculture, Forestry and Water Management</w:t>
            </w:r>
          </w:p>
        </w:tc>
      </w:tr>
      <w:tr w:rsidR="0059116C" w:rsidRPr="007C4D65" w14:paraId="298D98D5" w14:textId="77777777" w:rsidTr="00B6017F">
        <w:trPr>
          <w:trHeight w:val="567"/>
          <w:jc w:val="center"/>
        </w:trPr>
        <w:tc>
          <w:tcPr>
            <w:tcW w:w="1429" w:type="pct"/>
            <w:shd w:val="clear" w:color="auto" w:fill="009D73"/>
            <w:vAlign w:val="center"/>
          </w:tcPr>
          <w:p w14:paraId="42336CEC" w14:textId="67A7020E"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Target groups</w:t>
            </w:r>
          </w:p>
        </w:tc>
        <w:tc>
          <w:tcPr>
            <w:tcW w:w="3571" w:type="pct"/>
            <w:gridSpan w:val="3"/>
            <w:shd w:val="clear" w:color="auto" w:fill="FFFFFF"/>
            <w:vAlign w:val="center"/>
          </w:tcPr>
          <w:p w14:paraId="49E677C5"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Commercial entities operating in the sector of fisheries</w:t>
            </w:r>
          </w:p>
        </w:tc>
      </w:tr>
    </w:tbl>
    <w:p w14:paraId="382CFC2B" w14:textId="77777777" w:rsidR="0059116C" w:rsidRPr="007C4D65" w:rsidRDefault="0059116C" w:rsidP="0059116C">
      <w:pPr>
        <w:spacing w:line="276" w:lineRule="auto"/>
        <w:rPr>
          <w:rFonts w:asciiTheme="minorHAnsi" w:eastAsiaTheme="minorHAnsi" w:hAnsiTheme="minorHAnsi" w:cstheme="minorHAnsi"/>
          <w:sz w:val="18"/>
          <w:szCs w:val="18"/>
          <w:lang w:val="hr-HR" w:eastAsia="en-US"/>
        </w:rPr>
      </w:pPr>
    </w:p>
    <w:tbl>
      <w:tblPr>
        <w:tblW w:w="4802"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8"/>
        <w:gridCol w:w="2781"/>
        <w:gridCol w:w="3392"/>
        <w:gridCol w:w="3395"/>
      </w:tblGrid>
      <w:tr w:rsidR="0059116C" w:rsidRPr="007C4D65" w14:paraId="3BDD8ADB" w14:textId="77777777" w:rsidTr="00B6017F">
        <w:trPr>
          <w:trHeight w:val="567"/>
          <w:jc w:val="center"/>
        </w:trPr>
        <w:tc>
          <w:tcPr>
            <w:tcW w:w="1429" w:type="pct"/>
            <w:shd w:val="clear" w:color="auto" w:fill="009D73"/>
            <w:vAlign w:val="center"/>
          </w:tcPr>
          <w:p w14:paraId="30D2E0D4" w14:textId="2A5E24F6"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71" w:type="pct"/>
            <w:gridSpan w:val="3"/>
            <w:shd w:val="clear" w:color="auto" w:fill="FFFFFF"/>
            <w:vAlign w:val="center"/>
          </w:tcPr>
          <w:p w14:paraId="2507EB60" w14:textId="584DD8CA"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28EAC08E" w14:textId="77777777" w:rsidTr="00B6017F">
        <w:trPr>
          <w:trHeight w:val="567"/>
          <w:jc w:val="center"/>
        </w:trPr>
        <w:tc>
          <w:tcPr>
            <w:tcW w:w="1429" w:type="pct"/>
            <w:shd w:val="clear" w:color="auto" w:fill="009D73"/>
            <w:vAlign w:val="center"/>
          </w:tcPr>
          <w:p w14:paraId="3D24CA4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71" w:type="pct"/>
            <w:gridSpan w:val="3"/>
            <w:shd w:val="clear" w:color="auto" w:fill="FFFFFF"/>
            <w:vAlign w:val="center"/>
          </w:tcPr>
          <w:p w14:paraId="476FD928" w14:textId="77777777"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6.4. Establish integrated and sustainable management of land resources</w:t>
            </w:r>
          </w:p>
        </w:tc>
      </w:tr>
      <w:tr w:rsidR="0059116C" w:rsidRPr="007C4D65" w14:paraId="1FD20A5E" w14:textId="77777777" w:rsidTr="00B6017F">
        <w:trPr>
          <w:trHeight w:val="567"/>
          <w:jc w:val="center"/>
        </w:trPr>
        <w:tc>
          <w:tcPr>
            <w:tcW w:w="1429" w:type="pct"/>
            <w:shd w:val="clear" w:color="auto" w:fill="009D73"/>
            <w:vAlign w:val="center"/>
          </w:tcPr>
          <w:p w14:paraId="50E9C613" w14:textId="2DCD8E6F"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71" w:type="pct"/>
            <w:gridSpan w:val="3"/>
            <w:shd w:val="clear" w:color="auto" w:fill="auto"/>
            <w:vAlign w:val="center"/>
          </w:tcPr>
          <w:p w14:paraId="3360B379" w14:textId="77777777" w:rsidR="0059116C" w:rsidRPr="007C4D65" w:rsidRDefault="0059116C" w:rsidP="00B6017F">
            <w:pPr>
              <w:spacing w:before="40" w:after="40" w:line="276" w:lineRule="auto"/>
              <w:rPr>
                <w:rFonts w:asciiTheme="minorHAnsi" w:eastAsia="Calibri" w:hAnsiTheme="minorHAnsi" w:cstheme="minorHAnsi"/>
                <w:b/>
                <w:bCs/>
                <w:sz w:val="18"/>
                <w:szCs w:val="18"/>
              </w:rPr>
            </w:pPr>
            <w:r w:rsidRPr="007C4D65">
              <w:rPr>
                <w:rFonts w:asciiTheme="minorHAnsi" w:hAnsiTheme="minorHAnsi" w:cstheme="minorHAnsi"/>
                <w:b/>
                <w:bCs/>
                <w:color w:val="000000"/>
                <w:sz w:val="18"/>
                <w:szCs w:val="18"/>
              </w:rPr>
              <w:t>6.4.1 Provide legal and strategic framework for comprehensive protection of land</w:t>
            </w:r>
          </w:p>
        </w:tc>
      </w:tr>
      <w:tr w:rsidR="0059116C" w:rsidRPr="007C4D65" w14:paraId="7782E593" w14:textId="77777777" w:rsidTr="00B6017F">
        <w:trPr>
          <w:trHeight w:val="274"/>
          <w:jc w:val="center"/>
        </w:trPr>
        <w:tc>
          <w:tcPr>
            <w:tcW w:w="1429" w:type="pct"/>
            <w:shd w:val="clear" w:color="auto" w:fill="009D73"/>
            <w:vAlign w:val="center"/>
          </w:tcPr>
          <w:p w14:paraId="57E470B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71" w:type="pct"/>
            <w:gridSpan w:val="3"/>
            <w:vAlign w:val="center"/>
          </w:tcPr>
          <w:p w14:paraId="71C52200" w14:textId="4FC7500F"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This measure aims to provide framework for integrated protection of all types of land. The measure includes adoption of legislation and strategy on protection of land, and harmonisation of legislation regulating various uses of land (mining, construction, agriculture). For implementation of this measure, the following activities are planned:</w:t>
            </w:r>
          </w:p>
          <w:p w14:paraId="32B64E11" w14:textId="0846620E" w:rsidR="0059116C" w:rsidRPr="007C4D65" w:rsidRDefault="0059116C">
            <w:pPr>
              <w:numPr>
                <w:ilvl w:val="0"/>
                <w:numId w:val="76"/>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Adoption of a Law on Protection of Land and relevant </w:t>
            </w:r>
            <w:proofErr w:type="gramStart"/>
            <w:r w:rsidRPr="007C4D65">
              <w:rPr>
                <w:rFonts w:asciiTheme="minorHAnsi" w:hAnsiTheme="minorHAnsi" w:cstheme="minorHAnsi"/>
                <w:sz w:val="18"/>
                <w:szCs w:val="18"/>
              </w:rPr>
              <w:t>bylaws</w:t>
            </w:r>
            <w:r w:rsidR="00A970D9" w:rsidRPr="007C4D65">
              <w:rPr>
                <w:rFonts w:asciiTheme="minorHAnsi" w:hAnsiTheme="minorHAnsi" w:cstheme="minorHAnsi"/>
                <w:sz w:val="18"/>
                <w:szCs w:val="18"/>
              </w:rPr>
              <w:t>;</w:t>
            </w:r>
            <w:proofErr w:type="gramEnd"/>
          </w:p>
          <w:p w14:paraId="16DDA397" w14:textId="32CF71DC" w:rsidR="0059116C" w:rsidRPr="007C4D65" w:rsidRDefault="0059116C">
            <w:pPr>
              <w:numPr>
                <w:ilvl w:val="0"/>
                <w:numId w:val="76"/>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Development and adoption of the Strategy of Sustainable Land </w:t>
            </w:r>
            <w:proofErr w:type="gramStart"/>
            <w:r w:rsidRPr="007C4D65">
              <w:rPr>
                <w:rFonts w:asciiTheme="minorHAnsi" w:hAnsiTheme="minorHAnsi" w:cstheme="minorHAnsi"/>
                <w:sz w:val="18"/>
                <w:szCs w:val="18"/>
              </w:rPr>
              <w:t>Management</w:t>
            </w:r>
            <w:r w:rsidR="00A970D9" w:rsidRPr="007C4D65">
              <w:rPr>
                <w:rFonts w:asciiTheme="minorHAnsi" w:hAnsiTheme="minorHAnsi" w:cstheme="minorHAnsi"/>
                <w:sz w:val="18"/>
                <w:szCs w:val="18"/>
              </w:rPr>
              <w:t>;</w:t>
            </w:r>
            <w:proofErr w:type="gramEnd"/>
          </w:p>
          <w:p w14:paraId="4FD9A149" w14:textId="20FF5D93" w:rsidR="0059116C" w:rsidRPr="007C4D65" w:rsidRDefault="0059116C">
            <w:pPr>
              <w:numPr>
                <w:ilvl w:val="0"/>
                <w:numId w:val="76"/>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Harmonization of laws: on spatial planning and construction of Federation of BiH and cantons in Federation of BiH with the Law on </w:t>
            </w:r>
            <w:r w:rsidR="004B4EEC" w:rsidRPr="007C4D65">
              <w:rPr>
                <w:rFonts w:asciiTheme="minorHAnsi" w:hAnsiTheme="minorHAnsi" w:cstheme="minorHAnsi"/>
                <w:sz w:val="18"/>
                <w:szCs w:val="18"/>
              </w:rPr>
              <w:t>Agricultural</w:t>
            </w:r>
            <w:r w:rsidRPr="007C4D65">
              <w:rPr>
                <w:rFonts w:asciiTheme="minorHAnsi" w:hAnsiTheme="minorHAnsi" w:cstheme="minorHAnsi"/>
                <w:sz w:val="18"/>
                <w:szCs w:val="18"/>
              </w:rPr>
              <w:t xml:space="preserve"> Land, </w:t>
            </w:r>
            <w:proofErr w:type="gramStart"/>
            <w:r w:rsidRPr="007C4D65">
              <w:rPr>
                <w:rFonts w:asciiTheme="minorHAnsi" w:hAnsiTheme="minorHAnsi" w:cstheme="minorHAnsi"/>
                <w:sz w:val="18"/>
                <w:szCs w:val="18"/>
              </w:rPr>
              <w:t>i.e.</w:t>
            </w:r>
            <w:proofErr w:type="gramEnd"/>
            <w:r w:rsidRPr="007C4D65">
              <w:rPr>
                <w:rFonts w:asciiTheme="minorHAnsi" w:hAnsiTheme="minorHAnsi" w:cstheme="minorHAnsi"/>
                <w:sz w:val="18"/>
                <w:szCs w:val="18"/>
              </w:rPr>
              <w:t xml:space="preserve"> include in the Law on spatial development and construction of the Federation of BiH the obligation of the local government units to have the Plan of Protection, Development and Use of Agricultural Land prior to the adoption of their respective spatial plans</w:t>
            </w:r>
            <w:r w:rsidR="00A970D9" w:rsidRPr="007C4D65">
              <w:rPr>
                <w:rFonts w:asciiTheme="minorHAnsi" w:hAnsiTheme="minorHAnsi" w:cstheme="minorHAnsi"/>
                <w:sz w:val="18"/>
                <w:szCs w:val="18"/>
              </w:rPr>
              <w:t>;</w:t>
            </w:r>
          </w:p>
          <w:p w14:paraId="6B0D47A8" w14:textId="7FB5A405" w:rsidR="0059116C" w:rsidRPr="007C4D65" w:rsidRDefault="0059116C">
            <w:pPr>
              <w:numPr>
                <w:ilvl w:val="0"/>
                <w:numId w:val="76"/>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Amendment of the Law on Mining of Federation of BiH regarding rehabilitation of the mining areas, by expanding options of rehabilitation that would include repurposing, and with respect to financial liability and guarantees for rehabilitation of the deserted mining areas</w:t>
            </w:r>
            <w:r w:rsidR="00A970D9" w:rsidRPr="007C4D65">
              <w:rPr>
                <w:rFonts w:asciiTheme="minorHAnsi" w:hAnsiTheme="minorHAnsi" w:cstheme="minorHAnsi"/>
                <w:sz w:val="18"/>
                <w:szCs w:val="18"/>
              </w:rPr>
              <w:t>.</w:t>
            </w:r>
          </w:p>
        </w:tc>
      </w:tr>
      <w:tr w:rsidR="0059116C" w:rsidRPr="007C4D65" w14:paraId="0E74A603" w14:textId="77777777" w:rsidTr="00B6017F">
        <w:trPr>
          <w:trHeight w:val="567"/>
          <w:jc w:val="center"/>
        </w:trPr>
        <w:tc>
          <w:tcPr>
            <w:tcW w:w="1429" w:type="pct"/>
            <w:shd w:val="clear" w:color="auto" w:fill="009D73"/>
            <w:vAlign w:val="center"/>
          </w:tcPr>
          <w:p w14:paraId="73AE27D1"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Strategic projects</w:t>
            </w:r>
          </w:p>
        </w:tc>
        <w:tc>
          <w:tcPr>
            <w:tcW w:w="3571" w:type="pct"/>
            <w:gridSpan w:val="3"/>
            <w:vAlign w:val="center"/>
          </w:tcPr>
          <w:p w14:paraId="7B3A8105"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7FE368BD" w14:textId="77777777" w:rsidTr="00B6017F">
        <w:trPr>
          <w:trHeight w:val="567"/>
          <w:jc w:val="center"/>
        </w:trPr>
        <w:tc>
          <w:tcPr>
            <w:tcW w:w="1429" w:type="pct"/>
            <w:vMerge w:val="restart"/>
            <w:shd w:val="clear" w:color="auto" w:fill="009D73"/>
            <w:vAlign w:val="center"/>
          </w:tcPr>
          <w:p w14:paraId="2C118B0C"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Indicators for monitoring of results of measures</w:t>
            </w:r>
          </w:p>
        </w:tc>
        <w:tc>
          <w:tcPr>
            <w:tcW w:w="1038" w:type="pct"/>
            <w:shd w:val="clear" w:color="auto" w:fill="009D73"/>
            <w:vAlign w:val="center"/>
          </w:tcPr>
          <w:p w14:paraId="3810098D"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5A4B36EB" w14:textId="55D2E510"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shd w:val="clear" w:color="auto" w:fill="009D73"/>
            <w:vAlign w:val="center"/>
          </w:tcPr>
          <w:p w14:paraId="1286C744"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579732C6"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shd w:val="clear" w:color="auto" w:fill="009D73"/>
            <w:vAlign w:val="center"/>
          </w:tcPr>
          <w:p w14:paraId="5E83C32C"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38D6B5F4" w14:textId="77777777" w:rsidTr="00B6017F">
        <w:trPr>
          <w:trHeight w:val="567"/>
          <w:jc w:val="center"/>
        </w:trPr>
        <w:tc>
          <w:tcPr>
            <w:tcW w:w="1429" w:type="pct"/>
            <w:vMerge/>
            <w:shd w:val="clear" w:color="auto" w:fill="009D73"/>
            <w:vAlign w:val="center"/>
          </w:tcPr>
          <w:p w14:paraId="5236213B"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vAlign w:val="center"/>
          </w:tcPr>
          <w:p w14:paraId="01A5B6F8"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legal and strategic framework for comprehensive protection of land</w:t>
            </w:r>
          </w:p>
        </w:tc>
        <w:tc>
          <w:tcPr>
            <w:tcW w:w="1266" w:type="pct"/>
            <w:shd w:val="clear" w:color="auto" w:fill="FFFFFF"/>
            <w:vAlign w:val="center"/>
          </w:tcPr>
          <w:p w14:paraId="4D68F619" w14:textId="766248ED"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In the Federation of BiH, land is protected by various legislation, depending on the type of land: laws on agriculture, forestry, spatial planning and construction. There is no comprehensive legislative framework </w:t>
            </w:r>
            <w:r w:rsidRPr="007C4D65">
              <w:rPr>
                <w:rFonts w:asciiTheme="minorHAnsi" w:hAnsiTheme="minorHAnsi" w:cstheme="minorHAnsi"/>
                <w:sz w:val="18"/>
                <w:szCs w:val="18"/>
              </w:rPr>
              <w:lastRenderedPageBreak/>
              <w:t>that would provide for protection of land as a whole</w:t>
            </w:r>
          </w:p>
        </w:tc>
        <w:tc>
          <w:tcPr>
            <w:tcW w:w="1267" w:type="pct"/>
            <w:shd w:val="clear" w:color="auto" w:fill="FFFFFF"/>
            <w:vAlign w:val="center"/>
          </w:tcPr>
          <w:p w14:paraId="4EB60B27"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lastRenderedPageBreak/>
              <w:t>By 2025, adopted Law on Protection of Land and relevant secondary legislation (bylaws), as well as the Strategy for Sustainable Use of Land</w:t>
            </w:r>
          </w:p>
        </w:tc>
      </w:tr>
      <w:tr w:rsidR="0059116C" w:rsidRPr="007C4D65" w14:paraId="21DA4B6D" w14:textId="77777777" w:rsidTr="00B6017F">
        <w:trPr>
          <w:trHeight w:val="567"/>
          <w:jc w:val="center"/>
        </w:trPr>
        <w:tc>
          <w:tcPr>
            <w:tcW w:w="1429" w:type="pct"/>
            <w:vMerge/>
            <w:shd w:val="clear" w:color="auto" w:fill="009D73"/>
            <w:vAlign w:val="center"/>
          </w:tcPr>
          <w:p w14:paraId="200F22DD"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7FB94E39"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a Strategy of Sustainable Land Management</w:t>
            </w:r>
          </w:p>
        </w:tc>
        <w:tc>
          <w:tcPr>
            <w:tcW w:w="1266" w:type="pct"/>
            <w:shd w:val="clear" w:color="auto" w:fill="FFFFFF"/>
            <w:vAlign w:val="center"/>
          </w:tcPr>
          <w:p w14:paraId="02FAEE07"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Federation of BiH does not have a strategic approach to comprehensive land management and protection </w:t>
            </w:r>
          </w:p>
        </w:tc>
        <w:tc>
          <w:tcPr>
            <w:tcW w:w="1267" w:type="pct"/>
            <w:shd w:val="clear" w:color="auto" w:fill="FFFFFF"/>
            <w:vAlign w:val="center"/>
          </w:tcPr>
          <w:p w14:paraId="6F8A25D5"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2027, Adopted Strategy of Sustainable Land Management</w:t>
            </w:r>
          </w:p>
        </w:tc>
      </w:tr>
      <w:tr w:rsidR="0059116C" w:rsidRPr="007C4D65" w14:paraId="08D33AE5" w14:textId="77777777" w:rsidTr="00B6017F">
        <w:trPr>
          <w:trHeight w:val="567"/>
          <w:jc w:val="center"/>
        </w:trPr>
        <w:tc>
          <w:tcPr>
            <w:tcW w:w="1429" w:type="pct"/>
            <w:vMerge/>
            <w:shd w:val="clear" w:color="auto" w:fill="009D73"/>
            <w:vAlign w:val="center"/>
          </w:tcPr>
          <w:p w14:paraId="4E8C667E"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7B44DE11"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Harmonize laws on spatial planning of Federation of BiH and cantons in Federation of BiH with the Law on Agricultural Land of Federation of BiH</w:t>
            </w:r>
          </w:p>
        </w:tc>
        <w:tc>
          <w:tcPr>
            <w:tcW w:w="1266" w:type="pct"/>
            <w:shd w:val="clear" w:color="auto" w:fill="FFFFFF"/>
            <w:vAlign w:val="center"/>
          </w:tcPr>
          <w:p w14:paraId="1C081A67" w14:textId="3394A8B4"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Laws on spatial planning of Federation of BiH and cantons in Federation of BiH ae not aligned with the Law on Agricultural Land of Federation of BiH, </w:t>
            </w:r>
            <w:proofErr w:type="gramStart"/>
            <w:r w:rsidRPr="007C4D65">
              <w:rPr>
                <w:rFonts w:asciiTheme="minorHAnsi" w:hAnsiTheme="minorHAnsi" w:cstheme="minorHAnsi"/>
                <w:sz w:val="18"/>
                <w:szCs w:val="18"/>
              </w:rPr>
              <w:t>i.e.</w:t>
            </w:r>
            <w:proofErr w:type="gramEnd"/>
            <w:r w:rsidRPr="007C4D65">
              <w:rPr>
                <w:rFonts w:asciiTheme="minorHAnsi" w:hAnsiTheme="minorHAnsi" w:cstheme="minorHAnsi"/>
                <w:sz w:val="18"/>
                <w:szCs w:val="18"/>
              </w:rPr>
              <w:t xml:space="preserve"> Federation of BiH Law on Spatial Planning and Construction does not prescribe the obligation of the local government units to develop the Plans for Protection, Development and Use of Agricultural Land prior to the adoption of Spatial Plan</w:t>
            </w:r>
          </w:p>
        </w:tc>
        <w:tc>
          <w:tcPr>
            <w:tcW w:w="1267" w:type="pct"/>
            <w:shd w:val="clear" w:color="auto" w:fill="FFFFFF"/>
            <w:vAlign w:val="center"/>
          </w:tcPr>
          <w:p w14:paraId="7DE9AE5E" w14:textId="6918DDED"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2027, harmonized Federation of BiH Law on Spatial Planning and Construction and cantonal laws with the Law on Agricultural Land of Federation of BiH</w:t>
            </w:r>
          </w:p>
        </w:tc>
      </w:tr>
      <w:tr w:rsidR="0059116C" w:rsidRPr="007C4D65" w14:paraId="1C6685DD" w14:textId="77777777" w:rsidTr="00B6017F">
        <w:trPr>
          <w:trHeight w:val="567"/>
          <w:jc w:val="center"/>
        </w:trPr>
        <w:tc>
          <w:tcPr>
            <w:tcW w:w="1429" w:type="pct"/>
            <w:vMerge/>
            <w:shd w:val="clear" w:color="auto" w:fill="009D73"/>
            <w:vAlign w:val="center"/>
          </w:tcPr>
          <w:p w14:paraId="2A8728A7"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1E2F50C2"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sz w:val="18"/>
                <w:szCs w:val="18"/>
              </w:rPr>
              <w:t>Existence of financial liability and guarantees for rehabilitation of deserted mines and possibility to repurpose the deserted mines</w:t>
            </w:r>
          </w:p>
        </w:tc>
        <w:tc>
          <w:tcPr>
            <w:tcW w:w="1266" w:type="pct"/>
            <w:shd w:val="clear" w:color="auto" w:fill="FFFFFF"/>
            <w:vAlign w:val="center"/>
          </w:tcPr>
          <w:p w14:paraId="1839DDE6" w14:textId="6E1F2142"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Law on Mining of the Federation of BiH does not include provisions stipulating financial liability and obligation of providing guarantees for rehabilitation of deserted mines, nor does it specify conditions for repurposing the deserted mines</w:t>
            </w:r>
          </w:p>
        </w:tc>
        <w:tc>
          <w:tcPr>
            <w:tcW w:w="1267" w:type="pct"/>
            <w:shd w:val="clear" w:color="auto" w:fill="FFFFFF"/>
            <w:vAlign w:val="center"/>
          </w:tcPr>
          <w:p w14:paraId="7F02759A" w14:textId="7A06B372"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2027, amended Law on Mining of the Federation of BiH regarding rehabilitation of the mining areas, by expanding options of rehabilitation that include repurposing, and with respect to financial liability and guarantees for rehabilitation of the deserted mining areas</w:t>
            </w:r>
          </w:p>
        </w:tc>
      </w:tr>
      <w:tr w:rsidR="0059116C" w:rsidRPr="007C4D65" w14:paraId="0C7C55DF" w14:textId="77777777" w:rsidTr="00B6017F">
        <w:trPr>
          <w:trHeight w:val="567"/>
          <w:jc w:val="center"/>
        </w:trPr>
        <w:tc>
          <w:tcPr>
            <w:tcW w:w="1429" w:type="pct"/>
            <w:shd w:val="clear" w:color="auto" w:fill="009D73"/>
            <w:vAlign w:val="center"/>
          </w:tcPr>
          <w:p w14:paraId="242A3EF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priority</w:t>
            </w:r>
          </w:p>
        </w:tc>
        <w:tc>
          <w:tcPr>
            <w:tcW w:w="3571" w:type="pct"/>
            <w:gridSpan w:val="3"/>
            <w:shd w:val="clear" w:color="auto" w:fill="FFFFFF" w:themeFill="background1"/>
            <w:vAlign w:val="center"/>
          </w:tcPr>
          <w:p w14:paraId="03BD33E4" w14:textId="3B4BE321"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Improved land management with better coordination and communication among various institutions and sectors</w:t>
            </w:r>
          </w:p>
        </w:tc>
      </w:tr>
      <w:tr w:rsidR="0059116C" w:rsidRPr="007C4D65" w14:paraId="29F8175E" w14:textId="77777777" w:rsidTr="00B6017F">
        <w:trPr>
          <w:trHeight w:val="567"/>
          <w:jc w:val="center"/>
        </w:trPr>
        <w:tc>
          <w:tcPr>
            <w:tcW w:w="1429" w:type="pct"/>
            <w:shd w:val="clear" w:color="auto" w:fill="009D73"/>
            <w:vAlign w:val="center"/>
          </w:tcPr>
          <w:p w14:paraId="18F70DA7"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71" w:type="pct"/>
            <w:gridSpan w:val="3"/>
            <w:shd w:val="clear" w:color="auto" w:fill="FFFFFF" w:themeFill="background1"/>
            <w:vAlign w:val="center"/>
          </w:tcPr>
          <w:p w14:paraId="58D377A3" w14:textId="69553018" w:rsidR="0059116C" w:rsidRPr="007C4D65" w:rsidRDefault="0059116C"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398,360</w:t>
            </w:r>
          </w:p>
          <w:p w14:paraId="43A19C5B"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sz w:val="18"/>
                <w:szCs w:val="18"/>
              </w:rPr>
              <w:t>Source: 100% government budget</w:t>
            </w:r>
          </w:p>
        </w:tc>
      </w:tr>
      <w:tr w:rsidR="0059116C" w:rsidRPr="007C4D65" w14:paraId="01CA68A6" w14:textId="77777777" w:rsidTr="00B6017F">
        <w:trPr>
          <w:trHeight w:val="567"/>
          <w:jc w:val="center"/>
        </w:trPr>
        <w:tc>
          <w:tcPr>
            <w:tcW w:w="1429" w:type="pct"/>
            <w:shd w:val="clear" w:color="auto" w:fill="009D73"/>
            <w:vAlign w:val="center"/>
          </w:tcPr>
          <w:p w14:paraId="2DA52F7D"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71" w:type="pct"/>
            <w:gridSpan w:val="3"/>
            <w:shd w:val="clear" w:color="auto" w:fill="FFFFFF"/>
            <w:vAlign w:val="center"/>
          </w:tcPr>
          <w:p w14:paraId="351BAD0C"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2024‒2027</w:t>
            </w:r>
          </w:p>
        </w:tc>
      </w:tr>
      <w:tr w:rsidR="0059116C" w:rsidRPr="007C4D65" w14:paraId="6CD05990" w14:textId="77777777" w:rsidTr="00B6017F">
        <w:trPr>
          <w:trHeight w:val="567"/>
          <w:jc w:val="center"/>
        </w:trPr>
        <w:tc>
          <w:tcPr>
            <w:tcW w:w="1429" w:type="pct"/>
            <w:shd w:val="clear" w:color="auto" w:fill="009D73"/>
            <w:vAlign w:val="center"/>
          </w:tcPr>
          <w:p w14:paraId="4D1D602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Institution responsible for coordination and implementation of the measure</w:t>
            </w:r>
          </w:p>
        </w:tc>
        <w:tc>
          <w:tcPr>
            <w:tcW w:w="3571" w:type="pct"/>
            <w:gridSpan w:val="3"/>
            <w:shd w:val="clear" w:color="auto" w:fill="FFFFFF"/>
            <w:vAlign w:val="center"/>
          </w:tcPr>
          <w:p w14:paraId="7AFD91D4"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Environment and Tourism</w:t>
            </w:r>
          </w:p>
        </w:tc>
      </w:tr>
      <w:tr w:rsidR="0059116C" w:rsidRPr="007C4D65" w14:paraId="0D68D593" w14:textId="77777777" w:rsidTr="00B6017F">
        <w:trPr>
          <w:trHeight w:val="567"/>
          <w:jc w:val="center"/>
        </w:trPr>
        <w:tc>
          <w:tcPr>
            <w:tcW w:w="1429" w:type="pct"/>
            <w:shd w:val="clear" w:color="auto" w:fill="009D73"/>
            <w:vAlign w:val="center"/>
          </w:tcPr>
          <w:p w14:paraId="1008EAB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Implementing institution</w:t>
            </w:r>
          </w:p>
        </w:tc>
        <w:tc>
          <w:tcPr>
            <w:tcW w:w="3571" w:type="pct"/>
            <w:gridSpan w:val="3"/>
            <w:shd w:val="clear" w:color="auto" w:fill="FFFFFF"/>
            <w:vAlign w:val="center"/>
          </w:tcPr>
          <w:p w14:paraId="41213CA2"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Federation of BiH Ministry of Spatial Planning and Construction</w:t>
            </w:r>
          </w:p>
          <w:p w14:paraId="331FD7A3" w14:textId="0422F106"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sz w:val="18"/>
                <w:szCs w:val="18"/>
              </w:rPr>
              <w:t>Federation of BiH Ministry of Energy, Mining and Industry</w:t>
            </w:r>
          </w:p>
          <w:p w14:paraId="67A05850"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lastRenderedPageBreak/>
              <w:t>Competent cantonal ministries</w:t>
            </w:r>
          </w:p>
        </w:tc>
      </w:tr>
      <w:tr w:rsidR="0059116C" w:rsidRPr="007C4D65" w14:paraId="7CCAA028" w14:textId="77777777" w:rsidTr="00B6017F">
        <w:trPr>
          <w:trHeight w:val="567"/>
          <w:jc w:val="center"/>
        </w:trPr>
        <w:tc>
          <w:tcPr>
            <w:tcW w:w="1429" w:type="pct"/>
            <w:shd w:val="clear" w:color="auto" w:fill="009D73"/>
            <w:vAlign w:val="center"/>
          </w:tcPr>
          <w:p w14:paraId="09D61A15" w14:textId="59381750"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Target groups</w:t>
            </w:r>
          </w:p>
        </w:tc>
        <w:tc>
          <w:tcPr>
            <w:tcW w:w="3571" w:type="pct"/>
            <w:gridSpan w:val="3"/>
            <w:shd w:val="clear" w:color="auto" w:fill="FFFFFF"/>
            <w:vAlign w:val="center"/>
          </w:tcPr>
          <w:p w14:paraId="75B35B83"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Mining companies</w:t>
            </w:r>
          </w:p>
        </w:tc>
      </w:tr>
    </w:tbl>
    <w:p w14:paraId="046F0A35" w14:textId="77777777" w:rsidR="0059116C" w:rsidRPr="007C4D65" w:rsidRDefault="0059116C" w:rsidP="0059116C">
      <w:pPr>
        <w:spacing w:line="276" w:lineRule="auto"/>
        <w:rPr>
          <w:rFonts w:asciiTheme="minorHAnsi" w:eastAsiaTheme="minorHAnsi" w:hAnsiTheme="minorHAnsi" w:cstheme="minorHAnsi"/>
          <w:sz w:val="18"/>
          <w:szCs w:val="18"/>
          <w:lang w:val="hr-HR" w:eastAsia="en-US"/>
        </w:rPr>
      </w:pPr>
    </w:p>
    <w:tbl>
      <w:tblPr>
        <w:tblW w:w="4802"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8"/>
        <w:gridCol w:w="2781"/>
        <w:gridCol w:w="3392"/>
        <w:gridCol w:w="3395"/>
      </w:tblGrid>
      <w:tr w:rsidR="0059116C" w:rsidRPr="007C4D65" w14:paraId="47E8479B" w14:textId="77777777" w:rsidTr="00B6017F">
        <w:trPr>
          <w:trHeight w:val="567"/>
          <w:jc w:val="center"/>
        </w:trPr>
        <w:tc>
          <w:tcPr>
            <w:tcW w:w="1429" w:type="pct"/>
            <w:shd w:val="clear" w:color="auto" w:fill="009D73"/>
            <w:vAlign w:val="center"/>
          </w:tcPr>
          <w:p w14:paraId="32E7477B" w14:textId="7971341A"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71" w:type="pct"/>
            <w:gridSpan w:val="3"/>
            <w:shd w:val="clear" w:color="auto" w:fill="FFFFFF"/>
            <w:vAlign w:val="center"/>
          </w:tcPr>
          <w:p w14:paraId="6DAE044F" w14:textId="58E1557F"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25C8CB15" w14:textId="77777777" w:rsidTr="00B6017F">
        <w:trPr>
          <w:trHeight w:val="567"/>
          <w:jc w:val="center"/>
        </w:trPr>
        <w:tc>
          <w:tcPr>
            <w:tcW w:w="1429" w:type="pct"/>
            <w:shd w:val="clear" w:color="auto" w:fill="009D73"/>
            <w:vAlign w:val="center"/>
          </w:tcPr>
          <w:p w14:paraId="350FD75B"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71" w:type="pct"/>
            <w:gridSpan w:val="3"/>
            <w:shd w:val="clear" w:color="auto" w:fill="FFFFFF"/>
            <w:vAlign w:val="center"/>
          </w:tcPr>
          <w:p w14:paraId="3BC593ED" w14:textId="77777777"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6.4. Establish integrated and sustainable management of land resources</w:t>
            </w:r>
          </w:p>
        </w:tc>
      </w:tr>
      <w:tr w:rsidR="0059116C" w:rsidRPr="007C4D65" w14:paraId="0D3644EB" w14:textId="77777777" w:rsidTr="00B6017F">
        <w:trPr>
          <w:trHeight w:val="567"/>
          <w:jc w:val="center"/>
        </w:trPr>
        <w:tc>
          <w:tcPr>
            <w:tcW w:w="1429" w:type="pct"/>
            <w:shd w:val="clear" w:color="auto" w:fill="009D73"/>
            <w:vAlign w:val="center"/>
          </w:tcPr>
          <w:p w14:paraId="2323B242" w14:textId="7C83286C"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71" w:type="pct"/>
            <w:gridSpan w:val="3"/>
            <w:shd w:val="clear" w:color="auto" w:fill="auto"/>
            <w:vAlign w:val="center"/>
          </w:tcPr>
          <w:p w14:paraId="2B7A4859" w14:textId="77777777"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6.4.2. Establishing the land monitoring system </w:t>
            </w:r>
          </w:p>
        </w:tc>
      </w:tr>
      <w:tr w:rsidR="0059116C" w:rsidRPr="007C4D65" w14:paraId="586B37B5" w14:textId="77777777" w:rsidTr="00B6017F">
        <w:trPr>
          <w:trHeight w:val="567"/>
          <w:jc w:val="center"/>
        </w:trPr>
        <w:tc>
          <w:tcPr>
            <w:tcW w:w="1429" w:type="pct"/>
            <w:shd w:val="clear" w:color="auto" w:fill="009D73"/>
            <w:vAlign w:val="center"/>
          </w:tcPr>
          <w:p w14:paraId="75FEA2E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71" w:type="pct"/>
            <w:gridSpan w:val="3"/>
            <w:vAlign w:val="center"/>
          </w:tcPr>
          <w:p w14:paraId="44BBF585" w14:textId="4B8520A9"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This measure aims to improve and upgrade the existing quality of monitoring by monitoring all types of land. The measure includes following activities:</w:t>
            </w:r>
          </w:p>
          <w:p w14:paraId="79C6D058" w14:textId="1840D788" w:rsidR="0059116C" w:rsidRPr="007C4D65" w:rsidRDefault="0059116C">
            <w:pPr>
              <w:numPr>
                <w:ilvl w:val="0"/>
                <w:numId w:val="77"/>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Development, harmonization and adoption of measuring methods and indicators for sustainable management and protection of land </w:t>
            </w:r>
            <w:proofErr w:type="gramStart"/>
            <w:r w:rsidRPr="007C4D65">
              <w:rPr>
                <w:rFonts w:asciiTheme="minorHAnsi" w:hAnsiTheme="minorHAnsi" w:cstheme="minorHAnsi"/>
                <w:sz w:val="18"/>
                <w:szCs w:val="18"/>
              </w:rPr>
              <w:t>resources</w:t>
            </w:r>
            <w:r w:rsidR="00A970D9" w:rsidRPr="007C4D65">
              <w:rPr>
                <w:rFonts w:asciiTheme="minorHAnsi" w:eastAsiaTheme="minorHAnsi" w:hAnsiTheme="minorHAnsi" w:cstheme="minorHAnsi"/>
                <w:sz w:val="18"/>
                <w:szCs w:val="18"/>
              </w:rPr>
              <w:t>;</w:t>
            </w:r>
            <w:proofErr w:type="gramEnd"/>
          </w:p>
          <w:p w14:paraId="5B33C8C9" w14:textId="0A992CAA" w:rsidR="0059116C" w:rsidRPr="007C4D65" w:rsidRDefault="0059116C">
            <w:pPr>
              <w:numPr>
                <w:ilvl w:val="0"/>
                <w:numId w:val="77"/>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Adoption of a land monitoring </w:t>
            </w:r>
            <w:proofErr w:type="gramStart"/>
            <w:r w:rsidRPr="007C4D65">
              <w:rPr>
                <w:rFonts w:asciiTheme="minorHAnsi" w:hAnsiTheme="minorHAnsi" w:cstheme="minorHAnsi"/>
                <w:sz w:val="18"/>
                <w:szCs w:val="18"/>
              </w:rPr>
              <w:t>plan</w:t>
            </w:r>
            <w:r w:rsidR="00A970D9" w:rsidRPr="007C4D65">
              <w:rPr>
                <w:rFonts w:asciiTheme="minorHAnsi" w:hAnsiTheme="minorHAnsi" w:cstheme="minorHAnsi"/>
                <w:sz w:val="18"/>
                <w:szCs w:val="18"/>
              </w:rPr>
              <w:t>;</w:t>
            </w:r>
            <w:proofErr w:type="gramEnd"/>
          </w:p>
          <w:p w14:paraId="6CAABAEE" w14:textId="69E42756" w:rsidR="0059116C" w:rsidRPr="007C4D65" w:rsidRDefault="0059116C">
            <w:pPr>
              <w:numPr>
                <w:ilvl w:val="0"/>
                <w:numId w:val="77"/>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Establishment of a network of monitoring sites and performance of monitoring</w:t>
            </w:r>
            <w:r w:rsidR="00A970D9" w:rsidRPr="007C4D65">
              <w:rPr>
                <w:rFonts w:asciiTheme="minorHAnsi" w:hAnsiTheme="minorHAnsi" w:cstheme="minorHAnsi"/>
                <w:sz w:val="18"/>
                <w:szCs w:val="18"/>
              </w:rPr>
              <w:t>.</w:t>
            </w:r>
          </w:p>
          <w:p w14:paraId="6CD23C96" w14:textId="5E3F3605"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Collected data are integrated into the Land Information System</w:t>
            </w:r>
            <w:r w:rsidR="00A970D9" w:rsidRPr="007C4D65">
              <w:rPr>
                <w:rFonts w:asciiTheme="minorHAnsi" w:hAnsiTheme="minorHAnsi" w:cstheme="minorHAnsi"/>
                <w:sz w:val="18"/>
                <w:szCs w:val="18"/>
              </w:rPr>
              <w:t>.</w:t>
            </w:r>
          </w:p>
        </w:tc>
      </w:tr>
      <w:tr w:rsidR="0059116C" w:rsidRPr="007C4D65" w14:paraId="56DE6E6A" w14:textId="77777777" w:rsidTr="00B6017F">
        <w:trPr>
          <w:trHeight w:val="567"/>
          <w:jc w:val="center"/>
        </w:trPr>
        <w:tc>
          <w:tcPr>
            <w:tcW w:w="1429" w:type="pct"/>
            <w:shd w:val="clear" w:color="auto" w:fill="009D73"/>
            <w:vAlign w:val="center"/>
          </w:tcPr>
          <w:p w14:paraId="24450647"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Strategic projects</w:t>
            </w:r>
          </w:p>
        </w:tc>
        <w:tc>
          <w:tcPr>
            <w:tcW w:w="3571" w:type="pct"/>
            <w:gridSpan w:val="3"/>
            <w:vAlign w:val="center"/>
          </w:tcPr>
          <w:p w14:paraId="070E9E60"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302C832B" w14:textId="77777777" w:rsidTr="00B6017F">
        <w:trPr>
          <w:trHeight w:val="567"/>
          <w:jc w:val="center"/>
        </w:trPr>
        <w:tc>
          <w:tcPr>
            <w:tcW w:w="1429" w:type="pct"/>
            <w:vMerge w:val="restart"/>
            <w:shd w:val="clear" w:color="auto" w:fill="009D73"/>
            <w:vAlign w:val="center"/>
          </w:tcPr>
          <w:p w14:paraId="2E3EB26C"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Indicators for monitoring of results of measures</w:t>
            </w:r>
          </w:p>
        </w:tc>
        <w:tc>
          <w:tcPr>
            <w:tcW w:w="1038" w:type="pct"/>
            <w:shd w:val="clear" w:color="auto" w:fill="009D73"/>
            <w:vAlign w:val="center"/>
          </w:tcPr>
          <w:p w14:paraId="364FB1E0"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2A67B3A5" w14:textId="253A56A0"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shd w:val="clear" w:color="auto" w:fill="009D73"/>
            <w:vAlign w:val="center"/>
          </w:tcPr>
          <w:p w14:paraId="67638F8A"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71868FB9"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shd w:val="clear" w:color="auto" w:fill="009D73"/>
            <w:vAlign w:val="center"/>
          </w:tcPr>
          <w:p w14:paraId="5244B04E"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07C77971" w14:textId="77777777" w:rsidTr="00B6017F">
        <w:trPr>
          <w:trHeight w:val="567"/>
          <w:jc w:val="center"/>
        </w:trPr>
        <w:tc>
          <w:tcPr>
            <w:tcW w:w="1429" w:type="pct"/>
            <w:vMerge/>
            <w:shd w:val="clear" w:color="auto" w:fill="009D73"/>
            <w:vAlign w:val="center"/>
          </w:tcPr>
          <w:p w14:paraId="36B0D28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vAlign w:val="center"/>
          </w:tcPr>
          <w:p w14:paraId="38885616"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methods, measures and indicators for sustainable management and protection of land resources</w:t>
            </w:r>
          </w:p>
        </w:tc>
        <w:tc>
          <w:tcPr>
            <w:tcW w:w="1266" w:type="pct"/>
            <w:shd w:val="clear" w:color="auto" w:fill="FFFFFF"/>
            <w:vAlign w:val="center"/>
          </w:tcPr>
          <w:p w14:paraId="615B5ECF"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In Federation of BiH, there is no framework in place for monitoring land management sustainability</w:t>
            </w:r>
          </w:p>
        </w:tc>
        <w:tc>
          <w:tcPr>
            <w:tcW w:w="1267" w:type="pct"/>
            <w:shd w:val="clear" w:color="auto" w:fill="FFFFFF"/>
            <w:vAlign w:val="center"/>
          </w:tcPr>
          <w:p w14:paraId="09511CB8"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2025, adopted methods, measures and indicators for sustainable management and protection of land resources</w:t>
            </w:r>
          </w:p>
        </w:tc>
      </w:tr>
      <w:tr w:rsidR="0059116C" w:rsidRPr="007C4D65" w14:paraId="6CA3EE08" w14:textId="77777777" w:rsidTr="00B6017F">
        <w:trPr>
          <w:trHeight w:val="567"/>
          <w:jc w:val="center"/>
        </w:trPr>
        <w:tc>
          <w:tcPr>
            <w:tcW w:w="1429" w:type="pct"/>
            <w:vMerge/>
            <w:shd w:val="clear" w:color="auto" w:fill="009D73"/>
            <w:vAlign w:val="center"/>
          </w:tcPr>
          <w:p w14:paraId="0A8A992E"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022324E0"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a land monitoring plan</w:t>
            </w:r>
          </w:p>
        </w:tc>
        <w:tc>
          <w:tcPr>
            <w:tcW w:w="1266" w:type="pct"/>
            <w:shd w:val="clear" w:color="auto" w:fill="FFFFFF"/>
            <w:vAlign w:val="center"/>
          </w:tcPr>
          <w:p w14:paraId="194A4A78"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In Federation of BiH, there is no land monitoring plan</w:t>
            </w:r>
          </w:p>
        </w:tc>
        <w:tc>
          <w:tcPr>
            <w:tcW w:w="1267" w:type="pct"/>
            <w:shd w:val="clear" w:color="auto" w:fill="FFFFFF"/>
            <w:vAlign w:val="center"/>
          </w:tcPr>
          <w:p w14:paraId="52178DB3"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2026, adopted land monitoring plan</w:t>
            </w:r>
          </w:p>
        </w:tc>
      </w:tr>
      <w:tr w:rsidR="0059116C" w:rsidRPr="007C4D65" w14:paraId="3FA75846" w14:textId="77777777" w:rsidTr="00B6017F">
        <w:trPr>
          <w:trHeight w:val="567"/>
          <w:jc w:val="center"/>
        </w:trPr>
        <w:tc>
          <w:tcPr>
            <w:tcW w:w="1429" w:type="pct"/>
            <w:vMerge/>
            <w:shd w:val="clear" w:color="auto" w:fill="009D73"/>
            <w:vAlign w:val="center"/>
          </w:tcPr>
          <w:p w14:paraId="67EF993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shd w:val="clear" w:color="auto" w:fill="FFFFFF"/>
            <w:vAlign w:val="center"/>
          </w:tcPr>
          <w:p w14:paraId="6DD60455"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a network of monitoring sites and performance of monitoring</w:t>
            </w:r>
          </w:p>
        </w:tc>
        <w:tc>
          <w:tcPr>
            <w:tcW w:w="1266" w:type="pct"/>
            <w:shd w:val="clear" w:color="auto" w:fill="FFFFFF"/>
            <w:vAlign w:val="center"/>
          </w:tcPr>
          <w:p w14:paraId="46712EE9"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Federation of BiH has partially established a standardized network of monitoring </w:t>
            </w:r>
            <w:r w:rsidRPr="007C4D65">
              <w:rPr>
                <w:rFonts w:asciiTheme="minorHAnsi" w:hAnsiTheme="minorHAnsi" w:cstheme="minorHAnsi"/>
                <w:sz w:val="18"/>
                <w:szCs w:val="18"/>
              </w:rPr>
              <w:lastRenderedPageBreak/>
              <w:t>sites, and the monitoring is done occasionally</w:t>
            </w:r>
          </w:p>
        </w:tc>
        <w:tc>
          <w:tcPr>
            <w:tcW w:w="1267" w:type="pct"/>
            <w:shd w:val="clear" w:color="auto" w:fill="FFFFFF"/>
            <w:vAlign w:val="center"/>
          </w:tcPr>
          <w:p w14:paraId="7F216833"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lastRenderedPageBreak/>
              <w:t xml:space="preserve">By 2027, established a network of monitoring sites; monitoring implemented </w:t>
            </w:r>
            <w:r w:rsidRPr="007C4D65">
              <w:rPr>
                <w:rFonts w:asciiTheme="minorHAnsi" w:hAnsiTheme="minorHAnsi" w:cstheme="minorHAnsi"/>
                <w:sz w:val="18"/>
                <w:szCs w:val="18"/>
              </w:rPr>
              <w:lastRenderedPageBreak/>
              <w:t>in accordance with previously adopted plan</w:t>
            </w:r>
          </w:p>
        </w:tc>
      </w:tr>
      <w:tr w:rsidR="0059116C" w:rsidRPr="007C4D65" w14:paraId="1BB0BFAE" w14:textId="77777777" w:rsidTr="00B6017F">
        <w:trPr>
          <w:trHeight w:val="567"/>
          <w:jc w:val="center"/>
        </w:trPr>
        <w:tc>
          <w:tcPr>
            <w:tcW w:w="1429" w:type="pct"/>
            <w:shd w:val="clear" w:color="auto" w:fill="009D73"/>
            <w:vAlign w:val="center"/>
          </w:tcPr>
          <w:p w14:paraId="11F2571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Developmental impact and contribution of the measure to achieving the priority</w:t>
            </w:r>
          </w:p>
        </w:tc>
        <w:tc>
          <w:tcPr>
            <w:tcW w:w="3571" w:type="pct"/>
            <w:gridSpan w:val="3"/>
            <w:shd w:val="clear" w:color="auto" w:fill="FFFFFF" w:themeFill="background1"/>
            <w:vAlign w:val="center"/>
          </w:tcPr>
          <w:p w14:paraId="1902CE4B" w14:textId="61B4C4D9"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Improved management, more rational use and protection of land</w:t>
            </w:r>
          </w:p>
        </w:tc>
      </w:tr>
      <w:tr w:rsidR="0059116C" w:rsidRPr="007C4D65" w14:paraId="782BE632" w14:textId="77777777" w:rsidTr="00B6017F">
        <w:trPr>
          <w:trHeight w:val="567"/>
          <w:jc w:val="center"/>
        </w:trPr>
        <w:tc>
          <w:tcPr>
            <w:tcW w:w="1429" w:type="pct"/>
            <w:shd w:val="clear" w:color="auto" w:fill="009D73"/>
            <w:vAlign w:val="center"/>
          </w:tcPr>
          <w:p w14:paraId="66B6450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71" w:type="pct"/>
            <w:gridSpan w:val="3"/>
            <w:shd w:val="clear" w:color="auto" w:fill="FFFFFF" w:themeFill="background1"/>
            <w:vAlign w:val="center"/>
          </w:tcPr>
          <w:p w14:paraId="79834767" w14:textId="6EF0A5B3" w:rsidR="0059116C" w:rsidRPr="007C4D65" w:rsidRDefault="0059116C"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1,291,471</w:t>
            </w:r>
          </w:p>
          <w:p w14:paraId="3C573227"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sz w:val="18"/>
                <w:szCs w:val="18"/>
              </w:rPr>
              <w:t>Source: 10% from the government budget, 90% from EU and other international donors</w:t>
            </w:r>
          </w:p>
        </w:tc>
      </w:tr>
      <w:tr w:rsidR="0059116C" w:rsidRPr="007C4D65" w14:paraId="212072F6" w14:textId="77777777" w:rsidTr="00B6017F">
        <w:trPr>
          <w:trHeight w:val="567"/>
          <w:jc w:val="center"/>
        </w:trPr>
        <w:tc>
          <w:tcPr>
            <w:tcW w:w="1429" w:type="pct"/>
            <w:shd w:val="clear" w:color="auto" w:fill="009D73"/>
            <w:vAlign w:val="center"/>
          </w:tcPr>
          <w:p w14:paraId="472AF8CF"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71" w:type="pct"/>
            <w:gridSpan w:val="3"/>
            <w:shd w:val="clear" w:color="auto" w:fill="FFFFFF"/>
            <w:vAlign w:val="center"/>
          </w:tcPr>
          <w:p w14:paraId="569805B9"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2025‒2027</w:t>
            </w:r>
          </w:p>
        </w:tc>
      </w:tr>
      <w:tr w:rsidR="0059116C" w:rsidRPr="007C4D65" w14:paraId="602EE82F" w14:textId="77777777" w:rsidTr="00B6017F">
        <w:trPr>
          <w:trHeight w:val="567"/>
          <w:jc w:val="center"/>
        </w:trPr>
        <w:tc>
          <w:tcPr>
            <w:tcW w:w="1429" w:type="pct"/>
            <w:shd w:val="clear" w:color="auto" w:fill="009D73"/>
            <w:vAlign w:val="center"/>
          </w:tcPr>
          <w:p w14:paraId="74E6F84B"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Institution responsible for coordination and implementation of the measure</w:t>
            </w:r>
          </w:p>
        </w:tc>
        <w:tc>
          <w:tcPr>
            <w:tcW w:w="3571" w:type="pct"/>
            <w:gridSpan w:val="3"/>
            <w:shd w:val="clear" w:color="auto" w:fill="FFFFFF"/>
            <w:vAlign w:val="center"/>
          </w:tcPr>
          <w:p w14:paraId="5BD04689"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Environment and Tourism</w:t>
            </w:r>
          </w:p>
        </w:tc>
      </w:tr>
      <w:tr w:rsidR="0059116C" w:rsidRPr="007C4D65" w14:paraId="76FEEA02" w14:textId="77777777" w:rsidTr="00B6017F">
        <w:trPr>
          <w:trHeight w:val="567"/>
          <w:jc w:val="center"/>
        </w:trPr>
        <w:tc>
          <w:tcPr>
            <w:tcW w:w="1429" w:type="pct"/>
            <w:shd w:val="clear" w:color="auto" w:fill="009D73"/>
            <w:vAlign w:val="center"/>
          </w:tcPr>
          <w:p w14:paraId="028E3AEE"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Implementing institution</w:t>
            </w:r>
          </w:p>
        </w:tc>
        <w:tc>
          <w:tcPr>
            <w:tcW w:w="3571" w:type="pct"/>
            <w:gridSpan w:val="3"/>
            <w:shd w:val="clear" w:color="auto" w:fill="FFFFFF"/>
            <w:vAlign w:val="center"/>
          </w:tcPr>
          <w:p w14:paraId="2577667F"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Federation of BiH Institute for </w:t>
            </w:r>
            <w:proofErr w:type="spellStart"/>
            <w:r w:rsidRPr="007C4D65">
              <w:rPr>
                <w:rFonts w:asciiTheme="minorHAnsi" w:hAnsiTheme="minorHAnsi" w:cstheme="minorHAnsi"/>
                <w:sz w:val="18"/>
                <w:szCs w:val="18"/>
              </w:rPr>
              <w:t>Agropedology</w:t>
            </w:r>
            <w:proofErr w:type="spellEnd"/>
          </w:p>
          <w:p w14:paraId="70A3EC27"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Federation of BiH Ministry of Spatial Planning and Construction</w:t>
            </w:r>
          </w:p>
          <w:p w14:paraId="5BA79917" w14:textId="2111C14F"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sz w:val="18"/>
                <w:szCs w:val="18"/>
              </w:rPr>
              <w:t>Federation of BiH Ministry of Energy, Mining and Industry</w:t>
            </w:r>
          </w:p>
          <w:p w14:paraId="47A8EA30"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Agriculture, Forestry and Water Management</w:t>
            </w:r>
          </w:p>
          <w:p w14:paraId="362CFD51"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color w:val="000000"/>
                <w:sz w:val="18"/>
                <w:szCs w:val="18"/>
              </w:rPr>
              <w:t>Competent cantonal ministries</w:t>
            </w:r>
          </w:p>
        </w:tc>
      </w:tr>
      <w:tr w:rsidR="0059116C" w:rsidRPr="007C4D65" w14:paraId="6C008510" w14:textId="77777777" w:rsidTr="00B6017F">
        <w:trPr>
          <w:trHeight w:val="567"/>
          <w:jc w:val="center"/>
        </w:trPr>
        <w:tc>
          <w:tcPr>
            <w:tcW w:w="1429" w:type="pct"/>
            <w:shd w:val="clear" w:color="auto" w:fill="009D73"/>
            <w:vAlign w:val="center"/>
          </w:tcPr>
          <w:p w14:paraId="2C6449E9" w14:textId="447C5FE1"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Target groups</w:t>
            </w:r>
          </w:p>
        </w:tc>
        <w:tc>
          <w:tcPr>
            <w:tcW w:w="3571" w:type="pct"/>
            <w:gridSpan w:val="3"/>
            <w:shd w:val="clear" w:color="auto" w:fill="FFFFFF"/>
            <w:vAlign w:val="center"/>
          </w:tcPr>
          <w:p w14:paraId="1E743ACD"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proofErr w:type="gramStart"/>
            <w:r w:rsidRPr="007C4D65">
              <w:rPr>
                <w:rFonts w:asciiTheme="minorHAnsi" w:hAnsiTheme="minorHAnsi" w:cstheme="minorHAnsi"/>
                <w:sz w:val="18"/>
                <w:szCs w:val="18"/>
              </w:rPr>
              <w:t>Land owners</w:t>
            </w:r>
            <w:proofErr w:type="gramEnd"/>
          </w:p>
        </w:tc>
      </w:tr>
    </w:tbl>
    <w:p w14:paraId="6AFDB8A9" w14:textId="77777777" w:rsidR="0059116C" w:rsidRPr="007C4D65" w:rsidRDefault="0059116C" w:rsidP="0059116C">
      <w:pPr>
        <w:spacing w:line="276" w:lineRule="auto"/>
        <w:rPr>
          <w:rFonts w:asciiTheme="minorHAnsi" w:eastAsiaTheme="minorHAnsi" w:hAnsiTheme="minorHAnsi" w:cstheme="minorHAnsi"/>
          <w:sz w:val="18"/>
          <w:szCs w:val="18"/>
          <w:lang w:val="hr-HR" w:eastAsia="en-US"/>
        </w:rPr>
      </w:pPr>
    </w:p>
    <w:tbl>
      <w:tblPr>
        <w:tblW w:w="48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828"/>
        <w:gridCol w:w="2781"/>
        <w:gridCol w:w="3392"/>
        <w:gridCol w:w="3395"/>
      </w:tblGrid>
      <w:tr w:rsidR="0059116C" w:rsidRPr="007C4D65" w14:paraId="63411CE6"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2A2235B" w14:textId="29A9CCC8"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1332C8E" w14:textId="3FF3CCD7"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6B30C54F"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3FE912D"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8143B38" w14:textId="77777777"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6.4. Establish integrated and sustainable management of land resources</w:t>
            </w:r>
          </w:p>
        </w:tc>
      </w:tr>
      <w:tr w:rsidR="0059116C" w:rsidRPr="007C4D65" w14:paraId="0D2736D0"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90E4C1A" w14:textId="381D420E"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448A6A92" w14:textId="77777777"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6.4.3. Rehabilitation of degraded areas</w:t>
            </w:r>
          </w:p>
        </w:tc>
      </w:tr>
      <w:tr w:rsidR="0059116C" w:rsidRPr="007C4D65" w14:paraId="2008B806"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46E7FE3"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71" w:type="pct"/>
            <w:gridSpan w:val="3"/>
            <w:tcBorders>
              <w:top w:val="single" w:sz="4" w:space="0" w:color="A6A6A6"/>
              <w:left w:val="single" w:sz="4" w:space="0" w:color="A6A6A6"/>
              <w:bottom w:val="single" w:sz="4" w:space="0" w:color="A6A6A6"/>
              <w:right w:val="single" w:sz="4" w:space="0" w:color="A6A6A6"/>
            </w:tcBorders>
            <w:vAlign w:val="center"/>
          </w:tcPr>
          <w:p w14:paraId="0E2CF565" w14:textId="4131C226"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This measure aims to reduce the area of degraded land. The measure includes following activities:</w:t>
            </w:r>
          </w:p>
          <w:p w14:paraId="6DCED391" w14:textId="2CF20C77" w:rsidR="0059116C" w:rsidRPr="007C4D65" w:rsidRDefault="0059116C">
            <w:pPr>
              <w:numPr>
                <w:ilvl w:val="0"/>
                <w:numId w:val="78"/>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Establishment of a cadastre of degraded </w:t>
            </w:r>
            <w:proofErr w:type="gramStart"/>
            <w:r w:rsidRPr="007C4D65">
              <w:rPr>
                <w:rFonts w:asciiTheme="minorHAnsi" w:hAnsiTheme="minorHAnsi" w:cstheme="minorHAnsi"/>
                <w:sz w:val="18"/>
                <w:szCs w:val="18"/>
              </w:rPr>
              <w:t>land</w:t>
            </w:r>
            <w:r w:rsidR="00EA23CE" w:rsidRPr="007C4D65">
              <w:rPr>
                <w:rFonts w:asciiTheme="minorHAnsi" w:hAnsiTheme="minorHAnsi" w:cstheme="minorHAnsi"/>
                <w:sz w:val="18"/>
                <w:szCs w:val="18"/>
              </w:rPr>
              <w:t>;</w:t>
            </w:r>
            <w:proofErr w:type="gramEnd"/>
          </w:p>
          <w:p w14:paraId="32976480" w14:textId="70287079" w:rsidR="0059116C" w:rsidRPr="007C4D65" w:rsidRDefault="0059116C">
            <w:pPr>
              <w:numPr>
                <w:ilvl w:val="0"/>
                <w:numId w:val="78"/>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Development of an action plan for rehabilitation of degraded areas that includes procedures and methods for rehabilitating the degraded areas, criteria for prioritization of the sites to be rehabilitated on the basis of environmental and social criteria (number of endangered people, women and children, the poor...</w:t>
            </w:r>
            <w:proofErr w:type="gramStart"/>
            <w:r w:rsidRPr="007C4D65">
              <w:rPr>
                <w:rFonts w:asciiTheme="minorHAnsi" w:hAnsiTheme="minorHAnsi" w:cstheme="minorHAnsi"/>
                <w:sz w:val="18"/>
                <w:szCs w:val="18"/>
              </w:rPr>
              <w:t>)</w:t>
            </w:r>
            <w:r w:rsidR="00EA23CE" w:rsidRPr="007C4D65">
              <w:rPr>
                <w:rFonts w:asciiTheme="minorHAnsi" w:eastAsiaTheme="minorHAnsi" w:hAnsiTheme="minorHAnsi" w:cstheme="minorHAnsi"/>
                <w:sz w:val="18"/>
                <w:szCs w:val="18"/>
              </w:rPr>
              <w:t>;</w:t>
            </w:r>
            <w:proofErr w:type="gramEnd"/>
          </w:p>
          <w:p w14:paraId="74F76208" w14:textId="5A6FC246" w:rsidR="0059116C" w:rsidRPr="007C4D65" w:rsidRDefault="0059116C">
            <w:pPr>
              <w:numPr>
                <w:ilvl w:val="0"/>
                <w:numId w:val="79"/>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Rehabilitating degraded land area (approximately 3500 ha) focusing on the following areas: </w:t>
            </w:r>
            <w:proofErr w:type="spellStart"/>
            <w:r w:rsidRPr="007C4D65">
              <w:rPr>
                <w:rFonts w:asciiTheme="minorHAnsi" w:hAnsiTheme="minorHAnsi" w:cstheme="minorHAnsi"/>
                <w:sz w:val="18"/>
                <w:szCs w:val="18"/>
              </w:rPr>
              <w:t>Banovi</w:t>
            </w:r>
            <w:r w:rsidR="004B4EEC" w:rsidRPr="007C4D65">
              <w:rPr>
                <w:rFonts w:asciiTheme="minorHAnsi" w:hAnsiTheme="minorHAnsi" w:cstheme="minorHAnsi"/>
                <w:sz w:val="18"/>
                <w:szCs w:val="18"/>
              </w:rPr>
              <w:t>c</w:t>
            </w:r>
            <w:r w:rsidRPr="007C4D65">
              <w:rPr>
                <w:rFonts w:asciiTheme="minorHAnsi" w:hAnsiTheme="minorHAnsi" w:cstheme="minorHAnsi"/>
                <w:sz w:val="18"/>
                <w:szCs w:val="18"/>
              </w:rPr>
              <w:t>i</w:t>
            </w:r>
            <w:proofErr w:type="spellEnd"/>
            <w:r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Lukavac</w:t>
            </w:r>
            <w:proofErr w:type="spellEnd"/>
            <w:r w:rsidRPr="007C4D65">
              <w:rPr>
                <w:rFonts w:asciiTheme="minorHAnsi" w:hAnsiTheme="minorHAnsi" w:cstheme="minorHAnsi"/>
                <w:sz w:val="18"/>
                <w:szCs w:val="18"/>
              </w:rPr>
              <w:t xml:space="preserve">, Tuzla, </w:t>
            </w:r>
            <w:proofErr w:type="spellStart"/>
            <w:r w:rsidR="00830279" w:rsidRPr="007C4D65">
              <w:rPr>
                <w:rFonts w:asciiTheme="minorHAnsi" w:hAnsiTheme="minorHAnsi" w:cstheme="minorHAnsi"/>
                <w:sz w:val="18"/>
                <w:szCs w:val="18"/>
              </w:rPr>
              <w:t>Z</w:t>
            </w:r>
            <w:r w:rsidRPr="007C4D65">
              <w:rPr>
                <w:rFonts w:asciiTheme="minorHAnsi" w:hAnsiTheme="minorHAnsi" w:cstheme="minorHAnsi"/>
                <w:sz w:val="18"/>
                <w:szCs w:val="18"/>
              </w:rPr>
              <w:t>ivinice</w:t>
            </w:r>
            <w:proofErr w:type="spellEnd"/>
            <w:r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Kalesija</w:t>
            </w:r>
            <w:proofErr w:type="spellEnd"/>
            <w:r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Srebrenik</w:t>
            </w:r>
            <w:proofErr w:type="spellEnd"/>
            <w:r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Zenica</w:t>
            </w:r>
            <w:proofErr w:type="spellEnd"/>
            <w:r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Breza</w:t>
            </w:r>
            <w:proofErr w:type="spellEnd"/>
            <w:r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Kakanj</w:t>
            </w:r>
            <w:proofErr w:type="spellEnd"/>
            <w:r w:rsidRPr="007C4D65">
              <w:rPr>
                <w:rFonts w:asciiTheme="minorHAnsi" w:hAnsiTheme="minorHAnsi" w:cstheme="minorHAnsi"/>
                <w:sz w:val="18"/>
                <w:szCs w:val="18"/>
              </w:rPr>
              <w:t xml:space="preserve">, Novi </w:t>
            </w:r>
            <w:proofErr w:type="spellStart"/>
            <w:r w:rsidRPr="007C4D65">
              <w:rPr>
                <w:rFonts w:asciiTheme="minorHAnsi" w:hAnsiTheme="minorHAnsi" w:cstheme="minorHAnsi"/>
                <w:sz w:val="18"/>
                <w:szCs w:val="18"/>
              </w:rPr>
              <w:t>Travnik</w:t>
            </w:r>
            <w:proofErr w:type="spellEnd"/>
            <w:r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Donji</w:t>
            </w:r>
            <w:proofErr w:type="spellEnd"/>
            <w:r w:rsidRPr="007C4D65">
              <w:rPr>
                <w:rFonts w:asciiTheme="minorHAnsi" w:hAnsiTheme="minorHAnsi" w:cstheme="minorHAnsi"/>
                <w:sz w:val="18"/>
                <w:szCs w:val="18"/>
              </w:rPr>
              <w:t xml:space="preserve"> </w:t>
            </w:r>
            <w:proofErr w:type="spellStart"/>
            <w:r w:rsidRPr="007C4D65">
              <w:rPr>
                <w:rFonts w:asciiTheme="minorHAnsi" w:hAnsiTheme="minorHAnsi" w:cstheme="minorHAnsi"/>
                <w:sz w:val="18"/>
                <w:szCs w:val="18"/>
              </w:rPr>
              <w:t>Vakuf</w:t>
            </w:r>
            <w:proofErr w:type="spellEnd"/>
            <w:r w:rsidRPr="007C4D65">
              <w:rPr>
                <w:rFonts w:asciiTheme="minorHAnsi" w:hAnsiTheme="minorHAnsi" w:cstheme="minorHAnsi"/>
                <w:sz w:val="18"/>
                <w:szCs w:val="18"/>
              </w:rPr>
              <w:t xml:space="preserve">, </w:t>
            </w:r>
            <w:proofErr w:type="gramStart"/>
            <w:r w:rsidRPr="007C4D65">
              <w:rPr>
                <w:rFonts w:asciiTheme="minorHAnsi" w:hAnsiTheme="minorHAnsi" w:cstheme="minorHAnsi"/>
                <w:sz w:val="18"/>
                <w:szCs w:val="18"/>
              </w:rPr>
              <w:t>etc.</w:t>
            </w:r>
            <w:r w:rsidR="00EA23CE" w:rsidRPr="007C4D65">
              <w:rPr>
                <w:rFonts w:asciiTheme="minorHAnsi" w:hAnsiTheme="minorHAnsi" w:cstheme="minorHAnsi"/>
                <w:sz w:val="18"/>
                <w:szCs w:val="18"/>
              </w:rPr>
              <w:t>;</w:t>
            </w:r>
            <w:proofErr w:type="gramEnd"/>
          </w:p>
          <w:p w14:paraId="5178BD73" w14:textId="77777777" w:rsidR="0059116C" w:rsidRPr="007C4D65" w:rsidRDefault="0059116C">
            <w:pPr>
              <w:numPr>
                <w:ilvl w:val="0"/>
                <w:numId w:val="79"/>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lastRenderedPageBreak/>
              <w:t xml:space="preserve">Rehabilitate land in especially sensitive and deserted areas, focusing on the </w:t>
            </w:r>
            <w:proofErr w:type="spellStart"/>
            <w:r w:rsidRPr="007C4D65">
              <w:rPr>
                <w:rFonts w:asciiTheme="minorHAnsi" w:hAnsiTheme="minorHAnsi" w:cstheme="minorHAnsi"/>
                <w:sz w:val="18"/>
                <w:szCs w:val="18"/>
              </w:rPr>
              <w:t>Dinara</w:t>
            </w:r>
            <w:proofErr w:type="spellEnd"/>
            <w:r w:rsidRPr="007C4D65">
              <w:rPr>
                <w:rFonts w:asciiTheme="minorHAnsi" w:hAnsiTheme="minorHAnsi" w:cstheme="minorHAnsi"/>
                <w:sz w:val="18"/>
                <w:szCs w:val="18"/>
              </w:rPr>
              <w:t xml:space="preserve"> karst and high mountains in: Hercegovina-Neretva Canton, West Herzegovina Canton, high mountains in Central Bosnia.</w:t>
            </w:r>
          </w:p>
        </w:tc>
      </w:tr>
      <w:tr w:rsidR="0059116C" w:rsidRPr="007C4D65" w14:paraId="2D42D2D8"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988907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Strategic projects</w:t>
            </w:r>
          </w:p>
        </w:tc>
        <w:tc>
          <w:tcPr>
            <w:tcW w:w="3571" w:type="pct"/>
            <w:gridSpan w:val="3"/>
            <w:tcBorders>
              <w:top w:val="single" w:sz="4" w:space="0" w:color="A6A6A6"/>
              <w:left w:val="single" w:sz="4" w:space="0" w:color="A6A6A6"/>
              <w:bottom w:val="single" w:sz="4" w:space="0" w:color="A6A6A6"/>
              <w:right w:val="single" w:sz="4" w:space="0" w:color="A6A6A6"/>
            </w:tcBorders>
            <w:vAlign w:val="center"/>
          </w:tcPr>
          <w:p w14:paraId="571A768D"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009769B7" w14:textId="77777777" w:rsidTr="00B6017F">
        <w:trPr>
          <w:trHeight w:val="567"/>
          <w:jc w:val="center"/>
        </w:trPr>
        <w:tc>
          <w:tcPr>
            <w:tcW w:w="142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779F7737"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Indicators for monitoring of results of measures</w:t>
            </w:r>
          </w:p>
        </w:tc>
        <w:tc>
          <w:tcPr>
            <w:tcW w:w="103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BAD7583"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0881F83D" w14:textId="60FFD2A4"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6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D1CE0DF"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57EBCB5D"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6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BE58E79"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37C740B1"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BBF35F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tcBorders>
              <w:top w:val="single" w:sz="4" w:space="0" w:color="A6A6A6"/>
              <w:left w:val="single" w:sz="4" w:space="0" w:color="A6A6A6"/>
              <w:bottom w:val="single" w:sz="4" w:space="0" w:color="A6A6A6"/>
              <w:right w:val="single" w:sz="4" w:space="0" w:color="A6A6A6"/>
            </w:tcBorders>
            <w:vAlign w:val="center"/>
          </w:tcPr>
          <w:p w14:paraId="0186568C"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a cadastre of degraded land</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9B2E392"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Federation of BiH has not established a cadastre of degraded land</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ED1200B" w14:textId="0C7CDC10"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2024, established cadastre of degraded land areas and integrated into the Land Information System</w:t>
            </w:r>
          </w:p>
        </w:tc>
      </w:tr>
      <w:tr w:rsidR="0059116C" w:rsidRPr="007C4D65" w14:paraId="18934FEF"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72099DBD"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5F55AE3"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a programme for rehabilitation of degraded areas</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0ACA0C9" w14:textId="2D13031E"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Federation of BiH does not have a programme for rehabilitation of degraded areas, which includes procedures and methods for rehabilitation of degraded areas, criteria for prioritizing selection of the sites to be rehabilitated </w:t>
            </w:r>
            <w:proofErr w:type="gramStart"/>
            <w:r w:rsidRPr="007C4D65">
              <w:rPr>
                <w:rFonts w:asciiTheme="minorHAnsi" w:hAnsiTheme="minorHAnsi" w:cstheme="minorHAnsi"/>
                <w:sz w:val="18"/>
                <w:szCs w:val="18"/>
              </w:rPr>
              <w:t>on the basis of</w:t>
            </w:r>
            <w:proofErr w:type="gramEnd"/>
            <w:r w:rsidRPr="007C4D65">
              <w:rPr>
                <w:rFonts w:asciiTheme="minorHAnsi" w:hAnsiTheme="minorHAnsi" w:cstheme="minorHAnsi"/>
                <w:sz w:val="18"/>
                <w:szCs w:val="18"/>
              </w:rPr>
              <w:t xml:space="preserve"> environmental and social considerations (number of endangered people, women and children, the poor...)</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9A135A1"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2026, adopted programme for rehabilitation of degraded areas</w:t>
            </w:r>
          </w:p>
        </w:tc>
      </w:tr>
      <w:tr w:rsidR="0059116C" w:rsidRPr="007C4D65" w14:paraId="2C567DED" w14:textId="77777777" w:rsidTr="00B6017F">
        <w:trPr>
          <w:trHeight w:val="274"/>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66E539F"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tcPr>
          <w:p w14:paraId="318AE5C3"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Area of degraded land (ha)</w:t>
            </w:r>
          </w:p>
        </w:tc>
        <w:tc>
          <w:tcPr>
            <w:tcW w:w="1266" w:type="pct"/>
            <w:tcBorders>
              <w:top w:val="single" w:sz="4" w:space="0" w:color="A6A6A6"/>
              <w:left w:val="single" w:sz="4" w:space="0" w:color="A6A6A6"/>
              <w:bottom w:val="single" w:sz="4" w:space="0" w:color="A6A6A6"/>
              <w:right w:val="single" w:sz="4" w:space="0" w:color="A6A6A6"/>
            </w:tcBorders>
            <w:shd w:val="clear" w:color="auto" w:fill="FFFFFF"/>
          </w:tcPr>
          <w:p w14:paraId="389D2C01"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Federation of BiH has not had any significant plans or programmes to rehabilitate the degraded land, except for the projects of re-cultivation in mining sector and TPP. For the purposes of this Strategy, the baseline value shall </w:t>
            </w:r>
            <w:proofErr w:type="gramStart"/>
            <w:r w:rsidRPr="007C4D65">
              <w:rPr>
                <w:rFonts w:asciiTheme="minorHAnsi" w:hAnsiTheme="minorHAnsi" w:cstheme="minorHAnsi"/>
                <w:sz w:val="18"/>
                <w:szCs w:val="18"/>
              </w:rPr>
              <w:t>be considered to be</w:t>
            </w:r>
            <w:proofErr w:type="gramEnd"/>
            <w:r w:rsidRPr="007C4D65">
              <w:rPr>
                <w:rFonts w:asciiTheme="minorHAnsi" w:hAnsiTheme="minorHAnsi" w:cstheme="minorHAnsi"/>
                <w:sz w:val="18"/>
                <w:szCs w:val="18"/>
              </w:rPr>
              <w:t xml:space="preserve"> 0 ha.</w:t>
            </w:r>
          </w:p>
        </w:tc>
        <w:tc>
          <w:tcPr>
            <w:tcW w:w="1267" w:type="pct"/>
            <w:tcBorders>
              <w:top w:val="single" w:sz="4" w:space="0" w:color="A6A6A6"/>
              <w:left w:val="single" w:sz="4" w:space="0" w:color="A6A6A6"/>
              <w:bottom w:val="single" w:sz="4" w:space="0" w:color="A6A6A6"/>
              <w:right w:val="single" w:sz="4" w:space="0" w:color="A6A6A6"/>
            </w:tcBorders>
            <w:shd w:val="clear" w:color="auto" w:fill="FFFFFF"/>
          </w:tcPr>
          <w:p w14:paraId="2A2D710B" w14:textId="4D6B5D4E" w:rsidR="0059116C" w:rsidRPr="007C4D65" w:rsidRDefault="0059116C" w:rsidP="00EA23CE">
            <w:pPr>
              <w:spacing w:before="40" w:after="40" w:line="276" w:lineRule="auto"/>
              <w:rPr>
                <w:rFonts w:asciiTheme="minorHAnsi" w:eastAsiaTheme="minorHAnsi" w:hAnsiTheme="minorHAnsi" w:cstheme="minorHAnsi"/>
                <w:sz w:val="18"/>
                <w:szCs w:val="18"/>
                <w:lang w:val="hr-HR" w:eastAsia="en-US" w:bidi="en-US"/>
              </w:rPr>
            </w:pPr>
            <w:r w:rsidRPr="007C4D65">
              <w:rPr>
                <w:rFonts w:asciiTheme="minorHAnsi" w:hAnsiTheme="minorHAnsi" w:cstheme="minorHAnsi"/>
                <w:sz w:val="18"/>
                <w:szCs w:val="18"/>
              </w:rPr>
              <w:t>Carried out rehabilitation of degraded land area (approximately 3500 ha)</w:t>
            </w:r>
          </w:p>
        </w:tc>
      </w:tr>
      <w:tr w:rsidR="0059116C" w:rsidRPr="007C4D65" w14:paraId="4213D87B" w14:textId="77777777" w:rsidTr="00B6017F">
        <w:trPr>
          <w:trHeight w:val="567"/>
          <w:jc w:val="center"/>
        </w:trPr>
        <w:tc>
          <w:tcPr>
            <w:tcW w:w="142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D29C4A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03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D2D51A5" w14:textId="2AE75726" w:rsidR="0059116C" w:rsidRPr="007C4D65" w:rsidRDefault="0059116C" w:rsidP="00EA23CE">
            <w:pPr>
              <w:spacing w:before="40" w:after="40" w:line="276" w:lineRule="auto"/>
              <w:rPr>
                <w:rFonts w:asciiTheme="minorHAnsi" w:eastAsiaTheme="minorHAnsi" w:hAnsiTheme="minorHAnsi" w:cstheme="minorHAnsi"/>
                <w:color w:val="000000"/>
                <w:sz w:val="18"/>
                <w:szCs w:val="18"/>
                <w:lang w:val="hr-HR" w:eastAsia="en-US"/>
              </w:rPr>
            </w:pPr>
            <w:r w:rsidRPr="007C4D65">
              <w:rPr>
                <w:rFonts w:asciiTheme="minorHAnsi" w:hAnsiTheme="minorHAnsi" w:cstheme="minorHAnsi"/>
                <w:sz w:val="18"/>
                <w:szCs w:val="18"/>
              </w:rPr>
              <w:t xml:space="preserve">Area of revitalized land </w:t>
            </w:r>
          </w:p>
        </w:tc>
        <w:tc>
          <w:tcPr>
            <w:tcW w:w="126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EA2101A"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Federation of BiH has not precisely determined the area of land suitable for rehabilitation </w:t>
            </w:r>
          </w:p>
        </w:tc>
        <w:tc>
          <w:tcPr>
            <w:tcW w:w="126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A509FEB"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By 2031, completed rehabilitation of land in especially sensitive and deserted areas, focusing on the </w:t>
            </w:r>
            <w:proofErr w:type="spellStart"/>
            <w:r w:rsidRPr="007C4D65">
              <w:rPr>
                <w:rFonts w:asciiTheme="minorHAnsi" w:hAnsiTheme="minorHAnsi" w:cstheme="minorHAnsi"/>
                <w:sz w:val="18"/>
                <w:szCs w:val="18"/>
              </w:rPr>
              <w:t>Dinara</w:t>
            </w:r>
            <w:proofErr w:type="spellEnd"/>
            <w:r w:rsidRPr="007C4D65">
              <w:rPr>
                <w:rFonts w:asciiTheme="minorHAnsi" w:hAnsiTheme="minorHAnsi" w:cstheme="minorHAnsi"/>
                <w:sz w:val="18"/>
                <w:szCs w:val="18"/>
              </w:rPr>
              <w:t xml:space="preserve"> karst and high mountains in: Hercegovina-Neretva Canton, West Herzegovina Canton, high mountains in Central Bosnia</w:t>
            </w:r>
          </w:p>
        </w:tc>
      </w:tr>
      <w:tr w:rsidR="0059116C" w:rsidRPr="007C4D65" w14:paraId="4ADA6C36"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E64C5EC"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Developmental impact and contribution of the measure to achieving the priority</w:t>
            </w:r>
          </w:p>
        </w:tc>
        <w:tc>
          <w:tcPr>
            <w:tcW w:w="35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B099D0A"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More rational use and protection of land, and raised awareness of the whole community of the need to preserve and protect land as a resource</w:t>
            </w:r>
          </w:p>
        </w:tc>
      </w:tr>
      <w:tr w:rsidR="0059116C" w:rsidRPr="007C4D65" w14:paraId="5B8AC073"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8763CD1"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B07F8AA" w14:textId="0807102B" w:rsidR="0059116C" w:rsidRPr="007C4D65" w:rsidRDefault="0059116C"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3,102,742,802</w:t>
            </w:r>
          </w:p>
          <w:p w14:paraId="6BDB6A52"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sz w:val="18"/>
                <w:szCs w:val="18"/>
              </w:rPr>
              <w:t xml:space="preserve">Source: 10% from the government budget, 90% </w:t>
            </w:r>
            <w:r w:rsidRPr="007C4D65">
              <w:rPr>
                <w:rFonts w:asciiTheme="minorHAnsi" w:eastAsia="Calibri" w:hAnsiTheme="minorHAnsi" w:cstheme="minorHAnsi"/>
                <w:sz w:val="18"/>
                <w:szCs w:val="18"/>
              </w:rPr>
              <w:t>combined ‒ loans, funds from EU and other international donors, and other donations</w:t>
            </w:r>
          </w:p>
        </w:tc>
      </w:tr>
      <w:tr w:rsidR="0059116C" w:rsidRPr="007C4D65" w14:paraId="0BF9D23B"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505F4EF"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0926A04"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2023-2031</w:t>
            </w:r>
          </w:p>
        </w:tc>
      </w:tr>
      <w:tr w:rsidR="0059116C" w:rsidRPr="007C4D65" w14:paraId="04B93B53"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A02CC72"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Institution responsible for coordination and implementation of the measure</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869FA6F"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Environment and Tourism</w:t>
            </w:r>
          </w:p>
        </w:tc>
      </w:tr>
      <w:tr w:rsidR="0059116C" w:rsidRPr="007C4D65" w14:paraId="3A0BBF02"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125837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Implementing institution</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730E65A"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Federation of BiH Institute for </w:t>
            </w:r>
            <w:proofErr w:type="spellStart"/>
            <w:r w:rsidRPr="007C4D65">
              <w:rPr>
                <w:rFonts w:asciiTheme="minorHAnsi" w:hAnsiTheme="minorHAnsi" w:cstheme="minorHAnsi"/>
                <w:sz w:val="18"/>
                <w:szCs w:val="18"/>
              </w:rPr>
              <w:t>Agropedology</w:t>
            </w:r>
            <w:proofErr w:type="spellEnd"/>
          </w:p>
          <w:p w14:paraId="1A01C764"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Federation of BiH Ministry of Spatial Planning and Construction</w:t>
            </w:r>
          </w:p>
          <w:p w14:paraId="514AFFC0"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sz w:val="18"/>
                <w:szCs w:val="18"/>
              </w:rPr>
              <w:t xml:space="preserve">Federation of BiH Ministry of Energy, Mining and Industry </w:t>
            </w:r>
          </w:p>
          <w:p w14:paraId="454239F9"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Agriculture, Forestry and Water Management</w:t>
            </w:r>
          </w:p>
          <w:p w14:paraId="18B6DB67"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color w:val="000000"/>
                <w:sz w:val="18"/>
                <w:szCs w:val="18"/>
              </w:rPr>
              <w:t>Competent cantonal ministries</w:t>
            </w:r>
          </w:p>
        </w:tc>
      </w:tr>
      <w:tr w:rsidR="0059116C" w:rsidRPr="007C4D65" w14:paraId="6786E73A" w14:textId="77777777" w:rsidTr="00B6017F">
        <w:trPr>
          <w:trHeight w:val="567"/>
          <w:jc w:val="center"/>
        </w:trPr>
        <w:tc>
          <w:tcPr>
            <w:tcW w:w="142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FAB793B" w14:textId="5E2C3A20"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Target groups</w:t>
            </w:r>
          </w:p>
        </w:tc>
        <w:tc>
          <w:tcPr>
            <w:tcW w:w="357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056AD8B"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Mining companies</w:t>
            </w:r>
          </w:p>
          <w:p w14:paraId="384C708F"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proofErr w:type="gramStart"/>
            <w:r w:rsidRPr="007C4D65">
              <w:rPr>
                <w:rFonts w:asciiTheme="minorHAnsi" w:hAnsiTheme="minorHAnsi" w:cstheme="minorHAnsi"/>
                <w:sz w:val="18"/>
                <w:szCs w:val="18"/>
              </w:rPr>
              <w:t>Land owners</w:t>
            </w:r>
            <w:proofErr w:type="gramEnd"/>
          </w:p>
        </w:tc>
      </w:tr>
    </w:tbl>
    <w:p w14:paraId="3D618EA3" w14:textId="77777777" w:rsidR="0059116C" w:rsidRPr="007C4D65" w:rsidRDefault="0059116C" w:rsidP="0059116C">
      <w:pPr>
        <w:spacing w:line="276" w:lineRule="auto"/>
        <w:rPr>
          <w:rFonts w:asciiTheme="minorHAnsi" w:eastAsiaTheme="minorHAnsi" w:hAnsiTheme="minorHAnsi" w:cstheme="minorHAnsi"/>
          <w:sz w:val="18"/>
          <w:szCs w:val="18"/>
          <w:lang w:val="hr-HR" w:eastAsia="en-US"/>
        </w:rPr>
      </w:pPr>
    </w:p>
    <w:tbl>
      <w:tblPr>
        <w:tblW w:w="4791"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822"/>
        <w:gridCol w:w="3085"/>
        <w:gridCol w:w="3234"/>
        <w:gridCol w:w="3224"/>
      </w:tblGrid>
      <w:tr w:rsidR="0059116C" w:rsidRPr="007C4D65" w14:paraId="089CF411"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2A9D2A3" w14:textId="1646A3AC"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802A5BC" w14:textId="10B64A44"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70F18EF8"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84BF0B1"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45D78D6" w14:textId="77777777"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6.4. Establish integrated and sustainable management of land resources</w:t>
            </w:r>
          </w:p>
        </w:tc>
      </w:tr>
      <w:tr w:rsidR="0059116C" w:rsidRPr="007C4D65" w14:paraId="1ED59426"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E06A924" w14:textId="0CECC0E7"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6093BD64" w14:textId="77777777"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6.4.4. Preventing land degradation by construction without plan</w:t>
            </w:r>
          </w:p>
        </w:tc>
      </w:tr>
      <w:tr w:rsidR="0059116C" w:rsidRPr="007C4D65" w14:paraId="5C3A4F4A"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2A14216"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70" w:type="pct"/>
            <w:gridSpan w:val="3"/>
            <w:tcBorders>
              <w:top w:val="single" w:sz="4" w:space="0" w:color="A6A6A6"/>
              <w:left w:val="single" w:sz="4" w:space="0" w:color="A6A6A6"/>
              <w:bottom w:val="single" w:sz="4" w:space="0" w:color="A6A6A6"/>
              <w:right w:val="single" w:sz="4" w:space="0" w:color="A6A6A6"/>
            </w:tcBorders>
            <w:vAlign w:val="center"/>
          </w:tcPr>
          <w:p w14:paraId="7F70F605"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This measure aims to prevent further land degradation caused by illegal construction. The measure includes following activities:</w:t>
            </w:r>
          </w:p>
          <w:p w14:paraId="2B9B0838" w14:textId="3E909E3A" w:rsidR="0059116C" w:rsidRPr="007C4D65" w:rsidRDefault="0059116C">
            <w:pPr>
              <w:numPr>
                <w:ilvl w:val="0"/>
                <w:numId w:val="80"/>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Adoption of new laws on legalization that would be aligned with the Vienna Declaration on National and Regional Policies and Programmes regarding Informal Settlements in </w:t>
            </w:r>
            <w:proofErr w:type="gramStart"/>
            <w:r w:rsidRPr="007C4D65">
              <w:rPr>
                <w:rFonts w:asciiTheme="minorHAnsi" w:hAnsiTheme="minorHAnsi" w:cstheme="minorHAnsi"/>
                <w:sz w:val="18"/>
                <w:szCs w:val="18"/>
              </w:rPr>
              <w:t>South Eastern</w:t>
            </w:r>
            <w:proofErr w:type="gramEnd"/>
            <w:r w:rsidRPr="007C4D65">
              <w:rPr>
                <w:rFonts w:asciiTheme="minorHAnsi" w:hAnsiTheme="minorHAnsi" w:cstheme="minorHAnsi"/>
                <w:sz w:val="18"/>
                <w:szCs w:val="18"/>
              </w:rPr>
              <w:t xml:space="preserve"> Europe</w:t>
            </w:r>
          </w:p>
          <w:p w14:paraId="75971432" w14:textId="77777777" w:rsidR="0059116C" w:rsidRPr="007C4D65" w:rsidRDefault="0059116C">
            <w:pPr>
              <w:numPr>
                <w:ilvl w:val="0"/>
                <w:numId w:val="80"/>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Registering illegal buildings</w:t>
            </w:r>
          </w:p>
          <w:p w14:paraId="3FEEC9C9" w14:textId="77777777" w:rsidR="0059116C" w:rsidRPr="007C4D65" w:rsidRDefault="0059116C">
            <w:pPr>
              <w:numPr>
                <w:ilvl w:val="0"/>
                <w:numId w:val="80"/>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Development of operational plans for prevention of unplanned construction, and adoption of programmes to demolish illegal buildings</w:t>
            </w:r>
          </w:p>
          <w:p w14:paraId="46BFF52B" w14:textId="77777777" w:rsidR="0059116C" w:rsidRPr="007C4D65" w:rsidRDefault="0059116C">
            <w:pPr>
              <w:numPr>
                <w:ilvl w:val="0"/>
                <w:numId w:val="80"/>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lastRenderedPageBreak/>
              <w:t>Continuous development and adoption of new spatial planning documentation and documentation for controlled development of cities, and prevention of use of quality categories of land for construction</w:t>
            </w:r>
          </w:p>
          <w:p w14:paraId="4D2D4198" w14:textId="4D12E7FE" w:rsidR="0059116C" w:rsidRPr="007C4D65" w:rsidRDefault="0059116C">
            <w:pPr>
              <w:numPr>
                <w:ilvl w:val="0"/>
                <w:numId w:val="80"/>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Restricting use of good quality land (I agricultural zone) for construction of apartments, industrial facilities and other buildings</w:t>
            </w:r>
          </w:p>
        </w:tc>
      </w:tr>
      <w:tr w:rsidR="0059116C" w:rsidRPr="007C4D65" w14:paraId="74B93887"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400B96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Strategic projects</w:t>
            </w:r>
          </w:p>
        </w:tc>
        <w:tc>
          <w:tcPr>
            <w:tcW w:w="3570" w:type="pct"/>
            <w:gridSpan w:val="3"/>
            <w:tcBorders>
              <w:top w:val="single" w:sz="4" w:space="0" w:color="A6A6A6"/>
              <w:left w:val="single" w:sz="4" w:space="0" w:color="A6A6A6"/>
              <w:bottom w:val="single" w:sz="4" w:space="0" w:color="A6A6A6"/>
              <w:right w:val="single" w:sz="4" w:space="0" w:color="A6A6A6"/>
            </w:tcBorders>
            <w:vAlign w:val="center"/>
          </w:tcPr>
          <w:p w14:paraId="6AD47C80"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3C495DCF" w14:textId="77777777" w:rsidTr="00B6017F">
        <w:trPr>
          <w:trHeight w:val="567"/>
          <w:jc w:val="center"/>
        </w:trPr>
        <w:tc>
          <w:tcPr>
            <w:tcW w:w="1430"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00BA80F8"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Indicators for monitoring of results of measures</w:t>
            </w:r>
          </w:p>
        </w:tc>
        <w:tc>
          <w:tcPr>
            <w:tcW w:w="1154"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DF24931"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22EE9EE4" w14:textId="3B1CB1CB"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1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75257C0"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6CFD2472"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06"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66C1AB5"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482819F0" w14:textId="77777777" w:rsidTr="00B6017F">
        <w:trPr>
          <w:trHeight w:val="567"/>
          <w:jc w:val="center"/>
        </w:trPr>
        <w:tc>
          <w:tcPr>
            <w:tcW w:w="1430"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5A08FAF"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154" w:type="pct"/>
            <w:tcBorders>
              <w:top w:val="single" w:sz="4" w:space="0" w:color="A6A6A6"/>
              <w:left w:val="single" w:sz="4" w:space="0" w:color="A6A6A6"/>
              <w:bottom w:val="single" w:sz="4" w:space="0" w:color="A6A6A6"/>
              <w:right w:val="single" w:sz="4" w:space="0" w:color="A6A6A6"/>
            </w:tcBorders>
            <w:vAlign w:val="center"/>
          </w:tcPr>
          <w:p w14:paraId="5BB52356"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 xml:space="preserve">Existence of a law on legalization that would be aligned with the Vienna Declaration on National and Regional Policy Programs regarding Informal Settlements in </w:t>
            </w:r>
            <w:proofErr w:type="gramStart"/>
            <w:r w:rsidRPr="007C4D65">
              <w:rPr>
                <w:rFonts w:asciiTheme="minorHAnsi" w:hAnsiTheme="minorHAnsi" w:cstheme="minorHAnsi"/>
                <w:sz w:val="18"/>
                <w:szCs w:val="18"/>
              </w:rPr>
              <w:t>South Eastern</w:t>
            </w:r>
            <w:proofErr w:type="gramEnd"/>
            <w:r w:rsidRPr="007C4D65">
              <w:rPr>
                <w:rFonts w:asciiTheme="minorHAnsi" w:hAnsiTheme="minorHAnsi" w:cstheme="minorHAnsi"/>
                <w:sz w:val="18"/>
                <w:szCs w:val="18"/>
              </w:rPr>
              <w:t xml:space="preserve"> Europe</w:t>
            </w:r>
          </w:p>
        </w:tc>
        <w:tc>
          <w:tcPr>
            <w:tcW w:w="121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F197042" w14:textId="695ADBB4"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Federation of BiH does not have a law on legalization. Current laws on legalization in Federation of BiH are adopted at cantonal level and do not comply with the Vienna Declaration on National and Regional Policy Programs regarding Informal Settlements in </w:t>
            </w:r>
            <w:proofErr w:type="gramStart"/>
            <w:r w:rsidRPr="007C4D65">
              <w:rPr>
                <w:rFonts w:asciiTheme="minorHAnsi" w:hAnsiTheme="minorHAnsi" w:cstheme="minorHAnsi"/>
                <w:sz w:val="18"/>
                <w:szCs w:val="18"/>
              </w:rPr>
              <w:t>South Eastern</w:t>
            </w:r>
            <w:proofErr w:type="gramEnd"/>
            <w:r w:rsidRPr="007C4D65">
              <w:rPr>
                <w:rFonts w:asciiTheme="minorHAnsi" w:hAnsiTheme="minorHAnsi" w:cstheme="minorHAnsi"/>
                <w:sz w:val="18"/>
                <w:szCs w:val="18"/>
              </w:rPr>
              <w:t xml:space="preserve"> Europe</w:t>
            </w:r>
          </w:p>
        </w:tc>
        <w:tc>
          <w:tcPr>
            <w:tcW w:w="120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DF481E6"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By 2025, adopted new cantonal laws on legalization in line with the Vienna Declaration on National and Regional Policy Programs regarding Informal Settlements in </w:t>
            </w:r>
            <w:proofErr w:type="gramStart"/>
            <w:r w:rsidRPr="007C4D65">
              <w:rPr>
                <w:rFonts w:asciiTheme="minorHAnsi" w:hAnsiTheme="minorHAnsi" w:cstheme="minorHAnsi"/>
                <w:sz w:val="18"/>
                <w:szCs w:val="18"/>
              </w:rPr>
              <w:t>South Eastern</w:t>
            </w:r>
            <w:proofErr w:type="gramEnd"/>
            <w:r w:rsidRPr="007C4D65">
              <w:rPr>
                <w:rFonts w:asciiTheme="minorHAnsi" w:hAnsiTheme="minorHAnsi" w:cstheme="minorHAnsi"/>
                <w:sz w:val="18"/>
                <w:szCs w:val="18"/>
              </w:rPr>
              <w:t xml:space="preserve"> Europe </w:t>
            </w:r>
          </w:p>
        </w:tc>
      </w:tr>
      <w:tr w:rsidR="0059116C" w:rsidRPr="007C4D65" w14:paraId="2539BB0D" w14:textId="77777777" w:rsidTr="00B6017F">
        <w:trPr>
          <w:trHeight w:val="567"/>
          <w:jc w:val="center"/>
        </w:trPr>
        <w:tc>
          <w:tcPr>
            <w:tcW w:w="1430"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577EDAB"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154"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4E59F07"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the Registry of illegal buildings</w:t>
            </w:r>
          </w:p>
        </w:tc>
        <w:tc>
          <w:tcPr>
            <w:tcW w:w="121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8128438"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Not all illegal buildings in Federation of BiH are registered</w:t>
            </w:r>
          </w:p>
        </w:tc>
        <w:tc>
          <w:tcPr>
            <w:tcW w:w="120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967266C"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By 2026, all illegal buildings </w:t>
            </w:r>
            <w:proofErr w:type="gramStart"/>
            <w:r w:rsidRPr="007C4D65">
              <w:rPr>
                <w:rFonts w:asciiTheme="minorHAnsi" w:hAnsiTheme="minorHAnsi" w:cstheme="minorHAnsi"/>
                <w:sz w:val="18"/>
                <w:szCs w:val="18"/>
              </w:rPr>
              <w:t>registered</w:t>
            </w:r>
            <w:proofErr w:type="gramEnd"/>
            <w:r w:rsidRPr="007C4D65">
              <w:rPr>
                <w:rFonts w:asciiTheme="minorHAnsi" w:hAnsiTheme="minorHAnsi" w:cstheme="minorHAnsi"/>
                <w:sz w:val="18"/>
                <w:szCs w:val="18"/>
              </w:rPr>
              <w:t xml:space="preserve"> and data integrated in the spatial data information system</w:t>
            </w:r>
          </w:p>
        </w:tc>
      </w:tr>
      <w:tr w:rsidR="0059116C" w:rsidRPr="007C4D65" w14:paraId="0A640655" w14:textId="77777777" w:rsidTr="00B6017F">
        <w:trPr>
          <w:trHeight w:val="567"/>
          <w:jc w:val="center"/>
        </w:trPr>
        <w:tc>
          <w:tcPr>
            <w:tcW w:w="1430"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2C9B5F1"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154"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F55BEAE"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operational plans for prevention of unplanned construction and adoption of programmes to demolish illegal buildings</w:t>
            </w:r>
          </w:p>
        </w:tc>
        <w:tc>
          <w:tcPr>
            <w:tcW w:w="121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7811B24"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Federation of BiH does not have operational plans for prevention of unplanned construction. Illegal buildings are rarely demolished, and there is no </w:t>
            </w:r>
            <w:proofErr w:type="gramStart"/>
            <w:r w:rsidRPr="007C4D65">
              <w:rPr>
                <w:rFonts w:asciiTheme="minorHAnsi" w:hAnsiTheme="minorHAnsi" w:cstheme="minorHAnsi"/>
                <w:sz w:val="18"/>
                <w:szCs w:val="18"/>
              </w:rPr>
              <w:t>particular planned</w:t>
            </w:r>
            <w:proofErr w:type="gramEnd"/>
            <w:r w:rsidRPr="007C4D65">
              <w:rPr>
                <w:rFonts w:asciiTheme="minorHAnsi" w:hAnsiTheme="minorHAnsi" w:cstheme="minorHAnsi"/>
                <w:sz w:val="18"/>
                <w:szCs w:val="18"/>
              </w:rPr>
              <w:t xml:space="preserve"> approach</w:t>
            </w:r>
          </w:p>
        </w:tc>
        <w:tc>
          <w:tcPr>
            <w:tcW w:w="120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EFAE65B"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2027, developed cantonal operational plans for prevention of unplanned development (construction) and adopted programmes to demolish the illegal buildings</w:t>
            </w:r>
          </w:p>
        </w:tc>
      </w:tr>
      <w:tr w:rsidR="0059116C" w:rsidRPr="007C4D65" w14:paraId="01F102A5" w14:textId="77777777" w:rsidTr="00B6017F">
        <w:trPr>
          <w:trHeight w:val="567"/>
          <w:jc w:val="center"/>
        </w:trPr>
        <w:tc>
          <w:tcPr>
            <w:tcW w:w="1430"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A53931E"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154"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33FAE21"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sz w:val="18"/>
                <w:szCs w:val="18"/>
              </w:rPr>
              <w:t>Existence of decisions to limit the use of good quality land (agricultural zone I) for construction of apartments, industrial facilities and other buildings</w:t>
            </w:r>
          </w:p>
        </w:tc>
        <w:tc>
          <w:tcPr>
            <w:tcW w:w="121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D0805BA"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Law on agricultural land of Federation of BiH prohibits the use of best quality land of classes I-IV for any purpose other than agriculture. Repurposing is possible if it involves capital structures of public interest. There are no special decisions restricting the use of land (agricultural zone I) and criteria for possible approval of repurposing of land </w:t>
            </w:r>
          </w:p>
        </w:tc>
        <w:tc>
          <w:tcPr>
            <w:tcW w:w="120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7D06CF7"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2023, adopted cantonal decisions on restricting the use of good quality land for any other purpose except for agriculture</w:t>
            </w:r>
          </w:p>
        </w:tc>
      </w:tr>
      <w:tr w:rsidR="0059116C" w:rsidRPr="007C4D65" w14:paraId="25FC1062"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5FF2F4A"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154"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9C5D7F6"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sz w:val="18"/>
                <w:szCs w:val="18"/>
              </w:rPr>
              <w:t xml:space="preserve">Spatial planning documentation is based on controlled development of cities </w:t>
            </w:r>
          </w:p>
        </w:tc>
        <w:tc>
          <w:tcPr>
            <w:tcW w:w="121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5FB0469"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Expansion of urban areas in Federation of BiH is often done at the expense of good quality agricultural land. Purpose of land is determined in spatial planning documentation. Federation of BiH has not adopted spatial plan </w:t>
            </w:r>
          </w:p>
        </w:tc>
        <w:tc>
          <w:tcPr>
            <w:tcW w:w="1206"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9E4F659"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By 2023, spatial plan for Federation of BiH adopted</w:t>
            </w:r>
          </w:p>
          <w:p w14:paraId="5FCBBC1A"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By 2031, spatial planning documentation at other levels developed </w:t>
            </w:r>
            <w:proofErr w:type="gramStart"/>
            <w:r w:rsidRPr="007C4D65">
              <w:rPr>
                <w:rFonts w:asciiTheme="minorHAnsi" w:hAnsiTheme="minorHAnsi" w:cstheme="minorHAnsi"/>
                <w:sz w:val="18"/>
                <w:szCs w:val="18"/>
              </w:rPr>
              <w:t>on the basis of</w:t>
            </w:r>
            <w:proofErr w:type="gramEnd"/>
            <w:r w:rsidRPr="007C4D65">
              <w:rPr>
                <w:rFonts w:asciiTheme="minorHAnsi" w:hAnsiTheme="minorHAnsi" w:cstheme="minorHAnsi"/>
                <w:sz w:val="18"/>
                <w:szCs w:val="18"/>
              </w:rPr>
              <w:t xml:space="preserve"> controlled development of cities, avoiding repurposing of the good quality agricultural land </w:t>
            </w:r>
          </w:p>
        </w:tc>
      </w:tr>
      <w:tr w:rsidR="0059116C" w:rsidRPr="007C4D65" w14:paraId="165AC9D1"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20D3865"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priority</w:t>
            </w:r>
          </w:p>
        </w:tc>
        <w:tc>
          <w:tcPr>
            <w:tcW w:w="3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396EC1"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More rational use and protection of land, and raised awareness of the whole community of the need to preserve and protect land as a resource</w:t>
            </w:r>
          </w:p>
        </w:tc>
      </w:tr>
      <w:tr w:rsidR="0059116C" w:rsidRPr="007C4D65" w14:paraId="04C2902B"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3FD1963"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C3C93A" w14:textId="5DAB7FD3" w:rsidR="0059116C" w:rsidRPr="007C4D65" w:rsidRDefault="0059116C"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353,107</w:t>
            </w:r>
          </w:p>
          <w:p w14:paraId="650B7CE0"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sz w:val="18"/>
                <w:szCs w:val="18"/>
              </w:rPr>
              <w:t>Source: 100% government budget</w:t>
            </w:r>
          </w:p>
        </w:tc>
      </w:tr>
      <w:tr w:rsidR="0059116C" w:rsidRPr="007C4D65" w14:paraId="7BB5DB31"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7217F96"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B287FA7"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2022-2031</w:t>
            </w:r>
          </w:p>
        </w:tc>
      </w:tr>
      <w:tr w:rsidR="0059116C" w:rsidRPr="007C4D65" w14:paraId="013E500E"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AA6E97B"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Institution responsible for coordination and implementation of the measure</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057BEC5"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Federation of BiH Ministry of Spatial Planning and Construction</w:t>
            </w:r>
          </w:p>
        </w:tc>
      </w:tr>
      <w:tr w:rsidR="0059116C" w:rsidRPr="007C4D65" w14:paraId="79850338"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E91DD4F"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Implementing institution</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CE410B1"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Federation of BiH Ministry of Spatial Planning and Construction</w:t>
            </w:r>
          </w:p>
          <w:p w14:paraId="6461384E"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Agriculture, Water Management and Forestry</w:t>
            </w:r>
          </w:p>
          <w:p w14:paraId="00B9F8A8"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Competent cantonal ministries</w:t>
            </w:r>
          </w:p>
        </w:tc>
      </w:tr>
      <w:tr w:rsidR="0059116C" w:rsidRPr="007C4D65" w14:paraId="5C6FFF2A" w14:textId="77777777" w:rsidTr="00B6017F">
        <w:trPr>
          <w:trHeight w:val="567"/>
          <w:jc w:val="center"/>
        </w:trPr>
        <w:tc>
          <w:tcPr>
            <w:tcW w:w="143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ED97267" w14:textId="6E0C90D4"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Target groups</w:t>
            </w:r>
          </w:p>
        </w:tc>
        <w:tc>
          <w:tcPr>
            <w:tcW w:w="357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706D6EB"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proofErr w:type="gramStart"/>
            <w:r w:rsidRPr="007C4D65">
              <w:rPr>
                <w:rFonts w:asciiTheme="minorHAnsi" w:hAnsiTheme="minorHAnsi" w:cstheme="minorHAnsi"/>
                <w:sz w:val="18"/>
                <w:szCs w:val="18"/>
              </w:rPr>
              <w:t>Land owners</w:t>
            </w:r>
            <w:proofErr w:type="gramEnd"/>
            <w:r w:rsidRPr="007C4D65">
              <w:rPr>
                <w:rFonts w:asciiTheme="minorHAnsi" w:hAnsiTheme="minorHAnsi" w:cstheme="minorHAnsi"/>
                <w:sz w:val="18"/>
                <w:szCs w:val="18"/>
              </w:rPr>
              <w:t>, municipalities, cantons, farms</w:t>
            </w:r>
          </w:p>
        </w:tc>
      </w:tr>
    </w:tbl>
    <w:p w14:paraId="4F9CC998" w14:textId="77777777" w:rsidR="0059116C" w:rsidRPr="007C4D65" w:rsidRDefault="0059116C" w:rsidP="0059116C">
      <w:pPr>
        <w:spacing w:line="276" w:lineRule="auto"/>
        <w:rPr>
          <w:rFonts w:asciiTheme="minorHAnsi" w:eastAsiaTheme="minorHAnsi" w:hAnsiTheme="minorHAnsi" w:cstheme="minorHAnsi"/>
          <w:sz w:val="18"/>
          <w:szCs w:val="18"/>
          <w:lang w:val="hr-HR" w:eastAsia="en-US"/>
        </w:rPr>
      </w:pPr>
    </w:p>
    <w:tbl>
      <w:tblPr>
        <w:tblW w:w="477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4"/>
        <w:gridCol w:w="3042"/>
        <w:gridCol w:w="3220"/>
        <w:gridCol w:w="3220"/>
      </w:tblGrid>
      <w:tr w:rsidR="0059116C" w:rsidRPr="007C4D65" w14:paraId="3B21F025" w14:textId="77777777" w:rsidTr="00B6017F">
        <w:trPr>
          <w:trHeight w:val="567"/>
          <w:jc w:val="center"/>
        </w:trPr>
        <w:tc>
          <w:tcPr>
            <w:tcW w:w="1437" w:type="pct"/>
            <w:shd w:val="clear" w:color="auto" w:fill="009D73"/>
            <w:vAlign w:val="center"/>
          </w:tcPr>
          <w:p w14:paraId="4CEEB62B" w14:textId="6F505AA4"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63" w:type="pct"/>
            <w:gridSpan w:val="3"/>
            <w:shd w:val="clear" w:color="auto" w:fill="FFFFFF"/>
            <w:vAlign w:val="center"/>
          </w:tcPr>
          <w:p w14:paraId="7CCF6350" w14:textId="41DC25EF"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5352E5C6" w14:textId="77777777" w:rsidTr="00B6017F">
        <w:trPr>
          <w:trHeight w:val="567"/>
          <w:jc w:val="center"/>
        </w:trPr>
        <w:tc>
          <w:tcPr>
            <w:tcW w:w="1437" w:type="pct"/>
            <w:shd w:val="clear" w:color="auto" w:fill="009D73"/>
            <w:vAlign w:val="center"/>
          </w:tcPr>
          <w:p w14:paraId="20068D7D"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63" w:type="pct"/>
            <w:gridSpan w:val="3"/>
            <w:shd w:val="clear" w:color="auto" w:fill="FFFFFF"/>
            <w:vAlign w:val="center"/>
          </w:tcPr>
          <w:p w14:paraId="366ECA47"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b/>
                <w:bCs/>
                <w:sz w:val="18"/>
                <w:szCs w:val="18"/>
              </w:rPr>
              <w:t>6.4.</w:t>
            </w:r>
            <w:r w:rsidRPr="007C4D65">
              <w:rPr>
                <w:rFonts w:asciiTheme="minorHAnsi" w:hAnsiTheme="minorHAnsi" w:cstheme="minorHAnsi"/>
                <w:sz w:val="18"/>
                <w:szCs w:val="18"/>
              </w:rPr>
              <w:t xml:space="preserve"> </w:t>
            </w:r>
            <w:r w:rsidRPr="007C4D65">
              <w:rPr>
                <w:rFonts w:asciiTheme="minorHAnsi" w:hAnsiTheme="minorHAnsi" w:cstheme="minorHAnsi"/>
                <w:b/>
                <w:bCs/>
                <w:sz w:val="18"/>
                <w:szCs w:val="18"/>
              </w:rPr>
              <w:t>Establish integrated and sustainable management of land resources</w:t>
            </w:r>
          </w:p>
        </w:tc>
      </w:tr>
      <w:tr w:rsidR="0059116C" w:rsidRPr="007C4D65" w14:paraId="2E79DA64" w14:textId="77777777" w:rsidTr="00B6017F">
        <w:trPr>
          <w:trHeight w:val="567"/>
          <w:jc w:val="center"/>
        </w:trPr>
        <w:tc>
          <w:tcPr>
            <w:tcW w:w="1437" w:type="pct"/>
            <w:shd w:val="clear" w:color="auto" w:fill="009D73"/>
            <w:vAlign w:val="center"/>
          </w:tcPr>
          <w:p w14:paraId="2E45D0EC" w14:textId="34285C82"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63" w:type="pct"/>
            <w:gridSpan w:val="3"/>
            <w:shd w:val="clear" w:color="auto" w:fill="auto"/>
            <w:vAlign w:val="center"/>
          </w:tcPr>
          <w:p w14:paraId="476CA81A" w14:textId="77777777"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6.4.5. Removing land mines</w:t>
            </w:r>
          </w:p>
        </w:tc>
      </w:tr>
      <w:tr w:rsidR="0059116C" w:rsidRPr="007C4D65" w14:paraId="10C4E764" w14:textId="77777777" w:rsidTr="00B6017F">
        <w:trPr>
          <w:trHeight w:val="567"/>
          <w:jc w:val="center"/>
        </w:trPr>
        <w:tc>
          <w:tcPr>
            <w:tcW w:w="1437" w:type="pct"/>
            <w:shd w:val="clear" w:color="auto" w:fill="009D73"/>
            <w:vAlign w:val="center"/>
          </w:tcPr>
          <w:p w14:paraId="13BC0C37"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63" w:type="pct"/>
            <w:gridSpan w:val="3"/>
            <w:vAlign w:val="center"/>
          </w:tcPr>
          <w:p w14:paraId="302D6450"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This measure aims to complete demining of 100% of land under mines by 2030. </w:t>
            </w:r>
          </w:p>
          <w:p w14:paraId="586E0BBB" w14:textId="34D18C9F"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Demining is carried out in line with the annual demining plans</w:t>
            </w:r>
            <w:r w:rsidR="00EA23CE" w:rsidRPr="007C4D65">
              <w:rPr>
                <w:rFonts w:asciiTheme="minorHAnsi" w:hAnsiTheme="minorHAnsi" w:cstheme="minorHAnsi"/>
                <w:sz w:val="18"/>
                <w:szCs w:val="18"/>
              </w:rPr>
              <w:t>.</w:t>
            </w:r>
          </w:p>
        </w:tc>
      </w:tr>
      <w:tr w:rsidR="0059116C" w:rsidRPr="007C4D65" w14:paraId="588A4CC9" w14:textId="77777777" w:rsidTr="00B6017F">
        <w:trPr>
          <w:trHeight w:val="567"/>
          <w:jc w:val="center"/>
        </w:trPr>
        <w:tc>
          <w:tcPr>
            <w:tcW w:w="1437" w:type="pct"/>
            <w:shd w:val="clear" w:color="auto" w:fill="009D73"/>
            <w:vAlign w:val="center"/>
          </w:tcPr>
          <w:p w14:paraId="6CEDB4BA"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Strategic projects</w:t>
            </w:r>
          </w:p>
        </w:tc>
        <w:tc>
          <w:tcPr>
            <w:tcW w:w="3563" w:type="pct"/>
            <w:gridSpan w:val="3"/>
            <w:vAlign w:val="center"/>
          </w:tcPr>
          <w:p w14:paraId="763B35C2"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05462433" w14:textId="77777777" w:rsidTr="00B6017F">
        <w:trPr>
          <w:trHeight w:val="567"/>
          <w:jc w:val="center"/>
        </w:trPr>
        <w:tc>
          <w:tcPr>
            <w:tcW w:w="1437" w:type="pct"/>
            <w:vMerge w:val="restart"/>
            <w:shd w:val="clear" w:color="auto" w:fill="009D73"/>
            <w:vAlign w:val="center"/>
          </w:tcPr>
          <w:p w14:paraId="4CB097DB"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Indicators for monitoring of results of measures</w:t>
            </w:r>
          </w:p>
        </w:tc>
        <w:tc>
          <w:tcPr>
            <w:tcW w:w="114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DBE886C" w14:textId="77777777" w:rsidR="0059116C" w:rsidRPr="007C4D65" w:rsidRDefault="0059116C"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0184653D" w14:textId="0C927E93"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1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F2C8C02" w14:textId="77777777" w:rsidR="0059116C" w:rsidRPr="007C4D65" w:rsidRDefault="0059116C" w:rsidP="00B6017F">
            <w:pPr>
              <w:spacing w:before="40" w:after="40" w:line="276" w:lineRule="auto"/>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7B040111"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10"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3A9D465"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18692445" w14:textId="77777777" w:rsidTr="00B6017F">
        <w:trPr>
          <w:trHeight w:val="567"/>
          <w:jc w:val="center"/>
        </w:trPr>
        <w:tc>
          <w:tcPr>
            <w:tcW w:w="1437" w:type="pct"/>
            <w:vMerge/>
            <w:shd w:val="clear" w:color="auto" w:fill="009D73"/>
            <w:vAlign w:val="center"/>
          </w:tcPr>
          <w:p w14:paraId="6EE77584"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143" w:type="pct"/>
            <w:vAlign w:val="center"/>
          </w:tcPr>
          <w:p w14:paraId="4094439C"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color w:val="000000"/>
                <w:sz w:val="18"/>
                <w:szCs w:val="18"/>
              </w:rPr>
              <w:t>Land mines</w:t>
            </w:r>
          </w:p>
        </w:tc>
        <w:tc>
          <w:tcPr>
            <w:tcW w:w="1210" w:type="pct"/>
            <w:shd w:val="clear" w:color="auto" w:fill="FFFFFF"/>
            <w:vAlign w:val="center"/>
          </w:tcPr>
          <w:p w14:paraId="12F29EDA"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In 2020, 966m</w:t>
            </w:r>
            <w:r w:rsidRPr="007C4D65">
              <w:rPr>
                <w:rFonts w:asciiTheme="minorHAnsi" w:hAnsiTheme="minorHAnsi" w:cstheme="minorHAnsi"/>
                <w:sz w:val="18"/>
                <w:szCs w:val="18"/>
                <w:vertAlign w:val="superscript"/>
              </w:rPr>
              <w:t>2</w:t>
            </w:r>
            <w:r w:rsidRPr="007C4D65">
              <w:rPr>
                <w:rFonts w:asciiTheme="minorHAnsi" w:hAnsiTheme="minorHAnsi" w:cstheme="minorHAnsi"/>
                <w:sz w:val="18"/>
                <w:szCs w:val="18"/>
              </w:rPr>
              <w:t xml:space="preserve"> of area in Federation of BiH was found to be polluted by land mines</w:t>
            </w:r>
          </w:p>
        </w:tc>
        <w:tc>
          <w:tcPr>
            <w:tcW w:w="1210" w:type="pct"/>
            <w:shd w:val="clear" w:color="auto" w:fill="FFFFFF"/>
            <w:vAlign w:val="center"/>
          </w:tcPr>
          <w:p w14:paraId="00C4C93F" w14:textId="660C8122"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Complete demining of 100% of land by 2030</w:t>
            </w:r>
          </w:p>
        </w:tc>
      </w:tr>
      <w:tr w:rsidR="0059116C" w:rsidRPr="007C4D65" w14:paraId="0DA6A0C8" w14:textId="77777777" w:rsidTr="00B6017F">
        <w:trPr>
          <w:trHeight w:val="567"/>
          <w:jc w:val="center"/>
        </w:trPr>
        <w:tc>
          <w:tcPr>
            <w:tcW w:w="1437" w:type="pct"/>
            <w:shd w:val="clear" w:color="auto" w:fill="009D73"/>
            <w:vAlign w:val="center"/>
          </w:tcPr>
          <w:p w14:paraId="14A12F41"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priority</w:t>
            </w:r>
          </w:p>
        </w:tc>
        <w:tc>
          <w:tcPr>
            <w:tcW w:w="3563" w:type="pct"/>
            <w:gridSpan w:val="3"/>
            <w:shd w:val="clear" w:color="auto" w:fill="FFFFFF" w:themeFill="background1"/>
            <w:vAlign w:val="center"/>
          </w:tcPr>
          <w:p w14:paraId="069E9AD5" w14:textId="08C2D93C"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color w:val="000000"/>
                <w:sz w:val="18"/>
                <w:szCs w:val="18"/>
              </w:rPr>
              <w:t>Contribution to security, reduction of poverty in rural areas, and lifting obstacles to development of tourism and use of potentials of wood industry and hydro power</w:t>
            </w:r>
          </w:p>
        </w:tc>
      </w:tr>
      <w:tr w:rsidR="0059116C" w:rsidRPr="007C4D65" w14:paraId="5AFA0477" w14:textId="77777777" w:rsidTr="00B6017F">
        <w:trPr>
          <w:trHeight w:val="567"/>
          <w:jc w:val="center"/>
        </w:trPr>
        <w:tc>
          <w:tcPr>
            <w:tcW w:w="1437" w:type="pct"/>
            <w:shd w:val="clear" w:color="auto" w:fill="009D73"/>
            <w:vAlign w:val="center"/>
          </w:tcPr>
          <w:p w14:paraId="4C72C7C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63" w:type="pct"/>
            <w:gridSpan w:val="3"/>
            <w:shd w:val="clear" w:color="auto" w:fill="FFFFFF" w:themeFill="background1"/>
            <w:vAlign w:val="center"/>
          </w:tcPr>
          <w:p w14:paraId="6A65DD96" w14:textId="36148B25" w:rsidR="0059116C" w:rsidRPr="007C4D65" w:rsidRDefault="0059116C"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230,280,772</w:t>
            </w:r>
          </w:p>
          <w:p w14:paraId="60F2BAED"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sz w:val="18"/>
                <w:szCs w:val="18"/>
              </w:rPr>
              <w:t xml:space="preserve">Source: 10% from the government budget, 90% </w:t>
            </w:r>
            <w:r w:rsidRPr="007C4D65">
              <w:rPr>
                <w:rFonts w:asciiTheme="minorHAnsi" w:eastAsia="Calibri" w:hAnsiTheme="minorHAnsi" w:cstheme="minorHAnsi"/>
                <w:sz w:val="18"/>
                <w:szCs w:val="18"/>
              </w:rPr>
              <w:t>combined ‒ loans, funds from EU and other international donors, and other donations</w:t>
            </w:r>
          </w:p>
        </w:tc>
      </w:tr>
      <w:tr w:rsidR="0059116C" w:rsidRPr="007C4D65" w14:paraId="6B0042D8" w14:textId="77777777" w:rsidTr="00B6017F">
        <w:trPr>
          <w:trHeight w:val="567"/>
          <w:jc w:val="center"/>
        </w:trPr>
        <w:tc>
          <w:tcPr>
            <w:tcW w:w="1437" w:type="pct"/>
            <w:shd w:val="clear" w:color="auto" w:fill="009D73"/>
            <w:vAlign w:val="center"/>
          </w:tcPr>
          <w:p w14:paraId="448A386D"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63" w:type="pct"/>
            <w:gridSpan w:val="3"/>
            <w:shd w:val="clear" w:color="auto" w:fill="FFFFFF"/>
            <w:vAlign w:val="center"/>
          </w:tcPr>
          <w:p w14:paraId="05A3765B"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2022‒2031</w:t>
            </w:r>
          </w:p>
        </w:tc>
      </w:tr>
      <w:tr w:rsidR="0059116C" w:rsidRPr="007C4D65" w14:paraId="451700E0" w14:textId="77777777" w:rsidTr="00B6017F">
        <w:trPr>
          <w:trHeight w:val="567"/>
          <w:jc w:val="center"/>
        </w:trPr>
        <w:tc>
          <w:tcPr>
            <w:tcW w:w="1437" w:type="pct"/>
            <w:shd w:val="clear" w:color="auto" w:fill="009D73"/>
            <w:vAlign w:val="center"/>
          </w:tcPr>
          <w:p w14:paraId="041144BE"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Institution responsible for coordination and implementation of the measure</w:t>
            </w:r>
          </w:p>
        </w:tc>
        <w:tc>
          <w:tcPr>
            <w:tcW w:w="3563" w:type="pct"/>
            <w:gridSpan w:val="3"/>
            <w:shd w:val="clear" w:color="auto" w:fill="FFFFFF"/>
            <w:vAlign w:val="center"/>
          </w:tcPr>
          <w:p w14:paraId="2586F2A2"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BiH MAC</w:t>
            </w:r>
          </w:p>
        </w:tc>
      </w:tr>
      <w:tr w:rsidR="0059116C" w:rsidRPr="007C4D65" w14:paraId="1BD0AE7F" w14:textId="77777777" w:rsidTr="00B6017F">
        <w:trPr>
          <w:trHeight w:val="567"/>
          <w:jc w:val="center"/>
        </w:trPr>
        <w:tc>
          <w:tcPr>
            <w:tcW w:w="1437" w:type="pct"/>
            <w:shd w:val="clear" w:color="auto" w:fill="009D73"/>
            <w:vAlign w:val="center"/>
          </w:tcPr>
          <w:p w14:paraId="1E896AEB"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Implementing institution</w:t>
            </w:r>
          </w:p>
        </w:tc>
        <w:tc>
          <w:tcPr>
            <w:tcW w:w="3563" w:type="pct"/>
            <w:gridSpan w:val="3"/>
            <w:shd w:val="clear" w:color="auto" w:fill="FFFFFF"/>
            <w:vAlign w:val="center"/>
          </w:tcPr>
          <w:p w14:paraId="18D76F2C"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color w:val="000000"/>
                <w:sz w:val="18"/>
                <w:szCs w:val="18"/>
              </w:rPr>
              <w:t>BiH MAC</w:t>
            </w:r>
          </w:p>
        </w:tc>
      </w:tr>
      <w:tr w:rsidR="0059116C" w:rsidRPr="007C4D65" w14:paraId="42198F4C" w14:textId="77777777" w:rsidTr="00B6017F">
        <w:trPr>
          <w:trHeight w:val="567"/>
          <w:jc w:val="center"/>
        </w:trPr>
        <w:tc>
          <w:tcPr>
            <w:tcW w:w="1437" w:type="pct"/>
            <w:shd w:val="clear" w:color="auto" w:fill="009D73"/>
            <w:vAlign w:val="center"/>
          </w:tcPr>
          <w:p w14:paraId="2FC30ADD" w14:textId="3CAA23C4"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Target groups</w:t>
            </w:r>
          </w:p>
        </w:tc>
        <w:tc>
          <w:tcPr>
            <w:tcW w:w="3563" w:type="pct"/>
            <w:gridSpan w:val="3"/>
            <w:shd w:val="clear" w:color="auto" w:fill="FFFFFF"/>
            <w:vAlign w:val="center"/>
          </w:tcPr>
          <w:p w14:paraId="68849A1F"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Forest management companies, farmers, municipalities, hunting associations, mountaineering associations</w:t>
            </w:r>
          </w:p>
        </w:tc>
      </w:tr>
    </w:tbl>
    <w:p w14:paraId="699B2FFF" w14:textId="77777777" w:rsidR="0059116C" w:rsidRPr="007C4D65" w:rsidRDefault="0059116C" w:rsidP="0059116C">
      <w:pPr>
        <w:spacing w:line="276" w:lineRule="auto"/>
        <w:rPr>
          <w:rFonts w:asciiTheme="minorHAnsi" w:eastAsiaTheme="minorHAnsi" w:hAnsiTheme="minorHAnsi" w:cstheme="minorHAnsi"/>
          <w:sz w:val="18"/>
          <w:szCs w:val="18"/>
          <w:lang w:val="hr-HR" w:eastAsia="en-US"/>
        </w:rPr>
      </w:pPr>
    </w:p>
    <w:tbl>
      <w:tblPr>
        <w:tblW w:w="4767"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822"/>
        <w:gridCol w:w="3037"/>
        <w:gridCol w:w="3218"/>
        <w:gridCol w:w="3221"/>
      </w:tblGrid>
      <w:tr w:rsidR="0059116C" w:rsidRPr="007C4D65" w14:paraId="630E24A1" w14:textId="77777777" w:rsidTr="00B6017F">
        <w:trPr>
          <w:trHeight w:val="567"/>
          <w:jc w:val="center"/>
        </w:trPr>
        <w:tc>
          <w:tcPr>
            <w:tcW w:w="1437" w:type="pct"/>
            <w:shd w:val="clear" w:color="auto" w:fill="009D73"/>
            <w:vAlign w:val="center"/>
          </w:tcPr>
          <w:p w14:paraId="018D3E3B" w14:textId="665A875F"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Link with the strategic goal</w:t>
            </w:r>
          </w:p>
        </w:tc>
        <w:tc>
          <w:tcPr>
            <w:tcW w:w="3563" w:type="pct"/>
            <w:gridSpan w:val="3"/>
            <w:shd w:val="clear" w:color="auto" w:fill="FFFFFF"/>
            <w:vAlign w:val="center"/>
          </w:tcPr>
          <w:p w14:paraId="229902D3" w14:textId="445B208A" w:rsidR="0059116C" w:rsidRPr="007C4D65" w:rsidRDefault="0059116C" w:rsidP="00B6017F">
            <w:pPr>
              <w:spacing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 xml:space="preserve">6. </w:t>
            </w:r>
            <w:r w:rsidR="007934C2" w:rsidRPr="007C4D65">
              <w:rPr>
                <w:rFonts w:asciiTheme="minorHAnsi" w:hAnsiTheme="minorHAnsi" w:cstheme="minorHAnsi"/>
                <w:b/>
                <w:bCs/>
                <w:sz w:val="18"/>
                <w:szCs w:val="18"/>
              </w:rPr>
              <w:t>Sustainable resource management</w:t>
            </w:r>
          </w:p>
        </w:tc>
      </w:tr>
      <w:tr w:rsidR="0059116C" w:rsidRPr="007C4D65" w14:paraId="1FD4A0B4" w14:textId="77777777" w:rsidTr="00B6017F">
        <w:trPr>
          <w:trHeight w:val="567"/>
          <w:jc w:val="center"/>
        </w:trPr>
        <w:tc>
          <w:tcPr>
            <w:tcW w:w="1437" w:type="pct"/>
            <w:shd w:val="clear" w:color="auto" w:fill="009D73"/>
            <w:vAlign w:val="center"/>
          </w:tcPr>
          <w:p w14:paraId="30A020E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Priority</w:t>
            </w:r>
          </w:p>
        </w:tc>
        <w:tc>
          <w:tcPr>
            <w:tcW w:w="3563" w:type="pct"/>
            <w:gridSpan w:val="3"/>
            <w:shd w:val="clear" w:color="auto" w:fill="FFFFFF"/>
            <w:vAlign w:val="center"/>
          </w:tcPr>
          <w:p w14:paraId="0A19EE38" w14:textId="77777777"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6.5. Establish a system of sustainable and responsible research, exploitation and management of mineral resources</w:t>
            </w:r>
          </w:p>
        </w:tc>
      </w:tr>
      <w:tr w:rsidR="0059116C" w:rsidRPr="007C4D65" w14:paraId="7F5503CC" w14:textId="77777777" w:rsidTr="00B6017F">
        <w:trPr>
          <w:trHeight w:val="567"/>
          <w:jc w:val="center"/>
        </w:trPr>
        <w:tc>
          <w:tcPr>
            <w:tcW w:w="1437" w:type="pct"/>
            <w:shd w:val="clear" w:color="auto" w:fill="009D73"/>
            <w:vAlign w:val="center"/>
          </w:tcPr>
          <w:p w14:paraId="3B25E25F" w14:textId="2270A43C" w:rsidR="0059116C" w:rsidRPr="007C4D65" w:rsidRDefault="007934C2"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Name of the measure</w:t>
            </w:r>
          </w:p>
        </w:tc>
        <w:tc>
          <w:tcPr>
            <w:tcW w:w="3563" w:type="pct"/>
            <w:gridSpan w:val="3"/>
            <w:shd w:val="clear" w:color="auto" w:fill="FFFFFF"/>
            <w:vAlign w:val="center"/>
          </w:tcPr>
          <w:p w14:paraId="376A2D34" w14:textId="4D2AD4B2" w:rsidR="0059116C" w:rsidRPr="007C4D65" w:rsidRDefault="0059116C" w:rsidP="00B6017F">
            <w:pPr>
              <w:spacing w:before="40" w:after="40" w:line="276" w:lineRule="auto"/>
              <w:rPr>
                <w:rFonts w:asciiTheme="minorHAnsi" w:eastAsiaTheme="minorHAnsi" w:hAnsiTheme="minorHAnsi" w:cstheme="minorHAnsi"/>
                <w:b/>
                <w:bCs/>
                <w:sz w:val="18"/>
                <w:szCs w:val="18"/>
              </w:rPr>
            </w:pPr>
            <w:r w:rsidRPr="007C4D65">
              <w:rPr>
                <w:rFonts w:asciiTheme="minorHAnsi" w:hAnsiTheme="minorHAnsi" w:cstheme="minorHAnsi"/>
                <w:b/>
                <w:bCs/>
                <w:sz w:val="18"/>
                <w:szCs w:val="18"/>
              </w:rPr>
              <w:t>6.5.1 Establishing a framework for sustainable use and exploitation of mineral resources</w:t>
            </w:r>
          </w:p>
        </w:tc>
      </w:tr>
      <w:tr w:rsidR="0059116C" w:rsidRPr="007C4D65" w14:paraId="736814A3" w14:textId="77777777" w:rsidTr="00B6017F">
        <w:trPr>
          <w:trHeight w:val="567"/>
          <w:jc w:val="center"/>
        </w:trPr>
        <w:tc>
          <w:tcPr>
            <w:tcW w:w="1437" w:type="pct"/>
            <w:shd w:val="clear" w:color="auto" w:fill="009D73"/>
            <w:vAlign w:val="center"/>
          </w:tcPr>
          <w:p w14:paraId="7B7F962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Description of the measure with the general area of intervention</w:t>
            </w:r>
            <w:r w:rsidRPr="007C4D65">
              <w:rPr>
                <w:rFonts w:asciiTheme="minorHAnsi" w:hAnsiTheme="minorHAnsi" w:cstheme="minorHAnsi"/>
                <w:b/>
                <w:color w:val="FFFFFF" w:themeColor="background1"/>
                <w:sz w:val="18"/>
                <w:szCs w:val="18"/>
              </w:rPr>
              <w:t xml:space="preserve"> </w:t>
            </w:r>
          </w:p>
        </w:tc>
        <w:tc>
          <w:tcPr>
            <w:tcW w:w="3563" w:type="pct"/>
            <w:gridSpan w:val="3"/>
            <w:shd w:val="clear" w:color="auto" w:fill="FFFFFF"/>
            <w:vAlign w:val="center"/>
          </w:tcPr>
          <w:p w14:paraId="68AF54EA"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This measure aims to provide for a comprehensive approach to securing mineral resources for development of industry in Federation of BiH, and it includes:</w:t>
            </w:r>
          </w:p>
          <w:p w14:paraId="295988A0" w14:textId="7F2E8AB9" w:rsidR="0059116C" w:rsidRPr="007C4D65" w:rsidRDefault="0059116C">
            <w:pPr>
              <w:numPr>
                <w:ilvl w:val="0"/>
                <w:numId w:val="81"/>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t>Development of a strategy for cost effective, socially and environmentally acceptable exploitation of ores and minerals that would include recovery of mineral and metallic resources from waste (urban mining, circular economy</w:t>
            </w:r>
            <w:proofErr w:type="gramStart"/>
            <w:r w:rsidRPr="007C4D65">
              <w:rPr>
                <w:rFonts w:asciiTheme="minorHAnsi" w:hAnsiTheme="minorHAnsi" w:cstheme="minorHAnsi"/>
                <w:sz w:val="18"/>
                <w:szCs w:val="18"/>
              </w:rPr>
              <w:t>)</w:t>
            </w:r>
            <w:r w:rsidR="00EA23CE" w:rsidRPr="007C4D65">
              <w:rPr>
                <w:rFonts w:asciiTheme="minorHAnsi" w:eastAsiaTheme="minorHAnsi" w:hAnsiTheme="minorHAnsi" w:cstheme="minorHAnsi"/>
                <w:sz w:val="18"/>
                <w:szCs w:val="18"/>
              </w:rPr>
              <w:t>;</w:t>
            </w:r>
            <w:proofErr w:type="gramEnd"/>
          </w:p>
          <w:p w14:paraId="6ADB2003" w14:textId="378CE826" w:rsidR="0059116C" w:rsidRPr="007C4D65" w:rsidRDefault="0059116C">
            <w:pPr>
              <w:numPr>
                <w:ilvl w:val="0"/>
                <w:numId w:val="81"/>
              </w:numPr>
              <w:spacing w:before="40" w:after="40" w:line="276" w:lineRule="auto"/>
              <w:ind w:left="360"/>
              <w:contextualSpacing/>
              <w:rPr>
                <w:rFonts w:asciiTheme="minorHAnsi" w:eastAsiaTheme="minorHAnsi" w:hAnsiTheme="minorHAnsi" w:cstheme="minorHAnsi"/>
                <w:sz w:val="18"/>
                <w:szCs w:val="18"/>
              </w:rPr>
            </w:pPr>
            <w:r w:rsidRPr="007C4D65">
              <w:rPr>
                <w:rFonts w:asciiTheme="minorHAnsi" w:hAnsiTheme="minorHAnsi" w:cstheme="minorHAnsi"/>
                <w:sz w:val="18"/>
                <w:szCs w:val="18"/>
              </w:rPr>
              <w:lastRenderedPageBreak/>
              <w:t>Development of programmes and plans for introduction of contemporary technologies in mines owned by Federation of BiH for the purpose of providing conditions for improved efficiency of exploitation and use of mineral resources, and prevention of waste generation</w:t>
            </w:r>
            <w:r w:rsidR="00EA23CE" w:rsidRPr="007C4D65">
              <w:rPr>
                <w:rFonts w:asciiTheme="minorHAnsi" w:hAnsiTheme="minorHAnsi" w:cstheme="minorHAnsi"/>
                <w:sz w:val="18"/>
                <w:szCs w:val="18"/>
              </w:rPr>
              <w:t>.</w:t>
            </w:r>
          </w:p>
        </w:tc>
      </w:tr>
      <w:tr w:rsidR="0059116C" w:rsidRPr="007C4D65" w14:paraId="7AC0218C" w14:textId="77777777" w:rsidTr="00B6017F">
        <w:trPr>
          <w:trHeight w:val="567"/>
          <w:jc w:val="center"/>
        </w:trPr>
        <w:tc>
          <w:tcPr>
            <w:tcW w:w="1437" w:type="pct"/>
            <w:shd w:val="clear" w:color="auto" w:fill="009D73"/>
            <w:vAlign w:val="center"/>
          </w:tcPr>
          <w:p w14:paraId="7AECB3A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Strategic projects</w:t>
            </w:r>
          </w:p>
        </w:tc>
        <w:tc>
          <w:tcPr>
            <w:tcW w:w="3563" w:type="pct"/>
            <w:gridSpan w:val="3"/>
            <w:shd w:val="clear" w:color="auto" w:fill="FFFFFF" w:themeFill="background1"/>
            <w:vAlign w:val="center"/>
          </w:tcPr>
          <w:p w14:paraId="65B563BC"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w:t>
            </w:r>
          </w:p>
        </w:tc>
      </w:tr>
      <w:tr w:rsidR="0059116C" w:rsidRPr="007C4D65" w14:paraId="571006E7" w14:textId="77777777" w:rsidTr="00B6017F">
        <w:trPr>
          <w:trHeight w:val="567"/>
          <w:jc w:val="center"/>
        </w:trPr>
        <w:tc>
          <w:tcPr>
            <w:tcW w:w="1437" w:type="pct"/>
            <w:vMerge w:val="restart"/>
            <w:shd w:val="clear" w:color="auto" w:fill="009D73"/>
            <w:vAlign w:val="center"/>
          </w:tcPr>
          <w:p w14:paraId="37D3FA89"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Indicators for monitoring of results of measures</w:t>
            </w:r>
          </w:p>
        </w:tc>
        <w:tc>
          <w:tcPr>
            <w:tcW w:w="1142" w:type="pct"/>
            <w:shd w:val="clear" w:color="auto" w:fill="009D73"/>
            <w:vAlign w:val="center"/>
          </w:tcPr>
          <w:p w14:paraId="5A3F2B37"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Indicators</w:t>
            </w:r>
          </w:p>
          <w:p w14:paraId="4469C7D4" w14:textId="2647EB5A" w:rsidR="0059116C" w:rsidRPr="007C4D65" w:rsidRDefault="005C416E"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w:t>
            </w:r>
            <w:proofErr w:type="gramStart"/>
            <w:r w:rsidRPr="007C4D65">
              <w:rPr>
                <w:rFonts w:asciiTheme="minorHAnsi" w:hAnsiTheme="minorHAnsi" w:cstheme="minorHAnsi"/>
                <w:b/>
                <w:color w:val="FFFFFF" w:themeColor="background1"/>
                <w:sz w:val="18"/>
                <w:szCs w:val="18"/>
              </w:rPr>
              <w:t>outputs</w:t>
            </w:r>
            <w:proofErr w:type="gramEnd"/>
            <w:r w:rsidRPr="007C4D65">
              <w:rPr>
                <w:rFonts w:asciiTheme="minorHAnsi" w:hAnsiTheme="minorHAnsi" w:cstheme="minorHAnsi"/>
                <w:b/>
                <w:color w:val="FFFFFF" w:themeColor="background1"/>
                <w:sz w:val="18"/>
                <w:szCs w:val="18"/>
              </w:rPr>
              <w:t xml:space="preserve"> and deliverables)</w:t>
            </w:r>
          </w:p>
        </w:tc>
        <w:tc>
          <w:tcPr>
            <w:tcW w:w="1210" w:type="pct"/>
            <w:shd w:val="clear" w:color="auto" w:fill="009D73"/>
            <w:vAlign w:val="center"/>
          </w:tcPr>
          <w:p w14:paraId="2923EA9B"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Baseline value</w:t>
            </w:r>
          </w:p>
          <w:p w14:paraId="61EC06EF"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(2021)</w:t>
            </w:r>
          </w:p>
        </w:tc>
        <w:tc>
          <w:tcPr>
            <w:tcW w:w="1211" w:type="pct"/>
            <w:shd w:val="clear" w:color="auto" w:fill="009D73"/>
            <w:vAlign w:val="center"/>
          </w:tcPr>
          <w:p w14:paraId="36D2FBBB" w14:textId="77777777" w:rsidR="0059116C" w:rsidRPr="007C4D65" w:rsidRDefault="0059116C" w:rsidP="00B6017F">
            <w:pPr>
              <w:spacing w:before="40" w:after="40" w:line="276" w:lineRule="auto"/>
              <w:jc w:val="center"/>
              <w:rPr>
                <w:rFonts w:asciiTheme="minorHAnsi" w:eastAsia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szCs w:val="18"/>
              </w:rPr>
              <w:t>Target value</w:t>
            </w:r>
          </w:p>
        </w:tc>
      </w:tr>
      <w:tr w:rsidR="0059116C" w:rsidRPr="007C4D65" w14:paraId="60B59922" w14:textId="77777777" w:rsidTr="00B6017F">
        <w:trPr>
          <w:trHeight w:val="567"/>
          <w:jc w:val="center"/>
        </w:trPr>
        <w:tc>
          <w:tcPr>
            <w:tcW w:w="1437" w:type="pct"/>
            <w:vMerge/>
            <w:shd w:val="clear" w:color="auto" w:fill="009D73"/>
            <w:vAlign w:val="center"/>
          </w:tcPr>
          <w:p w14:paraId="1CE5C12F"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142" w:type="pct"/>
            <w:shd w:val="clear" w:color="auto" w:fill="FFFFFF"/>
            <w:vAlign w:val="center"/>
          </w:tcPr>
          <w:p w14:paraId="3530E5D1"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a framework for sustainable use and exploitation of mineral resources</w:t>
            </w:r>
          </w:p>
        </w:tc>
        <w:tc>
          <w:tcPr>
            <w:tcW w:w="1210" w:type="pct"/>
            <w:shd w:val="clear" w:color="auto" w:fill="FFFFFF"/>
            <w:vAlign w:val="center"/>
          </w:tcPr>
          <w:p w14:paraId="2FED502E"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Federation of BiH does not have an integrated framework for managing mineral resources, that would include recovery of resources from products, manufacturing or construction, so the exploitation and import of raw materials is currently the only solution </w:t>
            </w:r>
          </w:p>
        </w:tc>
        <w:tc>
          <w:tcPr>
            <w:tcW w:w="1211" w:type="pct"/>
            <w:shd w:val="clear" w:color="auto" w:fill="FFFFFF"/>
            <w:vAlign w:val="center"/>
          </w:tcPr>
          <w:p w14:paraId="3E29B29A"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By 2026, developed is a strategy for cost </w:t>
            </w:r>
            <w:proofErr w:type="gramStart"/>
            <w:r w:rsidRPr="007C4D65">
              <w:rPr>
                <w:rFonts w:asciiTheme="minorHAnsi" w:hAnsiTheme="minorHAnsi" w:cstheme="minorHAnsi"/>
                <w:sz w:val="18"/>
                <w:szCs w:val="18"/>
              </w:rPr>
              <w:t>effective,  socially</w:t>
            </w:r>
            <w:proofErr w:type="gramEnd"/>
            <w:r w:rsidRPr="007C4D65">
              <w:rPr>
                <w:rFonts w:asciiTheme="minorHAnsi" w:hAnsiTheme="minorHAnsi" w:cstheme="minorHAnsi"/>
                <w:sz w:val="18"/>
                <w:szCs w:val="18"/>
              </w:rPr>
              <w:t xml:space="preserve"> and environmentally acceptable exploitation of ores and minerals that includes recovery of mineral and metallic resources from waste (urban mining, circular economy)</w:t>
            </w:r>
          </w:p>
        </w:tc>
      </w:tr>
      <w:tr w:rsidR="0059116C" w:rsidRPr="007C4D65" w14:paraId="0BBFCA68" w14:textId="77777777" w:rsidTr="00B6017F">
        <w:trPr>
          <w:trHeight w:val="567"/>
          <w:jc w:val="center"/>
        </w:trPr>
        <w:tc>
          <w:tcPr>
            <w:tcW w:w="1437" w:type="pct"/>
            <w:vMerge/>
            <w:shd w:val="clear" w:color="auto" w:fill="009D73"/>
            <w:vAlign w:val="center"/>
          </w:tcPr>
          <w:p w14:paraId="31C0895D"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lang w:val="hr-HR" w:eastAsia="en-US" w:bidi="en-US"/>
              </w:rPr>
            </w:pPr>
          </w:p>
        </w:tc>
        <w:tc>
          <w:tcPr>
            <w:tcW w:w="1142" w:type="pct"/>
            <w:shd w:val="clear" w:color="auto" w:fill="FFFFFF"/>
            <w:vAlign w:val="center"/>
          </w:tcPr>
          <w:p w14:paraId="426290B9" w14:textId="77777777" w:rsidR="0059116C" w:rsidRPr="007C4D65" w:rsidRDefault="0059116C" w:rsidP="00B6017F">
            <w:pPr>
              <w:spacing w:before="40" w:after="40" w:line="276" w:lineRule="auto"/>
              <w:rPr>
                <w:rFonts w:asciiTheme="minorHAnsi" w:eastAsia="Calibri" w:hAnsiTheme="minorHAnsi" w:cstheme="minorHAnsi"/>
                <w:sz w:val="18"/>
                <w:szCs w:val="18"/>
              </w:rPr>
            </w:pPr>
            <w:r w:rsidRPr="007C4D65">
              <w:rPr>
                <w:rFonts w:asciiTheme="minorHAnsi" w:hAnsiTheme="minorHAnsi" w:cstheme="minorHAnsi"/>
                <w:sz w:val="18"/>
                <w:szCs w:val="18"/>
              </w:rPr>
              <w:t>Existence of programmes and plans for more efficient exploitation of mineral resources.</w:t>
            </w:r>
          </w:p>
        </w:tc>
        <w:tc>
          <w:tcPr>
            <w:tcW w:w="1210" w:type="pct"/>
            <w:shd w:val="clear" w:color="auto" w:fill="FFFFFF"/>
            <w:vAlign w:val="center"/>
          </w:tcPr>
          <w:p w14:paraId="5A56DE2D"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Current level of technical equipment in Federation of BiH is not conductive for efficient exploitation of raw materials</w:t>
            </w:r>
          </w:p>
        </w:tc>
        <w:tc>
          <w:tcPr>
            <w:tcW w:w="1211" w:type="pct"/>
            <w:shd w:val="clear" w:color="auto" w:fill="FFFFFF"/>
            <w:vAlign w:val="center"/>
          </w:tcPr>
          <w:p w14:paraId="51963D70"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color w:val="000000"/>
                <w:sz w:val="18"/>
                <w:szCs w:val="18"/>
              </w:rPr>
              <w:t>By 2029, adopted are programmes and plans for introduction of contemporary technology in mines owned by Federation of BiH for the purpose of providing conditions for improved efficiency of exploitation and use of mineral resources and prevention of generation of waste</w:t>
            </w:r>
          </w:p>
        </w:tc>
      </w:tr>
      <w:tr w:rsidR="0059116C" w:rsidRPr="007C4D65" w14:paraId="4AB9FA32" w14:textId="77777777" w:rsidTr="00B6017F">
        <w:trPr>
          <w:trHeight w:val="567"/>
          <w:jc w:val="center"/>
        </w:trPr>
        <w:tc>
          <w:tcPr>
            <w:tcW w:w="1437" w:type="pct"/>
            <w:shd w:val="clear" w:color="auto" w:fill="009D73"/>
            <w:vAlign w:val="center"/>
          </w:tcPr>
          <w:p w14:paraId="57C4ADA7"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Developmental impact and contribution of the measure to achieving the priority</w:t>
            </w:r>
          </w:p>
        </w:tc>
        <w:tc>
          <w:tcPr>
            <w:tcW w:w="3563" w:type="pct"/>
            <w:gridSpan w:val="3"/>
            <w:shd w:val="clear" w:color="auto" w:fill="FFFFFF" w:themeFill="background1"/>
            <w:vAlign w:val="center"/>
          </w:tcPr>
          <w:p w14:paraId="2F46D083" w14:textId="6C858899"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Improved efficiency of exploitation and use of mineral resources and mitigation of negative environmental impact of mining</w:t>
            </w:r>
          </w:p>
        </w:tc>
      </w:tr>
      <w:tr w:rsidR="0059116C" w:rsidRPr="007C4D65" w14:paraId="7D0F66C8" w14:textId="77777777" w:rsidTr="00B6017F">
        <w:trPr>
          <w:trHeight w:val="567"/>
          <w:jc w:val="center"/>
        </w:trPr>
        <w:tc>
          <w:tcPr>
            <w:tcW w:w="1437" w:type="pct"/>
            <w:shd w:val="clear" w:color="auto" w:fill="009D73"/>
            <w:vAlign w:val="center"/>
          </w:tcPr>
          <w:p w14:paraId="5BC02A6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Indicative financial projection, with indication of sources</w:t>
            </w:r>
          </w:p>
        </w:tc>
        <w:tc>
          <w:tcPr>
            <w:tcW w:w="3563" w:type="pct"/>
            <w:gridSpan w:val="3"/>
            <w:shd w:val="clear" w:color="auto" w:fill="FFFFFF" w:themeFill="background1"/>
            <w:vAlign w:val="center"/>
          </w:tcPr>
          <w:p w14:paraId="76269963" w14:textId="77777777" w:rsidR="0059116C" w:rsidRPr="007C4D65" w:rsidRDefault="0059116C"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szCs w:val="18"/>
              </w:rPr>
              <w:t>Amount: BAM 160,243</w:t>
            </w:r>
          </w:p>
          <w:p w14:paraId="41D7561D" w14:textId="77777777" w:rsidR="0059116C" w:rsidRPr="007C4D65" w:rsidRDefault="0059116C" w:rsidP="00B6017F">
            <w:pPr>
              <w:spacing w:before="40" w:after="40" w:line="276" w:lineRule="auto"/>
              <w:rPr>
                <w:rFonts w:asciiTheme="minorHAnsi" w:eastAsiaTheme="minorHAnsi" w:hAnsiTheme="minorHAnsi" w:cstheme="minorHAnsi"/>
                <w:bCs/>
                <w:sz w:val="18"/>
                <w:szCs w:val="18"/>
              </w:rPr>
            </w:pPr>
            <w:r w:rsidRPr="007C4D65">
              <w:rPr>
                <w:rFonts w:asciiTheme="minorHAnsi" w:hAnsiTheme="minorHAnsi" w:cstheme="minorHAnsi"/>
                <w:sz w:val="18"/>
                <w:szCs w:val="18"/>
              </w:rPr>
              <w:t>Source: 30% from the government budget, 70% from EU and other international donors</w:t>
            </w:r>
          </w:p>
        </w:tc>
      </w:tr>
      <w:tr w:rsidR="0059116C" w:rsidRPr="007C4D65" w14:paraId="50431343" w14:textId="77777777" w:rsidTr="00B6017F">
        <w:trPr>
          <w:trHeight w:val="567"/>
          <w:jc w:val="center"/>
        </w:trPr>
        <w:tc>
          <w:tcPr>
            <w:tcW w:w="1437" w:type="pct"/>
            <w:shd w:val="clear" w:color="auto" w:fill="009D73"/>
            <w:vAlign w:val="center"/>
          </w:tcPr>
          <w:p w14:paraId="52E6F51A"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Period of implementation of the measure</w:t>
            </w:r>
          </w:p>
        </w:tc>
        <w:tc>
          <w:tcPr>
            <w:tcW w:w="3563" w:type="pct"/>
            <w:gridSpan w:val="3"/>
            <w:shd w:val="clear" w:color="auto" w:fill="FFFFFF"/>
            <w:vAlign w:val="center"/>
          </w:tcPr>
          <w:p w14:paraId="0155B666"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2025‒2029</w:t>
            </w:r>
          </w:p>
        </w:tc>
      </w:tr>
      <w:tr w:rsidR="0059116C" w:rsidRPr="007C4D65" w14:paraId="60ED5E35" w14:textId="77777777" w:rsidTr="00B6017F">
        <w:trPr>
          <w:trHeight w:val="567"/>
          <w:jc w:val="center"/>
        </w:trPr>
        <w:tc>
          <w:tcPr>
            <w:tcW w:w="1437" w:type="pct"/>
            <w:shd w:val="clear" w:color="auto" w:fill="009D73"/>
            <w:vAlign w:val="center"/>
          </w:tcPr>
          <w:p w14:paraId="3846D1A0"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Institution responsible for coordination and implementation of the measure</w:t>
            </w:r>
          </w:p>
        </w:tc>
        <w:tc>
          <w:tcPr>
            <w:tcW w:w="3563" w:type="pct"/>
            <w:gridSpan w:val="3"/>
            <w:shd w:val="clear" w:color="auto" w:fill="FFFFFF"/>
            <w:vAlign w:val="center"/>
          </w:tcPr>
          <w:p w14:paraId="0FE4B5BA"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Energy, Mining and Industry</w:t>
            </w:r>
          </w:p>
          <w:p w14:paraId="541C68CD"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Environment and Tourism</w:t>
            </w:r>
          </w:p>
        </w:tc>
      </w:tr>
      <w:tr w:rsidR="0059116C" w:rsidRPr="007C4D65" w14:paraId="0C1CF934" w14:textId="77777777" w:rsidTr="00B6017F">
        <w:trPr>
          <w:trHeight w:val="567"/>
          <w:jc w:val="center"/>
        </w:trPr>
        <w:tc>
          <w:tcPr>
            <w:tcW w:w="1437" w:type="pct"/>
            <w:shd w:val="clear" w:color="auto" w:fill="009D73"/>
            <w:vAlign w:val="center"/>
          </w:tcPr>
          <w:p w14:paraId="0D43FA03" w14:textId="77777777" w:rsidR="0059116C" w:rsidRPr="007C4D65" w:rsidRDefault="0059116C"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t>Implementing institution</w:t>
            </w:r>
          </w:p>
        </w:tc>
        <w:tc>
          <w:tcPr>
            <w:tcW w:w="3563" w:type="pct"/>
            <w:gridSpan w:val="3"/>
            <w:shd w:val="clear" w:color="auto" w:fill="FFFFFF"/>
            <w:vAlign w:val="center"/>
          </w:tcPr>
          <w:p w14:paraId="03DB0801"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t>Federation of BiH Ministry of Energy, Mining and Industry</w:t>
            </w:r>
          </w:p>
          <w:p w14:paraId="04CEC9B6" w14:textId="77777777" w:rsidR="0059116C" w:rsidRPr="007C4D65" w:rsidRDefault="0059116C" w:rsidP="00B6017F">
            <w:pPr>
              <w:spacing w:before="40" w:after="40" w:line="276" w:lineRule="auto"/>
              <w:rPr>
                <w:rFonts w:asciiTheme="minorHAnsi" w:eastAsiaTheme="minorHAnsi" w:hAnsiTheme="minorHAnsi" w:cstheme="minorHAnsi"/>
                <w:color w:val="000000"/>
                <w:sz w:val="18"/>
                <w:szCs w:val="18"/>
              </w:rPr>
            </w:pPr>
            <w:r w:rsidRPr="007C4D65">
              <w:rPr>
                <w:rFonts w:asciiTheme="minorHAnsi" w:hAnsiTheme="minorHAnsi" w:cstheme="minorHAnsi"/>
                <w:color w:val="000000"/>
                <w:sz w:val="18"/>
                <w:szCs w:val="18"/>
              </w:rPr>
              <w:lastRenderedPageBreak/>
              <w:t>Federation of BiH Ministry of Environment and Tourism</w:t>
            </w:r>
          </w:p>
        </w:tc>
      </w:tr>
      <w:tr w:rsidR="0059116C" w:rsidRPr="007C4D65" w14:paraId="25B87676" w14:textId="77777777" w:rsidTr="00B6017F">
        <w:trPr>
          <w:trHeight w:val="274"/>
          <w:jc w:val="center"/>
        </w:trPr>
        <w:tc>
          <w:tcPr>
            <w:tcW w:w="1437" w:type="pct"/>
            <w:shd w:val="clear" w:color="auto" w:fill="009D73"/>
            <w:vAlign w:val="center"/>
          </w:tcPr>
          <w:p w14:paraId="4E90E834" w14:textId="168CFB96" w:rsidR="0059116C"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rPr>
            </w:pPr>
            <w:r w:rsidRPr="007C4D65">
              <w:rPr>
                <w:rFonts w:asciiTheme="minorHAnsi" w:hAnsiTheme="minorHAnsi" w:cstheme="minorHAnsi"/>
                <w:b/>
                <w:bCs/>
                <w:color w:val="FFFFFF" w:themeColor="background1"/>
                <w:sz w:val="18"/>
                <w:szCs w:val="18"/>
              </w:rPr>
              <w:lastRenderedPageBreak/>
              <w:t>Target groups</w:t>
            </w:r>
          </w:p>
        </w:tc>
        <w:tc>
          <w:tcPr>
            <w:tcW w:w="3563" w:type="pct"/>
            <w:gridSpan w:val="3"/>
            <w:shd w:val="clear" w:color="auto" w:fill="FFFFFF"/>
            <w:vAlign w:val="center"/>
          </w:tcPr>
          <w:p w14:paraId="2828E217"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Mining companies</w:t>
            </w:r>
          </w:p>
          <w:p w14:paraId="437665F8"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Commercial companies</w:t>
            </w:r>
          </w:p>
          <w:p w14:paraId="3032BE3A" w14:textId="77777777" w:rsidR="0059116C" w:rsidRPr="007C4D65" w:rsidRDefault="0059116C" w:rsidP="00B6017F">
            <w:pPr>
              <w:spacing w:before="40" w:after="40" w:line="276" w:lineRule="auto"/>
              <w:rPr>
                <w:rFonts w:asciiTheme="minorHAnsi" w:eastAsiaTheme="minorHAnsi" w:hAnsiTheme="minorHAnsi" w:cstheme="minorHAnsi"/>
                <w:sz w:val="18"/>
                <w:szCs w:val="18"/>
              </w:rPr>
            </w:pPr>
            <w:r w:rsidRPr="007C4D65">
              <w:rPr>
                <w:rFonts w:asciiTheme="minorHAnsi" w:hAnsiTheme="minorHAnsi" w:cstheme="minorHAnsi"/>
                <w:sz w:val="18"/>
                <w:szCs w:val="18"/>
              </w:rPr>
              <w:t xml:space="preserve">System operators for managing various kinds of waste (metal, construction waste, etc.) </w:t>
            </w:r>
          </w:p>
        </w:tc>
      </w:tr>
    </w:tbl>
    <w:p w14:paraId="30A559F8" w14:textId="77777777" w:rsidR="0059116C" w:rsidRPr="007C4D65" w:rsidRDefault="0059116C" w:rsidP="0059116C">
      <w:pPr>
        <w:rPr>
          <w:rFonts w:asciiTheme="minorHAnsi" w:hAnsiTheme="minorHAnsi" w:cstheme="minorHAnsi"/>
          <w:sz w:val="18"/>
          <w:szCs w:val="18"/>
        </w:rPr>
      </w:pPr>
    </w:p>
    <w:p w14:paraId="4DE8ADAD" w14:textId="290F9F1A" w:rsidR="003E39E1" w:rsidRPr="007C4D65" w:rsidRDefault="003E39E1" w:rsidP="0068355A">
      <w:pPr>
        <w:spacing w:line="276" w:lineRule="auto"/>
        <w:rPr>
          <w:rFonts w:asciiTheme="minorHAnsi" w:hAnsiTheme="minorHAnsi" w:cstheme="minorHAnsi"/>
          <w:sz w:val="18"/>
          <w:szCs w:val="18"/>
        </w:rPr>
      </w:pPr>
    </w:p>
    <w:p w14:paraId="725BB0FE" w14:textId="65244889" w:rsidR="006B1177" w:rsidRPr="007C4D65" w:rsidRDefault="00AA2A8B" w:rsidP="00AA2A8B">
      <w:pPr>
        <w:pStyle w:val="Head2"/>
        <w:numPr>
          <w:ilvl w:val="0"/>
          <w:numId w:val="0"/>
        </w:numPr>
        <w:spacing w:line="276" w:lineRule="auto"/>
        <w:ind w:left="720"/>
        <w:rPr>
          <w:rFonts w:asciiTheme="minorHAnsi" w:hAnsiTheme="minorHAnsi"/>
          <w:sz w:val="18"/>
          <w:szCs w:val="18"/>
        </w:rPr>
      </w:pPr>
      <w:bookmarkStart w:id="315" w:name="_Toc117445382"/>
      <w:r w:rsidRPr="007C4D65">
        <w:rPr>
          <w:rFonts w:asciiTheme="minorHAnsi" w:hAnsiTheme="minorHAnsi"/>
          <w:sz w:val="18"/>
          <w:szCs w:val="18"/>
        </w:rPr>
        <w:t xml:space="preserve">13.7. </w:t>
      </w:r>
      <w:r w:rsidR="00C41DB3" w:rsidRPr="007C4D65">
        <w:rPr>
          <w:rFonts w:asciiTheme="minorHAnsi" w:hAnsiTheme="minorHAnsi"/>
          <w:sz w:val="18"/>
          <w:szCs w:val="18"/>
        </w:rPr>
        <w:t xml:space="preserve">Annex 7 </w:t>
      </w:r>
      <w:r w:rsidR="00CD3D80" w:rsidRPr="007C4D65">
        <w:rPr>
          <w:rFonts w:asciiTheme="minorHAnsi" w:hAnsiTheme="minorHAnsi"/>
          <w:sz w:val="18"/>
          <w:szCs w:val="18"/>
        </w:rPr>
        <w:t>A d</w:t>
      </w:r>
      <w:r w:rsidR="003974D8" w:rsidRPr="007C4D65">
        <w:rPr>
          <w:rFonts w:asciiTheme="minorHAnsi" w:hAnsiTheme="minorHAnsi"/>
          <w:sz w:val="18"/>
          <w:szCs w:val="18"/>
        </w:rPr>
        <w:t xml:space="preserve">etailed overview of measures </w:t>
      </w:r>
      <w:r w:rsidR="00554F5A" w:rsidRPr="007C4D65">
        <w:rPr>
          <w:rFonts w:asciiTheme="minorHAnsi" w:hAnsiTheme="minorHAnsi"/>
          <w:sz w:val="18"/>
          <w:szCs w:val="18"/>
        </w:rPr>
        <w:t>in</w:t>
      </w:r>
      <w:r w:rsidR="003974D8" w:rsidRPr="007C4D65">
        <w:rPr>
          <w:rFonts w:asciiTheme="minorHAnsi" w:hAnsiTheme="minorHAnsi"/>
          <w:sz w:val="18"/>
          <w:szCs w:val="18"/>
        </w:rPr>
        <w:t xml:space="preserve"> </w:t>
      </w:r>
      <w:r w:rsidR="00DA51A1" w:rsidRPr="007C4D65">
        <w:rPr>
          <w:rFonts w:asciiTheme="minorHAnsi" w:hAnsiTheme="minorHAnsi"/>
          <w:sz w:val="18"/>
          <w:szCs w:val="18"/>
        </w:rPr>
        <w:t>Environmental</w:t>
      </w:r>
      <w:r w:rsidR="003974D8" w:rsidRPr="007C4D65">
        <w:rPr>
          <w:rFonts w:asciiTheme="minorHAnsi" w:hAnsiTheme="minorHAnsi"/>
          <w:sz w:val="18"/>
          <w:szCs w:val="18"/>
        </w:rPr>
        <w:t xml:space="preserve"> Management</w:t>
      </w:r>
      <w:bookmarkEnd w:id="315"/>
    </w:p>
    <w:tbl>
      <w:tblPr>
        <w:tblW w:w="4675"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4"/>
        <w:gridCol w:w="3289"/>
        <w:gridCol w:w="3344"/>
        <w:gridCol w:w="2864"/>
      </w:tblGrid>
      <w:tr w:rsidR="00DA51A1" w:rsidRPr="007C4D65" w14:paraId="6CE2F83A" w14:textId="77777777" w:rsidTr="00B6017F">
        <w:trPr>
          <w:trHeight w:val="567"/>
        </w:trPr>
        <w:tc>
          <w:tcPr>
            <w:tcW w:w="1359" w:type="pct"/>
            <w:shd w:val="clear" w:color="auto" w:fill="009D73"/>
            <w:vAlign w:val="center"/>
          </w:tcPr>
          <w:p w14:paraId="253F2749"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Link with strategic goal </w:t>
            </w:r>
          </w:p>
        </w:tc>
        <w:tc>
          <w:tcPr>
            <w:tcW w:w="3641" w:type="pct"/>
            <w:gridSpan w:val="3"/>
            <w:shd w:val="clear" w:color="auto" w:fill="FFFFFF"/>
            <w:vAlign w:val="center"/>
          </w:tcPr>
          <w:p w14:paraId="02D2D285" w14:textId="77777777" w:rsidR="00DA51A1" w:rsidRPr="007C4D65" w:rsidRDefault="00DA51A1" w:rsidP="00DA51A1">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7. Strengthening environmental management</w:t>
            </w:r>
          </w:p>
        </w:tc>
      </w:tr>
      <w:tr w:rsidR="00DA51A1" w:rsidRPr="007C4D65" w14:paraId="4214C864" w14:textId="77777777" w:rsidTr="00B6017F">
        <w:trPr>
          <w:trHeight w:val="567"/>
        </w:trPr>
        <w:tc>
          <w:tcPr>
            <w:tcW w:w="1359" w:type="pct"/>
            <w:shd w:val="clear" w:color="auto" w:fill="009D73"/>
            <w:vAlign w:val="center"/>
          </w:tcPr>
          <w:p w14:paraId="5A59C6F3"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41" w:type="pct"/>
            <w:gridSpan w:val="3"/>
            <w:shd w:val="clear" w:color="auto" w:fill="FFFFFF"/>
            <w:vAlign w:val="center"/>
          </w:tcPr>
          <w:p w14:paraId="41324F30" w14:textId="789ACE72" w:rsidR="00DA51A1" w:rsidRPr="007C4D65" w:rsidRDefault="00DA51A1" w:rsidP="00DA51A1">
            <w:pPr>
              <w:spacing w:before="40" w:after="40" w:line="276" w:lineRule="auto"/>
              <w:rPr>
                <w:rFonts w:asciiTheme="minorHAnsi" w:hAnsiTheme="minorHAnsi" w:cstheme="minorHAnsi"/>
                <w:b/>
                <w:bCs/>
                <w:sz w:val="18"/>
                <w:szCs w:val="18"/>
                <w:lang w:eastAsia="zh-TW"/>
              </w:rPr>
            </w:pPr>
            <w:r w:rsidRPr="007C4D65">
              <w:rPr>
                <w:rFonts w:asciiTheme="minorHAnsi" w:eastAsiaTheme="minorHAnsi" w:hAnsiTheme="minorHAnsi" w:cstheme="minorHAnsi"/>
                <w:b/>
                <w:bCs/>
                <w:sz w:val="18"/>
                <w:szCs w:val="18"/>
                <w:lang w:eastAsia="en-US"/>
              </w:rPr>
              <w:t xml:space="preserve">7.1 </w:t>
            </w:r>
            <w:r w:rsidR="00A36259" w:rsidRPr="007C4D65">
              <w:rPr>
                <w:rFonts w:asciiTheme="minorHAnsi" w:eastAsiaTheme="minorHAnsi" w:hAnsiTheme="minorHAnsi" w:cstheme="minorHAnsi"/>
                <w:b/>
                <w:bCs/>
                <w:sz w:val="18"/>
                <w:szCs w:val="18"/>
                <w:lang w:eastAsia="en-US"/>
              </w:rPr>
              <w:t>Improving</w:t>
            </w:r>
            <w:r w:rsidRPr="007C4D65">
              <w:rPr>
                <w:rFonts w:asciiTheme="minorHAnsi" w:eastAsiaTheme="minorHAnsi" w:hAnsiTheme="minorHAnsi" w:cstheme="minorHAnsi"/>
                <w:b/>
                <w:bCs/>
                <w:sz w:val="18"/>
                <w:szCs w:val="18"/>
                <w:lang w:eastAsia="en-US"/>
              </w:rPr>
              <w:t xml:space="preserve"> the legal framework and sector policies for planning, management and protection of environment in the Federation of </w:t>
            </w:r>
            <w:r w:rsidR="00385950" w:rsidRPr="007C4D65">
              <w:rPr>
                <w:rFonts w:asciiTheme="minorHAnsi" w:eastAsiaTheme="minorHAnsi" w:hAnsiTheme="minorHAnsi" w:cstheme="minorHAnsi"/>
                <w:b/>
                <w:bCs/>
                <w:sz w:val="18"/>
                <w:szCs w:val="18"/>
                <w:lang w:eastAsia="en-US"/>
              </w:rPr>
              <w:t>BiH</w:t>
            </w:r>
            <w:r w:rsidRPr="007C4D65">
              <w:rPr>
                <w:rFonts w:asciiTheme="minorHAnsi" w:eastAsiaTheme="minorHAnsi" w:hAnsiTheme="minorHAnsi" w:cstheme="minorHAnsi"/>
                <w:b/>
                <w:bCs/>
                <w:sz w:val="18"/>
                <w:szCs w:val="18"/>
                <w:lang w:eastAsia="en-US"/>
              </w:rPr>
              <w:t xml:space="preserve"> </w:t>
            </w:r>
            <w:r w:rsidR="00385950" w:rsidRPr="007C4D65">
              <w:rPr>
                <w:rFonts w:asciiTheme="minorHAnsi" w:eastAsiaTheme="minorHAnsi" w:hAnsiTheme="minorHAnsi" w:cstheme="minorHAnsi"/>
                <w:b/>
                <w:bCs/>
                <w:sz w:val="18"/>
                <w:szCs w:val="18"/>
                <w:lang w:eastAsia="en-US"/>
              </w:rPr>
              <w:t>with the view of fully aligning the legislation</w:t>
            </w:r>
            <w:r w:rsidRPr="007C4D65">
              <w:rPr>
                <w:rFonts w:asciiTheme="minorHAnsi" w:eastAsiaTheme="minorHAnsi" w:hAnsiTheme="minorHAnsi" w:cstheme="minorHAnsi"/>
                <w:b/>
                <w:bCs/>
                <w:sz w:val="18"/>
                <w:szCs w:val="18"/>
                <w:lang w:eastAsia="en-US"/>
              </w:rPr>
              <w:t xml:space="preserve"> with the EU </w:t>
            </w:r>
            <w:r w:rsidR="00385950" w:rsidRPr="007C4D65">
              <w:rPr>
                <w:rFonts w:asciiTheme="minorHAnsi" w:eastAsiaTheme="minorHAnsi" w:hAnsiTheme="minorHAnsi" w:cstheme="minorHAnsi"/>
                <w:b/>
                <w:bCs/>
                <w:sz w:val="18"/>
                <w:szCs w:val="18"/>
                <w:lang w:eastAsia="en-US"/>
              </w:rPr>
              <w:t xml:space="preserve">environmental </w:t>
            </w:r>
            <w:r w:rsidRPr="007C4D65">
              <w:rPr>
                <w:rFonts w:asciiTheme="minorHAnsi" w:eastAsiaTheme="minorHAnsi" w:hAnsiTheme="minorHAnsi" w:cstheme="minorHAnsi"/>
                <w:b/>
                <w:bCs/>
                <w:sz w:val="18"/>
                <w:szCs w:val="18"/>
                <w:lang w:eastAsia="en-US"/>
              </w:rPr>
              <w:t>acquis and international agreements</w:t>
            </w:r>
          </w:p>
        </w:tc>
      </w:tr>
      <w:tr w:rsidR="00DA51A1" w:rsidRPr="007C4D65" w14:paraId="3AFFB65C" w14:textId="77777777" w:rsidTr="00B6017F">
        <w:trPr>
          <w:trHeight w:val="567"/>
        </w:trPr>
        <w:tc>
          <w:tcPr>
            <w:tcW w:w="1359" w:type="pct"/>
            <w:shd w:val="clear" w:color="auto" w:fill="009D73"/>
            <w:vAlign w:val="center"/>
          </w:tcPr>
          <w:p w14:paraId="32588A02"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Measure</w:t>
            </w:r>
          </w:p>
        </w:tc>
        <w:tc>
          <w:tcPr>
            <w:tcW w:w="3641" w:type="pct"/>
            <w:gridSpan w:val="3"/>
            <w:shd w:val="clear" w:color="auto" w:fill="FFFFFF"/>
            <w:vAlign w:val="center"/>
          </w:tcPr>
          <w:p w14:paraId="09B334DD" w14:textId="38C09F9F" w:rsidR="00DA51A1" w:rsidRPr="007C4D65" w:rsidRDefault="00DA51A1" w:rsidP="00DA51A1">
            <w:pPr>
              <w:spacing w:before="40" w:after="40" w:line="276" w:lineRule="auto"/>
              <w:rPr>
                <w:rFonts w:asciiTheme="minorHAnsi" w:eastAsia="Calibri" w:hAnsiTheme="minorHAnsi" w:cstheme="minorHAnsi"/>
                <w:b/>
                <w:bCs/>
                <w:sz w:val="18"/>
                <w:szCs w:val="18"/>
                <w:lang w:eastAsia="x-none"/>
              </w:rPr>
            </w:pPr>
            <w:r w:rsidRPr="007C4D65">
              <w:rPr>
                <w:rFonts w:asciiTheme="minorHAnsi" w:eastAsia="Calibri" w:hAnsiTheme="minorHAnsi" w:cstheme="minorHAnsi"/>
                <w:b/>
                <w:bCs/>
                <w:sz w:val="18"/>
                <w:szCs w:val="18"/>
                <w:lang w:eastAsia="x-none"/>
              </w:rPr>
              <w:t xml:space="preserve">7.1.1 Alignment of </w:t>
            </w:r>
            <w:r w:rsidR="00A36259" w:rsidRPr="007C4D65">
              <w:rPr>
                <w:rFonts w:asciiTheme="minorHAnsi" w:eastAsia="Calibri" w:hAnsiTheme="minorHAnsi" w:cstheme="minorHAnsi"/>
                <w:b/>
                <w:bCs/>
                <w:sz w:val="18"/>
                <w:szCs w:val="18"/>
                <w:lang w:eastAsia="x-none"/>
              </w:rPr>
              <w:t xml:space="preserve">the </w:t>
            </w:r>
            <w:r w:rsidRPr="007C4D65">
              <w:rPr>
                <w:rFonts w:asciiTheme="minorHAnsi" w:eastAsia="Calibri" w:hAnsiTheme="minorHAnsi" w:cstheme="minorHAnsi"/>
                <w:b/>
                <w:bCs/>
                <w:sz w:val="18"/>
                <w:szCs w:val="18"/>
                <w:lang w:eastAsia="x-none"/>
              </w:rPr>
              <w:t>legislation of the Federation</w:t>
            </w:r>
            <w:r w:rsidRPr="007C4D65">
              <w:rPr>
                <w:rFonts w:asciiTheme="minorHAnsi" w:eastAsiaTheme="minorHAnsi" w:hAnsiTheme="minorHAnsi" w:cstheme="minorHAnsi"/>
                <w:b/>
                <w:bCs/>
                <w:sz w:val="18"/>
                <w:szCs w:val="18"/>
                <w:lang w:eastAsia="en-US"/>
              </w:rPr>
              <w:t xml:space="preserve"> of </w:t>
            </w:r>
            <w:r w:rsidR="00385950" w:rsidRPr="007C4D65">
              <w:rPr>
                <w:rFonts w:asciiTheme="minorHAnsi" w:eastAsiaTheme="minorHAnsi" w:hAnsiTheme="minorHAnsi" w:cstheme="minorHAnsi"/>
                <w:b/>
                <w:bCs/>
                <w:sz w:val="18"/>
                <w:szCs w:val="18"/>
                <w:lang w:eastAsia="en-US"/>
              </w:rPr>
              <w:t>BiH</w:t>
            </w:r>
            <w:r w:rsidRPr="007C4D65">
              <w:rPr>
                <w:rFonts w:asciiTheme="minorHAnsi" w:eastAsiaTheme="minorHAnsi" w:hAnsiTheme="minorHAnsi" w:cstheme="minorHAnsi"/>
                <w:b/>
                <w:bCs/>
                <w:sz w:val="18"/>
                <w:szCs w:val="18"/>
                <w:lang w:eastAsia="en-US"/>
              </w:rPr>
              <w:t xml:space="preserve"> with the EU environmental acquis and implementation of </w:t>
            </w:r>
            <w:r w:rsidRPr="007C4D65">
              <w:rPr>
                <w:rFonts w:asciiTheme="minorHAnsi" w:eastAsia="Calibri" w:hAnsiTheme="minorHAnsi" w:cstheme="minorHAnsi"/>
                <w:b/>
                <w:bCs/>
                <w:sz w:val="18"/>
                <w:szCs w:val="18"/>
                <w:lang w:eastAsia="x-none"/>
              </w:rPr>
              <w:t>EU Directives</w:t>
            </w:r>
          </w:p>
        </w:tc>
      </w:tr>
      <w:tr w:rsidR="00DA51A1" w:rsidRPr="007C4D65" w14:paraId="3BBA26B9" w14:textId="77777777" w:rsidTr="00B6017F">
        <w:trPr>
          <w:trHeight w:val="567"/>
        </w:trPr>
        <w:tc>
          <w:tcPr>
            <w:tcW w:w="1359" w:type="pct"/>
            <w:shd w:val="clear" w:color="auto" w:fill="009D73"/>
            <w:vAlign w:val="center"/>
          </w:tcPr>
          <w:p w14:paraId="7F03CA79" w14:textId="77777777" w:rsidR="00DA51A1" w:rsidRPr="007C4D65" w:rsidRDefault="00DA51A1" w:rsidP="00DA51A1">
            <w:pPr>
              <w:spacing w:before="40" w:after="40" w:line="276" w:lineRule="auto"/>
              <w:ind w:left="406"/>
              <w:contextualSpacing/>
              <w:jc w:val="both"/>
              <w:rPr>
                <w:rFonts w:asciiTheme="minorHAnsi" w:eastAsiaTheme="minorHAnsi" w:hAnsiTheme="minorHAnsi" w:cstheme="minorHAnsi"/>
                <w:sz w:val="18"/>
                <w:szCs w:val="18"/>
                <w:lang w:eastAsia="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p w14:paraId="4F7B891B"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3641" w:type="pct"/>
            <w:gridSpan w:val="3"/>
            <w:shd w:val="clear" w:color="auto" w:fill="FFFFFF"/>
            <w:vAlign w:val="center"/>
          </w:tcPr>
          <w:p w14:paraId="5147A21B" w14:textId="0BE524EC" w:rsidR="00DA51A1" w:rsidRPr="007C4D65" w:rsidRDefault="00DA51A1" w:rsidP="00DA51A1">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According to the</w:t>
            </w:r>
            <w:r w:rsidR="00385950" w:rsidRPr="007C4D65">
              <w:rPr>
                <w:rFonts w:asciiTheme="minorHAnsi" w:eastAsiaTheme="minorHAnsi" w:hAnsiTheme="minorHAnsi" w:cstheme="minorHAnsi"/>
                <w:sz w:val="18"/>
                <w:szCs w:val="18"/>
                <w:lang w:eastAsia="en-US"/>
              </w:rPr>
              <w:t xml:space="preserve"> Environmental</w:t>
            </w:r>
            <w:r w:rsidRPr="007C4D65">
              <w:rPr>
                <w:rFonts w:asciiTheme="minorHAnsi" w:eastAsia="Calibri" w:hAnsiTheme="minorHAnsi" w:cstheme="minorHAnsi"/>
                <w:sz w:val="18"/>
                <w:szCs w:val="18"/>
                <w:lang w:eastAsia="x-none"/>
              </w:rPr>
              <w:t xml:space="preserve"> </w:t>
            </w:r>
            <w:r w:rsidR="00385950" w:rsidRPr="007C4D65">
              <w:rPr>
                <w:rFonts w:asciiTheme="minorHAnsi" w:eastAsiaTheme="minorHAnsi" w:hAnsiTheme="minorHAnsi" w:cstheme="minorHAnsi"/>
                <w:sz w:val="18"/>
                <w:szCs w:val="18"/>
                <w:lang w:eastAsia="en-US"/>
              </w:rPr>
              <w:t xml:space="preserve">Approximation </w:t>
            </w:r>
            <w:r w:rsidRPr="007C4D65">
              <w:rPr>
                <w:rFonts w:asciiTheme="minorHAnsi" w:eastAsiaTheme="minorHAnsi" w:hAnsiTheme="minorHAnsi" w:cstheme="minorHAnsi"/>
                <w:sz w:val="18"/>
                <w:szCs w:val="18"/>
                <w:lang w:eastAsia="en-US"/>
              </w:rPr>
              <w:t>Program</w:t>
            </w:r>
            <w:r w:rsidR="00385950" w:rsidRPr="007C4D65">
              <w:rPr>
                <w:rFonts w:asciiTheme="minorHAnsi" w:eastAsiaTheme="minorHAnsi" w:hAnsiTheme="minorHAnsi" w:cstheme="minorHAnsi"/>
                <w:sz w:val="18"/>
                <w:szCs w:val="18"/>
                <w:lang w:eastAsia="en-US"/>
              </w:rPr>
              <w:t>me</w:t>
            </w:r>
            <w:r w:rsidRPr="007C4D65">
              <w:rPr>
                <w:rFonts w:asciiTheme="minorHAnsi" w:eastAsiaTheme="minorHAnsi" w:hAnsiTheme="minorHAnsi" w:cstheme="minorHAnsi"/>
                <w:sz w:val="18"/>
                <w:szCs w:val="18"/>
                <w:lang w:eastAsia="en-US"/>
              </w:rPr>
              <w:t xml:space="preserve"> </w:t>
            </w:r>
            <w:r w:rsidR="00385950" w:rsidRPr="007C4D65">
              <w:rPr>
                <w:rFonts w:asciiTheme="minorHAnsi" w:eastAsiaTheme="minorHAnsi" w:hAnsiTheme="minorHAnsi" w:cstheme="minorHAnsi"/>
                <w:sz w:val="18"/>
                <w:szCs w:val="18"/>
                <w:lang w:eastAsia="en-US"/>
              </w:rPr>
              <w:t>of</w:t>
            </w:r>
            <w:r w:rsidRPr="007C4D65">
              <w:rPr>
                <w:rFonts w:asciiTheme="minorHAnsi" w:eastAsiaTheme="minorHAnsi" w:hAnsiTheme="minorHAnsi" w:cstheme="minorHAnsi"/>
                <w:sz w:val="18"/>
                <w:szCs w:val="18"/>
                <w:lang w:eastAsia="en-US"/>
              </w:rPr>
              <w:t xml:space="preserve"> the Federation of </w:t>
            </w:r>
            <w:r w:rsidR="00385950" w:rsidRPr="007C4D65">
              <w:rPr>
                <w:rFonts w:asciiTheme="minorHAnsi" w:eastAsiaTheme="minorHAnsi" w:hAnsiTheme="minorHAnsi" w:cstheme="minorHAnsi"/>
                <w:sz w:val="18"/>
                <w:szCs w:val="18"/>
                <w:lang w:eastAsia="en-US"/>
              </w:rPr>
              <w:t>BiH</w:t>
            </w:r>
            <w:r w:rsidRPr="007C4D65">
              <w:rPr>
                <w:rFonts w:asciiTheme="minorHAnsi" w:eastAsiaTheme="minorHAnsi" w:hAnsiTheme="minorHAnsi" w:cstheme="minorHAnsi"/>
                <w:sz w:val="18"/>
                <w:szCs w:val="18"/>
                <w:lang w:eastAsia="en-US"/>
              </w:rPr>
              <w:t xml:space="preserve"> to the EU acquis</w:t>
            </w:r>
            <w:r w:rsidRPr="007C4D65">
              <w:rPr>
                <w:rFonts w:asciiTheme="minorHAnsi" w:eastAsia="Calibri" w:hAnsiTheme="minorHAnsi" w:cstheme="minorHAnsi"/>
                <w:sz w:val="18"/>
                <w:szCs w:val="18"/>
                <w:lang w:eastAsia="x-none"/>
              </w:rPr>
              <w:t xml:space="preserve">, the Federation of </w:t>
            </w:r>
            <w:r w:rsidR="00385950" w:rsidRPr="007C4D65">
              <w:rPr>
                <w:rFonts w:asciiTheme="minorHAnsi" w:eastAsia="Calibri" w:hAnsiTheme="minorHAnsi" w:cstheme="minorHAnsi"/>
                <w:sz w:val="18"/>
                <w:szCs w:val="18"/>
                <w:lang w:eastAsia="x-none"/>
              </w:rPr>
              <w:t>BiH</w:t>
            </w:r>
            <w:r w:rsidRPr="007C4D65">
              <w:rPr>
                <w:rFonts w:asciiTheme="minorHAnsi" w:eastAsia="Calibri" w:hAnsiTheme="minorHAnsi" w:cstheme="minorHAnsi"/>
                <w:sz w:val="18"/>
                <w:szCs w:val="18"/>
                <w:lang w:eastAsia="x-none"/>
              </w:rPr>
              <w:t xml:space="preserve"> </w:t>
            </w:r>
            <w:r w:rsidR="00385950" w:rsidRPr="007C4D65">
              <w:rPr>
                <w:rFonts w:asciiTheme="minorHAnsi" w:eastAsia="Calibri" w:hAnsiTheme="minorHAnsi" w:cstheme="minorHAnsi"/>
                <w:sz w:val="18"/>
                <w:szCs w:val="18"/>
                <w:lang w:eastAsia="x-none"/>
              </w:rPr>
              <w:t>is required to</w:t>
            </w:r>
            <w:r w:rsidRPr="007C4D65">
              <w:rPr>
                <w:rFonts w:asciiTheme="minorHAnsi" w:eastAsia="Calibri" w:hAnsiTheme="minorHAnsi" w:cstheme="minorHAnsi"/>
                <w:sz w:val="18"/>
                <w:szCs w:val="18"/>
                <w:lang w:eastAsia="x-none"/>
              </w:rPr>
              <w:t xml:space="preserve"> adopt strategic planning instruments and policies aimed at </w:t>
            </w:r>
            <w:r w:rsidR="00385950" w:rsidRPr="007C4D65">
              <w:rPr>
                <w:rFonts w:asciiTheme="minorHAnsi" w:eastAsia="Calibri" w:hAnsiTheme="minorHAnsi" w:cstheme="minorHAnsi"/>
                <w:sz w:val="18"/>
                <w:szCs w:val="18"/>
                <w:lang w:eastAsia="x-none"/>
              </w:rPr>
              <w:t>adjusting its legislation</w:t>
            </w:r>
            <w:r w:rsidRPr="007C4D65">
              <w:rPr>
                <w:rFonts w:asciiTheme="minorHAnsi" w:eastAsia="Calibri" w:hAnsiTheme="minorHAnsi" w:cstheme="minorHAnsi"/>
                <w:sz w:val="18"/>
                <w:szCs w:val="18"/>
                <w:lang w:eastAsia="x-none"/>
              </w:rPr>
              <w:t xml:space="preserve"> to EU acquis. </w:t>
            </w:r>
          </w:p>
          <w:p w14:paraId="4422C2B8" w14:textId="77777777" w:rsidR="00DA51A1" w:rsidRPr="007C4D65" w:rsidRDefault="00DA51A1" w:rsidP="00DA51A1">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The aim of this measure is to:</w:t>
            </w:r>
          </w:p>
          <w:p w14:paraId="0494EFAE" w14:textId="3C7D794E" w:rsidR="00DA51A1" w:rsidRPr="007C4D65" w:rsidRDefault="00DA51A1">
            <w:pPr>
              <w:numPr>
                <w:ilvl w:val="0"/>
                <w:numId w:val="149"/>
              </w:numPr>
              <w:spacing w:before="40" w:after="40" w:line="276" w:lineRule="auto"/>
              <w:ind w:left="395" w:hanging="39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Increase the level of alignment of </w:t>
            </w:r>
            <w:r w:rsidR="00385950"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 xml:space="preserve">legislation in the Federation of Bosnia and Herzegovina with </w:t>
            </w:r>
            <w:r w:rsidRPr="007C4D65">
              <w:rPr>
                <w:rFonts w:asciiTheme="minorHAnsi" w:eastAsiaTheme="minorHAnsi" w:hAnsiTheme="minorHAnsi" w:cstheme="minorHAnsi"/>
                <w:bCs/>
                <w:sz w:val="18"/>
                <w:szCs w:val="18"/>
                <w:lang w:eastAsia="en-US"/>
              </w:rPr>
              <w:t>the EU environmental acquis</w:t>
            </w:r>
            <w:r w:rsidRPr="007C4D65">
              <w:rPr>
                <w:rFonts w:asciiTheme="minorHAnsi" w:eastAsia="Calibri" w:hAnsiTheme="minorHAnsi" w:cstheme="minorHAnsi"/>
                <w:sz w:val="18"/>
                <w:szCs w:val="18"/>
                <w:lang w:eastAsia="x-none"/>
              </w:rPr>
              <w:t>, according to the</w:t>
            </w:r>
            <w:r w:rsidR="00385950" w:rsidRPr="007C4D65">
              <w:rPr>
                <w:rFonts w:asciiTheme="minorHAnsi" w:eastAsia="Calibri" w:hAnsiTheme="minorHAnsi" w:cstheme="minorHAnsi"/>
                <w:sz w:val="18"/>
                <w:szCs w:val="18"/>
                <w:lang w:eastAsia="x-none"/>
              </w:rPr>
              <w:t xml:space="preserve"> EU Integration Programme</w:t>
            </w:r>
            <w:r w:rsidRPr="007C4D65">
              <w:rPr>
                <w:rFonts w:asciiTheme="minorHAnsi" w:eastAsia="Calibri" w:hAnsiTheme="minorHAnsi" w:cstheme="minorHAnsi"/>
                <w:sz w:val="18"/>
                <w:szCs w:val="18"/>
                <w:lang w:eastAsia="x-none"/>
              </w:rPr>
              <w:t xml:space="preserve">, </w:t>
            </w:r>
            <w:r w:rsidR="00385950" w:rsidRPr="007C4D65">
              <w:rPr>
                <w:rFonts w:asciiTheme="minorHAnsi" w:eastAsia="Calibri" w:hAnsiTheme="minorHAnsi" w:cstheme="minorHAnsi"/>
                <w:sz w:val="18"/>
                <w:szCs w:val="18"/>
                <w:lang w:eastAsia="x-none"/>
              </w:rPr>
              <w:t xml:space="preserve">which is being </w:t>
            </w:r>
            <w:proofErr w:type="gramStart"/>
            <w:r w:rsidR="00385950" w:rsidRPr="007C4D65">
              <w:rPr>
                <w:rFonts w:asciiTheme="minorHAnsi" w:eastAsia="Calibri" w:hAnsiTheme="minorHAnsi" w:cstheme="minorHAnsi"/>
                <w:sz w:val="18"/>
                <w:szCs w:val="18"/>
                <w:lang w:eastAsia="x-none"/>
              </w:rPr>
              <w:t>prepared</w:t>
            </w:r>
            <w:r w:rsidR="00EA23CE" w:rsidRPr="007C4D65">
              <w:rPr>
                <w:rFonts w:asciiTheme="minorHAnsi" w:eastAsia="Calibri" w:hAnsiTheme="minorHAnsi" w:cstheme="minorHAnsi"/>
                <w:sz w:val="18"/>
                <w:szCs w:val="18"/>
                <w:lang w:eastAsia="x-none"/>
              </w:rPr>
              <w:t>;</w:t>
            </w:r>
            <w:proofErr w:type="gramEnd"/>
          </w:p>
          <w:p w14:paraId="60BB89BA" w14:textId="34A37762" w:rsidR="00DA51A1" w:rsidRPr="007C4D65" w:rsidRDefault="00DA51A1">
            <w:pPr>
              <w:numPr>
                <w:ilvl w:val="0"/>
                <w:numId w:val="149"/>
              </w:numPr>
              <w:spacing w:before="40" w:after="40" w:line="276" w:lineRule="auto"/>
              <w:ind w:left="397" w:hanging="397"/>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ensure </w:t>
            </w:r>
            <w:r w:rsidR="00385950" w:rsidRPr="007C4D65">
              <w:rPr>
                <w:rFonts w:asciiTheme="minorHAnsi" w:eastAsiaTheme="minorHAnsi" w:hAnsiTheme="minorHAnsi" w:cstheme="minorHAnsi"/>
                <w:sz w:val="18"/>
                <w:szCs w:val="18"/>
                <w:lang w:eastAsia="en-US"/>
              </w:rPr>
              <w:t>development</w:t>
            </w:r>
            <w:r w:rsidRPr="007C4D65">
              <w:rPr>
                <w:rFonts w:asciiTheme="minorHAnsi" w:eastAsiaTheme="minorHAnsi" w:hAnsiTheme="minorHAnsi" w:cstheme="minorHAnsi"/>
                <w:sz w:val="18"/>
                <w:szCs w:val="18"/>
                <w:lang w:eastAsia="en-US"/>
              </w:rPr>
              <w:t xml:space="preserve">, adoption and </w:t>
            </w:r>
            <w:r w:rsidR="00385950" w:rsidRPr="007C4D65">
              <w:rPr>
                <w:rFonts w:asciiTheme="minorHAnsi" w:eastAsiaTheme="minorHAnsi" w:hAnsiTheme="minorHAnsi" w:cstheme="minorHAnsi"/>
                <w:sz w:val="18"/>
                <w:szCs w:val="18"/>
                <w:lang w:eastAsia="en-US"/>
              </w:rPr>
              <w:t>implementation</w:t>
            </w:r>
            <w:r w:rsidRPr="007C4D65">
              <w:rPr>
                <w:rFonts w:asciiTheme="minorHAnsi" w:eastAsiaTheme="minorHAnsi" w:hAnsiTheme="minorHAnsi" w:cstheme="minorHAnsi"/>
                <w:sz w:val="18"/>
                <w:szCs w:val="18"/>
                <w:lang w:eastAsia="en-US"/>
              </w:rPr>
              <w:t xml:space="preserve"> of action plans for </w:t>
            </w:r>
            <w:r w:rsidR="00385950" w:rsidRPr="007C4D65">
              <w:rPr>
                <w:rFonts w:asciiTheme="minorHAnsi" w:eastAsiaTheme="minorHAnsi" w:hAnsiTheme="minorHAnsi" w:cstheme="minorHAnsi"/>
                <w:sz w:val="18"/>
                <w:szCs w:val="18"/>
                <w:lang w:eastAsia="en-US"/>
              </w:rPr>
              <w:t xml:space="preserve">the </w:t>
            </w:r>
            <w:r w:rsidRPr="007C4D65">
              <w:rPr>
                <w:rFonts w:asciiTheme="minorHAnsi" w:eastAsiaTheme="minorHAnsi" w:hAnsiTheme="minorHAnsi" w:cstheme="minorHAnsi"/>
                <w:sz w:val="18"/>
                <w:szCs w:val="18"/>
                <w:lang w:eastAsia="en-US"/>
              </w:rPr>
              <w:t xml:space="preserve">implementation </w:t>
            </w:r>
            <w:r w:rsidRPr="007C4D65">
              <w:rPr>
                <w:rFonts w:asciiTheme="minorHAnsi" w:eastAsia="Calibri" w:hAnsiTheme="minorHAnsi" w:cstheme="minorHAnsi"/>
                <w:sz w:val="18"/>
                <w:szCs w:val="18"/>
                <w:lang w:eastAsia="x-none"/>
              </w:rPr>
              <w:t>EU Directives (APID</w:t>
            </w:r>
            <w:r w:rsidR="00385950"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eastAsia="x-none"/>
              </w:rPr>
              <w:t>).</w:t>
            </w:r>
          </w:p>
          <w:p w14:paraId="159F8229" w14:textId="77777777" w:rsidR="00DA51A1" w:rsidRPr="007C4D65" w:rsidRDefault="00DA51A1" w:rsidP="00DA51A1">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Within the context of horizontal policy, the following EU Directives are relevant for environmental management:</w:t>
            </w:r>
          </w:p>
          <w:p w14:paraId="23510D5A" w14:textId="560F9B93" w:rsidR="00DA51A1" w:rsidRPr="007C4D65" w:rsidRDefault="00DA51A1">
            <w:pPr>
              <w:numPr>
                <w:ilvl w:val="0"/>
                <w:numId w:val="215"/>
              </w:numPr>
              <w:spacing w:before="40" w:after="40" w:line="276" w:lineRule="auto"/>
              <w:ind w:left="395" w:hanging="39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Directive 2001/42/EC </w:t>
            </w:r>
            <w:r w:rsidRPr="007C4D65">
              <w:rPr>
                <w:rFonts w:asciiTheme="minorHAnsi" w:eastAsiaTheme="minorHAnsi" w:hAnsiTheme="minorHAnsi" w:cstheme="minorHAnsi"/>
                <w:sz w:val="18"/>
                <w:szCs w:val="18"/>
                <w:shd w:val="clear" w:color="auto" w:fill="FFFFFF"/>
                <w:lang w:eastAsia="en-US"/>
              </w:rPr>
              <w:t>on the assessment of the effects of certain plans and programs on the environment</w:t>
            </w:r>
            <w:r w:rsidRPr="007C4D65">
              <w:rPr>
                <w:rFonts w:asciiTheme="minorHAnsi" w:eastAsia="Calibri" w:hAnsiTheme="minorHAnsi" w:cstheme="minorHAnsi"/>
                <w:sz w:val="18"/>
                <w:szCs w:val="18"/>
                <w:lang w:eastAsia="x-none"/>
              </w:rPr>
              <w:t xml:space="preserve"> (Directive on </w:t>
            </w:r>
            <w:r w:rsidRPr="007C4D65">
              <w:rPr>
                <w:rFonts w:asciiTheme="minorHAnsi" w:eastAsiaTheme="minorHAnsi" w:hAnsiTheme="minorHAnsi" w:cstheme="minorHAnsi"/>
                <w:sz w:val="18"/>
                <w:szCs w:val="18"/>
                <w:lang w:eastAsia="en-US"/>
              </w:rPr>
              <w:t>Strategic Environment Assessment</w:t>
            </w:r>
            <w:proofErr w:type="gramStart"/>
            <w:r w:rsidRPr="007C4D65">
              <w:rPr>
                <w:rFonts w:asciiTheme="minorHAnsi" w:eastAsia="Calibri" w:hAnsiTheme="minorHAnsi" w:cstheme="minorHAnsi"/>
                <w:sz w:val="18"/>
                <w:szCs w:val="18"/>
                <w:lang w:eastAsia="x-none"/>
              </w:rPr>
              <w:t>)</w:t>
            </w:r>
            <w:r w:rsidR="00EA23CE" w:rsidRPr="007C4D65">
              <w:rPr>
                <w:rFonts w:asciiTheme="minorHAnsi" w:eastAsia="Calibri" w:hAnsiTheme="minorHAnsi" w:cstheme="minorHAnsi"/>
                <w:sz w:val="18"/>
                <w:szCs w:val="18"/>
                <w:lang w:eastAsia="x-none"/>
              </w:rPr>
              <w:t>;</w:t>
            </w:r>
            <w:proofErr w:type="gramEnd"/>
          </w:p>
          <w:p w14:paraId="777A00D8" w14:textId="64C59EEE" w:rsidR="00DA51A1" w:rsidRPr="007C4D65" w:rsidRDefault="00DA51A1">
            <w:pPr>
              <w:numPr>
                <w:ilvl w:val="0"/>
                <w:numId w:val="215"/>
              </w:numPr>
              <w:spacing w:before="40" w:after="40" w:line="276" w:lineRule="auto"/>
              <w:ind w:left="395" w:hanging="39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Directive 2011/92/EU </w:t>
            </w:r>
            <w:r w:rsidRPr="007C4D65">
              <w:rPr>
                <w:rFonts w:asciiTheme="minorHAnsi" w:eastAsiaTheme="minorHAnsi" w:hAnsiTheme="minorHAnsi" w:cstheme="minorHAnsi"/>
                <w:sz w:val="18"/>
                <w:szCs w:val="18"/>
                <w:shd w:val="clear" w:color="auto" w:fill="FFFFFF"/>
                <w:lang w:eastAsia="en-US"/>
              </w:rPr>
              <w:t>on the assessment of the effects of certain public and private projects on the environment</w:t>
            </w:r>
            <w:r w:rsidRPr="007C4D65">
              <w:rPr>
                <w:rFonts w:asciiTheme="minorHAnsi" w:eastAsia="Calibri" w:hAnsiTheme="minorHAnsi" w:cstheme="minorHAnsi"/>
                <w:sz w:val="18"/>
                <w:szCs w:val="18"/>
                <w:lang w:eastAsia="x-none"/>
              </w:rPr>
              <w:t xml:space="preserve"> amended by the Directive 2014/52 / EU (</w:t>
            </w:r>
            <w:r w:rsidRPr="007C4D65">
              <w:rPr>
                <w:rFonts w:asciiTheme="minorHAnsi" w:eastAsiaTheme="minorHAnsi" w:hAnsiTheme="minorHAnsi" w:cstheme="minorHAnsi"/>
                <w:sz w:val="18"/>
                <w:szCs w:val="18"/>
                <w:lang w:eastAsia="en-US"/>
              </w:rPr>
              <w:t>Directive on Environmental Impact Assessment</w:t>
            </w:r>
            <w:proofErr w:type="gramStart"/>
            <w:r w:rsidRPr="007C4D65">
              <w:rPr>
                <w:rFonts w:asciiTheme="minorHAnsi" w:eastAsia="Calibri" w:hAnsiTheme="minorHAnsi" w:cstheme="minorHAnsi"/>
                <w:sz w:val="18"/>
                <w:szCs w:val="18"/>
                <w:lang w:eastAsia="x-none"/>
              </w:rPr>
              <w:t>)</w:t>
            </w:r>
            <w:r w:rsidR="00EA23CE" w:rsidRPr="007C4D65">
              <w:rPr>
                <w:rFonts w:asciiTheme="minorHAnsi" w:eastAsia="Calibri" w:hAnsiTheme="minorHAnsi" w:cstheme="minorHAnsi"/>
                <w:sz w:val="18"/>
                <w:szCs w:val="18"/>
                <w:lang w:eastAsia="x-none"/>
              </w:rPr>
              <w:t>;</w:t>
            </w:r>
            <w:proofErr w:type="gramEnd"/>
          </w:p>
          <w:p w14:paraId="1E7F65CB" w14:textId="77777777" w:rsidR="00DA51A1" w:rsidRPr="007C4D65" w:rsidRDefault="00DA51A1">
            <w:pPr>
              <w:numPr>
                <w:ilvl w:val="0"/>
                <w:numId w:val="215"/>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Directive 2003/4/EC on public access to environmental information and repealing Council Directive 90/313/EEC</w:t>
            </w:r>
          </w:p>
          <w:p w14:paraId="1870D206" w14:textId="08799FA9" w:rsidR="00DA51A1" w:rsidRPr="007C4D65" w:rsidRDefault="00DA51A1">
            <w:pPr>
              <w:numPr>
                <w:ilvl w:val="0"/>
                <w:numId w:val="215"/>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Directive 2003/35/EC providing for public participation in respect of the drawing up of certain plans and programs relating to the environment and amending Council Directives 85/337/EEC and 96/61/EC with regard to public participation and </w:t>
            </w:r>
            <w:proofErr w:type="gramStart"/>
            <w:r w:rsidRPr="007C4D65">
              <w:rPr>
                <w:rFonts w:asciiTheme="minorHAnsi" w:eastAsia="Calibri" w:hAnsiTheme="minorHAnsi" w:cstheme="minorHAnsi"/>
                <w:sz w:val="18"/>
                <w:szCs w:val="18"/>
                <w:lang w:eastAsia="x-none"/>
              </w:rPr>
              <w:t>justice</w:t>
            </w:r>
            <w:r w:rsidR="00EA23CE" w:rsidRPr="007C4D65">
              <w:rPr>
                <w:rFonts w:asciiTheme="minorHAnsi" w:eastAsia="Calibri" w:hAnsiTheme="minorHAnsi" w:cstheme="minorHAnsi"/>
                <w:sz w:val="18"/>
                <w:szCs w:val="18"/>
                <w:lang w:eastAsia="x-none"/>
              </w:rPr>
              <w:t>;</w:t>
            </w:r>
            <w:proofErr w:type="gramEnd"/>
          </w:p>
          <w:p w14:paraId="3B35E947" w14:textId="3CEED45C" w:rsidR="00DA51A1" w:rsidRPr="007C4D65" w:rsidRDefault="00DA51A1">
            <w:pPr>
              <w:numPr>
                <w:ilvl w:val="0"/>
                <w:numId w:val="215"/>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lastRenderedPageBreak/>
              <w:t xml:space="preserve">Directive 2004/35/EC on environmental liability with regard to the prevention and remedying of environmental </w:t>
            </w:r>
            <w:proofErr w:type="gramStart"/>
            <w:r w:rsidRPr="007C4D65">
              <w:rPr>
                <w:rFonts w:asciiTheme="minorHAnsi" w:eastAsia="Calibri" w:hAnsiTheme="minorHAnsi" w:cstheme="minorHAnsi"/>
                <w:sz w:val="18"/>
                <w:szCs w:val="18"/>
                <w:lang w:eastAsia="x-none"/>
              </w:rPr>
              <w:t>damage</w:t>
            </w:r>
            <w:r w:rsidR="00EA23CE" w:rsidRPr="007C4D65">
              <w:rPr>
                <w:rFonts w:asciiTheme="minorHAnsi" w:eastAsia="Calibri" w:hAnsiTheme="minorHAnsi" w:cstheme="minorHAnsi"/>
                <w:sz w:val="18"/>
                <w:szCs w:val="18"/>
                <w:lang w:eastAsia="x-none"/>
              </w:rPr>
              <w:t>;</w:t>
            </w:r>
            <w:proofErr w:type="gramEnd"/>
          </w:p>
          <w:p w14:paraId="1E430C02" w14:textId="3155AF94" w:rsidR="00DA51A1" w:rsidRPr="007C4D65" w:rsidRDefault="00DA51A1">
            <w:pPr>
              <w:numPr>
                <w:ilvl w:val="0"/>
                <w:numId w:val="215"/>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Directive 2007/2/EC establishing an Infrastructure for Spatial Information in the European Community (INSPIRE Directive</w:t>
            </w:r>
            <w:proofErr w:type="gramStart"/>
            <w:r w:rsidRPr="007C4D65">
              <w:rPr>
                <w:rFonts w:asciiTheme="minorHAnsi" w:eastAsia="Calibri" w:hAnsiTheme="minorHAnsi" w:cstheme="minorHAnsi"/>
                <w:sz w:val="18"/>
                <w:szCs w:val="18"/>
                <w:lang w:eastAsia="x-none"/>
              </w:rPr>
              <w:t>)</w:t>
            </w:r>
            <w:r w:rsidR="00EA23CE" w:rsidRPr="007C4D65">
              <w:rPr>
                <w:rFonts w:asciiTheme="minorHAnsi" w:eastAsia="Calibri" w:hAnsiTheme="minorHAnsi" w:cstheme="minorHAnsi"/>
                <w:sz w:val="18"/>
                <w:szCs w:val="18"/>
                <w:lang w:eastAsia="x-none"/>
              </w:rPr>
              <w:t>;</w:t>
            </w:r>
            <w:proofErr w:type="gramEnd"/>
          </w:p>
          <w:p w14:paraId="0D305995" w14:textId="3F3D98A8" w:rsidR="00DA51A1" w:rsidRPr="007C4D65" w:rsidRDefault="00DA51A1">
            <w:pPr>
              <w:numPr>
                <w:ilvl w:val="0"/>
                <w:numId w:val="215"/>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Directive 2008/99/EC on the protection of the environment through criminal </w:t>
            </w:r>
            <w:proofErr w:type="gramStart"/>
            <w:r w:rsidRPr="007C4D65">
              <w:rPr>
                <w:rFonts w:asciiTheme="minorHAnsi" w:eastAsia="Calibri" w:hAnsiTheme="minorHAnsi" w:cstheme="minorHAnsi"/>
                <w:sz w:val="18"/>
                <w:szCs w:val="18"/>
                <w:lang w:eastAsia="x-none"/>
              </w:rPr>
              <w:t>law</w:t>
            </w:r>
            <w:r w:rsidR="00EA23CE" w:rsidRPr="007C4D65">
              <w:rPr>
                <w:rFonts w:asciiTheme="minorHAnsi" w:eastAsia="Calibri" w:hAnsiTheme="minorHAnsi" w:cstheme="minorHAnsi"/>
                <w:sz w:val="18"/>
                <w:szCs w:val="18"/>
                <w:lang w:eastAsia="x-none"/>
              </w:rPr>
              <w:t>;</w:t>
            </w:r>
            <w:proofErr w:type="gramEnd"/>
          </w:p>
          <w:p w14:paraId="12E96D18" w14:textId="0F2B335C" w:rsidR="00DA51A1" w:rsidRPr="007C4D65" w:rsidRDefault="00DA51A1">
            <w:pPr>
              <w:numPr>
                <w:ilvl w:val="0"/>
                <w:numId w:val="215"/>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Directive 2010/75/EU on industrial </w:t>
            </w:r>
            <w:proofErr w:type="gramStart"/>
            <w:r w:rsidRPr="007C4D65">
              <w:rPr>
                <w:rFonts w:asciiTheme="minorHAnsi" w:eastAsia="Calibri" w:hAnsiTheme="minorHAnsi" w:cstheme="minorHAnsi"/>
                <w:sz w:val="18"/>
                <w:szCs w:val="18"/>
                <w:lang w:eastAsia="x-none"/>
              </w:rPr>
              <w:t>emissions</w:t>
            </w:r>
            <w:r w:rsidR="00EA23CE" w:rsidRPr="007C4D65">
              <w:rPr>
                <w:rFonts w:asciiTheme="minorHAnsi" w:eastAsia="Calibri" w:hAnsiTheme="minorHAnsi" w:cstheme="minorHAnsi"/>
                <w:sz w:val="18"/>
                <w:szCs w:val="18"/>
                <w:lang w:eastAsia="x-none"/>
              </w:rPr>
              <w:t>;</w:t>
            </w:r>
            <w:proofErr w:type="gramEnd"/>
          </w:p>
          <w:p w14:paraId="200ADB88" w14:textId="075E04A7" w:rsidR="00DA51A1" w:rsidRPr="007C4D65" w:rsidRDefault="00DA51A1">
            <w:pPr>
              <w:numPr>
                <w:ilvl w:val="0"/>
                <w:numId w:val="215"/>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Directive 2012/18/EU on the control of </w:t>
            </w:r>
            <w:proofErr w:type="gramStart"/>
            <w:r w:rsidRPr="007C4D65">
              <w:rPr>
                <w:rFonts w:asciiTheme="minorHAnsi" w:eastAsia="Calibri" w:hAnsiTheme="minorHAnsi" w:cstheme="minorHAnsi"/>
                <w:sz w:val="18"/>
                <w:szCs w:val="18"/>
                <w:lang w:eastAsia="x-none"/>
              </w:rPr>
              <w:t>major-accident</w:t>
            </w:r>
            <w:proofErr w:type="gramEnd"/>
            <w:r w:rsidRPr="007C4D65">
              <w:rPr>
                <w:rFonts w:asciiTheme="minorHAnsi" w:eastAsia="Calibri" w:hAnsiTheme="minorHAnsi" w:cstheme="minorHAnsi"/>
                <w:sz w:val="18"/>
                <w:szCs w:val="18"/>
                <w:lang w:eastAsia="x-none"/>
              </w:rPr>
              <w:t xml:space="preserve"> hazards</w:t>
            </w:r>
            <w:r w:rsidR="00EA23CE" w:rsidRPr="007C4D65">
              <w:rPr>
                <w:rFonts w:asciiTheme="minorHAnsi" w:eastAsia="Calibri" w:hAnsiTheme="minorHAnsi" w:cstheme="minorHAnsi"/>
                <w:sz w:val="18"/>
                <w:szCs w:val="18"/>
                <w:lang w:eastAsia="x-none"/>
              </w:rPr>
              <w:t>;</w:t>
            </w:r>
          </w:p>
          <w:p w14:paraId="5B94B185" w14:textId="3CE08D5E" w:rsidR="00DA51A1" w:rsidRPr="007C4D65" w:rsidRDefault="00DA51A1">
            <w:pPr>
              <w:numPr>
                <w:ilvl w:val="0"/>
                <w:numId w:val="215"/>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Regulation (</w:t>
            </w:r>
            <w:r w:rsidRPr="007C4D65">
              <w:rPr>
                <w:rFonts w:asciiTheme="minorHAnsi" w:eastAsia="Calibri" w:hAnsiTheme="minorHAnsi" w:cstheme="minorHAnsi"/>
                <w:sz w:val="18"/>
                <w:szCs w:val="18"/>
                <w:u w:val="single"/>
                <w:lang w:eastAsia="x-none"/>
              </w:rPr>
              <w:t>EC) No 1221/2009 on the system of organic products labelling, co- management and audit scheme</w:t>
            </w:r>
            <w:r w:rsidR="00EA23CE" w:rsidRPr="007C4D65">
              <w:rPr>
                <w:rFonts w:asciiTheme="minorHAnsi" w:eastAsia="Calibri" w:hAnsiTheme="minorHAnsi" w:cstheme="minorHAnsi"/>
                <w:sz w:val="18"/>
                <w:szCs w:val="18"/>
                <w:u w:val="single"/>
                <w:lang w:eastAsia="x-none"/>
              </w:rPr>
              <w:t>.</w:t>
            </w:r>
          </w:p>
          <w:p w14:paraId="726B0F3C" w14:textId="003FFE7D" w:rsidR="00DA51A1" w:rsidRPr="007C4D65" w:rsidRDefault="00E33B36" w:rsidP="00DA51A1">
            <w:pPr>
              <w:spacing w:before="40" w:after="40" w:line="276" w:lineRule="auto"/>
              <w:ind w:left="360"/>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General</w:t>
            </w:r>
            <w:r w:rsidR="00DA51A1" w:rsidRPr="007C4D65">
              <w:rPr>
                <w:rFonts w:asciiTheme="minorHAnsi" w:eastAsia="Calibri" w:hAnsiTheme="minorHAnsi" w:cstheme="minorHAnsi"/>
                <w:sz w:val="18"/>
                <w:szCs w:val="18"/>
                <w:lang w:eastAsia="x-none"/>
              </w:rPr>
              <w:t xml:space="preserve"> area</w:t>
            </w:r>
            <w:r w:rsidRPr="007C4D65">
              <w:rPr>
                <w:rFonts w:asciiTheme="minorHAnsi" w:eastAsia="Calibri" w:hAnsiTheme="minorHAnsi" w:cstheme="minorHAnsi"/>
                <w:sz w:val="18"/>
                <w:szCs w:val="18"/>
                <w:lang w:eastAsia="x-none"/>
              </w:rPr>
              <w:t>s</w:t>
            </w:r>
            <w:r w:rsidR="00DA51A1" w:rsidRPr="007C4D65">
              <w:rPr>
                <w:rFonts w:asciiTheme="minorHAnsi" w:eastAsia="Calibri" w:hAnsiTheme="minorHAnsi" w:cstheme="minorHAnsi"/>
                <w:sz w:val="18"/>
                <w:szCs w:val="18"/>
                <w:lang w:eastAsia="x-none"/>
              </w:rPr>
              <w:t xml:space="preserve"> of intervention</w:t>
            </w:r>
            <w:r w:rsidR="00385950"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are</w:t>
            </w:r>
            <w:r w:rsidR="00DA51A1" w:rsidRPr="007C4D65">
              <w:rPr>
                <w:rFonts w:asciiTheme="minorHAnsi" w:eastAsia="Calibri" w:hAnsiTheme="minorHAnsi" w:cstheme="minorHAnsi"/>
                <w:sz w:val="18"/>
                <w:szCs w:val="18"/>
                <w:lang w:eastAsia="x-none"/>
              </w:rPr>
              <w:t>:</w:t>
            </w:r>
          </w:p>
          <w:p w14:paraId="10345B6C" w14:textId="39AF7129" w:rsidR="00DA51A1" w:rsidRPr="007C4D65" w:rsidRDefault="00DA51A1">
            <w:pPr>
              <w:numPr>
                <w:ilvl w:val="0"/>
                <w:numId w:val="148"/>
              </w:numPr>
              <w:spacing w:before="40" w:after="40" w:line="276" w:lineRule="auto"/>
              <w:jc w:val="both"/>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Implementation and monitoring of </w:t>
            </w:r>
            <w:r w:rsidR="00385950" w:rsidRPr="007C4D65">
              <w:rPr>
                <w:rFonts w:asciiTheme="minorHAnsi" w:eastAsia="Calibri" w:hAnsiTheme="minorHAnsi" w:cstheme="minorHAnsi"/>
                <w:sz w:val="18"/>
                <w:szCs w:val="18"/>
                <w:lang w:eastAsia="x-none"/>
              </w:rPr>
              <w:t>the</w:t>
            </w:r>
            <w:r w:rsidR="00385950" w:rsidRPr="007C4D65">
              <w:rPr>
                <w:rFonts w:asciiTheme="minorHAnsi" w:eastAsiaTheme="minorHAnsi" w:hAnsiTheme="minorHAnsi" w:cstheme="minorHAnsi"/>
                <w:sz w:val="18"/>
                <w:szCs w:val="18"/>
                <w:lang w:eastAsia="en-US"/>
              </w:rPr>
              <w:t xml:space="preserve"> Environmental</w:t>
            </w:r>
            <w:r w:rsidR="00385950" w:rsidRPr="007C4D65">
              <w:rPr>
                <w:rFonts w:asciiTheme="minorHAnsi" w:eastAsia="Calibri" w:hAnsiTheme="minorHAnsi" w:cstheme="minorHAnsi"/>
                <w:sz w:val="18"/>
                <w:szCs w:val="18"/>
                <w:lang w:eastAsia="x-none"/>
              </w:rPr>
              <w:t xml:space="preserve"> </w:t>
            </w:r>
            <w:r w:rsidR="00385950" w:rsidRPr="007C4D65">
              <w:rPr>
                <w:rFonts w:asciiTheme="minorHAnsi" w:eastAsiaTheme="minorHAnsi" w:hAnsiTheme="minorHAnsi" w:cstheme="minorHAnsi"/>
                <w:sz w:val="18"/>
                <w:szCs w:val="18"/>
                <w:lang w:eastAsia="en-US"/>
              </w:rPr>
              <w:t xml:space="preserve">Approximation Programme of the Federation of </w:t>
            </w:r>
            <w:proofErr w:type="gramStart"/>
            <w:r w:rsidR="00385950" w:rsidRPr="007C4D65">
              <w:rPr>
                <w:rFonts w:asciiTheme="minorHAnsi" w:eastAsiaTheme="minorHAnsi" w:hAnsiTheme="minorHAnsi" w:cstheme="minorHAnsi"/>
                <w:sz w:val="18"/>
                <w:szCs w:val="18"/>
                <w:lang w:eastAsia="en-US"/>
              </w:rPr>
              <w:t>BiH</w:t>
            </w:r>
            <w:r w:rsidR="00EA23CE" w:rsidRPr="007C4D65">
              <w:rPr>
                <w:rFonts w:asciiTheme="minorHAnsi" w:eastAsiaTheme="minorHAnsi" w:hAnsiTheme="minorHAnsi" w:cstheme="minorHAnsi"/>
                <w:sz w:val="18"/>
                <w:szCs w:val="18"/>
                <w:lang w:eastAsia="en-US"/>
              </w:rPr>
              <w:t>;</w:t>
            </w:r>
            <w:proofErr w:type="gramEnd"/>
          </w:p>
          <w:p w14:paraId="43A403FE" w14:textId="6479CB40" w:rsidR="00DA51A1" w:rsidRPr="007C4D65" w:rsidRDefault="00DA51A1">
            <w:pPr>
              <w:numPr>
                <w:ilvl w:val="0"/>
                <w:numId w:val="148"/>
              </w:numPr>
              <w:spacing w:before="40" w:after="40" w:line="276" w:lineRule="auto"/>
              <w:jc w:val="both"/>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Adoption and </w:t>
            </w:r>
            <w:r w:rsidR="00385950" w:rsidRPr="007C4D65">
              <w:rPr>
                <w:rFonts w:asciiTheme="minorHAnsi" w:eastAsia="Calibri" w:hAnsiTheme="minorHAnsi" w:cstheme="minorHAnsi"/>
                <w:sz w:val="18"/>
                <w:szCs w:val="18"/>
                <w:lang w:eastAsia="x-none"/>
              </w:rPr>
              <w:t xml:space="preserve">implementation </w:t>
            </w:r>
            <w:r w:rsidRPr="007C4D65">
              <w:rPr>
                <w:rFonts w:asciiTheme="minorHAnsi" w:eastAsia="Calibri" w:hAnsiTheme="minorHAnsi" w:cstheme="minorHAnsi"/>
                <w:sz w:val="18"/>
                <w:szCs w:val="18"/>
                <w:lang w:eastAsia="x-none"/>
              </w:rPr>
              <w:t xml:space="preserve">of the Plan for </w:t>
            </w:r>
            <w:r w:rsidR="00385950"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 xml:space="preserve">implementation and monitoring </w:t>
            </w:r>
            <w:r w:rsidR="00385950" w:rsidRPr="007C4D65">
              <w:rPr>
                <w:rFonts w:asciiTheme="minorHAnsi" w:eastAsia="Calibri" w:hAnsiTheme="minorHAnsi" w:cstheme="minorHAnsi"/>
                <w:sz w:val="18"/>
                <w:szCs w:val="18"/>
                <w:lang w:eastAsia="x-none"/>
              </w:rPr>
              <w:t>the</w:t>
            </w:r>
            <w:r w:rsidR="00385950" w:rsidRPr="007C4D65">
              <w:rPr>
                <w:rFonts w:asciiTheme="minorHAnsi" w:eastAsiaTheme="minorHAnsi" w:hAnsiTheme="minorHAnsi" w:cstheme="minorHAnsi"/>
                <w:sz w:val="18"/>
                <w:szCs w:val="18"/>
                <w:lang w:eastAsia="en-US"/>
              </w:rPr>
              <w:t xml:space="preserve"> Environmental</w:t>
            </w:r>
            <w:r w:rsidR="00385950" w:rsidRPr="007C4D65">
              <w:rPr>
                <w:rFonts w:asciiTheme="minorHAnsi" w:eastAsia="Calibri" w:hAnsiTheme="minorHAnsi" w:cstheme="minorHAnsi"/>
                <w:sz w:val="18"/>
                <w:szCs w:val="18"/>
                <w:lang w:eastAsia="x-none"/>
              </w:rPr>
              <w:t xml:space="preserve"> </w:t>
            </w:r>
            <w:r w:rsidR="00385950" w:rsidRPr="007C4D65">
              <w:rPr>
                <w:rFonts w:asciiTheme="minorHAnsi" w:eastAsiaTheme="minorHAnsi" w:hAnsiTheme="minorHAnsi" w:cstheme="minorHAnsi"/>
                <w:sz w:val="18"/>
                <w:szCs w:val="18"/>
                <w:lang w:eastAsia="en-US"/>
              </w:rPr>
              <w:t>Approximation Programme of the Federation of BiH</w:t>
            </w:r>
            <w:r w:rsidRPr="007C4D65">
              <w:rPr>
                <w:rFonts w:asciiTheme="minorHAnsi" w:eastAsiaTheme="minorHAnsi" w:hAnsiTheme="minorHAnsi" w:cstheme="minorHAnsi"/>
                <w:sz w:val="18"/>
                <w:szCs w:val="18"/>
                <w:lang w:eastAsia="en-US"/>
              </w:rPr>
              <w:t xml:space="preserve"> to the EU </w:t>
            </w:r>
            <w:proofErr w:type="gramStart"/>
            <w:r w:rsidRPr="007C4D65">
              <w:rPr>
                <w:rFonts w:asciiTheme="minorHAnsi" w:eastAsiaTheme="minorHAnsi" w:hAnsiTheme="minorHAnsi" w:cstheme="minorHAnsi"/>
                <w:sz w:val="18"/>
                <w:szCs w:val="18"/>
                <w:lang w:eastAsia="en-US"/>
              </w:rPr>
              <w:t>acquis</w:t>
            </w:r>
            <w:r w:rsidR="00EA23CE" w:rsidRPr="007C4D65">
              <w:rPr>
                <w:rFonts w:asciiTheme="minorHAnsi" w:eastAsiaTheme="minorHAnsi" w:hAnsiTheme="minorHAnsi" w:cstheme="minorHAnsi"/>
                <w:sz w:val="18"/>
                <w:szCs w:val="18"/>
                <w:lang w:eastAsia="en-US"/>
              </w:rPr>
              <w:t>;</w:t>
            </w:r>
            <w:proofErr w:type="gramEnd"/>
          </w:p>
          <w:p w14:paraId="063A053D" w14:textId="0C0C420E" w:rsidR="00DA51A1" w:rsidRPr="007C4D65" w:rsidRDefault="00DA51A1">
            <w:pPr>
              <w:numPr>
                <w:ilvl w:val="0"/>
                <w:numId w:val="148"/>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Analysis of the </w:t>
            </w:r>
            <w:r w:rsidR="00385950" w:rsidRPr="007C4D65">
              <w:rPr>
                <w:rFonts w:asciiTheme="minorHAnsi" w:eastAsia="Calibri" w:hAnsiTheme="minorHAnsi" w:cstheme="minorHAnsi"/>
                <w:sz w:val="18"/>
                <w:szCs w:val="18"/>
                <w:lang w:eastAsia="x-none"/>
              </w:rPr>
              <w:t>a</w:t>
            </w:r>
            <w:r w:rsidRPr="007C4D65">
              <w:rPr>
                <w:rFonts w:asciiTheme="minorHAnsi" w:eastAsia="Calibri" w:hAnsiTheme="minorHAnsi" w:cstheme="minorHAnsi"/>
                <w:sz w:val="18"/>
                <w:szCs w:val="18"/>
                <w:lang w:eastAsia="x-none"/>
              </w:rPr>
              <w:t xml:space="preserve">pplicable </w:t>
            </w:r>
            <w:r w:rsidR="0062704A" w:rsidRPr="007C4D65">
              <w:rPr>
                <w:rFonts w:asciiTheme="minorHAnsi" w:eastAsia="Calibri" w:hAnsiTheme="minorHAnsi" w:cstheme="minorHAnsi"/>
                <w:sz w:val="18"/>
                <w:szCs w:val="18"/>
                <w:lang w:eastAsia="x-none"/>
              </w:rPr>
              <w:t xml:space="preserve">legislation </w:t>
            </w:r>
            <w:r w:rsidRPr="007C4D65">
              <w:rPr>
                <w:rFonts w:asciiTheme="minorHAnsi" w:eastAsia="Calibri" w:hAnsiTheme="minorHAnsi" w:cstheme="minorHAnsi"/>
                <w:sz w:val="18"/>
                <w:szCs w:val="18"/>
                <w:lang w:eastAsia="x-none"/>
              </w:rPr>
              <w:t xml:space="preserve">and identification of regulations </w:t>
            </w:r>
            <w:r w:rsidR="0062704A" w:rsidRPr="007C4D65">
              <w:rPr>
                <w:rFonts w:asciiTheme="minorHAnsi" w:eastAsia="Calibri" w:hAnsiTheme="minorHAnsi" w:cstheme="minorHAnsi"/>
                <w:sz w:val="18"/>
                <w:szCs w:val="18"/>
                <w:lang w:eastAsia="x-none"/>
              </w:rPr>
              <w:t>through</w:t>
            </w:r>
            <w:r w:rsidRPr="007C4D65">
              <w:rPr>
                <w:rFonts w:asciiTheme="minorHAnsi" w:eastAsia="Calibri" w:hAnsiTheme="minorHAnsi" w:cstheme="minorHAnsi"/>
                <w:sz w:val="18"/>
                <w:szCs w:val="18"/>
                <w:lang w:eastAsia="x-none"/>
              </w:rPr>
              <w:t xml:space="preserve"> which the Federation of Bosnia and Herzegovina </w:t>
            </w:r>
            <w:r w:rsidR="0062704A" w:rsidRPr="007C4D65">
              <w:rPr>
                <w:rFonts w:asciiTheme="minorHAnsi" w:eastAsia="Calibri" w:hAnsiTheme="minorHAnsi" w:cstheme="minorHAnsi"/>
                <w:sz w:val="18"/>
                <w:szCs w:val="18"/>
                <w:lang w:eastAsia="x-none"/>
              </w:rPr>
              <w:t>should transpose</w:t>
            </w:r>
            <w:r w:rsidRPr="007C4D65">
              <w:rPr>
                <w:rFonts w:asciiTheme="minorHAnsi" w:eastAsia="Calibri" w:hAnsiTheme="minorHAnsi" w:cstheme="minorHAnsi"/>
                <w:sz w:val="18"/>
                <w:szCs w:val="18"/>
                <w:lang w:eastAsia="x-none"/>
              </w:rPr>
              <w:t xml:space="preserve"> priorit</w:t>
            </w:r>
            <w:r w:rsidR="0062704A" w:rsidRPr="007C4D65">
              <w:rPr>
                <w:rFonts w:asciiTheme="minorHAnsi" w:eastAsia="Calibri" w:hAnsiTheme="minorHAnsi" w:cstheme="minorHAnsi"/>
                <w:sz w:val="18"/>
                <w:szCs w:val="18"/>
                <w:lang w:eastAsia="x-none"/>
              </w:rPr>
              <w:t>ies defined in the</w:t>
            </w:r>
            <w:r w:rsidRPr="007C4D65">
              <w:rPr>
                <w:rFonts w:asciiTheme="minorHAnsi" w:eastAsia="Calibri" w:hAnsiTheme="minorHAnsi" w:cstheme="minorHAnsi"/>
                <w:sz w:val="18"/>
                <w:szCs w:val="18"/>
                <w:lang w:eastAsia="x-none"/>
              </w:rPr>
              <w:t xml:space="preserve"> EU </w:t>
            </w:r>
            <w:proofErr w:type="gramStart"/>
            <w:r w:rsidR="0062704A" w:rsidRPr="007C4D65">
              <w:rPr>
                <w:rFonts w:asciiTheme="minorHAnsi" w:eastAsia="Calibri" w:hAnsiTheme="minorHAnsi" w:cstheme="minorHAnsi"/>
                <w:sz w:val="18"/>
                <w:szCs w:val="18"/>
                <w:lang w:eastAsia="x-none"/>
              </w:rPr>
              <w:t>regulations</w:t>
            </w:r>
            <w:r w:rsidR="00EA23CE" w:rsidRPr="007C4D65">
              <w:rPr>
                <w:rFonts w:asciiTheme="minorHAnsi" w:eastAsia="Calibri" w:hAnsiTheme="minorHAnsi" w:cstheme="minorHAnsi"/>
                <w:sz w:val="18"/>
                <w:szCs w:val="18"/>
                <w:lang w:eastAsia="x-none"/>
              </w:rPr>
              <w:t>;</w:t>
            </w:r>
            <w:proofErr w:type="gramEnd"/>
          </w:p>
          <w:p w14:paraId="7AE7A017" w14:textId="6277B03B" w:rsidR="00DA51A1" w:rsidRPr="007C4D65" w:rsidRDefault="00DA51A1">
            <w:pPr>
              <w:numPr>
                <w:ilvl w:val="0"/>
                <w:numId w:val="148"/>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Development of the action plan for </w:t>
            </w:r>
            <w:r w:rsidR="0062704A"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 xml:space="preserve">alignment of legislation in the Federation of Bosnia and Herzegovina with the EU environmental acquis (four-year period) as a part of the </w:t>
            </w:r>
            <w:r w:rsidR="0062704A" w:rsidRPr="007C4D65">
              <w:rPr>
                <w:rFonts w:asciiTheme="minorHAnsi" w:eastAsia="Calibri" w:hAnsiTheme="minorHAnsi" w:cstheme="minorHAnsi"/>
                <w:sz w:val="18"/>
                <w:szCs w:val="18"/>
                <w:lang w:eastAsia="x-none"/>
              </w:rPr>
              <w:t>National EU Integration Programme</w:t>
            </w:r>
            <w:r w:rsidRPr="007C4D65">
              <w:rPr>
                <w:rFonts w:asciiTheme="minorHAnsi" w:eastAsia="Calibri" w:hAnsiTheme="minorHAnsi" w:cstheme="minorHAnsi"/>
                <w:sz w:val="18"/>
                <w:szCs w:val="18"/>
                <w:lang w:eastAsia="x-none"/>
              </w:rPr>
              <w:t xml:space="preserve">, according to the harmonized list of </w:t>
            </w:r>
            <w:proofErr w:type="gramStart"/>
            <w:r w:rsidRPr="007C4D65">
              <w:rPr>
                <w:rFonts w:asciiTheme="minorHAnsi" w:eastAsia="Calibri" w:hAnsiTheme="minorHAnsi" w:cstheme="minorHAnsi"/>
                <w:sz w:val="18"/>
                <w:szCs w:val="18"/>
                <w:lang w:eastAsia="x-none"/>
              </w:rPr>
              <w:t>priorities</w:t>
            </w:r>
            <w:r w:rsidR="00EA23CE" w:rsidRPr="007C4D65">
              <w:rPr>
                <w:rFonts w:asciiTheme="minorHAnsi" w:eastAsia="Calibri" w:hAnsiTheme="minorHAnsi" w:cstheme="minorHAnsi"/>
                <w:sz w:val="18"/>
                <w:szCs w:val="18"/>
                <w:lang w:eastAsia="x-none"/>
              </w:rPr>
              <w:t>;</w:t>
            </w:r>
            <w:proofErr w:type="gramEnd"/>
          </w:p>
          <w:p w14:paraId="22F595A2" w14:textId="49C0BFF6" w:rsidR="00DA51A1" w:rsidRPr="007C4D65" w:rsidRDefault="00DA51A1">
            <w:pPr>
              <w:numPr>
                <w:ilvl w:val="0"/>
                <w:numId w:val="148"/>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Harmonization of the priorities of environmental management institutional measures, according to the recommendations of the European Commission (EC) (four-year period</w:t>
            </w:r>
            <w:proofErr w:type="gramStart"/>
            <w:r w:rsidRPr="007C4D65">
              <w:rPr>
                <w:rFonts w:asciiTheme="minorHAnsi" w:eastAsia="Calibri" w:hAnsiTheme="minorHAnsi" w:cstheme="minorHAnsi"/>
                <w:sz w:val="18"/>
                <w:szCs w:val="18"/>
                <w:lang w:eastAsia="x-none"/>
              </w:rPr>
              <w:t>)</w:t>
            </w:r>
            <w:r w:rsidR="00EA23CE" w:rsidRPr="007C4D65">
              <w:rPr>
                <w:rFonts w:asciiTheme="minorHAnsi" w:eastAsia="Calibri" w:hAnsiTheme="minorHAnsi" w:cstheme="minorHAnsi"/>
                <w:sz w:val="18"/>
                <w:szCs w:val="18"/>
                <w:lang w:eastAsia="x-none"/>
              </w:rPr>
              <w:t>;</w:t>
            </w:r>
            <w:proofErr w:type="gramEnd"/>
          </w:p>
          <w:p w14:paraId="427A2452" w14:textId="02911C9C" w:rsidR="00DA51A1" w:rsidRPr="007C4D65" w:rsidRDefault="00DA51A1">
            <w:pPr>
              <w:numPr>
                <w:ilvl w:val="0"/>
                <w:numId w:val="148"/>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Development of the action plan for </w:t>
            </w:r>
            <w:r w:rsidR="0062704A" w:rsidRPr="007C4D65">
              <w:rPr>
                <w:rFonts w:asciiTheme="minorHAnsi" w:eastAsia="Calibri" w:hAnsiTheme="minorHAnsi" w:cstheme="minorHAnsi"/>
                <w:sz w:val="18"/>
                <w:szCs w:val="18"/>
                <w:lang w:eastAsia="x-none"/>
              </w:rPr>
              <w:t>the implementation</w:t>
            </w:r>
            <w:r w:rsidRPr="007C4D65">
              <w:rPr>
                <w:rFonts w:asciiTheme="minorHAnsi" w:eastAsia="Calibri" w:hAnsiTheme="minorHAnsi" w:cstheme="minorHAnsi"/>
                <w:sz w:val="18"/>
                <w:szCs w:val="18"/>
                <w:lang w:eastAsia="x-none"/>
              </w:rPr>
              <w:t xml:space="preserve"> of environmental institutional measures and review of administrative capacitates according to the recommendations of the European Commission (EC) (four-year period), as a part of </w:t>
            </w:r>
            <w:r w:rsidR="0062704A" w:rsidRPr="007C4D65">
              <w:rPr>
                <w:rFonts w:asciiTheme="minorHAnsi" w:eastAsia="Calibri" w:hAnsiTheme="minorHAnsi" w:cstheme="minorHAnsi"/>
                <w:sz w:val="18"/>
                <w:szCs w:val="18"/>
                <w:lang w:eastAsia="x-none"/>
              </w:rPr>
              <w:t>the National EU Integration Programme</w:t>
            </w:r>
            <w:r w:rsidRPr="007C4D65">
              <w:rPr>
                <w:rFonts w:asciiTheme="minorHAnsi" w:eastAsia="Calibri" w:hAnsiTheme="minorHAnsi" w:cstheme="minorHAnsi"/>
                <w:sz w:val="18"/>
                <w:szCs w:val="18"/>
                <w:lang w:eastAsia="x-none"/>
              </w:rPr>
              <w:t xml:space="preserve">, according to the harmonized list of </w:t>
            </w:r>
            <w:proofErr w:type="gramStart"/>
            <w:r w:rsidRPr="007C4D65">
              <w:rPr>
                <w:rFonts w:asciiTheme="minorHAnsi" w:eastAsia="Calibri" w:hAnsiTheme="minorHAnsi" w:cstheme="minorHAnsi"/>
                <w:sz w:val="18"/>
                <w:szCs w:val="18"/>
                <w:lang w:eastAsia="x-none"/>
              </w:rPr>
              <w:t>priorities</w:t>
            </w:r>
            <w:r w:rsidR="00EA23CE" w:rsidRPr="007C4D65">
              <w:rPr>
                <w:rFonts w:asciiTheme="minorHAnsi" w:eastAsia="Calibri" w:hAnsiTheme="minorHAnsi" w:cstheme="minorHAnsi"/>
                <w:sz w:val="18"/>
                <w:szCs w:val="18"/>
                <w:lang w:eastAsia="x-none"/>
              </w:rPr>
              <w:t>;</w:t>
            </w:r>
            <w:proofErr w:type="gramEnd"/>
          </w:p>
          <w:p w14:paraId="62D027AB" w14:textId="59737DFD" w:rsidR="00DA51A1" w:rsidRPr="007C4D65" w:rsidRDefault="00DA51A1">
            <w:pPr>
              <w:numPr>
                <w:ilvl w:val="0"/>
                <w:numId w:val="148"/>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Participation in</w:t>
            </w:r>
            <w:r w:rsidR="0062704A" w:rsidRPr="007C4D65">
              <w:rPr>
                <w:rFonts w:asciiTheme="minorHAnsi" w:eastAsia="Calibri" w:hAnsiTheme="minorHAnsi" w:cstheme="minorHAnsi"/>
                <w:sz w:val="18"/>
                <w:szCs w:val="18"/>
                <w:lang w:eastAsia="x-none"/>
              </w:rPr>
              <w:t xml:space="preserve"> the</w:t>
            </w:r>
            <w:r w:rsidRPr="007C4D65">
              <w:rPr>
                <w:rFonts w:asciiTheme="minorHAnsi" w:eastAsia="Calibri" w:hAnsiTheme="minorHAnsi" w:cstheme="minorHAnsi"/>
                <w:sz w:val="18"/>
                <w:szCs w:val="18"/>
                <w:lang w:eastAsia="x-none"/>
              </w:rPr>
              <w:t xml:space="preserve"> preparation of </w:t>
            </w:r>
            <w:r w:rsidR="0062704A" w:rsidRPr="007C4D65">
              <w:rPr>
                <w:rFonts w:asciiTheme="minorHAnsi" w:eastAsia="Calibri" w:hAnsiTheme="minorHAnsi" w:cstheme="minorHAnsi"/>
                <w:sz w:val="18"/>
                <w:szCs w:val="18"/>
                <w:lang w:eastAsia="x-none"/>
              </w:rPr>
              <w:t xml:space="preserve">the National EU Integration Programme </w:t>
            </w:r>
            <w:r w:rsidRPr="007C4D65">
              <w:rPr>
                <w:rFonts w:asciiTheme="minorHAnsi" w:eastAsia="Calibri" w:hAnsiTheme="minorHAnsi" w:cstheme="minorHAnsi"/>
                <w:sz w:val="18"/>
                <w:szCs w:val="18"/>
                <w:lang w:eastAsia="x-none"/>
              </w:rPr>
              <w:t xml:space="preserve">for </w:t>
            </w:r>
            <w:r w:rsidR="0062704A"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 xml:space="preserve">environmental management, on behalf of the Federation of Bosnia and </w:t>
            </w:r>
            <w:proofErr w:type="gramStart"/>
            <w:r w:rsidRPr="007C4D65">
              <w:rPr>
                <w:rFonts w:asciiTheme="minorHAnsi" w:eastAsia="Calibri" w:hAnsiTheme="minorHAnsi" w:cstheme="minorHAnsi"/>
                <w:sz w:val="18"/>
                <w:szCs w:val="18"/>
                <w:lang w:eastAsia="x-none"/>
              </w:rPr>
              <w:t>Herzegovina</w:t>
            </w:r>
            <w:r w:rsidR="00EA23CE" w:rsidRPr="007C4D65">
              <w:rPr>
                <w:rFonts w:asciiTheme="minorHAnsi" w:eastAsia="Calibri" w:hAnsiTheme="minorHAnsi" w:cstheme="minorHAnsi"/>
                <w:sz w:val="18"/>
                <w:szCs w:val="18"/>
                <w:lang w:eastAsia="x-none"/>
              </w:rPr>
              <w:t>;</w:t>
            </w:r>
            <w:proofErr w:type="gramEnd"/>
          </w:p>
          <w:p w14:paraId="668EA8B4" w14:textId="3EB54421" w:rsidR="00DA51A1" w:rsidRPr="007C4D65" w:rsidRDefault="0062704A">
            <w:pPr>
              <w:numPr>
                <w:ilvl w:val="0"/>
                <w:numId w:val="148"/>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Implementation of the National EU Integration Programme </w:t>
            </w:r>
            <w:r w:rsidR="00DA51A1" w:rsidRPr="007C4D65">
              <w:rPr>
                <w:rFonts w:asciiTheme="minorHAnsi" w:eastAsia="Calibri" w:hAnsiTheme="minorHAnsi" w:cstheme="minorHAnsi"/>
                <w:sz w:val="18"/>
                <w:szCs w:val="18"/>
                <w:lang w:eastAsia="x-none"/>
              </w:rPr>
              <w:t>in the domain of environmental management, in the Federation of Bosnia and Herzegovina, that is: -</w:t>
            </w:r>
            <w:r w:rsidR="00DA51A1" w:rsidRPr="007C4D65">
              <w:rPr>
                <w:rFonts w:asciiTheme="minorHAnsi" w:eastAsiaTheme="minorHAnsi" w:hAnsiTheme="minorHAnsi" w:cstheme="minorHAnsi"/>
                <w:sz w:val="18"/>
                <w:szCs w:val="18"/>
                <w:lang w:eastAsia="en-US"/>
              </w:rPr>
              <w:t xml:space="preserve"> </w:t>
            </w:r>
            <w:r w:rsidRPr="007C4D65">
              <w:rPr>
                <w:rFonts w:asciiTheme="minorHAnsi" w:eastAsiaTheme="minorHAnsi" w:hAnsiTheme="minorHAnsi" w:cstheme="minorHAnsi"/>
                <w:sz w:val="18"/>
                <w:szCs w:val="18"/>
                <w:lang w:eastAsia="en-US"/>
              </w:rPr>
              <w:t>a</w:t>
            </w:r>
            <w:r w:rsidR="00DA51A1" w:rsidRPr="007C4D65">
              <w:rPr>
                <w:rFonts w:asciiTheme="minorHAnsi" w:eastAsia="Calibri" w:hAnsiTheme="minorHAnsi" w:cstheme="minorHAnsi"/>
                <w:sz w:val="18"/>
                <w:szCs w:val="18"/>
                <w:lang w:eastAsia="x-none"/>
              </w:rPr>
              <w:t>ction plan for</w:t>
            </w:r>
            <w:r w:rsidRPr="007C4D65">
              <w:rPr>
                <w:rFonts w:asciiTheme="minorHAnsi" w:eastAsia="Calibri" w:hAnsiTheme="minorHAnsi" w:cstheme="minorHAnsi"/>
                <w:sz w:val="18"/>
                <w:szCs w:val="18"/>
                <w:lang w:eastAsia="x-none"/>
              </w:rPr>
              <w:t xml:space="preserve"> the</w:t>
            </w:r>
            <w:r w:rsidR="00DA51A1" w:rsidRPr="007C4D65">
              <w:rPr>
                <w:rFonts w:asciiTheme="minorHAnsi" w:eastAsia="Calibri" w:hAnsiTheme="minorHAnsi" w:cstheme="minorHAnsi"/>
                <w:sz w:val="18"/>
                <w:szCs w:val="18"/>
                <w:lang w:eastAsia="x-none"/>
              </w:rPr>
              <w:t xml:space="preserve"> alignment of </w:t>
            </w:r>
            <w:r w:rsidRPr="007C4D65">
              <w:rPr>
                <w:rFonts w:asciiTheme="minorHAnsi" w:eastAsia="Calibri" w:hAnsiTheme="minorHAnsi" w:cstheme="minorHAnsi"/>
                <w:sz w:val="18"/>
                <w:szCs w:val="18"/>
                <w:lang w:eastAsia="x-none"/>
              </w:rPr>
              <w:t xml:space="preserve">the </w:t>
            </w:r>
            <w:r w:rsidR="00DA51A1" w:rsidRPr="007C4D65">
              <w:rPr>
                <w:rFonts w:asciiTheme="minorHAnsi" w:eastAsia="Calibri" w:hAnsiTheme="minorHAnsi" w:cstheme="minorHAnsi"/>
                <w:sz w:val="18"/>
                <w:szCs w:val="18"/>
                <w:lang w:eastAsia="x-none"/>
              </w:rPr>
              <w:t xml:space="preserve">legislation in the Federation of Bosnia and Herzegovina with the EU environmental acquis, - action plan for </w:t>
            </w:r>
            <w:r w:rsidRPr="007C4D65">
              <w:rPr>
                <w:rFonts w:asciiTheme="minorHAnsi" w:eastAsia="Calibri" w:hAnsiTheme="minorHAnsi" w:cstheme="minorHAnsi"/>
                <w:sz w:val="18"/>
                <w:szCs w:val="18"/>
                <w:lang w:eastAsia="x-none"/>
              </w:rPr>
              <w:t>the implementation of</w:t>
            </w:r>
            <w:r w:rsidR="00DA51A1" w:rsidRPr="007C4D65">
              <w:rPr>
                <w:rFonts w:asciiTheme="minorHAnsi" w:eastAsia="Calibri" w:hAnsiTheme="minorHAnsi" w:cstheme="minorHAnsi"/>
                <w:sz w:val="18"/>
                <w:szCs w:val="18"/>
                <w:lang w:eastAsia="x-none"/>
              </w:rPr>
              <w:t xml:space="preserve"> the institutional </w:t>
            </w:r>
            <w:proofErr w:type="gramStart"/>
            <w:r w:rsidR="00DA51A1" w:rsidRPr="007C4D65">
              <w:rPr>
                <w:rFonts w:asciiTheme="minorHAnsi" w:eastAsia="Calibri" w:hAnsiTheme="minorHAnsi" w:cstheme="minorHAnsi"/>
                <w:sz w:val="18"/>
                <w:szCs w:val="18"/>
                <w:lang w:eastAsia="x-none"/>
              </w:rPr>
              <w:t>measures</w:t>
            </w:r>
            <w:r w:rsidR="00EA23CE" w:rsidRPr="007C4D65">
              <w:rPr>
                <w:rFonts w:asciiTheme="minorHAnsi" w:eastAsia="Calibri" w:hAnsiTheme="minorHAnsi" w:cstheme="minorHAnsi"/>
                <w:sz w:val="18"/>
                <w:szCs w:val="18"/>
                <w:lang w:eastAsia="x-none"/>
              </w:rPr>
              <w:t>;</w:t>
            </w:r>
            <w:proofErr w:type="gramEnd"/>
          </w:p>
          <w:p w14:paraId="09EAFC94" w14:textId="4B036B12" w:rsidR="00DA51A1" w:rsidRPr="007C4D65" w:rsidRDefault="00DA51A1">
            <w:pPr>
              <w:numPr>
                <w:ilvl w:val="0"/>
                <w:numId w:val="148"/>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Development of </w:t>
            </w:r>
            <w:r w:rsidR="0062704A" w:rsidRPr="007C4D65">
              <w:rPr>
                <w:rFonts w:asciiTheme="minorHAnsi" w:eastAsia="Calibri" w:hAnsiTheme="minorHAnsi" w:cstheme="minorHAnsi"/>
                <w:sz w:val="18"/>
                <w:szCs w:val="18"/>
                <w:lang w:eastAsia="x-none"/>
              </w:rPr>
              <w:t>a</w:t>
            </w:r>
            <w:r w:rsidRPr="007C4D65">
              <w:rPr>
                <w:rFonts w:asciiTheme="minorHAnsi" w:eastAsia="Calibri" w:hAnsiTheme="minorHAnsi" w:cstheme="minorHAnsi"/>
                <w:sz w:val="18"/>
                <w:szCs w:val="18"/>
                <w:lang w:eastAsia="x-none"/>
              </w:rPr>
              <w:t xml:space="preserve"> system</w:t>
            </w:r>
            <w:r w:rsidR="0062704A" w:rsidRPr="007C4D65">
              <w:rPr>
                <w:rFonts w:asciiTheme="minorHAnsi" w:eastAsia="Calibri" w:hAnsiTheme="minorHAnsi" w:cstheme="minorHAnsi"/>
                <w:sz w:val="18"/>
                <w:szCs w:val="18"/>
                <w:lang w:eastAsia="x-none"/>
              </w:rPr>
              <w:t>ic</w:t>
            </w:r>
            <w:r w:rsidRPr="007C4D65">
              <w:rPr>
                <w:rFonts w:asciiTheme="minorHAnsi" w:eastAsia="Calibri" w:hAnsiTheme="minorHAnsi" w:cstheme="minorHAnsi"/>
                <w:sz w:val="18"/>
                <w:szCs w:val="18"/>
                <w:lang w:eastAsia="x-none"/>
              </w:rPr>
              <w:t xml:space="preserve"> monitoring of alignment, based on the tables of alignment in the area of environmental protection, in cooperation with the BiH Ministry for Foreign Trade and Economic Relations and responsible institutions in </w:t>
            </w:r>
            <w:proofErr w:type="spellStart"/>
            <w:r w:rsidRPr="007C4D65">
              <w:rPr>
                <w:rFonts w:asciiTheme="minorHAnsi" w:eastAsia="Calibri" w:hAnsiTheme="minorHAnsi" w:cstheme="minorHAnsi"/>
                <w:sz w:val="18"/>
                <w:szCs w:val="18"/>
                <w:lang w:eastAsia="x-none"/>
              </w:rPr>
              <w:t>Republika</w:t>
            </w:r>
            <w:proofErr w:type="spellEnd"/>
            <w:r w:rsidRPr="007C4D65">
              <w:rPr>
                <w:rFonts w:asciiTheme="minorHAnsi" w:eastAsia="Calibri" w:hAnsiTheme="minorHAnsi" w:cstheme="minorHAnsi"/>
                <w:sz w:val="18"/>
                <w:szCs w:val="18"/>
                <w:lang w:eastAsia="x-none"/>
              </w:rPr>
              <w:t xml:space="preserve"> Srpska and Br</w:t>
            </w:r>
            <w:r w:rsidR="0062704A" w:rsidRPr="007C4D65">
              <w:rPr>
                <w:rFonts w:asciiTheme="minorHAnsi" w:eastAsia="Calibri" w:hAnsiTheme="minorHAnsi" w:cstheme="minorHAnsi"/>
                <w:sz w:val="18"/>
                <w:szCs w:val="18"/>
                <w:lang w:eastAsia="x-none"/>
              </w:rPr>
              <w:t>c</w:t>
            </w:r>
            <w:r w:rsidRPr="007C4D65">
              <w:rPr>
                <w:rFonts w:asciiTheme="minorHAnsi" w:eastAsia="Calibri" w:hAnsiTheme="minorHAnsi" w:cstheme="minorHAnsi"/>
                <w:sz w:val="18"/>
                <w:szCs w:val="18"/>
                <w:lang w:eastAsia="x-none"/>
              </w:rPr>
              <w:t xml:space="preserve">ko </w:t>
            </w:r>
            <w:proofErr w:type="gramStart"/>
            <w:r w:rsidRPr="007C4D65">
              <w:rPr>
                <w:rFonts w:asciiTheme="minorHAnsi" w:eastAsia="Calibri" w:hAnsiTheme="minorHAnsi" w:cstheme="minorHAnsi"/>
                <w:sz w:val="18"/>
                <w:szCs w:val="18"/>
                <w:lang w:eastAsia="x-none"/>
              </w:rPr>
              <w:t>District</w:t>
            </w:r>
            <w:r w:rsidR="00EA23CE" w:rsidRPr="007C4D65">
              <w:rPr>
                <w:rFonts w:asciiTheme="minorHAnsi" w:eastAsia="Calibri" w:hAnsiTheme="minorHAnsi" w:cstheme="minorHAnsi"/>
                <w:sz w:val="18"/>
                <w:szCs w:val="18"/>
                <w:lang w:eastAsia="x-none"/>
              </w:rPr>
              <w:t>;</w:t>
            </w:r>
            <w:proofErr w:type="gramEnd"/>
          </w:p>
          <w:p w14:paraId="16E85E8F" w14:textId="5D2F7D82" w:rsidR="00DA51A1" w:rsidRPr="007C4D65" w:rsidRDefault="00DA51A1">
            <w:pPr>
              <w:numPr>
                <w:ilvl w:val="0"/>
                <w:numId w:val="148"/>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Annual monitoring of the process of alignment of legislation in the Federation of Bosnia and Herzegovina with the EU environmental </w:t>
            </w:r>
            <w:proofErr w:type="gramStart"/>
            <w:r w:rsidRPr="007C4D65">
              <w:rPr>
                <w:rFonts w:asciiTheme="minorHAnsi" w:eastAsia="Calibri" w:hAnsiTheme="minorHAnsi" w:cstheme="minorHAnsi"/>
                <w:sz w:val="18"/>
                <w:szCs w:val="18"/>
                <w:lang w:eastAsia="x-none"/>
              </w:rPr>
              <w:t>acquis</w:t>
            </w:r>
            <w:r w:rsidR="00EA23CE" w:rsidRPr="007C4D65">
              <w:rPr>
                <w:rFonts w:asciiTheme="minorHAnsi" w:eastAsia="Calibri" w:hAnsiTheme="minorHAnsi" w:cstheme="minorHAnsi"/>
                <w:sz w:val="18"/>
                <w:szCs w:val="18"/>
                <w:lang w:eastAsia="x-none"/>
              </w:rPr>
              <w:t>;</w:t>
            </w:r>
            <w:proofErr w:type="gramEnd"/>
          </w:p>
          <w:p w14:paraId="6B804E8A" w14:textId="01EEDA9E" w:rsidR="00DA51A1" w:rsidRPr="007C4D65" w:rsidRDefault="00DA51A1">
            <w:pPr>
              <w:numPr>
                <w:ilvl w:val="0"/>
                <w:numId w:val="148"/>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lastRenderedPageBreak/>
              <w:t xml:space="preserve">Participation in the process of development of </w:t>
            </w:r>
            <w:r w:rsidR="0062704A" w:rsidRPr="007C4D65">
              <w:rPr>
                <w:rFonts w:asciiTheme="minorHAnsi" w:eastAsia="Calibri" w:hAnsiTheme="minorHAnsi" w:cstheme="minorHAnsi"/>
                <w:sz w:val="18"/>
                <w:szCs w:val="18"/>
                <w:lang w:eastAsia="x-none"/>
              </w:rPr>
              <w:t>directive specific implementation plans</w:t>
            </w:r>
            <w:r w:rsidRPr="007C4D65">
              <w:rPr>
                <w:rFonts w:asciiTheme="minorHAnsi" w:eastAsia="Calibri" w:hAnsiTheme="minorHAnsi" w:cstheme="minorHAnsi"/>
                <w:sz w:val="18"/>
                <w:szCs w:val="18"/>
                <w:lang w:eastAsia="x-none"/>
              </w:rPr>
              <w:t xml:space="preserve"> (DSIP</w:t>
            </w:r>
            <w:r w:rsidR="0062704A"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eastAsia="x-none"/>
              </w:rPr>
              <w:t>) which represent framework for necessary actions and development of future associated action plans (APID</w:t>
            </w:r>
            <w:r w:rsidR="0062704A"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eastAsia="x-none"/>
              </w:rPr>
              <w:t xml:space="preserve">) for </w:t>
            </w:r>
            <w:r w:rsidR="0062704A"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implementation of EU directives in</w:t>
            </w:r>
            <w:r w:rsidR="0062704A" w:rsidRPr="007C4D65">
              <w:rPr>
                <w:rFonts w:asciiTheme="minorHAnsi" w:eastAsia="Calibri" w:hAnsiTheme="minorHAnsi" w:cstheme="minorHAnsi"/>
                <w:sz w:val="18"/>
                <w:szCs w:val="18"/>
                <w:lang w:eastAsia="x-none"/>
              </w:rPr>
              <w:t xml:space="preserve"> the</w:t>
            </w:r>
            <w:r w:rsidRPr="007C4D65">
              <w:rPr>
                <w:rFonts w:asciiTheme="minorHAnsi" w:eastAsia="Calibri" w:hAnsiTheme="minorHAnsi" w:cstheme="minorHAnsi"/>
                <w:sz w:val="18"/>
                <w:szCs w:val="18"/>
                <w:lang w:eastAsia="x-none"/>
              </w:rPr>
              <w:t xml:space="preserve"> Federation of Bosnia and </w:t>
            </w:r>
            <w:proofErr w:type="gramStart"/>
            <w:r w:rsidRPr="007C4D65">
              <w:rPr>
                <w:rFonts w:asciiTheme="minorHAnsi" w:eastAsia="Calibri" w:hAnsiTheme="minorHAnsi" w:cstheme="minorHAnsi"/>
                <w:sz w:val="18"/>
                <w:szCs w:val="18"/>
                <w:lang w:eastAsia="x-none"/>
              </w:rPr>
              <w:t>Herzegovina</w:t>
            </w:r>
            <w:r w:rsidR="00EA23CE" w:rsidRPr="007C4D65">
              <w:rPr>
                <w:rFonts w:asciiTheme="minorHAnsi" w:eastAsia="Calibri" w:hAnsiTheme="minorHAnsi" w:cstheme="minorHAnsi"/>
                <w:sz w:val="18"/>
                <w:szCs w:val="18"/>
                <w:lang w:eastAsia="x-none"/>
              </w:rPr>
              <w:t>;</w:t>
            </w:r>
            <w:proofErr w:type="gramEnd"/>
          </w:p>
          <w:p w14:paraId="345205FC" w14:textId="730B42DA" w:rsidR="00DA51A1" w:rsidRPr="007C4D65" w:rsidRDefault="00DA51A1">
            <w:pPr>
              <w:numPr>
                <w:ilvl w:val="0"/>
                <w:numId w:val="148"/>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According to the </w:t>
            </w:r>
            <w:r w:rsidR="0062704A" w:rsidRPr="007C4D65">
              <w:rPr>
                <w:rFonts w:asciiTheme="minorHAnsi" w:eastAsiaTheme="minorHAnsi" w:hAnsiTheme="minorHAnsi" w:cstheme="minorHAnsi"/>
                <w:sz w:val="18"/>
                <w:szCs w:val="18"/>
                <w:lang w:eastAsia="en-US"/>
              </w:rPr>
              <w:t>Environmental</w:t>
            </w:r>
            <w:r w:rsidR="0062704A" w:rsidRPr="007C4D65">
              <w:rPr>
                <w:rFonts w:asciiTheme="minorHAnsi" w:eastAsia="Calibri" w:hAnsiTheme="minorHAnsi" w:cstheme="minorHAnsi"/>
                <w:sz w:val="18"/>
                <w:szCs w:val="18"/>
                <w:lang w:eastAsia="x-none"/>
              </w:rPr>
              <w:t xml:space="preserve"> </w:t>
            </w:r>
            <w:r w:rsidR="0062704A" w:rsidRPr="007C4D65">
              <w:rPr>
                <w:rFonts w:asciiTheme="minorHAnsi" w:eastAsiaTheme="minorHAnsi" w:hAnsiTheme="minorHAnsi" w:cstheme="minorHAnsi"/>
                <w:sz w:val="18"/>
                <w:szCs w:val="18"/>
                <w:lang w:eastAsia="en-US"/>
              </w:rPr>
              <w:t xml:space="preserve">Approximation Programme </w:t>
            </w:r>
            <w:r w:rsidRPr="007C4D65">
              <w:rPr>
                <w:rFonts w:asciiTheme="minorHAnsi" w:eastAsia="Calibri" w:hAnsiTheme="minorHAnsi" w:cstheme="minorHAnsi"/>
                <w:sz w:val="18"/>
                <w:szCs w:val="18"/>
                <w:lang w:eastAsia="x-none"/>
              </w:rPr>
              <w:t>of the Federation of Bosnia and Herzegovina and according to the dynamics of the</w:t>
            </w:r>
            <w:r w:rsidR="0062704A" w:rsidRPr="007C4D65">
              <w:rPr>
                <w:rFonts w:asciiTheme="minorHAnsi" w:eastAsia="Calibri" w:hAnsiTheme="minorHAnsi" w:cstheme="minorHAnsi"/>
                <w:sz w:val="18"/>
                <w:szCs w:val="18"/>
                <w:lang w:eastAsia="x-none"/>
              </w:rPr>
              <w:t xml:space="preserve"> National EU Integration</w:t>
            </w:r>
            <w:r w:rsidRPr="007C4D65">
              <w:rPr>
                <w:rFonts w:asciiTheme="minorHAnsi" w:eastAsia="Calibri" w:hAnsiTheme="minorHAnsi" w:cstheme="minorHAnsi"/>
                <w:sz w:val="18"/>
                <w:szCs w:val="18"/>
                <w:lang w:eastAsia="x-none"/>
              </w:rPr>
              <w:t xml:space="preserve"> Program</w:t>
            </w:r>
            <w:r w:rsidR="0062704A" w:rsidRPr="007C4D65">
              <w:rPr>
                <w:rFonts w:asciiTheme="minorHAnsi" w:eastAsia="Calibri" w:hAnsiTheme="minorHAnsi" w:cstheme="minorHAnsi"/>
                <w:sz w:val="18"/>
                <w:szCs w:val="18"/>
                <w:lang w:eastAsia="x-none"/>
              </w:rPr>
              <w:t>me f</w:t>
            </w:r>
            <w:r w:rsidRPr="007C4D65">
              <w:rPr>
                <w:rFonts w:asciiTheme="minorHAnsi" w:eastAsia="Calibri" w:hAnsiTheme="minorHAnsi" w:cstheme="minorHAnsi"/>
                <w:sz w:val="18"/>
                <w:szCs w:val="18"/>
                <w:lang w:eastAsia="x-none"/>
              </w:rPr>
              <w:t>or environmental management and priorities</w:t>
            </w:r>
            <w:r w:rsidR="0062704A" w:rsidRPr="007C4D65">
              <w:rPr>
                <w:rFonts w:asciiTheme="minorHAnsi" w:eastAsia="Calibri" w:hAnsiTheme="minorHAnsi" w:cstheme="minorHAnsi"/>
                <w:sz w:val="18"/>
                <w:szCs w:val="18"/>
                <w:lang w:eastAsia="x-none"/>
              </w:rPr>
              <w:t xml:space="preserve"> defined</w:t>
            </w:r>
            <w:r w:rsidRPr="007C4D65">
              <w:rPr>
                <w:rFonts w:asciiTheme="minorHAnsi" w:eastAsia="Calibri" w:hAnsiTheme="minorHAnsi" w:cstheme="minorHAnsi"/>
                <w:sz w:val="18"/>
                <w:szCs w:val="18"/>
                <w:lang w:eastAsia="x-none"/>
              </w:rPr>
              <w:t>, develop and adopt:</w:t>
            </w:r>
          </w:p>
          <w:p w14:paraId="49BC6625" w14:textId="43459293" w:rsidR="00DA51A1" w:rsidRPr="007C4D65" w:rsidRDefault="00DA51A1" w:rsidP="00DA51A1">
            <w:pPr>
              <w:spacing w:before="40" w:after="40" w:line="276" w:lineRule="auto"/>
              <w:ind w:left="360"/>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w:t>
            </w:r>
            <w:r w:rsidRPr="007C4D65">
              <w:rPr>
                <w:rFonts w:asciiTheme="minorHAnsi" w:eastAsia="Calibri" w:hAnsiTheme="minorHAnsi" w:cstheme="minorHAnsi"/>
                <w:sz w:val="18"/>
                <w:szCs w:val="18"/>
                <w:lang w:eastAsia="x-none"/>
              </w:rPr>
              <w:tab/>
              <w:t>Implementation plan for Directive 2001/42/EC on the assessment of the effects of certain plans and programs on the environment (Directive on Strategic Environment Impact Assessment</w:t>
            </w:r>
            <w:proofErr w:type="gramStart"/>
            <w:r w:rsidRPr="007C4D65">
              <w:rPr>
                <w:rFonts w:asciiTheme="minorHAnsi" w:eastAsia="Calibri" w:hAnsiTheme="minorHAnsi" w:cstheme="minorHAnsi"/>
                <w:sz w:val="18"/>
                <w:szCs w:val="18"/>
                <w:lang w:eastAsia="x-none"/>
              </w:rPr>
              <w:t>)</w:t>
            </w:r>
            <w:r w:rsidR="00EA23CE" w:rsidRPr="007C4D65">
              <w:rPr>
                <w:rFonts w:asciiTheme="minorHAnsi" w:eastAsia="Calibri" w:hAnsiTheme="minorHAnsi" w:cstheme="minorHAnsi"/>
                <w:sz w:val="18"/>
                <w:szCs w:val="18"/>
                <w:lang w:eastAsia="x-none"/>
              </w:rPr>
              <w:t>;</w:t>
            </w:r>
            <w:proofErr w:type="gramEnd"/>
          </w:p>
          <w:p w14:paraId="5BA76BDC" w14:textId="5F14ED91" w:rsidR="00DA51A1" w:rsidRPr="007C4D65" w:rsidRDefault="00DA51A1" w:rsidP="00DA51A1">
            <w:pPr>
              <w:spacing w:before="40" w:after="40" w:line="276" w:lineRule="auto"/>
              <w:ind w:left="360"/>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w:t>
            </w:r>
            <w:r w:rsidRPr="007C4D65">
              <w:rPr>
                <w:rFonts w:asciiTheme="minorHAnsi" w:eastAsia="Calibri" w:hAnsiTheme="minorHAnsi" w:cstheme="minorHAnsi"/>
                <w:sz w:val="18"/>
                <w:szCs w:val="18"/>
                <w:lang w:eastAsia="x-none"/>
              </w:rPr>
              <w:tab/>
              <w:t xml:space="preserve">Implementation plan for Directive 2004/35/EC on environmental liability with regard to the prevention and remedying of environmental </w:t>
            </w:r>
            <w:proofErr w:type="gramStart"/>
            <w:r w:rsidRPr="007C4D65">
              <w:rPr>
                <w:rFonts w:asciiTheme="minorHAnsi" w:eastAsia="Calibri" w:hAnsiTheme="minorHAnsi" w:cstheme="minorHAnsi"/>
                <w:sz w:val="18"/>
                <w:szCs w:val="18"/>
                <w:lang w:eastAsia="x-none"/>
              </w:rPr>
              <w:t>damage</w:t>
            </w:r>
            <w:r w:rsidR="00EA23CE" w:rsidRPr="007C4D65">
              <w:rPr>
                <w:rFonts w:asciiTheme="minorHAnsi" w:eastAsia="Calibri" w:hAnsiTheme="minorHAnsi" w:cstheme="minorHAnsi"/>
                <w:sz w:val="18"/>
                <w:szCs w:val="18"/>
                <w:lang w:eastAsia="x-none"/>
              </w:rPr>
              <w:t>;</w:t>
            </w:r>
            <w:proofErr w:type="gramEnd"/>
          </w:p>
          <w:p w14:paraId="40E1CFA2" w14:textId="40EAAE30" w:rsidR="00DA51A1" w:rsidRPr="007C4D65" w:rsidRDefault="00DA51A1" w:rsidP="00DA51A1">
            <w:pPr>
              <w:spacing w:before="40" w:after="40" w:line="276" w:lineRule="auto"/>
              <w:ind w:left="360"/>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w:t>
            </w:r>
            <w:r w:rsidRPr="007C4D65">
              <w:rPr>
                <w:rFonts w:asciiTheme="minorHAnsi" w:eastAsia="Calibri" w:hAnsiTheme="minorHAnsi" w:cstheme="minorHAnsi"/>
                <w:sz w:val="18"/>
                <w:szCs w:val="18"/>
                <w:lang w:eastAsia="x-none"/>
              </w:rPr>
              <w:tab/>
              <w:t>Implementation plan for Directive 2007/2/EC establishing an Infrastructure for Spatial Information in the European Community (INSPIRE Directive</w:t>
            </w:r>
            <w:proofErr w:type="gramStart"/>
            <w:r w:rsidRPr="007C4D65">
              <w:rPr>
                <w:rFonts w:asciiTheme="minorHAnsi" w:eastAsia="Calibri" w:hAnsiTheme="minorHAnsi" w:cstheme="minorHAnsi"/>
                <w:sz w:val="18"/>
                <w:szCs w:val="18"/>
                <w:lang w:eastAsia="x-none"/>
              </w:rPr>
              <w:t>)</w:t>
            </w:r>
            <w:r w:rsidR="00EA23CE" w:rsidRPr="007C4D65">
              <w:rPr>
                <w:rFonts w:asciiTheme="minorHAnsi" w:eastAsia="Calibri" w:hAnsiTheme="minorHAnsi" w:cstheme="minorHAnsi"/>
                <w:sz w:val="18"/>
                <w:szCs w:val="18"/>
                <w:lang w:eastAsia="x-none"/>
              </w:rPr>
              <w:t>;</w:t>
            </w:r>
            <w:proofErr w:type="gramEnd"/>
          </w:p>
          <w:p w14:paraId="31E7453B" w14:textId="77777777" w:rsidR="00DA51A1" w:rsidRPr="007C4D65" w:rsidRDefault="00DA51A1" w:rsidP="00DA51A1">
            <w:pPr>
              <w:spacing w:before="40" w:after="40" w:line="276" w:lineRule="auto"/>
              <w:ind w:left="360"/>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w:t>
            </w:r>
            <w:r w:rsidRPr="007C4D65">
              <w:rPr>
                <w:rFonts w:asciiTheme="minorHAnsi" w:eastAsia="Calibri" w:hAnsiTheme="minorHAnsi" w:cstheme="minorHAnsi"/>
                <w:sz w:val="18"/>
                <w:szCs w:val="18"/>
                <w:lang w:eastAsia="x-none"/>
              </w:rPr>
              <w:tab/>
              <w:t>Implementation plan for Directive 2008/99/EC on the protection of the environment through criminal law</w:t>
            </w:r>
          </w:p>
          <w:p w14:paraId="1057B7F0" w14:textId="43CC9101" w:rsidR="00DA51A1" w:rsidRPr="007C4D65" w:rsidRDefault="00DA51A1" w:rsidP="00DA51A1">
            <w:pPr>
              <w:spacing w:before="40" w:after="40" w:line="276" w:lineRule="auto"/>
              <w:ind w:left="360"/>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w:t>
            </w:r>
            <w:r w:rsidRPr="007C4D65">
              <w:rPr>
                <w:rFonts w:asciiTheme="minorHAnsi" w:eastAsia="Calibri" w:hAnsiTheme="minorHAnsi" w:cstheme="minorHAnsi"/>
                <w:sz w:val="18"/>
                <w:szCs w:val="18"/>
                <w:lang w:eastAsia="x-none"/>
              </w:rPr>
              <w:tab/>
              <w:t xml:space="preserve">Implementation plan Directive 2010/75/EU on industrial </w:t>
            </w:r>
            <w:proofErr w:type="gramStart"/>
            <w:r w:rsidRPr="007C4D65">
              <w:rPr>
                <w:rFonts w:asciiTheme="minorHAnsi" w:eastAsia="Calibri" w:hAnsiTheme="minorHAnsi" w:cstheme="minorHAnsi"/>
                <w:sz w:val="18"/>
                <w:szCs w:val="18"/>
                <w:lang w:eastAsia="x-none"/>
              </w:rPr>
              <w:t>emissions</w:t>
            </w:r>
            <w:r w:rsidR="00EA23CE" w:rsidRPr="007C4D65">
              <w:rPr>
                <w:rFonts w:asciiTheme="minorHAnsi" w:eastAsia="Calibri" w:hAnsiTheme="minorHAnsi" w:cstheme="minorHAnsi"/>
                <w:sz w:val="18"/>
                <w:szCs w:val="18"/>
                <w:lang w:eastAsia="x-none"/>
              </w:rPr>
              <w:t>;</w:t>
            </w:r>
            <w:proofErr w:type="gramEnd"/>
          </w:p>
          <w:p w14:paraId="10381AF4" w14:textId="3E87E151" w:rsidR="00DA51A1" w:rsidRPr="007C4D65" w:rsidRDefault="0062704A">
            <w:pPr>
              <w:numPr>
                <w:ilvl w:val="0"/>
                <w:numId w:val="148"/>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Implementation </w:t>
            </w:r>
            <w:r w:rsidR="005331AE" w:rsidRPr="007C4D65">
              <w:rPr>
                <w:rFonts w:asciiTheme="minorHAnsi" w:eastAsia="Calibri" w:hAnsiTheme="minorHAnsi" w:cstheme="minorHAnsi"/>
                <w:sz w:val="18"/>
                <w:szCs w:val="18"/>
                <w:lang w:eastAsia="x-none"/>
              </w:rPr>
              <w:t xml:space="preserve">of </w:t>
            </w:r>
            <w:r w:rsidR="00DA51A1" w:rsidRPr="007C4D65">
              <w:rPr>
                <w:rFonts w:asciiTheme="minorHAnsi" w:eastAsia="Calibri" w:hAnsiTheme="minorHAnsi" w:cstheme="minorHAnsi"/>
                <w:sz w:val="18"/>
                <w:szCs w:val="18"/>
                <w:lang w:eastAsia="x-none"/>
              </w:rPr>
              <w:t>the action</w:t>
            </w:r>
            <w:r w:rsidR="005331AE" w:rsidRPr="007C4D65">
              <w:rPr>
                <w:rFonts w:asciiTheme="minorHAnsi" w:eastAsia="Calibri" w:hAnsiTheme="minorHAnsi" w:cstheme="minorHAnsi"/>
                <w:sz w:val="18"/>
                <w:szCs w:val="18"/>
                <w:lang w:eastAsia="x-none"/>
              </w:rPr>
              <w:t xml:space="preserve"> plans for the</w:t>
            </w:r>
            <w:r w:rsidR="00DA51A1" w:rsidRPr="007C4D65">
              <w:rPr>
                <w:rFonts w:asciiTheme="minorHAnsi" w:eastAsia="Calibri" w:hAnsiTheme="minorHAnsi" w:cstheme="minorHAnsi"/>
                <w:sz w:val="18"/>
                <w:szCs w:val="18"/>
                <w:lang w:eastAsia="x-none"/>
              </w:rPr>
              <w:t xml:space="preserve"> implementation </w:t>
            </w:r>
            <w:r w:rsidR="005331AE" w:rsidRPr="007C4D65">
              <w:rPr>
                <w:rFonts w:asciiTheme="minorHAnsi" w:eastAsia="Calibri" w:hAnsiTheme="minorHAnsi" w:cstheme="minorHAnsi"/>
                <w:sz w:val="18"/>
                <w:szCs w:val="18"/>
                <w:lang w:eastAsia="x-none"/>
              </w:rPr>
              <w:t>directives</w:t>
            </w:r>
            <w:r w:rsidR="00DA51A1" w:rsidRPr="007C4D65">
              <w:rPr>
                <w:rFonts w:asciiTheme="minorHAnsi" w:eastAsia="Calibri" w:hAnsiTheme="minorHAnsi" w:cstheme="minorHAnsi"/>
                <w:sz w:val="18"/>
                <w:szCs w:val="18"/>
                <w:lang w:eastAsia="x-none"/>
              </w:rPr>
              <w:t xml:space="preserve"> (APID</w:t>
            </w:r>
            <w:r w:rsidR="005331AE" w:rsidRPr="007C4D65">
              <w:rPr>
                <w:rFonts w:asciiTheme="minorHAnsi" w:eastAsia="Calibri" w:hAnsiTheme="minorHAnsi" w:cstheme="minorHAnsi"/>
                <w:sz w:val="18"/>
                <w:szCs w:val="18"/>
                <w:lang w:eastAsia="x-none"/>
              </w:rPr>
              <w:t>s</w:t>
            </w:r>
            <w:proofErr w:type="gramStart"/>
            <w:r w:rsidR="00DA51A1" w:rsidRPr="007C4D65">
              <w:rPr>
                <w:rFonts w:asciiTheme="minorHAnsi" w:eastAsia="Calibri" w:hAnsiTheme="minorHAnsi" w:cstheme="minorHAnsi"/>
                <w:sz w:val="18"/>
                <w:szCs w:val="18"/>
                <w:lang w:eastAsia="x-none"/>
              </w:rPr>
              <w:t>)</w:t>
            </w:r>
            <w:r w:rsidR="00EA23CE" w:rsidRPr="007C4D65">
              <w:rPr>
                <w:rFonts w:asciiTheme="minorHAnsi" w:eastAsia="Calibri" w:hAnsiTheme="minorHAnsi" w:cstheme="minorHAnsi"/>
                <w:sz w:val="18"/>
                <w:szCs w:val="18"/>
                <w:lang w:eastAsia="x-none"/>
              </w:rPr>
              <w:t>;</w:t>
            </w:r>
            <w:proofErr w:type="gramEnd"/>
          </w:p>
          <w:p w14:paraId="536EAEEC" w14:textId="259589BF" w:rsidR="00DA51A1" w:rsidRPr="007C4D65" w:rsidRDefault="00DA51A1">
            <w:pPr>
              <w:numPr>
                <w:ilvl w:val="0"/>
                <w:numId w:val="148"/>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Identification of “points of </w:t>
            </w:r>
            <w:proofErr w:type="gramStart"/>
            <w:r w:rsidRPr="007C4D65">
              <w:rPr>
                <w:rFonts w:asciiTheme="minorHAnsi" w:eastAsia="Calibri" w:hAnsiTheme="minorHAnsi" w:cstheme="minorHAnsi"/>
                <w:sz w:val="18"/>
                <w:szCs w:val="18"/>
                <w:lang w:eastAsia="x-none"/>
              </w:rPr>
              <w:t>conflict“</w:t>
            </w:r>
            <w:r w:rsidR="005331AE"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which</w:t>
            </w:r>
            <w:proofErr w:type="gramEnd"/>
            <w:r w:rsidRPr="007C4D65">
              <w:rPr>
                <w:rFonts w:asciiTheme="minorHAnsi" w:eastAsia="Calibri" w:hAnsiTheme="minorHAnsi" w:cstheme="minorHAnsi"/>
                <w:sz w:val="18"/>
                <w:szCs w:val="18"/>
                <w:lang w:eastAsia="x-none"/>
              </w:rPr>
              <w:t xml:space="preserve"> are slowing down the parliamentary </w:t>
            </w:r>
            <w:r w:rsidR="005331AE" w:rsidRPr="007C4D65">
              <w:rPr>
                <w:rFonts w:asciiTheme="minorHAnsi" w:eastAsia="Calibri" w:hAnsiTheme="minorHAnsi" w:cstheme="minorHAnsi"/>
                <w:sz w:val="18"/>
                <w:szCs w:val="18"/>
                <w:lang w:eastAsia="x-none"/>
              </w:rPr>
              <w:t xml:space="preserve">legislative </w:t>
            </w:r>
            <w:r w:rsidRPr="007C4D65">
              <w:rPr>
                <w:rFonts w:asciiTheme="minorHAnsi" w:eastAsia="Calibri" w:hAnsiTheme="minorHAnsi" w:cstheme="minorHAnsi"/>
                <w:sz w:val="18"/>
                <w:szCs w:val="18"/>
                <w:lang w:eastAsia="x-none"/>
              </w:rPr>
              <w:t xml:space="preserve">procedure and targeted </w:t>
            </w:r>
            <w:r w:rsidR="005331AE" w:rsidRPr="007C4D65">
              <w:rPr>
                <w:rFonts w:asciiTheme="minorHAnsi" w:eastAsia="Calibri" w:hAnsiTheme="minorHAnsi" w:cstheme="minorHAnsi"/>
                <w:sz w:val="18"/>
                <w:szCs w:val="18"/>
                <w:lang w:eastAsia="x-none"/>
              </w:rPr>
              <w:t>addressing of such</w:t>
            </w:r>
            <w:r w:rsidRPr="007C4D65">
              <w:rPr>
                <w:rFonts w:asciiTheme="minorHAnsi" w:eastAsia="Calibri" w:hAnsiTheme="minorHAnsi" w:cstheme="minorHAnsi"/>
                <w:sz w:val="18"/>
                <w:szCs w:val="18"/>
                <w:lang w:eastAsia="x-none"/>
              </w:rPr>
              <w:t xml:space="preserve"> points to speed up the procedure (the </w:t>
            </w:r>
            <w:r w:rsidR="005331AE" w:rsidRPr="007C4D65">
              <w:rPr>
                <w:rFonts w:asciiTheme="minorHAnsi" w:eastAsia="Calibri" w:hAnsiTheme="minorHAnsi" w:cstheme="minorHAnsi"/>
                <w:sz w:val="18"/>
                <w:szCs w:val="18"/>
                <w:lang w:eastAsia="x-none"/>
              </w:rPr>
              <w:t>competent</w:t>
            </w:r>
            <w:r w:rsidRPr="007C4D65">
              <w:rPr>
                <w:rFonts w:asciiTheme="minorHAnsi" w:eastAsia="Calibri" w:hAnsiTheme="minorHAnsi" w:cstheme="minorHAnsi"/>
                <w:sz w:val="18"/>
                <w:szCs w:val="18"/>
                <w:lang w:eastAsia="x-none"/>
              </w:rPr>
              <w:t xml:space="preserve"> ministry</w:t>
            </w:r>
            <w:r w:rsidR="005331AE" w:rsidRPr="007C4D65">
              <w:rPr>
                <w:rFonts w:asciiTheme="minorHAnsi" w:eastAsia="Calibri" w:hAnsiTheme="minorHAnsi" w:cstheme="minorHAnsi"/>
                <w:sz w:val="18"/>
                <w:szCs w:val="18"/>
                <w:lang w:eastAsia="x-none"/>
              </w:rPr>
              <w:t xml:space="preserve"> should ensure a smooth procedure through a</w:t>
            </w:r>
            <w:r w:rsidRPr="007C4D65">
              <w:rPr>
                <w:rFonts w:asciiTheme="minorHAnsi" w:eastAsia="Calibri" w:hAnsiTheme="minorHAnsi" w:cstheme="minorHAnsi"/>
                <w:sz w:val="18"/>
                <w:szCs w:val="18"/>
                <w:lang w:eastAsia="x-none"/>
              </w:rPr>
              <w:t xml:space="preserve"> special environmental committee, </w:t>
            </w:r>
            <w:r w:rsidR="005331AE" w:rsidRPr="007C4D65">
              <w:rPr>
                <w:rFonts w:asciiTheme="minorHAnsi" w:eastAsia="Calibri" w:hAnsiTheme="minorHAnsi" w:cstheme="minorHAnsi"/>
                <w:sz w:val="18"/>
                <w:szCs w:val="18"/>
                <w:lang w:eastAsia="x-none"/>
              </w:rPr>
              <w:t>identification of</w:t>
            </w:r>
            <w:r w:rsidRPr="007C4D65">
              <w:rPr>
                <w:rFonts w:asciiTheme="minorHAnsi" w:eastAsia="Calibri" w:hAnsiTheme="minorHAnsi" w:cstheme="minorHAnsi"/>
                <w:sz w:val="18"/>
                <w:szCs w:val="18"/>
                <w:lang w:eastAsia="x-none"/>
              </w:rPr>
              <w:t xml:space="preserve"> </w:t>
            </w:r>
            <w:r w:rsidR="005331AE" w:rsidRPr="007C4D65">
              <w:rPr>
                <w:rFonts w:asciiTheme="minorHAnsi" w:eastAsia="Calibri" w:hAnsiTheme="minorHAnsi" w:cstheme="minorHAnsi"/>
                <w:sz w:val="18"/>
                <w:szCs w:val="18"/>
                <w:lang w:eastAsia="x-none"/>
              </w:rPr>
              <w:t>contentious</w:t>
            </w:r>
            <w:r w:rsidRPr="007C4D65">
              <w:rPr>
                <w:rFonts w:asciiTheme="minorHAnsi" w:eastAsia="Calibri" w:hAnsiTheme="minorHAnsi" w:cstheme="minorHAnsi"/>
                <w:sz w:val="18"/>
                <w:szCs w:val="18"/>
                <w:lang w:eastAsia="x-none"/>
              </w:rPr>
              <w:t xml:space="preserve"> points, </w:t>
            </w:r>
            <w:r w:rsidR="005331AE" w:rsidRPr="007C4D65">
              <w:rPr>
                <w:rFonts w:asciiTheme="minorHAnsi" w:eastAsia="Calibri" w:hAnsiTheme="minorHAnsi" w:cstheme="minorHAnsi"/>
                <w:sz w:val="18"/>
                <w:szCs w:val="18"/>
                <w:lang w:eastAsia="x-none"/>
              </w:rPr>
              <w:t xml:space="preserve">consultation with </w:t>
            </w:r>
            <w:r w:rsidRPr="007C4D65">
              <w:rPr>
                <w:rFonts w:asciiTheme="minorHAnsi" w:eastAsia="Calibri" w:hAnsiTheme="minorHAnsi" w:cstheme="minorHAnsi"/>
                <w:sz w:val="18"/>
                <w:szCs w:val="18"/>
                <w:lang w:eastAsia="x-none"/>
              </w:rPr>
              <w:t>experts</w:t>
            </w:r>
            <w:r w:rsidR="005331AE" w:rsidRPr="007C4D65">
              <w:rPr>
                <w:rFonts w:asciiTheme="minorHAnsi" w:eastAsia="Calibri" w:hAnsiTheme="minorHAnsi" w:cstheme="minorHAnsi"/>
                <w:sz w:val="18"/>
                <w:szCs w:val="18"/>
                <w:lang w:eastAsia="x-none"/>
              </w:rPr>
              <w:t>, including potential negotiations among political parties</w:t>
            </w:r>
            <w:r w:rsidRPr="007C4D65">
              <w:rPr>
                <w:rFonts w:asciiTheme="minorHAnsi" w:eastAsia="Calibri" w:hAnsiTheme="minorHAnsi" w:cstheme="minorHAnsi"/>
                <w:sz w:val="18"/>
                <w:szCs w:val="18"/>
                <w:lang w:eastAsia="x-none"/>
              </w:rPr>
              <w:t>)</w:t>
            </w:r>
            <w:r w:rsidR="00EA23CE" w:rsidRPr="007C4D65">
              <w:rPr>
                <w:rFonts w:asciiTheme="minorHAnsi" w:eastAsia="Calibri" w:hAnsiTheme="minorHAnsi" w:cstheme="minorHAnsi"/>
                <w:sz w:val="18"/>
                <w:szCs w:val="18"/>
                <w:lang w:eastAsia="x-none"/>
              </w:rPr>
              <w:t>.</w:t>
            </w:r>
          </w:p>
          <w:p w14:paraId="58397AFC" w14:textId="77777777" w:rsidR="00DA51A1" w:rsidRPr="007C4D65" w:rsidRDefault="00DA51A1" w:rsidP="00DA51A1">
            <w:pPr>
              <w:spacing w:before="40" w:after="40" w:line="276" w:lineRule="auto"/>
              <w:ind w:left="1440"/>
              <w:contextualSpacing/>
              <w:rPr>
                <w:rFonts w:asciiTheme="minorHAnsi" w:eastAsia="Calibri" w:hAnsiTheme="minorHAnsi" w:cstheme="minorHAnsi"/>
                <w:sz w:val="18"/>
                <w:szCs w:val="18"/>
                <w:lang w:eastAsia="x-none"/>
              </w:rPr>
            </w:pPr>
          </w:p>
          <w:p w14:paraId="302FFAED" w14:textId="77777777" w:rsidR="00DA51A1" w:rsidRPr="007C4D65" w:rsidRDefault="00DA51A1" w:rsidP="00DA51A1">
            <w:pPr>
              <w:spacing w:before="40" w:after="40" w:line="276" w:lineRule="auto"/>
              <w:rPr>
                <w:rFonts w:asciiTheme="minorHAnsi" w:eastAsia="Calibri" w:hAnsiTheme="minorHAnsi" w:cstheme="minorHAnsi"/>
                <w:sz w:val="18"/>
                <w:szCs w:val="18"/>
                <w:lang w:eastAsia="x-none"/>
              </w:rPr>
            </w:pPr>
          </w:p>
        </w:tc>
      </w:tr>
      <w:tr w:rsidR="00DA51A1" w:rsidRPr="007C4D65" w14:paraId="23692280" w14:textId="77777777" w:rsidTr="00B6017F">
        <w:trPr>
          <w:trHeight w:val="567"/>
        </w:trPr>
        <w:tc>
          <w:tcPr>
            <w:tcW w:w="1359" w:type="pct"/>
            <w:shd w:val="clear" w:color="auto" w:fill="009D73"/>
            <w:vAlign w:val="center"/>
          </w:tcPr>
          <w:p w14:paraId="6F6C4BC4"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Strategic projects</w:t>
            </w:r>
          </w:p>
        </w:tc>
        <w:tc>
          <w:tcPr>
            <w:tcW w:w="3641" w:type="pct"/>
            <w:gridSpan w:val="3"/>
            <w:shd w:val="clear" w:color="auto" w:fill="FFFFFF" w:themeFill="background1"/>
            <w:vAlign w:val="center"/>
          </w:tcPr>
          <w:p w14:paraId="28A37FC3" w14:textId="77777777" w:rsidR="00DA51A1" w:rsidRPr="007C4D65" w:rsidRDefault="00DA51A1" w:rsidP="00DA51A1">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DA51A1" w:rsidRPr="007C4D65" w14:paraId="5E755A5D" w14:textId="77777777" w:rsidTr="00B6017F">
        <w:trPr>
          <w:trHeight w:val="567"/>
        </w:trPr>
        <w:tc>
          <w:tcPr>
            <w:tcW w:w="1359" w:type="pct"/>
            <w:vMerge w:val="restart"/>
            <w:shd w:val="clear" w:color="auto" w:fill="009D73"/>
            <w:vAlign w:val="center"/>
          </w:tcPr>
          <w:p w14:paraId="135D46FE"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of results</w:t>
            </w:r>
          </w:p>
        </w:tc>
        <w:tc>
          <w:tcPr>
            <w:tcW w:w="126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C79447A" w14:textId="77777777" w:rsidR="00DA51A1" w:rsidRPr="007C4D65" w:rsidRDefault="00DA51A1" w:rsidP="00DA51A1">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53450417" w14:textId="77777777" w:rsidR="00DA51A1" w:rsidRPr="007C4D65" w:rsidRDefault="00DA51A1" w:rsidP="00DA51A1">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8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9BAC54B" w14:textId="77777777" w:rsidR="00DA51A1" w:rsidRPr="007C4D65" w:rsidRDefault="00DA51A1" w:rsidP="00DA51A1">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2D2F870B" w14:textId="77777777" w:rsidR="00DA51A1" w:rsidRPr="007C4D65" w:rsidRDefault="00DA51A1" w:rsidP="00DA51A1">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2021</w:t>
            </w:r>
          </w:p>
        </w:tc>
        <w:tc>
          <w:tcPr>
            <w:tcW w:w="109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35C7EB3" w14:textId="77777777" w:rsidR="00DA51A1" w:rsidRPr="007C4D65" w:rsidRDefault="00DA51A1" w:rsidP="00DA51A1">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value</w:t>
            </w:r>
          </w:p>
        </w:tc>
      </w:tr>
      <w:tr w:rsidR="00DA51A1" w:rsidRPr="007C4D65" w14:paraId="73FF39C2" w14:textId="77777777" w:rsidTr="00B6017F">
        <w:trPr>
          <w:trHeight w:val="567"/>
        </w:trPr>
        <w:tc>
          <w:tcPr>
            <w:tcW w:w="1359" w:type="pct"/>
            <w:vMerge/>
            <w:shd w:val="clear" w:color="auto" w:fill="009D73"/>
            <w:vAlign w:val="center"/>
          </w:tcPr>
          <w:p w14:paraId="57188A9C"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261" w:type="pct"/>
            <w:shd w:val="clear" w:color="auto" w:fill="FFFFFF"/>
            <w:vAlign w:val="center"/>
          </w:tcPr>
          <w:p w14:paraId="638A60EE" w14:textId="21FBE31D" w:rsidR="00DA51A1" w:rsidRPr="007C4D65" w:rsidRDefault="00DA51A1" w:rsidP="00DA51A1">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1),2) </w:t>
            </w:r>
            <w:bookmarkStart w:id="316" w:name="_Hlk96504473"/>
            <w:r w:rsidRPr="007C4D65">
              <w:rPr>
                <w:rFonts w:asciiTheme="minorHAnsi" w:eastAsia="Calibri" w:hAnsiTheme="minorHAnsi" w:cstheme="minorHAnsi"/>
                <w:sz w:val="18"/>
                <w:szCs w:val="18"/>
                <w:lang w:eastAsia="x-none"/>
              </w:rPr>
              <w:t xml:space="preserve">Efficacy of the implementation of </w:t>
            </w:r>
            <w:r w:rsidR="005331AE" w:rsidRPr="007C4D65">
              <w:rPr>
                <w:rFonts w:asciiTheme="minorHAnsi" w:eastAsia="Calibri" w:hAnsiTheme="minorHAnsi" w:cstheme="minorHAnsi"/>
                <w:sz w:val="18"/>
                <w:szCs w:val="18"/>
                <w:lang w:eastAsia="x-none"/>
              </w:rPr>
              <w:t xml:space="preserve">the </w:t>
            </w:r>
            <w:r w:rsidR="005331AE" w:rsidRPr="007C4D65">
              <w:rPr>
                <w:rFonts w:asciiTheme="minorHAnsi" w:eastAsiaTheme="minorHAnsi" w:hAnsiTheme="minorHAnsi" w:cstheme="minorHAnsi"/>
                <w:sz w:val="18"/>
                <w:szCs w:val="18"/>
                <w:lang w:eastAsia="en-US"/>
              </w:rPr>
              <w:t>Environmental</w:t>
            </w:r>
            <w:r w:rsidR="005331AE" w:rsidRPr="007C4D65">
              <w:rPr>
                <w:rFonts w:asciiTheme="minorHAnsi" w:eastAsia="Calibri" w:hAnsiTheme="minorHAnsi" w:cstheme="minorHAnsi"/>
                <w:sz w:val="18"/>
                <w:szCs w:val="18"/>
                <w:lang w:eastAsia="x-none"/>
              </w:rPr>
              <w:t xml:space="preserve"> </w:t>
            </w:r>
            <w:r w:rsidR="005331AE" w:rsidRPr="007C4D65">
              <w:rPr>
                <w:rFonts w:asciiTheme="minorHAnsi" w:eastAsiaTheme="minorHAnsi" w:hAnsiTheme="minorHAnsi" w:cstheme="minorHAnsi"/>
                <w:sz w:val="18"/>
                <w:szCs w:val="18"/>
                <w:lang w:eastAsia="en-US"/>
              </w:rPr>
              <w:t xml:space="preserve">Approximation Programme </w:t>
            </w:r>
            <w:r w:rsidRPr="007C4D65">
              <w:rPr>
                <w:rFonts w:asciiTheme="minorHAnsi" w:eastAsia="Calibri" w:hAnsiTheme="minorHAnsi" w:cstheme="minorHAnsi"/>
                <w:sz w:val="18"/>
                <w:szCs w:val="18"/>
                <w:lang w:eastAsia="x-none"/>
              </w:rPr>
              <w:t>Federation of Bosnia and Herzegovina</w:t>
            </w:r>
            <w:bookmarkEnd w:id="316"/>
          </w:p>
        </w:tc>
        <w:tc>
          <w:tcPr>
            <w:tcW w:w="1282" w:type="pct"/>
            <w:shd w:val="clear" w:color="auto" w:fill="FFFFFF"/>
            <w:vAlign w:val="center"/>
          </w:tcPr>
          <w:p w14:paraId="22BB4E48" w14:textId="7DDBA32F" w:rsidR="00DA51A1" w:rsidRPr="007C4D65" w:rsidRDefault="00DA51A1" w:rsidP="00EA23CE">
            <w:pPr>
              <w:spacing w:after="160" w:line="259"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Slow implementation of </w:t>
            </w:r>
            <w:r w:rsidR="005331AE" w:rsidRPr="007C4D65">
              <w:rPr>
                <w:rFonts w:asciiTheme="minorHAnsi" w:eastAsia="Calibri" w:hAnsiTheme="minorHAnsi" w:cstheme="minorHAnsi"/>
                <w:sz w:val="18"/>
                <w:szCs w:val="18"/>
                <w:lang w:eastAsia="x-none"/>
              </w:rPr>
              <w:t xml:space="preserve">the </w:t>
            </w:r>
            <w:r w:rsidR="005331AE" w:rsidRPr="007C4D65">
              <w:rPr>
                <w:rFonts w:asciiTheme="minorHAnsi" w:eastAsiaTheme="minorHAnsi" w:hAnsiTheme="minorHAnsi" w:cstheme="minorHAnsi"/>
                <w:sz w:val="18"/>
                <w:szCs w:val="18"/>
                <w:lang w:eastAsia="en-US"/>
              </w:rPr>
              <w:t>Environmental</w:t>
            </w:r>
            <w:r w:rsidR="005331AE" w:rsidRPr="007C4D65">
              <w:rPr>
                <w:rFonts w:asciiTheme="minorHAnsi" w:eastAsia="Calibri" w:hAnsiTheme="minorHAnsi" w:cstheme="minorHAnsi"/>
                <w:sz w:val="18"/>
                <w:szCs w:val="18"/>
                <w:lang w:eastAsia="x-none"/>
              </w:rPr>
              <w:t xml:space="preserve"> </w:t>
            </w:r>
            <w:r w:rsidR="005331AE" w:rsidRPr="007C4D65">
              <w:rPr>
                <w:rFonts w:asciiTheme="minorHAnsi" w:eastAsiaTheme="minorHAnsi" w:hAnsiTheme="minorHAnsi" w:cstheme="minorHAnsi"/>
                <w:sz w:val="18"/>
                <w:szCs w:val="18"/>
                <w:lang w:eastAsia="en-US"/>
              </w:rPr>
              <w:t>Approximation Programme</w:t>
            </w:r>
          </w:p>
        </w:tc>
        <w:tc>
          <w:tcPr>
            <w:tcW w:w="1098" w:type="pct"/>
            <w:shd w:val="clear" w:color="auto" w:fill="FFFFFF"/>
            <w:vAlign w:val="center"/>
          </w:tcPr>
          <w:p w14:paraId="30742D6B" w14:textId="1B3AA13C" w:rsidR="00DA51A1" w:rsidRPr="007C4D65" w:rsidRDefault="00DA51A1"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Successful   implementation of </w:t>
            </w:r>
            <w:r w:rsidR="005331AE" w:rsidRPr="007C4D65">
              <w:rPr>
                <w:rFonts w:asciiTheme="minorHAnsi" w:eastAsia="Calibri" w:hAnsiTheme="minorHAnsi" w:cstheme="minorHAnsi"/>
                <w:sz w:val="18"/>
                <w:szCs w:val="18"/>
                <w:lang w:eastAsia="x-none"/>
              </w:rPr>
              <w:t xml:space="preserve">the </w:t>
            </w:r>
            <w:r w:rsidR="005331AE" w:rsidRPr="007C4D65">
              <w:rPr>
                <w:rFonts w:asciiTheme="minorHAnsi" w:eastAsiaTheme="minorHAnsi" w:hAnsiTheme="minorHAnsi" w:cstheme="minorHAnsi"/>
                <w:sz w:val="18"/>
                <w:szCs w:val="18"/>
                <w:lang w:eastAsia="en-US"/>
              </w:rPr>
              <w:t>Environmental</w:t>
            </w:r>
            <w:r w:rsidR="005331AE" w:rsidRPr="007C4D65">
              <w:rPr>
                <w:rFonts w:asciiTheme="minorHAnsi" w:eastAsia="Calibri" w:hAnsiTheme="minorHAnsi" w:cstheme="minorHAnsi"/>
                <w:sz w:val="18"/>
                <w:szCs w:val="18"/>
                <w:lang w:eastAsia="x-none"/>
              </w:rPr>
              <w:t xml:space="preserve"> </w:t>
            </w:r>
            <w:r w:rsidR="005331AE" w:rsidRPr="007C4D65">
              <w:rPr>
                <w:rFonts w:asciiTheme="minorHAnsi" w:eastAsiaTheme="minorHAnsi" w:hAnsiTheme="minorHAnsi" w:cstheme="minorHAnsi"/>
                <w:sz w:val="18"/>
                <w:szCs w:val="18"/>
                <w:lang w:eastAsia="en-US"/>
              </w:rPr>
              <w:t>Approximation Programme</w:t>
            </w:r>
            <w:r w:rsidRPr="007C4D65">
              <w:rPr>
                <w:rFonts w:asciiTheme="minorHAnsi" w:eastAsia="Calibri" w:hAnsiTheme="minorHAnsi" w:cstheme="minorHAnsi"/>
                <w:sz w:val="18"/>
                <w:szCs w:val="18"/>
                <w:lang w:eastAsia="x-none"/>
              </w:rPr>
              <w:t xml:space="preserve"> (2030)</w:t>
            </w:r>
          </w:p>
        </w:tc>
      </w:tr>
      <w:tr w:rsidR="00DA51A1" w:rsidRPr="007C4D65" w14:paraId="21D118EE" w14:textId="77777777" w:rsidTr="00B6017F">
        <w:trPr>
          <w:trHeight w:val="567"/>
        </w:trPr>
        <w:tc>
          <w:tcPr>
            <w:tcW w:w="1359" w:type="pct"/>
            <w:vMerge/>
            <w:shd w:val="clear" w:color="auto" w:fill="009D73"/>
            <w:vAlign w:val="center"/>
          </w:tcPr>
          <w:p w14:paraId="2157CA27"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261" w:type="pct"/>
            <w:shd w:val="clear" w:color="auto" w:fill="FFFFFF"/>
            <w:vAlign w:val="center"/>
          </w:tcPr>
          <w:p w14:paraId="3FF30B9E" w14:textId="3F7668D4" w:rsidR="00DA51A1" w:rsidRPr="007C4D65" w:rsidRDefault="00DA51A1" w:rsidP="00DA51A1">
            <w:pPr>
              <w:spacing w:after="160" w:line="259"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3),4) </w:t>
            </w:r>
            <w:r w:rsidR="005331AE"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 xml:space="preserve">Action </w:t>
            </w:r>
            <w:r w:rsidR="005331AE" w:rsidRPr="007C4D65">
              <w:rPr>
                <w:rFonts w:asciiTheme="minorHAnsi" w:eastAsia="Calibri" w:hAnsiTheme="minorHAnsi" w:cstheme="minorHAnsi"/>
                <w:sz w:val="18"/>
                <w:szCs w:val="18"/>
                <w:lang w:eastAsia="x-none"/>
              </w:rPr>
              <w:t>P</w:t>
            </w:r>
            <w:r w:rsidRPr="007C4D65">
              <w:rPr>
                <w:rFonts w:asciiTheme="minorHAnsi" w:eastAsia="Calibri" w:hAnsiTheme="minorHAnsi" w:cstheme="minorHAnsi"/>
                <w:sz w:val="18"/>
                <w:szCs w:val="18"/>
                <w:lang w:eastAsia="x-none"/>
              </w:rPr>
              <w:t xml:space="preserve">lan </w:t>
            </w:r>
            <w:r w:rsidR="005331AE" w:rsidRPr="007C4D65">
              <w:rPr>
                <w:rFonts w:asciiTheme="minorHAnsi" w:eastAsia="Calibri" w:hAnsiTheme="minorHAnsi" w:cstheme="minorHAnsi"/>
                <w:sz w:val="18"/>
                <w:szCs w:val="18"/>
                <w:lang w:eastAsia="x-none"/>
              </w:rPr>
              <w:t>on</w:t>
            </w:r>
            <w:r w:rsidRPr="007C4D65">
              <w:rPr>
                <w:rFonts w:asciiTheme="minorHAnsi" w:eastAsia="Calibri" w:hAnsiTheme="minorHAnsi" w:cstheme="minorHAnsi"/>
                <w:sz w:val="18"/>
                <w:szCs w:val="18"/>
                <w:lang w:eastAsia="x-none"/>
              </w:rPr>
              <w:t xml:space="preserve"> alignment of legislation in the Federation of Bosnia </w:t>
            </w:r>
            <w:r w:rsidRPr="007C4D65">
              <w:rPr>
                <w:rFonts w:asciiTheme="minorHAnsi" w:eastAsia="Calibri" w:hAnsiTheme="minorHAnsi" w:cstheme="minorHAnsi"/>
                <w:sz w:val="18"/>
                <w:szCs w:val="18"/>
                <w:lang w:eastAsia="x-none"/>
              </w:rPr>
              <w:lastRenderedPageBreak/>
              <w:t xml:space="preserve">and Herzegovina with the EU environmental acquis (four-year periods) </w:t>
            </w:r>
          </w:p>
        </w:tc>
        <w:tc>
          <w:tcPr>
            <w:tcW w:w="1282" w:type="pct"/>
            <w:shd w:val="clear" w:color="auto" w:fill="FFFFFF"/>
            <w:vAlign w:val="center"/>
          </w:tcPr>
          <w:p w14:paraId="6A1170E1" w14:textId="77777777" w:rsidR="00DA51A1" w:rsidRPr="007C4D65" w:rsidRDefault="00DA51A1"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lastRenderedPageBreak/>
              <w:t xml:space="preserve">There is no action plan.  </w:t>
            </w:r>
          </w:p>
        </w:tc>
        <w:tc>
          <w:tcPr>
            <w:tcW w:w="1098" w:type="pct"/>
            <w:shd w:val="clear" w:color="auto" w:fill="FFFFFF"/>
            <w:vAlign w:val="center"/>
          </w:tcPr>
          <w:p w14:paraId="3A2468B1" w14:textId="4A72C800" w:rsidR="00DA51A1" w:rsidRPr="007C4D65" w:rsidRDefault="005331AE"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The </w:t>
            </w:r>
            <w:r w:rsidR="00DA51A1" w:rsidRPr="007C4D65">
              <w:rPr>
                <w:rFonts w:asciiTheme="minorHAnsi" w:eastAsia="Calibri" w:hAnsiTheme="minorHAnsi" w:cstheme="minorHAnsi"/>
                <w:sz w:val="18"/>
                <w:szCs w:val="18"/>
                <w:lang w:eastAsia="x-none"/>
              </w:rPr>
              <w:t xml:space="preserve">Action </w:t>
            </w:r>
            <w:r w:rsidRPr="007C4D65">
              <w:rPr>
                <w:rFonts w:asciiTheme="minorHAnsi" w:eastAsia="Calibri" w:hAnsiTheme="minorHAnsi" w:cstheme="minorHAnsi"/>
                <w:sz w:val="18"/>
                <w:szCs w:val="18"/>
                <w:lang w:eastAsia="x-none"/>
              </w:rPr>
              <w:t>P</w:t>
            </w:r>
            <w:r w:rsidR="00DA51A1" w:rsidRPr="007C4D65">
              <w:rPr>
                <w:rFonts w:asciiTheme="minorHAnsi" w:eastAsia="Calibri" w:hAnsiTheme="minorHAnsi" w:cstheme="minorHAnsi"/>
                <w:sz w:val="18"/>
                <w:szCs w:val="18"/>
                <w:lang w:eastAsia="x-none"/>
              </w:rPr>
              <w:t xml:space="preserve">lan for alignment of legislation in the Federation of Bosnia and Herzegovina with the EU </w:t>
            </w:r>
            <w:r w:rsidR="00DA51A1" w:rsidRPr="007C4D65">
              <w:rPr>
                <w:rFonts w:asciiTheme="minorHAnsi" w:eastAsia="Calibri" w:hAnsiTheme="minorHAnsi" w:cstheme="minorHAnsi"/>
                <w:sz w:val="18"/>
                <w:szCs w:val="18"/>
                <w:lang w:eastAsia="x-none"/>
              </w:rPr>
              <w:lastRenderedPageBreak/>
              <w:t xml:space="preserve">environmental acquis (four-year periods) </w:t>
            </w:r>
            <w:r w:rsidRPr="007C4D65">
              <w:rPr>
                <w:rFonts w:asciiTheme="minorHAnsi" w:eastAsia="Calibri" w:hAnsiTheme="minorHAnsi" w:cstheme="minorHAnsi"/>
                <w:sz w:val="18"/>
                <w:szCs w:val="18"/>
                <w:lang w:eastAsia="x-none"/>
              </w:rPr>
              <w:t>prepared</w:t>
            </w:r>
            <w:r w:rsidR="00DA51A1" w:rsidRPr="007C4D65">
              <w:rPr>
                <w:rFonts w:asciiTheme="minorHAnsi" w:eastAsia="Calibri" w:hAnsiTheme="minorHAnsi" w:cstheme="minorHAnsi"/>
                <w:sz w:val="18"/>
                <w:szCs w:val="18"/>
                <w:lang w:eastAsia="x-none"/>
              </w:rPr>
              <w:t xml:space="preserve"> (2023)</w:t>
            </w:r>
          </w:p>
        </w:tc>
      </w:tr>
      <w:tr w:rsidR="00DA51A1" w:rsidRPr="007C4D65" w14:paraId="25666B1D" w14:textId="77777777" w:rsidTr="00B6017F">
        <w:trPr>
          <w:trHeight w:val="567"/>
        </w:trPr>
        <w:tc>
          <w:tcPr>
            <w:tcW w:w="1359" w:type="pct"/>
            <w:vMerge/>
            <w:shd w:val="clear" w:color="auto" w:fill="009D73"/>
            <w:vAlign w:val="center"/>
          </w:tcPr>
          <w:p w14:paraId="6DB63900"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261" w:type="pct"/>
            <w:shd w:val="clear" w:color="auto" w:fill="FFFFFF"/>
            <w:vAlign w:val="center"/>
          </w:tcPr>
          <w:p w14:paraId="02B5AD57" w14:textId="7230DD62" w:rsidR="00DA51A1" w:rsidRPr="007C4D65" w:rsidRDefault="00DA51A1" w:rsidP="00DA51A1">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5),6) Action plans for </w:t>
            </w:r>
            <w:r w:rsidR="005331AE" w:rsidRPr="007C4D65">
              <w:rPr>
                <w:rFonts w:asciiTheme="minorHAnsi" w:eastAsia="Calibri" w:hAnsiTheme="minorHAnsi" w:cstheme="minorHAnsi"/>
                <w:sz w:val="18"/>
                <w:szCs w:val="18"/>
                <w:lang w:eastAsia="x-none"/>
              </w:rPr>
              <w:t>the implementation</w:t>
            </w:r>
            <w:r w:rsidRPr="007C4D65">
              <w:rPr>
                <w:rFonts w:asciiTheme="minorHAnsi" w:eastAsia="Calibri" w:hAnsiTheme="minorHAnsi" w:cstheme="minorHAnsi"/>
                <w:sz w:val="18"/>
                <w:szCs w:val="18"/>
                <w:lang w:eastAsia="x-none"/>
              </w:rPr>
              <w:t xml:space="preserve"> of environmental institutional measures and review of e administrative capacitates according to the recommendations of the European Commission (EC) (four-year periods)</w:t>
            </w:r>
          </w:p>
        </w:tc>
        <w:tc>
          <w:tcPr>
            <w:tcW w:w="1282" w:type="pct"/>
            <w:shd w:val="clear" w:color="auto" w:fill="FFFFFF"/>
            <w:vAlign w:val="center"/>
          </w:tcPr>
          <w:p w14:paraId="0EC78B4B" w14:textId="77777777" w:rsidR="00DA51A1" w:rsidRPr="007C4D65" w:rsidRDefault="00DA51A1"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There is no action plan  </w:t>
            </w:r>
          </w:p>
        </w:tc>
        <w:tc>
          <w:tcPr>
            <w:tcW w:w="1098" w:type="pct"/>
            <w:shd w:val="clear" w:color="auto" w:fill="FFFFFF"/>
            <w:vAlign w:val="center"/>
          </w:tcPr>
          <w:p w14:paraId="183787EE" w14:textId="0DB22E0E" w:rsidR="00DA51A1" w:rsidRPr="007C4D65" w:rsidRDefault="00DA51A1"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Action plans for </w:t>
            </w:r>
            <w:r w:rsidR="005331AE" w:rsidRPr="007C4D65">
              <w:rPr>
                <w:rFonts w:asciiTheme="minorHAnsi" w:eastAsia="Calibri" w:hAnsiTheme="minorHAnsi" w:cstheme="minorHAnsi"/>
                <w:sz w:val="18"/>
                <w:szCs w:val="18"/>
                <w:lang w:eastAsia="x-none"/>
              </w:rPr>
              <w:t>the implementation</w:t>
            </w:r>
            <w:r w:rsidRPr="007C4D65">
              <w:rPr>
                <w:rFonts w:asciiTheme="minorHAnsi" w:eastAsia="Calibri" w:hAnsiTheme="minorHAnsi" w:cstheme="minorHAnsi"/>
                <w:sz w:val="18"/>
                <w:szCs w:val="18"/>
                <w:lang w:eastAsia="x-none"/>
              </w:rPr>
              <w:t xml:space="preserve"> of environmental institutional measures and review of administrative capacitates according to the recommendations of the European Commission (EC) (four-year periods) developed (2023)</w:t>
            </w:r>
          </w:p>
        </w:tc>
      </w:tr>
      <w:tr w:rsidR="00DA51A1" w:rsidRPr="007C4D65" w14:paraId="3E200C2A" w14:textId="77777777" w:rsidTr="00B6017F">
        <w:trPr>
          <w:trHeight w:val="567"/>
        </w:trPr>
        <w:tc>
          <w:tcPr>
            <w:tcW w:w="1359" w:type="pct"/>
            <w:vMerge/>
            <w:shd w:val="clear" w:color="auto" w:fill="009D73"/>
            <w:vAlign w:val="center"/>
          </w:tcPr>
          <w:p w14:paraId="6527ED1B"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261" w:type="pct"/>
            <w:shd w:val="clear" w:color="auto" w:fill="FFFFFF"/>
            <w:vAlign w:val="center"/>
          </w:tcPr>
          <w:p w14:paraId="47C02024" w14:textId="4C857D4B" w:rsidR="00DA51A1" w:rsidRPr="007C4D65" w:rsidRDefault="00DA51A1" w:rsidP="00DA51A1">
            <w:pPr>
              <w:spacing w:before="40" w:after="40" w:line="276" w:lineRule="auto"/>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 xml:space="preserve">7) </w:t>
            </w:r>
            <w:r w:rsidRPr="007C4D65">
              <w:rPr>
                <w:rFonts w:asciiTheme="minorHAnsi" w:eastAsia="Calibri" w:hAnsiTheme="minorHAnsi" w:cstheme="minorHAnsi"/>
                <w:sz w:val="18"/>
                <w:szCs w:val="18"/>
                <w:lang w:eastAsia="x-none"/>
              </w:rPr>
              <w:t xml:space="preserve">Participation in </w:t>
            </w:r>
            <w:r w:rsidR="005331AE"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 xml:space="preserve">preparation of the </w:t>
            </w:r>
            <w:r w:rsidR="005331AE" w:rsidRPr="007C4D65">
              <w:rPr>
                <w:rFonts w:asciiTheme="minorHAnsi" w:eastAsia="Calibri" w:hAnsiTheme="minorHAnsi" w:cstheme="minorHAnsi"/>
                <w:sz w:val="18"/>
                <w:szCs w:val="18"/>
                <w:lang w:eastAsia="x-none"/>
              </w:rPr>
              <w:t>National EU Integration Programme</w:t>
            </w:r>
            <w:r w:rsidRPr="007C4D65">
              <w:rPr>
                <w:rFonts w:asciiTheme="minorHAnsi" w:eastAsia="Calibri" w:hAnsiTheme="minorHAnsi" w:cstheme="minorHAnsi"/>
                <w:sz w:val="18"/>
                <w:szCs w:val="18"/>
                <w:lang w:eastAsia="x-none"/>
              </w:rPr>
              <w:t xml:space="preserve"> for environmental management</w:t>
            </w:r>
          </w:p>
        </w:tc>
        <w:tc>
          <w:tcPr>
            <w:tcW w:w="1282" w:type="pct"/>
            <w:shd w:val="clear" w:color="auto" w:fill="FFFFFF"/>
            <w:vAlign w:val="center"/>
          </w:tcPr>
          <w:p w14:paraId="3360F056" w14:textId="333E404B" w:rsidR="00DA51A1" w:rsidRPr="007C4D65" w:rsidRDefault="00DA51A1" w:rsidP="00EA23CE">
            <w:pPr>
              <w:spacing w:after="160" w:line="259"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Ongoing preparations of the integration program</w:t>
            </w:r>
          </w:p>
        </w:tc>
        <w:tc>
          <w:tcPr>
            <w:tcW w:w="1098" w:type="pct"/>
            <w:shd w:val="clear" w:color="auto" w:fill="FFFFFF"/>
            <w:vAlign w:val="center"/>
          </w:tcPr>
          <w:p w14:paraId="28F0EF7B" w14:textId="59140DB6" w:rsidR="00DA51A1" w:rsidRPr="007C4D65" w:rsidRDefault="00DA51A1"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programme was considered and </w:t>
            </w:r>
            <w:r w:rsidR="00227D11" w:rsidRPr="007C4D65">
              <w:rPr>
                <w:rFonts w:asciiTheme="minorHAnsi" w:eastAsiaTheme="minorHAnsi" w:hAnsiTheme="minorHAnsi" w:cstheme="minorHAnsi"/>
                <w:sz w:val="18"/>
                <w:szCs w:val="18"/>
                <w:lang w:eastAsia="en-US" w:bidi="en-US"/>
              </w:rPr>
              <w:t>Federation of BiH</w:t>
            </w:r>
            <w:r w:rsidR="005331AE" w:rsidRPr="007C4D65">
              <w:rPr>
                <w:rFonts w:asciiTheme="minorHAnsi" w:eastAsiaTheme="minorHAnsi" w:hAnsiTheme="minorHAnsi" w:cstheme="minorHAnsi"/>
                <w:sz w:val="18"/>
                <w:szCs w:val="18"/>
                <w:lang w:eastAsia="en-US" w:bidi="en-US"/>
              </w:rPr>
              <w:t xml:space="preserve"> institutions provided their </w:t>
            </w:r>
            <w:r w:rsidRPr="007C4D65">
              <w:rPr>
                <w:rFonts w:asciiTheme="minorHAnsi" w:eastAsiaTheme="minorHAnsi" w:hAnsiTheme="minorHAnsi" w:cstheme="minorHAnsi"/>
                <w:sz w:val="18"/>
                <w:szCs w:val="18"/>
                <w:lang w:eastAsia="en-US" w:bidi="en-US"/>
              </w:rPr>
              <w:t>opinion (2023 and 2027)</w:t>
            </w:r>
          </w:p>
        </w:tc>
      </w:tr>
      <w:tr w:rsidR="00DA51A1" w:rsidRPr="007C4D65" w14:paraId="58587868" w14:textId="77777777" w:rsidTr="00B6017F">
        <w:trPr>
          <w:trHeight w:val="567"/>
        </w:trPr>
        <w:tc>
          <w:tcPr>
            <w:tcW w:w="1359" w:type="pct"/>
            <w:vMerge/>
            <w:shd w:val="clear" w:color="auto" w:fill="009D73"/>
            <w:vAlign w:val="center"/>
          </w:tcPr>
          <w:p w14:paraId="6E7F6FDC"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261" w:type="pct"/>
            <w:shd w:val="clear" w:color="auto" w:fill="FFFFFF"/>
            <w:vAlign w:val="center"/>
          </w:tcPr>
          <w:p w14:paraId="29F34B80" w14:textId="2BC2FFE9" w:rsidR="00DA51A1" w:rsidRPr="007C4D65" w:rsidRDefault="00DA51A1" w:rsidP="00DA51A1">
            <w:pPr>
              <w:spacing w:before="40" w:after="40" w:line="276" w:lineRule="auto"/>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 xml:space="preserve">8) Level of </w:t>
            </w:r>
            <w:r w:rsidR="005331AE" w:rsidRPr="007C4D65">
              <w:rPr>
                <w:rFonts w:asciiTheme="minorHAnsi" w:eastAsia="Calibri" w:hAnsiTheme="minorHAnsi" w:cstheme="minorHAnsi"/>
                <w:sz w:val="18"/>
                <w:szCs w:val="18"/>
                <w:lang w:eastAsia="x-none"/>
              </w:rPr>
              <w:t xml:space="preserve">the implementation </w:t>
            </w:r>
            <w:r w:rsidRPr="007C4D65">
              <w:rPr>
                <w:rFonts w:asciiTheme="minorHAnsi" w:eastAsia="Calibri" w:hAnsiTheme="minorHAnsi" w:cstheme="minorHAnsi"/>
                <w:sz w:val="18"/>
                <w:szCs w:val="18"/>
                <w:lang w:eastAsia="x-none"/>
              </w:rPr>
              <w:t xml:space="preserve">of </w:t>
            </w:r>
            <w:r w:rsidR="00E33B36" w:rsidRPr="007C4D65">
              <w:rPr>
                <w:rFonts w:asciiTheme="minorHAnsi" w:eastAsia="Calibri" w:hAnsiTheme="minorHAnsi" w:cstheme="minorHAnsi"/>
                <w:sz w:val="18"/>
                <w:szCs w:val="18"/>
                <w:lang w:eastAsia="x-none"/>
              </w:rPr>
              <w:t xml:space="preserve">the National EU Integration Programme </w:t>
            </w:r>
            <w:r w:rsidRPr="007C4D65">
              <w:rPr>
                <w:rFonts w:asciiTheme="minorHAnsi" w:eastAsia="Calibri" w:hAnsiTheme="minorHAnsi" w:cstheme="minorHAnsi"/>
                <w:sz w:val="18"/>
                <w:szCs w:val="18"/>
                <w:lang w:eastAsia="x-none"/>
              </w:rPr>
              <w:t>in the domain of environmental management</w:t>
            </w:r>
          </w:p>
        </w:tc>
        <w:tc>
          <w:tcPr>
            <w:tcW w:w="1282" w:type="pct"/>
            <w:shd w:val="clear" w:color="auto" w:fill="FFFFFF"/>
            <w:vAlign w:val="center"/>
          </w:tcPr>
          <w:p w14:paraId="75A43BA6" w14:textId="76A2C0F0" w:rsidR="00DA51A1" w:rsidRPr="007C4D65" w:rsidRDefault="00DA51A1" w:rsidP="00DA51A1">
            <w:pPr>
              <w:spacing w:after="160" w:line="259" w:lineRule="auto"/>
              <w:rPr>
                <w:rFonts w:asciiTheme="minorHAnsi" w:eastAsiaTheme="minorHAnsi" w:hAnsiTheme="minorHAnsi" w:cstheme="minorHAnsi"/>
                <w:sz w:val="18"/>
                <w:szCs w:val="18"/>
                <w:lang w:eastAsia="en-US"/>
              </w:rPr>
            </w:pPr>
            <w:r w:rsidRPr="007C4D65">
              <w:rPr>
                <w:rFonts w:asciiTheme="minorHAnsi" w:eastAsia="Calibri" w:hAnsiTheme="minorHAnsi" w:cstheme="minorHAnsi"/>
                <w:sz w:val="18"/>
                <w:szCs w:val="18"/>
                <w:lang w:eastAsia="x-none"/>
              </w:rPr>
              <w:t>Ongoing preparations of the integration program</w:t>
            </w:r>
          </w:p>
          <w:p w14:paraId="38913A74" w14:textId="77777777" w:rsidR="00DA51A1" w:rsidRPr="007C4D65" w:rsidRDefault="00DA51A1" w:rsidP="00DA51A1">
            <w:pPr>
              <w:spacing w:before="40" w:after="40" w:line="276" w:lineRule="auto"/>
              <w:rPr>
                <w:rFonts w:asciiTheme="minorHAnsi" w:eastAsiaTheme="minorHAnsi" w:hAnsiTheme="minorHAnsi" w:cstheme="minorHAnsi"/>
                <w:sz w:val="18"/>
                <w:szCs w:val="18"/>
                <w:lang w:eastAsia="en-US" w:bidi="en-US"/>
              </w:rPr>
            </w:pPr>
          </w:p>
        </w:tc>
        <w:tc>
          <w:tcPr>
            <w:tcW w:w="1098" w:type="pct"/>
            <w:shd w:val="clear" w:color="auto" w:fill="FFFFFF"/>
            <w:vAlign w:val="center"/>
          </w:tcPr>
          <w:p w14:paraId="367C4464" w14:textId="2A243601" w:rsidR="00DA51A1" w:rsidRPr="007C4D65" w:rsidRDefault="00E33B36"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Advanced stage of the implementation </w:t>
            </w:r>
            <w:r w:rsidR="00DA51A1" w:rsidRPr="007C4D65">
              <w:rPr>
                <w:rFonts w:asciiTheme="minorHAnsi" w:eastAsia="Calibri" w:hAnsiTheme="minorHAnsi" w:cstheme="minorHAnsi"/>
                <w:sz w:val="18"/>
                <w:szCs w:val="18"/>
                <w:lang w:eastAsia="x-none"/>
              </w:rPr>
              <w:t>(2030)</w:t>
            </w:r>
          </w:p>
        </w:tc>
      </w:tr>
      <w:tr w:rsidR="00DA51A1" w:rsidRPr="007C4D65" w14:paraId="56DC91D6" w14:textId="77777777" w:rsidTr="00B6017F">
        <w:trPr>
          <w:trHeight w:val="567"/>
        </w:trPr>
        <w:tc>
          <w:tcPr>
            <w:tcW w:w="1359" w:type="pct"/>
            <w:vMerge/>
            <w:shd w:val="clear" w:color="auto" w:fill="009D73"/>
            <w:vAlign w:val="center"/>
          </w:tcPr>
          <w:p w14:paraId="551023F1"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261" w:type="pct"/>
            <w:shd w:val="clear" w:color="auto" w:fill="FFFFFF"/>
            <w:vAlign w:val="center"/>
          </w:tcPr>
          <w:p w14:paraId="673FBF8C" w14:textId="3210134A" w:rsidR="00DA51A1" w:rsidRPr="007C4D65" w:rsidRDefault="00DA51A1" w:rsidP="00DA51A1">
            <w:pPr>
              <w:spacing w:before="40" w:after="40" w:line="276" w:lineRule="auto"/>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9) S</w:t>
            </w:r>
            <w:r w:rsidRPr="007C4D65">
              <w:rPr>
                <w:rFonts w:asciiTheme="minorHAnsi" w:eastAsia="Calibri" w:hAnsiTheme="minorHAnsi" w:cstheme="minorHAnsi"/>
                <w:sz w:val="18"/>
                <w:szCs w:val="18"/>
                <w:lang w:eastAsia="x-none"/>
              </w:rPr>
              <w:t>ystem</w:t>
            </w:r>
            <w:r w:rsidR="00E33B36" w:rsidRPr="007C4D65">
              <w:rPr>
                <w:rFonts w:asciiTheme="minorHAnsi" w:eastAsia="Calibri" w:hAnsiTheme="minorHAnsi" w:cstheme="minorHAnsi"/>
                <w:sz w:val="18"/>
                <w:szCs w:val="18"/>
                <w:lang w:eastAsia="x-none"/>
              </w:rPr>
              <w:t>ic</w:t>
            </w:r>
            <w:r w:rsidRPr="007C4D65">
              <w:rPr>
                <w:rFonts w:asciiTheme="minorHAnsi" w:eastAsia="Calibri" w:hAnsiTheme="minorHAnsi" w:cstheme="minorHAnsi"/>
                <w:sz w:val="18"/>
                <w:szCs w:val="18"/>
                <w:lang w:eastAsia="x-none"/>
              </w:rPr>
              <w:t xml:space="preserve"> monitoring of</w:t>
            </w:r>
            <w:r w:rsidR="00E33B36" w:rsidRPr="007C4D65">
              <w:rPr>
                <w:rFonts w:asciiTheme="minorHAnsi" w:eastAsia="Calibri" w:hAnsiTheme="minorHAnsi" w:cstheme="minorHAnsi"/>
                <w:sz w:val="18"/>
                <w:szCs w:val="18"/>
                <w:lang w:eastAsia="x-none"/>
              </w:rPr>
              <w:t xml:space="preserve"> the</w:t>
            </w:r>
            <w:r w:rsidRPr="007C4D65">
              <w:rPr>
                <w:rFonts w:asciiTheme="minorHAnsi" w:eastAsia="Calibri" w:hAnsiTheme="minorHAnsi" w:cstheme="minorHAnsi"/>
                <w:sz w:val="18"/>
                <w:szCs w:val="18"/>
                <w:lang w:eastAsia="x-none"/>
              </w:rPr>
              <w:t xml:space="preserve"> alignment</w:t>
            </w:r>
            <w:r w:rsidR="00E33B36" w:rsidRPr="007C4D65">
              <w:rPr>
                <w:rFonts w:asciiTheme="minorHAnsi" w:eastAsiaTheme="minorHAnsi" w:hAnsiTheme="minorHAnsi" w:cstheme="minorHAnsi"/>
                <w:color w:val="000000"/>
                <w:sz w:val="18"/>
                <w:szCs w:val="18"/>
                <w:lang w:eastAsia="en-US"/>
              </w:rPr>
              <w:t xml:space="preserve"> process</w:t>
            </w:r>
          </w:p>
        </w:tc>
        <w:tc>
          <w:tcPr>
            <w:tcW w:w="1282" w:type="pct"/>
            <w:shd w:val="clear" w:color="auto" w:fill="FFFFFF"/>
            <w:vAlign w:val="center"/>
          </w:tcPr>
          <w:p w14:paraId="202D065B" w14:textId="4D54D1DE" w:rsidR="00DA51A1" w:rsidRPr="007C4D65" w:rsidRDefault="00DA51A1" w:rsidP="00EA23CE">
            <w:pPr>
              <w:spacing w:after="160" w:line="259"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Not developed</w:t>
            </w:r>
          </w:p>
        </w:tc>
        <w:tc>
          <w:tcPr>
            <w:tcW w:w="1098" w:type="pct"/>
            <w:shd w:val="clear" w:color="auto" w:fill="FFFFFF"/>
            <w:vAlign w:val="center"/>
          </w:tcPr>
          <w:p w14:paraId="7A5981FC" w14:textId="2DC0D33A" w:rsidR="00DA51A1" w:rsidRPr="007C4D65" w:rsidRDefault="00DA51A1"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Developed (2023)</w:t>
            </w:r>
          </w:p>
        </w:tc>
      </w:tr>
      <w:tr w:rsidR="00DA51A1" w:rsidRPr="007C4D65" w14:paraId="56753175" w14:textId="77777777" w:rsidTr="00B6017F">
        <w:trPr>
          <w:trHeight w:val="567"/>
        </w:trPr>
        <w:tc>
          <w:tcPr>
            <w:tcW w:w="1359" w:type="pct"/>
            <w:vMerge/>
            <w:shd w:val="clear" w:color="auto" w:fill="009D73"/>
            <w:vAlign w:val="center"/>
          </w:tcPr>
          <w:p w14:paraId="66D3B128"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261" w:type="pct"/>
            <w:shd w:val="clear" w:color="auto" w:fill="FFFFFF"/>
            <w:vAlign w:val="center"/>
          </w:tcPr>
          <w:p w14:paraId="62403361" w14:textId="66B23E50" w:rsidR="00DA51A1" w:rsidRPr="007C4D65" w:rsidRDefault="00DA51A1" w:rsidP="00DA51A1">
            <w:pPr>
              <w:spacing w:after="160" w:line="259" w:lineRule="auto"/>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 xml:space="preserve">10) </w:t>
            </w:r>
            <w:r w:rsidRPr="007C4D65">
              <w:rPr>
                <w:rFonts w:asciiTheme="minorHAnsi" w:eastAsia="Calibri" w:hAnsiTheme="minorHAnsi" w:cstheme="minorHAnsi"/>
                <w:sz w:val="18"/>
                <w:szCs w:val="18"/>
                <w:lang w:eastAsia="x-none"/>
              </w:rPr>
              <w:t>Efficient and regular monitoring of update</w:t>
            </w:r>
            <w:r w:rsidR="00E33B36"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eastAsia="x-none"/>
              </w:rPr>
              <w:t xml:space="preserve"> of</w:t>
            </w:r>
            <w:r w:rsidR="00E33B36" w:rsidRPr="007C4D65">
              <w:rPr>
                <w:rFonts w:asciiTheme="minorHAnsi" w:eastAsia="Calibri" w:hAnsiTheme="minorHAnsi" w:cstheme="minorHAnsi"/>
                <w:sz w:val="18"/>
                <w:szCs w:val="18"/>
                <w:lang w:eastAsia="x-none"/>
              </w:rPr>
              <w:t xml:space="preserve"> the</w:t>
            </w:r>
            <w:r w:rsidRPr="007C4D65">
              <w:rPr>
                <w:rFonts w:asciiTheme="minorHAnsi" w:eastAsia="Calibri" w:hAnsiTheme="minorHAnsi" w:cstheme="minorHAnsi"/>
                <w:sz w:val="18"/>
                <w:szCs w:val="18"/>
                <w:lang w:eastAsia="x-none"/>
              </w:rPr>
              <w:t xml:space="preserve"> environmental </w:t>
            </w:r>
            <w:r w:rsidR="00E33B36" w:rsidRPr="007C4D65">
              <w:rPr>
                <w:rFonts w:asciiTheme="minorHAnsi" w:eastAsia="Calibri" w:hAnsiTheme="minorHAnsi" w:cstheme="minorHAnsi"/>
                <w:sz w:val="18"/>
                <w:szCs w:val="18"/>
                <w:lang w:eastAsia="x-none"/>
              </w:rPr>
              <w:t>legislation</w:t>
            </w:r>
            <w:r w:rsidRPr="007C4D65">
              <w:rPr>
                <w:rFonts w:asciiTheme="minorHAnsi" w:eastAsia="Calibri" w:hAnsiTheme="minorHAnsi" w:cstheme="minorHAnsi"/>
                <w:sz w:val="18"/>
                <w:szCs w:val="18"/>
                <w:lang w:eastAsia="x-none"/>
              </w:rPr>
              <w:t xml:space="preserve"> (alignment with the EU acquis)</w:t>
            </w:r>
          </w:p>
        </w:tc>
        <w:tc>
          <w:tcPr>
            <w:tcW w:w="1282" w:type="pct"/>
            <w:shd w:val="clear" w:color="auto" w:fill="FFFFFF"/>
            <w:vAlign w:val="center"/>
          </w:tcPr>
          <w:p w14:paraId="54000700" w14:textId="64705D66" w:rsidR="00DA51A1" w:rsidRPr="007C4D65" w:rsidRDefault="00E33B36" w:rsidP="00DA51A1">
            <w:pPr>
              <w:spacing w:after="160" w:line="259" w:lineRule="auto"/>
              <w:rPr>
                <w:rFonts w:asciiTheme="minorHAnsi" w:eastAsiaTheme="minorHAnsi" w:hAnsiTheme="minorHAnsi" w:cstheme="minorHAnsi"/>
                <w:sz w:val="18"/>
                <w:szCs w:val="18"/>
                <w:lang w:eastAsia="en-US"/>
              </w:rPr>
            </w:pPr>
            <w:r w:rsidRPr="007C4D65">
              <w:rPr>
                <w:rFonts w:asciiTheme="minorHAnsi" w:eastAsia="Calibri" w:hAnsiTheme="minorHAnsi" w:cstheme="minorHAnsi"/>
                <w:sz w:val="18"/>
                <w:szCs w:val="18"/>
                <w:lang w:eastAsia="x-none"/>
              </w:rPr>
              <w:t>Legislation partially</w:t>
            </w:r>
            <w:r w:rsidR="00DA51A1" w:rsidRPr="007C4D65">
              <w:rPr>
                <w:rFonts w:asciiTheme="minorHAnsi" w:eastAsia="Calibri" w:hAnsiTheme="minorHAnsi" w:cstheme="minorHAnsi"/>
                <w:sz w:val="18"/>
                <w:szCs w:val="18"/>
                <w:lang w:eastAsia="x-none"/>
              </w:rPr>
              <w:t xml:space="preserve"> updated and aligned</w:t>
            </w:r>
          </w:p>
          <w:p w14:paraId="20196105" w14:textId="77777777" w:rsidR="00DA51A1" w:rsidRPr="007C4D65" w:rsidRDefault="00DA51A1" w:rsidP="00DA51A1">
            <w:pPr>
              <w:spacing w:before="40" w:after="40" w:line="276" w:lineRule="auto"/>
              <w:rPr>
                <w:rFonts w:asciiTheme="minorHAnsi" w:eastAsiaTheme="minorHAnsi" w:hAnsiTheme="minorHAnsi" w:cstheme="minorHAnsi"/>
                <w:sz w:val="18"/>
                <w:szCs w:val="18"/>
                <w:lang w:eastAsia="en-US" w:bidi="en-US"/>
              </w:rPr>
            </w:pPr>
          </w:p>
        </w:tc>
        <w:tc>
          <w:tcPr>
            <w:tcW w:w="1098" w:type="pct"/>
            <w:shd w:val="clear" w:color="auto" w:fill="FFFFFF"/>
            <w:vAlign w:val="center"/>
          </w:tcPr>
          <w:p w14:paraId="40995C42" w14:textId="1AF40CA9" w:rsidR="00DA51A1" w:rsidRPr="007C4D65" w:rsidRDefault="00E33B36" w:rsidP="00EA23CE">
            <w:pPr>
              <w:spacing w:after="160" w:line="259"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Legislation </w:t>
            </w:r>
            <w:proofErr w:type="gramStart"/>
            <w:r w:rsidR="00DA51A1" w:rsidRPr="007C4D65">
              <w:rPr>
                <w:rFonts w:asciiTheme="minorHAnsi" w:eastAsia="Calibri" w:hAnsiTheme="minorHAnsi" w:cstheme="minorHAnsi"/>
                <w:sz w:val="18"/>
                <w:szCs w:val="18"/>
                <w:lang w:eastAsia="x-none"/>
              </w:rPr>
              <w:t>update</w:t>
            </w:r>
            <w:proofErr w:type="gramEnd"/>
            <w:r w:rsidR="00DA51A1" w:rsidRPr="007C4D65">
              <w:rPr>
                <w:rFonts w:asciiTheme="minorHAnsi" w:eastAsia="Calibri" w:hAnsiTheme="minorHAnsi" w:cstheme="minorHAnsi"/>
                <w:sz w:val="18"/>
                <w:szCs w:val="18"/>
                <w:lang w:eastAsia="x-none"/>
              </w:rPr>
              <w:t xml:space="preserve"> and aligned with the EU acquis</w:t>
            </w:r>
            <w:r w:rsidR="00EA23CE" w:rsidRPr="007C4D65">
              <w:rPr>
                <w:rFonts w:asciiTheme="minorHAnsi" w:eastAsia="Calibri" w:hAnsiTheme="minorHAnsi" w:cstheme="minorHAnsi"/>
                <w:sz w:val="18"/>
                <w:szCs w:val="18"/>
                <w:lang w:eastAsia="x-none"/>
              </w:rPr>
              <w:t xml:space="preserve"> </w:t>
            </w:r>
            <w:r w:rsidR="00DA51A1" w:rsidRPr="007C4D65">
              <w:rPr>
                <w:rFonts w:asciiTheme="minorHAnsi" w:eastAsia="Calibri" w:hAnsiTheme="minorHAnsi" w:cstheme="minorHAnsi"/>
                <w:sz w:val="18"/>
                <w:szCs w:val="18"/>
                <w:lang w:eastAsia="x-none"/>
              </w:rPr>
              <w:t>(2030)</w:t>
            </w:r>
          </w:p>
        </w:tc>
      </w:tr>
      <w:tr w:rsidR="00DA51A1" w:rsidRPr="007C4D65" w14:paraId="7BA45130" w14:textId="77777777" w:rsidTr="00B6017F">
        <w:trPr>
          <w:trHeight w:val="567"/>
        </w:trPr>
        <w:tc>
          <w:tcPr>
            <w:tcW w:w="1359" w:type="pct"/>
            <w:vMerge/>
            <w:shd w:val="clear" w:color="auto" w:fill="009D73"/>
            <w:vAlign w:val="center"/>
          </w:tcPr>
          <w:p w14:paraId="68F73B67"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261" w:type="pct"/>
            <w:shd w:val="clear" w:color="auto" w:fill="FFFFFF"/>
            <w:vAlign w:val="center"/>
          </w:tcPr>
          <w:p w14:paraId="6FAEDFD1" w14:textId="2D891426" w:rsidR="00DA51A1" w:rsidRPr="007C4D65" w:rsidRDefault="00DA51A1" w:rsidP="00DA51A1">
            <w:pPr>
              <w:spacing w:after="160" w:line="259" w:lineRule="auto"/>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 xml:space="preserve">11) </w:t>
            </w:r>
            <w:r w:rsidRPr="007C4D65">
              <w:rPr>
                <w:rFonts w:asciiTheme="minorHAnsi" w:eastAsia="Calibri" w:hAnsiTheme="minorHAnsi" w:cstheme="minorHAnsi"/>
                <w:sz w:val="18"/>
                <w:szCs w:val="18"/>
                <w:lang w:eastAsia="x-none"/>
              </w:rPr>
              <w:t>Quality of contribution of the institutions of the Federation of Bosnia and Herzegovina in</w:t>
            </w:r>
            <w:r w:rsidR="00E33B36" w:rsidRPr="007C4D65">
              <w:rPr>
                <w:rFonts w:asciiTheme="minorHAnsi" w:eastAsia="Calibri" w:hAnsiTheme="minorHAnsi" w:cstheme="minorHAnsi"/>
                <w:sz w:val="18"/>
                <w:szCs w:val="18"/>
                <w:lang w:eastAsia="x-none"/>
              </w:rPr>
              <w:t xml:space="preserve"> the</w:t>
            </w:r>
            <w:r w:rsidRPr="007C4D65">
              <w:rPr>
                <w:rFonts w:asciiTheme="minorHAnsi" w:eastAsia="Calibri" w:hAnsiTheme="minorHAnsi" w:cstheme="minorHAnsi"/>
                <w:sz w:val="18"/>
                <w:szCs w:val="18"/>
                <w:lang w:eastAsia="x-none"/>
              </w:rPr>
              <w:t xml:space="preserve"> preparation of </w:t>
            </w:r>
            <w:r w:rsidRPr="007C4D65">
              <w:rPr>
                <w:rFonts w:asciiTheme="minorHAnsi" w:eastAsiaTheme="minorHAnsi" w:hAnsiTheme="minorHAnsi" w:cstheme="minorHAnsi"/>
                <w:color w:val="000000"/>
                <w:sz w:val="18"/>
                <w:szCs w:val="18"/>
                <w:lang w:eastAsia="en-US"/>
              </w:rPr>
              <w:t>DSIPs</w:t>
            </w:r>
          </w:p>
        </w:tc>
        <w:tc>
          <w:tcPr>
            <w:tcW w:w="1282" w:type="pct"/>
            <w:shd w:val="clear" w:color="auto" w:fill="FFFFFF"/>
            <w:vAlign w:val="center"/>
          </w:tcPr>
          <w:p w14:paraId="22CD495E" w14:textId="25EA96E9" w:rsidR="00DA51A1" w:rsidRPr="007C4D65" w:rsidRDefault="00DA51A1" w:rsidP="00DA51A1">
            <w:pPr>
              <w:spacing w:before="40" w:after="40" w:line="276" w:lineRule="auto"/>
              <w:rPr>
                <w:rFonts w:asciiTheme="minorHAnsi" w:eastAsiaTheme="minorHAnsi" w:hAnsiTheme="minorHAnsi" w:cstheme="minorHAnsi"/>
                <w:sz w:val="18"/>
                <w:szCs w:val="18"/>
                <w:lang w:eastAsia="en-US" w:bidi="en-US"/>
              </w:rPr>
            </w:pPr>
          </w:p>
        </w:tc>
        <w:tc>
          <w:tcPr>
            <w:tcW w:w="1098" w:type="pct"/>
            <w:shd w:val="clear" w:color="auto" w:fill="FFFFFF"/>
            <w:vAlign w:val="center"/>
          </w:tcPr>
          <w:p w14:paraId="485B8FB1" w14:textId="2F31D5FA" w:rsidR="00DA51A1" w:rsidRPr="007C4D65" w:rsidRDefault="00DA51A1" w:rsidP="00EA23CE">
            <w:pPr>
              <w:spacing w:after="160" w:line="259"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Significant contribution provided</w:t>
            </w:r>
            <w:r w:rsidR="00EA23CE" w:rsidRPr="007C4D65">
              <w:rPr>
                <w:rFonts w:asciiTheme="minorHAnsi" w:eastAsiaTheme="minorHAnsi" w:hAnsiTheme="minorHAnsi" w:cstheme="minorHAnsi"/>
                <w:sz w:val="18"/>
                <w:szCs w:val="18"/>
                <w:lang w:eastAsia="en-US" w:bidi="en-US"/>
              </w:rPr>
              <w:t xml:space="preserve"> </w:t>
            </w:r>
            <w:r w:rsidRPr="007C4D65">
              <w:rPr>
                <w:rFonts w:asciiTheme="minorHAnsi" w:eastAsiaTheme="minorHAnsi" w:hAnsiTheme="minorHAnsi" w:cstheme="minorHAnsi"/>
                <w:sz w:val="18"/>
                <w:szCs w:val="18"/>
                <w:lang w:eastAsia="en-US" w:bidi="en-US"/>
              </w:rPr>
              <w:t>(2025)</w:t>
            </w:r>
          </w:p>
        </w:tc>
      </w:tr>
      <w:tr w:rsidR="00DA51A1" w:rsidRPr="007C4D65" w14:paraId="4DA091C4" w14:textId="77777777" w:rsidTr="00B6017F">
        <w:trPr>
          <w:trHeight w:val="567"/>
        </w:trPr>
        <w:tc>
          <w:tcPr>
            <w:tcW w:w="1359" w:type="pct"/>
            <w:vMerge/>
            <w:shd w:val="clear" w:color="auto" w:fill="009D73"/>
            <w:vAlign w:val="center"/>
          </w:tcPr>
          <w:p w14:paraId="69CBA11C"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261" w:type="pct"/>
            <w:shd w:val="clear" w:color="auto" w:fill="FFFFFF"/>
            <w:vAlign w:val="center"/>
          </w:tcPr>
          <w:p w14:paraId="43F0A6FB" w14:textId="77777777" w:rsidR="00DA51A1" w:rsidRPr="007C4D65" w:rsidRDefault="00DA51A1" w:rsidP="00DA51A1">
            <w:pPr>
              <w:spacing w:after="160" w:line="259" w:lineRule="auto"/>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 xml:space="preserve">12) </w:t>
            </w:r>
            <w:r w:rsidRPr="007C4D65">
              <w:rPr>
                <w:rFonts w:asciiTheme="minorHAnsi" w:eastAsia="Calibri" w:hAnsiTheme="minorHAnsi" w:cstheme="minorHAnsi"/>
                <w:sz w:val="18"/>
                <w:szCs w:val="18"/>
                <w:lang w:eastAsia="x-none"/>
              </w:rPr>
              <w:t xml:space="preserve">Adoption of priority </w:t>
            </w:r>
            <w:r w:rsidRPr="007C4D65">
              <w:rPr>
                <w:rFonts w:asciiTheme="minorHAnsi" w:eastAsiaTheme="minorHAnsi" w:hAnsiTheme="minorHAnsi" w:cstheme="minorHAnsi"/>
                <w:color w:val="000000"/>
                <w:sz w:val="18"/>
                <w:szCs w:val="18"/>
                <w:lang w:eastAsia="en-US"/>
              </w:rPr>
              <w:t>APIDs</w:t>
            </w:r>
          </w:p>
        </w:tc>
        <w:tc>
          <w:tcPr>
            <w:tcW w:w="1282" w:type="pct"/>
            <w:shd w:val="clear" w:color="auto" w:fill="FFFFFF"/>
            <w:vAlign w:val="center"/>
          </w:tcPr>
          <w:p w14:paraId="0242D609" w14:textId="77777777" w:rsidR="00DA51A1" w:rsidRPr="007C4D65" w:rsidRDefault="00DA51A1"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w:t>
            </w:r>
          </w:p>
        </w:tc>
        <w:tc>
          <w:tcPr>
            <w:tcW w:w="1098" w:type="pct"/>
            <w:shd w:val="clear" w:color="auto" w:fill="FFFFFF"/>
            <w:vAlign w:val="center"/>
          </w:tcPr>
          <w:p w14:paraId="5919CB7E" w14:textId="0CF237C7" w:rsidR="00DA51A1" w:rsidRPr="007C4D65" w:rsidRDefault="00DA51A1" w:rsidP="00DA51A1">
            <w:pPr>
              <w:spacing w:after="160" w:line="259"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Priority </w:t>
            </w:r>
            <w:r w:rsidRPr="007C4D65">
              <w:rPr>
                <w:rFonts w:asciiTheme="minorHAnsi" w:eastAsiaTheme="minorHAnsi" w:hAnsiTheme="minorHAnsi" w:cstheme="minorHAnsi"/>
                <w:sz w:val="18"/>
                <w:szCs w:val="18"/>
                <w:lang w:eastAsia="en-US" w:bidi="en-US"/>
              </w:rPr>
              <w:t>APIDs adopted (2030)</w:t>
            </w:r>
          </w:p>
        </w:tc>
      </w:tr>
      <w:tr w:rsidR="00DA51A1" w:rsidRPr="007C4D65" w14:paraId="1EFFCCBA" w14:textId="77777777" w:rsidTr="00B6017F">
        <w:trPr>
          <w:trHeight w:val="567"/>
        </w:trPr>
        <w:tc>
          <w:tcPr>
            <w:tcW w:w="1359" w:type="pct"/>
            <w:vMerge/>
            <w:shd w:val="clear" w:color="auto" w:fill="009D73"/>
            <w:vAlign w:val="center"/>
          </w:tcPr>
          <w:p w14:paraId="2404F9C0"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261" w:type="pct"/>
            <w:shd w:val="clear" w:color="auto" w:fill="FFFFFF"/>
            <w:vAlign w:val="center"/>
          </w:tcPr>
          <w:p w14:paraId="6DEE03A7" w14:textId="5670B9FB" w:rsidR="00DA51A1" w:rsidRPr="007C4D65" w:rsidRDefault="00DA51A1" w:rsidP="00DA51A1">
            <w:pPr>
              <w:spacing w:after="160" w:line="259" w:lineRule="auto"/>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 xml:space="preserve">13) </w:t>
            </w:r>
            <w:r w:rsidRPr="007C4D65">
              <w:rPr>
                <w:rFonts w:asciiTheme="minorHAnsi" w:eastAsia="Calibri" w:hAnsiTheme="minorHAnsi" w:cstheme="minorHAnsi"/>
                <w:sz w:val="18"/>
                <w:szCs w:val="18"/>
                <w:lang w:eastAsia="x-none"/>
              </w:rPr>
              <w:t xml:space="preserve">Level of </w:t>
            </w:r>
            <w:r w:rsidR="00E33B36" w:rsidRPr="007C4D65">
              <w:rPr>
                <w:rFonts w:asciiTheme="minorHAnsi" w:eastAsia="Calibri" w:hAnsiTheme="minorHAnsi" w:cstheme="minorHAnsi"/>
                <w:sz w:val="18"/>
                <w:szCs w:val="18"/>
                <w:lang w:eastAsia="x-none"/>
              </w:rPr>
              <w:t>the implementation</w:t>
            </w:r>
            <w:r w:rsidRPr="007C4D65">
              <w:rPr>
                <w:rFonts w:asciiTheme="minorHAnsi" w:eastAsia="Calibri" w:hAnsiTheme="minorHAnsi" w:cstheme="minorHAnsi"/>
                <w:sz w:val="18"/>
                <w:szCs w:val="18"/>
                <w:lang w:eastAsia="x-none"/>
              </w:rPr>
              <w:t xml:space="preserve"> of </w:t>
            </w:r>
            <w:r w:rsidRPr="007C4D65">
              <w:rPr>
                <w:rFonts w:asciiTheme="minorHAnsi" w:eastAsiaTheme="minorHAnsi" w:hAnsiTheme="minorHAnsi" w:cstheme="minorHAnsi"/>
                <w:color w:val="000000"/>
                <w:sz w:val="18"/>
                <w:szCs w:val="18"/>
                <w:lang w:eastAsia="en-US"/>
              </w:rPr>
              <w:t>APIDs</w:t>
            </w:r>
          </w:p>
        </w:tc>
        <w:tc>
          <w:tcPr>
            <w:tcW w:w="1282" w:type="pct"/>
            <w:shd w:val="clear" w:color="auto" w:fill="FFFFFF"/>
            <w:vAlign w:val="center"/>
          </w:tcPr>
          <w:p w14:paraId="5F0F13C1" w14:textId="77777777" w:rsidR="00DA51A1" w:rsidRPr="007C4D65" w:rsidRDefault="00DA51A1"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w:t>
            </w:r>
          </w:p>
        </w:tc>
        <w:tc>
          <w:tcPr>
            <w:tcW w:w="1098" w:type="pct"/>
            <w:shd w:val="clear" w:color="auto" w:fill="FFFFFF"/>
            <w:vAlign w:val="center"/>
          </w:tcPr>
          <w:p w14:paraId="6075B724" w14:textId="71C80DA1" w:rsidR="00DA51A1" w:rsidRPr="007C4D65" w:rsidRDefault="00E33B36"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Advanced stage of the implementation of </w:t>
            </w:r>
            <w:r w:rsidR="00DA51A1" w:rsidRPr="007C4D65">
              <w:rPr>
                <w:rFonts w:asciiTheme="minorHAnsi" w:eastAsiaTheme="minorHAnsi" w:hAnsiTheme="minorHAnsi" w:cstheme="minorHAnsi"/>
                <w:color w:val="000000"/>
                <w:sz w:val="18"/>
                <w:szCs w:val="18"/>
                <w:lang w:eastAsia="en-US"/>
              </w:rPr>
              <w:t>APIDs</w:t>
            </w:r>
            <w:r w:rsidR="00DA51A1" w:rsidRPr="007C4D65">
              <w:rPr>
                <w:rFonts w:asciiTheme="minorHAnsi" w:eastAsiaTheme="minorHAnsi" w:hAnsiTheme="minorHAnsi" w:cstheme="minorHAnsi"/>
                <w:sz w:val="18"/>
                <w:szCs w:val="18"/>
                <w:lang w:eastAsia="en-US" w:bidi="en-US"/>
              </w:rPr>
              <w:t xml:space="preserve"> (2030+)</w:t>
            </w:r>
          </w:p>
        </w:tc>
      </w:tr>
      <w:tr w:rsidR="00DA51A1" w:rsidRPr="007C4D65" w14:paraId="024A86F8" w14:textId="77777777" w:rsidTr="00B6017F">
        <w:trPr>
          <w:trHeight w:val="567"/>
        </w:trPr>
        <w:tc>
          <w:tcPr>
            <w:tcW w:w="1359" w:type="pct"/>
            <w:vMerge/>
            <w:shd w:val="clear" w:color="auto" w:fill="009D73"/>
            <w:vAlign w:val="center"/>
          </w:tcPr>
          <w:p w14:paraId="565DBD95"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261" w:type="pct"/>
            <w:shd w:val="clear" w:color="auto" w:fill="FFFFFF"/>
            <w:vAlign w:val="center"/>
          </w:tcPr>
          <w:p w14:paraId="36EF1816" w14:textId="33AC403D" w:rsidR="00DA51A1" w:rsidRPr="007C4D65" w:rsidRDefault="00DA51A1" w:rsidP="00EA23CE">
            <w:pPr>
              <w:spacing w:after="160" w:line="259" w:lineRule="auto"/>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 xml:space="preserve">14) </w:t>
            </w:r>
            <w:r w:rsidRPr="007C4D65">
              <w:rPr>
                <w:rFonts w:asciiTheme="minorHAnsi" w:eastAsia="Calibri" w:hAnsiTheme="minorHAnsi" w:cstheme="minorHAnsi"/>
                <w:sz w:val="18"/>
                <w:szCs w:val="18"/>
                <w:lang w:eastAsia="x-none"/>
              </w:rPr>
              <w:t xml:space="preserve">Efficiency of parliamentary procedures </w:t>
            </w:r>
          </w:p>
        </w:tc>
        <w:tc>
          <w:tcPr>
            <w:tcW w:w="1282" w:type="pct"/>
            <w:shd w:val="clear" w:color="auto" w:fill="FFFFFF"/>
            <w:vAlign w:val="center"/>
          </w:tcPr>
          <w:p w14:paraId="0D7BCE2D" w14:textId="77777777" w:rsidR="00DA51A1" w:rsidRPr="007C4D65" w:rsidRDefault="00DA51A1"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Low</w:t>
            </w:r>
          </w:p>
        </w:tc>
        <w:tc>
          <w:tcPr>
            <w:tcW w:w="1098" w:type="pct"/>
            <w:shd w:val="clear" w:color="auto" w:fill="FFFFFF"/>
            <w:vAlign w:val="center"/>
          </w:tcPr>
          <w:p w14:paraId="61A14114" w14:textId="77777777" w:rsidR="00DA51A1" w:rsidRPr="007C4D65" w:rsidRDefault="00DA51A1"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High (2030)</w:t>
            </w:r>
          </w:p>
        </w:tc>
      </w:tr>
      <w:tr w:rsidR="00DA51A1" w:rsidRPr="007C4D65" w14:paraId="103A36C0" w14:textId="77777777" w:rsidTr="00B6017F">
        <w:trPr>
          <w:trHeight w:val="567"/>
        </w:trPr>
        <w:tc>
          <w:tcPr>
            <w:tcW w:w="1359" w:type="pct"/>
            <w:shd w:val="clear" w:color="auto" w:fill="009D73"/>
            <w:vAlign w:val="center"/>
          </w:tcPr>
          <w:p w14:paraId="00287E63"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shd w:val="clear" w:color="auto" w:fill="FFFFFF"/>
            <w:vAlign w:val="center"/>
          </w:tcPr>
          <w:p w14:paraId="2C85487A" w14:textId="20CE51EF" w:rsidR="00DA51A1" w:rsidRPr="007C4D65" w:rsidRDefault="00E33B36"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environmental management and progress in the EU integration process though alignment of the national legislation with the EU acquis</w:t>
            </w:r>
          </w:p>
        </w:tc>
      </w:tr>
      <w:tr w:rsidR="00DA51A1" w:rsidRPr="007C4D65" w14:paraId="6053079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4532371" w14:textId="31269A9C" w:rsidR="00DA51A1" w:rsidRPr="007C4D65" w:rsidRDefault="00963086"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r w:rsidR="00DA51A1" w:rsidRPr="007C4D65">
              <w:rPr>
                <w:rFonts w:asciiTheme="minorHAnsi" w:eastAsiaTheme="minorHAnsi" w:hAnsiTheme="minorHAnsi" w:cstheme="minorHAnsi"/>
                <w:b/>
                <w:color w:val="FFFFFF" w:themeColor="background1"/>
                <w:sz w:val="18"/>
                <w:szCs w:val="18"/>
                <w:lang w:eastAsia="en-US"/>
              </w:rPr>
              <w:t xml:space="preserve"> </w:t>
            </w:r>
          </w:p>
        </w:tc>
        <w:tc>
          <w:tcPr>
            <w:tcW w:w="3641" w:type="pct"/>
            <w:gridSpan w:val="3"/>
            <w:shd w:val="clear" w:color="auto" w:fill="FFFFFF"/>
            <w:vAlign w:val="center"/>
          </w:tcPr>
          <w:p w14:paraId="1045BDC5" w14:textId="72292499" w:rsidR="00E33B36" w:rsidRPr="007C4D65" w:rsidRDefault="00C224E3" w:rsidP="00E33B36">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 xml:space="preserve">Amount: </w:t>
            </w:r>
            <w:r w:rsidR="00E33B36" w:rsidRPr="007C4D65">
              <w:rPr>
                <w:rFonts w:asciiTheme="minorHAnsi" w:hAnsiTheme="minorHAnsi" w:cstheme="minorHAnsi"/>
                <w:sz w:val="18"/>
                <w:szCs w:val="18"/>
                <w:lang w:bidi="en-US"/>
              </w:rPr>
              <w:t>BAM 1,334,680</w:t>
            </w:r>
          </w:p>
          <w:p w14:paraId="248368AA" w14:textId="76DB4837" w:rsidR="00DA51A1" w:rsidRPr="007C4D65" w:rsidRDefault="009E6B20" w:rsidP="00E33B36">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bidi="en-US"/>
              </w:rPr>
              <w:t xml:space="preserve">Source: </w:t>
            </w:r>
            <w:r w:rsidR="00E33B36" w:rsidRPr="007C4D65">
              <w:rPr>
                <w:rFonts w:asciiTheme="minorHAnsi" w:hAnsiTheme="minorHAnsi" w:cstheme="minorHAnsi"/>
                <w:sz w:val="18"/>
                <w:szCs w:val="18"/>
                <w:lang w:bidi="en-US"/>
              </w:rPr>
              <w:t xml:space="preserve">10% </w:t>
            </w:r>
            <w:r w:rsidR="000E401F" w:rsidRPr="007C4D65">
              <w:rPr>
                <w:rFonts w:asciiTheme="minorHAnsi" w:hAnsiTheme="minorHAnsi" w:cstheme="minorHAnsi"/>
                <w:sz w:val="18"/>
                <w:szCs w:val="18"/>
                <w:lang w:bidi="en-US"/>
              </w:rPr>
              <w:t>government budget</w:t>
            </w:r>
            <w:r w:rsidR="00E33B36" w:rsidRPr="007C4D65">
              <w:rPr>
                <w:rFonts w:asciiTheme="minorHAnsi" w:hAnsiTheme="minorHAnsi" w:cstheme="minorHAnsi"/>
                <w:sz w:val="18"/>
                <w:szCs w:val="18"/>
                <w:lang w:bidi="en-US"/>
              </w:rPr>
              <w:t xml:space="preserve">, 90% </w:t>
            </w:r>
            <w:r w:rsidR="00C224E3" w:rsidRPr="007C4D65">
              <w:rPr>
                <w:rFonts w:asciiTheme="minorHAnsi" w:hAnsiTheme="minorHAnsi" w:cstheme="minorHAnsi"/>
                <w:sz w:val="18"/>
                <w:szCs w:val="18"/>
                <w:lang w:bidi="en-US"/>
              </w:rPr>
              <w:t>funds from EU and other international donors</w:t>
            </w:r>
          </w:p>
        </w:tc>
      </w:tr>
      <w:tr w:rsidR="00DA51A1" w:rsidRPr="007C4D65" w14:paraId="1FDFA79A"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C5710C8"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shd w:val="clear" w:color="auto" w:fill="FFFFFF"/>
            <w:vAlign w:val="center"/>
          </w:tcPr>
          <w:p w14:paraId="632BBC32" w14:textId="77777777" w:rsidR="00DA51A1" w:rsidRPr="007C4D65" w:rsidRDefault="00DA51A1"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2030+</w:t>
            </w:r>
          </w:p>
        </w:tc>
      </w:tr>
      <w:tr w:rsidR="00DA51A1" w:rsidRPr="007C4D65" w14:paraId="04CE415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22D85D3"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tcPr>
          <w:p w14:paraId="0773E96A" w14:textId="1256CF84" w:rsidR="00DA51A1" w:rsidRPr="007C4D65" w:rsidRDefault="001E6E20" w:rsidP="00DA51A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rPr>
              <w:t>Federation Ministry</w:t>
            </w:r>
            <w:bookmarkStart w:id="317" w:name="_Hlk96369603"/>
            <w:r w:rsidR="00DA51A1" w:rsidRPr="007C4D65">
              <w:rPr>
                <w:rFonts w:asciiTheme="minorHAnsi" w:eastAsiaTheme="minorHAnsi" w:hAnsiTheme="minorHAnsi" w:cstheme="minorHAnsi"/>
                <w:sz w:val="18"/>
                <w:szCs w:val="18"/>
                <w:lang w:eastAsia="en-US"/>
              </w:rPr>
              <w:t xml:space="preserve"> of Environment and Tourism</w:t>
            </w:r>
            <w:bookmarkEnd w:id="317"/>
          </w:p>
        </w:tc>
      </w:tr>
      <w:tr w:rsidR="00DA51A1" w:rsidRPr="007C4D65" w14:paraId="1253E3E9"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7ADFC39" w14:textId="77777777" w:rsidR="00DA51A1" w:rsidRPr="007C4D65" w:rsidRDefault="00DA51A1"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shd w:val="clear" w:color="auto" w:fill="FFFFFF"/>
            <w:vAlign w:val="center"/>
          </w:tcPr>
          <w:p w14:paraId="68B21170" w14:textId="7DE54DD5" w:rsidR="00DA51A1" w:rsidRPr="007C4D65" w:rsidRDefault="001E6E20" w:rsidP="00DA51A1">
            <w:pPr>
              <w:spacing w:after="160" w:line="259"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rPr>
              <w:t>Federation Ministry</w:t>
            </w:r>
            <w:r w:rsidR="00DA51A1" w:rsidRPr="007C4D65">
              <w:rPr>
                <w:rFonts w:asciiTheme="minorHAnsi" w:eastAsiaTheme="minorHAnsi" w:hAnsiTheme="minorHAnsi" w:cstheme="minorHAnsi"/>
                <w:sz w:val="18"/>
                <w:szCs w:val="18"/>
                <w:lang w:eastAsia="en-US"/>
              </w:rPr>
              <w:t xml:space="preserve"> of Environment and Tourism,</w:t>
            </w:r>
            <w:r w:rsidR="00DA51A1" w:rsidRPr="007C4D65">
              <w:rPr>
                <w:rFonts w:asciiTheme="minorHAnsi" w:eastAsiaTheme="minorHAnsi" w:hAnsiTheme="minorHAnsi" w:cstheme="minorHAnsi"/>
                <w:sz w:val="18"/>
                <w:szCs w:val="18"/>
                <w:lang w:eastAsia="en-US" w:bidi="en-US"/>
              </w:rPr>
              <w:t xml:space="preserve"> in cooperation with the other </w:t>
            </w:r>
            <w:r w:rsidR="00E33B36" w:rsidRPr="007C4D65">
              <w:rPr>
                <w:rFonts w:asciiTheme="minorHAnsi" w:eastAsiaTheme="minorHAnsi" w:hAnsiTheme="minorHAnsi" w:cstheme="minorHAnsi"/>
                <w:sz w:val="18"/>
                <w:szCs w:val="18"/>
                <w:lang w:eastAsia="en-US" w:bidi="en-US"/>
              </w:rPr>
              <w:t>competent</w:t>
            </w:r>
            <w:r w:rsidR="00DA51A1" w:rsidRPr="007C4D65">
              <w:rPr>
                <w:rFonts w:asciiTheme="minorHAnsi" w:eastAsiaTheme="minorHAnsi" w:hAnsiTheme="minorHAnsi" w:cstheme="minorHAnsi"/>
                <w:sz w:val="18"/>
                <w:szCs w:val="18"/>
                <w:lang w:eastAsia="en-US" w:bidi="en-US"/>
              </w:rPr>
              <w:t xml:space="preserve"> federal and cantonal</w:t>
            </w:r>
            <w:r w:rsidR="00DA51A1" w:rsidRPr="007C4D65">
              <w:rPr>
                <w:rFonts w:asciiTheme="minorHAnsi" w:eastAsia="Calibri" w:hAnsiTheme="minorHAnsi" w:cstheme="minorHAnsi"/>
                <w:sz w:val="18"/>
                <w:szCs w:val="18"/>
                <w:lang w:eastAsia="en-US" w:bidi="en-US"/>
              </w:rPr>
              <w:t xml:space="preserve"> institutions in the Federation of Bosnia and Herzegovina, in coordination with the Ministry for Foreign Trade and Economic Relations of Bosnia and Herzegovina (for the areas of intervention 4-7) and in cooperation with Partnership 27 created </w:t>
            </w:r>
            <w:r w:rsidR="00E33B36" w:rsidRPr="007C4D65">
              <w:rPr>
                <w:rFonts w:asciiTheme="minorHAnsi" w:eastAsia="Calibri" w:hAnsiTheme="minorHAnsi" w:cstheme="minorHAnsi"/>
                <w:sz w:val="18"/>
                <w:szCs w:val="18"/>
                <w:lang w:eastAsia="en-US" w:bidi="en-US"/>
              </w:rPr>
              <w:t>to monitor the</w:t>
            </w:r>
            <w:r w:rsidR="00DA51A1" w:rsidRPr="007C4D65">
              <w:rPr>
                <w:rFonts w:asciiTheme="minorHAnsi" w:eastAsia="Calibri" w:hAnsiTheme="minorHAnsi" w:cstheme="minorHAnsi"/>
                <w:sz w:val="18"/>
                <w:szCs w:val="18"/>
                <w:lang w:eastAsia="en-US" w:bidi="en-US"/>
              </w:rPr>
              <w:t xml:space="preserve"> process of Chapter 27 (for the areas of intervention 10-12)</w:t>
            </w:r>
          </w:p>
        </w:tc>
      </w:tr>
      <w:tr w:rsidR="00DA51A1" w:rsidRPr="007C4D65" w14:paraId="3684E148"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75B1C8A" w14:textId="41B54497" w:rsidR="00DA51A1" w:rsidRPr="007C4D65" w:rsidRDefault="00963086" w:rsidP="00DA51A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shd w:val="clear" w:color="auto" w:fill="FFFFFF"/>
            <w:vAlign w:val="center"/>
          </w:tcPr>
          <w:p w14:paraId="0D4BF865" w14:textId="1EF411ED" w:rsidR="00DA51A1" w:rsidRPr="007C4D65" w:rsidRDefault="00DA51A1" w:rsidP="00EA23CE">
            <w:pPr>
              <w:spacing w:after="160" w:line="259"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Institutions responsible for implementation of environmental EU Directives, citizens</w:t>
            </w:r>
          </w:p>
        </w:tc>
      </w:tr>
    </w:tbl>
    <w:p w14:paraId="12A85964" w14:textId="060A93AC"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2"/>
        <w:gridCol w:w="3242"/>
        <w:gridCol w:w="2762"/>
      </w:tblGrid>
      <w:tr w:rsidR="00294BC1" w:rsidRPr="007C4D65" w14:paraId="14B5B941" w14:textId="77777777" w:rsidTr="00B6017F">
        <w:trPr>
          <w:trHeight w:val="567"/>
        </w:trPr>
        <w:tc>
          <w:tcPr>
            <w:tcW w:w="1359" w:type="pct"/>
            <w:shd w:val="clear" w:color="auto" w:fill="009D73"/>
            <w:vAlign w:val="center"/>
          </w:tcPr>
          <w:p w14:paraId="5DC0C8CC" w14:textId="77777777" w:rsidR="00294BC1" w:rsidRPr="007C4D65" w:rsidRDefault="00294BC1"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Link with strategic goal </w:t>
            </w:r>
          </w:p>
        </w:tc>
        <w:tc>
          <w:tcPr>
            <w:tcW w:w="3641" w:type="pct"/>
            <w:gridSpan w:val="3"/>
            <w:shd w:val="clear" w:color="auto" w:fill="FFFFFF"/>
            <w:vAlign w:val="center"/>
          </w:tcPr>
          <w:p w14:paraId="47E41991" w14:textId="77777777" w:rsidR="00294BC1" w:rsidRPr="007C4D65" w:rsidRDefault="00294BC1" w:rsidP="00294BC1">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 xml:space="preserve">7. Strengthening environmental management </w:t>
            </w:r>
          </w:p>
        </w:tc>
      </w:tr>
      <w:tr w:rsidR="00294BC1" w:rsidRPr="007C4D65" w14:paraId="468E75C2" w14:textId="77777777" w:rsidTr="00B6017F">
        <w:trPr>
          <w:trHeight w:val="567"/>
        </w:trPr>
        <w:tc>
          <w:tcPr>
            <w:tcW w:w="1359" w:type="pct"/>
            <w:shd w:val="clear" w:color="auto" w:fill="009D73"/>
            <w:vAlign w:val="center"/>
          </w:tcPr>
          <w:p w14:paraId="1A90A378" w14:textId="77777777" w:rsidR="00294BC1" w:rsidRPr="007C4D65" w:rsidRDefault="00294BC1"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41" w:type="pct"/>
            <w:gridSpan w:val="3"/>
            <w:shd w:val="clear" w:color="auto" w:fill="FFFFFF"/>
            <w:vAlign w:val="center"/>
          </w:tcPr>
          <w:p w14:paraId="39DBF68E" w14:textId="0D72A56E" w:rsidR="00294BC1" w:rsidRPr="007C4D65" w:rsidRDefault="00294BC1" w:rsidP="00294BC1">
            <w:pPr>
              <w:spacing w:before="40" w:after="40" w:line="276" w:lineRule="auto"/>
              <w:rPr>
                <w:rFonts w:asciiTheme="minorHAnsi" w:hAnsiTheme="minorHAnsi" w:cstheme="minorHAnsi"/>
                <w:b/>
                <w:bCs/>
                <w:sz w:val="18"/>
                <w:szCs w:val="18"/>
                <w:lang w:eastAsia="zh-TW"/>
              </w:rPr>
            </w:pPr>
            <w:r w:rsidRPr="007C4D65">
              <w:rPr>
                <w:rFonts w:asciiTheme="minorHAnsi" w:eastAsiaTheme="minorHAnsi" w:hAnsiTheme="minorHAnsi" w:cstheme="minorHAnsi"/>
                <w:b/>
                <w:bCs/>
                <w:sz w:val="18"/>
                <w:szCs w:val="18"/>
                <w:lang w:eastAsia="en-US"/>
              </w:rPr>
              <w:t xml:space="preserve">7.1 </w:t>
            </w:r>
            <w:r w:rsidR="00A36259" w:rsidRPr="007C4D65">
              <w:rPr>
                <w:rFonts w:asciiTheme="minorHAnsi" w:eastAsiaTheme="minorHAnsi" w:hAnsiTheme="minorHAnsi" w:cstheme="minorHAnsi"/>
                <w:b/>
                <w:bCs/>
                <w:sz w:val="18"/>
                <w:szCs w:val="18"/>
                <w:lang w:eastAsia="en-US"/>
              </w:rPr>
              <w:t>Improving</w:t>
            </w:r>
            <w:r w:rsidRPr="007C4D65">
              <w:rPr>
                <w:rFonts w:asciiTheme="minorHAnsi" w:eastAsiaTheme="minorHAnsi" w:hAnsiTheme="minorHAnsi" w:cstheme="minorHAnsi"/>
                <w:b/>
                <w:bCs/>
                <w:sz w:val="18"/>
                <w:szCs w:val="18"/>
                <w:lang w:eastAsia="en-US"/>
              </w:rPr>
              <w:t xml:space="preserve"> the legal framework and sector policies for planning, management and protection of environment in the Federation of BiH with the view of fully aligning the legislation with the EU environmental acquis and international agreements</w:t>
            </w:r>
          </w:p>
        </w:tc>
      </w:tr>
      <w:tr w:rsidR="00294BC1" w:rsidRPr="007C4D65" w14:paraId="03E57693" w14:textId="77777777" w:rsidTr="00B6017F">
        <w:trPr>
          <w:trHeight w:val="567"/>
        </w:trPr>
        <w:tc>
          <w:tcPr>
            <w:tcW w:w="1359" w:type="pct"/>
            <w:shd w:val="clear" w:color="auto" w:fill="009D73"/>
            <w:vAlign w:val="center"/>
          </w:tcPr>
          <w:p w14:paraId="62487AF3" w14:textId="77777777" w:rsidR="00294BC1" w:rsidRPr="007C4D65" w:rsidRDefault="00294BC1"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Measure</w:t>
            </w:r>
          </w:p>
        </w:tc>
        <w:tc>
          <w:tcPr>
            <w:tcW w:w="3641" w:type="pct"/>
            <w:gridSpan w:val="3"/>
            <w:shd w:val="clear" w:color="auto" w:fill="FFFFFF"/>
            <w:vAlign w:val="center"/>
          </w:tcPr>
          <w:p w14:paraId="11A1B690" w14:textId="52D90F0B" w:rsidR="00294BC1" w:rsidRPr="007C4D65" w:rsidRDefault="00294BC1" w:rsidP="00294BC1">
            <w:pPr>
              <w:spacing w:after="160" w:line="276" w:lineRule="auto"/>
              <w:rPr>
                <w:rFonts w:asciiTheme="minorHAnsi" w:eastAsia="Calibri" w:hAnsiTheme="minorHAnsi" w:cstheme="minorHAnsi"/>
                <w:b/>
                <w:sz w:val="18"/>
                <w:szCs w:val="18"/>
                <w:lang w:eastAsia="x-none"/>
              </w:rPr>
            </w:pPr>
            <w:r w:rsidRPr="007C4D65">
              <w:rPr>
                <w:rFonts w:asciiTheme="minorHAnsi" w:eastAsia="Calibri" w:hAnsiTheme="minorHAnsi" w:cstheme="minorHAnsi"/>
                <w:b/>
                <w:sz w:val="18"/>
                <w:szCs w:val="18"/>
                <w:lang w:eastAsia="x-none"/>
              </w:rPr>
              <w:t>7.1.2 Defining of environmental sanctions policy</w:t>
            </w:r>
            <w:r w:rsidRPr="007C4D65">
              <w:rPr>
                <w:rFonts w:asciiTheme="minorHAnsi" w:eastAsia="Calibri" w:hAnsiTheme="minorHAnsi" w:cstheme="minorHAnsi"/>
                <w:bCs/>
                <w:i/>
                <w:iCs/>
                <w:sz w:val="18"/>
                <w:szCs w:val="18"/>
                <w:u w:val="single"/>
                <w:lang w:eastAsia="x-none"/>
              </w:rPr>
              <w:t xml:space="preserve"> </w:t>
            </w:r>
          </w:p>
        </w:tc>
      </w:tr>
      <w:tr w:rsidR="00294BC1" w:rsidRPr="007C4D65" w14:paraId="42052CBC" w14:textId="77777777" w:rsidTr="00B6017F">
        <w:trPr>
          <w:trHeight w:val="567"/>
        </w:trPr>
        <w:tc>
          <w:tcPr>
            <w:tcW w:w="1359" w:type="pct"/>
            <w:shd w:val="clear" w:color="auto" w:fill="009D73"/>
            <w:vAlign w:val="center"/>
          </w:tcPr>
          <w:p w14:paraId="1502AB17" w14:textId="77777777" w:rsidR="00294BC1" w:rsidRPr="007C4D65" w:rsidRDefault="00294BC1" w:rsidP="00294BC1">
            <w:pPr>
              <w:spacing w:before="40" w:after="40" w:line="276" w:lineRule="auto"/>
              <w:ind w:left="406"/>
              <w:contextualSpacing/>
              <w:jc w:val="both"/>
              <w:rPr>
                <w:rFonts w:asciiTheme="minorHAnsi" w:eastAsia="Calibri" w:hAnsiTheme="minorHAnsi" w:cstheme="minorHAnsi"/>
                <w:sz w:val="18"/>
                <w:szCs w:val="18"/>
                <w:lang w:eastAsia="en-US"/>
              </w:rPr>
            </w:pPr>
            <w:r w:rsidRPr="007C4D65">
              <w:rPr>
                <w:rFonts w:asciiTheme="minorHAnsi" w:eastAsia="Calibri" w:hAnsiTheme="minorHAnsi" w:cstheme="minorHAnsi"/>
                <w:b/>
                <w:bCs/>
                <w:color w:val="FFFFFF"/>
                <w:sz w:val="18"/>
                <w:szCs w:val="18"/>
                <w:lang w:eastAsia="en-US" w:bidi="en-US"/>
              </w:rPr>
              <w:t>Description of the measure with the general area of intervention</w:t>
            </w:r>
          </w:p>
          <w:p w14:paraId="226A41FC" w14:textId="77777777" w:rsidR="00294BC1" w:rsidRPr="007C4D65" w:rsidRDefault="00294BC1"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3641" w:type="pct"/>
            <w:gridSpan w:val="3"/>
            <w:shd w:val="clear" w:color="auto" w:fill="FFFFFF"/>
            <w:vAlign w:val="center"/>
          </w:tcPr>
          <w:p w14:paraId="617235F7" w14:textId="348983AC" w:rsidR="00294BC1" w:rsidRPr="007C4D65" w:rsidRDefault="00294BC1" w:rsidP="00294BC1">
            <w:pPr>
              <w:spacing w:after="160" w:line="276" w:lineRule="auto"/>
              <w:jc w:val="both"/>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aim of this measure is to clearly define the environmental sanctions policy.</w:t>
            </w:r>
          </w:p>
          <w:p w14:paraId="758D2144" w14:textId="57CA2417" w:rsidR="00294BC1" w:rsidRPr="007C4D65" w:rsidRDefault="00294BC1" w:rsidP="00294BC1">
            <w:pPr>
              <w:spacing w:before="40" w:after="40" w:line="276" w:lineRule="auto"/>
              <w:rPr>
                <w:rFonts w:asciiTheme="minorHAnsi" w:eastAsia="Calibri" w:hAnsiTheme="minorHAnsi" w:cstheme="minorHAnsi"/>
                <w:sz w:val="18"/>
                <w:szCs w:val="18"/>
                <w:lang w:eastAsia="x-none"/>
              </w:rPr>
            </w:pPr>
            <w:r w:rsidRPr="007C4D65">
              <w:rPr>
                <w:rFonts w:asciiTheme="minorHAnsi" w:eastAsiaTheme="minorHAnsi" w:hAnsiTheme="minorHAnsi" w:cstheme="minorHAnsi"/>
                <w:sz w:val="18"/>
                <w:szCs w:val="18"/>
                <w:lang w:eastAsia="en-US"/>
              </w:rPr>
              <w:t xml:space="preserve">General areas of intervention </w:t>
            </w:r>
            <w:r w:rsidR="00700B32" w:rsidRPr="007C4D65">
              <w:rPr>
                <w:rFonts w:asciiTheme="minorHAnsi" w:eastAsiaTheme="minorHAnsi" w:hAnsiTheme="minorHAnsi" w:cstheme="minorHAnsi"/>
                <w:sz w:val="18"/>
                <w:szCs w:val="18"/>
                <w:lang w:eastAsia="en-US"/>
              </w:rPr>
              <w:t>include</w:t>
            </w:r>
            <w:r w:rsidRPr="007C4D65">
              <w:rPr>
                <w:rFonts w:asciiTheme="minorHAnsi" w:eastAsia="Calibri" w:hAnsiTheme="minorHAnsi" w:cstheme="minorHAnsi"/>
                <w:sz w:val="18"/>
                <w:szCs w:val="18"/>
                <w:lang w:eastAsia="x-none"/>
              </w:rPr>
              <w:t>:</w:t>
            </w:r>
          </w:p>
          <w:p w14:paraId="4242140E" w14:textId="54188961" w:rsidR="00294BC1" w:rsidRPr="007C4D65" w:rsidRDefault="00700B32">
            <w:pPr>
              <w:numPr>
                <w:ilvl w:val="0"/>
                <w:numId w:val="216"/>
              </w:numPr>
              <w:spacing w:before="40" w:after="40" w:line="276" w:lineRule="auto"/>
              <w:rPr>
                <w:rFonts w:asciiTheme="minorHAnsi" w:eastAsia="Calibri" w:hAnsiTheme="minorHAnsi" w:cstheme="minorHAnsi"/>
                <w:sz w:val="18"/>
                <w:szCs w:val="18"/>
                <w:lang w:eastAsia="x-none"/>
              </w:rPr>
            </w:pPr>
            <w:bookmarkStart w:id="318" w:name="_Hlk96508174"/>
            <w:r w:rsidRPr="007C4D65">
              <w:rPr>
                <w:rFonts w:asciiTheme="minorHAnsi" w:eastAsia="Calibri" w:hAnsiTheme="minorHAnsi" w:cstheme="minorHAnsi"/>
                <w:sz w:val="18"/>
                <w:szCs w:val="18"/>
                <w:lang w:eastAsia="x-none"/>
              </w:rPr>
              <w:t>Review of sanctions prescribed for minor environmental offences</w:t>
            </w:r>
            <w:r w:rsidR="00294BC1"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in</w:t>
            </w:r>
            <w:r w:rsidR="00294BC1" w:rsidRPr="007C4D65">
              <w:rPr>
                <w:rFonts w:asciiTheme="minorHAnsi" w:eastAsia="Calibri" w:hAnsiTheme="minorHAnsi" w:cstheme="minorHAnsi"/>
                <w:sz w:val="18"/>
                <w:szCs w:val="18"/>
                <w:lang w:eastAsia="x-none"/>
              </w:rPr>
              <w:t xml:space="preserve"> the </w:t>
            </w:r>
            <w:r w:rsidR="00294BC1" w:rsidRPr="007C4D65">
              <w:rPr>
                <w:rFonts w:asciiTheme="minorHAnsi" w:eastAsiaTheme="minorHAnsi" w:hAnsiTheme="minorHAnsi" w:cstheme="minorHAnsi"/>
                <w:sz w:val="18"/>
                <w:szCs w:val="18"/>
                <w:lang w:eastAsia="en-US"/>
              </w:rPr>
              <w:t>Law on Environmental Protection,</w:t>
            </w:r>
            <w:r w:rsidR="00294BC1"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including identification of necessary amendments in order to harmonise the law with</w:t>
            </w:r>
            <w:r w:rsidR="00294BC1" w:rsidRPr="007C4D65">
              <w:rPr>
                <w:rFonts w:asciiTheme="minorHAnsi" w:eastAsia="Calibri" w:hAnsiTheme="minorHAnsi" w:cstheme="minorHAnsi"/>
                <w:sz w:val="18"/>
                <w:szCs w:val="18"/>
                <w:lang w:eastAsia="x-none"/>
              </w:rPr>
              <w:t xml:space="preserve"> the criminal </w:t>
            </w:r>
            <w:proofErr w:type="gramStart"/>
            <w:r w:rsidR="00294BC1" w:rsidRPr="007C4D65">
              <w:rPr>
                <w:rFonts w:asciiTheme="minorHAnsi" w:eastAsia="Calibri" w:hAnsiTheme="minorHAnsi" w:cstheme="minorHAnsi"/>
                <w:sz w:val="18"/>
                <w:szCs w:val="18"/>
                <w:lang w:eastAsia="x-none"/>
              </w:rPr>
              <w:t>code</w:t>
            </w:r>
            <w:r w:rsidR="00EA23CE" w:rsidRPr="007C4D65">
              <w:rPr>
                <w:rFonts w:asciiTheme="minorHAnsi" w:eastAsia="Calibri" w:hAnsiTheme="minorHAnsi" w:cstheme="minorHAnsi"/>
                <w:sz w:val="18"/>
                <w:szCs w:val="18"/>
                <w:lang w:eastAsia="x-none"/>
              </w:rPr>
              <w:t>;</w:t>
            </w:r>
            <w:proofErr w:type="gramEnd"/>
          </w:p>
          <w:p w14:paraId="7C083BB8" w14:textId="3258A77D" w:rsidR="00294BC1" w:rsidRPr="007C4D65" w:rsidRDefault="00700B32">
            <w:pPr>
              <w:numPr>
                <w:ilvl w:val="0"/>
                <w:numId w:val="216"/>
              </w:numPr>
              <w:spacing w:before="40" w:after="40" w:line="276" w:lineRule="auto"/>
              <w:jc w:val="both"/>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Amend</w:t>
            </w:r>
            <w:r w:rsidR="00294BC1" w:rsidRPr="007C4D65">
              <w:rPr>
                <w:rFonts w:asciiTheme="minorHAnsi" w:eastAsia="Calibri" w:hAnsiTheme="minorHAnsi" w:cstheme="minorHAnsi"/>
                <w:sz w:val="18"/>
                <w:szCs w:val="18"/>
                <w:lang w:eastAsia="x-none"/>
              </w:rPr>
              <w:t xml:space="preserve"> the </w:t>
            </w:r>
            <w:r w:rsidR="00294BC1" w:rsidRPr="007C4D65">
              <w:rPr>
                <w:rFonts w:asciiTheme="minorHAnsi" w:eastAsiaTheme="minorHAnsi" w:hAnsiTheme="minorHAnsi" w:cstheme="minorHAnsi"/>
                <w:sz w:val="18"/>
                <w:szCs w:val="18"/>
                <w:lang w:eastAsia="en-US"/>
              </w:rPr>
              <w:t xml:space="preserve">Law on Environmental Protection </w:t>
            </w:r>
            <w:r w:rsidRPr="007C4D65">
              <w:rPr>
                <w:rFonts w:asciiTheme="minorHAnsi" w:eastAsiaTheme="minorHAnsi" w:hAnsiTheme="minorHAnsi" w:cstheme="minorHAnsi"/>
                <w:sz w:val="18"/>
                <w:szCs w:val="18"/>
                <w:lang w:eastAsia="en-US"/>
              </w:rPr>
              <w:t>to include a requirement for adoption of a</w:t>
            </w:r>
            <w:r w:rsidR="00294BC1" w:rsidRPr="007C4D65">
              <w:rPr>
                <w:rFonts w:asciiTheme="minorHAnsi" w:eastAsiaTheme="minorHAnsi" w:hAnsiTheme="minorHAnsi" w:cstheme="minorHAnsi"/>
                <w:sz w:val="18"/>
                <w:szCs w:val="18"/>
                <w:lang w:eastAsia="en-US"/>
              </w:rPr>
              <w:t xml:space="preserve"> </w:t>
            </w:r>
            <w:r w:rsidR="00B80FAD" w:rsidRPr="007C4D65">
              <w:rPr>
                <w:rFonts w:asciiTheme="minorHAnsi" w:eastAsiaTheme="minorHAnsi" w:hAnsiTheme="minorHAnsi" w:cstheme="minorHAnsi"/>
                <w:sz w:val="18"/>
                <w:szCs w:val="18"/>
                <w:lang w:eastAsia="en-US"/>
              </w:rPr>
              <w:t>bylaw</w:t>
            </w:r>
            <w:r w:rsidR="00294BC1" w:rsidRPr="007C4D65">
              <w:rPr>
                <w:rFonts w:asciiTheme="minorHAnsi" w:eastAsiaTheme="minorHAnsi" w:hAnsiTheme="minorHAnsi" w:cstheme="minorHAnsi"/>
                <w:sz w:val="18"/>
                <w:szCs w:val="18"/>
                <w:lang w:eastAsia="en-US"/>
              </w:rPr>
              <w:t xml:space="preserve"> which </w:t>
            </w:r>
            <w:r w:rsidRPr="007C4D65">
              <w:rPr>
                <w:rFonts w:asciiTheme="minorHAnsi" w:eastAsiaTheme="minorHAnsi" w:hAnsiTheme="minorHAnsi" w:cstheme="minorHAnsi"/>
                <w:sz w:val="18"/>
                <w:szCs w:val="18"/>
                <w:lang w:eastAsia="en-US"/>
              </w:rPr>
              <w:t xml:space="preserve">should </w:t>
            </w:r>
            <w:r w:rsidR="00294BC1" w:rsidRPr="007C4D65">
              <w:rPr>
                <w:rFonts w:asciiTheme="minorHAnsi" w:eastAsiaTheme="minorHAnsi" w:hAnsiTheme="minorHAnsi" w:cstheme="minorHAnsi"/>
                <w:sz w:val="18"/>
                <w:szCs w:val="18"/>
                <w:lang w:eastAsia="en-US"/>
              </w:rPr>
              <w:t xml:space="preserve">transpose </w:t>
            </w:r>
            <w:r w:rsidRPr="007C4D65">
              <w:rPr>
                <w:rFonts w:asciiTheme="minorHAnsi" w:eastAsiaTheme="minorHAnsi" w:hAnsiTheme="minorHAnsi" w:cstheme="minorHAnsi"/>
                <w:sz w:val="18"/>
                <w:szCs w:val="18"/>
                <w:lang w:eastAsia="en-US"/>
              </w:rPr>
              <w:t>Directive</w:t>
            </w:r>
            <w:r w:rsidR="00294BC1" w:rsidRPr="007C4D65">
              <w:rPr>
                <w:rFonts w:asciiTheme="minorHAnsi" w:eastAsia="Calibri" w:hAnsiTheme="minorHAnsi" w:cstheme="minorHAnsi"/>
                <w:sz w:val="18"/>
                <w:szCs w:val="18"/>
                <w:lang w:eastAsia="x-none"/>
              </w:rPr>
              <w:t xml:space="preserve"> 2004/35/EC </w:t>
            </w:r>
            <w:r w:rsidR="00294BC1" w:rsidRPr="007C4D65">
              <w:rPr>
                <w:rFonts w:asciiTheme="minorHAnsi" w:eastAsiaTheme="minorHAnsi" w:hAnsiTheme="minorHAnsi" w:cstheme="minorHAnsi"/>
                <w:sz w:val="18"/>
                <w:szCs w:val="18"/>
                <w:shd w:val="clear" w:color="auto" w:fill="FFFFFF"/>
                <w:lang w:eastAsia="en-US"/>
              </w:rPr>
              <w:t>on environmental liability with regard to the prevention and remedying of environmental damage</w:t>
            </w:r>
            <w:r w:rsidRPr="007C4D65">
              <w:rPr>
                <w:rFonts w:asciiTheme="minorHAnsi" w:eastAsiaTheme="minorHAnsi" w:hAnsiTheme="minorHAnsi" w:cstheme="minorHAnsi"/>
                <w:sz w:val="18"/>
                <w:szCs w:val="18"/>
                <w:shd w:val="clear" w:color="auto" w:fill="FFFFFF"/>
                <w:lang w:eastAsia="en-US"/>
              </w:rPr>
              <w:t>,</w:t>
            </w:r>
            <w:r w:rsidR="00294BC1" w:rsidRPr="007C4D65">
              <w:rPr>
                <w:rFonts w:asciiTheme="minorHAnsi" w:eastAsiaTheme="minorHAnsi" w:hAnsiTheme="minorHAnsi" w:cstheme="minorHAnsi"/>
                <w:sz w:val="18"/>
                <w:szCs w:val="18"/>
                <w:shd w:val="clear" w:color="auto" w:fill="FFFFFF"/>
                <w:lang w:eastAsia="en-US"/>
              </w:rPr>
              <w:t xml:space="preserve"> and </w:t>
            </w:r>
            <w:r w:rsidR="00294BC1" w:rsidRPr="007C4D65">
              <w:rPr>
                <w:rFonts w:asciiTheme="minorHAnsi" w:eastAsiaTheme="minorHAnsi" w:hAnsiTheme="minorHAnsi" w:cstheme="minorHAnsi"/>
                <w:sz w:val="18"/>
                <w:szCs w:val="18"/>
                <w:shd w:val="clear" w:color="auto" w:fill="FFFFFF"/>
                <w:lang w:eastAsia="en-US"/>
              </w:rPr>
              <w:lastRenderedPageBreak/>
              <w:t xml:space="preserve">Commission Notice-Guidelines on agreement on the term ”environmental damage” as defined in Article 2 of the </w:t>
            </w:r>
            <w:r w:rsidR="00294BC1" w:rsidRPr="007C4D65">
              <w:rPr>
                <w:rFonts w:asciiTheme="minorHAnsi" w:eastAsiaTheme="minorHAnsi" w:hAnsiTheme="minorHAnsi" w:cstheme="minorHAnsi"/>
                <w:sz w:val="18"/>
                <w:szCs w:val="18"/>
                <w:lang w:eastAsia="en-US"/>
              </w:rPr>
              <w:t>Directive 2004/35/EC</w:t>
            </w:r>
            <w:r w:rsidR="00294BC1" w:rsidRPr="007C4D65">
              <w:rPr>
                <w:rFonts w:asciiTheme="minorHAnsi" w:eastAsiaTheme="minorHAnsi" w:hAnsiTheme="minorHAnsi" w:cstheme="minorHAnsi"/>
                <w:color w:val="444444"/>
                <w:sz w:val="18"/>
                <w:szCs w:val="18"/>
                <w:shd w:val="clear" w:color="auto" w:fill="FFFFFF"/>
                <w:lang w:eastAsia="en-US"/>
              </w:rPr>
              <w:t xml:space="preserve"> </w:t>
            </w:r>
            <w:r w:rsidR="00294BC1" w:rsidRPr="007C4D65">
              <w:rPr>
                <w:rFonts w:asciiTheme="minorHAnsi" w:eastAsiaTheme="minorHAnsi" w:hAnsiTheme="minorHAnsi" w:cstheme="minorHAnsi"/>
                <w:sz w:val="18"/>
                <w:szCs w:val="18"/>
                <w:shd w:val="clear" w:color="auto" w:fill="FFFFFF"/>
                <w:lang w:eastAsia="en-US"/>
              </w:rPr>
              <w:t>of the European Parliament and of the Council</w:t>
            </w:r>
            <w:r w:rsidR="00294BC1" w:rsidRPr="007C4D65">
              <w:rPr>
                <w:rFonts w:asciiTheme="minorHAnsi" w:eastAsiaTheme="minorHAnsi" w:hAnsiTheme="minorHAnsi" w:cstheme="minorHAnsi"/>
                <w:sz w:val="18"/>
                <w:szCs w:val="18"/>
                <w:lang w:eastAsia="en-US"/>
              </w:rPr>
              <w:t xml:space="preserve"> on </w:t>
            </w:r>
            <w:r w:rsidR="00294BC1" w:rsidRPr="007C4D65">
              <w:rPr>
                <w:rFonts w:asciiTheme="minorHAnsi" w:eastAsiaTheme="minorHAnsi" w:hAnsiTheme="minorHAnsi" w:cstheme="minorHAnsi"/>
                <w:sz w:val="18"/>
                <w:szCs w:val="18"/>
                <w:shd w:val="clear" w:color="auto" w:fill="FFFFFF"/>
                <w:lang w:eastAsia="en-US"/>
              </w:rPr>
              <w:t>environmental liability</w:t>
            </w:r>
            <w:r w:rsidR="00294BC1" w:rsidRPr="007C4D65">
              <w:rPr>
                <w:rFonts w:asciiTheme="minorHAnsi" w:eastAsia="Calibri" w:hAnsiTheme="minorHAnsi" w:cstheme="minorHAnsi"/>
                <w:sz w:val="18"/>
                <w:szCs w:val="18"/>
                <w:lang w:eastAsia="x-none"/>
              </w:rPr>
              <w:t xml:space="preserve"> </w:t>
            </w:r>
            <w:r w:rsidR="00294BC1" w:rsidRPr="007C4D65">
              <w:rPr>
                <w:rFonts w:asciiTheme="minorHAnsi" w:eastAsiaTheme="minorHAnsi" w:hAnsiTheme="minorHAnsi" w:cstheme="minorHAnsi"/>
                <w:sz w:val="18"/>
                <w:szCs w:val="18"/>
                <w:shd w:val="clear" w:color="auto" w:fill="FFFFFF"/>
                <w:lang w:eastAsia="en-US"/>
              </w:rPr>
              <w:t>with regard to the prevention and remedying of environmental damage</w:t>
            </w:r>
            <w:r w:rsidR="00294BC1" w:rsidRPr="007C4D65">
              <w:rPr>
                <w:rFonts w:asciiTheme="minorHAnsi" w:eastAsia="Calibri" w:hAnsiTheme="minorHAnsi" w:cstheme="minorHAnsi"/>
                <w:sz w:val="18"/>
                <w:szCs w:val="18"/>
                <w:lang w:eastAsia="x-none"/>
              </w:rPr>
              <w:t xml:space="preserve"> (2021/C 118/01)</w:t>
            </w:r>
            <w:r w:rsidR="00EA23CE" w:rsidRPr="007C4D65">
              <w:rPr>
                <w:rFonts w:asciiTheme="minorHAnsi" w:eastAsia="Calibri" w:hAnsiTheme="minorHAnsi" w:cstheme="minorHAnsi"/>
                <w:sz w:val="18"/>
                <w:szCs w:val="18"/>
                <w:lang w:eastAsia="x-none"/>
              </w:rPr>
              <w:t>;</w:t>
            </w:r>
          </w:p>
          <w:p w14:paraId="61B042F2" w14:textId="10586BAA" w:rsidR="00294BC1" w:rsidRPr="007C4D65" w:rsidRDefault="00294BC1" w:rsidP="00EA23CE">
            <w:pPr>
              <w:numPr>
                <w:ilvl w:val="0"/>
                <w:numId w:val="216"/>
              </w:numPr>
              <w:spacing w:before="40" w:after="40" w:line="276" w:lineRule="auto"/>
              <w:ind w:left="360"/>
              <w:jc w:val="both"/>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Def</w:t>
            </w:r>
            <w:r w:rsidR="00700B32" w:rsidRPr="007C4D65">
              <w:rPr>
                <w:rFonts w:asciiTheme="minorHAnsi" w:eastAsia="Calibri" w:hAnsiTheme="minorHAnsi" w:cstheme="minorHAnsi"/>
                <w:sz w:val="18"/>
                <w:szCs w:val="18"/>
                <w:lang w:eastAsia="x-none"/>
              </w:rPr>
              <w:t>ine the</w:t>
            </w:r>
            <w:r w:rsidRPr="007C4D65">
              <w:rPr>
                <w:rFonts w:asciiTheme="minorHAnsi" w:eastAsia="Calibri" w:hAnsiTheme="minorHAnsi" w:cstheme="minorHAnsi"/>
                <w:sz w:val="18"/>
                <w:szCs w:val="18"/>
                <w:lang w:eastAsia="x-none"/>
              </w:rPr>
              <w:t xml:space="preserve"> remedies in the Criminal Code </w:t>
            </w:r>
            <w:r w:rsidR="007436F1" w:rsidRPr="007C4D65">
              <w:rPr>
                <w:rFonts w:asciiTheme="minorHAnsi" w:eastAsia="Calibri" w:hAnsiTheme="minorHAnsi" w:cstheme="minorHAnsi"/>
                <w:sz w:val="18"/>
                <w:szCs w:val="18"/>
                <w:lang w:eastAsia="x-none"/>
              </w:rPr>
              <w:t>of the Federation of BiH</w:t>
            </w:r>
            <w:r w:rsidRPr="007C4D65">
              <w:rPr>
                <w:rFonts w:asciiTheme="minorHAnsi" w:eastAsia="Calibri" w:hAnsiTheme="minorHAnsi" w:cstheme="minorHAnsi"/>
                <w:sz w:val="18"/>
                <w:szCs w:val="18"/>
                <w:lang w:eastAsia="x-none"/>
              </w:rPr>
              <w:t xml:space="preserve"> </w:t>
            </w:r>
            <w:r w:rsidR="00700B32" w:rsidRPr="007C4D65">
              <w:rPr>
                <w:rFonts w:asciiTheme="minorHAnsi" w:eastAsia="Calibri" w:hAnsiTheme="minorHAnsi" w:cstheme="minorHAnsi"/>
                <w:sz w:val="18"/>
                <w:szCs w:val="18"/>
                <w:lang w:eastAsia="x-none"/>
              </w:rPr>
              <w:t>for</w:t>
            </w:r>
            <w:r w:rsidRPr="007C4D65">
              <w:rPr>
                <w:rFonts w:asciiTheme="minorHAnsi" w:eastAsia="Calibri" w:hAnsiTheme="minorHAnsi" w:cstheme="minorHAnsi"/>
                <w:sz w:val="18"/>
                <w:szCs w:val="18"/>
                <w:lang w:eastAsia="x-none"/>
              </w:rPr>
              <w:t xml:space="preserve"> environmental damage</w:t>
            </w:r>
            <w:bookmarkEnd w:id="318"/>
            <w:r w:rsidR="00EA23CE" w:rsidRPr="007C4D65">
              <w:rPr>
                <w:rFonts w:asciiTheme="minorHAnsi" w:eastAsia="Calibri" w:hAnsiTheme="minorHAnsi" w:cstheme="minorHAnsi"/>
                <w:sz w:val="18"/>
                <w:szCs w:val="18"/>
                <w:lang w:eastAsia="x-none"/>
              </w:rPr>
              <w:t>.</w:t>
            </w:r>
          </w:p>
        </w:tc>
      </w:tr>
      <w:tr w:rsidR="00294BC1" w:rsidRPr="007C4D65" w14:paraId="56603325" w14:textId="77777777" w:rsidTr="00B6017F">
        <w:trPr>
          <w:trHeight w:val="567"/>
        </w:trPr>
        <w:tc>
          <w:tcPr>
            <w:tcW w:w="1359" w:type="pct"/>
            <w:shd w:val="clear" w:color="auto" w:fill="009D73"/>
            <w:vAlign w:val="center"/>
          </w:tcPr>
          <w:p w14:paraId="5B91F493" w14:textId="77777777" w:rsidR="00294BC1" w:rsidRPr="007C4D65" w:rsidRDefault="00294BC1"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Strategic projects</w:t>
            </w:r>
          </w:p>
        </w:tc>
        <w:tc>
          <w:tcPr>
            <w:tcW w:w="3641" w:type="pct"/>
            <w:gridSpan w:val="3"/>
            <w:shd w:val="clear" w:color="auto" w:fill="FFFFFF" w:themeFill="background1"/>
            <w:vAlign w:val="center"/>
          </w:tcPr>
          <w:p w14:paraId="096081CC" w14:textId="77777777" w:rsidR="00294BC1" w:rsidRPr="007C4D65" w:rsidRDefault="00294BC1" w:rsidP="00294BC1">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294BC1" w:rsidRPr="007C4D65" w14:paraId="380795B8" w14:textId="77777777" w:rsidTr="00B6017F">
        <w:trPr>
          <w:trHeight w:val="567"/>
        </w:trPr>
        <w:tc>
          <w:tcPr>
            <w:tcW w:w="1359" w:type="pct"/>
            <w:vMerge w:val="restart"/>
            <w:shd w:val="clear" w:color="auto" w:fill="009D73"/>
            <w:vAlign w:val="center"/>
          </w:tcPr>
          <w:p w14:paraId="4396E995" w14:textId="77777777" w:rsidR="00294BC1" w:rsidRPr="007C4D65" w:rsidRDefault="00294BC1"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F8BDC7D" w14:textId="77777777" w:rsidR="00294BC1" w:rsidRPr="007C4D65" w:rsidRDefault="00294BC1" w:rsidP="00294BC1">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03965558" w14:textId="77777777" w:rsidR="00294BC1" w:rsidRPr="007C4D65" w:rsidRDefault="00294BC1" w:rsidP="00294BC1">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954D1B5" w14:textId="77777777" w:rsidR="00294BC1" w:rsidRPr="007C4D65" w:rsidRDefault="00294BC1" w:rsidP="00294BC1">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05FDE433" w14:textId="77777777" w:rsidR="00294BC1" w:rsidRPr="007C4D65" w:rsidRDefault="00294BC1" w:rsidP="00294BC1">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8282B07" w14:textId="77777777" w:rsidR="00294BC1" w:rsidRPr="007C4D65" w:rsidRDefault="00294BC1" w:rsidP="00294BC1">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value</w:t>
            </w:r>
          </w:p>
        </w:tc>
      </w:tr>
      <w:tr w:rsidR="00294BC1" w:rsidRPr="007C4D65" w14:paraId="3CEA9365" w14:textId="77777777" w:rsidTr="00B6017F">
        <w:trPr>
          <w:trHeight w:val="567"/>
        </w:trPr>
        <w:tc>
          <w:tcPr>
            <w:tcW w:w="1359" w:type="pct"/>
            <w:vMerge/>
            <w:shd w:val="clear" w:color="auto" w:fill="009D73"/>
            <w:vAlign w:val="center"/>
          </w:tcPr>
          <w:p w14:paraId="16077628" w14:textId="77777777" w:rsidR="00294BC1" w:rsidRPr="007C4D65" w:rsidRDefault="00294BC1"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374CACDB" w14:textId="1E3EFCEC" w:rsidR="00294BC1" w:rsidRPr="007C4D65" w:rsidRDefault="00294BC1">
            <w:pPr>
              <w:numPr>
                <w:ilvl w:val="0"/>
                <w:numId w:val="217"/>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Analysis of alignment of the Law on Environmental Protection and Criminal Code of</w:t>
            </w:r>
            <w:r w:rsidR="00227D11" w:rsidRPr="007C4D65">
              <w:rPr>
                <w:rFonts w:asciiTheme="minorHAnsi" w:eastAsia="Calibri" w:hAnsiTheme="minorHAnsi" w:cstheme="minorHAnsi"/>
                <w:sz w:val="18"/>
                <w:szCs w:val="18"/>
                <w:lang w:eastAsia="x-none"/>
              </w:rPr>
              <w:t xml:space="preserve"> the Federation of </w:t>
            </w:r>
            <w:r w:rsidRPr="007C4D65">
              <w:rPr>
                <w:rFonts w:asciiTheme="minorHAnsi" w:eastAsia="Calibri" w:hAnsiTheme="minorHAnsi" w:cstheme="minorHAnsi"/>
                <w:sz w:val="18"/>
                <w:szCs w:val="18"/>
                <w:lang w:eastAsia="x-none"/>
              </w:rPr>
              <w:t>BiH with the EU Directives</w:t>
            </w:r>
          </w:p>
        </w:tc>
        <w:tc>
          <w:tcPr>
            <w:tcW w:w="1243" w:type="pct"/>
            <w:shd w:val="clear" w:color="auto" w:fill="FFFFFF"/>
            <w:vAlign w:val="center"/>
          </w:tcPr>
          <w:p w14:paraId="13901C9C" w14:textId="77777777" w:rsidR="00294BC1" w:rsidRPr="007C4D65" w:rsidRDefault="00294BC1" w:rsidP="00294BC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w:t>
            </w:r>
          </w:p>
        </w:tc>
        <w:tc>
          <w:tcPr>
            <w:tcW w:w="1059" w:type="pct"/>
            <w:shd w:val="clear" w:color="auto" w:fill="FFFFFF"/>
            <w:vAlign w:val="center"/>
          </w:tcPr>
          <w:p w14:paraId="7A9839B3" w14:textId="1291BC8B" w:rsidR="00294BC1" w:rsidRPr="007C4D65" w:rsidRDefault="00700B32" w:rsidP="00EA23CE">
            <w:pPr>
              <w:spacing w:before="40" w:after="40" w:line="276" w:lineRule="auto"/>
              <w:jc w:val="both"/>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 xml:space="preserve">Gaps in </w:t>
            </w:r>
            <w:r w:rsidR="00294BC1" w:rsidRPr="007C4D65">
              <w:rPr>
                <w:rFonts w:asciiTheme="minorHAnsi" w:eastAsia="Calibri" w:hAnsiTheme="minorHAnsi" w:cstheme="minorHAnsi"/>
                <w:sz w:val="18"/>
                <w:szCs w:val="18"/>
                <w:lang w:eastAsia="x-none"/>
              </w:rPr>
              <w:t xml:space="preserve">the </w:t>
            </w:r>
            <w:r w:rsidR="00294BC1" w:rsidRPr="007C4D65">
              <w:rPr>
                <w:rFonts w:asciiTheme="minorHAnsi" w:eastAsia="Calibri" w:hAnsiTheme="minorHAnsi" w:cstheme="minorHAnsi"/>
                <w:sz w:val="18"/>
                <w:szCs w:val="18"/>
                <w:lang w:eastAsia="en-US"/>
              </w:rPr>
              <w:t xml:space="preserve">Law on Environmental Protection and </w:t>
            </w:r>
            <w:r w:rsidRPr="007C4D65">
              <w:rPr>
                <w:rFonts w:asciiTheme="minorHAnsi" w:eastAsia="Calibri" w:hAnsiTheme="minorHAnsi" w:cstheme="minorHAnsi"/>
                <w:sz w:val="18"/>
                <w:szCs w:val="18"/>
                <w:lang w:eastAsia="en-US"/>
              </w:rPr>
              <w:t xml:space="preserve">amendments required to harmonise the law </w:t>
            </w:r>
            <w:proofErr w:type="gramStart"/>
            <w:r w:rsidRPr="007C4D65">
              <w:rPr>
                <w:rFonts w:asciiTheme="minorHAnsi" w:eastAsia="Calibri" w:hAnsiTheme="minorHAnsi" w:cstheme="minorHAnsi"/>
                <w:sz w:val="18"/>
                <w:szCs w:val="18"/>
                <w:lang w:eastAsia="en-US"/>
              </w:rPr>
              <w:t xml:space="preserve">with </w:t>
            </w:r>
            <w:r w:rsidR="00294BC1" w:rsidRPr="007C4D65">
              <w:rPr>
                <w:rFonts w:asciiTheme="minorHAnsi" w:eastAsia="Calibri" w:hAnsiTheme="minorHAnsi" w:cstheme="minorHAnsi"/>
                <w:sz w:val="18"/>
                <w:szCs w:val="18"/>
                <w:lang w:eastAsia="en-US"/>
              </w:rPr>
              <w:t xml:space="preserve"> </w:t>
            </w:r>
            <w:r w:rsidR="00294BC1" w:rsidRPr="007C4D65">
              <w:rPr>
                <w:rFonts w:asciiTheme="minorHAnsi" w:eastAsia="Calibri" w:hAnsiTheme="minorHAnsi" w:cstheme="minorHAnsi"/>
                <w:sz w:val="18"/>
                <w:szCs w:val="18"/>
                <w:lang w:eastAsia="x-none"/>
              </w:rPr>
              <w:t>Criminal</w:t>
            </w:r>
            <w:proofErr w:type="gramEnd"/>
            <w:r w:rsidR="00294BC1" w:rsidRPr="007C4D65">
              <w:rPr>
                <w:rFonts w:asciiTheme="minorHAnsi" w:eastAsia="Calibri" w:hAnsiTheme="minorHAnsi" w:cstheme="minorHAnsi"/>
                <w:sz w:val="18"/>
                <w:szCs w:val="18"/>
                <w:lang w:eastAsia="x-none"/>
              </w:rPr>
              <w:t xml:space="preserve"> Code are defined</w:t>
            </w:r>
            <w:r w:rsidR="00EA23CE" w:rsidRPr="007C4D65">
              <w:rPr>
                <w:rFonts w:asciiTheme="minorHAnsi" w:eastAsia="Calibri" w:hAnsiTheme="minorHAnsi" w:cstheme="minorHAnsi"/>
                <w:sz w:val="18"/>
                <w:szCs w:val="18"/>
                <w:lang w:eastAsia="x-none"/>
              </w:rPr>
              <w:t xml:space="preserve"> </w:t>
            </w:r>
            <w:r w:rsidR="00294BC1" w:rsidRPr="007C4D65">
              <w:rPr>
                <w:rFonts w:asciiTheme="minorHAnsi" w:eastAsia="Calibri" w:hAnsiTheme="minorHAnsi" w:cstheme="minorHAnsi"/>
                <w:sz w:val="18"/>
                <w:szCs w:val="18"/>
                <w:lang w:eastAsia="x-none"/>
              </w:rPr>
              <w:t>(2023)</w:t>
            </w:r>
          </w:p>
        </w:tc>
      </w:tr>
      <w:tr w:rsidR="00294BC1" w:rsidRPr="007C4D65" w14:paraId="352658B0" w14:textId="77777777" w:rsidTr="00B6017F">
        <w:trPr>
          <w:trHeight w:val="567"/>
        </w:trPr>
        <w:tc>
          <w:tcPr>
            <w:tcW w:w="1359" w:type="pct"/>
            <w:vMerge/>
            <w:shd w:val="clear" w:color="auto" w:fill="009D73"/>
            <w:vAlign w:val="center"/>
          </w:tcPr>
          <w:p w14:paraId="0E255DD7" w14:textId="77777777" w:rsidR="00294BC1" w:rsidRPr="007C4D65" w:rsidRDefault="00294BC1"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4A8DB3E8" w14:textId="77777777" w:rsidR="00294BC1" w:rsidRPr="007C4D65" w:rsidRDefault="00294BC1">
            <w:pPr>
              <w:numPr>
                <w:ilvl w:val="0"/>
                <w:numId w:val="217"/>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Status of amendments to the Law on Environmental Protection</w:t>
            </w:r>
          </w:p>
        </w:tc>
        <w:tc>
          <w:tcPr>
            <w:tcW w:w="1243" w:type="pct"/>
            <w:shd w:val="clear" w:color="auto" w:fill="FFFFFF"/>
            <w:vAlign w:val="center"/>
          </w:tcPr>
          <w:p w14:paraId="393BAAF7" w14:textId="77777777" w:rsidR="00294BC1" w:rsidRPr="007C4D65" w:rsidRDefault="00294BC1" w:rsidP="00294BC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w:t>
            </w:r>
          </w:p>
        </w:tc>
        <w:tc>
          <w:tcPr>
            <w:tcW w:w="1059" w:type="pct"/>
            <w:shd w:val="clear" w:color="auto" w:fill="FFFFFF"/>
            <w:vAlign w:val="center"/>
          </w:tcPr>
          <w:p w14:paraId="411A9DD9" w14:textId="5C2FD668" w:rsidR="00294BC1" w:rsidRPr="007C4D65" w:rsidRDefault="00294BC1" w:rsidP="00294BC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Amendments</w:t>
            </w:r>
            <w:r w:rsidRPr="007C4D65">
              <w:rPr>
                <w:rFonts w:asciiTheme="minorHAnsi" w:eastAsiaTheme="minorHAnsi" w:hAnsiTheme="minorHAnsi" w:cstheme="minorHAnsi"/>
                <w:sz w:val="18"/>
                <w:szCs w:val="18"/>
                <w:lang w:eastAsia="en-US" w:bidi="en-US"/>
              </w:rPr>
              <w:t xml:space="preserve"> adopted (2025)</w:t>
            </w:r>
          </w:p>
        </w:tc>
      </w:tr>
      <w:tr w:rsidR="00294BC1" w:rsidRPr="007C4D65" w14:paraId="590FF9F3" w14:textId="77777777" w:rsidTr="00B6017F">
        <w:trPr>
          <w:trHeight w:val="567"/>
        </w:trPr>
        <w:tc>
          <w:tcPr>
            <w:tcW w:w="1359" w:type="pct"/>
            <w:vMerge/>
            <w:shd w:val="clear" w:color="auto" w:fill="009D73"/>
            <w:vAlign w:val="center"/>
          </w:tcPr>
          <w:p w14:paraId="1B251D06" w14:textId="77777777" w:rsidR="00294BC1" w:rsidRPr="007C4D65" w:rsidRDefault="00294BC1"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79D734C9" w14:textId="76091417" w:rsidR="00294BC1" w:rsidRPr="007C4D65" w:rsidRDefault="00294BC1">
            <w:pPr>
              <w:numPr>
                <w:ilvl w:val="0"/>
                <w:numId w:val="217"/>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Status of amendments to the Criminal Code of </w:t>
            </w:r>
            <w:r w:rsidR="00227D11" w:rsidRPr="007C4D65">
              <w:rPr>
                <w:rFonts w:asciiTheme="minorHAnsi" w:eastAsia="Calibri" w:hAnsiTheme="minorHAnsi" w:cstheme="minorHAnsi"/>
                <w:sz w:val="18"/>
                <w:szCs w:val="18"/>
                <w:lang w:eastAsia="x-none"/>
              </w:rPr>
              <w:t>the Federation of BiH</w:t>
            </w:r>
          </w:p>
        </w:tc>
        <w:tc>
          <w:tcPr>
            <w:tcW w:w="1243" w:type="pct"/>
            <w:shd w:val="clear" w:color="auto" w:fill="FFFFFF"/>
            <w:vAlign w:val="center"/>
          </w:tcPr>
          <w:p w14:paraId="5010F968" w14:textId="77777777" w:rsidR="00294BC1" w:rsidRPr="007C4D65" w:rsidRDefault="00294BC1" w:rsidP="00294BC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w:t>
            </w:r>
          </w:p>
        </w:tc>
        <w:tc>
          <w:tcPr>
            <w:tcW w:w="1059" w:type="pct"/>
            <w:shd w:val="clear" w:color="auto" w:fill="FFFFFF"/>
            <w:vAlign w:val="center"/>
          </w:tcPr>
          <w:p w14:paraId="363CE452" w14:textId="32413258" w:rsidR="00294BC1" w:rsidRPr="007C4D65" w:rsidRDefault="00294BC1" w:rsidP="00294BC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Amendments adopted (2027)</w:t>
            </w:r>
          </w:p>
        </w:tc>
      </w:tr>
      <w:tr w:rsidR="00294BC1" w:rsidRPr="007C4D65" w14:paraId="18E39008" w14:textId="77777777" w:rsidTr="00B6017F">
        <w:trPr>
          <w:trHeight w:val="567"/>
        </w:trPr>
        <w:tc>
          <w:tcPr>
            <w:tcW w:w="1359" w:type="pct"/>
            <w:shd w:val="clear" w:color="auto" w:fill="009D73"/>
            <w:vAlign w:val="center"/>
          </w:tcPr>
          <w:p w14:paraId="54F4C926" w14:textId="77777777" w:rsidR="00294BC1" w:rsidRPr="007C4D65" w:rsidRDefault="00294BC1"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shd w:val="clear" w:color="auto" w:fill="FFFFFF"/>
            <w:vAlign w:val="center"/>
          </w:tcPr>
          <w:p w14:paraId="4DD5A9E5" w14:textId="6186D3B9" w:rsidR="00294BC1" w:rsidRPr="007C4D65" w:rsidRDefault="00852923" w:rsidP="00294BC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environmental management and prevention of environmental damage, and increased public awareness</w:t>
            </w:r>
          </w:p>
        </w:tc>
      </w:tr>
      <w:tr w:rsidR="00294BC1" w:rsidRPr="007C4D65" w14:paraId="31BD4BD5"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D195493" w14:textId="5381FF4C" w:rsidR="00294BC1" w:rsidRPr="007C4D65" w:rsidRDefault="00963086"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r w:rsidR="00294BC1" w:rsidRPr="007C4D65">
              <w:rPr>
                <w:rFonts w:asciiTheme="minorHAnsi" w:eastAsiaTheme="minorHAnsi" w:hAnsiTheme="minorHAnsi" w:cstheme="minorHAnsi"/>
                <w:b/>
                <w:color w:val="FFFFFF" w:themeColor="background1"/>
                <w:sz w:val="18"/>
                <w:szCs w:val="18"/>
                <w:lang w:eastAsia="en-US"/>
              </w:rPr>
              <w:t xml:space="preserve"> </w:t>
            </w:r>
          </w:p>
        </w:tc>
        <w:tc>
          <w:tcPr>
            <w:tcW w:w="3641" w:type="pct"/>
            <w:gridSpan w:val="3"/>
            <w:shd w:val="clear" w:color="auto" w:fill="FFFFFF"/>
            <w:vAlign w:val="center"/>
          </w:tcPr>
          <w:p w14:paraId="6BB262F9" w14:textId="084A1FB4" w:rsidR="00EA23CE" w:rsidRPr="007C4D65" w:rsidRDefault="00C224E3" w:rsidP="00EA23CE">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 xml:space="preserve">Amount: </w:t>
            </w:r>
            <w:r w:rsidR="00852923" w:rsidRPr="007C4D65">
              <w:rPr>
                <w:rFonts w:asciiTheme="minorHAnsi" w:hAnsiTheme="minorHAnsi" w:cstheme="minorHAnsi"/>
                <w:sz w:val="18"/>
                <w:szCs w:val="18"/>
                <w:lang w:bidi="en-US"/>
              </w:rPr>
              <w:t>BAM 94,111</w:t>
            </w:r>
          </w:p>
          <w:p w14:paraId="7FCE8B27" w14:textId="6199FE01" w:rsidR="00294BC1" w:rsidRPr="007C4D65" w:rsidRDefault="009E6B20" w:rsidP="00EA23CE">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bidi="en-US"/>
              </w:rPr>
              <w:t xml:space="preserve">Source: </w:t>
            </w:r>
            <w:r w:rsidR="00852923" w:rsidRPr="007C4D65">
              <w:rPr>
                <w:rFonts w:asciiTheme="minorHAnsi" w:hAnsiTheme="minorHAnsi" w:cstheme="minorHAnsi"/>
                <w:sz w:val="18"/>
                <w:szCs w:val="18"/>
                <w:lang w:bidi="en-US"/>
              </w:rPr>
              <w:t xml:space="preserve"> 100% </w:t>
            </w:r>
            <w:r w:rsidR="000E401F" w:rsidRPr="007C4D65">
              <w:rPr>
                <w:rFonts w:asciiTheme="minorHAnsi" w:hAnsiTheme="minorHAnsi" w:cstheme="minorHAnsi"/>
                <w:sz w:val="18"/>
                <w:szCs w:val="18"/>
                <w:lang w:bidi="en-US"/>
              </w:rPr>
              <w:t>government budget</w:t>
            </w:r>
            <w:r w:rsidR="00C224E3" w:rsidRPr="007C4D65">
              <w:rPr>
                <w:rFonts w:asciiTheme="minorHAnsi" w:hAnsiTheme="minorHAnsi" w:cstheme="minorHAnsi"/>
                <w:sz w:val="18"/>
                <w:szCs w:val="18"/>
                <w:lang w:bidi="en-US"/>
              </w:rPr>
              <w:t xml:space="preserve"> </w:t>
            </w:r>
          </w:p>
        </w:tc>
      </w:tr>
      <w:tr w:rsidR="00294BC1" w:rsidRPr="007C4D65" w14:paraId="24CD531F"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612FD2D" w14:textId="77777777" w:rsidR="00294BC1" w:rsidRPr="007C4D65" w:rsidRDefault="00294BC1"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shd w:val="clear" w:color="auto" w:fill="FFFFFF"/>
            <w:vAlign w:val="center"/>
          </w:tcPr>
          <w:p w14:paraId="6187762C" w14:textId="556E6CA0" w:rsidR="00294BC1" w:rsidRPr="007C4D65" w:rsidRDefault="00294BC1" w:rsidP="00294BC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2022 - 2027</w:t>
            </w:r>
          </w:p>
        </w:tc>
      </w:tr>
      <w:tr w:rsidR="00294BC1" w:rsidRPr="007C4D65" w14:paraId="34936BB8"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3FA9DA2" w14:textId="77777777" w:rsidR="00294BC1" w:rsidRPr="007C4D65" w:rsidRDefault="00294BC1"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shd w:val="clear" w:color="auto" w:fill="FFFFFF"/>
            <w:vAlign w:val="center"/>
          </w:tcPr>
          <w:p w14:paraId="707E33BA" w14:textId="39E2E931" w:rsidR="00294BC1" w:rsidRPr="007C4D65" w:rsidRDefault="001E6E20" w:rsidP="00294BC1">
            <w:pPr>
              <w:spacing w:before="40" w:after="40" w:line="276" w:lineRule="auto"/>
              <w:rPr>
                <w:rFonts w:asciiTheme="minorHAnsi" w:eastAsiaTheme="minorHAnsi" w:hAnsiTheme="minorHAnsi" w:cstheme="minorHAnsi"/>
                <w:sz w:val="18"/>
                <w:szCs w:val="18"/>
                <w:lang w:eastAsia="en-US" w:bidi="en-US"/>
              </w:rPr>
            </w:pPr>
            <w:bookmarkStart w:id="319" w:name="_Hlk96512042"/>
            <w:r w:rsidRPr="007C4D65">
              <w:rPr>
                <w:rFonts w:asciiTheme="minorHAnsi" w:eastAsiaTheme="minorHAnsi" w:hAnsiTheme="minorHAnsi" w:cstheme="minorHAnsi"/>
                <w:sz w:val="18"/>
                <w:szCs w:val="18"/>
                <w:lang w:eastAsia="en-US"/>
              </w:rPr>
              <w:t>Federation Ministry</w:t>
            </w:r>
            <w:r w:rsidR="00294BC1" w:rsidRPr="007C4D65">
              <w:rPr>
                <w:rFonts w:asciiTheme="minorHAnsi" w:eastAsiaTheme="minorHAnsi" w:hAnsiTheme="minorHAnsi" w:cstheme="minorHAnsi"/>
                <w:sz w:val="18"/>
                <w:szCs w:val="18"/>
                <w:lang w:eastAsia="en-US"/>
              </w:rPr>
              <w:t xml:space="preserve"> of Environment and Tourism</w:t>
            </w:r>
            <w:bookmarkEnd w:id="319"/>
          </w:p>
        </w:tc>
      </w:tr>
      <w:tr w:rsidR="00294BC1" w:rsidRPr="007C4D65" w14:paraId="5F88B6E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6984325" w14:textId="77777777" w:rsidR="00294BC1" w:rsidRPr="007C4D65" w:rsidRDefault="00294BC1"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shd w:val="clear" w:color="auto" w:fill="FFFFFF"/>
            <w:vAlign w:val="center"/>
          </w:tcPr>
          <w:p w14:paraId="4A7E04BE" w14:textId="37D04DD9" w:rsidR="00294BC1" w:rsidRPr="007C4D65" w:rsidRDefault="001E6E20" w:rsidP="00EA23CE">
            <w:pPr>
              <w:spacing w:before="40" w:after="40" w:line="276" w:lineRule="auto"/>
              <w:jc w:val="both"/>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rPr>
              <w:t>Federation Ministry</w:t>
            </w:r>
            <w:r w:rsidR="00294BC1" w:rsidRPr="007C4D65">
              <w:rPr>
                <w:rFonts w:asciiTheme="minorHAnsi" w:eastAsiaTheme="minorHAnsi" w:hAnsiTheme="minorHAnsi" w:cstheme="minorHAnsi"/>
                <w:sz w:val="18"/>
                <w:szCs w:val="18"/>
                <w:lang w:eastAsia="en-US"/>
              </w:rPr>
              <w:t xml:space="preserve"> of Environment and Tourism</w:t>
            </w:r>
            <w:r w:rsidR="00294BC1" w:rsidRPr="007C4D65">
              <w:rPr>
                <w:rFonts w:asciiTheme="minorHAnsi" w:eastAsiaTheme="minorHAnsi" w:hAnsiTheme="minorHAnsi" w:cstheme="minorHAnsi"/>
                <w:sz w:val="18"/>
                <w:szCs w:val="18"/>
                <w:lang w:eastAsia="en-US" w:bidi="en-US"/>
              </w:rPr>
              <w:t xml:space="preserve"> in cooperation with </w:t>
            </w:r>
            <w:r w:rsidRPr="007C4D65">
              <w:rPr>
                <w:rFonts w:asciiTheme="minorHAnsi" w:eastAsia="Calibri" w:hAnsiTheme="minorHAnsi" w:cstheme="minorHAnsi"/>
                <w:sz w:val="18"/>
                <w:szCs w:val="18"/>
                <w:lang w:eastAsia="x-none"/>
              </w:rPr>
              <w:t>Federation Ministry</w:t>
            </w:r>
            <w:r w:rsidR="00294BC1" w:rsidRPr="007C4D65">
              <w:rPr>
                <w:rFonts w:asciiTheme="minorHAnsi" w:eastAsia="Calibri" w:hAnsiTheme="minorHAnsi" w:cstheme="minorHAnsi"/>
                <w:sz w:val="18"/>
                <w:szCs w:val="18"/>
                <w:lang w:eastAsia="x-none"/>
              </w:rPr>
              <w:t xml:space="preserve"> of Justice and other responsible institutions in the Federation of Bosnia and Herzegovina</w:t>
            </w:r>
          </w:p>
        </w:tc>
      </w:tr>
      <w:tr w:rsidR="00294BC1" w:rsidRPr="007C4D65" w14:paraId="14DE0AB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ADD9982" w14:textId="605A0398" w:rsidR="00294BC1" w:rsidRPr="007C4D65" w:rsidRDefault="00963086" w:rsidP="00294BC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shd w:val="clear" w:color="auto" w:fill="FFFFFF"/>
            <w:vAlign w:val="center"/>
          </w:tcPr>
          <w:p w14:paraId="4256BEAF" w14:textId="626B0306" w:rsidR="00294BC1" w:rsidRPr="007C4D65" w:rsidRDefault="00294BC1" w:rsidP="00294BC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Institutions responsible for environmental </w:t>
            </w:r>
            <w:r w:rsidRPr="007C4D65">
              <w:rPr>
                <w:rFonts w:asciiTheme="minorHAnsi" w:eastAsia="Calibri" w:hAnsiTheme="minorHAnsi" w:cstheme="minorHAnsi"/>
                <w:sz w:val="18"/>
                <w:szCs w:val="18"/>
                <w:lang w:eastAsia="en-US" w:bidi="en-US"/>
              </w:rPr>
              <w:t xml:space="preserve">EU Directives, judicial institutions, business entities, </w:t>
            </w:r>
            <w:proofErr w:type="gramStart"/>
            <w:r w:rsidRPr="007C4D65">
              <w:rPr>
                <w:rFonts w:asciiTheme="minorHAnsi" w:eastAsia="Calibri" w:hAnsiTheme="minorHAnsi" w:cstheme="minorHAnsi"/>
                <w:sz w:val="18"/>
                <w:szCs w:val="18"/>
                <w:lang w:eastAsia="en-US" w:bidi="en-US"/>
              </w:rPr>
              <w:t>general public</w:t>
            </w:r>
            <w:proofErr w:type="gramEnd"/>
          </w:p>
        </w:tc>
      </w:tr>
    </w:tbl>
    <w:p w14:paraId="5ECFD0A9" w14:textId="6584C42C" w:rsidR="00DA51A1" w:rsidRPr="007C4D65" w:rsidRDefault="00DA51A1" w:rsidP="0068355A">
      <w:pPr>
        <w:spacing w:line="276" w:lineRule="auto"/>
        <w:rPr>
          <w:rFonts w:asciiTheme="minorHAnsi" w:hAnsiTheme="minorHAnsi" w:cstheme="minorHAnsi"/>
          <w:sz w:val="18"/>
          <w:szCs w:val="18"/>
        </w:rPr>
      </w:pPr>
    </w:p>
    <w:tbl>
      <w:tblPr>
        <w:tblW w:w="4675"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2"/>
        <w:gridCol w:w="3242"/>
        <w:gridCol w:w="2762"/>
      </w:tblGrid>
      <w:tr w:rsidR="00A64827" w:rsidRPr="007C4D65" w14:paraId="5D259751" w14:textId="77777777" w:rsidTr="00B6017F">
        <w:trPr>
          <w:trHeight w:val="567"/>
        </w:trPr>
        <w:tc>
          <w:tcPr>
            <w:tcW w:w="1359" w:type="pct"/>
            <w:shd w:val="clear" w:color="auto" w:fill="009D73"/>
            <w:vAlign w:val="center"/>
          </w:tcPr>
          <w:p w14:paraId="27E04CF7" w14:textId="77777777" w:rsidR="00A64827" w:rsidRPr="007C4D65" w:rsidRDefault="00A64827" w:rsidP="00A648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 xml:space="preserve">Link with strategic goal </w:t>
            </w:r>
          </w:p>
        </w:tc>
        <w:tc>
          <w:tcPr>
            <w:tcW w:w="3641" w:type="pct"/>
            <w:gridSpan w:val="3"/>
            <w:shd w:val="clear" w:color="auto" w:fill="FFFFFF"/>
            <w:vAlign w:val="center"/>
          </w:tcPr>
          <w:p w14:paraId="7DC72D66" w14:textId="3E5FE7CE" w:rsidR="00A64827" w:rsidRPr="007C4D65" w:rsidRDefault="00A64827" w:rsidP="00EA23CE">
            <w:pPr>
              <w:spacing w:after="160" w:line="259"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sz w:val="18"/>
                <w:szCs w:val="18"/>
                <w:lang w:eastAsia="en-US"/>
              </w:rPr>
              <w:t xml:space="preserve">7. </w:t>
            </w:r>
            <w:r w:rsidRPr="007C4D65">
              <w:rPr>
                <w:rFonts w:asciiTheme="minorHAnsi" w:eastAsia="Calibri" w:hAnsiTheme="minorHAnsi" w:cstheme="minorHAnsi"/>
                <w:b/>
                <w:bCs/>
                <w:sz w:val="18"/>
                <w:szCs w:val="18"/>
                <w:lang w:eastAsia="en-US"/>
              </w:rPr>
              <w:t>Strengthening environmental management</w:t>
            </w:r>
          </w:p>
        </w:tc>
      </w:tr>
      <w:tr w:rsidR="00A64827" w:rsidRPr="007C4D65" w14:paraId="6FD3A32C" w14:textId="77777777" w:rsidTr="00B6017F">
        <w:trPr>
          <w:trHeight w:val="567"/>
        </w:trPr>
        <w:tc>
          <w:tcPr>
            <w:tcW w:w="1359" w:type="pct"/>
            <w:shd w:val="clear" w:color="auto" w:fill="009D73"/>
            <w:vAlign w:val="center"/>
          </w:tcPr>
          <w:p w14:paraId="062AE29C" w14:textId="77777777" w:rsidR="00A64827" w:rsidRPr="007C4D65" w:rsidRDefault="00A64827" w:rsidP="00A648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41" w:type="pct"/>
            <w:gridSpan w:val="3"/>
            <w:shd w:val="clear" w:color="auto" w:fill="FFFFFF"/>
            <w:vAlign w:val="center"/>
          </w:tcPr>
          <w:p w14:paraId="36442887" w14:textId="4DA17F75" w:rsidR="00A64827" w:rsidRPr="007C4D65" w:rsidRDefault="00A64827" w:rsidP="00A64827">
            <w:pPr>
              <w:spacing w:before="40" w:after="40" w:line="276" w:lineRule="auto"/>
              <w:rPr>
                <w:rFonts w:asciiTheme="minorHAnsi" w:hAnsiTheme="minorHAnsi" w:cstheme="minorHAnsi"/>
                <w:b/>
                <w:bCs/>
                <w:sz w:val="18"/>
                <w:szCs w:val="18"/>
                <w:lang w:eastAsia="zh-TW"/>
              </w:rPr>
            </w:pPr>
            <w:r w:rsidRPr="007C4D65">
              <w:rPr>
                <w:rFonts w:asciiTheme="minorHAnsi" w:eastAsiaTheme="minorHAnsi" w:hAnsiTheme="minorHAnsi" w:cstheme="minorHAnsi"/>
                <w:b/>
                <w:bCs/>
                <w:sz w:val="18"/>
                <w:szCs w:val="18"/>
                <w:lang w:eastAsia="en-US"/>
              </w:rPr>
              <w:t xml:space="preserve">7.1 </w:t>
            </w:r>
            <w:r w:rsidR="00A36259" w:rsidRPr="007C4D65">
              <w:rPr>
                <w:rFonts w:asciiTheme="minorHAnsi" w:eastAsiaTheme="minorHAnsi" w:hAnsiTheme="minorHAnsi" w:cstheme="minorHAnsi"/>
                <w:b/>
                <w:bCs/>
                <w:sz w:val="18"/>
                <w:szCs w:val="18"/>
                <w:lang w:eastAsia="en-US"/>
              </w:rPr>
              <w:t xml:space="preserve">Improving </w:t>
            </w:r>
            <w:r w:rsidRPr="007C4D65">
              <w:rPr>
                <w:rFonts w:asciiTheme="minorHAnsi" w:eastAsiaTheme="minorHAnsi" w:hAnsiTheme="minorHAnsi" w:cstheme="minorHAnsi"/>
                <w:b/>
                <w:bCs/>
                <w:sz w:val="18"/>
                <w:szCs w:val="18"/>
                <w:lang w:eastAsia="en-US"/>
              </w:rPr>
              <w:t>the legal framework and sector policies for planning, management and protection of environment in the Federation of Bosnia and Herzegovina aimed at full harmonization with the EU acquis and international environmental agreements</w:t>
            </w:r>
          </w:p>
        </w:tc>
      </w:tr>
      <w:tr w:rsidR="00A64827" w:rsidRPr="007C4D65" w14:paraId="5335ECC9" w14:textId="77777777" w:rsidTr="00B6017F">
        <w:trPr>
          <w:trHeight w:val="567"/>
        </w:trPr>
        <w:tc>
          <w:tcPr>
            <w:tcW w:w="1359" w:type="pct"/>
            <w:shd w:val="clear" w:color="auto" w:fill="009D73"/>
            <w:vAlign w:val="center"/>
          </w:tcPr>
          <w:p w14:paraId="2527D0E9" w14:textId="77777777" w:rsidR="00A64827" w:rsidRPr="007C4D65" w:rsidRDefault="00A64827" w:rsidP="00A648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Measure</w:t>
            </w:r>
          </w:p>
        </w:tc>
        <w:tc>
          <w:tcPr>
            <w:tcW w:w="3641" w:type="pct"/>
            <w:gridSpan w:val="3"/>
            <w:shd w:val="clear" w:color="auto" w:fill="FFFFFF"/>
            <w:vAlign w:val="center"/>
          </w:tcPr>
          <w:p w14:paraId="0386534A" w14:textId="004C8F86" w:rsidR="00A64827" w:rsidRPr="007C4D65" w:rsidRDefault="00A64827" w:rsidP="00A64827">
            <w:pPr>
              <w:spacing w:before="40" w:after="40" w:line="276" w:lineRule="auto"/>
              <w:jc w:val="both"/>
              <w:rPr>
                <w:rFonts w:asciiTheme="minorHAnsi" w:eastAsia="Calibri" w:hAnsiTheme="minorHAnsi" w:cstheme="minorHAnsi"/>
                <w:b/>
                <w:bCs/>
                <w:sz w:val="18"/>
                <w:szCs w:val="18"/>
                <w:lang w:eastAsia="x-none"/>
              </w:rPr>
            </w:pPr>
            <w:r w:rsidRPr="007C4D65">
              <w:rPr>
                <w:rFonts w:asciiTheme="minorHAnsi" w:eastAsia="Calibri" w:hAnsiTheme="minorHAnsi" w:cstheme="minorHAnsi"/>
                <w:b/>
                <w:bCs/>
                <w:sz w:val="18"/>
                <w:szCs w:val="18"/>
                <w:lang w:eastAsia="x-none"/>
              </w:rPr>
              <w:t xml:space="preserve">7.1.3 </w:t>
            </w:r>
            <w:bookmarkStart w:id="320" w:name="_Hlk117191644"/>
            <w:r w:rsidRPr="007C4D65">
              <w:rPr>
                <w:rFonts w:asciiTheme="minorHAnsi" w:eastAsia="Calibri" w:hAnsiTheme="minorHAnsi" w:cstheme="minorHAnsi"/>
                <w:b/>
                <w:bCs/>
                <w:sz w:val="18"/>
                <w:szCs w:val="18"/>
                <w:lang w:eastAsia="en-US"/>
              </w:rPr>
              <w:t>Alignment of environmental management legal and strategic framework with the international and national gender equality standards</w:t>
            </w:r>
            <w:bookmarkEnd w:id="320"/>
          </w:p>
        </w:tc>
      </w:tr>
      <w:tr w:rsidR="00A64827" w:rsidRPr="007C4D65" w14:paraId="010C90D0" w14:textId="77777777" w:rsidTr="00B6017F">
        <w:trPr>
          <w:trHeight w:val="567"/>
        </w:trPr>
        <w:tc>
          <w:tcPr>
            <w:tcW w:w="1359" w:type="pct"/>
            <w:shd w:val="clear" w:color="auto" w:fill="009D73"/>
            <w:vAlign w:val="center"/>
          </w:tcPr>
          <w:p w14:paraId="56C9CFFB" w14:textId="77777777" w:rsidR="00A64827" w:rsidRPr="007C4D65" w:rsidRDefault="00A64827" w:rsidP="00A64827">
            <w:pPr>
              <w:spacing w:before="40" w:after="40" w:line="276" w:lineRule="auto"/>
              <w:ind w:left="406"/>
              <w:contextualSpacing/>
              <w:rPr>
                <w:rFonts w:asciiTheme="minorHAnsi" w:eastAsiaTheme="minorHAnsi" w:hAnsiTheme="minorHAnsi" w:cstheme="minorHAnsi"/>
                <w:sz w:val="18"/>
                <w:szCs w:val="18"/>
                <w:lang w:eastAsia="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p w14:paraId="173CBEC8" w14:textId="77777777" w:rsidR="00A64827" w:rsidRPr="007C4D65" w:rsidRDefault="00A64827" w:rsidP="00A6482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3641" w:type="pct"/>
            <w:gridSpan w:val="3"/>
            <w:shd w:val="clear" w:color="auto" w:fill="FFFFFF"/>
            <w:vAlign w:val="center"/>
          </w:tcPr>
          <w:p w14:paraId="106FB608" w14:textId="45ED841E" w:rsidR="00A64827" w:rsidRPr="007C4D65" w:rsidRDefault="00A64827" w:rsidP="00A64827">
            <w:pPr>
              <w:spacing w:before="40" w:after="40" w:line="276" w:lineRule="auto"/>
              <w:jc w:val="both"/>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The aim of the measure is to ensure alignment of all environmental management legal and strategic documents with the international and national gender equality standards</w:t>
            </w:r>
            <w:r w:rsidR="00EA23CE" w:rsidRPr="007C4D65">
              <w:rPr>
                <w:rFonts w:asciiTheme="minorHAnsi" w:eastAsia="Calibri" w:hAnsiTheme="minorHAnsi" w:cstheme="minorHAnsi"/>
                <w:sz w:val="18"/>
                <w:szCs w:val="18"/>
                <w:lang w:eastAsia="en-US"/>
              </w:rPr>
              <w:t>.</w:t>
            </w:r>
          </w:p>
          <w:p w14:paraId="28A70D4D" w14:textId="43F25DCD" w:rsidR="00A64827" w:rsidRPr="007C4D65" w:rsidRDefault="00A64827" w:rsidP="00A64827">
            <w:pPr>
              <w:spacing w:before="40" w:after="40" w:line="276" w:lineRule="auto"/>
              <w:ind w:left="360"/>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Specifically, this measure implies:</w:t>
            </w:r>
          </w:p>
          <w:p w14:paraId="2BB605E3" w14:textId="1EE2C2D6" w:rsidR="00A64827" w:rsidRPr="007C4D65" w:rsidRDefault="00A64827">
            <w:pPr>
              <w:numPr>
                <w:ilvl w:val="0"/>
                <w:numId w:val="150"/>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Identifying priority laws, strategies, action plans, programmes and other environmental documents </w:t>
            </w:r>
            <w:proofErr w:type="gramStart"/>
            <w:r w:rsidRPr="007C4D65">
              <w:rPr>
                <w:rFonts w:asciiTheme="minorHAnsi" w:eastAsia="Calibri" w:hAnsiTheme="minorHAnsi" w:cstheme="minorHAnsi"/>
                <w:sz w:val="18"/>
                <w:szCs w:val="18"/>
                <w:lang w:eastAsia="x-none"/>
              </w:rPr>
              <w:t>in order to</w:t>
            </w:r>
            <w:proofErr w:type="gramEnd"/>
            <w:r w:rsidRPr="007C4D65">
              <w:rPr>
                <w:rFonts w:asciiTheme="minorHAnsi" w:eastAsia="Calibri" w:hAnsiTheme="minorHAnsi" w:cstheme="minorHAnsi"/>
                <w:sz w:val="18"/>
                <w:szCs w:val="18"/>
                <w:lang w:eastAsia="x-none"/>
              </w:rPr>
              <w:t xml:space="preserve"> introduce and apply the gender equality international and national standards in these documents</w:t>
            </w:r>
            <w:r w:rsidR="00EA23CE" w:rsidRPr="007C4D65">
              <w:rPr>
                <w:rFonts w:asciiTheme="minorHAnsi" w:eastAsia="Calibri" w:hAnsiTheme="minorHAnsi" w:cstheme="minorHAnsi"/>
                <w:sz w:val="18"/>
                <w:szCs w:val="18"/>
                <w:lang w:eastAsia="x-none"/>
              </w:rPr>
              <w:t>.</w:t>
            </w:r>
          </w:p>
        </w:tc>
      </w:tr>
      <w:tr w:rsidR="00A64827" w:rsidRPr="007C4D65" w14:paraId="2B582110" w14:textId="77777777" w:rsidTr="00B6017F">
        <w:trPr>
          <w:trHeight w:val="567"/>
        </w:trPr>
        <w:tc>
          <w:tcPr>
            <w:tcW w:w="1359" w:type="pct"/>
            <w:shd w:val="clear" w:color="auto" w:fill="009D73"/>
            <w:vAlign w:val="center"/>
          </w:tcPr>
          <w:p w14:paraId="5A1C29A4" w14:textId="77777777" w:rsidR="00A64827" w:rsidRPr="007C4D65" w:rsidRDefault="00A64827" w:rsidP="00A648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Strategic projects</w:t>
            </w:r>
          </w:p>
        </w:tc>
        <w:tc>
          <w:tcPr>
            <w:tcW w:w="3641" w:type="pct"/>
            <w:gridSpan w:val="3"/>
            <w:shd w:val="clear" w:color="auto" w:fill="FFFFFF" w:themeFill="background1"/>
            <w:vAlign w:val="center"/>
          </w:tcPr>
          <w:p w14:paraId="05766D9F" w14:textId="77777777" w:rsidR="00A64827" w:rsidRPr="007C4D65" w:rsidRDefault="00A64827" w:rsidP="00A64827">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A64827" w:rsidRPr="007C4D65" w14:paraId="374A1391" w14:textId="77777777" w:rsidTr="00B6017F">
        <w:trPr>
          <w:trHeight w:val="567"/>
        </w:trPr>
        <w:tc>
          <w:tcPr>
            <w:tcW w:w="1359" w:type="pct"/>
            <w:vMerge w:val="restart"/>
            <w:shd w:val="clear" w:color="auto" w:fill="009D73"/>
            <w:vAlign w:val="center"/>
          </w:tcPr>
          <w:p w14:paraId="6EF93468" w14:textId="77777777" w:rsidR="00A64827" w:rsidRPr="007C4D65" w:rsidRDefault="00A64827" w:rsidP="00A648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95C7290" w14:textId="77777777" w:rsidR="00A64827" w:rsidRPr="007C4D65" w:rsidRDefault="00A64827" w:rsidP="00A64827">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1AA3F706" w14:textId="77777777" w:rsidR="00A64827" w:rsidRPr="007C4D65" w:rsidRDefault="00A64827" w:rsidP="00A64827">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F486C8F" w14:textId="77777777" w:rsidR="00A64827" w:rsidRPr="007C4D65" w:rsidRDefault="00A64827" w:rsidP="00A64827">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38797973" w14:textId="77777777" w:rsidR="00A64827" w:rsidRPr="007C4D65" w:rsidRDefault="00A64827" w:rsidP="00A64827">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734FFE7" w14:textId="77777777" w:rsidR="00A64827" w:rsidRPr="007C4D65" w:rsidRDefault="00A64827" w:rsidP="00A64827">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value</w:t>
            </w:r>
          </w:p>
        </w:tc>
      </w:tr>
      <w:tr w:rsidR="00A64827" w:rsidRPr="007C4D65" w14:paraId="44201B97" w14:textId="77777777" w:rsidTr="00B6017F">
        <w:trPr>
          <w:trHeight w:val="567"/>
        </w:trPr>
        <w:tc>
          <w:tcPr>
            <w:tcW w:w="1359" w:type="pct"/>
            <w:vMerge/>
            <w:shd w:val="clear" w:color="auto" w:fill="009D73"/>
            <w:vAlign w:val="center"/>
          </w:tcPr>
          <w:p w14:paraId="2FDD6291" w14:textId="77777777" w:rsidR="00A64827" w:rsidRPr="007C4D65" w:rsidRDefault="00A64827" w:rsidP="00A6482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5B1B13B0" w14:textId="38C5C3A0" w:rsidR="00A64827" w:rsidRPr="007C4D65" w:rsidRDefault="00A64827">
            <w:pPr>
              <w:numPr>
                <w:ilvl w:val="0"/>
                <w:numId w:val="151"/>
              </w:numPr>
              <w:spacing w:before="40" w:after="40" w:line="276" w:lineRule="auto"/>
              <w:rPr>
                <w:rFonts w:asciiTheme="minorHAnsi" w:eastAsia="Calibri" w:hAnsiTheme="minorHAnsi" w:cstheme="minorHAnsi"/>
                <w:sz w:val="18"/>
                <w:szCs w:val="18"/>
                <w:lang w:eastAsia="x-none"/>
              </w:rPr>
            </w:pPr>
            <w:r w:rsidRPr="007C4D65">
              <w:rPr>
                <w:rFonts w:asciiTheme="minorHAnsi" w:eastAsiaTheme="minorHAnsi" w:hAnsiTheme="minorHAnsi" w:cstheme="minorHAnsi"/>
                <w:sz w:val="18"/>
                <w:szCs w:val="18"/>
                <w:lang w:eastAsia="en-US" w:bidi="en-US"/>
              </w:rPr>
              <w:t xml:space="preserve">Level of </w:t>
            </w:r>
            <w:r w:rsidRPr="007C4D65">
              <w:rPr>
                <w:rFonts w:asciiTheme="minorHAnsi" w:eastAsia="Calibri" w:hAnsiTheme="minorHAnsi" w:cstheme="minorHAnsi"/>
                <w:sz w:val="18"/>
                <w:szCs w:val="18"/>
                <w:lang w:eastAsia="en-US"/>
              </w:rPr>
              <w:t xml:space="preserve">alignment of the environmental management legal and strategic framework with the international and national gender equality standards  </w:t>
            </w:r>
          </w:p>
        </w:tc>
        <w:tc>
          <w:tcPr>
            <w:tcW w:w="1243" w:type="pct"/>
            <w:shd w:val="clear" w:color="auto" w:fill="FFFFFF"/>
            <w:vAlign w:val="center"/>
          </w:tcPr>
          <w:p w14:paraId="38CF3DED" w14:textId="0A8FAE57" w:rsidR="00A64827" w:rsidRPr="007C4D65" w:rsidRDefault="00A64827" w:rsidP="00A648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Low level of </w:t>
            </w:r>
            <w:r w:rsidRPr="007C4D65">
              <w:rPr>
                <w:rFonts w:asciiTheme="minorHAnsi" w:eastAsia="Calibri" w:hAnsiTheme="minorHAnsi" w:cstheme="minorHAnsi"/>
                <w:sz w:val="18"/>
                <w:szCs w:val="18"/>
                <w:lang w:eastAsia="en-US"/>
              </w:rPr>
              <w:t>alignment of the environmental management legal and strategic framework with the international and national gender equality standards</w:t>
            </w:r>
          </w:p>
        </w:tc>
        <w:tc>
          <w:tcPr>
            <w:tcW w:w="1059" w:type="pct"/>
            <w:shd w:val="clear" w:color="auto" w:fill="FFFFFF"/>
            <w:vAlign w:val="center"/>
          </w:tcPr>
          <w:p w14:paraId="018771A9" w14:textId="452007C3" w:rsidR="00A64827" w:rsidRPr="007C4D65" w:rsidRDefault="00A64827" w:rsidP="00A648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 xml:space="preserve">Significantly increased </w:t>
            </w:r>
            <w:r w:rsidRPr="007C4D65">
              <w:rPr>
                <w:rFonts w:asciiTheme="minorHAnsi" w:eastAsiaTheme="minorHAnsi" w:hAnsiTheme="minorHAnsi" w:cstheme="minorHAnsi"/>
                <w:sz w:val="18"/>
                <w:szCs w:val="18"/>
                <w:lang w:eastAsia="en-US" w:bidi="en-US"/>
              </w:rPr>
              <w:t xml:space="preserve">level of </w:t>
            </w:r>
            <w:r w:rsidRPr="007C4D65">
              <w:rPr>
                <w:rFonts w:asciiTheme="minorHAnsi" w:eastAsia="Calibri" w:hAnsiTheme="minorHAnsi" w:cstheme="minorHAnsi"/>
                <w:sz w:val="18"/>
                <w:szCs w:val="18"/>
                <w:lang w:eastAsia="en-US"/>
              </w:rPr>
              <w:t xml:space="preserve">alignment of the environmental management legal and strategic framework with the international and national gender equality standards </w:t>
            </w:r>
            <w:r w:rsidRPr="007C4D65">
              <w:rPr>
                <w:rFonts w:asciiTheme="minorHAnsi" w:eastAsiaTheme="minorHAnsi" w:hAnsiTheme="minorHAnsi" w:cstheme="minorHAnsi"/>
                <w:sz w:val="18"/>
                <w:szCs w:val="18"/>
                <w:lang w:eastAsia="en-US" w:bidi="en-US"/>
              </w:rPr>
              <w:t>(2030)</w:t>
            </w:r>
          </w:p>
        </w:tc>
      </w:tr>
      <w:tr w:rsidR="00A64827" w:rsidRPr="007C4D65" w14:paraId="648CE80D" w14:textId="77777777" w:rsidTr="00B6017F">
        <w:trPr>
          <w:trHeight w:val="567"/>
        </w:trPr>
        <w:tc>
          <w:tcPr>
            <w:tcW w:w="1359" w:type="pct"/>
            <w:shd w:val="clear" w:color="auto" w:fill="009D73"/>
            <w:vAlign w:val="center"/>
          </w:tcPr>
          <w:p w14:paraId="1ECF365E" w14:textId="77777777" w:rsidR="00A64827" w:rsidRPr="007C4D65" w:rsidRDefault="00A64827" w:rsidP="00A648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shd w:val="clear" w:color="auto" w:fill="FFFFFF"/>
            <w:vAlign w:val="center"/>
          </w:tcPr>
          <w:p w14:paraId="0E65702B" w14:textId="05BD600B" w:rsidR="00A64827" w:rsidRPr="007C4D65" w:rsidRDefault="00A64827" w:rsidP="00A648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Ensure that all men and women, particularly</w:t>
            </w:r>
            <w:r w:rsidR="006C5B10" w:rsidRPr="007C4D65">
              <w:rPr>
                <w:rFonts w:asciiTheme="minorHAnsi" w:eastAsiaTheme="minorHAnsi" w:hAnsiTheme="minorHAnsi" w:cstheme="minorHAnsi"/>
                <w:sz w:val="18"/>
                <w:szCs w:val="18"/>
                <w:lang w:eastAsia="en-US" w:bidi="en-US"/>
              </w:rPr>
              <w:t xml:space="preserve"> those from</w:t>
            </w:r>
            <w:r w:rsidRPr="007C4D65">
              <w:rPr>
                <w:rFonts w:asciiTheme="minorHAnsi" w:eastAsiaTheme="minorHAnsi" w:hAnsiTheme="minorHAnsi" w:cstheme="minorHAnsi"/>
                <w:sz w:val="18"/>
                <w:szCs w:val="18"/>
                <w:lang w:eastAsia="en-US" w:bidi="en-US"/>
              </w:rPr>
              <w:t xml:space="preserve"> poor and vulnerable</w:t>
            </w:r>
            <w:r w:rsidR="006C5B10" w:rsidRPr="007C4D65">
              <w:rPr>
                <w:rFonts w:asciiTheme="minorHAnsi" w:eastAsiaTheme="minorHAnsi" w:hAnsiTheme="minorHAnsi" w:cstheme="minorHAnsi"/>
                <w:sz w:val="18"/>
                <w:szCs w:val="18"/>
                <w:lang w:eastAsia="en-US" w:bidi="en-US"/>
              </w:rPr>
              <w:t xml:space="preserve"> groups </w:t>
            </w:r>
            <w:r w:rsidR="00830279" w:rsidRPr="007C4D65">
              <w:rPr>
                <w:rFonts w:asciiTheme="minorHAnsi" w:eastAsiaTheme="minorHAnsi" w:hAnsiTheme="minorHAnsi" w:cstheme="minorHAnsi"/>
                <w:sz w:val="18"/>
                <w:szCs w:val="18"/>
                <w:lang w:eastAsia="en-US" w:bidi="en-US"/>
              </w:rPr>
              <w:t>equally</w:t>
            </w:r>
            <w:r w:rsidR="006C5B10" w:rsidRPr="007C4D65">
              <w:rPr>
                <w:rFonts w:asciiTheme="minorHAnsi" w:eastAsiaTheme="minorHAnsi" w:hAnsiTheme="minorHAnsi" w:cstheme="minorHAnsi"/>
                <w:sz w:val="18"/>
                <w:szCs w:val="18"/>
                <w:lang w:eastAsia="en-US" w:bidi="en-US"/>
              </w:rPr>
              <w:t xml:space="preserve"> participate in </w:t>
            </w:r>
            <w:r w:rsidR="009F16BA" w:rsidRPr="007C4D65">
              <w:rPr>
                <w:rFonts w:asciiTheme="minorHAnsi" w:eastAsiaTheme="minorHAnsi" w:hAnsiTheme="minorHAnsi" w:cstheme="minorHAnsi"/>
                <w:sz w:val="18"/>
                <w:szCs w:val="18"/>
                <w:lang w:eastAsia="en-US" w:bidi="en-US"/>
              </w:rPr>
              <w:t xml:space="preserve">decision-making  </w:t>
            </w:r>
            <w:r w:rsidR="006C5B10" w:rsidRPr="007C4D65">
              <w:rPr>
                <w:rFonts w:asciiTheme="minorHAnsi" w:eastAsiaTheme="minorHAnsi" w:hAnsiTheme="minorHAnsi" w:cstheme="minorHAnsi"/>
                <w:sz w:val="18"/>
                <w:szCs w:val="18"/>
                <w:lang w:eastAsia="en-US" w:bidi="en-US"/>
              </w:rPr>
              <w:t xml:space="preserve"> on the environment</w:t>
            </w:r>
          </w:p>
        </w:tc>
      </w:tr>
      <w:tr w:rsidR="00A64827" w:rsidRPr="007C4D65" w14:paraId="656F3063"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CAF310A" w14:textId="59149904" w:rsidR="00A64827" w:rsidRPr="007C4D65" w:rsidRDefault="00963086" w:rsidP="00A648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r w:rsidR="00A64827" w:rsidRPr="007C4D65">
              <w:rPr>
                <w:rFonts w:asciiTheme="minorHAnsi" w:eastAsiaTheme="minorHAnsi" w:hAnsiTheme="minorHAnsi" w:cstheme="minorHAnsi"/>
                <w:b/>
                <w:color w:val="FFFFFF" w:themeColor="background1"/>
                <w:sz w:val="18"/>
                <w:szCs w:val="18"/>
                <w:lang w:eastAsia="en-US"/>
              </w:rPr>
              <w:t xml:space="preserve"> </w:t>
            </w:r>
          </w:p>
        </w:tc>
        <w:tc>
          <w:tcPr>
            <w:tcW w:w="3641" w:type="pct"/>
            <w:gridSpan w:val="3"/>
            <w:shd w:val="clear" w:color="auto" w:fill="FFFFFF"/>
            <w:vAlign w:val="center"/>
          </w:tcPr>
          <w:p w14:paraId="72E3B713" w14:textId="78D69A9B" w:rsidR="006C5B10" w:rsidRPr="007C4D65" w:rsidRDefault="00C224E3" w:rsidP="006C5B10">
            <w:pPr>
              <w:spacing w:before="40" w:after="40" w:line="276" w:lineRule="auto"/>
              <w:rPr>
                <w:rFonts w:asciiTheme="minorHAnsi" w:hAnsiTheme="minorHAnsi" w:cstheme="minorHAnsi"/>
                <w:sz w:val="18"/>
                <w:szCs w:val="18"/>
                <w:lang w:bidi="en-US"/>
              </w:rPr>
            </w:pPr>
            <w:r w:rsidRPr="007C4D65">
              <w:rPr>
                <w:rFonts w:asciiTheme="minorHAnsi" w:hAnsiTheme="minorHAnsi" w:cstheme="minorHAnsi"/>
                <w:sz w:val="18"/>
                <w:szCs w:val="18"/>
                <w:lang w:bidi="en-US"/>
              </w:rPr>
              <w:t xml:space="preserve">Amount: </w:t>
            </w:r>
            <w:r w:rsidR="006C5B10" w:rsidRPr="007C4D65">
              <w:rPr>
                <w:rFonts w:asciiTheme="minorHAnsi" w:hAnsiTheme="minorHAnsi" w:cstheme="minorHAnsi"/>
                <w:sz w:val="18"/>
                <w:szCs w:val="18"/>
                <w:lang w:bidi="en-US"/>
              </w:rPr>
              <w:t>BAM 63,782</w:t>
            </w:r>
          </w:p>
          <w:p w14:paraId="37F8F8D7" w14:textId="2B4DD58A" w:rsidR="00A64827" w:rsidRPr="007C4D65" w:rsidRDefault="009E6B20" w:rsidP="006C5B10">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bidi="en-US"/>
              </w:rPr>
              <w:t xml:space="preserve">Source: </w:t>
            </w:r>
            <w:r w:rsidR="006C5B10" w:rsidRPr="007C4D65">
              <w:rPr>
                <w:rFonts w:asciiTheme="minorHAnsi" w:hAnsiTheme="minorHAnsi" w:cstheme="minorHAnsi"/>
                <w:sz w:val="18"/>
                <w:szCs w:val="18"/>
                <w:lang w:bidi="en-US"/>
              </w:rPr>
              <w:t xml:space="preserve"> 100% </w:t>
            </w:r>
            <w:r w:rsidR="000E401F" w:rsidRPr="007C4D65">
              <w:rPr>
                <w:rFonts w:asciiTheme="minorHAnsi" w:hAnsiTheme="minorHAnsi" w:cstheme="minorHAnsi"/>
                <w:sz w:val="18"/>
                <w:szCs w:val="18"/>
                <w:lang w:bidi="en-US"/>
              </w:rPr>
              <w:t>government budget</w:t>
            </w:r>
            <w:r w:rsidR="00C224E3" w:rsidRPr="007C4D65">
              <w:rPr>
                <w:rFonts w:asciiTheme="minorHAnsi" w:hAnsiTheme="minorHAnsi" w:cstheme="minorHAnsi"/>
                <w:sz w:val="18"/>
                <w:szCs w:val="18"/>
                <w:lang w:bidi="en-US"/>
              </w:rPr>
              <w:t xml:space="preserve"> </w:t>
            </w:r>
          </w:p>
        </w:tc>
      </w:tr>
      <w:tr w:rsidR="00A64827" w:rsidRPr="007C4D65" w14:paraId="30370ED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5A02F76" w14:textId="77777777" w:rsidR="00A64827" w:rsidRPr="007C4D65" w:rsidRDefault="00A64827" w:rsidP="00A648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shd w:val="clear" w:color="auto" w:fill="FFFFFF"/>
            <w:vAlign w:val="center"/>
          </w:tcPr>
          <w:p w14:paraId="1D49B87B" w14:textId="3890144A" w:rsidR="00A64827" w:rsidRPr="007C4D65" w:rsidRDefault="00A64827" w:rsidP="00A648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2025 – 2029</w:t>
            </w:r>
          </w:p>
        </w:tc>
      </w:tr>
      <w:tr w:rsidR="00A64827" w:rsidRPr="007C4D65" w14:paraId="64C19E5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B4124DF" w14:textId="77777777" w:rsidR="00A64827" w:rsidRPr="007C4D65" w:rsidRDefault="00A64827" w:rsidP="00A648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shd w:val="clear" w:color="auto" w:fill="FFFFFF"/>
            <w:vAlign w:val="center"/>
          </w:tcPr>
          <w:p w14:paraId="1D3065E4" w14:textId="74C5526E" w:rsidR="00A64827" w:rsidRPr="007C4D65" w:rsidRDefault="001E6E20" w:rsidP="00A648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rPr>
              <w:t>Federation Ministry</w:t>
            </w:r>
            <w:r w:rsidR="00A64827" w:rsidRPr="007C4D65">
              <w:rPr>
                <w:rFonts w:asciiTheme="minorHAnsi" w:eastAsiaTheme="minorHAnsi" w:hAnsiTheme="minorHAnsi" w:cstheme="minorHAnsi"/>
                <w:sz w:val="18"/>
                <w:szCs w:val="18"/>
                <w:lang w:eastAsia="en-US"/>
              </w:rPr>
              <w:t xml:space="preserve"> of Environment and Tourism</w:t>
            </w:r>
          </w:p>
        </w:tc>
      </w:tr>
      <w:tr w:rsidR="00A64827" w:rsidRPr="007C4D65" w14:paraId="58118849"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2E53B03" w14:textId="77777777" w:rsidR="00A64827" w:rsidRPr="007C4D65" w:rsidRDefault="00A64827" w:rsidP="00A648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lastRenderedPageBreak/>
              <w:t>Implementing institutions</w:t>
            </w:r>
          </w:p>
        </w:tc>
        <w:tc>
          <w:tcPr>
            <w:tcW w:w="3641" w:type="pct"/>
            <w:gridSpan w:val="3"/>
            <w:shd w:val="clear" w:color="auto" w:fill="FFFFFF"/>
            <w:vAlign w:val="center"/>
          </w:tcPr>
          <w:p w14:paraId="5F15CB23" w14:textId="0A4ADB0D" w:rsidR="00A64827" w:rsidRPr="007C4D65" w:rsidRDefault="00A64827" w:rsidP="00A64827">
            <w:pPr>
              <w:spacing w:after="160" w:line="259"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 xml:space="preserve">Gender </w:t>
            </w:r>
            <w:r w:rsidR="00EA23CE" w:rsidRPr="007C4D65">
              <w:rPr>
                <w:rFonts w:asciiTheme="minorHAnsi" w:eastAsia="Calibri" w:hAnsiTheme="minorHAnsi" w:cstheme="minorHAnsi"/>
                <w:sz w:val="18"/>
                <w:szCs w:val="18"/>
                <w:lang w:eastAsia="en-US"/>
              </w:rPr>
              <w:t>Centre</w:t>
            </w:r>
            <w:r w:rsidRPr="007C4D65">
              <w:rPr>
                <w:rFonts w:asciiTheme="minorHAnsi" w:eastAsia="Calibri" w:hAnsiTheme="minorHAnsi" w:cstheme="minorHAnsi"/>
                <w:sz w:val="18"/>
                <w:szCs w:val="18"/>
                <w:lang w:eastAsia="en-US"/>
              </w:rPr>
              <w:t xml:space="preserve"> of the </w:t>
            </w:r>
            <w:r w:rsidRPr="007C4D65">
              <w:rPr>
                <w:rFonts w:asciiTheme="minorHAnsi" w:eastAsia="Calibri" w:hAnsiTheme="minorHAnsi" w:cstheme="minorHAnsi"/>
                <w:sz w:val="18"/>
                <w:szCs w:val="18"/>
                <w:lang w:eastAsia="x-none"/>
              </w:rPr>
              <w:t xml:space="preserve">Federation of Bosnia and Herzegovina </w:t>
            </w:r>
            <w:r w:rsidRPr="007C4D65">
              <w:rPr>
                <w:rFonts w:asciiTheme="minorHAnsi" w:eastAsia="Calibri" w:hAnsiTheme="minorHAnsi" w:cstheme="minorHAnsi"/>
                <w:sz w:val="18"/>
                <w:szCs w:val="18"/>
                <w:lang w:eastAsia="en-US" w:bidi="en-US"/>
              </w:rPr>
              <w:t xml:space="preserve">in cooperation with the </w:t>
            </w:r>
            <w:r w:rsidR="001E6E20" w:rsidRPr="007C4D65">
              <w:rPr>
                <w:rFonts w:asciiTheme="minorHAnsi" w:eastAsia="Calibri" w:hAnsiTheme="minorHAnsi" w:cstheme="minorHAnsi"/>
                <w:sz w:val="18"/>
                <w:szCs w:val="18"/>
                <w:lang w:eastAsia="en-US" w:bidi="en-US"/>
              </w:rPr>
              <w:t>Federation Ministry</w:t>
            </w:r>
            <w:r w:rsidRPr="007C4D65">
              <w:rPr>
                <w:rFonts w:asciiTheme="minorHAnsi" w:eastAsia="Calibri" w:hAnsiTheme="minorHAnsi" w:cstheme="minorHAnsi"/>
                <w:sz w:val="18"/>
                <w:szCs w:val="18"/>
                <w:lang w:eastAsia="en-US" w:bidi="en-US"/>
              </w:rPr>
              <w:t xml:space="preserve"> of Environment and Tourism and other</w:t>
            </w:r>
            <w:r w:rsidR="006C5B10" w:rsidRPr="007C4D65">
              <w:rPr>
                <w:rFonts w:asciiTheme="minorHAnsi" w:eastAsia="Calibri" w:hAnsiTheme="minorHAnsi" w:cstheme="minorHAnsi"/>
                <w:sz w:val="18"/>
                <w:szCs w:val="18"/>
                <w:lang w:eastAsia="en-US" w:bidi="en-US"/>
              </w:rPr>
              <w:t xml:space="preserve"> environmental</w:t>
            </w:r>
            <w:r w:rsidRPr="007C4D65">
              <w:rPr>
                <w:rFonts w:asciiTheme="minorHAnsi" w:eastAsia="Calibri" w:hAnsiTheme="minorHAnsi" w:cstheme="minorHAnsi"/>
                <w:sz w:val="18"/>
                <w:szCs w:val="18"/>
                <w:lang w:eastAsia="en-US" w:bidi="en-US"/>
              </w:rPr>
              <w:t xml:space="preserve"> i</w:t>
            </w:r>
            <w:r w:rsidRPr="007C4D65">
              <w:rPr>
                <w:rFonts w:asciiTheme="minorHAnsi" w:eastAsia="Calibri" w:hAnsiTheme="minorHAnsi" w:cstheme="minorHAnsi"/>
                <w:sz w:val="18"/>
                <w:szCs w:val="18"/>
                <w:lang w:eastAsia="x-none"/>
              </w:rPr>
              <w:t>nstitutions</w:t>
            </w:r>
          </w:p>
          <w:p w14:paraId="621EF107" w14:textId="77777777" w:rsidR="00A64827" w:rsidRPr="007C4D65" w:rsidRDefault="00A64827" w:rsidP="00A64827">
            <w:pPr>
              <w:spacing w:before="40" w:after="40" w:line="276" w:lineRule="auto"/>
              <w:rPr>
                <w:rFonts w:asciiTheme="minorHAnsi" w:eastAsiaTheme="minorHAnsi" w:hAnsiTheme="minorHAnsi" w:cstheme="minorHAnsi"/>
                <w:sz w:val="18"/>
                <w:szCs w:val="18"/>
                <w:lang w:eastAsia="en-US" w:bidi="en-US"/>
              </w:rPr>
            </w:pPr>
          </w:p>
        </w:tc>
      </w:tr>
      <w:tr w:rsidR="00A64827" w:rsidRPr="007C4D65" w14:paraId="7A9A7515"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3A64431" w14:textId="1C9B3D27" w:rsidR="00A64827" w:rsidRPr="007C4D65" w:rsidRDefault="00963086" w:rsidP="00A648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shd w:val="clear" w:color="auto" w:fill="FFFFFF"/>
            <w:vAlign w:val="center"/>
          </w:tcPr>
          <w:p w14:paraId="0C92E651" w14:textId="74C2478E" w:rsidR="00A64827" w:rsidRPr="007C4D65" w:rsidRDefault="00A64827" w:rsidP="00A648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Citizens, vulnerable groups of </w:t>
            </w:r>
            <w:r w:rsidR="006C5B10" w:rsidRPr="007C4D65">
              <w:rPr>
                <w:rFonts w:asciiTheme="minorHAnsi" w:eastAsiaTheme="minorHAnsi" w:hAnsiTheme="minorHAnsi" w:cstheme="minorHAnsi"/>
                <w:sz w:val="18"/>
                <w:szCs w:val="18"/>
                <w:lang w:eastAsia="en-US" w:bidi="en-US"/>
              </w:rPr>
              <w:t xml:space="preserve">the </w:t>
            </w:r>
            <w:r w:rsidRPr="007C4D65">
              <w:rPr>
                <w:rFonts w:asciiTheme="minorHAnsi" w:eastAsiaTheme="minorHAnsi" w:hAnsiTheme="minorHAnsi" w:cstheme="minorHAnsi"/>
                <w:sz w:val="18"/>
                <w:szCs w:val="18"/>
                <w:lang w:eastAsia="en-US" w:bidi="en-US"/>
              </w:rPr>
              <w:t>population</w:t>
            </w:r>
          </w:p>
        </w:tc>
      </w:tr>
    </w:tbl>
    <w:p w14:paraId="3166B87B" w14:textId="77777777" w:rsidR="00DA51A1" w:rsidRPr="007C4D65" w:rsidRDefault="00DA51A1" w:rsidP="0068355A">
      <w:pPr>
        <w:spacing w:line="276" w:lineRule="auto"/>
        <w:rPr>
          <w:rFonts w:asciiTheme="minorHAnsi" w:hAnsiTheme="minorHAnsi" w:cstheme="minorHAnsi"/>
          <w:sz w:val="18"/>
          <w:szCs w:val="18"/>
        </w:rPr>
      </w:pPr>
    </w:p>
    <w:tbl>
      <w:tblPr>
        <w:tblW w:w="4675"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2"/>
        <w:gridCol w:w="3242"/>
        <w:gridCol w:w="2762"/>
      </w:tblGrid>
      <w:tr w:rsidR="00FB57AF" w:rsidRPr="007C4D65" w14:paraId="0B64642B" w14:textId="77777777" w:rsidTr="00B6017F">
        <w:trPr>
          <w:trHeight w:val="567"/>
        </w:trPr>
        <w:tc>
          <w:tcPr>
            <w:tcW w:w="1359" w:type="pct"/>
            <w:shd w:val="clear" w:color="auto" w:fill="009D73"/>
            <w:vAlign w:val="center"/>
          </w:tcPr>
          <w:p w14:paraId="4B946878" w14:textId="77777777" w:rsidR="00FB57AF" w:rsidRPr="007C4D65" w:rsidRDefault="00FB57AF"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Link with strategic goal </w:t>
            </w:r>
          </w:p>
        </w:tc>
        <w:tc>
          <w:tcPr>
            <w:tcW w:w="3641" w:type="pct"/>
            <w:gridSpan w:val="3"/>
            <w:shd w:val="clear" w:color="auto" w:fill="FFFFFF"/>
            <w:vAlign w:val="center"/>
          </w:tcPr>
          <w:p w14:paraId="1778ABD2" w14:textId="77777777" w:rsidR="00FB57AF" w:rsidRPr="007C4D65" w:rsidRDefault="00FB57AF" w:rsidP="00FB57AF">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7. Strengthening environmental management</w:t>
            </w:r>
          </w:p>
        </w:tc>
      </w:tr>
      <w:tr w:rsidR="00FB57AF" w:rsidRPr="007C4D65" w14:paraId="28C766E1" w14:textId="77777777" w:rsidTr="00B6017F">
        <w:trPr>
          <w:trHeight w:val="567"/>
        </w:trPr>
        <w:tc>
          <w:tcPr>
            <w:tcW w:w="1359" w:type="pct"/>
            <w:shd w:val="clear" w:color="auto" w:fill="009D73"/>
            <w:vAlign w:val="center"/>
          </w:tcPr>
          <w:p w14:paraId="25638709" w14:textId="77777777" w:rsidR="00FB57AF" w:rsidRPr="007C4D65" w:rsidRDefault="00FB57AF"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41" w:type="pct"/>
            <w:gridSpan w:val="3"/>
            <w:shd w:val="clear" w:color="auto" w:fill="FFFFFF"/>
            <w:vAlign w:val="center"/>
          </w:tcPr>
          <w:p w14:paraId="1726062B" w14:textId="359068CE" w:rsidR="00FB57AF" w:rsidRPr="007C4D65" w:rsidRDefault="00FB57AF" w:rsidP="009225E7">
            <w:pPr>
              <w:spacing w:after="160" w:line="259" w:lineRule="auto"/>
              <w:rPr>
                <w:rFonts w:asciiTheme="minorHAnsi" w:hAnsiTheme="minorHAnsi" w:cstheme="minorHAnsi"/>
                <w:b/>
                <w:bCs/>
                <w:sz w:val="18"/>
                <w:szCs w:val="18"/>
                <w:lang w:eastAsia="zh-TW"/>
              </w:rPr>
            </w:pPr>
            <w:r w:rsidRPr="007C4D65">
              <w:rPr>
                <w:rFonts w:asciiTheme="minorHAnsi" w:eastAsia="Calibri" w:hAnsiTheme="minorHAnsi" w:cstheme="minorHAnsi"/>
                <w:b/>
                <w:bCs/>
                <w:sz w:val="18"/>
                <w:szCs w:val="18"/>
                <w:lang w:eastAsia="en-US"/>
              </w:rPr>
              <w:t>7.2 Ensuring efficient implementation of the applicable legislation and international commitments</w:t>
            </w:r>
          </w:p>
        </w:tc>
      </w:tr>
      <w:tr w:rsidR="00FB57AF" w:rsidRPr="007C4D65" w14:paraId="6B4B189E" w14:textId="77777777" w:rsidTr="00B6017F">
        <w:trPr>
          <w:trHeight w:val="567"/>
        </w:trPr>
        <w:tc>
          <w:tcPr>
            <w:tcW w:w="1359" w:type="pct"/>
            <w:shd w:val="clear" w:color="auto" w:fill="009D73"/>
            <w:vAlign w:val="center"/>
          </w:tcPr>
          <w:p w14:paraId="04C2959E" w14:textId="77777777" w:rsidR="00FB57AF" w:rsidRPr="007C4D65" w:rsidRDefault="00FB57AF"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Measure</w:t>
            </w:r>
          </w:p>
        </w:tc>
        <w:tc>
          <w:tcPr>
            <w:tcW w:w="3641" w:type="pct"/>
            <w:gridSpan w:val="3"/>
            <w:shd w:val="clear" w:color="auto" w:fill="FFFFFF"/>
            <w:vAlign w:val="center"/>
          </w:tcPr>
          <w:p w14:paraId="37F273A3" w14:textId="733A2DC2" w:rsidR="00FB57AF" w:rsidRPr="007C4D65" w:rsidRDefault="00FB57AF" w:rsidP="00FB57AF">
            <w:pPr>
              <w:spacing w:before="40" w:after="40" w:line="276" w:lineRule="auto"/>
              <w:rPr>
                <w:rFonts w:asciiTheme="minorHAnsi" w:eastAsia="Calibri" w:hAnsiTheme="minorHAnsi" w:cstheme="minorHAnsi"/>
                <w:b/>
                <w:sz w:val="18"/>
                <w:szCs w:val="18"/>
                <w:lang w:eastAsia="x-none"/>
              </w:rPr>
            </w:pPr>
            <w:r w:rsidRPr="007C4D65">
              <w:rPr>
                <w:rFonts w:asciiTheme="minorHAnsi" w:eastAsia="Calibri" w:hAnsiTheme="minorHAnsi" w:cstheme="minorHAnsi"/>
                <w:b/>
                <w:sz w:val="18"/>
                <w:szCs w:val="18"/>
                <w:lang w:eastAsia="x-none"/>
              </w:rPr>
              <w:t xml:space="preserve">7.2.1 </w:t>
            </w:r>
            <w:r w:rsidR="009225E7" w:rsidRPr="007C4D65">
              <w:rPr>
                <w:rFonts w:asciiTheme="minorHAnsi" w:eastAsia="Calibri" w:hAnsiTheme="minorHAnsi" w:cstheme="minorHAnsi"/>
                <w:b/>
                <w:sz w:val="18"/>
                <w:szCs w:val="18"/>
                <w:lang w:eastAsia="x-none"/>
              </w:rPr>
              <w:t>Capacity building for</w:t>
            </w:r>
            <w:r w:rsidRPr="007C4D65">
              <w:rPr>
                <w:rFonts w:asciiTheme="minorHAnsi" w:eastAsia="Calibri" w:hAnsiTheme="minorHAnsi" w:cstheme="minorHAnsi"/>
                <w:b/>
                <w:sz w:val="18"/>
                <w:szCs w:val="18"/>
                <w:lang w:eastAsia="x-none"/>
              </w:rPr>
              <w:t xml:space="preserve"> efficient implementation of the international environmental agreements</w:t>
            </w:r>
          </w:p>
        </w:tc>
      </w:tr>
      <w:tr w:rsidR="00FB57AF" w:rsidRPr="007C4D65" w14:paraId="01225349" w14:textId="77777777" w:rsidTr="00B6017F">
        <w:trPr>
          <w:trHeight w:val="567"/>
        </w:trPr>
        <w:tc>
          <w:tcPr>
            <w:tcW w:w="1359" w:type="pct"/>
            <w:shd w:val="clear" w:color="auto" w:fill="009D73"/>
            <w:vAlign w:val="center"/>
          </w:tcPr>
          <w:p w14:paraId="3AFC4E86" w14:textId="77777777" w:rsidR="00FB57AF" w:rsidRPr="007C4D65" w:rsidRDefault="00FB57AF" w:rsidP="00FB57AF">
            <w:pPr>
              <w:spacing w:before="40" w:after="40" w:line="276" w:lineRule="auto"/>
              <w:ind w:left="406"/>
              <w:contextualSpacing/>
              <w:jc w:val="both"/>
              <w:rPr>
                <w:rFonts w:asciiTheme="minorHAnsi" w:eastAsiaTheme="minorHAnsi" w:hAnsiTheme="minorHAnsi" w:cstheme="minorHAnsi"/>
                <w:sz w:val="18"/>
                <w:szCs w:val="18"/>
                <w:lang w:eastAsia="en-US"/>
              </w:rPr>
            </w:pPr>
            <w:r w:rsidRPr="007C4D65">
              <w:rPr>
                <w:rFonts w:asciiTheme="minorHAnsi" w:eastAsiaTheme="minorHAnsi" w:hAnsiTheme="minorHAnsi" w:cstheme="minorHAnsi"/>
                <w:b/>
                <w:bCs/>
                <w:color w:val="FFFFFF" w:themeColor="background1"/>
                <w:sz w:val="18"/>
                <w:szCs w:val="18"/>
                <w:lang w:eastAsia="en-US" w:bidi="en-US"/>
              </w:rPr>
              <w:t>Description of the measure with the general area of intervention</w:t>
            </w:r>
          </w:p>
          <w:p w14:paraId="7C5D3E85" w14:textId="77777777" w:rsidR="00FB57AF" w:rsidRPr="007C4D65" w:rsidRDefault="00FB57AF"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3641" w:type="pct"/>
            <w:gridSpan w:val="3"/>
            <w:shd w:val="clear" w:color="auto" w:fill="FFFFFF"/>
            <w:vAlign w:val="center"/>
          </w:tcPr>
          <w:p w14:paraId="20347E56" w14:textId="0150AD2A" w:rsidR="00FB57AF" w:rsidRPr="007C4D65" w:rsidRDefault="00FB57AF" w:rsidP="00FB57AF">
            <w:pPr>
              <w:spacing w:after="160" w:line="276" w:lineRule="auto"/>
              <w:jc w:val="both"/>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to significantly increase Level of the implementation of the international agreements ratified by </w:t>
            </w:r>
            <w:r w:rsidR="00221B72" w:rsidRPr="007C4D65">
              <w:rPr>
                <w:rFonts w:asciiTheme="minorHAnsi" w:eastAsia="Calibri" w:hAnsiTheme="minorHAnsi" w:cstheme="minorHAnsi"/>
                <w:sz w:val="18"/>
                <w:szCs w:val="18"/>
                <w:lang w:eastAsia="en-US"/>
              </w:rPr>
              <w:t>BiH</w:t>
            </w:r>
            <w:r w:rsidRPr="007C4D65">
              <w:rPr>
                <w:rFonts w:asciiTheme="minorHAnsi" w:eastAsia="Calibri" w:hAnsiTheme="minorHAnsi" w:cstheme="minorHAnsi"/>
                <w:sz w:val="18"/>
                <w:szCs w:val="18"/>
                <w:lang w:eastAsia="en-US"/>
              </w:rPr>
              <w:t xml:space="preserve"> in accordance with responsibilities of the Federation of Bosnia and Herzegovina.</w:t>
            </w:r>
          </w:p>
          <w:p w14:paraId="18DF7333" w14:textId="77777777" w:rsidR="00FB57AF" w:rsidRPr="007C4D65" w:rsidRDefault="00FB57AF" w:rsidP="00FB57AF">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General areas of intervention</w:t>
            </w:r>
            <w:r w:rsidRPr="007C4D65">
              <w:rPr>
                <w:rFonts w:asciiTheme="minorHAnsi" w:eastAsia="Calibri" w:hAnsiTheme="minorHAnsi" w:cstheme="minorHAnsi"/>
                <w:sz w:val="18"/>
                <w:szCs w:val="18"/>
                <w:lang w:eastAsia="x-none"/>
              </w:rPr>
              <w:t>:</w:t>
            </w:r>
          </w:p>
          <w:p w14:paraId="4F5329B8" w14:textId="1D075035" w:rsidR="00FB57AF" w:rsidRPr="007C4D65" w:rsidRDefault="00221B72" w:rsidP="00221B72">
            <w:pPr>
              <w:spacing w:before="40" w:after="40" w:line="276" w:lineRule="auto"/>
              <w:contextualSpacing/>
              <w:jc w:val="both"/>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1) </w:t>
            </w:r>
            <w:r w:rsidR="00FB57AF" w:rsidRPr="007C4D65">
              <w:rPr>
                <w:rFonts w:asciiTheme="minorHAnsi" w:eastAsia="Calibri" w:hAnsiTheme="minorHAnsi" w:cstheme="minorHAnsi"/>
                <w:sz w:val="18"/>
                <w:szCs w:val="18"/>
                <w:lang w:eastAsia="x-none"/>
              </w:rPr>
              <w:t xml:space="preserve">Participation in </w:t>
            </w:r>
            <w:r w:rsidRPr="007C4D65">
              <w:rPr>
                <w:rFonts w:asciiTheme="minorHAnsi" w:eastAsia="Calibri" w:hAnsiTheme="minorHAnsi" w:cstheme="minorHAnsi"/>
                <w:sz w:val="18"/>
                <w:szCs w:val="18"/>
                <w:lang w:eastAsia="x-none"/>
              </w:rPr>
              <w:t xml:space="preserve">the preparation of national level </w:t>
            </w:r>
            <w:r w:rsidR="00FB57AF" w:rsidRPr="007C4D65">
              <w:rPr>
                <w:rFonts w:asciiTheme="minorHAnsi" w:eastAsia="Calibri" w:hAnsiTheme="minorHAnsi" w:cstheme="minorHAnsi"/>
                <w:sz w:val="18"/>
                <w:szCs w:val="18"/>
                <w:lang w:eastAsia="x-none"/>
              </w:rPr>
              <w:t>document</w:t>
            </w:r>
            <w:r w:rsidRPr="007C4D65">
              <w:rPr>
                <w:rFonts w:asciiTheme="minorHAnsi" w:eastAsia="Calibri" w:hAnsiTheme="minorHAnsi" w:cstheme="minorHAnsi"/>
                <w:sz w:val="18"/>
                <w:szCs w:val="18"/>
                <w:lang w:eastAsia="x-none"/>
              </w:rPr>
              <w:t>s</w:t>
            </w:r>
            <w:r w:rsidR="00FB57AF" w:rsidRPr="007C4D65">
              <w:rPr>
                <w:rFonts w:asciiTheme="minorHAnsi" w:eastAsia="Calibri" w:hAnsiTheme="minorHAnsi" w:cstheme="minorHAnsi"/>
                <w:sz w:val="18"/>
                <w:szCs w:val="18"/>
                <w:lang w:eastAsia="x-none"/>
              </w:rPr>
              <w:t xml:space="preserve"> on </w:t>
            </w:r>
            <w:r w:rsidRPr="007C4D65">
              <w:rPr>
                <w:rFonts w:asciiTheme="minorHAnsi" w:eastAsia="Calibri" w:hAnsiTheme="minorHAnsi" w:cstheme="minorHAnsi"/>
                <w:sz w:val="18"/>
                <w:szCs w:val="18"/>
                <w:lang w:eastAsia="x-none"/>
              </w:rPr>
              <w:t xml:space="preserve">the </w:t>
            </w:r>
            <w:r w:rsidR="00FB57AF" w:rsidRPr="007C4D65">
              <w:rPr>
                <w:rFonts w:asciiTheme="minorHAnsi" w:eastAsia="Calibri" w:hAnsiTheme="minorHAnsi" w:cstheme="minorHAnsi"/>
                <w:sz w:val="18"/>
                <w:szCs w:val="18"/>
                <w:lang w:eastAsia="x-none"/>
              </w:rPr>
              <w:t xml:space="preserve">implementation of the international agreements/conventions </w:t>
            </w:r>
            <w:r w:rsidRPr="007C4D65">
              <w:rPr>
                <w:rFonts w:asciiTheme="minorHAnsi" w:eastAsia="Calibri" w:hAnsiTheme="minorHAnsi" w:cstheme="minorHAnsi"/>
                <w:sz w:val="18"/>
                <w:szCs w:val="18"/>
                <w:lang w:eastAsia="x-none"/>
              </w:rPr>
              <w:t>aimed at formalizing the</w:t>
            </w:r>
            <w:r w:rsidR="00FB57AF" w:rsidRPr="007C4D65">
              <w:rPr>
                <w:rFonts w:asciiTheme="minorHAnsi" w:eastAsia="Calibri" w:hAnsiTheme="minorHAnsi" w:cstheme="minorHAnsi"/>
                <w:sz w:val="18"/>
                <w:szCs w:val="18"/>
                <w:lang w:eastAsia="x-none"/>
              </w:rPr>
              <w:t xml:space="preserve"> framework for </w:t>
            </w:r>
            <w:r w:rsidRPr="007C4D65">
              <w:rPr>
                <w:rFonts w:asciiTheme="minorHAnsi" w:eastAsia="Calibri" w:hAnsiTheme="minorHAnsi" w:cstheme="minorHAnsi"/>
                <w:sz w:val="18"/>
                <w:szCs w:val="18"/>
                <w:lang w:eastAsia="x-none"/>
              </w:rPr>
              <w:t xml:space="preserve">the </w:t>
            </w:r>
            <w:r w:rsidR="00FB57AF" w:rsidRPr="007C4D65">
              <w:rPr>
                <w:rFonts w:asciiTheme="minorHAnsi" w:eastAsia="Calibri" w:hAnsiTheme="minorHAnsi" w:cstheme="minorHAnsi"/>
                <w:sz w:val="18"/>
                <w:szCs w:val="18"/>
                <w:lang w:eastAsia="x-none"/>
              </w:rPr>
              <w:t xml:space="preserve">implementation of the international </w:t>
            </w:r>
            <w:r w:rsidRPr="007C4D65">
              <w:rPr>
                <w:rFonts w:asciiTheme="minorHAnsi" w:eastAsia="Calibri" w:hAnsiTheme="minorHAnsi" w:cstheme="minorHAnsi"/>
                <w:sz w:val="18"/>
                <w:szCs w:val="18"/>
                <w:lang w:eastAsia="x-none"/>
              </w:rPr>
              <w:t xml:space="preserve">environmental </w:t>
            </w:r>
            <w:r w:rsidR="00FB57AF" w:rsidRPr="007C4D65">
              <w:rPr>
                <w:rFonts w:asciiTheme="minorHAnsi" w:eastAsia="Calibri" w:hAnsiTheme="minorHAnsi" w:cstheme="minorHAnsi"/>
                <w:sz w:val="18"/>
                <w:szCs w:val="18"/>
                <w:lang w:eastAsia="x-none"/>
              </w:rPr>
              <w:t xml:space="preserve">agreements and other international commitments of </w:t>
            </w:r>
            <w:proofErr w:type="gramStart"/>
            <w:r w:rsidRPr="007C4D65">
              <w:rPr>
                <w:rFonts w:asciiTheme="minorHAnsi" w:eastAsia="Calibri" w:hAnsiTheme="minorHAnsi" w:cstheme="minorHAnsi"/>
                <w:sz w:val="18"/>
                <w:szCs w:val="18"/>
                <w:lang w:eastAsia="x-none"/>
              </w:rPr>
              <w:t>BiH</w:t>
            </w:r>
            <w:r w:rsidR="00EA23CE" w:rsidRPr="007C4D65">
              <w:rPr>
                <w:rFonts w:asciiTheme="minorHAnsi" w:eastAsia="Calibri" w:hAnsiTheme="minorHAnsi" w:cstheme="minorHAnsi"/>
                <w:sz w:val="18"/>
                <w:szCs w:val="18"/>
                <w:lang w:eastAsia="x-none"/>
              </w:rPr>
              <w:t>;</w:t>
            </w:r>
            <w:proofErr w:type="gramEnd"/>
          </w:p>
          <w:p w14:paraId="4474488B" w14:textId="3C9CBF25" w:rsidR="00FB57AF" w:rsidRPr="007C4D65" w:rsidRDefault="00221B72" w:rsidP="00221B72">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2) </w:t>
            </w:r>
            <w:r w:rsidR="00FB57AF" w:rsidRPr="007C4D65">
              <w:rPr>
                <w:rFonts w:asciiTheme="minorHAnsi" w:eastAsia="Calibri" w:hAnsiTheme="minorHAnsi" w:cstheme="minorHAnsi"/>
                <w:sz w:val="18"/>
                <w:szCs w:val="18"/>
                <w:lang w:eastAsia="x-none"/>
              </w:rPr>
              <w:t xml:space="preserve">Ensuring public access, </w:t>
            </w:r>
            <w:r w:rsidRPr="007C4D65">
              <w:rPr>
                <w:rFonts w:asciiTheme="minorHAnsi" w:eastAsia="Calibri" w:hAnsiTheme="minorHAnsi" w:cstheme="minorHAnsi"/>
                <w:sz w:val="18"/>
                <w:szCs w:val="18"/>
                <w:lang w:eastAsia="x-none"/>
              </w:rPr>
              <w:t>through websites</w:t>
            </w:r>
            <w:r w:rsidR="00FB57AF" w:rsidRPr="007C4D65">
              <w:rPr>
                <w:rFonts w:asciiTheme="minorHAnsi" w:eastAsia="Calibri" w:hAnsiTheme="minorHAnsi" w:cstheme="minorHAnsi"/>
                <w:sz w:val="18"/>
                <w:szCs w:val="18"/>
                <w:lang w:eastAsia="x-none"/>
              </w:rPr>
              <w:t xml:space="preserve"> of the </w:t>
            </w:r>
            <w:r w:rsidR="001E6E20" w:rsidRPr="007C4D65">
              <w:rPr>
                <w:rFonts w:asciiTheme="minorHAnsi" w:eastAsia="Calibri" w:hAnsiTheme="minorHAnsi" w:cstheme="minorHAnsi"/>
                <w:sz w:val="18"/>
                <w:szCs w:val="18"/>
                <w:lang w:eastAsia="x-none"/>
              </w:rPr>
              <w:t>Federation Ministry</w:t>
            </w:r>
            <w:r w:rsidR="00FB57AF" w:rsidRPr="007C4D65">
              <w:rPr>
                <w:rFonts w:asciiTheme="minorHAnsi" w:eastAsia="Calibri" w:hAnsiTheme="minorHAnsi" w:cstheme="minorHAnsi"/>
                <w:sz w:val="18"/>
                <w:szCs w:val="18"/>
                <w:lang w:eastAsia="x-none"/>
              </w:rPr>
              <w:t xml:space="preserve"> of Environment and Tourism and other </w:t>
            </w:r>
            <w:r w:rsidRPr="007C4D65">
              <w:rPr>
                <w:rFonts w:asciiTheme="minorHAnsi" w:eastAsia="Calibri" w:hAnsiTheme="minorHAnsi" w:cstheme="minorHAnsi"/>
                <w:sz w:val="18"/>
                <w:szCs w:val="18"/>
                <w:lang w:eastAsia="x-none"/>
              </w:rPr>
              <w:t xml:space="preserve">competent </w:t>
            </w:r>
            <w:r w:rsidR="00FB57AF" w:rsidRPr="007C4D65">
              <w:rPr>
                <w:rFonts w:asciiTheme="minorHAnsi" w:eastAsia="Calibri" w:hAnsiTheme="minorHAnsi" w:cstheme="minorHAnsi"/>
                <w:sz w:val="18"/>
                <w:szCs w:val="18"/>
                <w:lang w:eastAsia="x-none"/>
              </w:rPr>
              <w:t xml:space="preserve">institutions, to official documents of global, regional and bilateral environmental agreements ratified </w:t>
            </w:r>
            <w:r w:rsidRPr="007C4D65">
              <w:rPr>
                <w:rFonts w:asciiTheme="minorHAnsi" w:eastAsia="Calibri" w:hAnsiTheme="minorHAnsi" w:cstheme="minorHAnsi"/>
                <w:sz w:val="18"/>
                <w:szCs w:val="18"/>
                <w:lang w:eastAsia="x-none"/>
              </w:rPr>
              <w:t xml:space="preserve">by </w:t>
            </w:r>
            <w:r w:rsidR="00FB57AF" w:rsidRPr="007C4D65">
              <w:rPr>
                <w:rFonts w:asciiTheme="minorHAnsi" w:eastAsia="Calibri" w:hAnsiTheme="minorHAnsi" w:cstheme="minorHAnsi"/>
                <w:sz w:val="18"/>
                <w:szCs w:val="18"/>
                <w:lang w:eastAsia="x-none"/>
              </w:rPr>
              <w:t>B</w:t>
            </w:r>
            <w:r w:rsidRPr="007C4D65">
              <w:rPr>
                <w:rFonts w:asciiTheme="minorHAnsi" w:eastAsia="Calibri" w:hAnsiTheme="minorHAnsi" w:cstheme="minorHAnsi"/>
                <w:sz w:val="18"/>
                <w:szCs w:val="18"/>
                <w:lang w:eastAsia="x-none"/>
              </w:rPr>
              <w:t>i</w:t>
            </w:r>
            <w:r w:rsidR="00FB57AF" w:rsidRPr="007C4D65">
              <w:rPr>
                <w:rFonts w:asciiTheme="minorHAnsi" w:eastAsia="Calibri" w:hAnsiTheme="minorHAnsi" w:cstheme="minorHAnsi"/>
                <w:sz w:val="18"/>
                <w:szCs w:val="18"/>
                <w:lang w:eastAsia="x-none"/>
              </w:rPr>
              <w:t xml:space="preserve">H (including </w:t>
            </w:r>
            <w:r w:rsidRPr="007C4D65">
              <w:rPr>
                <w:rFonts w:asciiTheme="minorHAnsi" w:eastAsia="Calibri" w:hAnsiTheme="minorHAnsi" w:cstheme="minorHAnsi"/>
                <w:sz w:val="18"/>
                <w:szCs w:val="18"/>
                <w:lang w:eastAsia="x-none"/>
              </w:rPr>
              <w:t xml:space="preserve">their </w:t>
            </w:r>
            <w:r w:rsidR="00FB57AF" w:rsidRPr="007C4D65">
              <w:rPr>
                <w:rFonts w:asciiTheme="minorHAnsi" w:eastAsia="Calibri" w:hAnsiTheme="minorHAnsi" w:cstheme="minorHAnsi"/>
                <w:sz w:val="18"/>
                <w:szCs w:val="18"/>
                <w:lang w:eastAsia="x-none"/>
              </w:rPr>
              <w:t xml:space="preserve">translations into official languages), </w:t>
            </w:r>
            <w:r w:rsidRPr="007C4D65">
              <w:rPr>
                <w:rFonts w:asciiTheme="minorHAnsi" w:eastAsia="Calibri" w:hAnsiTheme="minorHAnsi" w:cstheme="minorHAnsi"/>
                <w:sz w:val="18"/>
                <w:szCs w:val="18"/>
                <w:lang w:eastAsia="x-none"/>
              </w:rPr>
              <w:t>and to information on</w:t>
            </w:r>
            <w:r w:rsidR="00FB57AF" w:rsidRPr="007C4D65">
              <w:rPr>
                <w:rFonts w:asciiTheme="minorHAnsi" w:eastAsia="Calibri" w:hAnsiTheme="minorHAnsi" w:cstheme="minorHAnsi"/>
                <w:sz w:val="18"/>
                <w:szCs w:val="18"/>
                <w:lang w:eastAsia="x-none"/>
              </w:rPr>
              <w:t xml:space="preserve"> status of </w:t>
            </w:r>
            <w:r w:rsidRPr="007C4D65">
              <w:rPr>
                <w:rFonts w:asciiTheme="minorHAnsi" w:eastAsia="Calibri" w:hAnsiTheme="minorHAnsi" w:cstheme="minorHAnsi"/>
                <w:sz w:val="18"/>
                <w:szCs w:val="18"/>
                <w:lang w:eastAsia="x-none"/>
              </w:rPr>
              <w:t>BiH as a party to</w:t>
            </w:r>
            <w:r w:rsidR="00FB57AF" w:rsidRPr="007C4D65">
              <w:rPr>
                <w:rFonts w:asciiTheme="minorHAnsi" w:eastAsia="Calibri" w:hAnsiTheme="minorHAnsi" w:cstheme="minorHAnsi"/>
                <w:sz w:val="18"/>
                <w:szCs w:val="18"/>
                <w:lang w:eastAsia="x-none"/>
              </w:rPr>
              <w:t xml:space="preserve"> these agreements and their implementation (</w:t>
            </w:r>
            <w:r w:rsidR="003E227A" w:rsidRPr="007C4D65">
              <w:rPr>
                <w:rFonts w:asciiTheme="minorHAnsi" w:eastAsia="Calibri" w:hAnsiTheme="minorHAnsi" w:cstheme="minorHAnsi"/>
                <w:sz w:val="18"/>
                <w:szCs w:val="18"/>
                <w:lang w:eastAsia="x-none"/>
              </w:rPr>
              <w:t>after they receive the information</w:t>
            </w:r>
            <w:r w:rsidR="00FB57AF" w:rsidRPr="007C4D65">
              <w:rPr>
                <w:rFonts w:asciiTheme="minorHAnsi" w:eastAsia="Calibri" w:hAnsiTheme="minorHAnsi" w:cstheme="minorHAnsi"/>
                <w:sz w:val="18"/>
                <w:szCs w:val="18"/>
                <w:lang w:eastAsia="x-none"/>
              </w:rPr>
              <w:t xml:space="preserve"> from the institutions of </w:t>
            </w:r>
            <w:r w:rsidR="003E227A" w:rsidRPr="007C4D65">
              <w:rPr>
                <w:rFonts w:asciiTheme="minorHAnsi" w:eastAsia="Calibri" w:hAnsiTheme="minorHAnsi" w:cstheme="minorHAnsi"/>
                <w:sz w:val="18"/>
                <w:szCs w:val="18"/>
                <w:lang w:eastAsia="x-none"/>
              </w:rPr>
              <w:t>BiH</w:t>
            </w:r>
            <w:proofErr w:type="gramStart"/>
            <w:r w:rsidR="00FB57AF" w:rsidRPr="007C4D65">
              <w:rPr>
                <w:rFonts w:asciiTheme="minorHAnsi" w:eastAsia="Calibri" w:hAnsiTheme="minorHAnsi" w:cstheme="minorHAnsi"/>
                <w:sz w:val="18"/>
                <w:szCs w:val="18"/>
                <w:lang w:eastAsia="x-none"/>
              </w:rPr>
              <w:t>)</w:t>
            </w:r>
            <w:r w:rsidR="00EA23CE" w:rsidRPr="007C4D65">
              <w:rPr>
                <w:rFonts w:asciiTheme="minorHAnsi" w:eastAsia="Calibri" w:hAnsiTheme="minorHAnsi" w:cstheme="minorHAnsi"/>
                <w:sz w:val="18"/>
                <w:szCs w:val="18"/>
                <w:lang w:eastAsia="x-none"/>
              </w:rPr>
              <w:t>;</w:t>
            </w:r>
            <w:proofErr w:type="gramEnd"/>
          </w:p>
          <w:p w14:paraId="3C0FC806" w14:textId="645DC9A1" w:rsidR="00FB57AF" w:rsidRPr="007C4D65" w:rsidRDefault="003E227A" w:rsidP="003E227A">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3</w:t>
            </w:r>
            <w:r w:rsidRPr="007C4D65">
              <w:rPr>
                <w:rFonts w:asciiTheme="minorHAnsi" w:eastAsia="Calibri" w:hAnsiTheme="minorHAnsi" w:cstheme="minorHAnsi"/>
                <w:sz w:val="18"/>
                <w:szCs w:val="18"/>
                <w:lang w:val="bs-Latn-BA" w:eastAsia="x-none"/>
              </w:rPr>
              <w:t xml:space="preserve">) </w:t>
            </w:r>
            <w:r w:rsidR="00FB57AF" w:rsidRPr="007C4D65">
              <w:rPr>
                <w:rFonts w:asciiTheme="minorHAnsi" w:eastAsia="Calibri" w:hAnsiTheme="minorHAnsi" w:cstheme="minorHAnsi"/>
                <w:sz w:val="18"/>
                <w:szCs w:val="18"/>
                <w:lang w:eastAsia="x-none"/>
              </w:rPr>
              <w:t>Organization of training</w:t>
            </w:r>
            <w:r w:rsidRPr="007C4D65">
              <w:rPr>
                <w:rFonts w:asciiTheme="minorHAnsi" w:eastAsia="Calibri" w:hAnsiTheme="minorHAnsi" w:cstheme="minorHAnsi"/>
                <w:sz w:val="18"/>
                <w:szCs w:val="18"/>
                <w:lang w:eastAsia="x-none"/>
              </w:rPr>
              <w:t>s</w:t>
            </w:r>
            <w:r w:rsidR="00FB57AF" w:rsidRPr="007C4D65">
              <w:rPr>
                <w:rFonts w:asciiTheme="minorHAnsi" w:eastAsia="Calibri" w:hAnsiTheme="minorHAnsi" w:cstheme="minorHAnsi"/>
                <w:sz w:val="18"/>
                <w:szCs w:val="18"/>
                <w:lang w:eastAsia="x-none"/>
              </w:rPr>
              <w:t xml:space="preserve"> for the employees in the institutions </w:t>
            </w:r>
            <w:r w:rsidRPr="007C4D65">
              <w:rPr>
                <w:rFonts w:asciiTheme="minorHAnsi" w:eastAsia="Calibri" w:hAnsiTheme="minorHAnsi" w:cstheme="minorHAnsi"/>
                <w:sz w:val="18"/>
                <w:szCs w:val="18"/>
                <w:lang w:eastAsia="x-none"/>
              </w:rPr>
              <w:t>about the</w:t>
            </w:r>
            <w:r w:rsidR="00FB57AF" w:rsidRPr="007C4D65">
              <w:rPr>
                <w:rFonts w:asciiTheme="minorHAnsi" w:eastAsia="Calibri" w:hAnsiTheme="minorHAnsi" w:cstheme="minorHAnsi"/>
                <w:sz w:val="18"/>
                <w:szCs w:val="18"/>
                <w:lang w:eastAsia="x-none"/>
              </w:rPr>
              <w:t xml:space="preserve"> adequate application of the international </w:t>
            </w:r>
            <w:proofErr w:type="gramStart"/>
            <w:r w:rsidR="00FB57AF" w:rsidRPr="007C4D65">
              <w:rPr>
                <w:rFonts w:asciiTheme="minorHAnsi" w:eastAsia="Calibri" w:hAnsiTheme="minorHAnsi" w:cstheme="minorHAnsi"/>
                <w:sz w:val="18"/>
                <w:szCs w:val="18"/>
                <w:lang w:eastAsia="x-none"/>
              </w:rPr>
              <w:t>agreements</w:t>
            </w:r>
            <w:r w:rsidR="00EA23CE" w:rsidRPr="007C4D65">
              <w:rPr>
                <w:rFonts w:asciiTheme="minorHAnsi" w:eastAsia="Calibri" w:hAnsiTheme="minorHAnsi" w:cstheme="minorHAnsi"/>
                <w:sz w:val="18"/>
                <w:szCs w:val="18"/>
                <w:lang w:eastAsia="x-none"/>
              </w:rPr>
              <w:t>;</w:t>
            </w:r>
            <w:proofErr w:type="gramEnd"/>
          </w:p>
          <w:p w14:paraId="44796B9E" w14:textId="0690A919" w:rsidR="00FB57AF" w:rsidRPr="007C4D65" w:rsidRDefault="003E227A" w:rsidP="003E227A">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4) Regulating the cooperation</w:t>
            </w:r>
            <w:r w:rsidR="00FB57AF"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 xml:space="preserve">with </w:t>
            </w:r>
            <w:r w:rsidR="00FB57AF" w:rsidRPr="007C4D65">
              <w:rPr>
                <w:rFonts w:asciiTheme="minorHAnsi" w:eastAsia="Calibri" w:hAnsiTheme="minorHAnsi" w:cstheme="minorHAnsi"/>
                <w:sz w:val="18"/>
                <w:szCs w:val="18"/>
                <w:lang w:eastAsia="x-none"/>
              </w:rPr>
              <w:t>and establish</w:t>
            </w:r>
            <w:r w:rsidRPr="007C4D65">
              <w:rPr>
                <w:rFonts w:asciiTheme="minorHAnsi" w:eastAsia="Calibri" w:hAnsiTheme="minorHAnsi" w:cstheme="minorHAnsi"/>
                <w:sz w:val="18"/>
                <w:szCs w:val="18"/>
                <w:lang w:eastAsia="x-none"/>
              </w:rPr>
              <w:t>ing</w:t>
            </w:r>
            <w:r w:rsidR="00FB57AF" w:rsidRPr="007C4D65">
              <w:rPr>
                <w:rFonts w:asciiTheme="minorHAnsi" w:eastAsia="Calibri" w:hAnsiTheme="minorHAnsi" w:cstheme="minorHAnsi"/>
                <w:sz w:val="18"/>
                <w:szCs w:val="18"/>
                <w:lang w:eastAsia="x-none"/>
              </w:rPr>
              <w:t xml:space="preserve"> communication channels with civil society organizations from the </w:t>
            </w:r>
            <w:r w:rsidRPr="007C4D65">
              <w:rPr>
                <w:rFonts w:asciiTheme="minorHAnsi" w:eastAsia="Calibri" w:hAnsiTheme="minorHAnsi" w:cstheme="minorHAnsi"/>
                <w:sz w:val="18"/>
                <w:szCs w:val="18"/>
                <w:lang w:eastAsia="x-none"/>
              </w:rPr>
              <w:t xml:space="preserve">territory of the </w:t>
            </w:r>
            <w:r w:rsidR="00FB57AF" w:rsidRPr="007C4D65">
              <w:rPr>
                <w:rFonts w:asciiTheme="minorHAnsi" w:eastAsia="Calibri" w:hAnsiTheme="minorHAnsi" w:cstheme="minorHAnsi"/>
                <w:sz w:val="18"/>
                <w:szCs w:val="18"/>
                <w:lang w:eastAsia="x-none"/>
              </w:rPr>
              <w:t xml:space="preserve">Federation of </w:t>
            </w:r>
            <w:r w:rsidRPr="007C4D65">
              <w:rPr>
                <w:rFonts w:asciiTheme="minorHAnsi" w:eastAsia="Calibri" w:hAnsiTheme="minorHAnsi" w:cstheme="minorHAnsi"/>
                <w:sz w:val="18"/>
                <w:szCs w:val="18"/>
                <w:lang w:eastAsia="x-none"/>
              </w:rPr>
              <w:t>BiH</w:t>
            </w:r>
            <w:r w:rsidR="00FB57AF" w:rsidRPr="007C4D65">
              <w:rPr>
                <w:rFonts w:asciiTheme="minorHAnsi" w:eastAsia="Calibri" w:hAnsiTheme="minorHAnsi" w:cstheme="minorHAnsi"/>
                <w:sz w:val="18"/>
                <w:szCs w:val="18"/>
                <w:lang w:eastAsia="x-none"/>
              </w:rPr>
              <w:t xml:space="preserve"> which express interest </w:t>
            </w:r>
            <w:r w:rsidRPr="007C4D65">
              <w:rPr>
                <w:rFonts w:asciiTheme="minorHAnsi" w:eastAsia="Calibri" w:hAnsiTheme="minorHAnsi" w:cstheme="minorHAnsi"/>
                <w:sz w:val="18"/>
                <w:szCs w:val="18"/>
                <w:lang w:eastAsia="x-none"/>
              </w:rPr>
              <w:t>in</w:t>
            </w:r>
            <w:r w:rsidR="00FB57AF" w:rsidRPr="007C4D65">
              <w:rPr>
                <w:rFonts w:asciiTheme="minorHAnsi" w:eastAsia="Calibri" w:hAnsiTheme="minorHAnsi" w:cstheme="minorHAnsi"/>
                <w:sz w:val="18"/>
                <w:szCs w:val="18"/>
                <w:lang w:eastAsia="x-none"/>
              </w:rPr>
              <w:t xml:space="preserve"> particip</w:t>
            </w:r>
            <w:r w:rsidRPr="007C4D65">
              <w:rPr>
                <w:rFonts w:asciiTheme="minorHAnsi" w:eastAsia="Calibri" w:hAnsiTheme="minorHAnsi" w:cstheme="minorHAnsi"/>
                <w:sz w:val="18"/>
                <w:szCs w:val="18"/>
                <w:lang w:eastAsia="x-none"/>
              </w:rPr>
              <w:t>ating</w:t>
            </w:r>
            <w:r w:rsidR="00FB57AF" w:rsidRPr="007C4D65">
              <w:rPr>
                <w:rFonts w:asciiTheme="minorHAnsi" w:eastAsia="Calibri" w:hAnsiTheme="minorHAnsi" w:cstheme="minorHAnsi"/>
                <w:sz w:val="18"/>
                <w:szCs w:val="18"/>
                <w:lang w:eastAsia="x-none"/>
              </w:rPr>
              <w:t xml:space="preserve"> in</w:t>
            </w:r>
            <w:r w:rsidRPr="007C4D65">
              <w:rPr>
                <w:rFonts w:asciiTheme="minorHAnsi" w:eastAsia="Calibri" w:hAnsiTheme="minorHAnsi" w:cstheme="minorHAnsi"/>
                <w:sz w:val="18"/>
                <w:szCs w:val="18"/>
                <w:lang w:eastAsia="x-none"/>
              </w:rPr>
              <w:t xml:space="preserve"> the</w:t>
            </w:r>
            <w:r w:rsidR="00FB57AF" w:rsidRPr="007C4D65">
              <w:rPr>
                <w:rFonts w:asciiTheme="minorHAnsi" w:eastAsia="Calibri" w:hAnsiTheme="minorHAnsi" w:cstheme="minorHAnsi"/>
                <w:sz w:val="18"/>
                <w:szCs w:val="18"/>
                <w:lang w:eastAsia="x-none"/>
              </w:rPr>
              <w:t xml:space="preserve"> preparation of reports on </w:t>
            </w:r>
            <w:r w:rsidRPr="007C4D65">
              <w:rPr>
                <w:rFonts w:asciiTheme="minorHAnsi" w:eastAsia="Calibri" w:hAnsiTheme="minorHAnsi" w:cstheme="minorHAnsi"/>
                <w:sz w:val="18"/>
                <w:szCs w:val="18"/>
                <w:lang w:eastAsia="x-none"/>
              </w:rPr>
              <w:t xml:space="preserve">the </w:t>
            </w:r>
            <w:r w:rsidR="00FB57AF" w:rsidRPr="007C4D65">
              <w:rPr>
                <w:rFonts w:asciiTheme="minorHAnsi" w:eastAsia="Calibri" w:hAnsiTheme="minorHAnsi" w:cstheme="minorHAnsi"/>
                <w:sz w:val="18"/>
                <w:szCs w:val="18"/>
                <w:lang w:eastAsia="x-none"/>
              </w:rPr>
              <w:t xml:space="preserve">implementation of multi-lateral environmental agreements, in particular the agreements </w:t>
            </w:r>
            <w:r w:rsidR="004F134D" w:rsidRPr="007C4D65">
              <w:rPr>
                <w:rFonts w:asciiTheme="minorHAnsi" w:eastAsia="Calibri" w:hAnsiTheme="minorHAnsi" w:cstheme="minorHAnsi"/>
                <w:sz w:val="18"/>
                <w:szCs w:val="18"/>
                <w:lang w:eastAsia="x-none"/>
              </w:rPr>
              <w:t>for</w:t>
            </w:r>
            <w:r w:rsidR="00FB57AF" w:rsidRPr="007C4D65">
              <w:rPr>
                <w:rFonts w:asciiTheme="minorHAnsi" w:eastAsia="Calibri" w:hAnsiTheme="minorHAnsi" w:cstheme="minorHAnsi"/>
                <w:sz w:val="18"/>
                <w:szCs w:val="18"/>
                <w:lang w:eastAsia="x-none"/>
              </w:rPr>
              <w:t xml:space="preserve"> which </w:t>
            </w:r>
            <w:r w:rsidRPr="007C4D65">
              <w:rPr>
                <w:rFonts w:asciiTheme="minorHAnsi" w:eastAsia="Calibri" w:hAnsiTheme="minorHAnsi" w:cstheme="minorHAnsi"/>
                <w:sz w:val="18"/>
                <w:szCs w:val="18"/>
                <w:lang w:eastAsia="x-none"/>
              </w:rPr>
              <w:t xml:space="preserve">the ministries of Federation of BiH </w:t>
            </w:r>
            <w:r w:rsidR="004F134D" w:rsidRPr="007C4D65">
              <w:rPr>
                <w:rFonts w:asciiTheme="minorHAnsi" w:eastAsia="Calibri" w:hAnsiTheme="minorHAnsi" w:cstheme="minorHAnsi"/>
                <w:sz w:val="18"/>
                <w:szCs w:val="18"/>
                <w:lang w:eastAsia="x-none"/>
              </w:rPr>
              <w:t xml:space="preserve">are the national </w:t>
            </w:r>
            <w:r w:rsidR="00FB57AF" w:rsidRPr="007C4D65">
              <w:rPr>
                <w:rFonts w:asciiTheme="minorHAnsi" w:eastAsia="Calibri" w:hAnsiTheme="minorHAnsi" w:cstheme="minorHAnsi"/>
                <w:sz w:val="18"/>
                <w:szCs w:val="18"/>
                <w:lang w:eastAsia="x-none"/>
              </w:rPr>
              <w:t>focal points (NFP</w:t>
            </w:r>
            <w:r w:rsidRPr="007C4D65">
              <w:rPr>
                <w:rFonts w:asciiTheme="minorHAnsi" w:eastAsia="Calibri" w:hAnsiTheme="minorHAnsi" w:cstheme="minorHAnsi"/>
                <w:sz w:val="18"/>
                <w:szCs w:val="18"/>
                <w:lang w:eastAsia="x-none"/>
              </w:rPr>
              <w:t>)</w:t>
            </w:r>
            <w:r w:rsidR="00FB57AF" w:rsidRPr="007C4D65">
              <w:rPr>
                <w:rFonts w:asciiTheme="minorHAnsi" w:eastAsia="Calibri" w:hAnsiTheme="minorHAnsi" w:cstheme="minorHAnsi"/>
                <w:sz w:val="18"/>
                <w:szCs w:val="18"/>
                <w:lang w:eastAsia="x-none"/>
              </w:rPr>
              <w:t>.</w:t>
            </w:r>
          </w:p>
        </w:tc>
      </w:tr>
      <w:tr w:rsidR="00FB57AF" w:rsidRPr="007C4D65" w14:paraId="1994AAFF" w14:textId="77777777" w:rsidTr="00B6017F">
        <w:trPr>
          <w:trHeight w:val="567"/>
        </w:trPr>
        <w:tc>
          <w:tcPr>
            <w:tcW w:w="1359" w:type="pct"/>
            <w:shd w:val="clear" w:color="auto" w:fill="009D73"/>
            <w:vAlign w:val="center"/>
          </w:tcPr>
          <w:p w14:paraId="1CE1C48E" w14:textId="77777777" w:rsidR="00FB57AF" w:rsidRPr="007C4D65" w:rsidRDefault="00FB57AF"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Strategic projects </w:t>
            </w:r>
          </w:p>
        </w:tc>
        <w:tc>
          <w:tcPr>
            <w:tcW w:w="3641" w:type="pct"/>
            <w:gridSpan w:val="3"/>
            <w:shd w:val="clear" w:color="auto" w:fill="FFFFFF" w:themeFill="background1"/>
            <w:vAlign w:val="center"/>
          </w:tcPr>
          <w:p w14:paraId="1C3E356F" w14:textId="77777777" w:rsidR="00FB57AF" w:rsidRPr="007C4D65" w:rsidRDefault="00FB57AF" w:rsidP="00FB57AF">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FB57AF" w:rsidRPr="007C4D65" w14:paraId="581B9D0D" w14:textId="77777777" w:rsidTr="00B6017F">
        <w:trPr>
          <w:trHeight w:val="567"/>
        </w:trPr>
        <w:tc>
          <w:tcPr>
            <w:tcW w:w="1359" w:type="pct"/>
            <w:vMerge w:val="restart"/>
            <w:shd w:val="clear" w:color="auto" w:fill="009D73"/>
            <w:vAlign w:val="center"/>
          </w:tcPr>
          <w:p w14:paraId="7770B54A" w14:textId="77777777" w:rsidR="00FB57AF" w:rsidRPr="007C4D65" w:rsidRDefault="00FB57AF"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9E7C65E" w14:textId="77777777" w:rsidR="00FB57AF" w:rsidRPr="007C4D65" w:rsidRDefault="00FB57AF" w:rsidP="00FB57A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0BB1C45E" w14:textId="77777777" w:rsidR="00FB57AF" w:rsidRPr="007C4D65" w:rsidRDefault="00FB57AF" w:rsidP="00FB57AF">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DC6F0D0" w14:textId="77777777" w:rsidR="00FB57AF" w:rsidRPr="007C4D65" w:rsidRDefault="00FB57AF" w:rsidP="00FB57A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14112AEA" w14:textId="3A07D935" w:rsidR="00FB57AF" w:rsidRPr="007C4D65" w:rsidRDefault="00FB57AF" w:rsidP="00FB57AF">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1A81431" w14:textId="77777777" w:rsidR="00FB57AF" w:rsidRPr="007C4D65" w:rsidRDefault="00FB57AF" w:rsidP="00FB57AF">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value</w:t>
            </w:r>
          </w:p>
        </w:tc>
      </w:tr>
      <w:tr w:rsidR="00FB57AF" w:rsidRPr="007C4D65" w14:paraId="7B629DFC" w14:textId="77777777" w:rsidTr="00B6017F">
        <w:trPr>
          <w:trHeight w:val="567"/>
        </w:trPr>
        <w:tc>
          <w:tcPr>
            <w:tcW w:w="1359" w:type="pct"/>
            <w:vMerge/>
            <w:shd w:val="clear" w:color="auto" w:fill="009D73"/>
            <w:vAlign w:val="center"/>
          </w:tcPr>
          <w:p w14:paraId="3664E24D" w14:textId="77777777" w:rsidR="00FB57AF" w:rsidRPr="007C4D65" w:rsidRDefault="00FB57AF"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574A70FF" w14:textId="1001BA49" w:rsidR="00FB57AF" w:rsidRPr="007C4D65" w:rsidRDefault="00FB57AF">
            <w:pPr>
              <w:numPr>
                <w:ilvl w:val="0"/>
                <w:numId w:val="152"/>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Participation of the institutions of the Federation of </w:t>
            </w:r>
            <w:r w:rsidR="004F134D" w:rsidRPr="007C4D65">
              <w:rPr>
                <w:rFonts w:asciiTheme="minorHAnsi" w:eastAsia="Calibri" w:hAnsiTheme="minorHAnsi" w:cstheme="minorHAnsi"/>
                <w:sz w:val="18"/>
                <w:szCs w:val="18"/>
                <w:lang w:eastAsia="x-none"/>
              </w:rPr>
              <w:t>BiH</w:t>
            </w:r>
            <w:r w:rsidRPr="007C4D65">
              <w:rPr>
                <w:rFonts w:asciiTheme="minorHAnsi" w:eastAsia="Calibri" w:hAnsiTheme="minorHAnsi" w:cstheme="minorHAnsi"/>
                <w:sz w:val="18"/>
                <w:szCs w:val="18"/>
                <w:lang w:eastAsia="x-none"/>
              </w:rPr>
              <w:t xml:space="preserve"> in </w:t>
            </w:r>
            <w:r w:rsidR="004F134D" w:rsidRPr="007C4D65">
              <w:rPr>
                <w:rFonts w:asciiTheme="minorHAnsi" w:eastAsia="Calibri" w:hAnsiTheme="minorHAnsi" w:cstheme="minorHAnsi"/>
                <w:sz w:val="18"/>
                <w:szCs w:val="18"/>
                <w:lang w:eastAsia="x-none"/>
              </w:rPr>
              <w:t>the preparation</w:t>
            </w:r>
            <w:r w:rsidRPr="007C4D65">
              <w:rPr>
                <w:rFonts w:asciiTheme="minorHAnsi" w:eastAsia="Calibri" w:hAnsiTheme="minorHAnsi" w:cstheme="minorHAnsi"/>
                <w:sz w:val="18"/>
                <w:szCs w:val="18"/>
                <w:lang w:eastAsia="x-none"/>
              </w:rPr>
              <w:t xml:space="preserve"> of the documents </w:t>
            </w:r>
            <w:r w:rsidR="004F134D" w:rsidRPr="007C4D65">
              <w:rPr>
                <w:rFonts w:asciiTheme="minorHAnsi" w:eastAsia="Calibri" w:hAnsiTheme="minorHAnsi" w:cstheme="minorHAnsi"/>
                <w:sz w:val="18"/>
                <w:szCs w:val="18"/>
                <w:lang w:eastAsia="x-none"/>
              </w:rPr>
              <w:t xml:space="preserve">intended to </w:t>
            </w:r>
            <w:r w:rsidRPr="007C4D65">
              <w:rPr>
                <w:rFonts w:asciiTheme="minorHAnsi" w:eastAsia="Calibri" w:hAnsiTheme="minorHAnsi" w:cstheme="minorHAnsi"/>
                <w:sz w:val="18"/>
                <w:szCs w:val="18"/>
                <w:lang w:eastAsia="x-none"/>
              </w:rPr>
              <w:t>formalize the framework for</w:t>
            </w:r>
            <w:r w:rsidR="004F134D" w:rsidRPr="007C4D65">
              <w:rPr>
                <w:rFonts w:asciiTheme="minorHAnsi" w:eastAsia="Calibri" w:hAnsiTheme="minorHAnsi" w:cstheme="minorHAnsi"/>
                <w:sz w:val="18"/>
                <w:szCs w:val="18"/>
                <w:lang w:eastAsia="x-none"/>
              </w:rPr>
              <w:t xml:space="preserve"> the</w:t>
            </w:r>
            <w:r w:rsidRPr="007C4D65">
              <w:rPr>
                <w:rFonts w:asciiTheme="minorHAnsi" w:eastAsia="Calibri" w:hAnsiTheme="minorHAnsi" w:cstheme="minorHAnsi"/>
                <w:sz w:val="18"/>
                <w:szCs w:val="18"/>
                <w:lang w:eastAsia="x-none"/>
              </w:rPr>
              <w:t xml:space="preserve"> implementation of environmental international commitments of </w:t>
            </w:r>
            <w:r w:rsidR="004F134D" w:rsidRPr="007C4D65">
              <w:rPr>
                <w:rFonts w:asciiTheme="minorHAnsi" w:eastAsia="Calibri" w:hAnsiTheme="minorHAnsi" w:cstheme="minorHAnsi"/>
                <w:sz w:val="18"/>
                <w:szCs w:val="18"/>
                <w:lang w:eastAsia="x-none"/>
              </w:rPr>
              <w:t>BiH</w:t>
            </w:r>
          </w:p>
        </w:tc>
        <w:tc>
          <w:tcPr>
            <w:tcW w:w="1243" w:type="pct"/>
            <w:shd w:val="clear" w:color="auto" w:fill="FFFFFF"/>
            <w:vAlign w:val="center"/>
          </w:tcPr>
          <w:p w14:paraId="5DDDDC59" w14:textId="77777777" w:rsidR="00FB57AF" w:rsidRPr="007C4D65" w:rsidRDefault="00FB57AF" w:rsidP="00FB57A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Ongoing</w:t>
            </w:r>
          </w:p>
        </w:tc>
        <w:tc>
          <w:tcPr>
            <w:tcW w:w="1059" w:type="pct"/>
            <w:shd w:val="clear" w:color="auto" w:fill="FFFFFF"/>
            <w:vAlign w:val="center"/>
          </w:tcPr>
          <w:p w14:paraId="235B29E3" w14:textId="6008D3E6" w:rsidR="00FB57AF" w:rsidRPr="007C4D65" w:rsidRDefault="00FB57AF" w:rsidP="00FB57A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Participation of the institutions of the Federation of </w:t>
            </w:r>
            <w:r w:rsidR="004F134D" w:rsidRPr="007C4D65">
              <w:rPr>
                <w:rFonts w:asciiTheme="minorHAnsi" w:eastAsia="Calibri" w:hAnsiTheme="minorHAnsi" w:cstheme="minorHAnsi"/>
                <w:sz w:val="18"/>
                <w:szCs w:val="18"/>
                <w:lang w:eastAsia="x-none"/>
              </w:rPr>
              <w:t>BiH</w:t>
            </w:r>
            <w:r w:rsidRPr="007C4D65">
              <w:rPr>
                <w:rFonts w:asciiTheme="minorHAnsi" w:eastAsia="Calibri" w:hAnsiTheme="minorHAnsi" w:cstheme="minorHAnsi"/>
                <w:sz w:val="18"/>
                <w:szCs w:val="18"/>
                <w:lang w:eastAsia="x-none"/>
              </w:rPr>
              <w:t xml:space="preserve"> in </w:t>
            </w:r>
            <w:r w:rsidR="004F134D" w:rsidRPr="007C4D65">
              <w:rPr>
                <w:rFonts w:asciiTheme="minorHAnsi" w:eastAsia="Calibri" w:hAnsiTheme="minorHAnsi" w:cstheme="minorHAnsi"/>
                <w:sz w:val="18"/>
                <w:szCs w:val="18"/>
                <w:lang w:eastAsia="x-none"/>
              </w:rPr>
              <w:t>preparation</w:t>
            </w:r>
            <w:r w:rsidRPr="007C4D65">
              <w:rPr>
                <w:rFonts w:asciiTheme="minorHAnsi" w:eastAsia="Calibri" w:hAnsiTheme="minorHAnsi" w:cstheme="minorHAnsi"/>
                <w:sz w:val="18"/>
                <w:szCs w:val="18"/>
                <w:lang w:eastAsia="x-none"/>
              </w:rPr>
              <w:t xml:space="preserve"> of the documents ensured (2023)</w:t>
            </w:r>
          </w:p>
        </w:tc>
      </w:tr>
      <w:tr w:rsidR="00FB57AF" w:rsidRPr="007C4D65" w14:paraId="554DE4CF" w14:textId="77777777" w:rsidTr="00B6017F">
        <w:trPr>
          <w:trHeight w:val="567"/>
        </w:trPr>
        <w:tc>
          <w:tcPr>
            <w:tcW w:w="1359" w:type="pct"/>
            <w:vMerge/>
            <w:shd w:val="clear" w:color="auto" w:fill="009D73"/>
            <w:vAlign w:val="center"/>
          </w:tcPr>
          <w:p w14:paraId="1153D96A" w14:textId="77777777" w:rsidR="00FB57AF" w:rsidRPr="007C4D65" w:rsidRDefault="00FB57AF"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58C87D91" w14:textId="0240AB95" w:rsidR="00FB57AF" w:rsidRPr="007C4D65" w:rsidRDefault="004F134D">
            <w:pPr>
              <w:numPr>
                <w:ilvl w:val="0"/>
                <w:numId w:val="152"/>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Access to</w:t>
            </w:r>
            <w:r w:rsidR="00FB57AF" w:rsidRPr="007C4D65">
              <w:rPr>
                <w:rFonts w:asciiTheme="minorHAnsi" w:eastAsia="Calibri" w:hAnsiTheme="minorHAnsi" w:cstheme="minorHAnsi"/>
                <w:sz w:val="18"/>
                <w:szCs w:val="18"/>
                <w:lang w:eastAsia="x-none"/>
              </w:rPr>
              <w:t xml:space="preserve"> texts of the international agreements and information on status of their implementation</w:t>
            </w:r>
          </w:p>
        </w:tc>
        <w:tc>
          <w:tcPr>
            <w:tcW w:w="1243" w:type="pct"/>
            <w:shd w:val="clear" w:color="auto" w:fill="FFFFFF"/>
            <w:vAlign w:val="center"/>
          </w:tcPr>
          <w:p w14:paraId="1E85F726" w14:textId="788773F6" w:rsidR="00FB57AF" w:rsidRPr="007C4D65" w:rsidRDefault="004F134D" w:rsidP="00FB57A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Access to</w:t>
            </w:r>
            <w:r w:rsidR="00FB57AF" w:rsidRPr="007C4D65">
              <w:rPr>
                <w:rFonts w:asciiTheme="minorHAnsi" w:eastAsiaTheme="minorHAnsi" w:hAnsiTheme="minorHAnsi" w:cstheme="minorHAnsi"/>
                <w:sz w:val="18"/>
                <w:szCs w:val="18"/>
                <w:lang w:eastAsia="en-US" w:bidi="en-US"/>
              </w:rPr>
              <w:t xml:space="preserve"> texts and information</w:t>
            </w:r>
            <w:r w:rsidRPr="007C4D65">
              <w:rPr>
                <w:rFonts w:asciiTheme="minorHAnsi" w:eastAsiaTheme="minorHAnsi" w:hAnsiTheme="minorHAnsi" w:cstheme="minorHAnsi"/>
                <w:sz w:val="18"/>
                <w:szCs w:val="18"/>
                <w:lang w:eastAsia="en-US" w:bidi="en-US"/>
              </w:rPr>
              <w:t xml:space="preserve"> partially ensured</w:t>
            </w:r>
          </w:p>
        </w:tc>
        <w:tc>
          <w:tcPr>
            <w:tcW w:w="1059" w:type="pct"/>
            <w:shd w:val="clear" w:color="auto" w:fill="FFFFFF"/>
            <w:vAlign w:val="center"/>
          </w:tcPr>
          <w:p w14:paraId="14672D9F" w14:textId="7FE047A4" w:rsidR="00FB57AF" w:rsidRPr="007C4D65" w:rsidRDefault="00FB57AF" w:rsidP="00FB57A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Official international agreements and information on status of their implementation published on </w:t>
            </w:r>
            <w:r w:rsidR="004F134D" w:rsidRPr="007C4D65">
              <w:rPr>
                <w:rFonts w:asciiTheme="minorHAnsi" w:eastAsiaTheme="minorHAnsi" w:hAnsiTheme="minorHAnsi" w:cstheme="minorHAnsi"/>
                <w:sz w:val="18"/>
                <w:szCs w:val="18"/>
                <w:lang w:eastAsia="en-US" w:bidi="en-US"/>
              </w:rPr>
              <w:t xml:space="preserve">the </w:t>
            </w:r>
            <w:r w:rsidRPr="007C4D65">
              <w:rPr>
                <w:rFonts w:asciiTheme="minorHAnsi" w:eastAsiaTheme="minorHAnsi" w:hAnsiTheme="minorHAnsi" w:cstheme="minorHAnsi"/>
                <w:sz w:val="18"/>
                <w:szCs w:val="18"/>
                <w:lang w:eastAsia="en-US" w:bidi="en-US"/>
              </w:rPr>
              <w:t xml:space="preserve">website of the </w:t>
            </w:r>
            <w:r w:rsidR="001E6E20" w:rsidRPr="007C4D65">
              <w:rPr>
                <w:rFonts w:asciiTheme="minorHAnsi" w:eastAsiaTheme="minorHAnsi" w:hAnsiTheme="minorHAnsi" w:cstheme="minorHAnsi"/>
                <w:sz w:val="18"/>
                <w:szCs w:val="18"/>
                <w:lang w:eastAsia="en-US" w:bidi="en-US"/>
              </w:rPr>
              <w:t>Federation Ministry</w:t>
            </w:r>
            <w:r w:rsidRPr="007C4D65">
              <w:rPr>
                <w:rFonts w:asciiTheme="minorHAnsi" w:eastAsia="Calibri" w:hAnsiTheme="minorHAnsi" w:cstheme="minorHAnsi"/>
                <w:sz w:val="18"/>
                <w:szCs w:val="18"/>
                <w:lang w:eastAsia="x-none"/>
              </w:rPr>
              <w:t xml:space="preserve"> of Environment and Tourism (2024)</w:t>
            </w:r>
          </w:p>
        </w:tc>
      </w:tr>
      <w:tr w:rsidR="00FB57AF" w:rsidRPr="007C4D65" w14:paraId="2DF54AC6" w14:textId="77777777" w:rsidTr="00B6017F">
        <w:trPr>
          <w:trHeight w:val="567"/>
        </w:trPr>
        <w:tc>
          <w:tcPr>
            <w:tcW w:w="1359" w:type="pct"/>
            <w:vMerge/>
            <w:shd w:val="clear" w:color="auto" w:fill="009D73"/>
            <w:vAlign w:val="center"/>
          </w:tcPr>
          <w:p w14:paraId="284FADF2" w14:textId="77777777" w:rsidR="00FB57AF" w:rsidRPr="007C4D65" w:rsidRDefault="00FB57AF"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13D0E11A" w14:textId="0DB12BCE" w:rsidR="00FB57AF" w:rsidRPr="007C4D65" w:rsidRDefault="00FB57AF">
            <w:pPr>
              <w:numPr>
                <w:ilvl w:val="0"/>
                <w:numId w:val="152"/>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Efficiency of </w:t>
            </w:r>
            <w:r w:rsidR="004F134D" w:rsidRPr="007C4D65">
              <w:rPr>
                <w:rFonts w:asciiTheme="minorHAnsi" w:eastAsia="Calibri" w:hAnsiTheme="minorHAnsi" w:cstheme="minorHAnsi"/>
                <w:sz w:val="18"/>
                <w:szCs w:val="18"/>
                <w:lang w:eastAsia="x-none"/>
              </w:rPr>
              <w:t>the implementation of</w:t>
            </w:r>
            <w:r w:rsidRPr="007C4D65">
              <w:rPr>
                <w:rFonts w:asciiTheme="minorHAnsi" w:eastAsia="Calibri" w:hAnsiTheme="minorHAnsi" w:cstheme="minorHAnsi"/>
                <w:sz w:val="18"/>
                <w:szCs w:val="18"/>
                <w:lang w:eastAsia="x-none"/>
              </w:rPr>
              <w:t xml:space="preserve"> training</w:t>
            </w:r>
            <w:r w:rsidR="004F134D"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eastAsia="x-none"/>
              </w:rPr>
              <w:t xml:space="preserve"> for the employees </w:t>
            </w:r>
            <w:r w:rsidR="004F134D" w:rsidRPr="007C4D65">
              <w:rPr>
                <w:rFonts w:asciiTheme="minorHAnsi" w:eastAsia="Calibri" w:hAnsiTheme="minorHAnsi" w:cstheme="minorHAnsi"/>
                <w:sz w:val="18"/>
                <w:szCs w:val="18"/>
                <w:lang w:eastAsia="x-none"/>
              </w:rPr>
              <w:t>about the</w:t>
            </w:r>
            <w:r w:rsidRPr="007C4D65">
              <w:rPr>
                <w:rFonts w:asciiTheme="minorHAnsi" w:eastAsia="Calibri" w:hAnsiTheme="minorHAnsi" w:cstheme="minorHAnsi"/>
                <w:sz w:val="18"/>
                <w:szCs w:val="18"/>
                <w:lang w:eastAsia="x-none"/>
              </w:rPr>
              <w:t xml:space="preserve"> adequate application of the international agreements</w:t>
            </w:r>
          </w:p>
        </w:tc>
        <w:tc>
          <w:tcPr>
            <w:tcW w:w="1243" w:type="pct"/>
            <w:shd w:val="clear" w:color="auto" w:fill="FFFFFF"/>
            <w:vAlign w:val="center"/>
          </w:tcPr>
          <w:p w14:paraId="4F586129" w14:textId="2A1D955F" w:rsidR="00FB57AF" w:rsidRPr="007C4D65" w:rsidRDefault="00673252" w:rsidP="00FB57A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w:t>
            </w:r>
            <w:r w:rsidR="00FB57AF" w:rsidRPr="007C4D65">
              <w:rPr>
                <w:rFonts w:asciiTheme="minorHAnsi" w:eastAsia="Calibri" w:hAnsiTheme="minorHAnsi" w:cstheme="minorHAnsi"/>
                <w:sz w:val="18"/>
                <w:szCs w:val="18"/>
                <w:lang w:eastAsia="x-none"/>
              </w:rPr>
              <w:t>raining</w:t>
            </w:r>
            <w:r w:rsidRPr="007C4D65">
              <w:rPr>
                <w:rFonts w:asciiTheme="minorHAnsi" w:eastAsia="Calibri" w:hAnsiTheme="minorHAnsi" w:cstheme="minorHAnsi"/>
                <w:sz w:val="18"/>
                <w:szCs w:val="18"/>
                <w:lang w:eastAsia="x-none"/>
              </w:rPr>
              <w:t>s</w:t>
            </w:r>
            <w:r w:rsidR="00FB57AF" w:rsidRPr="007C4D65">
              <w:rPr>
                <w:rFonts w:asciiTheme="minorHAnsi" w:eastAsiaTheme="minorHAnsi" w:hAnsiTheme="minorHAnsi" w:cstheme="minorHAnsi"/>
                <w:sz w:val="18"/>
                <w:szCs w:val="18"/>
                <w:lang w:eastAsia="en-US" w:bidi="en-US"/>
              </w:rPr>
              <w:t xml:space="preserve"> </w:t>
            </w:r>
            <w:r w:rsidR="004F134D" w:rsidRPr="007C4D65">
              <w:rPr>
                <w:rFonts w:asciiTheme="minorHAnsi" w:eastAsiaTheme="minorHAnsi" w:hAnsiTheme="minorHAnsi" w:cstheme="minorHAnsi"/>
                <w:sz w:val="18"/>
                <w:szCs w:val="18"/>
                <w:lang w:eastAsia="en-US" w:bidi="en-US"/>
              </w:rPr>
              <w:t>ha</w:t>
            </w:r>
            <w:r w:rsidRPr="007C4D65">
              <w:rPr>
                <w:rFonts w:asciiTheme="minorHAnsi" w:eastAsiaTheme="minorHAnsi" w:hAnsiTheme="minorHAnsi" w:cstheme="minorHAnsi"/>
                <w:sz w:val="18"/>
                <w:szCs w:val="18"/>
                <w:lang w:eastAsia="en-US" w:bidi="en-US"/>
              </w:rPr>
              <w:t>ve</w:t>
            </w:r>
            <w:r w:rsidR="004F134D" w:rsidRPr="007C4D65">
              <w:rPr>
                <w:rFonts w:asciiTheme="minorHAnsi" w:eastAsiaTheme="minorHAnsi" w:hAnsiTheme="minorHAnsi" w:cstheme="minorHAnsi"/>
                <w:sz w:val="18"/>
                <w:szCs w:val="18"/>
                <w:lang w:eastAsia="en-US" w:bidi="en-US"/>
              </w:rPr>
              <w:t xml:space="preserve"> not been</w:t>
            </w:r>
            <w:r w:rsidR="00FB57AF" w:rsidRPr="007C4D65">
              <w:rPr>
                <w:rFonts w:asciiTheme="minorHAnsi" w:eastAsiaTheme="minorHAnsi" w:hAnsiTheme="minorHAnsi" w:cstheme="minorHAnsi"/>
                <w:sz w:val="18"/>
                <w:szCs w:val="18"/>
                <w:lang w:eastAsia="en-US" w:bidi="en-US"/>
              </w:rPr>
              <w:t xml:space="preserve"> implemented </w:t>
            </w:r>
            <w:r w:rsidRPr="007C4D65">
              <w:rPr>
                <w:rFonts w:asciiTheme="minorHAnsi" w:eastAsiaTheme="minorHAnsi" w:hAnsiTheme="minorHAnsi" w:cstheme="minorHAnsi"/>
                <w:sz w:val="18"/>
                <w:szCs w:val="18"/>
                <w:lang w:eastAsia="en-US" w:bidi="en-US"/>
              </w:rPr>
              <w:t>methodically</w:t>
            </w:r>
          </w:p>
        </w:tc>
        <w:tc>
          <w:tcPr>
            <w:tcW w:w="1059" w:type="pct"/>
            <w:shd w:val="clear" w:color="auto" w:fill="FFFFFF"/>
            <w:vAlign w:val="center"/>
          </w:tcPr>
          <w:p w14:paraId="0C943D03" w14:textId="6CB9D13E" w:rsidR="00FB57AF" w:rsidRPr="007C4D65" w:rsidRDefault="00FB57AF" w:rsidP="00FB57A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The training</w:t>
            </w:r>
            <w:r w:rsidR="00673252"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eastAsia="x-none"/>
              </w:rPr>
              <w:t xml:space="preserve"> for the employees </w:t>
            </w:r>
            <w:r w:rsidR="00673252" w:rsidRPr="007C4D65">
              <w:rPr>
                <w:rFonts w:asciiTheme="minorHAnsi" w:eastAsia="Calibri" w:hAnsiTheme="minorHAnsi" w:cstheme="minorHAnsi"/>
                <w:sz w:val="18"/>
                <w:szCs w:val="18"/>
                <w:lang w:eastAsia="x-none"/>
              </w:rPr>
              <w:t>completed</w:t>
            </w:r>
            <w:r w:rsidRPr="007C4D65">
              <w:rPr>
                <w:rFonts w:asciiTheme="minorHAnsi" w:eastAsia="Calibri" w:hAnsiTheme="minorHAnsi" w:cstheme="minorHAnsi"/>
                <w:sz w:val="18"/>
                <w:szCs w:val="18"/>
                <w:lang w:eastAsia="x-none"/>
              </w:rPr>
              <w:t xml:space="preserve"> according to the plan </w:t>
            </w:r>
            <w:r w:rsidRPr="007C4D65">
              <w:rPr>
                <w:rFonts w:asciiTheme="minorHAnsi" w:eastAsiaTheme="minorHAnsi" w:hAnsiTheme="minorHAnsi" w:cstheme="minorHAnsi"/>
                <w:sz w:val="18"/>
                <w:szCs w:val="18"/>
                <w:lang w:eastAsia="en-US" w:bidi="en-US"/>
              </w:rPr>
              <w:t>(2026)</w:t>
            </w:r>
          </w:p>
        </w:tc>
      </w:tr>
      <w:tr w:rsidR="00FB57AF" w:rsidRPr="007C4D65" w14:paraId="16957365" w14:textId="77777777" w:rsidTr="00B6017F">
        <w:trPr>
          <w:trHeight w:val="567"/>
        </w:trPr>
        <w:tc>
          <w:tcPr>
            <w:tcW w:w="1359" w:type="pct"/>
            <w:vMerge/>
            <w:shd w:val="clear" w:color="auto" w:fill="009D73"/>
            <w:vAlign w:val="center"/>
          </w:tcPr>
          <w:p w14:paraId="364247A0" w14:textId="77777777" w:rsidR="00FB57AF" w:rsidRPr="007C4D65" w:rsidRDefault="00FB57AF"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27C299B9" w14:textId="27DC128A" w:rsidR="00FB57AF" w:rsidRPr="007C4D65" w:rsidRDefault="00FB57AF">
            <w:pPr>
              <w:numPr>
                <w:ilvl w:val="0"/>
                <w:numId w:val="152"/>
              </w:numPr>
              <w:spacing w:before="40" w:after="40" w:line="276" w:lineRule="auto"/>
              <w:contextualSpacing/>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Communication and cooperation with civil society organizations</w:t>
            </w:r>
            <w:r w:rsidR="00673252" w:rsidRPr="007C4D65">
              <w:rPr>
                <w:rFonts w:asciiTheme="minorHAnsi" w:eastAsiaTheme="minorHAnsi" w:hAnsiTheme="minorHAnsi" w:cstheme="minorHAnsi"/>
                <w:color w:val="000000"/>
                <w:sz w:val="18"/>
                <w:szCs w:val="18"/>
                <w:lang w:eastAsia="en-US"/>
              </w:rPr>
              <w:t xml:space="preserve"> in the</w:t>
            </w:r>
            <w:r w:rsidRPr="007C4D65">
              <w:rPr>
                <w:rFonts w:asciiTheme="minorHAnsi" w:eastAsiaTheme="minorHAnsi" w:hAnsiTheme="minorHAnsi" w:cstheme="minorHAnsi"/>
                <w:color w:val="000000"/>
                <w:sz w:val="18"/>
                <w:szCs w:val="18"/>
                <w:lang w:eastAsia="en-US"/>
              </w:rPr>
              <w:t xml:space="preserve"> preparation of report</w:t>
            </w:r>
            <w:r w:rsidR="00673252" w:rsidRPr="007C4D65">
              <w:rPr>
                <w:rFonts w:asciiTheme="minorHAnsi" w:eastAsiaTheme="minorHAnsi" w:hAnsiTheme="minorHAnsi" w:cstheme="minorHAnsi"/>
                <w:color w:val="000000"/>
                <w:sz w:val="18"/>
                <w:szCs w:val="18"/>
                <w:lang w:eastAsia="en-US"/>
              </w:rPr>
              <w:t>s</w:t>
            </w:r>
            <w:r w:rsidRPr="007C4D65">
              <w:rPr>
                <w:rFonts w:asciiTheme="minorHAnsi" w:eastAsiaTheme="minorHAnsi" w:hAnsiTheme="minorHAnsi" w:cstheme="minorHAnsi"/>
                <w:color w:val="000000"/>
                <w:sz w:val="18"/>
                <w:szCs w:val="18"/>
                <w:lang w:eastAsia="en-US"/>
              </w:rPr>
              <w:t xml:space="preserve"> on</w:t>
            </w:r>
            <w:r w:rsidR="00673252" w:rsidRPr="007C4D65">
              <w:rPr>
                <w:rFonts w:asciiTheme="minorHAnsi" w:eastAsiaTheme="minorHAnsi" w:hAnsiTheme="minorHAnsi" w:cstheme="minorHAnsi"/>
                <w:color w:val="000000"/>
                <w:sz w:val="18"/>
                <w:szCs w:val="18"/>
                <w:lang w:eastAsia="en-US"/>
              </w:rPr>
              <w:t xml:space="preserve"> the</w:t>
            </w:r>
            <w:r w:rsidRPr="007C4D65">
              <w:rPr>
                <w:rFonts w:asciiTheme="minorHAnsi" w:eastAsiaTheme="minorHAnsi" w:hAnsiTheme="minorHAnsi" w:cstheme="minorHAnsi"/>
                <w:color w:val="000000"/>
                <w:sz w:val="18"/>
                <w:szCs w:val="18"/>
                <w:lang w:eastAsia="en-US"/>
              </w:rPr>
              <w:t xml:space="preserve"> implementation of the international environmental agreements</w:t>
            </w:r>
          </w:p>
        </w:tc>
        <w:tc>
          <w:tcPr>
            <w:tcW w:w="1243" w:type="pct"/>
            <w:shd w:val="clear" w:color="auto" w:fill="FFFFFF"/>
            <w:vAlign w:val="center"/>
          </w:tcPr>
          <w:p w14:paraId="0307C377" w14:textId="7D0D017F" w:rsidR="00FB57AF" w:rsidRPr="007C4D65" w:rsidRDefault="00FB57AF" w:rsidP="00EA23C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color w:val="000000"/>
                <w:sz w:val="18"/>
                <w:szCs w:val="18"/>
                <w:lang w:eastAsia="en-US"/>
              </w:rPr>
              <w:t xml:space="preserve">Communication and cooperation with civil society organizations </w:t>
            </w:r>
            <w:r w:rsidR="00673252" w:rsidRPr="007C4D65">
              <w:rPr>
                <w:rFonts w:asciiTheme="minorHAnsi" w:eastAsiaTheme="minorHAnsi" w:hAnsiTheme="minorHAnsi" w:cstheme="minorHAnsi"/>
                <w:color w:val="000000"/>
                <w:sz w:val="18"/>
                <w:szCs w:val="18"/>
                <w:lang w:eastAsia="en-US"/>
              </w:rPr>
              <w:t>in the preparation</w:t>
            </w:r>
            <w:r w:rsidRPr="007C4D65">
              <w:rPr>
                <w:rFonts w:asciiTheme="minorHAnsi" w:eastAsia="Calibri" w:hAnsiTheme="minorHAnsi" w:cstheme="minorHAnsi"/>
                <w:sz w:val="18"/>
                <w:szCs w:val="18"/>
                <w:lang w:eastAsia="x-none"/>
              </w:rPr>
              <w:t xml:space="preserve"> of </w:t>
            </w:r>
            <w:r w:rsidR="00673252" w:rsidRPr="007C4D65">
              <w:rPr>
                <w:rFonts w:asciiTheme="minorHAnsi" w:eastAsia="Calibri" w:hAnsiTheme="minorHAnsi" w:cstheme="minorHAnsi"/>
                <w:sz w:val="18"/>
                <w:szCs w:val="18"/>
                <w:lang w:eastAsia="x-none"/>
              </w:rPr>
              <w:t>reports</w:t>
            </w:r>
            <w:r w:rsidRPr="007C4D65">
              <w:rPr>
                <w:rFonts w:asciiTheme="minorHAnsi" w:eastAsia="Calibri" w:hAnsiTheme="minorHAnsi" w:cstheme="minorHAnsi"/>
                <w:sz w:val="18"/>
                <w:szCs w:val="18"/>
                <w:lang w:eastAsia="x-none"/>
              </w:rPr>
              <w:t xml:space="preserve"> on </w:t>
            </w:r>
            <w:r w:rsidR="00673252"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implementation of international environmental agreements</w:t>
            </w:r>
            <w:r w:rsidR="00673252" w:rsidRPr="007C4D65">
              <w:rPr>
                <w:rFonts w:asciiTheme="minorHAnsi" w:eastAsia="Calibri" w:hAnsiTheme="minorHAnsi" w:cstheme="minorHAnsi"/>
                <w:sz w:val="18"/>
                <w:szCs w:val="18"/>
                <w:lang w:eastAsia="en-US"/>
              </w:rPr>
              <w:t xml:space="preserve"> are not organised</w:t>
            </w:r>
          </w:p>
        </w:tc>
        <w:tc>
          <w:tcPr>
            <w:tcW w:w="1059" w:type="pct"/>
            <w:shd w:val="clear" w:color="auto" w:fill="FFFFFF"/>
            <w:vAlign w:val="center"/>
          </w:tcPr>
          <w:p w14:paraId="5BE2604E" w14:textId="71DC415F" w:rsidR="00FB57AF" w:rsidRPr="007C4D65" w:rsidRDefault="00FB57AF" w:rsidP="00FB57A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color w:val="000000"/>
                <w:sz w:val="18"/>
                <w:szCs w:val="18"/>
                <w:lang w:eastAsia="en-US"/>
              </w:rPr>
              <w:t xml:space="preserve">Communication and cooperation with civil society organizations </w:t>
            </w:r>
            <w:r w:rsidR="00673252" w:rsidRPr="007C4D65">
              <w:rPr>
                <w:rFonts w:asciiTheme="minorHAnsi" w:eastAsiaTheme="minorHAnsi" w:hAnsiTheme="minorHAnsi" w:cstheme="minorHAnsi"/>
                <w:color w:val="000000"/>
                <w:sz w:val="18"/>
                <w:szCs w:val="18"/>
                <w:lang w:eastAsia="en-US"/>
              </w:rPr>
              <w:t>ensured</w:t>
            </w:r>
            <w:r w:rsidRPr="007C4D65">
              <w:rPr>
                <w:rFonts w:asciiTheme="minorHAnsi" w:eastAsiaTheme="minorHAnsi" w:hAnsiTheme="minorHAnsi" w:cstheme="minorHAnsi"/>
                <w:color w:val="000000"/>
                <w:sz w:val="18"/>
                <w:szCs w:val="18"/>
                <w:lang w:eastAsia="en-US"/>
              </w:rPr>
              <w:t xml:space="preserve"> </w:t>
            </w:r>
            <w:r w:rsidRPr="007C4D65">
              <w:rPr>
                <w:rFonts w:asciiTheme="minorHAnsi" w:eastAsiaTheme="minorHAnsi" w:hAnsiTheme="minorHAnsi" w:cstheme="minorHAnsi"/>
                <w:sz w:val="18"/>
                <w:szCs w:val="18"/>
                <w:lang w:eastAsia="en-US" w:bidi="en-US"/>
              </w:rPr>
              <w:t>(2027)</w:t>
            </w:r>
          </w:p>
        </w:tc>
      </w:tr>
      <w:tr w:rsidR="00FB57AF" w:rsidRPr="007C4D65" w14:paraId="753DFBED" w14:textId="77777777" w:rsidTr="00B6017F">
        <w:trPr>
          <w:trHeight w:val="567"/>
        </w:trPr>
        <w:tc>
          <w:tcPr>
            <w:tcW w:w="1359" w:type="pct"/>
            <w:shd w:val="clear" w:color="auto" w:fill="009D73"/>
            <w:vAlign w:val="center"/>
          </w:tcPr>
          <w:p w14:paraId="7E78B91D" w14:textId="77777777" w:rsidR="00FB57AF" w:rsidRPr="007C4D65" w:rsidRDefault="00FB57AF"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shd w:val="clear" w:color="auto" w:fill="FFFFFF"/>
            <w:vAlign w:val="center"/>
          </w:tcPr>
          <w:p w14:paraId="78627C0D" w14:textId="7359C029" w:rsidR="00FB57AF" w:rsidRPr="007C4D65" w:rsidRDefault="00673252" w:rsidP="00FB57A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Human and institutional capacity building in environmental management</w:t>
            </w:r>
          </w:p>
        </w:tc>
      </w:tr>
      <w:tr w:rsidR="00FB57AF" w:rsidRPr="007C4D65" w14:paraId="33401FE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5F6A104" w14:textId="3B44F5E2" w:rsidR="00FB57AF" w:rsidRPr="007C4D65" w:rsidRDefault="00963086"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r w:rsidR="00FB57AF" w:rsidRPr="007C4D65">
              <w:rPr>
                <w:rFonts w:asciiTheme="minorHAnsi" w:eastAsiaTheme="minorHAnsi" w:hAnsiTheme="minorHAnsi" w:cstheme="minorHAnsi"/>
                <w:b/>
                <w:color w:val="FFFFFF" w:themeColor="background1"/>
                <w:sz w:val="18"/>
                <w:szCs w:val="18"/>
                <w:lang w:eastAsia="en-US"/>
              </w:rPr>
              <w:t xml:space="preserve"> </w:t>
            </w:r>
          </w:p>
        </w:tc>
        <w:tc>
          <w:tcPr>
            <w:tcW w:w="3641" w:type="pct"/>
            <w:gridSpan w:val="3"/>
            <w:shd w:val="clear" w:color="auto" w:fill="FFFFFF"/>
            <w:vAlign w:val="center"/>
          </w:tcPr>
          <w:p w14:paraId="46132EF0" w14:textId="76FF676F" w:rsidR="00673252" w:rsidRPr="007C4D65" w:rsidRDefault="00C224E3" w:rsidP="00673252">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673252" w:rsidRPr="007C4D65">
              <w:rPr>
                <w:rFonts w:asciiTheme="minorHAnsi" w:hAnsiTheme="minorHAnsi" w:cstheme="minorHAnsi"/>
                <w:sz w:val="18"/>
                <w:szCs w:val="18"/>
                <w:lang w:val="hr-HR" w:bidi="en-US"/>
              </w:rPr>
              <w:t>BAM 62,890</w:t>
            </w:r>
          </w:p>
          <w:p w14:paraId="418C0246" w14:textId="3F3008BB" w:rsidR="00FB57AF" w:rsidRPr="007C4D65" w:rsidRDefault="009E6B20" w:rsidP="00673252">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val="hr-HR" w:bidi="en-US"/>
              </w:rPr>
              <w:t xml:space="preserve">Source: </w:t>
            </w:r>
            <w:r w:rsidR="00673252" w:rsidRPr="007C4D65">
              <w:rPr>
                <w:rFonts w:asciiTheme="minorHAnsi" w:hAnsiTheme="minorHAnsi" w:cstheme="minorHAnsi"/>
                <w:sz w:val="18"/>
                <w:szCs w:val="18"/>
                <w:lang w:val="hr-HR" w:bidi="en-US"/>
              </w:rPr>
              <w:t xml:space="preserve">100% </w:t>
            </w:r>
            <w:r w:rsidR="00C224E3" w:rsidRPr="007C4D65">
              <w:rPr>
                <w:rFonts w:asciiTheme="minorHAnsi" w:hAnsiTheme="minorHAnsi" w:cstheme="minorHAnsi"/>
                <w:sz w:val="18"/>
                <w:szCs w:val="18"/>
                <w:lang w:val="hr-HR" w:bidi="en-US"/>
              </w:rPr>
              <w:t>funds from EU and other international donors</w:t>
            </w:r>
          </w:p>
        </w:tc>
      </w:tr>
      <w:tr w:rsidR="00FB57AF" w:rsidRPr="007C4D65" w14:paraId="5EEB917C"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E13DC85" w14:textId="77777777" w:rsidR="00FB57AF" w:rsidRPr="007C4D65" w:rsidRDefault="00FB57AF"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shd w:val="clear" w:color="auto" w:fill="FFFFFF"/>
            <w:vAlign w:val="center"/>
          </w:tcPr>
          <w:p w14:paraId="1AFFB5BB" w14:textId="77777777" w:rsidR="00FB57AF" w:rsidRPr="007C4D65" w:rsidRDefault="00FB57AF" w:rsidP="00FB57A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2023 – 2027</w:t>
            </w:r>
          </w:p>
        </w:tc>
      </w:tr>
      <w:tr w:rsidR="00FB57AF" w:rsidRPr="007C4D65" w14:paraId="70C4261A"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E3937FD" w14:textId="77777777" w:rsidR="00FB57AF" w:rsidRPr="007C4D65" w:rsidRDefault="00FB57AF"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shd w:val="clear" w:color="auto" w:fill="FFFFFF"/>
            <w:vAlign w:val="center"/>
          </w:tcPr>
          <w:p w14:paraId="442594A4" w14:textId="7DB90C55" w:rsidR="00FB57AF" w:rsidRPr="007C4D65" w:rsidRDefault="001E6E20" w:rsidP="00FB57A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rPr>
              <w:t>Federation Ministry</w:t>
            </w:r>
            <w:r w:rsidR="00FB57AF" w:rsidRPr="007C4D65">
              <w:rPr>
                <w:rFonts w:asciiTheme="minorHAnsi" w:eastAsiaTheme="minorHAnsi" w:hAnsiTheme="minorHAnsi" w:cstheme="minorHAnsi"/>
                <w:sz w:val="18"/>
                <w:szCs w:val="18"/>
                <w:lang w:eastAsia="en-US"/>
              </w:rPr>
              <w:t xml:space="preserve"> of Environment and Tourism</w:t>
            </w:r>
          </w:p>
        </w:tc>
      </w:tr>
      <w:tr w:rsidR="00FB57AF" w:rsidRPr="007C4D65" w14:paraId="1DCE5BF2"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FF69B13" w14:textId="77777777" w:rsidR="00FB57AF" w:rsidRPr="007C4D65" w:rsidRDefault="00FB57AF"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shd w:val="clear" w:color="auto" w:fill="FFFFFF"/>
            <w:vAlign w:val="center"/>
          </w:tcPr>
          <w:p w14:paraId="22A7E379" w14:textId="0FC313C1" w:rsidR="00FB57AF" w:rsidRPr="007C4D65" w:rsidRDefault="001E6E20" w:rsidP="00FB57A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rPr>
              <w:t>Federation Ministry</w:t>
            </w:r>
            <w:r w:rsidR="00FB57AF" w:rsidRPr="007C4D65">
              <w:rPr>
                <w:rFonts w:asciiTheme="minorHAnsi" w:eastAsiaTheme="minorHAnsi" w:hAnsiTheme="minorHAnsi" w:cstheme="minorHAnsi"/>
                <w:sz w:val="18"/>
                <w:szCs w:val="18"/>
                <w:lang w:eastAsia="en-US"/>
              </w:rPr>
              <w:t xml:space="preserve"> of Environment and Tourism</w:t>
            </w:r>
            <w:r w:rsidR="00FB57AF" w:rsidRPr="007C4D65">
              <w:rPr>
                <w:rFonts w:asciiTheme="minorHAnsi" w:eastAsiaTheme="minorHAnsi" w:hAnsiTheme="minorHAnsi" w:cstheme="minorHAnsi"/>
                <w:sz w:val="18"/>
                <w:szCs w:val="18"/>
                <w:lang w:eastAsia="en-US" w:bidi="en-US"/>
              </w:rPr>
              <w:t xml:space="preserve"> and other </w:t>
            </w:r>
            <w:r w:rsidR="00FB57AF" w:rsidRPr="007C4D65">
              <w:rPr>
                <w:rFonts w:asciiTheme="minorHAnsi" w:eastAsia="Calibri" w:hAnsiTheme="minorHAnsi" w:cstheme="minorHAnsi"/>
                <w:sz w:val="18"/>
                <w:szCs w:val="18"/>
                <w:lang w:eastAsia="x-none"/>
              </w:rPr>
              <w:t>institutions responsible for environment</w:t>
            </w:r>
            <w:r w:rsidR="00FB57AF" w:rsidRPr="007C4D65">
              <w:rPr>
                <w:rFonts w:asciiTheme="minorHAnsi" w:eastAsiaTheme="minorHAnsi" w:hAnsiTheme="minorHAnsi" w:cstheme="minorHAnsi"/>
                <w:sz w:val="18"/>
                <w:szCs w:val="18"/>
                <w:lang w:eastAsia="en-US" w:bidi="en-US"/>
              </w:rPr>
              <w:t>, in cooperation with</w:t>
            </w:r>
            <w:r w:rsidR="00673252" w:rsidRPr="007C4D65">
              <w:rPr>
                <w:rFonts w:asciiTheme="minorHAnsi" w:eastAsiaTheme="minorHAnsi" w:hAnsiTheme="minorHAnsi" w:cstheme="minorHAnsi"/>
                <w:sz w:val="18"/>
                <w:szCs w:val="18"/>
                <w:lang w:eastAsia="en-US" w:bidi="en-US"/>
              </w:rPr>
              <w:t xml:space="preserve"> </w:t>
            </w:r>
            <w:r w:rsidR="009225E7" w:rsidRPr="007C4D65">
              <w:rPr>
                <w:rFonts w:asciiTheme="minorHAnsi" w:eastAsiaTheme="minorHAnsi" w:hAnsiTheme="minorHAnsi" w:cstheme="minorHAnsi"/>
                <w:sz w:val="18"/>
                <w:szCs w:val="18"/>
                <w:lang w:eastAsia="en-US" w:bidi="en-US"/>
              </w:rPr>
              <w:t xml:space="preserve">training </w:t>
            </w:r>
            <w:r w:rsidR="00673252" w:rsidRPr="007C4D65">
              <w:rPr>
                <w:rFonts w:asciiTheme="minorHAnsi" w:eastAsiaTheme="minorHAnsi" w:hAnsiTheme="minorHAnsi" w:cstheme="minorHAnsi"/>
                <w:sz w:val="18"/>
                <w:szCs w:val="18"/>
                <w:lang w:eastAsia="en-US" w:bidi="en-US"/>
              </w:rPr>
              <w:t>institutions</w:t>
            </w:r>
          </w:p>
        </w:tc>
      </w:tr>
      <w:tr w:rsidR="00FB57AF" w:rsidRPr="007C4D65" w14:paraId="751D4BB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0AA153B" w14:textId="4921D093" w:rsidR="00FB57AF" w:rsidRPr="007C4D65" w:rsidRDefault="00963086" w:rsidP="00FB57A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lastRenderedPageBreak/>
              <w:t>Target groups</w:t>
            </w:r>
          </w:p>
        </w:tc>
        <w:tc>
          <w:tcPr>
            <w:tcW w:w="3641" w:type="pct"/>
            <w:gridSpan w:val="3"/>
            <w:shd w:val="clear" w:color="auto" w:fill="FFFFFF"/>
            <w:vAlign w:val="center"/>
          </w:tcPr>
          <w:p w14:paraId="67FD2264" w14:textId="3404C1ED" w:rsidR="00FB57AF" w:rsidRPr="007C4D65" w:rsidRDefault="00FB57AF" w:rsidP="00FB57A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Institutions</w:t>
            </w:r>
            <w:r w:rsidRPr="007C4D65">
              <w:rPr>
                <w:rFonts w:asciiTheme="minorHAnsi" w:eastAsiaTheme="minorHAnsi" w:hAnsiTheme="minorHAnsi" w:cstheme="minorHAnsi"/>
                <w:sz w:val="18"/>
                <w:szCs w:val="18"/>
                <w:lang w:eastAsia="en-US" w:bidi="en-US"/>
              </w:rPr>
              <w:t xml:space="preserve"> </w:t>
            </w:r>
            <w:r w:rsidRPr="007C4D65">
              <w:rPr>
                <w:rFonts w:asciiTheme="minorHAnsi" w:eastAsia="Calibri" w:hAnsiTheme="minorHAnsi" w:cstheme="minorHAnsi"/>
                <w:sz w:val="18"/>
                <w:szCs w:val="18"/>
                <w:lang w:eastAsia="x-none"/>
              </w:rPr>
              <w:t xml:space="preserve">responsible for the </w:t>
            </w:r>
            <w:r w:rsidR="009225E7" w:rsidRPr="007C4D65">
              <w:rPr>
                <w:rFonts w:asciiTheme="minorHAnsi" w:eastAsia="Calibri" w:hAnsiTheme="minorHAnsi" w:cstheme="minorHAnsi"/>
                <w:sz w:val="18"/>
                <w:szCs w:val="18"/>
                <w:lang w:eastAsia="x-none"/>
              </w:rPr>
              <w:t xml:space="preserve">implementation of </w:t>
            </w:r>
            <w:r w:rsidRPr="007C4D65">
              <w:rPr>
                <w:rFonts w:asciiTheme="minorHAnsi" w:eastAsia="Calibri" w:hAnsiTheme="minorHAnsi" w:cstheme="minorHAnsi"/>
                <w:sz w:val="18"/>
                <w:szCs w:val="18"/>
                <w:lang w:eastAsia="x-none"/>
              </w:rPr>
              <w:t>activities in accordance with the international agreements</w:t>
            </w:r>
            <w:r w:rsidRPr="007C4D65">
              <w:rPr>
                <w:rFonts w:asciiTheme="minorHAnsi" w:eastAsiaTheme="minorHAnsi" w:hAnsiTheme="minorHAnsi" w:cstheme="minorHAnsi"/>
                <w:sz w:val="18"/>
                <w:szCs w:val="18"/>
                <w:lang w:eastAsia="en-US" w:bidi="en-US"/>
              </w:rPr>
              <w:t>, citizens</w:t>
            </w:r>
          </w:p>
        </w:tc>
      </w:tr>
    </w:tbl>
    <w:p w14:paraId="32383D1A" w14:textId="77777777" w:rsidR="00CC447D" w:rsidRPr="007C4D65" w:rsidRDefault="00CC447D" w:rsidP="0068355A">
      <w:pPr>
        <w:spacing w:line="276" w:lineRule="auto"/>
        <w:rPr>
          <w:rFonts w:asciiTheme="minorHAnsi" w:hAnsiTheme="minorHAnsi" w:cstheme="minorHAnsi"/>
          <w:sz w:val="18"/>
          <w:szCs w:val="18"/>
        </w:rPr>
      </w:pPr>
    </w:p>
    <w:p w14:paraId="1E26A533" w14:textId="77777777"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5"/>
        <w:gridCol w:w="3784"/>
        <w:gridCol w:w="3096"/>
        <w:gridCol w:w="2616"/>
      </w:tblGrid>
      <w:tr w:rsidR="009225E7" w:rsidRPr="007C4D65" w14:paraId="7125F6FF" w14:textId="77777777" w:rsidTr="00B6017F">
        <w:trPr>
          <w:trHeight w:val="567"/>
        </w:trPr>
        <w:tc>
          <w:tcPr>
            <w:tcW w:w="1359" w:type="pct"/>
            <w:tcBorders>
              <w:right w:val="single" w:sz="4" w:space="0" w:color="auto"/>
            </w:tcBorders>
            <w:shd w:val="clear" w:color="auto" w:fill="009D73"/>
            <w:vAlign w:val="center"/>
          </w:tcPr>
          <w:p w14:paraId="231F7586"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t xml:space="preserve">Link with strategic goal </w:t>
            </w:r>
          </w:p>
        </w:tc>
        <w:tc>
          <w:tcPr>
            <w:tcW w:w="364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8EC6D33" w14:textId="77777777" w:rsidR="009225E7" w:rsidRPr="007C4D65" w:rsidRDefault="009225E7" w:rsidP="009225E7">
            <w:pPr>
              <w:spacing w:before="40" w:after="40" w:line="276" w:lineRule="auto"/>
              <w:rPr>
                <w:rFonts w:asciiTheme="minorHAnsi" w:eastAsia="Calibri" w:hAnsiTheme="minorHAnsi" w:cstheme="minorHAnsi"/>
                <w:b/>
                <w:bCs/>
                <w:sz w:val="18"/>
                <w:szCs w:val="18"/>
                <w:lang w:val="en-US" w:eastAsia="en-US"/>
              </w:rPr>
            </w:pPr>
            <w:r w:rsidRPr="007C4D65">
              <w:rPr>
                <w:rFonts w:asciiTheme="minorHAnsi" w:eastAsia="Calibri" w:hAnsiTheme="minorHAnsi" w:cstheme="minorHAnsi"/>
                <w:b/>
                <w:bCs/>
                <w:sz w:val="18"/>
                <w:szCs w:val="18"/>
                <w:lang w:val="en-US" w:eastAsia="en-US"/>
              </w:rPr>
              <w:t>7. Strengthening environmental management</w:t>
            </w:r>
          </w:p>
        </w:tc>
      </w:tr>
      <w:tr w:rsidR="009225E7" w:rsidRPr="007C4D65" w14:paraId="67E58895" w14:textId="77777777" w:rsidTr="00B6017F">
        <w:trPr>
          <w:trHeight w:val="567"/>
        </w:trPr>
        <w:tc>
          <w:tcPr>
            <w:tcW w:w="1359" w:type="pct"/>
            <w:tcBorders>
              <w:right w:val="single" w:sz="4" w:space="0" w:color="auto"/>
            </w:tcBorders>
            <w:shd w:val="clear" w:color="auto" w:fill="009D73"/>
            <w:vAlign w:val="center"/>
          </w:tcPr>
          <w:p w14:paraId="58817AB0"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t>Priority</w:t>
            </w:r>
          </w:p>
        </w:tc>
        <w:tc>
          <w:tcPr>
            <w:tcW w:w="364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A4C9B0F" w14:textId="2B8B873C" w:rsidR="009225E7" w:rsidRPr="007C4D65" w:rsidRDefault="009225E7" w:rsidP="009225E7">
            <w:pPr>
              <w:spacing w:after="160" w:line="259" w:lineRule="auto"/>
              <w:rPr>
                <w:rFonts w:asciiTheme="minorHAnsi" w:hAnsiTheme="minorHAnsi" w:cstheme="minorHAnsi"/>
                <w:b/>
                <w:bCs/>
                <w:sz w:val="18"/>
                <w:szCs w:val="18"/>
                <w:lang w:val="en-US" w:eastAsia="zh-TW"/>
              </w:rPr>
            </w:pPr>
            <w:r w:rsidRPr="007C4D65">
              <w:rPr>
                <w:rFonts w:asciiTheme="minorHAnsi" w:eastAsia="Calibri" w:hAnsiTheme="minorHAnsi" w:cstheme="minorHAnsi"/>
                <w:b/>
                <w:bCs/>
                <w:sz w:val="18"/>
                <w:szCs w:val="18"/>
                <w:lang w:eastAsia="en-US"/>
              </w:rPr>
              <w:t>7.2 Ensuring efficient implementation of the applicable legislation and international commitments</w:t>
            </w:r>
          </w:p>
        </w:tc>
      </w:tr>
      <w:tr w:rsidR="009225E7" w:rsidRPr="007C4D65" w14:paraId="6E27F05E" w14:textId="77777777" w:rsidTr="00B6017F">
        <w:trPr>
          <w:trHeight w:val="567"/>
        </w:trPr>
        <w:tc>
          <w:tcPr>
            <w:tcW w:w="1359" w:type="pct"/>
            <w:shd w:val="clear" w:color="auto" w:fill="009D73"/>
            <w:vAlign w:val="center"/>
          </w:tcPr>
          <w:p w14:paraId="6BB598F6"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t xml:space="preserve">          Measure</w:t>
            </w:r>
          </w:p>
        </w:tc>
        <w:tc>
          <w:tcPr>
            <w:tcW w:w="3641" w:type="pct"/>
            <w:gridSpan w:val="3"/>
            <w:tcBorders>
              <w:top w:val="single" w:sz="4" w:space="0" w:color="auto"/>
              <w:left w:val="single" w:sz="4" w:space="0" w:color="A6A6A6"/>
              <w:bottom w:val="single" w:sz="4" w:space="0" w:color="A6A6A6"/>
              <w:right w:val="single" w:sz="4" w:space="0" w:color="A6A6A6"/>
            </w:tcBorders>
            <w:shd w:val="clear" w:color="auto" w:fill="FFFFFF"/>
            <w:vAlign w:val="center"/>
          </w:tcPr>
          <w:p w14:paraId="30BA1798" w14:textId="22CFD394" w:rsidR="009225E7" w:rsidRPr="007C4D65" w:rsidRDefault="009225E7" w:rsidP="009225E7">
            <w:pPr>
              <w:spacing w:before="40" w:after="40" w:line="276" w:lineRule="auto"/>
              <w:rPr>
                <w:rFonts w:asciiTheme="minorHAnsi" w:eastAsia="Calibri" w:hAnsiTheme="minorHAnsi" w:cstheme="minorHAnsi"/>
                <w:b/>
                <w:sz w:val="18"/>
                <w:szCs w:val="18"/>
                <w:lang w:val="en-US" w:eastAsia="x-none"/>
              </w:rPr>
            </w:pPr>
            <w:r w:rsidRPr="007C4D65">
              <w:rPr>
                <w:rFonts w:asciiTheme="minorHAnsi" w:eastAsia="Calibri" w:hAnsiTheme="minorHAnsi" w:cstheme="minorHAnsi"/>
                <w:b/>
                <w:sz w:val="18"/>
                <w:szCs w:val="18"/>
                <w:lang w:val="en-US" w:eastAsia="x-none"/>
              </w:rPr>
              <w:t>7.2</w:t>
            </w:r>
            <w:r w:rsidRPr="007C4D65">
              <w:rPr>
                <w:rFonts w:asciiTheme="minorHAnsi" w:eastAsia="Calibri" w:hAnsiTheme="minorHAnsi" w:cstheme="minorHAnsi"/>
                <w:bCs/>
                <w:sz w:val="18"/>
                <w:szCs w:val="18"/>
                <w:lang w:val="en-US" w:eastAsia="x-none"/>
              </w:rPr>
              <w:t>.</w:t>
            </w:r>
            <w:r w:rsidRPr="007C4D65">
              <w:rPr>
                <w:rFonts w:asciiTheme="minorHAnsi" w:eastAsia="Calibri" w:hAnsiTheme="minorHAnsi" w:cstheme="minorHAnsi"/>
                <w:b/>
                <w:sz w:val="18"/>
                <w:szCs w:val="18"/>
                <w:lang w:val="en-US" w:eastAsia="x-none"/>
              </w:rPr>
              <w:t xml:space="preserve">2 Consistent application of </w:t>
            </w:r>
            <w:r w:rsidRPr="007C4D65">
              <w:rPr>
                <w:rFonts w:asciiTheme="minorHAnsi" w:eastAsiaTheme="minorHAnsi" w:hAnsiTheme="minorHAnsi" w:cstheme="minorHAnsi"/>
                <w:b/>
                <w:sz w:val="18"/>
                <w:szCs w:val="18"/>
                <w:lang w:val="en-US" w:eastAsia="en-US"/>
              </w:rPr>
              <w:t>strategic environmental assessment (SEA)</w:t>
            </w:r>
          </w:p>
        </w:tc>
      </w:tr>
      <w:tr w:rsidR="009225E7" w:rsidRPr="007C4D65" w14:paraId="69E94C1E"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D3D314D" w14:textId="77777777" w:rsidR="009225E7" w:rsidRPr="007C4D65" w:rsidRDefault="009225E7" w:rsidP="009225E7">
            <w:pPr>
              <w:spacing w:before="40" w:after="40" w:line="276" w:lineRule="auto"/>
              <w:ind w:left="406"/>
              <w:contextualSpacing/>
              <w:jc w:val="both"/>
              <w:rPr>
                <w:rFonts w:asciiTheme="minorHAnsi" w:eastAsia="Calibri" w:hAnsiTheme="minorHAnsi" w:cstheme="minorHAnsi"/>
                <w:sz w:val="18"/>
                <w:szCs w:val="18"/>
                <w:lang w:val="en-US" w:eastAsia="en-US"/>
              </w:rPr>
            </w:pPr>
            <w:r w:rsidRPr="007C4D65">
              <w:rPr>
                <w:rFonts w:asciiTheme="minorHAnsi" w:eastAsia="Calibri" w:hAnsiTheme="minorHAnsi" w:cstheme="minorHAnsi"/>
                <w:b/>
                <w:bCs/>
                <w:color w:val="FFFFFF"/>
                <w:sz w:val="18"/>
                <w:szCs w:val="18"/>
                <w:lang w:val="en-US" w:eastAsia="en-US" w:bidi="en-US"/>
              </w:rPr>
              <w:t>Description of the measure with the general area of intervention</w:t>
            </w:r>
          </w:p>
          <w:p w14:paraId="7F9900DB"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BC2C001" w14:textId="29E76B3A" w:rsidR="009225E7" w:rsidRPr="007C4D65" w:rsidRDefault="009225E7" w:rsidP="009225E7">
            <w:pPr>
              <w:spacing w:after="160" w:line="276" w:lineRule="auto"/>
              <w:jc w:val="both"/>
              <w:rPr>
                <w:rFonts w:asciiTheme="minorHAnsi" w:eastAsiaTheme="minorHAnsi" w:hAnsiTheme="minorHAnsi" w:cstheme="minorHAnsi"/>
                <w:sz w:val="18"/>
                <w:szCs w:val="18"/>
                <w:lang w:val="en-US" w:eastAsia="en-US"/>
              </w:rPr>
            </w:pPr>
            <w:r w:rsidRPr="007C4D65">
              <w:rPr>
                <w:rFonts w:asciiTheme="minorHAnsi" w:eastAsiaTheme="minorHAnsi" w:hAnsiTheme="minorHAnsi" w:cstheme="minorHAnsi"/>
                <w:sz w:val="18"/>
                <w:szCs w:val="18"/>
                <w:lang w:val="en-US" w:eastAsia="en-US"/>
              </w:rPr>
              <w:t>The aim of this measure is to ensure consistent application of SEA through the implementation of the 2021 Law on Environmental Protection and cross-sectoral cooperation.</w:t>
            </w:r>
          </w:p>
          <w:p w14:paraId="694CB64F" w14:textId="77777777" w:rsidR="009225E7" w:rsidRPr="007C4D65" w:rsidRDefault="009225E7" w:rsidP="009225E7">
            <w:pPr>
              <w:spacing w:before="40" w:after="40" w:line="276" w:lineRule="auto"/>
              <w:rPr>
                <w:rFonts w:asciiTheme="minorHAnsi" w:eastAsia="Calibri" w:hAnsiTheme="minorHAnsi" w:cstheme="minorHAnsi"/>
                <w:sz w:val="18"/>
                <w:szCs w:val="18"/>
                <w:lang w:val="en-US" w:eastAsia="x-none"/>
              </w:rPr>
            </w:pPr>
            <w:r w:rsidRPr="007C4D65">
              <w:rPr>
                <w:rFonts w:asciiTheme="minorHAnsi" w:eastAsiaTheme="minorHAnsi" w:hAnsiTheme="minorHAnsi" w:cstheme="minorHAnsi"/>
                <w:sz w:val="18"/>
                <w:szCs w:val="18"/>
                <w:lang w:val="en-US" w:eastAsia="en-US"/>
              </w:rPr>
              <w:t>General areas of intervention</w:t>
            </w:r>
            <w:r w:rsidRPr="007C4D65">
              <w:rPr>
                <w:rFonts w:asciiTheme="minorHAnsi" w:eastAsia="Calibri" w:hAnsiTheme="minorHAnsi" w:cstheme="minorHAnsi"/>
                <w:sz w:val="18"/>
                <w:szCs w:val="18"/>
                <w:lang w:val="en-US" w:eastAsia="x-none"/>
              </w:rPr>
              <w:t>:</w:t>
            </w:r>
          </w:p>
          <w:p w14:paraId="3EFAEDA2" w14:textId="39E9E50B" w:rsidR="009225E7" w:rsidRPr="007C4D65" w:rsidRDefault="009225E7">
            <w:pPr>
              <w:numPr>
                <w:ilvl w:val="0"/>
                <w:numId w:val="153"/>
              </w:numPr>
              <w:spacing w:before="40" w:after="40" w:line="276" w:lineRule="auto"/>
              <w:contextualSpacing/>
              <w:rPr>
                <w:rFonts w:asciiTheme="minorHAnsi" w:eastAsia="Calibri" w:hAnsiTheme="minorHAnsi" w:cstheme="minorHAnsi"/>
                <w:sz w:val="18"/>
                <w:szCs w:val="18"/>
                <w:lang w:val="en-US" w:eastAsia="x-none"/>
              </w:rPr>
            </w:pPr>
            <w:r w:rsidRPr="007C4D65">
              <w:rPr>
                <w:rFonts w:asciiTheme="minorHAnsi" w:eastAsiaTheme="minorHAnsi" w:hAnsiTheme="minorHAnsi" w:cstheme="minorHAnsi"/>
                <w:sz w:val="18"/>
                <w:szCs w:val="18"/>
                <w:lang w:val="en-US" w:eastAsia="en-US"/>
              </w:rPr>
              <w:t xml:space="preserve">Drafting and </w:t>
            </w:r>
            <w:r w:rsidR="00171AA7" w:rsidRPr="007C4D65">
              <w:rPr>
                <w:rFonts w:asciiTheme="minorHAnsi" w:eastAsiaTheme="minorHAnsi" w:hAnsiTheme="minorHAnsi" w:cstheme="minorHAnsi"/>
                <w:sz w:val="18"/>
                <w:szCs w:val="18"/>
                <w:lang w:val="en-US" w:eastAsia="en-US"/>
              </w:rPr>
              <w:t>enacting</w:t>
            </w:r>
            <w:r w:rsidRPr="007C4D65">
              <w:rPr>
                <w:rFonts w:asciiTheme="minorHAnsi" w:eastAsiaTheme="minorHAnsi" w:hAnsiTheme="minorHAnsi" w:cstheme="minorHAnsi"/>
                <w:sz w:val="18"/>
                <w:szCs w:val="18"/>
                <w:lang w:val="en-US" w:eastAsia="en-US"/>
              </w:rPr>
              <w:t xml:space="preserve"> </w:t>
            </w:r>
            <w:r w:rsidR="00B80FAD" w:rsidRPr="007C4D65">
              <w:rPr>
                <w:rFonts w:asciiTheme="minorHAnsi" w:eastAsiaTheme="minorHAnsi" w:hAnsiTheme="minorHAnsi" w:cstheme="minorHAnsi"/>
                <w:sz w:val="18"/>
                <w:szCs w:val="18"/>
                <w:lang w:val="en-US" w:eastAsia="en-US"/>
              </w:rPr>
              <w:t>bylaw</w:t>
            </w:r>
            <w:r w:rsidRPr="007C4D65">
              <w:rPr>
                <w:rFonts w:asciiTheme="minorHAnsi" w:eastAsiaTheme="minorHAnsi" w:hAnsiTheme="minorHAnsi" w:cstheme="minorHAnsi"/>
                <w:sz w:val="18"/>
                <w:szCs w:val="18"/>
                <w:lang w:val="en-US" w:eastAsia="en-US"/>
              </w:rPr>
              <w:t xml:space="preserve">s </w:t>
            </w:r>
            <w:r w:rsidR="00171AA7" w:rsidRPr="007C4D65">
              <w:rPr>
                <w:rFonts w:asciiTheme="minorHAnsi" w:eastAsiaTheme="minorHAnsi" w:hAnsiTheme="minorHAnsi" w:cstheme="minorHAnsi"/>
                <w:sz w:val="18"/>
                <w:szCs w:val="18"/>
                <w:lang w:val="en-US" w:eastAsia="en-US"/>
              </w:rPr>
              <w:t>for</w:t>
            </w:r>
            <w:r w:rsidRPr="007C4D65">
              <w:rPr>
                <w:rFonts w:asciiTheme="minorHAnsi" w:eastAsiaTheme="minorHAnsi" w:hAnsiTheme="minorHAnsi" w:cstheme="minorHAnsi"/>
                <w:sz w:val="18"/>
                <w:szCs w:val="18"/>
                <w:lang w:val="en-US" w:eastAsia="en-US"/>
              </w:rPr>
              <w:t xml:space="preserve"> the Law on Environmental Protection which define in detail the scope, </w:t>
            </w:r>
            <w:proofErr w:type="gramStart"/>
            <w:r w:rsidRPr="007C4D65">
              <w:rPr>
                <w:rFonts w:asciiTheme="minorHAnsi" w:eastAsiaTheme="minorHAnsi" w:hAnsiTheme="minorHAnsi" w:cstheme="minorHAnsi"/>
                <w:sz w:val="18"/>
                <w:szCs w:val="18"/>
                <w:lang w:val="en-US" w:eastAsia="en-US"/>
              </w:rPr>
              <w:t>content</w:t>
            </w:r>
            <w:proofErr w:type="gramEnd"/>
            <w:r w:rsidRPr="007C4D65">
              <w:rPr>
                <w:rFonts w:asciiTheme="minorHAnsi" w:eastAsiaTheme="minorHAnsi" w:hAnsiTheme="minorHAnsi" w:cstheme="minorHAnsi"/>
                <w:sz w:val="18"/>
                <w:szCs w:val="18"/>
                <w:lang w:val="en-US" w:eastAsia="en-US"/>
              </w:rPr>
              <w:t xml:space="preserve"> and evaluation of the strategic study</w:t>
            </w:r>
            <w:r w:rsidR="00EA23CE" w:rsidRPr="007C4D65">
              <w:rPr>
                <w:rFonts w:asciiTheme="minorHAnsi" w:eastAsiaTheme="minorHAnsi" w:hAnsiTheme="minorHAnsi" w:cstheme="minorHAnsi"/>
                <w:sz w:val="18"/>
                <w:szCs w:val="18"/>
                <w:lang w:val="en-US" w:eastAsia="en-US"/>
              </w:rPr>
              <w:t>&lt;</w:t>
            </w:r>
          </w:p>
          <w:p w14:paraId="3B7B4023" w14:textId="16A7E2F0" w:rsidR="009225E7" w:rsidRPr="007C4D65" w:rsidRDefault="009225E7">
            <w:pPr>
              <w:numPr>
                <w:ilvl w:val="0"/>
                <w:numId w:val="153"/>
              </w:numPr>
              <w:spacing w:before="40" w:after="40" w:line="276" w:lineRule="auto"/>
              <w:contextualSpacing/>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 xml:space="preserve">Regular update of the </w:t>
            </w:r>
            <w:r w:rsidR="00B80FAD" w:rsidRPr="007C4D65">
              <w:rPr>
                <w:rFonts w:asciiTheme="minorHAnsi" w:eastAsia="Calibri" w:hAnsiTheme="minorHAnsi" w:cstheme="minorHAnsi"/>
                <w:sz w:val="18"/>
                <w:szCs w:val="18"/>
                <w:lang w:val="en-US" w:eastAsia="x-none"/>
              </w:rPr>
              <w:t>bylaw</w:t>
            </w:r>
            <w:r w:rsidRPr="007C4D65">
              <w:rPr>
                <w:rFonts w:asciiTheme="minorHAnsi" w:eastAsia="Calibri" w:hAnsiTheme="minorHAnsi" w:cstheme="minorHAnsi"/>
                <w:sz w:val="18"/>
                <w:szCs w:val="18"/>
                <w:lang w:val="en-US" w:eastAsia="x-none"/>
              </w:rPr>
              <w:t xml:space="preserve">s for implementation of </w:t>
            </w:r>
            <w:r w:rsidRPr="007C4D65">
              <w:rPr>
                <w:rFonts w:asciiTheme="minorHAnsi" w:eastAsiaTheme="minorHAnsi" w:hAnsiTheme="minorHAnsi" w:cstheme="minorHAnsi"/>
                <w:sz w:val="18"/>
                <w:szCs w:val="18"/>
                <w:lang w:val="en-US" w:eastAsia="en-US"/>
              </w:rPr>
              <w:t>SEA</w:t>
            </w:r>
            <w:r w:rsidR="00171AA7" w:rsidRPr="007C4D65">
              <w:rPr>
                <w:rFonts w:asciiTheme="minorHAnsi" w:eastAsia="Calibri" w:hAnsiTheme="minorHAnsi" w:cstheme="minorHAnsi"/>
                <w:sz w:val="18"/>
                <w:szCs w:val="18"/>
                <w:lang w:val="en-US" w:eastAsia="x-none"/>
              </w:rPr>
              <w:t xml:space="preserve"> as </w:t>
            </w:r>
            <w:r w:rsidR="00171AA7" w:rsidRPr="007C4D65">
              <w:rPr>
                <w:rFonts w:asciiTheme="minorHAnsi" w:eastAsia="Calibri" w:hAnsiTheme="minorHAnsi" w:cstheme="minorHAnsi"/>
                <w:sz w:val="18"/>
                <w:szCs w:val="18"/>
                <w:lang w:eastAsia="x-none"/>
              </w:rPr>
              <w:t>required by new developments,</w:t>
            </w:r>
            <w:r w:rsidRPr="007C4D65">
              <w:rPr>
                <w:rFonts w:asciiTheme="minorHAnsi" w:eastAsia="Calibri" w:hAnsiTheme="minorHAnsi" w:cstheme="minorHAnsi"/>
                <w:sz w:val="18"/>
                <w:szCs w:val="18"/>
                <w:lang w:eastAsia="x-none"/>
              </w:rPr>
              <w:t xml:space="preserve"> and</w:t>
            </w:r>
            <w:r w:rsidRPr="007C4D65">
              <w:rPr>
                <w:rFonts w:asciiTheme="minorHAnsi" w:eastAsia="Calibri" w:hAnsiTheme="minorHAnsi" w:cstheme="minorHAnsi"/>
                <w:sz w:val="18"/>
                <w:szCs w:val="18"/>
                <w:lang w:val="en-US" w:eastAsia="x-none"/>
              </w:rPr>
              <w:t xml:space="preserve"> </w:t>
            </w:r>
            <w:proofErr w:type="gramStart"/>
            <w:r w:rsidR="00171AA7" w:rsidRPr="007C4D65">
              <w:rPr>
                <w:rFonts w:asciiTheme="minorHAnsi" w:eastAsia="Calibri" w:hAnsiTheme="minorHAnsi" w:cstheme="minorHAnsi"/>
                <w:sz w:val="18"/>
                <w:szCs w:val="18"/>
                <w:lang w:val="en-US" w:eastAsia="x-none"/>
              </w:rPr>
              <w:t>as a result of</w:t>
            </w:r>
            <w:proofErr w:type="gramEnd"/>
            <w:r w:rsidR="00171AA7" w:rsidRPr="007C4D65">
              <w:rPr>
                <w:rFonts w:asciiTheme="minorHAnsi" w:eastAsia="Calibri" w:hAnsiTheme="minorHAnsi" w:cstheme="minorHAnsi"/>
                <w:sz w:val="18"/>
                <w:szCs w:val="18"/>
                <w:lang w:val="en-US" w:eastAsia="x-none"/>
              </w:rPr>
              <w:t xml:space="preserve"> efforts of harmonizing them with the legislation applicable in </w:t>
            </w:r>
            <w:proofErr w:type="spellStart"/>
            <w:r w:rsidRPr="007C4D65">
              <w:rPr>
                <w:rFonts w:asciiTheme="minorHAnsi" w:eastAsia="Calibri" w:hAnsiTheme="minorHAnsi" w:cstheme="minorHAnsi"/>
                <w:sz w:val="18"/>
                <w:szCs w:val="18"/>
                <w:lang w:val="en-US" w:eastAsia="x-none"/>
              </w:rPr>
              <w:t>Republika</w:t>
            </w:r>
            <w:proofErr w:type="spellEnd"/>
            <w:r w:rsidRPr="007C4D65">
              <w:rPr>
                <w:rFonts w:asciiTheme="minorHAnsi" w:eastAsia="Calibri" w:hAnsiTheme="minorHAnsi" w:cstheme="minorHAnsi"/>
                <w:sz w:val="18"/>
                <w:szCs w:val="18"/>
                <w:lang w:val="en-US" w:eastAsia="x-none"/>
              </w:rPr>
              <w:t xml:space="preserve"> Srpska and Br</w:t>
            </w:r>
            <w:r w:rsidR="00171AA7" w:rsidRPr="007C4D65">
              <w:rPr>
                <w:rFonts w:asciiTheme="minorHAnsi" w:eastAsia="Calibri" w:hAnsiTheme="minorHAnsi" w:cstheme="minorHAnsi"/>
                <w:sz w:val="18"/>
                <w:szCs w:val="18"/>
                <w:lang w:val="en-US" w:eastAsia="x-none"/>
              </w:rPr>
              <w:t>c</w:t>
            </w:r>
            <w:r w:rsidRPr="007C4D65">
              <w:rPr>
                <w:rFonts w:asciiTheme="minorHAnsi" w:eastAsia="Calibri" w:hAnsiTheme="minorHAnsi" w:cstheme="minorHAnsi"/>
                <w:sz w:val="18"/>
                <w:szCs w:val="18"/>
                <w:lang w:val="en-US" w:eastAsia="x-none"/>
              </w:rPr>
              <w:t xml:space="preserve">ko District </w:t>
            </w:r>
            <w:r w:rsidR="00171AA7" w:rsidRPr="007C4D65">
              <w:rPr>
                <w:rFonts w:asciiTheme="minorHAnsi" w:eastAsia="Calibri" w:hAnsiTheme="minorHAnsi" w:cstheme="minorHAnsi"/>
                <w:sz w:val="18"/>
                <w:szCs w:val="18"/>
                <w:lang w:val="en-US" w:eastAsia="x-none"/>
              </w:rPr>
              <w:t>with representatives of relevant institutions of these two entities</w:t>
            </w:r>
            <w:r w:rsidR="00EA23CE" w:rsidRPr="007C4D65">
              <w:rPr>
                <w:rFonts w:asciiTheme="minorHAnsi" w:eastAsia="Calibri" w:hAnsiTheme="minorHAnsi" w:cstheme="minorHAnsi"/>
                <w:sz w:val="18"/>
                <w:szCs w:val="18"/>
                <w:lang w:val="en-US" w:eastAsia="x-none"/>
              </w:rPr>
              <w:t>&lt;</w:t>
            </w:r>
          </w:p>
          <w:p w14:paraId="025841DB" w14:textId="0C99BC58" w:rsidR="009225E7" w:rsidRPr="007C4D65" w:rsidRDefault="009225E7">
            <w:pPr>
              <w:numPr>
                <w:ilvl w:val="0"/>
                <w:numId w:val="153"/>
              </w:numPr>
              <w:spacing w:before="40" w:after="40" w:line="276" w:lineRule="auto"/>
              <w:contextualSpacing/>
              <w:rPr>
                <w:rFonts w:asciiTheme="minorHAnsi" w:eastAsia="Calibri" w:hAnsiTheme="minorHAnsi" w:cstheme="minorHAnsi"/>
                <w:sz w:val="18"/>
                <w:szCs w:val="18"/>
                <w:lang w:val="en-US" w:eastAsia="x-none"/>
              </w:rPr>
            </w:pPr>
            <w:r w:rsidRPr="007C4D65">
              <w:rPr>
                <w:rFonts w:asciiTheme="minorHAnsi" w:eastAsiaTheme="minorHAnsi" w:hAnsiTheme="minorHAnsi" w:cstheme="minorHAnsi"/>
                <w:sz w:val="18"/>
                <w:szCs w:val="18"/>
                <w:lang w:val="en-US" w:eastAsia="en-US"/>
              </w:rPr>
              <w:t xml:space="preserve">Participation in coordination and harmonization </w:t>
            </w:r>
            <w:r w:rsidR="00171AA7" w:rsidRPr="007C4D65">
              <w:rPr>
                <w:rFonts w:asciiTheme="minorHAnsi" w:eastAsiaTheme="minorHAnsi" w:hAnsiTheme="minorHAnsi" w:cstheme="minorHAnsi"/>
                <w:sz w:val="18"/>
                <w:szCs w:val="18"/>
                <w:lang w:val="en-US" w:eastAsia="en-US"/>
              </w:rPr>
              <w:t xml:space="preserve">processes aimed at updating and defining protocols and administrative procedures for cross-border notification and consultations in SEA implementation, </w:t>
            </w:r>
            <w:r w:rsidRPr="007C4D65">
              <w:rPr>
                <w:rFonts w:asciiTheme="minorHAnsi" w:eastAsiaTheme="minorHAnsi" w:hAnsiTheme="minorHAnsi" w:cstheme="minorHAnsi"/>
                <w:sz w:val="18"/>
                <w:szCs w:val="18"/>
                <w:lang w:val="en-US" w:eastAsia="en-US"/>
              </w:rPr>
              <w:t xml:space="preserve">with representatives of the competent institutions of </w:t>
            </w:r>
            <w:r w:rsidR="00171AA7" w:rsidRPr="007C4D65">
              <w:rPr>
                <w:rFonts w:asciiTheme="minorHAnsi" w:eastAsiaTheme="minorHAnsi" w:hAnsiTheme="minorHAnsi" w:cstheme="minorHAnsi"/>
                <w:sz w:val="18"/>
                <w:szCs w:val="18"/>
                <w:lang w:val="en-US" w:eastAsia="en-US"/>
              </w:rPr>
              <w:t>BiH</w:t>
            </w:r>
            <w:r w:rsidRPr="007C4D65">
              <w:rPr>
                <w:rFonts w:asciiTheme="minorHAnsi" w:eastAsiaTheme="minorHAnsi" w:hAnsiTheme="minorHAnsi" w:cstheme="minorHAnsi"/>
                <w:sz w:val="18"/>
                <w:szCs w:val="18"/>
                <w:lang w:val="en-US" w:eastAsia="en-US"/>
              </w:rPr>
              <w:t xml:space="preserve">, </w:t>
            </w:r>
            <w:proofErr w:type="spellStart"/>
            <w:r w:rsidRPr="007C4D65">
              <w:rPr>
                <w:rFonts w:asciiTheme="minorHAnsi" w:eastAsiaTheme="minorHAnsi" w:hAnsiTheme="minorHAnsi" w:cstheme="minorHAnsi"/>
                <w:sz w:val="18"/>
                <w:szCs w:val="18"/>
                <w:lang w:val="en-US" w:eastAsia="en-US"/>
              </w:rPr>
              <w:t>Republika</w:t>
            </w:r>
            <w:proofErr w:type="spellEnd"/>
            <w:r w:rsidRPr="007C4D65">
              <w:rPr>
                <w:rFonts w:asciiTheme="minorHAnsi" w:eastAsiaTheme="minorHAnsi" w:hAnsiTheme="minorHAnsi" w:cstheme="minorHAnsi"/>
                <w:sz w:val="18"/>
                <w:szCs w:val="18"/>
                <w:lang w:val="en-US" w:eastAsia="en-US"/>
              </w:rPr>
              <w:t xml:space="preserve"> Srpska and Br</w:t>
            </w:r>
            <w:r w:rsidR="00171AA7" w:rsidRPr="007C4D65">
              <w:rPr>
                <w:rFonts w:asciiTheme="minorHAnsi" w:eastAsiaTheme="minorHAnsi" w:hAnsiTheme="minorHAnsi" w:cstheme="minorHAnsi"/>
                <w:sz w:val="18"/>
                <w:szCs w:val="18"/>
                <w:lang w:val="en-US" w:eastAsia="en-US"/>
              </w:rPr>
              <w:t>c</w:t>
            </w:r>
            <w:r w:rsidRPr="007C4D65">
              <w:rPr>
                <w:rFonts w:asciiTheme="minorHAnsi" w:eastAsiaTheme="minorHAnsi" w:hAnsiTheme="minorHAnsi" w:cstheme="minorHAnsi"/>
                <w:sz w:val="18"/>
                <w:szCs w:val="18"/>
                <w:lang w:val="en-US" w:eastAsia="en-US"/>
              </w:rPr>
              <w:t>ko District</w:t>
            </w:r>
            <w:r w:rsidR="00EA23CE" w:rsidRPr="007C4D65">
              <w:rPr>
                <w:rFonts w:asciiTheme="minorHAnsi" w:eastAsia="Calibri" w:hAnsiTheme="minorHAnsi" w:cstheme="minorHAnsi"/>
                <w:sz w:val="18"/>
                <w:szCs w:val="18"/>
                <w:lang w:val="en-US" w:eastAsia="x-none"/>
              </w:rPr>
              <w:t>&lt;</w:t>
            </w:r>
          </w:p>
          <w:p w14:paraId="0EE31872" w14:textId="7B13EA80" w:rsidR="009225E7" w:rsidRPr="007C4D65" w:rsidRDefault="009225E7">
            <w:pPr>
              <w:numPr>
                <w:ilvl w:val="0"/>
                <w:numId w:val="153"/>
              </w:numPr>
              <w:spacing w:before="40" w:after="40" w:line="276" w:lineRule="auto"/>
              <w:contextualSpacing/>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 xml:space="preserve">Establishment of necessary systems and procedures which </w:t>
            </w:r>
            <w:r w:rsidR="00171AA7" w:rsidRPr="007C4D65">
              <w:rPr>
                <w:rFonts w:asciiTheme="minorHAnsi" w:eastAsia="Calibri" w:hAnsiTheme="minorHAnsi" w:cstheme="minorHAnsi"/>
                <w:sz w:val="18"/>
                <w:szCs w:val="18"/>
                <w:lang w:val="en-US" w:eastAsia="x-none"/>
              </w:rPr>
              <w:t>should</w:t>
            </w:r>
            <w:r w:rsidRPr="007C4D65">
              <w:rPr>
                <w:rFonts w:asciiTheme="minorHAnsi" w:eastAsia="Calibri" w:hAnsiTheme="minorHAnsi" w:cstheme="minorHAnsi"/>
                <w:sz w:val="18"/>
                <w:szCs w:val="18"/>
                <w:lang w:val="en-US" w:eastAsia="x-none"/>
              </w:rPr>
              <w:t xml:space="preserve"> ensure </w:t>
            </w:r>
            <w:r w:rsidR="00171AA7" w:rsidRPr="007C4D65">
              <w:rPr>
                <w:rFonts w:asciiTheme="minorHAnsi" w:eastAsia="Calibri" w:hAnsiTheme="minorHAnsi" w:cstheme="minorHAnsi"/>
                <w:sz w:val="18"/>
                <w:szCs w:val="18"/>
                <w:lang w:val="en-US" w:eastAsia="x-none"/>
              </w:rPr>
              <w:t xml:space="preserve">consistent </w:t>
            </w:r>
            <w:r w:rsidR="00CC1E1F" w:rsidRPr="007C4D65">
              <w:rPr>
                <w:rFonts w:asciiTheme="minorHAnsi" w:eastAsia="Calibri" w:hAnsiTheme="minorHAnsi" w:cstheme="minorHAnsi"/>
                <w:sz w:val="18"/>
                <w:szCs w:val="18"/>
                <w:lang w:val="en-US" w:eastAsia="x-none"/>
              </w:rPr>
              <w:t>application</w:t>
            </w:r>
            <w:r w:rsidR="00171AA7" w:rsidRPr="007C4D65">
              <w:rPr>
                <w:rFonts w:asciiTheme="minorHAnsi" w:eastAsia="Calibri" w:hAnsiTheme="minorHAnsi" w:cstheme="minorHAnsi"/>
                <w:sz w:val="18"/>
                <w:szCs w:val="18"/>
                <w:lang w:val="en-US" w:eastAsia="x-none"/>
              </w:rPr>
              <w:t xml:space="preserve"> of SEA </w:t>
            </w:r>
            <w:r w:rsidR="00CC1E1F" w:rsidRPr="007C4D65">
              <w:rPr>
                <w:rFonts w:asciiTheme="minorHAnsi" w:eastAsia="Calibri" w:hAnsiTheme="minorHAnsi" w:cstheme="minorHAnsi"/>
                <w:sz w:val="18"/>
                <w:szCs w:val="18"/>
                <w:lang w:val="en-US" w:eastAsia="x-none"/>
              </w:rPr>
              <w:t>to</w:t>
            </w:r>
            <w:r w:rsidRPr="007C4D65">
              <w:rPr>
                <w:rFonts w:asciiTheme="minorHAnsi" w:eastAsia="Calibri" w:hAnsiTheme="minorHAnsi" w:cstheme="minorHAnsi"/>
                <w:sz w:val="18"/>
                <w:szCs w:val="18"/>
                <w:lang w:val="en-US" w:eastAsia="x-none"/>
              </w:rPr>
              <w:t xml:space="preserve"> all documents /projects </w:t>
            </w:r>
            <w:r w:rsidR="00CC1E1F" w:rsidRPr="007C4D65">
              <w:rPr>
                <w:rFonts w:asciiTheme="minorHAnsi" w:eastAsia="Calibri" w:hAnsiTheme="minorHAnsi" w:cstheme="minorHAnsi"/>
                <w:sz w:val="18"/>
                <w:szCs w:val="18"/>
                <w:lang w:val="en-US" w:eastAsia="x-none"/>
              </w:rPr>
              <w:t>where it is required</w:t>
            </w:r>
            <w:r w:rsidRPr="007C4D65">
              <w:rPr>
                <w:rFonts w:asciiTheme="minorHAnsi" w:eastAsia="Calibri" w:hAnsiTheme="minorHAnsi" w:cstheme="minorHAnsi"/>
                <w:sz w:val="18"/>
                <w:szCs w:val="18"/>
                <w:lang w:val="en-US" w:eastAsia="x-none"/>
              </w:rPr>
              <w:t>, where local government units (municipalities /cities)</w:t>
            </w:r>
            <w:r w:rsidR="00CC1E1F" w:rsidRPr="007C4D65">
              <w:rPr>
                <w:rFonts w:asciiTheme="minorHAnsi" w:eastAsia="Calibri" w:hAnsiTheme="minorHAnsi" w:cstheme="minorHAnsi"/>
                <w:sz w:val="18"/>
                <w:szCs w:val="18"/>
                <w:lang w:val="en-US" w:eastAsia="x-none"/>
              </w:rPr>
              <w:t xml:space="preserve"> play a particularly important </w:t>
            </w:r>
            <w:proofErr w:type="gramStart"/>
            <w:r w:rsidR="00CC1E1F" w:rsidRPr="007C4D65">
              <w:rPr>
                <w:rFonts w:asciiTheme="minorHAnsi" w:eastAsia="Calibri" w:hAnsiTheme="minorHAnsi" w:cstheme="minorHAnsi"/>
                <w:sz w:val="18"/>
                <w:szCs w:val="18"/>
                <w:lang w:val="en-US" w:eastAsia="x-none"/>
              </w:rPr>
              <w:t>role</w:t>
            </w:r>
            <w:r w:rsidR="00EA23CE" w:rsidRPr="007C4D65">
              <w:rPr>
                <w:rFonts w:asciiTheme="minorHAnsi" w:eastAsia="Calibri" w:hAnsiTheme="minorHAnsi" w:cstheme="minorHAnsi"/>
                <w:sz w:val="18"/>
                <w:szCs w:val="18"/>
                <w:lang w:val="bs-Latn-BA" w:eastAsia="x-none"/>
              </w:rPr>
              <w:t>;</w:t>
            </w:r>
            <w:proofErr w:type="gramEnd"/>
          </w:p>
          <w:p w14:paraId="24CD0FF1" w14:textId="1ED73C9C" w:rsidR="009225E7" w:rsidRPr="007C4D65" w:rsidRDefault="00CC1E1F" w:rsidP="00EA23CE">
            <w:pPr>
              <w:numPr>
                <w:ilvl w:val="0"/>
                <w:numId w:val="153"/>
              </w:numPr>
              <w:spacing w:before="40" w:after="40" w:line="276" w:lineRule="auto"/>
              <w:contextualSpacing/>
              <w:jc w:val="both"/>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Activities aimed at</w:t>
            </w:r>
            <w:r w:rsidR="009225E7" w:rsidRPr="007C4D65">
              <w:rPr>
                <w:rFonts w:asciiTheme="minorHAnsi" w:eastAsia="Calibri" w:hAnsiTheme="minorHAnsi" w:cstheme="minorHAnsi"/>
                <w:sz w:val="18"/>
                <w:szCs w:val="18"/>
                <w:lang w:val="en-US" w:eastAsia="x-none"/>
              </w:rPr>
              <w:t xml:space="preserve"> raising</w:t>
            </w:r>
            <w:r w:rsidRPr="007C4D65">
              <w:rPr>
                <w:rFonts w:asciiTheme="minorHAnsi" w:eastAsia="Calibri" w:hAnsiTheme="minorHAnsi" w:cstheme="minorHAnsi"/>
                <w:sz w:val="18"/>
                <w:szCs w:val="18"/>
                <w:lang w:val="en-US" w:eastAsia="x-none"/>
              </w:rPr>
              <w:t xml:space="preserve"> the</w:t>
            </w:r>
            <w:r w:rsidR="009225E7" w:rsidRPr="007C4D65">
              <w:rPr>
                <w:rFonts w:asciiTheme="minorHAnsi" w:eastAsia="Calibri" w:hAnsiTheme="minorHAnsi" w:cstheme="minorHAnsi"/>
                <w:sz w:val="18"/>
                <w:szCs w:val="18"/>
                <w:lang w:val="en-US" w:eastAsia="x-none"/>
              </w:rPr>
              <w:t xml:space="preserve"> awareness </w:t>
            </w:r>
            <w:r w:rsidRPr="007C4D65">
              <w:rPr>
                <w:rFonts w:asciiTheme="minorHAnsi" w:eastAsia="Calibri" w:hAnsiTheme="minorHAnsi" w:cstheme="minorHAnsi"/>
                <w:sz w:val="18"/>
                <w:szCs w:val="18"/>
                <w:lang w:val="en-US" w:eastAsia="x-none"/>
              </w:rPr>
              <w:t>among</w:t>
            </w:r>
            <w:r w:rsidR="009225E7" w:rsidRPr="007C4D65">
              <w:rPr>
                <w:rFonts w:asciiTheme="minorHAnsi" w:eastAsia="Calibri" w:hAnsiTheme="minorHAnsi" w:cstheme="minorHAnsi"/>
                <w:sz w:val="18"/>
                <w:szCs w:val="18"/>
                <w:lang w:val="en-US" w:eastAsia="x-none"/>
              </w:rPr>
              <w:t xml:space="preserve"> all institutional partners (sectoral institutions) and non-institutional partners (civil society) </w:t>
            </w:r>
            <w:r w:rsidRPr="007C4D65">
              <w:rPr>
                <w:rFonts w:asciiTheme="minorHAnsi" w:eastAsia="Calibri" w:hAnsiTheme="minorHAnsi" w:cstheme="minorHAnsi"/>
                <w:sz w:val="18"/>
                <w:szCs w:val="18"/>
                <w:lang w:val="en-US" w:eastAsia="x-none"/>
              </w:rPr>
              <w:t>about the</w:t>
            </w:r>
            <w:r w:rsidR="009225E7" w:rsidRPr="007C4D65">
              <w:rPr>
                <w:rFonts w:asciiTheme="minorHAnsi" w:eastAsia="Calibri" w:hAnsiTheme="minorHAnsi" w:cstheme="minorHAnsi"/>
                <w:sz w:val="18"/>
                <w:szCs w:val="18"/>
                <w:lang w:val="en-US" w:eastAsia="x-none"/>
              </w:rPr>
              <w:t xml:space="preserve"> importance of SEA and, if required, ensuring their training </w:t>
            </w:r>
            <w:r w:rsidRPr="007C4D65">
              <w:rPr>
                <w:rFonts w:asciiTheme="minorHAnsi" w:eastAsia="Calibri" w:hAnsiTheme="minorHAnsi" w:cstheme="minorHAnsi"/>
                <w:sz w:val="18"/>
                <w:szCs w:val="18"/>
                <w:lang w:val="en-US" w:eastAsia="x-none"/>
              </w:rPr>
              <w:t>to this end</w:t>
            </w:r>
            <w:r w:rsidR="00EA23CE" w:rsidRPr="007C4D65">
              <w:rPr>
                <w:rFonts w:asciiTheme="minorHAnsi" w:eastAsia="Calibri" w:hAnsiTheme="minorHAnsi" w:cstheme="minorHAnsi"/>
                <w:sz w:val="18"/>
                <w:szCs w:val="18"/>
                <w:lang w:val="en-US" w:eastAsia="x-none"/>
              </w:rPr>
              <w:t>.</w:t>
            </w:r>
          </w:p>
        </w:tc>
      </w:tr>
      <w:tr w:rsidR="009225E7" w:rsidRPr="007C4D65" w14:paraId="6ED7DDA2" w14:textId="77777777" w:rsidTr="00B6017F">
        <w:trPr>
          <w:trHeight w:val="567"/>
        </w:trPr>
        <w:tc>
          <w:tcPr>
            <w:tcW w:w="1359" w:type="pct"/>
            <w:shd w:val="clear" w:color="auto" w:fill="009D73"/>
            <w:vAlign w:val="center"/>
          </w:tcPr>
          <w:p w14:paraId="361A0440"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t xml:space="preserve">Strategic projects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F21CD90" w14:textId="77777777" w:rsidR="009225E7" w:rsidRPr="007C4D65" w:rsidRDefault="009225E7" w:rsidP="009225E7">
            <w:pPr>
              <w:spacing w:before="40" w:after="40" w:line="276" w:lineRule="auto"/>
              <w:rPr>
                <w:rFonts w:asciiTheme="minorHAnsi" w:eastAsiaTheme="minorHAnsi" w:hAnsiTheme="minorHAnsi" w:cstheme="minorHAnsi"/>
                <w:sz w:val="18"/>
                <w:szCs w:val="18"/>
                <w:lang w:val="en-US" w:eastAsia="zh-TW"/>
              </w:rPr>
            </w:pPr>
            <w:r w:rsidRPr="007C4D65">
              <w:rPr>
                <w:rFonts w:asciiTheme="minorHAnsi" w:eastAsiaTheme="minorHAnsi" w:hAnsiTheme="minorHAnsi" w:cstheme="minorHAnsi"/>
                <w:sz w:val="18"/>
                <w:szCs w:val="18"/>
                <w:lang w:val="en-US" w:eastAsia="zh-TW"/>
              </w:rPr>
              <w:t>/</w:t>
            </w:r>
          </w:p>
        </w:tc>
      </w:tr>
      <w:tr w:rsidR="009225E7" w:rsidRPr="007C4D65" w14:paraId="701AA646" w14:textId="77777777" w:rsidTr="00B6017F">
        <w:trPr>
          <w:trHeight w:val="567"/>
        </w:trPr>
        <w:tc>
          <w:tcPr>
            <w:tcW w:w="1359" w:type="pct"/>
            <w:vMerge w:val="restart"/>
            <w:shd w:val="clear" w:color="auto" w:fill="009D73"/>
            <w:vAlign w:val="center"/>
          </w:tcPr>
          <w:p w14:paraId="6A5E8543"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t>Indicators for monitoring of results</w:t>
            </w:r>
          </w:p>
        </w:tc>
        <w:tc>
          <w:tcPr>
            <w:tcW w:w="1451"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72B4D75" w14:textId="77777777" w:rsidR="009225E7" w:rsidRPr="007C4D65" w:rsidRDefault="009225E7" w:rsidP="009225E7">
            <w:pPr>
              <w:spacing w:before="40" w:after="40" w:line="276" w:lineRule="auto"/>
              <w:jc w:val="center"/>
              <w:rPr>
                <w:rFonts w:asciiTheme="minorHAnsi" w:eastAsiaTheme="minorHAnsi" w:hAnsiTheme="minorHAnsi" w:cstheme="minorHAnsi"/>
                <w:b/>
                <w:color w:val="FFFFFF" w:themeColor="background1"/>
                <w:sz w:val="18"/>
                <w:szCs w:val="18"/>
                <w:lang w:val="en-US" w:eastAsia="en-US"/>
              </w:rPr>
            </w:pPr>
            <w:r w:rsidRPr="007C4D65">
              <w:rPr>
                <w:rFonts w:asciiTheme="minorHAnsi" w:eastAsiaTheme="minorHAnsi" w:hAnsiTheme="minorHAnsi" w:cstheme="minorHAnsi"/>
                <w:b/>
                <w:color w:val="FFFFFF" w:themeColor="background1"/>
                <w:sz w:val="18"/>
                <w:szCs w:val="18"/>
                <w:lang w:val="en-US" w:eastAsia="en-US"/>
              </w:rPr>
              <w:t>Indicators</w:t>
            </w:r>
          </w:p>
          <w:p w14:paraId="63474D7B" w14:textId="77777777" w:rsidR="009225E7" w:rsidRPr="007C4D65" w:rsidRDefault="009225E7" w:rsidP="009225E7">
            <w:pPr>
              <w:spacing w:before="40" w:after="40" w:line="276" w:lineRule="auto"/>
              <w:jc w:val="center"/>
              <w:rPr>
                <w:rFonts w:asciiTheme="minorHAnsi" w:eastAsiaTheme="minorHAnsi" w:hAnsiTheme="minorHAnsi" w:cstheme="minorHAnsi"/>
                <w:b/>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w:t>
            </w:r>
            <w:proofErr w:type="gramStart"/>
            <w:r w:rsidRPr="007C4D65">
              <w:rPr>
                <w:rFonts w:asciiTheme="minorHAnsi" w:eastAsiaTheme="minorHAnsi" w:hAnsiTheme="minorHAnsi" w:cstheme="minorHAnsi"/>
                <w:b/>
                <w:color w:val="FFFFFF" w:themeColor="background1"/>
                <w:sz w:val="18"/>
                <w:szCs w:val="18"/>
                <w:lang w:val="en-US" w:eastAsia="en-US"/>
              </w:rPr>
              <w:t>outputs</w:t>
            </w:r>
            <w:proofErr w:type="gramEnd"/>
            <w:r w:rsidRPr="007C4D65">
              <w:rPr>
                <w:rFonts w:asciiTheme="minorHAnsi" w:eastAsiaTheme="minorHAnsi" w:hAnsiTheme="minorHAnsi" w:cstheme="minorHAnsi"/>
                <w:b/>
                <w:color w:val="FFFFFF" w:themeColor="background1"/>
                <w:sz w:val="18"/>
                <w:szCs w:val="18"/>
                <w:lang w:val="en-US" w:eastAsia="en-US"/>
              </w:rPr>
              <w:t xml:space="preserve"> and deliverables)</w:t>
            </w:r>
          </w:p>
        </w:tc>
        <w:tc>
          <w:tcPr>
            <w:tcW w:w="1187"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1744891" w14:textId="77777777" w:rsidR="009225E7" w:rsidRPr="007C4D65" w:rsidRDefault="009225E7" w:rsidP="009225E7">
            <w:pPr>
              <w:spacing w:before="40" w:after="40" w:line="276" w:lineRule="auto"/>
              <w:jc w:val="center"/>
              <w:rPr>
                <w:rFonts w:asciiTheme="minorHAnsi" w:eastAsiaTheme="minorHAnsi" w:hAnsiTheme="minorHAnsi" w:cstheme="minorHAnsi"/>
                <w:b/>
                <w:color w:val="FFFFFF" w:themeColor="background1"/>
                <w:sz w:val="18"/>
                <w:szCs w:val="18"/>
                <w:lang w:val="en-US" w:eastAsia="en-US"/>
              </w:rPr>
            </w:pPr>
            <w:r w:rsidRPr="007C4D65">
              <w:rPr>
                <w:rFonts w:asciiTheme="minorHAnsi" w:eastAsiaTheme="minorHAnsi" w:hAnsiTheme="minorHAnsi" w:cstheme="minorHAnsi"/>
                <w:b/>
                <w:color w:val="FFFFFF" w:themeColor="background1"/>
                <w:sz w:val="18"/>
                <w:szCs w:val="18"/>
                <w:lang w:val="en-US" w:eastAsia="en-US"/>
              </w:rPr>
              <w:t>Baseline value</w:t>
            </w:r>
          </w:p>
          <w:p w14:paraId="2510B732" w14:textId="77777777" w:rsidR="009225E7" w:rsidRPr="007C4D65" w:rsidRDefault="009225E7" w:rsidP="009225E7">
            <w:pPr>
              <w:spacing w:before="40" w:after="40" w:line="276" w:lineRule="auto"/>
              <w:jc w:val="center"/>
              <w:rPr>
                <w:rFonts w:asciiTheme="minorHAnsi" w:eastAsiaTheme="minorHAnsi" w:hAnsiTheme="minorHAnsi" w:cstheme="minorHAnsi"/>
                <w:b/>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2021</w:t>
            </w:r>
          </w:p>
        </w:tc>
        <w:tc>
          <w:tcPr>
            <w:tcW w:w="100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D50CECF" w14:textId="77777777" w:rsidR="009225E7" w:rsidRPr="007C4D65" w:rsidRDefault="009225E7" w:rsidP="009225E7">
            <w:pPr>
              <w:spacing w:before="40" w:after="40" w:line="276" w:lineRule="auto"/>
              <w:jc w:val="center"/>
              <w:rPr>
                <w:rFonts w:asciiTheme="minorHAnsi" w:eastAsiaTheme="minorHAnsi" w:hAnsiTheme="minorHAnsi" w:cstheme="minorHAnsi"/>
                <w:b/>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Target value</w:t>
            </w:r>
          </w:p>
        </w:tc>
      </w:tr>
      <w:tr w:rsidR="009225E7" w:rsidRPr="007C4D65" w14:paraId="266FBAE6"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969CBC8"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145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ABB9756" w14:textId="0E084774" w:rsidR="009225E7" w:rsidRPr="007C4D65" w:rsidRDefault="009225E7">
            <w:pPr>
              <w:numPr>
                <w:ilvl w:val="0"/>
                <w:numId w:val="154"/>
              </w:numPr>
              <w:spacing w:before="40" w:after="40" w:line="276" w:lineRule="auto"/>
              <w:ind w:left="265" w:hanging="265"/>
              <w:contextualSpacing/>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 xml:space="preserve">Status of adoption of </w:t>
            </w:r>
            <w:r w:rsidR="00B80FAD" w:rsidRPr="007C4D65">
              <w:rPr>
                <w:rFonts w:asciiTheme="minorHAnsi" w:eastAsia="Calibri" w:hAnsiTheme="minorHAnsi" w:cstheme="minorHAnsi"/>
                <w:sz w:val="18"/>
                <w:szCs w:val="18"/>
                <w:lang w:val="en-US" w:eastAsia="x-none"/>
              </w:rPr>
              <w:t>bylaw</w:t>
            </w:r>
            <w:r w:rsidRPr="007C4D65">
              <w:rPr>
                <w:rFonts w:asciiTheme="minorHAnsi" w:eastAsia="Calibri" w:hAnsiTheme="minorHAnsi" w:cstheme="minorHAnsi"/>
                <w:sz w:val="18"/>
                <w:szCs w:val="18"/>
                <w:lang w:val="en-US" w:eastAsia="x-none"/>
              </w:rPr>
              <w:t xml:space="preserve">s defining in detail the scope, content </w:t>
            </w:r>
            <w:r w:rsidR="00CC1E1F" w:rsidRPr="007C4D65">
              <w:rPr>
                <w:rFonts w:asciiTheme="minorHAnsi" w:eastAsia="Calibri" w:hAnsiTheme="minorHAnsi" w:cstheme="minorHAnsi"/>
                <w:sz w:val="18"/>
                <w:szCs w:val="18"/>
                <w:lang w:val="en-US" w:eastAsia="x-none"/>
              </w:rPr>
              <w:t>of SEA report</w:t>
            </w:r>
          </w:p>
        </w:tc>
        <w:tc>
          <w:tcPr>
            <w:tcW w:w="118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9A9BCBA" w14:textId="421B6DB6" w:rsidR="009225E7" w:rsidRPr="007C4D65" w:rsidRDefault="009225E7" w:rsidP="009225E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Calibri" w:hAnsiTheme="minorHAnsi" w:cstheme="minorHAnsi"/>
                <w:sz w:val="18"/>
                <w:szCs w:val="18"/>
                <w:lang w:val="en-US" w:eastAsia="x-none"/>
              </w:rPr>
              <w:t xml:space="preserve">Inter-departmental working group, which will work on drafting of the </w:t>
            </w:r>
            <w:r w:rsidR="00CC1E1F" w:rsidRPr="007C4D65">
              <w:rPr>
                <w:rFonts w:asciiTheme="minorHAnsi" w:eastAsia="Calibri" w:hAnsiTheme="minorHAnsi" w:cstheme="minorHAnsi"/>
                <w:sz w:val="18"/>
                <w:szCs w:val="18"/>
                <w:lang w:val="en-US" w:eastAsia="x-none"/>
              </w:rPr>
              <w:lastRenderedPageBreak/>
              <w:t xml:space="preserve">Decree </w:t>
            </w:r>
            <w:r w:rsidRPr="007C4D65">
              <w:rPr>
                <w:rFonts w:asciiTheme="minorHAnsi" w:eastAsia="Calibri" w:hAnsiTheme="minorHAnsi" w:cstheme="minorHAnsi"/>
                <w:sz w:val="18"/>
                <w:szCs w:val="18"/>
                <w:lang w:val="en-US" w:eastAsia="x-none"/>
              </w:rPr>
              <w:t xml:space="preserve">on strategic impact assessment, plans and </w:t>
            </w:r>
            <w:r w:rsidRPr="007C4D65">
              <w:rPr>
                <w:rFonts w:asciiTheme="minorHAnsi" w:eastAsia="Calibri" w:hAnsiTheme="minorHAnsi" w:cstheme="minorHAnsi"/>
                <w:sz w:val="18"/>
                <w:szCs w:val="18"/>
                <w:lang w:eastAsia="x-none"/>
              </w:rPr>
              <w:t>program</w:t>
            </w:r>
            <w:r w:rsidR="00CC1E1F" w:rsidRPr="007C4D65">
              <w:rPr>
                <w:rFonts w:asciiTheme="minorHAnsi" w:eastAsia="Calibri" w:hAnsiTheme="minorHAnsi" w:cstheme="minorHAnsi"/>
                <w:sz w:val="18"/>
                <w:szCs w:val="18"/>
                <w:lang w:eastAsia="x-none"/>
              </w:rPr>
              <w:t>me</w:t>
            </w:r>
            <w:r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val="en-US" w:eastAsia="x-none"/>
              </w:rPr>
              <w:t xml:space="preserve"> is currently in </w:t>
            </w:r>
            <w:r w:rsidR="00CC1E1F" w:rsidRPr="007C4D65">
              <w:rPr>
                <w:rFonts w:asciiTheme="minorHAnsi" w:eastAsia="Calibri" w:hAnsiTheme="minorHAnsi" w:cstheme="minorHAnsi"/>
                <w:sz w:val="18"/>
                <w:szCs w:val="18"/>
                <w:lang w:val="en-US" w:eastAsia="x-none"/>
              </w:rPr>
              <w:t>being formed</w:t>
            </w:r>
          </w:p>
        </w:tc>
        <w:tc>
          <w:tcPr>
            <w:tcW w:w="100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FB9D00F" w14:textId="0415765A" w:rsidR="009225E7" w:rsidRPr="007C4D65" w:rsidRDefault="009225E7" w:rsidP="009225E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Calibri" w:hAnsiTheme="minorHAnsi" w:cstheme="minorHAnsi"/>
                <w:sz w:val="18"/>
                <w:szCs w:val="18"/>
                <w:lang w:val="en-US" w:eastAsia="x-none"/>
              </w:rPr>
              <w:lastRenderedPageBreak/>
              <w:t xml:space="preserve">The </w:t>
            </w:r>
            <w:r w:rsidR="00B80FAD" w:rsidRPr="007C4D65">
              <w:rPr>
                <w:rFonts w:asciiTheme="minorHAnsi" w:eastAsia="Calibri" w:hAnsiTheme="minorHAnsi" w:cstheme="minorHAnsi"/>
                <w:sz w:val="18"/>
                <w:szCs w:val="18"/>
                <w:lang w:val="en-US" w:eastAsia="x-none"/>
              </w:rPr>
              <w:t>bylaw</w:t>
            </w:r>
            <w:r w:rsidRPr="007C4D65">
              <w:rPr>
                <w:rFonts w:asciiTheme="minorHAnsi" w:eastAsia="Calibri" w:hAnsiTheme="minorHAnsi" w:cstheme="minorHAnsi"/>
                <w:sz w:val="18"/>
                <w:szCs w:val="18"/>
                <w:lang w:val="en-US" w:eastAsia="x-none"/>
              </w:rPr>
              <w:t xml:space="preserve">s defining in detail the scope, content and evaluation of </w:t>
            </w:r>
            <w:r w:rsidR="00CC1E1F" w:rsidRPr="007C4D65">
              <w:rPr>
                <w:rFonts w:asciiTheme="minorHAnsi" w:eastAsia="Calibri" w:hAnsiTheme="minorHAnsi" w:cstheme="minorHAnsi"/>
                <w:sz w:val="18"/>
                <w:szCs w:val="18"/>
                <w:lang w:val="en-US" w:eastAsia="x-none"/>
              </w:rPr>
              <w:lastRenderedPageBreak/>
              <w:t>scope, content of SEA report adopted</w:t>
            </w:r>
            <w:r w:rsidRPr="007C4D65">
              <w:rPr>
                <w:rFonts w:asciiTheme="minorHAnsi" w:eastAsia="Calibri" w:hAnsiTheme="minorHAnsi" w:cstheme="minorHAnsi"/>
                <w:sz w:val="18"/>
                <w:szCs w:val="18"/>
                <w:lang w:val="en-US" w:eastAsia="x-none"/>
              </w:rPr>
              <w:t xml:space="preserve"> (2023)</w:t>
            </w:r>
          </w:p>
        </w:tc>
      </w:tr>
      <w:tr w:rsidR="009225E7" w:rsidRPr="007C4D65" w14:paraId="433C5166"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761CF2A"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145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E554E47" w14:textId="6F9169ED" w:rsidR="009225E7" w:rsidRPr="007C4D65" w:rsidRDefault="009225E7">
            <w:pPr>
              <w:numPr>
                <w:ilvl w:val="0"/>
                <w:numId w:val="154"/>
              </w:numPr>
              <w:spacing w:before="40" w:after="40" w:line="276" w:lineRule="auto"/>
              <w:ind w:left="265" w:hanging="265"/>
              <w:contextualSpacing/>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 xml:space="preserve">Status of update and adoption of the </w:t>
            </w:r>
            <w:r w:rsidR="00B80FAD" w:rsidRPr="007C4D65">
              <w:rPr>
                <w:rFonts w:asciiTheme="minorHAnsi" w:eastAsia="Calibri" w:hAnsiTheme="minorHAnsi" w:cstheme="minorHAnsi"/>
                <w:sz w:val="18"/>
                <w:szCs w:val="18"/>
                <w:lang w:val="en-US" w:eastAsia="x-none"/>
              </w:rPr>
              <w:t>bylaw</w:t>
            </w:r>
            <w:r w:rsidRPr="007C4D65">
              <w:rPr>
                <w:rFonts w:asciiTheme="minorHAnsi" w:eastAsia="Calibri" w:hAnsiTheme="minorHAnsi" w:cstheme="minorHAnsi"/>
                <w:sz w:val="18"/>
                <w:szCs w:val="18"/>
                <w:lang w:val="en-US" w:eastAsia="x-none"/>
              </w:rPr>
              <w:t xml:space="preserve">s </w:t>
            </w:r>
            <w:r w:rsidR="00CC1E1F" w:rsidRPr="007C4D65">
              <w:rPr>
                <w:rFonts w:asciiTheme="minorHAnsi" w:eastAsia="Calibri" w:hAnsiTheme="minorHAnsi" w:cstheme="minorHAnsi"/>
                <w:sz w:val="18"/>
                <w:szCs w:val="18"/>
                <w:lang w:val="en-US" w:eastAsia="x-none"/>
              </w:rPr>
              <w:t>on</w:t>
            </w:r>
            <w:r w:rsidRPr="007C4D65">
              <w:rPr>
                <w:rFonts w:asciiTheme="minorHAnsi" w:eastAsia="Calibri" w:hAnsiTheme="minorHAnsi" w:cstheme="minorHAnsi"/>
                <w:sz w:val="18"/>
                <w:szCs w:val="18"/>
                <w:lang w:val="en-US" w:eastAsia="x-none"/>
              </w:rPr>
              <w:t xml:space="preserve"> SEA</w:t>
            </w:r>
          </w:p>
        </w:tc>
        <w:tc>
          <w:tcPr>
            <w:tcW w:w="118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9A8F9B2" w14:textId="77777777" w:rsidR="009225E7" w:rsidRPr="007C4D65" w:rsidRDefault="009225E7" w:rsidP="009225E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w:t>
            </w:r>
          </w:p>
        </w:tc>
        <w:tc>
          <w:tcPr>
            <w:tcW w:w="100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27FFDE7" w14:textId="79AA8499" w:rsidR="009225E7" w:rsidRPr="007C4D65" w:rsidRDefault="009225E7" w:rsidP="009225E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Calibri" w:hAnsiTheme="minorHAnsi" w:cstheme="minorHAnsi"/>
                <w:sz w:val="18"/>
                <w:szCs w:val="18"/>
                <w:lang w:val="en-US" w:eastAsia="x-none"/>
              </w:rPr>
              <w:t xml:space="preserve">All </w:t>
            </w:r>
            <w:r w:rsidR="00CC1E1F" w:rsidRPr="007C4D65">
              <w:rPr>
                <w:rFonts w:asciiTheme="minorHAnsi" w:eastAsia="Calibri" w:hAnsiTheme="minorHAnsi" w:cstheme="minorHAnsi"/>
                <w:sz w:val="18"/>
                <w:szCs w:val="18"/>
                <w:lang w:val="en-US" w:eastAsia="x-none"/>
              </w:rPr>
              <w:t>relevant</w:t>
            </w:r>
            <w:r w:rsidRPr="007C4D65">
              <w:rPr>
                <w:rFonts w:asciiTheme="minorHAnsi" w:eastAsia="Calibri" w:hAnsiTheme="minorHAnsi" w:cstheme="minorHAnsi"/>
                <w:sz w:val="18"/>
                <w:szCs w:val="18"/>
                <w:lang w:val="en-US" w:eastAsia="x-none"/>
              </w:rPr>
              <w:t xml:space="preserve"> </w:t>
            </w:r>
            <w:r w:rsidR="00B80FAD" w:rsidRPr="007C4D65">
              <w:rPr>
                <w:rFonts w:asciiTheme="minorHAnsi" w:eastAsia="Calibri" w:hAnsiTheme="minorHAnsi" w:cstheme="minorHAnsi"/>
                <w:sz w:val="18"/>
                <w:szCs w:val="18"/>
                <w:lang w:val="en-US" w:eastAsia="x-none"/>
              </w:rPr>
              <w:t>bylaw</w:t>
            </w:r>
            <w:r w:rsidRPr="007C4D65">
              <w:rPr>
                <w:rFonts w:asciiTheme="minorHAnsi" w:eastAsia="Calibri" w:hAnsiTheme="minorHAnsi" w:cstheme="minorHAnsi"/>
                <w:sz w:val="18"/>
                <w:szCs w:val="18"/>
                <w:lang w:val="en-US" w:eastAsia="x-none"/>
              </w:rPr>
              <w:t xml:space="preserve">s </w:t>
            </w:r>
            <w:r w:rsidR="00CC1E1F" w:rsidRPr="007C4D65">
              <w:rPr>
                <w:rFonts w:asciiTheme="minorHAnsi" w:eastAsia="Calibri" w:hAnsiTheme="minorHAnsi" w:cstheme="minorHAnsi"/>
                <w:sz w:val="18"/>
                <w:szCs w:val="18"/>
                <w:lang w:val="en-US" w:eastAsia="x-none"/>
              </w:rPr>
              <w:t xml:space="preserve">on </w:t>
            </w:r>
            <w:r w:rsidRPr="007C4D65">
              <w:rPr>
                <w:rFonts w:asciiTheme="minorHAnsi" w:eastAsia="Calibri" w:hAnsiTheme="minorHAnsi" w:cstheme="minorHAnsi"/>
                <w:sz w:val="18"/>
                <w:szCs w:val="18"/>
                <w:lang w:val="en-US" w:eastAsia="x-none"/>
              </w:rPr>
              <w:t>SEA</w:t>
            </w:r>
            <w:r w:rsidR="00CC1E1F" w:rsidRPr="007C4D65">
              <w:rPr>
                <w:rFonts w:asciiTheme="minorHAnsi" w:eastAsiaTheme="minorHAnsi" w:hAnsiTheme="minorHAnsi" w:cstheme="minorHAnsi"/>
                <w:sz w:val="18"/>
                <w:szCs w:val="18"/>
                <w:lang w:val="en-US" w:eastAsia="en-US" w:bidi="en-US"/>
              </w:rPr>
              <w:t xml:space="preserve"> </w:t>
            </w:r>
            <w:r w:rsidRPr="007C4D65">
              <w:rPr>
                <w:rFonts w:asciiTheme="minorHAnsi" w:eastAsiaTheme="minorHAnsi" w:hAnsiTheme="minorHAnsi" w:cstheme="minorHAnsi"/>
                <w:sz w:val="18"/>
                <w:szCs w:val="18"/>
                <w:lang w:val="en-US" w:eastAsia="en-US" w:bidi="en-US"/>
              </w:rPr>
              <w:t>adopted (2027)</w:t>
            </w:r>
          </w:p>
        </w:tc>
      </w:tr>
      <w:tr w:rsidR="009225E7" w:rsidRPr="007C4D65" w14:paraId="18823B88"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7C0B7EA8"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145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006F39B" w14:textId="483258A2" w:rsidR="009225E7" w:rsidRPr="007C4D65" w:rsidRDefault="009225E7">
            <w:pPr>
              <w:numPr>
                <w:ilvl w:val="0"/>
                <w:numId w:val="154"/>
              </w:numPr>
              <w:spacing w:before="40" w:after="40" w:line="276" w:lineRule="auto"/>
              <w:ind w:left="265" w:hanging="265"/>
              <w:contextualSpacing/>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 xml:space="preserve">Status of update and adoption of the procedures for cross-border </w:t>
            </w:r>
            <w:r w:rsidR="00CC1E1F" w:rsidRPr="007C4D65">
              <w:rPr>
                <w:rFonts w:asciiTheme="minorHAnsi" w:eastAsia="Calibri" w:hAnsiTheme="minorHAnsi" w:cstheme="minorHAnsi"/>
                <w:sz w:val="18"/>
                <w:szCs w:val="18"/>
                <w:lang w:val="en-US" w:eastAsia="x-none"/>
              </w:rPr>
              <w:t>notification a</w:t>
            </w:r>
            <w:r w:rsidRPr="007C4D65">
              <w:rPr>
                <w:rFonts w:asciiTheme="minorHAnsi" w:eastAsia="Calibri" w:hAnsiTheme="minorHAnsi" w:cstheme="minorHAnsi"/>
                <w:sz w:val="18"/>
                <w:szCs w:val="18"/>
                <w:lang w:val="en-US" w:eastAsia="x-none"/>
              </w:rPr>
              <w:t>nd consultation in SEA implementation</w:t>
            </w:r>
          </w:p>
        </w:tc>
        <w:tc>
          <w:tcPr>
            <w:tcW w:w="118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5BC75D3" w14:textId="77777777" w:rsidR="009225E7" w:rsidRPr="007C4D65" w:rsidRDefault="009225E7" w:rsidP="009225E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Procedures are not complete</w:t>
            </w:r>
          </w:p>
        </w:tc>
        <w:tc>
          <w:tcPr>
            <w:tcW w:w="100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F486CC8" w14:textId="4B3C9D41" w:rsidR="009225E7" w:rsidRPr="007C4D65" w:rsidRDefault="009225E7" w:rsidP="00CC1E1F">
            <w:pPr>
              <w:spacing w:before="40" w:after="40" w:line="276" w:lineRule="auto"/>
              <w:ind w:left="406"/>
              <w:contextualSpacing/>
              <w:rPr>
                <w:rFonts w:asciiTheme="minorHAnsi" w:eastAsia="Calibri" w:hAnsiTheme="minorHAnsi" w:cstheme="minorHAnsi"/>
                <w:sz w:val="18"/>
                <w:szCs w:val="18"/>
                <w:lang w:val="en-US" w:eastAsia="en-US"/>
              </w:rPr>
            </w:pPr>
            <w:r w:rsidRPr="007C4D65">
              <w:rPr>
                <w:rFonts w:asciiTheme="minorHAnsi" w:eastAsia="Calibri" w:hAnsiTheme="minorHAnsi" w:cstheme="minorHAnsi"/>
                <w:sz w:val="18"/>
                <w:szCs w:val="18"/>
                <w:lang w:val="en-US" w:eastAsia="x-none"/>
              </w:rPr>
              <w:t>All the necessary procedures are update and adopted</w:t>
            </w:r>
            <w:r w:rsidR="00CC1E1F" w:rsidRPr="007C4D65">
              <w:rPr>
                <w:rFonts w:asciiTheme="minorHAnsi" w:eastAsia="Calibri" w:hAnsiTheme="minorHAnsi" w:cstheme="minorHAnsi"/>
                <w:sz w:val="18"/>
                <w:szCs w:val="18"/>
                <w:lang w:val="en-US" w:eastAsia="x-none"/>
              </w:rPr>
              <w:t xml:space="preserve"> </w:t>
            </w:r>
            <w:r w:rsidR="00CC1E1F" w:rsidRPr="007C4D65">
              <w:rPr>
                <w:rFonts w:asciiTheme="minorHAnsi" w:eastAsia="Calibri" w:hAnsiTheme="minorHAnsi" w:cstheme="minorHAnsi"/>
                <w:sz w:val="18"/>
                <w:szCs w:val="18"/>
                <w:lang w:val="bs-Latn-BA" w:eastAsia="x-none"/>
              </w:rPr>
              <w:t>(</w:t>
            </w:r>
            <w:r w:rsidRPr="007C4D65">
              <w:rPr>
                <w:rFonts w:asciiTheme="minorHAnsi" w:eastAsiaTheme="minorHAnsi" w:hAnsiTheme="minorHAnsi" w:cstheme="minorHAnsi"/>
                <w:sz w:val="18"/>
                <w:szCs w:val="18"/>
                <w:lang w:val="en-US" w:eastAsia="en-US" w:bidi="en-US"/>
              </w:rPr>
              <w:t>2025)</w:t>
            </w:r>
          </w:p>
        </w:tc>
      </w:tr>
      <w:tr w:rsidR="009225E7" w:rsidRPr="007C4D65" w14:paraId="6BFFBF8D"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7328215"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145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7B549E1" w14:textId="53B558EB" w:rsidR="009225E7" w:rsidRPr="007C4D65" w:rsidRDefault="00304A77">
            <w:pPr>
              <w:numPr>
                <w:ilvl w:val="0"/>
                <w:numId w:val="154"/>
              </w:numPr>
              <w:spacing w:before="40" w:after="40" w:line="276" w:lineRule="auto"/>
              <w:ind w:left="265" w:hanging="265"/>
              <w:contextualSpacing/>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Set up a</w:t>
            </w:r>
            <w:r w:rsidR="009225E7" w:rsidRPr="007C4D65">
              <w:rPr>
                <w:rFonts w:asciiTheme="minorHAnsi" w:eastAsia="Calibri" w:hAnsiTheme="minorHAnsi" w:cstheme="minorHAnsi"/>
                <w:sz w:val="18"/>
                <w:szCs w:val="18"/>
                <w:lang w:val="en-US" w:eastAsia="x-none"/>
              </w:rPr>
              <w:t xml:space="preserve"> system and procedures in all the institutions for </w:t>
            </w:r>
            <w:r w:rsidRPr="007C4D65">
              <w:rPr>
                <w:rFonts w:asciiTheme="minorHAnsi" w:eastAsia="Calibri" w:hAnsiTheme="minorHAnsi" w:cstheme="minorHAnsi"/>
                <w:sz w:val="18"/>
                <w:szCs w:val="18"/>
                <w:lang w:val="en-US" w:eastAsia="x-none"/>
              </w:rPr>
              <w:t>effective</w:t>
            </w:r>
            <w:r w:rsidR="009225E7" w:rsidRPr="007C4D65">
              <w:rPr>
                <w:rFonts w:asciiTheme="minorHAnsi" w:eastAsia="Calibri" w:hAnsiTheme="minorHAnsi" w:cstheme="minorHAnsi"/>
                <w:sz w:val="18"/>
                <w:szCs w:val="18"/>
                <w:lang w:val="en-US" w:eastAsia="x-none"/>
              </w:rPr>
              <w:t xml:space="preserve"> SEA</w:t>
            </w:r>
            <w:r w:rsidRPr="007C4D65">
              <w:rPr>
                <w:rFonts w:asciiTheme="minorHAnsi" w:eastAsia="Calibri" w:hAnsiTheme="minorHAnsi" w:cstheme="minorHAnsi"/>
                <w:sz w:val="18"/>
                <w:szCs w:val="18"/>
                <w:lang w:val="en-US" w:eastAsia="x-none"/>
              </w:rPr>
              <w:t xml:space="preserve"> implementation</w:t>
            </w:r>
          </w:p>
        </w:tc>
        <w:tc>
          <w:tcPr>
            <w:tcW w:w="118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0E005F2" w14:textId="77777777" w:rsidR="009225E7" w:rsidRPr="007C4D65" w:rsidRDefault="009225E7" w:rsidP="009225E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Procedures are not complete</w:t>
            </w:r>
          </w:p>
        </w:tc>
        <w:tc>
          <w:tcPr>
            <w:tcW w:w="100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1CDB75A" w14:textId="5F408B9B" w:rsidR="009225E7" w:rsidRPr="007C4D65" w:rsidRDefault="009225E7" w:rsidP="002D7967">
            <w:pPr>
              <w:spacing w:before="40" w:after="40" w:line="276" w:lineRule="auto"/>
              <w:contextualSpacing/>
              <w:rPr>
                <w:rFonts w:asciiTheme="minorHAnsi" w:eastAsiaTheme="minorHAnsi" w:hAnsiTheme="minorHAnsi" w:cstheme="minorHAnsi"/>
                <w:sz w:val="18"/>
                <w:szCs w:val="18"/>
                <w:lang w:val="en-US" w:eastAsia="en-US" w:bidi="en-US"/>
              </w:rPr>
            </w:pPr>
            <w:r w:rsidRPr="007C4D65">
              <w:rPr>
                <w:rFonts w:asciiTheme="minorHAnsi" w:eastAsia="Calibri" w:hAnsiTheme="minorHAnsi" w:cstheme="minorHAnsi"/>
                <w:sz w:val="18"/>
                <w:szCs w:val="18"/>
                <w:lang w:val="en-US" w:eastAsia="x-none"/>
              </w:rPr>
              <w:t xml:space="preserve">All </w:t>
            </w:r>
            <w:r w:rsidR="00304A77" w:rsidRPr="007C4D65">
              <w:rPr>
                <w:rFonts w:asciiTheme="minorHAnsi" w:eastAsia="Calibri" w:hAnsiTheme="minorHAnsi" w:cstheme="minorHAnsi"/>
                <w:sz w:val="18"/>
                <w:szCs w:val="18"/>
                <w:lang w:val="en-US" w:eastAsia="x-none"/>
              </w:rPr>
              <w:t>required</w:t>
            </w:r>
            <w:r w:rsidRPr="007C4D65">
              <w:rPr>
                <w:rFonts w:asciiTheme="minorHAnsi" w:eastAsia="Calibri" w:hAnsiTheme="minorHAnsi" w:cstheme="minorHAnsi"/>
                <w:sz w:val="18"/>
                <w:szCs w:val="18"/>
                <w:lang w:val="en-US" w:eastAsia="x-none"/>
              </w:rPr>
              <w:t xml:space="preserve"> systems and procedures </w:t>
            </w:r>
            <w:r w:rsidR="00304A77" w:rsidRPr="007C4D65">
              <w:rPr>
                <w:rFonts w:asciiTheme="minorHAnsi" w:eastAsia="Calibri" w:hAnsiTheme="minorHAnsi" w:cstheme="minorHAnsi"/>
                <w:sz w:val="18"/>
                <w:szCs w:val="18"/>
                <w:lang w:val="en-US" w:eastAsia="x-none"/>
              </w:rPr>
              <w:t xml:space="preserve">for effective </w:t>
            </w:r>
            <w:r w:rsidRPr="007C4D65">
              <w:rPr>
                <w:rFonts w:asciiTheme="minorHAnsi" w:eastAsia="Calibri" w:hAnsiTheme="minorHAnsi" w:cstheme="minorHAnsi"/>
                <w:sz w:val="18"/>
                <w:szCs w:val="18"/>
                <w:lang w:val="en-US" w:eastAsia="x-none"/>
              </w:rPr>
              <w:t>SEA</w:t>
            </w:r>
            <w:r w:rsidR="00304A77" w:rsidRPr="007C4D65">
              <w:rPr>
                <w:rFonts w:asciiTheme="minorHAnsi" w:eastAsia="Calibri" w:hAnsiTheme="minorHAnsi" w:cstheme="minorHAnsi"/>
                <w:sz w:val="18"/>
                <w:szCs w:val="18"/>
                <w:lang w:val="en-US" w:eastAsia="x-none"/>
              </w:rPr>
              <w:t xml:space="preserve"> implementation</w:t>
            </w:r>
            <w:r w:rsidRPr="007C4D65">
              <w:rPr>
                <w:rFonts w:asciiTheme="minorHAnsi" w:eastAsia="Calibri" w:hAnsiTheme="minorHAnsi" w:cstheme="minorHAnsi"/>
                <w:sz w:val="18"/>
                <w:szCs w:val="18"/>
                <w:lang w:val="en-US" w:eastAsia="x-none"/>
              </w:rPr>
              <w:t xml:space="preserve"> </w:t>
            </w:r>
            <w:r w:rsidR="00304A77" w:rsidRPr="007C4D65">
              <w:rPr>
                <w:rFonts w:asciiTheme="minorHAnsi" w:eastAsia="Calibri" w:hAnsiTheme="minorHAnsi" w:cstheme="minorHAnsi"/>
                <w:sz w:val="18"/>
                <w:szCs w:val="18"/>
                <w:lang w:val="en-US" w:eastAsia="x-none"/>
              </w:rPr>
              <w:t xml:space="preserve">established in the institutions </w:t>
            </w:r>
            <w:r w:rsidRPr="007C4D65">
              <w:rPr>
                <w:rFonts w:asciiTheme="minorHAnsi" w:eastAsia="Calibri" w:hAnsiTheme="minorHAnsi" w:cstheme="minorHAnsi"/>
                <w:sz w:val="18"/>
                <w:szCs w:val="18"/>
                <w:lang w:val="en-US" w:eastAsia="x-none"/>
              </w:rPr>
              <w:t>(2027)</w:t>
            </w:r>
          </w:p>
        </w:tc>
      </w:tr>
      <w:tr w:rsidR="009225E7" w:rsidRPr="007C4D65" w14:paraId="11E973B3"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D64657B"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1451"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F95F0D5" w14:textId="3C9A5CAA" w:rsidR="009225E7" w:rsidRPr="007C4D65" w:rsidRDefault="009225E7">
            <w:pPr>
              <w:numPr>
                <w:ilvl w:val="0"/>
                <w:numId w:val="154"/>
              </w:numPr>
              <w:spacing w:before="40" w:after="40" w:line="276" w:lineRule="auto"/>
              <w:ind w:left="265" w:hanging="265"/>
              <w:contextualSpacing/>
              <w:rPr>
                <w:rFonts w:asciiTheme="minorHAnsi" w:eastAsiaTheme="minorHAnsi" w:hAnsiTheme="minorHAnsi" w:cstheme="minorHAnsi"/>
                <w:color w:val="000000"/>
                <w:sz w:val="18"/>
                <w:szCs w:val="18"/>
                <w:lang w:val="en-US" w:eastAsia="en-US"/>
              </w:rPr>
            </w:pPr>
            <w:r w:rsidRPr="007C4D65">
              <w:rPr>
                <w:rFonts w:asciiTheme="minorHAnsi" w:eastAsiaTheme="minorHAnsi" w:hAnsiTheme="minorHAnsi" w:cstheme="minorHAnsi"/>
                <w:color w:val="000000"/>
                <w:sz w:val="18"/>
                <w:szCs w:val="18"/>
                <w:lang w:val="en-US" w:eastAsia="en-US"/>
              </w:rPr>
              <w:t xml:space="preserve">Level of understanding </w:t>
            </w:r>
            <w:r w:rsidR="00304A77" w:rsidRPr="007C4D65">
              <w:rPr>
                <w:rFonts w:asciiTheme="minorHAnsi" w:eastAsiaTheme="minorHAnsi" w:hAnsiTheme="minorHAnsi" w:cstheme="minorHAnsi"/>
                <w:color w:val="000000"/>
                <w:sz w:val="18"/>
                <w:szCs w:val="18"/>
                <w:lang w:val="en-US" w:eastAsia="en-US"/>
              </w:rPr>
              <w:t>among the</w:t>
            </w:r>
            <w:r w:rsidRPr="007C4D65">
              <w:rPr>
                <w:rFonts w:asciiTheme="minorHAnsi" w:eastAsiaTheme="minorHAnsi" w:hAnsiTheme="minorHAnsi" w:cstheme="minorHAnsi"/>
                <w:color w:val="000000"/>
                <w:sz w:val="18"/>
                <w:szCs w:val="18"/>
                <w:lang w:val="en-US" w:eastAsia="en-US"/>
              </w:rPr>
              <w:t xml:space="preserve"> relevant players about</w:t>
            </w:r>
            <w:r w:rsidR="00304A77" w:rsidRPr="007C4D65">
              <w:rPr>
                <w:rFonts w:asciiTheme="minorHAnsi" w:eastAsiaTheme="minorHAnsi" w:hAnsiTheme="minorHAnsi" w:cstheme="minorHAnsi"/>
                <w:color w:val="000000"/>
                <w:sz w:val="18"/>
                <w:szCs w:val="18"/>
                <w:lang w:val="en-US" w:eastAsia="en-US"/>
              </w:rPr>
              <w:t xml:space="preserve"> the</w:t>
            </w:r>
            <w:r w:rsidRPr="007C4D65">
              <w:rPr>
                <w:rFonts w:asciiTheme="minorHAnsi" w:eastAsiaTheme="minorHAnsi" w:hAnsiTheme="minorHAnsi" w:cstheme="minorHAnsi"/>
                <w:color w:val="000000"/>
                <w:sz w:val="18"/>
                <w:szCs w:val="18"/>
                <w:lang w:val="en-US" w:eastAsia="en-US"/>
              </w:rPr>
              <w:t xml:space="preserve"> importance of SEA</w:t>
            </w:r>
          </w:p>
        </w:tc>
        <w:tc>
          <w:tcPr>
            <w:tcW w:w="1187"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644EA5A" w14:textId="77777777" w:rsidR="009225E7" w:rsidRPr="007C4D65" w:rsidRDefault="009225E7" w:rsidP="009225E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 xml:space="preserve">Partial understanding </w:t>
            </w:r>
          </w:p>
        </w:tc>
        <w:tc>
          <w:tcPr>
            <w:tcW w:w="100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CDF69C5" w14:textId="46F7A834" w:rsidR="009225E7" w:rsidRPr="007C4D65" w:rsidRDefault="009225E7" w:rsidP="009225E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 xml:space="preserve">Full understanding </w:t>
            </w:r>
            <w:r w:rsidR="00304A77" w:rsidRPr="007C4D65">
              <w:rPr>
                <w:rFonts w:asciiTheme="minorHAnsi" w:eastAsiaTheme="minorHAnsi" w:hAnsiTheme="minorHAnsi" w:cstheme="minorHAnsi"/>
                <w:sz w:val="18"/>
                <w:szCs w:val="18"/>
                <w:lang w:val="en-US" w:eastAsia="en-US" w:bidi="en-US"/>
              </w:rPr>
              <w:t>among</w:t>
            </w:r>
            <w:r w:rsidRPr="007C4D65">
              <w:rPr>
                <w:rFonts w:asciiTheme="minorHAnsi" w:eastAsiaTheme="minorHAnsi" w:hAnsiTheme="minorHAnsi" w:cstheme="minorHAnsi"/>
                <w:sz w:val="18"/>
                <w:szCs w:val="18"/>
                <w:lang w:val="en-US" w:eastAsia="en-US" w:bidi="en-US"/>
              </w:rPr>
              <w:t xml:space="preserve"> all the relevant players of importance of SEA</w:t>
            </w:r>
            <w:r w:rsidR="00304A77" w:rsidRPr="007C4D65">
              <w:rPr>
                <w:rFonts w:asciiTheme="minorHAnsi" w:eastAsiaTheme="minorHAnsi" w:hAnsiTheme="minorHAnsi" w:cstheme="minorHAnsi"/>
                <w:sz w:val="18"/>
                <w:szCs w:val="18"/>
                <w:lang w:val="en-US" w:eastAsia="en-US" w:bidi="en-US"/>
              </w:rPr>
              <w:t xml:space="preserve"> achieved</w:t>
            </w:r>
            <w:r w:rsidRPr="007C4D65">
              <w:rPr>
                <w:rFonts w:asciiTheme="minorHAnsi" w:eastAsiaTheme="minorHAnsi" w:hAnsiTheme="minorHAnsi" w:cstheme="minorHAnsi"/>
                <w:sz w:val="18"/>
                <w:szCs w:val="18"/>
                <w:lang w:val="en-US" w:eastAsia="en-US" w:bidi="en-US"/>
              </w:rPr>
              <w:t xml:space="preserve"> </w:t>
            </w:r>
            <w:r w:rsidRPr="007C4D65">
              <w:rPr>
                <w:rFonts w:asciiTheme="minorHAnsi" w:eastAsiaTheme="minorHAnsi" w:hAnsiTheme="minorHAnsi" w:cstheme="minorHAnsi"/>
                <w:color w:val="000000"/>
                <w:sz w:val="18"/>
                <w:szCs w:val="18"/>
                <w:lang w:val="en-US" w:eastAsia="en-US"/>
              </w:rPr>
              <w:t>(2030)</w:t>
            </w:r>
          </w:p>
        </w:tc>
      </w:tr>
      <w:tr w:rsidR="009225E7" w:rsidRPr="007C4D65" w14:paraId="416C346A" w14:textId="77777777" w:rsidTr="00B6017F">
        <w:trPr>
          <w:trHeight w:val="567"/>
        </w:trPr>
        <w:tc>
          <w:tcPr>
            <w:tcW w:w="1359" w:type="pct"/>
            <w:shd w:val="clear" w:color="auto" w:fill="009D73"/>
            <w:vAlign w:val="center"/>
          </w:tcPr>
          <w:p w14:paraId="4408584B"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F300CEA" w14:textId="30F8148A" w:rsidR="009225E7" w:rsidRPr="007C4D65" w:rsidRDefault="00321717" w:rsidP="009225E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 xml:space="preserve">Improved environmental management, reduced </w:t>
            </w:r>
            <w:proofErr w:type="gramStart"/>
            <w:r w:rsidRPr="007C4D65">
              <w:rPr>
                <w:rFonts w:asciiTheme="minorHAnsi" w:eastAsiaTheme="minorHAnsi" w:hAnsiTheme="minorHAnsi" w:cstheme="minorHAnsi"/>
                <w:sz w:val="18"/>
                <w:szCs w:val="18"/>
                <w:lang w:val="en-US" w:eastAsia="en-US" w:bidi="en-US"/>
              </w:rPr>
              <w:t>pollution</w:t>
            </w:r>
            <w:proofErr w:type="gramEnd"/>
            <w:r w:rsidRPr="007C4D65">
              <w:rPr>
                <w:rFonts w:asciiTheme="minorHAnsi" w:eastAsiaTheme="minorHAnsi" w:hAnsiTheme="minorHAnsi" w:cstheme="minorHAnsi"/>
                <w:sz w:val="18"/>
                <w:szCs w:val="18"/>
                <w:lang w:val="en-US" w:eastAsia="en-US" w:bidi="en-US"/>
              </w:rPr>
              <w:t xml:space="preserve"> and minimum adverse effect to the environment, as well as increased awareness among the stakeholders on the importance of SEA</w:t>
            </w:r>
          </w:p>
        </w:tc>
      </w:tr>
      <w:tr w:rsidR="009225E7" w:rsidRPr="007C4D65" w14:paraId="1A2A1409"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F23A451" w14:textId="28167EB0" w:rsidR="009225E7" w:rsidRPr="007C4D65" w:rsidRDefault="00963086"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Indicative financial projection, with specification of sources</w:t>
            </w:r>
            <w:r w:rsidR="009225E7" w:rsidRPr="007C4D65">
              <w:rPr>
                <w:rFonts w:asciiTheme="minorHAnsi" w:eastAsiaTheme="minorHAnsi" w:hAnsiTheme="minorHAnsi" w:cstheme="minorHAnsi"/>
                <w:b/>
                <w:color w:val="FFFFFF" w:themeColor="background1"/>
                <w:sz w:val="18"/>
                <w:szCs w:val="18"/>
                <w:lang w:val="en-US" w:eastAsia="en-US"/>
              </w:rPr>
              <w:t xml:space="preserve">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077684C" w14:textId="3838C993" w:rsidR="00321717" w:rsidRPr="007C4D65" w:rsidRDefault="00C224E3" w:rsidP="00321717">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Amount:</w:t>
            </w:r>
            <w:r w:rsidR="00321717" w:rsidRPr="007C4D65">
              <w:rPr>
                <w:rFonts w:asciiTheme="minorHAnsi" w:hAnsiTheme="minorHAnsi" w:cstheme="minorHAnsi"/>
                <w:sz w:val="18"/>
                <w:szCs w:val="18"/>
                <w:lang w:val="hr-HR" w:bidi="en-US"/>
              </w:rPr>
              <w:t xml:space="preserve"> BAM 158,620</w:t>
            </w:r>
          </w:p>
          <w:p w14:paraId="4563A126" w14:textId="7599E544" w:rsidR="009225E7" w:rsidRPr="007C4D65" w:rsidRDefault="009E6B20" w:rsidP="00321717">
            <w:pPr>
              <w:spacing w:before="40" w:after="40" w:line="276" w:lineRule="auto"/>
              <w:rPr>
                <w:rFonts w:asciiTheme="minorHAnsi" w:eastAsiaTheme="minorHAnsi" w:hAnsiTheme="minorHAnsi" w:cstheme="minorHAnsi"/>
                <w:bCs/>
                <w:sz w:val="18"/>
                <w:szCs w:val="18"/>
                <w:lang w:val="en-US" w:eastAsia="en-US" w:bidi="en-US"/>
              </w:rPr>
            </w:pPr>
            <w:r w:rsidRPr="007C4D65">
              <w:rPr>
                <w:rFonts w:asciiTheme="minorHAnsi" w:hAnsiTheme="minorHAnsi" w:cstheme="minorHAnsi"/>
                <w:sz w:val="18"/>
                <w:szCs w:val="18"/>
                <w:lang w:val="hr-HR" w:bidi="en-US"/>
              </w:rPr>
              <w:t xml:space="preserve">Source: </w:t>
            </w:r>
            <w:r w:rsidR="00321717" w:rsidRPr="007C4D65">
              <w:rPr>
                <w:rFonts w:asciiTheme="minorHAnsi" w:hAnsiTheme="minorHAnsi" w:cstheme="minorHAnsi"/>
                <w:sz w:val="18"/>
                <w:szCs w:val="18"/>
                <w:lang w:val="hr-HR" w:bidi="en-US"/>
              </w:rPr>
              <w:t xml:space="preserve">30%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321717" w:rsidRPr="007C4D65">
              <w:rPr>
                <w:rFonts w:asciiTheme="minorHAnsi" w:hAnsiTheme="minorHAnsi" w:cstheme="minorHAnsi"/>
                <w:sz w:val="18"/>
                <w:szCs w:val="18"/>
                <w:lang w:val="hr-HR" w:bidi="en-US"/>
              </w:rPr>
              <w:t xml:space="preserve">, 70% </w:t>
            </w:r>
            <w:r w:rsidR="00C224E3" w:rsidRPr="007C4D65">
              <w:rPr>
                <w:rFonts w:asciiTheme="minorHAnsi" w:hAnsiTheme="minorHAnsi" w:cstheme="minorHAnsi"/>
                <w:sz w:val="18"/>
                <w:szCs w:val="18"/>
                <w:lang w:val="hr-HR" w:bidi="en-US"/>
              </w:rPr>
              <w:t>funds from EU and other international donors</w:t>
            </w:r>
          </w:p>
        </w:tc>
      </w:tr>
      <w:tr w:rsidR="009225E7" w:rsidRPr="007C4D65" w14:paraId="010EEDA6"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B4F5FF4"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Period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F2106CF" w14:textId="4AC4F261" w:rsidR="009225E7" w:rsidRPr="007C4D65" w:rsidRDefault="009225E7" w:rsidP="009225E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2022 – 2030</w:t>
            </w:r>
          </w:p>
        </w:tc>
      </w:tr>
      <w:tr w:rsidR="009225E7" w:rsidRPr="007C4D65" w14:paraId="6EFF1356"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4BFA07E"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Institution responsible for coordination of the implementation of the measure</w:t>
            </w:r>
          </w:p>
        </w:tc>
        <w:tc>
          <w:tcPr>
            <w:tcW w:w="3641" w:type="pct"/>
            <w:gridSpan w:val="3"/>
            <w:shd w:val="clear" w:color="auto" w:fill="FFFFFF"/>
            <w:vAlign w:val="center"/>
          </w:tcPr>
          <w:p w14:paraId="367CDB8A" w14:textId="3818CB85" w:rsidR="009225E7" w:rsidRPr="007C4D65" w:rsidRDefault="001E6E20" w:rsidP="009225E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rPr>
              <w:t>Federation Ministry</w:t>
            </w:r>
            <w:r w:rsidR="009225E7" w:rsidRPr="007C4D65">
              <w:rPr>
                <w:rFonts w:asciiTheme="minorHAnsi" w:eastAsiaTheme="minorHAnsi" w:hAnsiTheme="minorHAnsi" w:cstheme="minorHAnsi"/>
                <w:sz w:val="18"/>
                <w:szCs w:val="18"/>
                <w:lang w:val="en-US" w:eastAsia="en-US"/>
              </w:rPr>
              <w:t xml:space="preserve"> of Environment and Tourism</w:t>
            </w:r>
          </w:p>
        </w:tc>
      </w:tr>
      <w:tr w:rsidR="009225E7" w:rsidRPr="007C4D65" w14:paraId="3D843993"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A95B670" w14:textId="77777777" w:rsidR="009225E7" w:rsidRPr="007C4D65" w:rsidRDefault="009225E7"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Implementing institutions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C84CB9D" w14:textId="22B13351" w:rsidR="009225E7" w:rsidRPr="007C4D65" w:rsidRDefault="001E6E20" w:rsidP="009225E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rPr>
              <w:t>Federation Ministry</w:t>
            </w:r>
            <w:r w:rsidR="009225E7" w:rsidRPr="007C4D65">
              <w:rPr>
                <w:rFonts w:asciiTheme="minorHAnsi" w:eastAsiaTheme="minorHAnsi" w:hAnsiTheme="minorHAnsi" w:cstheme="minorHAnsi"/>
                <w:sz w:val="18"/>
                <w:szCs w:val="18"/>
                <w:lang w:val="en-US" w:eastAsia="en-US"/>
              </w:rPr>
              <w:t xml:space="preserve"> of Environment and Tourism</w:t>
            </w:r>
            <w:r w:rsidR="009225E7" w:rsidRPr="007C4D65">
              <w:rPr>
                <w:rFonts w:asciiTheme="minorHAnsi" w:eastAsiaTheme="minorHAnsi" w:hAnsiTheme="minorHAnsi" w:cstheme="minorHAnsi"/>
                <w:sz w:val="18"/>
                <w:szCs w:val="18"/>
                <w:lang w:val="en-US" w:eastAsia="en-US" w:bidi="en-US"/>
              </w:rPr>
              <w:t xml:space="preserve"> in cooperation with other responsible </w:t>
            </w:r>
            <w:r w:rsidR="009225E7" w:rsidRPr="007C4D65">
              <w:rPr>
                <w:rFonts w:asciiTheme="minorHAnsi" w:eastAsia="Calibri" w:hAnsiTheme="minorHAnsi" w:cstheme="minorHAnsi"/>
                <w:sz w:val="18"/>
                <w:szCs w:val="18"/>
                <w:lang w:val="en-US" w:eastAsia="x-none"/>
              </w:rPr>
              <w:t>institutions</w:t>
            </w:r>
          </w:p>
        </w:tc>
      </w:tr>
      <w:tr w:rsidR="009225E7" w:rsidRPr="007C4D65" w14:paraId="5015244E"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4A199D7" w14:textId="3774DB7D" w:rsidR="009225E7" w:rsidRPr="007C4D65" w:rsidRDefault="00963086" w:rsidP="009225E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Target groups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69793FE" w14:textId="17790152" w:rsidR="009225E7" w:rsidRPr="007C4D65" w:rsidRDefault="009225E7" w:rsidP="009225E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Calibri" w:hAnsiTheme="minorHAnsi" w:cstheme="minorHAnsi"/>
                <w:sz w:val="18"/>
                <w:szCs w:val="18"/>
                <w:lang w:val="en-US" w:eastAsia="en-US" w:bidi="en-US"/>
              </w:rPr>
              <w:t xml:space="preserve">Entities </w:t>
            </w:r>
            <w:r w:rsidR="00321717" w:rsidRPr="007C4D65">
              <w:rPr>
                <w:rFonts w:asciiTheme="minorHAnsi" w:eastAsia="Calibri" w:hAnsiTheme="minorHAnsi" w:cstheme="minorHAnsi"/>
                <w:sz w:val="18"/>
                <w:szCs w:val="18"/>
                <w:lang w:val="en-US" w:eastAsia="en-US" w:bidi="en-US"/>
              </w:rPr>
              <w:t>in charge of implementing</w:t>
            </w:r>
            <w:r w:rsidRPr="007C4D65">
              <w:rPr>
                <w:rFonts w:asciiTheme="minorHAnsi" w:eastAsia="Calibri" w:hAnsiTheme="minorHAnsi" w:cstheme="minorHAnsi"/>
                <w:sz w:val="18"/>
                <w:szCs w:val="18"/>
                <w:lang w:val="en-US" w:eastAsia="en-US" w:bidi="en-US"/>
              </w:rPr>
              <w:t xml:space="preserve"> the plans </w:t>
            </w:r>
            <w:r w:rsidR="00321717" w:rsidRPr="007C4D65">
              <w:rPr>
                <w:rFonts w:asciiTheme="minorHAnsi" w:eastAsia="Calibri" w:hAnsiTheme="minorHAnsi" w:cstheme="minorHAnsi"/>
                <w:sz w:val="18"/>
                <w:szCs w:val="18"/>
                <w:lang w:val="en-US" w:eastAsia="en-US" w:bidi="en-US"/>
              </w:rPr>
              <w:t>which require</w:t>
            </w:r>
            <w:r w:rsidRPr="007C4D65">
              <w:rPr>
                <w:rFonts w:asciiTheme="minorHAnsi" w:eastAsia="Calibri" w:hAnsiTheme="minorHAnsi" w:cstheme="minorHAnsi"/>
                <w:sz w:val="18"/>
                <w:szCs w:val="18"/>
                <w:lang w:val="en-US" w:eastAsia="en-US" w:bidi="en-US"/>
              </w:rPr>
              <w:t xml:space="preserve"> SEA, citizens</w:t>
            </w:r>
          </w:p>
        </w:tc>
      </w:tr>
    </w:tbl>
    <w:p w14:paraId="0802073F" w14:textId="77777777" w:rsidR="00CC447D" w:rsidRPr="007C4D65" w:rsidRDefault="00CC447D" w:rsidP="0068355A">
      <w:pPr>
        <w:spacing w:line="276" w:lineRule="auto"/>
        <w:rPr>
          <w:rFonts w:asciiTheme="minorHAnsi" w:hAnsiTheme="minorHAnsi" w:cstheme="minorHAnsi"/>
          <w:sz w:val="18"/>
          <w:szCs w:val="18"/>
        </w:rPr>
      </w:pPr>
    </w:p>
    <w:p w14:paraId="05F62362" w14:textId="77777777" w:rsidR="00CC447D" w:rsidRPr="007C4D65" w:rsidRDefault="00CC447D" w:rsidP="0068355A">
      <w:pPr>
        <w:spacing w:line="276" w:lineRule="auto"/>
        <w:rPr>
          <w:rFonts w:asciiTheme="minorHAnsi" w:hAnsiTheme="minorHAnsi" w:cstheme="minorHAnsi"/>
          <w:sz w:val="18"/>
          <w:szCs w:val="18"/>
          <w:lang w:val="bs-Latn-BA"/>
        </w:rPr>
      </w:pPr>
    </w:p>
    <w:p w14:paraId="766C4B70" w14:textId="77777777" w:rsidR="00CC447D" w:rsidRPr="007C4D65" w:rsidRDefault="00CC447D" w:rsidP="0068355A">
      <w:pPr>
        <w:spacing w:line="276" w:lineRule="auto"/>
        <w:rPr>
          <w:rFonts w:asciiTheme="minorHAnsi" w:hAnsiTheme="minorHAnsi" w:cstheme="minorHAnsi"/>
          <w:sz w:val="18"/>
          <w:szCs w:val="18"/>
        </w:rPr>
      </w:pPr>
    </w:p>
    <w:tbl>
      <w:tblPr>
        <w:tblW w:w="4675" w:type="pct"/>
        <w:tblInd w:w="4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4"/>
        <w:gridCol w:w="3477"/>
        <w:gridCol w:w="3255"/>
        <w:gridCol w:w="2765"/>
      </w:tblGrid>
      <w:tr w:rsidR="00321717" w:rsidRPr="007C4D65" w14:paraId="4FEFBC3A" w14:textId="77777777" w:rsidTr="00A36259">
        <w:trPr>
          <w:trHeight w:val="567"/>
        </w:trPr>
        <w:tc>
          <w:tcPr>
            <w:tcW w:w="1359" w:type="pct"/>
            <w:tcBorders>
              <w:right w:val="single" w:sz="4" w:space="0" w:color="A5A5A5" w:themeColor="accent3"/>
            </w:tcBorders>
            <w:shd w:val="clear" w:color="auto" w:fill="009D73"/>
            <w:vAlign w:val="center"/>
          </w:tcPr>
          <w:p w14:paraId="66F9B7FE" w14:textId="77777777" w:rsidR="00321717" w:rsidRPr="007C4D65" w:rsidRDefault="00321717"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lastRenderedPageBreak/>
              <w:t xml:space="preserve">Link with strategic goal </w:t>
            </w:r>
          </w:p>
        </w:tc>
        <w:tc>
          <w:tcPr>
            <w:tcW w:w="3641" w:type="pct"/>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vAlign w:val="center"/>
          </w:tcPr>
          <w:p w14:paraId="1514899B" w14:textId="77777777" w:rsidR="00321717" w:rsidRPr="007C4D65" w:rsidRDefault="00321717" w:rsidP="00321717">
            <w:pPr>
              <w:spacing w:before="40" w:after="40" w:line="276" w:lineRule="auto"/>
              <w:rPr>
                <w:rFonts w:asciiTheme="minorHAnsi" w:eastAsia="Calibri" w:hAnsiTheme="minorHAnsi" w:cstheme="minorHAnsi"/>
                <w:b/>
                <w:bCs/>
                <w:sz w:val="18"/>
                <w:szCs w:val="18"/>
                <w:lang w:val="en-US" w:eastAsia="en-US"/>
              </w:rPr>
            </w:pPr>
            <w:r w:rsidRPr="007C4D65">
              <w:rPr>
                <w:rFonts w:asciiTheme="minorHAnsi" w:eastAsia="Calibri" w:hAnsiTheme="minorHAnsi" w:cstheme="minorHAnsi"/>
                <w:b/>
                <w:bCs/>
                <w:sz w:val="18"/>
                <w:szCs w:val="18"/>
                <w:lang w:val="en-US" w:eastAsia="en-US"/>
              </w:rPr>
              <w:t>7. Strengthening environmental management</w:t>
            </w:r>
          </w:p>
        </w:tc>
      </w:tr>
      <w:tr w:rsidR="00321717" w:rsidRPr="007C4D65" w14:paraId="2CBE244A" w14:textId="77777777" w:rsidTr="00A36259">
        <w:trPr>
          <w:trHeight w:val="567"/>
        </w:trPr>
        <w:tc>
          <w:tcPr>
            <w:tcW w:w="1359" w:type="pct"/>
            <w:tcBorders>
              <w:right w:val="single" w:sz="4" w:space="0" w:color="A5A5A5" w:themeColor="accent3"/>
            </w:tcBorders>
            <w:shd w:val="clear" w:color="auto" w:fill="009D73"/>
            <w:vAlign w:val="center"/>
          </w:tcPr>
          <w:p w14:paraId="3B14CA66" w14:textId="77777777" w:rsidR="00321717" w:rsidRPr="007C4D65" w:rsidRDefault="00321717"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t>Priority</w:t>
            </w:r>
          </w:p>
        </w:tc>
        <w:tc>
          <w:tcPr>
            <w:tcW w:w="3641" w:type="pct"/>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vAlign w:val="center"/>
          </w:tcPr>
          <w:p w14:paraId="10C33B14" w14:textId="2BFD4BE1" w:rsidR="00321717" w:rsidRPr="007C4D65" w:rsidRDefault="00321717" w:rsidP="002D7967">
            <w:pPr>
              <w:spacing w:after="160" w:line="259" w:lineRule="auto"/>
              <w:rPr>
                <w:rFonts w:asciiTheme="minorHAnsi" w:hAnsiTheme="minorHAnsi" w:cstheme="minorHAnsi"/>
                <w:b/>
                <w:bCs/>
                <w:sz w:val="18"/>
                <w:szCs w:val="18"/>
                <w:lang w:val="en-US" w:eastAsia="zh-TW"/>
              </w:rPr>
            </w:pPr>
            <w:r w:rsidRPr="007C4D65">
              <w:rPr>
                <w:rFonts w:asciiTheme="minorHAnsi" w:eastAsia="Calibri" w:hAnsiTheme="minorHAnsi" w:cstheme="minorHAnsi"/>
                <w:b/>
                <w:bCs/>
                <w:sz w:val="18"/>
                <w:szCs w:val="18"/>
                <w:lang w:eastAsia="en-US"/>
              </w:rPr>
              <w:t xml:space="preserve">7.2 Ensuring efficient implementation of the </w:t>
            </w:r>
            <w:r w:rsidR="00573B99" w:rsidRPr="007C4D65">
              <w:rPr>
                <w:rFonts w:asciiTheme="minorHAnsi" w:eastAsia="Calibri" w:hAnsiTheme="minorHAnsi" w:cstheme="minorHAnsi"/>
                <w:b/>
                <w:bCs/>
                <w:sz w:val="18"/>
                <w:szCs w:val="18"/>
                <w:lang w:eastAsia="en-US"/>
              </w:rPr>
              <w:t>applicable</w:t>
            </w:r>
            <w:r w:rsidRPr="007C4D65">
              <w:rPr>
                <w:rFonts w:asciiTheme="minorHAnsi" w:eastAsia="Calibri" w:hAnsiTheme="minorHAnsi" w:cstheme="minorHAnsi"/>
                <w:b/>
                <w:bCs/>
                <w:sz w:val="18"/>
                <w:szCs w:val="18"/>
                <w:lang w:eastAsia="en-US"/>
              </w:rPr>
              <w:t xml:space="preserve"> legislation and international commitments</w:t>
            </w:r>
          </w:p>
        </w:tc>
      </w:tr>
      <w:tr w:rsidR="00321717" w:rsidRPr="007C4D65" w14:paraId="6F3DE75C" w14:textId="77777777" w:rsidTr="00A36259">
        <w:trPr>
          <w:trHeight w:val="567"/>
        </w:trPr>
        <w:tc>
          <w:tcPr>
            <w:tcW w:w="1359" w:type="pct"/>
            <w:shd w:val="clear" w:color="auto" w:fill="009D73"/>
            <w:vAlign w:val="center"/>
          </w:tcPr>
          <w:p w14:paraId="1583034D" w14:textId="712AAB67" w:rsidR="00321717" w:rsidRPr="007C4D65" w:rsidRDefault="00321717"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t>Measure</w:t>
            </w:r>
          </w:p>
        </w:tc>
        <w:tc>
          <w:tcPr>
            <w:tcW w:w="3641" w:type="pct"/>
            <w:gridSpan w:val="3"/>
            <w:tcBorders>
              <w:top w:val="single" w:sz="4" w:space="0" w:color="A5A5A5" w:themeColor="accent3"/>
              <w:left w:val="single" w:sz="4" w:space="0" w:color="A6A6A6"/>
              <w:bottom w:val="single" w:sz="4" w:space="0" w:color="A6A6A6"/>
              <w:right w:val="single" w:sz="4" w:space="0" w:color="A6A6A6"/>
            </w:tcBorders>
            <w:shd w:val="clear" w:color="auto" w:fill="FFFFFF"/>
            <w:vAlign w:val="center"/>
          </w:tcPr>
          <w:p w14:paraId="67FCFB34" w14:textId="2F54B90D" w:rsidR="00321717" w:rsidRPr="007C4D65" w:rsidRDefault="00321717" w:rsidP="002D7967">
            <w:pPr>
              <w:spacing w:after="160" w:line="276" w:lineRule="auto"/>
              <w:rPr>
                <w:rFonts w:asciiTheme="minorHAnsi" w:eastAsia="Calibri" w:hAnsiTheme="minorHAnsi" w:cstheme="minorHAnsi"/>
                <w:b/>
                <w:sz w:val="18"/>
                <w:szCs w:val="18"/>
                <w:lang w:val="en-US" w:eastAsia="x-none"/>
              </w:rPr>
            </w:pPr>
            <w:r w:rsidRPr="007C4D65">
              <w:rPr>
                <w:rFonts w:asciiTheme="minorHAnsi" w:eastAsia="Calibri" w:hAnsiTheme="minorHAnsi" w:cstheme="minorHAnsi"/>
                <w:b/>
                <w:sz w:val="18"/>
                <w:szCs w:val="18"/>
                <w:lang w:val="en-US" w:eastAsia="x-none"/>
              </w:rPr>
              <w:t>7.2.3 Ensuring conditions for integra</w:t>
            </w:r>
            <w:r w:rsidR="00573B99" w:rsidRPr="007C4D65">
              <w:rPr>
                <w:rFonts w:asciiTheme="minorHAnsi" w:eastAsia="Calibri" w:hAnsiTheme="minorHAnsi" w:cstheme="minorHAnsi"/>
                <w:b/>
                <w:sz w:val="18"/>
                <w:szCs w:val="18"/>
                <w:lang w:val="en-US" w:eastAsia="x-none"/>
              </w:rPr>
              <w:t>ted</w:t>
            </w:r>
            <w:r w:rsidRPr="007C4D65">
              <w:rPr>
                <w:rFonts w:asciiTheme="minorHAnsi" w:eastAsia="Calibri" w:hAnsiTheme="minorHAnsi" w:cstheme="minorHAnsi"/>
                <w:b/>
                <w:sz w:val="18"/>
                <w:szCs w:val="18"/>
                <w:lang w:val="en-US" w:eastAsia="x-none"/>
              </w:rPr>
              <w:t xml:space="preserve"> environmental permit</w:t>
            </w:r>
            <w:r w:rsidR="00573B99" w:rsidRPr="007C4D65">
              <w:rPr>
                <w:rFonts w:asciiTheme="minorHAnsi" w:eastAsia="Calibri" w:hAnsiTheme="minorHAnsi" w:cstheme="minorHAnsi"/>
                <w:b/>
                <w:sz w:val="18"/>
                <w:szCs w:val="18"/>
                <w:lang w:val="en-US" w:eastAsia="x-none"/>
              </w:rPr>
              <w:t>ting</w:t>
            </w:r>
            <w:r w:rsidRPr="007C4D65">
              <w:rPr>
                <w:rFonts w:asciiTheme="minorHAnsi" w:eastAsia="Calibri" w:hAnsiTheme="minorHAnsi" w:cstheme="minorHAnsi"/>
                <w:b/>
                <w:sz w:val="18"/>
                <w:szCs w:val="18"/>
                <w:lang w:val="en-US" w:eastAsia="x-none"/>
              </w:rPr>
              <w:t xml:space="preserve"> </w:t>
            </w:r>
          </w:p>
        </w:tc>
      </w:tr>
      <w:tr w:rsidR="00321717" w:rsidRPr="007C4D65" w14:paraId="303B9E28" w14:textId="77777777" w:rsidTr="00C919E8">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4E19CB9" w14:textId="77777777" w:rsidR="00321717" w:rsidRPr="007C4D65" w:rsidRDefault="00321717" w:rsidP="00D121AF">
            <w:pPr>
              <w:spacing w:before="40" w:after="40" w:line="276" w:lineRule="auto"/>
              <w:contextualSpacing/>
              <w:jc w:val="both"/>
              <w:rPr>
                <w:rFonts w:asciiTheme="minorHAnsi" w:eastAsia="Calibri" w:hAnsiTheme="minorHAnsi" w:cstheme="minorHAnsi"/>
                <w:sz w:val="18"/>
                <w:szCs w:val="18"/>
                <w:lang w:val="en-US" w:eastAsia="en-US"/>
              </w:rPr>
            </w:pPr>
            <w:r w:rsidRPr="007C4D65">
              <w:rPr>
                <w:rFonts w:asciiTheme="minorHAnsi" w:eastAsia="Calibri" w:hAnsiTheme="minorHAnsi" w:cstheme="minorHAnsi"/>
                <w:b/>
                <w:bCs/>
                <w:color w:val="FFFFFF"/>
                <w:sz w:val="18"/>
                <w:szCs w:val="18"/>
                <w:lang w:val="en-US" w:eastAsia="en-US" w:bidi="en-US"/>
              </w:rPr>
              <w:t>Description of the measure with the general area of intervention</w:t>
            </w:r>
          </w:p>
          <w:p w14:paraId="4E46390D" w14:textId="77777777" w:rsidR="00321717" w:rsidRPr="007C4D65" w:rsidRDefault="00321717"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7078B60" w14:textId="604BF80B" w:rsidR="00321717" w:rsidRPr="007C4D65" w:rsidRDefault="00321717" w:rsidP="00321717">
            <w:pPr>
              <w:spacing w:before="40" w:after="40" w:line="276" w:lineRule="auto"/>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en-US"/>
              </w:rPr>
              <w:t xml:space="preserve">The aim of this measure is to provide for conditions </w:t>
            </w:r>
            <w:r w:rsidR="00573B99" w:rsidRPr="007C4D65">
              <w:rPr>
                <w:rFonts w:asciiTheme="minorHAnsi" w:eastAsia="Calibri" w:hAnsiTheme="minorHAnsi" w:cstheme="minorHAnsi"/>
                <w:sz w:val="18"/>
                <w:szCs w:val="18"/>
                <w:lang w:val="en-US" w:eastAsia="en-US"/>
              </w:rPr>
              <w:t>for the initiation of integrated</w:t>
            </w:r>
            <w:r w:rsidRPr="007C4D65">
              <w:rPr>
                <w:rFonts w:asciiTheme="minorHAnsi" w:eastAsia="Calibri" w:hAnsiTheme="minorHAnsi" w:cstheme="minorHAnsi"/>
                <w:bCs/>
                <w:sz w:val="18"/>
                <w:szCs w:val="18"/>
                <w:lang w:val="en-US" w:eastAsia="x-none"/>
              </w:rPr>
              <w:t xml:space="preserve"> environmental permit</w:t>
            </w:r>
            <w:r w:rsidR="00573B99" w:rsidRPr="007C4D65">
              <w:rPr>
                <w:rFonts w:asciiTheme="minorHAnsi" w:eastAsia="Calibri" w:hAnsiTheme="minorHAnsi" w:cstheme="minorHAnsi"/>
                <w:bCs/>
                <w:sz w:val="18"/>
                <w:szCs w:val="18"/>
                <w:lang w:val="en-US" w:eastAsia="x-none"/>
              </w:rPr>
              <w:t>ting</w:t>
            </w:r>
            <w:r w:rsidRPr="007C4D65">
              <w:rPr>
                <w:rFonts w:asciiTheme="minorHAnsi" w:eastAsia="Calibri" w:hAnsiTheme="minorHAnsi" w:cstheme="minorHAnsi"/>
                <w:sz w:val="18"/>
                <w:szCs w:val="18"/>
                <w:lang w:val="en-US" w:eastAsia="en-US"/>
              </w:rPr>
              <w:t xml:space="preserve">. </w:t>
            </w:r>
            <w:r w:rsidR="00573B99" w:rsidRPr="007C4D65">
              <w:rPr>
                <w:rFonts w:asciiTheme="minorHAnsi" w:eastAsia="Calibri" w:hAnsiTheme="minorHAnsi" w:cstheme="minorHAnsi"/>
                <w:sz w:val="18"/>
                <w:szCs w:val="18"/>
                <w:lang w:val="en-US" w:eastAsia="en-US"/>
              </w:rPr>
              <w:t xml:space="preserve">The </w:t>
            </w:r>
            <w:proofErr w:type="gramStart"/>
            <w:r w:rsidR="00573B99" w:rsidRPr="007C4D65">
              <w:rPr>
                <w:rFonts w:asciiTheme="minorHAnsi" w:eastAsia="Calibri" w:hAnsiTheme="minorHAnsi" w:cstheme="minorHAnsi"/>
                <w:sz w:val="18"/>
                <w:szCs w:val="18"/>
                <w:lang w:val="en-US" w:eastAsia="en-US"/>
              </w:rPr>
              <w:t>ultimate goal</w:t>
            </w:r>
            <w:proofErr w:type="gramEnd"/>
            <w:r w:rsidR="00573B99" w:rsidRPr="007C4D65">
              <w:rPr>
                <w:rFonts w:asciiTheme="minorHAnsi" w:eastAsia="Calibri" w:hAnsiTheme="minorHAnsi" w:cstheme="minorHAnsi"/>
                <w:sz w:val="18"/>
                <w:szCs w:val="18"/>
                <w:lang w:val="en-US" w:eastAsia="en-US"/>
              </w:rPr>
              <w:t xml:space="preserve"> is ambitious </w:t>
            </w:r>
            <w:r w:rsidR="00573B99" w:rsidRPr="007C4D65">
              <w:rPr>
                <w:rFonts w:asciiTheme="minorHAnsi" w:eastAsia="Calibri" w:hAnsiTheme="minorHAnsi" w:cstheme="minorHAnsi"/>
                <w:sz w:val="18"/>
                <w:szCs w:val="18"/>
                <w:lang w:val="bs-Latn-BA" w:eastAsia="en-US"/>
              </w:rPr>
              <w:t>-</w:t>
            </w:r>
            <w:r w:rsidRPr="007C4D65">
              <w:rPr>
                <w:rFonts w:asciiTheme="minorHAnsi" w:eastAsia="Calibri" w:hAnsiTheme="minorHAnsi" w:cstheme="minorHAnsi"/>
                <w:sz w:val="18"/>
                <w:szCs w:val="18"/>
                <w:lang w:val="en-US" w:eastAsia="en-US"/>
              </w:rPr>
              <w:t xml:space="preserve"> a </w:t>
            </w:r>
            <w:r w:rsidR="0040427F" w:rsidRPr="007C4D65">
              <w:rPr>
                <w:rFonts w:asciiTheme="minorHAnsi" w:eastAsia="Calibri" w:hAnsiTheme="minorHAnsi" w:cstheme="minorHAnsi"/>
                <w:sz w:val="18"/>
                <w:szCs w:val="18"/>
                <w:lang w:val="en-US" w:eastAsia="en-US"/>
              </w:rPr>
              <w:t>single application to obtain the</w:t>
            </w:r>
            <w:r w:rsidRPr="007C4D65">
              <w:rPr>
                <w:rFonts w:asciiTheme="minorHAnsi" w:eastAsia="Calibri" w:hAnsiTheme="minorHAnsi" w:cstheme="minorHAnsi"/>
                <w:sz w:val="18"/>
                <w:szCs w:val="18"/>
                <w:lang w:val="en-US" w:eastAsia="en-US"/>
              </w:rPr>
              <w:t xml:space="preserve"> final decision on environmental permit</w:t>
            </w:r>
            <w:r w:rsidRPr="007C4D65">
              <w:rPr>
                <w:rFonts w:asciiTheme="minorHAnsi" w:eastAsia="Calibri" w:hAnsiTheme="minorHAnsi" w:cstheme="minorHAnsi"/>
                <w:sz w:val="18"/>
                <w:szCs w:val="18"/>
                <w:lang w:val="en-US" w:eastAsia="x-none"/>
              </w:rPr>
              <w:t>.</w:t>
            </w:r>
          </w:p>
          <w:p w14:paraId="777AD20A" w14:textId="77777777" w:rsidR="00321717" w:rsidRPr="007C4D65" w:rsidRDefault="00321717" w:rsidP="00321717">
            <w:pPr>
              <w:spacing w:before="40" w:after="40" w:line="276" w:lineRule="auto"/>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en-US"/>
              </w:rPr>
              <w:t>General areas of intervention</w:t>
            </w:r>
            <w:r w:rsidRPr="007C4D65">
              <w:rPr>
                <w:rFonts w:asciiTheme="minorHAnsi" w:eastAsia="Calibri" w:hAnsiTheme="minorHAnsi" w:cstheme="minorHAnsi"/>
                <w:sz w:val="18"/>
                <w:szCs w:val="18"/>
                <w:lang w:val="en-US" w:eastAsia="x-none"/>
              </w:rPr>
              <w:t>:</w:t>
            </w:r>
          </w:p>
          <w:p w14:paraId="3DD8C6B0" w14:textId="7FB5F9A8" w:rsidR="00321717" w:rsidRPr="007C4D65" w:rsidRDefault="0040427F">
            <w:pPr>
              <w:numPr>
                <w:ilvl w:val="0"/>
                <w:numId w:val="155"/>
              </w:numPr>
              <w:spacing w:before="40" w:after="40" w:line="276" w:lineRule="auto"/>
              <w:ind w:left="406" w:hanging="406"/>
              <w:contextualSpacing/>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 xml:space="preserve">Assessment of </w:t>
            </w:r>
            <w:r w:rsidR="00321717" w:rsidRPr="007C4D65">
              <w:rPr>
                <w:rFonts w:asciiTheme="minorHAnsi" w:eastAsia="Calibri" w:hAnsiTheme="minorHAnsi" w:cstheme="minorHAnsi"/>
                <w:sz w:val="18"/>
                <w:szCs w:val="18"/>
                <w:lang w:val="en-US" w:eastAsia="en-US"/>
              </w:rPr>
              <w:t xml:space="preserve">technical </w:t>
            </w:r>
            <w:r w:rsidRPr="007C4D65">
              <w:rPr>
                <w:rFonts w:asciiTheme="minorHAnsi" w:eastAsia="Calibri" w:hAnsiTheme="minorHAnsi" w:cstheme="minorHAnsi"/>
                <w:sz w:val="18"/>
                <w:szCs w:val="18"/>
                <w:lang w:val="en-US" w:eastAsia="en-US"/>
              </w:rPr>
              <w:t xml:space="preserve">requirements </w:t>
            </w:r>
            <w:r w:rsidR="00321717" w:rsidRPr="007C4D65">
              <w:rPr>
                <w:rFonts w:asciiTheme="minorHAnsi" w:eastAsia="Calibri" w:hAnsiTheme="minorHAnsi" w:cstheme="minorHAnsi"/>
                <w:sz w:val="18"/>
                <w:szCs w:val="18"/>
                <w:lang w:val="en-US" w:eastAsia="x-none"/>
              </w:rPr>
              <w:t xml:space="preserve">(e.g., creation and maintenance of databases) and staff capacities (job classification) in the </w:t>
            </w:r>
            <w:r w:rsidR="001E6E20" w:rsidRPr="007C4D65">
              <w:rPr>
                <w:rFonts w:asciiTheme="minorHAnsi" w:eastAsiaTheme="minorHAnsi" w:hAnsiTheme="minorHAnsi" w:cstheme="minorHAnsi"/>
                <w:sz w:val="18"/>
                <w:szCs w:val="18"/>
                <w:lang w:val="en-US" w:eastAsia="en-US"/>
              </w:rPr>
              <w:t>Federation Ministry</w:t>
            </w:r>
            <w:r w:rsidR="00321717" w:rsidRPr="007C4D65">
              <w:rPr>
                <w:rFonts w:asciiTheme="minorHAnsi" w:eastAsiaTheme="minorHAnsi" w:hAnsiTheme="minorHAnsi" w:cstheme="minorHAnsi"/>
                <w:sz w:val="18"/>
                <w:szCs w:val="18"/>
                <w:lang w:val="en-US" w:eastAsia="en-US"/>
              </w:rPr>
              <w:t xml:space="preserve"> of Environment and Tourism</w:t>
            </w:r>
            <w:r w:rsidR="00321717" w:rsidRPr="007C4D65">
              <w:rPr>
                <w:rFonts w:asciiTheme="minorHAnsi" w:eastAsia="Calibri" w:hAnsiTheme="minorHAnsi" w:cstheme="minorHAnsi"/>
                <w:sz w:val="18"/>
                <w:szCs w:val="18"/>
                <w:lang w:val="en-US" w:eastAsia="x-none"/>
              </w:rPr>
              <w:t xml:space="preserve"> </w:t>
            </w:r>
            <w:r w:rsidRPr="007C4D65">
              <w:rPr>
                <w:rFonts w:asciiTheme="minorHAnsi" w:eastAsia="Calibri" w:hAnsiTheme="minorHAnsi" w:cstheme="minorHAnsi"/>
                <w:sz w:val="18"/>
                <w:szCs w:val="18"/>
                <w:lang w:val="en-US" w:eastAsia="x-none"/>
              </w:rPr>
              <w:t>and cantonal line ministries for</w:t>
            </w:r>
            <w:r w:rsidR="00321717" w:rsidRPr="007C4D65">
              <w:rPr>
                <w:rFonts w:asciiTheme="minorHAnsi" w:eastAsia="Calibri" w:hAnsiTheme="minorHAnsi" w:cstheme="minorHAnsi"/>
                <w:sz w:val="18"/>
                <w:szCs w:val="18"/>
                <w:lang w:val="en-US" w:eastAsia="x-none"/>
              </w:rPr>
              <w:t xml:space="preserve"> integra</w:t>
            </w:r>
            <w:r w:rsidRPr="007C4D65">
              <w:rPr>
                <w:rFonts w:asciiTheme="minorHAnsi" w:eastAsia="Calibri" w:hAnsiTheme="minorHAnsi" w:cstheme="minorHAnsi"/>
                <w:sz w:val="18"/>
                <w:szCs w:val="18"/>
                <w:lang w:val="en-US" w:eastAsia="x-none"/>
              </w:rPr>
              <w:t>ted</w:t>
            </w:r>
            <w:r w:rsidR="00321717" w:rsidRPr="007C4D65">
              <w:rPr>
                <w:rFonts w:asciiTheme="minorHAnsi" w:eastAsia="Calibri" w:hAnsiTheme="minorHAnsi" w:cstheme="minorHAnsi"/>
                <w:sz w:val="18"/>
                <w:szCs w:val="18"/>
                <w:lang w:val="en-US" w:eastAsia="x-none"/>
              </w:rPr>
              <w:t xml:space="preserve"> environmental permit</w:t>
            </w:r>
            <w:r w:rsidRPr="007C4D65">
              <w:rPr>
                <w:rFonts w:asciiTheme="minorHAnsi" w:eastAsia="Calibri" w:hAnsiTheme="minorHAnsi" w:cstheme="minorHAnsi"/>
                <w:sz w:val="18"/>
                <w:szCs w:val="18"/>
                <w:lang w:val="en-US" w:eastAsia="x-none"/>
              </w:rPr>
              <w:t xml:space="preserve">ting </w:t>
            </w:r>
            <w:r w:rsidR="00321717" w:rsidRPr="007C4D65">
              <w:rPr>
                <w:rFonts w:asciiTheme="minorHAnsi" w:eastAsia="Calibri" w:hAnsiTheme="minorHAnsi" w:cstheme="minorHAnsi"/>
                <w:sz w:val="18"/>
                <w:szCs w:val="18"/>
                <w:lang w:val="en-US" w:eastAsia="x-none"/>
              </w:rPr>
              <w:t>and defin</w:t>
            </w:r>
            <w:r w:rsidRPr="007C4D65">
              <w:rPr>
                <w:rFonts w:asciiTheme="minorHAnsi" w:eastAsia="Calibri" w:hAnsiTheme="minorHAnsi" w:cstheme="minorHAnsi"/>
                <w:sz w:val="18"/>
                <w:szCs w:val="18"/>
                <w:lang w:val="en-US" w:eastAsia="x-none"/>
              </w:rPr>
              <w:t>e</w:t>
            </w:r>
            <w:r w:rsidR="00321717" w:rsidRPr="007C4D65">
              <w:rPr>
                <w:rFonts w:asciiTheme="minorHAnsi" w:eastAsia="Calibri" w:hAnsiTheme="minorHAnsi" w:cstheme="minorHAnsi"/>
                <w:sz w:val="18"/>
                <w:szCs w:val="18"/>
                <w:lang w:val="en-US" w:eastAsia="x-none"/>
              </w:rPr>
              <w:t xml:space="preserve"> recommendations for adjustments</w:t>
            </w:r>
            <w:r w:rsidR="002D7967" w:rsidRPr="007C4D65">
              <w:rPr>
                <w:rFonts w:asciiTheme="minorHAnsi" w:eastAsia="Calibri" w:hAnsiTheme="minorHAnsi" w:cstheme="minorHAnsi"/>
                <w:sz w:val="18"/>
                <w:szCs w:val="18"/>
                <w:lang w:val="en-US" w:eastAsia="x-none"/>
              </w:rPr>
              <w:t>&lt;</w:t>
            </w:r>
          </w:p>
          <w:p w14:paraId="404B2DEC" w14:textId="0337AD67" w:rsidR="00321717" w:rsidRPr="007C4D65" w:rsidRDefault="00321717">
            <w:pPr>
              <w:numPr>
                <w:ilvl w:val="0"/>
                <w:numId w:val="155"/>
              </w:numPr>
              <w:spacing w:before="40" w:after="40" w:line="276" w:lineRule="auto"/>
              <w:ind w:left="406" w:hanging="406"/>
              <w:contextualSpacing/>
              <w:jc w:val="both"/>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Implementation of the recommendation</w:t>
            </w:r>
            <w:r w:rsidR="0040427F" w:rsidRPr="007C4D65">
              <w:rPr>
                <w:rFonts w:asciiTheme="minorHAnsi" w:eastAsia="Calibri" w:hAnsiTheme="minorHAnsi" w:cstheme="minorHAnsi"/>
                <w:sz w:val="18"/>
                <w:szCs w:val="18"/>
                <w:lang w:val="en-US" w:eastAsia="x-none"/>
              </w:rPr>
              <w:t>s</w:t>
            </w:r>
            <w:r w:rsidRPr="007C4D65">
              <w:rPr>
                <w:rFonts w:asciiTheme="minorHAnsi" w:eastAsia="Calibri" w:hAnsiTheme="minorHAnsi" w:cstheme="minorHAnsi"/>
                <w:sz w:val="18"/>
                <w:szCs w:val="18"/>
                <w:lang w:val="en-US" w:eastAsia="x-none"/>
              </w:rPr>
              <w:t xml:space="preserve"> for adjustment</w:t>
            </w:r>
            <w:r w:rsidR="0040427F" w:rsidRPr="007C4D65">
              <w:rPr>
                <w:rFonts w:asciiTheme="minorHAnsi" w:eastAsia="Calibri" w:hAnsiTheme="minorHAnsi" w:cstheme="minorHAnsi"/>
                <w:sz w:val="18"/>
                <w:szCs w:val="18"/>
                <w:lang w:val="en-US" w:eastAsia="x-none"/>
              </w:rPr>
              <w:t>s</w:t>
            </w:r>
            <w:r w:rsidRPr="007C4D65">
              <w:rPr>
                <w:rFonts w:asciiTheme="minorHAnsi" w:eastAsia="Calibri" w:hAnsiTheme="minorHAnsi" w:cstheme="minorHAnsi"/>
                <w:sz w:val="18"/>
                <w:szCs w:val="18"/>
                <w:lang w:val="en-US" w:eastAsia="x-none"/>
              </w:rPr>
              <w:t xml:space="preserve"> of the </w:t>
            </w:r>
            <w:r w:rsidR="001E6E20" w:rsidRPr="007C4D65">
              <w:rPr>
                <w:rFonts w:asciiTheme="minorHAnsi" w:eastAsiaTheme="minorHAnsi" w:hAnsiTheme="minorHAnsi" w:cstheme="minorHAnsi"/>
                <w:sz w:val="18"/>
                <w:szCs w:val="18"/>
                <w:lang w:val="en-US" w:eastAsia="en-US"/>
              </w:rPr>
              <w:t>Federation Ministry</w:t>
            </w:r>
            <w:r w:rsidRPr="007C4D65">
              <w:rPr>
                <w:rFonts w:asciiTheme="minorHAnsi" w:eastAsiaTheme="minorHAnsi" w:hAnsiTheme="minorHAnsi" w:cstheme="minorHAnsi"/>
                <w:sz w:val="18"/>
                <w:szCs w:val="18"/>
                <w:lang w:val="en-US" w:eastAsia="en-US"/>
              </w:rPr>
              <w:t xml:space="preserve"> of Environment and Tourism</w:t>
            </w:r>
            <w:r w:rsidRPr="007C4D65">
              <w:rPr>
                <w:rFonts w:asciiTheme="minorHAnsi" w:eastAsia="Calibri" w:hAnsiTheme="minorHAnsi" w:cstheme="minorHAnsi"/>
                <w:sz w:val="18"/>
                <w:szCs w:val="18"/>
                <w:lang w:val="en-US" w:eastAsia="x-none"/>
              </w:rPr>
              <w:t xml:space="preserve"> for </w:t>
            </w:r>
            <w:r w:rsidR="0040427F" w:rsidRPr="007C4D65">
              <w:rPr>
                <w:rFonts w:asciiTheme="minorHAnsi" w:eastAsia="Calibri" w:hAnsiTheme="minorHAnsi" w:cstheme="minorHAnsi"/>
                <w:sz w:val="18"/>
                <w:szCs w:val="18"/>
                <w:lang w:val="en-US" w:eastAsia="x-none"/>
              </w:rPr>
              <w:t>integrated environmental permitting</w:t>
            </w:r>
            <w:r w:rsidRPr="007C4D65">
              <w:rPr>
                <w:rFonts w:asciiTheme="minorHAnsi" w:eastAsia="Calibri" w:hAnsiTheme="minorHAnsi" w:cstheme="minorHAnsi"/>
                <w:sz w:val="18"/>
                <w:szCs w:val="18"/>
                <w:lang w:val="en-US" w:eastAsia="x-none"/>
              </w:rPr>
              <w:t xml:space="preserve"> (</w:t>
            </w:r>
            <w:r w:rsidR="0040427F" w:rsidRPr="007C4D65">
              <w:rPr>
                <w:rFonts w:asciiTheme="minorHAnsi" w:eastAsia="Calibri" w:hAnsiTheme="minorHAnsi" w:cstheme="minorHAnsi"/>
                <w:sz w:val="18"/>
                <w:szCs w:val="18"/>
                <w:lang w:val="en-US" w:eastAsia="x-none"/>
              </w:rPr>
              <w:t>through the</w:t>
            </w:r>
            <w:r w:rsidRPr="007C4D65">
              <w:rPr>
                <w:rFonts w:asciiTheme="minorHAnsi" w:eastAsia="Calibri" w:hAnsiTheme="minorHAnsi" w:cstheme="minorHAnsi"/>
                <w:sz w:val="18"/>
                <w:szCs w:val="18"/>
                <w:lang w:val="en-US" w:eastAsia="x-none"/>
              </w:rPr>
              <w:t xml:space="preserve"> implementation of the </w:t>
            </w:r>
            <w:r w:rsidR="0040427F" w:rsidRPr="007C4D65">
              <w:rPr>
                <w:rFonts w:asciiTheme="minorHAnsi" w:eastAsia="Calibri" w:hAnsiTheme="minorHAnsi" w:cstheme="minorHAnsi"/>
                <w:sz w:val="18"/>
                <w:szCs w:val="18"/>
                <w:lang w:val="en-US" w:eastAsia="x-none"/>
              </w:rPr>
              <w:t>Decree</w:t>
            </w:r>
            <w:r w:rsidRPr="007C4D65">
              <w:rPr>
                <w:rFonts w:asciiTheme="minorHAnsi" w:eastAsia="Calibri" w:hAnsiTheme="minorHAnsi" w:cstheme="minorHAnsi"/>
                <w:sz w:val="18"/>
                <w:szCs w:val="18"/>
                <w:lang w:val="en-US" w:eastAsia="x-none"/>
              </w:rPr>
              <w:t xml:space="preserve"> </w:t>
            </w:r>
            <w:r w:rsidR="0040427F" w:rsidRPr="007C4D65">
              <w:rPr>
                <w:rFonts w:asciiTheme="minorHAnsi" w:eastAsia="Calibri" w:hAnsiTheme="minorHAnsi" w:cstheme="minorHAnsi"/>
                <w:sz w:val="18"/>
                <w:szCs w:val="18"/>
                <w:lang w:val="en-US" w:eastAsia="x-none"/>
              </w:rPr>
              <w:t>on</w:t>
            </w:r>
            <w:r w:rsidRPr="007C4D65">
              <w:rPr>
                <w:rFonts w:asciiTheme="minorHAnsi" w:eastAsia="Calibri" w:hAnsiTheme="minorHAnsi" w:cstheme="minorHAnsi"/>
                <w:sz w:val="18"/>
                <w:szCs w:val="18"/>
                <w:lang w:val="en-US" w:eastAsia="x-none"/>
              </w:rPr>
              <w:t xml:space="preserve"> plants and </w:t>
            </w:r>
            <w:r w:rsidR="0040427F" w:rsidRPr="007C4D65">
              <w:rPr>
                <w:rFonts w:asciiTheme="minorHAnsi" w:eastAsia="Calibri" w:hAnsiTheme="minorHAnsi" w:cstheme="minorHAnsi"/>
                <w:sz w:val="18"/>
                <w:szCs w:val="18"/>
                <w:lang w:val="en-US" w:eastAsia="x-none"/>
              </w:rPr>
              <w:t>facilities</w:t>
            </w:r>
            <w:r w:rsidRPr="007C4D65">
              <w:rPr>
                <w:rFonts w:asciiTheme="minorHAnsi" w:eastAsia="Calibri" w:hAnsiTheme="minorHAnsi" w:cstheme="minorHAnsi"/>
                <w:sz w:val="18"/>
                <w:szCs w:val="18"/>
                <w:lang w:val="en-US" w:eastAsia="x-none"/>
              </w:rPr>
              <w:t xml:space="preserve"> which require environmental permits </w:t>
            </w:r>
            <w:r w:rsidRPr="007C4D65">
              <w:rPr>
                <w:rFonts w:asciiTheme="minorHAnsi" w:eastAsia="Calibri" w:hAnsiTheme="minorHAnsi" w:cstheme="minorHAnsi"/>
                <w:i/>
                <w:iCs/>
                <w:sz w:val="18"/>
                <w:szCs w:val="18"/>
                <w:lang w:val="en-US" w:eastAsia="x-none"/>
              </w:rPr>
              <w:t xml:space="preserve">(Official Gazette </w:t>
            </w:r>
            <w:r w:rsidR="0040427F" w:rsidRPr="007C4D65">
              <w:rPr>
                <w:rFonts w:asciiTheme="minorHAnsi" w:eastAsia="Calibri" w:hAnsiTheme="minorHAnsi" w:cstheme="minorHAnsi"/>
                <w:i/>
                <w:iCs/>
                <w:sz w:val="18"/>
                <w:szCs w:val="18"/>
                <w:lang w:val="en-US" w:eastAsia="x-none"/>
              </w:rPr>
              <w:t xml:space="preserve">the Federation of </w:t>
            </w:r>
            <w:r w:rsidRPr="007C4D65">
              <w:rPr>
                <w:rFonts w:asciiTheme="minorHAnsi" w:eastAsia="Calibri" w:hAnsiTheme="minorHAnsi" w:cstheme="minorHAnsi"/>
                <w:i/>
                <w:iCs/>
                <w:sz w:val="18"/>
                <w:szCs w:val="18"/>
                <w:lang w:val="en-US" w:eastAsia="x-none"/>
              </w:rPr>
              <w:t xml:space="preserve">BiH, 51/21), templates of new administrative decisions are </w:t>
            </w:r>
            <w:proofErr w:type="gramStart"/>
            <w:r w:rsidRPr="007C4D65">
              <w:rPr>
                <w:rFonts w:asciiTheme="minorHAnsi" w:eastAsia="Calibri" w:hAnsiTheme="minorHAnsi" w:cstheme="minorHAnsi"/>
                <w:i/>
                <w:iCs/>
                <w:sz w:val="18"/>
                <w:szCs w:val="18"/>
                <w:lang w:val="en-US" w:eastAsia="x-none"/>
              </w:rPr>
              <w:t>prepared)</w:t>
            </w:r>
            <w:r w:rsidR="002D7967" w:rsidRPr="007C4D65">
              <w:rPr>
                <w:rFonts w:asciiTheme="minorHAnsi" w:eastAsia="Calibri" w:hAnsiTheme="minorHAnsi" w:cstheme="minorHAnsi"/>
                <w:sz w:val="18"/>
                <w:szCs w:val="18"/>
                <w:lang w:val="en-US" w:eastAsia="x-none"/>
              </w:rPr>
              <w:t>&lt;</w:t>
            </w:r>
            <w:proofErr w:type="gramEnd"/>
          </w:p>
          <w:p w14:paraId="1F2D845D" w14:textId="1471E370" w:rsidR="00321717" w:rsidRPr="007C4D65" w:rsidRDefault="00321717">
            <w:pPr>
              <w:numPr>
                <w:ilvl w:val="0"/>
                <w:numId w:val="155"/>
              </w:numPr>
              <w:spacing w:before="40" w:after="40" w:line="276" w:lineRule="auto"/>
              <w:ind w:left="406" w:hanging="406"/>
              <w:contextualSpacing/>
              <w:jc w:val="both"/>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Creating conditions for digitalization of all the procedures (including adoption of all necessary regulations for the institutions to be able to implement digital procedure</w:t>
            </w:r>
            <w:r w:rsidR="00B07C89" w:rsidRPr="007C4D65">
              <w:rPr>
                <w:rFonts w:asciiTheme="minorHAnsi" w:eastAsia="Calibri" w:hAnsiTheme="minorHAnsi" w:cstheme="minorHAnsi"/>
                <w:sz w:val="18"/>
                <w:szCs w:val="18"/>
                <w:lang w:val="en-US" w:eastAsia="x-none"/>
              </w:rPr>
              <w:t>s</w:t>
            </w:r>
            <w:r w:rsidRPr="007C4D65">
              <w:rPr>
                <w:rFonts w:asciiTheme="minorHAnsi" w:eastAsia="Calibri" w:hAnsiTheme="minorHAnsi" w:cstheme="minorHAnsi"/>
                <w:sz w:val="18"/>
                <w:szCs w:val="18"/>
                <w:lang w:val="en-US" w:eastAsia="x-none"/>
              </w:rPr>
              <w:t xml:space="preserve">). This implies </w:t>
            </w:r>
            <w:r w:rsidR="00B07C89" w:rsidRPr="007C4D65">
              <w:rPr>
                <w:rFonts w:asciiTheme="minorHAnsi" w:eastAsia="Calibri" w:hAnsiTheme="minorHAnsi" w:cstheme="minorHAnsi"/>
                <w:sz w:val="18"/>
                <w:szCs w:val="18"/>
                <w:lang w:val="en-US" w:eastAsia="x-none"/>
              </w:rPr>
              <w:t>digitalization</w:t>
            </w:r>
            <w:r w:rsidRPr="007C4D65">
              <w:rPr>
                <w:rFonts w:asciiTheme="minorHAnsi" w:eastAsia="Calibri" w:hAnsiTheme="minorHAnsi" w:cstheme="minorHAnsi"/>
                <w:sz w:val="18"/>
                <w:szCs w:val="18"/>
                <w:lang w:val="en-US" w:eastAsia="x-none"/>
              </w:rPr>
              <w:t xml:space="preserve"> of the </w:t>
            </w:r>
            <w:r w:rsidR="00B07C89" w:rsidRPr="007C4D65">
              <w:rPr>
                <w:rFonts w:asciiTheme="minorHAnsi" w:eastAsia="Calibri" w:hAnsiTheme="minorHAnsi" w:cstheme="minorHAnsi"/>
                <w:sz w:val="18"/>
                <w:szCs w:val="18"/>
                <w:lang w:val="en-US" w:eastAsia="x-none"/>
              </w:rPr>
              <w:t xml:space="preserve">environmental permitting </w:t>
            </w:r>
            <w:r w:rsidRPr="007C4D65">
              <w:rPr>
                <w:rFonts w:asciiTheme="minorHAnsi" w:eastAsia="Calibri" w:hAnsiTheme="minorHAnsi" w:cstheme="minorHAnsi"/>
                <w:sz w:val="18"/>
                <w:szCs w:val="18"/>
                <w:lang w:val="en-US" w:eastAsia="x-none"/>
              </w:rPr>
              <w:t xml:space="preserve">procedure in the </w:t>
            </w:r>
            <w:r w:rsidR="001E6E20" w:rsidRPr="007C4D65">
              <w:rPr>
                <w:rFonts w:asciiTheme="minorHAnsi" w:eastAsiaTheme="minorHAnsi" w:hAnsiTheme="minorHAnsi" w:cstheme="minorHAnsi"/>
                <w:sz w:val="18"/>
                <w:szCs w:val="18"/>
                <w:lang w:val="en-US" w:eastAsia="en-US"/>
              </w:rPr>
              <w:t>Federation Ministry</w:t>
            </w:r>
            <w:r w:rsidRPr="007C4D65">
              <w:rPr>
                <w:rFonts w:asciiTheme="minorHAnsi" w:eastAsiaTheme="minorHAnsi" w:hAnsiTheme="minorHAnsi" w:cstheme="minorHAnsi"/>
                <w:sz w:val="18"/>
                <w:szCs w:val="18"/>
                <w:lang w:val="en-US" w:eastAsia="en-US"/>
              </w:rPr>
              <w:t xml:space="preserve"> of Environment and Tourism, </w:t>
            </w:r>
            <w:proofErr w:type="gramStart"/>
            <w:r w:rsidR="00B07C89" w:rsidRPr="007C4D65">
              <w:rPr>
                <w:rFonts w:asciiTheme="minorHAnsi" w:eastAsiaTheme="minorHAnsi" w:hAnsiTheme="minorHAnsi" w:cstheme="minorHAnsi"/>
                <w:sz w:val="18"/>
                <w:szCs w:val="18"/>
                <w:lang w:val="en-US" w:eastAsia="en-US"/>
              </w:rPr>
              <w:t>so as to</w:t>
            </w:r>
            <w:proofErr w:type="gramEnd"/>
            <w:r w:rsidR="00B07C89" w:rsidRPr="007C4D65">
              <w:rPr>
                <w:rFonts w:asciiTheme="minorHAnsi" w:eastAsiaTheme="minorHAnsi" w:hAnsiTheme="minorHAnsi" w:cstheme="minorHAnsi"/>
                <w:sz w:val="18"/>
                <w:szCs w:val="18"/>
                <w:lang w:val="en-US" w:eastAsia="en-US"/>
              </w:rPr>
              <w:t xml:space="preserve"> enable the process of </w:t>
            </w:r>
            <w:r w:rsidR="00B07C89" w:rsidRPr="007C4D65">
              <w:rPr>
                <w:rFonts w:asciiTheme="minorHAnsi" w:eastAsiaTheme="minorHAnsi" w:hAnsiTheme="minorHAnsi" w:cstheme="minorHAnsi"/>
                <w:sz w:val="18"/>
                <w:szCs w:val="18"/>
                <w:lang w:eastAsia="en-US"/>
              </w:rPr>
              <w:t>applying for</w:t>
            </w:r>
            <w:r w:rsidRPr="007C4D65">
              <w:rPr>
                <w:rFonts w:asciiTheme="minorHAnsi" w:eastAsiaTheme="minorHAnsi" w:hAnsiTheme="minorHAnsi" w:cstheme="minorHAnsi"/>
                <w:sz w:val="18"/>
                <w:szCs w:val="18"/>
                <w:lang w:val="en-US" w:eastAsia="en-US"/>
              </w:rPr>
              <w:t xml:space="preserve"> environmental permit</w:t>
            </w:r>
            <w:r w:rsidR="00B07C89" w:rsidRPr="007C4D65">
              <w:rPr>
                <w:rFonts w:asciiTheme="minorHAnsi" w:eastAsiaTheme="minorHAnsi" w:hAnsiTheme="minorHAnsi" w:cstheme="minorHAnsi"/>
                <w:sz w:val="18"/>
                <w:szCs w:val="18"/>
                <w:lang w:val="en-US" w:eastAsia="en-US"/>
              </w:rPr>
              <w:t>s</w:t>
            </w:r>
            <w:r w:rsidRPr="007C4D65">
              <w:rPr>
                <w:rFonts w:asciiTheme="minorHAnsi" w:eastAsia="Calibri" w:hAnsiTheme="minorHAnsi" w:cstheme="minorHAnsi"/>
                <w:sz w:val="18"/>
                <w:szCs w:val="18"/>
                <w:lang w:val="en-US" w:eastAsia="x-none"/>
              </w:rPr>
              <w:t>, announc</w:t>
            </w:r>
            <w:r w:rsidR="00B07C89" w:rsidRPr="007C4D65">
              <w:rPr>
                <w:rFonts w:asciiTheme="minorHAnsi" w:eastAsia="Calibri" w:hAnsiTheme="minorHAnsi" w:cstheme="minorHAnsi"/>
                <w:sz w:val="18"/>
                <w:szCs w:val="18"/>
                <w:lang w:val="en-US" w:eastAsia="x-none"/>
              </w:rPr>
              <w:t>ing of</w:t>
            </w:r>
            <w:r w:rsidRPr="007C4D65">
              <w:rPr>
                <w:rFonts w:asciiTheme="minorHAnsi" w:eastAsia="Calibri" w:hAnsiTheme="minorHAnsi" w:cstheme="minorHAnsi"/>
                <w:sz w:val="18"/>
                <w:szCs w:val="18"/>
                <w:lang w:val="en-US" w:eastAsia="x-none"/>
              </w:rPr>
              <w:t xml:space="preserve"> public consultations, monitor</w:t>
            </w:r>
            <w:r w:rsidR="00B07C89" w:rsidRPr="007C4D65">
              <w:rPr>
                <w:rFonts w:asciiTheme="minorHAnsi" w:eastAsia="Calibri" w:hAnsiTheme="minorHAnsi" w:cstheme="minorHAnsi"/>
                <w:sz w:val="18"/>
                <w:szCs w:val="18"/>
                <w:lang w:val="en-US" w:eastAsia="x-none"/>
              </w:rPr>
              <w:t>ing of the</w:t>
            </w:r>
            <w:r w:rsidRPr="007C4D65">
              <w:rPr>
                <w:rFonts w:asciiTheme="minorHAnsi" w:eastAsia="Calibri" w:hAnsiTheme="minorHAnsi" w:cstheme="minorHAnsi"/>
                <w:sz w:val="18"/>
                <w:szCs w:val="18"/>
                <w:lang w:val="en-US" w:eastAsia="x-none"/>
              </w:rPr>
              <w:t xml:space="preserve"> issu</w:t>
            </w:r>
            <w:r w:rsidR="00B07C89" w:rsidRPr="007C4D65">
              <w:rPr>
                <w:rFonts w:asciiTheme="minorHAnsi" w:eastAsia="Calibri" w:hAnsiTheme="minorHAnsi" w:cstheme="minorHAnsi"/>
                <w:sz w:val="18"/>
                <w:szCs w:val="18"/>
                <w:lang w:val="en-US" w:eastAsia="x-none"/>
              </w:rPr>
              <w:t>ance,</w:t>
            </w:r>
            <w:r w:rsidRPr="007C4D65">
              <w:rPr>
                <w:rFonts w:asciiTheme="minorHAnsi" w:eastAsia="Calibri" w:hAnsiTheme="minorHAnsi" w:cstheme="minorHAnsi"/>
                <w:sz w:val="18"/>
                <w:szCs w:val="18"/>
                <w:lang w:val="en-US" w:eastAsia="x-none"/>
              </w:rPr>
              <w:t xml:space="preserve"> and </w:t>
            </w:r>
            <w:r w:rsidR="00B07C89" w:rsidRPr="007C4D65">
              <w:rPr>
                <w:rFonts w:asciiTheme="minorHAnsi" w:eastAsia="Calibri" w:hAnsiTheme="minorHAnsi" w:cstheme="minorHAnsi"/>
                <w:sz w:val="18"/>
                <w:szCs w:val="18"/>
                <w:lang w:val="en-US" w:eastAsia="x-none"/>
              </w:rPr>
              <w:t>access to</w:t>
            </w:r>
            <w:r w:rsidRPr="007C4D65">
              <w:rPr>
                <w:rFonts w:asciiTheme="minorHAnsi" w:eastAsia="Calibri" w:hAnsiTheme="minorHAnsi" w:cstheme="minorHAnsi"/>
                <w:sz w:val="18"/>
                <w:szCs w:val="18"/>
                <w:lang w:val="en-US" w:eastAsia="x-none"/>
              </w:rPr>
              <w:t xml:space="preserve"> decision</w:t>
            </w:r>
            <w:r w:rsidR="00B07C89" w:rsidRPr="007C4D65">
              <w:rPr>
                <w:rFonts w:asciiTheme="minorHAnsi" w:eastAsia="Calibri" w:hAnsiTheme="minorHAnsi" w:cstheme="minorHAnsi"/>
                <w:sz w:val="18"/>
                <w:szCs w:val="18"/>
                <w:lang w:val="en-US" w:eastAsia="x-none"/>
              </w:rPr>
              <w:t>s</w:t>
            </w:r>
            <w:r w:rsidRPr="007C4D65">
              <w:rPr>
                <w:rFonts w:asciiTheme="minorHAnsi" w:eastAsia="Calibri" w:hAnsiTheme="minorHAnsi" w:cstheme="minorHAnsi"/>
                <w:sz w:val="18"/>
                <w:szCs w:val="18"/>
                <w:lang w:val="en-US" w:eastAsia="x-none"/>
              </w:rPr>
              <w:t xml:space="preserve"> through the system, and monitor</w:t>
            </w:r>
            <w:r w:rsidR="00B07C89" w:rsidRPr="007C4D65">
              <w:rPr>
                <w:rFonts w:asciiTheme="minorHAnsi" w:eastAsia="Calibri" w:hAnsiTheme="minorHAnsi" w:cstheme="minorHAnsi"/>
                <w:sz w:val="18"/>
                <w:szCs w:val="18"/>
                <w:lang w:val="en-US" w:eastAsia="x-none"/>
              </w:rPr>
              <w:t>ing of</w:t>
            </w:r>
            <w:r w:rsidRPr="007C4D65">
              <w:rPr>
                <w:rFonts w:asciiTheme="minorHAnsi" w:eastAsia="Calibri" w:hAnsiTheme="minorHAnsi" w:cstheme="minorHAnsi"/>
                <w:sz w:val="18"/>
                <w:szCs w:val="18"/>
                <w:lang w:val="en-US" w:eastAsia="x-none"/>
              </w:rPr>
              <w:t xml:space="preserve"> </w:t>
            </w:r>
            <w:r w:rsidR="00B07C89" w:rsidRPr="007C4D65">
              <w:rPr>
                <w:rFonts w:asciiTheme="minorHAnsi" w:eastAsia="Calibri" w:hAnsiTheme="minorHAnsi" w:cstheme="minorHAnsi"/>
                <w:sz w:val="18"/>
                <w:szCs w:val="18"/>
                <w:lang w:val="en-US" w:eastAsia="x-none"/>
              </w:rPr>
              <w:t>polluters</w:t>
            </w:r>
            <w:r w:rsidRPr="007C4D65">
              <w:rPr>
                <w:rFonts w:asciiTheme="minorHAnsi" w:eastAsia="Calibri" w:hAnsiTheme="minorHAnsi" w:cstheme="minorHAnsi"/>
                <w:sz w:val="18"/>
                <w:szCs w:val="18"/>
                <w:lang w:val="en-US" w:eastAsia="x-none"/>
              </w:rPr>
              <w:t xml:space="preserve"> through the system (with all the other permits that can be supporting documents). It is </w:t>
            </w:r>
            <w:r w:rsidR="00B07C89" w:rsidRPr="007C4D65">
              <w:rPr>
                <w:rFonts w:asciiTheme="minorHAnsi" w:eastAsia="Calibri" w:hAnsiTheme="minorHAnsi" w:cstheme="minorHAnsi"/>
                <w:sz w:val="18"/>
                <w:szCs w:val="18"/>
                <w:lang w:val="en-US" w:eastAsia="x-none"/>
              </w:rPr>
              <w:t xml:space="preserve">a </w:t>
            </w:r>
            <w:r w:rsidRPr="007C4D65">
              <w:rPr>
                <w:rFonts w:asciiTheme="minorHAnsi" w:eastAsia="Calibri" w:hAnsiTheme="minorHAnsi" w:cstheme="minorHAnsi"/>
                <w:sz w:val="18"/>
                <w:szCs w:val="18"/>
                <w:lang w:val="en-US" w:eastAsia="x-none"/>
              </w:rPr>
              <w:t xml:space="preserve">centralized data </w:t>
            </w:r>
            <w:r w:rsidR="00B07C89" w:rsidRPr="007C4D65">
              <w:rPr>
                <w:rFonts w:asciiTheme="minorHAnsi" w:eastAsia="Calibri" w:hAnsiTheme="minorHAnsi" w:cstheme="minorHAnsi"/>
                <w:sz w:val="18"/>
                <w:szCs w:val="18"/>
                <w:lang w:val="en-US" w:eastAsia="x-none"/>
              </w:rPr>
              <w:t>repositor</w:t>
            </w:r>
            <w:r w:rsidR="00B07C89" w:rsidRPr="007C4D65">
              <w:rPr>
                <w:rFonts w:asciiTheme="minorHAnsi" w:eastAsia="Calibri" w:hAnsiTheme="minorHAnsi" w:cstheme="minorHAnsi"/>
                <w:sz w:val="18"/>
                <w:szCs w:val="18"/>
                <w:lang w:val="bs-Latn-BA" w:eastAsia="x-none"/>
              </w:rPr>
              <w:t>y</w:t>
            </w:r>
            <w:r w:rsidRPr="007C4D65">
              <w:rPr>
                <w:rFonts w:asciiTheme="minorHAnsi" w:eastAsia="Calibri" w:hAnsiTheme="minorHAnsi" w:cstheme="minorHAnsi"/>
                <w:sz w:val="18"/>
                <w:szCs w:val="18"/>
                <w:lang w:val="en-US" w:eastAsia="x-none"/>
              </w:rPr>
              <w:t xml:space="preserve">, </w:t>
            </w:r>
            <w:r w:rsidR="00B07C89" w:rsidRPr="007C4D65">
              <w:rPr>
                <w:rFonts w:asciiTheme="minorHAnsi" w:eastAsia="Calibri" w:hAnsiTheme="minorHAnsi" w:cstheme="minorHAnsi"/>
                <w:sz w:val="18"/>
                <w:szCs w:val="18"/>
                <w:lang w:val="en-US" w:eastAsia="x-none"/>
              </w:rPr>
              <w:t>which can be used for the purpose of public hearings, and</w:t>
            </w:r>
            <w:r w:rsidRPr="007C4D65">
              <w:rPr>
                <w:rFonts w:asciiTheme="minorHAnsi" w:eastAsia="Calibri" w:hAnsiTheme="minorHAnsi" w:cstheme="minorHAnsi"/>
                <w:sz w:val="18"/>
                <w:szCs w:val="18"/>
                <w:lang w:val="en-US" w:eastAsia="x-none"/>
              </w:rPr>
              <w:t xml:space="preserve"> inspections for control of </w:t>
            </w:r>
            <w:r w:rsidR="00B07C89" w:rsidRPr="007C4D65">
              <w:rPr>
                <w:rFonts w:asciiTheme="minorHAnsi" w:eastAsia="Calibri" w:hAnsiTheme="minorHAnsi" w:cstheme="minorHAnsi"/>
                <w:sz w:val="18"/>
                <w:szCs w:val="18"/>
                <w:lang w:val="en-US" w:eastAsia="x-none"/>
              </w:rPr>
              <w:t xml:space="preserve">the </w:t>
            </w:r>
            <w:r w:rsidRPr="007C4D65">
              <w:rPr>
                <w:rFonts w:asciiTheme="minorHAnsi" w:eastAsia="Calibri" w:hAnsiTheme="minorHAnsi" w:cstheme="minorHAnsi"/>
                <w:sz w:val="18"/>
                <w:szCs w:val="18"/>
                <w:lang w:val="en-US" w:eastAsia="x-none"/>
              </w:rPr>
              <w:t xml:space="preserve">implementation of measures. </w:t>
            </w:r>
            <w:r w:rsidR="00B07C89" w:rsidRPr="007C4D65">
              <w:rPr>
                <w:rFonts w:asciiTheme="minorHAnsi" w:eastAsia="Calibri" w:hAnsiTheme="minorHAnsi" w:cstheme="minorHAnsi"/>
                <w:sz w:val="18"/>
                <w:szCs w:val="18"/>
                <w:lang w:val="en-US" w:eastAsia="x-none"/>
              </w:rPr>
              <w:t>This will not require amendments to</w:t>
            </w:r>
            <w:r w:rsidRPr="007C4D65">
              <w:rPr>
                <w:rFonts w:asciiTheme="minorHAnsi" w:eastAsia="Calibri" w:hAnsiTheme="minorHAnsi" w:cstheme="minorHAnsi"/>
                <w:sz w:val="18"/>
                <w:szCs w:val="18"/>
                <w:lang w:val="en-US" w:eastAsia="x-none"/>
              </w:rPr>
              <w:t xml:space="preserve"> the general </w:t>
            </w:r>
            <w:r w:rsidR="00B07C89" w:rsidRPr="007C4D65">
              <w:rPr>
                <w:rFonts w:asciiTheme="minorHAnsi" w:eastAsia="Calibri" w:hAnsiTheme="minorHAnsi" w:cstheme="minorHAnsi"/>
                <w:sz w:val="18"/>
                <w:szCs w:val="18"/>
                <w:lang w:val="en-US" w:eastAsia="x-none"/>
              </w:rPr>
              <w:t>legislation</w:t>
            </w:r>
            <w:r w:rsidRPr="007C4D65">
              <w:rPr>
                <w:rFonts w:asciiTheme="minorHAnsi" w:eastAsia="Calibri" w:hAnsiTheme="minorHAnsi" w:cstheme="minorHAnsi"/>
                <w:sz w:val="18"/>
                <w:szCs w:val="18"/>
                <w:lang w:val="en-US" w:eastAsia="x-none"/>
              </w:rPr>
              <w:t xml:space="preserve"> </w:t>
            </w:r>
            <w:r w:rsidR="00B07C89" w:rsidRPr="007C4D65">
              <w:rPr>
                <w:rFonts w:asciiTheme="minorHAnsi" w:eastAsia="Calibri" w:hAnsiTheme="minorHAnsi" w:cstheme="minorHAnsi"/>
                <w:sz w:val="18"/>
                <w:szCs w:val="18"/>
                <w:lang w:val="en-US" w:eastAsia="x-none"/>
              </w:rPr>
              <w:t xml:space="preserve">of the </w:t>
            </w:r>
            <w:r w:rsidRPr="007C4D65">
              <w:rPr>
                <w:rFonts w:asciiTheme="minorHAnsi" w:eastAsia="Calibri" w:hAnsiTheme="minorHAnsi" w:cstheme="minorHAnsi"/>
                <w:sz w:val="18"/>
                <w:szCs w:val="18"/>
                <w:lang w:val="en-US" w:eastAsia="x-none"/>
              </w:rPr>
              <w:t>F</w:t>
            </w:r>
            <w:r w:rsidR="00B07C89" w:rsidRPr="007C4D65">
              <w:rPr>
                <w:rFonts w:asciiTheme="minorHAnsi" w:eastAsia="Calibri" w:hAnsiTheme="minorHAnsi" w:cstheme="minorHAnsi"/>
                <w:sz w:val="18"/>
                <w:szCs w:val="18"/>
                <w:lang w:val="en-US" w:eastAsia="x-none"/>
              </w:rPr>
              <w:t xml:space="preserve">ederation of </w:t>
            </w:r>
            <w:r w:rsidRPr="007C4D65">
              <w:rPr>
                <w:rFonts w:asciiTheme="minorHAnsi" w:eastAsia="Calibri" w:hAnsiTheme="minorHAnsi" w:cstheme="minorHAnsi"/>
                <w:sz w:val="18"/>
                <w:szCs w:val="18"/>
                <w:lang w:val="en-US" w:eastAsia="x-none"/>
              </w:rPr>
              <w:t xml:space="preserve">BiH (e-signatures </w:t>
            </w:r>
            <w:proofErr w:type="gramStart"/>
            <w:r w:rsidRPr="007C4D65">
              <w:rPr>
                <w:rFonts w:asciiTheme="minorHAnsi" w:eastAsia="Calibri" w:hAnsiTheme="minorHAnsi" w:cstheme="minorHAnsi"/>
                <w:sz w:val="18"/>
                <w:szCs w:val="18"/>
                <w:lang w:val="en-US" w:eastAsia="x-none"/>
              </w:rPr>
              <w:t>and etc.</w:t>
            </w:r>
            <w:proofErr w:type="gramEnd"/>
            <w:r w:rsidRPr="007C4D65">
              <w:rPr>
                <w:rFonts w:asciiTheme="minorHAnsi" w:eastAsia="Calibri" w:hAnsiTheme="minorHAnsi" w:cstheme="minorHAnsi"/>
                <w:sz w:val="18"/>
                <w:szCs w:val="18"/>
                <w:lang w:val="en-US" w:eastAsia="x-none"/>
              </w:rPr>
              <w:t xml:space="preserve">) but </w:t>
            </w:r>
            <w:r w:rsidR="00B07C89" w:rsidRPr="007C4D65">
              <w:rPr>
                <w:rFonts w:asciiTheme="minorHAnsi" w:eastAsia="Calibri" w:hAnsiTheme="minorHAnsi" w:cstheme="minorHAnsi"/>
                <w:sz w:val="18"/>
                <w:szCs w:val="18"/>
                <w:lang w:val="en-US" w:eastAsia="x-none"/>
              </w:rPr>
              <w:t>it will require amendments to r</w:t>
            </w:r>
            <w:r w:rsidRPr="007C4D65">
              <w:rPr>
                <w:rFonts w:asciiTheme="minorHAnsi" w:eastAsia="Calibri" w:hAnsiTheme="minorHAnsi" w:cstheme="minorHAnsi"/>
                <w:sz w:val="18"/>
                <w:szCs w:val="18"/>
                <w:lang w:val="en-US" w:eastAsia="x-none"/>
              </w:rPr>
              <w:t xml:space="preserve">egulations </w:t>
            </w:r>
            <w:r w:rsidR="00B07C89" w:rsidRPr="007C4D65">
              <w:rPr>
                <w:rFonts w:asciiTheme="minorHAnsi" w:eastAsia="Calibri" w:hAnsiTheme="minorHAnsi" w:cstheme="minorHAnsi"/>
                <w:sz w:val="18"/>
                <w:szCs w:val="18"/>
                <w:lang w:val="en-US" w:eastAsia="x-none"/>
              </w:rPr>
              <w:t>governing environmental permitting which concern</w:t>
            </w:r>
            <w:r w:rsidRPr="007C4D65">
              <w:rPr>
                <w:rFonts w:asciiTheme="minorHAnsi" w:eastAsia="Calibri" w:hAnsiTheme="minorHAnsi" w:cstheme="minorHAnsi"/>
                <w:sz w:val="18"/>
                <w:szCs w:val="18"/>
                <w:lang w:val="en-US" w:eastAsia="x-none"/>
              </w:rPr>
              <w:t xml:space="preserve"> submission of documentation and publishing etc.</w:t>
            </w:r>
          </w:p>
        </w:tc>
      </w:tr>
      <w:tr w:rsidR="00321717" w:rsidRPr="007C4D65" w14:paraId="55295AA3" w14:textId="77777777" w:rsidTr="00C919E8">
        <w:trPr>
          <w:trHeight w:val="567"/>
        </w:trPr>
        <w:tc>
          <w:tcPr>
            <w:tcW w:w="1359" w:type="pct"/>
            <w:shd w:val="clear" w:color="auto" w:fill="009D73"/>
            <w:vAlign w:val="center"/>
          </w:tcPr>
          <w:p w14:paraId="7A2F2B1C" w14:textId="77777777" w:rsidR="00321717" w:rsidRPr="007C4D65" w:rsidRDefault="00321717"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t xml:space="preserve">Strategic projects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E95D56B" w14:textId="77777777" w:rsidR="00321717" w:rsidRPr="007C4D65" w:rsidRDefault="00321717" w:rsidP="00321717">
            <w:pPr>
              <w:spacing w:before="40" w:after="40" w:line="276" w:lineRule="auto"/>
              <w:rPr>
                <w:rFonts w:asciiTheme="minorHAnsi" w:eastAsiaTheme="minorHAnsi" w:hAnsiTheme="minorHAnsi" w:cstheme="minorHAnsi"/>
                <w:sz w:val="18"/>
                <w:szCs w:val="18"/>
                <w:lang w:val="en-US" w:eastAsia="zh-TW"/>
              </w:rPr>
            </w:pPr>
            <w:r w:rsidRPr="007C4D65">
              <w:rPr>
                <w:rFonts w:asciiTheme="minorHAnsi" w:eastAsiaTheme="minorHAnsi" w:hAnsiTheme="minorHAnsi" w:cstheme="minorHAnsi"/>
                <w:sz w:val="18"/>
                <w:szCs w:val="18"/>
                <w:lang w:val="en-US" w:eastAsia="zh-TW"/>
              </w:rPr>
              <w:t>/</w:t>
            </w:r>
          </w:p>
        </w:tc>
      </w:tr>
      <w:tr w:rsidR="00321717" w:rsidRPr="007C4D65" w14:paraId="23962BBE" w14:textId="77777777" w:rsidTr="00C919E8">
        <w:trPr>
          <w:trHeight w:val="567"/>
        </w:trPr>
        <w:tc>
          <w:tcPr>
            <w:tcW w:w="135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tcPr>
          <w:p w14:paraId="2E87074B" w14:textId="77777777" w:rsidR="00321717" w:rsidRPr="007C4D65" w:rsidRDefault="00321717"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t>Indicators for monitoring of results</w:t>
            </w:r>
          </w:p>
        </w:tc>
        <w:tc>
          <w:tcPr>
            <w:tcW w:w="133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D2F8730" w14:textId="77777777" w:rsidR="00321717" w:rsidRPr="007C4D65" w:rsidRDefault="00321717" w:rsidP="00321717">
            <w:pPr>
              <w:spacing w:before="40" w:after="40" w:line="276" w:lineRule="auto"/>
              <w:jc w:val="center"/>
              <w:rPr>
                <w:rFonts w:asciiTheme="minorHAnsi" w:eastAsiaTheme="minorHAnsi" w:hAnsiTheme="minorHAnsi" w:cstheme="minorHAnsi"/>
                <w:b/>
                <w:color w:val="FFFFFF" w:themeColor="background1"/>
                <w:sz w:val="18"/>
                <w:szCs w:val="18"/>
                <w:lang w:val="en-US" w:eastAsia="en-US"/>
              </w:rPr>
            </w:pPr>
            <w:r w:rsidRPr="007C4D65">
              <w:rPr>
                <w:rFonts w:asciiTheme="minorHAnsi" w:eastAsiaTheme="minorHAnsi" w:hAnsiTheme="minorHAnsi" w:cstheme="minorHAnsi"/>
                <w:b/>
                <w:color w:val="FFFFFF" w:themeColor="background1"/>
                <w:sz w:val="18"/>
                <w:szCs w:val="18"/>
                <w:lang w:val="en-US" w:eastAsia="en-US"/>
              </w:rPr>
              <w:t>Indicators</w:t>
            </w:r>
          </w:p>
          <w:p w14:paraId="73620617" w14:textId="77777777" w:rsidR="00321717" w:rsidRPr="007C4D65" w:rsidRDefault="00321717" w:rsidP="00321717">
            <w:pPr>
              <w:spacing w:before="40" w:after="40" w:line="276" w:lineRule="auto"/>
              <w:jc w:val="center"/>
              <w:rPr>
                <w:rFonts w:asciiTheme="minorHAnsi" w:eastAsiaTheme="minorHAnsi" w:hAnsiTheme="minorHAnsi" w:cstheme="minorHAnsi"/>
                <w:b/>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w:t>
            </w:r>
            <w:proofErr w:type="gramStart"/>
            <w:r w:rsidRPr="007C4D65">
              <w:rPr>
                <w:rFonts w:asciiTheme="minorHAnsi" w:eastAsiaTheme="minorHAnsi" w:hAnsiTheme="minorHAnsi" w:cstheme="minorHAnsi"/>
                <w:b/>
                <w:color w:val="FFFFFF" w:themeColor="background1"/>
                <w:sz w:val="18"/>
                <w:szCs w:val="18"/>
                <w:lang w:val="en-US" w:eastAsia="en-US"/>
              </w:rPr>
              <w:t>outputs</w:t>
            </w:r>
            <w:proofErr w:type="gramEnd"/>
            <w:r w:rsidRPr="007C4D65">
              <w:rPr>
                <w:rFonts w:asciiTheme="minorHAnsi" w:eastAsiaTheme="minorHAnsi" w:hAnsiTheme="minorHAnsi" w:cstheme="minorHAnsi"/>
                <w:b/>
                <w:color w:val="FFFFFF" w:themeColor="background1"/>
                <w:sz w:val="18"/>
                <w:szCs w:val="18"/>
                <w:lang w:val="en-US" w:eastAsia="en-US"/>
              </w:rPr>
              <w:t xml:space="preserve"> and deliverables)</w:t>
            </w:r>
          </w:p>
        </w:tc>
        <w:tc>
          <w:tcPr>
            <w:tcW w:w="1248"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2908F67" w14:textId="77777777" w:rsidR="00321717" w:rsidRPr="007C4D65" w:rsidRDefault="00321717" w:rsidP="00321717">
            <w:pPr>
              <w:spacing w:before="40" w:after="40" w:line="276" w:lineRule="auto"/>
              <w:jc w:val="center"/>
              <w:rPr>
                <w:rFonts w:asciiTheme="minorHAnsi" w:eastAsiaTheme="minorHAnsi" w:hAnsiTheme="minorHAnsi" w:cstheme="minorHAnsi"/>
                <w:b/>
                <w:color w:val="FFFFFF" w:themeColor="background1"/>
                <w:sz w:val="18"/>
                <w:szCs w:val="18"/>
                <w:lang w:val="en-US" w:eastAsia="en-US"/>
              </w:rPr>
            </w:pPr>
            <w:r w:rsidRPr="007C4D65">
              <w:rPr>
                <w:rFonts w:asciiTheme="minorHAnsi" w:eastAsiaTheme="minorHAnsi" w:hAnsiTheme="minorHAnsi" w:cstheme="minorHAnsi"/>
                <w:b/>
                <w:color w:val="FFFFFF" w:themeColor="background1"/>
                <w:sz w:val="18"/>
                <w:szCs w:val="18"/>
                <w:lang w:val="en-US" w:eastAsia="en-US"/>
              </w:rPr>
              <w:t>Baseline value</w:t>
            </w:r>
          </w:p>
          <w:p w14:paraId="4EDA1D63" w14:textId="77777777" w:rsidR="00321717" w:rsidRPr="007C4D65" w:rsidRDefault="00321717" w:rsidP="00321717">
            <w:pPr>
              <w:spacing w:before="40" w:after="40" w:line="276" w:lineRule="auto"/>
              <w:jc w:val="center"/>
              <w:rPr>
                <w:rFonts w:asciiTheme="minorHAnsi" w:eastAsiaTheme="minorHAnsi" w:hAnsiTheme="minorHAnsi" w:cstheme="minorHAnsi"/>
                <w:b/>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0A636EF" w14:textId="77777777" w:rsidR="00321717" w:rsidRPr="007C4D65" w:rsidRDefault="00321717" w:rsidP="00321717">
            <w:pPr>
              <w:spacing w:before="40" w:after="40" w:line="276" w:lineRule="auto"/>
              <w:jc w:val="center"/>
              <w:rPr>
                <w:rFonts w:asciiTheme="minorHAnsi" w:eastAsiaTheme="minorHAnsi" w:hAnsiTheme="minorHAnsi" w:cstheme="minorHAnsi"/>
                <w:b/>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Target value</w:t>
            </w:r>
          </w:p>
        </w:tc>
      </w:tr>
      <w:tr w:rsidR="00321717" w:rsidRPr="007C4D65" w14:paraId="103AF03F" w14:textId="77777777" w:rsidTr="00C919E8">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318E559" w14:textId="77777777" w:rsidR="00321717" w:rsidRPr="007C4D65" w:rsidRDefault="00321717"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133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D23728D" w14:textId="533F0EEC" w:rsidR="00321717" w:rsidRPr="007C4D65" w:rsidRDefault="00321717">
            <w:pPr>
              <w:numPr>
                <w:ilvl w:val="0"/>
                <w:numId w:val="156"/>
              </w:numPr>
              <w:spacing w:before="40" w:after="40" w:line="276" w:lineRule="auto"/>
              <w:ind w:left="265" w:hanging="265"/>
              <w:contextualSpacing/>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Analysis of technical condition</w:t>
            </w:r>
            <w:r w:rsidR="00B07C89" w:rsidRPr="007C4D65">
              <w:rPr>
                <w:rFonts w:asciiTheme="minorHAnsi" w:eastAsia="Calibri" w:hAnsiTheme="minorHAnsi" w:cstheme="minorHAnsi"/>
                <w:sz w:val="18"/>
                <w:szCs w:val="18"/>
                <w:lang w:val="en-US" w:eastAsia="x-none"/>
              </w:rPr>
              <w:t>s</w:t>
            </w:r>
            <w:r w:rsidRPr="007C4D65">
              <w:rPr>
                <w:rFonts w:asciiTheme="minorHAnsi" w:eastAsia="Calibri" w:hAnsiTheme="minorHAnsi" w:cstheme="minorHAnsi"/>
                <w:sz w:val="18"/>
                <w:szCs w:val="18"/>
                <w:lang w:val="en-US" w:eastAsia="x-none"/>
              </w:rPr>
              <w:t xml:space="preserve"> and </w:t>
            </w:r>
            <w:r w:rsidR="00B07C89" w:rsidRPr="007C4D65">
              <w:rPr>
                <w:rFonts w:asciiTheme="minorHAnsi" w:eastAsia="Calibri" w:hAnsiTheme="minorHAnsi" w:cstheme="minorHAnsi"/>
                <w:sz w:val="18"/>
                <w:szCs w:val="18"/>
                <w:lang w:val="en-US" w:eastAsia="x-none"/>
              </w:rPr>
              <w:t>human</w:t>
            </w:r>
            <w:r w:rsidRPr="007C4D65">
              <w:rPr>
                <w:rFonts w:asciiTheme="minorHAnsi" w:eastAsia="Calibri" w:hAnsiTheme="minorHAnsi" w:cstheme="minorHAnsi"/>
                <w:sz w:val="18"/>
                <w:szCs w:val="18"/>
                <w:lang w:val="en-US" w:eastAsia="x-none"/>
              </w:rPr>
              <w:t xml:space="preserve"> capacities in the </w:t>
            </w:r>
            <w:r w:rsidR="001E6E20" w:rsidRPr="007C4D65">
              <w:rPr>
                <w:rFonts w:asciiTheme="minorHAnsi" w:eastAsia="Calibri" w:hAnsiTheme="minorHAnsi" w:cstheme="minorHAnsi"/>
                <w:sz w:val="18"/>
                <w:szCs w:val="18"/>
                <w:lang w:val="en-US" w:eastAsia="x-none"/>
              </w:rPr>
              <w:t>Federation Ministry</w:t>
            </w:r>
            <w:r w:rsidRPr="007C4D65">
              <w:rPr>
                <w:rFonts w:asciiTheme="minorHAnsi" w:eastAsia="Calibri" w:hAnsiTheme="minorHAnsi" w:cstheme="minorHAnsi"/>
                <w:sz w:val="18"/>
                <w:szCs w:val="18"/>
                <w:lang w:val="en-US" w:eastAsia="x-none"/>
              </w:rPr>
              <w:t xml:space="preserve"> of Environment and Tourism</w:t>
            </w:r>
          </w:p>
        </w:tc>
        <w:tc>
          <w:tcPr>
            <w:tcW w:w="124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3EE88A7" w14:textId="77777777" w:rsidR="00321717" w:rsidRPr="007C4D65" w:rsidRDefault="00321717" w:rsidP="0032171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Calibri" w:hAnsiTheme="minorHAnsi" w:cstheme="minorHAnsi"/>
                <w:sz w:val="18"/>
                <w:szCs w:val="18"/>
                <w:lang w:val="en-US" w:eastAsia="x-none"/>
              </w:rPr>
              <w:t xml:space="preserve">Analysis has not been done </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0FD4B35" w14:textId="6B27B1AB" w:rsidR="00321717" w:rsidRPr="007C4D65" w:rsidRDefault="00321717" w:rsidP="0032171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Calibri" w:hAnsiTheme="minorHAnsi" w:cstheme="minorHAnsi"/>
                <w:sz w:val="18"/>
                <w:szCs w:val="18"/>
                <w:lang w:val="en-US" w:eastAsia="x-none"/>
              </w:rPr>
              <w:t xml:space="preserve">Analysis of technical condition and </w:t>
            </w:r>
            <w:r w:rsidR="00B07C89" w:rsidRPr="007C4D65">
              <w:rPr>
                <w:rFonts w:asciiTheme="minorHAnsi" w:eastAsia="Calibri" w:hAnsiTheme="minorHAnsi" w:cstheme="minorHAnsi"/>
                <w:sz w:val="18"/>
                <w:szCs w:val="18"/>
                <w:lang w:val="en-US" w:eastAsia="x-none"/>
              </w:rPr>
              <w:t xml:space="preserve">human </w:t>
            </w:r>
            <w:r w:rsidRPr="007C4D65">
              <w:rPr>
                <w:rFonts w:asciiTheme="minorHAnsi" w:eastAsia="Calibri" w:hAnsiTheme="minorHAnsi" w:cstheme="minorHAnsi"/>
                <w:sz w:val="18"/>
                <w:szCs w:val="18"/>
                <w:lang w:val="en-US" w:eastAsia="x-none"/>
              </w:rPr>
              <w:t xml:space="preserve">capacities </w:t>
            </w:r>
            <w:r w:rsidR="00B07C89" w:rsidRPr="007C4D65">
              <w:rPr>
                <w:rFonts w:asciiTheme="minorHAnsi" w:eastAsia="Calibri" w:hAnsiTheme="minorHAnsi" w:cstheme="minorHAnsi"/>
                <w:sz w:val="18"/>
                <w:szCs w:val="18"/>
                <w:lang w:val="en-US" w:eastAsia="x-none"/>
              </w:rPr>
              <w:t>completed</w:t>
            </w:r>
            <w:r w:rsidRPr="007C4D65">
              <w:rPr>
                <w:rFonts w:asciiTheme="minorHAnsi" w:eastAsia="Calibri" w:hAnsiTheme="minorHAnsi" w:cstheme="minorHAnsi"/>
                <w:sz w:val="18"/>
                <w:szCs w:val="18"/>
                <w:lang w:val="en-US" w:eastAsia="x-none"/>
              </w:rPr>
              <w:t xml:space="preserve"> and recommendations for adjustment</w:t>
            </w:r>
            <w:r w:rsidR="00B07C89" w:rsidRPr="007C4D65">
              <w:rPr>
                <w:rFonts w:asciiTheme="minorHAnsi" w:eastAsia="Calibri" w:hAnsiTheme="minorHAnsi" w:cstheme="minorHAnsi"/>
                <w:sz w:val="18"/>
                <w:szCs w:val="18"/>
                <w:lang w:val="en-US" w:eastAsia="x-none"/>
              </w:rPr>
              <w:t>s</w:t>
            </w:r>
            <w:r w:rsidRPr="007C4D65">
              <w:rPr>
                <w:rFonts w:asciiTheme="minorHAnsi" w:eastAsia="Calibri" w:hAnsiTheme="minorHAnsi" w:cstheme="minorHAnsi"/>
                <w:sz w:val="18"/>
                <w:szCs w:val="18"/>
                <w:lang w:val="en-US" w:eastAsia="x-none"/>
              </w:rPr>
              <w:t xml:space="preserve"> defined (2024)</w:t>
            </w:r>
          </w:p>
        </w:tc>
      </w:tr>
      <w:tr w:rsidR="00321717" w:rsidRPr="007C4D65" w14:paraId="250CA4AF" w14:textId="77777777" w:rsidTr="00C919E8">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01F5902" w14:textId="77777777" w:rsidR="00321717" w:rsidRPr="007C4D65" w:rsidRDefault="00321717"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133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DA688F2" w14:textId="005B0A0F" w:rsidR="00321717" w:rsidRPr="007C4D65" w:rsidRDefault="00321717">
            <w:pPr>
              <w:numPr>
                <w:ilvl w:val="0"/>
                <w:numId w:val="156"/>
              </w:numPr>
              <w:spacing w:before="40" w:after="40" w:line="276" w:lineRule="auto"/>
              <w:ind w:left="265" w:hanging="265"/>
              <w:contextualSpacing/>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 xml:space="preserve">Status of </w:t>
            </w:r>
            <w:r w:rsidR="00B07C89" w:rsidRPr="007C4D65">
              <w:rPr>
                <w:rFonts w:asciiTheme="minorHAnsi" w:eastAsia="Calibri" w:hAnsiTheme="minorHAnsi" w:cstheme="minorHAnsi"/>
                <w:sz w:val="18"/>
                <w:szCs w:val="18"/>
                <w:lang w:val="en-US" w:eastAsia="x-none"/>
              </w:rPr>
              <w:t xml:space="preserve">the </w:t>
            </w:r>
            <w:r w:rsidRPr="007C4D65">
              <w:rPr>
                <w:rFonts w:asciiTheme="minorHAnsi" w:eastAsia="Calibri" w:hAnsiTheme="minorHAnsi" w:cstheme="minorHAnsi"/>
                <w:sz w:val="18"/>
                <w:szCs w:val="18"/>
                <w:lang w:val="en-US" w:eastAsia="x-none"/>
              </w:rPr>
              <w:t xml:space="preserve">implementation of </w:t>
            </w:r>
            <w:r w:rsidR="00B07C89" w:rsidRPr="007C4D65">
              <w:rPr>
                <w:rFonts w:asciiTheme="minorHAnsi" w:eastAsia="Calibri" w:hAnsiTheme="minorHAnsi" w:cstheme="minorHAnsi"/>
                <w:sz w:val="18"/>
                <w:szCs w:val="18"/>
                <w:lang w:val="en-US" w:eastAsia="x-none"/>
              </w:rPr>
              <w:t xml:space="preserve">the </w:t>
            </w:r>
            <w:r w:rsidRPr="007C4D65">
              <w:rPr>
                <w:rFonts w:asciiTheme="minorHAnsi" w:eastAsia="Calibri" w:hAnsiTheme="minorHAnsi" w:cstheme="minorHAnsi"/>
                <w:sz w:val="18"/>
                <w:szCs w:val="18"/>
                <w:lang w:val="en-US" w:eastAsia="x-none"/>
              </w:rPr>
              <w:t>recommendations for adjustment</w:t>
            </w:r>
            <w:r w:rsidR="00B07C89" w:rsidRPr="007C4D65">
              <w:rPr>
                <w:rFonts w:asciiTheme="minorHAnsi" w:eastAsia="Calibri" w:hAnsiTheme="minorHAnsi" w:cstheme="minorHAnsi"/>
                <w:sz w:val="18"/>
                <w:szCs w:val="18"/>
                <w:lang w:val="en-US" w:eastAsia="x-none"/>
              </w:rPr>
              <w:t>s</w:t>
            </w:r>
            <w:r w:rsidRPr="007C4D65">
              <w:rPr>
                <w:rFonts w:asciiTheme="minorHAnsi" w:eastAsia="Calibri" w:hAnsiTheme="minorHAnsi" w:cstheme="minorHAnsi"/>
                <w:sz w:val="18"/>
                <w:szCs w:val="18"/>
                <w:lang w:val="en-US" w:eastAsia="x-none"/>
              </w:rPr>
              <w:t xml:space="preserve"> of the </w:t>
            </w:r>
            <w:r w:rsidR="001E6E20" w:rsidRPr="007C4D65">
              <w:rPr>
                <w:rFonts w:asciiTheme="minorHAnsi" w:eastAsia="Calibri" w:hAnsiTheme="minorHAnsi" w:cstheme="minorHAnsi"/>
                <w:sz w:val="18"/>
                <w:szCs w:val="18"/>
                <w:lang w:val="en-US" w:eastAsia="x-none"/>
              </w:rPr>
              <w:t>Federation Ministry</w:t>
            </w:r>
            <w:r w:rsidRPr="007C4D65">
              <w:rPr>
                <w:rFonts w:asciiTheme="minorHAnsi" w:eastAsia="Calibri" w:hAnsiTheme="minorHAnsi" w:cstheme="minorHAnsi"/>
                <w:sz w:val="18"/>
                <w:szCs w:val="18"/>
                <w:lang w:val="en-US" w:eastAsia="x-none"/>
              </w:rPr>
              <w:t xml:space="preserve"> of Environment and Tourism </w:t>
            </w:r>
            <w:r w:rsidR="003033A4" w:rsidRPr="007C4D65">
              <w:rPr>
                <w:rFonts w:asciiTheme="minorHAnsi" w:eastAsia="Calibri" w:hAnsiTheme="minorHAnsi" w:cstheme="minorHAnsi"/>
                <w:sz w:val="18"/>
                <w:szCs w:val="18"/>
                <w:lang w:val="en-US" w:eastAsia="x-none"/>
              </w:rPr>
              <w:t>regarding integrated environmental permits</w:t>
            </w:r>
            <w:r w:rsidRPr="007C4D65">
              <w:rPr>
                <w:rFonts w:asciiTheme="minorHAnsi" w:eastAsia="Calibri" w:hAnsiTheme="minorHAnsi" w:cstheme="minorHAnsi"/>
                <w:sz w:val="18"/>
                <w:szCs w:val="18"/>
                <w:lang w:val="en-US" w:eastAsia="x-none"/>
              </w:rPr>
              <w:t>.</w:t>
            </w:r>
          </w:p>
        </w:tc>
        <w:tc>
          <w:tcPr>
            <w:tcW w:w="124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8E0543A" w14:textId="77777777" w:rsidR="00321717" w:rsidRPr="007C4D65" w:rsidRDefault="00321717" w:rsidP="0032171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10C0445" w14:textId="1D4A040C" w:rsidR="00321717" w:rsidRPr="007C4D65" w:rsidRDefault="00321717" w:rsidP="0032171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Calibri" w:hAnsiTheme="minorHAnsi" w:cstheme="minorHAnsi"/>
                <w:sz w:val="18"/>
                <w:szCs w:val="18"/>
                <w:lang w:val="en-US" w:eastAsia="x-none"/>
              </w:rPr>
              <w:t>The recommendations for adjustment</w:t>
            </w:r>
            <w:r w:rsidR="003033A4" w:rsidRPr="007C4D65">
              <w:rPr>
                <w:rFonts w:asciiTheme="minorHAnsi" w:eastAsia="Calibri" w:hAnsiTheme="minorHAnsi" w:cstheme="minorHAnsi"/>
                <w:sz w:val="18"/>
                <w:szCs w:val="18"/>
                <w:lang w:val="en-US" w:eastAsia="x-none"/>
              </w:rPr>
              <w:t>s</w:t>
            </w:r>
            <w:r w:rsidRPr="007C4D65">
              <w:rPr>
                <w:rFonts w:asciiTheme="minorHAnsi" w:eastAsia="Calibri" w:hAnsiTheme="minorHAnsi" w:cstheme="minorHAnsi"/>
                <w:sz w:val="18"/>
                <w:szCs w:val="18"/>
                <w:lang w:val="en-US" w:eastAsia="x-none"/>
              </w:rPr>
              <w:t xml:space="preserve"> of the </w:t>
            </w:r>
            <w:r w:rsidR="001E6E20" w:rsidRPr="007C4D65">
              <w:rPr>
                <w:rFonts w:asciiTheme="minorHAnsi" w:eastAsia="Calibri" w:hAnsiTheme="minorHAnsi" w:cstheme="minorHAnsi"/>
                <w:sz w:val="18"/>
                <w:szCs w:val="18"/>
                <w:lang w:val="en-US" w:eastAsia="x-none"/>
              </w:rPr>
              <w:t>Federation Ministry</w:t>
            </w:r>
            <w:r w:rsidRPr="007C4D65">
              <w:rPr>
                <w:rFonts w:asciiTheme="minorHAnsi" w:eastAsia="Calibri" w:hAnsiTheme="minorHAnsi" w:cstheme="minorHAnsi"/>
                <w:sz w:val="18"/>
                <w:szCs w:val="18"/>
                <w:lang w:val="en-US" w:eastAsia="x-none"/>
              </w:rPr>
              <w:t xml:space="preserve"> of Environment and Tourism </w:t>
            </w:r>
            <w:r w:rsidR="003033A4" w:rsidRPr="007C4D65">
              <w:rPr>
                <w:rFonts w:asciiTheme="minorHAnsi" w:eastAsia="Calibri" w:hAnsiTheme="minorHAnsi" w:cstheme="minorHAnsi"/>
                <w:sz w:val="18"/>
                <w:szCs w:val="18"/>
                <w:lang w:val="en-US" w:eastAsia="x-none"/>
              </w:rPr>
              <w:t xml:space="preserve">for integrated environmental permitting </w:t>
            </w:r>
            <w:r w:rsidRPr="007C4D65">
              <w:rPr>
                <w:rFonts w:asciiTheme="minorHAnsi" w:eastAsiaTheme="minorHAnsi" w:hAnsiTheme="minorHAnsi" w:cstheme="minorHAnsi"/>
                <w:sz w:val="18"/>
                <w:szCs w:val="18"/>
                <w:lang w:val="en-US" w:eastAsia="en-US" w:bidi="en-US"/>
              </w:rPr>
              <w:t>successfully implemented (2027)</w:t>
            </w:r>
          </w:p>
        </w:tc>
      </w:tr>
      <w:tr w:rsidR="00321717" w:rsidRPr="007C4D65" w14:paraId="74350AD8" w14:textId="77777777" w:rsidTr="00C919E8">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71168A57" w14:textId="77777777" w:rsidR="00321717" w:rsidRPr="007C4D65" w:rsidRDefault="00321717"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133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8C6115D" w14:textId="3B76F352" w:rsidR="00321717" w:rsidRPr="007C4D65" w:rsidRDefault="00321717">
            <w:pPr>
              <w:numPr>
                <w:ilvl w:val="0"/>
                <w:numId w:val="156"/>
              </w:numPr>
              <w:spacing w:before="40" w:after="40" w:line="276" w:lineRule="auto"/>
              <w:ind w:left="265" w:hanging="265"/>
              <w:contextualSpacing/>
              <w:rPr>
                <w:rFonts w:asciiTheme="minorHAnsi" w:eastAsiaTheme="minorHAnsi" w:hAnsiTheme="minorHAnsi" w:cstheme="minorHAnsi"/>
                <w:color w:val="000000"/>
                <w:sz w:val="18"/>
                <w:szCs w:val="18"/>
                <w:lang w:val="en-US" w:eastAsia="en-US"/>
              </w:rPr>
            </w:pPr>
            <w:r w:rsidRPr="007C4D65">
              <w:rPr>
                <w:rFonts w:asciiTheme="minorHAnsi" w:eastAsia="Calibri" w:hAnsiTheme="minorHAnsi" w:cstheme="minorHAnsi"/>
                <w:sz w:val="18"/>
                <w:szCs w:val="18"/>
                <w:lang w:val="en-US" w:eastAsia="x-none"/>
              </w:rPr>
              <w:t xml:space="preserve">Status of </w:t>
            </w:r>
            <w:r w:rsidR="003033A4" w:rsidRPr="007C4D65">
              <w:rPr>
                <w:rFonts w:asciiTheme="minorHAnsi" w:eastAsia="Calibri" w:hAnsiTheme="minorHAnsi" w:cstheme="minorHAnsi"/>
                <w:sz w:val="18"/>
                <w:szCs w:val="18"/>
                <w:lang w:val="en-US" w:eastAsia="x-none"/>
              </w:rPr>
              <w:t>the process aimed at creating conditions</w:t>
            </w:r>
            <w:r w:rsidRPr="007C4D65">
              <w:rPr>
                <w:rFonts w:asciiTheme="minorHAnsi" w:eastAsia="Calibri" w:hAnsiTheme="minorHAnsi" w:cstheme="minorHAnsi"/>
                <w:sz w:val="18"/>
                <w:szCs w:val="18"/>
                <w:lang w:val="en-US" w:eastAsia="x-none"/>
              </w:rPr>
              <w:t xml:space="preserve"> for digitalization of all the procedures  </w:t>
            </w:r>
          </w:p>
        </w:tc>
        <w:tc>
          <w:tcPr>
            <w:tcW w:w="124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194C3AD" w14:textId="5D616BFA" w:rsidR="00321717" w:rsidRPr="007C4D65" w:rsidRDefault="00321717" w:rsidP="0032171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 xml:space="preserve">There are no conditions for digitalization of procedures </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32381BD" w14:textId="382DD577" w:rsidR="00321717" w:rsidRPr="007C4D65" w:rsidRDefault="00321717" w:rsidP="0032171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 xml:space="preserve">The conditions for digitalization of procedures </w:t>
            </w:r>
            <w:r w:rsidR="003033A4" w:rsidRPr="007C4D65">
              <w:rPr>
                <w:rFonts w:asciiTheme="minorHAnsi" w:eastAsiaTheme="minorHAnsi" w:hAnsiTheme="minorHAnsi" w:cstheme="minorHAnsi"/>
                <w:sz w:val="18"/>
                <w:szCs w:val="18"/>
                <w:lang w:val="en-US" w:eastAsia="en-US" w:bidi="en-US"/>
              </w:rPr>
              <w:t>through a digital transformation of the</w:t>
            </w:r>
            <w:r w:rsidRPr="007C4D65">
              <w:rPr>
                <w:rFonts w:asciiTheme="minorHAnsi" w:eastAsiaTheme="minorHAnsi" w:hAnsiTheme="minorHAnsi" w:cstheme="minorHAnsi"/>
                <w:sz w:val="18"/>
                <w:szCs w:val="18"/>
                <w:lang w:val="en-US" w:eastAsia="en-US" w:bidi="en-US"/>
              </w:rPr>
              <w:t xml:space="preserve"> environmental </w:t>
            </w:r>
            <w:r w:rsidR="003033A4" w:rsidRPr="007C4D65">
              <w:rPr>
                <w:rFonts w:asciiTheme="minorHAnsi" w:eastAsiaTheme="minorHAnsi" w:hAnsiTheme="minorHAnsi" w:cstheme="minorHAnsi"/>
                <w:sz w:val="18"/>
                <w:szCs w:val="18"/>
                <w:lang w:val="en-US" w:eastAsia="en-US" w:bidi="en-US"/>
              </w:rPr>
              <w:t>permitting procedure</w:t>
            </w:r>
            <w:r w:rsidRPr="007C4D65">
              <w:rPr>
                <w:rFonts w:asciiTheme="minorHAnsi" w:eastAsiaTheme="minorHAnsi" w:hAnsiTheme="minorHAnsi" w:cstheme="minorHAnsi"/>
                <w:sz w:val="18"/>
                <w:szCs w:val="18"/>
                <w:lang w:val="en-US" w:eastAsia="en-US" w:bidi="en-US"/>
              </w:rPr>
              <w:t xml:space="preserve"> in the</w:t>
            </w:r>
            <w:r w:rsidRPr="007C4D65">
              <w:rPr>
                <w:rFonts w:asciiTheme="minorHAnsi" w:eastAsia="Calibri" w:hAnsiTheme="minorHAnsi" w:cstheme="minorHAnsi"/>
                <w:sz w:val="18"/>
                <w:szCs w:val="18"/>
                <w:lang w:val="en-US" w:eastAsia="x-none"/>
              </w:rPr>
              <w:t xml:space="preserve"> </w:t>
            </w:r>
            <w:r w:rsidR="001E6E20" w:rsidRPr="007C4D65">
              <w:rPr>
                <w:rFonts w:asciiTheme="minorHAnsi" w:eastAsiaTheme="minorHAnsi" w:hAnsiTheme="minorHAnsi" w:cstheme="minorHAnsi"/>
                <w:sz w:val="18"/>
                <w:szCs w:val="18"/>
                <w:lang w:val="en-US" w:eastAsia="en-US"/>
              </w:rPr>
              <w:t>Federation Ministry</w:t>
            </w:r>
            <w:r w:rsidRPr="007C4D65">
              <w:rPr>
                <w:rFonts w:asciiTheme="minorHAnsi" w:eastAsiaTheme="minorHAnsi" w:hAnsiTheme="minorHAnsi" w:cstheme="minorHAnsi"/>
                <w:sz w:val="18"/>
                <w:szCs w:val="18"/>
                <w:lang w:val="en-US" w:eastAsia="en-US"/>
              </w:rPr>
              <w:t xml:space="preserve"> of Environment and Tourism</w:t>
            </w:r>
            <w:r w:rsidRPr="007C4D65">
              <w:rPr>
                <w:rFonts w:asciiTheme="minorHAnsi" w:eastAsia="Calibri" w:hAnsiTheme="minorHAnsi" w:cstheme="minorHAnsi"/>
                <w:sz w:val="18"/>
                <w:szCs w:val="18"/>
                <w:lang w:val="en-US" w:eastAsia="x-none"/>
              </w:rPr>
              <w:t xml:space="preserve"> (2027)</w:t>
            </w:r>
          </w:p>
        </w:tc>
      </w:tr>
      <w:tr w:rsidR="00321717" w:rsidRPr="007C4D65" w14:paraId="1A800EC1" w14:textId="77777777" w:rsidTr="00C919E8">
        <w:trPr>
          <w:trHeight w:val="567"/>
        </w:trPr>
        <w:tc>
          <w:tcPr>
            <w:tcW w:w="1359" w:type="pct"/>
            <w:shd w:val="clear" w:color="auto" w:fill="009D73"/>
            <w:vAlign w:val="center"/>
          </w:tcPr>
          <w:p w14:paraId="31EE02D8" w14:textId="77777777" w:rsidR="00321717" w:rsidRPr="007C4D65" w:rsidRDefault="00321717"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2EFF469" w14:textId="5ABC416D" w:rsidR="00321717" w:rsidRPr="007C4D65" w:rsidRDefault="003033A4" w:rsidP="0032171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 xml:space="preserve">Enhanced environmental management and reduced pollution, </w:t>
            </w:r>
            <w:r w:rsidR="006C4680" w:rsidRPr="007C4D65">
              <w:rPr>
                <w:rFonts w:asciiTheme="minorHAnsi" w:eastAsiaTheme="minorHAnsi" w:hAnsiTheme="minorHAnsi" w:cstheme="minorHAnsi"/>
                <w:sz w:val="18"/>
                <w:szCs w:val="18"/>
                <w:lang w:val="en-US" w:eastAsia="en-US" w:bidi="en-US"/>
              </w:rPr>
              <w:t>minimized</w:t>
            </w:r>
            <w:r w:rsidRPr="007C4D65">
              <w:rPr>
                <w:rFonts w:asciiTheme="minorHAnsi" w:eastAsiaTheme="minorHAnsi" w:hAnsiTheme="minorHAnsi" w:cstheme="minorHAnsi"/>
                <w:sz w:val="18"/>
                <w:szCs w:val="18"/>
                <w:lang w:val="en-US" w:eastAsia="en-US" w:bidi="en-US"/>
              </w:rPr>
              <w:t xml:space="preserve"> adverse effects on the environment</w:t>
            </w:r>
          </w:p>
        </w:tc>
      </w:tr>
      <w:tr w:rsidR="00321717" w:rsidRPr="007C4D65" w14:paraId="33AE7887" w14:textId="77777777" w:rsidTr="00C919E8">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DC2B4D7" w14:textId="60F9CDB0" w:rsidR="00321717" w:rsidRPr="007C4D65" w:rsidRDefault="00963086"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Indicative financial projection, with specification of sources</w:t>
            </w:r>
            <w:r w:rsidR="00321717" w:rsidRPr="007C4D65">
              <w:rPr>
                <w:rFonts w:asciiTheme="minorHAnsi" w:eastAsiaTheme="minorHAnsi" w:hAnsiTheme="minorHAnsi" w:cstheme="minorHAnsi"/>
                <w:b/>
                <w:color w:val="FFFFFF" w:themeColor="background1"/>
                <w:sz w:val="18"/>
                <w:szCs w:val="18"/>
                <w:lang w:val="en-US" w:eastAsia="en-US"/>
              </w:rPr>
              <w:t xml:space="preserve">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3D39318" w14:textId="0A03F634" w:rsidR="003033A4" w:rsidRPr="007C4D65" w:rsidRDefault="00C224E3" w:rsidP="003033A4">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3033A4" w:rsidRPr="007C4D65">
              <w:rPr>
                <w:rFonts w:asciiTheme="minorHAnsi" w:hAnsiTheme="minorHAnsi" w:cstheme="minorHAnsi"/>
                <w:sz w:val="18"/>
                <w:szCs w:val="18"/>
                <w:lang w:val="hr-HR" w:bidi="en-US"/>
              </w:rPr>
              <w:t>BAM 727,881</w:t>
            </w:r>
          </w:p>
          <w:p w14:paraId="71A074D1" w14:textId="5508DBB2" w:rsidR="00321717" w:rsidRPr="007C4D65" w:rsidRDefault="009E6B20" w:rsidP="003033A4">
            <w:pPr>
              <w:spacing w:before="40" w:after="40" w:line="276" w:lineRule="auto"/>
              <w:rPr>
                <w:rFonts w:asciiTheme="minorHAnsi" w:eastAsiaTheme="minorHAnsi" w:hAnsiTheme="minorHAnsi" w:cstheme="minorHAnsi"/>
                <w:bCs/>
                <w:sz w:val="18"/>
                <w:szCs w:val="18"/>
                <w:lang w:val="en-US" w:eastAsia="en-US" w:bidi="en-US"/>
              </w:rPr>
            </w:pPr>
            <w:r w:rsidRPr="007C4D65">
              <w:rPr>
                <w:rFonts w:asciiTheme="minorHAnsi" w:hAnsiTheme="minorHAnsi" w:cstheme="minorHAnsi"/>
                <w:sz w:val="18"/>
                <w:szCs w:val="18"/>
                <w:lang w:val="hr-HR" w:bidi="en-US"/>
              </w:rPr>
              <w:t xml:space="preserve">Source: </w:t>
            </w:r>
            <w:r w:rsidR="003033A4" w:rsidRPr="007C4D65">
              <w:rPr>
                <w:rFonts w:asciiTheme="minorHAnsi" w:hAnsiTheme="minorHAnsi" w:cstheme="minorHAnsi"/>
                <w:sz w:val="18"/>
                <w:szCs w:val="18"/>
                <w:lang w:val="hr-HR" w:bidi="en-US"/>
              </w:rPr>
              <w:t xml:space="preserve">20%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3033A4" w:rsidRPr="007C4D65">
              <w:rPr>
                <w:rFonts w:asciiTheme="minorHAnsi" w:hAnsiTheme="minorHAnsi" w:cstheme="minorHAnsi"/>
                <w:sz w:val="18"/>
                <w:szCs w:val="18"/>
                <w:lang w:val="hr-HR" w:bidi="en-US"/>
              </w:rPr>
              <w:t xml:space="preserve">, 80% </w:t>
            </w:r>
            <w:r w:rsidR="00C224E3" w:rsidRPr="007C4D65">
              <w:rPr>
                <w:rFonts w:asciiTheme="minorHAnsi" w:hAnsiTheme="minorHAnsi" w:cstheme="minorHAnsi"/>
                <w:sz w:val="18"/>
                <w:szCs w:val="18"/>
                <w:lang w:val="hr-HR" w:bidi="en-US"/>
              </w:rPr>
              <w:t>funds from EU and other international donors</w:t>
            </w:r>
          </w:p>
        </w:tc>
      </w:tr>
      <w:tr w:rsidR="00321717" w:rsidRPr="007C4D65" w14:paraId="65E2C29F" w14:textId="77777777" w:rsidTr="00C919E8">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7529D99" w14:textId="77777777" w:rsidR="00321717" w:rsidRPr="007C4D65" w:rsidRDefault="00321717"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Period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774C628" w14:textId="1611514F" w:rsidR="00321717" w:rsidRPr="007C4D65" w:rsidRDefault="00321717" w:rsidP="0032171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2022 – 2027</w:t>
            </w:r>
          </w:p>
        </w:tc>
      </w:tr>
      <w:tr w:rsidR="00321717" w:rsidRPr="007C4D65" w14:paraId="4DFAA951" w14:textId="77777777" w:rsidTr="00C919E8">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75142A6" w14:textId="77777777" w:rsidR="00321717" w:rsidRPr="007C4D65" w:rsidRDefault="00321717"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Institution responsible for coordination of the implementation of the measure</w:t>
            </w:r>
          </w:p>
        </w:tc>
        <w:tc>
          <w:tcPr>
            <w:tcW w:w="3641" w:type="pct"/>
            <w:gridSpan w:val="3"/>
            <w:shd w:val="clear" w:color="auto" w:fill="FFFFFF"/>
            <w:vAlign w:val="center"/>
          </w:tcPr>
          <w:p w14:paraId="1376C1EF" w14:textId="5E0AEFA0" w:rsidR="00321717" w:rsidRPr="007C4D65" w:rsidRDefault="001E6E20" w:rsidP="0032171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rPr>
              <w:t>Federation Ministry</w:t>
            </w:r>
            <w:r w:rsidR="00321717" w:rsidRPr="007C4D65">
              <w:rPr>
                <w:rFonts w:asciiTheme="minorHAnsi" w:eastAsiaTheme="minorHAnsi" w:hAnsiTheme="minorHAnsi" w:cstheme="minorHAnsi"/>
                <w:sz w:val="18"/>
                <w:szCs w:val="18"/>
                <w:lang w:val="en-US" w:eastAsia="en-US"/>
              </w:rPr>
              <w:t xml:space="preserve"> of Environment and Tourism</w:t>
            </w:r>
          </w:p>
        </w:tc>
      </w:tr>
      <w:tr w:rsidR="00321717" w:rsidRPr="007C4D65" w14:paraId="19730FCD" w14:textId="77777777" w:rsidTr="00C919E8">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43E6ACF" w14:textId="77777777" w:rsidR="00321717" w:rsidRPr="007C4D65" w:rsidRDefault="00321717"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Implementing institutions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9944DA3" w14:textId="2D4E30F7" w:rsidR="00321717" w:rsidRPr="007C4D65" w:rsidRDefault="001E6E20" w:rsidP="0032171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rPr>
              <w:t>Federation Ministry</w:t>
            </w:r>
            <w:r w:rsidR="00321717" w:rsidRPr="007C4D65">
              <w:rPr>
                <w:rFonts w:asciiTheme="minorHAnsi" w:eastAsiaTheme="minorHAnsi" w:hAnsiTheme="minorHAnsi" w:cstheme="minorHAnsi"/>
                <w:sz w:val="18"/>
                <w:szCs w:val="18"/>
                <w:lang w:val="en-US" w:eastAsia="en-US"/>
              </w:rPr>
              <w:t xml:space="preserve"> of Environment and Tourism</w:t>
            </w:r>
            <w:r w:rsidR="00321717" w:rsidRPr="007C4D65">
              <w:rPr>
                <w:rFonts w:asciiTheme="minorHAnsi" w:eastAsiaTheme="minorHAnsi" w:hAnsiTheme="minorHAnsi" w:cstheme="minorHAnsi"/>
                <w:sz w:val="18"/>
                <w:szCs w:val="18"/>
                <w:lang w:val="en-US" w:eastAsia="en-US" w:bidi="en-US"/>
              </w:rPr>
              <w:t xml:space="preserve"> in cooperation with other </w:t>
            </w:r>
            <w:r w:rsidR="00326E4F" w:rsidRPr="007C4D65">
              <w:rPr>
                <w:rFonts w:asciiTheme="minorHAnsi" w:eastAsiaTheme="minorHAnsi" w:hAnsiTheme="minorHAnsi" w:cstheme="minorHAnsi"/>
                <w:sz w:val="18"/>
                <w:szCs w:val="18"/>
                <w:lang w:val="en-US" w:eastAsia="en-US" w:bidi="en-US"/>
              </w:rPr>
              <w:t>competent</w:t>
            </w:r>
            <w:r w:rsidR="00321717" w:rsidRPr="007C4D65">
              <w:rPr>
                <w:rFonts w:asciiTheme="minorHAnsi" w:eastAsiaTheme="minorHAnsi" w:hAnsiTheme="minorHAnsi" w:cstheme="minorHAnsi"/>
                <w:sz w:val="18"/>
                <w:szCs w:val="18"/>
                <w:lang w:val="en-US" w:eastAsia="en-US" w:bidi="en-US"/>
              </w:rPr>
              <w:t xml:space="preserve"> </w:t>
            </w:r>
            <w:r w:rsidR="00321717" w:rsidRPr="007C4D65">
              <w:rPr>
                <w:rFonts w:asciiTheme="minorHAnsi" w:eastAsia="Calibri" w:hAnsiTheme="minorHAnsi" w:cstheme="minorHAnsi"/>
                <w:sz w:val="18"/>
                <w:szCs w:val="18"/>
                <w:lang w:val="en-US" w:eastAsia="x-none"/>
              </w:rPr>
              <w:t>institutions</w:t>
            </w:r>
            <w:r w:rsidR="00326E4F" w:rsidRPr="007C4D65">
              <w:rPr>
                <w:rFonts w:asciiTheme="minorHAnsi" w:eastAsia="Calibri" w:hAnsiTheme="minorHAnsi" w:cstheme="minorHAnsi"/>
                <w:sz w:val="18"/>
                <w:szCs w:val="18"/>
                <w:lang w:val="en-US" w:eastAsia="x-none"/>
              </w:rPr>
              <w:t>, cantonal line ministries</w:t>
            </w:r>
          </w:p>
        </w:tc>
      </w:tr>
      <w:tr w:rsidR="00321717" w:rsidRPr="007C4D65" w14:paraId="0708A95F" w14:textId="77777777" w:rsidTr="00C919E8">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E31FE0B" w14:textId="58D2174E" w:rsidR="00321717" w:rsidRPr="007C4D65" w:rsidRDefault="00963086" w:rsidP="00321717">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Target groups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EEBCC48" w14:textId="3984B627" w:rsidR="00321717" w:rsidRPr="007C4D65" w:rsidRDefault="00321717" w:rsidP="00321717">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Entities applying for environmental permit</w:t>
            </w:r>
            <w:r w:rsidR="00326E4F" w:rsidRPr="007C4D65">
              <w:rPr>
                <w:rFonts w:asciiTheme="minorHAnsi" w:eastAsiaTheme="minorHAnsi" w:hAnsiTheme="minorHAnsi" w:cstheme="minorHAnsi"/>
                <w:sz w:val="18"/>
                <w:szCs w:val="18"/>
                <w:lang w:val="en-US" w:eastAsia="en-US" w:bidi="en-US"/>
              </w:rPr>
              <w:t>s</w:t>
            </w:r>
          </w:p>
        </w:tc>
      </w:tr>
    </w:tbl>
    <w:p w14:paraId="383EC6CB" w14:textId="1A72DB6C"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2"/>
        <w:gridCol w:w="3242"/>
        <w:gridCol w:w="2762"/>
      </w:tblGrid>
      <w:tr w:rsidR="00EA6E71" w:rsidRPr="007C4D65" w14:paraId="72278E72" w14:textId="77777777" w:rsidTr="00B6017F">
        <w:trPr>
          <w:trHeight w:val="567"/>
        </w:trPr>
        <w:tc>
          <w:tcPr>
            <w:tcW w:w="1359" w:type="pct"/>
            <w:shd w:val="clear" w:color="auto" w:fill="009D73"/>
            <w:vAlign w:val="center"/>
          </w:tcPr>
          <w:p w14:paraId="523910C7" w14:textId="77777777" w:rsidR="00EA6E71" w:rsidRPr="007C4D65" w:rsidRDefault="00EA6E71" w:rsidP="00EA6E71">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t xml:space="preserve">Link with strategic goal </w:t>
            </w:r>
          </w:p>
        </w:tc>
        <w:tc>
          <w:tcPr>
            <w:tcW w:w="3641" w:type="pct"/>
            <w:gridSpan w:val="3"/>
            <w:shd w:val="clear" w:color="auto" w:fill="FFFFFF"/>
            <w:vAlign w:val="center"/>
          </w:tcPr>
          <w:p w14:paraId="7245930F" w14:textId="77777777" w:rsidR="00EA6E71" w:rsidRPr="007C4D65" w:rsidRDefault="00EA6E71" w:rsidP="00EA6E71">
            <w:pPr>
              <w:spacing w:before="40" w:after="40" w:line="276" w:lineRule="auto"/>
              <w:rPr>
                <w:rFonts w:asciiTheme="minorHAnsi" w:eastAsia="Calibri" w:hAnsiTheme="minorHAnsi" w:cstheme="minorHAnsi"/>
                <w:b/>
                <w:bCs/>
                <w:sz w:val="18"/>
                <w:szCs w:val="18"/>
                <w:lang w:val="en-US" w:eastAsia="en-US"/>
              </w:rPr>
            </w:pPr>
            <w:r w:rsidRPr="007C4D65">
              <w:rPr>
                <w:rFonts w:asciiTheme="minorHAnsi" w:eastAsia="Calibri" w:hAnsiTheme="minorHAnsi" w:cstheme="minorHAnsi"/>
                <w:b/>
                <w:bCs/>
                <w:sz w:val="18"/>
                <w:szCs w:val="18"/>
                <w:lang w:val="en-US" w:eastAsia="en-US"/>
              </w:rPr>
              <w:t>7. Strengthening environmental management</w:t>
            </w:r>
          </w:p>
        </w:tc>
      </w:tr>
      <w:tr w:rsidR="00EA6E71" w:rsidRPr="007C4D65" w14:paraId="1184A351" w14:textId="77777777" w:rsidTr="00B6017F">
        <w:trPr>
          <w:trHeight w:val="567"/>
        </w:trPr>
        <w:tc>
          <w:tcPr>
            <w:tcW w:w="1359" w:type="pct"/>
            <w:shd w:val="clear" w:color="auto" w:fill="009D73"/>
            <w:vAlign w:val="center"/>
          </w:tcPr>
          <w:p w14:paraId="7290B01C" w14:textId="77777777" w:rsidR="00EA6E71" w:rsidRPr="007C4D65" w:rsidRDefault="00EA6E71" w:rsidP="00EA6E71">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t>Priority</w:t>
            </w:r>
          </w:p>
        </w:tc>
        <w:tc>
          <w:tcPr>
            <w:tcW w:w="3641" w:type="pct"/>
            <w:gridSpan w:val="3"/>
            <w:shd w:val="clear" w:color="auto" w:fill="FFFFFF"/>
            <w:vAlign w:val="center"/>
          </w:tcPr>
          <w:p w14:paraId="33C11663" w14:textId="7047E4CB" w:rsidR="00EA6E71" w:rsidRPr="007C4D65" w:rsidRDefault="00EA6E71" w:rsidP="00EA6E71">
            <w:pPr>
              <w:spacing w:before="40" w:after="40" w:line="276" w:lineRule="auto"/>
              <w:rPr>
                <w:rFonts w:asciiTheme="minorHAnsi" w:hAnsiTheme="minorHAnsi" w:cstheme="minorHAnsi"/>
                <w:b/>
                <w:bCs/>
                <w:sz w:val="18"/>
                <w:szCs w:val="18"/>
                <w:lang w:val="en-US" w:eastAsia="zh-TW"/>
              </w:rPr>
            </w:pPr>
            <w:r w:rsidRPr="007C4D65">
              <w:rPr>
                <w:rFonts w:asciiTheme="minorHAnsi" w:eastAsiaTheme="minorHAnsi" w:hAnsiTheme="minorHAnsi" w:cstheme="minorHAnsi"/>
                <w:b/>
                <w:bCs/>
                <w:sz w:val="18"/>
                <w:szCs w:val="18"/>
                <w:lang w:val="en-US" w:eastAsia="en-US"/>
              </w:rPr>
              <w:t xml:space="preserve">7.2 </w:t>
            </w:r>
            <w:r w:rsidRPr="007C4D65">
              <w:rPr>
                <w:rFonts w:asciiTheme="minorHAnsi" w:eastAsia="Calibri" w:hAnsiTheme="minorHAnsi" w:cstheme="minorHAnsi"/>
                <w:b/>
                <w:bCs/>
                <w:sz w:val="18"/>
                <w:szCs w:val="18"/>
                <w:lang w:eastAsia="en-US"/>
              </w:rPr>
              <w:t xml:space="preserve">Ensuring efficient implementation of the </w:t>
            </w:r>
            <w:r w:rsidR="008A23E5" w:rsidRPr="007C4D65">
              <w:rPr>
                <w:rFonts w:asciiTheme="minorHAnsi" w:eastAsia="Calibri" w:hAnsiTheme="minorHAnsi" w:cstheme="minorHAnsi"/>
                <w:b/>
                <w:bCs/>
                <w:sz w:val="18"/>
                <w:szCs w:val="18"/>
                <w:lang w:eastAsia="en-US"/>
              </w:rPr>
              <w:t>applicable</w:t>
            </w:r>
            <w:r w:rsidRPr="007C4D65">
              <w:rPr>
                <w:rFonts w:asciiTheme="minorHAnsi" w:eastAsia="Calibri" w:hAnsiTheme="minorHAnsi" w:cstheme="minorHAnsi"/>
                <w:b/>
                <w:bCs/>
                <w:sz w:val="18"/>
                <w:szCs w:val="18"/>
                <w:lang w:eastAsia="en-US"/>
              </w:rPr>
              <w:t xml:space="preserve"> legislation and international commitments</w:t>
            </w:r>
          </w:p>
        </w:tc>
      </w:tr>
      <w:tr w:rsidR="00EA6E71" w:rsidRPr="007C4D65" w14:paraId="709BB43C" w14:textId="77777777" w:rsidTr="00B6017F">
        <w:trPr>
          <w:trHeight w:val="567"/>
        </w:trPr>
        <w:tc>
          <w:tcPr>
            <w:tcW w:w="1359" w:type="pct"/>
            <w:shd w:val="clear" w:color="auto" w:fill="009D73"/>
            <w:vAlign w:val="center"/>
          </w:tcPr>
          <w:p w14:paraId="287A1B9D" w14:textId="77777777" w:rsidR="00EA6E71" w:rsidRPr="007C4D65" w:rsidRDefault="00EA6E71" w:rsidP="00EA6E71">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lastRenderedPageBreak/>
              <w:t xml:space="preserve">          Measure</w:t>
            </w:r>
          </w:p>
        </w:tc>
        <w:tc>
          <w:tcPr>
            <w:tcW w:w="3641" w:type="pct"/>
            <w:gridSpan w:val="3"/>
            <w:shd w:val="clear" w:color="auto" w:fill="FFFFFF"/>
            <w:vAlign w:val="center"/>
          </w:tcPr>
          <w:p w14:paraId="6F8230EC" w14:textId="0ED24812" w:rsidR="00EA6E71" w:rsidRPr="007C4D65" w:rsidRDefault="00EA6E71" w:rsidP="00EA6E71">
            <w:pPr>
              <w:spacing w:before="40" w:after="40" w:line="276" w:lineRule="auto"/>
              <w:rPr>
                <w:rFonts w:asciiTheme="minorHAnsi" w:eastAsia="Calibri" w:hAnsiTheme="minorHAnsi" w:cstheme="minorHAnsi"/>
                <w:b/>
                <w:sz w:val="18"/>
                <w:szCs w:val="18"/>
                <w:lang w:eastAsia="x-none"/>
              </w:rPr>
            </w:pPr>
            <w:r w:rsidRPr="007C4D65">
              <w:rPr>
                <w:rFonts w:asciiTheme="minorHAnsi" w:eastAsia="Calibri" w:hAnsiTheme="minorHAnsi" w:cstheme="minorHAnsi"/>
                <w:b/>
                <w:sz w:val="18"/>
                <w:szCs w:val="18"/>
                <w:lang w:eastAsia="x-none"/>
              </w:rPr>
              <w:t xml:space="preserve">7.2.4 </w:t>
            </w:r>
            <w:r w:rsidRPr="007C4D65">
              <w:rPr>
                <w:rFonts w:asciiTheme="minorHAnsi" w:eastAsia="Calibri" w:hAnsiTheme="minorHAnsi" w:cstheme="minorHAnsi"/>
                <w:b/>
                <w:sz w:val="18"/>
                <w:szCs w:val="18"/>
                <w:lang w:eastAsia="en-US"/>
              </w:rPr>
              <w:t xml:space="preserve">Preparation of </w:t>
            </w:r>
            <w:r w:rsidR="007934C2" w:rsidRPr="007C4D65">
              <w:rPr>
                <w:rFonts w:asciiTheme="minorHAnsi" w:eastAsia="Calibri" w:hAnsiTheme="minorHAnsi" w:cstheme="minorHAnsi"/>
                <w:b/>
                <w:sz w:val="18"/>
                <w:szCs w:val="18"/>
                <w:lang w:eastAsia="en-US"/>
              </w:rPr>
              <w:t>technical instructions</w:t>
            </w:r>
            <w:r w:rsidRPr="007C4D65">
              <w:rPr>
                <w:rFonts w:asciiTheme="minorHAnsi" w:eastAsia="Calibri" w:hAnsiTheme="minorHAnsi" w:cstheme="minorHAnsi"/>
                <w:b/>
                <w:sz w:val="18"/>
                <w:szCs w:val="18"/>
                <w:lang w:eastAsia="en-US"/>
              </w:rPr>
              <w:t xml:space="preserve"> for the best available techniques (BAT)</w:t>
            </w:r>
          </w:p>
        </w:tc>
      </w:tr>
      <w:tr w:rsidR="00EA6E71" w:rsidRPr="007C4D65" w14:paraId="219CB6E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05E4E38" w14:textId="77777777" w:rsidR="00EA6E71" w:rsidRPr="007C4D65" w:rsidRDefault="00EA6E71" w:rsidP="00EA6E71">
            <w:pPr>
              <w:spacing w:before="40" w:after="40" w:line="276" w:lineRule="auto"/>
              <w:ind w:left="406"/>
              <w:contextualSpacing/>
              <w:jc w:val="both"/>
              <w:rPr>
                <w:rFonts w:asciiTheme="minorHAnsi" w:eastAsia="Calibri" w:hAnsiTheme="minorHAnsi" w:cstheme="minorHAnsi"/>
                <w:sz w:val="18"/>
                <w:szCs w:val="18"/>
                <w:lang w:val="en-US" w:eastAsia="en-US"/>
              </w:rPr>
            </w:pPr>
            <w:r w:rsidRPr="007C4D65">
              <w:rPr>
                <w:rFonts w:asciiTheme="minorHAnsi" w:eastAsia="Calibri" w:hAnsiTheme="minorHAnsi" w:cstheme="minorHAnsi"/>
                <w:b/>
                <w:bCs/>
                <w:color w:val="FFFFFF"/>
                <w:sz w:val="18"/>
                <w:szCs w:val="18"/>
                <w:lang w:val="en-US" w:eastAsia="en-US" w:bidi="en-US"/>
              </w:rPr>
              <w:t>Description of the measure with the general area of intervention</w:t>
            </w:r>
          </w:p>
          <w:p w14:paraId="5CEB8DE3" w14:textId="77777777" w:rsidR="00EA6E71" w:rsidRPr="007C4D65" w:rsidRDefault="00EA6E71" w:rsidP="00EA6E71">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3641" w:type="pct"/>
            <w:gridSpan w:val="3"/>
            <w:shd w:val="clear" w:color="auto" w:fill="FFFFFF"/>
            <w:vAlign w:val="center"/>
          </w:tcPr>
          <w:p w14:paraId="53AF2B9C" w14:textId="518512B6" w:rsidR="00EA6E71" w:rsidRPr="007C4D65" w:rsidRDefault="00EA6E71" w:rsidP="00EA6E71">
            <w:pPr>
              <w:spacing w:after="160" w:line="259" w:lineRule="auto"/>
              <w:rPr>
                <w:rFonts w:asciiTheme="minorHAnsi" w:eastAsia="Calibri" w:hAnsiTheme="minorHAnsi" w:cstheme="minorHAnsi"/>
                <w:sz w:val="18"/>
                <w:szCs w:val="18"/>
                <w:lang w:eastAsia="en-US"/>
              </w:rPr>
            </w:pPr>
            <w:bookmarkStart w:id="321" w:name="_Hlk96372756"/>
            <w:r w:rsidRPr="007C4D65">
              <w:rPr>
                <w:rFonts w:asciiTheme="minorHAnsi" w:eastAsia="Calibri" w:hAnsiTheme="minorHAnsi" w:cstheme="minorHAnsi"/>
                <w:sz w:val="18"/>
                <w:szCs w:val="18"/>
                <w:lang w:eastAsia="en-US"/>
              </w:rPr>
              <w:t xml:space="preserve">The aim of this measure is </w:t>
            </w:r>
            <w:bookmarkEnd w:id="321"/>
            <w:r w:rsidRPr="007C4D65">
              <w:rPr>
                <w:rFonts w:asciiTheme="minorHAnsi" w:eastAsia="Calibri" w:hAnsiTheme="minorHAnsi" w:cstheme="minorHAnsi"/>
                <w:sz w:val="18"/>
                <w:szCs w:val="18"/>
                <w:lang w:eastAsia="en-US"/>
              </w:rPr>
              <w:t xml:space="preserve">to prepare </w:t>
            </w:r>
            <w:r w:rsidR="007934C2" w:rsidRPr="007C4D65">
              <w:rPr>
                <w:rFonts w:asciiTheme="minorHAnsi" w:eastAsia="Calibri" w:hAnsiTheme="minorHAnsi" w:cstheme="minorHAnsi"/>
                <w:sz w:val="18"/>
                <w:szCs w:val="18"/>
                <w:lang w:eastAsia="en-US"/>
              </w:rPr>
              <w:t>technical instructions</w:t>
            </w:r>
            <w:r w:rsidR="008A23E5" w:rsidRPr="007C4D65">
              <w:rPr>
                <w:rFonts w:asciiTheme="minorHAnsi" w:eastAsia="Calibri" w:hAnsiTheme="minorHAnsi" w:cstheme="minorHAnsi"/>
                <w:sz w:val="18"/>
                <w:szCs w:val="18"/>
                <w:lang w:eastAsia="en-US"/>
              </w:rPr>
              <w:t xml:space="preserve"> for</w:t>
            </w:r>
            <w:r w:rsidR="00A36259" w:rsidRPr="007C4D65">
              <w:rPr>
                <w:rFonts w:asciiTheme="minorHAnsi" w:eastAsia="Calibri" w:hAnsiTheme="minorHAnsi" w:cstheme="minorHAnsi"/>
                <w:sz w:val="18"/>
                <w:szCs w:val="18"/>
                <w:lang w:val="bs-Latn-BA" w:eastAsia="en-US"/>
              </w:rPr>
              <w:t xml:space="preserve"> </w:t>
            </w:r>
            <w:r w:rsidR="008A23E5" w:rsidRPr="007C4D65">
              <w:rPr>
                <w:rFonts w:asciiTheme="minorHAnsi" w:eastAsia="Calibri" w:hAnsiTheme="minorHAnsi" w:cstheme="minorHAnsi"/>
                <w:sz w:val="18"/>
                <w:szCs w:val="18"/>
                <w:lang w:eastAsia="en-US"/>
              </w:rPr>
              <w:t>the</w:t>
            </w:r>
            <w:r w:rsidRPr="007C4D65">
              <w:rPr>
                <w:rFonts w:asciiTheme="minorHAnsi" w:eastAsia="Calibri" w:hAnsiTheme="minorHAnsi" w:cstheme="minorHAnsi"/>
                <w:sz w:val="18"/>
                <w:szCs w:val="18"/>
                <w:lang w:eastAsia="en-US"/>
              </w:rPr>
              <w:t xml:space="preserve"> best available techniques (BAT) for the activities for which BAT </w:t>
            </w:r>
            <w:r w:rsidR="008A23E5" w:rsidRPr="007C4D65">
              <w:rPr>
                <w:rFonts w:asciiTheme="minorHAnsi" w:eastAsia="Calibri" w:hAnsiTheme="minorHAnsi" w:cstheme="minorHAnsi"/>
                <w:sz w:val="18"/>
                <w:szCs w:val="18"/>
                <w:lang w:eastAsia="en-US"/>
              </w:rPr>
              <w:t>are</w:t>
            </w:r>
            <w:r w:rsidRPr="007C4D65">
              <w:rPr>
                <w:rFonts w:asciiTheme="minorHAnsi" w:eastAsia="Calibri" w:hAnsiTheme="minorHAnsi" w:cstheme="minorHAnsi"/>
                <w:sz w:val="18"/>
                <w:szCs w:val="18"/>
                <w:lang w:eastAsia="en-US"/>
              </w:rPr>
              <w:t xml:space="preserve"> defined, according to priorities.</w:t>
            </w:r>
          </w:p>
          <w:p w14:paraId="0228D9F7" w14:textId="77777777" w:rsidR="00EA6E71" w:rsidRPr="007C4D65" w:rsidRDefault="00EA6E71" w:rsidP="00EA6E71">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General areas of intervention</w:t>
            </w:r>
            <w:r w:rsidRPr="007C4D65">
              <w:rPr>
                <w:rFonts w:asciiTheme="minorHAnsi" w:eastAsia="Calibri" w:hAnsiTheme="minorHAnsi" w:cstheme="minorHAnsi"/>
                <w:sz w:val="18"/>
                <w:szCs w:val="18"/>
                <w:lang w:eastAsia="x-none"/>
              </w:rPr>
              <w:t>:</w:t>
            </w:r>
          </w:p>
          <w:p w14:paraId="743E877C" w14:textId="1E93861B" w:rsidR="00EA6E71" w:rsidRPr="007C4D65" w:rsidRDefault="008A23E5" w:rsidP="008A23E5">
            <w:pPr>
              <w:spacing w:before="40" w:after="40" w:line="276" w:lineRule="auto"/>
              <w:contextualSpacing/>
              <w:rPr>
                <w:rFonts w:asciiTheme="minorHAnsi" w:eastAsia="Calibri" w:hAnsiTheme="minorHAnsi" w:cstheme="minorHAnsi"/>
                <w:sz w:val="18"/>
                <w:szCs w:val="18"/>
                <w:lang w:val="bs-Latn-BA" w:eastAsia="x-none"/>
              </w:rPr>
            </w:pPr>
            <w:r w:rsidRPr="007C4D65">
              <w:rPr>
                <w:rFonts w:asciiTheme="minorHAnsi" w:eastAsia="Calibri" w:hAnsiTheme="minorHAnsi" w:cstheme="minorHAnsi"/>
                <w:sz w:val="18"/>
                <w:szCs w:val="18"/>
                <w:lang w:eastAsia="x-none"/>
              </w:rPr>
              <w:t>1</w:t>
            </w:r>
            <w:r w:rsidRPr="007C4D65">
              <w:rPr>
                <w:rFonts w:asciiTheme="minorHAnsi" w:eastAsia="Calibri" w:hAnsiTheme="minorHAnsi" w:cstheme="minorHAnsi"/>
                <w:sz w:val="18"/>
                <w:szCs w:val="18"/>
                <w:lang w:val="bs-Latn-BA" w:eastAsia="x-none"/>
              </w:rPr>
              <w:t xml:space="preserve">) </w:t>
            </w:r>
            <w:r w:rsidR="00EA6E71" w:rsidRPr="007C4D65">
              <w:rPr>
                <w:rFonts w:asciiTheme="minorHAnsi" w:eastAsia="Calibri" w:hAnsiTheme="minorHAnsi" w:cstheme="minorHAnsi"/>
                <w:sz w:val="18"/>
                <w:szCs w:val="18"/>
                <w:lang w:eastAsia="x-none"/>
              </w:rPr>
              <w:t xml:space="preserve">Adoption of prepared </w:t>
            </w:r>
            <w:r w:rsidR="007934C2" w:rsidRPr="007C4D65">
              <w:rPr>
                <w:rFonts w:asciiTheme="minorHAnsi" w:eastAsia="Calibri" w:hAnsiTheme="minorHAnsi" w:cstheme="minorHAnsi"/>
                <w:sz w:val="18"/>
                <w:szCs w:val="18"/>
                <w:lang w:eastAsia="x-none"/>
              </w:rPr>
              <w:t>technical instructions</w:t>
            </w:r>
            <w:r w:rsidR="00EA6E71" w:rsidRPr="007C4D65">
              <w:rPr>
                <w:rFonts w:asciiTheme="minorHAnsi" w:eastAsia="Calibri" w:hAnsiTheme="minorHAnsi" w:cstheme="minorHAnsi"/>
                <w:sz w:val="18"/>
                <w:szCs w:val="18"/>
                <w:lang w:eastAsia="x-none"/>
              </w:rPr>
              <w:t xml:space="preserve"> for </w:t>
            </w:r>
            <w:r w:rsidRPr="007C4D65">
              <w:rPr>
                <w:rFonts w:asciiTheme="minorHAnsi" w:eastAsia="Calibri" w:hAnsiTheme="minorHAnsi" w:cstheme="minorHAnsi"/>
                <w:sz w:val="18"/>
                <w:szCs w:val="18"/>
                <w:lang w:eastAsia="x-none"/>
              </w:rPr>
              <w:t xml:space="preserve">the </w:t>
            </w:r>
            <w:r w:rsidR="00EA6E71" w:rsidRPr="007C4D65">
              <w:rPr>
                <w:rFonts w:asciiTheme="minorHAnsi" w:eastAsia="Calibri" w:hAnsiTheme="minorHAnsi" w:cstheme="minorHAnsi"/>
                <w:sz w:val="18"/>
                <w:szCs w:val="18"/>
                <w:lang w:eastAsia="x-none"/>
              </w:rPr>
              <w:t xml:space="preserve">best available techniques for the following sectors: </w:t>
            </w:r>
            <w:r w:rsidR="00EA6E71" w:rsidRPr="007C4D65">
              <w:rPr>
                <w:rFonts w:asciiTheme="minorHAnsi" w:eastAsia="Calibri" w:hAnsiTheme="minorHAnsi" w:cstheme="minorHAnsi"/>
                <w:sz w:val="18"/>
                <w:szCs w:val="18"/>
                <w:lang w:eastAsia="en-US"/>
              </w:rPr>
              <w:t xml:space="preserve">stone extraction, large combustion plants: surface protection of metal and plastic, melted metal coating and </w:t>
            </w:r>
            <w:proofErr w:type="gramStart"/>
            <w:r w:rsidR="00EA6E71" w:rsidRPr="007C4D65">
              <w:rPr>
                <w:rFonts w:asciiTheme="minorHAnsi" w:eastAsia="Calibri" w:hAnsiTheme="minorHAnsi" w:cstheme="minorHAnsi"/>
                <w:sz w:val="18"/>
                <w:szCs w:val="18"/>
                <w:lang w:eastAsia="en-US"/>
              </w:rPr>
              <w:t>monitoring</w:t>
            </w:r>
            <w:r w:rsidR="002D7967" w:rsidRPr="007C4D65">
              <w:rPr>
                <w:rFonts w:asciiTheme="minorHAnsi" w:eastAsia="Calibri" w:hAnsiTheme="minorHAnsi" w:cstheme="minorHAnsi"/>
                <w:sz w:val="18"/>
                <w:szCs w:val="18"/>
                <w:lang w:eastAsia="en-US"/>
              </w:rPr>
              <w:t>;</w:t>
            </w:r>
            <w:proofErr w:type="gramEnd"/>
          </w:p>
          <w:p w14:paraId="1DE08714" w14:textId="52F5D36E" w:rsidR="00EA6E71" w:rsidRPr="007C4D65" w:rsidRDefault="008A23E5" w:rsidP="008A23E5">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2) </w:t>
            </w:r>
            <w:r w:rsidR="00EA6E71" w:rsidRPr="007C4D65">
              <w:rPr>
                <w:rFonts w:asciiTheme="minorHAnsi" w:eastAsia="Calibri" w:hAnsiTheme="minorHAnsi" w:cstheme="minorHAnsi"/>
                <w:sz w:val="18"/>
                <w:szCs w:val="18"/>
                <w:lang w:eastAsia="x-none"/>
              </w:rPr>
              <w:t xml:space="preserve">Pursuant to the </w:t>
            </w:r>
            <w:r w:rsidR="00EA6E71" w:rsidRPr="007C4D65">
              <w:rPr>
                <w:rFonts w:asciiTheme="minorHAnsi" w:eastAsia="Calibri" w:hAnsiTheme="minorHAnsi" w:cstheme="minorHAnsi"/>
                <w:sz w:val="18"/>
                <w:szCs w:val="18"/>
                <w:lang w:eastAsia="en-US"/>
              </w:rPr>
              <w:t>Law on Environmental Protection</w:t>
            </w:r>
            <w:r w:rsidR="00EA6E71" w:rsidRPr="007C4D65">
              <w:rPr>
                <w:rFonts w:asciiTheme="minorHAnsi" w:eastAsia="Calibri" w:hAnsiTheme="minorHAnsi" w:cstheme="minorHAnsi"/>
                <w:sz w:val="18"/>
                <w:szCs w:val="18"/>
                <w:lang w:eastAsia="x-none"/>
              </w:rPr>
              <w:t xml:space="preserve"> and Rulebook on adoption of the best available techniques </w:t>
            </w:r>
            <w:r w:rsidRPr="007C4D65">
              <w:rPr>
                <w:rFonts w:asciiTheme="minorHAnsi" w:eastAsia="Calibri" w:hAnsiTheme="minorHAnsi" w:cstheme="minorHAnsi"/>
                <w:sz w:val="18"/>
                <w:szCs w:val="18"/>
                <w:lang w:eastAsia="x-none"/>
              </w:rPr>
              <w:t>which contribute to compliance with</w:t>
            </w:r>
            <w:r w:rsidR="00EA6E71" w:rsidRPr="007C4D65">
              <w:rPr>
                <w:rFonts w:asciiTheme="minorHAnsi" w:eastAsia="Calibri" w:hAnsiTheme="minorHAnsi" w:cstheme="minorHAnsi"/>
                <w:sz w:val="18"/>
                <w:szCs w:val="18"/>
                <w:lang w:eastAsia="x-none"/>
              </w:rPr>
              <w:t xml:space="preserve"> standards of environmental quality, the preparation of </w:t>
            </w:r>
            <w:r w:rsidR="007934C2" w:rsidRPr="007C4D65">
              <w:rPr>
                <w:rFonts w:asciiTheme="minorHAnsi" w:eastAsia="Calibri" w:hAnsiTheme="minorHAnsi" w:cstheme="minorHAnsi"/>
                <w:sz w:val="18"/>
                <w:szCs w:val="18"/>
                <w:lang w:eastAsia="x-none"/>
              </w:rPr>
              <w:t>technical instructions</w:t>
            </w:r>
            <w:r w:rsidR="00EA6E71" w:rsidRPr="007C4D65">
              <w:rPr>
                <w:rFonts w:asciiTheme="minorHAnsi" w:eastAsia="Calibri" w:hAnsiTheme="minorHAnsi" w:cstheme="minorHAnsi"/>
                <w:sz w:val="18"/>
                <w:szCs w:val="18"/>
                <w:lang w:eastAsia="x-none"/>
              </w:rPr>
              <w:t xml:space="preserve"> for the activities  for which BAT are </w:t>
            </w:r>
            <w:r w:rsidRPr="007C4D65">
              <w:rPr>
                <w:rFonts w:asciiTheme="minorHAnsi" w:eastAsia="Calibri" w:hAnsiTheme="minorHAnsi" w:cstheme="minorHAnsi"/>
                <w:sz w:val="18"/>
                <w:szCs w:val="18"/>
                <w:lang w:eastAsia="x-none"/>
              </w:rPr>
              <w:t>defined</w:t>
            </w:r>
            <w:r w:rsidR="00EA6E71" w:rsidRPr="007C4D65">
              <w:rPr>
                <w:rFonts w:asciiTheme="minorHAnsi" w:eastAsia="Calibri" w:hAnsiTheme="minorHAnsi" w:cstheme="minorHAnsi"/>
                <w:sz w:val="18"/>
                <w:szCs w:val="18"/>
                <w:lang w:eastAsia="x-none"/>
              </w:rPr>
              <w:t xml:space="preserve">, by priorities: poultry slaughterhouses and processing, production of </w:t>
            </w:r>
            <w:r w:rsidRPr="007C4D65">
              <w:rPr>
                <w:rFonts w:asciiTheme="minorHAnsi" w:eastAsia="Calibri" w:hAnsiTheme="minorHAnsi" w:cstheme="minorHAnsi"/>
                <w:sz w:val="18"/>
                <w:szCs w:val="18"/>
                <w:lang w:eastAsia="x-none"/>
              </w:rPr>
              <w:t>beverage</w:t>
            </w:r>
            <w:r w:rsidR="00EA6E71" w:rsidRPr="007C4D65">
              <w:rPr>
                <w:rFonts w:asciiTheme="minorHAnsi" w:eastAsia="Calibri" w:hAnsiTheme="minorHAnsi" w:cstheme="minorHAnsi"/>
                <w:sz w:val="18"/>
                <w:szCs w:val="18"/>
                <w:lang w:eastAsia="x-none"/>
              </w:rPr>
              <w:t>,</w:t>
            </w:r>
            <w:r w:rsidRPr="007C4D65">
              <w:rPr>
                <w:rFonts w:asciiTheme="minorHAnsi" w:eastAsia="Calibri" w:hAnsiTheme="minorHAnsi" w:cstheme="minorHAnsi"/>
                <w:sz w:val="18"/>
                <w:szCs w:val="18"/>
                <w:lang w:eastAsia="x-none"/>
              </w:rPr>
              <w:t xml:space="preserve"> </w:t>
            </w:r>
            <w:r w:rsidR="00EA6E71" w:rsidRPr="007C4D65">
              <w:rPr>
                <w:rFonts w:asciiTheme="minorHAnsi" w:eastAsia="Calibri" w:hAnsiTheme="minorHAnsi" w:cstheme="minorHAnsi"/>
                <w:sz w:val="18"/>
                <w:szCs w:val="18"/>
                <w:lang w:eastAsia="x-none"/>
              </w:rPr>
              <w:t>vine production, baked goods and confectionery products, cattle breeding, poultry farming, growing crops, pre-processing or dyeing of fibres or textile, tanning of leather of large and small cattle, production of cellulose from wood or similar fibrous materials, paper and cardboard production, plants for cellulose processing, wood processing and production of finished wood product, production of detergents, paint and varnishes production, production of elastomers and peroxide, production of ceramic products by baking, achieving energy efficiency in industry and building, waste incineration</w:t>
            </w:r>
            <w:r w:rsidR="002D7967" w:rsidRPr="007C4D65">
              <w:rPr>
                <w:rFonts w:asciiTheme="minorHAnsi" w:eastAsia="Calibri" w:hAnsiTheme="minorHAnsi" w:cstheme="minorHAnsi"/>
                <w:sz w:val="18"/>
                <w:szCs w:val="18"/>
                <w:lang w:eastAsia="x-none"/>
              </w:rPr>
              <w:t>;</w:t>
            </w:r>
          </w:p>
          <w:p w14:paraId="49AACB61" w14:textId="5F5A3231" w:rsidR="00EA6E71" w:rsidRPr="007C4D65" w:rsidRDefault="008A23E5" w:rsidP="008A23E5">
            <w:pPr>
              <w:spacing w:before="40" w:after="40" w:line="276" w:lineRule="auto"/>
              <w:contextualSpacing/>
              <w:jc w:val="both"/>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3) </w:t>
            </w:r>
            <w:r w:rsidR="00EA6E71" w:rsidRPr="007C4D65">
              <w:rPr>
                <w:rFonts w:asciiTheme="minorHAnsi" w:eastAsia="Calibri" w:hAnsiTheme="minorHAnsi" w:cstheme="minorHAnsi"/>
                <w:sz w:val="18"/>
                <w:szCs w:val="18"/>
                <w:lang w:eastAsia="x-none"/>
              </w:rPr>
              <w:t xml:space="preserve">Periodical update of already adopted </w:t>
            </w:r>
            <w:r w:rsidR="007934C2" w:rsidRPr="007C4D65">
              <w:rPr>
                <w:rFonts w:asciiTheme="minorHAnsi" w:eastAsia="Calibri" w:hAnsiTheme="minorHAnsi" w:cstheme="minorHAnsi"/>
                <w:sz w:val="18"/>
                <w:szCs w:val="18"/>
                <w:lang w:eastAsia="x-none"/>
              </w:rPr>
              <w:t>technical instructions</w:t>
            </w:r>
            <w:r w:rsidR="00EA6E71" w:rsidRPr="007C4D65">
              <w:rPr>
                <w:rFonts w:asciiTheme="minorHAnsi" w:eastAsia="Calibri" w:hAnsiTheme="minorHAnsi" w:cstheme="minorHAnsi"/>
                <w:sz w:val="18"/>
                <w:szCs w:val="18"/>
                <w:lang w:eastAsia="x-none"/>
              </w:rPr>
              <w:t xml:space="preserve"> for the following sectors: fruit and vegetable</w:t>
            </w:r>
            <w:r w:rsidRPr="007C4D65">
              <w:rPr>
                <w:rFonts w:asciiTheme="minorHAnsi" w:eastAsia="Calibri" w:hAnsiTheme="minorHAnsi" w:cstheme="minorHAnsi"/>
                <w:sz w:val="18"/>
                <w:szCs w:val="18"/>
                <w:lang w:eastAsia="x-none"/>
              </w:rPr>
              <w:t>s</w:t>
            </w:r>
            <w:r w:rsidR="00EA6E71" w:rsidRPr="007C4D65">
              <w:rPr>
                <w:rFonts w:asciiTheme="minorHAnsi" w:eastAsia="Calibri" w:hAnsiTheme="minorHAnsi" w:cstheme="minorHAnsi"/>
                <w:sz w:val="18"/>
                <w:szCs w:val="18"/>
                <w:lang w:eastAsia="x-none"/>
              </w:rPr>
              <w:t>, beer production, milk production and dairy products, fish farming and processing, livestock slaughterhouses, meat processing.</w:t>
            </w:r>
          </w:p>
          <w:p w14:paraId="1429C5FA" w14:textId="3C6AFA0E" w:rsidR="00EA6E71" w:rsidRPr="007C4D65" w:rsidRDefault="008A23E5" w:rsidP="002D7967">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 xml:space="preserve">4) </w:t>
            </w:r>
            <w:r w:rsidR="00EA6E71" w:rsidRPr="007C4D65">
              <w:rPr>
                <w:rFonts w:asciiTheme="minorHAnsi" w:eastAsia="Calibri" w:hAnsiTheme="minorHAnsi" w:cstheme="minorHAnsi"/>
                <w:sz w:val="18"/>
                <w:szCs w:val="18"/>
                <w:lang w:eastAsia="en-US"/>
              </w:rPr>
              <w:t xml:space="preserve">Ensuring access to the reference BAT documents via link of the </w:t>
            </w:r>
            <w:r w:rsidR="001E6E20" w:rsidRPr="007C4D65">
              <w:rPr>
                <w:rFonts w:asciiTheme="minorHAnsi" w:eastAsia="Calibri" w:hAnsiTheme="minorHAnsi" w:cstheme="minorHAnsi"/>
                <w:sz w:val="18"/>
                <w:szCs w:val="18"/>
                <w:lang w:eastAsia="en-US"/>
              </w:rPr>
              <w:t>Federation Ministry</w:t>
            </w:r>
            <w:r w:rsidR="00EA6E71" w:rsidRPr="007C4D65">
              <w:rPr>
                <w:rFonts w:asciiTheme="minorHAnsi" w:eastAsia="Calibri" w:hAnsiTheme="minorHAnsi" w:cstheme="minorHAnsi"/>
                <w:sz w:val="18"/>
                <w:szCs w:val="18"/>
                <w:lang w:eastAsia="en-US"/>
              </w:rPr>
              <w:t xml:space="preserve"> of Environment and Tourism</w:t>
            </w:r>
            <w:r w:rsidR="00EA6E71" w:rsidRPr="007C4D65">
              <w:rPr>
                <w:rFonts w:asciiTheme="minorHAnsi" w:eastAsia="Calibri" w:hAnsiTheme="minorHAnsi" w:cstheme="minorHAnsi"/>
                <w:sz w:val="18"/>
                <w:szCs w:val="18"/>
                <w:lang w:eastAsia="x-none"/>
              </w:rPr>
              <w:t xml:space="preserve"> </w:t>
            </w:r>
            <w:r w:rsidR="006C4680" w:rsidRPr="007C4D65">
              <w:rPr>
                <w:rFonts w:asciiTheme="minorHAnsi" w:eastAsia="Calibri" w:hAnsiTheme="minorHAnsi" w:cstheme="minorHAnsi"/>
                <w:sz w:val="18"/>
                <w:szCs w:val="18"/>
                <w:lang w:eastAsia="en-US"/>
              </w:rPr>
              <w:t>with links to the</w:t>
            </w:r>
            <w:r w:rsidR="00EA6E71" w:rsidRPr="007C4D65">
              <w:rPr>
                <w:rFonts w:asciiTheme="minorHAnsi" w:eastAsia="Calibri" w:hAnsiTheme="minorHAnsi" w:cstheme="minorHAnsi"/>
                <w:sz w:val="18"/>
                <w:szCs w:val="18"/>
                <w:lang w:eastAsia="en-US"/>
              </w:rPr>
              <w:t xml:space="preserve"> original documents (in English language) or </w:t>
            </w:r>
            <w:r w:rsidR="00A13CFC" w:rsidRPr="007C4D65">
              <w:rPr>
                <w:rFonts w:asciiTheme="minorHAnsi" w:eastAsia="Calibri" w:hAnsiTheme="minorHAnsi" w:cstheme="minorHAnsi"/>
                <w:sz w:val="18"/>
                <w:szCs w:val="18"/>
                <w:lang w:eastAsia="en-US"/>
              </w:rPr>
              <w:t>translations</w:t>
            </w:r>
            <w:r w:rsidR="00EA6E71" w:rsidRPr="007C4D65">
              <w:rPr>
                <w:rFonts w:asciiTheme="minorHAnsi" w:eastAsia="Calibri" w:hAnsiTheme="minorHAnsi" w:cstheme="minorHAnsi"/>
                <w:sz w:val="18"/>
                <w:szCs w:val="18"/>
                <w:lang w:eastAsia="en-US"/>
              </w:rPr>
              <w:t xml:space="preserve"> into official languages in Bosnia and Herzegovina (once translations are available)</w:t>
            </w:r>
            <w:r w:rsidR="002D7967" w:rsidRPr="007C4D65">
              <w:rPr>
                <w:rFonts w:asciiTheme="minorHAnsi" w:eastAsia="Calibri" w:hAnsiTheme="minorHAnsi" w:cstheme="minorHAnsi"/>
                <w:sz w:val="18"/>
                <w:szCs w:val="18"/>
                <w:lang w:eastAsia="x-none"/>
              </w:rPr>
              <w:t>;</w:t>
            </w:r>
          </w:p>
        </w:tc>
      </w:tr>
      <w:tr w:rsidR="00EA6E71" w:rsidRPr="007C4D65" w14:paraId="1D9DC820" w14:textId="77777777" w:rsidTr="00B6017F">
        <w:trPr>
          <w:trHeight w:val="567"/>
        </w:trPr>
        <w:tc>
          <w:tcPr>
            <w:tcW w:w="1359" w:type="pct"/>
            <w:shd w:val="clear" w:color="auto" w:fill="009D73"/>
            <w:vAlign w:val="center"/>
          </w:tcPr>
          <w:p w14:paraId="14208BEA" w14:textId="77777777" w:rsidR="00EA6E71" w:rsidRPr="007C4D65" w:rsidRDefault="00EA6E71" w:rsidP="00EA6E71">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t xml:space="preserve">Strategic projects </w:t>
            </w:r>
          </w:p>
        </w:tc>
        <w:tc>
          <w:tcPr>
            <w:tcW w:w="3641" w:type="pct"/>
            <w:gridSpan w:val="3"/>
            <w:shd w:val="clear" w:color="auto" w:fill="FFFFFF" w:themeFill="background1"/>
            <w:vAlign w:val="center"/>
          </w:tcPr>
          <w:p w14:paraId="3FA44FFF" w14:textId="77777777" w:rsidR="00EA6E71" w:rsidRPr="007C4D65" w:rsidRDefault="00EA6E71" w:rsidP="00EA6E71">
            <w:pPr>
              <w:spacing w:before="40" w:after="40" w:line="276" w:lineRule="auto"/>
              <w:rPr>
                <w:rFonts w:asciiTheme="minorHAnsi" w:eastAsiaTheme="minorHAnsi" w:hAnsiTheme="minorHAnsi" w:cstheme="minorHAnsi"/>
                <w:sz w:val="18"/>
                <w:szCs w:val="18"/>
                <w:lang w:val="en-US" w:eastAsia="zh-TW"/>
              </w:rPr>
            </w:pPr>
            <w:r w:rsidRPr="007C4D65">
              <w:rPr>
                <w:rFonts w:asciiTheme="minorHAnsi" w:eastAsiaTheme="minorHAnsi" w:hAnsiTheme="minorHAnsi" w:cstheme="minorHAnsi"/>
                <w:sz w:val="18"/>
                <w:szCs w:val="18"/>
                <w:lang w:val="en-US" w:eastAsia="zh-TW"/>
              </w:rPr>
              <w:t>/</w:t>
            </w:r>
          </w:p>
        </w:tc>
      </w:tr>
      <w:tr w:rsidR="00EA6E71" w:rsidRPr="007C4D65" w14:paraId="729E1DCA" w14:textId="77777777" w:rsidTr="00B6017F">
        <w:trPr>
          <w:trHeight w:val="567"/>
        </w:trPr>
        <w:tc>
          <w:tcPr>
            <w:tcW w:w="1359" w:type="pct"/>
            <w:vMerge w:val="restart"/>
            <w:shd w:val="clear" w:color="auto" w:fill="009D73"/>
            <w:vAlign w:val="center"/>
          </w:tcPr>
          <w:p w14:paraId="491328F9" w14:textId="77777777" w:rsidR="00EA6E71" w:rsidRPr="007C4D65" w:rsidRDefault="00EA6E71" w:rsidP="00EA6E71">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bCs/>
                <w:color w:val="FFFFFF" w:themeColor="background1"/>
                <w:sz w:val="18"/>
                <w:szCs w:val="18"/>
                <w:lang w:val="en-US" w:eastAsia="en-US" w:bidi="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F17BEE1" w14:textId="77777777" w:rsidR="00EA6E71" w:rsidRPr="007C4D65" w:rsidRDefault="00EA6E71" w:rsidP="00EA6E71">
            <w:pPr>
              <w:spacing w:before="40" w:after="40" w:line="276" w:lineRule="auto"/>
              <w:jc w:val="center"/>
              <w:rPr>
                <w:rFonts w:asciiTheme="minorHAnsi" w:eastAsiaTheme="minorHAnsi" w:hAnsiTheme="minorHAnsi" w:cstheme="minorHAnsi"/>
                <w:b/>
                <w:color w:val="FFFFFF" w:themeColor="background1"/>
                <w:sz w:val="18"/>
                <w:szCs w:val="18"/>
                <w:lang w:val="en-US" w:eastAsia="en-US"/>
              </w:rPr>
            </w:pPr>
            <w:r w:rsidRPr="007C4D65">
              <w:rPr>
                <w:rFonts w:asciiTheme="minorHAnsi" w:eastAsiaTheme="minorHAnsi" w:hAnsiTheme="minorHAnsi" w:cstheme="minorHAnsi"/>
                <w:b/>
                <w:color w:val="FFFFFF" w:themeColor="background1"/>
                <w:sz w:val="18"/>
                <w:szCs w:val="18"/>
                <w:lang w:val="en-US" w:eastAsia="en-US"/>
              </w:rPr>
              <w:t>Indicators</w:t>
            </w:r>
          </w:p>
          <w:p w14:paraId="4D02C98E" w14:textId="77777777" w:rsidR="00EA6E71" w:rsidRPr="007C4D65" w:rsidRDefault="00EA6E71" w:rsidP="00EA6E71">
            <w:pPr>
              <w:spacing w:before="40" w:after="40" w:line="276" w:lineRule="auto"/>
              <w:jc w:val="center"/>
              <w:rPr>
                <w:rFonts w:asciiTheme="minorHAnsi" w:eastAsiaTheme="minorHAnsi" w:hAnsiTheme="minorHAnsi" w:cstheme="minorHAnsi"/>
                <w:b/>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w:t>
            </w:r>
            <w:proofErr w:type="gramStart"/>
            <w:r w:rsidRPr="007C4D65">
              <w:rPr>
                <w:rFonts w:asciiTheme="minorHAnsi" w:eastAsiaTheme="minorHAnsi" w:hAnsiTheme="minorHAnsi" w:cstheme="minorHAnsi"/>
                <w:b/>
                <w:color w:val="FFFFFF" w:themeColor="background1"/>
                <w:sz w:val="18"/>
                <w:szCs w:val="18"/>
                <w:lang w:val="en-US" w:eastAsia="en-US"/>
              </w:rPr>
              <w:t>outputs</w:t>
            </w:r>
            <w:proofErr w:type="gramEnd"/>
            <w:r w:rsidRPr="007C4D65">
              <w:rPr>
                <w:rFonts w:asciiTheme="minorHAnsi" w:eastAsiaTheme="minorHAnsi" w:hAnsiTheme="minorHAnsi" w:cstheme="minorHAnsi"/>
                <w:b/>
                <w:color w:val="FFFFFF" w:themeColor="background1"/>
                <w:sz w:val="18"/>
                <w:szCs w:val="18"/>
                <w:lang w:val="en-US"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EFB2453" w14:textId="77777777" w:rsidR="00EA6E71" w:rsidRPr="007C4D65" w:rsidRDefault="00EA6E71" w:rsidP="00EA6E71">
            <w:pPr>
              <w:spacing w:before="40" w:after="40" w:line="276" w:lineRule="auto"/>
              <w:jc w:val="center"/>
              <w:rPr>
                <w:rFonts w:asciiTheme="minorHAnsi" w:eastAsiaTheme="minorHAnsi" w:hAnsiTheme="minorHAnsi" w:cstheme="minorHAnsi"/>
                <w:b/>
                <w:color w:val="FFFFFF" w:themeColor="background1"/>
                <w:sz w:val="18"/>
                <w:szCs w:val="18"/>
                <w:lang w:val="en-US" w:eastAsia="en-US"/>
              </w:rPr>
            </w:pPr>
            <w:r w:rsidRPr="007C4D65">
              <w:rPr>
                <w:rFonts w:asciiTheme="minorHAnsi" w:eastAsiaTheme="minorHAnsi" w:hAnsiTheme="minorHAnsi" w:cstheme="minorHAnsi"/>
                <w:b/>
                <w:color w:val="FFFFFF" w:themeColor="background1"/>
                <w:sz w:val="18"/>
                <w:szCs w:val="18"/>
                <w:lang w:val="en-US" w:eastAsia="en-US"/>
              </w:rPr>
              <w:t>Baseline value</w:t>
            </w:r>
          </w:p>
          <w:p w14:paraId="03AD78E5" w14:textId="77777777" w:rsidR="00EA6E71" w:rsidRPr="007C4D65" w:rsidRDefault="00EA6E71" w:rsidP="00EA6E71">
            <w:pPr>
              <w:spacing w:before="40" w:after="40" w:line="276" w:lineRule="auto"/>
              <w:jc w:val="center"/>
              <w:rPr>
                <w:rFonts w:asciiTheme="minorHAnsi" w:eastAsiaTheme="minorHAnsi" w:hAnsiTheme="minorHAnsi" w:cstheme="minorHAnsi"/>
                <w:b/>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1039CAB" w14:textId="77777777" w:rsidR="00EA6E71" w:rsidRPr="007C4D65" w:rsidRDefault="00EA6E71" w:rsidP="00EA6E71">
            <w:pPr>
              <w:spacing w:before="40" w:after="40" w:line="276" w:lineRule="auto"/>
              <w:jc w:val="center"/>
              <w:rPr>
                <w:rFonts w:asciiTheme="minorHAnsi" w:eastAsiaTheme="minorHAnsi" w:hAnsiTheme="minorHAnsi" w:cstheme="minorHAnsi"/>
                <w:b/>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Target value</w:t>
            </w:r>
          </w:p>
        </w:tc>
      </w:tr>
      <w:tr w:rsidR="00EA6E71" w:rsidRPr="007C4D65" w14:paraId="109B9527" w14:textId="77777777" w:rsidTr="00B6017F">
        <w:trPr>
          <w:trHeight w:val="567"/>
        </w:trPr>
        <w:tc>
          <w:tcPr>
            <w:tcW w:w="1359" w:type="pct"/>
            <w:vMerge/>
            <w:shd w:val="clear" w:color="auto" w:fill="009D73"/>
            <w:vAlign w:val="center"/>
          </w:tcPr>
          <w:p w14:paraId="36E9CE23" w14:textId="77777777" w:rsidR="00EA6E71" w:rsidRPr="007C4D65" w:rsidRDefault="00EA6E71" w:rsidP="00EA6E71">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1339" w:type="pct"/>
            <w:shd w:val="clear" w:color="auto" w:fill="FFFFFF"/>
            <w:vAlign w:val="center"/>
          </w:tcPr>
          <w:p w14:paraId="4295E304" w14:textId="34346BF9" w:rsidR="00EA6E71" w:rsidRPr="007C4D65" w:rsidRDefault="006C4680" w:rsidP="006C4680">
            <w:pPr>
              <w:spacing w:before="40" w:after="40" w:line="276" w:lineRule="auto"/>
              <w:contextualSpacing/>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1</w:t>
            </w:r>
            <w:r w:rsidRPr="007C4D65">
              <w:rPr>
                <w:rFonts w:asciiTheme="minorHAnsi" w:eastAsia="Calibri" w:hAnsiTheme="minorHAnsi" w:cstheme="minorHAnsi"/>
                <w:sz w:val="18"/>
                <w:szCs w:val="18"/>
                <w:lang w:val="bs-Latn-BA" w:eastAsia="x-none"/>
              </w:rPr>
              <w:t xml:space="preserve">) </w:t>
            </w:r>
            <w:r w:rsidR="00EA6E71" w:rsidRPr="007C4D65">
              <w:rPr>
                <w:rFonts w:asciiTheme="minorHAnsi" w:eastAsia="Calibri" w:hAnsiTheme="minorHAnsi" w:cstheme="minorHAnsi"/>
                <w:sz w:val="18"/>
                <w:szCs w:val="18"/>
                <w:lang w:val="en-US" w:eastAsia="x-none"/>
              </w:rPr>
              <w:t xml:space="preserve">Number of adopted </w:t>
            </w:r>
            <w:r w:rsidR="007934C2" w:rsidRPr="007C4D65">
              <w:rPr>
                <w:rFonts w:asciiTheme="minorHAnsi" w:eastAsia="Calibri" w:hAnsiTheme="minorHAnsi" w:cstheme="minorHAnsi"/>
                <w:sz w:val="18"/>
                <w:szCs w:val="18"/>
                <w:lang w:val="en-US" w:eastAsia="x-none"/>
              </w:rPr>
              <w:t>technical instructions</w:t>
            </w:r>
            <w:r w:rsidR="00EA6E71" w:rsidRPr="007C4D65">
              <w:rPr>
                <w:rFonts w:asciiTheme="minorHAnsi" w:eastAsia="Calibri" w:hAnsiTheme="minorHAnsi" w:cstheme="minorHAnsi"/>
                <w:sz w:val="18"/>
                <w:szCs w:val="18"/>
                <w:lang w:val="en-US" w:eastAsia="x-none"/>
              </w:rPr>
              <w:t xml:space="preserve"> </w:t>
            </w:r>
          </w:p>
        </w:tc>
        <w:tc>
          <w:tcPr>
            <w:tcW w:w="1243" w:type="pct"/>
            <w:shd w:val="clear" w:color="auto" w:fill="FFFFFF"/>
            <w:vAlign w:val="center"/>
          </w:tcPr>
          <w:p w14:paraId="0B32E32D" w14:textId="6EE72C77" w:rsidR="00EA6E71" w:rsidRPr="007C4D65" w:rsidRDefault="00EA6E71" w:rsidP="00EA6E71">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 xml:space="preserve">7 </w:t>
            </w:r>
            <w:r w:rsidR="007934C2" w:rsidRPr="007C4D65">
              <w:rPr>
                <w:rFonts w:asciiTheme="minorHAnsi" w:eastAsiaTheme="minorHAnsi" w:hAnsiTheme="minorHAnsi" w:cstheme="minorHAnsi"/>
                <w:sz w:val="18"/>
                <w:szCs w:val="18"/>
                <w:lang w:val="en-US" w:eastAsia="en-US" w:bidi="en-US"/>
              </w:rPr>
              <w:t>technical instructions</w:t>
            </w:r>
            <w:r w:rsidRPr="007C4D65">
              <w:rPr>
                <w:rFonts w:asciiTheme="minorHAnsi" w:eastAsiaTheme="minorHAnsi" w:hAnsiTheme="minorHAnsi" w:cstheme="minorHAnsi"/>
                <w:sz w:val="18"/>
                <w:szCs w:val="18"/>
                <w:lang w:val="en-US" w:eastAsia="en-US" w:bidi="en-US"/>
              </w:rPr>
              <w:t xml:space="preserve"> adopted (by the Decision in 2009)</w:t>
            </w:r>
          </w:p>
        </w:tc>
        <w:tc>
          <w:tcPr>
            <w:tcW w:w="1059" w:type="pct"/>
            <w:shd w:val="clear" w:color="auto" w:fill="FFFFFF"/>
            <w:vAlign w:val="center"/>
          </w:tcPr>
          <w:p w14:paraId="3A41FD34" w14:textId="1990BC3B" w:rsidR="00EA6E71" w:rsidRPr="007C4D65" w:rsidRDefault="00EA6E71" w:rsidP="00EA6E71">
            <w:pPr>
              <w:spacing w:before="40" w:after="40" w:line="276" w:lineRule="auto"/>
              <w:ind w:right="-156"/>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 xml:space="preserve">4 </w:t>
            </w:r>
            <w:r w:rsidR="006C4680" w:rsidRPr="007C4D65">
              <w:rPr>
                <w:rFonts w:asciiTheme="minorHAnsi" w:eastAsiaTheme="minorHAnsi" w:hAnsiTheme="minorHAnsi" w:cstheme="minorHAnsi"/>
                <w:sz w:val="18"/>
                <w:szCs w:val="18"/>
                <w:lang w:val="en-US" w:eastAsia="en-US" w:bidi="en-US"/>
              </w:rPr>
              <w:t>new</w:t>
            </w:r>
            <w:r w:rsidRPr="007C4D65">
              <w:rPr>
                <w:rFonts w:asciiTheme="minorHAnsi" w:eastAsiaTheme="minorHAnsi" w:hAnsiTheme="minorHAnsi" w:cstheme="minorHAnsi"/>
                <w:sz w:val="18"/>
                <w:szCs w:val="18"/>
                <w:lang w:val="en-US" w:eastAsia="en-US" w:bidi="en-US"/>
              </w:rPr>
              <w:t xml:space="preserve"> </w:t>
            </w:r>
            <w:r w:rsidR="007934C2" w:rsidRPr="007C4D65">
              <w:rPr>
                <w:rFonts w:asciiTheme="minorHAnsi" w:eastAsiaTheme="minorHAnsi" w:hAnsiTheme="minorHAnsi" w:cstheme="minorHAnsi"/>
                <w:sz w:val="18"/>
                <w:szCs w:val="18"/>
                <w:lang w:val="en-US" w:eastAsia="en-US" w:bidi="en-US"/>
              </w:rPr>
              <w:t>technical instructions</w:t>
            </w:r>
            <w:r w:rsidRPr="007C4D65">
              <w:rPr>
                <w:rFonts w:asciiTheme="minorHAnsi" w:eastAsiaTheme="minorHAnsi" w:hAnsiTheme="minorHAnsi" w:cstheme="minorHAnsi"/>
                <w:sz w:val="18"/>
                <w:szCs w:val="18"/>
                <w:lang w:val="en-US" w:eastAsia="en-US" w:bidi="en-US"/>
              </w:rPr>
              <w:t xml:space="preserve"> </w:t>
            </w:r>
            <w:r w:rsidR="006C4680" w:rsidRPr="007C4D65">
              <w:rPr>
                <w:rFonts w:asciiTheme="minorHAnsi" w:eastAsiaTheme="minorHAnsi" w:hAnsiTheme="minorHAnsi" w:cstheme="minorHAnsi"/>
                <w:sz w:val="18"/>
                <w:szCs w:val="18"/>
                <w:lang w:val="en-US" w:eastAsia="en-US" w:bidi="en-US"/>
              </w:rPr>
              <w:t xml:space="preserve">adopted </w:t>
            </w:r>
            <w:r w:rsidRPr="007C4D65">
              <w:rPr>
                <w:rFonts w:asciiTheme="minorHAnsi" w:eastAsiaTheme="minorHAnsi" w:hAnsiTheme="minorHAnsi" w:cstheme="minorHAnsi"/>
                <w:sz w:val="18"/>
                <w:szCs w:val="18"/>
                <w:lang w:val="en-US" w:eastAsia="en-US" w:bidi="en-US"/>
              </w:rPr>
              <w:t xml:space="preserve">(sectors: </w:t>
            </w:r>
            <w:r w:rsidRPr="007C4D65">
              <w:rPr>
                <w:rFonts w:asciiTheme="minorHAnsi" w:eastAsia="Calibri" w:hAnsiTheme="minorHAnsi" w:cstheme="minorHAnsi"/>
                <w:sz w:val="18"/>
                <w:szCs w:val="18"/>
                <w:lang w:val="en-US" w:eastAsia="x-none"/>
              </w:rPr>
              <w:t>stone extraction, large combustion plants</w:t>
            </w:r>
            <w:r w:rsidR="006C4680" w:rsidRPr="007C4D65">
              <w:rPr>
                <w:rFonts w:asciiTheme="minorHAnsi" w:eastAsia="Calibri" w:hAnsiTheme="minorHAnsi" w:cstheme="minorHAnsi"/>
                <w:sz w:val="18"/>
                <w:szCs w:val="18"/>
                <w:lang w:val="en-US" w:eastAsia="x-none"/>
              </w:rPr>
              <w:t>,</w:t>
            </w:r>
            <w:r w:rsidRPr="007C4D65">
              <w:rPr>
                <w:rFonts w:asciiTheme="minorHAnsi" w:eastAsia="Calibri" w:hAnsiTheme="minorHAnsi" w:cstheme="minorHAnsi"/>
                <w:sz w:val="18"/>
                <w:szCs w:val="18"/>
                <w:lang w:val="en-US" w:eastAsia="x-none"/>
              </w:rPr>
              <w:t xml:space="preserve"> surface protection of metal and plastic, melted metal coating and monitoring) (2023)</w:t>
            </w:r>
          </w:p>
        </w:tc>
      </w:tr>
      <w:tr w:rsidR="00EA6E71" w:rsidRPr="007C4D65" w14:paraId="49195EDD" w14:textId="77777777" w:rsidTr="00B6017F">
        <w:trPr>
          <w:trHeight w:val="567"/>
        </w:trPr>
        <w:tc>
          <w:tcPr>
            <w:tcW w:w="1359" w:type="pct"/>
            <w:vMerge/>
            <w:shd w:val="clear" w:color="auto" w:fill="009D73"/>
            <w:vAlign w:val="center"/>
          </w:tcPr>
          <w:p w14:paraId="3BB5A3CE" w14:textId="77777777" w:rsidR="00EA6E71" w:rsidRPr="007C4D65" w:rsidRDefault="00EA6E71" w:rsidP="00EA6E71">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1339" w:type="pct"/>
            <w:shd w:val="clear" w:color="auto" w:fill="FFFFFF"/>
            <w:vAlign w:val="center"/>
          </w:tcPr>
          <w:p w14:paraId="4259D6E0" w14:textId="0A04F2D5" w:rsidR="00EA6E71" w:rsidRPr="007C4D65" w:rsidRDefault="006C4680" w:rsidP="006C4680">
            <w:pPr>
              <w:spacing w:before="40" w:after="40" w:line="276" w:lineRule="auto"/>
              <w:contextualSpacing/>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2</w:t>
            </w:r>
            <w:r w:rsidRPr="007C4D65">
              <w:rPr>
                <w:rFonts w:asciiTheme="minorHAnsi" w:eastAsia="Calibri" w:hAnsiTheme="minorHAnsi" w:cstheme="minorHAnsi"/>
                <w:sz w:val="18"/>
                <w:szCs w:val="18"/>
                <w:lang w:val="bs-Latn-BA" w:eastAsia="x-none"/>
              </w:rPr>
              <w:t xml:space="preserve">) </w:t>
            </w:r>
            <w:r w:rsidRPr="007C4D65">
              <w:rPr>
                <w:rFonts w:asciiTheme="minorHAnsi" w:eastAsia="Calibri" w:hAnsiTheme="minorHAnsi" w:cstheme="minorHAnsi"/>
                <w:sz w:val="18"/>
                <w:szCs w:val="18"/>
                <w:lang w:val="en-US" w:eastAsia="x-none"/>
              </w:rPr>
              <w:t xml:space="preserve">Number of new </w:t>
            </w:r>
            <w:r w:rsidR="007934C2" w:rsidRPr="007C4D65">
              <w:rPr>
                <w:rFonts w:asciiTheme="minorHAnsi" w:eastAsia="Calibri" w:hAnsiTheme="minorHAnsi" w:cstheme="minorHAnsi"/>
                <w:sz w:val="18"/>
                <w:szCs w:val="18"/>
                <w:lang w:val="en-US" w:eastAsia="x-none"/>
              </w:rPr>
              <w:t>technical instructions</w:t>
            </w:r>
            <w:r w:rsidRPr="007C4D65">
              <w:rPr>
                <w:rFonts w:asciiTheme="minorHAnsi" w:eastAsia="Calibri" w:hAnsiTheme="minorHAnsi" w:cstheme="minorHAnsi"/>
                <w:sz w:val="18"/>
                <w:szCs w:val="18"/>
                <w:lang w:val="en-US" w:eastAsia="x-none"/>
              </w:rPr>
              <w:t xml:space="preserve"> </w:t>
            </w:r>
            <w:r w:rsidR="00EA6E71" w:rsidRPr="007C4D65">
              <w:rPr>
                <w:rFonts w:asciiTheme="minorHAnsi" w:eastAsia="Calibri" w:hAnsiTheme="minorHAnsi" w:cstheme="minorHAnsi"/>
                <w:sz w:val="18"/>
                <w:szCs w:val="18"/>
                <w:lang w:val="en-US" w:eastAsia="x-none"/>
              </w:rPr>
              <w:t>for BAT, by priorities</w:t>
            </w:r>
          </w:p>
        </w:tc>
        <w:tc>
          <w:tcPr>
            <w:tcW w:w="1243" w:type="pct"/>
            <w:shd w:val="clear" w:color="auto" w:fill="FFFFFF"/>
            <w:vAlign w:val="center"/>
          </w:tcPr>
          <w:p w14:paraId="0B951C54" w14:textId="77777777" w:rsidR="00EA6E71" w:rsidRPr="007C4D65" w:rsidRDefault="00EA6E71" w:rsidP="00EA6E71">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w:t>
            </w:r>
          </w:p>
        </w:tc>
        <w:tc>
          <w:tcPr>
            <w:tcW w:w="1059" w:type="pct"/>
            <w:shd w:val="clear" w:color="auto" w:fill="FFFFFF"/>
            <w:vAlign w:val="center"/>
          </w:tcPr>
          <w:p w14:paraId="726C8AE5" w14:textId="2C88698D" w:rsidR="00EA6E71" w:rsidRPr="007C4D65" w:rsidRDefault="007934C2" w:rsidP="00EA6E71">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Technical instructions</w:t>
            </w:r>
            <w:r w:rsidR="00EA6E71" w:rsidRPr="007C4D65">
              <w:rPr>
                <w:rFonts w:asciiTheme="minorHAnsi" w:eastAsiaTheme="minorHAnsi" w:hAnsiTheme="minorHAnsi" w:cstheme="minorHAnsi"/>
                <w:sz w:val="18"/>
                <w:szCs w:val="18"/>
                <w:lang w:val="en-US" w:eastAsia="en-US" w:bidi="en-US"/>
              </w:rPr>
              <w:t xml:space="preserve"> for all priority activities for which BAT are defined prepared (2026)</w:t>
            </w:r>
          </w:p>
        </w:tc>
      </w:tr>
      <w:tr w:rsidR="00EA6E71" w:rsidRPr="007C4D65" w14:paraId="577D3083" w14:textId="77777777" w:rsidTr="00B6017F">
        <w:trPr>
          <w:trHeight w:val="567"/>
        </w:trPr>
        <w:tc>
          <w:tcPr>
            <w:tcW w:w="1359" w:type="pct"/>
            <w:vMerge/>
            <w:shd w:val="clear" w:color="auto" w:fill="009D73"/>
            <w:vAlign w:val="center"/>
          </w:tcPr>
          <w:p w14:paraId="6D591EDF" w14:textId="77777777" w:rsidR="00EA6E71" w:rsidRPr="007C4D65" w:rsidRDefault="00EA6E71" w:rsidP="00EA6E71">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1339" w:type="pct"/>
            <w:shd w:val="clear" w:color="auto" w:fill="FFFFFF"/>
            <w:vAlign w:val="center"/>
          </w:tcPr>
          <w:p w14:paraId="0F024202" w14:textId="02F2F263" w:rsidR="00EA6E71" w:rsidRPr="007C4D65" w:rsidRDefault="006C4680" w:rsidP="006C4680">
            <w:pPr>
              <w:spacing w:before="40" w:after="40" w:line="276" w:lineRule="auto"/>
              <w:contextualSpacing/>
              <w:rPr>
                <w:rFonts w:asciiTheme="minorHAnsi" w:eastAsia="Calibri" w:hAnsiTheme="minorHAnsi" w:cstheme="minorHAnsi"/>
                <w:sz w:val="18"/>
                <w:szCs w:val="18"/>
                <w:lang w:val="en-US" w:eastAsia="x-none"/>
              </w:rPr>
            </w:pPr>
            <w:r w:rsidRPr="007C4D65">
              <w:rPr>
                <w:rFonts w:asciiTheme="minorHAnsi" w:eastAsia="Calibri" w:hAnsiTheme="minorHAnsi" w:cstheme="minorHAnsi"/>
                <w:sz w:val="18"/>
                <w:szCs w:val="18"/>
                <w:lang w:val="en-US" w:eastAsia="x-none"/>
              </w:rPr>
              <w:t>3</w:t>
            </w:r>
            <w:r w:rsidRPr="007C4D65">
              <w:rPr>
                <w:rFonts w:asciiTheme="minorHAnsi" w:eastAsia="Calibri" w:hAnsiTheme="minorHAnsi" w:cstheme="minorHAnsi"/>
                <w:sz w:val="18"/>
                <w:szCs w:val="18"/>
                <w:lang w:val="bs-Latn-BA" w:eastAsia="x-none"/>
              </w:rPr>
              <w:t xml:space="preserve">) </w:t>
            </w:r>
            <w:r w:rsidR="00EA6E71" w:rsidRPr="007C4D65">
              <w:rPr>
                <w:rFonts w:asciiTheme="minorHAnsi" w:eastAsia="Calibri" w:hAnsiTheme="minorHAnsi" w:cstheme="minorHAnsi"/>
                <w:sz w:val="18"/>
                <w:szCs w:val="18"/>
                <w:lang w:val="en-US" w:eastAsia="x-none"/>
              </w:rPr>
              <w:t xml:space="preserve">Number of updated </w:t>
            </w:r>
            <w:r w:rsidR="007934C2" w:rsidRPr="007C4D65">
              <w:rPr>
                <w:rFonts w:asciiTheme="minorHAnsi" w:eastAsia="Calibri" w:hAnsiTheme="minorHAnsi" w:cstheme="minorHAnsi"/>
                <w:sz w:val="18"/>
                <w:szCs w:val="18"/>
                <w:lang w:val="en-US" w:eastAsia="x-none"/>
              </w:rPr>
              <w:t>technical instructions</w:t>
            </w:r>
          </w:p>
        </w:tc>
        <w:tc>
          <w:tcPr>
            <w:tcW w:w="1243" w:type="pct"/>
            <w:shd w:val="clear" w:color="auto" w:fill="FFFFFF"/>
            <w:vAlign w:val="center"/>
          </w:tcPr>
          <w:p w14:paraId="64AAF6E7" w14:textId="77777777" w:rsidR="00EA6E71" w:rsidRPr="007C4D65" w:rsidRDefault="00EA6E71" w:rsidP="00EA6E71">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Theme="minorHAnsi" w:hAnsiTheme="minorHAnsi" w:cstheme="minorHAnsi"/>
                <w:sz w:val="18"/>
                <w:szCs w:val="18"/>
                <w:lang w:val="en-US" w:eastAsia="en-US" w:bidi="en-US"/>
              </w:rPr>
              <w:t>/</w:t>
            </w:r>
          </w:p>
        </w:tc>
        <w:tc>
          <w:tcPr>
            <w:tcW w:w="1059" w:type="pct"/>
            <w:shd w:val="clear" w:color="auto" w:fill="FFFFFF"/>
            <w:vAlign w:val="center"/>
          </w:tcPr>
          <w:p w14:paraId="0DCEF442" w14:textId="47C731BD" w:rsidR="00EA6E71" w:rsidRPr="007C4D65" w:rsidRDefault="007934C2" w:rsidP="00EA6E71">
            <w:pPr>
              <w:spacing w:before="40" w:after="40" w:line="276" w:lineRule="auto"/>
              <w:rPr>
                <w:rFonts w:asciiTheme="minorHAnsi" w:eastAsiaTheme="minorHAnsi" w:hAnsiTheme="minorHAnsi" w:cstheme="minorHAnsi"/>
                <w:sz w:val="18"/>
                <w:szCs w:val="18"/>
                <w:lang w:val="en-US" w:eastAsia="en-US" w:bidi="en-US"/>
              </w:rPr>
            </w:pPr>
            <w:r w:rsidRPr="007C4D65">
              <w:rPr>
                <w:rFonts w:asciiTheme="minorHAnsi" w:eastAsia="Calibri" w:hAnsiTheme="minorHAnsi" w:cstheme="minorHAnsi"/>
                <w:sz w:val="18"/>
                <w:szCs w:val="18"/>
                <w:lang w:val="en-US" w:eastAsia="x-none"/>
              </w:rPr>
              <w:t>Technical instructions</w:t>
            </w:r>
            <w:r w:rsidR="00EA6E71" w:rsidRPr="007C4D65">
              <w:rPr>
                <w:rFonts w:asciiTheme="minorHAnsi" w:eastAsiaTheme="minorHAnsi" w:hAnsiTheme="minorHAnsi" w:cstheme="minorHAnsi"/>
                <w:sz w:val="18"/>
                <w:szCs w:val="18"/>
                <w:lang w:val="en-US" w:eastAsia="en-US" w:bidi="en-US"/>
              </w:rPr>
              <w:t xml:space="preserve"> on BAT updated (2029)</w:t>
            </w:r>
          </w:p>
        </w:tc>
      </w:tr>
      <w:tr w:rsidR="00EA6E71" w:rsidRPr="007C4D65" w14:paraId="54C17118" w14:textId="77777777" w:rsidTr="00B6017F">
        <w:trPr>
          <w:trHeight w:val="567"/>
        </w:trPr>
        <w:tc>
          <w:tcPr>
            <w:tcW w:w="1359" w:type="pct"/>
            <w:vMerge/>
            <w:shd w:val="clear" w:color="auto" w:fill="009D73"/>
            <w:vAlign w:val="center"/>
          </w:tcPr>
          <w:p w14:paraId="78BAF5B1" w14:textId="77777777" w:rsidR="00EA6E71" w:rsidRPr="007C4D65" w:rsidRDefault="00EA6E71" w:rsidP="00EA6E71">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p>
        </w:tc>
        <w:tc>
          <w:tcPr>
            <w:tcW w:w="1339" w:type="pct"/>
            <w:shd w:val="clear" w:color="auto" w:fill="FFFFFF"/>
            <w:vAlign w:val="center"/>
          </w:tcPr>
          <w:p w14:paraId="37707AEA" w14:textId="5B0AD942" w:rsidR="00EA6E71" w:rsidRPr="007C4D65" w:rsidRDefault="00EA6E71">
            <w:pPr>
              <w:numPr>
                <w:ilvl w:val="0"/>
                <w:numId w:val="157"/>
              </w:numPr>
              <w:spacing w:before="40" w:after="40" w:line="276" w:lineRule="auto"/>
              <w:ind w:left="265" w:hanging="284"/>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en-US"/>
              </w:rPr>
              <w:t xml:space="preserve">Public access to the reference BAT documents on </w:t>
            </w:r>
            <w:r w:rsidR="006C4680"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 xml:space="preserve">website of </w:t>
            </w:r>
            <w:proofErr w:type="gramStart"/>
            <w:r w:rsidRPr="007C4D65">
              <w:rPr>
                <w:rFonts w:asciiTheme="minorHAnsi" w:eastAsia="Calibri" w:hAnsiTheme="minorHAnsi" w:cstheme="minorHAnsi"/>
                <w:sz w:val="18"/>
                <w:szCs w:val="18"/>
                <w:lang w:eastAsia="en-US"/>
              </w:rPr>
              <w:t xml:space="preserve">the </w:t>
            </w:r>
            <w:r w:rsidRPr="007C4D65">
              <w:rPr>
                <w:rFonts w:asciiTheme="minorHAnsi" w:eastAsiaTheme="minorHAnsi" w:hAnsiTheme="minorHAnsi" w:cstheme="minorHAnsi"/>
                <w:color w:val="000000"/>
                <w:sz w:val="18"/>
                <w:szCs w:val="18"/>
                <w:lang w:eastAsia="en-US"/>
              </w:rPr>
              <w:t xml:space="preserve"> </w:t>
            </w:r>
            <w:r w:rsidR="001E6E20" w:rsidRPr="007C4D65">
              <w:rPr>
                <w:rFonts w:asciiTheme="minorHAnsi" w:eastAsia="Calibri" w:hAnsiTheme="minorHAnsi" w:cstheme="minorHAnsi"/>
                <w:sz w:val="18"/>
                <w:szCs w:val="18"/>
                <w:lang w:eastAsia="en-US"/>
              </w:rPr>
              <w:t>Federation</w:t>
            </w:r>
            <w:proofErr w:type="gramEnd"/>
            <w:r w:rsidR="001E6E20" w:rsidRPr="007C4D65">
              <w:rPr>
                <w:rFonts w:asciiTheme="minorHAnsi" w:eastAsia="Calibri" w:hAnsiTheme="minorHAnsi" w:cstheme="minorHAnsi"/>
                <w:sz w:val="18"/>
                <w:szCs w:val="18"/>
                <w:lang w:eastAsia="en-US"/>
              </w:rPr>
              <w:t xml:space="preserve"> Ministry</w:t>
            </w:r>
            <w:r w:rsidRPr="007C4D65">
              <w:rPr>
                <w:rFonts w:asciiTheme="minorHAnsi" w:eastAsia="Calibri" w:hAnsiTheme="minorHAnsi" w:cstheme="minorHAnsi"/>
                <w:sz w:val="18"/>
                <w:szCs w:val="18"/>
                <w:lang w:eastAsia="en-US"/>
              </w:rPr>
              <w:t xml:space="preserve"> of Environment and Tourism</w:t>
            </w:r>
          </w:p>
        </w:tc>
        <w:tc>
          <w:tcPr>
            <w:tcW w:w="1243" w:type="pct"/>
            <w:shd w:val="clear" w:color="auto" w:fill="FFFFFF"/>
            <w:vAlign w:val="center"/>
          </w:tcPr>
          <w:p w14:paraId="71284756" w14:textId="73612369" w:rsidR="00EA6E71" w:rsidRPr="007C4D65" w:rsidRDefault="00EA6E71" w:rsidP="00EA6E7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Activity </w:t>
            </w:r>
            <w:r w:rsidR="006C4680" w:rsidRPr="007C4D65">
              <w:rPr>
                <w:rFonts w:asciiTheme="minorHAnsi" w:eastAsiaTheme="minorHAnsi" w:hAnsiTheme="minorHAnsi" w:cstheme="minorHAnsi"/>
                <w:sz w:val="18"/>
                <w:szCs w:val="18"/>
                <w:lang w:eastAsia="en-US" w:bidi="en-US"/>
              </w:rPr>
              <w:t>was initiated</w:t>
            </w:r>
            <w:r w:rsidRPr="007C4D65">
              <w:rPr>
                <w:rFonts w:asciiTheme="minorHAnsi" w:eastAsiaTheme="minorHAnsi" w:hAnsiTheme="minorHAnsi" w:cstheme="minorHAnsi"/>
                <w:sz w:val="18"/>
                <w:szCs w:val="18"/>
                <w:lang w:eastAsia="en-US" w:bidi="en-US"/>
              </w:rPr>
              <w:t xml:space="preserve"> </w:t>
            </w:r>
          </w:p>
        </w:tc>
        <w:tc>
          <w:tcPr>
            <w:tcW w:w="1059" w:type="pct"/>
            <w:shd w:val="clear" w:color="auto" w:fill="FFFFFF"/>
            <w:vAlign w:val="center"/>
          </w:tcPr>
          <w:p w14:paraId="31459066" w14:textId="398EF292" w:rsidR="00EA6E71" w:rsidRPr="007C4D65" w:rsidRDefault="006C4680" w:rsidP="00EA6E7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A</w:t>
            </w:r>
            <w:r w:rsidR="00EA6E71" w:rsidRPr="007C4D65">
              <w:rPr>
                <w:rFonts w:asciiTheme="minorHAnsi" w:eastAsia="Calibri" w:hAnsiTheme="minorHAnsi" w:cstheme="minorHAnsi"/>
                <w:sz w:val="18"/>
                <w:szCs w:val="18"/>
                <w:lang w:eastAsia="en-US"/>
              </w:rPr>
              <w:t xml:space="preserve">ccess to </w:t>
            </w:r>
            <w:proofErr w:type="gramStart"/>
            <w:r w:rsidR="00EA6E71"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reference</w:t>
            </w:r>
            <w:proofErr w:type="gramEnd"/>
            <w:r w:rsidRPr="007C4D65">
              <w:rPr>
                <w:rFonts w:asciiTheme="minorHAnsi" w:eastAsia="Calibri" w:hAnsiTheme="minorHAnsi" w:cstheme="minorHAnsi"/>
                <w:sz w:val="18"/>
                <w:szCs w:val="18"/>
                <w:lang w:eastAsia="en-US"/>
              </w:rPr>
              <w:t xml:space="preserve"> </w:t>
            </w:r>
            <w:r w:rsidR="00EA6E71" w:rsidRPr="007C4D65">
              <w:rPr>
                <w:rFonts w:asciiTheme="minorHAnsi" w:eastAsia="Calibri" w:hAnsiTheme="minorHAnsi" w:cstheme="minorHAnsi"/>
                <w:sz w:val="18"/>
                <w:szCs w:val="18"/>
                <w:lang w:eastAsia="en-US"/>
              </w:rPr>
              <w:t xml:space="preserve">BAT documents on </w:t>
            </w:r>
            <w:r w:rsidRPr="007C4D65">
              <w:rPr>
                <w:rFonts w:asciiTheme="minorHAnsi" w:eastAsia="Calibri" w:hAnsiTheme="minorHAnsi" w:cstheme="minorHAnsi"/>
                <w:sz w:val="18"/>
                <w:szCs w:val="18"/>
                <w:lang w:eastAsia="en-US"/>
              </w:rPr>
              <w:t xml:space="preserve">the </w:t>
            </w:r>
            <w:r w:rsidR="00EA6E71" w:rsidRPr="007C4D65">
              <w:rPr>
                <w:rFonts w:asciiTheme="minorHAnsi" w:eastAsia="Calibri" w:hAnsiTheme="minorHAnsi" w:cstheme="minorHAnsi"/>
                <w:sz w:val="18"/>
                <w:szCs w:val="18"/>
                <w:lang w:eastAsia="en-US"/>
              </w:rPr>
              <w:t xml:space="preserve">website of the </w:t>
            </w:r>
            <w:r w:rsidR="00EA6E71" w:rsidRPr="007C4D65">
              <w:rPr>
                <w:rFonts w:asciiTheme="minorHAnsi" w:eastAsiaTheme="minorHAnsi" w:hAnsiTheme="minorHAnsi" w:cstheme="minorHAnsi"/>
                <w:color w:val="000000"/>
                <w:sz w:val="18"/>
                <w:szCs w:val="18"/>
                <w:lang w:eastAsia="en-US"/>
              </w:rPr>
              <w:t xml:space="preserve"> </w:t>
            </w:r>
            <w:r w:rsidR="001E6E20" w:rsidRPr="007C4D65">
              <w:rPr>
                <w:rFonts w:asciiTheme="minorHAnsi" w:eastAsia="Calibri" w:hAnsiTheme="minorHAnsi" w:cstheme="minorHAnsi"/>
                <w:sz w:val="18"/>
                <w:szCs w:val="18"/>
                <w:lang w:eastAsia="en-US"/>
              </w:rPr>
              <w:t>Federation Ministry</w:t>
            </w:r>
            <w:r w:rsidR="00EA6E71" w:rsidRPr="007C4D65">
              <w:rPr>
                <w:rFonts w:asciiTheme="minorHAnsi" w:eastAsia="Calibri" w:hAnsiTheme="minorHAnsi" w:cstheme="minorHAnsi"/>
                <w:sz w:val="18"/>
                <w:szCs w:val="18"/>
                <w:lang w:eastAsia="en-US"/>
              </w:rPr>
              <w:t xml:space="preserve"> of Environment and Tourism</w:t>
            </w:r>
            <w:r w:rsidRPr="007C4D65">
              <w:rPr>
                <w:rFonts w:asciiTheme="minorHAnsi" w:eastAsia="Calibri" w:hAnsiTheme="minorHAnsi" w:cstheme="minorHAnsi"/>
                <w:sz w:val="18"/>
                <w:szCs w:val="18"/>
                <w:lang w:eastAsia="en-US"/>
              </w:rPr>
              <w:t xml:space="preserve"> ensured</w:t>
            </w:r>
            <w:r w:rsidR="00EA6E71" w:rsidRPr="007C4D65">
              <w:rPr>
                <w:rFonts w:asciiTheme="minorHAnsi" w:eastAsiaTheme="minorHAnsi" w:hAnsiTheme="minorHAnsi" w:cstheme="minorHAnsi"/>
                <w:sz w:val="18"/>
                <w:szCs w:val="18"/>
                <w:lang w:eastAsia="en-US" w:bidi="en-US"/>
              </w:rPr>
              <w:t xml:space="preserve"> (2028)</w:t>
            </w:r>
          </w:p>
        </w:tc>
      </w:tr>
      <w:tr w:rsidR="00EA6E71" w:rsidRPr="007C4D65" w14:paraId="3F4EDD35" w14:textId="77777777" w:rsidTr="00B6017F">
        <w:trPr>
          <w:trHeight w:val="567"/>
        </w:trPr>
        <w:tc>
          <w:tcPr>
            <w:tcW w:w="1359" w:type="pct"/>
            <w:shd w:val="clear" w:color="auto" w:fill="009D73"/>
            <w:vAlign w:val="center"/>
          </w:tcPr>
          <w:p w14:paraId="1C1C8FF8" w14:textId="77777777" w:rsidR="00EA6E71" w:rsidRPr="007C4D65" w:rsidRDefault="00EA6E71" w:rsidP="00EA6E71">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Effect on the development and contribution of the measure to the priority</w:t>
            </w:r>
          </w:p>
        </w:tc>
        <w:tc>
          <w:tcPr>
            <w:tcW w:w="3641" w:type="pct"/>
            <w:gridSpan w:val="3"/>
            <w:shd w:val="clear" w:color="auto" w:fill="FFFFFF"/>
            <w:vAlign w:val="center"/>
          </w:tcPr>
          <w:p w14:paraId="0ECBE64D" w14:textId="1526853B" w:rsidR="00EA6E71" w:rsidRPr="007C4D65" w:rsidRDefault="006C4680" w:rsidP="00EA6E7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val="en-US" w:eastAsia="en-US" w:bidi="en-US"/>
              </w:rPr>
              <w:t>Enhanced environmental management and reduced pollution, minimized adverse effects on the environment</w:t>
            </w:r>
          </w:p>
        </w:tc>
      </w:tr>
      <w:tr w:rsidR="00EA6E71" w:rsidRPr="007C4D65" w14:paraId="43184CE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F890DCC" w14:textId="51A87EF2" w:rsidR="00EA6E71" w:rsidRPr="007C4D65" w:rsidRDefault="00963086" w:rsidP="00EA6E71">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Indicative financial projection, with specification of sources</w:t>
            </w:r>
            <w:r w:rsidR="00EA6E71" w:rsidRPr="007C4D65">
              <w:rPr>
                <w:rFonts w:asciiTheme="minorHAnsi" w:eastAsiaTheme="minorHAnsi" w:hAnsiTheme="minorHAnsi" w:cstheme="minorHAnsi"/>
                <w:b/>
                <w:color w:val="FFFFFF" w:themeColor="background1"/>
                <w:sz w:val="18"/>
                <w:szCs w:val="18"/>
                <w:lang w:val="en-US" w:eastAsia="en-US"/>
              </w:rPr>
              <w:t xml:space="preserve"> </w:t>
            </w:r>
          </w:p>
        </w:tc>
        <w:tc>
          <w:tcPr>
            <w:tcW w:w="3641" w:type="pct"/>
            <w:gridSpan w:val="3"/>
            <w:shd w:val="clear" w:color="auto" w:fill="FFFFFF"/>
            <w:vAlign w:val="center"/>
          </w:tcPr>
          <w:p w14:paraId="077D4000" w14:textId="657CD48C" w:rsidR="00CF7231" w:rsidRPr="007C4D65" w:rsidRDefault="00C224E3" w:rsidP="00CF7231">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6C4680" w:rsidRPr="007C4D65">
              <w:rPr>
                <w:rFonts w:asciiTheme="minorHAnsi" w:hAnsiTheme="minorHAnsi" w:cstheme="minorHAnsi"/>
                <w:sz w:val="18"/>
                <w:szCs w:val="18"/>
                <w:lang w:val="hr-HR" w:bidi="en-US"/>
              </w:rPr>
              <w:t>BAM 136</w:t>
            </w:r>
            <w:r w:rsidR="00CF7231" w:rsidRPr="007C4D65">
              <w:rPr>
                <w:rFonts w:asciiTheme="minorHAnsi" w:hAnsiTheme="minorHAnsi" w:cstheme="minorHAnsi"/>
                <w:sz w:val="18"/>
                <w:szCs w:val="18"/>
                <w:lang w:val="hr-HR" w:bidi="en-US"/>
              </w:rPr>
              <w:t>,</w:t>
            </w:r>
            <w:r w:rsidR="006C4680" w:rsidRPr="007C4D65">
              <w:rPr>
                <w:rFonts w:asciiTheme="minorHAnsi" w:hAnsiTheme="minorHAnsi" w:cstheme="minorHAnsi"/>
                <w:sz w:val="18"/>
                <w:szCs w:val="18"/>
                <w:lang w:val="hr-HR" w:bidi="en-US"/>
              </w:rPr>
              <w:t>058</w:t>
            </w:r>
          </w:p>
          <w:p w14:paraId="57E33941" w14:textId="514C3E4F" w:rsidR="00EA6E71" w:rsidRPr="007C4D65" w:rsidRDefault="009E6B20" w:rsidP="00CF7231">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Source: </w:t>
            </w:r>
            <w:r w:rsidR="006C4680" w:rsidRPr="007C4D65">
              <w:rPr>
                <w:rFonts w:asciiTheme="minorHAnsi" w:hAnsiTheme="minorHAnsi" w:cstheme="minorHAnsi"/>
                <w:sz w:val="18"/>
                <w:szCs w:val="18"/>
                <w:lang w:val="hr-HR" w:bidi="en-US"/>
              </w:rPr>
              <w:t xml:space="preserve"> 20%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6C4680" w:rsidRPr="007C4D65">
              <w:rPr>
                <w:rFonts w:asciiTheme="minorHAnsi" w:hAnsiTheme="minorHAnsi" w:cstheme="minorHAnsi"/>
                <w:sz w:val="18"/>
                <w:szCs w:val="18"/>
                <w:lang w:val="hr-HR" w:bidi="en-US"/>
              </w:rPr>
              <w:t xml:space="preserve">, 80% </w:t>
            </w:r>
            <w:r w:rsidR="00C224E3" w:rsidRPr="007C4D65">
              <w:rPr>
                <w:rFonts w:asciiTheme="minorHAnsi" w:hAnsiTheme="minorHAnsi" w:cstheme="minorHAnsi"/>
                <w:sz w:val="18"/>
                <w:szCs w:val="18"/>
                <w:lang w:val="hr-HR" w:bidi="en-US"/>
              </w:rPr>
              <w:t>funds from EU and other international donors</w:t>
            </w:r>
          </w:p>
        </w:tc>
      </w:tr>
      <w:tr w:rsidR="00EA6E71" w:rsidRPr="007C4D65" w14:paraId="28C73B16"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64B0F0A" w14:textId="77777777" w:rsidR="00EA6E71" w:rsidRPr="007C4D65" w:rsidRDefault="00EA6E71" w:rsidP="00EA6E71">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Period of the implementation of the measure</w:t>
            </w:r>
          </w:p>
        </w:tc>
        <w:tc>
          <w:tcPr>
            <w:tcW w:w="3641" w:type="pct"/>
            <w:gridSpan w:val="3"/>
            <w:shd w:val="clear" w:color="auto" w:fill="FFFFFF"/>
            <w:vAlign w:val="center"/>
          </w:tcPr>
          <w:p w14:paraId="588CB34B" w14:textId="77777777" w:rsidR="00EA6E71" w:rsidRPr="007C4D65" w:rsidRDefault="00EA6E71" w:rsidP="00EA6E7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2029</w:t>
            </w:r>
          </w:p>
        </w:tc>
      </w:tr>
      <w:tr w:rsidR="00EA6E71" w:rsidRPr="007C4D65" w14:paraId="0211408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E32719D" w14:textId="77777777" w:rsidR="00EA6E71" w:rsidRPr="007C4D65" w:rsidRDefault="00EA6E71" w:rsidP="00EA6E71">
            <w:pPr>
              <w:spacing w:before="40" w:after="40" w:line="276" w:lineRule="auto"/>
              <w:rPr>
                <w:rFonts w:asciiTheme="minorHAnsi" w:eastAsiaTheme="minorHAnsi" w:hAnsiTheme="minorHAnsi" w:cstheme="minorHAnsi"/>
                <w:b/>
                <w:bCs/>
                <w:color w:val="FFFFFF" w:themeColor="background1"/>
                <w:sz w:val="18"/>
                <w:szCs w:val="18"/>
                <w:lang w:val="en-US" w:eastAsia="en-US" w:bidi="en-US"/>
              </w:rPr>
            </w:pPr>
            <w:r w:rsidRPr="007C4D65">
              <w:rPr>
                <w:rFonts w:asciiTheme="minorHAnsi" w:eastAsiaTheme="minorHAnsi" w:hAnsiTheme="minorHAnsi" w:cstheme="minorHAnsi"/>
                <w:b/>
                <w:color w:val="FFFFFF" w:themeColor="background1"/>
                <w:sz w:val="18"/>
                <w:szCs w:val="18"/>
                <w:lang w:val="en-US" w:eastAsia="en-US"/>
              </w:rPr>
              <w:t>Institution responsible for coordination of the implementation of the measure</w:t>
            </w:r>
          </w:p>
        </w:tc>
        <w:tc>
          <w:tcPr>
            <w:tcW w:w="3641" w:type="pct"/>
            <w:gridSpan w:val="3"/>
            <w:shd w:val="clear" w:color="auto" w:fill="FFFFFF"/>
            <w:vAlign w:val="center"/>
          </w:tcPr>
          <w:p w14:paraId="703D7DD5" w14:textId="63A4DC0F" w:rsidR="00EA6E71" w:rsidRPr="007C4D65" w:rsidRDefault="00EA6E71" w:rsidP="00EA6E7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 xml:space="preserve"> </w:t>
            </w:r>
            <w:r w:rsidR="001E6E20" w:rsidRPr="007C4D65">
              <w:rPr>
                <w:rFonts w:asciiTheme="minorHAnsi" w:eastAsia="Calibri" w:hAnsiTheme="minorHAnsi" w:cstheme="minorHAnsi"/>
                <w:sz w:val="18"/>
                <w:szCs w:val="18"/>
                <w:lang w:eastAsia="en-US"/>
              </w:rPr>
              <w:t>Federation Ministry</w:t>
            </w:r>
            <w:r w:rsidRPr="007C4D65">
              <w:rPr>
                <w:rFonts w:asciiTheme="minorHAnsi" w:eastAsia="Calibri" w:hAnsiTheme="minorHAnsi" w:cstheme="minorHAnsi"/>
                <w:sz w:val="18"/>
                <w:szCs w:val="18"/>
                <w:lang w:eastAsia="en-US"/>
              </w:rPr>
              <w:t xml:space="preserve"> of Environment and Tourism</w:t>
            </w:r>
          </w:p>
        </w:tc>
      </w:tr>
      <w:tr w:rsidR="00EA6E71" w:rsidRPr="007C4D65" w14:paraId="17C9D524"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AE44C88" w14:textId="77777777" w:rsidR="00EA6E71" w:rsidRPr="007C4D65" w:rsidRDefault="00EA6E71" w:rsidP="00EA6E7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shd w:val="clear" w:color="auto" w:fill="FFFFFF"/>
            <w:vAlign w:val="center"/>
          </w:tcPr>
          <w:p w14:paraId="5358FC09" w14:textId="1A97E47B" w:rsidR="00EA6E71" w:rsidRPr="007C4D65" w:rsidRDefault="001E6E20" w:rsidP="00EA6E7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EA6E71" w:rsidRPr="007C4D65">
              <w:rPr>
                <w:rFonts w:asciiTheme="minorHAnsi" w:eastAsia="Calibri" w:hAnsiTheme="minorHAnsi" w:cstheme="minorHAnsi"/>
                <w:sz w:val="18"/>
                <w:szCs w:val="18"/>
                <w:lang w:eastAsia="en-US"/>
              </w:rPr>
              <w:t xml:space="preserve"> of Environment and Tourism</w:t>
            </w:r>
            <w:r w:rsidR="00EA6E71" w:rsidRPr="007C4D65">
              <w:rPr>
                <w:rFonts w:asciiTheme="minorHAnsi" w:eastAsiaTheme="minorHAnsi" w:hAnsiTheme="minorHAnsi" w:cstheme="minorHAnsi"/>
                <w:sz w:val="18"/>
                <w:szCs w:val="18"/>
                <w:lang w:eastAsia="en-US" w:bidi="en-US"/>
              </w:rPr>
              <w:t xml:space="preserve"> / working group appointed by the Minister of </w:t>
            </w:r>
            <w:proofErr w:type="gramStart"/>
            <w:r w:rsidR="00EA6E71" w:rsidRPr="007C4D65">
              <w:rPr>
                <w:rFonts w:asciiTheme="minorHAnsi" w:eastAsiaTheme="minorHAnsi" w:hAnsiTheme="minorHAnsi" w:cstheme="minorHAnsi"/>
                <w:sz w:val="18"/>
                <w:szCs w:val="18"/>
                <w:lang w:eastAsia="en-US" w:bidi="en-US"/>
              </w:rPr>
              <w:t xml:space="preserve">the  </w:t>
            </w:r>
            <w:r w:rsidRPr="007C4D65">
              <w:rPr>
                <w:rFonts w:asciiTheme="minorHAnsi" w:eastAsia="Calibri" w:hAnsiTheme="minorHAnsi" w:cstheme="minorHAnsi"/>
                <w:sz w:val="18"/>
                <w:szCs w:val="18"/>
                <w:lang w:eastAsia="en-US"/>
              </w:rPr>
              <w:t>Federation</w:t>
            </w:r>
            <w:proofErr w:type="gramEnd"/>
            <w:r w:rsidRPr="007C4D65">
              <w:rPr>
                <w:rFonts w:asciiTheme="minorHAnsi" w:eastAsia="Calibri" w:hAnsiTheme="minorHAnsi" w:cstheme="minorHAnsi"/>
                <w:sz w:val="18"/>
                <w:szCs w:val="18"/>
                <w:lang w:eastAsia="en-US"/>
              </w:rPr>
              <w:t xml:space="preserve"> Ministry</w:t>
            </w:r>
            <w:r w:rsidR="00EA6E71" w:rsidRPr="007C4D65">
              <w:rPr>
                <w:rFonts w:asciiTheme="minorHAnsi" w:eastAsia="Calibri" w:hAnsiTheme="minorHAnsi" w:cstheme="minorHAnsi"/>
                <w:sz w:val="18"/>
                <w:szCs w:val="18"/>
                <w:lang w:eastAsia="en-US"/>
              </w:rPr>
              <w:t xml:space="preserve"> of Environment and Tourism</w:t>
            </w:r>
          </w:p>
        </w:tc>
      </w:tr>
      <w:tr w:rsidR="00EA6E71" w:rsidRPr="007C4D65" w14:paraId="0823F2C4"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50280D3" w14:textId="17D9077D" w:rsidR="00EA6E71" w:rsidRPr="007C4D65" w:rsidRDefault="00963086" w:rsidP="00EA6E71">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shd w:val="clear" w:color="auto" w:fill="FFFFFF"/>
            <w:vAlign w:val="center"/>
          </w:tcPr>
          <w:p w14:paraId="3C14E1B7" w14:textId="01616654" w:rsidR="00EA6E71" w:rsidRPr="007C4D65" w:rsidRDefault="00EA6E71" w:rsidP="00EA6E7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Entities which are </w:t>
            </w:r>
            <w:r w:rsidR="00CF7231" w:rsidRPr="007C4D65">
              <w:rPr>
                <w:rFonts w:asciiTheme="minorHAnsi" w:eastAsiaTheme="minorHAnsi" w:hAnsiTheme="minorHAnsi" w:cstheme="minorHAnsi"/>
                <w:sz w:val="18"/>
                <w:szCs w:val="18"/>
                <w:lang w:eastAsia="en-US" w:bidi="en-US"/>
              </w:rPr>
              <w:t>required</w:t>
            </w:r>
            <w:r w:rsidRPr="007C4D65">
              <w:rPr>
                <w:rFonts w:asciiTheme="minorHAnsi" w:eastAsiaTheme="minorHAnsi" w:hAnsiTheme="minorHAnsi" w:cstheme="minorHAnsi"/>
                <w:sz w:val="18"/>
                <w:szCs w:val="18"/>
                <w:lang w:eastAsia="en-US" w:bidi="en-US"/>
              </w:rPr>
              <w:t xml:space="preserve"> to apply BAT</w:t>
            </w:r>
            <w:r w:rsidR="00CF7231" w:rsidRPr="007C4D65">
              <w:rPr>
                <w:rFonts w:asciiTheme="minorHAnsi" w:eastAsiaTheme="minorHAnsi" w:hAnsiTheme="minorHAnsi" w:cstheme="minorHAnsi"/>
                <w:sz w:val="18"/>
                <w:szCs w:val="18"/>
                <w:lang w:eastAsia="en-US" w:bidi="en-US"/>
              </w:rPr>
              <w:t>s</w:t>
            </w:r>
            <w:r w:rsidRPr="007C4D65">
              <w:rPr>
                <w:rFonts w:asciiTheme="minorHAnsi" w:eastAsiaTheme="minorHAnsi" w:hAnsiTheme="minorHAnsi" w:cstheme="minorHAnsi"/>
                <w:sz w:val="18"/>
                <w:szCs w:val="18"/>
                <w:lang w:eastAsia="en-US" w:bidi="en-US"/>
              </w:rPr>
              <w:t xml:space="preserve">, </w:t>
            </w:r>
            <w:proofErr w:type="gramStart"/>
            <w:r w:rsidRPr="007C4D65">
              <w:rPr>
                <w:rFonts w:asciiTheme="minorHAnsi" w:eastAsiaTheme="minorHAnsi" w:hAnsiTheme="minorHAnsi" w:cstheme="minorHAnsi"/>
                <w:sz w:val="18"/>
                <w:szCs w:val="18"/>
                <w:lang w:eastAsia="en-US" w:bidi="en-US"/>
              </w:rPr>
              <w:t>general public</w:t>
            </w:r>
            <w:proofErr w:type="gramEnd"/>
          </w:p>
        </w:tc>
      </w:tr>
    </w:tbl>
    <w:p w14:paraId="43588305" w14:textId="77777777" w:rsidR="00EA6E71" w:rsidRPr="007C4D65" w:rsidRDefault="00EA6E71" w:rsidP="0068355A">
      <w:pPr>
        <w:spacing w:line="276" w:lineRule="auto"/>
        <w:rPr>
          <w:rFonts w:asciiTheme="minorHAnsi" w:hAnsiTheme="minorHAnsi" w:cstheme="minorHAnsi"/>
          <w:sz w:val="18"/>
          <w:szCs w:val="18"/>
        </w:rPr>
      </w:pPr>
    </w:p>
    <w:tbl>
      <w:tblPr>
        <w:tblW w:w="4675"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5"/>
        <w:gridCol w:w="3492"/>
        <w:gridCol w:w="3242"/>
        <w:gridCol w:w="2762"/>
      </w:tblGrid>
      <w:tr w:rsidR="00226427" w:rsidRPr="007C4D65" w14:paraId="37A05766" w14:textId="77777777" w:rsidTr="00B6017F">
        <w:trPr>
          <w:trHeight w:val="567"/>
        </w:trPr>
        <w:tc>
          <w:tcPr>
            <w:tcW w:w="1359" w:type="pct"/>
            <w:shd w:val="clear" w:color="auto" w:fill="009D73"/>
            <w:vAlign w:val="center"/>
          </w:tcPr>
          <w:p w14:paraId="55F6B71F"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Link with strategic goal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4DC045D" w14:textId="77777777" w:rsidR="00226427" w:rsidRPr="007C4D65" w:rsidRDefault="00226427" w:rsidP="00226427">
            <w:pPr>
              <w:spacing w:before="40" w:after="40" w:line="276"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7. Strengthening environmental management</w:t>
            </w:r>
          </w:p>
        </w:tc>
      </w:tr>
      <w:tr w:rsidR="00226427" w:rsidRPr="007C4D65" w14:paraId="44259F5E" w14:textId="77777777" w:rsidTr="00B6017F">
        <w:trPr>
          <w:trHeight w:val="567"/>
        </w:trPr>
        <w:tc>
          <w:tcPr>
            <w:tcW w:w="1359" w:type="pct"/>
            <w:shd w:val="clear" w:color="auto" w:fill="009D73"/>
            <w:vAlign w:val="center"/>
          </w:tcPr>
          <w:p w14:paraId="1D45C863"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92539C3" w14:textId="185F7EE8" w:rsidR="00226427" w:rsidRPr="007C4D65" w:rsidRDefault="00226427" w:rsidP="00226427">
            <w:pPr>
              <w:spacing w:before="40" w:after="40" w:line="276" w:lineRule="auto"/>
              <w:rPr>
                <w:rFonts w:asciiTheme="minorHAnsi" w:hAnsiTheme="minorHAnsi" w:cstheme="minorHAnsi"/>
                <w:b/>
                <w:bCs/>
                <w:sz w:val="18"/>
                <w:szCs w:val="18"/>
                <w:lang w:eastAsia="zh-TW"/>
              </w:rPr>
            </w:pPr>
            <w:r w:rsidRPr="007C4D65">
              <w:rPr>
                <w:rFonts w:asciiTheme="minorHAnsi" w:hAnsiTheme="minorHAnsi" w:cstheme="minorHAnsi"/>
                <w:b/>
                <w:bCs/>
                <w:sz w:val="18"/>
                <w:szCs w:val="18"/>
                <w:lang w:eastAsia="zh-TW"/>
              </w:rPr>
              <w:t xml:space="preserve">7.3 </w:t>
            </w:r>
            <w:r w:rsidR="00864E60" w:rsidRPr="007C4D65">
              <w:rPr>
                <w:rFonts w:asciiTheme="minorHAnsi" w:eastAsia="Calibri" w:hAnsiTheme="minorHAnsi" w:cstheme="minorHAnsi"/>
                <w:b/>
                <w:bCs/>
                <w:sz w:val="18"/>
                <w:szCs w:val="18"/>
                <w:lang w:eastAsia="en-US"/>
              </w:rPr>
              <w:t>Maximise the capacity of institutions and their coordination</w:t>
            </w:r>
          </w:p>
        </w:tc>
      </w:tr>
      <w:tr w:rsidR="00226427" w:rsidRPr="007C4D65" w14:paraId="2541991B" w14:textId="77777777" w:rsidTr="00B6017F">
        <w:trPr>
          <w:trHeight w:val="567"/>
        </w:trPr>
        <w:tc>
          <w:tcPr>
            <w:tcW w:w="1359" w:type="pct"/>
            <w:shd w:val="clear" w:color="auto" w:fill="009D73"/>
            <w:vAlign w:val="center"/>
          </w:tcPr>
          <w:p w14:paraId="725FB575"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CF384FB" w14:textId="109F6782" w:rsidR="00226427" w:rsidRPr="007C4D65" w:rsidRDefault="00226427" w:rsidP="002D7967">
            <w:pPr>
              <w:spacing w:after="160" w:line="276" w:lineRule="auto"/>
              <w:jc w:val="both"/>
              <w:rPr>
                <w:rFonts w:asciiTheme="minorHAnsi" w:eastAsia="Calibri" w:hAnsiTheme="minorHAnsi" w:cstheme="minorHAnsi"/>
                <w:b/>
                <w:sz w:val="18"/>
                <w:szCs w:val="18"/>
                <w:lang w:eastAsia="x-none"/>
              </w:rPr>
            </w:pPr>
            <w:bookmarkStart w:id="322" w:name="_Hlk95004617"/>
            <w:r w:rsidRPr="007C4D65">
              <w:rPr>
                <w:rFonts w:asciiTheme="minorHAnsi" w:eastAsia="Calibri" w:hAnsiTheme="minorHAnsi" w:cstheme="minorHAnsi"/>
                <w:b/>
                <w:sz w:val="18"/>
                <w:szCs w:val="18"/>
                <w:lang w:eastAsia="x-none"/>
              </w:rPr>
              <w:t>7.3.1</w:t>
            </w:r>
            <w:r w:rsidRPr="007C4D65">
              <w:rPr>
                <w:rFonts w:asciiTheme="minorHAnsi" w:eastAsia="Calibri" w:hAnsiTheme="minorHAnsi" w:cstheme="minorHAnsi"/>
                <w:bCs/>
                <w:sz w:val="18"/>
                <w:szCs w:val="18"/>
                <w:lang w:eastAsia="x-none"/>
              </w:rPr>
              <w:t xml:space="preserve"> </w:t>
            </w:r>
            <w:r w:rsidRPr="007C4D65">
              <w:rPr>
                <w:rFonts w:asciiTheme="minorHAnsi" w:eastAsia="Calibri" w:hAnsiTheme="minorHAnsi" w:cstheme="minorHAnsi"/>
                <w:b/>
                <w:sz w:val="18"/>
                <w:szCs w:val="18"/>
                <w:lang w:eastAsia="x-none"/>
              </w:rPr>
              <w:t xml:space="preserve">Establishment of </w:t>
            </w:r>
            <w:r w:rsidR="003E4DC3" w:rsidRPr="007C4D65">
              <w:rPr>
                <w:rFonts w:asciiTheme="minorHAnsi" w:eastAsia="Calibri" w:hAnsiTheme="minorHAnsi" w:cstheme="minorHAnsi"/>
                <w:b/>
                <w:sz w:val="18"/>
                <w:szCs w:val="18"/>
                <w:lang w:eastAsia="x-none"/>
              </w:rPr>
              <w:t xml:space="preserve">effective </w:t>
            </w:r>
            <w:r w:rsidRPr="007C4D65">
              <w:rPr>
                <w:rFonts w:asciiTheme="minorHAnsi" w:eastAsia="Calibri" w:hAnsiTheme="minorHAnsi" w:cstheme="minorHAnsi"/>
                <w:b/>
                <w:sz w:val="18"/>
                <w:szCs w:val="18"/>
                <w:lang w:eastAsia="x-none"/>
              </w:rPr>
              <w:t>mechanisms for</w:t>
            </w:r>
            <w:r w:rsidR="003E4DC3" w:rsidRPr="007C4D65">
              <w:rPr>
                <w:rFonts w:asciiTheme="minorHAnsi" w:eastAsia="Calibri" w:hAnsiTheme="minorHAnsi" w:cstheme="minorHAnsi"/>
                <w:b/>
                <w:sz w:val="18"/>
                <w:szCs w:val="18"/>
                <w:lang w:eastAsia="x-none"/>
              </w:rPr>
              <w:t xml:space="preserve"> coordination of activities of the environmental institutions</w:t>
            </w:r>
            <w:r w:rsidRPr="007C4D65">
              <w:rPr>
                <w:rFonts w:asciiTheme="minorHAnsi" w:eastAsia="Calibri" w:hAnsiTheme="minorHAnsi" w:cstheme="minorHAnsi"/>
                <w:b/>
                <w:sz w:val="18"/>
                <w:szCs w:val="18"/>
                <w:lang w:eastAsia="x-none"/>
              </w:rPr>
              <w:t xml:space="preserve"> in the Federation of Bosnia and Herzegovina</w:t>
            </w:r>
            <w:bookmarkEnd w:id="322"/>
          </w:p>
        </w:tc>
      </w:tr>
      <w:tr w:rsidR="00226427" w:rsidRPr="007C4D65" w14:paraId="0951C675"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09B6777" w14:textId="77777777" w:rsidR="00226427" w:rsidRPr="007C4D65" w:rsidRDefault="00226427" w:rsidP="00226427">
            <w:pPr>
              <w:spacing w:before="40" w:after="40" w:line="276" w:lineRule="auto"/>
              <w:ind w:left="406"/>
              <w:contextualSpacing/>
              <w:jc w:val="both"/>
              <w:rPr>
                <w:rFonts w:asciiTheme="minorHAnsi" w:eastAsia="Calibri" w:hAnsiTheme="minorHAnsi" w:cstheme="minorHAnsi"/>
                <w:sz w:val="18"/>
                <w:szCs w:val="18"/>
                <w:lang w:eastAsia="en-US"/>
              </w:rPr>
            </w:pPr>
            <w:r w:rsidRPr="007C4D65">
              <w:rPr>
                <w:rFonts w:asciiTheme="minorHAnsi" w:eastAsia="Calibri" w:hAnsiTheme="minorHAnsi" w:cstheme="minorHAnsi"/>
                <w:b/>
                <w:bCs/>
                <w:color w:val="FFFFFF"/>
                <w:sz w:val="18"/>
                <w:szCs w:val="18"/>
                <w:lang w:eastAsia="en-US" w:bidi="en-US"/>
              </w:rPr>
              <w:t>Description of the measure with the general area of intervention</w:t>
            </w:r>
          </w:p>
          <w:p w14:paraId="44DD2515"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2E48332" w14:textId="69F10A3A" w:rsidR="00226427" w:rsidRPr="007C4D65" w:rsidRDefault="00226427" w:rsidP="00226427">
            <w:pPr>
              <w:spacing w:after="160" w:line="276" w:lineRule="auto"/>
              <w:jc w:val="both"/>
              <w:rPr>
                <w:rFonts w:asciiTheme="minorHAnsi" w:eastAsia="Calibri" w:hAnsiTheme="minorHAnsi" w:cstheme="minorHAnsi"/>
                <w:sz w:val="18"/>
                <w:szCs w:val="18"/>
                <w:lang w:eastAsia="en-US"/>
              </w:rPr>
            </w:pPr>
            <w:bookmarkStart w:id="323" w:name="_Hlk96416002"/>
            <w:bookmarkStart w:id="324" w:name="_Hlk95004633"/>
            <w:r w:rsidRPr="007C4D65">
              <w:rPr>
                <w:rFonts w:asciiTheme="minorHAnsi" w:eastAsia="Calibri" w:hAnsiTheme="minorHAnsi" w:cstheme="minorHAnsi"/>
                <w:sz w:val="18"/>
                <w:szCs w:val="18"/>
                <w:lang w:eastAsia="en-US"/>
              </w:rPr>
              <w:t xml:space="preserve">The aim of this measure is </w:t>
            </w:r>
            <w:bookmarkEnd w:id="323"/>
            <w:r w:rsidRPr="007C4D65">
              <w:rPr>
                <w:rFonts w:asciiTheme="minorHAnsi" w:eastAsia="Calibri" w:hAnsiTheme="minorHAnsi" w:cstheme="minorHAnsi"/>
                <w:sz w:val="18"/>
                <w:szCs w:val="18"/>
                <w:lang w:eastAsia="en-US"/>
              </w:rPr>
              <w:t xml:space="preserve">establishment of </w:t>
            </w:r>
            <w:r w:rsidR="00DA6E05" w:rsidRPr="007C4D65">
              <w:rPr>
                <w:rFonts w:asciiTheme="minorHAnsi" w:eastAsia="Calibri" w:hAnsiTheme="minorHAnsi" w:cstheme="minorHAnsi"/>
                <w:sz w:val="18"/>
                <w:szCs w:val="18"/>
                <w:lang w:eastAsia="en-US"/>
              </w:rPr>
              <w:t>effective</w:t>
            </w:r>
            <w:r w:rsidRPr="007C4D65">
              <w:rPr>
                <w:rFonts w:asciiTheme="minorHAnsi" w:eastAsia="Calibri" w:hAnsiTheme="minorHAnsi" w:cstheme="minorHAnsi"/>
                <w:sz w:val="18"/>
                <w:szCs w:val="18"/>
                <w:lang w:eastAsia="en-US"/>
              </w:rPr>
              <w:t xml:space="preserve"> </w:t>
            </w:r>
            <w:r w:rsidRPr="007C4D65">
              <w:rPr>
                <w:rFonts w:asciiTheme="minorHAnsi" w:eastAsia="Calibri" w:hAnsiTheme="minorHAnsi" w:cstheme="minorHAnsi"/>
                <w:bCs/>
                <w:sz w:val="18"/>
                <w:szCs w:val="18"/>
                <w:lang w:eastAsia="x-none"/>
              </w:rPr>
              <w:t>mechanisms</w:t>
            </w:r>
            <w:r w:rsidRPr="007C4D65">
              <w:rPr>
                <w:rFonts w:asciiTheme="minorHAnsi" w:eastAsia="Calibri" w:hAnsiTheme="minorHAnsi" w:cstheme="minorHAnsi"/>
                <w:sz w:val="18"/>
                <w:szCs w:val="18"/>
                <w:lang w:eastAsia="en-US"/>
              </w:rPr>
              <w:t xml:space="preserve"> for</w:t>
            </w:r>
            <w:r w:rsidR="00DA6E05" w:rsidRPr="007C4D65">
              <w:rPr>
                <w:rFonts w:asciiTheme="minorHAnsi" w:eastAsia="Calibri" w:hAnsiTheme="minorHAnsi" w:cstheme="minorHAnsi"/>
                <w:sz w:val="18"/>
                <w:szCs w:val="18"/>
                <w:lang w:eastAsia="en-US"/>
              </w:rPr>
              <w:t xml:space="preserve"> the environmental</w:t>
            </w:r>
            <w:r w:rsidRPr="007C4D65">
              <w:rPr>
                <w:rFonts w:asciiTheme="minorHAnsi" w:eastAsia="Calibri" w:hAnsiTheme="minorHAnsi" w:cstheme="minorHAnsi"/>
                <w:sz w:val="18"/>
                <w:szCs w:val="18"/>
                <w:lang w:eastAsia="en-US"/>
              </w:rPr>
              <w:t xml:space="preserve"> </w:t>
            </w:r>
            <w:r w:rsidRPr="007C4D65">
              <w:rPr>
                <w:rFonts w:asciiTheme="minorHAnsi" w:eastAsia="Calibri" w:hAnsiTheme="minorHAnsi" w:cstheme="minorHAnsi"/>
                <w:bCs/>
                <w:sz w:val="18"/>
                <w:szCs w:val="18"/>
                <w:lang w:eastAsia="x-none"/>
              </w:rPr>
              <w:t xml:space="preserve">institutional coordination in the Federation of </w:t>
            </w:r>
            <w:r w:rsidR="00DA6E05" w:rsidRPr="007C4D65">
              <w:rPr>
                <w:rFonts w:asciiTheme="minorHAnsi" w:eastAsia="Calibri" w:hAnsiTheme="minorHAnsi" w:cstheme="minorHAnsi"/>
                <w:bCs/>
                <w:sz w:val="18"/>
                <w:szCs w:val="18"/>
                <w:lang w:eastAsia="x-none"/>
              </w:rPr>
              <w:t>BiH</w:t>
            </w:r>
            <w:r w:rsidRPr="007C4D65">
              <w:rPr>
                <w:rFonts w:asciiTheme="minorHAnsi" w:eastAsia="Calibri" w:hAnsiTheme="minorHAnsi" w:cstheme="minorHAnsi"/>
                <w:sz w:val="18"/>
                <w:szCs w:val="18"/>
                <w:lang w:eastAsia="en-US"/>
              </w:rPr>
              <w:t>.</w:t>
            </w:r>
          </w:p>
          <w:bookmarkEnd w:id="324"/>
          <w:p w14:paraId="2484DBC3" w14:textId="77777777" w:rsidR="00226427" w:rsidRPr="007C4D65" w:rsidRDefault="00226427" w:rsidP="00226427">
            <w:pPr>
              <w:spacing w:before="40" w:after="40" w:line="276" w:lineRule="auto"/>
              <w:rPr>
                <w:rFonts w:asciiTheme="minorHAnsi" w:eastAsia="Calibri" w:hAnsiTheme="minorHAnsi" w:cstheme="minorHAnsi"/>
                <w:bCs/>
                <w:sz w:val="18"/>
                <w:szCs w:val="18"/>
                <w:lang w:eastAsia="x-none"/>
              </w:rPr>
            </w:pPr>
            <w:r w:rsidRPr="007C4D65">
              <w:rPr>
                <w:rFonts w:asciiTheme="minorHAnsi" w:eastAsia="Calibri" w:hAnsiTheme="minorHAnsi" w:cstheme="minorHAnsi"/>
                <w:sz w:val="18"/>
                <w:szCs w:val="18"/>
                <w:lang w:eastAsia="en-US"/>
              </w:rPr>
              <w:t>General areas of intervention</w:t>
            </w:r>
            <w:r w:rsidRPr="007C4D65">
              <w:rPr>
                <w:rFonts w:asciiTheme="minorHAnsi" w:eastAsia="Calibri" w:hAnsiTheme="minorHAnsi" w:cstheme="minorHAnsi"/>
                <w:bCs/>
                <w:sz w:val="18"/>
                <w:szCs w:val="18"/>
                <w:lang w:eastAsia="x-none"/>
              </w:rPr>
              <w:t>:</w:t>
            </w:r>
          </w:p>
          <w:p w14:paraId="17EF80A3" w14:textId="728891F9" w:rsidR="00226427" w:rsidRPr="007C4D65" w:rsidRDefault="00DA6E05" w:rsidP="00DA6E05">
            <w:pPr>
              <w:spacing w:before="40" w:after="40" w:line="276" w:lineRule="auto"/>
              <w:contextualSpacing/>
              <w:rPr>
                <w:rFonts w:asciiTheme="minorHAnsi" w:eastAsia="Calibri" w:hAnsiTheme="minorHAnsi" w:cstheme="minorHAnsi"/>
                <w:sz w:val="18"/>
                <w:szCs w:val="18"/>
                <w:lang w:eastAsia="x-none"/>
              </w:rPr>
            </w:pPr>
            <w:bookmarkStart w:id="325" w:name="_Hlk95004687"/>
            <w:r w:rsidRPr="007C4D65">
              <w:rPr>
                <w:rFonts w:asciiTheme="minorHAnsi" w:eastAsia="Calibri" w:hAnsiTheme="minorHAnsi" w:cstheme="minorHAnsi"/>
                <w:sz w:val="18"/>
                <w:szCs w:val="18"/>
                <w:lang w:eastAsia="x-none"/>
              </w:rPr>
              <w:lastRenderedPageBreak/>
              <w:t xml:space="preserve">1) </w:t>
            </w:r>
            <w:r w:rsidR="00226427" w:rsidRPr="007C4D65">
              <w:rPr>
                <w:rFonts w:asciiTheme="minorHAnsi" w:eastAsia="Calibri" w:hAnsiTheme="minorHAnsi" w:cstheme="minorHAnsi"/>
                <w:sz w:val="18"/>
                <w:szCs w:val="18"/>
                <w:lang w:eastAsia="x-none"/>
              </w:rPr>
              <w:t xml:space="preserve">Upgrading and </w:t>
            </w:r>
            <w:r w:rsidRPr="007C4D65">
              <w:rPr>
                <w:rFonts w:asciiTheme="minorHAnsi" w:eastAsia="Calibri" w:hAnsiTheme="minorHAnsi" w:cstheme="minorHAnsi"/>
                <w:sz w:val="18"/>
                <w:szCs w:val="18"/>
                <w:lang w:eastAsia="x-none"/>
              </w:rPr>
              <w:t>improving</w:t>
            </w:r>
            <w:r w:rsidR="00226427" w:rsidRPr="007C4D65">
              <w:rPr>
                <w:rFonts w:asciiTheme="minorHAnsi" w:eastAsia="Calibri" w:hAnsiTheme="minorHAnsi" w:cstheme="minorHAnsi"/>
                <w:sz w:val="18"/>
                <w:szCs w:val="18"/>
                <w:lang w:eastAsia="x-none"/>
              </w:rPr>
              <w:t xml:space="preserve"> coordination and </w:t>
            </w:r>
            <w:r w:rsidRPr="007C4D65">
              <w:rPr>
                <w:rFonts w:asciiTheme="minorHAnsi" w:eastAsia="Calibri" w:hAnsiTheme="minorHAnsi" w:cstheme="minorHAnsi"/>
                <w:sz w:val="18"/>
                <w:szCs w:val="18"/>
                <w:lang w:eastAsia="x-none"/>
              </w:rPr>
              <w:t>common</w:t>
            </w:r>
            <w:r w:rsidR="00226427" w:rsidRPr="007C4D65">
              <w:rPr>
                <w:rFonts w:asciiTheme="minorHAnsi" w:eastAsia="Calibri" w:hAnsiTheme="minorHAnsi" w:cstheme="minorHAnsi"/>
                <w:sz w:val="18"/>
                <w:szCs w:val="18"/>
                <w:lang w:eastAsia="x-none"/>
              </w:rPr>
              <w:t xml:space="preserve"> action of all the relevant – </w:t>
            </w:r>
            <w:r w:rsidR="00226427" w:rsidRPr="007C4D65">
              <w:rPr>
                <w:rFonts w:asciiTheme="minorHAnsi" w:eastAsia="Calibri" w:hAnsiTheme="minorHAnsi" w:cstheme="minorHAnsi"/>
                <w:sz w:val="18"/>
                <w:szCs w:val="18"/>
                <w:lang w:eastAsia="en-US"/>
              </w:rPr>
              <w:t xml:space="preserve">ministries and other institutions in the </w:t>
            </w:r>
            <w:r w:rsidR="00226427" w:rsidRPr="007C4D65">
              <w:rPr>
                <w:rFonts w:asciiTheme="minorHAnsi" w:eastAsia="Calibri" w:hAnsiTheme="minorHAnsi" w:cstheme="minorHAnsi"/>
                <w:bCs/>
                <w:sz w:val="18"/>
                <w:szCs w:val="18"/>
                <w:lang w:eastAsia="x-none"/>
              </w:rPr>
              <w:t xml:space="preserve">Federation of </w:t>
            </w:r>
            <w:r w:rsidRPr="007C4D65">
              <w:rPr>
                <w:rFonts w:asciiTheme="minorHAnsi" w:eastAsia="Calibri" w:hAnsiTheme="minorHAnsi" w:cstheme="minorHAnsi"/>
                <w:bCs/>
                <w:sz w:val="18"/>
                <w:szCs w:val="18"/>
                <w:lang w:eastAsia="x-none"/>
              </w:rPr>
              <w:t>BiH</w:t>
            </w:r>
            <w:r w:rsidR="00226427" w:rsidRPr="007C4D65">
              <w:rPr>
                <w:rFonts w:asciiTheme="minorHAnsi" w:eastAsia="Calibri" w:hAnsiTheme="minorHAnsi" w:cstheme="minorHAnsi"/>
                <w:sz w:val="18"/>
                <w:szCs w:val="18"/>
                <w:lang w:eastAsia="en-US"/>
              </w:rPr>
              <w:t xml:space="preserve"> aimed at protect</w:t>
            </w:r>
            <w:r w:rsidRPr="007C4D65">
              <w:rPr>
                <w:rFonts w:asciiTheme="minorHAnsi" w:eastAsia="Calibri" w:hAnsiTheme="minorHAnsi" w:cstheme="minorHAnsi"/>
                <w:sz w:val="18"/>
                <w:szCs w:val="18"/>
                <w:lang w:eastAsia="en-US"/>
              </w:rPr>
              <w:t>ing the</w:t>
            </w:r>
            <w:r w:rsidR="00226427" w:rsidRPr="007C4D65">
              <w:rPr>
                <w:rFonts w:asciiTheme="minorHAnsi" w:eastAsia="Calibri" w:hAnsiTheme="minorHAnsi" w:cstheme="minorHAnsi"/>
                <w:sz w:val="18"/>
                <w:szCs w:val="18"/>
                <w:lang w:eastAsia="en-US"/>
              </w:rPr>
              <w:t xml:space="preserve"> environment</w:t>
            </w:r>
            <w:bookmarkEnd w:id="325"/>
            <w:r w:rsidR="00226427" w:rsidRPr="007C4D65">
              <w:rPr>
                <w:rFonts w:asciiTheme="minorHAnsi" w:eastAsia="Calibri" w:hAnsiTheme="minorHAnsi" w:cstheme="minorHAnsi"/>
                <w:sz w:val="18"/>
                <w:szCs w:val="18"/>
                <w:lang w:eastAsia="x-none"/>
              </w:rPr>
              <w:t xml:space="preserve">, within the competencies and responsibilities of the </w:t>
            </w:r>
            <w:r w:rsidRPr="007C4D65">
              <w:rPr>
                <w:rFonts w:asciiTheme="minorHAnsi" w:eastAsia="Calibri" w:hAnsiTheme="minorHAnsi" w:cstheme="minorHAnsi"/>
                <w:sz w:val="18"/>
                <w:szCs w:val="18"/>
                <w:lang w:eastAsia="x-none"/>
              </w:rPr>
              <w:t>stakeholders</w:t>
            </w:r>
            <w:r w:rsidR="00226427" w:rsidRPr="007C4D65">
              <w:rPr>
                <w:rFonts w:asciiTheme="minorHAnsi" w:eastAsia="Calibri" w:hAnsiTheme="minorHAnsi" w:cstheme="minorHAnsi"/>
                <w:sz w:val="18"/>
                <w:szCs w:val="18"/>
                <w:lang w:eastAsia="x-none"/>
              </w:rPr>
              <w:t xml:space="preserve">, in the domain of environmentally sustainable development, </w:t>
            </w:r>
            <w:r w:rsidRPr="007C4D65">
              <w:rPr>
                <w:rFonts w:asciiTheme="minorHAnsi" w:eastAsia="Calibri" w:hAnsiTheme="minorHAnsi" w:cstheme="minorHAnsi"/>
                <w:sz w:val="18"/>
                <w:szCs w:val="18"/>
                <w:lang w:eastAsia="x-none"/>
              </w:rPr>
              <w:t>pursuant to</w:t>
            </w:r>
            <w:r w:rsidR="00226427" w:rsidRPr="007C4D65">
              <w:rPr>
                <w:rFonts w:asciiTheme="minorHAnsi" w:eastAsia="Calibri" w:hAnsiTheme="minorHAnsi" w:cstheme="minorHAnsi"/>
                <w:sz w:val="18"/>
                <w:szCs w:val="18"/>
                <w:lang w:eastAsia="x-none"/>
              </w:rPr>
              <w:t xml:space="preserve"> Article 9</w:t>
            </w:r>
            <w:r w:rsidRPr="007C4D65">
              <w:rPr>
                <w:rFonts w:asciiTheme="minorHAnsi" w:eastAsia="Calibri" w:hAnsiTheme="minorHAnsi" w:cstheme="minorHAnsi"/>
                <w:sz w:val="18"/>
                <w:szCs w:val="18"/>
                <w:lang w:eastAsia="x-none"/>
              </w:rPr>
              <w:t>(</w:t>
            </w:r>
            <w:r w:rsidR="00226427" w:rsidRPr="007C4D65">
              <w:rPr>
                <w:rFonts w:asciiTheme="minorHAnsi" w:eastAsia="Calibri" w:hAnsiTheme="minorHAnsi" w:cstheme="minorHAnsi"/>
                <w:sz w:val="18"/>
                <w:szCs w:val="18"/>
                <w:lang w:eastAsia="x-none"/>
              </w:rPr>
              <w:t>1</w:t>
            </w:r>
            <w:r w:rsidRPr="007C4D65">
              <w:rPr>
                <w:rFonts w:asciiTheme="minorHAnsi" w:eastAsia="Calibri" w:hAnsiTheme="minorHAnsi" w:cstheme="minorHAnsi"/>
                <w:sz w:val="18"/>
                <w:szCs w:val="18"/>
                <w:lang w:eastAsia="x-none"/>
              </w:rPr>
              <w:t xml:space="preserve">) </w:t>
            </w:r>
            <w:r w:rsidR="00226427" w:rsidRPr="007C4D65">
              <w:rPr>
                <w:rFonts w:asciiTheme="minorHAnsi" w:eastAsia="Calibri" w:hAnsiTheme="minorHAnsi" w:cstheme="minorHAnsi"/>
                <w:sz w:val="18"/>
                <w:szCs w:val="18"/>
                <w:lang w:eastAsia="x-none"/>
              </w:rPr>
              <w:t xml:space="preserve">of the Law on Environmental Protection. </w:t>
            </w:r>
            <w:r w:rsidRPr="007C4D65">
              <w:rPr>
                <w:rFonts w:asciiTheme="minorHAnsi" w:eastAsia="Calibri" w:hAnsiTheme="minorHAnsi" w:cstheme="minorHAnsi"/>
                <w:sz w:val="18"/>
                <w:szCs w:val="18"/>
                <w:lang w:eastAsia="x-none"/>
              </w:rPr>
              <w:t>Two proposals were offered for the</w:t>
            </w:r>
            <w:r w:rsidR="00226427" w:rsidRPr="007C4D65">
              <w:rPr>
                <w:rFonts w:asciiTheme="minorHAnsi" w:eastAsia="Calibri" w:hAnsiTheme="minorHAnsi" w:cstheme="minorHAnsi"/>
                <w:sz w:val="18"/>
                <w:szCs w:val="18"/>
                <w:lang w:eastAsia="x-none"/>
              </w:rPr>
              <w:t xml:space="preserve"> improvement of horizontal coordination:</w:t>
            </w:r>
          </w:p>
          <w:p w14:paraId="5A26BAEA" w14:textId="561E2820" w:rsidR="00226427" w:rsidRPr="007C4D65" w:rsidRDefault="00226427">
            <w:pPr>
              <w:numPr>
                <w:ilvl w:val="1"/>
                <w:numId w:val="158"/>
              </w:numPr>
              <w:spacing w:before="40" w:after="40" w:line="276" w:lineRule="auto"/>
              <w:ind w:left="832" w:hanging="284"/>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Establishment of the Sectoral Council, </w:t>
            </w:r>
            <w:r w:rsidR="00DA6E05" w:rsidRPr="007C4D65">
              <w:rPr>
                <w:rFonts w:asciiTheme="minorHAnsi" w:eastAsia="Calibri" w:hAnsiTheme="minorHAnsi" w:cstheme="minorHAnsi"/>
                <w:sz w:val="18"/>
                <w:szCs w:val="18"/>
                <w:lang w:eastAsia="x-none"/>
              </w:rPr>
              <w:t>comprising</w:t>
            </w:r>
            <w:r w:rsidRPr="007C4D65">
              <w:rPr>
                <w:rFonts w:asciiTheme="minorHAnsi" w:eastAsia="Calibri" w:hAnsiTheme="minorHAnsi" w:cstheme="minorHAnsi"/>
                <w:sz w:val="18"/>
                <w:szCs w:val="18"/>
                <w:lang w:eastAsia="x-none"/>
              </w:rPr>
              <w:t xml:space="preserve"> minister</w:t>
            </w:r>
            <w:r w:rsidR="00DA6E05"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eastAsia="x-none"/>
              </w:rPr>
              <w:t xml:space="preserve"> and assistant ministers at federal and cantonal level and environmental experts and, if required, </w:t>
            </w:r>
            <w:r w:rsidR="00DA6E05" w:rsidRPr="007C4D65">
              <w:rPr>
                <w:rFonts w:asciiTheme="minorHAnsi" w:eastAsia="Calibri" w:hAnsiTheme="minorHAnsi" w:cstheme="minorHAnsi"/>
                <w:sz w:val="18"/>
                <w:szCs w:val="18"/>
                <w:lang w:eastAsia="x-none"/>
              </w:rPr>
              <w:t xml:space="preserve">experts </w:t>
            </w:r>
            <w:r w:rsidRPr="007C4D65">
              <w:rPr>
                <w:rFonts w:asciiTheme="minorHAnsi" w:eastAsia="Calibri" w:hAnsiTheme="minorHAnsi" w:cstheme="minorHAnsi"/>
                <w:sz w:val="18"/>
                <w:szCs w:val="18"/>
                <w:lang w:eastAsia="x-none"/>
              </w:rPr>
              <w:t xml:space="preserve">from other </w:t>
            </w:r>
            <w:r w:rsidR="00DA6E05" w:rsidRPr="007C4D65">
              <w:rPr>
                <w:rFonts w:asciiTheme="minorHAnsi" w:eastAsia="Calibri" w:hAnsiTheme="minorHAnsi" w:cstheme="minorHAnsi"/>
                <w:sz w:val="18"/>
                <w:szCs w:val="18"/>
                <w:lang w:eastAsia="x-none"/>
              </w:rPr>
              <w:t>associated</w:t>
            </w:r>
            <w:r w:rsidRPr="007C4D65">
              <w:rPr>
                <w:rFonts w:asciiTheme="minorHAnsi" w:eastAsia="Calibri" w:hAnsiTheme="minorHAnsi" w:cstheme="minorHAnsi"/>
                <w:sz w:val="18"/>
                <w:szCs w:val="18"/>
                <w:lang w:eastAsia="x-none"/>
              </w:rPr>
              <w:t xml:space="preserve"> fields (stipulated </w:t>
            </w:r>
            <w:r w:rsidR="00DA6E05" w:rsidRPr="007C4D65">
              <w:rPr>
                <w:rFonts w:asciiTheme="minorHAnsi" w:eastAsia="Calibri" w:hAnsiTheme="minorHAnsi" w:cstheme="minorHAnsi"/>
                <w:sz w:val="18"/>
                <w:szCs w:val="18"/>
                <w:lang w:eastAsia="x-none"/>
              </w:rPr>
              <w:t>in</w:t>
            </w:r>
            <w:r w:rsidRPr="007C4D65">
              <w:rPr>
                <w:rFonts w:asciiTheme="minorHAnsi" w:eastAsia="Calibri" w:hAnsiTheme="minorHAnsi" w:cstheme="minorHAnsi"/>
                <w:sz w:val="18"/>
                <w:szCs w:val="18"/>
                <w:lang w:eastAsia="x-none"/>
              </w:rPr>
              <w:t xml:space="preserve"> the Law on Development</w:t>
            </w:r>
            <w:r w:rsidRPr="007C4D65">
              <w:rPr>
                <w:rFonts w:asciiTheme="minorHAnsi" w:eastAsia="Calibri" w:hAnsiTheme="minorHAnsi" w:cstheme="minorHAnsi"/>
                <w:sz w:val="18"/>
                <w:szCs w:val="18"/>
                <w:u w:val="single"/>
                <w:lang w:eastAsia="x-none"/>
              </w:rPr>
              <w:t xml:space="preserve"> </w:t>
            </w:r>
            <w:r w:rsidRPr="007C4D65">
              <w:rPr>
                <w:rFonts w:asciiTheme="minorHAnsi" w:eastAsia="Calibri" w:hAnsiTheme="minorHAnsi" w:cstheme="minorHAnsi"/>
                <w:sz w:val="18"/>
                <w:szCs w:val="18"/>
                <w:lang w:eastAsia="x-none"/>
              </w:rPr>
              <w:t xml:space="preserve">Planning and Management in the Federation of </w:t>
            </w:r>
            <w:r w:rsidR="00DA6E05" w:rsidRPr="007C4D65">
              <w:rPr>
                <w:rFonts w:asciiTheme="minorHAnsi" w:eastAsia="Calibri" w:hAnsiTheme="minorHAnsi" w:cstheme="minorHAnsi"/>
                <w:sz w:val="18"/>
                <w:szCs w:val="18"/>
                <w:lang w:eastAsia="x-none"/>
              </w:rPr>
              <w:t>BiH</w:t>
            </w:r>
            <w:r w:rsidRPr="007C4D65">
              <w:rPr>
                <w:rFonts w:asciiTheme="minorHAnsi" w:eastAsia="Calibri" w:hAnsiTheme="minorHAnsi" w:cstheme="minorHAnsi"/>
                <w:sz w:val="18"/>
                <w:szCs w:val="18"/>
                <w:lang w:eastAsia="x-none"/>
              </w:rPr>
              <w:t xml:space="preserve"> (Official Gazette of </w:t>
            </w:r>
            <w:r w:rsidR="00227D11" w:rsidRPr="007C4D65">
              <w:rPr>
                <w:rFonts w:asciiTheme="minorHAnsi" w:eastAsia="Calibri" w:hAnsiTheme="minorHAnsi" w:cstheme="minorHAnsi"/>
                <w:sz w:val="18"/>
                <w:szCs w:val="18"/>
                <w:lang w:eastAsia="x-none"/>
              </w:rPr>
              <w:t>the Federation of BiH</w:t>
            </w:r>
            <w:r w:rsidRPr="007C4D65">
              <w:rPr>
                <w:rFonts w:asciiTheme="minorHAnsi" w:eastAsia="Calibri" w:hAnsiTheme="minorHAnsi" w:cstheme="minorHAnsi"/>
                <w:sz w:val="18"/>
                <w:szCs w:val="18"/>
                <w:lang w:eastAsia="x-none"/>
              </w:rPr>
              <w:t>, 32/17)</w:t>
            </w:r>
            <w:proofErr w:type="gramStart"/>
            <w:r w:rsidRPr="007C4D65">
              <w:rPr>
                <w:rFonts w:asciiTheme="minorHAnsi" w:eastAsia="Calibri" w:hAnsiTheme="minorHAnsi" w:cstheme="minorHAnsi"/>
                <w:sz w:val="18"/>
                <w:szCs w:val="18"/>
                <w:lang w:eastAsia="x-none"/>
              </w:rPr>
              <w:t>);</w:t>
            </w:r>
            <w:proofErr w:type="gramEnd"/>
          </w:p>
          <w:p w14:paraId="1ADD8AB6" w14:textId="3885B0D4" w:rsidR="00226427" w:rsidRPr="007C4D65" w:rsidRDefault="00226427">
            <w:pPr>
              <w:numPr>
                <w:ilvl w:val="1"/>
                <w:numId w:val="158"/>
              </w:numPr>
              <w:spacing w:before="40" w:after="40" w:line="276" w:lineRule="auto"/>
              <w:ind w:left="832" w:hanging="284"/>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Using </w:t>
            </w:r>
            <w:r w:rsidR="00DA6E05"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capacit</w:t>
            </w:r>
            <w:r w:rsidR="00DA6E05" w:rsidRPr="007C4D65">
              <w:rPr>
                <w:rFonts w:asciiTheme="minorHAnsi" w:eastAsia="Calibri" w:hAnsiTheme="minorHAnsi" w:cstheme="minorHAnsi"/>
                <w:sz w:val="18"/>
                <w:szCs w:val="18"/>
                <w:lang w:eastAsia="x-none"/>
              </w:rPr>
              <w:t>y</w:t>
            </w:r>
            <w:r w:rsidRPr="007C4D65">
              <w:rPr>
                <w:rFonts w:asciiTheme="minorHAnsi" w:eastAsia="Calibri" w:hAnsiTheme="minorHAnsi" w:cstheme="minorHAnsi"/>
                <w:sz w:val="18"/>
                <w:szCs w:val="18"/>
                <w:lang w:eastAsia="x-none"/>
              </w:rPr>
              <w:t xml:space="preserve"> of the </w:t>
            </w:r>
            <w:r w:rsidR="00DA6E05" w:rsidRPr="007C4D65">
              <w:rPr>
                <w:rFonts w:asciiTheme="minorHAnsi" w:eastAsia="Calibri" w:hAnsiTheme="minorHAnsi" w:cstheme="minorHAnsi"/>
                <w:sz w:val="18"/>
                <w:szCs w:val="18"/>
                <w:lang w:eastAsia="x-none"/>
              </w:rPr>
              <w:t xml:space="preserve">Environmental Advisory Committee </w:t>
            </w:r>
            <w:r w:rsidRPr="007C4D65">
              <w:rPr>
                <w:rFonts w:asciiTheme="minorHAnsi" w:eastAsia="Calibri" w:hAnsiTheme="minorHAnsi" w:cstheme="minorHAnsi"/>
                <w:sz w:val="18"/>
                <w:szCs w:val="18"/>
                <w:lang w:eastAsia="x-none"/>
              </w:rPr>
              <w:t xml:space="preserve">of the Federation of Bosnia and Herzegovina (regulated </w:t>
            </w:r>
            <w:r w:rsidR="00DA6E05" w:rsidRPr="007C4D65">
              <w:rPr>
                <w:rFonts w:asciiTheme="minorHAnsi" w:eastAsia="Calibri" w:hAnsiTheme="minorHAnsi" w:cstheme="minorHAnsi"/>
                <w:sz w:val="18"/>
                <w:szCs w:val="18"/>
                <w:lang w:eastAsia="x-none"/>
              </w:rPr>
              <w:t>in</w:t>
            </w:r>
            <w:r w:rsidRPr="007C4D65">
              <w:rPr>
                <w:rFonts w:asciiTheme="minorHAnsi" w:eastAsia="Calibri" w:hAnsiTheme="minorHAnsi" w:cstheme="minorHAnsi"/>
                <w:sz w:val="18"/>
                <w:szCs w:val="18"/>
                <w:lang w:eastAsia="x-none"/>
              </w:rPr>
              <w:t xml:space="preserve"> Article 25 of the Law on Environmental Protection (Official Gazette of </w:t>
            </w:r>
            <w:r w:rsidR="00227D11" w:rsidRPr="007C4D65">
              <w:rPr>
                <w:rFonts w:asciiTheme="minorHAnsi" w:eastAsia="Calibri" w:hAnsiTheme="minorHAnsi" w:cstheme="minorHAnsi"/>
                <w:sz w:val="18"/>
                <w:szCs w:val="18"/>
                <w:lang w:eastAsia="x-none"/>
              </w:rPr>
              <w:t>the Federation of BiH</w:t>
            </w:r>
            <w:r w:rsidRPr="007C4D65">
              <w:rPr>
                <w:rFonts w:asciiTheme="minorHAnsi" w:eastAsia="Calibri" w:hAnsiTheme="minorHAnsi" w:cstheme="minorHAnsi"/>
                <w:sz w:val="18"/>
                <w:szCs w:val="18"/>
                <w:lang w:eastAsia="x-none"/>
              </w:rPr>
              <w:t>, 15/21</w:t>
            </w:r>
            <w:proofErr w:type="gramStart"/>
            <w:r w:rsidRPr="007C4D65">
              <w:rPr>
                <w:rFonts w:asciiTheme="minorHAnsi" w:eastAsia="Calibri" w:hAnsiTheme="minorHAnsi" w:cstheme="minorHAnsi"/>
                <w:sz w:val="18"/>
                <w:szCs w:val="18"/>
                <w:lang w:eastAsia="x-none"/>
              </w:rPr>
              <w:t>)</w:t>
            </w:r>
            <w:r w:rsidR="002D7967" w:rsidRPr="007C4D65">
              <w:rPr>
                <w:rFonts w:asciiTheme="minorHAnsi" w:eastAsia="Calibri" w:hAnsiTheme="minorHAnsi" w:cstheme="minorHAnsi"/>
                <w:sz w:val="18"/>
                <w:szCs w:val="18"/>
                <w:lang w:val="bs-Latn-BA" w:eastAsia="x-none"/>
              </w:rPr>
              <w:t>;</w:t>
            </w:r>
            <w:proofErr w:type="gramEnd"/>
          </w:p>
          <w:p w14:paraId="401F2A94" w14:textId="2D221D0D" w:rsidR="00226427" w:rsidRPr="007C4D65" w:rsidRDefault="00DA6E05" w:rsidP="00DA6E05">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2) </w:t>
            </w:r>
            <w:bookmarkStart w:id="326" w:name="_Hlk95004696"/>
            <w:r w:rsidR="00226427" w:rsidRPr="007C4D65">
              <w:rPr>
                <w:rFonts w:asciiTheme="minorHAnsi" w:eastAsia="Calibri" w:hAnsiTheme="minorHAnsi" w:cstheme="minorHAnsi"/>
                <w:sz w:val="18"/>
                <w:szCs w:val="18"/>
                <w:lang w:eastAsia="x-none"/>
              </w:rPr>
              <w:t xml:space="preserve">Establishment of </w:t>
            </w:r>
            <w:r w:rsidRPr="007C4D65">
              <w:rPr>
                <w:rFonts w:asciiTheme="minorHAnsi" w:eastAsia="Calibri" w:hAnsiTheme="minorHAnsi" w:cstheme="minorHAnsi"/>
                <w:sz w:val="18"/>
                <w:szCs w:val="18"/>
                <w:lang w:eastAsia="x-none"/>
              </w:rPr>
              <w:t>effective</w:t>
            </w:r>
            <w:r w:rsidR="00226427" w:rsidRPr="007C4D65">
              <w:rPr>
                <w:rFonts w:asciiTheme="minorHAnsi" w:eastAsia="Calibri" w:hAnsiTheme="minorHAnsi" w:cstheme="minorHAnsi"/>
                <w:sz w:val="18"/>
                <w:szCs w:val="18"/>
                <w:lang w:eastAsia="x-none"/>
              </w:rPr>
              <w:t xml:space="preserve"> mechanisms of coordination and cooperation between relevant entities – institutions at </w:t>
            </w:r>
            <w:r w:rsidRPr="007C4D65">
              <w:rPr>
                <w:rFonts w:asciiTheme="minorHAnsi" w:eastAsia="Calibri" w:hAnsiTheme="minorHAnsi" w:cstheme="minorHAnsi"/>
                <w:sz w:val="18"/>
                <w:szCs w:val="18"/>
                <w:lang w:eastAsia="x-none"/>
              </w:rPr>
              <w:t>the Federation</w:t>
            </w:r>
            <w:r w:rsidR="00226427" w:rsidRPr="007C4D65">
              <w:rPr>
                <w:rFonts w:asciiTheme="minorHAnsi" w:eastAsia="Calibri" w:hAnsiTheme="minorHAnsi" w:cstheme="minorHAnsi"/>
                <w:sz w:val="18"/>
                <w:szCs w:val="18"/>
                <w:lang w:eastAsia="x-none"/>
              </w:rPr>
              <w:t>, cantonal and local level aimed at protect</w:t>
            </w:r>
            <w:r w:rsidRPr="007C4D65">
              <w:rPr>
                <w:rFonts w:asciiTheme="minorHAnsi" w:eastAsia="Calibri" w:hAnsiTheme="minorHAnsi" w:cstheme="minorHAnsi"/>
                <w:sz w:val="18"/>
                <w:szCs w:val="18"/>
                <w:lang w:eastAsia="x-none"/>
              </w:rPr>
              <w:t>ing the</w:t>
            </w:r>
            <w:r w:rsidR="00226427" w:rsidRPr="007C4D65">
              <w:rPr>
                <w:rFonts w:asciiTheme="minorHAnsi" w:eastAsia="Calibri" w:hAnsiTheme="minorHAnsi" w:cstheme="minorHAnsi"/>
                <w:sz w:val="18"/>
                <w:szCs w:val="18"/>
                <w:lang w:eastAsia="x-none"/>
              </w:rPr>
              <w:t xml:space="preserve"> </w:t>
            </w:r>
            <w:bookmarkEnd w:id="326"/>
            <w:r w:rsidR="00226427" w:rsidRPr="007C4D65">
              <w:rPr>
                <w:rFonts w:asciiTheme="minorHAnsi" w:eastAsia="Calibri" w:hAnsiTheme="minorHAnsi" w:cstheme="minorHAnsi"/>
                <w:sz w:val="18"/>
                <w:szCs w:val="18"/>
                <w:lang w:eastAsia="x-none"/>
              </w:rPr>
              <w:t xml:space="preserve">environment, within the competencies and responsibilities of the institutions, in the domain of sustainable development, according to Article </w:t>
            </w:r>
            <w:proofErr w:type="gramStart"/>
            <w:r w:rsidR="00226427" w:rsidRPr="007C4D65">
              <w:rPr>
                <w:rFonts w:asciiTheme="minorHAnsi" w:eastAsia="Calibri" w:hAnsiTheme="minorHAnsi" w:cstheme="minorHAnsi"/>
                <w:sz w:val="18"/>
                <w:szCs w:val="18"/>
                <w:lang w:eastAsia="x-none"/>
              </w:rPr>
              <w:t>9</w:t>
            </w:r>
            <w:r w:rsidRPr="007C4D65">
              <w:rPr>
                <w:rFonts w:asciiTheme="minorHAnsi" w:eastAsia="Calibri" w:hAnsiTheme="minorHAnsi" w:cstheme="minorHAnsi"/>
                <w:sz w:val="18"/>
                <w:szCs w:val="18"/>
                <w:lang w:eastAsia="x-none"/>
              </w:rPr>
              <w:t>(</w:t>
            </w:r>
            <w:r w:rsidR="00226427" w:rsidRPr="007C4D65">
              <w:rPr>
                <w:rFonts w:asciiTheme="minorHAnsi" w:eastAsia="Calibri" w:hAnsiTheme="minorHAnsi" w:cstheme="minorHAnsi"/>
                <w:sz w:val="18"/>
                <w:szCs w:val="18"/>
                <w:lang w:eastAsia="x-none"/>
              </w:rPr>
              <w:t xml:space="preserve"> 1</w:t>
            </w:r>
            <w:proofErr w:type="gramEnd"/>
            <w:r w:rsidRPr="007C4D65">
              <w:rPr>
                <w:rFonts w:asciiTheme="minorHAnsi" w:eastAsia="Calibri" w:hAnsiTheme="minorHAnsi" w:cstheme="minorHAnsi"/>
                <w:sz w:val="18"/>
                <w:szCs w:val="18"/>
                <w:lang w:eastAsia="x-none"/>
              </w:rPr>
              <w:t>)</w:t>
            </w:r>
            <w:r w:rsidR="00226427" w:rsidRPr="007C4D65">
              <w:rPr>
                <w:rFonts w:asciiTheme="minorHAnsi" w:eastAsia="Calibri" w:hAnsiTheme="minorHAnsi" w:cstheme="minorHAnsi"/>
                <w:sz w:val="18"/>
                <w:szCs w:val="18"/>
                <w:lang w:eastAsia="x-none"/>
              </w:rPr>
              <w:t xml:space="preserve"> of the Law on Environmental Protection</w:t>
            </w:r>
            <w:r w:rsidR="002D7967" w:rsidRPr="007C4D65">
              <w:rPr>
                <w:rFonts w:asciiTheme="minorHAnsi" w:eastAsia="Calibri" w:hAnsiTheme="minorHAnsi" w:cstheme="minorHAnsi"/>
                <w:sz w:val="18"/>
                <w:szCs w:val="18"/>
                <w:lang w:eastAsia="x-none"/>
              </w:rPr>
              <w:t>;</w:t>
            </w:r>
          </w:p>
          <w:p w14:paraId="06B14E07" w14:textId="45603BB8" w:rsidR="00226427" w:rsidRPr="007C4D65" w:rsidRDefault="00DA6E05" w:rsidP="00DA6E05">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3) </w:t>
            </w:r>
            <w:r w:rsidR="00226427" w:rsidRPr="007C4D65">
              <w:rPr>
                <w:rFonts w:asciiTheme="minorHAnsi" w:eastAsia="Calibri" w:hAnsiTheme="minorHAnsi" w:cstheme="minorHAnsi"/>
                <w:sz w:val="18"/>
                <w:szCs w:val="18"/>
                <w:lang w:eastAsia="x-none"/>
              </w:rPr>
              <w:t xml:space="preserve">Planning activities </w:t>
            </w:r>
            <w:r w:rsidRPr="007C4D65">
              <w:rPr>
                <w:rFonts w:asciiTheme="minorHAnsi" w:eastAsia="Calibri" w:hAnsiTheme="minorHAnsi" w:cstheme="minorHAnsi"/>
                <w:sz w:val="18"/>
                <w:szCs w:val="18"/>
                <w:lang w:eastAsia="x-none"/>
              </w:rPr>
              <w:t>of continued</w:t>
            </w:r>
            <w:r w:rsidR="00226427" w:rsidRPr="007C4D65">
              <w:rPr>
                <w:rFonts w:asciiTheme="minorHAnsi" w:eastAsia="Calibri" w:hAnsiTheme="minorHAnsi" w:cstheme="minorHAnsi"/>
                <w:sz w:val="18"/>
                <w:szCs w:val="18"/>
                <w:lang w:eastAsia="x-none"/>
              </w:rPr>
              <w:t xml:space="preserve"> communication among</w:t>
            </w:r>
            <w:r w:rsidRPr="007C4D65">
              <w:rPr>
                <w:rFonts w:asciiTheme="minorHAnsi" w:eastAsia="Calibri" w:hAnsiTheme="minorHAnsi" w:cstheme="minorHAnsi"/>
                <w:sz w:val="18"/>
                <w:szCs w:val="18"/>
                <w:lang w:eastAsia="x-none"/>
              </w:rPr>
              <w:t xml:space="preserve"> the</w:t>
            </w:r>
            <w:r w:rsidR="00226427" w:rsidRPr="007C4D65">
              <w:rPr>
                <w:rFonts w:asciiTheme="minorHAnsi" w:eastAsia="Calibri" w:hAnsiTheme="minorHAnsi" w:cstheme="minorHAnsi"/>
                <w:sz w:val="18"/>
                <w:szCs w:val="18"/>
                <w:lang w:eastAsia="x-none"/>
              </w:rPr>
              <w:t xml:space="preserve"> line institutions aimed </w:t>
            </w:r>
            <w:bookmarkStart w:id="327" w:name="_Hlk95004789"/>
            <w:r w:rsidR="00226427" w:rsidRPr="007C4D65">
              <w:rPr>
                <w:rFonts w:asciiTheme="minorHAnsi" w:eastAsia="Calibri" w:hAnsiTheme="minorHAnsi" w:cstheme="minorHAnsi"/>
                <w:sz w:val="18"/>
                <w:szCs w:val="18"/>
                <w:lang w:eastAsia="x-none"/>
              </w:rPr>
              <w:t xml:space="preserve">at </w:t>
            </w:r>
            <w:r w:rsidRPr="007C4D65">
              <w:rPr>
                <w:rFonts w:asciiTheme="minorHAnsi" w:eastAsia="Calibri" w:hAnsiTheme="minorHAnsi" w:cstheme="minorHAnsi"/>
                <w:sz w:val="18"/>
                <w:szCs w:val="18"/>
                <w:lang w:eastAsia="x-none"/>
              </w:rPr>
              <w:t>explaining</w:t>
            </w:r>
            <w:r w:rsidR="00226427" w:rsidRPr="007C4D65">
              <w:rPr>
                <w:rFonts w:asciiTheme="minorHAnsi" w:eastAsia="Calibri" w:hAnsiTheme="minorHAnsi" w:cstheme="minorHAnsi"/>
                <w:sz w:val="18"/>
                <w:szCs w:val="18"/>
                <w:lang w:eastAsia="x-none"/>
              </w:rPr>
              <w:t xml:space="preserve"> and promoti</w:t>
            </w:r>
            <w:r w:rsidRPr="007C4D65">
              <w:rPr>
                <w:rFonts w:asciiTheme="minorHAnsi" w:eastAsia="Calibri" w:hAnsiTheme="minorHAnsi" w:cstheme="minorHAnsi"/>
                <w:sz w:val="18"/>
                <w:szCs w:val="18"/>
                <w:lang w:eastAsia="x-none"/>
              </w:rPr>
              <w:t xml:space="preserve">ng </w:t>
            </w:r>
            <w:r w:rsidR="00226427" w:rsidRPr="007C4D65">
              <w:rPr>
                <w:rFonts w:asciiTheme="minorHAnsi" w:eastAsia="Calibri" w:hAnsiTheme="minorHAnsi" w:cstheme="minorHAnsi"/>
                <w:sz w:val="18"/>
                <w:szCs w:val="18"/>
                <w:lang w:eastAsia="x-none"/>
              </w:rPr>
              <w:t xml:space="preserve">the role of different institutions </w:t>
            </w:r>
            <w:r w:rsidRPr="007C4D65">
              <w:rPr>
                <w:rFonts w:asciiTheme="minorHAnsi" w:eastAsia="Calibri" w:hAnsiTheme="minorHAnsi" w:cstheme="minorHAnsi"/>
                <w:sz w:val="18"/>
                <w:szCs w:val="18"/>
                <w:lang w:eastAsia="x-none"/>
              </w:rPr>
              <w:t>in environmental protection across the</w:t>
            </w:r>
            <w:r w:rsidR="00226427" w:rsidRPr="007C4D65">
              <w:rPr>
                <w:rFonts w:asciiTheme="minorHAnsi" w:eastAsia="Calibri" w:hAnsiTheme="minorHAnsi" w:cstheme="minorHAnsi"/>
                <w:sz w:val="18"/>
                <w:szCs w:val="18"/>
                <w:lang w:eastAsia="x-none"/>
              </w:rPr>
              <w:t xml:space="preserve"> levels, </w:t>
            </w:r>
            <w:proofErr w:type="gramStart"/>
            <w:r w:rsidR="00226427" w:rsidRPr="007C4D65">
              <w:rPr>
                <w:rFonts w:asciiTheme="minorHAnsi" w:eastAsia="Calibri" w:hAnsiTheme="minorHAnsi" w:cstheme="minorHAnsi"/>
                <w:sz w:val="18"/>
                <w:szCs w:val="18"/>
                <w:lang w:eastAsia="x-none"/>
              </w:rPr>
              <w:t>in particular in</w:t>
            </w:r>
            <w:proofErr w:type="gramEnd"/>
            <w:r w:rsidR="00226427" w:rsidRPr="007C4D65">
              <w:rPr>
                <w:rFonts w:asciiTheme="minorHAnsi" w:eastAsia="Calibri" w:hAnsiTheme="minorHAnsi" w:cstheme="minorHAnsi"/>
                <w:sz w:val="18"/>
                <w:szCs w:val="18"/>
                <w:lang w:eastAsia="x-none"/>
              </w:rPr>
              <w:t xml:space="preserve"> transposition and implementation of the EU</w:t>
            </w:r>
            <w:bookmarkEnd w:id="327"/>
            <w:r w:rsidR="00226427" w:rsidRPr="007C4D65">
              <w:rPr>
                <w:rFonts w:asciiTheme="minorHAnsi" w:eastAsia="Calibri" w:hAnsiTheme="minorHAnsi" w:cstheme="minorHAnsi"/>
                <w:sz w:val="18"/>
                <w:szCs w:val="18"/>
                <w:lang w:eastAsia="x-none"/>
              </w:rPr>
              <w:t xml:space="preserve"> acquis. It is possible to enhance vertical coordination based on the following principle</w:t>
            </w:r>
            <w:r w:rsidR="004E59EA" w:rsidRPr="007C4D65">
              <w:rPr>
                <w:rFonts w:asciiTheme="minorHAnsi" w:eastAsia="Calibri" w:hAnsiTheme="minorHAnsi" w:cstheme="minorHAnsi"/>
                <w:sz w:val="18"/>
                <w:szCs w:val="18"/>
                <w:lang w:eastAsia="x-none"/>
              </w:rPr>
              <w:t>s</w:t>
            </w:r>
            <w:r w:rsidR="00226427" w:rsidRPr="007C4D65">
              <w:rPr>
                <w:rFonts w:asciiTheme="minorHAnsi" w:eastAsia="Calibri" w:hAnsiTheme="minorHAnsi" w:cstheme="minorHAnsi"/>
                <w:sz w:val="18"/>
                <w:szCs w:val="18"/>
                <w:lang w:eastAsia="x-none"/>
              </w:rPr>
              <w:t>:</w:t>
            </w:r>
          </w:p>
          <w:p w14:paraId="5B0B2959" w14:textId="10C13CC3" w:rsidR="00226427" w:rsidRPr="007C4D65" w:rsidRDefault="00226427">
            <w:pPr>
              <w:numPr>
                <w:ilvl w:val="1"/>
                <w:numId w:val="158"/>
              </w:numPr>
              <w:spacing w:before="40" w:after="40" w:line="276" w:lineRule="auto"/>
              <w:ind w:left="832" w:hanging="284"/>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regular </w:t>
            </w:r>
            <w:r w:rsidR="004E59EA" w:rsidRPr="007C4D65">
              <w:rPr>
                <w:rFonts w:asciiTheme="minorHAnsi" w:eastAsia="Calibri" w:hAnsiTheme="minorHAnsi" w:cstheme="minorHAnsi"/>
                <w:sz w:val="18"/>
                <w:szCs w:val="18"/>
                <w:lang w:eastAsia="x-none"/>
              </w:rPr>
              <w:t xml:space="preserve">bi-annual </w:t>
            </w:r>
            <w:r w:rsidRPr="007C4D65">
              <w:rPr>
                <w:rFonts w:asciiTheme="minorHAnsi" w:eastAsia="Calibri" w:hAnsiTheme="minorHAnsi" w:cstheme="minorHAnsi"/>
                <w:sz w:val="18"/>
                <w:szCs w:val="18"/>
                <w:lang w:eastAsia="x-none"/>
              </w:rPr>
              <w:t xml:space="preserve">meetings of ministers responsible for environment, waters, spatial planning and energy, mining and industry, </w:t>
            </w:r>
            <w:r w:rsidR="003518B4"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 xml:space="preserve">Ministry </w:t>
            </w:r>
            <w:r w:rsidR="004E59EA" w:rsidRPr="007C4D65">
              <w:rPr>
                <w:rFonts w:asciiTheme="minorHAnsi" w:eastAsia="Calibri" w:hAnsiTheme="minorHAnsi" w:cstheme="minorHAnsi"/>
                <w:sz w:val="18"/>
                <w:szCs w:val="18"/>
                <w:lang w:eastAsia="x-none"/>
              </w:rPr>
              <w:t>of</w:t>
            </w:r>
            <w:r w:rsidRPr="007C4D65">
              <w:rPr>
                <w:rFonts w:asciiTheme="minorHAnsi" w:eastAsia="Calibri" w:hAnsiTheme="minorHAnsi" w:cstheme="minorHAnsi"/>
                <w:sz w:val="18"/>
                <w:szCs w:val="18"/>
                <w:lang w:eastAsia="x-none"/>
              </w:rPr>
              <w:t xml:space="preserve"> Foreign Trade and Economic of BiH and </w:t>
            </w:r>
            <w:proofErr w:type="gramStart"/>
            <w:r w:rsidRPr="007C4D65">
              <w:rPr>
                <w:rFonts w:asciiTheme="minorHAnsi" w:eastAsia="Calibri" w:hAnsiTheme="minorHAnsi" w:cstheme="minorHAnsi"/>
                <w:sz w:val="18"/>
                <w:szCs w:val="18"/>
                <w:lang w:eastAsia="x-none"/>
              </w:rPr>
              <w:t>Entities</w:t>
            </w:r>
            <w:r w:rsidR="002D7967" w:rsidRPr="007C4D65">
              <w:rPr>
                <w:rFonts w:asciiTheme="minorHAnsi" w:eastAsia="Calibri" w:hAnsiTheme="minorHAnsi" w:cstheme="minorHAnsi"/>
                <w:sz w:val="18"/>
                <w:szCs w:val="18"/>
                <w:lang w:eastAsia="x-none"/>
              </w:rPr>
              <w:t>;</w:t>
            </w:r>
            <w:proofErr w:type="gramEnd"/>
          </w:p>
          <w:p w14:paraId="563E2E1F" w14:textId="4B312120" w:rsidR="00226427" w:rsidRPr="007C4D65" w:rsidRDefault="003518B4">
            <w:pPr>
              <w:numPr>
                <w:ilvl w:val="1"/>
                <w:numId w:val="158"/>
              </w:numPr>
              <w:spacing w:before="40" w:after="40" w:line="276" w:lineRule="auto"/>
              <w:ind w:left="832" w:hanging="284"/>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quarterly</w:t>
            </w:r>
            <w:r w:rsidR="00226427" w:rsidRPr="007C4D65">
              <w:rPr>
                <w:rFonts w:asciiTheme="minorHAnsi" w:eastAsia="Calibri" w:hAnsiTheme="minorHAnsi" w:cstheme="minorHAnsi"/>
                <w:sz w:val="18"/>
                <w:szCs w:val="18"/>
                <w:lang w:eastAsia="x-none"/>
              </w:rPr>
              <w:t xml:space="preserve"> meetings of assistant ministers responsible for environment, waters, spatial planning and energy, mining and industry, </w:t>
            </w:r>
            <w:r w:rsidRPr="007C4D65">
              <w:rPr>
                <w:rFonts w:asciiTheme="minorHAnsi" w:eastAsia="Calibri" w:hAnsiTheme="minorHAnsi" w:cstheme="minorHAnsi"/>
                <w:sz w:val="18"/>
                <w:szCs w:val="18"/>
                <w:lang w:eastAsia="x-none"/>
              </w:rPr>
              <w:t xml:space="preserve">the </w:t>
            </w:r>
            <w:r w:rsidR="00226427" w:rsidRPr="007C4D65">
              <w:rPr>
                <w:rFonts w:asciiTheme="minorHAnsi" w:eastAsia="Calibri" w:hAnsiTheme="minorHAnsi" w:cstheme="minorHAnsi"/>
                <w:sz w:val="18"/>
                <w:szCs w:val="18"/>
                <w:lang w:eastAsia="x-none"/>
              </w:rPr>
              <w:t xml:space="preserve">Ministry for Foreign Trade and Economic of BiH and </w:t>
            </w:r>
            <w:proofErr w:type="gramStart"/>
            <w:r w:rsidR="00226427" w:rsidRPr="007C4D65">
              <w:rPr>
                <w:rFonts w:asciiTheme="minorHAnsi" w:eastAsia="Calibri" w:hAnsiTheme="minorHAnsi" w:cstheme="minorHAnsi"/>
                <w:sz w:val="18"/>
                <w:szCs w:val="18"/>
                <w:lang w:eastAsia="x-none"/>
              </w:rPr>
              <w:t>Entities</w:t>
            </w:r>
            <w:r w:rsidR="002D7967" w:rsidRPr="007C4D65">
              <w:rPr>
                <w:rFonts w:asciiTheme="minorHAnsi" w:eastAsia="Calibri" w:hAnsiTheme="minorHAnsi" w:cstheme="minorHAnsi"/>
                <w:sz w:val="18"/>
                <w:szCs w:val="18"/>
                <w:lang w:eastAsia="x-none"/>
              </w:rPr>
              <w:t>;</w:t>
            </w:r>
            <w:proofErr w:type="gramEnd"/>
          </w:p>
          <w:p w14:paraId="2A7C3F98" w14:textId="3E48BFD9" w:rsidR="00226427" w:rsidRPr="007C4D65" w:rsidRDefault="003518B4">
            <w:pPr>
              <w:numPr>
                <w:ilvl w:val="1"/>
                <w:numId w:val="158"/>
              </w:numPr>
              <w:spacing w:before="40" w:after="40" w:line="276" w:lineRule="auto"/>
              <w:ind w:left="832" w:hanging="284"/>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regular quarterly meetings </w:t>
            </w:r>
            <w:r w:rsidR="00226427" w:rsidRPr="007C4D65">
              <w:rPr>
                <w:rFonts w:asciiTheme="minorHAnsi" w:eastAsia="Calibri" w:hAnsiTheme="minorHAnsi" w:cstheme="minorHAnsi"/>
                <w:sz w:val="18"/>
                <w:szCs w:val="18"/>
                <w:lang w:eastAsia="x-none"/>
              </w:rPr>
              <w:t>with the representatives of cantonal line ministries.</w:t>
            </w:r>
          </w:p>
          <w:p w14:paraId="7BA06602" w14:textId="7FA1A21F" w:rsidR="00226427" w:rsidRPr="007C4D65" w:rsidRDefault="003518B4" w:rsidP="003518B4">
            <w:pPr>
              <w:spacing w:before="40" w:after="40" w:line="276" w:lineRule="auto"/>
              <w:contextualSpacing/>
              <w:rPr>
                <w:rFonts w:asciiTheme="minorHAnsi" w:eastAsia="Calibri" w:hAnsiTheme="minorHAnsi" w:cstheme="minorHAnsi"/>
                <w:sz w:val="18"/>
                <w:szCs w:val="18"/>
                <w:lang w:eastAsia="x-none"/>
              </w:rPr>
            </w:pPr>
            <w:bookmarkStart w:id="328" w:name="_Hlk95004804"/>
            <w:r w:rsidRPr="007C4D65">
              <w:rPr>
                <w:rFonts w:asciiTheme="minorHAnsi" w:eastAsia="Calibri" w:hAnsiTheme="minorHAnsi" w:cstheme="minorHAnsi"/>
                <w:sz w:val="18"/>
                <w:szCs w:val="18"/>
                <w:lang w:eastAsia="x-none"/>
              </w:rPr>
              <w:t xml:space="preserve">4) </w:t>
            </w:r>
            <w:r w:rsidR="00226427" w:rsidRPr="007C4D65">
              <w:rPr>
                <w:rFonts w:asciiTheme="minorHAnsi" w:eastAsia="Calibri" w:hAnsiTheme="minorHAnsi" w:cstheme="minorHAnsi"/>
                <w:sz w:val="18"/>
                <w:szCs w:val="18"/>
                <w:lang w:eastAsia="x-none"/>
              </w:rPr>
              <w:t>Ensuring better inter-cantonal cooperation and coordination in the field of environmental protection through</w:t>
            </w:r>
            <w:r w:rsidRPr="007C4D65">
              <w:rPr>
                <w:rFonts w:asciiTheme="minorHAnsi" w:eastAsia="Calibri" w:hAnsiTheme="minorHAnsi" w:cstheme="minorHAnsi"/>
                <w:sz w:val="18"/>
                <w:szCs w:val="18"/>
                <w:lang w:eastAsia="x-none"/>
              </w:rPr>
              <w:t xml:space="preserve"> an</w:t>
            </w:r>
            <w:r w:rsidR="00226427" w:rsidRPr="007C4D65">
              <w:rPr>
                <w:rFonts w:asciiTheme="minorHAnsi" w:eastAsia="Calibri" w:hAnsiTheme="minorHAnsi" w:cstheme="minorHAnsi"/>
                <w:sz w:val="18"/>
                <w:szCs w:val="18"/>
                <w:lang w:eastAsia="x-none"/>
              </w:rPr>
              <w:t xml:space="preserve"> active </w:t>
            </w:r>
            <w:r w:rsidRPr="007C4D65">
              <w:rPr>
                <w:rFonts w:asciiTheme="minorHAnsi" w:eastAsia="Calibri" w:hAnsiTheme="minorHAnsi" w:cstheme="minorHAnsi"/>
                <w:sz w:val="18"/>
                <w:szCs w:val="18"/>
                <w:lang w:eastAsia="x-none"/>
              </w:rPr>
              <w:t>engagement</w:t>
            </w:r>
            <w:r w:rsidR="00226427" w:rsidRPr="007C4D65">
              <w:rPr>
                <w:rFonts w:asciiTheme="minorHAnsi" w:eastAsia="Calibri" w:hAnsiTheme="minorHAnsi" w:cstheme="minorHAnsi"/>
                <w:sz w:val="18"/>
                <w:szCs w:val="18"/>
                <w:lang w:eastAsia="x-none"/>
              </w:rPr>
              <w:t xml:space="preserve"> of the Environmental </w:t>
            </w:r>
            <w:r w:rsidRPr="007C4D65">
              <w:rPr>
                <w:rFonts w:asciiTheme="minorHAnsi" w:eastAsia="Calibri" w:hAnsiTheme="minorHAnsi" w:cstheme="minorHAnsi"/>
                <w:sz w:val="18"/>
                <w:szCs w:val="18"/>
                <w:lang w:eastAsia="x-none"/>
              </w:rPr>
              <w:t>A</w:t>
            </w:r>
            <w:r w:rsidR="00226427" w:rsidRPr="007C4D65">
              <w:rPr>
                <w:rFonts w:asciiTheme="minorHAnsi" w:eastAsia="Calibri" w:hAnsiTheme="minorHAnsi" w:cstheme="minorHAnsi"/>
                <w:sz w:val="18"/>
                <w:szCs w:val="18"/>
                <w:lang w:eastAsia="x-none"/>
              </w:rPr>
              <w:t xml:space="preserve">dvisory </w:t>
            </w:r>
            <w:proofErr w:type="gramStart"/>
            <w:r w:rsidRPr="007C4D65">
              <w:rPr>
                <w:rFonts w:asciiTheme="minorHAnsi" w:eastAsia="Calibri" w:hAnsiTheme="minorHAnsi" w:cstheme="minorHAnsi"/>
                <w:sz w:val="18"/>
                <w:szCs w:val="18"/>
                <w:lang w:eastAsia="x-none"/>
              </w:rPr>
              <w:t>Committee</w:t>
            </w:r>
            <w:bookmarkEnd w:id="328"/>
            <w:r w:rsidR="002D7967" w:rsidRPr="007C4D65">
              <w:rPr>
                <w:rFonts w:asciiTheme="minorHAnsi" w:eastAsia="Calibri" w:hAnsiTheme="minorHAnsi" w:cstheme="minorHAnsi"/>
                <w:sz w:val="18"/>
                <w:szCs w:val="18"/>
                <w:lang w:eastAsia="x-none"/>
              </w:rPr>
              <w:t>;</w:t>
            </w:r>
            <w:proofErr w:type="gramEnd"/>
          </w:p>
          <w:p w14:paraId="537658FB" w14:textId="7BDD8111" w:rsidR="00226427" w:rsidRPr="007C4D65" w:rsidRDefault="003518B4" w:rsidP="003518B4">
            <w:pPr>
              <w:spacing w:before="40" w:after="40" w:line="276" w:lineRule="auto"/>
              <w:contextualSpacing/>
              <w:rPr>
                <w:rFonts w:asciiTheme="minorHAnsi" w:eastAsia="Calibri" w:hAnsiTheme="minorHAnsi" w:cstheme="minorHAnsi"/>
                <w:sz w:val="18"/>
                <w:szCs w:val="18"/>
                <w:lang w:eastAsia="x-none"/>
              </w:rPr>
            </w:pPr>
            <w:bookmarkStart w:id="329" w:name="_Hlk95004813"/>
            <w:r w:rsidRPr="007C4D65">
              <w:rPr>
                <w:rFonts w:asciiTheme="minorHAnsi" w:eastAsia="Calibri" w:hAnsiTheme="minorHAnsi" w:cstheme="minorHAnsi"/>
                <w:sz w:val="18"/>
                <w:szCs w:val="18"/>
                <w:lang w:eastAsia="x-none"/>
              </w:rPr>
              <w:t xml:space="preserve">5) </w:t>
            </w:r>
            <w:r w:rsidR="00226427" w:rsidRPr="007C4D65">
              <w:rPr>
                <w:rFonts w:asciiTheme="minorHAnsi" w:eastAsia="Calibri" w:hAnsiTheme="minorHAnsi" w:cstheme="minorHAnsi"/>
                <w:sz w:val="18"/>
                <w:szCs w:val="18"/>
                <w:lang w:eastAsia="x-none"/>
              </w:rPr>
              <w:t xml:space="preserve">Ensuring better horizontal </w:t>
            </w:r>
            <w:r w:rsidRPr="007C4D65">
              <w:rPr>
                <w:rFonts w:asciiTheme="minorHAnsi" w:eastAsia="Calibri" w:hAnsiTheme="minorHAnsi" w:cstheme="minorHAnsi"/>
                <w:sz w:val="18"/>
                <w:szCs w:val="18"/>
                <w:lang w:eastAsia="x-none"/>
              </w:rPr>
              <w:t>cooperation</w:t>
            </w:r>
            <w:r w:rsidR="00226427"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among</w:t>
            </w:r>
            <w:r w:rsidR="00226427" w:rsidRPr="007C4D65">
              <w:rPr>
                <w:rFonts w:asciiTheme="minorHAnsi" w:eastAsia="Calibri" w:hAnsiTheme="minorHAnsi" w:cstheme="minorHAnsi"/>
                <w:sz w:val="18"/>
                <w:szCs w:val="18"/>
                <w:lang w:eastAsia="x-none"/>
              </w:rPr>
              <w:t xml:space="preserve"> the local government units </w:t>
            </w:r>
            <w:bookmarkEnd w:id="329"/>
            <w:r w:rsidR="00226427" w:rsidRPr="007C4D65">
              <w:rPr>
                <w:rFonts w:asciiTheme="minorHAnsi" w:eastAsia="Calibri" w:hAnsiTheme="minorHAnsi" w:cstheme="minorHAnsi"/>
                <w:sz w:val="18"/>
                <w:szCs w:val="18"/>
                <w:lang w:eastAsia="x-none"/>
              </w:rPr>
              <w:t xml:space="preserve">(municipalities /cities) </w:t>
            </w:r>
            <w:bookmarkStart w:id="330" w:name="_Hlk95004819"/>
            <w:r w:rsidRPr="007C4D65">
              <w:rPr>
                <w:rFonts w:asciiTheme="minorHAnsi" w:eastAsia="Calibri" w:hAnsiTheme="minorHAnsi" w:cstheme="minorHAnsi"/>
                <w:sz w:val="18"/>
                <w:szCs w:val="18"/>
                <w:lang w:eastAsia="x-none"/>
              </w:rPr>
              <w:t xml:space="preserve">in the field of environmental protection through an active engagement </w:t>
            </w:r>
            <w:r w:rsidR="00226427" w:rsidRPr="007C4D65">
              <w:rPr>
                <w:rFonts w:asciiTheme="minorHAnsi" w:eastAsia="Calibri" w:hAnsiTheme="minorHAnsi" w:cstheme="minorHAnsi"/>
                <w:sz w:val="18"/>
                <w:szCs w:val="18"/>
                <w:lang w:eastAsia="x-none"/>
              </w:rPr>
              <w:t xml:space="preserve">of the </w:t>
            </w:r>
            <w:bookmarkEnd w:id="330"/>
            <w:r w:rsidR="00226427" w:rsidRPr="007C4D65">
              <w:rPr>
                <w:rFonts w:asciiTheme="minorHAnsi" w:eastAsiaTheme="minorHAnsi" w:hAnsiTheme="minorHAnsi" w:cstheme="minorHAnsi"/>
                <w:sz w:val="18"/>
                <w:szCs w:val="18"/>
                <w:shd w:val="clear" w:color="auto" w:fill="FFFFFF"/>
                <w:lang w:eastAsia="en-US"/>
              </w:rPr>
              <w:t xml:space="preserve">Association of Municipalities and Cities of the Federation of </w:t>
            </w:r>
            <w:proofErr w:type="gramStart"/>
            <w:r w:rsidR="00226427" w:rsidRPr="007C4D65">
              <w:rPr>
                <w:rFonts w:asciiTheme="minorHAnsi" w:eastAsia="Calibri" w:hAnsiTheme="minorHAnsi" w:cstheme="minorHAnsi"/>
                <w:sz w:val="18"/>
                <w:szCs w:val="18"/>
                <w:lang w:eastAsia="x-none"/>
              </w:rPr>
              <w:t>BiH</w:t>
            </w:r>
            <w:r w:rsidR="002D7967" w:rsidRPr="007C4D65">
              <w:rPr>
                <w:rFonts w:asciiTheme="minorHAnsi" w:eastAsia="Calibri" w:hAnsiTheme="minorHAnsi" w:cstheme="minorHAnsi"/>
                <w:sz w:val="18"/>
                <w:szCs w:val="18"/>
                <w:lang w:eastAsia="x-none"/>
              </w:rPr>
              <w:t>;</w:t>
            </w:r>
            <w:proofErr w:type="gramEnd"/>
          </w:p>
          <w:p w14:paraId="7E407191" w14:textId="2DF1EC9E" w:rsidR="00226427" w:rsidRPr="007C4D65" w:rsidRDefault="003518B4" w:rsidP="003518B4">
            <w:pPr>
              <w:spacing w:before="40" w:after="40" w:line="276" w:lineRule="auto"/>
              <w:contextualSpacing/>
              <w:rPr>
                <w:rFonts w:asciiTheme="minorHAnsi" w:eastAsia="Calibri" w:hAnsiTheme="minorHAnsi" w:cstheme="minorHAnsi"/>
                <w:sz w:val="18"/>
                <w:szCs w:val="18"/>
                <w:lang w:eastAsia="x-none"/>
              </w:rPr>
            </w:pPr>
            <w:bookmarkStart w:id="331" w:name="_Hlk95005503"/>
            <w:r w:rsidRPr="007C4D65">
              <w:rPr>
                <w:rFonts w:asciiTheme="minorHAnsi" w:eastAsia="Calibri" w:hAnsiTheme="minorHAnsi" w:cstheme="minorHAnsi"/>
                <w:sz w:val="18"/>
                <w:szCs w:val="18"/>
                <w:lang w:eastAsia="x-none"/>
              </w:rPr>
              <w:t xml:space="preserve">6) </w:t>
            </w:r>
            <w:r w:rsidR="00226427" w:rsidRPr="007C4D65">
              <w:rPr>
                <w:rFonts w:asciiTheme="minorHAnsi" w:eastAsia="Calibri" w:hAnsiTheme="minorHAnsi" w:cstheme="minorHAnsi"/>
                <w:sz w:val="18"/>
                <w:szCs w:val="18"/>
                <w:lang w:eastAsia="x-none"/>
              </w:rPr>
              <w:t xml:space="preserve">Establishment of the Environmental </w:t>
            </w:r>
            <w:r w:rsidRPr="007C4D65">
              <w:rPr>
                <w:rFonts w:asciiTheme="minorHAnsi" w:eastAsia="Calibri" w:hAnsiTheme="minorHAnsi" w:cstheme="minorHAnsi"/>
                <w:sz w:val="18"/>
                <w:szCs w:val="18"/>
                <w:lang w:eastAsia="x-none"/>
              </w:rPr>
              <w:t>Protection Agency</w:t>
            </w:r>
            <w:r w:rsidR="00226427" w:rsidRPr="007C4D65">
              <w:rPr>
                <w:rFonts w:asciiTheme="minorHAnsi" w:eastAsia="Calibri" w:hAnsiTheme="minorHAnsi" w:cstheme="minorHAnsi"/>
                <w:sz w:val="18"/>
                <w:szCs w:val="18"/>
                <w:lang w:eastAsia="x-none"/>
              </w:rPr>
              <w:t xml:space="preserve"> of the Federation of Bosnia and Herzegovina </w:t>
            </w:r>
            <w:bookmarkEnd w:id="331"/>
            <w:r w:rsidR="00226427" w:rsidRPr="007C4D65">
              <w:rPr>
                <w:rFonts w:asciiTheme="minorHAnsi" w:eastAsia="Calibri" w:hAnsiTheme="minorHAnsi" w:cstheme="minorHAnsi"/>
                <w:sz w:val="18"/>
                <w:szCs w:val="18"/>
                <w:lang w:eastAsia="x-none"/>
              </w:rPr>
              <w:t>(</w:t>
            </w:r>
            <w:r w:rsidR="00226427" w:rsidRPr="007C4D65">
              <w:rPr>
                <w:rFonts w:asciiTheme="minorHAnsi" w:eastAsia="Calibri" w:hAnsiTheme="minorHAnsi" w:cstheme="minorHAnsi"/>
                <w:i/>
                <w:iCs/>
                <w:sz w:val="18"/>
                <w:szCs w:val="18"/>
                <w:lang w:eastAsia="x-none"/>
              </w:rPr>
              <w:t xml:space="preserve">the Agency </w:t>
            </w:r>
            <w:r w:rsidRPr="007C4D65">
              <w:rPr>
                <w:rFonts w:asciiTheme="minorHAnsi" w:eastAsia="Calibri" w:hAnsiTheme="minorHAnsi" w:cstheme="minorHAnsi"/>
                <w:i/>
                <w:iCs/>
                <w:sz w:val="18"/>
                <w:szCs w:val="18"/>
                <w:lang w:eastAsia="x-none"/>
              </w:rPr>
              <w:t xml:space="preserve">should be responsible for overall </w:t>
            </w:r>
            <w:r w:rsidR="00226427" w:rsidRPr="007C4D65">
              <w:rPr>
                <w:rFonts w:asciiTheme="minorHAnsi" w:eastAsia="Calibri" w:hAnsiTheme="minorHAnsi" w:cstheme="minorHAnsi"/>
                <w:i/>
                <w:iCs/>
                <w:sz w:val="18"/>
                <w:szCs w:val="18"/>
                <w:lang w:eastAsia="x-none"/>
              </w:rPr>
              <w:t xml:space="preserve">management of </w:t>
            </w:r>
            <w:r w:rsidRPr="007C4D65">
              <w:rPr>
                <w:rFonts w:asciiTheme="minorHAnsi" w:eastAsia="Calibri" w:hAnsiTheme="minorHAnsi" w:cstheme="minorHAnsi"/>
                <w:i/>
                <w:iCs/>
                <w:sz w:val="18"/>
                <w:szCs w:val="18"/>
                <w:lang w:eastAsia="x-none"/>
              </w:rPr>
              <w:t>the</w:t>
            </w:r>
            <w:r w:rsidR="00226427" w:rsidRPr="007C4D65">
              <w:rPr>
                <w:rFonts w:asciiTheme="minorHAnsi" w:eastAsia="Calibri" w:hAnsiTheme="minorHAnsi" w:cstheme="minorHAnsi"/>
                <w:i/>
                <w:iCs/>
                <w:sz w:val="18"/>
                <w:szCs w:val="18"/>
                <w:lang w:eastAsia="x-none"/>
              </w:rPr>
              <w:t xml:space="preserve"> environment and link all </w:t>
            </w:r>
            <w:r w:rsidRPr="007C4D65">
              <w:rPr>
                <w:rFonts w:asciiTheme="minorHAnsi" w:eastAsia="Calibri" w:hAnsiTheme="minorHAnsi" w:cstheme="minorHAnsi"/>
                <w:i/>
                <w:iCs/>
                <w:sz w:val="18"/>
                <w:szCs w:val="18"/>
                <w:lang w:eastAsia="x-none"/>
              </w:rPr>
              <w:t>environmental</w:t>
            </w:r>
            <w:r w:rsidR="00226427" w:rsidRPr="007C4D65">
              <w:rPr>
                <w:rFonts w:asciiTheme="minorHAnsi" w:eastAsia="Calibri" w:hAnsiTheme="minorHAnsi" w:cstheme="minorHAnsi"/>
                <w:i/>
                <w:iCs/>
                <w:sz w:val="18"/>
                <w:szCs w:val="18"/>
                <w:lang w:eastAsia="x-none"/>
              </w:rPr>
              <w:t xml:space="preserve"> policies, define </w:t>
            </w:r>
            <w:r w:rsidRPr="007C4D65">
              <w:rPr>
                <w:rFonts w:asciiTheme="minorHAnsi" w:eastAsia="Calibri" w:hAnsiTheme="minorHAnsi" w:cstheme="minorHAnsi"/>
                <w:i/>
                <w:iCs/>
                <w:sz w:val="18"/>
                <w:szCs w:val="18"/>
                <w:lang w:eastAsia="x-none"/>
              </w:rPr>
              <w:t xml:space="preserve">the </w:t>
            </w:r>
            <w:r w:rsidR="00226427" w:rsidRPr="007C4D65">
              <w:rPr>
                <w:rFonts w:asciiTheme="minorHAnsi" w:eastAsia="Calibri" w:hAnsiTheme="minorHAnsi" w:cstheme="minorHAnsi"/>
                <w:i/>
                <w:iCs/>
                <w:sz w:val="18"/>
                <w:szCs w:val="18"/>
                <w:lang w:eastAsia="x-none"/>
              </w:rPr>
              <w:t xml:space="preserve">structure of required staff and harmonize it with legislation </w:t>
            </w:r>
            <w:r w:rsidRPr="007C4D65">
              <w:rPr>
                <w:rFonts w:asciiTheme="minorHAnsi" w:eastAsia="Calibri" w:hAnsiTheme="minorHAnsi" w:cstheme="minorHAnsi"/>
                <w:i/>
                <w:iCs/>
                <w:sz w:val="18"/>
                <w:szCs w:val="18"/>
                <w:lang w:eastAsia="x-none"/>
              </w:rPr>
              <w:t>governing this area</w:t>
            </w:r>
            <w:r w:rsidR="00226427" w:rsidRPr="007C4D65">
              <w:rPr>
                <w:rFonts w:asciiTheme="minorHAnsi" w:eastAsia="Calibri" w:hAnsiTheme="minorHAnsi" w:cstheme="minorHAnsi"/>
                <w:i/>
                <w:iCs/>
                <w:sz w:val="18"/>
                <w:szCs w:val="18"/>
                <w:lang w:eastAsia="x-none"/>
              </w:rPr>
              <w:t xml:space="preserve"> (create legal conditions). The aim of the Agency is </w:t>
            </w:r>
            <w:r w:rsidRPr="007C4D65">
              <w:rPr>
                <w:rFonts w:asciiTheme="minorHAnsi" w:eastAsia="Calibri" w:hAnsiTheme="minorHAnsi" w:cstheme="minorHAnsi"/>
                <w:i/>
                <w:iCs/>
                <w:sz w:val="18"/>
                <w:szCs w:val="18"/>
                <w:lang w:eastAsia="x-none"/>
              </w:rPr>
              <w:t xml:space="preserve">to </w:t>
            </w:r>
            <w:r w:rsidR="00226427" w:rsidRPr="007C4D65">
              <w:rPr>
                <w:rFonts w:asciiTheme="minorHAnsi" w:eastAsia="Calibri" w:hAnsiTheme="minorHAnsi" w:cstheme="minorHAnsi"/>
                <w:i/>
                <w:iCs/>
                <w:sz w:val="18"/>
                <w:szCs w:val="18"/>
                <w:lang w:eastAsia="x-none"/>
              </w:rPr>
              <w:t>prov</w:t>
            </w:r>
            <w:r w:rsidRPr="007C4D65">
              <w:rPr>
                <w:rFonts w:asciiTheme="minorHAnsi" w:eastAsia="Calibri" w:hAnsiTheme="minorHAnsi" w:cstheme="minorHAnsi"/>
                <w:i/>
                <w:iCs/>
                <w:sz w:val="18"/>
                <w:szCs w:val="18"/>
                <w:lang w:eastAsia="x-none"/>
              </w:rPr>
              <w:t>ide</w:t>
            </w:r>
            <w:r w:rsidR="00226427" w:rsidRPr="007C4D65">
              <w:rPr>
                <w:rFonts w:asciiTheme="minorHAnsi" w:eastAsia="Calibri" w:hAnsiTheme="minorHAnsi" w:cstheme="minorHAnsi"/>
                <w:i/>
                <w:iCs/>
                <w:sz w:val="18"/>
                <w:szCs w:val="18"/>
                <w:lang w:eastAsia="x-none"/>
              </w:rPr>
              <w:t xml:space="preserve"> professional support to </w:t>
            </w:r>
            <w:r w:rsidRPr="007C4D65">
              <w:rPr>
                <w:rFonts w:asciiTheme="minorHAnsi" w:eastAsia="Calibri" w:hAnsiTheme="minorHAnsi" w:cstheme="minorHAnsi"/>
                <w:i/>
                <w:iCs/>
                <w:sz w:val="18"/>
                <w:szCs w:val="18"/>
                <w:lang w:eastAsia="x-none"/>
              </w:rPr>
              <w:t xml:space="preserve">the </w:t>
            </w:r>
            <w:r w:rsidR="00226427" w:rsidRPr="007C4D65">
              <w:rPr>
                <w:rFonts w:asciiTheme="minorHAnsi" w:eastAsia="Calibri" w:hAnsiTheme="minorHAnsi" w:cstheme="minorHAnsi"/>
                <w:i/>
                <w:iCs/>
                <w:sz w:val="18"/>
                <w:szCs w:val="18"/>
                <w:lang w:eastAsia="x-none"/>
              </w:rPr>
              <w:t>line ministries in all the segments of environmental management.</w:t>
            </w:r>
            <w:r w:rsidR="00226427" w:rsidRPr="007C4D65">
              <w:rPr>
                <w:rFonts w:asciiTheme="minorHAnsi" w:eastAsia="Calibri" w:hAnsiTheme="minorHAnsi" w:cstheme="minorHAnsi"/>
                <w:sz w:val="18"/>
                <w:szCs w:val="18"/>
                <w:lang w:eastAsia="x-none"/>
              </w:rPr>
              <w:t>)</w:t>
            </w:r>
            <w:r w:rsidR="002D7967" w:rsidRPr="007C4D65">
              <w:rPr>
                <w:rFonts w:asciiTheme="minorHAnsi" w:eastAsia="Calibri" w:hAnsiTheme="minorHAnsi" w:cstheme="minorHAnsi"/>
                <w:sz w:val="18"/>
                <w:szCs w:val="18"/>
                <w:lang w:eastAsia="x-none"/>
              </w:rPr>
              <w:t>.</w:t>
            </w:r>
          </w:p>
        </w:tc>
      </w:tr>
      <w:tr w:rsidR="00226427" w:rsidRPr="007C4D65" w14:paraId="74B6F724" w14:textId="77777777" w:rsidTr="00B6017F">
        <w:trPr>
          <w:trHeight w:val="567"/>
        </w:trPr>
        <w:tc>
          <w:tcPr>
            <w:tcW w:w="1359" w:type="pct"/>
            <w:shd w:val="clear" w:color="auto" w:fill="009D73"/>
            <w:vAlign w:val="center"/>
          </w:tcPr>
          <w:p w14:paraId="213736DF"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 xml:space="preserve">Strategic projects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E40BD9C" w14:textId="77777777" w:rsidR="00226427" w:rsidRPr="007C4D65" w:rsidRDefault="00226427" w:rsidP="00226427">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226427" w:rsidRPr="007C4D65" w14:paraId="6BB13E01" w14:textId="77777777" w:rsidTr="00B6017F">
        <w:trPr>
          <w:trHeight w:val="567"/>
        </w:trPr>
        <w:tc>
          <w:tcPr>
            <w:tcW w:w="1359" w:type="pct"/>
            <w:vMerge w:val="restart"/>
            <w:shd w:val="clear" w:color="auto" w:fill="009D73"/>
            <w:vAlign w:val="center"/>
          </w:tcPr>
          <w:p w14:paraId="2A340861"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9324516" w14:textId="77777777" w:rsidR="00226427" w:rsidRPr="007C4D65" w:rsidRDefault="00226427" w:rsidP="00226427">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08911A4A" w14:textId="77777777" w:rsidR="00226427" w:rsidRPr="007C4D65" w:rsidRDefault="00226427" w:rsidP="00226427">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1AA2C53" w14:textId="77777777" w:rsidR="00226427" w:rsidRPr="007C4D65" w:rsidRDefault="00226427" w:rsidP="00226427">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387342C5" w14:textId="77777777" w:rsidR="00226427" w:rsidRPr="007C4D65" w:rsidRDefault="00226427" w:rsidP="00226427">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8D55882" w14:textId="77777777" w:rsidR="00226427" w:rsidRPr="007C4D65" w:rsidRDefault="00226427" w:rsidP="00226427">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value</w:t>
            </w:r>
          </w:p>
        </w:tc>
      </w:tr>
      <w:tr w:rsidR="00226427" w:rsidRPr="007C4D65" w14:paraId="22A891C1"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9A490D9"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9557847" w14:textId="77777777" w:rsidR="00226427" w:rsidRPr="007C4D65" w:rsidRDefault="00226427">
            <w:pPr>
              <w:numPr>
                <w:ilvl w:val="0"/>
                <w:numId w:val="159"/>
              </w:numPr>
              <w:spacing w:before="40" w:after="40" w:line="276" w:lineRule="auto"/>
              <w:ind w:left="265" w:hanging="26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Quality of horizontal institutional coordination </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EF3EC0C" w14:textId="26FA674C" w:rsidR="00226427" w:rsidRPr="007C4D65" w:rsidRDefault="000C0688"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There is some</w:t>
            </w:r>
            <w:r w:rsidR="00226427" w:rsidRPr="007C4D65">
              <w:rPr>
                <w:rFonts w:asciiTheme="minorHAnsi" w:eastAsiaTheme="minorHAnsi" w:hAnsiTheme="minorHAnsi" w:cstheme="minorHAnsi"/>
                <w:sz w:val="18"/>
                <w:szCs w:val="18"/>
                <w:lang w:eastAsia="en-US" w:bidi="en-US"/>
              </w:rPr>
              <w:t xml:space="preserve"> coordination among </w:t>
            </w:r>
            <w:r w:rsidRPr="007C4D65">
              <w:rPr>
                <w:rFonts w:asciiTheme="minorHAnsi" w:eastAsiaTheme="minorHAnsi" w:hAnsiTheme="minorHAnsi" w:cstheme="minorHAnsi"/>
                <w:sz w:val="18"/>
                <w:szCs w:val="18"/>
                <w:lang w:eastAsia="en-US" w:bidi="en-US"/>
              </w:rPr>
              <w:t xml:space="preserve">the </w:t>
            </w:r>
            <w:r w:rsidR="00226427" w:rsidRPr="007C4D65">
              <w:rPr>
                <w:rFonts w:asciiTheme="minorHAnsi" w:eastAsiaTheme="minorHAnsi" w:hAnsiTheme="minorHAnsi" w:cstheme="minorHAnsi"/>
                <w:sz w:val="18"/>
                <w:szCs w:val="18"/>
                <w:lang w:eastAsia="en-US" w:bidi="en-US"/>
              </w:rPr>
              <w:t>institutions</w:t>
            </w:r>
            <w:r w:rsidRPr="007C4D65">
              <w:rPr>
                <w:rFonts w:asciiTheme="minorHAnsi" w:eastAsiaTheme="minorHAnsi" w:hAnsiTheme="minorHAnsi" w:cstheme="minorHAnsi"/>
                <w:sz w:val="18"/>
                <w:szCs w:val="18"/>
                <w:lang w:eastAsia="en-US" w:bidi="en-US"/>
              </w:rPr>
              <w:t>, but it is necessary to</w:t>
            </w:r>
            <w:r w:rsidR="00226427" w:rsidRPr="007C4D65">
              <w:rPr>
                <w:rFonts w:asciiTheme="minorHAnsi" w:eastAsiaTheme="minorHAnsi" w:hAnsiTheme="minorHAnsi" w:cstheme="minorHAnsi"/>
                <w:sz w:val="18"/>
                <w:szCs w:val="18"/>
                <w:lang w:eastAsia="en-US" w:bidi="en-US"/>
              </w:rPr>
              <w:t xml:space="preserve"> upgrad</w:t>
            </w:r>
            <w:r w:rsidRPr="007C4D65">
              <w:rPr>
                <w:rFonts w:asciiTheme="minorHAnsi" w:eastAsiaTheme="minorHAnsi" w:hAnsiTheme="minorHAnsi" w:cstheme="minorHAnsi"/>
                <w:sz w:val="18"/>
                <w:szCs w:val="18"/>
                <w:lang w:eastAsia="en-US" w:bidi="en-US"/>
              </w:rPr>
              <w:t>e</w:t>
            </w:r>
            <w:r w:rsidR="00226427" w:rsidRPr="007C4D65">
              <w:rPr>
                <w:rFonts w:asciiTheme="minorHAnsi" w:eastAsiaTheme="minorHAnsi" w:hAnsiTheme="minorHAnsi" w:cstheme="minorHAnsi"/>
                <w:sz w:val="18"/>
                <w:szCs w:val="18"/>
                <w:lang w:eastAsia="en-US" w:bidi="en-US"/>
              </w:rPr>
              <w:t xml:space="preserve"> and improve</w:t>
            </w:r>
            <w:r w:rsidRPr="007C4D65">
              <w:rPr>
                <w:rFonts w:asciiTheme="minorHAnsi" w:eastAsiaTheme="minorHAnsi" w:hAnsiTheme="minorHAnsi" w:cstheme="minorHAnsi"/>
                <w:sz w:val="18"/>
                <w:szCs w:val="18"/>
                <w:lang w:eastAsia="en-US" w:bidi="en-US"/>
              </w:rPr>
              <w:t xml:space="preserve"> the</w:t>
            </w:r>
            <w:r w:rsidR="00226427" w:rsidRPr="007C4D65">
              <w:rPr>
                <w:rFonts w:asciiTheme="minorHAnsi" w:eastAsiaTheme="minorHAnsi" w:hAnsiTheme="minorHAnsi" w:cstheme="minorHAnsi"/>
                <w:sz w:val="18"/>
                <w:szCs w:val="18"/>
                <w:lang w:eastAsia="en-US" w:bidi="en-US"/>
              </w:rPr>
              <w:t xml:space="preserve"> coordination and </w:t>
            </w:r>
            <w:r w:rsidRPr="007C4D65">
              <w:rPr>
                <w:rFonts w:asciiTheme="minorHAnsi" w:eastAsiaTheme="minorHAnsi" w:hAnsiTheme="minorHAnsi" w:cstheme="minorHAnsi"/>
                <w:sz w:val="18"/>
                <w:szCs w:val="18"/>
                <w:lang w:eastAsia="en-US" w:bidi="en-US"/>
              </w:rPr>
              <w:t>common action</w:t>
            </w:r>
            <w:r w:rsidR="00226427" w:rsidRPr="007C4D65">
              <w:rPr>
                <w:rFonts w:asciiTheme="minorHAnsi" w:eastAsiaTheme="minorHAnsi" w:hAnsiTheme="minorHAnsi" w:cstheme="minorHAnsi"/>
                <w:sz w:val="18"/>
                <w:szCs w:val="18"/>
                <w:lang w:eastAsia="en-US" w:bidi="en-US"/>
              </w:rPr>
              <w:t xml:space="preserve"> of all the institutions within their responsibilities. </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EB3614C" w14:textId="77777777" w:rsidR="00226427" w:rsidRPr="007C4D65" w:rsidRDefault="00226427"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Horizontal institutional coordination upgraded and improved </w:t>
            </w:r>
            <w:r w:rsidRPr="007C4D65">
              <w:rPr>
                <w:rFonts w:asciiTheme="minorHAnsi" w:eastAsiaTheme="minorHAnsi" w:hAnsiTheme="minorHAnsi" w:cstheme="minorHAnsi"/>
                <w:sz w:val="18"/>
                <w:szCs w:val="18"/>
                <w:lang w:eastAsia="en-US" w:bidi="en-US"/>
              </w:rPr>
              <w:t>(2025)</w:t>
            </w:r>
          </w:p>
        </w:tc>
      </w:tr>
      <w:tr w:rsidR="00226427" w:rsidRPr="007C4D65" w14:paraId="0EA718EA"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7EC573B"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0DB3C2B" w14:textId="4BE3E8DE" w:rsidR="00226427" w:rsidRPr="007C4D65" w:rsidRDefault="00226427">
            <w:pPr>
              <w:numPr>
                <w:ilvl w:val="0"/>
                <w:numId w:val="159"/>
              </w:numPr>
              <w:spacing w:before="40" w:after="40" w:line="276" w:lineRule="auto"/>
              <w:ind w:left="265" w:hanging="26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Quality of communication among </w:t>
            </w:r>
            <w:r w:rsidR="000C0688" w:rsidRPr="007C4D65">
              <w:rPr>
                <w:rFonts w:asciiTheme="minorHAnsi" w:eastAsia="Calibri" w:hAnsiTheme="minorHAnsi" w:cstheme="minorHAnsi"/>
                <w:sz w:val="18"/>
                <w:szCs w:val="18"/>
                <w:lang w:eastAsia="x-none"/>
              </w:rPr>
              <w:t xml:space="preserve">the environmental </w:t>
            </w:r>
            <w:r w:rsidRPr="007C4D65">
              <w:rPr>
                <w:rFonts w:asciiTheme="minorHAnsi" w:eastAsia="Calibri" w:hAnsiTheme="minorHAnsi" w:cstheme="minorHAnsi"/>
                <w:sz w:val="18"/>
                <w:szCs w:val="18"/>
                <w:lang w:eastAsia="x-none"/>
              </w:rPr>
              <w:t xml:space="preserve">institutions at all levels  </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59FE6E7" w14:textId="228924F9" w:rsidR="00226427" w:rsidRPr="007C4D65" w:rsidRDefault="00226427"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There are certain communication </w:t>
            </w:r>
            <w:proofErr w:type="gramStart"/>
            <w:r w:rsidRPr="007C4D65">
              <w:rPr>
                <w:rFonts w:asciiTheme="minorHAnsi" w:eastAsiaTheme="minorHAnsi" w:hAnsiTheme="minorHAnsi" w:cstheme="minorHAnsi"/>
                <w:sz w:val="18"/>
                <w:szCs w:val="18"/>
                <w:lang w:eastAsia="en-US" w:bidi="en-US"/>
              </w:rPr>
              <w:t>mechanisms</w:t>
            </w:r>
            <w:proofErr w:type="gramEnd"/>
            <w:r w:rsidRPr="007C4D65">
              <w:rPr>
                <w:rFonts w:asciiTheme="minorHAnsi" w:eastAsiaTheme="minorHAnsi" w:hAnsiTheme="minorHAnsi" w:cstheme="minorHAnsi"/>
                <w:sz w:val="18"/>
                <w:szCs w:val="18"/>
                <w:lang w:eastAsia="en-US" w:bidi="en-US"/>
              </w:rPr>
              <w:t xml:space="preserve"> but they are not </w:t>
            </w:r>
            <w:r w:rsidR="000C0688" w:rsidRPr="007C4D65">
              <w:rPr>
                <w:rFonts w:asciiTheme="minorHAnsi" w:eastAsiaTheme="minorHAnsi" w:hAnsiTheme="minorHAnsi" w:cstheme="minorHAnsi"/>
                <w:sz w:val="18"/>
                <w:szCs w:val="18"/>
                <w:lang w:eastAsia="en-US" w:bidi="en-US"/>
              </w:rPr>
              <w:t>effective</w:t>
            </w:r>
            <w:r w:rsidRPr="007C4D65">
              <w:rPr>
                <w:rFonts w:asciiTheme="minorHAnsi" w:eastAsiaTheme="minorHAnsi" w:hAnsiTheme="minorHAnsi" w:cstheme="minorHAnsi"/>
                <w:sz w:val="18"/>
                <w:szCs w:val="18"/>
                <w:lang w:eastAsia="en-US" w:bidi="en-US"/>
              </w:rPr>
              <w:t xml:space="preserve">  </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26A2F59" w14:textId="6E7157BC" w:rsidR="00226427" w:rsidRPr="007C4D65" w:rsidRDefault="000C0688"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Effective</w:t>
            </w:r>
            <w:r w:rsidR="00226427" w:rsidRPr="007C4D65">
              <w:rPr>
                <w:rFonts w:asciiTheme="minorHAnsi" w:eastAsiaTheme="minorHAnsi" w:hAnsiTheme="minorHAnsi" w:cstheme="minorHAnsi"/>
                <w:sz w:val="18"/>
                <w:szCs w:val="18"/>
                <w:lang w:eastAsia="en-US" w:bidi="en-US"/>
              </w:rPr>
              <w:t xml:space="preserve"> communication mechanisms among institutions at all levels (2025)</w:t>
            </w:r>
          </w:p>
        </w:tc>
      </w:tr>
      <w:tr w:rsidR="00226427" w:rsidRPr="007C4D65" w14:paraId="16260D96"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B738999"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A727C16" w14:textId="77777777" w:rsidR="00226427" w:rsidRPr="007C4D65" w:rsidRDefault="00226427">
            <w:pPr>
              <w:numPr>
                <w:ilvl w:val="0"/>
                <w:numId w:val="159"/>
              </w:numPr>
              <w:spacing w:before="40" w:after="40" w:line="276" w:lineRule="auto"/>
              <w:ind w:left="265" w:hanging="26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Quality of vertical institutional coordination</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50F3919" w14:textId="4D6567A0" w:rsidR="00226427" w:rsidRPr="007C4D65" w:rsidRDefault="00226427"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Vertical coordination exists</w:t>
            </w:r>
            <w:r w:rsidRPr="007C4D65">
              <w:rPr>
                <w:rFonts w:asciiTheme="minorHAnsi" w:eastAsiaTheme="minorHAnsi" w:hAnsiTheme="minorHAnsi" w:cstheme="minorHAnsi"/>
                <w:sz w:val="18"/>
                <w:szCs w:val="18"/>
                <w:lang w:eastAsia="en-US" w:bidi="en-US"/>
              </w:rPr>
              <w:t xml:space="preserve"> – but there is a </w:t>
            </w:r>
            <w:r w:rsidR="000C0688" w:rsidRPr="007C4D65">
              <w:rPr>
                <w:rFonts w:asciiTheme="minorHAnsi" w:eastAsiaTheme="minorHAnsi" w:hAnsiTheme="minorHAnsi" w:cstheme="minorHAnsi"/>
                <w:sz w:val="18"/>
                <w:szCs w:val="18"/>
                <w:lang w:eastAsia="en-US" w:bidi="en-US"/>
              </w:rPr>
              <w:t>scope</w:t>
            </w:r>
            <w:r w:rsidRPr="007C4D65">
              <w:rPr>
                <w:rFonts w:asciiTheme="minorHAnsi" w:eastAsiaTheme="minorHAnsi" w:hAnsiTheme="minorHAnsi" w:cstheme="minorHAnsi"/>
                <w:sz w:val="18"/>
                <w:szCs w:val="18"/>
                <w:lang w:eastAsia="en-US" w:bidi="en-US"/>
              </w:rPr>
              <w:t xml:space="preserve"> for improvement</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40E5D81" w14:textId="6BC9A1FC" w:rsidR="00226427" w:rsidRPr="007C4D65" w:rsidRDefault="000C0688"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V</w:t>
            </w:r>
            <w:r w:rsidR="00226427" w:rsidRPr="007C4D65">
              <w:rPr>
                <w:rFonts w:asciiTheme="minorHAnsi" w:eastAsiaTheme="minorHAnsi" w:hAnsiTheme="minorHAnsi" w:cstheme="minorHAnsi"/>
                <w:sz w:val="18"/>
                <w:szCs w:val="18"/>
                <w:lang w:eastAsia="en-US" w:bidi="en-US"/>
              </w:rPr>
              <w:t xml:space="preserve">ertical institutional coordination </w:t>
            </w:r>
            <w:r w:rsidRPr="007C4D65">
              <w:rPr>
                <w:rFonts w:asciiTheme="minorHAnsi" w:eastAsiaTheme="minorHAnsi" w:hAnsiTheme="minorHAnsi" w:cstheme="minorHAnsi"/>
                <w:sz w:val="18"/>
                <w:szCs w:val="18"/>
                <w:lang w:eastAsia="en-US" w:bidi="en-US"/>
              </w:rPr>
              <w:t xml:space="preserve">upgraded and improved </w:t>
            </w:r>
            <w:r w:rsidR="00226427" w:rsidRPr="007C4D65">
              <w:rPr>
                <w:rFonts w:asciiTheme="minorHAnsi" w:eastAsiaTheme="minorHAnsi" w:hAnsiTheme="minorHAnsi" w:cstheme="minorHAnsi"/>
                <w:sz w:val="18"/>
                <w:szCs w:val="18"/>
                <w:lang w:eastAsia="en-US" w:bidi="en-US"/>
              </w:rPr>
              <w:t>(2030)</w:t>
            </w:r>
          </w:p>
        </w:tc>
      </w:tr>
      <w:tr w:rsidR="00226427" w:rsidRPr="007C4D65" w14:paraId="6566C753"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CE3E04D"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D20B546" w14:textId="46768F54" w:rsidR="00226427" w:rsidRPr="007C4D65" w:rsidRDefault="00226427">
            <w:pPr>
              <w:numPr>
                <w:ilvl w:val="0"/>
                <w:numId w:val="159"/>
              </w:numPr>
              <w:spacing w:before="40" w:after="40" w:line="276" w:lineRule="auto"/>
              <w:ind w:left="265" w:hanging="26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Quality of inter-cantonal cooperation and coordination</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AD72D53" w14:textId="4645445C" w:rsidR="00226427" w:rsidRPr="007C4D65" w:rsidRDefault="000C0688"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There is certain coordination </w:t>
            </w:r>
            <w:r w:rsidR="00226427" w:rsidRPr="007C4D65">
              <w:rPr>
                <w:rFonts w:asciiTheme="minorHAnsi" w:eastAsiaTheme="minorHAnsi" w:hAnsiTheme="minorHAnsi" w:cstheme="minorHAnsi"/>
                <w:sz w:val="18"/>
                <w:szCs w:val="18"/>
                <w:lang w:eastAsia="en-US" w:bidi="en-US"/>
              </w:rPr>
              <w:t xml:space="preserve">– but there is a </w:t>
            </w:r>
            <w:r w:rsidRPr="007C4D65">
              <w:rPr>
                <w:rFonts w:asciiTheme="minorHAnsi" w:eastAsiaTheme="minorHAnsi" w:hAnsiTheme="minorHAnsi" w:cstheme="minorHAnsi"/>
                <w:sz w:val="18"/>
                <w:szCs w:val="18"/>
                <w:lang w:eastAsia="en-US" w:bidi="en-US"/>
              </w:rPr>
              <w:t>scope</w:t>
            </w:r>
            <w:r w:rsidR="00226427" w:rsidRPr="007C4D65">
              <w:rPr>
                <w:rFonts w:asciiTheme="minorHAnsi" w:eastAsiaTheme="minorHAnsi" w:hAnsiTheme="minorHAnsi" w:cstheme="minorHAnsi"/>
                <w:sz w:val="18"/>
                <w:szCs w:val="18"/>
                <w:lang w:eastAsia="en-US" w:bidi="en-US"/>
              </w:rPr>
              <w:t xml:space="preserve"> for improvement</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BF29C66" w14:textId="713BEC43" w:rsidR="00226427" w:rsidRPr="007C4D65" w:rsidRDefault="00226427"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Environmental inter-cantonal cooperation and coordination improved</w:t>
            </w:r>
            <w:r w:rsidRPr="007C4D65">
              <w:rPr>
                <w:rFonts w:asciiTheme="minorHAnsi" w:eastAsiaTheme="minorHAnsi" w:hAnsiTheme="minorHAnsi" w:cstheme="minorHAnsi"/>
                <w:sz w:val="18"/>
                <w:szCs w:val="18"/>
                <w:lang w:eastAsia="en-US" w:bidi="en-US"/>
              </w:rPr>
              <w:t xml:space="preserve"> (2030)</w:t>
            </w:r>
          </w:p>
        </w:tc>
      </w:tr>
      <w:tr w:rsidR="00226427" w:rsidRPr="007C4D65" w14:paraId="71C74575"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2F9A5ED"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E5F48B8" w14:textId="24E6D498" w:rsidR="00226427" w:rsidRPr="007C4D65" w:rsidRDefault="00226427">
            <w:pPr>
              <w:numPr>
                <w:ilvl w:val="0"/>
                <w:numId w:val="159"/>
              </w:numPr>
              <w:spacing w:before="40" w:after="40" w:line="276" w:lineRule="auto"/>
              <w:ind w:left="265" w:hanging="265"/>
              <w:contextualSpacing/>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Quality of horizontal connection among local government units in respect to environment</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8758999" w14:textId="32B40735" w:rsidR="00226427" w:rsidRPr="007C4D65" w:rsidRDefault="000C0688"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There is certain coordination </w:t>
            </w:r>
            <w:r w:rsidR="00226427" w:rsidRPr="007C4D65">
              <w:rPr>
                <w:rFonts w:asciiTheme="minorHAnsi" w:eastAsiaTheme="minorHAnsi" w:hAnsiTheme="minorHAnsi" w:cstheme="minorHAnsi"/>
                <w:sz w:val="18"/>
                <w:szCs w:val="18"/>
                <w:lang w:eastAsia="en-US" w:bidi="en-US"/>
              </w:rPr>
              <w:t xml:space="preserve">– but there is a </w:t>
            </w:r>
            <w:r w:rsidRPr="007C4D65">
              <w:rPr>
                <w:rFonts w:asciiTheme="minorHAnsi" w:eastAsiaTheme="minorHAnsi" w:hAnsiTheme="minorHAnsi" w:cstheme="minorHAnsi"/>
                <w:sz w:val="18"/>
                <w:szCs w:val="18"/>
                <w:lang w:eastAsia="en-US" w:bidi="en-US"/>
              </w:rPr>
              <w:t>scope</w:t>
            </w:r>
            <w:r w:rsidR="00226427" w:rsidRPr="007C4D65">
              <w:rPr>
                <w:rFonts w:asciiTheme="minorHAnsi" w:eastAsiaTheme="minorHAnsi" w:hAnsiTheme="minorHAnsi" w:cstheme="minorHAnsi"/>
                <w:sz w:val="18"/>
                <w:szCs w:val="18"/>
                <w:lang w:eastAsia="en-US" w:bidi="en-US"/>
              </w:rPr>
              <w:t xml:space="preserve"> for improvement</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02C6262" w14:textId="3F85563E" w:rsidR="00226427" w:rsidRPr="007C4D65" w:rsidRDefault="00226427"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Cooperation and coordination in the field of environment among</w:t>
            </w:r>
            <w:r w:rsidRPr="007C4D65">
              <w:rPr>
                <w:rFonts w:asciiTheme="minorHAnsi" w:eastAsiaTheme="minorHAnsi" w:hAnsiTheme="minorHAnsi" w:cstheme="minorHAnsi"/>
                <w:color w:val="000000"/>
                <w:sz w:val="18"/>
                <w:szCs w:val="18"/>
                <w:lang w:eastAsia="en-US"/>
              </w:rPr>
              <w:t xml:space="preserve"> local government units</w:t>
            </w:r>
            <w:r w:rsidRPr="007C4D65">
              <w:rPr>
                <w:rFonts w:asciiTheme="minorHAnsi" w:eastAsia="Calibri" w:hAnsiTheme="minorHAnsi" w:cstheme="minorHAnsi"/>
                <w:sz w:val="18"/>
                <w:szCs w:val="18"/>
                <w:lang w:eastAsia="x-none"/>
              </w:rPr>
              <w:t xml:space="preserve"> improved</w:t>
            </w:r>
            <w:r w:rsidRPr="007C4D65">
              <w:rPr>
                <w:rFonts w:asciiTheme="minorHAnsi" w:eastAsiaTheme="minorHAnsi" w:hAnsiTheme="minorHAnsi" w:cstheme="minorHAnsi"/>
                <w:sz w:val="18"/>
                <w:szCs w:val="18"/>
                <w:lang w:eastAsia="en-US" w:bidi="en-US"/>
              </w:rPr>
              <w:t xml:space="preserve"> (2030)</w:t>
            </w:r>
          </w:p>
        </w:tc>
      </w:tr>
      <w:tr w:rsidR="00226427" w:rsidRPr="007C4D65" w14:paraId="27D48FCA"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4C07D16"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78B77E7" w14:textId="0E6D839D" w:rsidR="00226427" w:rsidRPr="007C4D65" w:rsidRDefault="000C0688">
            <w:pPr>
              <w:numPr>
                <w:ilvl w:val="0"/>
                <w:numId w:val="159"/>
              </w:numPr>
              <w:spacing w:before="40" w:after="40" w:line="276" w:lineRule="auto"/>
              <w:ind w:left="265" w:hanging="265"/>
              <w:contextualSpacing/>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C</w:t>
            </w:r>
            <w:r w:rsidR="00226427" w:rsidRPr="007C4D65">
              <w:rPr>
                <w:rFonts w:asciiTheme="minorHAnsi" w:eastAsiaTheme="minorHAnsi" w:hAnsiTheme="minorHAnsi" w:cstheme="minorHAnsi"/>
                <w:color w:val="000000"/>
                <w:sz w:val="18"/>
                <w:szCs w:val="18"/>
                <w:lang w:eastAsia="en-US"/>
              </w:rPr>
              <w:t>onditions for</w:t>
            </w:r>
            <w:r w:rsidRPr="007C4D65">
              <w:rPr>
                <w:rFonts w:asciiTheme="minorHAnsi" w:eastAsiaTheme="minorHAnsi" w:hAnsiTheme="minorHAnsi" w:cstheme="minorHAnsi"/>
                <w:color w:val="000000"/>
                <w:sz w:val="18"/>
                <w:szCs w:val="18"/>
                <w:lang w:eastAsia="en-US"/>
              </w:rPr>
              <w:t xml:space="preserve"> the</w:t>
            </w:r>
            <w:r w:rsidR="00226427" w:rsidRPr="007C4D65">
              <w:rPr>
                <w:rFonts w:asciiTheme="minorHAnsi" w:eastAsiaTheme="minorHAnsi" w:hAnsiTheme="minorHAnsi" w:cstheme="minorHAnsi"/>
                <w:color w:val="000000"/>
                <w:sz w:val="18"/>
                <w:szCs w:val="18"/>
                <w:lang w:eastAsia="en-US"/>
              </w:rPr>
              <w:t xml:space="preserve"> establishment of the Environmental </w:t>
            </w:r>
            <w:r w:rsidRPr="007C4D65">
              <w:rPr>
                <w:rFonts w:asciiTheme="minorHAnsi" w:eastAsiaTheme="minorHAnsi" w:hAnsiTheme="minorHAnsi" w:cstheme="minorHAnsi"/>
                <w:color w:val="000000"/>
                <w:sz w:val="18"/>
                <w:szCs w:val="18"/>
                <w:lang w:eastAsia="en-US"/>
              </w:rPr>
              <w:t xml:space="preserve">Protection </w:t>
            </w:r>
            <w:r w:rsidR="00226427" w:rsidRPr="007C4D65">
              <w:rPr>
                <w:rFonts w:asciiTheme="minorHAnsi" w:eastAsiaTheme="minorHAnsi" w:hAnsiTheme="minorHAnsi" w:cstheme="minorHAnsi"/>
                <w:color w:val="000000"/>
                <w:sz w:val="18"/>
                <w:szCs w:val="18"/>
                <w:lang w:eastAsia="en-US"/>
              </w:rPr>
              <w:t xml:space="preserve">Agency of the Federation of </w:t>
            </w:r>
            <w:r w:rsidRPr="007C4D65">
              <w:rPr>
                <w:rFonts w:asciiTheme="minorHAnsi" w:eastAsiaTheme="minorHAnsi" w:hAnsiTheme="minorHAnsi" w:cstheme="minorHAnsi"/>
                <w:color w:val="000000"/>
                <w:sz w:val="18"/>
                <w:szCs w:val="18"/>
                <w:lang w:eastAsia="en-US"/>
              </w:rPr>
              <w:t>BiH</w:t>
            </w:r>
            <w:r w:rsidR="00226427" w:rsidRPr="007C4D65">
              <w:rPr>
                <w:rFonts w:asciiTheme="minorHAnsi" w:eastAsiaTheme="minorHAnsi" w:hAnsiTheme="minorHAnsi" w:cstheme="minorHAnsi"/>
                <w:color w:val="000000"/>
                <w:sz w:val="18"/>
                <w:szCs w:val="18"/>
                <w:lang w:eastAsia="en-US"/>
              </w:rPr>
              <w:t xml:space="preserve"> </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C83BA9F" w14:textId="1A5EE4B2" w:rsidR="00226427" w:rsidRPr="007C4D65" w:rsidRDefault="00226427"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There are no conditions – the Agency is not formed </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49B6092" w14:textId="3AF45893" w:rsidR="00226427" w:rsidRPr="007C4D65" w:rsidRDefault="000C0688"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Formally established</w:t>
            </w:r>
            <w:r w:rsidR="00226427" w:rsidRPr="007C4D65">
              <w:rPr>
                <w:rFonts w:asciiTheme="minorHAnsi" w:eastAsiaTheme="minorHAnsi" w:hAnsiTheme="minorHAnsi" w:cstheme="minorHAnsi"/>
                <w:sz w:val="18"/>
                <w:szCs w:val="18"/>
                <w:lang w:eastAsia="en-US" w:bidi="en-US"/>
              </w:rPr>
              <w:t xml:space="preserve">, </w:t>
            </w:r>
            <w:r w:rsidRPr="007C4D65">
              <w:rPr>
                <w:rFonts w:asciiTheme="minorHAnsi" w:eastAsiaTheme="minorHAnsi" w:hAnsiTheme="minorHAnsi" w:cstheme="minorHAnsi"/>
                <w:sz w:val="18"/>
                <w:szCs w:val="18"/>
                <w:lang w:eastAsia="en-US" w:bidi="en-US"/>
              </w:rPr>
              <w:t xml:space="preserve">effective </w:t>
            </w:r>
            <w:r w:rsidR="00226427" w:rsidRPr="007C4D65">
              <w:rPr>
                <w:rFonts w:asciiTheme="minorHAnsi" w:eastAsiaTheme="minorHAnsi" w:hAnsiTheme="minorHAnsi" w:cstheme="minorHAnsi"/>
                <w:sz w:val="18"/>
                <w:szCs w:val="18"/>
                <w:lang w:eastAsia="en-US" w:bidi="en-US"/>
              </w:rPr>
              <w:t xml:space="preserve">Environmental </w:t>
            </w:r>
            <w:r w:rsidRPr="007C4D65">
              <w:rPr>
                <w:rFonts w:asciiTheme="minorHAnsi" w:eastAsiaTheme="minorHAnsi" w:hAnsiTheme="minorHAnsi" w:cstheme="minorHAnsi"/>
                <w:sz w:val="18"/>
                <w:szCs w:val="18"/>
                <w:lang w:eastAsia="en-US" w:bidi="en-US"/>
              </w:rPr>
              <w:t xml:space="preserve">Protection </w:t>
            </w:r>
            <w:r w:rsidR="00226427" w:rsidRPr="007C4D65">
              <w:rPr>
                <w:rFonts w:asciiTheme="minorHAnsi" w:eastAsiaTheme="minorHAnsi" w:hAnsiTheme="minorHAnsi" w:cstheme="minorHAnsi"/>
                <w:sz w:val="18"/>
                <w:szCs w:val="18"/>
                <w:lang w:eastAsia="en-US" w:bidi="en-US"/>
              </w:rPr>
              <w:t xml:space="preserve">Agency </w:t>
            </w:r>
            <w:r w:rsidR="00226427" w:rsidRPr="007C4D65">
              <w:rPr>
                <w:rFonts w:asciiTheme="minorHAnsi" w:eastAsiaTheme="minorHAnsi" w:hAnsiTheme="minorHAnsi" w:cstheme="minorHAnsi"/>
                <w:color w:val="000000"/>
                <w:sz w:val="18"/>
                <w:szCs w:val="18"/>
                <w:lang w:eastAsia="en-US"/>
              </w:rPr>
              <w:t xml:space="preserve">of the Federation of </w:t>
            </w:r>
            <w:r w:rsidRPr="007C4D65">
              <w:rPr>
                <w:rFonts w:asciiTheme="minorHAnsi" w:eastAsiaTheme="minorHAnsi" w:hAnsiTheme="minorHAnsi" w:cstheme="minorHAnsi"/>
                <w:color w:val="000000"/>
                <w:sz w:val="18"/>
                <w:szCs w:val="18"/>
                <w:lang w:eastAsia="en-US"/>
              </w:rPr>
              <w:t>BiH</w:t>
            </w:r>
            <w:r w:rsidR="00226427" w:rsidRPr="007C4D65">
              <w:rPr>
                <w:rFonts w:asciiTheme="minorHAnsi" w:eastAsiaTheme="minorHAnsi" w:hAnsiTheme="minorHAnsi" w:cstheme="minorHAnsi"/>
                <w:color w:val="000000"/>
                <w:sz w:val="18"/>
                <w:szCs w:val="18"/>
                <w:lang w:eastAsia="en-US"/>
              </w:rPr>
              <w:t xml:space="preserve"> </w:t>
            </w:r>
            <w:r w:rsidR="00226427" w:rsidRPr="007C4D65">
              <w:rPr>
                <w:rFonts w:asciiTheme="minorHAnsi" w:eastAsiaTheme="minorHAnsi" w:hAnsiTheme="minorHAnsi" w:cstheme="minorHAnsi"/>
                <w:sz w:val="18"/>
                <w:szCs w:val="18"/>
                <w:lang w:eastAsia="en-US" w:bidi="en-US"/>
              </w:rPr>
              <w:t xml:space="preserve">(articles of association adopted, tasks and duties of the Agency defined, </w:t>
            </w:r>
            <w:r w:rsidR="000E401F" w:rsidRPr="007C4D65">
              <w:rPr>
                <w:rFonts w:asciiTheme="minorHAnsi" w:eastAsiaTheme="minorHAnsi" w:hAnsiTheme="minorHAnsi" w:cstheme="minorHAnsi"/>
                <w:sz w:val="18"/>
                <w:szCs w:val="18"/>
                <w:lang w:eastAsia="en-US" w:bidi="en-US"/>
              </w:rPr>
              <w:t>budget</w:t>
            </w:r>
            <w:r w:rsidR="00226427" w:rsidRPr="007C4D65">
              <w:rPr>
                <w:rFonts w:asciiTheme="minorHAnsi" w:eastAsiaTheme="minorHAnsi" w:hAnsiTheme="minorHAnsi" w:cstheme="minorHAnsi"/>
                <w:sz w:val="18"/>
                <w:szCs w:val="18"/>
                <w:lang w:eastAsia="en-US" w:bidi="en-US"/>
              </w:rPr>
              <w:t xml:space="preserve"> allocated and adopted</w:t>
            </w:r>
            <w:proofErr w:type="gramStart"/>
            <w:r w:rsidR="00226427" w:rsidRPr="007C4D65">
              <w:rPr>
                <w:rFonts w:asciiTheme="minorHAnsi" w:eastAsiaTheme="minorHAnsi" w:hAnsiTheme="minorHAnsi" w:cstheme="minorHAnsi"/>
                <w:sz w:val="18"/>
                <w:szCs w:val="18"/>
                <w:lang w:eastAsia="en-US" w:bidi="en-US"/>
              </w:rPr>
              <w:t xml:space="preserve">   (</w:t>
            </w:r>
            <w:proofErr w:type="gramEnd"/>
            <w:r w:rsidR="00226427" w:rsidRPr="007C4D65">
              <w:rPr>
                <w:rFonts w:asciiTheme="minorHAnsi" w:eastAsiaTheme="minorHAnsi" w:hAnsiTheme="minorHAnsi" w:cstheme="minorHAnsi"/>
                <w:sz w:val="18"/>
                <w:szCs w:val="18"/>
                <w:lang w:eastAsia="en-US" w:bidi="en-US"/>
              </w:rPr>
              <w:t>2030+)</w:t>
            </w:r>
          </w:p>
        </w:tc>
      </w:tr>
      <w:tr w:rsidR="00226427" w:rsidRPr="007C4D65" w14:paraId="01A8ABFD" w14:textId="77777777" w:rsidTr="00B6017F">
        <w:trPr>
          <w:trHeight w:val="567"/>
        </w:trPr>
        <w:tc>
          <w:tcPr>
            <w:tcW w:w="1359" w:type="pct"/>
            <w:shd w:val="clear" w:color="auto" w:fill="009D73"/>
            <w:vAlign w:val="center"/>
          </w:tcPr>
          <w:p w14:paraId="209D0E8D"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4440CB7" w14:textId="5C2340D2" w:rsidR="00226427" w:rsidRPr="007C4D65" w:rsidRDefault="000C0688"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Contribution to creating a coherent management with strong inter-sectoral links and good coordination, which are essential for </w:t>
            </w:r>
            <w:r w:rsidR="009960F8" w:rsidRPr="007C4D65">
              <w:rPr>
                <w:rFonts w:asciiTheme="minorHAnsi" w:eastAsiaTheme="minorHAnsi" w:hAnsiTheme="minorHAnsi" w:cstheme="minorHAnsi"/>
                <w:sz w:val="18"/>
                <w:szCs w:val="18"/>
                <w:lang w:eastAsia="en-US" w:bidi="en-US"/>
              </w:rPr>
              <w:t>efficient environmental management</w:t>
            </w:r>
          </w:p>
        </w:tc>
      </w:tr>
      <w:tr w:rsidR="00226427" w:rsidRPr="007C4D65" w14:paraId="6852ECD2"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EDAC4C7" w14:textId="4B9A4989" w:rsidR="00226427" w:rsidRPr="007C4D65" w:rsidRDefault="00963086"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r w:rsidR="00226427" w:rsidRPr="007C4D65">
              <w:rPr>
                <w:rFonts w:asciiTheme="minorHAnsi" w:eastAsiaTheme="minorHAnsi" w:hAnsiTheme="minorHAnsi" w:cstheme="minorHAnsi"/>
                <w:b/>
                <w:color w:val="FFFFFF" w:themeColor="background1"/>
                <w:sz w:val="18"/>
                <w:szCs w:val="18"/>
                <w:lang w:eastAsia="en-US"/>
              </w:rPr>
              <w:t xml:space="preserve">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14C5F12" w14:textId="6A5C5217" w:rsidR="009960F8" w:rsidRPr="007C4D65" w:rsidRDefault="00C224E3" w:rsidP="009960F8">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9960F8" w:rsidRPr="007C4D65">
              <w:rPr>
                <w:rFonts w:asciiTheme="minorHAnsi" w:hAnsiTheme="minorHAnsi" w:cstheme="minorHAnsi"/>
                <w:sz w:val="18"/>
                <w:szCs w:val="18"/>
                <w:lang w:val="hr-HR" w:bidi="en-US"/>
              </w:rPr>
              <w:t>BAM 2,164,905 KM</w:t>
            </w:r>
          </w:p>
          <w:p w14:paraId="69BBE527" w14:textId="72C61FEF" w:rsidR="00226427" w:rsidRPr="007C4D65" w:rsidRDefault="009E6B20" w:rsidP="009960F8">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val="hr-HR" w:bidi="en-US"/>
              </w:rPr>
              <w:t xml:space="preserve">Source: </w:t>
            </w:r>
            <w:r w:rsidR="009960F8" w:rsidRPr="007C4D65">
              <w:rPr>
                <w:rFonts w:asciiTheme="minorHAnsi" w:hAnsiTheme="minorHAnsi" w:cstheme="minorHAnsi"/>
                <w:sz w:val="18"/>
                <w:szCs w:val="18"/>
                <w:lang w:val="hr-HR" w:bidi="en-US"/>
              </w:rPr>
              <w:t xml:space="preserve">10%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9960F8" w:rsidRPr="007C4D65">
              <w:rPr>
                <w:rFonts w:asciiTheme="minorHAnsi" w:hAnsiTheme="minorHAnsi" w:cstheme="minorHAnsi"/>
                <w:sz w:val="18"/>
                <w:szCs w:val="18"/>
                <w:lang w:val="hr-HR" w:bidi="en-US"/>
              </w:rPr>
              <w:t xml:space="preserve">, 90% </w:t>
            </w:r>
            <w:r w:rsidR="00C224E3" w:rsidRPr="007C4D65">
              <w:rPr>
                <w:rFonts w:asciiTheme="minorHAnsi" w:hAnsiTheme="minorHAnsi" w:cstheme="minorHAnsi"/>
                <w:sz w:val="18"/>
                <w:szCs w:val="18"/>
                <w:lang w:val="hr-HR" w:bidi="en-US"/>
              </w:rPr>
              <w:t>funds from EU and other international donors</w:t>
            </w:r>
          </w:p>
        </w:tc>
      </w:tr>
      <w:tr w:rsidR="00226427" w:rsidRPr="007C4D65" w14:paraId="03D84535"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0542475"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707731F" w14:textId="77777777" w:rsidR="00226427" w:rsidRPr="007C4D65" w:rsidRDefault="00226427"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2030</w:t>
            </w:r>
          </w:p>
        </w:tc>
      </w:tr>
      <w:tr w:rsidR="00226427" w:rsidRPr="007C4D65" w14:paraId="380527A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AE3A6AC"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lastRenderedPageBreak/>
              <w:t>Institution responsible for coordination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A7DD29A" w14:textId="38880C17" w:rsidR="00226427" w:rsidRPr="007C4D65" w:rsidRDefault="00226427"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 xml:space="preserve"> </w:t>
            </w:r>
            <w:r w:rsidR="001E6E20" w:rsidRPr="007C4D65">
              <w:rPr>
                <w:rFonts w:asciiTheme="minorHAnsi" w:eastAsia="Calibri" w:hAnsiTheme="minorHAnsi" w:cstheme="minorHAnsi"/>
                <w:sz w:val="18"/>
                <w:szCs w:val="18"/>
                <w:lang w:eastAsia="en-US"/>
              </w:rPr>
              <w:t>Federation Ministry</w:t>
            </w:r>
            <w:r w:rsidRPr="007C4D65">
              <w:rPr>
                <w:rFonts w:asciiTheme="minorHAnsi" w:eastAsia="Calibri" w:hAnsiTheme="minorHAnsi" w:cstheme="minorHAnsi"/>
                <w:sz w:val="18"/>
                <w:szCs w:val="18"/>
                <w:lang w:eastAsia="en-US"/>
              </w:rPr>
              <w:t xml:space="preserve"> of Environment and Tourism</w:t>
            </w:r>
          </w:p>
        </w:tc>
      </w:tr>
      <w:tr w:rsidR="00226427" w:rsidRPr="007C4D65" w14:paraId="236FFEEF"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8CFE77F" w14:textId="77777777" w:rsidR="00226427" w:rsidRPr="007C4D65" w:rsidRDefault="00226427"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AF0D033" w14:textId="1F4F21DE" w:rsidR="00226427" w:rsidRPr="007C4D65" w:rsidRDefault="00226427"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 xml:space="preserve"> </w:t>
            </w:r>
            <w:r w:rsidR="001E6E20" w:rsidRPr="007C4D65">
              <w:rPr>
                <w:rFonts w:asciiTheme="minorHAnsi" w:eastAsia="Calibri" w:hAnsiTheme="minorHAnsi" w:cstheme="minorHAnsi"/>
                <w:sz w:val="18"/>
                <w:szCs w:val="18"/>
                <w:lang w:eastAsia="en-US"/>
              </w:rPr>
              <w:t>Federation Ministry</w:t>
            </w:r>
            <w:r w:rsidRPr="007C4D65">
              <w:rPr>
                <w:rFonts w:asciiTheme="minorHAnsi" w:eastAsia="Calibri" w:hAnsiTheme="minorHAnsi" w:cstheme="minorHAnsi"/>
                <w:sz w:val="18"/>
                <w:szCs w:val="18"/>
                <w:lang w:eastAsia="en-US"/>
              </w:rPr>
              <w:t xml:space="preserve"> of Environment and Tourism, in cooperation with the institutions responsible for </w:t>
            </w:r>
            <w:r w:rsidR="009960F8" w:rsidRPr="007C4D65">
              <w:rPr>
                <w:rFonts w:asciiTheme="minorHAnsi" w:eastAsia="Calibri" w:hAnsiTheme="minorHAnsi" w:cstheme="minorHAnsi"/>
                <w:sz w:val="18"/>
                <w:szCs w:val="18"/>
                <w:lang w:eastAsia="en-US"/>
              </w:rPr>
              <w:t xml:space="preserve">overall environmental </w:t>
            </w:r>
            <w:r w:rsidRPr="007C4D65">
              <w:rPr>
                <w:rFonts w:asciiTheme="minorHAnsi" w:eastAsia="Calibri" w:hAnsiTheme="minorHAnsi" w:cstheme="minorHAnsi"/>
                <w:sz w:val="18"/>
                <w:szCs w:val="18"/>
                <w:lang w:eastAsia="en-US"/>
              </w:rPr>
              <w:t xml:space="preserve">management in the </w:t>
            </w:r>
            <w:r w:rsidRPr="007C4D65">
              <w:rPr>
                <w:rFonts w:asciiTheme="minorHAnsi" w:eastAsiaTheme="minorHAnsi" w:hAnsiTheme="minorHAnsi" w:cstheme="minorHAnsi"/>
                <w:color w:val="000000"/>
                <w:sz w:val="18"/>
                <w:szCs w:val="18"/>
                <w:lang w:eastAsia="en-US"/>
              </w:rPr>
              <w:t xml:space="preserve">Federation of </w:t>
            </w:r>
            <w:r w:rsidR="009960F8" w:rsidRPr="007C4D65">
              <w:rPr>
                <w:rFonts w:asciiTheme="minorHAnsi" w:eastAsiaTheme="minorHAnsi" w:hAnsiTheme="minorHAnsi" w:cstheme="minorHAnsi"/>
                <w:color w:val="000000"/>
                <w:sz w:val="18"/>
                <w:szCs w:val="18"/>
                <w:lang w:eastAsia="en-US"/>
              </w:rPr>
              <w:t>BiH</w:t>
            </w:r>
            <w:r w:rsidRPr="007C4D65">
              <w:rPr>
                <w:rFonts w:asciiTheme="minorHAnsi" w:eastAsiaTheme="minorHAnsi" w:hAnsiTheme="minorHAnsi" w:cstheme="minorHAnsi"/>
                <w:color w:val="000000"/>
                <w:sz w:val="18"/>
                <w:szCs w:val="18"/>
                <w:lang w:eastAsia="en-US"/>
              </w:rPr>
              <w:t xml:space="preserve"> and institutions responsible for other </w:t>
            </w:r>
            <w:r w:rsidR="009960F8" w:rsidRPr="007C4D65">
              <w:rPr>
                <w:rFonts w:asciiTheme="minorHAnsi" w:eastAsiaTheme="minorHAnsi" w:hAnsiTheme="minorHAnsi" w:cstheme="minorHAnsi"/>
                <w:color w:val="000000"/>
                <w:sz w:val="18"/>
                <w:szCs w:val="18"/>
                <w:lang w:eastAsia="en-US"/>
              </w:rPr>
              <w:t>associated</w:t>
            </w:r>
            <w:r w:rsidRPr="007C4D65">
              <w:rPr>
                <w:rFonts w:asciiTheme="minorHAnsi" w:eastAsiaTheme="minorHAnsi" w:hAnsiTheme="minorHAnsi" w:cstheme="minorHAnsi"/>
                <w:color w:val="000000"/>
                <w:sz w:val="18"/>
                <w:szCs w:val="18"/>
                <w:lang w:eastAsia="en-US"/>
              </w:rPr>
              <w:t xml:space="preserve"> fields, nominated members of the Environmental Advisory </w:t>
            </w:r>
            <w:r w:rsidR="009960F8" w:rsidRPr="007C4D65">
              <w:rPr>
                <w:rFonts w:asciiTheme="minorHAnsi" w:eastAsiaTheme="minorHAnsi" w:hAnsiTheme="minorHAnsi" w:cstheme="minorHAnsi"/>
                <w:color w:val="000000"/>
                <w:sz w:val="18"/>
                <w:szCs w:val="18"/>
                <w:lang w:eastAsia="en-US"/>
              </w:rPr>
              <w:t>Committee</w:t>
            </w:r>
            <w:r w:rsidRPr="007C4D65">
              <w:rPr>
                <w:rFonts w:asciiTheme="minorHAnsi" w:eastAsiaTheme="minorHAnsi" w:hAnsiTheme="minorHAnsi" w:cstheme="minorHAnsi"/>
                <w:color w:val="000000"/>
                <w:sz w:val="18"/>
                <w:szCs w:val="18"/>
                <w:lang w:eastAsia="en-US"/>
              </w:rPr>
              <w:t xml:space="preserve"> and </w:t>
            </w:r>
            <w:r w:rsidRPr="007C4D65">
              <w:rPr>
                <w:rFonts w:asciiTheme="minorHAnsi" w:eastAsiaTheme="minorHAnsi" w:hAnsiTheme="minorHAnsi" w:cstheme="minorHAnsi"/>
                <w:sz w:val="18"/>
                <w:szCs w:val="18"/>
                <w:shd w:val="clear" w:color="auto" w:fill="FFFFFF"/>
                <w:lang w:eastAsia="en-US"/>
              </w:rPr>
              <w:t xml:space="preserve">Association of Municipalities and Cities of the Federation of </w:t>
            </w:r>
            <w:r w:rsidR="009960F8" w:rsidRPr="007C4D65">
              <w:rPr>
                <w:rFonts w:asciiTheme="minorHAnsi" w:eastAsiaTheme="minorHAnsi" w:hAnsiTheme="minorHAnsi" w:cstheme="minorHAnsi"/>
                <w:sz w:val="18"/>
                <w:szCs w:val="18"/>
                <w:shd w:val="clear" w:color="auto" w:fill="FFFFFF"/>
                <w:lang w:eastAsia="en-US"/>
              </w:rPr>
              <w:t>BiH</w:t>
            </w:r>
            <w:r w:rsidRPr="007C4D65">
              <w:rPr>
                <w:rFonts w:asciiTheme="minorHAnsi" w:eastAsiaTheme="minorHAnsi" w:hAnsiTheme="minorHAnsi" w:cstheme="minorHAnsi"/>
                <w:sz w:val="18"/>
                <w:szCs w:val="18"/>
                <w:shd w:val="clear" w:color="auto" w:fill="FFFFFF"/>
                <w:lang w:eastAsia="en-US"/>
              </w:rPr>
              <w:t xml:space="preserve"> </w:t>
            </w:r>
          </w:p>
        </w:tc>
      </w:tr>
      <w:tr w:rsidR="00226427" w:rsidRPr="007C4D65" w14:paraId="2AA869A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A93D877" w14:textId="4E903357" w:rsidR="00226427" w:rsidRPr="007C4D65" w:rsidRDefault="00963086" w:rsidP="0022642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4E40534" w14:textId="00B3B6BB" w:rsidR="00226427" w:rsidRPr="007C4D65" w:rsidRDefault="00226427" w:rsidP="0022642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All the institutions participating in coordination of </w:t>
            </w:r>
            <w:bookmarkStart w:id="332" w:name="_Hlk96591933"/>
            <w:r w:rsidRPr="007C4D65">
              <w:rPr>
                <w:rFonts w:asciiTheme="minorHAnsi" w:eastAsiaTheme="minorHAnsi" w:hAnsiTheme="minorHAnsi" w:cstheme="minorHAnsi"/>
                <w:sz w:val="18"/>
                <w:szCs w:val="18"/>
                <w:lang w:eastAsia="en-US" w:bidi="en-US"/>
              </w:rPr>
              <w:t>environmental</w:t>
            </w:r>
            <w:bookmarkEnd w:id="332"/>
            <w:r w:rsidRPr="007C4D65">
              <w:rPr>
                <w:rFonts w:asciiTheme="minorHAnsi" w:eastAsiaTheme="minorHAnsi" w:hAnsiTheme="minorHAnsi" w:cstheme="minorHAnsi"/>
                <w:sz w:val="18"/>
                <w:szCs w:val="18"/>
                <w:lang w:eastAsia="en-US" w:bidi="en-US"/>
              </w:rPr>
              <w:t xml:space="preserve"> </w:t>
            </w:r>
            <w:r w:rsidR="00E65FD2" w:rsidRPr="007C4D65">
              <w:rPr>
                <w:rFonts w:asciiTheme="minorHAnsi" w:eastAsiaTheme="minorHAnsi" w:hAnsiTheme="minorHAnsi" w:cstheme="minorHAnsi"/>
                <w:sz w:val="18"/>
                <w:szCs w:val="18"/>
                <w:lang w:eastAsia="en-US" w:bidi="en-US"/>
              </w:rPr>
              <w:t>activities</w:t>
            </w:r>
            <w:r w:rsidRPr="007C4D65">
              <w:rPr>
                <w:rFonts w:asciiTheme="minorHAnsi" w:eastAsiaTheme="minorHAnsi" w:hAnsiTheme="minorHAnsi" w:cstheme="minorHAnsi"/>
                <w:sz w:val="18"/>
                <w:szCs w:val="18"/>
                <w:lang w:eastAsia="en-US" w:bidi="en-US"/>
              </w:rPr>
              <w:t xml:space="preserve"> and projects </w:t>
            </w:r>
          </w:p>
        </w:tc>
      </w:tr>
    </w:tbl>
    <w:p w14:paraId="5EBE23DE" w14:textId="77777777" w:rsidR="00321717" w:rsidRPr="007C4D65" w:rsidRDefault="00321717" w:rsidP="0068355A">
      <w:pPr>
        <w:spacing w:line="276" w:lineRule="auto"/>
        <w:rPr>
          <w:rFonts w:asciiTheme="minorHAnsi" w:hAnsiTheme="minorHAnsi" w:cstheme="minorHAnsi"/>
          <w:sz w:val="18"/>
          <w:szCs w:val="18"/>
        </w:rPr>
      </w:pPr>
    </w:p>
    <w:tbl>
      <w:tblPr>
        <w:tblW w:w="4675"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2"/>
        <w:gridCol w:w="3242"/>
        <w:gridCol w:w="2762"/>
      </w:tblGrid>
      <w:tr w:rsidR="00E65FD2" w:rsidRPr="007C4D65" w14:paraId="685921B2" w14:textId="77777777" w:rsidTr="00B6017F">
        <w:trPr>
          <w:trHeight w:val="567"/>
        </w:trPr>
        <w:tc>
          <w:tcPr>
            <w:tcW w:w="1359" w:type="pct"/>
            <w:shd w:val="clear" w:color="auto" w:fill="009D73"/>
            <w:vAlign w:val="center"/>
          </w:tcPr>
          <w:p w14:paraId="0A0BFBE6" w14:textId="77777777" w:rsidR="00E65FD2" w:rsidRPr="007C4D65" w:rsidRDefault="00E65FD2" w:rsidP="00E65FD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Link with strategic goal </w:t>
            </w:r>
          </w:p>
        </w:tc>
        <w:tc>
          <w:tcPr>
            <w:tcW w:w="3641" w:type="pct"/>
            <w:gridSpan w:val="3"/>
            <w:shd w:val="clear" w:color="auto" w:fill="FFFFFF"/>
            <w:vAlign w:val="center"/>
          </w:tcPr>
          <w:p w14:paraId="7ACB67C6" w14:textId="35C3FD06" w:rsidR="00E65FD2" w:rsidRPr="007C4D65" w:rsidRDefault="00E65FD2" w:rsidP="002D7967">
            <w:pPr>
              <w:spacing w:after="160" w:line="259"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7. Strengthening environmental management</w:t>
            </w:r>
          </w:p>
        </w:tc>
      </w:tr>
      <w:tr w:rsidR="00E65FD2" w:rsidRPr="007C4D65" w14:paraId="740B6BDA" w14:textId="77777777" w:rsidTr="00B6017F">
        <w:trPr>
          <w:trHeight w:val="567"/>
        </w:trPr>
        <w:tc>
          <w:tcPr>
            <w:tcW w:w="1359" w:type="pct"/>
            <w:shd w:val="clear" w:color="auto" w:fill="009D73"/>
            <w:vAlign w:val="center"/>
          </w:tcPr>
          <w:p w14:paraId="3E6E92CA" w14:textId="77777777" w:rsidR="00E65FD2" w:rsidRPr="007C4D65" w:rsidRDefault="00E65FD2" w:rsidP="00E65FD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41" w:type="pct"/>
            <w:gridSpan w:val="3"/>
            <w:shd w:val="clear" w:color="auto" w:fill="FFFFFF"/>
            <w:vAlign w:val="center"/>
          </w:tcPr>
          <w:p w14:paraId="33022327" w14:textId="0F0D8D05" w:rsidR="00E65FD2" w:rsidRPr="007C4D65" w:rsidRDefault="00E65FD2" w:rsidP="00E65FD2">
            <w:pPr>
              <w:spacing w:before="40" w:after="40" w:line="276" w:lineRule="auto"/>
              <w:rPr>
                <w:rFonts w:asciiTheme="minorHAnsi" w:hAnsiTheme="minorHAnsi" w:cstheme="minorHAnsi"/>
                <w:b/>
                <w:bCs/>
                <w:sz w:val="18"/>
                <w:szCs w:val="18"/>
                <w:lang w:eastAsia="zh-TW"/>
              </w:rPr>
            </w:pPr>
            <w:r w:rsidRPr="007C4D65">
              <w:rPr>
                <w:rFonts w:asciiTheme="minorHAnsi" w:hAnsiTheme="minorHAnsi" w:cstheme="minorHAnsi"/>
                <w:b/>
                <w:bCs/>
                <w:sz w:val="18"/>
                <w:szCs w:val="18"/>
                <w:lang w:eastAsia="zh-TW"/>
              </w:rPr>
              <w:t xml:space="preserve">7.3. </w:t>
            </w:r>
            <w:r w:rsidR="00274404" w:rsidRPr="007C4D65">
              <w:rPr>
                <w:rFonts w:asciiTheme="minorHAnsi" w:eastAsia="Calibri" w:hAnsiTheme="minorHAnsi" w:cstheme="minorHAnsi"/>
                <w:b/>
                <w:bCs/>
                <w:sz w:val="18"/>
                <w:szCs w:val="18"/>
                <w:lang w:eastAsia="en-US"/>
              </w:rPr>
              <w:t>Maximise the capacity and mutual coordination among the institutions</w:t>
            </w:r>
          </w:p>
        </w:tc>
      </w:tr>
      <w:tr w:rsidR="00E65FD2" w:rsidRPr="007C4D65" w14:paraId="2669C06C" w14:textId="77777777" w:rsidTr="00B6017F">
        <w:trPr>
          <w:trHeight w:val="567"/>
        </w:trPr>
        <w:tc>
          <w:tcPr>
            <w:tcW w:w="1359" w:type="pct"/>
            <w:shd w:val="clear" w:color="auto" w:fill="009D73"/>
            <w:vAlign w:val="center"/>
          </w:tcPr>
          <w:p w14:paraId="75357E7B" w14:textId="46A1FCB5" w:rsidR="00E65FD2" w:rsidRPr="007C4D65" w:rsidRDefault="00E65FD2" w:rsidP="00E65FD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Measure</w:t>
            </w:r>
          </w:p>
        </w:tc>
        <w:tc>
          <w:tcPr>
            <w:tcW w:w="3641" w:type="pct"/>
            <w:gridSpan w:val="3"/>
            <w:shd w:val="clear" w:color="auto" w:fill="FFFFFF"/>
            <w:vAlign w:val="center"/>
          </w:tcPr>
          <w:p w14:paraId="2042314B" w14:textId="007DE2C5" w:rsidR="00E65FD2" w:rsidRPr="007C4D65" w:rsidRDefault="00E65FD2" w:rsidP="00E65FD2">
            <w:pPr>
              <w:spacing w:after="160" w:line="276" w:lineRule="auto"/>
              <w:rPr>
                <w:rFonts w:asciiTheme="minorHAnsi" w:eastAsia="Calibri" w:hAnsiTheme="minorHAnsi" w:cstheme="minorHAnsi"/>
                <w:b/>
                <w:sz w:val="18"/>
                <w:szCs w:val="18"/>
                <w:lang w:eastAsia="x-none"/>
              </w:rPr>
            </w:pPr>
            <w:bookmarkStart w:id="333" w:name="_Hlk95004872"/>
            <w:r w:rsidRPr="007C4D65">
              <w:rPr>
                <w:rFonts w:asciiTheme="minorHAnsi" w:eastAsia="Calibri" w:hAnsiTheme="minorHAnsi" w:cstheme="minorHAnsi"/>
                <w:b/>
                <w:sz w:val="18"/>
                <w:szCs w:val="18"/>
                <w:lang w:eastAsia="x-none"/>
              </w:rPr>
              <w:t xml:space="preserve">7.3.2. </w:t>
            </w:r>
            <w:bookmarkStart w:id="334" w:name="_Hlk116564990"/>
            <w:r w:rsidRPr="007C4D65">
              <w:rPr>
                <w:rFonts w:asciiTheme="minorHAnsi" w:eastAsia="Calibri" w:hAnsiTheme="minorHAnsi" w:cstheme="minorHAnsi"/>
                <w:b/>
                <w:sz w:val="18"/>
                <w:szCs w:val="18"/>
                <w:lang w:eastAsia="x-none"/>
              </w:rPr>
              <w:t>Upgrading</w:t>
            </w:r>
            <w:r w:rsidR="00A13CFC" w:rsidRPr="007C4D65">
              <w:rPr>
                <w:rFonts w:asciiTheme="minorHAnsi" w:eastAsia="Calibri" w:hAnsiTheme="minorHAnsi" w:cstheme="minorHAnsi"/>
                <w:b/>
                <w:sz w:val="18"/>
                <w:szCs w:val="18"/>
                <w:lang w:eastAsia="x-none"/>
              </w:rPr>
              <w:t xml:space="preserve"> the</w:t>
            </w:r>
            <w:r w:rsidRPr="007C4D65">
              <w:rPr>
                <w:rFonts w:asciiTheme="minorHAnsi" w:eastAsia="Calibri" w:hAnsiTheme="minorHAnsi" w:cstheme="minorHAnsi"/>
                <w:b/>
                <w:sz w:val="18"/>
                <w:szCs w:val="18"/>
                <w:lang w:eastAsia="x-none"/>
              </w:rPr>
              <w:t xml:space="preserve"> efficiency</w:t>
            </w:r>
            <w:r w:rsidR="00A13CFC" w:rsidRPr="007C4D65">
              <w:rPr>
                <w:rFonts w:asciiTheme="minorHAnsi" w:eastAsia="Calibri" w:hAnsiTheme="minorHAnsi" w:cstheme="minorHAnsi"/>
                <w:b/>
                <w:sz w:val="18"/>
                <w:szCs w:val="18"/>
                <w:lang w:eastAsia="x-none"/>
              </w:rPr>
              <w:t xml:space="preserve"> of</w:t>
            </w:r>
            <w:r w:rsidRPr="007C4D65">
              <w:rPr>
                <w:rFonts w:asciiTheme="minorHAnsi" w:eastAsia="Calibri" w:hAnsiTheme="minorHAnsi" w:cstheme="minorHAnsi"/>
                <w:b/>
                <w:sz w:val="18"/>
                <w:szCs w:val="18"/>
                <w:lang w:eastAsia="x-none"/>
              </w:rPr>
              <w:t xml:space="preserve"> the Inter-entity </w:t>
            </w:r>
            <w:r w:rsidR="00CC5A95" w:rsidRPr="007C4D65">
              <w:rPr>
                <w:rFonts w:asciiTheme="minorHAnsi" w:eastAsia="Calibri" w:hAnsiTheme="minorHAnsi" w:cstheme="minorHAnsi"/>
                <w:b/>
                <w:sz w:val="18"/>
                <w:szCs w:val="18"/>
                <w:lang w:eastAsia="x-none"/>
              </w:rPr>
              <w:t>E</w:t>
            </w:r>
            <w:r w:rsidRPr="007C4D65">
              <w:rPr>
                <w:rFonts w:asciiTheme="minorHAnsi" w:eastAsia="Calibri" w:hAnsiTheme="minorHAnsi" w:cstheme="minorHAnsi"/>
                <w:b/>
                <w:sz w:val="18"/>
                <w:szCs w:val="18"/>
                <w:lang w:eastAsia="x-none"/>
              </w:rPr>
              <w:t xml:space="preserve">nvironmental </w:t>
            </w:r>
            <w:r w:rsidR="00CC5A95" w:rsidRPr="007C4D65">
              <w:rPr>
                <w:rFonts w:asciiTheme="minorHAnsi" w:eastAsia="Calibri" w:hAnsiTheme="minorHAnsi" w:cstheme="minorHAnsi"/>
                <w:b/>
                <w:sz w:val="18"/>
                <w:szCs w:val="18"/>
                <w:lang w:eastAsia="x-none"/>
              </w:rPr>
              <w:t>B</w:t>
            </w:r>
            <w:r w:rsidRPr="007C4D65">
              <w:rPr>
                <w:rFonts w:asciiTheme="minorHAnsi" w:eastAsia="Calibri" w:hAnsiTheme="minorHAnsi" w:cstheme="minorHAnsi"/>
                <w:b/>
                <w:sz w:val="18"/>
                <w:szCs w:val="18"/>
                <w:lang w:eastAsia="x-none"/>
              </w:rPr>
              <w:t>ody</w:t>
            </w:r>
            <w:r w:rsidRPr="007C4D65">
              <w:rPr>
                <w:rFonts w:asciiTheme="minorHAnsi" w:eastAsia="Calibri" w:hAnsiTheme="minorHAnsi" w:cstheme="minorHAnsi"/>
                <w:bCs/>
                <w:sz w:val="18"/>
                <w:szCs w:val="18"/>
                <w:lang w:eastAsia="x-none"/>
              </w:rPr>
              <w:t xml:space="preserve"> </w:t>
            </w:r>
            <w:bookmarkEnd w:id="333"/>
            <w:bookmarkEnd w:id="334"/>
          </w:p>
        </w:tc>
      </w:tr>
      <w:tr w:rsidR="00E65FD2" w:rsidRPr="007C4D65" w14:paraId="18E37055"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207AF39" w14:textId="77777777" w:rsidR="00E65FD2" w:rsidRPr="007C4D65" w:rsidRDefault="00E65FD2" w:rsidP="00234D5F">
            <w:pPr>
              <w:spacing w:before="40" w:after="40" w:line="276" w:lineRule="auto"/>
              <w:contextualSpacing/>
              <w:jc w:val="both"/>
              <w:rPr>
                <w:rFonts w:asciiTheme="minorHAnsi" w:eastAsia="Calibri" w:hAnsiTheme="minorHAnsi" w:cstheme="minorHAnsi"/>
                <w:sz w:val="18"/>
                <w:szCs w:val="18"/>
                <w:lang w:eastAsia="en-US"/>
              </w:rPr>
            </w:pPr>
            <w:r w:rsidRPr="007C4D65">
              <w:rPr>
                <w:rFonts w:asciiTheme="minorHAnsi" w:eastAsia="Calibri" w:hAnsiTheme="minorHAnsi" w:cstheme="minorHAnsi"/>
                <w:b/>
                <w:bCs/>
                <w:color w:val="FFFFFF"/>
                <w:sz w:val="18"/>
                <w:szCs w:val="18"/>
                <w:lang w:eastAsia="en-US" w:bidi="en-US"/>
              </w:rPr>
              <w:t>Description of the measure with the general area of intervention</w:t>
            </w:r>
          </w:p>
          <w:p w14:paraId="3BD9FC31" w14:textId="77777777" w:rsidR="00E65FD2" w:rsidRPr="007C4D65" w:rsidRDefault="00E65FD2" w:rsidP="00E65FD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3641" w:type="pct"/>
            <w:gridSpan w:val="3"/>
            <w:shd w:val="clear" w:color="auto" w:fill="FFFFFF"/>
            <w:vAlign w:val="center"/>
          </w:tcPr>
          <w:p w14:paraId="34ACBF84" w14:textId="13E9AE6C" w:rsidR="00E65FD2" w:rsidRPr="007C4D65" w:rsidRDefault="00E65FD2" w:rsidP="00E65FD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The aim of this measure is to ensure a coordinated and harmonized approach to </w:t>
            </w:r>
            <w:r w:rsidR="00234D5F" w:rsidRPr="007C4D65">
              <w:rPr>
                <w:rFonts w:asciiTheme="minorHAnsi" w:eastAsia="Calibri" w:hAnsiTheme="minorHAnsi" w:cstheme="minorHAnsi"/>
                <w:sz w:val="18"/>
                <w:szCs w:val="18"/>
                <w:lang w:eastAsia="x-none"/>
              </w:rPr>
              <w:t>addressing</w:t>
            </w:r>
            <w:r w:rsidRPr="007C4D65">
              <w:rPr>
                <w:rFonts w:asciiTheme="minorHAnsi" w:eastAsia="Calibri" w:hAnsiTheme="minorHAnsi" w:cstheme="minorHAnsi"/>
                <w:sz w:val="18"/>
                <w:szCs w:val="18"/>
                <w:lang w:eastAsia="x-none"/>
              </w:rPr>
              <w:t xml:space="preserve"> environmental management issues among both Entities and Br</w:t>
            </w:r>
            <w:r w:rsidR="00234D5F" w:rsidRPr="007C4D65">
              <w:rPr>
                <w:rFonts w:asciiTheme="minorHAnsi" w:eastAsia="Calibri" w:hAnsiTheme="minorHAnsi" w:cstheme="minorHAnsi"/>
                <w:sz w:val="18"/>
                <w:szCs w:val="18"/>
                <w:lang w:eastAsia="x-none"/>
              </w:rPr>
              <w:t>c</w:t>
            </w:r>
            <w:r w:rsidRPr="007C4D65">
              <w:rPr>
                <w:rFonts w:asciiTheme="minorHAnsi" w:eastAsia="Calibri" w:hAnsiTheme="minorHAnsi" w:cstheme="minorHAnsi"/>
                <w:sz w:val="18"/>
                <w:szCs w:val="18"/>
                <w:lang w:eastAsia="x-none"/>
              </w:rPr>
              <w:t>ko District by increased efficiency of the inter-entity environmental body.</w:t>
            </w:r>
            <w:bookmarkStart w:id="335" w:name="_Hlk95004932"/>
          </w:p>
          <w:p w14:paraId="623BEB04" w14:textId="77777777" w:rsidR="00E65FD2" w:rsidRPr="007C4D65" w:rsidRDefault="00E65FD2" w:rsidP="00E65FD2">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General areas of intervention</w:t>
            </w:r>
            <w:bookmarkEnd w:id="335"/>
            <w:r w:rsidRPr="007C4D65">
              <w:rPr>
                <w:rFonts w:asciiTheme="minorHAnsi" w:eastAsia="Calibri" w:hAnsiTheme="minorHAnsi" w:cstheme="minorHAnsi"/>
                <w:sz w:val="18"/>
                <w:szCs w:val="18"/>
                <w:lang w:eastAsia="x-none"/>
              </w:rPr>
              <w:t>:</w:t>
            </w:r>
          </w:p>
          <w:p w14:paraId="2FB3DDE8" w14:textId="72383727" w:rsidR="00E65FD2" w:rsidRPr="007C4D65" w:rsidRDefault="00234D5F" w:rsidP="00234D5F">
            <w:pPr>
              <w:spacing w:before="40" w:after="40" w:line="276" w:lineRule="auto"/>
              <w:contextualSpacing/>
              <w:rPr>
                <w:rFonts w:asciiTheme="minorHAnsi" w:eastAsia="Calibri" w:hAnsiTheme="minorHAnsi" w:cstheme="minorHAnsi"/>
                <w:sz w:val="18"/>
                <w:szCs w:val="18"/>
                <w:lang w:eastAsia="x-none"/>
              </w:rPr>
            </w:pPr>
            <w:bookmarkStart w:id="336" w:name="_Hlk95004950"/>
            <w:r w:rsidRPr="007C4D65">
              <w:rPr>
                <w:rFonts w:asciiTheme="minorHAnsi" w:eastAsia="Calibri" w:hAnsiTheme="minorHAnsi" w:cstheme="minorHAnsi"/>
                <w:sz w:val="18"/>
                <w:szCs w:val="18"/>
                <w:lang w:eastAsia="x-none"/>
              </w:rPr>
              <w:t xml:space="preserve">1) </w:t>
            </w:r>
            <w:r w:rsidR="00E65FD2" w:rsidRPr="007C4D65">
              <w:rPr>
                <w:rFonts w:asciiTheme="minorHAnsi" w:eastAsia="Calibri" w:hAnsiTheme="minorHAnsi" w:cstheme="minorHAnsi"/>
                <w:sz w:val="18"/>
                <w:szCs w:val="18"/>
                <w:lang w:eastAsia="x-none"/>
              </w:rPr>
              <w:t xml:space="preserve">Ensuring </w:t>
            </w:r>
            <w:r w:rsidR="00E65FD2" w:rsidRPr="007C4D65">
              <w:rPr>
                <w:rFonts w:asciiTheme="minorHAnsi" w:eastAsia="Calibri" w:hAnsiTheme="minorHAnsi" w:cstheme="minorHAnsi"/>
                <w:sz w:val="18"/>
                <w:szCs w:val="18"/>
                <w:lang w:eastAsia="en-US"/>
              </w:rPr>
              <w:t xml:space="preserve">active contribution to more efficient and effective work of the </w:t>
            </w:r>
            <w:r w:rsidR="00E65FD2" w:rsidRPr="007C4D65">
              <w:rPr>
                <w:rFonts w:asciiTheme="minorHAnsi" w:eastAsia="Calibri" w:hAnsiTheme="minorHAnsi" w:cstheme="minorHAnsi"/>
                <w:bCs/>
                <w:sz w:val="18"/>
                <w:szCs w:val="18"/>
                <w:lang w:eastAsia="x-none"/>
              </w:rPr>
              <w:t>inter-entity environmental body</w:t>
            </w:r>
            <w:r w:rsidR="00E65FD2" w:rsidRPr="007C4D65">
              <w:rPr>
                <w:rFonts w:asciiTheme="minorHAnsi" w:eastAsia="Calibri" w:hAnsiTheme="minorHAnsi" w:cstheme="minorHAnsi"/>
                <w:sz w:val="18"/>
                <w:szCs w:val="18"/>
                <w:lang w:eastAsia="x-none"/>
              </w:rPr>
              <w:t xml:space="preserve">, through modernization and </w:t>
            </w:r>
            <w:r w:rsidRPr="007C4D65">
              <w:rPr>
                <w:rFonts w:asciiTheme="minorHAnsi" w:eastAsia="Calibri" w:hAnsiTheme="minorHAnsi" w:cstheme="minorHAnsi"/>
                <w:sz w:val="18"/>
                <w:szCs w:val="18"/>
                <w:lang w:eastAsia="x-none"/>
              </w:rPr>
              <w:t>improved functioning</w:t>
            </w:r>
            <w:r w:rsidR="00E65FD2" w:rsidRPr="007C4D65">
              <w:rPr>
                <w:rFonts w:asciiTheme="minorHAnsi" w:eastAsia="Calibri" w:hAnsiTheme="minorHAnsi" w:cstheme="minorHAnsi"/>
                <w:sz w:val="18"/>
                <w:szCs w:val="18"/>
                <w:lang w:eastAsia="x-none"/>
              </w:rPr>
              <w:t xml:space="preserve"> of this body</w:t>
            </w:r>
            <w:bookmarkEnd w:id="336"/>
            <w:r w:rsidR="00E65FD2" w:rsidRPr="007C4D65">
              <w:rPr>
                <w:rFonts w:asciiTheme="minorHAnsi" w:eastAsia="Calibri" w:hAnsiTheme="minorHAnsi" w:cstheme="minorHAnsi"/>
                <w:sz w:val="18"/>
                <w:szCs w:val="18"/>
                <w:lang w:eastAsia="x-none"/>
              </w:rPr>
              <w:t xml:space="preserve">, </w:t>
            </w:r>
            <w:bookmarkStart w:id="337" w:name="_Hlk95005004"/>
            <w:proofErr w:type="gramStart"/>
            <w:r w:rsidR="00E65FD2" w:rsidRPr="007C4D65">
              <w:rPr>
                <w:rFonts w:asciiTheme="minorHAnsi" w:eastAsia="Calibri" w:hAnsiTheme="minorHAnsi" w:cstheme="minorHAnsi"/>
                <w:bCs/>
                <w:sz w:val="18"/>
                <w:szCs w:val="18"/>
                <w:lang w:eastAsia="x-none"/>
              </w:rPr>
              <w:t>in particular in</w:t>
            </w:r>
            <w:proofErr w:type="gramEnd"/>
            <w:r w:rsidR="00E65FD2" w:rsidRPr="007C4D65">
              <w:rPr>
                <w:rFonts w:asciiTheme="minorHAnsi" w:eastAsia="Calibri" w:hAnsiTheme="minorHAnsi" w:cstheme="minorHAnsi"/>
                <w:bCs/>
                <w:sz w:val="18"/>
                <w:szCs w:val="18"/>
                <w:lang w:eastAsia="x-none"/>
              </w:rPr>
              <w:t xml:space="preserve"> the domain of harmonization of </w:t>
            </w:r>
            <w:r w:rsidRPr="007C4D65">
              <w:rPr>
                <w:rFonts w:asciiTheme="minorHAnsi" w:eastAsia="Calibri" w:hAnsiTheme="minorHAnsi" w:cstheme="minorHAnsi"/>
                <w:bCs/>
                <w:sz w:val="18"/>
                <w:szCs w:val="18"/>
                <w:lang w:eastAsia="x-none"/>
              </w:rPr>
              <w:t xml:space="preserve">the </w:t>
            </w:r>
            <w:r w:rsidR="00E65FD2" w:rsidRPr="007C4D65">
              <w:rPr>
                <w:rFonts w:asciiTheme="minorHAnsi" w:eastAsia="Calibri" w:hAnsiTheme="minorHAnsi" w:cstheme="minorHAnsi"/>
                <w:bCs/>
                <w:sz w:val="18"/>
                <w:szCs w:val="18"/>
                <w:lang w:eastAsia="x-none"/>
              </w:rPr>
              <w:t xml:space="preserve">legislation among the Entities and </w:t>
            </w:r>
            <w:r w:rsidR="00295360" w:rsidRPr="007C4D65">
              <w:rPr>
                <w:rFonts w:asciiTheme="minorHAnsi" w:eastAsia="Calibri" w:hAnsiTheme="minorHAnsi" w:cstheme="minorHAnsi"/>
                <w:bCs/>
                <w:sz w:val="18"/>
                <w:szCs w:val="18"/>
                <w:lang w:eastAsia="x-none"/>
              </w:rPr>
              <w:t>Brcko</w:t>
            </w:r>
            <w:r w:rsidR="00E65FD2" w:rsidRPr="007C4D65">
              <w:rPr>
                <w:rFonts w:asciiTheme="minorHAnsi" w:eastAsia="Calibri" w:hAnsiTheme="minorHAnsi" w:cstheme="minorHAnsi"/>
                <w:bCs/>
                <w:sz w:val="18"/>
                <w:szCs w:val="18"/>
                <w:lang w:eastAsia="x-none"/>
              </w:rPr>
              <w:t xml:space="preserve"> District</w:t>
            </w:r>
            <w:r w:rsidR="00E65FD2" w:rsidRPr="007C4D65">
              <w:rPr>
                <w:rFonts w:asciiTheme="minorHAnsi" w:eastAsia="Calibri" w:hAnsiTheme="minorHAnsi" w:cstheme="minorHAnsi"/>
                <w:sz w:val="18"/>
                <w:szCs w:val="18"/>
                <w:lang w:eastAsia="x-none"/>
              </w:rPr>
              <w:t xml:space="preserve">, </w:t>
            </w:r>
            <w:r w:rsidR="00E65FD2" w:rsidRPr="007C4D65">
              <w:rPr>
                <w:rFonts w:asciiTheme="minorHAnsi" w:eastAsia="Calibri" w:hAnsiTheme="minorHAnsi" w:cstheme="minorHAnsi"/>
                <w:bCs/>
                <w:sz w:val="18"/>
                <w:szCs w:val="18"/>
                <w:lang w:eastAsia="x-none"/>
              </w:rPr>
              <w:t xml:space="preserve">modernization of internal and external communication channels, within the </w:t>
            </w:r>
            <w:r w:rsidRPr="007C4D65">
              <w:rPr>
                <w:rFonts w:asciiTheme="minorHAnsi" w:eastAsia="Calibri" w:hAnsiTheme="minorHAnsi" w:cstheme="minorHAnsi"/>
                <w:bCs/>
                <w:sz w:val="18"/>
                <w:szCs w:val="18"/>
                <w:lang w:eastAsia="x-none"/>
              </w:rPr>
              <w:t xml:space="preserve">competence </w:t>
            </w:r>
            <w:r w:rsidR="00E65FD2" w:rsidRPr="007C4D65">
              <w:rPr>
                <w:rFonts w:asciiTheme="minorHAnsi" w:eastAsia="Calibri" w:hAnsiTheme="minorHAnsi" w:cstheme="minorHAnsi"/>
                <w:bCs/>
                <w:sz w:val="18"/>
                <w:szCs w:val="18"/>
                <w:lang w:eastAsia="x-none"/>
              </w:rPr>
              <w:t xml:space="preserve">of </w:t>
            </w:r>
            <w:bookmarkStart w:id="338" w:name="_Hlk96417774"/>
            <w:r w:rsidR="00E65FD2" w:rsidRPr="007C4D65">
              <w:rPr>
                <w:rFonts w:asciiTheme="minorHAnsi" w:eastAsia="Calibri" w:hAnsiTheme="minorHAnsi" w:cstheme="minorHAnsi"/>
                <w:bCs/>
                <w:sz w:val="18"/>
                <w:szCs w:val="18"/>
                <w:lang w:eastAsia="x-none"/>
              </w:rPr>
              <w:t xml:space="preserve">the Federation of </w:t>
            </w:r>
            <w:bookmarkEnd w:id="337"/>
            <w:bookmarkEnd w:id="338"/>
            <w:r w:rsidRPr="007C4D65">
              <w:rPr>
                <w:rFonts w:asciiTheme="minorHAnsi" w:eastAsia="Calibri" w:hAnsiTheme="minorHAnsi" w:cstheme="minorHAnsi"/>
                <w:bCs/>
                <w:sz w:val="18"/>
                <w:szCs w:val="18"/>
                <w:lang w:eastAsia="x-none"/>
              </w:rPr>
              <w:t>BiH</w:t>
            </w:r>
            <w:r w:rsidR="00E65FD2" w:rsidRPr="007C4D65">
              <w:rPr>
                <w:rFonts w:asciiTheme="minorHAnsi" w:eastAsia="Calibri" w:hAnsiTheme="minorHAnsi" w:cstheme="minorHAnsi"/>
                <w:bCs/>
                <w:sz w:val="18"/>
                <w:szCs w:val="18"/>
                <w:lang w:eastAsia="x-none"/>
              </w:rPr>
              <w:t>. This may include</w:t>
            </w:r>
            <w:r w:rsidR="00E65FD2" w:rsidRPr="007C4D65">
              <w:rPr>
                <w:rFonts w:asciiTheme="minorHAnsi" w:eastAsia="Calibri" w:hAnsiTheme="minorHAnsi" w:cstheme="minorHAnsi"/>
                <w:sz w:val="18"/>
                <w:szCs w:val="18"/>
                <w:lang w:eastAsia="x-none"/>
              </w:rPr>
              <w:t>:</w:t>
            </w:r>
          </w:p>
          <w:p w14:paraId="2254E4E0" w14:textId="3ACEA9EB" w:rsidR="00E65FD2" w:rsidRPr="007C4D65" w:rsidRDefault="00E65FD2">
            <w:pPr>
              <w:numPr>
                <w:ilvl w:val="0"/>
                <w:numId w:val="160"/>
              </w:numPr>
              <w:spacing w:before="40" w:after="40" w:line="276" w:lineRule="auto"/>
              <w:ind w:left="647" w:hanging="284"/>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Defin</w:t>
            </w:r>
            <w:r w:rsidR="00234D5F" w:rsidRPr="007C4D65">
              <w:rPr>
                <w:rFonts w:asciiTheme="minorHAnsi" w:eastAsia="Calibri" w:hAnsiTheme="minorHAnsi" w:cstheme="minorHAnsi"/>
                <w:sz w:val="18"/>
                <w:szCs w:val="18"/>
                <w:lang w:eastAsia="x-none"/>
              </w:rPr>
              <w:t xml:space="preserve">ing </w:t>
            </w:r>
            <w:r w:rsidRPr="007C4D65">
              <w:rPr>
                <w:rFonts w:asciiTheme="minorHAnsi" w:eastAsia="Calibri" w:hAnsiTheme="minorHAnsi" w:cstheme="minorHAnsi"/>
                <w:sz w:val="18"/>
                <w:szCs w:val="18"/>
                <w:lang w:eastAsia="x-none"/>
              </w:rPr>
              <w:t xml:space="preserve">of the mission and vision of the </w:t>
            </w:r>
            <w:r w:rsidR="00234D5F" w:rsidRPr="007C4D65">
              <w:rPr>
                <w:rFonts w:asciiTheme="minorHAnsi" w:eastAsia="Calibri" w:hAnsiTheme="minorHAnsi" w:cstheme="minorHAnsi"/>
                <w:bCs/>
                <w:sz w:val="18"/>
                <w:szCs w:val="18"/>
                <w:lang w:eastAsia="x-none"/>
              </w:rPr>
              <w:t xml:space="preserve">Inter-entity Environmental </w:t>
            </w:r>
            <w:proofErr w:type="gramStart"/>
            <w:r w:rsidR="00234D5F" w:rsidRPr="007C4D65">
              <w:rPr>
                <w:rFonts w:asciiTheme="minorHAnsi" w:eastAsia="Calibri" w:hAnsiTheme="minorHAnsi" w:cstheme="minorHAnsi"/>
                <w:bCs/>
                <w:sz w:val="18"/>
                <w:szCs w:val="18"/>
                <w:lang w:eastAsia="x-none"/>
              </w:rPr>
              <w:t>Body</w:t>
            </w:r>
            <w:r w:rsidR="002D7967" w:rsidRPr="007C4D65">
              <w:rPr>
                <w:rFonts w:asciiTheme="minorHAnsi" w:eastAsia="Calibri" w:hAnsiTheme="minorHAnsi" w:cstheme="minorHAnsi"/>
                <w:bCs/>
                <w:sz w:val="18"/>
                <w:szCs w:val="18"/>
                <w:lang w:eastAsia="x-none"/>
              </w:rPr>
              <w:t>;</w:t>
            </w:r>
            <w:proofErr w:type="gramEnd"/>
          </w:p>
          <w:p w14:paraId="2DDD25D1" w14:textId="255974F0" w:rsidR="00E65FD2" w:rsidRPr="007C4D65" w:rsidRDefault="00234D5F">
            <w:pPr>
              <w:pStyle w:val="ListParagraph"/>
              <w:numPr>
                <w:ilvl w:val="0"/>
                <w:numId w:val="160"/>
              </w:numPr>
              <w:spacing w:before="40" w:after="40" w:line="276" w:lineRule="auto"/>
              <w:ind w:left="647" w:hanging="284"/>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Preparation</w:t>
            </w:r>
            <w:r w:rsidR="00E65FD2" w:rsidRPr="007C4D65">
              <w:rPr>
                <w:rFonts w:asciiTheme="minorHAnsi" w:eastAsia="Calibri" w:hAnsiTheme="minorHAnsi" w:cstheme="minorHAnsi"/>
                <w:sz w:val="18"/>
                <w:szCs w:val="18"/>
                <w:lang w:eastAsia="x-none"/>
              </w:rPr>
              <w:t xml:space="preserve"> of the </w:t>
            </w:r>
            <w:r w:rsidRPr="007C4D65">
              <w:rPr>
                <w:rFonts w:asciiTheme="minorHAnsi" w:eastAsia="Calibri" w:hAnsiTheme="minorHAnsi" w:cstheme="minorHAnsi"/>
                <w:sz w:val="18"/>
                <w:szCs w:val="18"/>
                <w:lang w:eastAsia="x-none"/>
              </w:rPr>
              <w:t xml:space="preserve">policy </w:t>
            </w:r>
            <w:r w:rsidR="00E65FD2" w:rsidRPr="007C4D65">
              <w:rPr>
                <w:rFonts w:asciiTheme="minorHAnsi" w:eastAsia="Calibri" w:hAnsiTheme="minorHAnsi" w:cstheme="minorHAnsi"/>
                <w:sz w:val="18"/>
                <w:szCs w:val="18"/>
                <w:lang w:eastAsia="x-none"/>
              </w:rPr>
              <w:t xml:space="preserve">documents </w:t>
            </w:r>
            <w:r w:rsidRPr="007C4D65">
              <w:rPr>
                <w:rFonts w:asciiTheme="minorHAnsi" w:eastAsia="Calibri" w:hAnsiTheme="minorHAnsi" w:cstheme="minorHAnsi"/>
                <w:sz w:val="18"/>
                <w:szCs w:val="18"/>
                <w:lang w:eastAsia="x-none"/>
              </w:rPr>
              <w:t>for</w:t>
            </w:r>
            <w:r w:rsidR="00E65FD2" w:rsidRPr="007C4D65">
              <w:rPr>
                <w:rFonts w:asciiTheme="minorHAnsi" w:eastAsia="Calibri" w:hAnsiTheme="minorHAnsi" w:cstheme="minorHAnsi"/>
                <w:sz w:val="18"/>
                <w:szCs w:val="18"/>
                <w:lang w:eastAsia="x-none"/>
              </w:rPr>
              <w:t xml:space="preserve"> the </w:t>
            </w:r>
            <w:r w:rsidRPr="007C4D65">
              <w:rPr>
                <w:rFonts w:asciiTheme="minorHAnsi" w:eastAsia="Calibri" w:hAnsiTheme="minorHAnsi" w:cstheme="minorHAnsi"/>
                <w:bCs/>
                <w:sz w:val="18"/>
                <w:szCs w:val="18"/>
                <w:lang w:eastAsia="x-none"/>
              </w:rPr>
              <w:t>Inter-entity Environmental Body</w:t>
            </w:r>
            <w:r w:rsidRPr="007C4D65">
              <w:rPr>
                <w:rFonts w:asciiTheme="minorHAnsi" w:eastAsia="Calibri" w:hAnsiTheme="minorHAnsi" w:cstheme="minorHAnsi"/>
                <w:sz w:val="18"/>
                <w:szCs w:val="18"/>
                <w:lang w:eastAsia="x-none"/>
              </w:rPr>
              <w:t xml:space="preserve"> </w:t>
            </w:r>
            <w:r w:rsidR="00E65FD2" w:rsidRPr="007C4D65">
              <w:rPr>
                <w:rFonts w:asciiTheme="minorHAnsi" w:eastAsia="Calibri" w:hAnsiTheme="minorHAnsi" w:cstheme="minorHAnsi"/>
                <w:sz w:val="18"/>
                <w:szCs w:val="18"/>
                <w:lang w:eastAsia="x-none"/>
              </w:rPr>
              <w:t>with</w:t>
            </w:r>
            <w:r w:rsidRPr="007C4D65">
              <w:rPr>
                <w:rFonts w:asciiTheme="minorHAnsi" w:eastAsia="Calibri" w:hAnsiTheme="minorHAnsi" w:cstheme="minorHAnsi"/>
                <w:sz w:val="18"/>
                <w:szCs w:val="18"/>
                <w:lang w:eastAsia="x-none"/>
              </w:rPr>
              <w:t xml:space="preserve"> a</w:t>
            </w:r>
            <w:r w:rsidR="00E65FD2" w:rsidRPr="007C4D65">
              <w:rPr>
                <w:rFonts w:asciiTheme="minorHAnsi" w:eastAsia="Calibri" w:hAnsiTheme="minorHAnsi" w:cstheme="minorHAnsi"/>
                <w:sz w:val="18"/>
                <w:szCs w:val="18"/>
                <w:lang w:eastAsia="x-none"/>
              </w:rPr>
              <w:t xml:space="preserve"> clear division of roles and </w:t>
            </w:r>
            <w:proofErr w:type="gramStart"/>
            <w:r w:rsidR="00E65FD2" w:rsidRPr="007C4D65">
              <w:rPr>
                <w:rFonts w:asciiTheme="minorHAnsi" w:eastAsia="Calibri" w:hAnsiTheme="minorHAnsi" w:cstheme="minorHAnsi"/>
                <w:sz w:val="18"/>
                <w:szCs w:val="18"/>
                <w:lang w:eastAsia="x-none"/>
              </w:rPr>
              <w:t>responsibilities</w:t>
            </w:r>
            <w:r w:rsidR="002D7967" w:rsidRPr="007C4D65">
              <w:rPr>
                <w:rFonts w:asciiTheme="minorHAnsi" w:eastAsia="Calibri" w:hAnsiTheme="minorHAnsi" w:cstheme="minorHAnsi"/>
                <w:sz w:val="18"/>
                <w:szCs w:val="18"/>
                <w:lang w:eastAsia="x-none"/>
              </w:rPr>
              <w:t>;</w:t>
            </w:r>
            <w:proofErr w:type="gramEnd"/>
          </w:p>
          <w:p w14:paraId="18007E7F" w14:textId="73E7E97C" w:rsidR="00E65FD2" w:rsidRPr="007C4D65" w:rsidRDefault="00E65FD2">
            <w:pPr>
              <w:numPr>
                <w:ilvl w:val="0"/>
                <w:numId w:val="160"/>
              </w:numPr>
              <w:spacing w:before="40" w:after="40" w:line="276" w:lineRule="auto"/>
              <w:ind w:left="647" w:hanging="284"/>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Forming the Secretariat of the </w:t>
            </w:r>
            <w:r w:rsidR="00234D5F" w:rsidRPr="007C4D65">
              <w:rPr>
                <w:rFonts w:asciiTheme="minorHAnsi" w:eastAsia="Calibri" w:hAnsiTheme="minorHAnsi" w:cstheme="minorHAnsi"/>
                <w:bCs/>
                <w:sz w:val="18"/>
                <w:szCs w:val="18"/>
                <w:lang w:eastAsia="x-none"/>
              </w:rPr>
              <w:t xml:space="preserve">Inter-entity Environmental </w:t>
            </w:r>
            <w:proofErr w:type="gramStart"/>
            <w:r w:rsidR="00234D5F" w:rsidRPr="007C4D65">
              <w:rPr>
                <w:rFonts w:asciiTheme="minorHAnsi" w:eastAsia="Calibri" w:hAnsiTheme="minorHAnsi" w:cstheme="minorHAnsi"/>
                <w:bCs/>
                <w:sz w:val="18"/>
                <w:szCs w:val="18"/>
                <w:lang w:eastAsia="x-none"/>
              </w:rPr>
              <w:t>Body</w:t>
            </w:r>
            <w:r w:rsidR="002D7967" w:rsidRPr="007C4D65">
              <w:rPr>
                <w:rFonts w:asciiTheme="minorHAnsi" w:eastAsia="Calibri" w:hAnsiTheme="minorHAnsi" w:cstheme="minorHAnsi"/>
                <w:bCs/>
                <w:sz w:val="18"/>
                <w:szCs w:val="18"/>
                <w:lang w:eastAsia="x-none"/>
              </w:rPr>
              <w:t>;</w:t>
            </w:r>
            <w:proofErr w:type="gramEnd"/>
          </w:p>
          <w:p w14:paraId="6601911F" w14:textId="22F53322" w:rsidR="00E65FD2" w:rsidRPr="007C4D65" w:rsidRDefault="00E65FD2">
            <w:pPr>
              <w:numPr>
                <w:ilvl w:val="0"/>
                <w:numId w:val="160"/>
              </w:numPr>
              <w:spacing w:before="40" w:after="40" w:line="276" w:lineRule="auto"/>
              <w:ind w:left="647" w:hanging="284"/>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Creating working groups within</w:t>
            </w:r>
            <w:r w:rsidR="00234D5F" w:rsidRPr="007C4D65">
              <w:rPr>
                <w:rFonts w:asciiTheme="minorHAnsi" w:eastAsia="Calibri" w:hAnsiTheme="minorHAnsi" w:cstheme="minorHAnsi"/>
                <w:sz w:val="18"/>
                <w:szCs w:val="18"/>
                <w:lang w:eastAsia="x-none"/>
              </w:rPr>
              <w:t xml:space="preserve"> the</w:t>
            </w:r>
            <w:r w:rsidRPr="007C4D65">
              <w:rPr>
                <w:rFonts w:asciiTheme="minorHAnsi" w:eastAsia="Calibri" w:hAnsiTheme="minorHAnsi" w:cstheme="minorHAnsi"/>
                <w:sz w:val="18"/>
                <w:szCs w:val="18"/>
                <w:lang w:eastAsia="x-none"/>
              </w:rPr>
              <w:t xml:space="preserve"> </w:t>
            </w:r>
            <w:r w:rsidR="00234D5F" w:rsidRPr="007C4D65">
              <w:rPr>
                <w:rFonts w:asciiTheme="minorHAnsi" w:eastAsia="Calibri" w:hAnsiTheme="minorHAnsi" w:cstheme="minorHAnsi"/>
                <w:bCs/>
                <w:sz w:val="18"/>
                <w:szCs w:val="18"/>
                <w:lang w:eastAsia="x-none"/>
              </w:rPr>
              <w:t xml:space="preserve">Inter-entity Environmental </w:t>
            </w:r>
            <w:proofErr w:type="gramStart"/>
            <w:r w:rsidR="00234D5F" w:rsidRPr="007C4D65">
              <w:rPr>
                <w:rFonts w:asciiTheme="minorHAnsi" w:eastAsia="Calibri" w:hAnsiTheme="minorHAnsi" w:cstheme="minorHAnsi"/>
                <w:bCs/>
                <w:sz w:val="18"/>
                <w:szCs w:val="18"/>
                <w:lang w:eastAsia="x-none"/>
              </w:rPr>
              <w:t>Body</w:t>
            </w:r>
            <w:r w:rsidR="002D7967" w:rsidRPr="007C4D65">
              <w:rPr>
                <w:rFonts w:asciiTheme="minorHAnsi" w:eastAsia="Calibri" w:hAnsiTheme="minorHAnsi" w:cstheme="minorHAnsi"/>
                <w:bCs/>
                <w:sz w:val="18"/>
                <w:szCs w:val="18"/>
                <w:lang w:eastAsia="x-none"/>
              </w:rPr>
              <w:t>;</w:t>
            </w:r>
            <w:proofErr w:type="gramEnd"/>
          </w:p>
          <w:p w14:paraId="65293AEF" w14:textId="1DFF3D83" w:rsidR="00E65FD2" w:rsidRPr="007C4D65" w:rsidRDefault="00E65FD2">
            <w:pPr>
              <w:numPr>
                <w:ilvl w:val="0"/>
                <w:numId w:val="160"/>
              </w:numPr>
              <w:spacing w:before="40" w:after="40" w:line="276" w:lineRule="auto"/>
              <w:ind w:left="647" w:hanging="284"/>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Producing semi-annual and annual work plans in all the </w:t>
            </w:r>
            <w:proofErr w:type="gramStart"/>
            <w:r w:rsidRPr="007C4D65">
              <w:rPr>
                <w:rFonts w:asciiTheme="minorHAnsi" w:eastAsia="Calibri" w:hAnsiTheme="minorHAnsi" w:cstheme="minorHAnsi"/>
                <w:sz w:val="18"/>
                <w:szCs w:val="18"/>
                <w:lang w:eastAsia="x-none"/>
              </w:rPr>
              <w:t>fields</w:t>
            </w:r>
            <w:r w:rsidR="002D7967" w:rsidRPr="007C4D65">
              <w:rPr>
                <w:rFonts w:asciiTheme="minorHAnsi" w:eastAsia="Calibri" w:hAnsiTheme="minorHAnsi" w:cstheme="minorHAnsi"/>
                <w:sz w:val="18"/>
                <w:szCs w:val="18"/>
                <w:lang w:eastAsia="x-none"/>
              </w:rPr>
              <w:t>;</w:t>
            </w:r>
            <w:proofErr w:type="gramEnd"/>
          </w:p>
          <w:p w14:paraId="79C6D982" w14:textId="63E79B96" w:rsidR="00E65FD2" w:rsidRPr="007C4D65" w:rsidRDefault="00E65FD2">
            <w:pPr>
              <w:numPr>
                <w:ilvl w:val="0"/>
                <w:numId w:val="160"/>
              </w:numPr>
              <w:spacing w:before="40" w:after="40" w:line="276" w:lineRule="auto"/>
              <w:ind w:left="647" w:hanging="284"/>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Creating website and </w:t>
            </w:r>
            <w:r w:rsidR="00234D5F" w:rsidRPr="007C4D65">
              <w:rPr>
                <w:rFonts w:asciiTheme="minorHAnsi" w:eastAsia="Calibri" w:hAnsiTheme="minorHAnsi" w:cstheme="minorHAnsi"/>
                <w:sz w:val="18"/>
                <w:szCs w:val="18"/>
                <w:lang w:eastAsia="x-none"/>
              </w:rPr>
              <w:t xml:space="preserve">social media </w:t>
            </w:r>
            <w:r w:rsidRPr="007C4D65">
              <w:rPr>
                <w:rFonts w:asciiTheme="minorHAnsi" w:eastAsia="Calibri" w:hAnsiTheme="minorHAnsi" w:cstheme="minorHAnsi"/>
                <w:sz w:val="18"/>
                <w:szCs w:val="18"/>
                <w:lang w:eastAsia="x-none"/>
              </w:rPr>
              <w:t xml:space="preserve">account (providing transparency of </w:t>
            </w:r>
            <w:r w:rsidR="00234D5F" w:rsidRPr="007C4D65">
              <w:rPr>
                <w:rFonts w:asciiTheme="minorHAnsi" w:eastAsia="Calibri" w:hAnsiTheme="minorHAnsi" w:cstheme="minorHAnsi"/>
                <w:sz w:val="18"/>
                <w:szCs w:val="18"/>
                <w:lang w:eastAsia="x-none"/>
              </w:rPr>
              <w:t>their work, decisions and conclusions</w:t>
            </w:r>
            <w:r w:rsidRPr="007C4D65">
              <w:rPr>
                <w:rFonts w:asciiTheme="minorHAnsi" w:eastAsia="Calibri" w:hAnsiTheme="minorHAnsi" w:cstheme="minorHAnsi"/>
                <w:sz w:val="18"/>
                <w:szCs w:val="18"/>
                <w:lang w:eastAsia="x-none"/>
              </w:rPr>
              <w:t>)</w:t>
            </w:r>
            <w:r w:rsidR="002D7967" w:rsidRPr="007C4D65">
              <w:rPr>
                <w:rFonts w:asciiTheme="minorHAnsi" w:eastAsia="Calibri" w:hAnsiTheme="minorHAnsi" w:cstheme="minorHAnsi"/>
                <w:sz w:val="18"/>
                <w:szCs w:val="18"/>
                <w:lang w:eastAsia="x-none"/>
              </w:rPr>
              <w:t>.</w:t>
            </w:r>
          </w:p>
          <w:p w14:paraId="5C9345A3" w14:textId="4AB70E24" w:rsidR="00E65FD2" w:rsidRPr="007C4D65" w:rsidRDefault="00234D5F" w:rsidP="00234D5F">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2) </w:t>
            </w:r>
            <w:r w:rsidR="00E65FD2" w:rsidRPr="007C4D65">
              <w:rPr>
                <w:rFonts w:asciiTheme="minorHAnsi" w:eastAsia="Calibri" w:hAnsiTheme="minorHAnsi" w:cstheme="minorHAnsi"/>
                <w:sz w:val="18"/>
                <w:szCs w:val="18"/>
                <w:lang w:eastAsia="x-none"/>
              </w:rPr>
              <w:t xml:space="preserve">Through elaboration of the Strategy </w:t>
            </w:r>
            <w:r w:rsidRPr="007C4D65">
              <w:rPr>
                <w:rFonts w:asciiTheme="minorHAnsi" w:eastAsia="Calibri" w:hAnsiTheme="minorHAnsi" w:cstheme="minorHAnsi"/>
                <w:sz w:val="18"/>
                <w:szCs w:val="18"/>
                <w:lang w:eastAsia="x-none"/>
              </w:rPr>
              <w:t>on</w:t>
            </w:r>
            <w:r w:rsidR="00E65FD2"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 xml:space="preserve">the </w:t>
            </w:r>
            <w:r w:rsidR="00E65FD2" w:rsidRPr="007C4D65">
              <w:rPr>
                <w:rFonts w:asciiTheme="minorHAnsi" w:eastAsia="Calibri" w:hAnsiTheme="minorHAnsi" w:cstheme="minorHAnsi"/>
                <w:sz w:val="18"/>
                <w:szCs w:val="18"/>
                <w:lang w:eastAsia="x-none"/>
              </w:rPr>
              <w:t xml:space="preserve">public </w:t>
            </w:r>
            <w:r w:rsidRPr="007C4D65">
              <w:rPr>
                <w:rFonts w:asciiTheme="minorHAnsi" w:eastAsia="Calibri" w:hAnsiTheme="minorHAnsi" w:cstheme="minorHAnsi"/>
                <w:sz w:val="18"/>
                <w:szCs w:val="18"/>
                <w:lang w:eastAsia="x-none"/>
              </w:rPr>
              <w:t>participation</w:t>
            </w:r>
            <w:r w:rsidR="00E65FD2" w:rsidRPr="007C4D65">
              <w:rPr>
                <w:rFonts w:asciiTheme="minorHAnsi" w:eastAsia="Calibri" w:hAnsiTheme="minorHAnsi" w:cstheme="minorHAnsi"/>
                <w:sz w:val="18"/>
                <w:szCs w:val="18"/>
                <w:lang w:eastAsia="x-none"/>
              </w:rPr>
              <w:t xml:space="preserve"> and </w:t>
            </w:r>
            <w:r w:rsidRPr="007C4D65">
              <w:rPr>
                <w:rFonts w:asciiTheme="minorHAnsi" w:eastAsia="Calibri" w:hAnsiTheme="minorHAnsi" w:cstheme="minorHAnsi"/>
                <w:sz w:val="18"/>
                <w:szCs w:val="18"/>
                <w:lang w:eastAsia="x-none"/>
              </w:rPr>
              <w:t>publicity of</w:t>
            </w:r>
            <w:r w:rsidR="00E65FD2" w:rsidRPr="007C4D65">
              <w:rPr>
                <w:rFonts w:asciiTheme="minorHAnsi" w:eastAsia="Calibri" w:hAnsiTheme="minorHAnsi" w:cstheme="minorHAnsi"/>
                <w:sz w:val="18"/>
                <w:szCs w:val="18"/>
                <w:lang w:eastAsia="x-none"/>
              </w:rPr>
              <w:t xml:space="preserve"> information on</w:t>
            </w:r>
            <w:r w:rsidRPr="007C4D65">
              <w:rPr>
                <w:rFonts w:asciiTheme="minorHAnsi" w:eastAsia="Calibri" w:hAnsiTheme="minorHAnsi" w:cstheme="minorHAnsi"/>
                <w:sz w:val="18"/>
                <w:szCs w:val="18"/>
                <w:lang w:eastAsia="x-none"/>
              </w:rPr>
              <w:t xml:space="preserve"> the</w:t>
            </w:r>
            <w:r w:rsidR="00E65FD2" w:rsidRPr="007C4D65">
              <w:rPr>
                <w:rFonts w:asciiTheme="minorHAnsi" w:eastAsia="Calibri" w:hAnsiTheme="minorHAnsi" w:cstheme="minorHAnsi"/>
                <w:sz w:val="18"/>
                <w:szCs w:val="18"/>
                <w:lang w:eastAsia="x-none"/>
              </w:rPr>
              <w:t xml:space="preserve"> work of </w:t>
            </w:r>
            <w:r w:rsidRPr="007C4D65">
              <w:rPr>
                <w:rFonts w:asciiTheme="minorHAnsi" w:eastAsia="Calibri" w:hAnsiTheme="minorHAnsi" w:cstheme="minorHAnsi"/>
                <w:bCs/>
                <w:sz w:val="18"/>
                <w:szCs w:val="18"/>
                <w:lang w:eastAsia="x-none"/>
              </w:rPr>
              <w:t>Inter-entity Environmental Body</w:t>
            </w:r>
            <w:bookmarkStart w:id="339" w:name="_Hlk95005047"/>
            <w:r w:rsidR="00E65FD2" w:rsidRPr="007C4D65">
              <w:rPr>
                <w:rFonts w:asciiTheme="minorHAnsi" w:eastAsia="Calibri" w:hAnsiTheme="minorHAnsi" w:cstheme="minorHAnsi"/>
                <w:bCs/>
                <w:sz w:val="18"/>
                <w:szCs w:val="18"/>
                <w:lang w:eastAsia="x-none"/>
              </w:rPr>
              <w:t>,</w:t>
            </w:r>
            <w:r w:rsidR="00E65FD2" w:rsidRPr="007C4D65">
              <w:rPr>
                <w:rFonts w:asciiTheme="minorHAnsi" w:eastAsia="Calibri" w:hAnsiTheme="minorHAnsi" w:cstheme="minorHAnsi"/>
                <w:sz w:val="18"/>
                <w:szCs w:val="18"/>
                <w:lang w:eastAsia="x-none"/>
              </w:rPr>
              <w:t xml:space="preserve"> enable </w:t>
            </w:r>
            <w:r w:rsidRPr="007C4D65">
              <w:rPr>
                <w:rFonts w:asciiTheme="minorHAnsi" w:eastAsia="Calibri" w:hAnsiTheme="minorHAnsi" w:cstheme="minorHAnsi"/>
                <w:sz w:val="18"/>
                <w:szCs w:val="18"/>
                <w:lang w:eastAsia="x-none"/>
              </w:rPr>
              <w:t xml:space="preserve">the </w:t>
            </w:r>
            <w:r w:rsidR="00E65FD2" w:rsidRPr="007C4D65">
              <w:rPr>
                <w:rFonts w:asciiTheme="minorHAnsi" w:eastAsia="Calibri" w:hAnsiTheme="minorHAnsi" w:cstheme="minorHAnsi"/>
                <w:sz w:val="18"/>
                <w:szCs w:val="18"/>
                <w:lang w:eastAsia="x-none"/>
              </w:rPr>
              <w:t>participation of the interested parties (representatives of</w:t>
            </w:r>
            <w:r w:rsidRPr="007C4D65">
              <w:rPr>
                <w:rFonts w:asciiTheme="minorHAnsi" w:eastAsia="Calibri" w:hAnsiTheme="minorHAnsi" w:cstheme="minorHAnsi"/>
                <w:sz w:val="18"/>
                <w:szCs w:val="18"/>
                <w:lang w:eastAsia="x-none"/>
              </w:rPr>
              <w:t xml:space="preserve"> the</w:t>
            </w:r>
            <w:r w:rsidR="00E65FD2" w:rsidRPr="007C4D65">
              <w:rPr>
                <w:rFonts w:asciiTheme="minorHAnsi" w:eastAsia="Calibri" w:hAnsiTheme="minorHAnsi" w:cstheme="minorHAnsi"/>
                <w:sz w:val="18"/>
                <w:szCs w:val="18"/>
                <w:lang w:eastAsia="x-none"/>
              </w:rPr>
              <w:t xml:space="preserve"> Partnership 27 and civil society organizations) in meeting</w:t>
            </w:r>
            <w:r w:rsidRPr="007C4D65">
              <w:rPr>
                <w:rFonts w:asciiTheme="minorHAnsi" w:eastAsia="Calibri" w:hAnsiTheme="minorHAnsi" w:cstheme="minorHAnsi"/>
                <w:sz w:val="18"/>
                <w:szCs w:val="18"/>
                <w:lang w:eastAsia="x-none"/>
              </w:rPr>
              <w:t>s</w:t>
            </w:r>
            <w:r w:rsidR="00E65FD2" w:rsidRPr="007C4D65">
              <w:rPr>
                <w:rFonts w:asciiTheme="minorHAnsi" w:eastAsia="Calibri" w:hAnsiTheme="minorHAnsi" w:cstheme="minorHAnsi"/>
                <w:sz w:val="18"/>
                <w:szCs w:val="18"/>
                <w:lang w:eastAsia="x-none"/>
              </w:rPr>
              <w:t xml:space="preserve"> and </w:t>
            </w:r>
            <w:r w:rsidRPr="007C4D65">
              <w:rPr>
                <w:rFonts w:asciiTheme="minorHAnsi" w:eastAsia="Calibri" w:hAnsiTheme="minorHAnsi" w:cstheme="minorHAnsi"/>
                <w:sz w:val="18"/>
                <w:szCs w:val="18"/>
                <w:lang w:eastAsia="x-none"/>
              </w:rPr>
              <w:t>activities</w:t>
            </w:r>
            <w:r w:rsidR="00E65FD2" w:rsidRPr="007C4D65">
              <w:rPr>
                <w:rFonts w:asciiTheme="minorHAnsi" w:eastAsia="Calibri" w:hAnsiTheme="minorHAnsi" w:cstheme="minorHAnsi"/>
                <w:sz w:val="18"/>
                <w:szCs w:val="18"/>
                <w:lang w:eastAsia="x-none"/>
              </w:rPr>
              <w:t xml:space="preserve"> of the </w:t>
            </w:r>
            <w:r w:rsidRPr="007C4D65">
              <w:rPr>
                <w:rFonts w:asciiTheme="minorHAnsi" w:eastAsia="Calibri" w:hAnsiTheme="minorHAnsi" w:cstheme="minorHAnsi"/>
                <w:bCs/>
                <w:sz w:val="18"/>
                <w:szCs w:val="18"/>
                <w:lang w:eastAsia="x-none"/>
              </w:rPr>
              <w:t>Inter-entity Environmental Body</w:t>
            </w:r>
            <w:r w:rsidRPr="007C4D65">
              <w:rPr>
                <w:rFonts w:asciiTheme="minorHAnsi" w:eastAsia="Calibri" w:hAnsiTheme="minorHAnsi" w:cstheme="minorHAnsi"/>
                <w:sz w:val="18"/>
                <w:szCs w:val="18"/>
                <w:lang w:eastAsia="x-none"/>
              </w:rPr>
              <w:t xml:space="preserve"> </w:t>
            </w:r>
            <w:r w:rsidR="00E65FD2" w:rsidRPr="007C4D65">
              <w:rPr>
                <w:rFonts w:asciiTheme="minorHAnsi" w:eastAsia="Calibri" w:hAnsiTheme="minorHAnsi" w:cstheme="minorHAnsi"/>
                <w:sz w:val="18"/>
                <w:szCs w:val="18"/>
                <w:lang w:eastAsia="x-none"/>
              </w:rPr>
              <w:t xml:space="preserve">and public access to information about </w:t>
            </w:r>
            <w:r w:rsidRPr="007C4D65">
              <w:rPr>
                <w:rFonts w:asciiTheme="minorHAnsi" w:eastAsia="Calibri" w:hAnsiTheme="minorHAnsi" w:cstheme="minorHAnsi"/>
                <w:sz w:val="18"/>
                <w:szCs w:val="18"/>
                <w:lang w:eastAsia="x-none"/>
              </w:rPr>
              <w:t xml:space="preserve">their </w:t>
            </w:r>
            <w:r w:rsidR="00E65FD2" w:rsidRPr="007C4D65">
              <w:rPr>
                <w:rFonts w:asciiTheme="minorHAnsi" w:eastAsia="Calibri" w:hAnsiTheme="minorHAnsi" w:cstheme="minorHAnsi"/>
                <w:sz w:val="18"/>
                <w:szCs w:val="18"/>
                <w:lang w:eastAsia="x-none"/>
              </w:rPr>
              <w:t xml:space="preserve">meetings and </w:t>
            </w:r>
            <w:r w:rsidRPr="007C4D65">
              <w:rPr>
                <w:rFonts w:asciiTheme="minorHAnsi" w:eastAsia="Calibri" w:hAnsiTheme="minorHAnsi" w:cstheme="minorHAnsi"/>
                <w:sz w:val="18"/>
                <w:szCs w:val="18"/>
                <w:lang w:eastAsia="x-none"/>
              </w:rPr>
              <w:t xml:space="preserve">reports of the </w:t>
            </w:r>
            <w:r w:rsidR="00E65FD2" w:rsidRPr="007C4D65">
              <w:rPr>
                <w:rFonts w:asciiTheme="minorHAnsi" w:eastAsia="Calibri" w:hAnsiTheme="minorHAnsi" w:cstheme="minorHAnsi"/>
                <w:sz w:val="18"/>
                <w:szCs w:val="18"/>
                <w:lang w:eastAsia="x-none"/>
              </w:rPr>
              <w:t>meetings</w:t>
            </w:r>
            <w:bookmarkEnd w:id="339"/>
            <w:r w:rsidR="002D7967" w:rsidRPr="007C4D65">
              <w:rPr>
                <w:rFonts w:asciiTheme="minorHAnsi" w:eastAsia="Calibri" w:hAnsiTheme="minorHAnsi" w:cstheme="minorHAnsi"/>
                <w:sz w:val="18"/>
                <w:szCs w:val="18"/>
                <w:lang w:eastAsia="x-none"/>
              </w:rPr>
              <w:t>.</w:t>
            </w:r>
          </w:p>
        </w:tc>
      </w:tr>
      <w:tr w:rsidR="00E65FD2" w:rsidRPr="007C4D65" w14:paraId="57886592" w14:textId="77777777" w:rsidTr="00B6017F">
        <w:trPr>
          <w:trHeight w:val="567"/>
        </w:trPr>
        <w:tc>
          <w:tcPr>
            <w:tcW w:w="1359" w:type="pct"/>
            <w:shd w:val="clear" w:color="auto" w:fill="009D73"/>
            <w:vAlign w:val="center"/>
          </w:tcPr>
          <w:p w14:paraId="685938DB" w14:textId="77777777" w:rsidR="00E65FD2" w:rsidRPr="007C4D65" w:rsidRDefault="00E65FD2" w:rsidP="00E65FD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 xml:space="preserve">Strategic projects </w:t>
            </w:r>
          </w:p>
        </w:tc>
        <w:tc>
          <w:tcPr>
            <w:tcW w:w="3641" w:type="pct"/>
            <w:gridSpan w:val="3"/>
            <w:shd w:val="clear" w:color="auto" w:fill="FFFFFF" w:themeFill="background1"/>
            <w:vAlign w:val="center"/>
          </w:tcPr>
          <w:p w14:paraId="41E70A71" w14:textId="77777777" w:rsidR="00E65FD2" w:rsidRPr="007C4D65" w:rsidRDefault="00E65FD2" w:rsidP="00E65FD2">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E65FD2" w:rsidRPr="007C4D65" w14:paraId="45C45892" w14:textId="77777777" w:rsidTr="00B6017F">
        <w:trPr>
          <w:trHeight w:val="567"/>
        </w:trPr>
        <w:tc>
          <w:tcPr>
            <w:tcW w:w="1359" w:type="pct"/>
            <w:vMerge w:val="restart"/>
            <w:shd w:val="clear" w:color="auto" w:fill="009D73"/>
            <w:vAlign w:val="center"/>
          </w:tcPr>
          <w:p w14:paraId="26AD67AF" w14:textId="77777777" w:rsidR="00E65FD2" w:rsidRPr="007C4D65" w:rsidRDefault="00E65FD2" w:rsidP="00E65FD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56F6FA7" w14:textId="77777777" w:rsidR="00E65FD2" w:rsidRPr="007C4D65" w:rsidRDefault="00E65FD2" w:rsidP="00E65FD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7F1B33A7" w14:textId="77777777" w:rsidR="00E65FD2" w:rsidRPr="007C4D65" w:rsidRDefault="00E65FD2" w:rsidP="00E65FD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19993A4" w14:textId="77777777" w:rsidR="00E65FD2" w:rsidRPr="007C4D65" w:rsidRDefault="00E65FD2" w:rsidP="00E65FD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0BC1CBBB" w14:textId="77777777" w:rsidR="00E65FD2" w:rsidRPr="007C4D65" w:rsidRDefault="00E65FD2" w:rsidP="00E65FD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4B16D8C" w14:textId="77777777" w:rsidR="00E65FD2" w:rsidRPr="007C4D65" w:rsidRDefault="00E65FD2" w:rsidP="00E65FD2">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value</w:t>
            </w:r>
          </w:p>
        </w:tc>
      </w:tr>
      <w:tr w:rsidR="00E65FD2" w:rsidRPr="007C4D65" w14:paraId="76C951BD" w14:textId="77777777" w:rsidTr="00B6017F">
        <w:trPr>
          <w:trHeight w:val="567"/>
        </w:trPr>
        <w:tc>
          <w:tcPr>
            <w:tcW w:w="1359" w:type="pct"/>
            <w:vMerge/>
            <w:shd w:val="clear" w:color="auto" w:fill="009D73"/>
            <w:vAlign w:val="center"/>
          </w:tcPr>
          <w:p w14:paraId="1886A22C" w14:textId="77777777" w:rsidR="00E65FD2" w:rsidRPr="007C4D65" w:rsidRDefault="00E65FD2" w:rsidP="00E65FD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00083041" w14:textId="52461AB6" w:rsidR="00E65FD2" w:rsidRPr="007C4D65" w:rsidRDefault="00E65FD2">
            <w:pPr>
              <w:numPr>
                <w:ilvl w:val="0"/>
                <w:numId w:val="161"/>
              </w:numPr>
              <w:spacing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Efficiency and effectiveness of the </w:t>
            </w:r>
            <w:r w:rsidR="00234D5F" w:rsidRPr="007C4D65">
              <w:rPr>
                <w:rFonts w:asciiTheme="minorHAnsi" w:eastAsia="Calibri" w:hAnsiTheme="minorHAnsi" w:cstheme="minorHAnsi"/>
                <w:sz w:val="18"/>
                <w:szCs w:val="18"/>
                <w:lang w:eastAsia="x-none"/>
              </w:rPr>
              <w:t xml:space="preserve">work of the </w:t>
            </w:r>
            <w:r w:rsidR="00234D5F" w:rsidRPr="007C4D65">
              <w:rPr>
                <w:rFonts w:asciiTheme="minorHAnsi" w:eastAsia="Calibri" w:hAnsiTheme="minorHAnsi" w:cstheme="minorHAnsi"/>
                <w:bCs/>
                <w:sz w:val="18"/>
                <w:szCs w:val="18"/>
                <w:lang w:eastAsia="x-none"/>
              </w:rPr>
              <w:t>Inter-entity Environmental Body</w:t>
            </w:r>
          </w:p>
        </w:tc>
        <w:tc>
          <w:tcPr>
            <w:tcW w:w="1243" w:type="pct"/>
            <w:shd w:val="clear" w:color="auto" w:fill="FFFFFF"/>
            <w:vAlign w:val="center"/>
          </w:tcPr>
          <w:p w14:paraId="552FDEEA" w14:textId="77777777" w:rsidR="00E65FD2" w:rsidRPr="007C4D65" w:rsidRDefault="00E65FD2" w:rsidP="00E65FD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The inter-entity body is </w:t>
            </w:r>
            <w:proofErr w:type="gramStart"/>
            <w:r w:rsidRPr="007C4D65">
              <w:rPr>
                <w:rFonts w:asciiTheme="minorHAnsi" w:eastAsia="Calibri" w:hAnsiTheme="minorHAnsi" w:cstheme="minorHAnsi"/>
                <w:sz w:val="18"/>
                <w:szCs w:val="18"/>
                <w:lang w:eastAsia="x-none"/>
              </w:rPr>
              <w:t>active</w:t>
            </w:r>
            <w:proofErr w:type="gramEnd"/>
            <w:r w:rsidRPr="007C4D65">
              <w:rPr>
                <w:rFonts w:asciiTheme="minorHAnsi" w:eastAsia="Calibri" w:hAnsiTheme="minorHAnsi" w:cstheme="minorHAnsi"/>
                <w:sz w:val="18"/>
                <w:szCs w:val="18"/>
                <w:lang w:eastAsia="x-none"/>
              </w:rPr>
              <w:t xml:space="preserve"> but its work is ineffective and inefficient </w:t>
            </w:r>
          </w:p>
        </w:tc>
        <w:tc>
          <w:tcPr>
            <w:tcW w:w="1059" w:type="pct"/>
            <w:shd w:val="clear" w:color="auto" w:fill="FFFFFF"/>
            <w:vAlign w:val="center"/>
          </w:tcPr>
          <w:p w14:paraId="2887A4C8" w14:textId="420ADBA4" w:rsidR="00E65FD2" w:rsidRPr="007C4D65" w:rsidRDefault="00E65FD2" w:rsidP="00E65FD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Efficient an effective work of </w:t>
            </w:r>
            <w:r w:rsidRPr="007C4D65">
              <w:rPr>
                <w:rFonts w:asciiTheme="minorHAnsi" w:eastAsia="Calibri" w:hAnsiTheme="minorHAnsi" w:cstheme="minorHAnsi"/>
                <w:sz w:val="18"/>
                <w:szCs w:val="18"/>
                <w:lang w:eastAsia="x-none"/>
              </w:rPr>
              <w:t xml:space="preserve">the </w:t>
            </w:r>
            <w:r w:rsidR="00234D5F" w:rsidRPr="007C4D65">
              <w:rPr>
                <w:rFonts w:asciiTheme="minorHAnsi" w:eastAsia="Calibri" w:hAnsiTheme="minorHAnsi" w:cstheme="minorHAnsi"/>
                <w:bCs/>
                <w:sz w:val="18"/>
                <w:szCs w:val="18"/>
                <w:lang w:eastAsia="x-none"/>
              </w:rPr>
              <w:t>Inter-entity Environmental Body</w:t>
            </w:r>
            <w:r w:rsidR="00234D5F" w:rsidRPr="007C4D65">
              <w:rPr>
                <w:rFonts w:asciiTheme="minorHAnsi" w:eastAsia="Calibri" w:hAnsiTheme="minorHAnsi" w:cstheme="minorHAnsi"/>
                <w:sz w:val="18"/>
                <w:szCs w:val="18"/>
                <w:lang w:eastAsia="x-none"/>
              </w:rPr>
              <w:t xml:space="preserve"> </w:t>
            </w:r>
            <w:r w:rsidRPr="007C4D65">
              <w:rPr>
                <w:rFonts w:asciiTheme="minorHAnsi" w:eastAsiaTheme="minorHAnsi" w:hAnsiTheme="minorHAnsi" w:cstheme="minorHAnsi"/>
                <w:sz w:val="18"/>
                <w:szCs w:val="18"/>
                <w:lang w:eastAsia="en-US" w:bidi="en-US"/>
              </w:rPr>
              <w:t>(2030)</w:t>
            </w:r>
          </w:p>
        </w:tc>
      </w:tr>
      <w:tr w:rsidR="00E65FD2" w:rsidRPr="007C4D65" w14:paraId="530D07B2" w14:textId="77777777" w:rsidTr="00B6017F">
        <w:trPr>
          <w:trHeight w:val="567"/>
        </w:trPr>
        <w:tc>
          <w:tcPr>
            <w:tcW w:w="1359" w:type="pct"/>
            <w:vMerge/>
            <w:shd w:val="clear" w:color="auto" w:fill="009D73"/>
            <w:vAlign w:val="center"/>
          </w:tcPr>
          <w:p w14:paraId="2451ABA2" w14:textId="77777777" w:rsidR="00E65FD2" w:rsidRPr="007C4D65" w:rsidRDefault="00E65FD2" w:rsidP="00E65FD2">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6C3235F3" w14:textId="77777777" w:rsidR="00E65FD2" w:rsidRPr="007C4D65" w:rsidRDefault="00E65FD2">
            <w:pPr>
              <w:numPr>
                <w:ilvl w:val="0"/>
                <w:numId w:val="161"/>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Transparency of work of the inter-entity body</w:t>
            </w:r>
          </w:p>
        </w:tc>
        <w:tc>
          <w:tcPr>
            <w:tcW w:w="1243" w:type="pct"/>
            <w:shd w:val="clear" w:color="auto" w:fill="FFFFFF"/>
            <w:vAlign w:val="center"/>
          </w:tcPr>
          <w:p w14:paraId="5D4C8BC9" w14:textId="6BA669D2" w:rsidR="00E65FD2" w:rsidRPr="007C4D65" w:rsidRDefault="00E65FD2" w:rsidP="00E65FD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Reports on meetings are not publicly available</w:t>
            </w:r>
          </w:p>
        </w:tc>
        <w:tc>
          <w:tcPr>
            <w:tcW w:w="1059" w:type="pct"/>
            <w:shd w:val="clear" w:color="auto" w:fill="FFFFFF"/>
            <w:vAlign w:val="center"/>
          </w:tcPr>
          <w:p w14:paraId="5C9B760F" w14:textId="77777777" w:rsidR="00E65FD2" w:rsidRPr="007C4D65" w:rsidRDefault="00E65FD2" w:rsidP="00E65FD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Public and transparent work of </w:t>
            </w:r>
            <w:r w:rsidRPr="007C4D65">
              <w:rPr>
                <w:rFonts w:asciiTheme="minorHAnsi" w:eastAsia="Calibri" w:hAnsiTheme="minorHAnsi" w:cstheme="minorHAnsi"/>
                <w:sz w:val="18"/>
                <w:szCs w:val="18"/>
                <w:lang w:eastAsia="x-none"/>
              </w:rPr>
              <w:t>the inter-entity body</w:t>
            </w:r>
            <w:r w:rsidRPr="007C4D65">
              <w:rPr>
                <w:rFonts w:asciiTheme="minorHAnsi" w:eastAsiaTheme="minorHAnsi" w:hAnsiTheme="minorHAnsi" w:cstheme="minorHAnsi"/>
                <w:sz w:val="18"/>
                <w:szCs w:val="18"/>
                <w:lang w:eastAsia="en-US" w:bidi="en-US"/>
              </w:rPr>
              <w:t xml:space="preserve"> (2030)</w:t>
            </w:r>
          </w:p>
        </w:tc>
      </w:tr>
      <w:tr w:rsidR="00E65FD2" w:rsidRPr="007C4D65" w14:paraId="32E67C74" w14:textId="77777777" w:rsidTr="00B6017F">
        <w:trPr>
          <w:trHeight w:val="567"/>
        </w:trPr>
        <w:tc>
          <w:tcPr>
            <w:tcW w:w="1359" w:type="pct"/>
            <w:shd w:val="clear" w:color="auto" w:fill="009D73"/>
            <w:vAlign w:val="center"/>
          </w:tcPr>
          <w:p w14:paraId="35ED273C" w14:textId="77777777" w:rsidR="00E65FD2" w:rsidRPr="007C4D65" w:rsidRDefault="00E65FD2" w:rsidP="00E65FD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shd w:val="clear" w:color="auto" w:fill="FFFFFF"/>
            <w:vAlign w:val="center"/>
          </w:tcPr>
          <w:p w14:paraId="6606EE07" w14:textId="094C4536" w:rsidR="00E65FD2" w:rsidRPr="007C4D65" w:rsidRDefault="008B006F" w:rsidP="00E65FD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Contribution to creating a coherent management with strong inter-sectoral links and good coordination, which are essential for efficient and transparent environmental management</w:t>
            </w:r>
          </w:p>
        </w:tc>
      </w:tr>
      <w:tr w:rsidR="00E65FD2" w:rsidRPr="007C4D65" w14:paraId="0D35B04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F4135EC" w14:textId="23A4B803" w:rsidR="00E65FD2" w:rsidRPr="007C4D65" w:rsidRDefault="00963086" w:rsidP="00E65FD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r w:rsidR="00E65FD2" w:rsidRPr="007C4D65">
              <w:rPr>
                <w:rFonts w:asciiTheme="minorHAnsi" w:eastAsiaTheme="minorHAnsi" w:hAnsiTheme="minorHAnsi" w:cstheme="minorHAnsi"/>
                <w:b/>
                <w:color w:val="FFFFFF" w:themeColor="background1"/>
                <w:sz w:val="18"/>
                <w:szCs w:val="18"/>
                <w:lang w:eastAsia="en-US"/>
              </w:rPr>
              <w:t xml:space="preserve"> </w:t>
            </w:r>
          </w:p>
        </w:tc>
        <w:tc>
          <w:tcPr>
            <w:tcW w:w="3641" w:type="pct"/>
            <w:gridSpan w:val="3"/>
            <w:shd w:val="clear" w:color="auto" w:fill="FFFFFF"/>
            <w:vAlign w:val="center"/>
          </w:tcPr>
          <w:p w14:paraId="78A6EE34" w14:textId="6A3688F5" w:rsidR="008B006F" w:rsidRPr="007C4D65" w:rsidRDefault="00C224E3" w:rsidP="008B006F">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Amount:</w:t>
            </w:r>
            <w:r w:rsidR="008B006F" w:rsidRPr="007C4D65">
              <w:rPr>
                <w:rFonts w:asciiTheme="minorHAnsi" w:hAnsiTheme="minorHAnsi" w:cstheme="minorHAnsi"/>
                <w:sz w:val="18"/>
                <w:szCs w:val="18"/>
                <w:lang w:val="hr-HR" w:bidi="en-US"/>
              </w:rPr>
              <w:t xml:space="preserve"> BAM 105,335</w:t>
            </w:r>
          </w:p>
          <w:p w14:paraId="13BE7907" w14:textId="49311FF5" w:rsidR="00E65FD2" w:rsidRPr="007C4D65" w:rsidRDefault="009E6B20" w:rsidP="008B006F">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val="hr-HR" w:bidi="en-US"/>
              </w:rPr>
              <w:t xml:space="preserve">Source: </w:t>
            </w:r>
            <w:r w:rsidR="008B006F" w:rsidRPr="007C4D65">
              <w:rPr>
                <w:rFonts w:asciiTheme="minorHAnsi" w:hAnsiTheme="minorHAnsi" w:cstheme="minorHAnsi"/>
                <w:sz w:val="18"/>
                <w:szCs w:val="18"/>
                <w:lang w:val="hr-HR" w:bidi="en-US"/>
              </w:rPr>
              <w:t xml:space="preserve">20%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8B006F" w:rsidRPr="007C4D65">
              <w:rPr>
                <w:rFonts w:asciiTheme="minorHAnsi" w:hAnsiTheme="minorHAnsi" w:cstheme="minorHAnsi"/>
                <w:sz w:val="18"/>
                <w:szCs w:val="18"/>
                <w:lang w:val="hr-HR" w:bidi="en-US"/>
              </w:rPr>
              <w:t xml:space="preserve">, 80% </w:t>
            </w:r>
            <w:r w:rsidR="00C224E3" w:rsidRPr="007C4D65">
              <w:rPr>
                <w:rFonts w:asciiTheme="minorHAnsi" w:hAnsiTheme="minorHAnsi" w:cstheme="minorHAnsi"/>
                <w:sz w:val="18"/>
                <w:szCs w:val="18"/>
                <w:lang w:val="hr-HR" w:bidi="en-US"/>
              </w:rPr>
              <w:t>funds from EU and other international donors</w:t>
            </w:r>
          </w:p>
        </w:tc>
      </w:tr>
      <w:tr w:rsidR="00E65FD2" w:rsidRPr="007C4D65" w14:paraId="2CFCEFE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FB93AA2" w14:textId="77777777" w:rsidR="00E65FD2" w:rsidRPr="007C4D65" w:rsidRDefault="00E65FD2" w:rsidP="00E65FD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shd w:val="clear" w:color="auto" w:fill="FFFFFF"/>
            <w:vAlign w:val="center"/>
          </w:tcPr>
          <w:p w14:paraId="600B4FB0" w14:textId="77777777" w:rsidR="00E65FD2" w:rsidRPr="007C4D65" w:rsidRDefault="00E65FD2" w:rsidP="00E65FD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2030</w:t>
            </w:r>
          </w:p>
        </w:tc>
      </w:tr>
      <w:tr w:rsidR="00E65FD2" w:rsidRPr="007C4D65" w14:paraId="56A37C14"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E8D1A88" w14:textId="77777777" w:rsidR="00E65FD2" w:rsidRPr="007C4D65" w:rsidRDefault="00E65FD2" w:rsidP="00E65FD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shd w:val="clear" w:color="auto" w:fill="FFFFFF"/>
            <w:vAlign w:val="center"/>
          </w:tcPr>
          <w:p w14:paraId="063FBF88" w14:textId="723FC2AD" w:rsidR="00E65FD2" w:rsidRPr="007C4D65" w:rsidRDefault="001E6E20" w:rsidP="00E65FD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E65FD2" w:rsidRPr="007C4D65">
              <w:rPr>
                <w:rFonts w:asciiTheme="minorHAnsi" w:eastAsia="Calibri" w:hAnsiTheme="minorHAnsi" w:cstheme="minorHAnsi"/>
                <w:sz w:val="18"/>
                <w:szCs w:val="18"/>
                <w:lang w:eastAsia="en-US"/>
              </w:rPr>
              <w:t xml:space="preserve"> of Environment and Tourism</w:t>
            </w:r>
          </w:p>
        </w:tc>
      </w:tr>
      <w:tr w:rsidR="00E65FD2" w:rsidRPr="007C4D65" w14:paraId="5CFEAE5E"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8DBE388" w14:textId="77777777" w:rsidR="00E65FD2" w:rsidRPr="007C4D65" w:rsidRDefault="00E65FD2" w:rsidP="00E65FD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shd w:val="clear" w:color="auto" w:fill="FFFFFF"/>
            <w:vAlign w:val="center"/>
          </w:tcPr>
          <w:p w14:paraId="06B4B133" w14:textId="409972DA" w:rsidR="00E65FD2" w:rsidRPr="007C4D65" w:rsidRDefault="001E6E20" w:rsidP="00E65FD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E65FD2" w:rsidRPr="007C4D65">
              <w:rPr>
                <w:rFonts w:asciiTheme="minorHAnsi" w:eastAsia="Calibri" w:hAnsiTheme="minorHAnsi" w:cstheme="minorHAnsi"/>
                <w:sz w:val="18"/>
                <w:szCs w:val="18"/>
                <w:lang w:eastAsia="en-US"/>
              </w:rPr>
              <w:t xml:space="preserve"> of Environment and Tourism</w:t>
            </w:r>
            <w:r w:rsidR="00E65FD2" w:rsidRPr="007C4D65">
              <w:rPr>
                <w:rFonts w:asciiTheme="minorHAnsi" w:eastAsiaTheme="minorHAnsi" w:hAnsiTheme="minorHAnsi" w:cstheme="minorHAnsi"/>
                <w:sz w:val="18"/>
                <w:szCs w:val="18"/>
                <w:lang w:eastAsia="en-US" w:bidi="en-US"/>
              </w:rPr>
              <w:t xml:space="preserve"> (nominated members of the environmental inter-entity body)</w:t>
            </w:r>
          </w:p>
        </w:tc>
      </w:tr>
      <w:tr w:rsidR="00E65FD2" w:rsidRPr="007C4D65" w14:paraId="402565F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17438DF" w14:textId="7E63DA15" w:rsidR="00E65FD2" w:rsidRPr="007C4D65" w:rsidRDefault="00963086" w:rsidP="00E65FD2">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shd w:val="clear" w:color="auto" w:fill="FFFFFF"/>
            <w:vAlign w:val="center"/>
          </w:tcPr>
          <w:p w14:paraId="52B68BFE" w14:textId="688FE9A7" w:rsidR="00E65FD2" w:rsidRPr="007C4D65" w:rsidRDefault="00E65FD2" w:rsidP="00E65FD2">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All the institutions which participate in coordination of </w:t>
            </w:r>
            <w:r w:rsidR="008B006F" w:rsidRPr="007C4D65">
              <w:rPr>
                <w:rFonts w:asciiTheme="minorHAnsi" w:eastAsiaTheme="minorHAnsi" w:hAnsiTheme="minorHAnsi" w:cstheme="minorHAnsi"/>
                <w:sz w:val="18"/>
                <w:szCs w:val="18"/>
                <w:lang w:eastAsia="en-US" w:bidi="en-US"/>
              </w:rPr>
              <w:t>activities</w:t>
            </w:r>
            <w:r w:rsidRPr="007C4D65">
              <w:rPr>
                <w:rFonts w:asciiTheme="minorHAnsi" w:eastAsiaTheme="minorHAnsi" w:hAnsiTheme="minorHAnsi" w:cstheme="minorHAnsi"/>
                <w:sz w:val="18"/>
                <w:szCs w:val="18"/>
                <w:lang w:eastAsia="en-US" w:bidi="en-US"/>
              </w:rPr>
              <w:t xml:space="preserve"> and projects </w:t>
            </w:r>
            <w:proofErr w:type="gramStart"/>
            <w:r w:rsidRPr="007C4D65">
              <w:rPr>
                <w:rFonts w:asciiTheme="minorHAnsi" w:eastAsiaTheme="minorHAnsi" w:hAnsiTheme="minorHAnsi" w:cstheme="minorHAnsi"/>
                <w:sz w:val="18"/>
                <w:szCs w:val="18"/>
                <w:lang w:eastAsia="en-US" w:bidi="en-US"/>
              </w:rPr>
              <w:t>in the area of</w:t>
            </w:r>
            <w:proofErr w:type="gramEnd"/>
            <w:r w:rsidRPr="007C4D65">
              <w:rPr>
                <w:rFonts w:asciiTheme="minorHAnsi" w:eastAsiaTheme="minorHAnsi" w:hAnsiTheme="minorHAnsi" w:cstheme="minorHAnsi"/>
                <w:sz w:val="18"/>
                <w:szCs w:val="18"/>
                <w:lang w:eastAsia="en-US" w:bidi="en-US"/>
              </w:rPr>
              <w:t xml:space="preserve"> environment, civil society organizations</w:t>
            </w:r>
          </w:p>
        </w:tc>
      </w:tr>
    </w:tbl>
    <w:p w14:paraId="5F648933" w14:textId="77777777"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5"/>
        <w:gridCol w:w="3492"/>
        <w:gridCol w:w="3242"/>
        <w:gridCol w:w="2762"/>
      </w:tblGrid>
      <w:tr w:rsidR="008B006F" w:rsidRPr="007C4D65" w14:paraId="3314AFFC" w14:textId="77777777" w:rsidTr="00B6017F">
        <w:trPr>
          <w:trHeight w:val="567"/>
        </w:trPr>
        <w:tc>
          <w:tcPr>
            <w:tcW w:w="1359" w:type="pct"/>
            <w:shd w:val="clear" w:color="auto" w:fill="009D73"/>
            <w:vAlign w:val="center"/>
          </w:tcPr>
          <w:p w14:paraId="5973A64C" w14:textId="77777777" w:rsidR="008B006F" w:rsidRPr="007C4D65" w:rsidRDefault="008B006F"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Link with strategic goal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4470197" w14:textId="7CA3C4A1" w:rsidR="008B006F" w:rsidRPr="007C4D65" w:rsidRDefault="008B006F" w:rsidP="002D7967">
            <w:pPr>
              <w:spacing w:after="160" w:line="259"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7. Strengthening environmental management</w:t>
            </w:r>
          </w:p>
        </w:tc>
      </w:tr>
      <w:tr w:rsidR="008B006F" w:rsidRPr="007C4D65" w14:paraId="69D0769C" w14:textId="77777777" w:rsidTr="00B6017F">
        <w:trPr>
          <w:trHeight w:val="567"/>
        </w:trPr>
        <w:tc>
          <w:tcPr>
            <w:tcW w:w="1359" w:type="pct"/>
            <w:shd w:val="clear" w:color="auto" w:fill="009D73"/>
            <w:vAlign w:val="center"/>
          </w:tcPr>
          <w:p w14:paraId="3BB01DE1" w14:textId="77777777" w:rsidR="008B006F" w:rsidRPr="007C4D65" w:rsidRDefault="008B006F"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E771794" w14:textId="36DB2598" w:rsidR="008B006F" w:rsidRPr="007C4D65" w:rsidRDefault="008B006F" w:rsidP="008B006F">
            <w:pPr>
              <w:spacing w:before="40" w:after="40" w:line="276" w:lineRule="auto"/>
              <w:rPr>
                <w:rFonts w:asciiTheme="minorHAnsi" w:hAnsiTheme="minorHAnsi" w:cstheme="minorHAnsi"/>
                <w:b/>
                <w:bCs/>
                <w:sz w:val="18"/>
                <w:szCs w:val="18"/>
                <w:lang w:eastAsia="zh-TW"/>
              </w:rPr>
            </w:pPr>
            <w:r w:rsidRPr="007C4D65">
              <w:rPr>
                <w:rFonts w:asciiTheme="minorHAnsi" w:hAnsiTheme="minorHAnsi" w:cstheme="minorHAnsi"/>
                <w:b/>
                <w:bCs/>
                <w:sz w:val="18"/>
                <w:szCs w:val="18"/>
                <w:lang w:eastAsia="zh-TW"/>
              </w:rPr>
              <w:t xml:space="preserve">7.3 </w:t>
            </w:r>
            <w:r w:rsidR="00274404" w:rsidRPr="007C4D65">
              <w:rPr>
                <w:rFonts w:asciiTheme="minorHAnsi" w:eastAsia="Calibri" w:hAnsiTheme="minorHAnsi" w:cstheme="minorHAnsi"/>
                <w:b/>
                <w:bCs/>
                <w:sz w:val="18"/>
                <w:szCs w:val="18"/>
                <w:lang w:eastAsia="en-US"/>
              </w:rPr>
              <w:t>Maximise the capacity and mutual coordination among the institutions</w:t>
            </w:r>
          </w:p>
        </w:tc>
      </w:tr>
      <w:tr w:rsidR="008B006F" w:rsidRPr="007C4D65" w14:paraId="74602BE8" w14:textId="77777777" w:rsidTr="00B6017F">
        <w:trPr>
          <w:trHeight w:val="567"/>
        </w:trPr>
        <w:tc>
          <w:tcPr>
            <w:tcW w:w="1359" w:type="pct"/>
            <w:shd w:val="clear" w:color="auto" w:fill="009D73"/>
            <w:vAlign w:val="center"/>
          </w:tcPr>
          <w:p w14:paraId="7D632399" w14:textId="77777777" w:rsidR="008B006F" w:rsidRPr="007C4D65" w:rsidRDefault="008B006F"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F59981F" w14:textId="3D8CD4BF" w:rsidR="008B006F" w:rsidRPr="007C4D65" w:rsidRDefault="008B006F" w:rsidP="008B006F">
            <w:pPr>
              <w:spacing w:after="160" w:line="276" w:lineRule="auto"/>
              <w:rPr>
                <w:rFonts w:asciiTheme="minorHAnsi" w:eastAsia="Calibri" w:hAnsiTheme="minorHAnsi" w:cstheme="minorHAnsi"/>
                <w:bCs/>
                <w:sz w:val="18"/>
                <w:szCs w:val="18"/>
                <w:lang w:eastAsia="x-none"/>
              </w:rPr>
            </w:pPr>
            <w:r w:rsidRPr="007C4D65">
              <w:rPr>
                <w:rFonts w:asciiTheme="minorHAnsi" w:eastAsia="Calibri" w:hAnsiTheme="minorHAnsi" w:cstheme="minorHAnsi"/>
                <w:b/>
                <w:sz w:val="18"/>
                <w:szCs w:val="18"/>
                <w:lang w:eastAsia="x-none"/>
              </w:rPr>
              <w:t>7.3.3</w:t>
            </w:r>
            <w:r w:rsidRPr="007C4D65">
              <w:rPr>
                <w:rFonts w:asciiTheme="minorHAnsi" w:eastAsia="Calibri" w:hAnsiTheme="minorHAnsi" w:cstheme="minorHAnsi"/>
                <w:bCs/>
                <w:sz w:val="18"/>
                <w:szCs w:val="18"/>
                <w:lang w:eastAsia="x-none"/>
              </w:rPr>
              <w:t xml:space="preserve"> </w:t>
            </w:r>
            <w:r w:rsidRPr="007C4D65">
              <w:rPr>
                <w:rFonts w:asciiTheme="minorHAnsi" w:eastAsia="Calibri" w:hAnsiTheme="minorHAnsi" w:cstheme="minorHAnsi"/>
                <w:b/>
                <w:sz w:val="18"/>
                <w:szCs w:val="18"/>
                <w:lang w:eastAsia="x-none"/>
              </w:rPr>
              <w:t>Improving the institutional structure and capacity</w:t>
            </w:r>
            <w:r w:rsidR="00C916B9" w:rsidRPr="007C4D65">
              <w:rPr>
                <w:rFonts w:asciiTheme="minorHAnsi" w:eastAsia="Calibri" w:hAnsiTheme="minorHAnsi" w:cstheme="minorHAnsi"/>
                <w:b/>
                <w:sz w:val="18"/>
                <w:szCs w:val="18"/>
                <w:lang w:eastAsia="x-none"/>
              </w:rPr>
              <w:t xml:space="preserve"> </w:t>
            </w:r>
            <w:r w:rsidRPr="007C4D65">
              <w:rPr>
                <w:rFonts w:asciiTheme="minorHAnsi" w:eastAsia="Calibri" w:hAnsiTheme="minorHAnsi" w:cstheme="minorHAnsi"/>
                <w:b/>
                <w:sz w:val="18"/>
                <w:szCs w:val="18"/>
                <w:lang w:eastAsia="x-none"/>
              </w:rPr>
              <w:t>of environmental institutions</w:t>
            </w:r>
          </w:p>
          <w:p w14:paraId="0B2DBAB3" w14:textId="77777777" w:rsidR="008B006F" w:rsidRPr="007C4D65" w:rsidRDefault="008B006F" w:rsidP="008B006F">
            <w:pPr>
              <w:spacing w:before="40" w:after="40" w:line="276" w:lineRule="auto"/>
              <w:rPr>
                <w:rFonts w:asciiTheme="minorHAnsi" w:eastAsia="Calibri" w:hAnsiTheme="minorHAnsi" w:cstheme="minorHAnsi"/>
                <w:b/>
                <w:sz w:val="18"/>
                <w:szCs w:val="18"/>
                <w:lang w:eastAsia="x-none"/>
              </w:rPr>
            </w:pPr>
          </w:p>
        </w:tc>
      </w:tr>
      <w:tr w:rsidR="008B006F" w:rsidRPr="007C4D65" w14:paraId="49516FB8"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8815D0B" w14:textId="77777777" w:rsidR="008B006F" w:rsidRPr="007C4D65" w:rsidRDefault="008B006F" w:rsidP="008B006F">
            <w:pPr>
              <w:spacing w:before="40" w:after="40" w:line="276" w:lineRule="auto"/>
              <w:ind w:left="406"/>
              <w:contextualSpacing/>
              <w:jc w:val="both"/>
              <w:rPr>
                <w:rFonts w:asciiTheme="minorHAnsi" w:eastAsia="Calibri" w:hAnsiTheme="minorHAnsi" w:cstheme="minorHAnsi"/>
                <w:sz w:val="18"/>
                <w:szCs w:val="18"/>
                <w:lang w:eastAsia="en-US"/>
              </w:rPr>
            </w:pPr>
            <w:r w:rsidRPr="007C4D65">
              <w:rPr>
                <w:rFonts w:asciiTheme="minorHAnsi" w:eastAsia="Calibri" w:hAnsiTheme="minorHAnsi" w:cstheme="minorHAnsi"/>
                <w:b/>
                <w:bCs/>
                <w:color w:val="FFFFFF"/>
                <w:sz w:val="18"/>
                <w:szCs w:val="18"/>
                <w:lang w:eastAsia="en-US" w:bidi="en-US"/>
              </w:rPr>
              <w:lastRenderedPageBreak/>
              <w:t>Description of the measure with the general area of intervention</w:t>
            </w:r>
          </w:p>
          <w:p w14:paraId="05DB28EB" w14:textId="77777777" w:rsidR="008B006F" w:rsidRPr="007C4D65" w:rsidRDefault="008B006F"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3BD8282" w14:textId="6560C1E9" w:rsidR="008B006F" w:rsidRPr="007C4D65" w:rsidRDefault="008B006F" w:rsidP="008B006F">
            <w:pPr>
              <w:spacing w:before="40" w:after="40" w:line="276" w:lineRule="auto"/>
              <w:rPr>
                <w:rFonts w:asciiTheme="minorHAnsi" w:eastAsia="Calibri" w:hAnsiTheme="minorHAnsi" w:cstheme="minorHAnsi"/>
                <w:sz w:val="18"/>
                <w:szCs w:val="18"/>
                <w:lang w:eastAsia="x-none"/>
              </w:rPr>
            </w:pPr>
            <w:bookmarkStart w:id="340" w:name="_Hlk95005098"/>
            <w:r w:rsidRPr="007C4D65">
              <w:rPr>
                <w:rFonts w:asciiTheme="minorHAnsi" w:eastAsia="Calibri" w:hAnsiTheme="minorHAnsi" w:cstheme="minorHAnsi"/>
                <w:sz w:val="18"/>
                <w:szCs w:val="18"/>
                <w:lang w:eastAsia="en-US"/>
              </w:rPr>
              <w:t>The aim of this measure is to upgrade the existing institutional structure aimed at improv</w:t>
            </w:r>
            <w:r w:rsidR="00C916B9" w:rsidRPr="007C4D65">
              <w:rPr>
                <w:rFonts w:asciiTheme="minorHAnsi" w:eastAsia="Calibri" w:hAnsiTheme="minorHAnsi" w:cstheme="minorHAnsi"/>
                <w:sz w:val="18"/>
                <w:szCs w:val="18"/>
                <w:lang w:eastAsia="en-US"/>
              </w:rPr>
              <w:t>ing</w:t>
            </w:r>
            <w:r w:rsidRPr="007C4D65">
              <w:rPr>
                <w:rFonts w:asciiTheme="minorHAnsi" w:eastAsia="Calibri" w:hAnsiTheme="minorHAnsi" w:cstheme="minorHAnsi"/>
                <w:sz w:val="18"/>
                <w:szCs w:val="18"/>
                <w:lang w:eastAsia="en-US"/>
              </w:rPr>
              <w:t xml:space="preserve"> coordination and harmonization of activities in the process of transposition of </w:t>
            </w:r>
            <w:r w:rsidR="00C916B9"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 xml:space="preserve">EU </w:t>
            </w:r>
            <w:r w:rsidR="00C916B9" w:rsidRPr="007C4D65">
              <w:rPr>
                <w:rFonts w:asciiTheme="minorHAnsi" w:eastAsia="Calibri" w:hAnsiTheme="minorHAnsi" w:cstheme="minorHAnsi"/>
                <w:sz w:val="18"/>
                <w:szCs w:val="18"/>
                <w:lang w:eastAsia="en-US"/>
              </w:rPr>
              <w:t>acquis</w:t>
            </w:r>
            <w:r w:rsidRPr="007C4D65">
              <w:rPr>
                <w:rFonts w:asciiTheme="minorHAnsi" w:eastAsia="Calibri" w:hAnsiTheme="minorHAnsi" w:cstheme="minorHAnsi"/>
                <w:sz w:val="18"/>
                <w:szCs w:val="18"/>
                <w:lang w:eastAsia="en-US"/>
              </w:rPr>
              <w:t xml:space="preserve"> (</w:t>
            </w:r>
            <w:r w:rsidR="00C916B9" w:rsidRPr="007C4D65">
              <w:rPr>
                <w:rFonts w:asciiTheme="minorHAnsi" w:eastAsia="Calibri" w:hAnsiTheme="minorHAnsi" w:cstheme="minorHAnsi"/>
                <w:sz w:val="18"/>
                <w:szCs w:val="18"/>
                <w:lang w:eastAsia="en-US"/>
              </w:rPr>
              <w:t>regarding</w:t>
            </w:r>
            <w:r w:rsidRPr="007C4D65">
              <w:rPr>
                <w:rFonts w:asciiTheme="minorHAnsi" w:eastAsia="Calibri" w:hAnsiTheme="minorHAnsi" w:cstheme="minorHAnsi"/>
                <w:sz w:val="18"/>
                <w:szCs w:val="18"/>
                <w:lang w:eastAsia="en-US"/>
              </w:rPr>
              <w:t xml:space="preserve"> human resources) in the </w:t>
            </w:r>
            <w:r w:rsidR="00C916B9" w:rsidRPr="007C4D65">
              <w:rPr>
                <w:rFonts w:asciiTheme="minorHAnsi" w:eastAsia="Calibri" w:hAnsiTheme="minorHAnsi" w:cstheme="minorHAnsi"/>
                <w:sz w:val="18"/>
                <w:szCs w:val="18"/>
                <w:lang w:eastAsia="en-US"/>
              </w:rPr>
              <w:t xml:space="preserve">environmental </w:t>
            </w:r>
            <w:r w:rsidRPr="007C4D65">
              <w:rPr>
                <w:rFonts w:asciiTheme="minorHAnsi" w:eastAsia="Calibri" w:hAnsiTheme="minorHAnsi" w:cstheme="minorHAnsi"/>
                <w:sz w:val="18"/>
                <w:szCs w:val="18"/>
                <w:lang w:eastAsia="en-US"/>
              </w:rPr>
              <w:t xml:space="preserve">institutions at all levels, with a special focus on long-term and sustainable implementation of </w:t>
            </w:r>
            <w:r w:rsidR="00C916B9" w:rsidRPr="007C4D65">
              <w:rPr>
                <w:rFonts w:asciiTheme="minorHAnsi" w:eastAsia="Calibri" w:hAnsiTheme="minorHAnsi" w:cstheme="minorHAnsi"/>
                <w:sz w:val="18"/>
                <w:szCs w:val="18"/>
                <w:lang w:eastAsia="en-US"/>
              </w:rPr>
              <w:t xml:space="preserve">the </w:t>
            </w:r>
            <w:r w:rsidRPr="007C4D65">
              <w:rPr>
                <w:rFonts w:asciiTheme="minorHAnsi" w:eastAsia="Calibri" w:hAnsiTheme="minorHAnsi" w:cstheme="minorHAnsi"/>
                <w:sz w:val="18"/>
                <w:szCs w:val="18"/>
                <w:lang w:eastAsia="en-US"/>
              </w:rPr>
              <w:t xml:space="preserve">EU </w:t>
            </w:r>
            <w:r w:rsidR="00C916B9" w:rsidRPr="007C4D65">
              <w:rPr>
                <w:rFonts w:asciiTheme="minorHAnsi" w:eastAsia="Calibri" w:hAnsiTheme="minorHAnsi" w:cstheme="minorHAnsi"/>
                <w:sz w:val="18"/>
                <w:szCs w:val="18"/>
                <w:lang w:eastAsia="en-US"/>
              </w:rPr>
              <w:t>regulations</w:t>
            </w:r>
            <w:r w:rsidRPr="007C4D65">
              <w:rPr>
                <w:rFonts w:asciiTheme="minorHAnsi" w:eastAsia="Calibri" w:hAnsiTheme="minorHAnsi" w:cstheme="minorHAnsi"/>
                <w:sz w:val="18"/>
                <w:szCs w:val="18"/>
                <w:lang w:eastAsia="x-none"/>
              </w:rPr>
              <w:t>.</w:t>
            </w:r>
            <w:bookmarkEnd w:id="340"/>
          </w:p>
          <w:p w14:paraId="58448579" w14:textId="77777777" w:rsidR="008B006F" w:rsidRPr="007C4D65" w:rsidRDefault="008B006F" w:rsidP="008B006F">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General areas of intervention</w:t>
            </w:r>
            <w:r w:rsidRPr="007C4D65">
              <w:rPr>
                <w:rFonts w:asciiTheme="minorHAnsi" w:eastAsia="Calibri" w:hAnsiTheme="minorHAnsi" w:cstheme="minorHAnsi"/>
                <w:sz w:val="18"/>
                <w:szCs w:val="18"/>
                <w:lang w:eastAsia="x-none"/>
              </w:rPr>
              <w:t>:</w:t>
            </w:r>
          </w:p>
          <w:p w14:paraId="57C16166" w14:textId="0CA49F65" w:rsidR="008B006F" w:rsidRPr="007C4D65" w:rsidRDefault="00C916B9" w:rsidP="00C916B9">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 xml:space="preserve">1) </w:t>
            </w:r>
            <w:r w:rsidR="008B006F" w:rsidRPr="007C4D65">
              <w:rPr>
                <w:rFonts w:asciiTheme="minorHAnsi" w:eastAsia="Calibri" w:hAnsiTheme="minorHAnsi" w:cstheme="minorHAnsi"/>
                <w:sz w:val="18"/>
                <w:szCs w:val="18"/>
                <w:lang w:eastAsia="en-US"/>
              </w:rPr>
              <w:t>A detailed study of the institutional capacit</w:t>
            </w:r>
            <w:r w:rsidRPr="007C4D65">
              <w:rPr>
                <w:rFonts w:asciiTheme="minorHAnsi" w:eastAsia="Calibri" w:hAnsiTheme="minorHAnsi" w:cstheme="minorHAnsi"/>
                <w:sz w:val="18"/>
                <w:szCs w:val="18"/>
                <w:lang w:eastAsia="en-US"/>
              </w:rPr>
              <w:t>y</w:t>
            </w:r>
            <w:r w:rsidR="008B006F" w:rsidRPr="007C4D65">
              <w:rPr>
                <w:rFonts w:asciiTheme="minorHAnsi" w:eastAsia="Calibri" w:hAnsiTheme="minorHAnsi" w:cstheme="minorHAnsi"/>
                <w:sz w:val="18"/>
                <w:szCs w:val="18"/>
                <w:lang w:eastAsia="en-US"/>
              </w:rPr>
              <w:t xml:space="preserve"> in </w:t>
            </w:r>
            <w:r w:rsidR="008B006F" w:rsidRPr="007C4D65">
              <w:rPr>
                <w:rFonts w:asciiTheme="minorHAnsi" w:eastAsia="Calibri" w:hAnsiTheme="minorHAnsi" w:cstheme="minorHAnsi"/>
                <w:bCs/>
                <w:sz w:val="18"/>
                <w:szCs w:val="18"/>
                <w:lang w:eastAsia="x-none"/>
              </w:rPr>
              <w:t xml:space="preserve">the Federation of </w:t>
            </w:r>
            <w:r w:rsidRPr="007C4D65">
              <w:rPr>
                <w:rFonts w:asciiTheme="minorHAnsi" w:eastAsia="Calibri" w:hAnsiTheme="minorHAnsi" w:cstheme="minorHAnsi"/>
                <w:bCs/>
                <w:sz w:val="18"/>
                <w:szCs w:val="18"/>
                <w:lang w:eastAsia="x-none"/>
              </w:rPr>
              <w:t>BiH</w:t>
            </w:r>
            <w:r w:rsidR="008B006F" w:rsidRPr="007C4D65">
              <w:rPr>
                <w:rFonts w:asciiTheme="minorHAnsi" w:eastAsia="Calibri" w:hAnsiTheme="minorHAnsi" w:cstheme="minorHAnsi"/>
                <w:sz w:val="18"/>
                <w:szCs w:val="18"/>
                <w:lang w:eastAsia="en-US"/>
              </w:rPr>
              <w:t xml:space="preserve"> for consistent application of laws and effective </w:t>
            </w:r>
            <w:r w:rsidRPr="007C4D65">
              <w:rPr>
                <w:rFonts w:asciiTheme="minorHAnsi" w:eastAsia="Calibri" w:hAnsiTheme="minorHAnsi" w:cstheme="minorHAnsi"/>
                <w:sz w:val="18"/>
                <w:szCs w:val="18"/>
                <w:lang w:eastAsia="en-US"/>
              </w:rPr>
              <w:t>implementation</w:t>
            </w:r>
            <w:r w:rsidR="008B006F" w:rsidRPr="007C4D65">
              <w:rPr>
                <w:rFonts w:asciiTheme="minorHAnsi" w:eastAsia="Calibri" w:hAnsiTheme="minorHAnsi" w:cstheme="minorHAnsi"/>
                <w:sz w:val="18"/>
                <w:szCs w:val="18"/>
                <w:lang w:eastAsia="en-US"/>
              </w:rPr>
              <w:t xml:space="preserve"> of environmental protection strategies and plans </w:t>
            </w:r>
            <w:r w:rsidR="008B006F" w:rsidRPr="007C4D65">
              <w:rPr>
                <w:rFonts w:asciiTheme="minorHAnsi" w:eastAsia="Calibri" w:hAnsiTheme="minorHAnsi" w:cstheme="minorHAnsi"/>
                <w:sz w:val="18"/>
                <w:szCs w:val="18"/>
                <w:lang w:eastAsia="x-none"/>
              </w:rPr>
              <w:t>(</w:t>
            </w:r>
            <w:r w:rsidRPr="007C4D65">
              <w:rPr>
                <w:rFonts w:asciiTheme="minorHAnsi" w:eastAsia="Calibri" w:hAnsiTheme="minorHAnsi" w:cstheme="minorHAnsi"/>
                <w:sz w:val="18"/>
                <w:szCs w:val="18"/>
                <w:lang w:eastAsia="x-none"/>
              </w:rPr>
              <w:t>focusing</w:t>
            </w:r>
            <w:r w:rsidR="008B006F" w:rsidRPr="007C4D65">
              <w:rPr>
                <w:rFonts w:asciiTheme="minorHAnsi" w:eastAsia="Calibri" w:hAnsiTheme="minorHAnsi" w:cstheme="minorHAnsi"/>
                <w:sz w:val="18"/>
                <w:szCs w:val="18"/>
                <w:lang w:eastAsia="x-none"/>
              </w:rPr>
              <w:t xml:space="preserve"> on the capacit</w:t>
            </w:r>
            <w:r w:rsidRPr="007C4D65">
              <w:rPr>
                <w:rFonts w:asciiTheme="minorHAnsi" w:eastAsia="Calibri" w:hAnsiTheme="minorHAnsi" w:cstheme="minorHAnsi"/>
                <w:sz w:val="18"/>
                <w:szCs w:val="18"/>
                <w:lang w:eastAsia="x-none"/>
              </w:rPr>
              <w:t>y</w:t>
            </w:r>
            <w:r w:rsidR="008B006F" w:rsidRPr="007C4D65">
              <w:rPr>
                <w:rFonts w:asciiTheme="minorHAnsi" w:eastAsia="Calibri" w:hAnsiTheme="minorHAnsi" w:cstheme="minorHAnsi"/>
                <w:sz w:val="18"/>
                <w:szCs w:val="18"/>
                <w:lang w:eastAsia="x-none"/>
              </w:rPr>
              <w:t xml:space="preserve"> of </w:t>
            </w:r>
            <w:r w:rsidRPr="007C4D65">
              <w:rPr>
                <w:rFonts w:asciiTheme="minorHAnsi" w:eastAsia="Calibri" w:hAnsiTheme="minorHAnsi" w:cstheme="minorHAnsi"/>
                <w:sz w:val="18"/>
                <w:szCs w:val="18"/>
                <w:lang w:eastAsia="x-none"/>
              </w:rPr>
              <w:t>the Federation</w:t>
            </w:r>
            <w:r w:rsidR="008B006F" w:rsidRPr="007C4D65">
              <w:rPr>
                <w:rFonts w:asciiTheme="minorHAnsi" w:eastAsia="Calibri" w:hAnsiTheme="minorHAnsi" w:cstheme="minorHAnsi"/>
                <w:sz w:val="18"/>
                <w:szCs w:val="18"/>
                <w:lang w:eastAsia="x-none"/>
              </w:rPr>
              <w:t xml:space="preserve"> and cantonal </w:t>
            </w:r>
            <w:r w:rsidRPr="007C4D65">
              <w:rPr>
                <w:rFonts w:asciiTheme="minorHAnsi" w:eastAsia="Calibri" w:hAnsiTheme="minorHAnsi" w:cstheme="minorHAnsi"/>
                <w:sz w:val="18"/>
                <w:szCs w:val="18"/>
                <w:lang w:eastAsia="x-none"/>
              </w:rPr>
              <w:t xml:space="preserve">inspection </w:t>
            </w:r>
            <w:r w:rsidR="008B006F" w:rsidRPr="007C4D65">
              <w:rPr>
                <w:rFonts w:asciiTheme="minorHAnsi" w:eastAsia="Calibri" w:hAnsiTheme="minorHAnsi" w:cstheme="minorHAnsi"/>
                <w:sz w:val="18"/>
                <w:szCs w:val="18"/>
                <w:lang w:eastAsia="x-none"/>
              </w:rPr>
              <w:t xml:space="preserve">administration) and units of local government (through local plans). </w:t>
            </w:r>
            <w:r w:rsidRPr="007C4D65">
              <w:rPr>
                <w:rFonts w:asciiTheme="minorHAnsi" w:eastAsia="Calibri" w:hAnsiTheme="minorHAnsi" w:cstheme="minorHAnsi"/>
                <w:sz w:val="18"/>
                <w:szCs w:val="18"/>
                <w:lang w:eastAsia="x-none"/>
              </w:rPr>
              <w:t>The study</w:t>
            </w:r>
            <w:r w:rsidR="008B006F" w:rsidRPr="007C4D65">
              <w:rPr>
                <w:rFonts w:asciiTheme="minorHAnsi" w:eastAsia="Calibri" w:hAnsiTheme="minorHAnsi" w:cstheme="minorHAnsi"/>
                <w:sz w:val="18"/>
                <w:szCs w:val="18"/>
                <w:lang w:eastAsia="x-none"/>
              </w:rPr>
              <w:t xml:space="preserve"> should cover the institutions responsible for all the segments of environmental management (including chemical safety) and </w:t>
            </w:r>
            <w:r w:rsidRPr="007C4D65">
              <w:rPr>
                <w:rFonts w:asciiTheme="minorHAnsi" w:eastAsia="Calibri" w:hAnsiTheme="minorHAnsi" w:cstheme="minorHAnsi"/>
                <w:sz w:val="18"/>
                <w:szCs w:val="18"/>
                <w:lang w:eastAsia="x-none"/>
              </w:rPr>
              <w:t>offer</w:t>
            </w:r>
            <w:r w:rsidR="008B006F" w:rsidRPr="007C4D65">
              <w:rPr>
                <w:rFonts w:asciiTheme="minorHAnsi" w:eastAsia="Calibri" w:hAnsiTheme="minorHAnsi" w:cstheme="minorHAnsi"/>
                <w:sz w:val="18"/>
                <w:szCs w:val="18"/>
                <w:lang w:eastAsia="x-none"/>
              </w:rPr>
              <w:t xml:space="preserve"> appropriate recommendations for </w:t>
            </w:r>
            <w:r w:rsidRPr="007C4D65">
              <w:rPr>
                <w:rFonts w:asciiTheme="minorHAnsi" w:eastAsia="Calibri" w:hAnsiTheme="minorHAnsi" w:cstheme="minorHAnsi"/>
                <w:sz w:val="18"/>
                <w:szCs w:val="18"/>
                <w:lang w:eastAsia="x-none"/>
              </w:rPr>
              <w:t>improvement</w:t>
            </w:r>
            <w:r w:rsidR="008B006F" w:rsidRPr="007C4D65">
              <w:rPr>
                <w:rFonts w:asciiTheme="minorHAnsi" w:eastAsia="Calibri" w:hAnsiTheme="minorHAnsi" w:cstheme="minorHAnsi"/>
                <w:sz w:val="18"/>
                <w:szCs w:val="18"/>
                <w:lang w:eastAsia="x-none"/>
              </w:rPr>
              <w:t xml:space="preserve"> of </w:t>
            </w:r>
            <w:r w:rsidRPr="007C4D65">
              <w:rPr>
                <w:rFonts w:asciiTheme="minorHAnsi" w:eastAsia="Calibri" w:hAnsiTheme="minorHAnsi" w:cstheme="minorHAnsi"/>
                <w:sz w:val="18"/>
                <w:szCs w:val="18"/>
                <w:lang w:eastAsia="x-none"/>
              </w:rPr>
              <w:t xml:space="preserve">the </w:t>
            </w:r>
            <w:proofErr w:type="gramStart"/>
            <w:r w:rsidR="008B006F" w:rsidRPr="007C4D65">
              <w:rPr>
                <w:rFonts w:asciiTheme="minorHAnsi" w:eastAsia="Calibri" w:hAnsiTheme="minorHAnsi" w:cstheme="minorHAnsi"/>
                <w:sz w:val="18"/>
                <w:szCs w:val="18"/>
                <w:lang w:eastAsia="x-none"/>
              </w:rPr>
              <w:t>capacities</w:t>
            </w:r>
            <w:r w:rsidR="00123950" w:rsidRPr="007C4D65">
              <w:rPr>
                <w:rFonts w:asciiTheme="minorHAnsi" w:eastAsia="Calibri" w:hAnsiTheme="minorHAnsi" w:cstheme="minorHAnsi"/>
                <w:sz w:val="18"/>
                <w:szCs w:val="18"/>
                <w:lang w:eastAsia="x-none"/>
              </w:rPr>
              <w:t>;</w:t>
            </w:r>
            <w:proofErr w:type="gramEnd"/>
          </w:p>
          <w:p w14:paraId="30C27C38" w14:textId="73F2F513" w:rsidR="008B006F" w:rsidRPr="007C4D65" w:rsidRDefault="00C916B9" w:rsidP="00C916B9">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2) D</w:t>
            </w:r>
            <w:r w:rsidR="008B006F" w:rsidRPr="007C4D65">
              <w:rPr>
                <w:rFonts w:asciiTheme="minorHAnsi" w:eastAsia="Calibri" w:hAnsiTheme="minorHAnsi" w:cstheme="minorHAnsi"/>
                <w:sz w:val="18"/>
                <w:szCs w:val="18"/>
                <w:lang w:eastAsia="x-none"/>
              </w:rPr>
              <w:t>evelop</w:t>
            </w:r>
            <w:r w:rsidRPr="007C4D65">
              <w:rPr>
                <w:rFonts w:asciiTheme="minorHAnsi" w:eastAsia="Calibri" w:hAnsiTheme="minorHAnsi" w:cstheme="minorHAnsi"/>
                <w:sz w:val="18"/>
                <w:szCs w:val="18"/>
                <w:lang w:eastAsia="x-none"/>
              </w:rPr>
              <w:t>ing</w:t>
            </w:r>
            <w:r w:rsidR="008B006F" w:rsidRPr="007C4D65">
              <w:rPr>
                <w:rFonts w:asciiTheme="minorHAnsi" w:eastAsia="Calibri" w:hAnsiTheme="minorHAnsi" w:cstheme="minorHAnsi"/>
                <w:sz w:val="18"/>
                <w:szCs w:val="18"/>
                <w:lang w:eastAsia="x-none"/>
              </w:rPr>
              <w:t xml:space="preserve"> measures to keep professional</w:t>
            </w:r>
            <w:r w:rsidRPr="007C4D65">
              <w:rPr>
                <w:rFonts w:asciiTheme="minorHAnsi" w:eastAsia="Calibri" w:hAnsiTheme="minorHAnsi" w:cstheme="minorHAnsi"/>
                <w:sz w:val="18"/>
                <w:szCs w:val="18"/>
                <w:lang w:eastAsia="x-none"/>
              </w:rPr>
              <w:t>s</w:t>
            </w:r>
            <w:r w:rsidR="008B006F" w:rsidRPr="007C4D65">
              <w:rPr>
                <w:rFonts w:asciiTheme="minorHAnsi" w:eastAsia="Calibri" w:hAnsiTheme="minorHAnsi" w:cstheme="minorHAnsi"/>
                <w:sz w:val="18"/>
                <w:szCs w:val="18"/>
                <w:lang w:eastAsia="x-none"/>
              </w:rPr>
              <w:t xml:space="preserve"> in the institutions based on the analysis of </w:t>
            </w:r>
            <w:r w:rsidRPr="007C4D65">
              <w:rPr>
                <w:rFonts w:asciiTheme="minorHAnsi" w:eastAsia="Calibri" w:hAnsiTheme="minorHAnsi" w:cstheme="minorHAnsi"/>
                <w:sz w:val="18"/>
                <w:szCs w:val="18"/>
                <w:lang w:eastAsia="x-none"/>
              </w:rPr>
              <w:t xml:space="preserve">the </w:t>
            </w:r>
            <w:r w:rsidR="008B006F" w:rsidRPr="007C4D65">
              <w:rPr>
                <w:rFonts w:asciiTheme="minorHAnsi" w:eastAsia="Calibri" w:hAnsiTheme="minorHAnsi" w:cstheme="minorHAnsi"/>
                <w:sz w:val="18"/>
                <w:szCs w:val="18"/>
                <w:lang w:eastAsia="x-none"/>
              </w:rPr>
              <w:t xml:space="preserve">institutional </w:t>
            </w:r>
            <w:proofErr w:type="gramStart"/>
            <w:r w:rsidRPr="007C4D65">
              <w:rPr>
                <w:rFonts w:asciiTheme="minorHAnsi" w:eastAsia="Calibri" w:hAnsiTheme="minorHAnsi" w:cstheme="minorHAnsi"/>
                <w:sz w:val="18"/>
                <w:szCs w:val="18"/>
                <w:lang w:eastAsia="x-none"/>
              </w:rPr>
              <w:t>capacit</w:t>
            </w:r>
            <w:r w:rsidR="00123950" w:rsidRPr="007C4D65">
              <w:rPr>
                <w:rFonts w:asciiTheme="minorHAnsi" w:eastAsia="Calibri" w:hAnsiTheme="minorHAnsi" w:cstheme="minorHAnsi"/>
                <w:sz w:val="18"/>
                <w:szCs w:val="18"/>
                <w:lang w:eastAsia="x-none"/>
              </w:rPr>
              <w:t>y;</w:t>
            </w:r>
            <w:proofErr w:type="gramEnd"/>
          </w:p>
          <w:p w14:paraId="302434FB" w14:textId="3F8D5E7F" w:rsidR="008B006F" w:rsidRPr="007C4D65" w:rsidRDefault="00C916B9" w:rsidP="00C916B9">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3) </w:t>
            </w:r>
            <w:r w:rsidR="008B006F" w:rsidRPr="007C4D65">
              <w:rPr>
                <w:rFonts w:asciiTheme="minorHAnsi" w:eastAsia="Calibri" w:hAnsiTheme="minorHAnsi" w:cstheme="minorHAnsi"/>
                <w:sz w:val="18"/>
                <w:szCs w:val="18"/>
                <w:lang w:eastAsia="x-none"/>
              </w:rPr>
              <w:t>Based on the analysis of</w:t>
            </w:r>
            <w:r w:rsidRPr="007C4D65">
              <w:rPr>
                <w:rFonts w:asciiTheme="minorHAnsi" w:eastAsia="Calibri" w:hAnsiTheme="minorHAnsi" w:cstheme="minorHAnsi"/>
                <w:sz w:val="18"/>
                <w:szCs w:val="18"/>
                <w:lang w:eastAsia="x-none"/>
              </w:rPr>
              <w:t xml:space="preserve"> the</w:t>
            </w:r>
            <w:r w:rsidR="008B006F" w:rsidRPr="007C4D65">
              <w:rPr>
                <w:rFonts w:asciiTheme="minorHAnsi" w:eastAsia="Calibri" w:hAnsiTheme="minorHAnsi" w:cstheme="minorHAnsi"/>
                <w:sz w:val="18"/>
                <w:szCs w:val="18"/>
                <w:lang w:eastAsia="x-none"/>
              </w:rPr>
              <w:t xml:space="preserve"> institutional capacities, identif</w:t>
            </w:r>
            <w:r w:rsidRPr="007C4D65">
              <w:rPr>
                <w:rFonts w:asciiTheme="minorHAnsi" w:eastAsia="Calibri" w:hAnsiTheme="minorHAnsi" w:cstheme="minorHAnsi"/>
                <w:sz w:val="18"/>
                <w:szCs w:val="18"/>
                <w:lang w:eastAsia="x-none"/>
              </w:rPr>
              <w:t>y</w:t>
            </w:r>
            <w:r w:rsidR="008B006F" w:rsidRPr="007C4D65">
              <w:rPr>
                <w:rFonts w:asciiTheme="minorHAnsi" w:eastAsia="Calibri" w:hAnsiTheme="minorHAnsi" w:cstheme="minorHAnsi"/>
                <w:sz w:val="18"/>
                <w:szCs w:val="18"/>
                <w:lang w:eastAsia="x-none"/>
              </w:rPr>
              <w:t xml:space="preserve"> priority measures, </w:t>
            </w:r>
            <w:r w:rsidRPr="007C4D65">
              <w:rPr>
                <w:rFonts w:asciiTheme="minorHAnsi" w:eastAsia="Calibri" w:hAnsiTheme="minorHAnsi" w:cstheme="minorHAnsi"/>
                <w:sz w:val="18"/>
                <w:szCs w:val="18"/>
                <w:lang w:eastAsia="x-none"/>
              </w:rPr>
              <w:t>focusing</w:t>
            </w:r>
            <w:r w:rsidR="008B006F" w:rsidRPr="007C4D65">
              <w:rPr>
                <w:rFonts w:asciiTheme="minorHAnsi" w:eastAsia="Calibri" w:hAnsiTheme="minorHAnsi" w:cstheme="minorHAnsi"/>
                <w:sz w:val="18"/>
                <w:szCs w:val="18"/>
                <w:lang w:eastAsia="x-none"/>
              </w:rPr>
              <w:t xml:space="preserve"> on strategic approach to employment and strengthening of human resources in the institutions. In particular: </w:t>
            </w:r>
            <w:r w:rsidRPr="007C4D65">
              <w:rPr>
                <w:rFonts w:asciiTheme="minorHAnsi" w:eastAsia="Calibri" w:hAnsiTheme="minorHAnsi" w:cstheme="minorHAnsi"/>
                <w:sz w:val="18"/>
                <w:szCs w:val="18"/>
                <w:lang w:eastAsia="x-none"/>
              </w:rPr>
              <w:t>creating an</w:t>
            </w:r>
            <w:r w:rsidR="008B006F" w:rsidRPr="007C4D65">
              <w:rPr>
                <w:rFonts w:asciiTheme="minorHAnsi" w:eastAsia="Calibri" w:hAnsiTheme="minorHAnsi" w:cstheme="minorHAnsi"/>
                <w:sz w:val="18"/>
                <w:szCs w:val="18"/>
                <w:lang w:eastAsia="x-none"/>
              </w:rPr>
              <w:t xml:space="preserve"> organizational unit in charge of continu</w:t>
            </w:r>
            <w:r w:rsidRPr="007C4D65">
              <w:rPr>
                <w:rFonts w:asciiTheme="minorHAnsi" w:eastAsia="Calibri" w:hAnsiTheme="minorHAnsi" w:cstheme="minorHAnsi"/>
                <w:sz w:val="18"/>
                <w:szCs w:val="18"/>
                <w:lang w:eastAsia="x-none"/>
              </w:rPr>
              <w:t>ed</w:t>
            </w:r>
            <w:r w:rsidR="008B006F" w:rsidRPr="007C4D65">
              <w:rPr>
                <w:rFonts w:asciiTheme="minorHAnsi" w:eastAsia="Calibri" w:hAnsiTheme="minorHAnsi" w:cstheme="minorHAnsi"/>
                <w:sz w:val="18"/>
                <w:szCs w:val="18"/>
                <w:lang w:eastAsia="x-none"/>
              </w:rPr>
              <w:t xml:space="preserve"> institutional capacit</w:t>
            </w:r>
            <w:r w:rsidRPr="007C4D65">
              <w:rPr>
                <w:rFonts w:asciiTheme="minorHAnsi" w:eastAsia="Calibri" w:hAnsiTheme="minorHAnsi" w:cstheme="minorHAnsi"/>
                <w:sz w:val="18"/>
                <w:szCs w:val="18"/>
                <w:lang w:eastAsia="x-none"/>
              </w:rPr>
              <w:t xml:space="preserve">y building </w:t>
            </w:r>
            <w:r w:rsidR="008B006F" w:rsidRPr="007C4D65">
              <w:rPr>
                <w:rFonts w:asciiTheme="minorHAnsi" w:eastAsia="Calibri" w:hAnsiTheme="minorHAnsi" w:cstheme="minorHAnsi"/>
                <w:sz w:val="18"/>
                <w:szCs w:val="18"/>
                <w:lang w:eastAsia="x-none"/>
              </w:rPr>
              <w:t xml:space="preserve">and development of new job classifications for </w:t>
            </w:r>
            <w:r w:rsidRPr="007C4D65">
              <w:rPr>
                <w:rFonts w:asciiTheme="minorHAnsi" w:eastAsia="Calibri" w:hAnsiTheme="minorHAnsi" w:cstheme="minorHAnsi"/>
                <w:sz w:val="18"/>
                <w:szCs w:val="18"/>
                <w:lang w:eastAsia="x-none"/>
              </w:rPr>
              <w:t xml:space="preserve">the </w:t>
            </w:r>
            <w:proofErr w:type="gramStart"/>
            <w:r w:rsidR="008B006F" w:rsidRPr="007C4D65">
              <w:rPr>
                <w:rFonts w:asciiTheme="minorHAnsi" w:eastAsia="Calibri" w:hAnsiTheme="minorHAnsi" w:cstheme="minorHAnsi"/>
                <w:sz w:val="18"/>
                <w:szCs w:val="18"/>
                <w:lang w:eastAsia="x-none"/>
              </w:rPr>
              <w:t>institutions</w:t>
            </w:r>
            <w:r w:rsidR="00123950" w:rsidRPr="007C4D65">
              <w:rPr>
                <w:rFonts w:asciiTheme="minorHAnsi" w:eastAsia="Calibri" w:hAnsiTheme="minorHAnsi" w:cstheme="minorHAnsi"/>
                <w:sz w:val="18"/>
                <w:szCs w:val="18"/>
                <w:lang w:eastAsia="x-none"/>
              </w:rPr>
              <w:t>;</w:t>
            </w:r>
            <w:proofErr w:type="gramEnd"/>
          </w:p>
          <w:p w14:paraId="78114358" w14:textId="4AB0C739" w:rsidR="008B006F" w:rsidRPr="007C4D65" w:rsidRDefault="00C916B9" w:rsidP="00C916B9">
            <w:pPr>
              <w:spacing w:before="40" w:after="40" w:line="276" w:lineRule="auto"/>
              <w:contextualSpacing/>
              <w:rPr>
                <w:rFonts w:asciiTheme="minorHAnsi" w:eastAsia="Calibri" w:hAnsiTheme="minorHAnsi" w:cstheme="minorHAnsi"/>
                <w:sz w:val="18"/>
                <w:szCs w:val="18"/>
                <w:lang w:eastAsia="x-none"/>
              </w:rPr>
            </w:pPr>
            <w:bookmarkStart w:id="341" w:name="_Hlk95005449"/>
            <w:r w:rsidRPr="007C4D65">
              <w:rPr>
                <w:rFonts w:asciiTheme="minorHAnsi" w:eastAsia="Calibri" w:hAnsiTheme="minorHAnsi" w:cstheme="minorHAnsi"/>
                <w:sz w:val="18"/>
                <w:szCs w:val="18"/>
                <w:lang w:eastAsia="x-none"/>
              </w:rPr>
              <w:t>4) Preparation</w:t>
            </w:r>
            <w:r w:rsidR="008B006F" w:rsidRPr="007C4D65">
              <w:rPr>
                <w:rFonts w:asciiTheme="minorHAnsi" w:eastAsia="Calibri" w:hAnsiTheme="minorHAnsi" w:cstheme="minorHAnsi"/>
                <w:sz w:val="18"/>
                <w:szCs w:val="18"/>
                <w:lang w:eastAsia="x-none"/>
              </w:rPr>
              <w:t xml:space="preserve"> and adoption of </w:t>
            </w:r>
            <w:r w:rsidRPr="007C4D65">
              <w:rPr>
                <w:rFonts w:asciiTheme="minorHAnsi" w:eastAsia="Calibri" w:hAnsiTheme="minorHAnsi" w:cstheme="minorHAnsi"/>
                <w:sz w:val="18"/>
                <w:szCs w:val="18"/>
                <w:lang w:eastAsia="x-none"/>
              </w:rPr>
              <w:t>a</w:t>
            </w:r>
            <w:r w:rsidR="008B006F" w:rsidRPr="007C4D65">
              <w:rPr>
                <w:rFonts w:asciiTheme="minorHAnsi" w:eastAsia="Calibri" w:hAnsiTheme="minorHAnsi" w:cstheme="minorHAnsi"/>
                <w:sz w:val="18"/>
                <w:szCs w:val="18"/>
                <w:lang w:eastAsia="x-none"/>
              </w:rPr>
              <w:t xml:space="preserve"> document on coordinated work of inspection bodies </w:t>
            </w:r>
            <w:r w:rsidRPr="007C4D65">
              <w:rPr>
                <w:rFonts w:asciiTheme="minorHAnsi" w:eastAsia="Calibri" w:hAnsiTheme="minorHAnsi" w:cstheme="minorHAnsi"/>
                <w:sz w:val="18"/>
                <w:szCs w:val="18"/>
                <w:lang w:eastAsia="x-none"/>
              </w:rPr>
              <w:t>and other</w:t>
            </w:r>
            <w:r w:rsidR="008B006F" w:rsidRPr="007C4D65">
              <w:rPr>
                <w:rFonts w:asciiTheme="minorHAnsi" w:eastAsia="Calibri" w:hAnsiTheme="minorHAnsi" w:cstheme="minorHAnsi"/>
                <w:sz w:val="18"/>
                <w:szCs w:val="18"/>
                <w:lang w:eastAsia="x-none"/>
              </w:rPr>
              <w:t xml:space="preserve"> inspection bodies, </w:t>
            </w:r>
            <w:proofErr w:type="gramStart"/>
            <w:r w:rsidRPr="007C4D65">
              <w:rPr>
                <w:rFonts w:asciiTheme="minorHAnsi" w:eastAsia="Calibri" w:hAnsiTheme="minorHAnsi" w:cstheme="minorHAnsi"/>
                <w:sz w:val="18"/>
                <w:szCs w:val="18"/>
                <w:lang w:eastAsia="x-none"/>
              </w:rPr>
              <w:t>in order to</w:t>
            </w:r>
            <w:proofErr w:type="gramEnd"/>
            <w:r w:rsidRPr="007C4D65">
              <w:rPr>
                <w:rFonts w:asciiTheme="minorHAnsi" w:eastAsia="Calibri" w:hAnsiTheme="minorHAnsi" w:cstheme="minorHAnsi"/>
                <w:sz w:val="18"/>
                <w:szCs w:val="18"/>
                <w:lang w:eastAsia="x-none"/>
              </w:rPr>
              <w:t xml:space="preserve"> better</w:t>
            </w:r>
            <w:r w:rsidR="008B006F" w:rsidRPr="007C4D65">
              <w:rPr>
                <w:rFonts w:asciiTheme="minorHAnsi" w:eastAsia="Calibri" w:hAnsiTheme="minorHAnsi" w:cstheme="minorHAnsi"/>
                <w:sz w:val="18"/>
                <w:szCs w:val="18"/>
                <w:lang w:eastAsia="x-none"/>
              </w:rPr>
              <w:t xml:space="preserve"> coordinate </w:t>
            </w:r>
            <w:r w:rsidRPr="007C4D65">
              <w:rPr>
                <w:rFonts w:asciiTheme="minorHAnsi" w:eastAsia="Calibri" w:hAnsiTheme="minorHAnsi" w:cstheme="minorHAnsi"/>
                <w:sz w:val="18"/>
                <w:szCs w:val="18"/>
                <w:lang w:eastAsia="x-none"/>
              </w:rPr>
              <w:t xml:space="preserve">the </w:t>
            </w:r>
            <w:r w:rsidR="008B006F" w:rsidRPr="007C4D65">
              <w:rPr>
                <w:rFonts w:asciiTheme="minorHAnsi" w:eastAsia="Calibri" w:hAnsiTheme="minorHAnsi" w:cstheme="minorHAnsi"/>
                <w:sz w:val="18"/>
                <w:szCs w:val="18"/>
                <w:lang w:eastAsia="x-none"/>
              </w:rPr>
              <w:t>work of environmental and other inspections.</w:t>
            </w:r>
            <w:bookmarkEnd w:id="341"/>
          </w:p>
        </w:tc>
      </w:tr>
      <w:tr w:rsidR="008B006F" w:rsidRPr="007C4D65" w14:paraId="43E203C6" w14:textId="77777777" w:rsidTr="00B6017F">
        <w:trPr>
          <w:trHeight w:val="567"/>
        </w:trPr>
        <w:tc>
          <w:tcPr>
            <w:tcW w:w="1359" w:type="pct"/>
            <w:shd w:val="clear" w:color="auto" w:fill="009D73"/>
            <w:vAlign w:val="center"/>
          </w:tcPr>
          <w:p w14:paraId="5437BD49" w14:textId="77777777" w:rsidR="008B006F" w:rsidRPr="007C4D65" w:rsidRDefault="008B006F"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Strategic projects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657262" w14:textId="77777777" w:rsidR="008B006F" w:rsidRPr="007C4D65" w:rsidRDefault="008B006F" w:rsidP="008B006F">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8B006F" w:rsidRPr="007C4D65" w14:paraId="5D870611" w14:textId="77777777" w:rsidTr="00B6017F">
        <w:trPr>
          <w:trHeight w:val="567"/>
        </w:trPr>
        <w:tc>
          <w:tcPr>
            <w:tcW w:w="1359" w:type="pct"/>
            <w:vMerge w:val="restart"/>
            <w:shd w:val="clear" w:color="auto" w:fill="009D73"/>
            <w:vAlign w:val="center"/>
          </w:tcPr>
          <w:p w14:paraId="50B7AB9B" w14:textId="77777777" w:rsidR="008B006F" w:rsidRPr="007C4D65" w:rsidRDefault="008B006F"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13F29A2" w14:textId="77777777" w:rsidR="008B006F" w:rsidRPr="007C4D65" w:rsidRDefault="008B006F" w:rsidP="008B006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5F2CFAE6" w14:textId="77777777" w:rsidR="008B006F" w:rsidRPr="007C4D65" w:rsidRDefault="008B006F" w:rsidP="008B006F">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BA23B98" w14:textId="77777777" w:rsidR="008B006F" w:rsidRPr="007C4D65" w:rsidRDefault="008B006F" w:rsidP="008B006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79D52196" w14:textId="77777777" w:rsidR="008B006F" w:rsidRPr="007C4D65" w:rsidRDefault="008B006F" w:rsidP="008B006F">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07682DD" w14:textId="77777777" w:rsidR="008B006F" w:rsidRPr="007C4D65" w:rsidRDefault="008B006F" w:rsidP="008B006F">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value</w:t>
            </w:r>
          </w:p>
        </w:tc>
      </w:tr>
      <w:tr w:rsidR="008B006F" w:rsidRPr="007C4D65" w14:paraId="1BCF1EAB"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0009358" w14:textId="77777777" w:rsidR="008B006F" w:rsidRPr="007C4D65" w:rsidRDefault="008B006F"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1215BC1" w14:textId="0739179E" w:rsidR="008B006F" w:rsidRPr="007C4D65" w:rsidRDefault="008B006F">
            <w:pPr>
              <w:numPr>
                <w:ilvl w:val="0"/>
                <w:numId w:val="218"/>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Evaluation of </w:t>
            </w:r>
            <w:r w:rsidR="00C916B9"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institutional capacit</w:t>
            </w:r>
            <w:r w:rsidR="00C916B9" w:rsidRPr="007C4D65">
              <w:rPr>
                <w:rFonts w:asciiTheme="minorHAnsi" w:eastAsia="Calibri" w:hAnsiTheme="minorHAnsi" w:cstheme="minorHAnsi"/>
                <w:sz w:val="18"/>
                <w:szCs w:val="18"/>
                <w:lang w:eastAsia="x-none"/>
              </w:rPr>
              <w:t>y</w:t>
            </w:r>
            <w:r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en-US"/>
              </w:rPr>
              <w:t xml:space="preserve">for consistent application of laws and effective </w:t>
            </w:r>
            <w:r w:rsidR="00C916B9" w:rsidRPr="007C4D65">
              <w:rPr>
                <w:rFonts w:asciiTheme="minorHAnsi" w:eastAsia="Calibri" w:hAnsiTheme="minorHAnsi" w:cstheme="minorHAnsi"/>
                <w:sz w:val="18"/>
                <w:szCs w:val="18"/>
                <w:lang w:eastAsia="en-US"/>
              </w:rPr>
              <w:t>implementation</w:t>
            </w:r>
            <w:r w:rsidRPr="007C4D65">
              <w:rPr>
                <w:rFonts w:asciiTheme="minorHAnsi" w:eastAsia="Calibri" w:hAnsiTheme="minorHAnsi" w:cstheme="minorHAnsi"/>
                <w:sz w:val="18"/>
                <w:szCs w:val="18"/>
                <w:lang w:eastAsia="en-US"/>
              </w:rPr>
              <w:t xml:space="preserve"> of environmental plans and strategies </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7C9CB37" w14:textId="1079770D" w:rsidR="008B006F" w:rsidRPr="007C4D65" w:rsidRDefault="00C916B9" w:rsidP="008B006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No evaluation has been undertaken</w:t>
            </w:r>
            <w:r w:rsidR="008B006F" w:rsidRPr="007C4D65">
              <w:rPr>
                <w:rFonts w:asciiTheme="minorHAnsi" w:eastAsiaTheme="minorHAnsi" w:hAnsiTheme="minorHAnsi" w:cstheme="minorHAnsi"/>
                <w:sz w:val="18"/>
                <w:szCs w:val="18"/>
                <w:lang w:eastAsia="en-US" w:bidi="en-US"/>
              </w:rPr>
              <w:t xml:space="preserve">  </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385B71F" w14:textId="7DAFCE92" w:rsidR="008B006F" w:rsidRPr="007C4D65" w:rsidRDefault="008B006F" w:rsidP="008B006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A comprehensive evaluation </w:t>
            </w:r>
            <w:r w:rsidRPr="007C4D65">
              <w:rPr>
                <w:rFonts w:asciiTheme="minorHAnsi" w:eastAsia="Calibri" w:hAnsiTheme="minorHAnsi" w:cstheme="minorHAnsi"/>
                <w:sz w:val="18"/>
                <w:szCs w:val="18"/>
                <w:lang w:eastAsia="x-none"/>
              </w:rPr>
              <w:t xml:space="preserve">of </w:t>
            </w:r>
            <w:r w:rsidR="006226BE"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institutional capacit</w:t>
            </w:r>
            <w:r w:rsidR="006226BE" w:rsidRPr="007C4D65">
              <w:rPr>
                <w:rFonts w:asciiTheme="minorHAnsi" w:eastAsia="Calibri" w:hAnsiTheme="minorHAnsi" w:cstheme="minorHAnsi"/>
                <w:sz w:val="18"/>
                <w:szCs w:val="18"/>
                <w:lang w:eastAsia="x-none"/>
              </w:rPr>
              <w:t xml:space="preserve">y </w:t>
            </w:r>
            <w:r w:rsidR="006226BE" w:rsidRPr="007C4D65">
              <w:rPr>
                <w:rFonts w:asciiTheme="minorHAnsi" w:eastAsiaTheme="minorHAnsi" w:hAnsiTheme="minorHAnsi" w:cstheme="minorHAnsi"/>
                <w:sz w:val="18"/>
                <w:szCs w:val="18"/>
                <w:lang w:eastAsia="en-US" w:bidi="en-US"/>
              </w:rPr>
              <w:t>completed</w:t>
            </w:r>
            <w:r w:rsidRPr="007C4D65">
              <w:rPr>
                <w:rFonts w:asciiTheme="minorHAnsi" w:eastAsiaTheme="minorHAnsi" w:hAnsiTheme="minorHAnsi" w:cstheme="minorHAnsi"/>
                <w:sz w:val="18"/>
                <w:szCs w:val="18"/>
                <w:lang w:eastAsia="en-US" w:bidi="en-US"/>
              </w:rPr>
              <w:t xml:space="preserve"> (2024)</w:t>
            </w:r>
          </w:p>
        </w:tc>
      </w:tr>
      <w:tr w:rsidR="008B006F" w:rsidRPr="007C4D65" w14:paraId="4F08B8EA"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73D84A01" w14:textId="77777777" w:rsidR="008B006F" w:rsidRPr="007C4D65" w:rsidRDefault="008B006F"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B9BF7EE" w14:textId="2378A879" w:rsidR="008B006F" w:rsidRPr="007C4D65" w:rsidRDefault="008B006F" w:rsidP="008B006F">
            <w:pPr>
              <w:spacing w:before="40" w:after="40" w:line="276" w:lineRule="auto"/>
              <w:ind w:left="265" w:hanging="26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2), 3) Introducing measures for </w:t>
            </w:r>
            <w:r w:rsidR="006226BE"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 xml:space="preserve">improvement in accordance with </w:t>
            </w:r>
            <w:r w:rsidR="006226BE" w:rsidRPr="007C4D65">
              <w:rPr>
                <w:rFonts w:asciiTheme="minorHAnsi" w:eastAsia="Calibri" w:hAnsiTheme="minorHAnsi" w:cstheme="minorHAnsi"/>
                <w:sz w:val="18"/>
                <w:szCs w:val="18"/>
                <w:lang w:eastAsia="x-none"/>
              </w:rPr>
              <w:t>the completed</w:t>
            </w:r>
            <w:r w:rsidRPr="007C4D65">
              <w:rPr>
                <w:rFonts w:asciiTheme="minorHAnsi" w:eastAsia="Calibri" w:hAnsiTheme="minorHAnsi" w:cstheme="minorHAnsi"/>
                <w:sz w:val="18"/>
                <w:szCs w:val="18"/>
                <w:lang w:eastAsia="x-none"/>
              </w:rPr>
              <w:t xml:space="preserve"> evaluation </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9835122" w14:textId="488AD8AF" w:rsidR="008B006F" w:rsidRPr="007C4D65" w:rsidRDefault="006226BE" w:rsidP="008B006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No evaluation has been undertaken  </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DCC5FDD" w14:textId="3DE60576" w:rsidR="008B006F" w:rsidRPr="007C4D65" w:rsidRDefault="006226BE" w:rsidP="008B006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Measures defined with the view of</w:t>
            </w:r>
            <w:r w:rsidR="008B006F" w:rsidRPr="007C4D65">
              <w:rPr>
                <w:rFonts w:asciiTheme="minorHAnsi" w:eastAsiaTheme="minorHAnsi" w:hAnsiTheme="minorHAnsi" w:cstheme="minorHAnsi"/>
                <w:sz w:val="18"/>
                <w:szCs w:val="18"/>
                <w:lang w:eastAsia="en-US" w:bidi="en-US"/>
              </w:rPr>
              <w:t>:</w:t>
            </w:r>
          </w:p>
          <w:p w14:paraId="24868B50" w14:textId="2E175151" w:rsidR="008B006F" w:rsidRPr="007C4D65" w:rsidRDefault="006226BE">
            <w:pPr>
              <w:numPr>
                <w:ilvl w:val="0"/>
                <w:numId w:val="162"/>
              </w:numPr>
              <w:spacing w:before="40" w:after="40" w:line="276" w:lineRule="auto"/>
              <w:ind w:left="227" w:hanging="227"/>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Keeping the</w:t>
            </w:r>
            <w:r w:rsidR="008B006F" w:rsidRPr="007C4D65">
              <w:rPr>
                <w:rFonts w:asciiTheme="minorHAnsi" w:eastAsia="Calibri" w:hAnsiTheme="minorHAnsi" w:cstheme="minorHAnsi"/>
                <w:sz w:val="18"/>
                <w:szCs w:val="18"/>
                <w:lang w:eastAsia="x-none"/>
              </w:rPr>
              <w:t xml:space="preserve"> professional</w:t>
            </w:r>
            <w:r w:rsidRPr="007C4D65">
              <w:rPr>
                <w:rFonts w:asciiTheme="minorHAnsi" w:eastAsia="Calibri" w:hAnsiTheme="minorHAnsi" w:cstheme="minorHAnsi"/>
                <w:sz w:val="18"/>
                <w:szCs w:val="18"/>
                <w:lang w:eastAsia="x-none"/>
              </w:rPr>
              <w:t>s</w:t>
            </w:r>
            <w:r w:rsidR="008B006F" w:rsidRPr="007C4D65">
              <w:rPr>
                <w:rFonts w:asciiTheme="minorHAnsi" w:eastAsia="Calibri" w:hAnsiTheme="minorHAnsi" w:cstheme="minorHAnsi"/>
                <w:sz w:val="18"/>
                <w:szCs w:val="18"/>
                <w:lang w:eastAsia="x-none"/>
              </w:rPr>
              <w:t xml:space="preserve"> in the </w:t>
            </w:r>
            <w:r w:rsidR="008B006F" w:rsidRPr="007C4D65">
              <w:rPr>
                <w:rFonts w:asciiTheme="minorHAnsi" w:eastAsia="Calibri" w:hAnsiTheme="minorHAnsi" w:cstheme="minorHAnsi"/>
                <w:sz w:val="18"/>
                <w:szCs w:val="18"/>
                <w:lang w:eastAsia="en-US"/>
              </w:rPr>
              <w:t>institutions</w:t>
            </w:r>
          </w:p>
          <w:p w14:paraId="589B3070" w14:textId="0BCB2D4C" w:rsidR="008B006F" w:rsidRPr="007C4D65" w:rsidRDefault="006226BE">
            <w:pPr>
              <w:numPr>
                <w:ilvl w:val="0"/>
                <w:numId w:val="162"/>
              </w:numPr>
              <w:spacing w:before="40" w:after="40" w:line="276" w:lineRule="auto"/>
              <w:ind w:left="227" w:hanging="227"/>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S</w:t>
            </w:r>
            <w:r w:rsidR="008B006F" w:rsidRPr="007C4D65">
              <w:rPr>
                <w:rFonts w:asciiTheme="minorHAnsi" w:eastAsia="Calibri" w:hAnsiTheme="minorHAnsi" w:cstheme="minorHAnsi"/>
                <w:sz w:val="18"/>
                <w:szCs w:val="18"/>
                <w:lang w:eastAsia="x-none"/>
              </w:rPr>
              <w:t>trengthen</w:t>
            </w:r>
            <w:r w:rsidRPr="007C4D65">
              <w:rPr>
                <w:rFonts w:asciiTheme="minorHAnsi" w:eastAsia="Calibri" w:hAnsiTheme="minorHAnsi" w:cstheme="minorHAnsi"/>
                <w:sz w:val="18"/>
                <w:szCs w:val="18"/>
                <w:lang w:eastAsia="x-none"/>
              </w:rPr>
              <w:t>ing the</w:t>
            </w:r>
            <w:r w:rsidR="008B006F" w:rsidRPr="007C4D65">
              <w:rPr>
                <w:rFonts w:asciiTheme="minorHAnsi" w:eastAsia="Calibri" w:hAnsiTheme="minorHAnsi" w:cstheme="minorHAnsi"/>
                <w:sz w:val="18"/>
                <w:szCs w:val="18"/>
                <w:lang w:eastAsia="x-none"/>
              </w:rPr>
              <w:t xml:space="preserve"> capacities with</w:t>
            </w:r>
            <w:r w:rsidRPr="007C4D65">
              <w:rPr>
                <w:rFonts w:asciiTheme="minorHAnsi" w:eastAsia="Calibri" w:hAnsiTheme="minorHAnsi" w:cstheme="minorHAnsi"/>
                <w:sz w:val="18"/>
                <w:szCs w:val="18"/>
                <w:lang w:eastAsia="x-none"/>
              </w:rPr>
              <w:t xml:space="preserve"> a</w:t>
            </w:r>
            <w:r w:rsidR="008B006F" w:rsidRPr="007C4D65">
              <w:rPr>
                <w:rFonts w:asciiTheme="minorHAnsi" w:eastAsia="Calibri" w:hAnsiTheme="minorHAnsi" w:cstheme="minorHAnsi"/>
                <w:sz w:val="18"/>
                <w:szCs w:val="18"/>
                <w:lang w:eastAsia="x-none"/>
              </w:rPr>
              <w:t xml:space="preserve"> focus on human resources </w:t>
            </w:r>
            <w:r w:rsidR="008B006F" w:rsidRPr="007C4D65">
              <w:rPr>
                <w:rFonts w:asciiTheme="minorHAnsi" w:eastAsiaTheme="minorHAnsi" w:hAnsiTheme="minorHAnsi" w:cstheme="minorHAnsi"/>
                <w:sz w:val="18"/>
                <w:szCs w:val="18"/>
                <w:lang w:eastAsia="en-US" w:bidi="en-US"/>
              </w:rPr>
              <w:t xml:space="preserve"> </w:t>
            </w:r>
          </w:p>
          <w:p w14:paraId="549E1140" w14:textId="666D47B7" w:rsidR="008B006F" w:rsidRPr="007C4D65" w:rsidRDefault="008B006F" w:rsidP="008B006F">
            <w:pPr>
              <w:spacing w:before="40" w:after="40" w:line="276" w:lineRule="auto"/>
              <w:ind w:left="227"/>
              <w:contextualSpacing/>
              <w:rPr>
                <w:rFonts w:asciiTheme="minorHAnsi" w:eastAsia="Calibri" w:hAnsiTheme="minorHAnsi" w:cstheme="minorHAnsi"/>
                <w:sz w:val="18"/>
                <w:szCs w:val="18"/>
                <w:lang w:eastAsia="x-none"/>
              </w:rPr>
            </w:pPr>
            <w:r w:rsidRPr="007C4D65">
              <w:rPr>
                <w:rFonts w:asciiTheme="minorHAnsi" w:eastAsiaTheme="minorHAnsi" w:hAnsiTheme="minorHAnsi" w:cstheme="minorHAnsi"/>
                <w:sz w:val="18"/>
                <w:szCs w:val="18"/>
                <w:lang w:eastAsia="en-US" w:bidi="en-US"/>
              </w:rPr>
              <w:t xml:space="preserve">The organizational unit </w:t>
            </w:r>
            <w:r w:rsidRPr="007C4D65">
              <w:rPr>
                <w:rFonts w:asciiTheme="minorHAnsi" w:eastAsia="Calibri" w:hAnsiTheme="minorHAnsi" w:cstheme="minorHAnsi"/>
                <w:sz w:val="18"/>
                <w:szCs w:val="18"/>
                <w:lang w:eastAsia="x-none"/>
              </w:rPr>
              <w:t xml:space="preserve">in charge of </w:t>
            </w:r>
            <w:r w:rsidR="006226BE" w:rsidRPr="007C4D65">
              <w:rPr>
                <w:rFonts w:asciiTheme="minorHAnsi" w:eastAsia="Calibri" w:hAnsiTheme="minorHAnsi" w:cstheme="minorHAnsi"/>
                <w:sz w:val="18"/>
                <w:szCs w:val="18"/>
                <w:lang w:eastAsia="x-none"/>
              </w:rPr>
              <w:t>capacity building</w:t>
            </w:r>
            <w:r w:rsidRPr="007C4D65">
              <w:rPr>
                <w:rFonts w:asciiTheme="minorHAnsi" w:eastAsia="Calibri" w:hAnsiTheme="minorHAnsi" w:cstheme="minorHAnsi"/>
                <w:sz w:val="18"/>
                <w:szCs w:val="18"/>
                <w:lang w:eastAsia="x-none"/>
              </w:rPr>
              <w:t xml:space="preserve"> and </w:t>
            </w:r>
            <w:r w:rsidRPr="007C4D65">
              <w:rPr>
                <w:rFonts w:asciiTheme="minorHAnsi" w:eastAsia="Calibri" w:hAnsiTheme="minorHAnsi" w:cstheme="minorHAnsi"/>
                <w:sz w:val="18"/>
                <w:szCs w:val="18"/>
                <w:lang w:eastAsia="x-none"/>
              </w:rPr>
              <w:lastRenderedPageBreak/>
              <w:t>new job classifications designated (2026)</w:t>
            </w:r>
          </w:p>
        </w:tc>
      </w:tr>
      <w:tr w:rsidR="008B006F" w:rsidRPr="007C4D65" w14:paraId="6612C4CD"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CAABBBB" w14:textId="77777777" w:rsidR="008B006F" w:rsidRPr="007C4D65" w:rsidRDefault="008B006F"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CF0BCCA" w14:textId="0F2FA425" w:rsidR="008B006F" w:rsidRPr="007C4D65" w:rsidRDefault="008B006F" w:rsidP="008B006F">
            <w:pPr>
              <w:spacing w:before="40" w:after="40" w:line="276" w:lineRule="auto"/>
              <w:ind w:left="123" w:hanging="123"/>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4) Status of drafting and adoption of the documents coordinat</w:t>
            </w:r>
            <w:r w:rsidR="006226BE" w:rsidRPr="007C4D65">
              <w:rPr>
                <w:rFonts w:asciiTheme="minorHAnsi" w:eastAsia="Calibri" w:hAnsiTheme="minorHAnsi" w:cstheme="minorHAnsi"/>
                <w:sz w:val="18"/>
                <w:szCs w:val="18"/>
                <w:lang w:eastAsia="x-none"/>
              </w:rPr>
              <w:t>ing the</w:t>
            </w:r>
            <w:r w:rsidRPr="007C4D65">
              <w:rPr>
                <w:rFonts w:asciiTheme="minorHAnsi" w:eastAsia="Calibri" w:hAnsiTheme="minorHAnsi" w:cstheme="minorHAnsi"/>
                <w:sz w:val="18"/>
                <w:szCs w:val="18"/>
                <w:lang w:eastAsia="x-none"/>
              </w:rPr>
              <w:t xml:space="preserve"> work of inspection bodies, </w:t>
            </w:r>
            <w:r w:rsidR="006226BE" w:rsidRPr="007C4D65">
              <w:rPr>
                <w:rFonts w:asciiTheme="minorHAnsi" w:eastAsia="Calibri" w:hAnsiTheme="minorHAnsi" w:cstheme="minorHAnsi"/>
                <w:sz w:val="18"/>
                <w:szCs w:val="18"/>
                <w:lang w:eastAsia="x-none"/>
              </w:rPr>
              <w:t>which should contribute to</w:t>
            </w:r>
            <w:r w:rsidRPr="007C4D65">
              <w:rPr>
                <w:rFonts w:asciiTheme="minorHAnsi" w:eastAsia="Calibri" w:hAnsiTheme="minorHAnsi" w:cstheme="minorHAnsi"/>
                <w:sz w:val="18"/>
                <w:szCs w:val="18"/>
                <w:lang w:eastAsia="x-none"/>
              </w:rPr>
              <w:t xml:space="preserve"> coordinat</w:t>
            </w:r>
            <w:r w:rsidR="006226BE" w:rsidRPr="007C4D65">
              <w:rPr>
                <w:rFonts w:asciiTheme="minorHAnsi" w:eastAsia="Calibri" w:hAnsiTheme="minorHAnsi" w:cstheme="minorHAnsi"/>
                <w:sz w:val="18"/>
                <w:szCs w:val="18"/>
                <w:lang w:eastAsia="x-none"/>
              </w:rPr>
              <w:t>ion of the</w:t>
            </w:r>
            <w:r w:rsidRPr="007C4D65">
              <w:rPr>
                <w:rFonts w:asciiTheme="minorHAnsi" w:eastAsia="Calibri" w:hAnsiTheme="minorHAnsi" w:cstheme="minorHAnsi"/>
                <w:sz w:val="18"/>
                <w:szCs w:val="18"/>
                <w:lang w:eastAsia="x-none"/>
              </w:rPr>
              <w:t xml:space="preserve"> work of environmental and other inspections.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A8772A4" w14:textId="6586949D" w:rsidR="008B006F" w:rsidRPr="007C4D65" w:rsidRDefault="006226BE" w:rsidP="008B006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 document has not been prepared</w:t>
            </w:r>
            <w:r w:rsidR="008B006F" w:rsidRPr="007C4D65">
              <w:rPr>
                <w:rFonts w:asciiTheme="minorHAnsi" w:eastAsiaTheme="minorHAnsi" w:hAnsiTheme="minorHAnsi" w:cstheme="minorHAnsi"/>
                <w:sz w:val="18"/>
                <w:szCs w:val="18"/>
                <w:lang w:eastAsia="en-US" w:bidi="en-US"/>
              </w:rPr>
              <w:t xml:space="preserve"> </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945CE93" w14:textId="38D0901D" w:rsidR="008B006F" w:rsidRPr="007C4D65" w:rsidRDefault="006226BE" w:rsidP="008B006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The d</w:t>
            </w:r>
            <w:r w:rsidR="008B006F" w:rsidRPr="007C4D65">
              <w:rPr>
                <w:rFonts w:asciiTheme="minorHAnsi" w:eastAsia="Calibri" w:hAnsiTheme="minorHAnsi" w:cstheme="minorHAnsi"/>
                <w:sz w:val="18"/>
                <w:szCs w:val="18"/>
                <w:lang w:eastAsia="x-none"/>
              </w:rPr>
              <w:t xml:space="preserve">ocument </w:t>
            </w:r>
            <w:r w:rsidRPr="007C4D65">
              <w:rPr>
                <w:rFonts w:asciiTheme="minorHAnsi" w:eastAsia="Calibri" w:hAnsiTheme="minorHAnsi" w:cstheme="minorHAnsi"/>
                <w:sz w:val="18"/>
                <w:szCs w:val="18"/>
                <w:lang w:eastAsia="x-none"/>
              </w:rPr>
              <w:t>coordinating the</w:t>
            </w:r>
            <w:r w:rsidR="008B006F" w:rsidRPr="007C4D65">
              <w:rPr>
                <w:rFonts w:asciiTheme="minorHAnsi" w:eastAsia="Calibri" w:hAnsiTheme="minorHAnsi" w:cstheme="minorHAnsi"/>
                <w:sz w:val="18"/>
                <w:szCs w:val="18"/>
                <w:lang w:eastAsia="x-none"/>
              </w:rPr>
              <w:t xml:space="preserve"> work of </w:t>
            </w:r>
            <w:r w:rsidRPr="007C4D65">
              <w:rPr>
                <w:rFonts w:asciiTheme="minorHAnsi" w:eastAsia="Calibri" w:hAnsiTheme="minorHAnsi" w:cstheme="minorHAnsi"/>
                <w:sz w:val="18"/>
                <w:szCs w:val="18"/>
                <w:lang w:eastAsia="x-none"/>
              </w:rPr>
              <w:t xml:space="preserve">the </w:t>
            </w:r>
            <w:r w:rsidR="008B006F" w:rsidRPr="007C4D65">
              <w:rPr>
                <w:rFonts w:asciiTheme="minorHAnsi" w:eastAsia="Calibri" w:hAnsiTheme="minorHAnsi" w:cstheme="minorHAnsi"/>
                <w:sz w:val="18"/>
                <w:szCs w:val="18"/>
                <w:lang w:eastAsia="x-none"/>
              </w:rPr>
              <w:t xml:space="preserve">inspection bodies </w:t>
            </w:r>
            <w:r w:rsidRPr="007C4D65">
              <w:rPr>
                <w:rFonts w:asciiTheme="minorHAnsi" w:eastAsia="Calibri" w:hAnsiTheme="minorHAnsi" w:cstheme="minorHAnsi"/>
                <w:sz w:val="18"/>
                <w:szCs w:val="18"/>
                <w:lang w:eastAsia="x-none"/>
              </w:rPr>
              <w:t>prepared</w:t>
            </w:r>
            <w:r w:rsidR="008B006F" w:rsidRPr="007C4D65">
              <w:rPr>
                <w:rFonts w:asciiTheme="minorHAnsi" w:eastAsia="Calibri" w:hAnsiTheme="minorHAnsi" w:cstheme="minorHAnsi"/>
                <w:sz w:val="18"/>
                <w:szCs w:val="18"/>
                <w:lang w:eastAsia="x-none"/>
              </w:rPr>
              <w:t xml:space="preserve"> and adopted (2024)</w:t>
            </w:r>
          </w:p>
        </w:tc>
      </w:tr>
      <w:tr w:rsidR="008B006F" w:rsidRPr="007C4D65" w14:paraId="38C1F4AA" w14:textId="77777777" w:rsidTr="00B6017F">
        <w:trPr>
          <w:trHeight w:val="567"/>
        </w:trPr>
        <w:tc>
          <w:tcPr>
            <w:tcW w:w="1359" w:type="pct"/>
            <w:shd w:val="clear" w:color="auto" w:fill="009D73"/>
            <w:vAlign w:val="center"/>
          </w:tcPr>
          <w:p w14:paraId="7914DFC9" w14:textId="77777777" w:rsidR="008B006F" w:rsidRPr="007C4D65" w:rsidRDefault="008B006F"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0DA10C4" w14:textId="44871A18" w:rsidR="008B006F" w:rsidRPr="007C4D65" w:rsidRDefault="006226BE" w:rsidP="008B006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Contribution to creating a coherent management with strong inter-sectoral links and good coordination, which are essential for efficient environmental management</w:t>
            </w:r>
          </w:p>
        </w:tc>
      </w:tr>
      <w:tr w:rsidR="008B006F" w:rsidRPr="007C4D65" w14:paraId="0003C9A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3D3DFD9" w14:textId="46742769" w:rsidR="008B006F" w:rsidRPr="007C4D65" w:rsidRDefault="00963086"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r w:rsidR="008B006F" w:rsidRPr="007C4D65">
              <w:rPr>
                <w:rFonts w:asciiTheme="minorHAnsi" w:eastAsiaTheme="minorHAnsi" w:hAnsiTheme="minorHAnsi" w:cstheme="minorHAnsi"/>
                <w:b/>
                <w:color w:val="FFFFFF" w:themeColor="background1"/>
                <w:sz w:val="18"/>
                <w:szCs w:val="18"/>
                <w:lang w:eastAsia="en-US"/>
              </w:rPr>
              <w:t xml:space="preserve">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0117873" w14:textId="2D6F0D13" w:rsidR="006226BE" w:rsidRPr="007C4D65" w:rsidRDefault="00C224E3" w:rsidP="006226BE">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6226BE" w:rsidRPr="007C4D65">
              <w:rPr>
                <w:rFonts w:asciiTheme="minorHAnsi" w:hAnsiTheme="minorHAnsi" w:cstheme="minorHAnsi"/>
                <w:sz w:val="18"/>
                <w:szCs w:val="18"/>
                <w:lang w:val="hr-HR" w:bidi="en-US"/>
              </w:rPr>
              <w:t>BAM 124,596</w:t>
            </w:r>
          </w:p>
          <w:p w14:paraId="723F433F" w14:textId="18554AB3" w:rsidR="008B006F" w:rsidRPr="007C4D65" w:rsidRDefault="009E6B20" w:rsidP="006226BE">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val="hr-HR" w:bidi="en-US"/>
              </w:rPr>
              <w:t xml:space="preserve">Source: </w:t>
            </w:r>
            <w:r w:rsidR="006226BE" w:rsidRPr="007C4D65">
              <w:rPr>
                <w:rFonts w:asciiTheme="minorHAnsi" w:hAnsiTheme="minorHAnsi" w:cstheme="minorHAnsi"/>
                <w:sz w:val="18"/>
                <w:szCs w:val="18"/>
                <w:lang w:val="hr-HR" w:bidi="en-US"/>
              </w:rPr>
              <w:t xml:space="preserve">20%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6226BE" w:rsidRPr="007C4D65">
              <w:rPr>
                <w:rFonts w:asciiTheme="minorHAnsi" w:hAnsiTheme="minorHAnsi" w:cstheme="minorHAnsi"/>
                <w:sz w:val="18"/>
                <w:szCs w:val="18"/>
                <w:lang w:val="hr-HR" w:bidi="en-US"/>
              </w:rPr>
              <w:t xml:space="preserve">, 80% </w:t>
            </w:r>
            <w:r w:rsidR="00C224E3" w:rsidRPr="007C4D65">
              <w:rPr>
                <w:rFonts w:asciiTheme="minorHAnsi" w:hAnsiTheme="minorHAnsi" w:cstheme="minorHAnsi"/>
                <w:sz w:val="18"/>
                <w:szCs w:val="18"/>
                <w:lang w:val="hr-HR" w:bidi="en-US"/>
              </w:rPr>
              <w:t>funds from EU and other international donors</w:t>
            </w:r>
          </w:p>
        </w:tc>
      </w:tr>
      <w:tr w:rsidR="008B006F" w:rsidRPr="007C4D65" w14:paraId="0EC9BE23"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C5C4950" w14:textId="77777777" w:rsidR="008B006F" w:rsidRPr="007C4D65" w:rsidRDefault="008B006F"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B7551A3" w14:textId="77777777" w:rsidR="008B006F" w:rsidRPr="007C4D65" w:rsidRDefault="008B006F" w:rsidP="008B006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2030</w:t>
            </w:r>
          </w:p>
        </w:tc>
      </w:tr>
      <w:tr w:rsidR="008B006F" w:rsidRPr="007C4D65" w14:paraId="770E083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C8FED66" w14:textId="77777777" w:rsidR="008B006F" w:rsidRPr="007C4D65" w:rsidRDefault="008B006F"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8935418" w14:textId="4A1FB348" w:rsidR="008B006F" w:rsidRPr="007C4D65" w:rsidRDefault="001E6E20" w:rsidP="008B006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8B006F" w:rsidRPr="007C4D65">
              <w:rPr>
                <w:rFonts w:asciiTheme="minorHAnsi" w:eastAsia="Calibri" w:hAnsiTheme="minorHAnsi" w:cstheme="minorHAnsi"/>
                <w:sz w:val="18"/>
                <w:szCs w:val="18"/>
                <w:lang w:eastAsia="en-US"/>
              </w:rPr>
              <w:t xml:space="preserve"> of Environment and Tourism</w:t>
            </w:r>
          </w:p>
        </w:tc>
      </w:tr>
      <w:tr w:rsidR="008B006F" w:rsidRPr="007C4D65" w14:paraId="084F741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05EFF19" w14:textId="77777777" w:rsidR="008B006F" w:rsidRPr="007C4D65" w:rsidRDefault="008B006F"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76D5480" w14:textId="22E70146" w:rsidR="008B006F" w:rsidRPr="007C4D65" w:rsidRDefault="001E6E20" w:rsidP="008B006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8B006F" w:rsidRPr="007C4D65">
              <w:rPr>
                <w:rFonts w:asciiTheme="minorHAnsi" w:eastAsia="Calibri" w:hAnsiTheme="minorHAnsi" w:cstheme="minorHAnsi"/>
                <w:sz w:val="18"/>
                <w:szCs w:val="18"/>
                <w:lang w:eastAsia="en-US"/>
              </w:rPr>
              <w:t xml:space="preserve"> of Environment and Tourism</w:t>
            </w:r>
            <w:r w:rsidR="008B006F" w:rsidRPr="007C4D65">
              <w:rPr>
                <w:rFonts w:asciiTheme="minorHAnsi" w:eastAsiaTheme="minorHAnsi" w:hAnsiTheme="minorHAnsi" w:cstheme="minorHAnsi"/>
                <w:sz w:val="18"/>
                <w:szCs w:val="18"/>
                <w:lang w:eastAsia="en-US" w:bidi="en-US"/>
              </w:rPr>
              <w:t xml:space="preserve"> in cooperation with other institutions responsible </w:t>
            </w:r>
            <w:r w:rsidR="008B006F" w:rsidRPr="007C4D65">
              <w:rPr>
                <w:rFonts w:asciiTheme="minorHAnsi" w:eastAsia="Calibri" w:hAnsiTheme="minorHAnsi" w:cstheme="minorHAnsi"/>
                <w:sz w:val="18"/>
                <w:szCs w:val="18"/>
                <w:lang w:eastAsia="x-none"/>
              </w:rPr>
              <w:t xml:space="preserve">for all the segments of environmental management (including chemical </w:t>
            </w:r>
            <w:proofErr w:type="gramStart"/>
            <w:r w:rsidR="008B006F" w:rsidRPr="007C4D65">
              <w:rPr>
                <w:rFonts w:asciiTheme="minorHAnsi" w:eastAsia="Calibri" w:hAnsiTheme="minorHAnsi" w:cstheme="minorHAnsi"/>
                <w:sz w:val="18"/>
                <w:szCs w:val="18"/>
                <w:lang w:eastAsia="x-none"/>
              </w:rPr>
              <w:t>safety )</w:t>
            </w:r>
            <w:proofErr w:type="gramEnd"/>
            <w:r w:rsidR="008B006F" w:rsidRPr="007C4D65">
              <w:rPr>
                <w:rFonts w:asciiTheme="minorHAnsi" w:eastAsia="Calibri" w:hAnsiTheme="minorHAnsi" w:cstheme="minorHAnsi"/>
                <w:sz w:val="18"/>
                <w:szCs w:val="18"/>
                <w:lang w:eastAsia="x-none"/>
              </w:rPr>
              <w:t xml:space="preserve"> in the Federation of </w:t>
            </w:r>
            <w:r w:rsidR="006226BE" w:rsidRPr="007C4D65">
              <w:rPr>
                <w:rFonts w:asciiTheme="minorHAnsi" w:eastAsia="Calibri" w:hAnsiTheme="minorHAnsi" w:cstheme="minorHAnsi"/>
                <w:sz w:val="18"/>
                <w:szCs w:val="18"/>
                <w:lang w:eastAsia="x-none"/>
              </w:rPr>
              <w:t>BiH</w:t>
            </w:r>
            <w:r w:rsidR="008B006F" w:rsidRPr="007C4D65">
              <w:rPr>
                <w:rFonts w:asciiTheme="minorHAnsi" w:eastAsiaTheme="minorHAnsi" w:hAnsiTheme="minorHAnsi" w:cstheme="minorHAnsi"/>
                <w:sz w:val="18"/>
                <w:szCs w:val="18"/>
                <w:lang w:eastAsia="en-US" w:bidi="en-US"/>
              </w:rPr>
              <w:t>, Administration for Inspection Issues</w:t>
            </w:r>
            <w:r w:rsidR="006226BE" w:rsidRPr="007C4D65">
              <w:rPr>
                <w:rFonts w:asciiTheme="minorHAnsi" w:eastAsiaTheme="minorHAnsi" w:hAnsiTheme="minorHAnsi" w:cstheme="minorHAnsi"/>
                <w:sz w:val="18"/>
                <w:szCs w:val="18"/>
                <w:lang w:eastAsia="en-US" w:bidi="en-US"/>
              </w:rPr>
              <w:t xml:space="preserve"> of the Federation of BiH</w:t>
            </w:r>
          </w:p>
        </w:tc>
      </w:tr>
      <w:tr w:rsidR="008B006F" w:rsidRPr="007C4D65" w14:paraId="387E6FAE"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B24612D" w14:textId="6D28B76C" w:rsidR="008B006F" w:rsidRPr="007C4D65" w:rsidRDefault="00963086" w:rsidP="008B006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DB0F39B" w14:textId="1B1F82BB" w:rsidR="008B006F" w:rsidRPr="007C4D65" w:rsidRDefault="008B006F" w:rsidP="008B006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All the institutions responsible for </w:t>
            </w:r>
            <w:r w:rsidR="006226BE" w:rsidRPr="007C4D65">
              <w:rPr>
                <w:rFonts w:asciiTheme="minorHAnsi" w:eastAsiaTheme="minorHAnsi" w:hAnsiTheme="minorHAnsi" w:cstheme="minorHAnsi"/>
                <w:sz w:val="18"/>
                <w:szCs w:val="18"/>
                <w:lang w:eastAsia="en-US" w:bidi="en-US"/>
              </w:rPr>
              <w:t xml:space="preserve">the </w:t>
            </w:r>
            <w:r w:rsidRPr="007C4D65">
              <w:rPr>
                <w:rFonts w:asciiTheme="minorHAnsi" w:eastAsiaTheme="minorHAnsi" w:hAnsiTheme="minorHAnsi" w:cstheme="minorHAnsi"/>
                <w:sz w:val="18"/>
                <w:szCs w:val="18"/>
                <w:lang w:eastAsia="en-US" w:bidi="en-US"/>
              </w:rPr>
              <w:t>environment</w:t>
            </w:r>
          </w:p>
        </w:tc>
      </w:tr>
    </w:tbl>
    <w:p w14:paraId="7D30828C" w14:textId="77777777"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2"/>
        <w:gridCol w:w="3242"/>
        <w:gridCol w:w="2762"/>
      </w:tblGrid>
      <w:tr w:rsidR="006226BE" w:rsidRPr="007C4D65" w14:paraId="0823D3A7" w14:textId="77777777" w:rsidTr="00B6017F">
        <w:trPr>
          <w:trHeight w:val="567"/>
        </w:trPr>
        <w:tc>
          <w:tcPr>
            <w:tcW w:w="1359" w:type="pct"/>
            <w:shd w:val="clear" w:color="auto" w:fill="009D73"/>
            <w:vAlign w:val="center"/>
          </w:tcPr>
          <w:p w14:paraId="509B3C3A" w14:textId="77777777" w:rsidR="006226BE" w:rsidRPr="007C4D65" w:rsidRDefault="006226BE"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Link with strategic goal </w:t>
            </w:r>
          </w:p>
        </w:tc>
        <w:tc>
          <w:tcPr>
            <w:tcW w:w="3641" w:type="pct"/>
            <w:gridSpan w:val="3"/>
            <w:shd w:val="clear" w:color="auto" w:fill="FFFFFF"/>
            <w:vAlign w:val="center"/>
          </w:tcPr>
          <w:p w14:paraId="4C5F8951" w14:textId="0E54457B" w:rsidR="006226BE" w:rsidRPr="007C4D65" w:rsidRDefault="006226BE" w:rsidP="006226BE">
            <w:pPr>
              <w:spacing w:after="160" w:line="259"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7. Strengthening environmental management</w:t>
            </w:r>
          </w:p>
        </w:tc>
      </w:tr>
      <w:tr w:rsidR="006226BE" w:rsidRPr="007C4D65" w14:paraId="39D9D5F9" w14:textId="77777777" w:rsidTr="00B6017F">
        <w:trPr>
          <w:trHeight w:val="567"/>
        </w:trPr>
        <w:tc>
          <w:tcPr>
            <w:tcW w:w="1359" w:type="pct"/>
            <w:shd w:val="clear" w:color="auto" w:fill="009D73"/>
            <w:vAlign w:val="center"/>
          </w:tcPr>
          <w:p w14:paraId="617B5E5F" w14:textId="77777777" w:rsidR="006226BE" w:rsidRPr="007C4D65" w:rsidRDefault="006226BE"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41" w:type="pct"/>
            <w:gridSpan w:val="3"/>
            <w:shd w:val="clear" w:color="auto" w:fill="FFFFFF"/>
            <w:vAlign w:val="center"/>
          </w:tcPr>
          <w:p w14:paraId="54E03EE6" w14:textId="19F2F91F" w:rsidR="006226BE" w:rsidRPr="007C4D65" w:rsidRDefault="006226BE" w:rsidP="006226BE">
            <w:pPr>
              <w:spacing w:after="160" w:line="276" w:lineRule="auto"/>
              <w:rPr>
                <w:rFonts w:asciiTheme="minorHAnsi" w:hAnsiTheme="minorHAnsi" w:cstheme="minorHAnsi"/>
                <w:b/>
                <w:bCs/>
                <w:sz w:val="18"/>
                <w:szCs w:val="18"/>
                <w:lang w:eastAsia="zh-TW"/>
              </w:rPr>
            </w:pPr>
            <w:r w:rsidRPr="007C4D65">
              <w:rPr>
                <w:rFonts w:asciiTheme="minorHAnsi" w:eastAsia="Calibri" w:hAnsiTheme="minorHAnsi" w:cstheme="minorHAnsi"/>
                <w:b/>
                <w:bCs/>
                <w:sz w:val="18"/>
                <w:szCs w:val="18"/>
                <w:lang w:eastAsia="en-US"/>
              </w:rPr>
              <w:t xml:space="preserve">7.3 </w:t>
            </w:r>
            <w:r w:rsidR="00274404" w:rsidRPr="007C4D65">
              <w:rPr>
                <w:rFonts w:asciiTheme="minorHAnsi" w:eastAsia="Calibri" w:hAnsiTheme="minorHAnsi" w:cstheme="minorHAnsi"/>
                <w:b/>
                <w:bCs/>
                <w:sz w:val="18"/>
                <w:szCs w:val="18"/>
                <w:lang w:eastAsia="en-US"/>
              </w:rPr>
              <w:t>Maximise the capacity and mutual coordination among institutions</w:t>
            </w:r>
          </w:p>
        </w:tc>
      </w:tr>
      <w:tr w:rsidR="006226BE" w:rsidRPr="007C4D65" w14:paraId="2D4A64DF" w14:textId="77777777" w:rsidTr="00B6017F">
        <w:trPr>
          <w:trHeight w:val="567"/>
        </w:trPr>
        <w:tc>
          <w:tcPr>
            <w:tcW w:w="1359" w:type="pct"/>
            <w:shd w:val="clear" w:color="auto" w:fill="009D73"/>
            <w:vAlign w:val="center"/>
          </w:tcPr>
          <w:p w14:paraId="74F271D1" w14:textId="40004832" w:rsidR="006226BE" w:rsidRPr="007C4D65" w:rsidRDefault="006226BE"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Measure</w:t>
            </w:r>
          </w:p>
        </w:tc>
        <w:tc>
          <w:tcPr>
            <w:tcW w:w="3641" w:type="pct"/>
            <w:gridSpan w:val="3"/>
            <w:shd w:val="clear" w:color="auto" w:fill="FFFFFF"/>
            <w:vAlign w:val="center"/>
          </w:tcPr>
          <w:p w14:paraId="14056041" w14:textId="1817B517" w:rsidR="006226BE" w:rsidRPr="007C4D65" w:rsidRDefault="006226BE" w:rsidP="006226BE">
            <w:pPr>
              <w:spacing w:after="160" w:line="276" w:lineRule="auto"/>
              <w:rPr>
                <w:rFonts w:asciiTheme="minorHAnsi" w:eastAsia="Calibri" w:hAnsiTheme="minorHAnsi" w:cstheme="minorHAnsi"/>
                <w:b/>
                <w:sz w:val="18"/>
                <w:szCs w:val="18"/>
                <w:lang w:eastAsia="x-none"/>
              </w:rPr>
            </w:pPr>
            <w:r w:rsidRPr="007C4D65">
              <w:rPr>
                <w:rFonts w:asciiTheme="minorHAnsi" w:eastAsia="Calibri" w:hAnsiTheme="minorHAnsi" w:cstheme="minorHAnsi"/>
                <w:b/>
                <w:sz w:val="18"/>
                <w:szCs w:val="18"/>
                <w:lang w:eastAsia="x-none"/>
              </w:rPr>
              <w:t>7.3.4</w:t>
            </w:r>
            <w:r w:rsidRPr="007C4D65">
              <w:rPr>
                <w:rFonts w:asciiTheme="minorHAnsi" w:eastAsia="Calibri" w:hAnsiTheme="minorHAnsi" w:cstheme="minorHAnsi"/>
                <w:bCs/>
                <w:sz w:val="18"/>
                <w:szCs w:val="18"/>
                <w:lang w:eastAsia="x-none"/>
              </w:rPr>
              <w:t xml:space="preserve"> </w:t>
            </w:r>
            <w:r w:rsidRPr="007C4D65">
              <w:rPr>
                <w:rFonts w:asciiTheme="minorHAnsi" w:eastAsia="Calibri" w:hAnsiTheme="minorHAnsi" w:cstheme="minorHAnsi"/>
                <w:b/>
                <w:sz w:val="18"/>
                <w:szCs w:val="18"/>
                <w:lang w:eastAsia="x-none"/>
              </w:rPr>
              <w:t xml:space="preserve">Creation of </w:t>
            </w:r>
            <w:r w:rsidR="004C4AFA" w:rsidRPr="007C4D65">
              <w:rPr>
                <w:rFonts w:asciiTheme="minorHAnsi" w:eastAsia="Calibri" w:hAnsiTheme="minorHAnsi" w:cstheme="minorHAnsi"/>
                <w:b/>
                <w:sz w:val="18"/>
                <w:szCs w:val="18"/>
                <w:lang w:eastAsia="x-none"/>
              </w:rPr>
              <w:t>effective</w:t>
            </w:r>
            <w:r w:rsidRPr="007C4D65">
              <w:rPr>
                <w:rFonts w:asciiTheme="minorHAnsi" w:eastAsia="Calibri" w:hAnsiTheme="minorHAnsi" w:cstheme="minorHAnsi"/>
                <w:b/>
                <w:sz w:val="18"/>
                <w:szCs w:val="18"/>
                <w:lang w:eastAsia="x-none"/>
              </w:rPr>
              <w:t xml:space="preserve"> teams in the</w:t>
            </w:r>
            <w:r w:rsidR="004C4AFA" w:rsidRPr="007C4D65">
              <w:rPr>
                <w:rFonts w:asciiTheme="minorHAnsi" w:eastAsia="Calibri" w:hAnsiTheme="minorHAnsi" w:cstheme="minorHAnsi"/>
                <w:b/>
                <w:sz w:val="18"/>
                <w:szCs w:val="18"/>
                <w:lang w:eastAsia="x-none"/>
              </w:rPr>
              <w:t xml:space="preserve"> environmental</w:t>
            </w:r>
            <w:r w:rsidRPr="007C4D65">
              <w:rPr>
                <w:rFonts w:asciiTheme="minorHAnsi" w:eastAsia="Calibri" w:hAnsiTheme="minorHAnsi" w:cstheme="minorHAnsi"/>
                <w:b/>
                <w:sz w:val="18"/>
                <w:szCs w:val="18"/>
                <w:lang w:eastAsia="x-none"/>
              </w:rPr>
              <w:t xml:space="preserve"> institutions, including teams for</w:t>
            </w:r>
            <w:r w:rsidR="004C4AFA" w:rsidRPr="007C4D65">
              <w:rPr>
                <w:rFonts w:asciiTheme="minorHAnsi" w:eastAsia="Calibri" w:hAnsiTheme="minorHAnsi" w:cstheme="minorHAnsi"/>
                <w:b/>
                <w:sz w:val="18"/>
                <w:szCs w:val="18"/>
                <w:lang w:eastAsia="x-none"/>
              </w:rPr>
              <w:t xml:space="preserve"> the</w:t>
            </w:r>
            <w:r w:rsidRPr="007C4D65">
              <w:rPr>
                <w:rFonts w:asciiTheme="minorHAnsi" w:eastAsia="Calibri" w:hAnsiTheme="minorHAnsi" w:cstheme="minorHAnsi"/>
                <w:b/>
                <w:sz w:val="18"/>
                <w:szCs w:val="18"/>
                <w:lang w:eastAsia="x-none"/>
              </w:rPr>
              <w:t xml:space="preserve"> preparation and </w:t>
            </w:r>
            <w:r w:rsidR="004C4AFA" w:rsidRPr="007C4D65">
              <w:rPr>
                <w:rFonts w:asciiTheme="minorHAnsi" w:eastAsia="Calibri" w:hAnsiTheme="minorHAnsi" w:cstheme="minorHAnsi"/>
                <w:b/>
                <w:sz w:val="18"/>
                <w:szCs w:val="18"/>
                <w:lang w:eastAsia="x-none"/>
              </w:rPr>
              <w:t>implementation</w:t>
            </w:r>
            <w:r w:rsidRPr="007C4D65">
              <w:rPr>
                <w:rFonts w:asciiTheme="minorHAnsi" w:eastAsia="Calibri" w:hAnsiTheme="minorHAnsi" w:cstheme="minorHAnsi"/>
                <w:b/>
                <w:sz w:val="18"/>
                <w:szCs w:val="18"/>
                <w:lang w:eastAsia="x-none"/>
              </w:rPr>
              <w:t xml:space="preserve"> of environmental projects</w:t>
            </w:r>
          </w:p>
        </w:tc>
      </w:tr>
      <w:tr w:rsidR="006226BE" w:rsidRPr="007C4D65" w14:paraId="1EA8853C"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A0C8EE3" w14:textId="77777777" w:rsidR="006226BE" w:rsidRPr="007C4D65" w:rsidRDefault="006226BE" w:rsidP="006226BE">
            <w:pPr>
              <w:spacing w:before="40" w:after="40" w:line="276" w:lineRule="auto"/>
              <w:ind w:left="406"/>
              <w:contextualSpacing/>
              <w:jc w:val="both"/>
              <w:rPr>
                <w:rFonts w:asciiTheme="minorHAnsi" w:eastAsia="Calibri" w:hAnsiTheme="minorHAnsi" w:cstheme="minorHAnsi"/>
                <w:sz w:val="18"/>
                <w:szCs w:val="18"/>
                <w:lang w:eastAsia="en-US"/>
              </w:rPr>
            </w:pPr>
            <w:r w:rsidRPr="007C4D65">
              <w:rPr>
                <w:rFonts w:asciiTheme="minorHAnsi" w:eastAsia="Calibri" w:hAnsiTheme="minorHAnsi" w:cstheme="minorHAnsi"/>
                <w:b/>
                <w:bCs/>
                <w:color w:val="FFFFFF"/>
                <w:sz w:val="18"/>
                <w:szCs w:val="18"/>
                <w:lang w:eastAsia="en-US" w:bidi="en-US"/>
              </w:rPr>
              <w:t>Description of the measure with the general area of intervention</w:t>
            </w:r>
          </w:p>
          <w:p w14:paraId="6ED26611" w14:textId="77777777" w:rsidR="006226BE" w:rsidRPr="007C4D65" w:rsidRDefault="006226BE"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3641" w:type="pct"/>
            <w:gridSpan w:val="3"/>
            <w:shd w:val="clear" w:color="auto" w:fill="FFFFFF"/>
            <w:vAlign w:val="center"/>
          </w:tcPr>
          <w:p w14:paraId="18A27E95" w14:textId="08A63432" w:rsidR="006226BE" w:rsidRPr="007C4D65" w:rsidRDefault="006226BE" w:rsidP="006226BE">
            <w:pPr>
              <w:spacing w:before="40" w:after="40" w:line="276" w:lineRule="auto"/>
              <w:rPr>
                <w:rFonts w:asciiTheme="minorHAnsi" w:eastAsia="Calibri" w:hAnsiTheme="minorHAnsi" w:cstheme="minorHAnsi"/>
                <w:bCs/>
                <w:sz w:val="18"/>
                <w:szCs w:val="18"/>
                <w:lang w:eastAsia="x-none"/>
              </w:rPr>
            </w:pPr>
            <w:bookmarkStart w:id="342" w:name="_Hlk96420749"/>
            <w:r w:rsidRPr="007C4D65">
              <w:rPr>
                <w:rFonts w:asciiTheme="minorHAnsi" w:eastAsia="Calibri" w:hAnsiTheme="minorHAnsi" w:cstheme="minorHAnsi"/>
                <w:sz w:val="18"/>
                <w:szCs w:val="18"/>
                <w:lang w:eastAsia="en-US"/>
              </w:rPr>
              <w:t xml:space="preserve">The aim of this measure is </w:t>
            </w:r>
            <w:bookmarkEnd w:id="342"/>
            <w:r w:rsidRPr="007C4D65">
              <w:rPr>
                <w:rFonts w:asciiTheme="minorHAnsi" w:eastAsia="Calibri" w:hAnsiTheme="minorHAnsi" w:cstheme="minorHAnsi"/>
                <w:sz w:val="18"/>
                <w:szCs w:val="18"/>
                <w:lang w:eastAsia="en-US"/>
              </w:rPr>
              <w:t>to create functional teams in all the</w:t>
            </w:r>
            <w:r w:rsidR="004C4AFA" w:rsidRPr="007C4D65">
              <w:rPr>
                <w:rFonts w:asciiTheme="minorHAnsi" w:eastAsia="Calibri" w:hAnsiTheme="minorHAnsi" w:cstheme="minorHAnsi"/>
                <w:sz w:val="18"/>
                <w:szCs w:val="18"/>
                <w:lang w:eastAsia="en-US"/>
              </w:rPr>
              <w:t xml:space="preserve"> environmental</w:t>
            </w:r>
            <w:r w:rsidRPr="007C4D65">
              <w:rPr>
                <w:rFonts w:asciiTheme="minorHAnsi" w:eastAsia="Calibri" w:hAnsiTheme="minorHAnsi" w:cstheme="minorHAnsi"/>
                <w:sz w:val="18"/>
                <w:szCs w:val="18"/>
                <w:lang w:eastAsia="en-US"/>
              </w:rPr>
              <w:t xml:space="preserve"> institutions </w:t>
            </w:r>
            <w:r w:rsidR="004C4AFA" w:rsidRPr="007C4D65">
              <w:rPr>
                <w:rFonts w:asciiTheme="minorHAnsi" w:eastAsia="Calibri" w:hAnsiTheme="minorHAnsi" w:cstheme="minorHAnsi"/>
                <w:sz w:val="18"/>
                <w:szCs w:val="18"/>
                <w:lang w:eastAsia="en-US"/>
              </w:rPr>
              <w:t>incl</w:t>
            </w:r>
            <w:r w:rsidRPr="007C4D65">
              <w:rPr>
                <w:rFonts w:asciiTheme="minorHAnsi" w:eastAsia="Calibri" w:hAnsiTheme="minorHAnsi" w:cstheme="minorHAnsi"/>
                <w:sz w:val="18"/>
                <w:szCs w:val="18"/>
                <w:lang w:eastAsia="en-US"/>
              </w:rPr>
              <w:t xml:space="preserve">uding teams with expertise </w:t>
            </w:r>
            <w:r w:rsidR="004C4AFA" w:rsidRPr="007C4D65">
              <w:rPr>
                <w:rFonts w:asciiTheme="minorHAnsi" w:eastAsia="Calibri" w:hAnsiTheme="minorHAnsi" w:cstheme="minorHAnsi"/>
                <w:sz w:val="18"/>
                <w:szCs w:val="18"/>
                <w:lang w:eastAsia="en-US"/>
              </w:rPr>
              <w:t>in the</w:t>
            </w:r>
            <w:r w:rsidRPr="007C4D65">
              <w:rPr>
                <w:rFonts w:asciiTheme="minorHAnsi" w:eastAsia="Calibri" w:hAnsiTheme="minorHAnsi" w:cstheme="minorHAnsi"/>
                <w:sz w:val="18"/>
                <w:szCs w:val="18"/>
                <w:lang w:eastAsia="en-US"/>
              </w:rPr>
              <w:t xml:space="preserve"> preparation and </w:t>
            </w:r>
            <w:r w:rsidR="004C4AFA" w:rsidRPr="007C4D65">
              <w:rPr>
                <w:rFonts w:asciiTheme="minorHAnsi" w:eastAsia="Calibri" w:hAnsiTheme="minorHAnsi" w:cstheme="minorHAnsi"/>
                <w:sz w:val="18"/>
                <w:szCs w:val="18"/>
                <w:lang w:eastAsia="en-US"/>
              </w:rPr>
              <w:t>implementation of projects</w:t>
            </w:r>
            <w:r w:rsidRPr="007C4D65">
              <w:rPr>
                <w:rFonts w:asciiTheme="minorHAnsi" w:eastAsia="Calibri" w:hAnsiTheme="minorHAnsi" w:cstheme="minorHAnsi"/>
                <w:sz w:val="18"/>
                <w:szCs w:val="18"/>
                <w:lang w:eastAsia="en-US"/>
              </w:rPr>
              <w:t>.</w:t>
            </w:r>
          </w:p>
          <w:p w14:paraId="2CDEDCE4" w14:textId="77777777" w:rsidR="006226BE" w:rsidRPr="007C4D65" w:rsidRDefault="006226BE" w:rsidP="006226BE">
            <w:pPr>
              <w:spacing w:before="40" w:after="40" w:line="276" w:lineRule="auto"/>
              <w:rPr>
                <w:rFonts w:asciiTheme="minorHAnsi" w:eastAsia="Calibri" w:hAnsiTheme="minorHAnsi" w:cstheme="minorHAnsi"/>
                <w:bCs/>
                <w:sz w:val="18"/>
                <w:szCs w:val="18"/>
                <w:lang w:eastAsia="x-none"/>
              </w:rPr>
            </w:pPr>
            <w:r w:rsidRPr="007C4D65">
              <w:rPr>
                <w:rFonts w:asciiTheme="minorHAnsi" w:eastAsia="Calibri" w:hAnsiTheme="minorHAnsi" w:cstheme="minorHAnsi"/>
                <w:sz w:val="18"/>
                <w:szCs w:val="18"/>
                <w:lang w:eastAsia="en-US"/>
              </w:rPr>
              <w:t>General areas of intervention</w:t>
            </w:r>
            <w:r w:rsidRPr="007C4D65">
              <w:rPr>
                <w:rFonts w:asciiTheme="minorHAnsi" w:eastAsia="Calibri" w:hAnsiTheme="minorHAnsi" w:cstheme="minorHAnsi"/>
                <w:bCs/>
                <w:sz w:val="18"/>
                <w:szCs w:val="18"/>
                <w:lang w:eastAsia="x-none"/>
              </w:rPr>
              <w:t>:</w:t>
            </w:r>
          </w:p>
          <w:p w14:paraId="7CCCEA98" w14:textId="4EABE9AF" w:rsidR="006226BE" w:rsidRPr="007C4D65" w:rsidRDefault="004C4AFA" w:rsidP="004C4AFA">
            <w:pPr>
              <w:spacing w:before="40" w:after="40" w:line="276" w:lineRule="auto"/>
              <w:contextualSpacing/>
              <w:rPr>
                <w:rFonts w:asciiTheme="minorHAnsi" w:eastAsia="Calibri" w:hAnsiTheme="minorHAnsi" w:cstheme="minorHAnsi"/>
                <w:bCs/>
                <w:sz w:val="18"/>
                <w:szCs w:val="18"/>
                <w:lang w:eastAsia="x-none"/>
              </w:rPr>
            </w:pPr>
            <w:r w:rsidRPr="007C4D65">
              <w:rPr>
                <w:rFonts w:asciiTheme="minorHAnsi" w:eastAsia="Calibri" w:hAnsiTheme="minorHAnsi" w:cstheme="minorHAnsi"/>
                <w:bCs/>
                <w:sz w:val="18"/>
                <w:szCs w:val="18"/>
                <w:lang w:eastAsia="x-none"/>
              </w:rPr>
              <w:lastRenderedPageBreak/>
              <w:t xml:space="preserve">1) </w:t>
            </w:r>
            <w:r w:rsidR="006226BE" w:rsidRPr="007C4D65">
              <w:rPr>
                <w:rFonts w:asciiTheme="minorHAnsi" w:eastAsia="Calibri" w:hAnsiTheme="minorHAnsi" w:cstheme="minorHAnsi"/>
                <w:bCs/>
                <w:sz w:val="18"/>
                <w:szCs w:val="18"/>
                <w:lang w:eastAsia="x-none"/>
              </w:rPr>
              <w:t xml:space="preserve">A detailed assessment of </w:t>
            </w:r>
            <w:r w:rsidR="006226BE" w:rsidRPr="007C4D65">
              <w:rPr>
                <w:rFonts w:asciiTheme="minorHAnsi" w:eastAsia="Calibri" w:hAnsiTheme="minorHAnsi" w:cstheme="minorHAnsi"/>
                <w:sz w:val="18"/>
                <w:szCs w:val="18"/>
                <w:lang w:eastAsia="en-US"/>
              </w:rPr>
              <w:t xml:space="preserve">needs for professional trainings in all </w:t>
            </w:r>
            <w:r w:rsidRPr="007C4D65">
              <w:rPr>
                <w:rFonts w:asciiTheme="minorHAnsi" w:eastAsia="Calibri" w:hAnsiTheme="minorHAnsi" w:cstheme="minorHAnsi"/>
                <w:sz w:val="18"/>
                <w:szCs w:val="18"/>
                <w:lang w:eastAsia="en-US"/>
              </w:rPr>
              <w:t>the</w:t>
            </w:r>
            <w:r w:rsidR="006226BE" w:rsidRPr="007C4D65">
              <w:rPr>
                <w:rFonts w:asciiTheme="minorHAnsi" w:eastAsia="Calibri" w:hAnsiTheme="minorHAnsi" w:cstheme="minorHAnsi"/>
                <w:sz w:val="18"/>
                <w:szCs w:val="18"/>
                <w:lang w:eastAsia="en-US"/>
              </w:rPr>
              <w:t xml:space="preserve"> institutions</w:t>
            </w:r>
            <w:r w:rsidR="006226BE" w:rsidRPr="007C4D65">
              <w:rPr>
                <w:rFonts w:asciiTheme="minorHAnsi" w:eastAsia="Calibri" w:hAnsiTheme="minorHAnsi" w:cstheme="minorHAnsi"/>
                <w:bCs/>
                <w:sz w:val="18"/>
                <w:szCs w:val="18"/>
                <w:lang w:eastAsia="x-none"/>
              </w:rPr>
              <w:t xml:space="preserve">, especially </w:t>
            </w:r>
            <w:r w:rsidRPr="007C4D65">
              <w:rPr>
                <w:rFonts w:asciiTheme="minorHAnsi" w:eastAsia="Calibri" w:hAnsiTheme="minorHAnsi" w:cstheme="minorHAnsi"/>
                <w:bCs/>
                <w:sz w:val="18"/>
                <w:szCs w:val="18"/>
                <w:lang w:eastAsia="x-none"/>
              </w:rPr>
              <w:t>focusing on the</w:t>
            </w:r>
            <w:r w:rsidR="006226BE" w:rsidRPr="007C4D65">
              <w:rPr>
                <w:rFonts w:asciiTheme="minorHAnsi" w:eastAsia="Calibri" w:hAnsiTheme="minorHAnsi" w:cstheme="minorHAnsi"/>
                <w:bCs/>
                <w:sz w:val="18"/>
                <w:szCs w:val="18"/>
                <w:lang w:eastAsia="x-none"/>
              </w:rPr>
              <w:t xml:space="preserve"> needs for expertise in</w:t>
            </w:r>
            <w:r w:rsidRPr="007C4D65">
              <w:rPr>
                <w:rFonts w:asciiTheme="minorHAnsi" w:eastAsia="Calibri" w:hAnsiTheme="minorHAnsi" w:cstheme="minorHAnsi"/>
                <w:bCs/>
                <w:sz w:val="18"/>
                <w:szCs w:val="18"/>
                <w:lang w:eastAsia="x-none"/>
              </w:rPr>
              <w:t xml:space="preserve"> the</w:t>
            </w:r>
            <w:r w:rsidR="006226BE" w:rsidRPr="007C4D65">
              <w:rPr>
                <w:rFonts w:asciiTheme="minorHAnsi" w:eastAsia="Calibri" w:hAnsiTheme="minorHAnsi" w:cstheme="minorHAnsi"/>
                <w:bCs/>
                <w:sz w:val="18"/>
                <w:szCs w:val="18"/>
                <w:lang w:eastAsia="x-none"/>
              </w:rPr>
              <w:t xml:space="preserve"> preparation and </w:t>
            </w:r>
            <w:r w:rsidRPr="007C4D65">
              <w:rPr>
                <w:rFonts w:asciiTheme="minorHAnsi" w:eastAsia="Calibri" w:hAnsiTheme="minorHAnsi" w:cstheme="minorHAnsi"/>
                <w:bCs/>
                <w:sz w:val="18"/>
                <w:szCs w:val="18"/>
                <w:lang w:eastAsia="x-none"/>
              </w:rPr>
              <w:t>implementation</w:t>
            </w:r>
            <w:r w:rsidR="006226BE" w:rsidRPr="007C4D65">
              <w:rPr>
                <w:rFonts w:asciiTheme="minorHAnsi" w:eastAsia="Calibri" w:hAnsiTheme="minorHAnsi" w:cstheme="minorHAnsi"/>
                <w:bCs/>
                <w:sz w:val="18"/>
                <w:szCs w:val="18"/>
                <w:lang w:eastAsia="x-none"/>
              </w:rPr>
              <w:t xml:space="preserve"> of environmental projects</w:t>
            </w:r>
            <w:r w:rsidRPr="007C4D65">
              <w:rPr>
                <w:rFonts w:asciiTheme="minorHAnsi" w:eastAsia="Calibri" w:hAnsiTheme="minorHAnsi" w:cstheme="minorHAnsi"/>
                <w:bCs/>
                <w:sz w:val="18"/>
                <w:szCs w:val="18"/>
                <w:lang w:eastAsia="x-none"/>
              </w:rPr>
              <w:t>,</w:t>
            </w:r>
            <w:r w:rsidR="006226BE" w:rsidRPr="007C4D65">
              <w:rPr>
                <w:rFonts w:asciiTheme="minorHAnsi" w:eastAsia="Calibri" w:hAnsiTheme="minorHAnsi" w:cstheme="minorHAnsi"/>
                <w:bCs/>
                <w:sz w:val="18"/>
                <w:szCs w:val="18"/>
                <w:lang w:eastAsia="x-none"/>
              </w:rPr>
              <w:t xml:space="preserve"> and harmonization with the existing spatial plans and strategic </w:t>
            </w:r>
            <w:proofErr w:type="gramStart"/>
            <w:r w:rsidR="006226BE" w:rsidRPr="007C4D65">
              <w:rPr>
                <w:rFonts w:asciiTheme="minorHAnsi" w:eastAsia="Calibri" w:hAnsiTheme="minorHAnsi" w:cstheme="minorHAnsi"/>
                <w:bCs/>
                <w:sz w:val="18"/>
                <w:szCs w:val="18"/>
                <w:lang w:eastAsia="x-none"/>
              </w:rPr>
              <w:t>documents</w:t>
            </w:r>
            <w:r w:rsidR="00123950" w:rsidRPr="007C4D65">
              <w:rPr>
                <w:rFonts w:asciiTheme="minorHAnsi" w:eastAsia="Calibri" w:hAnsiTheme="minorHAnsi" w:cstheme="minorHAnsi"/>
                <w:bCs/>
                <w:sz w:val="18"/>
                <w:szCs w:val="18"/>
                <w:lang w:eastAsia="x-none"/>
              </w:rPr>
              <w:t>;</w:t>
            </w:r>
            <w:proofErr w:type="gramEnd"/>
          </w:p>
          <w:p w14:paraId="5C50CC44" w14:textId="31C91720" w:rsidR="006226BE" w:rsidRPr="007C4D65" w:rsidRDefault="004C4AFA" w:rsidP="004C4AFA">
            <w:pPr>
              <w:spacing w:before="40" w:after="40" w:line="276" w:lineRule="auto"/>
              <w:contextualSpacing/>
              <w:rPr>
                <w:rFonts w:asciiTheme="minorHAnsi" w:eastAsia="Calibri" w:hAnsiTheme="minorHAnsi" w:cstheme="minorHAnsi"/>
                <w:bCs/>
                <w:sz w:val="18"/>
                <w:szCs w:val="18"/>
                <w:lang w:eastAsia="x-none"/>
              </w:rPr>
            </w:pPr>
            <w:r w:rsidRPr="007C4D65">
              <w:rPr>
                <w:rFonts w:asciiTheme="minorHAnsi" w:eastAsia="Calibri" w:hAnsiTheme="minorHAnsi" w:cstheme="minorHAnsi"/>
                <w:bCs/>
                <w:sz w:val="18"/>
                <w:szCs w:val="18"/>
                <w:lang w:eastAsia="x-none"/>
              </w:rPr>
              <w:t xml:space="preserve">2) </w:t>
            </w:r>
            <w:r w:rsidR="006226BE" w:rsidRPr="007C4D65">
              <w:rPr>
                <w:rFonts w:asciiTheme="minorHAnsi" w:eastAsia="Calibri" w:hAnsiTheme="minorHAnsi" w:cstheme="minorHAnsi"/>
                <w:bCs/>
                <w:sz w:val="18"/>
                <w:szCs w:val="18"/>
                <w:lang w:eastAsia="x-none"/>
              </w:rPr>
              <w:t xml:space="preserve">Based on the assessment of </w:t>
            </w:r>
            <w:r w:rsidRPr="007C4D65">
              <w:rPr>
                <w:rFonts w:asciiTheme="minorHAnsi" w:eastAsia="Calibri" w:hAnsiTheme="minorHAnsi" w:cstheme="minorHAnsi"/>
                <w:sz w:val="18"/>
                <w:szCs w:val="18"/>
                <w:lang w:eastAsia="en-US"/>
              </w:rPr>
              <w:t xml:space="preserve">the </w:t>
            </w:r>
            <w:r w:rsidR="006226BE" w:rsidRPr="007C4D65">
              <w:rPr>
                <w:rFonts w:asciiTheme="minorHAnsi" w:eastAsia="Calibri" w:hAnsiTheme="minorHAnsi" w:cstheme="minorHAnsi"/>
                <w:sz w:val="18"/>
                <w:szCs w:val="18"/>
                <w:lang w:eastAsia="en-US"/>
              </w:rPr>
              <w:t>needs for professional trainings</w:t>
            </w:r>
            <w:r w:rsidR="006226BE" w:rsidRPr="007C4D65">
              <w:rPr>
                <w:rFonts w:asciiTheme="minorHAnsi" w:eastAsia="Calibri" w:hAnsiTheme="minorHAnsi" w:cstheme="minorHAnsi"/>
                <w:bCs/>
                <w:sz w:val="18"/>
                <w:szCs w:val="18"/>
                <w:lang w:eastAsia="x-none"/>
              </w:rPr>
              <w:t xml:space="preserve">, </w:t>
            </w:r>
            <w:r w:rsidRPr="007C4D65">
              <w:rPr>
                <w:rFonts w:asciiTheme="minorHAnsi" w:eastAsia="Calibri" w:hAnsiTheme="minorHAnsi" w:cstheme="minorHAnsi"/>
                <w:bCs/>
                <w:sz w:val="18"/>
                <w:szCs w:val="18"/>
                <w:lang w:eastAsia="x-none"/>
              </w:rPr>
              <w:t>prepare</w:t>
            </w:r>
            <w:r w:rsidR="006226BE" w:rsidRPr="007C4D65">
              <w:rPr>
                <w:rFonts w:asciiTheme="minorHAnsi" w:eastAsia="Calibri" w:hAnsiTheme="minorHAnsi" w:cstheme="minorHAnsi"/>
                <w:bCs/>
                <w:sz w:val="18"/>
                <w:szCs w:val="18"/>
                <w:lang w:eastAsia="x-none"/>
              </w:rPr>
              <w:t xml:space="preserve"> and </w:t>
            </w:r>
            <w:r w:rsidRPr="007C4D65">
              <w:rPr>
                <w:rFonts w:asciiTheme="minorHAnsi" w:eastAsia="Calibri" w:hAnsiTheme="minorHAnsi" w:cstheme="minorHAnsi"/>
                <w:bCs/>
                <w:sz w:val="18"/>
                <w:szCs w:val="18"/>
                <w:lang w:eastAsia="x-none"/>
              </w:rPr>
              <w:t>implement</w:t>
            </w:r>
            <w:r w:rsidR="006226BE" w:rsidRPr="007C4D65">
              <w:rPr>
                <w:rFonts w:asciiTheme="minorHAnsi" w:eastAsia="Calibri" w:hAnsiTheme="minorHAnsi" w:cstheme="minorHAnsi"/>
                <w:bCs/>
                <w:sz w:val="18"/>
                <w:szCs w:val="18"/>
                <w:lang w:eastAsia="x-none"/>
              </w:rPr>
              <w:t xml:space="preserve"> of </w:t>
            </w:r>
            <w:r w:rsidRPr="007C4D65">
              <w:rPr>
                <w:rFonts w:asciiTheme="minorHAnsi" w:eastAsia="Calibri" w:hAnsiTheme="minorHAnsi" w:cstheme="minorHAnsi"/>
                <w:bCs/>
                <w:sz w:val="18"/>
                <w:szCs w:val="18"/>
                <w:lang w:eastAsia="x-none"/>
              </w:rPr>
              <w:t>a training plan on the p</w:t>
            </w:r>
            <w:r w:rsidR="006226BE" w:rsidRPr="007C4D65">
              <w:rPr>
                <w:rFonts w:asciiTheme="minorHAnsi" w:eastAsia="Calibri" w:hAnsiTheme="minorHAnsi" w:cstheme="minorHAnsi"/>
                <w:bCs/>
                <w:sz w:val="18"/>
                <w:szCs w:val="18"/>
                <w:lang w:eastAsia="x-none"/>
              </w:rPr>
              <w:t xml:space="preserve">rofessional </w:t>
            </w:r>
            <w:r w:rsidRPr="007C4D65">
              <w:rPr>
                <w:rFonts w:asciiTheme="minorHAnsi" w:eastAsia="Calibri" w:hAnsiTheme="minorHAnsi" w:cstheme="minorHAnsi"/>
                <w:bCs/>
                <w:sz w:val="18"/>
                <w:szCs w:val="18"/>
                <w:lang w:eastAsia="x-none"/>
              </w:rPr>
              <w:t>capacity building</w:t>
            </w:r>
            <w:r w:rsidR="006226BE" w:rsidRPr="007C4D65">
              <w:rPr>
                <w:rFonts w:asciiTheme="minorHAnsi" w:eastAsia="Calibri" w:hAnsiTheme="minorHAnsi" w:cstheme="minorHAnsi"/>
                <w:bCs/>
                <w:sz w:val="18"/>
                <w:szCs w:val="18"/>
                <w:lang w:eastAsia="x-none"/>
              </w:rPr>
              <w:t xml:space="preserve"> </w:t>
            </w:r>
            <w:r w:rsidRPr="007C4D65">
              <w:rPr>
                <w:rFonts w:asciiTheme="minorHAnsi" w:eastAsia="Calibri" w:hAnsiTheme="minorHAnsi" w:cstheme="minorHAnsi"/>
                <w:bCs/>
                <w:sz w:val="18"/>
                <w:szCs w:val="18"/>
                <w:lang w:eastAsia="x-none"/>
              </w:rPr>
              <w:t>in</w:t>
            </w:r>
            <w:r w:rsidR="006226BE" w:rsidRPr="007C4D65">
              <w:rPr>
                <w:rFonts w:asciiTheme="minorHAnsi" w:eastAsia="Calibri" w:hAnsiTheme="minorHAnsi" w:cstheme="minorHAnsi"/>
                <w:bCs/>
                <w:sz w:val="18"/>
                <w:szCs w:val="18"/>
                <w:lang w:eastAsia="x-none"/>
              </w:rPr>
              <w:t xml:space="preserve"> the </w:t>
            </w:r>
            <w:r w:rsidR="006226BE" w:rsidRPr="007C4D65">
              <w:rPr>
                <w:rFonts w:asciiTheme="minorHAnsi" w:eastAsia="Calibri" w:hAnsiTheme="minorHAnsi" w:cstheme="minorHAnsi"/>
                <w:sz w:val="18"/>
                <w:szCs w:val="18"/>
                <w:lang w:eastAsia="en-US"/>
              </w:rPr>
              <w:t xml:space="preserve">institutions </w:t>
            </w:r>
            <w:r w:rsidR="006226BE" w:rsidRPr="007C4D65">
              <w:rPr>
                <w:rFonts w:asciiTheme="minorHAnsi" w:eastAsia="Calibri" w:hAnsiTheme="minorHAnsi" w:cstheme="minorHAnsi"/>
                <w:bCs/>
                <w:sz w:val="18"/>
                <w:szCs w:val="18"/>
                <w:lang w:eastAsia="x-none"/>
              </w:rPr>
              <w:t xml:space="preserve">in cooperation with professional institutions (Civil Service Agency </w:t>
            </w:r>
            <w:r w:rsidRPr="007C4D65">
              <w:rPr>
                <w:rFonts w:asciiTheme="minorHAnsi" w:eastAsia="Calibri" w:hAnsiTheme="minorHAnsi" w:cstheme="minorHAnsi"/>
                <w:bCs/>
                <w:sz w:val="18"/>
                <w:szCs w:val="18"/>
                <w:lang w:eastAsia="x-none"/>
              </w:rPr>
              <w:t xml:space="preserve">of the </w:t>
            </w:r>
            <w:r w:rsidR="006226BE" w:rsidRPr="007C4D65">
              <w:rPr>
                <w:rFonts w:asciiTheme="minorHAnsi" w:eastAsia="Calibri" w:hAnsiTheme="minorHAnsi" w:cstheme="minorHAnsi"/>
                <w:bCs/>
                <w:sz w:val="18"/>
                <w:szCs w:val="18"/>
                <w:lang w:eastAsia="x-none"/>
              </w:rPr>
              <w:t>F</w:t>
            </w:r>
            <w:r w:rsidRPr="007C4D65">
              <w:rPr>
                <w:rFonts w:asciiTheme="minorHAnsi" w:eastAsia="Calibri" w:hAnsiTheme="minorHAnsi" w:cstheme="minorHAnsi"/>
                <w:bCs/>
                <w:sz w:val="18"/>
                <w:szCs w:val="18"/>
                <w:lang w:eastAsia="x-none"/>
              </w:rPr>
              <w:t xml:space="preserve">ederation of </w:t>
            </w:r>
            <w:r w:rsidR="006226BE" w:rsidRPr="007C4D65">
              <w:rPr>
                <w:rFonts w:asciiTheme="minorHAnsi" w:eastAsia="Calibri" w:hAnsiTheme="minorHAnsi" w:cstheme="minorHAnsi"/>
                <w:bCs/>
                <w:sz w:val="18"/>
                <w:szCs w:val="18"/>
                <w:lang w:eastAsia="x-none"/>
              </w:rPr>
              <w:t xml:space="preserve">BiH). The training plan </w:t>
            </w:r>
            <w:r w:rsidRPr="007C4D65">
              <w:rPr>
                <w:rFonts w:asciiTheme="minorHAnsi" w:eastAsia="Calibri" w:hAnsiTheme="minorHAnsi" w:cstheme="minorHAnsi"/>
                <w:bCs/>
                <w:sz w:val="18"/>
                <w:szCs w:val="18"/>
                <w:lang w:eastAsia="x-none"/>
              </w:rPr>
              <w:t>should include</w:t>
            </w:r>
            <w:r w:rsidR="006226BE" w:rsidRPr="007C4D65">
              <w:rPr>
                <w:rFonts w:asciiTheme="minorHAnsi" w:eastAsia="Calibri" w:hAnsiTheme="minorHAnsi" w:cstheme="minorHAnsi"/>
                <w:bCs/>
                <w:sz w:val="18"/>
                <w:szCs w:val="18"/>
                <w:lang w:eastAsia="x-none"/>
              </w:rPr>
              <w:t xml:space="preserve">: </w:t>
            </w:r>
          </w:p>
          <w:p w14:paraId="22B94112" w14:textId="4DB1FA13" w:rsidR="006226BE" w:rsidRPr="007C4D65" w:rsidRDefault="006226BE">
            <w:pPr>
              <w:numPr>
                <w:ilvl w:val="0"/>
                <w:numId w:val="163"/>
              </w:numPr>
              <w:spacing w:before="40" w:after="40" w:line="276" w:lineRule="auto"/>
              <w:ind w:left="690" w:hanging="284"/>
              <w:contextualSpacing/>
              <w:rPr>
                <w:rFonts w:asciiTheme="minorHAnsi" w:eastAsia="Calibri" w:hAnsiTheme="minorHAnsi" w:cstheme="minorHAnsi"/>
                <w:bCs/>
                <w:sz w:val="18"/>
                <w:szCs w:val="18"/>
                <w:lang w:eastAsia="x-none"/>
              </w:rPr>
            </w:pPr>
            <w:r w:rsidRPr="007C4D65">
              <w:rPr>
                <w:rFonts w:asciiTheme="minorHAnsi" w:eastAsia="Calibri" w:hAnsiTheme="minorHAnsi" w:cstheme="minorHAnsi"/>
                <w:bCs/>
                <w:sz w:val="18"/>
                <w:szCs w:val="18"/>
                <w:lang w:eastAsia="x-none"/>
              </w:rPr>
              <w:t>thematic training</w:t>
            </w:r>
            <w:r w:rsidR="004C4AFA" w:rsidRPr="007C4D65">
              <w:rPr>
                <w:rFonts w:asciiTheme="minorHAnsi" w:eastAsia="Calibri" w:hAnsiTheme="minorHAnsi" w:cstheme="minorHAnsi"/>
                <w:bCs/>
                <w:sz w:val="18"/>
                <w:szCs w:val="18"/>
                <w:lang w:eastAsia="x-none"/>
              </w:rPr>
              <w:t>s</w:t>
            </w:r>
            <w:r w:rsidRPr="007C4D65">
              <w:rPr>
                <w:rFonts w:asciiTheme="minorHAnsi" w:eastAsia="Calibri" w:hAnsiTheme="minorHAnsi" w:cstheme="minorHAnsi"/>
                <w:bCs/>
                <w:sz w:val="18"/>
                <w:szCs w:val="18"/>
                <w:lang w:eastAsia="x-none"/>
              </w:rPr>
              <w:t xml:space="preserve"> and workshops aimed at informing employees of the line ministries about new provisions of the legislative framework aligned with EU </w:t>
            </w:r>
            <w:proofErr w:type="gramStart"/>
            <w:r w:rsidRPr="007C4D65">
              <w:rPr>
                <w:rFonts w:asciiTheme="minorHAnsi" w:eastAsia="Calibri" w:hAnsiTheme="minorHAnsi" w:cstheme="minorHAnsi"/>
                <w:bCs/>
                <w:sz w:val="18"/>
                <w:szCs w:val="18"/>
                <w:lang w:eastAsia="x-none"/>
              </w:rPr>
              <w:t>Directives</w:t>
            </w:r>
            <w:r w:rsidR="00123950" w:rsidRPr="007C4D65">
              <w:rPr>
                <w:rFonts w:asciiTheme="minorHAnsi" w:eastAsia="Calibri" w:hAnsiTheme="minorHAnsi" w:cstheme="minorHAnsi"/>
                <w:bCs/>
                <w:sz w:val="18"/>
                <w:szCs w:val="18"/>
                <w:lang w:eastAsia="x-none"/>
              </w:rPr>
              <w:t>;</w:t>
            </w:r>
            <w:proofErr w:type="gramEnd"/>
          </w:p>
          <w:p w14:paraId="38020663" w14:textId="28834AE6" w:rsidR="006226BE" w:rsidRPr="007C4D65" w:rsidRDefault="006226BE">
            <w:pPr>
              <w:numPr>
                <w:ilvl w:val="0"/>
                <w:numId w:val="163"/>
              </w:numPr>
              <w:spacing w:before="40" w:after="40" w:line="276" w:lineRule="auto"/>
              <w:ind w:left="690" w:hanging="284"/>
              <w:contextualSpacing/>
              <w:rPr>
                <w:rFonts w:asciiTheme="minorHAnsi" w:eastAsia="Calibri" w:hAnsiTheme="minorHAnsi" w:cstheme="minorHAnsi"/>
                <w:bCs/>
                <w:sz w:val="18"/>
                <w:szCs w:val="18"/>
                <w:lang w:eastAsia="x-none"/>
              </w:rPr>
            </w:pPr>
            <w:r w:rsidRPr="007C4D65">
              <w:rPr>
                <w:rFonts w:asciiTheme="minorHAnsi" w:eastAsia="Calibri" w:hAnsiTheme="minorHAnsi" w:cstheme="minorHAnsi"/>
                <w:bCs/>
                <w:sz w:val="18"/>
                <w:szCs w:val="18"/>
                <w:lang w:eastAsia="x-none"/>
              </w:rPr>
              <w:t xml:space="preserve">training of staff who will be </w:t>
            </w:r>
            <w:r w:rsidR="004C4AFA" w:rsidRPr="007C4D65">
              <w:rPr>
                <w:rFonts w:asciiTheme="minorHAnsi" w:eastAsia="Calibri" w:hAnsiTheme="minorHAnsi" w:cstheme="minorHAnsi"/>
                <w:bCs/>
                <w:sz w:val="18"/>
                <w:szCs w:val="18"/>
                <w:lang w:eastAsia="x-none"/>
              </w:rPr>
              <w:t>involved in drafting</w:t>
            </w:r>
            <w:r w:rsidRPr="007C4D65">
              <w:rPr>
                <w:rFonts w:asciiTheme="minorHAnsi" w:eastAsia="Calibri" w:hAnsiTheme="minorHAnsi" w:cstheme="minorHAnsi"/>
                <w:bCs/>
                <w:sz w:val="18"/>
                <w:szCs w:val="18"/>
                <w:lang w:eastAsia="x-none"/>
              </w:rPr>
              <w:t xml:space="preserve"> of new </w:t>
            </w:r>
            <w:r w:rsidR="004C4AFA" w:rsidRPr="007C4D65">
              <w:rPr>
                <w:rFonts w:asciiTheme="minorHAnsi" w:eastAsia="Calibri" w:hAnsiTheme="minorHAnsi" w:cstheme="minorHAnsi"/>
                <w:bCs/>
                <w:sz w:val="18"/>
                <w:szCs w:val="18"/>
                <w:lang w:eastAsia="x-none"/>
              </w:rPr>
              <w:t>laws and regulations ahead of the</w:t>
            </w:r>
            <w:r w:rsidRPr="007C4D65">
              <w:rPr>
                <w:rFonts w:asciiTheme="minorHAnsi" w:eastAsia="Calibri" w:hAnsiTheme="minorHAnsi" w:cstheme="minorHAnsi"/>
                <w:bCs/>
                <w:sz w:val="18"/>
                <w:szCs w:val="18"/>
                <w:lang w:eastAsia="x-none"/>
              </w:rPr>
              <w:t xml:space="preserve"> adoption of new regulations in order to inform them about the provisions which have to be transposed into the legislation of </w:t>
            </w:r>
            <w:r w:rsidRPr="007C4D65">
              <w:rPr>
                <w:rFonts w:asciiTheme="minorHAnsi" w:eastAsia="Calibri" w:hAnsiTheme="minorHAnsi" w:cstheme="minorHAnsi"/>
                <w:sz w:val="18"/>
                <w:szCs w:val="18"/>
                <w:lang w:eastAsia="en-US"/>
              </w:rPr>
              <w:t xml:space="preserve">institutions of the Federation of </w:t>
            </w:r>
            <w:proofErr w:type="gramStart"/>
            <w:r w:rsidR="004C4AFA" w:rsidRPr="007C4D65">
              <w:rPr>
                <w:rFonts w:asciiTheme="minorHAnsi" w:eastAsia="Calibri" w:hAnsiTheme="minorHAnsi" w:cstheme="minorHAnsi"/>
                <w:sz w:val="18"/>
                <w:szCs w:val="18"/>
                <w:lang w:eastAsia="en-US"/>
              </w:rPr>
              <w:t>BiH</w:t>
            </w:r>
            <w:r w:rsidR="00123950" w:rsidRPr="007C4D65">
              <w:rPr>
                <w:rFonts w:asciiTheme="minorHAnsi" w:eastAsia="Calibri" w:hAnsiTheme="minorHAnsi" w:cstheme="minorHAnsi"/>
                <w:bCs/>
                <w:sz w:val="18"/>
                <w:szCs w:val="18"/>
                <w:lang w:eastAsia="x-none"/>
              </w:rPr>
              <w:t>;</w:t>
            </w:r>
            <w:proofErr w:type="gramEnd"/>
          </w:p>
          <w:p w14:paraId="40BBDC4E" w14:textId="70D64038" w:rsidR="006226BE" w:rsidRPr="007C4D65" w:rsidRDefault="006226BE">
            <w:pPr>
              <w:numPr>
                <w:ilvl w:val="0"/>
                <w:numId w:val="163"/>
              </w:numPr>
              <w:spacing w:before="40" w:after="40" w:line="276" w:lineRule="auto"/>
              <w:ind w:left="690" w:hanging="284"/>
              <w:contextualSpacing/>
              <w:rPr>
                <w:rFonts w:asciiTheme="minorHAnsi" w:eastAsia="Calibri" w:hAnsiTheme="minorHAnsi" w:cstheme="minorHAnsi"/>
                <w:bCs/>
                <w:sz w:val="18"/>
                <w:szCs w:val="18"/>
                <w:lang w:eastAsia="x-none"/>
              </w:rPr>
            </w:pPr>
            <w:r w:rsidRPr="007C4D65">
              <w:rPr>
                <w:rFonts w:asciiTheme="minorHAnsi" w:eastAsia="Calibri" w:hAnsiTheme="minorHAnsi" w:cstheme="minorHAnsi"/>
                <w:bCs/>
                <w:sz w:val="18"/>
                <w:szCs w:val="18"/>
                <w:lang w:eastAsia="x-none"/>
              </w:rPr>
              <w:t>training</w:t>
            </w:r>
            <w:r w:rsidR="00A8033D" w:rsidRPr="007C4D65">
              <w:rPr>
                <w:rFonts w:asciiTheme="minorHAnsi" w:eastAsia="Calibri" w:hAnsiTheme="minorHAnsi" w:cstheme="minorHAnsi"/>
                <w:bCs/>
                <w:sz w:val="18"/>
                <w:szCs w:val="18"/>
                <w:lang w:eastAsia="x-none"/>
              </w:rPr>
              <w:t>s</w:t>
            </w:r>
            <w:r w:rsidRPr="007C4D65">
              <w:rPr>
                <w:rFonts w:asciiTheme="minorHAnsi" w:eastAsia="Calibri" w:hAnsiTheme="minorHAnsi" w:cstheme="minorHAnsi"/>
                <w:bCs/>
                <w:sz w:val="18"/>
                <w:szCs w:val="18"/>
                <w:lang w:eastAsia="x-none"/>
              </w:rPr>
              <w:t xml:space="preserve"> for </w:t>
            </w:r>
            <w:r w:rsidR="004C4AFA" w:rsidRPr="007C4D65">
              <w:rPr>
                <w:rFonts w:asciiTheme="minorHAnsi" w:eastAsia="Calibri" w:hAnsiTheme="minorHAnsi" w:cstheme="minorHAnsi"/>
                <w:bCs/>
                <w:sz w:val="18"/>
                <w:szCs w:val="18"/>
                <w:lang w:eastAsia="x-none"/>
              </w:rPr>
              <w:t xml:space="preserve">the competent </w:t>
            </w:r>
            <w:r w:rsidRPr="007C4D65">
              <w:rPr>
                <w:rFonts w:asciiTheme="minorHAnsi" w:eastAsia="Calibri" w:hAnsiTheme="minorHAnsi" w:cstheme="minorHAnsi"/>
                <w:bCs/>
                <w:sz w:val="18"/>
                <w:szCs w:val="18"/>
                <w:lang w:eastAsia="x-none"/>
              </w:rPr>
              <w:t xml:space="preserve">institutions including inspectorates, </w:t>
            </w:r>
            <w:r w:rsidR="004C4AFA" w:rsidRPr="007C4D65">
              <w:rPr>
                <w:rFonts w:asciiTheme="minorHAnsi" w:eastAsia="Calibri" w:hAnsiTheme="minorHAnsi" w:cstheme="minorHAnsi"/>
                <w:bCs/>
                <w:sz w:val="18"/>
                <w:szCs w:val="18"/>
                <w:lang w:eastAsia="x-none"/>
              </w:rPr>
              <w:t>on</w:t>
            </w:r>
            <w:r w:rsidRPr="007C4D65">
              <w:rPr>
                <w:rFonts w:asciiTheme="minorHAnsi" w:eastAsia="Calibri" w:hAnsiTheme="minorHAnsi" w:cstheme="minorHAnsi"/>
                <w:bCs/>
                <w:sz w:val="18"/>
                <w:szCs w:val="18"/>
                <w:lang w:eastAsia="x-none"/>
              </w:rPr>
              <w:t xml:space="preserve"> detection of environmental offences through regular monitoring and control, as well as effective cooperation with third </w:t>
            </w:r>
            <w:proofErr w:type="gramStart"/>
            <w:r w:rsidRPr="007C4D65">
              <w:rPr>
                <w:rFonts w:asciiTheme="minorHAnsi" w:eastAsia="Calibri" w:hAnsiTheme="minorHAnsi" w:cstheme="minorHAnsi"/>
                <w:bCs/>
                <w:sz w:val="18"/>
                <w:szCs w:val="18"/>
                <w:lang w:eastAsia="x-none"/>
              </w:rPr>
              <w:t>parties</w:t>
            </w:r>
            <w:r w:rsidR="00123950" w:rsidRPr="007C4D65">
              <w:rPr>
                <w:rFonts w:asciiTheme="minorHAnsi" w:eastAsia="Calibri" w:hAnsiTheme="minorHAnsi" w:cstheme="minorHAnsi"/>
                <w:bCs/>
                <w:sz w:val="18"/>
                <w:szCs w:val="18"/>
                <w:lang w:eastAsia="x-none"/>
              </w:rPr>
              <w:t>;</w:t>
            </w:r>
            <w:proofErr w:type="gramEnd"/>
          </w:p>
          <w:p w14:paraId="01FF7C19" w14:textId="09A922FF" w:rsidR="006226BE" w:rsidRPr="007C4D65" w:rsidRDefault="006226BE">
            <w:pPr>
              <w:numPr>
                <w:ilvl w:val="0"/>
                <w:numId w:val="163"/>
              </w:numPr>
              <w:spacing w:before="40" w:after="40" w:line="276" w:lineRule="auto"/>
              <w:ind w:left="690" w:hanging="284"/>
              <w:contextualSpacing/>
              <w:rPr>
                <w:rFonts w:asciiTheme="minorHAnsi" w:eastAsia="Calibri" w:hAnsiTheme="minorHAnsi" w:cstheme="minorHAnsi"/>
                <w:bCs/>
                <w:sz w:val="18"/>
                <w:szCs w:val="18"/>
                <w:lang w:eastAsia="x-none"/>
              </w:rPr>
            </w:pPr>
            <w:r w:rsidRPr="007C4D65">
              <w:rPr>
                <w:rFonts w:asciiTheme="minorHAnsi" w:eastAsia="Calibri" w:hAnsiTheme="minorHAnsi" w:cstheme="minorHAnsi"/>
                <w:bCs/>
                <w:sz w:val="18"/>
                <w:szCs w:val="18"/>
                <w:lang w:eastAsia="x-none"/>
              </w:rPr>
              <w:t xml:space="preserve">training and education of staff for strategic environmental </w:t>
            </w:r>
            <w:proofErr w:type="gramStart"/>
            <w:r w:rsidRPr="007C4D65">
              <w:rPr>
                <w:rFonts w:asciiTheme="minorHAnsi" w:eastAsia="Calibri" w:hAnsiTheme="minorHAnsi" w:cstheme="minorHAnsi"/>
                <w:bCs/>
                <w:sz w:val="18"/>
                <w:szCs w:val="18"/>
                <w:lang w:eastAsia="x-none"/>
              </w:rPr>
              <w:t>assessment</w:t>
            </w:r>
            <w:r w:rsidR="00123950" w:rsidRPr="007C4D65">
              <w:rPr>
                <w:rFonts w:asciiTheme="minorHAnsi" w:eastAsia="Calibri" w:hAnsiTheme="minorHAnsi" w:cstheme="minorHAnsi"/>
                <w:bCs/>
                <w:sz w:val="18"/>
                <w:szCs w:val="18"/>
                <w:lang w:eastAsia="x-none"/>
              </w:rPr>
              <w:t>;</w:t>
            </w:r>
            <w:proofErr w:type="gramEnd"/>
          </w:p>
          <w:p w14:paraId="414883CE" w14:textId="38B0392C" w:rsidR="006226BE" w:rsidRPr="007C4D65" w:rsidRDefault="006226BE">
            <w:pPr>
              <w:numPr>
                <w:ilvl w:val="0"/>
                <w:numId w:val="163"/>
              </w:numPr>
              <w:spacing w:before="40" w:after="40" w:line="276" w:lineRule="auto"/>
              <w:ind w:left="690" w:hanging="284"/>
              <w:contextualSpacing/>
              <w:rPr>
                <w:rFonts w:asciiTheme="minorHAnsi" w:eastAsia="Calibri" w:hAnsiTheme="minorHAnsi" w:cstheme="minorHAnsi"/>
                <w:bCs/>
                <w:sz w:val="18"/>
                <w:szCs w:val="18"/>
                <w:lang w:eastAsia="x-none"/>
              </w:rPr>
            </w:pPr>
            <w:r w:rsidRPr="007C4D65">
              <w:rPr>
                <w:rFonts w:asciiTheme="minorHAnsi" w:eastAsia="Calibri" w:hAnsiTheme="minorHAnsi" w:cstheme="minorHAnsi"/>
                <w:bCs/>
                <w:sz w:val="18"/>
                <w:szCs w:val="18"/>
                <w:lang w:eastAsia="x-none"/>
              </w:rPr>
              <w:t>training</w:t>
            </w:r>
            <w:r w:rsidR="00A8033D" w:rsidRPr="007C4D65">
              <w:rPr>
                <w:rFonts w:asciiTheme="minorHAnsi" w:eastAsia="Calibri" w:hAnsiTheme="minorHAnsi" w:cstheme="minorHAnsi"/>
                <w:bCs/>
                <w:sz w:val="18"/>
                <w:szCs w:val="18"/>
                <w:lang w:eastAsia="x-none"/>
              </w:rPr>
              <w:t>s</w:t>
            </w:r>
            <w:r w:rsidRPr="007C4D65">
              <w:rPr>
                <w:rFonts w:asciiTheme="minorHAnsi" w:eastAsia="Calibri" w:hAnsiTheme="minorHAnsi" w:cstheme="minorHAnsi"/>
                <w:bCs/>
                <w:sz w:val="18"/>
                <w:szCs w:val="18"/>
                <w:lang w:eastAsia="x-none"/>
              </w:rPr>
              <w:t xml:space="preserve"> </w:t>
            </w:r>
            <w:r w:rsidR="004C4AFA" w:rsidRPr="007C4D65">
              <w:rPr>
                <w:rFonts w:asciiTheme="minorHAnsi" w:eastAsia="Calibri" w:hAnsiTheme="minorHAnsi" w:cstheme="minorHAnsi"/>
                <w:bCs/>
                <w:sz w:val="18"/>
                <w:szCs w:val="18"/>
                <w:lang w:eastAsia="x-none"/>
              </w:rPr>
              <w:t>for</w:t>
            </w:r>
            <w:r w:rsidRPr="007C4D65">
              <w:rPr>
                <w:rFonts w:asciiTheme="minorHAnsi" w:eastAsia="Calibri" w:hAnsiTheme="minorHAnsi" w:cstheme="minorHAnsi"/>
                <w:bCs/>
                <w:sz w:val="18"/>
                <w:szCs w:val="18"/>
                <w:lang w:eastAsia="x-none"/>
              </w:rPr>
              <w:t xml:space="preserve"> the institutions responsible for control and implementation of regulations on legal </w:t>
            </w:r>
            <w:r w:rsidR="004C4AFA" w:rsidRPr="007C4D65">
              <w:rPr>
                <w:rFonts w:asciiTheme="minorHAnsi" w:eastAsia="Calibri" w:hAnsiTheme="minorHAnsi" w:cstheme="minorHAnsi"/>
                <w:bCs/>
                <w:sz w:val="18"/>
                <w:szCs w:val="18"/>
                <w:lang w:eastAsia="x-none"/>
              </w:rPr>
              <w:t>liability</w:t>
            </w:r>
            <w:r w:rsidRPr="007C4D65">
              <w:rPr>
                <w:rFonts w:asciiTheme="minorHAnsi" w:eastAsia="Calibri" w:hAnsiTheme="minorHAnsi" w:cstheme="minorHAnsi"/>
                <w:bCs/>
                <w:sz w:val="18"/>
                <w:szCs w:val="18"/>
                <w:lang w:eastAsia="x-none"/>
              </w:rPr>
              <w:t xml:space="preserve"> for environment</w:t>
            </w:r>
            <w:r w:rsidR="004C4AFA" w:rsidRPr="007C4D65">
              <w:rPr>
                <w:rFonts w:asciiTheme="minorHAnsi" w:eastAsia="Calibri" w:hAnsiTheme="minorHAnsi" w:cstheme="minorHAnsi"/>
                <w:bCs/>
                <w:sz w:val="18"/>
                <w:szCs w:val="18"/>
                <w:lang w:eastAsia="x-none"/>
              </w:rPr>
              <w:t xml:space="preserve">al offences, about determination of </w:t>
            </w:r>
            <w:r w:rsidRPr="007C4D65">
              <w:rPr>
                <w:rFonts w:asciiTheme="minorHAnsi" w:eastAsia="Calibri" w:hAnsiTheme="minorHAnsi" w:cstheme="minorHAnsi"/>
                <w:bCs/>
                <w:sz w:val="18"/>
                <w:szCs w:val="18"/>
                <w:lang w:eastAsia="x-none"/>
              </w:rPr>
              <w:t>corrective measures which are necessary in accordance with the criteria defined in Directive 2004/35/</w:t>
            </w:r>
            <w:proofErr w:type="gramStart"/>
            <w:r w:rsidRPr="007C4D65">
              <w:rPr>
                <w:rFonts w:asciiTheme="minorHAnsi" w:eastAsia="Calibri" w:hAnsiTheme="minorHAnsi" w:cstheme="minorHAnsi"/>
                <w:bCs/>
                <w:sz w:val="18"/>
                <w:szCs w:val="18"/>
                <w:lang w:eastAsia="x-none"/>
              </w:rPr>
              <w:t>EC</w:t>
            </w:r>
            <w:r w:rsidR="00123950" w:rsidRPr="007C4D65">
              <w:rPr>
                <w:rFonts w:asciiTheme="minorHAnsi" w:eastAsia="Calibri" w:hAnsiTheme="minorHAnsi" w:cstheme="minorHAnsi"/>
                <w:bCs/>
                <w:sz w:val="18"/>
                <w:szCs w:val="18"/>
                <w:lang w:eastAsia="x-none"/>
              </w:rPr>
              <w:t>;</w:t>
            </w:r>
            <w:proofErr w:type="gramEnd"/>
          </w:p>
          <w:p w14:paraId="15F53C93" w14:textId="02143FB8" w:rsidR="006226BE" w:rsidRPr="007C4D65" w:rsidRDefault="006226BE">
            <w:pPr>
              <w:numPr>
                <w:ilvl w:val="0"/>
                <w:numId w:val="163"/>
              </w:numPr>
              <w:spacing w:before="40" w:after="40" w:line="276" w:lineRule="auto"/>
              <w:ind w:left="690" w:hanging="284"/>
              <w:contextualSpacing/>
              <w:rPr>
                <w:rFonts w:asciiTheme="minorHAnsi" w:eastAsia="Calibri" w:hAnsiTheme="minorHAnsi" w:cstheme="minorHAnsi"/>
                <w:bCs/>
                <w:sz w:val="18"/>
                <w:szCs w:val="18"/>
                <w:lang w:eastAsia="x-none"/>
              </w:rPr>
            </w:pPr>
            <w:r w:rsidRPr="007C4D65">
              <w:rPr>
                <w:rFonts w:asciiTheme="minorHAnsi" w:eastAsia="Calibri" w:hAnsiTheme="minorHAnsi" w:cstheme="minorHAnsi"/>
                <w:bCs/>
                <w:sz w:val="18"/>
                <w:szCs w:val="18"/>
                <w:lang w:eastAsia="x-none"/>
              </w:rPr>
              <w:t xml:space="preserve">training </w:t>
            </w:r>
            <w:r w:rsidR="004C4AFA" w:rsidRPr="007C4D65">
              <w:rPr>
                <w:rFonts w:asciiTheme="minorHAnsi" w:eastAsia="Calibri" w:hAnsiTheme="minorHAnsi" w:cstheme="minorHAnsi"/>
                <w:bCs/>
                <w:sz w:val="18"/>
                <w:szCs w:val="18"/>
                <w:lang w:eastAsia="x-none"/>
              </w:rPr>
              <w:t>of</w:t>
            </w:r>
            <w:r w:rsidRPr="007C4D65">
              <w:rPr>
                <w:rFonts w:asciiTheme="minorHAnsi" w:eastAsia="Calibri" w:hAnsiTheme="minorHAnsi" w:cstheme="minorHAnsi"/>
                <w:bCs/>
                <w:sz w:val="18"/>
                <w:szCs w:val="18"/>
                <w:lang w:eastAsia="x-none"/>
              </w:rPr>
              <w:t xml:space="preserve"> judges and prosecutors about</w:t>
            </w:r>
            <w:r w:rsidR="004C4AFA" w:rsidRPr="007C4D65">
              <w:rPr>
                <w:rFonts w:asciiTheme="minorHAnsi" w:eastAsia="Calibri" w:hAnsiTheme="minorHAnsi" w:cstheme="minorHAnsi"/>
                <w:bCs/>
                <w:sz w:val="18"/>
                <w:szCs w:val="18"/>
                <w:lang w:eastAsia="x-none"/>
              </w:rPr>
              <w:t xml:space="preserve"> the</w:t>
            </w:r>
            <w:r w:rsidRPr="007C4D65">
              <w:rPr>
                <w:rFonts w:asciiTheme="minorHAnsi" w:eastAsia="Calibri" w:hAnsiTheme="minorHAnsi" w:cstheme="minorHAnsi"/>
                <w:bCs/>
                <w:sz w:val="18"/>
                <w:szCs w:val="18"/>
                <w:lang w:eastAsia="x-none"/>
              </w:rPr>
              <w:t xml:space="preserve"> importance and </w:t>
            </w:r>
            <w:r w:rsidR="004C4AFA" w:rsidRPr="007C4D65">
              <w:rPr>
                <w:rFonts w:asciiTheme="minorHAnsi" w:eastAsia="Calibri" w:hAnsiTheme="minorHAnsi" w:cstheme="minorHAnsi"/>
                <w:bCs/>
                <w:sz w:val="18"/>
                <w:szCs w:val="18"/>
                <w:lang w:eastAsia="x-none"/>
              </w:rPr>
              <w:t xml:space="preserve">elements </w:t>
            </w:r>
            <w:r w:rsidRPr="007C4D65">
              <w:rPr>
                <w:rFonts w:asciiTheme="minorHAnsi" w:eastAsia="Calibri" w:hAnsiTheme="minorHAnsi" w:cstheme="minorHAnsi"/>
                <w:bCs/>
                <w:sz w:val="18"/>
                <w:szCs w:val="18"/>
                <w:lang w:eastAsia="x-none"/>
              </w:rPr>
              <w:t xml:space="preserve">of </w:t>
            </w:r>
            <w:r w:rsidR="00A8033D" w:rsidRPr="007C4D65">
              <w:rPr>
                <w:rFonts w:asciiTheme="minorHAnsi" w:eastAsia="Calibri" w:hAnsiTheme="minorHAnsi" w:cstheme="minorHAnsi"/>
                <w:bCs/>
                <w:sz w:val="18"/>
                <w:szCs w:val="18"/>
                <w:lang w:eastAsia="x-none"/>
              </w:rPr>
              <w:t>crimes</w:t>
            </w:r>
            <w:r w:rsidRPr="007C4D65">
              <w:rPr>
                <w:rFonts w:asciiTheme="minorHAnsi" w:eastAsia="Calibri" w:hAnsiTheme="minorHAnsi" w:cstheme="minorHAnsi"/>
                <w:bCs/>
                <w:sz w:val="18"/>
                <w:szCs w:val="18"/>
                <w:lang w:eastAsia="x-none"/>
              </w:rPr>
              <w:t xml:space="preserve"> against </w:t>
            </w:r>
            <w:r w:rsidR="00A8033D" w:rsidRPr="007C4D65">
              <w:rPr>
                <w:rFonts w:asciiTheme="minorHAnsi" w:eastAsia="Calibri" w:hAnsiTheme="minorHAnsi" w:cstheme="minorHAnsi"/>
                <w:bCs/>
                <w:sz w:val="18"/>
                <w:szCs w:val="18"/>
                <w:lang w:eastAsia="x-none"/>
              </w:rPr>
              <w:t xml:space="preserve">the </w:t>
            </w:r>
            <w:r w:rsidRPr="007C4D65">
              <w:rPr>
                <w:rFonts w:asciiTheme="minorHAnsi" w:eastAsia="Calibri" w:hAnsiTheme="minorHAnsi" w:cstheme="minorHAnsi"/>
                <w:bCs/>
                <w:sz w:val="18"/>
                <w:szCs w:val="18"/>
                <w:lang w:eastAsia="x-none"/>
              </w:rPr>
              <w:t xml:space="preserve">environment, </w:t>
            </w:r>
            <w:r w:rsidR="00A8033D" w:rsidRPr="007C4D65">
              <w:rPr>
                <w:rFonts w:asciiTheme="minorHAnsi" w:eastAsia="Calibri" w:hAnsiTheme="minorHAnsi" w:cstheme="minorHAnsi"/>
                <w:bCs/>
                <w:sz w:val="18"/>
                <w:szCs w:val="18"/>
                <w:lang w:eastAsia="x-none"/>
              </w:rPr>
              <w:t>which should be organised</w:t>
            </w:r>
            <w:r w:rsidRPr="007C4D65">
              <w:rPr>
                <w:rFonts w:asciiTheme="minorHAnsi" w:eastAsia="Calibri" w:hAnsiTheme="minorHAnsi" w:cstheme="minorHAnsi"/>
                <w:bCs/>
                <w:sz w:val="18"/>
                <w:szCs w:val="18"/>
                <w:lang w:eastAsia="x-none"/>
              </w:rPr>
              <w:t xml:space="preserve"> by the </w:t>
            </w:r>
            <w:r w:rsidRPr="007C4D65">
              <w:rPr>
                <w:rFonts w:asciiTheme="minorHAnsi" w:eastAsiaTheme="minorHAnsi" w:hAnsiTheme="minorHAnsi" w:cstheme="minorHAnsi"/>
                <w:sz w:val="18"/>
                <w:szCs w:val="18"/>
                <w:lang w:eastAsia="en-US"/>
              </w:rPr>
              <w:t>Centre for Judicial and Prosecutorial Training of the Federation of Bosnia and Herzegovina</w:t>
            </w:r>
          </w:p>
          <w:p w14:paraId="7C21897F" w14:textId="78FE0C9A" w:rsidR="006226BE" w:rsidRPr="007C4D65" w:rsidRDefault="006226BE">
            <w:pPr>
              <w:numPr>
                <w:ilvl w:val="0"/>
                <w:numId w:val="163"/>
              </w:numPr>
              <w:spacing w:before="40" w:after="40" w:line="276" w:lineRule="auto"/>
              <w:ind w:left="690" w:hanging="284"/>
              <w:contextualSpacing/>
              <w:rPr>
                <w:rFonts w:asciiTheme="minorHAnsi" w:eastAsia="Calibri" w:hAnsiTheme="minorHAnsi" w:cstheme="minorHAnsi"/>
                <w:bCs/>
                <w:sz w:val="18"/>
                <w:szCs w:val="18"/>
                <w:lang w:eastAsia="x-none"/>
              </w:rPr>
            </w:pPr>
            <w:r w:rsidRPr="007C4D65">
              <w:rPr>
                <w:rFonts w:asciiTheme="minorHAnsi" w:eastAsia="Calibri" w:hAnsiTheme="minorHAnsi" w:cstheme="minorHAnsi"/>
                <w:bCs/>
                <w:sz w:val="18"/>
                <w:szCs w:val="18"/>
                <w:lang w:eastAsia="x-none"/>
              </w:rPr>
              <w:t>training</w:t>
            </w:r>
            <w:r w:rsidR="00A8033D" w:rsidRPr="007C4D65">
              <w:rPr>
                <w:rFonts w:asciiTheme="minorHAnsi" w:eastAsia="Calibri" w:hAnsiTheme="minorHAnsi" w:cstheme="minorHAnsi"/>
                <w:bCs/>
                <w:sz w:val="18"/>
                <w:szCs w:val="18"/>
                <w:lang w:eastAsia="x-none"/>
              </w:rPr>
              <w:t>s</w:t>
            </w:r>
            <w:r w:rsidRPr="007C4D65">
              <w:rPr>
                <w:rFonts w:asciiTheme="minorHAnsi" w:eastAsia="Calibri" w:hAnsiTheme="minorHAnsi" w:cstheme="minorHAnsi"/>
                <w:bCs/>
                <w:sz w:val="18"/>
                <w:szCs w:val="18"/>
                <w:lang w:eastAsia="x-none"/>
              </w:rPr>
              <w:t xml:space="preserve"> for the relevant institutions </w:t>
            </w:r>
            <w:r w:rsidR="00A8033D" w:rsidRPr="007C4D65">
              <w:rPr>
                <w:rFonts w:asciiTheme="minorHAnsi" w:eastAsia="Calibri" w:hAnsiTheme="minorHAnsi" w:cstheme="minorHAnsi"/>
                <w:bCs/>
                <w:sz w:val="18"/>
                <w:szCs w:val="18"/>
                <w:lang w:eastAsia="x-none"/>
              </w:rPr>
              <w:t xml:space="preserve">aimed at building their capacity to </w:t>
            </w:r>
            <w:r w:rsidRPr="007C4D65">
              <w:rPr>
                <w:rFonts w:asciiTheme="minorHAnsi" w:eastAsia="Calibri" w:hAnsiTheme="minorHAnsi" w:cstheme="minorHAnsi"/>
                <w:bCs/>
                <w:sz w:val="18"/>
                <w:szCs w:val="18"/>
                <w:lang w:eastAsia="x-none"/>
              </w:rPr>
              <w:t>organiz</w:t>
            </w:r>
            <w:r w:rsidR="00A8033D" w:rsidRPr="007C4D65">
              <w:rPr>
                <w:rFonts w:asciiTheme="minorHAnsi" w:eastAsia="Calibri" w:hAnsiTheme="minorHAnsi" w:cstheme="minorHAnsi"/>
                <w:bCs/>
                <w:sz w:val="18"/>
                <w:szCs w:val="18"/>
                <w:lang w:eastAsia="x-none"/>
              </w:rPr>
              <w:t>e</w:t>
            </w:r>
            <w:r w:rsidRPr="007C4D65">
              <w:rPr>
                <w:rFonts w:asciiTheme="minorHAnsi" w:eastAsia="Calibri" w:hAnsiTheme="minorHAnsi" w:cstheme="minorHAnsi"/>
                <w:bCs/>
                <w:sz w:val="18"/>
                <w:szCs w:val="18"/>
                <w:lang w:eastAsia="x-none"/>
              </w:rPr>
              <w:t xml:space="preserve"> efficient public </w:t>
            </w:r>
            <w:proofErr w:type="gramStart"/>
            <w:r w:rsidRPr="007C4D65">
              <w:rPr>
                <w:rFonts w:asciiTheme="minorHAnsi" w:eastAsia="Calibri" w:hAnsiTheme="minorHAnsi" w:cstheme="minorHAnsi"/>
                <w:bCs/>
                <w:sz w:val="18"/>
                <w:szCs w:val="18"/>
                <w:lang w:eastAsia="x-none"/>
              </w:rPr>
              <w:t>participation</w:t>
            </w:r>
            <w:r w:rsidR="00123950" w:rsidRPr="007C4D65">
              <w:rPr>
                <w:rFonts w:asciiTheme="minorHAnsi" w:eastAsia="Calibri" w:hAnsiTheme="minorHAnsi" w:cstheme="minorHAnsi"/>
                <w:bCs/>
                <w:sz w:val="18"/>
                <w:szCs w:val="18"/>
                <w:lang w:eastAsia="x-none"/>
              </w:rPr>
              <w:t>;</w:t>
            </w:r>
            <w:proofErr w:type="gramEnd"/>
          </w:p>
          <w:p w14:paraId="2DA4D2E3" w14:textId="110F7F94" w:rsidR="006226BE" w:rsidRPr="007C4D65" w:rsidRDefault="006226BE">
            <w:pPr>
              <w:numPr>
                <w:ilvl w:val="0"/>
                <w:numId w:val="163"/>
              </w:numPr>
              <w:spacing w:before="40" w:after="40" w:line="276" w:lineRule="auto"/>
              <w:ind w:left="690" w:hanging="284"/>
              <w:contextualSpacing/>
              <w:rPr>
                <w:rFonts w:asciiTheme="minorHAnsi" w:eastAsia="Calibri" w:hAnsiTheme="minorHAnsi" w:cstheme="minorHAnsi"/>
                <w:bCs/>
                <w:sz w:val="18"/>
                <w:szCs w:val="18"/>
                <w:lang w:eastAsia="x-none"/>
              </w:rPr>
            </w:pPr>
            <w:r w:rsidRPr="007C4D65">
              <w:rPr>
                <w:rFonts w:asciiTheme="minorHAnsi" w:eastAsia="Calibri" w:hAnsiTheme="minorHAnsi" w:cstheme="minorHAnsi"/>
                <w:bCs/>
                <w:sz w:val="18"/>
                <w:szCs w:val="18"/>
                <w:lang w:eastAsia="x-none"/>
              </w:rPr>
              <w:t>training</w:t>
            </w:r>
            <w:r w:rsidR="00A8033D" w:rsidRPr="007C4D65">
              <w:rPr>
                <w:rFonts w:asciiTheme="minorHAnsi" w:eastAsia="Calibri" w:hAnsiTheme="minorHAnsi" w:cstheme="minorHAnsi"/>
                <w:bCs/>
                <w:sz w:val="18"/>
                <w:szCs w:val="18"/>
                <w:lang w:eastAsia="x-none"/>
              </w:rPr>
              <w:t>s</w:t>
            </w:r>
            <w:r w:rsidRPr="007C4D65">
              <w:rPr>
                <w:rFonts w:asciiTheme="minorHAnsi" w:eastAsia="Calibri" w:hAnsiTheme="minorHAnsi" w:cstheme="minorHAnsi"/>
                <w:bCs/>
                <w:sz w:val="18"/>
                <w:szCs w:val="18"/>
                <w:lang w:eastAsia="x-none"/>
              </w:rPr>
              <w:t xml:space="preserve"> </w:t>
            </w:r>
            <w:r w:rsidR="00A8033D" w:rsidRPr="007C4D65">
              <w:rPr>
                <w:rFonts w:asciiTheme="minorHAnsi" w:eastAsia="Calibri" w:hAnsiTheme="minorHAnsi" w:cstheme="minorHAnsi"/>
                <w:bCs/>
                <w:sz w:val="18"/>
                <w:szCs w:val="18"/>
                <w:lang w:eastAsia="x-none"/>
              </w:rPr>
              <w:t xml:space="preserve">on the </w:t>
            </w:r>
            <w:r w:rsidRPr="007C4D65">
              <w:rPr>
                <w:rFonts w:asciiTheme="minorHAnsi" w:eastAsia="Calibri" w:hAnsiTheme="minorHAnsi" w:cstheme="minorHAnsi"/>
                <w:bCs/>
                <w:sz w:val="18"/>
                <w:szCs w:val="18"/>
                <w:lang w:eastAsia="x-none"/>
              </w:rPr>
              <w:t xml:space="preserve">preparation of </w:t>
            </w:r>
            <w:r w:rsidR="007934C2" w:rsidRPr="007C4D65">
              <w:rPr>
                <w:rFonts w:asciiTheme="minorHAnsi" w:eastAsia="Calibri" w:hAnsiTheme="minorHAnsi" w:cstheme="minorHAnsi"/>
                <w:bCs/>
                <w:sz w:val="18"/>
                <w:szCs w:val="18"/>
                <w:lang w:eastAsia="x-none"/>
              </w:rPr>
              <w:t>technical instructions</w:t>
            </w:r>
            <w:r w:rsidRPr="007C4D65">
              <w:rPr>
                <w:rFonts w:asciiTheme="minorHAnsi" w:eastAsia="Calibri" w:hAnsiTheme="minorHAnsi" w:cstheme="minorHAnsi"/>
                <w:bCs/>
                <w:sz w:val="18"/>
                <w:szCs w:val="18"/>
                <w:lang w:eastAsia="x-none"/>
              </w:rPr>
              <w:t xml:space="preserve"> for </w:t>
            </w:r>
            <w:proofErr w:type="gramStart"/>
            <w:r w:rsidRPr="007C4D65">
              <w:rPr>
                <w:rFonts w:asciiTheme="minorHAnsi" w:eastAsia="Calibri" w:hAnsiTheme="minorHAnsi" w:cstheme="minorHAnsi"/>
                <w:bCs/>
                <w:sz w:val="18"/>
                <w:szCs w:val="18"/>
                <w:lang w:eastAsia="x-none"/>
              </w:rPr>
              <w:t>BAT</w:t>
            </w:r>
            <w:r w:rsidR="00123950" w:rsidRPr="007C4D65">
              <w:rPr>
                <w:rFonts w:asciiTheme="minorHAnsi" w:eastAsia="Calibri" w:hAnsiTheme="minorHAnsi" w:cstheme="minorHAnsi"/>
                <w:bCs/>
                <w:sz w:val="18"/>
                <w:szCs w:val="18"/>
                <w:lang w:eastAsia="x-none"/>
              </w:rPr>
              <w:t>;</w:t>
            </w:r>
            <w:proofErr w:type="gramEnd"/>
          </w:p>
          <w:p w14:paraId="273B0AC9" w14:textId="16297C50" w:rsidR="006226BE" w:rsidRPr="007C4D65" w:rsidRDefault="006226BE">
            <w:pPr>
              <w:numPr>
                <w:ilvl w:val="0"/>
                <w:numId w:val="163"/>
              </w:numPr>
              <w:spacing w:before="40" w:after="40" w:line="276" w:lineRule="auto"/>
              <w:ind w:left="690" w:hanging="284"/>
              <w:contextualSpacing/>
              <w:rPr>
                <w:rFonts w:asciiTheme="minorHAnsi" w:eastAsia="Calibri" w:hAnsiTheme="minorHAnsi" w:cstheme="minorHAnsi"/>
                <w:bCs/>
                <w:sz w:val="18"/>
                <w:szCs w:val="18"/>
                <w:lang w:eastAsia="x-none"/>
              </w:rPr>
            </w:pPr>
            <w:r w:rsidRPr="007C4D65">
              <w:rPr>
                <w:rFonts w:asciiTheme="minorHAnsi" w:eastAsia="Calibri" w:hAnsiTheme="minorHAnsi" w:cstheme="minorHAnsi"/>
                <w:bCs/>
                <w:sz w:val="18"/>
                <w:szCs w:val="18"/>
                <w:lang w:eastAsia="x-none"/>
              </w:rPr>
              <w:t xml:space="preserve">education of public sector experts on climate change and adaptation to climate change within their scope of activities, especially </w:t>
            </w:r>
            <w:r w:rsidR="00A8033D" w:rsidRPr="007C4D65">
              <w:rPr>
                <w:rFonts w:asciiTheme="minorHAnsi" w:eastAsia="Calibri" w:hAnsiTheme="minorHAnsi" w:cstheme="minorHAnsi"/>
                <w:bCs/>
                <w:sz w:val="18"/>
                <w:szCs w:val="18"/>
                <w:lang w:eastAsia="x-none"/>
              </w:rPr>
              <w:t>focusing on</w:t>
            </w:r>
            <w:r w:rsidRPr="007C4D65">
              <w:rPr>
                <w:rFonts w:asciiTheme="minorHAnsi" w:eastAsia="Calibri" w:hAnsiTheme="minorHAnsi" w:cstheme="minorHAnsi"/>
                <w:bCs/>
                <w:sz w:val="18"/>
                <w:szCs w:val="18"/>
                <w:lang w:eastAsia="x-none"/>
              </w:rPr>
              <w:t xml:space="preserve"> public sector </w:t>
            </w:r>
            <w:r w:rsidR="00A8033D" w:rsidRPr="007C4D65">
              <w:rPr>
                <w:rFonts w:asciiTheme="minorHAnsi" w:eastAsia="Calibri" w:hAnsiTheme="minorHAnsi" w:cstheme="minorHAnsi"/>
                <w:bCs/>
                <w:sz w:val="18"/>
                <w:szCs w:val="18"/>
                <w:lang w:eastAsia="x-none"/>
              </w:rPr>
              <w:t xml:space="preserve">departments directly involved </w:t>
            </w:r>
            <w:r w:rsidRPr="007C4D65">
              <w:rPr>
                <w:rFonts w:asciiTheme="minorHAnsi" w:eastAsia="Calibri" w:hAnsiTheme="minorHAnsi" w:cstheme="minorHAnsi"/>
                <w:bCs/>
                <w:sz w:val="18"/>
                <w:szCs w:val="18"/>
                <w:lang w:eastAsia="x-none"/>
              </w:rPr>
              <w:t xml:space="preserve">in </w:t>
            </w:r>
            <w:r w:rsidR="00A8033D" w:rsidRPr="007C4D65">
              <w:rPr>
                <w:rFonts w:asciiTheme="minorHAnsi" w:eastAsia="Calibri" w:hAnsiTheme="minorHAnsi" w:cstheme="minorHAnsi"/>
                <w:bCs/>
                <w:sz w:val="18"/>
                <w:szCs w:val="18"/>
                <w:lang w:eastAsia="x-none"/>
              </w:rPr>
              <w:t xml:space="preserve">the implementation of </w:t>
            </w:r>
            <w:r w:rsidRPr="007C4D65">
              <w:rPr>
                <w:rFonts w:asciiTheme="minorHAnsi" w:eastAsia="Calibri" w:hAnsiTheme="minorHAnsi" w:cstheme="minorHAnsi"/>
                <w:bCs/>
                <w:sz w:val="18"/>
                <w:szCs w:val="18"/>
                <w:lang w:eastAsia="x-none"/>
              </w:rPr>
              <w:t xml:space="preserve">action </w:t>
            </w:r>
            <w:proofErr w:type="gramStart"/>
            <w:r w:rsidRPr="007C4D65">
              <w:rPr>
                <w:rFonts w:asciiTheme="minorHAnsi" w:eastAsia="Calibri" w:hAnsiTheme="minorHAnsi" w:cstheme="minorHAnsi"/>
                <w:bCs/>
                <w:sz w:val="18"/>
                <w:szCs w:val="18"/>
                <w:lang w:eastAsia="x-none"/>
              </w:rPr>
              <w:t>plans</w:t>
            </w:r>
            <w:r w:rsidR="00123950" w:rsidRPr="007C4D65">
              <w:rPr>
                <w:rFonts w:asciiTheme="minorHAnsi" w:eastAsia="Calibri" w:hAnsiTheme="minorHAnsi" w:cstheme="minorHAnsi"/>
                <w:bCs/>
                <w:sz w:val="18"/>
                <w:szCs w:val="18"/>
                <w:lang w:eastAsia="x-none"/>
              </w:rPr>
              <w:t>;</w:t>
            </w:r>
            <w:proofErr w:type="gramEnd"/>
          </w:p>
          <w:p w14:paraId="1F197CF7" w14:textId="5092B86B" w:rsidR="006226BE" w:rsidRPr="007C4D65" w:rsidRDefault="00A8033D">
            <w:pPr>
              <w:numPr>
                <w:ilvl w:val="0"/>
                <w:numId w:val="163"/>
              </w:numPr>
              <w:spacing w:before="40" w:after="40" w:line="276" w:lineRule="auto"/>
              <w:ind w:left="690" w:hanging="284"/>
              <w:contextualSpacing/>
              <w:rPr>
                <w:rFonts w:asciiTheme="minorHAnsi" w:eastAsia="Calibri" w:hAnsiTheme="minorHAnsi" w:cstheme="minorHAnsi"/>
                <w:bCs/>
                <w:sz w:val="18"/>
                <w:szCs w:val="18"/>
                <w:lang w:eastAsia="x-none"/>
              </w:rPr>
            </w:pPr>
            <w:r w:rsidRPr="007C4D65">
              <w:rPr>
                <w:rFonts w:asciiTheme="minorHAnsi" w:eastAsia="Calibri" w:hAnsiTheme="minorHAnsi" w:cstheme="minorHAnsi"/>
                <w:bCs/>
                <w:sz w:val="18"/>
                <w:szCs w:val="18"/>
                <w:lang w:eastAsia="x-none"/>
              </w:rPr>
              <w:t>current multidisciplinary topics</w:t>
            </w:r>
            <w:r w:rsidR="006226BE" w:rsidRPr="007C4D65">
              <w:rPr>
                <w:rFonts w:asciiTheme="minorHAnsi" w:eastAsia="Calibri" w:hAnsiTheme="minorHAnsi" w:cstheme="minorHAnsi"/>
                <w:bCs/>
                <w:sz w:val="18"/>
                <w:szCs w:val="18"/>
                <w:lang w:eastAsia="x-none"/>
              </w:rPr>
              <w:t xml:space="preserve"> from the domain of gender equality and waste management such as green procurement, circular economy (sustainable production and consumption), EU policy and EU policy for </w:t>
            </w:r>
            <w:r w:rsidRPr="007C4D65">
              <w:rPr>
                <w:rFonts w:asciiTheme="minorHAnsi" w:eastAsia="Calibri" w:hAnsiTheme="minorHAnsi" w:cstheme="minorHAnsi"/>
                <w:bCs/>
                <w:sz w:val="18"/>
                <w:szCs w:val="18"/>
                <w:lang w:eastAsia="x-none"/>
              </w:rPr>
              <w:t xml:space="preserve">the </w:t>
            </w:r>
            <w:r w:rsidR="006226BE" w:rsidRPr="007C4D65">
              <w:rPr>
                <w:rFonts w:asciiTheme="minorHAnsi" w:eastAsia="Calibri" w:hAnsiTheme="minorHAnsi" w:cstheme="minorHAnsi"/>
                <w:bCs/>
                <w:sz w:val="18"/>
                <w:szCs w:val="18"/>
                <w:lang w:eastAsia="x-none"/>
              </w:rPr>
              <w:t xml:space="preserve">Western Balkans, </w:t>
            </w:r>
            <w:proofErr w:type="gramStart"/>
            <w:r w:rsidR="006226BE" w:rsidRPr="007C4D65">
              <w:rPr>
                <w:rFonts w:asciiTheme="minorHAnsi" w:eastAsia="Calibri" w:hAnsiTheme="minorHAnsi" w:cstheme="minorHAnsi"/>
                <w:bCs/>
                <w:sz w:val="18"/>
                <w:szCs w:val="18"/>
                <w:lang w:eastAsia="x-none"/>
              </w:rPr>
              <w:t>etc.</w:t>
            </w:r>
            <w:r w:rsidR="00123950" w:rsidRPr="007C4D65">
              <w:rPr>
                <w:rFonts w:asciiTheme="minorHAnsi" w:eastAsia="Calibri" w:hAnsiTheme="minorHAnsi" w:cstheme="minorHAnsi"/>
                <w:bCs/>
                <w:sz w:val="18"/>
                <w:szCs w:val="18"/>
                <w:lang w:eastAsia="x-none"/>
              </w:rPr>
              <w:t>;</w:t>
            </w:r>
            <w:proofErr w:type="gramEnd"/>
          </w:p>
          <w:p w14:paraId="2FDBCF32" w14:textId="27B9B2EB" w:rsidR="006226BE" w:rsidRPr="007C4D65" w:rsidRDefault="00E545BD" w:rsidP="00E545BD">
            <w:pPr>
              <w:spacing w:before="40" w:after="40" w:line="276" w:lineRule="auto"/>
              <w:contextualSpacing/>
              <w:rPr>
                <w:rFonts w:asciiTheme="minorHAnsi" w:eastAsia="Calibri" w:hAnsiTheme="minorHAnsi" w:cstheme="minorHAnsi"/>
                <w:bCs/>
                <w:sz w:val="18"/>
                <w:szCs w:val="18"/>
                <w:lang w:eastAsia="x-none"/>
              </w:rPr>
            </w:pPr>
            <w:r w:rsidRPr="007C4D65">
              <w:rPr>
                <w:rFonts w:asciiTheme="minorHAnsi" w:eastAsia="Calibri" w:hAnsiTheme="minorHAnsi" w:cstheme="minorHAnsi"/>
                <w:bCs/>
                <w:sz w:val="18"/>
                <w:szCs w:val="18"/>
                <w:lang w:eastAsia="x-none"/>
              </w:rPr>
              <w:t xml:space="preserve">3) </w:t>
            </w:r>
            <w:r w:rsidR="006226BE" w:rsidRPr="007C4D65">
              <w:rPr>
                <w:rFonts w:asciiTheme="minorHAnsi" w:eastAsia="Calibri" w:hAnsiTheme="minorHAnsi" w:cstheme="minorHAnsi"/>
                <w:bCs/>
                <w:sz w:val="18"/>
                <w:szCs w:val="18"/>
                <w:lang w:eastAsia="x-none"/>
              </w:rPr>
              <w:t xml:space="preserve">Based on the assessment </w:t>
            </w:r>
            <w:r w:rsidRPr="007C4D65">
              <w:rPr>
                <w:rFonts w:asciiTheme="minorHAnsi" w:eastAsia="Calibri" w:hAnsiTheme="minorHAnsi" w:cstheme="minorHAnsi"/>
                <w:bCs/>
                <w:sz w:val="18"/>
                <w:szCs w:val="18"/>
                <w:lang w:eastAsia="x-none"/>
              </w:rPr>
              <w:t xml:space="preserve">of the needs </w:t>
            </w:r>
            <w:r w:rsidR="006226BE" w:rsidRPr="007C4D65">
              <w:rPr>
                <w:rFonts w:asciiTheme="minorHAnsi" w:eastAsia="Calibri" w:hAnsiTheme="minorHAnsi" w:cstheme="minorHAnsi"/>
                <w:bCs/>
                <w:sz w:val="18"/>
                <w:szCs w:val="18"/>
                <w:lang w:eastAsia="x-none"/>
              </w:rPr>
              <w:t xml:space="preserve">for professional training, </w:t>
            </w:r>
            <w:r w:rsidRPr="007C4D65">
              <w:rPr>
                <w:rFonts w:asciiTheme="minorHAnsi" w:eastAsia="Calibri" w:hAnsiTheme="minorHAnsi" w:cstheme="minorHAnsi"/>
                <w:bCs/>
                <w:sz w:val="18"/>
                <w:szCs w:val="18"/>
                <w:lang w:eastAsia="x-none"/>
              </w:rPr>
              <w:t>form</w:t>
            </w:r>
            <w:r w:rsidR="006226BE" w:rsidRPr="007C4D65">
              <w:rPr>
                <w:rFonts w:asciiTheme="minorHAnsi" w:eastAsia="Calibri" w:hAnsiTheme="minorHAnsi" w:cstheme="minorHAnsi"/>
                <w:bCs/>
                <w:sz w:val="18"/>
                <w:szCs w:val="18"/>
                <w:lang w:eastAsia="x-none"/>
              </w:rPr>
              <w:t xml:space="preserve"> teams for </w:t>
            </w:r>
            <w:r w:rsidRPr="007C4D65">
              <w:rPr>
                <w:rFonts w:asciiTheme="minorHAnsi" w:eastAsia="Calibri" w:hAnsiTheme="minorHAnsi" w:cstheme="minorHAnsi"/>
                <w:bCs/>
                <w:sz w:val="18"/>
                <w:szCs w:val="18"/>
                <w:lang w:eastAsia="x-none"/>
              </w:rPr>
              <w:t xml:space="preserve">the </w:t>
            </w:r>
            <w:r w:rsidR="006226BE" w:rsidRPr="007C4D65">
              <w:rPr>
                <w:rFonts w:asciiTheme="minorHAnsi" w:eastAsia="Calibri" w:hAnsiTheme="minorHAnsi" w:cstheme="minorHAnsi"/>
                <w:bCs/>
                <w:sz w:val="18"/>
                <w:szCs w:val="18"/>
                <w:lang w:eastAsia="x-none"/>
              </w:rPr>
              <w:t xml:space="preserve">preparation and </w:t>
            </w:r>
            <w:r w:rsidR="00830279" w:rsidRPr="007C4D65">
              <w:rPr>
                <w:rFonts w:asciiTheme="minorHAnsi" w:eastAsia="Calibri" w:hAnsiTheme="minorHAnsi" w:cstheme="minorHAnsi"/>
                <w:bCs/>
                <w:sz w:val="18"/>
                <w:szCs w:val="18"/>
                <w:lang w:eastAsia="x-none"/>
              </w:rPr>
              <w:t>implementation</w:t>
            </w:r>
            <w:r w:rsidR="006226BE" w:rsidRPr="007C4D65">
              <w:rPr>
                <w:rFonts w:asciiTheme="minorHAnsi" w:eastAsia="Calibri" w:hAnsiTheme="minorHAnsi" w:cstheme="minorHAnsi"/>
                <w:bCs/>
                <w:sz w:val="18"/>
                <w:szCs w:val="18"/>
                <w:lang w:eastAsia="x-none"/>
              </w:rPr>
              <w:t xml:space="preserve"> of environmental projects in the key institutions (where no such teams</w:t>
            </w:r>
            <w:r w:rsidRPr="007C4D65">
              <w:rPr>
                <w:rFonts w:asciiTheme="minorHAnsi" w:eastAsia="Calibri" w:hAnsiTheme="minorHAnsi" w:cstheme="minorHAnsi"/>
                <w:bCs/>
                <w:sz w:val="18"/>
                <w:szCs w:val="18"/>
                <w:lang w:eastAsia="x-none"/>
              </w:rPr>
              <w:t xml:space="preserve"> exist</w:t>
            </w:r>
            <w:r w:rsidR="006226BE" w:rsidRPr="007C4D65">
              <w:rPr>
                <w:rFonts w:asciiTheme="minorHAnsi" w:eastAsia="Calibri" w:hAnsiTheme="minorHAnsi" w:cstheme="minorHAnsi"/>
                <w:bCs/>
                <w:sz w:val="18"/>
                <w:szCs w:val="18"/>
                <w:lang w:eastAsia="x-none"/>
              </w:rPr>
              <w:t>)</w:t>
            </w:r>
            <w:r w:rsidR="00123950" w:rsidRPr="007C4D65">
              <w:rPr>
                <w:rFonts w:asciiTheme="minorHAnsi" w:eastAsia="Calibri" w:hAnsiTheme="minorHAnsi" w:cstheme="minorHAnsi"/>
                <w:bCs/>
                <w:sz w:val="18"/>
                <w:szCs w:val="18"/>
                <w:lang w:eastAsia="x-none"/>
              </w:rPr>
              <w:t>.</w:t>
            </w:r>
          </w:p>
        </w:tc>
      </w:tr>
      <w:tr w:rsidR="006226BE" w:rsidRPr="007C4D65" w14:paraId="3BEF9B02" w14:textId="77777777" w:rsidTr="00B6017F">
        <w:trPr>
          <w:trHeight w:val="567"/>
        </w:trPr>
        <w:tc>
          <w:tcPr>
            <w:tcW w:w="1359" w:type="pct"/>
            <w:shd w:val="clear" w:color="auto" w:fill="009D73"/>
            <w:vAlign w:val="center"/>
          </w:tcPr>
          <w:p w14:paraId="420C20FE" w14:textId="77777777" w:rsidR="006226BE" w:rsidRPr="007C4D65" w:rsidRDefault="006226BE"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 xml:space="preserve">Strategic projects </w:t>
            </w:r>
          </w:p>
        </w:tc>
        <w:tc>
          <w:tcPr>
            <w:tcW w:w="3641" w:type="pct"/>
            <w:gridSpan w:val="3"/>
            <w:shd w:val="clear" w:color="auto" w:fill="FFFFFF" w:themeFill="background1"/>
            <w:vAlign w:val="center"/>
          </w:tcPr>
          <w:p w14:paraId="665A9413" w14:textId="77777777" w:rsidR="006226BE" w:rsidRPr="007C4D65" w:rsidRDefault="006226BE" w:rsidP="006226BE">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6226BE" w:rsidRPr="007C4D65" w14:paraId="6AC9A36B" w14:textId="77777777" w:rsidTr="00B6017F">
        <w:trPr>
          <w:trHeight w:val="567"/>
        </w:trPr>
        <w:tc>
          <w:tcPr>
            <w:tcW w:w="1359" w:type="pct"/>
            <w:vMerge w:val="restart"/>
            <w:shd w:val="clear" w:color="auto" w:fill="009D73"/>
            <w:vAlign w:val="center"/>
          </w:tcPr>
          <w:p w14:paraId="721A6A19" w14:textId="77777777" w:rsidR="006226BE" w:rsidRPr="007C4D65" w:rsidRDefault="006226BE"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A654122" w14:textId="77777777" w:rsidR="006226BE" w:rsidRPr="007C4D65" w:rsidRDefault="006226BE" w:rsidP="006226BE">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19809F87" w14:textId="77777777" w:rsidR="006226BE" w:rsidRPr="007C4D65" w:rsidRDefault="006226BE" w:rsidP="006226BE">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674C05A" w14:textId="77777777" w:rsidR="006226BE" w:rsidRPr="007C4D65" w:rsidRDefault="006226BE" w:rsidP="006226BE">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78043361" w14:textId="77777777" w:rsidR="006226BE" w:rsidRPr="007C4D65" w:rsidRDefault="006226BE" w:rsidP="006226BE">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43405A6" w14:textId="77777777" w:rsidR="006226BE" w:rsidRPr="007C4D65" w:rsidRDefault="006226BE" w:rsidP="006226BE">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value</w:t>
            </w:r>
          </w:p>
        </w:tc>
      </w:tr>
      <w:tr w:rsidR="006226BE" w:rsidRPr="007C4D65" w14:paraId="5C4C406D" w14:textId="77777777" w:rsidTr="00B6017F">
        <w:trPr>
          <w:trHeight w:val="567"/>
        </w:trPr>
        <w:tc>
          <w:tcPr>
            <w:tcW w:w="1359" w:type="pct"/>
            <w:vMerge/>
            <w:shd w:val="clear" w:color="auto" w:fill="009D73"/>
            <w:vAlign w:val="center"/>
          </w:tcPr>
          <w:p w14:paraId="548F3236" w14:textId="77777777" w:rsidR="006226BE" w:rsidRPr="007C4D65" w:rsidRDefault="006226BE"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148622A7" w14:textId="77777777" w:rsidR="006226BE" w:rsidRPr="007C4D65" w:rsidRDefault="006226BE">
            <w:pPr>
              <w:numPr>
                <w:ilvl w:val="0"/>
                <w:numId w:val="164"/>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Assessment of the needs for professional training </w:t>
            </w:r>
          </w:p>
        </w:tc>
        <w:tc>
          <w:tcPr>
            <w:tcW w:w="1243" w:type="pct"/>
            <w:shd w:val="clear" w:color="auto" w:fill="FFFFFF"/>
            <w:vAlign w:val="center"/>
          </w:tcPr>
          <w:p w14:paraId="78EC1CC2" w14:textId="77777777" w:rsidR="006226BE" w:rsidRPr="007C4D65" w:rsidRDefault="006226BE" w:rsidP="006226B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Assessment of needs has not been done. </w:t>
            </w:r>
          </w:p>
        </w:tc>
        <w:tc>
          <w:tcPr>
            <w:tcW w:w="1059" w:type="pct"/>
            <w:shd w:val="clear" w:color="auto" w:fill="FFFFFF"/>
            <w:vAlign w:val="center"/>
          </w:tcPr>
          <w:p w14:paraId="1518323E" w14:textId="50AB68CF" w:rsidR="006226BE" w:rsidRPr="007C4D65" w:rsidRDefault="006226BE" w:rsidP="006226B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Assessment of the needs for professional training </w:t>
            </w:r>
            <w:r w:rsidR="004B2BEF" w:rsidRPr="007C4D65">
              <w:rPr>
                <w:rFonts w:asciiTheme="minorHAnsi" w:eastAsia="Calibri" w:hAnsiTheme="minorHAnsi" w:cstheme="minorHAnsi"/>
                <w:sz w:val="18"/>
                <w:szCs w:val="18"/>
                <w:lang w:eastAsia="x-none"/>
              </w:rPr>
              <w:t>completed</w:t>
            </w:r>
            <w:r w:rsidRPr="007C4D65">
              <w:rPr>
                <w:rFonts w:asciiTheme="minorHAnsi" w:eastAsia="Calibri" w:hAnsiTheme="minorHAnsi" w:cstheme="minorHAnsi"/>
                <w:sz w:val="18"/>
                <w:szCs w:val="18"/>
                <w:lang w:eastAsia="x-none"/>
              </w:rPr>
              <w:t xml:space="preserve"> (2024)</w:t>
            </w:r>
          </w:p>
        </w:tc>
      </w:tr>
      <w:tr w:rsidR="006226BE" w:rsidRPr="007C4D65" w14:paraId="0DBC9A66" w14:textId="77777777" w:rsidTr="00B6017F">
        <w:trPr>
          <w:trHeight w:val="567"/>
        </w:trPr>
        <w:tc>
          <w:tcPr>
            <w:tcW w:w="1359" w:type="pct"/>
            <w:vMerge/>
            <w:shd w:val="clear" w:color="auto" w:fill="009D73"/>
            <w:vAlign w:val="center"/>
          </w:tcPr>
          <w:p w14:paraId="74506F82" w14:textId="77777777" w:rsidR="006226BE" w:rsidRPr="007C4D65" w:rsidRDefault="006226BE"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4CD2CD3B" w14:textId="26D74C7A" w:rsidR="006226BE" w:rsidRPr="007C4D65" w:rsidRDefault="006226BE">
            <w:pPr>
              <w:numPr>
                <w:ilvl w:val="0"/>
                <w:numId w:val="164"/>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Conducting training</w:t>
            </w:r>
            <w:r w:rsidR="004B2BEF"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eastAsia="x-none"/>
              </w:rPr>
              <w:t xml:space="preserve"> </w:t>
            </w:r>
            <w:r w:rsidR="004B2BEF" w:rsidRPr="007C4D65">
              <w:rPr>
                <w:rFonts w:asciiTheme="minorHAnsi" w:eastAsia="Calibri" w:hAnsiTheme="minorHAnsi" w:cstheme="minorHAnsi"/>
                <w:sz w:val="18"/>
                <w:szCs w:val="18"/>
                <w:lang w:eastAsia="x-none"/>
              </w:rPr>
              <w:t>in accordance with</w:t>
            </w:r>
            <w:r w:rsidRPr="007C4D65">
              <w:rPr>
                <w:rFonts w:asciiTheme="minorHAnsi" w:eastAsia="Calibri" w:hAnsiTheme="minorHAnsi" w:cstheme="minorHAnsi"/>
                <w:sz w:val="18"/>
                <w:szCs w:val="18"/>
                <w:lang w:eastAsia="x-none"/>
              </w:rPr>
              <w:t xml:space="preserve"> the </w:t>
            </w:r>
            <w:r w:rsidR="004B2BEF" w:rsidRPr="007C4D65">
              <w:rPr>
                <w:rFonts w:asciiTheme="minorHAnsi" w:eastAsia="Calibri" w:hAnsiTheme="minorHAnsi" w:cstheme="minorHAnsi"/>
                <w:sz w:val="18"/>
                <w:szCs w:val="18"/>
                <w:lang w:eastAsia="x-none"/>
              </w:rPr>
              <w:t xml:space="preserve">Professional Capacities Training Plan </w:t>
            </w:r>
          </w:p>
        </w:tc>
        <w:tc>
          <w:tcPr>
            <w:tcW w:w="1243" w:type="pct"/>
            <w:shd w:val="clear" w:color="auto" w:fill="FFFFFF"/>
            <w:vAlign w:val="center"/>
          </w:tcPr>
          <w:p w14:paraId="4E1825C7" w14:textId="1F8AE886" w:rsidR="006226BE" w:rsidRPr="007C4D65" w:rsidRDefault="004B2BEF" w:rsidP="006226B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Some trainings have been implemented,</w:t>
            </w:r>
            <w:r w:rsidR="006226BE" w:rsidRPr="007C4D65">
              <w:rPr>
                <w:rFonts w:asciiTheme="minorHAnsi" w:eastAsiaTheme="minorHAnsi" w:hAnsiTheme="minorHAnsi" w:cstheme="minorHAnsi"/>
                <w:sz w:val="18"/>
                <w:szCs w:val="18"/>
                <w:lang w:eastAsia="en-US" w:bidi="en-US"/>
              </w:rPr>
              <w:t xml:space="preserve"> but there is a </w:t>
            </w:r>
            <w:r w:rsidRPr="007C4D65">
              <w:rPr>
                <w:rFonts w:asciiTheme="minorHAnsi" w:eastAsiaTheme="minorHAnsi" w:hAnsiTheme="minorHAnsi" w:cstheme="minorHAnsi"/>
                <w:sz w:val="18"/>
                <w:szCs w:val="18"/>
                <w:lang w:eastAsia="en-US" w:bidi="en-US"/>
              </w:rPr>
              <w:t>scope</w:t>
            </w:r>
            <w:r w:rsidR="006226BE" w:rsidRPr="007C4D65">
              <w:rPr>
                <w:rFonts w:asciiTheme="minorHAnsi" w:eastAsiaTheme="minorHAnsi" w:hAnsiTheme="minorHAnsi" w:cstheme="minorHAnsi"/>
                <w:sz w:val="18"/>
                <w:szCs w:val="18"/>
                <w:lang w:eastAsia="en-US" w:bidi="en-US"/>
              </w:rPr>
              <w:t xml:space="preserve"> for improvement and more systemic approach </w:t>
            </w:r>
          </w:p>
        </w:tc>
        <w:tc>
          <w:tcPr>
            <w:tcW w:w="1059" w:type="pct"/>
            <w:shd w:val="clear" w:color="auto" w:fill="FFFFFF"/>
            <w:vAlign w:val="center"/>
          </w:tcPr>
          <w:p w14:paraId="0F6E18DD" w14:textId="1E403055" w:rsidR="006226BE" w:rsidRPr="007C4D65" w:rsidRDefault="006226BE" w:rsidP="006226B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All </w:t>
            </w:r>
            <w:r w:rsidR="004B2BEF" w:rsidRPr="007C4D65">
              <w:rPr>
                <w:rFonts w:asciiTheme="minorHAnsi" w:eastAsiaTheme="minorHAnsi" w:hAnsiTheme="minorHAnsi" w:cstheme="minorHAnsi"/>
                <w:sz w:val="18"/>
                <w:szCs w:val="18"/>
                <w:lang w:eastAsia="en-US" w:bidi="en-US"/>
              </w:rPr>
              <w:t>trainings</w:t>
            </w:r>
            <w:r w:rsidRPr="007C4D65">
              <w:rPr>
                <w:rFonts w:asciiTheme="minorHAnsi" w:eastAsiaTheme="minorHAnsi" w:hAnsiTheme="minorHAnsi" w:cstheme="minorHAnsi"/>
                <w:sz w:val="18"/>
                <w:szCs w:val="18"/>
                <w:lang w:eastAsia="en-US" w:bidi="en-US"/>
              </w:rPr>
              <w:t xml:space="preserve"> conducted </w:t>
            </w:r>
            <w:r w:rsidR="004B2BEF" w:rsidRPr="007C4D65">
              <w:rPr>
                <w:rFonts w:asciiTheme="minorHAnsi" w:eastAsiaTheme="minorHAnsi" w:hAnsiTheme="minorHAnsi" w:cstheme="minorHAnsi"/>
                <w:sz w:val="18"/>
                <w:szCs w:val="18"/>
                <w:lang w:eastAsia="en-US" w:bidi="en-US"/>
              </w:rPr>
              <w:t xml:space="preserve">as planned </w:t>
            </w:r>
            <w:r w:rsidRPr="007C4D65">
              <w:rPr>
                <w:rFonts w:asciiTheme="minorHAnsi" w:eastAsiaTheme="minorHAnsi" w:hAnsiTheme="minorHAnsi" w:cstheme="minorHAnsi"/>
                <w:sz w:val="18"/>
                <w:szCs w:val="18"/>
                <w:lang w:eastAsia="en-US" w:bidi="en-US"/>
              </w:rPr>
              <w:t>(2030)</w:t>
            </w:r>
          </w:p>
        </w:tc>
      </w:tr>
      <w:tr w:rsidR="006226BE" w:rsidRPr="007C4D65" w14:paraId="784AB7D5" w14:textId="77777777" w:rsidTr="00B6017F">
        <w:trPr>
          <w:trHeight w:val="567"/>
        </w:trPr>
        <w:tc>
          <w:tcPr>
            <w:tcW w:w="1359" w:type="pct"/>
            <w:vMerge/>
            <w:shd w:val="clear" w:color="auto" w:fill="009D73"/>
            <w:vAlign w:val="center"/>
          </w:tcPr>
          <w:p w14:paraId="177BF2CE" w14:textId="77777777" w:rsidR="006226BE" w:rsidRPr="007C4D65" w:rsidRDefault="006226BE"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091E81B6" w14:textId="55E53D5C" w:rsidR="006226BE" w:rsidRPr="007C4D65" w:rsidRDefault="006226BE">
            <w:pPr>
              <w:numPr>
                <w:ilvl w:val="0"/>
                <w:numId w:val="164"/>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Number of institutions which formed teams for</w:t>
            </w:r>
            <w:r w:rsidR="004B2BEF" w:rsidRPr="007C4D65">
              <w:rPr>
                <w:rFonts w:asciiTheme="minorHAnsi" w:eastAsia="Calibri" w:hAnsiTheme="minorHAnsi" w:cstheme="minorHAnsi"/>
                <w:sz w:val="18"/>
                <w:szCs w:val="18"/>
                <w:lang w:eastAsia="x-none"/>
              </w:rPr>
              <w:t xml:space="preserve"> the</w:t>
            </w:r>
            <w:r w:rsidRPr="007C4D65">
              <w:rPr>
                <w:rFonts w:asciiTheme="minorHAnsi" w:eastAsia="Calibri" w:hAnsiTheme="minorHAnsi" w:cstheme="minorHAnsi"/>
                <w:sz w:val="18"/>
                <w:szCs w:val="18"/>
                <w:lang w:eastAsia="x-none"/>
              </w:rPr>
              <w:t xml:space="preserve"> preparation and </w:t>
            </w:r>
            <w:r w:rsidR="004B2BEF" w:rsidRPr="007C4D65">
              <w:rPr>
                <w:rFonts w:asciiTheme="minorHAnsi" w:eastAsia="Calibri" w:hAnsiTheme="minorHAnsi" w:cstheme="minorHAnsi"/>
                <w:sz w:val="18"/>
                <w:szCs w:val="18"/>
                <w:lang w:eastAsia="x-none"/>
              </w:rPr>
              <w:t xml:space="preserve">implementation of environmental projects  </w:t>
            </w:r>
          </w:p>
        </w:tc>
        <w:tc>
          <w:tcPr>
            <w:tcW w:w="1243" w:type="pct"/>
            <w:shd w:val="clear" w:color="auto" w:fill="FFFFFF"/>
            <w:vAlign w:val="center"/>
          </w:tcPr>
          <w:p w14:paraId="7262D16C" w14:textId="6FD01BD4" w:rsidR="006226BE" w:rsidRPr="007C4D65" w:rsidRDefault="006226BE" w:rsidP="006226BE">
            <w:pPr>
              <w:spacing w:after="160" w:line="259"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 institutions (</w:t>
            </w:r>
            <w:r w:rsidR="001E6E20" w:rsidRPr="007C4D65">
              <w:rPr>
                <w:rFonts w:asciiTheme="minorHAnsi" w:eastAsia="Calibri" w:hAnsiTheme="minorHAnsi" w:cstheme="minorHAnsi"/>
                <w:sz w:val="18"/>
                <w:szCs w:val="18"/>
                <w:lang w:eastAsia="en-US"/>
              </w:rPr>
              <w:t>Federation Ministry</w:t>
            </w:r>
            <w:r w:rsidRPr="007C4D65">
              <w:rPr>
                <w:rFonts w:asciiTheme="minorHAnsi" w:eastAsia="Calibri" w:hAnsiTheme="minorHAnsi" w:cstheme="minorHAnsi"/>
                <w:sz w:val="18"/>
                <w:szCs w:val="18"/>
                <w:lang w:eastAsia="en-US"/>
              </w:rPr>
              <w:t xml:space="preserve"> of Environment and Tourism</w:t>
            </w:r>
            <w:r w:rsidRPr="007C4D65">
              <w:rPr>
                <w:rFonts w:asciiTheme="minorHAnsi" w:eastAsiaTheme="minorHAnsi" w:hAnsiTheme="minorHAnsi" w:cstheme="minorHAnsi"/>
                <w:sz w:val="18"/>
                <w:szCs w:val="18"/>
                <w:lang w:eastAsia="en-US"/>
              </w:rPr>
              <w:t xml:space="preserve"> and </w:t>
            </w:r>
            <w:r w:rsidR="001E6E20" w:rsidRPr="007C4D65">
              <w:rPr>
                <w:rFonts w:asciiTheme="minorHAnsi" w:eastAsiaTheme="minorHAnsi" w:hAnsiTheme="minorHAnsi" w:cstheme="minorHAnsi"/>
                <w:sz w:val="18"/>
                <w:szCs w:val="18"/>
                <w:lang w:eastAsia="en-US"/>
              </w:rPr>
              <w:t>Federation Ministry</w:t>
            </w:r>
            <w:r w:rsidRPr="007C4D65">
              <w:rPr>
                <w:rFonts w:asciiTheme="minorHAnsi" w:eastAsia="Calibri" w:hAnsiTheme="minorHAnsi" w:cstheme="minorHAnsi"/>
                <w:sz w:val="18"/>
                <w:szCs w:val="18"/>
                <w:lang w:eastAsia="en-US"/>
              </w:rPr>
              <w:t xml:space="preserve"> of Agriculture, Water Management and Forestry</w:t>
            </w:r>
            <w:r w:rsidRPr="007C4D65">
              <w:rPr>
                <w:rFonts w:asciiTheme="minorHAnsi" w:eastAsiaTheme="minorHAnsi" w:hAnsiTheme="minorHAnsi" w:cstheme="minorHAnsi"/>
                <w:sz w:val="18"/>
                <w:szCs w:val="18"/>
                <w:lang w:eastAsia="en-US"/>
              </w:rPr>
              <w:t>)</w:t>
            </w:r>
          </w:p>
        </w:tc>
        <w:tc>
          <w:tcPr>
            <w:tcW w:w="1059" w:type="pct"/>
            <w:shd w:val="clear" w:color="auto" w:fill="FFFFFF"/>
            <w:vAlign w:val="center"/>
          </w:tcPr>
          <w:p w14:paraId="5408FFD0" w14:textId="7AAF1AC0" w:rsidR="006226BE" w:rsidRPr="007C4D65" w:rsidRDefault="006226BE" w:rsidP="006226B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All the key institutions created teams for</w:t>
            </w:r>
            <w:r w:rsidR="004B2BEF" w:rsidRPr="007C4D65">
              <w:rPr>
                <w:rFonts w:asciiTheme="minorHAnsi" w:eastAsiaTheme="minorHAnsi" w:hAnsiTheme="minorHAnsi" w:cstheme="minorHAnsi"/>
                <w:sz w:val="18"/>
                <w:szCs w:val="18"/>
                <w:lang w:eastAsia="en-US" w:bidi="en-US"/>
              </w:rPr>
              <w:t xml:space="preserve"> the</w:t>
            </w:r>
            <w:r w:rsidRPr="007C4D65">
              <w:rPr>
                <w:rFonts w:asciiTheme="minorHAnsi" w:eastAsiaTheme="minorHAnsi" w:hAnsiTheme="minorHAnsi" w:cstheme="minorHAnsi"/>
                <w:sz w:val="18"/>
                <w:szCs w:val="18"/>
                <w:lang w:eastAsia="en-US" w:bidi="en-US"/>
              </w:rPr>
              <w:t xml:space="preserve"> </w:t>
            </w:r>
            <w:r w:rsidRPr="007C4D65">
              <w:rPr>
                <w:rFonts w:asciiTheme="minorHAnsi" w:eastAsia="Calibri" w:hAnsiTheme="minorHAnsi" w:cstheme="minorHAnsi"/>
                <w:sz w:val="18"/>
                <w:szCs w:val="18"/>
                <w:lang w:eastAsia="x-none"/>
              </w:rPr>
              <w:t xml:space="preserve">preparation and </w:t>
            </w:r>
            <w:r w:rsidR="004C4AFA" w:rsidRPr="007C4D65">
              <w:rPr>
                <w:rFonts w:asciiTheme="minorHAnsi" w:eastAsia="Calibri" w:hAnsiTheme="minorHAnsi" w:cstheme="minorHAnsi"/>
                <w:sz w:val="18"/>
                <w:szCs w:val="18"/>
                <w:lang w:eastAsia="x-none"/>
              </w:rPr>
              <w:t>implementation of projects</w:t>
            </w:r>
            <w:r w:rsidRPr="007C4D65">
              <w:rPr>
                <w:rFonts w:asciiTheme="minorHAnsi" w:eastAsia="Calibri" w:hAnsiTheme="minorHAnsi" w:cstheme="minorHAnsi"/>
                <w:sz w:val="18"/>
                <w:szCs w:val="18"/>
                <w:lang w:eastAsia="x-none"/>
              </w:rPr>
              <w:t xml:space="preserve"> </w:t>
            </w:r>
            <w:r w:rsidRPr="007C4D65">
              <w:rPr>
                <w:rFonts w:asciiTheme="minorHAnsi" w:eastAsiaTheme="minorHAnsi" w:hAnsiTheme="minorHAnsi" w:cstheme="minorHAnsi"/>
                <w:sz w:val="18"/>
                <w:szCs w:val="18"/>
                <w:lang w:eastAsia="en-US" w:bidi="en-US"/>
              </w:rPr>
              <w:t>(2026)</w:t>
            </w:r>
          </w:p>
        </w:tc>
      </w:tr>
      <w:tr w:rsidR="006226BE" w:rsidRPr="007C4D65" w14:paraId="4B808762" w14:textId="77777777" w:rsidTr="00B6017F">
        <w:trPr>
          <w:trHeight w:val="567"/>
        </w:trPr>
        <w:tc>
          <w:tcPr>
            <w:tcW w:w="1359" w:type="pct"/>
            <w:shd w:val="clear" w:color="auto" w:fill="009D73"/>
            <w:vAlign w:val="center"/>
          </w:tcPr>
          <w:p w14:paraId="657B6E72" w14:textId="77777777" w:rsidR="006226BE" w:rsidRPr="007C4D65" w:rsidRDefault="006226BE"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shd w:val="clear" w:color="auto" w:fill="FFFFFF"/>
            <w:vAlign w:val="center"/>
          </w:tcPr>
          <w:p w14:paraId="4B490639" w14:textId="77777777" w:rsidR="006226BE" w:rsidRPr="007C4D65" w:rsidRDefault="006226BE" w:rsidP="006226BE">
            <w:pPr>
              <w:spacing w:before="40" w:after="40" w:line="276" w:lineRule="auto"/>
              <w:rPr>
                <w:rFonts w:asciiTheme="minorHAnsi" w:eastAsiaTheme="minorHAnsi" w:hAnsiTheme="minorHAnsi" w:cstheme="minorHAnsi"/>
                <w:sz w:val="18"/>
                <w:szCs w:val="18"/>
                <w:lang w:eastAsia="en-US" w:bidi="en-US"/>
              </w:rPr>
            </w:pPr>
          </w:p>
        </w:tc>
      </w:tr>
      <w:tr w:rsidR="006226BE" w:rsidRPr="007C4D65" w14:paraId="3026CA20"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CD689CE" w14:textId="5F8D8B37" w:rsidR="006226BE" w:rsidRPr="007C4D65" w:rsidRDefault="00963086"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r w:rsidR="006226BE" w:rsidRPr="007C4D65">
              <w:rPr>
                <w:rFonts w:asciiTheme="minorHAnsi" w:eastAsiaTheme="minorHAnsi" w:hAnsiTheme="minorHAnsi" w:cstheme="minorHAnsi"/>
                <w:b/>
                <w:color w:val="FFFFFF" w:themeColor="background1"/>
                <w:sz w:val="18"/>
                <w:szCs w:val="18"/>
                <w:lang w:eastAsia="en-US"/>
              </w:rPr>
              <w:t xml:space="preserve"> </w:t>
            </w:r>
          </w:p>
        </w:tc>
        <w:tc>
          <w:tcPr>
            <w:tcW w:w="3641" w:type="pct"/>
            <w:gridSpan w:val="3"/>
            <w:shd w:val="clear" w:color="auto" w:fill="FFFFFF"/>
            <w:vAlign w:val="center"/>
          </w:tcPr>
          <w:p w14:paraId="237A6A95" w14:textId="1A11B73E" w:rsidR="004B2BEF" w:rsidRPr="007C4D65" w:rsidRDefault="00C224E3" w:rsidP="004B2BEF">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4B2BEF" w:rsidRPr="007C4D65">
              <w:rPr>
                <w:rFonts w:asciiTheme="minorHAnsi" w:hAnsiTheme="minorHAnsi" w:cstheme="minorHAnsi"/>
                <w:sz w:val="18"/>
                <w:szCs w:val="18"/>
                <w:lang w:val="hr-HR" w:bidi="en-US"/>
              </w:rPr>
              <w:t>BAM 149,299</w:t>
            </w:r>
          </w:p>
          <w:p w14:paraId="6D715716" w14:textId="34AF7F25" w:rsidR="006226BE" w:rsidRPr="007C4D65" w:rsidRDefault="009E6B20" w:rsidP="004B2BEF">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val="hr-HR" w:bidi="en-US"/>
              </w:rPr>
              <w:t xml:space="preserve">Source: </w:t>
            </w:r>
            <w:r w:rsidR="004B2BEF" w:rsidRPr="007C4D65">
              <w:rPr>
                <w:rFonts w:asciiTheme="minorHAnsi" w:hAnsiTheme="minorHAnsi" w:cstheme="minorHAnsi"/>
                <w:sz w:val="18"/>
                <w:szCs w:val="18"/>
                <w:lang w:val="hr-HR" w:bidi="en-US"/>
              </w:rPr>
              <w:t xml:space="preserve">20%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4B2BEF" w:rsidRPr="007C4D65">
              <w:rPr>
                <w:rFonts w:asciiTheme="minorHAnsi" w:hAnsiTheme="minorHAnsi" w:cstheme="minorHAnsi"/>
                <w:sz w:val="18"/>
                <w:szCs w:val="18"/>
                <w:lang w:val="hr-HR" w:bidi="en-US"/>
              </w:rPr>
              <w:t xml:space="preserve">, 80% </w:t>
            </w:r>
            <w:r w:rsidR="00C224E3" w:rsidRPr="007C4D65">
              <w:rPr>
                <w:rFonts w:asciiTheme="minorHAnsi" w:hAnsiTheme="minorHAnsi" w:cstheme="minorHAnsi"/>
                <w:sz w:val="18"/>
                <w:szCs w:val="18"/>
                <w:lang w:val="hr-HR" w:bidi="en-US"/>
              </w:rPr>
              <w:t>funds from EU and other international donors</w:t>
            </w:r>
          </w:p>
        </w:tc>
      </w:tr>
      <w:tr w:rsidR="006226BE" w:rsidRPr="007C4D65" w14:paraId="0061AACC"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B24ED17" w14:textId="77777777" w:rsidR="006226BE" w:rsidRPr="007C4D65" w:rsidRDefault="006226BE"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shd w:val="clear" w:color="auto" w:fill="FFFFFF"/>
            <w:vAlign w:val="center"/>
          </w:tcPr>
          <w:p w14:paraId="32A85F6D" w14:textId="77777777" w:rsidR="006226BE" w:rsidRPr="007C4D65" w:rsidRDefault="006226BE" w:rsidP="006226B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2030</w:t>
            </w:r>
          </w:p>
        </w:tc>
      </w:tr>
      <w:tr w:rsidR="006226BE" w:rsidRPr="007C4D65" w14:paraId="22F423A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DE2118D" w14:textId="77777777" w:rsidR="006226BE" w:rsidRPr="007C4D65" w:rsidRDefault="006226BE"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shd w:val="clear" w:color="auto" w:fill="FFFFFF"/>
            <w:vAlign w:val="center"/>
          </w:tcPr>
          <w:p w14:paraId="2D65517E" w14:textId="3D94493A" w:rsidR="006226BE" w:rsidRPr="007C4D65" w:rsidRDefault="006226BE" w:rsidP="00123950">
            <w:pPr>
              <w:spacing w:after="160" w:line="259"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All the </w:t>
            </w:r>
            <w:r w:rsidR="004B2BEF" w:rsidRPr="007C4D65">
              <w:rPr>
                <w:rFonts w:asciiTheme="minorHAnsi" w:eastAsiaTheme="minorHAnsi" w:hAnsiTheme="minorHAnsi" w:cstheme="minorHAnsi"/>
                <w:sz w:val="18"/>
                <w:szCs w:val="18"/>
                <w:lang w:eastAsia="en-US" w:bidi="en-US"/>
              </w:rPr>
              <w:t xml:space="preserve">environmental </w:t>
            </w:r>
            <w:r w:rsidRPr="007C4D65">
              <w:rPr>
                <w:rFonts w:asciiTheme="minorHAnsi" w:eastAsiaTheme="minorHAnsi" w:hAnsiTheme="minorHAnsi" w:cstheme="minorHAnsi"/>
                <w:sz w:val="18"/>
                <w:szCs w:val="18"/>
                <w:lang w:eastAsia="en-US" w:bidi="en-US"/>
              </w:rPr>
              <w:t xml:space="preserve">institutions </w:t>
            </w:r>
            <w:r w:rsidRPr="007C4D65">
              <w:rPr>
                <w:rFonts w:asciiTheme="minorHAnsi" w:eastAsia="Calibri" w:hAnsiTheme="minorHAnsi" w:cstheme="minorHAnsi"/>
                <w:sz w:val="18"/>
                <w:szCs w:val="18"/>
                <w:lang w:eastAsia="x-none"/>
              </w:rPr>
              <w:t xml:space="preserve">in the </w:t>
            </w:r>
            <w:r w:rsidRPr="007C4D65">
              <w:rPr>
                <w:rFonts w:asciiTheme="minorHAnsi" w:eastAsia="Calibri" w:hAnsiTheme="minorHAnsi" w:cstheme="minorHAnsi"/>
                <w:sz w:val="18"/>
                <w:szCs w:val="18"/>
                <w:lang w:eastAsia="en-US" w:bidi="en-US"/>
              </w:rPr>
              <w:t xml:space="preserve">Federation of </w:t>
            </w:r>
            <w:r w:rsidR="004B2BEF" w:rsidRPr="007C4D65">
              <w:rPr>
                <w:rFonts w:asciiTheme="minorHAnsi" w:eastAsia="Calibri" w:hAnsiTheme="minorHAnsi" w:cstheme="minorHAnsi"/>
                <w:sz w:val="18"/>
                <w:szCs w:val="18"/>
                <w:lang w:eastAsia="en-US" w:bidi="en-US"/>
              </w:rPr>
              <w:t>BiH</w:t>
            </w:r>
            <w:r w:rsidRPr="007C4D65">
              <w:rPr>
                <w:rFonts w:asciiTheme="minorHAnsi" w:eastAsia="Calibri" w:hAnsiTheme="minorHAnsi" w:cstheme="minorHAnsi"/>
                <w:sz w:val="18"/>
                <w:szCs w:val="18"/>
                <w:lang w:eastAsia="en-US" w:bidi="en-US"/>
              </w:rPr>
              <w:t>, within their competencies</w:t>
            </w:r>
          </w:p>
        </w:tc>
      </w:tr>
      <w:tr w:rsidR="006226BE" w:rsidRPr="007C4D65" w14:paraId="40670149"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B09293F" w14:textId="77777777" w:rsidR="006226BE" w:rsidRPr="007C4D65" w:rsidRDefault="006226BE"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shd w:val="clear" w:color="auto" w:fill="FFFFFF"/>
            <w:vAlign w:val="center"/>
          </w:tcPr>
          <w:p w14:paraId="79800C5B" w14:textId="430A4A17" w:rsidR="006226BE" w:rsidRPr="007C4D65" w:rsidRDefault="004B2BEF" w:rsidP="006226B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All the environmental institutions</w:t>
            </w:r>
            <w:r w:rsidR="006226BE" w:rsidRPr="007C4D65">
              <w:rPr>
                <w:rFonts w:asciiTheme="minorHAnsi" w:eastAsia="Calibri" w:hAnsiTheme="minorHAnsi" w:cstheme="minorHAnsi"/>
                <w:sz w:val="18"/>
                <w:szCs w:val="18"/>
                <w:lang w:eastAsia="x-none"/>
              </w:rPr>
              <w:t xml:space="preserve">, in cooperation with the </w:t>
            </w:r>
            <w:r w:rsidR="006226BE" w:rsidRPr="007C4D65">
              <w:rPr>
                <w:rFonts w:asciiTheme="minorHAnsi" w:eastAsia="Calibri" w:hAnsiTheme="minorHAnsi" w:cstheme="minorHAnsi"/>
                <w:bCs/>
                <w:sz w:val="18"/>
                <w:szCs w:val="18"/>
                <w:lang w:eastAsia="x-none"/>
              </w:rPr>
              <w:t xml:space="preserve">Civil Service Agency of </w:t>
            </w:r>
            <w:r w:rsidRPr="007C4D65">
              <w:rPr>
                <w:rFonts w:asciiTheme="minorHAnsi" w:eastAsia="Calibri" w:hAnsiTheme="minorHAnsi" w:cstheme="minorHAnsi"/>
                <w:bCs/>
                <w:sz w:val="18"/>
                <w:szCs w:val="18"/>
                <w:lang w:eastAsia="x-none"/>
              </w:rPr>
              <w:t xml:space="preserve">the Federation of </w:t>
            </w:r>
            <w:r w:rsidR="006226BE" w:rsidRPr="007C4D65">
              <w:rPr>
                <w:rFonts w:asciiTheme="minorHAnsi" w:eastAsia="Calibri" w:hAnsiTheme="minorHAnsi" w:cstheme="minorHAnsi"/>
                <w:bCs/>
                <w:sz w:val="18"/>
                <w:szCs w:val="18"/>
                <w:lang w:eastAsia="x-none"/>
              </w:rPr>
              <w:t>BiH</w:t>
            </w:r>
            <w:r w:rsidR="006226BE" w:rsidRPr="007C4D65">
              <w:rPr>
                <w:rFonts w:asciiTheme="minorHAnsi" w:eastAsiaTheme="minorHAnsi" w:hAnsiTheme="minorHAnsi" w:cstheme="minorHAnsi"/>
                <w:sz w:val="18"/>
                <w:szCs w:val="18"/>
                <w:lang w:eastAsia="en-US" w:bidi="en-US"/>
              </w:rPr>
              <w:t xml:space="preserve"> and </w:t>
            </w:r>
            <w:r w:rsidR="006226BE" w:rsidRPr="007C4D65">
              <w:rPr>
                <w:rFonts w:asciiTheme="minorHAnsi" w:eastAsia="Calibri" w:hAnsiTheme="minorHAnsi" w:cstheme="minorHAnsi"/>
                <w:sz w:val="18"/>
                <w:szCs w:val="18"/>
                <w:lang w:eastAsia="x-none"/>
              </w:rPr>
              <w:t xml:space="preserve">in cooperation with </w:t>
            </w:r>
            <w:r w:rsidR="006226BE" w:rsidRPr="007C4D65">
              <w:rPr>
                <w:rFonts w:asciiTheme="minorHAnsi" w:eastAsiaTheme="minorHAnsi" w:hAnsiTheme="minorHAnsi" w:cstheme="minorHAnsi"/>
                <w:sz w:val="18"/>
                <w:szCs w:val="18"/>
                <w:lang w:eastAsia="en-US" w:bidi="en-US"/>
              </w:rPr>
              <w:t>other institutions</w:t>
            </w:r>
            <w:r w:rsidR="008F6949" w:rsidRPr="007C4D65">
              <w:rPr>
                <w:rFonts w:asciiTheme="minorHAnsi" w:eastAsiaTheme="minorHAnsi" w:hAnsiTheme="minorHAnsi" w:cstheme="minorHAnsi"/>
                <w:sz w:val="18"/>
                <w:szCs w:val="18"/>
                <w:lang w:eastAsia="en-US" w:bidi="en-US"/>
              </w:rPr>
              <w:t xml:space="preserve"> responsible</w:t>
            </w:r>
            <w:r w:rsidR="006226BE" w:rsidRPr="007C4D65">
              <w:rPr>
                <w:rFonts w:asciiTheme="minorHAnsi" w:eastAsiaTheme="minorHAnsi" w:hAnsiTheme="minorHAnsi" w:cstheme="minorHAnsi"/>
                <w:sz w:val="18"/>
                <w:szCs w:val="18"/>
                <w:lang w:eastAsia="en-US" w:bidi="en-US"/>
              </w:rPr>
              <w:t xml:space="preserve"> for training</w:t>
            </w:r>
            <w:r w:rsidR="008F6949" w:rsidRPr="007C4D65">
              <w:rPr>
                <w:rFonts w:asciiTheme="minorHAnsi" w:eastAsiaTheme="minorHAnsi" w:hAnsiTheme="minorHAnsi" w:cstheme="minorHAnsi"/>
                <w:sz w:val="18"/>
                <w:szCs w:val="18"/>
                <w:lang w:eastAsia="en-US" w:bidi="en-US"/>
              </w:rPr>
              <w:t>s</w:t>
            </w:r>
            <w:r w:rsidR="006226BE" w:rsidRPr="007C4D65">
              <w:rPr>
                <w:rFonts w:asciiTheme="minorHAnsi" w:eastAsiaTheme="minorHAnsi" w:hAnsiTheme="minorHAnsi" w:cstheme="minorHAnsi"/>
                <w:sz w:val="18"/>
                <w:szCs w:val="18"/>
                <w:lang w:eastAsia="en-US" w:bidi="en-US"/>
              </w:rPr>
              <w:t xml:space="preserve"> (e.g.  </w:t>
            </w:r>
            <w:r w:rsidR="006226BE" w:rsidRPr="007C4D65">
              <w:rPr>
                <w:rFonts w:asciiTheme="minorHAnsi" w:eastAsiaTheme="minorHAnsi" w:hAnsiTheme="minorHAnsi" w:cstheme="minorHAnsi"/>
                <w:sz w:val="18"/>
                <w:szCs w:val="18"/>
                <w:lang w:eastAsia="en-US"/>
              </w:rPr>
              <w:t>Centre for Judicial and Prosecutorial Training of the Federation of B</w:t>
            </w:r>
            <w:r w:rsidR="006226BE" w:rsidRPr="007C4D65">
              <w:rPr>
                <w:rFonts w:asciiTheme="minorHAnsi" w:eastAsiaTheme="minorHAnsi" w:hAnsiTheme="minorHAnsi" w:cstheme="minorHAnsi"/>
                <w:sz w:val="18"/>
                <w:szCs w:val="18"/>
                <w:lang w:eastAsia="en-US" w:bidi="en-US"/>
              </w:rPr>
              <w:t xml:space="preserve">iH, </w:t>
            </w:r>
            <w:r w:rsidR="006226BE" w:rsidRPr="007C4D65">
              <w:rPr>
                <w:rFonts w:asciiTheme="minorHAnsi" w:eastAsiaTheme="minorHAnsi" w:hAnsiTheme="minorHAnsi" w:cstheme="minorHAnsi"/>
                <w:sz w:val="18"/>
                <w:szCs w:val="18"/>
                <w:shd w:val="clear" w:color="auto" w:fill="FFFFFF"/>
                <w:lang w:eastAsia="en-US"/>
              </w:rPr>
              <w:t xml:space="preserve">Association of Municipalities and Cities of the Federation of </w:t>
            </w:r>
            <w:r w:rsidR="006226BE" w:rsidRPr="007C4D65">
              <w:rPr>
                <w:rFonts w:asciiTheme="minorHAnsi" w:eastAsia="Calibri" w:hAnsiTheme="minorHAnsi" w:cstheme="minorHAnsi"/>
                <w:sz w:val="18"/>
                <w:szCs w:val="18"/>
                <w:lang w:eastAsia="x-none"/>
              </w:rPr>
              <w:t>BiH</w:t>
            </w:r>
            <w:r w:rsidR="006226BE" w:rsidRPr="007C4D65">
              <w:rPr>
                <w:rFonts w:asciiTheme="minorHAnsi" w:eastAsiaTheme="minorHAnsi" w:hAnsiTheme="minorHAnsi" w:cstheme="minorHAnsi"/>
                <w:sz w:val="18"/>
                <w:szCs w:val="18"/>
                <w:lang w:eastAsia="en-US" w:bidi="en-US"/>
              </w:rPr>
              <w:t>, etc.)</w:t>
            </w:r>
          </w:p>
        </w:tc>
      </w:tr>
      <w:tr w:rsidR="006226BE" w:rsidRPr="007C4D65" w14:paraId="4D6ED92A"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AA91BAB" w14:textId="11F8F396" w:rsidR="006226BE" w:rsidRPr="007C4D65" w:rsidRDefault="00963086" w:rsidP="006226B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shd w:val="clear" w:color="auto" w:fill="FFFFFF"/>
            <w:vAlign w:val="center"/>
          </w:tcPr>
          <w:p w14:paraId="54975A45" w14:textId="5DB17E2C" w:rsidR="006226BE" w:rsidRPr="007C4D65" w:rsidRDefault="006226BE" w:rsidP="006226B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All the environmental institutions</w:t>
            </w:r>
          </w:p>
        </w:tc>
      </w:tr>
    </w:tbl>
    <w:p w14:paraId="226510E7" w14:textId="70EF5013"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5"/>
        <w:gridCol w:w="3492"/>
        <w:gridCol w:w="3242"/>
        <w:gridCol w:w="2762"/>
      </w:tblGrid>
      <w:tr w:rsidR="005423BB" w:rsidRPr="007C4D65" w14:paraId="69F4A98E" w14:textId="77777777" w:rsidTr="00B6017F">
        <w:trPr>
          <w:trHeight w:val="567"/>
        </w:trPr>
        <w:tc>
          <w:tcPr>
            <w:tcW w:w="1359" w:type="pct"/>
            <w:shd w:val="clear" w:color="auto" w:fill="009D73"/>
            <w:vAlign w:val="center"/>
          </w:tcPr>
          <w:p w14:paraId="451F5576"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Link with strategic goal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D0F95DA" w14:textId="07713EB0" w:rsidR="005423BB" w:rsidRPr="007C4D65" w:rsidRDefault="005423BB" w:rsidP="005423BB">
            <w:pPr>
              <w:spacing w:after="160" w:line="259"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7. Strengthening environmental management</w:t>
            </w:r>
          </w:p>
        </w:tc>
      </w:tr>
      <w:tr w:rsidR="005423BB" w:rsidRPr="007C4D65" w14:paraId="6A193B4E" w14:textId="77777777" w:rsidTr="00B6017F">
        <w:trPr>
          <w:trHeight w:val="567"/>
        </w:trPr>
        <w:tc>
          <w:tcPr>
            <w:tcW w:w="1359" w:type="pct"/>
            <w:shd w:val="clear" w:color="auto" w:fill="009D73"/>
            <w:vAlign w:val="center"/>
          </w:tcPr>
          <w:p w14:paraId="6A1992DC"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223FFCC" w14:textId="102E6655" w:rsidR="005423BB" w:rsidRPr="007C4D65" w:rsidRDefault="005423BB" w:rsidP="005423BB">
            <w:pPr>
              <w:spacing w:before="40" w:after="40" w:line="276" w:lineRule="auto"/>
              <w:rPr>
                <w:rFonts w:asciiTheme="minorHAnsi" w:hAnsiTheme="minorHAnsi" w:cstheme="minorHAnsi"/>
                <w:b/>
                <w:bCs/>
                <w:sz w:val="18"/>
                <w:szCs w:val="18"/>
                <w:lang w:eastAsia="zh-TW"/>
              </w:rPr>
            </w:pPr>
            <w:r w:rsidRPr="007C4D65">
              <w:rPr>
                <w:rFonts w:asciiTheme="minorHAnsi" w:eastAsia="Calibri" w:hAnsiTheme="minorHAnsi" w:cstheme="minorHAnsi"/>
                <w:b/>
                <w:bCs/>
                <w:sz w:val="18"/>
                <w:szCs w:val="18"/>
                <w:lang w:eastAsia="en-US"/>
              </w:rPr>
              <w:t xml:space="preserve">7.4 </w:t>
            </w:r>
            <w:r w:rsidR="00A323B2" w:rsidRPr="007C4D65">
              <w:rPr>
                <w:rFonts w:asciiTheme="minorHAnsi" w:eastAsia="Calibri" w:hAnsiTheme="minorHAnsi" w:cstheme="minorHAnsi"/>
                <w:b/>
                <w:bCs/>
                <w:sz w:val="18"/>
                <w:szCs w:val="18"/>
                <w:lang w:eastAsia="en-US"/>
              </w:rPr>
              <w:t xml:space="preserve">Ensuring strong public awareness on the importance of the environmental protection and their engagement in </w:t>
            </w:r>
            <w:r w:rsidR="009F16BA" w:rsidRPr="007C4D65">
              <w:rPr>
                <w:rFonts w:asciiTheme="minorHAnsi" w:eastAsia="Calibri" w:hAnsiTheme="minorHAnsi" w:cstheme="minorHAnsi"/>
                <w:b/>
                <w:bCs/>
                <w:sz w:val="18"/>
                <w:szCs w:val="18"/>
                <w:lang w:eastAsia="en-US"/>
              </w:rPr>
              <w:t xml:space="preserve">decision-making  </w:t>
            </w:r>
            <w:r w:rsidR="00A323B2" w:rsidRPr="007C4D65">
              <w:rPr>
                <w:rFonts w:asciiTheme="minorHAnsi" w:eastAsia="Calibri" w:hAnsiTheme="minorHAnsi" w:cstheme="minorHAnsi"/>
                <w:b/>
                <w:bCs/>
                <w:sz w:val="18"/>
                <w:szCs w:val="18"/>
                <w:lang w:eastAsia="en-US"/>
              </w:rPr>
              <w:t xml:space="preserve"> processes, focusing on women, youth and socially vulnerable groups</w:t>
            </w:r>
          </w:p>
        </w:tc>
      </w:tr>
      <w:tr w:rsidR="005423BB" w:rsidRPr="007C4D65" w14:paraId="4AEBA2BB" w14:textId="77777777" w:rsidTr="00B6017F">
        <w:trPr>
          <w:trHeight w:val="567"/>
        </w:trPr>
        <w:tc>
          <w:tcPr>
            <w:tcW w:w="1359" w:type="pct"/>
            <w:shd w:val="clear" w:color="auto" w:fill="009D73"/>
            <w:vAlign w:val="center"/>
          </w:tcPr>
          <w:p w14:paraId="65050576"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1614046" w14:textId="7D4258B7" w:rsidR="005423BB" w:rsidRPr="007C4D65" w:rsidRDefault="005423BB" w:rsidP="005423BB">
            <w:pPr>
              <w:spacing w:after="160" w:line="276" w:lineRule="auto"/>
              <w:rPr>
                <w:rFonts w:asciiTheme="minorHAnsi" w:eastAsia="Calibri" w:hAnsiTheme="minorHAnsi" w:cstheme="minorHAnsi"/>
                <w:b/>
                <w:sz w:val="18"/>
                <w:szCs w:val="18"/>
                <w:lang w:eastAsia="x-none"/>
              </w:rPr>
            </w:pPr>
            <w:r w:rsidRPr="007C4D65">
              <w:rPr>
                <w:rFonts w:asciiTheme="minorHAnsi" w:eastAsia="Calibri" w:hAnsiTheme="minorHAnsi" w:cstheme="minorHAnsi"/>
                <w:b/>
                <w:sz w:val="18"/>
                <w:szCs w:val="18"/>
                <w:lang w:eastAsia="x-none"/>
              </w:rPr>
              <w:t xml:space="preserve">7.4.1 Education and raising awareness about the </w:t>
            </w:r>
            <w:proofErr w:type="gramStart"/>
            <w:r w:rsidRPr="007C4D65">
              <w:rPr>
                <w:rFonts w:asciiTheme="minorHAnsi" w:eastAsia="Calibri" w:hAnsiTheme="minorHAnsi" w:cstheme="minorHAnsi"/>
                <w:b/>
                <w:sz w:val="18"/>
                <w:szCs w:val="18"/>
                <w:lang w:eastAsia="x-none"/>
              </w:rPr>
              <w:t>need and importance of</w:t>
            </w:r>
            <w:proofErr w:type="gramEnd"/>
            <w:r w:rsidRPr="007C4D65">
              <w:rPr>
                <w:rFonts w:asciiTheme="minorHAnsi" w:eastAsia="Calibri" w:hAnsiTheme="minorHAnsi" w:cstheme="minorHAnsi"/>
                <w:b/>
                <w:sz w:val="18"/>
                <w:szCs w:val="18"/>
                <w:lang w:eastAsia="x-none"/>
              </w:rPr>
              <w:t xml:space="preserve"> environmental protection</w:t>
            </w:r>
          </w:p>
        </w:tc>
      </w:tr>
      <w:tr w:rsidR="005423BB" w:rsidRPr="007C4D65" w14:paraId="49830714"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CCECFF3" w14:textId="77777777" w:rsidR="005423BB" w:rsidRPr="007C4D65" w:rsidRDefault="005423BB" w:rsidP="005423BB">
            <w:pPr>
              <w:spacing w:before="40" w:after="40" w:line="276" w:lineRule="auto"/>
              <w:ind w:left="406"/>
              <w:contextualSpacing/>
              <w:rPr>
                <w:rFonts w:asciiTheme="minorHAnsi" w:eastAsia="Calibri" w:hAnsiTheme="minorHAnsi" w:cstheme="minorHAnsi"/>
                <w:sz w:val="18"/>
                <w:szCs w:val="18"/>
                <w:lang w:eastAsia="en-US"/>
              </w:rPr>
            </w:pPr>
            <w:r w:rsidRPr="007C4D65">
              <w:rPr>
                <w:rFonts w:asciiTheme="minorHAnsi" w:eastAsia="Calibri" w:hAnsiTheme="minorHAnsi" w:cstheme="minorHAnsi"/>
                <w:b/>
                <w:bCs/>
                <w:color w:val="FFFFFF"/>
                <w:sz w:val="18"/>
                <w:szCs w:val="18"/>
                <w:lang w:eastAsia="en-US" w:bidi="en-US"/>
              </w:rPr>
              <w:lastRenderedPageBreak/>
              <w:t>Description of the measure with the general area of intervention</w:t>
            </w:r>
          </w:p>
          <w:p w14:paraId="350C8C52"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D7006F9" w14:textId="7235BE9D" w:rsidR="005423BB" w:rsidRPr="007C4D65" w:rsidRDefault="005423BB" w:rsidP="005423BB">
            <w:pPr>
              <w:spacing w:after="160" w:line="259" w:lineRule="auto"/>
              <w:jc w:val="both"/>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 xml:space="preserve">The aim of this measure is to ensure greater public awareness about the importance of environment protection and </w:t>
            </w:r>
            <w:r w:rsidR="00A844A0" w:rsidRPr="007C4D65">
              <w:rPr>
                <w:rFonts w:asciiTheme="minorHAnsi" w:eastAsia="Calibri" w:hAnsiTheme="minorHAnsi" w:cstheme="minorHAnsi"/>
                <w:sz w:val="18"/>
                <w:szCs w:val="18"/>
                <w:lang w:eastAsia="en-US"/>
              </w:rPr>
              <w:t>engagement</w:t>
            </w:r>
            <w:r w:rsidRPr="007C4D65">
              <w:rPr>
                <w:rFonts w:asciiTheme="minorHAnsi" w:eastAsia="Calibri" w:hAnsiTheme="minorHAnsi" w:cstheme="minorHAnsi"/>
                <w:sz w:val="18"/>
                <w:szCs w:val="18"/>
                <w:lang w:eastAsia="en-US"/>
              </w:rPr>
              <w:t xml:space="preserve"> in </w:t>
            </w:r>
            <w:r w:rsidR="009F16BA" w:rsidRPr="007C4D65">
              <w:rPr>
                <w:rFonts w:asciiTheme="minorHAnsi" w:eastAsia="Calibri" w:hAnsiTheme="minorHAnsi" w:cstheme="minorHAnsi"/>
                <w:sz w:val="18"/>
                <w:szCs w:val="18"/>
                <w:lang w:eastAsia="en-US"/>
              </w:rPr>
              <w:t>decision-making</w:t>
            </w:r>
            <w:r w:rsidRPr="007C4D65">
              <w:rPr>
                <w:rFonts w:asciiTheme="minorHAnsi" w:eastAsia="Calibri" w:hAnsiTheme="minorHAnsi" w:cstheme="minorHAnsi"/>
                <w:sz w:val="18"/>
                <w:szCs w:val="18"/>
                <w:lang w:eastAsia="en-US"/>
              </w:rPr>
              <w:t xml:space="preserve">, especially </w:t>
            </w:r>
            <w:r w:rsidR="00A844A0" w:rsidRPr="007C4D65">
              <w:rPr>
                <w:rFonts w:asciiTheme="minorHAnsi" w:eastAsia="Calibri" w:hAnsiTheme="minorHAnsi" w:cstheme="minorHAnsi"/>
                <w:sz w:val="18"/>
                <w:szCs w:val="18"/>
                <w:lang w:eastAsia="en-US"/>
              </w:rPr>
              <w:t>focusing on</w:t>
            </w:r>
            <w:r w:rsidRPr="007C4D65">
              <w:rPr>
                <w:rFonts w:asciiTheme="minorHAnsi" w:eastAsia="Calibri" w:hAnsiTheme="minorHAnsi" w:cstheme="minorHAnsi"/>
                <w:sz w:val="18"/>
                <w:szCs w:val="18"/>
                <w:lang w:eastAsia="en-US"/>
              </w:rPr>
              <w:t xml:space="preserve"> women, young people and socially vulnerable groups. This </w:t>
            </w:r>
            <w:r w:rsidR="00A844A0" w:rsidRPr="007C4D65">
              <w:rPr>
                <w:rFonts w:asciiTheme="minorHAnsi" w:eastAsia="Calibri" w:hAnsiTheme="minorHAnsi" w:cstheme="minorHAnsi"/>
                <w:sz w:val="18"/>
                <w:szCs w:val="18"/>
                <w:lang w:eastAsia="en-US"/>
              </w:rPr>
              <w:t>requires</w:t>
            </w:r>
            <w:r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en-US"/>
              </w:rPr>
              <w:t>continu</w:t>
            </w:r>
            <w:r w:rsidR="00A844A0" w:rsidRPr="007C4D65">
              <w:rPr>
                <w:rFonts w:asciiTheme="minorHAnsi" w:eastAsia="Calibri" w:hAnsiTheme="minorHAnsi" w:cstheme="minorHAnsi"/>
                <w:sz w:val="18"/>
                <w:szCs w:val="18"/>
                <w:lang w:eastAsia="en-US"/>
              </w:rPr>
              <w:t xml:space="preserve">ed </w:t>
            </w:r>
            <w:r w:rsidRPr="007C4D65">
              <w:rPr>
                <w:rFonts w:asciiTheme="minorHAnsi" w:eastAsia="Calibri" w:hAnsiTheme="minorHAnsi" w:cstheme="minorHAnsi"/>
                <w:sz w:val="18"/>
                <w:szCs w:val="18"/>
                <w:lang w:eastAsia="en-US"/>
              </w:rPr>
              <w:t xml:space="preserve">awareness raising activities about the need </w:t>
            </w:r>
            <w:r w:rsidR="00A844A0" w:rsidRPr="007C4D65">
              <w:rPr>
                <w:rFonts w:asciiTheme="minorHAnsi" w:eastAsia="Calibri" w:hAnsiTheme="minorHAnsi" w:cstheme="minorHAnsi"/>
                <w:sz w:val="18"/>
                <w:szCs w:val="18"/>
                <w:lang w:eastAsia="en-US"/>
              </w:rPr>
              <w:t>importance</w:t>
            </w:r>
            <w:r w:rsidR="00A844A0" w:rsidRPr="007C4D65">
              <w:rPr>
                <w:rFonts w:asciiTheme="minorHAnsi" w:eastAsia="Calibri" w:hAnsiTheme="minorHAnsi" w:cstheme="minorHAnsi"/>
                <w:sz w:val="18"/>
                <w:szCs w:val="18"/>
                <w:lang w:eastAsia="x-none"/>
              </w:rPr>
              <w:t xml:space="preserve"> of environmental protection</w:t>
            </w:r>
            <w:r w:rsidRPr="007C4D65">
              <w:rPr>
                <w:rFonts w:asciiTheme="minorHAnsi" w:eastAsia="Calibri" w:hAnsiTheme="minorHAnsi" w:cstheme="minorHAnsi"/>
                <w:sz w:val="18"/>
                <w:szCs w:val="18"/>
                <w:lang w:eastAsia="x-none"/>
              </w:rPr>
              <w:t>, as well as continu</w:t>
            </w:r>
            <w:r w:rsidR="00A844A0" w:rsidRPr="007C4D65">
              <w:rPr>
                <w:rFonts w:asciiTheme="minorHAnsi" w:eastAsia="Calibri" w:hAnsiTheme="minorHAnsi" w:cstheme="minorHAnsi"/>
                <w:sz w:val="18"/>
                <w:szCs w:val="18"/>
                <w:lang w:eastAsia="x-none"/>
              </w:rPr>
              <w:t>ed</w:t>
            </w:r>
            <w:r w:rsidRPr="007C4D65">
              <w:rPr>
                <w:rFonts w:asciiTheme="minorHAnsi" w:eastAsia="Calibri" w:hAnsiTheme="minorHAnsi" w:cstheme="minorHAnsi"/>
                <w:sz w:val="18"/>
                <w:szCs w:val="18"/>
                <w:lang w:eastAsia="x-none"/>
              </w:rPr>
              <w:t xml:space="preserve"> education program</w:t>
            </w:r>
            <w:r w:rsidR="00A844A0" w:rsidRPr="007C4D65">
              <w:rPr>
                <w:rFonts w:asciiTheme="minorHAnsi" w:eastAsia="Calibri" w:hAnsiTheme="minorHAnsi" w:cstheme="minorHAnsi"/>
                <w:sz w:val="18"/>
                <w:szCs w:val="18"/>
                <w:lang w:eastAsia="x-none"/>
              </w:rPr>
              <w:t>me</w:t>
            </w:r>
            <w:r w:rsidRPr="007C4D65">
              <w:rPr>
                <w:rFonts w:asciiTheme="minorHAnsi" w:eastAsia="Calibri" w:hAnsiTheme="minorHAnsi" w:cstheme="minorHAnsi"/>
                <w:sz w:val="18"/>
                <w:szCs w:val="18"/>
                <w:lang w:eastAsia="x-none"/>
              </w:rPr>
              <w:t xml:space="preserve">s. </w:t>
            </w:r>
            <w:r w:rsidR="00A844A0" w:rsidRPr="007C4D65">
              <w:rPr>
                <w:rFonts w:asciiTheme="minorHAnsi" w:eastAsia="Calibri" w:hAnsiTheme="minorHAnsi" w:cstheme="minorHAnsi"/>
                <w:sz w:val="18"/>
                <w:szCs w:val="18"/>
                <w:lang w:eastAsia="en-US"/>
              </w:rPr>
              <w:t>C</w:t>
            </w:r>
            <w:r w:rsidRPr="007C4D65">
              <w:rPr>
                <w:rFonts w:asciiTheme="minorHAnsi" w:eastAsia="Calibri" w:hAnsiTheme="minorHAnsi" w:cstheme="minorHAnsi"/>
                <w:sz w:val="18"/>
                <w:szCs w:val="18"/>
                <w:lang w:eastAsia="en-US"/>
              </w:rPr>
              <w:t>ivil society</w:t>
            </w:r>
            <w:r w:rsidR="00A844A0" w:rsidRPr="007C4D65">
              <w:rPr>
                <w:rFonts w:asciiTheme="minorHAnsi" w:eastAsia="Calibri" w:hAnsiTheme="minorHAnsi" w:cstheme="minorHAnsi"/>
                <w:sz w:val="18"/>
                <w:szCs w:val="18"/>
                <w:lang w:eastAsia="en-US"/>
              </w:rPr>
              <w:t xml:space="preserve"> organisations</w:t>
            </w:r>
            <w:r w:rsidRPr="007C4D65">
              <w:rPr>
                <w:rFonts w:asciiTheme="minorHAnsi" w:eastAsia="Calibri" w:hAnsiTheme="minorHAnsi" w:cstheme="minorHAnsi"/>
                <w:sz w:val="18"/>
                <w:szCs w:val="18"/>
                <w:lang w:eastAsia="en-US"/>
              </w:rPr>
              <w:t xml:space="preserve"> will </w:t>
            </w:r>
            <w:r w:rsidR="00A844A0" w:rsidRPr="007C4D65">
              <w:rPr>
                <w:rFonts w:asciiTheme="minorHAnsi" w:eastAsia="Calibri" w:hAnsiTheme="minorHAnsi" w:cstheme="minorHAnsi"/>
                <w:sz w:val="18"/>
                <w:szCs w:val="18"/>
                <w:lang w:eastAsia="en-US"/>
              </w:rPr>
              <w:t>also be included in</w:t>
            </w:r>
            <w:r w:rsidRPr="007C4D65">
              <w:rPr>
                <w:rFonts w:asciiTheme="minorHAnsi" w:eastAsia="Calibri" w:hAnsiTheme="minorHAnsi" w:cstheme="minorHAnsi"/>
                <w:sz w:val="18"/>
                <w:szCs w:val="18"/>
                <w:lang w:eastAsia="en-US"/>
              </w:rPr>
              <w:t xml:space="preserve"> these activities. Besides, this measure also includes promotion of measures that can influence design of products as well as environmental protection systems </w:t>
            </w:r>
            <w:r w:rsidRPr="007C4D65">
              <w:rPr>
                <w:rFonts w:asciiTheme="minorHAnsi" w:eastAsia="Calibri" w:hAnsiTheme="minorHAnsi" w:cstheme="minorHAnsi"/>
                <w:sz w:val="18"/>
                <w:szCs w:val="18"/>
                <w:lang w:eastAsia="x-none"/>
              </w:rPr>
              <w:t>(EMAS and ISO 14001).</w:t>
            </w:r>
          </w:p>
          <w:p w14:paraId="0DC8487D" w14:textId="77777777" w:rsidR="005423BB" w:rsidRPr="007C4D65" w:rsidRDefault="005423BB" w:rsidP="005423BB">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General areas of intervention</w:t>
            </w:r>
            <w:r w:rsidRPr="007C4D65">
              <w:rPr>
                <w:rFonts w:asciiTheme="minorHAnsi" w:eastAsia="Calibri" w:hAnsiTheme="minorHAnsi" w:cstheme="minorHAnsi"/>
                <w:sz w:val="18"/>
                <w:szCs w:val="18"/>
                <w:lang w:eastAsia="x-none"/>
              </w:rPr>
              <w:t>:</w:t>
            </w:r>
          </w:p>
          <w:p w14:paraId="5791A891" w14:textId="12DE93AF" w:rsidR="005423BB" w:rsidRPr="007C4D65" w:rsidRDefault="00A844A0" w:rsidP="00A844A0">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1) </w:t>
            </w:r>
            <w:r w:rsidR="005423BB" w:rsidRPr="007C4D65">
              <w:rPr>
                <w:rFonts w:asciiTheme="minorHAnsi" w:eastAsia="Calibri" w:hAnsiTheme="minorHAnsi" w:cstheme="minorHAnsi"/>
                <w:sz w:val="18"/>
                <w:szCs w:val="18"/>
                <w:lang w:eastAsia="x-none"/>
              </w:rPr>
              <w:t>Continu</w:t>
            </w:r>
            <w:r w:rsidRPr="007C4D65">
              <w:rPr>
                <w:rFonts w:asciiTheme="minorHAnsi" w:eastAsia="Calibri" w:hAnsiTheme="minorHAnsi" w:cstheme="minorHAnsi"/>
                <w:sz w:val="18"/>
                <w:szCs w:val="18"/>
                <w:lang w:eastAsia="x-none"/>
              </w:rPr>
              <w:t>ous</w:t>
            </w:r>
            <w:r w:rsidR="005423BB" w:rsidRPr="007C4D65">
              <w:rPr>
                <w:rFonts w:asciiTheme="minorHAnsi" w:eastAsia="Calibri" w:hAnsiTheme="minorHAnsi" w:cstheme="minorHAnsi"/>
                <w:sz w:val="18"/>
                <w:szCs w:val="18"/>
                <w:lang w:eastAsia="x-none"/>
              </w:rPr>
              <w:t xml:space="preserve"> cooperation with media </w:t>
            </w:r>
            <w:r w:rsidRPr="007C4D65">
              <w:rPr>
                <w:rFonts w:asciiTheme="minorHAnsi" w:eastAsia="Calibri" w:hAnsiTheme="minorHAnsi" w:cstheme="minorHAnsi"/>
                <w:sz w:val="18"/>
                <w:szCs w:val="18"/>
                <w:lang w:eastAsia="x-none"/>
              </w:rPr>
              <w:t>to implement</w:t>
            </w:r>
            <w:r w:rsidR="005423BB" w:rsidRPr="007C4D65">
              <w:rPr>
                <w:rFonts w:asciiTheme="minorHAnsi" w:eastAsia="Calibri" w:hAnsiTheme="minorHAnsi" w:cstheme="minorHAnsi"/>
                <w:sz w:val="18"/>
                <w:szCs w:val="18"/>
                <w:lang w:eastAsia="x-none"/>
              </w:rPr>
              <w:t xml:space="preserve"> promotional activities, information and awareness raising campaigns on</w:t>
            </w:r>
            <w:r w:rsidRPr="007C4D65">
              <w:rPr>
                <w:rFonts w:asciiTheme="minorHAnsi" w:eastAsia="Calibri" w:hAnsiTheme="minorHAnsi" w:cstheme="minorHAnsi"/>
                <w:sz w:val="18"/>
                <w:szCs w:val="18"/>
                <w:lang w:eastAsia="x-none"/>
              </w:rPr>
              <w:t xml:space="preserve"> the</w:t>
            </w:r>
            <w:r w:rsidR="005423BB" w:rsidRPr="007C4D65">
              <w:rPr>
                <w:rFonts w:asciiTheme="minorHAnsi" w:eastAsia="Calibri" w:hAnsiTheme="minorHAnsi" w:cstheme="minorHAnsi"/>
                <w:sz w:val="18"/>
                <w:szCs w:val="18"/>
                <w:lang w:eastAsia="x-none"/>
              </w:rPr>
              <w:t xml:space="preserve"> importance of environmental protection with </w:t>
            </w:r>
            <w:r w:rsidRPr="007C4D65">
              <w:rPr>
                <w:rFonts w:asciiTheme="minorHAnsi" w:eastAsia="Calibri" w:hAnsiTheme="minorHAnsi" w:cstheme="minorHAnsi"/>
                <w:sz w:val="18"/>
                <w:szCs w:val="18"/>
                <w:lang w:eastAsia="x-none"/>
              </w:rPr>
              <w:t>specifically designed</w:t>
            </w:r>
            <w:r w:rsidR="005423BB" w:rsidRPr="007C4D65">
              <w:rPr>
                <w:rFonts w:asciiTheme="minorHAnsi" w:eastAsia="Calibri" w:hAnsiTheme="minorHAnsi" w:cstheme="minorHAnsi"/>
                <w:sz w:val="18"/>
                <w:szCs w:val="18"/>
                <w:lang w:eastAsia="x-none"/>
              </w:rPr>
              <w:t xml:space="preserve"> messages for selected interested members of public (young people etc.</w:t>
            </w:r>
            <w:proofErr w:type="gramStart"/>
            <w:r w:rsidR="005423BB" w:rsidRPr="007C4D65">
              <w:rPr>
                <w:rFonts w:asciiTheme="minorHAnsi" w:eastAsia="Calibri" w:hAnsiTheme="minorHAnsi" w:cstheme="minorHAnsi"/>
                <w:sz w:val="18"/>
                <w:szCs w:val="18"/>
                <w:lang w:eastAsia="x-none"/>
              </w:rPr>
              <w:t>)</w:t>
            </w:r>
            <w:r w:rsidR="00123950" w:rsidRPr="007C4D65">
              <w:rPr>
                <w:rFonts w:asciiTheme="minorHAnsi" w:eastAsia="Calibri" w:hAnsiTheme="minorHAnsi" w:cstheme="minorHAnsi"/>
                <w:sz w:val="18"/>
                <w:szCs w:val="18"/>
                <w:lang w:eastAsia="x-none"/>
              </w:rPr>
              <w:t>;</w:t>
            </w:r>
            <w:proofErr w:type="gramEnd"/>
          </w:p>
          <w:p w14:paraId="09FCB59F" w14:textId="6B3C7D8C" w:rsidR="005423BB" w:rsidRPr="007C4D65" w:rsidRDefault="00A844A0" w:rsidP="00A844A0">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2) </w:t>
            </w:r>
            <w:r w:rsidR="005423BB" w:rsidRPr="007C4D65">
              <w:rPr>
                <w:rFonts w:asciiTheme="minorHAnsi" w:eastAsia="Calibri" w:hAnsiTheme="minorHAnsi" w:cstheme="minorHAnsi"/>
                <w:sz w:val="18"/>
                <w:szCs w:val="18"/>
                <w:lang w:eastAsia="x-none"/>
              </w:rPr>
              <w:t>Continuous awareness raising campaigns on</w:t>
            </w:r>
            <w:r w:rsidRPr="007C4D65">
              <w:rPr>
                <w:rFonts w:asciiTheme="minorHAnsi" w:eastAsia="Calibri" w:hAnsiTheme="minorHAnsi" w:cstheme="minorHAnsi"/>
                <w:sz w:val="18"/>
                <w:szCs w:val="18"/>
                <w:lang w:eastAsia="x-none"/>
              </w:rPr>
              <w:t xml:space="preserve"> the</w:t>
            </w:r>
            <w:r w:rsidR="005423BB" w:rsidRPr="007C4D65">
              <w:rPr>
                <w:rFonts w:asciiTheme="minorHAnsi" w:eastAsia="Calibri" w:hAnsiTheme="minorHAnsi" w:cstheme="minorHAnsi"/>
                <w:sz w:val="18"/>
                <w:szCs w:val="18"/>
                <w:lang w:eastAsia="x-none"/>
              </w:rPr>
              <w:t xml:space="preserve"> importance of </w:t>
            </w:r>
            <w:r w:rsidRPr="007C4D65">
              <w:rPr>
                <w:rFonts w:asciiTheme="minorHAnsi" w:eastAsia="Calibri" w:hAnsiTheme="minorHAnsi" w:cstheme="minorHAnsi"/>
                <w:sz w:val="18"/>
                <w:szCs w:val="18"/>
                <w:lang w:eastAsia="x-none"/>
              </w:rPr>
              <w:t>environmental protection</w:t>
            </w:r>
            <w:r w:rsidR="005423BB"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importance and vulnerability of</w:t>
            </w:r>
            <w:r w:rsidR="005423BB" w:rsidRPr="007C4D65">
              <w:rPr>
                <w:rFonts w:asciiTheme="minorHAnsi" w:eastAsia="Calibri" w:hAnsiTheme="minorHAnsi" w:cstheme="minorHAnsi"/>
                <w:sz w:val="18"/>
                <w:szCs w:val="18"/>
                <w:lang w:eastAsia="x-none"/>
              </w:rPr>
              <w:t xml:space="preserve"> natural resources</w:t>
            </w:r>
            <w:r w:rsidRPr="007C4D65">
              <w:rPr>
                <w:rFonts w:asciiTheme="minorHAnsi" w:eastAsia="Calibri" w:hAnsiTheme="minorHAnsi" w:cstheme="minorHAnsi"/>
                <w:sz w:val="18"/>
                <w:szCs w:val="18"/>
                <w:lang w:eastAsia="x-none"/>
              </w:rPr>
              <w:t>,</w:t>
            </w:r>
            <w:r w:rsidR="005423BB" w:rsidRPr="007C4D65">
              <w:rPr>
                <w:rFonts w:asciiTheme="minorHAnsi" w:eastAsia="Calibri" w:hAnsiTheme="minorHAnsi" w:cstheme="minorHAnsi"/>
                <w:sz w:val="18"/>
                <w:szCs w:val="18"/>
                <w:lang w:eastAsia="x-none"/>
              </w:rPr>
              <w:t xml:space="preserve"> and </w:t>
            </w:r>
            <w:r w:rsidRPr="007C4D65">
              <w:rPr>
                <w:rFonts w:asciiTheme="minorHAnsi" w:eastAsia="Calibri" w:hAnsiTheme="minorHAnsi" w:cstheme="minorHAnsi"/>
                <w:sz w:val="18"/>
                <w:szCs w:val="18"/>
                <w:lang w:eastAsia="x-none"/>
              </w:rPr>
              <w:t>the link</w:t>
            </w:r>
            <w:r w:rsidR="005423BB" w:rsidRPr="007C4D65">
              <w:rPr>
                <w:rFonts w:asciiTheme="minorHAnsi" w:eastAsia="Calibri" w:hAnsiTheme="minorHAnsi" w:cstheme="minorHAnsi"/>
                <w:sz w:val="18"/>
                <w:szCs w:val="18"/>
                <w:lang w:eastAsia="x-none"/>
              </w:rPr>
              <w:t xml:space="preserve"> with climate change which will include </w:t>
            </w:r>
            <w:r w:rsidRPr="007C4D65">
              <w:rPr>
                <w:rFonts w:asciiTheme="minorHAnsi" w:eastAsia="Calibri" w:hAnsiTheme="minorHAnsi" w:cstheme="minorHAnsi"/>
                <w:sz w:val="18"/>
                <w:szCs w:val="18"/>
                <w:lang w:eastAsia="x-none"/>
              </w:rPr>
              <w:t xml:space="preserve">specifically </w:t>
            </w:r>
            <w:r w:rsidR="005423BB" w:rsidRPr="007C4D65">
              <w:rPr>
                <w:rFonts w:asciiTheme="minorHAnsi" w:eastAsia="Calibri" w:hAnsiTheme="minorHAnsi" w:cstheme="minorHAnsi"/>
                <w:sz w:val="18"/>
                <w:szCs w:val="18"/>
                <w:lang w:eastAsia="x-none"/>
              </w:rPr>
              <w:t xml:space="preserve">designed activities </w:t>
            </w:r>
            <w:r w:rsidRPr="007C4D65">
              <w:rPr>
                <w:rFonts w:asciiTheme="minorHAnsi" w:eastAsia="Calibri" w:hAnsiTheme="minorHAnsi" w:cstheme="minorHAnsi"/>
                <w:sz w:val="18"/>
                <w:szCs w:val="18"/>
                <w:lang w:eastAsia="x-none"/>
              </w:rPr>
              <w:t>focusing on</w:t>
            </w:r>
            <w:r w:rsidR="005423BB" w:rsidRPr="007C4D65">
              <w:rPr>
                <w:rFonts w:asciiTheme="minorHAnsi" w:eastAsia="Calibri" w:hAnsiTheme="minorHAnsi" w:cstheme="minorHAnsi"/>
                <w:sz w:val="18"/>
                <w:szCs w:val="18"/>
                <w:lang w:eastAsia="x-none"/>
              </w:rPr>
              <w:t xml:space="preserve"> children, young people, adults (women and men), population in urban and rural areas, representatives of </w:t>
            </w:r>
            <w:r w:rsidRPr="007C4D65">
              <w:rPr>
                <w:rFonts w:asciiTheme="minorHAnsi" w:eastAsia="Calibri" w:hAnsiTheme="minorHAnsi" w:cstheme="minorHAnsi"/>
                <w:sz w:val="18"/>
                <w:szCs w:val="18"/>
                <w:lang w:eastAsia="x-none"/>
              </w:rPr>
              <w:t xml:space="preserve">industry </w:t>
            </w:r>
            <w:r w:rsidR="005423BB" w:rsidRPr="007C4D65">
              <w:rPr>
                <w:rFonts w:asciiTheme="minorHAnsi" w:eastAsia="Calibri" w:hAnsiTheme="minorHAnsi" w:cstheme="minorHAnsi"/>
                <w:sz w:val="18"/>
                <w:szCs w:val="18"/>
                <w:lang w:eastAsia="x-none"/>
              </w:rPr>
              <w:t>and, marginalized groups etc. This also includes presentation of gender sensible innovative approaches to environmental protection and natural resources management (workshops, media campaigns, social networks campaigns</w:t>
            </w:r>
            <w:proofErr w:type="gramStart"/>
            <w:r w:rsidR="005423BB" w:rsidRPr="007C4D65">
              <w:rPr>
                <w:rFonts w:asciiTheme="minorHAnsi" w:eastAsia="Calibri" w:hAnsiTheme="minorHAnsi" w:cstheme="minorHAnsi"/>
                <w:sz w:val="18"/>
                <w:szCs w:val="18"/>
                <w:lang w:eastAsia="x-none"/>
              </w:rPr>
              <w:t>)</w:t>
            </w:r>
            <w:r w:rsidR="00123950" w:rsidRPr="007C4D65">
              <w:rPr>
                <w:rFonts w:asciiTheme="minorHAnsi" w:eastAsia="Calibri" w:hAnsiTheme="minorHAnsi" w:cstheme="minorHAnsi"/>
                <w:sz w:val="18"/>
                <w:szCs w:val="18"/>
                <w:lang w:eastAsia="x-none"/>
              </w:rPr>
              <w:t>;</w:t>
            </w:r>
            <w:proofErr w:type="gramEnd"/>
          </w:p>
          <w:p w14:paraId="3ED03A4D" w14:textId="1E56D83C" w:rsidR="005423BB" w:rsidRPr="007C4D65" w:rsidRDefault="00A844A0" w:rsidP="00A844A0">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3) Initiating</w:t>
            </w:r>
            <w:r w:rsidR="005423BB" w:rsidRPr="007C4D65">
              <w:rPr>
                <w:rFonts w:asciiTheme="minorHAnsi" w:eastAsia="Calibri" w:hAnsiTheme="minorHAnsi" w:cstheme="minorHAnsi"/>
                <w:sz w:val="18"/>
                <w:szCs w:val="18"/>
                <w:lang w:eastAsia="x-none"/>
              </w:rPr>
              <w:t xml:space="preserve"> long-term education program</w:t>
            </w:r>
            <w:r w:rsidRPr="007C4D65">
              <w:rPr>
                <w:rFonts w:asciiTheme="minorHAnsi" w:eastAsia="Calibri" w:hAnsiTheme="minorHAnsi" w:cstheme="minorHAnsi"/>
                <w:sz w:val="18"/>
                <w:szCs w:val="18"/>
                <w:lang w:eastAsia="x-none"/>
              </w:rPr>
              <w:t>me</w:t>
            </w:r>
            <w:r w:rsidR="005423BB" w:rsidRPr="007C4D65">
              <w:rPr>
                <w:rFonts w:asciiTheme="minorHAnsi" w:eastAsia="Calibri" w:hAnsiTheme="minorHAnsi" w:cstheme="minorHAnsi"/>
                <w:sz w:val="18"/>
                <w:szCs w:val="18"/>
                <w:lang w:eastAsia="x-none"/>
              </w:rPr>
              <w:t xml:space="preserve">s on environmental </w:t>
            </w:r>
            <w:proofErr w:type="gramStart"/>
            <w:r w:rsidR="005423BB" w:rsidRPr="007C4D65">
              <w:rPr>
                <w:rFonts w:asciiTheme="minorHAnsi" w:eastAsia="Calibri" w:hAnsiTheme="minorHAnsi" w:cstheme="minorHAnsi"/>
                <w:sz w:val="18"/>
                <w:szCs w:val="18"/>
                <w:lang w:eastAsia="x-none"/>
              </w:rPr>
              <w:t>issues</w:t>
            </w:r>
            <w:r w:rsidR="00123950" w:rsidRPr="007C4D65">
              <w:rPr>
                <w:rFonts w:asciiTheme="minorHAnsi" w:eastAsia="Calibri" w:hAnsiTheme="minorHAnsi" w:cstheme="minorHAnsi"/>
                <w:sz w:val="18"/>
                <w:szCs w:val="18"/>
                <w:lang w:eastAsia="x-none"/>
              </w:rPr>
              <w:t>;</w:t>
            </w:r>
            <w:proofErr w:type="gramEnd"/>
          </w:p>
          <w:p w14:paraId="555975E3" w14:textId="45E865EF" w:rsidR="005423BB" w:rsidRPr="007C4D65" w:rsidRDefault="00A844A0" w:rsidP="00A844A0">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4) Improving</w:t>
            </w:r>
            <w:r w:rsidR="005423BB" w:rsidRPr="007C4D65">
              <w:rPr>
                <w:rFonts w:asciiTheme="minorHAnsi" w:eastAsia="Calibri" w:hAnsiTheme="minorHAnsi" w:cstheme="minorHAnsi"/>
                <w:sz w:val="18"/>
                <w:szCs w:val="18"/>
                <w:lang w:eastAsia="x-none"/>
              </w:rPr>
              <w:t xml:space="preserve"> cooperation with partner institutions </w:t>
            </w:r>
            <w:r w:rsidRPr="007C4D65">
              <w:rPr>
                <w:rFonts w:asciiTheme="minorHAnsi" w:eastAsia="Calibri" w:hAnsiTheme="minorHAnsi" w:cstheme="minorHAnsi"/>
                <w:sz w:val="18"/>
                <w:szCs w:val="18"/>
                <w:lang w:eastAsia="x-none"/>
              </w:rPr>
              <w:t xml:space="preserve">on </w:t>
            </w:r>
            <w:r w:rsidR="00066F52" w:rsidRPr="007C4D65">
              <w:rPr>
                <w:rFonts w:asciiTheme="minorHAnsi" w:eastAsia="Calibri" w:hAnsiTheme="minorHAnsi" w:cstheme="minorHAnsi"/>
                <w:sz w:val="18"/>
                <w:szCs w:val="18"/>
                <w:lang w:eastAsia="x-none"/>
              </w:rPr>
              <w:t>expanding the</w:t>
            </w:r>
            <w:r w:rsidR="005423BB" w:rsidRPr="007C4D65">
              <w:rPr>
                <w:rFonts w:asciiTheme="minorHAnsi" w:eastAsia="Calibri" w:hAnsiTheme="minorHAnsi" w:cstheme="minorHAnsi"/>
                <w:sz w:val="18"/>
                <w:szCs w:val="18"/>
                <w:lang w:eastAsia="x-none"/>
              </w:rPr>
              <w:t xml:space="preserve"> knowledge and skills and raising awareness about </w:t>
            </w:r>
            <w:r w:rsidR="00066F52" w:rsidRPr="007C4D65">
              <w:rPr>
                <w:rFonts w:asciiTheme="minorHAnsi" w:eastAsia="Calibri" w:hAnsiTheme="minorHAnsi" w:cstheme="minorHAnsi"/>
                <w:sz w:val="18"/>
                <w:szCs w:val="18"/>
                <w:lang w:eastAsia="x-none"/>
              </w:rPr>
              <w:t>linkages</w:t>
            </w:r>
            <w:r w:rsidR="005423BB" w:rsidRPr="007C4D65">
              <w:rPr>
                <w:rFonts w:asciiTheme="minorHAnsi" w:eastAsia="Calibri" w:hAnsiTheme="minorHAnsi" w:cstheme="minorHAnsi"/>
                <w:sz w:val="18"/>
                <w:szCs w:val="18"/>
                <w:lang w:eastAsia="x-none"/>
              </w:rPr>
              <w:t xml:space="preserve"> between environment and gender </w:t>
            </w:r>
            <w:proofErr w:type="gramStart"/>
            <w:r w:rsidR="005423BB" w:rsidRPr="007C4D65">
              <w:rPr>
                <w:rFonts w:asciiTheme="minorHAnsi" w:eastAsia="Calibri" w:hAnsiTheme="minorHAnsi" w:cstheme="minorHAnsi"/>
                <w:sz w:val="18"/>
                <w:szCs w:val="18"/>
                <w:lang w:eastAsia="x-none"/>
              </w:rPr>
              <w:t>dimension</w:t>
            </w:r>
            <w:r w:rsidR="00123950" w:rsidRPr="007C4D65">
              <w:rPr>
                <w:rFonts w:asciiTheme="minorHAnsi" w:eastAsia="Calibri" w:hAnsiTheme="minorHAnsi" w:cstheme="minorHAnsi"/>
                <w:sz w:val="18"/>
                <w:szCs w:val="18"/>
                <w:lang w:eastAsia="x-none"/>
              </w:rPr>
              <w:t>;</w:t>
            </w:r>
            <w:proofErr w:type="gramEnd"/>
          </w:p>
          <w:p w14:paraId="640C5E1A" w14:textId="0404925C" w:rsidR="005423BB" w:rsidRPr="007C4D65" w:rsidRDefault="00066F52" w:rsidP="00066F52">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5) </w:t>
            </w:r>
            <w:r w:rsidR="005423BB" w:rsidRPr="007C4D65">
              <w:rPr>
                <w:rFonts w:asciiTheme="minorHAnsi" w:eastAsia="Calibri" w:hAnsiTheme="minorHAnsi" w:cstheme="minorHAnsi"/>
                <w:sz w:val="18"/>
                <w:szCs w:val="18"/>
                <w:lang w:eastAsia="x-none"/>
              </w:rPr>
              <w:t xml:space="preserve">Promotion of the environmental protection system (EMAS and ISO 14001) and </w:t>
            </w:r>
            <w:r w:rsidR="005423BB" w:rsidRPr="007C4D65">
              <w:rPr>
                <w:rFonts w:asciiTheme="minorHAnsi" w:eastAsia="Calibri" w:hAnsiTheme="minorHAnsi" w:cstheme="minorHAnsi"/>
                <w:sz w:val="18"/>
                <w:szCs w:val="18"/>
                <w:lang w:eastAsia="en-US"/>
              </w:rPr>
              <w:t xml:space="preserve">measures that can influence </w:t>
            </w:r>
            <w:r w:rsidRPr="007C4D65">
              <w:rPr>
                <w:rFonts w:asciiTheme="minorHAnsi" w:eastAsia="Calibri" w:hAnsiTheme="minorHAnsi" w:cstheme="minorHAnsi"/>
                <w:sz w:val="18"/>
                <w:szCs w:val="18"/>
                <w:lang w:eastAsia="en-US"/>
              </w:rPr>
              <w:t xml:space="preserve">the </w:t>
            </w:r>
            <w:r w:rsidR="005423BB" w:rsidRPr="007C4D65">
              <w:rPr>
                <w:rFonts w:asciiTheme="minorHAnsi" w:eastAsia="Calibri" w:hAnsiTheme="minorHAnsi" w:cstheme="minorHAnsi"/>
                <w:sz w:val="18"/>
                <w:szCs w:val="18"/>
                <w:lang w:eastAsia="en-US"/>
              </w:rPr>
              <w:t>design of products and encouraging business entities to certification, which, among other things, results in</w:t>
            </w:r>
            <w:r w:rsidRPr="007C4D65">
              <w:rPr>
                <w:rFonts w:asciiTheme="minorHAnsi" w:eastAsia="Calibri" w:hAnsiTheme="minorHAnsi" w:cstheme="minorHAnsi"/>
                <w:sz w:val="18"/>
                <w:szCs w:val="18"/>
                <w:lang w:eastAsia="en-US"/>
              </w:rPr>
              <w:t xml:space="preserve"> a competitive</w:t>
            </w:r>
            <w:r w:rsidR="005423BB" w:rsidRPr="007C4D65">
              <w:rPr>
                <w:rFonts w:asciiTheme="minorHAnsi" w:eastAsia="Calibri" w:hAnsiTheme="minorHAnsi" w:cstheme="minorHAnsi"/>
                <w:sz w:val="18"/>
                <w:szCs w:val="18"/>
                <w:lang w:eastAsia="en-US"/>
              </w:rPr>
              <w:t xml:space="preserve"> advantage.</w:t>
            </w:r>
          </w:p>
        </w:tc>
      </w:tr>
      <w:tr w:rsidR="005423BB" w:rsidRPr="007C4D65" w14:paraId="3F790979" w14:textId="77777777" w:rsidTr="00B6017F">
        <w:trPr>
          <w:trHeight w:val="567"/>
        </w:trPr>
        <w:tc>
          <w:tcPr>
            <w:tcW w:w="1359" w:type="pct"/>
            <w:shd w:val="clear" w:color="auto" w:fill="009D73"/>
            <w:vAlign w:val="center"/>
          </w:tcPr>
          <w:p w14:paraId="42B358DE"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Strategic projects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56504E0" w14:textId="77777777" w:rsidR="005423BB" w:rsidRPr="007C4D65" w:rsidRDefault="005423BB" w:rsidP="005423BB">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5423BB" w:rsidRPr="007C4D65" w14:paraId="23267EE8" w14:textId="77777777" w:rsidTr="00B6017F">
        <w:trPr>
          <w:trHeight w:val="567"/>
        </w:trPr>
        <w:tc>
          <w:tcPr>
            <w:tcW w:w="1359" w:type="pct"/>
            <w:vMerge w:val="restart"/>
            <w:shd w:val="clear" w:color="auto" w:fill="009D73"/>
            <w:vAlign w:val="center"/>
          </w:tcPr>
          <w:p w14:paraId="216D49CA"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8B49442" w14:textId="77777777" w:rsidR="005423BB" w:rsidRPr="007C4D65" w:rsidRDefault="005423BB" w:rsidP="005423BB">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42A8ABED" w14:textId="77777777" w:rsidR="005423BB" w:rsidRPr="007C4D65" w:rsidRDefault="005423BB" w:rsidP="005423BB">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BD877FD" w14:textId="77777777" w:rsidR="005423BB" w:rsidRPr="007C4D65" w:rsidRDefault="005423BB" w:rsidP="005423BB">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1A801D66" w14:textId="77777777" w:rsidR="005423BB" w:rsidRPr="007C4D65" w:rsidRDefault="005423BB" w:rsidP="005423BB">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FF48887" w14:textId="77777777" w:rsidR="005423BB" w:rsidRPr="007C4D65" w:rsidRDefault="005423BB" w:rsidP="005423BB">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value</w:t>
            </w:r>
          </w:p>
        </w:tc>
      </w:tr>
      <w:tr w:rsidR="005423BB" w:rsidRPr="007C4D65" w14:paraId="121898DC"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6DF5849"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14A9F5F" w14:textId="56CDC047" w:rsidR="005423BB" w:rsidRPr="007C4D65" w:rsidRDefault="005423BB">
            <w:pPr>
              <w:numPr>
                <w:ilvl w:val="0"/>
                <w:numId w:val="219"/>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Continuity of cooperation with media aimed at implementation of promotional activities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6D0B17C" w14:textId="77777777" w:rsidR="005423BB" w:rsidRPr="007C4D65" w:rsidRDefault="005423BB" w:rsidP="005423BB">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There is no </w:t>
            </w:r>
            <w:r w:rsidRPr="007C4D65">
              <w:rPr>
                <w:rFonts w:asciiTheme="minorHAnsi" w:eastAsia="Calibri" w:hAnsiTheme="minorHAnsi" w:cstheme="minorHAnsi"/>
                <w:sz w:val="18"/>
                <w:szCs w:val="18"/>
                <w:lang w:eastAsia="x-none"/>
              </w:rPr>
              <w:t>cooperation with media</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F35E82B" w14:textId="77777777" w:rsidR="005423BB" w:rsidRPr="007C4D65" w:rsidRDefault="005423BB" w:rsidP="005423BB">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Continuous and intensive promotion of environmental protection in media ensured (continuously 2030+)</w:t>
            </w:r>
          </w:p>
        </w:tc>
      </w:tr>
      <w:tr w:rsidR="005423BB" w:rsidRPr="007C4D65" w14:paraId="375DF283"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4ACDE3A"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6D63AA7" w14:textId="086D16A5" w:rsidR="005423BB" w:rsidRPr="007C4D65" w:rsidRDefault="0054779A" w:rsidP="0054779A">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2) </w:t>
            </w:r>
            <w:r w:rsidR="005423BB" w:rsidRPr="007C4D65">
              <w:rPr>
                <w:rFonts w:asciiTheme="minorHAnsi" w:eastAsia="Calibri" w:hAnsiTheme="minorHAnsi" w:cstheme="minorHAnsi"/>
                <w:sz w:val="18"/>
                <w:szCs w:val="18"/>
                <w:lang w:eastAsia="x-none"/>
              </w:rPr>
              <w:t xml:space="preserve">3) Regularity and continuity in </w:t>
            </w:r>
            <w:r w:rsidRPr="007C4D65">
              <w:rPr>
                <w:rFonts w:asciiTheme="minorHAnsi" w:eastAsia="Calibri" w:hAnsiTheme="minorHAnsi" w:cstheme="minorHAnsi"/>
                <w:sz w:val="18"/>
                <w:szCs w:val="18"/>
                <w:lang w:eastAsia="x-none"/>
              </w:rPr>
              <w:t xml:space="preserve">the </w:t>
            </w:r>
            <w:r w:rsidR="005423BB" w:rsidRPr="007C4D65">
              <w:rPr>
                <w:rFonts w:asciiTheme="minorHAnsi" w:eastAsia="Calibri" w:hAnsiTheme="minorHAnsi" w:cstheme="minorHAnsi"/>
                <w:sz w:val="18"/>
                <w:szCs w:val="18"/>
                <w:lang w:eastAsia="x-none"/>
              </w:rPr>
              <w:t>implementation of education program</w:t>
            </w:r>
            <w:r w:rsidRPr="007C4D65">
              <w:rPr>
                <w:rFonts w:asciiTheme="minorHAnsi" w:eastAsia="Calibri" w:hAnsiTheme="minorHAnsi" w:cstheme="minorHAnsi"/>
                <w:sz w:val="18"/>
                <w:szCs w:val="18"/>
                <w:lang w:eastAsia="x-none"/>
              </w:rPr>
              <w:t>me</w:t>
            </w:r>
            <w:r w:rsidR="005423BB" w:rsidRPr="007C4D65">
              <w:rPr>
                <w:rFonts w:asciiTheme="minorHAnsi" w:eastAsia="Calibri" w:hAnsiTheme="minorHAnsi" w:cstheme="minorHAnsi"/>
                <w:sz w:val="18"/>
                <w:szCs w:val="18"/>
                <w:lang w:eastAsia="x-none"/>
              </w:rPr>
              <w:t xml:space="preserve">s and awareness raising campaigns about </w:t>
            </w:r>
            <w:r w:rsidRPr="007C4D65">
              <w:rPr>
                <w:rFonts w:asciiTheme="minorHAnsi" w:eastAsia="Calibri" w:hAnsiTheme="minorHAnsi" w:cstheme="minorHAnsi"/>
                <w:sz w:val="18"/>
                <w:szCs w:val="18"/>
                <w:lang w:eastAsia="x-none"/>
              </w:rPr>
              <w:t xml:space="preserve">the </w:t>
            </w:r>
            <w:r w:rsidR="005423BB" w:rsidRPr="007C4D65">
              <w:rPr>
                <w:rFonts w:asciiTheme="minorHAnsi" w:eastAsia="Calibri" w:hAnsiTheme="minorHAnsi" w:cstheme="minorHAnsi"/>
                <w:sz w:val="18"/>
                <w:szCs w:val="18"/>
                <w:lang w:eastAsia="x-none"/>
              </w:rPr>
              <w:t xml:space="preserve">importance of environmental protection, significance and threat status of natural </w:t>
            </w:r>
            <w:r w:rsidR="005423BB" w:rsidRPr="007C4D65">
              <w:rPr>
                <w:rFonts w:asciiTheme="minorHAnsi" w:eastAsia="Calibri" w:hAnsiTheme="minorHAnsi" w:cstheme="minorHAnsi"/>
                <w:sz w:val="18"/>
                <w:szCs w:val="18"/>
                <w:lang w:eastAsia="x-none"/>
              </w:rPr>
              <w:lastRenderedPageBreak/>
              <w:t>resources and correlation with climate change</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394DB81" w14:textId="45ED3D77" w:rsidR="005423BB" w:rsidRPr="007C4D65" w:rsidRDefault="005423BB" w:rsidP="005423BB">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lastRenderedPageBreak/>
              <w:t>Regular education program</w:t>
            </w:r>
            <w:proofErr w:type="spellStart"/>
            <w:r w:rsidR="00B80FAD" w:rsidRPr="007C4D65">
              <w:rPr>
                <w:rFonts w:asciiTheme="minorHAnsi" w:eastAsiaTheme="minorHAnsi" w:hAnsiTheme="minorHAnsi" w:cstheme="minorHAnsi"/>
                <w:sz w:val="18"/>
                <w:szCs w:val="18"/>
                <w:lang w:val="en-US" w:eastAsia="en-US" w:bidi="en-US"/>
              </w:rPr>
              <w:t>mes</w:t>
            </w:r>
            <w:proofErr w:type="spellEnd"/>
            <w:r w:rsidRPr="007C4D65">
              <w:rPr>
                <w:rFonts w:asciiTheme="minorHAnsi" w:eastAsiaTheme="minorHAnsi" w:hAnsiTheme="minorHAnsi" w:cstheme="minorHAnsi"/>
                <w:sz w:val="18"/>
                <w:szCs w:val="18"/>
                <w:lang w:eastAsia="en-US" w:bidi="en-US"/>
              </w:rPr>
              <w:t xml:space="preserve"> and campaigns</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0B5BE9A" w14:textId="531B263A" w:rsidR="005423BB" w:rsidRPr="007C4D65" w:rsidRDefault="005423BB" w:rsidP="005423BB">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Regular and continu</w:t>
            </w:r>
            <w:r w:rsidR="0054779A" w:rsidRPr="007C4D65">
              <w:rPr>
                <w:rFonts w:asciiTheme="minorHAnsi" w:eastAsia="Calibri" w:hAnsiTheme="minorHAnsi" w:cstheme="minorHAnsi"/>
                <w:sz w:val="18"/>
                <w:szCs w:val="18"/>
                <w:lang w:eastAsia="x-none"/>
              </w:rPr>
              <w:t>ous</w:t>
            </w:r>
            <w:r w:rsidRPr="007C4D65">
              <w:rPr>
                <w:rFonts w:asciiTheme="minorHAnsi" w:eastAsia="Calibri" w:hAnsiTheme="minorHAnsi" w:cstheme="minorHAnsi"/>
                <w:sz w:val="18"/>
                <w:szCs w:val="18"/>
                <w:lang w:eastAsia="x-none"/>
              </w:rPr>
              <w:t xml:space="preserve"> educational program</w:t>
            </w:r>
            <w:r w:rsidR="0054779A" w:rsidRPr="007C4D65">
              <w:rPr>
                <w:rFonts w:asciiTheme="minorHAnsi" w:eastAsia="Calibri" w:hAnsiTheme="minorHAnsi" w:cstheme="minorHAnsi"/>
                <w:sz w:val="18"/>
                <w:szCs w:val="18"/>
                <w:lang w:eastAsia="x-none"/>
              </w:rPr>
              <w:t>me</w:t>
            </w:r>
            <w:r w:rsidRPr="007C4D65">
              <w:rPr>
                <w:rFonts w:asciiTheme="minorHAnsi" w:eastAsia="Calibri" w:hAnsiTheme="minorHAnsi" w:cstheme="minorHAnsi"/>
                <w:sz w:val="18"/>
                <w:szCs w:val="18"/>
                <w:lang w:eastAsia="x-none"/>
              </w:rPr>
              <w:t xml:space="preserve">s and </w:t>
            </w:r>
            <w:r w:rsidR="0054779A" w:rsidRPr="007C4D65">
              <w:rPr>
                <w:rFonts w:asciiTheme="minorHAnsi" w:eastAsia="Calibri" w:hAnsiTheme="minorHAnsi" w:cstheme="minorHAnsi"/>
                <w:sz w:val="18"/>
                <w:szCs w:val="18"/>
                <w:lang w:eastAsia="x-none"/>
              </w:rPr>
              <w:t xml:space="preserve">raising awareness </w:t>
            </w:r>
            <w:r w:rsidRPr="007C4D65">
              <w:rPr>
                <w:rFonts w:asciiTheme="minorHAnsi" w:eastAsia="Calibri" w:hAnsiTheme="minorHAnsi" w:cstheme="minorHAnsi"/>
                <w:sz w:val="18"/>
                <w:szCs w:val="18"/>
                <w:lang w:eastAsia="x-none"/>
              </w:rPr>
              <w:t xml:space="preserve">campaigns </w:t>
            </w:r>
            <w:proofErr w:type="gramStart"/>
            <w:r w:rsidRPr="007C4D65">
              <w:rPr>
                <w:rFonts w:asciiTheme="minorHAnsi" w:eastAsia="Calibri" w:hAnsiTheme="minorHAnsi" w:cstheme="minorHAnsi"/>
                <w:sz w:val="18"/>
                <w:szCs w:val="18"/>
                <w:lang w:eastAsia="x-none"/>
              </w:rPr>
              <w:t xml:space="preserve">about </w:t>
            </w:r>
            <w:r w:rsidRPr="007C4D65">
              <w:rPr>
                <w:rFonts w:asciiTheme="minorHAnsi" w:eastAsiaTheme="minorHAnsi" w:hAnsiTheme="minorHAnsi" w:cstheme="minorHAnsi"/>
                <w:sz w:val="18"/>
                <w:szCs w:val="18"/>
                <w:lang w:eastAsia="en-US" w:bidi="en-US"/>
              </w:rPr>
              <w:t xml:space="preserve"> </w:t>
            </w:r>
            <w:r w:rsidR="0054779A" w:rsidRPr="007C4D65">
              <w:rPr>
                <w:rFonts w:asciiTheme="minorHAnsi" w:eastAsiaTheme="minorHAnsi" w:hAnsiTheme="minorHAnsi" w:cstheme="minorHAnsi"/>
                <w:sz w:val="18"/>
                <w:szCs w:val="18"/>
                <w:lang w:eastAsia="en-US" w:bidi="en-US"/>
              </w:rPr>
              <w:t>the</w:t>
            </w:r>
            <w:proofErr w:type="gramEnd"/>
            <w:r w:rsidRPr="007C4D65">
              <w:rPr>
                <w:rFonts w:asciiTheme="minorHAnsi" w:eastAsiaTheme="minorHAnsi" w:hAnsiTheme="minorHAnsi" w:cstheme="minorHAnsi"/>
                <w:sz w:val="18"/>
                <w:szCs w:val="18"/>
                <w:lang w:eastAsia="en-US" w:bidi="en-US"/>
              </w:rPr>
              <w:t xml:space="preserve"> </w:t>
            </w:r>
            <w:r w:rsidRPr="007C4D65">
              <w:rPr>
                <w:rFonts w:asciiTheme="minorHAnsi" w:eastAsia="Calibri" w:hAnsiTheme="minorHAnsi" w:cstheme="minorHAnsi"/>
                <w:sz w:val="18"/>
                <w:szCs w:val="18"/>
                <w:lang w:eastAsia="x-none"/>
              </w:rPr>
              <w:t xml:space="preserve">importance of environmental protection, and </w:t>
            </w:r>
            <w:r w:rsidR="0054779A" w:rsidRPr="007C4D65">
              <w:rPr>
                <w:rFonts w:asciiTheme="minorHAnsi" w:eastAsia="Calibri" w:hAnsiTheme="minorHAnsi" w:cstheme="minorHAnsi"/>
                <w:sz w:val="18"/>
                <w:szCs w:val="18"/>
                <w:lang w:eastAsia="x-none"/>
              </w:rPr>
              <w:t>vulnerability of</w:t>
            </w:r>
            <w:r w:rsidRPr="007C4D65">
              <w:rPr>
                <w:rFonts w:asciiTheme="minorHAnsi" w:eastAsia="Calibri" w:hAnsiTheme="minorHAnsi" w:cstheme="minorHAnsi"/>
                <w:sz w:val="18"/>
                <w:szCs w:val="18"/>
                <w:lang w:eastAsia="x-none"/>
              </w:rPr>
              <w:t xml:space="preserve"> natural resources </w:t>
            </w:r>
            <w:r w:rsidRPr="007C4D65">
              <w:rPr>
                <w:rFonts w:asciiTheme="minorHAnsi" w:eastAsia="Calibri" w:hAnsiTheme="minorHAnsi" w:cstheme="minorHAnsi"/>
                <w:sz w:val="18"/>
                <w:szCs w:val="18"/>
                <w:lang w:eastAsia="x-none"/>
              </w:rPr>
              <w:lastRenderedPageBreak/>
              <w:t xml:space="preserve">and </w:t>
            </w:r>
            <w:r w:rsidR="0054779A" w:rsidRPr="007C4D65">
              <w:rPr>
                <w:rFonts w:asciiTheme="minorHAnsi" w:eastAsia="Calibri" w:hAnsiTheme="minorHAnsi" w:cstheme="minorHAnsi"/>
                <w:sz w:val="18"/>
                <w:szCs w:val="18"/>
                <w:lang w:eastAsia="x-none"/>
              </w:rPr>
              <w:t xml:space="preserve">their </w:t>
            </w:r>
            <w:r w:rsidRPr="007C4D65">
              <w:rPr>
                <w:rFonts w:asciiTheme="minorHAnsi" w:eastAsia="Calibri" w:hAnsiTheme="minorHAnsi" w:cstheme="minorHAnsi"/>
                <w:sz w:val="18"/>
                <w:szCs w:val="18"/>
                <w:lang w:eastAsia="x-none"/>
              </w:rPr>
              <w:t xml:space="preserve">correlation with climate change </w:t>
            </w:r>
            <w:r w:rsidRPr="007C4D65">
              <w:rPr>
                <w:rFonts w:asciiTheme="minorHAnsi" w:eastAsiaTheme="minorHAnsi" w:hAnsiTheme="minorHAnsi" w:cstheme="minorHAnsi"/>
                <w:sz w:val="18"/>
                <w:szCs w:val="18"/>
                <w:lang w:eastAsia="en-US" w:bidi="en-US"/>
              </w:rPr>
              <w:t>(continuously 2030+)</w:t>
            </w:r>
          </w:p>
        </w:tc>
      </w:tr>
      <w:tr w:rsidR="005423BB" w:rsidRPr="007C4D65" w14:paraId="0B31D0D5"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A2D59E4"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8DE528D" w14:textId="5C33DC53" w:rsidR="005423BB" w:rsidRPr="007C4D65" w:rsidRDefault="0054779A" w:rsidP="0054779A">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4) Level of</w:t>
            </w:r>
            <w:r w:rsidR="005423BB" w:rsidRPr="007C4D65">
              <w:rPr>
                <w:rFonts w:asciiTheme="minorHAnsi" w:eastAsia="Calibri" w:hAnsiTheme="minorHAnsi" w:cstheme="minorHAnsi"/>
                <w:sz w:val="18"/>
                <w:szCs w:val="18"/>
                <w:lang w:eastAsia="x-none"/>
              </w:rPr>
              <w:t xml:space="preserve"> cooperation </w:t>
            </w:r>
            <w:r w:rsidRPr="007C4D65">
              <w:rPr>
                <w:rFonts w:asciiTheme="minorHAnsi" w:eastAsia="Calibri" w:hAnsiTheme="minorHAnsi" w:cstheme="minorHAnsi"/>
                <w:sz w:val="18"/>
                <w:szCs w:val="18"/>
                <w:lang w:eastAsia="x-none"/>
              </w:rPr>
              <w:t>among the</w:t>
            </w:r>
            <w:r w:rsidR="005423BB" w:rsidRPr="007C4D65">
              <w:rPr>
                <w:rFonts w:asciiTheme="minorHAnsi" w:eastAsia="Calibri" w:hAnsiTheme="minorHAnsi" w:cstheme="minorHAnsi"/>
                <w:sz w:val="18"/>
                <w:szCs w:val="18"/>
                <w:lang w:eastAsia="x-none"/>
              </w:rPr>
              <w:t xml:space="preserve"> partner institutions </w:t>
            </w:r>
            <w:r w:rsidRPr="007C4D65">
              <w:rPr>
                <w:rFonts w:asciiTheme="minorHAnsi" w:eastAsia="Calibri" w:hAnsiTheme="minorHAnsi" w:cstheme="minorHAnsi"/>
                <w:sz w:val="18"/>
                <w:szCs w:val="18"/>
                <w:lang w:eastAsia="x-none"/>
              </w:rPr>
              <w:t>on expanding the</w:t>
            </w:r>
            <w:r w:rsidR="005423BB" w:rsidRPr="007C4D65">
              <w:rPr>
                <w:rFonts w:asciiTheme="minorHAnsi" w:eastAsia="Calibri" w:hAnsiTheme="minorHAnsi" w:cstheme="minorHAnsi"/>
                <w:sz w:val="18"/>
                <w:szCs w:val="18"/>
                <w:lang w:eastAsia="x-none"/>
              </w:rPr>
              <w:t xml:space="preserve"> knowledge and skills and raising awareness about </w:t>
            </w:r>
            <w:r w:rsidRPr="007C4D65">
              <w:rPr>
                <w:rFonts w:asciiTheme="minorHAnsi" w:eastAsia="Calibri" w:hAnsiTheme="minorHAnsi" w:cstheme="minorHAnsi"/>
                <w:sz w:val="18"/>
                <w:szCs w:val="18"/>
                <w:lang w:eastAsia="x-none"/>
              </w:rPr>
              <w:t>the links</w:t>
            </w:r>
            <w:r w:rsidR="005423BB" w:rsidRPr="007C4D65">
              <w:rPr>
                <w:rFonts w:asciiTheme="minorHAnsi" w:eastAsia="Calibri" w:hAnsiTheme="minorHAnsi" w:cstheme="minorHAnsi"/>
                <w:sz w:val="18"/>
                <w:szCs w:val="18"/>
                <w:lang w:eastAsia="x-none"/>
              </w:rPr>
              <w:t xml:space="preserve"> between </w:t>
            </w:r>
            <w:r w:rsidRPr="007C4D65">
              <w:rPr>
                <w:rFonts w:asciiTheme="minorHAnsi" w:eastAsia="Calibri" w:hAnsiTheme="minorHAnsi" w:cstheme="minorHAnsi"/>
                <w:sz w:val="18"/>
                <w:szCs w:val="18"/>
                <w:lang w:eastAsia="x-none"/>
              </w:rPr>
              <w:t xml:space="preserve">the </w:t>
            </w:r>
            <w:r w:rsidR="005423BB" w:rsidRPr="007C4D65">
              <w:rPr>
                <w:rFonts w:asciiTheme="minorHAnsi" w:eastAsia="Calibri" w:hAnsiTheme="minorHAnsi" w:cstheme="minorHAnsi"/>
                <w:sz w:val="18"/>
                <w:szCs w:val="18"/>
                <w:lang w:eastAsia="x-none"/>
              </w:rPr>
              <w:t>environment and gender dimension</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411B313" w14:textId="5C169955" w:rsidR="005423BB" w:rsidRPr="007C4D65" w:rsidRDefault="0054779A" w:rsidP="005423BB">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Cooperation with partner institutions implemented and intensified through the development of the Strategy of the Federation of BiH</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60FE785" w14:textId="39F00AB2" w:rsidR="005423BB" w:rsidRPr="007C4D65" w:rsidRDefault="0054779A" w:rsidP="005423BB">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Enhanced and continued</w:t>
            </w:r>
            <w:r w:rsidR="005423BB" w:rsidRPr="007C4D65">
              <w:rPr>
                <w:rFonts w:asciiTheme="minorHAnsi" w:eastAsia="Calibri" w:hAnsiTheme="minorHAnsi" w:cstheme="minorHAnsi"/>
                <w:sz w:val="18"/>
                <w:szCs w:val="18"/>
                <w:lang w:eastAsia="x-none"/>
              </w:rPr>
              <w:t xml:space="preserve"> cooperation with partner institutions </w:t>
            </w:r>
            <w:r w:rsidRPr="007C4D65">
              <w:rPr>
                <w:rFonts w:asciiTheme="minorHAnsi" w:eastAsia="Calibri" w:hAnsiTheme="minorHAnsi" w:cstheme="minorHAnsi"/>
                <w:sz w:val="18"/>
                <w:szCs w:val="18"/>
                <w:lang w:eastAsia="x-none"/>
              </w:rPr>
              <w:t>on expanding the knowledge and skills and raising awareness about the links between the environment and gender dimension secured</w:t>
            </w:r>
            <w:r w:rsidRPr="007C4D65">
              <w:rPr>
                <w:rFonts w:asciiTheme="minorHAnsi" w:eastAsiaTheme="minorHAnsi" w:hAnsiTheme="minorHAnsi" w:cstheme="minorHAnsi"/>
                <w:sz w:val="18"/>
                <w:szCs w:val="18"/>
                <w:lang w:eastAsia="en-US" w:bidi="en-US"/>
              </w:rPr>
              <w:t xml:space="preserve"> </w:t>
            </w:r>
            <w:r w:rsidR="005423BB" w:rsidRPr="007C4D65">
              <w:rPr>
                <w:rFonts w:asciiTheme="minorHAnsi" w:eastAsiaTheme="minorHAnsi" w:hAnsiTheme="minorHAnsi" w:cstheme="minorHAnsi"/>
                <w:sz w:val="18"/>
                <w:szCs w:val="18"/>
                <w:lang w:eastAsia="en-US" w:bidi="en-US"/>
              </w:rPr>
              <w:t>(continuously 2030+)</w:t>
            </w:r>
          </w:p>
        </w:tc>
      </w:tr>
      <w:tr w:rsidR="005423BB" w:rsidRPr="007C4D65" w14:paraId="254FAFFD"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12523FE"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8E28BFB" w14:textId="182389E6" w:rsidR="005423BB" w:rsidRPr="007C4D65" w:rsidRDefault="0054779A" w:rsidP="0054779A">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4) </w:t>
            </w:r>
            <w:r w:rsidR="005423BB" w:rsidRPr="007C4D65">
              <w:rPr>
                <w:rFonts w:asciiTheme="minorHAnsi" w:eastAsia="Calibri" w:hAnsiTheme="minorHAnsi" w:cstheme="minorHAnsi"/>
                <w:sz w:val="18"/>
                <w:szCs w:val="18"/>
                <w:lang w:eastAsia="x-none"/>
              </w:rPr>
              <w:t xml:space="preserve">Status of promotion of measures which might </w:t>
            </w:r>
            <w:r w:rsidR="005423BB" w:rsidRPr="007C4D65">
              <w:rPr>
                <w:rFonts w:asciiTheme="minorHAnsi" w:eastAsia="Calibri" w:hAnsiTheme="minorHAnsi" w:cstheme="minorHAnsi"/>
                <w:sz w:val="18"/>
                <w:szCs w:val="18"/>
                <w:lang w:eastAsia="en-US"/>
              </w:rPr>
              <w:t>influence</w:t>
            </w:r>
            <w:r w:rsidRPr="007C4D65">
              <w:rPr>
                <w:rFonts w:asciiTheme="minorHAnsi" w:eastAsia="Calibri" w:hAnsiTheme="minorHAnsi" w:cstheme="minorHAnsi"/>
                <w:sz w:val="18"/>
                <w:szCs w:val="18"/>
                <w:lang w:eastAsia="en-US"/>
              </w:rPr>
              <w:t xml:space="preserve"> the</w:t>
            </w:r>
            <w:r w:rsidR="005423BB" w:rsidRPr="007C4D65">
              <w:rPr>
                <w:rFonts w:asciiTheme="minorHAnsi" w:eastAsia="Calibri" w:hAnsiTheme="minorHAnsi" w:cstheme="minorHAnsi"/>
                <w:sz w:val="18"/>
                <w:szCs w:val="18"/>
                <w:lang w:eastAsia="en-US"/>
              </w:rPr>
              <w:t xml:space="preserve"> design of products</w:t>
            </w:r>
            <w:r w:rsidR="005423BB" w:rsidRPr="007C4D65">
              <w:rPr>
                <w:rFonts w:asciiTheme="minorHAnsi" w:eastAsiaTheme="minorHAnsi" w:hAnsiTheme="minorHAnsi" w:cstheme="minorHAnsi"/>
                <w:sz w:val="18"/>
                <w:szCs w:val="18"/>
                <w:lang w:eastAsia="en-US" w:bidi="en-US"/>
              </w:rPr>
              <w:t xml:space="preserve"> and environmental protection systems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6210BAE" w14:textId="6AAB9854" w:rsidR="005423BB" w:rsidRPr="007C4D65" w:rsidRDefault="005423BB" w:rsidP="005423BB">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Inadequate promotion of measures which might influence</w:t>
            </w:r>
            <w:r w:rsidR="0054779A" w:rsidRPr="007C4D65">
              <w:rPr>
                <w:rFonts w:asciiTheme="minorHAnsi" w:eastAsiaTheme="minorHAnsi" w:hAnsiTheme="minorHAnsi" w:cstheme="minorHAnsi"/>
                <w:sz w:val="18"/>
                <w:szCs w:val="18"/>
                <w:lang w:eastAsia="en-US" w:bidi="en-US"/>
              </w:rPr>
              <w:t xml:space="preserve"> the</w:t>
            </w:r>
            <w:r w:rsidRPr="007C4D65">
              <w:rPr>
                <w:rFonts w:asciiTheme="minorHAnsi" w:eastAsiaTheme="minorHAnsi" w:hAnsiTheme="minorHAnsi" w:cstheme="minorHAnsi"/>
                <w:sz w:val="18"/>
                <w:szCs w:val="18"/>
                <w:lang w:eastAsia="en-US" w:bidi="en-US"/>
              </w:rPr>
              <w:t xml:space="preserve"> design of products and environmental protection systems</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CC9D07A" w14:textId="1DD31FE8" w:rsidR="005423BB" w:rsidRPr="007C4D65" w:rsidRDefault="0054779A" w:rsidP="005423BB">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C</w:t>
            </w:r>
            <w:r w:rsidR="005423BB" w:rsidRPr="007C4D65">
              <w:rPr>
                <w:rFonts w:asciiTheme="minorHAnsi" w:eastAsiaTheme="minorHAnsi" w:hAnsiTheme="minorHAnsi" w:cstheme="minorHAnsi"/>
                <w:sz w:val="18"/>
                <w:szCs w:val="18"/>
                <w:lang w:eastAsia="en-US" w:bidi="en-US"/>
              </w:rPr>
              <w:t xml:space="preserve">ontinuous promotion of measures which might influence </w:t>
            </w:r>
            <w:r w:rsidRPr="007C4D65">
              <w:rPr>
                <w:rFonts w:asciiTheme="minorHAnsi" w:eastAsiaTheme="minorHAnsi" w:hAnsiTheme="minorHAnsi" w:cstheme="minorHAnsi"/>
                <w:sz w:val="18"/>
                <w:szCs w:val="18"/>
                <w:lang w:eastAsia="en-US" w:bidi="en-US"/>
              </w:rPr>
              <w:t xml:space="preserve">the </w:t>
            </w:r>
            <w:r w:rsidR="005423BB" w:rsidRPr="007C4D65">
              <w:rPr>
                <w:rFonts w:asciiTheme="minorHAnsi" w:eastAsiaTheme="minorHAnsi" w:hAnsiTheme="minorHAnsi" w:cstheme="minorHAnsi"/>
                <w:sz w:val="18"/>
                <w:szCs w:val="18"/>
                <w:lang w:eastAsia="en-US" w:bidi="en-US"/>
              </w:rPr>
              <w:t xml:space="preserve">design of products and environmental protection systems </w:t>
            </w:r>
            <w:r w:rsidRPr="007C4D65">
              <w:rPr>
                <w:rFonts w:asciiTheme="minorHAnsi" w:eastAsiaTheme="minorHAnsi" w:hAnsiTheme="minorHAnsi" w:cstheme="minorHAnsi"/>
                <w:sz w:val="18"/>
                <w:szCs w:val="18"/>
                <w:lang w:eastAsia="en-US" w:bidi="en-US"/>
              </w:rPr>
              <w:t xml:space="preserve">secured </w:t>
            </w:r>
            <w:r w:rsidR="005423BB" w:rsidRPr="007C4D65">
              <w:rPr>
                <w:rFonts w:asciiTheme="minorHAnsi" w:eastAsiaTheme="minorHAnsi" w:hAnsiTheme="minorHAnsi" w:cstheme="minorHAnsi"/>
                <w:sz w:val="18"/>
                <w:szCs w:val="18"/>
                <w:lang w:eastAsia="en-US" w:bidi="en-US"/>
              </w:rPr>
              <w:t xml:space="preserve">(until 2026 and </w:t>
            </w:r>
            <w:r w:rsidRPr="007C4D65">
              <w:rPr>
                <w:rFonts w:asciiTheme="minorHAnsi" w:eastAsiaTheme="minorHAnsi" w:hAnsiTheme="minorHAnsi" w:cstheme="minorHAnsi"/>
                <w:sz w:val="18"/>
                <w:szCs w:val="18"/>
                <w:lang w:eastAsia="en-US" w:bidi="en-US"/>
              </w:rPr>
              <w:t>onwards</w:t>
            </w:r>
            <w:r w:rsidR="005423BB" w:rsidRPr="007C4D65">
              <w:rPr>
                <w:rFonts w:asciiTheme="minorHAnsi" w:eastAsiaTheme="minorHAnsi" w:hAnsiTheme="minorHAnsi" w:cstheme="minorHAnsi"/>
                <w:sz w:val="18"/>
                <w:szCs w:val="18"/>
                <w:lang w:eastAsia="en-US" w:bidi="en-US"/>
              </w:rPr>
              <w:t>)</w:t>
            </w:r>
          </w:p>
        </w:tc>
      </w:tr>
      <w:tr w:rsidR="005423BB" w:rsidRPr="007C4D65" w14:paraId="3811A886" w14:textId="77777777" w:rsidTr="00B6017F">
        <w:trPr>
          <w:trHeight w:val="567"/>
        </w:trPr>
        <w:tc>
          <w:tcPr>
            <w:tcW w:w="1359" w:type="pct"/>
            <w:shd w:val="clear" w:color="auto" w:fill="009D73"/>
            <w:vAlign w:val="center"/>
          </w:tcPr>
          <w:p w14:paraId="7D1F4450"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38CB53D" w14:textId="3D2D5078" w:rsidR="005423BB" w:rsidRPr="007C4D65" w:rsidRDefault="00713B0E" w:rsidP="005423BB">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Increased public awareness on the importance of the environment</w:t>
            </w:r>
          </w:p>
        </w:tc>
      </w:tr>
      <w:tr w:rsidR="005423BB" w:rsidRPr="007C4D65" w14:paraId="5B4FF9C5"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87ADB79" w14:textId="4DB60B53" w:rsidR="005423BB" w:rsidRPr="007C4D65" w:rsidRDefault="00963086"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r w:rsidR="005423BB" w:rsidRPr="007C4D65">
              <w:rPr>
                <w:rFonts w:asciiTheme="minorHAnsi" w:eastAsiaTheme="minorHAnsi" w:hAnsiTheme="minorHAnsi" w:cstheme="minorHAnsi"/>
                <w:b/>
                <w:color w:val="FFFFFF" w:themeColor="background1"/>
                <w:sz w:val="18"/>
                <w:szCs w:val="18"/>
                <w:lang w:eastAsia="en-US"/>
              </w:rPr>
              <w:t xml:space="preserve">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24A59B7" w14:textId="266DEFA8" w:rsidR="00713B0E" w:rsidRPr="007C4D65" w:rsidRDefault="00C224E3" w:rsidP="00713B0E">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713B0E" w:rsidRPr="007C4D65">
              <w:rPr>
                <w:rFonts w:asciiTheme="minorHAnsi" w:hAnsiTheme="minorHAnsi" w:cstheme="minorHAnsi"/>
                <w:sz w:val="18"/>
                <w:szCs w:val="18"/>
                <w:lang w:val="hr-HR" w:bidi="en-US"/>
              </w:rPr>
              <w:t>BAM 388,618</w:t>
            </w:r>
          </w:p>
          <w:p w14:paraId="3C426CAD" w14:textId="628FD539" w:rsidR="005423BB" w:rsidRPr="007C4D65" w:rsidRDefault="009E6B20" w:rsidP="00713B0E">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val="hr-HR" w:bidi="en-US"/>
              </w:rPr>
              <w:t xml:space="preserve">Source: </w:t>
            </w:r>
            <w:r w:rsidR="00713B0E" w:rsidRPr="007C4D65">
              <w:rPr>
                <w:rFonts w:asciiTheme="minorHAnsi" w:hAnsiTheme="minorHAnsi" w:cstheme="minorHAnsi"/>
                <w:sz w:val="18"/>
                <w:szCs w:val="18"/>
                <w:lang w:val="hr-HR" w:bidi="en-US"/>
              </w:rPr>
              <w:t xml:space="preserve">30%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713B0E" w:rsidRPr="007C4D65">
              <w:rPr>
                <w:rFonts w:asciiTheme="minorHAnsi" w:hAnsiTheme="minorHAnsi" w:cstheme="minorHAnsi"/>
                <w:sz w:val="18"/>
                <w:szCs w:val="18"/>
                <w:lang w:val="hr-HR" w:bidi="en-US"/>
              </w:rPr>
              <w:t xml:space="preserve">, 70% </w:t>
            </w:r>
            <w:r w:rsidR="00C224E3" w:rsidRPr="007C4D65">
              <w:rPr>
                <w:rFonts w:asciiTheme="minorHAnsi" w:hAnsiTheme="minorHAnsi" w:cstheme="minorHAnsi"/>
                <w:sz w:val="18"/>
                <w:szCs w:val="18"/>
                <w:lang w:val="hr-HR" w:bidi="en-US"/>
              </w:rPr>
              <w:t xml:space="preserve">combined </w:t>
            </w:r>
            <w:r w:rsidR="00713B0E" w:rsidRPr="007C4D65">
              <w:rPr>
                <w:rFonts w:asciiTheme="minorHAnsi" w:hAnsiTheme="minorHAnsi" w:cstheme="minorHAnsi"/>
                <w:sz w:val="18"/>
                <w:szCs w:val="18"/>
                <w:lang w:val="hr-HR" w:bidi="en-US"/>
              </w:rPr>
              <w:t xml:space="preserve"> ‒ </w:t>
            </w:r>
            <w:r w:rsidR="00C224E3" w:rsidRPr="007C4D65">
              <w:rPr>
                <w:rFonts w:asciiTheme="minorHAnsi" w:hAnsiTheme="minorHAnsi" w:cstheme="minorHAnsi"/>
                <w:sz w:val="18"/>
                <w:szCs w:val="18"/>
                <w:lang w:val="hr-HR" w:bidi="en-US"/>
              </w:rPr>
              <w:t xml:space="preserve">funds from EU and other international donors, and other donations </w:t>
            </w:r>
          </w:p>
        </w:tc>
      </w:tr>
      <w:tr w:rsidR="005423BB" w:rsidRPr="007C4D65" w14:paraId="0F6D80E9"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62DDB00"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8376012" w14:textId="77777777" w:rsidR="005423BB" w:rsidRPr="007C4D65" w:rsidRDefault="005423BB" w:rsidP="005423BB">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2030</w:t>
            </w:r>
          </w:p>
        </w:tc>
      </w:tr>
      <w:tr w:rsidR="005423BB" w:rsidRPr="007C4D65" w14:paraId="079CF922"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6F73379"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47E9814" w14:textId="42F3D9B4" w:rsidR="005423BB" w:rsidRPr="007C4D65" w:rsidRDefault="005423BB" w:rsidP="005423BB">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All the </w:t>
            </w:r>
            <w:r w:rsidR="00713B0E" w:rsidRPr="007C4D65">
              <w:rPr>
                <w:rFonts w:asciiTheme="minorHAnsi" w:eastAsiaTheme="minorHAnsi" w:hAnsiTheme="minorHAnsi" w:cstheme="minorHAnsi"/>
                <w:sz w:val="18"/>
                <w:szCs w:val="18"/>
                <w:lang w:eastAsia="en-US" w:bidi="en-US"/>
              </w:rPr>
              <w:t xml:space="preserve">environmental </w:t>
            </w:r>
            <w:r w:rsidRPr="007C4D65">
              <w:rPr>
                <w:rFonts w:asciiTheme="minorHAnsi" w:eastAsiaTheme="minorHAnsi" w:hAnsiTheme="minorHAnsi" w:cstheme="minorHAnsi"/>
                <w:sz w:val="18"/>
                <w:szCs w:val="18"/>
                <w:lang w:eastAsia="en-US" w:bidi="en-US"/>
              </w:rPr>
              <w:t xml:space="preserve">institutions </w:t>
            </w:r>
            <w:r w:rsidRPr="007C4D65">
              <w:rPr>
                <w:rFonts w:asciiTheme="minorHAnsi" w:eastAsia="Calibri" w:hAnsiTheme="minorHAnsi" w:cstheme="minorHAnsi"/>
                <w:sz w:val="18"/>
                <w:szCs w:val="18"/>
                <w:lang w:eastAsia="x-none"/>
              </w:rPr>
              <w:t>including local government units</w:t>
            </w:r>
          </w:p>
        </w:tc>
      </w:tr>
      <w:tr w:rsidR="005423BB" w:rsidRPr="007C4D65" w14:paraId="7943ECA9"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C0E33DE"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F78683D" w14:textId="70D9BDE0" w:rsidR="005423BB" w:rsidRPr="007C4D65" w:rsidRDefault="005423BB" w:rsidP="00123950">
            <w:pPr>
              <w:spacing w:after="160" w:line="259"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All the</w:t>
            </w:r>
            <w:r w:rsidR="00713B0E" w:rsidRPr="007C4D65">
              <w:rPr>
                <w:rFonts w:asciiTheme="minorHAnsi" w:eastAsiaTheme="minorHAnsi" w:hAnsiTheme="minorHAnsi" w:cstheme="minorHAnsi"/>
                <w:sz w:val="18"/>
                <w:szCs w:val="18"/>
                <w:lang w:eastAsia="en-US" w:bidi="en-US"/>
              </w:rPr>
              <w:t xml:space="preserve"> environmental</w:t>
            </w:r>
            <w:r w:rsidRPr="007C4D65">
              <w:rPr>
                <w:rFonts w:asciiTheme="minorHAnsi" w:eastAsiaTheme="minorHAnsi" w:hAnsiTheme="minorHAnsi" w:cstheme="minorHAnsi"/>
                <w:sz w:val="18"/>
                <w:szCs w:val="18"/>
                <w:lang w:eastAsia="en-US" w:bidi="en-US"/>
              </w:rPr>
              <w:t xml:space="preserve"> institutions </w:t>
            </w:r>
            <w:r w:rsidRPr="007C4D65">
              <w:rPr>
                <w:rFonts w:asciiTheme="minorHAnsi" w:eastAsia="Calibri" w:hAnsiTheme="minorHAnsi" w:cstheme="minorHAnsi"/>
                <w:sz w:val="18"/>
                <w:szCs w:val="18"/>
                <w:lang w:eastAsia="x-none"/>
              </w:rPr>
              <w:t xml:space="preserve">including local government units </w:t>
            </w:r>
            <w:r w:rsidRPr="007C4D65">
              <w:rPr>
                <w:rFonts w:asciiTheme="minorHAnsi" w:eastAsiaTheme="minorHAnsi" w:hAnsiTheme="minorHAnsi" w:cstheme="minorHAnsi"/>
                <w:sz w:val="18"/>
                <w:szCs w:val="18"/>
                <w:lang w:eastAsia="en-US" w:bidi="en-US"/>
              </w:rPr>
              <w:t>(municipalities/cities), in cooperation with media, educational institutions, civil society organizations and Gender Centre of the</w:t>
            </w:r>
            <w:r w:rsidRPr="007C4D65">
              <w:rPr>
                <w:rFonts w:asciiTheme="minorHAnsi" w:eastAsia="Calibri" w:hAnsiTheme="minorHAnsi" w:cstheme="minorHAnsi"/>
                <w:sz w:val="18"/>
                <w:szCs w:val="18"/>
                <w:lang w:eastAsia="en-US" w:bidi="en-US"/>
              </w:rPr>
              <w:t xml:space="preserve"> Federation of </w:t>
            </w:r>
            <w:r w:rsidR="00713B0E" w:rsidRPr="007C4D65">
              <w:rPr>
                <w:rFonts w:asciiTheme="minorHAnsi" w:eastAsia="Calibri" w:hAnsiTheme="minorHAnsi" w:cstheme="minorHAnsi"/>
                <w:sz w:val="18"/>
                <w:szCs w:val="18"/>
                <w:lang w:eastAsia="en-US" w:bidi="en-US"/>
              </w:rPr>
              <w:t>BiH</w:t>
            </w:r>
          </w:p>
        </w:tc>
      </w:tr>
      <w:tr w:rsidR="005423BB" w:rsidRPr="007C4D65" w14:paraId="6D4B0BFD" w14:textId="77777777" w:rsidTr="00B6017F">
        <w:trPr>
          <w:trHeight w:val="567"/>
        </w:trPr>
        <w:tc>
          <w:tcPr>
            <w:tcW w:w="1359" w:type="pct"/>
            <w:shd w:val="clear" w:color="auto" w:fill="009D73"/>
            <w:vAlign w:val="center"/>
          </w:tcPr>
          <w:p w14:paraId="3DDAFD04" w14:textId="77777777" w:rsidR="005423BB" w:rsidRPr="007C4D65" w:rsidRDefault="005423BB" w:rsidP="005423BB">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5295268" w14:textId="03A3953C" w:rsidR="005423BB" w:rsidRPr="007C4D65" w:rsidRDefault="005423BB" w:rsidP="005423BB">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Professional community, </w:t>
            </w:r>
            <w:proofErr w:type="gramStart"/>
            <w:r w:rsidRPr="007C4D65">
              <w:rPr>
                <w:rFonts w:asciiTheme="minorHAnsi" w:eastAsiaTheme="minorHAnsi" w:hAnsiTheme="minorHAnsi" w:cstheme="minorHAnsi"/>
                <w:sz w:val="18"/>
                <w:szCs w:val="18"/>
                <w:lang w:eastAsia="en-US" w:bidi="en-US"/>
              </w:rPr>
              <w:t>general public</w:t>
            </w:r>
            <w:proofErr w:type="gramEnd"/>
            <w:r w:rsidRPr="007C4D65">
              <w:rPr>
                <w:rFonts w:asciiTheme="minorHAnsi" w:eastAsiaTheme="minorHAnsi" w:hAnsiTheme="minorHAnsi" w:cstheme="minorHAnsi"/>
                <w:sz w:val="18"/>
                <w:szCs w:val="18"/>
                <w:lang w:eastAsia="en-US" w:bidi="en-US"/>
              </w:rPr>
              <w:t xml:space="preserve">, business </w:t>
            </w:r>
            <w:r w:rsidR="00713B0E" w:rsidRPr="007C4D65">
              <w:rPr>
                <w:rFonts w:asciiTheme="minorHAnsi" w:eastAsiaTheme="minorHAnsi" w:hAnsiTheme="minorHAnsi" w:cstheme="minorHAnsi"/>
                <w:sz w:val="18"/>
                <w:szCs w:val="18"/>
                <w:lang w:eastAsia="en-US" w:bidi="en-US"/>
              </w:rPr>
              <w:t>entities</w:t>
            </w:r>
          </w:p>
        </w:tc>
      </w:tr>
    </w:tbl>
    <w:p w14:paraId="27DFCA3C" w14:textId="77777777" w:rsidR="006226BE" w:rsidRPr="007C4D65" w:rsidRDefault="006226BE" w:rsidP="0068355A">
      <w:pPr>
        <w:spacing w:line="276" w:lineRule="auto"/>
        <w:rPr>
          <w:rFonts w:asciiTheme="minorHAnsi" w:hAnsiTheme="minorHAnsi" w:cstheme="minorHAnsi"/>
          <w:sz w:val="18"/>
          <w:szCs w:val="18"/>
        </w:rPr>
      </w:pPr>
    </w:p>
    <w:p w14:paraId="18C2F440" w14:textId="77777777"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5"/>
        <w:gridCol w:w="3492"/>
        <w:gridCol w:w="3242"/>
        <w:gridCol w:w="2762"/>
      </w:tblGrid>
      <w:tr w:rsidR="00713B0E" w:rsidRPr="007C4D65" w14:paraId="1309C40F" w14:textId="77777777" w:rsidTr="00B6017F">
        <w:trPr>
          <w:trHeight w:val="567"/>
        </w:trPr>
        <w:tc>
          <w:tcPr>
            <w:tcW w:w="1359" w:type="pct"/>
            <w:shd w:val="clear" w:color="auto" w:fill="009D73"/>
            <w:vAlign w:val="center"/>
          </w:tcPr>
          <w:p w14:paraId="19790E37"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Link with strategic goal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02F562C" w14:textId="72882A8C" w:rsidR="00713B0E" w:rsidRPr="007C4D65" w:rsidRDefault="00713B0E" w:rsidP="00713B0E">
            <w:pPr>
              <w:spacing w:after="160" w:line="259"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7. Strengthening environmental management</w:t>
            </w:r>
          </w:p>
        </w:tc>
      </w:tr>
      <w:tr w:rsidR="00713B0E" w:rsidRPr="007C4D65" w14:paraId="1020198C" w14:textId="77777777" w:rsidTr="00B6017F">
        <w:trPr>
          <w:trHeight w:val="567"/>
        </w:trPr>
        <w:tc>
          <w:tcPr>
            <w:tcW w:w="1359" w:type="pct"/>
            <w:shd w:val="clear" w:color="auto" w:fill="009D73"/>
            <w:vAlign w:val="center"/>
          </w:tcPr>
          <w:p w14:paraId="78B32067"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AEF0F06" w14:textId="0BBBDFAD" w:rsidR="00713B0E" w:rsidRPr="007C4D65" w:rsidRDefault="00713B0E" w:rsidP="00713B0E">
            <w:pPr>
              <w:spacing w:before="40" w:after="40" w:line="276" w:lineRule="auto"/>
              <w:rPr>
                <w:rFonts w:asciiTheme="minorHAnsi" w:hAnsiTheme="minorHAnsi" w:cstheme="minorHAnsi"/>
                <w:b/>
                <w:bCs/>
                <w:sz w:val="18"/>
                <w:szCs w:val="18"/>
                <w:lang w:eastAsia="zh-TW"/>
              </w:rPr>
            </w:pPr>
            <w:r w:rsidRPr="007C4D65">
              <w:rPr>
                <w:rFonts w:asciiTheme="minorHAnsi" w:eastAsia="Calibri" w:hAnsiTheme="minorHAnsi" w:cstheme="minorHAnsi"/>
                <w:b/>
                <w:bCs/>
                <w:sz w:val="18"/>
                <w:szCs w:val="18"/>
                <w:lang w:eastAsia="en-US"/>
              </w:rPr>
              <w:t xml:space="preserve">7.4 </w:t>
            </w:r>
            <w:r w:rsidR="00A323B2" w:rsidRPr="007C4D65">
              <w:rPr>
                <w:rFonts w:asciiTheme="minorHAnsi" w:eastAsia="Calibri" w:hAnsiTheme="minorHAnsi" w:cstheme="minorHAnsi"/>
                <w:b/>
                <w:bCs/>
                <w:sz w:val="18"/>
                <w:szCs w:val="18"/>
                <w:lang w:eastAsia="en-US"/>
              </w:rPr>
              <w:t xml:space="preserve">Ensuring strong public awareness on the importance of the environmental protection and their engagement in </w:t>
            </w:r>
            <w:r w:rsidR="009F16BA" w:rsidRPr="007C4D65">
              <w:rPr>
                <w:rFonts w:asciiTheme="minorHAnsi" w:eastAsia="Calibri" w:hAnsiTheme="minorHAnsi" w:cstheme="minorHAnsi"/>
                <w:b/>
                <w:bCs/>
                <w:sz w:val="18"/>
                <w:szCs w:val="18"/>
                <w:lang w:eastAsia="en-US"/>
              </w:rPr>
              <w:t xml:space="preserve">decision-making  </w:t>
            </w:r>
            <w:r w:rsidR="00A323B2" w:rsidRPr="007C4D65">
              <w:rPr>
                <w:rFonts w:asciiTheme="minorHAnsi" w:eastAsia="Calibri" w:hAnsiTheme="minorHAnsi" w:cstheme="minorHAnsi"/>
                <w:b/>
                <w:bCs/>
                <w:sz w:val="18"/>
                <w:szCs w:val="18"/>
                <w:lang w:eastAsia="en-US"/>
              </w:rPr>
              <w:t xml:space="preserve"> processes, focusing on women, youth and socially vulnerable groups</w:t>
            </w:r>
          </w:p>
        </w:tc>
      </w:tr>
      <w:tr w:rsidR="00713B0E" w:rsidRPr="007C4D65" w14:paraId="366E9DC2" w14:textId="77777777" w:rsidTr="00B6017F">
        <w:trPr>
          <w:trHeight w:val="567"/>
        </w:trPr>
        <w:tc>
          <w:tcPr>
            <w:tcW w:w="1359" w:type="pct"/>
            <w:shd w:val="clear" w:color="auto" w:fill="009D73"/>
            <w:vAlign w:val="center"/>
          </w:tcPr>
          <w:p w14:paraId="3A80C476"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8FDA9F9" w14:textId="42B8F572" w:rsidR="00713B0E" w:rsidRPr="007C4D65" w:rsidRDefault="00713B0E" w:rsidP="00713B0E">
            <w:pPr>
              <w:spacing w:before="40" w:after="40" w:line="276" w:lineRule="auto"/>
              <w:rPr>
                <w:rFonts w:asciiTheme="minorHAnsi" w:eastAsia="Calibri" w:hAnsiTheme="minorHAnsi" w:cstheme="minorHAnsi"/>
                <w:b/>
                <w:sz w:val="18"/>
                <w:szCs w:val="18"/>
                <w:lang w:eastAsia="x-none"/>
              </w:rPr>
            </w:pPr>
            <w:r w:rsidRPr="007C4D65">
              <w:rPr>
                <w:rFonts w:asciiTheme="minorHAnsi" w:eastAsia="Calibri" w:hAnsiTheme="minorHAnsi" w:cstheme="minorHAnsi"/>
                <w:b/>
                <w:sz w:val="18"/>
                <w:szCs w:val="18"/>
                <w:lang w:eastAsia="x-none"/>
              </w:rPr>
              <w:t xml:space="preserve">7.4.2 Improving public participation in </w:t>
            </w:r>
            <w:r w:rsidR="009F16BA" w:rsidRPr="007C4D65">
              <w:rPr>
                <w:rFonts w:asciiTheme="minorHAnsi" w:eastAsia="Calibri" w:hAnsiTheme="minorHAnsi" w:cstheme="minorHAnsi"/>
                <w:b/>
                <w:sz w:val="18"/>
                <w:szCs w:val="18"/>
                <w:lang w:eastAsia="x-none"/>
              </w:rPr>
              <w:t>decision-making</w:t>
            </w:r>
            <w:r w:rsidRPr="007C4D65">
              <w:rPr>
                <w:rFonts w:asciiTheme="minorHAnsi" w:eastAsia="Calibri" w:hAnsiTheme="minorHAnsi" w:cstheme="minorHAnsi"/>
                <w:b/>
                <w:sz w:val="18"/>
                <w:szCs w:val="18"/>
                <w:lang w:eastAsia="x-none"/>
              </w:rPr>
              <w:t xml:space="preserve"> about environment</w:t>
            </w:r>
          </w:p>
        </w:tc>
      </w:tr>
      <w:tr w:rsidR="00713B0E" w:rsidRPr="007C4D65" w14:paraId="6CB260E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CA6EF52" w14:textId="77777777" w:rsidR="00713B0E" w:rsidRPr="007C4D65" w:rsidRDefault="00713B0E" w:rsidP="00713B0E">
            <w:pPr>
              <w:spacing w:before="40" w:after="40" w:line="276" w:lineRule="auto"/>
              <w:ind w:left="406"/>
              <w:contextualSpacing/>
              <w:jc w:val="both"/>
              <w:rPr>
                <w:rFonts w:asciiTheme="minorHAnsi" w:eastAsia="Calibri" w:hAnsiTheme="minorHAnsi" w:cstheme="minorHAnsi"/>
                <w:sz w:val="18"/>
                <w:szCs w:val="18"/>
                <w:lang w:eastAsia="en-US"/>
              </w:rPr>
            </w:pPr>
            <w:r w:rsidRPr="007C4D65">
              <w:rPr>
                <w:rFonts w:asciiTheme="minorHAnsi" w:eastAsia="Calibri" w:hAnsiTheme="minorHAnsi" w:cstheme="minorHAnsi"/>
                <w:b/>
                <w:bCs/>
                <w:color w:val="FFFFFF"/>
                <w:sz w:val="18"/>
                <w:szCs w:val="18"/>
                <w:lang w:eastAsia="en-US" w:bidi="en-US"/>
              </w:rPr>
              <w:t>Description of the measure with the general area of intervention</w:t>
            </w:r>
          </w:p>
          <w:p w14:paraId="3B380072"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E75DF37" w14:textId="0896F9D7" w:rsidR="00713B0E" w:rsidRPr="007C4D65" w:rsidRDefault="00713B0E" w:rsidP="00713B0E">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 xml:space="preserve">The aim of this measure is to ensure access to information and efficient public participation in the process of environmental </w:t>
            </w:r>
            <w:r w:rsidR="009F16BA" w:rsidRPr="007C4D65">
              <w:rPr>
                <w:rFonts w:asciiTheme="minorHAnsi" w:eastAsia="Calibri" w:hAnsiTheme="minorHAnsi" w:cstheme="minorHAnsi"/>
                <w:sz w:val="18"/>
                <w:szCs w:val="18"/>
                <w:lang w:eastAsia="en-US"/>
              </w:rPr>
              <w:t>decision-making</w:t>
            </w:r>
            <w:r w:rsidRPr="007C4D65">
              <w:rPr>
                <w:rFonts w:asciiTheme="minorHAnsi" w:eastAsia="Calibri" w:hAnsiTheme="minorHAnsi" w:cstheme="minorHAnsi"/>
                <w:sz w:val="18"/>
                <w:szCs w:val="18"/>
                <w:lang w:eastAsia="x-none"/>
              </w:rPr>
              <w:t xml:space="preserve">, especially in the environmental permitting processes. This measure includes capacity building of civil society women associations to participate in </w:t>
            </w:r>
            <w:r w:rsidR="009F16BA" w:rsidRPr="007C4D65">
              <w:rPr>
                <w:rFonts w:asciiTheme="minorHAnsi" w:eastAsia="Calibri" w:hAnsiTheme="minorHAnsi" w:cstheme="minorHAnsi"/>
                <w:sz w:val="18"/>
                <w:szCs w:val="18"/>
                <w:lang w:eastAsia="x-none"/>
              </w:rPr>
              <w:t>decision-making</w:t>
            </w:r>
            <w:r w:rsidR="00123950" w:rsidRPr="007C4D65">
              <w:rPr>
                <w:rFonts w:asciiTheme="minorHAnsi" w:eastAsia="Calibri" w:hAnsiTheme="minorHAnsi" w:cstheme="minorHAnsi"/>
                <w:sz w:val="18"/>
                <w:szCs w:val="18"/>
                <w:lang w:eastAsia="x-none"/>
              </w:rPr>
              <w:t>.</w:t>
            </w:r>
          </w:p>
          <w:p w14:paraId="3B013DF6" w14:textId="77777777" w:rsidR="00713B0E" w:rsidRPr="007C4D65" w:rsidRDefault="00713B0E" w:rsidP="00713B0E">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General areas of intervention</w:t>
            </w:r>
            <w:r w:rsidRPr="007C4D65">
              <w:rPr>
                <w:rFonts w:asciiTheme="minorHAnsi" w:eastAsia="Calibri" w:hAnsiTheme="minorHAnsi" w:cstheme="minorHAnsi"/>
                <w:sz w:val="18"/>
                <w:szCs w:val="18"/>
                <w:lang w:eastAsia="x-none"/>
              </w:rPr>
              <w:t>:</w:t>
            </w:r>
          </w:p>
          <w:p w14:paraId="39B2DF4F" w14:textId="12A0EC26" w:rsidR="00713B0E" w:rsidRPr="007C4D65" w:rsidRDefault="00713B0E" w:rsidP="00713B0E">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1) According to the identified needs, trainings of the representatives of the relevant institutions aimed at strengthening the capacity </w:t>
            </w:r>
            <w:r w:rsidR="000D18E6" w:rsidRPr="007C4D65">
              <w:rPr>
                <w:rFonts w:asciiTheme="minorHAnsi" w:eastAsia="Calibri" w:hAnsiTheme="minorHAnsi" w:cstheme="minorHAnsi"/>
                <w:sz w:val="18"/>
                <w:szCs w:val="18"/>
                <w:lang w:eastAsia="x-none"/>
              </w:rPr>
              <w:t>to organise</w:t>
            </w:r>
            <w:r w:rsidRPr="007C4D65">
              <w:rPr>
                <w:rFonts w:asciiTheme="minorHAnsi" w:eastAsia="Calibri" w:hAnsiTheme="minorHAnsi" w:cstheme="minorHAnsi"/>
                <w:sz w:val="18"/>
                <w:szCs w:val="18"/>
                <w:lang w:eastAsia="x-none"/>
              </w:rPr>
              <w:t xml:space="preserve"> efficient public </w:t>
            </w:r>
            <w:proofErr w:type="gramStart"/>
            <w:r w:rsidRPr="007C4D65">
              <w:rPr>
                <w:rFonts w:asciiTheme="minorHAnsi" w:eastAsia="Calibri" w:hAnsiTheme="minorHAnsi" w:cstheme="minorHAnsi"/>
                <w:sz w:val="18"/>
                <w:szCs w:val="18"/>
                <w:lang w:eastAsia="x-none"/>
              </w:rPr>
              <w:t>participation</w:t>
            </w:r>
            <w:r w:rsidR="00123950" w:rsidRPr="007C4D65">
              <w:rPr>
                <w:rFonts w:asciiTheme="minorHAnsi" w:eastAsia="Calibri" w:hAnsiTheme="minorHAnsi" w:cstheme="minorHAnsi"/>
                <w:sz w:val="18"/>
                <w:szCs w:val="18"/>
                <w:lang w:eastAsia="x-none"/>
              </w:rPr>
              <w:t>;</w:t>
            </w:r>
            <w:proofErr w:type="gramEnd"/>
          </w:p>
          <w:p w14:paraId="1E2DA47B" w14:textId="5AA1F703" w:rsidR="00713B0E" w:rsidRPr="007C4D65" w:rsidRDefault="000D18E6" w:rsidP="000D18E6">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2) </w:t>
            </w:r>
            <w:r w:rsidR="00713B0E" w:rsidRPr="007C4D65">
              <w:rPr>
                <w:rFonts w:asciiTheme="minorHAnsi" w:eastAsia="Calibri" w:hAnsiTheme="minorHAnsi" w:cstheme="minorHAnsi"/>
                <w:sz w:val="18"/>
                <w:szCs w:val="18"/>
                <w:lang w:eastAsia="x-none"/>
              </w:rPr>
              <w:t xml:space="preserve">Mapping </w:t>
            </w:r>
            <w:r w:rsidRPr="007C4D65">
              <w:rPr>
                <w:rFonts w:asciiTheme="minorHAnsi" w:eastAsia="Calibri" w:hAnsiTheme="minorHAnsi" w:cstheme="minorHAnsi"/>
                <w:sz w:val="18"/>
                <w:szCs w:val="18"/>
                <w:lang w:eastAsia="x-none"/>
              </w:rPr>
              <w:t xml:space="preserve">of </w:t>
            </w:r>
            <w:r w:rsidR="00713B0E" w:rsidRPr="007C4D65">
              <w:rPr>
                <w:rFonts w:asciiTheme="minorHAnsi" w:eastAsia="Calibri" w:hAnsiTheme="minorHAnsi" w:cstheme="minorHAnsi"/>
                <w:sz w:val="18"/>
                <w:szCs w:val="18"/>
                <w:lang w:eastAsia="x-none"/>
              </w:rPr>
              <w:t xml:space="preserve">relevant civil society organizations and updating the existing list and improving cooperation with civil society organizations </w:t>
            </w:r>
            <w:r w:rsidRPr="007C4D65">
              <w:rPr>
                <w:rFonts w:asciiTheme="minorHAnsi" w:eastAsia="Calibri" w:hAnsiTheme="minorHAnsi" w:cstheme="minorHAnsi"/>
                <w:sz w:val="18"/>
                <w:szCs w:val="18"/>
                <w:lang w:eastAsia="x-none"/>
              </w:rPr>
              <w:t>through their engagement</w:t>
            </w:r>
            <w:r w:rsidR="00713B0E" w:rsidRPr="007C4D65">
              <w:rPr>
                <w:rFonts w:asciiTheme="minorHAnsi" w:eastAsia="Calibri" w:hAnsiTheme="minorHAnsi" w:cstheme="minorHAnsi"/>
                <w:sz w:val="18"/>
                <w:szCs w:val="18"/>
                <w:lang w:eastAsia="x-none"/>
              </w:rPr>
              <w:t xml:space="preserve"> in preparation of laws, </w:t>
            </w:r>
            <w:r w:rsidR="00B80FAD" w:rsidRPr="007C4D65">
              <w:rPr>
                <w:rFonts w:asciiTheme="minorHAnsi" w:eastAsia="Calibri" w:hAnsiTheme="minorHAnsi" w:cstheme="minorHAnsi"/>
                <w:sz w:val="18"/>
                <w:szCs w:val="18"/>
                <w:lang w:eastAsia="x-none"/>
              </w:rPr>
              <w:t>bylaw</w:t>
            </w:r>
            <w:r w:rsidR="00713B0E" w:rsidRPr="007C4D65">
              <w:rPr>
                <w:rFonts w:asciiTheme="minorHAnsi" w:eastAsia="Calibri" w:hAnsiTheme="minorHAnsi" w:cstheme="minorHAnsi"/>
                <w:sz w:val="18"/>
                <w:szCs w:val="18"/>
                <w:lang w:eastAsia="x-none"/>
              </w:rPr>
              <w:t xml:space="preserve">s and other enactments, strategies, policies and analysis, as well as </w:t>
            </w:r>
            <w:r w:rsidRPr="007C4D65">
              <w:rPr>
                <w:rFonts w:asciiTheme="minorHAnsi" w:eastAsia="Calibri" w:hAnsiTheme="minorHAnsi" w:cstheme="minorHAnsi"/>
                <w:sz w:val="18"/>
                <w:szCs w:val="18"/>
                <w:lang w:eastAsia="x-none"/>
              </w:rPr>
              <w:t>in development of</w:t>
            </w:r>
            <w:r w:rsidR="00713B0E" w:rsidRPr="007C4D65">
              <w:rPr>
                <w:rFonts w:asciiTheme="minorHAnsi" w:eastAsia="Calibri" w:hAnsiTheme="minorHAnsi" w:cstheme="minorHAnsi"/>
                <w:sz w:val="18"/>
                <w:szCs w:val="18"/>
                <w:lang w:eastAsia="x-none"/>
              </w:rPr>
              <w:t xml:space="preserve"> spatial plans and program</w:t>
            </w:r>
            <w:r w:rsidR="00B80FAD" w:rsidRPr="007C4D65">
              <w:rPr>
                <w:rFonts w:asciiTheme="minorHAnsi" w:eastAsia="Calibri" w:hAnsiTheme="minorHAnsi" w:cstheme="minorHAnsi"/>
                <w:sz w:val="18"/>
                <w:szCs w:val="18"/>
                <w:lang w:eastAsia="x-none"/>
              </w:rPr>
              <w:t>me</w:t>
            </w:r>
            <w:r w:rsidR="00713B0E" w:rsidRPr="007C4D65">
              <w:rPr>
                <w:rFonts w:asciiTheme="minorHAnsi" w:eastAsia="Calibri" w:hAnsiTheme="minorHAnsi" w:cstheme="minorHAnsi"/>
                <w:sz w:val="18"/>
                <w:szCs w:val="18"/>
                <w:lang w:eastAsia="x-none"/>
              </w:rPr>
              <w:t>s, decision on concessions, water decisions, environmental impact assessment</w:t>
            </w:r>
            <w:r w:rsidRPr="007C4D65">
              <w:rPr>
                <w:rFonts w:asciiTheme="minorHAnsi" w:eastAsia="Calibri" w:hAnsiTheme="minorHAnsi" w:cstheme="minorHAnsi"/>
                <w:sz w:val="18"/>
                <w:szCs w:val="18"/>
                <w:lang w:eastAsia="x-none"/>
              </w:rPr>
              <w:t>s</w:t>
            </w:r>
            <w:r w:rsidR="00713B0E" w:rsidRPr="007C4D65">
              <w:rPr>
                <w:rFonts w:asciiTheme="minorHAnsi" w:eastAsia="Calibri" w:hAnsiTheme="minorHAnsi" w:cstheme="minorHAnsi"/>
                <w:sz w:val="18"/>
                <w:szCs w:val="18"/>
                <w:lang w:eastAsia="x-none"/>
              </w:rPr>
              <w:t xml:space="preserve"> (both stages), environmental permit</w:t>
            </w:r>
            <w:r w:rsidRPr="007C4D65">
              <w:rPr>
                <w:rFonts w:asciiTheme="minorHAnsi" w:eastAsia="Calibri" w:hAnsiTheme="minorHAnsi" w:cstheme="minorHAnsi"/>
                <w:sz w:val="18"/>
                <w:szCs w:val="18"/>
                <w:lang w:eastAsia="x-none"/>
              </w:rPr>
              <w:t xml:space="preserve">ting </w:t>
            </w:r>
            <w:r w:rsidR="00713B0E" w:rsidRPr="007C4D65">
              <w:rPr>
                <w:rFonts w:asciiTheme="minorHAnsi" w:eastAsia="Calibri" w:hAnsiTheme="minorHAnsi" w:cstheme="minorHAnsi"/>
                <w:sz w:val="18"/>
                <w:szCs w:val="18"/>
                <w:lang w:eastAsia="x-none"/>
              </w:rPr>
              <w:t>and o licen</w:t>
            </w:r>
            <w:r w:rsidRPr="007C4D65">
              <w:rPr>
                <w:rFonts w:asciiTheme="minorHAnsi" w:eastAsia="Calibri" w:hAnsiTheme="minorHAnsi" w:cstheme="minorHAnsi"/>
                <w:sz w:val="18"/>
                <w:szCs w:val="18"/>
                <w:lang w:eastAsia="x-none"/>
              </w:rPr>
              <w:t>cing</w:t>
            </w:r>
            <w:r w:rsidR="00713B0E"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 xml:space="preserve">procedures </w:t>
            </w:r>
            <w:r w:rsidR="00713B0E" w:rsidRPr="007C4D65">
              <w:rPr>
                <w:rFonts w:asciiTheme="minorHAnsi" w:eastAsia="Calibri" w:hAnsiTheme="minorHAnsi" w:cstheme="minorHAnsi"/>
                <w:sz w:val="18"/>
                <w:szCs w:val="18"/>
                <w:lang w:eastAsia="x-none"/>
              </w:rPr>
              <w:t xml:space="preserve">of special </w:t>
            </w:r>
            <w:proofErr w:type="gramStart"/>
            <w:r w:rsidR="00713B0E" w:rsidRPr="007C4D65">
              <w:rPr>
                <w:rFonts w:asciiTheme="minorHAnsi" w:eastAsia="Calibri" w:hAnsiTheme="minorHAnsi" w:cstheme="minorHAnsi"/>
                <w:sz w:val="18"/>
                <w:szCs w:val="18"/>
                <w:lang w:eastAsia="x-none"/>
              </w:rPr>
              <w:t>plants</w:t>
            </w:r>
            <w:r w:rsidR="005D1AF9" w:rsidRPr="007C4D65">
              <w:rPr>
                <w:rFonts w:asciiTheme="minorHAnsi" w:eastAsia="Calibri" w:hAnsiTheme="minorHAnsi" w:cstheme="minorHAnsi"/>
                <w:sz w:val="18"/>
                <w:szCs w:val="18"/>
                <w:lang w:eastAsia="x-none"/>
              </w:rPr>
              <w:t>;</w:t>
            </w:r>
            <w:proofErr w:type="gramEnd"/>
          </w:p>
          <w:p w14:paraId="580BC0CC" w14:textId="77777777" w:rsidR="00713B0E" w:rsidRPr="007C4D65" w:rsidRDefault="00713B0E" w:rsidP="00713B0E">
            <w:pPr>
              <w:spacing w:before="40" w:after="40" w:line="276" w:lineRule="auto"/>
              <w:ind w:left="360"/>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 In particular:</w:t>
            </w:r>
          </w:p>
          <w:p w14:paraId="55F04233" w14:textId="3CF8B7CA" w:rsidR="00713B0E" w:rsidRPr="007C4D65" w:rsidRDefault="000D18E6">
            <w:pPr>
              <w:numPr>
                <w:ilvl w:val="0"/>
                <w:numId w:val="220"/>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Implementation of mandatory consultations</w:t>
            </w:r>
            <w:r w:rsidR="00713B0E" w:rsidRPr="007C4D65">
              <w:rPr>
                <w:rFonts w:asciiTheme="minorHAnsi" w:eastAsia="Calibri" w:hAnsiTheme="minorHAnsi" w:cstheme="minorHAnsi"/>
                <w:sz w:val="18"/>
                <w:szCs w:val="18"/>
                <w:lang w:eastAsia="x-none"/>
              </w:rPr>
              <w:t xml:space="preserve"> with local population directly exposed to project impacts by using specially designed approaches, especially for vulnerable categories of </w:t>
            </w:r>
            <w:proofErr w:type="gramStart"/>
            <w:r w:rsidR="00713B0E" w:rsidRPr="007C4D65">
              <w:rPr>
                <w:rFonts w:asciiTheme="minorHAnsi" w:eastAsia="Calibri" w:hAnsiTheme="minorHAnsi" w:cstheme="minorHAnsi"/>
                <w:sz w:val="18"/>
                <w:szCs w:val="18"/>
                <w:lang w:eastAsia="x-none"/>
              </w:rPr>
              <w:t>population</w:t>
            </w:r>
            <w:r w:rsidR="005D1AF9" w:rsidRPr="007C4D65">
              <w:rPr>
                <w:rFonts w:asciiTheme="minorHAnsi" w:eastAsia="Calibri" w:hAnsiTheme="minorHAnsi" w:cstheme="minorHAnsi"/>
                <w:sz w:val="18"/>
                <w:szCs w:val="18"/>
                <w:lang w:eastAsia="x-none"/>
              </w:rPr>
              <w:t>;</w:t>
            </w:r>
            <w:proofErr w:type="gramEnd"/>
          </w:p>
          <w:p w14:paraId="7D289489" w14:textId="5F6A6C50" w:rsidR="00713B0E" w:rsidRPr="007C4D65" w:rsidRDefault="00713B0E">
            <w:pPr>
              <w:numPr>
                <w:ilvl w:val="0"/>
                <w:numId w:val="220"/>
              </w:numPr>
              <w:spacing w:before="40" w:after="40" w:line="276" w:lineRule="auto"/>
              <w:contextualSpacing/>
              <w:rPr>
                <w:rFonts w:asciiTheme="minorHAnsi" w:eastAsia="Calibri" w:hAnsiTheme="minorHAnsi" w:cstheme="minorHAnsi"/>
                <w:sz w:val="18"/>
                <w:szCs w:val="18"/>
                <w:lang w:eastAsia="en-US" w:bidi="en-US"/>
              </w:rPr>
            </w:pPr>
            <w:r w:rsidRPr="007C4D65">
              <w:rPr>
                <w:rFonts w:asciiTheme="minorHAnsi" w:eastAsia="Calibri" w:hAnsiTheme="minorHAnsi" w:cstheme="minorHAnsi"/>
                <w:sz w:val="18"/>
                <w:szCs w:val="18"/>
                <w:lang w:eastAsia="x-none"/>
              </w:rPr>
              <w:t>establishment of cooperation with women non-governmental organizations in the</w:t>
            </w:r>
            <w:r w:rsidRPr="007C4D65">
              <w:rPr>
                <w:rFonts w:asciiTheme="minorHAnsi" w:eastAsia="Calibri" w:hAnsiTheme="minorHAnsi" w:cstheme="minorHAnsi"/>
                <w:sz w:val="18"/>
                <w:szCs w:val="18"/>
                <w:lang w:eastAsia="en-US" w:bidi="en-US"/>
              </w:rPr>
              <w:t xml:space="preserve"> Federation of </w:t>
            </w:r>
            <w:r w:rsidR="000D18E6" w:rsidRPr="007C4D65">
              <w:rPr>
                <w:rFonts w:asciiTheme="minorHAnsi" w:eastAsia="Calibri" w:hAnsiTheme="minorHAnsi" w:cstheme="minorHAnsi"/>
                <w:sz w:val="18"/>
                <w:szCs w:val="18"/>
                <w:lang w:eastAsia="en-US" w:bidi="en-US"/>
              </w:rPr>
              <w:t xml:space="preserve">BiH to involve them in </w:t>
            </w:r>
            <w:r w:rsidR="009F16BA" w:rsidRPr="007C4D65">
              <w:rPr>
                <w:rFonts w:asciiTheme="minorHAnsi" w:eastAsia="Calibri" w:hAnsiTheme="minorHAnsi" w:cstheme="minorHAnsi"/>
                <w:sz w:val="18"/>
                <w:szCs w:val="18"/>
                <w:lang w:eastAsia="en-US" w:bidi="en-US"/>
              </w:rPr>
              <w:t>decision-making</w:t>
            </w:r>
            <w:r w:rsidR="000D18E6" w:rsidRPr="007C4D65">
              <w:rPr>
                <w:rFonts w:asciiTheme="minorHAnsi" w:eastAsia="Calibri" w:hAnsiTheme="minorHAnsi" w:cstheme="minorHAnsi"/>
                <w:sz w:val="18"/>
                <w:szCs w:val="18"/>
                <w:lang w:eastAsia="en-US" w:bidi="en-US"/>
              </w:rPr>
              <w:t xml:space="preserve"> on</w:t>
            </w:r>
            <w:r w:rsidRPr="007C4D65">
              <w:rPr>
                <w:rFonts w:asciiTheme="minorHAnsi" w:eastAsia="Calibri" w:hAnsiTheme="minorHAnsi" w:cstheme="minorHAnsi"/>
                <w:sz w:val="18"/>
                <w:szCs w:val="18"/>
                <w:lang w:eastAsia="en-US" w:bidi="en-US"/>
              </w:rPr>
              <w:t xml:space="preserve"> environmental management (this especially </w:t>
            </w:r>
            <w:r w:rsidR="000D18E6" w:rsidRPr="007C4D65">
              <w:rPr>
                <w:rFonts w:asciiTheme="minorHAnsi" w:eastAsia="Calibri" w:hAnsiTheme="minorHAnsi" w:cstheme="minorHAnsi"/>
                <w:sz w:val="18"/>
                <w:szCs w:val="18"/>
                <w:lang w:eastAsia="en-US" w:bidi="en-US"/>
              </w:rPr>
              <w:t xml:space="preserve">applies </w:t>
            </w:r>
            <w:r w:rsidRPr="007C4D65">
              <w:rPr>
                <w:rFonts w:asciiTheme="minorHAnsi" w:eastAsia="Calibri" w:hAnsiTheme="minorHAnsi" w:cstheme="minorHAnsi"/>
                <w:sz w:val="18"/>
                <w:szCs w:val="18"/>
                <w:lang w:eastAsia="en-US" w:bidi="en-US"/>
              </w:rPr>
              <w:t xml:space="preserve">to women associations, which gather </w:t>
            </w:r>
            <w:r w:rsidR="000D18E6" w:rsidRPr="007C4D65">
              <w:rPr>
                <w:rFonts w:asciiTheme="minorHAnsi" w:eastAsia="Calibri" w:hAnsiTheme="minorHAnsi" w:cstheme="minorHAnsi"/>
                <w:sz w:val="18"/>
                <w:szCs w:val="18"/>
                <w:lang w:eastAsia="en-US" w:bidi="en-US"/>
              </w:rPr>
              <w:t xml:space="preserve">women living in the country </w:t>
            </w:r>
            <w:r w:rsidRPr="007C4D65">
              <w:rPr>
                <w:rFonts w:asciiTheme="minorHAnsi" w:eastAsia="Calibri" w:hAnsiTheme="minorHAnsi" w:cstheme="minorHAnsi"/>
                <w:sz w:val="18"/>
                <w:szCs w:val="18"/>
                <w:lang w:eastAsia="en-US" w:bidi="en-US"/>
              </w:rPr>
              <w:t>and whose members are</w:t>
            </w:r>
            <w:r w:rsidR="000D18E6" w:rsidRPr="007C4D65">
              <w:rPr>
                <w:rFonts w:asciiTheme="minorHAnsi" w:eastAsia="Calibri" w:hAnsiTheme="minorHAnsi" w:cstheme="minorHAnsi"/>
                <w:sz w:val="18"/>
                <w:szCs w:val="18"/>
                <w:lang w:eastAsia="en-US" w:bidi="en-US"/>
              </w:rPr>
              <w:t xml:space="preserve"> women from rural areas</w:t>
            </w:r>
            <w:r w:rsidRPr="007C4D65">
              <w:rPr>
                <w:rFonts w:asciiTheme="minorHAnsi" w:eastAsia="Calibri" w:hAnsiTheme="minorHAnsi" w:cstheme="minorHAnsi"/>
                <w:sz w:val="18"/>
                <w:szCs w:val="18"/>
                <w:lang w:eastAsia="en-US" w:bidi="en-US"/>
              </w:rPr>
              <w:t xml:space="preserve">, and also to all the other NGOs </w:t>
            </w:r>
            <w:r w:rsidR="000D18E6" w:rsidRPr="007C4D65">
              <w:rPr>
                <w:rFonts w:asciiTheme="minorHAnsi" w:eastAsia="Calibri" w:hAnsiTheme="minorHAnsi" w:cstheme="minorHAnsi"/>
                <w:sz w:val="18"/>
                <w:szCs w:val="18"/>
                <w:lang w:eastAsia="en-US" w:bidi="en-US"/>
              </w:rPr>
              <w:t xml:space="preserve">focusing </w:t>
            </w:r>
            <w:r w:rsidR="00830279" w:rsidRPr="007C4D65">
              <w:rPr>
                <w:rFonts w:asciiTheme="minorHAnsi" w:eastAsia="Calibri" w:hAnsiTheme="minorHAnsi" w:cstheme="minorHAnsi"/>
                <w:sz w:val="18"/>
                <w:szCs w:val="18"/>
                <w:lang w:eastAsia="en-US" w:bidi="en-US"/>
              </w:rPr>
              <w:t>on</w:t>
            </w:r>
            <w:r w:rsidRPr="007C4D65">
              <w:rPr>
                <w:rFonts w:asciiTheme="minorHAnsi" w:eastAsia="Calibri" w:hAnsiTheme="minorHAnsi" w:cstheme="minorHAnsi"/>
                <w:sz w:val="18"/>
                <w:szCs w:val="18"/>
                <w:lang w:eastAsia="en-US" w:bidi="en-US"/>
              </w:rPr>
              <w:t xml:space="preserve"> women’s human </w:t>
            </w:r>
            <w:proofErr w:type="gramStart"/>
            <w:r w:rsidRPr="007C4D65">
              <w:rPr>
                <w:rFonts w:asciiTheme="minorHAnsi" w:eastAsia="Calibri" w:hAnsiTheme="minorHAnsi" w:cstheme="minorHAnsi"/>
                <w:sz w:val="18"/>
                <w:szCs w:val="18"/>
                <w:lang w:eastAsia="en-US" w:bidi="en-US"/>
              </w:rPr>
              <w:t>right</w:t>
            </w:r>
            <w:r w:rsidR="005D1AF9" w:rsidRPr="007C4D65">
              <w:rPr>
                <w:rFonts w:asciiTheme="minorHAnsi" w:eastAsia="Calibri" w:hAnsiTheme="minorHAnsi" w:cstheme="minorHAnsi"/>
                <w:sz w:val="18"/>
                <w:szCs w:val="18"/>
                <w:lang w:eastAsia="en-US" w:bidi="en-US"/>
              </w:rPr>
              <w:t>s;</w:t>
            </w:r>
            <w:proofErr w:type="gramEnd"/>
          </w:p>
          <w:p w14:paraId="18D74F32" w14:textId="3551E37F" w:rsidR="00713B0E" w:rsidRPr="007C4D65" w:rsidRDefault="00713B0E">
            <w:pPr>
              <w:numPr>
                <w:ilvl w:val="0"/>
                <w:numId w:val="220"/>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creating incentive measures for active inclusion of youth organizations in environmental </w:t>
            </w:r>
            <w:proofErr w:type="gramStart"/>
            <w:r w:rsidR="009F16BA" w:rsidRPr="007C4D65">
              <w:rPr>
                <w:rFonts w:asciiTheme="minorHAnsi" w:eastAsia="Calibri" w:hAnsiTheme="minorHAnsi" w:cstheme="minorHAnsi"/>
                <w:sz w:val="18"/>
                <w:szCs w:val="18"/>
                <w:lang w:eastAsia="x-none"/>
              </w:rPr>
              <w:t>decision-making</w:t>
            </w:r>
            <w:r w:rsidR="005D1AF9" w:rsidRPr="007C4D65">
              <w:rPr>
                <w:rFonts w:asciiTheme="minorHAnsi" w:eastAsia="Calibri" w:hAnsiTheme="minorHAnsi" w:cstheme="minorHAnsi"/>
                <w:sz w:val="18"/>
                <w:szCs w:val="18"/>
                <w:lang w:eastAsia="x-none"/>
              </w:rPr>
              <w:t>;</w:t>
            </w:r>
            <w:proofErr w:type="gramEnd"/>
          </w:p>
          <w:p w14:paraId="1705FBB8" w14:textId="78E92E4E" w:rsidR="00713B0E" w:rsidRPr="007C4D65" w:rsidRDefault="00713B0E">
            <w:pPr>
              <w:numPr>
                <w:ilvl w:val="0"/>
                <w:numId w:val="220"/>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establishment and strengthening of cooperation with the umbrella organization of young people in the </w:t>
            </w:r>
            <w:r w:rsidRPr="007C4D65">
              <w:rPr>
                <w:rFonts w:asciiTheme="minorHAnsi" w:eastAsia="Calibri" w:hAnsiTheme="minorHAnsi" w:cstheme="minorHAnsi"/>
                <w:sz w:val="18"/>
                <w:szCs w:val="18"/>
                <w:lang w:eastAsia="en-US" w:bidi="en-US"/>
              </w:rPr>
              <w:t xml:space="preserve">Federation of </w:t>
            </w:r>
            <w:r w:rsidR="000D18E6" w:rsidRPr="007C4D65">
              <w:rPr>
                <w:rFonts w:asciiTheme="minorHAnsi" w:eastAsia="Calibri" w:hAnsiTheme="minorHAnsi" w:cstheme="minorHAnsi"/>
                <w:sz w:val="18"/>
                <w:szCs w:val="18"/>
                <w:lang w:eastAsia="en-US" w:bidi="en-US"/>
              </w:rPr>
              <w:t>BiH</w:t>
            </w:r>
            <w:r w:rsidRPr="007C4D65">
              <w:rPr>
                <w:rFonts w:asciiTheme="minorHAnsi" w:eastAsia="Calibri" w:hAnsiTheme="minorHAnsi" w:cstheme="minorHAnsi"/>
                <w:sz w:val="18"/>
                <w:szCs w:val="18"/>
                <w:lang w:eastAsia="x-none"/>
              </w:rPr>
              <w:t xml:space="preserve"> (Youth Council of </w:t>
            </w:r>
            <w:r w:rsidR="00227D11" w:rsidRPr="007C4D65">
              <w:rPr>
                <w:rFonts w:asciiTheme="minorHAnsi" w:eastAsia="Calibri" w:hAnsiTheme="minorHAnsi" w:cstheme="minorHAnsi"/>
                <w:sz w:val="18"/>
                <w:szCs w:val="18"/>
                <w:lang w:eastAsia="x-none"/>
              </w:rPr>
              <w:t>the Federation of BiH</w:t>
            </w:r>
            <w:proofErr w:type="gramStart"/>
            <w:r w:rsidRPr="007C4D65">
              <w:rPr>
                <w:rFonts w:asciiTheme="minorHAnsi" w:eastAsia="Calibri" w:hAnsiTheme="minorHAnsi" w:cstheme="minorHAnsi"/>
                <w:sz w:val="18"/>
                <w:szCs w:val="18"/>
                <w:lang w:eastAsia="x-none"/>
              </w:rPr>
              <w:t>)</w:t>
            </w:r>
            <w:r w:rsidR="005D1AF9" w:rsidRPr="007C4D65">
              <w:rPr>
                <w:rFonts w:asciiTheme="minorHAnsi" w:eastAsia="Calibri" w:hAnsiTheme="minorHAnsi" w:cstheme="minorHAnsi"/>
                <w:sz w:val="18"/>
                <w:szCs w:val="18"/>
                <w:lang w:eastAsia="x-none"/>
              </w:rPr>
              <w:t>;</w:t>
            </w:r>
            <w:proofErr w:type="gramEnd"/>
          </w:p>
          <w:p w14:paraId="5B96916B" w14:textId="7AC52DB4" w:rsidR="00713B0E" w:rsidRPr="007C4D65" w:rsidRDefault="000D18E6" w:rsidP="000D18E6">
            <w:pPr>
              <w:spacing w:before="40" w:after="40" w:line="276" w:lineRule="auto"/>
              <w:contextualSpacing/>
              <w:rPr>
                <w:rFonts w:asciiTheme="minorHAnsi" w:eastAsia="Calibri" w:hAnsiTheme="minorHAnsi" w:cstheme="minorHAnsi"/>
                <w:sz w:val="18"/>
                <w:szCs w:val="18"/>
                <w:lang w:eastAsia="x-none"/>
              </w:rPr>
            </w:pPr>
            <w:bookmarkStart w:id="343" w:name="_Hlk95006617"/>
            <w:r w:rsidRPr="007C4D65">
              <w:rPr>
                <w:rFonts w:asciiTheme="minorHAnsi" w:eastAsia="Calibri" w:hAnsiTheme="minorHAnsi" w:cstheme="minorHAnsi"/>
                <w:sz w:val="18"/>
                <w:szCs w:val="18"/>
                <w:lang w:eastAsia="x-none"/>
              </w:rPr>
              <w:t xml:space="preserve">3) </w:t>
            </w:r>
            <w:r w:rsidR="00713B0E" w:rsidRPr="007C4D65">
              <w:rPr>
                <w:rFonts w:asciiTheme="minorHAnsi" w:eastAsia="Calibri" w:hAnsiTheme="minorHAnsi" w:cstheme="minorHAnsi"/>
                <w:sz w:val="18"/>
                <w:szCs w:val="18"/>
                <w:lang w:eastAsia="x-none"/>
              </w:rPr>
              <w:t>Providing</w:t>
            </w:r>
            <w:r w:rsidRPr="007C4D65">
              <w:rPr>
                <w:rFonts w:asciiTheme="minorHAnsi" w:eastAsia="Calibri" w:hAnsiTheme="minorHAnsi" w:cstheme="minorHAnsi"/>
                <w:sz w:val="18"/>
                <w:szCs w:val="18"/>
                <w:lang w:eastAsia="x-none"/>
              </w:rPr>
              <w:t xml:space="preserve"> for the</w:t>
            </w:r>
            <w:r w:rsidR="00713B0E" w:rsidRPr="007C4D65">
              <w:rPr>
                <w:rFonts w:asciiTheme="minorHAnsi" w:eastAsia="Calibri" w:hAnsiTheme="minorHAnsi" w:cstheme="minorHAnsi"/>
                <w:sz w:val="18"/>
                <w:szCs w:val="18"/>
                <w:lang w:eastAsia="x-none"/>
              </w:rPr>
              <w:t xml:space="preserve"> participation of the Gender Centre of the </w:t>
            </w:r>
            <w:r w:rsidR="00713B0E" w:rsidRPr="007C4D65">
              <w:rPr>
                <w:rFonts w:asciiTheme="minorHAnsi" w:eastAsia="Calibri" w:hAnsiTheme="minorHAnsi" w:cstheme="minorHAnsi"/>
                <w:sz w:val="18"/>
                <w:szCs w:val="18"/>
                <w:lang w:eastAsia="en-US" w:bidi="en-US"/>
              </w:rPr>
              <w:t xml:space="preserve">Federation of BIH, in preparation of laws, </w:t>
            </w:r>
            <w:r w:rsidR="00B80FAD" w:rsidRPr="007C4D65">
              <w:rPr>
                <w:rFonts w:asciiTheme="minorHAnsi" w:eastAsia="Calibri" w:hAnsiTheme="minorHAnsi" w:cstheme="minorHAnsi"/>
                <w:sz w:val="18"/>
                <w:szCs w:val="18"/>
                <w:lang w:eastAsia="en-US" w:bidi="en-US"/>
              </w:rPr>
              <w:t>bylaw</w:t>
            </w:r>
            <w:r w:rsidR="00713B0E" w:rsidRPr="007C4D65">
              <w:rPr>
                <w:rFonts w:asciiTheme="minorHAnsi" w:eastAsia="Calibri" w:hAnsiTheme="minorHAnsi" w:cstheme="minorHAnsi"/>
                <w:sz w:val="18"/>
                <w:szCs w:val="18"/>
                <w:lang w:eastAsia="en-US" w:bidi="en-US"/>
              </w:rPr>
              <w:t>s and other acts, strategies, policies and program</w:t>
            </w:r>
            <w:r w:rsidR="00B80FAD" w:rsidRPr="007C4D65">
              <w:rPr>
                <w:rFonts w:asciiTheme="minorHAnsi" w:eastAsia="Calibri" w:hAnsiTheme="minorHAnsi" w:cstheme="minorHAnsi"/>
                <w:sz w:val="18"/>
                <w:szCs w:val="18"/>
                <w:lang w:eastAsia="en-US" w:bidi="en-US"/>
              </w:rPr>
              <w:t>me</w:t>
            </w:r>
            <w:r w:rsidR="00713B0E" w:rsidRPr="007C4D65">
              <w:rPr>
                <w:rFonts w:asciiTheme="minorHAnsi" w:eastAsia="Calibri" w:hAnsiTheme="minorHAnsi" w:cstheme="minorHAnsi"/>
                <w:sz w:val="18"/>
                <w:szCs w:val="18"/>
                <w:lang w:eastAsia="en-US" w:bidi="en-US"/>
              </w:rPr>
              <w:t xml:space="preserve">s </w:t>
            </w:r>
            <w:r w:rsidRPr="007C4D65">
              <w:rPr>
                <w:rFonts w:asciiTheme="minorHAnsi" w:eastAsia="Calibri" w:hAnsiTheme="minorHAnsi" w:cstheme="minorHAnsi"/>
                <w:sz w:val="18"/>
                <w:szCs w:val="18"/>
                <w:lang w:eastAsia="en-US" w:bidi="en-US"/>
              </w:rPr>
              <w:t>focusing on</w:t>
            </w:r>
            <w:r w:rsidR="00713B0E" w:rsidRPr="007C4D65">
              <w:rPr>
                <w:rFonts w:asciiTheme="minorHAnsi" w:eastAsia="Calibri" w:hAnsiTheme="minorHAnsi" w:cstheme="minorHAnsi"/>
                <w:sz w:val="18"/>
                <w:szCs w:val="18"/>
                <w:lang w:eastAsia="en-US" w:bidi="en-US"/>
              </w:rPr>
              <w:t xml:space="preserve"> gender equality in the area of environmental </w:t>
            </w:r>
            <w:proofErr w:type="gramStart"/>
            <w:r w:rsidR="00713B0E" w:rsidRPr="007C4D65">
              <w:rPr>
                <w:rFonts w:asciiTheme="minorHAnsi" w:eastAsia="Calibri" w:hAnsiTheme="minorHAnsi" w:cstheme="minorHAnsi"/>
                <w:sz w:val="18"/>
                <w:szCs w:val="18"/>
                <w:lang w:eastAsia="en-US" w:bidi="en-US"/>
              </w:rPr>
              <w:t>protection</w:t>
            </w:r>
            <w:bookmarkEnd w:id="343"/>
            <w:r w:rsidR="005D1AF9" w:rsidRPr="007C4D65">
              <w:rPr>
                <w:rFonts w:asciiTheme="minorHAnsi" w:eastAsia="Calibri" w:hAnsiTheme="minorHAnsi" w:cstheme="minorHAnsi"/>
                <w:sz w:val="18"/>
                <w:szCs w:val="18"/>
                <w:lang w:eastAsia="x-none"/>
              </w:rPr>
              <w:t>;</w:t>
            </w:r>
            <w:proofErr w:type="gramEnd"/>
          </w:p>
          <w:p w14:paraId="3A558BF7" w14:textId="3ABBA32D" w:rsidR="00713B0E" w:rsidRPr="007C4D65" w:rsidRDefault="000D18E6" w:rsidP="000D18E6">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4) </w:t>
            </w:r>
            <w:r w:rsidR="00713B0E" w:rsidRPr="007C4D65">
              <w:rPr>
                <w:rFonts w:asciiTheme="minorHAnsi" w:eastAsia="Calibri" w:hAnsiTheme="minorHAnsi" w:cstheme="minorHAnsi"/>
                <w:sz w:val="18"/>
                <w:szCs w:val="18"/>
                <w:lang w:eastAsia="x-none"/>
              </w:rPr>
              <w:t>Ensuring that the notification on public consultations is forwarded from the higher levels of authorities to local government units (municipalities/cities</w:t>
            </w:r>
            <w:proofErr w:type="gramStart"/>
            <w:r w:rsidR="00713B0E" w:rsidRPr="007C4D65">
              <w:rPr>
                <w:rFonts w:asciiTheme="minorHAnsi" w:eastAsia="Calibri" w:hAnsiTheme="minorHAnsi" w:cstheme="minorHAnsi"/>
                <w:sz w:val="18"/>
                <w:szCs w:val="18"/>
                <w:lang w:eastAsia="x-none"/>
              </w:rPr>
              <w:t>)</w:t>
            </w:r>
            <w:r w:rsidR="005D1AF9" w:rsidRPr="007C4D65">
              <w:rPr>
                <w:rFonts w:asciiTheme="minorHAnsi" w:eastAsia="Calibri" w:hAnsiTheme="minorHAnsi" w:cstheme="minorHAnsi"/>
                <w:sz w:val="18"/>
                <w:szCs w:val="18"/>
                <w:lang w:eastAsia="x-none"/>
              </w:rPr>
              <w:t>;</w:t>
            </w:r>
            <w:proofErr w:type="gramEnd"/>
          </w:p>
          <w:p w14:paraId="7EE75140" w14:textId="18AEE122" w:rsidR="00713B0E" w:rsidRPr="007C4D65" w:rsidRDefault="000D18E6" w:rsidP="000D18E6">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5) </w:t>
            </w:r>
            <w:r w:rsidR="00713B0E" w:rsidRPr="007C4D65">
              <w:rPr>
                <w:rFonts w:asciiTheme="minorHAnsi" w:eastAsia="Calibri" w:hAnsiTheme="minorHAnsi" w:cstheme="minorHAnsi"/>
                <w:sz w:val="18"/>
                <w:szCs w:val="18"/>
                <w:lang w:eastAsia="x-none"/>
              </w:rPr>
              <w:t xml:space="preserve">Functional cooperation with </w:t>
            </w:r>
            <w:r w:rsidRPr="007C4D65">
              <w:rPr>
                <w:rFonts w:asciiTheme="minorHAnsi" w:eastAsia="Calibri" w:hAnsiTheme="minorHAnsi" w:cstheme="minorHAnsi"/>
                <w:sz w:val="18"/>
                <w:szCs w:val="18"/>
                <w:lang w:eastAsia="x-none"/>
              </w:rPr>
              <w:t xml:space="preserve">the </w:t>
            </w:r>
            <w:r w:rsidR="00713B0E" w:rsidRPr="007C4D65">
              <w:rPr>
                <w:rFonts w:asciiTheme="minorHAnsi" w:eastAsia="Calibri" w:hAnsiTheme="minorHAnsi" w:cstheme="minorHAnsi"/>
                <w:sz w:val="18"/>
                <w:szCs w:val="18"/>
                <w:lang w:eastAsia="x-none"/>
              </w:rPr>
              <w:t xml:space="preserve">Partnership 27 formed </w:t>
            </w:r>
            <w:r w:rsidRPr="007C4D65">
              <w:rPr>
                <w:rFonts w:asciiTheme="minorHAnsi" w:eastAsia="Calibri" w:hAnsiTheme="minorHAnsi" w:cstheme="minorHAnsi"/>
                <w:sz w:val="18"/>
                <w:szCs w:val="18"/>
                <w:lang w:eastAsia="x-none"/>
              </w:rPr>
              <w:t>to monitor the</w:t>
            </w:r>
            <w:r w:rsidR="00713B0E" w:rsidRPr="007C4D65">
              <w:rPr>
                <w:rFonts w:asciiTheme="minorHAnsi" w:eastAsia="Calibri" w:hAnsiTheme="minorHAnsi" w:cstheme="minorHAnsi"/>
                <w:sz w:val="18"/>
                <w:szCs w:val="18"/>
                <w:lang w:eastAsia="x-none"/>
              </w:rPr>
              <w:t xml:space="preserve"> process of EU Chapter 27 </w:t>
            </w:r>
            <w:r w:rsidRPr="007C4D65">
              <w:rPr>
                <w:rFonts w:asciiTheme="minorHAnsi" w:eastAsia="Calibri" w:hAnsiTheme="minorHAnsi" w:cstheme="minorHAnsi"/>
                <w:sz w:val="18"/>
                <w:szCs w:val="18"/>
                <w:lang w:eastAsia="x-none"/>
              </w:rPr>
              <w:t>by</w:t>
            </w:r>
            <w:r w:rsidR="00713B0E" w:rsidRPr="007C4D65">
              <w:rPr>
                <w:rFonts w:asciiTheme="minorHAnsi" w:eastAsia="Calibri" w:hAnsiTheme="minorHAnsi" w:cstheme="minorHAnsi"/>
                <w:sz w:val="18"/>
                <w:szCs w:val="18"/>
                <w:lang w:eastAsia="x-none"/>
              </w:rPr>
              <w:t xml:space="preserve"> civil society, in the </w:t>
            </w:r>
            <w:r w:rsidRPr="007C4D65">
              <w:rPr>
                <w:rFonts w:asciiTheme="minorHAnsi" w:eastAsia="Calibri" w:hAnsiTheme="minorHAnsi" w:cstheme="minorHAnsi"/>
                <w:sz w:val="18"/>
                <w:szCs w:val="18"/>
                <w:lang w:eastAsia="x-none"/>
              </w:rPr>
              <w:t>preparation of</w:t>
            </w:r>
            <w:r w:rsidR="00713B0E"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legislation</w:t>
            </w:r>
            <w:r w:rsidR="00713B0E" w:rsidRPr="007C4D65">
              <w:rPr>
                <w:rFonts w:asciiTheme="minorHAnsi" w:eastAsia="Calibri" w:hAnsiTheme="minorHAnsi" w:cstheme="minorHAnsi"/>
                <w:sz w:val="18"/>
                <w:szCs w:val="18"/>
                <w:lang w:eastAsia="x-none"/>
              </w:rPr>
              <w:t xml:space="preserve"> and </w:t>
            </w:r>
            <w:r w:rsidRPr="007C4D65">
              <w:rPr>
                <w:rFonts w:asciiTheme="minorHAnsi" w:eastAsia="Calibri" w:hAnsiTheme="minorHAnsi" w:cstheme="minorHAnsi"/>
                <w:sz w:val="18"/>
                <w:szCs w:val="18"/>
                <w:lang w:eastAsia="x-none"/>
              </w:rPr>
              <w:t xml:space="preserve">its </w:t>
            </w:r>
            <w:r w:rsidR="00713B0E" w:rsidRPr="007C4D65">
              <w:rPr>
                <w:rFonts w:asciiTheme="minorHAnsi" w:eastAsia="Calibri" w:hAnsiTheme="minorHAnsi" w:cstheme="minorHAnsi"/>
                <w:sz w:val="18"/>
                <w:szCs w:val="18"/>
                <w:lang w:eastAsia="x-none"/>
              </w:rPr>
              <w:t xml:space="preserve">alignment with the EU </w:t>
            </w:r>
            <w:proofErr w:type="gramStart"/>
            <w:r w:rsidR="00713B0E" w:rsidRPr="007C4D65">
              <w:rPr>
                <w:rFonts w:asciiTheme="minorHAnsi" w:eastAsia="Calibri" w:hAnsiTheme="minorHAnsi" w:cstheme="minorHAnsi"/>
                <w:sz w:val="18"/>
                <w:szCs w:val="18"/>
                <w:lang w:eastAsia="x-none"/>
              </w:rPr>
              <w:t>acquis</w:t>
            </w:r>
            <w:r w:rsidR="005D1AF9" w:rsidRPr="007C4D65">
              <w:rPr>
                <w:rFonts w:asciiTheme="minorHAnsi" w:eastAsia="Calibri" w:hAnsiTheme="minorHAnsi" w:cstheme="minorHAnsi"/>
                <w:sz w:val="18"/>
                <w:szCs w:val="18"/>
                <w:lang w:eastAsia="x-none"/>
              </w:rPr>
              <w:t>;</w:t>
            </w:r>
            <w:proofErr w:type="gramEnd"/>
          </w:p>
          <w:p w14:paraId="0B25123E" w14:textId="07FF8875" w:rsidR="00713B0E" w:rsidRPr="007C4D65" w:rsidRDefault="000D18E6" w:rsidP="000D18E6">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6) </w:t>
            </w:r>
            <w:r w:rsidR="00713B0E" w:rsidRPr="007C4D65">
              <w:rPr>
                <w:rFonts w:asciiTheme="minorHAnsi" w:eastAsia="Calibri" w:hAnsiTheme="minorHAnsi" w:cstheme="minorHAnsi"/>
                <w:sz w:val="18"/>
                <w:szCs w:val="18"/>
                <w:lang w:eastAsia="x-none"/>
              </w:rPr>
              <w:t xml:space="preserve">Continuous education of employees in the line institutions at all levels </w:t>
            </w:r>
            <w:r w:rsidRPr="007C4D65">
              <w:rPr>
                <w:rFonts w:asciiTheme="minorHAnsi" w:eastAsia="Calibri" w:hAnsiTheme="minorHAnsi" w:cstheme="minorHAnsi"/>
                <w:sz w:val="18"/>
                <w:szCs w:val="18"/>
                <w:lang w:eastAsia="x-none"/>
              </w:rPr>
              <w:t xml:space="preserve">of government </w:t>
            </w:r>
            <w:r w:rsidR="00713B0E" w:rsidRPr="007C4D65">
              <w:rPr>
                <w:rFonts w:asciiTheme="minorHAnsi" w:eastAsia="Calibri" w:hAnsiTheme="minorHAnsi" w:cstheme="minorHAnsi"/>
                <w:sz w:val="18"/>
                <w:szCs w:val="18"/>
                <w:lang w:eastAsia="x-none"/>
              </w:rPr>
              <w:t xml:space="preserve">about </w:t>
            </w:r>
            <w:r w:rsidRPr="007C4D65">
              <w:rPr>
                <w:rFonts w:asciiTheme="minorHAnsi" w:eastAsia="Calibri" w:hAnsiTheme="minorHAnsi" w:cstheme="minorHAnsi"/>
                <w:sz w:val="18"/>
                <w:szCs w:val="18"/>
                <w:lang w:eastAsia="x-none"/>
              </w:rPr>
              <w:t xml:space="preserve">the </w:t>
            </w:r>
            <w:r w:rsidR="00713B0E" w:rsidRPr="007C4D65">
              <w:rPr>
                <w:rFonts w:asciiTheme="minorHAnsi" w:eastAsia="Calibri" w:hAnsiTheme="minorHAnsi" w:cstheme="minorHAnsi"/>
                <w:sz w:val="18"/>
                <w:szCs w:val="18"/>
                <w:lang w:eastAsia="x-none"/>
              </w:rPr>
              <w:t xml:space="preserve">application of provisions of the Freedom of Access to Information </w:t>
            </w:r>
            <w:proofErr w:type="gramStart"/>
            <w:r w:rsidR="00713B0E" w:rsidRPr="007C4D65">
              <w:rPr>
                <w:rFonts w:asciiTheme="minorHAnsi" w:eastAsia="Calibri" w:hAnsiTheme="minorHAnsi" w:cstheme="minorHAnsi"/>
                <w:sz w:val="18"/>
                <w:szCs w:val="18"/>
                <w:lang w:eastAsia="x-none"/>
              </w:rPr>
              <w:t>Act</w:t>
            </w:r>
            <w:r w:rsidR="005D1AF9" w:rsidRPr="007C4D65">
              <w:rPr>
                <w:rFonts w:asciiTheme="minorHAnsi" w:eastAsia="Calibri" w:hAnsiTheme="minorHAnsi" w:cstheme="minorHAnsi"/>
                <w:sz w:val="18"/>
                <w:szCs w:val="18"/>
                <w:lang w:eastAsia="x-none"/>
              </w:rPr>
              <w:t>;</w:t>
            </w:r>
            <w:proofErr w:type="gramEnd"/>
          </w:p>
          <w:p w14:paraId="28399018" w14:textId="75D0284B" w:rsidR="00713B0E" w:rsidRPr="007C4D65" w:rsidRDefault="000D18E6" w:rsidP="000D18E6">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7) Facilitating</w:t>
            </w:r>
            <w:r w:rsidR="00713B0E" w:rsidRPr="007C4D65">
              <w:rPr>
                <w:rFonts w:asciiTheme="minorHAnsi" w:eastAsia="Calibri" w:hAnsiTheme="minorHAnsi" w:cstheme="minorHAnsi"/>
                <w:sz w:val="18"/>
                <w:szCs w:val="18"/>
                <w:lang w:eastAsia="x-none"/>
              </w:rPr>
              <w:t xml:space="preserve"> public access</w:t>
            </w:r>
            <w:r w:rsidRPr="007C4D65">
              <w:rPr>
                <w:rFonts w:asciiTheme="minorHAnsi" w:eastAsia="Calibri" w:hAnsiTheme="minorHAnsi" w:cstheme="minorHAnsi"/>
                <w:sz w:val="18"/>
                <w:szCs w:val="18"/>
                <w:lang w:eastAsia="x-none"/>
              </w:rPr>
              <w:t xml:space="preserve"> to</w:t>
            </w:r>
            <w:r w:rsidR="00713B0E" w:rsidRPr="007C4D65">
              <w:rPr>
                <w:rFonts w:asciiTheme="minorHAnsi" w:eastAsia="Calibri" w:hAnsiTheme="minorHAnsi" w:cstheme="minorHAnsi"/>
                <w:sz w:val="18"/>
                <w:szCs w:val="18"/>
                <w:lang w:eastAsia="x-none"/>
              </w:rPr>
              <w:t xml:space="preserve"> all relevant environmental information on websites of </w:t>
            </w:r>
            <w:r w:rsidR="00D35916" w:rsidRPr="007C4D65">
              <w:rPr>
                <w:rFonts w:asciiTheme="minorHAnsi" w:eastAsia="Calibri" w:hAnsiTheme="minorHAnsi" w:cstheme="minorHAnsi"/>
                <w:sz w:val="18"/>
                <w:szCs w:val="18"/>
                <w:lang w:eastAsia="x-none"/>
              </w:rPr>
              <w:t>the competent</w:t>
            </w:r>
            <w:r w:rsidR="00713B0E" w:rsidRPr="007C4D65">
              <w:rPr>
                <w:rFonts w:asciiTheme="minorHAnsi" w:eastAsia="Calibri" w:hAnsiTheme="minorHAnsi" w:cstheme="minorHAnsi"/>
                <w:sz w:val="18"/>
                <w:szCs w:val="18"/>
                <w:lang w:eastAsia="x-none"/>
              </w:rPr>
              <w:t xml:space="preserve"> institutions at all the levels, including:</w:t>
            </w:r>
          </w:p>
          <w:p w14:paraId="4359ABB4" w14:textId="58476DDF" w:rsidR="00713B0E" w:rsidRPr="007C4D65" w:rsidRDefault="00713B0E">
            <w:pPr>
              <w:numPr>
                <w:ilvl w:val="0"/>
                <w:numId w:val="221"/>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lastRenderedPageBreak/>
              <w:t xml:space="preserve">PRTR </w:t>
            </w:r>
            <w:proofErr w:type="gramStart"/>
            <w:r w:rsidRPr="007C4D65">
              <w:rPr>
                <w:rFonts w:asciiTheme="minorHAnsi" w:eastAsia="Calibri" w:hAnsiTheme="minorHAnsi" w:cstheme="minorHAnsi"/>
                <w:sz w:val="18"/>
                <w:szCs w:val="18"/>
                <w:lang w:eastAsia="x-none"/>
              </w:rPr>
              <w:t>data</w:t>
            </w:r>
            <w:r w:rsidR="005D1AF9" w:rsidRPr="007C4D65">
              <w:rPr>
                <w:rFonts w:asciiTheme="minorHAnsi" w:eastAsia="Calibri" w:hAnsiTheme="minorHAnsi" w:cstheme="minorHAnsi"/>
                <w:sz w:val="18"/>
                <w:szCs w:val="18"/>
                <w:lang w:eastAsia="x-none"/>
              </w:rPr>
              <w:t>;</w:t>
            </w:r>
            <w:proofErr w:type="gramEnd"/>
          </w:p>
          <w:p w14:paraId="621D0110" w14:textId="474EF6BA" w:rsidR="00713B0E" w:rsidRPr="007C4D65" w:rsidRDefault="00713B0E">
            <w:pPr>
              <w:numPr>
                <w:ilvl w:val="0"/>
                <w:numId w:val="221"/>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Information from the register of environmental permits and related prior environmental impact assessments (approved Stud</w:t>
            </w:r>
            <w:r w:rsidR="00D35916" w:rsidRPr="007C4D65">
              <w:rPr>
                <w:rFonts w:asciiTheme="minorHAnsi" w:eastAsia="Calibri" w:hAnsiTheme="minorHAnsi" w:cstheme="minorHAnsi"/>
                <w:sz w:val="18"/>
                <w:szCs w:val="18"/>
                <w:lang w:eastAsia="x-none"/>
              </w:rPr>
              <w:t>ies</w:t>
            </w:r>
            <w:r w:rsidRPr="007C4D65">
              <w:rPr>
                <w:rFonts w:asciiTheme="minorHAnsi" w:eastAsia="Calibri" w:hAnsiTheme="minorHAnsi" w:cstheme="minorHAnsi"/>
                <w:sz w:val="18"/>
                <w:szCs w:val="18"/>
                <w:lang w:eastAsia="x-none"/>
              </w:rPr>
              <w:t>), decisions on approved reports on the safety situation (SEVESO plant storing dangerous substances</w:t>
            </w:r>
            <w:proofErr w:type="gramStart"/>
            <w:r w:rsidRPr="007C4D65">
              <w:rPr>
                <w:rFonts w:asciiTheme="minorHAnsi" w:eastAsia="Calibri" w:hAnsiTheme="minorHAnsi" w:cstheme="minorHAnsi"/>
                <w:sz w:val="18"/>
                <w:szCs w:val="18"/>
                <w:lang w:eastAsia="x-none"/>
              </w:rPr>
              <w:t>)</w:t>
            </w:r>
            <w:r w:rsidR="005D1AF9" w:rsidRPr="007C4D65">
              <w:rPr>
                <w:rFonts w:asciiTheme="minorHAnsi" w:eastAsia="Calibri" w:hAnsiTheme="minorHAnsi" w:cstheme="minorHAnsi"/>
                <w:sz w:val="18"/>
                <w:szCs w:val="18"/>
                <w:lang w:eastAsia="x-none"/>
              </w:rPr>
              <w:t>;</w:t>
            </w:r>
            <w:proofErr w:type="gramEnd"/>
          </w:p>
          <w:p w14:paraId="0DBEB981" w14:textId="578202BD" w:rsidR="00713B0E" w:rsidRPr="007C4D65" w:rsidRDefault="00713B0E">
            <w:pPr>
              <w:numPr>
                <w:ilvl w:val="0"/>
                <w:numId w:val="221"/>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Updated list</w:t>
            </w:r>
            <w:r w:rsidR="00D35916"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eastAsia="x-none"/>
              </w:rPr>
              <w:t xml:space="preserve"> of legislation within the </w:t>
            </w:r>
            <w:r w:rsidR="00D35916" w:rsidRPr="007C4D65">
              <w:rPr>
                <w:rFonts w:asciiTheme="minorHAnsi" w:eastAsia="Calibri" w:hAnsiTheme="minorHAnsi" w:cstheme="minorHAnsi"/>
                <w:sz w:val="18"/>
                <w:szCs w:val="18"/>
                <w:lang w:eastAsia="x-none"/>
              </w:rPr>
              <w:t>competence of</w:t>
            </w:r>
            <w:r w:rsidRPr="007C4D65">
              <w:rPr>
                <w:rFonts w:asciiTheme="minorHAnsi" w:eastAsia="Calibri" w:hAnsiTheme="minorHAnsi" w:cstheme="minorHAnsi"/>
                <w:sz w:val="18"/>
                <w:szCs w:val="18"/>
                <w:lang w:eastAsia="x-none"/>
              </w:rPr>
              <w:t xml:space="preserve"> </w:t>
            </w:r>
            <w:r w:rsidR="00D35916" w:rsidRPr="007C4D65">
              <w:rPr>
                <w:rFonts w:asciiTheme="minorHAnsi" w:eastAsia="Calibri" w:hAnsiTheme="minorHAnsi" w:cstheme="minorHAnsi"/>
                <w:sz w:val="18"/>
                <w:szCs w:val="18"/>
                <w:lang w:eastAsia="x-none"/>
              </w:rPr>
              <w:t>individual</w:t>
            </w:r>
            <w:r w:rsidRPr="007C4D65">
              <w:rPr>
                <w:rFonts w:asciiTheme="minorHAnsi" w:eastAsia="Calibri" w:hAnsiTheme="minorHAnsi" w:cstheme="minorHAnsi"/>
                <w:sz w:val="18"/>
                <w:szCs w:val="18"/>
                <w:lang w:eastAsia="x-none"/>
              </w:rPr>
              <w:t xml:space="preserve"> institution</w:t>
            </w:r>
            <w:r w:rsidR="00D35916"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eastAsia="x-none"/>
              </w:rPr>
              <w:t>/</w:t>
            </w:r>
            <w:proofErr w:type="gramStart"/>
            <w:r w:rsidRPr="007C4D65">
              <w:rPr>
                <w:rFonts w:asciiTheme="minorHAnsi" w:eastAsia="Calibri" w:hAnsiTheme="minorHAnsi" w:cstheme="minorHAnsi"/>
                <w:sz w:val="18"/>
                <w:szCs w:val="18"/>
                <w:lang w:eastAsia="x-none"/>
              </w:rPr>
              <w:t>bod</w:t>
            </w:r>
            <w:r w:rsidR="00D35916" w:rsidRPr="007C4D65">
              <w:rPr>
                <w:rFonts w:asciiTheme="minorHAnsi" w:eastAsia="Calibri" w:hAnsiTheme="minorHAnsi" w:cstheme="minorHAnsi"/>
                <w:sz w:val="18"/>
                <w:szCs w:val="18"/>
                <w:lang w:eastAsia="x-none"/>
              </w:rPr>
              <w:t>ies</w:t>
            </w:r>
            <w:r w:rsidR="005D1AF9" w:rsidRPr="007C4D65">
              <w:rPr>
                <w:rFonts w:asciiTheme="minorHAnsi" w:eastAsia="Calibri" w:hAnsiTheme="minorHAnsi" w:cstheme="minorHAnsi"/>
                <w:sz w:val="18"/>
                <w:szCs w:val="18"/>
                <w:lang w:eastAsia="x-none"/>
              </w:rPr>
              <w:t>;</w:t>
            </w:r>
            <w:proofErr w:type="gramEnd"/>
          </w:p>
          <w:p w14:paraId="68DF328C" w14:textId="43D1722E" w:rsidR="00713B0E" w:rsidRPr="007C4D65" w:rsidRDefault="00713B0E">
            <w:pPr>
              <w:numPr>
                <w:ilvl w:val="0"/>
                <w:numId w:val="221"/>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Other relevant environmental </w:t>
            </w:r>
            <w:proofErr w:type="gramStart"/>
            <w:r w:rsidRPr="007C4D65">
              <w:rPr>
                <w:rFonts w:asciiTheme="minorHAnsi" w:eastAsia="Calibri" w:hAnsiTheme="minorHAnsi" w:cstheme="minorHAnsi"/>
                <w:sz w:val="18"/>
                <w:szCs w:val="18"/>
                <w:lang w:eastAsia="x-none"/>
              </w:rPr>
              <w:t>information</w:t>
            </w:r>
            <w:r w:rsidR="005D1AF9" w:rsidRPr="007C4D65">
              <w:rPr>
                <w:rFonts w:asciiTheme="minorHAnsi" w:eastAsia="Calibri" w:hAnsiTheme="minorHAnsi" w:cstheme="minorHAnsi"/>
                <w:sz w:val="18"/>
                <w:szCs w:val="18"/>
                <w:lang w:eastAsia="x-none"/>
              </w:rPr>
              <w:t>;</w:t>
            </w:r>
            <w:proofErr w:type="gramEnd"/>
          </w:p>
          <w:p w14:paraId="55A316E6" w14:textId="3932E8C2" w:rsidR="00713B0E" w:rsidRPr="007C4D65" w:rsidRDefault="00D35916" w:rsidP="00D35916">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8) </w:t>
            </w:r>
            <w:r w:rsidR="00713B0E" w:rsidRPr="007C4D65">
              <w:rPr>
                <w:rFonts w:asciiTheme="minorHAnsi" w:eastAsia="Calibri" w:hAnsiTheme="minorHAnsi" w:cstheme="minorHAnsi"/>
                <w:sz w:val="18"/>
                <w:szCs w:val="18"/>
                <w:lang w:eastAsia="x-none"/>
              </w:rPr>
              <w:t xml:space="preserve">Ensure </w:t>
            </w:r>
            <w:r w:rsidRPr="007C4D65">
              <w:rPr>
                <w:rFonts w:asciiTheme="minorHAnsi" w:eastAsia="Calibri" w:hAnsiTheme="minorHAnsi" w:cstheme="minorHAnsi"/>
                <w:sz w:val="18"/>
                <w:szCs w:val="18"/>
                <w:lang w:eastAsia="x-none"/>
              </w:rPr>
              <w:t>formal</w:t>
            </w:r>
            <w:r w:rsidR="00713B0E" w:rsidRPr="007C4D65">
              <w:rPr>
                <w:rFonts w:asciiTheme="minorHAnsi" w:eastAsia="Calibri" w:hAnsiTheme="minorHAnsi" w:cstheme="minorHAnsi"/>
                <w:sz w:val="18"/>
                <w:szCs w:val="18"/>
                <w:lang w:eastAsia="x-none"/>
              </w:rPr>
              <w:t xml:space="preserve"> communication of the public with </w:t>
            </w:r>
            <w:r w:rsidRPr="007C4D65">
              <w:rPr>
                <w:rFonts w:asciiTheme="minorHAnsi" w:eastAsia="Calibri" w:hAnsiTheme="minorHAnsi" w:cstheme="minorHAnsi"/>
                <w:sz w:val="18"/>
                <w:szCs w:val="18"/>
                <w:lang w:eastAsia="x-none"/>
              </w:rPr>
              <w:t xml:space="preserve">the </w:t>
            </w:r>
            <w:r w:rsidR="00A13CFC" w:rsidRPr="007C4D65">
              <w:rPr>
                <w:rFonts w:asciiTheme="minorHAnsi" w:eastAsia="Calibri" w:hAnsiTheme="minorHAnsi" w:cstheme="minorHAnsi"/>
                <w:sz w:val="18"/>
                <w:szCs w:val="18"/>
                <w:lang w:eastAsia="x-none"/>
              </w:rPr>
              <w:t>competent</w:t>
            </w:r>
            <w:r w:rsidR="00713B0E" w:rsidRPr="007C4D65">
              <w:rPr>
                <w:rFonts w:asciiTheme="minorHAnsi" w:eastAsia="Calibri" w:hAnsiTheme="minorHAnsi" w:cstheme="minorHAnsi"/>
                <w:sz w:val="18"/>
                <w:szCs w:val="18"/>
                <w:lang w:eastAsia="x-none"/>
              </w:rPr>
              <w:t xml:space="preserve"> authorities at all levels via e-mail</w:t>
            </w:r>
            <w:r w:rsidR="005D1AF9" w:rsidRPr="007C4D65">
              <w:rPr>
                <w:rFonts w:asciiTheme="minorHAnsi" w:eastAsia="Calibri" w:hAnsiTheme="minorHAnsi" w:cstheme="minorHAnsi"/>
                <w:sz w:val="18"/>
                <w:szCs w:val="18"/>
                <w:lang w:eastAsia="x-none"/>
              </w:rPr>
              <w:t>.</w:t>
            </w:r>
          </w:p>
        </w:tc>
      </w:tr>
      <w:tr w:rsidR="00713B0E" w:rsidRPr="007C4D65" w14:paraId="73B00004" w14:textId="77777777" w:rsidTr="00B6017F">
        <w:trPr>
          <w:trHeight w:val="567"/>
        </w:trPr>
        <w:tc>
          <w:tcPr>
            <w:tcW w:w="1359" w:type="pct"/>
            <w:shd w:val="clear" w:color="auto" w:fill="009D73"/>
            <w:vAlign w:val="center"/>
          </w:tcPr>
          <w:p w14:paraId="123D491B"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 xml:space="preserve">Strategic projects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42A3E97" w14:textId="77777777" w:rsidR="00713B0E" w:rsidRPr="007C4D65" w:rsidRDefault="00713B0E" w:rsidP="00713B0E">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713B0E" w:rsidRPr="007C4D65" w14:paraId="2770589C" w14:textId="77777777" w:rsidTr="00B6017F">
        <w:trPr>
          <w:trHeight w:val="567"/>
        </w:trPr>
        <w:tc>
          <w:tcPr>
            <w:tcW w:w="1359" w:type="pct"/>
            <w:vMerge w:val="restart"/>
            <w:shd w:val="clear" w:color="auto" w:fill="009D73"/>
            <w:vAlign w:val="center"/>
          </w:tcPr>
          <w:p w14:paraId="41FD9F80"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9DCC9B1" w14:textId="77777777" w:rsidR="00713B0E" w:rsidRPr="007C4D65" w:rsidRDefault="00713B0E" w:rsidP="00713B0E">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66325D1F" w14:textId="77777777" w:rsidR="00713B0E" w:rsidRPr="007C4D65" w:rsidRDefault="00713B0E" w:rsidP="00713B0E">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52B5597" w14:textId="77777777" w:rsidR="00713B0E" w:rsidRPr="007C4D65" w:rsidRDefault="00713B0E" w:rsidP="00713B0E">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5A7F47D6" w14:textId="77777777" w:rsidR="00713B0E" w:rsidRPr="007C4D65" w:rsidRDefault="00713B0E" w:rsidP="00713B0E">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FF3CF9B" w14:textId="77777777" w:rsidR="00713B0E" w:rsidRPr="007C4D65" w:rsidRDefault="00713B0E" w:rsidP="00713B0E">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value</w:t>
            </w:r>
          </w:p>
        </w:tc>
      </w:tr>
      <w:tr w:rsidR="00713B0E" w:rsidRPr="007C4D65" w14:paraId="3B74A063"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1C041059"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2F3D83C" w14:textId="5E99A570" w:rsidR="00713B0E" w:rsidRPr="007C4D65" w:rsidRDefault="00713B0E">
            <w:pPr>
              <w:numPr>
                <w:ilvl w:val="0"/>
                <w:numId w:val="165"/>
              </w:numPr>
              <w:spacing w:before="40" w:after="40" w:line="276" w:lineRule="auto"/>
              <w:ind w:left="265" w:hanging="26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Capacit</w:t>
            </w:r>
            <w:r w:rsidR="00D35916" w:rsidRPr="007C4D65">
              <w:rPr>
                <w:rFonts w:asciiTheme="minorHAnsi" w:eastAsia="Calibri" w:hAnsiTheme="minorHAnsi" w:cstheme="minorHAnsi"/>
                <w:sz w:val="18"/>
                <w:szCs w:val="18"/>
                <w:lang w:eastAsia="x-none"/>
              </w:rPr>
              <w:t>y</w:t>
            </w:r>
            <w:r w:rsidRPr="007C4D65">
              <w:rPr>
                <w:rFonts w:asciiTheme="minorHAnsi" w:eastAsia="Calibri" w:hAnsiTheme="minorHAnsi" w:cstheme="minorHAnsi"/>
                <w:sz w:val="18"/>
                <w:szCs w:val="18"/>
                <w:lang w:eastAsia="x-none"/>
              </w:rPr>
              <w:t xml:space="preserve"> of the institutions </w:t>
            </w:r>
            <w:r w:rsidR="00D35916" w:rsidRPr="007C4D65">
              <w:rPr>
                <w:rFonts w:asciiTheme="minorHAnsi" w:eastAsia="Calibri" w:hAnsiTheme="minorHAnsi" w:cstheme="minorHAnsi"/>
                <w:sz w:val="18"/>
                <w:szCs w:val="18"/>
                <w:lang w:eastAsia="x-none"/>
              </w:rPr>
              <w:t>to provide for</w:t>
            </w:r>
            <w:r w:rsidRPr="007C4D65">
              <w:rPr>
                <w:rFonts w:asciiTheme="minorHAnsi" w:eastAsia="Calibri" w:hAnsiTheme="minorHAnsi" w:cstheme="minorHAnsi"/>
                <w:sz w:val="18"/>
                <w:szCs w:val="18"/>
                <w:lang w:eastAsia="x-none"/>
              </w:rPr>
              <w:t xml:space="preserve"> effective public participation mechanisms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FBB4E96" w14:textId="64FC25DE" w:rsidR="00713B0E" w:rsidRPr="007C4D65" w:rsidRDefault="00D35916"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Certain level of </w:t>
            </w:r>
            <w:proofErr w:type="gramStart"/>
            <w:r w:rsidRPr="007C4D65">
              <w:rPr>
                <w:rFonts w:asciiTheme="minorHAnsi" w:eastAsia="Calibri" w:hAnsiTheme="minorHAnsi" w:cstheme="minorHAnsi"/>
                <w:sz w:val="18"/>
                <w:szCs w:val="18"/>
                <w:lang w:eastAsia="x-none"/>
              </w:rPr>
              <w:t>capacity  to</w:t>
            </w:r>
            <w:proofErr w:type="gramEnd"/>
            <w:r w:rsidRPr="007C4D65">
              <w:rPr>
                <w:rFonts w:asciiTheme="minorHAnsi" w:eastAsia="Calibri" w:hAnsiTheme="minorHAnsi" w:cstheme="minorHAnsi"/>
                <w:sz w:val="18"/>
                <w:szCs w:val="18"/>
                <w:lang w:eastAsia="x-none"/>
              </w:rPr>
              <w:t xml:space="preserve"> provide for </w:t>
            </w:r>
            <w:r w:rsidR="00713B0E" w:rsidRPr="007C4D65">
              <w:rPr>
                <w:rFonts w:asciiTheme="minorHAnsi" w:eastAsia="Calibri" w:hAnsiTheme="minorHAnsi" w:cstheme="minorHAnsi"/>
                <w:sz w:val="18"/>
                <w:szCs w:val="18"/>
                <w:lang w:eastAsia="x-none"/>
              </w:rPr>
              <w:t xml:space="preserve">public participation </w:t>
            </w:r>
            <w:r w:rsidRPr="007C4D65">
              <w:rPr>
                <w:rFonts w:asciiTheme="minorHAnsi" w:eastAsia="Calibri" w:hAnsiTheme="minorHAnsi" w:cstheme="minorHAnsi"/>
                <w:sz w:val="18"/>
                <w:szCs w:val="18"/>
                <w:lang w:eastAsia="x-none"/>
              </w:rPr>
              <w:t>have been built</w:t>
            </w:r>
            <w:r w:rsidR="00713B0E" w:rsidRPr="007C4D65">
              <w:rPr>
                <w:rFonts w:asciiTheme="minorHAnsi" w:eastAsia="Calibri" w:hAnsiTheme="minorHAnsi" w:cstheme="minorHAnsi"/>
                <w:sz w:val="18"/>
                <w:szCs w:val="18"/>
                <w:lang w:eastAsia="x-none"/>
              </w:rPr>
              <w:t xml:space="preserve">, but there is a room for improvement </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FC2B3B3" w14:textId="147F4D91" w:rsidR="00713B0E" w:rsidRPr="007C4D65" w:rsidRDefault="00D35916"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 capacity of the i</w:t>
            </w:r>
            <w:r w:rsidR="00713B0E" w:rsidRPr="007C4D65">
              <w:rPr>
                <w:rFonts w:asciiTheme="minorHAnsi" w:eastAsiaTheme="minorHAnsi" w:hAnsiTheme="minorHAnsi" w:cstheme="minorHAnsi"/>
                <w:sz w:val="18"/>
                <w:szCs w:val="18"/>
                <w:lang w:eastAsia="en-US" w:bidi="en-US"/>
              </w:rPr>
              <w:t>nstitution</w:t>
            </w:r>
            <w:r w:rsidRPr="007C4D65">
              <w:rPr>
                <w:rFonts w:asciiTheme="minorHAnsi" w:eastAsiaTheme="minorHAnsi" w:hAnsiTheme="minorHAnsi" w:cstheme="minorHAnsi"/>
                <w:sz w:val="18"/>
                <w:szCs w:val="18"/>
                <w:lang w:eastAsia="en-US" w:bidi="en-US"/>
              </w:rPr>
              <w:t>s</w:t>
            </w:r>
            <w:r w:rsidR="00713B0E" w:rsidRPr="007C4D65">
              <w:rPr>
                <w:rFonts w:asciiTheme="minorHAnsi" w:eastAsiaTheme="minorHAnsi" w:hAnsiTheme="minorHAnsi" w:cstheme="minorHAnsi"/>
                <w:sz w:val="18"/>
                <w:szCs w:val="18"/>
                <w:lang w:eastAsia="en-US" w:bidi="en-US"/>
              </w:rPr>
              <w:t xml:space="preserve"> </w:t>
            </w:r>
            <w:r w:rsidRPr="007C4D65">
              <w:rPr>
                <w:rFonts w:asciiTheme="minorHAnsi" w:eastAsiaTheme="minorHAnsi" w:hAnsiTheme="minorHAnsi" w:cstheme="minorHAnsi"/>
                <w:sz w:val="18"/>
                <w:szCs w:val="18"/>
                <w:lang w:eastAsia="en-US" w:bidi="en-US"/>
              </w:rPr>
              <w:t>to provide for</w:t>
            </w:r>
            <w:r w:rsidR="00713B0E" w:rsidRPr="007C4D65">
              <w:rPr>
                <w:rFonts w:asciiTheme="minorHAnsi" w:eastAsiaTheme="minorHAnsi" w:hAnsiTheme="minorHAnsi" w:cstheme="minorHAnsi"/>
                <w:sz w:val="18"/>
                <w:szCs w:val="18"/>
                <w:lang w:eastAsia="en-US" w:bidi="en-US"/>
              </w:rPr>
              <w:t xml:space="preserve"> </w:t>
            </w:r>
            <w:r w:rsidR="00713B0E" w:rsidRPr="007C4D65">
              <w:rPr>
                <w:rFonts w:asciiTheme="minorHAnsi" w:eastAsia="Calibri" w:hAnsiTheme="minorHAnsi" w:cstheme="minorHAnsi"/>
                <w:sz w:val="18"/>
                <w:szCs w:val="18"/>
                <w:lang w:eastAsia="x-none"/>
              </w:rPr>
              <w:t>effective public participation mechanisms</w:t>
            </w:r>
            <w:r w:rsidRPr="007C4D65">
              <w:rPr>
                <w:rFonts w:asciiTheme="minorHAnsi" w:eastAsia="Calibri" w:hAnsiTheme="minorHAnsi" w:cstheme="minorHAnsi"/>
                <w:sz w:val="18"/>
                <w:szCs w:val="18"/>
                <w:lang w:eastAsia="x-none"/>
              </w:rPr>
              <w:t xml:space="preserve"> strengthened</w:t>
            </w:r>
            <w:r w:rsidR="00713B0E" w:rsidRPr="007C4D65">
              <w:rPr>
                <w:rFonts w:asciiTheme="minorHAnsi" w:eastAsia="Calibri" w:hAnsiTheme="minorHAnsi" w:cstheme="minorHAnsi"/>
                <w:sz w:val="18"/>
                <w:szCs w:val="18"/>
                <w:lang w:eastAsia="x-none"/>
              </w:rPr>
              <w:t xml:space="preserve"> </w:t>
            </w:r>
            <w:r w:rsidR="00713B0E" w:rsidRPr="007C4D65">
              <w:rPr>
                <w:rFonts w:asciiTheme="minorHAnsi" w:eastAsiaTheme="minorHAnsi" w:hAnsiTheme="minorHAnsi" w:cstheme="minorHAnsi"/>
                <w:sz w:val="18"/>
                <w:szCs w:val="18"/>
                <w:lang w:eastAsia="en-US" w:bidi="en-US"/>
              </w:rPr>
              <w:t>(2030)</w:t>
            </w:r>
          </w:p>
        </w:tc>
      </w:tr>
      <w:tr w:rsidR="00713B0E" w:rsidRPr="007C4D65" w14:paraId="33858DEE"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439BEF3"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65F209B" w14:textId="4A4545F5" w:rsidR="00713B0E" w:rsidRPr="007C4D65" w:rsidRDefault="00713B0E">
            <w:pPr>
              <w:numPr>
                <w:ilvl w:val="0"/>
                <w:numId w:val="165"/>
              </w:numPr>
              <w:spacing w:before="40" w:after="40" w:line="276" w:lineRule="auto"/>
              <w:ind w:left="265" w:hanging="26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Level of cooperation between the </w:t>
            </w:r>
            <w:r w:rsidR="001E6E20" w:rsidRPr="007C4D65">
              <w:rPr>
                <w:rFonts w:asciiTheme="minorHAnsi" w:eastAsia="Calibri" w:hAnsiTheme="minorHAnsi" w:cstheme="minorHAnsi"/>
                <w:sz w:val="18"/>
                <w:szCs w:val="18"/>
                <w:lang w:eastAsia="en-US"/>
              </w:rPr>
              <w:t>Federation Ministry</w:t>
            </w:r>
            <w:r w:rsidRPr="007C4D65">
              <w:rPr>
                <w:rFonts w:asciiTheme="minorHAnsi" w:eastAsia="Calibri" w:hAnsiTheme="minorHAnsi" w:cstheme="minorHAnsi"/>
                <w:sz w:val="18"/>
                <w:szCs w:val="18"/>
                <w:lang w:eastAsia="en-US"/>
              </w:rPr>
              <w:t xml:space="preserve"> of Environment and Tourism</w:t>
            </w:r>
            <w:r w:rsidRPr="007C4D65">
              <w:rPr>
                <w:rFonts w:asciiTheme="minorHAnsi" w:eastAsia="Calibri" w:hAnsiTheme="minorHAnsi" w:cstheme="minorHAnsi"/>
                <w:sz w:val="18"/>
                <w:szCs w:val="18"/>
                <w:lang w:eastAsia="x-none"/>
              </w:rPr>
              <w:t xml:space="preserve"> and other institutions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A72BA37" w14:textId="71183F67" w:rsidR="00713B0E" w:rsidRPr="007C4D65" w:rsidRDefault="00713B0E"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There is no institutional cooperation between the</w:t>
            </w:r>
            <w:r w:rsidRPr="007C4D65">
              <w:rPr>
                <w:rFonts w:asciiTheme="minorHAnsi" w:eastAsia="Calibri" w:hAnsiTheme="minorHAnsi" w:cstheme="minorHAnsi"/>
                <w:sz w:val="18"/>
                <w:szCs w:val="18"/>
                <w:lang w:eastAsia="x-none"/>
              </w:rPr>
              <w:t xml:space="preserve"> </w:t>
            </w:r>
            <w:r w:rsidR="001E6E20" w:rsidRPr="007C4D65">
              <w:rPr>
                <w:rFonts w:asciiTheme="minorHAnsi" w:eastAsia="Calibri" w:hAnsiTheme="minorHAnsi" w:cstheme="minorHAnsi"/>
                <w:sz w:val="18"/>
                <w:szCs w:val="18"/>
                <w:lang w:eastAsia="en-US"/>
              </w:rPr>
              <w:t>Federation Ministry</w:t>
            </w:r>
            <w:r w:rsidRPr="007C4D65">
              <w:rPr>
                <w:rFonts w:asciiTheme="minorHAnsi" w:eastAsia="Calibri" w:hAnsiTheme="minorHAnsi" w:cstheme="minorHAnsi"/>
                <w:sz w:val="18"/>
                <w:szCs w:val="18"/>
                <w:lang w:eastAsia="en-US"/>
              </w:rPr>
              <w:t xml:space="preserve"> of Environment and Tourism</w:t>
            </w:r>
            <w:r w:rsidRPr="007C4D65">
              <w:rPr>
                <w:rFonts w:asciiTheme="minorHAnsi" w:eastAsia="Calibri" w:hAnsiTheme="minorHAnsi" w:cstheme="minorHAnsi"/>
                <w:sz w:val="18"/>
                <w:szCs w:val="18"/>
                <w:lang w:eastAsia="x-none"/>
              </w:rPr>
              <w:t xml:space="preserve"> and other institutions in the sector of environment </w:t>
            </w:r>
            <w:r w:rsidR="00D35916" w:rsidRPr="007C4D65">
              <w:rPr>
                <w:rFonts w:asciiTheme="minorHAnsi" w:eastAsia="Calibri" w:hAnsiTheme="minorHAnsi" w:cstheme="minorHAnsi"/>
                <w:sz w:val="18"/>
                <w:szCs w:val="18"/>
                <w:lang w:eastAsia="x-none"/>
              </w:rPr>
              <w:t>with</w:t>
            </w:r>
            <w:r w:rsidRPr="007C4D65">
              <w:rPr>
                <w:rFonts w:asciiTheme="minorHAnsi" w:eastAsia="Calibri" w:hAnsiTheme="minorHAnsi" w:cstheme="minorHAnsi"/>
                <w:sz w:val="18"/>
                <w:szCs w:val="18"/>
                <w:lang w:eastAsia="x-none"/>
              </w:rPr>
              <w:t xml:space="preserve"> civil society organizations</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E5EBD01" w14:textId="476CA6EF" w:rsidR="00713B0E" w:rsidRPr="007C4D65" w:rsidRDefault="00713B0E"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Strengthened institutional cooperation between the</w:t>
            </w:r>
            <w:r w:rsidRPr="007C4D65">
              <w:rPr>
                <w:rFonts w:asciiTheme="minorHAnsi" w:eastAsia="Calibri" w:hAnsiTheme="minorHAnsi" w:cstheme="minorHAnsi"/>
                <w:sz w:val="18"/>
                <w:szCs w:val="18"/>
                <w:lang w:eastAsia="x-none"/>
              </w:rPr>
              <w:t xml:space="preserve"> </w:t>
            </w:r>
            <w:r w:rsidR="001E6E20" w:rsidRPr="007C4D65">
              <w:rPr>
                <w:rFonts w:asciiTheme="minorHAnsi" w:eastAsia="Calibri" w:hAnsiTheme="minorHAnsi" w:cstheme="minorHAnsi"/>
                <w:sz w:val="18"/>
                <w:szCs w:val="18"/>
                <w:lang w:eastAsia="en-US"/>
              </w:rPr>
              <w:t>Federation Ministry</w:t>
            </w:r>
            <w:r w:rsidRPr="007C4D65">
              <w:rPr>
                <w:rFonts w:asciiTheme="minorHAnsi" w:eastAsia="Calibri" w:hAnsiTheme="minorHAnsi" w:cstheme="minorHAnsi"/>
                <w:sz w:val="18"/>
                <w:szCs w:val="18"/>
                <w:lang w:eastAsia="en-US"/>
              </w:rPr>
              <w:t xml:space="preserve"> of Environment and Tourism</w:t>
            </w:r>
            <w:r w:rsidRPr="007C4D65">
              <w:rPr>
                <w:rFonts w:asciiTheme="minorHAnsi" w:eastAsia="Calibri" w:hAnsiTheme="minorHAnsi" w:cstheme="minorHAnsi"/>
                <w:sz w:val="18"/>
                <w:szCs w:val="18"/>
                <w:lang w:eastAsia="x-none"/>
              </w:rPr>
              <w:t xml:space="preserve"> and other institutions in the sector of environment </w:t>
            </w:r>
            <w:r w:rsidR="00D35916" w:rsidRPr="007C4D65">
              <w:rPr>
                <w:rFonts w:asciiTheme="minorHAnsi" w:eastAsia="Calibri" w:hAnsiTheme="minorHAnsi" w:cstheme="minorHAnsi"/>
                <w:sz w:val="18"/>
                <w:szCs w:val="18"/>
                <w:lang w:eastAsia="x-none"/>
              </w:rPr>
              <w:t xml:space="preserve">with </w:t>
            </w:r>
            <w:r w:rsidRPr="007C4D65">
              <w:rPr>
                <w:rFonts w:asciiTheme="minorHAnsi" w:eastAsia="Calibri" w:hAnsiTheme="minorHAnsi" w:cstheme="minorHAnsi"/>
                <w:sz w:val="18"/>
                <w:szCs w:val="18"/>
                <w:lang w:eastAsia="x-none"/>
              </w:rPr>
              <w:t>civil society organizations</w:t>
            </w:r>
          </w:p>
        </w:tc>
      </w:tr>
      <w:tr w:rsidR="00713B0E" w:rsidRPr="007C4D65" w14:paraId="7C4CA846"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5A2B0A4"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D5F3A80" w14:textId="6C7511D8" w:rsidR="00713B0E" w:rsidRPr="007C4D65" w:rsidRDefault="00D35916">
            <w:pPr>
              <w:numPr>
                <w:ilvl w:val="0"/>
                <w:numId w:val="165"/>
              </w:numPr>
              <w:spacing w:before="40" w:after="40" w:line="276" w:lineRule="auto"/>
              <w:ind w:left="265" w:hanging="26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Level</w:t>
            </w:r>
            <w:r w:rsidR="00713B0E" w:rsidRPr="007C4D65">
              <w:rPr>
                <w:rFonts w:asciiTheme="minorHAnsi" w:eastAsia="Calibri" w:hAnsiTheme="minorHAnsi" w:cstheme="minorHAnsi"/>
                <w:sz w:val="18"/>
                <w:szCs w:val="18"/>
                <w:lang w:eastAsia="x-none"/>
              </w:rPr>
              <w:t xml:space="preserve"> of cooperation between the </w:t>
            </w:r>
            <w:r w:rsidR="001E6E20" w:rsidRPr="007C4D65">
              <w:rPr>
                <w:rFonts w:asciiTheme="minorHAnsi" w:eastAsia="Calibri" w:hAnsiTheme="minorHAnsi" w:cstheme="minorHAnsi"/>
                <w:sz w:val="18"/>
                <w:szCs w:val="18"/>
                <w:lang w:eastAsia="en-US"/>
              </w:rPr>
              <w:t>Federation Ministry</w:t>
            </w:r>
            <w:r w:rsidR="00713B0E" w:rsidRPr="007C4D65">
              <w:rPr>
                <w:rFonts w:asciiTheme="minorHAnsi" w:eastAsia="Calibri" w:hAnsiTheme="minorHAnsi" w:cstheme="minorHAnsi"/>
                <w:sz w:val="18"/>
                <w:szCs w:val="18"/>
                <w:lang w:eastAsia="en-US"/>
              </w:rPr>
              <w:t xml:space="preserve"> of Environment and</w:t>
            </w:r>
            <w:r w:rsidR="00713B0E" w:rsidRPr="007C4D65">
              <w:rPr>
                <w:rFonts w:asciiTheme="minorHAnsi" w:eastAsia="Calibri" w:hAnsiTheme="minorHAnsi" w:cstheme="minorHAnsi"/>
                <w:sz w:val="18"/>
                <w:szCs w:val="18"/>
                <w:lang w:eastAsia="x-none"/>
              </w:rPr>
              <w:t xml:space="preserve"> </w:t>
            </w:r>
            <w:r w:rsidR="00713B0E" w:rsidRPr="007C4D65">
              <w:rPr>
                <w:rFonts w:asciiTheme="minorHAnsi" w:eastAsiaTheme="minorHAnsi" w:hAnsiTheme="minorHAnsi" w:cstheme="minorHAnsi"/>
                <w:sz w:val="18"/>
                <w:szCs w:val="18"/>
                <w:lang w:eastAsia="en-US" w:bidi="en-US"/>
              </w:rPr>
              <w:t>Gender Centre of the Federation of BiH</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9541FCE" w14:textId="79440BB7" w:rsidR="00713B0E" w:rsidRPr="007C4D65" w:rsidRDefault="00D35916"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A two-way communication initiated between the </w:t>
            </w:r>
            <w:r w:rsidR="001E6E20" w:rsidRPr="007C4D65">
              <w:rPr>
                <w:rFonts w:asciiTheme="minorHAnsi" w:eastAsiaTheme="minorHAnsi" w:hAnsiTheme="minorHAnsi" w:cstheme="minorHAnsi"/>
                <w:sz w:val="18"/>
                <w:szCs w:val="18"/>
                <w:lang w:eastAsia="en-US" w:bidi="en-US"/>
              </w:rPr>
              <w:t>Federation Ministry</w:t>
            </w:r>
            <w:r w:rsidRPr="007C4D65">
              <w:rPr>
                <w:rFonts w:asciiTheme="minorHAnsi" w:eastAsiaTheme="minorHAnsi" w:hAnsiTheme="minorHAnsi" w:cstheme="minorHAnsi"/>
                <w:sz w:val="18"/>
                <w:szCs w:val="18"/>
                <w:lang w:eastAsia="en-US" w:bidi="en-US"/>
              </w:rPr>
              <w:t xml:space="preserve"> of Environment and Tourism and</w:t>
            </w:r>
            <w:r w:rsidR="00713B0E" w:rsidRPr="007C4D65">
              <w:rPr>
                <w:rFonts w:asciiTheme="minorHAnsi" w:eastAsiaTheme="minorHAnsi" w:hAnsiTheme="minorHAnsi" w:cstheme="minorHAnsi"/>
                <w:sz w:val="18"/>
                <w:szCs w:val="18"/>
                <w:lang w:eastAsia="en-US" w:bidi="en-US"/>
              </w:rPr>
              <w:t xml:space="preserve"> Gender Centre of the Federation of BiH</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B5523D7" w14:textId="20CE85DF" w:rsidR="00713B0E" w:rsidRPr="007C4D65" w:rsidRDefault="00D35916"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Excellent</w:t>
            </w:r>
            <w:r w:rsidR="00713B0E" w:rsidRPr="007C4D65">
              <w:rPr>
                <w:rFonts w:asciiTheme="minorHAnsi" w:eastAsia="Calibri" w:hAnsiTheme="minorHAnsi" w:cstheme="minorHAnsi"/>
                <w:sz w:val="18"/>
                <w:szCs w:val="18"/>
                <w:lang w:eastAsia="x-none"/>
              </w:rPr>
              <w:t xml:space="preserve"> cooperation between the </w:t>
            </w:r>
            <w:r w:rsidR="001E6E20" w:rsidRPr="007C4D65">
              <w:rPr>
                <w:rFonts w:asciiTheme="minorHAnsi" w:eastAsia="Calibri" w:hAnsiTheme="minorHAnsi" w:cstheme="minorHAnsi"/>
                <w:sz w:val="18"/>
                <w:szCs w:val="18"/>
                <w:lang w:eastAsia="en-US"/>
              </w:rPr>
              <w:t>Federation Ministry</w:t>
            </w:r>
            <w:r w:rsidR="00713B0E" w:rsidRPr="007C4D65">
              <w:rPr>
                <w:rFonts w:asciiTheme="minorHAnsi" w:eastAsia="Calibri" w:hAnsiTheme="minorHAnsi" w:cstheme="minorHAnsi"/>
                <w:sz w:val="18"/>
                <w:szCs w:val="18"/>
                <w:lang w:eastAsia="en-US"/>
              </w:rPr>
              <w:t xml:space="preserve"> of Environment and</w:t>
            </w:r>
            <w:r w:rsidR="00713B0E" w:rsidRPr="007C4D65">
              <w:rPr>
                <w:rFonts w:asciiTheme="minorHAnsi" w:eastAsia="Calibri" w:hAnsiTheme="minorHAnsi" w:cstheme="minorHAnsi"/>
                <w:sz w:val="18"/>
                <w:szCs w:val="18"/>
                <w:lang w:eastAsia="x-none"/>
              </w:rPr>
              <w:t xml:space="preserve"> </w:t>
            </w:r>
            <w:r w:rsidR="00713B0E" w:rsidRPr="007C4D65">
              <w:rPr>
                <w:rFonts w:asciiTheme="minorHAnsi" w:eastAsiaTheme="minorHAnsi" w:hAnsiTheme="minorHAnsi" w:cstheme="minorHAnsi"/>
                <w:sz w:val="18"/>
                <w:szCs w:val="18"/>
                <w:lang w:eastAsia="en-US" w:bidi="en-US"/>
              </w:rPr>
              <w:t>Gender Centre of the Federation of BiH (continuously -2030)</w:t>
            </w:r>
          </w:p>
        </w:tc>
      </w:tr>
      <w:tr w:rsidR="00713B0E" w:rsidRPr="007C4D65" w14:paraId="12F421FC"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3E075F9"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51AA4B3" w14:textId="2E4CF239" w:rsidR="00713B0E" w:rsidRPr="007C4D65" w:rsidRDefault="00C71E9C">
            <w:pPr>
              <w:numPr>
                <w:ilvl w:val="0"/>
                <w:numId w:val="165"/>
              </w:numPr>
              <w:spacing w:before="40" w:after="40" w:line="276" w:lineRule="auto"/>
              <w:ind w:left="265" w:hanging="26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Transmission of n</w:t>
            </w:r>
            <w:r w:rsidR="00713B0E" w:rsidRPr="007C4D65">
              <w:rPr>
                <w:rFonts w:asciiTheme="minorHAnsi" w:eastAsia="Calibri" w:hAnsiTheme="minorHAnsi" w:cstheme="minorHAnsi"/>
                <w:sz w:val="18"/>
                <w:szCs w:val="18"/>
                <w:lang w:eastAsia="x-none"/>
              </w:rPr>
              <w:t xml:space="preserve">otification on public consultations from higher </w:t>
            </w:r>
            <w:r w:rsidRPr="007C4D65">
              <w:rPr>
                <w:rFonts w:asciiTheme="minorHAnsi" w:eastAsia="Calibri" w:hAnsiTheme="minorHAnsi" w:cstheme="minorHAnsi"/>
                <w:sz w:val="18"/>
                <w:szCs w:val="18"/>
                <w:lang w:eastAsia="x-none"/>
              </w:rPr>
              <w:t xml:space="preserve">level </w:t>
            </w:r>
            <w:r w:rsidR="00713B0E" w:rsidRPr="007C4D65">
              <w:rPr>
                <w:rFonts w:asciiTheme="minorHAnsi" w:eastAsia="Calibri" w:hAnsiTheme="minorHAnsi" w:cstheme="minorHAnsi"/>
                <w:sz w:val="18"/>
                <w:szCs w:val="18"/>
                <w:lang w:eastAsia="x-none"/>
              </w:rPr>
              <w:t>authorities to local government units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A2D5FAA" w14:textId="52843C26" w:rsidR="00713B0E" w:rsidRPr="007C4D65" w:rsidRDefault="00713B0E"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Often</w:t>
            </w:r>
            <w:r w:rsidR="00C71E9C" w:rsidRPr="007C4D65">
              <w:rPr>
                <w:rFonts w:asciiTheme="minorHAnsi" w:eastAsia="Calibri" w:hAnsiTheme="minorHAnsi" w:cstheme="minorHAnsi"/>
                <w:sz w:val="18"/>
                <w:szCs w:val="18"/>
                <w:lang w:eastAsia="x-none"/>
              </w:rPr>
              <w:t>times</w:t>
            </w:r>
            <w:r w:rsidRPr="007C4D65">
              <w:rPr>
                <w:rFonts w:asciiTheme="minorHAnsi" w:eastAsia="Calibri" w:hAnsiTheme="minorHAnsi" w:cstheme="minorHAnsi"/>
                <w:sz w:val="18"/>
                <w:szCs w:val="18"/>
                <w:lang w:eastAsia="x-none"/>
              </w:rPr>
              <w:t xml:space="preserve">, notifications on public consultations are not </w:t>
            </w:r>
            <w:r w:rsidR="00C71E9C" w:rsidRPr="007C4D65">
              <w:rPr>
                <w:rFonts w:asciiTheme="minorHAnsi" w:eastAsia="Calibri" w:hAnsiTheme="minorHAnsi" w:cstheme="minorHAnsi"/>
                <w:sz w:val="18"/>
                <w:szCs w:val="18"/>
                <w:lang w:eastAsia="x-none"/>
              </w:rPr>
              <w:t xml:space="preserve">transmitted </w:t>
            </w:r>
            <w:r w:rsidRPr="007C4D65">
              <w:rPr>
                <w:rFonts w:asciiTheme="minorHAnsi" w:eastAsia="Calibri" w:hAnsiTheme="minorHAnsi" w:cstheme="minorHAnsi"/>
                <w:sz w:val="18"/>
                <w:szCs w:val="18"/>
                <w:lang w:eastAsia="x-none"/>
              </w:rPr>
              <w:t xml:space="preserve">from the </w:t>
            </w:r>
            <w:proofErr w:type="gramStart"/>
            <w:r w:rsidRPr="007C4D65">
              <w:rPr>
                <w:rFonts w:asciiTheme="minorHAnsi" w:eastAsia="Calibri" w:hAnsiTheme="minorHAnsi" w:cstheme="minorHAnsi"/>
                <w:sz w:val="18"/>
                <w:szCs w:val="18"/>
                <w:lang w:eastAsia="x-none"/>
              </w:rPr>
              <w:t xml:space="preserve">higher </w:t>
            </w:r>
            <w:r w:rsidR="00C71E9C" w:rsidRPr="007C4D65">
              <w:rPr>
                <w:rFonts w:asciiTheme="minorHAnsi" w:eastAsia="Calibri" w:hAnsiTheme="minorHAnsi" w:cstheme="minorHAnsi"/>
                <w:sz w:val="18"/>
                <w:szCs w:val="18"/>
                <w:lang w:eastAsia="x-none"/>
              </w:rPr>
              <w:t>level</w:t>
            </w:r>
            <w:proofErr w:type="gramEnd"/>
            <w:r w:rsidRPr="007C4D65">
              <w:rPr>
                <w:rFonts w:asciiTheme="minorHAnsi" w:eastAsia="Calibri" w:hAnsiTheme="minorHAnsi" w:cstheme="minorHAnsi"/>
                <w:sz w:val="18"/>
                <w:szCs w:val="18"/>
                <w:lang w:eastAsia="x-none"/>
              </w:rPr>
              <w:t xml:space="preserve"> authorities to local government units</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9BBC151" w14:textId="013BF8D8" w:rsidR="00713B0E" w:rsidRPr="007C4D65" w:rsidRDefault="00713B0E"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Improved </w:t>
            </w:r>
            <w:r w:rsidR="00C71E9C" w:rsidRPr="007C4D65">
              <w:rPr>
                <w:rFonts w:asciiTheme="minorHAnsi" w:eastAsiaTheme="minorHAnsi" w:hAnsiTheme="minorHAnsi" w:cstheme="minorHAnsi"/>
                <w:sz w:val="18"/>
                <w:szCs w:val="18"/>
                <w:lang w:eastAsia="en-US" w:bidi="en-US"/>
              </w:rPr>
              <w:t>transmission</w:t>
            </w:r>
            <w:r w:rsidRPr="007C4D65">
              <w:rPr>
                <w:rFonts w:asciiTheme="minorHAnsi" w:eastAsiaTheme="minorHAnsi" w:hAnsiTheme="minorHAnsi" w:cstheme="minorHAnsi"/>
                <w:sz w:val="18"/>
                <w:szCs w:val="18"/>
                <w:lang w:eastAsia="en-US" w:bidi="en-US"/>
              </w:rPr>
              <w:t xml:space="preserve"> </w:t>
            </w:r>
            <w:r w:rsidRPr="007C4D65">
              <w:rPr>
                <w:rFonts w:asciiTheme="minorHAnsi" w:eastAsia="Calibri" w:hAnsiTheme="minorHAnsi" w:cstheme="minorHAnsi"/>
                <w:sz w:val="18"/>
                <w:szCs w:val="18"/>
                <w:lang w:eastAsia="x-none"/>
              </w:rPr>
              <w:t>of notification</w:t>
            </w:r>
            <w:r w:rsidR="00C71E9C"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eastAsia="x-none"/>
              </w:rPr>
              <w:t xml:space="preserve"> on public consultations from the </w:t>
            </w:r>
            <w:proofErr w:type="gramStart"/>
            <w:r w:rsidRPr="007C4D65">
              <w:rPr>
                <w:rFonts w:asciiTheme="minorHAnsi" w:eastAsia="Calibri" w:hAnsiTheme="minorHAnsi" w:cstheme="minorHAnsi"/>
                <w:sz w:val="18"/>
                <w:szCs w:val="18"/>
                <w:lang w:eastAsia="x-none"/>
              </w:rPr>
              <w:t xml:space="preserve">higher </w:t>
            </w:r>
            <w:r w:rsidR="00C71E9C" w:rsidRPr="007C4D65">
              <w:rPr>
                <w:rFonts w:asciiTheme="minorHAnsi" w:eastAsia="Calibri" w:hAnsiTheme="minorHAnsi" w:cstheme="minorHAnsi"/>
                <w:sz w:val="18"/>
                <w:szCs w:val="18"/>
                <w:lang w:eastAsia="x-none"/>
              </w:rPr>
              <w:t>level</w:t>
            </w:r>
            <w:proofErr w:type="gramEnd"/>
            <w:r w:rsidR="00C71E9C"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authorities to local government units (</w:t>
            </w:r>
            <w:r w:rsidRPr="007C4D65">
              <w:rPr>
                <w:rFonts w:asciiTheme="minorHAnsi" w:eastAsiaTheme="minorHAnsi" w:hAnsiTheme="minorHAnsi" w:cstheme="minorHAnsi"/>
                <w:sz w:val="18"/>
                <w:szCs w:val="18"/>
                <w:lang w:eastAsia="en-US" w:bidi="en-US"/>
              </w:rPr>
              <w:t>continuously</w:t>
            </w:r>
            <w:r w:rsidRPr="007C4D65">
              <w:rPr>
                <w:rFonts w:asciiTheme="minorHAnsi" w:eastAsia="Calibri" w:hAnsiTheme="minorHAnsi" w:cstheme="minorHAnsi"/>
                <w:sz w:val="18"/>
                <w:szCs w:val="18"/>
                <w:lang w:eastAsia="x-none"/>
              </w:rPr>
              <w:t xml:space="preserve"> -2030)</w:t>
            </w:r>
          </w:p>
        </w:tc>
      </w:tr>
      <w:tr w:rsidR="00713B0E" w:rsidRPr="007C4D65" w14:paraId="6BFF2152"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AC8870E"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9F1FB01" w14:textId="4AD0D8E8" w:rsidR="00713B0E" w:rsidRPr="007C4D65" w:rsidRDefault="00C71E9C">
            <w:pPr>
              <w:numPr>
                <w:ilvl w:val="0"/>
                <w:numId w:val="165"/>
              </w:numPr>
              <w:spacing w:before="40" w:after="40" w:line="276" w:lineRule="auto"/>
              <w:ind w:left="265" w:hanging="26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Effectiveness</w:t>
            </w:r>
            <w:r w:rsidR="00713B0E" w:rsidRPr="007C4D65">
              <w:rPr>
                <w:rFonts w:asciiTheme="minorHAnsi" w:eastAsia="Calibri" w:hAnsiTheme="minorHAnsi" w:cstheme="minorHAnsi"/>
                <w:sz w:val="18"/>
                <w:szCs w:val="18"/>
                <w:lang w:eastAsia="x-none"/>
              </w:rPr>
              <w:t xml:space="preserve"> of cooperation with </w:t>
            </w:r>
            <w:r w:rsidRPr="007C4D65">
              <w:rPr>
                <w:rFonts w:asciiTheme="minorHAnsi" w:eastAsia="Calibri" w:hAnsiTheme="minorHAnsi" w:cstheme="minorHAnsi"/>
                <w:sz w:val="18"/>
                <w:szCs w:val="18"/>
                <w:lang w:eastAsia="x-none"/>
              </w:rPr>
              <w:t xml:space="preserve">the </w:t>
            </w:r>
            <w:r w:rsidR="00713B0E" w:rsidRPr="007C4D65">
              <w:rPr>
                <w:rFonts w:asciiTheme="minorHAnsi" w:eastAsia="Calibri" w:hAnsiTheme="minorHAnsi" w:cstheme="minorHAnsi"/>
                <w:sz w:val="18"/>
                <w:szCs w:val="18"/>
                <w:lang w:eastAsia="x-none"/>
              </w:rPr>
              <w:t>Partnership 27</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33723D1" w14:textId="61B2DEAA" w:rsidR="00713B0E" w:rsidRPr="007C4D65" w:rsidRDefault="00713B0E"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There is no institutional cooperation with </w:t>
            </w:r>
            <w:r w:rsidR="00C71E9C" w:rsidRPr="007C4D65">
              <w:rPr>
                <w:rFonts w:asciiTheme="minorHAnsi" w:eastAsiaTheme="minorHAnsi" w:hAnsiTheme="minorHAnsi" w:cstheme="minorHAnsi"/>
                <w:sz w:val="18"/>
                <w:szCs w:val="18"/>
                <w:lang w:eastAsia="en-US" w:bidi="en-US"/>
              </w:rPr>
              <w:t xml:space="preserve">the </w:t>
            </w:r>
            <w:r w:rsidRPr="007C4D65">
              <w:rPr>
                <w:rFonts w:asciiTheme="minorHAnsi" w:eastAsia="Calibri" w:hAnsiTheme="minorHAnsi" w:cstheme="minorHAnsi"/>
                <w:sz w:val="18"/>
                <w:szCs w:val="18"/>
                <w:lang w:eastAsia="x-none"/>
              </w:rPr>
              <w:t>Partnership 27</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565C338" w14:textId="01872E76" w:rsidR="00713B0E" w:rsidRPr="007C4D65" w:rsidRDefault="00C71E9C"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Effective</w:t>
            </w:r>
            <w:r w:rsidR="00713B0E" w:rsidRPr="007C4D65">
              <w:rPr>
                <w:rFonts w:asciiTheme="minorHAnsi" w:eastAsia="Calibri" w:hAnsiTheme="minorHAnsi" w:cstheme="minorHAnsi"/>
                <w:sz w:val="18"/>
                <w:szCs w:val="18"/>
                <w:lang w:eastAsia="x-none"/>
              </w:rPr>
              <w:t xml:space="preserve"> cooperation with</w:t>
            </w:r>
            <w:r w:rsidR="00713B0E" w:rsidRPr="007C4D65">
              <w:rPr>
                <w:rFonts w:asciiTheme="minorHAnsi" w:eastAsiaTheme="minorHAnsi" w:hAnsiTheme="minorHAnsi" w:cstheme="minorHAnsi"/>
                <w:sz w:val="18"/>
                <w:szCs w:val="18"/>
                <w:lang w:eastAsia="en-US" w:bidi="en-US"/>
              </w:rPr>
              <w:t xml:space="preserve"> </w:t>
            </w:r>
            <w:r w:rsidRPr="007C4D65">
              <w:rPr>
                <w:rFonts w:asciiTheme="minorHAnsi" w:eastAsiaTheme="minorHAnsi" w:hAnsiTheme="minorHAnsi" w:cstheme="minorHAnsi"/>
                <w:sz w:val="18"/>
                <w:szCs w:val="18"/>
                <w:lang w:eastAsia="en-US" w:bidi="en-US"/>
              </w:rPr>
              <w:t xml:space="preserve">the </w:t>
            </w:r>
            <w:r w:rsidR="00713B0E" w:rsidRPr="007C4D65">
              <w:rPr>
                <w:rFonts w:asciiTheme="minorHAnsi" w:eastAsia="Calibri" w:hAnsiTheme="minorHAnsi" w:cstheme="minorHAnsi"/>
                <w:sz w:val="18"/>
                <w:szCs w:val="18"/>
                <w:lang w:eastAsia="x-none"/>
              </w:rPr>
              <w:t>Partnership</w:t>
            </w:r>
            <w:r w:rsidR="00713B0E" w:rsidRPr="007C4D65">
              <w:rPr>
                <w:rFonts w:asciiTheme="minorHAnsi" w:eastAsiaTheme="minorHAnsi" w:hAnsiTheme="minorHAnsi" w:cstheme="minorHAnsi"/>
                <w:sz w:val="18"/>
                <w:szCs w:val="18"/>
                <w:lang w:eastAsia="en-US" w:bidi="en-US"/>
              </w:rPr>
              <w:t xml:space="preserve"> (continuously - 2030)</w:t>
            </w:r>
          </w:p>
        </w:tc>
      </w:tr>
      <w:tr w:rsidR="00713B0E" w:rsidRPr="007C4D65" w14:paraId="51BF2C2D"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5AE28CC"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55FE410" w14:textId="2BAC6126" w:rsidR="00713B0E" w:rsidRPr="007C4D65" w:rsidRDefault="00713B0E">
            <w:pPr>
              <w:numPr>
                <w:ilvl w:val="0"/>
                <w:numId w:val="165"/>
              </w:numPr>
              <w:spacing w:after="160" w:line="259"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Implementation of education on </w:t>
            </w:r>
            <w:r w:rsidR="00C71E9C"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Freedom of Access to Information Act (FAIA)</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ABD1E5D" w14:textId="2CC695EB" w:rsidR="00713B0E" w:rsidRPr="007C4D65" w:rsidRDefault="00C71E9C"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Trainings</w:t>
            </w:r>
            <w:r w:rsidR="00713B0E" w:rsidRPr="007C4D65">
              <w:rPr>
                <w:rFonts w:asciiTheme="minorHAnsi" w:eastAsiaTheme="minorHAnsi" w:hAnsiTheme="minorHAnsi" w:cstheme="minorHAnsi"/>
                <w:sz w:val="18"/>
                <w:szCs w:val="18"/>
                <w:lang w:eastAsia="en-US" w:bidi="en-US"/>
              </w:rPr>
              <w:t xml:space="preserve"> </w:t>
            </w:r>
            <w:r w:rsidRPr="007C4D65">
              <w:rPr>
                <w:rFonts w:asciiTheme="minorHAnsi" w:eastAsiaTheme="minorHAnsi" w:hAnsiTheme="minorHAnsi" w:cstheme="minorHAnsi"/>
                <w:sz w:val="18"/>
                <w:szCs w:val="18"/>
                <w:lang w:eastAsia="en-US" w:bidi="en-US"/>
              </w:rPr>
              <w:t xml:space="preserve">implemented </w:t>
            </w:r>
            <w:r w:rsidR="00713B0E" w:rsidRPr="007C4D65">
              <w:rPr>
                <w:rFonts w:asciiTheme="minorHAnsi" w:eastAsiaTheme="minorHAnsi" w:hAnsiTheme="minorHAnsi" w:cstheme="minorHAnsi"/>
                <w:sz w:val="18"/>
                <w:szCs w:val="18"/>
                <w:lang w:eastAsia="en-US" w:bidi="en-US"/>
              </w:rPr>
              <w:t xml:space="preserve">occasionally </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442CCFF" w14:textId="4D183887" w:rsidR="00713B0E" w:rsidRPr="007C4D65" w:rsidRDefault="00C71E9C"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Trainings</w:t>
            </w:r>
            <w:r w:rsidR="00713B0E" w:rsidRPr="007C4D65">
              <w:rPr>
                <w:rFonts w:asciiTheme="minorHAnsi" w:eastAsiaTheme="minorHAnsi" w:hAnsiTheme="minorHAnsi" w:cstheme="minorHAnsi"/>
                <w:sz w:val="18"/>
                <w:szCs w:val="18"/>
                <w:lang w:eastAsia="en-US" w:bidi="en-US"/>
              </w:rPr>
              <w:t xml:space="preserve"> on </w:t>
            </w:r>
            <w:r w:rsidR="00713B0E" w:rsidRPr="007C4D65">
              <w:rPr>
                <w:rFonts w:asciiTheme="minorHAnsi" w:eastAsia="Calibri" w:hAnsiTheme="minorHAnsi" w:cstheme="minorHAnsi"/>
                <w:sz w:val="18"/>
                <w:szCs w:val="18"/>
                <w:lang w:eastAsia="x-none"/>
              </w:rPr>
              <w:t xml:space="preserve">FAIA </w:t>
            </w:r>
            <w:r w:rsidR="00713B0E" w:rsidRPr="007C4D65">
              <w:rPr>
                <w:rFonts w:asciiTheme="minorHAnsi" w:eastAsiaTheme="minorHAnsi" w:hAnsiTheme="minorHAnsi" w:cstheme="minorHAnsi"/>
                <w:sz w:val="18"/>
                <w:szCs w:val="18"/>
                <w:lang w:eastAsia="en-US" w:bidi="en-US"/>
              </w:rPr>
              <w:t xml:space="preserve">implemented </w:t>
            </w:r>
            <w:r w:rsidRPr="007C4D65">
              <w:rPr>
                <w:rFonts w:asciiTheme="minorHAnsi" w:eastAsiaTheme="minorHAnsi" w:hAnsiTheme="minorHAnsi" w:cstheme="minorHAnsi"/>
                <w:sz w:val="18"/>
                <w:szCs w:val="18"/>
                <w:lang w:eastAsia="en-US" w:bidi="en-US"/>
              </w:rPr>
              <w:t xml:space="preserve">as planned </w:t>
            </w:r>
            <w:r w:rsidR="00713B0E" w:rsidRPr="007C4D65">
              <w:rPr>
                <w:rFonts w:asciiTheme="minorHAnsi" w:eastAsiaTheme="minorHAnsi" w:hAnsiTheme="minorHAnsi" w:cstheme="minorHAnsi"/>
                <w:sz w:val="18"/>
                <w:szCs w:val="18"/>
                <w:lang w:eastAsia="en-US" w:bidi="en-US"/>
              </w:rPr>
              <w:t>(continuously - 2030)</w:t>
            </w:r>
          </w:p>
        </w:tc>
      </w:tr>
      <w:tr w:rsidR="00713B0E" w:rsidRPr="007C4D65" w14:paraId="0354B9D4"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2E0E9683"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0B0E31B" w14:textId="58F52E8D" w:rsidR="00713B0E" w:rsidRPr="007C4D65" w:rsidRDefault="00713B0E">
            <w:pPr>
              <w:numPr>
                <w:ilvl w:val="0"/>
                <w:numId w:val="165"/>
              </w:numPr>
              <w:spacing w:before="40" w:after="40" w:line="276" w:lineRule="auto"/>
              <w:ind w:left="265" w:hanging="26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Public access</w:t>
            </w:r>
            <w:r w:rsidR="00C71E9C" w:rsidRPr="007C4D65">
              <w:rPr>
                <w:rFonts w:asciiTheme="minorHAnsi" w:eastAsia="Calibri" w:hAnsiTheme="minorHAnsi" w:cstheme="minorHAnsi"/>
                <w:sz w:val="18"/>
                <w:szCs w:val="18"/>
                <w:lang w:eastAsia="x-none"/>
              </w:rPr>
              <w:t xml:space="preserve"> to</w:t>
            </w:r>
            <w:r w:rsidRPr="007C4D65">
              <w:rPr>
                <w:rFonts w:asciiTheme="minorHAnsi" w:eastAsia="Calibri" w:hAnsiTheme="minorHAnsi" w:cstheme="minorHAnsi"/>
                <w:sz w:val="18"/>
                <w:szCs w:val="18"/>
                <w:lang w:eastAsia="x-none"/>
              </w:rPr>
              <w:t xml:space="preserve"> environmental information on website</w:t>
            </w:r>
            <w:r w:rsidR="00C71E9C"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eastAsia="x-none"/>
              </w:rPr>
              <w:t xml:space="preserve"> of the </w:t>
            </w:r>
            <w:r w:rsidR="00C71E9C" w:rsidRPr="007C4D65">
              <w:rPr>
                <w:rFonts w:asciiTheme="minorHAnsi" w:eastAsia="Calibri" w:hAnsiTheme="minorHAnsi" w:cstheme="minorHAnsi"/>
                <w:sz w:val="18"/>
                <w:szCs w:val="18"/>
                <w:lang w:eastAsia="x-none"/>
              </w:rPr>
              <w:t>competent</w:t>
            </w:r>
            <w:r w:rsidRPr="007C4D65">
              <w:rPr>
                <w:rFonts w:asciiTheme="minorHAnsi" w:eastAsia="Calibri" w:hAnsiTheme="minorHAnsi" w:cstheme="minorHAnsi"/>
                <w:sz w:val="18"/>
                <w:szCs w:val="18"/>
                <w:lang w:eastAsia="x-none"/>
              </w:rPr>
              <w:t xml:space="preserve"> institutions at all levels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D05292D" w14:textId="5107B9C1" w:rsidR="00713B0E" w:rsidRPr="007C4D65" w:rsidRDefault="00713B0E"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Partly – all information is not available on websites, that is, </w:t>
            </w:r>
            <w:r w:rsidR="00C71E9C" w:rsidRPr="007C4D65">
              <w:rPr>
                <w:rFonts w:asciiTheme="minorHAnsi" w:eastAsiaTheme="minorHAnsi" w:hAnsiTheme="minorHAnsi" w:cstheme="minorHAnsi"/>
                <w:sz w:val="18"/>
                <w:szCs w:val="18"/>
                <w:lang w:eastAsia="en-US" w:bidi="en-US"/>
              </w:rPr>
              <w:t>it is</w:t>
            </w:r>
            <w:r w:rsidRPr="007C4D65">
              <w:rPr>
                <w:rFonts w:asciiTheme="minorHAnsi" w:eastAsiaTheme="minorHAnsi" w:hAnsiTheme="minorHAnsi" w:cstheme="minorHAnsi"/>
                <w:sz w:val="18"/>
                <w:szCs w:val="18"/>
                <w:lang w:eastAsia="en-US" w:bidi="en-US"/>
              </w:rPr>
              <w:t xml:space="preserve"> not updated regularly</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A0956D3" w14:textId="7DA67173" w:rsidR="00713B0E" w:rsidRPr="007C4D65" w:rsidRDefault="00C71E9C"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Public has access to a</w:t>
            </w:r>
            <w:r w:rsidR="00713B0E" w:rsidRPr="007C4D65">
              <w:rPr>
                <w:rFonts w:asciiTheme="minorHAnsi" w:eastAsiaTheme="minorHAnsi" w:hAnsiTheme="minorHAnsi" w:cstheme="minorHAnsi"/>
                <w:sz w:val="18"/>
                <w:szCs w:val="18"/>
                <w:lang w:eastAsia="en-US" w:bidi="en-US"/>
              </w:rPr>
              <w:t xml:space="preserve">ll the relevant </w:t>
            </w:r>
            <w:r w:rsidR="00713B0E" w:rsidRPr="007C4D65">
              <w:rPr>
                <w:rFonts w:asciiTheme="minorHAnsi" w:eastAsia="Calibri" w:hAnsiTheme="minorHAnsi" w:cstheme="minorHAnsi"/>
                <w:sz w:val="18"/>
                <w:szCs w:val="18"/>
                <w:lang w:eastAsia="x-none"/>
              </w:rPr>
              <w:t>environmental information</w:t>
            </w:r>
            <w:r w:rsidR="00713B0E" w:rsidRPr="007C4D65">
              <w:rPr>
                <w:rFonts w:asciiTheme="minorHAnsi" w:eastAsiaTheme="minorHAnsi" w:hAnsiTheme="minorHAnsi" w:cstheme="minorHAnsi"/>
                <w:sz w:val="18"/>
                <w:szCs w:val="18"/>
                <w:lang w:eastAsia="en-US" w:bidi="en-US"/>
              </w:rPr>
              <w:t>, primarily on official websites of the institutions (continuously -2030)</w:t>
            </w:r>
          </w:p>
        </w:tc>
      </w:tr>
      <w:tr w:rsidR="00713B0E" w:rsidRPr="007C4D65" w14:paraId="0158A1BF"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469BBA7"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750D401" w14:textId="157FDFA9" w:rsidR="00713B0E" w:rsidRPr="007C4D65" w:rsidRDefault="00C71E9C">
            <w:pPr>
              <w:numPr>
                <w:ilvl w:val="0"/>
                <w:numId w:val="165"/>
              </w:numPr>
              <w:spacing w:before="40" w:after="40" w:line="276" w:lineRule="auto"/>
              <w:ind w:left="265" w:hanging="265"/>
              <w:contextualSpacing/>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x-none"/>
              </w:rPr>
              <w:t xml:space="preserve">Effectiveness </w:t>
            </w:r>
            <w:r w:rsidR="00713B0E" w:rsidRPr="007C4D65">
              <w:rPr>
                <w:rFonts w:asciiTheme="minorHAnsi" w:eastAsia="Calibri" w:hAnsiTheme="minorHAnsi" w:cstheme="minorHAnsi"/>
                <w:sz w:val="18"/>
                <w:szCs w:val="18"/>
                <w:lang w:eastAsia="x-none"/>
              </w:rPr>
              <w:t>of</w:t>
            </w:r>
            <w:r w:rsidR="00713B0E" w:rsidRPr="007C4D65">
              <w:rPr>
                <w:rFonts w:asciiTheme="minorHAnsi" w:eastAsiaTheme="minorHAnsi" w:hAnsiTheme="minorHAnsi" w:cstheme="minorHAnsi"/>
                <w:color w:val="000000"/>
                <w:sz w:val="18"/>
                <w:szCs w:val="18"/>
                <w:lang w:eastAsia="en-US"/>
              </w:rPr>
              <w:t xml:space="preserve"> electronic/online communication between the responsible institutions and public</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2E20F25" w14:textId="056F5DC2" w:rsidR="00713B0E" w:rsidRPr="007C4D65" w:rsidRDefault="00C71E9C"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C</w:t>
            </w:r>
            <w:r w:rsidR="00713B0E" w:rsidRPr="007C4D65">
              <w:rPr>
                <w:rFonts w:asciiTheme="minorHAnsi" w:eastAsiaTheme="minorHAnsi" w:hAnsiTheme="minorHAnsi" w:cstheme="minorHAnsi"/>
                <w:sz w:val="18"/>
                <w:szCs w:val="18"/>
                <w:lang w:eastAsia="en-US" w:bidi="en-US"/>
              </w:rPr>
              <w:t xml:space="preserve">ommunication channels </w:t>
            </w:r>
            <w:r w:rsidRPr="007C4D65">
              <w:rPr>
                <w:rFonts w:asciiTheme="minorHAnsi" w:eastAsiaTheme="minorHAnsi" w:hAnsiTheme="minorHAnsi" w:cstheme="minorHAnsi"/>
                <w:sz w:val="18"/>
                <w:szCs w:val="18"/>
                <w:lang w:eastAsia="en-US" w:bidi="en-US"/>
              </w:rPr>
              <w:t>via</w:t>
            </w:r>
            <w:r w:rsidR="00713B0E" w:rsidRPr="007C4D65">
              <w:rPr>
                <w:rFonts w:asciiTheme="minorHAnsi" w:eastAsiaTheme="minorHAnsi" w:hAnsiTheme="minorHAnsi" w:cstheme="minorHAnsi"/>
                <w:sz w:val="18"/>
                <w:szCs w:val="18"/>
                <w:lang w:eastAsia="en-US" w:bidi="en-US"/>
              </w:rPr>
              <w:t xml:space="preserve"> electronic mail </w:t>
            </w:r>
            <w:r w:rsidRPr="007C4D65">
              <w:rPr>
                <w:rFonts w:asciiTheme="minorHAnsi" w:eastAsiaTheme="minorHAnsi" w:hAnsiTheme="minorHAnsi" w:cstheme="minorHAnsi"/>
                <w:sz w:val="18"/>
                <w:szCs w:val="18"/>
                <w:lang w:eastAsia="en-US" w:bidi="en-US"/>
              </w:rPr>
              <w:t>provided</w:t>
            </w:r>
            <w:r w:rsidR="00713B0E" w:rsidRPr="007C4D65">
              <w:rPr>
                <w:rFonts w:asciiTheme="minorHAnsi" w:eastAsiaTheme="minorHAnsi" w:hAnsiTheme="minorHAnsi" w:cstheme="minorHAnsi"/>
                <w:sz w:val="18"/>
                <w:szCs w:val="18"/>
                <w:lang w:eastAsia="en-US" w:bidi="en-US"/>
              </w:rPr>
              <w:t>–there is a room for improvement</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56BBDAF" w14:textId="75B1705E" w:rsidR="00713B0E" w:rsidRPr="007C4D65" w:rsidRDefault="00C71E9C"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Effective</w:t>
            </w:r>
            <w:r w:rsidR="00713B0E" w:rsidRPr="007C4D65">
              <w:rPr>
                <w:rFonts w:asciiTheme="minorHAnsi" w:eastAsia="Calibri" w:hAnsiTheme="minorHAnsi" w:cstheme="minorHAnsi"/>
                <w:sz w:val="18"/>
                <w:szCs w:val="18"/>
                <w:lang w:eastAsia="x-none"/>
              </w:rPr>
              <w:t xml:space="preserve"> communication </w:t>
            </w:r>
            <w:r w:rsidRPr="007C4D65">
              <w:rPr>
                <w:rFonts w:asciiTheme="minorHAnsi" w:eastAsia="Calibri" w:hAnsiTheme="minorHAnsi" w:cstheme="minorHAnsi"/>
                <w:sz w:val="18"/>
                <w:szCs w:val="18"/>
                <w:lang w:eastAsia="x-none"/>
              </w:rPr>
              <w:t>via</w:t>
            </w:r>
            <w:r w:rsidR="00713B0E" w:rsidRPr="007C4D65">
              <w:rPr>
                <w:rFonts w:asciiTheme="minorHAnsi" w:eastAsia="Calibri" w:hAnsiTheme="minorHAnsi" w:cstheme="minorHAnsi"/>
                <w:sz w:val="18"/>
                <w:szCs w:val="18"/>
                <w:lang w:eastAsia="x-none"/>
              </w:rPr>
              <w:t xml:space="preserve"> </w:t>
            </w:r>
            <w:r w:rsidR="00713B0E" w:rsidRPr="007C4D65">
              <w:rPr>
                <w:rFonts w:asciiTheme="minorHAnsi" w:eastAsiaTheme="minorHAnsi" w:hAnsiTheme="minorHAnsi" w:cstheme="minorHAnsi"/>
                <w:sz w:val="18"/>
                <w:szCs w:val="18"/>
                <w:lang w:eastAsia="en-US" w:bidi="en-US"/>
              </w:rPr>
              <w:t xml:space="preserve">electronic mail </w:t>
            </w:r>
            <w:r w:rsidRPr="007C4D65">
              <w:rPr>
                <w:rFonts w:asciiTheme="minorHAnsi" w:eastAsiaTheme="minorHAnsi" w:hAnsiTheme="minorHAnsi" w:cstheme="minorHAnsi"/>
                <w:sz w:val="18"/>
                <w:szCs w:val="18"/>
                <w:lang w:eastAsia="en-US" w:bidi="en-US"/>
              </w:rPr>
              <w:t>implemented</w:t>
            </w:r>
            <w:r w:rsidR="00713B0E" w:rsidRPr="007C4D65">
              <w:rPr>
                <w:rFonts w:asciiTheme="minorHAnsi" w:eastAsiaTheme="minorHAnsi" w:hAnsiTheme="minorHAnsi" w:cstheme="minorHAnsi"/>
                <w:sz w:val="18"/>
                <w:szCs w:val="18"/>
                <w:lang w:eastAsia="en-US" w:bidi="en-US"/>
              </w:rPr>
              <w:t xml:space="preserve"> (2026 and onwards continuously)</w:t>
            </w:r>
          </w:p>
        </w:tc>
      </w:tr>
      <w:tr w:rsidR="00713B0E" w:rsidRPr="007C4D65" w14:paraId="1BCB3963" w14:textId="77777777" w:rsidTr="00B6017F">
        <w:trPr>
          <w:trHeight w:val="567"/>
        </w:trPr>
        <w:tc>
          <w:tcPr>
            <w:tcW w:w="1359" w:type="pct"/>
            <w:shd w:val="clear" w:color="auto" w:fill="009D73"/>
            <w:vAlign w:val="center"/>
          </w:tcPr>
          <w:p w14:paraId="4041C539"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637F553" w14:textId="5C2D5A31" w:rsidR="00713B0E" w:rsidRPr="007C4D65" w:rsidRDefault="00C71E9C"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Enhanced application of the good governance principle through a greater transparency and new mechanisms of </w:t>
            </w:r>
            <w:r w:rsidR="00830279" w:rsidRPr="007C4D65">
              <w:rPr>
                <w:rFonts w:asciiTheme="minorHAnsi" w:eastAsiaTheme="minorHAnsi" w:hAnsiTheme="minorHAnsi" w:cstheme="minorHAnsi"/>
                <w:sz w:val="18"/>
                <w:szCs w:val="18"/>
                <w:lang w:eastAsia="en-US" w:bidi="en-US"/>
              </w:rPr>
              <w:t>public</w:t>
            </w:r>
            <w:r w:rsidRPr="007C4D65">
              <w:rPr>
                <w:rFonts w:asciiTheme="minorHAnsi" w:eastAsiaTheme="minorHAnsi" w:hAnsiTheme="minorHAnsi" w:cstheme="minorHAnsi"/>
                <w:sz w:val="18"/>
                <w:szCs w:val="18"/>
                <w:lang w:eastAsia="en-US" w:bidi="en-US"/>
              </w:rPr>
              <w:t xml:space="preserve"> participation, focusing on members of vulnerable groups</w:t>
            </w:r>
          </w:p>
        </w:tc>
      </w:tr>
      <w:tr w:rsidR="00713B0E" w:rsidRPr="007C4D65" w14:paraId="640882E9"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E654256" w14:textId="5204186E" w:rsidR="00713B0E" w:rsidRPr="007C4D65" w:rsidRDefault="00963086"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r w:rsidR="00713B0E" w:rsidRPr="007C4D65">
              <w:rPr>
                <w:rFonts w:asciiTheme="minorHAnsi" w:eastAsiaTheme="minorHAnsi" w:hAnsiTheme="minorHAnsi" w:cstheme="minorHAnsi"/>
                <w:b/>
                <w:color w:val="FFFFFF" w:themeColor="background1"/>
                <w:sz w:val="18"/>
                <w:szCs w:val="18"/>
                <w:lang w:eastAsia="en-US"/>
              </w:rPr>
              <w:t xml:space="preserve">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329E353" w14:textId="586A744D" w:rsidR="00C71E9C" w:rsidRPr="007C4D65" w:rsidRDefault="00C224E3" w:rsidP="00C71E9C">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C71E9C" w:rsidRPr="007C4D65">
              <w:rPr>
                <w:rFonts w:asciiTheme="minorHAnsi" w:hAnsiTheme="minorHAnsi" w:cstheme="minorHAnsi"/>
                <w:sz w:val="18"/>
                <w:szCs w:val="18"/>
                <w:lang w:val="hr-HR" w:bidi="en-US"/>
              </w:rPr>
              <w:t xml:space="preserve"> BAM 281,794</w:t>
            </w:r>
          </w:p>
          <w:p w14:paraId="6DAEBFFF" w14:textId="4C76DD5B" w:rsidR="00713B0E" w:rsidRPr="007C4D65" w:rsidRDefault="009E6B20" w:rsidP="00C71E9C">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val="hr-HR" w:bidi="en-US"/>
              </w:rPr>
              <w:t xml:space="preserve">Source: </w:t>
            </w:r>
            <w:r w:rsidR="00C71E9C" w:rsidRPr="007C4D65">
              <w:rPr>
                <w:rFonts w:asciiTheme="minorHAnsi" w:hAnsiTheme="minorHAnsi" w:cstheme="minorHAnsi"/>
                <w:sz w:val="18"/>
                <w:szCs w:val="18"/>
                <w:lang w:val="hr-HR" w:bidi="en-US"/>
              </w:rPr>
              <w:t xml:space="preserve"> 10%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C71E9C" w:rsidRPr="007C4D65">
              <w:rPr>
                <w:rFonts w:asciiTheme="minorHAnsi" w:hAnsiTheme="minorHAnsi" w:cstheme="minorHAnsi"/>
                <w:sz w:val="18"/>
                <w:szCs w:val="18"/>
                <w:lang w:val="hr-HR" w:bidi="en-US"/>
              </w:rPr>
              <w:t xml:space="preserve">, 90% </w:t>
            </w:r>
            <w:r w:rsidR="005D1AF9" w:rsidRPr="007C4D65">
              <w:rPr>
                <w:rFonts w:asciiTheme="minorHAnsi" w:hAnsiTheme="minorHAnsi" w:cstheme="minorHAnsi"/>
                <w:sz w:val="18"/>
                <w:szCs w:val="18"/>
                <w:lang w:val="hr-HR" w:bidi="en-US"/>
              </w:rPr>
              <w:t>combined</w:t>
            </w:r>
            <w:r w:rsidR="00C71E9C" w:rsidRPr="007C4D65">
              <w:rPr>
                <w:rFonts w:asciiTheme="minorHAnsi" w:hAnsiTheme="minorHAnsi" w:cstheme="minorHAnsi"/>
                <w:sz w:val="18"/>
                <w:szCs w:val="18"/>
                <w:lang w:val="hr-HR" w:bidi="en-US"/>
              </w:rPr>
              <w:t xml:space="preserve"> ‒ </w:t>
            </w:r>
            <w:r w:rsidR="00C224E3" w:rsidRPr="007C4D65">
              <w:rPr>
                <w:rFonts w:asciiTheme="minorHAnsi" w:hAnsiTheme="minorHAnsi" w:cstheme="minorHAnsi"/>
                <w:sz w:val="18"/>
                <w:szCs w:val="18"/>
                <w:lang w:val="hr-HR" w:bidi="en-US"/>
              </w:rPr>
              <w:t xml:space="preserve">funds from EU and other international donors, and other donations </w:t>
            </w:r>
          </w:p>
        </w:tc>
      </w:tr>
      <w:tr w:rsidR="00713B0E" w:rsidRPr="007C4D65" w14:paraId="5FCBC0A4"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593066D"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46A5F02" w14:textId="77777777" w:rsidR="00713B0E" w:rsidRPr="007C4D65" w:rsidRDefault="00713B0E"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2030</w:t>
            </w:r>
          </w:p>
        </w:tc>
      </w:tr>
      <w:tr w:rsidR="00713B0E" w:rsidRPr="007C4D65" w14:paraId="57F451E2"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6AA4984"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DD3230B" w14:textId="4C12D8E5" w:rsidR="00713B0E" w:rsidRPr="007C4D65" w:rsidRDefault="001E6E20"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713B0E" w:rsidRPr="007C4D65">
              <w:rPr>
                <w:rFonts w:asciiTheme="minorHAnsi" w:eastAsia="Calibri" w:hAnsiTheme="minorHAnsi" w:cstheme="minorHAnsi"/>
                <w:sz w:val="18"/>
                <w:szCs w:val="18"/>
                <w:lang w:eastAsia="en-US"/>
              </w:rPr>
              <w:t xml:space="preserve"> of Environment and Tourism</w:t>
            </w:r>
          </w:p>
        </w:tc>
      </w:tr>
      <w:tr w:rsidR="00713B0E" w:rsidRPr="007C4D65" w14:paraId="39C896F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2F632BA" w14:textId="77777777" w:rsidR="00713B0E" w:rsidRPr="007C4D65" w:rsidRDefault="00713B0E"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A04EB6D" w14:textId="11E920C1" w:rsidR="00713B0E" w:rsidRPr="007C4D65" w:rsidRDefault="001E6E20"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713B0E" w:rsidRPr="007C4D65">
              <w:rPr>
                <w:rFonts w:asciiTheme="minorHAnsi" w:eastAsia="Calibri" w:hAnsiTheme="minorHAnsi" w:cstheme="minorHAnsi"/>
                <w:sz w:val="18"/>
                <w:szCs w:val="18"/>
                <w:lang w:eastAsia="en-US"/>
              </w:rPr>
              <w:t xml:space="preserve"> of Environment and Tourism</w:t>
            </w:r>
            <w:r w:rsidR="00713B0E" w:rsidRPr="007C4D65">
              <w:rPr>
                <w:rFonts w:asciiTheme="minorHAnsi" w:eastAsiaTheme="minorHAnsi" w:hAnsiTheme="minorHAnsi" w:cstheme="minorHAnsi"/>
                <w:sz w:val="18"/>
                <w:szCs w:val="18"/>
                <w:lang w:eastAsia="en-US" w:bidi="en-US"/>
              </w:rPr>
              <w:t xml:space="preserve"> and </w:t>
            </w:r>
            <w:r w:rsidR="00C71E9C" w:rsidRPr="007C4D65">
              <w:rPr>
                <w:rFonts w:asciiTheme="minorHAnsi" w:eastAsiaTheme="minorHAnsi" w:hAnsiTheme="minorHAnsi" w:cstheme="minorHAnsi"/>
                <w:sz w:val="18"/>
                <w:szCs w:val="18"/>
                <w:lang w:eastAsia="en-US" w:bidi="en-US"/>
              </w:rPr>
              <w:t>competent</w:t>
            </w:r>
            <w:r w:rsidR="00713B0E" w:rsidRPr="007C4D65">
              <w:rPr>
                <w:rFonts w:asciiTheme="minorHAnsi" w:eastAsiaTheme="minorHAnsi" w:hAnsiTheme="minorHAnsi" w:cstheme="minorHAnsi"/>
                <w:sz w:val="18"/>
                <w:szCs w:val="18"/>
                <w:lang w:eastAsia="en-US" w:bidi="en-US"/>
              </w:rPr>
              <w:t xml:space="preserve"> cantonal ministries, all the </w:t>
            </w:r>
            <w:r w:rsidR="00C71E9C" w:rsidRPr="007C4D65">
              <w:rPr>
                <w:rFonts w:asciiTheme="minorHAnsi" w:eastAsiaTheme="minorHAnsi" w:hAnsiTheme="minorHAnsi" w:cstheme="minorHAnsi"/>
                <w:sz w:val="18"/>
                <w:szCs w:val="18"/>
                <w:lang w:eastAsia="en-US" w:bidi="en-US"/>
              </w:rPr>
              <w:t xml:space="preserve">environmental </w:t>
            </w:r>
            <w:r w:rsidR="00713B0E" w:rsidRPr="007C4D65">
              <w:rPr>
                <w:rFonts w:asciiTheme="minorHAnsi" w:eastAsiaTheme="minorHAnsi" w:hAnsiTheme="minorHAnsi" w:cstheme="minorHAnsi"/>
                <w:sz w:val="18"/>
                <w:szCs w:val="18"/>
                <w:lang w:eastAsia="en-US" w:bidi="en-US"/>
              </w:rPr>
              <w:t xml:space="preserve">institutions in the Federation of </w:t>
            </w:r>
            <w:r w:rsidR="00BC78DC" w:rsidRPr="007C4D65">
              <w:rPr>
                <w:rFonts w:asciiTheme="minorHAnsi" w:eastAsiaTheme="minorHAnsi" w:hAnsiTheme="minorHAnsi" w:cstheme="minorHAnsi"/>
                <w:sz w:val="18"/>
                <w:szCs w:val="18"/>
                <w:lang w:eastAsia="en-US" w:bidi="en-US"/>
              </w:rPr>
              <w:t>BiH</w:t>
            </w:r>
          </w:p>
        </w:tc>
      </w:tr>
      <w:tr w:rsidR="00713B0E" w:rsidRPr="007C4D65" w14:paraId="44AB3AE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F54E19D" w14:textId="63B34934" w:rsidR="00713B0E" w:rsidRPr="007C4D65" w:rsidRDefault="00963086" w:rsidP="00713B0E">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6603A59" w14:textId="77777777" w:rsidR="00713B0E" w:rsidRPr="007C4D65" w:rsidRDefault="00713B0E" w:rsidP="00713B0E">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Professional community, </w:t>
            </w:r>
            <w:proofErr w:type="gramStart"/>
            <w:r w:rsidRPr="007C4D65">
              <w:rPr>
                <w:rFonts w:asciiTheme="minorHAnsi" w:eastAsiaTheme="minorHAnsi" w:hAnsiTheme="minorHAnsi" w:cstheme="minorHAnsi"/>
                <w:sz w:val="18"/>
                <w:szCs w:val="18"/>
                <w:lang w:eastAsia="en-US" w:bidi="en-US"/>
              </w:rPr>
              <w:t>general public</w:t>
            </w:r>
            <w:proofErr w:type="gramEnd"/>
            <w:r w:rsidRPr="007C4D65">
              <w:rPr>
                <w:rFonts w:asciiTheme="minorHAnsi" w:eastAsiaTheme="minorHAnsi" w:hAnsiTheme="minorHAnsi" w:cstheme="minorHAnsi"/>
                <w:sz w:val="18"/>
                <w:szCs w:val="18"/>
                <w:lang w:eastAsia="en-US" w:bidi="en-US"/>
              </w:rPr>
              <w:t xml:space="preserve"> </w:t>
            </w:r>
          </w:p>
        </w:tc>
      </w:tr>
    </w:tbl>
    <w:p w14:paraId="74F6DECA" w14:textId="77777777"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2"/>
        <w:gridCol w:w="3242"/>
        <w:gridCol w:w="2762"/>
      </w:tblGrid>
      <w:tr w:rsidR="00BC78DC" w:rsidRPr="007C4D65" w14:paraId="656F0F31" w14:textId="77777777" w:rsidTr="00B6017F">
        <w:trPr>
          <w:trHeight w:val="567"/>
        </w:trPr>
        <w:tc>
          <w:tcPr>
            <w:tcW w:w="1359" w:type="pct"/>
            <w:shd w:val="clear" w:color="auto" w:fill="009D73"/>
            <w:vAlign w:val="center"/>
          </w:tcPr>
          <w:p w14:paraId="7D3B7B94" w14:textId="77777777" w:rsidR="00BC78DC" w:rsidRPr="007C4D65" w:rsidRDefault="00BC78DC" w:rsidP="00BC78DC">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Link with strategic goal </w:t>
            </w:r>
          </w:p>
        </w:tc>
        <w:tc>
          <w:tcPr>
            <w:tcW w:w="3641" w:type="pct"/>
            <w:gridSpan w:val="3"/>
            <w:shd w:val="clear" w:color="auto" w:fill="FFFFFF"/>
            <w:vAlign w:val="center"/>
          </w:tcPr>
          <w:p w14:paraId="3160B0E5" w14:textId="273967A8" w:rsidR="00BC78DC" w:rsidRPr="007C4D65" w:rsidRDefault="00BC78DC" w:rsidP="00BC78DC">
            <w:pPr>
              <w:spacing w:after="160" w:line="259"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7. Strengthening environmental management</w:t>
            </w:r>
          </w:p>
        </w:tc>
      </w:tr>
      <w:tr w:rsidR="00BC78DC" w:rsidRPr="007C4D65" w14:paraId="3CF582CB" w14:textId="77777777" w:rsidTr="00B6017F">
        <w:trPr>
          <w:trHeight w:val="567"/>
        </w:trPr>
        <w:tc>
          <w:tcPr>
            <w:tcW w:w="1359" w:type="pct"/>
            <w:shd w:val="clear" w:color="auto" w:fill="009D73"/>
            <w:vAlign w:val="center"/>
          </w:tcPr>
          <w:p w14:paraId="70A6A802" w14:textId="77777777" w:rsidR="00BC78DC" w:rsidRPr="007C4D65" w:rsidRDefault="00BC78DC" w:rsidP="00BC78DC">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41" w:type="pct"/>
            <w:gridSpan w:val="3"/>
            <w:shd w:val="clear" w:color="auto" w:fill="FFFFFF"/>
            <w:vAlign w:val="center"/>
          </w:tcPr>
          <w:p w14:paraId="4488536E" w14:textId="3286810A" w:rsidR="00BC78DC" w:rsidRPr="007C4D65" w:rsidRDefault="00BC78DC" w:rsidP="00BC78DC">
            <w:pPr>
              <w:spacing w:before="40" w:after="40" w:line="276" w:lineRule="auto"/>
              <w:rPr>
                <w:rFonts w:asciiTheme="minorHAnsi" w:hAnsiTheme="minorHAnsi" w:cstheme="minorHAnsi"/>
                <w:b/>
                <w:bCs/>
                <w:sz w:val="18"/>
                <w:szCs w:val="18"/>
                <w:lang w:eastAsia="zh-TW"/>
              </w:rPr>
            </w:pPr>
            <w:r w:rsidRPr="007C4D65">
              <w:rPr>
                <w:rFonts w:asciiTheme="minorHAnsi" w:eastAsia="Calibri" w:hAnsiTheme="minorHAnsi" w:cstheme="minorHAnsi"/>
                <w:b/>
                <w:bCs/>
                <w:sz w:val="18"/>
                <w:szCs w:val="18"/>
                <w:lang w:eastAsia="en-US"/>
              </w:rPr>
              <w:t xml:space="preserve">7.4 </w:t>
            </w:r>
            <w:r w:rsidR="00A323B2" w:rsidRPr="007C4D65">
              <w:rPr>
                <w:rFonts w:asciiTheme="minorHAnsi" w:eastAsia="Calibri" w:hAnsiTheme="minorHAnsi" w:cstheme="minorHAnsi"/>
                <w:b/>
                <w:bCs/>
                <w:sz w:val="18"/>
                <w:szCs w:val="18"/>
                <w:lang w:eastAsia="en-US"/>
              </w:rPr>
              <w:t xml:space="preserve">Ensuring strong public awareness on the importance of the environmental protection and their engagement in </w:t>
            </w:r>
            <w:r w:rsidR="009F16BA" w:rsidRPr="007C4D65">
              <w:rPr>
                <w:rFonts w:asciiTheme="minorHAnsi" w:eastAsia="Calibri" w:hAnsiTheme="minorHAnsi" w:cstheme="minorHAnsi"/>
                <w:b/>
                <w:bCs/>
                <w:sz w:val="18"/>
                <w:szCs w:val="18"/>
                <w:lang w:eastAsia="en-US"/>
              </w:rPr>
              <w:t>decision-making</w:t>
            </w:r>
            <w:r w:rsidR="00A323B2" w:rsidRPr="007C4D65">
              <w:rPr>
                <w:rFonts w:asciiTheme="minorHAnsi" w:eastAsia="Calibri" w:hAnsiTheme="minorHAnsi" w:cstheme="minorHAnsi"/>
                <w:b/>
                <w:bCs/>
                <w:sz w:val="18"/>
                <w:szCs w:val="18"/>
                <w:lang w:eastAsia="en-US"/>
              </w:rPr>
              <w:t xml:space="preserve"> processes, focusing on women, youth and socially vulnerable groups</w:t>
            </w:r>
          </w:p>
        </w:tc>
      </w:tr>
      <w:tr w:rsidR="00BC78DC" w:rsidRPr="007C4D65" w14:paraId="5148E3D3" w14:textId="77777777" w:rsidTr="00B6017F">
        <w:trPr>
          <w:trHeight w:val="567"/>
        </w:trPr>
        <w:tc>
          <w:tcPr>
            <w:tcW w:w="1359" w:type="pct"/>
            <w:shd w:val="clear" w:color="auto" w:fill="009D73"/>
            <w:vAlign w:val="center"/>
          </w:tcPr>
          <w:p w14:paraId="31A78BCD" w14:textId="77777777" w:rsidR="00BC78DC" w:rsidRPr="007C4D65" w:rsidRDefault="00BC78DC" w:rsidP="00BC78DC">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 xml:space="preserve">          Measure</w:t>
            </w:r>
          </w:p>
        </w:tc>
        <w:tc>
          <w:tcPr>
            <w:tcW w:w="3641" w:type="pct"/>
            <w:gridSpan w:val="3"/>
            <w:shd w:val="clear" w:color="auto" w:fill="FFFFFF"/>
            <w:vAlign w:val="center"/>
          </w:tcPr>
          <w:p w14:paraId="03AAFA17" w14:textId="3ACEC90F" w:rsidR="00BC78DC" w:rsidRPr="007C4D65" w:rsidRDefault="00BC78DC" w:rsidP="00BC78DC">
            <w:pPr>
              <w:spacing w:before="40" w:after="40" w:line="276" w:lineRule="auto"/>
              <w:rPr>
                <w:rFonts w:asciiTheme="minorHAnsi" w:eastAsia="Calibri" w:hAnsiTheme="minorHAnsi" w:cstheme="minorHAnsi"/>
                <w:b/>
                <w:sz w:val="18"/>
                <w:szCs w:val="18"/>
                <w:lang w:eastAsia="x-none"/>
              </w:rPr>
            </w:pPr>
            <w:bookmarkStart w:id="344" w:name="_Hlk95006663"/>
            <w:r w:rsidRPr="007C4D65">
              <w:rPr>
                <w:rFonts w:asciiTheme="minorHAnsi" w:eastAsia="Calibri" w:hAnsiTheme="minorHAnsi" w:cstheme="minorHAnsi"/>
                <w:b/>
                <w:sz w:val="18"/>
                <w:szCs w:val="18"/>
                <w:lang w:eastAsia="x-none"/>
              </w:rPr>
              <w:t xml:space="preserve">7.4.3 Preparation and publication of reports on the state of environment </w:t>
            </w:r>
            <w:r w:rsidR="007436F1" w:rsidRPr="007C4D65">
              <w:rPr>
                <w:rFonts w:asciiTheme="minorHAnsi" w:eastAsia="Calibri" w:hAnsiTheme="minorHAnsi" w:cstheme="minorHAnsi"/>
                <w:b/>
                <w:sz w:val="18"/>
                <w:szCs w:val="18"/>
                <w:lang w:eastAsia="x-none"/>
              </w:rPr>
              <w:t>in the Federation of BiH</w:t>
            </w:r>
            <w:bookmarkEnd w:id="344"/>
          </w:p>
        </w:tc>
      </w:tr>
      <w:tr w:rsidR="00BC78DC" w:rsidRPr="007C4D65" w14:paraId="3A00332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458FA94" w14:textId="77777777" w:rsidR="00BC78DC" w:rsidRPr="007C4D65" w:rsidRDefault="00BC78DC" w:rsidP="00BC78DC">
            <w:pPr>
              <w:spacing w:before="40" w:after="40" w:line="276" w:lineRule="auto"/>
              <w:ind w:left="406"/>
              <w:contextualSpacing/>
              <w:jc w:val="both"/>
              <w:rPr>
                <w:rFonts w:asciiTheme="minorHAnsi" w:eastAsia="Calibri" w:hAnsiTheme="minorHAnsi" w:cstheme="minorHAnsi"/>
                <w:sz w:val="18"/>
                <w:szCs w:val="18"/>
                <w:lang w:eastAsia="en-US"/>
              </w:rPr>
            </w:pPr>
            <w:r w:rsidRPr="007C4D65">
              <w:rPr>
                <w:rFonts w:asciiTheme="minorHAnsi" w:eastAsia="Calibri" w:hAnsiTheme="minorHAnsi" w:cstheme="minorHAnsi"/>
                <w:b/>
                <w:bCs/>
                <w:color w:val="FFFFFF"/>
                <w:sz w:val="18"/>
                <w:szCs w:val="18"/>
                <w:lang w:eastAsia="en-US" w:bidi="en-US"/>
              </w:rPr>
              <w:t>Description of the measure with the general area of intervention</w:t>
            </w:r>
          </w:p>
          <w:p w14:paraId="1491F34F" w14:textId="77777777" w:rsidR="00BC78DC" w:rsidRPr="007C4D65" w:rsidRDefault="00BC78DC" w:rsidP="00BC78DC">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3641" w:type="pct"/>
            <w:gridSpan w:val="3"/>
            <w:shd w:val="clear" w:color="auto" w:fill="FFFFFF"/>
            <w:vAlign w:val="center"/>
          </w:tcPr>
          <w:p w14:paraId="3E2FD4C6" w14:textId="3E55C37D" w:rsidR="00BC78DC" w:rsidRPr="007C4D65" w:rsidRDefault="00BC78DC" w:rsidP="00BC78DC">
            <w:pPr>
              <w:spacing w:after="160" w:line="259" w:lineRule="auto"/>
              <w:jc w:val="both"/>
              <w:rPr>
                <w:rFonts w:asciiTheme="minorHAnsi" w:eastAsia="Calibri" w:hAnsiTheme="minorHAnsi" w:cstheme="minorHAnsi"/>
                <w:sz w:val="18"/>
                <w:szCs w:val="18"/>
                <w:u w:val="single"/>
                <w:lang w:eastAsia="en-US"/>
              </w:rPr>
            </w:pPr>
            <w:r w:rsidRPr="007C4D65">
              <w:rPr>
                <w:rFonts w:asciiTheme="minorHAnsi" w:eastAsia="Calibri" w:hAnsiTheme="minorHAnsi" w:cstheme="minorHAnsi"/>
                <w:sz w:val="18"/>
                <w:szCs w:val="18"/>
                <w:lang w:eastAsia="en-US"/>
              </w:rPr>
              <w:t xml:space="preserve">The aim of this measure is to establish the system for the preparation and publishing of regular reports on </w:t>
            </w:r>
            <w:r w:rsidRPr="007C4D65">
              <w:rPr>
                <w:rFonts w:asciiTheme="minorHAnsi" w:eastAsia="Calibri" w:hAnsiTheme="minorHAnsi" w:cstheme="minorHAnsi"/>
                <w:bCs/>
                <w:sz w:val="18"/>
                <w:szCs w:val="18"/>
                <w:lang w:eastAsia="x-none"/>
              </w:rPr>
              <w:t>the state of environment in the Federation of BiH.</w:t>
            </w:r>
          </w:p>
          <w:p w14:paraId="4C0276D0" w14:textId="77777777" w:rsidR="00BC78DC" w:rsidRPr="007C4D65" w:rsidRDefault="00BC78DC" w:rsidP="00BC78DC">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General areas of intervention</w:t>
            </w:r>
            <w:r w:rsidRPr="007C4D65">
              <w:rPr>
                <w:rFonts w:asciiTheme="minorHAnsi" w:eastAsia="Calibri" w:hAnsiTheme="minorHAnsi" w:cstheme="minorHAnsi"/>
                <w:sz w:val="18"/>
                <w:szCs w:val="18"/>
                <w:lang w:eastAsia="x-none"/>
              </w:rPr>
              <w:t>:</w:t>
            </w:r>
          </w:p>
          <w:p w14:paraId="1594DCF6" w14:textId="6D112529" w:rsidR="00BC78DC" w:rsidRPr="007C4D65" w:rsidRDefault="00BC78DC" w:rsidP="00BC78DC">
            <w:pPr>
              <w:spacing w:after="160" w:line="259" w:lineRule="auto"/>
              <w:jc w:val="both"/>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1) Making necessary preparations </w:t>
            </w:r>
            <w:r w:rsidRPr="007C4D65">
              <w:rPr>
                <w:rFonts w:asciiTheme="minorHAnsi" w:eastAsia="Calibri" w:hAnsiTheme="minorHAnsi" w:cstheme="minorHAnsi"/>
                <w:sz w:val="18"/>
                <w:szCs w:val="18"/>
                <w:lang w:eastAsia="en-US"/>
              </w:rPr>
              <w:t xml:space="preserve">in the line institutions the preparation and publishing of regular reports on </w:t>
            </w:r>
            <w:r w:rsidRPr="007C4D65">
              <w:rPr>
                <w:rFonts w:asciiTheme="minorHAnsi" w:eastAsia="Calibri" w:hAnsiTheme="minorHAnsi" w:cstheme="minorHAnsi"/>
                <w:bCs/>
                <w:sz w:val="18"/>
                <w:szCs w:val="18"/>
                <w:lang w:eastAsia="x-none"/>
              </w:rPr>
              <w:t>the state of environment in the Federation of BiH</w:t>
            </w:r>
            <w:r w:rsidRPr="007C4D65">
              <w:rPr>
                <w:rFonts w:asciiTheme="minorHAnsi" w:eastAsia="Calibri" w:hAnsiTheme="minorHAnsi" w:cstheme="minorHAnsi"/>
                <w:sz w:val="18"/>
                <w:szCs w:val="18"/>
                <w:lang w:eastAsia="x-none"/>
              </w:rPr>
              <w:t xml:space="preserve">– creating databases, communication channels for data exchange and ensuring analytical </w:t>
            </w:r>
            <w:proofErr w:type="gramStart"/>
            <w:r w:rsidRPr="007C4D65">
              <w:rPr>
                <w:rFonts w:asciiTheme="minorHAnsi" w:eastAsia="Calibri" w:hAnsiTheme="minorHAnsi" w:cstheme="minorHAnsi"/>
                <w:sz w:val="18"/>
                <w:szCs w:val="18"/>
                <w:lang w:eastAsia="x-none"/>
              </w:rPr>
              <w:t>resources</w:t>
            </w:r>
            <w:r w:rsidR="005D1AF9" w:rsidRPr="007C4D65">
              <w:rPr>
                <w:rFonts w:asciiTheme="minorHAnsi" w:eastAsia="Calibri" w:hAnsiTheme="minorHAnsi" w:cstheme="minorHAnsi"/>
                <w:sz w:val="18"/>
                <w:szCs w:val="18"/>
                <w:lang w:eastAsia="x-none"/>
              </w:rPr>
              <w:t>;</w:t>
            </w:r>
            <w:proofErr w:type="gramEnd"/>
          </w:p>
          <w:p w14:paraId="0AED8337" w14:textId="01F35500" w:rsidR="00BC78DC" w:rsidRPr="007C4D65" w:rsidRDefault="00BC78DC" w:rsidP="00BC78DC">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2) Preparation of periodical </w:t>
            </w:r>
            <w:r w:rsidRPr="007C4D65">
              <w:rPr>
                <w:rFonts w:asciiTheme="minorHAnsi" w:eastAsia="Calibri" w:hAnsiTheme="minorHAnsi" w:cstheme="minorHAnsi"/>
                <w:sz w:val="18"/>
                <w:szCs w:val="18"/>
                <w:lang w:eastAsia="en-US"/>
              </w:rPr>
              <w:t xml:space="preserve">reports on </w:t>
            </w:r>
            <w:r w:rsidRPr="007C4D65">
              <w:rPr>
                <w:rFonts w:asciiTheme="minorHAnsi" w:eastAsia="Calibri" w:hAnsiTheme="minorHAnsi" w:cstheme="minorHAnsi"/>
                <w:bCs/>
                <w:sz w:val="18"/>
                <w:szCs w:val="18"/>
                <w:lang w:eastAsia="x-none"/>
              </w:rPr>
              <w:t xml:space="preserve">the state of environment in the Federation of BiH pursuant to the Law on Environmental </w:t>
            </w:r>
            <w:proofErr w:type="gramStart"/>
            <w:r w:rsidRPr="007C4D65">
              <w:rPr>
                <w:rFonts w:asciiTheme="minorHAnsi" w:eastAsia="Calibri" w:hAnsiTheme="minorHAnsi" w:cstheme="minorHAnsi"/>
                <w:bCs/>
                <w:sz w:val="18"/>
                <w:szCs w:val="18"/>
                <w:lang w:eastAsia="x-none"/>
              </w:rPr>
              <w:t>Protection</w:t>
            </w:r>
            <w:r w:rsidR="005D1AF9" w:rsidRPr="007C4D65">
              <w:rPr>
                <w:rFonts w:asciiTheme="minorHAnsi" w:eastAsia="Calibri" w:hAnsiTheme="minorHAnsi" w:cstheme="minorHAnsi"/>
                <w:bCs/>
                <w:sz w:val="18"/>
                <w:szCs w:val="18"/>
                <w:lang w:eastAsia="x-none"/>
              </w:rPr>
              <w:t>;</w:t>
            </w:r>
            <w:proofErr w:type="gramEnd"/>
          </w:p>
          <w:p w14:paraId="54CF9126" w14:textId="6F108A22" w:rsidR="00BC78DC" w:rsidRPr="007C4D65" w:rsidRDefault="00BC78DC" w:rsidP="00BC78DC">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3) Publishing </w:t>
            </w:r>
            <w:r w:rsidRPr="007C4D65">
              <w:rPr>
                <w:rFonts w:asciiTheme="minorHAnsi" w:eastAsia="Calibri" w:hAnsiTheme="minorHAnsi" w:cstheme="minorHAnsi"/>
                <w:sz w:val="18"/>
                <w:szCs w:val="18"/>
                <w:lang w:eastAsia="en-US"/>
              </w:rPr>
              <w:t xml:space="preserve">reports on </w:t>
            </w:r>
            <w:r w:rsidRPr="007C4D65">
              <w:rPr>
                <w:rFonts w:asciiTheme="minorHAnsi" w:eastAsia="Calibri" w:hAnsiTheme="minorHAnsi" w:cstheme="minorHAnsi"/>
                <w:bCs/>
                <w:sz w:val="18"/>
                <w:szCs w:val="18"/>
                <w:lang w:eastAsia="x-none"/>
              </w:rPr>
              <w:t xml:space="preserve">the state of environment in the Federation of BiH on webpage of </w:t>
            </w:r>
            <w:r w:rsidR="001E6E20" w:rsidRPr="007C4D65">
              <w:rPr>
                <w:rFonts w:asciiTheme="minorHAnsi" w:eastAsia="Calibri" w:hAnsiTheme="minorHAnsi" w:cstheme="minorHAnsi"/>
                <w:sz w:val="18"/>
                <w:szCs w:val="18"/>
                <w:lang w:eastAsia="en-US"/>
              </w:rPr>
              <w:t>Federation Ministry</w:t>
            </w:r>
            <w:r w:rsidRPr="007C4D65">
              <w:rPr>
                <w:rFonts w:asciiTheme="minorHAnsi" w:eastAsia="Calibri" w:hAnsiTheme="minorHAnsi" w:cstheme="minorHAnsi"/>
                <w:sz w:val="18"/>
                <w:szCs w:val="18"/>
                <w:lang w:eastAsia="en-US"/>
              </w:rPr>
              <w:t xml:space="preserve"> of Environment and Tourism</w:t>
            </w:r>
            <w:r w:rsidRPr="007C4D65">
              <w:rPr>
                <w:rFonts w:asciiTheme="minorHAnsi" w:eastAsia="Calibri" w:hAnsiTheme="minorHAnsi" w:cstheme="minorHAnsi"/>
                <w:sz w:val="18"/>
                <w:szCs w:val="18"/>
                <w:lang w:eastAsia="x-none"/>
              </w:rPr>
              <w:t xml:space="preserve"> and Environmental Protection Fund of the </w:t>
            </w:r>
            <w:r w:rsidRPr="007C4D65">
              <w:rPr>
                <w:rFonts w:asciiTheme="minorHAnsi" w:eastAsia="Calibri" w:hAnsiTheme="minorHAnsi" w:cstheme="minorHAnsi"/>
                <w:bCs/>
                <w:sz w:val="18"/>
                <w:szCs w:val="18"/>
                <w:lang w:eastAsia="x-none"/>
              </w:rPr>
              <w:t>Federation of BiH</w:t>
            </w:r>
            <w:r w:rsidR="005D1AF9" w:rsidRPr="007C4D65">
              <w:rPr>
                <w:rFonts w:asciiTheme="minorHAnsi" w:eastAsia="Calibri" w:hAnsiTheme="minorHAnsi" w:cstheme="minorHAnsi"/>
                <w:bCs/>
                <w:sz w:val="18"/>
                <w:szCs w:val="18"/>
                <w:lang w:eastAsia="x-none"/>
              </w:rPr>
              <w:t>.</w:t>
            </w:r>
          </w:p>
        </w:tc>
      </w:tr>
      <w:tr w:rsidR="00BC78DC" w:rsidRPr="007C4D65" w14:paraId="1FAB6006" w14:textId="77777777" w:rsidTr="00B6017F">
        <w:trPr>
          <w:trHeight w:val="567"/>
        </w:trPr>
        <w:tc>
          <w:tcPr>
            <w:tcW w:w="1359" w:type="pct"/>
            <w:shd w:val="clear" w:color="auto" w:fill="009D73"/>
            <w:vAlign w:val="center"/>
          </w:tcPr>
          <w:p w14:paraId="34B80D0E" w14:textId="77777777" w:rsidR="00BC78DC" w:rsidRPr="007C4D65" w:rsidRDefault="00BC78DC" w:rsidP="00BC78DC">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Strategic projects </w:t>
            </w:r>
          </w:p>
        </w:tc>
        <w:tc>
          <w:tcPr>
            <w:tcW w:w="3641" w:type="pct"/>
            <w:gridSpan w:val="3"/>
            <w:shd w:val="clear" w:color="auto" w:fill="FFFFFF" w:themeFill="background1"/>
            <w:vAlign w:val="center"/>
          </w:tcPr>
          <w:p w14:paraId="13D9A569" w14:textId="77777777" w:rsidR="00BC78DC" w:rsidRPr="007C4D65" w:rsidRDefault="00BC78DC" w:rsidP="00BC78DC">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BC78DC" w:rsidRPr="007C4D65" w14:paraId="43D2C410" w14:textId="77777777" w:rsidTr="00B6017F">
        <w:trPr>
          <w:trHeight w:val="567"/>
        </w:trPr>
        <w:tc>
          <w:tcPr>
            <w:tcW w:w="1359" w:type="pct"/>
            <w:vMerge w:val="restart"/>
            <w:shd w:val="clear" w:color="auto" w:fill="009D73"/>
            <w:vAlign w:val="center"/>
          </w:tcPr>
          <w:p w14:paraId="0C8F8679" w14:textId="77777777" w:rsidR="00BC78DC" w:rsidRPr="007C4D65" w:rsidRDefault="00BC78DC" w:rsidP="00BC78DC">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9267D96" w14:textId="77777777" w:rsidR="00BC78DC" w:rsidRPr="007C4D65" w:rsidRDefault="00BC78DC" w:rsidP="00BC78DC">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54ACD515" w14:textId="77777777" w:rsidR="00BC78DC" w:rsidRPr="007C4D65" w:rsidRDefault="00BC78DC" w:rsidP="00BC78DC">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5776E8F" w14:textId="77777777" w:rsidR="00BC78DC" w:rsidRPr="007C4D65" w:rsidRDefault="00BC78DC" w:rsidP="00BC78DC">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51D914F4" w14:textId="77777777" w:rsidR="00BC78DC" w:rsidRPr="007C4D65" w:rsidRDefault="00BC78DC" w:rsidP="00BC78DC">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005A68A" w14:textId="77777777" w:rsidR="00BC78DC" w:rsidRPr="007C4D65" w:rsidRDefault="00BC78DC" w:rsidP="00BC78DC">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value</w:t>
            </w:r>
          </w:p>
        </w:tc>
      </w:tr>
      <w:tr w:rsidR="00BC78DC" w:rsidRPr="007C4D65" w14:paraId="0D7471E3" w14:textId="77777777" w:rsidTr="00B6017F">
        <w:trPr>
          <w:trHeight w:val="567"/>
        </w:trPr>
        <w:tc>
          <w:tcPr>
            <w:tcW w:w="1359" w:type="pct"/>
            <w:vMerge/>
            <w:shd w:val="clear" w:color="auto" w:fill="009D73"/>
            <w:vAlign w:val="center"/>
          </w:tcPr>
          <w:p w14:paraId="07B8820B" w14:textId="77777777" w:rsidR="00BC78DC" w:rsidRPr="007C4D65" w:rsidRDefault="00BC78DC" w:rsidP="00BC78DC">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4C618682" w14:textId="68902FD7" w:rsidR="00BC78DC" w:rsidRPr="007C4D65" w:rsidRDefault="00BC78DC">
            <w:pPr>
              <w:numPr>
                <w:ilvl w:val="0"/>
                <w:numId w:val="166"/>
              </w:numPr>
              <w:spacing w:before="40" w:after="40" w:line="276" w:lineRule="auto"/>
              <w:ind w:left="265" w:hanging="26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Institutional capacity for preparation of regular reports on the state of environment</w:t>
            </w:r>
          </w:p>
        </w:tc>
        <w:tc>
          <w:tcPr>
            <w:tcW w:w="1243" w:type="pct"/>
            <w:shd w:val="clear" w:color="auto" w:fill="FFFFFF"/>
            <w:vAlign w:val="center"/>
          </w:tcPr>
          <w:p w14:paraId="54721100" w14:textId="7E8834D3" w:rsidR="00BC78DC" w:rsidRPr="007C4D65" w:rsidRDefault="00BC78DC" w:rsidP="00BC78DC">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Low capacity.</w:t>
            </w:r>
          </w:p>
        </w:tc>
        <w:tc>
          <w:tcPr>
            <w:tcW w:w="1059" w:type="pct"/>
            <w:shd w:val="clear" w:color="auto" w:fill="FFFFFF"/>
            <w:vAlign w:val="center"/>
          </w:tcPr>
          <w:p w14:paraId="37031CCB" w14:textId="015BBD95" w:rsidR="00BC78DC" w:rsidRPr="007C4D65" w:rsidRDefault="00BC78DC" w:rsidP="00BC78DC">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Increased capacity – all conditions </w:t>
            </w:r>
            <w:r w:rsidRPr="007C4D65">
              <w:rPr>
                <w:rFonts w:asciiTheme="minorHAnsi" w:eastAsia="Calibri" w:hAnsiTheme="minorHAnsi" w:cstheme="minorHAnsi"/>
                <w:sz w:val="18"/>
                <w:szCs w:val="18"/>
                <w:lang w:eastAsia="x-none"/>
              </w:rPr>
              <w:t xml:space="preserve">preparation of regular reports on the state of environment </w:t>
            </w:r>
            <w:r w:rsidRPr="007C4D65">
              <w:rPr>
                <w:rFonts w:asciiTheme="minorHAnsi" w:eastAsia="Calibri" w:hAnsiTheme="minorHAnsi" w:cstheme="minorHAnsi"/>
                <w:bCs/>
                <w:sz w:val="18"/>
                <w:szCs w:val="18"/>
                <w:lang w:eastAsia="x-none"/>
              </w:rPr>
              <w:t xml:space="preserve">are fulfilled </w:t>
            </w:r>
            <w:r w:rsidRPr="007C4D65">
              <w:rPr>
                <w:rFonts w:asciiTheme="minorHAnsi" w:eastAsiaTheme="minorHAnsi" w:hAnsiTheme="minorHAnsi" w:cstheme="minorHAnsi"/>
                <w:sz w:val="18"/>
                <w:szCs w:val="18"/>
                <w:lang w:eastAsia="en-US" w:bidi="en-US"/>
              </w:rPr>
              <w:t>(2026)</w:t>
            </w:r>
          </w:p>
        </w:tc>
      </w:tr>
      <w:tr w:rsidR="00BC78DC" w:rsidRPr="007C4D65" w14:paraId="4120507F" w14:textId="77777777" w:rsidTr="00B6017F">
        <w:trPr>
          <w:trHeight w:val="567"/>
        </w:trPr>
        <w:tc>
          <w:tcPr>
            <w:tcW w:w="1359" w:type="pct"/>
            <w:vMerge/>
            <w:shd w:val="clear" w:color="auto" w:fill="009D73"/>
            <w:vAlign w:val="center"/>
          </w:tcPr>
          <w:p w14:paraId="4741D8A6" w14:textId="77777777" w:rsidR="00BC78DC" w:rsidRPr="007C4D65" w:rsidRDefault="00BC78DC" w:rsidP="00BC78DC">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shd w:val="clear" w:color="auto" w:fill="FFFFFF"/>
            <w:vAlign w:val="center"/>
          </w:tcPr>
          <w:p w14:paraId="44212136" w14:textId="3410D708" w:rsidR="00BC78DC" w:rsidRPr="007C4D65" w:rsidRDefault="00BC78DC">
            <w:pPr>
              <w:numPr>
                <w:ilvl w:val="0"/>
                <w:numId w:val="166"/>
              </w:numPr>
              <w:spacing w:before="40" w:after="40" w:line="276" w:lineRule="auto"/>
              <w:ind w:left="265" w:hanging="265"/>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3) Intensity of promotion of the conclusions and recommendation</w:t>
            </w:r>
            <w:r w:rsidR="000172D0" w:rsidRPr="007C4D65">
              <w:rPr>
                <w:rFonts w:asciiTheme="minorHAnsi" w:eastAsia="Calibri" w:hAnsiTheme="minorHAnsi" w:cstheme="minorHAnsi"/>
                <w:sz w:val="18"/>
                <w:szCs w:val="18"/>
                <w:lang w:eastAsia="x-none"/>
              </w:rPr>
              <w:t>s</w:t>
            </w:r>
            <w:r w:rsidRPr="007C4D65">
              <w:rPr>
                <w:rFonts w:asciiTheme="minorHAnsi" w:eastAsia="Calibri" w:hAnsiTheme="minorHAnsi" w:cstheme="minorHAnsi"/>
                <w:sz w:val="18"/>
                <w:szCs w:val="18"/>
                <w:lang w:eastAsia="x-none"/>
              </w:rPr>
              <w:t xml:space="preserve"> of </w:t>
            </w:r>
            <w:r w:rsidR="000172D0" w:rsidRPr="007C4D65">
              <w:rPr>
                <w:rFonts w:asciiTheme="minorHAnsi" w:eastAsia="Calibri" w:hAnsiTheme="minorHAnsi" w:cstheme="minorHAnsi"/>
                <w:sz w:val="18"/>
                <w:szCs w:val="18"/>
                <w:lang w:eastAsia="x-none"/>
              </w:rPr>
              <w:t>reports on the state of environment</w:t>
            </w:r>
            <w:r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bCs/>
                <w:sz w:val="18"/>
                <w:szCs w:val="18"/>
                <w:lang w:eastAsia="x-none"/>
              </w:rPr>
              <w:t xml:space="preserve">in the Federation of </w:t>
            </w:r>
            <w:r w:rsidR="000172D0" w:rsidRPr="007C4D65">
              <w:rPr>
                <w:rFonts w:asciiTheme="minorHAnsi" w:eastAsia="Calibri" w:hAnsiTheme="minorHAnsi" w:cstheme="minorHAnsi"/>
                <w:bCs/>
                <w:sz w:val="18"/>
                <w:szCs w:val="18"/>
                <w:lang w:eastAsia="x-none"/>
              </w:rPr>
              <w:t>BiH</w:t>
            </w:r>
          </w:p>
        </w:tc>
        <w:tc>
          <w:tcPr>
            <w:tcW w:w="1243" w:type="pct"/>
            <w:shd w:val="clear" w:color="auto" w:fill="FFFFFF"/>
            <w:vAlign w:val="center"/>
          </w:tcPr>
          <w:p w14:paraId="4603E457" w14:textId="7C471BE9" w:rsidR="00BC78DC" w:rsidRPr="007C4D65" w:rsidRDefault="000172D0" w:rsidP="00BC78DC">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No reports on the state of environment</w:t>
            </w:r>
            <w:r w:rsidR="00BC78DC" w:rsidRPr="007C4D65">
              <w:rPr>
                <w:rFonts w:asciiTheme="minorHAnsi" w:eastAsia="Calibri" w:hAnsiTheme="minorHAnsi" w:cstheme="minorHAnsi"/>
                <w:sz w:val="18"/>
                <w:szCs w:val="18"/>
                <w:lang w:eastAsia="x-none"/>
              </w:rPr>
              <w:t>.</w:t>
            </w:r>
          </w:p>
        </w:tc>
        <w:tc>
          <w:tcPr>
            <w:tcW w:w="1059" w:type="pct"/>
            <w:shd w:val="clear" w:color="auto" w:fill="FFFFFF"/>
            <w:vAlign w:val="center"/>
          </w:tcPr>
          <w:p w14:paraId="1E5BC1A3" w14:textId="7421E17A" w:rsidR="00BC78DC" w:rsidRPr="007C4D65" w:rsidRDefault="00BC78DC" w:rsidP="00BC78DC">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Periodical </w:t>
            </w:r>
            <w:r w:rsidRPr="007C4D65">
              <w:rPr>
                <w:rFonts w:asciiTheme="minorHAnsi" w:eastAsia="Calibri" w:hAnsiTheme="minorHAnsi" w:cstheme="minorHAnsi"/>
                <w:sz w:val="18"/>
                <w:szCs w:val="18"/>
                <w:lang w:eastAsia="x-none"/>
              </w:rPr>
              <w:t xml:space="preserve">reports on </w:t>
            </w:r>
            <w:r w:rsidR="000172D0" w:rsidRPr="007C4D65">
              <w:rPr>
                <w:rFonts w:asciiTheme="minorHAnsi" w:eastAsia="Calibri" w:hAnsiTheme="minorHAnsi" w:cstheme="minorHAnsi"/>
                <w:sz w:val="18"/>
                <w:szCs w:val="18"/>
                <w:lang w:eastAsia="x-none"/>
              </w:rPr>
              <w:t xml:space="preserve">the state of environment in the </w:t>
            </w:r>
            <w:r w:rsidRPr="007C4D65">
              <w:rPr>
                <w:rFonts w:asciiTheme="minorHAnsi" w:eastAsia="Calibri" w:hAnsiTheme="minorHAnsi" w:cstheme="minorHAnsi"/>
                <w:bCs/>
                <w:sz w:val="18"/>
                <w:szCs w:val="18"/>
                <w:lang w:eastAsia="x-none"/>
              </w:rPr>
              <w:t xml:space="preserve">Federation of </w:t>
            </w:r>
            <w:r w:rsidR="00830279" w:rsidRPr="007C4D65">
              <w:rPr>
                <w:rFonts w:asciiTheme="minorHAnsi" w:eastAsia="Calibri" w:hAnsiTheme="minorHAnsi" w:cstheme="minorHAnsi"/>
                <w:bCs/>
                <w:sz w:val="18"/>
                <w:szCs w:val="18"/>
                <w:lang w:eastAsia="x-none"/>
              </w:rPr>
              <w:t>BiH</w:t>
            </w:r>
            <w:r w:rsidRPr="007C4D65">
              <w:rPr>
                <w:rFonts w:asciiTheme="minorHAnsi" w:eastAsia="Calibri" w:hAnsiTheme="minorHAnsi" w:cstheme="minorHAnsi"/>
                <w:sz w:val="18"/>
                <w:szCs w:val="18"/>
                <w:lang w:eastAsia="x-none"/>
              </w:rPr>
              <w:t xml:space="preserve"> regularly prepared and their conclusions and </w:t>
            </w:r>
            <w:proofErr w:type="gramStart"/>
            <w:r w:rsidRPr="007C4D65">
              <w:rPr>
                <w:rFonts w:asciiTheme="minorHAnsi" w:eastAsia="Calibri" w:hAnsiTheme="minorHAnsi" w:cstheme="minorHAnsi"/>
                <w:sz w:val="18"/>
                <w:szCs w:val="18"/>
                <w:lang w:eastAsia="x-none"/>
              </w:rPr>
              <w:t xml:space="preserve">recommendations  </w:t>
            </w:r>
            <w:r w:rsidR="000172D0" w:rsidRPr="007C4D65">
              <w:rPr>
                <w:rFonts w:asciiTheme="minorHAnsi" w:eastAsia="Calibri" w:hAnsiTheme="minorHAnsi" w:cstheme="minorHAnsi"/>
                <w:sz w:val="18"/>
                <w:szCs w:val="18"/>
                <w:lang w:eastAsia="x-none"/>
              </w:rPr>
              <w:t>regularly</w:t>
            </w:r>
            <w:proofErr w:type="gramEnd"/>
            <w:r w:rsidR="000172D0"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promoted (continuously-2030+)</w:t>
            </w:r>
          </w:p>
        </w:tc>
      </w:tr>
      <w:tr w:rsidR="00BC78DC" w:rsidRPr="007C4D65" w14:paraId="2CB65AF4" w14:textId="77777777" w:rsidTr="00B6017F">
        <w:trPr>
          <w:trHeight w:val="567"/>
        </w:trPr>
        <w:tc>
          <w:tcPr>
            <w:tcW w:w="1359" w:type="pct"/>
            <w:shd w:val="clear" w:color="auto" w:fill="009D73"/>
            <w:vAlign w:val="center"/>
          </w:tcPr>
          <w:p w14:paraId="0FBD0084" w14:textId="77777777" w:rsidR="00BC78DC" w:rsidRPr="007C4D65" w:rsidRDefault="00BC78DC" w:rsidP="00BC78DC">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shd w:val="clear" w:color="auto" w:fill="FFFFFF"/>
            <w:vAlign w:val="center"/>
          </w:tcPr>
          <w:p w14:paraId="60C97C67" w14:textId="0CCF9242" w:rsidR="00BC78DC" w:rsidRPr="007C4D65" w:rsidRDefault="00FC0594" w:rsidP="00BC78DC">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Enhanced transparency and access to information, and strengthened cross-sectoral cooperation and coordination on environmental issues</w:t>
            </w:r>
          </w:p>
        </w:tc>
      </w:tr>
      <w:tr w:rsidR="00BC78DC" w:rsidRPr="007C4D65" w14:paraId="0066456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ACC0CD1" w14:textId="227D01DA" w:rsidR="00BC78DC" w:rsidRPr="007C4D65" w:rsidRDefault="00963086" w:rsidP="00BC78DC">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r w:rsidR="00BC78DC" w:rsidRPr="007C4D65">
              <w:rPr>
                <w:rFonts w:asciiTheme="minorHAnsi" w:eastAsiaTheme="minorHAnsi" w:hAnsiTheme="minorHAnsi" w:cstheme="minorHAnsi"/>
                <w:b/>
                <w:color w:val="FFFFFF" w:themeColor="background1"/>
                <w:sz w:val="18"/>
                <w:szCs w:val="18"/>
                <w:lang w:eastAsia="en-US"/>
              </w:rPr>
              <w:t xml:space="preserve"> </w:t>
            </w:r>
          </w:p>
        </w:tc>
        <w:tc>
          <w:tcPr>
            <w:tcW w:w="3641" w:type="pct"/>
            <w:gridSpan w:val="3"/>
            <w:shd w:val="clear" w:color="auto" w:fill="FFFFFF"/>
            <w:vAlign w:val="center"/>
          </w:tcPr>
          <w:p w14:paraId="3364EE92" w14:textId="4A5F8E2B" w:rsidR="00FC0594" w:rsidRPr="007C4D65" w:rsidRDefault="00C224E3" w:rsidP="00FC0594">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FC0594" w:rsidRPr="007C4D65">
              <w:rPr>
                <w:rFonts w:asciiTheme="minorHAnsi" w:hAnsiTheme="minorHAnsi" w:cstheme="minorHAnsi"/>
                <w:sz w:val="18"/>
                <w:szCs w:val="18"/>
                <w:lang w:val="hr-HR" w:bidi="en-US"/>
              </w:rPr>
              <w:t>BAM 151,611</w:t>
            </w:r>
          </w:p>
          <w:p w14:paraId="3114A763" w14:textId="4EDDE9DA" w:rsidR="00BC78DC" w:rsidRPr="007C4D65" w:rsidRDefault="009E6B20" w:rsidP="00FC0594">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val="hr-HR" w:bidi="en-US"/>
              </w:rPr>
              <w:t xml:space="preserve">Source: </w:t>
            </w:r>
            <w:r w:rsidR="00FC0594" w:rsidRPr="007C4D65">
              <w:rPr>
                <w:rFonts w:asciiTheme="minorHAnsi" w:hAnsiTheme="minorHAnsi" w:cstheme="minorHAnsi"/>
                <w:sz w:val="18"/>
                <w:szCs w:val="18"/>
                <w:lang w:val="hr-HR" w:bidi="en-US"/>
              </w:rPr>
              <w:t xml:space="preserve">100%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p>
        </w:tc>
      </w:tr>
      <w:tr w:rsidR="00BC78DC" w:rsidRPr="007C4D65" w14:paraId="1FA66619"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E80477E" w14:textId="77777777" w:rsidR="00BC78DC" w:rsidRPr="007C4D65" w:rsidRDefault="00BC78DC" w:rsidP="00BC78DC">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lastRenderedPageBreak/>
              <w:t>Period of the implementation of the measure</w:t>
            </w:r>
          </w:p>
        </w:tc>
        <w:tc>
          <w:tcPr>
            <w:tcW w:w="3641" w:type="pct"/>
            <w:gridSpan w:val="3"/>
            <w:shd w:val="clear" w:color="auto" w:fill="FFFFFF"/>
            <w:vAlign w:val="center"/>
          </w:tcPr>
          <w:p w14:paraId="4A43A1E3" w14:textId="77777777" w:rsidR="00BC78DC" w:rsidRPr="007C4D65" w:rsidRDefault="00BC78DC" w:rsidP="00BC78DC">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2030</w:t>
            </w:r>
          </w:p>
        </w:tc>
      </w:tr>
      <w:tr w:rsidR="00BC78DC" w:rsidRPr="007C4D65" w14:paraId="2FF91153"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DA77E62" w14:textId="77777777" w:rsidR="00BC78DC" w:rsidRPr="007C4D65" w:rsidRDefault="00BC78DC" w:rsidP="00BC78DC">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DA8635F" w14:textId="0A4B713C" w:rsidR="00BC78DC" w:rsidRPr="007C4D65" w:rsidRDefault="001E6E20" w:rsidP="00BC78DC">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BC78DC" w:rsidRPr="007C4D65">
              <w:rPr>
                <w:rFonts w:asciiTheme="minorHAnsi" w:eastAsia="Calibri" w:hAnsiTheme="minorHAnsi" w:cstheme="minorHAnsi"/>
                <w:sz w:val="18"/>
                <w:szCs w:val="18"/>
                <w:lang w:eastAsia="en-US"/>
              </w:rPr>
              <w:t xml:space="preserve"> of Environment and Tourism</w:t>
            </w:r>
          </w:p>
        </w:tc>
      </w:tr>
      <w:tr w:rsidR="00BC78DC" w:rsidRPr="007C4D65" w14:paraId="4073691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11A6084" w14:textId="77777777" w:rsidR="00BC78DC" w:rsidRPr="007C4D65" w:rsidRDefault="00BC78DC" w:rsidP="00BC78DC">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shd w:val="clear" w:color="auto" w:fill="FFFFFF"/>
            <w:vAlign w:val="center"/>
          </w:tcPr>
          <w:p w14:paraId="6BF566BE" w14:textId="414350F7" w:rsidR="00BC78DC" w:rsidRPr="007C4D65" w:rsidRDefault="001E6E20" w:rsidP="00BC78DC">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BC78DC" w:rsidRPr="007C4D65">
              <w:rPr>
                <w:rFonts w:asciiTheme="minorHAnsi" w:eastAsia="Calibri" w:hAnsiTheme="minorHAnsi" w:cstheme="minorHAnsi"/>
                <w:sz w:val="18"/>
                <w:szCs w:val="18"/>
                <w:lang w:eastAsia="en-US"/>
              </w:rPr>
              <w:t xml:space="preserve"> of Environment and Tourism, in cooperation with the Environmental </w:t>
            </w:r>
            <w:r w:rsidR="00FC0594" w:rsidRPr="007C4D65">
              <w:rPr>
                <w:rFonts w:asciiTheme="minorHAnsi" w:eastAsia="Calibri" w:hAnsiTheme="minorHAnsi" w:cstheme="minorHAnsi"/>
                <w:sz w:val="18"/>
                <w:szCs w:val="18"/>
                <w:lang w:eastAsia="en-US"/>
              </w:rPr>
              <w:t xml:space="preserve">Protection </w:t>
            </w:r>
            <w:r w:rsidR="00BC78DC" w:rsidRPr="007C4D65">
              <w:rPr>
                <w:rFonts w:asciiTheme="minorHAnsi" w:eastAsia="Calibri" w:hAnsiTheme="minorHAnsi" w:cstheme="minorHAnsi"/>
                <w:sz w:val="18"/>
                <w:szCs w:val="18"/>
                <w:lang w:eastAsia="en-US"/>
              </w:rPr>
              <w:t xml:space="preserve">Fund of the Federation of </w:t>
            </w:r>
            <w:proofErr w:type="gramStart"/>
            <w:r w:rsidR="00BC78DC" w:rsidRPr="007C4D65">
              <w:rPr>
                <w:rFonts w:asciiTheme="minorHAnsi" w:eastAsia="Calibri" w:hAnsiTheme="minorHAnsi" w:cstheme="minorHAnsi"/>
                <w:sz w:val="18"/>
                <w:szCs w:val="18"/>
                <w:lang w:eastAsia="en-US"/>
              </w:rPr>
              <w:t xml:space="preserve">BiH </w:t>
            </w:r>
            <w:r w:rsidR="00BC78DC" w:rsidRPr="007C4D65">
              <w:rPr>
                <w:rFonts w:asciiTheme="minorHAnsi" w:eastAsiaTheme="minorHAnsi" w:hAnsiTheme="minorHAnsi" w:cstheme="minorHAnsi"/>
                <w:sz w:val="18"/>
                <w:szCs w:val="18"/>
                <w:lang w:eastAsia="en-US" w:bidi="en-US"/>
              </w:rPr>
              <w:t xml:space="preserve"> and</w:t>
            </w:r>
            <w:proofErr w:type="gramEnd"/>
            <w:r w:rsidR="00BC78DC" w:rsidRPr="007C4D65">
              <w:rPr>
                <w:rFonts w:asciiTheme="minorHAnsi" w:eastAsiaTheme="minorHAnsi" w:hAnsiTheme="minorHAnsi" w:cstheme="minorHAnsi"/>
                <w:sz w:val="18"/>
                <w:szCs w:val="18"/>
                <w:lang w:eastAsia="en-US" w:bidi="en-US"/>
              </w:rPr>
              <w:t xml:space="preserve"> other </w:t>
            </w:r>
            <w:r w:rsidR="00FC0594" w:rsidRPr="007C4D65">
              <w:rPr>
                <w:rFonts w:asciiTheme="minorHAnsi" w:eastAsiaTheme="minorHAnsi" w:hAnsiTheme="minorHAnsi" w:cstheme="minorHAnsi"/>
                <w:sz w:val="18"/>
                <w:szCs w:val="18"/>
                <w:lang w:eastAsia="en-US" w:bidi="en-US"/>
              </w:rPr>
              <w:t xml:space="preserve">environmental </w:t>
            </w:r>
            <w:r w:rsidR="00BC78DC" w:rsidRPr="007C4D65">
              <w:rPr>
                <w:rFonts w:asciiTheme="minorHAnsi" w:eastAsiaTheme="minorHAnsi" w:hAnsiTheme="minorHAnsi" w:cstheme="minorHAnsi"/>
                <w:sz w:val="18"/>
                <w:szCs w:val="18"/>
                <w:lang w:eastAsia="en-US" w:bidi="en-US"/>
              </w:rPr>
              <w:t>institutions</w:t>
            </w:r>
          </w:p>
        </w:tc>
      </w:tr>
      <w:tr w:rsidR="00BC78DC" w:rsidRPr="007C4D65" w14:paraId="1DAE5B4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6940D59" w14:textId="226F65A5" w:rsidR="00BC78DC" w:rsidRPr="007C4D65" w:rsidRDefault="00963086" w:rsidP="00BC78DC">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shd w:val="clear" w:color="auto" w:fill="FFFFFF"/>
            <w:vAlign w:val="center"/>
          </w:tcPr>
          <w:p w14:paraId="18D0CF53" w14:textId="32612F0E" w:rsidR="00BC78DC" w:rsidRPr="007C4D65" w:rsidRDefault="00BC78DC" w:rsidP="00BC78DC">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Professional community, </w:t>
            </w:r>
            <w:proofErr w:type="gramStart"/>
            <w:r w:rsidRPr="007C4D65">
              <w:rPr>
                <w:rFonts w:asciiTheme="minorHAnsi" w:eastAsiaTheme="minorHAnsi" w:hAnsiTheme="minorHAnsi" w:cstheme="minorHAnsi"/>
                <w:sz w:val="18"/>
                <w:szCs w:val="18"/>
                <w:lang w:eastAsia="en-US" w:bidi="en-US"/>
              </w:rPr>
              <w:t>general public</w:t>
            </w:r>
            <w:proofErr w:type="gramEnd"/>
          </w:p>
        </w:tc>
      </w:tr>
    </w:tbl>
    <w:p w14:paraId="1F5965EF" w14:textId="77777777"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56"/>
        <w:gridCol w:w="3213"/>
        <w:gridCol w:w="2827"/>
      </w:tblGrid>
      <w:tr w:rsidR="00346A24" w:rsidRPr="007C4D65" w14:paraId="55FE6D6A" w14:textId="77777777" w:rsidTr="00B6017F">
        <w:trPr>
          <w:trHeight w:val="567"/>
        </w:trPr>
        <w:tc>
          <w:tcPr>
            <w:tcW w:w="1359" w:type="pct"/>
            <w:shd w:val="clear" w:color="auto" w:fill="009D73"/>
            <w:vAlign w:val="center"/>
          </w:tcPr>
          <w:p w14:paraId="252E453E" w14:textId="77777777" w:rsidR="00346A24" w:rsidRPr="007C4D65" w:rsidRDefault="00346A24" w:rsidP="00346A24">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Link to strategic goal</w:t>
            </w:r>
          </w:p>
        </w:tc>
        <w:tc>
          <w:tcPr>
            <w:tcW w:w="3641" w:type="pct"/>
            <w:gridSpan w:val="3"/>
            <w:shd w:val="clear" w:color="auto" w:fill="FFFFFF"/>
            <w:vAlign w:val="center"/>
          </w:tcPr>
          <w:p w14:paraId="0DBAE561" w14:textId="4FD79926" w:rsidR="00346A24" w:rsidRPr="007C4D65" w:rsidRDefault="00346A24" w:rsidP="00346A24">
            <w:pPr>
              <w:spacing w:after="160" w:line="259"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7. Strengthening environmental management</w:t>
            </w:r>
          </w:p>
        </w:tc>
      </w:tr>
      <w:tr w:rsidR="00346A24" w:rsidRPr="007C4D65" w14:paraId="530D24A0" w14:textId="77777777" w:rsidTr="00B6017F">
        <w:trPr>
          <w:trHeight w:val="567"/>
        </w:trPr>
        <w:tc>
          <w:tcPr>
            <w:tcW w:w="1359" w:type="pct"/>
            <w:shd w:val="clear" w:color="auto" w:fill="009D73"/>
            <w:vAlign w:val="center"/>
          </w:tcPr>
          <w:p w14:paraId="1CB857AC" w14:textId="77777777" w:rsidR="00346A24" w:rsidRPr="007C4D65" w:rsidRDefault="00346A24" w:rsidP="00346A24">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41" w:type="pct"/>
            <w:gridSpan w:val="3"/>
            <w:shd w:val="clear" w:color="auto" w:fill="FFFFFF"/>
            <w:vAlign w:val="center"/>
          </w:tcPr>
          <w:p w14:paraId="3E80175D" w14:textId="0AD1F45B" w:rsidR="00346A24" w:rsidRPr="007C4D65" w:rsidRDefault="00346A24" w:rsidP="00346A24">
            <w:pPr>
              <w:spacing w:after="160" w:line="276" w:lineRule="auto"/>
              <w:rPr>
                <w:rFonts w:asciiTheme="minorHAnsi" w:hAnsiTheme="minorHAnsi" w:cstheme="minorHAnsi"/>
                <w:b/>
                <w:bCs/>
                <w:sz w:val="18"/>
                <w:szCs w:val="18"/>
                <w:lang w:eastAsia="zh-TW"/>
              </w:rPr>
            </w:pPr>
            <w:r w:rsidRPr="007C4D65">
              <w:rPr>
                <w:rFonts w:asciiTheme="minorHAnsi" w:hAnsiTheme="minorHAnsi" w:cstheme="minorHAnsi"/>
                <w:b/>
                <w:bCs/>
                <w:sz w:val="18"/>
                <w:szCs w:val="18"/>
                <w:lang w:eastAsia="zh-TW"/>
              </w:rPr>
              <w:t xml:space="preserve">7.5 </w:t>
            </w:r>
            <w:r w:rsidRPr="007C4D65">
              <w:rPr>
                <w:rFonts w:asciiTheme="minorHAnsi" w:eastAsia="Calibri" w:hAnsiTheme="minorHAnsi" w:cstheme="minorHAnsi"/>
                <w:b/>
                <w:bCs/>
                <w:sz w:val="18"/>
                <w:szCs w:val="18"/>
                <w:lang w:eastAsia="en-US"/>
              </w:rPr>
              <w:t>Set up an efficient system for record keeping and transparent reporting of environmental data in the Federation of BiH, in consultation with the Partnership 27</w:t>
            </w:r>
          </w:p>
        </w:tc>
      </w:tr>
      <w:tr w:rsidR="00346A24" w:rsidRPr="007C4D65" w14:paraId="1BCB9553" w14:textId="77777777" w:rsidTr="00B6017F">
        <w:trPr>
          <w:trHeight w:val="567"/>
        </w:trPr>
        <w:tc>
          <w:tcPr>
            <w:tcW w:w="1359" w:type="pct"/>
            <w:shd w:val="clear" w:color="auto" w:fill="009D73"/>
            <w:vAlign w:val="center"/>
          </w:tcPr>
          <w:p w14:paraId="3A42DFCC" w14:textId="77777777" w:rsidR="00346A24" w:rsidRPr="007C4D65" w:rsidRDefault="00346A24" w:rsidP="00346A24">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Title of measure</w:t>
            </w:r>
          </w:p>
        </w:tc>
        <w:tc>
          <w:tcPr>
            <w:tcW w:w="3641" w:type="pct"/>
            <w:gridSpan w:val="3"/>
            <w:shd w:val="clear" w:color="auto" w:fill="FFFFFF"/>
            <w:vAlign w:val="center"/>
          </w:tcPr>
          <w:p w14:paraId="69EBF2B9" w14:textId="3F9CE3C2" w:rsidR="00346A24" w:rsidRPr="007C4D65" w:rsidRDefault="00346A24" w:rsidP="00306DC7">
            <w:pPr>
              <w:spacing w:after="160" w:line="276" w:lineRule="auto"/>
              <w:rPr>
                <w:rFonts w:asciiTheme="minorHAnsi" w:eastAsia="Calibri" w:hAnsiTheme="minorHAnsi" w:cstheme="minorHAnsi"/>
                <w:b/>
                <w:sz w:val="18"/>
                <w:szCs w:val="18"/>
                <w:lang w:eastAsia="x-none"/>
              </w:rPr>
            </w:pPr>
            <w:bookmarkStart w:id="345" w:name="_Hlk95006803"/>
            <w:r w:rsidRPr="007C4D65">
              <w:rPr>
                <w:rFonts w:asciiTheme="minorHAnsi" w:eastAsia="Calibri" w:hAnsiTheme="minorHAnsi" w:cstheme="minorHAnsi"/>
                <w:b/>
                <w:sz w:val="18"/>
                <w:szCs w:val="18"/>
                <w:lang w:eastAsia="x-none"/>
              </w:rPr>
              <w:t>7.5.1. Strengthen the system for monitoring of environmental parameters</w:t>
            </w:r>
            <w:bookmarkEnd w:id="345"/>
          </w:p>
        </w:tc>
      </w:tr>
      <w:tr w:rsidR="00346A24" w:rsidRPr="007C4D65" w14:paraId="68FC260C"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C2C5D21" w14:textId="77777777" w:rsidR="00346A24" w:rsidRPr="007C4D65" w:rsidRDefault="00346A24" w:rsidP="00346A24">
            <w:pPr>
              <w:spacing w:before="40" w:after="40" w:line="276" w:lineRule="auto"/>
              <w:ind w:left="406"/>
              <w:contextualSpacing/>
              <w:jc w:val="both"/>
              <w:rPr>
                <w:rFonts w:asciiTheme="minorHAnsi" w:eastAsia="Calibri" w:hAnsiTheme="minorHAnsi" w:cstheme="minorHAnsi"/>
                <w:sz w:val="18"/>
                <w:szCs w:val="18"/>
                <w:lang w:eastAsia="en-US"/>
              </w:rPr>
            </w:pPr>
            <w:r w:rsidRPr="007C4D65">
              <w:rPr>
                <w:rFonts w:asciiTheme="minorHAnsi" w:eastAsia="Calibri" w:hAnsiTheme="minorHAnsi" w:cstheme="minorHAnsi"/>
                <w:b/>
                <w:bCs/>
                <w:color w:val="FFFFFF"/>
                <w:sz w:val="18"/>
                <w:szCs w:val="18"/>
                <w:lang w:eastAsia="en-US" w:bidi="en-US"/>
              </w:rPr>
              <w:t>Description of the measure with the general area of intervention</w:t>
            </w:r>
          </w:p>
          <w:p w14:paraId="7CFD9BDE" w14:textId="77777777" w:rsidR="00346A24" w:rsidRPr="007C4D65" w:rsidRDefault="00346A24" w:rsidP="00346A24">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3641" w:type="pct"/>
            <w:gridSpan w:val="3"/>
            <w:shd w:val="clear" w:color="auto" w:fill="FFFFFF"/>
            <w:vAlign w:val="center"/>
          </w:tcPr>
          <w:p w14:paraId="1974BC30" w14:textId="77777777" w:rsidR="00306DC7" w:rsidRPr="007C4D65" w:rsidRDefault="00346A24" w:rsidP="00346A24">
            <w:pPr>
              <w:spacing w:before="40" w:after="40" w:line="276" w:lineRule="auto"/>
              <w:rPr>
                <w:rFonts w:asciiTheme="minorHAnsi" w:eastAsia="Calibri" w:hAnsiTheme="minorHAnsi" w:cstheme="minorHAnsi"/>
                <w:sz w:val="18"/>
                <w:szCs w:val="18"/>
                <w:lang w:eastAsia="en-US"/>
              </w:rPr>
            </w:pPr>
            <w:bookmarkStart w:id="346" w:name="_Hlk96427621"/>
            <w:r w:rsidRPr="007C4D65">
              <w:rPr>
                <w:rFonts w:asciiTheme="minorHAnsi" w:eastAsia="Calibri" w:hAnsiTheme="minorHAnsi" w:cstheme="minorHAnsi"/>
                <w:sz w:val="18"/>
                <w:szCs w:val="18"/>
                <w:lang w:eastAsia="en-US"/>
              </w:rPr>
              <w:t xml:space="preserve">The aim of this measure is to </w:t>
            </w:r>
            <w:bookmarkEnd w:id="346"/>
            <w:r w:rsidRPr="007C4D65">
              <w:rPr>
                <w:rFonts w:asciiTheme="minorHAnsi" w:eastAsia="Calibri" w:hAnsiTheme="minorHAnsi" w:cstheme="minorHAnsi"/>
                <w:sz w:val="18"/>
                <w:szCs w:val="18"/>
                <w:lang w:eastAsia="en-US"/>
              </w:rPr>
              <w:t xml:space="preserve">strengthen the existing </w:t>
            </w:r>
            <w:r w:rsidR="00306DC7" w:rsidRPr="007C4D65">
              <w:rPr>
                <w:rFonts w:asciiTheme="minorHAnsi" w:eastAsia="Calibri" w:hAnsiTheme="minorHAnsi" w:cstheme="minorHAnsi"/>
                <w:sz w:val="18"/>
                <w:szCs w:val="18"/>
                <w:lang w:eastAsia="en-US"/>
              </w:rPr>
              <w:t>the system for monitoring of environmental parameters</w:t>
            </w:r>
            <w:bookmarkStart w:id="347" w:name="_Hlk96427681"/>
            <w:r w:rsidR="00306DC7" w:rsidRPr="007C4D65">
              <w:rPr>
                <w:rFonts w:asciiTheme="minorHAnsi" w:eastAsia="Calibri" w:hAnsiTheme="minorHAnsi" w:cstheme="minorHAnsi"/>
                <w:sz w:val="18"/>
                <w:szCs w:val="18"/>
                <w:lang w:eastAsia="en-US"/>
              </w:rPr>
              <w:t>.</w:t>
            </w:r>
          </w:p>
          <w:p w14:paraId="5BD8ACFE" w14:textId="2E64436C" w:rsidR="00346A24" w:rsidRPr="007C4D65" w:rsidRDefault="00346A24" w:rsidP="00346A24">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General areas of intervention</w:t>
            </w:r>
            <w:bookmarkEnd w:id="347"/>
            <w:r w:rsidRPr="007C4D65">
              <w:rPr>
                <w:rFonts w:asciiTheme="minorHAnsi" w:eastAsia="Calibri" w:hAnsiTheme="minorHAnsi" w:cstheme="minorHAnsi"/>
                <w:sz w:val="18"/>
                <w:szCs w:val="18"/>
                <w:lang w:eastAsia="x-none"/>
              </w:rPr>
              <w:t>:</w:t>
            </w:r>
          </w:p>
          <w:p w14:paraId="22718090" w14:textId="20A7AC46" w:rsidR="00346A24" w:rsidRPr="007C4D65" w:rsidRDefault="00306DC7" w:rsidP="00306DC7">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1) S</w:t>
            </w:r>
            <w:r w:rsidR="00346A24" w:rsidRPr="007C4D65">
              <w:rPr>
                <w:rFonts w:asciiTheme="minorHAnsi" w:eastAsia="Calibri" w:hAnsiTheme="minorHAnsi" w:cstheme="minorHAnsi"/>
                <w:sz w:val="18"/>
                <w:szCs w:val="18"/>
                <w:lang w:eastAsia="en-US"/>
              </w:rPr>
              <w:t>trengthening professional capacit</w:t>
            </w:r>
            <w:r w:rsidRPr="007C4D65">
              <w:rPr>
                <w:rFonts w:asciiTheme="minorHAnsi" w:eastAsia="Calibri" w:hAnsiTheme="minorHAnsi" w:cstheme="minorHAnsi"/>
                <w:sz w:val="18"/>
                <w:szCs w:val="18"/>
                <w:lang w:eastAsia="en-US"/>
              </w:rPr>
              <w:t>y</w:t>
            </w:r>
            <w:r w:rsidR="00346A24" w:rsidRPr="007C4D65">
              <w:rPr>
                <w:rFonts w:asciiTheme="minorHAnsi" w:eastAsia="Calibri" w:hAnsiTheme="minorHAnsi" w:cstheme="minorHAnsi"/>
                <w:sz w:val="18"/>
                <w:szCs w:val="18"/>
                <w:lang w:eastAsia="en-US"/>
              </w:rPr>
              <w:t xml:space="preserve"> of reference centres and similar institutions/institutes</w:t>
            </w:r>
            <w:r w:rsidR="00346A24" w:rsidRPr="007C4D65">
              <w:rPr>
                <w:rFonts w:asciiTheme="minorHAnsi" w:eastAsia="Calibri" w:hAnsiTheme="minorHAnsi" w:cstheme="minorHAnsi"/>
                <w:sz w:val="18"/>
                <w:szCs w:val="18"/>
                <w:lang w:eastAsia="x-none"/>
              </w:rPr>
              <w:t xml:space="preserve">, based on identified specific shortcomings and </w:t>
            </w:r>
            <w:proofErr w:type="gramStart"/>
            <w:r w:rsidR="00346A24" w:rsidRPr="007C4D65">
              <w:rPr>
                <w:rFonts w:asciiTheme="minorHAnsi" w:eastAsia="Calibri" w:hAnsiTheme="minorHAnsi" w:cstheme="minorHAnsi"/>
                <w:sz w:val="18"/>
                <w:szCs w:val="18"/>
                <w:lang w:eastAsia="x-none"/>
              </w:rPr>
              <w:t>needs</w:t>
            </w:r>
            <w:r w:rsidR="00582D43" w:rsidRPr="007C4D65">
              <w:rPr>
                <w:rFonts w:asciiTheme="minorHAnsi" w:eastAsia="Calibri" w:hAnsiTheme="minorHAnsi" w:cstheme="minorHAnsi"/>
                <w:sz w:val="18"/>
                <w:szCs w:val="18"/>
                <w:lang w:eastAsia="x-none"/>
              </w:rPr>
              <w:t>;</w:t>
            </w:r>
            <w:proofErr w:type="gramEnd"/>
          </w:p>
          <w:p w14:paraId="775DEA8D" w14:textId="5B88AE41" w:rsidR="00346A24" w:rsidRPr="007C4D65" w:rsidRDefault="00306DC7" w:rsidP="00306DC7">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2) In order to provide to a greater</w:t>
            </w:r>
            <w:r w:rsidR="00346A24" w:rsidRPr="007C4D65">
              <w:rPr>
                <w:rFonts w:asciiTheme="minorHAnsi" w:eastAsia="Calibri" w:hAnsiTheme="minorHAnsi" w:cstheme="minorHAnsi"/>
                <w:sz w:val="18"/>
                <w:szCs w:val="18"/>
                <w:lang w:eastAsia="x-none"/>
              </w:rPr>
              <w:t xml:space="preserve"> diversification of environmental parameters which are being monitored, adopt/updat</w:t>
            </w:r>
            <w:r w:rsidRPr="007C4D65">
              <w:rPr>
                <w:rFonts w:asciiTheme="minorHAnsi" w:eastAsia="Calibri" w:hAnsiTheme="minorHAnsi" w:cstheme="minorHAnsi"/>
                <w:sz w:val="18"/>
                <w:szCs w:val="18"/>
                <w:lang w:eastAsia="x-none"/>
              </w:rPr>
              <w:t>e</w:t>
            </w:r>
            <w:r w:rsidR="00346A24" w:rsidRPr="007C4D65">
              <w:rPr>
                <w:rFonts w:asciiTheme="minorHAnsi" w:eastAsia="Calibri" w:hAnsiTheme="minorHAnsi" w:cstheme="minorHAnsi"/>
                <w:sz w:val="18"/>
                <w:szCs w:val="18"/>
                <w:lang w:eastAsia="x-none"/>
              </w:rPr>
              <w:t xml:space="preserve"> the rulebooks regulating mandatory parameters and environmental quality measurements in accordance with the international standards and </w:t>
            </w:r>
            <w:r w:rsidRPr="007C4D65">
              <w:rPr>
                <w:rFonts w:asciiTheme="minorHAnsi" w:eastAsia="Calibri" w:hAnsiTheme="minorHAnsi" w:cstheme="minorHAnsi"/>
                <w:sz w:val="18"/>
                <w:szCs w:val="18"/>
                <w:lang w:eastAsia="x-none"/>
              </w:rPr>
              <w:t>clearly define the powers</w:t>
            </w:r>
            <w:r w:rsidR="00346A24" w:rsidRPr="007C4D65">
              <w:rPr>
                <w:rFonts w:asciiTheme="minorHAnsi" w:eastAsia="Calibri" w:hAnsiTheme="minorHAnsi" w:cstheme="minorHAnsi"/>
                <w:sz w:val="18"/>
                <w:szCs w:val="18"/>
                <w:lang w:eastAsia="x-none"/>
              </w:rPr>
              <w:t xml:space="preserve"> of the </w:t>
            </w:r>
            <w:r w:rsidRPr="007C4D65">
              <w:rPr>
                <w:rFonts w:asciiTheme="minorHAnsi" w:eastAsia="Calibri" w:hAnsiTheme="minorHAnsi" w:cstheme="minorHAnsi"/>
                <w:sz w:val="18"/>
                <w:szCs w:val="18"/>
                <w:lang w:eastAsia="x-none"/>
              </w:rPr>
              <w:t>competent</w:t>
            </w:r>
            <w:r w:rsidR="00346A24" w:rsidRPr="007C4D65">
              <w:rPr>
                <w:rFonts w:asciiTheme="minorHAnsi" w:eastAsia="Calibri" w:hAnsiTheme="minorHAnsi" w:cstheme="minorHAnsi"/>
                <w:sz w:val="18"/>
                <w:szCs w:val="18"/>
                <w:lang w:eastAsia="x-none"/>
              </w:rPr>
              <w:t xml:space="preserve"> institutions</w:t>
            </w:r>
            <w:r w:rsidR="00582D43" w:rsidRPr="007C4D65">
              <w:rPr>
                <w:rFonts w:asciiTheme="minorHAnsi" w:eastAsia="Calibri" w:hAnsiTheme="minorHAnsi" w:cstheme="minorHAnsi"/>
                <w:sz w:val="18"/>
                <w:szCs w:val="18"/>
                <w:lang w:eastAsia="x-none"/>
              </w:rPr>
              <w:t>.</w:t>
            </w:r>
          </w:p>
        </w:tc>
      </w:tr>
      <w:tr w:rsidR="00346A24" w:rsidRPr="007C4D65" w14:paraId="7D99DF9B" w14:textId="77777777" w:rsidTr="00B6017F">
        <w:trPr>
          <w:trHeight w:val="567"/>
        </w:trPr>
        <w:tc>
          <w:tcPr>
            <w:tcW w:w="1359" w:type="pct"/>
            <w:shd w:val="clear" w:color="auto" w:fill="009D73"/>
            <w:vAlign w:val="center"/>
          </w:tcPr>
          <w:p w14:paraId="2C4C79E5" w14:textId="77777777" w:rsidR="00346A24" w:rsidRPr="007C4D65" w:rsidRDefault="00346A24" w:rsidP="00346A24">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Strategic projects </w:t>
            </w:r>
          </w:p>
        </w:tc>
        <w:tc>
          <w:tcPr>
            <w:tcW w:w="3641" w:type="pct"/>
            <w:gridSpan w:val="3"/>
            <w:shd w:val="clear" w:color="auto" w:fill="FFFFFF" w:themeFill="background1"/>
            <w:vAlign w:val="center"/>
          </w:tcPr>
          <w:p w14:paraId="0CED1060" w14:textId="77777777" w:rsidR="00346A24" w:rsidRPr="007C4D65" w:rsidRDefault="00346A24" w:rsidP="00346A24">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346A24" w:rsidRPr="007C4D65" w14:paraId="4E021801" w14:textId="77777777" w:rsidTr="00B6017F">
        <w:trPr>
          <w:trHeight w:val="567"/>
        </w:trPr>
        <w:tc>
          <w:tcPr>
            <w:tcW w:w="1359" w:type="pct"/>
            <w:vMerge w:val="restart"/>
            <w:shd w:val="clear" w:color="auto" w:fill="009D73"/>
            <w:vAlign w:val="center"/>
          </w:tcPr>
          <w:p w14:paraId="13242802" w14:textId="77777777" w:rsidR="00346A24" w:rsidRPr="007C4D65" w:rsidRDefault="00346A24" w:rsidP="00346A24">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of results</w:t>
            </w:r>
          </w:p>
        </w:tc>
        <w:tc>
          <w:tcPr>
            <w:tcW w:w="132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D1FA160" w14:textId="77777777" w:rsidR="00346A24" w:rsidRPr="007C4D65" w:rsidRDefault="00346A24" w:rsidP="00346A24">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717ED91B" w14:textId="77777777" w:rsidR="00346A24" w:rsidRPr="007C4D65" w:rsidRDefault="00346A24" w:rsidP="00346A24">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32"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A5BDD1E" w14:textId="77777777" w:rsidR="00346A24" w:rsidRPr="007C4D65" w:rsidRDefault="00346A24" w:rsidP="00346A24">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213E8890" w14:textId="77777777" w:rsidR="00346A24" w:rsidRPr="007C4D65" w:rsidRDefault="00346A24" w:rsidP="00346A24">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2021</w:t>
            </w:r>
          </w:p>
        </w:tc>
        <w:tc>
          <w:tcPr>
            <w:tcW w:w="1084"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709CCC8" w14:textId="77777777" w:rsidR="00346A24" w:rsidRPr="007C4D65" w:rsidRDefault="00346A24" w:rsidP="00346A24">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value</w:t>
            </w:r>
          </w:p>
        </w:tc>
      </w:tr>
      <w:tr w:rsidR="00346A24" w:rsidRPr="007C4D65" w14:paraId="0D8AA645" w14:textId="77777777" w:rsidTr="00B6017F">
        <w:trPr>
          <w:trHeight w:val="567"/>
        </w:trPr>
        <w:tc>
          <w:tcPr>
            <w:tcW w:w="1359" w:type="pct"/>
            <w:vMerge/>
            <w:shd w:val="clear" w:color="auto" w:fill="009D73"/>
            <w:vAlign w:val="center"/>
          </w:tcPr>
          <w:p w14:paraId="415FC83D" w14:textId="77777777" w:rsidR="00346A24" w:rsidRPr="007C4D65" w:rsidRDefault="00346A24" w:rsidP="00346A24">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25" w:type="pct"/>
            <w:shd w:val="clear" w:color="auto" w:fill="FFFFFF"/>
            <w:vAlign w:val="center"/>
          </w:tcPr>
          <w:p w14:paraId="129198E4" w14:textId="2591CFA1" w:rsidR="00346A24" w:rsidRPr="007C4D65" w:rsidRDefault="00346A24">
            <w:pPr>
              <w:numPr>
                <w:ilvl w:val="0"/>
                <w:numId w:val="167"/>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Capacit</w:t>
            </w:r>
            <w:r w:rsidR="00306DC7" w:rsidRPr="007C4D65">
              <w:rPr>
                <w:rFonts w:asciiTheme="minorHAnsi" w:eastAsia="Calibri" w:hAnsiTheme="minorHAnsi" w:cstheme="minorHAnsi"/>
                <w:sz w:val="18"/>
                <w:szCs w:val="18"/>
                <w:lang w:eastAsia="x-none"/>
              </w:rPr>
              <w:t>y</w:t>
            </w:r>
            <w:r w:rsidRPr="007C4D65">
              <w:rPr>
                <w:rFonts w:asciiTheme="minorHAnsi" w:eastAsia="Calibri" w:hAnsiTheme="minorHAnsi" w:cstheme="minorHAnsi"/>
                <w:sz w:val="18"/>
                <w:szCs w:val="18"/>
                <w:lang w:eastAsia="x-none"/>
              </w:rPr>
              <w:t xml:space="preserve"> of reference centres and professional </w:t>
            </w:r>
            <w:r w:rsidRPr="007C4D65">
              <w:rPr>
                <w:rFonts w:asciiTheme="minorHAnsi" w:eastAsia="Calibri" w:hAnsiTheme="minorHAnsi" w:cstheme="minorHAnsi"/>
                <w:sz w:val="18"/>
                <w:szCs w:val="18"/>
                <w:lang w:eastAsia="en-US"/>
              </w:rPr>
              <w:t>institutions/institutes</w:t>
            </w:r>
            <w:r w:rsidRPr="007C4D65">
              <w:rPr>
                <w:rFonts w:asciiTheme="minorHAnsi" w:eastAsia="Calibri" w:hAnsiTheme="minorHAnsi" w:cstheme="minorHAnsi"/>
                <w:sz w:val="18"/>
                <w:szCs w:val="18"/>
                <w:lang w:eastAsia="x-none"/>
              </w:rPr>
              <w:t xml:space="preserve"> for monitoring</w:t>
            </w:r>
          </w:p>
        </w:tc>
        <w:tc>
          <w:tcPr>
            <w:tcW w:w="1232" w:type="pct"/>
            <w:shd w:val="clear" w:color="auto" w:fill="FFFFFF"/>
            <w:vAlign w:val="center"/>
          </w:tcPr>
          <w:p w14:paraId="76A3164D" w14:textId="65D7090F" w:rsidR="00346A24" w:rsidRPr="007C4D65" w:rsidRDefault="00346A24" w:rsidP="00346A24">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Capacit</w:t>
            </w:r>
            <w:r w:rsidR="00306DC7" w:rsidRPr="007C4D65">
              <w:rPr>
                <w:rFonts w:asciiTheme="minorHAnsi" w:eastAsiaTheme="minorHAnsi" w:hAnsiTheme="minorHAnsi" w:cstheme="minorHAnsi"/>
                <w:sz w:val="18"/>
                <w:szCs w:val="18"/>
                <w:lang w:eastAsia="en-US" w:bidi="en-US"/>
              </w:rPr>
              <w:t xml:space="preserve">y </w:t>
            </w:r>
            <w:r w:rsidR="00A13CFC" w:rsidRPr="007C4D65">
              <w:rPr>
                <w:rFonts w:asciiTheme="minorHAnsi" w:eastAsiaTheme="minorHAnsi" w:hAnsiTheme="minorHAnsi" w:cstheme="minorHAnsi"/>
                <w:sz w:val="18"/>
                <w:szCs w:val="18"/>
                <w:lang w:eastAsia="en-US" w:bidi="en-US"/>
              </w:rPr>
              <w:t>available</w:t>
            </w:r>
            <w:r w:rsidRPr="007C4D65">
              <w:rPr>
                <w:rFonts w:asciiTheme="minorHAnsi" w:eastAsiaTheme="minorHAnsi" w:hAnsiTheme="minorHAnsi" w:cstheme="minorHAnsi"/>
                <w:sz w:val="18"/>
                <w:szCs w:val="18"/>
                <w:lang w:eastAsia="en-US" w:bidi="en-US"/>
              </w:rPr>
              <w:t>, but there is a room for improvement</w:t>
            </w:r>
          </w:p>
        </w:tc>
        <w:tc>
          <w:tcPr>
            <w:tcW w:w="1084" w:type="pct"/>
            <w:shd w:val="clear" w:color="auto" w:fill="FFFFFF"/>
            <w:vAlign w:val="center"/>
          </w:tcPr>
          <w:p w14:paraId="699B8001" w14:textId="64D9A9A7" w:rsidR="00346A24" w:rsidRPr="007C4D65" w:rsidRDefault="00346A24" w:rsidP="00346A24">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Increased professional capacit</w:t>
            </w:r>
            <w:r w:rsidR="00306DC7" w:rsidRPr="007C4D65">
              <w:rPr>
                <w:rFonts w:asciiTheme="minorHAnsi" w:eastAsiaTheme="minorHAnsi" w:hAnsiTheme="minorHAnsi" w:cstheme="minorHAnsi"/>
                <w:sz w:val="18"/>
                <w:szCs w:val="18"/>
                <w:lang w:eastAsia="en-US" w:bidi="en-US"/>
              </w:rPr>
              <w:t>y</w:t>
            </w:r>
            <w:r w:rsidRPr="007C4D65">
              <w:rPr>
                <w:rFonts w:asciiTheme="minorHAnsi" w:eastAsiaTheme="minorHAnsi" w:hAnsiTheme="minorHAnsi" w:cstheme="minorHAnsi"/>
                <w:sz w:val="18"/>
                <w:szCs w:val="18"/>
                <w:lang w:eastAsia="en-US" w:bidi="en-US"/>
              </w:rPr>
              <w:t xml:space="preserve"> of reference centres and professional </w:t>
            </w:r>
            <w:r w:rsidRPr="007C4D65">
              <w:rPr>
                <w:rFonts w:asciiTheme="minorHAnsi" w:eastAsia="Calibri" w:hAnsiTheme="minorHAnsi" w:cstheme="minorHAnsi"/>
                <w:sz w:val="18"/>
                <w:szCs w:val="18"/>
                <w:lang w:eastAsia="en-US"/>
              </w:rPr>
              <w:t>institutions/institutes</w:t>
            </w:r>
            <w:r w:rsidRPr="007C4D65">
              <w:rPr>
                <w:rFonts w:asciiTheme="minorHAnsi" w:eastAsia="Calibri" w:hAnsiTheme="minorHAnsi" w:cstheme="minorHAnsi"/>
                <w:sz w:val="18"/>
                <w:szCs w:val="18"/>
                <w:lang w:eastAsia="x-none"/>
              </w:rPr>
              <w:t xml:space="preserve"> for monitoring</w:t>
            </w:r>
            <w:r w:rsidRPr="007C4D65">
              <w:rPr>
                <w:rFonts w:asciiTheme="minorHAnsi" w:eastAsiaTheme="minorHAnsi" w:hAnsiTheme="minorHAnsi" w:cstheme="minorHAnsi"/>
                <w:sz w:val="18"/>
                <w:szCs w:val="18"/>
                <w:lang w:eastAsia="en-US" w:bidi="en-US"/>
              </w:rPr>
              <w:t xml:space="preserve"> (2027)</w:t>
            </w:r>
          </w:p>
        </w:tc>
      </w:tr>
      <w:tr w:rsidR="00346A24" w:rsidRPr="007C4D65" w14:paraId="1EFF99B2" w14:textId="77777777" w:rsidTr="00B6017F">
        <w:trPr>
          <w:trHeight w:val="567"/>
        </w:trPr>
        <w:tc>
          <w:tcPr>
            <w:tcW w:w="1359" w:type="pct"/>
            <w:vMerge/>
            <w:shd w:val="clear" w:color="auto" w:fill="009D73"/>
            <w:vAlign w:val="center"/>
          </w:tcPr>
          <w:p w14:paraId="1B195ADE" w14:textId="77777777" w:rsidR="00346A24" w:rsidRPr="007C4D65" w:rsidRDefault="00346A24" w:rsidP="00346A24">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25" w:type="pct"/>
            <w:shd w:val="clear" w:color="auto" w:fill="FFFFFF"/>
            <w:vAlign w:val="center"/>
          </w:tcPr>
          <w:p w14:paraId="36BFBA29" w14:textId="0D5C0BEF" w:rsidR="00346A24" w:rsidRPr="007C4D65" w:rsidRDefault="00BB46CF" w:rsidP="00BB46CF">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2) </w:t>
            </w:r>
            <w:r w:rsidR="00346A24" w:rsidRPr="007C4D65">
              <w:rPr>
                <w:rFonts w:asciiTheme="minorHAnsi" w:eastAsia="Calibri" w:hAnsiTheme="minorHAnsi" w:cstheme="minorHAnsi"/>
                <w:sz w:val="18"/>
                <w:szCs w:val="18"/>
                <w:lang w:eastAsia="x-none"/>
              </w:rPr>
              <w:t>Status of adoption of rulebooks regulating mandatory parameters and environmental quality measurements in accordance with the international standards</w:t>
            </w:r>
          </w:p>
        </w:tc>
        <w:tc>
          <w:tcPr>
            <w:tcW w:w="1232" w:type="pct"/>
            <w:shd w:val="clear" w:color="auto" w:fill="FFFFFF"/>
            <w:vAlign w:val="center"/>
          </w:tcPr>
          <w:p w14:paraId="7455839E" w14:textId="05837FC9" w:rsidR="00346A24" w:rsidRPr="007C4D65" w:rsidRDefault="00346A24" w:rsidP="00346A24">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Rulebooks are not update or they do not exist</w:t>
            </w:r>
          </w:p>
        </w:tc>
        <w:tc>
          <w:tcPr>
            <w:tcW w:w="1084" w:type="pct"/>
            <w:shd w:val="clear" w:color="auto" w:fill="FFFFFF"/>
            <w:vAlign w:val="center"/>
          </w:tcPr>
          <w:p w14:paraId="0FA7449B" w14:textId="3DED26CA" w:rsidR="00346A24" w:rsidRPr="007C4D65" w:rsidRDefault="00BB46CF" w:rsidP="00346A24">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A</w:t>
            </w:r>
            <w:r w:rsidR="00346A24" w:rsidRPr="007C4D65">
              <w:rPr>
                <w:rFonts w:asciiTheme="minorHAnsi" w:eastAsiaTheme="minorHAnsi" w:hAnsiTheme="minorHAnsi" w:cstheme="minorHAnsi"/>
                <w:sz w:val="18"/>
                <w:szCs w:val="18"/>
                <w:lang w:eastAsia="en-US" w:bidi="en-US"/>
              </w:rPr>
              <w:t xml:space="preserve">ll the </w:t>
            </w:r>
            <w:r w:rsidR="00346A24" w:rsidRPr="007C4D65">
              <w:rPr>
                <w:rFonts w:asciiTheme="minorHAnsi" w:eastAsia="Calibri" w:hAnsiTheme="minorHAnsi" w:cstheme="minorHAnsi"/>
                <w:sz w:val="18"/>
                <w:szCs w:val="18"/>
                <w:lang w:eastAsia="x-none"/>
              </w:rPr>
              <w:t xml:space="preserve">rulebooks regulating mandatory parameters and environmental quality measurements aimed at </w:t>
            </w:r>
            <w:r w:rsidRPr="007C4D65">
              <w:rPr>
                <w:rFonts w:asciiTheme="minorHAnsi" w:eastAsia="Calibri" w:hAnsiTheme="minorHAnsi" w:cstheme="minorHAnsi"/>
                <w:sz w:val="18"/>
                <w:szCs w:val="18"/>
                <w:lang w:eastAsia="x-none"/>
              </w:rPr>
              <w:t xml:space="preserve">greater </w:t>
            </w:r>
            <w:r w:rsidR="00346A24" w:rsidRPr="007C4D65">
              <w:rPr>
                <w:rFonts w:asciiTheme="minorHAnsi" w:eastAsia="Calibri" w:hAnsiTheme="minorHAnsi" w:cstheme="minorHAnsi"/>
                <w:sz w:val="18"/>
                <w:szCs w:val="18"/>
                <w:lang w:eastAsia="x-none"/>
              </w:rPr>
              <w:t xml:space="preserve">diversification of environmental parameters which are monitored </w:t>
            </w:r>
            <w:r w:rsidRPr="007C4D65">
              <w:rPr>
                <w:rFonts w:asciiTheme="minorHAnsi" w:eastAsia="Calibri" w:hAnsiTheme="minorHAnsi" w:cstheme="minorHAnsi"/>
                <w:sz w:val="18"/>
                <w:szCs w:val="18"/>
                <w:lang w:eastAsia="x-none"/>
              </w:rPr>
              <w:t>p</w:t>
            </w:r>
            <w:r w:rsidRPr="007C4D65">
              <w:rPr>
                <w:rFonts w:asciiTheme="minorHAnsi" w:eastAsiaTheme="minorHAnsi" w:hAnsiTheme="minorHAnsi" w:cstheme="minorHAnsi"/>
                <w:sz w:val="18"/>
                <w:szCs w:val="18"/>
                <w:lang w:eastAsia="en-US" w:bidi="en-US"/>
              </w:rPr>
              <w:t xml:space="preserve">repared/updated and adopted </w:t>
            </w:r>
            <w:r w:rsidR="00346A24" w:rsidRPr="007C4D65">
              <w:rPr>
                <w:rFonts w:asciiTheme="minorHAnsi" w:eastAsiaTheme="minorHAnsi" w:hAnsiTheme="minorHAnsi" w:cstheme="minorHAnsi"/>
                <w:sz w:val="18"/>
                <w:szCs w:val="18"/>
                <w:lang w:eastAsia="en-US" w:bidi="en-US"/>
              </w:rPr>
              <w:t>(2027)</w:t>
            </w:r>
          </w:p>
        </w:tc>
      </w:tr>
      <w:tr w:rsidR="00346A24" w:rsidRPr="007C4D65" w14:paraId="080996A2" w14:textId="77777777" w:rsidTr="00B6017F">
        <w:trPr>
          <w:trHeight w:val="567"/>
        </w:trPr>
        <w:tc>
          <w:tcPr>
            <w:tcW w:w="1359" w:type="pct"/>
            <w:shd w:val="clear" w:color="auto" w:fill="009D73"/>
            <w:vAlign w:val="center"/>
          </w:tcPr>
          <w:p w14:paraId="4EB7FBA8" w14:textId="77777777" w:rsidR="00346A24" w:rsidRPr="007C4D65" w:rsidRDefault="00346A24" w:rsidP="00346A24">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shd w:val="clear" w:color="auto" w:fill="FFFFFF"/>
            <w:vAlign w:val="center"/>
          </w:tcPr>
          <w:p w14:paraId="033E4C81" w14:textId="0A7C0231" w:rsidR="00346A24" w:rsidRPr="007C4D65" w:rsidRDefault="00BB46CF" w:rsidP="00346A24">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environmental management through better access to data which facilitates evidence-based and analysis-based policy making in the future</w:t>
            </w:r>
          </w:p>
        </w:tc>
      </w:tr>
      <w:tr w:rsidR="00346A24" w:rsidRPr="007C4D65" w14:paraId="365B308E"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2E466F2" w14:textId="58B9E1A2" w:rsidR="00346A24" w:rsidRPr="007C4D65" w:rsidRDefault="00963086" w:rsidP="00346A24">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r w:rsidR="00346A24" w:rsidRPr="007C4D65">
              <w:rPr>
                <w:rFonts w:asciiTheme="minorHAnsi" w:eastAsiaTheme="minorHAnsi" w:hAnsiTheme="minorHAnsi" w:cstheme="minorHAnsi"/>
                <w:b/>
                <w:color w:val="FFFFFF" w:themeColor="background1"/>
                <w:sz w:val="18"/>
                <w:szCs w:val="18"/>
                <w:lang w:eastAsia="en-US"/>
              </w:rPr>
              <w:t xml:space="preserve"> </w:t>
            </w:r>
          </w:p>
        </w:tc>
        <w:tc>
          <w:tcPr>
            <w:tcW w:w="3641" w:type="pct"/>
            <w:gridSpan w:val="3"/>
            <w:shd w:val="clear" w:color="auto" w:fill="FFFFFF"/>
            <w:vAlign w:val="center"/>
          </w:tcPr>
          <w:p w14:paraId="03D5135E" w14:textId="20C9F4C0" w:rsidR="00BB46CF" w:rsidRPr="007C4D65" w:rsidRDefault="00C224E3" w:rsidP="00BB46CF">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eastAsiaTheme="minorHAnsi" w:hAnsiTheme="minorHAnsi" w:cstheme="minorHAnsi"/>
                <w:bCs/>
                <w:sz w:val="18"/>
                <w:szCs w:val="18"/>
                <w:lang w:eastAsia="en-US" w:bidi="en-US"/>
              </w:rPr>
              <w:t xml:space="preserve">Amount: </w:t>
            </w:r>
            <w:r w:rsidR="00BB46CF" w:rsidRPr="007C4D65">
              <w:rPr>
                <w:rFonts w:asciiTheme="minorHAnsi" w:eastAsiaTheme="minorHAnsi" w:hAnsiTheme="minorHAnsi" w:cstheme="minorHAnsi"/>
                <w:bCs/>
                <w:sz w:val="18"/>
                <w:szCs w:val="18"/>
                <w:lang w:eastAsia="en-US" w:bidi="en-US"/>
              </w:rPr>
              <w:t>BAM 229,101</w:t>
            </w:r>
          </w:p>
          <w:p w14:paraId="3F4E352F" w14:textId="7EBF1C19" w:rsidR="00346A24" w:rsidRPr="007C4D65" w:rsidRDefault="009E6B20" w:rsidP="00BB46CF">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eastAsiaTheme="minorHAnsi" w:hAnsiTheme="minorHAnsi" w:cstheme="minorHAnsi"/>
                <w:bCs/>
                <w:sz w:val="18"/>
                <w:szCs w:val="18"/>
                <w:lang w:eastAsia="en-US" w:bidi="en-US"/>
              </w:rPr>
              <w:t xml:space="preserve">Source: </w:t>
            </w:r>
            <w:r w:rsidR="00BB46CF" w:rsidRPr="007C4D65">
              <w:rPr>
                <w:rFonts w:asciiTheme="minorHAnsi" w:eastAsiaTheme="minorHAnsi" w:hAnsiTheme="minorHAnsi" w:cstheme="minorHAnsi"/>
                <w:bCs/>
                <w:sz w:val="18"/>
                <w:szCs w:val="18"/>
                <w:lang w:eastAsia="en-US" w:bidi="en-US"/>
              </w:rPr>
              <w:t xml:space="preserve">20% </w:t>
            </w:r>
            <w:r w:rsidR="000E401F" w:rsidRPr="007C4D65">
              <w:rPr>
                <w:rFonts w:asciiTheme="minorHAnsi" w:eastAsiaTheme="minorHAnsi" w:hAnsiTheme="minorHAnsi" w:cstheme="minorHAnsi"/>
                <w:bCs/>
                <w:sz w:val="18"/>
                <w:szCs w:val="18"/>
                <w:lang w:eastAsia="en-US" w:bidi="en-US"/>
              </w:rPr>
              <w:t xml:space="preserve">government </w:t>
            </w:r>
            <w:proofErr w:type="gramStart"/>
            <w:r w:rsidR="000E401F" w:rsidRPr="007C4D65">
              <w:rPr>
                <w:rFonts w:asciiTheme="minorHAnsi" w:eastAsiaTheme="minorHAnsi" w:hAnsiTheme="minorHAnsi" w:cstheme="minorHAnsi"/>
                <w:bCs/>
                <w:sz w:val="18"/>
                <w:szCs w:val="18"/>
                <w:lang w:eastAsia="en-US" w:bidi="en-US"/>
              </w:rPr>
              <w:t>budget</w:t>
            </w:r>
            <w:r w:rsidR="00C224E3" w:rsidRPr="007C4D65">
              <w:rPr>
                <w:rFonts w:asciiTheme="minorHAnsi" w:eastAsiaTheme="minorHAnsi" w:hAnsiTheme="minorHAnsi" w:cstheme="minorHAnsi"/>
                <w:bCs/>
                <w:sz w:val="18"/>
                <w:szCs w:val="18"/>
                <w:lang w:eastAsia="en-US" w:bidi="en-US"/>
              </w:rPr>
              <w:t xml:space="preserve"> </w:t>
            </w:r>
            <w:r w:rsidR="00BB46CF" w:rsidRPr="007C4D65">
              <w:rPr>
                <w:rFonts w:asciiTheme="minorHAnsi" w:eastAsiaTheme="minorHAnsi" w:hAnsiTheme="minorHAnsi" w:cstheme="minorHAnsi"/>
                <w:bCs/>
                <w:sz w:val="18"/>
                <w:szCs w:val="18"/>
                <w:lang w:eastAsia="en-US" w:bidi="en-US"/>
              </w:rPr>
              <w:t>,</w:t>
            </w:r>
            <w:proofErr w:type="gramEnd"/>
            <w:r w:rsidR="00BB46CF" w:rsidRPr="007C4D65">
              <w:rPr>
                <w:rFonts w:asciiTheme="minorHAnsi" w:eastAsiaTheme="minorHAnsi" w:hAnsiTheme="minorHAnsi" w:cstheme="minorHAnsi"/>
                <w:bCs/>
                <w:sz w:val="18"/>
                <w:szCs w:val="18"/>
                <w:lang w:eastAsia="en-US" w:bidi="en-US"/>
              </w:rPr>
              <w:t xml:space="preserve"> 80% </w:t>
            </w:r>
            <w:r w:rsidR="00C224E3" w:rsidRPr="007C4D65">
              <w:rPr>
                <w:rFonts w:asciiTheme="minorHAnsi" w:eastAsiaTheme="minorHAnsi" w:hAnsiTheme="minorHAnsi" w:cstheme="minorHAnsi"/>
                <w:bCs/>
                <w:sz w:val="18"/>
                <w:szCs w:val="18"/>
                <w:lang w:eastAsia="en-US" w:bidi="en-US"/>
              </w:rPr>
              <w:t>funds from EU and other international donors</w:t>
            </w:r>
          </w:p>
        </w:tc>
      </w:tr>
      <w:tr w:rsidR="00346A24" w:rsidRPr="007C4D65" w14:paraId="27C645F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63628150" w14:textId="77777777" w:rsidR="00346A24" w:rsidRPr="007C4D65" w:rsidRDefault="00346A24" w:rsidP="00346A24">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shd w:val="clear" w:color="auto" w:fill="FFFFFF"/>
            <w:vAlign w:val="center"/>
          </w:tcPr>
          <w:p w14:paraId="5507D013" w14:textId="77777777" w:rsidR="00346A24" w:rsidRPr="007C4D65" w:rsidRDefault="00346A24" w:rsidP="00346A24">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2027</w:t>
            </w:r>
          </w:p>
        </w:tc>
      </w:tr>
      <w:tr w:rsidR="00346A24" w:rsidRPr="007C4D65" w14:paraId="799C720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C76DF22" w14:textId="77777777" w:rsidR="00346A24" w:rsidRPr="007C4D65" w:rsidRDefault="00346A24" w:rsidP="00346A24">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shd w:val="clear" w:color="auto" w:fill="FFFFFF"/>
            <w:vAlign w:val="center"/>
          </w:tcPr>
          <w:p w14:paraId="775B0359" w14:textId="0062A976" w:rsidR="00346A24" w:rsidRPr="007C4D65" w:rsidRDefault="001E6E20" w:rsidP="00346A24">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346A24" w:rsidRPr="007C4D65">
              <w:rPr>
                <w:rFonts w:asciiTheme="minorHAnsi" w:eastAsia="Calibri" w:hAnsiTheme="minorHAnsi" w:cstheme="minorHAnsi"/>
                <w:sz w:val="18"/>
                <w:szCs w:val="18"/>
                <w:lang w:eastAsia="en-US"/>
              </w:rPr>
              <w:t xml:space="preserve"> of Environment and Tourism</w:t>
            </w:r>
          </w:p>
        </w:tc>
      </w:tr>
      <w:tr w:rsidR="00346A24" w:rsidRPr="007C4D65" w14:paraId="53E57D34"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01CF6AC3" w14:textId="77777777" w:rsidR="00346A24" w:rsidRPr="007C4D65" w:rsidRDefault="00346A24" w:rsidP="00346A24">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shd w:val="clear" w:color="auto" w:fill="FFFFFF"/>
            <w:vAlign w:val="center"/>
          </w:tcPr>
          <w:p w14:paraId="0D3F63D4" w14:textId="04A5EDB0" w:rsidR="00346A24" w:rsidRPr="007C4D65" w:rsidRDefault="001E6E20" w:rsidP="00346A24">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346A24" w:rsidRPr="007C4D65">
              <w:rPr>
                <w:rFonts w:asciiTheme="minorHAnsi" w:eastAsia="Calibri" w:hAnsiTheme="minorHAnsi" w:cstheme="minorHAnsi"/>
                <w:sz w:val="18"/>
                <w:szCs w:val="18"/>
                <w:lang w:eastAsia="en-US"/>
              </w:rPr>
              <w:t xml:space="preserve"> of Environment and Tourism</w:t>
            </w:r>
            <w:r w:rsidR="00346A24" w:rsidRPr="007C4D65">
              <w:rPr>
                <w:rFonts w:asciiTheme="minorHAnsi" w:eastAsiaTheme="minorHAnsi" w:hAnsiTheme="minorHAnsi" w:cstheme="minorHAnsi"/>
                <w:sz w:val="18"/>
                <w:szCs w:val="18"/>
                <w:lang w:eastAsia="en-US" w:bidi="en-US"/>
              </w:rPr>
              <w:t xml:space="preserve"> and other </w:t>
            </w:r>
            <w:r w:rsidR="00BB46CF" w:rsidRPr="007C4D65">
              <w:rPr>
                <w:rFonts w:asciiTheme="minorHAnsi" w:eastAsiaTheme="minorHAnsi" w:hAnsiTheme="minorHAnsi" w:cstheme="minorHAnsi"/>
                <w:sz w:val="18"/>
                <w:szCs w:val="18"/>
                <w:lang w:eastAsia="en-US" w:bidi="en-US"/>
              </w:rPr>
              <w:t>competent</w:t>
            </w:r>
            <w:r w:rsidR="00346A24" w:rsidRPr="007C4D65">
              <w:rPr>
                <w:rFonts w:asciiTheme="minorHAnsi" w:eastAsiaTheme="minorHAnsi" w:hAnsiTheme="minorHAnsi" w:cstheme="minorHAnsi"/>
                <w:sz w:val="18"/>
                <w:szCs w:val="18"/>
                <w:lang w:eastAsia="en-US" w:bidi="en-US"/>
              </w:rPr>
              <w:t xml:space="preserve"> ministries</w:t>
            </w:r>
          </w:p>
        </w:tc>
      </w:tr>
      <w:tr w:rsidR="00346A24" w:rsidRPr="007C4D65" w14:paraId="11D1496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60125C6" w14:textId="29D92A4D" w:rsidR="00346A24" w:rsidRPr="007C4D65" w:rsidRDefault="00963086" w:rsidP="00346A24">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shd w:val="clear" w:color="auto" w:fill="FFFFFF"/>
            <w:vAlign w:val="center"/>
          </w:tcPr>
          <w:p w14:paraId="1512EB15" w14:textId="3C164A90" w:rsidR="00346A24" w:rsidRPr="007C4D65" w:rsidRDefault="00346A24" w:rsidP="00346A24">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Institutions which monitor environmental parameters</w:t>
            </w:r>
          </w:p>
        </w:tc>
      </w:tr>
    </w:tbl>
    <w:p w14:paraId="73894808" w14:textId="77777777"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5"/>
        <w:gridCol w:w="3492"/>
        <w:gridCol w:w="3242"/>
        <w:gridCol w:w="2762"/>
      </w:tblGrid>
      <w:tr w:rsidR="00BB46CF" w:rsidRPr="007C4D65" w14:paraId="2019AF29" w14:textId="77777777" w:rsidTr="00B6017F">
        <w:trPr>
          <w:trHeight w:val="567"/>
        </w:trPr>
        <w:tc>
          <w:tcPr>
            <w:tcW w:w="1359" w:type="pct"/>
            <w:shd w:val="clear" w:color="auto" w:fill="009D73"/>
            <w:vAlign w:val="center"/>
          </w:tcPr>
          <w:p w14:paraId="39C6B5FD"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 xml:space="preserve">Link with strategic goal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2793CAE" w14:textId="787E1F4E" w:rsidR="00BB46CF" w:rsidRPr="007C4D65" w:rsidRDefault="00BB46CF" w:rsidP="00BB46CF">
            <w:pPr>
              <w:spacing w:after="160" w:line="259"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7. Strengthening environmental management</w:t>
            </w:r>
          </w:p>
        </w:tc>
      </w:tr>
      <w:tr w:rsidR="00BB46CF" w:rsidRPr="007C4D65" w14:paraId="23F9909B" w14:textId="77777777" w:rsidTr="00B6017F">
        <w:trPr>
          <w:trHeight w:val="567"/>
        </w:trPr>
        <w:tc>
          <w:tcPr>
            <w:tcW w:w="1359" w:type="pct"/>
            <w:shd w:val="clear" w:color="auto" w:fill="009D73"/>
            <w:vAlign w:val="center"/>
          </w:tcPr>
          <w:p w14:paraId="14618A78"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D9DA616" w14:textId="52133D66" w:rsidR="00BB46CF" w:rsidRPr="007C4D65" w:rsidRDefault="00BB46CF" w:rsidP="00BB46CF">
            <w:pPr>
              <w:spacing w:after="160" w:line="276" w:lineRule="auto"/>
              <w:rPr>
                <w:rFonts w:asciiTheme="minorHAnsi" w:hAnsiTheme="minorHAnsi" w:cstheme="minorHAnsi"/>
                <w:b/>
                <w:bCs/>
                <w:sz w:val="18"/>
                <w:szCs w:val="18"/>
                <w:lang w:eastAsia="zh-TW"/>
              </w:rPr>
            </w:pPr>
            <w:r w:rsidRPr="007C4D65">
              <w:rPr>
                <w:rFonts w:asciiTheme="minorHAnsi" w:hAnsiTheme="minorHAnsi" w:cstheme="minorHAnsi"/>
                <w:b/>
                <w:bCs/>
                <w:sz w:val="18"/>
                <w:szCs w:val="18"/>
                <w:lang w:eastAsia="zh-TW"/>
              </w:rPr>
              <w:t xml:space="preserve">7.5 </w:t>
            </w:r>
            <w:r w:rsidRPr="007C4D65">
              <w:rPr>
                <w:rFonts w:asciiTheme="minorHAnsi" w:eastAsia="Calibri" w:hAnsiTheme="minorHAnsi" w:cstheme="minorHAnsi"/>
                <w:b/>
                <w:bCs/>
                <w:sz w:val="18"/>
                <w:szCs w:val="18"/>
                <w:lang w:eastAsia="en-US"/>
              </w:rPr>
              <w:t>Set up an efficient system for record keeping and transparent reporting of environmental data in the Federation of BiH, in consultation with the Partnership 27</w:t>
            </w:r>
          </w:p>
        </w:tc>
      </w:tr>
      <w:tr w:rsidR="00BB46CF" w:rsidRPr="007C4D65" w14:paraId="2E45F07E" w14:textId="77777777" w:rsidTr="00B6017F">
        <w:trPr>
          <w:trHeight w:val="567"/>
        </w:trPr>
        <w:tc>
          <w:tcPr>
            <w:tcW w:w="1359" w:type="pct"/>
            <w:shd w:val="clear" w:color="auto" w:fill="009D73"/>
            <w:vAlign w:val="center"/>
          </w:tcPr>
          <w:p w14:paraId="382D5277" w14:textId="7ACE2D50"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1D89E83" w14:textId="581E174F" w:rsidR="00BB46CF" w:rsidRPr="007C4D65" w:rsidRDefault="00BB46CF" w:rsidP="00BB46CF">
            <w:pPr>
              <w:spacing w:after="160" w:line="276" w:lineRule="auto"/>
              <w:rPr>
                <w:rFonts w:asciiTheme="minorHAnsi" w:eastAsia="Calibri" w:hAnsiTheme="minorHAnsi" w:cstheme="minorHAnsi"/>
                <w:b/>
                <w:sz w:val="18"/>
                <w:szCs w:val="18"/>
                <w:lang w:eastAsia="x-none"/>
              </w:rPr>
            </w:pPr>
            <w:r w:rsidRPr="007C4D65">
              <w:rPr>
                <w:rFonts w:asciiTheme="minorHAnsi" w:eastAsia="Calibri" w:hAnsiTheme="minorHAnsi" w:cstheme="minorHAnsi"/>
                <w:b/>
                <w:sz w:val="18"/>
                <w:szCs w:val="18"/>
                <w:lang w:eastAsia="x-none"/>
              </w:rPr>
              <w:t xml:space="preserve">7.5.2 </w:t>
            </w:r>
            <w:r w:rsidRPr="007C4D65">
              <w:rPr>
                <w:rFonts w:asciiTheme="minorHAnsi" w:eastAsia="Calibri" w:hAnsiTheme="minorHAnsi" w:cstheme="minorHAnsi"/>
                <w:b/>
                <w:bCs/>
                <w:sz w:val="18"/>
                <w:szCs w:val="18"/>
                <w:lang w:eastAsia="en-US"/>
              </w:rPr>
              <w:t xml:space="preserve">Build an effective integrated information system for environmental management </w:t>
            </w:r>
            <w:r w:rsidR="007436F1" w:rsidRPr="007C4D65">
              <w:rPr>
                <w:rFonts w:asciiTheme="minorHAnsi" w:eastAsia="Calibri" w:hAnsiTheme="minorHAnsi" w:cstheme="minorHAnsi"/>
                <w:b/>
                <w:bCs/>
                <w:sz w:val="18"/>
                <w:szCs w:val="18"/>
                <w:lang w:eastAsia="en-US"/>
              </w:rPr>
              <w:t>in the Federation of BiH</w:t>
            </w:r>
          </w:p>
        </w:tc>
      </w:tr>
      <w:tr w:rsidR="00BB46CF" w:rsidRPr="007C4D65" w14:paraId="20B0B1B5"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C27D0A3" w14:textId="77777777" w:rsidR="00BB46CF" w:rsidRPr="007C4D65" w:rsidRDefault="00BB46CF" w:rsidP="00BB46CF">
            <w:pPr>
              <w:spacing w:before="40" w:after="40" w:line="276" w:lineRule="auto"/>
              <w:contextualSpacing/>
              <w:jc w:val="both"/>
              <w:rPr>
                <w:rFonts w:asciiTheme="minorHAnsi" w:eastAsia="Calibri" w:hAnsiTheme="minorHAnsi" w:cstheme="minorHAnsi"/>
                <w:sz w:val="18"/>
                <w:szCs w:val="18"/>
                <w:lang w:eastAsia="en-US"/>
              </w:rPr>
            </w:pPr>
            <w:r w:rsidRPr="007C4D65">
              <w:rPr>
                <w:rFonts w:asciiTheme="minorHAnsi" w:eastAsia="Calibri" w:hAnsiTheme="minorHAnsi" w:cstheme="minorHAnsi"/>
                <w:b/>
                <w:bCs/>
                <w:color w:val="FFFFFF"/>
                <w:sz w:val="18"/>
                <w:szCs w:val="18"/>
                <w:lang w:eastAsia="en-US" w:bidi="en-US"/>
              </w:rPr>
              <w:t>Description of the measure with the general area of intervention</w:t>
            </w:r>
          </w:p>
          <w:p w14:paraId="2E7BE644"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23D8B81" w14:textId="345C8CF4" w:rsidR="00BB46CF" w:rsidRPr="007C4D65" w:rsidRDefault="00BB46CF" w:rsidP="00BB46CF">
            <w:pPr>
              <w:spacing w:after="160" w:line="276" w:lineRule="auto"/>
              <w:jc w:val="both"/>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to establish </w:t>
            </w:r>
            <w:r w:rsidR="0067107B" w:rsidRPr="007C4D65">
              <w:rPr>
                <w:rFonts w:asciiTheme="minorHAnsi" w:eastAsia="Calibri" w:hAnsiTheme="minorHAnsi" w:cstheme="minorHAnsi"/>
                <w:sz w:val="18"/>
                <w:szCs w:val="18"/>
                <w:lang w:eastAsia="en-US"/>
              </w:rPr>
              <w:t>an effective</w:t>
            </w:r>
            <w:r w:rsidRPr="007C4D65">
              <w:rPr>
                <w:rFonts w:asciiTheme="minorHAnsi" w:eastAsia="Calibri" w:hAnsiTheme="minorHAnsi" w:cstheme="minorHAnsi"/>
                <w:sz w:val="18"/>
                <w:szCs w:val="18"/>
                <w:lang w:eastAsia="en-US"/>
              </w:rPr>
              <w:t xml:space="preserve">, integrated system </w:t>
            </w:r>
            <w:r w:rsidR="0067107B" w:rsidRPr="007C4D65">
              <w:rPr>
                <w:rFonts w:asciiTheme="minorHAnsi" w:eastAsia="Calibri" w:hAnsiTheme="minorHAnsi" w:cstheme="minorHAnsi"/>
                <w:sz w:val="18"/>
                <w:szCs w:val="18"/>
                <w:lang w:eastAsia="en-US"/>
              </w:rPr>
              <w:t>for</w:t>
            </w:r>
            <w:r w:rsidRPr="007C4D65">
              <w:rPr>
                <w:rFonts w:asciiTheme="minorHAnsi" w:eastAsia="Calibri" w:hAnsiTheme="minorHAnsi" w:cstheme="minorHAnsi"/>
                <w:sz w:val="18"/>
                <w:szCs w:val="18"/>
                <w:lang w:eastAsia="en-US"/>
              </w:rPr>
              <w:t xml:space="preserve"> monitoring, collection and reporting of environmental data </w:t>
            </w:r>
            <w:proofErr w:type="gramStart"/>
            <w:r w:rsidRPr="007C4D65">
              <w:rPr>
                <w:rFonts w:asciiTheme="minorHAnsi" w:eastAsia="Calibri" w:hAnsiTheme="minorHAnsi" w:cstheme="minorHAnsi"/>
                <w:sz w:val="18"/>
                <w:szCs w:val="18"/>
                <w:lang w:eastAsia="en-US"/>
              </w:rPr>
              <w:t>in order to</w:t>
            </w:r>
            <w:proofErr w:type="gramEnd"/>
            <w:r w:rsidRPr="007C4D65">
              <w:rPr>
                <w:rFonts w:asciiTheme="minorHAnsi" w:eastAsia="Calibri" w:hAnsiTheme="minorHAnsi" w:cstheme="minorHAnsi"/>
                <w:sz w:val="18"/>
                <w:szCs w:val="18"/>
                <w:lang w:eastAsia="en-US"/>
              </w:rPr>
              <w:t xml:space="preserve"> ensure efficient and effective reporting in accordance with the international standards and agreements.</w:t>
            </w:r>
          </w:p>
          <w:p w14:paraId="6E1DB4AB" w14:textId="77777777" w:rsidR="00BB46CF" w:rsidRPr="007C4D65" w:rsidRDefault="00BB46CF" w:rsidP="00BB46CF">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General areas of intervention</w:t>
            </w:r>
            <w:r w:rsidRPr="007C4D65">
              <w:rPr>
                <w:rFonts w:asciiTheme="minorHAnsi" w:eastAsia="Calibri" w:hAnsiTheme="minorHAnsi" w:cstheme="minorHAnsi"/>
                <w:sz w:val="18"/>
                <w:szCs w:val="18"/>
                <w:lang w:eastAsia="x-none"/>
              </w:rPr>
              <w:t>:</w:t>
            </w:r>
          </w:p>
          <w:p w14:paraId="04A8F80A" w14:textId="6661E7E7" w:rsidR="00BB46CF" w:rsidRPr="007C4D65" w:rsidRDefault="0067107B" w:rsidP="0067107B">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1) E</w:t>
            </w:r>
            <w:r w:rsidR="00BB46CF" w:rsidRPr="007C4D65">
              <w:rPr>
                <w:rFonts w:asciiTheme="minorHAnsi" w:eastAsia="Calibri" w:hAnsiTheme="minorHAnsi" w:cstheme="minorHAnsi"/>
                <w:sz w:val="18"/>
                <w:szCs w:val="18"/>
                <w:lang w:eastAsia="x-none"/>
              </w:rPr>
              <w:t xml:space="preserve">stablishment of </w:t>
            </w:r>
            <w:r w:rsidRPr="007C4D65">
              <w:rPr>
                <w:rFonts w:asciiTheme="minorHAnsi" w:eastAsia="Calibri" w:hAnsiTheme="minorHAnsi" w:cstheme="minorHAnsi"/>
                <w:sz w:val="18"/>
                <w:szCs w:val="18"/>
                <w:lang w:eastAsia="x-none"/>
              </w:rPr>
              <w:t xml:space="preserve">a </w:t>
            </w:r>
            <w:r w:rsidR="00BB46CF" w:rsidRPr="007C4D65">
              <w:rPr>
                <w:rFonts w:asciiTheme="minorHAnsi" w:eastAsia="Calibri" w:hAnsiTheme="minorHAnsi" w:cstheme="minorHAnsi"/>
                <w:sz w:val="18"/>
                <w:szCs w:val="18"/>
                <w:lang w:eastAsia="x-none"/>
              </w:rPr>
              <w:t xml:space="preserve">single environmental information system pursuant to the Law on Environmental Protection  </w:t>
            </w:r>
          </w:p>
          <w:p w14:paraId="61404B1B" w14:textId="6A80C00C" w:rsidR="00BB46CF" w:rsidRPr="007C4D65" w:rsidRDefault="0067107B" w:rsidP="0067107B">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lastRenderedPageBreak/>
              <w:t>2) A</w:t>
            </w:r>
            <w:r w:rsidR="00BB46CF" w:rsidRPr="007C4D65">
              <w:rPr>
                <w:rFonts w:asciiTheme="minorHAnsi" w:eastAsia="Calibri" w:hAnsiTheme="minorHAnsi" w:cstheme="minorHAnsi"/>
                <w:sz w:val="18"/>
                <w:szCs w:val="18"/>
                <w:lang w:eastAsia="x-none"/>
              </w:rPr>
              <w:t>ccording to the obligations of BiH to report to international organizations</w:t>
            </w:r>
            <w:r w:rsidRPr="007C4D65">
              <w:rPr>
                <w:rFonts w:asciiTheme="minorHAnsi" w:eastAsia="Calibri" w:hAnsiTheme="minorHAnsi" w:cstheme="minorHAnsi"/>
                <w:sz w:val="18"/>
                <w:szCs w:val="18"/>
                <w:lang w:eastAsia="x-none"/>
              </w:rPr>
              <w:t>,</w:t>
            </w:r>
            <w:r w:rsidR="00BB46CF" w:rsidRPr="007C4D65">
              <w:rPr>
                <w:rFonts w:asciiTheme="minorHAnsi" w:eastAsia="Calibri" w:hAnsiTheme="minorHAnsi" w:cstheme="minorHAnsi"/>
                <w:sz w:val="18"/>
                <w:szCs w:val="18"/>
                <w:lang w:eastAsia="x-none"/>
              </w:rPr>
              <w:t xml:space="preserve"> and in cooperation with the </w:t>
            </w:r>
            <w:r w:rsidR="00BB46CF" w:rsidRPr="007C4D65">
              <w:rPr>
                <w:rFonts w:asciiTheme="minorHAnsi" w:eastAsia="Calibri" w:hAnsiTheme="minorHAnsi" w:cstheme="minorHAnsi"/>
                <w:sz w:val="18"/>
                <w:szCs w:val="18"/>
                <w:lang w:eastAsia="en-US"/>
              </w:rPr>
              <w:t>Ministry for Foreign Trade and Economic Relations of Bosnia and Herzegovina</w:t>
            </w:r>
            <w:r w:rsidR="00BB46CF"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 xml:space="preserve">design and adopt </w:t>
            </w:r>
            <w:r w:rsidR="00830279" w:rsidRPr="007C4D65">
              <w:rPr>
                <w:rFonts w:asciiTheme="minorHAnsi" w:eastAsia="Calibri" w:hAnsiTheme="minorHAnsi" w:cstheme="minorHAnsi"/>
                <w:sz w:val="18"/>
                <w:szCs w:val="18"/>
                <w:lang w:eastAsia="x-none"/>
              </w:rPr>
              <w:t>an</w:t>
            </w:r>
            <w:r w:rsidR="00BB46CF"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 xml:space="preserve">environmental </w:t>
            </w:r>
            <w:r w:rsidR="00BB46CF" w:rsidRPr="007C4D65">
              <w:rPr>
                <w:rFonts w:asciiTheme="minorHAnsi" w:eastAsia="Calibri" w:hAnsiTheme="minorHAnsi" w:cstheme="minorHAnsi"/>
                <w:sz w:val="18"/>
                <w:szCs w:val="18"/>
                <w:lang w:eastAsia="x-none"/>
              </w:rPr>
              <w:t xml:space="preserve">data exchange methodology in the Federation of </w:t>
            </w:r>
            <w:r w:rsidRPr="007C4D65">
              <w:rPr>
                <w:rFonts w:asciiTheme="minorHAnsi" w:eastAsia="Calibri" w:hAnsiTheme="minorHAnsi" w:cstheme="minorHAnsi"/>
                <w:sz w:val="18"/>
                <w:szCs w:val="18"/>
                <w:lang w:eastAsia="x-none"/>
              </w:rPr>
              <w:t>BiH</w:t>
            </w:r>
            <w:r w:rsidR="00BB46CF" w:rsidRPr="007C4D65">
              <w:rPr>
                <w:rFonts w:asciiTheme="minorHAnsi" w:eastAsia="Calibri" w:hAnsiTheme="minorHAnsi" w:cstheme="minorHAnsi"/>
                <w:sz w:val="18"/>
                <w:szCs w:val="18"/>
                <w:lang w:eastAsia="x-none"/>
              </w:rPr>
              <w:t xml:space="preserve">, which is harmonized with reporting obligations of Bosnia and Herzegovina and regulations on </w:t>
            </w:r>
            <w:r w:rsidR="00707379" w:rsidRPr="007C4D65">
              <w:rPr>
                <w:rFonts w:asciiTheme="minorHAnsi" w:eastAsia="Calibri" w:hAnsiTheme="minorHAnsi" w:cstheme="minorHAnsi"/>
                <w:sz w:val="18"/>
                <w:szCs w:val="18"/>
                <w:lang w:eastAsia="x-none"/>
              </w:rPr>
              <w:t xml:space="preserve">the </w:t>
            </w:r>
            <w:r w:rsidR="00BB46CF" w:rsidRPr="007C4D65">
              <w:rPr>
                <w:rFonts w:asciiTheme="minorHAnsi" w:eastAsia="Calibri" w:hAnsiTheme="minorHAnsi" w:cstheme="minorHAnsi"/>
                <w:sz w:val="18"/>
                <w:szCs w:val="18"/>
                <w:lang w:eastAsia="x-none"/>
              </w:rPr>
              <w:t>establishment of environmental information systems in the Federation of BiH (spatial planning, biodiversity, water quality, waste etc.). Drafting of the methodology includes:</w:t>
            </w:r>
          </w:p>
          <w:p w14:paraId="7A8E42D7" w14:textId="09B63AA2" w:rsidR="00BB46CF" w:rsidRPr="007C4D65" w:rsidRDefault="00BB46CF">
            <w:pPr>
              <w:numPr>
                <w:ilvl w:val="0"/>
                <w:numId w:val="168"/>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selection of sets of environmental parameters harmonized with the international methodologies for which data have to be </w:t>
            </w:r>
            <w:proofErr w:type="gramStart"/>
            <w:r w:rsidRPr="007C4D65">
              <w:rPr>
                <w:rFonts w:asciiTheme="minorHAnsi" w:eastAsia="Calibri" w:hAnsiTheme="minorHAnsi" w:cstheme="minorHAnsi"/>
                <w:sz w:val="18"/>
                <w:szCs w:val="18"/>
                <w:lang w:eastAsia="x-none"/>
              </w:rPr>
              <w:t>collected</w:t>
            </w:r>
            <w:r w:rsidR="00582D43" w:rsidRPr="007C4D65">
              <w:rPr>
                <w:rFonts w:asciiTheme="minorHAnsi" w:eastAsia="Calibri" w:hAnsiTheme="minorHAnsi" w:cstheme="minorHAnsi"/>
                <w:sz w:val="18"/>
                <w:szCs w:val="18"/>
                <w:lang w:eastAsia="x-none"/>
              </w:rPr>
              <w:t>;</w:t>
            </w:r>
            <w:proofErr w:type="gramEnd"/>
          </w:p>
          <w:p w14:paraId="3EA731DC" w14:textId="63C34199" w:rsidR="00BB46CF" w:rsidRPr="007C4D65" w:rsidRDefault="00BB46CF">
            <w:pPr>
              <w:numPr>
                <w:ilvl w:val="0"/>
                <w:numId w:val="168"/>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 </w:t>
            </w:r>
            <w:r w:rsidR="00707379" w:rsidRPr="007C4D65">
              <w:rPr>
                <w:rFonts w:asciiTheme="minorHAnsi" w:eastAsia="Calibri" w:hAnsiTheme="minorHAnsi" w:cstheme="minorHAnsi"/>
                <w:sz w:val="18"/>
                <w:szCs w:val="18"/>
                <w:lang w:eastAsia="x-none"/>
              </w:rPr>
              <w:t xml:space="preserve">method of </w:t>
            </w:r>
            <w:r w:rsidRPr="007C4D65">
              <w:rPr>
                <w:rFonts w:asciiTheme="minorHAnsi" w:eastAsia="Calibri" w:hAnsiTheme="minorHAnsi" w:cstheme="minorHAnsi"/>
                <w:sz w:val="18"/>
                <w:szCs w:val="18"/>
                <w:lang w:eastAsia="x-none"/>
              </w:rPr>
              <w:t>data exchange among</w:t>
            </w:r>
            <w:r w:rsidR="00707379" w:rsidRPr="007C4D65">
              <w:rPr>
                <w:rFonts w:asciiTheme="minorHAnsi" w:eastAsia="Calibri" w:hAnsiTheme="minorHAnsi" w:cstheme="minorHAnsi"/>
                <w:sz w:val="18"/>
                <w:szCs w:val="18"/>
                <w:lang w:eastAsia="x-none"/>
              </w:rPr>
              <w:t xml:space="preserve"> the</w:t>
            </w:r>
            <w:r w:rsidRPr="007C4D65">
              <w:rPr>
                <w:rFonts w:asciiTheme="minorHAnsi" w:eastAsia="Calibri" w:hAnsiTheme="minorHAnsi" w:cstheme="minorHAnsi"/>
                <w:sz w:val="18"/>
                <w:szCs w:val="18"/>
                <w:lang w:eastAsia="x-none"/>
              </w:rPr>
              <w:t xml:space="preserve"> </w:t>
            </w:r>
            <w:proofErr w:type="gramStart"/>
            <w:r w:rsidRPr="007C4D65">
              <w:rPr>
                <w:rFonts w:asciiTheme="minorHAnsi" w:eastAsia="Calibri" w:hAnsiTheme="minorHAnsi" w:cstheme="minorHAnsi"/>
                <w:sz w:val="18"/>
                <w:szCs w:val="18"/>
                <w:lang w:eastAsia="x-none"/>
              </w:rPr>
              <w:t>institutions</w:t>
            </w:r>
            <w:r w:rsidR="00582D43" w:rsidRPr="007C4D65">
              <w:rPr>
                <w:rFonts w:asciiTheme="minorHAnsi" w:eastAsia="Calibri" w:hAnsiTheme="minorHAnsi" w:cstheme="minorHAnsi"/>
                <w:sz w:val="18"/>
                <w:szCs w:val="18"/>
                <w:lang w:eastAsia="x-none"/>
              </w:rPr>
              <w:t>;</w:t>
            </w:r>
            <w:proofErr w:type="gramEnd"/>
          </w:p>
          <w:p w14:paraId="2F309339" w14:textId="54B884A4" w:rsidR="00BB46CF" w:rsidRPr="007C4D65" w:rsidRDefault="00707379">
            <w:pPr>
              <w:numPr>
                <w:ilvl w:val="0"/>
                <w:numId w:val="168"/>
              </w:num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modality</w:t>
            </w:r>
            <w:r w:rsidR="00BB46CF" w:rsidRPr="007C4D65">
              <w:rPr>
                <w:rFonts w:asciiTheme="minorHAnsi" w:eastAsia="Calibri" w:hAnsiTheme="minorHAnsi" w:cstheme="minorHAnsi"/>
                <w:sz w:val="18"/>
                <w:szCs w:val="18"/>
                <w:lang w:eastAsia="x-none"/>
              </w:rPr>
              <w:t xml:space="preserve"> to ensure open access to </w:t>
            </w:r>
            <w:proofErr w:type="gramStart"/>
            <w:r w:rsidR="00BB46CF" w:rsidRPr="007C4D65">
              <w:rPr>
                <w:rFonts w:asciiTheme="minorHAnsi" w:eastAsia="Calibri" w:hAnsiTheme="minorHAnsi" w:cstheme="minorHAnsi"/>
                <w:sz w:val="18"/>
                <w:szCs w:val="18"/>
                <w:lang w:eastAsia="x-none"/>
              </w:rPr>
              <w:t>data</w:t>
            </w:r>
            <w:r w:rsidR="00582D43" w:rsidRPr="007C4D65">
              <w:rPr>
                <w:rFonts w:asciiTheme="minorHAnsi" w:eastAsia="Calibri" w:hAnsiTheme="minorHAnsi" w:cstheme="minorHAnsi"/>
                <w:sz w:val="18"/>
                <w:szCs w:val="18"/>
                <w:lang w:eastAsia="x-none"/>
              </w:rPr>
              <w:t>;</w:t>
            </w:r>
            <w:proofErr w:type="gramEnd"/>
          </w:p>
          <w:p w14:paraId="758CC46D" w14:textId="3F98FEA8" w:rsidR="00BB46CF" w:rsidRPr="007C4D65" w:rsidRDefault="00707379" w:rsidP="00707379">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3) </w:t>
            </w:r>
            <w:r w:rsidR="00BB46CF" w:rsidRPr="007C4D65">
              <w:rPr>
                <w:rFonts w:asciiTheme="minorHAnsi" w:eastAsia="Calibri" w:hAnsiTheme="minorHAnsi" w:cstheme="minorHAnsi"/>
                <w:sz w:val="18"/>
                <w:szCs w:val="18"/>
                <w:lang w:eastAsia="x-none"/>
              </w:rPr>
              <w:t xml:space="preserve">formalizing environmental data exchange procedures in the Federation of BiH based on the adopted </w:t>
            </w:r>
            <w:proofErr w:type="gramStart"/>
            <w:r w:rsidR="00BB46CF" w:rsidRPr="007C4D65">
              <w:rPr>
                <w:rFonts w:asciiTheme="minorHAnsi" w:eastAsia="Calibri" w:hAnsiTheme="minorHAnsi" w:cstheme="minorHAnsi"/>
                <w:sz w:val="18"/>
                <w:szCs w:val="18"/>
                <w:lang w:eastAsia="x-none"/>
              </w:rPr>
              <w:t>methodology</w:t>
            </w:r>
            <w:r w:rsidR="00582D43" w:rsidRPr="007C4D65">
              <w:rPr>
                <w:rFonts w:asciiTheme="minorHAnsi" w:eastAsia="Calibri" w:hAnsiTheme="minorHAnsi" w:cstheme="minorHAnsi"/>
                <w:sz w:val="18"/>
                <w:szCs w:val="18"/>
                <w:lang w:eastAsia="x-none"/>
              </w:rPr>
              <w:t>;</w:t>
            </w:r>
            <w:proofErr w:type="gramEnd"/>
          </w:p>
          <w:p w14:paraId="345877D1" w14:textId="6B6E48E6" w:rsidR="00BB46CF" w:rsidRPr="007C4D65" w:rsidRDefault="00707379" w:rsidP="00707379">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4) </w:t>
            </w:r>
            <w:r w:rsidR="00BB46CF" w:rsidRPr="007C4D65">
              <w:rPr>
                <w:rFonts w:asciiTheme="minorHAnsi" w:eastAsia="Calibri" w:hAnsiTheme="minorHAnsi" w:cstheme="minorHAnsi"/>
                <w:sz w:val="18"/>
                <w:szCs w:val="18"/>
                <w:lang w:eastAsia="x-none"/>
              </w:rPr>
              <w:t>strengthening institutional systems for environmental data collection (which are classified by: geographic locations, type of settlement (urban-rural), gender, marginalized groups, income, education and other categories applicable to some types of data)</w:t>
            </w:r>
            <w:r w:rsidR="00582D43" w:rsidRPr="007C4D65">
              <w:rPr>
                <w:rFonts w:asciiTheme="minorHAnsi" w:eastAsia="Calibri" w:hAnsiTheme="minorHAnsi" w:cstheme="minorHAnsi"/>
                <w:sz w:val="18"/>
                <w:szCs w:val="18"/>
                <w:lang w:eastAsia="x-none"/>
              </w:rPr>
              <w:t>.</w:t>
            </w:r>
          </w:p>
          <w:p w14:paraId="40F96E42" w14:textId="00EF7F8B" w:rsidR="00BB46CF" w:rsidRPr="007C4D65" w:rsidRDefault="00707379" w:rsidP="00707379">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5) </w:t>
            </w:r>
            <w:r w:rsidR="00BB46CF" w:rsidRPr="007C4D65">
              <w:rPr>
                <w:rFonts w:asciiTheme="minorHAnsi" w:eastAsia="Calibri" w:hAnsiTheme="minorHAnsi" w:cstheme="minorHAnsi"/>
                <w:sz w:val="18"/>
                <w:szCs w:val="18"/>
                <w:lang w:eastAsia="x-none"/>
              </w:rPr>
              <w:t xml:space="preserve">upgrading environmental data monitoring system on different </w:t>
            </w:r>
            <w:r w:rsidRPr="007C4D65">
              <w:rPr>
                <w:rFonts w:asciiTheme="minorHAnsi" w:eastAsia="Calibri" w:hAnsiTheme="minorHAnsi" w:cstheme="minorHAnsi"/>
                <w:sz w:val="18"/>
                <w:szCs w:val="18"/>
                <w:lang w:eastAsia="x-none"/>
              </w:rPr>
              <w:t>levels</w:t>
            </w:r>
            <w:r w:rsidR="00BB46CF" w:rsidRPr="007C4D65">
              <w:rPr>
                <w:rFonts w:asciiTheme="minorHAnsi" w:eastAsia="Calibri" w:hAnsiTheme="minorHAnsi" w:cstheme="minorHAnsi"/>
                <w:sz w:val="18"/>
                <w:szCs w:val="18"/>
                <w:lang w:eastAsia="x-none"/>
              </w:rPr>
              <w:t xml:space="preserve"> (SDG, EEA, UNECE and </w:t>
            </w:r>
            <w:proofErr w:type="gramStart"/>
            <w:r w:rsidR="00BB46CF" w:rsidRPr="007C4D65">
              <w:rPr>
                <w:rFonts w:asciiTheme="minorHAnsi" w:eastAsia="Calibri" w:hAnsiTheme="minorHAnsi" w:cstheme="minorHAnsi"/>
                <w:sz w:val="18"/>
                <w:szCs w:val="18"/>
                <w:lang w:eastAsia="x-none"/>
              </w:rPr>
              <w:t>etc. )</w:t>
            </w:r>
            <w:proofErr w:type="gramEnd"/>
            <w:r w:rsidR="00BB46CF" w:rsidRPr="007C4D65">
              <w:rPr>
                <w:rFonts w:asciiTheme="minorHAnsi" w:eastAsia="Calibri" w:hAnsiTheme="minorHAnsi" w:cstheme="minorHAnsi"/>
                <w:sz w:val="18"/>
                <w:szCs w:val="18"/>
                <w:lang w:eastAsia="x-none"/>
              </w:rPr>
              <w:t>, with creation of additional indicators and classifications of data which define classification by geographic locations, type of settlement (urban-rural), gender, marginalized groups, income, education and other categories applicable to some types of data)</w:t>
            </w:r>
            <w:r w:rsidR="00582D43" w:rsidRPr="007C4D65">
              <w:rPr>
                <w:rFonts w:asciiTheme="minorHAnsi" w:eastAsia="Calibri" w:hAnsiTheme="minorHAnsi" w:cstheme="minorHAnsi"/>
                <w:sz w:val="18"/>
                <w:szCs w:val="18"/>
                <w:lang w:eastAsia="x-none"/>
              </w:rPr>
              <w:t>;</w:t>
            </w:r>
          </w:p>
          <w:p w14:paraId="3C07B1F1" w14:textId="3C663915" w:rsidR="00BB46CF" w:rsidRPr="007C4D65" w:rsidRDefault="00707379" w:rsidP="00707379">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6) </w:t>
            </w:r>
            <w:r w:rsidR="00BB46CF" w:rsidRPr="007C4D65">
              <w:rPr>
                <w:rFonts w:asciiTheme="minorHAnsi" w:eastAsia="Calibri" w:hAnsiTheme="minorHAnsi" w:cstheme="minorHAnsi"/>
                <w:sz w:val="18"/>
                <w:szCs w:val="18"/>
                <w:lang w:eastAsia="x-none"/>
              </w:rPr>
              <w:t xml:space="preserve">strengthening cooperation with the relevant representatives of </w:t>
            </w:r>
            <w:r w:rsidRPr="007C4D65">
              <w:rPr>
                <w:rFonts w:asciiTheme="minorHAnsi" w:eastAsia="Calibri" w:hAnsiTheme="minorHAnsi" w:cstheme="minorHAnsi"/>
                <w:sz w:val="18"/>
                <w:szCs w:val="18"/>
                <w:lang w:eastAsia="x-none"/>
              </w:rPr>
              <w:t xml:space="preserve">environmental </w:t>
            </w:r>
            <w:r w:rsidR="00BB46CF" w:rsidRPr="007C4D65">
              <w:rPr>
                <w:rFonts w:asciiTheme="minorHAnsi" w:eastAsia="Calibri" w:hAnsiTheme="minorHAnsi" w:cstheme="minorHAnsi"/>
                <w:sz w:val="18"/>
                <w:szCs w:val="18"/>
                <w:lang w:eastAsia="x-none"/>
              </w:rPr>
              <w:t>NGO</w:t>
            </w:r>
            <w:r w:rsidRPr="007C4D65">
              <w:rPr>
                <w:rFonts w:asciiTheme="minorHAnsi" w:eastAsia="Calibri" w:hAnsiTheme="minorHAnsi" w:cstheme="minorHAnsi"/>
                <w:sz w:val="18"/>
                <w:szCs w:val="18"/>
                <w:lang w:eastAsia="x-none"/>
              </w:rPr>
              <w:t>s</w:t>
            </w:r>
            <w:r w:rsidR="00BB46CF" w:rsidRPr="007C4D65">
              <w:rPr>
                <w:rFonts w:asciiTheme="minorHAnsi" w:eastAsia="Calibri" w:hAnsiTheme="minorHAnsi" w:cstheme="minorHAnsi"/>
                <w:sz w:val="18"/>
                <w:szCs w:val="18"/>
                <w:lang w:eastAsia="x-none"/>
              </w:rPr>
              <w:t xml:space="preserve"> aimed at improv</w:t>
            </w:r>
            <w:r w:rsidRPr="007C4D65">
              <w:rPr>
                <w:rFonts w:asciiTheme="minorHAnsi" w:eastAsia="Calibri" w:hAnsiTheme="minorHAnsi" w:cstheme="minorHAnsi"/>
                <w:sz w:val="18"/>
                <w:szCs w:val="18"/>
                <w:lang w:eastAsia="x-none"/>
              </w:rPr>
              <w:t xml:space="preserve">ing options of environmental data </w:t>
            </w:r>
            <w:proofErr w:type="gramStart"/>
            <w:r w:rsidRPr="007C4D65">
              <w:rPr>
                <w:rFonts w:asciiTheme="minorHAnsi" w:eastAsia="Calibri" w:hAnsiTheme="minorHAnsi" w:cstheme="minorHAnsi"/>
                <w:sz w:val="18"/>
                <w:szCs w:val="18"/>
                <w:lang w:eastAsia="x-none"/>
              </w:rPr>
              <w:t>collection</w:t>
            </w:r>
            <w:r w:rsidR="00582D43" w:rsidRPr="007C4D65">
              <w:rPr>
                <w:rFonts w:asciiTheme="minorHAnsi" w:eastAsia="Calibri" w:hAnsiTheme="minorHAnsi" w:cstheme="minorHAnsi"/>
                <w:sz w:val="18"/>
                <w:szCs w:val="18"/>
                <w:lang w:eastAsia="x-none"/>
              </w:rPr>
              <w:t>;</w:t>
            </w:r>
            <w:proofErr w:type="gramEnd"/>
          </w:p>
          <w:p w14:paraId="0E424DD6" w14:textId="4D997C5E" w:rsidR="00BB46CF" w:rsidRPr="007C4D65" w:rsidRDefault="00707379" w:rsidP="00707379">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7) development</w:t>
            </w:r>
            <w:r w:rsidR="00BB46CF" w:rsidRPr="007C4D65">
              <w:rPr>
                <w:rFonts w:asciiTheme="minorHAnsi" w:eastAsia="Calibri" w:hAnsiTheme="minorHAnsi" w:cstheme="minorHAnsi"/>
                <w:sz w:val="18"/>
                <w:szCs w:val="18"/>
                <w:lang w:eastAsia="x-none"/>
              </w:rPr>
              <w:t xml:space="preserve"> of </w:t>
            </w:r>
            <w:r w:rsidRPr="007C4D65">
              <w:rPr>
                <w:rFonts w:asciiTheme="minorHAnsi" w:eastAsia="Calibri" w:hAnsiTheme="minorHAnsi" w:cstheme="minorHAnsi"/>
                <w:sz w:val="18"/>
                <w:szCs w:val="18"/>
                <w:lang w:eastAsia="x-none"/>
              </w:rPr>
              <w:t xml:space="preserve">a </w:t>
            </w:r>
            <w:r w:rsidR="00BB46CF" w:rsidRPr="007C4D65">
              <w:rPr>
                <w:rFonts w:asciiTheme="minorHAnsi" w:eastAsia="Calibri" w:hAnsiTheme="minorHAnsi" w:cstheme="minorHAnsi"/>
                <w:sz w:val="18"/>
                <w:szCs w:val="18"/>
                <w:lang w:eastAsia="x-none"/>
              </w:rPr>
              <w:t xml:space="preserve">validation system of environmental data which </w:t>
            </w:r>
            <w:r w:rsidRPr="007C4D65">
              <w:rPr>
                <w:rFonts w:asciiTheme="minorHAnsi" w:eastAsia="Calibri" w:hAnsiTheme="minorHAnsi" w:cstheme="minorHAnsi"/>
                <w:sz w:val="18"/>
                <w:szCs w:val="18"/>
                <w:lang w:eastAsia="x-none"/>
              </w:rPr>
              <w:t>should</w:t>
            </w:r>
            <w:r w:rsidR="00BB46CF" w:rsidRPr="007C4D65">
              <w:rPr>
                <w:rFonts w:asciiTheme="minorHAnsi" w:eastAsia="Calibri" w:hAnsiTheme="minorHAnsi" w:cstheme="minorHAnsi"/>
                <w:sz w:val="18"/>
                <w:szCs w:val="18"/>
                <w:lang w:eastAsia="x-none"/>
              </w:rPr>
              <w:t xml:space="preserve"> be used for verification of all collected environmental data and information as well as method</w:t>
            </w:r>
            <w:r w:rsidRPr="007C4D65">
              <w:rPr>
                <w:rFonts w:asciiTheme="minorHAnsi" w:eastAsia="Calibri" w:hAnsiTheme="minorHAnsi" w:cstheme="minorHAnsi"/>
                <w:sz w:val="18"/>
                <w:szCs w:val="18"/>
                <w:lang w:eastAsia="x-none"/>
              </w:rPr>
              <w:t>ology</w:t>
            </w:r>
            <w:r w:rsidR="00BB46CF" w:rsidRPr="007C4D65">
              <w:rPr>
                <w:rFonts w:asciiTheme="minorHAnsi" w:eastAsia="Calibri" w:hAnsiTheme="minorHAnsi" w:cstheme="minorHAnsi"/>
                <w:sz w:val="18"/>
                <w:szCs w:val="18"/>
                <w:lang w:eastAsia="x-none"/>
              </w:rPr>
              <w:t xml:space="preserve"> of data collection</w:t>
            </w:r>
            <w:r w:rsidR="00582D43" w:rsidRPr="007C4D65">
              <w:rPr>
                <w:rFonts w:asciiTheme="minorHAnsi" w:eastAsia="Calibri" w:hAnsiTheme="minorHAnsi" w:cstheme="minorHAnsi"/>
                <w:sz w:val="18"/>
                <w:szCs w:val="18"/>
                <w:lang w:eastAsia="x-none"/>
              </w:rPr>
              <w:t>.</w:t>
            </w:r>
          </w:p>
        </w:tc>
      </w:tr>
      <w:tr w:rsidR="00BB46CF" w:rsidRPr="007C4D65" w14:paraId="4F9C60D5" w14:textId="77777777" w:rsidTr="00B6017F">
        <w:trPr>
          <w:trHeight w:val="567"/>
        </w:trPr>
        <w:tc>
          <w:tcPr>
            <w:tcW w:w="1359" w:type="pct"/>
            <w:shd w:val="clear" w:color="auto" w:fill="009D73"/>
            <w:vAlign w:val="center"/>
          </w:tcPr>
          <w:p w14:paraId="359E319D"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 xml:space="preserve">Strategic projects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0E22B1B" w14:textId="77777777" w:rsidR="00BB46CF" w:rsidRPr="007C4D65" w:rsidRDefault="00BB46CF" w:rsidP="00BB46CF">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BB46CF" w:rsidRPr="007C4D65" w14:paraId="707167C7" w14:textId="77777777" w:rsidTr="00B6017F">
        <w:trPr>
          <w:trHeight w:val="567"/>
        </w:trPr>
        <w:tc>
          <w:tcPr>
            <w:tcW w:w="1359" w:type="pct"/>
            <w:vMerge w:val="restart"/>
            <w:shd w:val="clear" w:color="auto" w:fill="009D73"/>
            <w:vAlign w:val="center"/>
          </w:tcPr>
          <w:p w14:paraId="3D3BA3CB"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34078979" w14:textId="77777777" w:rsidR="00BB46CF" w:rsidRPr="007C4D65" w:rsidRDefault="00BB46CF" w:rsidP="00BB46C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2031C1EC" w14:textId="77777777" w:rsidR="00BB46CF" w:rsidRPr="007C4D65" w:rsidRDefault="00BB46CF" w:rsidP="00BB46CF">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FE941D8" w14:textId="77777777" w:rsidR="00BB46CF" w:rsidRPr="007C4D65" w:rsidRDefault="00BB46CF" w:rsidP="00BB46C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228FBD68" w14:textId="77777777" w:rsidR="00BB46CF" w:rsidRPr="007C4D65" w:rsidRDefault="00BB46CF" w:rsidP="00BB46CF">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F62129F" w14:textId="77777777" w:rsidR="00BB46CF" w:rsidRPr="007C4D65" w:rsidRDefault="00BB46CF" w:rsidP="00BB46CF">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value</w:t>
            </w:r>
          </w:p>
        </w:tc>
      </w:tr>
      <w:tr w:rsidR="00BB46CF" w:rsidRPr="007C4D65" w14:paraId="6915925B"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9A72D9C"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D8D9E4D" w14:textId="517EAFBB" w:rsidR="00BB46CF" w:rsidRPr="007C4D65" w:rsidRDefault="00BB46CF">
            <w:pPr>
              <w:pStyle w:val="ListParagraph"/>
              <w:numPr>
                <w:ilvl w:val="0"/>
                <w:numId w:val="251"/>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Establishment of </w:t>
            </w:r>
            <w:r w:rsidR="00707379" w:rsidRPr="007C4D65">
              <w:rPr>
                <w:rFonts w:asciiTheme="minorHAnsi" w:eastAsia="Calibri" w:hAnsiTheme="minorHAnsi" w:cstheme="minorHAnsi"/>
                <w:sz w:val="18"/>
                <w:szCs w:val="18"/>
                <w:lang w:eastAsia="x-none"/>
              </w:rPr>
              <w:t xml:space="preserve">a </w:t>
            </w:r>
            <w:r w:rsidRPr="007C4D65">
              <w:rPr>
                <w:rFonts w:asciiTheme="minorHAnsi" w:eastAsia="Calibri" w:hAnsiTheme="minorHAnsi" w:cstheme="minorHAnsi"/>
                <w:sz w:val="18"/>
                <w:szCs w:val="18"/>
                <w:lang w:eastAsia="x-none"/>
              </w:rPr>
              <w:t>single environmental information system</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CFEC7A4" w14:textId="76F3C17B" w:rsidR="00BB46CF" w:rsidRPr="007C4D65" w:rsidRDefault="00707379"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There is no s</w:t>
            </w:r>
            <w:r w:rsidR="00BB46CF" w:rsidRPr="007C4D65">
              <w:rPr>
                <w:rFonts w:asciiTheme="minorHAnsi" w:eastAsia="Calibri" w:hAnsiTheme="minorHAnsi" w:cstheme="minorHAnsi"/>
                <w:sz w:val="18"/>
                <w:szCs w:val="18"/>
                <w:lang w:eastAsia="x-none"/>
              </w:rPr>
              <w:t>ingle environmental information system</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53DA5FC" w14:textId="08A5BE1E" w:rsidR="00BB46CF" w:rsidRPr="007C4D65" w:rsidRDefault="00707379"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The s</w:t>
            </w:r>
            <w:r w:rsidR="00BB46CF" w:rsidRPr="007C4D65">
              <w:rPr>
                <w:rFonts w:asciiTheme="minorHAnsi" w:eastAsia="Calibri" w:hAnsiTheme="minorHAnsi" w:cstheme="minorHAnsi"/>
                <w:sz w:val="18"/>
                <w:szCs w:val="18"/>
                <w:lang w:eastAsia="x-none"/>
              </w:rPr>
              <w:t xml:space="preserve">ingle environmental information system </w:t>
            </w:r>
            <w:r w:rsidRPr="007C4D65">
              <w:rPr>
                <w:rFonts w:asciiTheme="minorHAnsi" w:eastAsia="Calibri" w:hAnsiTheme="minorHAnsi" w:cstheme="minorHAnsi"/>
                <w:sz w:val="18"/>
                <w:szCs w:val="18"/>
                <w:lang w:eastAsia="x-none"/>
              </w:rPr>
              <w:t>up and running</w:t>
            </w:r>
            <w:r w:rsidR="00BB46CF" w:rsidRPr="007C4D65">
              <w:rPr>
                <w:rFonts w:asciiTheme="minorHAnsi" w:eastAsia="Calibri" w:hAnsiTheme="minorHAnsi" w:cstheme="minorHAnsi"/>
                <w:sz w:val="18"/>
                <w:szCs w:val="18"/>
                <w:lang w:eastAsia="x-none"/>
              </w:rPr>
              <w:t xml:space="preserve"> </w:t>
            </w:r>
            <w:r w:rsidR="00BB46CF" w:rsidRPr="007C4D65">
              <w:rPr>
                <w:rFonts w:asciiTheme="minorHAnsi" w:eastAsiaTheme="minorHAnsi" w:hAnsiTheme="minorHAnsi" w:cstheme="minorHAnsi"/>
                <w:sz w:val="18"/>
                <w:szCs w:val="18"/>
                <w:lang w:eastAsia="en-US" w:bidi="en-US"/>
              </w:rPr>
              <w:t>(2027)</w:t>
            </w:r>
          </w:p>
        </w:tc>
      </w:tr>
      <w:tr w:rsidR="00BB46CF" w:rsidRPr="007C4D65" w14:paraId="3EE4287B"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7B9C96C7"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1515BCF" w14:textId="3667005E" w:rsidR="00BB46CF" w:rsidRPr="007C4D65" w:rsidRDefault="00BB46CF">
            <w:pPr>
              <w:pStyle w:val="ListParagraph"/>
              <w:numPr>
                <w:ilvl w:val="0"/>
                <w:numId w:val="251"/>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Status of adoption of environmental data exchange methodology </w:t>
            </w:r>
            <w:r w:rsidR="00707379" w:rsidRPr="007C4D65">
              <w:rPr>
                <w:rFonts w:asciiTheme="minorHAnsi" w:eastAsia="Calibri" w:hAnsiTheme="minorHAnsi" w:cstheme="minorHAnsi"/>
                <w:sz w:val="18"/>
                <w:szCs w:val="18"/>
                <w:lang w:eastAsia="x-none"/>
              </w:rPr>
              <w:t xml:space="preserve">for all the segments of environment </w:t>
            </w:r>
            <w:r w:rsidRPr="007C4D65">
              <w:rPr>
                <w:rFonts w:asciiTheme="minorHAnsi" w:eastAsia="Calibri" w:hAnsiTheme="minorHAnsi" w:cstheme="minorHAnsi"/>
                <w:sz w:val="18"/>
                <w:szCs w:val="18"/>
                <w:lang w:eastAsia="x-none"/>
              </w:rPr>
              <w:t xml:space="preserve">among the institutions at all the levels in the Federation of </w:t>
            </w:r>
            <w:r w:rsidR="00707379" w:rsidRPr="007C4D65">
              <w:rPr>
                <w:rFonts w:asciiTheme="minorHAnsi" w:eastAsia="Calibri" w:hAnsiTheme="minorHAnsi" w:cstheme="minorHAnsi"/>
                <w:sz w:val="18"/>
                <w:szCs w:val="18"/>
                <w:lang w:eastAsia="x-none"/>
              </w:rPr>
              <w:t>BiH</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93BF66E" w14:textId="2FCB4967" w:rsidR="00BB46CF" w:rsidRPr="007C4D65" w:rsidRDefault="00707379"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The m</w:t>
            </w:r>
            <w:r w:rsidR="00BB46CF" w:rsidRPr="007C4D65">
              <w:rPr>
                <w:rFonts w:asciiTheme="minorHAnsi" w:eastAsia="Calibri" w:hAnsiTheme="minorHAnsi" w:cstheme="minorHAnsi"/>
                <w:sz w:val="18"/>
                <w:szCs w:val="18"/>
                <w:lang w:eastAsia="x-none"/>
              </w:rPr>
              <w:t>ethodology is not adopted</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C69B8D2" w14:textId="4612B29D" w:rsidR="00BB46CF" w:rsidRPr="007C4D65" w:rsidRDefault="00707379"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w:t>
            </w:r>
            <w:r w:rsidR="00BB46CF" w:rsidRPr="007C4D65">
              <w:rPr>
                <w:rFonts w:asciiTheme="minorHAnsi" w:eastAsiaTheme="minorHAnsi" w:hAnsiTheme="minorHAnsi" w:cstheme="minorHAnsi"/>
                <w:sz w:val="18"/>
                <w:szCs w:val="18"/>
                <w:lang w:eastAsia="en-US" w:bidi="en-US"/>
              </w:rPr>
              <w:t>he environmental</w:t>
            </w:r>
            <w:r w:rsidR="00BB46CF" w:rsidRPr="007C4D65">
              <w:rPr>
                <w:rFonts w:asciiTheme="minorHAnsi" w:eastAsia="Calibri" w:hAnsiTheme="minorHAnsi" w:cstheme="minorHAnsi"/>
                <w:sz w:val="18"/>
                <w:szCs w:val="18"/>
                <w:lang w:eastAsia="x-none"/>
              </w:rPr>
              <w:t xml:space="preserve"> data exchange methodology for all the segments of environment among the institutions at all the levels in the Federation of </w:t>
            </w:r>
            <w:r w:rsidRPr="007C4D65">
              <w:rPr>
                <w:rFonts w:asciiTheme="minorHAnsi" w:eastAsia="Calibri" w:hAnsiTheme="minorHAnsi" w:cstheme="minorHAnsi"/>
                <w:sz w:val="18"/>
                <w:szCs w:val="18"/>
                <w:lang w:eastAsia="x-none"/>
              </w:rPr>
              <w:t xml:space="preserve">BiH defined </w:t>
            </w:r>
            <w:r w:rsidRPr="007C4D65">
              <w:rPr>
                <w:rFonts w:asciiTheme="minorHAnsi" w:eastAsiaTheme="minorHAnsi" w:hAnsiTheme="minorHAnsi" w:cstheme="minorHAnsi"/>
                <w:sz w:val="18"/>
                <w:szCs w:val="18"/>
                <w:lang w:eastAsia="en-US" w:bidi="en-US"/>
              </w:rPr>
              <w:t xml:space="preserve">and adopted. </w:t>
            </w:r>
            <w:r w:rsidR="00BB46CF" w:rsidRPr="007C4D65">
              <w:rPr>
                <w:rFonts w:asciiTheme="minorHAnsi" w:eastAsia="Calibri" w:hAnsiTheme="minorHAnsi" w:cstheme="minorHAnsi"/>
                <w:sz w:val="18"/>
                <w:szCs w:val="18"/>
                <w:lang w:eastAsia="x-none"/>
              </w:rPr>
              <w:t>(</w:t>
            </w:r>
            <w:r w:rsidR="00BB46CF" w:rsidRPr="007C4D65">
              <w:rPr>
                <w:rFonts w:asciiTheme="minorHAnsi" w:eastAsiaTheme="minorHAnsi" w:hAnsiTheme="minorHAnsi" w:cstheme="minorHAnsi"/>
                <w:sz w:val="18"/>
                <w:szCs w:val="18"/>
                <w:lang w:eastAsia="en-US" w:bidi="en-US"/>
              </w:rPr>
              <w:t>2026)</w:t>
            </w:r>
          </w:p>
        </w:tc>
      </w:tr>
      <w:tr w:rsidR="00BB46CF" w:rsidRPr="007C4D65" w14:paraId="702B719C"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1F1C881"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3A5E431" w14:textId="5D9610D7" w:rsidR="00BB46CF" w:rsidRPr="007C4D65" w:rsidRDefault="00BB46CF">
            <w:pPr>
              <w:pStyle w:val="ListParagraph"/>
              <w:numPr>
                <w:ilvl w:val="0"/>
                <w:numId w:val="251"/>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The environmental data exchange procedure in the Federation of </w:t>
            </w:r>
            <w:r w:rsidR="00707379" w:rsidRPr="007C4D65">
              <w:rPr>
                <w:rFonts w:asciiTheme="minorHAnsi" w:eastAsia="Calibri" w:hAnsiTheme="minorHAnsi" w:cstheme="minorHAnsi"/>
                <w:sz w:val="18"/>
                <w:szCs w:val="18"/>
                <w:lang w:eastAsia="x-none"/>
              </w:rPr>
              <w:t>BiH</w:t>
            </w:r>
            <w:r w:rsidRPr="007C4D65">
              <w:rPr>
                <w:rFonts w:asciiTheme="minorHAnsi" w:eastAsia="Calibri" w:hAnsiTheme="minorHAnsi" w:cstheme="minorHAnsi"/>
                <w:sz w:val="18"/>
                <w:szCs w:val="18"/>
                <w:lang w:eastAsia="x-none"/>
              </w:rPr>
              <w:t xml:space="preserve"> based on the adopted methodology</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E2FF1C9" w14:textId="24CBAFD7" w:rsidR="00BB46CF" w:rsidRPr="007C4D65" w:rsidRDefault="00707379"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 p</w:t>
            </w:r>
            <w:r w:rsidR="00BB46CF" w:rsidRPr="007C4D65">
              <w:rPr>
                <w:rFonts w:asciiTheme="minorHAnsi" w:eastAsiaTheme="minorHAnsi" w:hAnsiTheme="minorHAnsi" w:cstheme="minorHAnsi"/>
                <w:sz w:val="18"/>
                <w:szCs w:val="18"/>
                <w:lang w:eastAsia="en-US" w:bidi="en-US"/>
              </w:rPr>
              <w:t>rocedure is not defined</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05B7886" w14:textId="2C6DBBF9" w:rsidR="00BB46CF" w:rsidRPr="007C4D65" w:rsidRDefault="00707379"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w:t>
            </w:r>
            <w:r w:rsidR="00BB46CF" w:rsidRPr="007C4D65">
              <w:rPr>
                <w:rFonts w:asciiTheme="minorHAnsi" w:eastAsiaTheme="minorHAnsi" w:hAnsiTheme="minorHAnsi" w:cstheme="minorHAnsi"/>
                <w:sz w:val="18"/>
                <w:szCs w:val="18"/>
                <w:lang w:eastAsia="en-US" w:bidi="en-US"/>
              </w:rPr>
              <w:t xml:space="preserve"> </w:t>
            </w:r>
            <w:r w:rsidRPr="007C4D65">
              <w:rPr>
                <w:rFonts w:asciiTheme="minorHAnsi" w:eastAsia="Calibri" w:hAnsiTheme="minorHAnsi" w:cstheme="minorHAnsi"/>
                <w:sz w:val="18"/>
                <w:szCs w:val="18"/>
                <w:lang w:eastAsia="x-none"/>
              </w:rPr>
              <w:t>d</w:t>
            </w:r>
            <w:r w:rsidR="00BB46CF" w:rsidRPr="007C4D65">
              <w:rPr>
                <w:rFonts w:asciiTheme="minorHAnsi" w:eastAsia="Calibri" w:hAnsiTheme="minorHAnsi" w:cstheme="minorHAnsi"/>
                <w:sz w:val="18"/>
                <w:szCs w:val="18"/>
                <w:lang w:eastAsia="x-none"/>
              </w:rPr>
              <w:t xml:space="preserve">ata exchange procedure in the Federation of </w:t>
            </w:r>
            <w:r w:rsidRPr="007C4D65">
              <w:rPr>
                <w:rFonts w:asciiTheme="minorHAnsi" w:eastAsia="Calibri" w:hAnsiTheme="minorHAnsi" w:cstheme="minorHAnsi"/>
                <w:sz w:val="18"/>
                <w:szCs w:val="18"/>
                <w:lang w:eastAsia="x-none"/>
              </w:rPr>
              <w:t>BiH</w:t>
            </w:r>
            <w:r w:rsidR="00BB46CF" w:rsidRPr="007C4D65">
              <w:rPr>
                <w:rFonts w:asciiTheme="minorHAnsi" w:eastAsia="Calibri" w:hAnsiTheme="minorHAnsi" w:cstheme="minorHAnsi"/>
                <w:sz w:val="18"/>
                <w:szCs w:val="18"/>
                <w:lang w:eastAsia="x-none"/>
              </w:rPr>
              <w:t xml:space="preserve"> based on the adopted methodology defined </w:t>
            </w:r>
            <w:r w:rsidR="00BB46CF" w:rsidRPr="007C4D65">
              <w:rPr>
                <w:rFonts w:asciiTheme="minorHAnsi" w:eastAsiaTheme="minorHAnsi" w:hAnsiTheme="minorHAnsi" w:cstheme="minorHAnsi"/>
                <w:sz w:val="18"/>
                <w:szCs w:val="18"/>
                <w:lang w:eastAsia="en-US" w:bidi="en-US"/>
              </w:rPr>
              <w:t>(2027)</w:t>
            </w:r>
          </w:p>
        </w:tc>
      </w:tr>
      <w:tr w:rsidR="00BB46CF" w:rsidRPr="007C4D65" w14:paraId="7BB08F70"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DB27212"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1CEF4E1" w14:textId="35258028" w:rsidR="00BB46CF" w:rsidRPr="007C4D65" w:rsidRDefault="00A70837">
            <w:pPr>
              <w:pStyle w:val="ListParagraph"/>
              <w:numPr>
                <w:ilvl w:val="0"/>
                <w:numId w:val="251"/>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Functioning</w:t>
            </w:r>
            <w:r w:rsidR="00BB46CF" w:rsidRPr="007C4D65">
              <w:rPr>
                <w:rFonts w:asciiTheme="minorHAnsi" w:eastAsia="Calibri" w:hAnsiTheme="minorHAnsi" w:cstheme="minorHAnsi"/>
                <w:sz w:val="18"/>
                <w:szCs w:val="18"/>
                <w:lang w:eastAsia="x-none"/>
              </w:rPr>
              <w:t xml:space="preserve"> of the institutional systems for environmental data collection</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B953B80" w14:textId="77777777" w:rsidR="00BB46CF" w:rsidRPr="007C4D65" w:rsidRDefault="00BB46CF"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Partly functional </w:t>
            </w:r>
            <w:r w:rsidRPr="007C4D65">
              <w:rPr>
                <w:rFonts w:asciiTheme="minorHAnsi" w:eastAsia="Calibri" w:hAnsiTheme="minorHAnsi" w:cstheme="minorHAnsi"/>
                <w:sz w:val="18"/>
                <w:szCs w:val="18"/>
                <w:lang w:eastAsia="x-none"/>
              </w:rPr>
              <w:t>institutional systems for environmental data collection</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7185638" w14:textId="1013DC97" w:rsidR="00BB46CF" w:rsidRPr="007C4D65" w:rsidRDefault="00A13CFC"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Well-functioning</w:t>
            </w:r>
            <w:r w:rsidR="00BB46CF" w:rsidRPr="007C4D65">
              <w:rPr>
                <w:rFonts w:asciiTheme="minorHAnsi" w:eastAsiaTheme="minorHAnsi" w:hAnsiTheme="minorHAnsi" w:cstheme="minorHAnsi"/>
                <w:sz w:val="18"/>
                <w:szCs w:val="18"/>
                <w:lang w:eastAsia="en-US" w:bidi="en-US"/>
              </w:rPr>
              <w:t xml:space="preserve"> </w:t>
            </w:r>
            <w:r w:rsidR="00BB46CF" w:rsidRPr="007C4D65">
              <w:rPr>
                <w:rFonts w:asciiTheme="minorHAnsi" w:eastAsia="Calibri" w:hAnsiTheme="minorHAnsi" w:cstheme="minorHAnsi"/>
                <w:sz w:val="18"/>
                <w:szCs w:val="18"/>
                <w:lang w:eastAsia="x-none"/>
              </w:rPr>
              <w:t>institutional systems for environmental data collection</w:t>
            </w:r>
            <w:r w:rsidR="00BB46CF" w:rsidRPr="007C4D65">
              <w:rPr>
                <w:rFonts w:asciiTheme="minorHAnsi" w:eastAsiaTheme="minorHAnsi" w:hAnsiTheme="minorHAnsi" w:cstheme="minorHAnsi"/>
                <w:sz w:val="18"/>
                <w:szCs w:val="18"/>
                <w:lang w:eastAsia="en-US" w:bidi="en-US"/>
              </w:rPr>
              <w:t xml:space="preserve"> (2028)</w:t>
            </w:r>
          </w:p>
        </w:tc>
      </w:tr>
      <w:tr w:rsidR="00BB46CF" w:rsidRPr="007C4D65" w14:paraId="03D8EBAE"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F7BA782"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5D60EC1" w14:textId="7AB24915" w:rsidR="00BB46CF" w:rsidRPr="007C4D65" w:rsidRDefault="00A70837">
            <w:pPr>
              <w:pStyle w:val="ListParagraph"/>
              <w:numPr>
                <w:ilvl w:val="0"/>
                <w:numId w:val="251"/>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Effectiveness</w:t>
            </w:r>
            <w:r w:rsidR="00BB46CF" w:rsidRPr="007C4D65">
              <w:rPr>
                <w:rFonts w:asciiTheme="minorHAnsi" w:eastAsia="Calibri" w:hAnsiTheme="minorHAnsi" w:cstheme="minorHAnsi"/>
                <w:sz w:val="18"/>
                <w:szCs w:val="18"/>
                <w:lang w:eastAsia="x-none"/>
              </w:rPr>
              <w:t xml:space="preserve"> of </w:t>
            </w:r>
            <w:r w:rsidRPr="007C4D65">
              <w:rPr>
                <w:rFonts w:asciiTheme="minorHAnsi" w:eastAsia="Calibri" w:hAnsiTheme="minorHAnsi" w:cstheme="minorHAnsi"/>
                <w:sz w:val="18"/>
                <w:szCs w:val="18"/>
                <w:lang w:eastAsia="x-none"/>
              </w:rPr>
              <w:t xml:space="preserve">the </w:t>
            </w:r>
            <w:r w:rsidR="00BB46CF" w:rsidRPr="007C4D65">
              <w:rPr>
                <w:rFonts w:asciiTheme="minorHAnsi" w:eastAsia="Calibri" w:hAnsiTheme="minorHAnsi" w:cstheme="minorHAnsi"/>
                <w:sz w:val="18"/>
                <w:szCs w:val="18"/>
                <w:lang w:eastAsia="x-none"/>
              </w:rPr>
              <w:t>environmental data monitoring</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000C481" w14:textId="24AAA091" w:rsidR="00BB46CF" w:rsidRPr="007C4D65" w:rsidRDefault="00BB46CF"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There is a system of environmental data monitoring, but there is a need for improvement</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87F39CB" w14:textId="5198A420" w:rsidR="00BB46CF" w:rsidRPr="007C4D65" w:rsidRDefault="00A70837"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E</w:t>
            </w:r>
            <w:r w:rsidR="00BB46CF" w:rsidRPr="007C4D65">
              <w:rPr>
                <w:rFonts w:asciiTheme="minorHAnsi" w:eastAsiaTheme="minorHAnsi" w:hAnsiTheme="minorHAnsi" w:cstheme="minorHAnsi"/>
                <w:sz w:val="18"/>
                <w:szCs w:val="18"/>
                <w:lang w:eastAsia="en-US" w:bidi="en-US"/>
              </w:rPr>
              <w:t>nvironmental</w:t>
            </w:r>
            <w:r w:rsidR="00BB46CF" w:rsidRPr="007C4D65">
              <w:rPr>
                <w:rFonts w:asciiTheme="minorHAnsi" w:eastAsia="Calibri" w:hAnsiTheme="minorHAnsi" w:cstheme="minorHAnsi"/>
                <w:sz w:val="18"/>
                <w:szCs w:val="18"/>
                <w:lang w:eastAsia="x-none"/>
              </w:rPr>
              <w:t xml:space="preserve"> data monitoring system </w:t>
            </w:r>
            <w:r w:rsidRPr="007C4D65">
              <w:rPr>
                <w:rFonts w:asciiTheme="minorHAnsi" w:eastAsiaTheme="minorHAnsi" w:hAnsiTheme="minorHAnsi" w:cstheme="minorHAnsi"/>
                <w:sz w:val="18"/>
                <w:szCs w:val="18"/>
                <w:lang w:eastAsia="en-US" w:bidi="en-US"/>
              </w:rPr>
              <w:t xml:space="preserve">improved </w:t>
            </w:r>
            <w:r w:rsidR="00BB46CF" w:rsidRPr="007C4D65">
              <w:rPr>
                <w:rFonts w:asciiTheme="minorHAnsi" w:eastAsiaTheme="minorHAnsi" w:hAnsiTheme="minorHAnsi" w:cstheme="minorHAnsi"/>
                <w:sz w:val="18"/>
                <w:szCs w:val="18"/>
                <w:lang w:eastAsia="en-US" w:bidi="en-US"/>
              </w:rPr>
              <w:t>(2028)</w:t>
            </w:r>
          </w:p>
        </w:tc>
      </w:tr>
      <w:tr w:rsidR="00BB46CF" w:rsidRPr="007C4D65" w14:paraId="2952E363"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33D625B0"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970A29C" w14:textId="40DEB0EB" w:rsidR="00BB46CF" w:rsidRPr="007C4D65" w:rsidRDefault="00A70837">
            <w:pPr>
              <w:pStyle w:val="ListParagraph"/>
              <w:numPr>
                <w:ilvl w:val="0"/>
                <w:numId w:val="251"/>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Effectiveness</w:t>
            </w:r>
            <w:r w:rsidR="00BB46CF" w:rsidRPr="007C4D65">
              <w:rPr>
                <w:rFonts w:asciiTheme="minorHAnsi" w:eastAsia="Calibri" w:hAnsiTheme="minorHAnsi" w:cstheme="minorHAnsi"/>
                <w:sz w:val="18"/>
                <w:szCs w:val="18"/>
                <w:lang w:eastAsia="x-none"/>
              </w:rPr>
              <w:t xml:space="preserve"> of cooperation with the representatives </w:t>
            </w:r>
            <w:r w:rsidRPr="007C4D65">
              <w:rPr>
                <w:rFonts w:asciiTheme="minorHAnsi" w:eastAsia="Calibri" w:hAnsiTheme="minorHAnsi" w:cstheme="minorHAnsi"/>
                <w:sz w:val="18"/>
                <w:szCs w:val="18"/>
                <w:lang w:eastAsia="x-none"/>
              </w:rPr>
              <w:t xml:space="preserve">of environmental NGOs </w:t>
            </w:r>
            <w:r w:rsidR="00BB46CF" w:rsidRPr="007C4D65">
              <w:rPr>
                <w:rFonts w:asciiTheme="minorHAnsi" w:eastAsia="Calibri" w:hAnsiTheme="minorHAnsi" w:cstheme="minorHAnsi"/>
                <w:sz w:val="18"/>
                <w:szCs w:val="18"/>
                <w:lang w:eastAsia="x-none"/>
              </w:rPr>
              <w:t>aimed at improv</w:t>
            </w:r>
            <w:r w:rsidRPr="007C4D65">
              <w:rPr>
                <w:rFonts w:asciiTheme="minorHAnsi" w:eastAsia="Calibri" w:hAnsiTheme="minorHAnsi" w:cstheme="minorHAnsi"/>
                <w:sz w:val="18"/>
                <w:szCs w:val="18"/>
                <w:lang w:eastAsia="x-none"/>
              </w:rPr>
              <w:t>ing</w:t>
            </w:r>
            <w:r w:rsidR="00BB46CF"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options</w:t>
            </w:r>
            <w:r w:rsidR="00BB46CF" w:rsidRPr="007C4D65">
              <w:rPr>
                <w:rFonts w:asciiTheme="minorHAnsi" w:eastAsia="Calibri" w:hAnsiTheme="minorHAnsi" w:cstheme="minorHAnsi"/>
                <w:sz w:val="18"/>
                <w:szCs w:val="18"/>
                <w:lang w:eastAsia="x-none"/>
              </w:rPr>
              <w:t xml:space="preserve"> of environmental data collection</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11B1410" w14:textId="3A3603D5" w:rsidR="00BB46CF" w:rsidRPr="007C4D65" w:rsidRDefault="00BB46CF"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Partial cooperation</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6DD7809" w14:textId="0E2B90D9" w:rsidR="00BB46CF" w:rsidRPr="007C4D65" w:rsidRDefault="00A70837"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Effective</w:t>
            </w:r>
            <w:r w:rsidR="00BB46CF" w:rsidRPr="007C4D65">
              <w:rPr>
                <w:rFonts w:asciiTheme="minorHAnsi" w:eastAsia="Calibri" w:hAnsiTheme="minorHAnsi" w:cstheme="minorHAnsi"/>
                <w:sz w:val="18"/>
                <w:szCs w:val="18"/>
                <w:lang w:eastAsia="x-none"/>
              </w:rPr>
              <w:t xml:space="preserve"> cooperation with </w:t>
            </w:r>
            <w:r w:rsidRPr="007C4D65">
              <w:rPr>
                <w:rFonts w:asciiTheme="minorHAnsi" w:eastAsia="Calibri" w:hAnsiTheme="minorHAnsi" w:cstheme="minorHAnsi"/>
                <w:sz w:val="18"/>
                <w:szCs w:val="18"/>
                <w:lang w:eastAsia="x-none"/>
              </w:rPr>
              <w:t xml:space="preserve">representatives environmental </w:t>
            </w:r>
            <w:r w:rsidR="00BB46CF" w:rsidRPr="007C4D65">
              <w:rPr>
                <w:rFonts w:asciiTheme="minorHAnsi" w:eastAsia="Calibri" w:hAnsiTheme="minorHAnsi" w:cstheme="minorHAnsi"/>
                <w:sz w:val="18"/>
                <w:szCs w:val="18"/>
                <w:lang w:eastAsia="x-none"/>
              </w:rPr>
              <w:t>NGO</w:t>
            </w:r>
            <w:r w:rsidRPr="007C4D65">
              <w:rPr>
                <w:rFonts w:asciiTheme="minorHAnsi" w:eastAsia="Calibri" w:hAnsiTheme="minorHAnsi" w:cstheme="minorHAnsi"/>
                <w:sz w:val="18"/>
                <w:szCs w:val="18"/>
                <w:lang w:eastAsia="x-none"/>
              </w:rPr>
              <w:t>s</w:t>
            </w:r>
            <w:r w:rsidR="00BB46CF" w:rsidRPr="007C4D65">
              <w:rPr>
                <w:rFonts w:asciiTheme="minorHAnsi" w:eastAsia="Calibri" w:hAnsiTheme="minorHAnsi" w:cstheme="minorHAnsi"/>
                <w:sz w:val="18"/>
                <w:szCs w:val="18"/>
                <w:lang w:eastAsia="x-none"/>
              </w:rPr>
              <w:t xml:space="preserve"> </w:t>
            </w:r>
            <w:r w:rsidR="00BB46CF" w:rsidRPr="007C4D65">
              <w:rPr>
                <w:rFonts w:asciiTheme="minorHAnsi" w:eastAsiaTheme="minorHAnsi" w:hAnsiTheme="minorHAnsi" w:cstheme="minorHAnsi"/>
                <w:sz w:val="18"/>
                <w:szCs w:val="18"/>
                <w:lang w:eastAsia="en-US" w:bidi="en-US"/>
              </w:rPr>
              <w:t>(2029)</w:t>
            </w:r>
          </w:p>
        </w:tc>
      </w:tr>
      <w:tr w:rsidR="00BB46CF" w:rsidRPr="007C4D65" w14:paraId="19CCE6C4" w14:textId="77777777" w:rsidTr="00B6017F">
        <w:trPr>
          <w:trHeight w:val="567"/>
        </w:trPr>
        <w:tc>
          <w:tcPr>
            <w:tcW w:w="1359"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BEA1904"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ECE964F" w14:textId="0D849EC2" w:rsidR="00BB46CF" w:rsidRPr="007C4D65" w:rsidRDefault="00A70837">
            <w:pPr>
              <w:pStyle w:val="ListParagraph"/>
              <w:numPr>
                <w:ilvl w:val="0"/>
                <w:numId w:val="251"/>
              </w:numPr>
              <w:spacing w:before="40" w:after="40" w:line="276" w:lineRule="auto"/>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Stage of</w:t>
            </w:r>
            <w:r w:rsidR="00BB46CF" w:rsidRPr="007C4D65">
              <w:rPr>
                <w:rFonts w:asciiTheme="minorHAnsi" w:eastAsiaTheme="minorHAnsi" w:hAnsiTheme="minorHAnsi" w:cstheme="minorHAnsi"/>
                <w:color w:val="000000"/>
                <w:sz w:val="18"/>
                <w:szCs w:val="18"/>
                <w:lang w:eastAsia="en-US"/>
              </w:rPr>
              <w:t xml:space="preserve"> establish</w:t>
            </w:r>
            <w:r w:rsidRPr="007C4D65">
              <w:rPr>
                <w:rFonts w:asciiTheme="minorHAnsi" w:eastAsiaTheme="minorHAnsi" w:hAnsiTheme="minorHAnsi" w:cstheme="minorHAnsi"/>
                <w:color w:val="000000"/>
                <w:sz w:val="18"/>
                <w:szCs w:val="18"/>
                <w:lang w:eastAsia="en-US"/>
              </w:rPr>
              <w:t>ment</w:t>
            </w:r>
            <w:r w:rsidR="00BB46CF" w:rsidRPr="007C4D65">
              <w:rPr>
                <w:rFonts w:asciiTheme="minorHAnsi" w:eastAsiaTheme="minorHAnsi" w:hAnsiTheme="minorHAnsi" w:cstheme="minorHAnsi"/>
                <w:color w:val="000000"/>
                <w:sz w:val="18"/>
                <w:szCs w:val="18"/>
                <w:lang w:eastAsia="en-US"/>
              </w:rPr>
              <w:t xml:space="preserve"> of </w:t>
            </w:r>
            <w:r w:rsidRPr="007C4D65">
              <w:rPr>
                <w:rFonts w:asciiTheme="minorHAnsi" w:eastAsiaTheme="minorHAnsi" w:hAnsiTheme="minorHAnsi" w:cstheme="minorHAnsi"/>
                <w:color w:val="000000"/>
                <w:sz w:val="18"/>
                <w:szCs w:val="18"/>
                <w:lang w:eastAsia="en-US"/>
              </w:rPr>
              <w:t>the environmental</w:t>
            </w:r>
            <w:r w:rsidR="00BB46CF" w:rsidRPr="007C4D65">
              <w:rPr>
                <w:rFonts w:asciiTheme="minorHAnsi" w:eastAsiaTheme="minorHAnsi" w:hAnsiTheme="minorHAnsi" w:cstheme="minorHAnsi"/>
                <w:color w:val="000000"/>
                <w:sz w:val="18"/>
                <w:szCs w:val="18"/>
                <w:lang w:eastAsia="en-US"/>
              </w:rPr>
              <w:t xml:space="preserve"> data validation system </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668FEE3" w14:textId="77777777" w:rsidR="00BB46CF" w:rsidRPr="007C4D65" w:rsidRDefault="00BB46CF"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There is no </w:t>
            </w:r>
            <w:r w:rsidRPr="007C4D65">
              <w:rPr>
                <w:rFonts w:asciiTheme="minorHAnsi" w:eastAsiaTheme="minorHAnsi" w:hAnsiTheme="minorHAnsi" w:cstheme="minorHAnsi"/>
                <w:color w:val="000000"/>
                <w:sz w:val="18"/>
                <w:szCs w:val="18"/>
                <w:lang w:eastAsia="en-US"/>
              </w:rPr>
              <w:t xml:space="preserve">environmental data validation system </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507080F" w14:textId="435CC979" w:rsidR="00BB46CF" w:rsidRPr="007C4D65" w:rsidRDefault="00A70837"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color w:val="000000"/>
                <w:sz w:val="18"/>
                <w:szCs w:val="18"/>
                <w:lang w:eastAsia="en-US"/>
              </w:rPr>
              <w:t>The e</w:t>
            </w:r>
            <w:r w:rsidR="00BB46CF" w:rsidRPr="007C4D65">
              <w:rPr>
                <w:rFonts w:asciiTheme="minorHAnsi" w:eastAsiaTheme="minorHAnsi" w:hAnsiTheme="minorHAnsi" w:cstheme="minorHAnsi"/>
                <w:color w:val="000000"/>
                <w:sz w:val="18"/>
                <w:szCs w:val="18"/>
                <w:lang w:eastAsia="en-US"/>
              </w:rPr>
              <w:t>nvironmental data validation system</w:t>
            </w:r>
            <w:r w:rsidRPr="007C4D65">
              <w:rPr>
                <w:rFonts w:asciiTheme="minorHAnsi" w:eastAsiaTheme="minorHAnsi" w:hAnsiTheme="minorHAnsi" w:cstheme="minorHAnsi"/>
                <w:color w:val="000000"/>
                <w:sz w:val="18"/>
                <w:szCs w:val="18"/>
                <w:lang w:eastAsia="en-US"/>
              </w:rPr>
              <w:t xml:space="preserve"> up and running</w:t>
            </w:r>
            <w:r w:rsidR="00BB46CF" w:rsidRPr="007C4D65">
              <w:rPr>
                <w:rFonts w:asciiTheme="minorHAnsi" w:eastAsiaTheme="minorHAnsi" w:hAnsiTheme="minorHAnsi" w:cstheme="minorHAnsi"/>
                <w:sz w:val="18"/>
                <w:szCs w:val="18"/>
                <w:lang w:eastAsia="en-US" w:bidi="en-US"/>
              </w:rPr>
              <w:t xml:space="preserve"> (2026)</w:t>
            </w:r>
          </w:p>
        </w:tc>
      </w:tr>
      <w:tr w:rsidR="00BB46CF" w:rsidRPr="007C4D65" w14:paraId="78A72A43" w14:textId="77777777" w:rsidTr="00B6017F">
        <w:trPr>
          <w:trHeight w:val="567"/>
        </w:trPr>
        <w:tc>
          <w:tcPr>
            <w:tcW w:w="1359" w:type="pct"/>
            <w:shd w:val="clear" w:color="auto" w:fill="009D73"/>
            <w:vAlign w:val="center"/>
          </w:tcPr>
          <w:p w14:paraId="64BDB356"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C95C4AE" w14:textId="20548F5A" w:rsidR="00BB46CF" w:rsidRPr="007C4D65" w:rsidRDefault="00A70837"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environmental management through better access to data which facilitates evidence-based and analysis-based policy making in the future</w:t>
            </w:r>
          </w:p>
        </w:tc>
      </w:tr>
      <w:tr w:rsidR="00BB46CF" w:rsidRPr="007C4D65" w14:paraId="32A771A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00D517D" w14:textId="4132E14A" w:rsidR="00BB46CF" w:rsidRPr="007C4D65" w:rsidRDefault="00963086"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r w:rsidR="00BB46CF" w:rsidRPr="007C4D65">
              <w:rPr>
                <w:rFonts w:asciiTheme="minorHAnsi" w:eastAsiaTheme="minorHAnsi" w:hAnsiTheme="minorHAnsi" w:cstheme="minorHAnsi"/>
                <w:b/>
                <w:color w:val="FFFFFF" w:themeColor="background1"/>
                <w:sz w:val="18"/>
                <w:szCs w:val="18"/>
                <w:lang w:eastAsia="en-US"/>
              </w:rPr>
              <w:t xml:space="preserve">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9996700" w14:textId="453DE1C3" w:rsidR="00A70837" w:rsidRPr="007C4D65" w:rsidRDefault="00C224E3" w:rsidP="00A70837">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A70837" w:rsidRPr="007C4D65">
              <w:rPr>
                <w:rFonts w:asciiTheme="minorHAnsi" w:hAnsiTheme="minorHAnsi" w:cstheme="minorHAnsi"/>
                <w:sz w:val="18"/>
                <w:szCs w:val="18"/>
                <w:lang w:val="hr-HR" w:bidi="en-US"/>
              </w:rPr>
              <w:t>BAM 760,136</w:t>
            </w:r>
          </w:p>
          <w:p w14:paraId="59FBF9B5" w14:textId="720AD871" w:rsidR="00BB46CF" w:rsidRPr="007C4D65" w:rsidRDefault="009E6B20" w:rsidP="00A70837">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val="hr-HR" w:bidi="en-US"/>
              </w:rPr>
              <w:t xml:space="preserve">Source: </w:t>
            </w:r>
            <w:r w:rsidR="00A70837" w:rsidRPr="007C4D65">
              <w:rPr>
                <w:rFonts w:asciiTheme="minorHAnsi" w:hAnsiTheme="minorHAnsi" w:cstheme="minorHAnsi"/>
                <w:sz w:val="18"/>
                <w:szCs w:val="18"/>
                <w:lang w:val="hr-HR" w:bidi="en-US"/>
              </w:rPr>
              <w:t xml:space="preserve">10%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A70837" w:rsidRPr="007C4D65">
              <w:rPr>
                <w:rFonts w:asciiTheme="minorHAnsi" w:hAnsiTheme="minorHAnsi" w:cstheme="minorHAnsi"/>
                <w:sz w:val="18"/>
                <w:szCs w:val="18"/>
                <w:lang w:val="hr-HR" w:bidi="en-US"/>
              </w:rPr>
              <w:t xml:space="preserve">, 90% </w:t>
            </w:r>
            <w:r w:rsidR="00C224E3" w:rsidRPr="007C4D65">
              <w:rPr>
                <w:rFonts w:asciiTheme="minorHAnsi" w:hAnsiTheme="minorHAnsi" w:cstheme="minorHAnsi"/>
                <w:sz w:val="18"/>
                <w:szCs w:val="18"/>
                <w:lang w:val="hr-HR" w:bidi="en-US"/>
              </w:rPr>
              <w:t>funds from EU and other international donors</w:t>
            </w:r>
          </w:p>
        </w:tc>
      </w:tr>
      <w:tr w:rsidR="00BB46CF" w:rsidRPr="007C4D65" w14:paraId="7059FCE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CC06996"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C9F8FBC" w14:textId="77777777" w:rsidR="00BB46CF" w:rsidRPr="007C4D65" w:rsidRDefault="00BB46CF"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2029</w:t>
            </w:r>
          </w:p>
        </w:tc>
      </w:tr>
      <w:tr w:rsidR="00BB46CF" w:rsidRPr="007C4D65" w14:paraId="73531B6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47473EEC"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345AEE4" w14:textId="6B53E7DB" w:rsidR="00BB46CF" w:rsidRPr="007C4D65" w:rsidRDefault="001E6E20"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BB46CF" w:rsidRPr="007C4D65">
              <w:rPr>
                <w:rFonts w:asciiTheme="minorHAnsi" w:eastAsia="Calibri" w:hAnsiTheme="minorHAnsi" w:cstheme="minorHAnsi"/>
                <w:sz w:val="18"/>
                <w:szCs w:val="18"/>
                <w:lang w:eastAsia="en-US"/>
              </w:rPr>
              <w:t xml:space="preserve"> of Environment and Tourism</w:t>
            </w:r>
          </w:p>
        </w:tc>
      </w:tr>
      <w:tr w:rsidR="00BB46CF" w:rsidRPr="007C4D65" w14:paraId="1C483442"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64FD9B9" w14:textId="77777777" w:rsidR="00BB46CF" w:rsidRPr="007C4D65" w:rsidRDefault="00BB46CF"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shd w:val="clear" w:color="auto" w:fill="FFFFFF"/>
            <w:vAlign w:val="center"/>
          </w:tcPr>
          <w:p w14:paraId="50605FCE" w14:textId="1AA577C7" w:rsidR="00BB46CF" w:rsidRPr="007C4D65" w:rsidRDefault="001E6E20"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BB46CF" w:rsidRPr="007C4D65">
              <w:rPr>
                <w:rFonts w:asciiTheme="minorHAnsi" w:eastAsia="Calibri" w:hAnsiTheme="minorHAnsi" w:cstheme="minorHAnsi"/>
                <w:sz w:val="18"/>
                <w:szCs w:val="18"/>
                <w:lang w:eastAsia="en-US"/>
              </w:rPr>
              <w:t xml:space="preserve"> of Environment and Tourism, in cooperation with the Environmental</w:t>
            </w:r>
            <w:r w:rsidR="00A70837" w:rsidRPr="007C4D65">
              <w:rPr>
                <w:rFonts w:asciiTheme="minorHAnsi" w:eastAsia="Calibri" w:hAnsiTheme="minorHAnsi" w:cstheme="minorHAnsi"/>
                <w:sz w:val="18"/>
                <w:szCs w:val="18"/>
                <w:lang w:eastAsia="en-US"/>
              </w:rPr>
              <w:t xml:space="preserve"> Protection</w:t>
            </w:r>
            <w:r w:rsidR="00BB46CF" w:rsidRPr="007C4D65">
              <w:rPr>
                <w:rFonts w:asciiTheme="minorHAnsi" w:eastAsia="Calibri" w:hAnsiTheme="minorHAnsi" w:cstheme="minorHAnsi"/>
                <w:sz w:val="18"/>
                <w:szCs w:val="18"/>
                <w:lang w:eastAsia="en-US"/>
              </w:rPr>
              <w:t xml:space="preserve"> Fund of the Federation of </w:t>
            </w:r>
            <w:proofErr w:type="gramStart"/>
            <w:r w:rsidR="00BB46CF" w:rsidRPr="007C4D65">
              <w:rPr>
                <w:rFonts w:asciiTheme="minorHAnsi" w:eastAsia="Calibri" w:hAnsiTheme="minorHAnsi" w:cstheme="minorHAnsi"/>
                <w:sz w:val="18"/>
                <w:szCs w:val="18"/>
                <w:lang w:eastAsia="en-US"/>
              </w:rPr>
              <w:t xml:space="preserve">BiH </w:t>
            </w:r>
            <w:r w:rsidR="00BB46CF" w:rsidRPr="007C4D65">
              <w:rPr>
                <w:rFonts w:asciiTheme="minorHAnsi" w:eastAsiaTheme="minorHAnsi" w:hAnsiTheme="minorHAnsi" w:cstheme="minorHAnsi"/>
                <w:sz w:val="18"/>
                <w:szCs w:val="18"/>
                <w:lang w:eastAsia="en-US" w:bidi="en-US"/>
              </w:rPr>
              <w:t xml:space="preserve"> and</w:t>
            </w:r>
            <w:proofErr w:type="gramEnd"/>
            <w:r w:rsidR="00BB46CF" w:rsidRPr="007C4D65">
              <w:rPr>
                <w:rFonts w:asciiTheme="minorHAnsi" w:eastAsiaTheme="minorHAnsi" w:hAnsiTheme="minorHAnsi" w:cstheme="minorHAnsi"/>
                <w:sz w:val="18"/>
                <w:szCs w:val="18"/>
                <w:lang w:eastAsia="en-US" w:bidi="en-US"/>
              </w:rPr>
              <w:t xml:space="preserve"> other</w:t>
            </w:r>
            <w:r w:rsidR="00A70837" w:rsidRPr="007C4D65">
              <w:rPr>
                <w:rFonts w:asciiTheme="minorHAnsi" w:eastAsiaTheme="minorHAnsi" w:hAnsiTheme="minorHAnsi" w:cstheme="minorHAnsi"/>
                <w:sz w:val="18"/>
                <w:szCs w:val="18"/>
                <w:lang w:eastAsia="en-US" w:bidi="en-US"/>
              </w:rPr>
              <w:t xml:space="preserve"> environmental</w:t>
            </w:r>
            <w:r w:rsidR="00BB46CF" w:rsidRPr="007C4D65">
              <w:rPr>
                <w:rFonts w:asciiTheme="minorHAnsi" w:eastAsiaTheme="minorHAnsi" w:hAnsiTheme="minorHAnsi" w:cstheme="minorHAnsi"/>
                <w:sz w:val="18"/>
                <w:szCs w:val="18"/>
                <w:lang w:eastAsia="en-US" w:bidi="en-US"/>
              </w:rPr>
              <w:t xml:space="preserve"> institutions, NGO  sector</w:t>
            </w:r>
          </w:p>
        </w:tc>
      </w:tr>
      <w:tr w:rsidR="00BB46CF" w:rsidRPr="007C4D65" w14:paraId="574989E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19099A53" w14:textId="146F4E92" w:rsidR="00BB46CF" w:rsidRPr="007C4D65" w:rsidRDefault="00963086" w:rsidP="00BB46CF">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0722D88" w14:textId="273FB5D1" w:rsidR="00BB46CF" w:rsidRPr="007C4D65" w:rsidRDefault="00BB46CF" w:rsidP="00BB46C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All institutions, business entities and organizations </w:t>
            </w:r>
            <w:r w:rsidR="00A70837" w:rsidRPr="007C4D65">
              <w:rPr>
                <w:rFonts w:asciiTheme="minorHAnsi" w:eastAsiaTheme="minorHAnsi" w:hAnsiTheme="minorHAnsi" w:cstheme="minorHAnsi"/>
                <w:sz w:val="18"/>
                <w:szCs w:val="18"/>
                <w:lang w:eastAsia="en-US" w:bidi="en-US"/>
              </w:rPr>
              <w:t>addressing</w:t>
            </w:r>
            <w:r w:rsidRPr="007C4D65">
              <w:rPr>
                <w:rFonts w:asciiTheme="minorHAnsi" w:eastAsiaTheme="minorHAnsi" w:hAnsiTheme="minorHAnsi" w:cstheme="minorHAnsi"/>
                <w:sz w:val="18"/>
                <w:szCs w:val="18"/>
                <w:lang w:eastAsia="en-US" w:bidi="en-US"/>
              </w:rPr>
              <w:t xml:space="preserve"> environmental issues, professional community, </w:t>
            </w:r>
            <w:proofErr w:type="gramStart"/>
            <w:r w:rsidRPr="007C4D65">
              <w:rPr>
                <w:rFonts w:asciiTheme="minorHAnsi" w:eastAsiaTheme="minorHAnsi" w:hAnsiTheme="minorHAnsi" w:cstheme="minorHAnsi"/>
                <w:sz w:val="18"/>
                <w:szCs w:val="18"/>
                <w:lang w:eastAsia="en-US" w:bidi="en-US"/>
              </w:rPr>
              <w:t>general public</w:t>
            </w:r>
            <w:proofErr w:type="gramEnd"/>
          </w:p>
        </w:tc>
      </w:tr>
    </w:tbl>
    <w:p w14:paraId="6250E146" w14:textId="77777777" w:rsidR="00CC447D" w:rsidRPr="007C4D65" w:rsidRDefault="00CC447D" w:rsidP="0068355A">
      <w:pPr>
        <w:spacing w:line="276" w:lineRule="auto"/>
        <w:rPr>
          <w:rFonts w:asciiTheme="minorHAnsi" w:hAnsiTheme="minorHAnsi" w:cstheme="minorHAnsi"/>
          <w:sz w:val="18"/>
          <w:szCs w:val="18"/>
        </w:rPr>
      </w:pPr>
    </w:p>
    <w:tbl>
      <w:tblPr>
        <w:tblW w:w="4725"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82"/>
        <w:gridCol w:w="3530"/>
        <w:gridCol w:w="3277"/>
        <w:gridCol w:w="2792"/>
      </w:tblGrid>
      <w:tr w:rsidR="00A70837" w:rsidRPr="007C4D65" w14:paraId="453F1BFB" w14:textId="77777777" w:rsidTr="00B6017F">
        <w:trPr>
          <w:trHeight w:val="567"/>
        </w:trPr>
        <w:tc>
          <w:tcPr>
            <w:tcW w:w="1345" w:type="pct"/>
            <w:shd w:val="clear" w:color="auto" w:fill="009D73"/>
            <w:vAlign w:val="center"/>
          </w:tcPr>
          <w:p w14:paraId="65CF5090"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 xml:space="preserve">Link with strategic goal </w:t>
            </w:r>
          </w:p>
        </w:tc>
        <w:tc>
          <w:tcPr>
            <w:tcW w:w="3603"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D529C32" w14:textId="77777777" w:rsidR="00A70837" w:rsidRPr="007C4D65" w:rsidRDefault="00A70837" w:rsidP="00A70837">
            <w:pPr>
              <w:spacing w:after="160" w:line="259" w:lineRule="auto"/>
              <w:rPr>
                <w:rFonts w:asciiTheme="minorHAnsi" w:eastAsia="Calibri" w:hAnsiTheme="minorHAnsi" w:cstheme="minorHAnsi"/>
                <w:b/>
                <w:bCs/>
                <w:sz w:val="18"/>
                <w:szCs w:val="18"/>
                <w:lang w:eastAsia="en-US"/>
              </w:rPr>
            </w:pPr>
            <w:r w:rsidRPr="007C4D65">
              <w:rPr>
                <w:rFonts w:asciiTheme="minorHAnsi" w:eastAsia="Calibri" w:hAnsiTheme="minorHAnsi" w:cstheme="minorHAnsi"/>
                <w:b/>
                <w:bCs/>
                <w:sz w:val="18"/>
                <w:szCs w:val="18"/>
                <w:lang w:eastAsia="en-US"/>
              </w:rPr>
              <w:t>7. Strengthening environmental management</w:t>
            </w:r>
          </w:p>
        </w:tc>
      </w:tr>
      <w:tr w:rsidR="00A70837" w:rsidRPr="007C4D65" w14:paraId="63C05881" w14:textId="77777777" w:rsidTr="00B6017F">
        <w:trPr>
          <w:trHeight w:val="567"/>
        </w:trPr>
        <w:tc>
          <w:tcPr>
            <w:tcW w:w="1345" w:type="pct"/>
            <w:shd w:val="clear" w:color="auto" w:fill="009D73"/>
            <w:vAlign w:val="center"/>
          </w:tcPr>
          <w:p w14:paraId="212142A7"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Priority</w:t>
            </w:r>
          </w:p>
        </w:tc>
        <w:tc>
          <w:tcPr>
            <w:tcW w:w="3603"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406CBAD" w14:textId="5378F3C2" w:rsidR="00A70837" w:rsidRPr="007C4D65" w:rsidRDefault="00A70837" w:rsidP="00A70837">
            <w:pPr>
              <w:spacing w:before="40" w:after="40" w:line="276" w:lineRule="auto"/>
              <w:rPr>
                <w:rFonts w:asciiTheme="minorHAnsi" w:hAnsiTheme="minorHAnsi" w:cstheme="minorHAnsi"/>
                <w:b/>
                <w:bCs/>
                <w:sz w:val="18"/>
                <w:szCs w:val="18"/>
                <w:lang w:eastAsia="zh-TW"/>
              </w:rPr>
            </w:pPr>
            <w:r w:rsidRPr="007C4D65">
              <w:rPr>
                <w:rFonts w:asciiTheme="minorHAnsi" w:hAnsiTheme="minorHAnsi" w:cstheme="minorHAnsi"/>
                <w:b/>
                <w:bCs/>
                <w:sz w:val="18"/>
                <w:szCs w:val="18"/>
                <w:lang w:eastAsia="zh-TW"/>
              </w:rPr>
              <w:t xml:space="preserve">7.5 </w:t>
            </w:r>
            <w:r w:rsidRPr="007C4D65">
              <w:rPr>
                <w:rFonts w:asciiTheme="minorHAnsi" w:eastAsia="Calibri" w:hAnsiTheme="minorHAnsi" w:cstheme="minorHAnsi"/>
                <w:b/>
                <w:bCs/>
                <w:sz w:val="18"/>
                <w:szCs w:val="18"/>
                <w:lang w:eastAsia="en-US"/>
              </w:rPr>
              <w:t>Set up an efficient system for record keeping and transparent reporting of environmental data in the Federation of BiH, in consultation with the Partnership 27</w:t>
            </w:r>
          </w:p>
        </w:tc>
      </w:tr>
      <w:tr w:rsidR="00A70837" w:rsidRPr="007C4D65" w14:paraId="5CB06DC5" w14:textId="77777777" w:rsidTr="00B6017F">
        <w:trPr>
          <w:trHeight w:val="567"/>
        </w:trPr>
        <w:tc>
          <w:tcPr>
            <w:tcW w:w="1345" w:type="pct"/>
            <w:shd w:val="clear" w:color="auto" w:fill="009D73"/>
            <w:vAlign w:val="center"/>
          </w:tcPr>
          <w:p w14:paraId="65103097" w14:textId="038D6DBB"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Measure</w:t>
            </w:r>
          </w:p>
        </w:tc>
        <w:tc>
          <w:tcPr>
            <w:tcW w:w="3603"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92507FE" w14:textId="63136052" w:rsidR="00A70837" w:rsidRPr="007C4D65" w:rsidRDefault="00A70837" w:rsidP="00A70837">
            <w:pPr>
              <w:spacing w:before="40" w:after="40" w:line="276" w:lineRule="auto"/>
              <w:rPr>
                <w:rFonts w:asciiTheme="minorHAnsi" w:eastAsia="Calibri" w:hAnsiTheme="minorHAnsi" w:cstheme="minorHAnsi"/>
                <w:b/>
                <w:sz w:val="18"/>
                <w:szCs w:val="18"/>
                <w:lang w:eastAsia="x-none"/>
              </w:rPr>
            </w:pPr>
            <w:r w:rsidRPr="007C4D65">
              <w:rPr>
                <w:rFonts w:asciiTheme="minorHAnsi" w:eastAsia="Calibri" w:hAnsiTheme="minorHAnsi" w:cstheme="minorHAnsi"/>
                <w:b/>
                <w:sz w:val="18"/>
                <w:szCs w:val="18"/>
                <w:lang w:eastAsia="x-none"/>
              </w:rPr>
              <w:t xml:space="preserve">7.5.3 </w:t>
            </w:r>
            <w:r w:rsidRPr="007C4D65">
              <w:rPr>
                <w:rFonts w:asciiTheme="minorHAnsi" w:eastAsia="Calibri" w:hAnsiTheme="minorHAnsi" w:cstheme="minorHAnsi"/>
                <w:b/>
                <w:bCs/>
                <w:sz w:val="18"/>
                <w:szCs w:val="18"/>
                <w:lang w:eastAsia="en-US"/>
              </w:rPr>
              <w:t>Establishment of an effective system for monitoring, collection, validation of environmental data in accordance with the international agreements</w:t>
            </w:r>
          </w:p>
        </w:tc>
      </w:tr>
      <w:tr w:rsidR="00A70837" w:rsidRPr="007C4D65" w14:paraId="3EA4186A" w14:textId="77777777" w:rsidTr="00B6017F">
        <w:trPr>
          <w:trHeight w:val="567"/>
        </w:trPr>
        <w:tc>
          <w:tcPr>
            <w:tcW w:w="134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76FF7E1" w14:textId="77777777" w:rsidR="00A70837" w:rsidRPr="007C4D65" w:rsidRDefault="00A70837" w:rsidP="00A70837">
            <w:pPr>
              <w:spacing w:before="40" w:after="40" w:line="276" w:lineRule="auto"/>
              <w:ind w:left="406"/>
              <w:contextualSpacing/>
              <w:jc w:val="both"/>
              <w:rPr>
                <w:rFonts w:asciiTheme="minorHAnsi" w:eastAsia="Calibri" w:hAnsiTheme="minorHAnsi" w:cstheme="minorHAnsi"/>
                <w:sz w:val="18"/>
                <w:szCs w:val="18"/>
                <w:lang w:eastAsia="en-US"/>
              </w:rPr>
            </w:pPr>
            <w:r w:rsidRPr="007C4D65">
              <w:rPr>
                <w:rFonts w:asciiTheme="minorHAnsi" w:eastAsia="Calibri" w:hAnsiTheme="minorHAnsi" w:cstheme="minorHAnsi"/>
                <w:b/>
                <w:bCs/>
                <w:color w:val="FFFFFF"/>
                <w:sz w:val="18"/>
                <w:szCs w:val="18"/>
                <w:lang w:eastAsia="en-US" w:bidi="en-US"/>
              </w:rPr>
              <w:t>Description of the measure with the general area of intervention</w:t>
            </w:r>
          </w:p>
          <w:p w14:paraId="1D85605C"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3603"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0CE795F" w14:textId="12379911" w:rsidR="00A70837" w:rsidRPr="007C4D65" w:rsidRDefault="00A70837" w:rsidP="00A70837">
            <w:pPr>
              <w:spacing w:before="40" w:after="40" w:line="276" w:lineRule="auto"/>
              <w:rPr>
                <w:rFonts w:asciiTheme="minorHAnsi" w:eastAsia="Calibri" w:hAnsiTheme="minorHAnsi" w:cstheme="minorHAnsi"/>
                <w:sz w:val="18"/>
                <w:szCs w:val="18"/>
                <w:lang w:eastAsia="en-US"/>
              </w:rPr>
            </w:pPr>
            <w:r w:rsidRPr="007C4D65">
              <w:rPr>
                <w:rFonts w:asciiTheme="minorHAnsi" w:eastAsia="Calibri" w:hAnsiTheme="minorHAnsi" w:cstheme="minorHAnsi"/>
                <w:sz w:val="18"/>
                <w:szCs w:val="18"/>
                <w:lang w:eastAsia="en-US"/>
              </w:rPr>
              <w:t xml:space="preserve">The aim of this measure is to establish </w:t>
            </w:r>
            <w:r w:rsidR="004904C2" w:rsidRPr="007C4D65">
              <w:rPr>
                <w:rFonts w:asciiTheme="minorHAnsi" w:eastAsia="Calibri" w:hAnsiTheme="minorHAnsi" w:cstheme="minorHAnsi"/>
                <w:sz w:val="18"/>
                <w:szCs w:val="18"/>
                <w:lang w:eastAsia="en-US"/>
              </w:rPr>
              <w:t>an effective</w:t>
            </w:r>
            <w:r w:rsidRPr="007C4D65">
              <w:rPr>
                <w:rFonts w:asciiTheme="minorHAnsi" w:eastAsia="Calibri" w:hAnsiTheme="minorHAnsi" w:cstheme="minorHAnsi"/>
                <w:sz w:val="18"/>
                <w:szCs w:val="18"/>
                <w:lang w:eastAsia="en-US"/>
              </w:rPr>
              <w:t xml:space="preserve">, integrated system </w:t>
            </w:r>
            <w:r w:rsidR="004904C2" w:rsidRPr="007C4D65">
              <w:rPr>
                <w:rFonts w:asciiTheme="minorHAnsi" w:eastAsia="Calibri" w:hAnsiTheme="minorHAnsi" w:cstheme="minorHAnsi"/>
                <w:sz w:val="18"/>
                <w:szCs w:val="18"/>
                <w:lang w:eastAsia="en-US"/>
              </w:rPr>
              <w:t>for</w:t>
            </w:r>
            <w:r w:rsidRPr="007C4D65">
              <w:rPr>
                <w:rFonts w:asciiTheme="minorHAnsi" w:eastAsia="Calibri" w:hAnsiTheme="minorHAnsi" w:cstheme="minorHAnsi"/>
                <w:sz w:val="18"/>
                <w:szCs w:val="18"/>
                <w:lang w:eastAsia="en-US"/>
              </w:rPr>
              <w:t xml:space="preserve"> monitoring, collection and reporting of environmental data </w:t>
            </w:r>
            <w:proofErr w:type="gramStart"/>
            <w:r w:rsidRPr="007C4D65">
              <w:rPr>
                <w:rFonts w:asciiTheme="minorHAnsi" w:eastAsia="Calibri" w:hAnsiTheme="minorHAnsi" w:cstheme="minorHAnsi"/>
                <w:sz w:val="18"/>
                <w:szCs w:val="18"/>
                <w:lang w:eastAsia="en-US"/>
              </w:rPr>
              <w:t>in order to</w:t>
            </w:r>
            <w:proofErr w:type="gramEnd"/>
            <w:r w:rsidRPr="007C4D65">
              <w:rPr>
                <w:rFonts w:asciiTheme="minorHAnsi" w:eastAsia="Calibri" w:hAnsiTheme="minorHAnsi" w:cstheme="minorHAnsi"/>
                <w:sz w:val="18"/>
                <w:szCs w:val="18"/>
                <w:lang w:eastAsia="en-US"/>
              </w:rPr>
              <w:t xml:space="preserve"> ensure efficient and effective reporting in accordance with the international standards and agreements</w:t>
            </w:r>
          </w:p>
          <w:p w14:paraId="2C130416" w14:textId="77777777" w:rsidR="00A70837" w:rsidRPr="007C4D65" w:rsidRDefault="00A70837" w:rsidP="00A70837">
            <w:p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General areas of intervention</w:t>
            </w:r>
            <w:r w:rsidRPr="007C4D65">
              <w:rPr>
                <w:rFonts w:asciiTheme="minorHAnsi" w:eastAsia="Calibri" w:hAnsiTheme="minorHAnsi" w:cstheme="minorHAnsi"/>
                <w:sz w:val="18"/>
                <w:szCs w:val="18"/>
                <w:lang w:eastAsia="x-none"/>
              </w:rPr>
              <w:t>:</w:t>
            </w:r>
          </w:p>
          <w:p w14:paraId="709079E9" w14:textId="522EE559" w:rsidR="00A70837" w:rsidRPr="007C4D65" w:rsidRDefault="006D5B5A" w:rsidP="006D5B5A">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1) </w:t>
            </w:r>
            <w:r w:rsidR="00A70837" w:rsidRPr="007C4D65">
              <w:rPr>
                <w:rFonts w:asciiTheme="minorHAnsi" w:eastAsia="Calibri" w:hAnsiTheme="minorHAnsi" w:cstheme="minorHAnsi"/>
                <w:sz w:val="18"/>
                <w:szCs w:val="18"/>
                <w:lang w:eastAsia="x-none"/>
              </w:rPr>
              <w:t xml:space="preserve">In coordination with the </w:t>
            </w:r>
            <w:r w:rsidR="00A70837" w:rsidRPr="007C4D65">
              <w:rPr>
                <w:rFonts w:asciiTheme="minorHAnsi" w:eastAsia="Calibri" w:hAnsiTheme="minorHAnsi" w:cstheme="minorHAnsi"/>
                <w:sz w:val="18"/>
                <w:szCs w:val="18"/>
                <w:lang w:eastAsia="en-US"/>
              </w:rPr>
              <w:t xml:space="preserve">Ministry for Foreign Trade and Economic Relations of </w:t>
            </w:r>
            <w:r w:rsidRPr="007C4D65">
              <w:rPr>
                <w:rFonts w:asciiTheme="minorHAnsi" w:eastAsia="Calibri" w:hAnsiTheme="minorHAnsi" w:cstheme="minorHAnsi"/>
                <w:sz w:val="18"/>
                <w:szCs w:val="18"/>
                <w:lang w:eastAsia="en-US"/>
              </w:rPr>
              <w:t>BiH</w:t>
            </w:r>
            <w:r w:rsidR="00A70837" w:rsidRPr="007C4D65">
              <w:rPr>
                <w:rFonts w:asciiTheme="minorHAnsi" w:eastAsia="Calibri" w:hAnsiTheme="minorHAnsi" w:cstheme="minorHAnsi"/>
                <w:sz w:val="18"/>
                <w:szCs w:val="18"/>
                <w:lang w:eastAsia="x-none"/>
              </w:rPr>
              <w:t>, participa</w:t>
            </w:r>
            <w:r w:rsidRPr="007C4D65">
              <w:rPr>
                <w:rFonts w:asciiTheme="minorHAnsi" w:eastAsia="Calibri" w:hAnsiTheme="minorHAnsi" w:cstheme="minorHAnsi"/>
                <w:sz w:val="18"/>
                <w:szCs w:val="18"/>
                <w:lang w:eastAsia="x-none"/>
              </w:rPr>
              <w:t>te</w:t>
            </w:r>
            <w:r w:rsidR="00A70837" w:rsidRPr="007C4D65">
              <w:rPr>
                <w:rFonts w:asciiTheme="minorHAnsi" w:eastAsia="Calibri" w:hAnsiTheme="minorHAnsi" w:cstheme="minorHAnsi"/>
                <w:sz w:val="18"/>
                <w:szCs w:val="18"/>
                <w:lang w:eastAsia="x-none"/>
              </w:rPr>
              <w:t xml:space="preserve"> in </w:t>
            </w:r>
            <w:r w:rsidRPr="007C4D65">
              <w:rPr>
                <w:rFonts w:asciiTheme="minorHAnsi" w:eastAsia="Calibri" w:hAnsiTheme="minorHAnsi" w:cstheme="minorHAnsi"/>
                <w:bCs/>
                <w:sz w:val="18"/>
                <w:szCs w:val="18"/>
                <w:lang w:eastAsia="x-none"/>
              </w:rPr>
              <w:t xml:space="preserve">completing studies </w:t>
            </w:r>
            <w:r w:rsidR="00A70837" w:rsidRPr="007C4D65">
              <w:rPr>
                <w:rFonts w:asciiTheme="minorHAnsi" w:eastAsia="Calibri" w:hAnsiTheme="minorHAnsi" w:cstheme="minorHAnsi"/>
                <w:bCs/>
                <w:sz w:val="18"/>
                <w:szCs w:val="18"/>
                <w:lang w:eastAsia="x-none"/>
              </w:rPr>
              <w:t xml:space="preserve">which </w:t>
            </w:r>
            <w:r w:rsidRPr="007C4D65">
              <w:rPr>
                <w:rFonts w:asciiTheme="minorHAnsi" w:eastAsia="Calibri" w:hAnsiTheme="minorHAnsi" w:cstheme="minorHAnsi"/>
                <w:bCs/>
                <w:sz w:val="18"/>
                <w:szCs w:val="18"/>
                <w:lang w:eastAsia="x-none"/>
              </w:rPr>
              <w:t>should</w:t>
            </w:r>
            <w:r w:rsidR="00A70837" w:rsidRPr="007C4D65">
              <w:rPr>
                <w:rFonts w:asciiTheme="minorHAnsi" w:eastAsia="Calibri" w:hAnsiTheme="minorHAnsi" w:cstheme="minorHAnsi"/>
                <w:bCs/>
                <w:sz w:val="18"/>
                <w:szCs w:val="18"/>
                <w:lang w:eastAsia="x-none"/>
              </w:rPr>
              <w:t xml:space="preserve"> revise the existing and make proposal for ex</w:t>
            </w:r>
            <w:r w:rsidRPr="007C4D65">
              <w:rPr>
                <w:rFonts w:asciiTheme="minorHAnsi" w:eastAsia="Calibri" w:hAnsiTheme="minorHAnsi" w:cstheme="minorHAnsi"/>
                <w:bCs/>
                <w:sz w:val="18"/>
                <w:szCs w:val="18"/>
                <w:lang w:eastAsia="x-none"/>
              </w:rPr>
              <w:t>pan</w:t>
            </w:r>
            <w:r w:rsidR="00A70837" w:rsidRPr="007C4D65">
              <w:rPr>
                <w:rFonts w:asciiTheme="minorHAnsi" w:eastAsia="Calibri" w:hAnsiTheme="minorHAnsi" w:cstheme="minorHAnsi"/>
                <w:bCs/>
                <w:sz w:val="18"/>
                <w:szCs w:val="18"/>
                <w:lang w:eastAsia="x-none"/>
              </w:rPr>
              <w:t xml:space="preserve">ded set of indicators that </w:t>
            </w:r>
            <w:proofErr w:type="gramStart"/>
            <w:r w:rsidR="00A70837" w:rsidRPr="007C4D65">
              <w:rPr>
                <w:rFonts w:asciiTheme="minorHAnsi" w:eastAsia="Calibri" w:hAnsiTheme="minorHAnsi" w:cstheme="minorHAnsi"/>
                <w:bCs/>
                <w:sz w:val="18"/>
                <w:szCs w:val="18"/>
                <w:lang w:eastAsia="x-none"/>
              </w:rPr>
              <w:t>have to</w:t>
            </w:r>
            <w:proofErr w:type="gramEnd"/>
            <w:r w:rsidR="00A70837" w:rsidRPr="007C4D65">
              <w:rPr>
                <w:rFonts w:asciiTheme="minorHAnsi" w:eastAsia="Calibri" w:hAnsiTheme="minorHAnsi" w:cstheme="minorHAnsi"/>
                <w:bCs/>
                <w:sz w:val="18"/>
                <w:szCs w:val="18"/>
                <w:lang w:eastAsia="x-none"/>
              </w:rPr>
              <w:t xml:space="preserve"> be monitored in all areas</w:t>
            </w:r>
            <w:r w:rsidR="00A70837" w:rsidRPr="007C4D65">
              <w:rPr>
                <w:rFonts w:asciiTheme="minorHAnsi" w:eastAsia="Calibri" w:hAnsiTheme="minorHAnsi" w:cstheme="minorHAnsi"/>
                <w:sz w:val="18"/>
                <w:szCs w:val="18"/>
                <w:lang w:eastAsia="x-none"/>
              </w:rPr>
              <w:t xml:space="preserve">. The analysis will make proposals on methods of data collection </w:t>
            </w:r>
            <w:r w:rsidRPr="007C4D65">
              <w:rPr>
                <w:rFonts w:asciiTheme="minorHAnsi" w:eastAsia="Calibri" w:hAnsiTheme="minorHAnsi" w:cstheme="minorHAnsi"/>
                <w:sz w:val="18"/>
                <w:szCs w:val="18"/>
                <w:lang w:eastAsia="x-none"/>
              </w:rPr>
              <w:t>clearly defining the</w:t>
            </w:r>
            <w:r w:rsidR="00A70837" w:rsidRPr="007C4D65">
              <w:rPr>
                <w:rFonts w:asciiTheme="minorHAnsi" w:eastAsia="Calibri" w:hAnsiTheme="minorHAnsi" w:cstheme="minorHAnsi"/>
                <w:sz w:val="18"/>
                <w:szCs w:val="18"/>
                <w:lang w:eastAsia="x-none"/>
              </w:rPr>
              <w:t xml:space="preserve"> role</w:t>
            </w:r>
            <w:r w:rsidRPr="007C4D65">
              <w:rPr>
                <w:rFonts w:asciiTheme="minorHAnsi" w:eastAsia="Calibri" w:hAnsiTheme="minorHAnsi" w:cstheme="minorHAnsi"/>
                <w:sz w:val="18"/>
                <w:szCs w:val="18"/>
                <w:lang w:eastAsia="x-none"/>
              </w:rPr>
              <w:t>s</w:t>
            </w:r>
            <w:r w:rsidR="00A70837" w:rsidRPr="007C4D65">
              <w:rPr>
                <w:rFonts w:asciiTheme="minorHAnsi" w:eastAsia="Calibri" w:hAnsiTheme="minorHAnsi" w:cstheme="minorHAnsi"/>
                <w:sz w:val="18"/>
                <w:szCs w:val="18"/>
                <w:lang w:eastAsia="x-none"/>
              </w:rPr>
              <w:t xml:space="preserve"> of the institutions of </w:t>
            </w:r>
            <w:r w:rsidRPr="007C4D65">
              <w:rPr>
                <w:rFonts w:asciiTheme="minorHAnsi" w:eastAsia="Calibri" w:hAnsiTheme="minorHAnsi" w:cstheme="minorHAnsi"/>
                <w:sz w:val="18"/>
                <w:szCs w:val="18"/>
                <w:lang w:eastAsia="x-none"/>
              </w:rPr>
              <w:t>the Federation of BiH</w:t>
            </w:r>
            <w:r w:rsidR="00A70837" w:rsidRPr="007C4D65">
              <w:rPr>
                <w:rFonts w:asciiTheme="minorHAnsi" w:eastAsia="Calibri" w:hAnsiTheme="minorHAnsi" w:cstheme="minorHAnsi"/>
                <w:sz w:val="18"/>
                <w:szCs w:val="18"/>
                <w:lang w:eastAsia="x-none"/>
              </w:rPr>
              <w:t xml:space="preserve"> in </w:t>
            </w:r>
            <w:r w:rsidRPr="007C4D65">
              <w:rPr>
                <w:rFonts w:asciiTheme="minorHAnsi" w:eastAsia="Calibri" w:hAnsiTheme="minorHAnsi" w:cstheme="minorHAnsi"/>
                <w:sz w:val="18"/>
                <w:szCs w:val="18"/>
                <w:lang w:eastAsia="x-none"/>
              </w:rPr>
              <w:t>providing</w:t>
            </w:r>
            <w:r w:rsidR="00A70837" w:rsidRPr="007C4D65">
              <w:rPr>
                <w:rFonts w:asciiTheme="minorHAnsi" w:eastAsia="Calibri" w:hAnsiTheme="minorHAnsi" w:cstheme="minorHAnsi"/>
                <w:sz w:val="18"/>
                <w:szCs w:val="18"/>
                <w:lang w:eastAsia="x-none"/>
              </w:rPr>
              <w:t xml:space="preserve"> </w:t>
            </w:r>
            <w:proofErr w:type="gramStart"/>
            <w:r w:rsidR="00A70837" w:rsidRPr="007C4D65">
              <w:rPr>
                <w:rFonts w:asciiTheme="minorHAnsi" w:eastAsia="Calibri" w:hAnsiTheme="minorHAnsi" w:cstheme="minorHAnsi"/>
                <w:sz w:val="18"/>
                <w:szCs w:val="18"/>
                <w:lang w:eastAsia="x-none"/>
              </w:rPr>
              <w:t>data, and</w:t>
            </w:r>
            <w:proofErr w:type="gramEnd"/>
            <w:r w:rsidR="00A70837"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assessing</w:t>
            </w:r>
            <w:r w:rsidR="00A70837"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needs</w:t>
            </w:r>
            <w:r w:rsidR="00A70837" w:rsidRPr="007C4D65">
              <w:rPr>
                <w:rFonts w:asciiTheme="minorHAnsi" w:eastAsia="Calibri" w:hAnsiTheme="minorHAnsi" w:cstheme="minorHAnsi"/>
                <w:sz w:val="18"/>
                <w:szCs w:val="18"/>
                <w:lang w:eastAsia="x-none"/>
              </w:rPr>
              <w:t xml:space="preserve"> for staff training (upgrading the report for the project </w:t>
            </w:r>
            <w:r w:rsidR="00A70837" w:rsidRPr="007C4D65">
              <w:rPr>
                <w:rFonts w:asciiTheme="minorHAnsi" w:eastAsia="Calibri" w:hAnsiTheme="minorHAnsi" w:cstheme="minorHAnsi"/>
                <w:i/>
                <w:iCs/>
                <w:sz w:val="18"/>
                <w:szCs w:val="18"/>
                <w:lang w:eastAsia="x-none"/>
              </w:rPr>
              <w:t>“Strengthening the institutions for environmental protection in BiH and preparation for pre-accession funds (</w:t>
            </w:r>
            <w:proofErr w:type="spellStart"/>
            <w:r w:rsidR="00A70837" w:rsidRPr="007C4D65">
              <w:rPr>
                <w:rFonts w:asciiTheme="minorHAnsi" w:eastAsia="Calibri" w:hAnsiTheme="minorHAnsi" w:cstheme="minorHAnsi"/>
                <w:i/>
                <w:iCs/>
                <w:sz w:val="18"/>
                <w:szCs w:val="18"/>
                <w:lang w:eastAsia="x-none"/>
              </w:rPr>
              <w:t>EnvIS</w:t>
            </w:r>
            <w:proofErr w:type="spellEnd"/>
            <w:r w:rsidR="00A70837" w:rsidRPr="007C4D65">
              <w:rPr>
                <w:rFonts w:asciiTheme="minorHAnsi" w:eastAsia="Calibri" w:hAnsiTheme="minorHAnsi" w:cstheme="minorHAnsi"/>
                <w:i/>
                <w:iCs/>
                <w:sz w:val="18"/>
                <w:szCs w:val="18"/>
                <w:lang w:eastAsia="x-none"/>
              </w:rPr>
              <w:t>)”</w:t>
            </w:r>
            <w:r w:rsidR="00A70837" w:rsidRPr="007C4D65">
              <w:rPr>
                <w:rFonts w:asciiTheme="minorHAnsi" w:eastAsia="Calibri" w:hAnsiTheme="minorHAnsi" w:cstheme="minorHAnsi"/>
                <w:sz w:val="18"/>
                <w:szCs w:val="18"/>
                <w:lang w:eastAsia="x-none"/>
              </w:rPr>
              <w:t xml:space="preserve">). At the same time, it is necessary to include the reporting requirements of EEA, EUROSTAT, EIONET, DG ENV, SDG, 3RIO, UNECE, and also including LUCAS research conducted by the Eurostat, in three-year dynamics (use of land and soil cover) </w:t>
            </w:r>
            <w:proofErr w:type="gramStart"/>
            <w:r w:rsidR="00A70837" w:rsidRPr="007C4D65">
              <w:rPr>
                <w:rFonts w:asciiTheme="minorHAnsi" w:eastAsia="Calibri" w:hAnsiTheme="minorHAnsi" w:cstheme="minorHAnsi"/>
                <w:sz w:val="18"/>
                <w:szCs w:val="18"/>
                <w:lang w:eastAsia="x-none"/>
              </w:rPr>
              <w:t>etc.</w:t>
            </w:r>
            <w:r w:rsidR="00582D43" w:rsidRPr="007C4D65">
              <w:rPr>
                <w:rFonts w:asciiTheme="minorHAnsi" w:eastAsia="Calibri" w:hAnsiTheme="minorHAnsi" w:cstheme="minorHAnsi"/>
                <w:sz w:val="18"/>
                <w:szCs w:val="18"/>
                <w:lang w:eastAsia="x-none"/>
              </w:rPr>
              <w:t>;</w:t>
            </w:r>
            <w:proofErr w:type="gramEnd"/>
          </w:p>
          <w:p w14:paraId="71A1C924" w14:textId="567A3396" w:rsidR="00A70837" w:rsidRPr="007C4D65" w:rsidRDefault="006D5B5A" w:rsidP="006D5B5A">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2) </w:t>
            </w:r>
            <w:r w:rsidR="00A70837" w:rsidRPr="007C4D65">
              <w:rPr>
                <w:rFonts w:asciiTheme="minorHAnsi" w:eastAsia="Calibri" w:hAnsiTheme="minorHAnsi" w:cstheme="minorHAnsi"/>
                <w:sz w:val="18"/>
                <w:szCs w:val="18"/>
                <w:lang w:eastAsia="x-none"/>
              </w:rPr>
              <w:t xml:space="preserve">Based on the study, </w:t>
            </w:r>
            <w:r w:rsidRPr="007C4D65">
              <w:rPr>
                <w:rFonts w:asciiTheme="minorHAnsi" w:eastAsia="Calibri" w:hAnsiTheme="minorHAnsi" w:cstheme="minorHAnsi"/>
                <w:sz w:val="18"/>
                <w:szCs w:val="18"/>
                <w:lang w:eastAsia="x-none"/>
              </w:rPr>
              <w:t>prepare and adopt</w:t>
            </w:r>
            <w:r w:rsidR="00A70837" w:rsidRPr="007C4D65">
              <w:rPr>
                <w:rFonts w:asciiTheme="minorHAnsi" w:eastAsia="Calibri" w:hAnsiTheme="minorHAnsi" w:cstheme="minorHAnsi"/>
                <w:sz w:val="18"/>
                <w:szCs w:val="18"/>
                <w:lang w:eastAsia="x-none"/>
              </w:rPr>
              <w:t xml:space="preserve"> the </w:t>
            </w:r>
            <w:r w:rsidRPr="007C4D65">
              <w:rPr>
                <w:rFonts w:asciiTheme="minorHAnsi" w:eastAsia="Calibri" w:hAnsiTheme="minorHAnsi" w:cstheme="minorHAnsi"/>
                <w:sz w:val="18"/>
                <w:szCs w:val="18"/>
                <w:lang w:eastAsia="x-none"/>
              </w:rPr>
              <w:t>Federation of BiH</w:t>
            </w:r>
            <w:r w:rsidR="00A70837" w:rsidRPr="007C4D65">
              <w:rPr>
                <w:rFonts w:asciiTheme="minorHAnsi" w:eastAsia="Calibri" w:hAnsiTheme="minorHAnsi" w:cstheme="minorHAnsi"/>
                <w:sz w:val="18"/>
                <w:szCs w:val="18"/>
                <w:lang w:eastAsia="x-none"/>
              </w:rPr>
              <w:t xml:space="preserve"> list of indicators for monitoring of </w:t>
            </w:r>
            <w:r w:rsidRPr="007C4D65">
              <w:rPr>
                <w:rFonts w:asciiTheme="minorHAnsi" w:eastAsia="Calibri" w:hAnsiTheme="minorHAnsi" w:cstheme="minorHAnsi"/>
                <w:sz w:val="18"/>
                <w:szCs w:val="18"/>
                <w:lang w:eastAsia="x-none"/>
              </w:rPr>
              <w:t>the state of environment</w:t>
            </w:r>
            <w:r w:rsidR="00A70837" w:rsidRPr="007C4D65">
              <w:rPr>
                <w:rFonts w:asciiTheme="minorHAnsi" w:eastAsia="Calibri" w:hAnsiTheme="minorHAnsi" w:cstheme="minorHAnsi"/>
                <w:sz w:val="18"/>
                <w:szCs w:val="18"/>
                <w:lang w:eastAsia="x-none"/>
              </w:rPr>
              <w:t xml:space="preserve"> (which is part of the national list of indicators). The </w:t>
            </w:r>
            <w:r w:rsidRPr="007C4D65">
              <w:rPr>
                <w:rFonts w:asciiTheme="minorHAnsi" w:eastAsia="Calibri" w:hAnsiTheme="minorHAnsi" w:cstheme="minorHAnsi"/>
                <w:sz w:val="18"/>
                <w:szCs w:val="18"/>
                <w:lang w:eastAsia="x-none"/>
              </w:rPr>
              <w:t>L</w:t>
            </w:r>
            <w:r w:rsidR="00A70837" w:rsidRPr="007C4D65">
              <w:rPr>
                <w:rFonts w:asciiTheme="minorHAnsi" w:eastAsia="Calibri" w:hAnsiTheme="minorHAnsi" w:cstheme="minorHAnsi"/>
                <w:sz w:val="18"/>
                <w:szCs w:val="18"/>
                <w:lang w:eastAsia="x-none"/>
              </w:rPr>
              <w:t>ist of indicators</w:t>
            </w:r>
            <w:r w:rsidRPr="007C4D65">
              <w:rPr>
                <w:rFonts w:asciiTheme="minorHAnsi" w:eastAsia="Calibri" w:hAnsiTheme="minorHAnsi" w:cstheme="minorHAnsi"/>
                <w:sz w:val="18"/>
                <w:szCs w:val="18"/>
                <w:lang w:eastAsia="x-none"/>
              </w:rPr>
              <w:t xml:space="preserve"> of the Federation</w:t>
            </w:r>
            <w:r w:rsidR="00A70837" w:rsidRPr="007C4D65">
              <w:rPr>
                <w:rFonts w:asciiTheme="minorHAnsi" w:eastAsia="Calibri" w:hAnsiTheme="minorHAnsi" w:cstheme="minorHAnsi"/>
                <w:sz w:val="18"/>
                <w:szCs w:val="18"/>
                <w:lang w:eastAsia="x-none"/>
              </w:rPr>
              <w:t xml:space="preserve"> should include the indicators from the </w:t>
            </w:r>
            <w:r w:rsidRPr="007C4D65">
              <w:rPr>
                <w:rFonts w:asciiTheme="minorHAnsi" w:eastAsia="Calibri" w:hAnsiTheme="minorHAnsi" w:cstheme="minorHAnsi"/>
                <w:sz w:val="18"/>
                <w:szCs w:val="18"/>
                <w:lang w:eastAsia="x-none"/>
              </w:rPr>
              <w:t>core set of indicators</w:t>
            </w:r>
            <w:r w:rsidR="00A70837" w:rsidRPr="007C4D65">
              <w:rPr>
                <w:rFonts w:asciiTheme="minorHAnsi" w:eastAsia="Calibri" w:hAnsiTheme="minorHAnsi" w:cstheme="minorHAnsi"/>
                <w:sz w:val="18"/>
                <w:szCs w:val="18"/>
                <w:lang w:eastAsia="x-none"/>
              </w:rPr>
              <w:t xml:space="preserve"> used by the European Environment </w:t>
            </w:r>
            <w:proofErr w:type="gramStart"/>
            <w:r w:rsidR="00A70837" w:rsidRPr="007C4D65">
              <w:rPr>
                <w:rFonts w:asciiTheme="minorHAnsi" w:eastAsia="Calibri" w:hAnsiTheme="minorHAnsi" w:cstheme="minorHAnsi"/>
                <w:sz w:val="18"/>
                <w:szCs w:val="18"/>
                <w:lang w:eastAsia="x-none"/>
              </w:rPr>
              <w:t>Agency</w:t>
            </w:r>
            <w:r w:rsidR="00582D43" w:rsidRPr="007C4D65">
              <w:rPr>
                <w:rFonts w:asciiTheme="minorHAnsi" w:eastAsia="Calibri" w:hAnsiTheme="minorHAnsi" w:cstheme="minorHAnsi"/>
                <w:sz w:val="18"/>
                <w:szCs w:val="18"/>
                <w:lang w:eastAsia="x-none"/>
              </w:rPr>
              <w:t>;</w:t>
            </w:r>
            <w:proofErr w:type="gramEnd"/>
          </w:p>
          <w:p w14:paraId="66AE60B0" w14:textId="2919F782" w:rsidR="00A70837" w:rsidRPr="007C4D65" w:rsidRDefault="006D5B5A" w:rsidP="006D5B5A">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3) </w:t>
            </w:r>
            <w:r w:rsidR="00A70837" w:rsidRPr="007C4D65">
              <w:rPr>
                <w:rFonts w:asciiTheme="minorHAnsi" w:eastAsia="Calibri" w:hAnsiTheme="minorHAnsi" w:cstheme="minorHAnsi"/>
                <w:sz w:val="18"/>
                <w:szCs w:val="18"/>
                <w:lang w:eastAsia="x-none"/>
              </w:rPr>
              <w:t xml:space="preserve">Participation in </w:t>
            </w:r>
            <w:r w:rsidRPr="007C4D65">
              <w:rPr>
                <w:rFonts w:asciiTheme="minorHAnsi" w:eastAsia="Calibri" w:hAnsiTheme="minorHAnsi" w:cstheme="minorHAnsi"/>
                <w:sz w:val="18"/>
                <w:szCs w:val="18"/>
                <w:lang w:eastAsia="x-none"/>
              </w:rPr>
              <w:t xml:space="preserve">activities </w:t>
            </w:r>
            <w:r w:rsidR="00A70837" w:rsidRPr="007C4D65">
              <w:rPr>
                <w:rFonts w:asciiTheme="minorHAnsi" w:eastAsia="Calibri" w:hAnsiTheme="minorHAnsi" w:cstheme="minorHAnsi"/>
                <w:sz w:val="18"/>
                <w:szCs w:val="18"/>
                <w:lang w:eastAsia="x-none"/>
              </w:rPr>
              <w:t xml:space="preserve">of the Working </w:t>
            </w:r>
            <w:r w:rsidRPr="007C4D65">
              <w:rPr>
                <w:rFonts w:asciiTheme="minorHAnsi" w:eastAsia="Calibri" w:hAnsiTheme="minorHAnsi" w:cstheme="minorHAnsi"/>
                <w:sz w:val="18"/>
                <w:szCs w:val="18"/>
                <w:lang w:eastAsia="x-none"/>
              </w:rPr>
              <w:t>G</w:t>
            </w:r>
            <w:r w:rsidR="00A70837" w:rsidRPr="007C4D65">
              <w:rPr>
                <w:rFonts w:asciiTheme="minorHAnsi" w:eastAsia="Calibri" w:hAnsiTheme="minorHAnsi" w:cstheme="minorHAnsi"/>
                <w:sz w:val="18"/>
                <w:szCs w:val="18"/>
                <w:lang w:eastAsia="x-none"/>
              </w:rPr>
              <w:t xml:space="preserve">roup coordinated by the </w:t>
            </w:r>
            <w:r w:rsidR="00A70837" w:rsidRPr="007C4D65">
              <w:rPr>
                <w:rFonts w:asciiTheme="minorHAnsi" w:eastAsia="Calibri" w:hAnsiTheme="minorHAnsi" w:cstheme="minorHAnsi"/>
                <w:sz w:val="18"/>
                <w:szCs w:val="18"/>
                <w:lang w:eastAsia="en-US"/>
              </w:rPr>
              <w:t xml:space="preserve">Ministry for Foreign Trade and Economic Relations of </w:t>
            </w:r>
            <w:r w:rsidRPr="007C4D65">
              <w:rPr>
                <w:rFonts w:asciiTheme="minorHAnsi" w:eastAsia="Calibri" w:hAnsiTheme="minorHAnsi" w:cstheme="minorHAnsi"/>
                <w:sz w:val="18"/>
                <w:szCs w:val="18"/>
                <w:lang w:eastAsia="en-US"/>
              </w:rPr>
              <w:t>BiH</w:t>
            </w:r>
            <w:r w:rsidRPr="007C4D65">
              <w:rPr>
                <w:rFonts w:asciiTheme="minorHAnsi" w:eastAsia="Calibri" w:hAnsiTheme="minorHAnsi" w:cstheme="minorHAnsi"/>
                <w:sz w:val="18"/>
                <w:szCs w:val="18"/>
                <w:lang w:eastAsia="x-none"/>
              </w:rPr>
              <w:t xml:space="preserve"> </w:t>
            </w:r>
            <w:r w:rsidR="00A70837" w:rsidRPr="007C4D65">
              <w:rPr>
                <w:rFonts w:asciiTheme="minorHAnsi" w:eastAsia="Calibri" w:hAnsiTheme="minorHAnsi" w:cstheme="minorHAnsi"/>
                <w:sz w:val="18"/>
                <w:szCs w:val="18"/>
                <w:lang w:eastAsia="x-none"/>
              </w:rPr>
              <w:t xml:space="preserve">which will </w:t>
            </w:r>
            <w:r w:rsidRPr="007C4D65">
              <w:rPr>
                <w:rFonts w:asciiTheme="minorHAnsi" w:eastAsia="Calibri" w:hAnsiTheme="minorHAnsi" w:cstheme="minorHAnsi"/>
                <w:sz w:val="18"/>
                <w:szCs w:val="18"/>
                <w:lang w:eastAsia="x-none"/>
              </w:rPr>
              <w:t>comprise representatives of</w:t>
            </w:r>
            <w:r w:rsidR="00A70837" w:rsidRPr="007C4D65">
              <w:rPr>
                <w:rFonts w:asciiTheme="minorHAnsi" w:eastAsia="Calibri" w:hAnsiTheme="minorHAnsi" w:cstheme="minorHAnsi"/>
                <w:sz w:val="18"/>
                <w:szCs w:val="18"/>
                <w:lang w:eastAsia="x-none"/>
              </w:rPr>
              <w:t xml:space="preserve"> the institutions from all the </w:t>
            </w:r>
            <w:proofErr w:type="gramStart"/>
            <w:r w:rsidR="00A70837" w:rsidRPr="007C4D65">
              <w:rPr>
                <w:rFonts w:asciiTheme="minorHAnsi" w:eastAsia="Calibri" w:hAnsiTheme="minorHAnsi" w:cstheme="minorHAnsi"/>
                <w:sz w:val="18"/>
                <w:szCs w:val="18"/>
                <w:lang w:eastAsia="x-none"/>
              </w:rPr>
              <w:t>levels</w:t>
            </w:r>
            <w:proofErr w:type="gramEnd"/>
            <w:r w:rsidR="00A70837" w:rsidRPr="007C4D65">
              <w:rPr>
                <w:rFonts w:asciiTheme="minorHAnsi" w:eastAsia="Calibri" w:hAnsiTheme="minorHAnsi" w:cstheme="minorHAnsi"/>
                <w:sz w:val="18"/>
                <w:szCs w:val="18"/>
                <w:lang w:eastAsia="x-none"/>
              </w:rPr>
              <w:t xml:space="preserve"> and which will make expert proposals and coordinate </w:t>
            </w:r>
            <w:r w:rsidRPr="007C4D65">
              <w:rPr>
                <w:rFonts w:asciiTheme="minorHAnsi" w:eastAsia="Calibri" w:hAnsiTheme="minorHAnsi" w:cstheme="minorHAnsi"/>
                <w:sz w:val="18"/>
                <w:szCs w:val="18"/>
                <w:lang w:eastAsia="x-none"/>
              </w:rPr>
              <w:t>the implementation</w:t>
            </w:r>
            <w:r w:rsidR="00A70837" w:rsidRPr="007C4D65">
              <w:rPr>
                <w:rFonts w:asciiTheme="minorHAnsi" w:eastAsia="Calibri" w:hAnsiTheme="minorHAnsi" w:cstheme="minorHAnsi"/>
                <w:sz w:val="18"/>
                <w:szCs w:val="18"/>
                <w:lang w:eastAsia="x-none"/>
              </w:rPr>
              <w:t xml:space="preserve"> of conclusions and proposals of the study</w:t>
            </w:r>
            <w:r w:rsidR="00582D43" w:rsidRPr="007C4D65">
              <w:rPr>
                <w:rFonts w:asciiTheme="minorHAnsi" w:eastAsia="Calibri" w:hAnsiTheme="minorHAnsi" w:cstheme="minorHAnsi"/>
                <w:sz w:val="18"/>
                <w:szCs w:val="18"/>
                <w:lang w:eastAsia="x-none"/>
              </w:rPr>
              <w:t>;</w:t>
            </w:r>
          </w:p>
          <w:p w14:paraId="4AC02E75" w14:textId="76E60A80" w:rsidR="00A70837" w:rsidRPr="007C4D65" w:rsidRDefault="006D5B5A" w:rsidP="006D5B5A">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4) </w:t>
            </w:r>
            <w:r w:rsidR="00A70837" w:rsidRPr="007C4D65">
              <w:rPr>
                <w:rFonts w:asciiTheme="minorHAnsi" w:eastAsia="Calibri" w:hAnsiTheme="minorHAnsi" w:cstheme="minorHAnsi"/>
                <w:sz w:val="18"/>
                <w:szCs w:val="18"/>
                <w:lang w:eastAsia="x-none"/>
              </w:rPr>
              <w:t xml:space="preserve">Based on </w:t>
            </w:r>
            <w:r w:rsidRPr="007C4D65">
              <w:rPr>
                <w:rFonts w:asciiTheme="minorHAnsi" w:eastAsia="Calibri" w:hAnsiTheme="minorHAnsi" w:cstheme="minorHAnsi"/>
                <w:sz w:val="18"/>
                <w:szCs w:val="18"/>
                <w:lang w:eastAsia="x-none"/>
              </w:rPr>
              <w:t xml:space="preserve">results of </w:t>
            </w:r>
            <w:r w:rsidR="00A70837" w:rsidRPr="007C4D65">
              <w:rPr>
                <w:rFonts w:asciiTheme="minorHAnsi" w:eastAsia="Calibri" w:hAnsiTheme="minorHAnsi" w:cstheme="minorHAnsi"/>
                <w:sz w:val="18"/>
                <w:szCs w:val="18"/>
                <w:lang w:eastAsia="x-none"/>
              </w:rPr>
              <w:t>the study, prepar</w:t>
            </w:r>
            <w:r w:rsidRPr="007C4D65">
              <w:rPr>
                <w:rFonts w:asciiTheme="minorHAnsi" w:eastAsia="Calibri" w:hAnsiTheme="minorHAnsi" w:cstheme="minorHAnsi"/>
                <w:sz w:val="18"/>
                <w:szCs w:val="18"/>
                <w:lang w:eastAsia="x-none"/>
              </w:rPr>
              <w:t>e</w:t>
            </w:r>
            <w:r w:rsidR="00A70837"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a</w:t>
            </w:r>
            <w:r w:rsidR="00A70837"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 xml:space="preserve">Training and Education Programme </w:t>
            </w:r>
            <w:r w:rsidR="00A70837" w:rsidRPr="007C4D65">
              <w:rPr>
                <w:rFonts w:asciiTheme="minorHAnsi" w:eastAsia="Calibri" w:hAnsiTheme="minorHAnsi" w:cstheme="minorHAnsi"/>
                <w:sz w:val="18"/>
                <w:szCs w:val="18"/>
                <w:lang w:eastAsia="x-none"/>
              </w:rPr>
              <w:t xml:space="preserve">of all the agencies and institutions from the Federation of </w:t>
            </w:r>
            <w:r w:rsidRPr="007C4D65">
              <w:rPr>
                <w:rFonts w:asciiTheme="minorHAnsi" w:eastAsia="Calibri" w:hAnsiTheme="minorHAnsi" w:cstheme="minorHAnsi"/>
                <w:sz w:val="18"/>
                <w:szCs w:val="18"/>
                <w:lang w:eastAsia="x-none"/>
              </w:rPr>
              <w:t>BiH</w:t>
            </w:r>
            <w:r w:rsidR="00A70837" w:rsidRPr="007C4D65">
              <w:rPr>
                <w:rFonts w:asciiTheme="minorHAnsi" w:eastAsia="Calibri" w:hAnsiTheme="minorHAnsi" w:cstheme="minorHAnsi"/>
                <w:sz w:val="18"/>
                <w:szCs w:val="18"/>
                <w:lang w:eastAsia="x-none"/>
              </w:rPr>
              <w:t xml:space="preserve"> </w:t>
            </w:r>
            <w:r w:rsidRPr="007C4D65">
              <w:rPr>
                <w:rFonts w:asciiTheme="minorHAnsi" w:eastAsia="Calibri" w:hAnsiTheme="minorHAnsi" w:cstheme="minorHAnsi"/>
                <w:sz w:val="18"/>
                <w:szCs w:val="18"/>
                <w:lang w:eastAsia="x-none"/>
              </w:rPr>
              <w:t>on</w:t>
            </w:r>
            <w:r w:rsidR="00A70837" w:rsidRPr="007C4D65">
              <w:rPr>
                <w:rFonts w:asciiTheme="minorHAnsi" w:eastAsia="Calibri" w:hAnsiTheme="minorHAnsi" w:cstheme="minorHAnsi"/>
                <w:sz w:val="18"/>
                <w:szCs w:val="18"/>
                <w:lang w:eastAsia="x-none"/>
              </w:rPr>
              <w:t xml:space="preserve"> data collection, processing and </w:t>
            </w:r>
            <w:proofErr w:type="gramStart"/>
            <w:r w:rsidR="00A70837" w:rsidRPr="007C4D65">
              <w:rPr>
                <w:rFonts w:asciiTheme="minorHAnsi" w:eastAsia="Calibri" w:hAnsiTheme="minorHAnsi" w:cstheme="minorHAnsi"/>
                <w:sz w:val="18"/>
                <w:szCs w:val="18"/>
                <w:lang w:eastAsia="x-none"/>
              </w:rPr>
              <w:t>reporting</w:t>
            </w:r>
            <w:r w:rsidR="00582D43" w:rsidRPr="007C4D65">
              <w:rPr>
                <w:rFonts w:asciiTheme="minorHAnsi" w:eastAsia="Calibri" w:hAnsiTheme="minorHAnsi" w:cstheme="minorHAnsi"/>
                <w:sz w:val="18"/>
                <w:szCs w:val="18"/>
                <w:lang w:eastAsia="x-none"/>
              </w:rPr>
              <w:t>;</w:t>
            </w:r>
            <w:proofErr w:type="gramEnd"/>
          </w:p>
          <w:p w14:paraId="49C31545" w14:textId="5F0BE4D5" w:rsidR="00A70837" w:rsidRPr="007C4D65" w:rsidRDefault="006D5B5A" w:rsidP="006D5B5A">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5) </w:t>
            </w:r>
            <w:r w:rsidR="00A70837" w:rsidRPr="007C4D65">
              <w:rPr>
                <w:rFonts w:asciiTheme="minorHAnsi" w:eastAsia="Calibri" w:hAnsiTheme="minorHAnsi" w:cstheme="minorHAnsi"/>
                <w:sz w:val="18"/>
                <w:szCs w:val="18"/>
                <w:lang w:eastAsia="x-none"/>
              </w:rPr>
              <w:t>Continuous implementation of</w:t>
            </w:r>
            <w:r w:rsidRPr="007C4D65">
              <w:rPr>
                <w:rFonts w:asciiTheme="minorHAnsi" w:eastAsia="Calibri" w:hAnsiTheme="minorHAnsi" w:cstheme="minorHAnsi"/>
                <w:sz w:val="18"/>
                <w:szCs w:val="18"/>
                <w:lang w:eastAsia="x-none"/>
              </w:rPr>
              <w:t xml:space="preserve"> the T</w:t>
            </w:r>
            <w:r w:rsidR="00A70837" w:rsidRPr="007C4D65">
              <w:rPr>
                <w:rFonts w:asciiTheme="minorHAnsi" w:eastAsia="Calibri" w:hAnsiTheme="minorHAnsi" w:cstheme="minorHAnsi"/>
                <w:sz w:val="18"/>
                <w:szCs w:val="18"/>
                <w:lang w:eastAsia="x-none"/>
              </w:rPr>
              <w:t xml:space="preserve">raining and </w:t>
            </w:r>
            <w:r w:rsidRPr="007C4D65">
              <w:rPr>
                <w:rFonts w:asciiTheme="minorHAnsi" w:eastAsia="Calibri" w:hAnsiTheme="minorHAnsi" w:cstheme="minorHAnsi"/>
                <w:sz w:val="18"/>
                <w:szCs w:val="18"/>
                <w:lang w:eastAsia="x-none"/>
              </w:rPr>
              <w:t>E</w:t>
            </w:r>
            <w:r w:rsidR="00A70837" w:rsidRPr="007C4D65">
              <w:rPr>
                <w:rFonts w:asciiTheme="minorHAnsi" w:eastAsia="Calibri" w:hAnsiTheme="minorHAnsi" w:cstheme="minorHAnsi"/>
                <w:sz w:val="18"/>
                <w:szCs w:val="18"/>
                <w:lang w:eastAsia="x-none"/>
              </w:rPr>
              <w:t xml:space="preserve">ducation </w:t>
            </w:r>
            <w:r w:rsidRPr="007C4D65">
              <w:rPr>
                <w:rFonts w:asciiTheme="minorHAnsi" w:eastAsia="Calibri" w:hAnsiTheme="minorHAnsi" w:cstheme="minorHAnsi"/>
                <w:sz w:val="18"/>
                <w:szCs w:val="18"/>
                <w:lang w:eastAsia="x-none"/>
              </w:rPr>
              <w:t xml:space="preserve">Programme in </w:t>
            </w:r>
            <w:r w:rsidR="00A70837" w:rsidRPr="007C4D65">
              <w:rPr>
                <w:rFonts w:asciiTheme="minorHAnsi" w:eastAsia="Calibri" w:hAnsiTheme="minorHAnsi" w:cstheme="minorHAnsi"/>
                <w:sz w:val="18"/>
                <w:szCs w:val="18"/>
                <w:lang w:eastAsia="x-none"/>
              </w:rPr>
              <w:t xml:space="preserve">all the agencies and institutions included in data collection, processing and </w:t>
            </w:r>
            <w:proofErr w:type="gramStart"/>
            <w:r w:rsidR="00A70837" w:rsidRPr="007C4D65">
              <w:rPr>
                <w:rFonts w:asciiTheme="minorHAnsi" w:eastAsia="Calibri" w:hAnsiTheme="minorHAnsi" w:cstheme="minorHAnsi"/>
                <w:sz w:val="18"/>
                <w:szCs w:val="18"/>
                <w:lang w:eastAsia="x-none"/>
              </w:rPr>
              <w:t>reporting</w:t>
            </w:r>
            <w:r w:rsidR="00582D43" w:rsidRPr="007C4D65">
              <w:rPr>
                <w:rFonts w:asciiTheme="minorHAnsi" w:eastAsia="Calibri" w:hAnsiTheme="minorHAnsi" w:cstheme="minorHAnsi"/>
                <w:sz w:val="18"/>
                <w:szCs w:val="18"/>
                <w:lang w:eastAsia="x-none"/>
              </w:rPr>
              <w:t>;</w:t>
            </w:r>
            <w:proofErr w:type="gramEnd"/>
          </w:p>
          <w:p w14:paraId="5C13DEF1" w14:textId="6656B397" w:rsidR="00A70837" w:rsidRPr="007C4D65" w:rsidRDefault="006D5B5A" w:rsidP="006D5B5A">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6) </w:t>
            </w:r>
            <w:r w:rsidR="00A70837" w:rsidRPr="007C4D65">
              <w:rPr>
                <w:rFonts w:asciiTheme="minorHAnsi" w:eastAsia="Calibri" w:hAnsiTheme="minorHAnsi" w:cstheme="minorHAnsi"/>
                <w:sz w:val="18"/>
                <w:szCs w:val="18"/>
                <w:lang w:eastAsia="x-none"/>
              </w:rPr>
              <w:t xml:space="preserve">Participation in </w:t>
            </w:r>
            <w:r w:rsidRPr="007C4D65">
              <w:rPr>
                <w:rFonts w:asciiTheme="minorHAnsi" w:eastAsia="Calibri" w:hAnsiTheme="minorHAnsi" w:cstheme="minorHAnsi"/>
                <w:sz w:val="18"/>
                <w:szCs w:val="18"/>
                <w:lang w:eastAsia="x-none"/>
              </w:rPr>
              <w:t xml:space="preserve">the </w:t>
            </w:r>
            <w:r w:rsidR="00A70837" w:rsidRPr="007C4D65">
              <w:rPr>
                <w:rFonts w:asciiTheme="minorHAnsi" w:eastAsia="Calibri" w:hAnsiTheme="minorHAnsi" w:cstheme="minorHAnsi"/>
                <w:sz w:val="18"/>
                <w:szCs w:val="18"/>
                <w:lang w:eastAsia="x-none"/>
              </w:rPr>
              <w:t>implementation of the strategy monitoring</w:t>
            </w:r>
            <w:r w:rsidRPr="007C4D65">
              <w:rPr>
                <w:rFonts w:asciiTheme="minorHAnsi" w:eastAsia="Calibri" w:hAnsiTheme="minorHAnsi" w:cstheme="minorHAnsi"/>
                <w:sz w:val="18"/>
                <w:szCs w:val="18"/>
                <w:lang w:eastAsia="x-none"/>
              </w:rPr>
              <w:t xml:space="preserve"> the state of environment</w:t>
            </w:r>
            <w:r w:rsidR="00A70837" w:rsidRPr="007C4D65">
              <w:rPr>
                <w:rFonts w:asciiTheme="minorHAnsi" w:eastAsia="Calibri" w:hAnsiTheme="minorHAnsi" w:cstheme="minorHAnsi"/>
                <w:sz w:val="18"/>
                <w:szCs w:val="18"/>
                <w:lang w:eastAsia="x-none"/>
              </w:rPr>
              <w:t>, data management and reporting following its adoption at the level of Bosnia and Herzegovina (</w:t>
            </w:r>
            <w:r w:rsidR="00A70837" w:rsidRPr="007C4D65">
              <w:rPr>
                <w:rFonts w:asciiTheme="minorHAnsi" w:eastAsia="Calibri" w:hAnsiTheme="minorHAnsi" w:cstheme="minorHAnsi"/>
                <w:i/>
                <w:iCs/>
                <w:sz w:val="18"/>
                <w:szCs w:val="18"/>
                <w:lang w:eastAsia="x-none"/>
              </w:rPr>
              <w:t xml:space="preserve">proposal of the text of the Strategy </w:t>
            </w:r>
            <w:r w:rsidR="00E25EAB" w:rsidRPr="007C4D65">
              <w:rPr>
                <w:rFonts w:asciiTheme="minorHAnsi" w:eastAsia="Calibri" w:hAnsiTheme="minorHAnsi" w:cstheme="minorHAnsi"/>
                <w:i/>
                <w:iCs/>
                <w:sz w:val="18"/>
                <w:szCs w:val="18"/>
                <w:lang w:eastAsia="x-none"/>
              </w:rPr>
              <w:t xml:space="preserve">on </w:t>
            </w:r>
            <w:r w:rsidR="00A70837" w:rsidRPr="007C4D65">
              <w:rPr>
                <w:rFonts w:asciiTheme="minorHAnsi" w:eastAsia="Calibri" w:hAnsiTheme="minorHAnsi" w:cstheme="minorHAnsi"/>
                <w:i/>
                <w:iCs/>
                <w:sz w:val="18"/>
                <w:szCs w:val="18"/>
                <w:lang w:eastAsia="x-none"/>
              </w:rPr>
              <w:t>monitoring</w:t>
            </w:r>
            <w:r w:rsidR="00E25EAB" w:rsidRPr="007C4D65">
              <w:rPr>
                <w:rFonts w:asciiTheme="minorHAnsi" w:eastAsia="Calibri" w:hAnsiTheme="minorHAnsi" w:cstheme="minorHAnsi"/>
                <w:i/>
                <w:iCs/>
                <w:sz w:val="18"/>
                <w:szCs w:val="18"/>
                <w:lang w:eastAsia="x-none"/>
              </w:rPr>
              <w:t xml:space="preserve"> the state of environment</w:t>
            </w:r>
            <w:r w:rsidR="00A70837" w:rsidRPr="007C4D65">
              <w:rPr>
                <w:rFonts w:asciiTheme="minorHAnsi" w:eastAsia="Calibri" w:hAnsiTheme="minorHAnsi" w:cstheme="minorHAnsi"/>
                <w:i/>
                <w:iCs/>
                <w:sz w:val="18"/>
                <w:szCs w:val="18"/>
                <w:lang w:eastAsia="x-none"/>
              </w:rPr>
              <w:t xml:space="preserve">, data management and reporting to the EEA  is </w:t>
            </w:r>
            <w:r w:rsidR="00E25EAB" w:rsidRPr="007C4D65">
              <w:rPr>
                <w:rFonts w:asciiTheme="minorHAnsi" w:eastAsia="Calibri" w:hAnsiTheme="minorHAnsi" w:cstheme="minorHAnsi"/>
                <w:i/>
                <w:iCs/>
                <w:sz w:val="18"/>
                <w:szCs w:val="18"/>
                <w:lang w:eastAsia="x-none"/>
              </w:rPr>
              <w:t>provided</w:t>
            </w:r>
            <w:r w:rsidR="00A70837" w:rsidRPr="007C4D65">
              <w:rPr>
                <w:rFonts w:asciiTheme="minorHAnsi" w:eastAsia="Calibri" w:hAnsiTheme="minorHAnsi" w:cstheme="minorHAnsi"/>
                <w:i/>
                <w:iCs/>
                <w:sz w:val="18"/>
                <w:szCs w:val="18"/>
                <w:lang w:eastAsia="x-none"/>
              </w:rPr>
              <w:t xml:space="preserve"> in the report  </w:t>
            </w:r>
            <w:r w:rsidR="00E25EAB" w:rsidRPr="007C4D65">
              <w:rPr>
                <w:rFonts w:asciiTheme="minorHAnsi" w:eastAsia="Calibri" w:hAnsiTheme="minorHAnsi" w:cstheme="minorHAnsi"/>
                <w:i/>
                <w:iCs/>
                <w:sz w:val="18"/>
                <w:szCs w:val="18"/>
                <w:lang w:eastAsia="x-none"/>
              </w:rPr>
              <w:t>“on monitoring the state of environment, data management and reporting</w:t>
            </w:r>
            <w:r w:rsidR="00A70837" w:rsidRPr="007C4D65">
              <w:rPr>
                <w:rFonts w:asciiTheme="minorHAnsi" w:eastAsia="Calibri" w:hAnsiTheme="minorHAnsi" w:cstheme="minorHAnsi"/>
                <w:i/>
                <w:iCs/>
                <w:sz w:val="18"/>
                <w:szCs w:val="18"/>
                <w:lang w:eastAsia="x-none"/>
              </w:rPr>
              <w:t xml:space="preserve">" made within the project “Strengthening of the environmental institutions in BiH and </w:t>
            </w:r>
            <w:r w:rsidR="00E25EAB" w:rsidRPr="007C4D65">
              <w:rPr>
                <w:rFonts w:asciiTheme="minorHAnsi" w:eastAsia="Calibri" w:hAnsiTheme="minorHAnsi" w:cstheme="minorHAnsi"/>
                <w:i/>
                <w:iCs/>
                <w:sz w:val="18"/>
                <w:szCs w:val="18"/>
                <w:lang w:eastAsia="x-none"/>
              </w:rPr>
              <w:t xml:space="preserve">preparation for access to Pre-Accession Funds Support </w:t>
            </w:r>
            <w:r w:rsidR="00A70837" w:rsidRPr="007C4D65">
              <w:rPr>
                <w:rFonts w:asciiTheme="minorHAnsi" w:eastAsia="Calibri" w:hAnsiTheme="minorHAnsi" w:cstheme="minorHAnsi"/>
                <w:i/>
                <w:iCs/>
                <w:sz w:val="18"/>
                <w:szCs w:val="18"/>
                <w:lang w:eastAsia="x-none"/>
              </w:rPr>
              <w:t>(</w:t>
            </w:r>
            <w:proofErr w:type="spellStart"/>
            <w:r w:rsidR="00A70837" w:rsidRPr="007C4D65">
              <w:rPr>
                <w:rFonts w:asciiTheme="minorHAnsi" w:eastAsia="Calibri" w:hAnsiTheme="minorHAnsi" w:cstheme="minorHAnsi"/>
                <w:i/>
                <w:iCs/>
                <w:sz w:val="18"/>
                <w:szCs w:val="18"/>
                <w:lang w:eastAsia="x-none"/>
              </w:rPr>
              <w:t>EnvIS</w:t>
            </w:r>
            <w:proofErr w:type="spellEnd"/>
            <w:r w:rsidR="00A70837" w:rsidRPr="007C4D65">
              <w:rPr>
                <w:rFonts w:asciiTheme="minorHAnsi" w:eastAsia="Calibri" w:hAnsiTheme="minorHAnsi" w:cstheme="minorHAnsi"/>
                <w:i/>
                <w:iCs/>
                <w:sz w:val="18"/>
                <w:szCs w:val="18"/>
                <w:lang w:eastAsia="x-none"/>
              </w:rPr>
              <w:t>)”</w:t>
            </w:r>
            <w:r w:rsidR="00A70837" w:rsidRPr="007C4D65">
              <w:rPr>
                <w:rFonts w:asciiTheme="minorHAnsi" w:eastAsia="Calibri" w:hAnsiTheme="minorHAnsi" w:cstheme="minorHAnsi"/>
                <w:sz w:val="18"/>
                <w:szCs w:val="18"/>
                <w:lang w:eastAsia="x-none"/>
              </w:rPr>
              <w:t>)</w:t>
            </w:r>
            <w:r w:rsidR="00582D43" w:rsidRPr="007C4D65">
              <w:rPr>
                <w:rFonts w:asciiTheme="minorHAnsi" w:eastAsia="Calibri" w:hAnsiTheme="minorHAnsi" w:cstheme="minorHAnsi"/>
                <w:sz w:val="18"/>
                <w:szCs w:val="18"/>
                <w:lang w:eastAsia="x-none"/>
              </w:rPr>
              <w:t>;</w:t>
            </w:r>
          </w:p>
          <w:p w14:paraId="015CAC74" w14:textId="27349D7F" w:rsidR="00A70837" w:rsidRPr="007C4D65" w:rsidRDefault="00E25EAB" w:rsidP="00E25EAB">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en-US"/>
              </w:rPr>
              <w:t>7) Preparation</w:t>
            </w:r>
            <w:r w:rsidR="00A70837" w:rsidRPr="007C4D65">
              <w:rPr>
                <w:rFonts w:asciiTheme="minorHAnsi" w:eastAsia="Calibri" w:hAnsiTheme="minorHAnsi" w:cstheme="minorHAnsi"/>
                <w:sz w:val="18"/>
                <w:szCs w:val="18"/>
                <w:lang w:eastAsia="en-US"/>
              </w:rPr>
              <w:t>, adoption and implementation of the action plan for</w:t>
            </w:r>
            <w:r w:rsidRPr="007C4D65">
              <w:rPr>
                <w:rFonts w:asciiTheme="minorHAnsi" w:eastAsia="Calibri" w:hAnsiTheme="minorHAnsi" w:cstheme="minorHAnsi"/>
                <w:sz w:val="18"/>
                <w:szCs w:val="18"/>
                <w:lang w:eastAsia="en-US"/>
              </w:rPr>
              <w:t xml:space="preserve"> the</w:t>
            </w:r>
            <w:r w:rsidR="00A70837" w:rsidRPr="007C4D65">
              <w:rPr>
                <w:rFonts w:asciiTheme="minorHAnsi" w:eastAsia="Calibri" w:hAnsiTheme="minorHAnsi" w:cstheme="minorHAnsi"/>
                <w:sz w:val="18"/>
                <w:szCs w:val="18"/>
                <w:lang w:eastAsia="en-US"/>
              </w:rPr>
              <w:t xml:space="preserve"> implementation of the Regulation on EIONET BiH in the territory of the</w:t>
            </w:r>
            <w:r w:rsidR="00A70837" w:rsidRPr="007C4D65">
              <w:rPr>
                <w:rFonts w:asciiTheme="minorHAnsi" w:eastAsia="Calibri" w:hAnsiTheme="minorHAnsi" w:cstheme="minorHAnsi"/>
                <w:bCs/>
                <w:sz w:val="18"/>
                <w:szCs w:val="18"/>
                <w:lang w:eastAsia="x-none"/>
              </w:rPr>
              <w:t xml:space="preserve"> Federation of </w:t>
            </w:r>
            <w:r w:rsidRPr="007C4D65">
              <w:rPr>
                <w:rFonts w:asciiTheme="minorHAnsi" w:eastAsia="Calibri" w:hAnsiTheme="minorHAnsi" w:cstheme="minorHAnsi"/>
                <w:bCs/>
                <w:sz w:val="18"/>
                <w:szCs w:val="18"/>
                <w:lang w:eastAsia="x-none"/>
              </w:rPr>
              <w:t>BiH</w:t>
            </w:r>
            <w:r w:rsidR="00A70837" w:rsidRPr="007C4D65">
              <w:rPr>
                <w:rFonts w:asciiTheme="minorHAnsi" w:eastAsia="Calibri" w:hAnsiTheme="minorHAnsi" w:cstheme="minorHAnsi"/>
                <w:sz w:val="18"/>
                <w:szCs w:val="18"/>
                <w:lang w:eastAsia="x-none"/>
              </w:rPr>
              <w:t xml:space="preserve"> (pursuant to the plan of implementation of the EIONET Regulation in Bosnia and Herzegovina, and according to the</w:t>
            </w:r>
            <w:r w:rsidRPr="007C4D65">
              <w:rPr>
                <w:rFonts w:asciiTheme="minorHAnsi" w:eastAsia="Calibri" w:hAnsiTheme="minorHAnsi" w:cstheme="minorHAnsi"/>
                <w:sz w:val="18"/>
                <w:szCs w:val="18"/>
                <w:lang w:eastAsia="x-none"/>
              </w:rPr>
              <w:t xml:space="preserve"> Environmental Approximation Programme</w:t>
            </w:r>
            <w:r w:rsidRPr="007C4D65">
              <w:rPr>
                <w:rFonts w:asciiTheme="minorHAnsi" w:eastAsia="Calibri" w:hAnsiTheme="minorHAnsi" w:cstheme="minorHAnsi"/>
                <w:sz w:val="18"/>
                <w:szCs w:val="18"/>
                <w:lang w:eastAsia="en-US"/>
              </w:rPr>
              <w:t xml:space="preserve"> </w:t>
            </w:r>
            <w:r w:rsidR="00A70837" w:rsidRPr="007C4D65">
              <w:rPr>
                <w:rFonts w:asciiTheme="minorHAnsi" w:eastAsia="Calibri" w:hAnsiTheme="minorHAnsi" w:cstheme="minorHAnsi"/>
                <w:sz w:val="18"/>
                <w:szCs w:val="18"/>
                <w:lang w:eastAsia="en-US"/>
              </w:rPr>
              <w:t>of the</w:t>
            </w:r>
            <w:r w:rsidR="00A70837" w:rsidRPr="007C4D65">
              <w:rPr>
                <w:rFonts w:asciiTheme="minorHAnsi" w:eastAsia="Calibri" w:hAnsiTheme="minorHAnsi" w:cstheme="minorHAnsi"/>
                <w:bCs/>
                <w:sz w:val="18"/>
                <w:szCs w:val="18"/>
                <w:lang w:eastAsia="x-none"/>
              </w:rPr>
              <w:t xml:space="preserve"> Federation of </w:t>
            </w:r>
            <w:r w:rsidRPr="007C4D65">
              <w:rPr>
                <w:rFonts w:asciiTheme="minorHAnsi" w:eastAsia="Calibri" w:hAnsiTheme="minorHAnsi" w:cstheme="minorHAnsi"/>
                <w:bCs/>
                <w:sz w:val="18"/>
                <w:szCs w:val="18"/>
                <w:lang w:eastAsia="x-none"/>
              </w:rPr>
              <w:t>BiH</w:t>
            </w:r>
            <w:r w:rsidR="00A70837" w:rsidRPr="007C4D65">
              <w:rPr>
                <w:rFonts w:asciiTheme="minorHAnsi" w:eastAsia="Calibri" w:hAnsiTheme="minorHAnsi" w:cstheme="minorHAnsi"/>
                <w:sz w:val="18"/>
                <w:szCs w:val="18"/>
                <w:lang w:eastAsia="en-US"/>
              </w:rPr>
              <w:t xml:space="preserve"> to the </w:t>
            </w:r>
            <w:r w:rsidR="00A70837" w:rsidRPr="007C4D65">
              <w:rPr>
                <w:rFonts w:asciiTheme="minorHAnsi" w:eastAsia="Calibri" w:hAnsiTheme="minorHAnsi" w:cstheme="minorHAnsi"/>
                <w:sz w:val="18"/>
                <w:szCs w:val="18"/>
                <w:lang w:eastAsia="x-none"/>
              </w:rPr>
              <w:t>EU environmental acquis</w:t>
            </w:r>
            <w:proofErr w:type="gramStart"/>
            <w:r w:rsidR="00A70837" w:rsidRPr="007C4D65">
              <w:rPr>
                <w:rFonts w:asciiTheme="minorHAnsi" w:eastAsia="Calibri" w:hAnsiTheme="minorHAnsi" w:cstheme="minorHAnsi"/>
                <w:sz w:val="18"/>
                <w:szCs w:val="18"/>
                <w:lang w:eastAsia="x-none"/>
              </w:rPr>
              <w:t>)</w:t>
            </w:r>
            <w:r w:rsidR="00582D43" w:rsidRPr="007C4D65">
              <w:rPr>
                <w:rFonts w:asciiTheme="minorHAnsi" w:eastAsia="Calibri" w:hAnsiTheme="minorHAnsi" w:cstheme="minorHAnsi"/>
                <w:sz w:val="18"/>
                <w:szCs w:val="18"/>
                <w:lang w:eastAsia="x-none"/>
              </w:rPr>
              <w:t>;</w:t>
            </w:r>
            <w:proofErr w:type="gramEnd"/>
          </w:p>
          <w:p w14:paraId="5B509D01" w14:textId="4DCD270A" w:rsidR="00A70837" w:rsidRPr="007C4D65" w:rsidRDefault="00E25EAB" w:rsidP="00E25EAB">
            <w:pPr>
              <w:spacing w:before="40" w:after="40" w:line="276" w:lineRule="auto"/>
              <w:contextualSpacing/>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lastRenderedPageBreak/>
              <w:t>8) Prepare</w:t>
            </w:r>
            <w:r w:rsidR="00A70837" w:rsidRPr="007C4D65">
              <w:rPr>
                <w:rFonts w:asciiTheme="minorHAnsi" w:eastAsia="Calibri" w:hAnsiTheme="minorHAnsi" w:cstheme="minorHAnsi"/>
                <w:sz w:val="18"/>
                <w:szCs w:val="18"/>
                <w:lang w:eastAsia="x-none"/>
              </w:rPr>
              <w:t xml:space="preserve"> and adopt the </w:t>
            </w:r>
            <w:r w:rsidRPr="007C4D65">
              <w:rPr>
                <w:rFonts w:asciiTheme="minorHAnsi" w:eastAsia="Calibri" w:hAnsiTheme="minorHAnsi" w:cstheme="minorHAnsi"/>
                <w:sz w:val="18"/>
                <w:szCs w:val="18"/>
                <w:lang w:eastAsia="x-none"/>
              </w:rPr>
              <w:t>Directive Sp</w:t>
            </w:r>
            <w:r w:rsidR="00A70837" w:rsidRPr="007C4D65">
              <w:rPr>
                <w:rFonts w:asciiTheme="minorHAnsi" w:eastAsia="Calibri" w:hAnsiTheme="minorHAnsi" w:cstheme="minorHAnsi"/>
                <w:sz w:val="18"/>
                <w:szCs w:val="18"/>
                <w:lang w:eastAsia="x-none"/>
              </w:rPr>
              <w:t>ecific Plan for</w:t>
            </w:r>
            <w:r w:rsidRPr="007C4D65">
              <w:rPr>
                <w:rFonts w:asciiTheme="minorHAnsi" w:eastAsia="Calibri" w:hAnsiTheme="minorHAnsi" w:cstheme="minorHAnsi"/>
                <w:sz w:val="18"/>
                <w:szCs w:val="18"/>
                <w:lang w:eastAsia="x-none"/>
              </w:rPr>
              <w:t xml:space="preserve"> the</w:t>
            </w:r>
            <w:r w:rsidR="00A70837" w:rsidRPr="007C4D65">
              <w:rPr>
                <w:rFonts w:asciiTheme="minorHAnsi" w:eastAsia="Calibri" w:hAnsiTheme="minorHAnsi" w:cstheme="minorHAnsi"/>
                <w:sz w:val="18"/>
                <w:szCs w:val="18"/>
                <w:lang w:eastAsia="x-none"/>
              </w:rPr>
              <w:t xml:space="preserve"> Implementation of the Standardized Reporting Directive (SRDSIP) in the territory of the Federation of </w:t>
            </w:r>
            <w:r w:rsidRPr="007C4D65">
              <w:rPr>
                <w:rFonts w:asciiTheme="minorHAnsi" w:eastAsia="Calibri" w:hAnsiTheme="minorHAnsi" w:cstheme="minorHAnsi"/>
                <w:sz w:val="18"/>
                <w:szCs w:val="18"/>
                <w:lang w:eastAsia="x-none"/>
              </w:rPr>
              <w:t>BiH</w:t>
            </w:r>
            <w:r w:rsidR="00A70837" w:rsidRPr="007C4D65">
              <w:rPr>
                <w:rFonts w:asciiTheme="minorHAnsi" w:eastAsia="Calibri" w:hAnsiTheme="minorHAnsi" w:cstheme="minorHAnsi"/>
                <w:sz w:val="18"/>
                <w:szCs w:val="18"/>
                <w:lang w:eastAsia="x-none"/>
              </w:rPr>
              <w:t xml:space="preserve"> according to the </w:t>
            </w:r>
            <w:r w:rsidRPr="007C4D65">
              <w:rPr>
                <w:rFonts w:asciiTheme="minorHAnsi" w:eastAsia="Calibri" w:hAnsiTheme="minorHAnsi" w:cstheme="minorHAnsi"/>
                <w:sz w:val="18"/>
                <w:szCs w:val="18"/>
                <w:lang w:eastAsia="x-none"/>
              </w:rPr>
              <w:t>Environmental Approximation Programme</w:t>
            </w:r>
            <w:r w:rsidRPr="007C4D65">
              <w:rPr>
                <w:rFonts w:asciiTheme="minorHAnsi" w:eastAsia="Calibri" w:hAnsiTheme="minorHAnsi" w:cstheme="minorHAnsi"/>
                <w:sz w:val="18"/>
                <w:szCs w:val="18"/>
                <w:lang w:eastAsia="en-US"/>
              </w:rPr>
              <w:t xml:space="preserve"> </w:t>
            </w:r>
            <w:r w:rsidR="00A70837" w:rsidRPr="007C4D65">
              <w:rPr>
                <w:rFonts w:asciiTheme="minorHAnsi" w:eastAsia="Calibri" w:hAnsiTheme="minorHAnsi" w:cstheme="minorHAnsi"/>
                <w:sz w:val="18"/>
                <w:szCs w:val="18"/>
                <w:lang w:eastAsia="en-US"/>
              </w:rPr>
              <w:t>of the</w:t>
            </w:r>
            <w:r w:rsidR="00A70837" w:rsidRPr="007C4D65">
              <w:rPr>
                <w:rFonts w:asciiTheme="minorHAnsi" w:eastAsia="Calibri" w:hAnsiTheme="minorHAnsi" w:cstheme="minorHAnsi"/>
                <w:bCs/>
                <w:sz w:val="18"/>
                <w:szCs w:val="18"/>
                <w:lang w:eastAsia="x-none"/>
              </w:rPr>
              <w:t xml:space="preserve"> Federation of </w:t>
            </w:r>
            <w:r w:rsidRPr="007C4D65">
              <w:rPr>
                <w:rFonts w:asciiTheme="minorHAnsi" w:eastAsia="Calibri" w:hAnsiTheme="minorHAnsi" w:cstheme="minorHAnsi"/>
                <w:bCs/>
                <w:sz w:val="18"/>
                <w:szCs w:val="18"/>
                <w:lang w:eastAsia="x-none"/>
              </w:rPr>
              <w:t>BiH</w:t>
            </w:r>
            <w:r w:rsidR="00A70837" w:rsidRPr="007C4D65">
              <w:rPr>
                <w:rFonts w:asciiTheme="minorHAnsi" w:eastAsia="Calibri" w:hAnsiTheme="minorHAnsi" w:cstheme="minorHAnsi"/>
                <w:sz w:val="18"/>
                <w:szCs w:val="18"/>
                <w:lang w:eastAsia="en-US"/>
              </w:rPr>
              <w:t xml:space="preserve"> to the </w:t>
            </w:r>
            <w:r w:rsidR="00A70837" w:rsidRPr="007C4D65">
              <w:rPr>
                <w:rFonts w:asciiTheme="minorHAnsi" w:eastAsia="Calibri" w:hAnsiTheme="minorHAnsi" w:cstheme="minorHAnsi"/>
                <w:sz w:val="18"/>
                <w:szCs w:val="18"/>
                <w:lang w:eastAsia="x-none"/>
              </w:rPr>
              <w:t>EU u environmental acquis.</w:t>
            </w:r>
          </w:p>
        </w:tc>
      </w:tr>
      <w:tr w:rsidR="00A70837" w:rsidRPr="007C4D65" w14:paraId="4206EC0D" w14:textId="77777777" w:rsidTr="00B6017F">
        <w:trPr>
          <w:trHeight w:val="567"/>
        </w:trPr>
        <w:tc>
          <w:tcPr>
            <w:tcW w:w="1345" w:type="pct"/>
            <w:shd w:val="clear" w:color="auto" w:fill="009D73"/>
            <w:vAlign w:val="center"/>
          </w:tcPr>
          <w:p w14:paraId="384972C6"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lastRenderedPageBreak/>
              <w:t xml:space="preserve">Strategic projects </w:t>
            </w:r>
          </w:p>
        </w:tc>
        <w:tc>
          <w:tcPr>
            <w:tcW w:w="3603"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4C4EEB8" w14:textId="77777777" w:rsidR="00A70837" w:rsidRPr="007C4D65" w:rsidRDefault="00A70837" w:rsidP="00A70837">
            <w:pPr>
              <w:spacing w:before="40" w:after="40" w:line="276" w:lineRule="auto"/>
              <w:rPr>
                <w:rFonts w:asciiTheme="minorHAnsi" w:eastAsiaTheme="minorHAnsi" w:hAnsiTheme="minorHAnsi" w:cstheme="minorHAnsi"/>
                <w:sz w:val="18"/>
                <w:szCs w:val="18"/>
                <w:lang w:eastAsia="zh-TW"/>
              </w:rPr>
            </w:pPr>
            <w:r w:rsidRPr="007C4D65">
              <w:rPr>
                <w:rFonts w:asciiTheme="minorHAnsi" w:eastAsiaTheme="minorHAnsi" w:hAnsiTheme="minorHAnsi" w:cstheme="minorHAnsi"/>
                <w:sz w:val="18"/>
                <w:szCs w:val="18"/>
                <w:lang w:eastAsia="zh-TW"/>
              </w:rPr>
              <w:t>/</w:t>
            </w:r>
          </w:p>
        </w:tc>
      </w:tr>
      <w:tr w:rsidR="00A70837" w:rsidRPr="007C4D65" w14:paraId="68150052" w14:textId="77777777" w:rsidTr="00B6017F">
        <w:trPr>
          <w:trHeight w:val="567"/>
        </w:trPr>
        <w:tc>
          <w:tcPr>
            <w:tcW w:w="1345" w:type="pct"/>
            <w:vMerge w:val="restart"/>
            <w:shd w:val="clear" w:color="auto" w:fill="009D73"/>
            <w:vAlign w:val="center"/>
          </w:tcPr>
          <w:p w14:paraId="1E9A7515"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bCs/>
                <w:color w:val="FFFFFF" w:themeColor="background1"/>
                <w:sz w:val="18"/>
                <w:szCs w:val="18"/>
                <w:lang w:eastAsia="en-US" w:bidi="en-US"/>
              </w:rPr>
              <w:t>Indicators for monitoring of results</w:t>
            </w:r>
          </w:p>
        </w:tc>
        <w:tc>
          <w:tcPr>
            <w:tcW w:w="1325" w:type="pct"/>
            <w:shd w:val="clear" w:color="auto" w:fill="009D73"/>
            <w:vAlign w:val="center"/>
          </w:tcPr>
          <w:p w14:paraId="268A6F9C" w14:textId="77777777" w:rsidR="00A70837" w:rsidRPr="007C4D65" w:rsidRDefault="00A70837" w:rsidP="00A70837">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p>
        </w:tc>
        <w:tc>
          <w:tcPr>
            <w:tcW w:w="1230" w:type="pct"/>
            <w:shd w:val="clear" w:color="auto" w:fill="009D73"/>
            <w:vAlign w:val="center"/>
          </w:tcPr>
          <w:p w14:paraId="27E88A5E" w14:textId="77777777" w:rsidR="00A70837" w:rsidRPr="007C4D65" w:rsidRDefault="00A70837" w:rsidP="00A70837">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p>
        </w:tc>
        <w:tc>
          <w:tcPr>
            <w:tcW w:w="1048" w:type="pct"/>
            <w:shd w:val="clear" w:color="auto" w:fill="009D73"/>
            <w:vAlign w:val="center"/>
          </w:tcPr>
          <w:p w14:paraId="1F10F1B2" w14:textId="77777777" w:rsidR="00A70837" w:rsidRPr="007C4D65" w:rsidRDefault="00A70837" w:rsidP="00A70837">
            <w:pPr>
              <w:spacing w:before="40" w:after="40" w:line="276" w:lineRule="auto"/>
              <w:jc w:val="center"/>
              <w:rPr>
                <w:rFonts w:asciiTheme="minorHAnsi" w:eastAsiaTheme="minorHAnsi" w:hAnsiTheme="minorHAnsi" w:cstheme="minorHAnsi"/>
                <w:b/>
                <w:color w:val="FFFFFF" w:themeColor="background1"/>
                <w:sz w:val="18"/>
                <w:szCs w:val="18"/>
                <w:lang w:eastAsia="en-US" w:bidi="en-US"/>
              </w:rPr>
            </w:pPr>
          </w:p>
        </w:tc>
      </w:tr>
      <w:tr w:rsidR="00A70837" w:rsidRPr="007C4D65" w14:paraId="4F9CD762" w14:textId="77777777" w:rsidTr="00B6017F">
        <w:trPr>
          <w:trHeight w:val="567"/>
        </w:trPr>
        <w:tc>
          <w:tcPr>
            <w:tcW w:w="134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8BA2EA5"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2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99C3626" w14:textId="7B777829" w:rsidR="00A70837" w:rsidRPr="007C4D65" w:rsidRDefault="00E25EAB">
            <w:pPr>
              <w:pStyle w:val="ListParagraph"/>
              <w:numPr>
                <w:ilvl w:val="0"/>
                <w:numId w:val="252"/>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Complete the</w:t>
            </w:r>
            <w:r w:rsidR="00A70837" w:rsidRPr="007C4D65">
              <w:rPr>
                <w:rFonts w:asciiTheme="minorHAnsi" w:eastAsia="Calibri" w:hAnsiTheme="minorHAnsi" w:cstheme="minorHAnsi"/>
                <w:sz w:val="18"/>
                <w:szCs w:val="18"/>
                <w:lang w:eastAsia="x-none"/>
              </w:rPr>
              <w:t xml:space="preserve"> study to </w:t>
            </w:r>
            <w:r w:rsidR="00A70837" w:rsidRPr="007C4D65">
              <w:rPr>
                <w:rFonts w:asciiTheme="minorHAnsi" w:eastAsia="Calibri" w:hAnsiTheme="minorHAnsi" w:cstheme="minorHAnsi"/>
                <w:bCs/>
                <w:sz w:val="18"/>
                <w:szCs w:val="18"/>
                <w:lang w:eastAsia="x-none"/>
              </w:rPr>
              <w:t xml:space="preserve">revise the existing and make proposal for extended set of indicators that </w:t>
            </w:r>
            <w:proofErr w:type="gramStart"/>
            <w:r w:rsidR="00A70837" w:rsidRPr="007C4D65">
              <w:rPr>
                <w:rFonts w:asciiTheme="minorHAnsi" w:eastAsia="Calibri" w:hAnsiTheme="minorHAnsi" w:cstheme="minorHAnsi"/>
                <w:bCs/>
                <w:sz w:val="18"/>
                <w:szCs w:val="18"/>
                <w:lang w:eastAsia="x-none"/>
              </w:rPr>
              <w:t>have to</w:t>
            </w:r>
            <w:proofErr w:type="gramEnd"/>
            <w:r w:rsidR="00A70837" w:rsidRPr="007C4D65">
              <w:rPr>
                <w:rFonts w:asciiTheme="minorHAnsi" w:eastAsia="Calibri" w:hAnsiTheme="minorHAnsi" w:cstheme="minorHAnsi"/>
                <w:bCs/>
                <w:sz w:val="18"/>
                <w:szCs w:val="18"/>
                <w:lang w:eastAsia="x-none"/>
              </w:rPr>
              <w:t xml:space="preserve"> be monitored in all areas</w:t>
            </w:r>
          </w:p>
        </w:tc>
        <w:tc>
          <w:tcPr>
            <w:tcW w:w="123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8D63137" w14:textId="3149AC50" w:rsidR="00A70837" w:rsidRPr="007C4D65" w:rsidRDefault="00A70837"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There is no study </w:t>
            </w:r>
          </w:p>
        </w:tc>
        <w:tc>
          <w:tcPr>
            <w:tcW w:w="104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C2AC38D" w14:textId="16758EF9" w:rsidR="00A70837" w:rsidRPr="007C4D65" w:rsidRDefault="00E25EAB"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 s</w:t>
            </w:r>
            <w:r w:rsidR="00A70837" w:rsidRPr="007C4D65">
              <w:rPr>
                <w:rFonts w:asciiTheme="minorHAnsi" w:eastAsiaTheme="minorHAnsi" w:hAnsiTheme="minorHAnsi" w:cstheme="minorHAnsi"/>
                <w:sz w:val="18"/>
                <w:szCs w:val="18"/>
                <w:lang w:eastAsia="en-US" w:bidi="en-US"/>
              </w:rPr>
              <w:t xml:space="preserve">tudy </w:t>
            </w:r>
            <w:r w:rsidRPr="007C4D65">
              <w:rPr>
                <w:rFonts w:asciiTheme="minorHAnsi" w:eastAsiaTheme="minorHAnsi" w:hAnsiTheme="minorHAnsi" w:cstheme="minorHAnsi"/>
                <w:sz w:val="18"/>
                <w:szCs w:val="18"/>
                <w:lang w:eastAsia="en-US" w:bidi="en-US"/>
              </w:rPr>
              <w:t xml:space="preserve">completed, and it offers a </w:t>
            </w:r>
            <w:r w:rsidR="00A70837" w:rsidRPr="007C4D65">
              <w:rPr>
                <w:rFonts w:asciiTheme="minorHAnsi" w:eastAsia="Calibri" w:hAnsiTheme="minorHAnsi" w:cstheme="minorHAnsi"/>
                <w:bCs/>
                <w:sz w:val="18"/>
                <w:szCs w:val="18"/>
                <w:lang w:eastAsia="x-none"/>
              </w:rPr>
              <w:t xml:space="preserve">proposal for extended set of indicators that </w:t>
            </w:r>
            <w:proofErr w:type="gramStart"/>
            <w:r w:rsidR="00A70837" w:rsidRPr="007C4D65">
              <w:rPr>
                <w:rFonts w:asciiTheme="minorHAnsi" w:eastAsia="Calibri" w:hAnsiTheme="minorHAnsi" w:cstheme="minorHAnsi"/>
                <w:bCs/>
                <w:sz w:val="18"/>
                <w:szCs w:val="18"/>
                <w:lang w:eastAsia="x-none"/>
              </w:rPr>
              <w:t>have to</w:t>
            </w:r>
            <w:proofErr w:type="gramEnd"/>
            <w:r w:rsidR="00A70837" w:rsidRPr="007C4D65">
              <w:rPr>
                <w:rFonts w:asciiTheme="minorHAnsi" w:eastAsia="Calibri" w:hAnsiTheme="minorHAnsi" w:cstheme="minorHAnsi"/>
                <w:bCs/>
                <w:sz w:val="18"/>
                <w:szCs w:val="18"/>
                <w:lang w:eastAsia="x-none"/>
              </w:rPr>
              <w:t xml:space="preserve"> be monitored in all areas</w:t>
            </w:r>
            <w:r w:rsidR="00A70837" w:rsidRPr="007C4D65">
              <w:rPr>
                <w:rFonts w:asciiTheme="minorHAnsi" w:eastAsiaTheme="minorHAnsi" w:hAnsiTheme="minorHAnsi" w:cstheme="minorHAnsi"/>
                <w:sz w:val="18"/>
                <w:szCs w:val="18"/>
                <w:lang w:eastAsia="en-US" w:bidi="en-US"/>
              </w:rPr>
              <w:t xml:space="preserve"> (2024)</w:t>
            </w:r>
          </w:p>
        </w:tc>
      </w:tr>
      <w:tr w:rsidR="00A70837" w:rsidRPr="007C4D65" w14:paraId="270ABC2D" w14:textId="77777777" w:rsidTr="00B6017F">
        <w:trPr>
          <w:trHeight w:val="567"/>
        </w:trPr>
        <w:tc>
          <w:tcPr>
            <w:tcW w:w="134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4EFF984D"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2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E82A9AC" w14:textId="468BCBC1" w:rsidR="00A70837" w:rsidRPr="007C4D65" w:rsidRDefault="00E25EAB">
            <w:pPr>
              <w:pStyle w:val="ListParagraph"/>
              <w:numPr>
                <w:ilvl w:val="0"/>
                <w:numId w:val="252"/>
              </w:numPr>
              <w:spacing w:before="40" w:after="40" w:line="276" w:lineRule="auto"/>
              <w:rPr>
                <w:rFonts w:asciiTheme="minorHAnsi" w:eastAsia="Calibri" w:hAnsiTheme="minorHAnsi" w:cstheme="minorHAnsi"/>
                <w:sz w:val="18"/>
                <w:szCs w:val="18"/>
                <w:lang w:eastAsia="x-none"/>
              </w:rPr>
            </w:pPr>
            <w:r w:rsidRPr="007C4D65">
              <w:rPr>
                <w:rFonts w:asciiTheme="minorHAnsi" w:eastAsiaTheme="minorHAnsi" w:hAnsiTheme="minorHAnsi" w:cstheme="minorHAnsi"/>
                <w:sz w:val="18"/>
                <w:szCs w:val="18"/>
                <w:lang w:eastAsia="en-US" w:bidi="en-US"/>
              </w:rPr>
              <w:t xml:space="preserve">The List </w:t>
            </w:r>
            <w:r w:rsidR="00A70837" w:rsidRPr="007C4D65">
              <w:rPr>
                <w:rFonts w:asciiTheme="minorHAnsi" w:eastAsiaTheme="minorHAnsi" w:hAnsiTheme="minorHAnsi" w:cstheme="minorHAnsi"/>
                <w:sz w:val="18"/>
                <w:szCs w:val="18"/>
                <w:lang w:eastAsia="en-US" w:bidi="en-US"/>
              </w:rPr>
              <w:t xml:space="preserve">of </w:t>
            </w:r>
            <w:r w:rsidRPr="007C4D65">
              <w:rPr>
                <w:rFonts w:asciiTheme="minorHAnsi" w:eastAsiaTheme="minorHAnsi" w:hAnsiTheme="minorHAnsi" w:cstheme="minorHAnsi"/>
                <w:sz w:val="18"/>
                <w:szCs w:val="18"/>
                <w:lang w:eastAsia="en-US" w:bidi="en-US"/>
              </w:rPr>
              <w:t xml:space="preserve">indicators of the </w:t>
            </w:r>
            <w:r w:rsidR="00A70837" w:rsidRPr="007C4D65">
              <w:rPr>
                <w:rFonts w:asciiTheme="minorHAnsi" w:eastAsiaTheme="minorHAnsi" w:hAnsiTheme="minorHAnsi" w:cstheme="minorHAnsi"/>
                <w:sz w:val="18"/>
                <w:szCs w:val="18"/>
                <w:lang w:eastAsia="en-US" w:bidi="en-US"/>
              </w:rPr>
              <w:t xml:space="preserve">state of environment </w:t>
            </w:r>
            <w:r w:rsidRPr="007C4D65">
              <w:rPr>
                <w:rFonts w:asciiTheme="minorHAnsi" w:eastAsiaTheme="minorHAnsi" w:hAnsiTheme="minorHAnsi" w:cstheme="minorHAnsi"/>
                <w:sz w:val="18"/>
                <w:szCs w:val="18"/>
                <w:lang w:eastAsia="en-US" w:bidi="en-US"/>
              </w:rPr>
              <w:t>of the Federation</w:t>
            </w:r>
          </w:p>
        </w:tc>
        <w:tc>
          <w:tcPr>
            <w:tcW w:w="123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5B4144F" w14:textId="77777777" w:rsidR="00A70837" w:rsidRPr="007C4D65" w:rsidRDefault="00A70837"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It is not adopted.</w:t>
            </w:r>
          </w:p>
        </w:tc>
        <w:tc>
          <w:tcPr>
            <w:tcW w:w="104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87BF8F5" w14:textId="32B61B94" w:rsidR="00A70837" w:rsidRPr="007C4D65" w:rsidRDefault="00C40FFF"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List of indicators of the state of environment of the Federation </w:t>
            </w:r>
            <w:r w:rsidR="00A70837" w:rsidRPr="007C4D65">
              <w:rPr>
                <w:rFonts w:asciiTheme="minorHAnsi" w:eastAsiaTheme="minorHAnsi" w:hAnsiTheme="minorHAnsi" w:cstheme="minorHAnsi"/>
                <w:sz w:val="18"/>
                <w:szCs w:val="18"/>
                <w:lang w:eastAsia="en-US" w:bidi="en-US"/>
              </w:rPr>
              <w:t>adopted (2024)</w:t>
            </w:r>
          </w:p>
        </w:tc>
      </w:tr>
      <w:tr w:rsidR="00A70837" w:rsidRPr="007C4D65" w14:paraId="681852D5" w14:textId="77777777" w:rsidTr="00B6017F">
        <w:trPr>
          <w:trHeight w:val="567"/>
        </w:trPr>
        <w:tc>
          <w:tcPr>
            <w:tcW w:w="134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1E1D6C6"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2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FF94E43" w14:textId="6FA84111" w:rsidR="00A70837" w:rsidRPr="007C4D65" w:rsidRDefault="00C40FFF">
            <w:pPr>
              <w:pStyle w:val="ListParagraph"/>
              <w:numPr>
                <w:ilvl w:val="0"/>
                <w:numId w:val="252"/>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Effectiveness</w:t>
            </w:r>
            <w:r w:rsidR="00A70837" w:rsidRPr="007C4D65">
              <w:rPr>
                <w:rFonts w:asciiTheme="minorHAnsi" w:eastAsia="Calibri" w:hAnsiTheme="minorHAnsi" w:cstheme="minorHAnsi"/>
                <w:sz w:val="18"/>
                <w:szCs w:val="18"/>
                <w:lang w:eastAsia="x-none"/>
              </w:rPr>
              <w:t xml:space="preserve"> of cooperation within </w:t>
            </w:r>
            <w:r w:rsidRPr="007C4D65">
              <w:rPr>
                <w:rFonts w:asciiTheme="minorHAnsi" w:eastAsia="Calibri" w:hAnsiTheme="minorHAnsi" w:cstheme="minorHAnsi"/>
                <w:sz w:val="18"/>
                <w:szCs w:val="18"/>
                <w:lang w:eastAsia="x-none"/>
              </w:rPr>
              <w:t>Working Group</w:t>
            </w:r>
            <w:r w:rsidR="00A70837" w:rsidRPr="007C4D65">
              <w:rPr>
                <w:rFonts w:asciiTheme="minorHAnsi" w:eastAsiaTheme="minorHAnsi" w:hAnsiTheme="minorHAnsi" w:cstheme="minorHAnsi"/>
                <w:sz w:val="18"/>
                <w:szCs w:val="18"/>
                <w:lang w:eastAsia="en-US" w:bidi="en-US"/>
              </w:rPr>
              <w:t xml:space="preserve">, that will </w:t>
            </w:r>
            <w:r w:rsidRPr="007C4D65">
              <w:rPr>
                <w:rFonts w:asciiTheme="minorHAnsi" w:eastAsiaTheme="minorHAnsi" w:hAnsiTheme="minorHAnsi" w:cstheme="minorHAnsi"/>
                <w:sz w:val="18"/>
                <w:szCs w:val="18"/>
                <w:lang w:eastAsia="en-US" w:bidi="en-US"/>
              </w:rPr>
              <w:t>provide</w:t>
            </w:r>
            <w:r w:rsidR="00A70837" w:rsidRPr="007C4D65">
              <w:rPr>
                <w:rFonts w:asciiTheme="minorHAnsi" w:eastAsiaTheme="minorHAnsi" w:hAnsiTheme="minorHAnsi" w:cstheme="minorHAnsi"/>
                <w:sz w:val="18"/>
                <w:szCs w:val="18"/>
                <w:lang w:eastAsia="en-US" w:bidi="en-US"/>
              </w:rPr>
              <w:t xml:space="preserve"> expert proposals and coordinate </w:t>
            </w:r>
            <w:r w:rsidRPr="007C4D65">
              <w:rPr>
                <w:rFonts w:asciiTheme="minorHAnsi" w:eastAsiaTheme="minorHAnsi" w:hAnsiTheme="minorHAnsi" w:cstheme="minorHAnsi"/>
                <w:sz w:val="18"/>
                <w:szCs w:val="18"/>
                <w:lang w:eastAsia="en-US" w:bidi="en-US"/>
              </w:rPr>
              <w:t>the implementation</w:t>
            </w:r>
            <w:r w:rsidR="00A70837" w:rsidRPr="007C4D65">
              <w:rPr>
                <w:rFonts w:asciiTheme="minorHAnsi" w:eastAsiaTheme="minorHAnsi" w:hAnsiTheme="minorHAnsi" w:cstheme="minorHAnsi"/>
                <w:sz w:val="18"/>
                <w:szCs w:val="18"/>
                <w:lang w:eastAsia="en-US" w:bidi="en-US"/>
              </w:rPr>
              <w:t xml:space="preserve"> of conclusions and </w:t>
            </w:r>
            <w:r w:rsidRPr="007C4D65">
              <w:rPr>
                <w:rFonts w:asciiTheme="minorHAnsi" w:eastAsiaTheme="minorHAnsi" w:hAnsiTheme="minorHAnsi" w:cstheme="minorHAnsi"/>
                <w:sz w:val="18"/>
                <w:szCs w:val="18"/>
                <w:lang w:eastAsia="en-US" w:bidi="en-US"/>
              </w:rPr>
              <w:t xml:space="preserve">proposals defined in the </w:t>
            </w:r>
            <w:r w:rsidR="00A70837" w:rsidRPr="007C4D65">
              <w:rPr>
                <w:rFonts w:asciiTheme="minorHAnsi" w:eastAsiaTheme="minorHAnsi" w:hAnsiTheme="minorHAnsi" w:cstheme="minorHAnsi"/>
                <w:sz w:val="18"/>
                <w:szCs w:val="18"/>
                <w:lang w:eastAsia="en-US" w:bidi="en-US"/>
              </w:rPr>
              <w:t>study</w:t>
            </w:r>
          </w:p>
        </w:tc>
        <w:tc>
          <w:tcPr>
            <w:tcW w:w="123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A3C1C23" w14:textId="288ACB5C" w:rsidR="00A70837" w:rsidRPr="007C4D65" w:rsidRDefault="00A70837"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Working group</w:t>
            </w:r>
            <w:r w:rsidRPr="007C4D65">
              <w:rPr>
                <w:rFonts w:asciiTheme="minorHAnsi" w:eastAsiaTheme="minorHAnsi" w:hAnsiTheme="minorHAnsi" w:cstheme="minorHAnsi"/>
                <w:sz w:val="18"/>
                <w:szCs w:val="18"/>
                <w:lang w:eastAsia="en-US" w:bidi="en-US"/>
              </w:rPr>
              <w:t xml:space="preserve"> has not been formed</w:t>
            </w:r>
          </w:p>
        </w:tc>
        <w:tc>
          <w:tcPr>
            <w:tcW w:w="104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F101C3E" w14:textId="7A734918" w:rsidR="00A70837" w:rsidRPr="007C4D65" w:rsidRDefault="00C40FFF"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Effective </w:t>
            </w:r>
            <w:r w:rsidR="00A70837" w:rsidRPr="007C4D65">
              <w:rPr>
                <w:rFonts w:asciiTheme="minorHAnsi" w:eastAsia="Calibri" w:hAnsiTheme="minorHAnsi" w:cstheme="minorHAnsi"/>
                <w:sz w:val="18"/>
                <w:szCs w:val="18"/>
                <w:lang w:eastAsia="x-none"/>
              </w:rPr>
              <w:t xml:space="preserve">cooperation within </w:t>
            </w:r>
            <w:r w:rsidRPr="007C4D65">
              <w:rPr>
                <w:rFonts w:asciiTheme="minorHAnsi" w:eastAsia="Calibri" w:hAnsiTheme="minorHAnsi" w:cstheme="minorHAnsi"/>
                <w:sz w:val="18"/>
                <w:szCs w:val="18"/>
                <w:lang w:eastAsia="x-none"/>
              </w:rPr>
              <w:t>Working Group</w:t>
            </w:r>
            <w:r w:rsidRPr="007C4D65">
              <w:rPr>
                <w:rFonts w:asciiTheme="minorHAnsi" w:eastAsiaTheme="minorHAnsi" w:hAnsiTheme="minorHAnsi" w:cstheme="minorHAnsi"/>
                <w:sz w:val="18"/>
                <w:szCs w:val="18"/>
                <w:lang w:eastAsia="en-US" w:bidi="en-US"/>
              </w:rPr>
              <w:t xml:space="preserve"> </w:t>
            </w:r>
            <w:r w:rsidR="00A70837" w:rsidRPr="007C4D65">
              <w:rPr>
                <w:rFonts w:asciiTheme="minorHAnsi" w:eastAsiaTheme="minorHAnsi" w:hAnsiTheme="minorHAnsi" w:cstheme="minorHAnsi"/>
                <w:sz w:val="18"/>
                <w:szCs w:val="18"/>
                <w:lang w:eastAsia="en-US" w:bidi="en-US"/>
              </w:rPr>
              <w:t>(2025)</w:t>
            </w:r>
          </w:p>
        </w:tc>
      </w:tr>
      <w:tr w:rsidR="00A70837" w:rsidRPr="007C4D65" w14:paraId="28475E05" w14:textId="77777777" w:rsidTr="00B6017F">
        <w:trPr>
          <w:trHeight w:val="567"/>
        </w:trPr>
        <w:tc>
          <w:tcPr>
            <w:tcW w:w="134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082EAD31"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2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1B6F54A" w14:textId="426FA7E9" w:rsidR="00A70837" w:rsidRPr="007C4D65" w:rsidRDefault="00C40FFF">
            <w:pPr>
              <w:pStyle w:val="ListParagraph"/>
              <w:numPr>
                <w:ilvl w:val="0"/>
                <w:numId w:val="252"/>
              </w:numPr>
              <w:spacing w:before="40" w:after="40" w:line="276" w:lineRule="auto"/>
              <w:rPr>
                <w:rFonts w:asciiTheme="minorHAnsi" w:eastAsia="Calibri" w:hAnsiTheme="minorHAnsi" w:cstheme="minorHAnsi"/>
                <w:sz w:val="18"/>
                <w:szCs w:val="18"/>
                <w:lang w:eastAsia="x-none"/>
              </w:rPr>
            </w:pPr>
            <w:r w:rsidRPr="007C4D65">
              <w:rPr>
                <w:rFonts w:asciiTheme="minorHAnsi" w:eastAsiaTheme="minorHAnsi" w:hAnsiTheme="minorHAnsi" w:cstheme="minorHAnsi"/>
                <w:sz w:val="18"/>
                <w:szCs w:val="18"/>
                <w:lang w:eastAsia="en-US" w:bidi="en-US"/>
              </w:rPr>
              <w:t>The T</w:t>
            </w:r>
            <w:r w:rsidR="00A70837" w:rsidRPr="007C4D65">
              <w:rPr>
                <w:rFonts w:asciiTheme="minorHAnsi" w:eastAsia="Calibri" w:hAnsiTheme="minorHAnsi" w:cstheme="minorHAnsi"/>
                <w:sz w:val="18"/>
                <w:szCs w:val="18"/>
                <w:lang w:eastAsia="x-none"/>
              </w:rPr>
              <w:t xml:space="preserve">raining and </w:t>
            </w:r>
            <w:r w:rsidRPr="007C4D65">
              <w:rPr>
                <w:rFonts w:asciiTheme="minorHAnsi" w:eastAsia="Calibri" w:hAnsiTheme="minorHAnsi" w:cstheme="minorHAnsi"/>
                <w:sz w:val="18"/>
                <w:szCs w:val="18"/>
                <w:lang w:eastAsia="x-none"/>
              </w:rPr>
              <w:t>E</w:t>
            </w:r>
            <w:r w:rsidR="00A70837" w:rsidRPr="007C4D65">
              <w:rPr>
                <w:rFonts w:asciiTheme="minorHAnsi" w:eastAsia="Calibri" w:hAnsiTheme="minorHAnsi" w:cstheme="minorHAnsi"/>
                <w:sz w:val="18"/>
                <w:szCs w:val="18"/>
                <w:lang w:eastAsia="x-none"/>
              </w:rPr>
              <w:t xml:space="preserve">ducation </w:t>
            </w:r>
            <w:r w:rsidRPr="007C4D65">
              <w:rPr>
                <w:rFonts w:asciiTheme="minorHAnsi" w:eastAsia="Calibri" w:hAnsiTheme="minorHAnsi" w:cstheme="minorHAnsi"/>
                <w:sz w:val="18"/>
                <w:szCs w:val="18"/>
                <w:lang w:eastAsia="x-none"/>
              </w:rPr>
              <w:t>Programme for</w:t>
            </w:r>
            <w:r w:rsidR="00A70837" w:rsidRPr="007C4D65">
              <w:rPr>
                <w:rFonts w:asciiTheme="minorHAnsi" w:eastAsia="Calibri" w:hAnsiTheme="minorHAnsi" w:cstheme="minorHAnsi"/>
                <w:sz w:val="18"/>
                <w:szCs w:val="18"/>
                <w:lang w:eastAsia="x-none"/>
              </w:rPr>
              <w:t xml:space="preserve"> all the agencies and institutions </w:t>
            </w:r>
            <w:r w:rsidRPr="007C4D65">
              <w:rPr>
                <w:rFonts w:asciiTheme="minorHAnsi" w:eastAsia="Calibri" w:hAnsiTheme="minorHAnsi" w:cstheme="minorHAnsi"/>
                <w:sz w:val="18"/>
                <w:szCs w:val="18"/>
                <w:lang w:eastAsia="x-none"/>
              </w:rPr>
              <w:t>in</w:t>
            </w:r>
            <w:r w:rsidR="00A70837" w:rsidRPr="007C4D65">
              <w:rPr>
                <w:rFonts w:asciiTheme="minorHAnsi" w:eastAsia="Calibri" w:hAnsiTheme="minorHAnsi" w:cstheme="minorHAnsi"/>
                <w:sz w:val="18"/>
                <w:szCs w:val="18"/>
                <w:lang w:eastAsia="x-none"/>
              </w:rPr>
              <w:t xml:space="preserve"> the Federation of BiH </w:t>
            </w:r>
            <w:r w:rsidRPr="007C4D65">
              <w:rPr>
                <w:rFonts w:asciiTheme="minorHAnsi" w:eastAsia="Calibri" w:hAnsiTheme="minorHAnsi" w:cstheme="minorHAnsi"/>
                <w:sz w:val="18"/>
                <w:szCs w:val="18"/>
                <w:lang w:eastAsia="x-none"/>
              </w:rPr>
              <w:t>involved</w:t>
            </w:r>
            <w:r w:rsidR="00A70837" w:rsidRPr="007C4D65">
              <w:rPr>
                <w:rFonts w:asciiTheme="minorHAnsi" w:eastAsia="Calibri" w:hAnsiTheme="minorHAnsi" w:cstheme="minorHAnsi"/>
                <w:sz w:val="18"/>
                <w:szCs w:val="18"/>
                <w:lang w:eastAsia="x-none"/>
              </w:rPr>
              <w:t xml:space="preserve"> in reporting</w:t>
            </w:r>
          </w:p>
        </w:tc>
        <w:tc>
          <w:tcPr>
            <w:tcW w:w="123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2ECCC1B" w14:textId="1EA54AAF" w:rsidR="00A70837" w:rsidRPr="007C4D65" w:rsidRDefault="00A70837"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There is no </w:t>
            </w:r>
            <w:r w:rsidR="00C40FFF" w:rsidRPr="007C4D65">
              <w:rPr>
                <w:rFonts w:asciiTheme="minorHAnsi" w:eastAsiaTheme="minorHAnsi" w:hAnsiTheme="minorHAnsi" w:cstheme="minorHAnsi"/>
                <w:sz w:val="18"/>
                <w:szCs w:val="18"/>
                <w:lang w:eastAsia="en-US" w:bidi="en-US"/>
              </w:rPr>
              <w:t>T</w:t>
            </w:r>
            <w:r w:rsidR="00C40FFF" w:rsidRPr="007C4D65">
              <w:rPr>
                <w:rFonts w:asciiTheme="minorHAnsi" w:eastAsia="Calibri" w:hAnsiTheme="minorHAnsi" w:cstheme="minorHAnsi"/>
                <w:sz w:val="18"/>
                <w:szCs w:val="18"/>
                <w:lang w:eastAsia="x-none"/>
              </w:rPr>
              <w:t>raining and Education Programme</w:t>
            </w:r>
          </w:p>
        </w:tc>
        <w:tc>
          <w:tcPr>
            <w:tcW w:w="104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15F18CE" w14:textId="1236B85E" w:rsidR="00A70837" w:rsidRPr="007C4D65" w:rsidRDefault="00C40FFF"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The T</w:t>
            </w:r>
            <w:r w:rsidRPr="007C4D65">
              <w:rPr>
                <w:rFonts w:asciiTheme="minorHAnsi" w:eastAsia="Calibri" w:hAnsiTheme="minorHAnsi" w:cstheme="minorHAnsi"/>
                <w:sz w:val="18"/>
                <w:szCs w:val="18"/>
                <w:lang w:eastAsia="x-none"/>
              </w:rPr>
              <w:t>raining and Education Programme prepared</w:t>
            </w:r>
            <w:r w:rsidR="00A70837" w:rsidRPr="007C4D65">
              <w:rPr>
                <w:rFonts w:asciiTheme="minorHAnsi" w:eastAsiaTheme="minorHAnsi" w:hAnsiTheme="minorHAnsi" w:cstheme="minorHAnsi"/>
                <w:sz w:val="18"/>
                <w:szCs w:val="18"/>
                <w:lang w:eastAsia="en-US" w:bidi="en-US"/>
              </w:rPr>
              <w:t xml:space="preserve"> (2025)</w:t>
            </w:r>
          </w:p>
        </w:tc>
      </w:tr>
      <w:tr w:rsidR="00A70837" w:rsidRPr="007C4D65" w14:paraId="355D3D76" w14:textId="77777777" w:rsidTr="00B6017F">
        <w:trPr>
          <w:trHeight w:val="567"/>
        </w:trPr>
        <w:tc>
          <w:tcPr>
            <w:tcW w:w="134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4EEAEB8"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2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3B1BEEE" w14:textId="58F58388" w:rsidR="00A70837" w:rsidRPr="007C4D65" w:rsidRDefault="00A70837">
            <w:pPr>
              <w:pStyle w:val="ListParagraph"/>
              <w:numPr>
                <w:ilvl w:val="0"/>
                <w:numId w:val="252"/>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Level of the implementation of </w:t>
            </w:r>
            <w:r w:rsidR="00C40FFF" w:rsidRPr="007C4D65">
              <w:rPr>
                <w:rFonts w:asciiTheme="minorHAnsi" w:eastAsiaTheme="minorHAnsi" w:hAnsiTheme="minorHAnsi" w:cstheme="minorHAnsi"/>
                <w:sz w:val="18"/>
                <w:szCs w:val="18"/>
                <w:lang w:eastAsia="en-US" w:bidi="en-US"/>
              </w:rPr>
              <w:t>the T</w:t>
            </w:r>
            <w:r w:rsidR="00C40FFF" w:rsidRPr="007C4D65">
              <w:rPr>
                <w:rFonts w:asciiTheme="minorHAnsi" w:eastAsia="Calibri" w:hAnsiTheme="minorHAnsi" w:cstheme="minorHAnsi"/>
                <w:sz w:val="18"/>
                <w:szCs w:val="18"/>
                <w:lang w:eastAsia="x-none"/>
              </w:rPr>
              <w:t>raining and Education Programme</w:t>
            </w:r>
            <w:r w:rsidRPr="007C4D65">
              <w:rPr>
                <w:rFonts w:asciiTheme="minorHAnsi" w:eastAsia="Calibri" w:hAnsiTheme="minorHAnsi" w:cstheme="minorHAnsi"/>
                <w:sz w:val="18"/>
                <w:szCs w:val="18"/>
                <w:lang w:eastAsia="x-none"/>
              </w:rPr>
              <w:t xml:space="preserve"> </w:t>
            </w:r>
            <w:r w:rsidR="00C40FFF" w:rsidRPr="007C4D65">
              <w:rPr>
                <w:rFonts w:asciiTheme="minorHAnsi" w:eastAsia="Calibri" w:hAnsiTheme="minorHAnsi" w:cstheme="minorHAnsi"/>
                <w:sz w:val="18"/>
                <w:szCs w:val="18"/>
                <w:lang w:eastAsia="x-none"/>
              </w:rPr>
              <w:t>for</w:t>
            </w:r>
            <w:r w:rsidRPr="007C4D65">
              <w:rPr>
                <w:rFonts w:asciiTheme="minorHAnsi" w:eastAsia="Calibri" w:hAnsiTheme="minorHAnsi" w:cstheme="minorHAnsi"/>
                <w:sz w:val="18"/>
                <w:szCs w:val="18"/>
                <w:lang w:eastAsia="x-none"/>
              </w:rPr>
              <w:t xml:space="preserve"> all the agencies and institutions </w:t>
            </w:r>
            <w:r w:rsidR="00C40FFF" w:rsidRPr="007C4D65">
              <w:rPr>
                <w:rFonts w:asciiTheme="minorHAnsi" w:eastAsia="Calibri" w:hAnsiTheme="minorHAnsi" w:cstheme="minorHAnsi"/>
                <w:sz w:val="18"/>
                <w:szCs w:val="18"/>
                <w:lang w:eastAsia="x-none"/>
              </w:rPr>
              <w:t>in</w:t>
            </w:r>
            <w:r w:rsidRPr="007C4D65">
              <w:rPr>
                <w:rFonts w:asciiTheme="minorHAnsi" w:eastAsia="Calibri" w:hAnsiTheme="minorHAnsi" w:cstheme="minorHAnsi"/>
                <w:sz w:val="18"/>
                <w:szCs w:val="18"/>
                <w:lang w:eastAsia="x-none"/>
              </w:rPr>
              <w:t xml:space="preserve"> the Federation of BiH </w:t>
            </w:r>
            <w:r w:rsidR="00C40FFF" w:rsidRPr="007C4D65">
              <w:rPr>
                <w:rFonts w:asciiTheme="minorHAnsi" w:eastAsia="Calibri" w:hAnsiTheme="minorHAnsi" w:cstheme="minorHAnsi"/>
                <w:sz w:val="18"/>
                <w:szCs w:val="18"/>
                <w:lang w:eastAsia="x-none"/>
              </w:rPr>
              <w:t>involved</w:t>
            </w:r>
            <w:r w:rsidRPr="007C4D65">
              <w:rPr>
                <w:rFonts w:asciiTheme="minorHAnsi" w:eastAsia="Calibri" w:hAnsiTheme="minorHAnsi" w:cstheme="minorHAnsi"/>
                <w:sz w:val="18"/>
                <w:szCs w:val="18"/>
                <w:lang w:eastAsia="x-none"/>
              </w:rPr>
              <w:t xml:space="preserve"> in reporting</w:t>
            </w:r>
          </w:p>
        </w:tc>
        <w:tc>
          <w:tcPr>
            <w:tcW w:w="123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4F6947E" w14:textId="2E1D1113" w:rsidR="00A70837" w:rsidRPr="007C4D65" w:rsidRDefault="00A70837"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There is no </w:t>
            </w:r>
            <w:r w:rsidR="00C40FFF" w:rsidRPr="007C4D65">
              <w:rPr>
                <w:rFonts w:asciiTheme="minorHAnsi" w:eastAsiaTheme="minorHAnsi" w:hAnsiTheme="minorHAnsi" w:cstheme="minorHAnsi"/>
                <w:sz w:val="18"/>
                <w:szCs w:val="18"/>
                <w:lang w:eastAsia="en-US" w:bidi="en-US"/>
              </w:rPr>
              <w:t>T</w:t>
            </w:r>
            <w:r w:rsidR="00C40FFF" w:rsidRPr="007C4D65">
              <w:rPr>
                <w:rFonts w:asciiTheme="minorHAnsi" w:eastAsia="Calibri" w:hAnsiTheme="minorHAnsi" w:cstheme="minorHAnsi"/>
                <w:sz w:val="18"/>
                <w:szCs w:val="18"/>
                <w:lang w:eastAsia="x-none"/>
              </w:rPr>
              <w:t>raining and Education Programme</w:t>
            </w:r>
          </w:p>
        </w:tc>
        <w:tc>
          <w:tcPr>
            <w:tcW w:w="104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2AB6C0E" w14:textId="43BEEFCA" w:rsidR="00A70837" w:rsidRPr="007C4D65" w:rsidRDefault="00C40FFF"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T</w:t>
            </w:r>
            <w:r w:rsidRPr="007C4D65">
              <w:rPr>
                <w:rFonts w:asciiTheme="minorHAnsi" w:eastAsia="Calibri" w:hAnsiTheme="minorHAnsi" w:cstheme="minorHAnsi"/>
                <w:sz w:val="18"/>
                <w:szCs w:val="18"/>
                <w:lang w:eastAsia="x-none"/>
              </w:rPr>
              <w:t>raining and Education Programme for</w:t>
            </w:r>
            <w:r w:rsidR="00A70837" w:rsidRPr="007C4D65">
              <w:rPr>
                <w:rFonts w:asciiTheme="minorHAnsi" w:eastAsia="Calibri" w:hAnsiTheme="minorHAnsi" w:cstheme="minorHAnsi"/>
                <w:sz w:val="18"/>
                <w:szCs w:val="18"/>
                <w:lang w:eastAsia="x-none"/>
              </w:rPr>
              <w:t xml:space="preserve"> all the agencies and institutions from the Federation of BiH </w:t>
            </w:r>
            <w:r w:rsidRPr="007C4D65">
              <w:rPr>
                <w:rFonts w:asciiTheme="minorHAnsi" w:eastAsia="Calibri" w:hAnsiTheme="minorHAnsi" w:cstheme="minorHAnsi"/>
                <w:sz w:val="18"/>
                <w:szCs w:val="18"/>
                <w:lang w:eastAsia="x-none"/>
              </w:rPr>
              <w:t>involved</w:t>
            </w:r>
            <w:r w:rsidR="00A70837" w:rsidRPr="007C4D65">
              <w:rPr>
                <w:rFonts w:asciiTheme="minorHAnsi" w:eastAsia="Calibri" w:hAnsiTheme="minorHAnsi" w:cstheme="minorHAnsi"/>
                <w:sz w:val="18"/>
                <w:szCs w:val="18"/>
                <w:lang w:eastAsia="x-none"/>
              </w:rPr>
              <w:t xml:space="preserve"> in reporting</w:t>
            </w:r>
            <w:r w:rsidR="00A70837" w:rsidRPr="007C4D65">
              <w:rPr>
                <w:rFonts w:asciiTheme="minorHAnsi" w:eastAsiaTheme="minorHAnsi" w:hAnsiTheme="minorHAnsi" w:cstheme="minorHAnsi"/>
                <w:sz w:val="18"/>
                <w:szCs w:val="18"/>
                <w:lang w:eastAsia="en-US" w:bidi="en-US"/>
              </w:rPr>
              <w:t xml:space="preserve"> </w:t>
            </w:r>
            <w:r w:rsidRPr="007C4D65">
              <w:rPr>
                <w:rFonts w:asciiTheme="minorHAnsi" w:eastAsiaTheme="minorHAnsi" w:hAnsiTheme="minorHAnsi" w:cstheme="minorHAnsi"/>
                <w:sz w:val="18"/>
                <w:szCs w:val="18"/>
                <w:lang w:eastAsia="en-US" w:bidi="en-US"/>
              </w:rPr>
              <w:t xml:space="preserve">implemented </w:t>
            </w:r>
            <w:r w:rsidR="00A70837" w:rsidRPr="007C4D65">
              <w:rPr>
                <w:rFonts w:asciiTheme="minorHAnsi" w:eastAsiaTheme="minorHAnsi" w:hAnsiTheme="minorHAnsi" w:cstheme="minorHAnsi"/>
                <w:sz w:val="18"/>
                <w:szCs w:val="18"/>
                <w:lang w:eastAsia="en-US" w:bidi="en-US"/>
              </w:rPr>
              <w:t>(continuously – 2030+)</w:t>
            </w:r>
          </w:p>
        </w:tc>
      </w:tr>
      <w:tr w:rsidR="00A70837" w:rsidRPr="007C4D65" w14:paraId="294BFDA3" w14:textId="77777777" w:rsidTr="00B6017F">
        <w:trPr>
          <w:trHeight w:val="567"/>
        </w:trPr>
        <w:tc>
          <w:tcPr>
            <w:tcW w:w="134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550BB2C1"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2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CD57C9E" w14:textId="70ADD01A" w:rsidR="00A70837" w:rsidRPr="007C4D65" w:rsidRDefault="00A70837">
            <w:pPr>
              <w:pStyle w:val="ListParagraph"/>
              <w:numPr>
                <w:ilvl w:val="0"/>
                <w:numId w:val="252"/>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Level of the implementation of the Strategy</w:t>
            </w:r>
            <w:r w:rsidR="00C40FFF" w:rsidRPr="007C4D65">
              <w:rPr>
                <w:rFonts w:asciiTheme="minorHAnsi" w:eastAsia="Calibri" w:hAnsiTheme="minorHAnsi" w:cstheme="minorHAnsi"/>
                <w:sz w:val="18"/>
                <w:szCs w:val="18"/>
                <w:lang w:eastAsia="x-none"/>
              </w:rPr>
              <w:t xml:space="preserve"> on</w:t>
            </w:r>
            <w:r w:rsidRPr="007C4D65">
              <w:rPr>
                <w:rFonts w:asciiTheme="minorHAnsi" w:eastAsia="Calibri" w:hAnsiTheme="minorHAnsi" w:cstheme="minorHAnsi"/>
                <w:sz w:val="18"/>
                <w:szCs w:val="18"/>
                <w:lang w:eastAsia="x-none"/>
              </w:rPr>
              <w:t xml:space="preserve"> monitoring</w:t>
            </w:r>
            <w:r w:rsidR="00C40FFF" w:rsidRPr="007C4D65">
              <w:rPr>
                <w:rFonts w:asciiTheme="minorHAnsi" w:eastAsia="Calibri" w:hAnsiTheme="minorHAnsi" w:cstheme="minorHAnsi"/>
                <w:sz w:val="18"/>
                <w:szCs w:val="18"/>
                <w:lang w:eastAsia="x-none"/>
              </w:rPr>
              <w:t xml:space="preserve"> the state of </w:t>
            </w:r>
            <w:r w:rsidR="00C40FFF" w:rsidRPr="007C4D65">
              <w:rPr>
                <w:rFonts w:asciiTheme="minorHAnsi" w:eastAsia="Calibri" w:hAnsiTheme="minorHAnsi" w:cstheme="minorHAnsi"/>
                <w:sz w:val="18"/>
                <w:szCs w:val="18"/>
                <w:lang w:eastAsia="x-none"/>
              </w:rPr>
              <w:lastRenderedPageBreak/>
              <w:t>environment</w:t>
            </w:r>
            <w:r w:rsidRPr="007C4D65">
              <w:rPr>
                <w:rFonts w:asciiTheme="minorHAnsi" w:eastAsia="Calibri" w:hAnsiTheme="minorHAnsi" w:cstheme="minorHAnsi"/>
                <w:sz w:val="18"/>
                <w:szCs w:val="18"/>
                <w:lang w:eastAsia="x-none"/>
              </w:rPr>
              <w:t>, data management and reporting</w:t>
            </w:r>
          </w:p>
        </w:tc>
        <w:tc>
          <w:tcPr>
            <w:tcW w:w="123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51A7F74" w14:textId="25CA9585" w:rsidR="00A70837" w:rsidRPr="007C4D65" w:rsidRDefault="00C40FFF"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lastRenderedPageBreak/>
              <w:t xml:space="preserve">The Strategy on monitoring the state of environment, data management and </w:t>
            </w:r>
            <w:r w:rsidRPr="007C4D65">
              <w:rPr>
                <w:rFonts w:asciiTheme="minorHAnsi" w:eastAsia="Calibri" w:hAnsiTheme="minorHAnsi" w:cstheme="minorHAnsi"/>
                <w:sz w:val="18"/>
                <w:szCs w:val="18"/>
                <w:lang w:eastAsia="x-none"/>
              </w:rPr>
              <w:lastRenderedPageBreak/>
              <w:t xml:space="preserve">reporting </w:t>
            </w:r>
            <w:r w:rsidR="00A70837" w:rsidRPr="007C4D65">
              <w:rPr>
                <w:rFonts w:asciiTheme="minorHAnsi" w:eastAsia="Calibri" w:hAnsiTheme="minorHAnsi" w:cstheme="minorHAnsi"/>
                <w:sz w:val="18"/>
                <w:szCs w:val="18"/>
                <w:lang w:eastAsia="x-none"/>
              </w:rPr>
              <w:t xml:space="preserve">has not been adopted at the level of </w:t>
            </w:r>
            <w:r w:rsidRPr="007C4D65">
              <w:rPr>
                <w:rFonts w:asciiTheme="minorHAnsi" w:eastAsia="Calibri" w:hAnsiTheme="minorHAnsi" w:cstheme="minorHAnsi"/>
                <w:sz w:val="18"/>
                <w:szCs w:val="18"/>
                <w:lang w:eastAsia="x-none"/>
              </w:rPr>
              <w:t>BiH</w:t>
            </w:r>
            <w:r w:rsidR="00A70837" w:rsidRPr="007C4D65">
              <w:rPr>
                <w:rFonts w:asciiTheme="minorHAnsi" w:eastAsia="Calibri" w:hAnsiTheme="minorHAnsi" w:cstheme="minorHAnsi"/>
                <w:sz w:val="18"/>
                <w:szCs w:val="18"/>
                <w:lang w:eastAsia="x-none"/>
              </w:rPr>
              <w:t xml:space="preserve"> </w:t>
            </w:r>
          </w:p>
        </w:tc>
        <w:tc>
          <w:tcPr>
            <w:tcW w:w="104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4987EF9" w14:textId="603690B6" w:rsidR="00A70837" w:rsidRPr="007C4D65" w:rsidRDefault="00C40FFF"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lastRenderedPageBreak/>
              <w:t>Advanced stage of the</w:t>
            </w:r>
            <w:r w:rsidR="00A70837" w:rsidRPr="007C4D65">
              <w:rPr>
                <w:rFonts w:asciiTheme="minorHAnsi" w:eastAsiaTheme="minorHAnsi" w:hAnsiTheme="minorHAnsi" w:cstheme="minorHAnsi"/>
                <w:sz w:val="18"/>
                <w:szCs w:val="18"/>
                <w:lang w:eastAsia="en-US" w:bidi="en-US"/>
              </w:rPr>
              <w:t xml:space="preserve"> implementation</w:t>
            </w:r>
            <w:r w:rsidR="00A70837" w:rsidRPr="007C4D65">
              <w:rPr>
                <w:rFonts w:asciiTheme="minorHAnsi" w:eastAsia="Calibri" w:hAnsiTheme="minorHAnsi" w:cstheme="minorHAnsi"/>
                <w:sz w:val="18"/>
                <w:szCs w:val="18"/>
                <w:lang w:eastAsia="x-none"/>
              </w:rPr>
              <w:t xml:space="preserve"> of </w:t>
            </w:r>
            <w:r w:rsidRPr="007C4D65">
              <w:rPr>
                <w:rFonts w:asciiTheme="minorHAnsi" w:eastAsia="Calibri" w:hAnsiTheme="minorHAnsi" w:cstheme="minorHAnsi"/>
                <w:sz w:val="18"/>
                <w:szCs w:val="18"/>
                <w:lang w:eastAsia="x-none"/>
              </w:rPr>
              <w:t xml:space="preserve">Strategy on monitoring the state of environment, data management </w:t>
            </w:r>
            <w:r w:rsidRPr="007C4D65">
              <w:rPr>
                <w:rFonts w:asciiTheme="minorHAnsi" w:eastAsia="Calibri" w:hAnsiTheme="minorHAnsi" w:cstheme="minorHAnsi"/>
                <w:sz w:val="18"/>
                <w:szCs w:val="18"/>
                <w:lang w:eastAsia="x-none"/>
              </w:rPr>
              <w:lastRenderedPageBreak/>
              <w:t xml:space="preserve">and reporting </w:t>
            </w:r>
            <w:r w:rsidR="00A70837" w:rsidRPr="007C4D65">
              <w:rPr>
                <w:rFonts w:asciiTheme="minorHAnsi" w:eastAsia="Calibri" w:hAnsiTheme="minorHAnsi" w:cstheme="minorHAnsi"/>
                <w:sz w:val="18"/>
                <w:szCs w:val="18"/>
                <w:lang w:eastAsia="x-none"/>
              </w:rPr>
              <w:t>(continuously from 2026 and onwards (2030+))</w:t>
            </w:r>
          </w:p>
        </w:tc>
      </w:tr>
      <w:tr w:rsidR="00A70837" w:rsidRPr="007C4D65" w14:paraId="53E3C0B6" w14:textId="77777777" w:rsidTr="00B6017F">
        <w:trPr>
          <w:trHeight w:val="567"/>
        </w:trPr>
        <w:tc>
          <w:tcPr>
            <w:tcW w:w="134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34E0E42"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2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485F515" w14:textId="417C8A8A" w:rsidR="00A70837" w:rsidRPr="007C4D65" w:rsidRDefault="00A70837">
            <w:pPr>
              <w:pStyle w:val="ListParagraph"/>
              <w:numPr>
                <w:ilvl w:val="0"/>
                <w:numId w:val="252"/>
              </w:numPr>
              <w:spacing w:before="40" w:after="40" w:line="276" w:lineRule="auto"/>
              <w:rPr>
                <w:rFonts w:asciiTheme="minorHAnsi" w:eastAsia="Calibri" w:hAnsiTheme="minorHAnsi" w:cstheme="minorHAnsi"/>
                <w:sz w:val="18"/>
                <w:szCs w:val="18"/>
                <w:lang w:eastAsia="x-none"/>
              </w:rPr>
            </w:pPr>
            <w:r w:rsidRPr="007C4D65">
              <w:rPr>
                <w:rFonts w:asciiTheme="minorHAnsi" w:eastAsia="Calibri" w:hAnsiTheme="minorHAnsi" w:cstheme="minorHAnsi"/>
                <w:sz w:val="18"/>
                <w:szCs w:val="18"/>
                <w:lang w:eastAsia="x-none"/>
              </w:rPr>
              <w:t xml:space="preserve">Level of the implementation of the Action Plan for </w:t>
            </w:r>
            <w:r w:rsidR="00C40FFF"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Implementation of the Regulation</w:t>
            </w:r>
            <w:r w:rsidRPr="007C4D65">
              <w:rPr>
                <w:rFonts w:asciiTheme="minorHAnsi" w:eastAsiaTheme="minorHAnsi" w:hAnsiTheme="minorHAnsi" w:cstheme="minorHAnsi"/>
                <w:sz w:val="18"/>
                <w:szCs w:val="18"/>
                <w:lang w:eastAsia="en-US" w:bidi="en-US"/>
              </w:rPr>
              <w:t xml:space="preserve"> EIONET BiH in the territory </w:t>
            </w:r>
            <w:r w:rsidR="007436F1" w:rsidRPr="007C4D65">
              <w:rPr>
                <w:rFonts w:asciiTheme="minorHAnsi" w:eastAsiaTheme="minorHAnsi" w:hAnsiTheme="minorHAnsi" w:cstheme="minorHAnsi"/>
                <w:sz w:val="18"/>
                <w:szCs w:val="18"/>
                <w:lang w:eastAsia="en-US" w:bidi="en-US"/>
              </w:rPr>
              <w:t>of the Federation of BiH</w:t>
            </w:r>
          </w:p>
        </w:tc>
        <w:tc>
          <w:tcPr>
            <w:tcW w:w="123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218112D" w14:textId="1CB8ECFE" w:rsidR="00A70837" w:rsidRPr="007C4D65" w:rsidRDefault="00C40FFF"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w:t>
            </w:r>
            <w:r w:rsidR="00A70837" w:rsidRPr="007C4D65">
              <w:rPr>
                <w:rFonts w:asciiTheme="minorHAnsi" w:eastAsiaTheme="minorHAnsi" w:hAnsiTheme="minorHAnsi" w:cstheme="minorHAnsi"/>
                <w:sz w:val="18"/>
                <w:szCs w:val="18"/>
                <w:lang w:eastAsia="en-US" w:bidi="en-US"/>
              </w:rPr>
              <w:t xml:space="preserve">Action </w:t>
            </w:r>
            <w:r w:rsidRPr="007C4D65">
              <w:rPr>
                <w:rFonts w:asciiTheme="minorHAnsi" w:eastAsiaTheme="minorHAnsi" w:hAnsiTheme="minorHAnsi" w:cstheme="minorHAnsi"/>
                <w:sz w:val="18"/>
                <w:szCs w:val="18"/>
                <w:lang w:eastAsia="en-US" w:bidi="en-US"/>
              </w:rPr>
              <w:t>P</w:t>
            </w:r>
            <w:r w:rsidR="00A70837" w:rsidRPr="007C4D65">
              <w:rPr>
                <w:rFonts w:asciiTheme="minorHAnsi" w:eastAsiaTheme="minorHAnsi" w:hAnsiTheme="minorHAnsi" w:cstheme="minorHAnsi"/>
                <w:sz w:val="18"/>
                <w:szCs w:val="18"/>
                <w:lang w:eastAsia="en-US" w:bidi="en-US"/>
              </w:rPr>
              <w:t>lan is not adopted</w:t>
            </w:r>
          </w:p>
        </w:tc>
        <w:tc>
          <w:tcPr>
            <w:tcW w:w="104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057D06D" w14:textId="4182193C" w:rsidR="00A70837" w:rsidRPr="007C4D65" w:rsidRDefault="00A70837"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x-none"/>
              </w:rPr>
              <w:t xml:space="preserve">The Action Plan for </w:t>
            </w:r>
            <w:r w:rsidR="00C40FFF" w:rsidRPr="007C4D65">
              <w:rPr>
                <w:rFonts w:asciiTheme="minorHAnsi" w:eastAsia="Calibri" w:hAnsiTheme="minorHAnsi" w:cstheme="minorHAnsi"/>
                <w:sz w:val="18"/>
                <w:szCs w:val="18"/>
                <w:lang w:eastAsia="x-none"/>
              </w:rPr>
              <w:t xml:space="preserve">the </w:t>
            </w:r>
            <w:r w:rsidRPr="007C4D65">
              <w:rPr>
                <w:rFonts w:asciiTheme="minorHAnsi" w:eastAsia="Calibri" w:hAnsiTheme="minorHAnsi" w:cstheme="minorHAnsi"/>
                <w:sz w:val="18"/>
                <w:szCs w:val="18"/>
                <w:lang w:eastAsia="x-none"/>
              </w:rPr>
              <w:t>Implementation of the Regulation</w:t>
            </w:r>
            <w:r w:rsidRPr="007C4D65">
              <w:rPr>
                <w:rFonts w:asciiTheme="minorHAnsi" w:eastAsiaTheme="minorHAnsi" w:hAnsiTheme="minorHAnsi" w:cstheme="minorHAnsi"/>
                <w:sz w:val="18"/>
                <w:szCs w:val="18"/>
                <w:lang w:eastAsia="en-US" w:bidi="en-US"/>
              </w:rPr>
              <w:t xml:space="preserve"> EIONET BiH in the territory </w:t>
            </w:r>
            <w:r w:rsidR="007436F1" w:rsidRPr="007C4D65">
              <w:rPr>
                <w:rFonts w:asciiTheme="minorHAnsi" w:eastAsiaTheme="minorHAnsi" w:hAnsiTheme="minorHAnsi" w:cstheme="minorHAnsi"/>
                <w:sz w:val="18"/>
                <w:szCs w:val="18"/>
                <w:lang w:eastAsia="en-US" w:bidi="en-US"/>
              </w:rPr>
              <w:t>of the Federation of BiH</w:t>
            </w:r>
            <w:r w:rsidRPr="007C4D65">
              <w:rPr>
                <w:rFonts w:asciiTheme="minorHAnsi" w:eastAsiaTheme="minorHAnsi" w:hAnsiTheme="minorHAnsi" w:cstheme="minorHAnsi"/>
                <w:sz w:val="18"/>
                <w:szCs w:val="18"/>
                <w:lang w:eastAsia="en-US" w:bidi="en-US"/>
              </w:rPr>
              <w:t xml:space="preserve"> implemented</w:t>
            </w:r>
            <w:r w:rsidR="00C40FFF" w:rsidRPr="007C4D65">
              <w:rPr>
                <w:rFonts w:asciiTheme="minorHAnsi" w:eastAsiaTheme="minorHAnsi" w:hAnsiTheme="minorHAnsi" w:cstheme="minorHAnsi"/>
                <w:sz w:val="18"/>
                <w:szCs w:val="18"/>
                <w:lang w:eastAsia="en-US" w:bidi="en-US"/>
              </w:rPr>
              <w:t xml:space="preserve"> </w:t>
            </w:r>
            <w:r w:rsidRPr="007C4D65">
              <w:rPr>
                <w:rFonts w:asciiTheme="minorHAnsi" w:eastAsiaTheme="minorHAnsi" w:hAnsiTheme="minorHAnsi" w:cstheme="minorHAnsi"/>
                <w:sz w:val="18"/>
                <w:szCs w:val="18"/>
                <w:lang w:eastAsia="en-US" w:bidi="en-US"/>
              </w:rPr>
              <w:t>(continuously from 2026)</w:t>
            </w:r>
          </w:p>
        </w:tc>
      </w:tr>
      <w:tr w:rsidR="00A70837" w:rsidRPr="007C4D65" w14:paraId="24B4E11B" w14:textId="77777777" w:rsidTr="00B6017F">
        <w:trPr>
          <w:trHeight w:val="567"/>
        </w:trPr>
        <w:tc>
          <w:tcPr>
            <w:tcW w:w="1345" w:type="pct"/>
            <w:vMerge/>
            <w:tcBorders>
              <w:top w:val="single" w:sz="4" w:space="0" w:color="A6A6A6"/>
              <w:left w:val="single" w:sz="4" w:space="0" w:color="A6A6A6"/>
              <w:bottom w:val="single" w:sz="4" w:space="0" w:color="A6A6A6"/>
              <w:right w:val="single" w:sz="4" w:space="0" w:color="A6A6A6"/>
            </w:tcBorders>
            <w:shd w:val="clear" w:color="auto" w:fill="009D73"/>
            <w:vAlign w:val="center"/>
          </w:tcPr>
          <w:p w14:paraId="6364DB29"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p>
        </w:tc>
        <w:tc>
          <w:tcPr>
            <w:tcW w:w="132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F3893F4" w14:textId="302735D3" w:rsidR="00A70837" w:rsidRPr="007C4D65" w:rsidRDefault="00A70837">
            <w:pPr>
              <w:pStyle w:val="ListParagraph"/>
              <w:numPr>
                <w:ilvl w:val="0"/>
                <w:numId w:val="252"/>
              </w:numPr>
              <w:spacing w:before="40" w:after="40" w:line="276" w:lineRule="auto"/>
              <w:rPr>
                <w:rFonts w:asciiTheme="minorHAnsi" w:eastAsiaTheme="minorHAnsi" w:hAnsiTheme="minorHAnsi" w:cstheme="minorHAnsi"/>
                <w:color w:val="000000"/>
                <w:sz w:val="18"/>
                <w:szCs w:val="18"/>
                <w:lang w:eastAsia="en-US"/>
              </w:rPr>
            </w:pPr>
            <w:r w:rsidRPr="007C4D65">
              <w:rPr>
                <w:rFonts w:asciiTheme="minorHAnsi" w:eastAsia="Calibri" w:hAnsiTheme="minorHAnsi" w:cstheme="minorHAnsi"/>
                <w:sz w:val="18"/>
                <w:szCs w:val="18"/>
                <w:lang w:eastAsia="x-none"/>
              </w:rPr>
              <w:t>Level of the implementation of the Action Plan for Implementation of the Standardized Reporting Directive in the territory of the Federation of BiH</w:t>
            </w:r>
          </w:p>
        </w:tc>
        <w:tc>
          <w:tcPr>
            <w:tcW w:w="1230"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890CC3D" w14:textId="7D6894F3" w:rsidR="00A70837" w:rsidRPr="007C4D65" w:rsidRDefault="00C40FFF"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w:t>
            </w:r>
            <w:r w:rsidR="00A70837" w:rsidRPr="007C4D65">
              <w:rPr>
                <w:rFonts w:asciiTheme="minorHAnsi" w:eastAsiaTheme="minorHAnsi" w:hAnsiTheme="minorHAnsi" w:cstheme="minorHAnsi"/>
                <w:sz w:val="18"/>
                <w:szCs w:val="18"/>
                <w:lang w:eastAsia="en-US" w:bidi="en-US"/>
              </w:rPr>
              <w:t xml:space="preserve">Action </w:t>
            </w:r>
            <w:r w:rsidRPr="007C4D65">
              <w:rPr>
                <w:rFonts w:asciiTheme="minorHAnsi" w:eastAsiaTheme="minorHAnsi" w:hAnsiTheme="minorHAnsi" w:cstheme="minorHAnsi"/>
                <w:sz w:val="18"/>
                <w:szCs w:val="18"/>
                <w:lang w:eastAsia="en-US" w:bidi="en-US"/>
              </w:rPr>
              <w:t>P</w:t>
            </w:r>
            <w:r w:rsidR="00A70837" w:rsidRPr="007C4D65">
              <w:rPr>
                <w:rFonts w:asciiTheme="minorHAnsi" w:eastAsiaTheme="minorHAnsi" w:hAnsiTheme="minorHAnsi" w:cstheme="minorHAnsi"/>
                <w:sz w:val="18"/>
                <w:szCs w:val="18"/>
                <w:lang w:eastAsia="en-US" w:bidi="en-US"/>
              </w:rPr>
              <w:t>lan is not adopted</w:t>
            </w:r>
          </w:p>
        </w:tc>
        <w:tc>
          <w:tcPr>
            <w:tcW w:w="1048"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5F7F668" w14:textId="58C00034" w:rsidR="00A70837" w:rsidRPr="007C4D65" w:rsidRDefault="00A70837"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The </w:t>
            </w:r>
            <w:r w:rsidRPr="007C4D65">
              <w:rPr>
                <w:rFonts w:asciiTheme="minorHAnsi" w:eastAsia="Calibri" w:hAnsiTheme="minorHAnsi" w:cstheme="minorHAnsi"/>
                <w:sz w:val="18"/>
                <w:szCs w:val="18"/>
                <w:lang w:eastAsia="x-none"/>
              </w:rPr>
              <w:t>Action Plan for</w:t>
            </w:r>
            <w:r w:rsidR="00C40FFF" w:rsidRPr="007C4D65">
              <w:rPr>
                <w:rFonts w:asciiTheme="minorHAnsi" w:eastAsia="Calibri" w:hAnsiTheme="minorHAnsi" w:cstheme="minorHAnsi"/>
                <w:sz w:val="18"/>
                <w:szCs w:val="18"/>
                <w:lang w:eastAsia="x-none"/>
              </w:rPr>
              <w:t xml:space="preserve"> the</w:t>
            </w:r>
            <w:r w:rsidRPr="007C4D65">
              <w:rPr>
                <w:rFonts w:asciiTheme="minorHAnsi" w:eastAsia="Calibri" w:hAnsiTheme="minorHAnsi" w:cstheme="minorHAnsi"/>
                <w:sz w:val="18"/>
                <w:szCs w:val="18"/>
                <w:lang w:eastAsia="x-none"/>
              </w:rPr>
              <w:t xml:space="preserve"> Implementation of the Standardized Reporting Directive in the territory of the Federation of BiH implemented </w:t>
            </w:r>
            <w:r w:rsidRPr="007C4D65">
              <w:rPr>
                <w:rFonts w:asciiTheme="minorHAnsi" w:eastAsiaTheme="minorHAnsi" w:hAnsiTheme="minorHAnsi" w:cstheme="minorHAnsi"/>
                <w:sz w:val="18"/>
                <w:szCs w:val="18"/>
                <w:lang w:eastAsia="en-US" w:bidi="en-US"/>
              </w:rPr>
              <w:t>(continuously from 2025)</w:t>
            </w:r>
          </w:p>
        </w:tc>
      </w:tr>
      <w:tr w:rsidR="00A70837" w:rsidRPr="007C4D65" w14:paraId="15E7EC6E" w14:textId="77777777" w:rsidTr="00B6017F">
        <w:trPr>
          <w:trHeight w:val="567"/>
        </w:trPr>
        <w:tc>
          <w:tcPr>
            <w:tcW w:w="1345" w:type="pct"/>
            <w:shd w:val="clear" w:color="auto" w:fill="009D73"/>
            <w:vAlign w:val="center"/>
          </w:tcPr>
          <w:p w14:paraId="4A2C7CCF"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03"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7BCED4A" w14:textId="697BF4FC" w:rsidR="00A70837" w:rsidRPr="007C4D65" w:rsidRDefault="00C40FFF"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environmental management through better access to data which facilitates evidence-based and analysis-based policy making in the future</w:t>
            </w:r>
          </w:p>
        </w:tc>
      </w:tr>
      <w:tr w:rsidR="00A70837" w:rsidRPr="007C4D65" w14:paraId="313A7515" w14:textId="77777777" w:rsidTr="00B6017F">
        <w:trPr>
          <w:trHeight w:val="567"/>
        </w:trPr>
        <w:tc>
          <w:tcPr>
            <w:tcW w:w="134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7D65E271" w14:textId="1EA7799C" w:rsidR="00A70837" w:rsidRPr="007C4D65" w:rsidRDefault="00963086"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r w:rsidR="00A70837" w:rsidRPr="007C4D65">
              <w:rPr>
                <w:rFonts w:asciiTheme="minorHAnsi" w:eastAsiaTheme="minorHAnsi" w:hAnsiTheme="minorHAnsi" w:cstheme="minorHAnsi"/>
                <w:b/>
                <w:color w:val="FFFFFF" w:themeColor="background1"/>
                <w:sz w:val="18"/>
                <w:szCs w:val="18"/>
                <w:lang w:eastAsia="en-US"/>
              </w:rPr>
              <w:t xml:space="preserve"> </w:t>
            </w:r>
          </w:p>
        </w:tc>
        <w:tc>
          <w:tcPr>
            <w:tcW w:w="3603"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1A6954E" w14:textId="6B48A9C1" w:rsidR="00C40FFF" w:rsidRPr="007C4D65" w:rsidRDefault="00C224E3" w:rsidP="00C40FFF">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C40FFF" w:rsidRPr="007C4D65">
              <w:rPr>
                <w:rFonts w:asciiTheme="minorHAnsi" w:hAnsiTheme="minorHAnsi" w:cstheme="minorHAnsi"/>
                <w:sz w:val="18"/>
                <w:szCs w:val="18"/>
                <w:lang w:val="hr-HR" w:bidi="en-US"/>
              </w:rPr>
              <w:t>481 892 KM</w:t>
            </w:r>
          </w:p>
          <w:p w14:paraId="48AD08E1" w14:textId="5DA5439A" w:rsidR="00A70837" w:rsidRPr="007C4D65" w:rsidRDefault="009E6B20" w:rsidP="00C40FFF">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val="hr-HR" w:bidi="en-US"/>
              </w:rPr>
              <w:t xml:space="preserve">Source: </w:t>
            </w:r>
            <w:r w:rsidR="00C40FFF" w:rsidRPr="007C4D65">
              <w:rPr>
                <w:rFonts w:asciiTheme="minorHAnsi" w:hAnsiTheme="minorHAnsi" w:cstheme="minorHAnsi"/>
                <w:sz w:val="18"/>
                <w:szCs w:val="18"/>
                <w:lang w:val="hr-HR" w:bidi="en-US"/>
              </w:rPr>
              <w:t xml:space="preserve">10%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C40FFF" w:rsidRPr="007C4D65">
              <w:rPr>
                <w:rFonts w:asciiTheme="minorHAnsi" w:hAnsiTheme="minorHAnsi" w:cstheme="minorHAnsi"/>
                <w:sz w:val="18"/>
                <w:szCs w:val="18"/>
                <w:lang w:val="hr-HR" w:bidi="en-US"/>
              </w:rPr>
              <w:t xml:space="preserve">, 90% </w:t>
            </w:r>
            <w:r w:rsidR="00C224E3" w:rsidRPr="007C4D65">
              <w:rPr>
                <w:rFonts w:asciiTheme="minorHAnsi" w:hAnsiTheme="minorHAnsi" w:cstheme="minorHAnsi"/>
                <w:sz w:val="18"/>
                <w:szCs w:val="18"/>
                <w:lang w:val="hr-HR" w:bidi="en-US"/>
              </w:rPr>
              <w:t>funds from EU and other international donors</w:t>
            </w:r>
          </w:p>
        </w:tc>
      </w:tr>
      <w:tr w:rsidR="00A70837" w:rsidRPr="007C4D65" w14:paraId="5A666F53" w14:textId="77777777" w:rsidTr="00B6017F">
        <w:trPr>
          <w:trHeight w:val="567"/>
        </w:trPr>
        <w:tc>
          <w:tcPr>
            <w:tcW w:w="134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AAA7C33"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03"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96B74A3" w14:textId="77777777" w:rsidR="00A70837" w:rsidRPr="007C4D65" w:rsidRDefault="00A70837"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2022 – 2030</w:t>
            </w:r>
          </w:p>
        </w:tc>
      </w:tr>
      <w:tr w:rsidR="00A70837" w:rsidRPr="007C4D65" w14:paraId="3E581E6F" w14:textId="77777777" w:rsidTr="00B6017F">
        <w:trPr>
          <w:trHeight w:val="567"/>
        </w:trPr>
        <w:tc>
          <w:tcPr>
            <w:tcW w:w="134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26C9A263"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03"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06784A3" w14:textId="72D6E78C" w:rsidR="00A70837" w:rsidRPr="007C4D65" w:rsidRDefault="001E6E20"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A70837" w:rsidRPr="007C4D65">
              <w:rPr>
                <w:rFonts w:asciiTheme="minorHAnsi" w:eastAsia="Calibri" w:hAnsiTheme="minorHAnsi" w:cstheme="minorHAnsi"/>
                <w:sz w:val="18"/>
                <w:szCs w:val="18"/>
                <w:lang w:eastAsia="en-US"/>
              </w:rPr>
              <w:t xml:space="preserve"> of Environment and Tourism</w:t>
            </w:r>
          </w:p>
        </w:tc>
      </w:tr>
      <w:tr w:rsidR="00A70837" w:rsidRPr="007C4D65" w14:paraId="64B3A56A" w14:textId="77777777" w:rsidTr="00B6017F">
        <w:trPr>
          <w:trHeight w:val="567"/>
        </w:trPr>
        <w:tc>
          <w:tcPr>
            <w:tcW w:w="134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5944B29" w14:textId="77777777" w:rsidR="00A70837" w:rsidRPr="007C4D65" w:rsidRDefault="00A70837" w:rsidP="00A70837">
            <w:pPr>
              <w:spacing w:before="40" w:after="40" w:line="276" w:lineRule="auto"/>
              <w:rPr>
                <w:rFonts w:asciiTheme="minorHAnsi" w:eastAsiaTheme="minorHAnsi" w:hAnsiTheme="minorHAnsi" w:cstheme="minorHAnsi"/>
                <w:b/>
                <w:bCs/>
                <w:color w:val="FFFFFF" w:themeColor="background1"/>
                <w:sz w:val="18"/>
                <w:szCs w:val="18"/>
                <w:lang w:eastAsia="en-US" w:bidi="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03"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5143EA2" w14:textId="2974D916" w:rsidR="00A70837" w:rsidRPr="007C4D65" w:rsidRDefault="001E6E20"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Calibri" w:hAnsiTheme="minorHAnsi" w:cstheme="minorHAnsi"/>
                <w:sz w:val="18"/>
                <w:szCs w:val="18"/>
                <w:lang w:eastAsia="en-US"/>
              </w:rPr>
              <w:t>Federation Ministry</w:t>
            </w:r>
            <w:r w:rsidR="00A70837" w:rsidRPr="007C4D65">
              <w:rPr>
                <w:rFonts w:asciiTheme="minorHAnsi" w:eastAsia="Calibri" w:hAnsiTheme="minorHAnsi" w:cstheme="minorHAnsi"/>
                <w:sz w:val="18"/>
                <w:szCs w:val="18"/>
                <w:lang w:eastAsia="en-US"/>
              </w:rPr>
              <w:t xml:space="preserve"> of Environment and Tourism, in cooperation with the</w:t>
            </w:r>
            <w:r w:rsidR="00C40FFF" w:rsidRPr="007C4D65">
              <w:rPr>
                <w:rFonts w:asciiTheme="minorHAnsi" w:eastAsia="Calibri" w:hAnsiTheme="minorHAnsi" w:cstheme="minorHAnsi"/>
                <w:sz w:val="18"/>
                <w:szCs w:val="18"/>
                <w:lang w:eastAsia="en-US"/>
              </w:rPr>
              <w:t xml:space="preserve"> environmental</w:t>
            </w:r>
            <w:r w:rsidR="00A70837" w:rsidRPr="007C4D65">
              <w:rPr>
                <w:rFonts w:asciiTheme="minorHAnsi" w:eastAsia="Calibri" w:hAnsiTheme="minorHAnsi" w:cstheme="minorHAnsi"/>
                <w:sz w:val="18"/>
                <w:szCs w:val="18"/>
                <w:lang w:eastAsia="en-US"/>
              </w:rPr>
              <w:t xml:space="preserve"> institution</w:t>
            </w:r>
            <w:r w:rsidR="00C40FFF" w:rsidRPr="007C4D65">
              <w:rPr>
                <w:rFonts w:asciiTheme="minorHAnsi" w:eastAsia="Calibri" w:hAnsiTheme="minorHAnsi" w:cstheme="minorHAnsi"/>
                <w:sz w:val="18"/>
                <w:szCs w:val="18"/>
                <w:lang w:eastAsia="en-US"/>
              </w:rPr>
              <w:t>s</w:t>
            </w:r>
            <w:r w:rsidR="00A70837" w:rsidRPr="007C4D65">
              <w:rPr>
                <w:rFonts w:asciiTheme="minorHAnsi" w:eastAsia="Calibri" w:hAnsiTheme="minorHAnsi" w:cstheme="minorHAnsi"/>
                <w:sz w:val="18"/>
                <w:szCs w:val="18"/>
                <w:lang w:eastAsia="en-US"/>
              </w:rPr>
              <w:t xml:space="preserve">, other institutions </w:t>
            </w:r>
            <w:r w:rsidR="00C40FFF" w:rsidRPr="007C4D65">
              <w:rPr>
                <w:rFonts w:asciiTheme="minorHAnsi" w:eastAsia="Calibri" w:hAnsiTheme="minorHAnsi" w:cstheme="minorHAnsi"/>
                <w:sz w:val="18"/>
                <w:szCs w:val="18"/>
                <w:lang w:eastAsia="en-US"/>
              </w:rPr>
              <w:t>involved</w:t>
            </w:r>
            <w:r w:rsidR="00A70837" w:rsidRPr="007C4D65">
              <w:rPr>
                <w:rFonts w:asciiTheme="minorHAnsi" w:eastAsia="Calibri" w:hAnsiTheme="minorHAnsi" w:cstheme="minorHAnsi"/>
                <w:sz w:val="18"/>
                <w:szCs w:val="18"/>
                <w:lang w:eastAsia="en-US"/>
              </w:rPr>
              <w:t xml:space="preserve"> in environmental data monitoring </w:t>
            </w:r>
            <w:r w:rsidR="00C40FFF" w:rsidRPr="007C4D65">
              <w:rPr>
                <w:rFonts w:asciiTheme="minorHAnsi" w:eastAsiaTheme="minorHAnsi" w:hAnsiTheme="minorHAnsi" w:cstheme="minorHAnsi"/>
                <w:sz w:val="18"/>
                <w:szCs w:val="18"/>
                <w:lang w:eastAsia="en-US" w:bidi="en-US"/>
              </w:rPr>
              <w:t>and reporting</w:t>
            </w:r>
          </w:p>
        </w:tc>
      </w:tr>
      <w:tr w:rsidR="00A70837" w:rsidRPr="007C4D65" w14:paraId="1FBB719D" w14:textId="77777777" w:rsidTr="00B6017F">
        <w:trPr>
          <w:trHeight w:val="567"/>
        </w:trPr>
        <w:tc>
          <w:tcPr>
            <w:tcW w:w="1345" w:type="pct"/>
            <w:tcBorders>
              <w:top w:val="single" w:sz="4" w:space="0" w:color="A6A6A6"/>
              <w:left w:val="single" w:sz="4" w:space="0" w:color="A6A6A6"/>
              <w:bottom w:val="single" w:sz="4" w:space="0" w:color="A6A6A6"/>
              <w:right w:val="single" w:sz="4" w:space="0" w:color="A6A6A6"/>
            </w:tcBorders>
            <w:shd w:val="clear" w:color="auto" w:fill="009D73"/>
            <w:vAlign w:val="center"/>
          </w:tcPr>
          <w:p w14:paraId="5ADDC82B" w14:textId="01BCA5FA" w:rsidR="00A70837" w:rsidRPr="007C4D65" w:rsidRDefault="00963086" w:rsidP="00A70837">
            <w:pPr>
              <w:spacing w:before="40" w:after="40" w:line="276" w:lineRule="auto"/>
              <w:rPr>
                <w:rFonts w:asciiTheme="minorHAnsi" w:eastAsiaTheme="minorHAnsi" w:hAnsiTheme="minorHAnsi" w:cstheme="minorHAnsi"/>
                <w:b/>
                <w:bCs/>
                <w:color w:val="FFFFFF" w:themeColor="background1"/>
                <w:sz w:val="18"/>
                <w:szCs w:val="18"/>
                <w:u w:val="single"/>
                <w:lang w:eastAsia="en-US" w:bidi="en-US"/>
              </w:rPr>
            </w:pPr>
            <w:r w:rsidRPr="007C4D65">
              <w:rPr>
                <w:rFonts w:asciiTheme="minorHAnsi" w:eastAsiaTheme="minorHAnsi" w:hAnsiTheme="minorHAnsi" w:cstheme="minorHAnsi"/>
                <w:b/>
                <w:color w:val="FFFFFF" w:themeColor="background1"/>
                <w:sz w:val="18"/>
                <w:szCs w:val="18"/>
                <w:lang w:eastAsia="en-US"/>
              </w:rPr>
              <w:t>Target groups</w:t>
            </w:r>
          </w:p>
        </w:tc>
        <w:tc>
          <w:tcPr>
            <w:tcW w:w="3603"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95512B5" w14:textId="4824C513" w:rsidR="00A70837" w:rsidRPr="007C4D65" w:rsidRDefault="00A70837" w:rsidP="00A70837">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All the institutions, business entities and organizations </w:t>
            </w:r>
            <w:r w:rsidR="00C40FFF" w:rsidRPr="007C4D65">
              <w:rPr>
                <w:rFonts w:asciiTheme="minorHAnsi" w:eastAsiaTheme="minorHAnsi" w:hAnsiTheme="minorHAnsi" w:cstheme="minorHAnsi"/>
                <w:sz w:val="18"/>
                <w:szCs w:val="18"/>
                <w:lang w:eastAsia="en-US" w:bidi="en-US"/>
              </w:rPr>
              <w:t>addressing</w:t>
            </w:r>
            <w:r w:rsidRPr="007C4D65">
              <w:rPr>
                <w:rFonts w:asciiTheme="minorHAnsi" w:eastAsiaTheme="minorHAnsi" w:hAnsiTheme="minorHAnsi" w:cstheme="minorHAnsi"/>
                <w:sz w:val="18"/>
                <w:szCs w:val="18"/>
                <w:lang w:eastAsia="en-US" w:bidi="en-US"/>
              </w:rPr>
              <w:t xml:space="preserve"> environmental issues, professional community, </w:t>
            </w:r>
            <w:proofErr w:type="gramStart"/>
            <w:r w:rsidRPr="007C4D65">
              <w:rPr>
                <w:rFonts w:asciiTheme="minorHAnsi" w:eastAsiaTheme="minorHAnsi" w:hAnsiTheme="minorHAnsi" w:cstheme="minorHAnsi"/>
                <w:sz w:val="18"/>
                <w:szCs w:val="18"/>
                <w:lang w:eastAsia="en-US" w:bidi="en-US"/>
              </w:rPr>
              <w:t>general public</w:t>
            </w:r>
            <w:proofErr w:type="gramEnd"/>
          </w:p>
        </w:tc>
      </w:tr>
    </w:tbl>
    <w:p w14:paraId="6850B53E" w14:textId="77777777" w:rsidR="00CC447D" w:rsidRPr="007C4D65" w:rsidRDefault="00CC447D" w:rsidP="0068355A">
      <w:pPr>
        <w:spacing w:line="276" w:lineRule="auto"/>
        <w:rPr>
          <w:rFonts w:asciiTheme="minorHAnsi" w:hAnsiTheme="minorHAnsi" w:cstheme="minorHAnsi"/>
          <w:sz w:val="18"/>
          <w:szCs w:val="18"/>
        </w:rPr>
      </w:pPr>
    </w:p>
    <w:tbl>
      <w:tblPr>
        <w:tblW w:w="4725"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33"/>
        <w:gridCol w:w="3696"/>
        <w:gridCol w:w="3403"/>
        <w:gridCol w:w="2549"/>
      </w:tblGrid>
      <w:tr w:rsidR="00C40FFF" w:rsidRPr="007C4D65" w14:paraId="54CFFC00" w14:textId="77777777" w:rsidTr="002E719E">
        <w:trPr>
          <w:trHeight w:val="567"/>
        </w:trPr>
        <w:tc>
          <w:tcPr>
            <w:tcW w:w="1340"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EF987CD" w14:textId="77777777" w:rsidR="00C40FFF" w:rsidRPr="007C4D65" w:rsidRDefault="00C40FFF" w:rsidP="00C40F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Link with the strategic goal</w:t>
            </w:r>
          </w:p>
        </w:tc>
        <w:tc>
          <w:tcPr>
            <w:tcW w:w="366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5DB9AD8" w14:textId="77777777" w:rsidR="00C40FFF" w:rsidRPr="007C4D65" w:rsidRDefault="00C40FFF" w:rsidP="00C40FFF">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C40FFF" w:rsidRPr="007C4D65" w14:paraId="3C2F29D6" w14:textId="77777777" w:rsidTr="002E719E">
        <w:trPr>
          <w:trHeight w:val="567"/>
        </w:trPr>
        <w:tc>
          <w:tcPr>
            <w:tcW w:w="1340"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A037A4B" w14:textId="77777777" w:rsidR="00C40FFF" w:rsidRPr="007C4D65" w:rsidRDefault="00C40FFF" w:rsidP="00C40F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6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277777A" w14:textId="215D9FE7" w:rsidR="00C40FFF" w:rsidRPr="007C4D65" w:rsidRDefault="00C40FFF" w:rsidP="00C40FFF">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 xml:space="preserve">7.5 </w:t>
            </w:r>
            <w:r w:rsidR="002E719E" w:rsidRPr="007C4D65">
              <w:rPr>
                <w:rFonts w:asciiTheme="minorHAnsi" w:eastAsia="Calibri" w:hAnsiTheme="minorHAnsi" w:cstheme="minorHAnsi"/>
                <w:b/>
                <w:bCs/>
                <w:sz w:val="18"/>
                <w:szCs w:val="18"/>
                <w:lang w:eastAsia="en-US"/>
              </w:rPr>
              <w:t>Set up an efficient system for record keeping and transparent reporting of environmental data in the Federation of BiH, in consultation with the Partnership 27</w:t>
            </w:r>
          </w:p>
        </w:tc>
      </w:tr>
      <w:tr w:rsidR="00C40FFF" w:rsidRPr="007C4D65" w14:paraId="68ECF2E0" w14:textId="77777777" w:rsidTr="002E719E">
        <w:trPr>
          <w:trHeight w:val="567"/>
        </w:trPr>
        <w:tc>
          <w:tcPr>
            <w:tcW w:w="1340"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864B827" w14:textId="77777777" w:rsidR="00C40FFF" w:rsidRPr="007C4D65" w:rsidRDefault="00C40FFF" w:rsidP="00C40F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Title of the measure</w:t>
            </w:r>
          </w:p>
        </w:tc>
        <w:tc>
          <w:tcPr>
            <w:tcW w:w="366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AF9B6F7" w14:textId="0EEFAEEB" w:rsidR="00C40FFF" w:rsidRPr="007C4D65" w:rsidRDefault="00C40FFF" w:rsidP="00C40FFF">
            <w:pPr>
              <w:spacing w:before="40" w:after="40" w:line="276" w:lineRule="auto"/>
              <w:rPr>
                <w:rFonts w:asciiTheme="minorHAnsi" w:eastAsia="Calibri" w:hAnsiTheme="minorHAnsi" w:cstheme="minorHAnsi"/>
                <w:b/>
                <w:sz w:val="18"/>
                <w:szCs w:val="18"/>
                <w:lang w:eastAsia="en-US"/>
              </w:rPr>
            </w:pPr>
            <w:bookmarkStart w:id="348" w:name="_Hlk95007511"/>
            <w:r w:rsidRPr="007C4D65">
              <w:rPr>
                <w:rFonts w:asciiTheme="minorHAnsi" w:eastAsiaTheme="minorHAnsi" w:hAnsiTheme="minorHAnsi" w:cstheme="minorHAnsi"/>
                <w:b/>
                <w:sz w:val="18"/>
                <w:szCs w:val="18"/>
                <w:lang w:eastAsia="en-US"/>
              </w:rPr>
              <w:t xml:space="preserve">7.5.4 </w:t>
            </w:r>
            <w:r w:rsidR="002E719E" w:rsidRPr="007C4D65">
              <w:rPr>
                <w:rFonts w:asciiTheme="minorHAnsi" w:eastAsiaTheme="minorHAnsi" w:hAnsiTheme="minorHAnsi" w:cstheme="minorHAnsi"/>
                <w:b/>
                <w:sz w:val="18"/>
                <w:szCs w:val="18"/>
                <w:lang w:eastAsia="en-US"/>
              </w:rPr>
              <w:t xml:space="preserve">Establishment of a system for </w:t>
            </w:r>
            <w:r w:rsidR="00A13CFC" w:rsidRPr="007C4D65">
              <w:rPr>
                <w:rFonts w:asciiTheme="minorHAnsi" w:eastAsiaTheme="minorHAnsi" w:hAnsiTheme="minorHAnsi" w:cstheme="minorHAnsi"/>
                <w:b/>
                <w:sz w:val="18"/>
                <w:szCs w:val="18"/>
                <w:lang w:eastAsia="en-US"/>
              </w:rPr>
              <w:t xml:space="preserve">spatial data </w:t>
            </w:r>
            <w:proofErr w:type="gramStart"/>
            <w:r w:rsidR="00A13CFC" w:rsidRPr="007C4D65">
              <w:rPr>
                <w:rFonts w:asciiTheme="minorHAnsi" w:eastAsiaTheme="minorHAnsi" w:hAnsiTheme="minorHAnsi" w:cstheme="minorHAnsi"/>
                <w:b/>
                <w:sz w:val="18"/>
                <w:szCs w:val="18"/>
                <w:lang w:eastAsia="en-US"/>
              </w:rPr>
              <w:t xml:space="preserve">exchange  </w:t>
            </w:r>
            <w:r w:rsidR="002E719E" w:rsidRPr="007C4D65">
              <w:rPr>
                <w:rFonts w:asciiTheme="minorHAnsi" w:eastAsiaTheme="minorHAnsi" w:hAnsiTheme="minorHAnsi" w:cstheme="minorHAnsi"/>
                <w:b/>
                <w:sz w:val="18"/>
                <w:szCs w:val="18"/>
                <w:lang w:eastAsia="en-US"/>
              </w:rPr>
              <w:t>in</w:t>
            </w:r>
            <w:proofErr w:type="gramEnd"/>
            <w:r w:rsidR="002E719E" w:rsidRPr="007C4D65">
              <w:rPr>
                <w:rFonts w:asciiTheme="minorHAnsi" w:eastAsiaTheme="minorHAnsi" w:hAnsiTheme="minorHAnsi" w:cstheme="minorHAnsi"/>
                <w:b/>
                <w:sz w:val="18"/>
                <w:szCs w:val="18"/>
                <w:lang w:eastAsia="en-US"/>
              </w:rPr>
              <w:t xml:space="preserve"> the Federation of BiH in accordance with the INSPIRE Directives I II, and III</w:t>
            </w:r>
            <w:bookmarkEnd w:id="348"/>
          </w:p>
        </w:tc>
      </w:tr>
      <w:tr w:rsidR="00C40FFF" w:rsidRPr="007C4D65" w14:paraId="520DBB28" w14:textId="77777777" w:rsidTr="002E719E">
        <w:trPr>
          <w:trHeight w:val="567"/>
        </w:trPr>
        <w:tc>
          <w:tcPr>
            <w:tcW w:w="1340"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52E70B6" w14:textId="77777777" w:rsidR="00C40FFF" w:rsidRPr="007C4D65" w:rsidRDefault="00C40FFF" w:rsidP="00C40F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6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1A6E131" w14:textId="45A9544D" w:rsidR="00C40FFF" w:rsidRPr="007C4D65" w:rsidRDefault="00C40FFF" w:rsidP="00C40FFF">
            <w:pPr>
              <w:spacing w:before="40" w:after="40" w:line="276" w:lineRule="auto"/>
              <w:rPr>
                <w:rFonts w:asciiTheme="minorHAnsi" w:eastAsia="Calibri" w:hAnsiTheme="minorHAnsi" w:cstheme="minorHAnsi"/>
                <w:sz w:val="18"/>
                <w:szCs w:val="18"/>
                <w:lang w:eastAsia="en-US"/>
              </w:rPr>
            </w:pPr>
            <w:bookmarkStart w:id="349" w:name="_Hlk95007522"/>
            <w:r w:rsidRPr="007C4D65">
              <w:rPr>
                <w:rFonts w:asciiTheme="minorHAnsi" w:eastAsiaTheme="minorHAnsi" w:hAnsiTheme="minorHAnsi" w:cstheme="minorHAnsi"/>
                <w:sz w:val="18"/>
                <w:szCs w:val="18"/>
                <w:lang w:eastAsia="en-US"/>
              </w:rPr>
              <w:t xml:space="preserve">This measure aims at setting up an effective </w:t>
            </w:r>
            <w:r w:rsidR="00A13CFC" w:rsidRPr="007C4D65">
              <w:rPr>
                <w:rFonts w:asciiTheme="minorHAnsi" w:eastAsiaTheme="minorHAnsi" w:hAnsiTheme="minorHAnsi" w:cstheme="minorHAnsi"/>
                <w:sz w:val="18"/>
                <w:szCs w:val="18"/>
                <w:lang w:eastAsia="en-US"/>
              </w:rPr>
              <w:t xml:space="preserve">spatial data </w:t>
            </w:r>
            <w:proofErr w:type="gramStart"/>
            <w:r w:rsidR="00A13CFC" w:rsidRPr="007C4D65">
              <w:rPr>
                <w:rFonts w:asciiTheme="minorHAnsi" w:eastAsiaTheme="minorHAnsi" w:hAnsiTheme="minorHAnsi" w:cstheme="minorHAnsi"/>
                <w:sz w:val="18"/>
                <w:szCs w:val="18"/>
                <w:lang w:eastAsia="en-US"/>
              </w:rPr>
              <w:t xml:space="preserve">exchange  </w:t>
            </w:r>
            <w:r w:rsidRPr="007C4D65">
              <w:rPr>
                <w:rFonts w:asciiTheme="minorHAnsi" w:eastAsiaTheme="minorHAnsi" w:hAnsiTheme="minorHAnsi" w:cstheme="minorHAnsi"/>
                <w:sz w:val="18"/>
                <w:szCs w:val="18"/>
                <w:lang w:eastAsia="en-US"/>
              </w:rPr>
              <w:t>system</w:t>
            </w:r>
            <w:proofErr w:type="gramEnd"/>
            <w:r w:rsidRPr="007C4D65">
              <w:rPr>
                <w:rFonts w:asciiTheme="minorHAnsi" w:eastAsiaTheme="minorHAnsi" w:hAnsiTheme="minorHAnsi" w:cstheme="minorHAnsi"/>
                <w:sz w:val="18"/>
                <w:szCs w:val="18"/>
                <w:lang w:eastAsia="en-US"/>
              </w:rPr>
              <w:t xml:space="preserve"> in the Federation of </w:t>
            </w:r>
            <w:r w:rsidR="002E719E" w:rsidRPr="007C4D65">
              <w:rPr>
                <w:rFonts w:asciiTheme="minorHAnsi" w:eastAsiaTheme="minorHAnsi" w:hAnsiTheme="minorHAnsi" w:cstheme="minorHAnsi"/>
                <w:sz w:val="18"/>
                <w:szCs w:val="18"/>
                <w:lang w:eastAsia="en-US"/>
              </w:rPr>
              <w:t>BiH</w:t>
            </w:r>
            <w:r w:rsidRPr="007C4D65">
              <w:rPr>
                <w:rFonts w:asciiTheme="minorHAnsi" w:eastAsiaTheme="minorHAnsi" w:hAnsiTheme="minorHAnsi" w:cstheme="minorHAnsi"/>
                <w:sz w:val="18"/>
                <w:szCs w:val="18"/>
                <w:lang w:eastAsia="en-US"/>
              </w:rPr>
              <w:t xml:space="preserve"> in accordance with Annexes I, II and II of the INSPIRE Directive</w:t>
            </w:r>
            <w:bookmarkEnd w:id="349"/>
            <w:r w:rsidR="00582D43" w:rsidRPr="007C4D65">
              <w:rPr>
                <w:rFonts w:asciiTheme="minorHAnsi" w:eastAsia="Calibri" w:hAnsiTheme="minorHAnsi" w:cstheme="minorHAnsi"/>
                <w:sz w:val="18"/>
                <w:szCs w:val="18"/>
                <w:lang w:eastAsia="en-US"/>
              </w:rPr>
              <w:t>.</w:t>
            </w:r>
          </w:p>
          <w:p w14:paraId="3A19DDEE" w14:textId="77777777" w:rsidR="00C40FFF" w:rsidRPr="007C4D65" w:rsidRDefault="00C40FFF" w:rsidP="00C40FFF">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General areas of intervention are:</w:t>
            </w:r>
          </w:p>
          <w:p w14:paraId="0D63D818" w14:textId="650DACFF" w:rsidR="00C40FFF" w:rsidRPr="007C4D65" w:rsidRDefault="002E719E" w:rsidP="002E719E">
            <w:p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1) </w:t>
            </w:r>
            <w:r w:rsidR="00C40FFF" w:rsidRPr="007C4D65">
              <w:rPr>
                <w:rFonts w:asciiTheme="minorHAnsi" w:eastAsiaTheme="minorHAnsi" w:hAnsiTheme="minorHAnsi" w:cstheme="minorHAnsi"/>
                <w:sz w:val="18"/>
                <w:szCs w:val="18"/>
                <w:lang w:eastAsia="en-US"/>
              </w:rPr>
              <w:t xml:space="preserve">Devising and adopting a methodology for spatial data management </w:t>
            </w:r>
            <w:bookmarkStart w:id="350" w:name="_Hlk95007597"/>
            <w:r w:rsidR="00C40FFF" w:rsidRPr="007C4D65">
              <w:rPr>
                <w:rFonts w:asciiTheme="minorHAnsi" w:eastAsiaTheme="minorHAnsi" w:hAnsiTheme="minorHAnsi" w:cstheme="minorHAnsi"/>
                <w:sz w:val="18"/>
                <w:szCs w:val="18"/>
                <w:lang w:eastAsia="en-US"/>
              </w:rPr>
              <w:t xml:space="preserve">in the Federation of </w:t>
            </w:r>
            <w:bookmarkEnd w:id="350"/>
            <w:r w:rsidRPr="007C4D65">
              <w:rPr>
                <w:rFonts w:asciiTheme="minorHAnsi" w:eastAsiaTheme="minorHAnsi" w:hAnsiTheme="minorHAnsi" w:cstheme="minorHAnsi"/>
                <w:sz w:val="18"/>
                <w:szCs w:val="18"/>
                <w:lang w:eastAsia="en-US"/>
              </w:rPr>
              <w:t>BiH</w:t>
            </w:r>
            <w:r w:rsidR="00C40FFF" w:rsidRPr="007C4D65">
              <w:rPr>
                <w:rFonts w:asciiTheme="minorHAnsi" w:eastAsiaTheme="minorHAnsi" w:hAnsiTheme="minorHAnsi" w:cstheme="minorHAnsi"/>
                <w:sz w:val="18"/>
                <w:szCs w:val="18"/>
                <w:lang w:eastAsia="en-US"/>
              </w:rPr>
              <w:t xml:space="preserve">, which should be harmonised </w:t>
            </w:r>
            <w:r w:rsidRPr="007C4D65">
              <w:rPr>
                <w:rFonts w:asciiTheme="minorHAnsi" w:eastAsiaTheme="minorHAnsi" w:hAnsiTheme="minorHAnsi" w:cstheme="minorHAnsi"/>
                <w:sz w:val="18"/>
                <w:szCs w:val="18"/>
                <w:lang w:eastAsia="en-US"/>
              </w:rPr>
              <w:t xml:space="preserve">with </w:t>
            </w:r>
            <w:r w:rsidR="00C40FFF" w:rsidRPr="007C4D65">
              <w:rPr>
                <w:rFonts w:asciiTheme="minorHAnsi" w:eastAsiaTheme="minorHAnsi" w:hAnsiTheme="minorHAnsi" w:cstheme="minorHAnsi"/>
                <w:sz w:val="18"/>
                <w:szCs w:val="18"/>
                <w:lang w:eastAsia="en-US"/>
              </w:rPr>
              <w:t xml:space="preserve">the Law on Spatial Planning and Land Use of the Federation of </w:t>
            </w:r>
            <w:r w:rsidRPr="007C4D65">
              <w:rPr>
                <w:rFonts w:asciiTheme="minorHAnsi" w:eastAsiaTheme="minorHAnsi" w:hAnsiTheme="minorHAnsi" w:cstheme="minorHAnsi"/>
                <w:sz w:val="18"/>
                <w:szCs w:val="18"/>
                <w:lang w:eastAsia="en-US"/>
              </w:rPr>
              <w:t>BiH</w:t>
            </w:r>
            <w:r w:rsidR="00C40FFF" w:rsidRPr="007C4D65">
              <w:rPr>
                <w:rFonts w:asciiTheme="minorHAnsi" w:eastAsiaTheme="minorHAnsi" w:hAnsiTheme="minorHAnsi" w:cstheme="minorHAnsi"/>
                <w:sz w:val="18"/>
                <w:szCs w:val="18"/>
                <w:lang w:eastAsia="en-US"/>
              </w:rPr>
              <w:t xml:space="preserve"> (Official Gazette of </w:t>
            </w:r>
            <w:r w:rsidR="00227D11" w:rsidRPr="007C4D65">
              <w:rPr>
                <w:rFonts w:asciiTheme="minorHAnsi" w:eastAsiaTheme="minorHAnsi" w:hAnsiTheme="minorHAnsi" w:cstheme="minorHAnsi"/>
                <w:sz w:val="18"/>
                <w:szCs w:val="18"/>
                <w:lang w:eastAsia="en-US"/>
              </w:rPr>
              <w:t>the Federation of BiH</w:t>
            </w:r>
            <w:r w:rsidR="00C40FFF" w:rsidRPr="007C4D65">
              <w:rPr>
                <w:rFonts w:asciiTheme="minorHAnsi" w:eastAsiaTheme="minorHAnsi" w:hAnsiTheme="minorHAnsi" w:cstheme="minorHAnsi"/>
                <w:sz w:val="18"/>
                <w:szCs w:val="18"/>
                <w:lang w:eastAsia="en-US"/>
              </w:rPr>
              <w:t xml:space="preserve">, 2/06, 07/10, 13/10, and 45/10), Chapter II, DOCUMENTATION, Section 1 Single </w:t>
            </w:r>
            <w:r w:rsidRPr="007C4D65">
              <w:rPr>
                <w:rFonts w:asciiTheme="minorHAnsi" w:eastAsiaTheme="minorHAnsi" w:hAnsiTheme="minorHAnsi" w:cstheme="minorHAnsi"/>
                <w:sz w:val="18"/>
                <w:szCs w:val="18"/>
                <w:lang w:eastAsia="en-US"/>
              </w:rPr>
              <w:t>Information System</w:t>
            </w:r>
            <w:r w:rsidR="00C40FFF" w:rsidRPr="007C4D65">
              <w:rPr>
                <w:rFonts w:asciiTheme="minorHAnsi" w:eastAsiaTheme="minorHAnsi" w:hAnsiTheme="minorHAnsi" w:cstheme="minorHAnsi"/>
                <w:sz w:val="18"/>
                <w:szCs w:val="18"/>
                <w:lang w:eastAsia="en-US"/>
              </w:rPr>
              <w:t xml:space="preserve">, Articles 31 through to 33 of the Law and Decree which regulate the content and operators of the single information system, methodology of data collection and processing, and  a uniform format of recordkeeping (Official Gazette of </w:t>
            </w:r>
            <w:r w:rsidR="00227D11" w:rsidRPr="007C4D65">
              <w:rPr>
                <w:rFonts w:asciiTheme="minorHAnsi" w:eastAsiaTheme="minorHAnsi" w:hAnsiTheme="minorHAnsi" w:cstheme="minorHAnsi"/>
                <w:sz w:val="18"/>
                <w:szCs w:val="18"/>
                <w:lang w:eastAsia="en-US"/>
              </w:rPr>
              <w:t>the Federation of BiH</w:t>
            </w:r>
            <w:r w:rsidR="00C40FFF" w:rsidRPr="007C4D65">
              <w:rPr>
                <w:rFonts w:asciiTheme="minorHAnsi" w:eastAsiaTheme="minorHAnsi" w:hAnsiTheme="minorHAnsi" w:cstheme="minorHAnsi"/>
                <w:sz w:val="18"/>
                <w:szCs w:val="18"/>
                <w:lang w:eastAsia="en-US"/>
              </w:rPr>
              <w:t>, 33/07) aimed at securing adequate mechanisms and criteria for sharing of spatial data within the meaning of the INSPIRE Directive. The methodology includes:</w:t>
            </w:r>
          </w:p>
          <w:p w14:paraId="4A65C205" w14:textId="05E33B20" w:rsidR="00C40FFF" w:rsidRPr="007C4D65" w:rsidRDefault="00C40FFF">
            <w:pPr>
              <w:numPr>
                <w:ilvl w:val="0"/>
                <w:numId w:val="222"/>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Organisational </w:t>
            </w:r>
            <w:r w:rsidR="002E719E" w:rsidRPr="007C4D65">
              <w:rPr>
                <w:rFonts w:asciiTheme="minorHAnsi" w:eastAsiaTheme="minorHAnsi" w:hAnsiTheme="minorHAnsi" w:cstheme="minorHAnsi"/>
                <w:sz w:val="18"/>
                <w:szCs w:val="18"/>
                <w:lang w:eastAsia="en-US"/>
              </w:rPr>
              <w:t>basis</w:t>
            </w:r>
            <w:r w:rsidRPr="007C4D65">
              <w:rPr>
                <w:rFonts w:asciiTheme="minorHAnsi" w:eastAsiaTheme="minorHAnsi" w:hAnsiTheme="minorHAnsi" w:cstheme="minorHAnsi"/>
                <w:sz w:val="18"/>
                <w:szCs w:val="18"/>
                <w:lang w:eastAsia="en-US"/>
              </w:rPr>
              <w:t xml:space="preserve"> and data sharing </w:t>
            </w:r>
            <w:proofErr w:type="gramStart"/>
            <w:r w:rsidRPr="007C4D65">
              <w:rPr>
                <w:rFonts w:asciiTheme="minorHAnsi" w:eastAsiaTheme="minorHAnsi" w:hAnsiTheme="minorHAnsi" w:cstheme="minorHAnsi"/>
                <w:sz w:val="18"/>
                <w:szCs w:val="18"/>
                <w:lang w:eastAsia="en-US"/>
              </w:rPr>
              <w:t>procedures</w:t>
            </w:r>
            <w:r w:rsidR="00582D43" w:rsidRPr="007C4D65">
              <w:rPr>
                <w:rFonts w:asciiTheme="minorHAnsi" w:eastAsiaTheme="minorHAnsi" w:hAnsiTheme="minorHAnsi" w:cstheme="minorHAnsi"/>
                <w:sz w:val="18"/>
                <w:szCs w:val="18"/>
                <w:lang w:eastAsia="en-US"/>
              </w:rPr>
              <w:t>;</w:t>
            </w:r>
            <w:proofErr w:type="gramEnd"/>
          </w:p>
          <w:p w14:paraId="3CD12796" w14:textId="494B51D3" w:rsidR="00C40FFF" w:rsidRPr="007C4D65" w:rsidRDefault="00C40FFF">
            <w:pPr>
              <w:numPr>
                <w:ilvl w:val="0"/>
                <w:numId w:val="222"/>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Selection of sets of environmental (spatial) data in accordance with Annexes II and III of the INSPIRE </w:t>
            </w:r>
            <w:proofErr w:type="gramStart"/>
            <w:r w:rsidRPr="007C4D65">
              <w:rPr>
                <w:rFonts w:asciiTheme="minorHAnsi" w:eastAsiaTheme="minorHAnsi" w:hAnsiTheme="minorHAnsi" w:cstheme="minorHAnsi"/>
                <w:sz w:val="18"/>
                <w:szCs w:val="18"/>
                <w:lang w:eastAsia="en-US"/>
              </w:rPr>
              <w:t>Directive</w:t>
            </w:r>
            <w:r w:rsidR="00582D43" w:rsidRPr="007C4D65">
              <w:rPr>
                <w:rFonts w:asciiTheme="minorHAnsi" w:eastAsia="Calibri" w:hAnsiTheme="minorHAnsi" w:cstheme="minorHAnsi"/>
                <w:sz w:val="18"/>
                <w:szCs w:val="18"/>
                <w:lang w:eastAsia="en-US"/>
              </w:rPr>
              <w:t>;</w:t>
            </w:r>
            <w:proofErr w:type="gramEnd"/>
          </w:p>
          <w:p w14:paraId="3EE8834E" w14:textId="2C8AC77A" w:rsidR="00C40FFF" w:rsidRPr="007C4D65" w:rsidRDefault="00C40FFF">
            <w:pPr>
              <w:numPr>
                <w:ilvl w:val="0"/>
                <w:numId w:val="222"/>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Method of providing for open access to </w:t>
            </w:r>
            <w:proofErr w:type="gramStart"/>
            <w:r w:rsidRPr="007C4D65">
              <w:rPr>
                <w:rFonts w:asciiTheme="minorHAnsi" w:eastAsiaTheme="minorHAnsi" w:hAnsiTheme="minorHAnsi" w:cstheme="minorHAnsi"/>
                <w:sz w:val="18"/>
                <w:szCs w:val="18"/>
                <w:lang w:eastAsia="en-US"/>
              </w:rPr>
              <w:t>data</w:t>
            </w:r>
            <w:r w:rsidR="00582D43" w:rsidRPr="007C4D65">
              <w:rPr>
                <w:rFonts w:asciiTheme="minorHAnsi" w:eastAsia="Calibri" w:hAnsiTheme="minorHAnsi" w:cstheme="minorHAnsi"/>
                <w:sz w:val="18"/>
                <w:szCs w:val="18"/>
                <w:lang w:eastAsia="en-US"/>
              </w:rPr>
              <w:t>;</w:t>
            </w:r>
            <w:proofErr w:type="gramEnd"/>
          </w:p>
          <w:p w14:paraId="79020AB1" w14:textId="07A7F17C" w:rsidR="00C40FFF" w:rsidRPr="007C4D65" w:rsidRDefault="002E719E" w:rsidP="002E719E">
            <w:p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2) </w:t>
            </w:r>
            <w:r w:rsidR="00C40FFF" w:rsidRPr="007C4D65">
              <w:rPr>
                <w:rFonts w:asciiTheme="minorHAnsi" w:eastAsiaTheme="minorHAnsi" w:hAnsiTheme="minorHAnsi" w:cstheme="minorHAnsi"/>
                <w:sz w:val="18"/>
                <w:szCs w:val="18"/>
                <w:lang w:eastAsia="en-US"/>
              </w:rPr>
              <w:t xml:space="preserve">Pursuant to the Law on Spatial Data Infrastructure (SDI) of the Federation of </w:t>
            </w:r>
            <w:r w:rsidRPr="007C4D65">
              <w:rPr>
                <w:rFonts w:asciiTheme="minorHAnsi" w:eastAsiaTheme="minorHAnsi" w:hAnsiTheme="minorHAnsi" w:cstheme="minorHAnsi"/>
                <w:sz w:val="18"/>
                <w:szCs w:val="18"/>
                <w:lang w:eastAsia="en-US"/>
              </w:rPr>
              <w:t>BiH</w:t>
            </w:r>
            <w:r w:rsidR="00C40FFF" w:rsidRPr="007C4D65">
              <w:rPr>
                <w:rFonts w:asciiTheme="minorHAnsi" w:eastAsiaTheme="minorHAnsi" w:hAnsiTheme="minorHAnsi" w:cstheme="minorHAnsi"/>
                <w:sz w:val="18"/>
                <w:szCs w:val="18"/>
                <w:lang w:eastAsia="en-US"/>
              </w:rPr>
              <w:t xml:space="preserve">, (Official Gazette of </w:t>
            </w:r>
            <w:r w:rsidR="00227D11" w:rsidRPr="007C4D65">
              <w:rPr>
                <w:rFonts w:asciiTheme="minorHAnsi" w:eastAsiaTheme="minorHAnsi" w:hAnsiTheme="minorHAnsi" w:cstheme="minorHAnsi"/>
                <w:sz w:val="18"/>
                <w:szCs w:val="18"/>
                <w:lang w:eastAsia="en-US"/>
              </w:rPr>
              <w:t>the Federation of BiH</w:t>
            </w:r>
            <w:r w:rsidR="00C40FFF" w:rsidRPr="007C4D65">
              <w:rPr>
                <w:rFonts w:asciiTheme="minorHAnsi" w:eastAsiaTheme="minorHAnsi" w:hAnsiTheme="minorHAnsi" w:cstheme="minorHAnsi"/>
                <w:sz w:val="18"/>
                <w:szCs w:val="18"/>
                <w:lang w:eastAsia="en-US"/>
              </w:rPr>
              <w:t xml:space="preserve">, 55/21), </w:t>
            </w:r>
            <w:bookmarkStart w:id="351" w:name="_Hlk95007629"/>
            <w:r w:rsidR="00C40FFF" w:rsidRPr="007C4D65">
              <w:rPr>
                <w:rFonts w:asciiTheme="minorHAnsi" w:eastAsiaTheme="minorHAnsi" w:hAnsiTheme="minorHAnsi" w:cstheme="minorHAnsi"/>
                <w:sz w:val="18"/>
                <w:szCs w:val="18"/>
                <w:lang w:eastAsia="en-US"/>
              </w:rPr>
              <w:t xml:space="preserve">adopt required </w:t>
            </w:r>
            <w:r w:rsidR="00B80FAD" w:rsidRPr="007C4D65">
              <w:rPr>
                <w:rFonts w:asciiTheme="minorHAnsi" w:eastAsiaTheme="minorHAnsi" w:hAnsiTheme="minorHAnsi" w:cstheme="minorHAnsi"/>
                <w:sz w:val="18"/>
                <w:szCs w:val="18"/>
                <w:lang w:eastAsia="en-US"/>
              </w:rPr>
              <w:t>bylaw</w:t>
            </w:r>
            <w:r w:rsidR="00C40FFF" w:rsidRPr="007C4D65">
              <w:rPr>
                <w:rFonts w:asciiTheme="minorHAnsi" w:eastAsiaTheme="minorHAnsi" w:hAnsiTheme="minorHAnsi" w:cstheme="minorHAnsi"/>
                <w:sz w:val="18"/>
                <w:szCs w:val="18"/>
                <w:lang w:eastAsia="en-US"/>
              </w:rPr>
              <w:t xml:space="preserve">s aimed at effective development of the Spatial Data Infrastructure in the Federation of </w:t>
            </w:r>
            <w:bookmarkEnd w:id="351"/>
            <w:proofErr w:type="gramStart"/>
            <w:r w:rsidRPr="007C4D65">
              <w:rPr>
                <w:rFonts w:asciiTheme="minorHAnsi" w:eastAsiaTheme="minorHAnsi" w:hAnsiTheme="minorHAnsi" w:cstheme="minorHAnsi"/>
                <w:sz w:val="18"/>
                <w:szCs w:val="18"/>
                <w:lang w:eastAsia="en-US"/>
              </w:rPr>
              <w:t>BiH</w:t>
            </w:r>
            <w:r w:rsidR="00397061" w:rsidRPr="007C4D65">
              <w:rPr>
                <w:rFonts w:asciiTheme="minorHAnsi" w:eastAsia="Calibri" w:hAnsiTheme="minorHAnsi" w:cstheme="minorHAnsi"/>
                <w:sz w:val="18"/>
                <w:szCs w:val="18"/>
                <w:lang w:eastAsia="en-US"/>
              </w:rPr>
              <w:t>;</w:t>
            </w:r>
            <w:proofErr w:type="gramEnd"/>
          </w:p>
          <w:p w14:paraId="5E6133D1" w14:textId="692AD3BC" w:rsidR="00C40FFF" w:rsidRPr="007C4D65" w:rsidRDefault="002E719E" w:rsidP="002E719E">
            <w:p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3) </w:t>
            </w:r>
            <w:r w:rsidR="00C40FFF" w:rsidRPr="007C4D65">
              <w:rPr>
                <w:rFonts w:asciiTheme="minorHAnsi" w:eastAsiaTheme="minorHAnsi" w:hAnsiTheme="minorHAnsi" w:cstheme="minorHAnsi"/>
                <w:sz w:val="18"/>
                <w:szCs w:val="18"/>
                <w:lang w:eastAsia="en-US"/>
              </w:rPr>
              <w:t xml:space="preserve">In compliance with the Strategy on deployment and maintenance of the Spatial Data Infrastructure of the Federation of </w:t>
            </w:r>
            <w:r w:rsidRPr="007C4D65">
              <w:rPr>
                <w:rFonts w:asciiTheme="minorHAnsi" w:eastAsiaTheme="minorHAnsi" w:hAnsiTheme="minorHAnsi" w:cstheme="minorHAnsi"/>
                <w:sz w:val="18"/>
                <w:szCs w:val="18"/>
                <w:lang w:eastAsia="en-US"/>
              </w:rPr>
              <w:t>BiH</w:t>
            </w:r>
            <w:r w:rsidR="00C40FFF" w:rsidRPr="007C4D65">
              <w:rPr>
                <w:rFonts w:asciiTheme="minorHAnsi" w:eastAsiaTheme="minorHAnsi" w:hAnsiTheme="minorHAnsi" w:cstheme="minorHAnsi"/>
                <w:sz w:val="18"/>
                <w:szCs w:val="18"/>
                <w:lang w:eastAsia="en-US"/>
              </w:rPr>
              <w:t>, the deployment and management of the Spatial Data Infrastructure in the Federation of Bosnia and Herzegovina in accordance with Annexes I, II</w:t>
            </w:r>
            <w:bookmarkStart w:id="352" w:name="_Hlk95007668"/>
            <w:r w:rsidR="00C40FFF" w:rsidRPr="007C4D65">
              <w:rPr>
                <w:rFonts w:asciiTheme="minorHAnsi" w:eastAsiaTheme="minorHAnsi" w:hAnsiTheme="minorHAnsi" w:cstheme="minorHAnsi"/>
                <w:sz w:val="18"/>
                <w:szCs w:val="18"/>
                <w:lang w:eastAsia="en-US"/>
              </w:rPr>
              <w:t>, and III of the INSPIRE Directive</w:t>
            </w:r>
            <w:bookmarkEnd w:id="352"/>
            <w:r w:rsidRPr="007C4D65">
              <w:rPr>
                <w:rFonts w:asciiTheme="minorHAnsi" w:eastAsiaTheme="minorHAnsi" w:hAnsiTheme="minorHAnsi" w:cstheme="minorHAnsi"/>
                <w:sz w:val="18"/>
                <w:szCs w:val="18"/>
                <w:lang w:eastAsia="en-US"/>
              </w:rPr>
              <w:t xml:space="preserve"> </w:t>
            </w:r>
            <w:r w:rsidR="00C40FFF" w:rsidRPr="007C4D65">
              <w:rPr>
                <w:rFonts w:asciiTheme="minorHAnsi" w:eastAsiaTheme="minorHAnsi" w:hAnsiTheme="minorHAnsi" w:cstheme="minorHAnsi"/>
                <w:sz w:val="18"/>
                <w:szCs w:val="18"/>
                <w:lang w:eastAsia="en-US"/>
              </w:rPr>
              <w:t>and services among the institutions.</w:t>
            </w:r>
          </w:p>
        </w:tc>
      </w:tr>
      <w:tr w:rsidR="00C40FFF" w:rsidRPr="007C4D65" w14:paraId="1D09F037" w14:textId="77777777" w:rsidTr="002E719E">
        <w:trPr>
          <w:trHeight w:val="567"/>
        </w:trPr>
        <w:tc>
          <w:tcPr>
            <w:tcW w:w="1340"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3D1CC63" w14:textId="77777777" w:rsidR="00C40FFF" w:rsidRPr="007C4D65" w:rsidRDefault="00C40FFF" w:rsidP="00C40F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Strategic projects</w:t>
            </w:r>
          </w:p>
        </w:tc>
        <w:tc>
          <w:tcPr>
            <w:tcW w:w="3660"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529AF085" w14:textId="77777777" w:rsidR="00C40FFF" w:rsidRPr="007C4D65" w:rsidRDefault="00C40FFF" w:rsidP="00C40F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C40FFF" w:rsidRPr="007C4D65" w14:paraId="36D846D7" w14:textId="77777777" w:rsidTr="002E719E">
        <w:trPr>
          <w:trHeight w:val="567"/>
        </w:trPr>
        <w:tc>
          <w:tcPr>
            <w:tcW w:w="1340"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15135EA" w14:textId="77777777" w:rsidR="00C40FFF" w:rsidRPr="007C4D65" w:rsidRDefault="00C40FFF" w:rsidP="00C40F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402"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38E13DF" w14:textId="77777777" w:rsidR="00C40FFF" w:rsidRPr="007C4D65" w:rsidRDefault="00C40FFF" w:rsidP="00C40FF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3C9D1EE4" w14:textId="77777777" w:rsidR="00C40FFF" w:rsidRPr="007C4D65" w:rsidRDefault="00C40FFF" w:rsidP="00C40FF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91"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2B6D23D" w14:textId="77777777" w:rsidR="00C40FFF" w:rsidRPr="007C4D65" w:rsidRDefault="00C40FFF" w:rsidP="00C40FF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6AAC5DF3" w14:textId="77777777" w:rsidR="00C40FFF" w:rsidRPr="007C4D65" w:rsidRDefault="00C40FFF" w:rsidP="00C40FF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967"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19D33C7" w14:textId="77777777" w:rsidR="00C40FFF" w:rsidRPr="007C4D65" w:rsidRDefault="00C40FFF" w:rsidP="00C40FF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C40FFF" w:rsidRPr="007C4D65" w14:paraId="3A7CAE9D" w14:textId="77777777" w:rsidTr="002E719E">
        <w:trPr>
          <w:trHeight w:val="567"/>
        </w:trPr>
        <w:tc>
          <w:tcPr>
            <w:tcW w:w="1340" w:type="pct"/>
            <w:vMerge/>
            <w:tcBorders>
              <w:top w:val="single" w:sz="4" w:space="0" w:color="A6A6A6"/>
              <w:left w:val="single" w:sz="4" w:space="0" w:color="A6A6A6"/>
              <w:bottom w:val="single" w:sz="4" w:space="0" w:color="A6A6A6"/>
              <w:right w:val="single" w:sz="4" w:space="0" w:color="A6A6A6"/>
            </w:tcBorders>
            <w:vAlign w:val="center"/>
            <w:hideMark/>
          </w:tcPr>
          <w:p w14:paraId="22226F2A" w14:textId="77777777" w:rsidR="00C40FFF" w:rsidRPr="007C4D65" w:rsidRDefault="00C40FFF" w:rsidP="00C40FFF">
            <w:pPr>
              <w:spacing w:line="259" w:lineRule="auto"/>
              <w:rPr>
                <w:rFonts w:asciiTheme="minorHAnsi" w:eastAsiaTheme="minorHAnsi" w:hAnsiTheme="minorHAnsi" w:cstheme="minorHAnsi"/>
                <w:b/>
                <w:bCs/>
                <w:color w:val="FFFFFF" w:themeColor="background1"/>
                <w:sz w:val="18"/>
                <w:szCs w:val="18"/>
                <w:lang w:eastAsia="en-US" w:bidi="en-US"/>
              </w:rPr>
            </w:pPr>
          </w:p>
        </w:tc>
        <w:tc>
          <w:tcPr>
            <w:tcW w:w="1402"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E0F558F" w14:textId="32397AC6" w:rsidR="00C40FFF" w:rsidRPr="007C4D65" w:rsidRDefault="00C40FFF">
            <w:pPr>
              <w:pStyle w:val="ListParagraph"/>
              <w:numPr>
                <w:ilvl w:val="0"/>
                <w:numId w:val="253"/>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Status of adopting a methodology for spatial data management in the Federation of </w:t>
            </w:r>
            <w:r w:rsidR="002E719E" w:rsidRPr="007C4D65">
              <w:rPr>
                <w:rFonts w:asciiTheme="minorHAnsi" w:eastAsiaTheme="minorHAnsi" w:hAnsiTheme="minorHAnsi" w:cstheme="minorHAnsi"/>
                <w:sz w:val="18"/>
                <w:szCs w:val="18"/>
                <w:lang w:eastAsia="en-US"/>
              </w:rPr>
              <w:t>BiH</w:t>
            </w:r>
          </w:p>
        </w:tc>
        <w:tc>
          <w:tcPr>
            <w:tcW w:w="1291"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D52045F" w14:textId="77777777" w:rsidR="00C40FFF" w:rsidRPr="007C4D65" w:rsidRDefault="00C40FFF" w:rsidP="00C40F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methodology is not adopted</w:t>
            </w:r>
          </w:p>
        </w:tc>
        <w:tc>
          <w:tcPr>
            <w:tcW w:w="967"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E7E9DE8" w14:textId="22D63DC4" w:rsidR="00C40FFF" w:rsidRPr="007C4D65" w:rsidRDefault="00C40FFF" w:rsidP="00C40F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methodology for spatial data management in the Federation of </w:t>
            </w:r>
            <w:r w:rsidR="002E719E" w:rsidRPr="007C4D65">
              <w:rPr>
                <w:rFonts w:asciiTheme="minorHAnsi" w:eastAsiaTheme="minorHAnsi" w:hAnsiTheme="minorHAnsi" w:cstheme="minorHAnsi"/>
                <w:sz w:val="18"/>
                <w:szCs w:val="18"/>
                <w:lang w:eastAsia="en-US"/>
              </w:rPr>
              <w:t>BiH</w:t>
            </w:r>
            <w:r w:rsidRPr="007C4D65">
              <w:rPr>
                <w:rFonts w:asciiTheme="minorHAnsi" w:eastAsiaTheme="minorHAnsi" w:hAnsiTheme="minorHAnsi" w:cstheme="minorHAnsi"/>
                <w:sz w:val="18"/>
                <w:szCs w:val="18"/>
                <w:lang w:eastAsia="en-US"/>
              </w:rPr>
              <w:t xml:space="preserve"> </w:t>
            </w:r>
            <w:r w:rsidR="002E719E" w:rsidRPr="007C4D65">
              <w:rPr>
                <w:rFonts w:asciiTheme="minorHAnsi" w:eastAsiaTheme="minorHAnsi" w:hAnsiTheme="minorHAnsi" w:cstheme="minorHAnsi"/>
                <w:sz w:val="18"/>
                <w:szCs w:val="18"/>
                <w:lang w:eastAsia="en-US"/>
              </w:rPr>
              <w:t xml:space="preserve">defined </w:t>
            </w:r>
            <w:r w:rsidRPr="007C4D65">
              <w:rPr>
                <w:rFonts w:asciiTheme="minorHAnsi" w:eastAsiaTheme="minorHAnsi" w:hAnsiTheme="minorHAnsi" w:cstheme="minorHAnsi"/>
                <w:sz w:val="18"/>
                <w:szCs w:val="18"/>
                <w:lang w:eastAsia="en-US"/>
              </w:rPr>
              <w:t>and adopted (2025)</w:t>
            </w:r>
          </w:p>
        </w:tc>
      </w:tr>
      <w:tr w:rsidR="00C40FFF" w:rsidRPr="007C4D65" w14:paraId="4B819359" w14:textId="77777777" w:rsidTr="002E719E">
        <w:trPr>
          <w:trHeight w:val="567"/>
        </w:trPr>
        <w:tc>
          <w:tcPr>
            <w:tcW w:w="1340" w:type="pct"/>
            <w:vMerge/>
            <w:tcBorders>
              <w:top w:val="single" w:sz="4" w:space="0" w:color="A6A6A6"/>
              <w:left w:val="single" w:sz="4" w:space="0" w:color="A6A6A6"/>
              <w:bottom w:val="single" w:sz="4" w:space="0" w:color="A6A6A6"/>
              <w:right w:val="single" w:sz="4" w:space="0" w:color="A6A6A6"/>
            </w:tcBorders>
            <w:vAlign w:val="center"/>
            <w:hideMark/>
          </w:tcPr>
          <w:p w14:paraId="5C439500" w14:textId="77777777" w:rsidR="00C40FFF" w:rsidRPr="007C4D65" w:rsidRDefault="00C40FFF" w:rsidP="00C40FFF">
            <w:pPr>
              <w:spacing w:line="259" w:lineRule="auto"/>
              <w:rPr>
                <w:rFonts w:asciiTheme="minorHAnsi" w:eastAsiaTheme="minorHAnsi" w:hAnsiTheme="minorHAnsi" w:cstheme="minorHAnsi"/>
                <w:b/>
                <w:bCs/>
                <w:color w:val="FFFFFF" w:themeColor="background1"/>
                <w:sz w:val="18"/>
                <w:szCs w:val="18"/>
                <w:lang w:eastAsia="en-US" w:bidi="en-US"/>
              </w:rPr>
            </w:pPr>
          </w:p>
        </w:tc>
        <w:tc>
          <w:tcPr>
            <w:tcW w:w="1402"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7B80448" w14:textId="6A8BCB82" w:rsidR="00C40FFF" w:rsidRPr="007C4D65" w:rsidRDefault="00C40FFF">
            <w:pPr>
              <w:pStyle w:val="ListParagraph"/>
              <w:numPr>
                <w:ilvl w:val="0"/>
                <w:numId w:val="253"/>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Status of adopting required </w:t>
            </w:r>
            <w:r w:rsidR="00B80FAD" w:rsidRPr="007C4D65">
              <w:rPr>
                <w:rFonts w:asciiTheme="minorHAnsi" w:eastAsiaTheme="minorHAnsi" w:hAnsiTheme="minorHAnsi" w:cstheme="minorHAnsi"/>
                <w:sz w:val="18"/>
                <w:szCs w:val="18"/>
                <w:lang w:eastAsia="en-US"/>
              </w:rPr>
              <w:t>bylaw</w:t>
            </w:r>
            <w:r w:rsidRPr="007C4D65">
              <w:rPr>
                <w:rFonts w:asciiTheme="minorHAnsi" w:eastAsiaTheme="minorHAnsi" w:hAnsiTheme="minorHAnsi" w:cstheme="minorHAnsi"/>
                <w:sz w:val="18"/>
                <w:szCs w:val="18"/>
                <w:lang w:eastAsia="en-US"/>
              </w:rPr>
              <w:t xml:space="preserve">s for an effective establishment of SDI in </w:t>
            </w:r>
            <w:r w:rsidR="00227D11" w:rsidRPr="007C4D65">
              <w:rPr>
                <w:rFonts w:asciiTheme="minorHAnsi" w:eastAsiaTheme="minorHAnsi" w:hAnsiTheme="minorHAnsi" w:cstheme="minorHAnsi"/>
                <w:sz w:val="18"/>
                <w:szCs w:val="18"/>
                <w:lang w:eastAsia="en-US"/>
              </w:rPr>
              <w:t>the Federation of BiH</w:t>
            </w:r>
          </w:p>
        </w:tc>
        <w:tc>
          <w:tcPr>
            <w:tcW w:w="1291"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9890B7B" w14:textId="3987EC2D" w:rsidR="00C40FFF" w:rsidRPr="007C4D65" w:rsidRDefault="00C40FFF" w:rsidP="00C40F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w:t>
            </w:r>
            <w:r w:rsidR="00B80FAD" w:rsidRPr="007C4D65">
              <w:rPr>
                <w:rFonts w:asciiTheme="minorHAnsi" w:eastAsiaTheme="minorHAnsi" w:hAnsiTheme="minorHAnsi" w:cstheme="minorHAnsi"/>
                <w:sz w:val="18"/>
                <w:szCs w:val="18"/>
                <w:lang w:eastAsia="en-US"/>
              </w:rPr>
              <w:t>bylaw</w:t>
            </w:r>
            <w:r w:rsidRPr="007C4D65">
              <w:rPr>
                <w:rFonts w:asciiTheme="minorHAnsi" w:eastAsiaTheme="minorHAnsi" w:hAnsiTheme="minorHAnsi" w:cstheme="minorHAnsi"/>
                <w:sz w:val="18"/>
                <w:szCs w:val="18"/>
                <w:lang w:eastAsia="en-US"/>
              </w:rPr>
              <w:t>s not adopted</w:t>
            </w:r>
          </w:p>
        </w:tc>
        <w:tc>
          <w:tcPr>
            <w:tcW w:w="967"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98A58E7" w14:textId="0145C452" w:rsidR="00C40FFF" w:rsidRPr="007C4D65" w:rsidRDefault="00C40FFF" w:rsidP="00C40F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w:t>
            </w:r>
            <w:r w:rsidR="00B80FAD" w:rsidRPr="007C4D65">
              <w:rPr>
                <w:rFonts w:asciiTheme="minorHAnsi" w:eastAsiaTheme="minorHAnsi" w:hAnsiTheme="minorHAnsi" w:cstheme="minorHAnsi"/>
                <w:sz w:val="18"/>
                <w:szCs w:val="18"/>
                <w:lang w:eastAsia="en-US"/>
              </w:rPr>
              <w:t>bylaw</w:t>
            </w:r>
            <w:r w:rsidRPr="007C4D65">
              <w:rPr>
                <w:rFonts w:asciiTheme="minorHAnsi" w:eastAsiaTheme="minorHAnsi" w:hAnsiTheme="minorHAnsi" w:cstheme="minorHAnsi"/>
                <w:sz w:val="18"/>
                <w:szCs w:val="18"/>
                <w:lang w:eastAsia="en-US"/>
              </w:rPr>
              <w:t xml:space="preserve">s required for an </w:t>
            </w:r>
            <w:proofErr w:type="gramStart"/>
            <w:r w:rsidRPr="007C4D65">
              <w:rPr>
                <w:rFonts w:asciiTheme="minorHAnsi" w:eastAsiaTheme="minorHAnsi" w:hAnsiTheme="minorHAnsi" w:cstheme="minorHAnsi"/>
                <w:sz w:val="18"/>
                <w:szCs w:val="18"/>
                <w:lang w:eastAsia="en-US"/>
              </w:rPr>
              <w:t>effective  establishment</w:t>
            </w:r>
            <w:proofErr w:type="gramEnd"/>
            <w:r w:rsidRPr="007C4D65">
              <w:rPr>
                <w:rFonts w:asciiTheme="minorHAnsi" w:eastAsiaTheme="minorHAnsi" w:hAnsiTheme="minorHAnsi" w:cstheme="minorHAnsi"/>
                <w:sz w:val="18"/>
                <w:szCs w:val="18"/>
                <w:lang w:eastAsia="en-US"/>
              </w:rPr>
              <w:t xml:space="preserve"> of SDI in </w:t>
            </w:r>
            <w:r w:rsidR="00227D11" w:rsidRPr="007C4D65">
              <w:rPr>
                <w:rFonts w:asciiTheme="minorHAnsi" w:eastAsiaTheme="minorHAnsi" w:hAnsiTheme="minorHAnsi" w:cstheme="minorHAnsi"/>
                <w:sz w:val="18"/>
                <w:szCs w:val="18"/>
                <w:lang w:eastAsia="en-US"/>
              </w:rPr>
              <w:t>the Federation of BiH</w:t>
            </w:r>
            <w:r w:rsidR="002E719E" w:rsidRPr="007C4D65">
              <w:rPr>
                <w:rFonts w:asciiTheme="minorHAnsi" w:eastAsiaTheme="minorHAnsi" w:hAnsiTheme="minorHAnsi" w:cstheme="minorHAnsi"/>
                <w:sz w:val="18"/>
                <w:szCs w:val="18"/>
                <w:lang w:eastAsia="en-US"/>
              </w:rPr>
              <w:t xml:space="preserve"> adopted</w:t>
            </w:r>
            <w:r w:rsidRPr="007C4D65">
              <w:rPr>
                <w:rFonts w:asciiTheme="minorHAnsi" w:eastAsiaTheme="minorHAnsi" w:hAnsiTheme="minorHAnsi" w:cstheme="minorHAnsi"/>
                <w:sz w:val="18"/>
                <w:szCs w:val="18"/>
                <w:lang w:eastAsia="en-US"/>
              </w:rPr>
              <w:t xml:space="preserve"> (2024)</w:t>
            </w:r>
          </w:p>
        </w:tc>
      </w:tr>
      <w:tr w:rsidR="00C40FFF" w:rsidRPr="007C4D65" w14:paraId="6D2196C6" w14:textId="77777777" w:rsidTr="002E719E">
        <w:trPr>
          <w:trHeight w:val="567"/>
        </w:trPr>
        <w:tc>
          <w:tcPr>
            <w:tcW w:w="1340" w:type="pct"/>
            <w:vMerge/>
            <w:tcBorders>
              <w:top w:val="single" w:sz="4" w:space="0" w:color="A6A6A6"/>
              <w:left w:val="single" w:sz="4" w:space="0" w:color="A6A6A6"/>
              <w:bottom w:val="single" w:sz="4" w:space="0" w:color="A6A6A6"/>
              <w:right w:val="single" w:sz="4" w:space="0" w:color="A6A6A6"/>
            </w:tcBorders>
            <w:vAlign w:val="center"/>
            <w:hideMark/>
          </w:tcPr>
          <w:p w14:paraId="44FE99DE" w14:textId="77777777" w:rsidR="00C40FFF" w:rsidRPr="007C4D65" w:rsidRDefault="00C40FFF" w:rsidP="00C40FFF">
            <w:pPr>
              <w:spacing w:line="259" w:lineRule="auto"/>
              <w:rPr>
                <w:rFonts w:asciiTheme="minorHAnsi" w:eastAsiaTheme="minorHAnsi" w:hAnsiTheme="minorHAnsi" w:cstheme="minorHAnsi"/>
                <w:b/>
                <w:bCs/>
                <w:color w:val="FFFFFF" w:themeColor="background1"/>
                <w:sz w:val="18"/>
                <w:szCs w:val="18"/>
                <w:lang w:eastAsia="en-US" w:bidi="en-US"/>
              </w:rPr>
            </w:pPr>
          </w:p>
        </w:tc>
        <w:tc>
          <w:tcPr>
            <w:tcW w:w="1402"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661BFFF" w14:textId="61B48B9E" w:rsidR="00C40FFF" w:rsidRPr="007C4D65" w:rsidRDefault="00C40FFF">
            <w:pPr>
              <w:pStyle w:val="ListParagraph"/>
              <w:numPr>
                <w:ilvl w:val="0"/>
                <w:numId w:val="253"/>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Status of setting up SDI in </w:t>
            </w:r>
            <w:r w:rsidR="00227D11" w:rsidRPr="007C4D65">
              <w:rPr>
                <w:rFonts w:asciiTheme="minorHAnsi" w:eastAsiaTheme="minorHAnsi" w:hAnsiTheme="minorHAnsi" w:cstheme="minorHAnsi"/>
                <w:sz w:val="18"/>
                <w:szCs w:val="18"/>
                <w:lang w:eastAsia="en-US"/>
              </w:rPr>
              <w:t>the Federation of BiH</w:t>
            </w:r>
          </w:p>
        </w:tc>
        <w:tc>
          <w:tcPr>
            <w:tcW w:w="1291"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F0F9E7D" w14:textId="1944354F" w:rsidR="00C40FFF" w:rsidRPr="007C4D65" w:rsidRDefault="00C40FFF" w:rsidP="00C40F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SDI is in place</w:t>
            </w:r>
          </w:p>
        </w:tc>
        <w:tc>
          <w:tcPr>
            <w:tcW w:w="967"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53FD6D6" w14:textId="2EA570F9" w:rsidR="00C40FFF" w:rsidRPr="007C4D65" w:rsidRDefault="00C40FFF" w:rsidP="00C40F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SDI in </w:t>
            </w:r>
            <w:r w:rsidR="002E719E" w:rsidRPr="007C4D65">
              <w:rPr>
                <w:rFonts w:asciiTheme="minorHAnsi" w:eastAsiaTheme="minorHAnsi" w:hAnsiTheme="minorHAnsi" w:cstheme="minorHAnsi"/>
                <w:sz w:val="18"/>
                <w:szCs w:val="18"/>
                <w:lang w:eastAsia="en-US"/>
              </w:rPr>
              <w:t xml:space="preserve">the </w:t>
            </w:r>
            <w:r w:rsidRPr="007C4D65">
              <w:rPr>
                <w:rFonts w:asciiTheme="minorHAnsi" w:eastAsiaTheme="minorHAnsi" w:hAnsiTheme="minorHAnsi" w:cstheme="minorHAnsi"/>
                <w:sz w:val="18"/>
                <w:szCs w:val="18"/>
                <w:lang w:eastAsia="en-US"/>
              </w:rPr>
              <w:t>F</w:t>
            </w:r>
            <w:r w:rsidR="002E719E" w:rsidRPr="007C4D65">
              <w:rPr>
                <w:rFonts w:asciiTheme="minorHAnsi" w:eastAsiaTheme="minorHAnsi" w:hAnsiTheme="minorHAnsi" w:cstheme="minorHAnsi"/>
                <w:sz w:val="18"/>
                <w:szCs w:val="18"/>
                <w:lang w:eastAsia="en-US"/>
              </w:rPr>
              <w:t xml:space="preserve">ederation of </w:t>
            </w:r>
            <w:r w:rsidRPr="007C4D65">
              <w:rPr>
                <w:rFonts w:asciiTheme="minorHAnsi" w:eastAsiaTheme="minorHAnsi" w:hAnsiTheme="minorHAnsi" w:cstheme="minorHAnsi"/>
                <w:sz w:val="18"/>
                <w:szCs w:val="18"/>
                <w:lang w:eastAsia="en-US"/>
              </w:rPr>
              <w:t>BiH in place and operational (2030+)</w:t>
            </w:r>
          </w:p>
        </w:tc>
      </w:tr>
      <w:tr w:rsidR="00C40FFF" w:rsidRPr="007C4D65" w14:paraId="4A51307C" w14:textId="77777777" w:rsidTr="002E719E">
        <w:trPr>
          <w:trHeight w:val="567"/>
        </w:trPr>
        <w:tc>
          <w:tcPr>
            <w:tcW w:w="1340"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CA20B43" w14:textId="77777777" w:rsidR="00C40FFF" w:rsidRPr="007C4D65" w:rsidRDefault="00C40FFF" w:rsidP="00C40F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6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F96E162" w14:textId="3D627DFD" w:rsidR="00C40FFF" w:rsidRPr="007C4D65" w:rsidRDefault="002E719E" w:rsidP="00C40FF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environmental management through better access to data which facilitates evidence-based and analysis-based policy making in the future</w:t>
            </w:r>
          </w:p>
        </w:tc>
      </w:tr>
      <w:tr w:rsidR="00C40FFF" w:rsidRPr="007C4D65" w14:paraId="5D971865" w14:textId="77777777" w:rsidTr="002E719E">
        <w:trPr>
          <w:trHeight w:val="567"/>
        </w:trPr>
        <w:tc>
          <w:tcPr>
            <w:tcW w:w="1340"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7BDF49E" w14:textId="4F2C8626" w:rsidR="00C40FFF" w:rsidRPr="007C4D65" w:rsidRDefault="00963086" w:rsidP="00C40F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6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C88FF83" w14:textId="68BDD9A2" w:rsidR="002E719E" w:rsidRPr="007C4D65" w:rsidRDefault="00C224E3" w:rsidP="002E719E">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2E719E" w:rsidRPr="007C4D65">
              <w:rPr>
                <w:rFonts w:asciiTheme="minorHAnsi" w:hAnsiTheme="minorHAnsi" w:cstheme="minorHAnsi"/>
                <w:sz w:val="18"/>
                <w:szCs w:val="18"/>
                <w:lang w:val="hr-HR" w:bidi="en-US"/>
              </w:rPr>
              <w:t>BAM 536,571</w:t>
            </w:r>
          </w:p>
          <w:p w14:paraId="3D5E16A2" w14:textId="5653160F" w:rsidR="00C40FFF" w:rsidRPr="007C4D65" w:rsidRDefault="009E6B20" w:rsidP="002E719E">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val="hr-HR" w:bidi="en-US"/>
              </w:rPr>
              <w:t xml:space="preserve">Source: </w:t>
            </w:r>
            <w:r w:rsidR="002E719E" w:rsidRPr="007C4D65">
              <w:rPr>
                <w:rFonts w:asciiTheme="minorHAnsi" w:hAnsiTheme="minorHAnsi" w:cstheme="minorHAnsi"/>
                <w:sz w:val="18"/>
                <w:szCs w:val="18"/>
                <w:lang w:val="hr-HR" w:bidi="en-US"/>
              </w:rPr>
              <w:t xml:space="preserve">10%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2E719E" w:rsidRPr="007C4D65">
              <w:rPr>
                <w:rFonts w:asciiTheme="minorHAnsi" w:hAnsiTheme="minorHAnsi" w:cstheme="minorHAnsi"/>
                <w:sz w:val="18"/>
                <w:szCs w:val="18"/>
                <w:lang w:val="hr-HR" w:bidi="en-US"/>
              </w:rPr>
              <w:t xml:space="preserve">, 90% </w:t>
            </w:r>
            <w:r w:rsidR="00C224E3" w:rsidRPr="007C4D65">
              <w:rPr>
                <w:rFonts w:asciiTheme="minorHAnsi" w:hAnsiTheme="minorHAnsi" w:cstheme="minorHAnsi"/>
                <w:sz w:val="18"/>
                <w:szCs w:val="18"/>
                <w:lang w:val="hr-HR" w:bidi="en-US"/>
              </w:rPr>
              <w:t>funds from EU and other international donors</w:t>
            </w:r>
          </w:p>
        </w:tc>
      </w:tr>
      <w:tr w:rsidR="00C40FFF" w:rsidRPr="007C4D65" w14:paraId="3CF3CC06" w14:textId="77777777" w:rsidTr="002E719E">
        <w:trPr>
          <w:trHeight w:val="567"/>
        </w:trPr>
        <w:tc>
          <w:tcPr>
            <w:tcW w:w="1340"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88FC8D7" w14:textId="77777777" w:rsidR="00C40FFF" w:rsidRPr="007C4D65" w:rsidRDefault="00C40FFF" w:rsidP="00C40F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6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F189409" w14:textId="77777777" w:rsidR="00C40FFF" w:rsidRPr="007C4D65" w:rsidRDefault="00C40FFF" w:rsidP="00C40F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2030</w:t>
            </w:r>
          </w:p>
        </w:tc>
      </w:tr>
      <w:tr w:rsidR="00C40FFF" w:rsidRPr="007C4D65" w14:paraId="33AACAB5" w14:textId="77777777" w:rsidTr="002E719E">
        <w:trPr>
          <w:trHeight w:val="567"/>
        </w:trPr>
        <w:tc>
          <w:tcPr>
            <w:tcW w:w="1340"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FE6E934" w14:textId="77777777" w:rsidR="00C40FFF" w:rsidRPr="007C4D65" w:rsidRDefault="00C40FFF" w:rsidP="00C40F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6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88D66BB" w14:textId="0C9E3903" w:rsidR="00C40FFF" w:rsidRPr="007C4D65" w:rsidRDefault="001E6E20" w:rsidP="00C40F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C40FFF" w:rsidRPr="007C4D65">
              <w:rPr>
                <w:rFonts w:asciiTheme="minorHAnsi" w:eastAsiaTheme="minorHAnsi" w:hAnsiTheme="minorHAnsi" w:cstheme="minorHAnsi"/>
                <w:sz w:val="18"/>
                <w:szCs w:val="18"/>
                <w:lang w:eastAsia="en-US"/>
              </w:rPr>
              <w:t xml:space="preserve"> of Spatial Planning</w:t>
            </w:r>
          </w:p>
        </w:tc>
      </w:tr>
      <w:tr w:rsidR="00C40FFF" w:rsidRPr="007C4D65" w14:paraId="1CF5F193" w14:textId="77777777" w:rsidTr="002E719E">
        <w:trPr>
          <w:trHeight w:val="567"/>
        </w:trPr>
        <w:tc>
          <w:tcPr>
            <w:tcW w:w="1340"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A2F5320" w14:textId="77777777" w:rsidR="00C40FFF" w:rsidRPr="007C4D65" w:rsidRDefault="00C40FFF" w:rsidP="00C40F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6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494D681" w14:textId="367D0395" w:rsidR="00C40FFF" w:rsidRPr="007C4D65" w:rsidRDefault="001E6E20" w:rsidP="00C40F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C40FFF" w:rsidRPr="007C4D65">
              <w:rPr>
                <w:rFonts w:asciiTheme="minorHAnsi" w:eastAsiaTheme="minorHAnsi" w:hAnsiTheme="minorHAnsi" w:cstheme="minorHAnsi"/>
                <w:sz w:val="18"/>
                <w:szCs w:val="18"/>
                <w:lang w:eastAsia="en-US"/>
              </w:rPr>
              <w:t xml:space="preserve"> of Spatial Planning, Federal Administration of Geodetic and Proprietary Affairs in cooperation with the </w:t>
            </w:r>
            <w:r w:rsidRPr="007C4D65">
              <w:rPr>
                <w:rFonts w:asciiTheme="minorHAnsi" w:eastAsiaTheme="minorHAnsi" w:hAnsiTheme="minorHAnsi" w:cstheme="minorHAnsi"/>
                <w:sz w:val="18"/>
                <w:szCs w:val="18"/>
                <w:lang w:eastAsia="en-US"/>
              </w:rPr>
              <w:t>Federation Ministry</w:t>
            </w:r>
            <w:r w:rsidR="00C40FFF" w:rsidRPr="007C4D65">
              <w:rPr>
                <w:rFonts w:asciiTheme="minorHAnsi" w:eastAsiaTheme="minorHAnsi" w:hAnsiTheme="minorHAnsi" w:cstheme="minorHAnsi"/>
                <w:sz w:val="18"/>
                <w:szCs w:val="18"/>
                <w:lang w:eastAsia="en-US"/>
              </w:rPr>
              <w:t xml:space="preserve"> of Environment and Tourism and other</w:t>
            </w:r>
            <w:r w:rsidR="002E719E" w:rsidRPr="007C4D65">
              <w:rPr>
                <w:rFonts w:asciiTheme="minorHAnsi" w:eastAsiaTheme="minorHAnsi" w:hAnsiTheme="minorHAnsi" w:cstheme="minorHAnsi"/>
                <w:sz w:val="18"/>
                <w:szCs w:val="18"/>
                <w:lang w:eastAsia="en-US"/>
              </w:rPr>
              <w:t xml:space="preserve"> environmental</w:t>
            </w:r>
            <w:r w:rsidR="00C40FFF" w:rsidRPr="007C4D65">
              <w:rPr>
                <w:rFonts w:asciiTheme="minorHAnsi" w:eastAsiaTheme="minorHAnsi" w:hAnsiTheme="minorHAnsi" w:cstheme="minorHAnsi"/>
                <w:sz w:val="18"/>
                <w:szCs w:val="18"/>
                <w:lang w:eastAsia="en-US"/>
              </w:rPr>
              <w:t xml:space="preserve"> institutions</w:t>
            </w:r>
          </w:p>
        </w:tc>
      </w:tr>
      <w:tr w:rsidR="00C40FFF" w:rsidRPr="007C4D65" w14:paraId="66A3D84B" w14:textId="77777777" w:rsidTr="002E719E">
        <w:trPr>
          <w:trHeight w:val="567"/>
        </w:trPr>
        <w:tc>
          <w:tcPr>
            <w:tcW w:w="1340"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2415EA9" w14:textId="2A14DFF6" w:rsidR="00C40FFF" w:rsidRPr="007C4D65" w:rsidRDefault="00963086" w:rsidP="00C40F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60"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0D92D18" w14:textId="4C82211A" w:rsidR="00C40FFF" w:rsidRPr="007C4D65" w:rsidRDefault="00C40FFF" w:rsidP="00C40F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All the institutions, business entities, and organisations focusing on environmental issues, professional and </w:t>
            </w:r>
            <w:proofErr w:type="gramStart"/>
            <w:r w:rsidRPr="007C4D65">
              <w:rPr>
                <w:rFonts w:asciiTheme="minorHAnsi" w:eastAsiaTheme="minorHAnsi" w:hAnsiTheme="minorHAnsi" w:cstheme="minorHAnsi"/>
                <w:sz w:val="18"/>
                <w:szCs w:val="18"/>
                <w:lang w:eastAsia="en-US"/>
              </w:rPr>
              <w:t>general public</w:t>
            </w:r>
            <w:proofErr w:type="gramEnd"/>
          </w:p>
        </w:tc>
      </w:tr>
    </w:tbl>
    <w:p w14:paraId="3E36E926" w14:textId="77777777"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260"/>
        <w:gridCol w:w="3479"/>
        <w:gridCol w:w="2757"/>
      </w:tblGrid>
      <w:tr w:rsidR="00060EA4" w:rsidRPr="007C4D65" w14:paraId="20FBFD70"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A973798" w14:textId="77777777" w:rsidR="00060EA4" w:rsidRPr="007C4D65" w:rsidRDefault="00060EA4" w:rsidP="00060EA4">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63CAE6A" w14:textId="31B228D4" w:rsidR="00060EA4" w:rsidRPr="007C4D65" w:rsidRDefault="00060EA4" w:rsidP="00060EA4">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 xml:space="preserve">7.5 </w:t>
            </w:r>
            <w:r w:rsidR="00FC5A95" w:rsidRPr="007C4D65">
              <w:rPr>
                <w:rFonts w:asciiTheme="minorHAnsi" w:eastAsia="Calibri" w:hAnsiTheme="minorHAnsi" w:cstheme="minorHAnsi"/>
                <w:b/>
                <w:bCs/>
                <w:sz w:val="18"/>
                <w:szCs w:val="18"/>
                <w:lang w:eastAsia="en-US"/>
              </w:rPr>
              <w:t>Set up an efficient system for record keeping and transparent reporting of environmental data in the Federation of BiH, in consultation with the Partnership 27</w:t>
            </w:r>
          </w:p>
        </w:tc>
      </w:tr>
      <w:tr w:rsidR="00060EA4" w:rsidRPr="007C4D65" w14:paraId="23E7DD6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E367EDC" w14:textId="77777777" w:rsidR="00060EA4" w:rsidRPr="007C4D65" w:rsidRDefault="00060EA4" w:rsidP="00060EA4">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BADC193" w14:textId="77777777" w:rsidR="00060EA4" w:rsidRPr="007C4D65" w:rsidRDefault="00060EA4" w:rsidP="00060EA4">
            <w:pPr>
              <w:spacing w:before="40" w:after="40" w:line="276" w:lineRule="auto"/>
              <w:rPr>
                <w:rFonts w:asciiTheme="minorHAnsi" w:eastAsia="Calibri" w:hAnsiTheme="minorHAnsi" w:cstheme="minorHAnsi"/>
                <w:b/>
                <w:sz w:val="18"/>
                <w:szCs w:val="18"/>
                <w:lang w:eastAsia="en-US"/>
              </w:rPr>
            </w:pPr>
            <w:bookmarkStart w:id="353" w:name="_Hlk95007686"/>
            <w:r w:rsidRPr="007C4D65">
              <w:rPr>
                <w:rFonts w:asciiTheme="minorHAnsi" w:eastAsiaTheme="minorHAnsi" w:hAnsiTheme="minorHAnsi" w:cstheme="minorHAnsi"/>
                <w:b/>
                <w:sz w:val="18"/>
                <w:szCs w:val="18"/>
                <w:lang w:eastAsia="en-US"/>
              </w:rPr>
              <w:t>7.5.5 Establishment of an effective PRTR</w:t>
            </w:r>
            <w:bookmarkEnd w:id="353"/>
          </w:p>
        </w:tc>
      </w:tr>
      <w:tr w:rsidR="00060EA4" w:rsidRPr="007C4D65" w14:paraId="7812CDF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1265AD8" w14:textId="77777777" w:rsidR="00060EA4" w:rsidRPr="007C4D65" w:rsidRDefault="00060EA4" w:rsidP="00060EA4">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777C572" w14:textId="3D429AF4" w:rsidR="00060EA4" w:rsidRPr="007C4D65" w:rsidRDefault="00060EA4" w:rsidP="00060EA4">
            <w:pPr>
              <w:spacing w:before="40" w:after="40" w:line="276" w:lineRule="auto"/>
              <w:rPr>
                <w:rFonts w:asciiTheme="minorHAnsi" w:eastAsia="Calibri" w:hAnsiTheme="minorHAnsi" w:cstheme="minorHAnsi"/>
                <w:sz w:val="18"/>
                <w:szCs w:val="18"/>
                <w:lang w:eastAsia="en-US"/>
              </w:rPr>
            </w:pPr>
            <w:bookmarkStart w:id="354" w:name="_Hlk95007718"/>
            <w:r w:rsidRPr="007C4D65">
              <w:rPr>
                <w:rFonts w:asciiTheme="minorHAnsi" w:eastAsiaTheme="minorHAnsi" w:hAnsiTheme="minorHAnsi" w:cstheme="minorHAnsi"/>
                <w:sz w:val="18"/>
                <w:szCs w:val="18"/>
                <w:lang w:eastAsia="en-US"/>
              </w:rPr>
              <w:t xml:space="preserve">This measure aims at establishing an effective PRTR in the Federation of BiH, harmonised with the registers in </w:t>
            </w:r>
            <w:proofErr w:type="spellStart"/>
            <w:r w:rsidRPr="007C4D65">
              <w:rPr>
                <w:rFonts w:asciiTheme="minorHAnsi" w:eastAsiaTheme="minorHAnsi" w:hAnsiTheme="minorHAnsi" w:cstheme="minorHAnsi"/>
                <w:sz w:val="18"/>
                <w:szCs w:val="18"/>
                <w:lang w:eastAsia="en-US"/>
              </w:rPr>
              <w:t>Republika</w:t>
            </w:r>
            <w:proofErr w:type="spellEnd"/>
            <w:r w:rsidRPr="007C4D65">
              <w:rPr>
                <w:rFonts w:asciiTheme="minorHAnsi" w:eastAsiaTheme="minorHAnsi" w:hAnsiTheme="minorHAnsi" w:cstheme="minorHAnsi"/>
                <w:sz w:val="18"/>
                <w:szCs w:val="18"/>
                <w:lang w:eastAsia="en-US"/>
              </w:rPr>
              <w:t xml:space="preserve"> Srpska and the Brcko District. It further aims at regulating the reporting of data from PRTRs to the national institutions.</w:t>
            </w:r>
            <w:bookmarkEnd w:id="354"/>
          </w:p>
          <w:p w14:paraId="18DE6A01" w14:textId="77777777" w:rsidR="00060EA4" w:rsidRPr="007C4D65" w:rsidRDefault="00060EA4" w:rsidP="00060EA4">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General areas of intervention are:</w:t>
            </w:r>
          </w:p>
          <w:p w14:paraId="279555B2" w14:textId="373CD29D" w:rsidR="00060EA4" w:rsidRPr="007C4D65" w:rsidRDefault="00060EA4" w:rsidP="00060EA4">
            <w:p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1) In accordance with the responsibilities of the Federation of BiH, </w:t>
            </w:r>
            <w:bookmarkStart w:id="355" w:name="_Hlk95007759"/>
            <w:r w:rsidRPr="007C4D65">
              <w:rPr>
                <w:rFonts w:asciiTheme="minorHAnsi" w:eastAsiaTheme="minorHAnsi" w:hAnsiTheme="minorHAnsi" w:cstheme="minorHAnsi"/>
                <w:sz w:val="18"/>
                <w:szCs w:val="18"/>
                <w:lang w:eastAsia="en-US"/>
              </w:rPr>
              <w:t xml:space="preserve">upgrading the legal framework and institutional arrangements to set up an effective PRTR in Federation of BiH, </w:t>
            </w:r>
            <w:bookmarkEnd w:id="355"/>
            <w:r w:rsidRPr="007C4D65">
              <w:rPr>
                <w:rFonts w:asciiTheme="minorHAnsi" w:eastAsiaTheme="minorHAnsi" w:hAnsiTheme="minorHAnsi" w:cstheme="minorHAnsi"/>
                <w:sz w:val="18"/>
                <w:szCs w:val="18"/>
                <w:lang w:eastAsia="en-US"/>
              </w:rPr>
              <w:t>which should define the channels of communication and reporting lines, and procedures for data publication (implementation of the Regulation (EC) no. 166/2006 in relation to the establishment of the European Pollutant Release and Transfer Registry and amendments to the Council’s Directives 91/689/EEC and 96/61/EC)</w:t>
            </w:r>
            <w:r w:rsidR="00397061" w:rsidRPr="007C4D65">
              <w:rPr>
                <w:rFonts w:asciiTheme="minorHAnsi" w:eastAsia="Calibri" w:hAnsiTheme="minorHAnsi" w:cstheme="minorHAnsi"/>
                <w:sz w:val="18"/>
                <w:szCs w:val="18"/>
                <w:lang w:eastAsia="en-US"/>
              </w:rPr>
              <w:t>:</w:t>
            </w:r>
          </w:p>
          <w:p w14:paraId="27056362" w14:textId="3368A7A7" w:rsidR="00060EA4" w:rsidRPr="007C4D65" w:rsidRDefault="00060EA4" w:rsidP="00060EA4">
            <w:pPr>
              <w:spacing w:before="40" w:after="40" w:line="276" w:lineRule="auto"/>
              <w:contextualSpacing/>
              <w:rPr>
                <w:rFonts w:asciiTheme="minorHAnsi" w:eastAsia="Calibri" w:hAnsiTheme="minorHAnsi" w:cstheme="minorHAnsi"/>
                <w:sz w:val="18"/>
                <w:szCs w:val="18"/>
                <w:lang w:eastAsia="en-US"/>
              </w:rPr>
            </w:pPr>
            <w:bookmarkStart w:id="356" w:name="_Hlk95007776"/>
            <w:r w:rsidRPr="007C4D65">
              <w:rPr>
                <w:rFonts w:asciiTheme="minorHAnsi" w:eastAsiaTheme="minorHAnsi" w:hAnsiTheme="minorHAnsi" w:cstheme="minorHAnsi"/>
                <w:sz w:val="18"/>
                <w:szCs w:val="18"/>
                <w:lang w:eastAsia="en-US"/>
              </w:rPr>
              <w:t>2) Creating an effective and sustainable PRTR database in the Federation of BiH, applying the methodology agreed with RS and BD (data is provided in accordance with the international obligations, which implies the use of common forms, types and number of pollutants, same measurement units, etc.</w:t>
            </w:r>
            <w:proofErr w:type="gramStart"/>
            <w:r w:rsidRPr="007C4D65">
              <w:rPr>
                <w:rFonts w:asciiTheme="minorHAnsi" w:eastAsiaTheme="minorHAnsi" w:hAnsiTheme="minorHAnsi" w:cstheme="minorHAnsi"/>
                <w:sz w:val="18"/>
                <w:szCs w:val="18"/>
                <w:lang w:eastAsia="en-US"/>
              </w:rPr>
              <w:t>)</w:t>
            </w:r>
            <w:bookmarkEnd w:id="356"/>
            <w:r w:rsidR="00397061" w:rsidRPr="007C4D65">
              <w:rPr>
                <w:rFonts w:asciiTheme="minorHAnsi" w:eastAsiaTheme="minorHAnsi" w:hAnsiTheme="minorHAnsi" w:cstheme="minorHAnsi"/>
                <w:sz w:val="18"/>
                <w:szCs w:val="18"/>
                <w:lang w:eastAsia="en-US"/>
              </w:rPr>
              <w:t>;</w:t>
            </w:r>
            <w:proofErr w:type="gramEnd"/>
          </w:p>
          <w:p w14:paraId="14C278A7" w14:textId="50764D73" w:rsidR="00060EA4" w:rsidRPr="007C4D65" w:rsidRDefault="00060EA4" w:rsidP="00060EA4">
            <w:pPr>
              <w:spacing w:before="40" w:after="40" w:line="276" w:lineRule="auto"/>
              <w:contextualSpacing/>
              <w:rPr>
                <w:rFonts w:asciiTheme="minorHAnsi" w:eastAsia="Calibri" w:hAnsiTheme="minorHAnsi" w:cstheme="minorHAnsi"/>
                <w:sz w:val="18"/>
                <w:szCs w:val="18"/>
                <w:lang w:eastAsia="en-US"/>
              </w:rPr>
            </w:pPr>
            <w:bookmarkStart w:id="357" w:name="_Hlk95007786"/>
            <w:r w:rsidRPr="007C4D65">
              <w:rPr>
                <w:rFonts w:asciiTheme="minorHAnsi" w:eastAsiaTheme="minorHAnsi" w:hAnsiTheme="minorHAnsi" w:cstheme="minorHAnsi"/>
                <w:sz w:val="18"/>
                <w:szCs w:val="18"/>
                <w:lang w:eastAsia="en-US"/>
              </w:rPr>
              <w:t xml:space="preserve">3) Public access to data from the PRTRs ensured through web </w:t>
            </w:r>
            <w:proofErr w:type="gramStart"/>
            <w:r w:rsidRPr="007C4D65">
              <w:rPr>
                <w:rFonts w:asciiTheme="minorHAnsi" w:eastAsiaTheme="minorHAnsi" w:hAnsiTheme="minorHAnsi" w:cstheme="minorHAnsi"/>
                <w:sz w:val="18"/>
                <w:szCs w:val="18"/>
                <w:lang w:eastAsia="en-US"/>
              </w:rPr>
              <w:t>portals</w:t>
            </w:r>
            <w:bookmarkEnd w:id="357"/>
            <w:r w:rsidR="00397061" w:rsidRPr="007C4D65">
              <w:rPr>
                <w:rFonts w:asciiTheme="minorHAnsi" w:eastAsia="Calibri" w:hAnsiTheme="minorHAnsi" w:cstheme="minorHAnsi"/>
                <w:sz w:val="18"/>
                <w:szCs w:val="18"/>
                <w:lang w:eastAsia="en-US"/>
              </w:rPr>
              <w:t>;</w:t>
            </w:r>
            <w:proofErr w:type="gramEnd"/>
          </w:p>
          <w:p w14:paraId="039B4E2D" w14:textId="7EC52E25" w:rsidR="00060EA4" w:rsidRPr="007C4D65" w:rsidRDefault="00060EA4" w:rsidP="00060EA4">
            <w:pPr>
              <w:spacing w:before="40" w:after="40" w:line="276" w:lineRule="auto"/>
              <w:contextualSpacing/>
              <w:rPr>
                <w:rFonts w:asciiTheme="minorHAnsi" w:eastAsia="Calibri" w:hAnsiTheme="minorHAnsi" w:cstheme="minorHAnsi"/>
                <w:sz w:val="18"/>
                <w:szCs w:val="18"/>
                <w:lang w:eastAsia="en-US"/>
              </w:rPr>
            </w:pPr>
            <w:bookmarkStart w:id="358" w:name="_Hlk95007805"/>
            <w:r w:rsidRPr="007C4D65">
              <w:rPr>
                <w:rFonts w:asciiTheme="minorHAnsi" w:eastAsiaTheme="minorHAnsi" w:hAnsiTheme="minorHAnsi" w:cstheme="minorHAnsi"/>
                <w:sz w:val="18"/>
                <w:szCs w:val="18"/>
                <w:lang w:eastAsia="en-US"/>
              </w:rPr>
              <w:lastRenderedPageBreak/>
              <w:t>4) Securing funds for a progressive upgrade of the application</w:t>
            </w:r>
            <w:bookmarkEnd w:id="358"/>
            <w:r w:rsidRPr="007C4D65">
              <w:rPr>
                <w:rFonts w:asciiTheme="minorHAnsi" w:eastAsiaTheme="minorHAnsi" w:hAnsiTheme="minorHAnsi" w:cstheme="minorHAnsi"/>
                <w:sz w:val="18"/>
                <w:szCs w:val="18"/>
                <w:lang w:eastAsia="en-US"/>
              </w:rPr>
              <w:t xml:space="preserve"> (as appropriate) through maintenance agreements with an IT company from the Federation of BiH, and </w:t>
            </w:r>
            <w:bookmarkStart w:id="359" w:name="_Hlk95007813"/>
            <w:r w:rsidRPr="007C4D65">
              <w:rPr>
                <w:rFonts w:asciiTheme="minorHAnsi" w:eastAsiaTheme="minorHAnsi" w:hAnsiTheme="minorHAnsi" w:cstheme="minorHAnsi"/>
                <w:sz w:val="18"/>
                <w:szCs w:val="18"/>
                <w:lang w:eastAsia="en-US"/>
              </w:rPr>
              <w:t>regular maintenance of the PRTR to ensure its smooth operation</w:t>
            </w:r>
            <w:bookmarkEnd w:id="359"/>
            <w:r w:rsidRPr="007C4D65">
              <w:rPr>
                <w:rFonts w:asciiTheme="minorHAnsi" w:eastAsiaTheme="minorHAnsi" w:hAnsiTheme="minorHAnsi" w:cstheme="minorHAnsi"/>
                <w:sz w:val="18"/>
                <w:szCs w:val="18"/>
                <w:lang w:eastAsia="en-US"/>
              </w:rPr>
              <w:t xml:space="preserve"> (through a direct link for a better data flow), and hardware equipment, provided it is owned by the </w:t>
            </w:r>
            <w:r w:rsidR="001E6E20" w:rsidRPr="007C4D65">
              <w:rPr>
                <w:rFonts w:asciiTheme="minorHAnsi" w:eastAsiaTheme="minorHAnsi" w:hAnsiTheme="minorHAnsi" w:cstheme="minorHAnsi"/>
                <w:sz w:val="18"/>
                <w:szCs w:val="18"/>
                <w:lang w:eastAsia="en-US"/>
              </w:rPr>
              <w:t>Federation Ministry</w:t>
            </w:r>
            <w:r w:rsidRPr="007C4D65">
              <w:rPr>
                <w:rFonts w:asciiTheme="minorHAnsi" w:eastAsiaTheme="minorHAnsi" w:hAnsiTheme="minorHAnsi" w:cstheme="minorHAnsi"/>
                <w:sz w:val="18"/>
                <w:szCs w:val="18"/>
                <w:lang w:eastAsia="en-US"/>
              </w:rPr>
              <w:t xml:space="preserve"> of Environment and Tourism.</w:t>
            </w:r>
          </w:p>
        </w:tc>
      </w:tr>
      <w:tr w:rsidR="00060EA4" w:rsidRPr="007C4D65" w14:paraId="0002AB5A"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47470B9" w14:textId="77777777" w:rsidR="00060EA4" w:rsidRPr="007C4D65" w:rsidRDefault="00060EA4" w:rsidP="00060EA4">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Strategic projects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02152395" w14:textId="77777777" w:rsidR="00060EA4" w:rsidRPr="007C4D65" w:rsidRDefault="00060EA4" w:rsidP="00060EA4">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060EA4" w:rsidRPr="007C4D65" w14:paraId="5B54AD01" w14:textId="77777777" w:rsidTr="00B6017F">
        <w:trPr>
          <w:trHeight w:val="567"/>
        </w:trPr>
        <w:tc>
          <w:tcPr>
            <w:tcW w:w="135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1745339" w14:textId="77777777" w:rsidR="00060EA4" w:rsidRPr="007C4D65" w:rsidRDefault="00060EA4" w:rsidP="00060EA4">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250"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6A96CAB" w14:textId="77777777" w:rsidR="00060EA4" w:rsidRPr="007C4D65" w:rsidRDefault="00060EA4" w:rsidP="00060EA4">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0CBAC9AA" w14:textId="77777777" w:rsidR="00060EA4" w:rsidRPr="007C4D65" w:rsidRDefault="00060EA4" w:rsidP="00060EA4">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33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4D7348E" w14:textId="77777777" w:rsidR="00060EA4" w:rsidRPr="007C4D65" w:rsidRDefault="00060EA4" w:rsidP="00060EA4">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7F081575" w14:textId="77777777" w:rsidR="00060EA4" w:rsidRPr="007C4D65" w:rsidRDefault="00060EA4" w:rsidP="00060EA4">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57"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42C1CAA" w14:textId="77777777" w:rsidR="00060EA4" w:rsidRPr="007C4D65" w:rsidRDefault="00060EA4" w:rsidP="00060EA4">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060EA4" w:rsidRPr="007C4D65" w14:paraId="73FBAA52"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5A7DD3F5" w14:textId="77777777" w:rsidR="00060EA4" w:rsidRPr="007C4D65" w:rsidRDefault="00060EA4" w:rsidP="00060EA4">
            <w:pPr>
              <w:spacing w:line="259" w:lineRule="auto"/>
              <w:rPr>
                <w:rFonts w:asciiTheme="minorHAnsi" w:eastAsiaTheme="minorHAnsi" w:hAnsiTheme="minorHAnsi" w:cstheme="minorHAnsi"/>
                <w:b/>
                <w:bCs/>
                <w:color w:val="FFFFFF" w:themeColor="background1"/>
                <w:sz w:val="18"/>
                <w:szCs w:val="18"/>
                <w:lang w:eastAsia="en-US" w:bidi="en-US"/>
              </w:rPr>
            </w:pPr>
          </w:p>
        </w:tc>
        <w:tc>
          <w:tcPr>
            <w:tcW w:w="1250"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8393A9E" w14:textId="6483C2B4" w:rsidR="00060EA4" w:rsidRPr="007C4D65" w:rsidRDefault="00060EA4">
            <w:pPr>
              <w:pStyle w:val="ListParagraph"/>
              <w:numPr>
                <w:ilvl w:val="0"/>
                <w:numId w:val="254"/>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Status of the legal framework and institutional arrangements for PRTR in Federation of BiH</w:t>
            </w:r>
          </w:p>
        </w:tc>
        <w:tc>
          <w:tcPr>
            <w:tcW w:w="133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68A865B" w14:textId="65861941" w:rsidR="00060EA4" w:rsidRPr="007C4D65" w:rsidRDefault="00060EA4" w:rsidP="00060EA4">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legal framework is not update and there are no effective institutional arrangements for PRTR in Federation of BiH</w:t>
            </w:r>
          </w:p>
        </w:tc>
        <w:tc>
          <w:tcPr>
            <w:tcW w:w="1057"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B512B6B" w14:textId="04D3ACB5" w:rsidR="00060EA4" w:rsidRPr="007C4D65" w:rsidRDefault="00060EA4" w:rsidP="00060EA4">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legal framework updated and effective institutional arrangements for PRTR in Federation of BiH secured (2025)</w:t>
            </w:r>
          </w:p>
        </w:tc>
      </w:tr>
      <w:tr w:rsidR="00060EA4" w:rsidRPr="007C4D65" w14:paraId="22978170"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18C1EEC6" w14:textId="77777777" w:rsidR="00060EA4" w:rsidRPr="007C4D65" w:rsidRDefault="00060EA4" w:rsidP="00060EA4">
            <w:pPr>
              <w:spacing w:line="259" w:lineRule="auto"/>
              <w:rPr>
                <w:rFonts w:asciiTheme="minorHAnsi" w:eastAsiaTheme="minorHAnsi" w:hAnsiTheme="minorHAnsi" w:cstheme="minorHAnsi"/>
                <w:b/>
                <w:bCs/>
                <w:color w:val="FFFFFF" w:themeColor="background1"/>
                <w:sz w:val="18"/>
                <w:szCs w:val="18"/>
                <w:lang w:eastAsia="en-US" w:bidi="en-US"/>
              </w:rPr>
            </w:pPr>
          </w:p>
        </w:tc>
        <w:tc>
          <w:tcPr>
            <w:tcW w:w="1250"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2F1D375" w14:textId="2DD16967" w:rsidR="00060EA4" w:rsidRPr="007C4D65" w:rsidRDefault="00060EA4">
            <w:pPr>
              <w:pStyle w:val="ListParagraph"/>
              <w:numPr>
                <w:ilvl w:val="0"/>
                <w:numId w:val="254"/>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Effectiveness of PRTR database ensured through the application of a methodology harmonised with the methodologies applied in </w:t>
            </w:r>
            <w:proofErr w:type="spellStart"/>
            <w:r w:rsidRPr="007C4D65">
              <w:rPr>
                <w:rFonts w:asciiTheme="minorHAnsi" w:eastAsiaTheme="minorHAnsi" w:hAnsiTheme="minorHAnsi" w:cstheme="minorHAnsi"/>
                <w:sz w:val="18"/>
                <w:szCs w:val="18"/>
                <w:lang w:eastAsia="en-US"/>
              </w:rPr>
              <w:t>Republika</w:t>
            </w:r>
            <w:proofErr w:type="spellEnd"/>
            <w:r w:rsidRPr="007C4D65">
              <w:rPr>
                <w:rFonts w:asciiTheme="minorHAnsi" w:eastAsiaTheme="minorHAnsi" w:hAnsiTheme="minorHAnsi" w:cstheme="minorHAnsi"/>
                <w:sz w:val="18"/>
                <w:szCs w:val="18"/>
                <w:lang w:eastAsia="en-US"/>
              </w:rPr>
              <w:t xml:space="preserve"> Srpska and the Brcko District</w:t>
            </w:r>
          </w:p>
        </w:tc>
        <w:tc>
          <w:tcPr>
            <w:tcW w:w="133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24A0BD0" w14:textId="55C5717A" w:rsidR="00060EA4" w:rsidRPr="007C4D65" w:rsidRDefault="00060EA4" w:rsidP="00060EA4">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PRTR not operational</w:t>
            </w:r>
          </w:p>
        </w:tc>
        <w:tc>
          <w:tcPr>
            <w:tcW w:w="1057"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DB42260" w14:textId="129F4617" w:rsidR="00060EA4" w:rsidRPr="007C4D65" w:rsidRDefault="00060EA4" w:rsidP="00060EA4">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An effective and viable PRTR database set up, and harmonised with the methodologies applied in </w:t>
            </w:r>
            <w:proofErr w:type="spellStart"/>
            <w:r w:rsidRPr="007C4D65">
              <w:rPr>
                <w:rFonts w:asciiTheme="minorHAnsi" w:eastAsiaTheme="minorHAnsi" w:hAnsiTheme="minorHAnsi" w:cstheme="minorHAnsi"/>
                <w:sz w:val="18"/>
                <w:szCs w:val="18"/>
                <w:lang w:eastAsia="en-US"/>
              </w:rPr>
              <w:t>Republika</w:t>
            </w:r>
            <w:proofErr w:type="spellEnd"/>
            <w:r w:rsidRPr="007C4D65">
              <w:rPr>
                <w:rFonts w:asciiTheme="minorHAnsi" w:eastAsiaTheme="minorHAnsi" w:hAnsiTheme="minorHAnsi" w:cstheme="minorHAnsi"/>
                <w:sz w:val="18"/>
                <w:szCs w:val="18"/>
                <w:lang w:eastAsia="en-US"/>
              </w:rPr>
              <w:t xml:space="preserve"> Srpska and the Brcko District</w:t>
            </w:r>
          </w:p>
        </w:tc>
      </w:tr>
      <w:tr w:rsidR="00060EA4" w:rsidRPr="007C4D65" w14:paraId="4C50A6FE"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294D60E2" w14:textId="77777777" w:rsidR="00060EA4" w:rsidRPr="007C4D65" w:rsidRDefault="00060EA4" w:rsidP="00060EA4">
            <w:pPr>
              <w:spacing w:line="259" w:lineRule="auto"/>
              <w:rPr>
                <w:rFonts w:asciiTheme="minorHAnsi" w:eastAsiaTheme="minorHAnsi" w:hAnsiTheme="minorHAnsi" w:cstheme="minorHAnsi"/>
                <w:b/>
                <w:bCs/>
                <w:color w:val="FFFFFF" w:themeColor="background1"/>
                <w:sz w:val="18"/>
                <w:szCs w:val="18"/>
                <w:lang w:eastAsia="en-US" w:bidi="en-US"/>
              </w:rPr>
            </w:pPr>
          </w:p>
        </w:tc>
        <w:tc>
          <w:tcPr>
            <w:tcW w:w="1250"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88A849D" w14:textId="77777777" w:rsidR="00060EA4" w:rsidRPr="007C4D65" w:rsidRDefault="00060EA4">
            <w:pPr>
              <w:pStyle w:val="ListParagraph"/>
              <w:numPr>
                <w:ilvl w:val="0"/>
                <w:numId w:val="254"/>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Public access to data in PRTR</w:t>
            </w:r>
          </w:p>
        </w:tc>
        <w:tc>
          <w:tcPr>
            <w:tcW w:w="133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50E2B97" w14:textId="0350A1FF" w:rsidR="00060EA4" w:rsidRPr="007C4D65" w:rsidRDefault="00060EA4" w:rsidP="00060EA4">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Partial access to data collected in the past</w:t>
            </w:r>
          </w:p>
        </w:tc>
        <w:tc>
          <w:tcPr>
            <w:tcW w:w="1057"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BAB0E4E" w14:textId="47636B9C" w:rsidR="00060EA4" w:rsidRPr="007C4D65" w:rsidRDefault="00060EA4" w:rsidP="00060EA4">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Public access to data from the PRTRs ensured through the web portal (2026)</w:t>
            </w:r>
          </w:p>
        </w:tc>
      </w:tr>
      <w:tr w:rsidR="00060EA4" w:rsidRPr="007C4D65" w14:paraId="41911327"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4D234440" w14:textId="77777777" w:rsidR="00060EA4" w:rsidRPr="007C4D65" w:rsidRDefault="00060EA4" w:rsidP="00060EA4">
            <w:pPr>
              <w:spacing w:line="259" w:lineRule="auto"/>
              <w:rPr>
                <w:rFonts w:asciiTheme="minorHAnsi" w:eastAsiaTheme="minorHAnsi" w:hAnsiTheme="minorHAnsi" w:cstheme="minorHAnsi"/>
                <w:b/>
                <w:bCs/>
                <w:color w:val="FFFFFF" w:themeColor="background1"/>
                <w:sz w:val="18"/>
                <w:szCs w:val="18"/>
                <w:lang w:eastAsia="en-US" w:bidi="en-US"/>
              </w:rPr>
            </w:pPr>
          </w:p>
        </w:tc>
        <w:tc>
          <w:tcPr>
            <w:tcW w:w="1250"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CFE2D41" w14:textId="77777777" w:rsidR="00060EA4" w:rsidRPr="007C4D65" w:rsidRDefault="00060EA4">
            <w:pPr>
              <w:pStyle w:val="ListParagraph"/>
              <w:numPr>
                <w:ilvl w:val="0"/>
                <w:numId w:val="254"/>
              </w:numPr>
              <w:spacing w:before="40" w:after="40" w:line="276" w:lineRule="auto"/>
              <w:rPr>
                <w:rFonts w:asciiTheme="minorHAnsi" w:eastAsiaTheme="minorHAnsi" w:hAnsiTheme="minorHAnsi" w:cstheme="minorHAnsi"/>
                <w:color w:val="000000"/>
                <w:sz w:val="18"/>
                <w:szCs w:val="18"/>
                <w:lang w:eastAsia="en-US"/>
              </w:rPr>
            </w:pPr>
            <w:r w:rsidRPr="007C4D65">
              <w:rPr>
                <w:rFonts w:asciiTheme="minorHAnsi" w:eastAsiaTheme="minorHAnsi" w:hAnsiTheme="minorHAnsi" w:cstheme="minorHAnsi"/>
                <w:color w:val="000000"/>
                <w:sz w:val="18"/>
                <w:szCs w:val="18"/>
                <w:lang w:eastAsia="en-US"/>
              </w:rPr>
              <w:t>A viable PRTR</w:t>
            </w:r>
          </w:p>
        </w:tc>
        <w:tc>
          <w:tcPr>
            <w:tcW w:w="133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E1B06EF" w14:textId="77777777" w:rsidR="00060EA4" w:rsidRPr="007C4D65" w:rsidRDefault="00060EA4" w:rsidP="00060EA4">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c>
          <w:tcPr>
            <w:tcW w:w="1057"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DE5BD05" w14:textId="77777777" w:rsidR="00060EA4" w:rsidRPr="007C4D65" w:rsidRDefault="00060EA4" w:rsidP="00060EA4">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Viability of PRTR ensured through provision of funds for its maintenance and upgrade (2030+)</w:t>
            </w:r>
          </w:p>
        </w:tc>
      </w:tr>
      <w:tr w:rsidR="00060EA4" w:rsidRPr="007C4D65" w14:paraId="3F90286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5988AB1" w14:textId="77777777" w:rsidR="00060EA4" w:rsidRPr="007C4D65" w:rsidRDefault="00060EA4" w:rsidP="00060EA4">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80DAC19" w14:textId="1E24D417" w:rsidR="00060EA4" w:rsidRPr="007C4D65" w:rsidRDefault="00060EA4" w:rsidP="00060EA4">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Improved </w:t>
            </w:r>
            <w:r w:rsidR="009F16BA" w:rsidRPr="007C4D65">
              <w:rPr>
                <w:rFonts w:asciiTheme="minorHAnsi" w:eastAsiaTheme="minorHAnsi" w:hAnsiTheme="minorHAnsi" w:cstheme="minorHAnsi"/>
                <w:sz w:val="18"/>
                <w:szCs w:val="18"/>
                <w:lang w:eastAsia="en-US" w:bidi="en-US"/>
              </w:rPr>
              <w:t>decision-making</w:t>
            </w:r>
            <w:r w:rsidRPr="007C4D65">
              <w:rPr>
                <w:rFonts w:asciiTheme="minorHAnsi" w:eastAsiaTheme="minorHAnsi" w:hAnsiTheme="minorHAnsi" w:cstheme="minorHAnsi"/>
                <w:sz w:val="18"/>
                <w:szCs w:val="18"/>
                <w:lang w:eastAsia="en-US" w:bidi="en-US"/>
              </w:rPr>
              <w:t xml:space="preserve"> across the levels of government and enhanced access to information </w:t>
            </w:r>
            <w:r w:rsidR="00FC5A95" w:rsidRPr="007C4D65">
              <w:rPr>
                <w:rFonts w:asciiTheme="minorHAnsi" w:eastAsiaTheme="minorHAnsi" w:hAnsiTheme="minorHAnsi" w:cstheme="minorHAnsi"/>
                <w:sz w:val="18"/>
                <w:szCs w:val="18"/>
                <w:lang w:eastAsia="en-US" w:bidi="en-US"/>
              </w:rPr>
              <w:t>which are essential in reducing of environmental pollution</w:t>
            </w:r>
          </w:p>
        </w:tc>
      </w:tr>
      <w:tr w:rsidR="00060EA4" w:rsidRPr="007C4D65" w14:paraId="3AA1E2D2"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86AD1DC" w14:textId="34B7BCFE" w:rsidR="00060EA4" w:rsidRPr="007C4D65" w:rsidRDefault="00963086" w:rsidP="00060EA4">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38ED0C5" w14:textId="05E92BA2" w:rsidR="00FC5A95" w:rsidRPr="007C4D65" w:rsidRDefault="00C224E3" w:rsidP="00FC5A95">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FC5A95" w:rsidRPr="007C4D65">
              <w:rPr>
                <w:rFonts w:asciiTheme="minorHAnsi" w:hAnsiTheme="minorHAnsi" w:cstheme="minorHAnsi"/>
                <w:sz w:val="18"/>
                <w:szCs w:val="18"/>
                <w:lang w:val="hr-HR" w:bidi="en-US"/>
              </w:rPr>
              <w:t>BAM 124,922</w:t>
            </w:r>
          </w:p>
          <w:p w14:paraId="5501A19D" w14:textId="5D3B9EF2" w:rsidR="00060EA4" w:rsidRPr="007C4D65" w:rsidRDefault="009E6B20" w:rsidP="00FC5A95">
            <w:pPr>
              <w:spacing w:before="40" w:after="40" w:line="276" w:lineRule="auto"/>
              <w:rPr>
                <w:rFonts w:asciiTheme="minorHAnsi" w:eastAsiaTheme="minorHAnsi" w:hAnsiTheme="minorHAnsi" w:cstheme="minorHAnsi"/>
                <w:bCs/>
                <w:sz w:val="18"/>
                <w:szCs w:val="18"/>
                <w:lang w:eastAsia="en-US" w:bidi="en-US"/>
              </w:rPr>
            </w:pPr>
            <w:r w:rsidRPr="007C4D65">
              <w:rPr>
                <w:rFonts w:asciiTheme="minorHAnsi" w:hAnsiTheme="minorHAnsi" w:cstheme="minorHAnsi"/>
                <w:sz w:val="18"/>
                <w:szCs w:val="18"/>
                <w:lang w:val="hr-HR" w:bidi="en-US"/>
              </w:rPr>
              <w:t xml:space="preserve">Source: </w:t>
            </w:r>
            <w:r w:rsidR="00FC5A95" w:rsidRPr="007C4D65">
              <w:rPr>
                <w:rFonts w:asciiTheme="minorHAnsi" w:hAnsiTheme="minorHAnsi" w:cstheme="minorHAnsi"/>
                <w:sz w:val="18"/>
                <w:szCs w:val="18"/>
                <w:lang w:val="hr-HR" w:bidi="en-US"/>
              </w:rPr>
              <w:t xml:space="preserve">100%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p>
        </w:tc>
      </w:tr>
      <w:tr w:rsidR="00060EA4" w:rsidRPr="007C4D65" w14:paraId="29FA3E6F"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F876382" w14:textId="77777777" w:rsidR="00060EA4" w:rsidRPr="007C4D65" w:rsidRDefault="00060EA4" w:rsidP="00060EA4">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8016E89" w14:textId="77777777" w:rsidR="00060EA4" w:rsidRPr="007C4D65" w:rsidRDefault="00060EA4" w:rsidP="00060EA4">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2030</w:t>
            </w:r>
          </w:p>
        </w:tc>
      </w:tr>
      <w:tr w:rsidR="00060EA4" w:rsidRPr="007C4D65" w14:paraId="6DED8D84"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039F8CD" w14:textId="77777777" w:rsidR="00060EA4" w:rsidRPr="007C4D65" w:rsidRDefault="00060EA4" w:rsidP="00060EA4">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Institution responsible for coordination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B0A8718" w14:textId="1E9330F8" w:rsidR="00060EA4" w:rsidRPr="007C4D65" w:rsidRDefault="001E6E20" w:rsidP="00060EA4">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060EA4" w:rsidRPr="007C4D65">
              <w:rPr>
                <w:rFonts w:asciiTheme="minorHAnsi" w:eastAsiaTheme="minorHAnsi" w:hAnsiTheme="minorHAnsi" w:cstheme="minorHAnsi"/>
                <w:sz w:val="18"/>
                <w:szCs w:val="18"/>
                <w:lang w:eastAsia="en-US"/>
              </w:rPr>
              <w:t xml:space="preserve"> of Environment and Tourism</w:t>
            </w:r>
          </w:p>
        </w:tc>
      </w:tr>
      <w:tr w:rsidR="00060EA4" w:rsidRPr="007C4D65" w14:paraId="2A166D76"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D5AFB76" w14:textId="77777777" w:rsidR="00060EA4" w:rsidRPr="007C4D65" w:rsidRDefault="00060EA4" w:rsidP="00060EA4">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66DB71C" w14:textId="5F53A89B" w:rsidR="00060EA4" w:rsidRPr="007C4D65" w:rsidRDefault="001E6E20" w:rsidP="00060EA4">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060EA4" w:rsidRPr="007C4D65">
              <w:rPr>
                <w:rFonts w:asciiTheme="minorHAnsi" w:eastAsiaTheme="minorHAnsi" w:hAnsiTheme="minorHAnsi" w:cstheme="minorHAnsi"/>
                <w:sz w:val="18"/>
                <w:szCs w:val="18"/>
                <w:lang w:eastAsia="en-US"/>
              </w:rPr>
              <w:t xml:space="preserve"> of Environment and Tourism with other environmental institutions</w:t>
            </w:r>
          </w:p>
        </w:tc>
      </w:tr>
      <w:tr w:rsidR="00060EA4" w:rsidRPr="007C4D65" w14:paraId="48EA6184"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9721BDD" w14:textId="2EE490FE" w:rsidR="00060EA4" w:rsidRPr="007C4D65" w:rsidRDefault="00963086" w:rsidP="00060EA4">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9A3B883" w14:textId="77777777" w:rsidR="00060EA4" w:rsidRPr="007C4D65" w:rsidRDefault="00060EA4" w:rsidP="00060EA4">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All the institutions, business entities, and organisations focusing on environmental issues, professional and </w:t>
            </w:r>
            <w:proofErr w:type="gramStart"/>
            <w:r w:rsidRPr="007C4D65">
              <w:rPr>
                <w:rFonts w:asciiTheme="minorHAnsi" w:eastAsiaTheme="minorHAnsi" w:hAnsiTheme="minorHAnsi" w:cstheme="minorHAnsi"/>
                <w:sz w:val="18"/>
                <w:szCs w:val="18"/>
                <w:lang w:eastAsia="en-US"/>
              </w:rPr>
              <w:t>general public</w:t>
            </w:r>
            <w:proofErr w:type="gramEnd"/>
            <w:r w:rsidRPr="007C4D65">
              <w:rPr>
                <w:rFonts w:asciiTheme="minorHAnsi" w:eastAsiaTheme="minorHAnsi" w:hAnsiTheme="minorHAnsi" w:cstheme="minorHAnsi"/>
                <w:sz w:val="18"/>
                <w:szCs w:val="18"/>
                <w:lang w:eastAsia="en-US"/>
              </w:rPr>
              <w:t>.</w:t>
            </w:r>
          </w:p>
        </w:tc>
      </w:tr>
    </w:tbl>
    <w:p w14:paraId="2C8CE8A7" w14:textId="77777777"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2"/>
        <w:gridCol w:w="3242"/>
        <w:gridCol w:w="2762"/>
      </w:tblGrid>
      <w:tr w:rsidR="00FC5A95" w:rsidRPr="007C4D65" w14:paraId="4566783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39C119F" w14:textId="77777777" w:rsidR="00FC5A95" w:rsidRPr="007C4D65" w:rsidRDefault="00FC5A95" w:rsidP="00FC5A95">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Link with the strategic goal</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55CD50F" w14:textId="77777777" w:rsidR="00FC5A95" w:rsidRPr="007C4D65" w:rsidRDefault="00FC5A95" w:rsidP="00FC5A95">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FC5A95" w:rsidRPr="007C4D65" w14:paraId="275CA95F"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71DBE2E" w14:textId="77777777" w:rsidR="00FC5A95" w:rsidRPr="007C4D65" w:rsidRDefault="00FC5A95" w:rsidP="00FC5A95">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B159E0A" w14:textId="7ABF9994" w:rsidR="00FC5A95" w:rsidRPr="007C4D65" w:rsidRDefault="00FC5A95" w:rsidP="00FC5A95">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 xml:space="preserve">7.5 </w:t>
            </w:r>
            <w:r w:rsidRPr="007C4D65">
              <w:rPr>
                <w:rFonts w:asciiTheme="minorHAnsi" w:eastAsia="Calibri" w:hAnsiTheme="minorHAnsi" w:cstheme="minorHAnsi"/>
                <w:b/>
                <w:bCs/>
                <w:sz w:val="18"/>
                <w:szCs w:val="18"/>
                <w:lang w:eastAsia="en-US"/>
              </w:rPr>
              <w:t>Set up an efficient system for record keeping and transparent reporting of environmental data in the Federation of BiH, in consultation with the Partnership 27</w:t>
            </w:r>
          </w:p>
        </w:tc>
      </w:tr>
      <w:tr w:rsidR="00FC5A95" w:rsidRPr="007C4D65" w14:paraId="405E1526"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8DA5CC8" w14:textId="77777777" w:rsidR="00FC5A95" w:rsidRPr="007C4D65" w:rsidRDefault="00FC5A95" w:rsidP="00FC5A95">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C263221" w14:textId="2EE846E1" w:rsidR="00FC5A95" w:rsidRPr="007C4D65" w:rsidRDefault="00FC5A95" w:rsidP="00FC5A95">
            <w:pPr>
              <w:spacing w:before="40" w:after="40" w:line="276" w:lineRule="auto"/>
              <w:rPr>
                <w:rFonts w:asciiTheme="minorHAnsi" w:eastAsia="Calibri" w:hAnsiTheme="minorHAnsi" w:cstheme="minorHAnsi"/>
                <w:b/>
                <w:sz w:val="18"/>
                <w:szCs w:val="18"/>
                <w:lang w:eastAsia="en-US"/>
              </w:rPr>
            </w:pPr>
            <w:bookmarkStart w:id="360" w:name="_Hlk95007888"/>
            <w:r w:rsidRPr="007C4D65">
              <w:rPr>
                <w:rFonts w:asciiTheme="minorHAnsi" w:eastAsiaTheme="minorHAnsi" w:hAnsiTheme="minorHAnsi" w:cstheme="minorHAnsi"/>
                <w:b/>
                <w:sz w:val="18"/>
                <w:szCs w:val="18"/>
                <w:lang w:eastAsia="en-US"/>
              </w:rPr>
              <w:t xml:space="preserve">7.5.6 Development of statistics for Sustainable Development Goals </w:t>
            </w:r>
            <w:r w:rsidR="007436F1" w:rsidRPr="007C4D65">
              <w:rPr>
                <w:rFonts w:asciiTheme="minorHAnsi" w:eastAsiaTheme="minorHAnsi" w:hAnsiTheme="minorHAnsi" w:cstheme="minorHAnsi"/>
                <w:b/>
                <w:sz w:val="18"/>
                <w:szCs w:val="18"/>
                <w:lang w:eastAsia="en-US"/>
              </w:rPr>
              <w:t>in the Federation of BiH</w:t>
            </w:r>
            <w:bookmarkEnd w:id="360"/>
          </w:p>
        </w:tc>
      </w:tr>
      <w:tr w:rsidR="00FC5A95" w:rsidRPr="007C4D65" w14:paraId="7147C8C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45E21A0" w14:textId="77777777" w:rsidR="00FC5A95" w:rsidRPr="007C4D65" w:rsidRDefault="00FC5A95" w:rsidP="00FC5A95">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A3CFA9F" w14:textId="4A654C4E" w:rsidR="00FC5A95" w:rsidRPr="007C4D65" w:rsidRDefault="00FC5A95" w:rsidP="00FC5A95">
            <w:pPr>
              <w:spacing w:before="40" w:after="40" w:line="276" w:lineRule="auto"/>
              <w:rPr>
                <w:rFonts w:asciiTheme="minorHAnsi" w:eastAsia="Calibri" w:hAnsiTheme="minorHAnsi" w:cstheme="minorHAnsi"/>
                <w:sz w:val="18"/>
                <w:szCs w:val="18"/>
                <w:lang w:eastAsia="en-US"/>
              </w:rPr>
            </w:pPr>
            <w:bookmarkStart w:id="361" w:name="_Hlk95007902"/>
            <w:r w:rsidRPr="007C4D65">
              <w:rPr>
                <w:rFonts w:asciiTheme="minorHAnsi" w:eastAsiaTheme="minorHAnsi" w:hAnsiTheme="minorHAnsi" w:cstheme="minorHAnsi"/>
                <w:sz w:val="18"/>
                <w:szCs w:val="18"/>
                <w:lang w:eastAsia="en-US"/>
              </w:rPr>
              <w:t xml:space="preserve">This measure aims at developing statistics for </w:t>
            </w:r>
            <w:proofErr w:type="gramStart"/>
            <w:r w:rsidRPr="007C4D65">
              <w:rPr>
                <w:rFonts w:asciiTheme="minorHAnsi" w:eastAsiaTheme="minorHAnsi" w:hAnsiTheme="minorHAnsi" w:cstheme="minorHAnsi"/>
                <w:sz w:val="18"/>
                <w:szCs w:val="18"/>
                <w:lang w:eastAsia="en-US"/>
              </w:rPr>
              <w:t>environmental</w:t>
            </w:r>
            <w:proofErr w:type="gramEnd"/>
            <w:r w:rsidRPr="007C4D65">
              <w:rPr>
                <w:rFonts w:asciiTheme="minorHAnsi" w:eastAsiaTheme="minorHAnsi" w:hAnsiTheme="minorHAnsi" w:cstheme="minorHAnsi"/>
                <w:sz w:val="18"/>
                <w:szCs w:val="18"/>
                <w:lang w:eastAsia="en-US"/>
              </w:rPr>
              <w:t xml:space="preserve"> Sustainable Development Goals in the Federation of BiH, including development of further indictors, and improvements of the reporting system.</w:t>
            </w:r>
            <w:bookmarkEnd w:id="361"/>
          </w:p>
          <w:p w14:paraId="70679D92" w14:textId="77777777" w:rsidR="00FC5A95" w:rsidRPr="007C4D65" w:rsidRDefault="00FC5A95" w:rsidP="00FC5A95">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General areas of intervention are:</w:t>
            </w:r>
          </w:p>
          <w:p w14:paraId="5214D4E3" w14:textId="534D937D" w:rsidR="00FC5A95" w:rsidRPr="007C4D65" w:rsidRDefault="00FC5A95">
            <w:pPr>
              <w:numPr>
                <w:ilvl w:val="0"/>
                <w:numId w:val="223"/>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improvement of the production of official statistics </w:t>
            </w:r>
            <w:bookmarkStart w:id="362" w:name="_Hlk95007956"/>
            <w:r w:rsidRPr="007C4D65">
              <w:rPr>
                <w:rFonts w:asciiTheme="minorHAnsi" w:eastAsiaTheme="minorHAnsi" w:hAnsiTheme="minorHAnsi" w:cstheme="minorHAnsi"/>
                <w:sz w:val="18"/>
                <w:szCs w:val="18"/>
                <w:lang w:eastAsia="en-US"/>
              </w:rPr>
              <w:t xml:space="preserve">in the Federation of BiH for the indicators of </w:t>
            </w:r>
            <w:bookmarkEnd w:id="362"/>
            <w:r w:rsidRPr="007C4D65">
              <w:rPr>
                <w:rFonts w:asciiTheme="minorHAnsi" w:eastAsiaTheme="minorHAnsi" w:hAnsiTheme="minorHAnsi" w:cstheme="minorHAnsi"/>
                <w:sz w:val="18"/>
                <w:szCs w:val="18"/>
                <w:lang w:eastAsia="en-US"/>
              </w:rPr>
              <w:t xml:space="preserve">the </w:t>
            </w:r>
            <w:proofErr w:type="gramStart"/>
            <w:r w:rsidRPr="007C4D65">
              <w:rPr>
                <w:rFonts w:asciiTheme="minorHAnsi" w:eastAsiaTheme="minorHAnsi" w:hAnsiTheme="minorHAnsi" w:cstheme="minorHAnsi"/>
                <w:sz w:val="18"/>
                <w:szCs w:val="18"/>
                <w:lang w:eastAsia="en-US"/>
              </w:rPr>
              <w:t>environmental</w:t>
            </w:r>
            <w:proofErr w:type="gramEnd"/>
            <w:r w:rsidRPr="007C4D65">
              <w:rPr>
                <w:rFonts w:asciiTheme="minorHAnsi" w:eastAsiaTheme="minorHAnsi" w:hAnsiTheme="minorHAnsi" w:cstheme="minorHAnsi"/>
                <w:sz w:val="18"/>
                <w:szCs w:val="18"/>
                <w:lang w:eastAsia="en-US"/>
              </w:rPr>
              <w:t xml:space="preserve"> Sustainable Development Goals based on needs and requests</w:t>
            </w:r>
            <w:r w:rsidR="00397061" w:rsidRPr="007C4D65">
              <w:rPr>
                <w:rFonts w:asciiTheme="minorHAnsi" w:eastAsiaTheme="minorHAnsi" w:hAnsiTheme="minorHAnsi" w:cstheme="minorHAnsi"/>
                <w:sz w:val="18"/>
                <w:szCs w:val="18"/>
                <w:lang w:eastAsia="en-US"/>
              </w:rPr>
              <w:t>;</w:t>
            </w:r>
          </w:p>
          <w:p w14:paraId="0437E335" w14:textId="621FF9A0" w:rsidR="00FC5A95" w:rsidRPr="007C4D65" w:rsidRDefault="00FC5A95">
            <w:pPr>
              <w:numPr>
                <w:ilvl w:val="0"/>
                <w:numId w:val="223"/>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Augmenting availability and quality of statistics in the Federation of BiH, disaggregated by sex (where appropriate) and enhancing the affirmation of official statistics as the main source of reliable </w:t>
            </w:r>
            <w:proofErr w:type="gramStart"/>
            <w:r w:rsidRPr="007C4D65">
              <w:rPr>
                <w:rFonts w:asciiTheme="minorHAnsi" w:eastAsiaTheme="minorHAnsi" w:hAnsiTheme="minorHAnsi" w:cstheme="minorHAnsi"/>
                <w:sz w:val="18"/>
                <w:szCs w:val="18"/>
                <w:lang w:eastAsia="en-US"/>
              </w:rPr>
              <w:t>data</w:t>
            </w:r>
            <w:r w:rsidR="00397061" w:rsidRPr="007C4D65">
              <w:rPr>
                <w:rFonts w:asciiTheme="minorHAnsi" w:eastAsia="Calibri" w:hAnsiTheme="minorHAnsi" w:cstheme="minorHAnsi"/>
                <w:sz w:val="18"/>
                <w:szCs w:val="18"/>
                <w:lang w:eastAsia="en-US"/>
              </w:rPr>
              <w:t>;</w:t>
            </w:r>
            <w:proofErr w:type="gramEnd"/>
          </w:p>
          <w:p w14:paraId="6F141A74" w14:textId="77777777" w:rsidR="00FC5A95" w:rsidRPr="007C4D65" w:rsidRDefault="00FC5A95">
            <w:pPr>
              <w:numPr>
                <w:ilvl w:val="0"/>
                <w:numId w:val="223"/>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Strengthening cooperation among the institutions in the Federation of Bosnia and Herzegovina in collecting indicators of the </w:t>
            </w:r>
            <w:proofErr w:type="gramStart"/>
            <w:r w:rsidRPr="007C4D65">
              <w:rPr>
                <w:rFonts w:asciiTheme="minorHAnsi" w:eastAsiaTheme="minorHAnsi" w:hAnsiTheme="minorHAnsi" w:cstheme="minorHAnsi"/>
                <w:sz w:val="18"/>
                <w:szCs w:val="18"/>
                <w:lang w:eastAsia="en-US"/>
              </w:rPr>
              <w:t>environmental</w:t>
            </w:r>
            <w:proofErr w:type="gramEnd"/>
            <w:r w:rsidRPr="007C4D65">
              <w:rPr>
                <w:rFonts w:asciiTheme="minorHAnsi" w:eastAsiaTheme="minorHAnsi" w:hAnsiTheme="minorHAnsi" w:cstheme="minorHAnsi"/>
                <w:sz w:val="18"/>
                <w:szCs w:val="18"/>
                <w:lang w:eastAsia="en-US"/>
              </w:rPr>
              <w:t xml:space="preserve"> Sustainable Development Goals.</w:t>
            </w:r>
          </w:p>
        </w:tc>
      </w:tr>
      <w:tr w:rsidR="00FC5A95" w:rsidRPr="007C4D65" w14:paraId="41622BD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9EF59A1" w14:textId="77777777" w:rsidR="00FC5A95" w:rsidRPr="007C4D65" w:rsidRDefault="00FC5A95" w:rsidP="00FC5A95">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Strategic projects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1E4E6AC1" w14:textId="77777777" w:rsidR="00FC5A95" w:rsidRPr="007C4D65" w:rsidRDefault="00FC5A95" w:rsidP="00FC5A95">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FC5A95" w:rsidRPr="007C4D65" w14:paraId="327FC0FF" w14:textId="77777777" w:rsidTr="00B6017F">
        <w:trPr>
          <w:trHeight w:val="567"/>
        </w:trPr>
        <w:tc>
          <w:tcPr>
            <w:tcW w:w="135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E393DCF" w14:textId="77777777" w:rsidR="00FC5A95" w:rsidRPr="007C4D65" w:rsidRDefault="00FC5A95" w:rsidP="00FC5A95">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5051275" w14:textId="77777777" w:rsidR="00FC5A95" w:rsidRPr="007C4D65" w:rsidRDefault="00FC5A95" w:rsidP="00FC5A95">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4EA1C77A" w14:textId="77777777" w:rsidR="00FC5A95" w:rsidRPr="007C4D65" w:rsidRDefault="00FC5A95" w:rsidP="00FC5A95">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F6E7D45" w14:textId="77777777" w:rsidR="00FC5A95" w:rsidRPr="007C4D65" w:rsidRDefault="00FC5A95" w:rsidP="00FC5A95">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3CC893C3" w14:textId="77777777" w:rsidR="00FC5A95" w:rsidRPr="007C4D65" w:rsidRDefault="00FC5A95" w:rsidP="00FC5A95">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5D9758E" w14:textId="77777777" w:rsidR="00FC5A95" w:rsidRPr="007C4D65" w:rsidRDefault="00FC5A95" w:rsidP="00FC5A95">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FC5A95" w:rsidRPr="007C4D65" w14:paraId="557ED91C"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6A1BCC94" w14:textId="77777777" w:rsidR="00FC5A95" w:rsidRPr="007C4D65" w:rsidRDefault="00FC5A95" w:rsidP="00FC5A95">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78430B8" w14:textId="5E4C60F3" w:rsidR="00FC5A95" w:rsidRPr="007C4D65" w:rsidRDefault="00FC5A95">
            <w:pPr>
              <w:numPr>
                <w:ilvl w:val="0"/>
                <w:numId w:val="224"/>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2) Effectiveness of the system of producing official statistics of the Federation of BiH for indicators of the Sustainable Development Goals for the environment</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54DCC59" w14:textId="7FB85972" w:rsidR="00FC5A95" w:rsidRPr="007C4D65" w:rsidRDefault="00FC5A95" w:rsidP="00FC5A95">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Partially effective system</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4A55371" w14:textId="7A9AEF78" w:rsidR="00FC5A95" w:rsidRPr="007C4D65" w:rsidRDefault="00FC5A95" w:rsidP="00FC5A95">
            <w:pPr>
              <w:spacing w:before="40" w:after="40" w:line="276" w:lineRule="auto"/>
              <w:rPr>
                <w:rFonts w:asciiTheme="minorHAnsi" w:eastAsiaTheme="minorHAnsi" w:hAnsiTheme="minorHAnsi" w:cstheme="minorHAnsi"/>
                <w:sz w:val="18"/>
                <w:szCs w:val="18"/>
                <w:lang w:eastAsia="en-US"/>
              </w:rPr>
            </w:pPr>
            <w:proofErr w:type="gramStart"/>
            <w:r w:rsidRPr="007C4D65">
              <w:rPr>
                <w:rFonts w:asciiTheme="minorHAnsi" w:eastAsiaTheme="minorHAnsi" w:hAnsiTheme="minorHAnsi" w:cstheme="minorHAnsi"/>
                <w:sz w:val="18"/>
                <w:szCs w:val="18"/>
                <w:lang w:eastAsia="en-US"/>
              </w:rPr>
              <w:t>The  system</w:t>
            </w:r>
            <w:proofErr w:type="gramEnd"/>
            <w:r w:rsidRPr="007C4D65">
              <w:rPr>
                <w:rFonts w:asciiTheme="minorHAnsi" w:eastAsiaTheme="minorHAnsi" w:hAnsiTheme="minorHAnsi" w:cstheme="minorHAnsi"/>
                <w:sz w:val="18"/>
                <w:szCs w:val="18"/>
                <w:lang w:eastAsia="en-US"/>
              </w:rPr>
              <w:t xml:space="preserve"> of production of official statistics of the Federation of BiH for indicators of the environmental Sustainable Development Goals effective (2026)</w:t>
            </w:r>
          </w:p>
        </w:tc>
      </w:tr>
      <w:tr w:rsidR="00FC5A95" w:rsidRPr="007C4D65" w14:paraId="21DA716B"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7E5BF6D0" w14:textId="77777777" w:rsidR="00FC5A95" w:rsidRPr="007C4D65" w:rsidRDefault="00FC5A95" w:rsidP="00FC5A95">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9187C21" w14:textId="5A4E023B" w:rsidR="00FC5A95" w:rsidRPr="007C4D65" w:rsidRDefault="00FC5A95" w:rsidP="00FC5A95">
            <w:pPr>
              <w:spacing w:before="40" w:after="40" w:line="276" w:lineRule="auto"/>
              <w:ind w:left="265" w:hanging="265"/>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3) The level of cooperation among all the institutions in the Federation of BiH </w:t>
            </w:r>
            <w:proofErr w:type="gramStart"/>
            <w:r w:rsidRPr="007C4D65">
              <w:rPr>
                <w:rFonts w:asciiTheme="minorHAnsi" w:eastAsiaTheme="minorHAnsi" w:hAnsiTheme="minorHAnsi" w:cstheme="minorHAnsi"/>
                <w:sz w:val="18"/>
                <w:szCs w:val="18"/>
                <w:lang w:eastAsia="en-US"/>
              </w:rPr>
              <w:t>engaged  in</w:t>
            </w:r>
            <w:proofErr w:type="gramEnd"/>
            <w:r w:rsidRPr="007C4D65">
              <w:rPr>
                <w:rFonts w:asciiTheme="minorHAnsi" w:eastAsiaTheme="minorHAnsi" w:hAnsiTheme="minorHAnsi" w:cstheme="minorHAnsi"/>
                <w:sz w:val="18"/>
                <w:szCs w:val="18"/>
                <w:lang w:eastAsia="en-US"/>
              </w:rPr>
              <w:t xml:space="preserve"> collecting indicators of the environmental Sustainable Development Goals.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B5ECD7D" w14:textId="333031E7" w:rsidR="00FC5A95" w:rsidRPr="007C4D65" w:rsidRDefault="00FC5A95" w:rsidP="00FC5A95">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Partially effective cooperation and coordination among the relevant institutions</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EFE0388" w14:textId="563E6254" w:rsidR="00FC5A95" w:rsidRPr="007C4D65" w:rsidRDefault="00FC5A95" w:rsidP="00FC5A95">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Effective cooperation among all the institutions in the Federation of BiH engaged in collecting indicators of the </w:t>
            </w:r>
            <w:proofErr w:type="gramStart"/>
            <w:r w:rsidRPr="007C4D65">
              <w:rPr>
                <w:rFonts w:asciiTheme="minorHAnsi" w:eastAsiaTheme="minorHAnsi" w:hAnsiTheme="minorHAnsi" w:cstheme="minorHAnsi"/>
                <w:sz w:val="18"/>
                <w:szCs w:val="18"/>
                <w:lang w:eastAsia="en-US"/>
              </w:rPr>
              <w:t>environmental</w:t>
            </w:r>
            <w:proofErr w:type="gramEnd"/>
            <w:r w:rsidRPr="007C4D65">
              <w:rPr>
                <w:rFonts w:asciiTheme="minorHAnsi" w:eastAsiaTheme="minorHAnsi" w:hAnsiTheme="minorHAnsi" w:cstheme="minorHAnsi"/>
                <w:sz w:val="18"/>
                <w:szCs w:val="18"/>
                <w:lang w:eastAsia="en-US"/>
              </w:rPr>
              <w:t xml:space="preserve"> Sustainable Development Goals (2030+)</w:t>
            </w:r>
          </w:p>
        </w:tc>
      </w:tr>
      <w:tr w:rsidR="00FC5A95" w:rsidRPr="007C4D65" w14:paraId="17E7CD13"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43DD6D5" w14:textId="77777777" w:rsidR="00FC5A95" w:rsidRPr="007C4D65" w:rsidRDefault="00FC5A95" w:rsidP="00FC5A95">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36795B9" w14:textId="44A730C9" w:rsidR="00FC5A95" w:rsidRPr="007C4D65" w:rsidRDefault="00FC5A95" w:rsidP="00FC5A95">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Development of the statistical system which facilitates evidence-based and </w:t>
            </w:r>
            <w:r w:rsidR="00357E7A" w:rsidRPr="007C4D65">
              <w:rPr>
                <w:rFonts w:asciiTheme="minorHAnsi" w:eastAsiaTheme="minorHAnsi" w:hAnsiTheme="minorHAnsi" w:cstheme="minorHAnsi"/>
                <w:sz w:val="18"/>
                <w:szCs w:val="18"/>
                <w:lang w:eastAsia="en-US" w:bidi="en-US"/>
              </w:rPr>
              <w:t>analysis</w:t>
            </w:r>
            <w:r w:rsidRPr="007C4D65">
              <w:rPr>
                <w:rFonts w:asciiTheme="minorHAnsi" w:eastAsiaTheme="minorHAnsi" w:hAnsiTheme="minorHAnsi" w:cstheme="minorHAnsi"/>
                <w:sz w:val="18"/>
                <w:szCs w:val="18"/>
                <w:lang w:eastAsia="en-US" w:bidi="en-US"/>
              </w:rPr>
              <w:t>-based policy making in the future</w:t>
            </w:r>
          </w:p>
        </w:tc>
      </w:tr>
      <w:tr w:rsidR="00FC5A95" w:rsidRPr="007C4D65" w14:paraId="15D1C390"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2B316D6" w14:textId="5943C93E" w:rsidR="00FC5A95" w:rsidRPr="007C4D65" w:rsidRDefault="00963086" w:rsidP="00FC5A95">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63AA0F3" w14:textId="5AF74CC6" w:rsidR="00FC5A95" w:rsidRPr="007C4D65" w:rsidRDefault="00C224E3" w:rsidP="00FC5A95">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FC5A95" w:rsidRPr="007C4D65">
              <w:rPr>
                <w:rFonts w:asciiTheme="minorHAnsi" w:hAnsiTheme="minorHAnsi" w:cstheme="minorHAnsi"/>
                <w:sz w:val="18"/>
                <w:szCs w:val="18"/>
                <w:lang w:val="hr-HR" w:bidi="en-US"/>
              </w:rPr>
              <w:t>BAM 404,902</w:t>
            </w:r>
          </w:p>
          <w:p w14:paraId="1B7FEDC8" w14:textId="5C492A4F" w:rsidR="00FC5A95" w:rsidRPr="007C4D65" w:rsidRDefault="009E6B20" w:rsidP="00FC5A95">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hAnsiTheme="minorHAnsi" w:cstheme="minorHAnsi"/>
                <w:sz w:val="18"/>
                <w:szCs w:val="18"/>
                <w:lang w:val="hr-HR" w:bidi="en-US"/>
              </w:rPr>
              <w:t xml:space="preserve">Source: </w:t>
            </w:r>
            <w:r w:rsidR="00FC5A95" w:rsidRPr="007C4D65">
              <w:rPr>
                <w:rFonts w:asciiTheme="minorHAnsi" w:hAnsiTheme="minorHAnsi" w:cstheme="minorHAnsi"/>
                <w:sz w:val="18"/>
                <w:szCs w:val="18"/>
                <w:lang w:val="hr-HR" w:bidi="en-US"/>
              </w:rPr>
              <w:t xml:space="preserve">30%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FC5A95" w:rsidRPr="007C4D65">
              <w:rPr>
                <w:rFonts w:asciiTheme="minorHAnsi" w:hAnsiTheme="minorHAnsi" w:cstheme="minorHAnsi"/>
                <w:sz w:val="18"/>
                <w:szCs w:val="18"/>
                <w:lang w:val="hr-HR" w:bidi="en-US"/>
              </w:rPr>
              <w:t xml:space="preserve">, 70% </w:t>
            </w:r>
            <w:r w:rsidR="00C224E3" w:rsidRPr="007C4D65">
              <w:rPr>
                <w:rFonts w:asciiTheme="minorHAnsi" w:hAnsiTheme="minorHAnsi" w:cstheme="minorHAnsi"/>
                <w:sz w:val="18"/>
                <w:szCs w:val="18"/>
                <w:lang w:val="hr-HR" w:bidi="en-US"/>
              </w:rPr>
              <w:t>funds from EU and other international donors</w:t>
            </w:r>
          </w:p>
        </w:tc>
      </w:tr>
      <w:tr w:rsidR="00FC5A95" w:rsidRPr="007C4D65" w14:paraId="730C110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B481DBE" w14:textId="77777777" w:rsidR="00FC5A95" w:rsidRPr="007C4D65" w:rsidRDefault="00FC5A95" w:rsidP="00FC5A95">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8A9BEDE" w14:textId="77777777" w:rsidR="00FC5A95" w:rsidRPr="007C4D65" w:rsidRDefault="00FC5A95" w:rsidP="00FC5A95">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2030</w:t>
            </w:r>
          </w:p>
        </w:tc>
      </w:tr>
      <w:tr w:rsidR="00FC5A95" w:rsidRPr="007C4D65" w14:paraId="2776E51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0F542B5" w14:textId="77777777" w:rsidR="00FC5A95" w:rsidRPr="007C4D65" w:rsidRDefault="00FC5A95" w:rsidP="00FC5A95">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C0CF098" w14:textId="111C7FBD" w:rsidR="00FC5A95" w:rsidRPr="007C4D65" w:rsidRDefault="00FC5A95" w:rsidP="00FC5A95">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Institute for Statistics of the Federation of BiH</w:t>
            </w:r>
          </w:p>
        </w:tc>
      </w:tr>
      <w:tr w:rsidR="00FC5A95" w:rsidRPr="007C4D65" w14:paraId="62C7AF08"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73E7B98" w14:textId="77777777" w:rsidR="00FC5A95" w:rsidRPr="007C4D65" w:rsidRDefault="00FC5A95" w:rsidP="00FC5A95">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3183575" w14:textId="0E5B4570" w:rsidR="00FC5A95" w:rsidRPr="007C4D65" w:rsidRDefault="00FC5A95" w:rsidP="00FC5A95">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Institute for Statistics of the Federation of BiH in cooperation with the Agency of Statistics of BiH and other competent institutions</w:t>
            </w:r>
          </w:p>
        </w:tc>
      </w:tr>
      <w:tr w:rsidR="00FC5A95" w:rsidRPr="007C4D65" w14:paraId="7FB90BF2"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192A478" w14:textId="070C2A82" w:rsidR="00FC5A95" w:rsidRPr="007C4D65" w:rsidRDefault="00963086" w:rsidP="00FC5A95">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1BC4BEA" w14:textId="7DE9057E" w:rsidR="00FC5A95" w:rsidRPr="007C4D65" w:rsidRDefault="00FC5A95" w:rsidP="00FC5A95">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All the environmental institutions, professional and </w:t>
            </w:r>
            <w:proofErr w:type="gramStart"/>
            <w:r w:rsidRPr="007C4D65">
              <w:rPr>
                <w:rFonts w:asciiTheme="minorHAnsi" w:eastAsiaTheme="minorHAnsi" w:hAnsiTheme="minorHAnsi" w:cstheme="minorHAnsi"/>
                <w:sz w:val="18"/>
                <w:szCs w:val="18"/>
                <w:lang w:eastAsia="en-US"/>
              </w:rPr>
              <w:t>general public</w:t>
            </w:r>
            <w:proofErr w:type="gramEnd"/>
          </w:p>
        </w:tc>
      </w:tr>
    </w:tbl>
    <w:p w14:paraId="2C0AE504" w14:textId="77777777"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2"/>
        <w:gridCol w:w="3242"/>
        <w:gridCol w:w="2762"/>
      </w:tblGrid>
      <w:tr w:rsidR="00DA5652" w:rsidRPr="007C4D65" w14:paraId="2469C73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F06C3CB" w14:textId="77777777" w:rsidR="00DA5652" w:rsidRPr="007C4D65" w:rsidRDefault="00DA5652" w:rsidP="00DA565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Link with the strategic goal</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1924B91" w14:textId="77777777" w:rsidR="00DA5652" w:rsidRPr="007C4D65" w:rsidRDefault="00DA5652" w:rsidP="00DA5652">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DA5652" w:rsidRPr="007C4D65" w14:paraId="22661BE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90CD5D7" w14:textId="77777777" w:rsidR="00DA5652" w:rsidRPr="007C4D65" w:rsidRDefault="00DA5652" w:rsidP="00DA565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C743D72" w14:textId="5FD995A7" w:rsidR="00DA5652" w:rsidRPr="007C4D65" w:rsidRDefault="00DA5652" w:rsidP="00DA5652">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 xml:space="preserve">7.5 </w:t>
            </w:r>
            <w:r w:rsidRPr="007C4D65">
              <w:rPr>
                <w:rFonts w:asciiTheme="minorHAnsi" w:eastAsia="Calibri" w:hAnsiTheme="minorHAnsi" w:cstheme="minorHAnsi"/>
                <w:b/>
                <w:bCs/>
                <w:sz w:val="18"/>
                <w:szCs w:val="18"/>
                <w:lang w:eastAsia="en-US"/>
              </w:rPr>
              <w:t>Set up an efficient system for record keeping and transparent reporting of environmental data in the Federation of BiH, in consultation with the Partnership 27</w:t>
            </w:r>
          </w:p>
        </w:tc>
      </w:tr>
      <w:tr w:rsidR="00DA5652" w:rsidRPr="007C4D65" w14:paraId="704CD6C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24A20F3" w14:textId="77777777" w:rsidR="00DA5652" w:rsidRPr="007C4D65" w:rsidRDefault="00DA5652" w:rsidP="00DA565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0DED98D" w14:textId="6F84A915" w:rsidR="00DA5652" w:rsidRPr="007C4D65" w:rsidRDefault="00DA5652" w:rsidP="00DA5652">
            <w:pPr>
              <w:spacing w:before="40" w:after="40" w:line="276" w:lineRule="auto"/>
              <w:rPr>
                <w:rFonts w:asciiTheme="minorHAnsi" w:eastAsia="Calibri" w:hAnsiTheme="minorHAnsi" w:cstheme="minorHAnsi"/>
                <w:b/>
                <w:sz w:val="18"/>
                <w:szCs w:val="18"/>
                <w:lang w:eastAsia="en-US"/>
              </w:rPr>
            </w:pPr>
            <w:bookmarkStart w:id="363" w:name="_Hlk95008004"/>
            <w:r w:rsidRPr="007C4D65">
              <w:rPr>
                <w:rFonts w:asciiTheme="minorHAnsi" w:eastAsiaTheme="minorHAnsi" w:hAnsiTheme="minorHAnsi" w:cstheme="minorHAnsi"/>
                <w:b/>
                <w:sz w:val="18"/>
                <w:szCs w:val="18"/>
                <w:lang w:eastAsia="en-US"/>
              </w:rPr>
              <w:t xml:space="preserve">7.5.7 Enhancing the efficiency of collecting, processing and </w:t>
            </w:r>
            <w:r w:rsidR="00674E70" w:rsidRPr="007C4D65">
              <w:rPr>
                <w:rFonts w:asciiTheme="minorHAnsi" w:eastAsiaTheme="minorHAnsi" w:hAnsiTheme="minorHAnsi" w:cstheme="minorHAnsi"/>
                <w:b/>
                <w:sz w:val="18"/>
                <w:szCs w:val="18"/>
                <w:lang w:eastAsia="en-US"/>
              </w:rPr>
              <w:t>publication</w:t>
            </w:r>
            <w:r w:rsidRPr="007C4D65">
              <w:rPr>
                <w:rFonts w:asciiTheme="minorHAnsi" w:eastAsiaTheme="minorHAnsi" w:hAnsiTheme="minorHAnsi" w:cstheme="minorHAnsi"/>
                <w:b/>
                <w:sz w:val="18"/>
                <w:szCs w:val="18"/>
                <w:lang w:eastAsia="en-US"/>
              </w:rPr>
              <w:t xml:space="preserve"> of environmental statistics</w:t>
            </w:r>
            <w:bookmarkEnd w:id="363"/>
          </w:p>
        </w:tc>
      </w:tr>
      <w:tr w:rsidR="00DA5652" w:rsidRPr="007C4D65" w14:paraId="4DC026A5"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ED97BD8" w14:textId="77777777" w:rsidR="00DA5652" w:rsidRPr="007C4D65" w:rsidRDefault="00DA5652" w:rsidP="00DA565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870F39A" w14:textId="30653183" w:rsidR="00DA5652" w:rsidRPr="007C4D65" w:rsidRDefault="00DA5652" w:rsidP="00DA5652">
            <w:pPr>
              <w:spacing w:before="40" w:after="40" w:line="276" w:lineRule="auto"/>
              <w:rPr>
                <w:rFonts w:asciiTheme="minorHAnsi" w:eastAsia="Calibri" w:hAnsiTheme="minorHAnsi" w:cstheme="minorHAnsi"/>
                <w:sz w:val="18"/>
                <w:szCs w:val="18"/>
                <w:lang w:eastAsia="en-US"/>
              </w:rPr>
            </w:pPr>
            <w:bookmarkStart w:id="364" w:name="_Hlk95008046"/>
            <w:r w:rsidRPr="007C4D65">
              <w:rPr>
                <w:rFonts w:asciiTheme="minorHAnsi" w:eastAsiaTheme="minorHAnsi" w:hAnsiTheme="minorHAnsi" w:cstheme="minorHAnsi"/>
                <w:sz w:val="18"/>
                <w:szCs w:val="18"/>
                <w:lang w:eastAsia="en-US"/>
              </w:rPr>
              <w:t>This measure aims at increasing the efficiency of statistical data collection, processing and publication in the Federation of BiH through a standardised and routine information sharing among the institutions across the levels of government.</w:t>
            </w:r>
            <w:bookmarkEnd w:id="364"/>
          </w:p>
          <w:p w14:paraId="703DFE29" w14:textId="4F5783A3" w:rsidR="00DA5652" w:rsidRPr="007C4D65" w:rsidRDefault="00DA5652" w:rsidP="00DA5652">
            <w:pPr>
              <w:spacing w:before="40" w:after="40" w:line="276" w:lineRule="auto"/>
              <w:rPr>
                <w:rFonts w:asciiTheme="minorHAnsi" w:eastAsia="Calibri" w:hAnsiTheme="minorHAnsi" w:cstheme="minorHAnsi"/>
                <w:sz w:val="18"/>
                <w:szCs w:val="18"/>
                <w:lang w:eastAsia="en-US"/>
              </w:rPr>
            </w:pPr>
            <w:bookmarkStart w:id="365" w:name="_Hlk95008059"/>
            <w:r w:rsidRPr="007C4D65">
              <w:rPr>
                <w:rFonts w:asciiTheme="minorHAnsi" w:eastAsiaTheme="minorHAnsi" w:hAnsiTheme="minorHAnsi" w:cstheme="minorHAnsi"/>
                <w:sz w:val="18"/>
                <w:szCs w:val="18"/>
                <w:lang w:eastAsia="en-US"/>
              </w:rPr>
              <w:t>General areas of intervention are:</w:t>
            </w:r>
            <w:bookmarkEnd w:id="365"/>
          </w:p>
          <w:p w14:paraId="154C52F9" w14:textId="6B61EB8A" w:rsidR="00DA5652" w:rsidRPr="007C4D65" w:rsidRDefault="00DA5652" w:rsidP="00DA5652">
            <w:pPr>
              <w:spacing w:before="40" w:after="40" w:line="276" w:lineRule="auto"/>
              <w:contextualSpacing/>
              <w:rPr>
                <w:rFonts w:asciiTheme="minorHAnsi" w:eastAsia="Calibri" w:hAnsiTheme="minorHAnsi" w:cstheme="minorHAnsi"/>
                <w:sz w:val="18"/>
                <w:szCs w:val="18"/>
                <w:lang w:eastAsia="en-US"/>
              </w:rPr>
            </w:pPr>
            <w:bookmarkStart w:id="366" w:name="_Hlk95008071"/>
            <w:r w:rsidRPr="007C4D65">
              <w:rPr>
                <w:rFonts w:asciiTheme="minorHAnsi" w:eastAsiaTheme="minorHAnsi" w:hAnsiTheme="minorHAnsi" w:cstheme="minorHAnsi"/>
                <w:sz w:val="18"/>
                <w:szCs w:val="18"/>
                <w:lang w:eastAsia="en-US"/>
              </w:rPr>
              <w:t xml:space="preserve">1) Strengthening the national statistics system through improved cooperation of all the institutions involved in data collection, processing and dissemination </w:t>
            </w:r>
            <w:bookmarkEnd w:id="366"/>
            <w:r w:rsidRPr="007C4D65">
              <w:rPr>
                <w:rFonts w:asciiTheme="minorHAnsi" w:eastAsiaTheme="minorHAnsi" w:hAnsiTheme="minorHAnsi" w:cstheme="minorHAnsi"/>
                <w:sz w:val="18"/>
                <w:szCs w:val="18"/>
                <w:lang w:eastAsia="en-US"/>
              </w:rPr>
              <w:t xml:space="preserve">in the Federation of </w:t>
            </w:r>
            <w:proofErr w:type="gramStart"/>
            <w:r w:rsidRPr="007C4D65">
              <w:rPr>
                <w:rFonts w:asciiTheme="minorHAnsi" w:eastAsiaTheme="minorHAnsi" w:hAnsiTheme="minorHAnsi" w:cstheme="minorHAnsi"/>
                <w:sz w:val="18"/>
                <w:szCs w:val="18"/>
                <w:lang w:eastAsia="en-US"/>
              </w:rPr>
              <w:t>BiH</w:t>
            </w:r>
            <w:r w:rsidR="00397061" w:rsidRPr="007C4D65">
              <w:rPr>
                <w:rFonts w:asciiTheme="minorHAnsi" w:eastAsiaTheme="minorHAnsi" w:hAnsiTheme="minorHAnsi" w:cstheme="minorHAnsi"/>
                <w:sz w:val="18"/>
                <w:szCs w:val="18"/>
                <w:lang w:eastAsia="en-US"/>
              </w:rPr>
              <w:t>;</w:t>
            </w:r>
            <w:proofErr w:type="gramEnd"/>
          </w:p>
          <w:p w14:paraId="2C17D979" w14:textId="2695F97B" w:rsidR="00DA5652" w:rsidRPr="007C4D65" w:rsidRDefault="00DA5652" w:rsidP="00DA5652">
            <w:pPr>
              <w:spacing w:before="40" w:after="40" w:line="276" w:lineRule="auto"/>
              <w:contextualSpacing/>
              <w:rPr>
                <w:rFonts w:asciiTheme="minorHAnsi" w:eastAsia="Calibri" w:hAnsiTheme="minorHAnsi" w:cstheme="minorHAnsi"/>
                <w:sz w:val="18"/>
                <w:szCs w:val="18"/>
                <w:lang w:eastAsia="en-US"/>
              </w:rPr>
            </w:pPr>
            <w:bookmarkStart w:id="367" w:name="_Hlk95008082"/>
            <w:r w:rsidRPr="007C4D65">
              <w:rPr>
                <w:rFonts w:asciiTheme="minorHAnsi" w:eastAsiaTheme="minorHAnsi" w:hAnsiTheme="minorHAnsi" w:cstheme="minorHAnsi"/>
                <w:sz w:val="18"/>
                <w:szCs w:val="18"/>
                <w:lang w:eastAsia="en-US"/>
              </w:rPr>
              <w:lastRenderedPageBreak/>
              <w:t xml:space="preserve">2) Improving compliance with the requirements of the EU statistics system in terms of the number of statistical indicators, deadlines for their release and methodologies </w:t>
            </w:r>
            <w:proofErr w:type="gramStart"/>
            <w:r w:rsidRPr="007C4D65">
              <w:rPr>
                <w:rFonts w:asciiTheme="minorHAnsi" w:eastAsiaTheme="minorHAnsi" w:hAnsiTheme="minorHAnsi" w:cstheme="minorHAnsi"/>
                <w:sz w:val="18"/>
                <w:szCs w:val="18"/>
                <w:lang w:eastAsia="en-US"/>
              </w:rPr>
              <w:t>applied</w:t>
            </w:r>
            <w:bookmarkEnd w:id="367"/>
            <w:r w:rsidR="00397061" w:rsidRPr="007C4D65">
              <w:rPr>
                <w:rFonts w:asciiTheme="minorHAnsi" w:eastAsia="Calibri" w:hAnsiTheme="minorHAnsi" w:cstheme="minorHAnsi"/>
                <w:sz w:val="18"/>
                <w:szCs w:val="18"/>
                <w:lang w:eastAsia="en-US"/>
              </w:rPr>
              <w:t>;</w:t>
            </w:r>
            <w:proofErr w:type="gramEnd"/>
          </w:p>
          <w:p w14:paraId="29FEC795" w14:textId="340E7471" w:rsidR="00DA5652" w:rsidRPr="007C4D65" w:rsidRDefault="00DA5652" w:rsidP="00DA5652">
            <w:pPr>
              <w:spacing w:before="40" w:after="40" w:line="276" w:lineRule="auto"/>
              <w:contextualSpacing/>
              <w:rPr>
                <w:rFonts w:asciiTheme="minorHAnsi" w:eastAsia="Calibri" w:hAnsiTheme="minorHAnsi" w:cstheme="minorHAnsi"/>
                <w:sz w:val="18"/>
                <w:szCs w:val="18"/>
                <w:lang w:eastAsia="en-US"/>
              </w:rPr>
            </w:pPr>
            <w:bookmarkStart w:id="368" w:name="_Hlk95008094"/>
            <w:r w:rsidRPr="007C4D65">
              <w:rPr>
                <w:rFonts w:asciiTheme="minorHAnsi" w:eastAsiaTheme="minorHAnsi" w:hAnsiTheme="minorHAnsi" w:cstheme="minorHAnsi"/>
                <w:sz w:val="18"/>
                <w:szCs w:val="18"/>
                <w:lang w:eastAsia="en-US"/>
              </w:rPr>
              <w:t xml:space="preserve">3) Improving the reporting system pursuant to the provision of the Statistical Requirements Compendium, published by </w:t>
            </w:r>
            <w:proofErr w:type="gramStart"/>
            <w:r w:rsidRPr="007C4D65">
              <w:rPr>
                <w:rFonts w:asciiTheme="minorHAnsi" w:eastAsiaTheme="minorHAnsi" w:hAnsiTheme="minorHAnsi" w:cstheme="minorHAnsi"/>
                <w:sz w:val="18"/>
                <w:szCs w:val="18"/>
                <w:lang w:eastAsia="en-US"/>
              </w:rPr>
              <w:t xml:space="preserve">Eurostat  </w:t>
            </w:r>
            <w:bookmarkEnd w:id="368"/>
            <w:r w:rsidRPr="007C4D65">
              <w:rPr>
                <w:rFonts w:asciiTheme="minorHAnsi" w:eastAsiaTheme="minorHAnsi" w:hAnsiTheme="minorHAnsi" w:cstheme="minorHAnsi"/>
                <w:sz w:val="18"/>
                <w:szCs w:val="18"/>
                <w:lang w:eastAsia="en-US"/>
              </w:rPr>
              <w:t>through</w:t>
            </w:r>
            <w:proofErr w:type="gramEnd"/>
            <w:r w:rsidRPr="007C4D65">
              <w:rPr>
                <w:rFonts w:asciiTheme="minorHAnsi" w:eastAsiaTheme="minorHAnsi" w:hAnsiTheme="minorHAnsi" w:cstheme="minorHAnsi"/>
                <w:sz w:val="18"/>
                <w:szCs w:val="18"/>
                <w:lang w:eastAsia="en-US"/>
              </w:rPr>
              <w:t>:</w:t>
            </w:r>
          </w:p>
          <w:p w14:paraId="2E3B63B1" w14:textId="6290B055" w:rsidR="00DA5652" w:rsidRPr="007C4D65" w:rsidRDefault="00DA5652">
            <w:pPr>
              <w:numPr>
                <w:ilvl w:val="0"/>
                <w:numId w:val="225"/>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Harmonisation of the Environmental Statistic and Environmental Accounts (both physical and monetary) with the methodology and standards of EUROSTAT, with the view of enhancing the data quality at the national level and enhancing the compatibility of data at the international </w:t>
            </w:r>
            <w:proofErr w:type="gramStart"/>
            <w:r w:rsidRPr="007C4D65">
              <w:rPr>
                <w:rFonts w:asciiTheme="minorHAnsi" w:eastAsiaTheme="minorHAnsi" w:hAnsiTheme="minorHAnsi" w:cstheme="minorHAnsi"/>
                <w:sz w:val="18"/>
                <w:szCs w:val="18"/>
                <w:lang w:eastAsia="en-US"/>
              </w:rPr>
              <w:t>level</w:t>
            </w:r>
            <w:r w:rsidR="00397061" w:rsidRPr="007C4D65">
              <w:rPr>
                <w:rFonts w:asciiTheme="minorHAnsi" w:eastAsia="Calibri" w:hAnsiTheme="minorHAnsi" w:cstheme="minorHAnsi"/>
                <w:sz w:val="18"/>
                <w:szCs w:val="18"/>
                <w:lang w:eastAsia="en-US"/>
              </w:rPr>
              <w:t>;</w:t>
            </w:r>
            <w:proofErr w:type="gramEnd"/>
          </w:p>
          <w:p w14:paraId="376C387F" w14:textId="100C7B89" w:rsidR="00DA5652" w:rsidRPr="007C4D65" w:rsidRDefault="00DA5652">
            <w:pPr>
              <w:numPr>
                <w:ilvl w:val="0"/>
                <w:numId w:val="225"/>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Active use of GIS (Geographic Information System) </w:t>
            </w:r>
            <w:proofErr w:type="gramStart"/>
            <w:r w:rsidRPr="007C4D65">
              <w:rPr>
                <w:rFonts w:asciiTheme="minorHAnsi" w:eastAsiaTheme="minorHAnsi" w:hAnsiTheme="minorHAnsi" w:cstheme="minorHAnsi"/>
                <w:sz w:val="18"/>
                <w:szCs w:val="18"/>
                <w:lang w:eastAsia="en-US"/>
              </w:rPr>
              <w:t>in order to</w:t>
            </w:r>
            <w:proofErr w:type="gramEnd"/>
            <w:r w:rsidRPr="007C4D65">
              <w:rPr>
                <w:rFonts w:asciiTheme="minorHAnsi" w:eastAsiaTheme="minorHAnsi" w:hAnsiTheme="minorHAnsi" w:cstheme="minorHAnsi"/>
                <w:sz w:val="18"/>
                <w:szCs w:val="18"/>
                <w:lang w:eastAsia="en-US"/>
              </w:rPr>
              <w:t xml:space="preserve"> develop maps, charts and time series, and for forecasting purposes, where appropriate</w:t>
            </w:r>
            <w:r w:rsidR="00397061" w:rsidRPr="007C4D65">
              <w:rPr>
                <w:rFonts w:asciiTheme="minorHAnsi" w:eastAsiaTheme="minorHAnsi" w:hAnsiTheme="minorHAnsi" w:cstheme="minorHAnsi"/>
                <w:sz w:val="18"/>
                <w:szCs w:val="18"/>
                <w:lang w:eastAsia="en-US"/>
              </w:rPr>
              <w:t>.</w:t>
            </w:r>
          </w:p>
        </w:tc>
      </w:tr>
      <w:tr w:rsidR="00DA5652" w:rsidRPr="007C4D65" w14:paraId="365ED92C"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F975EDB" w14:textId="77777777" w:rsidR="00DA5652" w:rsidRPr="007C4D65" w:rsidRDefault="00DA5652" w:rsidP="00DA565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Strategic projects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4D1EEC5F" w14:textId="77777777" w:rsidR="00DA5652" w:rsidRPr="007C4D65" w:rsidRDefault="00DA5652" w:rsidP="00DA565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DA5652" w:rsidRPr="007C4D65" w14:paraId="5B85BCBC" w14:textId="77777777" w:rsidTr="00B6017F">
        <w:trPr>
          <w:trHeight w:val="567"/>
        </w:trPr>
        <w:tc>
          <w:tcPr>
            <w:tcW w:w="135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FBE2C99" w14:textId="77777777" w:rsidR="00DA5652" w:rsidRPr="007C4D65" w:rsidRDefault="00DA5652" w:rsidP="00DA565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DC1CB96" w14:textId="77777777" w:rsidR="00DA5652" w:rsidRPr="007C4D65" w:rsidRDefault="00DA5652" w:rsidP="00DA565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3EAC29CF" w14:textId="77777777" w:rsidR="00DA5652" w:rsidRPr="007C4D65" w:rsidRDefault="00DA5652" w:rsidP="00DA565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DCCCED3" w14:textId="77777777" w:rsidR="00DA5652" w:rsidRPr="007C4D65" w:rsidRDefault="00DA5652" w:rsidP="00DA565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652772AE" w14:textId="77777777" w:rsidR="00DA5652" w:rsidRPr="007C4D65" w:rsidRDefault="00DA5652" w:rsidP="00DA565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5676B22" w14:textId="77777777" w:rsidR="00DA5652" w:rsidRPr="007C4D65" w:rsidRDefault="00DA5652" w:rsidP="00DA5652">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DA5652" w:rsidRPr="007C4D65" w14:paraId="492221C8"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34A659C8" w14:textId="77777777" w:rsidR="00DA5652" w:rsidRPr="007C4D65" w:rsidRDefault="00DA5652" w:rsidP="00DA5652">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CCF0D31" w14:textId="77777777" w:rsidR="00DA5652" w:rsidRPr="007C4D65" w:rsidRDefault="00DA5652">
            <w:pPr>
              <w:pStyle w:val="ListParagraph"/>
              <w:numPr>
                <w:ilvl w:val="0"/>
                <w:numId w:val="255"/>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Quality of cooperation of all the institutions involved in data collection, processing and dissemination</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E3A1233" w14:textId="77777777" w:rsidR="00DA5652" w:rsidRPr="007C4D65" w:rsidRDefault="00DA5652" w:rsidP="00DA565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Partially effective cooperation</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4D9230A" w14:textId="14B6E9EC" w:rsidR="00DA5652" w:rsidRPr="007C4D65" w:rsidRDefault="00DA5652" w:rsidP="00DA565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Effective cooperation of all the institutions involved in </w:t>
            </w:r>
            <w:proofErr w:type="gramStart"/>
            <w:r w:rsidRPr="007C4D65">
              <w:rPr>
                <w:rFonts w:asciiTheme="minorHAnsi" w:eastAsiaTheme="minorHAnsi" w:hAnsiTheme="minorHAnsi" w:cstheme="minorHAnsi"/>
                <w:sz w:val="18"/>
                <w:szCs w:val="18"/>
                <w:lang w:eastAsia="en-US"/>
              </w:rPr>
              <w:t>environmental  data</w:t>
            </w:r>
            <w:proofErr w:type="gramEnd"/>
            <w:r w:rsidRPr="007C4D65">
              <w:rPr>
                <w:rFonts w:asciiTheme="minorHAnsi" w:eastAsiaTheme="minorHAnsi" w:hAnsiTheme="minorHAnsi" w:cstheme="minorHAnsi"/>
                <w:sz w:val="18"/>
                <w:szCs w:val="18"/>
                <w:lang w:eastAsia="en-US"/>
              </w:rPr>
              <w:t xml:space="preserve"> collection, processing and dissemination</w:t>
            </w:r>
            <w:r w:rsidR="00357E7A" w:rsidRPr="007C4D65">
              <w:rPr>
                <w:rFonts w:asciiTheme="minorHAnsi" w:eastAsiaTheme="minorHAnsi" w:hAnsiTheme="minorHAnsi" w:cstheme="minorHAnsi"/>
                <w:sz w:val="18"/>
                <w:szCs w:val="18"/>
                <w:lang w:eastAsia="en-US"/>
              </w:rPr>
              <w:t xml:space="preserve"> ensured</w:t>
            </w:r>
            <w:r w:rsidRPr="007C4D65">
              <w:rPr>
                <w:rFonts w:asciiTheme="minorHAnsi" w:eastAsiaTheme="minorHAnsi" w:hAnsiTheme="minorHAnsi" w:cstheme="minorHAnsi"/>
                <w:sz w:val="18"/>
                <w:szCs w:val="18"/>
                <w:lang w:eastAsia="en-US"/>
              </w:rPr>
              <w:t xml:space="preserve"> (2026)</w:t>
            </w:r>
          </w:p>
        </w:tc>
      </w:tr>
      <w:tr w:rsidR="00DA5652" w:rsidRPr="007C4D65" w14:paraId="62C41F26"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3D76C5E8" w14:textId="77777777" w:rsidR="00DA5652" w:rsidRPr="007C4D65" w:rsidRDefault="00DA5652" w:rsidP="00DA5652">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0931D5E" w14:textId="77777777" w:rsidR="00DA5652" w:rsidRPr="007C4D65" w:rsidRDefault="00DA5652">
            <w:pPr>
              <w:pStyle w:val="ListParagraph"/>
              <w:numPr>
                <w:ilvl w:val="0"/>
                <w:numId w:val="255"/>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Compliance with the requirements of the EU statistic system</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6DA4895" w14:textId="77777777" w:rsidR="00DA5652" w:rsidRPr="007C4D65" w:rsidRDefault="00DA5652" w:rsidP="00DA565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Partial compliance</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F1F6721" w14:textId="77777777" w:rsidR="00DA5652" w:rsidRPr="007C4D65" w:rsidRDefault="00DA5652" w:rsidP="00DA565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Compliance with the requirements of the EU statistic system achieved (2026)</w:t>
            </w:r>
          </w:p>
        </w:tc>
      </w:tr>
      <w:tr w:rsidR="00DA5652" w:rsidRPr="007C4D65" w14:paraId="1F23D0D6"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18EBDD8F" w14:textId="77777777" w:rsidR="00DA5652" w:rsidRPr="007C4D65" w:rsidRDefault="00DA5652" w:rsidP="00DA5652">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B9F67E1" w14:textId="77777777" w:rsidR="00DA5652" w:rsidRPr="007C4D65" w:rsidRDefault="00DA5652">
            <w:pPr>
              <w:pStyle w:val="ListParagraph"/>
              <w:numPr>
                <w:ilvl w:val="0"/>
                <w:numId w:val="255"/>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Quality of cooperation pursuant to the provisions of the Statistical Requirements Compendium, published by Eurostat</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D60EDAB" w14:textId="77777777" w:rsidR="00DA5652" w:rsidRPr="007C4D65" w:rsidRDefault="00DA5652" w:rsidP="00DA565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reporting system in the phase of development</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A8A852D" w14:textId="77777777" w:rsidR="00DA5652" w:rsidRPr="007C4D65" w:rsidRDefault="00DA5652" w:rsidP="00DA565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Improved quality of reporting pursuant to the provisions of the Statistical Requirements Compendium, published by Eurostat (2026)</w:t>
            </w:r>
          </w:p>
        </w:tc>
      </w:tr>
      <w:tr w:rsidR="00DA5652" w:rsidRPr="007C4D65" w14:paraId="42BC77A4"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C0F7224" w14:textId="77777777" w:rsidR="00DA5652" w:rsidRPr="007C4D65" w:rsidRDefault="00DA5652" w:rsidP="00DA565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79AA519" w14:textId="7BE588B8" w:rsidR="00DA5652" w:rsidRPr="007C4D65" w:rsidRDefault="00357E7A" w:rsidP="00DA5652">
            <w:pPr>
              <w:spacing w:before="40" w:after="40" w:line="276" w:lineRule="auto"/>
              <w:rPr>
                <w:rFonts w:asciiTheme="minorHAnsi" w:eastAsiaTheme="minorHAnsi" w:hAnsiTheme="minorHAnsi" w:cstheme="minorHAnsi"/>
                <w:sz w:val="18"/>
                <w:szCs w:val="18"/>
                <w:lang w:val="bs-Latn-BA" w:eastAsia="en-US" w:bidi="en-US"/>
              </w:rPr>
            </w:pPr>
            <w:r w:rsidRPr="007C4D65">
              <w:rPr>
                <w:rFonts w:asciiTheme="minorHAnsi" w:eastAsiaTheme="minorHAnsi" w:hAnsiTheme="minorHAnsi" w:cstheme="minorHAnsi"/>
                <w:sz w:val="18"/>
                <w:szCs w:val="18"/>
                <w:lang w:eastAsia="en-US" w:bidi="en-US"/>
              </w:rPr>
              <w:t>Development of the statistical system which facilitates evidence-based and analysis-based policy making in the future</w:t>
            </w:r>
          </w:p>
        </w:tc>
      </w:tr>
      <w:tr w:rsidR="00DA5652" w:rsidRPr="007C4D65" w14:paraId="0863DBB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34693F6" w14:textId="533B708B" w:rsidR="00DA5652" w:rsidRPr="007C4D65" w:rsidRDefault="00963086" w:rsidP="00DA565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CC68F1E" w14:textId="49EBE227" w:rsidR="00357E7A" w:rsidRPr="007C4D65" w:rsidRDefault="00C224E3" w:rsidP="00357E7A">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357E7A" w:rsidRPr="007C4D65">
              <w:rPr>
                <w:rFonts w:asciiTheme="minorHAnsi" w:hAnsiTheme="minorHAnsi" w:cstheme="minorHAnsi"/>
                <w:sz w:val="18"/>
                <w:szCs w:val="18"/>
                <w:lang w:val="hr-HR" w:bidi="en-US"/>
              </w:rPr>
              <w:t>BAM 135,863</w:t>
            </w:r>
          </w:p>
          <w:p w14:paraId="55A725D9" w14:textId="370EA17F" w:rsidR="00DA5652" w:rsidRPr="007C4D65" w:rsidRDefault="009E6B20" w:rsidP="00357E7A">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hAnsiTheme="minorHAnsi" w:cstheme="minorHAnsi"/>
                <w:sz w:val="18"/>
                <w:szCs w:val="18"/>
                <w:lang w:val="hr-HR" w:bidi="en-US"/>
              </w:rPr>
              <w:t xml:space="preserve">Source: </w:t>
            </w:r>
            <w:r w:rsidR="00357E7A" w:rsidRPr="007C4D65">
              <w:rPr>
                <w:rFonts w:asciiTheme="minorHAnsi" w:hAnsiTheme="minorHAnsi" w:cstheme="minorHAnsi"/>
                <w:sz w:val="18"/>
                <w:szCs w:val="18"/>
                <w:lang w:val="hr-HR" w:bidi="en-US"/>
              </w:rPr>
              <w:t xml:space="preserve">100% </w:t>
            </w:r>
            <w:r w:rsidR="00C224E3" w:rsidRPr="007C4D65">
              <w:rPr>
                <w:rFonts w:asciiTheme="minorHAnsi" w:hAnsiTheme="minorHAnsi" w:cstheme="minorHAnsi"/>
                <w:sz w:val="18"/>
                <w:szCs w:val="18"/>
                <w:lang w:val="hr-HR" w:bidi="en-US"/>
              </w:rPr>
              <w:t>funds from EU and other international donors</w:t>
            </w:r>
          </w:p>
        </w:tc>
      </w:tr>
      <w:tr w:rsidR="00DA5652" w:rsidRPr="007C4D65" w14:paraId="48211AC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9F19655" w14:textId="77777777" w:rsidR="00DA5652" w:rsidRPr="007C4D65" w:rsidRDefault="00DA5652" w:rsidP="00DA565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4212F51" w14:textId="77777777" w:rsidR="00DA5652" w:rsidRPr="007C4D65" w:rsidRDefault="00DA5652" w:rsidP="00DA565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2030</w:t>
            </w:r>
          </w:p>
        </w:tc>
      </w:tr>
      <w:tr w:rsidR="00DA5652" w:rsidRPr="007C4D65" w14:paraId="794F8950"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90C4045" w14:textId="77777777" w:rsidR="00DA5652" w:rsidRPr="007C4D65" w:rsidRDefault="00DA5652" w:rsidP="00DA565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Institution responsible for coordination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60A6EF6" w14:textId="4B55D494" w:rsidR="00DA5652" w:rsidRPr="007C4D65" w:rsidRDefault="00357E7A" w:rsidP="00DA565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Institute for Statistics of the Federation of BiH</w:t>
            </w:r>
          </w:p>
        </w:tc>
      </w:tr>
      <w:tr w:rsidR="00DA5652" w:rsidRPr="007C4D65" w14:paraId="06F4D476"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B53B9DF" w14:textId="77777777" w:rsidR="00DA5652" w:rsidRPr="007C4D65" w:rsidRDefault="00DA5652" w:rsidP="00DA565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60E8AEF" w14:textId="0DDA832A" w:rsidR="00DA5652" w:rsidRPr="007C4D65" w:rsidRDefault="00357E7A" w:rsidP="00DA565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Institute for Statistics of the Federation of BiH </w:t>
            </w:r>
            <w:r w:rsidR="00DA5652" w:rsidRPr="007C4D65">
              <w:rPr>
                <w:rFonts w:asciiTheme="minorHAnsi" w:eastAsiaTheme="minorHAnsi" w:hAnsiTheme="minorHAnsi" w:cstheme="minorHAnsi"/>
                <w:sz w:val="18"/>
                <w:szCs w:val="18"/>
                <w:lang w:eastAsia="en-US"/>
              </w:rPr>
              <w:t xml:space="preserve">in cooperation with the Agency of Statistics of Bosnia and Herzegovina and other </w:t>
            </w:r>
            <w:r w:rsidRPr="007C4D65">
              <w:rPr>
                <w:rFonts w:asciiTheme="minorHAnsi" w:eastAsiaTheme="minorHAnsi" w:hAnsiTheme="minorHAnsi" w:cstheme="minorHAnsi"/>
                <w:sz w:val="18"/>
                <w:szCs w:val="18"/>
                <w:lang w:eastAsia="en-US"/>
              </w:rPr>
              <w:t>competent</w:t>
            </w:r>
            <w:r w:rsidR="00DA5652" w:rsidRPr="007C4D65">
              <w:rPr>
                <w:rFonts w:asciiTheme="minorHAnsi" w:eastAsiaTheme="minorHAnsi" w:hAnsiTheme="minorHAnsi" w:cstheme="minorHAnsi"/>
                <w:sz w:val="18"/>
                <w:szCs w:val="18"/>
                <w:lang w:eastAsia="en-US"/>
              </w:rPr>
              <w:t xml:space="preserve"> institutions</w:t>
            </w:r>
          </w:p>
        </w:tc>
      </w:tr>
      <w:tr w:rsidR="00DA5652" w:rsidRPr="007C4D65" w14:paraId="37F8A015"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98759FA" w14:textId="18CADD94" w:rsidR="00DA5652" w:rsidRPr="007C4D65" w:rsidRDefault="00963086" w:rsidP="00DA5652">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893C4FA" w14:textId="794FD286" w:rsidR="00DA5652" w:rsidRPr="007C4D65" w:rsidRDefault="00DA5652" w:rsidP="00DA5652">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All the</w:t>
            </w:r>
            <w:r w:rsidR="00357E7A" w:rsidRPr="007C4D65">
              <w:rPr>
                <w:rFonts w:asciiTheme="minorHAnsi" w:eastAsiaTheme="minorHAnsi" w:hAnsiTheme="minorHAnsi" w:cstheme="minorHAnsi"/>
                <w:sz w:val="18"/>
                <w:szCs w:val="18"/>
                <w:lang w:eastAsia="en-US"/>
              </w:rPr>
              <w:t xml:space="preserve"> environmental</w:t>
            </w:r>
            <w:r w:rsidRPr="007C4D65">
              <w:rPr>
                <w:rFonts w:asciiTheme="minorHAnsi" w:eastAsiaTheme="minorHAnsi" w:hAnsiTheme="minorHAnsi" w:cstheme="minorHAnsi"/>
                <w:sz w:val="18"/>
                <w:szCs w:val="18"/>
                <w:lang w:eastAsia="en-US"/>
              </w:rPr>
              <w:t xml:space="preserve"> institutions, professional and </w:t>
            </w:r>
            <w:proofErr w:type="gramStart"/>
            <w:r w:rsidRPr="007C4D65">
              <w:rPr>
                <w:rFonts w:asciiTheme="minorHAnsi" w:eastAsiaTheme="minorHAnsi" w:hAnsiTheme="minorHAnsi" w:cstheme="minorHAnsi"/>
                <w:sz w:val="18"/>
                <w:szCs w:val="18"/>
                <w:lang w:eastAsia="en-US"/>
              </w:rPr>
              <w:t>general public</w:t>
            </w:r>
            <w:proofErr w:type="gramEnd"/>
          </w:p>
        </w:tc>
      </w:tr>
    </w:tbl>
    <w:p w14:paraId="01E4BC18" w14:textId="77777777"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2"/>
        <w:gridCol w:w="3242"/>
        <w:gridCol w:w="2762"/>
      </w:tblGrid>
      <w:tr w:rsidR="00357E7A" w:rsidRPr="007C4D65" w14:paraId="66989FA8"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C681F52" w14:textId="77777777" w:rsidR="00357E7A" w:rsidRPr="007C4D65" w:rsidRDefault="00357E7A" w:rsidP="00357E7A">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Link with the strategic goal</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18641D7" w14:textId="77777777" w:rsidR="00357E7A" w:rsidRPr="007C4D65" w:rsidRDefault="00357E7A" w:rsidP="00357E7A">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357E7A" w:rsidRPr="007C4D65" w14:paraId="087BCCF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831E5F9" w14:textId="77777777" w:rsidR="00357E7A" w:rsidRPr="007C4D65" w:rsidRDefault="00357E7A" w:rsidP="00357E7A">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D50312F" w14:textId="52585A4D" w:rsidR="00357E7A" w:rsidRPr="007C4D65" w:rsidRDefault="00357E7A" w:rsidP="00357E7A">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 xml:space="preserve">7.5 </w:t>
            </w:r>
            <w:r w:rsidRPr="007C4D65">
              <w:rPr>
                <w:rFonts w:asciiTheme="minorHAnsi" w:eastAsia="Calibri" w:hAnsiTheme="minorHAnsi" w:cstheme="minorHAnsi"/>
                <w:b/>
                <w:bCs/>
                <w:sz w:val="18"/>
                <w:szCs w:val="18"/>
                <w:lang w:eastAsia="en-US"/>
              </w:rPr>
              <w:t>Set up an efficient system for record keeping and transparent reporting of environmental data in the Federation of BiH, in consultation with the Partnership 27</w:t>
            </w:r>
          </w:p>
        </w:tc>
      </w:tr>
      <w:tr w:rsidR="00357E7A" w:rsidRPr="007C4D65" w14:paraId="66119E5E"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072E0FF" w14:textId="77777777" w:rsidR="00357E7A" w:rsidRPr="007C4D65" w:rsidRDefault="00357E7A" w:rsidP="00357E7A">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22E5222" w14:textId="434FA49E" w:rsidR="00357E7A" w:rsidRPr="007C4D65" w:rsidRDefault="00357E7A" w:rsidP="00357E7A">
            <w:pPr>
              <w:spacing w:before="40" w:after="40" w:line="276" w:lineRule="auto"/>
              <w:rPr>
                <w:rFonts w:asciiTheme="minorHAnsi" w:eastAsia="Calibri" w:hAnsiTheme="minorHAnsi" w:cstheme="minorHAnsi"/>
                <w:b/>
                <w:sz w:val="18"/>
                <w:szCs w:val="18"/>
                <w:lang w:eastAsia="en-US"/>
              </w:rPr>
            </w:pPr>
            <w:bookmarkStart w:id="369" w:name="_Hlk95008115"/>
            <w:r w:rsidRPr="007C4D65">
              <w:rPr>
                <w:rFonts w:asciiTheme="minorHAnsi" w:eastAsiaTheme="minorHAnsi" w:hAnsiTheme="minorHAnsi" w:cstheme="minorHAnsi"/>
                <w:b/>
                <w:sz w:val="18"/>
                <w:szCs w:val="18"/>
                <w:lang w:eastAsia="en-US"/>
              </w:rPr>
              <w:t>7.5.8 Development of European Environmental Economic Accounts</w:t>
            </w:r>
            <w:bookmarkEnd w:id="369"/>
          </w:p>
        </w:tc>
      </w:tr>
      <w:tr w:rsidR="00357E7A" w:rsidRPr="007C4D65" w14:paraId="60382F35"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CF568F2" w14:textId="77777777" w:rsidR="00357E7A" w:rsidRPr="007C4D65" w:rsidRDefault="00357E7A" w:rsidP="00357E7A">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DC7DBDC" w14:textId="37C128AA" w:rsidR="00357E7A" w:rsidRPr="007C4D65" w:rsidRDefault="00357E7A" w:rsidP="00357E7A">
            <w:pPr>
              <w:spacing w:before="40" w:after="40" w:line="276" w:lineRule="auto"/>
              <w:rPr>
                <w:rFonts w:asciiTheme="minorHAnsi" w:eastAsia="Calibri" w:hAnsiTheme="minorHAnsi" w:cstheme="minorHAnsi"/>
                <w:sz w:val="18"/>
                <w:szCs w:val="18"/>
                <w:lang w:eastAsia="en-US"/>
              </w:rPr>
            </w:pPr>
            <w:bookmarkStart w:id="370" w:name="_Hlk95008154"/>
            <w:r w:rsidRPr="007C4D65">
              <w:rPr>
                <w:rFonts w:asciiTheme="minorHAnsi" w:eastAsiaTheme="minorHAnsi" w:hAnsiTheme="minorHAnsi" w:cstheme="minorHAnsi"/>
                <w:sz w:val="18"/>
                <w:szCs w:val="18"/>
                <w:lang w:eastAsia="en-US"/>
              </w:rPr>
              <w:t xml:space="preserve">This measure aims at ensuring the participation of the institutions of the Federation of BiH in development of the European Environmental </w:t>
            </w:r>
            <w:proofErr w:type="gramStart"/>
            <w:r w:rsidRPr="007C4D65">
              <w:rPr>
                <w:rFonts w:asciiTheme="minorHAnsi" w:eastAsiaTheme="minorHAnsi" w:hAnsiTheme="minorHAnsi" w:cstheme="minorHAnsi"/>
                <w:sz w:val="18"/>
                <w:szCs w:val="18"/>
                <w:lang w:eastAsia="en-US"/>
              </w:rPr>
              <w:t>Economic  Accounts</w:t>
            </w:r>
            <w:proofErr w:type="gramEnd"/>
            <w:r w:rsidRPr="007C4D65">
              <w:rPr>
                <w:rFonts w:asciiTheme="minorHAnsi" w:eastAsiaTheme="minorHAnsi" w:hAnsiTheme="minorHAnsi" w:cstheme="minorHAnsi"/>
                <w:sz w:val="18"/>
                <w:szCs w:val="18"/>
                <w:lang w:eastAsia="en-US"/>
              </w:rPr>
              <w:t xml:space="preserve"> which describe the relations between the environment and economy (in accordance with the (EU) Regulation no. 691/2011 on the European Environmental Economic Accounts which laid down a common legal framework for collection, preparation, communication and evaluation of the European Environmental Economic Accounts)</w:t>
            </w:r>
            <w:bookmarkEnd w:id="370"/>
          </w:p>
          <w:p w14:paraId="774A7FDA" w14:textId="77777777" w:rsidR="00357E7A" w:rsidRPr="007C4D65" w:rsidRDefault="00357E7A" w:rsidP="00357E7A">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General areas of intervention are:</w:t>
            </w:r>
          </w:p>
          <w:p w14:paraId="0017D4FF" w14:textId="064C4F27" w:rsidR="00357E7A" w:rsidRPr="007C4D65" w:rsidRDefault="00357E7A" w:rsidP="00357E7A">
            <w:p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1) Implementing the Regulation EU  691/2011 of the European Parliament and Council on European Environment Economic Accounts (environment economic accounts are an important source of data for monitoring and evaluation of environmental policies, such as the Eighth Environment Action Programme, and the progress made in fulfilment of United Nations Sustainable Development Goals</w:t>
            </w:r>
            <w:proofErr w:type="gramStart"/>
            <w:r w:rsidRPr="007C4D65">
              <w:rPr>
                <w:rFonts w:asciiTheme="minorHAnsi" w:eastAsiaTheme="minorHAnsi" w:hAnsiTheme="minorHAnsi" w:cstheme="minorHAnsi"/>
                <w:sz w:val="18"/>
                <w:szCs w:val="18"/>
                <w:lang w:eastAsia="en-US"/>
              </w:rPr>
              <w:t>)</w:t>
            </w:r>
            <w:r w:rsidR="00397061" w:rsidRPr="007C4D65">
              <w:rPr>
                <w:rFonts w:asciiTheme="minorHAnsi" w:eastAsiaTheme="minorHAnsi" w:hAnsiTheme="minorHAnsi" w:cstheme="minorHAnsi"/>
                <w:sz w:val="18"/>
                <w:szCs w:val="18"/>
                <w:lang w:eastAsia="en-US"/>
              </w:rPr>
              <w:t>;</w:t>
            </w:r>
            <w:proofErr w:type="gramEnd"/>
          </w:p>
          <w:p w14:paraId="2D52E56C" w14:textId="38853102" w:rsidR="00357E7A" w:rsidRPr="007C4D65" w:rsidRDefault="00357E7A" w:rsidP="00357E7A">
            <w:pPr>
              <w:spacing w:before="40" w:after="40" w:line="276" w:lineRule="auto"/>
              <w:contextualSpacing/>
              <w:rPr>
                <w:rFonts w:asciiTheme="minorHAnsi" w:eastAsia="Calibri" w:hAnsiTheme="minorHAnsi" w:cstheme="minorHAnsi"/>
                <w:sz w:val="18"/>
                <w:szCs w:val="18"/>
                <w:lang w:eastAsia="en-US"/>
              </w:rPr>
            </w:pPr>
            <w:bookmarkStart w:id="371" w:name="_Hlk95008226"/>
            <w:r w:rsidRPr="007C4D65">
              <w:rPr>
                <w:rFonts w:asciiTheme="minorHAnsi" w:eastAsiaTheme="minorHAnsi" w:hAnsiTheme="minorHAnsi" w:cstheme="minorHAnsi"/>
                <w:sz w:val="18"/>
                <w:szCs w:val="18"/>
                <w:lang w:eastAsia="en-US"/>
              </w:rPr>
              <w:t xml:space="preserve">2) In accordance with the responsibilities of the Federation of BiH, expand the environmental accounts </w:t>
            </w:r>
            <w:proofErr w:type="gramStart"/>
            <w:r w:rsidRPr="007C4D65">
              <w:rPr>
                <w:rFonts w:asciiTheme="minorHAnsi" w:eastAsiaTheme="minorHAnsi" w:hAnsiTheme="minorHAnsi" w:cstheme="minorHAnsi"/>
                <w:sz w:val="18"/>
                <w:szCs w:val="18"/>
                <w:lang w:eastAsia="en-US"/>
              </w:rPr>
              <w:t>so as to</w:t>
            </w:r>
            <w:proofErr w:type="gramEnd"/>
            <w:r w:rsidRPr="007C4D65">
              <w:rPr>
                <w:rFonts w:asciiTheme="minorHAnsi" w:eastAsiaTheme="minorHAnsi" w:hAnsiTheme="minorHAnsi" w:cstheme="minorHAnsi"/>
                <w:sz w:val="18"/>
                <w:szCs w:val="18"/>
                <w:lang w:eastAsia="en-US"/>
              </w:rPr>
              <w:t xml:space="preserve"> cover new areas in accordance with the System of Environmental Economic Accounting as an international statistical standard</w:t>
            </w:r>
            <w:bookmarkStart w:id="372" w:name="_Hlk95008220"/>
            <w:bookmarkEnd w:id="371"/>
            <w:bookmarkEnd w:id="372"/>
            <w:r w:rsidR="00397061" w:rsidRPr="007C4D65">
              <w:rPr>
                <w:rFonts w:asciiTheme="minorHAnsi" w:eastAsia="Calibri" w:hAnsiTheme="minorHAnsi" w:cstheme="minorHAnsi"/>
                <w:sz w:val="18"/>
                <w:szCs w:val="18"/>
                <w:lang w:eastAsia="en-US"/>
              </w:rPr>
              <w:t>.</w:t>
            </w:r>
          </w:p>
        </w:tc>
      </w:tr>
      <w:tr w:rsidR="00357E7A" w:rsidRPr="007C4D65" w14:paraId="6E2410A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677FCF6" w14:textId="77777777" w:rsidR="00357E7A" w:rsidRPr="007C4D65" w:rsidRDefault="00357E7A" w:rsidP="00357E7A">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Strategic projects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24305B1C" w14:textId="77777777" w:rsidR="00357E7A" w:rsidRPr="007C4D65" w:rsidRDefault="00357E7A" w:rsidP="00357E7A">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357E7A" w:rsidRPr="007C4D65" w14:paraId="13E9F1A3" w14:textId="77777777" w:rsidTr="00B6017F">
        <w:trPr>
          <w:trHeight w:val="567"/>
        </w:trPr>
        <w:tc>
          <w:tcPr>
            <w:tcW w:w="135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8A0659B" w14:textId="77777777" w:rsidR="00357E7A" w:rsidRPr="007C4D65" w:rsidRDefault="00357E7A" w:rsidP="00357E7A">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C66E451" w14:textId="77777777" w:rsidR="00357E7A" w:rsidRPr="007C4D65" w:rsidRDefault="00357E7A" w:rsidP="00357E7A">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5251DEC0" w14:textId="77777777" w:rsidR="00357E7A" w:rsidRPr="007C4D65" w:rsidRDefault="00357E7A" w:rsidP="00357E7A">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9DB5819" w14:textId="77777777" w:rsidR="00357E7A" w:rsidRPr="007C4D65" w:rsidRDefault="00357E7A" w:rsidP="00357E7A">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5ECF8395" w14:textId="77777777" w:rsidR="00357E7A" w:rsidRPr="007C4D65" w:rsidRDefault="00357E7A" w:rsidP="00357E7A">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9F7D66D" w14:textId="77777777" w:rsidR="00357E7A" w:rsidRPr="007C4D65" w:rsidRDefault="00357E7A" w:rsidP="00357E7A">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357E7A" w:rsidRPr="007C4D65" w14:paraId="3FC9A874"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10E7AC1F" w14:textId="77777777" w:rsidR="00357E7A" w:rsidRPr="007C4D65" w:rsidRDefault="00357E7A" w:rsidP="00357E7A">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2C2D3B1" w14:textId="15F534DD" w:rsidR="00357E7A" w:rsidRPr="007C4D65" w:rsidRDefault="00357E7A">
            <w:pPr>
              <w:pStyle w:val="ListParagraph"/>
              <w:numPr>
                <w:ilvl w:val="0"/>
                <w:numId w:val="256"/>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level of the implementation of the Regulation (EU) no. 691/2011 on the priority European </w:t>
            </w:r>
            <w:r w:rsidRPr="007C4D65">
              <w:rPr>
                <w:rFonts w:asciiTheme="minorHAnsi" w:eastAsiaTheme="minorHAnsi" w:hAnsiTheme="minorHAnsi" w:cstheme="minorHAnsi"/>
                <w:sz w:val="18"/>
                <w:szCs w:val="18"/>
                <w:lang w:eastAsia="en-US"/>
              </w:rPr>
              <w:lastRenderedPageBreak/>
              <w:t xml:space="preserve">Environmental </w:t>
            </w:r>
            <w:proofErr w:type="gramStart"/>
            <w:r w:rsidRPr="007C4D65">
              <w:rPr>
                <w:rFonts w:asciiTheme="minorHAnsi" w:eastAsiaTheme="minorHAnsi" w:hAnsiTheme="minorHAnsi" w:cstheme="minorHAnsi"/>
                <w:sz w:val="18"/>
                <w:szCs w:val="18"/>
                <w:lang w:eastAsia="en-US"/>
              </w:rPr>
              <w:t>Economic  Accounts</w:t>
            </w:r>
            <w:proofErr w:type="gramEnd"/>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73FEA25" w14:textId="70C870CA" w:rsidR="00357E7A" w:rsidRPr="007C4D65" w:rsidRDefault="00357E7A" w:rsidP="00357E7A">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lastRenderedPageBreak/>
              <w:t>Partly implemented</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A0653CC" w14:textId="33BC62CA" w:rsidR="00357E7A" w:rsidRPr="007C4D65" w:rsidRDefault="00357E7A" w:rsidP="00357E7A">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Regulation (EU) no. 691/2011on the priority European Environmental Economic Accounts implemented (2026)</w:t>
            </w:r>
          </w:p>
        </w:tc>
      </w:tr>
      <w:tr w:rsidR="00357E7A" w:rsidRPr="007C4D65" w14:paraId="31B2761F"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365040D5" w14:textId="77777777" w:rsidR="00357E7A" w:rsidRPr="007C4D65" w:rsidRDefault="00357E7A" w:rsidP="00357E7A">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FD40B4A" w14:textId="68B5E926" w:rsidR="00357E7A" w:rsidRPr="007C4D65" w:rsidRDefault="00357E7A">
            <w:pPr>
              <w:pStyle w:val="ListParagraph"/>
              <w:numPr>
                <w:ilvl w:val="0"/>
                <w:numId w:val="256"/>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Status of expansion of the environmental accounts to new areas in accordance with the System Environmental Economic Accounting</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4C1DC8A" w14:textId="77777777" w:rsidR="00357E7A" w:rsidRPr="007C4D65" w:rsidRDefault="00357E7A" w:rsidP="00357E7A">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Environmental Accounts partly developed</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C367EFC" w14:textId="6F48C6FF" w:rsidR="00357E7A" w:rsidRPr="007C4D65" w:rsidRDefault="00357E7A" w:rsidP="00357E7A">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Water Accounts, Forest Accounts, Accounts of Resources Management Expenditures, Ecosystem Accounts </w:t>
            </w:r>
            <w:r w:rsidR="000224F3" w:rsidRPr="007C4D65">
              <w:rPr>
                <w:rFonts w:asciiTheme="minorHAnsi" w:eastAsiaTheme="minorHAnsi" w:hAnsiTheme="minorHAnsi" w:cstheme="minorHAnsi"/>
                <w:sz w:val="18"/>
                <w:szCs w:val="18"/>
                <w:lang w:eastAsia="en-US"/>
              </w:rPr>
              <w:t>developed</w:t>
            </w:r>
            <w:r w:rsidRPr="007C4D65">
              <w:rPr>
                <w:rFonts w:asciiTheme="minorHAnsi" w:eastAsiaTheme="minorHAnsi" w:hAnsiTheme="minorHAnsi" w:cstheme="minorHAnsi"/>
                <w:sz w:val="18"/>
                <w:szCs w:val="18"/>
                <w:lang w:eastAsia="en-US"/>
              </w:rPr>
              <w:t xml:space="preserve"> (2026)</w:t>
            </w:r>
          </w:p>
        </w:tc>
      </w:tr>
      <w:tr w:rsidR="00357E7A" w:rsidRPr="007C4D65" w14:paraId="736DD739"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66A3E4F" w14:textId="77777777" w:rsidR="00357E7A" w:rsidRPr="007C4D65" w:rsidRDefault="00357E7A" w:rsidP="00357E7A">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4E51545" w14:textId="63B8BEED" w:rsidR="00357E7A" w:rsidRPr="007C4D65" w:rsidRDefault="000224F3" w:rsidP="00357E7A">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Development of the European Environmental Economic Accounts enables comparisons, validation and valid </w:t>
            </w:r>
            <w:r w:rsidR="009F16BA" w:rsidRPr="007C4D65">
              <w:rPr>
                <w:rFonts w:asciiTheme="minorHAnsi" w:eastAsiaTheme="minorHAnsi" w:hAnsiTheme="minorHAnsi" w:cstheme="minorHAnsi"/>
                <w:sz w:val="18"/>
                <w:szCs w:val="18"/>
                <w:lang w:eastAsia="en-US" w:bidi="en-US"/>
              </w:rPr>
              <w:t xml:space="preserve">decision-making  </w:t>
            </w:r>
            <w:r w:rsidRPr="007C4D65">
              <w:rPr>
                <w:rFonts w:asciiTheme="minorHAnsi" w:eastAsiaTheme="minorHAnsi" w:hAnsiTheme="minorHAnsi" w:cstheme="minorHAnsi"/>
                <w:sz w:val="18"/>
                <w:szCs w:val="18"/>
                <w:lang w:eastAsia="en-US" w:bidi="en-US"/>
              </w:rPr>
              <w:t xml:space="preserve"> on measures required to improve environmental management and achieve the United Nations' Sustainable Development Goals</w:t>
            </w:r>
          </w:p>
        </w:tc>
      </w:tr>
      <w:tr w:rsidR="00357E7A" w:rsidRPr="007C4D65" w14:paraId="2FB4B366"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7E699C5" w14:textId="43A1429A" w:rsidR="00357E7A" w:rsidRPr="007C4D65" w:rsidRDefault="00963086" w:rsidP="00357E7A">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8493BB4" w14:textId="25BE4553" w:rsidR="000224F3" w:rsidRPr="007C4D65" w:rsidRDefault="00C224E3" w:rsidP="000224F3">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0224F3" w:rsidRPr="007C4D65">
              <w:rPr>
                <w:rFonts w:asciiTheme="minorHAnsi" w:hAnsiTheme="minorHAnsi" w:cstheme="minorHAnsi"/>
                <w:sz w:val="18"/>
                <w:szCs w:val="18"/>
                <w:lang w:val="hr-HR" w:bidi="en-US"/>
              </w:rPr>
              <w:t>BAM 128,634</w:t>
            </w:r>
          </w:p>
          <w:p w14:paraId="44A60258" w14:textId="0F7657EC" w:rsidR="00357E7A" w:rsidRPr="007C4D65" w:rsidRDefault="009E6B20" w:rsidP="000224F3">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hAnsiTheme="minorHAnsi" w:cstheme="minorHAnsi"/>
                <w:sz w:val="18"/>
                <w:szCs w:val="18"/>
                <w:lang w:val="hr-HR" w:bidi="en-US"/>
              </w:rPr>
              <w:t xml:space="preserve">Source: </w:t>
            </w:r>
            <w:r w:rsidR="000224F3" w:rsidRPr="007C4D65">
              <w:rPr>
                <w:rFonts w:asciiTheme="minorHAnsi" w:hAnsiTheme="minorHAnsi" w:cstheme="minorHAnsi"/>
                <w:sz w:val="18"/>
                <w:szCs w:val="18"/>
                <w:lang w:val="hr-HR" w:bidi="en-US"/>
              </w:rPr>
              <w:t xml:space="preserve">100% </w:t>
            </w:r>
            <w:r w:rsidR="00C224E3" w:rsidRPr="007C4D65">
              <w:rPr>
                <w:rFonts w:asciiTheme="minorHAnsi" w:hAnsiTheme="minorHAnsi" w:cstheme="minorHAnsi"/>
                <w:sz w:val="18"/>
                <w:szCs w:val="18"/>
                <w:lang w:val="hr-HR" w:bidi="en-US"/>
              </w:rPr>
              <w:t>funds from EU and other international donors</w:t>
            </w:r>
          </w:p>
        </w:tc>
      </w:tr>
      <w:tr w:rsidR="00357E7A" w:rsidRPr="007C4D65" w14:paraId="43032A3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2532A32" w14:textId="77777777" w:rsidR="00357E7A" w:rsidRPr="007C4D65" w:rsidRDefault="00357E7A" w:rsidP="00357E7A">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B868759" w14:textId="77777777" w:rsidR="00357E7A" w:rsidRPr="007C4D65" w:rsidRDefault="00357E7A" w:rsidP="00357E7A">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2026</w:t>
            </w:r>
          </w:p>
        </w:tc>
      </w:tr>
      <w:tr w:rsidR="00357E7A" w:rsidRPr="007C4D65" w14:paraId="175CF5B6"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B7835E2" w14:textId="77777777" w:rsidR="00357E7A" w:rsidRPr="007C4D65" w:rsidRDefault="00357E7A" w:rsidP="00357E7A">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DB80321" w14:textId="1E70C5F3" w:rsidR="00357E7A" w:rsidRPr="007C4D65" w:rsidRDefault="000224F3" w:rsidP="00357E7A">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Institute for Statistics of the Federation of BiH</w:t>
            </w:r>
          </w:p>
        </w:tc>
      </w:tr>
      <w:tr w:rsidR="00357E7A" w:rsidRPr="007C4D65" w14:paraId="6E54A6BA"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44B102C" w14:textId="77777777" w:rsidR="00357E7A" w:rsidRPr="007C4D65" w:rsidRDefault="00357E7A" w:rsidP="00357E7A">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EB845A5" w14:textId="20035018" w:rsidR="00357E7A" w:rsidRPr="007C4D65" w:rsidRDefault="000224F3" w:rsidP="00357E7A">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Institute for Statistics of the Federation of BiH </w:t>
            </w:r>
            <w:r w:rsidR="00357E7A" w:rsidRPr="007C4D65">
              <w:rPr>
                <w:rFonts w:asciiTheme="minorHAnsi" w:eastAsiaTheme="minorHAnsi" w:hAnsiTheme="minorHAnsi" w:cstheme="minorHAnsi"/>
                <w:sz w:val="18"/>
                <w:szCs w:val="18"/>
                <w:lang w:eastAsia="en-US"/>
              </w:rPr>
              <w:t xml:space="preserve">in cooperation with the Agency of Statistics of </w:t>
            </w:r>
            <w:r w:rsidRPr="007C4D65">
              <w:rPr>
                <w:rFonts w:asciiTheme="minorHAnsi" w:eastAsiaTheme="minorHAnsi" w:hAnsiTheme="minorHAnsi" w:cstheme="minorHAnsi"/>
                <w:sz w:val="18"/>
                <w:szCs w:val="18"/>
                <w:lang w:eastAsia="en-US"/>
              </w:rPr>
              <w:t>BiH</w:t>
            </w:r>
            <w:r w:rsidR="00357E7A" w:rsidRPr="007C4D65">
              <w:rPr>
                <w:rFonts w:asciiTheme="minorHAnsi" w:eastAsiaTheme="minorHAnsi" w:hAnsiTheme="minorHAnsi" w:cstheme="minorHAnsi"/>
                <w:sz w:val="18"/>
                <w:szCs w:val="18"/>
                <w:lang w:eastAsia="en-US"/>
              </w:rPr>
              <w:t xml:space="preserve"> and other </w:t>
            </w:r>
            <w:r w:rsidRPr="007C4D65">
              <w:rPr>
                <w:rFonts w:asciiTheme="minorHAnsi" w:eastAsiaTheme="minorHAnsi" w:hAnsiTheme="minorHAnsi" w:cstheme="minorHAnsi"/>
                <w:sz w:val="18"/>
                <w:szCs w:val="18"/>
                <w:lang w:eastAsia="en-US"/>
              </w:rPr>
              <w:t>competent</w:t>
            </w:r>
            <w:r w:rsidR="00357E7A" w:rsidRPr="007C4D65">
              <w:rPr>
                <w:rFonts w:asciiTheme="minorHAnsi" w:eastAsiaTheme="minorHAnsi" w:hAnsiTheme="minorHAnsi" w:cstheme="minorHAnsi"/>
                <w:sz w:val="18"/>
                <w:szCs w:val="18"/>
                <w:lang w:eastAsia="en-US"/>
              </w:rPr>
              <w:t xml:space="preserve"> institutions</w:t>
            </w:r>
          </w:p>
        </w:tc>
      </w:tr>
      <w:tr w:rsidR="00357E7A" w:rsidRPr="007C4D65" w14:paraId="2528D8C8"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08D1AF7" w14:textId="46783D16" w:rsidR="00357E7A" w:rsidRPr="007C4D65" w:rsidRDefault="00963086" w:rsidP="00357E7A">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0505711" w14:textId="4A17B93F" w:rsidR="00357E7A" w:rsidRPr="007C4D65" w:rsidRDefault="00357E7A" w:rsidP="00357E7A">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All the </w:t>
            </w:r>
            <w:r w:rsidR="000224F3" w:rsidRPr="007C4D65">
              <w:rPr>
                <w:rFonts w:asciiTheme="minorHAnsi" w:eastAsiaTheme="minorHAnsi" w:hAnsiTheme="minorHAnsi" w:cstheme="minorHAnsi"/>
                <w:sz w:val="18"/>
                <w:szCs w:val="18"/>
                <w:lang w:eastAsia="en-US"/>
              </w:rPr>
              <w:t xml:space="preserve">environmental </w:t>
            </w:r>
            <w:r w:rsidRPr="007C4D65">
              <w:rPr>
                <w:rFonts w:asciiTheme="minorHAnsi" w:eastAsiaTheme="minorHAnsi" w:hAnsiTheme="minorHAnsi" w:cstheme="minorHAnsi"/>
                <w:sz w:val="18"/>
                <w:szCs w:val="18"/>
                <w:lang w:eastAsia="en-US"/>
              </w:rPr>
              <w:t xml:space="preserve">institutions, professional and </w:t>
            </w:r>
            <w:proofErr w:type="gramStart"/>
            <w:r w:rsidRPr="007C4D65">
              <w:rPr>
                <w:rFonts w:asciiTheme="minorHAnsi" w:eastAsiaTheme="minorHAnsi" w:hAnsiTheme="minorHAnsi" w:cstheme="minorHAnsi"/>
                <w:sz w:val="18"/>
                <w:szCs w:val="18"/>
                <w:lang w:eastAsia="en-US"/>
              </w:rPr>
              <w:t>general public</w:t>
            </w:r>
            <w:proofErr w:type="gramEnd"/>
          </w:p>
        </w:tc>
      </w:tr>
    </w:tbl>
    <w:p w14:paraId="71908F64" w14:textId="77777777"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5"/>
        <w:gridCol w:w="3492"/>
        <w:gridCol w:w="3242"/>
        <w:gridCol w:w="2762"/>
      </w:tblGrid>
      <w:tr w:rsidR="00AE620E" w:rsidRPr="007C4D65" w14:paraId="51E15118"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0F1CA9E" w14:textId="77777777" w:rsidR="00AE620E" w:rsidRPr="007C4D65" w:rsidRDefault="00AE620E" w:rsidP="00AE620E">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Link with the strategic goal</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6F6B742" w14:textId="77777777" w:rsidR="00AE620E" w:rsidRPr="007C4D65" w:rsidRDefault="00AE620E" w:rsidP="00AE620E">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AE620E" w:rsidRPr="007C4D65" w14:paraId="18E46AA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BF0DD29" w14:textId="77777777" w:rsidR="00AE620E" w:rsidRPr="007C4D65" w:rsidRDefault="00AE620E" w:rsidP="00AE620E">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26146C2" w14:textId="2ECD5634" w:rsidR="00AE620E" w:rsidRPr="007C4D65" w:rsidRDefault="00AE620E" w:rsidP="00AE620E">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 xml:space="preserve">7.6 </w:t>
            </w:r>
            <w:r w:rsidR="007D68A0" w:rsidRPr="007C4D65">
              <w:rPr>
                <w:rFonts w:asciiTheme="minorHAnsi" w:eastAsiaTheme="minorHAnsi" w:hAnsiTheme="minorHAnsi" w:cstheme="minorHAnsi"/>
                <w:b/>
                <w:sz w:val="18"/>
                <w:szCs w:val="18"/>
                <w:lang w:eastAsia="en-US"/>
              </w:rPr>
              <w:t>Ensuring a strong synergy in cross-sectoral and inter-sectoral action, and integration of public environmental policies</w:t>
            </w:r>
          </w:p>
        </w:tc>
      </w:tr>
      <w:tr w:rsidR="00AE620E" w:rsidRPr="007C4D65" w14:paraId="3337FD4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DDC4AFC" w14:textId="77777777" w:rsidR="00AE620E" w:rsidRPr="007C4D65" w:rsidRDefault="00AE620E" w:rsidP="00AE620E">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7354F81" w14:textId="5109FC67" w:rsidR="00AE620E" w:rsidRPr="007C4D65" w:rsidRDefault="00AE620E" w:rsidP="00AE620E">
            <w:pPr>
              <w:spacing w:before="40" w:after="40" w:line="276" w:lineRule="auto"/>
              <w:rPr>
                <w:rFonts w:asciiTheme="minorHAnsi" w:eastAsia="Calibri" w:hAnsiTheme="minorHAnsi" w:cstheme="minorHAnsi"/>
                <w:b/>
                <w:sz w:val="18"/>
                <w:szCs w:val="18"/>
                <w:lang w:eastAsia="en-US"/>
              </w:rPr>
            </w:pPr>
            <w:bookmarkStart w:id="373" w:name="_Hlk95008268"/>
            <w:r w:rsidRPr="007C4D65">
              <w:rPr>
                <w:rFonts w:asciiTheme="minorHAnsi" w:eastAsiaTheme="minorHAnsi" w:hAnsiTheme="minorHAnsi" w:cstheme="minorHAnsi"/>
                <w:b/>
                <w:sz w:val="18"/>
                <w:szCs w:val="18"/>
                <w:lang w:eastAsia="en-US"/>
              </w:rPr>
              <w:t>7.6.1 Integration of environmental requirements in sectoral policies</w:t>
            </w:r>
            <w:r w:rsidR="007D68A0" w:rsidRPr="007C4D65">
              <w:rPr>
                <w:rFonts w:asciiTheme="minorHAnsi" w:eastAsiaTheme="minorHAnsi" w:hAnsiTheme="minorHAnsi" w:cstheme="minorHAnsi"/>
                <w:b/>
                <w:sz w:val="18"/>
                <w:szCs w:val="18"/>
                <w:lang w:eastAsia="en-US"/>
              </w:rPr>
              <w:t xml:space="preserve"> and</w:t>
            </w:r>
            <w:r w:rsidRPr="007C4D65">
              <w:rPr>
                <w:rFonts w:asciiTheme="minorHAnsi" w:eastAsiaTheme="minorHAnsi" w:hAnsiTheme="minorHAnsi" w:cstheme="minorHAnsi"/>
                <w:b/>
                <w:sz w:val="18"/>
                <w:szCs w:val="18"/>
                <w:lang w:eastAsia="en-US"/>
              </w:rPr>
              <w:t xml:space="preserve"> legislation</w:t>
            </w:r>
            <w:bookmarkEnd w:id="373"/>
          </w:p>
        </w:tc>
      </w:tr>
      <w:tr w:rsidR="00AE620E" w:rsidRPr="007C4D65" w14:paraId="2541BF45"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5FC5879" w14:textId="77777777" w:rsidR="00AE620E" w:rsidRPr="007C4D65" w:rsidRDefault="00AE620E" w:rsidP="00AE620E">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CDADEF7" w14:textId="77777777" w:rsidR="00AE620E" w:rsidRPr="007C4D65" w:rsidRDefault="00AE620E" w:rsidP="00AE620E">
            <w:pPr>
              <w:spacing w:before="40" w:after="40" w:line="276" w:lineRule="auto"/>
              <w:rPr>
                <w:rFonts w:asciiTheme="minorHAnsi" w:eastAsia="Calibri" w:hAnsiTheme="minorHAnsi" w:cstheme="minorHAnsi"/>
                <w:sz w:val="18"/>
                <w:szCs w:val="18"/>
                <w:lang w:eastAsia="en-US"/>
              </w:rPr>
            </w:pPr>
            <w:bookmarkStart w:id="374" w:name="_Hlk95008284"/>
            <w:r w:rsidRPr="007C4D65">
              <w:rPr>
                <w:rFonts w:asciiTheme="minorHAnsi" w:eastAsiaTheme="minorHAnsi" w:hAnsiTheme="minorHAnsi" w:cstheme="minorHAnsi"/>
                <w:sz w:val="18"/>
                <w:szCs w:val="18"/>
                <w:lang w:eastAsia="en-US"/>
              </w:rPr>
              <w:t xml:space="preserve">This measure aims at integrating the environmental requirements in sectoral policies and legislation through enhanced cross-sectoral cooperation, particularly cooperation with the institutions focusing on gender equality, social equity and poverty issues, </w:t>
            </w:r>
            <w:bookmarkEnd w:id="374"/>
          </w:p>
          <w:p w14:paraId="33A88EBC" w14:textId="410F257C" w:rsidR="00AE620E" w:rsidRPr="007C4D65" w:rsidRDefault="00AE620E" w:rsidP="00AE620E">
            <w:pPr>
              <w:spacing w:before="40" w:after="40" w:line="276" w:lineRule="auto"/>
              <w:rPr>
                <w:rFonts w:asciiTheme="minorHAnsi" w:eastAsia="Calibri" w:hAnsiTheme="minorHAnsi" w:cstheme="minorHAnsi"/>
                <w:sz w:val="18"/>
                <w:szCs w:val="18"/>
                <w:lang w:eastAsia="en-US"/>
              </w:rPr>
            </w:pPr>
            <w:bookmarkStart w:id="375" w:name="_Hlk95008301"/>
            <w:r w:rsidRPr="007C4D65">
              <w:rPr>
                <w:rFonts w:asciiTheme="minorHAnsi" w:eastAsiaTheme="minorHAnsi" w:hAnsiTheme="minorHAnsi" w:cstheme="minorHAnsi"/>
                <w:sz w:val="18"/>
                <w:szCs w:val="18"/>
                <w:lang w:eastAsia="en-US"/>
              </w:rPr>
              <w:lastRenderedPageBreak/>
              <w:t xml:space="preserve">Special focus of this measure is on the integration of the requirements of the </w:t>
            </w:r>
            <w:r w:rsidR="007D68A0" w:rsidRPr="007C4D65">
              <w:rPr>
                <w:rFonts w:asciiTheme="minorHAnsi" w:eastAsiaTheme="minorHAnsi" w:hAnsiTheme="minorHAnsi" w:cstheme="minorHAnsi"/>
                <w:sz w:val="18"/>
                <w:szCs w:val="18"/>
                <w:lang w:eastAsia="en-US"/>
              </w:rPr>
              <w:t>Strategy on c</w:t>
            </w:r>
            <w:r w:rsidRPr="007C4D65">
              <w:rPr>
                <w:rFonts w:asciiTheme="minorHAnsi" w:eastAsiaTheme="minorHAnsi" w:hAnsiTheme="minorHAnsi" w:cstheme="minorHAnsi"/>
                <w:sz w:val="18"/>
                <w:szCs w:val="18"/>
                <w:lang w:eastAsia="en-US"/>
              </w:rPr>
              <w:t xml:space="preserve">limate change adaptation and low carbon development </w:t>
            </w:r>
            <w:r w:rsidR="007D68A0" w:rsidRPr="007C4D65">
              <w:rPr>
                <w:rFonts w:asciiTheme="minorHAnsi" w:eastAsiaTheme="minorHAnsi" w:hAnsiTheme="minorHAnsi" w:cstheme="minorHAnsi"/>
                <w:sz w:val="18"/>
                <w:szCs w:val="18"/>
                <w:lang w:eastAsia="en-US"/>
              </w:rPr>
              <w:t xml:space="preserve">of BiH </w:t>
            </w:r>
            <w:r w:rsidRPr="007C4D65">
              <w:rPr>
                <w:rFonts w:asciiTheme="minorHAnsi" w:eastAsiaTheme="minorHAnsi" w:hAnsiTheme="minorHAnsi" w:cstheme="minorHAnsi"/>
                <w:sz w:val="18"/>
                <w:szCs w:val="18"/>
                <w:lang w:eastAsia="en-US"/>
              </w:rPr>
              <w:t xml:space="preserve">in sectoral policies of the Federation of </w:t>
            </w:r>
            <w:bookmarkEnd w:id="375"/>
            <w:r w:rsidR="007D68A0" w:rsidRPr="007C4D65">
              <w:rPr>
                <w:rFonts w:asciiTheme="minorHAnsi" w:eastAsiaTheme="minorHAnsi" w:hAnsiTheme="minorHAnsi" w:cstheme="minorHAnsi"/>
                <w:sz w:val="18"/>
                <w:szCs w:val="18"/>
                <w:lang w:eastAsia="en-US"/>
              </w:rPr>
              <w:t>BiH</w:t>
            </w:r>
            <w:r w:rsidRPr="007C4D65">
              <w:rPr>
                <w:rFonts w:asciiTheme="minorHAnsi" w:eastAsiaTheme="minorHAnsi" w:hAnsiTheme="minorHAnsi" w:cstheme="minorHAnsi"/>
                <w:sz w:val="18"/>
                <w:szCs w:val="18"/>
                <w:lang w:eastAsia="en-US"/>
              </w:rPr>
              <w:t xml:space="preserve">, in compliance with the deadlines and obligations which will be laid down in this Strategy and in accordance with  the 2020 Western Balkans Green Agenda with five pillars: </w:t>
            </w:r>
            <w:r w:rsidR="007D68A0" w:rsidRPr="007C4D65">
              <w:rPr>
                <w:rFonts w:asciiTheme="minorHAnsi" w:eastAsiaTheme="minorHAnsi" w:hAnsiTheme="minorHAnsi" w:cstheme="minorHAnsi"/>
                <w:sz w:val="18"/>
                <w:szCs w:val="18"/>
                <w:lang w:eastAsia="en-US"/>
              </w:rPr>
              <w:t>I C</w:t>
            </w:r>
            <w:r w:rsidRPr="007C4D65">
              <w:rPr>
                <w:rFonts w:asciiTheme="minorHAnsi" w:eastAsiaTheme="minorHAnsi" w:hAnsiTheme="minorHAnsi" w:cstheme="minorHAnsi"/>
                <w:sz w:val="18"/>
                <w:szCs w:val="18"/>
                <w:lang w:eastAsia="en-US"/>
              </w:rPr>
              <w:t>limate,</w:t>
            </w:r>
            <w:r w:rsidR="007D68A0" w:rsidRPr="007C4D65">
              <w:rPr>
                <w:rFonts w:asciiTheme="minorHAnsi" w:eastAsiaTheme="minorHAnsi" w:hAnsiTheme="minorHAnsi" w:cstheme="minorHAnsi"/>
                <w:sz w:val="18"/>
                <w:szCs w:val="18"/>
                <w:lang w:eastAsia="en-US"/>
              </w:rPr>
              <w:t xml:space="preserve"> </w:t>
            </w:r>
            <w:r w:rsidRPr="007C4D65">
              <w:rPr>
                <w:rFonts w:asciiTheme="minorHAnsi" w:eastAsiaTheme="minorHAnsi" w:hAnsiTheme="minorHAnsi" w:cstheme="minorHAnsi"/>
                <w:sz w:val="18"/>
                <w:szCs w:val="18"/>
                <w:lang w:eastAsia="en-US"/>
              </w:rPr>
              <w:t xml:space="preserve">energy, </w:t>
            </w:r>
            <w:r w:rsidR="007D68A0" w:rsidRPr="007C4D65">
              <w:rPr>
                <w:rFonts w:asciiTheme="minorHAnsi" w:eastAsiaTheme="minorHAnsi" w:hAnsiTheme="minorHAnsi" w:cstheme="minorHAnsi"/>
                <w:sz w:val="18"/>
                <w:szCs w:val="18"/>
                <w:lang w:eastAsia="en-US"/>
              </w:rPr>
              <w:t>m</w:t>
            </w:r>
            <w:r w:rsidRPr="007C4D65">
              <w:rPr>
                <w:rFonts w:asciiTheme="minorHAnsi" w:eastAsiaTheme="minorHAnsi" w:hAnsiTheme="minorHAnsi" w:cstheme="minorHAnsi"/>
                <w:sz w:val="18"/>
                <w:szCs w:val="18"/>
                <w:lang w:eastAsia="en-US"/>
              </w:rPr>
              <w:t>obility</w:t>
            </w:r>
            <w:r w:rsidR="007D68A0" w:rsidRPr="007C4D65">
              <w:rPr>
                <w:rFonts w:asciiTheme="minorHAnsi" w:eastAsiaTheme="minorHAnsi" w:hAnsiTheme="minorHAnsi" w:cstheme="minorHAnsi"/>
                <w:sz w:val="18"/>
                <w:szCs w:val="18"/>
                <w:lang w:eastAsia="en-US"/>
              </w:rPr>
              <w:t>;</w:t>
            </w:r>
            <w:r w:rsidRPr="007C4D65">
              <w:rPr>
                <w:rFonts w:asciiTheme="minorHAnsi" w:eastAsiaTheme="minorHAnsi" w:hAnsiTheme="minorHAnsi" w:cstheme="minorHAnsi"/>
                <w:sz w:val="18"/>
                <w:szCs w:val="18"/>
                <w:lang w:eastAsia="en-US"/>
              </w:rPr>
              <w:t xml:space="preserve"> II Circular economy</w:t>
            </w:r>
            <w:r w:rsidR="007D68A0" w:rsidRPr="007C4D65">
              <w:rPr>
                <w:rFonts w:asciiTheme="minorHAnsi" w:eastAsiaTheme="minorHAnsi" w:hAnsiTheme="minorHAnsi" w:cstheme="minorHAnsi"/>
                <w:sz w:val="18"/>
                <w:szCs w:val="18"/>
                <w:lang w:eastAsia="en-US"/>
              </w:rPr>
              <w:t>;</w:t>
            </w:r>
            <w:r w:rsidRPr="007C4D65">
              <w:rPr>
                <w:rFonts w:asciiTheme="minorHAnsi" w:eastAsiaTheme="minorHAnsi" w:hAnsiTheme="minorHAnsi" w:cstheme="minorHAnsi"/>
                <w:sz w:val="18"/>
                <w:szCs w:val="18"/>
                <w:lang w:eastAsia="en-US"/>
              </w:rPr>
              <w:t xml:space="preserve"> III Waste management</w:t>
            </w:r>
            <w:r w:rsidR="007D68A0" w:rsidRPr="007C4D65">
              <w:rPr>
                <w:rFonts w:asciiTheme="minorHAnsi" w:eastAsiaTheme="minorHAnsi" w:hAnsiTheme="minorHAnsi" w:cstheme="minorHAnsi"/>
                <w:sz w:val="18"/>
                <w:szCs w:val="18"/>
                <w:lang w:eastAsia="en-US"/>
              </w:rPr>
              <w:t>;</w:t>
            </w:r>
            <w:r w:rsidRPr="007C4D65">
              <w:rPr>
                <w:rFonts w:asciiTheme="minorHAnsi" w:eastAsiaTheme="minorHAnsi" w:hAnsiTheme="minorHAnsi" w:cstheme="minorHAnsi"/>
                <w:sz w:val="18"/>
                <w:szCs w:val="18"/>
                <w:lang w:eastAsia="en-US"/>
              </w:rPr>
              <w:t xml:space="preserve"> IV Elimination of Pollution</w:t>
            </w:r>
            <w:r w:rsidR="007D68A0" w:rsidRPr="007C4D65">
              <w:rPr>
                <w:rFonts w:asciiTheme="minorHAnsi" w:eastAsiaTheme="minorHAnsi" w:hAnsiTheme="minorHAnsi" w:cstheme="minorHAnsi"/>
                <w:sz w:val="18"/>
                <w:szCs w:val="18"/>
                <w:lang w:eastAsia="en-US"/>
              </w:rPr>
              <w:t>:</w:t>
            </w:r>
            <w:r w:rsidRPr="007C4D65">
              <w:rPr>
                <w:rFonts w:asciiTheme="minorHAnsi" w:eastAsiaTheme="minorHAnsi" w:hAnsiTheme="minorHAnsi" w:cstheme="minorHAnsi"/>
                <w:sz w:val="18"/>
                <w:szCs w:val="18"/>
                <w:lang w:eastAsia="en-US"/>
              </w:rPr>
              <w:t xml:space="preserve"> V Biodiversity</w:t>
            </w:r>
            <w:r w:rsidR="007D68A0" w:rsidRPr="007C4D65">
              <w:rPr>
                <w:rFonts w:asciiTheme="minorHAnsi" w:eastAsia="Calibri" w:hAnsiTheme="minorHAnsi" w:cstheme="minorHAnsi"/>
                <w:sz w:val="18"/>
                <w:szCs w:val="18"/>
                <w:lang w:eastAsia="en-US"/>
              </w:rPr>
              <w:t>.</w:t>
            </w:r>
          </w:p>
          <w:p w14:paraId="64789670" w14:textId="77777777" w:rsidR="00AE620E" w:rsidRPr="007C4D65" w:rsidRDefault="00AE620E" w:rsidP="00AE620E">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General areas of intervention are:</w:t>
            </w:r>
          </w:p>
          <w:p w14:paraId="01304638" w14:textId="0B2A8ECA" w:rsidR="00AE620E" w:rsidRPr="007C4D65" w:rsidRDefault="00AE620E">
            <w:pPr>
              <w:pStyle w:val="ListParagraph"/>
              <w:numPr>
                <w:ilvl w:val="0"/>
                <w:numId w:val="227"/>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Improving institutional forms of </w:t>
            </w:r>
            <w:bookmarkStart w:id="376" w:name="_Hlk95008408"/>
            <w:r w:rsidRPr="007C4D65">
              <w:rPr>
                <w:rFonts w:asciiTheme="minorHAnsi" w:eastAsiaTheme="minorHAnsi" w:hAnsiTheme="minorHAnsi" w:cstheme="minorHAnsi"/>
                <w:sz w:val="18"/>
                <w:szCs w:val="18"/>
                <w:lang w:eastAsia="en-US"/>
              </w:rPr>
              <w:t>cooperation among the</w:t>
            </w:r>
            <w:r w:rsidR="007D68A0" w:rsidRPr="007C4D65">
              <w:rPr>
                <w:rFonts w:asciiTheme="minorHAnsi" w:eastAsiaTheme="minorHAnsi" w:hAnsiTheme="minorHAnsi" w:cstheme="minorHAnsi"/>
                <w:sz w:val="18"/>
                <w:szCs w:val="18"/>
                <w:lang w:eastAsia="en-US"/>
              </w:rPr>
              <w:t xml:space="preserve"> environmental</w:t>
            </w:r>
            <w:r w:rsidRPr="007C4D65">
              <w:rPr>
                <w:rFonts w:asciiTheme="minorHAnsi" w:eastAsiaTheme="minorHAnsi" w:hAnsiTheme="minorHAnsi" w:cstheme="minorHAnsi"/>
                <w:sz w:val="18"/>
                <w:szCs w:val="18"/>
                <w:lang w:eastAsia="en-US"/>
              </w:rPr>
              <w:t xml:space="preserve"> institutions in the Federation of Bosnia and Herzegovina with institutions from other </w:t>
            </w:r>
            <w:proofErr w:type="gramStart"/>
            <w:r w:rsidRPr="007C4D65">
              <w:rPr>
                <w:rFonts w:asciiTheme="minorHAnsi" w:eastAsiaTheme="minorHAnsi" w:hAnsiTheme="minorHAnsi" w:cstheme="minorHAnsi"/>
                <w:sz w:val="18"/>
                <w:szCs w:val="18"/>
                <w:lang w:eastAsia="en-US"/>
              </w:rPr>
              <w:t xml:space="preserve">sectors </w:t>
            </w:r>
            <w:bookmarkEnd w:id="376"/>
            <w:r w:rsidRPr="007C4D65">
              <w:rPr>
                <w:rFonts w:asciiTheme="minorHAnsi" w:eastAsiaTheme="minorHAnsi" w:hAnsiTheme="minorHAnsi" w:cstheme="minorHAnsi"/>
                <w:sz w:val="18"/>
                <w:szCs w:val="18"/>
                <w:lang w:eastAsia="en-US"/>
              </w:rPr>
              <w:t xml:space="preserve"> (</w:t>
            </w:r>
            <w:proofErr w:type="gramEnd"/>
            <w:r w:rsidRPr="007C4D65">
              <w:rPr>
                <w:rFonts w:asciiTheme="minorHAnsi" w:eastAsiaTheme="minorHAnsi" w:hAnsiTheme="minorHAnsi" w:cstheme="minorHAnsi"/>
                <w:sz w:val="18"/>
                <w:szCs w:val="18"/>
                <w:lang w:eastAsia="en-US"/>
              </w:rPr>
              <w:t>such as energy, spatial planning, transport, mining, agriculture, forestry, health sector, tourism, education sector, gender equality, social welfare)</w:t>
            </w:r>
            <w:r w:rsidR="00397061" w:rsidRPr="007C4D65">
              <w:rPr>
                <w:rFonts w:asciiTheme="minorHAnsi" w:eastAsia="Calibri" w:hAnsiTheme="minorHAnsi" w:cstheme="minorHAnsi"/>
                <w:sz w:val="18"/>
                <w:szCs w:val="18"/>
                <w:lang w:eastAsia="en-US"/>
              </w:rPr>
              <w:t>;</w:t>
            </w:r>
          </w:p>
          <w:p w14:paraId="34028BAA" w14:textId="7D8E4BEF" w:rsidR="00AE620E" w:rsidRPr="007C4D65" w:rsidRDefault="00AE620E">
            <w:pPr>
              <w:pStyle w:val="ListParagraph"/>
              <w:numPr>
                <w:ilvl w:val="0"/>
                <w:numId w:val="227"/>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Proactive participation in consultations on drafts of sectoral legal and policy </w:t>
            </w:r>
            <w:proofErr w:type="gramStart"/>
            <w:r w:rsidRPr="007C4D65">
              <w:rPr>
                <w:rFonts w:asciiTheme="minorHAnsi" w:eastAsiaTheme="minorHAnsi" w:hAnsiTheme="minorHAnsi" w:cstheme="minorHAnsi"/>
                <w:sz w:val="18"/>
                <w:szCs w:val="18"/>
                <w:lang w:eastAsia="en-US"/>
              </w:rPr>
              <w:t>document</w:t>
            </w:r>
            <w:r w:rsidR="00397061" w:rsidRPr="007C4D65">
              <w:rPr>
                <w:rFonts w:asciiTheme="minorHAnsi" w:eastAsia="Calibri" w:hAnsiTheme="minorHAnsi" w:cstheme="minorHAnsi"/>
                <w:sz w:val="18"/>
                <w:szCs w:val="18"/>
                <w:lang w:eastAsia="en-US"/>
              </w:rPr>
              <w:t>;</w:t>
            </w:r>
            <w:proofErr w:type="gramEnd"/>
          </w:p>
          <w:p w14:paraId="60B4D0DF" w14:textId="57040323" w:rsidR="00AE620E" w:rsidRPr="007C4D65" w:rsidRDefault="007D68A0">
            <w:pPr>
              <w:pStyle w:val="ListParagraph"/>
              <w:numPr>
                <w:ilvl w:val="0"/>
                <w:numId w:val="227"/>
              </w:numPr>
              <w:spacing w:before="40" w:after="40" w:line="276" w:lineRule="auto"/>
              <w:rPr>
                <w:rFonts w:asciiTheme="minorHAnsi" w:eastAsia="Calibri" w:hAnsiTheme="minorHAnsi" w:cstheme="minorHAnsi"/>
                <w:sz w:val="18"/>
                <w:szCs w:val="18"/>
                <w:lang w:eastAsia="en-US"/>
              </w:rPr>
            </w:pPr>
            <w:bookmarkStart w:id="377" w:name="_Hlk95008453"/>
            <w:r w:rsidRPr="007C4D65">
              <w:rPr>
                <w:rFonts w:asciiTheme="minorHAnsi" w:eastAsiaTheme="minorHAnsi" w:hAnsiTheme="minorHAnsi" w:cstheme="minorHAnsi"/>
                <w:sz w:val="18"/>
                <w:szCs w:val="18"/>
                <w:lang w:eastAsia="en-US"/>
              </w:rPr>
              <w:t>Robust</w:t>
            </w:r>
            <w:r w:rsidR="00AE620E" w:rsidRPr="007C4D65">
              <w:rPr>
                <w:rFonts w:asciiTheme="minorHAnsi" w:eastAsiaTheme="minorHAnsi" w:hAnsiTheme="minorHAnsi" w:cstheme="minorHAnsi"/>
                <w:sz w:val="18"/>
                <w:szCs w:val="18"/>
                <w:lang w:eastAsia="en-US"/>
              </w:rPr>
              <w:t xml:space="preserve"> application of the instruments of strategic environmental </w:t>
            </w:r>
            <w:proofErr w:type="gramStart"/>
            <w:r w:rsidR="00AE620E" w:rsidRPr="007C4D65">
              <w:rPr>
                <w:rFonts w:asciiTheme="minorHAnsi" w:eastAsiaTheme="minorHAnsi" w:hAnsiTheme="minorHAnsi" w:cstheme="minorHAnsi"/>
                <w:sz w:val="18"/>
                <w:szCs w:val="18"/>
                <w:lang w:eastAsia="en-US"/>
              </w:rPr>
              <w:t>assessment</w:t>
            </w:r>
            <w:bookmarkEnd w:id="377"/>
            <w:r w:rsidR="00397061" w:rsidRPr="007C4D65">
              <w:rPr>
                <w:rFonts w:asciiTheme="minorHAnsi" w:eastAsia="Calibri" w:hAnsiTheme="minorHAnsi" w:cstheme="minorHAnsi"/>
                <w:sz w:val="18"/>
                <w:szCs w:val="18"/>
                <w:lang w:eastAsia="en-US"/>
              </w:rPr>
              <w:t>;</w:t>
            </w:r>
            <w:proofErr w:type="gramEnd"/>
          </w:p>
          <w:p w14:paraId="13BDF7BC" w14:textId="4FF94488" w:rsidR="00AE620E" w:rsidRPr="007C4D65" w:rsidRDefault="00AE620E">
            <w:pPr>
              <w:pStyle w:val="ListParagraph"/>
              <w:numPr>
                <w:ilvl w:val="0"/>
                <w:numId w:val="227"/>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Regulating mandatory assessment of ecosystem services in preparation of reports on strategic environmental </w:t>
            </w:r>
            <w:proofErr w:type="gramStart"/>
            <w:r w:rsidRPr="007C4D65">
              <w:rPr>
                <w:rFonts w:asciiTheme="minorHAnsi" w:eastAsiaTheme="minorHAnsi" w:hAnsiTheme="minorHAnsi" w:cstheme="minorHAnsi"/>
                <w:sz w:val="18"/>
                <w:szCs w:val="18"/>
                <w:lang w:eastAsia="en-US"/>
              </w:rPr>
              <w:t>assessments</w:t>
            </w:r>
            <w:r w:rsidR="00397061" w:rsidRPr="007C4D65">
              <w:rPr>
                <w:rFonts w:asciiTheme="minorHAnsi" w:eastAsia="Calibri" w:hAnsiTheme="minorHAnsi" w:cstheme="minorHAnsi"/>
                <w:sz w:val="18"/>
                <w:szCs w:val="18"/>
                <w:lang w:eastAsia="en-US"/>
              </w:rPr>
              <w:t>;</w:t>
            </w:r>
            <w:proofErr w:type="gramEnd"/>
          </w:p>
          <w:p w14:paraId="79D594B3" w14:textId="4EA80FB8" w:rsidR="00AE620E" w:rsidRPr="007C4D65" w:rsidRDefault="007D68A0">
            <w:pPr>
              <w:pStyle w:val="ListParagraph"/>
              <w:numPr>
                <w:ilvl w:val="0"/>
                <w:numId w:val="227"/>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Requirement for compliance of</w:t>
            </w:r>
            <w:r w:rsidR="00AE620E" w:rsidRPr="007C4D65">
              <w:rPr>
                <w:rFonts w:asciiTheme="minorHAnsi" w:eastAsiaTheme="minorHAnsi" w:hAnsiTheme="minorHAnsi" w:cstheme="minorHAnsi"/>
                <w:sz w:val="18"/>
                <w:szCs w:val="18"/>
                <w:lang w:eastAsia="en-US"/>
              </w:rPr>
              <w:t xml:space="preserve"> environmental plans and programmes and projects with the applicable spatial plans</w:t>
            </w:r>
          </w:p>
          <w:p w14:paraId="11B69A15" w14:textId="768C8AC0" w:rsidR="00AE620E" w:rsidRPr="007C4D65" w:rsidRDefault="00AE620E">
            <w:pPr>
              <w:pStyle w:val="ListParagraph"/>
              <w:numPr>
                <w:ilvl w:val="0"/>
                <w:numId w:val="227"/>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Integration of climate change adaptation in sectoral development strategies, programmes and plans </w:t>
            </w:r>
            <w:r w:rsidR="007D68A0" w:rsidRPr="007C4D65">
              <w:rPr>
                <w:rFonts w:asciiTheme="minorHAnsi" w:eastAsiaTheme="minorHAnsi" w:hAnsiTheme="minorHAnsi" w:cstheme="minorHAnsi"/>
                <w:sz w:val="18"/>
                <w:szCs w:val="18"/>
                <w:lang w:eastAsia="en-US"/>
              </w:rPr>
              <w:t>in</w:t>
            </w:r>
            <w:r w:rsidRPr="007C4D65">
              <w:rPr>
                <w:rFonts w:asciiTheme="minorHAnsi" w:eastAsiaTheme="minorHAnsi" w:hAnsiTheme="minorHAnsi" w:cstheme="minorHAnsi"/>
                <w:sz w:val="18"/>
                <w:szCs w:val="18"/>
                <w:lang w:eastAsia="en-US"/>
              </w:rPr>
              <w:t xml:space="preserve"> sectors exposed to a high risk and vulnerable to climate impacts (</w:t>
            </w:r>
            <w:bookmarkStart w:id="378" w:name="_Hlk95008489"/>
            <w:r w:rsidRPr="007C4D65">
              <w:rPr>
                <w:rFonts w:asciiTheme="minorHAnsi" w:eastAsiaTheme="minorHAnsi" w:hAnsiTheme="minorHAnsi" w:cstheme="minorHAnsi"/>
                <w:sz w:val="18"/>
                <w:szCs w:val="18"/>
                <w:lang w:eastAsia="en-US"/>
              </w:rPr>
              <w:t xml:space="preserve">agriculture, water resources/water management, forestry/forest resources, human health, biodiversity, and vulnerable ecosystems, tourism </w:t>
            </w:r>
            <w:bookmarkEnd w:id="378"/>
            <w:r w:rsidRPr="007C4D65">
              <w:rPr>
                <w:rFonts w:asciiTheme="minorHAnsi" w:eastAsiaTheme="minorHAnsi" w:hAnsiTheme="minorHAnsi" w:cstheme="minorHAnsi"/>
                <w:sz w:val="18"/>
                <w:szCs w:val="18"/>
                <w:lang w:eastAsia="en-US"/>
              </w:rPr>
              <w:t>)</w:t>
            </w:r>
            <w:r w:rsidR="00397061" w:rsidRPr="007C4D65">
              <w:rPr>
                <w:rFonts w:asciiTheme="minorHAnsi" w:eastAsia="Calibri" w:hAnsiTheme="minorHAnsi" w:cstheme="minorHAnsi"/>
                <w:sz w:val="18"/>
                <w:szCs w:val="18"/>
                <w:lang w:eastAsia="en-US"/>
              </w:rPr>
              <w:t>.</w:t>
            </w:r>
          </w:p>
        </w:tc>
      </w:tr>
      <w:tr w:rsidR="00AE620E" w:rsidRPr="007C4D65" w14:paraId="194ACB18"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65370E9" w14:textId="77777777" w:rsidR="00AE620E" w:rsidRPr="007C4D65" w:rsidRDefault="00AE620E" w:rsidP="00AE620E">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Strategic projects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2A1F995A" w14:textId="77777777" w:rsidR="00AE620E" w:rsidRPr="007C4D65" w:rsidRDefault="00AE620E" w:rsidP="00AE620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AE620E" w:rsidRPr="007C4D65" w14:paraId="4BC14AF1" w14:textId="77777777" w:rsidTr="00B6017F">
        <w:trPr>
          <w:trHeight w:val="567"/>
        </w:trPr>
        <w:tc>
          <w:tcPr>
            <w:tcW w:w="135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55E1070" w14:textId="77777777" w:rsidR="00AE620E" w:rsidRPr="007C4D65" w:rsidRDefault="00AE620E" w:rsidP="00AE620E">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4A985C8" w14:textId="77777777" w:rsidR="00AE620E" w:rsidRPr="007C4D65" w:rsidRDefault="00AE620E" w:rsidP="00AE620E">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567E357A" w14:textId="77777777" w:rsidR="00AE620E" w:rsidRPr="007C4D65" w:rsidRDefault="00AE620E" w:rsidP="00AE620E">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2D671C5" w14:textId="77777777" w:rsidR="00AE620E" w:rsidRPr="007C4D65" w:rsidRDefault="00AE620E" w:rsidP="00AE620E">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37D77459" w14:textId="77777777" w:rsidR="00AE620E" w:rsidRPr="007C4D65" w:rsidRDefault="00AE620E" w:rsidP="00AE620E">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F9755BE" w14:textId="77777777" w:rsidR="00AE620E" w:rsidRPr="007C4D65" w:rsidRDefault="00AE620E" w:rsidP="00AE620E">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AE620E" w:rsidRPr="007C4D65" w14:paraId="598DC3C9"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5164CF20" w14:textId="77777777" w:rsidR="00AE620E" w:rsidRPr="007C4D65" w:rsidRDefault="00AE620E" w:rsidP="00AE620E">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36AD4B8" w14:textId="3C91BD45" w:rsidR="00AE620E" w:rsidRPr="007C4D65" w:rsidRDefault="0084008C">
            <w:pPr>
              <w:numPr>
                <w:ilvl w:val="0"/>
                <w:numId w:val="22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Institutionalisation of some forms of</w:t>
            </w:r>
            <w:r w:rsidR="00AE620E" w:rsidRPr="007C4D65">
              <w:rPr>
                <w:rFonts w:asciiTheme="minorHAnsi" w:eastAsiaTheme="minorHAnsi" w:hAnsiTheme="minorHAnsi" w:cstheme="minorHAnsi"/>
                <w:sz w:val="18"/>
                <w:szCs w:val="18"/>
                <w:lang w:eastAsia="en-US"/>
              </w:rPr>
              <w:t xml:space="preserve"> cooperation between the environment sector and other sectors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46F655E" w14:textId="77777777" w:rsidR="00AE620E" w:rsidRPr="007C4D65" w:rsidRDefault="00AE620E" w:rsidP="00AE620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Poorly institutionalised</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090AEC6" w14:textId="0E45045C" w:rsidR="00AE620E" w:rsidRPr="007C4D65" w:rsidRDefault="00AE620E" w:rsidP="00AE620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Institutionalised cooperation between the environmental and other sectors (2030)</w:t>
            </w:r>
          </w:p>
        </w:tc>
      </w:tr>
      <w:tr w:rsidR="00AE620E" w:rsidRPr="007C4D65" w14:paraId="431B6D5F"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2E9CD867" w14:textId="77777777" w:rsidR="00AE620E" w:rsidRPr="007C4D65" w:rsidRDefault="00AE620E" w:rsidP="00AE620E">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226ADDA" w14:textId="77777777" w:rsidR="00AE620E" w:rsidRPr="007C4D65" w:rsidRDefault="00AE620E">
            <w:pPr>
              <w:numPr>
                <w:ilvl w:val="0"/>
                <w:numId w:val="226"/>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3)4) Contribution of the environmental institutions to the integration of environmental requirements in sectoral policies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0E85425" w14:textId="77777777" w:rsidR="00AE620E" w:rsidRPr="007C4D65" w:rsidRDefault="00AE620E" w:rsidP="00AE620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Poor contribution of the environmental institutions to the integration of environmental requirements in sectoral policies</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BF0E203" w14:textId="679E0208" w:rsidR="00AE620E" w:rsidRPr="007C4D65" w:rsidRDefault="0084008C" w:rsidP="00AE620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e</w:t>
            </w:r>
            <w:r w:rsidR="00AE620E" w:rsidRPr="007C4D65">
              <w:rPr>
                <w:rFonts w:asciiTheme="minorHAnsi" w:eastAsiaTheme="minorHAnsi" w:hAnsiTheme="minorHAnsi" w:cstheme="minorHAnsi"/>
                <w:sz w:val="18"/>
                <w:szCs w:val="18"/>
                <w:lang w:eastAsia="en-US"/>
              </w:rPr>
              <w:t xml:space="preserve">nvironmental institutions </w:t>
            </w:r>
            <w:r w:rsidRPr="007C4D65">
              <w:rPr>
                <w:rFonts w:asciiTheme="minorHAnsi" w:eastAsiaTheme="minorHAnsi" w:hAnsiTheme="minorHAnsi" w:cstheme="minorHAnsi"/>
                <w:sz w:val="18"/>
                <w:szCs w:val="18"/>
                <w:lang w:eastAsia="en-US"/>
              </w:rPr>
              <w:t>play an active role in</w:t>
            </w:r>
            <w:r w:rsidR="00AE620E" w:rsidRPr="007C4D65">
              <w:rPr>
                <w:rFonts w:asciiTheme="minorHAnsi" w:eastAsiaTheme="minorHAnsi" w:hAnsiTheme="minorHAnsi" w:cstheme="minorHAnsi"/>
                <w:sz w:val="18"/>
                <w:szCs w:val="18"/>
                <w:lang w:eastAsia="en-US"/>
              </w:rPr>
              <w:t xml:space="preserve"> integration of environmental requirements in sectoral policies (continuously- 2030)</w:t>
            </w:r>
          </w:p>
        </w:tc>
      </w:tr>
      <w:tr w:rsidR="00AE620E" w:rsidRPr="007C4D65" w14:paraId="536F814B"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0E3FBF04" w14:textId="77777777" w:rsidR="00AE620E" w:rsidRPr="007C4D65" w:rsidRDefault="00AE620E" w:rsidP="00AE620E">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E8FA657" w14:textId="77777777" w:rsidR="00AE620E" w:rsidRPr="007C4D65" w:rsidRDefault="00AE620E" w:rsidP="00AE620E">
            <w:pPr>
              <w:spacing w:before="40" w:after="40" w:line="276" w:lineRule="auto"/>
              <w:ind w:left="265" w:hanging="265"/>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5) Compliance of environmental plans and programmes and projects with the applicable spatial plans </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7ED1FB0" w14:textId="77777777" w:rsidR="00AE620E" w:rsidRPr="007C4D65" w:rsidRDefault="00AE620E" w:rsidP="00AE620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Partially in compliance</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EE572BC" w14:textId="76CD52F1" w:rsidR="00AE620E" w:rsidRPr="007C4D65" w:rsidRDefault="0084008C" w:rsidP="00AE620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C</w:t>
            </w:r>
            <w:r w:rsidR="00AE620E" w:rsidRPr="007C4D65">
              <w:rPr>
                <w:rFonts w:asciiTheme="minorHAnsi" w:eastAsiaTheme="minorHAnsi" w:hAnsiTheme="minorHAnsi" w:cstheme="minorHAnsi"/>
                <w:sz w:val="18"/>
                <w:szCs w:val="18"/>
                <w:lang w:eastAsia="en-US"/>
              </w:rPr>
              <w:t>ompliance of environmental plans</w:t>
            </w:r>
            <w:r w:rsidRPr="007C4D65">
              <w:rPr>
                <w:rFonts w:asciiTheme="minorHAnsi" w:eastAsiaTheme="minorHAnsi" w:hAnsiTheme="minorHAnsi" w:cstheme="minorHAnsi"/>
                <w:sz w:val="18"/>
                <w:szCs w:val="18"/>
                <w:lang w:eastAsia="en-US"/>
              </w:rPr>
              <w:t xml:space="preserve">, </w:t>
            </w:r>
            <w:r w:rsidR="00AE620E" w:rsidRPr="007C4D65">
              <w:rPr>
                <w:rFonts w:asciiTheme="minorHAnsi" w:eastAsiaTheme="minorHAnsi" w:hAnsiTheme="minorHAnsi" w:cstheme="minorHAnsi"/>
                <w:sz w:val="18"/>
                <w:szCs w:val="18"/>
                <w:lang w:eastAsia="en-US"/>
              </w:rPr>
              <w:t>programmes</w:t>
            </w:r>
            <w:r w:rsidRPr="007C4D65">
              <w:rPr>
                <w:rFonts w:asciiTheme="minorHAnsi" w:eastAsiaTheme="minorHAnsi" w:hAnsiTheme="minorHAnsi" w:cstheme="minorHAnsi"/>
                <w:sz w:val="18"/>
                <w:szCs w:val="18"/>
                <w:lang w:eastAsia="en-US"/>
              </w:rPr>
              <w:t>,</w:t>
            </w:r>
            <w:r w:rsidR="00AE620E" w:rsidRPr="007C4D65">
              <w:rPr>
                <w:rFonts w:asciiTheme="minorHAnsi" w:eastAsiaTheme="minorHAnsi" w:hAnsiTheme="minorHAnsi" w:cstheme="minorHAnsi"/>
                <w:sz w:val="18"/>
                <w:szCs w:val="18"/>
                <w:lang w:eastAsia="en-US"/>
              </w:rPr>
              <w:t xml:space="preserve"> and projects with the applicable spatial plans secured (continuously 2030+)</w:t>
            </w:r>
          </w:p>
        </w:tc>
      </w:tr>
      <w:tr w:rsidR="00AE620E" w:rsidRPr="007C4D65" w14:paraId="2CB126C4"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77C002C5" w14:textId="77777777" w:rsidR="00AE620E" w:rsidRPr="007C4D65" w:rsidRDefault="00AE620E" w:rsidP="00AE620E">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C372852" w14:textId="08B3D227" w:rsidR="00AE620E" w:rsidRPr="007C4D65" w:rsidRDefault="00AE620E" w:rsidP="00AE620E">
            <w:pPr>
              <w:spacing w:before="40" w:after="40" w:line="276" w:lineRule="auto"/>
              <w:ind w:left="265" w:hanging="265"/>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6) Contribution of the environmental institutions </w:t>
            </w:r>
            <w:r w:rsidR="0084008C" w:rsidRPr="007C4D65">
              <w:rPr>
                <w:rFonts w:asciiTheme="minorHAnsi" w:eastAsiaTheme="minorHAnsi" w:hAnsiTheme="minorHAnsi" w:cstheme="minorHAnsi"/>
                <w:sz w:val="18"/>
                <w:szCs w:val="18"/>
                <w:lang w:eastAsia="en-US"/>
              </w:rPr>
              <w:t>to</w:t>
            </w:r>
            <w:r w:rsidRPr="007C4D65">
              <w:rPr>
                <w:rFonts w:asciiTheme="minorHAnsi" w:eastAsiaTheme="minorHAnsi" w:hAnsiTheme="minorHAnsi" w:cstheme="minorHAnsi"/>
                <w:sz w:val="18"/>
                <w:szCs w:val="18"/>
                <w:lang w:eastAsia="en-US"/>
              </w:rPr>
              <w:t xml:space="preserve"> </w:t>
            </w:r>
            <w:r w:rsidR="0084008C" w:rsidRPr="007C4D65">
              <w:rPr>
                <w:rFonts w:asciiTheme="minorHAnsi" w:eastAsiaTheme="minorHAnsi" w:hAnsiTheme="minorHAnsi" w:cstheme="minorHAnsi"/>
                <w:sz w:val="18"/>
                <w:szCs w:val="18"/>
                <w:lang w:eastAsia="en-US"/>
              </w:rPr>
              <w:t xml:space="preserve">the </w:t>
            </w:r>
            <w:r w:rsidRPr="007C4D65">
              <w:rPr>
                <w:rFonts w:asciiTheme="minorHAnsi" w:eastAsiaTheme="minorHAnsi" w:hAnsiTheme="minorHAnsi" w:cstheme="minorHAnsi"/>
                <w:sz w:val="18"/>
                <w:szCs w:val="18"/>
                <w:lang w:eastAsia="en-US"/>
              </w:rPr>
              <w:t xml:space="preserve">preparation of documents </w:t>
            </w:r>
            <w:r w:rsidR="0084008C" w:rsidRPr="007C4D65">
              <w:rPr>
                <w:rFonts w:asciiTheme="minorHAnsi" w:eastAsiaTheme="minorHAnsi" w:hAnsiTheme="minorHAnsi" w:cstheme="minorHAnsi"/>
                <w:sz w:val="18"/>
                <w:szCs w:val="18"/>
                <w:lang w:eastAsia="en-US"/>
              </w:rPr>
              <w:t xml:space="preserve">addressing topics other than environment </w:t>
            </w:r>
            <w:r w:rsidRPr="007C4D65">
              <w:rPr>
                <w:rFonts w:asciiTheme="minorHAnsi" w:eastAsiaTheme="minorHAnsi" w:hAnsiTheme="minorHAnsi" w:cstheme="minorHAnsi"/>
                <w:sz w:val="18"/>
                <w:szCs w:val="18"/>
                <w:lang w:eastAsia="en-US"/>
              </w:rPr>
              <w:t>aimed at the integration of climate change adaptation</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B1282DF" w14:textId="77777777" w:rsidR="00AE620E" w:rsidRPr="007C4D65" w:rsidRDefault="00AE620E" w:rsidP="00AE620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Relatively minor contribution</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0335783" w14:textId="45746B62" w:rsidR="00AE620E" w:rsidRPr="007C4D65" w:rsidRDefault="0084008C" w:rsidP="00AE620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e</w:t>
            </w:r>
            <w:r w:rsidR="00AE620E" w:rsidRPr="007C4D65">
              <w:rPr>
                <w:rFonts w:asciiTheme="minorHAnsi" w:eastAsiaTheme="minorHAnsi" w:hAnsiTheme="minorHAnsi" w:cstheme="minorHAnsi"/>
                <w:sz w:val="18"/>
                <w:szCs w:val="18"/>
                <w:lang w:eastAsia="en-US"/>
              </w:rPr>
              <w:t>nvironmental institutions</w:t>
            </w:r>
            <w:r w:rsidRPr="007C4D65">
              <w:rPr>
                <w:rFonts w:asciiTheme="minorHAnsi" w:eastAsiaTheme="minorHAnsi" w:hAnsiTheme="minorHAnsi" w:cstheme="minorHAnsi"/>
                <w:sz w:val="18"/>
                <w:szCs w:val="18"/>
                <w:lang w:eastAsia="en-US"/>
              </w:rPr>
              <w:t xml:space="preserve"> play an active role</w:t>
            </w:r>
            <w:r w:rsidR="00AE620E" w:rsidRPr="007C4D65">
              <w:rPr>
                <w:rFonts w:asciiTheme="minorHAnsi" w:eastAsiaTheme="minorHAnsi" w:hAnsiTheme="minorHAnsi" w:cstheme="minorHAnsi"/>
                <w:sz w:val="18"/>
                <w:szCs w:val="18"/>
                <w:lang w:eastAsia="en-US"/>
              </w:rPr>
              <w:t xml:space="preserve"> in </w:t>
            </w:r>
            <w:r w:rsidRPr="007C4D65">
              <w:rPr>
                <w:rFonts w:asciiTheme="minorHAnsi" w:eastAsiaTheme="minorHAnsi" w:hAnsiTheme="minorHAnsi" w:cstheme="minorHAnsi"/>
                <w:sz w:val="18"/>
                <w:szCs w:val="18"/>
                <w:lang w:eastAsia="en-US"/>
              </w:rPr>
              <w:t>the</w:t>
            </w:r>
            <w:r w:rsidR="00AE620E" w:rsidRPr="007C4D65">
              <w:rPr>
                <w:rFonts w:asciiTheme="minorHAnsi" w:eastAsiaTheme="minorHAnsi" w:hAnsiTheme="minorHAnsi" w:cstheme="minorHAnsi"/>
                <w:sz w:val="18"/>
                <w:szCs w:val="18"/>
                <w:lang w:eastAsia="en-US"/>
              </w:rPr>
              <w:t xml:space="preserve"> preparation of </w:t>
            </w:r>
            <w:r w:rsidRPr="007C4D65">
              <w:rPr>
                <w:rFonts w:asciiTheme="minorHAnsi" w:eastAsiaTheme="minorHAnsi" w:hAnsiTheme="minorHAnsi" w:cstheme="minorHAnsi"/>
                <w:sz w:val="18"/>
                <w:szCs w:val="18"/>
                <w:lang w:eastAsia="en-US"/>
              </w:rPr>
              <w:t xml:space="preserve">documents addressing topics other than environment </w:t>
            </w:r>
            <w:r w:rsidR="00AE620E" w:rsidRPr="007C4D65">
              <w:rPr>
                <w:rFonts w:asciiTheme="minorHAnsi" w:eastAsiaTheme="minorHAnsi" w:hAnsiTheme="minorHAnsi" w:cstheme="minorHAnsi"/>
                <w:sz w:val="18"/>
                <w:szCs w:val="18"/>
                <w:lang w:eastAsia="en-US"/>
              </w:rPr>
              <w:t>aimed at the integration of climate change adaptation provided (2027)</w:t>
            </w:r>
          </w:p>
        </w:tc>
      </w:tr>
      <w:tr w:rsidR="00AE620E" w:rsidRPr="007C4D65" w14:paraId="02CEE7F5"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328EF71" w14:textId="77777777" w:rsidR="00AE620E" w:rsidRPr="007C4D65" w:rsidRDefault="00AE620E" w:rsidP="00AE620E">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4768B67" w14:textId="29C07915" w:rsidR="00AE620E" w:rsidRPr="007C4D65" w:rsidRDefault="0084008C" w:rsidP="00AE620E">
            <w:pPr>
              <w:spacing w:before="40" w:after="40" w:line="276" w:lineRule="auto"/>
              <w:rPr>
                <w:rFonts w:asciiTheme="minorHAnsi" w:eastAsiaTheme="minorHAnsi" w:hAnsiTheme="minorHAnsi" w:cstheme="minorHAnsi"/>
                <w:sz w:val="18"/>
                <w:szCs w:val="18"/>
                <w:lang w:val="bs-Latn-BA" w:eastAsia="en-US" w:bidi="en-US"/>
              </w:rPr>
            </w:pPr>
            <w:r w:rsidRPr="007C4D65">
              <w:rPr>
                <w:rFonts w:asciiTheme="minorHAnsi" w:eastAsiaTheme="minorHAnsi" w:hAnsiTheme="minorHAnsi" w:cstheme="minorHAnsi"/>
                <w:sz w:val="18"/>
                <w:szCs w:val="18"/>
                <w:lang w:eastAsia="en-US" w:bidi="en-US"/>
              </w:rPr>
              <w:t xml:space="preserve">Contribution to creating a </w:t>
            </w:r>
            <w:r w:rsidR="006A2ADB" w:rsidRPr="007C4D65">
              <w:rPr>
                <w:rFonts w:asciiTheme="minorHAnsi" w:eastAsiaTheme="minorHAnsi" w:hAnsiTheme="minorHAnsi" w:cstheme="minorHAnsi"/>
                <w:sz w:val="18"/>
                <w:szCs w:val="18"/>
                <w:lang w:eastAsia="en-US" w:bidi="en-US"/>
              </w:rPr>
              <w:t>coherent</w:t>
            </w:r>
            <w:r w:rsidRPr="007C4D65">
              <w:rPr>
                <w:rFonts w:asciiTheme="minorHAnsi" w:eastAsiaTheme="minorHAnsi" w:hAnsiTheme="minorHAnsi" w:cstheme="minorHAnsi"/>
                <w:sz w:val="18"/>
                <w:szCs w:val="18"/>
                <w:lang w:eastAsia="en-US" w:bidi="en-US"/>
              </w:rPr>
              <w:t xml:space="preserve"> system with strong intersectoral links and good coordination which are essential for efficient environmental management</w:t>
            </w:r>
          </w:p>
        </w:tc>
      </w:tr>
      <w:tr w:rsidR="00AE620E" w:rsidRPr="007C4D65" w14:paraId="66B6257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6A54718" w14:textId="308C2967" w:rsidR="00AE620E" w:rsidRPr="007C4D65" w:rsidRDefault="00963086" w:rsidP="00AE620E">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62F13A9" w14:textId="7591D2F1" w:rsidR="006A2ADB" w:rsidRPr="007C4D65" w:rsidRDefault="00C224E3" w:rsidP="006A2ADB">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6A2ADB" w:rsidRPr="007C4D65">
              <w:rPr>
                <w:rFonts w:asciiTheme="minorHAnsi" w:hAnsiTheme="minorHAnsi" w:cstheme="minorHAnsi"/>
                <w:sz w:val="18"/>
                <w:szCs w:val="18"/>
                <w:lang w:val="hr-HR" w:bidi="en-US"/>
              </w:rPr>
              <w:t>BAM 125,884</w:t>
            </w:r>
          </w:p>
          <w:p w14:paraId="1DA53A31" w14:textId="76567144" w:rsidR="00AE620E" w:rsidRPr="007C4D65" w:rsidRDefault="009E6B20" w:rsidP="006A2ADB">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hAnsiTheme="minorHAnsi" w:cstheme="minorHAnsi"/>
                <w:sz w:val="18"/>
                <w:szCs w:val="18"/>
                <w:lang w:val="hr-HR" w:bidi="en-US"/>
              </w:rPr>
              <w:t>Source:</w:t>
            </w:r>
            <w:r w:rsidR="006A2ADB" w:rsidRPr="007C4D65">
              <w:rPr>
                <w:rFonts w:asciiTheme="minorHAnsi" w:hAnsiTheme="minorHAnsi" w:cstheme="minorHAnsi"/>
                <w:sz w:val="18"/>
                <w:szCs w:val="18"/>
                <w:lang w:val="hr-HR" w:bidi="en-US"/>
              </w:rPr>
              <w:t xml:space="preserve"> 30%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6A2ADB" w:rsidRPr="007C4D65">
              <w:rPr>
                <w:rFonts w:asciiTheme="minorHAnsi" w:hAnsiTheme="minorHAnsi" w:cstheme="minorHAnsi"/>
                <w:sz w:val="18"/>
                <w:szCs w:val="18"/>
                <w:lang w:val="hr-HR" w:bidi="en-US"/>
              </w:rPr>
              <w:t xml:space="preserve">, 70% </w:t>
            </w:r>
            <w:r w:rsidR="00C224E3" w:rsidRPr="007C4D65">
              <w:rPr>
                <w:rFonts w:asciiTheme="minorHAnsi" w:hAnsiTheme="minorHAnsi" w:cstheme="minorHAnsi"/>
                <w:sz w:val="18"/>
                <w:szCs w:val="18"/>
                <w:lang w:val="hr-HR" w:bidi="en-US"/>
              </w:rPr>
              <w:t>funds from EU and other international donors</w:t>
            </w:r>
          </w:p>
        </w:tc>
      </w:tr>
      <w:tr w:rsidR="00AE620E" w:rsidRPr="007C4D65" w14:paraId="7B9E6C3C"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4C7505E" w14:textId="77777777" w:rsidR="00AE620E" w:rsidRPr="007C4D65" w:rsidRDefault="00AE620E" w:rsidP="00AE620E">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D630AB4" w14:textId="77777777" w:rsidR="00AE620E" w:rsidRPr="007C4D65" w:rsidRDefault="00AE620E" w:rsidP="00AE620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2022 - 2030</w:t>
            </w:r>
          </w:p>
        </w:tc>
      </w:tr>
      <w:tr w:rsidR="00AE620E" w:rsidRPr="007C4D65" w14:paraId="63BCC529"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7AB39A1" w14:textId="77777777" w:rsidR="00AE620E" w:rsidRPr="007C4D65" w:rsidRDefault="00AE620E" w:rsidP="00AE620E">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ECE8478" w14:textId="48385451" w:rsidR="00AE620E" w:rsidRPr="007C4D65" w:rsidRDefault="001E6E20" w:rsidP="00AE620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AE620E" w:rsidRPr="007C4D65">
              <w:rPr>
                <w:rFonts w:asciiTheme="minorHAnsi" w:eastAsiaTheme="minorHAnsi" w:hAnsiTheme="minorHAnsi" w:cstheme="minorHAnsi"/>
                <w:sz w:val="18"/>
                <w:szCs w:val="18"/>
                <w:lang w:eastAsia="en-US"/>
              </w:rPr>
              <w:t xml:space="preserve"> of Environment and Tourism</w:t>
            </w:r>
          </w:p>
        </w:tc>
      </w:tr>
      <w:tr w:rsidR="00AE620E" w:rsidRPr="007C4D65" w14:paraId="44BB0736"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BE4A05E" w14:textId="77777777" w:rsidR="00AE620E" w:rsidRPr="007C4D65" w:rsidRDefault="00AE620E" w:rsidP="00AE620E">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CE91442" w14:textId="216F42ED" w:rsidR="00AE620E" w:rsidRPr="007C4D65" w:rsidRDefault="001E6E20" w:rsidP="00AE620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AE620E" w:rsidRPr="007C4D65">
              <w:rPr>
                <w:rFonts w:asciiTheme="minorHAnsi" w:eastAsiaTheme="minorHAnsi" w:hAnsiTheme="minorHAnsi" w:cstheme="minorHAnsi"/>
                <w:sz w:val="18"/>
                <w:szCs w:val="18"/>
                <w:lang w:eastAsia="en-US"/>
              </w:rPr>
              <w:t xml:space="preserve"> of Environment and Tourism in cooperation with institutions from other sectors (water management, forestry, human health, biodiversity)</w:t>
            </w:r>
          </w:p>
        </w:tc>
      </w:tr>
      <w:tr w:rsidR="00AE620E" w:rsidRPr="007C4D65" w14:paraId="6E3F852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610775C" w14:textId="74C7B2B7" w:rsidR="00AE620E" w:rsidRPr="007C4D65" w:rsidRDefault="00963086" w:rsidP="00AE620E">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0BFEEF8" w14:textId="7E4658BC" w:rsidR="00AE620E" w:rsidRPr="007C4D65" w:rsidRDefault="00AE620E" w:rsidP="00AE620E">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Institutions which apply public policies and legislation with integrated environmental issues, professional </w:t>
            </w:r>
            <w:r w:rsidR="006A2ADB" w:rsidRPr="007C4D65">
              <w:rPr>
                <w:rFonts w:asciiTheme="minorHAnsi" w:eastAsiaTheme="minorHAnsi" w:hAnsiTheme="minorHAnsi" w:cstheme="minorHAnsi"/>
                <w:sz w:val="18"/>
                <w:szCs w:val="18"/>
                <w:lang w:eastAsia="en-US"/>
              </w:rPr>
              <w:t>and</w:t>
            </w:r>
            <w:r w:rsidRPr="007C4D65">
              <w:rPr>
                <w:rFonts w:asciiTheme="minorHAnsi" w:eastAsiaTheme="minorHAnsi" w:hAnsiTheme="minorHAnsi" w:cstheme="minorHAnsi"/>
                <w:sz w:val="18"/>
                <w:szCs w:val="18"/>
                <w:lang w:eastAsia="en-US"/>
              </w:rPr>
              <w:t xml:space="preserve"> </w:t>
            </w:r>
            <w:proofErr w:type="gramStart"/>
            <w:r w:rsidRPr="007C4D65">
              <w:rPr>
                <w:rFonts w:asciiTheme="minorHAnsi" w:eastAsiaTheme="minorHAnsi" w:hAnsiTheme="minorHAnsi" w:cstheme="minorHAnsi"/>
                <w:sz w:val="18"/>
                <w:szCs w:val="18"/>
                <w:lang w:eastAsia="en-US"/>
              </w:rPr>
              <w:t>general public</w:t>
            </w:r>
            <w:proofErr w:type="gramEnd"/>
          </w:p>
        </w:tc>
      </w:tr>
    </w:tbl>
    <w:p w14:paraId="7EC4B8CF" w14:textId="029EAA78" w:rsidR="00CC447D" w:rsidRPr="007C4D65" w:rsidRDefault="00CC447D" w:rsidP="0068355A">
      <w:pPr>
        <w:spacing w:line="276" w:lineRule="auto"/>
        <w:rPr>
          <w:rFonts w:asciiTheme="minorHAnsi" w:hAnsiTheme="minorHAnsi" w:cstheme="minorHAnsi"/>
          <w:sz w:val="18"/>
          <w:szCs w:val="18"/>
        </w:rPr>
      </w:pPr>
    </w:p>
    <w:tbl>
      <w:tblPr>
        <w:tblW w:w="4675"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2"/>
        <w:gridCol w:w="3242"/>
        <w:gridCol w:w="2762"/>
      </w:tblGrid>
      <w:tr w:rsidR="006A2ADB" w:rsidRPr="007C4D65" w14:paraId="20BA1D5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6233AA9" w14:textId="77777777" w:rsidR="006A2ADB" w:rsidRPr="007C4D65" w:rsidRDefault="006A2ADB" w:rsidP="006A2ADB">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Link with the strategic goal</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08E5E07" w14:textId="77777777" w:rsidR="006A2ADB" w:rsidRPr="007C4D65" w:rsidRDefault="006A2ADB" w:rsidP="006A2ADB">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6A2ADB" w:rsidRPr="007C4D65" w14:paraId="77E7413A"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F03801F" w14:textId="77777777" w:rsidR="006A2ADB" w:rsidRPr="007C4D65" w:rsidRDefault="006A2ADB" w:rsidP="006A2ADB">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456FAFA" w14:textId="36142B8E" w:rsidR="006A2ADB" w:rsidRPr="007C4D65" w:rsidRDefault="006A2ADB" w:rsidP="006A2ADB">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7.6 Ensuring a strong synergy in cross-sectoral and inter-sectoral action, and integration of public environmental policies</w:t>
            </w:r>
          </w:p>
        </w:tc>
      </w:tr>
      <w:tr w:rsidR="006A2ADB" w:rsidRPr="007C4D65" w14:paraId="7FB5837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DBE4A4C" w14:textId="77777777" w:rsidR="006A2ADB" w:rsidRPr="007C4D65" w:rsidRDefault="006A2ADB" w:rsidP="006A2ADB">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8354C1C" w14:textId="3E7A8A92" w:rsidR="006A2ADB" w:rsidRPr="007C4D65" w:rsidRDefault="006A2ADB" w:rsidP="006A2ADB">
            <w:pPr>
              <w:spacing w:before="40" w:after="40" w:line="276" w:lineRule="auto"/>
              <w:rPr>
                <w:rFonts w:asciiTheme="minorHAnsi" w:eastAsia="Calibri" w:hAnsiTheme="minorHAnsi" w:cstheme="minorHAnsi"/>
                <w:b/>
                <w:sz w:val="18"/>
                <w:szCs w:val="18"/>
                <w:lang w:eastAsia="en-US"/>
              </w:rPr>
            </w:pPr>
            <w:bookmarkStart w:id="379" w:name="_Hlk95008514"/>
            <w:r w:rsidRPr="007C4D65">
              <w:rPr>
                <w:rFonts w:asciiTheme="minorHAnsi" w:eastAsiaTheme="minorHAnsi" w:hAnsiTheme="minorHAnsi" w:cstheme="minorHAnsi"/>
                <w:b/>
                <w:sz w:val="18"/>
                <w:szCs w:val="18"/>
                <w:lang w:eastAsia="en-US"/>
              </w:rPr>
              <w:t xml:space="preserve">7.6.2 Integration of standards and principles of gender equality, social equality and poverty </w:t>
            </w:r>
            <w:proofErr w:type="gramStart"/>
            <w:r w:rsidRPr="007C4D65">
              <w:rPr>
                <w:rFonts w:asciiTheme="minorHAnsi" w:eastAsiaTheme="minorHAnsi" w:hAnsiTheme="minorHAnsi" w:cstheme="minorHAnsi"/>
                <w:b/>
                <w:sz w:val="18"/>
                <w:szCs w:val="18"/>
                <w:lang w:eastAsia="en-US"/>
              </w:rPr>
              <w:t>in  key</w:t>
            </w:r>
            <w:proofErr w:type="gramEnd"/>
            <w:r w:rsidRPr="007C4D65">
              <w:rPr>
                <w:rFonts w:asciiTheme="minorHAnsi" w:eastAsiaTheme="minorHAnsi" w:hAnsiTheme="minorHAnsi" w:cstheme="minorHAnsi"/>
                <w:b/>
                <w:sz w:val="18"/>
                <w:szCs w:val="18"/>
                <w:lang w:eastAsia="en-US"/>
              </w:rPr>
              <w:t xml:space="preserve"> environmental policies, strategies, and programmes</w:t>
            </w:r>
            <w:bookmarkEnd w:id="379"/>
          </w:p>
        </w:tc>
      </w:tr>
      <w:tr w:rsidR="006A2ADB" w:rsidRPr="007C4D65" w14:paraId="4F5DD37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1808BDF" w14:textId="77777777" w:rsidR="006A2ADB" w:rsidRPr="007C4D65" w:rsidRDefault="006A2ADB" w:rsidP="006A2ADB">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B82D3BC" w14:textId="49EEA938" w:rsidR="006A2ADB" w:rsidRPr="007C4D65" w:rsidRDefault="006A2ADB" w:rsidP="006A2ADB">
            <w:pPr>
              <w:spacing w:before="40" w:after="40" w:line="276" w:lineRule="auto"/>
              <w:rPr>
                <w:rFonts w:asciiTheme="minorHAnsi" w:eastAsia="Calibri" w:hAnsiTheme="minorHAnsi" w:cstheme="minorHAnsi"/>
                <w:sz w:val="18"/>
                <w:szCs w:val="18"/>
                <w:lang w:eastAsia="en-US"/>
              </w:rPr>
            </w:pPr>
            <w:bookmarkStart w:id="380" w:name="_Hlk95008535"/>
            <w:r w:rsidRPr="007C4D65">
              <w:rPr>
                <w:rFonts w:asciiTheme="minorHAnsi" w:eastAsiaTheme="minorHAnsi" w:hAnsiTheme="minorHAnsi" w:cstheme="minorHAnsi"/>
                <w:sz w:val="18"/>
                <w:szCs w:val="18"/>
                <w:lang w:eastAsia="en-US"/>
              </w:rPr>
              <w:t>Standards and principles of gender equality, social equity and poverty integrated in the key environmental policies, strategies, and programmes. Tools such as gender analysis, gender impact assessment, gender responsible budgeting, gender index in the environment sector and gender audit applied to planning, implementation, monitoring and evaluation of policies, programmes and projects in the environmental management sector. Special provisional gender equality measures will be designed adopted and implemented in the environmental management.</w:t>
            </w:r>
            <w:bookmarkEnd w:id="380"/>
          </w:p>
          <w:p w14:paraId="1501B887" w14:textId="44E6CF23" w:rsidR="006A2ADB" w:rsidRPr="007C4D65" w:rsidRDefault="006A2ADB" w:rsidP="006A2ADB">
            <w:pPr>
              <w:spacing w:before="40" w:after="40" w:line="276" w:lineRule="auto"/>
              <w:rPr>
                <w:rFonts w:asciiTheme="minorHAnsi" w:eastAsia="Calibri" w:hAnsiTheme="minorHAnsi" w:cstheme="minorHAnsi"/>
                <w:sz w:val="18"/>
                <w:szCs w:val="18"/>
                <w:lang w:eastAsia="en-US"/>
              </w:rPr>
            </w:pPr>
            <w:bookmarkStart w:id="381" w:name="_Hlk95008574"/>
            <w:r w:rsidRPr="007C4D65">
              <w:rPr>
                <w:rFonts w:asciiTheme="minorHAnsi" w:eastAsiaTheme="minorHAnsi" w:hAnsiTheme="minorHAnsi" w:cstheme="minorHAnsi"/>
                <w:sz w:val="18"/>
                <w:szCs w:val="18"/>
                <w:lang w:eastAsia="en-US"/>
              </w:rPr>
              <w:lastRenderedPageBreak/>
              <w:t xml:space="preserve">These measures will focus on establishing an effective institutional coordination mechanism </w:t>
            </w:r>
            <w:proofErr w:type="gramStart"/>
            <w:r w:rsidRPr="007C4D65">
              <w:rPr>
                <w:rFonts w:asciiTheme="minorHAnsi" w:eastAsiaTheme="minorHAnsi" w:hAnsiTheme="minorHAnsi" w:cstheme="minorHAnsi"/>
                <w:sz w:val="18"/>
                <w:szCs w:val="18"/>
                <w:lang w:eastAsia="en-US"/>
              </w:rPr>
              <w:t>in the area of</w:t>
            </w:r>
            <w:proofErr w:type="gramEnd"/>
            <w:r w:rsidRPr="007C4D65">
              <w:rPr>
                <w:rFonts w:asciiTheme="minorHAnsi" w:eastAsiaTheme="minorHAnsi" w:hAnsiTheme="minorHAnsi" w:cstheme="minorHAnsi"/>
                <w:sz w:val="18"/>
                <w:szCs w:val="18"/>
                <w:lang w:eastAsia="en-US"/>
              </w:rPr>
              <w:t xml:space="preserve"> gender equality, particularly to facilitate gender mainstreaming in public policies and legislation, pursuant to the Law on Gender Equality of Bosnia and Herzegovina.</w:t>
            </w:r>
            <w:bookmarkEnd w:id="381"/>
          </w:p>
          <w:p w14:paraId="7E10D5CD" w14:textId="77777777" w:rsidR="006A2ADB" w:rsidRPr="007C4D65" w:rsidRDefault="006A2ADB" w:rsidP="006A2ADB">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General areas of intervention are:</w:t>
            </w:r>
          </w:p>
          <w:p w14:paraId="66E7139B" w14:textId="73DFC4C4" w:rsidR="006A2ADB" w:rsidRPr="007C4D65" w:rsidRDefault="006A2ADB">
            <w:pPr>
              <w:pStyle w:val="ListParagraph"/>
              <w:numPr>
                <w:ilvl w:val="0"/>
                <w:numId w:val="229"/>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preparation of Guidelines for the integration of standards and principles of gender equality, social equity, and poverty in all the phases of environmental management (planning, implementation, monitoring, reporting, evaluation) --- Environmental Advisory </w:t>
            </w:r>
            <w:proofErr w:type="gramStart"/>
            <w:r w:rsidRPr="007C4D65">
              <w:rPr>
                <w:rFonts w:asciiTheme="minorHAnsi" w:eastAsiaTheme="minorHAnsi" w:hAnsiTheme="minorHAnsi" w:cstheme="minorHAnsi"/>
                <w:sz w:val="18"/>
                <w:szCs w:val="18"/>
                <w:lang w:eastAsia="en-US"/>
              </w:rPr>
              <w:t>Committee</w:t>
            </w:r>
            <w:r w:rsidR="00322F01" w:rsidRPr="007C4D65">
              <w:rPr>
                <w:rFonts w:asciiTheme="minorHAnsi" w:eastAsiaTheme="minorHAnsi" w:hAnsiTheme="minorHAnsi" w:cstheme="minorHAnsi"/>
                <w:sz w:val="18"/>
                <w:szCs w:val="18"/>
                <w:lang w:eastAsia="en-US"/>
              </w:rPr>
              <w:t>;</w:t>
            </w:r>
            <w:proofErr w:type="gramEnd"/>
          </w:p>
          <w:p w14:paraId="49E7FE25" w14:textId="2EC62588" w:rsidR="006A2ADB" w:rsidRPr="007C4D65" w:rsidRDefault="006A2ADB">
            <w:pPr>
              <w:pStyle w:val="ListParagraph"/>
              <w:numPr>
                <w:ilvl w:val="0"/>
                <w:numId w:val="229"/>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Ensuring efficient operation of the institutional mechanism for gender equality in the environmental institutions - creation of the mechanism in institutions where such mechanism is not in place, through appointment of persons and teams who will address gender equality issues in the environment </w:t>
            </w:r>
            <w:proofErr w:type="gramStart"/>
            <w:r w:rsidRPr="007C4D65">
              <w:rPr>
                <w:rFonts w:asciiTheme="minorHAnsi" w:eastAsiaTheme="minorHAnsi" w:hAnsiTheme="minorHAnsi" w:cstheme="minorHAnsi"/>
                <w:sz w:val="18"/>
                <w:szCs w:val="18"/>
                <w:lang w:eastAsia="en-US"/>
              </w:rPr>
              <w:t>sector</w:t>
            </w:r>
            <w:r w:rsidR="00322F01" w:rsidRPr="007C4D65">
              <w:rPr>
                <w:rFonts w:asciiTheme="minorHAnsi" w:eastAsiaTheme="minorHAnsi" w:hAnsiTheme="minorHAnsi" w:cstheme="minorHAnsi"/>
                <w:sz w:val="18"/>
                <w:szCs w:val="18"/>
                <w:lang w:eastAsia="en-US"/>
              </w:rPr>
              <w:t>;</w:t>
            </w:r>
            <w:proofErr w:type="gramEnd"/>
          </w:p>
          <w:p w14:paraId="640DAD4D" w14:textId="029A9BFD" w:rsidR="006A2ADB" w:rsidRPr="007C4D65" w:rsidRDefault="006A2ADB">
            <w:pPr>
              <w:pStyle w:val="ListParagraph"/>
              <w:numPr>
                <w:ilvl w:val="0"/>
                <w:numId w:val="229"/>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Enhancing the knowledge and awareness on interlinkages between the environment and gender equality through cooperation of the responsible institutions and strengthened role of GFP (Gender Focal Point) in all the </w:t>
            </w:r>
            <w:proofErr w:type="gramStart"/>
            <w:r w:rsidRPr="007C4D65">
              <w:rPr>
                <w:rFonts w:asciiTheme="minorHAnsi" w:eastAsiaTheme="minorHAnsi" w:hAnsiTheme="minorHAnsi" w:cstheme="minorHAnsi"/>
                <w:sz w:val="18"/>
                <w:szCs w:val="18"/>
                <w:lang w:eastAsia="en-US"/>
              </w:rPr>
              <w:t>institutions</w:t>
            </w:r>
            <w:r w:rsidR="00322F01" w:rsidRPr="007C4D65">
              <w:rPr>
                <w:rFonts w:asciiTheme="minorHAnsi" w:eastAsiaTheme="minorHAnsi" w:hAnsiTheme="minorHAnsi" w:cstheme="minorHAnsi"/>
                <w:sz w:val="18"/>
                <w:szCs w:val="18"/>
                <w:lang w:eastAsia="en-US"/>
              </w:rPr>
              <w:t>;</w:t>
            </w:r>
            <w:proofErr w:type="gramEnd"/>
          </w:p>
          <w:p w14:paraId="7BBE5755" w14:textId="6435AE66" w:rsidR="006A2ADB" w:rsidRPr="007C4D65" w:rsidRDefault="006A2ADB">
            <w:pPr>
              <w:pStyle w:val="ListParagraph"/>
              <w:numPr>
                <w:ilvl w:val="0"/>
                <w:numId w:val="229"/>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Ensuring institutional communication among the environment sector institutions and the Gender Centre of Federation of BiH, so as to ensure that the institutions consistently seek to obtain an opinion from the Gender Centre on the compliance of laws, </w:t>
            </w:r>
            <w:r w:rsidR="00B80FAD" w:rsidRPr="007C4D65">
              <w:rPr>
                <w:rFonts w:asciiTheme="minorHAnsi" w:eastAsiaTheme="minorHAnsi" w:hAnsiTheme="minorHAnsi" w:cstheme="minorHAnsi"/>
                <w:sz w:val="18"/>
                <w:szCs w:val="18"/>
                <w:lang w:eastAsia="en-US"/>
              </w:rPr>
              <w:t>bylaw</w:t>
            </w:r>
            <w:r w:rsidRPr="007C4D65">
              <w:rPr>
                <w:rFonts w:asciiTheme="minorHAnsi" w:eastAsiaTheme="minorHAnsi" w:hAnsiTheme="minorHAnsi" w:cstheme="minorHAnsi"/>
                <w:sz w:val="18"/>
                <w:szCs w:val="18"/>
                <w:lang w:eastAsia="en-US"/>
              </w:rPr>
              <w:t xml:space="preserve">s and the legal documents, strategies, plans and programmes with the Gender Equality Law of </w:t>
            </w:r>
            <w:proofErr w:type="gramStart"/>
            <w:r w:rsidRPr="007C4D65">
              <w:rPr>
                <w:rFonts w:asciiTheme="minorHAnsi" w:eastAsiaTheme="minorHAnsi" w:hAnsiTheme="minorHAnsi" w:cstheme="minorHAnsi"/>
                <w:sz w:val="18"/>
                <w:szCs w:val="18"/>
                <w:lang w:eastAsia="en-US"/>
              </w:rPr>
              <w:t>BiH</w:t>
            </w:r>
            <w:r w:rsidR="00322F01" w:rsidRPr="007C4D65">
              <w:rPr>
                <w:rFonts w:asciiTheme="minorHAnsi" w:eastAsiaTheme="minorHAnsi" w:hAnsiTheme="minorHAnsi" w:cstheme="minorHAnsi"/>
                <w:sz w:val="18"/>
                <w:szCs w:val="18"/>
                <w:lang w:eastAsia="en-US"/>
              </w:rPr>
              <w:t>;</w:t>
            </w:r>
            <w:proofErr w:type="gramEnd"/>
          </w:p>
          <w:p w14:paraId="50295B74" w14:textId="7063F9BB" w:rsidR="006A2ADB" w:rsidRPr="007C4D65" w:rsidRDefault="006A2ADB">
            <w:pPr>
              <w:pStyle w:val="ListParagraph"/>
              <w:numPr>
                <w:ilvl w:val="0"/>
                <w:numId w:val="229"/>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Promoting gender sensitive approach in all segments of environmental management and environmental </w:t>
            </w:r>
            <w:proofErr w:type="gramStart"/>
            <w:r w:rsidRPr="007C4D65">
              <w:rPr>
                <w:rFonts w:asciiTheme="minorHAnsi" w:eastAsiaTheme="minorHAnsi" w:hAnsiTheme="minorHAnsi" w:cstheme="minorHAnsi"/>
                <w:sz w:val="18"/>
                <w:szCs w:val="18"/>
                <w:lang w:eastAsia="en-US"/>
              </w:rPr>
              <w:t>protection</w:t>
            </w:r>
            <w:r w:rsidR="00322F01" w:rsidRPr="007C4D65">
              <w:rPr>
                <w:rFonts w:asciiTheme="minorHAnsi" w:eastAsia="Calibri" w:hAnsiTheme="minorHAnsi" w:cstheme="minorHAnsi"/>
                <w:sz w:val="18"/>
                <w:szCs w:val="18"/>
                <w:lang w:eastAsia="en-US"/>
              </w:rPr>
              <w:t>;</w:t>
            </w:r>
            <w:proofErr w:type="gramEnd"/>
          </w:p>
          <w:p w14:paraId="5DA6497B" w14:textId="46707358" w:rsidR="006A2ADB" w:rsidRPr="007C4D65" w:rsidRDefault="006A2ADB">
            <w:pPr>
              <w:pStyle w:val="ListParagraph"/>
              <w:numPr>
                <w:ilvl w:val="0"/>
                <w:numId w:val="229"/>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Organising education and providing instructions and professional support to institutions in </w:t>
            </w:r>
            <w:r w:rsidR="001906B3" w:rsidRPr="007C4D65">
              <w:rPr>
                <w:rFonts w:asciiTheme="minorHAnsi" w:eastAsiaTheme="minorHAnsi" w:hAnsiTheme="minorHAnsi" w:cstheme="minorHAnsi"/>
                <w:sz w:val="18"/>
                <w:szCs w:val="18"/>
                <w:lang w:eastAsia="en-US"/>
              </w:rPr>
              <w:t>applying</w:t>
            </w:r>
            <w:r w:rsidRPr="007C4D65">
              <w:rPr>
                <w:rFonts w:asciiTheme="minorHAnsi" w:eastAsiaTheme="minorHAnsi" w:hAnsiTheme="minorHAnsi" w:cstheme="minorHAnsi"/>
                <w:sz w:val="18"/>
                <w:szCs w:val="18"/>
                <w:lang w:eastAsia="en-US"/>
              </w:rPr>
              <w:t xml:space="preserve"> tools such as gender analysis, gender impact assessment, gender responsible budgeting, gender index in environmental planning,</w:t>
            </w:r>
            <w:r w:rsidR="001906B3" w:rsidRPr="007C4D65">
              <w:rPr>
                <w:rFonts w:asciiTheme="minorHAnsi" w:eastAsiaTheme="minorHAnsi" w:hAnsiTheme="minorHAnsi" w:cstheme="minorHAnsi"/>
                <w:sz w:val="18"/>
                <w:szCs w:val="18"/>
                <w:lang w:eastAsia="en-US"/>
              </w:rPr>
              <w:t xml:space="preserve"> support to</w:t>
            </w:r>
            <w:r w:rsidRPr="007C4D65">
              <w:rPr>
                <w:rFonts w:asciiTheme="minorHAnsi" w:eastAsiaTheme="minorHAnsi" w:hAnsiTheme="minorHAnsi" w:cstheme="minorHAnsi"/>
                <w:sz w:val="18"/>
                <w:szCs w:val="18"/>
                <w:lang w:eastAsia="en-US"/>
              </w:rPr>
              <w:t xml:space="preserve"> application</w:t>
            </w:r>
            <w:r w:rsidR="001906B3" w:rsidRPr="007C4D65">
              <w:rPr>
                <w:rFonts w:asciiTheme="minorHAnsi" w:eastAsiaTheme="minorHAnsi" w:hAnsiTheme="minorHAnsi" w:cstheme="minorHAnsi"/>
                <w:sz w:val="18"/>
                <w:szCs w:val="18"/>
                <w:lang w:eastAsia="en-US"/>
              </w:rPr>
              <w:t xml:space="preserve">, </w:t>
            </w:r>
            <w:r w:rsidRPr="007C4D65">
              <w:rPr>
                <w:rFonts w:asciiTheme="minorHAnsi" w:eastAsiaTheme="minorHAnsi" w:hAnsiTheme="minorHAnsi" w:cstheme="minorHAnsi"/>
                <w:sz w:val="18"/>
                <w:szCs w:val="18"/>
                <w:lang w:eastAsia="en-US"/>
              </w:rPr>
              <w:t>monitoring and evaluation of policies, programmes and projects in the environment sector in accordance with the Law on Gender Equality</w:t>
            </w:r>
            <w:r w:rsidR="001906B3" w:rsidRPr="007C4D65">
              <w:rPr>
                <w:rFonts w:asciiTheme="minorHAnsi" w:eastAsiaTheme="minorHAnsi" w:hAnsiTheme="minorHAnsi" w:cstheme="minorHAnsi"/>
                <w:sz w:val="18"/>
                <w:szCs w:val="18"/>
                <w:lang w:eastAsia="en-US"/>
              </w:rPr>
              <w:t>, with</w:t>
            </w:r>
            <w:r w:rsidRPr="007C4D65">
              <w:rPr>
                <w:rFonts w:asciiTheme="minorHAnsi" w:eastAsiaTheme="minorHAnsi" w:hAnsiTheme="minorHAnsi" w:cstheme="minorHAnsi"/>
                <w:sz w:val="18"/>
                <w:szCs w:val="18"/>
                <w:lang w:eastAsia="en-US"/>
              </w:rPr>
              <w:t xml:space="preserve"> the Gender Centre of the Federation of </w:t>
            </w:r>
            <w:r w:rsidR="001906B3" w:rsidRPr="007C4D65">
              <w:rPr>
                <w:rFonts w:asciiTheme="minorHAnsi" w:eastAsiaTheme="minorHAnsi" w:hAnsiTheme="minorHAnsi" w:cstheme="minorHAnsi"/>
                <w:sz w:val="18"/>
                <w:szCs w:val="18"/>
                <w:lang w:eastAsia="en-US"/>
              </w:rPr>
              <w:t xml:space="preserve">BiH </w:t>
            </w:r>
            <w:proofErr w:type="gramStart"/>
            <w:r w:rsidR="001906B3" w:rsidRPr="007C4D65">
              <w:rPr>
                <w:rFonts w:asciiTheme="minorHAnsi" w:eastAsiaTheme="minorHAnsi" w:hAnsiTheme="minorHAnsi" w:cstheme="minorHAnsi"/>
                <w:sz w:val="18"/>
                <w:szCs w:val="18"/>
                <w:lang w:eastAsia="en-US"/>
              </w:rPr>
              <w:t>being in charge of</w:t>
            </w:r>
            <w:proofErr w:type="gramEnd"/>
            <w:r w:rsidR="001906B3" w:rsidRPr="007C4D65">
              <w:rPr>
                <w:rFonts w:asciiTheme="minorHAnsi" w:eastAsiaTheme="minorHAnsi" w:hAnsiTheme="minorHAnsi" w:cstheme="minorHAnsi"/>
                <w:sz w:val="18"/>
                <w:szCs w:val="18"/>
                <w:lang w:eastAsia="en-US"/>
              </w:rPr>
              <w:t xml:space="preserve"> organising this support</w:t>
            </w:r>
            <w:r w:rsidR="00322F01" w:rsidRPr="007C4D65">
              <w:rPr>
                <w:rFonts w:asciiTheme="minorHAnsi" w:eastAsia="Calibri" w:hAnsiTheme="minorHAnsi" w:cstheme="minorHAnsi"/>
                <w:sz w:val="18"/>
                <w:szCs w:val="18"/>
                <w:lang w:eastAsia="en-US"/>
              </w:rPr>
              <w:t>.</w:t>
            </w:r>
          </w:p>
        </w:tc>
      </w:tr>
      <w:tr w:rsidR="006A2ADB" w:rsidRPr="007C4D65" w14:paraId="5D91AF3C"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D857522" w14:textId="77777777" w:rsidR="006A2ADB" w:rsidRPr="007C4D65" w:rsidRDefault="006A2ADB" w:rsidP="006A2ADB">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Strategic projects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63EB8672" w14:textId="77777777" w:rsidR="006A2ADB" w:rsidRPr="007C4D65" w:rsidRDefault="006A2ADB"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6A2ADB" w:rsidRPr="007C4D65" w14:paraId="5E9B4048" w14:textId="77777777" w:rsidTr="00B6017F">
        <w:trPr>
          <w:trHeight w:val="567"/>
        </w:trPr>
        <w:tc>
          <w:tcPr>
            <w:tcW w:w="135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8FC793F" w14:textId="77777777" w:rsidR="006A2ADB" w:rsidRPr="007C4D65" w:rsidRDefault="006A2ADB" w:rsidP="006A2ADB">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8C447AB" w14:textId="77777777" w:rsidR="006A2ADB" w:rsidRPr="007C4D65" w:rsidRDefault="006A2ADB" w:rsidP="006A2ADB">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2CFE4689" w14:textId="77777777" w:rsidR="006A2ADB" w:rsidRPr="007C4D65" w:rsidRDefault="006A2ADB" w:rsidP="006A2ADB">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1E4C053" w14:textId="77777777" w:rsidR="006A2ADB" w:rsidRPr="007C4D65" w:rsidRDefault="006A2ADB" w:rsidP="006A2ADB">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2FB2FFBA" w14:textId="77777777" w:rsidR="006A2ADB" w:rsidRPr="007C4D65" w:rsidRDefault="006A2ADB" w:rsidP="006A2ADB">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10958AB" w14:textId="77777777" w:rsidR="006A2ADB" w:rsidRPr="007C4D65" w:rsidRDefault="006A2ADB" w:rsidP="006A2ADB">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6A2ADB" w:rsidRPr="007C4D65" w14:paraId="7DEDC5CC"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04FDF1CA" w14:textId="77777777" w:rsidR="006A2ADB" w:rsidRPr="007C4D65" w:rsidRDefault="006A2ADB" w:rsidP="006A2ADB">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D3172FB" w14:textId="20C92827" w:rsidR="006A2ADB" w:rsidRPr="007C4D65" w:rsidRDefault="006A2ADB">
            <w:pPr>
              <w:numPr>
                <w:ilvl w:val="0"/>
                <w:numId w:val="228"/>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Preparation of guidelines for </w:t>
            </w:r>
            <w:proofErr w:type="gramStart"/>
            <w:r w:rsidRPr="007C4D65">
              <w:rPr>
                <w:rFonts w:asciiTheme="minorHAnsi" w:eastAsiaTheme="minorHAnsi" w:hAnsiTheme="minorHAnsi" w:cstheme="minorHAnsi"/>
                <w:sz w:val="18"/>
                <w:szCs w:val="18"/>
                <w:lang w:eastAsia="en-US"/>
              </w:rPr>
              <w:t>the  integration</w:t>
            </w:r>
            <w:proofErr w:type="gramEnd"/>
            <w:r w:rsidRPr="007C4D65">
              <w:rPr>
                <w:rFonts w:asciiTheme="minorHAnsi" w:eastAsiaTheme="minorHAnsi" w:hAnsiTheme="minorHAnsi" w:cstheme="minorHAnsi"/>
                <w:sz w:val="18"/>
                <w:szCs w:val="18"/>
                <w:lang w:eastAsia="en-US"/>
              </w:rPr>
              <w:t xml:space="preserve"> of gender equality, social equity and poverty principles in all </w:t>
            </w:r>
            <w:r w:rsidR="001906B3" w:rsidRPr="007C4D65">
              <w:rPr>
                <w:rFonts w:asciiTheme="minorHAnsi" w:eastAsiaTheme="minorHAnsi" w:hAnsiTheme="minorHAnsi" w:cstheme="minorHAnsi"/>
                <w:sz w:val="18"/>
                <w:szCs w:val="18"/>
                <w:lang w:eastAsia="en-US"/>
              </w:rPr>
              <w:t xml:space="preserve">the </w:t>
            </w:r>
            <w:r w:rsidRPr="007C4D65">
              <w:rPr>
                <w:rFonts w:asciiTheme="minorHAnsi" w:eastAsiaTheme="minorHAnsi" w:hAnsiTheme="minorHAnsi" w:cstheme="minorHAnsi"/>
                <w:sz w:val="18"/>
                <w:szCs w:val="18"/>
                <w:lang w:eastAsia="en-US"/>
              </w:rPr>
              <w:t>phases of the environmental management</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D14BB30" w14:textId="77777777" w:rsidR="006A2ADB" w:rsidRPr="007C4D65" w:rsidRDefault="006A2ADB"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No guidelines available</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F5DD629" w14:textId="727A6D99" w:rsidR="006A2ADB" w:rsidRPr="007C4D65" w:rsidRDefault="006A2ADB"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Guidelines for the integration of gender equality, social equity and poverty standards in all </w:t>
            </w:r>
            <w:r w:rsidR="001906B3" w:rsidRPr="007C4D65">
              <w:rPr>
                <w:rFonts w:asciiTheme="minorHAnsi" w:eastAsiaTheme="minorHAnsi" w:hAnsiTheme="minorHAnsi" w:cstheme="minorHAnsi"/>
                <w:sz w:val="18"/>
                <w:szCs w:val="18"/>
                <w:lang w:eastAsia="en-US"/>
              </w:rPr>
              <w:t xml:space="preserve">the </w:t>
            </w:r>
            <w:r w:rsidRPr="007C4D65">
              <w:rPr>
                <w:rFonts w:asciiTheme="minorHAnsi" w:eastAsiaTheme="minorHAnsi" w:hAnsiTheme="minorHAnsi" w:cstheme="minorHAnsi"/>
                <w:sz w:val="18"/>
                <w:szCs w:val="18"/>
                <w:lang w:eastAsia="en-US"/>
              </w:rPr>
              <w:t>phases of the environmental management prepared (2024)</w:t>
            </w:r>
          </w:p>
        </w:tc>
      </w:tr>
      <w:tr w:rsidR="006A2ADB" w:rsidRPr="007C4D65" w14:paraId="4877AF02"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25CA1A52" w14:textId="77777777" w:rsidR="006A2ADB" w:rsidRPr="007C4D65" w:rsidRDefault="006A2ADB" w:rsidP="006A2ADB">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5609554" w14:textId="77777777" w:rsidR="006A2ADB" w:rsidRPr="007C4D65" w:rsidRDefault="006A2ADB">
            <w:pPr>
              <w:numPr>
                <w:ilvl w:val="0"/>
                <w:numId w:val="228"/>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3) Knowledge and awareness of focal points nominated for gender equality </w:t>
            </w:r>
            <w:r w:rsidRPr="007C4D65">
              <w:rPr>
                <w:rFonts w:asciiTheme="minorHAnsi" w:eastAsiaTheme="minorHAnsi" w:hAnsiTheme="minorHAnsi" w:cstheme="minorHAnsi"/>
                <w:sz w:val="18"/>
                <w:szCs w:val="18"/>
                <w:lang w:eastAsia="en-US"/>
              </w:rPr>
              <w:lastRenderedPageBreak/>
              <w:t>in the institutions on interlinkages of the environment and gender dimension</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54D93AD" w14:textId="77777777" w:rsidR="006A2ADB" w:rsidRPr="007C4D65" w:rsidRDefault="006A2ADB"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lastRenderedPageBreak/>
              <w:t>Relatively poor</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C273DB9" w14:textId="5DCB8C2D" w:rsidR="006A2ADB" w:rsidRPr="007C4D65" w:rsidRDefault="006A2ADB"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Persons appointed as gender equality officers possess </w:t>
            </w:r>
            <w:r w:rsidRPr="007C4D65">
              <w:rPr>
                <w:rFonts w:asciiTheme="minorHAnsi" w:eastAsiaTheme="minorHAnsi" w:hAnsiTheme="minorHAnsi" w:cstheme="minorHAnsi"/>
                <w:sz w:val="18"/>
                <w:szCs w:val="18"/>
                <w:lang w:eastAsia="en-US"/>
              </w:rPr>
              <w:lastRenderedPageBreak/>
              <w:t>knowledge and awareness on the interlinkage between the environment and gender equality (2026)</w:t>
            </w:r>
          </w:p>
        </w:tc>
      </w:tr>
      <w:tr w:rsidR="006A2ADB" w:rsidRPr="007C4D65" w14:paraId="08F46266"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3281C089" w14:textId="77777777" w:rsidR="006A2ADB" w:rsidRPr="007C4D65" w:rsidRDefault="006A2ADB" w:rsidP="006A2ADB">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6C41552" w14:textId="77777777" w:rsidR="006A2ADB" w:rsidRPr="007C4D65" w:rsidRDefault="006A2ADB" w:rsidP="006A2ADB">
            <w:pPr>
              <w:spacing w:before="40" w:after="40" w:line="276" w:lineRule="auto"/>
              <w:ind w:left="265" w:hanging="265"/>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4) Institutional communication among the institutions in the environment sector and Gender Centre of Federation of BiH</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B72C48E" w14:textId="77777777" w:rsidR="006A2ADB" w:rsidRPr="007C4D65" w:rsidRDefault="006A2ADB"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Very poor communication </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CEB464B" w14:textId="65CBA105" w:rsidR="006A2ADB" w:rsidRPr="007C4D65" w:rsidRDefault="006A2ADB"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Effective institutional communication among the institutions in the environment sector and Gender Centre of </w:t>
            </w:r>
            <w:r w:rsidR="00227D11" w:rsidRPr="007C4D65">
              <w:rPr>
                <w:rFonts w:asciiTheme="minorHAnsi" w:eastAsiaTheme="minorHAnsi" w:hAnsiTheme="minorHAnsi" w:cstheme="minorHAnsi"/>
                <w:sz w:val="18"/>
                <w:szCs w:val="18"/>
                <w:lang w:eastAsia="en-US"/>
              </w:rPr>
              <w:t>the Federation of BiH</w:t>
            </w:r>
            <w:r w:rsidRPr="007C4D65">
              <w:rPr>
                <w:rFonts w:asciiTheme="minorHAnsi" w:eastAsiaTheme="minorHAnsi" w:hAnsiTheme="minorHAnsi" w:cstheme="minorHAnsi"/>
                <w:sz w:val="18"/>
                <w:szCs w:val="18"/>
                <w:lang w:eastAsia="en-US"/>
              </w:rPr>
              <w:t xml:space="preserve"> instituted (2026)</w:t>
            </w:r>
          </w:p>
        </w:tc>
      </w:tr>
      <w:tr w:rsidR="006A2ADB" w:rsidRPr="007C4D65" w14:paraId="537850B0"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226F8A8B" w14:textId="77777777" w:rsidR="006A2ADB" w:rsidRPr="007C4D65" w:rsidRDefault="006A2ADB" w:rsidP="006A2ADB">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C22C5C6" w14:textId="0CE11A92" w:rsidR="006A2ADB" w:rsidRPr="007C4D65" w:rsidRDefault="006A2ADB" w:rsidP="006A2ADB">
            <w:pPr>
              <w:spacing w:before="40" w:after="40" w:line="276" w:lineRule="auto"/>
              <w:ind w:left="265" w:hanging="265"/>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5) Promotion of gender sensitive approach in all </w:t>
            </w:r>
            <w:r w:rsidR="001906B3" w:rsidRPr="007C4D65">
              <w:rPr>
                <w:rFonts w:asciiTheme="minorHAnsi" w:eastAsiaTheme="minorHAnsi" w:hAnsiTheme="minorHAnsi" w:cstheme="minorHAnsi"/>
                <w:sz w:val="18"/>
                <w:szCs w:val="18"/>
                <w:lang w:eastAsia="en-US"/>
              </w:rPr>
              <w:t xml:space="preserve">the </w:t>
            </w:r>
            <w:r w:rsidRPr="007C4D65">
              <w:rPr>
                <w:rFonts w:asciiTheme="minorHAnsi" w:eastAsiaTheme="minorHAnsi" w:hAnsiTheme="minorHAnsi" w:cstheme="minorHAnsi"/>
                <w:sz w:val="18"/>
                <w:szCs w:val="18"/>
                <w:lang w:eastAsia="en-US"/>
              </w:rPr>
              <w:t>segments of environmental management</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D09F726" w14:textId="77777777" w:rsidR="006A2ADB" w:rsidRPr="007C4D65" w:rsidRDefault="006A2ADB"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Poor promotion</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25B4BD1" w14:textId="7CD56F33" w:rsidR="006A2ADB" w:rsidRPr="007C4D65" w:rsidRDefault="006A2ADB"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Gender sensitive approach applied in all </w:t>
            </w:r>
            <w:r w:rsidR="001906B3" w:rsidRPr="007C4D65">
              <w:rPr>
                <w:rFonts w:asciiTheme="minorHAnsi" w:eastAsiaTheme="minorHAnsi" w:hAnsiTheme="minorHAnsi" w:cstheme="minorHAnsi"/>
                <w:sz w:val="18"/>
                <w:szCs w:val="18"/>
                <w:lang w:eastAsia="en-US"/>
              </w:rPr>
              <w:t xml:space="preserve">the </w:t>
            </w:r>
            <w:r w:rsidRPr="007C4D65">
              <w:rPr>
                <w:rFonts w:asciiTheme="minorHAnsi" w:eastAsiaTheme="minorHAnsi" w:hAnsiTheme="minorHAnsi" w:cstheme="minorHAnsi"/>
                <w:sz w:val="18"/>
                <w:szCs w:val="18"/>
                <w:lang w:eastAsia="en-US"/>
              </w:rPr>
              <w:t>segments of the environmental management (2030)</w:t>
            </w:r>
          </w:p>
        </w:tc>
      </w:tr>
      <w:tr w:rsidR="006A2ADB" w:rsidRPr="007C4D65" w14:paraId="7C73C903"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49BC5FE1" w14:textId="77777777" w:rsidR="006A2ADB" w:rsidRPr="007C4D65" w:rsidRDefault="006A2ADB" w:rsidP="006A2ADB">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AB722D0" w14:textId="0B9EDB83" w:rsidR="006A2ADB" w:rsidRPr="007C4D65" w:rsidRDefault="006A2ADB" w:rsidP="006A2ADB">
            <w:pPr>
              <w:spacing w:before="40" w:after="40" w:line="276" w:lineRule="auto"/>
              <w:ind w:left="265" w:hanging="265"/>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6) Capacities of the environmental institutions responsible for the application of </w:t>
            </w:r>
            <w:r w:rsidR="001906B3" w:rsidRPr="007C4D65">
              <w:rPr>
                <w:rFonts w:asciiTheme="minorHAnsi" w:eastAsiaTheme="minorHAnsi" w:hAnsiTheme="minorHAnsi" w:cstheme="minorHAnsi"/>
                <w:sz w:val="18"/>
                <w:szCs w:val="18"/>
                <w:lang w:eastAsia="en-US"/>
              </w:rPr>
              <w:t xml:space="preserve">gender mainstreaming </w:t>
            </w:r>
            <w:r w:rsidRPr="007C4D65">
              <w:rPr>
                <w:rFonts w:asciiTheme="minorHAnsi" w:eastAsiaTheme="minorHAnsi" w:hAnsiTheme="minorHAnsi" w:cstheme="minorHAnsi"/>
                <w:sz w:val="18"/>
                <w:szCs w:val="18"/>
                <w:lang w:eastAsia="en-US"/>
              </w:rPr>
              <w:t>tools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EBF6ADE" w14:textId="77777777" w:rsidR="006A2ADB" w:rsidRPr="007C4D65" w:rsidRDefault="006A2ADB"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Poor capacity</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073904D" w14:textId="77777777" w:rsidR="006A2ADB" w:rsidRPr="007C4D65" w:rsidRDefault="006A2ADB"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environmental institutions possess capacities for the application of gender mainstreaming tools (2029)</w:t>
            </w:r>
          </w:p>
        </w:tc>
      </w:tr>
      <w:tr w:rsidR="006A2ADB" w:rsidRPr="007C4D65" w14:paraId="42B9C7EB"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0F37FA4" w14:textId="77777777" w:rsidR="006A2ADB" w:rsidRPr="007C4D65" w:rsidRDefault="006A2ADB" w:rsidP="006A2ADB">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18745A52" w14:textId="7092ED98" w:rsidR="006A2ADB" w:rsidRPr="007C4D65" w:rsidRDefault="001906B3" w:rsidP="006A2ADB">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 xml:space="preserve">Ensure that all men and women, particularly those from poor and vulnerable groups effectively participate in environmental </w:t>
            </w:r>
            <w:r w:rsidR="009F16BA" w:rsidRPr="007C4D65">
              <w:rPr>
                <w:rFonts w:asciiTheme="minorHAnsi" w:eastAsiaTheme="minorHAnsi" w:hAnsiTheme="minorHAnsi" w:cstheme="minorHAnsi"/>
                <w:sz w:val="18"/>
                <w:szCs w:val="18"/>
                <w:lang w:eastAsia="en-US" w:bidi="en-US"/>
              </w:rPr>
              <w:t>decision-making</w:t>
            </w:r>
          </w:p>
        </w:tc>
      </w:tr>
      <w:tr w:rsidR="006A2ADB" w:rsidRPr="007C4D65" w14:paraId="3613C8F1"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C375653" w14:textId="52EC9508" w:rsidR="006A2ADB" w:rsidRPr="007C4D65" w:rsidRDefault="00963086" w:rsidP="006A2ADB">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74B7306" w14:textId="7388BD2C" w:rsidR="001906B3" w:rsidRPr="007C4D65" w:rsidRDefault="00C224E3" w:rsidP="001906B3">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1906B3" w:rsidRPr="007C4D65">
              <w:rPr>
                <w:rFonts w:asciiTheme="minorHAnsi" w:hAnsiTheme="minorHAnsi" w:cstheme="minorHAnsi"/>
                <w:sz w:val="18"/>
                <w:szCs w:val="18"/>
                <w:lang w:val="hr-HR" w:bidi="en-US"/>
              </w:rPr>
              <w:t>BAM 275,247 BAM</w:t>
            </w:r>
          </w:p>
          <w:p w14:paraId="21F7AF7B" w14:textId="04491B67" w:rsidR="006A2ADB" w:rsidRPr="007C4D65" w:rsidRDefault="009E6B20" w:rsidP="001906B3">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hAnsiTheme="minorHAnsi" w:cstheme="minorHAnsi"/>
                <w:sz w:val="18"/>
                <w:szCs w:val="18"/>
                <w:lang w:val="hr-HR" w:bidi="en-US"/>
              </w:rPr>
              <w:t xml:space="preserve">Source: </w:t>
            </w:r>
            <w:r w:rsidR="001906B3" w:rsidRPr="007C4D65">
              <w:rPr>
                <w:rFonts w:asciiTheme="minorHAnsi" w:hAnsiTheme="minorHAnsi" w:cstheme="minorHAnsi"/>
                <w:sz w:val="18"/>
                <w:szCs w:val="18"/>
                <w:lang w:val="hr-HR" w:bidi="en-US"/>
              </w:rPr>
              <w:t xml:space="preserve">10%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1906B3" w:rsidRPr="007C4D65">
              <w:rPr>
                <w:rFonts w:asciiTheme="minorHAnsi" w:hAnsiTheme="minorHAnsi" w:cstheme="minorHAnsi"/>
                <w:sz w:val="18"/>
                <w:szCs w:val="18"/>
                <w:lang w:val="hr-HR" w:bidi="en-US"/>
              </w:rPr>
              <w:t xml:space="preserve">, 90% </w:t>
            </w:r>
            <w:r w:rsidR="00C224E3" w:rsidRPr="007C4D65">
              <w:rPr>
                <w:rFonts w:asciiTheme="minorHAnsi" w:hAnsiTheme="minorHAnsi" w:cstheme="minorHAnsi"/>
                <w:sz w:val="18"/>
                <w:szCs w:val="18"/>
                <w:lang w:val="hr-HR" w:bidi="en-US"/>
              </w:rPr>
              <w:t xml:space="preserve">combined </w:t>
            </w:r>
            <w:r w:rsidR="001906B3" w:rsidRPr="007C4D65">
              <w:rPr>
                <w:rFonts w:asciiTheme="minorHAnsi" w:hAnsiTheme="minorHAnsi" w:cstheme="minorHAnsi"/>
                <w:sz w:val="18"/>
                <w:szCs w:val="18"/>
                <w:lang w:val="hr-HR" w:bidi="en-US"/>
              </w:rPr>
              <w:t xml:space="preserve">‒ </w:t>
            </w:r>
            <w:r w:rsidR="00C224E3" w:rsidRPr="007C4D65">
              <w:rPr>
                <w:rFonts w:asciiTheme="minorHAnsi" w:hAnsiTheme="minorHAnsi" w:cstheme="minorHAnsi"/>
                <w:sz w:val="18"/>
                <w:szCs w:val="18"/>
                <w:lang w:val="hr-HR" w:bidi="en-US"/>
              </w:rPr>
              <w:t>funds from EU and other international donors, and other donations</w:t>
            </w:r>
          </w:p>
        </w:tc>
      </w:tr>
      <w:tr w:rsidR="006A2ADB" w:rsidRPr="007C4D65" w14:paraId="6D9582EE"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010956D" w14:textId="77777777" w:rsidR="006A2ADB" w:rsidRPr="007C4D65" w:rsidRDefault="006A2ADB" w:rsidP="006A2ADB">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7414234" w14:textId="77777777" w:rsidR="006A2ADB" w:rsidRPr="007C4D65" w:rsidRDefault="006A2ADB"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2030</w:t>
            </w:r>
          </w:p>
        </w:tc>
      </w:tr>
      <w:tr w:rsidR="006A2ADB" w:rsidRPr="007C4D65" w14:paraId="2EA711E6"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BCCCD96" w14:textId="77777777" w:rsidR="006A2ADB" w:rsidRPr="007C4D65" w:rsidRDefault="006A2ADB" w:rsidP="006A2ADB">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AF7C757" w14:textId="47F0CE89" w:rsidR="006A2ADB" w:rsidRPr="007C4D65" w:rsidRDefault="006A2ADB"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w:t>
            </w:r>
            <w:r w:rsidR="001E6E20" w:rsidRPr="007C4D65">
              <w:rPr>
                <w:rFonts w:asciiTheme="minorHAnsi" w:eastAsiaTheme="minorHAnsi" w:hAnsiTheme="minorHAnsi" w:cstheme="minorHAnsi"/>
                <w:sz w:val="18"/>
                <w:szCs w:val="18"/>
                <w:lang w:eastAsia="en-US"/>
              </w:rPr>
              <w:t>Federation Ministry</w:t>
            </w:r>
            <w:r w:rsidRPr="007C4D65">
              <w:rPr>
                <w:rFonts w:asciiTheme="minorHAnsi" w:eastAsiaTheme="minorHAnsi" w:hAnsiTheme="minorHAnsi" w:cstheme="minorHAnsi"/>
                <w:sz w:val="18"/>
                <w:szCs w:val="18"/>
                <w:lang w:eastAsia="en-US"/>
              </w:rPr>
              <w:t xml:space="preserve"> of Environment and Tourism and Gender Centre in the Federation of Bosnia and Herzegovina</w:t>
            </w:r>
          </w:p>
        </w:tc>
      </w:tr>
      <w:tr w:rsidR="006A2ADB" w:rsidRPr="007C4D65" w14:paraId="131CD693"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A666E5C" w14:textId="77777777" w:rsidR="006A2ADB" w:rsidRPr="007C4D65" w:rsidRDefault="006A2ADB" w:rsidP="006A2ADB">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6A4960A" w14:textId="6356105F" w:rsidR="006A2ADB" w:rsidRPr="007C4D65" w:rsidRDefault="001E6E20"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6A2ADB" w:rsidRPr="007C4D65">
              <w:rPr>
                <w:rFonts w:asciiTheme="minorHAnsi" w:eastAsiaTheme="minorHAnsi" w:hAnsiTheme="minorHAnsi" w:cstheme="minorHAnsi"/>
                <w:sz w:val="18"/>
                <w:szCs w:val="18"/>
                <w:lang w:eastAsia="en-US"/>
              </w:rPr>
              <w:t xml:space="preserve"> of Environment and Tourism, Gender Centre of Federation of </w:t>
            </w:r>
            <w:r w:rsidR="001906B3" w:rsidRPr="007C4D65">
              <w:rPr>
                <w:rFonts w:asciiTheme="minorHAnsi" w:eastAsiaTheme="minorHAnsi" w:hAnsiTheme="minorHAnsi" w:cstheme="minorHAnsi"/>
                <w:sz w:val="18"/>
                <w:szCs w:val="18"/>
                <w:lang w:eastAsia="en-US"/>
              </w:rPr>
              <w:t>BiH</w:t>
            </w:r>
            <w:r w:rsidR="006A2ADB" w:rsidRPr="007C4D65">
              <w:rPr>
                <w:rFonts w:asciiTheme="minorHAnsi" w:eastAsiaTheme="minorHAnsi" w:hAnsiTheme="minorHAnsi" w:cstheme="minorHAnsi"/>
                <w:sz w:val="18"/>
                <w:szCs w:val="18"/>
                <w:lang w:eastAsia="en-US"/>
              </w:rPr>
              <w:t xml:space="preserve"> in cooperation with relevant institutions addressing the issues of gender equality, social equity, and poverty</w:t>
            </w:r>
          </w:p>
        </w:tc>
      </w:tr>
      <w:tr w:rsidR="006A2ADB" w:rsidRPr="007C4D65" w14:paraId="5B3B3687"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460902E" w14:textId="66D68086" w:rsidR="006A2ADB" w:rsidRPr="007C4D65" w:rsidRDefault="00963086" w:rsidP="006A2ADB">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7881931" w14:textId="00626A90" w:rsidR="006A2ADB" w:rsidRPr="007C4D65" w:rsidRDefault="006A2ADB" w:rsidP="006A2ADB">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Citizens, vulnerable groups</w:t>
            </w:r>
          </w:p>
        </w:tc>
      </w:tr>
    </w:tbl>
    <w:p w14:paraId="1BFE7789" w14:textId="77777777" w:rsidR="00AE620E" w:rsidRPr="007C4D65" w:rsidRDefault="00AE620E" w:rsidP="0068355A">
      <w:pPr>
        <w:spacing w:line="276" w:lineRule="auto"/>
        <w:rPr>
          <w:rFonts w:asciiTheme="minorHAnsi" w:hAnsiTheme="minorHAnsi" w:cstheme="minorHAnsi"/>
          <w:sz w:val="18"/>
          <w:szCs w:val="18"/>
        </w:rPr>
      </w:pPr>
    </w:p>
    <w:tbl>
      <w:tblPr>
        <w:tblW w:w="4675"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5"/>
        <w:gridCol w:w="3492"/>
        <w:gridCol w:w="3242"/>
        <w:gridCol w:w="2762"/>
      </w:tblGrid>
      <w:tr w:rsidR="00E77476" w:rsidRPr="007C4D65" w14:paraId="7984CBE8"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F470D31" w14:textId="77777777" w:rsidR="00E77476" w:rsidRPr="007C4D65" w:rsidRDefault="00E77476" w:rsidP="00E77476">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Link with the strategic goal</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3D1FA87" w14:textId="77777777" w:rsidR="00E77476" w:rsidRPr="007C4D65" w:rsidRDefault="00E77476" w:rsidP="00E77476">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E77476" w:rsidRPr="007C4D65" w14:paraId="4B2144D6"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68F6C54" w14:textId="77777777" w:rsidR="00E77476" w:rsidRPr="007C4D65" w:rsidRDefault="00E77476" w:rsidP="00E77476">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73BC5D4" w14:textId="132CB336" w:rsidR="00E77476" w:rsidRPr="007C4D65" w:rsidRDefault="00E77476" w:rsidP="00E77476">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7.6 Ensuring a strong synergy in cross-sectoral and inter-sectoral action, and integration of public environmental policies</w:t>
            </w:r>
          </w:p>
        </w:tc>
      </w:tr>
      <w:tr w:rsidR="00E77476" w:rsidRPr="007C4D65" w14:paraId="7A75658A"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65A9218" w14:textId="77777777" w:rsidR="00E77476" w:rsidRPr="007C4D65" w:rsidRDefault="00E77476" w:rsidP="00E77476">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BA38014" w14:textId="77777777" w:rsidR="00E77476" w:rsidRPr="007C4D65" w:rsidRDefault="00E77476" w:rsidP="00E77476">
            <w:pPr>
              <w:spacing w:before="40" w:after="40" w:line="276" w:lineRule="auto"/>
              <w:rPr>
                <w:rFonts w:asciiTheme="minorHAnsi" w:eastAsia="Calibri" w:hAnsiTheme="minorHAnsi" w:cstheme="minorHAnsi"/>
                <w:b/>
                <w:sz w:val="18"/>
                <w:szCs w:val="18"/>
                <w:lang w:eastAsia="en-US"/>
              </w:rPr>
            </w:pPr>
            <w:bookmarkStart w:id="382" w:name="_Hlk95008663"/>
            <w:r w:rsidRPr="007C4D65">
              <w:rPr>
                <w:rFonts w:asciiTheme="minorHAnsi" w:eastAsiaTheme="minorHAnsi" w:hAnsiTheme="minorHAnsi" w:cstheme="minorHAnsi"/>
                <w:b/>
                <w:sz w:val="18"/>
                <w:szCs w:val="18"/>
                <w:lang w:eastAsia="en-US"/>
              </w:rPr>
              <w:t>7.6.3 Transition to a circular economy</w:t>
            </w:r>
            <w:bookmarkEnd w:id="382"/>
          </w:p>
        </w:tc>
      </w:tr>
      <w:tr w:rsidR="00E77476" w:rsidRPr="007C4D65" w14:paraId="56E8C113"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4C55D17" w14:textId="77777777" w:rsidR="00E77476" w:rsidRPr="007C4D65" w:rsidRDefault="00E77476" w:rsidP="00E77476">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290FBDF" w14:textId="77777777" w:rsidR="00E77476" w:rsidRPr="007C4D65" w:rsidRDefault="00E77476" w:rsidP="00E77476">
            <w:pPr>
              <w:spacing w:before="40" w:after="40" w:line="276" w:lineRule="auto"/>
              <w:rPr>
                <w:rFonts w:asciiTheme="minorHAnsi" w:eastAsia="Calibri" w:hAnsiTheme="minorHAnsi" w:cstheme="minorHAnsi"/>
                <w:sz w:val="18"/>
                <w:szCs w:val="18"/>
                <w:lang w:eastAsia="en-US"/>
              </w:rPr>
            </w:pPr>
            <w:bookmarkStart w:id="383" w:name="_Hlk95008684"/>
            <w:r w:rsidRPr="007C4D65">
              <w:rPr>
                <w:rFonts w:asciiTheme="minorHAnsi" w:eastAsiaTheme="minorHAnsi" w:hAnsiTheme="minorHAnsi" w:cstheme="minorHAnsi"/>
                <w:sz w:val="18"/>
                <w:szCs w:val="18"/>
                <w:lang w:eastAsia="en-US"/>
              </w:rPr>
              <w:t>This measure aims at laying the foundations for the transition towards a circular economy</w:t>
            </w:r>
            <w:bookmarkEnd w:id="383"/>
          </w:p>
          <w:p w14:paraId="2F1B5C8D" w14:textId="03ACE4A3" w:rsidR="00E77476" w:rsidRPr="007C4D65" w:rsidRDefault="00E77476" w:rsidP="00E77476">
            <w:pPr>
              <w:spacing w:before="40" w:after="40" w:line="276" w:lineRule="auto"/>
              <w:rPr>
                <w:rFonts w:asciiTheme="minorHAnsi" w:eastAsia="Calibri" w:hAnsiTheme="minorHAnsi" w:cstheme="minorHAnsi"/>
                <w:sz w:val="18"/>
                <w:szCs w:val="18"/>
                <w:lang w:eastAsia="en-US"/>
              </w:rPr>
            </w:pPr>
            <w:bookmarkStart w:id="384" w:name="_Hlk95008701"/>
            <w:r w:rsidRPr="007C4D65">
              <w:rPr>
                <w:rFonts w:asciiTheme="minorHAnsi" w:eastAsiaTheme="minorHAnsi" w:hAnsiTheme="minorHAnsi" w:cstheme="minorHAnsi"/>
                <w:sz w:val="18"/>
                <w:szCs w:val="18"/>
                <w:lang w:eastAsia="en-US"/>
              </w:rPr>
              <w:t>General areas of intervention are</w:t>
            </w:r>
            <w:bookmarkEnd w:id="384"/>
            <w:r w:rsidRPr="007C4D65">
              <w:rPr>
                <w:rFonts w:asciiTheme="minorHAnsi" w:eastAsiaTheme="minorHAnsi" w:hAnsiTheme="minorHAnsi" w:cstheme="minorHAnsi"/>
                <w:sz w:val="18"/>
                <w:szCs w:val="18"/>
                <w:lang w:eastAsia="en-US"/>
              </w:rPr>
              <w:t>:</w:t>
            </w:r>
          </w:p>
          <w:p w14:paraId="47BA4C16" w14:textId="1ACBE6C2" w:rsidR="00E77476" w:rsidRPr="007C4D65" w:rsidRDefault="001772C9">
            <w:pPr>
              <w:numPr>
                <w:ilvl w:val="0"/>
                <w:numId w:val="230"/>
              </w:numPr>
              <w:spacing w:before="40" w:after="40" w:line="276" w:lineRule="auto"/>
              <w:contextualSpacing/>
              <w:rPr>
                <w:rFonts w:asciiTheme="minorHAnsi" w:eastAsia="Calibri" w:hAnsiTheme="minorHAnsi" w:cstheme="minorHAnsi"/>
                <w:sz w:val="18"/>
                <w:szCs w:val="18"/>
                <w:lang w:eastAsia="en-US"/>
              </w:rPr>
            </w:pPr>
            <w:bookmarkStart w:id="385" w:name="_Hlk95008711"/>
            <w:r w:rsidRPr="007C4D65">
              <w:rPr>
                <w:rFonts w:asciiTheme="minorHAnsi" w:eastAsiaTheme="minorHAnsi" w:hAnsiTheme="minorHAnsi" w:cstheme="minorHAnsi"/>
                <w:sz w:val="18"/>
                <w:szCs w:val="18"/>
                <w:lang w:eastAsia="en-US"/>
              </w:rPr>
              <w:t>Draft and adopt</w:t>
            </w:r>
            <w:r w:rsidR="00E77476" w:rsidRPr="007C4D65">
              <w:rPr>
                <w:rFonts w:asciiTheme="minorHAnsi" w:eastAsiaTheme="minorHAnsi" w:hAnsiTheme="minorHAnsi" w:cstheme="minorHAnsi"/>
                <w:sz w:val="18"/>
                <w:szCs w:val="18"/>
                <w:lang w:eastAsia="en-US"/>
              </w:rPr>
              <w:t xml:space="preserve"> a Roadmap and Action Plan for the implementation </w:t>
            </w:r>
            <w:proofErr w:type="gramStart"/>
            <w:r w:rsidR="00E77476" w:rsidRPr="007C4D65">
              <w:rPr>
                <w:rFonts w:asciiTheme="minorHAnsi" w:eastAsiaTheme="minorHAnsi" w:hAnsiTheme="minorHAnsi" w:cstheme="minorHAnsi"/>
                <w:sz w:val="18"/>
                <w:szCs w:val="18"/>
                <w:lang w:eastAsia="en-US"/>
              </w:rPr>
              <w:t>of  the</w:t>
            </w:r>
            <w:proofErr w:type="gramEnd"/>
            <w:r w:rsidR="00E77476" w:rsidRPr="007C4D65">
              <w:rPr>
                <w:rFonts w:asciiTheme="minorHAnsi" w:eastAsiaTheme="minorHAnsi" w:hAnsiTheme="minorHAnsi" w:cstheme="minorHAnsi"/>
                <w:sz w:val="18"/>
                <w:szCs w:val="18"/>
                <w:lang w:eastAsia="en-US"/>
              </w:rPr>
              <w:t xml:space="preserve"> circular economy in the Federation of </w:t>
            </w:r>
            <w:r w:rsidRPr="007C4D65">
              <w:rPr>
                <w:rFonts w:asciiTheme="minorHAnsi" w:eastAsiaTheme="minorHAnsi" w:hAnsiTheme="minorHAnsi" w:cstheme="minorHAnsi"/>
                <w:sz w:val="18"/>
                <w:szCs w:val="18"/>
                <w:lang w:eastAsia="en-US"/>
              </w:rPr>
              <w:t>BiH</w:t>
            </w:r>
            <w:r w:rsidR="00E77476" w:rsidRPr="007C4D65">
              <w:rPr>
                <w:rFonts w:asciiTheme="minorHAnsi" w:eastAsiaTheme="minorHAnsi" w:hAnsiTheme="minorHAnsi" w:cstheme="minorHAnsi"/>
                <w:sz w:val="18"/>
                <w:szCs w:val="18"/>
                <w:lang w:eastAsia="en-US"/>
              </w:rPr>
              <w:t xml:space="preserve"> </w:t>
            </w:r>
            <w:bookmarkStart w:id="386" w:name="_Hlk95008755"/>
            <w:bookmarkEnd w:id="385"/>
            <w:r w:rsidR="00E77476" w:rsidRPr="007C4D65">
              <w:rPr>
                <w:rFonts w:asciiTheme="minorHAnsi" w:eastAsiaTheme="minorHAnsi" w:hAnsiTheme="minorHAnsi" w:cstheme="minorHAnsi"/>
                <w:sz w:val="18"/>
                <w:szCs w:val="18"/>
                <w:lang w:eastAsia="en-US"/>
              </w:rPr>
              <w:t>(harmonised with the national Roadmap)</w:t>
            </w:r>
            <w:bookmarkEnd w:id="386"/>
            <w:r w:rsidR="00322F01" w:rsidRPr="007C4D65">
              <w:rPr>
                <w:rFonts w:asciiTheme="minorHAnsi" w:eastAsiaTheme="minorHAnsi" w:hAnsiTheme="minorHAnsi" w:cstheme="minorHAnsi"/>
                <w:sz w:val="18"/>
                <w:szCs w:val="18"/>
                <w:lang w:eastAsia="en-US"/>
              </w:rPr>
              <w:t>;</w:t>
            </w:r>
          </w:p>
          <w:p w14:paraId="5105D10A" w14:textId="1B605408" w:rsidR="00E77476" w:rsidRPr="007C4D65" w:rsidRDefault="00E77476">
            <w:pPr>
              <w:numPr>
                <w:ilvl w:val="0"/>
                <w:numId w:val="230"/>
              </w:numPr>
              <w:spacing w:before="40" w:after="40" w:line="276" w:lineRule="auto"/>
              <w:contextualSpacing/>
              <w:rPr>
                <w:rFonts w:asciiTheme="minorHAnsi" w:eastAsia="Calibri" w:hAnsiTheme="minorHAnsi" w:cstheme="minorHAnsi"/>
                <w:sz w:val="18"/>
                <w:szCs w:val="18"/>
                <w:lang w:eastAsia="en-US"/>
              </w:rPr>
            </w:pPr>
            <w:bookmarkStart w:id="387" w:name="_Hlk95008727"/>
            <w:r w:rsidRPr="007C4D65">
              <w:rPr>
                <w:rFonts w:asciiTheme="minorHAnsi" w:eastAsiaTheme="minorHAnsi" w:hAnsiTheme="minorHAnsi" w:cstheme="minorHAnsi"/>
                <w:sz w:val="18"/>
                <w:szCs w:val="18"/>
                <w:lang w:eastAsia="en-US"/>
              </w:rPr>
              <w:t>Eliminat</w:t>
            </w:r>
            <w:r w:rsidR="001772C9" w:rsidRPr="007C4D65">
              <w:rPr>
                <w:rFonts w:asciiTheme="minorHAnsi" w:eastAsiaTheme="minorHAnsi" w:hAnsiTheme="minorHAnsi" w:cstheme="minorHAnsi"/>
                <w:sz w:val="18"/>
                <w:szCs w:val="18"/>
                <w:lang w:eastAsia="en-US"/>
              </w:rPr>
              <w:t>e</w:t>
            </w:r>
            <w:r w:rsidRPr="007C4D65">
              <w:rPr>
                <w:rFonts w:asciiTheme="minorHAnsi" w:eastAsiaTheme="minorHAnsi" w:hAnsiTheme="minorHAnsi" w:cstheme="minorHAnsi"/>
                <w:sz w:val="18"/>
                <w:szCs w:val="18"/>
                <w:lang w:eastAsia="en-US"/>
              </w:rPr>
              <w:t xml:space="preserve"> legal barriers and introduc</w:t>
            </w:r>
            <w:r w:rsidR="001772C9" w:rsidRPr="007C4D65">
              <w:rPr>
                <w:rFonts w:asciiTheme="minorHAnsi" w:eastAsiaTheme="minorHAnsi" w:hAnsiTheme="minorHAnsi" w:cstheme="minorHAnsi"/>
                <w:sz w:val="18"/>
                <w:szCs w:val="18"/>
                <w:lang w:eastAsia="en-US"/>
              </w:rPr>
              <w:t>e</w:t>
            </w:r>
            <w:r w:rsidRPr="007C4D65">
              <w:rPr>
                <w:rFonts w:asciiTheme="minorHAnsi" w:eastAsiaTheme="minorHAnsi" w:hAnsiTheme="minorHAnsi" w:cstheme="minorHAnsi"/>
                <w:sz w:val="18"/>
                <w:szCs w:val="18"/>
                <w:lang w:eastAsia="en-US"/>
              </w:rPr>
              <w:t xml:space="preserve"> enabling instruments for green business</w:t>
            </w:r>
            <w:bookmarkEnd w:id="387"/>
            <w:r w:rsidR="001772C9" w:rsidRPr="007C4D65">
              <w:rPr>
                <w:rFonts w:asciiTheme="minorHAnsi" w:eastAsiaTheme="minorHAnsi" w:hAnsiTheme="minorHAnsi" w:cstheme="minorHAnsi"/>
                <w:sz w:val="18"/>
                <w:szCs w:val="18"/>
                <w:lang w:eastAsia="en-US"/>
              </w:rPr>
              <w:t xml:space="preserve"> </w:t>
            </w:r>
            <w:r w:rsidRPr="007C4D65">
              <w:rPr>
                <w:rFonts w:asciiTheme="minorHAnsi" w:eastAsiaTheme="minorHAnsi" w:hAnsiTheme="minorHAnsi" w:cstheme="minorHAnsi"/>
                <w:sz w:val="18"/>
                <w:szCs w:val="18"/>
                <w:lang w:eastAsia="en-US"/>
              </w:rPr>
              <w:t xml:space="preserve">(green economy) such as: </w:t>
            </w:r>
            <w:r w:rsidR="001772C9" w:rsidRPr="007C4D65">
              <w:rPr>
                <w:rFonts w:asciiTheme="minorHAnsi" w:eastAsiaTheme="minorHAnsi" w:hAnsiTheme="minorHAnsi" w:cstheme="minorHAnsi"/>
                <w:sz w:val="18"/>
                <w:szCs w:val="18"/>
                <w:lang w:eastAsia="en-US"/>
              </w:rPr>
              <w:t>r</w:t>
            </w:r>
            <w:r w:rsidRPr="007C4D65">
              <w:rPr>
                <w:rFonts w:asciiTheme="minorHAnsi" w:eastAsiaTheme="minorHAnsi" w:hAnsiTheme="minorHAnsi" w:cstheme="minorHAnsi"/>
                <w:sz w:val="18"/>
                <w:szCs w:val="18"/>
                <w:lang w:eastAsia="en-US"/>
              </w:rPr>
              <w:t xml:space="preserve">egulatory instruments and evidence-based instruments, financial incentives and green public </w:t>
            </w:r>
            <w:proofErr w:type="gramStart"/>
            <w:r w:rsidRPr="007C4D65">
              <w:rPr>
                <w:rFonts w:asciiTheme="minorHAnsi" w:eastAsiaTheme="minorHAnsi" w:hAnsiTheme="minorHAnsi" w:cstheme="minorHAnsi"/>
                <w:sz w:val="18"/>
                <w:szCs w:val="18"/>
                <w:lang w:eastAsia="en-US"/>
              </w:rPr>
              <w:t>procurement</w:t>
            </w:r>
            <w:r w:rsidR="00322F01" w:rsidRPr="007C4D65">
              <w:rPr>
                <w:rFonts w:asciiTheme="minorHAnsi" w:eastAsiaTheme="minorHAnsi" w:hAnsiTheme="minorHAnsi" w:cstheme="minorHAnsi"/>
                <w:sz w:val="18"/>
                <w:szCs w:val="18"/>
                <w:lang w:eastAsia="en-US"/>
              </w:rPr>
              <w:t>;</w:t>
            </w:r>
            <w:proofErr w:type="gramEnd"/>
          </w:p>
          <w:p w14:paraId="67315FCC" w14:textId="5984692F" w:rsidR="00E77476" w:rsidRPr="007C4D65" w:rsidRDefault="00E77476">
            <w:pPr>
              <w:numPr>
                <w:ilvl w:val="0"/>
                <w:numId w:val="230"/>
              </w:numPr>
              <w:spacing w:before="40" w:after="40" w:line="276" w:lineRule="auto"/>
              <w:contextualSpacing/>
              <w:rPr>
                <w:rFonts w:asciiTheme="minorHAnsi" w:eastAsia="Calibri" w:hAnsiTheme="minorHAnsi" w:cstheme="minorHAnsi"/>
                <w:sz w:val="18"/>
                <w:szCs w:val="18"/>
                <w:lang w:eastAsia="en-US"/>
              </w:rPr>
            </w:pPr>
            <w:bookmarkStart w:id="388" w:name="_Hlk95008771"/>
            <w:r w:rsidRPr="007C4D65">
              <w:rPr>
                <w:rFonts w:asciiTheme="minorHAnsi" w:eastAsiaTheme="minorHAnsi" w:hAnsiTheme="minorHAnsi" w:cstheme="minorHAnsi"/>
                <w:sz w:val="18"/>
                <w:szCs w:val="18"/>
                <w:lang w:eastAsia="en-US"/>
              </w:rPr>
              <w:t xml:space="preserve">Promoting the application of green procurements in public </w:t>
            </w:r>
            <w:proofErr w:type="gramStart"/>
            <w:r w:rsidRPr="007C4D65">
              <w:rPr>
                <w:rFonts w:asciiTheme="minorHAnsi" w:eastAsiaTheme="minorHAnsi" w:hAnsiTheme="minorHAnsi" w:cstheme="minorHAnsi"/>
                <w:sz w:val="18"/>
                <w:szCs w:val="18"/>
                <w:lang w:eastAsia="en-US"/>
              </w:rPr>
              <w:t>institutions</w:t>
            </w:r>
            <w:bookmarkEnd w:id="388"/>
            <w:r w:rsidR="00322F01" w:rsidRPr="007C4D65">
              <w:rPr>
                <w:rFonts w:asciiTheme="minorHAnsi" w:eastAsiaTheme="minorHAnsi" w:hAnsiTheme="minorHAnsi" w:cstheme="minorHAnsi"/>
                <w:sz w:val="18"/>
                <w:szCs w:val="18"/>
                <w:lang w:eastAsia="en-US"/>
              </w:rPr>
              <w:t>;</w:t>
            </w:r>
            <w:proofErr w:type="gramEnd"/>
          </w:p>
          <w:p w14:paraId="6C34F5EA" w14:textId="1AE0DC46" w:rsidR="00E77476" w:rsidRPr="007C4D65" w:rsidRDefault="001772C9">
            <w:pPr>
              <w:numPr>
                <w:ilvl w:val="0"/>
                <w:numId w:val="230"/>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Preparation of an Action Plan</w:t>
            </w:r>
            <w:r w:rsidR="00E77476" w:rsidRPr="007C4D65">
              <w:rPr>
                <w:rFonts w:asciiTheme="minorHAnsi" w:eastAsiaTheme="minorHAnsi" w:hAnsiTheme="minorHAnsi" w:cstheme="minorHAnsi"/>
                <w:sz w:val="18"/>
                <w:szCs w:val="18"/>
                <w:lang w:eastAsia="en-US"/>
              </w:rPr>
              <w:t xml:space="preserve"> for small and medium enterprises and ensuring support to addressing the barriers which prevent the transition to green </w:t>
            </w:r>
            <w:proofErr w:type="gramStart"/>
            <w:r w:rsidR="00E77476" w:rsidRPr="007C4D65">
              <w:rPr>
                <w:rFonts w:asciiTheme="minorHAnsi" w:eastAsiaTheme="minorHAnsi" w:hAnsiTheme="minorHAnsi" w:cstheme="minorHAnsi"/>
                <w:sz w:val="18"/>
                <w:szCs w:val="18"/>
                <w:lang w:eastAsia="en-US"/>
              </w:rPr>
              <w:t>business</w:t>
            </w:r>
            <w:r w:rsidR="00322F01" w:rsidRPr="007C4D65">
              <w:rPr>
                <w:rFonts w:asciiTheme="minorHAnsi" w:eastAsiaTheme="minorHAnsi" w:hAnsiTheme="minorHAnsi" w:cstheme="minorHAnsi"/>
                <w:sz w:val="18"/>
                <w:szCs w:val="18"/>
                <w:lang w:eastAsia="en-US"/>
              </w:rPr>
              <w:t>;</w:t>
            </w:r>
            <w:proofErr w:type="gramEnd"/>
          </w:p>
          <w:p w14:paraId="46CB05EC" w14:textId="3F6F20CD" w:rsidR="00E77476" w:rsidRPr="007C4D65" w:rsidRDefault="00E77476">
            <w:pPr>
              <w:numPr>
                <w:ilvl w:val="0"/>
                <w:numId w:val="230"/>
              </w:numPr>
              <w:spacing w:before="40" w:after="40" w:line="276" w:lineRule="auto"/>
              <w:contextualSpacing/>
              <w:rPr>
                <w:rFonts w:asciiTheme="minorHAnsi" w:eastAsia="Calibri" w:hAnsiTheme="minorHAnsi" w:cstheme="minorHAnsi"/>
                <w:sz w:val="18"/>
                <w:szCs w:val="18"/>
                <w:lang w:eastAsia="en-US"/>
              </w:rPr>
            </w:pPr>
            <w:bookmarkStart w:id="389" w:name="_Hlk95008809"/>
            <w:r w:rsidRPr="007C4D65">
              <w:rPr>
                <w:rFonts w:asciiTheme="minorHAnsi" w:eastAsiaTheme="minorHAnsi" w:hAnsiTheme="minorHAnsi" w:cstheme="minorHAnsi"/>
                <w:sz w:val="18"/>
                <w:szCs w:val="18"/>
                <w:lang w:eastAsia="en-US"/>
              </w:rPr>
              <w:t xml:space="preserve">Drafting legislation for eco-design </w:t>
            </w:r>
            <w:proofErr w:type="gramStart"/>
            <w:r w:rsidRPr="007C4D65">
              <w:rPr>
                <w:rFonts w:asciiTheme="minorHAnsi" w:eastAsiaTheme="minorHAnsi" w:hAnsiTheme="minorHAnsi" w:cstheme="minorHAnsi"/>
                <w:sz w:val="18"/>
                <w:szCs w:val="18"/>
                <w:lang w:eastAsia="en-US"/>
              </w:rPr>
              <w:t>products</w:t>
            </w:r>
            <w:bookmarkEnd w:id="389"/>
            <w:r w:rsidR="00322F01" w:rsidRPr="007C4D65">
              <w:rPr>
                <w:rFonts w:asciiTheme="minorHAnsi" w:eastAsia="Calibri" w:hAnsiTheme="minorHAnsi" w:cstheme="minorHAnsi"/>
                <w:sz w:val="18"/>
                <w:szCs w:val="18"/>
                <w:lang w:eastAsia="en-US"/>
              </w:rPr>
              <w:t>;</w:t>
            </w:r>
            <w:proofErr w:type="gramEnd"/>
          </w:p>
          <w:p w14:paraId="75AF0892" w14:textId="6FF68F8F" w:rsidR="00E77476" w:rsidRPr="007C4D65" w:rsidRDefault="00E77476">
            <w:pPr>
              <w:numPr>
                <w:ilvl w:val="0"/>
                <w:numId w:val="230"/>
              </w:numPr>
              <w:spacing w:before="40" w:after="40" w:line="276" w:lineRule="auto"/>
              <w:contextualSpacing/>
              <w:rPr>
                <w:rFonts w:asciiTheme="minorHAnsi" w:eastAsia="Calibri" w:hAnsiTheme="minorHAnsi" w:cstheme="minorHAnsi"/>
                <w:sz w:val="18"/>
                <w:szCs w:val="18"/>
                <w:lang w:eastAsia="en-US"/>
              </w:rPr>
            </w:pPr>
            <w:bookmarkStart w:id="390" w:name="_Hlk95008823"/>
            <w:r w:rsidRPr="007C4D65">
              <w:rPr>
                <w:rFonts w:asciiTheme="minorHAnsi" w:eastAsiaTheme="minorHAnsi" w:hAnsiTheme="minorHAnsi" w:cstheme="minorHAnsi"/>
                <w:sz w:val="18"/>
                <w:szCs w:val="18"/>
                <w:lang w:eastAsia="en-US"/>
              </w:rPr>
              <w:t>Ensur</w:t>
            </w:r>
            <w:r w:rsidR="001772C9" w:rsidRPr="007C4D65">
              <w:rPr>
                <w:rFonts w:asciiTheme="minorHAnsi" w:eastAsiaTheme="minorHAnsi" w:hAnsiTheme="minorHAnsi" w:cstheme="minorHAnsi"/>
                <w:sz w:val="18"/>
                <w:szCs w:val="18"/>
                <w:lang w:eastAsia="en-US"/>
              </w:rPr>
              <w:t>e</w:t>
            </w:r>
            <w:r w:rsidRPr="007C4D65">
              <w:rPr>
                <w:rFonts w:asciiTheme="minorHAnsi" w:eastAsiaTheme="minorHAnsi" w:hAnsiTheme="minorHAnsi" w:cstheme="minorHAnsi"/>
                <w:sz w:val="18"/>
                <w:szCs w:val="18"/>
                <w:lang w:eastAsia="en-US"/>
              </w:rPr>
              <w:t xml:space="preserve"> financial support to promotion of voluntary instruments for the implementation of green business </w:t>
            </w:r>
            <w:bookmarkEnd w:id="390"/>
            <w:r w:rsidRPr="007C4D65">
              <w:rPr>
                <w:rFonts w:asciiTheme="minorHAnsi" w:eastAsiaTheme="minorHAnsi" w:hAnsiTheme="minorHAnsi" w:cstheme="minorHAnsi"/>
                <w:sz w:val="18"/>
                <w:szCs w:val="18"/>
                <w:lang w:eastAsia="en-US"/>
              </w:rPr>
              <w:t>(eco-labels, EMAS, green procurements, voluntary industrial agreements, etc).</w:t>
            </w:r>
          </w:p>
        </w:tc>
      </w:tr>
      <w:tr w:rsidR="00E77476" w:rsidRPr="007C4D65" w14:paraId="211A477E"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A43CF71" w14:textId="77777777" w:rsidR="00E77476" w:rsidRPr="007C4D65" w:rsidRDefault="00E77476" w:rsidP="00E77476">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Strategic projects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5679FE36" w14:textId="77777777" w:rsidR="00E77476" w:rsidRPr="007C4D65" w:rsidRDefault="00E77476"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E77476" w:rsidRPr="007C4D65" w14:paraId="5ECE628C" w14:textId="77777777" w:rsidTr="00B6017F">
        <w:trPr>
          <w:trHeight w:val="567"/>
        </w:trPr>
        <w:tc>
          <w:tcPr>
            <w:tcW w:w="1359"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8357981" w14:textId="77777777" w:rsidR="00E77476" w:rsidRPr="007C4D65" w:rsidRDefault="00E77476" w:rsidP="00E77476">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3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682FD58" w14:textId="77777777" w:rsidR="00E77476" w:rsidRPr="007C4D65" w:rsidRDefault="00E77476" w:rsidP="00E77476">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6A3DC446" w14:textId="77777777" w:rsidR="00E77476" w:rsidRPr="007C4D65" w:rsidRDefault="00E77476" w:rsidP="00E77476">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43"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E9FB12E" w14:textId="77777777" w:rsidR="00E77476" w:rsidRPr="007C4D65" w:rsidRDefault="00E77476" w:rsidP="00E77476">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2F5D264D" w14:textId="77777777" w:rsidR="00E77476" w:rsidRPr="007C4D65" w:rsidRDefault="00E77476" w:rsidP="00E77476">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39323BA" w14:textId="77777777" w:rsidR="00E77476" w:rsidRPr="007C4D65" w:rsidRDefault="00E77476" w:rsidP="00E77476">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E77476" w:rsidRPr="007C4D65" w14:paraId="7B7EC884"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2EA775BE" w14:textId="77777777" w:rsidR="00E77476" w:rsidRPr="007C4D65" w:rsidRDefault="00E77476" w:rsidP="00E77476">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95CCE8A" w14:textId="77777777" w:rsidR="00E77476" w:rsidRPr="007C4D65" w:rsidRDefault="00E77476">
            <w:pPr>
              <w:pStyle w:val="ListParagraph"/>
              <w:numPr>
                <w:ilvl w:val="0"/>
                <w:numId w:val="257"/>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Status of adopting the Roadmap and Action Plan on the implementation of the circular economy in the Federation of Bosnia and Herzegovina</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86C8024" w14:textId="77777777" w:rsidR="00E77476" w:rsidRPr="007C4D65" w:rsidRDefault="00E77476"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Roadmap and Action Plan are not adopted</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57CB028" w14:textId="79F5872B" w:rsidR="00E77476" w:rsidRPr="007C4D65" w:rsidRDefault="00E77476"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Roadmap and Action Plan on the </w:t>
            </w:r>
            <w:r w:rsidR="001772C9" w:rsidRPr="007C4D65">
              <w:rPr>
                <w:rFonts w:asciiTheme="minorHAnsi" w:eastAsiaTheme="minorHAnsi" w:hAnsiTheme="minorHAnsi" w:cstheme="minorHAnsi"/>
                <w:sz w:val="18"/>
                <w:szCs w:val="18"/>
                <w:lang w:eastAsia="en-US"/>
              </w:rPr>
              <w:t>transition to a</w:t>
            </w:r>
            <w:r w:rsidRPr="007C4D65">
              <w:rPr>
                <w:rFonts w:asciiTheme="minorHAnsi" w:eastAsiaTheme="minorHAnsi" w:hAnsiTheme="minorHAnsi" w:cstheme="minorHAnsi"/>
                <w:sz w:val="18"/>
                <w:szCs w:val="18"/>
                <w:lang w:eastAsia="en-US"/>
              </w:rPr>
              <w:t xml:space="preserve"> circular economy adopted (2024)</w:t>
            </w:r>
          </w:p>
        </w:tc>
      </w:tr>
      <w:tr w:rsidR="00E77476" w:rsidRPr="007C4D65" w14:paraId="2D3FBED8"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49DF75ED" w14:textId="77777777" w:rsidR="00E77476" w:rsidRPr="007C4D65" w:rsidRDefault="00E77476" w:rsidP="00E77476">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CBBD63F" w14:textId="77777777" w:rsidR="00E77476" w:rsidRPr="007C4D65" w:rsidRDefault="00E77476">
            <w:pPr>
              <w:pStyle w:val="ListParagraph"/>
              <w:numPr>
                <w:ilvl w:val="0"/>
                <w:numId w:val="257"/>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Initiation of enabling instruments for green business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D16FDDC" w14:textId="77777777" w:rsidR="00E77476" w:rsidRPr="007C4D65" w:rsidRDefault="00E77476"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Enabling instruments not implemented</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615CBFF" w14:textId="77777777" w:rsidR="00E77476" w:rsidRPr="007C4D65" w:rsidRDefault="00E77476"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Enabling instruments implemented (2025)</w:t>
            </w:r>
          </w:p>
        </w:tc>
      </w:tr>
      <w:tr w:rsidR="00E77476" w:rsidRPr="007C4D65" w14:paraId="55C3A9F9"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018929B5" w14:textId="77777777" w:rsidR="00E77476" w:rsidRPr="007C4D65" w:rsidRDefault="00E77476" w:rsidP="00E77476">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611B1F1" w14:textId="77777777" w:rsidR="00E77476" w:rsidRPr="007C4D65" w:rsidRDefault="00E77476">
            <w:pPr>
              <w:pStyle w:val="ListParagraph"/>
              <w:numPr>
                <w:ilvl w:val="0"/>
                <w:numId w:val="257"/>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The application of green procurements in public institutions and private sector</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FE40BF8" w14:textId="77777777" w:rsidR="00E77476" w:rsidRPr="007C4D65" w:rsidRDefault="00E77476"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Poor application of green procurement (it is not possible to determine the total amount of funds spent through the </w:t>
            </w:r>
            <w:r w:rsidRPr="007C4D65">
              <w:rPr>
                <w:rFonts w:asciiTheme="minorHAnsi" w:eastAsiaTheme="minorHAnsi" w:hAnsiTheme="minorHAnsi" w:cstheme="minorHAnsi"/>
                <w:sz w:val="18"/>
                <w:szCs w:val="18"/>
                <w:lang w:eastAsia="en-US"/>
              </w:rPr>
              <w:lastRenderedPageBreak/>
              <w:t>application of green procurement criteria)</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AAC0EE2" w14:textId="77777777" w:rsidR="00E77476" w:rsidRPr="007C4D65" w:rsidRDefault="00E77476"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lastRenderedPageBreak/>
              <w:t xml:space="preserve">Extensive application of green procurements in public </w:t>
            </w:r>
            <w:r w:rsidRPr="007C4D65">
              <w:rPr>
                <w:rFonts w:asciiTheme="minorHAnsi" w:eastAsiaTheme="minorHAnsi" w:hAnsiTheme="minorHAnsi" w:cstheme="minorHAnsi"/>
                <w:sz w:val="18"/>
                <w:szCs w:val="18"/>
                <w:lang w:eastAsia="en-US"/>
              </w:rPr>
              <w:lastRenderedPageBreak/>
              <w:t>institutions and private sector (2030)</w:t>
            </w:r>
          </w:p>
        </w:tc>
      </w:tr>
      <w:tr w:rsidR="00E77476" w:rsidRPr="007C4D65" w14:paraId="79EF2606"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4E5CA64C" w14:textId="77777777" w:rsidR="00E77476" w:rsidRPr="007C4D65" w:rsidRDefault="00E77476" w:rsidP="00E77476">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364A094" w14:textId="254A3B3B" w:rsidR="00E77476" w:rsidRPr="007C4D65" w:rsidRDefault="00E77476">
            <w:pPr>
              <w:pStyle w:val="ListParagraph"/>
              <w:numPr>
                <w:ilvl w:val="0"/>
                <w:numId w:val="257"/>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Status of </w:t>
            </w:r>
            <w:r w:rsidR="001772C9" w:rsidRPr="007C4D65">
              <w:rPr>
                <w:rFonts w:asciiTheme="minorHAnsi" w:eastAsiaTheme="minorHAnsi" w:hAnsiTheme="minorHAnsi" w:cstheme="minorHAnsi"/>
                <w:sz w:val="18"/>
                <w:szCs w:val="18"/>
                <w:lang w:eastAsia="en-US"/>
              </w:rPr>
              <w:t>the preparation of</w:t>
            </w:r>
            <w:r w:rsidRPr="007C4D65">
              <w:rPr>
                <w:rFonts w:asciiTheme="minorHAnsi" w:eastAsiaTheme="minorHAnsi" w:hAnsiTheme="minorHAnsi" w:cstheme="minorHAnsi"/>
                <w:sz w:val="18"/>
                <w:szCs w:val="18"/>
                <w:lang w:eastAsia="en-US"/>
              </w:rPr>
              <w:t xml:space="preserve"> </w:t>
            </w:r>
            <w:r w:rsidR="001772C9" w:rsidRPr="007C4D65">
              <w:rPr>
                <w:rFonts w:asciiTheme="minorHAnsi" w:eastAsiaTheme="minorHAnsi" w:hAnsiTheme="minorHAnsi" w:cstheme="minorHAnsi"/>
                <w:sz w:val="18"/>
                <w:szCs w:val="18"/>
                <w:lang w:eastAsia="en-US"/>
              </w:rPr>
              <w:t>A</w:t>
            </w:r>
            <w:r w:rsidRPr="007C4D65">
              <w:rPr>
                <w:rFonts w:asciiTheme="minorHAnsi" w:eastAsiaTheme="minorHAnsi" w:hAnsiTheme="minorHAnsi" w:cstheme="minorHAnsi"/>
                <w:sz w:val="18"/>
                <w:szCs w:val="18"/>
                <w:lang w:eastAsia="en-US"/>
              </w:rPr>
              <w:t xml:space="preserve">ction </w:t>
            </w:r>
            <w:r w:rsidR="001772C9" w:rsidRPr="007C4D65">
              <w:rPr>
                <w:rFonts w:asciiTheme="minorHAnsi" w:eastAsiaTheme="minorHAnsi" w:hAnsiTheme="minorHAnsi" w:cstheme="minorHAnsi"/>
                <w:sz w:val="18"/>
                <w:szCs w:val="18"/>
                <w:lang w:eastAsia="en-US"/>
              </w:rPr>
              <w:t>P</w:t>
            </w:r>
            <w:r w:rsidRPr="007C4D65">
              <w:rPr>
                <w:rFonts w:asciiTheme="minorHAnsi" w:eastAsiaTheme="minorHAnsi" w:hAnsiTheme="minorHAnsi" w:cstheme="minorHAnsi"/>
                <w:sz w:val="18"/>
                <w:szCs w:val="18"/>
                <w:lang w:eastAsia="en-US"/>
              </w:rPr>
              <w:t>lan for small and medium enterprises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67127FA" w14:textId="4CABF625" w:rsidR="00E77476" w:rsidRPr="007C4D65" w:rsidRDefault="00E77476"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action plan not prepared </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E179655" w14:textId="77777777" w:rsidR="00E77476" w:rsidRPr="007C4D65" w:rsidRDefault="00E77476"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Action Plan prepared (2026)</w:t>
            </w:r>
          </w:p>
        </w:tc>
      </w:tr>
      <w:tr w:rsidR="00E77476" w:rsidRPr="007C4D65" w14:paraId="778BF2F0"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6692AAA4" w14:textId="77777777" w:rsidR="00E77476" w:rsidRPr="007C4D65" w:rsidRDefault="00E77476" w:rsidP="00E77476">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3A9362A" w14:textId="568AD8FB" w:rsidR="00E77476" w:rsidRPr="007C4D65" w:rsidRDefault="00E77476">
            <w:pPr>
              <w:pStyle w:val="ListParagraph"/>
              <w:numPr>
                <w:ilvl w:val="0"/>
                <w:numId w:val="257"/>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Status of </w:t>
            </w:r>
            <w:r w:rsidR="001772C9" w:rsidRPr="007C4D65">
              <w:rPr>
                <w:rFonts w:asciiTheme="minorHAnsi" w:eastAsiaTheme="minorHAnsi" w:hAnsiTheme="minorHAnsi" w:cstheme="minorHAnsi"/>
                <w:sz w:val="18"/>
                <w:szCs w:val="18"/>
                <w:lang w:eastAsia="en-US"/>
              </w:rPr>
              <w:t xml:space="preserve">passing </w:t>
            </w:r>
            <w:r w:rsidRPr="007C4D65">
              <w:rPr>
                <w:rFonts w:asciiTheme="minorHAnsi" w:eastAsiaTheme="minorHAnsi" w:hAnsiTheme="minorHAnsi" w:cstheme="minorHAnsi"/>
                <w:sz w:val="18"/>
                <w:szCs w:val="18"/>
                <w:lang w:eastAsia="en-US"/>
              </w:rPr>
              <w:t>the legislation on eco-design products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D8FA1E8" w14:textId="77777777" w:rsidR="00E77476" w:rsidRPr="007C4D65" w:rsidRDefault="00E77476"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legislation is not adopted </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A43010B" w14:textId="77777777" w:rsidR="00E77476" w:rsidRPr="007C4D65" w:rsidRDefault="00E77476"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legislation on eco-design products adopted (2026)</w:t>
            </w:r>
          </w:p>
        </w:tc>
      </w:tr>
      <w:tr w:rsidR="00E77476" w:rsidRPr="007C4D65" w14:paraId="2DE36735"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4EF3C96A" w14:textId="77777777" w:rsidR="00E77476" w:rsidRPr="007C4D65" w:rsidRDefault="00E77476" w:rsidP="00E77476">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3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982B475" w14:textId="77777777" w:rsidR="00E77476" w:rsidRPr="007C4D65" w:rsidRDefault="00E77476">
            <w:pPr>
              <w:pStyle w:val="ListParagraph"/>
              <w:numPr>
                <w:ilvl w:val="0"/>
                <w:numId w:val="257"/>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Financial support to strengthen voluntary instruments for the implementation of green business</w:t>
            </w:r>
          </w:p>
        </w:tc>
        <w:tc>
          <w:tcPr>
            <w:tcW w:w="1243"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651DB40" w14:textId="27B30B1F" w:rsidR="00E77476" w:rsidRPr="007C4D65" w:rsidRDefault="00E77476"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financial support is no</w:t>
            </w:r>
            <w:r w:rsidR="001772C9" w:rsidRPr="007C4D65">
              <w:rPr>
                <w:rFonts w:asciiTheme="minorHAnsi" w:eastAsiaTheme="minorHAnsi" w:hAnsiTheme="minorHAnsi" w:cstheme="minorHAnsi"/>
                <w:sz w:val="18"/>
                <w:szCs w:val="18"/>
                <w:lang w:eastAsia="en-US"/>
              </w:rPr>
              <w:t>t</w:t>
            </w:r>
            <w:r w:rsidRPr="007C4D65">
              <w:rPr>
                <w:rFonts w:asciiTheme="minorHAnsi" w:eastAsiaTheme="minorHAnsi" w:hAnsiTheme="minorHAnsi" w:cstheme="minorHAnsi"/>
                <w:sz w:val="18"/>
                <w:szCs w:val="18"/>
                <w:lang w:eastAsia="en-US"/>
              </w:rPr>
              <w:t xml:space="preserve"> provided</w:t>
            </w:r>
          </w:p>
        </w:tc>
        <w:tc>
          <w:tcPr>
            <w:tcW w:w="1059"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D54EBB6" w14:textId="77777777" w:rsidR="00E77476" w:rsidRPr="007C4D65" w:rsidRDefault="00E77476"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Financial support to strengthen voluntary instruments for the implementation of green business provided (continuously– 2030)</w:t>
            </w:r>
          </w:p>
        </w:tc>
      </w:tr>
      <w:tr w:rsidR="00E77476" w:rsidRPr="007C4D65" w14:paraId="013DCE1D"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7FB17AD" w14:textId="77777777" w:rsidR="00E77476" w:rsidRPr="007C4D65" w:rsidRDefault="00E77476" w:rsidP="00E77476">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6C7FCE6" w14:textId="2BCF0959" w:rsidR="00E77476" w:rsidRPr="007C4D65" w:rsidRDefault="001772C9" w:rsidP="00E77476">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Economic and ecological benefits obtained through a more effective use of material resources and increased efficiency of management, innovation and cooperation between the private sector and scientific research</w:t>
            </w:r>
          </w:p>
        </w:tc>
      </w:tr>
      <w:tr w:rsidR="00E77476" w:rsidRPr="007C4D65" w14:paraId="46C898AC"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B18D7BF" w14:textId="77E47200" w:rsidR="00E77476" w:rsidRPr="007C4D65" w:rsidRDefault="00963086" w:rsidP="00E77476">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9EF6348" w14:textId="40A656AD" w:rsidR="001772C9" w:rsidRPr="007C4D65" w:rsidRDefault="00C224E3" w:rsidP="001772C9">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1772C9" w:rsidRPr="007C4D65">
              <w:rPr>
                <w:rFonts w:asciiTheme="minorHAnsi" w:hAnsiTheme="minorHAnsi" w:cstheme="minorHAnsi"/>
                <w:sz w:val="18"/>
                <w:szCs w:val="18"/>
                <w:lang w:val="hr-HR" w:bidi="en-US"/>
              </w:rPr>
              <w:t>BAM 219,442</w:t>
            </w:r>
          </w:p>
          <w:p w14:paraId="4319907B" w14:textId="72E9AEEB" w:rsidR="00E77476" w:rsidRPr="007C4D65" w:rsidRDefault="009E6B20" w:rsidP="001772C9">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hAnsiTheme="minorHAnsi" w:cstheme="minorHAnsi"/>
                <w:sz w:val="18"/>
                <w:szCs w:val="18"/>
                <w:lang w:val="hr-HR" w:bidi="en-US"/>
              </w:rPr>
              <w:t xml:space="preserve">Source: </w:t>
            </w:r>
            <w:r w:rsidR="001772C9" w:rsidRPr="007C4D65">
              <w:rPr>
                <w:rFonts w:asciiTheme="minorHAnsi" w:hAnsiTheme="minorHAnsi" w:cstheme="minorHAnsi"/>
                <w:sz w:val="18"/>
                <w:szCs w:val="18"/>
                <w:lang w:val="hr-HR" w:bidi="en-US"/>
              </w:rPr>
              <w:t xml:space="preserve">100% </w:t>
            </w:r>
            <w:r w:rsidR="00C224E3" w:rsidRPr="007C4D65">
              <w:rPr>
                <w:rFonts w:asciiTheme="minorHAnsi" w:hAnsiTheme="minorHAnsi" w:cstheme="minorHAnsi"/>
                <w:sz w:val="18"/>
                <w:szCs w:val="18"/>
                <w:lang w:val="hr-HR" w:bidi="en-US"/>
              </w:rPr>
              <w:t xml:space="preserve">combined </w:t>
            </w:r>
            <w:r w:rsidR="001772C9" w:rsidRPr="007C4D65">
              <w:rPr>
                <w:rFonts w:asciiTheme="minorHAnsi" w:hAnsiTheme="minorHAnsi" w:cstheme="minorHAnsi"/>
                <w:sz w:val="18"/>
                <w:szCs w:val="18"/>
                <w:lang w:val="hr-HR" w:bidi="en-US"/>
              </w:rPr>
              <w:t xml:space="preserve">‒ </w:t>
            </w:r>
            <w:r w:rsidR="00C224E3" w:rsidRPr="007C4D65">
              <w:rPr>
                <w:rFonts w:asciiTheme="minorHAnsi" w:hAnsiTheme="minorHAnsi" w:cstheme="minorHAnsi"/>
                <w:sz w:val="18"/>
                <w:szCs w:val="18"/>
                <w:lang w:val="hr-HR" w:bidi="en-US"/>
              </w:rPr>
              <w:t xml:space="preserve">funds from EU and other international donors, and other donations </w:t>
            </w:r>
          </w:p>
        </w:tc>
      </w:tr>
      <w:tr w:rsidR="00E77476" w:rsidRPr="007C4D65" w14:paraId="744B869F"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895DE18" w14:textId="77777777" w:rsidR="00E77476" w:rsidRPr="007C4D65" w:rsidRDefault="00E77476" w:rsidP="00E77476">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8760FDE" w14:textId="2908D6C7" w:rsidR="00E77476" w:rsidRPr="007C4D65" w:rsidRDefault="001772C9" w:rsidP="00E77476">
            <w:pPr>
              <w:spacing w:before="40" w:after="40" w:line="276" w:lineRule="auto"/>
              <w:rPr>
                <w:rFonts w:asciiTheme="minorHAnsi" w:eastAsiaTheme="minorHAnsi" w:hAnsiTheme="minorHAnsi" w:cstheme="minorHAnsi"/>
                <w:sz w:val="18"/>
                <w:szCs w:val="18"/>
                <w:lang w:val="bs-Latn-BA" w:eastAsia="en-US" w:bidi="en-US"/>
              </w:rPr>
            </w:pPr>
            <w:r w:rsidRPr="007C4D65">
              <w:rPr>
                <w:rFonts w:asciiTheme="minorHAnsi" w:hAnsiTheme="minorHAnsi" w:cstheme="minorHAnsi"/>
                <w:sz w:val="18"/>
                <w:szCs w:val="18"/>
                <w:lang w:val="hr-HR" w:bidi="en-US"/>
              </w:rPr>
              <w:t>2022–2030</w:t>
            </w:r>
          </w:p>
        </w:tc>
      </w:tr>
      <w:tr w:rsidR="00E77476" w:rsidRPr="007C4D65" w14:paraId="0D212D84"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0786CD6" w14:textId="77777777" w:rsidR="00E77476" w:rsidRPr="007C4D65" w:rsidRDefault="00E77476" w:rsidP="00E77476">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6F416F2" w14:textId="76F01ECE" w:rsidR="00E77476" w:rsidRPr="007C4D65" w:rsidRDefault="001E6E20"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E77476" w:rsidRPr="007C4D65">
              <w:rPr>
                <w:rFonts w:asciiTheme="minorHAnsi" w:eastAsiaTheme="minorHAnsi" w:hAnsiTheme="minorHAnsi" w:cstheme="minorHAnsi"/>
                <w:sz w:val="18"/>
                <w:szCs w:val="18"/>
                <w:lang w:eastAsia="en-US"/>
              </w:rPr>
              <w:t xml:space="preserve"> of Environment and Tourism</w:t>
            </w:r>
          </w:p>
        </w:tc>
      </w:tr>
      <w:tr w:rsidR="00E77476" w:rsidRPr="007C4D65" w14:paraId="6F3ACE6C"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CDBCE22" w14:textId="77777777" w:rsidR="00E77476" w:rsidRPr="007C4D65" w:rsidRDefault="00E77476" w:rsidP="00E77476">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77FDC7F" w14:textId="68778B0C" w:rsidR="00E77476" w:rsidRPr="007C4D65" w:rsidRDefault="001E6E20"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E77476" w:rsidRPr="007C4D65">
              <w:rPr>
                <w:rFonts w:asciiTheme="minorHAnsi" w:eastAsiaTheme="minorHAnsi" w:hAnsiTheme="minorHAnsi" w:cstheme="minorHAnsi"/>
                <w:sz w:val="18"/>
                <w:szCs w:val="18"/>
                <w:lang w:eastAsia="en-US"/>
              </w:rPr>
              <w:t xml:space="preserve"> of Environment and Tourism in cooperation with institutions in the environment sector, </w:t>
            </w:r>
            <w:r w:rsidRPr="007C4D65">
              <w:rPr>
                <w:rFonts w:asciiTheme="minorHAnsi" w:eastAsiaTheme="minorHAnsi" w:hAnsiTheme="minorHAnsi" w:cstheme="minorHAnsi"/>
                <w:sz w:val="18"/>
                <w:szCs w:val="18"/>
                <w:lang w:eastAsia="en-US"/>
              </w:rPr>
              <w:t>Federation Ministry</w:t>
            </w:r>
            <w:r w:rsidR="00E77476" w:rsidRPr="007C4D65">
              <w:rPr>
                <w:rFonts w:asciiTheme="minorHAnsi" w:eastAsiaTheme="minorHAnsi" w:hAnsiTheme="minorHAnsi" w:cstheme="minorHAnsi"/>
                <w:sz w:val="18"/>
                <w:szCs w:val="18"/>
                <w:lang w:eastAsia="en-US"/>
              </w:rPr>
              <w:t xml:space="preserve"> of Economy, </w:t>
            </w:r>
            <w:r w:rsidRPr="007C4D65">
              <w:rPr>
                <w:rFonts w:asciiTheme="minorHAnsi" w:eastAsiaTheme="minorHAnsi" w:hAnsiTheme="minorHAnsi" w:cstheme="minorHAnsi"/>
                <w:sz w:val="18"/>
                <w:szCs w:val="18"/>
                <w:lang w:eastAsia="en-US"/>
              </w:rPr>
              <w:t>Federation Ministry</w:t>
            </w:r>
            <w:r w:rsidR="00E77476" w:rsidRPr="007C4D65">
              <w:rPr>
                <w:rFonts w:asciiTheme="minorHAnsi" w:eastAsiaTheme="minorHAnsi" w:hAnsiTheme="minorHAnsi" w:cstheme="minorHAnsi"/>
                <w:sz w:val="18"/>
                <w:szCs w:val="18"/>
                <w:lang w:eastAsia="en-US"/>
              </w:rPr>
              <w:t xml:space="preserve"> of Development, Entrepreneurship and Crafts, </w:t>
            </w:r>
            <w:r w:rsidRPr="007C4D65">
              <w:rPr>
                <w:rFonts w:asciiTheme="minorHAnsi" w:eastAsiaTheme="minorHAnsi" w:hAnsiTheme="minorHAnsi" w:cstheme="minorHAnsi"/>
                <w:sz w:val="18"/>
                <w:szCs w:val="18"/>
                <w:lang w:eastAsia="en-US"/>
              </w:rPr>
              <w:t>Federation Ministry</w:t>
            </w:r>
            <w:r w:rsidR="00E77476" w:rsidRPr="007C4D65">
              <w:rPr>
                <w:rFonts w:asciiTheme="minorHAnsi" w:eastAsiaTheme="minorHAnsi" w:hAnsiTheme="minorHAnsi" w:cstheme="minorHAnsi"/>
                <w:sz w:val="18"/>
                <w:szCs w:val="18"/>
                <w:lang w:eastAsia="en-US"/>
              </w:rPr>
              <w:t xml:space="preserve"> of Energy and Mining, and Industry, </w:t>
            </w:r>
            <w:r w:rsidRPr="007C4D65">
              <w:rPr>
                <w:rFonts w:asciiTheme="minorHAnsi" w:eastAsiaTheme="minorHAnsi" w:hAnsiTheme="minorHAnsi" w:cstheme="minorHAnsi"/>
                <w:sz w:val="18"/>
                <w:szCs w:val="18"/>
                <w:lang w:eastAsia="en-US"/>
              </w:rPr>
              <w:t>Federation Ministry</w:t>
            </w:r>
            <w:r w:rsidR="00E77476" w:rsidRPr="007C4D65">
              <w:rPr>
                <w:rFonts w:asciiTheme="minorHAnsi" w:eastAsiaTheme="minorHAnsi" w:hAnsiTheme="minorHAnsi" w:cstheme="minorHAnsi"/>
                <w:sz w:val="18"/>
                <w:szCs w:val="18"/>
                <w:lang w:eastAsia="en-US"/>
              </w:rPr>
              <w:t xml:space="preserve"> of Trade, public institutions, private sector</w:t>
            </w:r>
          </w:p>
        </w:tc>
      </w:tr>
      <w:tr w:rsidR="00E77476" w:rsidRPr="007C4D65" w14:paraId="041672B4" w14:textId="77777777" w:rsidTr="00B6017F">
        <w:trPr>
          <w:trHeight w:val="567"/>
        </w:trPr>
        <w:tc>
          <w:tcPr>
            <w:tcW w:w="1359"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E0E00B7" w14:textId="794F1CB2" w:rsidR="00E77476" w:rsidRPr="007C4D65" w:rsidRDefault="00963086" w:rsidP="00E77476">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41"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A3E5382" w14:textId="77777777" w:rsidR="00E77476" w:rsidRPr="007C4D65" w:rsidRDefault="00E77476" w:rsidP="00E77476">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Institutions and business sector are responsible for drawing up and implementing AP/Roadmap, citizens</w:t>
            </w:r>
          </w:p>
        </w:tc>
      </w:tr>
    </w:tbl>
    <w:p w14:paraId="13D58AD5" w14:textId="77777777" w:rsidR="00CC447D" w:rsidRPr="007C4D65" w:rsidRDefault="00CC447D" w:rsidP="0068355A">
      <w:pPr>
        <w:spacing w:line="276" w:lineRule="auto"/>
        <w:rPr>
          <w:rFonts w:asciiTheme="minorHAnsi" w:hAnsiTheme="minorHAnsi" w:cstheme="minorHAnsi"/>
          <w:sz w:val="18"/>
          <w:szCs w:val="18"/>
        </w:rPr>
      </w:pPr>
    </w:p>
    <w:tbl>
      <w:tblPr>
        <w:tblW w:w="4624"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5"/>
        <w:gridCol w:w="3493"/>
        <w:gridCol w:w="3240"/>
        <w:gridCol w:w="2621"/>
      </w:tblGrid>
      <w:tr w:rsidR="00057DFF" w:rsidRPr="007C4D65" w14:paraId="14C83973"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C4F69D8" w14:textId="77777777" w:rsidR="00057DFF" w:rsidRPr="007C4D65" w:rsidRDefault="00057DFF" w:rsidP="00057D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Link with the strategic goal</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D9C6B2C" w14:textId="77777777" w:rsidR="00057DFF" w:rsidRPr="007C4D65" w:rsidRDefault="00057DFF" w:rsidP="00057DFF">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057DFF" w:rsidRPr="007C4D65" w14:paraId="3A22E875"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050A8AC" w14:textId="77777777" w:rsidR="00057DFF" w:rsidRPr="007C4D65" w:rsidRDefault="00057DFF" w:rsidP="00057D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163BBA8" w14:textId="5CB204CB" w:rsidR="00057DFF" w:rsidRPr="007C4D65" w:rsidRDefault="00057DFF" w:rsidP="00057DFF">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7.7. Ensuring financial sustainability of the environment sector in the Federation of BiH</w:t>
            </w:r>
          </w:p>
        </w:tc>
      </w:tr>
      <w:tr w:rsidR="00057DFF" w:rsidRPr="007C4D65" w14:paraId="15632CAA"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83CB4D5" w14:textId="77777777" w:rsidR="00057DFF" w:rsidRPr="007C4D65" w:rsidRDefault="00057DFF" w:rsidP="00057D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BF23188" w14:textId="346EC520" w:rsidR="00057DFF" w:rsidRPr="007C4D65" w:rsidRDefault="00057DFF" w:rsidP="00057DFF">
            <w:pPr>
              <w:spacing w:before="40" w:after="40" w:line="276" w:lineRule="auto"/>
              <w:rPr>
                <w:rFonts w:asciiTheme="minorHAnsi" w:eastAsia="Calibri" w:hAnsiTheme="minorHAnsi" w:cstheme="minorHAnsi"/>
                <w:b/>
                <w:sz w:val="18"/>
                <w:szCs w:val="18"/>
                <w:lang w:eastAsia="en-US"/>
              </w:rPr>
            </w:pPr>
            <w:bookmarkStart w:id="391" w:name="_Hlk95008860"/>
            <w:r w:rsidRPr="007C4D65">
              <w:rPr>
                <w:rFonts w:asciiTheme="minorHAnsi" w:eastAsiaTheme="minorHAnsi" w:hAnsiTheme="minorHAnsi" w:cstheme="minorHAnsi"/>
                <w:b/>
                <w:sz w:val="18"/>
                <w:szCs w:val="18"/>
                <w:lang w:eastAsia="en-US"/>
              </w:rPr>
              <w:t>7.7.1 Efficient and comprehensive implementation of environmental economic instruments</w:t>
            </w:r>
            <w:bookmarkEnd w:id="391"/>
          </w:p>
        </w:tc>
      </w:tr>
      <w:tr w:rsidR="00057DFF" w:rsidRPr="007C4D65" w14:paraId="013EC1F5"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8B52BC9" w14:textId="77777777" w:rsidR="00057DFF" w:rsidRPr="007C4D65" w:rsidRDefault="00057DFF" w:rsidP="00057D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 xml:space="preserve">Description of the measure with general area of intervention </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95D7012" w14:textId="43947250" w:rsidR="00057DFF" w:rsidRPr="007C4D65" w:rsidRDefault="00057DFF" w:rsidP="00057DFF">
            <w:pPr>
              <w:spacing w:before="40" w:after="40" w:line="276" w:lineRule="auto"/>
              <w:rPr>
                <w:rFonts w:asciiTheme="minorHAnsi" w:eastAsia="Calibri" w:hAnsiTheme="minorHAnsi" w:cstheme="minorHAnsi"/>
                <w:sz w:val="18"/>
                <w:szCs w:val="18"/>
                <w:lang w:eastAsia="en-US"/>
              </w:rPr>
            </w:pPr>
            <w:bookmarkStart w:id="392" w:name="_Hlk95008881"/>
            <w:r w:rsidRPr="007C4D65">
              <w:rPr>
                <w:rFonts w:asciiTheme="minorHAnsi" w:eastAsiaTheme="minorHAnsi" w:hAnsiTheme="minorHAnsi" w:cstheme="minorHAnsi"/>
                <w:sz w:val="18"/>
                <w:szCs w:val="18"/>
                <w:lang w:eastAsia="en-US"/>
              </w:rPr>
              <w:t xml:space="preserve">This measure aims at ensuring a comprehensive implementation of available environmental economic instruments. </w:t>
            </w:r>
            <w:bookmarkEnd w:id="392"/>
            <w:r w:rsidRPr="007C4D65">
              <w:rPr>
                <w:rFonts w:asciiTheme="minorHAnsi" w:eastAsiaTheme="minorHAnsi" w:hAnsiTheme="minorHAnsi" w:cstheme="minorHAnsi"/>
                <w:sz w:val="18"/>
                <w:szCs w:val="18"/>
                <w:lang w:eastAsia="en-US"/>
              </w:rPr>
              <w:t xml:space="preserve">To this end, the responsible institutions routinely prepare and transparently publish reports on funds raised and on the use of dedicated </w:t>
            </w:r>
            <w:proofErr w:type="gramStart"/>
            <w:r w:rsidRPr="007C4D65">
              <w:rPr>
                <w:rFonts w:asciiTheme="minorHAnsi" w:eastAsiaTheme="minorHAnsi" w:hAnsiTheme="minorHAnsi" w:cstheme="minorHAnsi"/>
                <w:sz w:val="18"/>
                <w:szCs w:val="18"/>
                <w:lang w:eastAsia="en-US"/>
              </w:rPr>
              <w:t>funds,.</w:t>
            </w:r>
            <w:proofErr w:type="gramEnd"/>
            <w:r w:rsidRPr="007C4D65">
              <w:rPr>
                <w:rFonts w:asciiTheme="minorHAnsi" w:eastAsiaTheme="minorHAnsi" w:hAnsiTheme="minorHAnsi" w:cstheme="minorHAnsi"/>
                <w:sz w:val="18"/>
                <w:szCs w:val="18"/>
                <w:lang w:eastAsia="en-US"/>
              </w:rPr>
              <w:t xml:space="preserve"> </w:t>
            </w:r>
            <w:bookmarkStart w:id="393" w:name="_Hlk94998555"/>
            <w:r w:rsidRPr="007C4D65">
              <w:rPr>
                <w:rFonts w:asciiTheme="minorHAnsi" w:eastAsiaTheme="minorHAnsi" w:hAnsiTheme="minorHAnsi" w:cstheme="minorHAnsi"/>
                <w:sz w:val="18"/>
                <w:szCs w:val="18"/>
                <w:lang w:eastAsia="en-US"/>
              </w:rPr>
              <w:t xml:space="preserve">The </w:t>
            </w:r>
            <w:r w:rsidR="001E6E20" w:rsidRPr="007C4D65">
              <w:rPr>
                <w:rFonts w:asciiTheme="minorHAnsi" w:eastAsiaTheme="minorHAnsi" w:hAnsiTheme="minorHAnsi" w:cstheme="minorHAnsi"/>
                <w:sz w:val="18"/>
                <w:szCs w:val="18"/>
                <w:lang w:eastAsia="en-US"/>
              </w:rPr>
              <w:t>Federation Ministry</w:t>
            </w:r>
            <w:r w:rsidRPr="007C4D65">
              <w:rPr>
                <w:rFonts w:asciiTheme="minorHAnsi" w:eastAsiaTheme="minorHAnsi" w:hAnsiTheme="minorHAnsi" w:cstheme="minorHAnsi"/>
                <w:sz w:val="18"/>
                <w:szCs w:val="18"/>
                <w:lang w:eastAsia="en-US"/>
              </w:rPr>
              <w:t xml:space="preserve"> of Finance, Ministry of Foreign Trade and Economic Relations of BiH, will be involved in all the aspect of the fiscal policy on the environmental protection (facilities for the import of specific eco-friendly products, etc).</w:t>
            </w:r>
            <w:bookmarkEnd w:id="393"/>
            <w:r w:rsidRPr="007C4D65">
              <w:rPr>
                <w:rFonts w:asciiTheme="minorHAnsi" w:eastAsiaTheme="minorHAnsi" w:hAnsiTheme="minorHAnsi" w:cstheme="minorHAnsi"/>
                <w:sz w:val="18"/>
                <w:szCs w:val="18"/>
                <w:lang w:eastAsia="en-US"/>
              </w:rPr>
              <w:t xml:space="preserve"> </w:t>
            </w:r>
            <w:bookmarkStart w:id="394" w:name="_Hlk95009001"/>
            <w:r w:rsidRPr="007C4D65">
              <w:rPr>
                <w:rFonts w:asciiTheme="minorHAnsi" w:eastAsiaTheme="minorHAnsi" w:hAnsiTheme="minorHAnsi" w:cstheme="minorHAnsi"/>
                <w:sz w:val="18"/>
                <w:szCs w:val="18"/>
                <w:lang w:eastAsia="en-US"/>
              </w:rPr>
              <w:t>The measure also involves the application of all the taxes set out in the Law on the Fund of the Federation of BiH and other applicable legislation which governs individual areas.</w:t>
            </w:r>
            <w:bookmarkEnd w:id="394"/>
          </w:p>
          <w:p w14:paraId="10A14945" w14:textId="77777777" w:rsidR="00057DFF" w:rsidRPr="007C4D65" w:rsidRDefault="00057DFF" w:rsidP="00057DFF">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General areas of intervention are:</w:t>
            </w:r>
          </w:p>
          <w:p w14:paraId="168490BE" w14:textId="58DA5DAD" w:rsidR="00057DFF" w:rsidRPr="007C4D65" w:rsidRDefault="00057DFF">
            <w:pPr>
              <w:pStyle w:val="ListParagraph"/>
              <w:numPr>
                <w:ilvl w:val="0"/>
                <w:numId w:val="231"/>
              </w:numPr>
              <w:spacing w:before="40" w:after="40" w:line="276" w:lineRule="auto"/>
              <w:rPr>
                <w:rFonts w:asciiTheme="minorHAnsi" w:eastAsia="Calibri" w:hAnsiTheme="minorHAnsi" w:cstheme="minorHAnsi"/>
                <w:sz w:val="18"/>
                <w:szCs w:val="18"/>
                <w:lang w:eastAsia="en-US"/>
              </w:rPr>
            </w:pPr>
            <w:bookmarkStart w:id="395" w:name="_Hlk95008943"/>
            <w:r w:rsidRPr="007C4D65">
              <w:rPr>
                <w:rFonts w:asciiTheme="minorHAnsi" w:eastAsiaTheme="minorHAnsi" w:hAnsiTheme="minorHAnsi" w:cstheme="minorHAnsi"/>
                <w:sz w:val="18"/>
                <w:szCs w:val="18"/>
                <w:lang w:eastAsia="en-US"/>
              </w:rPr>
              <w:t xml:space="preserve">Regulate the reporting requirement of all the levels of government </w:t>
            </w:r>
            <w:bookmarkEnd w:id="395"/>
            <w:r w:rsidRPr="007C4D65">
              <w:rPr>
                <w:rFonts w:asciiTheme="minorHAnsi" w:eastAsiaTheme="minorHAnsi" w:hAnsiTheme="minorHAnsi" w:cstheme="minorHAnsi"/>
                <w:sz w:val="18"/>
                <w:szCs w:val="18"/>
                <w:lang w:eastAsia="en-US"/>
              </w:rPr>
              <w:t xml:space="preserve">(including the cantons and local governments (municipalities/cities) </w:t>
            </w:r>
            <w:bookmarkStart w:id="396" w:name="_Hlk95008953"/>
            <w:r w:rsidRPr="007C4D65">
              <w:rPr>
                <w:rFonts w:asciiTheme="minorHAnsi" w:eastAsiaTheme="minorHAnsi" w:hAnsiTheme="minorHAnsi" w:cstheme="minorHAnsi"/>
                <w:sz w:val="18"/>
                <w:szCs w:val="18"/>
                <w:lang w:eastAsia="en-US"/>
              </w:rPr>
              <w:t xml:space="preserve">on dedicated spending of funds for environmental projects </w:t>
            </w:r>
            <w:bookmarkEnd w:id="396"/>
            <w:r w:rsidRPr="007C4D65">
              <w:rPr>
                <w:rFonts w:asciiTheme="minorHAnsi" w:eastAsiaTheme="minorHAnsi" w:hAnsiTheme="minorHAnsi" w:cstheme="minorHAnsi"/>
                <w:sz w:val="18"/>
                <w:szCs w:val="18"/>
                <w:lang w:eastAsia="en-US"/>
              </w:rPr>
              <w:t xml:space="preserve">through the websites of the Fund, through amendments to the Law on the Fund of the Federation of </w:t>
            </w:r>
            <w:proofErr w:type="gramStart"/>
            <w:r w:rsidRPr="007C4D65">
              <w:rPr>
                <w:rFonts w:asciiTheme="minorHAnsi" w:eastAsiaTheme="minorHAnsi" w:hAnsiTheme="minorHAnsi" w:cstheme="minorHAnsi"/>
                <w:sz w:val="18"/>
                <w:szCs w:val="18"/>
                <w:lang w:eastAsia="en-US"/>
              </w:rPr>
              <w:t>BiH</w:t>
            </w:r>
            <w:r w:rsidR="00800C7A" w:rsidRPr="007C4D65">
              <w:rPr>
                <w:rFonts w:asciiTheme="minorHAnsi" w:eastAsia="Calibri" w:hAnsiTheme="minorHAnsi" w:cstheme="minorHAnsi"/>
                <w:sz w:val="18"/>
                <w:szCs w:val="18"/>
                <w:lang w:eastAsia="en-US"/>
              </w:rPr>
              <w:t>;</w:t>
            </w:r>
            <w:proofErr w:type="gramEnd"/>
          </w:p>
          <w:p w14:paraId="76B19719" w14:textId="4C489CB9" w:rsidR="00057DFF" w:rsidRPr="007C4D65" w:rsidRDefault="00057DFF">
            <w:pPr>
              <w:pStyle w:val="ListParagraph"/>
              <w:numPr>
                <w:ilvl w:val="0"/>
                <w:numId w:val="231"/>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An in-depth analysis on the types of taxes which are not classified as environmental taxes, but partly cover environmental aspects (such as concessions, taxes for use of forests, fuel excise taxes, etc.</w:t>
            </w:r>
            <w:proofErr w:type="gramStart"/>
            <w:r w:rsidRPr="007C4D65">
              <w:rPr>
                <w:rFonts w:asciiTheme="minorHAnsi" w:eastAsiaTheme="minorHAnsi" w:hAnsiTheme="minorHAnsi" w:cstheme="minorHAnsi"/>
                <w:sz w:val="18"/>
                <w:szCs w:val="18"/>
                <w:lang w:eastAsia="en-US"/>
              </w:rPr>
              <w:t>)</w:t>
            </w:r>
            <w:r w:rsidR="00800C7A" w:rsidRPr="007C4D65">
              <w:rPr>
                <w:rFonts w:asciiTheme="minorHAnsi" w:eastAsiaTheme="minorHAnsi" w:hAnsiTheme="minorHAnsi" w:cstheme="minorHAnsi"/>
                <w:sz w:val="18"/>
                <w:szCs w:val="18"/>
                <w:lang w:eastAsia="en-US"/>
              </w:rPr>
              <w:t>;</w:t>
            </w:r>
            <w:proofErr w:type="gramEnd"/>
          </w:p>
          <w:p w14:paraId="15FE7E44" w14:textId="18B14E1C" w:rsidR="00057DFF" w:rsidRPr="007C4D65" w:rsidRDefault="00057DFF">
            <w:pPr>
              <w:pStyle w:val="ListParagraph"/>
              <w:numPr>
                <w:ilvl w:val="0"/>
                <w:numId w:val="231"/>
              </w:numPr>
              <w:spacing w:before="40" w:after="40" w:line="276" w:lineRule="auto"/>
              <w:rPr>
                <w:rFonts w:asciiTheme="minorHAnsi" w:eastAsia="Calibri" w:hAnsiTheme="minorHAnsi" w:cstheme="minorHAnsi"/>
                <w:sz w:val="18"/>
                <w:szCs w:val="18"/>
                <w:lang w:eastAsia="en-US"/>
              </w:rPr>
            </w:pPr>
            <w:bookmarkStart w:id="397" w:name="_Hlk95008972"/>
            <w:r w:rsidRPr="007C4D65">
              <w:rPr>
                <w:rFonts w:asciiTheme="minorHAnsi" w:eastAsiaTheme="minorHAnsi" w:hAnsiTheme="minorHAnsi" w:cstheme="minorHAnsi"/>
                <w:sz w:val="18"/>
                <w:szCs w:val="18"/>
                <w:lang w:eastAsia="en-US"/>
              </w:rPr>
              <w:t xml:space="preserve">Reform of all types of taxes which partly cover environmental issues </w:t>
            </w:r>
            <w:bookmarkEnd w:id="397"/>
            <w:r w:rsidRPr="007C4D65">
              <w:rPr>
                <w:rFonts w:asciiTheme="minorHAnsi" w:eastAsiaTheme="minorHAnsi" w:hAnsiTheme="minorHAnsi" w:cstheme="minorHAnsi"/>
                <w:sz w:val="18"/>
                <w:szCs w:val="18"/>
                <w:lang w:eastAsia="en-US"/>
              </w:rPr>
              <w:t>(based on the analysis, through amendments of the applicable legislation</w:t>
            </w:r>
            <w:proofErr w:type="gramStart"/>
            <w:r w:rsidRPr="007C4D65">
              <w:rPr>
                <w:rFonts w:asciiTheme="minorHAnsi" w:eastAsiaTheme="minorHAnsi" w:hAnsiTheme="minorHAnsi" w:cstheme="minorHAnsi"/>
                <w:sz w:val="18"/>
                <w:szCs w:val="18"/>
                <w:lang w:eastAsia="en-US"/>
              </w:rPr>
              <w:t>)</w:t>
            </w:r>
            <w:r w:rsidR="00800C7A" w:rsidRPr="007C4D65">
              <w:rPr>
                <w:rFonts w:asciiTheme="minorHAnsi" w:eastAsiaTheme="minorHAnsi" w:hAnsiTheme="minorHAnsi" w:cstheme="minorHAnsi"/>
                <w:sz w:val="18"/>
                <w:szCs w:val="18"/>
                <w:lang w:eastAsia="en-US"/>
              </w:rPr>
              <w:t>;</w:t>
            </w:r>
            <w:proofErr w:type="gramEnd"/>
          </w:p>
          <w:p w14:paraId="5F3EA4A2" w14:textId="77777777" w:rsidR="00057DFF" w:rsidRPr="007C4D65" w:rsidRDefault="00057DFF">
            <w:pPr>
              <w:pStyle w:val="ListParagraph"/>
              <w:numPr>
                <w:ilvl w:val="0"/>
                <w:numId w:val="231"/>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Regulating fees for users of environmental assets, energy efficiency, waste landfilling, etc.</w:t>
            </w:r>
          </w:p>
        </w:tc>
      </w:tr>
      <w:tr w:rsidR="00057DFF" w:rsidRPr="007C4D65" w14:paraId="5B378A69"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FA38515" w14:textId="77777777" w:rsidR="00057DFF" w:rsidRPr="007C4D65" w:rsidRDefault="00057DFF" w:rsidP="00057D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Strategic projects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1F354F7F" w14:textId="77777777" w:rsidR="00057DFF" w:rsidRPr="007C4D65" w:rsidRDefault="00057DFF" w:rsidP="00057D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057DFF" w:rsidRPr="007C4D65" w14:paraId="2BD64DC2" w14:textId="77777777" w:rsidTr="00B6017F">
        <w:trPr>
          <w:trHeight w:val="567"/>
        </w:trPr>
        <w:tc>
          <w:tcPr>
            <w:tcW w:w="1374"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CC5BEB9" w14:textId="77777777" w:rsidR="00057DFF" w:rsidRPr="007C4D65" w:rsidRDefault="00057DFF" w:rsidP="00057D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5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932C494" w14:textId="77777777" w:rsidR="00057DFF" w:rsidRPr="007C4D65" w:rsidRDefault="00057DFF" w:rsidP="00057DF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3BAC47E5" w14:textId="77777777" w:rsidR="00057DFF" w:rsidRPr="007C4D65" w:rsidRDefault="00057DFF" w:rsidP="00057DF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5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B4EE5C5" w14:textId="77777777" w:rsidR="00057DFF" w:rsidRPr="007C4D65" w:rsidRDefault="00057DFF" w:rsidP="00057DF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7CD19EA3" w14:textId="77777777" w:rsidR="00057DFF" w:rsidRPr="007C4D65" w:rsidRDefault="00057DFF" w:rsidP="00057DF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1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0BFDEE2" w14:textId="77777777" w:rsidR="00057DFF" w:rsidRPr="007C4D65" w:rsidRDefault="00057DFF" w:rsidP="00057DF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057DFF" w:rsidRPr="007C4D65" w14:paraId="54537553"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5771D428" w14:textId="77777777" w:rsidR="00057DFF" w:rsidRPr="007C4D65" w:rsidRDefault="00057DFF" w:rsidP="00057DF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4E4E3B7" w14:textId="40541807" w:rsidR="00057DFF" w:rsidRPr="007C4D65" w:rsidRDefault="00057DFF">
            <w:pPr>
              <w:pStyle w:val="ListParagraph"/>
              <w:numPr>
                <w:ilvl w:val="0"/>
                <w:numId w:val="258"/>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Status of </w:t>
            </w:r>
            <w:r w:rsidR="0062163D" w:rsidRPr="007C4D65">
              <w:rPr>
                <w:rFonts w:asciiTheme="minorHAnsi" w:eastAsiaTheme="minorHAnsi" w:hAnsiTheme="minorHAnsi" w:cstheme="minorHAnsi"/>
                <w:sz w:val="18"/>
                <w:szCs w:val="18"/>
                <w:lang w:eastAsia="en-US"/>
              </w:rPr>
              <w:t>amending</w:t>
            </w:r>
            <w:r w:rsidRPr="007C4D65">
              <w:rPr>
                <w:rFonts w:asciiTheme="minorHAnsi" w:eastAsiaTheme="minorHAnsi" w:hAnsiTheme="minorHAnsi" w:cstheme="minorHAnsi"/>
                <w:sz w:val="18"/>
                <w:szCs w:val="18"/>
                <w:lang w:eastAsia="en-US"/>
              </w:rPr>
              <w:t xml:space="preserve"> the Law on the Fund of the Federation of BiH</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C00AD83" w14:textId="77777777" w:rsidR="00057DFF" w:rsidRPr="007C4D65" w:rsidRDefault="00057DFF" w:rsidP="00057D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Amendments have not been adopted</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10D3FBF" w14:textId="25F4B9E0" w:rsidR="00057DFF" w:rsidRPr="007C4D65" w:rsidRDefault="00057DFF" w:rsidP="00057D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Amendments to the Law on the Fund of Federation of BiH, which</w:t>
            </w:r>
            <w:r w:rsidR="0062163D" w:rsidRPr="007C4D65">
              <w:rPr>
                <w:rFonts w:asciiTheme="minorHAnsi" w:eastAsiaTheme="minorHAnsi" w:hAnsiTheme="minorHAnsi" w:cstheme="minorHAnsi"/>
                <w:sz w:val="18"/>
                <w:szCs w:val="18"/>
                <w:lang w:eastAsia="en-US"/>
              </w:rPr>
              <w:t xml:space="preserve"> require</w:t>
            </w:r>
            <w:r w:rsidRPr="007C4D65">
              <w:rPr>
                <w:rFonts w:asciiTheme="minorHAnsi" w:eastAsiaTheme="minorHAnsi" w:hAnsiTheme="minorHAnsi" w:cstheme="minorHAnsi"/>
                <w:sz w:val="18"/>
                <w:szCs w:val="18"/>
                <w:lang w:eastAsia="en-US"/>
              </w:rPr>
              <w:t xml:space="preserve"> cantons and municipalities </w:t>
            </w:r>
            <w:r w:rsidR="0062163D" w:rsidRPr="007C4D65">
              <w:rPr>
                <w:rFonts w:asciiTheme="minorHAnsi" w:eastAsiaTheme="minorHAnsi" w:hAnsiTheme="minorHAnsi" w:cstheme="minorHAnsi"/>
                <w:sz w:val="18"/>
                <w:szCs w:val="18"/>
                <w:lang w:eastAsia="en-US"/>
              </w:rPr>
              <w:t>to</w:t>
            </w:r>
            <w:r w:rsidRPr="007C4D65">
              <w:rPr>
                <w:rFonts w:asciiTheme="minorHAnsi" w:eastAsiaTheme="minorHAnsi" w:hAnsiTheme="minorHAnsi" w:cstheme="minorHAnsi"/>
                <w:sz w:val="18"/>
                <w:szCs w:val="18"/>
                <w:lang w:eastAsia="en-US"/>
              </w:rPr>
              <w:t xml:space="preserve"> report on the use of dedicated funds for environmental projects adopted (2024)</w:t>
            </w:r>
          </w:p>
        </w:tc>
      </w:tr>
      <w:tr w:rsidR="00057DFF" w:rsidRPr="007C4D65" w14:paraId="4D807C5B"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20C8E36C" w14:textId="77777777" w:rsidR="00057DFF" w:rsidRPr="007C4D65" w:rsidRDefault="00057DFF" w:rsidP="00057DF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5C959C9" w14:textId="6BCC2286" w:rsidR="00057DFF" w:rsidRPr="007C4D65" w:rsidRDefault="0062163D">
            <w:pPr>
              <w:pStyle w:val="ListParagraph"/>
              <w:numPr>
                <w:ilvl w:val="0"/>
                <w:numId w:val="258"/>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Stage of completion</w:t>
            </w:r>
            <w:r w:rsidR="00057DFF" w:rsidRPr="007C4D65">
              <w:rPr>
                <w:rFonts w:asciiTheme="minorHAnsi" w:eastAsiaTheme="minorHAnsi" w:hAnsiTheme="minorHAnsi" w:cstheme="minorHAnsi"/>
                <w:sz w:val="18"/>
                <w:szCs w:val="18"/>
                <w:lang w:eastAsia="en-US"/>
              </w:rPr>
              <w:t xml:space="preserve"> of an in-depth analysis on the types of taxes which are not classified as environmental fees, but partly cover environmental </w:t>
            </w:r>
            <w:proofErr w:type="gramStart"/>
            <w:r w:rsidR="00057DFF" w:rsidRPr="007C4D65">
              <w:rPr>
                <w:rFonts w:asciiTheme="minorHAnsi" w:eastAsiaTheme="minorHAnsi" w:hAnsiTheme="minorHAnsi" w:cstheme="minorHAnsi"/>
                <w:sz w:val="18"/>
                <w:szCs w:val="18"/>
                <w:lang w:eastAsia="en-US"/>
              </w:rPr>
              <w:t>aspects .</w:t>
            </w:r>
            <w:proofErr w:type="gramEnd"/>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8864CA9" w14:textId="77777777" w:rsidR="00057DFF" w:rsidRPr="007C4D65" w:rsidRDefault="00057DFF" w:rsidP="00057D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analysis has not been performed.</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337C4AA" w14:textId="32C54AAE" w:rsidR="00057DFF" w:rsidRPr="007C4D65" w:rsidRDefault="00057DFF" w:rsidP="00057D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 centralised and multi-sectoral analysis completed and all the types of taxes which are not classified as environmental fees, but partly cover environmental issues</w:t>
            </w:r>
            <w:r w:rsidR="0062163D" w:rsidRPr="007C4D65">
              <w:rPr>
                <w:rFonts w:asciiTheme="minorHAnsi" w:eastAsiaTheme="minorHAnsi" w:hAnsiTheme="minorHAnsi" w:cstheme="minorHAnsi"/>
                <w:sz w:val="18"/>
                <w:szCs w:val="18"/>
                <w:lang w:eastAsia="en-US"/>
              </w:rPr>
              <w:t xml:space="preserve"> identified</w:t>
            </w:r>
            <w:r w:rsidRPr="007C4D65">
              <w:rPr>
                <w:rFonts w:asciiTheme="minorHAnsi" w:eastAsiaTheme="minorHAnsi" w:hAnsiTheme="minorHAnsi" w:cstheme="minorHAnsi"/>
                <w:sz w:val="18"/>
                <w:szCs w:val="18"/>
                <w:lang w:eastAsia="en-US"/>
              </w:rPr>
              <w:t xml:space="preserve"> (2023)</w:t>
            </w:r>
          </w:p>
        </w:tc>
      </w:tr>
      <w:tr w:rsidR="00057DFF" w:rsidRPr="007C4D65" w14:paraId="1800A5B0"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552F9DA7" w14:textId="77777777" w:rsidR="00057DFF" w:rsidRPr="007C4D65" w:rsidRDefault="00057DFF" w:rsidP="00057DF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EBFED68" w14:textId="650E4709" w:rsidR="00057DFF" w:rsidRPr="007C4D65" w:rsidRDefault="00057DFF">
            <w:pPr>
              <w:pStyle w:val="ListParagraph"/>
              <w:numPr>
                <w:ilvl w:val="0"/>
                <w:numId w:val="258"/>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Status of the reform of taxes which partly cover environmental issues</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4036B2C" w14:textId="77777777" w:rsidR="00057DFF" w:rsidRPr="007C4D65" w:rsidRDefault="00057DFF" w:rsidP="00057D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reform has not been undertaken</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2336042" w14:textId="55CEB606" w:rsidR="00057DFF" w:rsidRPr="007C4D65" w:rsidRDefault="00057DFF" w:rsidP="00057D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reform of taxes carried out through amendments to the applicable regulations</w:t>
            </w:r>
            <w:r w:rsidR="0062163D" w:rsidRPr="007C4D65">
              <w:rPr>
                <w:rFonts w:asciiTheme="minorHAnsi" w:eastAsiaTheme="minorHAnsi" w:hAnsiTheme="minorHAnsi" w:cstheme="minorHAnsi"/>
                <w:sz w:val="18"/>
                <w:szCs w:val="18"/>
                <w:lang w:eastAsia="en-US"/>
              </w:rPr>
              <w:t xml:space="preserve"> </w:t>
            </w:r>
            <w:r w:rsidRPr="007C4D65">
              <w:rPr>
                <w:rFonts w:asciiTheme="minorHAnsi" w:eastAsiaTheme="minorHAnsi" w:hAnsiTheme="minorHAnsi" w:cstheme="minorHAnsi"/>
                <w:sz w:val="18"/>
                <w:szCs w:val="18"/>
                <w:lang w:eastAsia="en-US"/>
              </w:rPr>
              <w:t>(2028)</w:t>
            </w:r>
          </w:p>
        </w:tc>
      </w:tr>
      <w:tr w:rsidR="00057DFF" w:rsidRPr="007C4D65" w14:paraId="6D5FD073"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6BE0FF04" w14:textId="77777777" w:rsidR="00057DFF" w:rsidRPr="007C4D65" w:rsidRDefault="00057DFF" w:rsidP="00057DF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1A4317E" w14:textId="77777777" w:rsidR="00057DFF" w:rsidRPr="007C4D65" w:rsidRDefault="00057DFF">
            <w:pPr>
              <w:pStyle w:val="ListParagraph"/>
              <w:numPr>
                <w:ilvl w:val="0"/>
                <w:numId w:val="258"/>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Status of efforts on regulating taxes for users of environmental assets, energy efficiency, waste landfilling, etc.</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30B7E20" w14:textId="6FC80D51" w:rsidR="00057DFF" w:rsidRPr="007C4D65" w:rsidRDefault="00057DFF" w:rsidP="00057D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taxes for users of environmental assets, energy efficiency, waste landfilling </w:t>
            </w:r>
            <w:proofErr w:type="gramStart"/>
            <w:r w:rsidR="0062163D" w:rsidRPr="007C4D65">
              <w:rPr>
                <w:rFonts w:asciiTheme="minorHAnsi" w:eastAsiaTheme="minorHAnsi" w:hAnsiTheme="minorHAnsi" w:cstheme="minorHAnsi"/>
                <w:sz w:val="18"/>
                <w:szCs w:val="18"/>
                <w:lang w:eastAsia="en-US"/>
              </w:rPr>
              <w:t>are</w:t>
            </w:r>
            <w:proofErr w:type="gramEnd"/>
            <w:r w:rsidRPr="007C4D65">
              <w:rPr>
                <w:rFonts w:asciiTheme="minorHAnsi" w:eastAsiaTheme="minorHAnsi" w:hAnsiTheme="minorHAnsi" w:cstheme="minorHAnsi"/>
                <w:sz w:val="18"/>
                <w:szCs w:val="18"/>
                <w:lang w:eastAsia="en-US"/>
              </w:rPr>
              <w:t xml:space="preserve"> not regulated</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AF252CF" w14:textId="2E904F2E" w:rsidR="00057DFF" w:rsidRPr="007C4D65" w:rsidRDefault="00057DFF" w:rsidP="00057D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taxes for users of environmental assets, energy efficiency, waste disposal, etc. regulated (</w:t>
            </w:r>
            <w:proofErr w:type="gramStart"/>
            <w:r w:rsidRPr="007C4D65">
              <w:rPr>
                <w:rFonts w:asciiTheme="minorHAnsi" w:eastAsiaTheme="minorHAnsi" w:hAnsiTheme="minorHAnsi" w:cstheme="minorHAnsi"/>
                <w:sz w:val="18"/>
                <w:szCs w:val="18"/>
                <w:lang w:eastAsia="en-US"/>
              </w:rPr>
              <w:t>2030.+</w:t>
            </w:r>
            <w:proofErr w:type="gramEnd"/>
            <w:r w:rsidRPr="007C4D65">
              <w:rPr>
                <w:rFonts w:asciiTheme="minorHAnsi" w:eastAsiaTheme="minorHAnsi" w:hAnsiTheme="minorHAnsi" w:cstheme="minorHAnsi"/>
                <w:sz w:val="18"/>
                <w:szCs w:val="18"/>
                <w:lang w:eastAsia="en-US"/>
              </w:rPr>
              <w:t>)</w:t>
            </w:r>
          </w:p>
        </w:tc>
      </w:tr>
      <w:tr w:rsidR="00057DFF" w:rsidRPr="007C4D65" w14:paraId="0599FFC2"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FCCC949" w14:textId="77777777" w:rsidR="00057DFF" w:rsidRPr="007C4D65" w:rsidRDefault="00057DFF" w:rsidP="00057D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E52B296" w14:textId="68B3CF97" w:rsidR="00057DFF" w:rsidRPr="007C4D65" w:rsidRDefault="0062163D" w:rsidP="00057DF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Increased accountability of all levels of government in the environment sector, and better financial sustainability of the sector</w:t>
            </w:r>
          </w:p>
        </w:tc>
      </w:tr>
      <w:tr w:rsidR="00057DFF" w:rsidRPr="007C4D65" w14:paraId="1B9A8F1E"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FF57217" w14:textId="35609E1F" w:rsidR="00057DFF" w:rsidRPr="007C4D65" w:rsidRDefault="00963086" w:rsidP="00057D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4D2499C" w14:textId="552FB4BD" w:rsidR="0062163D" w:rsidRPr="007C4D65" w:rsidRDefault="00C224E3" w:rsidP="0062163D">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Amount:</w:t>
            </w:r>
            <w:r w:rsidR="0062163D" w:rsidRPr="007C4D65">
              <w:rPr>
                <w:rFonts w:asciiTheme="minorHAnsi" w:hAnsiTheme="minorHAnsi" w:cstheme="minorHAnsi"/>
                <w:sz w:val="18"/>
                <w:szCs w:val="18"/>
                <w:lang w:val="hr-HR" w:bidi="en-US"/>
              </w:rPr>
              <w:t xml:space="preserve"> BAM 92,717</w:t>
            </w:r>
          </w:p>
          <w:p w14:paraId="0626DA8A" w14:textId="22358B2E" w:rsidR="00057DFF" w:rsidRPr="007C4D65" w:rsidRDefault="009E6B20" w:rsidP="0062163D">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hAnsiTheme="minorHAnsi" w:cstheme="minorHAnsi"/>
                <w:sz w:val="18"/>
                <w:szCs w:val="18"/>
                <w:lang w:val="hr-HR" w:bidi="en-US"/>
              </w:rPr>
              <w:t xml:space="preserve">Source: </w:t>
            </w:r>
            <w:r w:rsidR="0062163D" w:rsidRPr="007C4D65">
              <w:rPr>
                <w:rFonts w:asciiTheme="minorHAnsi" w:hAnsiTheme="minorHAnsi" w:cstheme="minorHAnsi"/>
                <w:sz w:val="18"/>
                <w:szCs w:val="18"/>
                <w:lang w:val="hr-HR" w:bidi="en-US"/>
              </w:rPr>
              <w:t xml:space="preserve">100%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p>
        </w:tc>
      </w:tr>
      <w:tr w:rsidR="00057DFF" w:rsidRPr="007C4D65" w14:paraId="5735317B"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371211B" w14:textId="77777777" w:rsidR="00057DFF" w:rsidRPr="007C4D65" w:rsidRDefault="00057DFF" w:rsidP="00057D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60FCCEA" w14:textId="77777777" w:rsidR="00057DFF" w:rsidRPr="007C4D65" w:rsidRDefault="00057DFF" w:rsidP="00057D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2030</w:t>
            </w:r>
          </w:p>
        </w:tc>
      </w:tr>
      <w:tr w:rsidR="00057DFF" w:rsidRPr="007C4D65" w14:paraId="1D092937"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EB81AEB" w14:textId="77777777" w:rsidR="00057DFF" w:rsidRPr="007C4D65" w:rsidRDefault="00057DFF" w:rsidP="00057D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7ED7E0A" w14:textId="71230494" w:rsidR="00057DFF" w:rsidRPr="007C4D65" w:rsidRDefault="001E6E20" w:rsidP="00057D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057DFF" w:rsidRPr="007C4D65">
              <w:rPr>
                <w:rFonts w:asciiTheme="minorHAnsi" w:eastAsiaTheme="minorHAnsi" w:hAnsiTheme="minorHAnsi" w:cstheme="minorHAnsi"/>
                <w:sz w:val="18"/>
                <w:szCs w:val="18"/>
                <w:lang w:eastAsia="en-US"/>
              </w:rPr>
              <w:t xml:space="preserve"> of Environment and Tourism</w:t>
            </w:r>
          </w:p>
        </w:tc>
      </w:tr>
      <w:tr w:rsidR="00057DFF" w:rsidRPr="007C4D65" w14:paraId="516D1B53"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37EE5D2" w14:textId="77777777" w:rsidR="00057DFF" w:rsidRPr="007C4D65" w:rsidRDefault="00057DFF" w:rsidP="00057D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6435DAA" w14:textId="27C182A0" w:rsidR="00057DFF" w:rsidRPr="007C4D65" w:rsidRDefault="001E6E20" w:rsidP="00057D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057DFF" w:rsidRPr="007C4D65">
              <w:rPr>
                <w:rFonts w:asciiTheme="minorHAnsi" w:eastAsiaTheme="minorHAnsi" w:hAnsiTheme="minorHAnsi" w:cstheme="minorHAnsi"/>
                <w:sz w:val="18"/>
                <w:szCs w:val="18"/>
                <w:lang w:eastAsia="en-US"/>
              </w:rPr>
              <w:t xml:space="preserve"> of Environment and Tourism in cooperation with the </w:t>
            </w:r>
            <w:r w:rsidRPr="007C4D65">
              <w:rPr>
                <w:rFonts w:asciiTheme="minorHAnsi" w:eastAsiaTheme="minorHAnsi" w:hAnsiTheme="minorHAnsi" w:cstheme="minorHAnsi"/>
                <w:sz w:val="18"/>
                <w:szCs w:val="18"/>
                <w:lang w:eastAsia="en-US"/>
              </w:rPr>
              <w:t>Federation Ministry</w:t>
            </w:r>
            <w:r w:rsidR="00057DFF" w:rsidRPr="007C4D65">
              <w:rPr>
                <w:rFonts w:asciiTheme="minorHAnsi" w:eastAsiaTheme="minorHAnsi" w:hAnsiTheme="minorHAnsi" w:cstheme="minorHAnsi"/>
                <w:sz w:val="18"/>
                <w:szCs w:val="18"/>
                <w:lang w:eastAsia="en-US"/>
              </w:rPr>
              <w:t xml:space="preserve"> of Finance, Ministry of Foreign Trade and Economic Relations of Bosnia and Herzegovina, expert team nominated by the Government of Federation of Bosnia and Herzegovina, ministries responsible for energy efficiency</w:t>
            </w:r>
          </w:p>
        </w:tc>
      </w:tr>
      <w:tr w:rsidR="00057DFF" w:rsidRPr="007C4D65" w14:paraId="31AFFF25"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1BE0D73" w14:textId="63761606" w:rsidR="00057DFF" w:rsidRPr="007C4D65" w:rsidRDefault="00963086" w:rsidP="00057DF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316EDDC" w14:textId="778A2322" w:rsidR="00057DFF" w:rsidRPr="007C4D65" w:rsidRDefault="00057DFF" w:rsidP="00057DF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Institutions, business entities and citizens who are </w:t>
            </w:r>
            <w:r w:rsidR="0062163D" w:rsidRPr="007C4D65">
              <w:rPr>
                <w:rFonts w:asciiTheme="minorHAnsi" w:eastAsiaTheme="minorHAnsi" w:hAnsiTheme="minorHAnsi" w:cstheme="minorHAnsi"/>
                <w:sz w:val="18"/>
                <w:szCs w:val="18"/>
                <w:lang w:eastAsia="en-US"/>
              </w:rPr>
              <w:t>required</w:t>
            </w:r>
            <w:r w:rsidRPr="007C4D65">
              <w:rPr>
                <w:rFonts w:asciiTheme="minorHAnsi" w:eastAsiaTheme="minorHAnsi" w:hAnsiTheme="minorHAnsi" w:cstheme="minorHAnsi"/>
                <w:sz w:val="18"/>
                <w:szCs w:val="18"/>
                <w:lang w:eastAsia="en-US"/>
              </w:rPr>
              <w:t xml:space="preserve"> to pay taxes and other fees, and who benefit from projects funded from funds </w:t>
            </w:r>
            <w:r w:rsidR="0062163D" w:rsidRPr="007C4D65">
              <w:rPr>
                <w:rFonts w:asciiTheme="minorHAnsi" w:eastAsiaTheme="minorHAnsi" w:hAnsiTheme="minorHAnsi" w:cstheme="minorHAnsi"/>
                <w:sz w:val="18"/>
                <w:szCs w:val="18"/>
                <w:lang w:eastAsia="en-US"/>
              </w:rPr>
              <w:t xml:space="preserve">so </w:t>
            </w:r>
            <w:r w:rsidRPr="007C4D65">
              <w:rPr>
                <w:rFonts w:asciiTheme="minorHAnsi" w:eastAsiaTheme="minorHAnsi" w:hAnsiTheme="minorHAnsi" w:cstheme="minorHAnsi"/>
                <w:sz w:val="18"/>
                <w:szCs w:val="18"/>
                <w:lang w:eastAsia="en-US"/>
              </w:rPr>
              <w:t>raised</w:t>
            </w:r>
          </w:p>
        </w:tc>
      </w:tr>
    </w:tbl>
    <w:p w14:paraId="4563A21A" w14:textId="77777777" w:rsidR="00CC447D" w:rsidRPr="007C4D65" w:rsidRDefault="00CC447D" w:rsidP="0068355A">
      <w:pPr>
        <w:spacing w:line="276" w:lineRule="auto"/>
        <w:rPr>
          <w:rFonts w:asciiTheme="minorHAnsi" w:hAnsiTheme="minorHAnsi" w:cstheme="minorHAnsi"/>
          <w:sz w:val="18"/>
          <w:szCs w:val="18"/>
        </w:rPr>
      </w:pPr>
    </w:p>
    <w:tbl>
      <w:tblPr>
        <w:tblW w:w="4624"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3"/>
        <w:gridCol w:w="3240"/>
        <w:gridCol w:w="2621"/>
      </w:tblGrid>
      <w:tr w:rsidR="00036981" w:rsidRPr="007C4D65" w14:paraId="6A2002ED"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088A256" w14:textId="77777777" w:rsidR="00036981" w:rsidRPr="007C4D65" w:rsidRDefault="00036981" w:rsidP="00036981">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Link with the strategic goal</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4C87AE9" w14:textId="77777777" w:rsidR="00036981" w:rsidRPr="007C4D65" w:rsidRDefault="00036981" w:rsidP="00036981">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036981" w:rsidRPr="007C4D65" w14:paraId="14FEB541"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91D31F9" w14:textId="77777777" w:rsidR="00036981" w:rsidRPr="007C4D65" w:rsidRDefault="00036981" w:rsidP="00036981">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01306F5" w14:textId="48CDFBEF" w:rsidR="00036981" w:rsidRPr="007C4D65" w:rsidRDefault="00036981" w:rsidP="00036981">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7.7 Ensuring financial sustainability of the environment sector in the Federation of BiH</w:t>
            </w:r>
          </w:p>
        </w:tc>
      </w:tr>
      <w:tr w:rsidR="00036981" w:rsidRPr="007C4D65" w14:paraId="0A1F9BDE"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A7C46B3" w14:textId="77777777" w:rsidR="00036981" w:rsidRPr="007C4D65" w:rsidRDefault="00036981" w:rsidP="00036981">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CB0EA76" w14:textId="74275362" w:rsidR="00036981" w:rsidRPr="007C4D65" w:rsidRDefault="00036981" w:rsidP="00036981">
            <w:pPr>
              <w:spacing w:before="40" w:after="40" w:line="276" w:lineRule="auto"/>
              <w:rPr>
                <w:rFonts w:asciiTheme="minorHAnsi" w:eastAsia="Calibri" w:hAnsiTheme="minorHAnsi" w:cstheme="minorHAnsi"/>
                <w:b/>
                <w:sz w:val="18"/>
                <w:szCs w:val="18"/>
                <w:lang w:eastAsia="en-US"/>
              </w:rPr>
            </w:pPr>
            <w:bookmarkStart w:id="398" w:name="_Hlk95009023"/>
            <w:r w:rsidRPr="007C4D65">
              <w:rPr>
                <w:rFonts w:asciiTheme="minorHAnsi" w:eastAsiaTheme="minorHAnsi" w:hAnsiTheme="minorHAnsi" w:cstheme="minorHAnsi"/>
                <w:b/>
                <w:sz w:val="18"/>
                <w:szCs w:val="18"/>
                <w:lang w:eastAsia="en-US"/>
              </w:rPr>
              <w:t>7.7.2 Initiation of new innovative and incentive economic mechanisms for funding environmental protection</w:t>
            </w:r>
            <w:bookmarkEnd w:id="398"/>
          </w:p>
        </w:tc>
      </w:tr>
      <w:tr w:rsidR="00036981" w:rsidRPr="007C4D65" w14:paraId="50A89B2A"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9AB55CF" w14:textId="77777777" w:rsidR="00036981" w:rsidRPr="007C4D65" w:rsidRDefault="00036981" w:rsidP="00036981">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D07CEF3" w14:textId="149CCBD2" w:rsidR="00036981" w:rsidRPr="007C4D65" w:rsidRDefault="00036981" w:rsidP="00036981">
            <w:pPr>
              <w:spacing w:before="40" w:after="40" w:line="276" w:lineRule="auto"/>
              <w:rPr>
                <w:rFonts w:asciiTheme="minorHAnsi" w:eastAsia="Calibri" w:hAnsiTheme="minorHAnsi" w:cstheme="minorHAnsi"/>
                <w:sz w:val="18"/>
                <w:szCs w:val="18"/>
                <w:lang w:eastAsia="en-US"/>
              </w:rPr>
            </w:pPr>
            <w:bookmarkStart w:id="399" w:name="_Hlk95009086"/>
            <w:r w:rsidRPr="007C4D65">
              <w:rPr>
                <w:rFonts w:asciiTheme="minorHAnsi" w:eastAsiaTheme="minorHAnsi" w:hAnsiTheme="minorHAnsi" w:cstheme="minorHAnsi"/>
                <w:sz w:val="18"/>
                <w:szCs w:val="18"/>
                <w:lang w:eastAsia="en-US"/>
              </w:rPr>
              <w:t>This measure aims at implementing new innovative and stimulating economic mechanisms for funding of environmental protection</w:t>
            </w:r>
            <w:bookmarkEnd w:id="399"/>
            <w:r w:rsidR="00800C7A" w:rsidRPr="007C4D65">
              <w:rPr>
                <w:rFonts w:asciiTheme="minorHAnsi" w:eastAsiaTheme="minorHAnsi" w:hAnsiTheme="minorHAnsi" w:cstheme="minorHAnsi"/>
                <w:sz w:val="18"/>
                <w:szCs w:val="18"/>
                <w:lang w:eastAsia="en-US"/>
              </w:rPr>
              <w:t>.</w:t>
            </w:r>
          </w:p>
          <w:p w14:paraId="6F9B17B7" w14:textId="77777777" w:rsidR="00036981" w:rsidRPr="007C4D65" w:rsidRDefault="00036981" w:rsidP="00036981">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General areas of intervention are:</w:t>
            </w:r>
          </w:p>
          <w:p w14:paraId="2BE9C6B6" w14:textId="6D13E413" w:rsidR="00036981" w:rsidRPr="007C4D65" w:rsidRDefault="00036981">
            <w:pPr>
              <w:pStyle w:val="ListParagraph"/>
              <w:numPr>
                <w:ilvl w:val="0"/>
                <w:numId w:val="233"/>
              </w:numPr>
              <w:spacing w:before="40" w:after="40" w:line="276" w:lineRule="auto"/>
              <w:rPr>
                <w:rFonts w:asciiTheme="minorHAnsi" w:eastAsia="Calibri" w:hAnsiTheme="minorHAnsi" w:cstheme="minorHAnsi"/>
                <w:sz w:val="18"/>
                <w:szCs w:val="18"/>
                <w:lang w:eastAsia="en-US"/>
              </w:rPr>
            </w:pPr>
            <w:bookmarkStart w:id="400" w:name="_Hlk95009106"/>
            <w:proofErr w:type="gramStart"/>
            <w:r w:rsidRPr="007C4D65">
              <w:rPr>
                <w:rFonts w:asciiTheme="minorHAnsi" w:eastAsiaTheme="minorHAnsi" w:hAnsiTheme="minorHAnsi" w:cstheme="minorHAnsi"/>
                <w:sz w:val="18"/>
                <w:szCs w:val="18"/>
                <w:lang w:eastAsia="en-US"/>
              </w:rPr>
              <w:lastRenderedPageBreak/>
              <w:t>Creating  new</w:t>
            </w:r>
            <w:proofErr w:type="gramEnd"/>
            <w:r w:rsidRPr="007C4D65">
              <w:rPr>
                <w:rFonts w:asciiTheme="minorHAnsi" w:eastAsiaTheme="minorHAnsi" w:hAnsiTheme="minorHAnsi" w:cstheme="minorHAnsi"/>
                <w:sz w:val="18"/>
                <w:szCs w:val="18"/>
                <w:lang w:eastAsia="en-US"/>
              </w:rPr>
              <w:t xml:space="preserve"> economic instruments for environmental protection, taking into account marginalised groups and principles of gender responsible funding of environmental projects</w:t>
            </w:r>
            <w:bookmarkEnd w:id="400"/>
            <w:r w:rsidRPr="007C4D65">
              <w:rPr>
                <w:rFonts w:asciiTheme="minorHAnsi" w:eastAsiaTheme="minorHAnsi" w:hAnsiTheme="minorHAnsi" w:cstheme="minorHAnsi"/>
                <w:sz w:val="18"/>
                <w:szCs w:val="18"/>
                <w:lang w:eastAsia="en-US"/>
              </w:rPr>
              <w:t xml:space="preserve">. This includes </w:t>
            </w:r>
            <w:r w:rsidR="00D80C0F" w:rsidRPr="007C4D65">
              <w:rPr>
                <w:rFonts w:asciiTheme="minorHAnsi" w:eastAsiaTheme="minorHAnsi" w:hAnsiTheme="minorHAnsi" w:cstheme="minorHAnsi"/>
                <w:sz w:val="18"/>
                <w:szCs w:val="18"/>
                <w:lang w:eastAsia="en-US"/>
              </w:rPr>
              <w:t>initiation</w:t>
            </w:r>
            <w:r w:rsidRPr="007C4D65">
              <w:rPr>
                <w:rFonts w:asciiTheme="minorHAnsi" w:eastAsiaTheme="minorHAnsi" w:hAnsiTheme="minorHAnsi" w:cstheme="minorHAnsi"/>
                <w:sz w:val="18"/>
                <w:szCs w:val="18"/>
                <w:lang w:eastAsia="en-US"/>
              </w:rPr>
              <w:t xml:space="preserve"> of financial allocations for specifically targeted interventions aimed at improving social equity and gender equality, at economic empowerment of vulnerable social groups, particularly women in the area of so-called green </w:t>
            </w:r>
            <w:proofErr w:type="gramStart"/>
            <w:r w:rsidRPr="007C4D65">
              <w:rPr>
                <w:rFonts w:asciiTheme="minorHAnsi" w:eastAsiaTheme="minorHAnsi" w:hAnsiTheme="minorHAnsi" w:cstheme="minorHAnsi"/>
                <w:sz w:val="18"/>
                <w:szCs w:val="18"/>
                <w:lang w:eastAsia="en-US"/>
              </w:rPr>
              <w:t>entrepreneurship</w:t>
            </w:r>
            <w:r w:rsidR="00800C7A" w:rsidRPr="007C4D65">
              <w:rPr>
                <w:rFonts w:asciiTheme="minorHAnsi" w:eastAsia="Calibri" w:hAnsiTheme="minorHAnsi" w:cstheme="minorHAnsi"/>
                <w:sz w:val="18"/>
                <w:szCs w:val="18"/>
                <w:lang w:eastAsia="en-US"/>
              </w:rPr>
              <w:t>;</w:t>
            </w:r>
            <w:proofErr w:type="gramEnd"/>
          </w:p>
          <w:p w14:paraId="4278F814" w14:textId="35D04676" w:rsidR="00036981" w:rsidRPr="007C4D65" w:rsidRDefault="00036981">
            <w:pPr>
              <w:pStyle w:val="ListParagraph"/>
              <w:numPr>
                <w:ilvl w:val="0"/>
                <w:numId w:val="233"/>
              </w:numPr>
              <w:spacing w:before="40" w:after="40" w:line="276" w:lineRule="auto"/>
              <w:rPr>
                <w:rFonts w:asciiTheme="minorHAnsi" w:eastAsia="Calibri" w:hAnsiTheme="minorHAnsi" w:cstheme="minorHAnsi"/>
                <w:sz w:val="18"/>
                <w:szCs w:val="18"/>
                <w:lang w:eastAsia="en-US"/>
              </w:rPr>
            </w:pPr>
            <w:bookmarkStart w:id="401" w:name="_Hlk95009121"/>
            <w:r w:rsidRPr="007C4D65">
              <w:rPr>
                <w:rFonts w:asciiTheme="minorHAnsi" w:eastAsiaTheme="minorHAnsi" w:hAnsiTheme="minorHAnsi" w:cstheme="minorHAnsi"/>
                <w:sz w:val="18"/>
                <w:szCs w:val="18"/>
                <w:lang w:eastAsia="en-US"/>
              </w:rPr>
              <w:t xml:space="preserve">Enhancing the existing and introducing new revolving funds, subsidies and other mechanisms for the environment sector, where </w:t>
            </w:r>
            <w:proofErr w:type="gramStart"/>
            <w:r w:rsidRPr="007C4D65">
              <w:rPr>
                <w:rFonts w:asciiTheme="minorHAnsi" w:eastAsiaTheme="minorHAnsi" w:hAnsiTheme="minorHAnsi" w:cstheme="minorHAnsi"/>
                <w:sz w:val="18"/>
                <w:szCs w:val="18"/>
                <w:lang w:eastAsia="en-US"/>
              </w:rPr>
              <w:t>appropriate</w:t>
            </w:r>
            <w:bookmarkEnd w:id="401"/>
            <w:r w:rsidR="00800C7A" w:rsidRPr="007C4D65">
              <w:rPr>
                <w:rFonts w:asciiTheme="minorHAnsi" w:eastAsia="Calibri" w:hAnsiTheme="minorHAnsi" w:cstheme="minorHAnsi"/>
                <w:sz w:val="18"/>
                <w:szCs w:val="18"/>
                <w:lang w:eastAsia="en-US"/>
              </w:rPr>
              <w:t>;</w:t>
            </w:r>
            <w:proofErr w:type="gramEnd"/>
          </w:p>
          <w:p w14:paraId="35D1E771" w14:textId="454060D8" w:rsidR="00036981" w:rsidRPr="007C4D65" w:rsidRDefault="00036981">
            <w:pPr>
              <w:pStyle w:val="ListParagraph"/>
              <w:numPr>
                <w:ilvl w:val="0"/>
                <w:numId w:val="233"/>
              </w:numPr>
              <w:spacing w:before="40" w:after="40" w:line="276" w:lineRule="auto"/>
              <w:rPr>
                <w:rFonts w:asciiTheme="minorHAnsi" w:eastAsia="Calibri" w:hAnsiTheme="minorHAnsi" w:cstheme="minorHAnsi"/>
                <w:sz w:val="18"/>
                <w:szCs w:val="18"/>
                <w:lang w:eastAsia="en-US"/>
              </w:rPr>
            </w:pPr>
            <w:bookmarkStart w:id="402" w:name="_Hlk95009133"/>
            <w:r w:rsidRPr="007C4D65">
              <w:rPr>
                <w:rFonts w:asciiTheme="minorHAnsi" w:eastAsiaTheme="minorHAnsi" w:hAnsiTheme="minorHAnsi" w:cstheme="minorHAnsi"/>
                <w:sz w:val="18"/>
                <w:szCs w:val="18"/>
                <w:lang w:eastAsia="en-US"/>
              </w:rPr>
              <w:t>Engaging business/private sector in fund raising efforts for environmental projects,</w:t>
            </w:r>
            <w:bookmarkEnd w:id="402"/>
            <w:r w:rsidRPr="007C4D65">
              <w:rPr>
                <w:rFonts w:asciiTheme="minorHAnsi" w:eastAsiaTheme="minorHAnsi" w:hAnsiTheme="minorHAnsi" w:cstheme="minorHAnsi"/>
                <w:sz w:val="18"/>
                <w:szCs w:val="18"/>
                <w:lang w:eastAsia="en-US"/>
              </w:rPr>
              <w:t xml:space="preserve"> particularly </w:t>
            </w:r>
            <w:r w:rsidR="00D80C0F" w:rsidRPr="007C4D65">
              <w:rPr>
                <w:rFonts w:asciiTheme="minorHAnsi" w:eastAsiaTheme="minorHAnsi" w:hAnsiTheme="minorHAnsi" w:cstheme="minorHAnsi"/>
                <w:sz w:val="18"/>
                <w:szCs w:val="18"/>
                <w:lang w:eastAsia="en-US"/>
              </w:rPr>
              <w:t>focusing on the</w:t>
            </w:r>
            <w:r w:rsidRPr="007C4D65">
              <w:rPr>
                <w:rFonts w:asciiTheme="minorHAnsi" w:eastAsiaTheme="minorHAnsi" w:hAnsiTheme="minorHAnsi" w:cstheme="minorHAnsi"/>
                <w:sz w:val="18"/>
                <w:szCs w:val="18"/>
                <w:lang w:eastAsia="en-US"/>
              </w:rPr>
              <w:t xml:space="preserve"> preservation of biodiversity and protected areas</w:t>
            </w:r>
            <w:r w:rsidR="00800C7A" w:rsidRPr="007C4D65">
              <w:rPr>
                <w:rFonts w:asciiTheme="minorHAnsi" w:eastAsia="Calibri" w:hAnsiTheme="minorHAnsi" w:cstheme="minorHAnsi"/>
                <w:sz w:val="18"/>
                <w:szCs w:val="18"/>
                <w:lang w:eastAsia="en-US"/>
              </w:rPr>
              <w:t>;</w:t>
            </w:r>
          </w:p>
        </w:tc>
      </w:tr>
      <w:tr w:rsidR="00036981" w:rsidRPr="007C4D65" w14:paraId="6A8F7C37"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F556E2D" w14:textId="77777777" w:rsidR="00036981" w:rsidRPr="007C4D65" w:rsidRDefault="00036981" w:rsidP="00036981">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Strategic projects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3B709EF9" w14:textId="77777777" w:rsidR="00036981" w:rsidRPr="007C4D65" w:rsidRDefault="00036981" w:rsidP="00036981">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036981" w:rsidRPr="007C4D65" w14:paraId="22D57040" w14:textId="77777777" w:rsidTr="00B6017F">
        <w:trPr>
          <w:trHeight w:val="567"/>
        </w:trPr>
        <w:tc>
          <w:tcPr>
            <w:tcW w:w="1374"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D9D27F1" w14:textId="77777777" w:rsidR="00036981" w:rsidRPr="007C4D65" w:rsidRDefault="00036981" w:rsidP="00036981">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5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11219D9" w14:textId="77777777" w:rsidR="00036981" w:rsidRPr="007C4D65" w:rsidRDefault="00036981" w:rsidP="00036981">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1E7676BF" w14:textId="77777777" w:rsidR="00036981" w:rsidRPr="007C4D65" w:rsidRDefault="00036981" w:rsidP="00036981">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5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1B639DB" w14:textId="77777777" w:rsidR="00036981" w:rsidRPr="007C4D65" w:rsidRDefault="00036981" w:rsidP="00036981">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06D65071" w14:textId="77777777" w:rsidR="00036981" w:rsidRPr="007C4D65" w:rsidRDefault="00036981" w:rsidP="00036981">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1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6D8B645" w14:textId="77777777" w:rsidR="00036981" w:rsidRPr="007C4D65" w:rsidRDefault="00036981" w:rsidP="00036981">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036981" w:rsidRPr="007C4D65" w14:paraId="02C782F0"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71401267" w14:textId="77777777" w:rsidR="00036981" w:rsidRPr="007C4D65" w:rsidRDefault="00036981" w:rsidP="00036981">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20EDA60" w14:textId="2953998F" w:rsidR="00036981" w:rsidRPr="007C4D65" w:rsidRDefault="00036981">
            <w:pPr>
              <w:numPr>
                <w:ilvl w:val="0"/>
                <w:numId w:val="232"/>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2) Level of improvement of the current and initiation of new economic instruments for environmental protection which are stimulative for </w:t>
            </w:r>
            <w:r w:rsidR="00963086" w:rsidRPr="007C4D65">
              <w:rPr>
                <w:rFonts w:asciiTheme="minorHAnsi" w:eastAsiaTheme="minorHAnsi" w:hAnsiTheme="minorHAnsi" w:cstheme="minorHAnsi"/>
                <w:sz w:val="18"/>
                <w:szCs w:val="18"/>
                <w:lang w:eastAsia="en-US"/>
              </w:rPr>
              <w:t>Target groups</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EDC7083" w14:textId="5D11D674" w:rsidR="00036981" w:rsidRPr="007C4D65" w:rsidRDefault="00D80C0F" w:rsidP="00036981">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Inadequacy</w:t>
            </w:r>
            <w:r w:rsidR="00036981" w:rsidRPr="007C4D65">
              <w:rPr>
                <w:rFonts w:asciiTheme="minorHAnsi" w:eastAsiaTheme="minorHAnsi" w:hAnsiTheme="minorHAnsi" w:cstheme="minorHAnsi"/>
                <w:sz w:val="18"/>
                <w:szCs w:val="18"/>
                <w:lang w:eastAsia="en-US"/>
              </w:rPr>
              <w:t xml:space="preserve"> of mechanisms stimulative for the </w:t>
            </w:r>
            <w:r w:rsidR="00963086" w:rsidRPr="007C4D65">
              <w:rPr>
                <w:rFonts w:asciiTheme="minorHAnsi" w:eastAsiaTheme="minorHAnsi" w:hAnsiTheme="minorHAnsi" w:cstheme="minorHAnsi"/>
                <w:sz w:val="18"/>
                <w:szCs w:val="18"/>
                <w:lang w:eastAsia="en-US"/>
              </w:rPr>
              <w:t>Target groups</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9D5310C" w14:textId="77777777" w:rsidR="00036981" w:rsidRPr="007C4D65" w:rsidRDefault="00036981" w:rsidP="00036981">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existing economic instruments of environmental protection </w:t>
            </w:r>
            <w:proofErr w:type="gramStart"/>
            <w:r w:rsidRPr="007C4D65">
              <w:rPr>
                <w:rFonts w:asciiTheme="minorHAnsi" w:eastAsiaTheme="minorHAnsi" w:hAnsiTheme="minorHAnsi" w:cstheme="minorHAnsi"/>
                <w:sz w:val="18"/>
                <w:szCs w:val="18"/>
                <w:lang w:eastAsia="en-US"/>
              </w:rPr>
              <w:t>enhanced</w:t>
            </w:r>
            <w:proofErr w:type="gramEnd"/>
            <w:r w:rsidRPr="007C4D65">
              <w:rPr>
                <w:rFonts w:asciiTheme="minorHAnsi" w:eastAsiaTheme="minorHAnsi" w:hAnsiTheme="minorHAnsi" w:cstheme="minorHAnsi"/>
                <w:sz w:val="18"/>
                <w:szCs w:val="18"/>
                <w:lang w:eastAsia="en-US"/>
              </w:rPr>
              <w:t xml:space="preserve"> and new ones initiated (2030)</w:t>
            </w:r>
          </w:p>
        </w:tc>
      </w:tr>
      <w:tr w:rsidR="00036981" w:rsidRPr="007C4D65" w14:paraId="5139C560"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3AF6E21E" w14:textId="77777777" w:rsidR="00036981" w:rsidRPr="007C4D65" w:rsidRDefault="00036981" w:rsidP="00036981">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C4D63D5" w14:textId="77777777" w:rsidR="00036981" w:rsidRPr="007C4D65" w:rsidRDefault="00036981" w:rsidP="00036981">
            <w:pPr>
              <w:spacing w:before="40" w:after="40" w:line="276" w:lineRule="auto"/>
              <w:ind w:left="265" w:hanging="265"/>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3) Involvement of business entities in fund raising efforts for environmental projects</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FFB9F12" w14:textId="77777777" w:rsidR="00036981" w:rsidRPr="007C4D65" w:rsidRDefault="00036981" w:rsidP="00036981">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Business entities are not actively involved</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3125452" w14:textId="34E71B26" w:rsidR="00036981" w:rsidRPr="007C4D65" w:rsidRDefault="00036981" w:rsidP="00036981">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Business entities </w:t>
            </w:r>
            <w:r w:rsidR="00D80C0F" w:rsidRPr="007C4D65">
              <w:rPr>
                <w:rFonts w:asciiTheme="minorHAnsi" w:eastAsiaTheme="minorHAnsi" w:hAnsiTheme="minorHAnsi" w:cstheme="minorHAnsi"/>
                <w:sz w:val="18"/>
                <w:szCs w:val="18"/>
                <w:lang w:eastAsia="en-US"/>
              </w:rPr>
              <w:t>play an active role</w:t>
            </w:r>
            <w:r w:rsidRPr="007C4D65">
              <w:rPr>
                <w:rFonts w:asciiTheme="minorHAnsi" w:eastAsiaTheme="minorHAnsi" w:hAnsiTheme="minorHAnsi" w:cstheme="minorHAnsi"/>
                <w:sz w:val="18"/>
                <w:szCs w:val="18"/>
                <w:lang w:eastAsia="en-US"/>
              </w:rPr>
              <w:t xml:space="preserve"> in fund raising efforts and participate in the implementation of environmental projects</w:t>
            </w:r>
            <w:r w:rsidR="00800C7A" w:rsidRPr="007C4D65">
              <w:rPr>
                <w:rFonts w:asciiTheme="minorHAnsi" w:eastAsiaTheme="minorHAnsi" w:hAnsiTheme="minorHAnsi" w:cstheme="minorHAnsi"/>
                <w:sz w:val="18"/>
                <w:szCs w:val="18"/>
                <w:lang w:eastAsia="en-US"/>
              </w:rPr>
              <w:t>;</w:t>
            </w:r>
          </w:p>
        </w:tc>
      </w:tr>
      <w:tr w:rsidR="00036981" w:rsidRPr="007C4D65" w14:paraId="4A4EAA3E"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055C9D2" w14:textId="77777777" w:rsidR="00036981" w:rsidRPr="007C4D65" w:rsidRDefault="00036981" w:rsidP="00036981">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62C3DE0" w14:textId="58E9786C" w:rsidR="00036981" w:rsidRPr="007C4D65" w:rsidRDefault="00D80C0F" w:rsidP="00036981">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strategic management and more efficient funding of environmental protection</w:t>
            </w:r>
          </w:p>
        </w:tc>
      </w:tr>
      <w:tr w:rsidR="00036981" w:rsidRPr="007C4D65" w14:paraId="347A344A"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6E5EDA1" w14:textId="27499952" w:rsidR="00036981" w:rsidRPr="007C4D65" w:rsidRDefault="00963086" w:rsidP="00036981">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4C1D9AA" w14:textId="2109636A" w:rsidR="00D80C0F" w:rsidRPr="007C4D65" w:rsidRDefault="00C224E3" w:rsidP="00D80C0F">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D80C0F" w:rsidRPr="007C4D65">
              <w:rPr>
                <w:rFonts w:asciiTheme="minorHAnsi" w:hAnsiTheme="minorHAnsi" w:cstheme="minorHAnsi"/>
                <w:sz w:val="18"/>
                <w:szCs w:val="18"/>
                <w:lang w:val="hr-HR" w:bidi="en-US"/>
              </w:rPr>
              <w:t>201 036 KM</w:t>
            </w:r>
          </w:p>
          <w:p w14:paraId="7DDA22E9" w14:textId="00378E7D" w:rsidR="00036981" w:rsidRPr="007C4D65" w:rsidRDefault="009E6B20" w:rsidP="00D80C0F">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hAnsiTheme="minorHAnsi" w:cstheme="minorHAnsi"/>
                <w:sz w:val="18"/>
                <w:szCs w:val="18"/>
                <w:lang w:val="hr-HR" w:bidi="en-US"/>
              </w:rPr>
              <w:t xml:space="preserve">Source: </w:t>
            </w:r>
            <w:r w:rsidR="00D80C0F" w:rsidRPr="007C4D65">
              <w:rPr>
                <w:rFonts w:asciiTheme="minorHAnsi" w:hAnsiTheme="minorHAnsi" w:cstheme="minorHAnsi"/>
                <w:sz w:val="18"/>
                <w:szCs w:val="18"/>
                <w:lang w:val="hr-HR" w:bidi="en-US"/>
              </w:rPr>
              <w:t xml:space="preserve">10% </w:t>
            </w:r>
            <w:r w:rsidR="000E401F" w:rsidRPr="007C4D65">
              <w:rPr>
                <w:rFonts w:asciiTheme="minorHAnsi" w:hAnsiTheme="minorHAnsi" w:cstheme="minorHAnsi"/>
                <w:sz w:val="18"/>
                <w:szCs w:val="18"/>
                <w:lang w:val="hr-HR" w:bidi="en-US"/>
              </w:rPr>
              <w:t>government budget</w:t>
            </w:r>
            <w:r w:rsidR="00C224E3" w:rsidRPr="007C4D65">
              <w:rPr>
                <w:rFonts w:asciiTheme="minorHAnsi" w:hAnsiTheme="minorHAnsi" w:cstheme="minorHAnsi"/>
                <w:sz w:val="18"/>
                <w:szCs w:val="18"/>
                <w:lang w:val="hr-HR" w:bidi="en-US"/>
              </w:rPr>
              <w:t xml:space="preserve"> </w:t>
            </w:r>
            <w:r w:rsidR="00D80C0F" w:rsidRPr="007C4D65">
              <w:rPr>
                <w:rFonts w:asciiTheme="minorHAnsi" w:hAnsiTheme="minorHAnsi" w:cstheme="minorHAnsi"/>
                <w:sz w:val="18"/>
                <w:szCs w:val="18"/>
                <w:lang w:val="hr-HR" w:bidi="en-US"/>
              </w:rPr>
              <w:t xml:space="preserve">, 90% </w:t>
            </w:r>
            <w:r w:rsidR="00C224E3" w:rsidRPr="007C4D65">
              <w:rPr>
                <w:rFonts w:asciiTheme="minorHAnsi" w:hAnsiTheme="minorHAnsi" w:cstheme="minorHAnsi"/>
                <w:sz w:val="18"/>
                <w:szCs w:val="18"/>
                <w:lang w:val="hr-HR" w:bidi="en-US"/>
              </w:rPr>
              <w:t xml:space="preserve">combined </w:t>
            </w:r>
            <w:r w:rsidR="00D80C0F" w:rsidRPr="007C4D65">
              <w:rPr>
                <w:rFonts w:asciiTheme="minorHAnsi" w:hAnsiTheme="minorHAnsi" w:cstheme="minorHAnsi"/>
                <w:sz w:val="18"/>
                <w:szCs w:val="18"/>
                <w:lang w:val="hr-HR" w:bidi="en-US"/>
              </w:rPr>
              <w:t xml:space="preserve"> ‒ </w:t>
            </w:r>
            <w:r w:rsidR="00C224E3" w:rsidRPr="007C4D65">
              <w:rPr>
                <w:rFonts w:asciiTheme="minorHAnsi" w:hAnsiTheme="minorHAnsi" w:cstheme="minorHAnsi"/>
                <w:sz w:val="18"/>
                <w:szCs w:val="18"/>
                <w:lang w:val="hr-HR" w:bidi="en-US"/>
              </w:rPr>
              <w:t xml:space="preserve">funds from EU and other international donors, and other donations </w:t>
            </w:r>
          </w:p>
        </w:tc>
      </w:tr>
      <w:tr w:rsidR="00036981" w:rsidRPr="007C4D65" w14:paraId="50E0B2CF"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F34C73C" w14:textId="77777777" w:rsidR="00036981" w:rsidRPr="007C4D65" w:rsidRDefault="00036981" w:rsidP="00036981">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6CC2629" w14:textId="77777777" w:rsidR="00036981" w:rsidRPr="007C4D65" w:rsidRDefault="00036981" w:rsidP="00036981">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2030</w:t>
            </w:r>
          </w:p>
        </w:tc>
      </w:tr>
      <w:tr w:rsidR="00036981" w:rsidRPr="007C4D65" w14:paraId="2453B51E"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73886B7" w14:textId="77777777" w:rsidR="00036981" w:rsidRPr="007C4D65" w:rsidRDefault="00036981" w:rsidP="00036981">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E94FA51" w14:textId="4A4C5149" w:rsidR="00036981" w:rsidRPr="007C4D65" w:rsidRDefault="00036981" w:rsidP="00036981">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Environmental </w:t>
            </w:r>
            <w:r w:rsidR="00D80C0F" w:rsidRPr="007C4D65">
              <w:rPr>
                <w:rFonts w:asciiTheme="minorHAnsi" w:eastAsiaTheme="minorHAnsi" w:hAnsiTheme="minorHAnsi" w:cstheme="minorHAnsi"/>
                <w:sz w:val="18"/>
                <w:szCs w:val="18"/>
                <w:lang w:eastAsia="en-US"/>
              </w:rPr>
              <w:t xml:space="preserve">Protection </w:t>
            </w:r>
            <w:r w:rsidRPr="007C4D65">
              <w:rPr>
                <w:rFonts w:asciiTheme="minorHAnsi" w:eastAsiaTheme="minorHAnsi" w:hAnsiTheme="minorHAnsi" w:cstheme="minorHAnsi"/>
                <w:sz w:val="18"/>
                <w:szCs w:val="18"/>
                <w:lang w:eastAsia="en-US"/>
              </w:rPr>
              <w:t xml:space="preserve">Fund of the Federation of </w:t>
            </w:r>
            <w:r w:rsidR="00D80C0F" w:rsidRPr="007C4D65">
              <w:rPr>
                <w:rFonts w:asciiTheme="minorHAnsi" w:eastAsiaTheme="minorHAnsi" w:hAnsiTheme="minorHAnsi" w:cstheme="minorHAnsi"/>
                <w:sz w:val="18"/>
                <w:szCs w:val="18"/>
                <w:lang w:eastAsia="en-US"/>
              </w:rPr>
              <w:t>BiH</w:t>
            </w:r>
          </w:p>
        </w:tc>
      </w:tr>
      <w:tr w:rsidR="00036981" w:rsidRPr="007C4D65" w14:paraId="0BC0112B"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A580283" w14:textId="77777777" w:rsidR="00036981" w:rsidRPr="007C4D65" w:rsidRDefault="00036981" w:rsidP="00036981">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D65216C" w14:textId="6E61EEA1" w:rsidR="00036981" w:rsidRPr="007C4D65" w:rsidRDefault="00036981" w:rsidP="00036981">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Environmental Protection Fund of the </w:t>
            </w:r>
            <w:r w:rsidR="00D80C0F" w:rsidRPr="007C4D65">
              <w:rPr>
                <w:rFonts w:asciiTheme="minorHAnsi" w:eastAsiaTheme="minorHAnsi" w:hAnsiTheme="minorHAnsi" w:cstheme="minorHAnsi"/>
                <w:sz w:val="18"/>
                <w:szCs w:val="18"/>
                <w:lang w:eastAsia="en-US"/>
              </w:rPr>
              <w:t>Federation of BiH</w:t>
            </w:r>
            <w:r w:rsidRPr="007C4D65">
              <w:rPr>
                <w:rFonts w:asciiTheme="minorHAnsi" w:eastAsiaTheme="minorHAnsi" w:hAnsiTheme="minorHAnsi" w:cstheme="minorHAnsi"/>
                <w:sz w:val="18"/>
                <w:szCs w:val="18"/>
                <w:lang w:eastAsia="en-US"/>
              </w:rPr>
              <w:t xml:space="preserve">, </w:t>
            </w:r>
            <w:r w:rsidR="001E6E20" w:rsidRPr="007C4D65">
              <w:rPr>
                <w:rFonts w:asciiTheme="minorHAnsi" w:eastAsiaTheme="minorHAnsi" w:hAnsiTheme="minorHAnsi" w:cstheme="minorHAnsi"/>
                <w:sz w:val="18"/>
                <w:szCs w:val="18"/>
                <w:lang w:eastAsia="en-US"/>
              </w:rPr>
              <w:t>Federation Ministry</w:t>
            </w:r>
            <w:r w:rsidRPr="007C4D65">
              <w:rPr>
                <w:rFonts w:asciiTheme="minorHAnsi" w:eastAsiaTheme="minorHAnsi" w:hAnsiTheme="minorHAnsi" w:cstheme="minorHAnsi"/>
                <w:sz w:val="18"/>
                <w:szCs w:val="18"/>
                <w:lang w:eastAsia="en-US"/>
              </w:rPr>
              <w:t xml:space="preserve"> of Environment and Tourism, responsible ministries at all levels, local communities, Development Bank of the Federation </w:t>
            </w:r>
            <w:proofErr w:type="gramStart"/>
            <w:r w:rsidRPr="007C4D65">
              <w:rPr>
                <w:rFonts w:asciiTheme="minorHAnsi" w:eastAsiaTheme="minorHAnsi" w:hAnsiTheme="minorHAnsi" w:cstheme="minorHAnsi"/>
                <w:sz w:val="18"/>
                <w:szCs w:val="18"/>
                <w:lang w:eastAsia="en-US"/>
              </w:rPr>
              <w:t>of  Bosnia</w:t>
            </w:r>
            <w:proofErr w:type="gramEnd"/>
            <w:r w:rsidRPr="007C4D65">
              <w:rPr>
                <w:rFonts w:asciiTheme="minorHAnsi" w:eastAsiaTheme="minorHAnsi" w:hAnsiTheme="minorHAnsi" w:cstheme="minorHAnsi"/>
                <w:sz w:val="18"/>
                <w:szCs w:val="18"/>
                <w:lang w:eastAsia="en-US"/>
              </w:rPr>
              <w:t xml:space="preserve"> and Herzegovina</w:t>
            </w:r>
          </w:p>
        </w:tc>
      </w:tr>
      <w:tr w:rsidR="00036981" w:rsidRPr="007C4D65" w14:paraId="63738FFB"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25F456F" w14:textId="5A845D21" w:rsidR="00036981" w:rsidRPr="007C4D65" w:rsidRDefault="00963086" w:rsidP="00036981">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Target groups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BF7909B" w14:textId="3E0C908C" w:rsidR="00036981" w:rsidRPr="007C4D65" w:rsidRDefault="00036981" w:rsidP="00036981">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Institutions, business entities and citizens who are obliged to pay the taxes and other fees, which benefit from projects funded from funds collected</w:t>
            </w:r>
          </w:p>
        </w:tc>
      </w:tr>
    </w:tbl>
    <w:p w14:paraId="4AA77D89" w14:textId="77777777" w:rsidR="00CC447D" w:rsidRPr="007C4D65" w:rsidRDefault="00CC447D" w:rsidP="0068355A">
      <w:pPr>
        <w:spacing w:line="276" w:lineRule="auto"/>
        <w:rPr>
          <w:rFonts w:asciiTheme="minorHAnsi" w:hAnsiTheme="minorHAnsi" w:cstheme="minorHAnsi"/>
          <w:sz w:val="18"/>
          <w:szCs w:val="18"/>
        </w:rPr>
      </w:pPr>
    </w:p>
    <w:p w14:paraId="6DF07C7C" w14:textId="77777777" w:rsidR="00CC447D" w:rsidRPr="007C4D65" w:rsidRDefault="00CC447D" w:rsidP="0068355A">
      <w:pPr>
        <w:spacing w:line="276" w:lineRule="auto"/>
        <w:rPr>
          <w:rFonts w:asciiTheme="minorHAnsi" w:hAnsiTheme="minorHAnsi" w:cstheme="minorHAnsi"/>
          <w:sz w:val="18"/>
          <w:szCs w:val="18"/>
        </w:rPr>
      </w:pPr>
    </w:p>
    <w:tbl>
      <w:tblPr>
        <w:tblW w:w="4624"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5"/>
        <w:gridCol w:w="3493"/>
        <w:gridCol w:w="3240"/>
        <w:gridCol w:w="2621"/>
      </w:tblGrid>
      <w:tr w:rsidR="002E2F62" w:rsidRPr="007C4D65" w14:paraId="28E13842"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D8CAC5E"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Link with the strategic goal</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8BD7FEB" w14:textId="77777777" w:rsidR="002E2F62" w:rsidRPr="007C4D65" w:rsidRDefault="002E2F62" w:rsidP="00B6017F">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2E2F62" w:rsidRPr="007C4D65" w14:paraId="55F85B9A"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338064E"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756BF5D" w14:textId="77777777" w:rsidR="002E2F62" w:rsidRPr="007C4D65" w:rsidRDefault="002E2F62" w:rsidP="00B6017F">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7.7. Ensuring financial sustainability of the environment sector in the Federation of BiH</w:t>
            </w:r>
          </w:p>
        </w:tc>
      </w:tr>
      <w:tr w:rsidR="002E2F62" w:rsidRPr="007C4D65" w14:paraId="1F385DA5"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3DF16DC"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07CCFB0" w14:textId="77777777" w:rsidR="002E2F62" w:rsidRPr="007C4D65" w:rsidRDefault="002E2F62" w:rsidP="00B6017F">
            <w:pPr>
              <w:spacing w:before="40" w:after="40" w:line="276" w:lineRule="auto"/>
              <w:rPr>
                <w:rFonts w:asciiTheme="minorHAnsi" w:eastAsia="Calibri" w:hAnsiTheme="minorHAnsi" w:cstheme="minorHAnsi"/>
                <w:b/>
                <w:sz w:val="18"/>
                <w:szCs w:val="18"/>
                <w:lang w:eastAsia="en-US"/>
              </w:rPr>
            </w:pPr>
            <w:r w:rsidRPr="007C4D65">
              <w:rPr>
                <w:rFonts w:asciiTheme="minorHAnsi" w:eastAsiaTheme="minorHAnsi" w:hAnsiTheme="minorHAnsi" w:cstheme="minorHAnsi"/>
                <w:b/>
                <w:sz w:val="18"/>
                <w:szCs w:val="18"/>
                <w:lang w:eastAsia="en-US"/>
              </w:rPr>
              <w:t>7.7.1 Efficient and comprehensive implementation of currently available environmental economic instruments</w:t>
            </w:r>
          </w:p>
        </w:tc>
      </w:tr>
      <w:tr w:rsidR="002E2F62" w:rsidRPr="007C4D65" w14:paraId="5D30C26A"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06D3A17"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95A5236" w14:textId="4862E6E7" w:rsidR="002E2F62" w:rsidRPr="007C4D65" w:rsidRDefault="002E2F62" w:rsidP="00B6017F">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This measure aims at ensuring a comprehensive implementation of available environmental economic instruments.  To this end, the responsible institutions routinely prepare and transparently publish reports on funds raised and on the use of dedicated </w:t>
            </w:r>
            <w:proofErr w:type="gramStart"/>
            <w:r w:rsidRPr="007C4D65">
              <w:rPr>
                <w:rFonts w:asciiTheme="minorHAnsi" w:eastAsiaTheme="minorHAnsi" w:hAnsiTheme="minorHAnsi" w:cstheme="minorHAnsi"/>
                <w:sz w:val="18"/>
                <w:szCs w:val="18"/>
                <w:lang w:eastAsia="en-US"/>
              </w:rPr>
              <w:t>funds,.</w:t>
            </w:r>
            <w:proofErr w:type="gramEnd"/>
            <w:r w:rsidRPr="007C4D65">
              <w:rPr>
                <w:rFonts w:asciiTheme="minorHAnsi" w:eastAsiaTheme="minorHAnsi" w:hAnsiTheme="minorHAnsi" w:cstheme="minorHAnsi"/>
                <w:sz w:val="18"/>
                <w:szCs w:val="18"/>
                <w:lang w:eastAsia="en-US"/>
              </w:rPr>
              <w:t xml:space="preserve"> The </w:t>
            </w:r>
            <w:r w:rsidR="001E6E20" w:rsidRPr="007C4D65">
              <w:rPr>
                <w:rFonts w:asciiTheme="minorHAnsi" w:eastAsiaTheme="minorHAnsi" w:hAnsiTheme="minorHAnsi" w:cstheme="minorHAnsi"/>
                <w:sz w:val="18"/>
                <w:szCs w:val="18"/>
                <w:lang w:eastAsia="en-US"/>
              </w:rPr>
              <w:t>Federation Ministry</w:t>
            </w:r>
            <w:r w:rsidRPr="007C4D65">
              <w:rPr>
                <w:rFonts w:asciiTheme="minorHAnsi" w:eastAsiaTheme="minorHAnsi" w:hAnsiTheme="minorHAnsi" w:cstheme="minorHAnsi"/>
                <w:sz w:val="18"/>
                <w:szCs w:val="18"/>
                <w:lang w:eastAsia="en-US"/>
              </w:rPr>
              <w:t xml:space="preserve"> of Finance, Ministry of Foreign Trade and Economic Relations of BiH, will be involved in all the aspect of the fiscal policy on the environmental protection (facilities for the import of specific eco-friendly products, etc). The measure also involves the application of all the taxes set out in the Law on the Fund of the Federation of BiH and other applicable legislation which governs individual areas.</w:t>
            </w:r>
          </w:p>
          <w:p w14:paraId="69108A87" w14:textId="77777777" w:rsidR="002E2F62" w:rsidRPr="007C4D65" w:rsidRDefault="002E2F62" w:rsidP="00B6017F">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General areas of intervention are:</w:t>
            </w:r>
          </w:p>
          <w:p w14:paraId="3A9F3DA0" w14:textId="7CE01E14" w:rsidR="002E2F62" w:rsidRPr="007C4D65" w:rsidRDefault="002E2F62">
            <w:pPr>
              <w:pStyle w:val="ListParagraph"/>
              <w:numPr>
                <w:ilvl w:val="0"/>
                <w:numId w:val="231"/>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Regulate the reporting requirement of all the levels of government (including the cantons and local governments (municipalities/cities) on dedicated spending of funds for environmental projects through the websites of the Fund, through amendments to the Law on the Fund of the Federation of </w:t>
            </w:r>
            <w:proofErr w:type="gramStart"/>
            <w:r w:rsidRPr="007C4D65">
              <w:rPr>
                <w:rFonts w:asciiTheme="minorHAnsi" w:eastAsiaTheme="minorHAnsi" w:hAnsiTheme="minorHAnsi" w:cstheme="minorHAnsi"/>
                <w:sz w:val="18"/>
                <w:szCs w:val="18"/>
                <w:lang w:eastAsia="en-US"/>
              </w:rPr>
              <w:t>BiH</w:t>
            </w:r>
            <w:r w:rsidR="00800C7A" w:rsidRPr="007C4D65">
              <w:rPr>
                <w:rFonts w:asciiTheme="minorHAnsi" w:eastAsiaTheme="minorHAnsi" w:hAnsiTheme="minorHAnsi" w:cstheme="minorHAnsi"/>
                <w:sz w:val="18"/>
                <w:szCs w:val="18"/>
                <w:lang w:eastAsia="en-US"/>
              </w:rPr>
              <w:t>;</w:t>
            </w:r>
            <w:proofErr w:type="gramEnd"/>
          </w:p>
          <w:p w14:paraId="0A0C0223" w14:textId="3CEEDB21" w:rsidR="002E2F62" w:rsidRPr="007C4D65" w:rsidRDefault="002E2F62">
            <w:pPr>
              <w:pStyle w:val="ListParagraph"/>
              <w:numPr>
                <w:ilvl w:val="0"/>
                <w:numId w:val="231"/>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An in-depth analysis on the types of taxes which are not classified as environmental taxes, but partly cover environmental aspects (such as concessions, taxes for use of forests, fuel excise taxes, etc.</w:t>
            </w:r>
            <w:proofErr w:type="gramStart"/>
            <w:r w:rsidRPr="007C4D65">
              <w:rPr>
                <w:rFonts w:asciiTheme="minorHAnsi" w:eastAsiaTheme="minorHAnsi" w:hAnsiTheme="minorHAnsi" w:cstheme="minorHAnsi"/>
                <w:sz w:val="18"/>
                <w:szCs w:val="18"/>
                <w:lang w:eastAsia="en-US"/>
              </w:rPr>
              <w:t>)</w:t>
            </w:r>
            <w:r w:rsidR="00800C7A" w:rsidRPr="007C4D65">
              <w:rPr>
                <w:rFonts w:asciiTheme="minorHAnsi" w:eastAsia="Calibri" w:hAnsiTheme="minorHAnsi" w:cstheme="minorHAnsi"/>
                <w:sz w:val="18"/>
                <w:szCs w:val="18"/>
                <w:lang w:eastAsia="en-US"/>
              </w:rPr>
              <w:t>;</w:t>
            </w:r>
            <w:proofErr w:type="gramEnd"/>
          </w:p>
          <w:p w14:paraId="09BAB87C" w14:textId="32595030" w:rsidR="002E2F62" w:rsidRPr="007C4D65" w:rsidRDefault="002E2F62">
            <w:pPr>
              <w:pStyle w:val="ListParagraph"/>
              <w:numPr>
                <w:ilvl w:val="0"/>
                <w:numId w:val="231"/>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Reform of all types of taxes which partly cover environmental issues (based on the analysis, through amendments of the applicable legislation</w:t>
            </w:r>
            <w:proofErr w:type="gramStart"/>
            <w:r w:rsidRPr="007C4D65">
              <w:rPr>
                <w:rFonts w:asciiTheme="minorHAnsi" w:eastAsiaTheme="minorHAnsi" w:hAnsiTheme="minorHAnsi" w:cstheme="minorHAnsi"/>
                <w:sz w:val="18"/>
                <w:szCs w:val="18"/>
                <w:lang w:eastAsia="en-US"/>
              </w:rPr>
              <w:t>)</w:t>
            </w:r>
            <w:r w:rsidR="00800C7A" w:rsidRPr="007C4D65">
              <w:rPr>
                <w:rFonts w:asciiTheme="minorHAnsi" w:eastAsia="Calibri" w:hAnsiTheme="minorHAnsi" w:cstheme="minorHAnsi"/>
                <w:sz w:val="18"/>
                <w:szCs w:val="18"/>
                <w:lang w:eastAsia="en-US"/>
              </w:rPr>
              <w:t>;</w:t>
            </w:r>
            <w:proofErr w:type="gramEnd"/>
          </w:p>
          <w:p w14:paraId="5B441043" w14:textId="77777777" w:rsidR="002E2F62" w:rsidRPr="007C4D65" w:rsidRDefault="002E2F62">
            <w:pPr>
              <w:pStyle w:val="ListParagraph"/>
              <w:numPr>
                <w:ilvl w:val="0"/>
                <w:numId w:val="231"/>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Regulating fees for users of environmental assets, energy efficiency, waste landfilling, etc.</w:t>
            </w:r>
          </w:p>
        </w:tc>
      </w:tr>
      <w:tr w:rsidR="002E2F62" w:rsidRPr="007C4D65" w14:paraId="51723706"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29F41D0"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Strategic projects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22AC9238"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2E2F62" w:rsidRPr="007C4D65" w14:paraId="229DBECE" w14:textId="77777777" w:rsidTr="00B6017F">
        <w:trPr>
          <w:trHeight w:val="567"/>
        </w:trPr>
        <w:tc>
          <w:tcPr>
            <w:tcW w:w="1374"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5B5C25D"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5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8EE33D0"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75469E15"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5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12B7E92"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6CA37317"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1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5832135"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2E2F62" w:rsidRPr="007C4D65" w14:paraId="4F276AD3"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18ADA26E"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83D1546" w14:textId="77777777" w:rsidR="002E2F62" w:rsidRPr="007C4D65" w:rsidRDefault="002E2F62">
            <w:pPr>
              <w:pStyle w:val="ListParagraph"/>
              <w:numPr>
                <w:ilvl w:val="0"/>
                <w:numId w:val="243"/>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Status of amending the Law on the Fund of the Federation of BiH</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A660AED"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Amendments have not been adopted</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7BE0088"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Amendments to the Law on the Fund of Federation of BiH, which require cantons and </w:t>
            </w:r>
            <w:r w:rsidRPr="007C4D65">
              <w:rPr>
                <w:rFonts w:asciiTheme="minorHAnsi" w:eastAsiaTheme="minorHAnsi" w:hAnsiTheme="minorHAnsi" w:cstheme="minorHAnsi"/>
                <w:sz w:val="18"/>
                <w:szCs w:val="18"/>
                <w:lang w:eastAsia="en-US"/>
              </w:rPr>
              <w:lastRenderedPageBreak/>
              <w:t>municipalities to report on the use of dedicated funds for environmental projects adopted (2024)</w:t>
            </w:r>
          </w:p>
        </w:tc>
      </w:tr>
      <w:tr w:rsidR="002E2F62" w:rsidRPr="007C4D65" w14:paraId="5AEBB6A8"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3639FF96"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A0EFCA6" w14:textId="77777777" w:rsidR="002E2F62" w:rsidRPr="007C4D65" w:rsidRDefault="002E2F62">
            <w:pPr>
              <w:pStyle w:val="ListParagraph"/>
              <w:numPr>
                <w:ilvl w:val="0"/>
                <w:numId w:val="243"/>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Stage of completion of an in-depth analysis on the types of taxes which are not classified as environmental fees, but partly cover environmental aspects</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BFF605E"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analysis has not been performed.</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F20DDD9"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 centralised and multi-sectoral analysis completed and all the types of taxes which are not classified as environmental fees, but partly cover environmental issues identified (2023)</w:t>
            </w:r>
          </w:p>
        </w:tc>
      </w:tr>
      <w:tr w:rsidR="002E2F62" w:rsidRPr="007C4D65" w14:paraId="52159BE5"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1FCB295E"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FFEC8EC" w14:textId="6E6F0A22" w:rsidR="002E2F62" w:rsidRPr="007C4D65" w:rsidRDefault="002E2F62">
            <w:pPr>
              <w:pStyle w:val="ListParagraph"/>
              <w:numPr>
                <w:ilvl w:val="0"/>
                <w:numId w:val="243"/>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Status of the reform of taxes which partly cover environmental issues</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C6EF466"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reform has not been undertaken</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7A2F81F"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reform of taxes carried out through amendments to the applicable regulations (2028)</w:t>
            </w:r>
          </w:p>
        </w:tc>
      </w:tr>
      <w:tr w:rsidR="002E2F62" w:rsidRPr="007C4D65" w14:paraId="1D8CAA17"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220A89D8"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956DB4B" w14:textId="77777777" w:rsidR="002E2F62" w:rsidRPr="007C4D65" w:rsidRDefault="002E2F62">
            <w:pPr>
              <w:pStyle w:val="ListParagraph"/>
              <w:numPr>
                <w:ilvl w:val="0"/>
                <w:numId w:val="243"/>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Status of efforts aimed at regulating taxes for users of environmental assets, energy efficiency, waste landfilling, etc.</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4278C15" w14:textId="34E4B383"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taxes for users of environmental assets, energy efficiency, waste landfilling </w:t>
            </w:r>
            <w:proofErr w:type="gramStart"/>
            <w:r w:rsidRPr="007C4D65">
              <w:rPr>
                <w:rFonts w:asciiTheme="minorHAnsi" w:eastAsiaTheme="minorHAnsi" w:hAnsiTheme="minorHAnsi" w:cstheme="minorHAnsi"/>
                <w:sz w:val="18"/>
                <w:szCs w:val="18"/>
                <w:lang w:eastAsia="en-US"/>
              </w:rPr>
              <w:t>are</w:t>
            </w:r>
            <w:proofErr w:type="gramEnd"/>
            <w:r w:rsidRPr="007C4D65">
              <w:rPr>
                <w:rFonts w:asciiTheme="minorHAnsi" w:eastAsiaTheme="minorHAnsi" w:hAnsiTheme="minorHAnsi" w:cstheme="minorHAnsi"/>
                <w:sz w:val="18"/>
                <w:szCs w:val="18"/>
                <w:lang w:eastAsia="en-US"/>
              </w:rPr>
              <w:t xml:space="preserve"> not regulated</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C35F88A"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taxes for users of environmental assets, energy efficiency, waste disposal, etc. regulated (</w:t>
            </w:r>
            <w:proofErr w:type="gramStart"/>
            <w:r w:rsidRPr="007C4D65">
              <w:rPr>
                <w:rFonts w:asciiTheme="minorHAnsi" w:eastAsiaTheme="minorHAnsi" w:hAnsiTheme="minorHAnsi" w:cstheme="minorHAnsi"/>
                <w:sz w:val="18"/>
                <w:szCs w:val="18"/>
                <w:lang w:eastAsia="en-US"/>
              </w:rPr>
              <w:t>2030.+</w:t>
            </w:r>
            <w:proofErr w:type="gramEnd"/>
            <w:r w:rsidRPr="007C4D65">
              <w:rPr>
                <w:rFonts w:asciiTheme="minorHAnsi" w:eastAsiaTheme="minorHAnsi" w:hAnsiTheme="minorHAnsi" w:cstheme="minorHAnsi"/>
                <w:sz w:val="18"/>
                <w:szCs w:val="18"/>
                <w:lang w:eastAsia="en-US"/>
              </w:rPr>
              <w:t>)</w:t>
            </w:r>
          </w:p>
        </w:tc>
      </w:tr>
      <w:tr w:rsidR="002E2F62" w:rsidRPr="007C4D65" w14:paraId="0A602ED7"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865F3AC"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A41D39E" w14:textId="44C7777D" w:rsidR="002E2F62" w:rsidRPr="007C4D65" w:rsidRDefault="002E2F62" w:rsidP="00B6017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Increased accountability of all levels of government in the environment sector, and better financial sustainability of the sector</w:t>
            </w:r>
          </w:p>
        </w:tc>
      </w:tr>
      <w:tr w:rsidR="002E2F62" w:rsidRPr="007C4D65" w14:paraId="1E9B5474"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6F1AACD" w14:textId="000C5A25" w:rsidR="002E2F62"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03232E5" w14:textId="77777777" w:rsidR="002E2F62" w:rsidRPr="007C4D65" w:rsidRDefault="002E2F62" w:rsidP="00B6017F">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Amount: BAM 92,717</w:t>
            </w:r>
          </w:p>
          <w:p w14:paraId="40D74C6A" w14:textId="3E090DF4" w:rsidR="002E2F62" w:rsidRPr="007C4D65" w:rsidRDefault="002E2F62" w:rsidP="00B6017F">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hAnsiTheme="minorHAnsi" w:cstheme="minorHAnsi"/>
                <w:sz w:val="18"/>
                <w:szCs w:val="18"/>
                <w:lang w:val="hr-HR" w:bidi="en-US"/>
              </w:rPr>
              <w:t xml:space="preserve">Source: 100% </w:t>
            </w:r>
            <w:r w:rsidR="000E401F" w:rsidRPr="007C4D65">
              <w:rPr>
                <w:rFonts w:asciiTheme="minorHAnsi" w:hAnsiTheme="minorHAnsi" w:cstheme="minorHAnsi"/>
                <w:sz w:val="18"/>
                <w:szCs w:val="18"/>
                <w:lang w:val="hr-HR" w:bidi="en-US"/>
              </w:rPr>
              <w:t>government budget</w:t>
            </w:r>
          </w:p>
        </w:tc>
      </w:tr>
      <w:tr w:rsidR="002E2F62" w:rsidRPr="007C4D65" w14:paraId="1E1632CC"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803A6BB"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F201D70"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2030</w:t>
            </w:r>
          </w:p>
        </w:tc>
      </w:tr>
      <w:tr w:rsidR="002E2F62" w:rsidRPr="007C4D65" w14:paraId="32CCF0E8"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4A77F2B"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8C68444" w14:textId="78C36973" w:rsidR="002E2F62" w:rsidRPr="007C4D65" w:rsidRDefault="001E6E20"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2E2F62" w:rsidRPr="007C4D65">
              <w:rPr>
                <w:rFonts w:asciiTheme="minorHAnsi" w:eastAsiaTheme="minorHAnsi" w:hAnsiTheme="minorHAnsi" w:cstheme="minorHAnsi"/>
                <w:sz w:val="18"/>
                <w:szCs w:val="18"/>
                <w:lang w:eastAsia="en-US"/>
              </w:rPr>
              <w:t xml:space="preserve"> of Environment and Tourism</w:t>
            </w:r>
          </w:p>
        </w:tc>
      </w:tr>
      <w:tr w:rsidR="002E2F62" w:rsidRPr="007C4D65" w14:paraId="735AC77C"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B42C3B4"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B5ABEE9" w14:textId="0FF0992B" w:rsidR="002E2F62" w:rsidRPr="007C4D65" w:rsidRDefault="001E6E20"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2E2F62" w:rsidRPr="007C4D65">
              <w:rPr>
                <w:rFonts w:asciiTheme="minorHAnsi" w:eastAsiaTheme="minorHAnsi" w:hAnsiTheme="minorHAnsi" w:cstheme="minorHAnsi"/>
                <w:sz w:val="18"/>
                <w:szCs w:val="18"/>
                <w:lang w:eastAsia="en-US"/>
              </w:rPr>
              <w:t xml:space="preserve"> of Environment and Tourism in cooperation with the </w:t>
            </w:r>
            <w:r w:rsidRPr="007C4D65">
              <w:rPr>
                <w:rFonts w:asciiTheme="minorHAnsi" w:eastAsiaTheme="minorHAnsi" w:hAnsiTheme="minorHAnsi" w:cstheme="minorHAnsi"/>
                <w:sz w:val="18"/>
                <w:szCs w:val="18"/>
                <w:lang w:eastAsia="en-US"/>
              </w:rPr>
              <w:t>Federation Ministry</w:t>
            </w:r>
            <w:r w:rsidR="002E2F62" w:rsidRPr="007C4D65">
              <w:rPr>
                <w:rFonts w:asciiTheme="minorHAnsi" w:eastAsiaTheme="minorHAnsi" w:hAnsiTheme="minorHAnsi" w:cstheme="minorHAnsi"/>
                <w:sz w:val="18"/>
                <w:szCs w:val="18"/>
                <w:lang w:eastAsia="en-US"/>
              </w:rPr>
              <w:t xml:space="preserve"> of Finance, Ministry of Foreign Trade and Economic Relations of Bosnia and Herzegovina, expert team nominated by the Government of Federation of Bosnia and Herzegovina, ministries responsible for energy efficiency</w:t>
            </w:r>
          </w:p>
        </w:tc>
      </w:tr>
      <w:tr w:rsidR="002E2F62" w:rsidRPr="007C4D65" w14:paraId="357147BB"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CA3CDE3" w14:textId="44AB800C" w:rsidR="002E2F62"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31E88C2" w14:textId="33AEC735"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Institutions, business entities and citizens who are required to pay taxes and other fees, and who benefit from projects funded from funds so raised</w:t>
            </w:r>
          </w:p>
        </w:tc>
      </w:tr>
    </w:tbl>
    <w:p w14:paraId="55D98ED3" w14:textId="77777777" w:rsidR="002E2F62" w:rsidRPr="007C4D65" w:rsidRDefault="002E2F62" w:rsidP="002E2F62">
      <w:pPr>
        <w:spacing w:line="276" w:lineRule="auto"/>
        <w:rPr>
          <w:rFonts w:asciiTheme="minorHAnsi" w:hAnsiTheme="minorHAnsi" w:cstheme="minorHAnsi"/>
          <w:sz w:val="18"/>
          <w:szCs w:val="18"/>
        </w:rPr>
      </w:pPr>
    </w:p>
    <w:tbl>
      <w:tblPr>
        <w:tblW w:w="4624"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3"/>
        <w:gridCol w:w="3240"/>
        <w:gridCol w:w="2621"/>
      </w:tblGrid>
      <w:tr w:rsidR="002E2F62" w:rsidRPr="007C4D65" w14:paraId="4BD965D6"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6490FD8"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Link with the strategic goal</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BF1871F" w14:textId="77777777" w:rsidR="002E2F62" w:rsidRPr="007C4D65" w:rsidRDefault="002E2F62" w:rsidP="00B6017F">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2E2F62" w:rsidRPr="007C4D65" w14:paraId="14779C0C"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E2497B5"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CDCFA36" w14:textId="2146D266" w:rsidR="002E2F62" w:rsidRPr="007C4D65" w:rsidRDefault="002E2F62" w:rsidP="00B6017F">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7.7 Ensuring financial sustainability of the environment sector in the Federation of BiH</w:t>
            </w:r>
          </w:p>
        </w:tc>
      </w:tr>
      <w:tr w:rsidR="002E2F62" w:rsidRPr="007C4D65" w14:paraId="1BD9AA3C"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BAA3533"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BC7D23F" w14:textId="77777777" w:rsidR="002E2F62" w:rsidRPr="007C4D65" w:rsidRDefault="002E2F62" w:rsidP="00B6017F">
            <w:pPr>
              <w:spacing w:before="40" w:after="40" w:line="276" w:lineRule="auto"/>
              <w:rPr>
                <w:rFonts w:asciiTheme="minorHAnsi" w:eastAsia="Calibri" w:hAnsiTheme="minorHAnsi" w:cstheme="minorHAnsi"/>
                <w:b/>
                <w:sz w:val="18"/>
                <w:szCs w:val="18"/>
                <w:lang w:eastAsia="en-US"/>
              </w:rPr>
            </w:pPr>
            <w:r w:rsidRPr="007C4D65">
              <w:rPr>
                <w:rFonts w:asciiTheme="minorHAnsi" w:eastAsiaTheme="minorHAnsi" w:hAnsiTheme="minorHAnsi" w:cstheme="minorHAnsi"/>
                <w:b/>
                <w:sz w:val="18"/>
                <w:szCs w:val="18"/>
                <w:lang w:eastAsia="en-US"/>
              </w:rPr>
              <w:t>7.7.2 Initiation of new innovative and incentive economic mechanisms for funding environmental protection</w:t>
            </w:r>
          </w:p>
        </w:tc>
      </w:tr>
      <w:tr w:rsidR="002E2F62" w:rsidRPr="007C4D65" w14:paraId="1541A399"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8647021"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02E5B89" w14:textId="77777777" w:rsidR="002E2F62" w:rsidRPr="007C4D65" w:rsidRDefault="002E2F62" w:rsidP="00B6017F">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This measure aims at implementing new innovative and stimulating economic mechanisms for funding of environmental protection </w:t>
            </w:r>
          </w:p>
          <w:p w14:paraId="5D7A5D6D" w14:textId="77777777" w:rsidR="002E2F62" w:rsidRPr="007C4D65" w:rsidRDefault="002E2F62" w:rsidP="00B6017F">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General areas of intervention are:</w:t>
            </w:r>
          </w:p>
          <w:p w14:paraId="3A5F0374" w14:textId="411F6BDB" w:rsidR="002E2F62" w:rsidRPr="007C4D65" w:rsidRDefault="002E2F62" w:rsidP="000536EA">
            <w:pPr>
              <w:pStyle w:val="ListParagraph"/>
              <w:numPr>
                <w:ilvl w:val="0"/>
                <w:numId w:val="261"/>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Creating new economic instruments for environmental protection, </w:t>
            </w:r>
            <w:proofErr w:type="gramStart"/>
            <w:r w:rsidRPr="007C4D65">
              <w:rPr>
                <w:rFonts w:asciiTheme="minorHAnsi" w:eastAsiaTheme="minorHAnsi" w:hAnsiTheme="minorHAnsi" w:cstheme="minorHAnsi"/>
                <w:sz w:val="18"/>
                <w:szCs w:val="18"/>
                <w:lang w:eastAsia="en-US"/>
              </w:rPr>
              <w:t>taking into account</w:t>
            </w:r>
            <w:proofErr w:type="gramEnd"/>
            <w:r w:rsidRPr="007C4D65">
              <w:rPr>
                <w:rFonts w:asciiTheme="minorHAnsi" w:eastAsiaTheme="minorHAnsi" w:hAnsiTheme="minorHAnsi" w:cstheme="minorHAnsi"/>
                <w:sz w:val="18"/>
                <w:szCs w:val="18"/>
                <w:lang w:eastAsia="en-US"/>
              </w:rPr>
              <w:t xml:space="preserve"> marginalised groups and principles of gender responsible funding of environmental projects. This includes initiation of financial allocations for specifically targeted interventions aimed at improving social equity and gender equality, at economic empowerment of vulnerable social groups, particularly women in the area of so-called green </w:t>
            </w:r>
            <w:proofErr w:type="gramStart"/>
            <w:r w:rsidRPr="007C4D65">
              <w:rPr>
                <w:rFonts w:asciiTheme="minorHAnsi" w:eastAsiaTheme="minorHAnsi" w:hAnsiTheme="minorHAnsi" w:cstheme="minorHAnsi"/>
                <w:sz w:val="18"/>
                <w:szCs w:val="18"/>
                <w:lang w:eastAsia="en-US"/>
              </w:rPr>
              <w:t>entrepreneurship</w:t>
            </w:r>
            <w:r w:rsidR="000536EA" w:rsidRPr="007C4D65">
              <w:rPr>
                <w:rFonts w:asciiTheme="minorHAnsi" w:eastAsiaTheme="minorHAnsi" w:hAnsiTheme="minorHAnsi" w:cstheme="minorHAnsi"/>
                <w:sz w:val="18"/>
                <w:szCs w:val="18"/>
                <w:lang w:eastAsia="en-US"/>
              </w:rPr>
              <w:t>;</w:t>
            </w:r>
            <w:proofErr w:type="gramEnd"/>
          </w:p>
          <w:p w14:paraId="6A143F59" w14:textId="29FFAA8F" w:rsidR="002E2F62" w:rsidRPr="007C4D65" w:rsidRDefault="002E2F62" w:rsidP="000536EA">
            <w:pPr>
              <w:pStyle w:val="ListParagraph"/>
              <w:numPr>
                <w:ilvl w:val="0"/>
                <w:numId w:val="261"/>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Enhancing the existing and introducing new revolving funds, subsidies and other mechanisms for the environment sector, where </w:t>
            </w:r>
            <w:proofErr w:type="gramStart"/>
            <w:r w:rsidRPr="007C4D65">
              <w:rPr>
                <w:rFonts w:asciiTheme="minorHAnsi" w:eastAsiaTheme="minorHAnsi" w:hAnsiTheme="minorHAnsi" w:cstheme="minorHAnsi"/>
                <w:sz w:val="18"/>
                <w:szCs w:val="18"/>
                <w:lang w:eastAsia="en-US"/>
              </w:rPr>
              <w:t>appropriate</w:t>
            </w:r>
            <w:r w:rsidR="000536EA" w:rsidRPr="007C4D65">
              <w:rPr>
                <w:rFonts w:asciiTheme="minorHAnsi" w:eastAsiaTheme="minorHAnsi" w:hAnsiTheme="minorHAnsi" w:cstheme="minorHAnsi"/>
                <w:sz w:val="18"/>
                <w:szCs w:val="18"/>
                <w:lang w:eastAsia="en-US"/>
              </w:rPr>
              <w:t>;</w:t>
            </w:r>
            <w:proofErr w:type="gramEnd"/>
          </w:p>
          <w:p w14:paraId="25CF1ABE" w14:textId="2DA59FB7" w:rsidR="002E2F62" w:rsidRPr="007C4D65" w:rsidRDefault="002E2F62" w:rsidP="000536EA">
            <w:pPr>
              <w:pStyle w:val="ListParagraph"/>
              <w:numPr>
                <w:ilvl w:val="0"/>
                <w:numId w:val="261"/>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Engaging business/private sector in fund raising efforts for environmental projects, particularly focusing on the preservation of biodiversity and protected areas</w:t>
            </w:r>
            <w:r w:rsidR="000536EA" w:rsidRPr="007C4D65">
              <w:rPr>
                <w:rFonts w:asciiTheme="minorHAnsi" w:eastAsia="Calibri" w:hAnsiTheme="minorHAnsi" w:cstheme="minorHAnsi"/>
                <w:sz w:val="18"/>
                <w:szCs w:val="18"/>
                <w:lang w:eastAsia="en-US"/>
              </w:rPr>
              <w:t>.</w:t>
            </w:r>
          </w:p>
        </w:tc>
      </w:tr>
      <w:tr w:rsidR="002E2F62" w:rsidRPr="007C4D65" w14:paraId="080EA1E4"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22DDD61"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Strategic projects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04929FF1"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2E2F62" w:rsidRPr="007C4D65" w14:paraId="63A471C1" w14:textId="77777777" w:rsidTr="00B6017F">
        <w:trPr>
          <w:trHeight w:val="567"/>
        </w:trPr>
        <w:tc>
          <w:tcPr>
            <w:tcW w:w="1374"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4656A4A"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5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1AB7725"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1A068D40"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5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8659CAE"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3D387D2D"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1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B270981"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2E2F62" w:rsidRPr="007C4D65" w14:paraId="5F887714"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36ACD56D"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F84880C" w14:textId="23634D83" w:rsidR="002E2F62" w:rsidRPr="007C4D65" w:rsidRDefault="002E2F62">
            <w:pPr>
              <w:pStyle w:val="ListParagraph"/>
              <w:numPr>
                <w:ilvl w:val="0"/>
                <w:numId w:val="259"/>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2) Level of improvement of the current and initiation of new economic instruments for environmental protection which are stimulative for </w:t>
            </w:r>
            <w:r w:rsidR="00963086" w:rsidRPr="007C4D65">
              <w:rPr>
                <w:rFonts w:asciiTheme="minorHAnsi" w:eastAsiaTheme="minorHAnsi" w:hAnsiTheme="minorHAnsi" w:cstheme="minorHAnsi"/>
                <w:sz w:val="18"/>
                <w:szCs w:val="18"/>
                <w:lang w:eastAsia="en-US"/>
              </w:rPr>
              <w:t>Target groups</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A63F8D8" w14:textId="52645B00"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Inadequacy of mechanisms stimulative for the </w:t>
            </w:r>
            <w:r w:rsidR="00963086" w:rsidRPr="007C4D65">
              <w:rPr>
                <w:rFonts w:asciiTheme="minorHAnsi" w:eastAsiaTheme="minorHAnsi" w:hAnsiTheme="minorHAnsi" w:cstheme="minorHAnsi"/>
                <w:sz w:val="18"/>
                <w:szCs w:val="18"/>
                <w:lang w:eastAsia="en-US"/>
              </w:rPr>
              <w:t>Target groups</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84E510F"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existing economic instruments of environmental protection </w:t>
            </w:r>
            <w:proofErr w:type="gramStart"/>
            <w:r w:rsidRPr="007C4D65">
              <w:rPr>
                <w:rFonts w:asciiTheme="minorHAnsi" w:eastAsiaTheme="minorHAnsi" w:hAnsiTheme="minorHAnsi" w:cstheme="minorHAnsi"/>
                <w:sz w:val="18"/>
                <w:szCs w:val="18"/>
                <w:lang w:eastAsia="en-US"/>
              </w:rPr>
              <w:t>enhanced</w:t>
            </w:r>
            <w:proofErr w:type="gramEnd"/>
            <w:r w:rsidRPr="007C4D65">
              <w:rPr>
                <w:rFonts w:asciiTheme="minorHAnsi" w:eastAsiaTheme="minorHAnsi" w:hAnsiTheme="minorHAnsi" w:cstheme="minorHAnsi"/>
                <w:sz w:val="18"/>
                <w:szCs w:val="18"/>
                <w:lang w:eastAsia="en-US"/>
              </w:rPr>
              <w:t xml:space="preserve"> and new ones initiated (2030)</w:t>
            </w:r>
          </w:p>
        </w:tc>
      </w:tr>
      <w:tr w:rsidR="002E2F62" w:rsidRPr="007C4D65" w14:paraId="38939181"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114D10D0"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48AA72B" w14:textId="1DAE8535" w:rsidR="002E2F62" w:rsidRPr="007C4D65" w:rsidRDefault="00CD3D80" w:rsidP="00B6017F">
            <w:pPr>
              <w:spacing w:before="40" w:after="40" w:line="276" w:lineRule="auto"/>
              <w:ind w:left="265" w:hanging="265"/>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3) </w:t>
            </w:r>
            <w:r w:rsidR="002E2F62" w:rsidRPr="007C4D65">
              <w:rPr>
                <w:rFonts w:asciiTheme="minorHAnsi" w:eastAsiaTheme="minorHAnsi" w:hAnsiTheme="minorHAnsi" w:cstheme="minorHAnsi"/>
                <w:sz w:val="18"/>
                <w:szCs w:val="18"/>
                <w:lang w:eastAsia="en-US"/>
              </w:rPr>
              <w:t xml:space="preserve"> Involvement of business entities in fund raising efforts for environmental projects</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63C11E2"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Business entities are not actively involved</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986EF35"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Business entities play an active role in fund raising efforts and participate in the implementation of environmental projects </w:t>
            </w:r>
          </w:p>
        </w:tc>
      </w:tr>
      <w:tr w:rsidR="002E2F62" w:rsidRPr="007C4D65" w14:paraId="08457002"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041E61F"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Effect on the development and contribution of the measure to the 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B25E816"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strategic management and more efficient funding of environmental protection</w:t>
            </w:r>
          </w:p>
        </w:tc>
      </w:tr>
      <w:tr w:rsidR="002E2F62" w:rsidRPr="007C4D65" w14:paraId="2D91D209"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AE6B24C" w14:textId="73406384" w:rsidR="002E2F62"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2F5308F1" w14:textId="5FACE277" w:rsidR="002E2F62" w:rsidRPr="007C4D65" w:rsidRDefault="002E2F62" w:rsidP="00B6017F">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 xml:space="preserve">Amount: </w:t>
            </w:r>
            <w:r w:rsidR="000536EA" w:rsidRPr="007C4D65">
              <w:rPr>
                <w:rFonts w:asciiTheme="minorHAnsi" w:hAnsiTheme="minorHAnsi" w:cstheme="minorHAnsi"/>
                <w:sz w:val="18"/>
                <w:szCs w:val="18"/>
                <w:lang w:val="hr-HR" w:bidi="en-US"/>
              </w:rPr>
              <w:t xml:space="preserve">BAM </w:t>
            </w:r>
            <w:r w:rsidRPr="007C4D65">
              <w:rPr>
                <w:rFonts w:asciiTheme="minorHAnsi" w:hAnsiTheme="minorHAnsi" w:cstheme="minorHAnsi"/>
                <w:sz w:val="18"/>
                <w:szCs w:val="18"/>
                <w:lang w:val="hr-HR" w:bidi="en-US"/>
              </w:rPr>
              <w:t>201</w:t>
            </w:r>
            <w:r w:rsidR="000536EA" w:rsidRPr="007C4D65">
              <w:rPr>
                <w:rFonts w:asciiTheme="minorHAnsi" w:hAnsiTheme="minorHAnsi" w:cstheme="minorHAnsi"/>
                <w:sz w:val="18"/>
                <w:szCs w:val="18"/>
                <w:lang w:val="hr-HR" w:bidi="en-US"/>
              </w:rPr>
              <w:t>,</w:t>
            </w:r>
            <w:r w:rsidRPr="007C4D65">
              <w:rPr>
                <w:rFonts w:asciiTheme="minorHAnsi" w:hAnsiTheme="minorHAnsi" w:cstheme="minorHAnsi"/>
                <w:sz w:val="18"/>
                <w:szCs w:val="18"/>
                <w:lang w:val="hr-HR" w:bidi="en-US"/>
              </w:rPr>
              <w:t>036</w:t>
            </w:r>
          </w:p>
          <w:p w14:paraId="1F8ADECB" w14:textId="69C208FF" w:rsidR="002E2F62" w:rsidRPr="007C4D65" w:rsidRDefault="002E2F62" w:rsidP="00B6017F">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hAnsiTheme="minorHAnsi" w:cstheme="minorHAnsi"/>
                <w:sz w:val="18"/>
                <w:szCs w:val="18"/>
                <w:lang w:val="hr-HR" w:bidi="en-US"/>
              </w:rPr>
              <w:t xml:space="preserve">Source: 10% </w:t>
            </w:r>
            <w:r w:rsidR="000E401F" w:rsidRPr="007C4D65">
              <w:rPr>
                <w:rFonts w:asciiTheme="minorHAnsi" w:hAnsiTheme="minorHAnsi" w:cstheme="minorHAnsi"/>
                <w:sz w:val="18"/>
                <w:szCs w:val="18"/>
                <w:lang w:val="hr-HR" w:bidi="en-US"/>
              </w:rPr>
              <w:t>government budget</w:t>
            </w:r>
            <w:r w:rsidRPr="007C4D65">
              <w:rPr>
                <w:rFonts w:asciiTheme="minorHAnsi" w:hAnsiTheme="minorHAnsi" w:cstheme="minorHAnsi"/>
                <w:sz w:val="18"/>
                <w:szCs w:val="18"/>
                <w:lang w:val="hr-HR" w:bidi="en-US"/>
              </w:rPr>
              <w:t>, 90% combined - funds from EU and other international donors and other donations</w:t>
            </w:r>
          </w:p>
        </w:tc>
      </w:tr>
      <w:tr w:rsidR="002E2F62" w:rsidRPr="007C4D65" w14:paraId="0A0F3064"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E337743"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77336EF"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2030</w:t>
            </w:r>
          </w:p>
        </w:tc>
      </w:tr>
      <w:tr w:rsidR="002E2F62" w:rsidRPr="007C4D65" w14:paraId="28C6F53A"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3C01D56"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C3217C6"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Environmental Protection Fund of the Federation of BiH</w:t>
            </w:r>
          </w:p>
        </w:tc>
      </w:tr>
      <w:tr w:rsidR="002E2F62" w:rsidRPr="007C4D65" w14:paraId="046A0EF5"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3BA73EE"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2FE64B3" w14:textId="16BBC799"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Environmental Protection Fund of the Federation of BiH, </w:t>
            </w:r>
            <w:r w:rsidR="001E6E20" w:rsidRPr="007C4D65">
              <w:rPr>
                <w:rFonts w:asciiTheme="minorHAnsi" w:eastAsiaTheme="minorHAnsi" w:hAnsiTheme="minorHAnsi" w:cstheme="minorHAnsi"/>
                <w:sz w:val="18"/>
                <w:szCs w:val="18"/>
                <w:lang w:eastAsia="en-US"/>
              </w:rPr>
              <w:t>Federation Ministry</w:t>
            </w:r>
            <w:r w:rsidRPr="007C4D65">
              <w:rPr>
                <w:rFonts w:asciiTheme="minorHAnsi" w:eastAsiaTheme="minorHAnsi" w:hAnsiTheme="minorHAnsi" w:cstheme="minorHAnsi"/>
                <w:sz w:val="18"/>
                <w:szCs w:val="18"/>
                <w:lang w:eastAsia="en-US"/>
              </w:rPr>
              <w:t xml:space="preserve"> of Environment and Tourism, responsible ministries at all levels, local communities, Development Bank of the Federation of BiH.</w:t>
            </w:r>
          </w:p>
        </w:tc>
      </w:tr>
      <w:tr w:rsidR="002E2F62" w:rsidRPr="007C4D65" w14:paraId="47F19622"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3CC7E01" w14:textId="0410F165" w:rsidR="002E2F62"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70AE4A1"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Institutions, business entities and citizens who are obliged to pay the taxes and other fees, which benefit from projects funded from funds collected.</w:t>
            </w:r>
          </w:p>
        </w:tc>
      </w:tr>
    </w:tbl>
    <w:p w14:paraId="1A195F2F" w14:textId="77777777" w:rsidR="002E2F62" w:rsidRPr="007C4D65" w:rsidRDefault="002E2F62" w:rsidP="002E2F62">
      <w:pPr>
        <w:spacing w:line="276" w:lineRule="auto"/>
        <w:rPr>
          <w:rFonts w:asciiTheme="minorHAnsi" w:hAnsiTheme="minorHAnsi" w:cstheme="minorHAnsi"/>
          <w:sz w:val="18"/>
          <w:szCs w:val="18"/>
        </w:rPr>
      </w:pPr>
    </w:p>
    <w:tbl>
      <w:tblPr>
        <w:tblW w:w="4624"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3"/>
        <w:gridCol w:w="3240"/>
        <w:gridCol w:w="2621"/>
      </w:tblGrid>
      <w:tr w:rsidR="002E2F62" w:rsidRPr="007C4D65" w14:paraId="100A9688"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A6556D4"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Link with the strategic goal</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CC0EB2A" w14:textId="77777777" w:rsidR="002E2F62" w:rsidRPr="007C4D65" w:rsidRDefault="002E2F62" w:rsidP="00B6017F">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2E2F62" w:rsidRPr="007C4D65" w14:paraId="03CBD3DD"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13DA505"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4F05A7A" w14:textId="440DCDB2" w:rsidR="002E2F62" w:rsidRPr="007C4D65" w:rsidRDefault="002E2F62" w:rsidP="00B6017F">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 xml:space="preserve">7.7 Ensuring financial sustainability of the environment sector in the Federation of </w:t>
            </w:r>
            <w:r w:rsidR="009F16BA" w:rsidRPr="007C4D65">
              <w:rPr>
                <w:rFonts w:asciiTheme="minorHAnsi" w:eastAsiaTheme="minorHAnsi" w:hAnsiTheme="minorHAnsi" w:cstheme="minorHAnsi"/>
                <w:b/>
                <w:sz w:val="18"/>
                <w:szCs w:val="18"/>
                <w:lang w:eastAsia="en-US"/>
              </w:rPr>
              <w:t>BiH</w:t>
            </w:r>
          </w:p>
        </w:tc>
      </w:tr>
      <w:tr w:rsidR="002E2F62" w:rsidRPr="007C4D65" w14:paraId="02BAA5D9"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D8B8696"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CB6FAA7" w14:textId="77777777" w:rsidR="002E2F62" w:rsidRPr="007C4D65" w:rsidRDefault="002E2F62" w:rsidP="00B6017F">
            <w:pPr>
              <w:spacing w:before="40" w:after="40" w:line="276" w:lineRule="auto"/>
              <w:rPr>
                <w:rFonts w:asciiTheme="minorHAnsi" w:eastAsia="Calibri" w:hAnsiTheme="minorHAnsi" w:cstheme="minorHAnsi"/>
                <w:b/>
                <w:sz w:val="18"/>
                <w:szCs w:val="18"/>
                <w:lang w:eastAsia="en-US"/>
              </w:rPr>
            </w:pPr>
            <w:bookmarkStart w:id="403" w:name="_Hlk95009171"/>
            <w:r w:rsidRPr="007C4D65">
              <w:rPr>
                <w:rFonts w:asciiTheme="minorHAnsi" w:eastAsiaTheme="minorHAnsi" w:hAnsiTheme="minorHAnsi" w:cstheme="minorHAnsi"/>
                <w:b/>
                <w:sz w:val="18"/>
                <w:szCs w:val="18"/>
                <w:lang w:eastAsia="en-US"/>
              </w:rPr>
              <w:t>7.7.3 Use of EU and other international funds designated for environmental protection and complementary sectors</w:t>
            </w:r>
            <w:bookmarkEnd w:id="403"/>
          </w:p>
        </w:tc>
      </w:tr>
      <w:tr w:rsidR="002E2F62" w:rsidRPr="007C4D65" w14:paraId="2A736B17"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D792CC1"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CB6C76D" w14:textId="77777777" w:rsidR="002E2F62" w:rsidRPr="007C4D65" w:rsidRDefault="002E2F62" w:rsidP="00B6017F">
            <w:pPr>
              <w:spacing w:before="40" w:after="40" w:line="276" w:lineRule="auto"/>
              <w:rPr>
                <w:rFonts w:asciiTheme="minorHAnsi" w:eastAsia="Calibri" w:hAnsiTheme="minorHAnsi" w:cstheme="minorHAnsi"/>
                <w:sz w:val="18"/>
                <w:szCs w:val="18"/>
                <w:lang w:eastAsia="en-US"/>
              </w:rPr>
            </w:pPr>
            <w:bookmarkStart w:id="404" w:name="_Hlk95009183"/>
            <w:r w:rsidRPr="007C4D65">
              <w:rPr>
                <w:rFonts w:asciiTheme="minorHAnsi" w:eastAsiaTheme="minorHAnsi" w:hAnsiTheme="minorHAnsi" w:cstheme="minorHAnsi"/>
                <w:sz w:val="18"/>
                <w:szCs w:val="18"/>
                <w:lang w:eastAsia="en-US"/>
              </w:rPr>
              <w:t xml:space="preserve">This measure aims at ensuring increased use of EU and other international funds dedicated for environmental protection and complementary sectors </w:t>
            </w:r>
            <w:bookmarkEnd w:id="404"/>
          </w:p>
          <w:p w14:paraId="4B0D6CE0" w14:textId="0678CE8B" w:rsidR="002E2F62" w:rsidRPr="007C4D65" w:rsidRDefault="002E2F62" w:rsidP="00B6017F">
            <w:pPr>
              <w:spacing w:before="40" w:after="40" w:line="276" w:lineRule="auto"/>
              <w:rPr>
                <w:rFonts w:asciiTheme="minorHAnsi" w:eastAsia="Calibri" w:hAnsiTheme="minorHAnsi" w:cstheme="minorHAnsi"/>
                <w:sz w:val="18"/>
                <w:szCs w:val="18"/>
                <w:lang w:eastAsia="en-US"/>
              </w:rPr>
            </w:pPr>
            <w:bookmarkStart w:id="405" w:name="_Hlk95009197"/>
            <w:r w:rsidRPr="007C4D65">
              <w:rPr>
                <w:rFonts w:asciiTheme="minorHAnsi" w:eastAsiaTheme="minorHAnsi" w:hAnsiTheme="minorHAnsi" w:cstheme="minorHAnsi"/>
                <w:sz w:val="18"/>
                <w:szCs w:val="18"/>
                <w:lang w:eastAsia="en-US"/>
              </w:rPr>
              <w:t>General areas of intervention are:</w:t>
            </w:r>
            <w:bookmarkEnd w:id="405"/>
          </w:p>
          <w:p w14:paraId="5D16A3C4" w14:textId="679EE806" w:rsidR="002E2F62" w:rsidRPr="007C4D65" w:rsidRDefault="002E2F62">
            <w:pPr>
              <w:pStyle w:val="ListParagraph"/>
              <w:numPr>
                <w:ilvl w:val="0"/>
                <w:numId w:val="234"/>
              </w:numPr>
              <w:spacing w:before="40" w:after="40" w:line="276" w:lineRule="auto"/>
              <w:rPr>
                <w:rFonts w:asciiTheme="minorHAnsi" w:eastAsia="Calibri" w:hAnsiTheme="minorHAnsi" w:cstheme="minorHAnsi"/>
                <w:sz w:val="18"/>
                <w:szCs w:val="18"/>
                <w:lang w:eastAsia="en-US"/>
              </w:rPr>
            </w:pPr>
            <w:bookmarkStart w:id="406" w:name="_Hlk95009207"/>
            <w:r w:rsidRPr="007C4D65">
              <w:rPr>
                <w:rFonts w:asciiTheme="minorHAnsi" w:eastAsiaTheme="minorHAnsi" w:hAnsiTheme="minorHAnsi" w:cstheme="minorHAnsi"/>
                <w:sz w:val="18"/>
                <w:szCs w:val="18"/>
                <w:lang w:eastAsia="en-US"/>
              </w:rPr>
              <w:t>Setting up an intermediary body at the level of Federation of Bosnia and Herzegovina for the implementation of EU supported environmental projects</w:t>
            </w:r>
            <w:bookmarkEnd w:id="406"/>
            <w:r w:rsidRPr="007C4D65">
              <w:rPr>
                <w:rFonts w:asciiTheme="minorHAnsi" w:eastAsiaTheme="minorHAnsi" w:hAnsiTheme="minorHAnsi" w:cstheme="minorHAnsi"/>
                <w:sz w:val="18"/>
                <w:szCs w:val="18"/>
                <w:lang w:eastAsia="en-US"/>
              </w:rPr>
              <w:t xml:space="preserve">. The establishment of this body is important for building efficient and adequate capacity for absorption of the currently available funds and those which will be available in future, as well as EU structural funds, and it is critical for decision makers in the country to help them recognise in a timely manner that strengthening of institutional and administrative capacities for management of EU funds should be prioritised in their </w:t>
            </w:r>
            <w:proofErr w:type="gramStart"/>
            <w:r w:rsidRPr="007C4D65">
              <w:rPr>
                <w:rFonts w:asciiTheme="minorHAnsi" w:eastAsiaTheme="minorHAnsi" w:hAnsiTheme="minorHAnsi" w:cstheme="minorHAnsi"/>
                <w:sz w:val="18"/>
                <w:szCs w:val="18"/>
                <w:lang w:eastAsia="en-US"/>
              </w:rPr>
              <w:t>policies</w:t>
            </w:r>
            <w:r w:rsidR="000536EA" w:rsidRPr="007C4D65">
              <w:rPr>
                <w:rFonts w:asciiTheme="minorHAnsi" w:eastAsia="Calibri" w:hAnsiTheme="minorHAnsi" w:cstheme="minorHAnsi"/>
                <w:sz w:val="18"/>
                <w:szCs w:val="18"/>
                <w:lang w:eastAsia="en-US"/>
              </w:rPr>
              <w:t>;</w:t>
            </w:r>
            <w:proofErr w:type="gramEnd"/>
          </w:p>
          <w:p w14:paraId="4895809A" w14:textId="7A5D896A" w:rsidR="002E2F62" w:rsidRPr="007C4D65" w:rsidRDefault="002E2F62">
            <w:pPr>
              <w:pStyle w:val="ListParagraph"/>
              <w:numPr>
                <w:ilvl w:val="0"/>
                <w:numId w:val="234"/>
              </w:numPr>
              <w:spacing w:before="40" w:after="40" w:line="276" w:lineRule="auto"/>
              <w:rPr>
                <w:rFonts w:asciiTheme="minorHAnsi" w:eastAsia="Calibri" w:hAnsiTheme="minorHAnsi" w:cstheme="minorHAnsi"/>
                <w:sz w:val="18"/>
                <w:szCs w:val="18"/>
                <w:lang w:eastAsia="en-US"/>
              </w:rPr>
            </w:pPr>
            <w:bookmarkStart w:id="407" w:name="_Hlk95009216"/>
            <w:r w:rsidRPr="007C4D65">
              <w:rPr>
                <w:rFonts w:asciiTheme="minorHAnsi" w:eastAsiaTheme="minorHAnsi" w:hAnsiTheme="minorHAnsi" w:cstheme="minorHAnsi"/>
                <w:sz w:val="18"/>
                <w:szCs w:val="18"/>
                <w:lang w:eastAsia="en-US"/>
              </w:rPr>
              <w:t>Setting up an information system for project application and partners from Bosnia and Herzegovina, and management of international projects</w:t>
            </w:r>
            <w:bookmarkEnd w:id="407"/>
            <w:r w:rsidRPr="007C4D65">
              <w:rPr>
                <w:rFonts w:asciiTheme="minorHAnsi" w:eastAsiaTheme="minorHAnsi" w:hAnsiTheme="minorHAnsi" w:cstheme="minorHAnsi"/>
                <w:sz w:val="18"/>
                <w:szCs w:val="18"/>
                <w:lang w:eastAsia="en-US"/>
              </w:rPr>
              <w:t>. This involves deployment of an online system (e-</w:t>
            </w:r>
            <w:proofErr w:type="gramStart"/>
            <w:r w:rsidRPr="007C4D65">
              <w:rPr>
                <w:rFonts w:asciiTheme="minorHAnsi" w:eastAsiaTheme="minorHAnsi" w:hAnsiTheme="minorHAnsi" w:cstheme="minorHAnsi"/>
                <w:sz w:val="18"/>
                <w:szCs w:val="18"/>
                <w:lang w:eastAsia="en-US"/>
              </w:rPr>
              <w:t>service )in</w:t>
            </w:r>
            <w:proofErr w:type="gramEnd"/>
            <w:r w:rsidRPr="007C4D65">
              <w:rPr>
                <w:rFonts w:asciiTheme="minorHAnsi" w:eastAsiaTheme="minorHAnsi" w:hAnsiTheme="minorHAnsi" w:cstheme="minorHAnsi"/>
                <w:sz w:val="18"/>
                <w:szCs w:val="18"/>
                <w:lang w:eastAsia="en-US"/>
              </w:rPr>
              <w:t xml:space="preserve"> the Environmental Protection Fund of the Federation of BiH for identification of projects, review of applications, monitoring and reporting on the </w:t>
            </w:r>
            <w:r w:rsidRPr="007C4D65">
              <w:rPr>
                <w:rFonts w:asciiTheme="minorHAnsi" w:eastAsiaTheme="minorHAnsi" w:hAnsiTheme="minorHAnsi" w:cstheme="minorHAnsi"/>
                <w:sz w:val="18"/>
                <w:szCs w:val="18"/>
                <w:lang w:eastAsia="en-US"/>
              </w:rPr>
              <w:lastRenderedPageBreak/>
              <w:t xml:space="preserve">implementation of projects, with the view of upgrading services and efficiencies of inter-institutional coordination in order to enhance absorption capacities for applying for and management of EU and other international projects. Approved projects are publicly available through the </w:t>
            </w:r>
            <w:proofErr w:type="gramStart"/>
            <w:r w:rsidRPr="007C4D65">
              <w:rPr>
                <w:rFonts w:asciiTheme="minorHAnsi" w:eastAsiaTheme="minorHAnsi" w:hAnsiTheme="minorHAnsi" w:cstheme="minorHAnsi"/>
                <w:sz w:val="18"/>
                <w:szCs w:val="18"/>
                <w:lang w:eastAsia="en-US"/>
              </w:rPr>
              <w:t>website  In</w:t>
            </w:r>
            <w:proofErr w:type="gramEnd"/>
            <w:r w:rsidRPr="007C4D65">
              <w:rPr>
                <w:rFonts w:asciiTheme="minorHAnsi" w:eastAsiaTheme="minorHAnsi" w:hAnsiTheme="minorHAnsi" w:cstheme="minorHAnsi"/>
                <w:sz w:val="18"/>
                <w:szCs w:val="18"/>
                <w:lang w:eastAsia="en-US"/>
              </w:rPr>
              <w:t xml:space="preserve"> this way, the Fund, users of the system and responsible institutions have an accurate and update records about environmental and energy efficiency projects (potential, nominated, in the implementation phase). Furthermore, the information system also includes employment of a well-defined selection procedure for projects (and benchmarks for evaluation of project designs/proposals) and partners which facilitates the application to EU and other international financial schemes</w:t>
            </w:r>
            <w:r w:rsidR="000536EA" w:rsidRPr="007C4D65">
              <w:rPr>
                <w:rFonts w:asciiTheme="minorHAnsi" w:eastAsiaTheme="minorHAnsi" w:hAnsiTheme="minorHAnsi" w:cstheme="minorHAnsi"/>
                <w:sz w:val="18"/>
                <w:szCs w:val="18"/>
                <w:lang w:eastAsia="en-US"/>
              </w:rPr>
              <w:t>.</w:t>
            </w:r>
          </w:p>
        </w:tc>
      </w:tr>
      <w:tr w:rsidR="002E2F62" w:rsidRPr="007C4D65" w14:paraId="4A23213A"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8E00E59"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Strategic projects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369340A1"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2E2F62" w:rsidRPr="007C4D65" w14:paraId="340E2503" w14:textId="77777777" w:rsidTr="00B6017F">
        <w:trPr>
          <w:trHeight w:val="567"/>
        </w:trPr>
        <w:tc>
          <w:tcPr>
            <w:tcW w:w="1374"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0BE8583"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5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814CB74"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00CE0B51"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5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B94E4A9"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1A15171E"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1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6249252"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2E2F62" w:rsidRPr="007C4D65" w14:paraId="567C60D0"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1DAEBA09"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323ABDB" w14:textId="77777777" w:rsidR="002E2F62" w:rsidRPr="007C4D65" w:rsidRDefault="002E2F62">
            <w:pPr>
              <w:pStyle w:val="ListParagraph"/>
              <w:numPr>
                <w:ilvl w:val="0"/>
                <w:numId w:val="244"/>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Status of setting up an intermediary body at the level of Federation of BiH for the implementation of EU supported environmental projects</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A84E06E"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Not formed</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6A296B4" w14:textId="1C0F28D1"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intermediary body at the level of the Federation of BiH formed using the capacities of the current institutions, such as: </w:t>
            </w:r>
            <w:r w:rsidR="00830279" w:rsidRPr="007C4D65">
              <w:rPr>
                <w:rFonts w:asciiTheme="minorHAnsi" w:eastAsiaTheme="minorHAnsi" w:hAnsiTheme="minorHAnsi" w:cstheme="minorHAnsi"/>
                <w:sz w:val="18"/>
                <w:szCs w:val="18"/>
                <w:lang w:eastAsia="en-US"/>
              </w:rPr>
              <w:t>Environmental</w:t>
            </w:r>
            <w:r w:rsidR="007436F1" w:rsidRPr="007C4D65">
              <w:rPr>
                <w:rFonts w:asciiTheme="minorHAnsi" w:eastAsiaTheme="minorHAnsi" w:hAnsiTheme="minorHAnsi" w:cstheme="minorHAnsi"/>
                <w:sz w:val="18"/>
                <w:szCs w:val="18"/>
                <w:lang w:eastAsia="en-US"/>
              </w:rPr>
              <w:t xml:space="preserve"> Protection Fund</w:t>
            </w:r>
            <w:r w:rsidRPr="007C4D65">
              <w:rPr>
                <w:rFonts w:asciiTheme="minorHAnsi" w:eastAsiaTheme="minorHAnsi" w:hAnsiTheme="minorHAnsi" w:cstheme="minorHAnsi"/>
                <w:sz w:val="18"/>
                <w:szCs w:val="18"/>
                <w:lang w:eastAsia="en-US"/>
              </w:rPr>
              <w:t xml:space="preserve"> of the Federation of BiH which is engaged in the implementation and monitoring of environmental projects, with the view of implementing EU projects in the territory of the Federation of BiH (2028)</w:t>
            </w:r>
          </w:p>
        </w:tc>
      </w:tr>
      <w:tr w:rsidR="002E2F62" w:rsidRPr="007C4D65" w14:paraId="21788478"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7C9AFB47"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0A6CC53" w14:textId="77777777" w:rsidR="002E2F62" w:rsidRPr="007C4D65" w:rsidRDefault="002E2F62">
            <w:pPr>
              <w:pStyle w:val="ListParagraph"/>
              <w:numPr>
                <w:ilvl w:val="0"/>
                <w:numId w:val="244"/>
              </w:num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Setting up an information system for project application and partners from the level of Bosnia and Herzegovina and management of international projects</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9F97DF7"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Not established</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362698F"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An online system (e-service) for identification of projects, review of applications, and monitoring and reporting on the implementation of projects set up in the Environmental Protection Fund of the Federation of BiH (2029)</w:t>
            </w:r>
          </w:p>
        </w:tc>
      </w:tr>
      <w:tr w:rsidR="002E2F62" w:rsidRPr="007C4D65" w14:paraId="357C9583"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77EAA44"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4156AECC" w14:textId="002C24BF" w:rsidR="002E2F62" w:rsidRPr="007C4D65" w:rsidRDefault="002E2F62" w:rsidP="00B6017F">
            <w:pPr>
              <w:spacing w:before="40" w:after="40" w:line="276" w:lineRule="auto"/>
              <w:rPr>
                <w:rFonts w:asciiTheme="minorHAnsi" w:eastAsiaTheme="minorHAnsi" w:hAnsiTheme="minorHAnsi" w:cstheme="minorHAnsi"/>
                <w:sz w:val="18"/>
                <w:szCs w:val="18"/>
                <w:lang w:val="bs-Latn-BA" w:eastAsia="en-US" w:bidi="en-US"/>
              </w:rPr>
            </w:pPr>
            <w:r w:rsidRPr="007C4D65">
              <w:rPr>
                <w:rFonts w:asciiTheme="minorHAnsi" w:eastAsiaTheme="minorHAnsi" w:hAnsiTheme="minorHAnsi" w:cstheme="minorHAnsi"/>
                <w:sz w:val="18"/>
                <w:szCs w:val="18"/>
                <w:lang w:eastAsia="en-US" w:bidi="en-US"/>
              </w:rPr>
              <w:t xml:space="preserve">Increased access to funds for environmental management through institutional and human capacity </w:t>
            </w:r>
            <w:r w:rsidR="00830279" w:rsidRPr="007C4D65">
              <w:rPr>
                <w:rFonts w:asciiTheme="minorHAnsi" w:eastAsiaTheme="minorHAnsi" w:hAnsiTheme="minorHAnsi" w:cstheme="minorHAnsi"/>
                <w:sz w:val="18"/>
                <w:szCs w:val="18"/>
                <w:lang w:eastAsia="en-US" w:bidi="en-US"/>
              </w:rPr>
              <w:t>building</w:t>
            </w:r>
            <w:r w:rsidRPr="007C4D65">
              <w:rPr>
                <w:rFonts w:asciiTheme="minorHAnsi" w:eastAsiaTheme="minorHAnsi" w:hAnsiTheme="minorHAnsi" w:cstheme="minorHAnsi"/>
                <w:sz w:val="18"/>
                <w:szCs w:val="18"/>
                <w:lang w:eastAsia="en-US" w:bidi="en-US"/>
              </w:rPr>
              <w:t xml:space="preserve"> aimed at coordinated and strategic management of projects</w:t>
            </w:r>
            <w:r w:rsidRPr="007C4D65">
              <w:rPr>
                <w:rFonts w:asciiTheme="minorHAnsi" w:eastAsiaTheme="minorHAnsi" w:hAnsiTheme="minorHAnsi" w:cstheme="minorHAnsi"/>
                <w:sz w:val="18"/>
                <w:szCs w:val="18"/>
                <w:lang w:val="bs-Latn-BA" w:eastAsia="en-US" w:bidi="en-US"/>
              </w:rPr>
              <w:t>.</w:t>
            </w:r>
          </w:p>
        </w:tc>
      </w:tr>
      <w:tr w:rsidR="002E2F62" w:rsidRPr="007C4D65" w14:paraId="23D1A3D5"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7808E6C" w14:textId="3795302D" w:rsidR="002E2F62"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Indicative financial projection, with specification of sources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9E471D1" w14:textId="77777777" w:rsidR="002E2F62" w:rsidRPr="007C4D65" w:rsidRDefault="002E2F62" w:rsidP="00B6017F">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Amount: BAM 81,677</w:t>
            </w:r>
          </w:p>
          <w:p w14:paraId="7BEF3BAF" w14:textId="586DAB61" w:rsidR="002E2F62" w:rsidRPr="007C4D65" w:rsidRDefault="002E2F62" w:rsidP="00B6017F">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hAnsiTheme="minorHAnsi" w:cstheme="minorHAnsi"/>
                <w:sz w:val="18"/>
                <w:szCs w:val="18"/>
                <w:lang w:val="hr-HR" w:bidi="en-US"/>
              </w:rPr>
              <w:t xml:space="preserve">Source: 100% </w:t>
            </w:r>
            <w:r w:rsidR="000E401F" w:rsidRPr="007C4D65">
              <w:rPr>
                <w:rFonts w:asciiTheme="minorHAnsi" w:hAnsiTheme="minorHAnsi" w:cstheme="minorHAnsi"/>
                <w:sz w:val="18"/>
                <w:szCs w:val="18"/>
                <w:lang w:val="hr-HR" w:bidi="en-US"/>
              </w:rPr>
              <w:t>government budget</w:t>
            </w:r>
          </w:p>
        </w:tc>
      </w:tr>
      <w:tr w:rsidR="002E2F62" w:rsidRPr="007C4D65" w14:paraId="59BFBBFE"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C86F493"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0618F36"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2024– 2029</w:t>
            </w:r>
          </w:p>
        </w:tc>
      </w:tr>
      <w:tr w:rsidR="002E2F62" w:rsidRPr="007C4D65" w14:paraId="54DDEC64"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B9BF403"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8ECF0C8" w14:textId="44D09A8D" w:rsidR="002E2F62" w:rsidRPr="007C4D65" w:rsidRDefault="001E6E20"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Ministry</w:t>
            </w:r>
            <w:r w:rsidR="002E2F62" w:rsidRPr="007C4D65">
              <w:rPr>
                <w:rFonts w:asciiTheme="minorHAnsi" w:eastAsiaTheme="minorHAnsi" w:hAnsiTheme="minorHAnsi" w:cstheme="minorHAnsi"/>
                <w:sz w:val="18"/>
                <w:szCs w:val="18"/>
                <w:lang w:eastAsia="en-US"/>
              </w:rPr>
              <w:t xml:space="preserve"> of Environment and Tourism, </w:t>
            </w:r>
            <w:r w:rsidR="007436F1" w:rsidRPr="007C4D65">
              <w:rPr>
                <w:rFonts w:asciiTheme="minorHAnsi" w:eastAsiaTheme="minorHAnsi" w:hAnsiTheme="minorHAnsi" w:cstheme="minorHAnsi"/>
                <w:sz w:val="18"/>
                <w:szCs w:val="18"/>
                <w:lang w:eastAsia="en-US"/>
              </w:rPr>
              <w:t>Environmental Protection Fund</w:t>
            </w:r>
            <w:r w:rsidR="002E2F62" w:rsidRPr="007C4D65">
              <w:rPr>
                <w:rFonts w:asciiTheme="minorHAnsi" w:eastAsiaTheme="minorHAnsi" w:hAnsiTheme="minorHAnsi" w:cstheme="minorHAnsi"/>
                <w:sz w:val="18"/>
                <w:szCs w:val="18"/>
                <w:lang w:eastAsia="en-US"/>
              </w:rPr>
              <w:t xml:space="preserve"> of the Federation </w:t>
            </w:r>
            <w:proofErr w:type="gramStart"/>
            <w:r w:rsidR="002E2F62" w:rsidRPr="007C4D65">
              <w:rPr>
                <w:rFonts w:asciiTheme="minorHAnsi" w:eastAsiaTheme="minorHAnsi" w:hAnsiTheme="minorHAnsi" w:cstheme="minorHAnsi"/>
                <w:sz w:val="18"/>
                <w:szCs w:val="18"/>
                <w:lang w:eastAsia="en-US"/>
              </w:rPr>
              <w:t>of  Bosnia</w:t>
            </w:r>
            <w:proofErr w:type="gramEnd"/>
            <w:r w:rsidR="002E2F62" w:rsidRPr="007C4D65">
              <w:rPr>
                <w:rFonts w:asciiTheme="minorHAnsi" w:eastAsiaTheme="minorHAnsi" w:hAnsiTheme="minorHAnsi" w:cstheme="minorHAnsi"/>
                <w:sz w:val="18"/>
                <w:szCs w:val="18"/>
                <w:lang w:eastAsia="en-US"/>
              </w:rPr>
              <w:t xml:space="preserve"> and Herzegovina</w:t>
            </w:r>
          </w:p>
        </w:tc>
      </w:tr>
      <w:tr w:rsidR="002E2F62" w:rsidRPr="007C4D65" w14:paraId="26331444"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0C299F5"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4993FD8" w14:textId="53C21081" w:rsidR="002E2F62" w:rsidRPr="007C4D65" w:rsidRDefault="001E6E20"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2E2F62" w:rsidRPr="007C4D65">
              <w:rPr>
                <w:rFonts w:asciiTheme="minorHAnsi" w:eastAsiaTheme="minorHAnsi" w:hAnsiTheme="minorHAnsi" w:cstheme="minorHAnsi"/>
                <w:sz w:val="18"/>
                <w:szCs w:val="18"/>
                <w:lang w:eastAsia="en-US"/>
              </w:rPr>
              <w:t xml:space="preserve"> of Environment and Tourism, </w:t>
            </w:r>
            <w:r w:rsidR="007436F1" w:rsidRPr="007C4D65">
              <w:rPr>
                <w:rFonts w:asciiTheme="minorHAnsi" w:eastAsiaTheme="minorHAnsi" w:hAnsiTheme="minorHAnsi" w:cstheme="minorHAnsi"/>
                <w:sz w:val="18"/>
                <w:szCs w:val="18"/>
                <w:lang w:eastAsia="en-US"/>
              </w:rPr>
              <w:t>Environmental Protection Fund</w:t>
            </w:r>
            <w:r w:rsidR="002E2F62" w:rsidRPr="007C4D65">
              <w:rPr>
                <w:rFonts w:asciiTheme="minorHAnsi" w:eastAsiaTheme="minorHAnsi" w:hAnsiTheme="minorHAnsi" w:cstheme="minorHAnsi"/>
                <w:sz w:val="18"/>
                <w:szCs w:val="18"/>
                <w:lang w:eastAsia="en-US"/>
              </w:rPr>
              <w:t xml:space="preserve"> of the Federation of Bosnia and Herzegovina, Directorate of European Integration of Bosnia and Herzegovina, </w:t>
            </w:r>
            <w:r w:rsidRPr="007C4D65">
              <w:rPr>
                <w:rFonts w:asciiTheme="minorHAnsi" w:eastAsiaTheme="minorHAnsi" w:hAnsiTheme="minorHAnsi" w:cstheme="minorHAnsi"/>
                <w:sz w:val="18"/>
                <w:szCs w:val="18"/>
                <w:lang w:eastAsia="en-US"/>
              </w:rPr>
              <w:t>Federation Ministry</w:t>
            </w:r>
            <w:r w:rsidR="002E2F62" w:rsidRPr="007C4D65">
              <w:rPr>
                <w:rFonts w:asciiTheme="minorHAnsi" w:eastAsiaTheme="minorHAnsi" w:hAnsiTheme="minorHAnsi" w:cstheme="minorHAnsi"/>
                <w:sz w:val="18"/>
                <w:szCs w:val="18"/>
                <w:lang w:eastAsia="en-US"/>
              </w:rPr>
              <w:t xml:space="preserve"> of Finance, </w:t>
            </w:r>
            <w:proofErr w:type="gramStart"/>
            <w:r w:rsidRPr="007C4D65">
              <w:rPr>
                <w:rFonts w:asciiTheme="minorHAnsi" w:eastAsiaTheme="minorHAnsi" w:hAnsiTheme="minorHAnsi" w:cstheme="minorHAnsi"/>
                <w:sz w:val="18"/>
                <w:szCs w:val="18"/>
                <w:lang w:eastAsia="en-US"/>
              </w:rPr>
              <w:t xml:space="preserve">Federation </w:t>
            </w:r>
            <w:r w:rsidR="000536EA" w:rsidRPr="007C4D65">
              <w:rPr>
                <w:rFonts w:asciiTheme="minorHAnsi" w:eastAsiaTheme="minorHAnsi" w:hAnsiTheme="minorHAnsi" w:cstheme="minorHAnsi"/>
                <w:sz w:val="18"/>
                <w:szCs w:val="18"/>
                <w:lang w:eastAsia="en-US"/>
              </w:rPr>
              <w:t xml:space="preserve"> </w:t>
            </w:r>
            <w:r w:rsidRPr="007C4D65">
              <w:rPr>
                <w:rFonts w:asciiTheme="minorHAnsi" w:eastAsiaTheme="minorHAnsi" w:hAnsiTheme="minorHAnsi" w:cstheme="minorHAnsi"/>
                <w:sz w:val="18"/>
                <w:szCs w:val="18"/>
                <w:lang w:eastAsia="en-US"/>
              </w:rPr>
              <w:t>Ministry</w:t>
            </w:r>
            <w:proofErr w:type="gramEnd"/>
            <w:r w:rsidR="002E2F62" w:rsidRPr="007C4D65">
              <w:rPr>
                <w:rFonts w:asciiTheme="minorHAnsi" w:eastAsiaTheme="minorHAnsi" w:hAnsiTheme="minorHAnsi" w:cstheme="minorHAnsi"/>
                <w:sz w:val="18"/>
                <w:szCs w:val="18"/>
                <w:lang w:eastAsia="en-US"/>
              </w:rPr>
              <w:t xml:space="preserve"> of Agriculture, Water Management and Forestry, </w:t>
            </w:r>
            <w:r w:rsidRPr="007C4D65">
              <w:rPr>
                <w:rFonts w:asciiTheme="minorHAnsi" w:eastAsiaTheme="minorHAnsi" w:hAnsiTheme="minorHAnsi" w:cstheme="minorHAnsi"/>
                <w:sz w:val="18"/>
                <w:szCs w:val="18"/>
                <w:lang w:eastAsia="en-US"/>
              </w:rPr>
              <w:t>Federation Ministry</w:t>
            </w:r>
            <w:r w:rsidR="002E2F62" w:rsidRPr="007C4D65">
              <w:rPr>
                <w:rFonts w:asciiTheme="minorHAnsi" w:eastAsiaTheme="minorHAnsi" w:hAnsiTheme="minorHAnsi" w:cstheme="minorHAnsi"/>
                <w:sz w:val="18"/>
                <w:szCs w:val="18"/>
                <w:lang w:eastAsia="en-US"/>
              </w:rPr>
              <w:t xml:space="preserve"> of Energy and Mining, and Industry, </w:t>
            </w:r>
            <w:r w:rsidRPr="007C4D65">
              <w:rPr>
                <w:rFonts w:asciiTheme="minorHAnsi" w:eastAsiaTheme="minorHAnsi" w:hAnsiTheme="minorHAnsi" w:cstheme="minorHAnsi"/>
                <w:sz w:val="18"/>
                <w:szCs w:val="18"/>
                <w:lang w:eastAsia="en-US"/>
              </w:rPr>
              <w:t>Federation Ministry</w:t>
            </w:r>
            <w:r w:rsidR="002E2F62" w:rsidRPr="007C4D65">
              <w:rPr>
                <w:rFonts w:asciiTheme="minorHAnsi" w:eastAsiaTheme="minorHAnsi" w:hAnsiTheme="minorHAnsi" w:cstheme="minorHAnsi"/>
                <w:sz w:val="18"/>
                <w:szCs w:val="18"/>
                <w:lang w:eastAsia="en-US"/>
              </w:rPr>
              <w:t xml:space="preserve"> of Spatial Planning and line ministries at the national level.</w:t>
            </w:r>
          </w:p>
        </w:tc>
      </w:tr>
      <w:tr w:rsidR="002E2F62" w:rsidRPr="007C4D65" w14:paraId="029A0916"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09D4388" w14:textId="16459048" w:rsidR="002E2F62"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C346F2D" w14:textId="17564576"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Environmental Institutions, institutions, business entities and organisations which benefit from projects funded by funds raised</w:t>
            </w:r>
          </w:p>
        </w:tc>
      </w:tr>
    </w:tbl>
    <w:p w14:paraId="6A5B4EA8" w14:textId="77777777" w:rsidR="002E2F62" w:rsidRPr="007C4D65" w:rsidRDefault="002E2F62" w:rsidP="002E2F62">
      <w:pPr>
        <w:spacing w:line="276" w:lineRule="auto"/>
        <w:rPr>
          <w:rFonts w:asciiTheme="minorHAnsi" w:hAnsiTheme="minorHAnsi" w:cstheme="minorHAnsi"/>
          <w:sz w:val="18"/>
          <w:szCs w:val="18"/>
        </w:rPr>
      </w:pPr>
    </w:p>
    <w:tbl>
      <w:tblPr>
        <w:tblW w:w="4624"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5"/>
        <w:gridCol w:w="3493"/>
        <w:gridCol w:w="3240"/>
        <w:gridCol w:w="2621"/>
      </w:tblGrid>
      <w:tr w:rsidR="002E2F62" w:rsidRPr="007C4D65" w14:paraId="0A5865D2"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BE56FAE"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Link with the strategic goal</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BFA3F3A" w14:textId="77777777" w:rsidR="002E2F62" w:rsidRPr="007C4D65" w:rsidRDefault="002E2F62" w:rsidP="00B6017F">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2E2F62" w:rsidRPr="007C4D65" w14:paraId="3E9E9354"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C46E348"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68A31A0" w14:textId="77777777" w:rsidR="002E2F62" w:rsidRPr="007C4D65" w:rsidRDefault="002E2F62" w:rsidP="00B6017F">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7.8 Developing a system of strategic decision-making, investments and monitoring of effects in environmental education, research and innovation</w:t>
            </w:r>
          </w:p>
        </w:tc>
      </w:tr>
      <w:tr w:rsidR="002E2F62" w:rsidRPr="007C4D65" w14:paraId="645B5385"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486CCF0"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27101B5" w14:textId="77777777" w:rsidR="002E2F62" w:rsidRPr="007C4D65" w:rsidRDefault="002E2F62" w:rsidP="00B6017F">
            <w:pPr>
              <w:spacing w:before="40" w:after="40" w:line="276" w:lineRule="auto"/>
              <w:rPr>
                <w:rFonts w:asciiTheme="minorHAnsi" w:eastAsia="Calibri" w:hAnsiTheme="minorHAnsi" w:cstheme="minorHAnsi"/>
                <w:b/>
                <w:sz w:val="18"/>
                <w:szCs w:val="18"/>
                <w:lang w:eastAsia="en-US"/>
              </w:rPr>
            </w:pPr>
            <w:r w:rsidRPr="007C4D65">
              <w:rPr>
                <w:rFonts w:asciiTheme="minorHAnsi" w:eastAsiaTheme="minorHAnsi" w:hAnsiTheme="minorHAnsi" w:cstheme="minorHAnsi"/>
                <w:b/>
                <w:sz w:val="18"/>
                <w:szCs w:val="18"/>
                <w:lang w:eastAsia="en-US"/>
              </w:rPr>
              <w:t>7.8.1 Embedding environmental education in curricula of at all the levels of education</w:t>
            </w:r>
          </w:p>
        </w:tc>
      </w:tr>
      <w:tr w:rsidR="002E2F62" w:rsidRPr="007C4D65" w14:paraId="1DAA9B6A"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E9FFC32"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A9ACCB2" w14:textId="77777777" w:rsidR="002E2F62" w:rsidRPr="007C4D65" w:rsidRDefault="002E2F62" w:rsidP="00B6017F">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This measure aims at ensuring a stronger integration of environmental education in curricula at all levels of education, including a multidisciplinary and holistic approach to education for sustainable development.</w:t>
            </w:r>
          </w:p>
          <w:p w14:paraId="1FABD442" w14:textId="77777777" w:rsidR="002E2F62" w:rsidRPr="007C4D65" w:rsidRDefault="002E2F62" w:rsidP="00B6017F">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General areas of intervention are:</w:t>
            </w:r>
          </w:p>
          <w:p w14:paraId="1DFAAABD" w14:textId="7A679A14" w:rsidR="002E2F62" w:rsidRPr="007C4D65" w:rsidRDefault="002E2F62" w:rsidP="00B6017F">
            <w:p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1) Assessment of the quality of curricular contents important for imparting of knowledge about sustainable development and presence of such contents in authorised </w:t>
            </w:r>
            <w:proofErr w:type="gramStart"/>
            <w:r w:rsidRPr="007C4D65">
              <w:rPr>
                <w:rFonts w:asciiTheme="minorHAnsi" w:eastAsiaTheme="minorHAnsi" w:hAnsiTheme="minorHAnsi" w:cstheme="minorHAnsi"/>
                <w:sz w:val="18"/>
                <w:szCs w:val="18"/>
                <w:lang w:eastAsia="en-US"/>
              </w:rPr>
              <w:t>textbooks</w:t>
            </w:r>
            <w:r w:rsidR="000536EA" w:rsidRPr="007C4D65">
              <w:rPr>
                <w:rFonts w:asciiTheme="minorHAnsi" w:eastAsiaTheme="minorHAnsi" w:hAnsiTheme="minorHAnsi" w:cstheme="minorHAnsi"/>
                <w:sz w:val="18"/>
                <w:szCs w:val="18"/>
                <w:lang w:eastAsia="en-US"/>
              </w:rPr>
              <w:t>;</w:t>
            </w:r>
            <w:proofErr w:type="gramEnd"/>
          </w:p>
          <w:p w14:paraId="3474E86E" w14:textId="738EFD9A" w:rsidR="002E2F62" w:rsidRPr="007C4D65" w:rsidRDefault="002E2F62" w:rsidP="00B6017F">
            <w:p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2) Based on the analysis, innovate environmental protection programmes integrated in teaching curricula and extra-curricular activities (pursuant to Art. 32 of the Law on Environmental Protection) and expand the scope of the activities </w:t>
            </w:r>
            <w:proofErr w:type="gramStart"/>
            <w:r w:rsidRPr="007C4D65">
              <w:rPr>
                <w:rFonts w:asciiTheme="minorHAnsi" w:eastAsiaTheme="minorHAnsi" w:hAnsiTheme="minorHAnsi" w:cstheme="minorHAnsi"/>
                <w:sz w:val="18"/>
                <w:szCs w:val="18"/>
                <w:lang w:eastAsia="en-US"/>
              </w:rPr>
              <w:t>so as to</w:t>
            </w:r>
            <w:proofErr w:type="gramEnd"/>
            <w:r w:rsidRPr="007C4D65">
              <w:rPr>
                <w:rFonts w:asciiTheme="minorHAnsi" w:eastAsiaTheme="minorHAnsi" w:hAnsiTheme="minorHAnsi" w:cstheme="minorHAnsi"/>
                <w:sz w:val="18"/>
                <w:szCs w:val="18"/>
                <w:lang w:eastAsia="en-US"/>
              </w:rPr>
              <w:t xml:space="preserve"> include all the teaching subjects. The new learning culture should be integrated in curricula within a multidisciplinary subject. </w:t>
            </w:r>
            <w:r w:rsidRPr="007C4D65">
              <w:rPr>
                <w:rFonts w:asciiTheme="minorHAnsi" w:eastAsiaTheme="minorHAnsi" w:hAnsiTheme="minorHAnsi" w:cstheme="minorHAnsi"/>
                <w:i/>
                <w:sz w:val="18"/>
                <w:szCs w:val="18"/>
                <w:lang w:eastAsia="en-US"/>
              </w:rPr>
              <w:t xml:space="preserve">(Contents on environmental protection are currently significantly more represented in science than in </w:t>
            </w:r>
            <w:proofErr w:type="gramStart"/>
            <w:r w:rsidRPr="007C4D65">
              <w:rPr>
                <w:rFonts w:asciiTheme="minorHAnsi" w:eastAsiaTheme="minorHAnsi" w:hAnsiTheme="minorHAnsi" w:cstheme="minorHAnsi"/>
                <w:i/>
                <w:sz w:val="18"/>
                <w:szCs w:val="18"/>
                <w:lang w:eastAsia="en-US"/>
              </w:rPr>
              <w:t>social  studies</w:t>
            </w:r>
            <w:proofErr w:type="gramEnd"/>
            <w:r w:rsidRPr="007C4D65">
              <w:rPr>
                <w:rFonts w:asciiTheme="minorHAnsi" w:eastAsiaTheme="minorHAnsi" w:hAnsiTheme="minorHAnsi" w:cstheme="minorHAnsi"/>
                <w:i/>
                <w:sz w:val="18"/>
                <w:szCs w:val="18"/>
                <w:lang w:eastAsia="en-US"/>
              </w:rPr>
              <w:t>. It is necessary to study environmental protection within all teaching subjects. It is necessary to revise curricula and integrate ecological considerations, taking into account correlations among the subjects, introduce a specific topic in all teaching subjects.</w:t>
            </w:r>
            <w:proofErr w:type="gramStart"/>
            <w:r w:rsidRPr="007C4D65">
              <w:rPr>
                <w:rFonts w:asciiTheme="minorHAnsi" w:eastAsiaTheme="minorHAnsi" w:hAnsiTheme="minorHAnsi" w:cstheme="minorHAnsi"/>
                <w:i/>
                <w:sz w:val="18"/>
                <w:szCs w:val="18"/>
                <w:lang w:eastAsia="en-US"/>
              </w:rPr>
              <w:t>)</w:t>
            </w:r>
            <w:r w:rsidR="000536EA" w:rsidRPr="007C4D65">
              <w:rPr>
                <w:rFonts w:asciiTheme="minorHAnsi" w:eastAsia="Calibri" w:hAnsiTheme="minorHAnsi" w:cstheme="minorHAnsi"/>
                <w:sz w:val="18"/>
                <w:szCs w:val="18"/>
                <w:lang w:eastAsia="en-US"/>
              </w:rPr>
              <w:t>;</w:t>
            </w:r>
            <w:proofErr w:type="gramEnd"/>
          </w:p>
          <w:p w14:paraId="0405A0A7" w14:textId="4FA40564" w:rsidR="002E2F62" w:rsidRPr="007C4D65" w:rsidRDefault="002E2F62" w:rsidP="00B6017F">
            <w:p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3) Encourage schools to seek to obtain the status of an Eco-school (international certification</w:t>
            </w:r>
            <w:proofErr w:type="gramStart"/>
            <w:r w:rsidRPr="007C4D65">
              <w:rPr>
                <w:rFonts w:asciiTheme="minorHAnsi" w:eastAsiaTheme="minorHAnsi" w:hAnsiTheme="minorHAnsi" w:cstheme="minorHAnsi"/>
                <w:sz w:val="18"/>
                <w:szCs w:val="18"/>
                <w:lang w:eastAsia="en-US"/>
              </w:rPr>
              <w:t>)</w:t>
            </w:r>
            <w:r w:rsidR="000536EA" w:rsidRPr="007C4D65">
              <w:rPr>
                <w:rFonts w:asciiTheme="minorHAnsi" w:eastAsia="Calibri" w:hAnsiTheme="minorHAnsi" w:cstheme="minorHAnsi"/>
                <w:sz w:val="18"/>
                <w:szCs w:val="18"/>
                <w:lang w:eastAsia="en-US"/>
              </w:rPr>
              <w:t>;</w:t>
            </w:r>
            <w:proofErr w:type="gramEnd"/>
          </w:p>
          <w:p w14:paraId="66F0CE3A" w14:textId="626F9E53" w:rsidR="002E2F62" w:rsidRPr="007C4D65" w:rsidRDefault="002E2F62" w:rsidP="00B6017F">
            <w:pPr>
              <w:spacing w:before="40" w:after="40" w:line="276" w:lineRule="auto"/>
              <w:contextualSpacing/>
              <w:rPr>
                <w:rFonts w:asciiTheme="minorHAnsi" w:eastAsia="Calibri" w:hAnsiTheme="minorHAnsi" w:cstheme="minorHAnsi"/>
                <w:sz w:val="18"/>
                <w:szCs w:val="18"/>
                <w:lang w:eastAsia="en-US"/>
              </w:rPr>
            </w:pPr>
            <w:bookmarkStart w:id="408" w:name="_Hlk95009497"/>
            <w:r w:rsidRPr="007C4D65">
              <w:rPr>
                <w:rFonts w:asciiTheme="minorHAnsi" w:eastAsiaTheme="minorHAnsi" w:hAnsiTheme="minorHAnsi" w:cstheme="minorHAnsi"/>
                <w:sz w:val="18"/>
                <w:szCs w:val="18"/>
                <w:lang w:eastAsia="en-US"/>
              </w:rPr>
              <w:lastRenderedPageBreak/>
              <w:t xml:space="preserve">4) Legislation should provide for opening of innovation centres for development in primary education </w:t>
            </w:r>
            <w:bookmarkEnd w:id="408"/>
            <w:r w:rsidRPr="007C4D65">
              <w:rPr>
                <w:rFonts w:asciiTheme="minorHAnsi" w:eastAsiaTheme="minorHAnsi" w:hAnsiTheme="minorHAnsi" w:cstheme="minorHAnsi"/>
                <w:sz w:val="18"/>
                <w:szCs w:val="18"/>
                <w:lang w:eastAsia="en-US"/>
              </w:rPr>
              <w:t>(these centres should develop so as to expand their activities to secondary and higher education.</w:t>
            </w:r>
            <w:proofErr w:type="gramStart"/>
            <w:r w:rsidRPr="007C4D65">
              <w:rPr>
                <w:rFonts w:asciiTheme="minorHAnsi" w:eastAsiaTheme="minorHAnsi" w:hAnsiTheme="minorHAnsi" w:cstheme="minorHAnsi"/>
                <w:sz w:val="18"/>
                <w:szCs w:val="18"/>
                <w:lang w:eastAsia="en-US"/>
              </w:rPr>
              <w:t>)</w:t>
            </w:r>
            <w:r w:rsidR="000536EA" w:rsidRPr="007C4D65">
              <w:rPr>
                <w:rFonts w:asciiTheme="minorHAnsi" w:eastAsiaTheme="minorHAnsi" w:hAnsiTheme="minorHAnsi" w:cstheme="minorHAnsi"/>
                <w:sz w:val="18"/>
                <w:szCs w:val="18"/>
                <w:lang w:eastAsia="en-US"/>
              </w:rPr>
              <w:t>;</w:t>
            </w:r>
            <w:proofErr w:type="gramEnd"/>
          </w:p>
          <w:p w14:paraId="3F2483AD" w14:textId="77777777" w:rsidR="002E2F62" w:rsidRPr="007C4D65" w:rsidRDefault="002E2F62" w:rsidP="00B6017F">
            <w:p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5) Providing for environmental education through activities in protected areas:</w:t>
            </w:r>
          </w:p>
          <w:p w14:paraId="76DC604E" w14:textId="6F19BD8D" w:rsidR="002E2F62" w:rsidRPr="007C4D65" w:rsidRDefault="002E2F62">
            <w:pPr>
              <w:numPr>
                <w:ilvl w:val="0"/>
                <w:numId w:val="23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Development and upgrading of educational capacities in protected areas (staff, infrastructure, programmes and activities) and teaching on environment through </w:t>
            </w:r>
            <w:proofErr w:type="gramStart"/>
            <w:r w:rsidRPr="007C4D65">
              <w:rPr>
                <w:rFonts w:asciiTheme="minorHAnsi" w:eastAsiaTheme="minorHAnsi" w:hAnsiTheme="minorHAnsi" w:cstheme="minorHAnsi"/>
                <w:sz w:val="18"/>
                <w:szCs w:val="18"/>
                <w:lang w:eastAsia="en-US"/>
              </w:rPr>
              <w:t>experience</w:t>
            </w:r>
            <w:r w:rsidR="000536EA" w:rsidRPr="007C4D65">
              <w:rPr>
                <w:rFonts w:asciiTheme="minorHAnsi" w:eastAsia="Calibri" w:hAnsiTheme="minorHAnsi" w:cstheme="minorHAnsi"/>
                <w:sz w:val="18"/>
                <w:szCs w:val="18"/>
                <w:lang w:eastAsia="en-US"/>
              </w:rPr>
              <w:t>;</w:t>
            </w:r>
            <w:proofErr w:type="gramEnd"/>
          </w:p>
          <w:p w14:paraId="7F679614" w14:textId="4989BD89" w:rsidR="002E2F62" w:rsidRPr="007C4D65" w:rsidRDefault="002E2F62">
            <w:pPr>
              <w:numPr>
                <w:ilvl w:val="0"/>
                <w:numId w:val="23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Work on initiating a long-term cooperation and encouraging schools in nature through the implementation of joint projects between schools and protected </w:t>
            </w:r>
            <w:proofErr w:type="gramStart"/>
            <w:r w:rsidRPr="007C4D65">
              <w:rPr>
                <w:rFonts w:asciiTheme="minorHAnsi" w:eastAsiaTheme="minorHAnsi" w:hAnsiTheme="minorHAnsi" w:cstheme="minorHAnsi"/>
                <w:sz w:val="18"/>
                <w:szCs w:val="18"/>
                <w:lang w:eastAsia="en-US"/>
              </w:rPr>
              <w:t>areas</w:t>
            </w:r>
            <w:r w:rsidR="000536EA" w:rsidRPr="007C4D65">
              <w:rPr>
                <w:rFonts w:asciiTheme="minorHAnsi" w:eastAsia="Calibri" w:hAnsiTheme="minorHAnsi" w:cstheme="minorHAnsi"/>
                <w:sz w:val="18"/>
                <w:szCs w:val="18"/>
                <w:lang w:eastAsia="en-US"/>
              </w:rPr>
              <w:t>;</w:t>
            </w:r>
            <w:proofErr w:type="gramEnd"/>
          </w:p>
          <w:p w14:paraId="43F5864F" w14:textId="44391F97" w:rsidR="002E2F62" w:rsidRPr="007C4D65" w:rsidRDefault="002E2F62">
            <w:pPr>
              <w:numPr>
                <w:ilvl w:val="0"/>
                <w:numId w:val="23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Professional development programmes for teaching staff and continued professional development of the teaching staff on the environment and outdoor education processes, focusing on practical work with </w:t>
            </w:r>
            <w:proofErr w:type="gramStart"/>
            <w:r w:rsidRPr="007C4D65">
              <w:rPr>
                <w:rFonts w:asciiTheme="minorHAnsi" w:eastAsiaTheme="minorHAnsi" w:hAnsiTheme="minorHAnsi" w:cstheme="minorHAnsi"/>
                <w:sz w:val="18"/>
                <w:szCs w:val="18"/>
                <w:lang w:eastAsia="en-US"/>
              </w:rPr>
              <w:t>children</w:t>
            </w:r>
            <w:r w:rsidR="000536EA" w:rsidRPr="007C4D65">
              <w:rPr>
                <w:rFonts w:asciiTheme="minorHAnsi" w:eastAsiaTheme="minorHAnsi" w:hAnsiTheme="minorHAnsi" w:cstheme="minorHAnsi"/>
                <w:sz w:val="18"/>
                <w:szCs w:val="18"/>
                <w:lang w:eastAsia="en-US"/>
              </w:rPr>
              <w:t>;</w:t>
            </w:r>
            <w:proofErr w:type="gramEnd"/>
          </w:p>
          <w:p w14:paraId="3D2E6715" w14:textId="65A0096B" w:rsidR="002E2F62" w:rsidRPr="007C4D65" w:rsidRDefault="002E2F62">
            <w:pPr>
              <w:numPr>
                <w:ilvl w:val="0"/>
                <w:numId w:val="23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Creating incentives for experienced-based learning in nature among teaching </w:t>
            </w:r>
            <w:proofErr w:type="gramStart"/>
            <w:r w:rsidRPr="007C4D65">
              <w:rPr>
                <w:rFonts w:asciiTheme="minorHAnsi" w:eastAsiaTheme="minorHAnsi" w:hAnsiTheme="minorHAnsi" w:cstheme="minorHAnsi"/>
                <w:sz w:val="18"/>
                <w:szCs w:val="18"/>
                <w:lang w:eastAsia="en-US"/>
              </w:rPr>
              <w:t>staff</w:t>
            </w:r>
            <w:r w:rsidR="000536EA" w:rsidRPr="007C4D65">
              <w:rPr>
                <w:rFonts w:asciiTheme="minorHAnsi" w:eastAsia="Calibri" w:hAnsiTheme="minorHAnsi" w:cstheme="minorHAnsi"/>
                <w:sz w:val="18"/>
                <w:szCs w:val="18"/>
                <w:lang w:eastAsia="en-US"/>
              </w:rPr>
              <w:t>;</w:t>
            </w:r>
            <w:proofErr w:type="gramEnd"/>
          </w:p>
          <w:p w14:paraId="38355710" w14:textId="47964B60" w:rsidR="002E2F62" w:rsidRPr="007C4D65" w:rsidRDefault="002E2F62">
            <w:pPr>
              <w:numPr>
                <w:ilvl w:val="0"/>
                <w:numId w:val="235"/>
              </w:numPr>
              <w:spacing w:before="40" w:after="40" w:line="276" w:lineRule="auto"/>
              <w:ind w:left="723"/>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Creating programmes for recruitment of educators in protected areas, (for example, hire unemployed biology teachers, senior students, fresh biology graduates as interns, etc.</w:t>
            </w:r>
            <w:proofErr w:type="gramStart"/>
            <w:r w:rsidRPr="007C4D65">
              <w:rPr>
                <w:rFonts w:asciiTheme="minorHAnsi" w:eastAsiaTheme="minorHAnsi" w:hAnsiTheme="minorHAnsi" w:cstheme="minorHAnsi"/>
                <w:sz w:val="18"/>
                <w:szCs w:val="18"/>
                <w:lang w:eastAsia="en-US"/>
              </w:rPr>
              <w:t>)</w:t>
            </w:r>
            <w:r w:rsidR="000536EA" w:rsidRPr="007C4D65">
              <w:rPr>
                <w:rFonts w:asciiTheme="minorHAnsi" w:eastAsiaTheme="minorHAnsi" w:hAnsiTheme="minorHAnsi" w:cstheme="minorHAnsi"/>
                <w:sz w:val="18"/>
                <w:szCs w:val="18"/>
                <w:lang w:eastAsia="en-US"/>
              </w:rPr>
              <w:t>;</w:t>
            </w:r>
            <w:proofErr w:type="gramEnd"/>
          </w:p>
          <w:p w14:paraId="7159D0C2" w14:textId="6BD6853A" w:rsidR="002E2F62" w:rsidRPr="007C4D65" w:rsidRDefault="002E2F62" w:rsidP="00B6017F">
            <w:p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6) Improving cooperation of educational institutions with farms and agricultural holdings in local community and beyond (allocating resources to schools, such as land for use, etc. </w:t>
            </w:r>
            <w:proofErr w:type="gramStart"/>
            <w:r w:rsidRPr="007C4D65">
              <w:rPr>
                <w:rFonts w:asciiTheme="minorHAnsi" w:eastAsiaTheme="minorHAnsi" w:hAnsiTheme="minorHAnsi" w:cstheme="minorHAnsi"/>
                <w:sz w:val="18"/>
                <w:szCs w:val="18"/>
                <w:lang w:eastAsia="en-US"/>
              </w:rPr>
              <w:t>in order to</w:t>
            </w:r>
            <w:proofErr w:type="gramEnd"/>
            <w:r w:rsidRPr="007C4D65">
              <w:rPr>
                <w:rFonts w:asciiTheme="minorHAnsi" w:eastAsiaTheme="minorHAnsi" w:hAnsiTheme="minorHAnsi" w:cstheme="minorHAnsi"/>
                <w:sz w:val="18"/>
                <w:szCs w:val="18"/>
                <w:lang w:eastAsia="en-US"/>
              </w:rPr>
              <w:t xml:space="preserve"> provide conditions for students to learn more about flora and fauna in their surroundings)</w:t>
            </w:r>
            <w:r w:rsidR="000536EA" w:rsidRPr="007C4D65">
              <w:rPr>
                <w:rFonts w:asciiTheme="minorHAnsi" w:eastAsia="Calibri" w:hAnsiTheme="minorHAnsi" w:cstheme="minorHAnsi"/>
                <w:sz w:val="18"/>
                <w:szCs w:val="18"/>
                <w:lang w:eastAsia="en-US"/>
              </w:rPr>
              <w:t>.</w:t>
            </w:r>
          </w:p>
        </w:tc>
      </w:tr>
      <w:tr w:rsidR="002E2F62" w:rsidRPr="007C4D65" w14:paraId="13A6C91D"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518EB94"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Strategic projects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18125DD7"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2E2F62" w:rsidRPr="007C4D65" w14:paraId="19925D33" w14:textId="77777777" w:rsidTr="00B6017F">
        <w:trPr>
          <w:trHeight w:val="567"/>
        </w:trPr>
        <w:tc>
          <w:tcPr>
            <w:tcW w:w="1374"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07E265F"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5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292ACE8"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50000212"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5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B5C3DF3"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0CC1507F"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1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F39DAF8"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2E2F62" w:rsidRPr="007C4D65" w14:paraId="78BA117A"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1F0E1FCE"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BE6F71A" w14:textId="77777777" w:rsidR="002E2F62" w:rsidRPr="007C4D65" w:rsidRDefault="002E2F62">
            <w:pPr>
              <w:numPr>
                <w:ilvl w:val="0"/>
                <w:numId w:val="23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Analysis of the quality of the curricular content</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6A29568" w14:textId="1FC1FCBB"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No overarching analysis has been performed</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64AA574"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An overarching analysis of the quality of the curricular content performed (2023)</w:t>
            </w:r>
          </w:p>
        </w:tc>
      </w:tr>
      <w:tr w:rsidR="002E2F62" w:rsidRPr="007C4D65" w14:paraId="611212A8"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153D7A52"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28A5F26" w14:textId="77777777" w:rsidR="002E2F62" w:rsidRPr="007C4D65" w:rsidRDefault="002E2F62">
            <w:pPr>
              <w:numPr>
                <w:ilvl w:val="0"/>
                <w:numId w:val="23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Measure aimed at innovating educational programmes which will be integrated in curricular and extra-curricular programmes</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17119F5"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There is a room for improvement</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AFDAE3D"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Innovated educational programmes on environmental protection which will be integrated in curricular and extra-curricular programmes, contribute to the development of environment-friendly culture in </w:t>
            </w:r>
            <w:proofErr w:type="gramStart"/>
            <w:r w:rsidRPr="007C4D65">
              <w:rPr>
                <w:rFonts w:asciiTheme="minorHAnsi" w:eastAsiaTheme="minorHAnsi" w:hAnsiTheme="minorHAnsi" w:cstheme="minorHAnsi"/>
                <w:sz w:val="18"/>
                <w:szCs w:val="18"/>
                <w:lang w:eastAsia="en-US"/>
              </w:rPr>
              <w:t>students,  and</w:t>
            </w:r>
            <w:proofErr w:type="gramEnd"/>
            <w:r w:rsidRPr="007C4D65">
              <w:rPr>
                <w:rFonts w:asciiTheme="minorHAnsi" w:eastAsiaTheme="minorHAnsi" w:hAnsiTheme="minorHAnsi" w:cstheme="minorHAnsi"/>
                <w:sz w:val="18"/>
                <w:szCs w:val="18"/>
                <w:lang w:eastAsia="en-US"/>
              </w:rPr>
              <w:t xml:space="preserve"> their acceptance of environmental values and focus on the values (periodically 2030)</w:t>
            </w:r>
          </w:p>
        </w:tc>
      </w:tr>
      <w:tr w:rsidR="002E2F62" w:rsidRPr="007C4D65" w14:paraId="17A3CBA4"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0D628F3A"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91D4F88" w14:textId="77777777" w:rsidR="002E2F62" w:rsidRPr="007C4D65" w:rsidRDefault="002E2F62">
            <w:pPr>
              <w:numPr>
                <w:ilvl w:val="0"/>
                <w:numId w:val="23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Number of schools which obtained the status of an Eco-school</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480D55F"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D86637F"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Increased number of schools which have the status of an Eco-school (continuously - 2030)</w:t>
            </w:r>
          </w:p>
        </w:tc>
      </w:tr>
      <w:tr w:rsidR="002E2F62" w:rsidRPr="007C4D65" w14:paraId="33AA3F46"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01C81784"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43ADA9F" w14:textId="77777777" w:rsidR="002E2F62" w:rsidRPr="007C4D65" w:rsidRDefault="002E2F62">
            <w:pPr>
              <w:numPr>
                <w:ilvl w:val="0"/>
                <w:numId w:val="23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Legal provisions which facilitate opening of innovation centres for development in primary education</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0E20465"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legislation does not include such provisions</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9CF6032"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legal provisions which enable opening of innovation centres for development in primary education adopted (2025)</w:t>
            </w:r>
          </w:p>
        </w:tc>
      </w:tr>
      <w:tr w:rsidR="002E2F62" w:rsidRPr="007C4D65" w14:paraId="737FE3DA"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254A237E"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840620E" w14:textId="77777777" w:rsidR="002E2F62" w:rsidRPr="007C4D65" w:rsidRDefault="002E2F62">
            <w:pPr>
              <w:numPr>
                <w:ilvl w:val="0"/>
                <w:numId w:val="23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Development of educational programmes to be implemented in protected areas created</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8FE7F4A"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programmes have not been developed</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666094E"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Educational programmes in protected areas prepared (2029)</w:t>
            </w:r>
          </w:p>
        </w:tc>
      </w:tr>
      <w:tr w:rsidR="002E2F62" w:rsidRPr="007C4D65" w14:paraId="7942903F"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0C551F54"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89F9A2E" w14:textId="77777777" w:rsidR="002E2F62" w:rsidRPr="007C4D65" w:rsidRDefault="002E2F62">
            <w:pPr>
              <w:numPr>
                <w:ilvl w:val="0"/>
                <w:numId w:val="236"/>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Number of educational institutions which cooperate with farms and agricultural holdings</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DEAA72F"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E1C9310"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number of educational institutions which cooperate with farms and agricultural holdings increased (continuously – 2030)</w:t>
            </w:r>
          </w:p>
        </w:tc>
      </w:tr>
      <w:tr w:rsidR="002E2F62" w:rsidRPr="007C4D65" w14:paraId="1C33281C"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9A4AD03"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D8E03C4"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educational process and enhanced competencies of all stakeholders for the integration of environment, sustainable use at all levels of education</w:t>
            </w:r>
          </w:p>
        </w:tc>
      </w:tr>
      <w:tr w:rsidR="002E2F62" w:rsidRPr="007C4D65" w14:paraId="0D6CAD02"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1966C99" w14:textId="6FFC2623" w:rsidR="002E2F62"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2D10CCA" w14:textId="77777777" w:rsidR="002E2F62" w:rsidRPr="007C4D65" w:rsidRDefault="002E2F62" w:rsidP="00B6017F">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Amount: BAM 278,764</w:t>
            </w:r>
          </w:p>
          <w:p w14:paraId="18E467BE" w14:textId="00FD74B3" w:rsidR="002E2F62" w:rsidRPr="007C4D65" w:rsidRDefault="002E2F62" w:rsidP="00B6017F">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hAnsiTheme="minorHAnsi" w:cstheme="minorHAnsi"/>
                <w:sz w:val="18"/>
                <w:szCs w:val="18"/>
                <w:lang w:val="hr-HR" w:bidi="en-US"/>
              </w:rPr>
              <w:t xml:space="preserve">Source: 30% </w:t>
            </w:r>
            <w:r w:rsidR="000E401F" w:rsidRPr="007C4D65">
              <w:rPr>
                <w:rFonts w:asciiTheme="minorHAnsi" w:hAnsiTheme="minorHAnsi" w:cstheme="minorHAnsi"/>
                <w:sz w:val="18"/>
                <w:szCs w:val="18"/>
                <w:lang w:val="hr-HR" w:bidi="en-US"/>
              </w:rPr>
              <w:t>government budget</w:t>
            </w:r>
            <w:r w:rsidRPr="007C4D65">
              <w:rPr>
                <w:rFonts w:asciiTheme="minorHAnsi" w:hAnsiTheme="minorHAnsi" w:cstheme="minorHAnsi"/>
                <w:sz w:val="18"/>
                <w:szCs w:val="18"/>
                <w:lang w:val="hr-HR" w:bidi="en-US"/>
              </w:rPr>
              <w:t>, 70% combined - funds from EU and other international donors and other donations</w:t>
            </w:r>
          </w:p>
        </w:tc>
      </w:tr>
      <w:tr w:rsidR="002E2F62" w:rsidRPr="007C4D65" w14:paraId="00B61B4C"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D35D60F"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561B6FF"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2030</w:t>
            </w:r>
          </w:p>
        </w:tc>
      </w:tr>
      <w:tr w:rsidR="002E2F62" w:rsidRPr="007C4D65" w14:paraId="68494B89"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541F119"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DCB38A8" w14:textId="3FF0BE18"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Cantonal ministries of education in cooperation with the </w:t>
            </w:r>
            <w:r w:rsidR="001E6E20" w:rsidRPr="007C4D65">
              <w:rPr>
                <w:rFonts w:asciiTheme="minorHAnsi" w:eastAsiaTheme="minorHAnsi" w:hAnsiTheme="minorHAnsi" w:cstheme="minorHAnsi"/>
                <w:sz w:val="18"/>
                <w:szCs w:val="18"/>
                <w:lang w:eastAsia="en-US"/>
              </w:rPr>
              <w:t>Federation Ministry</w:t>
            </w:r>
            <w:r w:rsidRPr="007C4D65">
              <w:rPr>
                <w:rFonts w:asciiTheme="minorHAnsi" w:eastAsiaTheme="minorHAnsi" w:hAnsiTheme="minorHAnsi" w:cstheme="minorHAnsi"/>
                <w:sz w:val="18"/>
                <w:szCs w:val="18"/>
                <w:lang w:eastAsia="en-US"/>
              </w:rPr>
              <w:t xml:space="preserve"> of Education and Science (coordination)</w:t>
            </w:r>
          </w:p>
        </w:tc>
      </w:tr>
      <w:tr w:rsidR="002E2F62" w:rsidRPr="007C4D65" w14:paraId="049E79A5"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EE3C40C"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2E4F52C" w14:textId="136F9655"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Cantonal ministries of education in cooperation with the </w:t>
            </w:r>
            <w:r w:rsidR="001E6E20" w:rsidRPr="007C4D65">
              <w:rPr>
                <w:rFonts w:asciiTheme="minorHAnsi" w:eastAsiaTheme="minorHAnsi" w:hAnsiTheme="minorHAnsi" w:cstheme="minorHAnsi"/>
                <w:sz w:val="18"/>
                <w:szCs w:val="18"/>
                <w:lang w:eastAsia="en-US"/>
              </w:rPr>
              <w:t>Federation Ministry</w:t>
            </w:r>
            <w:r w:rsidRPr="007C4D65">
              <w:rPr>
                <w:rFonts w:asciiTheme="minorHAnsi" w:eastAsiaTheme="minorHAnsi" w:hAnsiTheme="minorHAnsi" w:cstheme="minorHAnsi"/>
                <w:sz w:val="18"/>
                <w:szCs w:val="18"/>
                <w:lang w:eastAsia="en-US"/>
              </w:rPr>
              <w:t xml:space="preserve"> of Education and Science (coordination), pedagogical institutes, in cooperation with the environmental institutions and civil society organizations with expertise in this area, educational institutions</w:t>
            </w:r>
          </w:p>
        </w:tc>
      </w:tr>
      <w:tr w:rsidR="002E2F62" w:rsidRPr="007C4D65" w14:paraId="6B03D42C"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EAD6E8E" w14:textId="389980F8" w:rsidR="002E2F62"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E771F97"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Educational institutions, civil society organisations, protected area operators, students, </w:t>
            </w:r>
            <w:proofErr w:type="gramStart"/>
            <w:r w:rsidRPr="007C4D65">
              <w:rPr>
                <w:rFonts w:asciiTheme="minorHAnsi" w:eastAsiaTheme="minorHAnsi" w:hAnsiTheme="minorHAnsi" w:cstheme="minorHAnsi"/>
                <w:sz w:val="18"/>
                <w:szCs w:val="18"/>
                <w:lang w:eastAsia="en-US"/>
              </w:rPr>
              <w:t>general public</w:t>
            </w:r>
            <w:proofErr w:type="gramEnd"/>
          </w:p>
        </w:tc>
      </w:tr>
    </w:tbl>
    <w:p w14:paraId="0CEF809E" w14:textId="77777777" w:rsidR="002E2F62" w:rsidRPr="007C4D65" w:rsidRDefault="002E2F62" w:rsidP="002E2F62">
      <w:pPr>
        <w:spacing w:line="276" w:lineRule="auto"/>
        <w:rPr>
          <w:rFonts w:asciiTheme="minorHAnsi" w:hAnsiTheme="minorHAnsi" w:cstheme="minorHAnsi"/>
          <w:sz w:val="18"/>
          <w:szCs w:val="18"/>
        </w:rPr>
      </w:pPr>
    </w:p>
    <w:tbl>
      <w:tblPr>
        <w:tblW w:w="4624"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5"/>
        <w:gridCol w:w="3493"/>
        <w:gridCol w:w="2817"/>
        <w:gridCol w:w="3044"/>
      </w:tblGrid>
      <w:tr w:rsidR="002E2F62" w:rsidRPr="007C4D65" w14:paraId="7503E7CF"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B25DEC6"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Link with the strategic goal</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6E046AB" w14:textId="77777777" w:rsidR="002E2F62" w:rsidRPr="007C4D65" w:rsidRDefault="002E2F62" w:rsidP="00B6017F">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2E2F62" w:rsidRPr="007C4D65" w14:paraId="5DA252FF"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1E0DA4D"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A23773E" w14:textId="77777777" w:rsidR="002E2F62" w:rsidRPr="007C4D65" w:rsidRDefault="002E2F62" w:rsidP="00B6017F">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7.8 Developing a system of strategic decision-making, investments and monitoring of effects in environmental education, research and innovation</w:t>
            </w:r>
          </w:p>
        </w:tc>
      </w:tr>
      <w:tr w:rsidR="002E2F62" w:rsidRPr="007C4D65" w14:paraId="5A510EF5"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756F9CC"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EB9D5F0" w14:textId="77777777" w:rsidR="002E2F62" w:rsidRPr="007C4D65" w:rsidRDefault="002E2F62" w:rsidP="00B6017F">
            <w:pPr>
              <w:spacing w:before="40" w:after="40" w:line="276" w:lineRule="auto"/>
              <w:rPr>
                <w:rFonts w:asciiTheme="minorHAnsi" w:eastAsia="Calibri" w:hAnsiTheme="minorHAnsi" w:cstheme="minorHAnsi"/>
                <w:b/>
                <w:sz w:val="18"/>
                <w:szCs w:val="18"/>
                <w:lang w:eastAsia="en-US"/>
              </w:rPr>
            </w:pPr>
            <w:bookmarkStart w:id="409" w:name="_Hlk95009595"/>
            <w:r w:rsidRPr="007C4D65">
              <w:rPr>
                <w:rFonts w:asciiTheme="minorHAnsi" w:eastAsiaTheme="minorHAnsi" w:hAnsiTheme="minorHAnsi" w:cstheme="minorHAnsi"/>
                <w:b/>
                <w:sz w:val="18"/>
                <w:szCs w:val="18"/>
                <w:lang w:eastAsia="en-US"/>
              </w:rPr>
              <w:t>7.8.2 Strengthen the capacity and eco-pedagogical competencies of the staff of educational institutions</w:t>
            </w:r>
            <w:bookmarkEnd w:id="409"/>
          </w:p>
        </w:tc>
      </w:tr>
      <w:tr w:rsidR="002E2F62" w:rsidRPr="007C4D65" w14:paraId="01D4AF8B"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2B7C4BD"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F036A8B" w14:textId="77777777" w:rsidR="002E2F62" w:rsidRPr="007C4D65" w:rsidRDefault="002E2F62" w:rsidP="00B6017F">
            <w:pPr>
              <w:spacing w:before="40" w:after="40" w:line="276" w:lineRule="auto"/>
              <w:rPr>
                <w:rFonts w:asciiTheme="minorHAnsi" w:eastAsia="Calibri" w:hAnsiTheme="minorHAnsi" w:cstheme="minorHAnsi"/>
                <w:sz w:val="18"/>
                <w:szCs w:val="18"/>
                <w:lang w:eastAsia="en-US"/>
              </w:rPr>
            </w:pPr>
            <w:bookmarkStart w:id="410" w:name="_Hlk95009605"/>
            <w:r w:rsidRPr="007C4D65">
              <w:rPr>
                <w:rFonts w:asciiTheme="minorHAnsi" w:eastAsiaTheme="minorHAnsi" w:hAnsiTheme="minorHAnsi" w:cstheme="minorHAnsi"/>
                <w:sz w:val="18"/>
                <w:szCs w:val="18"/>
                <w:lang w:eastAsia="en-US"/>
              </w:rPr>
              <w:t xml:space="preserve">This measure aims at strengthening the capacity and eco-pedagogical competencies of the staff of educational institutions </w:t>
            </w:r>
            <w:bookmarkEnd w:id="410"/>
          </w:p>
          <w:p w14:paraId="111B0EEC" w14:textId="28A731DB" w:rsidR="002E2F62" w:rsidRPr="007C4D65" w:rsidRDefault="002E2F62" w:rsidP="00B6017F">
            <w:pPr>
              <w:spacing w:before="40" w:after="40" w:line="276" w:lineRule="auto"/>
              <w:rPr>
                <w:rFonts w:asciiTheme="minorHAnsi" w:eastAsia="Calibri" w:hAnsiTheme="minorHAnsi" w:cstheme="minorHAnsi"/>
                <w:sz w:val="18"/>
                <w:szCs w:val="18"/>
                <w:lang w:eastAsia="en-US"/>
              </w:rPr>
            </w:pPr>
            <w:bookmarkStart w:id="411" w:name="_Hlk95009615"/>
            <w:r w:rsidRPr="007C4D65">
              <w:rPr>
                <w:rFonts w:asciiTheme="minorHAnsi" w:eastAsiaTheme="minorHAnsi" w:hAnsiTheme="minorHAnsi" w:cstheme="minorHAnsi"/>
                <w:sz w:val="18"/>
                <w:szCs w:val="18"/>
                <w:lang w:eastAsia="en-US"/>
              </w:rPr>
              <w:t xml:space="preserve">General areas of intervention </w:t>
            </w:r>
            <w:proofErr w:type="gramStart"/>
            <w:r w:rsidRPr="007C4D65">
              <w:rPr>
                <w:rFonts w:asciiTheme="minorHAnsi" w:eastAsiaTheme="minorHAnsi" w:hAnsiTheme="minorHAnsi" w:cstheme="minorHAnsi"/>
                <w:sz w:val="18"/>
                <w:szCs w:val="18"/>
                <w:lang w:eastAsia="en-US"/>
              </w:rPr>
              <w:t>are</w:t>
            </w:r>
            <w:bookmarkEnd w:id="411"/>
            <w:r w:rsidR="000536EA" w:rsidRPr="007C4D65">
              <w:rPr>
                <w:rFonts w:asciiTheme="minorHAnsi" w:eastAsiaTheme="minorHAnsi" w:hAnsiTheme="minorHAnsi" w:cstheme="minorHAnsi"/>
                <w:sz w:val="18"/>
                <w:szCs w:val="18"/>
                <w:lang w:eastAsia="en-US"/>
              </w:rPr>
              <w:t>;</w:t>
            </w:r>
            <w:proofErr w:type="gramEnd"/>
          </w:p>
          <w:p w14:paraId="56181E98" w14:textId="77777777" w:rsidR="002E2F62" w:rsidRPr="007C4D65" w:rsidRDefault="002E2F62">
            <w:pPr>
              <w:numPr>
                <w:ilvl w:val="0"/>
                <w:numId w:val="237"/>
              </w:numPr>
              <w:spacing w:before="40" w:after="40" w:line="276" w:lineRule="auto"/>
              <w:ind w:left="360"/>
              <w:contextualSpacing/>
              <w:rPr>
                <w:rFonts w:asciiTheme="minorHAnsi" w:eastAsia="Calibri" w:hAnsiTheme="minorHAnsi" w:cstheme="minorHAnsi"/>
                <w:sz w:val="18"/>
                <w:szCs w:val="18"/>
                <w:lang w:eastAsia="en-US"/>
              </w:rPr>
            </w:pPr>
            <w:bookmarkStart w:id="412" w:name="_Hlk95009632"/>
            <w:r w:rsidRPr="007C4D65">
              <w:rPr>
                <w:rFonts w:asciiTheme="minorHAnsi" w:eastAsiaTheme="minorHAnsi" w:hAnsiTheme="minorHAnsi" w:cstheme="minorHAnsi"/>
                <w:sz w:val="18"/>
                <w:szCs w:val="18"/>
                <w:lang w:eastAsia="en-US"/>
              </w:rPr>
              <w:t>Enhance eco-pedagogical competencies of the staff in educational institutions through environmental education within accredited programmes (programmes</w:t>
            </w:r>
            <w:bookmarkEnd w:id="412"/>
            <w:r w:rsidRPr="007C4D65">
              <w:rPr>
                <w:rFonts w:asciiTheme="minorHAnsi" w:eastAsiaTheme="minorHAnsi" w:hAnsiTheme="minorHAnsi" w:cstheme="minorHAnsi"/>
                <w:sz w:val="18"/>
                <w:szCs w:val="18"/>
                <w:lang w:eastAsia="en-US"/>
              </w:rPr>
              <w:t xml:space="preserve"> verified by a specific authorised institution). Continued professional development of the teaching staff on the environment and outdoor education processes, focusing on practical work with children.</w:t>
            </w:r>
          </w:p>
          <w:p w14:paraId="765A8329" w14:textId="2848F81A" w:rsidR="002E2F62" w:rsidRPr="007C4D65" w:rsidRDefault="002E2F62">
            <w:pPr>
              <w:numPr>
                <w:ilvl w:val="0"/>
                <w:numId w:val="237"/>
              </w:numPr>
              <w:spacing w:before="40" w:after="40" w:line="276" w:lineRule="auto"/>
              <w:ind w:left="360"/>
              <w:contextualSpacing/>
              <w:rPr>
                <w:rFonts w:asciiTheme="minorHAnsi" w:eastAsia="Calibri" w:hAnsiTheme="minorHAnsi" w:cstheme="minorHAnsi"/>
                <w:sz w:val="18"/>
                <w:szCs w:val="18"/>
                <w:lang w:eastAsia="en-US"/>
              </w:rPr>
            </w:pPr>
            <w:bookmarkStart w:id="413" w:name="_Hlk95009643"/>
            <w:r w:rsidRPr="007C4D65">
              <w:rPr>
                <w:rFonts w:asciiTheme="minorHAnsi" w:eastAsiaTheme="minorHAnsi" w:hAnsiTheme="minorHAnsi" w:cstheme="minorHAnsi"/>
                <w:sz w:val="18"/>
                <w:szCs w:val="18"/>
                <w:lang w:eastAsia="en-US"/>
              </w:rPr>
              <w:t>Preparation of teaching manuals on the integration of environmental protection and sustainable use or resources in curricula and syllabi for primary and secondary schools and teaching methodologies</w:t>
            </w:r>
            <w:bookmarkEnd w:id="413"/>
            <w:r w:rsidRPr="007C4D65">
              <w:rPr>
                <w:rFonts w:asciiTheme="minorHAnsi" w:eastAsiaTheme="minorHAnsi" w:hAnsiTheme="minorHAnsi" w:cstheme="minorHAnsi"/>
                <w:sz w:val="18"/>
                <w:szCs w:val="18"/>
                <w:lang w:eastAsia="en-US"/>
              </w:rPr>
              <w:t xml:space="preserve">, including curricular and extra-curricular activities (summer schools, school in nature, multidisciplinary projects, workshops, competitions, etc). It is necessary to provide trainings for teachers of junior and senior students.  UNESCO Roadmap: Education for Sustainable Development should lead the efforts by </w:t>
            </w:r>
            <w:proofErr w:type="gramStart"/>
            <w:r w:rsidRPr="007C4D65">
              <w:rPr>
                <w:rFonts w:asciiTheme="minorHAnsi" w:eastAsiaTheme="minorHAnsi" w:hAnsiTheme="minorHAnsi" w:cstheme="minorHAnsi"/>
                <w:sz w:val="18"/>
                <w:szCs w:val="18"/>
                <w:lang w:eastAsia="en-US"/>
              </w:rPr>
              <w:t>2030</w:t>
            </w:r>
            <w:r w:rsidR="000536EA" w:rsidRPr="007C4D65">
              <w:rPr>
                <w:rFonts w:asciiTheme="minorHAnsi" w:eastAsiaTheme="minorHAnsi" w:hAnsiTheme="minorHAnsi" w:cstheme="minorHAnsi"/>
                <w:sz w:val="18"/>
                <w:szCs w:val="18"/>
                <w:lang w:eastAsia="en-US"/>
              </w:rPr>
              <w:t>;</w:t>
            </w:r>
            <w:proofErr w:type="gramEnd"/>
          </w:p>
          <w:p w14:paraId="0966A2DA" w14:textId="751ABAFD" w:rsidR="002E2F62" w:rsidRPr="007C4D65" w:rsidRDefault="002E2F62">
            <w:pPr>
              <w:numPr>
                <w:ilvl w:val="0"/>
                <w:numId w:val="237"/>
              </w:numPr>
              <w:spacing w:before="40" w:after="40" w:line="276" w:lineRule="auto"/>
              <w:ind w:left="360"/>
              <w:contextualSpacing/>
              <w:rPr>
                <w:rFonts w:asciiTheme="minorHAnsi" w:eastAsia="Calibri" w:hAnsiTheme="minorHAnsi" w:cstheme="minorHAnsi"/>
                <w:sz w:val="18"/>
                <w:szCs w:val="18"/>
                <w:lang w:eastAsia="en-US"/>
              </w:rPr>
            </w:pPr>
            <w:bookmarkStart w:id="414" w:name="_Hlk95009687"/>
            <w:r w:rsidRPr="007C4D65">
              <w:rPr>
                <w:rFonts w:asciiTheme="minorHAnsi" w:eastAsiaTheme="minorHAnsi" w:hAnsiTheme="minorHAnsi" w:cstheme="minorHAnsi"/>
                <w:sz w:val="18"/>
                <w:szCs w:val="18"/>
                <w:lang w:eastAsia="en-US"/>
              </w:rPr>
              <w:t>Preparing the teaching staff for sustainable development education in an entirely different digital manner.</w:t>
            </w:r>
            <w:bookmarkEnd w:id="414"/>
            <w:r w:rsidRPr="007C4D65">
              <w:rPr>
                <w:rFonts w:asciiTheme="minorHAnsi" w:eastAsiaTheme="minorHAnsi" w:hAnsiTheme="minorHAnsi" w:cstheme="minorHAnsi"/>
                <w:sz w:val="18"/>
                <w:szCs w:val="18"/>
                <w:lang w:eastAsia="en-US"/>
              </w:rPr>
              <w:t xml:space="preserve"> </w:t>
            </w:r>
            <w:bookmarkStart w:id="415" w:name="_Hlk95009724"/>
            <w:r w:rsidRPr="007C4D65">
              <w:rPr>
                <w:rFonts w:asciiTheme="minorHAnsi" w:eastAsiaTheme="minorHAnsi" w:hAnsiTheme="minorHAnsi" w:cstheme="minorHAnsi"/>
                <w:sz w:val="18"/>
                <w:szCs w:val="18"/>
                <w:lang w:eastAsia="en-US"/>
              </w:rPr>
              <w:t xml:space="preserve">Educating the staff of educational institutions on environmental protection within accredited programmes (programmes verified by authorised institutions) with the view of digitalising education </w:t>
            </w:r>
            <w:proofErr w:type="gramStart"/>
            <w:r w:rsidRPr="007C4D65">
              <w:rPr>
                <w:rFonts w:asciiTheme="minorHAnsi" w:eastAsiaTheme="minorHAnsi" w:hAnsiTheme="minorHAnsi" w:cstheme="minorHAnsi"/>
                <w:sz w:val="18"/>
                <w:szCs w:val="18"/>
                <w:lang w:eastAsia="en-US"/>
              </w:rPr>
              <w:t>processes</w:t>
            </w:r>
            <w:bookmarkEnd w:id="415"/>
            <w:r w:rsidR="000536EA" w:rsidRPr="007C4D65">
              <w:rPr>
                <w:rFonts w:asciiTheme="minorHAnsi" w:eastAsiaTheme="minorHAnsi" w:hAnsiTheme="minorHAnsi" w:cstheme="minorHAnsi"/>
                <w:sz w:val="18"/>
                <w:szCs w:val="18"/>
                <w:lang w:eastAsia="en-US"/>
              </w:rPr>
              <w:t>;</w:t>
            </w:r>
            <w:proofErr w:type="gramEnd"/>
          </w:p>
          <w:p w14:paraId="4182287D" w14:textId="1D848255" w:rsidR="002E2F62" w:rsidRPr="007C4D65" w:rsidRDefault="002E2F62">
            <w:pPr>
              <w:numPr>
                <w:ilvl w:val="0"/>
                <w:numId w:val="237"/>
              </w:numPr>
              <w:spacing w:before="40" w:after="40" w:line="276" w:lineRule="auto"/>
              <w:ind w:left="360"/>
              <w:contextualSpacing/>
              <w:rPr>
                <w:rFonts w:asciiTheme="minorHAnsi" w:eastAsia="Calibri" w:hAnsiTheme="minorHAnsi" w:cstheme="minorHAnsi"/>
                <w:sz w:val="18"/>
                <w:szCs w:val="18"/>
                <w:lang w:eastAsia="en-US"/>
              </w:rPr>
            </w:pPr>
            <w:bookmarkStart w:id="416" w:name="_Hlk95009766"/>
            <w:proofErr w:type="gramStart"/>
            <w:r w:rsidRPr="007C4D65">
              <w:rPr>
                <w:rFonts w:asciiTheme="minorHAnsi" w:eastAsiaTheme="minorHAnsi" w:hAnsiTheme="minorHAnsi" w:cstheme="minorHAnsi"/>
                <w:sz w:val="18"/>
                <w:szCs w:val="18"/>
                <w:lang w:eastAsia="en-US"/>
              </w:rPr>
              <w:t>Creating  digital</w:t>
            </w:r>
            <w:proofErr w:type="gramEnd"/>
            <w:r w:rsidRPr="007C4D65">
              <w:rPr>
                <w:rFonts w:asciiTheme="minorHAnsi" w:eastAsiaTheme="minorHAnsi" w:hAnsiTheme="minorHAnsi" w:cstheme="minorHAnsi"/>
                <w:sz w:val="18"/>
                <w:szCs w:val="18"/>
                <w:lang w:eastAsia="en-US"/>
              </w:rPr>
              <w:t xml:space="preserve"> textbooks and environmental contents and adapt teaching processes to online environment to a greater extent than earlier.</w:t>
            </w:r>
            <w:bookmarkEnd w:id="416"/>
            <w:r w:rsidRPr="007C4D65">
              <w:rPr>
                <w:rFonts w:asciiTheme="minorHAnsi" w:eastAsiaTheme="minorHAnsi" w:hAnsiTheme="minorHAnsi" w:cstheme="minorHAnsi"/>
                <w:sz w:val="18"/>
                <w:szCs w:val="18"/>
                <w:lang w:eastAsia="en-US"/>
              </w:rPr>
              <w:t xml:space="preserve"> (</w:t>
            </w:r>
            <w:r w:rsidRPr="007C4D65">
              <w:rPr>
                <w:rFonts w:asciiTheme="minorHAnsi" w:eastAsiaTheme="minorHAnsi" w:hAnsiTheme="minorHAnsi" w:cstheme="minorHAnsi"/>
                <w:i/>
                <w:sz w:val="18"/>
                <w:szCs w:val="18"/>
                <w:lang w:eastAsia="en-US"/>
              </w:rPr>
              <w:t>Due to the lack of digital contents, te</w:t>
            </w:r>
            <w:r w:rsidRPr="007C4D65">
              <w:rPr>
                <w:rFonts w:asciiTheme="minorHAnsi" w:eastAsiaTheme="minorHAnsi" w:hAnsiTheme="minorHAnsi" w:cstheme="minorHAnsi"/>
                <w:sz w:val="18"/>
                <w:szCs w:val="18"/>
                <w:lang w:eastAsia="en-US"/>
              </w:rPr>
              <w:t>a</w:t>
            </w:r>
            <w:r w:rsidRPr="007C4D65">
              <w:rPr>
                <w:rFonts w:asciiTheme="minorHAnsi" w:eastAsiaTheme="minorHAnsi" w:hAnsiTheme="minorHAnsi" w:cstheme="minorHAnsi"/>
                <w:i/>
                <w:sz w:val="18"/>
                <w:szCs w:val="18"/>
                <w:lang w:eastAsia="en-US"/>
              </w:rPr>
              <w:t>chers faced multiple problems in teaching during the COVID pandemic, as well as learning difficulties among students. Offer to students and teachers prepared digital contents on environmental protection. Such approach should ensure that teaching processes are better adapted to online environment, and they should reduce the burden of preparation for online teaching</w:t>
            </w:r>
            <w:proofErr w:type="gramStart"/>
            <w:r w:rsidRPr="007C4D65">
              <w:rPr>
                <w:rFonts w:asciiTheme="minorHAnsi" w:eastAsiaTheme="minorHAnsi" w:hAnsiTheme="minorHAnsi" w:cstheme="minorHAnsi"/>
                <w:i/>
                <w:sz w:val="18"/>
                <w:szCs w:val="18"/>
                <w:lang w:eastAsia="en-US"/>
              </w:rPr>
              <w:t>)</w:t>
            </w:r>
            <w:r w:rsidR="000536EA" w:rsidRPr="007C4D65">
              <w:rPr>
                <w:rFonts w:asciiTheme="minorHAnsi" w:eastAsiaTheme="minorHAnsi" w:hAnsiTheme="minorHAnsi" w:cstheme="minorHAnsi"/>
                <w:i/>
                <w:sz w:val="18"/>
                <w:szCs w:val="18"/>
                <w:lang w:eastAsia="en-US"/>
              </w:rPr>
              <w:t>;</w:t>
            </w:r>
            <w:proofErr w:type="gramEnd"/>
          </w:p>
          <w:p w14:paraId="39580C17" w14:textId="77777777" w:rsidR="002E2F62" w:rsidRPr="007C4D65" w:rsidRDefault="002E2F62">
            <w:pPr>
              <w:numPr>
                <w:ilvl w:val="0"/>
                <w:numId w:val="237"/>
              </w:numPr>
              <w:spacing w:before="40" w:after="40" w:line="276" w:lineRule="auto"/>
              <w:ind w:left="360"/>
              <w:contextualSpacing/>
              <w:rPr>
                <w:rFonts w:asciiTheme="minorHAnsi" w:eastAsia="Calibri" w:hAnsiTheme="minorHAnsi" w:cstheme="minorHAnsi"/>
                <w:sz w:val="18"/>
                <w:szCs w:val="18"/>
                <w:lang w:eastAsia="en-US"/>
              </w:rPr>
            </w:pPr>
            <w:bookmarkStart w:id="417" w:name="_Hlk95009779"/>
            <w:r w:rsidRPr="007C4D65">
              <w:rPr>
                <w:rFonts w:asciiTheme="minorHAnsi" w:eastAsiaTheme="minorHAnsi" w:hAnsiTheme="minorHAnsi" w:cstheme="minorHAnsi"/>
                <w:sz w:val="18"/>
                <w:szCs w:val="18"/>
                <w:lang w:eastAsia="en-US"/>
              </w:rPr>
              <w:t xml:space="preserve">An analysis of gaps in master studies programmes at universities in view of the integration of environmental protection and sustainable use of natural resources, and preparation of a proposal for an intervention in master programmes </w:t>
            </w:r>
            <w:bookmarkEnd w:id="417"/>
            <w:r w:rsidRPr="007C4D65">
              <w:rPr>
                <w:rFonts w:asciiTheme="minorHAnsi" w:eastAsiaTheme="minorHAnsi" w:hAnsiTheme="minorHAnsi" w:cstheme="minorHAnsi"/>
                <w:sz w:val="18"/>
                <w:szCs w:val="18"/>
                <w:lang w:eastAsia="en-US"/>
              </w:rPr>
              <w:t>curricula. At least two universities should pilot this programme. Cover all the research areas (science, technology, social studies) UNESCO Roadmap: Education for Sustainable Development should lead the efforts by 2030.</w:t>
            </w:r>
          </w:p>
        </w:tc>
      </w:tr>
      <w:tr w:rsidR="002E2F62" w:rsidRPr="007C4D65" w14:paraId="3F285F74"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75F0B29"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Strategic projects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743C0F6B"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2E2F62" w:rsidRPr="007C4D65" w14:paraId="14BFCF5E" w14:textId="77777777" w:rsidTr="00B6017F">
        <w:trPr>
          <w:trHeight w:val="567"/>
        </w:trPr>
        <w:tc>
          <w:tcPr>
            <w:tcW w:w="1374"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AE2A80E"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5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455DC6E"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5CF63C67"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092"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D783074"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36E7C7B4"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181"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4E51E14"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2E2F62" w:rsidRPr="007C4D65" w14:paraId="01406BB4"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1D83046B"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64D4A59" w14:textId="77777777" w:rsidR="002E2F62" w:rsidRPr="007C4D65" w:rsidRDefault="002E2F62">
            <w:pPr>
              <w:numPr>
                <w:ilvl w:val="0"/>
                <w:numId w:val="23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Level of improvement of eco-pedagogical competencies of the staff of educational institutions through </w:t>
            </w:r>
            <w:r w:rsidRPr="007C4D65">
              <w:rPr>
                <w:rFonts w:asciiTheme="minorHAnsi" w:eastAsiaTheme="minorHAnsi" w:hAnsiTheme="minorHAnsi" w:cstheme="minorHAnsi"/>
                <w:sz w:val="18"/>
                <w:szCs w:val="18"/>
                <w:lang w:eastAsia="en-US"/>
              </w:rPr>
              <w:lastRenderedPageBreak/>
              <w:t>environmental education in accredited programmes</w:t>
            </w:r>
          </w:p>
        </w:tc>
        <w:tc>
          <w:tcPr>
            <w:tcW w:w="1092"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E2A0B21"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lastRenderedPageBreak/>
              <w:t>There is a need to improve eco-pedagogical competencies of the staff of educational institutions</w:t>
            </w:r>
          </w:p>
        </w:tc>
        <w:tc>
          <w:tcPr>
            <w:tcW w:w="1181"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DF9BFD0"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Teachers have competencies for the transfer of knowledge, possess eco-pedagogical competencies for the </w:t>
            </w:r>
            <w:r w:rsidRPr="007C4D65">
              <w:rPr>
                <w:rFonts w:asciiTheme="minorHAnsi" w:eastAsiaTheme="minorHAnsi" w:hAnsiTheme="minorHAnsi" w:cstheme="minorHAnsi"/>
                <w:sz w:val="18"/>
                <w:szCs w:val="18"/>
                <w:lang w:eastAsia="en-US"/>
              </w:rPr>
              <w:lastRenderedPageBreak/>
              <w:t>implementation of environmental contents (2029)</w:t>
            </w:r>
          </w:p>
        </w:tc>
      </w:tr>
      <w:tr w:rsidR="002E2F62" w:rsidRPr="007C4D65" w14:paraId="0074CE87"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1F708367"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A6DC3F0" w14:textId="77777777" w:rsidR="002E2F62" w:rsidRPr="007C4D65" w:rsidRDefault="002E2F62">
            <w:pPr>
              <w:numPr>
                <w:ilvl w:val="0"/>
                <w:numId w:val="23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Status of the preparation of teaching manuals on the integration of environmental protection and sustainable use of resources in curricula and syllabi for primary and secondary schools and teaching methodologies</w:t>
            </w:r>
          </w:p>
        </w:tc>
        <w:tc>
          <w:tcPr>
            <w:tcW w:w="1092"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002920A"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Manuals have not been prepared</w:t>
            </w:r>
          </w:p>
        </w:tc>
        <w:tc>
          <w:tcPr>
            <w:tcW w:w="1181"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DA93C23"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teaching manuals on the integration of environmental protection and sustainable use of resources in curricula and syllabi for primary and secondary schools and teaching methodologies (2026)</w:t>
            </w:r>
          </w:p>
        </w:tc>
      </w:tr>
      <w:tr w:rsidR="002E2F62" w:rsidRPr="007C4D65" w14:paraId="01B77C3B"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1C23D348"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56D3A84" w14:textId="77777777" w:rsidR="002E2F62" w:rsidRPr="007C4D65" w:rsidRDefault="002E2F62">
            <w:pPr>
              <w:numPr>
                <w:ilvl w:val="0"/>
                <w:numId w:val="23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Level of education of the staff of educational institutions on environmental protection in accredited programmes for the purpose of digitalisation</w:t>
            </w:r>
          </w:p>
        </w:tc>
        <w:tc>
          <w:tcPr>
            <w:tcW w:w="1092"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A6A9242"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No such educations have been provided</w:t>
            </w:r>
          </w:p>
        </w:tc>
        <w:tc>
          <w:tcPr>
            <w:tcW w:w="1181"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579EE4B"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Teachers have competencies for the transfer of knowledge, competencies for teaching contents on environmental protection and use predefined thematic digital contents (continuously– 2030)</w:t>
            </w:r>
          </w:p>
        </w:tc>
      </w:tr>
      <w:tr w:rsidR="002E2F62" w:rsidRPr="007C4D65" w14:paraId="45B3329E"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772593C2"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7A27FBF" w14:textId="77777777" w:rsidR="002E2F62" w:rsidRPr="007C4D65" w:rsidRDefault="002E2F62">
            <w:pPr>
              <w:numPr>
                <w:ilvl w:val="0"/>
                <w:numId w:val="23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Status of the preparation of digital textbooks and contents on environmental protection</w:t>
            </w:r>
          </w:p>
        </w:tc>
        <w:tc>
          <w:tcPr>
            <w:tcW w:w="1092"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00BC67D" w14:textId="7F88CB9F"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Digital textbooks were not prepared</w:t>
            </w:r>
          </w:p>
        </w:tc>
        <w:tc>
          <w:tcPr>
            <w:tcW w:w="1181"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ECA65E0"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Learning with the use of digital textbooks enabled (2026)</w:t>
            </w:r>
          </w:p>
        </w:tc>
      </w:tr>
      <w:tr w:rsidR="002E2F62" w:rsidRPr="007C4D65" w14:paraId="20B79CF3"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06A9B4FD"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790FC5E" w14:textId="77777777" w:rsidR="002E2F62" w:rsidRPr="007C4D65" w:rsidRDefault="002E2F62">
            <w:pPr>
              <w:numPr>
                <w:ilvl w:val="0"/>
                <w:numId w:val="238"/>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Status of development of conducting a gap analysis of the current curricula for master programmes</w:t>
            </w:r>
          </w:p>
        </w:tc>
        <w:tc>
          <w:tcPr>
            <w:tcW w:w="1092"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02E6D4D"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No analysis has not been conducted</w:t>
            </w:r>
          </w:p>
        </w:tc>
        <w:tc>
          <w:tcPr>
            <w:tcW w:w="1181"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02403EF"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gap analysis of the current curricula for master programmes completed and recommendations provided to incorporate the topic of sustainable use of natural resources in master programmes (2028)</w:t>
            </w:r>
          </w:p>
        </w:tc>
      </w:tr>
      <w:tr w:rsidR="002E2F62" w:rsidRPr="007C4D65" w14:paraId="501D5090"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F0CE7CD"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Effect on the development and contribution of the measure to the 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6D256EEC"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bidi="en-US"/>
              </w:rPr>
            </w:pPr>
            <w:r w:rsidRPr="007C4D65">
              <w:rPr>
                <w:rFonts w:asciiTheme="minorHAnsi" w:eastAsiaTheme="minorHAnsi" w:hAnsiTheme="minorHAnsi" w:cstheme="minorHAnsi"/>
                <w:sz w:val="18"/>
                <w:szCs w:val="18"/>
                <w:lang w:eastAsia="en-US" w:bidi="en-US"/>
              </w:rPr>
              <w:t>Improved educational process and increased competencies of all stakeholders for the integration of environment, sustainable use at all levels of education</w:t>
            </w:r>
          </w:p>
        </w:tc>
      </w:tr>
      <w:tr w:rsidR="002E2F62" w:rsidRPr="007C4D65" w14:paraId="275E2A70"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FA895D5" w14:textId="11D64A1C" w:rsidR="002E2F62"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188C6F9" w14:textId="77777777" w:rsidR="002E2F62" w:rsidRPr="007C4D65" w:rsidRDefault="002E2F62" w:rsidP="00B6017F">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Amount: BAM 283,452</w:t>
            </w:r>
          </w:p>
          <w:p w14:paraId="074619F3" w14:textId="45355FDD" w:rsidR="002E2F62" w:rsidRPr="007C4D65" w:rsidRDefault="002E2F62" w:rsidP="00B6017F">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hAnsiTheme="minorHAnsi" w:cstheme="minorHAnsi"/>
                <w:sz w:val="18"/>
                <w:szCs w:val="18"/>
                <w:lang w:val="hr-HR" w:bidi="en-US"/>
              </w:rPr>
              <w:t xml:space="preserve">Source: 30% </w:t>
            </w:r>
            <w:r w:rsidR="000E401F" w:rsidRPr="007C4D65">
              <w:rPr>
                <w:rFonts w:asciiTheme="minorHAnsi" w:hAnsiTheme="minorHAnsi" w:cstheme="minorHAnsi"/>
                <w:sz w:val="18"/>
                <w:szCs w:val="18"/>
                <w:lang w:val="hr-HR" w:bidi="en-US"/>
              </w:rPr>
              <w:t>government budget</w:t>
            </w:r>
            <w:r w:rsidRPr="007C4D65">
              <w:rPr>
                <w:rFonts w:asciiTheme="minorHAnsi" w:hAnsiTheme="minorHAnsi" w:cstheme="minorHAnsi"/>
                <w:sz w:val="18"/>
                <w:szCs w:val="18"/>
                <w:lang w:val="hr-HR" w:bidi="en-US"/>
              </w:rPr>
              <w:t>, 70% combined - funds from EU and other international donors and other donations</w:t>
            </w:r>
          </w:p>
        </w:tc>
      </w:tr>
      <w:tr w:rsidR="002E2F62" w:rsidRPr="007C4D65" w14:paraId="25A73ADD"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28ED623"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CB9F98C"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2030</w:t>
            </w:r>
          </w:p>
        </w:tc>
      </w:tr>
      <w:tr w:rsidR="002E2F62" w:rsidRPr="007C4D65" w14:paraId="59887BF2"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B8A034F"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8ADAB11" w14:textId="47D4706C" w:rsidR="002E2F62" w:rsidRPr="007C4D65" w:rsidRDefault="001E6E20"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2E2F62" w:rsidRPr="007C4D65">
              <w:rPr>
                <w:rFonts w:asciiTheme="minorHAnsi" w:eastAsiaTheme="minorHAnsi" w:hAnsiTheme="minorHAnsi" w:cstheme="minorHAnsi"/>
                <w:sz w:val="18"/>
                <w:szCs w:val="18"/>
                <w:lang w:eastAsia="en-US"/>
              </w:rPr>
              <w:t xml:space="preserve"> of Education and Science (umbrella institution), cantonal ministries of education</w:t>
            </w:r>
          </w:p>
        </w:tc>
      </w:tr>
      <w:tr w:rsidR="002E2F62" w:rsidRPr="007C4D65" w14:paraId="00FD0C26"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407EBC6"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Implementing institutions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EECE43F" w14:textId="0ECA3276"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Cantonal ministries of education in cooperation with the </w:t>
            </w:r>
            <w:r w:rsidR="001E6E20" w:rsidRPr="007C4D65">
              <w:rPr>
                <w:rFonts w:asciiTheme="minorHAnsi" w:eastAsiaTheme="minorHAnsi" w:hAnsiTheme="minorHAnsi" w:cstheme="minorHAnsi"/>
                <w:sz w:val="18"/>
                <w:szCs w:val="18"/>
                <w:lang w:eastAsia="en-US"/>
              </w:rPr>
              <w:t>Federation Ministry</w:t>
            </w:r>
            <w:r w:rsidRPr="007C4D65">
              <w:rPr>
                <w:rFonts w:asciiTheme="minorHAnsi" w:eastAsiaTheme="minorHAnsi" w:hAnsiTheme="minorHAnsi" w:cstheme="minorHAnsi"/>
                <w:sz w:val="18"/>
                <w:szCs w:val="18"/>
                <w:lang w:eastAsia="en-US"/>
              </w:rPr>
              <w:t xml:space="preserve"> of Education and Science (coordination), educational institutions, universities and faculties, environmental institutions</w:t>
            </w:r>
          </w:p>
        </w:tc>
      </w:tr>
      <w:tr w:rsidR="002E2F62" w:rsidRPr="007C4D65" w14:paraId="74807E72"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6C7B752" w14:textId="2E31E9B8" w:rsidR="002E2F62"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6D06A08"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Educational institutions, universities and faculties, students, </w:t>
            </w:r>
            <w:proofErr w:type="gramStart"/>
            <w:r w:rsidRPr="007C4D65">
              <w:rPr>
                <w:rFonts w:asciiTheme="minorHAnsi" w:eastAsiaTheme="minorHAnsi" w:hAnsiTheme="minorHAnsi" w:cstheme="minorHAnsi"/>
                <w:sz w:val="18"/>
                <w:szCs w:val="18"/>
                <w:lang w:eastAsia="en-US"/>
              </w:rPr>
              <w:t>general public</w:t>
            </w:r>
            <w:proofErr w:type="gramEnd"/>
          </w:p>
        </w:tc>
      </w:tr>
    </w:tbl>
    <w:p w14:paraId="007FD327" w14:textId="77777777" w:rsidR="002E2F62" w:rsidRPr="007C4D65" w:rsidRDefault="002E2F62" w:rsidP="002E2F62">
      <w:pPr>
        <w:spacing w:line="276" w:lineRule="auto"/>
        <w:rPr>
          <w:rFonts w:asciiTheme="minorHAnsi" w:hAnsiTheme="minorHAnsi" w:cstheme="minorHAnsi"/>
          <w:sz w:val="18"/>
          <w:szCs w:val="18"/>
        </w:rPr>
      </w:pPr>
    </w:p>
    <w:tbl>
      <w:tblPr>
        <w:tblW w:w="4624" w:type="pct"/>
        <w:tblInd w:w="4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545"/>
        <w:gridCol w:w="3493"/>
        <w:gridCol w:w="3240"/>
        <w:gridCol w:w="2621"/>
      </w:tblGrid>
      <w:tr w:rsidR="002E2F62" w:rsidRPr="007C4D65" w14:paraId="0F576E06"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2D43CD6"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Link with the strategic goal</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32EA406" w14:textId="77777777" w:rsidR="002E2F62" w:rsidRPr="007C4D65" w:rsidRDefault="002E2F62" w:rsidP="00B6017F">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2E2F62" w:rsidRPr="007C4D65" w14:paraId="51157E0F"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824889D"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C99BDDD" w14:textId="77777777" w:rsidR="002E2F62" w:rsidRPr="007C4D65" w:rsidRDefault="002E2F62" w:rsidP="00B6017F">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7.8 Developing a system of strategic decision-making, investments and monitoring of effects in environmental education, research and innovation</w:t>
            </w:r>
          </w:p>
        </w:tc>
      </w:tr>
      <w:tr w:rsidR="002E2F62" w:rsidRPr="007C4D65" w14:paraId="1757C255"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091D6D2"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5EB1A2B" w14:textId="41E68426" w:rsidR="002E2F62" w:rsidRPr="007C4D65" w:rsidRDefault="002E2F62" w:rsidP="00B6017F">
            <w:pPr>
              <w:spacing w:before="40" w:after="40" w:line="276" w:lineRule="auto"/>
              <w:rPr>
                <w:rFonts w:asciiTheme="minorHAnsi" w:eastAsia="Calibri" w:hAnsiTheme="minorHAnsi" w:cstheme="minorHAnsi"/>
                <w:b/>
                <w:sz w:val="18"/>
                <w:szCs w:val="18"/>
                <w:lang w:eastAsia="en-US"/>
              </w:rPr>
            </w:pPr>
            <w:bookmarkStart w:id="418" w:name="_Hlk95009828"/>
            <w:r w:rsidRPr="007C4D65">
              <w:rPr>
                <w:rFonts w:asciiTheme="minorHAnsi" w:eastAsiaTheme="minorHAnsi" w:hAnsiTheme="minorHAnsi" w:cstheme="minorHAnsi"/>
                <w:b/>
                <w:sz w:val="18"/>
                <w:szCs w:val="18"/>
                <w:lang w:eastAsia="en-US"/>
              </w:rPr>
              <w:t xml:space="preserve">7.8.3 Support to </w:t>
            </w:r>
            <w:r w:rsidR="00A24C9A">
              <w:rPr>
                <w:rFonts w:asciiTheme="minorHAnsi" w:eastAsiaTheme="minorHAnsi" w:hAnsiTheme="minorHAnsi" w:cstheme="minorHAnsi"/>
                <w:b/>
                <w:sz w:val="18"/>
                <w:szCs w:val="18"/>
                <w:lang w:eastAsia="en-US"/>
              </w:rPr>
              <w:t>nonformal</w:t>
            </w:r>
            <w:r w:rsidRPr="007C4D65">
              <w:rPr>
                <w:rFonts w:asciiTheme="minorHAnsi" w:eastAsiaTheme="minorHAnsi" w:hAnsiTheme="minorHAnsi" w:cstheme="minorHAnsi"/>
                <w:b/>
                <w:sz w:val="18"/>
                <w:szCs w:val="18"/>
                <w:lang w:eastAsia="en-US"/>
              </w:rPr>
              <w:t xml:space="preserve"> environmental education</w:t>
            </w:r>
            <w:bookmarkEnd w:id="418"/>
          </w:p>
        </w:tc>
      </w:tr>
      <w:tr w:rsidR="002E2F62" w:rsidRPr="007C4D65" w14:paraId="73E732CE"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CC70123"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9834F6B" w14:textId="677FA561" w:rsidR="002E2F62" w:rsidRPr="007C4D65" w:rsidRDefault="002E2F62" w:rsidP="00B6017F">
            <w:pPr>
              <w:spacing w:before="40" w:after="40" w:line="276" w:lineRule="auto"/>
              <w:rPr>
                <w:rFonts w:asciiTheme="minorHAnsi" w:eastAsia="Calibri" w:hAnsiTheme="minorHAnsi" w:cstheme="minorHAnsi"/>
                <w:sz w:val="18"/>
                <w:szCs w:val="18"/>
                <w:lang w:eastAsia="en-US"/>
              </w:rPr>
            </w:pPr>
            <w:bookmarkStart w:id="419" w:name="_Hlk95009866"/>
            <w:r w:rsidRPr="007C4D65">
              <w:rPr>
                <w:rFonts w:asciiTheme="minorHAnsi" w:eastAsiaTheme="minorHAnsi" w:hAnsiTheme="minorHAnsi" w:cstheme="minorHAnsi"/>
                <w:sz w:val="18"/>
                <w:szCs w:val="18"/>
                <w:lang w:eastAsia="en-US"/>
              </w:rPr>
              <w:t xml:space="preserve">This measure aims at ensuring support to </w:t>
            </w:r>
            <w:r w:rsidR="00A24C9A">
              <w:rPr>
                <w:rFonts w:asciiTheme="minorHAnsi" w:eastAsiaTheme="minorHAnsi" w:hAnsiTheme="minorHAnsi" w:cstheme="minorHAnsi"/>
                <w:sz w:val="18"/>
                <w:szCs w:val="18"/>
                <w:lang w:eastAsia="en-US"/>
              </w:rPr>
              <w:t>the nonformal</w:t>
            </w:r>
            <w:r w:rsidRPr="007C4D65">
              <w:rPr>
                <w:rFonts w:asciiTheme="minorHAnsi" w:eastAsiaTheme="minorHAnsi" w:hAnsiTheme="minorHAnsi" w:cstheme="minorHAnsi"/>
                <w:sz w:val="18"/>
                <w:szCs w:val="18"/>
                <w:lang w:eastAsia="en-US"/>
              </w:rPr>
              <w:t xml:space="preserve"> environmental education</w:t>
            </w:r>
            <w:bookmarkEnd w:id="419"/>
          </w:p>
          <w:p w14:paraId="5D8A7C15" w14:textId="77777777" w:rsidR="002E2F62" w:rsidRPr="007C4D65" w:rsidRDefault="002E2F62" w:rsidP="00B6017F">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General areas of intervention:</w:t>
            </w:r>
          </w:p>
          <w:p w14:paraId="24C72505" w14:textId="34B8A559" w:rsidR="002E2F62" w:rsidRPr="007C4D65" w:rsidRDefault="002E2F62">
            <w:pPr>
              <w:numPr>
                <w:ilvl w:val="0"/>
                <w:numId w:val="239"/>
              </w:numPr>
              <w:spacing w:before="40" w:after="40" w:line="276" w:lineRule="auto"/>
              <w:ind w:left="360"/>
              <w:contextualSpacing/>
              <w:rPr>
                <w:rFonts w:asciiTheme="minorHAnsi" w:eastAsia="Calibri" w:hAnsiTheme="minorHAnsi" w:cstheme="minorHAnsi"/>
                <w:sz w:val="18"/>
                <w:szCs w:val="18"/>
                <w:lang w:eastAsia="en-US"/>
              </w:rPr>
            </w:pPr>
            <w:bookmarkStart w:id="420" w:name="_Hlk95009876"/>
            <w:r w:rsidRPr="007C4D65">
              <w:rPr>
                <w:rFonts w:asciiTheme="minorHAnsi" w:eastAsiaTheme="minorHAnsi" w:hAnsiTheme="minorHAnsi" w:cstheme="minorHAnsi"/>
                <w:sz w:val="18"/>
                <w:szCs w:val="18"/>
                <w:lang w:eastAsia="en-US"/>
              </w:rPr>
              <w:t xml:space="preserve">Establishing cooperation among the institutions engaged in </w:t>
            </w:r>
            <w:r w:rsidR="00A24C9A">
              <w:rPr>
                <w:rFonts w:asciiTheme="minorHAnsi" w:eastAsiaTheme="minorHAnsi" w:hAnsiTheme="minorHAnsi" w:cstheme="minorHAnsi"/>
                <w:sz w:val="18"/>
                <w:szCs w:val="18"/>
                <w:lang w:eastAsia="en-US"/>
              </w:rPr>
              <w:t>nonformal</w:t>
            </w:r>
            <w:r w:rsidRPr="007C4D65">
              <w:rPr>
                <w:rFonts w:asciiTheme="minorHAnsi" w:eastAsiaTheme="minorHAnsi" w:hAnsiTheme="minorHAnsi" w:cstheme="minorHAnsi"/>
                <w:sz w:val="18"/>
                <w:szCs w:val="18"/>
                <w:lang w:eastAsia="en-US"/>
              </w:rPr>
              <w:t xml:space="preserve"> environmental </w:t>
            </w:r>
            <w:proofErr w:type="gramStart"/>
            <w:r w:rsidRPr="007C4D65">
              <w:rPr>
                <w:rFonts w:asciiTheme="minorHAnsi" w:eastAsiaTheme="minorHAnsi" w:hAnsiTheme="minorHAnsi" w:cstheme="minorHAnsi"/>
                <w:sz w:val="18"/>
                <w:szCs w:val="18"/>
                <w:lang w:eastAsia="en-US"/>
              </w:rPr>
              <w:t>education</w:t>
            </w:r>
            <w:bookmarkEnd w:id="420"/>
            <w:r w:rsidR="000536EA" w:rsidRPr="007C4D65">
              <w:rPr>
                <w:rFonts w:asciiTheme="minorHAnsi" w:eastAsiaTheme="minorHAnsi" w:hAnsiTheme="minorHAnsi" w:cstheme="minorHAnsi"/>
                <w:sz w:val="18"/>
                <w:szCs w:val="18"/>
                <w:lang w:eastAsia="en-US"/>
              </w:rPr>
              <w:t>;</w:t>
            </w:r>
            <w:proofErr w:type="gramEnd"/>
          </w:p>
          <w:p w14:paraId="06E4002B" w14:textId="574C19BA" w:rsidR="002E2F62" w:rsidRPr="007C4D65" w:rsidRDefault="002E2F62">
            <w:pPr>
              <w:numPr>
                <w:ilvl w:val="0"/>
                <w:numId w:val="239"/>
              </w:numPr>
              <w:spacing w:before="40" w:after="40" w:line="276" w:lineRule="auto"/>
              <w:ind w:left="360"/>
              <w:contextualSpacing/>
              <w:rPr>
                <w:rFonts w:asciiTheme="minorHAnsi" w:eastAsia="Calibri" w:hAnsiTheme="minorHAnsi" w:cstheme="minorHAnsi"/>
                <w:sz w:val="18"/>
                <w:szCs w:val="18"/>
                <w:lang w:eastAsia="en-US"/>
              </w:rPr>
            </w:pPr>
            <w:bookmarkStart w:id="421" w:name="_Hlk95009888"/>
            <w:r w:rsidRPr="007C4D65">
              <w:rPr>
                <w:rFonts w:asciiTheme="minorHAnsi" w:eastAsiaTheme="minorHAnsi" w:hAnsiTheme="minorHAnsi" w:cstheme="minorHAnsi"/>
                <w:sz w:val="18"/>
                <w:szCs w:val="18"/>
                <w:lang w:eastAsia="en-US"/>
              </w:rPr>
              <w:t xml:space="preserve">Allocating dedicated funds to support the </w:t>
            </w:r>
            <w:r w:rsidR="00A24C9A">
              <w:rPr>
                <w:rFonts w:asciiTheme="minorHAnsi" w:eastAsiaTheme="minorHAnsi" w:hAnsiTheme="minorHAnsi" w:cstheme="minorHAnsi"/>
                <w:sz w:val="18"/>
                <w:szCs w:val="18"/>
                <w:lang w:eastAsia="en-US"/>
              </w:rPr>
              <w:t>nonformal</w:t>
            </w:r>
            <w:r w:rsidRPr="007C4D65">
              <w:rPr>
                <w:rFonts w:asciiTheme="minorHAnsi" w:eastAsiaTheme="minorHAnsi" w:hAnsiTheme="minorHAnsi" w:cstheme="minorHAnsi"/>
                <w:sz w:val="18"/>
                <w:szCs w:val="18"/>
                <w:lang w:eastAsia="en-US"/>
              </w:rPr>
              <w:t xml:space="preserve"> environmental education</w:t>
            </w:r>
            <w:bookmarkEnd w:id="421"/>
            <w:r w:rsidRPr="007C4D65">
              <w:rPr>
                <w:rFonts w:asciiTheme="minorHAnsi" w:eastAsiaTheme="minorHAnsi" w:hAnsiTheme="minorHAnsi" w:cstheme="minorHAnsi"/>
                <w:sz w:val="18"/>
                <w:szCs w:val="18"/>
                <w:lang w:eastAsia="en-US"/>
              </w:rPr>
              <w:t>.</w:t>
            </w:r>
          </w:p>
        </w:tc>
      </w:tr>
      <w:tr w:rsidR="002E2F62" w:rsidRPr="007C4D65" w14:paraId="49D7B211"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7950A17"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Strategic projects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7BB0D491"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2E2F62" w:rsidRPr="007C4D65" w14:paraId="3C604588" w14:textId="77777777" w:rsidTr="00B6017F">
        <w:trPr>
          <w:trHeight w:val="567"/>
        </w:trPr>
        <w:tc>
          <w:tcPr>
            <w:tcW w:w="1374"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2D70586"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5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3DFBCD3B"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7FFD2B78"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5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E798F09"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08710A3D"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1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73A281F3"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2E2F62" w:rsidRPr="007C4D65" w14:paraId="73D481AD"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54584ECB"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AD39A29" w14:textId="131FC8B4" w:rsidR="002E2F62" w:rsidRPr="007C4D65" w:rsidRDefault="002E2F62">
            <w:pPr>
              <w:numPr>
                <w:ilvl w:val="0"/>
                <w:numId w:val="240"/>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level of cooperation among the institutions engaged in the </w:t>
            </w:r>
            <w:r w:rsidR="00A24C9A">
              <w:rPr>
                <w:rFonts w:asciiTheme="minorHAnsi" w:eastAsiaTheme="minorHAnsi" w:hAnsiTheme="minorHAnsi" w:cstheme="minorHAnsi"/>
                <w:sz w:val="18"/>
                <w:szCs w:val="18"/>
                <w:lang w:eastAsia="en-US"/>
              </w:rPr>
              <w:t>nonformal</w:t>
            </w:r>
            <w:r w:rsidRPr="007C4D65">
              <w:rPr>
                <w:rFonts w:asciiTheme="minorHAnsi" w:eastAsiaTheme="minorHAnsi" w:hAnsiTheme="minorHAnsi" w:cstheme="minorHAnsi"/>
                <w:sz w:val="18"/>
                <w:szCs w:val="18"/>
                <w:lang w:eastAsia="en-US"/>
              </w:rPr>
              <w:t xml:space="preserve"> environmental education</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2CDFDA0"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Partial cooperation </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38797BA" w14:textId="18755D0F"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Effective cooperation established among the institutions engaged in the </w:t>
            </w:r>
            <w:r w:rsidR="00A24C9A">
              <w:rPr>
                <w:rFonts w:asciiTheme="minorHAnsi" w:eastAsiaTheme="minorHAnsi" w:hAnsiTheme="minorHAnsi" w:cstheme="minorHAnsi"/>
                <w:sz w:val="18"/>
                <w:szCs w:val="18"/>
                <w:lang w:eastAsia="en-US"/>
              </w:rPr>
              <w:t>nonformal</w:t>
            </w:r>
            <w:r w:rsidRPr="007C4D65">
              <w:rPr>
                <w:rFonts w:asciiTheme="minorHAnsi" w:eastAsiaTheme="minorHAnsi" w:hAnsiTheme="minorHAnsi" w:cstheme="minorHAnsi"/>
                <w:sz w:val="18"/>
                <w:szCs w:val="18"/>
                <w:lang w:eastAsia="en-US"/>
              </w:rPr>
              <w:t xml:space="preserve"> environmental education (2026)</w:t>
            </w:r>
          </w:p>
        </w:tc>
      </w:tr>
      <w:tr w:rsidR="002E2F62" w:rsidRPr="007C4D65" w14:paraId="00D5B62A"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3A7FC927"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354A805" w14:textId="239FF197" w:rsidR="002E2F62" w:rsidRPr="007C4D65" w:rsidRDefault="002E2F62">
            <w:pPr>
              <w:numPr>
                <w:ilvl w:val="0"/>
                <w:numId w:val="240"/>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Allocation of dedicated funds to support </w:t>
            </w:r>
            <w:r w:rsidR="00A24C9A">
              <w:rPr>
                <w:rFonts w:asciiTheme="minorHAnsi" w:eastAsiaTheme="minorHAnsi" w:hAnsiTheme="minorHAnsi" w:cstheme="minorHAnsi"/>
                <w:sz w:val="18"/>
                <w:szCs w:val="18"/>
                <w:lang w:eastAsia="en-US"/>
              </w:rPr>
              <w:t xml:space="preserve">the </w:t>
            </w:r>
            <w:r w:rsidR="00A24C9A" w:rsidRPr="00A24C9A">
              <w:rPr>
                <w:rFonts w:asciiTheme="minorHAnsi" w:eastAsiaTheme="minorHAnsi" w:hAnsiTheme="minorHAnsi" w:cstheme="minorHAnsi"/>
                <w:sz w:val="18"/>
                <w:szCs w:val="18"/>
                <w:lang w:eastAsia="en-US"/>
              </w:rPr>
              <w:t>nonformal</w:t>
            </w:r>
            <w:r w:rsidRPr="007C4D65">
              <w:rPr>
                <w:rFonts w:asciiTheme="minorHAnsi" w:eastAsiaTheme="minorHAnsi" w:hAnsiTheme="minorHAnsi" w:cstheme="minorHAnsi"/>
                <w:sz w:val="18"/>
                <w:szCs w:val="18"/>
                <w:lang w:eastAsia="en-US"/>
              </w:rPr>
              <w:t xml:space="preserve"> environmental education</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1BEB343" w14:textId="5C4606A9"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Budgets of the </w:t>
            </w:r>
            <w:r w:rsidR="001E6E20" w:rsidRPr="007C4D65">
              <w:rPr>
                <w:rFonts w:asciiTheme="minorHAnsi" w:eastAsiaTheme="minorHAnsi" w:hAnsiTheme="minorHAnsi" w:cstheme="minorHAnsi"/>
                <w:sz w:val="18"/>
                <w:szCs w:val="18"/>
                <w:lang w:eastAsia="en-US"/>
              </w:rPr>
              <w:t>Federation Ministry</w:t>
            </w:r>
            <w:r w:rsidRPr="007C4D65">
              <w:rPr>
                <w:rFonts w:asciiTheme="minorHAnsi" w:eastAsiaTheme="minorHAnsi" w:hAnsiTheme="minorHAnsi" w:cstheme="minorHAnsi"/>
                <w:sz w:val="18"/>
                <w:szCs w:val="18"/>
                <w:lang w:eastAsia="en-US"/>
              </w:rPr>
              <w:t xml:space="preserve"> of Education and Science and cantonal ministries of education allocated certain amounts of dedicated funds to support the </w:t>
            </w:r>
            <w:r w:rsidR="00A24C9A">
              <w:rPr>
                <w:rFonts w:asciiTheme="minorHAnsi" w:eastAsiaTheme="minorHAnsi" w:hAnsiTheme="minorHAnsi" w:cstheme="minorHAnsi"/>
                <w:sz w:val="18"/>
                <w:szCs w:val="18"/>
                <w:lang w:eastAsia="en-US"/>
              </w:rPr>
              <w:t>nonformal</w:t>
            </w:r>
            <w:r w:rsidRPr="007C4D65">
              <w:rPr>
                <w:rFonts w:asciiTheme="minorHAnsi" w:eastAsiaTheme="minorHAnsi" w:hAnsiTheme="minorHAnsi" w:cstheme="minorHAnsi"/>
                <w:sz w:val="18"/>
                <w:szCs w:val="18"/>
                <w:lang w:eastAsia="en-US"/>
              </w:rPr>
              <w:t xml:space="preserve"> environmental education, but this is not sufficient</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BEFFD50" w14:textId="4E93216E"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Funds secured for </w:t>
            </w:r>
            <w:proofErr w:type="gramStart"/>
            <w:r w:rsidR="00A24C9A">
              <w:rPr>
                <w:rFonts w:asciiTheme="minorHAnsi" w:eastAsiaTheme="minorHAnsi" w:hAnsiTheme="minorHAnsi" w:cstheme="minorHAnsi"/>
                <w:sz w:val="18"/>
                <w:szCs w:val="18"/>
                <w:lang w:eastAsia="en-US"/>
              </w:rPr>
              <w:t xml:space="preserve">the </w:t>
            </w:r>
            <w:r w:rsidRPr="007C4D65">
              <w:rPr>
                <w:rFonts w:asciiTheme="minorHAnsi" w:eastAsiaTheme="minorHAnsi" w:hAnsiTheme="minorHAnsi" w:cstheme="minorHAnsi"/>
                <w:sz w:val="18"/>
                <w:szCs w:val="18"/>
                <w:lang w:eastAsia="en-US"/>
              </w:rPr>
              <w:t xml:space="preserve"> </w:t>
            </w:r>
            <w:r w:rsidR="00A24C9A" w:rsidRPr="00A24C9A">
              <w:rPr>
                <w:rFonts w:asciiTheme="minorHAnsi" w:eastAsiaTheme="minorHAnsi" w:hAnsiTheme="minorHAnsi" w:cstheme="minorHAnsi"/>
                <w:sz w:val="18"/>
                <w:szCs w:val="18"/>
                <w:lang w:eastAsia="en-US"/>
              </w:rPr>
              <w:t>nonformal</w:t>
            </w:r>
            <w:proofErr w:type="gramEnd"/>
            <w:r w:rsidR="00A24C9A" w:rsidRPr="00A24C9A">
              <w:rPr>
                <w:rFonts w:asciiTheme="minorHAnsi" w:eastAsiaTheme="minorHAnsi" w:hAnsiTheme="minorHAnsi" w:cstheme="minorHAnsi"/>
                <w:sz w:val="18"/>
                <w:szCs w:val="18"/>
                <w:lang w:eastAsia="en-US"/>
              </w:rPr>
              <w:t xml:space="preserve"> </w:t>
            </w:r>
            <w:r w:rsidRPr="007C4D65">
              <w:rPr>
                <w:rFonts w:asciiTheme="minorHAnsi" w:eastAsiaTheme="minorHAnsi" w:hAnsiTheme="minorHAnsi" w:cstheme="minorHAnsi"/>
                <w:sz w:val="18"/>
                <w:szCs w:val="18"/>
                <w:lang w:eastAsia="en-US"/>
              </w:rPr>
              <w:t>education (based on needs of the target group) of different interest groups (employees of educational institutions, students, professors, parents)</w:t>
            </w:r>
          </w:p>
        </w:tc>
      </w:tr>
      <w:tr w:rsidR="002E2F62" w:rsidRPr="007C4D65" w14:paraId="2AEAC441"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1BA2368"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Effect on the development and contribution of the measure to the 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7CECFE75" w14:textId="7E518125" w:rsidR="002E2F62" w:rsidRPr="007C4D65" w:rsidRDefault="002E2F62" w:rsidP="00B6017F">
            <w:pPr>
              <w:spacing w:before="40" w:after="40" w:line="276" w:lineRule="auto"/>
              <w:rPr>
                <w:rFonts w:asciiTheme="minorHAnsi" w:eastAsiaTheme="minorHAnsi" w:hAnsiTheme="minorHAnsi" w:cstheme="minorHAnsi"/>
                <w:sz w:val="18"/>
                <w:szCs w:val="18"/>
                <w:lang w:val="bs-Latn-BA" w:eastAsia="en-US" w:bidi="en-US"/>
              </w:rPr>
            </w:pPr>
            <w:r w:rsidRPr="007C4D65">
              <w:rPr>
                <w:rFonts w:asciiTheme="minorHAnsi" w:eastAsiaTheme="minorHAnsi" w:hAnsiTheme="minorHAnsi" w:cstheme="minorHAnsi"/>
                <w:sz w:val="18"/>
                <w:szCs w:val="18"/>
                <w:lang w:eastAsia="en-US" w:bidi="en-US"/>
              </w:rPr>
              <w:t>Increased public awareness and knowledge about the main problems in environmental management</w:t>
            </w:r>
          </w:p>
        </w:tc>
      </w:tr>
      <w:tr w:rsidR="002E2F62" w:rsidRPr="007C4D65" w14:paraId="7152AF97"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B77C982" w14:textId="5D8AE417" w:rsidR="002E2F62"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0D7A362E" w14:textId="77777777" w:rsidR="002E2F62" w:rsidRPr="007C4D65" w:rsidRDefault="002E2F62" w:rsidP="00B6017F">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Amount: BAM 24,883</w:t>
            </w:r>
          </w:p>
          <w:p w14:paraId="247D2DCC" w14:textId="6D3F8D1A" w:rsidR="002E2F62" w:rsidRPr="007C4D65" w:rsidRDefault="002E2F62" w:rsidP="00B6017F">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hAnsiTheme="minorHAnsi" w:cstheme="minorHAnsi"/>
                <w:sz w:val="18"/>
                <w:szCs w:val="18"/>
                <w:lang w:val="hr-HR" w:bidi="en-US"/>
              </w:rPr>
              <w:t xml:space="preserve">Source: 100% </w:t>
            </w:r>
            <w:r w:rsidR="000E401F" w:rsidRPr="007C4D65">
              <w:rPr>
                <w:rFonts w:asciiTheme="minorHAnsi" w:hAnsiTheme="minorHAnsi" w:cstheme="minorHAnsi"/>
                <w:sz w:val="18"/>
                <w:szCs w:val="18"/>
                <w:lang w:val="hr-HR" w:bidi="en-US"/>
              </w:rPr>
              <w:t>government budget</w:t>
            </w:r>
          </w:p>
        </w:tc>
      </w:tr>
      <w:tr w:rsidR="002E2F62" w:rsidRPr="007C4D65" w14:paraId="42FF826E"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C2734D0"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721B3E7"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2026</w:t>
            </w:r>
          </w:p>
        </w:tc>
      </w:tr>
      <w:tr w:rsidR="002E2F62" w:rsidRPr="007C4D65" w14:paraId="73B39F52"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F3B83CF"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93C91D7" w14:textId="4C43D6FF" w:rsidR="002E2F62" w:rsidRPr="007C4D65" w:rsidRDefault="001E6E20"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2E2F62" w:rsidRPr="007C4D65">
              <w:rPr>
                <w:rFonts w:asciiTheme="minorHAnsi" w:eastAsiaTheme="minorHAnsi" w:hAnsiTheme="minorHAnsi" w:cstheme="minorHAnsi"/>
                <w:sz w:val="18"/>
                <w:szCs w:val="18"/>
                <w:lang w:eastAsia="en-US"/>
              </w:rPr>
              <w:t xml:space="preserve"> of Education and Science (umbrella institution), cantonal ministries of education</w:t>
            </w:r>
          </w:p>
        </w:tc>
      </w:tr>
      <w:tr w:rsidR="002E2F62" w:rsidRPr="007C4D65" w14:paraId="4F86D0C2"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CF41229"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A699505" w14:textId="30613A99" w:rsidR="002E2F62" w:rsidRPr="007C4D65" w:rsidRDefault="001E6E20"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2E2F62" w:rsidRPr="007C4D65">
              <w:rPr>
                <w:rFonts w:asciiTheme="minorHAnsi" w:eastAsiaTheme="minorHAnsi" w:hAnsiTheme="minorHAnsi" w:cstheme="minorHAnsi"/>
                <w:sz w:val="18"/>
                <w:szCs w:val="18"/>
                <w:lang w:eastAsia="en-US"/>
              </w:rPr>
              <w:t xml:space="preserve"> of Education and Science </w:t>
            </w:r>
            <w:proofErr w:type="gramStart"/>
            <w:r w:rsidR="002E2F62" w:rsidRPr="007C4D65">
              <w:rPr>
                <w:rFonts w:asciiTheme="minorHAnsi" w:eastAsiaTheme="minorHAnsi" w:hAnsiTheme="minorHAnsi" w:cstheme="minorHAnsi"/>
                <w:sz w:val="18"/>
                <w:szCs w:val="18"/>
                <w:lang w:eastAsia="en-US"/>
              </w:rPr>
              <w:t>I(</w:t>
            </w:r>
            <w:proofErr w:type="gramEnd"/>
            <w:r w:rsidR="002E2F62" w:rsidRPr="007C4D65">
              <w:rPr>
                <w:rFonts w:asciiTheme="minorHAnsi" w:eastAsiaTheme="minorHAnsi" w:hAnsiTheme="minorHAnsi" w:cstheme="minorHAnsi"/>
                <w:sz w:val="18"/>
                <w:szCs w:val="18"/>
                <w:lang w:eastAsia="en-US"/>
              </w:rPr>
              <w:t>umbrella institution), cantonal ministries of education, educational institutions, (international) non-governmental organizations</w:t>
            </w:r>
          </w:p>
        </w:tc>
      </w:tr>
      <w:tr w:rsidR="002E2F62" w:rsidRPr="007C4D65" w14:paraId="2B0A8CB4"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2038A8E" w14:textId="6D66C001" w:rsidR="002E2F62"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CE72886"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Employees of educational institutions, students, professors, students’ parents</w:t>
            </w:r>
          </w:p>
        </w:tc>
      </w:tr>
    </w:tbl>
    <w:p w14:paraId="4EC48EB6" w14:textId="77777777" w:rsidR="002E2F62" w:rsidRPr="007C4D65" w:rsidRDefault="002E2F62" w:rsidP="002E2F62">
      <w:pPr>
        <w:spacing w:line="276" w:lineRule="auto"/>
        <w:rPr>
          <w:rFonts w:asciiTheme="minorHAnsi" w:hAnsiTheme="minorHAnsi" w:cstheme="minorHAnsi"/>
          <w:sz w:val="18"/>
          <w:szCs w:val="18"/>
        </w:rPr>
      </w:pPr>
    </w:p>
    <w:p w14:paraId="65A3B43B" w14:textId="77777777" w:rsidR="002E2F62" w:rsidRPr="007C4D65" w:rsidRDefault="002E2F62" w:rsidP="002E2F62">
      <w:pPr>
        <w:spacing w:line="276" w:lineRule="auto"/>
        <w:rPr>
          <w:rFonts w:asciiTheme="minorHAnsi" w:hAnsiTheme="minorHAnsi" w:cstheme="minorHAnsi"/>
          <w:sz w:val="18"/>
          <w:szCs w:val="18"/>
        </w:rPr>
      </w:pPr>
    </w:p>
    <w:tbl>
      <w:tblPr>
        <w:tblW w:w="4624" w:type="pct"/>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545"/>
        <w:gridCol w:w="3493"/>
        <w:gridCol w:w="3240"/>
        <w:gridCol w:w="2621"/>
      </w:tblGrid>
      <w:tr w:rsidR="002E2F62" w:rsidRPr="007C4D65" w14:paraId="619AFCB8"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4462CA6"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Link with the strategic goal</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32BC7C1" w14:textId="77777777" w:rsidR="002E2F62" w:rsidRPr="007C4D65" w:rsidRDefault="002E2F62" w:rsidP="00B6017F">
            <w:pPr>
              <w:spacing w:before="40" w:after="40" w:line="276" w:lineRule="auto"/>
              <w:rPr>
                <w:rFonts w:asciiTheme="minorHAnsi" w:eastAsia="Calibr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 Strengthening environmental management</w:t>
            </w:r>
          </w:p>
        </w:tc>
      </w:tr>
      <w:tr w:rsidR="002E2F62" w:rsidRPr="007C4D65" w14:paraId="5212999E"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1DE153C"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FE151FA" w14:textId="77777777" w:rsidR="002E2F62" w:rsidRPr="007C4D65" w:rsidRDefault="002E2F62" w:rsidP="00B6017F">
            <w:pPr>
              <w:spacing w:before="40" w:after="40" w:line="276" w:lineRule="auto"/>
              <w:rPr>
                <w:rFonts w:asciiTheme="minorHAnsi" w:hAnsiTheme="minorHAnsi" w:cstheme="minorHAnsi"/>
                <w:b/>
                <w:bCs/>
                <w:sz w:val="18"/>
                <w:szCs w:val="18"/>
                <w:lang w:eastAsia="en-US"/>
              </w:rPr>
            </w:pPr>
            <w:r w:rsidRPr="007C4D65">
              <w:rPr>
                <w:rFonts w:asciiTheme="minorHAnsi" w:eastAsiaTheme="minorHAnsi" w:hAnsiTheme="minorHAnsi" w:cstheme="minorHAnsi"/>
                <w:b/>
                <w:sz w:val="18"/>
                <w:szCs w:val="18"/>
                <w:lang w:eastAsia="en-US"/>
              </w:rPr>
              <w:t>7.8 Developing a system of strategic decision-making, investments and monitoring of effects in environmental education, research and innovation</w:t>
            </w:r>
          </w:p>
        </w:tc>
      </w:tr>
      <w:tr w:rsidR="002E2F62" w:rsidRPr="007C4D65" w14:paraId="209F465F"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E9C2C46"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Title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85B4628" w14:textId="17D45B9C" w:rsidR="002E2F62" w:rsidRPr="007C4D65" w:rsidRDefault="002E2F62" w:rsidP="00B6017F">
            <w:pPr>
              <w:spacing w:before="40" w:after="40" w:line="276" w:lineRule="auto"/>
              <w:rPr>
                <w:rFonts w:asciiTheme="minorHAnsi" w:eastAsia="Calibri" w:hAnsiTheme="minorHAnsi" w:cstheme="minorHAnsi"/>
                <w:b/>
                <w:sz w:val="18"/>
                <w:szCs w:val="18"/>
                <w:lang w:eastAsia="en-US"/>
              </w:rPr>
            </w:pPr>
            <w:bookmarkStart w:id="422" w:name="_Hlk95009903"/>
            <w:r w:rsidRPr="007C4D65">
              <w:rPr>
                <w:rFonts w:asciiTheme="minorHAnsi" w:eastAsiaTheme="minorHAnsi" w:hAnsiTheme="minorHAnsi" w:cstheme="minorHAnsi"/>
                <w:b/>
                <w:sz w:val="18"/>
                <w:szCs w:val="18"/>
                <w:lang w:eastAsia="en-US"/>
              </w:rPr>
              <w:t>7.8.4 Strengthening research capacities in the environment sector</w:t>
            </w:r>
            <w:bookmarkEnd w:id="422"/>
          </w:p>
        </w:tc>
      </w:tr>
      <w:tr w:rsidR="002E2F62" w:rsidRPr="007C4D65" w14:paraId="104782F5"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95B7C30"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 xml:space="preserve">Description of the measure with general area of intervention </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5B7F076" w14:textId="48CB35BB" w:rsidR="002E2F62" w:rsidRPr="007C4D65" w:rsidRDefault="002E2F62" w:rsidP="00B6017F">
            <w:pPr>
              <w:spacing w:before="40" w:after="40" w:line="276" w:lineRule="auto"/>
              <w:rPr>
                <w:rFonts w:asciiTheme="minorHAnsi" w:eastAsia="Calibri" w:hAnsiTheme="minorHAnsi" w:cstheme="minorHAnsi"/>
                <w:sz w:val="18"/>
                <w:szCs w:val="18"/>
                <w:lang w:eastAsia="en-US"/>
              </w:rPr>
            </w:pPr>
            <w:bookmarkStart w:id="423" w:name="_Hlk95009917"/>
            <w:r w:rsidRPr="007C4D65">
              <w:rPr>
                <w:rFonts w:asciiTheme="minorHAnsi" w:eastAsiaTheme="minorHAnsi" w:hAnsiTheme="minorHAnsi" w:cstheme="minorHAnsi"/>
                <w:sz w:val="18"/>
                <w:szCs w:val="18"/>
                <w:lang w:eastAsia="en-US"/>
              </w:rPr>
              <w:t>This measure aims at enhancing research capacities in the environment sector</w:t>
            </w:r>
            <w:bookmarkEnd w:id="423"/>
            <w:r w:rsidRPr="007C4D65">
              <w:rPr>
                <w:rFonts w:asciiTheme="minorHAnsi" w:eastAsiaTheme="minorHAnsi" w:hAnsiTheme="minorHAnsi" w:cstheme="minorHAnsi"/>
                <w:sz w:val="18"/>
                <w:szCs w:val="18"/>
                <w:lang w:eastAsia="en-US"/>
              </w:rPr>
              <w:t>.</w:t>
            </w:r>
          </w:p>
          <w:p w14:paraId="5C90D374" w14:textId="77777777" w:rsidR="002E2F62" w:rsidRPr="007C4D65" w:rsidRDefault="002E2F62" w:rsidP="00B6017F">
            <w:pPr>
              <w:spacing w:before="40" w:after="40" w:line="276" w:lineRule="auto"/>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General areas of intervention are:</w:t>
            </w:r>
          </w:p>
          <w:p w14:paraId="3B0CFB42" w14:textId="36D91A68" w:rsidR="002E2F62" w:rsidRPr="007C4D65" w:rsidRDefault="002E2F62">
            <w:pPr>
              <w:numPr>
                <w:ilvl w:val="0"/>
                <w:numId w:val="24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Providing information to academia and industry about available international funds for research and capacity building in the environment sector which may be obtained through international </w:t>
            </w:r>
            <w:proofErr w:type="gramStart"/>
            <w:r w:rsidRPr="007C4D65">
              <w:rPr>
                <w:rFonts w:asciiTheme="minorHAnsi" w:eastAsiaTheme="minorHAnsi" w:hAnsiTheme="minorHAnsi" w:cstheme="minorHAnsi"/>
                <w:sz w:val="18"/>
                <w:szCs w:val="18"/>
                <w:lang w:eastAsia="en-US"/>
              </w:rPr>
              <w:t>projects</w:t>
            </w:r>
            <w:r w:rsidR="000536EA" w:rsidRPr="007C4D65">
              <w:rPr>
                <w:rFonts w:asciiTheme="minorHAnsi" w:eastAsia="Calibri" w:hAnsiTheme="minorHAnsi" w:cstheme="minorHAnsi"/>
                <w:sz w:val="18"/>
                <w:szCs w:val="18"/>
                <w:lang w:eastAsia="en-US"/>
              </w:rPr>
              <w:t>;</w:t>
            </w:r>
            <w:proofErr w:type="gramEnd"/>
          </w:p>
          <w:p w14:paraId="7C0FDEF3" w14:textId="41D6C898" w:rsidR="002E2F62" w:rsidRPr="007C4D65" w:rsidRDefault="002E2F62">
            <w:pPr>
              <w:numPr>
                <w:ilvl w:val="0"/>
                <w:numId w:val="24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Allocating dedicated funds for innovation and development, and application of new technologies aimed at reducing </w:t>
            </w:r>
            <w:proofErr w:type="gramStart"/>
            <w:r w:rsidRPr="007C4D65">
              <w:rPr>
                <w:rFonts w:asciiTheme="minorHAnsi" w:eastAsiaTheme="minorHAnsi" w:hAnsiTheme="minorHAnsi" w:cstheme="minorHAnsi"/>
                <w:sz w:val="18"/>
                <w:szCs w:val="18"/>
                <w:lang w:eastAsia="en-US"/>
              </w:rPr>
              <w:t>pollution</w:t>
            </w:r>
            <w:r w:rsidR="000536EA" w:rsidRPr="007C4D65">
              <w:rPr>
                <w:rFonts w:asciiTheme="minorHAnsi" w:eastAsiaTheme="minorHAnsi" w:hAnsiTheme="minorHAnsi" w:cstheme="minorHAnsi"/>
                <w:sz w:val="18"/>
                <w:szCs w:val="18"/>
                <w:lang w:eastAsia="en-US"/>
              </w:rPr>
              <w:t>;</w:t>
            </w:r>
            <w:proofErr w:type="gramEnd"/>
          </w:p>
          <w:p w14:paraId="07E91787" w14:textId="731E1226" w:rsidR="002E2F62" w:rsidRPr="007C4D65" w:rsidRDefault="002E2F62">
            <w:pPr>
              <w:numPr>
                <w:ilvl w:val="0"/>
                <w:numId w:val="241"/>
              </w:numPr>
              <w:spacing w:before="40" w:after="40" w:line="276" w:lineRule="auto"/>
              <w:ind w:left="360"/>
              <w:contextualSpacing/>
              <w:rPr>
                <w:rFonts w:asciiTheme="minorHAnsi" w:eastAsia="Calibri" w:hAnsiTheme="minorHAnsi" w:cstheme="minorHAnsi"/>
                <w:sz w:val="18"/>
                <w:szCs w:val="18"/>
                <w:lang w:eastAsia="en-US"/>
              </w:rPr>
            </w:pPr>
            <w:bookmarkStart w:id="424" w:name="_Hlk95010034"/>
            <w:r w:rsidRPr="007C4D65">
              <w:rPr>
                <w:rFonts w:asciiTheme="minorHAnsi" w:eastAsiaTheme="minorHAnsi" w:hAnsiTheme="minorHAnsi" w:cstheme="minorHAnsi"/>
                <w:sz w:val="18"/>
                <w:szCs w:val="18"/>
                <w:lang w:eastAsia="en-US"/>
              </w:rPr>
              <w:t>Integration research on sustainable use of natural resources and managements of climate change impacts on natural resources in the annual research program</w:t>
            </w:r>
            <w:r w:rsidR="00B80FAD" w:rsidRPr="007C4D65">
              <w:rPr>
                <w:rFonts w:asciiTheme="minorHAnsi" w:eastAsiaTheme="minorHAnsi" w:hAnsiTheme="minorHAnsi" w:cstheme="minorHAnsi"/>
                <w:sz w:val="18"/>
                <w:szCs w:val="18"/>
                <w:lang w:eastAsia="en-US"/>
              </w:rPr>
              <w:t>me</w:t>
            </w:r>
            <w:r w:rsidRPr="007C4D65">
              <w:rPr>
                <w:rFonts w:asciiTheme="minorHAnsi" w:eastAsiaTheme="minorHAnsi" w:hAnsiTheme="minorHAnsi" w:cstheme="minorHAnsi"/>
                <w:sz w:val="18"/>
                <w:szCs w:val="18"/>
                <w:lang w:eastAsia="en-US"/>
              </w:rPr>
              <w:t xml:space="preserve"> </w:t>
            </w:r>
            <w:r w:rsidR="007436F1" w:rsidRPr="007C4D65">
              <w:rPr>
                <w:rFonts w:asciiTheme="minorHAnsi" w:eastAsiaTheme="minorHAnsi" w:hAnsiTheme="minorHAnsi" w:cstheme="minorHAnsi"/>
                <w:sz w:val="18"/>
                <w:szCs w:val="18"/>
                <w:lang w:eastAsia="en-US"/>
              </w:rPr>
              <w:t>of the Federation of BiH</w:t>
            </w:r>
            <w:bookmarkEnd w:id="424"/>
            <w:r w:rsidRPr="007C4D65">
              <w:rPr>
                <w:rFonts w:asciiTheme="minorHAnsi" w:eastAsiaTheme="minorHAnsi" w:hAnsiTheme="minorHAnsi" w:cstheme="minorHAnsi"/>
                <w:sz w:val="18"/>
                <w:szCs w:val="18"/>
                <w:lang w:eastAsia="en-US"/>
              </w:rPr>
              <w:t xml:space="preserve">, supported by the Fund for Science. It is necessary to envisage allocations for incentives amounting to 30% of the overall </w:t>
            </w:r>
            <w:proofErr w:type="gramStart"/>
            <w:r w:rsidRPr="007C4D65">
              <w:rPr>
                <w:rFonts w:asciiTheme="minorHAnsi" w:eastAsiaTheme="minorHAnsi" w:hAnsiTheme="minorHAnsi" w:cstheme="minorHAnsi"/>
                <w:sz w:val="18"/>
                <w:szCs w:val="18"/>
                <w:lang w:eastAsia="en-US"/>
              </w:rPr>
              <w:t>fund</w:t>
            </w:r>
            <w:r w:rsidR="000536EA" w:rsidRPr="007C4D65">
              <w:rPr>
                <w:rFonts w:asciiTheme="minorHAnsi" w:eastAsiaTheme="minorHAnsi" w:hAnsiTheme="minorHAnsi" w:cstheme="minorHAnsi"/>
                <w:sz w:val="18"/>
                <w:szCs w:val="18"/>
                <w:lang w:eastAsia="en-US"/>
              </w:rPr>
              <w:t>;</w:t>
            </w:r>
            <w:proofErr w:type="gramEnd"/>
          </w:p>
          <w:p w14:paraId="14384447" w14:textId="1C2037FC" w:rsidR="002E2F62" w:rsidRPr="007C4D65" w:rsidRDefault="002E2F62">
            <w:pPr>
              <w:numPr>
                <w:ilvl w:val="0"/>
                <w:numId w:val="241"/>
              </w:numPr>
              <w:spacing w:before="40" w:after="40" w:line="276" w:lineRule="auto"/>
              <w:ind w:left="360"/>
              <w:contextualSpacing/>
              <w:rPr>
                <w:rFonts w:asciiTheme="minorHAnsi" w:eastAsia="Calibri" w:hAnsiTheme="minorHAnsi" w:cstheme="minorHAnsi"/>
                <w:sz w:val="18"/>
                <w:szCs w:val="18"/>
                <w:lang w:eastAsia="en-US"/>
              </w:rPr>
            </w:pPr>
            <w:bookmarkStart w:id="425" w:name="_Hlk95010001"/>
            <w:r w:rsidRPr="007C4D65">
              <w:rPr>
                <w:rFonts w:asciiTheme="minorHAnsi" w:eastAsiaTheme="minorHAnsi" w:hAnsiTheme="minorHAnsi" w:cstheme="minorHAnsi"/>
                <w:sz w:val="18"/>
                <w:szCs w:val="18"/>
                <w:lang w:eastAsia="en-US"/>
              </w:rPr>
              <w:t>Supporting organisation of professional and scientific conferences/symposia with international relevance</w:t>
            </w:r>
            <w:bookmarkEnd w:id="425"/>
            <w:r w:rsidRPr="007C4D65">
              <w:rPr>
                <w:rFonts w:asciiTheme="minorHAnsi" w:eastAsiaTheme="minorHAnsi" w:hAnsiTheme="minorHAnsi" w:cstheme="minorHAnsi"/>
                <w:sz w:val="18"/>
                <w:szCs w:val="18"/>
                <w:lang w:eastAsia="en-US"/>
              </w:rPr>
              <w:t xml:space="preserve">, every two </w:t>
            </w:r>
            <w:proofErr w:type="gramStart"/>
            <w:r w:rsidRPr="007C4D65">
              <w:rPr>
                <w:rFonts w:asciiTheme="minorHAnsi" w:eastAsiaTheme="minorHAnsi" w:hAnsiTheme="minorHAnsi" w:cstheme="minorHAnsi"/>
                <w:sz w:val="18"/>
                <w:szCs w:val="18"/>
                <w:lang w:eastAsia="en-US"/>
              </w:rPr>
              <w:t>years</w:t>
            </w:r>
            <w:r w:rsidR="000536EA" w:rsidRPr="007C4D65">
              <w:rPr>
                <w:rFonts w:asciiTheme="minorHAnsi" w:eastAsia="Calibri" w:hAnsiTheme="minorHAnsi" w:cstheme="minorHAnsi"/>
                <w:sz w:val="18"/>
                <w:szCs w:val="18"/>
                <w:lang w:eastAsia="en-US"/>
              </w:rPr>
              <w:t>;</w:t>
            </w:r>
            <w:proofErr w:type="gramEnd"/>
          </w:p>
          <w:p w14:paraId="4DA00E0A" w14:textId="62A24E73" w:rsidR="002E2F62" w:rsidRPr="007C4D65" w:rsidRDefault="002E2F62">
            <w:pPr>
              <w:numPr>
                <w:ilvl w:val="0"/>
                <w:numId w:val="241"/>
              </w:numPr>
              <w:spacing w:before="40" w:after="40" w:line="276" w:lineRule="auto"/>
              <w:ind w:left="360"/>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lastRenderedPageBreak/>
              <w:t xml:space="preserve">Improving (expanding concept and activities of) cooperation of academia and industry in the environment sector, and involving the industry in funding of research </w:t>
            </w:r>
            <w:proofErr w:type="gramStart"/>
            <w:r w:rsidRPr="007C4D65">
              <w:rPr>
                <w:rFonts w:asciiTheme="minorHAnsi" w:eastAsiaTheme="minorHAnsi" w:hAnsiTheme="minorHAnsi" w:cstheme="minorHAnsi"/>
                <w:sz w:val="18"/>
                <w:szCs w:val="18"/>
                <w:lang w:eastAsia="en-US"/>
              </w:rPr>
              <w:t>in the area of</w:t>
            </w:r>
            <w:proofErr w:type="gramEnd"/>
            <w:r w:rsidRPr="007C4D65">
              <w:rPr>
                <w:rFonts w:asciiTheme="minorHAnsi" w:eastAsiaTheme="minorHAnsi" w:hAnsiTheme="minorHAnsi" w:cstheme="minorHAnsi"/>
                <w:sz w:val="18"/>
                <w:szCs w:val="18"/>
                <w:lang w:eastAsia="en-US"/>
              </w:rPr>
              <w:t xml:space="preserve"> environment through cooperation of researchers and innovators, and businesses</w:t>
            </w:r>
            <w:r w:rsidR="000536EA" w:rsidRPr="007C4D65">
              <w:rPr>
                <w:rFonts w:asciiTheme="minorHAnsi" w:eastAsia="Calibri" w:hAnsiTheme="minorHAnsi" w:cstheme="minorHAnsi"/>
                <w:sz w:val="18"/>
                <w:szCs w:val="18"/>
                <w:lang w:eastAsia="en-US"/>
              </w:rPr>
              <w:t>;</w:t>
            </w:r>
          </w:p>
        </w:tc>
      </w:tr>
      <w:tr w:rsidR="002E2F62" w:rsidRPr="007C4D65" w14:paraId="5CE565AE"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2277A502"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Strategic projects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themeFill="background1"/>
            <w:vAlign w:val="center"/>
            <w:hideMark/>
          </w:tcPr>
          <w:p w14:paraId="6301F373"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r>
      <w:tr w:rsidR="002E2F62" w:rsidRPr="007C4D65" w14:paraId="57BE4410" w14:textId="77777777" w:rsidTr="00B6017F">
        <w:trPr>
          <w:trHeight w:val="567"/>
        </w:trPr>
        <w:tc>
          <w:tcPr>
            <w:tcW w:w="1374" w:type="pct"/>
            <w:vMerge w:val="restar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77ABB6B"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 for monitoring of results</w:t>
            </w:r>
          </w:p>
        </w:tc>
        <w:tc>
          <w:tcPr>
            <w:tcW w:w="135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6A74F7B2"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Indicators</w:t>
            </w:r>
          </w:p>
          <w:p w14:paraId="244F6339"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w:t>
            </w:r>
            <w:proofErr w:type="gramStart"/>
            <w:r w:rsidRPr="007C4D65">
              <w:rPr>
                <w:rFonts w:asciiTheme="minorHAnsi" w:eastAsiaTheme="minorHAnsi" w:hAnsiTheme="minorHAnsi" w:cstheme="minorHAnsi"/>
                <w:b/>
                <w:color w:val="FFFFFF" w:themeColor="background1"/>
                <w:sz w:val="18"/>
                <w:szCs w:val="18"/>
                <w:lang w:eastAsia="en-US"/>
              </w:rPr>
              <w:t>outputs</w:t>
            </w:r>
            <w:proofErr w:type="gramEnd"/>
            <w:r w:rsidRPr="007C4D65">
              <w:rPr>
                <w:rFonts w:asciiTheme="minorHAnsi" w:eastAsiaTheme="minorHAnsi" w:hAnsiTheme="minorHAnsi" w:cstheme="minorHAnsi"/>
                <w:b/>
                <w:color w:val="FFFFFF" w:themeColor="background1"/>
                <w:sz w:val="18"/>
                <w:szCs w:val="18"/>
                <w:lang w:eastAsia="en-US"/>
              </w:rPr>
              <w:t xml:space="preserve"> and deliverables)</w:t>
            </w:r>
          </w:p>
        </w:tc>
        <w:tc>
          <w:tcPr>
            <w:tcW w:w="125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49E4957"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Baseline value</w:t>
            </w:r>
          </w:p>
          <w:p w14:paraId="17705AF6"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(2021)</w:t>
            </w:r>
          </w:p>
        </w:tc>
        <w:tc>
          <w:tcPr>
            <w:tcW w:w="1016"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C5E465D" w14:textId="77777777" w:rsidR="002E2F62" w:rsidRPr="007C4D65" w:rsidRDefault="002E2F62" w:rsidP="00B6017F">
            <w:pPr>
              <w:spacing w:before="40" w:after="40" w:line="276" w:lineRule="auto"/>
              <w:jc w:val="center"/>
              <w:rPr>
                <w:rFonts w:asciiTheme="minorHAnsi" w:eastAsiaTheme="minorHAnsi" w:hAnsiTheme="minorHAnsi" w:cstheme="minorHAnsi"/>
                <w:b/>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value</w:t>
            </w:r>
          </w:p>
        </w:tc>
      </w:tr>
      <w:tr w:rsidR="002E2F62" w:rsidRPr="007C4D65" w14:paraId="2A5E569A"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3945F154"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B480359" w14:textId="77777777" w:rsidR="002E2F62" w:rsidRPr="007C4D65" w:rsidRDefault="002E2F62">
            <w:pPr>
              <w:numPr>
                <w:ilvl w:val="0"/>
                <w:numId w:val="242"/>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Awareness of representatives of academia and industry about available funds for which they may routinely apply</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4B55363"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Partial knowledge on access to funds</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B4CBF93"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Representatives of academia and industry informed of available funds and apply on a regular basis for international projects (continuously - 2030)</w:t>
            </w:r>
          </w:p>
        </w:tc>
      </w:tr>
      <w:tr w:rsidR="002E2F62" w:rsidRPr="007C4D65" w14:paraId="3CE899A7"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002D1084"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BDF3EC4" w14:textId="4FA3E35B" w:rsidR="002E2F62" w:rsidRPr="007C4D65" w:rsidRDefault="002E2F62">
            <w:pPr>
              <w:numPr>
                <w:ilvl w:val="0"/>
                <w:numId w:val="242"/>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Regular patterns of budget allocations for investments into innovations and development in the </w:t>
            </w:r>
            <w:r w:rsidR="001E6E20" w:rsidRPr="007C4D65">
              <w:rPr>
                <w:rFonts w:asciiTheme="minorHAnsi" w:eastAsiaTheme="minorHAnsi" w:hAnsiTheme="minorHAnsi" w:cstheme="minorHAnsi"/>
                <w:sz w:val="18"/>
                <w:szCs w:val="18"/>
                <w:lang w:eastAsia="en-US"/>
              </w:rPr>
              <w:t>Federation Ministry</w:t>
            </w:r>
            <w:r w:rsidRPr="007C4D65">
              <w:rPr>
                <w:rFonts w:asciiTheme="minorHAnsi" w:eastAsiaTheme="minorHAnsi" w:hAnsiTheme="minorHAnsi" w:cstheme="minorHAnsi"/>
                <w:sz w:val="18"/>
                <w:szCs w:val="18"/>
                <w:lang w:eastAsia="en-US"/>
              </w:rPr>
              <w:t xml:space="preserve"> of Education and Science and cantonal ministries of education</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E77C27E"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Certain funds have been allocated, but this is not sufficient</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36D231A" w14:textId="4666459F"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Regular planning of budget allocations in the </w:t>
            </w:r>
            <w:r w:rsidR="001E6E20" w:rsidRPr="007C4D65">
              <w:rPr>
                <w:rFonts w:asciiTheme="minorHAnsi" w:eastAsiaTheme="minorHAnsi" w:hAnsiTheme="minorHAnsi" w:cstheme="minorHAnsi"/>
                <w:sz w:val="18"/>
                <w:szCs w:val="18"/>
                <w:lang w:eastAsia="en-US"/>
              </w:rPr>
              <w:t>Federation Ministry</w:t>
            </w:r>
            <w:r w:rsidRPr="007C4D65">
              <w:rPr>
                <w:rFonts w:asciiTheme="minorHAnsi" w:eastAsiaTheme="minorHAnsi" w:hAnsiTheme="minorHAnsi" w:cstheme="minorHAnsi"/>
                <w:sz w:val="18"/>
                <w:szCs w:val="18"/>
                <w:lang w:eastAsia="en-US"/>
              </w:rPr>
              <w:t xml:space="preserve"> of Education and Science and cantonal ministries of education for investments in innovation and development (2028)</w:t>
            </w:r>
          </w:p>
        </w:tc>
      </w:tr>
      <w:tr w:rsidR="002E2F62" w:rsidRPr="007C4D65" w14:paraId="693945CB"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425B633A"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6FA6D74" w14:textId="77777777" w:rsidR="002E2F62" w:rsidRPr="007C4D65" w:rsidRDefault="002E2F62">
            <w:pPr>
              <w:numPr>
                <w:ilvl w:val="0"/>
                <w:numId w:val="242"/>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Number of projects relevant for sustainable natural resources management annually funded by the Federal Fund for Science</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045DCA0"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32DA5AA"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The Federal Fund for </w:t>
            </w:r>
            <w:proofErr w:type="gramStart"/>
            <w:r w:rsidRPr="007C4D65">
              <w:rPr>
                <w:rFonts w:asciiTheme="minorHAnsi" w:eastAsiaTheme="minorHAnsi" w:hAnsiTheme="minorHAnsi" w:cstheme="minorHAnsi"/>
                <w:sz w:val="18"/>
                <w:szCs w:val="18"/>
                <w:lang w:eastAsia="en-US"/>
              </w:rPr>
              <w:t>Science  funds</w:t>
            </w:r>
            <w:proofErr w:type="gramEnd"/>
            <w:r w:rsidRPr="007C4D65">
              <w:rPr>
                <w:rFonts w:asciiTheme="minorHAnsi" w:eastAsiaTheme="minorHAnsi" w:hAnsiTheme="minorHAnsi" w:cstheme="minorHAnsi"/>
                <w:sz w:val="18"/>
                <w:szCs w:val="18"/>
                <w:lang w:eastAsia="en-US"/>
              </w:rPr>
              <w:t xml:space="preserve"> at least 3 projects relevant for sustainable natural resources management (continued - 2030)</w:t>
            </w:r>
          </w:p>
        </w:tc>
      </w:tr>
      <w:tr w:rsidR="002E2F62" w:rsidRPr="007C4D65" w14:paraId="55230127"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5537712F"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AFDFC41" w14:textId="77777777" w:rsidR="002E2F62" w:rsidRPr="007C4D65" w:rsidRDefault="002E2F62">
            <w:pPr>
              <w:numPr>
                <w:ilvl w:val="0"/>
                <w:numId w:val="242"/>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Number of conferences co-funded by the Federal Fund for Science</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0CC31DD6"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345C5483"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The Federal Fund for Science funds at least 1 professional-scientific conference every two years</w:t>
            </w:r>
          </w:p>
        </w:tc>
      </w:tr>
      <w:tr w:rsidR="002E2F62" w:rsidRPr="007C4D65" w14:paraId="6E4B38B0" w14:textId="77777777" w:rsidTr="00B6017F">
        <w:trPr>
          <w:trHeight w:val="567"/>
        </w:trPr>
        <w:tc>
          <w:tcPr>
            <w:tcW w:w="0" w:type="auto"/>
            <w:vMerge/>
            <w:tcBorders>
              <w:top w:val="single" w:sz="4" w:space="0" w:color="A6A6A6"/>
              <w:left w:val="single" w:sz="4" w:space="0" w:color="A6A6A6"/>
              <w:bottom w:val="single" w:sz="4" w:space="0" w:color="A6A6A6"/>
              <w:right w:val="single" w:sz="4" w:space="0" w:color="A6A6A6"/>
            </w:tcBorders>
            <w:vAlign w:val="center"/>
            <w:hideMark/>
          </w:tcPr>
          <w:p w14:paraId="3AF00DA9" w14:textId="77777777" w:rsidR="002E2F62" w:rsidRPr="007C4D65" w:rsidRDefault="002E2F62" w:rsidP="00B6017F">
            <w:pPr>
              <w:spacing w:line="259" w:lineRule="auto"/>
              <w:rPr>
                <w:rFonts w:asciiTheme="minorHAnsi" w:eastAsiaTheme="minorHAnsi" w:hAnsiTheme="minorHAnsi" w:cstheme="minorHAnsi"/>
                <w:b/>
                <w:bCs/>
                <w:color w:val="FFFFFF" w:themeColor="background1"/>
                <w:sz w:val="18"/>
                <w:szCs w:val="18"/>
                <w:lang w:val="bs-Latn-BA" w:eastAsia="en-US" w:bidi="en-US"/>
              </w:rPr>
            </w:pPr>
          </w:p>
        </w:tc>
        <w:tc>
          <w:tcPr>
            <w:tcW w:w="1354"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648D3BA" w14:textId="77777777" w:rsidR="002E2F62" w:rsidRPr="007C4D65" w:rsidRDefault="002E2F62">
            <w:pPr>
              <w:numPr>
                <w:ilvl w:val="0"/>
                <w:numId w:val="242"/>
              </w:numPr>
              <w:spacing w:before="40" w:after="40" w:line="276" w:lineRule="auto"/>
              <w:contextualSpacing/>
              <w:rPr>
                <w:rFonts w:asciiTheme="minorHAnsi" w:eastAsia="Calibri" w:hAnsiTheme="minorHAnsi" w:cstheme="minorHAnsi"/>
                <w:sz w:val="18"/>
                <w:szCs w:val="18"/>
                <w:lang w:eastAsia="en-US"/>
              </w:rPr>
            </w:pPr>
            <w:r w:rsidRPr="007C4D65">
              <w:rPr>
                <w:rFonts w:asciiTheme="minorHAnsi" w:eastAsiaTheme="minorHAnsi" w:hAnsiTheme="minorHAnsi" w:cstheme="minorHAnsi"/>
                <w:sz w:val="18"/>
                <w:szCs w:val="18"/>
                <w:lang w:eastAsia="en-US"/>
              </w:rPr>
              <w:t>Quality of contacts and forms of cooperation between academia and industry</w:t>
            </w:r>
          </w:p>
        </w:tc>
        <w:tc>
          <w:tcPr>
            <w:tcW w:w="125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2EF5D69"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Partial cooperation </w:t>
            </w:r>
          </w:p>
        </w:tc>
        <w:tc>
          <w:tcPr>
            <w:tcW w:w="1016" w:type="pct"/>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3DF72FD"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New contacts and forms of cooperation between academia and economy developed</w:t>
            </w:r>
          </w:p>
        </w:tc>
      </w:tr>
      <w:tr w:rsidR="002E2F62" w:rsidRPr="007C4D65" w14:paraId="5028DDF4"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6CA9D8A"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lastRenderedPageBreak/>
              <w:t>Effect on the development and contribution of the measure to the priority</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360A9CA9" w14:textId="65EE1753" w:rsidR="002E2F62" w:rsidRPr="007C4D65" w:rsidRDefault="002E2F62" w:rsidP="00B6017F">
            <w:pPr>
              <w:spacing w:before="40" w:after="40" w:line="276" w:lineRule="auto"/>
              <w:rPr>
                <w:rFonts w:asciiTheme="minorHAnsi" w:eastAsiaTheme="minorHAnsi" w:hAnsiTheme="minorHAnsi" w:cstheme="minorHAnsi"/>
                <w:sz w:val="18"/>
                <w:szCs w:val="18"/>
                <w:lang w:val="bs-Latn-BA" w:eastAsia="en-US" w:bidi="en-US"/>
              </w:rPr>
            </w:pPr>
            <w:r w:rsidRPr="007C4D65">
              <w:rPr>
                <w:rFonts w:asciiTheme="minorHAnsi" w:eastAsiaTheme="minorHAnsi" w:hAnsiTheme="minorHAnsi" w:cstheme="minorHAnsi"/>
                <w:sz w:val="18"/>
                <w:szCs w:val="18"/>
                <w:lang w:eastAsia="en-US" w:bidi="en-US"/>
              </w:rPr>
              <w:t xml:space="preserve">Efficient and effective support to research and innovation which ensure that innovative ideas </w:t>
            </w:r>
            <w:r w:rsidR="000536EA" w:rsidRPr="007C4D65">
              <w:rPr>
                <w:rFonts w:asciiTheme="minorHAnsi" w:eastAsiaTheme="minorHAnsi" w:hAnsiTheme="minorHAnsi" w:cstheme="minorHAnsi"/>
                <w:sz w:val="18"/>
                <w:szCs w:val="18"/>
                <w:lang w:eastAsia="en-US" w:bidi="en-US"/>
              </w:rPr>
              <w:t>are transformed into</w:t>
            </w:r>
            <w:r w:rsidRPr="007C4D65">
              <w:rPr>
                <w:rFonts w:asciiTheme="minorHAnsi" w:eastAsiaTheme="minorHAnsi" w:hAnsiTheme="minorHAnsi" w:cstheme="minorHAnsi"/>
                <w:sz w:val="18"/>
                <w:szCs w:val="18"/>
                <w:lang w:eastAsia="en-US" w:bidi="en-US"/>
              </w:rPr>
              <w:t xml:space="preserve"> products and services which address environmental problems and create jobs and boost growth. Increased scientific knowledge improves strategic evidence-based </w:t>
            </w:r>
            <w:r w:rsidR="009F16BA" w:rsidRPr="007C4D65">
              <w:rPr>
                <w:rFonts w:asciiTheme="minorHAnsi" w:eastAsiaTheme="minorHAnsi" w:hAnsiTheme="minorHAnsi" w:cstheme="minorHAnsi"/>
                <w:sz w:val="18"/>
                <w:szCs w:val="18"/>
                <w:lang w:eastAsia="en-US" w:bidi="en-US"/>
              </w:rPr>
              <w:t>decision-making</w:t>
            </w:r>
          </w:p>
        </w:tc>
      </w:tr>
      <w:tr w:rsidR="002E2F62" w:rsidRPr="007C4D65" w14:paraId="7CEC168B"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4AD7BC52" w14:textId="731096B0" w:rsidR="002E2F62"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Indicative financial projection, with specification of sources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tcPr>
          <w:p w14:paraId="51607818" w14:textId="77777777" w:rsidR="002E2F62" w:rsidRPr="007C4D65" w:rsidRDefault="002E2F62" w:rsidP="00B6017F">
            <w:pPr>
              <w:spacing w:before="40" w:after="40" w:line="276" w:lineRule="auto"/>
              <w:rPr>
                <w:rFonts w:asciiTheme="minorHAnsi" w:eastAsiaTheme="minorHAnsi" w:hAnsiTheme="minorHAnsi" w:cstheme="minorHAnsi"/>
                <w:bCs/>
                <w:sz w:val="18"/>
                <w:szCs w:val="18"/>
                <w:lang w:val="bs-Latn-BA" w:eastAsia="en-US" w:bidi="en-US"/>
              </w:rPr>
            </w:pPr>
            <w:r w:rsidRPr="007C4D65">
              <w:rPr>
                <w:rFonts w:asciiTheme="minorHAnsi" w:eastAsiaTheme="minorHAnsi" w:hAnsiTheme="minorHAnsi" w:cstheme="minorHAnsi"/>
                <w:bCs/>
                <w:sz w:val="18"/>
                <w:szCs w:val="18"/>
                <w:lang w:eastAsia="en-US" w:bidi="en-US"/>
              </w:rPr>
              <w:t>Amount:</w:t>
            </w:r>
            <w:r w:rsidRPr="007C4D65">
              <w:rPr>
                <w:rFonts w:asciiTheme="minorHAnsi" w:eastAsiaTheme="minorHAnsi" w:hAnsiTheme="minorHAnsi" w:cstheme="minorHAnsi"/>
                <w:bCs/>
                <w:sz w:val="18"/>
                <w:szCs w:val="18"/>
                <w:lang w:val="bs-Latn-BA" w:eastAsia="en-US" w:bidi="en-US"/>
              </w:rPr>
              <w:t xml:space="preserve"> 0</w:t>
            </w:r>
          </w:p>
        </w:tc>
      </w:tr>
      <w:tr w:rsidR="002E2F62" w:rsidRPr="007C4D65" w14:paraId="269E0894"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0829CCEF"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Period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6A798CF" w14:textId="77777777"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2022– 2030</w:t>
            </w:r>
          </w:p>
        </w:tc>
      </w:tr>
      <w:tr w:rsidR="002E2F62" w:rsidRPr="007C4D65" w14:paraId="11F907AA"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7BBE544"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Institution responsible for coordination of the implementation of the measure</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1E5730D4" w14:textId="7A01C07D" w:rsidR="002E2F62" w:rsidRPr="007C4D65" w:rsidRDefault="001E6E20"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2E2F62" w:rsidRPr="007C4D65">
              <w:rPr>
                <w:rFonts w:asciiTheme="minorHAnsi" w:eastAsiaTheme="minorHAnsi" w:hAnsiTheme="minorHAnsi" w:cstheme="minorHAnsi"/>
                <w:sz w:val="18"/>
                <w:szCs w:val="18"/>
                <w:lang w:eastAsia="en-US"/>
              </w:rPr>
              <w:t xml:space="preserve"> of Education and Science (umbrella institution), cantonal ministries of education</w:t>
            </w:r>
          </w:p>
        </w:tc>
      </w:tr>
      <w:tr w:rsidR="002E2F62" w:rsidRPr="007C4D65" w14:paraId="09888A6A"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19A7C5A6" w14:textId="77777777" w:rsidR="002E2F62" w:rsidRPr="007C4D65" w:rsidRDefault="002E2F62"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Implementing institutions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4563052" w14:textId="199AD37F" w:rsidR="002E2F62" w:rsidRPr="007C4D65" w:rsidRDefault="001E6E20"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Federation Ministry</w:t>
            </w:r>
            <w:r w:rsidR="002E2F62" w:rsidRPr="007C4D65">
              <w:rPr>
                <w:rFonts w:asciiTheme="minorHAnsi" w:eastAsiaTheme="minorHAnsi" w:hAnsiTheme="minorHAnsi" w:cstheme="minorHAnsi"/>
                <w:sz w:val="18"/>
                <w:szCs w:val="18"/>
                <w:lang w:eastAsia="en-US"/>
              </w:rPr>
              <w:t xml:space="preserve"> of Education and Science, cantonal ministries of education in cooperation with the </w:t>
            </w:r>
            <w:r w:rsidRPr="007C4D65">
              <w:rPr>
                <w:rFonts w:asciiTheme="minorHAnsi" w:eastAsiaTheme="minorHAnsi" w:hAnsiTheme="minorHAnsi" w:cstheme="minorHAnsi"/>
                <w:sz w:val="18"/>
                <w:szCs w:val="18"/>
                <w:lang w:eastAsia="en-US"/>
              </w:rPr>
              <w:t>Federation Ministry</w:t>
            </w:r>
            <w:r w:rsidR="002E2F62" w:rsidRPr="007C4D65">
              <w:rPr>
                <w:rFonts w:asciiTheme="minorHAnsi" w:eastAsiaTheme="minorHAnsi" w:hAnsiTheme="minorHAnsi" w:cstheme="minorHAnsi"/>
                <w:sz w:val="18"/>
                <w:szCs w:val="18"/>
                <w:lang w:eastAsia="en-US"/>
              </w:rPr>
              <w:t xml:space="preserve"> of Environment and Tourism, Federal Fund for Science, faculties, educational institutions, international non-governmental organisations</w:t>
            </w:r>
          </w:p>
        </w:tc>
      </w:tr>
      <w:tr w:rsidR="002E2F62" w:rsidRPr="007C4D65" w14:paraId="5D365CCE" w14:textId="77777777" w:rsidTr="00B6017F">
        <w:trPr>
          <w:trHeight w:val="567"/>
        </w:trPr>
        <w:tc>
          <w:tcPr>
            <w:tcW w:w="1374" w:type="pct"/>
            <w:tcBorders>
              <w:top w:val="single" w:sz="4" w:space="0" w:color="A6A6A6"/>
              <w:left w:val="single" w:sz="4" w:space="0" w:color="A6A6A6"/>
              <w:bottom w:val="single" w:sz="4" w:space="0" w:color="A6A6A6"/>
              <w:right w:val="single" w:sz="4" w:space="0" w:color="A6A6A6"/>
            </w:tcBorders>
            <w:shd w:val="clear" w:color="auto" w:fill="009D73"/>
            <w:vAlign w:val="center"/>
            <w:hideMark/>
          </w:tcPr>
          <w:p w14:paraId="5632C911" w14:textId="60B87FED" w:rsidR="002E2F62" w:rsidRPr="007C4D65" w:rsidRDefault="00963086" w:rsidP="00B6017F">
            <w:pPr>
              <w:spacing w:before="40" w:after="40" w:line="276" w:lineRule="auto"/>
              <w:rPr>
                <w:rFonts w:asciiTheme="minorHAnsi" w:eastAsiaTheme="minorHAnsi" w:hAnsiTheme="minorHAnsi" w:cstheme="minorHAnsi"/>
                <w:b/>
                <w:bCs/>
                <w:color w:val="FFFFFF" w:themeColor="background1"/>
                <w:sz w:val="18"/>
                <w:szCs w:val="18"/>
                <w:lang w:eastAsia="en-US"/>
              </w:rPr>
            </w:pPr>
            <w:r w:rsidRPr="007C4D65">
              <w:rPr>
                <w:rFonts w:asciiTheme="minorHAnsi" w:eastAsiaTheme="minorHAnsi" w:hAnsiTheme="minorHAnsi" w:cstheme="minorHAnsi"/>
                <w:b/>
                <w:color w:val="FFFFFF" w:themeColor="background1"/>
                <w:sz w:val="18"/>
                <w:szCs w:val="18"/>
                <w:lang w:eastAsia="en-US"/>
              </w:rPr>
              <w:t>Target groups</w:t>
            </w:r>
          </w:p>
        </w:tc>
        <w:tc>
          <w:tcPr>
            <w:tcW w:w="3626" w:type="pct"/>
            <w:gridSpan w:val="3"/>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55872BB" w14:textId="3042667C" w:rsidR="002E2F62" w:rsidRPr="007C4D65" w:rsidRDefault="002E2F62" w:rsidP="00B6017F">
            <w:pPr>
              <w:spacing w:before="40" w:after="40" w:line="276" w:lineRule="auto"/>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szCs w:val="18"/>
                <w:lang w:eastAsia="en-US"/>
              </w:rPr>
              <w:t xml:space="preserve">Scientific-research institutions, business entities, academia Students, professional and </w:t>
            </w:r>
            <w:proofErr w:type="gramStart"/>
            <w:r w:rsidRPr="007C4D65">
              <w:rPr>
                <w:rFonts w:asciiTheme="minorHAnsi" w:eastAsiaTheme="minorHAnsi" w:hAnsiTheme="minorHAnsi" w:cstheme="minorHAnsi"/>
                <w:sz w:val="18"/>
                <w:szCs w:val="18"/>
                <w:lang w:eastAsia="en-US"/>
              </w:rPr>
              <w:t>general public</w:t>
            </w:r>
            <w:proofErr w:type="gramEnd"/>
          </w:p>
        </w:tc>
      </w:tr>
    </w:tbl>
    <w:p w14:paraId="39276BF3" w14:textId="77777777" w:rsidR="00CC447D" w:rsidRPr="007C4D65" w:rsidRDefault="00CC447D" w:rsidP="0068355A">
      <w:pPr>
        <w:spacing w:line="276" w:lineRule="auto"/>
        <w:rPr>
          <w:rFonts w:asciiTheme="minorHAnsi" w:hAnsiTheme="minorHAnsi" w:cstheme="minorHAnsi"/>
          <w:sz w:val="18"/>
          <w:szCs w:val="18"/>
        </w:rPr>
        <w:sectPr w:rsidR="00CC447D" w:rsidRPr="007C4D65" w:rsidSect="006B1177">
          <w:pgSz w:w="16838" w:h="11906" w:orient="landscape"/>
          <w:pgMar w:top="1440" w:right="1440" w:bottom="1440" w:left="1440" w:header="709" w:footer="709" w:gutter="0"/>
          <w:cols w:space="708"/>
          <w:docGrid w:linePitch="360"/>
        </w:sectPr>
      </w:pPr>
    </w:p>
    <w:p w14:paraId="38652E95" w14:textId="21A738B9" w:rsidR="00CC447D" w:rsidRPr="007C4D65" w:rsidRDefault="00D51392">
      <w:pPr>
        <w:pStyle w:val="Head2"/>
        <w:numPr>
          <w:ilvl w:val="1"/>
          <w:numId w:val="245"/>
        </w:numPr>
        <w:spacing w:line="276" w:lineRule="auto"/>
        <w:rPr>
          <w:rFonts w:asciiTheme="minorHAnsi" w:hAnsiTheme="minorHAnsi"/>
        </w:rPr>
      </w:pPr>
      <w:r w:rsidRPr="007C4D65">
        <w:rPr>
          <w:rFonts w:asciiTheme="minorHAnsi" w:hAnsiTheme="minorHAnsi"/>
        </w:rPr>
        <w:lastRenderedPageBreak/>
        <w:t xml:space="preserve"> </w:t>
      </w:r>
      <w:bookmarkStart w:id="426" w:name="_Toc117445383"/>
      <w:r w:rsidR="00CC447D" w:rsidRPr="007C4D65">
        <w:rPr>
          <w:rFonts w:asciiTheme="minorHAnsi" w:hAnsiTheme="minorHAnsi"/>
        </w:rPr>
        <w:t xml:space="preserve">Annex 8 </w:t>
      </w:r>
      <w:r w:rsidR="00C919E8" w:rsidRPr="007C4D65">
        <w:rPr>
          <w:rFonts w:asciiTheme="minorHAnsi" w:hAnsiTheme="minorHAnsi"/>
        </w:rPr>
        <w:t>Summary of the Strategy</w:t>
      </w:r>
      <w:bookmarkEnd w:id="426"/>
    </w:p>
    <w:p w14:paraId="1CB8D3C9" w14:textId="2763F5F0" w:rsidR="00242590" w:rsidRPr="007C4D65" w:rsidRDefault="00C919E8" w:rsidP="00C919E8">
      <w:pPr>
        <w:pStyle w:val="Head3"/>
        <w:numPr>
          <w:ilvl w:val="0"/>
          <w:numId w:val="0"/>
        </w:numPr>
        <w:spacing w:line="276" w:lineRule="auto"/>
        <w:rPr>
          <w:rFonts w:asciiTheme="minorHAnsi" w:hAnsiTheme="minorHAnsi"/>
        </w:rPr>
      </w:pPr>
      <w:bookmarkStart w:id="427" w:name="_Toc117445384"/>
      <w:r w:rsidRPr="007C4D65">
        <w:rPr>
          <w:rFonts w:asciiTheme="minorHAnsi" w:hAnsiTheme="minorHAnsi"/>
        </w:rPr>
        <w:t>1</w:t>
      </w:r>
      <w:r w:rsidR="007F77BE" w:rsidRPr="007C4D65">
        <w:rPr>
          <w:rFonts w:asciiTheme="minorHAnsi" w:hAnsiTheme="minorHAnsi"/>
        </w:rPr>
        <w:t xml:space="preserve">3.8.1. </w:t>
      </w:r>
      <w:r w:rsidR="00242590" w:rsidRPr="007C4D65">
        <w:rPr>
          <w:rFonts w:asciiTheme="minorHAnsi" w:hAnsiTheme="minorHAnsi"/>
        </w:rPr>
        <w:t xml:space="preserve">Water </w:t>
      </w:r>
      <w:r w:rsidRPr="007C4D65">
        <w:rPr>
          <w:rFonts w:asciiTheme="minorHAnsi" w:hAnsiTheme="minorHAnsi"/>
        </w:rPr>
        <w:t>M</w:t>
      </w:r>
      <w:r w:rsidR="00242590" w:rsidRPr="007C4D65">
        <w:rPr>
          <w:rFonts w:asciiTheme="minorHAnsi" w:hAnsiTheme="minorHAnsi"/>
        </w:rPr>
        <w:t>anagement</w:t>
      </w:r>
      <w:bookmarkEnd w:id="427"/>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8"/>
        <w:gridCol w:w="3401"/>
        <w:gridCol w:w="2977"/>
        <w:gridCol w:w="3317"/>
      </w:tblGrid>
      <w:tr w:rsidR="000D19A9" w:rsidRPr="007C4D65" w14:paraId="2A847F1F" w14:textId="77777777" w:rsidTr="00B6017F">
        <w:trPr>
          <w:trHeight w:val="286"/>
        </w:trPr>
        <w:tc>
          <w:tcPr>
            <w:tcW w:w="658" w:type="pct"/>
            <w:shd w:val="clear" w:color="auto" w:fill="009D73"/>
            <w:tcMar>
              <w:top w:w="0" w:type="dxa"/>
              <w:left w:w="108" w:type="dxa"/>
              <w:bottom w:w="0" w:type="dxa"/>
              <w:right w:w="108" w:type="dxa"/>
            </w:tcMar>
            <w:vAlign w:val="center"/>
            <w:hideMark/>
          </w:tcPr>
          <w:p w14:paraId="5CF8BD8B" w14:textId="77777777" w:rsidR="000D19A9" w:rsidRPr="007C4D65" w:rsidRDefault="000D19A9" w:rsidP="00B6017F">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b/>
                <w:color w:val="FFFFFF" w:themeColor="background1"/>
                <w:sz w:val="18"/>
                <w:szCs w:val="18"/>
              </w:rPr>
              <w:t xml:space="preserve">No. and mark </w:t>
            </w:r>
          </w:p>
        </w:tc>
        <w:tc>
          <w:tcPr>
            <w:tcW w:w="864" w:type="pct"/>
            <w:shd w:val="clear" w:color="auto" w:fill="009D73"/>
            <w:tcMar>
              <w:top w:w="0" w:type="dxa"/>
              <w:left w:w="108" w:type="dxa"/>
              <w:bottom w:w="0" w:type="dxa"/>
              <w:right w:w="108" w:type="dxa"/>
            </w:tcMar>
            <w:vAlign w:val="center"/>
            <w:hideMark/>
          </w:tcPr>
          <w:p w14:paraId="4D8C5E61" w14:textId="77777777" w:rsidR="000D19A9" w:rsidRPr="007C4D65" w:rsidRDefault="000D19A9" w:rsidP="00B6017F">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b/>
                <w:color w:val="FFFFFF" w:themeColor="background1"/>
                <w:sz w:val="18"/>
                <w:szCs w:val="18"/>
              </w:rPr>
              <w:t>TITLE</w:t>
            </w:r>
          </w:p>
        </w:tc>
        <w:tc>
          <w:tcPr>
            <w:tcW w:w="3478" w:type="pct"/>
            <w:gridSpan w:val="3"/>
            <w:shd w:val="clear" w:color="auto" w:fill="009D73"/>
            <w:tcMar>
              <w:top w:w="0" w:type="dxa"/>
              <w:left w:w="108" w:type="dxa"/>
              <w:bottom w:w="0" w:type="dxa"/>
              <w:right w:w="108" w:type="dxa"/>
            </w:tcMar>
            <w:vAlign w:val="center"/>
            <w:hideMark/>
          </w:tcPr>
          <w:p w14:paraId="1D0D83C3" w14:textId="77777777" w:rsidR="000D19A9" w:rsidRPr="007C4D65" w:rsidRDefault="000D19A9" w:rsidP="00B6017F">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b/>
                <w:color w:val="FFFFFF" w:themeColor="background1"/>
                <w:sz w:val="18"/>
                <w:szCs w:val="18"/>
              </w:rPr>
              <w:t>INDICATORS AND FINANCIAL SOURCES</w:t>
            </w:r>
          </w:p>
        </w:tc>
      </w:tr>
      <w:tr w:rsidR="000D19A9" w:rsidRPr="007C4D65" w14:paraId="5600ADF8" w14:textId="77777777" w:rsidTr="00B6017F">
        <w:trPr>
          <w:trHeight w:val="384"/>
        </w:trPr>
        <w:tc>
          <w:tcPr>
            <w:tcW w:w="658" w:type="pct"/>
            <w:vMerge w:val="restart"/>
            <w:shd w:val="clear" w:color="auto" w:fill="D9D9D9" w:themeFill="background1" w:themeFillShade="D9"/>
            <w:tcMar>
              <w:top w:w="0" w:type="dxa"/>
              <w:left w:w="108" w:type="dxa"/>
              <w:bottom w:w="0" w:type="dxa"/>
              <w:right w:w="108" w:type="dxa"/>
            </w:tcMar>
            <w:vAlign w:val="center"/>
            <w:hideMark/>
          </w:tcPr>
          <w:p w14:paraId="380D9357" w14:textId="763D9FA8" w:rsidR="000D19A9" w:rsidRPr="007C4D65" w:rsidRDefault="000D19A9"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color w:val="000000" w:themeColor="text1"/>
                <w:sz w:val="18"/>
                <w:szCs w:val="18"/>
              </w:rPr>
              <w:t xml:space="preserve">1 Strategic </w:t>
            </w:r>
            <w:r w:rsidR="009736BE" w:rsidRPr="007C4D65">
              <w:rPr>
                <w:rFonts w:asciiTheme="minorHAnsi" w:hAnsiTheme="minorHAnsi"/>
                <w:b/>
                <w:color w:val="000000" w:themeColor="text1"/>
                <w:sz w:val="18"/>
                <w:szCs w:val="18"/>
              </w:rPr>
              <w:t>g</w:t>
            </w:r>
            <w:r w:rsidRPr="007C4D65">
              <w:rPr>
                <w:rFonts w:asciiTheme="minorHAnsi" w:hAnsiTheme="minorHAnsi"/>
                <w:b/>
                <w:color w:val="000000" w:themeColor="text1"/>
                <w:sz w:val="18"/>
                <w:szCs w:val="18"/>
              </w:rPr>
              <w:t>oal</w:t>
            </w:r>
          </w:p>
        </w:tc>
        <w:tc>
          <w:tcPr>
            <w:tcW w:w="864" w:type="pct"/>
            <w:vMerge w:val="restart"/>
            <w:tcMar>
              <w:top w:w="0" w:type="dxa"/>
              <w:left w:w="108" w:type="dxa"/>
              <w:bottom w:w="0" w:type="dxa"/>
              <w:right w:w="108" w:type="dxa"/>
            </w:tcMar>
            <w:vAlign w:val="center"/>
          </w:tcPr>
          <w:p w14:paraId="7BDA4A97" w14:textId="77777777" w:rsidR="000D19A9" w:rsidRPr="007C4D65" w:rsidRDefault="000D19A9"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Protect water quality and secure availability of water resources and their sustainability</w:t>
            </w:r>
          </w:p>
        </w:tc>
        <w:tc>
          <w:tcPr>
            <w:tcW w:w="1220" w:type="pct"/>
            <w:shd w:val="clear" w:color="auto" w:fill="D9D9D9" w:themeFill="background1" w:themeFillShade="D9"/>
            <w:tcMar>
              <w:top w:w="0" w:type="dxa"/>
              <w:left w:w="108" w:type="dxa"/>
              <w:bottom w:w="0" w:type="dxa"/>
              <w:right w:w="108" w:type="dxa"/>
            </w:tcMar>
            <w:vAlign w:val="center"/>
            <w:hideMark/>
          </w:tcPr>
          <w:p w14:paraId="006C88D5"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for the strategic goal</w:t>
            </w:r>
          </w:p>
        </w:tc>
        <w:tc>
          <w:tcPr>
            <w:tcW w:w="1068" w:type="pct"/>
            <w:shd w:val="clear" w:color="auto" w:fill="D9D9D9" w:themeFill="background1" w:themeFillShade="D9"/>
            <w:tcMar>
              <w:top w:w="0" w:type="dxa"/>
              <w:left w:w="108" w:type="dxa"/>
              <w:bottom w:w="0" w:type="dxa"/>
              <w:right w:w="108" w:type="dxa"/>
            </w:tcMar>
            <w:vAlign w:val="center"/>
            <w:hideMark/>
          </w:tcPr>
          <w:p w14:paraId="5EC9FE29"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90" w:type="pct"/>
            <w:shd w:val="clear" w:color="auto" w:fill="D9D9D9" w:themeFill="background1" w:themeFillShade="D9"/>
            <w:tcMar>
              <w:top w:w="0" w:type="dxa"/>
              <w:left w:w="108" w:type="dxa"/>
              <w:bottom w:w="0" w:type="dxa"/>
              <w:right w:w="108" w:type="dxa"/>
            </w:tcMar>
            <w:vAlign w:val="center"/>
            <w:hideMark/>
          </w:tcPr>
          <w:p w14:paraId="0628603D"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3A4467B3" w14:textId="77777777" w:rsidTr="00B6017F">
        <w:trPr>
          <w:trHeight w:val="287"/>
        </w:trPr>
        <w:tc>
          <w:tcPr>
            <w:tcW w:w="658" w:type="pct"/>
            <w:vMerge/>
            <w:shd w:val="clear" w:color="auto" w:fill="D9D9D9" w:themeFill="background1" w:themeFillShade="D9"/>
            <w:vAlign w:val="center"/>
            <w:hideMark/>
          </w:tcPr>
          <w:p w14:paraId="731EEA91"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0419B6F6"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220" w:type="pct"/>
            <w:tcMar>
              <w:top w:w="0" w:type="dxa"/>
              <w:left w:w="108" w:type="dxa"/>
              <w:bottom w:w="0" w:type="dxa"/>
              <w:right w:w="108" w:type="dxa"/>
            </w:tcMar>
            <w:vAlign w:val="center"/>
          </w:tcPr>
          <w:p w14:paraId="698CBFA0" w14:textId="77777777"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Treated water - total, 000m</w:t>
            </w:r>
            <w:r w:rsidRPr="007C4D65">
              <w:rPr>
                <w:rFonts w:asciiTheme="minorHAnsi" w:hAnsiTheme="minorHAnsi"/>
                <w:sz w:val="18"/>
                <w:szCs w:val="18"/>
                <w:vertAlign w:val="superscript"/>
              </w:rPr>
              <w:t>3</w:t>
            </w:r>
          </w:p>
        </w:tc>
        <w:tc>
          <w:tcPr>
            <w:tcW w:w="1068" w:type="pct"/>
            <w:tcMar>
              <w:top w:w="0" w:type="dxa"/>
              <w:left w:w="108" w:type="dxa"/>
              <w:bottom w:w="0" w:type="dxa"/>
              <w:right w:w="108" w:type="dxa"/>
            </w:tcMar>
            <w:vAlign w:val="center"/>
          </w:tcPr>
          <w:p w14:paraId="57A0492C" w14:textId="77777777" w:rsidR="000D19A9" w:rsidRPr="007C4D65" w:rsidRDefault="000D19A9" w:rsidP="00B6017F">
            <w:pPr>
              <w:spacing w:line="276" w:lineRule="auto"/>
              <w:jc w:val="center"/>
              <w:rPr>
                <w:rFonts w:asciiTheme="minorHAnsi" w:hAnsiTheme="minorHAnsi" w:cstheme="minorHAnsi"/>
                <w:sz w:val="18"/>
                <w:szCs w:val="18"/>
              </w:rPr>
            </w:pPr>
            <w:r w:rsidRPr="007C4D65">
              <w:rPr>
                <w:rFonts w:asciiTheme="minorHAnsi" w:hAnsiTheme="minorHAnsi"/>
                <w:sz w:val="18"/>
                <w:szCs w:val="18"/>
              </w:rPr>
              <w:t>48,613</w:t>
            </w:r>
          </w:p>
          <w:p w14:paraId="3B23F3FA" w14:textId="77777777" w:rsidR="000D19A9" w:rsidRPr="007C4D65" w:rsidRDefault="000D19A9"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(2020)</w:t>
            </w:r>
          </w:p>
        </w:tc>
        <w:tc>
          <w:tcPr>
            <w:tcW w:w="1190" w:type="pct"/>
            <w:tcMar>
              <w:top w:w="0" w:type="dxa"/>
              <w:left w:w="108" w:type="dxa"/>
              <w:bottom w:w="0" w:type="dxa"/>
              <w:right w:w="108" w:type="dxa"/>
            </w:tcMar>
            <w:vAlign w:val="center"/>
          </w:tcPr>
          <w:p w14:paraId="6D53933C" w14:textId="7E626C40" w:rsidR="000D19A9" w:rsidRPr="007C4D65" w:rsidRDefault="000D19A9"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p>
        </w:tc>
      </w:tr>
      <w:tr w:rsidR="000D19A9" w:rsidRPr="007C4D65" w14:paraId="568E86BB" w14:textId="77777777" w:rsidTr="00B6017F">
        <w:trPr>
          <w:trHeight w:val="287"/>
        </w:trPr>
        <w:tc>
          <w:tcPr>
            <w:tcW w:w="658" w:type="pct"/>
            <w:vMerge/>
            <w:shd w:val="clear" w:color="auto" w:fill="D9D9D9" w:themeFill="background1" w:themeFillShade="D9"/>
            <w:vAlign w:val="center"/>
          </w:tcPr>
          <w:p w14:paraId="6D4AFE1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1029DCE"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220" w:type="pct"/>
            <w:tcMar>
              <w:top w:w="0" w:type="dxa"/>
              <w:left w:w="108" w:type="dxa"/>
              <w:bottom w:w="0" w:type="dxa"/>
              <w:right w:w="108" w:type="dxa"/>
            </w:tcMar>
            <w:vAlign w:val="center"/>
          </w:tcPr>
          <w:p w14:paraId="0C6CE5F2" w14:textId="77777777"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Share of treated </w:t>
            </w:r>
            <w:proofErr w:type="gramStart"/>
            <w:r w:rsidRPr="007C4D65">
              <w:rPr>
                <w:rFonts w:asciiTheme="minorHAnsi" w:hAnsiTheme="minorHAnsi"/>
                <w:sz w:val="18"/>
                <w:szCs w:val="18"/>
              </w:rPr>
              <w:t>waste water</w:t>
            </w:r>
            <w:proofErr w:type="gramEnd"/>
            <w:r w:rsidRPr="007C4D65">
              <w:rPr>
                <w:rFonts w:asciiTheme="minorHAnsi" w:hAnsiTheme="minorHAnsi"/>
                <w:sz w:val="18"/>
                <w:szCs w:val="18"/>
              </w:rPr>
              <w:t xml:space="preserve"> in total quantity of waste water (%)</w:t>
            </w:r>
          </w:p>
        </w:tc>
        <w:tc>
          <w:tcPr>
            <w:tcW w:w="1068" w:type="pct"/>
            <w:tcMar>
              <w:top w:w="0" w:type="dxa"/>
              <w:left w:w="108" w:type="dxa"/>
              <w:bottom w:w="0" w:type="dxa"/>
              <w:right w:w="108" w:type="dxa"/>
            </w:tcMar>
            <w:vAlign w:val="center"/>
          </w:tcPr>
          <w:p w14:paraId="48BE1D00" w14:textId="77777777" w:rsidR="000D19A9" w:rsidRPr="007C4D65" w:rsidRDefault="000D19A9" w:rsidP="00B6017F">
            <w:pPr>
              <w:spacing w:line="276" w:lineRule="auto"/>
              <w:jc w:val="center"/>
              <w:rPr>
                <w:rFonts w:asciiTheme="minorHAnsi" w:hAnsiTheme="minorHAnsi" w:cstheme="minorHAnsi"/>
                <w:sz w:val="18"/>
                <w:szCs w:val="18"/>
              </w:rPr>
            </w:pPr>
            <w:r w:rsidRPr="007C4D65">
              <w:rPr>
                <w:rFonts w:asciiTheme="minorHAnsi" w:hAnsiTheme="minorHAnsi"/>
                <w:sz w:val="18"/>
                <w:szCs w:val="18"/>
              </w:rPr>
              <w:t>55.8</w:t>
            </w:r>
          </w:p>
          <w:p w14:paraId="406B69A8" w14:textId="77777777" w:rsidR="000D19A9" w:rsidRPr="007C4D65" w:rsidRDefault="000D19A9"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(2020)</w:t>
            </w:r>
          </w:p>
        </w:tc>
        <w:tc>
          <w:tcPr>
            <w:tcW w:w="1190" w:type="pct"/>
            <w:tcMar>
              <w:top w:w="0" w:type="dxa"/>
              <w:left w:w="108" w:type="dxa"/>
              <w:bottom w:w="0" w:type="dxa"/>
              <w:right w:w="108" w:type="dxa"/>
            </w:tcMar>
            <w:vAlign w:val="center"/>
          </w:tcPr>
          <w:p w14:paraId="73C13801" w14:textId="20DFBED9" w:rsidR="000D19A9" w:rsidRPr="007C4D65" w:rsidRDefault="000D19A9"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p>
        </w:tc>
      </w:tr>
      <w:tr w:rsidR="000D19A9" w:rsidRPr="007C4D65" w14:paraId="1BBE053E" w14:textId="77777777" w:rsidTr="00B6017F">
        <w:trPr>
          <w:trHeight w:val="375"/>
        </w:trPr>
        <w:tc>
          <w:tcPr>
            <w:tcW w:w="658" w:type="pct"/>
            <w:vMerge/>
            <w:shd w:val="clear" w:color="auto" w:fill="D9D9D9" w:themeFill="background1" w:themeFillShade="D9"/>
            <w:vAlign w:val="center"/>
            <w:hideMark/>
          </w:tcPr>
          <w:p w14:paraId="34D3A441"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36510FCE"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220" w:type="pct"/>
            <w:shd w:val="clear" w:color="auto" w:fill="D9D9D9" w:themeFill="background1" w:themeFillShade="D9"/>
            <w:tcMar>
              <w:top w:w="0" w:type="dxa"/>
              <w:left w:w="108" w:type="dxa"/>
              <w:bottom w:w="0" w:type="dxa"/>
              <w:right w:w="108" w:type="dxa"/>
            </w:tcMar>
            <w:vAlign w:val="center"/>
            <w:hideMark/>
          </w:tcPr>
          <w:p w14:paraId="5ED82288"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068" w:type="pct"/>
            <w:shd w:val="clear" w:color="auto" w:fill="D9D9D9" w:themeFill="background1" w:themeFillShade="D9"/>
            <w:tcMar>
              <w:top w:w="0" w:type="dxa"/>
              <w:left w:w="108" w:type="dxa"/>
              <w:bottom w:w="0" w:type="dxa"/>
              <w:right w:w="108" w:type="dxa"/>
            </w:tcMar>
            <w:vAlign w:val="center"/>
            <w:hideMark/>
          </w:tcPr>
          <w:p w14:paraId="24B1AD4D"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90" w:type="pct"/>
            <w:shd w:val="clear" w:color="auto" w:fill="D9D9D9" w:themeFill="background1" w:themeFillShade="D9"/>
            <w:tcMar>
              <w:top w:w="0" w:type="dxa"/>
              <w:left w:w="108" w:type="dxa"/>
              <w:bottom w:w="0" w:type="dxa"/>
              <w:right w:w="108" w:type="dxa"/>
            </w:tcMar>
            <w:vAlign w:val="center"/>
            <w:hideMark/>
          </w:tcPr>
          <w:p w14:paraId="4F521A0B"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680FADE3" w14:textId="77777777" w:rsidTr="00B6017F">
        <w:trPr>
          <w:trHeight w:val="287"/>
        </w:trPr>
        <w:tc>
          <w:tcPr>
            <w:tcW w:w="658" w:type="pct"/>
            <w:vMerge/>
            <w:shd w:val="clear" w:color="auto" w:fill="D9D9D9" w:themeFill="background1" w:themeFillShade="D9"/>
            <w:vAlign w:val="center"/>
            <w:hideMark/>
          </w:tcPr>
          <w:p w14:paraId="63DBEEEB"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07698D95"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220" w:type="pct"/>
            <w:shd w:val="clear" w:color="auto" w:fill="FFFFFF"/>
            <w:tcMar>
              <w:top w:w="0" w:type="dxa"/>
              <w:left w:w="108" w:type="dxa"/>
              <w:bottom w:w="0" w:type="dxa"/>
              <w:right w:w="108" w:type="dxa"/>
            </w:tcMar>
            <w:vAlign w:val="center"/>
          </w:tcPr>
          <w:p w14:paraId="7769494B"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450,2</w:t>
            </w:r>
          </w:p>
        </w:tc>
        <w:tc>
          <w:tcPr>
            <w:tcW w:w="1068" w:type="pct"/>
            <w:shd w:val="clear" w:color="auto" w:fill="FFFFFF" w:themeFill="background1"/>
            <w:tcMar>
              <w:top w:w="0" w:type="dxa"/>
              <w:left w:w="108" w:type="dxa"/>
              <w:bottom w:w="0" w:type="dxa"/>
              <w:right w:w="108" w:type="dxa"/>
            </w:tcMar>
            <w:vAlign w:val="center"/>
          </w:tcPr>
          <w:p w14:paraId="1D2DBCFB"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3927,7</w:t>
            </w:r>
          </w:p>
        </w:tc>
        <w:tc>
          <w:tcPr>
            <w:tcW w:w="1190" w:type="pct"/>
            <w:shd w:val="clear" w:color="auto" w:fill="FFFFFF" w:themeFill="background1"/>
            <w:tcMar>
              <w:top w:w="0" w:type="dxa"/>
              <w:left w:w="108" w:type="dxa"/>
              <w:bottom w:w="0" w:type="dxa"/>
              <w:right w:w="108" w:type="dxa"/>
            </w:tcMar>
            <w:vAlign w:val="center"/>
          </w:tcPr>
          <w:p w14:paraId="7EB7B109"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4378</w:t>
            </w:r>
          </w:p>
        </w:tc>
      </w:tr>
    </w:tbl>
    <w:p w14:paraId="3C8ED4FA" w14:textId="77777777" w:rsidR="000D19A9" w:rsidRPr="007C4D65" w:rsidRDefault="000D19A9" w:rsidP="000D19A9">
      <w:pPr>
        <w:spacing w:after="120" w:line="276" w:lineRule="auto"/>
        <w:ind w:hanging="2"/>
        <w:contextualSpacing/>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8"/>
        <w:gridCol w:w="3401"/>
        <w:gridCol w:w="2977"/>
        <w:gridCol w:w="3317"/>
      </w:tblGrid>
      <w:tr w:rsidR="000D19A9" w:rsidRPr="007C4D65" w14:paraId="4A47546B" w14:textId="77777777" w:rsidTr="00B6017F">
        <w:trPr>
          <w:trHeight w:val="384"/>
        </w:trPr>
        <w:tc>
          <w:tcPr>
            <w:tcW w:w="658" w:type="pct"/>
            <w:vMerge w:val="restart"/>
            <w:shd w:val="clear" w:color="auto" w:fill="D9D9D9" w:themeFill="background1" w:themeFillShade="D9"/>
            <w:tcMar>
              <w:top w:w="0" w:type="dxa"/>
              <w:left w:w="108" w:type="dxa"/>
              <w:bottom w:w="0" w:type="dxa"/>
              <w:right w:w="108" w:type="dxa"/>
            </w:tcMar>
            <w:vAlign w:val="center"/>
          </w:tcPr>
          <w:p w14:paraId="4E8D49CB" w14:textId="77777777" w:rsidR="000D19A9" w:rsidRPr="007C4D65" w:rsidRDefault="000D19A9" w:rsidP="00B6017F">
            <w:pPr>
              <w:spacing w:after="120" w:line="276" w:lineRule="auto"/>
              <w:ind w:hanging="2"/>
              <w:contextualSpacing/>
              <w:rPr>
                <w:rFonts w:asciiTheme="minorHAnsi" w:hAnsiTheme="minorHAnsi" w:cstheme="minorHAnsi"/>
                <w:b/>
                <w:color w:val="FFFFFF" w:themeColor="background1"/>
                <w:sz w:val="18"/>
                <w:szCs w:val="18"/>
              </w:rPr>
            </w:pPr>
            <w:r w:rsidRPr="007C4D65">
              <w:rPr>
                <w:rFonts w:asciiTheme="minorHAnsi" w:hAnsiTheme="minorHAnsi"/>
                <w:b/>
                <w:color w:val="000000" w:themeColor="text1"/>
                <w:sz w:val="18"/>
                <w:szCs w:val="18"/>
              </w:rPr>
              <w:t>1.1. Priority</w:t>
            </w:r>
          </w:p>
          <w:p w14:paraId="1D54DBD2"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restart"/>
            <w:tcMar>
              <w:top w:w="0" w:type="dxa"/>
              <w:left w:w="108" w:type="dxa"/>
              <w:bottom w:w="0" w:type="dxa"/>
              <w:right w:w="108" w:type="dxa"/>
            </w:tcMar>
            <w:vAlign w:val="center"/>
          </w:tcPr>
          <w:p w14:paraId="5B81D06B" w14:textId="19AD1054" w:rsidR="000D19A9" w:rsidRPr="007C4D65" w:rsidRDefault="00DA0CA7" w:rsidP="00B6017F">
            <w:pPr>
              <w:spacing w:line="276" w:lineRule="auto"/>
              <w:rPr>
                <w:rFonts w:asciiTheme="minorHAnsi" w:hAnsiTheme="minorHAnsi" w:cstheme="minorHAnsi"/>
                <w:b/>
                <w:sz w:val="18"/>
                <w:szCs w:val="18"/>
              </w:rPr>
            </w:pPr>
            <w:r w:rsidRPr="007C4D65">
              <w:rPr>
                <w:rFonts w:asciiTheme="minorHAnsi" w:hAnsiTheme="minorHAnsi"/>
                <w:b/>
                <w:sz w:val="18"/>
                <w:szCs w:val="18"/>
              </w:rPr>
              <w:t>Prevent deterioration and improve the status of water bodies</w:t>
            </w:r>
          </w:p>
          <w:p w14:paraId="1E257D81" w14:textId="77777777" w:rsidR="000D19A9" w:rsidRPr="007C4D65" w:rsidRDefault="000D19A9" w:rsidP="00B6017F">
            <w:pPr>
              <w:spacing w:after="120" w:line="276" w:lineRule="auto"/>
              <w:ind w:hanging="2"/>
              <w:contextualSpacing/>
              <w:rPr>
                <w:rFonts w:asciiTheme="minorHAnsi" w:hAnsiTheme="minorHAnsi" w:cstheme="minorHAnsi"/>
                <w:b/>
                <w:color w:val="000000"/>
                <w:sz w:val="18"/>
                <w:szCs w:val="18"/>
                <w:lang w:val="hr-HR"/>
              </w:rPr>
            </w:pPr>
          </w:p>
        </w:tc>
        <w:tc>
          <w:tcPr>
            <w:tcW w:w="1220" w:type="pct"/>
            <w:shd w:val="clear" w:color="auto" w:fill="D9D9D9" w:themeFill="background1" w:themeFillShade="D9"/>
            <w:tcMar>
              <w:top w:w="0" w:type="dxa"/>
              <w:left w:w="108" w:type="dxa"/>
              <w:bottom w:w="0" w:type="dxa"/>
              <w:right w:w="108" w:type="dxa"/>
            </w:tcMar>
            <w:vAlign w:val="center"/>
          </w:tcPr>
          <w:p w14:paraId="1F4C6F2B" w14:textId="77777777" w:rsidR="000D19A9" w:rsidRPr="007C4D65" w:rsidRDefault="000D19A9"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068" w:type="pct"/>
            <w:shd w:val="clear" w:color="auto" w:fill="D9D9D9" w:themeFill="background1" w:themeFillShade="D9"/>
            <w:tcMar>
              <w:top w:w="0" w:type="dxa"/>
              <w:left w:w="108" w:type="dxa"/>
              <w:bottom w:w="0" w:type="dxa"/>
              <w:right w:w="108" w:type="dxa"/>
            </w:tcMar>
            <w:vAlign w:val="center"/>
          </w:tcPr>
          <w:p w14:paraId="52518C0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90" w:type="pct"/>
            <w:shd w:val="clear" w:color="auto" w:fill="D9D9D9" w:themeFill="background1" w:themeFillShade="D9"/>
            <w:tcMar>
              <w:top w:w="0" w:type="dxa"/>
              <w:left w:w="108" w:type="dxa"/>
              <w:bottom w:w="0" w:type="dxa"/>
              <w:right w:w="108" w:type="dxa"/>
            </w:tcMar>
            <w:vAlign w:val="center"/>
          </w:tcPr>
          <w:p w14:paraId="1D75C65B"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4E6A4757" w14:textId="77777777" w:rsidTr="00B6017F">
        <w:trPr>
          <w:trHeight w:val="287"/>
        </w:trPr>
        <w:tc>
          <w:tcPr>
            <w:tcW w:w="658" w:type="pct"/>
            <w:vMerge/>
            <w:shd w:val="clear" w:color="auto" w:fill="D9D9D9" w:themeFill="background1" w:themeFillShade="D9"/>
            <w:vAlign w:val="center"/>
            <w:hideMark/>
          </w:tcPr>
          <w:p w14:paraId="2D7E720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66E93242"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220" w:type="pct"/>
            <w:tcMar>
              <w:top w:w="0" w:type="dxa"/>
              <w:left w:w="108" w:type="dxa"/>
              <w:bottom w:w="0" w:type="dxa"/>
              <w:right w:w="108" w:type="dxa"/>
            </w:tcMar>
          </w:tcPr>
          <w:p w14:paraId="1B3A0544" w14:textId="77777777"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Achieving the objectives for water bodies, as defined in the river basin management plans for the Sava and </w:t>
            </w:r>
            <w:proofErr w:type="gramStart"/>
            <w:r w:rsidRPr="007C4D65">
              <w:rPr>
                <w:rFonts w:asciiTheme="minorHAnsi" w:hAnsiTheme="minorHAnsi"/>
                <w:sz w:val="18"/>
                <w:szCs w:val="18"/>
              </w:rPr>
              <w:t>Adriatic Sea river</w:t>
            </w:r>
            <w:proofErr w:type="gramEnd"/>
            <w:r w:rsidRPr="007C4D65">
              <w:rPr>
                <w:rFonts w:asciiTheme="minorHAnsi" w:hAnsiTheme="minorHAnsi"/>
                <w:sz w:val="18"/>
                <w:szCs w:val="18"/>
              </w:rPr>
              <w:t xml:space="preserve"> basins (II, and III cycle)</w:t>
            </w:r>
          </w:p>
        </w:tc>
        <w:tc>
          <w:tcPr>
            <w:tcW w:w="1068" w:type="pct"/>
            <w:tcMar>
              <w:top w:w="0" w:type="dxa"/>
              <w:left w:w="108" w:type="dxa"/>
              <w:bottom w:w="0" w:type="dxa"/>
              <w:right w:w="108" w:type="dxa"/>
            </w:tcMar>
          </w:tcPr>
          <w:p w14:paraId="1BE8BBC6" w14:textId="5968B78C"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For some of the identified water bodies, achieved environmental objectives set in the I cycle of management plans (2016‒ 2021) for Sava and </w:t>
            </w:r>
            <w:proofErr w:type="gramStart"/>
            <w:r w:rsidRPr="007C4D65">
              <w:rPr>
                <w:rFonts w:asciiTheme="minorHAnsi" w:hAnsiTheme="minorHAnsi"/>
                <w:sz w:val="18"/>
                <w:szCs w:val="18"/>
              </w:rPr>
              <w:t>Adriatic Sea river</w:t>
            </w:r>
            <w:proofErr w:type="gramEnd"/>
            <w:r w:rsidRPr="007C4D65">
              <w:rPr>
                <w:rFonts w:asciiTheme="minorHAnsi" w:hAnsiTheme="minorHAnsi"/>
                <w:sz w:val="18"/>
                <w:szCs w:val="18"/>
              </w:rPr>
              <w:t xml:space="preserve"> basins</w:t>
            </w:r>
          </w:p>
        </w:tc>
        <w:tc>
          <w:tcPr>
            <w:tcW w:w="1190" w:type="pct"/>
            <w:tcMar>
              <w:top w:w="0" w:type="dxa"/>
              <w:left w:w="108" w:type="dxa"/>
              <w:bottom w:w="0" w:type="dxa"/>
              <w:right w:w="108" w:type="dxa"/>
            </w:tcMar>
          </w:tcPr>
          <w:p w14:paraId="08D42A60" w14:textId="0A2C488C" w:rsidR="000D19A9" w:rsidRPr="007C4D65" w:rsidRDefault="000D19A9" w:rsidP="003A25F3">
            <w:pPr>
              <w:spacing w:line="276" w:lineRule="auto"/>
              <w:rPr>
                <w:rFonts w:asciiTheme="minorHAnsi" w:hAnsiTheme="minorHAnsi" w:cstheme="minorHAnsi"/>
                <w:sz w:val="18"/>
                <w:szCs w:val="18"/>
              </w:rPr>
            </w:pPr>
            <w:r w:rsidRPr="007C4D65">
              <w:rPr>
                <w:rFonts w:asciiTheme="minorHAnsi" w:hAnsiTheme="minorHAnsi"/>
                <w:sz w:val="18"/>
                <w:szCs w:val="18"/>
              </w:rPr>
              <w:t>Achieved environmental objectives for all water bodies according to the plan in II and III cycle of management plans (2022‒ 2027) and (2028‒ 2033)</w:t>
            </w:r>
          </w:p>
        </w:tc>
      </w:tr>
      <w:tr w:rsidR="000D19A9" w:rsidRPr="007C4D65" w14:paraId="0601AB37" w14:textId="77777777" w:rsidTr="00B6017F">
        <w:trPr>
          <w:trHeight w:val="287"/>
        </w:trPr>
        <w:tc>
          <w:tcPr>
            <w:tcW w:w="658" w:type="pct"/>
            <w:vMerge/>
            <w:shd w:val="clear" w:color="auto" w:fill="D9D9D9" w:themeFill="background1" w:themeFillShade="D9"/>
            <w:vAlign w:val="center"/>
          </w:tcPr>
          <w:p w14:paraId="5E3FC3B9"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F44785B"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220" w:type="pct"/>
            <w:tcMar>
              <w:top w:w="0" w:type="dxa"/>
              <w:left w:w="108" w:type="dxa"/>
              <w:bottom w:w="0" w:type="dxa"/>
              <w:right w:w="108" w:type="dxa"/>
            </w:tcMar>
          </w:tcPr>
          <w:p w14:paraId="3653AD6A" w14:textId="1F581413" w:rsidR="000D19A9" w:rsidRPr="007C4D65" w:rsidRDefault="000D19A9" w:rsidP="003A25F3">
            <w:pPr>
              <w:spacing w:line="276" w:lineRule="auto"/>
              <w:rPr>
                <w:rFonts w:asciiTheme="minorHAnsi" w:hAnsiTheme="minorHAnsi" w:cstheme="minorHAnsi"/>
                <w:sz w:val="18"/>
                <w:szCs w:val="18"/>
                <w:lang w:val="hr-HR"/>
              </w:rPr>
            </w:pPr>
            <w:r w:rsidRPr="007C4D65">
              <w:rPr>
                <w:rFonts w:asciiTheme="minorHAnsi" w:hAnsiTheme="minorHAnsi"/>
                <w:sz w:val="18"/>
                <w:szCs w:val="18"/>
              </w:rPr>
              <w:t>Effectiveness of compliance oversight with respect to conditions prescribed in water acts for the polluters, and enforcement of provisions on sanctions in case of non-compliance</w:t>
            </w:r>
          </w:p>
        </w:tc>
        <w:tc>
          <w:tcPr>
            <w:tcW w:w="1068" w:type="pct"/>
            <w:tcMar>
              <w:top w:w="0" w:type="dxa"/>
              <w:left w:w="108" w:type="dxa"/>
              <w:bottom w:w="0" w:type="dxa"/>
              <w:right w:w="108" w:type="dxa"/>
            </w:tcMar>
          </w:tcPr>
          <w:p w14:paraId="43308490"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Current approach to supervision is not effective:</w:t>
            </w:r>
          </w:p>
          <w:p w14:paraId="375A65F9" w14:textId="77777777" w:rsidR="000D19A9" w:rsidRPr="007C4D65" w:rsidRDefault="000D19A9" w:rsidP="000D19A9">
            <w:pPr>
              <w:pStyle w:val="ListParagraph"/>
              <w:numPr>
                <w:ilvl w:val="0"/>
                <w:numId w:val="41"/>
              </w:numPr>
              <w:spacing w:line="276" w:lineRule="auto"/>
              <w:ind w:left="360"/>
              <w:rPr>
                <w:rFonts w:asciiTheme="minorHAnsi" w:hAnsiTheme="minorHAnsi" w:cstheme="minorHAnsi"/>
                <w:sz w:val="18"/>
                <w:szCs w:val="18"/>
              </w:rPr>
            </w:pPr>
            <w:r w:rsidRPr="007C4D65">
              <w:rPr>
                <w:rFonts w:asciiTheme="minorHAnsi" w:hAnsiTheme="minorHAnsi"/>
                <w:sz w:val="18"/>
                <w:szCs w:val="18"/>
              </w:rPr>
              <w:t>Inspection plans are partly based on Water Management Plans and Water Acts, and on information regarding received complaints and requests by competent bodies in water sector</w:t>
            </w:r>
          </w:p>
          <w:p w14:paraId="2206DD3F" w14:textId="4FF8CDF1" w:rsidR="000D19A9" w:rsidRPr="007C4D65" w:rsidRDefault="000D19A9" w:rsidP="000D19A9">
            <w:pPr>
              <w:pStyle w:val="ListParagraph"/>
              <w:numPr>
                <w:ilvl w:val="0"/>
                <w:numId w:val="41"/>
              </w:numPr>
              <w:spacing w:line="276" w:lineRule="auto"/>
              <w:ind w:left="360"/>
              <w:rPr>
                <w:rFonts w:asciiTheme="minorHAnsi" w:hAnsiTheme="minorHAnsi" w:cstheme="minorHAnsi"/>
                <w:sz w:val="18"/>
                <w:szCs w:val="18"/>
              </w:rPr>
            </w:pPr>
            <w:r w:rsidRPr="007C4D65">
              <w:rPr>
                <w:rFonts w:asciiTheme="minorHAnsi" w:hAnsiTheme="minorHAnsi"/>
                <w:sz w:val="18"/>
                <w:szCs w:val="18"/>
              </w:rPr>
              <w:t>Poor coordination between the Federation and cantonal inspectorates when developing plans</w:t>
            </w:r>
          </w:p>
        </w:tc>
        <w:tc>
          <w:tcPr>
            <w:tcW w:w="1190" w:type="pct"/>
            <w:tcMar>
              <w:top w:w="0" w:type="dxa"/>
              <w:left w:w="108" w:type="dxa"/>
              <w:bottom w:w="0" w:type="dxa"/>
              <w:right w:w="108" w:type="dxa"/>
            </w:tcMar>
          </w:tcPr>
          <w:p w14:paraId="7C6280EA" w14:textId="0997FC8B"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High effectiveness and level of efficiency of inspection oversight </w:t>
            </w:r>
            <w:r w:rsidR="00830279" w:rsidRPr="007C4D65">
              <w:rPr>
                <w:rFonts w:asciiTheme="minorHAnsi" w:hAnsiTheme="minorHAnsi"/>
                <w:sz w:val="18"/>
                <w:szCs w:val="18"/>
              </w:rPr>
              <w:t>led</w:t>
            </w:r>
            <w:r w:rsidRPr="007C4D65">
              <w:rPr>
                <w:rFonts w:asciiTheme="minorHAnsi" w:hAnsiTheme="minorHAnsi"/>
                <w:sz w:val="18"/>
                <w:szCs w:val="18"/>
              </w:rPr>
              <w:t xml:space="preserve"> to the following:</w:t>
            </w:r>
          </w:p>
          <w:p w14:paraId="69F898B3" w14:textId="77777777" w:rsidR="000D19A9" w:rsidRPr="007C4D65" w:rsidRDefault="000D19A9" w:rsidP="000D19A9">
            <w:pPr>
              <w:pStyle w:val="ListParagraph"/>
              <w:numPr>
                <w:ilvl w:val="0"/>
                <w:numId w:val="42"/>
              </w:numPr>
              <w:spacing w:line="276" w:lineRule="auto"/>
              <w:ind w:left="360"/>
              <w:rPr>
                <w:rFonts w:asciiTheme="minorHAnsi" w:hAnsiTheme="minorHAnsi" w:cstheme="minorHAnsi"/>
                <w:sz w:val="18"/>
                <w:szCs w:val="18"/>
              </w:rPr>
            </w:pPr>
            <w:r w:rsidRPr="007C4D65">
              <w:rPr>
                <w:rFonts w:asciiTheme="minorHAnsi" w:hAnsiTheme="minorHAnsi"/>
                <w:sz w:val="18"/>
                <w:szCs w:val="18"/>
              </w:rPr>
              <w:t>All polluters comply and implement conditions prescribed in water acts</w:t>
            </w:r>
          </w:p>
          <w:p w14:paraId="0107096F" w14:textId="1106E12A" w:rsidR="000D19A9" w:rsidRPr="007C4D65" w:rsidRDefault="000D19A9" w:rsidP="000D19A9">
            <w:pPr>
              <w:pStyle w:val="ListParagraph"/>
              <w:numPr>
                <w:ilvl w:val="0"/>
                <w:numId w:val="42"/>
              </w:numPr>
              <w:spacing w:line="276" w:lineRule="auto"/>
              <w:ind w:left="360"/>
              <w:rPr>
                <w:rFonts w:asciiTheme="minorHAnsi" w:hAnsiTheme="minorHAnsi" w:cstheme="minorHAnsi"/>
                <w:sz w:val="18"/>
                <w:szCs w:val="18"/>
              </w:rPr>
            </w:pPr>
            <w:r w:rsidRPr="007C4D65">
              <w:rPr>
                <w:rFonts w:asciiTheme="minorHAnsi" w:hAnsiTheme="minorHAnsi"/>
                <w:sz w:val="18"/>
                <w:szCs w:val="18"/>
              </w:rPr>
              <w:t>Inspection oversight prevents / minimizes unlawful pollution of water bodies</w:t>
            </w:r>
          </w:p>
        </w:tc>
      </w:tr>
      <w:tr w:rsidR="000D19A9" w:rsidRPr="007C4D65" w14:paraId="543FAAC0" w14:textId="77777777" w:rsidTr="00B6017F">
        <w:trPr>
          <w:trHeight w:val="287"/>
        </w:trPr>
        <w:tc>
          <w:tcPr>
            <w:tcW w:w="658" w:type="pct"/>
            <w:vMerge/>
            <w:shd w:val="clear" w:color="auto" w:fill="D9D9D9" w:themeFill="background1" w:themeFillShade="D9"/>
            <w:vAlign w:val="center"/>
            <w:hideMark/>
          </w:tcPr>
          <w:p w14:paraId="0911FFD4"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12901263"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220" w:type="pct"/>
            <w:shd w:val="clear" w:color="auto" w:fill="D9D9D9" w:themeFill="background1" w:themeFillShade="D9"/>
            <w:tcMar>
              <w:top w:w="0" w:type="dxa"/>
              <w:left w:w="108" w:type="dxa"/>
              <w:bottom w:w="0" w:type="dxa"/>
              <w:right w:w="108" w:type="dxa"/>
            </w:tcMar>
            <w:vAlign w:val="center"/>
          </w:tcPr>
          <w:p w14:paraId="3C1E142C"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068" w:type="pct"/>
            <w:shd w:val="clear" w:color="auto" w:fill="D9D9D9" w:themeFill="background1" w:themeFillShade="D9"/>
            <w:tcMar>
              <w:top w:w="0" w:type="dxa"/>
              <w:left w:w="108" w:type="dxa"/>
              <w:bottom w:w="0" w:type="dxa"/>
              <w:right w:w="108" w:type="dxa"/>
            </w:tcMar>
            <w:vAlign w:val="center"/>
          </w:tcPr>
          <w:p w14:paraId="68F8AE76"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90" w:type="pct"/>
            <w:shd w:val="clear" w:color="auto" w:fill="D9D9D9" w:themeFill="background1" w:themeFillShade="D9"/>
            <w:tcMar>
              <w:top w:w="0" w:type="dxa"/>
              <w:left w:w="108" w:type="dxa"/>
              <w:bottom w:w="0" w:type="dxa"/>
              <w:right w:w="108" w:type="dxa"/>
            </w:tcMar>
            <w:vAlign w:val="center"/>
          </w:tcPr>
          <w:p w14:paraId="2749C60D"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6856DFB7" w14:textId="77777777" w:rsidTr="00B6017F">
        <w:trPr>
          <w:trHeight w:val="287"/>
        </w:trPr>
        <w:tc>
          <w:tcPr>
            <w:tcW w:w="658" w:type="pct"/>
            <w:vMerge/>
            <w:shd w:val="clear" w:color="auto" w:fill="D9D9D9" w:themeFill="background1" w:themeFillShade="D9"/>
            <w:vAlign w:val="center"/>
          </w:tcPr>
          <w:p w14:paraId="29867346"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6011102"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220" w:type="pct"/>
            <w:tcMar>
              <w:top w:w="0" w:type="dxa"/>
              <w:left w:w="108" w:type="dxa"/>
              <w:bottom w:w="0" w:type="dxa"/>
              <w:right w:w="108" w:type="dxa"/>
            </w:tcMar>
            <w:vAlign w:val="center"/>
          </w:tcPr>
          <w:p w14:paraId="11F645A2"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0,279</w:t>
            </w:r>
          </w:p>
        </w:tc>
        <w:tc>
          <w:tcPr>
            <w:tcW w:w="1068" w:type="pct"/>
            <w:tcMar>
              <w:top w:w="0" w:type="dxa"/>
              <w:left w:w="108" w:type="dxa"/>
              <w:bottom w:w="0" w:type="dxa"/>
              <w:right w:w="108" w:type="dxa"/>
            </w:tcMar>
            <w:vAlign w:val="center"/>
          </w:tcPr>
          <w:p w14:paraId="2FDA0B67"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2,5</w:t>
            </w:r>
          </w:p>
        </w:tc>
        <w:tc>
          <w:tcPr>
            <w:tcW w:w="1190" w:type="pct"/>
            <w:tcMar>
              <w:top w:w="0" w:type="dxa"/>
              <w:left w:w="108" w:type="dxa"/>
              <w:bottom w:w="0" w:type="dxa"/>
              <w:right w:w="108" w:type="dxa"/>
            </w:tcMar>
            <w:vAlign w:val="center"/>
          </w:tcPr>
          <w:p w14:paraId="5AF4470F"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2,7</w:t>
            </w:r>
          </w:p>
        </w:tc>
      </w:tr>
    </w:tbl>
    <w:p w14:paraId="67D16471" w14:textId="77777777" w:rsidR="000D19A9" w:rsidRPr="007C4D65" w:rsidRDefault="000D19A9" w:rsidP="000D19A9">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8"/>
        <w:gridCol w:w="3259"/>
        <w:gridCol w:w="3119"/>
        <w:gridCol w:w="3317"/>
      </w:tblGrid>
      <w:tr w:rsidR="000D19A9" w:rsidRPr="007C4D65" w14:paraId="55C7892A" w14:textId="77777777" w:rsidTr="00B6017F">
        <w:trPr>
          <w:trHeight w:val="483"/>
        </w:trPr>
        <w:tc>
          <w:tcPr>
            <w:tcW w:w="658" w:type="pct"/>
            <w:vMerge w:val="restart"/>
            <w:shd w:val="clear" w:color="auto" w:fill="D9D9D9" w:themeFill="background1" w:themeFillShade="D9"/>
            <w:tcMar>
              <w:top w:w="0" w:type="dxa"/>
              <w:left w:w="108" w:type="dxa"/>
              <w:bottom w:w="0" w:type="dxa"/>
              <w:right w:w="108" w:type="dxa"/>
            </w:tcMar>
            <w:vAlign w:val="center"/>
            <w:hideMark/>
          </w:tcPr>
          <w:p w14:paraId="670731A5" w14:textId="77777777" w:rsidR="000D19A9" w:rsidRPr="007C4D65" w:rsidRDefault="000D19A9" w:rsidP="00B6017F">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b/>
                <w:color w:val="000000" w:themeColor="text1"/>
                <w:sz w:val="18"/>
                <w:szCs w:val="18"/>
              </w:rPr>
              <w:t>1.1.1. Measure</w:t>
            </w:r>
          </w:p>
        </w:tc>
        <w:tc>
          <w:tcPr>
            <w:tcW w:w="864" w:type="pct"/>
            <w:vMerge w:val="restart"/>
            <w:tcMar>
              <w:top w:w="0" w:type="dxa"/>
              <w:left w:w="108" w:type="dxa"/>
              <w:bottom w:w="0" w:type="dxa"/>
              <w:right w:w="108" w:type="dxa"/>
            </w:tcMar>
            <w:vAlign w:val="center"/>
          </w:tcPr>
          <w:p w14:paraId="1A0864AE" w14:textId="7D907F1B"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Achieving environmental objectives for water bodies as defined in the water basin management plans in the Federation of BiH</w:t>
            </w:r>
          </w:p>
        </w:tc>
        <w:tc>
          <w:tcPr>
            <w:tcW w:w="1169" w:type="pct"/>
            <w:shd w:val="clear" w:color="auto" w:fill="D9D9D9" w:themeFill="background1" w:themeFillShade="D9"/>
            <w:tcMar>
              <w:top w:w="0" w:type="dxa"/>
              <w:left w:w="108" w:type="dxa"/>
              <w:bottom w:w="0" w:type="dxa"/>
              <w:right w:w="108" w:type="dxa"/>
            </w:tcMar>
            <w:vAlign w:val="center"/>
            <w:hideMark/>
          </w:tcPr>
          <w:p w14:paraId="4F0B239A"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of the measure</w:t>
            </w:r>
          </w:p>
        </w:tc>
        <w:tc>
          <w:tcPr>
            <w:tcW w:w="1119" w:type="pct"/>
            <w:shd w:val="clear" w:color="auto" w:fill="D9D9D9" w:themeFill="background1" w:themeFillShade="D9"/>
            <w:tcMar>
              <w:top w:w="0" w:type="dxa"/>
              <w:left w:w="108" w:type="dxa"/>
              <w:bottom w:w="0" w:type="dxa"/>
              <w:right w:w="108" w:type="dxa"/>
            </w:tcMar>
            <w:vAlign w:val="center"/>
            <w:hideMark/>
          </w:tcPr>
          <w:p w14:paraId="7961B43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90" w:type="pct"/>
            <w:shd w:val="clear" w:color="auto" w:fill="D9D9D9" w:themeFill="background1" w:themeFillShade="D9"/>
            <w:vAlign w:val="center"/>
          </w:tcPr>
          <w:p w14:paraId="344BAA0D"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631EE92F" w14:textId="77777777" w:rsidTr="00B6017F">
        <w:trPr>
          <w:trHeight w:val="287"/>
        </w:trPr>
        <w:tc>
          <w:tcPr>
            <w:tcW w:w="658" w:type="pct"/>
            <w:vMerge/>
            <w:shd w:val="clear" w:color="auto" w:fill="D9D9D9" w:themeFill="background1" w:themeFillShade="D9"/>
          </w:tcPr>
          <w:p w14:paraId="62E6054B"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tcPr>
          <w:p w14:paraId="2D6603CF"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3DACF5D0" w14:textId="17016D8C"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a1) Status of adoption of amendments to the Law on Organisation of Administrative Bodies for the purpose of regular and precise reporting on implementation of strategic and planning documents (Basin Management Plans)</w:t>
            </w:r>
          </w:p>
        </w:tc>
        <w:tc>
          <w:tcPr>
            <w:tcW w:w="111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2F5F0FB2" w14:textId="2CD442EA"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 current Law does not include provisions that would precisely define procedures and impose obligation to the institutions / bodies at various levels of government to regularly collect, process and share information / reports on implementation of the River Basin Management Plans</w:t>
            </w:r>
          </w:p>
        </w:tc>
        <w:tc>
          <w:tcPr>
            <w:tcW w:w="1190" w:type="pct"/>
            <w:tcBorders>
              <w:top w:val="single" w:sz="4" w:space="0" w:color="A6A6A6"/>
              <w:left w:val="single" w:sz="4" w:space="0" w:color="A6A6A6"/>
              <w:bottom w:val="single" w:sz="4" w:space="0" w:color="A6A6A6"/>
              <w:right w:val="single" w:sz="4" w:space="0" w:color="A6A6A6"/>
            </w:tcBorders>
            <w:vAlign w:val="center"/>
          </w:tcPr>
          <w:p w14:paraId="6CE9DF0D" w14:textId="1F595452" w:rsidR="000D19A9" w:rsidRPr="007C4D65" w:rsidRDefault="000D19A9" w:rsidP="00B6017F">
            <w:pPr>
              <w:spacing w:line="276" w:lineRule="auto"/>
              <w:ind w:left="153"/>
              <w:rPr>
                <w:rFonts w:asciiTheme="minorHAnsi" w:hAnsiTheme="minorHAnsi" w:cstheme="minorHAnsi"/>
                <w:sz w:val="18"/>
                <w:szCs w:val="18"/>
              </w:rPr>
            </w:pPr>
            <w:r w:rsidRPr="007C4D65">
              <w:rPr>
                <w:rFonts w:asciiTheme="minorHAnsi" w:hAnsiTheme="minorHAnsi"/>
                <w:sz w:val="18"/>
                <w:szCs w:val="18"/>
              </w:rPr>
              <w:t>Developed and adopted amendments to the Law on Organisation of Administrative Bodies</w:t>
            </w:r>
          </w:p>
        </w:tc>
      </w:tr>
      <w:tr w:rsidR="000D19A9" w:rsidRPr="007C4D65" w14:paraId="4BBEFB4D" w14:textId="77777777" w:rsidTr="00B6017F">
        <w:trPr>
          <w:trHeight w:val="287"/>
        </w:trPr>
        <w:tc>
          <w:tcPr>
            <w:tcW w:w="658" w:type="pct"/>
            <w:vMerge/>
            <w:shd w:val="clear" w:color="auto" w:fill="D9D9D9" w:themeFill="background1" w:themeFillShade="D9"/>
          </w:tcPr>
          <w:p w14:paraId="33E4ACD5"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tcPr>
          <w:p w14:paraId="66C72B69"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01D958A7" w14:textId="77777777" w:rsidR="000D19A9" w:rsidRPr="007C4D65" w:rsidRDefault="000D19A9" w:rsidP="00B6017F">
            <w:pPr>
              <w:spacing w:before="40" w:after="40" w:line="276" w:lineRule="auto"/>
              <w:rPr>
                <w:rFonts w:asciiTheme="minorHAnsi" w:hAnsiTheme="minorHAnsi" w:cstheme="minorHAnsi"/>
                <w:sz w:val="18"/>
                <w:szCs w:val="18"/>
              </w:rPr>
            </w:pPr>
            <w:r w:rsidRPr="007C4D65">
              <w:rPr>
                <w:rFonts w:asciiTheme="minorHAnsi" w:hAnsiTheme="minorHAnsi"/>
                <w:sz w:val="18"/>
                <w:szCs w:val="18"/>
              </w:rPr>
              <w:t xml:space="preserve">Status of reporting and publishing the Report on </w:t>
            </w:r>
            <w:r w:rsidRPr="007C4D65">
              <w:rPr>
                <w:rFonts w:asciiTheme="minorHAnsi" w:hAnsiTheme="minorHAnsi"/>
                <w:i/>
                <w:sz w:val="18"/>
                <w:szCs w:val="18"/>
              </w:rPr>
              <w:t>web</w:t>
            </w:r>
            <w:r w:rsidRPr="007C4D65">
              <w:rPr>
                <w:rFonts w:asciiTheme="minorHAnsi" w:hAnsiTheme="minorHAnsi"/>
                <w:sz w:val="18"/>
                <w:szCs w:val="18"/>
              </w:rPr>
              <w:t xml:space="preserve"> pages of the Sava River Basin Agency and the Adriatic Sea Watershed Agency, including:</w:t>
            </w:r>
          </w:p>
          <w:p w14:paraId="0A2ABBAA" w14:textId="77777777" w:rsidR="000D19A9" w:rsidRPr="007C4D65" w:rsidRDefault="000D19A9" w:rsidP="00B6017F">
            <w:pPr>
              <w:spacing w:before="40" w:after="40" w:line="276" w:lineRule="auto"/>
              <w:rPr>
                <w:rFonts w:asciiTheme="minorHAnsi" w:hAnsiTheme="minorHAnsi" w:cstheme="minorHAnsi"/>
                <w:sz w:val="18"/>
                <w:szCs w:val="18"/>
              </w:rPr>
            </w:pPr>
            <w:r w:rsidRPr="007C4D65">
              <w:rPr>
                <w:rFonts w:asciiTheme="minorHAnsi" w:hAnsiTheme="minorHAnsi"/>
                <w:sz w:val="18"/>
                <w:szCs w:val="18"/>
              </w:rPr>
              <w:t>a2) Performed analysis and assessment of the level of realisation of the programme of measures - biannual reports on implementation of programme of measures</w:t>
            </w:r>
          </w:p>
          <w:p w14:paraId="246E16B1"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 a3) Completed monitoring of surface and ground water bodies‒ annual reports on status of surface and ground water bodies</w:t>
            </w:r>
          </w:p>
        </w:tc>
        <w:tc>
          <w:tcPr>
            <w:tcW w:w="111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2E695C09" w14:textId="77777777" w:rsidR="000D19A9" w:rsidRPr="007C4D65" w:rsidRDefault="000D19A9" w:rsidP="00B6017F">
            <w:pPr>
              <w:spacing w:before="40" w:after="40" w:line="276" w:lineRule="auto"/>
              <w:rPr>
                <w:rFonts w:asciiTheme="minorHAnsi" w:eastAsiaTheme="minorEastAsia" w:hAnsiTheme="minorHAnsi" w:cstheme="minorHAnsi"/>
                <w:sz w:val="18"/>
                <w:szCs w:val="18"/>
              </w:rPr>
            </w:pPr>
            <w:r w:rsidRPr="007C4D65">
              <w:rPr>
                <w:rFonts w:asciiTheme="minorHAnsi" w:hAnsiTheme="minorHAnsi"/>
                <w:sz w:val="18"/>
                <w:szCs w:val="18"/>
              </w:rPr>
              <w:t xml:space="preserve">Not regular activity: </w:t>
            </w:r>
          </w:p>
          <w:p w14:paraId="1AFC8466" w14:textId="6527BC24" w:rsidR="000D19A9" w:rsidRPr="007C4D65" w:rsidRDefault="000D19A9">
            <w:pPr>
              <w:pStyle w:val="ListParagraph"/>
              <w:numPr>
                <w:ilvl w:val="0"/>
                <w:numId w:val="85"/>
              </w:numPr>
              <w:spacing w:before="40" w:after="40" w:line="276" w:lineRule="auto"/>
              <w:ind w:left="360"/>
              <w:rPr>
                <w:rFonts w:asciiTheme="minorHAnsi" w:hAnsiTheme="minorHAnsi" w:cstheme="minorHAnsi"/>
                <w:sz w:val="18"/>
                <w:szCs w:val="18"/>
              </w:rPr>
            </w:pPr>
            <w:r w:rsidRPr="007C4D65">
              <w:rPr>
                <w:rFonts w:asciiTheme="minorHAnsi" w:hAnsiTheme="minorHAnsi"/>
                <w:sz w:val="18"/>
                <w:szCs w:val="18"/>
              </w:rPr>
              <w:t>submitting data for reports on implementation of the programme of measures</w:t>
            </w:r>
          </w:p>
          <w:p w14:paraId="647004F2" w14:textId="77777777" w:rsidR="000D19A9" w:rsidRPr="007C4D65" w:rsidRDefault="000D19A9">
            <w:pPr>
              <w:pStyle w:val="ListParagraph"/>
              <w:numPr>
                <w:ilvl w:val="0"/>
                <w:numId w:val="85"/>
              </w:numPr>
              <w:spacing w:before="40" w:after="40" w:line="276" w:lineRule="auto"/>
              <w:ind w:left="360"/>
              <w:rPr>
                <w:rFonts w:asciiTheme="minorHAnsi" w:hAnsiTheme="minorHAnsi" w:cstheme="minorHAnsi"/>
                <w:sz w:val="18"/>
                <w:szCs w:val="18"/>
              </w:rPr>
            </w:pPr>
            <w:r w:rsidRPr="007C4D65">
              <w:rPr>
                <w:rFonts w:asciiTheme="minorHAnsi" w:hAnsiTheme="minorHAnsi"/>
                <w:sz w:val="18"/>
                <w:szCs w:val="18"/>
              </w:rPr>
              <w:t xml:space="preserve">publishing the Reports on </w:t>
            </w:r>
            <w:r w:rsidRPr="007C4D65">
              <w:rPr>
                <w:rFonts w:asciiTheme="minorHAnsi" w:hAnsiTheme="minorHAnsi"/>
                <w:i/>
                <w:sz w:val="18"/>
                <w:szCs w:val="18"/>
              </w:rPr>
              <w:t>web</w:t>
            </w:r>
            <w:r w:rsidRPr="007C4D65">
              <w:rPr>
                <w:rFonts w:asciiTheme="minorHAnsi" w:hAnsiTheme="minorHAnsi"/>
                <w:sz w:val="18"/>
                <w:szCs w:val="18"/>
              </w:rPr>
              <w:t xml:space="preserve"> pages of the Sava River Basin Agency and the Adriatic Sea Watershed Agency</w:t>
            </w:r>
          </w:p>
          <w:p w14:paraId="387AAFD6"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90" w:type="pct"/>
            <w:tcBorders>
              <w:top w:val="single" w:sz="4" w:space="0" w:color="A6A6A6"/>
              <w:left w:val="single" w:sz="4" w:space="0" w:color="A6A6A6"/>
              <w:bottom w:val="single" w:sz="4" w:space="0" w:color="A6A6A6"/>
              <w:right w:val="single" w:sz="4" w:space="0" w:color="A6A6A6"/>
            </w:tcBorders>
            <w:vAlign w:val="center"/>
          </w:tcPr>
          <w:p w14:paraId="55B886E6" w14:textId="77777777" w:rsidR="000D19A9" w:rsidRPr="007C4D65" w:rsidRDefault="000D19A9" w:rsidP="00B6017F">
            <w:pPr>
              <w:spacing w:before="40" w:after="40" w:line="276" w:lineRule="auto"/>
              <w:ind w:left="153"/>
              <w:rPr>
                <w:rFonts w:asciiTheme="minorHAnsi" w:eastAsia="Calibri" w:hAnsiTheme="minorHAnsi" w:cstheme="minorHAnsi"/>
                <w:sz w:val="18"/>
                <w:szCs w:val="18"/>
              </w:rPr>
            </w:pPr>
            <w:r w:rsidRPr="007C4D65">
              <w:rPr>
                <w:rFonts w:asciiTheme="minorHAnsi" w:hAnsiTheme="minorHAnsi"/>
                <w:sz w:val="18"/>
                <w:szCs w:val="18"/>
              </w:rPr>
              <w:t>The following Reports published at the Agencies' web pages, full and precise:</w:t>
            </w:r>
          </w:p>
          <w:p w14:paraId="231BFD73" w14:textId="77777777" w:rsidR="000D19A9" w:rsidRPr="007C4D65" w:rsidRDefault="000D19A9">
            <w:pPr>
              <w:pStyle w:val="ListParagraph"/>
              <w:numPr>
                <w:ilvl w:val="0"/>
                <w:numId w:val="85"/>
              </w:numPr>
              <w:spacing w:before="40" w:after="40" w:line="276" w:lineRule="auto"/>
              <w:ind w:left="360" w:hanging="207"/>
              <w:rPr>
                <w:rFonts w:asciiTheme="minorHAnsi" w:eastAsia="Calibri" w:hAnsiTheme="minorHAnsi" w:cstheme="minorHAnsi"/>
                <w:sz w:val="18"/>
                <w:szCs w:val="18"/>
              </w:rPr>
            </w:pPr>
            <w:r w:rsidRPr="007C4D65">
              <w:rPr>
                <w:rFonts w:asciiTheme="minorHAnsi" w:hAnsiTheme="minorHAnsi"/>
                <w:sz w:val="18"/>
                <w:szCs w:val="18"/>
              </w:rPr>
              <w:t xml:space="preserve">Biannual report on implementation of the programme of measures  </w:t>
            </w:r>
          </w:p>
          <w:p w14:paraId="6491E304" w14:textId="55393B70" w:rsidR="000D19A9" w:rsidRPr="007C4D65" w:rsidRDefault="000D19A9" w:rsidP="003A25F3">
            <w:pPr>
              <w:pStyle w:val="ListParagraph"/>
              <w:numPr>
                <w:ilvl w:val="0"/>
                <w:numId w:val="85"/>
              </w:numPr>
              <w:spacing w:before="40" w:after="40" w:line="276" w:lineRule="auto"/>
              <w:ind w:left="360" w:hanging="207"/>
              <w:rPr>
                <w:rFonts w:asciiTheme="minorHAnsi" w:eastAsia="Calibri" w:hAnsiTheme="minorHAnsi" w:cstheme="minorHAnsi"/>
                <w:sz w:val="18"/>
                <w:szCs w:val="18"/>
              </w:rPr>
            </w:pPr>
            <w:r w:rsidRPr="007C4D65">
              <w:rPr>
                <w:rFonts w:asciiTheme="minorHAnsi" w:hAnsiTheme="minorHAnsi"/>
                <w:sz w:val="18"/>
                <w:szCs w:val="18"/>
              </w:rPr>
              <w:t xml:space="preserve">Annual reports on the status of surface and ground waters </w:t>
            </w:r>
          </w:p>
        </w:tc>
      </w:tr>
      <w:tr w:rsidR="000D19A9" w:rsidRPr="007C4D65" w14:paraId="50323CA2" w14:textId="77777777" w:rsidTr="00B6017F">
        <w:trPr>
          <w:trHeight w:val="287"/>
        </w:trPr>
        <w:tc>
          <w:tcPr>
            <w:tcW w:w="658" w:type="pct"/>
            <w:vMerge/>
            <w:shd w:val="clear" w:color="auto" w:fill="D9D9D9" w:themeFill="background1" w:themeFillShade="D9"/>
          </w:tcPr>
          <w:p w14:paraId="78BB938F"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tcPr>
          <w:p w14:paraId="4F18C5F1"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046E8519" w14:textId="3F74CAC4" w:rsidR="000D19A9" w:rsidRPr="007C4D65" w:rsidRDefault="000D19A9" w:rsidP="00B6017F">
            <w:pPr>
              <w:spacing w:before="40" w:after="40" w:line="276" w:lineRule="auto"/>
              <w:rPr>
                <w:rFonts w:asciiTheme="minorHAnsi" w:hAnsiTheme="minorHAnsi" w:cstheme="minorHAnsi"/>
                <w:sz w:val="18"/>
                <w:szCs w:val="18"/>
              </w:rPr>
            </w:pPr>
            <w:r w:rsidRPr="007C4D65">
              <w:rPr>
                <w:rFonts w:asciiTheme="minorHAnsi" w:hAnsiTheme="minorHAnsi"/>
                <w:sz w:val="18"/>
                <w:szCs w:val="18"/>
              </w:rPr>
              <w:t>b1) Level of adjusting the processing of the water acts to the needs of water inspectors</w:t>
            </w:r>
          </w:p>
        </w:tc>
        <w:tc>
          <w:tcPr>
            <w:tcW w:w="111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1EF4BBB1" w14:textId="7EEC846F" w:rsidR="000D19A9" w:rsidRPr="007C4D65" w:rsidRDefault="000D19A9" w:rsidP="00B6017F">
            <w:pPr>
              <w:spacing w:before="40" w:after="40" w:line="276" w:lineRule="auto"/>
              <w:rPr>
                <w:rFonts w:asciiTheme="minorHAnsi" w:hAnsiTheme="minorHAnsi" w:cstheme="minorHAnsi"/>
                <w:sz w:val="18"/>
                <w:szCs w:val="18"/>
              </w:rPr>
            </w:pPr>
            <w:r w:rsidRPr="007C4D65">
              <w:rPr>
                <w:rFonts w:asciiTheme="minorHAnsi" w:hAnsiTheme="minorHAnsi"/>
                <w:sz w:val="18"/>
                <w:szCs w:val="18"/>
              </w:rPr>
              <w:t xml:space="preserve">Water acts do not contain information on the status of water body into which the commercial entities release </w:t>
            </w:r>
            <w:proofErr w:type="gramStart"/>
            <w:r w:rsidRPr="007C4D65">
              <w:rPr>
                <w:rFonts w:asciiTheme="minorHAnsi" w:hAnsiTheme="minorHAnsi"/>
                <w:sz w:val="18"/>
                <w:szCs w:val="18"/>
              </w:rPr>
              <w:t>waste water</w:t>
            </w:r>
            <w:proofErr w:type="gramEnd"/>
            <w:r w:rsidRPr="007C4D65">
              <w:rPr>
                <w:rFonts w:asciiTheme="minorHAnsi" w:hAnsiTheme="minorHAnsi"/>
                <w:sz w:val="18"/>
                <w:szCs w:val="18"/>
              </w:rPr>
              <w:t>, nor on the objectives regarding the status of this water body according to the Management Plan</w:t>
            </w:r>
          </w:p>
        </w:tc>
        <w:tc>
          <w:tcPr>
            <w:tcW w:w="1190" w:type="pct"/>
            <w:tcBorders>
              <w:top w:val="single" w:sz="4" w:space="0" w:color="A6A6A6"/>
              <w:left w:val="single" w:sz="4" w:space="0" w:color="A6A6A6"/>
              <w:bottom w:val="single" w:sz="4" w:space="0" w:color="A6A6A6"/>
              <w:right w:val="single" w:sz="4" w:space="0" w:color="A6A6A6"/>
            </w:tcBorders>
            <w:vAlign w:val="center"/>
          </w:tcPr>
          <w:p w14:paraId="2DD14434" w14:textId="77777777" w:rsidR="000D19A9" w:rsidRPr="007C4D65" w:rsidRDefault="000D19A9" w:rsidP="00B6017F">
            <w:pPr>
              <w:spacing w:after="120" w:line="276" w:lineRule="auto"/>
              <w:ind w:left="153" w:hanging="2"/>
              <w:contextualSpacing/>
              <w:rPr>
                <w:rFonts w:asciiTheme="minorHAnsi" w:hAnsiTheme="minorHAnsi" w:cstheme="minorHAnsi"/>
                <w:sz w:val="18"/>
                <w:szCs w:val="18"/>
              </w:rPr>
            </w:pPr>
            <w:r w:rsidRPr="007C4D65">
              <w:rPr>
                <w:rFonts w:asciiTheme="minorHAnsi" w:hAnsiTheme="minorHAnsi"/>
                <w:sz w:val="18"/>
                <w:szCs w:val="18"/>
              </w:rPr>
              <w:t xml:space="preserve">Water acts include information on current status of water bodies into which the </w:t>
            </w:r>
            <w:proofErr w:type="gramStart"/>
            <w:r w:rsidRPr="007C4D65">
              <w:rPr>
                <w:rFonts w:asciiTheme="minorHAnsi" w:hAnsiTheme="minorHAnsi"/>
                <w:sz w:val="18"/>
                <w:szCs w:val="18"/>
              </w:rPr>
              <w:t>waste water</w:t>
            </w:r>
            <w:proofErr w:type="gramEnd"/>
            <w:r w:rsidRPr="007C4D65">
              <w:rPr>
                <w:rFonts w:asciiTheme="minorHAnsi" w:hAnsiTheme="minorHAnsi"/>
                <w:sz w:val="18"/>
                <w:szCs w:val="18"/>
              </w:rPr>
              <w:t xml:space="preserve"> is discharged, and the identified objectives regarding status of the water body</w:t>
            </w:r>
          </w:p>
        </w:tc>
      </w:tr>
      <w:tr w:rsidR="000D19A9" w:rsidRPr="007C4D65" w14:paraId="3A972896" w14:textId="77777777" w:rsidTr="00B6017F">
        <w:trPr>
          <w:trHeight w:val="287"/>
        </w:trPr>
        <w:tc>
          <w:tcPr>
            <w:tcW w:w="658" w:type="pct"/>
            <w:vMerge/>
            <w:shd w:val="clear" w:color="auto" w:fill="D9D9D9" w:themeFill="background1" w:themeFillShade="D9"/>
          </w:tcPr>
          <w:p w14:paraId="324CE01B"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tcPr>
          <w:p w14:paraId="4A3E29B3"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4DD29337" w14:textId="51D9E83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b2) Level of readiness of the information from water management plans for the </w:t>
            </w:r>
            <w:r w:rsidRPr="007C4D65">
              <w:rPr>
                <w:rFonts w:asciiTheme="minorHAnsi" w:hAnsiTheme="minorHAnsi"/>
                <w:sz w:val="18"/>
                <w:szCs w:val="18"/>
              </w:rPr>
              <w:lastRenderedPageBreak/>
              <w:t>needs of inspections, with special emphasis on water bodies that do not have at least "good" status</w:t>
            </w:r>
          </w:p>
        </w:tc>
        <w:tc>
          <w:tcPr>
            <w:tcW w:w="111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226680FF" w14:textId="75D8BA1D"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lastRenderedPageBreak/>
              <w:t xml:space="preserve">The management plans 2022-2027 have not yet been adopted, so </w:t>
            </w:r>
            <w:r w:rsidRPr="007C4D65">
              <w:rPr>
                <w:rFonts w:asciiTheme="minorHAnsi" w:hAnsiTheme="minorHAnsi"/>
                <w:sz w:val="18"/>
                <w:szCs w:val="18"/>
              </w:rPr>
              <w:lastRenderedPageBreak/>
              <w:t>preparation of information from the Plans has not yet started</w:t>
            </w:r>
          </w:p>
        </w:tc>
        <w:tc>
          <w:tcPr>
            <w:tcW w:w="1190" w:type="pct"/>
            <w:tcBorders>
              <w:top w:val="single" w:sz="4" w:space="0" w:color="A6A6A6"/>
              <w:left w:val="single" w:sz="4" w:space="0" w:color="A6A6A6"/>
              <w:bottom w:val="single" w:sz="4" w:space="0" w:color="A6A6A6"/>
              <w:right w:val="single" w:sz="4" w:space="0" w:color="A6A6A6"/>
            </w:tcBorders>
            <w:vAlign w:val="center"/>
          </w:tcPr>
          <w:p w14:paraId="516F6C36" w14:textId="77777777" w:rsidR="000D19A9" w:rsidRPr="007C4D65" w:rsidRDefault="000D19A9" w:rsidP="00B6017F">
            <w:pPr>
              <w:spacing w:after="120" w:line="276" w:lineRule="auto"/>
              <w:ind w:left="153"/>
              <w:contextualSpacing/>
              <w:rPr>
                <w:rFonts w:asciiTheme="minorHAnsi" w:hAnsiTheme="minorHAnsi" w:cstheme="minorHAnsi"/>
                <w:sz w:val="18"/>
                <w:szCs w:val="18"/>
              </w:rPr>
            </w:pPr>
            <w:r w:rsidRPr="007C4D65">
              <w:rPr>
                <w:rFonts w:asciiTheme="minorHAnsi" w:hAnsiTheme="minorHAnsi"/>
                <w:sz w:val="18"/>
                <w:szCs w:val="18"/>
              </w:rPr>
              <w:lastRenderedPageBreak/>
              <w:t xml:space="preserve">Prepared and provided information from river management plans for the needs of </w:t>
            </w:r>
            <w:r w:rsidRPr="007C4D65">
              <w:rPr>
                <w:rFonts w:asciiTheme="minorHAnsi" w:hAnsiTheme="minorHAnsi"/>
                <w:sz w:val="18"/>
                <w:szCs w:val="18"/>
              </w:rPr>
              <w:lastRenderedPageBreak/>
              <w:t xml:space="preserve">inspections, with special emphasis on water bodies that do not have at least "good" status.  </w:t>
            </w:r>
          </w:p>
        </w:tc>
      </w:tr>
      <w:tr w:rsidR="000D19A9" w:rsidRPr="007C4D65" w14:paraId="5309BEB5" w14:textId="77777777" w:rsidTr="00B6017F">
        <w:trPr>
          <w:trHeight w:val="287"/>
        </w:trPr>
        <w:tc>
          <w:tcPr>
            <w:tcW w:w="658" w:type="pct"/>
            <w:vMerge/>
            <w:shd w:val="clear" w:color="auto" w:fill="D9D9D9" w:themeFill="background1" w:themeFillShade="D9"/>
          </w:tcPr>
          <w:p w14:paraId="53FCDB95"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tcPr>
          <w:p w14:paraId="2680BBD9"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33B329B5" w14:textId="2FAE79AC"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b3) Status regarding information of inspections on complaints received</w:t>
            </w:r>
          </w:p>
        </w:tc>
        <w:tc>
          <w:tcPr>
            <w:tcW w:w="111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7B53CF3B" w14:textId="435F40A8"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Inspections are informed on the complaints received</w:t>
            </w:r>
          </w:p>
        </w:tc>
        <w:tc>
          <w:tcPr>
            <w:tcW w:w="1190" w:type="pct"/>
            <w:tcBorders>
              <w:top w:val="single" w:sz="4" w:space="0" w:color="A6A6A6"/>
              <w:left w:val="single" w:sz="4" w:space="0" w:color="A6A6A6"/>
              <w:bottom w:val="single" w:sz="4" w:space="0" w:color="A6A6A6"/>
              <w:right w:val="single" w:sz="4" w:space="0" w:color="A6A6A6"/>
            </w:tcBorders>
            <w:vAlign w:val="center"/>
          </w:tcPr>
          <w:p w14:paraId="5941F967" w14:textId="77777777" w:rsidR="000D19A9" w:rsidRPr="007C4D65" w:rsidRDefault="000D19A9" w:rsidP="00B6017F">
            <w:pPr>
              <w:spacing w:after="120" w:line="276" w:lineRule="auto"/>
              <w:ind w:left="153" w:hanging="2"/>
              <w:contextualSpacing/>
              <w:rPr>
                <w:rFonts w:asciiTheme="minorHAnsi" w:hAnsiTheme="minorHAnsi" w:cstheme="minorHAnsi"/>
                <w:sz w:val="18"/>
                <w:szCs w:val="18"/>
              </w:rPr>
            </w:pPr>
            <w:r w:rsidRPr="007C4D65">
              <w:rPr>
                <w:rFonts w:asciiTheme="minorHAnsi" w:hAnsiTheme="minorHAnsi"/>
                <w:sz w:val="18"/>
                <w:szCs w:val="18"/>
              </w:rPr>
              <w:t>Timely provision of information and data to the inspections regarding received complaints and requests of the responsible bodies in water sector</w:t>
            </w:r>
          </w:p>
        </w:tc>
      </w:tr>
      <w:tr w:rsidR="000D19A9" w:rsidRPr="007C4D65" w14:paraId="0522BD9F" w14:textId="77777777" w:rsidTr="00B6017F">
        <w:trPr>
          <w:trHeight w:val="287"/>
        </w:trPr>
        <w:tc>
          <w:tcPr>
            <w:tcW w:w="658" w:type="pct"/>
            <w:vMerge/>
            <w:shd w:val="clear" w:color="auto" w:fill="D9D9D9" w:themeFill="background1" w:themeFillShade="D9"/>
          </w:tcPr>
          <w:p w14:paraId="37E5FAE0"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tcPr>
          <w:p w14:paraId="0CD6240B"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0E31641C" w14:textId="38404573"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Status of developing annual programmes of inspection oversight</w:t>
            </w:r>
          </w:p>
        </w:tc>
        <w:tc>
          <w:tcPr>
            <w:tcW w:w="111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17DA3CCC" w14:textId="14B50D25"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Annual programmes of inspection oversight are prepared</w:t>
            </w:r>
          </w:p>
        </w:tc>
        <w:tc>
          <w:tcPr>
            <w:tcW w:w="1190" w:type="pct"/>
            <w:tcBorders>
              <w:top w:val="single" w:sz="4" w:space="0" w:color="A6A6A6"/>
              <w:left w:val="single" w:sz="4" w:space="0" w:color="A6A6A6"/>
              <w:bottom w:val="single" w:sz="4" w:space="0" w:color="A6A6A6"/>
              <w:right w:val="single" w:sz="4" w:space="0" w:color="A6A6A6"/>
            </w:tcBorders>
            <w:vAlign w:val="center"/>
          </w:tcPr>
          <w:p w14:paraId="2A5B218C" w14:textId="77777777" w:rsidR="000D19A9" w:rsidRPr="007C4D65" w:rsidRDefault="000D19A9" w:rsidP="00B6017F">
            <w:pPr>
              <w:spacing w:after="120" w:line="276" w:lineRule="auto"/>
              <w:ind w:left="153"/>
              <w:contextualSpacing/>
              <w:rPr>
                <w:rFonts w:asciiTheme="minorHAnsi" w:hAnsiTheme="minorHAnsi" w:cstheme="minorHAnsi"/>
                <w:sz w:val="18"/>
                <w:szCs w:val="18"/>
              </w:rPr>
            </w:pPr>
            <w:r w:rsidRPr="007C4D65">
              <w:rPr>
                <w:rFonts w:asciiTheme="minorHAnsi" w:hAnsiTheme="minorHAnsi"/>
                <w:sz w:val="18"/>
                <w:szCs w:val="18"/>
              </w:rPr>
              <w:t xml:space="preserve">Annual programmes of inspection oversight developed </w:t>
            </w:r>
            <w:proofErr w:type="gramStart"/>
            <w:r w:rsidRPr="007C4D65">
              <w:rPr>
                <w:rFonts w:asciiTheme="minorHAnsi" w:hAnsiTheme="minorHAnsi"/>
                <w:sz w:val="18"/>
                <w:szCs w:val="18"/>
              </w:rPr>
              <w:t>on the basis of</w:t>
            </w:r>
            <w:proofErr w:type="gramEnd"/>
            <w:r w:rsidRPr="007C4D65">
              <w:rPr>
                <w:rFonts w:asciiTheme="minorHAnsi" w:hAnsiTheme="minorHAnsi"/>
                <w:sz w:val="18"/>
                <w:szCs w:val="18"/>
              </w:rPr>
              <w:t xml:space="preserve"> information from management plans, information on complaints received, etc.</w:t>
            </w:r>
          </w:p>
        </w:tc>
      </w:tr>
      <w:tr w:rsidR="000D19A9" w:rsidRPr="007C4D65" w14:paraId="32E0C955" w14:textId="77777777" w:rsidTr="00B6017F">
        <w:trPr>
          <w:trHeight w:val="483"/>
        </w:trPr>
        <w:tc>
          <w:tcPr>
            <w:tcW w:w="658" w:type="pct"/>
            <w:vMerge/>
            <w:shd w:val="clear" w:color="auto" w:fill="D9D9D9" w:themeFill="background1" w:themeFillShade="D9"/>
            <w:hideMark/>
          </w:tcPr>
          <w:p w14:paraId="20D1345C"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hideMark/>
          </w:tcPr>
          <w:p w14:paraId="14D27EB9"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shd w:val="clear" w:color="auto" w:fill="D9D9D9" w:themeFill="background1" w:themeFillShade="D9"/>
            <w:tcMar>
              <w:top w:w="0" w:type="dxa"/>
              <w:left w:w="108" w:type="dxa"/>
              <w:bottom w:w="0" w:type="dxa"/>
              <w:right w:w="108" w:type="dxa"/>
            </w:tcMar>
            <w:vAlign w:val="center"/>
            <w:hideMark/>
          </w:tcPr>
          <w:p w14:paraId="6A5435C1"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19" w:type="pct"/>
            <w:shd w:val="clear" w:color="auto" w:fill="D9D9D9" w:themeFill="background1" w:themeFillShade="D9"/>
            <w:tcMar>
              <w:top w:w="0" w:type="dxa"/>
              <w:left w:w="108" w:type="dxa"/>
              <w:bottom w:w="0" w:type="dxa"/>
              <w:right w:w="108" w:type="dxa"/>
            </w:tcMar>
            <w:vAlign w:val="center"/>
            <w:hideMark/>
          </w:tcPr>
          <w:p w14:paraId="3B9F0FF2"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90" w:type="pct"/>
            <w:shd w:val="clear" w:color="auto" w:fill="D9D9D9" w:themeFill="background1" w:themeFillShade="D9"/>
            <w:tcMar>
              <w:top w:w="0" w:type="dxa"/>
              <w:left w:w="108" w:type="dxa"/>
              <w:bottom w:w="0" w:type="dxa"/>
              <w:right w:w="108" w:type="dxa"/>
            </w:tcMar>
            <w:vAlign w:val="center"/>
            <w:hideMark/>
          </w:tcPr>
          <w:p w14:paraId="603380CB"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009DCBA4" w14:textId="77777777" w:rsidTr="00B6017F">
        <w:trPr>
          <w:trHeight w:val="287"/>
        </w:trPr>
        <w:tc>
          <w:tcPr>
            <w:tcW w:w="658" w:type="pct"/>
            <w:vMerge/>
            <w:shd w:val="clear" w:color="auto" w:fill="D9D9D9" w:themeFill="background1" w:themeFillShade="D9"/>
            <w:hideMark/>
          </w:tcPr>
          <w:p w14:paraId="749896B2"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hideMark/>
          </w:tcPr>
          <w:p w14:paraId="1CDA1C2F"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tcPr>
          <w:p w14:paraId="7677F1BD"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0,279</w:t>
            </w:r>
          </w:p>
        </w:tc>
        <w:tc>
          <w:tcPr>
            <w:tcW w:w="1119" w:type="pct"/>
            <w:tcMar>
              <w:top w:w="0" w:type="dxa"/>
              <w:left w:w="108" w:type="dxa"/>
              <w:bottom w:w="0" w:type="dxa"/>
              <w:right w:w="108" w:type="dxa"/>
            </w:tcMar>
          </w:tcPr>
          <w:p w14:paraId="7281E87A"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2,5</w:t>
            </w:r>
          </w:p>
        </w:tc>
        <w:tc>
          <w:tcPr>
            <w:tcW w:w="1190" w:type="pct"/>
            <w:tcMar>
              <w:top w:w="0" w:type="dxa"/>
              <w:left w:w="108" w:type="dxa"/>
              <w:bottom w:w="0" w:type="dxa"/>
              <w:right w:w="108" w:type="dxa"/>
            </w:tcMar>
          </w:tcPr>
          <w:p w14:paraId="7CC0843B"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2,7</w:t>
            </w:r>
          </w:p>
        </w:tc>
      </w:tr>
    </w:tbl>
    <w:p w14:paraId="4099FDF6" w14:textId="77777777" w:rsidR="000D19A9" w:rsidRPr="007C4D65" w:rsidRDefault="000D19A9" w:rsidP="000D19A9">
      <w:pPr>
        <w:spacing w:after="120" w:line="276" w:lineRule="auto"/>
        <w:ind w:hanging="2"/>
        <w:contextualSpacing/>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CellMar>
          <w:left w:w="0" w:type="dxa"/>
          <w:right w:w="0" w:type="dxa"/>
        </w:tblCellMar>
        <w:tblLook w:val="04A0" w:firstRow="1" w:lastRow="0" w:firstColumn="1" w:lastColumn="0" w:noHBand="0" w:noVBand="1"/>
      </w:tblPr>
      <w:tblGrid>
        <w:gridCol w:w="1790"/>
        <w:gridCol w:w="2453"/>
        <w:gridCol w:w="3259"/>
        <w:gridCol w:w="3119"/>
        <w:gridCol w:w="3317"/>
      </w:tblGrid>
      <w:tr w:rsidR="000D19A9" w:rsidRPr="007C4D65" w14:paraId="1B33B649" w14:textId="77777777" w:rsidTr="00B6017F">
        <w:trPr>
          <w:trHeight w:val="384"/>
        </w:trPr>
        <w:tc>
          <w:tcPr>
            <w:tcW w:w="642" w:type="pct"/>
            <w:vMerge w:val="restart"/>
            <w:shd w:val="clear" w:color="auto" w:fill="D9D9D9" w:themeFill="background1" w:themeFillShade="D9"/>
            <w:tcMar>
              <w:top w:w="0" w:type="dxa"/>
              <w:left w:w="108" w:type="dxa"/>
              <w:bottom w:w="0" w:type="dxa"/>
              <w:right w:w="108" w:type="dxa"/>
            </w:tcMar>
            <w:vAlign w:val="center"/>
          </w:tcPr>
          <w:p w14:paraId="6EB0A6B9"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1.2. Priority</w:t>
            </w:r>
          </w:p>
          <w:p w14:paraId="09F90324"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80" w:type="pct"/>
            <w:vMerge w:val="restart"/>
            <w:tcMar>
              <w:top w:w="0" w:type="dxa"/>
              <w:left w:w="108" w:type="dxa"/>
              <w:bottom w:w="0" w:type="dxa"/>
              <w:right w:w="108" w:type="dxa"/>
            </w:tcMar>
            <w:vAlign w:val="center"/>
          </w:tcPr>
          <w:p w14:paraId="30FA4057" w14:textId="58815F89" w:rsidR="000D19A9" w:rsidRPr="007C4D65" w:rsidRDefault="000D19A9"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t>Provide conditions for achieving sustainable use of water resources</w:t>
            </w:r>
          </w:p>
        </w:tc>
        <w:tc>
          <w:tcPr>
            <w:tcW w:w="1169" w:type="pct"/>
            <w:shd w:val="clear" w:color="auto" w:fill="D9D9D9" w:themeFill="background1" w:themeFillShade="D9"/>
            <w:tcMar>
              <w:top w:w="0" w:type="dxa"/>
              <w:left w:w="108" w:type="dxa"/>
              <w:bottom w:w="0" w:type="dxa"/>
              <w:right w:w="108" w:type="dxa"/>
            </w:tcMar>
            <w:vAlign w:val="center"/>
          </w:tcPr>
          <w:p w14:paraId="0B830F4B" w14:textId="77777777" w:rsidR="000D19A9" w:rsidRPr="007C4D65" w:rsidRDefault="000D19A9"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19" w:type="pct"/>
            <w:shd w:val="clear" w:color="auto" w:fill="D9D9D9" w:themeFill="background1" w:themeFillShade="D9"/>
            <w:tcMar>
              <w:top w:w="0" w:type="dxa"/>
              <w:left w:w="108" w:type="dxa"/>
              <w:bottom w:w="0" w:type="dxa"/>
              <w:right w:w="108" w:type="dxa"/>
            </w:tcMar>
            <w:vAlign w:val="center"/>
          </w:tcPr>
          <w:p w14:paraId="3DEE60E0"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90" w:type="pct"/>
            <w:shd w:val="clear" w:color="auto" w:fill="D9D9D9" w:themeFill="background1" w:themeFillShade="D9"/>
            <w:tcMar>
              <w:top w:w="0" w:type="dxa"/>
              <w:left w:w="108" w:type="dxa"/>
              <w:bottom w:w="0" w:type="dxa"/>
              <w:right w:w="108" w:type="dxa"/>
            </w:tcMar>
            <w:vAlign w:val="center"/>
          </w:tcPr>
          <w:p w14:paraId="7D0746CA"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1A35BBD5" w14:textId="77777777" w:rsidTr="00B6017F">
        <w:trPr>
          <w:trHeight w:val="287"/>
        </w:trPr>
        <w:tc>
          <w:tcPr>
            <w:tcW w:w="642" w:type="pct"/>
            <w:vMerge/>
            <w:shd w:val="clear" w:color="auto" w:fill="D9D9D9" w:themeFill="background1" w:themeFillShade="D9"/>
            <w:vAlign w:val="center"/>
            <w:hideMark/>
          </w:tcPr>
          <w:p w14:paraId="29E4CE96"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80" w:type="pct"/>
            <w:vMerge/>
            <w:vAlign w:val="center"/>
            <w:hideMark/>
          </w:tcPr>
          <w:p w14:paraId="49D60F95"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tcPr>
          <w:p w14:paraId="34209EB9" w14:textId="77777777"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Effectiveness of cooperation between the water sector and other sectors whose activities may have adverse impact on water management (spatial planning, energy sector, agriculture, forestry, inspections etc.)</w:t>
            </w:r>
          </w:p>
        </w:tc>
        <w:tc>
          <w:tcPr>
            <w:tcW w:w="1119" w:type="pct"/>
            <w:tcMar>
              <w:top w:w="0" w:type="dxa"/>
              <w:left w:w="108" w:type="dxa"/>
              <w:bottom w:w="0" w:type="dxa"/>
              <w:right w:w="108" w:type="dxa"/>
            </w:tcMar>
          </w:tcPr>
          <w:p w14:paraId="6275DFA5" w14:textId="77777777" w:rsidR="000D19A9" w:rsidRPr="007C4D65" w:rsidRDefault="000D19A9" w:rsidP="00B6017F">
            <w:pPr>
              <w:pStyle w:val="ListParagraph"/>
              <w:spacing w:line="276" w:lineRule="auto"/>
              <w:ind w:left="0"/>
              <w:rPr>
                <w:rFonts w:asciiTheme="minorHAnsi" w:hAnsiTheme="minorHAnsi" w:cstheme="minorHAnsi"/>
                <w:sz w:val="18"/>
                <w:szCs w:val="18"/>
              </w:rPr>
            </w:pPr>
            <w:r w:rsidRPr="007C4D65">
              <w:rPr>
                <w:rFonts w:asciiTheme="minorHAnsi" w:hAnsiTheme="minorHAnsi"/>
                <w:sz w:val="18"/>
                <w:szCs w:val="18"/>
              </w:rPr>
              <w:t>Ineffective cooperation of water sector with other sectors</w:t>
            </w:r>
          </w:p>
          <w:p w14:paraId="5F119EDF" w14:textId="45EFE21A" w:rsidR="000D19A9" w:rsidRPr="007C4D65" w:rsidRDefault="000D19A9" w:rsidP="000D19A9">
            <w:pPr>
              <w:pStyle w:val="ListParagraph"/>
              <w:numPr>
                <w:ilvl w:val="0"/>
                <w:numId w:val="43"/>
              </w:numPr>
              <w:spacing w:line="276" w:lineRule="auto"/>
              <w:ind w:left="360"/>
              <w:rPr>
                <w:rFonts w:asciiTheme="minorHAnsi" w:hAnsiTheme="minorHAnsi" w:cstheme="minorHAnsi"/>
                <w:sz w:val="18"/>
                <w:szCs w:val="18"/>
              </w:rPr>
            </w:pPr>
            <w:r w:rsidRPr="007C4D65">
              <w:rPr>
                <w:rFonts w:asciiTheme="minorHAnsi" w:hAnsiTheme="minorHAnsi"/>
                <w:sz w:val="18"/>
                <w:szCs w:val="18"/>
              </w:rPr>
              <w:t>Sporadic data sharing on the planned activities in the sector</w:t>
            </w:r>
          </w:p>
          <w:p w14:paraId="4208BA5C" w14:textId="794B4FE5"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Poor </w:t>
            </w:r>
            <w:r w:rsidR="00007DA5" w:rsidRPr="007C4D65">
              <w:rPr>
                <w:rFonts w:asciiTheme="minorHAnsi" w:hAnsiTheme="minorHAnsi"/>
                <w:sz w:val="18"/>
                <w:szCs w:val="18"/>
              </w:rPr>
              <w:t>cross-sectoral</w:t>
            </w:r>
            <w:r w:rsidRPr="007C4D65">
              <w:rPr>
                <w:rFonts w:asciiTheme="minorHAnsi" w:hAnsiTheme="minorHAnsi"/>
                <w:sz w:val="18"/>
                <w:szCs w:val="18"/>
              </w:rPr>
              <w:t xml:space="preserve"> coordination when preparing sectorial plans and programmes, and information from water sector plans and studies not integrated in plans of other sectors</w:t>
            </w:r>
          </w:p>
        </w:tc>
        <w:tc>
          <w:tcPr>
            <w:tcW w:w="1190" w:type="pct"/>
            <w:tcMar>
              <w:top w:w="0" w:type="dxa"/>
              <w:left w:w="108" w:type="dxa"/>
              <w:bottom w:w="0" w:type="dxa"/>
              <w:right w:w="108" w:type="dxa"/>
            </w:tcMar>
          </w:tcPr>
          <w:p w14:paraId="63E24418"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Effective cooperation between water sector and other sectors whose activities may have adverse impact on water management:   </w:t>
            </w:r>
          </w:p>
          <w:p w14:paraId="7A5B4367" w14:textId="48B7AD4D"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All sectorial plans integrate data from water sector plans</w:t>
            </w:r>
          </w:p>
        </w:tc>
      </w:tr>
      <w:tr w:rsidR="000D19A9" w:rsidRPr="007C4D65" w14:paraId="5D3D4203" w14:textId="77777777" w:rsidTr="00B6017F">
        <w:trPr>
          <w:trHeight w:val="287"/>
        </w:trPr>
        <w:tc>
          <w:tcPr>
            <w:tcW w:w="642" w:type="pct"/>
            <w:vMerge/>
            <w:shd w:val="clear" w:color="auto" w:fill="D9D9D9" w:themeFill="background1" w:themeFillShade="D9"/>
            <w:vAlign w:val="center"/>
          </w:tcPr>
          <w:p w14:paraId="1A73A622"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80" w:type="pct"/>
            <w:vMerge/>
            <w:vAlign w:val="center"/>
          </w:tcPr>
          <w:p w14:paraId="61B93254"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tcPr>
          <w:p w14:paraId="7D589A92" w14:textId="763AE1FC" w:rsidR="000D19A9" w:rsidRPr="007C4D65" w:rsidRDefault="000D19A9" w:rsidP="003A25F3">
            <w:pPr>
              <w:spacing w:line="276" w:lineRule="auto"/>
              <w:rPr>
                <w:rFonts w:asciiTheme="minorHAnsi" w:hAnsiTheme="minorHAnsi" w:cstheme="minorHAnsi"/>
                <w:sz w:val="18"/>
                <w:szCs w:val="18"/>
                <w:lang w:val="hr-HR"/>
              </w:rPr>
            </w:pPr>
            <w:r w:rsidRPr="007C4D65">
              <w:rPr>
                <w:rFonts w:asciiTheme="minorHAnsi" w:hAnsiTheme="minorHAnsi"/>
                <w:sz w:val="18"/>
                <w:szCs w:val="18"/>
              </w:rPr>
              <w:t>Effectiveness of oversight of compliance with conditions prescribed in water acts for the polluters, and enforcement of provisions on sanctions in case of non-compliance</w:t>
            </w:r>
          </w:p>
        </w:tc>
        <w:tc>
          <w:tcPr>
            <w:tcW w:w="1119" w:type="pct"/>
            <w:tcMar>
              <w:top w:w="0" w:type="dxa"/>
              <w:left w:w="108" w:type="dxa"/>
              <w:bottom w:w="0" w:type="dxa"/>
              <w:right w:w="108" w:type="dxa"/>
            </w:tcMar>
          </w:tcPr>
          <w:p w14:paraId="5DC9CA83" w14:textId="2D1D53FB" w:rsidR="000D19A9" w:rsidRPr="007C4D65" w:rsidRDefault="000D19A9" w:rsidP="003A25F3">
            <w:pPr>
              <w:spacing w:line="276" w:lineRule="auto"/>
              <w:rPr>
                <w:rFonts w:asciiTheme="minorHAnsi" w:hAnsiTheme="minorHAnsi" w:cstheme="minorHAnsi"/>
                <w:sz w:val="18"/>
                <w:szCs w:val="18"/>
              </w:rPr>
            </w:pPr>
            <w:r w:rsidRPr="007C4D65">
              <w:rPr>
                <w:rFonts w:asciiTheme="minorHAnsi" w:hAnsiTheme="minorHAnsi"/>
                <w:sz w:val="18"/>
                <w:szCs w:val="18"/>
              </w:rPr>
              <w:t>Current approach to supervision is not effective or efficient</w:t>
            </w:r>
          </w:p>
        </w:tc>
        <w:tc>
          <w:tcPr>
            <w:tcW w:w="1190" w:type="pct"/>
            <w:tcMar>
              <w:top w:w="0" w:type="dxa"/>
              <w:left w:w="108" w:type="dxa"/>
              <w:bottom w:w="0" w:type="dxa"/>
              <w:right w:w="108" w:type="dxa"/>
            </w:tcMar>
          </w:tcPr>
          <w:p w14:paraId="216AE48D" w14:textId="2D9CBD43"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High effectiveness and level of efficiency of inspection oversight </w:t>
            </w:r>
            <w:r w:rsidR="00830279" w:rsidRPr="007C4D65">
              <w:rPr>
                <w:rFonts w:asciiTheme="minorHAnsi" w:hAnsiTheme="minorHAnsi"/>
                <w:sz w:val="18"/>
                <w:szCs w:val="18"/>
              </w:rPr>
              <w:t>led</w:t>
            </w:r>
            <w:r w:rsidRPr="007C4D65">
              <w:rPr>
                <w:rFonts w:asciiTheme="minorHAnsi" w:hAnsiTheme="minorHAnsi"/>
                <w:sz w:val="18"/>
                <w:szCs w:val="18"/>
              </w:rPr>
              <w:t xml:space="preserve"> to the following:</w:t>
            </w:r>
          </w:p>
          <w:p w14:paraId="1CCEAA59" w14:textId="77777777" w:rsidR="000D19A9" w:rsidRPr="007C4D65" w:rsidRDefault="000D19A9" w:rsidP="000D19A9">
            <w:pPr>
              <w:pStyle w:val="ListParagraph"/>
              <w:numPr>
                <w:ilvl w:val="0"/>
                <w:numId w:val="35"/>
              </w:numPr>
              <w:spacing w:line="276" w:lineRule="auto"/>
              <w:ind w:left="682" w:hanging="283"/>
              <w:rPr>
                <w:rFonts w:asciiTheme="minorHAnsi" w:hAnsiTheme="minorHAnsi" w:cstheme="minorHAnsi"/>
                <w:sz w:val="18"/>
                <w:szCs w:val="18"/>
              </w:rPr>
            </w:pPr>
            <w:r w:rsidRPr="007C4D65">
              <w:rPr>
                <w:rFonts w:asciiTheme="minorHAnsi" w:hAnsiTheme="minorHAnsi"/>
                <w:sz w:val="18"/>
                <w:szCs w:val="18"/>
              </w:rPr>
              <w:t>All water users comply and implement conditions prescribed in water acts</w:t>
            </w:r>
          </w:p>
          <w:p w14:paraId="3F69E9DB" w14:textId="592B8D50" w:rsidR="000D19A9" w:rsidRPr="007C4D65" w:rsidRDefault="000D19A9">
            <w:pPr>
              <w:pStyle w:val="ListParagraph"/>
              <w:widowControl w:val="0"/>
              <w:numPr>
                <w:ilvl w:val="0"/>
                <w:numId w:val="195"/>
              </w:numPr>
              <w:autoSpaceDE w:val="0"/>
              <w:autoSpaceDN w:val="0"/>
              <w:adjustRightInd w:val="0"/>
              <w:spacing w:after="120" w:line="276" w:lineRule="auto"/>
              <w:rPr>
                <w:rFonts w:asciiTheme="minorHAnsi" w:hAnsiTheme="minorHAnsi" w:cstheme="minorHAnsi"/>
                <w:sz w:val="18"/>
                <w:szCs w:val="18"/>
              </w:rPr>
            </w:pPr>
            <w:r w:rsidRPr="007C4D65">
              <w:rPr>
                <w:rFonts w:asciiTheme="minorHAnsi" w:hAnsiTheme="minorHAnsi"/>
                <w:sz w:val="18"/>
                <w:szCs w:val="18"/>
              </w:rPr>
              <w:t xml:space="preserve">Inspection oversight prevents / minimizes unlawful intake and </w:t>
            </w:r>
            <w:r w:rsidRPr="007C4D65">
              <w:rPr>
                <w:rFonts w:asciiTheme="minorHAnsi" w:hAnsiTheme="minorHAnsi"/>
                <w:sz w:val="18"/>
                <w:szCs w:val="18"/>
              </w:rPr>
              <w:lastRenderedPageBreak/>
              <w:t>use of water</w:t>
            </w:r>
          </w:p>
        </w:tc>
      </w:tr>
      <w:tr w:rsidR="000D19A9" w:rsidRPr="007C4D65" w14:paraId="05A1DAB4" w14:textId="77777777" w:rsidTr="00B6017F">
        <w:trPr>
          <w:trHeight w:val="287"/>
        </w:trPr>
        <w:tc>
          <w:tcPr>
            <w:tcW w:w="642" w:type="pct"/>
            <w:vMerge/>
            <w:shd w:val="clear" w:color="auto" w:fill="D9D9D9" w:themeFill="background1" w:themeFillShade="D9"/>
            <w:vAlign w:val="center"/>
          </w:tcPr>
          <w:p w14:paraId="121A438F"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80" w:type="pct"/>
            <w:vMerge/>
            <w:vAlign w:val="center"/>
          </w:tcPr>
          <w:p w14:paraId="149E8FF5"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tcPr>
          <w:p w14:paraId="220556AA"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Level of readiness of technical bases in water sectors as an instrument for potential restriction of use of water resources and interventions in space because of proven adverse impact on quantities or status of water bodies  </w:t>
            </w:r>
          </w:p>
          <w:p w14:paraId="74CC1D65" w14:textId="4F411428" w:rsidR="000D19A9" w:rsidRPr="007C4D65" w:rsidRDefault="000D19A9" w:rsidP="003A25F3">
            <w:pPr>
              <w:spacing w:line="276" w:lineRule="auto"/>
              <w:rPr>
                <w:rFonts w:asciiTheme="minorHAnsi" w:hAnsiTheme="minorHAnsi" w:cstheme="minorHAnsi"/>
                <w:sz w:val="18"/>
                <w:szCs w:val="18"/>
              </w:rPr>
            </w:pPr>
            <w:r w:rsidRPr="007C4D65">
              <w:rPr>
                <w:rFonts w:asciiTheme="minorHAnsi" w:hAnsiTheme="minorHAnsi"/>
                <w:sz w:val="18"/>
                <w:szCs w:val="18"/>
              </w:rPr>
              <w:t>(</w:t>
            </w:r>
            <w:proofErr w:type="gramStart"/>
            <w:r w:rsidRPr="007C4D65">
              <w:rPr>
                <w:rFonts w:asciiTheme="minorHAnsi" w:hAnsiTheme="minorHAnsi"/>
                <w:sz w:val="18"/>
                <w:szCs w:val="18"/>
              </w:rPr>
              <w:t>polluters</w:t>
            </w:r>
            <w:proofErr w:type="gramEnd"/>
            <w:r w:rsidRPr="007C4D65">
              <w:rPr>
                <w:rFonts w:asciiTheme="minorHAnsi" w:hAnsiTheme="minorHAnsi"/>
                <w:sz w:val="18"/>
                <w:szCs w:val="18"/>
              </w:rPr>
              <w:t>, hydro-morphological pressures), and measures of protection against floods</w:t>
            </w:r>
          </w:p>
        </w:tc>
        <w:tc>
          <w:tcPr>
            <w:tcW w:w="1119" w:type="pct"/>
            <w:tcMar>
              <w:top w:w="0" w:type="dxa"/>
              <w:left w:w="108" w:type="dxa"/>
              <w:bottom w:w="0" w:type="dxa"/>
              <w:right w:w="108" w:type="dxa"/>
            </w:tcMar>
          </w:tcPr>
          <w:p w14:paraId="5590A48D"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Water sector developed significant number of plans and study documents. </w:t>
            </w:r>
          </w:p>
          <w:p w14:paraId="29058E9D"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Bases have not been made:</w:t>
            </w:r>
          </w:p>
          <w:p w14:paraId="174446F2" w14:textId="77777777" w:rsidR="003A25F3" w:rsidRPr="007C4D65" w:rsidRDefault="000D19A9" w:rsidP="003A25F3">
            <w:pPr>
              <w:pStyle w:val="ListParagraph"/>
              <w:numPr>
                <w:ilvl w:val="0"/>
                <w:numId w:val="35"/>
              </w:numPr>
              <w:spacing w:line="276" w:lineRule="auto"/>
              <w:ind w:left="357" w:hanging="357"/>
              <w:rPr>
                <w:rFonts w:asciiTheme="minorHAnsi" w:hAnsiTheme="minorHAnsi" w:cstheme="minorHAnsi"/>
                <w:sz w:val="18"/>
                <w:szCs w:val="18"/>
              </w:rPr>
            </w:pPr>
            <w:r w:rsidRPr="007C4D65">
              <w:rPr>
                <w:rFonts w:asciiTheme="minorHAnsi" w:hAnsiTheme="minorHAnsi"/>
                <w:sz w:val="18"/>
                <w:szCs w:val="18"/>
              </w:rPr>
              <w:t>on hydro-power potential that includes explanation of links for exceptions under Art. 7/5 of WFD, and principles / guidelines / criteria of: spatial planning, achieving/maintaining at least good status of water bodies and environment protection, and needs of water supply to population, agriculture, and power sector</w:t>
            </w:r>
          </w:p>
          <w:p w14:paraId="1D1A3518" w14:textId="12DBD9EE" w:rsidR="000D19A9" w:rsidRPr="007C4D65" w:rsidRDefault="000D19A9" w:rsidP="003A25F3">
            <w:pPr>
              <w:pStyle w:val="ListParagraph"/>
              <w:numPr>
                <w:ilvl w:val="0"/>
                <w:numId w:val="35"/>
              </w:numPr>
              <w:spacing w:line="276" w:lineRule="auto"/>
              <w:ind w:left="357" w:hanging="357"/>
              <w:rPr>
                <w:rFonts w:asciiTheme="minorHAnsi" w:hAnsiTheme="minorHAnsi" w:cstheme="minorHAnsi"/>
                <w:sz w:val="18"/>
                <w:szCs w:val="18"/>
              </w:rPr>
            </w:pPr>
            <w:r w:rsidRPr="007C4D65">
              <w:rPr>
                <w:rFonts w:asciiTheme="minorHAnsi" w:hAnsiTheme="minorHAnsi"/>
                <w:sz w:val="18"/>
                <w:szCs w:val="18"/>
              </w:rPr>
              <w:t>on surface and ground water reserves that may be used for water supply to population</w:t>
            </w:r>
          </w:p>
        </w:tc>
        <w:tc>
          <w:tcPr>
            <w:tcW w:w="1190" w:type="pct"/>
            <w:tcMar>
              <w:top w:w="0" w:type="dxa"/>
              <w:left w:w="108" w:type="dxa"/>
              <w:bottom w:w="0" w:type="dxa"/>
              <w:right w:w="108" w:type="dxa"/>
            </w:tcMar>
          </w:tcPr>
          <w:p w14:paraId="1CA87E8C" w14:textId="4EF424A6"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Base documents produced:</w:t>
            </w:r>
          </w:p>
          <w:p w14:paraId="070B9562" w14:textId="77777777" w:rsidR="000D19A9" w:rsidRPr="007C4D65" w:rsidRDefault="000D19A9" w:rsidP="000D19A9">
            <w:pPr>
              <w:pStyle w:val="ListParagraph"/>
              <w:numPr>
                <w:ilvl w:val="0"/>
                <w:numId w:val="35"/>
              </w:numPr>
              <w:spacing w:line="276" w:lineRule="auto"/>
              <w:ind w:left="360"/>
              <w:rPr>
                <w:rFonts w:asciiTheme="minorHAnsi" w:hAnsiTheme="minorHAnsi" w:cstheme="minorHAnsi"/>
                <w:sz w:val="18"/>
                <w:szCs w:val="18"/>
              </w:rPr>
            </w:pPr>
            <w:r w:rsidRPr="007C4D65">
              <w:rPr>
                <w:rFonts w:asciiTheme="minorHAnsi" w:hAnsiTheme="minorHAnsi"/>
                <w:sz w:val="18"/>
                <w:szCs w:val="18"/>
              </w:rPr>
              <w:t>on hydro-power potential</w:t>
            </w:r>
          </w:p>
          <w:p w14:paraId="442CCC2E" w14:textId="05900D18" w:rsidR="000D19A9" w:rsidRPr="007C4D65" w:rsidRDefault="000D19A9" w:rsidP="003A25F3">
            <w:pPr>
              <w:pStyle w:val="ListParagraph"/>
              <w:numPr>
                <w:ilvl w:val="0"/>
                <w:numId w:val="35"/>
              </w:numPr>
              <w:spacing w:line="276" w:lineRule="auto"/>
              <w:ind w:left="360"/>
              <w:rPr>
                <w:rFonts w:asciiTheme="minorHAnsi" w:hAnsiTheme="minorHAnsi" w:cstheme="minorHAnsi"/>
                <w:sz w:val="18"/>
                <w:szCs w:val="18"/>
              </w:rPr>
            </w:pPr>
            <w:r w:rsidRPr="007C4D65">
              <w:rPr>
                <w:rFonts w:asciiTheme="minorHAnsi" w:hAnsiTheme="minorHAnsi"/>
                <w:sz w:val="18"/>
                <w:szCs w:val="18"/>
              </w:rPr>
              <w:t xml:space="preserve">on surface and ground water reserves that may be used for water supply to population </w:t>
            </w:r>
          </w:p>
        </w:tc>
      </w:tr>
      <w:tr w:rsidR="000D19A9" w:rsidRPr="007C4D65" w14:paraId="29538D36" w14:textId="77777777" w:rsidTr="00B6017F">
        <w:trPr>
          <w:trHeight w:val="287"/>
        </w:trPr>
        <w:tc>
          <w:tcPr>
            <w:tcW w:w="642" w:type="pct"/>
            <w:vMerge/>
            <w:shd w:val="clear" w:color="auto" w:fill="D9D9D9" w:themeFill="background1" w:themeFillShade="D9"/>
            <w:vAlign w:val="center"/>
          </w:tcPr>
          <w:p w14:paraId="2D4FE4A3"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80" w:type="pct"/>
            <w:vMerge/>
            <w:vAlign w:val="center"/>
          </w:tcPr>
          <w:p w14:paraId="6D03125C"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tcPr>
          <w:p w14:paraId="29E448C3" w14:textId="51FBCA97"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Establishment of prerequisites for transparent and regular concession awards for water resources, including for large and small HPPs</w:t>
            </w:r>
          </w:p>
        </w:tc>
        <w:tc>
          <w:tcPr>
            <w:tcW w:w="1119" w:type="pct"/>
            <w:tcMar>
              <w:top w:w="0" w:type="dxa"/>
              <w:left w:w="108" w:type="dxa"/>
              <w:bottom w:w="0" w:type="dxa"/>
              <w:right w:w="108" w:type="dxa"/>
            </w:tcMar>
          </w:tcPr>
          <w:p w14:paraId="35C825B3"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Prerequisites for transparent and regular award of concessions on water resources are not in place </w:t>
            </w:r>
          </w:p>
          <w:p w14:paraId="5A5B1B18" w14:textId="3554CAB7" w:rsidR="000D19A9" w:rsidRPr="007C4D65" w:rsidRDefault="000D19A9" w:rsidP="000D19A9">
            <w:pPr>
              <w:pStyle w:val="ListParagraph"/>
              <w:numPr>
                <w:ilvl w:val="0"/>
                <w:numId w:val="35"/>
              </w:numPr>
              <w:spacing w:line="276" w:lineRule="auto"/>
              <w:ind w:left="360"/>
              <w:rPr>
                <w:rFonts w:asciiTheme="minorHAnsi" w:hAnsiTheme="minorHAnsi" w:cstheme="minorHAnsi"/>
                <w:sz w:val="18"/>
                <w:szCs w:val="18"/>
              </w:rPr>
            </w:pPr>
            <w:r w:rsidRPr="007C4D65">
              <w:rPr>
                <w:rFonts w:asciiTheme="minorHAnsi" w:hAnsiTheme="minorHAnsi"/>
                <w:sz w:val="18"/>
                <w:szCs w:val="18"/>
              </w:rPr>
              <w:t>Not updated / inexistent lists of awarded concessions at all administrative levels</w:t>
            </w:r>
          </w:p>
          <w:p w14:paraId="742B441A" w14:textId="218E2691" w:rsidR="000D19A9" w:rsidRPr="007C4D65" w:rsidRDefault="000D19A9" w:rsidP="000D19A9">
            <w:pPr>
              <w:pStyle w:val="ListParagraph"/>
              <w:numPr>
                <w:ilvl w:val="0"/>
                <w:numId w:val="35"/>
              </w:numPr>
              <w:spacing w:line="276" w:lineRule="auto"/>
              <w:ind w:left="360"/>
              <w:rPr>
                <w:rFonts w:asciiTheme="minorHAnsi" w:hAnsiTheme="minorHAnsi" w:cstheme="minorHAnsi"/>
                <w:sz w:val="18"/>
                <w:szCs w:val="18"/>
              </w:rPr>
            </w:pPr>
            <w:r w:rsidRPr="007C4D65">
              <w:rPr>
                <w:rFonts w:asciiTheme="minorHAnsi" w:hAnsiTheme="minorHAnsi"/>
                <w:sz w:val="18"/>
                <w:szCs w:val="18"/>
              </w:rPr>
              <w:t xml:space="preserve">Shortcomings of the legal framework for issuing concessions allow for user's non-compliance with regulations on implementation of monitoring of water and </w:t>
            </w:r>
            <w:r w:rsidR="00C90B32" w:rsidRPr="007C4D65">
              <w:rPr>
                <w:rFonts w:asciiTheme="minorHAnsi" w:hAnsiTheme="minorHAnsi"/>
                <w:sz w:val="18"/>
                <w:szCs w:val="18"/>
              </w:rPr>
              <w:t>environmental flaw</w:t>
            </w:r>
          </w:p>
          <w:p w14:paraId="3AE0983A" w14:textId="3AD41056" w:rsidR="000D19A9" w:rsidRPr="007C4D65" w:rsidRDefault="000D19A9" w:rsidP="000D19A9">
            <w:pPr>
              <w:pStyle w:val="ListParagraph"/>
              <w:numPr>
                <w:ilvl w:val="0"/>
                <w:numId w:val="35"/>
              </w:numPr>
              <w:spacing w:line="276" w:lineRule="auto"/>
              <w:ind w:left="360"/>
              <w:rPr>
                <w:rFonts w:asciiTheme="minorHAnsi" w:hAnsiTheme="minorHAnsi" w:cstheme="minorHAnsi"/>
                <w:sz w:val="18"/>
                <w:szCs w:val="18"/>
              </w:rPr>
            </w:pPr>
            <w:r w:rsidRPr="007C4D65">
              <w:rPr>
                <w:rFonts w:asciiTheme="minorHAnsi" w:hAnsiTheme="minorHAnsi"/>
                <w:sz w:val="18"/>
                <w:szCs w:val="18"/>
              </w:rPr>
              <w:t xml:space="preserve">Procedure for issuing necessary permits, as the basis for concession award, is very complex and </w:t>
            </w:r>
            <w:proofErr w:type="gramStart"/>
            <w:r w:rsidRPr="007C4D65">
              <w:rPr>
                <w:rFonts w:asciiTheme="minorHAnsi" w:hAnsiTheme="minorHAnsi"/>
                <w:sz w:val="18"/>
                <w:szCs w:val="18"/>
              </w:rPr>
              <w:t>has to</w:t>
            </w:r>
            <w:proofErr w:type="gramEnd"/>
            <w:r w:rsidRPr="007C4D65">
              <w:rPr>
                <w:rFonts w:asciiTheme="minorHAnsi" w:hAnsiTheme="minorHAnsi"/>
                <w:sz w:val="18"/>
                <w:szCs w:val="18"/>
              </w:rPr>
              <w:t xml:space="preserve"> be carried out in the </w:t>
            </w:r>
            <w:r w:rsidRPr="007C4D65">
              <w:rPr>
                <w:rFonts w:asciiTheme="minorHAnsi" w:hAnsiTheme="minorHAnsi"/>
                <w:sz w:val="18"/>
                <w:szCs w:val="18"/>
              </w:rPr>
              <w:lastRenderedPageBreak/>
              <w:t>form of numerous and internationally dependant sub-procedures that are carried out before various institutions and in some cases, at various levels of authority</w:t>
            </w:r>
          </w:p>
        </w:tc>
        <w:tc>
          <w:tcPr>
            <w:tcW w:w="1190" w:type="pct"/>
            <w:tcMar>
              <w:top w:w="0" w:type="dxa"/>
              <w:left w:w="108" w:type="dxa"/>
              <w:bottom w:w="0" w:type="dxa"/>
              <w:right w:w="108" w:type="dxa"/>
            </w:tcMar>
          </w:tcPr>
          <w:p w14:paraId="21C1F7FE" w14:textId="493CF975" w:rsidR="000D19A9" w:rsidRPr="007C4D65" w:rsidRDefault="000D19A9" w:rsidP="003A25F3">
            <w:pPr>
              <w:spacing w:line="276" w:lineRule="auto"/>
              <w:rPr>
                <w:rFonts w:asciiTheme="minorHAnsi" w:hAnsiTheme="minorHAnsi" w:cstheme="minorHAnsi"/>
                <w:sz w:val="18"/>
                <w:szCs w:val="18"/>
                <w:lang w:val="hr-HR"/>
              </w:rPr>
            </w:pPr>
            <w:r w:rsidRPr="007C4D65">
              <w:rPr>
                <w:rFonts w:asciiTheme="minorHAnsi" w:hAnsiTheme="minorHAnsi"/>
                <w:sz w:val="18"/>
                <w:szCs w:val="18"/>
              </w:rPr>
              <w:lastRenderedPageBreak/>
              <w:t>Transparent and adequately defined by law concession award procedure for water resources, including for large and small HPPs</w:t>
            </w:r>
          </w:p>
        </w:tc>
      </w:tr>
      <w:tr w:rsidR="000D19A9" w:rsidRPr="007C4D65" w14:paraId="305B46CF" w14:textId="77777777" w:rsidTr="00B6017F">
        <w:trPr>
          <w:trHeight w:val="287"/>
        </w:trPr>
        <w:tc>
          <w:tcPr>
            <w:tcW w:w="642" w:type="pct"/>
            <w:vMerge/>
            <w:shd w:val="clear" w:color="auto" w:fill="D9D9D9" w:themeFill="background1" w:themeFillShade="D9"/>
            <w:vAlign w:val="center"/>
            <w:hideMark/>
          </w:tcPr>
          <w:p w14:paraId="055D247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80" w:type="pct"/>
            <w:vMerge/>
            <w:vAlign w:val="center"/>
            <w:hideMark/>
          </w:tcPr>
          <w:p w14:paraId="614CA685"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shd w:val="clear" w:color="auto" w:fill="D9D9D9" w:themeFill="background1" w:themeFillShade="D9"/>
            <w:tcMar>
              <w:top w:w="0" w:type="dxa"/>
              <w:left w:w="108" w:type="dxa"/>
              <w:bottom w:w="0" w:type="dxa"/>
              <w:right w:w="108" w:type="dxa"/>
            </w:tcMar>
            <w:vAlign w:val="center"/>
          </w:tcPr>
          <w:p w14:paraId="549D2C7C"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19" w:type="pct"/>
            <w:shd w:val="clear" w:color="auto" w:fill="D9D9D9" w:themeFill="background1" w:themeFillShade="D9"/>
            <w:tcMar>
              <w:top w:w="0" w:type="dxa"/>
              <w:left w:w="108" w:type="dxa"/>
              <w:bottom w:w="0" w:type="dxa"/>
              <w:right w:w="108" w:type="dxa"/>
            </w:tcMar>
            <w:vAlign w:val="center"/>
          </w:tcPr>
          <w:p w14:paraId="2CC067AA"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90" w:type="pct"/>
            <w:shd w:val="clear" w:color="auto" w:fill="D9D9D9" w:themeFill="background1" w:themeFillShade="D9"/>
            <w:tcMar>
              <w:top w:w="0" w:type="dxa"/>
              <w:left w:w="108" w:type="dxa"/>
              <w:bottom w:w="0" w:type="dxa"/>
              <w:right w:w="108" w:type="dxa"/>
            </w:tcMar>
            <w:vAlign w:val="center"/>
          </w:tcPr>
          <w:p w14:paraId="6C55BDB2"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0C5A71B2" w14:textId="77777777" w:rsidTr="00B6017F">
        <w:trPr>
          <w:trHeight w:val="287"/>
        </w:trPr>
        <w:tc>
          <w:tcPr>
            <w:tcW w:w="642" w:type="pct"/>
            <w:vMerge/>
            <w:shd w:val="clear" w:color="auto" w:fill="D9D9D9" w:themeFill="background1" w:themeFillShade="D9"/>
            <w:vAlign w:val="center"/>
          </w:tcPr>
          <w:p w14:paraId="38B8317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80" w:type="pct"/>
            <w:vMerge/>
            <w:vAlign w:val="center"/>
          </w:tcPr>
          <w:p w14:paraId="0D4E79E6"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vAlign w:val="center"/>
          </w:tcPr>
          <w:p w14:paraId="16A733F7"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0,365</w:t>
            </w:r>
          </w:p>
        </w:tc>
        <w:tc>
          <w:tcPr>
            <w:tcW w:w="1119" w:type="pct"/>
            <w:tcMar>
              <w:top w:w="0" w:type="dxa"/>
              <w:left w:w="108" w:type="dxa"/>
              <w:bottom w:w="0" w:type="dxa"/>
              <w:right w:w="108" w:type="dxa"/>
            </w:tcMar>
            <w:vAlign w:val="center"/>
          </w:tcPr>
          <w:p w14:paraId="2781422E"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2,5</w:t>
            </w:r>
          </w:p>
        </w:tc>
        <w:tc>
          <w:tcPr>
            <w:tcW w:w="1190" w:type="pct"/>
            <w:tcMar>
              <w:top w:w="0" w:type="dxa"/>
              <w:left w:w="108" w:type="dxa"/>
              <w:bottom w:w="0" w:type="dxa"/>
              <w:right w:w="108" w:type="dxa"/>
            </w:tcMar>
            <w:vAlign w:val="center"/>
          </w:tcPr>
          <w:p w14:paraId="24D4A213"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2,9</w:t>
            </w:r>
          </w:p>
        </w:tc>
      </w:tr>
    </w:tbl>
    <w:p w14:paraId="04C87563" w14:textId="77777777" w:rsidR="000D19A9" w:rsidRPr="007C4D65" w:rsidRDefault="000D19A9" w:rsidP="000D19A9">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42"/>
        <w:gridCol w:w="3225"/>
        <w:gridCol w:w="3119"/>
        <w:gridCol w:w="3317"/>
      </w:tblGrid>
      <w:tr w:rsidR="000D19A9" w:rsidRPr="007C4D65" w14:paraId="42B181C0" w14:textId="77777777" w:rsidTr="00B6017F">
        <w:trPr>
          <w:trHeight w:val="483"/>
        </w:trPr>
        <w:tc>
          <w:tcPr>
            <w:tcW w:w="658" w:type="pct"/>
            <w:vMerge w:val="restart"/>
            <w:shd w:val="clear" w:color="auto" w:fill="D9D9D9" w:themeFill="background1" w:themeFillShade="D9"/>
            <w:tcMar>
              <w:top w:w="0" w:type="dxa"/>
              <w:left w:w="108" w:type="dxa"/>
              <w:bottom w:w="0" w:type="dxa"/>
              <w:right w:w="108" w:type="dxa"/>
            </w:tcMar>
            <w:vAlign w:val="center"/>
            <w:hideMark/>
          </w:tcPr>
          <w:p w14:paraId="194C0187" w14:textId="77777777" w:rsidR="000D19A9" w:rsidRPr="007C4D65" w:rsidRDefault="000D19A9"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color w:val="000000" w:themeColor="text1"/>
                <w:sz w:val="18"/>
                <w:szCs w:val="18"/>
              </w:rPr>
              <w:t>1.2.1. Measure</w:t>
            </w:r>
          </w:p>
        </w:tc>
        <w:tc>
          <w:tcPr>
            <w:tcW w:w="876" w:type="pct"/>
            <w:vMerge w:val="restart"/>
            <w:tcMar>
              <w:top w:w="0" w:type="dxa"/>
              <w:left w:w="108" w:type="dxa"/>
              <w:bottom w:w="0" w:type="dxa"/>
              <w:right w:w="108" w:type="dxa"/>
            </w:tcMar>
            <w:vAlign w:val="center"/>
          </w:tcPr>
          <w:p w14:paraId="13E3521E"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Intensification of cooperation between water sector and other sectors for the purpose of ensuring protection and sustainable use of water resources</w:t>
            </w:r>
          </w:p>
        </w:tc>
        <w:tc>
          <w:tcPr>
            <w:tcW w:w="1157" w:type="pct"/>
            <w:shd w:val="clear" w:color="auto" w:fill="D9D9D9" w:themeFill="background1" w:themeFillShade="D9"/>
            <w:tcMar>
              <w:top w:w="0" w:type="dxa"/>
              <w:left w:w="108" w:type="dxa"/>
              <w:bottom w:w="0" w:type="dxa"/>
              <w:right w:w="108" w:type="dxa"/>
            </w:tcMar>
            <w:vAlign w:val="center"/>
            <w:hideMark/>
          </w:tcPr>
          <w:p w14:paraId="12D1F39C"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19" w:type="pct"/>
            <w:shd w:val="clear" w:color="auto" w:fill="D9D9D9" w:themeFill="background1" w:themeFillShade="D9"/>
            <w:tcMar>
              <w:top w:w="0" w:type="dxa"/>
              <w:left w:w="108" w:type="dxa"/>
              <w:bottom w:w="0" w:type="dxa"/>
              <w:right w:w="108" w:type="dxa"/>
            </w:tcMar>
            <w:vAlign w:val="center"/>
            <w:hideMark/>
          </w:tcPr>
          <w:p w14:paraId="1B7B6FAE"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90" w:type="pct"/>
            <w:shd w:val="clear" w:color="auto" w:fill="D9D9D9" w:themeFill="background1" w:themeFillShade="D9"/>
            <w:vAlign w:val="center"/>
          </w:tcPr>
          <w:p w14:paraId="69782F0A"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64248A41" w14:textId="77777777" w:rsidTr="00B6017F">
        <w:trPr>
          <w:trHeight w:val="287"/>
        </w:trPr>
        <w:tc>
          <w:tcPr>
            <w:tcW w:w="658" w:type="pct"/>
            <w:vMerge/>
            <w:shd w:val="clear" w:color="auto" w:fill="D9D9D9" w:themeFill="background1" w:themeFillShade="D9"/>
            <w:vAlign w:val="center"/>
          </w:tcPr>
          <w:p w14:paraId="2ECB8AE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76" w:type="pct"/>
            <w:vMerge/>
            <w:vAlign w:val="center"/>
          </w:tcPr>
          <w:p w14:paraId="519C85D3"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7"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7CC6DB8C" w14:textId="1241D3CC"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 Level of readiness of excerpt / summary / set of information on water bodies from the river basin management plans intended for professional audience from spatial planning, energy, agriculture and forestry sectors, as well as non-governmental secto</w:t>
            </w:r>
            <w:r w:rsidR="003A25F3" w:rsidRPr="007C4D65">
              <w:rPr>
                <w:rFonts w:asciiTheme="minorHAnsi" w:hAnsiTheme="minorHAnsi"/>
                <w:sz w:val="18"/>
                <w:szCs w:val="18"/>
              </w:rPr>
              <w:t>r</w:t>
            </w:r>
          </w:p>
        </w:tc>
        <w:tc>
          <w:tcPr>
            <w:tcW w:w="111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73E17946" w14:textId="435AF379"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Management plans (II cycle) have not been adopted, so preparation of the excerpt/summary/ set of information on water bodies from the river basin management plans for professional audience and non-governmental sector has not started</w:t>
            </w:r>
          </w:p>
        </w:tc>
        <w:tc>
          <w:tcPr>
            <w:tcW w:w="1190" w:type="pct"/>
            <w:tcBorders>
              <w:top w:val="single" w:sz="4" w:space="0" w:color="A6A6A6"/>
              <w:left w:val="single" w:sz="4" w:space="0" w:color="A6A6A6"/>
              <w:bottom w:val="single" w:sz="4" w:space="0" w:color="A6A6A6"/>
              <w:right w:val="single" w:sz="4" w:space="0" w:color="A6A6A6"/>
            </w:tcBorders>
            <w:vAlign w:val="center"/>
          </w:tcPr>
          <w:p w14:paraId="292DFBE0" w14:textId="625941F9" w:rsidR="000D19A9" w:rsidRPr="007C4D65" w:rsidRDefault="000D19A9" w:rsidP="003A25F3">
            <w:pPr>
              <w:spacing w:before="40" w:after="40" w:line="276" w:lineRule="auto"/>
              <w:ind w:left="153"/>
              <w:rPr>
                <w:rFonts w:asciiTheme="minorHAnsi" w:hAnsiTheme="minorHAnsi" w:cstheme="minorHAnsi"/>
                <w:sz w:val="18"/>
                <w:szCs w:val="18"/>
              </w:rPr>
            </w:pPr>
            <w:r w:rsidRPr="007C4D65">
              <w:rPr>
                <w:rFonts w:asciiTheme="minorHAnsi" w:hAnsiTheme="minorHAnsi"/>
                <w:sz w:val="18"/>
                <w:szCs w:val="18"/>
              </w:rPr>
              <w:t xml:space="preserve">Developed and continuously updated excerpt / summary / set of information on water bodies from the river basin management plans that </w:t>
            </w:r>
            <w:proofErr w:type="gramStart"/>
            <w:r w:rsidRPr="007C4D65">
              <w:rPr>
                <w:rFonts w:asciiTheme="minorHAnsi" w:hAnsiTheme="minorHAnsi"/>
                <w:sz w:val="18"/>
                <w:szCs w:val="18"/>
              </w:rPr>
              <w:t>have to</w:t>
            </w:r>
            <w:proofErr w:type="gramEnd"/>
            <w:r w:rsidRPr="007C4D65">
              <w:rPr>
                <w:rFonts w:asciiTheme="minorHAnsi" w:hAnsiTheme="minorHAnsi"/>
                <w:sz w:val="18"/>
                <w:szCs w:val="18"/>
              </w:rPr>
              <w:t xml:space="preserve"> be used by all entities interested in planning spatial interventions that may impact protection of water, their development and use</w:t>
            </w:r>
            <w:r w:rsidR="003A25F3" w:rsidRPr="007C4D65">
              <w:rPr>
                <w:rFonts w:asciiTheme="minorHAnsi" w:hAnsiTheme="minorHAnsi"/>
                <w:sz w:val="18"/>
                <w:szCs w:val="18"/>
              </w:rPr>
              <w:t xml:space="preserve"> </w:t>
            </w:r>
            <w:r w:rsidRPr="007C4D65">
              <w:rPr>
                <w:rFonts w:asciiTheme="minorHAnsi" w:hAnsiTheme="minorHAnsi"/>
                <w:sz w:val="18"/>
                <w:szCs w:val="18"/>
              </w:rPr>
              <w:t>(2024)</w:t>
            </w:r>
          </w:p>
        </w:tc>
      </w:tr>
      <w:tr w:rsidR="000D19A9" w:rsidRPr="007C4D65" w14:paraId="52FCEC4C" w14:textId="77777777" w:rsidTr="00B6017F">
        <w:trPr>
          <w:trHeight w:val="287"/>
        </w:trPr>
        <w:tc>
          <w:tcPr>
            <w:tcW w:w="658" w:type="pct"/>
            <w:vMerge/>
            <w:shd w:val="clear" w:color="auto" w:fill="D9D9D9" w:themeFill="background1" w:themeFillShade="D9"/>
            <w:vAlign w:val="center"/>
          </w:tcPr>
          <w:p w14:paraId="68D8BD32"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76" w:type="pct"/>
            <w:vMerge/>
            <w:vAlign w:val="center"/>
          </w:tcPr>
          <w:p w14:paraId="5DDF2258"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7"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54357B7C" w14:textId="45FA7D21"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a2) Status of functioning of </w:t>
            </w:r>
            <w:r w:rsidR="00007DA5" w:rsidRPr="007C4D65">
              <w:rPr>
                <w:rFonts w:asciiTheme="minorHAnsi" w:hAnsiTheme="minorHAnsi"/>
                <w:sz w:val="18"/>
                <w:szCs w:val="18"/>
              </w:rPr>
              <w:t>cross-sectoral</w:t>
            </w:r>
            <w:r w:rsidRPr="007C4D65">
              <w:rPr>
                <w:rFonts w:asciiTheme="minorHAnsi" w:hAnsiTheme="minorHAnsi"/>
                <w:sz w:val="18"/>
                <w:szCs w:val="18"/>
              </w:rPr>
              <w:t xml:space="preserve"> coordination - regular organisation of coordination meetings among representatives of water sector and representatives of spatial planning, energy, agriculture, forestry etc.</w:t>
            </w:r>
          </w:p>
        </w:tc>
        <w:tc>
          <w:tcPr>
            <w:tcW w:w="111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22CF2502" w14:textId="0EB1F15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Sporadically</w:t>
            </w:r>
          </w:p>
        </w:tc>
        <w:tc>
          <w:tcPr>
            <w:tcW w:w="1190" w:type="pct"/>
            <w:tcBorders>
              <w:top w:val="single" w:sz="4" w:space="0" w:color="A6A6A6"/>
              <w:left w:val="single" w:sz="4" w:space="0" w:color="A6A6A6"/>
              <w:bottom w:val="single" w:sz="4" w:space="0" w:color="A6A6A6"/>
              <w:right w:val="single" w:sz="4" w:space="0" w:color="A6A6A6"/>
            </w:tcBorders>
            <w:vAlign w:val="center"/>
          </w:tcPr>
          <w:p w14:paraId="3B01E6B8" w14:textId="3F3BFAB1" w:rsidR="000D19A9" w:rsidRPr="007C4D65" w:rsidRDefault="000D19A9" w:rsidP="003A25F3">
            <w:pPr>
              <w:spacing w:before="40" w:after="40" w:line="276" w:lineRule="auto"/>
              <w:ind w:left="153"/>
              <w:rPr>
                <w:rFonts w:asciiTheme="minorHAnsi" w:hAnsiTheme="minorHAnsi" w:cstheme="minorHAnsi"/>
                <w:sz w:val="18"/>
                <w:szCs w:val="18"/>
              </w:rPr>
            </w:pPr>
            <w:r w:rsidRPr="007C4D65">
              <w:rPr>
                <w:rFonts w:asciiTheme="minorHAnsi" w:hAnsiTheme="minorHAnsi"/>
                <w:sz w:val="18"/>
                <w:szCs w:val="18"/>
              </w:rPr>
              <w:t>Functional coordination mechanism‒ coordination meetings held on regular basis, and reports and conclusions from such meetings published</w:t>
            </w:r>
            <w:r w:rsidR="003A25F3" w:rsidRPr="007C4D65">
              <w:rPr>
                <w:rFonts w:asciiTheme="minorHAnsi" w:hAnsiTheme="minorHAnsi"/>
                <w:sz w:val="18"/>
                <w:szCs w:val="18"/>
              </w:rPr>
              <w:t xml:space="preserve"> </w:t>
            </w:r>
            <w:r w:rsidRPr="007C4D65">
              <w:rPr>
                <w:rFonts w:asciiTheme="minorHAnsi" w:hAnsiTheme="minorHAnsi"/>
                <w:sz w:val="18"/>
                <w:szCs w:val="18"/>
              </w:rPr>
              <w:t>(2023-2034)</w:t>
            </w:r>
          </w:p>
        </w:tc>
      </w:tr>
      <w:tr w:rsidR="000D19A9" w:rsidRPr="007C4D65" w14:paraId="364A8F21" w14:textId="77777777" w:rsidTr="00B6017F">
        <w:trPr>
          <w:trHeight w:val="287"/>
        </w:trPr>
        <w:tc>
          <w:tcPr>
            <w:tcW w:w="658" w:type="pct"/>
            <w:vMerge/>
            <w:shd w:val="clear" w:color="auto" w:fill="D9D9D9" w:themeFill="background1" w:themeFillShade="D9"/>
            <w:vAlign w:val="center"/>
          </w:tcPr>
          <w:p w14:paraId="4C01F614"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76" w:type="pct"/>
            <w:vMerge/>
            <w:vAlign w:val="center"/>
          </w:tcPr>
          <w:p w14:paraId="024A2846"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7"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71F7B216" w14:textId="77777777" w:rsidR="000D19A9" w:rsidRPr="007C4D65" w:rsidRDefault="000D19A9" w:rsidP="00B6017F">
            <w:pPr>
              <w:spacing w:before="40" w:after="40" w:line="276" w:lineRule="auto"/>
              <w:rPr>
                <w:rFonts w:asciiTheme="minorHAnsi" w:hAnsiTheme="minorHAnsi" w:cstheme="minorHAnsi"/>
                <w:sz w:val="18"/>
                <w:szCs w:val="18"/>
              </w:rPr>
            </w:pPr>
            <w:r w:rsidRPr="007C4D65">
              <w:rPr>
                <w:rFonts w:asciiTheme="minorHAnsi" w:hAnsiTheme="minorHAnsi"/>
                <w:sz w:val="18"/>
                <w:szCs w:val="18"/>
              </w:rPr>
              <w:t>a3) Effectiveness of legal provisions (</w:t>
            </w:r>
            <w:proofErr w:type="spellStart"/>
            <w:r w:rsidRPr="007C4D65">
              <w:rPr>
                <w:rFonts w:asciiTheme="minorHAnsi" w:hAnsiTheme="minorHAnsi"/>
                <w:sz w:val="18"/>
                <w:szCs w:val="18"/>
              </w:rPr>
              <w:t>LoW</w:t>
            </w:r>
            <w:proofErr w:type="spellEnd"/>
            <w:r w:rsidRPr="007C4D65">
              <w:rPr>
                <w:rFonts w:asciiTheme="minorHAnsi" w:hAnsiTheme="minorHAnsi"/>
                <w:sz w:val="18"/>
                <w:szCs w:val="18"/>
              </w:rPr>
              <w:t>) that impose the obligation</w:t>
            </w:r>
          </w:p>
          <w:p w14:paraId="4677D9B9" w14:textId="7B0D258C" w:rsidR="000D19A9" w:rsidRPr="007C4D65" w:rsidRDefault="000D19A9">
            <w:pPr>
              <w:numPr>
                <w:ilvl w:val="0"/>
                <w:numId w:val="86"/>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sz w:val="18"/>
                <w:szCs w:val="18"/>
              </w:rPr>
              <w:t>of integrating information from the water management plans into plans of the sector whose activities may have impact on water protection, and</w:t>
            </w:r>
          </w:p>
          <w:p w14:paraId="7EE875FB" w14:textId="2F9A117F" w:rsidR="000D19A9" w:rsidRPr="007C4D65" w:rsidRDefault="000D19A9">
            <w:pPr>
              <w:numPr>
                <w:ilvl w:val="0"/>
                <w:numId w:val="182"/>
              </w:numPr>
              <w:spacing w:after="120" w:line="276" w:lineRule="auto"/>
              <w:ind w:left="357" w:hanging="357"/>
              <w:contextualSpacing/>
              <w:rPr>
                <w:rFonts w:asciiTheme="minorHAnsi" w:hAnsiTheme="minorHAnsi" w:cstheme="minorHAnsi"/>
                <w:sz w:val="18"/>
                <w:szCs w:val="18"/>
              </w:rPr>
            </w:pPr>
            <w:r w:rsidRPr="007C4D65">
              <w:rPr>
                <w:rFonts w:asciiTheme="minorHAnsi" w:hAnsiTheme="minorHAnsi"/>
                <w:sz w:val="18"/>
                <w:szCs w:val="18"/>
              </w:rPr>
              <w:t xml:space="preserve">adequate engagement of water sector institutions at the stage of </w:t>
            </w:r>
            <w:r w:rsidRPr="007C4D65">
              <w:rPr>
                <w:rFonts w:asciiTheme="minorHAnsi" w:hAnsiTheme="minorHAnsi"/>
                <w:sz w:val="18"/>
                <w:szCs w:val="18"/>
              </w:rPr>
              <w:lastRenderedPageBreak/>
              <w:t>developing planning and strategic documents, including public discussions</w:t>
            </w:r>
          </w:p>
        </w:tc>
        <w:tc>
          <w:tcPr>
            <w:tcW w:w="111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37030DFA" w14:textId="4266767A"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lastRenderedPageBreak/>
              <w:t>Low effectiveness</w:t>
            </w:r>
          </w:p>
        </w:tc>
        <w:tc>
          <w:tcPr>
            <w:tcW w:w="1190" w:type="pct"/>
            <w:tcBorders>
              <w:top w:val="single" w:sz="4" w:space="0" w:color="A6A6A6"/>
              <w:left w:val="single" w:sz="4" w:space="0" w:color="A6A6A6"/>
              <w:bottom w:val="single" w:sz="4" w:space="0" w:color="A6A6A6"/>
              <w:right w:val="single" w:sz="4" w:space="0" w:color="A6A6A6"/>
            </w:tcBorders>
            <w:vAlign w:val="center"/>
          </w:tcPr>
          <w:p w14:paraId="1956E98D" w14:textId="35604833" w:rsidR="000D19A9" w:rsidRPr="007C4D65" w:rsidRDefault="000D19A9" w:rsidP="003A25F3">
            <w:pPr>
              <w:spacing w:before="40" w:after="40" w:line="276" w:lineRule="auto"/>
              <w:ind w:left="153"/>
              <w:rPr>
                <w:rFonts w:asciiTheme="minorHAnsi" w:hAnsiTheme="minorHAnsi" w:cstheme="minorHAnsi"/>
                <w:sz w:val="18"/>
                <w:szCs w:val="18"/>
              </w:rPr>
            </w:pPr>
            <w:r w:rsidRPr="007C4D65">
              <w:rPr>
                <w:rFonts w:asciiTheme="minorHAnsi" w:hAnsiTheme="minorHAnsi"/>
                <w:sz w:val="18"/>
                <w:szCs w:val="18"/>
              </w:rPr>
              <w:t xml:space="preserve">Data from the water management plans adequately integrated into adopted spatial planning documents, as well as other planning or programming documents </w:t>
            </w:r>
            <w:proofErr w:type="gramStart"/>
            <w:r w:rsidRPr="007C4D65">
              <w:rPr>
                <w:rFonts w:asciiTheme="minorHAnsi" w:hAnsiTheme="minorHAnsi"/>
                <w:sz w:val="18"/>
                <w:szCs w:val="18"/>
              </w:rPr>
              <w:t>as a result of</w:t>
            </w:r>
            <w:proofErr w:type="gramEnd"/>
            <w:r w:rsidRPr="007C4D65">
              <w:rPr>
                <w:rFonts w:asciiTheme="minorHAnsi" w:hAnsiTheme="minorHAnsi"/>
                <w:sz w:val="18"/>
                <w:szCs w:val="18"/>
              </w:rPr>
              <w:t xml:space="preserve"> water sector being engaged at the phase of development of planning and strategic documents</w:t>
            </w:r>
            <w:r w:rsidR="003A25F3" w:rsidRPr="007C4D65">
              <w:rPr>
                <w:rFonts w:asciiTheme="minorHAnsi" w:hAnsiTheme="minorHAnsi"/>
                <w:sz w:val="18"/>
                <w:szCs w:val="18"/>
              </w:rPr>
              <w:t xml:space="preserve"> </w:t>
            </w:r>
            <w:r w:rsidRPr="007C4D65">
              <w:rPr>
                <w:rFonts w:asciiTheme="minorHAnsi" w:hAnsiTheme="minorHAnsi"/>
                <w:sz w:val="18"/>
                <w:szCs w:val="18"/>
              </w:rPr>
              <w:t>(2023-2034)</w:t>
            </w:r>
          </w:p>
        </w:tc>
      </w:tr>
      <w:tr w:rsidR="000D19A9" w:rsidRPr="007C4D65" w14:paraId="1E7CA065" w14:textId="77777777" w:rsidTr="00B6017F">
        <w:trPr>
          <w:trHeight w:val="287"/>
        </w:trPr>
        <w:tc>
          <w:tcPr>
            <w:tcW w:w="658" w:type="pct"/>
            <w:vMerge/>
            <w:shd w:val="clear" w:color="auto" w:fill="D9D9D9" w:themeFill="background1" w:themeFillShade="D9"/>
            <w:vAlign w:val="center"/>
          </w:tcPr>
          <w:p w14:paraId="6561B4B6"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76" w:type="pct"/>
            <w:vMerge/>
            <w:vAlign w:val="center"/>
          </w:tcPr>
          <w:p w14:paraId="705E8E25"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7"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76800E16" w14:textId="449E0E14"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b1) Level of readiness of information from the water management plans for the needs of inspections</w:t>
            </w:r>
          </w:p>
        </w:tc>
        <w:tc>
          <w:tcPr>
            <w:tcW w:w="111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29A94A85" w14:textId="7E8EE00A"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Preparation of information / excerpts from water management plans has not started</w:t>
            </w:r>
          </w:p>
        </w:tc>
        <w:tc>
          <w:tcPr>
            <w:tcW w:w="1190" w:type="pct"/>
            <w:tcBorders>
              <w:top w:val="single" w:sz="4" w:space="0" w:color="A6A6A6"/>
              <w:left w:val="single" w:sz="4" w:space="0" w:color="A6A6A6"/>
              <w:bottom w:val="single" w:sz="4" w:space="0" w:color="A6A6A6"/>
              <w:right w:val="single" w:sz="4" w:space="0" w:color="A6A6A6"/>
            </w:tcBorders>
            <w:vAlign w:val="center"/>
          </w:tcPr>
          <w:p w14:paraId="37B7BA8E" w14:textId="3A1DE63E" w:rsidR="000D19A9" w:rsidRPr="007C4D65" w:rsidRDefault="000D19A9" w:rsidP="003A25F3">
            <w:pPr>
              <w:spacing w:before="40" w:after="40" w:line="276" w:lineRule="auto"/>
              <w:ind w:left="153"/>
              <w:contextualSpacing/>
              <w:rPr>
                <w:rFonts w:asciiTheme="minorHAnsi" w:hAnsiTheme="minorHAnsi" w:cstheme="minorHAnsi"/>
                <w:sz w:val="18"/>
                <w:szCs w:val="18"/>
              </w:rPr>
            </w:pPr>
            <w:r w:rsidRPr="007C4D65">
              <w:rPr>
                <w:rFonts w:asciiTheme="minorHAnsi" w:hAnsiTheme="minorHAnsi"/>
                <w:sz w:val="18"/>
                <w:szCs w:val="18"/>
              </w:rPr>
              <w:t>Provide information from water management plans to the inspections, with special emphasis on water bodies that are under pressure of human activities</w:t>
            </w:r>
            <w:r w:rsidR="003A25F3" w:rsidRPr="007C4D65">
              <w:rPr>
                <w:rFonts w:asciiTheme="minorHAnsi" w:hAnsiTheme="minorHAnsi"/>
                <w:sz w:val="18"/>
                <w:szCs w:val="18"/>
              </w:rPr>
              <w:t xml:space="preserve"> </w:t>
            </w:r>
            <w:r w:rsidRPr="007C4D65">
              <w:rPr>
                <w:rFonts w:asciiTheme="minorHAnsi" w:hAnsiTheme="minorHAnsi"/>
                <w:sz w:val="18"/>
                <w:szCs w:val="18"/>
              </w:rPr>
              <w:t>(2023-2034)</w:t>
            </w:r>
          </w:p>
        </w:tc>
      </w:tr>
      <w:tr w:rsidR="000D19A9" w:rsidRPr="007C4D65" w14:paraId="0E1A561B" w14:textId="77777777" w:rsidTr="00B6017F">
        <w:trPr>
          <w:trHeight w:val="287"/>
        </w:trPr>
        <w:tc>
          <w:tcPr>
            <w:tcW w:w="658" w:type="pct"/>
            <w:vMerge/>
            <w:shd w:val="clear" w:color="auto" w:fill="D9D9D9" w:themeFill="background1" w:themeFillShade="D9"/>
            <w:vAlign w:val="center"/>
          </w:tcPr>
          <w:p w14:paraId="2E220F1F"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76" w:type="pct"/>
            <w:vMerge/>
            <w:vAlign w:val="center"/>
          </w:tcPr>
          <w:p w14:paraId="6BAAD63A"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7"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13E9513B" w14:textId="110A9CFD"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b2) Status regarding information of inspections on complaints received</w:t>
            </w:r>
          </w:p>
        </w:tc>
        <w:tc>
          <w:tcPr>
            <w:tcW w:w="111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78DDF61C" w14:textId="4A6B4A35"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Inspections are informed on the complaints received</w:t>
            </w:r>
          </w:p>
        </w:tc>
        <w:tc>
          <w:tcPr>
            <w:tcW w:w="1190" w:type="pct"/>
            <w:tcBorders>
              <w:top w:val="single" w:sz="4" w:space="0" w:color="A6A6A6"/>
              <w:left w:val="single" w:sz="4" w:space="0" w:color="A6A6A6"/>
              <w:bottom w:val="single" w:sz="4" w:space="0" w:color="A6A6A6"/>
              <w:right w:val="single" w:sz="4" w:space="0" w:color="A6A6A6"/>
            </w:tcBorders>
            <w:vAlign w:val="center"/>
          </w:tcPr>
          <w:p w14:paraId="49604A97" w14:textId="18C63E3A" w:rsidR="000D19A9" w:rsidRPr="007C4D65" w:rsidRDefault="000D19A9" w:rsidP="003A25F3">
            <w:pPr>
              <w:spacing w:before="40" w:after="40" w:line="276" w:lineRule="auto"/>
              <w:ind w:left="153"/>
              <w:rPr>
                <w:rFonts w:asciiTheme="minorHAnsi" w:hAnsiTheme="minorHAnsi" w:cstheme="minorHAnsi"/>
                <w:sz w:val="18"/>
                <w:szCs w:val="18"/>
              </w:rPr>
            </w:pPr>
            <w:r w:rsidRPr="007C4D65">
              <w:rPr>
                <w:rFonts w:asciiTheme="minorHAnsi" w:hAnsiTheme="minorHAnsi"/>
                <w:sz w:val="18"/>
                <w:szCs w:val="18"/>
              </w:rPr>
              <w:t>Timely provision of information and data to the inspections regarding received complaints and requests of the responsible bodies in water sector</w:t>
            </w:r>
            <w:r w:rsidR="003A25F3" w:rsidRPr="007C4D65">
              <w:rPr>
                <w:rFonts w:asciiTheme="minorHAnsi" w:hAnsiTheme="minorHAnsi"/>
                <w:sz w:val="18"/>
                <w:szCs w:val="18"/>
              </w:rPr>
              <w:t xml:space="preserve"> </w:t>
            </w:r>
            <w:r w:rsidRPr="007C4D65">
              <w:rPr>
                <w:rFonts w:asciiTheme="minorHAnsi" w:hAnsiTheme="minorHAnsi"/>
                <w:sz w:val="18"/>
                <w:szCs w:val="18"/>
              </w:rPr>
              <w:t>(2023-2034)</w:t>
            </w:r>
          </w:p>
        </w:tc>
      </w:tr>
      <w:tr w:rsidR="000D19A9" w:rsidRPr="007C4D65" w14:paraId="7979AD73" w14:textId="77777777" w:rsidTr="00B6017F">
        <w:trPr>
          <w:trHeight w:val="287"/>
        </w:trPr>
        <w:tc>
          <w:tcPr>
            <w:tcW w:w="658" w:type="pct"/>
            <w:vMerge/>
            <w:shd w:val="clear" w:color="auto" w:fill="D9D9D9" w:themeFill="background1" w:themeFillShade="D9"/>
            <w:vAlign w:val="center"/>
          </w:tcPr>
          <w:p w14:paraId="2365F5B8"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76" w:type="pct"/>
            <w:vMerge/>
            <w:vAlign w:val="center"/>
          </w:tcPr>
          <w:p w14:paraId="19905842"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7"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5196893C" w14:textId="77777777" w:rsidR="000D19A9" w:rsidRPr="007C4D65" w:rsidRDefault="000D19A9" w:rsidP="00B6017F">
            <w:pPr>
              <w:spacing w:before="40" w:after="40" w:line="276" w:lineRule="auto"/>
              <w:rPr>
                <w:rFonts w:asciiTheme="minorHAnsi" w:hAnsiTheme="minorHAnsi" w:cstheme="minorHAnsi"/>
                <w:sz w:val="18"/>
                <w:szCs w:val="18"/>
              </w:rPr>
            </w:pPr>
            <w:r w:rsidRPr="007C4D65">
              <w:rPr>
                <w:rFonts w:asciiTheme="minorHAnsi" w:hAnsiTheme="minorHAnsi"/>
                <w:sz w:val="18"/>
                <w:szCs w:val="18"/>
              </w:rPr>
              <w:t>Level of preparedness of Studies</w:t>
            </w:r>
          </w:p>
          <w:p w14:paraId="171B918D" w14:textId="77777777" w:rsidR="000D19A9" w:rsidRPr="007C4D65" w:rsidRDefault="000D19A9" w:rsidP="000D19A9">
            <w:pPr>
              <w:numPr>
                <w:ilvl w:val="0"/>
                <w:numId w:val="35"/>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sz w:val="18"/>
                <w:szCs w:val="18"/>
              </w:rPr>
              <w:t>on hydro-power potential</w:t>
            </w:r>
          </w:p>
          <w:p w14:paraId="17AB7E08" w14:textId="339B66F5" w:rsidR="000D19A9" w:rsidRPr="007C4D65" w:rsidRDefault="000D19A9" w:rsidP="000D19A9">
            <w:pPr>
              <w:numPr>
                <w:ilvl w:val="0"/>
                <w:numId w:val="35"/>
              </w:numPr>
              <w:spacing w:line="276" w:lineRule="auto"/>
              <w:ind w:left="360"/>
              <w:contextualSpacing/>
              <w:rPr>
                <w:rFonts w:asciiTheme="minorHAnsi" w:eastAsia="Calibri" w:hAnsiTheme="minorHAnsi" w:cstheme="minorHAnsi"/>
                <w:sz w:val="18"/>
                <w:szCs w:val="18"/>
              </w:rPr>
            </w:pPr>
            <w:r w:rsidRPr="007C4D65">
              <w:rPr>
                <w:rFonts w:asciiTheme="minorHAnsi" w:hAnsiTheme="minorHAnsi"/>
                <w:sz w:val="18"/>
                <w:szCs w:val="18"/>
              </w:rPr>
              <w:t>on surface and ground water reserves that may be used for water supply to population</w:t>
            </w:r>
          </w:p>
        </w:tc>
        <w:tc>
          <w:tcPr>
            <w:tcW w:w="111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290EA80A" w14:textId="6BC9A356"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Development of studies has not started</w:t>
            </w:r>
          </w:p>
        </w:tc>
        <w:tc>
          <w:tcPr>
            <w:tcW w:w="1190" w:type="pct"/>
            <w:tcBorders>
              <w:top w:val="single" w:sz="4" w:space="0" w:color="A6A6A6"/>
              <w:left w:val="single" w:sz="4" w:space="0" w:color="A6A6A6"/>
              <w:bottom w:val="single" w:sz="4" w:space="0" w:color="A6A6A6"/>
              <w:right w:val="single" w:sz="4" w:space="0" w:color="A6A6A6"/>
            </w:tcBorders>
            <w:vAlign w:val="center"/>
          </w:tcPr>
          <w:p w14:paraId="325144C7" w14:textId="77777777" w:rsidR="000D19A9" w:rsidRPr="007C4D65" w:rsidRDefault="000D19A9" w:rsidP="00B6017F">
            <w:pPr>
              <w:spacing w:after="120" w:line="276" w:lineRule="auto"/>
              <w:ind w:hanging="2"/>
              <w:contextualSpacing/>
              <w:rPr>
                <w:rFonts w:asciiTheme="minorHAnsi" w:hAnsiTheme="minorHAnsi"/>
                <w:sz w:val="18"/>
                <w:szCs w:val="18"/>
              </w:rPr>
            </w:pPr>
            <w:r w:rsidRPr="007C4D65">
              <w:rPr>
                <w:rFonts w:asciiTheme="minorHAnsi" w:hAnsiTheme="minorHAnsi"/>
                <w:sz w:val="18"/>
                <w:szCs w:val="18"/>
              </w:rPr>
              <w:t xml:space="preserve"> Studies completed and published:</w:t>
            </w:r>
          </w:p>
          <w:p w14:paraId="72C84228" w14:textId="77777777" w:rsidR="000D19A9" w:rsidRPr="007C4D65" w:rsidRDefault="000D19A9" w:rsidP="000D19A9">
            <w:pPr>
              <w:numPr>
                <w:ilvl w:val="0"/>
                <w:numId w:val="35"/>
              </w:numPr>
              <w:spacing w:after="120" w:line="276" w:lineRule="auto"/>
              <w:ind w:hanging="2"/>
              <w:contextualSpacing/>
              <w:rPr>
                <w:rFonts w:asciiTheme="minorHAnsi" w:hAnsiTheme="minorHAnsi"/>
                <w:sz w:val="18"/>
                <w:szCs w:val="18"/>
              </w:rPr>
            </w:pPr>
            <w:r w:rsidRPr="007C4D65">
              <w:rPr>
                <w:rFonts w:asciiTheme="minorHAnsi" w:hAnsiTheme="minorHAnsi"/>
                <w:sz w:val="18"/>
                <w:szCs w:val="18"/>
              </w:rPr>
              <w:t>on hydro-power potential that include principles / guidelines / criteria for planning, and achieving / maintaining good status of water bodies, or has been aligned with Article 4(7) WFD (2026)</w:t>
            </w:r>
          </w:p>
          <w:p w14:paraId="079EFDC2" w14:textId="77777777" w:rsidR="000D19A9" w:rsidRPr="007C4D65" w:rsidRDefault="000D19A9" w:rsidP="000D19A9">
            <w:pPr>
              <w:numPr>
                <w:ilvl w:val="0"/>
                <w:numId w:val="35"/>
              </w:numPr>
              <w:spacing w:after="120" w:line="276" w:lineRule="auto"/>
              <w:ind w:hanging="2"/>
              <w:contextualSpacing/>
              <w:rPr>
                <w:rFonts w:asciiTheme="minorHAnsi" w:hAnsiTheme="minorHAnsi"/>
                <w:sz w:val="18"/>
                <w:szCs w:val="18"/>
              </w:rPr>
            </w:pPr>
            <w:r w:rsidRPr="007C4D65">
              <w:rPr>
                <w:rFonts w:asciiTheme="minorHAnsi" w:hAnsiTheme="minorHAnsi"/>
                <w:sz w:val="18"/>
                <w:szCs w:val="18"/>
              </w:rPr>
              <w:t>on surface and ground water reserves that may be used for water supply to population (2026)</w:t>
            </w:r>
          </w:p>
        </w:tc>
      </w:tr>
      <w:tr w:rsidR="000D19A9" w:rsidRPr="007C4D65" w14:paraId="2B4209B9" w14:textId="77777777" w:rsidTr="00B6017F">
        <w:trPr>
          <w:trHeight w:val="483"/>
        </w:trPr>
        <w:tc>
          <w:tcPr>
            <w:tcW w:w="658" w:type="pct"/>
            <w:vMerge/>
            <w:shd w:val="clear" w:color="auto" w:fill="D9D9D9" w:themeFill="background1" w:themeFillShade="D9"/>
            <w:vAlign w:val="center"/>
            <w:hideMark/>
          </w:tcPr>
          <w:p w14:paraId="4C001AE6"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76" w:type="pct"/>
            <w:vMerge/>
            <w:vAlign w:val="center"/>
          </w:tcPr>
          <w:p w14:paraId="3B14C8CA"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7" w:type="pct"/>
            <w:shd w:val="clear" w:color="auto" w:fill="D9D9D9" w:themeFill="background1" w:themeFillShade="D9"/>
            <w:tcMar>
              <w:top w:w="0" w:type="dxa"/>
              <w:left w:w="108" w:type="dxa"/>
              <w:bottom w:w="0" w:type="dxa"/>
              <w:right w:w="108" w:type="dxa"/>
            </w:tcMar>
            <w:vAlign w:val="center"/>
            <w:hideMark/>
          </w:tcPr>
          <w:p w14:paraId="2767C20E"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19" w:type="pct"/>
            <w:shd w:val="clear" w:color="auto" w:fill="D9D9D9" w:themeFill="background1" w:themeFillShade="D9"/>
            <w:tcMar>
              <w:top w:w="0" w:type="dxa"/>
              <w:left w:w="108" w:type="dxa"/>
              <w:bottom w:w="0" w:type="dxa"/>
              <w:right w:w="108" w:type="dxa"/>
            </w:tcMar>
            <w:vAlign w:val="center"/>
            <w:hideMark/>
          </w:tcPr>
          <w:p w14:paraId="528C504D"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90" w:type="pct"/>
            <w:shd w:val="clear" w:color="auto" w:fill="D9D9D9" w:themeFill="background1" w:themeFillShade="D9"/>
            <w:tcMar>
              <w:top w:w="0" w:type="dxa"/>
              <w:left w:w="108" w:type="dxa"/>
              <w:bottom w:w="0" w:type="dxa"/>
              <w:right w:w="108" w:type="dxa"/>
            </w:tcMar>
            <w:vAlign w:val="center"/>
            <w:hideMark/>
          </w:tcPr>
          <w:p w14:paraId="6BF1832B"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41B60380" w14:textId="77777777" w:rsidTr="00B6017F">
        <w:trPr>
          <w:trHeight w:val="287"/>
        </w:trPr>
        <w:tc>
          <w:tcPr>
            <w:tcW w:w="658" w:type="pct"/>
            <w:vMerge/>
            <w:shd w:val="clear" w:color="auto" w:fill="D9D9D9" w:themeFill="background1" w:themeFillShade="D9"/>
            <w:vAlign w:val="center"/>
            <w:hideMark/>
          </w:tcPr>
          <w:p w14:paraId="1F7BD6D9"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76" w:type="pct"/>
            <w:vMerge/>
            <w:vAlign w:val="center"/>
          </w:tcPr>
          <w:p w14:paraId="6CEE1819"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7" w:type="pct"/>
            <w:tcMar>
              <w:top w:w="0" w:type="dxa"/>
              <w:left w:w="108" w:type="dxa"/>
              <w:bottom w:w="0" w:type="dxa"/>
              <w:right w:w="108" w:type="dxa"/>
            </w:tcMar>
            <w:vAlign w:val="center"/>
          </w:tcPr>
          <w:p w14:paraId="051F6C0D"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0,286</w:t>
            </w:r>
          </w:p>
        </w:tc>
        <w:tc>
          <w:tcPr>
            <w:tcW w:w="1119" w:type="pct"/>
            <w:tcMar>
              <w:top w:w="0" w:type="dxa"/>
              <w:left w:w="108" w:type="dxa"/>
              <w:bottom w:w="0" w:type="dxa"/>
              <w:right w:w="108" w:type="dxa"/>
            </w:tcMar>
            <w:vAlign w:val="center"/>
          </w:tcPr>
          <w:p w14:paraId="2180D0AB"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2,5</w:t>
            </w:r>
          </w:p>
        </w:tc>
        <w:tc>
          <w:tcPr>
            <w:tcW w:w="1190" w:type="pct"/>
            <w:tcMar>
              <w:top w:w="0" w:type="dxa"/>
              <w:left w:w="108" w:type="dxa"/>
              <w:bottom w:w="0" w:type="dxa"/>
              <w:right w:w="108" w:type="dxa"/>
            </w:tcMar>
            <w:vAlign w:val="center"/>
          </w:tcPr>
          <w:p w14:paraId="65D1EE76"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2,8</w:t>
            </w:r>
          </w:p>
        </w:tc>
      </w:tr>
      <w:tr w:rsidR="000D19A9" w:rsidRPr="007C4D65" w14:paraId="3C57BBE7" w14:textId="77777777" w:rsidTr="00B6017F">
        <w:trPr>
          <w:trHeight w:val="483"/>
        </w:trPr>
        <w:tc>
          <w:tcPr>
            <w:tcW w:w="658" w:type="pct"/>
            <w:vMerge w:val="restart"/>
            <w:shd w:val="clear" w:color="auto" w:fill="D9D9D9" w:themeFill="background1" w:themeFillShade="D9"/>
            <w:tcMar>
              <w:top w:w="0" w:type="dxa"/>
              <w:left w:w="108" w:type="dxa"/>
              <w:bottom w:w="0" w:type="dxa"/>
              <w:right w:w="108" w:type="dxa"/>
            </w:tcMar>
            <w:vAlign w:val="center"/>
            <w:hideMark/>
          </w:tcPr>
          <w:p w14:paraId="7EB12F25" w14:textId="77777777" w:rsidR="000D19A9" w:rsidRPr="007C4D65" w:rsidRDefault="000D19A9" w:rsidP="00B6017F">
            <w:pPr>
              <w:spacing w:after="120" w:line="276" w:lineRule="auto"/>
              <w:ind w:hanging="2"/>
              <w:contextualSpacing/>
              <w:rPr>
                <w:rFonts w:asciiTheme="minorHAnsi" w:hAnsiTheme="minorHAnsi" w:cstheme="minorHAnsi"/>
                <w:b/>
                <w:color w:val="FFFFFF" w:themeColor="background1"/>
                <w:sz w:val="18"/>
                <w:szCs w:val="18"/>
              </w:rPr>
            </w:pPr>
            <w:r w:rsidRPr="007C4D65">
              <w:rPr>
                <w:rFonts w:asciiTheme="minorHAnsi" w:hAnsiTheme="minorHAnsi"/>
                <w:b/>
                <w:color w:val="000000" w:themeColor="text1"/>
                <w:sz w:val="18"/>
                <w:szCs w:val="18"/>
              </w:rPr>
              <w:t>1.2.2. Measure</w:t>
            </w:r>
          </w:p>
        </w:tc>
        <w:tc>
          <w:tcPr>
            <w:tcW w:w="876" w:type="pct"/>
            <w:vMerge w:val="restart"/>
            <w:tcMar>
              <w:top w:w="0" w:type="dxa"/>
              <w:left w:w="108" w:type="dxa"/>
              <w:bottom w:w="0" w:type="dxa"/>
              <w:right w:w="108" w:type="dxa"/>
            </w:tcMar>
            <w:vAlign w:val="center"/>
          </w:tcPr>
          <w:p w14:paraId="6E6AA2FD"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Ensuring transparent and defined by law procedure for awarding concessions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use of water resources</w:t>
            </w:r>
          </w:p>
        </w:tc>
        <w:tc>
          <w:tcPr>
            <w:tcW w:w="1157" w:type="pct"/>
            <w:shd w:val="clear" w:color="auto" w:fill="D9D9D9" w:themeFill="background1" w:themeFillShade="D9"/>
            <w:tcMar>
              <w:top w:w="0" w:type="dxa"/>
              <w:left w:w="108" w:type="dxa"/>
              <w:bottom w:w="0" w:type="dxa"/>
              <w:right w:w="108" w:type="dxa"/>
            </w:tcMar>
            <w:vAlign w:val="center"/>
            <w:hideMark/>
          </w:tcPr>
          <w:p w14:paraId="0BFBAA31"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19" w:type="pct"/>
            <w:shd w:val="clear" w:color="auto" w:fill="D9D9D9" w:themeFill="background1" w:themeFillShade="D9"/>
            <w:tcMar>
              <w:top w:w="0" w:type="dxa"/>
              <w:left w:w="108" w:type="dxa"/>
              <w:bottom w:w="0" w:type="dxa"/>
              <w:right w:w="108" w:type="dxa"/>
            </w:tcMar>
            <w:vAlign w:val="center"/>
            <w:hideMark/>
          </w:tcPr>
          <w:p w14:paraId="50BCCB0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90" w:type="pct"/>
            <w:shd w:val="clear" w:color="auto" w:fill="D9D9D9" w:themeFill="background1" w:themeFillShade="D9"/>
            <w:vAlign w:val="center"/>
          </w:tcPr>
          <w:p w14:paraId="75C5B25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662E1B0C" w14:textId="77777777" w:rsidTr="00B6017F">
        <w:trPr>
          <w:trHeight w:val="287"/>
        </w:trPr>
        <w:tc>
          <w:tcPr>
            <w:tcW w:w="658" w:type="pct"/>
            <w:vMerge/>
            <w:shd w:val="clear" w:color="auto" w:fill="D9D9D9" w:themeFill="background1" w:themeFillShade="D9"/>
            <w:vAlign w:val="center"/>
            <w:hideMark/>
          </w:tcPr>
          <w:p w14:paraId="0CD04FFB"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76" w:type="pct"/>
            <w:vMerge/>
            <w:vAlign w:val="center"/>
          </w:tcPr>
          <w:p w14:paraId="2E991977"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7" w:type="pct"/>
            <w:tcMar>
              <w:top w:w="0" w:type="dxa"/>
              <w:left w:w="108" w:type="dxa"/>
              <w:bottom w:w="0" w:type="dxa"/>
              <w:right w:w="108" w:type="dxa"/>
            </w:tcMar>
            <w:vAlign w:val="center"/>
          </w:tcPr>
          <w:p w14:paraId="4272B66F" w14:textId="77777777" w:rsidR="000D19A9" w:rsidRPr="007C4D65" w:rsidRDefault="000D19A9"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sz w:val="18"/>
                <w:szCs w:val="18"/>
              </w:rPr>
              <w:t>Status of the process of adoption of amended Federation and cantonal laws/regulations</w:t>
            </w:r>
          </w:p>
        </w:tc>
        <w:tc>
          <w:tcPr>
            <w:tcW w:w="1119" w:type="pct"/>
            <w:tcMar>
              <w:top w:w="0" w:type="dxa"/>
              <w:left w:w="108" w:type="dxa"/>
              <w:bottom w:w="0" w:type="dxa"/>
              <w:right w:w="108" w:type="dxa"/>
            </w:tcMar>
            <w:vAlign w:val="center"/>
          </w:tcPr>
          <w:p w14:paraId="45CD8FC0"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Amendments have not been drafted</w:t>
            </w:r>
          </w:p>
        </w:tc>
        <w:tc>
          <w:tcPr>
            <w:tcW w:w="1190" w:type="pct"/>
            <w:vAlign w:val="center"/>
          </w:tcPr>
          <w:p w14:paraId="7A1080E7" w14:textId="77777777" w:rsidR="000D19A9" w:rsidRPr="007C4D65" w:rsidRDefault="000D19A9" w:rsidP="00B6017F">
            <w:pPr>
              <w:spacing w:after="120" w:line="276" w:lineRule="auto"/>
              <w:ind w:left="153"/>
              <w:contextualSpacing/>
              <w:rPr>
                <w:rFonts w:asciiTheme="minorHAnsi" w:hAnsiTheme="minorHAnsi" w:cstheme="minorHAnsi"/>
                <w:sz w:val="18"/>
                <w:szCs w:val="18"/>
              </w:rPr>
            </w:pPr>
            <w:r w:rsidRPr="007C4D65">
              <w:rPr>
                <w:rFonts w:asciiTheme="minorHAnsi" w:hAnsiTheme="minorHAnsi"/>
                <w:sz w:val="18"/>
                <w:szCs w:val="18"/>
              </w:rPr>
              <w:t>Amended and harmonised the Federation and cantonal laws/regulations prescribing ways, conditions and agencies responsible for issuing concessions (2025)</w:t>
            </w:r>
          </w:p>
        </w:tc>
      </w:tr>
      <w:tr w:rsidR="000D19A9" w:rsidRPr="007C4D65" w14:paraId="2BC54490" w14:textId="77777777" w:rsidTr="00B6017F">
        <w:trPr>
          <w:trHeight w:val="287"/>
        </w:trPr>
        <w:tc>
          <w:tcPr>
            <w:tcW w:w="658" w:type="pct"/>
            <w:vMerge/>
            <w:shd w:val="clear" w:color="auto" w:fill="D9D9D9" w:themeFill="background1" w:themeFillShade="D9"/>
            <w:vAlign w:val="center"/>
          </w:tcPr>
          <w:p w14:paraId="11D08264"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76" w:type="pct"/>
            <w:vMerge/>
            <w:vAlign w:val="center"/>
          </w:tcPr>
          <w:p w14:paraId="0726E071"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7" w:type="pct"/>
            <w:tcMar>
              <w:top w:w="0" w:type="dxa"/>
              <w:left w:w="108" w:type="dxa"/>
              <w:bottom w:w="0" w:type="dxa"/>
              <w:right w:w="108" w:type="dxa"/>
            </w:tcMar>
            <w:vAlign w:val="center"/>
          </w:tcPr>
          <w:p w14:paraId="4C4F8148" w14:textId="301732F7" w:rsidR="000D19A9" w:rsidRPr="007C4D65" w:rsidRDefault="000D19A9" w:rsidP="003A25F3">
            <w:pPr>
              <w:spacing w:before="40" w:after="40" w:line="276" w:lineRule="auto"/>
              <w:jc w:val="both"/>
              <w:rPr>
                <w:rFonts w:asciiTheme="minorHAnsi" w:eastAsia="Arial" w:hAnsiTheme="minorHAnsi" w:cstheme="minorHAnsi"/>
                <w:sz w:val="18"/>
                <w:szCs w:val="18"/>
              </w:rPr>
            </w:pPr>
            <w:r w:rsidRPr="007C4D65">
              <w:rPr>
                <w:rFonts w:asciiTheme="minorHAnsi" w:hAnsiTheme="minorHAnsi"/>
                <w:sz w:val="18"/>
                <w:szCs w:val="18"/>
              </w:rPr>
              <w:t>Status of the process of adoption of amended / changed secondary legislation relevant for issuing concessions for use of water resources in the Federation of BiH</w:t>
            </w:r>
          </w:p>
        </w:tc>
        <w:tc>
          <w:tcPr>
            <w:tcW w:w="1119" w:type="pct"/>
            <w:tcMar>
              <w:top w:w="0" w:type="dxa"/>
              <w:left w:w="108" w:type="dxa"/>
              <w:bottom w:w="0" w:type="dxa"/>
              <w:right w:w="108" w:type="dxa"/>
            </w:tcMar>
            <w:vAlign w:val="center"/>
          </w:tcPr>
          <w:p w14:paraId="211F9348" w14:textId="77777777" w:rsidR="000D19A9" w:rsidRPr="007C4D65" w:rsidRDefault="000D19A9" w:rsidP="00B6017F">
            <w:pPr>
              <w:spacing w:line="276" w:lineRule="auto"/>
              <w:ind w:right="284"/>
              <w:rPr>
                <w:rFonts w:asciiTheme="minorHAnsi" w:hAnsiTheme="minorHAnsi" w:cstheme="minorHAnsi"/>
                <w:sz w:val="18"/>
                <w:szCs w:val="18"/>
              </w:rPr>
            </w:pPr>
            <w:r w:rsidRPr="007C4D65">
              <w:rPr>
                <w:rFonts w:asciiTheme="minorHAnsi" w:hAnsiTheme="minorHAnsi"/>
                <w:sz w:val="18"/>
                <w:szCs w:val="18"/>
              </w:rPr>
              <w:t>The following analyses are made for the Federation of BiH:</w:t>
            </w:r>
          </w:p>
          <w:p w14:paraId="5361E8C1" w14:textId="4CD2EA6D" w:rsidR="000D19A9" w:rsidRPr="007C4D65" w:rsidRDefault="000D19A9">
            <w:pPr>
              <w:pStyle w:val="ListParagraph"/>
              <w:numPr>
                <w:ilvl w:val="0"/>
                <w:numId w:val="202"/>
              </w:numPr>
              <w:spacing w:line="276" w:lineRule="auto"/>
              <w:ind w:left="357" w:hanging="357"/>
              <w:rPr>
                <w:rFonts w:asciiTheme="minorHAnsi" w:hAnsiTheme="minorHAnsi" w:cstheme="minorHAnsi"/>
                <w:sz w:val="18"/>
                <w:szCs w:val="18"/>
              </w:rPr>
            </w:pPr>
            <w:r w:rsidRPr="007C4D65">
              <w:rPr>
                <w:rFonts w:asciiTheme="minorHAnsi" w:hAnsiTheme="minorHAnsi"/>
                <w:sz w:val="18"/>
                <w:szCs w:val="18"/>
              </w:rPr>
              <w:t xml:space="preserve">Applicability of the catalogue of sustainable development criteria in the sector of </w:t>
            </w:r>
            <w:r w:rsidR="00A46B27" w:rsidRPr="007C4D65">
              <w:rPr>
                <w:rFonts w:asciiTheme="minorHAnsi" w:hAnsiTheme="minorHAnsi"/>
                <w:sz w:val="18"/>
                <w:szCs w:val="18"/>
              </w:rPr>
              <w:t>SHPP</w:t>
            </w:r>
            <w:r w:rsidRPr="007C4D65">
              <w:rPr>
                <w:rFonts w:asciiTheme="minorHAnsi" w:hAnsiTheme="minorHAnsi"/>
                <w:sz w:val="18"/>
                <w:szCs w:val="18"/>
              </w:rPr>
              <w:t xml:space="preserve">s, and </w:t>
            </w:r>
          </w:p>
          <w:p w14:paraId="6E2B0568" w14:textId="6B77400B" w:rsidR="000D19A9" w:rsidRPr="007C4D65" w:rsidRDefault="000D19A9" w:rsidP="00B6017F">
            <w:pPr>
              <w:spacing w:after="120" w:line="276" w:lineRule="auto"/>
              <w:ind w:left="366"/>
              <w:contextualSpacing/>
              <w:rPr>
                <w:rFonts w:asciiTheme="minorHAnsi" w:eastAsia="Calibri" w:hAnsiTheme="minorHAnsi" w:cstheme="minorHAnsi"/>
                <w:sz w:val="18"/>
                <w:szCs w:val="18"/>
              </w:rPr>
            </w:pPr>
            <w:r w:rsidRPr="007C4D65">
              <w:rPr>
                <w:rFonts w:asciiTheme="minorHAnsi" w:hAnsiTheme="minorHAnsi"/>
                <w:sz w:val="18"/>
                <w:szCs w:val="18"/>
              </w:rPr>
              <w:t xml:space="preserve">on the way of adopting the Decision for applying the catalogue for </w:t>
            </w:r>
            <w:r w:rsidR="00A46B27" w:rsidRPr="007C4D65">
              <w:rPr>
                <w:rFonts w:asciiTheme="minorHAnsi" w:hAnsiTheme="minorHAnsi"/>
                <w:sz w:val="18"/>
                <w:szCs w:val="18"/>
              </w:rPr>
              <w:t>SHPP</w:t>
            </w:r>
            <w:r w:rsidRPr="007C4D65">
              <w:rPr>
                <w:rFonts w:asciiTheme="minorHAnsi" w:hAnsiTheme="minorHAnsi"/>
                <w:sz w:val="18"/>
                <w:szCs w:val="18"/>
              </w:rPr>
              <w:t>s by the Government of the Federation of BiH</w:t>
            </w:r>
          </w:p>
        </w:tc>
        <w:tc>
          <w:tcPr>
            <w:tcW w:w="1190" w:type="pct"/>
            <w:vAlign w:val="center"/>
          </w:tcPr>
          <w:p w14:paraId="037B6A0F"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Decision of the Government of the Federation of BiH:</w:t>
            </w:r>
          </w:p>
          <w:p w14:paraId="30A07DEB" w14:textId="77777777" w:rsidR="000D19A9" w:rsidRPr="007C4D65" w:rsidRDefault="000D19A9">
            <w:pPr>
              <w:pStyle w:val="ListParagraph"/>
              <w:numPr>
                <w:ilvl w:val="0"/>
                <w:numId w:val="203"/>
              </w:numPr>
              <w:spacing w:line="276" w:lineRule="auto"/>
              <w:ind w:left="357" w:hanging="204"/>
              <w:rPr>
                <w:rFonts w:asciiTheme="minorHAnsi" w:eastAsia="MS PGothic" w:hAnsiTheme="minorHAnsi" w:cstheme="minorHAnsi"/>
                <w:color w:val="000000"/>
                <w:sz w:val="18"/>
                <w:szCs w:val="18"/>
              </w:rPr>
            </w:pPr>
            <w:r w:rsidRPr="007C4D65">
              <w:rPr>
                <w:rFonts w:asciiTheme="minorHAnsi" w:hAnsiTheme="minorHAnsi"/>
                <w:sz w:val="18"/>
                <w:szCs w:val="18"/>
              </w:rPr>
              <w:t xml:space="preserve">Prescribed use of catalogue of criteria for the Federation of BiH  </w:t>
            </w:r>
          </w:p>
          <w:p w14:paraId="180B6A41" w14:textId="62E54672" w:rsidR="000D19A9" w:rsidRPr="007C4D65" w:rsidRDefault="000D19A9">
            <w:pPr>
              <w:pStyle w:val="ListParagraph"/>
              <w:numPr>
                <w:ilvl w:val="0"/>
                <w:numId w:val="203"/>
              </w:numPr>
              <w:spacing w:line="276" w:lineRule="auto"/>
              <w:ind w:left="357" w:hanging="204"/>
              <w:rPr>
                <w:rFonts w:asciiTheme="minorHAnsi" w:eastAsia="MS PGothic" w:hAnsiTheme="minorHAnsi" w:cstheme="minorHAnsi"/>
                <w:color w:val="000000"/>
                <w:sz w:val="18"/>
                <w:szCs w:val="18"/>
              </w:rPr>
            </w:pPr>
            <w:r w:rsidRPr="007C4D65">
              <w:rPr>
                <w:rFonts w:asciiTheme="minorHAnsi" w:hAnsiTheme="minorHAnsi"/>
                <w:sz w:val="18"/>
                <w:szCs w:val="18"/>
              </w:rPr>
              <w:t>Changed Article 5</w:t>
            </w:r>
            <w:r w:rsidRPr="007C4D65">
              <w:rPr>
                <w:rFonts w:asciiTheme="minorHAnsi" w:hAnsiTheme="minorHAnsi"/>
                <w:color w:val="000000"/>
                <w:sz w:val="18"/>
                <w:szCs w:val="18"/>
              </w:rPr>
              <w:t xml:space="preserve"> Rules on the procedure for awarding concession (study of economic justification must include elements from the catalogue of criteria)</w:t>
            </w:r>
          </w:p>
          <w:p w14:paraId="08F7F6D7" w14:textId="0FE9C359"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Cantons are recommended to use catalogue of criteria as a tool and assistance for cantonal bodies that issue administrative acts required for construction (2024)</w:t>
            </w:r>
          </w:p>
        </w:tc>
      </w:tr>
      <w:tr w:rsidR="000D19A9" w:rsidRPr="007C4D65" w14:paraId="7DDAFD85" w14:textId="77777777" w:rsidTr="00B6017F">
        <w:trPr>
          <w:trHeight w:val="483"/>
        </w:trPr>
        <w:tc>
          <w:tcPr>
            <w:tcW w:w="658" w:type="pct"/>
            <w:vMerge/>
            <w:shd w:val="clear" w:color="auto" w:fill="D9D9D9" w:themeFill="background1" w:themeFillShade="D9"/>
            <w:vAlign w:val="center"/>
            <w:hideMark/>
          </w:tcPr>
          <w:p w14:paraId="49E4137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76" w:type="pct"/>
            <w:vMerge/>
            <w:vAlign w:val="center"/>
          </w:tcPr>
          <w:p w14:paraId="4DCB9D30"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7" w:type="pct"/>
            <w:shd w:val="clear" w:color="auto" w:fill="D9D9D9" w:themeFill="background1" w:themeFillShade="D9"/>
            <w:tcMar>
              <w:top w:w="0" w:type="dxa"/>
              <w:left w:w="108" w:type="dxa"/>
              <w:bottom w:w="0" w:type="dxa"/>
              <w:right w:w="108" w:type="dxa"/>
            </w:tcMar>
            <w:vAlign w:val="center"/>
            <w:hideMark/>
          </w:tcPr>
          <w:p w14:paraId="175A15EE"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19" w:type="pct"/>
            <w:shd w:val="clear" w:color="auto" w:fill="D9D9D9" w:themeFill="background1" w:themeFillShade="D9"/>
            <w:tcMar>
              <w:top w:w="0" w:type="dxa"/>
              <w:left w:w="108" w:type="dxa"/>
              <w:bottom w:w="0" w:type="dxa"/>
              <w:right w:w="108" w:type="dxa"/>
            </w:tcMar>
            <w:vAlign w:val="center"/>
            <w:hideMark/>
          </w:tcPr>
          <w:p w14:paraId="7607F69E"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90" w:type="pct"/>
            <w:shd w:val="clear" w:color="auto" w:fill="D9D9D9" w:themeFill="background1" w:themeFillShade="D9"/>
            <w:tcMar>
              <w:top w:w="0" w:type="dxa"/>
              <w:left w:w="108" w:type="dxa"/>
              <w:bottom w:w="0" w:type="dxa"/>
              <w:right w:w="108" w:type="dxa"/>
            </w:tcMar>
            <w:vAlign w:val="center"/>
            <w:hideMark/>
          </w:tcPr>
          <w:p w14:paraId="2A8CFD3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11AB64B3" w14:textId="77777777" w:rsidTr="00B6017F">
        <w:trPr>
          <w:trHeight w:val="287"/>
        </w:trPr>
        <w:tc>
          <w:tcPr>
            <w:tcW w:w="658" w:type="pct"/>
            <w:vMerge/>
            <w:shd w:val="clear" w:color="auto" w:fill="D9D9D9" w:themeFill="background1" w:themeFillShade="D9"/>
            <w:vAlign w:val="center"/>
            <w:hideMark/>
          </w:tcPr>
          <w:p w14:paraId="553CCFA6"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76" w:type="pct"/>
            <w:vMerge/>
            <w:vAlign w:val="center"/>
          </w:tcPr>
          <w:p w14:paraId="18F708B8"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7" w:type="pct"/>
            <w:tcMar>
              <w:top w:w="0" w:type="dxa"/>
              <w:left w:w="108" w:type="dxa"/>
              <w:bottom w:w="0" w:type="dxa"/>
              <w:right w:w="108" w:type="dxa"/>
            </w:tcMar>
            <w:vAlign w:val="center"/>
          </w:tcPr>
          <w:p w14:paraId="58164685"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0,079</w:t>
            </w:r>
          </w:p>
        </w:tc>
        <w:tc>
          <w:tcPr>
            <w:tcW w:w="1119" w:type="pct"/>
            <w:tcMar>
              <w:top w:w="0" w:type="dxa"/>
              <w:left w:w="108" w:type="dxa"/>
              <w:bottom w:w="0" w:type="dxa"/>
              <w:right w:w="108" w:type="dxa"/>
            </w:tcMar>
            <w:vAlign w:val="center"/>
          </w:tcPr>
          <w:p w14:paraId="699C47B0"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90" w:type="pct"/>
            <w:tcMar>
              <w:top w:w="0" w:type="dxa"/>
              <w:left w:w="108" w:type="dxa"/>
              <w:bottom w:w="0" w:type="dxa"/>
              <w:right w:w="108" w:type="dxa"/>
            </w:tcMar>
            <w:vAlign w:val="center"/>
          </w:tcPr>
          <w:p w14:paraId="2B770FF1"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0,079</w:t>
            </w:r>
          </w:p>
        </w:tc>
      </w:tr>
    </w:tbl>
    <w:p w14:paraId="7742D9D3" w14:textId="77777777" w:rsidR="000D19A9" w:rsidRPr="007C4D65" w:rsidRDefault="000D19A9" w:rsidP="000D19A9">
      <w:pPr>
        <w:spacing w:after="120" w:line="276" w:lineRule="auto"/>
        <w:ind w:hanging="2"/>
        <w:contextualSpacing/>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61"/>
        <w:gridCol w:w="3119"/>
        <w:gridCol w:w="3314"/>
      </w:tblGrid>
      <w:tr w:rsidR="000D19A9" w:rsidRPr="007C4D65" w14:paraId="4079817A" w14:textId="77777777" w:rsidTr="00B6017F">
        <w:trPr>
          <w:trHeight w:val="384"/>
        </w:trPr>
        <w:tc>
          <w:tcPr>
            <w:tcW w:w="658" w:type="pct"/>
            <w:vMerge w:val="restart"/>
            <w:shd w:val="clear" w:color="auto" w:fill="D9D9D9" w:themeFill="background1" w:themeFillShade="D9"/>
            <w:tcMar>
              <w:top w:w="0" w:type="dxa"/>
              <w:left w:w="108" w:type="dxa"/>
              <w:bottom w:w="0" w:type="dxa"/>
              <w:right w:w="108" w:type="dxa"/>
            </w:tcMar>
            <w:vAlign w:val="center"/>
          </w:tcPr>
          <w:p w14:paraId="5AAB79B3"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1.3. Priority</w:t>
            </w:r>
          </w:p>
          <w:p w14:paraId="7F68A03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restart"/>
            <w:tcMar>
              <w:top w:w="0" w:type="dxa"/>
              <w:left w:w="108" w:type="dxa"/>
              <w:bottom w:w="0" w:type="dxa"/>
              <w:right w:w="108" w:type="dxa"/>
            </w:tcMar>
            <w:vAlign w:val="center"/>
          </w:tcPr>
          <w:p w14:paraId="6BD7562A" w14:textId="3601C064" w:rsidR="000D19A9" w:rsidRPr="007C4D65" w:rsidRDefault="000D19A9"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t xml:space="preserve">Ensuring sufficient drinking water supplies and availability for public water supply purposes   </w:t>
            </w:r>
          </w:p>
        </w:tc>
        <w:tc>
          <w:tcPr>
            <w:tcW w:w="1170" w:type="pct"/>
            <w:shd w:val="clear" w:color="auto" w:fill="D9D9D9" w:themeFill="background1" w:themeFillShade="D9"/>
            <w:tcMar>
              <w:top w:w="0" w:type="dxa"/>
              <w:left w:w="108" w:type="dxa"/>
              <w:bottom w:w="0" w:type="dxa"/>
              <w:right w:w="108" w:type="dxa"/>
            </w:tcMar>
            <w:vAlign w:val="center"/>
          </w:tcPr>
          <w:p w14:paraId="3F117096" w14:textId="77777777" w:rsidR="000D19A9" w:rsidRPr="007C4D65" w:rsidRDefault="000D19A9"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19" w:type="pct"/>
            <w:shd w:val="clear" w:color="auto" w:fill="D9D9D9" w:themeFill="background1" w:themeFillShade="D9"/>
            <w:tcMar>
              <w:top w:w="0" w:type="dxa"/>
              <w:left w:w="108" w:type="dxa"/>
              <w:bottom w:w="0" w:type="dxa"/>
              <w:right w:w="108" w:type="dxa"/>
            </w:tcMar>
            <w:vAlign w:val="center"/>
          </w:tcPr>
          <w:p w14:paraId="1B18F08D"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89" w:type="pct"/>
            <w:shd w:val="clear" w:color="auto" w:fill="D9D9D9" w:themeFill="background1" w:themeFillShade="D9"/>
            <w:tcMar>
              <w:top w:w="0" w:type="dxa"/>
              <w:left w:w="108" w:type="dxa"/>
              <w:bottom w:w="0" w:type="dxa"/>
              <w:right w:w="108" w:type="dxa"/>
            </w:tcMar>
            <w:vAlign w:val="center"/>
          </w:tcPr>
          <w:p w14:paraId="26D124B2"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687C1307" w14:textId="77777777" w:rsidTr="00B6017F">
        <w:trPr>
          <w:trHeight w:val="287"/>
        </w:trPr>
        <w:tc>
          <w:tcPr>
            <w:tcW w:w="658" w:type="pct"/>
            <w:vMerge/>
            <w:shd w:val="clear" w:color="auto" w:fill="D9D9D9" w:themeFill="background1" w:themeFillShade="D9"/>
            <w:vAlign w:val="center"/>
            <w:hideMark/>
          </w:tcPr>
          <w:p w14:paraId="106903BC"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27C0F1AE"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70" w:type="pct"/>
            <w:tcMar>
              <w:top w:w="0" w:type="dxa"/>
              <w:left w:w="108" w:type="dxa"/>
              <w:bottom w:w="0" w:type="dxa"/>
              <w:right w:w="108" w:type="dxa"/>
            </w:tcMar>
          </w:tcPr>
          <w:p w14:paraId="30046466"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Degree and phase of implementation of technical-operational segment of water services reform in all LGUs</w:t>
            </w:r>
          </w:p>
        </w:tc>
        <w:tc>
          <w:tcPr>
            <w:tcW w:w="1119" w:type="pct"/>
            <w:tcMar>
              <w:top w:w="0" w:type="dxa"/>
              <w:left w:w="108" w:type="dxa"/>
              <w:bottom w:w="0" w:type="dxa"/>
              <w:right w:w="108" w:type="dxa"/>
            </w:tcMar>
          </w:tcPr>
          <w:p w14:paraId="338C5BC5"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Start of the planning phase for all LGUs   </w:t>
            </w:r>
          </w:p>
          <w:p w14:paraId="2AA96FAE" w14:textId="77777777" w:rsidR="000D19A9" w:rsidRPr="007C4D65" w:rsidRDefault="000D19A9" w:rsidP="000D19A9">
            <w:pPr>
              <w:pStyle w:val="ListParagraph"/>
              <w:numPr>
                <w:ilvl w:val="0"/>
                <w:numId w:val="37"/>
              </w:numPr>
              <w:spacing w:line="276" w:lineRule="auto"/>
              <w:ind w:left="360"/>
              <w:rPr>
                <w:rFonts w:asciiTheme="minorHAnsi" w:hAnsiTheme="minorHAnsi" w:cstheme="minorHAnsi"/>
                <w:sz w:val="18"/>
                <w:szCs w:val="18"/>
              </w:rPr>
            </w:pPr>
            <w:r w:rsidRPr="007C4D65">
              <w:rPr>
                <w:rFonts w:asciiTheme="minorHAnsi" w:hAnsiTheme="minorHAnsi"/>
                <w:sz w:val="18"/>
                <w:szCs w:val="18"/>
              </w:rPr>
              <w:t>Completed:</w:t>
            </w:r>
          </w:p>
          <w:p w14:paraId="412E3B41" w14:textId="10CC6A85" w:rsidR="000D19A9" w:rsidRPr="007C4D65" w:rsidRDefault="000D19A9" w:rsidP="000D19A9">
            <w:pPr>
              <w:pStyle w:val="ListParagraph"/>
              <w:numPr>
                <w:ilvl w:val="0"/>
                <w:numId w:val="44"/>
              </w:numPr>
              <w:spacing w:line="276" w:lineRule="auto"/>
              <w:ind w:left="360"/>
              <w:rPr>
                <w:rFonts w:asciiTheme="minorHAnsi" w:hAnsiTheme="minorHAnsi" w:cstheme="minorHAnsi"/>
                <w:sz w:val="18"/>
                <w:szCs w:val="18"/>
              </w:rPr>
            </w:pPr>
            <w:r w:rsidRPr="007C4D65">
              <w:rPr>
                <w:rFonts w:asciiTheme="minorHAnsi" w:hAnsiTheme="minorHAnsi"/>
                <w:sz w:val="18"/>
                <w:szCs w:val="18"/>
              </w:rPr>
              <w:t xml:space="preserve">“Overview of sector of water services in </w:t>
            </w:r>
            <w:proofErr w:type="gramStart"/>
            <w:r w:rsidRPr="007C4D65">
              <w:rPr>
                <w:rFonts w:asciiTheme="minorHAnsi" w:hAnsiTheme="minorHAnsi"/>
                <w:sz w:val="18"/>
                <w:szCs w:val="18"/>
              </w:rPr>
              <w:t>BiH“</w:t>
            </w:r>
            <w:proofErr w:type="gramEnd"/>
          </w:p>
          <w:p w14:paraId="25A40CAC" w14:textId="77777777" w:rsidR="000D19A9" w:rsidRPr="007C4D65" w:rsidRDefault="000D19A9" w:rsidP="000D19A9">
            <w:pPr>
              <w:pStyle w:val="ListParagraph"/>
              <w:numPr>
                <w:ilvl w:val="0"/>
                <w:numId w:val="44"/>
              </w:numPr>
              <w:spacing w:line="276" w:lineRule="auto"/>
              <w:ind w:left="360"/>
              <w:rPr>
                <w:rFonts w:asciiTheme="minorHAnsi" w:hAnsiTheme="minorHAnsi" w:cstheme="minorHAnsi"/>
                <w:sz w:val="18"/>
                <w:szCs w:val="18"/>
              </w:rPr>
            </w:pPr>
            <w:r w:rsidRPr="007C4D65">
              <w:rPr>
                <w:rFonts w:asciiTheme="minorHAnsi" w:hAnsiTheme="minorHAnsi"/>
                <w:sz w:val="18"/>
                <w:szCs w:val="18"/>
              </w:rPr>
              <w:t xml:space="preserve">  Regulation on the methodology for determining the lowest basic price of water services in the Federation of BiH</w:t>
            </w:r>
          </w:p>
          <w:p w14:paraId="2186F715" w14:textId="77777777"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Proposed programme for improving water services in the Federation of BiH by providing financial and technical support</w:t>
            </w:r>
          </w:p>
        </w:tc>
        <w:tc>
          <w:tcPr>
            <w:tcW w:w="1189" w:type="pct"/>
            <w:tcMar>
              <w:top w:w="0" w:type="dxa"/>
              <w:left w:w="108" w:type="dxa"/>
              <w:bottom w:w="0" w:type="dxa"/>
              <w:right w:w="108" w:type="dxa"/>
            </w:tcMar>
          </w:tcPr>
          <w:p w14:paraId="51C196E0" w14:textId="035C49C3"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Fully implemented technical and operational segments of water services sector reform in all LGUs</w:t>
            </w:r>
          </w:p>
          <w:p w14:paraId="0AC5FCB3" w14:textId="77777777" w:rsidR="000D19A9" w:rsidRPr="007C4D65" w:rsidRDefault="000D19A9" w:rsidP="00B6017F">
            <w:pPr>
              <w:spacing w:line="276" w:lineRule="auto"/>
              <w:rPr>
                <w:rFonts w:asciiTheme="minorHAnsi" w:hAnsiTheme="minorHAnsi" w:cstheme="minorHAnsi"/>
                <w:sz w:val="18"/>
                <w:szCs w:val="18"/>
                <w:lang w:val="hr-HR"/>
              </w:rPr>
            </w:pPr>
          </w:p>
        </w:tc>
      </w:tr>
      <w:tr w:rsidR="000D19A9" w:rsidRPr="007C4D65" w14:paraId="315D2DAE" w14:textId="77777777" w:rsidTr="00B6017F">
        <w:trPr>
          <w:trHeight w:val="287"/>
        </w:trPr>
        <w:tc>
          <w:tcPr>
            <w:tcW w:w="658" w:type="pct"/>
            <w:vMerge/>
            <w:shd w:val="clear" w:color="auto" w:fill="D9D9D9" w:themeFill="background1" w:themeFillShade="D9"/>
            <w:vAlign w:val="center"/>
          </w:tcPr>
          <w:p w14:paraId="7AF2CFA0"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0143665"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70" w:type="pct"/>
            <w:tcMar>
              <w:top w:w="0" w:type="dxa"/>
              <w:left w:w="108" w:type="dxa"/>
              <w:bottom w:w="0" w:type="dxa"/>
              <w:right w:w="108" w:type="dxa"/>
            </w:tcMar>
          </w:tcPr>
          <w:p w14:paraId="3277918A" w14:textId="3E1DC268"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Degree and phase of implementation of legislative and institutional segments of water services reform in all LGUs</w:t>
            </w:r>
          </w:p>
        </w:tc>
        <w:tc>
          <w:tcPr>
            <w:tcW w:w="1119" w:type="pct"/>
            <w:tcMar>
              <w:top w:w="0" w:type="dxa"/>
              <w:left w:w="108" w:type="dxa"/>
              <w:bottom w:w="0" w:type="dxa"/>
              <w:right w:w="108" w:type="dxa"/>
            </w:tcMar>
          </w:tcPr>
          <w:p w14:paraId="30173499"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Start of the planning phase for all LGUs   </w:t>
            </w:r>
          </w:p>
          <w:p w14:paraId="0549A6C8" w14:textId="77777777" w:rsidR="000D19A9" w:rsidRPr="007C4D65" w:rsidRDefault="000D19A9" w:rsidP="000D19A9">
            <w:pPr>
              <w:pStyle w:val="ListParagraph"/>
              <w:numPr>
                <w:ilvl w:val="0"/>
                <w:numId w:val="37"/>
              </w:numPr>
              <w:spacing w:line="276" w:lineRule="auto"/>
              <w:ind w:left="360"/>
              <w:rPr>
                <w:rFonts w:asciiTheme="minorHAnsi" w:hAnsiTheme="minorHAnsi" w:cstheme="minorHAnsi"/>
                <w:sz w:val="18"/>
                <w:szCs w:val="18"/>
              </w:rPr>
            </w:pPr>
            <w:r w:rsidRPr="007C4D65">
              <w:rPr>
                <w:rFonts w:asciiTheme="minorHAnsi" w:hAnsiTheme="minorHAnsi"/>
                <w:sz w:val="18"/>
                <w:szCs w:val="18"/>
              </w:rPr>
              <w:t>Completed:</w:t>
            </w:r>
          </w:p>
          <w:p w14:paraId="758FE7EC" w14:textId="16B7DBC3" w:rsidR="000D19A9" w:rsidRPr="007C4D65" w:rsidRDefault="000D19A9" w:rsidP="000D19A9">
            <w:pPr>
              <w:pStyle w:val="ListParagraph"/>
              <w:numPr>
                <w:ilvl w:val="0"/>
                <w:numId w:val="38"/>
              </w:numPr>
              <w:spacing w:line="276" w:lineRule="auto"/>
              <w:ind w:left="360"/>
              <w:rPr>
                <w:rFonts w:asciiTheme="minorHAnsi" w:hAnsiTheme="minorHAnsi" w:cstheme="minorHAnsi"/>
                <w:sz w:val="18"/>
                <w:szCs w:val="18"/>
              </w:rPr>
            </w:pPr>
            <w:r w:rsidRPr="007C4D65">
              <w:rPr>
                <w:rFonts w:asciiTheme="minorHAnsi" w:hAnsiTheme="minorHAnsi"/>
                <w:sz w:val="18"/>
                <w:szCs w:val="18"/>
              </w:rPr>
              <w:t xml:space="preserve">“Overview of sector of water services in </w:t>
            </w:r>
            <w:proofErr w:type="gramStart"/>
            <w:r w:rsidRPr="007C4D65">
              <w:rPr>
                <w:rFonts w:asciiTheme="minorHAnsi" w:hAnsiTheme="minorHAnsi"/>
                <w:sz w:val="18"/>
                <w:szCs w:val="18"/>
              </w:rPr>
              <w:t>BiH“</w:t>
            </w:r>
            <w:proofErr w:type="gramEnd"/>
          </w:p>
          <w:p w14:paraId="2CC13B73" w14:textId="77777777" w:rsidR="000D19A9" w:rsidRPr="007C4D65" w:rsidRDefault="000D19A9" w:rsidP="000D19A9">
            <w:pPr>
              <w:pStyle w:val="ListParagraph"/>
              <w:numPr>
                <w:ilvl w:val="0"/>
                <w:numId w:val="38"/>
              </w:numPr>
              <w:spacing w:line="276" w:lineRule="auto"/>
              <w:ind w:left="360"/>
              <w:rPr>
                <w:rFonts w:asciiTheme="minorHAnsi" w:hAnsiTheme="minorHAnsi" w:cstheme="minorHAnsi"/>
                <w:sz w:val="18"/>
                <w:szCs w:val="18"/>
              </w:rPr>
            </w:pPr>
            <w:r w:rsidRPr="007C4D65">
              <w:rPr>
                <w:rFonts w:asciiTheme="minorHAnsi" w:hAnsiTheme="minorHAnsi"/>
                <w:sz w:val="18"/>
                <w:szCs w:val="18"/>
              </w:rPr>
              <w:lastRenderedPageBreak/>
              <w:t>Regulation on the methodology for determining the lowest basic price of water services in the Federation of BiH</w:t>
            </w:r>
          </w:p>
          <w:p w14:paraId="0C128837" w14:textId="77777777"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Proposed programme for improving water services in the Federation of BiH by providing financial and technical support</w:t>
            </w:r>
          </w:p>
        </w:tc>
        <w:tc>
          <w:tcPr>
            <w:tcW w:w="1189" w:type="pct"/>
            <w:tcMar>
              <w:top w:w="0" w:type="dxa"/>
              <w:left w:w="108" w:type="dxa"/>
              <w:bottom w:w="0" w:type="dxa"/>
              <w:right w:w="108" w:type="dxa"/>
            </w:tcMar>
          </w:tcPr>
          <w:p w14:paraId="3E006CDD" w14:textId="73362C32"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lastRenderedPageBreak/>
              <w:t>Fully implemented legislative and institutional segments of water services reform in all LGUs</w:t>
            </w:r>
          </w:p>
        </w:tc>
      </w:tr>
      <w:tr w:rsidR="000D19A9" w:rsidRPr="007C4D65" w14:paraId="73F171F5" w14:textId="77777777" w:rsidTr="00B6017F">
        <w:trPr>
          <w:trHeight w:val="287"/>
        </w:trPr>
        <w:tc>
          <w:tcPr>
            <w:tcW w:w="658" w:type="pct"/>
            <w:vMerge/>
            <w:shd w:val="clear" w:color="auto" w:fill="D9D9D9" w:themeFill="background1" w:themeFillShade="D9"/>
            <w:vAlign w:val="center"/>
            <w:hideMark/>
          </w:tcPr>
          <w:p w14:paraId="5EAE4C6B"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FB68766"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70" w:type="pct"/>
            <w:shd w:val="clear" w:color="auto" w:fill="D9D9D9" w:themeFill="background1" w:themeFillShade="D9"/>
            <w:tcMar>
              <w:top w:w="0" w:type="dxa"/>
              <w:left w:w="108" w:type="dxa"/>
              <w:bottom w:w="0" w:type="dxa"/>
              <w:right w:w="108" w:type="dxa"/>
            </w:tcMar>
            <w:vAlign w:val="center"/>
          </w:tcPr>
          <w:p w14:paraId="78754EC9"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19" w:type="pct"/>
            <w:shd w:val="clear" w:color="auto" w:fill="D9D9D9" w:themeFill="background1" w:themeFillShade="D9"/>
            <w:tcMar>
              <w:top w:w="0" w:type="dxa"/>
              <w:left w:w="108" w:type="dxa"/>
              <w:bottom w:w="0" w:type="dxa"/>
              <w:right w:w="108" w:type="dxa"/>
            </w:tcMar>
            <w:vAlign w:val="center"/>
          </w:tcPr>
          <w:p w14:paraId="475C631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89" w:type="pct"/>
            <w:shd w:val="clear" w:color="auto" w:fill="D9D9D9" w:themeFill="background1" w:themeFillShade="D9"/>
            <w:tcMar>
              <w:top w:w="0" w:type="dxa"/>
              <w:left w:w="108" w:type="dxa"/>
              <w:bottom w:w="0" w:type="dxa"/>
              <w:right w:w="108" w:type="dxa"/>
            </w:tcMar>
            <w:vAlign w:val="center"/>
          </w:tcPr>
          <w:p w14:paraId="3E523CC0"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2055B26C" w14:textId="77777777" w:rsidTr="00B6017F">
        <w:trPr>
          <w:trHeight w:val="287"/>
        </w:trPr>
        <w:tc>
          <w:tcPr>
            <w:tcW w:w="658" w:type="pct"/>
            <w:vMerge/>
            <w:shd w:val="clear" w:color="auto" w:fill="D9D9D9" w:themeFill="background1" w:themeFillShade="D9"/>
            <w:vAlign w:val="center"/>
          </w:tcPr>
          <w:p w14:paraId="10ADA68A"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0DAAA36"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70" w:type="pct"/>
            <w:tcMar>
              <w:top w:w="0" w:type="dxa"/>
              <w:left w:w="108" w:type="dxa"/>
              <w:bottom w:w="0" w:type="dxa"/>
              <w:right w:w="108" w:type="dxa"/>
            </w:tcMar>
            <w:vAlign w:val="center"/>
          </w:tcPr>
          <w:p w14:paraId="0FC0CEA9"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16,6</w:t>
            </w:r>
          </w:p>
        </w:tc>
        <w:tc>
          <w:tcPr>
            <w:tcW w:w="1119" w:type="pct"/>
            <w:tcMar>
              <w:top w:w="0" w:type="dxa"/>
              <w:left w:w="108" w:type="dxa"/>
              <w:bottom w:w="0" w:type="dxa"/>
              <w:right w:w="108" w:type="dxa"/>
            </w:tcMar>
            <w:vAlign w:val="center"/>
          </w:tcPr>
          <w:p w14:paraId="72C4D261"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66,3</w:t>
            </w:r>
          </w:p>
        </w:tc>
        <w:tc>
          <w:tcPr>
            <w:tcW w:w="1189" w:type="pct"/>
            <w:tcMar>
              <w:top w:w="0" w:type="dxa"/>
              <w:left w:w="108" w:type="dxa"/>
              <w:bottom w:w="0" w:type="dxa"/>
              <w:right w:w="108" w:type="dxa"/>
            </w:tcMar>
            <w:vAlign w:val="center"/>
          </w:tcPr>
          <w:p w14:paraId="03C7BACB"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83</w:t>
            </w:r>
          </w:p>
        </w:tc>
      </w:tr>
    </w:tbl>
    <w:p w14:paraId="12AAA750" w14:textId="77777777" w:rsidR="000D19A9" w:rsidRPr="007C4D65" w:rsidRDefault="000D19A9" w:rsidP="000D19A9">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8"/>
        <w:gridCol w:w="3259"/>
        <w:gridCol w:w="3119"/>
        <w:gridCol w:w="3317"/>
      </w:tblGrid>
      <w:tr w:rsidR="000D19A9" w:rsidRPr="007C4D65" w14:paraId="61231CD9" w14:textId="77777777" w:rsidTr="00B6017F">
        <w:trPr>
          <w:trHeight w:val="483"/>
        </w:trPr>
        <w:tc>
          <w:tcPr>
            <w:tcW w:w="658" w:type="pct"/>
            <w:vMerge w:val="restart"/>
            <w:shd w:val="clear" w:color="auto" w:fill="D9D9D9" w:themeFill="background1" w:themeFillShade="D9"/>
            <w:tcMar>
              <w:top w:w="0" w:type="dxa"/>
              <w:left w:w="108" w:type="dxa"/>
              <w:bottom w:w="0" w:type="dxa"/>
              <w:right w:w="108" w:type="dxa"/>
            </w:tcMar>
            <w:vAlign w:val="center"/>
            <w:hideMark/>
          </w:tcPr>
          <w:p w14:paraId="37E165E1" w14:textId="77777777" w:rsidR="000D19A9" w:rsidRPr="007C4D65" w:rsidRDefault="000D19A9"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color w:val="000000" w:themeColor="text1"/>
                <w:sz w:val="18"/>
                <w:szCs w:val="18"/>
              </w:rPr>
              <w:t>1.3.1. Measure</w:t>
            </w:r>
          </w:p>
        </w:tc>
        <w:tc>
          <w:tcPr>
            <w:tcW w:w="864" w:type="pct"/>
            <w:vMerge w:val="restart"/>
            <w:tcMar>
              <w:top w:w="0" w:type="dxa"/>
              <w:left w:w="108" w:type="dxa"/>
              <w:bottom w:w="0" w:type="dxa"/>
              <w:right w:w="108" w:type="dxa"/>
            </w:tcMar>
            <w:vAlign w:val="center"/>
          </w:tcPr>
          <w:p w14:paraId="5D0E3CF5"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Development of the water supply systems that offer optimal solutions for LGUs, efficient distribution networks and safe drinking water</w:t>
            </w:r>
          </w:p>
        </w:tc>
        <w:tc>
          <w:tcPr>
            <w:tcW w:w="1169" w:type="pct"/>
            <w:shd w:val="clear" w:color="auto" w:fill="D9D9D9" w:themeFill="background1" w:themeFillShade="D9"/>
            <w:tcMar>
              <w:top w:w="0" w:type="dxa"/>
              <w:left w:w="108" w:type="dxa"/>
              <w:bottom w:w="0" w:type="dxa"/>
              <w:right w:w="108" w:type="dxa"/>
            </w:tcMar>
            <w:vAlign w:val="center"/>
            <w:hideMark/>
          </w:tcPr>
          <w:p w14:paraId="06456324"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19" w:type="pct"/>
            <w:shd w:val="clear" w:color="auto" w:fill="D9D9D9" w:themeFill="background1" w:themeFillShade="D9"/>
            <w:tcMar>
              <w:top w:w="0" w:type="dxa"/>
              <w:left w:w="108" w:type="dxa"/>
              <w:bottom w:w="0" w:type="dxa"/>
              <w:right w:w="108" w:type="dxa"/>
            </w:tcMar>
            <w:vAlign w:val="center"/>
            <w:hideMark/>
          </w:tcPr>
          <w:p w14:paraId="2EF9114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90" w:type="pct"/>
            <w:shd w:val="clear" w:color="auto" w:fill="D9D9D9" w:themeFill="background1" w:themeFillShade="D9"/>
            <w:vAlign w:val="center"/>
          </w:tcPr>
          <w:p w14:paraId="2418A949"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2A1B2B0E" w14:textId="77777777" w:rsidTr="00B6017F">
        <w:trPr>
          <w:trHeight w:val="287"/>
        </w:trPr>
        <w:tc>
          <w:tcPr>
            <w:tcW w:w="658" w:type="pct"/>
            <w:vMerge/>
            <w:shd w:val="clear" w:color="auto" w:fill="D9D9D9" w:themeFill="background1" w:themeFillShade="D9"/>
            <w:vAlign w:val="center"/>
          </w:tcPr>
          <w:p w14:paraId="1B16AE0A"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01F7D1D"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vAlign w:val="center"/>
          </w:tcPr>
          <w:p w14:paraId="630FA650"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a1) Number of public utility companies (PUCs) with developed plans for reduction and/or control of the unbilled water, in accordance with the Methodology for determining minimum basic price of water services in the Federation of BiH</w:t>
            </w:r>
          </w:p>
        </w:tc>
        <w:tc>
          <w:tcPr>
            <w:tcW w:w="1119" w:type="pct"/>
            <w:tcMar>
              <w:top w:w="0" w:type="dxa"/>
              <w:left w:w="108" w:type="dxa"/>
              <w:bottom w:w="0" w:type="dxa"/>
              <w:right w:w="108" w:type="dxa"/>
            </w:tcMar>
            <w:vAlign w:val="center"/>
          </w:tcPr>
          <w:p w14:paraId="6A6C30AA" w14:textId="004A71AE" w:rsidR="000D19A9" w:rsidRPr="007C4D65" w:rsidRDefault="000D19A9">
            <w:pPr>
              <w:numPr>
                <w:ilvl w:val="0"/>
                <w:numId w:val="89"/>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sz w:val="18"/>
                <w:szCs w:val="18"/>
              </w:rPr>
              <w:t>Information on the number of PUCs who develop and implement plans for reduction the rate of unbilled water that is:</w:t>
            </w:r>
          </w:p>
          <w:p w14:paraId="5393CF49" w14:textId="77777777" w:rsidR="000D19A9" w:rsidRPr="007C4D65" w:rsidRDefault="000D19A9">
            <w:pPr>
              <w:numPr>
                <w:ilvl w:val="0"/>
                <w:numId w:val="89"/>
              </w:numPr>
              <w:spacing w:before="40" w:after="40" w:line="276" w:lineRule="auto"/>
              <w:ind w:left="643"/>
              <w:contextualSpacing/>
              <w:rPr>
                <w:rFonts w:asciiTheme="minorHAnsi" w:eastAsia="Calibri" w:hAnsiTheme="minorHAnsi" w:cstheme="minorHAnsi"/>
                <w:sz w:val="18"/>
                <w:szCs w:val="18"/>
              </w:rPr>
            </w:pPr>
            <w:r w:rsidRPr="007C4D65">
              <w:rPr>
                <w:rFonts w:asciiTheme="minorHAnsi" w:hAnsiTheme="minorHAnsi"/>
                <w:sz w:val="18"/>
                <w:szCs w:val="18"/>
              </w:rPr>
              <w:t xml:space="preserve">in the </w:t>
            </w:r>
            <w:proofErr w:type="gramStart"/>
            <w:r w:rsidRPr="007C4D65">
              <w:rPr>
                <w:rFonts w:asciiTheme="minorHAnsi" w:hAnsiTheme="minorHAnsi"/>
                <w:sz w:val="18"/>
                <w:szCs w:val="18"/>
              </w:rPr>
              <w:t>Sava river</w:t>
            </w:r>
            <w:proofErr w:type="gramEnd"/>
            <w:r w:rsidRPr="007C4D65">
              <w:rPr>
                <w:rFonts w:asciiTheme="minorHAnsi" w:hAnsiTheme="minorHAnsi"/>
                <w:sz w:val="18"/>
                <w:szCs w:val="18"/>
              </w:rPr>
              <w:t xml:space="preserve"> basin: 16‒ 88%, average 65%, </w:t>
            </w:r>
          </w:p>
          <w:p w14:paraId="68840214" w14:textId="77777777" w:rsidR="000D19A9" w:rsidRPr="007C4D65" w:rsidRDefault="000D19A9">
            <w:pPr>
              <w:numPr>
                <w:ilvl w:val="0"/>
                <w:numId w:val="89"/>
              </w:numPr>
              <w:spacing w:before="40" w:after="40" w:line="276" w:lineRule="auto"/>
              <w:ind w:left="643"/>
              <w:contextualSpacing/>
              <w:rPr>
                <w:rFonts w:asciiTheme="minorHAnsi" w:eastAsia="Calibri" w:hAnsiTheme="minorHAnsi" w:cstheme="minorHAnsi"/>
                <w:sz w:val="18"/>
                <w:szCs w:val="18"/>
              </w:rPr>
            </w:pPr>
            <w:r w:rsidRPr="007C4D65">
              <w:rPr>
                <w:rFonts w:asciiTheme="minorHAnsi" w:hAnsiTheme="minorHAnsi"/>
                <w:sz w:val="18"/>
                <w:szCs w:val="18"/>
              </w:rPr>
              <w:t xml:space="preserve">in the </w:t>
            </w:r>
            <w:proofErr w:type="gramStart"/>
            <w:r w:rsidRPr="007C4D65">
              <w:rPr>
                <w:rFonts w:asciiTheme="minorHAnsi" w:hAnsiTheme="minorHAnsi"/>
                <w:sz w:val="18"/>
                <w:szCs w:val="18"/>
              </w:rPr>
              <w:t>Adriatic Sea river</w:t>
            </w:r>
            <w:proofErr w:type="gramEnd"/>
            <w:r w:rsidRPr="007C4D65">
              <w:rPr>
                <w:rFonts w:asciiTheme="minorHAnsi" w:hAnsiTheme="minorHAnsi"/>
                <w:sz w:val="18"/>
                <w:szCs w:val="18"/>
              </w:rPr>
              <w:t xml:space="preserve"> basin: 23‒ 72%, average 46.11%</w:t>
            </w:r>
          </w:p>
          <w:p w14:paraId="2B509BF3"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 public utility companies (PUCs) have not started developing Plans as part of their business plans, in accordance with the Methodology for setting the minimum basic price of water services in the Federation of BiH)</w:t>
            </w:r>
          </w:p>
        </w:tc>
        <w:tc>
          <w:tcPr>
            <w:tcW w:w="1190" w:type="pct"/>
            <w:vAlign w:val="center"/>
          </w:tcPr>
          <w:p w14:paraId="714CCB2B" w14:textId="36E2EB3C" w:rsidR="000D19A9" w:rsidRPr="007C4D65" w:rsidRDefault="000D19A9" w:rsidP="003A25F3">
            <w:pPr>
              <w:spacing w:before="40" w:after="40" w:line="276" w:lineRule="auto"/>
              <w:ind w:left="153"/>
              <w:rPr>
                <w:rFonts w:asciiTheme="minorHAnsi" w:hAnsiTheme="minorHAnsi" w:cstheme="minorHAnsi"/>
                <w:sz w:val="18"/>
                <w:szCs w:val="18"/>
                <w:lang w:val="hr-HR"/>
              </w:rPr>
            </w:pPr>
            <w:r w:rsidRPr="007C4D65">
              <w:rPr>
                <w:rFonts w:asciiTheme="minorHAnsi" w:hAnsiTheme="minorHAnsi"/>
                <w:sz w:val="18"/>
                <w:szCs w:val="18"/>
              </w:rPr>
              <w:t>All public utility companies, (PUCs) have developed plans for reduction and/or control of the unbilled water within their business plans, in accordance with the Regulation on the Methodology for setting the minimum basic price of water services in the Federation of BiH</w:t>
            </w:r>
          </w:p>
        </w:tc>
      </w:tr>
      <w:tr w:rsidR="000D19A9" w:rsidRPr="007C4D65" w14:paraId="33AC426D" w14:textId="77777777" w:rsidTr="00B6017F">
        <w:trPr>
          <w:trHeight w:val="287"/>
        </w:trPr>
        <w:tc>
          <w:tcPr>
            <w:tcW w:w="658" w:type="pct"/>
            <w:vMerge/>
            <w:shd w:val="clear" w:color="auto" w:fill="D9D9D9" w:themeFill="background1" w:themeFillShade="D9"/>
            <w:vAlign w:val="center"/>
          </w:tcPr>
          <w:p w14:paraId="6F4F8A6E"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97E8FB3"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shd w:val="clear" w:color="auto" w:fill="FFFFFF" w:themeFill="background1"/>
            <w:tcMar>
              <w:top w:w="0" w:type="dxa"/>
              <w:left w:w="108" w:type="dxa"/>
              <w:bottom w:w="0" w:type="dxa"/>
              <w:right w:w="108" w:type="dxa"/>
            </w:tcMar>
            <w:vAlign w:val="center"/>
          </w:tcPr>
          <w:p w14:paraId="675BBC0A"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a2) Level of performed infrastructural works and administrative activities for the purpose of reducing the rate of unbilled water in each PUC</w:t>
            </w:r>
          </w:p>
        </w:tc>
        <w:tc>
          <w:tcPr>
            <w:tcW w:w="1119" w:type="pct"/>
            <w:shd w:val="clear" w:color="auto" w:fill="FFFFFF" w:themeFill="background1"/>
            <w:tcMar>
              <w:top w:w="0" w:type="dxa"/>
              <w:left w:w="108" w:type="dxa"/>
              <w:bottom w:w="0" w:type="dxa"/>
              <w:right w:w="108" w:type="dxa"/>
            </w:tcMar>
            <w:vAlign w:val="center"/>
          </w:tcPr>
          <w:p w14:paraId="35D97F12" w14:textId="096B250B" w:rsidR="000D19A9" w:rsidRPr="007C4D65" w:rsidRDefault="000D19A9" w:rsidP="003A25F3">
            <w:pPr>
              <w:spacing w:before="40" w:after="40" w:line="276" w:lineRule="auto"/>
              <w:rPr>
                <w:rFonts w:asciiTheme="minorHAnsi" w:hAnsiTheme="minorHAnsi" w:cstheme="minorHAnsi"/>
                <w:sz w:val="18"/>
                <w:szCs w:val="18"/>
                <w:lang w:val="hr-HR"/>
              </w:rPr>
            </w:pPr>
            <w:r w:rsidRPr="007C4D65">
              <w:rPr>
                <w:rFonts w:asciiTheme="minorHAnsi" w:hAnsiTheme="minorHAnsi"/>
                <w:sz w:val="18"/>
                <w:szCs w:val="18"/>
              </w:rPr>
              <w:t>Data not available</w:t>
            </w:r>
          </w:p>
        </w:tc>
        <w:tc>
          <w:tcPr>
            <w:tcW w:w="1190" w:type="pct"/>
            <w:shd w:val="clear" w:color="auto" w:fill="FFFFFF" w:themeFill="background1"/>
            <w:vAlign w:val="center"/>
          </w:tcPr>
          <w:p w14:paraId="73EC972C" w14:textId="77777777" w:rsidR="000D19A9" w:rsidRPr="007C4D65" w:rsidRDefault="000D19A9" w:rsidP="00B6017F">
            <w:pPr>
              <w:spacing w:before="40" w:after="40" w:line="276" w:lineRule="auto"/>
              <w:ind w:left="153"/>
              <w:rPr>
                <w:rFonts w:asciiTheme="minorHAnsi" w:hAnsiTheme="minorHAnsi" w:cstheme="minorHAnsi"/>
                <w:sz w:val="18"/>
                <w:szCs w:val="18"/>
              </w:rPr>
            </w:pPr>
            <w:r w:rsidRPr="007C4D65">
              <w:rPr>
                <w:rFonts w:asciiTheme="minorHAnsi" w:hAnsiTheme="minorHAnsi"/>
                <w:sz w:val="18"/>
                <w:szCs w:val="18"/>
              </w:rPr>
              <w:t>In all PUCs in the Federation of BiH achieved the planned level of implementation of the Plans</w:t>
            </w:r>
          </w:p>
          <w:p w14:paraId="567077AE" w14:textId="77777777" w:rsidR="000D19A9" w:rsidRPr="007C4D65" w:rsidRDefault="000D19A9" w:rsidP="00B6017F">
            <w:pPr>
              <w:spacing w:before="40" w:after="40" w:line="276" w:lineRule="auto"/>
              <w:ind w:left="153"/>
              <w:rPr>
                <w:rFonts w:asciiTheme="minorHAnsi" w:hAnsiTheme="minorHAnsi" w:cstheme="minorHAnsi"/>
                <w:sz w:val="18"/>
                <w:szCs w:val="18"/>
              </w:rPr>
            </w:pPr>
            <w:r w:rsidRPr="007C4D65">
              <w:rPr>
                <w:rFonts w:asciiTheme="minorHAnsi" w:hAnsiTheme="minorHAnsi"/>
                <w:sz w:val="18"/>
                <w:szCs w:val="18"/>
              </w:rPr>
              <w:t>Completed rehabilitation, replacement and construction of new infrastructure, and improved management of unbilled water (2023 -2034)</w:t>
            </w:r>
          </w:p>
        </w:tc>
      </w:tr>
      <w:tr w:rsidR="000D19A9" w:rsidRPr="007C4D65" w14:paraId="02C3082A" w14:textId="77777777" w:rsidTr="00B6017F">
        <w:trPr>
          <w:trHeight w:val="287"/>
        </w:trPr>
        <w:tc>
          <w:tcPr>
            <w:tcW w:w="658" w:type="pct"/>
            <w:vMerge/>
            <w:shd w:val="clear" w:color="auto" w:fill="D9D9D9" w:themeFill="background1" w:themeFillShade="D9"/>
            <w:vAlign w:val="center"/>
          </w:tcPr>
          <w:p w14:paraId="727D1EDE"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5163198"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shd w:val="clear" w:color="auto" w:fill="FFFFFF" w:themeFill="background1"/>
            <w:tcMar>
              <w:top w:w="0" w:type="dxa"/>
              <w:left w:w="108" w:type="dxa"/>
              <w:bottom w:w="0" w:type="dxa"/>
              <w:right w:w="108" w:type="dxa"/>
            </w:tcMar>
            <w:vAlign w:val="center"/>
          </w:tcPr>
          <w:p w14:paraId="7F79734D" w14:textId="2A0240E2"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b) Number of LGUs who have developed Master Plans</w:t>
            </w:r>
          </w:p>
        </w:tc>
        <w:tc>
          <w:tcPr>
            <w:tcW w:w="1119" w:type="pct"/>
            <w:shd w:val="clear" w:color="auto" w:fill="FFFFFF" w:themeFill="background1"/>
            <w:tcMar>
              <w:top w:w="0" w:type="dxa"/>
              <w:left w:w="108" w:type="dxa"/>
              <w:bottom w:w="0" w:type="dxa"/>
              <w:right w:w="108" w:type="dxa"/>
            </w:tcMar>
            <w:vAlign w:val="center"/>
          </w:tcPr>
          <w:p w14:paraId="71493E11" w14:textId="337FDE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Data not available</w:t>
            </w:r>
          </w:p>
        </w:tc>
        <w:tc>
          <w:tcPr>
            <w:tcW w:w="1190" w:type="pct"/>
            <w:shd w:val="clear" w:color="auto" w:fill="FFFFFF" w:themeFill="background1"/>
            <w:vAlign w:val="center"/>
          </w:tcPr>
          <w:p w14:paraId="21DEFE00" w14:textId="77777777" w:rsidR="000D19A9" w:rsidRPr="007C4D65" w:rsidRDefault="000D19A9" w:rsidP="00B6017F">
            <w:pPr>
              <w:spacing w:line="276" w:lineRule="auto"/>
              <w:ind w:left="153"/>
              <w:rPr>
                <w:rFonts w:asciiTheme="minorHAnsi" w:hAnsiTheme="minorHAnsi" w:cstheme="minorHAnsi"/>
                <w:sz w:val="18"/>
                <w:szCs w:val="18"/>
              </w:rPr>
            </w:pPr>
            <w:r w:rsidRPr="007C4D65">
              <w:rPr>
                <w:rFonts w:asciiTheme="minorHAnsi" w:hAnsiTheme="minorHAnsi"/>
                <w:sz w:val="18"/>
                <w:szCs w:val="18"/>
              </w:rPr>
              <w:t>Every LGU has developed water supply Master Plan (2023 -2034)</w:t>
            </w:r>
          </w:p>
        </w:tc>
      </w:tr>
      <w:tr w:rsidR="000D19A9" w:rsidRPr="007C4D65" w14:paraId="6059D1AE" w14:textId="77777777" w:rsidTr="00B6017F">
        <w:trPr>
          <w:trHeight w:val="287"/>
        </w:trPr>
        <w:tc>
          <w:tcPr>
            <w:tcW w:w="658" w:type="pct"/>
            <w:vMerge/>
            <w:shd w:val="clear" w:color="auto" w:fill="D9D9D9" w:themeFill="background1" w:themeFillShade="D9"/>
            <w:vAlign w:val="center"/>
          </w:tcPr>
          <w:p w14:paraId="0F1CF5A6"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6508923C"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shd w:val="clear" w:color="auto" w:fill="FFFFFF" w:themeFill="background1"/>
            <w:tcMar>
              <w:top w:w="0" w:type="dxa"/>
              <w:left w:w="108" w:type="dxa"/>
              <w:bottom w:w="0" w:type="dxa"/>
              <w:right w:w="108" w:type="dxa"/>
            </w:tcMar>
            <w:vAlign w:val="center"/>
          </w:tcPr>
          <w:p w14:paraId="14DEE9BB"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b2) Level of construction of water supply systems with optimal solutions for LGUs</w:t>
            </w:r>
          </w:p>
        </w:tc>
        <w:tc>
          <w:tcPr>
            <w:tcW w:w="1119" w:type="pct"/>
            <w:shd w:val="clear" w:color="auto" w:fill="FFFFFF" w:themeFill="background1"/>
            <w:tcMar>
              <w:top w:w="0" w:type="dxa"/>
              <w:left w:w="108" w:type="dxa"/>
              <w:bottom w:w="0" w:type="dxa"/>
              <w:right w:w="108" w:type="dxa"/>
            </w:tcMar>
            <w:vAlign w:val="center"/>
          </w:tcPr>
          <w:p w14:paraId="46B96DEB"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Data not available </w:t>
            </w:r>
            <w:r w:rsidRPr="007C4D65">
              <w:rPr>
                <w:rFonts w:asciiTheme="minorHAnsi" w:hAnsiTheme="minorHAnsi"/>
                <w:b/>
                <w:color w:val="FF0000"/>
                <w:sz w:val="18"/>
                <w:szCs w:val="18"/>
              </w:rPr>
              <w:t xml:space="preserve"> </w:t>
            </w:r>
          </w:p>
        </w:tc>
        <w:tc>
          <w:tcPr>
            <w:tcW w:w="1190" w:type="pct"/>
            <w:shd w:val="clear" w:color="auto" w:fill="FFFFFF" w:themeFill="background1"/>
            <w:vAlign w:val="center"/>
          </w:tcPr>
          <w:p w14:paraId="52BAB90C" w14:textId="77777777" w:rsidR="000D19A9" w:rsidRPr="007C4D65" w:rsidRDefault="000D19A9" w:rsidP="00B6017F">
            <w:pPr>
              <w:spacing w:after="120" w:line="276" w:lineRule="auto"/>
              <w:ind w:left="153" w:hanging="2"/>
              <w:contextualSpacing/>
              <w:rPr>
                <w:rFonts w:asciiTheme="minorHAnsi" w:hAnsiTheme="minorHAnsi" w:cstheme="minorHAnsi"/>
                <w:sz w:val="18"/>
                <w:szCs w:val="18"/>
              </w:rPr>
            </w:pPr>
            <w:r w:rsidRPr="007C4D65">
              <w:rPr>
                <w:rFonts w:asciiTheme="minorHAnsi" w:hAnsiTheme="minorHAnsi"/>
                <w:sz w:val="18"/>
                <w:szCs w:val="18"/>
              </w:rPr>
              <w:t>Water supply companies merged (where justified) in the Federation of BiH, or central systems extended to include sub-urban or rural areas, in all LGUs where so foreseen in their respective master plans (2023 -2034)</w:t>
            </w:r>
          </w:p>
        </w:tc>
      </w:tr>
      <w:tr w:rsidR="000D19A9" w:rsidRPr="007C4D65" w14:paraId="137F2D18" w14:textId="77777777" w:rsidTr="00B6017F">
        <w:trPr>
          <w:trHeight w:val="483"/>
        </w:trPr>
        <w:tc>
          <w:tcPr>
            <w:tcW w:w="658" w:type="pct"/>
            <w:vMerge/>
            <w:shd w:val="clear" w:color="auto" w:fill="D9D9D9" w:themeFill="background1" w:themeFillShade="D9"/>
            <w:vAlign w:val="center"/>
            <w:hideMark/>
          </w:tcPr>
          <w:p w14:paraId="70CDF59F"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854C6CE"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shd w:val="clear" w:color="auto" w:fill="D9D9D9" w:themeFill="background1" w:themeFillShade="D9"/>
            <w:tcMar>
              <w:top w:w="0" w:type="dxa"/>
              <w:left w:w="108" w:type="dxa"/>
              <w:bottom w:w="0" w:type="dxa"/>
              <w:right w:w="108" w:type="dxa"/>
            </w:tcMar>
            <w:vAlign w:val="center"/>
            <w:hideMark/>
          </w:tcPr>
          <w:p w14:paraId="575B91FE"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19" w:type="pct"/>
            <w:shd w:val="clear" w:color="auto" w:fill="D9D9D9" w:themeFill="background1" w:themeFillShade="D9"/>
            <w:tcMar>
              <w:top w:w="0" w:type="dxa"/>
              <w:left w:w="108" w:type="dxa"/>
              <w:bottom w:w="0" w:type="dxa"/>
              <w:right w:w="108" w:type="dxa"/>
            </w:tcMar>
            <w:vAlign w:val="center"/>
            <w:hideMark/>
          </w:tcPr>
          <w:p w14:paraId="6EFCB036"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90" w:type="pct"/>
            <w:shd w:val="clear" w:color="auto" w:fill="D9D9D9" w:themeFill="background1" w:themeFillShade="D9"/>
            <w:tcMar>
              <w:top w:w="0" w:type="dxa"/>
              <w:left w:w="108" w:type="dxa"/>
              <w:bottom w:w="0" w:type="dxa"/>
              <w:right w:w="108" w:type="dxa"/>
            </w:tcMar>
            <w:vAlign w:val="center"/>
            <w:hideMark/>
          </w:tcPr>
          <w:p w14:paraId="6F00F9E1"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0B86FF13" w14:textId="77777777" w:rsidTr="00B6017F">
        <w:trPr>
          <w:trHeight w:val="287"/>
        </w:trPr>
        <w:tc>
          <w:tcPr>
            <w:tcW w:w="658" w:type="pct"/>
            <w:vMerge/>
            <w:shd w:val="clear" w:color="auto" w:fill="D9D9D9" w:themeFill="background1" w:themeFillShade="D9"/>
            <w:vAlign w:val="center"/>
            <w:hideMark/>
          </w:tcPr>
          <w:p w14:paraId="10F1AB0B"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23B76C0"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vAlign w:val="center"/>
          </w:tcPr>
          <w:p w14:paraId="5E476E9A"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16,5</w:t>
            </w:r>
          </w:p>
        </w:tc>
        <w:tc>
          <w:tcPr>
            <w:tcW w:w="1119" w:type="pct"/>
            <w:tcMar>
              <w:top w:w="0" w:type="dxa"/>
              <w:left w:w="108" w:type="dxa"/>
              <w:bottom w:w="0" w:type="dxa"/>
              <w:right w:w="108" w:type="dxa"/>
            </w:tcMar>
            <w:vAlign w:val="center"/>
          </w:tcPr>
          <w:p w14:paraId="756AF564"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66,3</w:t>
            </w:r>
          </w:p>
        </w:tc>
        <w:tc>
          <w:tcPr>
            <w:tcW w:w="1190" w:type="pct"/>
            <w:tcMar>
              <w:top w:w="0" w:type="dxa"/>
              <w:left w:w="108" w:type="dxa"/>
              <w:bottom w:w="0" w:type="dxa"/>
              <w:right w:w="108" w:type="dxa"/>
            </w:tcMar>
            <w:vAlign w:val="center"/>
          </w:tcPr>
          <w:p w14:paraId="2354E94D"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82,9</w:t>
            </w:r>
          </w:p>
        </w:tc>
      </w:tr>
      <w:tr w:rsidR="000D19A9" w:rsidRPr="007C4D65" w14:paraId="56B2507B" w14:textId="77777777" w:rsidTr="00B6017F">
        <w:trPr>
          <w:trHeight w:val="483"/>
        </w:trPr>
        <w:tc>
          <w:tcPr>
            <w:tcW w:w="658" w:type="pct"/>
            <w:vMerge w:val="restart"/>
            <w:shd w:val="clear" w:color="auto" w:fill="D9D9D9" w:themeFill="background1" w:themeFillShade="D9"/>
            <w:tcMar>
              <w:top w:w="0" w:type="dxa"/>
              <w:left w:w="108" w:type="dxa"/>
              <w:bottom w:w="0" w:type="dxa"/>
              <w:right w:w="108" w:type="dxa"/>
            </w:tcMar>
            <w:vAlign w:val="center"/>
            <w:hideMark/>
          </w:tcPr>
          <w:p w14:paraId="54F4360C" w14:textId="77777777" w:rsidR="000D19A9" w:rsidRPr="007C4D65" w:rsidRDefault="000D19A9"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color w:val="000000" w:themeColor="text1"/>
                <w:sz w:val="18"/>
                <w:szCs w:val="18"/>
              </w:rPr>
              <w:t>1.3.2. Measure</w:t>
            </w:r>
          </w:p>
        </w:tc>
        <w:tc>
          <w:tcPr>
            <w:tcW w:w="864" w:type="pct"/>
            <w:vMerge w:val="restart"/>
            <w:tcMar>
              <w:top w:w="0" w:type="dxa"/>
              <w:left w:w="108" w:type="dxa"/>
              <w:bottom w:w="0" w:type="dxa"/>
              <w:right w:w="108" w:type="dxa"/>
            </w:tcMar>
            <w:vAlign w:val="center"/>
          </w:tcPr>
          <w:p w14:paraId="37CA4267"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Improve the existing legislative framework in the sector of water services in the Federation of BiH</w:t>
            </w:r>
          </w:p>
        </w:tc>
        <w:tc>
          <w:tcPr>
            <w:tcW w:w="1169" w:type="pct"/>
            <w:shd w:val="clear" w:color="auto" w:fill="D9D9D9" w:themeFill="background1" w:themeFillShade="D9"/>
            <w:tcMar>
              <w:top w:w="0" w:type="dxa"/>
              <w:left w:w="108" w:type="dxa"/>
              <w:bottom w:w="0" w:type="dxa"/>
              <w:right w:w="108" w:type="dxa"/>
            </w:tcMar>
            <w:vAlign w:val="center"/>
            <w:hideMark/>
          </w:tcPr>
          <w:p w14:paraId="65622D4D"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19" w:type="pct"/>
            <w:shd w:val="clear" w:color="auto" w:fill="D9D9D9" w:themeFill="background1" w:themeFillShade="D9"/>
            <w:tcMar>
              <w:top w:w="0" w:type="dxa"/>
              <w:left w:w="108" w:type="dxa"/>
              <w:bottom w:w="0" w:type="dxa"/>
              <w:right w:w="108" w:type="dxa"/>
            </w:tcMar>
            <w:vAlign w:val="center"/>
            <w:hideMark/>
          </w:tcPr>
          <w:p w14:paraId="0270D28C"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90" w:type="pct"/>
            <w:shd w:val="clear" w:color="auto" w:fill="D9D9D9" w:themeFill="background1" w:themeFillShade="D9"/>
            <w:vAlign w:val="center"/>
          </w:tcPr>
          <w:p w14:paraId="3D49E3BB"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3A1611C3" w14:textId="77777777" w:rsidTr="00B6017F">
        <w:trPr>
          <w:trHeight w:val="287"/>
        </w:trPr>
        <w:tc>
          <w:tcPr>
            <w:tcW w:w="658" w:type="pct"/>
            <w:vMerge/>
            <w:shd w:val="clear" w:color="auto" w:fill="D9D9D9" w:themeFill="background1" w:themeFillShade="D9"/>
            <w:vAlign w:val="center"/>
          </w:tcPr>
          <w:p w14:paraId="11C65D79"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1FC95D2"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520C48DE" w14:textId="13E69EEE" w:rsidR="000D19A9" w:rsidRPr="007C4D65" w:rsidRDefault="000D19A9" w:rsidP="00B6017F">
            <w:pPr>
              <w:spacing w:before="40" w:after="40" w:line="276" w:lineRule="auto"/>
              <w:rPr>
                <w:rFonts w:asciiTheme="minorHAnsi" w:hAnsiTheme="minorHAnsi" w:cstheme="minorHAnsi"/>
                <w:sz w:val="18"/>
                <w:szCs w:val="18"/>
              </w:rPr>
            </w:pPr>
            <w:r w:rsidRPr="007C4D65">
              <w:rPr>
                <w:rFonts w:asciiTheme="minorHAnsi" w:hAnsiTheme="minorHAnsi"/>
                <w:sz w:val="18"/>
                <w:szCs w:val="18"/>
              </w:rPr>
              <w:t>Phase and level of implementation of the process of adoption* of amendments to the Law on Utilities for the purpose of identifying entities who may be entrusted with provision of water supply services in local systems</w:t>
            </w:r>
          </w:p>
          <w:p w14:paraId="3C54539A"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Drafting amendments to the Law / harmonizing text of amendments between the competent government bodies and institutions etc. - proposal of the Law submitted to the Government, Parliament of the Federation of BiH - adoption by the Parliament of the Federation of BiH</w:t>
            </w:r>
          </w:p>
        </w:tc>
        <w:tc>
          <w:tcPr>
            <w:tcW w:w="1119" w:type="pc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0A181B75" w14:textId="77777777" w:rsidR="000D19A9" w:rsidRPr="007C4D65" w:rsidRDefault="000D19A9" w:rsidP="00B6017F">
            <w:pPr>
              <w:spacing w:before="40" w:after="40" w:line="276" w:lineRule="auto"/>
              <w:contextualSpacing/>
              <w:rPr>
                <w:rFonts w:asciiTheme="minorHAnsi" w:hAnsiTheme="minorHAnsi" w:cstheme="minorHAnsi"/>
                <w:sz w:val="18"/>
                <w:szCs w:val="18"/>
              </w:rPr>
            </w:pPr>
            <w:r w:rsidRPr="007C4D65">
              <w:rPr>
                <w:rFonts w:asciiTheme="minorHAnsi" w:hAnsiTheme="minorHAnsi"/>
                <w:sz w:val="18"/>
                <w:szCs w:val="18"/>
              </w:rPr>
              <w:t>Drafting of the Law on Utilities has not stated</w:t>
            </w:r>
          </w:p>
          <w:p w14:paraId="59E2092E" w14:textId="17A9D65F" w:rsidR="000D19A9" w:rsidRPr="007C4D65" w:rsidRDefault="000D19A9">
            <w:pPr>
              <w:numPr>
                <w:ilvl w:val="0"/>
                <w:numId w:val="88"/>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sz w:val="18"/>
                <w:szCs w:val="18"/>
              </w:rPr>
              <w:t>In practice, local water supply systems are typically managed by associations of citizens, but there are also some informal groups of citizens who do that without being formally established</w:t>
            </w:r>
          </w:p>
          <w:p w14:paraId="4F8713F5" w14:textId="77777777" w:rsidR="000D19A9" w:rsidRPr="007C4D65" w:rsidRDefault="000D19A9">
            <w:pPr>
              <w:numPr>
                <w:ilvl w:val="0"/>
                <w:numId w:val="88"/>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sz w:val="18"/>
                <w:szCs w:val="18"/>
              </w:rPr>
              <w:t>Law on principles of local self-government of the Federation of BiH stipulates the competence of LGUs for providing water supply services on their territories</w:t>
            </w:r>
          </w:p>
          <w:p w14:paraId="0C158D93" w14:textId="116BDA45"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Cantonal laws are not harmonised regarding the matter of entities who may be entrusted with provision of utility services</w:t>
            </w:r>
          </w:p>
        </w:tc>
        <w:tc>
          <w:tcPr>
            <w:tcW w:w="1190" w:type="pct"/>
            <w:tcBorders>
              <w:top w:val="single" w:sz="4" w:space="0" w:color="A6A6A6"/>
              <w:left w:val="single" w:sz="4" w:space="0" w:color="A6A6A6"/>
              <w:bottom w:val="single" w:sz="4" w:space="0" w:color="A6A6A6"/>
              <w:right w:val="single" w:sz="4" w:space="0" w:color="A6A6A6"/>
            </w:tcBorders>
            <w:vAlign w:val="center"/>
          </w:tcPr>
          <w:p w14:paraId="31E505A3" w14:textId="77777777" w:rsidR="000D19A9" w:rsidRPr="007C4D65" w:rsidRDefault="000D19A9"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 xml:space="preserve">Adopted amended cantonal laws on utilities containing conditions that legal entities </w:t>
            </w:r>
            <w:proofErr w:type="gramStart"/>
            <w:r w:rsidRPr="007C4D65">
              <w:rPr>
                <w:rFonts w:asciiTheme="minorHAnsi" w:hAnsiTheme="minorHAnsi"/>
                <w:sz w:val="18"/>
                <w:szCs w:val="18"/>
              </w:rPr>
              <w:t>have to</w:t>
            </w:r>
            <w:proofErr w:type="gramEnd"/>
            <w:r w:rsidRPr="007C4D65">
              <w:rPr>
                <w:rFonts w:asciiTheme="minorHAnsi" w:hAnsiTheme="minorHAnsi"/>
                <w:sz w:val="18"/>
                <w:szCs w:val="18"/>
              </w:rPr>
              <w:t xml:space="preserve"> comply with in order to be entrusted with provision of water supply services (2024)</w:t>
            </w:r>
          </w:p>
        </w:tc>
      </w:tr>
      <w:tr w:rsidR="000D19A9" w:rsidRPr="007C4D65" w14:paraId="730A50DB" w14:textId="77777777" w:rsidTr="00B6017F">
        <w:trPr>
          <w:trHeight w:val="287"/>
        </w:trPr>
        <w:tc>
          <w:tcPr>
            <w:tcW w:w="658" w:type="pct"/>
            <w:vMerge/>
            <w:shd w:val="clear" w:color="auto" w:fill="D9D9D9" w:themeFill="background1" w:themeFillShade="D9"/>
            <w:vAlign w:val="center"/>
          </w:tcPr>
          <w:p w14:paraId="7BB42D9E"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A47070D"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7474E659" w14:textId="77777777" w:rsidR="003A25F3" w:rsidRPr="007C4D65" w:rsidRDefault="000D19A9" w:rsidP="003A25F3">
            <w:pPr>
              <w:spacing w:before="40" w:after="40" w:line="276" w:lineRule="auto"/>
              <w:rPr>
                <w:rFonts w:asciiTheme="minorHAnsi" w:hAnsiTheme="minorHAnsi"/>
                <w:sz w:val="18"/>
                <w:szCs w:val="18"/>
              </w:rPr>
            </w:pPr>
            <w:r w:rsidRPr="007C4D65">
              <w:rPr>
                <w:rFonts w:asciiTheme="minorHAnsi" w:hAnsiTheme="minorHAnsi"/>
                <w:sz w:val="18"/>
                <w:szCs w:val="18"/>
              </w:rPr>
              <w:t xml:space="preserve">Phase in the process of adopting the *Law on Water Services of the Federation of BiH that will ensure establishment of water services </w:t>
            </w:r>
            <w:r w:rsidRPr="007C4D65">
              <w:rPr>
                <w:rFonts w:asciiTheme="minorHAnsi" w:hAnsiTheme="minorHAnsi"/>
                <w:sz w:val="18"/>
                <w:szCs w:val="18"/>
              </w:rPr>
              <w:lastRenderedPageBreak/>
              <w:t>standards aligned with the EU requirements</w:t>
            </w:r>
          </w:p>
          <w:p w14:paraId="1C07C901" w14:textId="62626977" w:rsidR="000D19A9" w:rsidRPr="007C4D65" w:rsidRDefault="000D19A9" w:rsidP="003A25F3">
            <w:pPr>
              <w:spacing w:before="40" w:after="40" w:line="276" w:lineRule="auto"/>
              <w:rPr>
                <w:rFonts w:asciiTheme="minorHAnsi" w:hAnsiTheme="minorHAnsi" w:cstheme="minorHAnsi"/>
                <w:sz w:val="18"/>
                <w:szCs w:val="18"/>
              </w:rPr>
            </w:pPr>
            <w:r w:rsidRPr="007C4D65">
              <w:rPr>
                <w:rFonts w:asciiTheme="minorHAnsi" w:hAnsiTheme="minorHAnsi"/>
                <w:sz w:val="18"/>
                <w:szCs w:val="18"/>
              </w:rPr>
              <w:t>Drafting amendments to the Law / harmonizing text of amendments between the competent government bodies and institutions etc. - proposal of the Law submitted to the Government, Parliament of the Federation of BiH - adoption by the Parliament of the Federation of BiH</w:t>
            </w:r>
          </w:p>
        </w:tc>
        <w:tc>
          <w:tcPr>
            <w:tcW w:w="111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71B6F7B6" w14:textId="77777777" w:rsidR="000D19A9" w:rsidRPr="007C4D65" w:rsidRDefault="000D19A9" w:rsidP="00B6017F">
            <w:pPr>
              <w:spacing w:before="40" w:after="40" w:line="276" w:lineRule="auto"/>
              <w:rPr>
                <w:rFonts w:asciiTheme="minorHAnsi" w:hAnsiTheme="minorHAnsi" w:cstheme="minorHAnsi"/>
                <w:sz w:val="18"/>
                <w:szCs w:val="18"/>
              </w:rPr>
            </w:pPr>
            <w:r w:rsidRPr="007C4D65">
              <w:rPr>
                <w:rFonts w:asciiTheme="minorHAnsi" w:hAnsiTheme="minorHAnsi"/>
                <w:sz w:val="18"/>
                <w:szCs w:val="18"/>
              </w:rPr>
              <w:lastRenderedPageBreak/>
              <w:t>Drafting of the Law on Water Services of the Federation of BiH has not stated</w:t>
            </w:r>
          </w:p>
          <w:p w14:paraId="134A04D8" w14:textId="34AB467B"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The Law would integrate the current and expected legislation that regulates </w:t>
            </w:r>
            <w:r w:rsidRPr="007C4D65">
              <w:rPr>
                <w:rFonts w:asciiTheme="minorHAnsi" w:hAnsiTheme="minorHAnsi"/>
                <w:sz w:val="18"/>
                <w:szCs w:val="18"/>
              </w:rPr>
              <w:lastRenderedPageBreak/>
              <w:t>the area of provision of water services, as an integrated response to the existing need to reform this sector</w:t>
            </w:r>
          </w:p>
        </w:tc>
        <w:tc>
          <w:tcPr>
            <w:tcW w:w="1190"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9A89289" w14:textId="77777777" w:rsidR="000D19A9" w:rsidRPr="007C4D65" w:rsidRDefault="000D19A9" w:rsidP="00B6017F">
            <w:pPr>
              <w:spacing w:line="276" w:lineRule="auto"/>
              <w:ind w:left="153"/>
              <w:rPr>
                <w:rFonts w:asciiTheme="minorHAnsi" w:hAnsiTheme="minorHAnsi" w:cstheme="minorHAnsi"/>
                <w:sz w:val="18"/>
                <w:szCs w:val="18"/>
              </w:rPr>
            </w:pPr>
            <w:r w:rsidRPr="007C4D65">
              <w:rPr>
                <w:rFonts w:asciiTheme="minorHAnsi" w:hAnsiTheme="minorHAnsi"/>
                <w:sz w:val="18"/>
                <w:szCs w:val="18"/>
              </w:rPr>
              <w:lastRenderedPageBreak/>
              <w:t>Adopted Law on Water Services by the Government of the Federation of BiH (2027)</w:t>
            </w:r>
          </w:p>
        </w:tc>
      </w:tr>
      <w:tr w:rsidR="000D19A9" w:rsidRPr="007C4D65" w14:paraId="7D4F7AE8" w14:textId="77777777" w:rsidTr="00B6017F">
        <w:trPr>
          <w:trHeight w:val="483"/>
        </w:trPr>
        <w:tc>
          <w:tcPr>
            <w:tcW w:w="658" w:type="pct"/>
            <w:vMerge/>
            <w:shd w:val="clear" w:color="auto" w:fill="D9D9D9" w:themeFill="background1" w:themeFillShade="D9"/>
            <w:vAlign w:val="center"/>
            <w:hideMark/>
          </w:tcPr>
          <w:p w14:paraId="6DCCDF83"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67A78B77"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shd w:val="clear" w:color="auto" w:fill="D9D9D9" w:themeFill="background1" w:themeFillShade="D9"/>
            <w:tcMar>
              <w:top w:w="0" w:type="dxa"/>
              <w:left w:w="108" w:type="dxa"/>
              <w:bottom w:w="0" w:type="dxa"/>
              <w:right w:w="108" w:type="dxa"/>
            </w:tcMar>
            <w:vAlign w:val="center"/>
            <w:hideMark/>
          </w:tcPr>
          <w:p w14:paraId="219E3D35"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19" w:type="pct"/>
            <w:shd w:val="clear" w:color="auto" w:fill="D9D9D9" w:themeFill="background1" w:themeFillShade="D9"/>
            <w:tcMar>
              <w:top w:w="0" w:type="dxa"/>
              <w:left w:w="108" w:type="dxa"/>
              <w:bottom w:w="0" w:type="dxa"/>
              <w:right w:w="108" w:type="dxa"/>
            </w:tcMar>
            <w:vAlign w:val="center"/>
            <w:hideMark/>
          </w:tcPr>
          <w:p w14:paraId="4E9EE016"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90" w:type="pct"/>
            <w:shd w:val="clear" w:color="auto" w:fill="D9D9D9" w:themeFill="background1" w:themeFillShade="D9"/>
            <w:tcMar>
              <w:top w:w="0" w:type="dxa"/>
              <w:left w:w="108" w:type="dxa"/>
              <w:bottom w:w="0" w:type="dxa"/>
              <w:right w:w="108" w:type="dxa"/>
            </w:tcMar>
            <w:vAlign w:val="center"/>
            <w:hideMark/>
          </w:tcPr>
          <w:p w14:paraId="400790EC"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63580325" w14:textId="77777777" w:rsidTr="00B6017F">
        <w:trPr>
          <w:trHeight w:val="287"/>
        </w:trPr>
        <w:tc>
          <w:tcPr>
            <w:tcW w:w="658" w:type="pct"/>
            <w:vMerge/>
            <w:shd w:val="clear" w:color="auto" w:fill="D9D9D9" w:themeFill="background1" w:themeFillShade="D9"/>
            <w:vAlign w:val="center"/>
            <w:hideMark/>
          </w:tcPr>
          <w:p w14:paraId="6D2B19EE"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98E9ED9"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vAlign w:val="center"/>
          </w:tcPr>
          <w:p w14:paraId="5F70A726"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0,084</w:t>
            </w:r>
          </w:p>
        </w:tc>
        <w:tc>
          <w:tcPr>
            <w:tcW w:w="1119" w:type="pct"/>
            <w:tcMar>
              <w:top w:w="0" w:type="dxa"/>
              <w:left w:w="108" w:type="dxa"/>
              <w:bottom w:w="0" w:type="dxa"/>
              <w:right w:w="108" w:type="dxa"/>
            </w:tcMar>
            <w:vAlign w:val="center"/>
          </w:tcPr>
          <w:p w14:paraId="7FC93F1B"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90" w:type="pct"/>
            <w:tcMar>
              <w:top w:w="0" w:type="dxa"/>
              <w:left w:w="108" w:type="dxa"/>
              <w:bottom w:w="0" w:type="dxa"/>
              <w:right w:w="108" w:type="dxa"/>
            </w:tcMar>
            <w:vAlign w:val="center"/>
          </w:tcPr>
          <w:p w14:paraId="6686FAFF"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0,084</w:t>
            </w:r>
          </w:p>
        </w:tc>
      </w:tr>
    </w:tbl>
    <w:p w14:paraId="427D7B9B" w14:textId="77777777" w:rsidR="000D19A9" w:rsidRPr="007C4D65" w:rsidRDefault="000D19A9" w:rsidP="000D19A9">
      <w:pPr>
        <w:spacing w:after="120" w:line="276" w:lineRule="auto"/>
        <w:ind w:hanging="2"/>
        <w:contextualSpacing/>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8"/>
        <w:gridCol w:w="3256"/>
        <w:gridCol w:w="3119"/>
        <w:gridCol w:w="3320"/>
      </w:tblGrid>
      <w:tr w:rsidR="000D19A9" w:rsidRPr="007C4D65" w14:paraId="41F2D676" w14:textId="77777777" w:rsidTr="00B6017F">
        <w:trPr>
          <w:trHeight w:val="384"/>
        </w:trPr>
        <w:tc>
          <w:tcPr>
            <w:tcW w:w="658" w:type="pct"/>
            <w:vMerge w:val="restart"/>
            <w:shd w:val="clear" w:color="auto" w:fill="D9D9D9" w:themeFill="background1" w:themeFillShade="D9"/>
            <w:tcMar>
              <w:top w:w="0" w:type="dxa"/>
              <w:left w:w="108" w:type="dxa"/>
              <w:bottom w:w="0" w:type="dxa"/>
              <w:right w:w="108" w:type="dxa"/>
            </w:tcMar>
            <w:vAlign w:val="center"/>
          </w:tcPr>
          <w:p w14:paraId="62FBC8FD"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1.4. Priority</w:t>
            </w:r>
          </w:p>
          <w:p w14:paraId="705A9063"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restart"/>
            <w:tcMar>
              <w:top w:w="0" w:type="dxa"/>
              <w:left w:w="108" w:type="dxa"/>
              <w:bottom w:w="0" w:type="dxa"/>
              <w:right w:w="108" w:type="dxa"/>
            </w:tcMar>
            <w:vAlign w:val="center"/>
          </w:tcPr>
          <w:p w14:paraId="48276960" w14:textId="35D0CBCF" w:rsidR="000D19A9" w:rsidRPr="007C4D65" w:rsidRDefault="00854430" w:rsidP="003A25F3">
            <w:pPr>
              <w:spacing w:line="276" w:lineRule="auto"/>
              <w:rPr>
                <w:rFonts w:asciiTheme="minorHAnsi" w:hAnsiTheme="minorHAnsi" w:cstheme="minorHAnsi"/>
                <w:b/>
                <w:color w:val="000000"/>
                <w:sz w:val="18"/>
                <w:szCs w:val="18"/>
                <w:lang w:val="hr-HR"/>
              </w:rPr>
            </w:pPr>
            <w:r w:rsidRPr="007C4D65">
              <w:rPr>
                <w:rFonts w:asciiTheme="minorHAnsi" w:hAnsiTheme="minorHAnsi"/>
                <w:b/>
                <w:sz w:val="18"/>
                <w:szCs w:val="18"/>
              </w:rPr>
              <w:t>Reducing the risk of extreme hydrological events by establishing a sustainable flood risk management system and adaptation to climate changes</w:t>
            </w:r>
          </w:p>
        </w:tc>
        <w:tc>
          <w:tcPr>
            <w:tcW w:w="1168" w:type="pct"/>
            <w:shd w:val="clear" w:color="auto" w:fill="D9D9D9" w:themeFill="background1" w:themeFillShade="D9"/>
            <w:tcMar>
              <w:top w:w="0" w:type="dxa"/>
              <w:left w:w="108" w:type="dxa"/>
              <w:bottom w:w="0" w:type="dxa"/>
              <w:right w:w="108" w:type="dxa"/>
            </w:tcMar>
            <w:vAlign w:val="center"/>
          </w:tcPr>
          <w:p w14:paraId="2B0253C7" w14:textId="77777777" w:rsidR="000D19A9" w:rsidRPr="007C4D65" w:rsidRDefault="000D19A9"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19" w:type="pct"/>
            <w:shd w:val="clear" w:color="auto" w:fill="D9D9D9" w:themeFill="background1" w:themeFillShade="D9"/>
            <w:tcMar>
              <w:top w:w="0" w:type="dxa"/>
              <w:left w:w="108" w:type="dxa"/>
              <w:bottom w:w="0" w:type="dxa"/>
              <w:right w:w="108" w:type="dxa"/>
            </w:tcMar>
            <w:vAlign w:val="center"/>
          </w:tcPr>
          <w:p w14:paraId="1354D336"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91" w:type="pct"/>
            <w:shd w:val="clear" w:color="auto" w:fill="D9D9D9" w:themeFill="background1" w:themeFillShade="D9"/>
            <w:tcMar>
              <w:top w:w="0" w:type="dxa"/>
              <w:left w:w="108" w:type="dxa"/>
              <w:bottom w:w="0" w:type="dxa"/>
              <w:right w:w="108" w:type="dxa"/>
            </w:tcMar>
            <w:vAlign w:val="center"/>
          </w:tcPr>
          <w:p w14:paraId="383770E5"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45BCE259" w14:textId="77777777" w:rsidTr="00B6017F">
        <w:trPr>
          <w:trHeight w:val="287"/>
        </w:trPr>
        <w:tc>
          <w:tcPr>
            <w:tcW w:w="658" w:type="pct"/>
            <w:vMerge/>
            <w:shd w:val="clear" w:color="auto" w:fill="D9D9D9" w:themeFill="background1" w:themeFillShade="D9"/>
            <w:vAlign w:val="center"/>
            <w:hideMark/>
          </w:tcPr>
          <w:p w14:paraId="1C1A3B78"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356832D3" w14:textId="77777777" w:rsidR="000D19A9" w:rsidRPr="007C4D65" w:rsidRDefault="000D19A9" w:rsidP="00B6017F">
            <w:pPr>
              <w:spacing w:line="276" w:lineRule="auto"/>
              <w:rPr>
                <w:rFonts w:asciiTheme="minorHAnsi" w:hAnsiTheme="minorHAnsi" w:cstheme="minorHAnsi"/>
                <w:sz w:val="18"/>
                <w:szCs w:val="18"/>
                <w:lang w:val="hr-HR"/>
              </w:rPr>
            </w:pPr>
          </w:p>
        </w:tc>
        <w:tc>
          <w:tcPr>
            <w:tcW w:w="1168" w:type="pct"/>
            <w:tcMar>
              <w:top w:w="0" w:type="dxa"/>
              <w:left w:w="108" w:type="dxa"/>
              <w:bottom w:w="0" w:type="dxa"/>
              <w:right w:w="108" w:type="dxa"/>
            </w:tcMar>
          </w:tcPr>
          <w:p w14:paraId="7972A662" w14:textId="29BBA12B"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Achieving the objectives identified in the Flood Risk Management Plans of the Sava and Adriatic basins (I and II cycles) and reporting</w:t>
            </w:r>
          </w:p>
        </w:tc>
        <w:tc>
          <w:tcPr>
            <w:tcW w:w="1119" w:type="pct"/>
            <w:tcMar>
              <w:top w:w="0" w:type="dxa"/>
              <w:left w:w="108" w:type="dxa"/>
              <w:bottom w:w="0" w:type="dxa"/>
              <w:right w:w="108" w:type="dxa"/>
            </w:tcMar>
          </w:tcPr>
          <w:p w14:paraId="3E6606B9" w14:textId="5569DAB9"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Flood Risk Management Plans of the Sava and Adriatic basins (I and II Cycles) are in the process of development</w:t>
            </w:r>
          </w:p>
        </w:tc>
        <w:tc>
          <w:tcPr>
            <w:tcW w:w="1191" w:type="pct"/>
            <w:tcMar>
              <w:top w:w="0" w:type="dxa"/>
              <w:left w:w="108" w:type="dxa"/>
              <w:bottom w:w="0" w:type="dxa"/>
              <w:right w:w="108" w:type="dxa"/>
            </w:tcMar>
          </w:tcPr>
          <w:p w14:paraId="6B1CAA44" w14:textId="58F8CF63"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Achieved all objectives of the Flood Risk Management Plan stipulated in the first and second planning cycle (2024-2029) and (2030-2035)</w:t>
            </w:r>
          </w:p>
        </w:tc>
      </w:tr>
      <w:tr w:rsidR="000D19A9" w:rsidRPr="007C4D65" w14:paraId="3C32F448" w14:textId="77777777" w:rsidTr="00B6017F">
        <w:trPr>
          <w:trHeight w:val="287"/>
        </w:trPr>
        <w:tc>
          <w:tcPr>
            <w:tcW w:w="658" w:type="pct"/>
            <w:vMerge/>
            <w:shd w:val="clear" w:color="auto" w:fill="D9D9D9" w:themeFill="background1" w:themeFillShade="D9"/>
            <w:vAlign w:val="center"/>
          </w:tcPr>
          <w:p w14:paraId="7A443CAE"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6D8E2F0" w14:textId="77777777" w:rsidR="000D19A9" w:rsidRPr="007C4D65" w:rsidRDefault="000D19A9" w:rsidP="00B6017F">
            <w:pPr>
              <w:spacing w:line="276" w:lineRule="auto"/>
              <w:rPr>
                <w:rFonts w:asciiTheme="minorHAnsi" w:hAnsiTheme="minorHAnsi" w:cstheme="minorHAnsi"/>
                <w:sz w:val="18"/>
                <w:szCs w:val="18"/>
                <w:lang w:val="hr-HR"/>
              </w:rPr>
            </w:pPr>
          </w:p>
        </w:tc>
        <w:tc>
          <w:tcPr>
            <w:tcW w:w="1168" w:type="pct"/>
            <w:tcMar>
              <w:top w:w="0" w:type="dxa"/>
              <w:left w:w="108" w:type="dxa"/>
              <w:bottom w:w="0" w:type="dxa"/>
              <w:right w:w="108" w:type="dxa"/>
            </w:tcMar>
          </w:tcPr>
          <w:p w14:paraId="6986D140" w14:textId="44A39BBC"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Quality of analyses and reliability of assessments for the purpose of </w:t>
            </w:r>
            <w:r w:rsidR="009F16BA" w:rsidRPr="007C4D65">
              <w:rPr>
                <w:rFonts w:asciiTheme="minorHAnsi" w:hAnsiTheme="minorHAnsi"/>
                <w:sz w:val="18"/>
                <w:szCs w:val="18"/>
              </w:rPr>
              <w:t xml:space="preserve">decision-making </w:t>
            </w:r>
            <w:r w:rsidRPr="007C4D65">
              <w:rPr>
                <w:rFonts w:asciiTheme="minorHAnsi" w:hAnsiTheme="minorHAnsi"/>
                <w:sz w:val="18"/>
                <w:szCs w:val="18"/>
              </w:rPr>
              <w:t>in flood protection system</w:t>
            </w:r>
          </w:p>
        </w:tc>
        <w:tc>
          <w:tcPr>
            <w:tcW w:w="1119" w:type="pct"/>
            <w:tcMar>
              <w:top w:w="0" w:type="dxa"/>
              <w:left w:w="108" w:type="dxa"/>
              <w:bottom w:w="0" w:type="dxa"/>
              <w:right w:w="108" w:type="dxa"/>
            </w:tcMar>
          </w:tcPr>
          <w:p w14:paraId="741669B3" w14:textId="539A42DA" w:rsidR="000D19A9" w:rsidRPr="007C4D65" w:rsidRDefault="000D19A9" w:rsidP="00B6017F">
            <w:pPr>
              <w:pStyle w:val="ListParagraph"/>
              <w:spacing w:line="276" w:lineRule="auto"/>
              <w:ind w:left="0"/>
              <w:rPr>
                <w:rFonts w:asciiTheme="minorHAnsi" w:hAnsiTheme="minorHAnsi" w:cstheme="minorHAnsi"/>
                <w:sz w:val="18"/>
                <w:szCs w:val="18"/>
              </w:rPr>
            </w:pPr>
            <w:r w:rsidRPr="007C4D65">
              <w:rPr>
                <w:rFonts w:asciiTheme="minorHAnsi" w:hAnsiTheme="minorHAnsi"/>
                <w:sz w:val="18"/>
                <w:szCs w:val="18"/>
              </w:rPr>
              <w:t xml:space="preserve">Insufficient quality of analyses and reliability of assessments for the purpose of </w:t>
            </w:r>
            <w:r w:rsidR="009F16BA" w:rsidRPr="007C4D65">
              <w:rPr>
                <w:rFonts w:asciiTheme="minorHAnsi" w:hAnsiTheme="minorHAnsi"/>
                <w:sz w:val="18"/>
                <w:szCs w:val="18"/>
              </w:rPr>
              <w:t xml:space="preserve">decision-making  </w:t>
            </w:r>
            <w:r w:rsidRPr="007C4D65">
              <w:rPr>
                <w:rFonts w:asciiTheme="minorHAnsi" w:hAnsiTheme="minorHAnsi"/>
                <w:sz w:val="18"/>
                <w:szCs w:val="18"/>
              </w:rPr>
              <w:t xml:space="preserve"> in flood protection system</w:t>
            </w:r>
          </w:p>
          <w:p w14:paraId="1AE1F5FC" w14:textId="0AEE4D2A" w:rsidR="000D19A9" w:rsidRPr="007C4D65" w:rsidRDefault="000D19A9" w:rsidP="000D19A9">
            <w:pPr>
              <w:pStyle w:val="ListParagraph"/>
              <w:numPr>
                <w:ilvl w:val="0"/>
                <w:numId w:val="38"/>
              </w:numPr>
              <w:spacing w:line="276" w:lineRule="auto"/>
              <w:ind w:left="360"/>
              <w:rPr>
                <w:rFonts w:asciiTheme="minorHAnsi" w:hAnsiTheme="minorHAnsi" w:cstheme="minorHAnsi"/>
                <w:sz w:val="18"/>
                <w:szCs w:val="18"/>
              </w:rPr>
            </w:pPr>
            <w:r w:rsidRPr="007C4D65">
              <w:rPr>
                <w:rFonts w:asciiTheme="minorHAnsi" w:hAnsiTheme="minorHAnsi"/>
                <w:sz w:val="18"/>
                <w:szCs w:val="18"/>
              </w:rPr>
              <w:t xml:space="preserve">Insufficiently developed network of hydrological metering stations at all water sources covered by </w:t>
            </w:r>
            <w:r w:rsidR="00227D11" w:rsidRPr="007C4D65">
              <w:rPr>
                <w:rFonts w:asciiTheme="minorHAnsi" w:hAnsiTheme="minorHAnsi"/>
                <w:sz w:val="18"/>
                <w:szCs w:val="18"/>
              </w:rPr>
              <w:t xml:space="preserve">the Federation of BiH </w:t>
            </w:r>
            <w:r w:rsidRPr="007C4D65">
              <w:rPr>
                <w:rFonts w:asciiTheme="minorHAnsi" w:hAnsiTheme="minorHAnsi"/>
                <w:sz w:val="18"/>
                <w:szCs w:val="18"/>
              </w:rPr>
              <w:t>- AFAS, as well as the precipitation and meteorological metering stations in the Federation of BiH</w:t>
            </w:r>
          </w:p>
          <w:p w14:paraId="69A6850F" w14:textId="03DC4F09" w:rsidR="000D19A9" w:rsidRPr="007C4D65" w:rsidRDefault="000D19A9" w:rsidP="000D19A9">
            <w:pPr>
              <w:pStyle w:val="ListParagraph"/>
              <w:numPr>
                <w:ilvl w:val="0"/>
                <w:numId w:val="38"/>
              </w:numPr>
              <w:spacing w:line="276" w:lineRule="auto"/>
              <w:ind w:left="360"/>
              <w:rPr>
                <w:rFonts w:asciiTheme="minorHAnsi" w:hAnsiTheme="minorHAnsi" w:cstheme="minorHAnsi"/>
                <w:sz w:val="18"/>
                <w:szCs w:val="18"/>
              </w:rPr>
            </w:pPr>
            <w:r w:rsidRPr="007C4D65">
              <w:rPr>
                <w:rFonts w:asciiTheme="minorHAnsi" w:hAnsiTheme="minorHAnsi"/>
                <w:sz w:val="18"/>
                <w:szCs w:val="18"/>
              </w:rPr>
              <w:t>Insufficient functionality and operation of hydrological and hydraulic forecasting models</w:t>
            </w:r>
          </w:p>
        </w:tc>
        <w:tc>
          <w:tcPr>
            <w:tcW w:w="1191" w:type="pct"/>
            <w:tcMar>
              <w:top w:w="0" w:type="dxa"/>
              <w:left w:w="108" w:type="dxa"/>
              <w:bottom w:w="0" w:type="dxa"/>
              <w:right w:w="108" w:type="dxa"/>
            </w:tcMar>
          </w:tcPr>
          <w:p w14:paraId="344B795A" w14:textId="365BCF37" w:rsidR="000D19A9" w:rsidRPr="007C4D65" w:rsidRDefault="000D19A9" w:rsidP="000D19A9">
            <w:pPr>
              <w:pStyle w:val="ListParagraph"/>
              <w:numPr>
                <w:ilvl w:val="0"/>
                <w:numId w:val="38"/>
              </w:numPr>
              <w:spacing w:line="276" w:lineRule="auto"/>
              <w:ind w:left="360"/>
              <w:rPr>
                <w:rFonts w:asciiTheme="minorHAnsi" w:hAnsiTheme="minorHAnsi" w:cstheme="minorHAnsi"/>
                <w:sz w:val="18"/>
                <w:szCs w:val="18"/>
              </w:rPr>
            </w:pPr>
            <w:r w:rsidRPr="007C4D65">
              <w:rPr>
                <w:rFonts w:asciiTheme="minorHAnsi" w:hAnsiTheme="minorHAnsi"/>
                <w:sz w:val="18"/>
                <w:szCs w:val="18"/>
              </w:rPr>
              <w:t xml:space="preserve">Ensured quality analyses and reliable assessments for the purpose of </w:t>
            </w:r>
            <w:r w:rsidR="009F16BA" w:rsidRPr="007C4D65">
              <w:rPr>
                <w:rFonts w:asciiTheme="minorHAnsi" w:hAnsiTheme="minorHAnsi"/>
                <w:sz w:val="18"/>
                <w:szCs w:val="18"/>
              </w:rPr>
              <w:t xml:space="preserve">decision-making  </w:t>
            </w:r>
            <w:r w:rsidRPr="007C4D65">
              <w:rPr>
                <w:rFonts w:asciiTheme="minorHAnsi" w:hAnsiTheme="minorHAnsi"/>
                <w:sz w:val="18"/>
                <w:szCs w:val="18"/>
              </w:rPr>
              <w:t xml:space="preserve"> in flood protection system</w:t>
            </w:r>
          </w:p>
          <w:p w14:paraId="4E7B308F" w14:textId="77777777" w:rsidR="000D19A9" w:rsidRPr="007C4D65" w:rsidRDefault="000D19A9" w:rsidP="000D19A9">
            <w:pPr>
              <w:pStyle w:val="ListParagraph"/>
              <w:numPr>
                <w:ilvl w:val="0"/>
                <w:numId w:val="38"/>
              </w:numPr>
              <w:spacing w:line="276" w:lineRule="auto"/>
              <w:ind w:left="360"/>
              <w:rPr>
                <w:rFonts w:asciiTheme="minorHAnsi" w:hAnsiTheme="minorHAnsi" w:cstheme="minorHAnsi"/>
                <w:sz w:val="18"/>
                <w:szCs w:val="18"/>
              </w:rPr>
            </w:pPr>
            <w:r w:rsidRPr="007C4D65">
              <w:rPr>
                <w:rFonts w:asciiTheme="minorHAnsi" w:hAnsiTheme="minorHAnsi"/>
                <w:sz w:val="18"/>
                <w:szCs w:val="18"/>
              </w:rPr>
              <w:t>Adequate network of hydrological metering stations at all water courses covered with AFAs in the Federation of BiH</w:t>
            </w:r>
          </w:p>
          <w:p w14:paraId="6702C6FF" w14:textId="77777777" w:rsidR="000D19A9" w:rsidRPr="007C4D65" w:rsidRDefault="000D19A9" w:rsidP="000D19A9">
            <w:pPr>
              <w:pStyle w:val="ListParagraph"/>
              <w:numPr>
                <w:ilvl w:val="0"/>
                <w:numId w:val="38"/>
              </w:numPr>
              <w:spacing w:line="276" w:lineRule="auto"/>
              <w:ind w:left="360"/>
              <w:rPr>
                <w:rFonts w:asciiTheme="minorHAnsi" w:hAnsiTheme="minorHAnsi" w:cstheme="minorHAnsi"/>
                <w:sz w:val="18"/>
                <w:szCs w:val="18"/>
              </w:rPr>
            </w:pPr>
            <w:r w:rsidRPr="007C4D65">
              <w:rPr>
                <w:rFonts w:asciiTheme="minorHAnsi" w:hAnsiTheme="minorHAnsi"/>
                <w:sz w:val="18"/>
                <w:szCs w:val="18"/>
              </w:rPr>
              <w:t>Adequate network of precipitation and meteorological metering stations in the Federation of BiH</w:t>
            </w:r>
          </w:p>
          <w:p w14:paraId="709917CD" w14:textId="77777777" w:rsidR="000D19A9" w:rsidRPr="007C4D65" w:rsidRDefault="000D19A9" w:rsidP="000D19A9">
            <w:pPr>
              <w:pStyle w:val="ListParagraph"/>
              <w:numPr>
                <w:ilvl w:val="0"/>
                <w:numId w:val="38"/>
              </w:numPr>
              <w:spacing w:line="276" w:lineRule="auto"/>
              <w:ind w:left="360"/>
              <w:rPr>
                <w:rFonts w:asciiTheme="minorHAnsi" w:hAnsiTheme="minorHAnsi" w:cstheme="minorHAnsi"/>
                <w:sz w:val="18"/>
                <w:szCs w:val="18"/>
              </w:rPr>
            </w:pPr>
            <w:r w:rsidRPr="007C4D65">
              <w:rPr>
                <w:rFonts w:asciiTheme="minorHAnsi" w:hAnsiTheme="minorHAnsi"/>
                <w:sz w:val="18"/>
                <w:szCs w:val="18"/>
              </w:rPr>
              <w:t>Fully operational, functional and regularly maintained hydrological and hydraulic forecasting</w:t>
            </w:r>
          </w:p>
        </w:tc>
      </w:tr>
      <w:tr w:rsidR="000D19A9" w:rsidRPr="007C4D65" w14:paraId="4091BD97" w14:textId="77777777" w:rsidTr="00B6017F">
        <w:trPr>
          <w:trHeight w:val="287"/>
        </w:trPr>
        <w:tc>
          <w:tcPr>
            <w:tcW w:w="658" w:type="pct"/>
            <w:vMerge/>
            <w:shd w:val="clear" w:color="auto" w:fill="D9D9D9" w:themeFill="background1" w:themeFillShade="D9"/>
            <w:vAlign w:val="center"/>
          </w:tcPr>
          <w:p w14:paraId="09D23BB6"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61496884" w14:textId="77777777" w:rsidR="000D19A9" w:rsidRPr="007C4D65" w:rsidRDefault="000D19A9" w:rsidP="00B6017F">
            <w:pPr>
              <w:spacing w:line="276" w:lineRule="auto"/>
              <w:rPr>
                <w:rFonts w:asciiTheme="minorHAnsi" w:hAnsiTheme="minorHAnsi" w:cstheme="minorHAnsi"/>
                <w:sz w:val="18"/>
                <w:szCs w:val="18"/>
                <w:lang w:val="hr-HR"/>
              </w:rPr>
            </w:pPr>
          </w:p>
        </w:tc>
        <w:tc>
          <w:tcPr>
            <w:tcW w:w="1168" w:type="pct"/>
            <w:tcMar>
              <w:top w:w="0" w:type="dxa"/>
              <w:left w:w="108" w:type="dxa"/>
              <w:bottom w:w="0" w:type="dxa"/>
              <w:right w:w="108" w:type="dxa"/>
            </w:tcMar>
          </w:tcPr>
          <w:p w14:paraId="7DD17A53" w14:textId="5914B53C" w:rsidR="000D19A9" w:rsidRPr="007C4D65" w:rsidRDefault="000D19A9" w:rsidP="003A25F3">
            <w:pPr>
              <w:spacing w:line="276" w:lineRule="auto"/>
              <w:rPr>
                <w:rFonts w:asciiTheme="minorHAnsi" w:hAnsiTheme="minorHAnsi" w:cstheme="minorHAnsi"/>
                <w:sz w:val="18"/>
                <w:szCs w:val="18"/>
                <w:lang w:val="hr-HR"/>
              </w:rPr>
            </w:pPr>
            <w:r w:rsidRPr="007C4D65">
              <w:rPr>
                <w:rFonts w:asciiTheme="minorHAnsi" w:hAnsiTheme="minorHAnsi"/>
                <w:sz w:val="18"/>
                <w:szCs w:val="18"/>
              </w:rPr>
              <w:t>Level of planning and implementing the climate change adaptation measures for the purpose of achieving better prevention and management of flood risks</w:t>
            </w:r>
          </w:p>
        </w:tc>
        <w:tc>
          <w:tcPr>
            <w:tcW w:w="1119" w:type="pct"/>
            <w:tcMar>
              <w:top w:w="0" w:type="dxa"/>
              <w:left w:w="108" w:type="dxa"/>
              <w:bottom w:w="0" w:type="dxa"/>
              <w:right w:w="108" w:type="dxa"/>
            </w:tcMar>
          </w:tcPr>
          <w:p w14:paraId="2EB70380" w14:textId="0A79A2FB" w:rsidR="000D19A9" w:rsidRPr="007C4D65" w:rsidRDefault="000D19A9" w:rsidP="00B6017F">
            <w:pPr>
              <w:spacing w:line="276" w:lineRule="auto"/>
              <w:rPr>
                <w:rFonts w:asciiTheme="minorHAnsi" w:hAnsiTheme="minorHAnsi" w:cstheme="minorHAnsi"/>
                <w:sz w:val="18"/>
                <w:szCs w:val="18"/>
                <w:lang w:val="hr-HR"/>
              </w:rPr>
            </w:pPr>
            <w:r w:rsidRPr="007C4D65">
              <w:rPr>
                <w:rFonts w:asciiTheme="minorHAnsi" w:hAnsiTheme="minorHAnsi"/>
                <w:sz w:val="18"/>
                <w:szCs w:val="18"/>
              </w:rPr>
              <w:t>Sporadic planning and integration of measures of climate change adaptation into planning documents at all administrative levels in the Federation of BiH</w:t>
            </w:r>
          </w:p>
          <w:p w14:paraId="3E0E06B0" w14:textId="77777777" w:rsidR="000D19A9" w:rsidRPr="007C4D65" w:rsidRDefault="000D19A9">
            <w:pPr>
              <w:pStyle w:val="ListParagraph"/>
              <w:numPr>
                <w:ilvl w:val="0"/>
                <w:numId w:val="204"/>
              </w:numPr>
              <w:spacing w:line="276" w:lineRule="auto"/>
              <w:ind w:left="357" w:hanging="357"/>
              <w:rPr>
                <w:rFonts w:asciiTheme="minorHAnsi" w:hAnsiTheme="minorHAnsi" w:cstheme="minorHAnsi"/>
                <w:sz w:val="18"/>
                <w:szCs w:val="18"/>
              </w:rPr>
            </w:pPr>
            <w:r w:rsidRPr="007C4D65">
              <w:rPr>
                <w:rFonts w:asciiTheme="minorHAnsi" w:hAnsiTheme="minorHAnsi"/>
                <w:sz w:val="18"/>
                <w:szCs w:val="18"/>
              </w:rPr>
              <w:t>Developed draft Strategy of Climate Change Adaptation and Low Emission Development of BiH for the period 2020-2030</w:t>
            </w:r>
          </w:p>
          <w:p w14:paraId="3B2368D3" w14:textId="776E2509"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Developed draft Plan of climate change adaptation of BiH - NAP</w:t>
            </w:r>
          </w:p>
        </w:tc>
        <w:tc>
          <w:tcPr>
            <w:tcW w:w="1191" w:type="pct"/>
            <w:tcMar>
              <w:top w:w="0" w:type="dxa"/>
              <w:left w:w="108" w:type="dxa"/>
              <w:bottom w:w="0" w:type="dxa"/>
              <w:right w:w="108" w:type="dxa"/>
            </w:tcMar>
          </w:tcPr>
          <w:p w14:paraId="58794D27" w14:textId="77777777"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Implementation of climate change adaptation measures in accordance with plans of all administrative levels in the Federation of BiH for the purpose of better prevention and management of flood risks.</w:t>
            </w:r>
          </w:p>
        </w:tc>
      </w:tr>
      <w:tr w:rsidR="000D19A9" w:rsidRPr="007C4D65" w14:paraId="012281E6" w14:textId="77777777" w:rsidTr="00B6017F">
        <w:trPr>
          <w:trHeight w:val="287"/>
        </w:trPr>
        <w:tc>
          <w:tcPr>
            <w:tcW w:w="658" w:type="pct"/>
            <w:vMerge/>
            <w:shd w:val="clear" w:color="auto" w:fill="009D73"/>
            <w:vAlign w:val="center"/>
            <w:hideMark/>
          </w:tcPr>
          <w:p w14:paraId="32231D54"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0828E055" w14:textId="77777777" w:rsidR="000D19A9" w:rsidRPr="007C4D65" w:rsidRDefault="000D19A9" w:rsidP="00B6017F">
            <w:pPr>
              <w:spacing w:line="276" w:lineRule="auto"/>
              <w:rPr>
                <w:rFonts w:asciiTheme="minorHAnsi" w:hAnsiTheme="minorHAnsi" w:cstheme="minorHAnsi"/>
                <w:sz w:val="18"/>
                <w:szCs w:val="18"/>
                <w:lang w:val="hr-HR"/>
              </w:rPr>
            </w:pPr>
          </w:p>
        </w:tc>
        <w:tc>
          <w:tcPr>
            <w:tcW w:w="1168" w:type="pct"/>
            <w:shd w:val="clear" w:color="auto" w:fill="D9D9D9" w:themeFill="background1" w:themeFillShade="D9"/>
            <w:tcMar>
              <w:top w:w="0" w:type="dxa"/>
              <w:left w:w="108" w:type="dxa"/>
              <w:bottom w:w="0" w:type="dxa"/>
              <w:right w:w="108" w:type="dxa"/>
            </w:tcMar>
            <w:vAlign w:val="center"/>
          </w:tcPr>
          <w:p w14:paraId="2332D4ED"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19" w:type="pct"/>
            <w:shd w:val="clear" w:color="auto" w:fill="D9D9D9" w:themeFill="background1" w:themeFillShade="D9"/>
            <w:tcMar>
              <w:top w:w="0" w:type="dxa"/>
              <w:left w:w="108" w:type="dxa"/>
              <w:bottom w:w="0" w:type="dxa"/>
              <w:right w:w="108" w:type="dxa"/>
            </w:tcMar>
            <w:vAlign w:val="center"/>
          </w:tcPr>
          <w:p w14:paraId="701F5CD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91" w:type="pct"/>
            <w:shd w:val="clear" w:color="auto" w:fill="D9D9D9" w:themeFill="background1" w:themeFillShade="D9"/>
            <w:tcMar>
              <w:top w:w="0" w:type="dxa"/>
              <w:left w:w="108" w:type="dxa"/>
              <w:bottom w:w="0" w:type="dxa"/>
              <w:right w:w="108" w:type="dxa"/>
            </w:tcMar>
            <w:vAlign w:val="center"/>
          </w:tcPr>
          <w:p w14:paraId="7E398EA6"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09001C63" w14:textId="77777777" w:rsidTr="00B6017F">
        <w:trPr>
          <w:trHeight w:val="287"/>
        </w:trPr>
        <w:tc>
          <w:tcPr>
            <w:tcW w:w="658" w:type="pct"/>
            <w:vMerge/>
            <w:shd w:val="clear" w:color="auto" w:fill="D9D9D9" w:themeFill="background1" w:themeFillShade="D9"/>
            <w:vAlign w:val="center"/>
          </w:tcPr>
          <w:p w14:paraId="23DE1751"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A315233"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8" w:type="pct"/>
            <w:tcMar>
              <w:top w:w="0" w:type="dxa"/>
              <w:left w:w="108" w:type="dxa"/>
              <w:bottom w:w="0" w:type="dxa"/>
              <w:right w:w="108" w:type="dxa"/>
            </w:tcMar>
            <w:vAlign w:val="center"/>
          </w:tcPr>
          <w:p w14:paraId="712B3059"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5,1</w:t>
            </w:r>
          </w:p>
        </w:tc>
        <w:tc>
          <w:tcPr>
            <w:tcW w:w="1119" w:type="pct"/>
            <w:tcMar>
              <w:top w:w="0" w:type="dxa"/>
              <w:left w:w="108" w:type="dxa"/>
              <w:bottom w:w="0" w:type="dxa"/>
              <w:right w:w="108" w:type="dxa"/>
            </w:tcMar>
            <w:vAlign w:val="center"/>
          </w:tcPr>
          <w:p w14:paraId="20EAC945"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12,06</w:t>
            </w:r>
          </w:p>
        </w:tc>
        <w:tc>
          <w:tcPr>
            <w:tcW w:w="1191" w:type="pct"/>
            <w:tcMar>
              <w:top w:w="0" w:type="dxa"/>
              <w:left w:w="108" w:type="dxa"/>
              <w:bottom w:w="0" w:type="dxa"/>
              <w:right w:w="108" w:type="dxa"/>
            </w:tcMar>
            <w:vAlign w:val="center"/>
          </w:tcPr>
          <w:p w14:paraId="6A3832C2"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17,2</w:t>
            </w:r>
          </w:p>
        </w:tc>
      </w:tr>
    </w:tbl>
    <w:p w14:paraId="644DC89F" w14:textId="77777777" w:rsidR="000D19A9" w:rsidRPr="007C4D65" w:rsidRDefault="000D19A9" w:rsidP="000D19A9">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8"/>
        <w:gridCol w:w="3259"/>
        <w:gridCol w:w="3119"/>
        <w:gridCol w:w="3317"/>
      </w:tblGrid>
      <w:tr w:rsidR="000D19A9" w:rsidRPr="007C4D65" w14:paraId="7F4AB7D1"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1716609E"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1.4.1. Measure</w:t>
            </w:r>
          </w:p>
        </w:tc>
        <w:tc>
          <w:tcPr>
            <w:tcW w:w="864" w:type="pct"/>
            <w:vMerge w:val="restart"/>
            <w:tcMar>
              <w:top w:w="0" w:type="dxa"/>
              <w:left w:w="108" w:type="dxa"/>
              <w:bottom w:w="0" w:type="dxa"/>
              <w:right w:w="108" w:type="dxa"/>
            </w:tcMar>
            <w:vAlign w:val="center"/>
          </w:tcPr>
          <w:p w14:paraId="5085539B"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Develop and implement flood risk management plans in river basins in the Federation of BiH</w:t>
            </w:r>
          </w:p>
        </w:tc>
        <w:tc>
          <w:tcPr>
            <w:tcW w:w="1169" w:type="pct"/>
            <w:shd w:val="clear" w:color="auto" w:fill="D9D9D9" w:themeFill="background1" w:themeFillShade="D9"/>
            <w:tcMar>
              <w:top w:w="0" w:type="dxa"/>
              <w:left w:w="108" w:type="dxa"/>
              <w:bottom w:w="0" w:type="dxa"/>
              <w:right w:w="108" w:type="dxa"/>
            </w:tcMar>
            <w:vAlign w:val="center"/>
            <w:hideMark/>
          </w:tcPr>
          <w:p w14:paraId="25E542B8"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19" w:type="pct"/>
            <w:shd w:val="clear" w:color="auto" w:fill="D9D9D9" w:themeFill="background1" w:themeFillShade="D9"/>
            <w:tcMar>
              <w:top w:w="0" w:type="dxa"/>
              <w:left w:w="108" w:type="dxa"/>
              <w:bottom w:w="0" w:type="dxa"/>
              <w:right w:w="108" w:type="dxa"/>
            </w:tcMar>
            <w:vAlign w:val="center"/>
            <w:hideMark/>
          </w:tcPr>
          <w:p w14:paraId="673D456A"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90" w:type="pct"/>
            <w:shd w:val="clear" w:color="auto" w:fill="D9D9D9" w:themeFill="background1" w:themeFillShade="D9"/>
            <w:vAlign w:val="center"/>
          </w:tcPr>
          <w:p w14:paraId="349CD2AB"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47D0D3AF" w14:textId="77777777" w:rsidTr="00B6017F">
        <w:trPr>
          <w:trHeight w:val="287"/>
        </w:trPr>
        <w:tc>
          <w:tcPr>
            <w:tcW w:w="658" w:type="pct"/>
            <w:vMerge/>
            <w:shd w:val="clear" w:color="auto" w:fill="D9D9D9"/>
            <w:vAlign w:val="center"/>
          </w:tcPr>
          <w:p w14:paraId="707ADAFD"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43004BC"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vAlign w:val="center"/>
          </w:tcPr>
          <w:p w14:paraId="31327EA2"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a1) Phase in the process of adoption of amendments to </w:t>
            </w:r>
            <w:proofErr w:type="spellStart"/>
            <w:r w:rsidRPr="007C4D65">
              <w:rPr>
                <w:rFonts w:asciiTheme="minorHAnsi" w:hAnsiTheme="minorHAnsi"/>
                <w:sz w:val="18"/>
                <w:szCs w:val="18"/>
              </w:rPr>
              <w:t>LoW</w:t>
            </w:r>
            <w:proofErr w:type="spellEnd"/>
            <w:r w:rsidRPr="007C4D65">
              <w:rPr>
                <w:rFonts w:asciiTheme="minorHAnsi" w:hAnsiTheme="minorHAnsi"/>
                <w:sz w:val="18"/>
                <w:szCs w:val="18"/>
              </w:rPr>
              <w:t xml:space="preserve"> and </w:t>
            </w:r>
            <w:proofErr w:type="spellStart"/>
            <w:r w:rsidRPr="007C4D65">
              <w:rPr>
                <w:rFonts w:asciiTheme="minorHAnsi" w:hAnsiTheme="minorHAnsi"/>
                <w:sz w:val="18"/>
                <w:szCs w:val="18"/>
              </w:rPr>
              <w:t>CLoWs</w:t>
            </w:r>
            <w:proofErr w:type="spellEnd"/>
            <w:r w:rsidRPr="007C4D65">
              <w:rPr>
                <w:rFonts w:asciiTheme="minorHAnsi" w:hAnsiTheme="minorHAnsi"/>
                <w:sz w:val="18"/>
                <w:szCs w:val="18"/>
              </w:rPr>
              <w:t xml:space="preserve"> regarding the criteria for defining the restrictions that may impact spatial planning, use of land and construction in the areas at risk of floods</w:t>
            </w:r>
          </w:p>
        </w:tc>
        <w:tc>
          <w:tcPr>
            <w:tcW w:w="1119" w:type="pct"/>
            <w:shd w:val="clear" w:color="auto" w:fill="auto"/>
            <w:tcMar>
              <w:top w:w="0" w:type="dxa"/>
              <w:left w:w="108" w:type="dxa"/>
              <w:bottom w:w="0" w:type="dxa"/>
              <w:right w:w="108" w:type="dxa"/>
            </w:tcMar>
            <w:vAlign w:val="center"/>
          </w:tcPr>
          <w:p w14:paraId="7930DAA0" w14:textId="7B5B3274" w:rsidR="000D19A9" w:rsidRPr="007C4D65" w:rsidRDefault="000D19A9" w:rsidP="00B6017F">
            <w:pPr>
              <w:spacing w:line="276" w:lineRule="auto"/>
              <w:jc w:val="both"/>
              <w:rPr>
                <w:rFonts w:asciiTheme="minorHAnsi" w:hAnsiTheme="minorHAnsi" w:cstheme="minorHAnsi"/>
                <w:sz w:val="18"/>
                <w:szCs w:val="18"/>
              </w:rPr>
            </w:pPr>
            <w:r w:rsidRPr="007C4D65">
              <w:rPr>
                <w:rFonts w:asciiTheme="minorHAnsi" w:hAnsiTheme="minorHAnsi"/>
                <w:sz w:val="18"/>
                <w:szCs w:val="18"/>
              </w:rPr>
              <w:t xml:space="preserve">Law on Waters prohibits construction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100-year waters</w:t>
            </w:r>
          </w:p>
        </w:tc>
        <w:tc>
          <w:tcPr>
            <w:tcW w:w="1190" w:type="pct"/>
            <w:vAlign w:val="center"/>
          </w:tcPr>
          <w:p w14:paraId="62401ACB" w14:textId="77777777" w:rsidR="000D19A9" w:rsidRPr="007C4D65" w:rsidRDefault="000D19A9" w:rsidP="00B6017F">
            <w:pPr>
              <w:spacing w:before="40" w:after="40" w:line="276" w:lineRule="auto"/>
              <w:jc w:val="both"/>
              <w:rPr>
                <w:rFonts w:asciiTheme="minorHAnsi" w:hAnsiTheme="minorHAnsi" w:cstheme="minorHAnsi"/>
                <w:sz w:val="18"/>
                <w:szCs w:val="18"/>
              </w:rPr>
            </w:pPr>
            <w:r w:rsidRPr="007C4D65">
              <w:rPr>
                <w:rFonts w:asciiTheme="minorHAnsi" w:hAnsiTheme="minorHAnsi"/>
                <w:sz w:val="18"/>
                <w:szCs w:val="18"/>
              </w:rPr>
              <w:t xml:space="preserve">Developed and adopted amendments to the </w:t>
            </w:r>
            <w:proofErr w:type="spellStart"/>
            <w:r w:rsidRPr="007C4D65">
              <w:rPr>
                <w:rFonts w:asciiTheme="minorHAnsi" w:hAnsiTheme="minorHAnsi"/>
                <w:sz w:val="18"/>
                <w:szCs w:val="18"/>
              </w:rPr>
              <w:t>LoW</w:t>
            </w:r>
            <w:proofErr w:type="spellEnd"/>
            <w:r w:rsidRPr="007C4D65">
              <w:rPr>
                <w:rFonts w:asciiTheme="minorHAnsi" w:hAnsiTheme="minorHAnsi"/>
                <w:sz w:val="18"/>
                <w:szCs w:val="18"/>
              </w:rPr>
              <w:t xml:space="preserve"> and </w:t>
            </w:r>
            <w:proofErr w:type="spellStart"/>
            <w:r w:rsidRPr="007C4D65">
              <w:rPr>
                <w:rFonts w:asciiTheme="minorHAnsi" w:hAnsiTheme="minorHAnsi"/>
                <w:sz w:val="18"/>
                <w:szCs w:val="18"/>
              </w:rPr>
              <w:t>CLoW</w:t>
            </w:r>
            <w:proofErr w:type="spellEnd"/>
          </w:p>
          <w:p w14:paraId="55726DF1" w14:textId="77777777" w:rsidR="003A25F3" w:rsidRPr="007C4D65" w:rsidRDefault="000D19A9" w:rsidP="003A25F3">
            <w:pPr>
              <w:numPr>
                <w:ilvl w:val="0"/>
                <w:numId w:val="188"/>
              </w:numPr>
              <w:spacing w:line="276" w:lineRule="auto"/>
              <w:ind w:left="357" w:hanging="357"/>
              <w:jc w:val="both"/>
              <w:rPr>
                <w:rFonts w:asciiTheme="minorHAnsi" w:hAnsiTheme="minorHAnsi" w:cstheme="minorHAnsi"/>
                <w:sz w:val="18"/>
                <w:szCs w:val="18"/>
              </w:rPr>
            </w:pPr>
            <w:r w:rsidRPr="007C4D65">
              <w:rPr>
                <w:rFonts w:asciiTheme="minorHAnsi" w:hAnsiTheme="minorHAnsi"/>
                <w:sz w:val="18"/>
                <w:szCs w:val="18"/>
              </w:rPr>
              <w:t xml:space="preserve">Exclude from the Law provisions "prohibiting" construction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100-year waters</w:t>
            </w:r>
          </w:p>
          <w:p w14:paraId="45437448" w14:textId="25980E89" w:rsidR="000D19A9" w:rsidRPr="007C4D65" w:rsidRDefault="000D19A9" w:rsidP="003A25F3">
            <w:pPr>
              <w:numPr>
                <w:ilvl w:val="0"/>
                <w:numId w:val="188"/>
              </w:numPr>
              <w:spacing w:line="276" w:lineRule="auto"/>
              <w:ind w:left="357" w:hanging="357"/>
              <w:jc w:val="both"/>
              <w:rPr>
                <w:rFonts w:asciiTheme="minorHAnsi" w:hAnsiTheme="minorHAnsi" w:cstheme="minorHAnsi"/>
                <w:sz w:val="18"/>
                <w:szCs w:val="18"/>
              </w:rPr>
            </w:pPr>
            <w:r w:rsidRPr="007C4D65">
              <w:rPr>
                <w:rFonts w:asciiTheme="minorHAnsi" w:hAnsiTheme="minorHAnsi"/>
                <w:sz w:val="18"/>
                <w:szCs w:val="18"/>
              </w:rPr>
              <w:t>Define in the laws the provisions regarding criteria for defining the restrictions that may impact spatial planning, use of land and construction in the areas at risk of floods (2024)</w:t>
            </w:r>
          </w:p>
        </w:tc>
      </w:tr>
      <w:tr w:rsidR="000D19A9" w:rsidRPr="007C4D65" w14:paraId="6DD5D83E" w14:textId="77777777" w:rsidTr="00B6017F">
        <w:trPr>
          <w:trHeight w:val="287"/>
        </w:trPr>
        <w:tc>
          <w:tcPr>
            <w:tcW w:w="658" w:type="pct"/>
            <w:vMerge/>
            <w:shd w:val="clear" w:color="auto" w:fill="D9D9D9"/>
            <w:vAlign w:val="center"/>
          </w:tcPr>
          <w:p w14:paraId="3155BF23"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1925E08"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vAlign w:val="center"/>
          </w:tcPr>
          <w:p w14:paraId="272E3B37" w14:textId="73C6A2A1"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a2) Reporting status</w:t>
            </w:r>
          </w:p>
        </w:tc>
        <w:tc>
          <w:tcPr>
            <w:tcW w:w="1119" w:type="pct"/>
            <w:tcMar>
              <w:top w:w="0" w:type="dxa"/>
              <w:left w:w="108" w:type="dxa"/>
              <w:bottom w:w="0" w:type="dxa"/>
              <w:right w:w="108" w:type="dxa"/>
            </w:tcMar>
            <w:vAlign w:val="center"/>
          </w:tcPr>
          <w:p w14:paraId="33A26C72" w14:textId="50414E12"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Reporting has not started </w:t>
            </w:r>
            <w:r w:rsidR="00830279" w:rsidRPr="007C4D65">
              <w:rPr>
                <w:rFonts w:asciiTheme="minorHAnsi" w:hAnsiTheme="minorHAnsi"/>
                <w:sz w:val="18"/>
                <w:szCs w:val="18"/>
              </w:rPr>
              <w:t>yet;</w:t>
            </w:r>
            <w:r w:rsidRPr="007C4D65">
              <w:rPr>
                <w:rFonts w:asciiTheme="minorHAnsi" w:hAnsiTheme="minorHAnsi"/>
                <w:sz w:val="18"/>
                <w:szCs w:val="18"/>
              </w:rPr>
              <w:t xml:space="preserve"> plans are being developed</w:t>
            </w:r>
          </w:p>
        </w:tc>
        <w:tc>
          <w:tcPr>
            <w:tcW w:w="1190" w:type="pct"/>
            <w:vAlign w:val="center"/>
          </w:tcPr>
          <w:p w14:paraId="7927257B" w14:textId="77777777" w:rsidR="000D19A9" w:rsidRPr="007C4D65" w:rsidRDefault="000D19A9" w:rsidP="00B6017F">
            <w:pPr>
              <w:spacing w:after="120" w:line="276" w:lineRule="auto"/>
              <w:ind w:left="153"/>
              <w:contextualSpacing/>
              <w:rPr>
                <w:rFonts w:asciiTheme="minorHAnsi" w:hAnsiTheme="minorHAnsi" w:cstheme="minorHAnsi"/>
                <w:sz w:val="18"/>
                <w:szCs w:val="18"/>
              </w:rPr>
            </w:pPr>
            <w:r w:rsidRPr="007C4D65">
              <w:rPr>
                <w:rFonts w:asciiTheme="minorHAnsi" w:hAnsiTheme="minorHAnsi"/>
                <w:sz w:val="18"/>
                <w:szCs w:val="18"/>
              </w:rPr>
              <w:t>Developed and published on web pages of the Agencies the biannual reports on the level of implementation of measures from the flood risk management plans (2024 -2034)</w:t>
            </w:r>
          </w:p>
        </w:tc>
      </w:tr>
      <w:tr w:rsidR="000D19A9" w:rsidRPr="007C4D65" w14:paraId="6D37CF06" w14:textId="77777777" w:rsidTr="00B6017F">
        <w:trPr>
          <w:trHeight w:val="287"/>
        </w:trPr>
        <w:tc>
          <w:tcPr>
            <w:tcW w:w="658" w:type="pct"/>
            <w:vMerge/>
            <w:shd w:val="clear" w:color="auto" w:fill="D9D9D9"/>
            <w:vAlign w:val="center"/>
          </w:tcPr>
          <w:p w14:paraId="3FD5A66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25D9C35"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shd w:val="clear" w:color="auto" w:fill="auto"/>
            <w:tcMar>
              <w:top w:w="0" w:type="dxa"/>
              <w:left w:w="108" w:type="dxa"/>
              <w:bottom w:w="0" w:type="dxa"/>
              <w:right w:w="108" w:type="dxa"/>
            </w:tcMar>
            <w:vAlign w:val="center"/>
          </w:tcPr>
          <w:p w14:paraId="5C3E481D" w14:textId="60A91B73" w:rsidR="000D19A9" w:rsidRPr="007C4D65" w:rsidRDefault="000D19A9" w:rsidP="00B6017F">
            <w:pPr>
              <w:spacing w:before="40" w:after="40" w:line="276" w:lineRule="auto"/>
              <w:rPr>
                <w:rFonts w:asciiTheme="minorHAnsi" w:eastAsia="Calibri" w:hAnsiTheme="minorHAnsi" w:cstheme="minorHAnsi"/>
                <w:sz w:val="18"/>
                <w:szCs w:val="18"/>
              </w:rPr>
            </w:pPr>
            <w:r w:rsidRPr="007C4D65">
              <w:rPr>
                <w:rFonts w:asciiTheme="minorHAnsi" w:hAnsiTheme="minorHAnsi"/>
                <w:sz w:val="18"/>
                <w:szCs w:val="18"/>
              </w:rPr>
              <w:t xml:space="preserve">a3) Status of publication on the </w:t>
            </w:r>
            <w:proofErr w:type="gramStart"/>
            <w:r w:rsidRPr="007C4D65">
              <w:rPr>
                <w:rFonts w:asciiTheme="minorHAnsi" w:hAnsiTheme="minorHAnsi"/>
                <w:sz w:val="18"/>
                <w:szCs w:val="18"/>
              </w:rPr>
              <w:t>web-pages</w:t>
            </w:r>
            <w:proofErr w:type="gramEnd"/>
            <w:r w:rsidRPr="007C4D65">
              <w:rPr>
                <w:rFonts w:asciiTheme="minorHAnsi" w:hAnsiTheme="minorHAnsi"/>
                <w:sz w:val="18"/>
                <w:szCs w:val="18"/>
              </w:rPr>
              <w:t xml:space="preserve"> of SRBA and ASWA in the form of zone maps (GIS)</w:t>
            </w:r>
          </w:p>
          <w:p w14:paraId="5C61567B" w14:textId="77777777" w:rsidR="000D19A9" w:rsidRPr="007C4D65" w:rsidRDefault="000D19A9">
            <w:pPr>
              <w:pStyle w:val="ListParagraph"/>
              <w:numPr>
                <w:ilvl w:val="0"/>
                <w:numId w:val="205"/>
              </w:numPr>
              <w:spacing w:before="40" w:after="40" w:line="276" w:lineRule="auto"/>
              <w:ind w:left="357" w:hanging="357"/>
              <w:rPr>
                <w:rFonts w:asciiTheme="minorHAnsi" w:hAnsiTheme="minorHAnsi" w:cstheme="minorHAnsi"/>
                <w:sz w:val="18"/>
                <w:szCs w:val="18"/>
              </w:rPr>
            </w:pPr>
            <w:r w:rsidRPr="007C4D65">
              <w:rPr>
                <w:rFonts w:asciiTheme="minorHAnsi" w:hAnsiTheme="minorHAnsi"/>
                <w:sz w:val="18"/>
                <w:szCs w:val="18"/>
              </w:rPr>
              <w:lastRenderedPageBreak/>
              <w:t>of areas at risk of flooding 1/100</w:t>
            </w:r>
          </w:p>
          <w:p w14:paraId="1D3F8447"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results of the project "Flood Risk Management Plan" for the Federation of BiH</w:t>
            </w:r>
          </w:p>
        </w:tc>
        <w:tc>
          <w:tcPr>
            <w:tcW w:w="1119" w:type="pct"/>
            <w:shd w:val="clear" w:color="auto" w:fill="auto"/>
            <w:tcMar>
              <w:top w:w="0" w:type="dxa"/>
              <w:left w:w="108" w:type="dxa"/>
              <w:bottom w:w="0" w:type="dxa"/>
              <w:right w:w="108" w:type="dxa"/>
            </w:tcMar>
            <w:vAlign w:val="center"/>
          </w:tcPr>
          <w:p w14:paraId="28C2583C" w14:textId="461A07FA"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lastRenderedPageBreak/>
              <w:t>Published maps (GIS) of areas at risk of flooding 1/100</w:t>
            </w:r>
          </w:p>
        </w:tc>
        <w:tc>
          <w:tcPr>
            <w:tcW w:w="1190" w:type="pct"/>
            <w:shd w:val="clear" w:color="auto" w:fill="auto"/>
            <w:vAlign w:val="center"/>
          </w:tcPr>
          <w:p w14:paraId="42BFB15D" w14:textId="77777777" w:rsidR="000D19A9" w:rsidRPr="007C4D65" w:rsidRDefault="000D19A9" w:rsidP="00B6017F">
            <w:pPr>
              <w:spacing w:before="40" w:after="40" w:line="276" w:lineRule="auto"/>
              <w:rPr>
                <w:rFonts w:asciiTheme="minorHAnsi" w:eastAsia="Calibri" w:hAnsiTheme="minorHAnsi" w:cstheme="minorHAnsi"/>
                <w:sz w:val="18"/>
                <w:szCs w:val="18"/>
              </w:rPr>
            </w:pPr>
            <w:r w:rsidRPr="007C4D65">
              <w:rPr>
                <w:rFonts w:asciiTheme="minorHAnsi" w:hAnsiTheme="minorHAnsi"/>
                <w:sz w:val="18"/>
                <w:szCs w:val="18"/>
              </w:rPr>
              <w:t xml:space="preserve">Developed and published on </w:t>
            </w:r>
            <w:proofErr w:type="gramStart"/>
            <w:r w:rsidRPr="007C4D65">
              <w:rPr>
                <w:rFonts w:asciiTheme="minorHAnsi" w:hAnsiTheme="minorHAnsi"/>
                <w:sz w:val="18"/>
                <w:szCs w:val="18"/>
              </w:rPr>
              <w:t>web-pages</w:t>
            </w:r>
            <w:proofErr w:type="gramEnd"/>
            <w:r w:rsidRPr="007C4D65">
              <w:rPr>
                <w:rFonts w:asciiTheme="minorHAnsi" w:hAnsiTheme="minorHAnsi"/>
                <w:sz w:val="18"/>
                <w:szCs w:val="18"/>
              </w:rPr>
              <w:t xml:space="preserve"> of the water agencies (SRBA and ASWA)</w:t>
            </w:r>
          </w:p>
          <w:p w14:paraId="4F042622" w14:textId="6EDF1474" w:rsidR="000D19A9" w:rsidRPr="007C4D65" w:rsidRDefault="000D19A9">
            <w:pPr>
              <w:pStyle w:val="ListParagraph"/>
              <w:numPr>
                <w:ilvl w:val="0"/>
                <w:numId w:val="201"/>
              </w:numPr>
              <w:spacing w:line="276" w:lineRule="auto"/>
              <w:ind w:left="357" w:hanging="357"/>
              <w:rPr>
                <w:rFonts w:asciiTheme="minorHAnsi" w:eastAsia="Calibri" w:hAnsiTheme="minorHAnsi" w:cstheme="minorHAnsi"/>
                <w:sz w:val="18"/>
                <w:szCs w:val="18"/>
              </w:rPr>
            </w:pPr>
            <w:r w:rsidRPr="007C4D65">
              <w:rPr>
                <w:rFonts w:asciiTheme="minorHAnsi" w:hAnsiTheme="minorHAnsi"/>
                <w:sz w:val="18"/>
                <w:szCs w:val="18"/>
              </w:rPr>
              <w:lastRenderedPageBreak/>
              <w:t>maps of areas at risk of floods 1/100 and results of the flood risk management plans in the form of zone mapping (GIS</w:t>
            </w:r>
            <w:proofErr w:type="gramStart"/>
            <w:r w:rsidRPr="007C4D65">
              <w:rPr>
                <w:rFonts w:asciiTheme="minorHAnsi" w:hAnsiTheme="minorHAnsi"/>
                <w:sz w:val="18"/>
                <w:szCs w:val="18"/>
              </w:rPr>
              <w:t>)(</w:t>
            </w:r>
            <w:proofErr w:type="gramEnd"/>
            <w:r w:rsidRPr="007C4D65">
              <w:rPr>
                <w:rFonts w:asciiTheme="minorHAnsi" w:hAnsiTheme="minorHAnsi"/>
                <w:sz w:val="18"/>
                <w:szCs w:val="18"/>
              </w:rPr>
              <w:t>2024 -2034)</w:t>
            </w:r>
          </w:p>
        </w:tc>
      </w:tr>
      <w:tr w:rsidR="000D19A9" w:rsidRPr="007C4D65" w14:paraId="39EE3B9D" w14:textId="77777777" w:rsidTr="00B6017F">
        <w:trPr>
          <w:trHeight w:val="483"/>
        </w:trPr>
        <w:tc>
          <w:tcPr>
            <w:tcW w:w="658" w:type="pct"/>
            <w:vMerge/>
            <w:shd w:val="clear" w:color="auto" w:fill="D9D9D9"/>
            <w:vAlign w:val="center"/>
            <w:hideMark/>
          </w:tcPr>
          <w:p w14:paraId="110E0FDF"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638386B2"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shd w:val="clear" w:color="auto" w:fill="D9D9D9" w:themeFill="background1" w:themeFillShade="D9"/>
            <w:tcMar>
              <w:top w:w="0" w:type="dxa"/>
              <w:left w:w="108" w:type="dxa"/>
              <w:bottom w:w="0" w:type="dxa"/>
              <w:right w:w="108" w:type="dxa"/>
            </w:tcMar>
            <w:vAlign w:val="center"/>
            <w:hideMark/>
          </w:tcPr>
          <w:p w14:paraId="47D34CB4"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19" w:type="pct"/>
            <w:shd w:val="clear" w:color="auto" w:fill="D9D9D9" w:themeFill="background1" w:themeFillShade="D9"/>
            <w:tcMar>
              <w:top w:w="0" w:type="dxa"/>
              <w:left w:w="108" w:type="dxa"/>
              <w:bottom w:w="0" w:type="dxa"/>
              <w:right w:w="108" w:type="dxa"/>
            </w:tcMar>
            <w:vAlign w:val="center"/>
            <w:hideMark/>
          </w:tcPr>
          <w:p w14:paraId="103280C4"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90" w:type="pct"/>
            <w:shd w:val="clear" w:color="auto" w:fill="D9D9D9" w:themeFill="background1" w:themeFillShade="D9"/>
            <w:tcMar>
              <w:top w:w="0" w:type="dxa"/>
              <w:left w:w="108" w:type="dxa"/>
              <w:bottom w:w="0" w:type="dxa"/>
              <w:right w:w="108" w:type="dxa"/>
            </w:tcMar>
            <w:vAlign w:val="center"/>
            <w:hideMark/>
          </w:tcPr>
          <w:p w14:paraId="7C829DD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096FD022" w14:textId="77777777" w:rsidTr="00B6017F">
        <w:trPr>
          <w:trHeight w:val="287"/>
        </w:trPr>
        <w:tc>
          <w:tcPr>
            <w:tcW w:w="658" w:type="pct"/>
            <w:vMerge/>
            <w:shd w:val="clear" w:color="auto" w:fill="D9D9D9"/>
            <w:vAlign w:val="center"/>
            <w:hideMark/>
          </w:tcPr>
          <w:p w14:paraId="0371CF4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40299715"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vAlign w:val="center"/>
          </w:tcPr>
          <w:p w14:paraId="1695D4A0"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0,464</w:t>
            </w:r>
          </w:p>
        </w:tc>
        <w:tc>
          <w:tcPr>
            <w:tcW w:w="1119" w:type="pct"/>
            <w:tcMar>
              <w:top w:w="0" w:type="dxa"/>
              <w:left w:w="108" w:type="dxa"/>
              <w:bottom w:w="0" w:type="dxa"/>
              <w:right w:w="108" w:type="dxa"/>
            </w:tcMar>
            <w:vAlign w:val="center"/>
          </w:tcPr>
          <w:p w14:paraId="0D0AC95B"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1,08</w:t>
            </w:r>
          </w:p>
        </w:tc>
        <w:tc>
          <w:tcPr>
            <w:tcW w:w="1190" w:type="pct"/>
            <w:tcMar>
              <w:top w:w="0" w:type="dxa"/>
              <w:left w:w="108" w:type="dxa"/>
              <w:bottom w:w="0" w:type="dxa"/>
              <w:right w:w="108" w:type="dxa"/>
            </w:tcMar>
            <w:vAlign w:val="center"/>
          </w:tcPr>
          <w:p w14:paraId="71DB699E"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1,5</w:t>
            </w:r>
          </w:p>
        </w:tc>
      </w:tr>
      <w:tr w:rsidR="000D19A9" w:rsidRPr="007C4D65" w14:paraId="47FD7A00"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21905409"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1.4.2. Measure</w:t>
            </w:r>
          </w:p>
        </w:tc>
        <w:tc>
          <w:tcPr>
            <w:tcW w:w="864" w:type="pct"/>
            <w:vMerge w:val="restart"/>
            <w:tcMar>
              <w:top w:w="0" w:type="dxa"/>
              <w:left w:w="108" w:type="dxa"/>
              <w:bottom w:w="0" w:type="dxa"/>
              <w:right w:w="108" w:type="dxa"/>
            </w:tcMar>
            <w:vAlign w:val="center"/>
          </w:tcPr>
          <w:p w14:paraId="38F4B323"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Establishment and operation of hydrology forecasting systems in the Federation of BiH, including the improved network of hydrological and meteorological metering stations</w:t>
            </w:r>
          </w:p>
        </w:tc>
        <w:tc>
          <w:tcPr>
            <w:tcW w:w="1169" w:type="pct"/>
            <w:shd w:val="clear" w:color="auto" w:fill="D9D9D9" w:themeFill="background1" w:themeFillShade="D9"/>
            <w:tcMar>
              <w:top w:w="0" w:type="dxa"/>
              <w:left w:w="108" w:type="dxa"/>
              <w:bottom w:w="0" w:type="dxa"/>
              <w:right w:w="108" w:type="dxa"/>
            </w:tcMar>
            <w:vAlign w:val="center"/>
            <w:hideMark/>
          </w:tcPr>
          <w:p w14:paraId="1E8925B3"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19" w:type="pct"/>
            <w:shd w:val="clear" w:color="auto" w:fill="D9D9D9" w:themeFill="background1" w:themeFillShade="D9"/>
            <w:tcMar>
              <w:top w:w="0" w:type="dxa"/>
              <w:left w:w="108" w:type="dxa"/>
              <w:bottom w:w="0" w:type="dxa"/>
              <w:right w:w="108" w:type="dxa"/>
            </w:tcMar>
            <w:vAlign w:val="center"/>
            <w:hideMark/>
          </w:tcPr>
          <w:p w14:paraId="0E7811A8"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90" w:type="pct"/>
            <w:shd w:val="clear" w:color="auto" w:fill="D9D9D9" w:themeFill="background1" w:themeFillShade="D9"/>
            <w:vAlign w:val="center"/>
          </w:tcPr>
          <w:p w14:paraId="2F4A146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485F98E4" w14:textId="77777777" w:rsidTr="00B6017F">
        <w:trPr>
          <w:trHeight w:val="287"/>
        </w:trPr>
        <w:tc>
          <w:tcPr>
            <w:tcW w:w="658" w:type="pct"/>
            <w:vMerge/>
            <w:shd w:val="clear" w:color="auto" w:fill="D9D9D9"/>
            <w:vAlign w:val="center"/>
          </w:tcPr>
          <w:p w14:paraId="623E2FE2"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6BFE1CC"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0A4609C8"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a1) Status of development of the Plan for extension of hydrology measuring stations network based on the identified AFAs</w:t>
            </w:r>
          </w:p>
        </w:tc>
        <w:tc>
          <w:tcPr>
            <w:tcW w:w="1119" w:type="pct"/>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3BF1F9C0" w14:textId="7F208BF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 development of the Plan for extension of hydrology measuring stations network based on the identified AFAs has not started</w:t>
            </w:r>
          </w:p>
        </w:tc>
        <w:tc>
          <w:tcPr>
            <w:tcW w:w="1190" w:type="pct"/>
            <w:tcBorders>
              <w:top w:val="single" w:sz="4" w:space="0" w:color="A6A6A6"/>
              <w:left w:val="single" w:sz="4" w:space="0" w:color="A6A6A6"/>
              <w:bottom w:val="single" w:sz="4" w:space="0" w:color="A6A6A6"/>
              <w:right w:val="single" w:sz="4" w:space="0" w:color="A6A6A6"/>
            </w:tcBorders>
            <w:shd w:val="clear" w:color="auto" w:fill="auto"/>
            <w:vAlign w:val="center"/>
          </w:tcPr>
          <w:p w14:paraId="4D070827" w14:textId="77777777" w:rsidR="000D19A9" w:rsidRPr="007C4D65" w:rsidRDefault="000D19A9" w:rsidP="00B6017F">
            <w:pPr>
              <w:spacing w:before="40" w:after="40" w:line="276" w:lineRule="auto"/>
              <w:ind w:left="153"/>
              <w:contextualSpacing/>
              <w:rPr>
                <w:rFonts w:asciiTheme="minorHAnsi" w:hAnsiTheme="minorHAnsi" w:cstheme="minorHAnsi"/>
                <w:sz w:val="18"/>
                <w:szCs w:val="18"/>
              </w:rPr>
            </w:pPr>
            <w:r w:rsidRPr="007C4D65">
              <w:rPr>
                <w:rFonts w:asciiTheme="minorHAnsi" w:hAnsiTheme="minorHAnsi"/>
                <w:sz w:val="18"/>
                <w:szCs w:val="18"/>
              </w:rPr>
              <w:t xml:space="preserve">Developed Plans </w:t>
            </w:r>
          </w:p>
          <w:p w14:paraId="21D08BFF" w14:textId="1EA67D3E" w:rsidR="000D19A9" w:rsidRPr="007C4D65" w:rsidRDefault="000D19A9" w:rsidP="00B6017F">
            <w:pPr>
              <w:spacing w:line="276" w:lineRule="auto"/>
              <w:ind w:left="153"/>
              <w:rPr>
                <w:rFonts w:asciiTheme="minorHAnsi" w:hAnsiTheme="minorHAnsi"/>
                <w:sz w:val="18"/>
                <w:szCs w:val="18"/>
              </w:rPr>
            </w:pPr>
            <w:r w:rsidRPr="007C4D65">
              <w:rPr>
                <w:rFonts w:asciiTheme="minorHAnsi" w:hAnsiTheme="minorHAnsi"/>
                <w:sz w:val="18"/>
                <w:szCs w:val="18"/>
              </w:rPr>
              <w:t>for extension of hydrology measuring stations network based on the identified AFAs</w:t>
            </w:r>
          </w:p>
          <w:p w14:paraId="58978895" w14:textId="77777777" w:rsidR="000D19A9" w:rsidRPr="007C4D65" w:rsidRDefault="000D19A9" w:rsidP="00B6017F">
            <w:pPr>
              <w:spacing w:line="276" w:lineRule="auto"/>
              <w:ind w:left="153"/>
              <w:rPr>
                <w:rFonts w:asciiTheme="minorHAnsi" w:hAnsiTheme="minorHAnsi" w:cstheme="minorHAnsi"/>
                <w:sz w:val="18"/>
                <w:szCs w:val="18"/>
              </w:rPr>
            </w:pPr>
            <w:r w:rsidRPr="007C4D65">
              <w:rPr>
                <w:rFonts w:asciiTheme="minorHAnsi" w:hAnsiTheme="minorHAnsi"/>
                <w:sz w:val="18"/>
                <w:szCs w:val="18"/>
              </w:rPr>
              <w:t>(2024)</w:t>
            </w:r>
          </w:p>
        </w:tc>
      </w:tr>
      <w:tr w:rsidR="000D19A9" w:rsidRPr="007C4D65" w14:paraId="7A105781" w14:textId="77777777" w:rsidTr="00B6017F">
        <w:trPr>
          <w:trHeight w:val="287"/>
        </w:trPr>
        <w:tc>
          <w:tcPr>
            <w:tcW w:w="658" w:type="pct"/>
            <w:vMerge/>
            <w:shd w:val="clear" w:color="auto" w:fill="D9D9D9"/>
            <w:vAlign w:val="center"/>
          </w:tcPr>
          <w:p w14:paraId="167937BA"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35B8654"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2935558F" w14:textId="73A83DB4" w:rsidR="000D19A9" w:rsidRPr="007C4D65" w:rsidRDefault="000D19A9" w:rsidP="003A25F3">
            <w:pPr>
              <w:spacing w:before="40" w:after="40" w:line="276" w:lineRule="auto"/>
              <w:rPr>
                <w:rFonts w:asciiTheme="minorHAnsi" w:hAnsiTheme="minorHAnsi" w:cstheme="minorHAnsi"/>
                <w:sz w:val="18"/>
                <w:szCs w:val="18"/>
                <w:lang w:val="hr-HR"/>
              </w:rPr>
            </w:pPr>
            <w:r w:rsidRPr="007C4D65">
              <w:rPr>
                <w:rFonts w:asciiTheme="minorHAnsi" w:hAnsiTheme="minorHAnsi"/>
                <w:sz w:val="18"/>
                <w:szCs w:val="18"/>
              </w:rPr>
              <w:t>a) Level of completion of works on extension of the network of hydrological measuring stations in Federation of BiH, in accordance with the Plan</w:t>
            </w:r>
          </w:p>
        </w:tc>
        <w:tc>
          <w:tcPr>
            <w:tcW w:w="111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7E201CF2" w14:textId="18541CE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Works on extension of the network of hydrological measuring stations in the Federation of BiH, in accordance with the Plan, have not started</w:t>
            </w:r>
          </w:p>
        </w:tc>
        <w:tc>
          <w:tcPr>
            <w:tcW w:w="1190"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C725AC0" w14:textId="17F15E67" w:rsidR="000D19A9" w:rsidRPr="007C4D65" w:rsidRDefault="000D19A9" w:rsidP="003A25F3">
            <w:pPr>
              <w:spacing w:after="120" w:line="276" w:lineRule="auto"/>
              <w:ind w:left="153" w:hanging="2"/>
              <w:contextualSpacing/>
              <w:rPr>
                <w:rFonts w:asciiTheme="minorHAnsi" w:hAnsiTheme="minorHAnsi" w:cstheme="minorHAnsi"/>
                <w:sz w:val="18"/>
                <w:szCs w:val="18"/>
              </w:rPr>
            </w:pPr>
            <w:r w:rsidRPr="007C4D65">
              <w:rPr>
                <w:rFonts w:asciiTheme="minorHAnsi" w:hAnsiTheme="minorHAnsi"/>
                <w:sz w:val="18"/>
                <w:szCs w:val="18"/>
              </w:rPr>
              <w:t>Completed works on extension of the network of hydrological measuring stations, in accordance with the Plan, accompanied with biannual reporting on the extension of the network of hydrological measuring stations in the Federation of BiH</w:t>
            </w:r>
            <w:r w:rsidR="003A25F3" w:rsidRPr="007C4D65">
              <w:rPr>
                <w:rFonts w:asciiTheme="minorHAnsi" w:hAnsiTheme="minorHAnsi"/>
                <w:sz w:val="18"/>
                <w:szCs w:val="18"/>
              </w:rPr>
              <w:t xml:space="preserve"> </w:t>
            </w:r>
            <w:r w:rsidRPr="007C4D65">
              <w:rPr>
                <w:rFonts w:asciiTheme="minorHAnsi" w:hAnsiTheme="minorHAnsi"/>
                <w:sz w:val="18"/>
                <w:szCs w:val="18"/>
              </w:rPr>
              <w:t>(2025-2034)</w:t>
            </w:r>
          </w:p>
        </w:tc>
      </w:tr>
      <w:tr w:rsidR="000D19A9" w:rsidRPr="007C4D65" w14:paraId="23FD5961" w14:textId="77777777" w:rsidTr="00B6017F">
        <w:trPr>
          <w:trHeight w:val="287"/>
        </w:trPr>
        <w:tc>
          <w:tcPr>
            <w:tcW w:w="658" w:type="pct"/>
            <w:vMerge/>
            <w:shd w:val="clear" w:color="auto" w:fill="D9D9D9"/>
            <w:vAlign w:val="center"/>
          </w:tcPr>
          <w:p w14:paraId="5FF9F575"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34A849D"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2CCE3F39"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a3) Status of development of the Plan for expansion of network of meteorological and precipitation measuring stations in the Federation of BiH</w:t>
            </w:r>
          </w:p>
        </w:tc>
        <w:tc>
          <w:tcPr>
            <w:tcW w:w="111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7F5C2C6B"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Drafting of the Plan for expansion of network of meteorological and precipitation measuring stations in Federation of BiH has not started</w:t>
            </w:r>
          </w:p>
        </w:tc>
        <w:tc>
          <w:tcPr>
            <w:tcW w:w="1190"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E21065A" w14:textId="77777777" w:rsidR="000D19A9" w:rsidRPr="007C4D65" w:rsidRDefault="000D19A9" w:rsidP="00B6017F">
            <w:pPr>
              <w:spacing w:before="40" w:after="40" w:line="276" w:lineRule="auto"/>
              <w:ind w:left="153"/>
              <w:rPr>
                <w:rFonts w:asciiTheme="minorHAnsi" w:hAnsiTheme="minorHAnsi" w:cstheme="minorHAnsi"/>
                <w:sz w:val="18"/>
                <w:szCs w:val="18"/>
              </w:rPr>
            </w:pPr>
            <w:r w:rsidRPr="007C4D65">
              <w:rPr>
                <w:rFonts w:asciiTheme="minorHAnsi" w:hAnsiTheme="minorHAnsi"/>
                <w:sz w:val="18"/>
                <w:szCs w:val="18"/>
              </w:rPr>
              <w:t>Developed Plans for expansion of network of meteorological and precipitation measuring stations in the Federation of BiH (2024)</w:t>
            </w:r>
          </w:p>
        </w:tc>
      </w:tr>
      <w:tr w:rsidR="000D19A9" w:rsidRPr="007C4D65" w14:paraId="32B051BC" w14:textId="77777777" w:rsidTr="00B6017F">
        <w:trPr>
          <w:trHeight w:val="287"/>
        </w:trPr>
        <w:tc>
          <w:tcPr>
            <w:tcW w:w="658" w:type="pct"/>
            <w:vMerge/>
            <w:shd w:val="clear" w:color="auto" w:fill="D9D9D9"/>
            <w:vAlign w:val="center"/>
          </w:tcPr>
          <w:p w14:paraId="495A97EF"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383806B"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56E2657B" w14:textId="77777777" w:rsidR="000D19A9" w:rsidRPr="007C4D65" w:rsidRDefault="000D19A9" w:rsidP="00B6017F">
            <w:pPr>
              <w:spacing w:before="40" w:after="40" w:line="276" w:lineRule="auto"/>
              <w:rPr>
                <w:rFonts w:asciiTheme="minorHAnsi" w:eastAsia="Calibri" w:hAnsiTheme="minorHAnsi" w:cstheme="minorHAnsi"/>
                <w:sz w:val="18"/>
                <w:szCs w:val="18"/>
              </w:rPr>
            </w:pPr>
            <w:r w:rsidRPr="007C4D65">
              <w:rPr>
                <w:rFonts w:asciiTheme="minorHAnsi" w:hAnsiTheme="minorHAnsi"/>
                <w:sz w:val="18"/>
                <w:szCs w:val="18"/>
              </w:rPr>
              <w:t xml:space="preserve">a4) Level of completion </w:t>
            </w:r>
          </w:p>
          <w:p w14:paraId="465C0D01"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of works on expansion of network </w:t>
            </w:r>
            <w:proofErr w:type="gramStart"/>
            <w:r w:rsidRPr="007C4D65">
              <w:rPr>
                <w:rFonts w:asciiTheme="minorHAnsi" w:hAnsiTheme="minorHAnsi"/>
                <w:sz w:val="18"/>
                <w:szCs w:val="18"/>
              </w:rPr>
              <w:t>of  meteorological</w:t>
            </w:r>
            <w:proofErr w:type="gramEnd"/>
            <w:r w:rsidRPr="007C4D65">
              <w:rPr>
                <w:rFonts w:asciiTheme="minorHAnsi" w:hAnsiTheme="minorHAnsi"/>
                <w:sz w:val="18"/>
                <w:szCs w:val="18"/>
              </w:rPr>
              <w:t xml:space="preserve"> and precipitation measuring stations in the Federation of BiH</w:t>
            </w:r>
          </w:p>
        </w:tc>
        <w:tc>
          <w:tcPr>
            <w:tcW w:w="111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43C0F0A8" w14:textId="45F3C0AA" w:rsidR="000D19A9" w:rsidRPr="007C4D65" w:rsidRDefault="000D19A9" w:rsidP="003A25F3">
            <w:pPr>
              <w:spacing w:before="40" w:after="40" w:line="276" w:lineRule="auto"/>
              <w:rPr>
                <w:rFonts w:asciiTheme="minorHAnsi" w:hAnsiTheme="minorHAnsi" w:cstheme="minorHAnsi"/>
                <w:sz w:val="18"/>
                <w:szCs w:val="18"/>
              </w:rPr>
            </w:pPr>
            <w:r w:rsidRPr="007C4D65">
              <w:rPr>
                <w:rFonts w:asciiTheme="minorHAnsi" w:hAnsiTheme="minorHAnsi"/>
                <w:sz w:val="18"/>
                <w:szCs w:val="18"/>
              </w:rPr>
              <w:t>Works on extension of the network of meteorological measuring stations in the Federation of BiH, in accordance with the Plan, have not started</w:t>
            </w:r>
          </w:p>
        </w:tc>
        <w:tc>
          <w:tcPr>
            <w:tcW w:w="1190"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1EAAB09" w14:textId="6499963C" w:rsidR="000D19A9" w:rsidRPr="007C4D65" w:rsidRDefault="000D19A9" w:rsidP="003A25F3">
            <w:pPr>
              <w:spacing w:after="120" w:line="276" w:lineRule="auto"/>
              <w:ind w:left="153" w:hanging="2"/>
              <w:contextualSpacing/>
              <w:rPr>
                <w:rFonts w:asciiTheme="minorHAnsi" w:hAnsiTheme="minorHAnsi" w:cstheme="minorHAnsi"/>
                <w:sz w:val="18"/>
                <w:szCs w:val="18"/>
              </w:rPr>
            </w:pPr>
            <w:r w:rsidRPr="007C4D65">
              <w:rPr>
                <w:rFonts w:asciiTheme="minorHAnsi" w:hAnsiTheme="minorHAnsi"/>
                <w:sz w:val="18"/>
                <w:szCs w:val="18"/>
              </w:rPr>
              <w:t xml:space="preserve">Completed works on expansion of the network of meteorological and precipitation measuring stations in the Federation of BiH, accompanied by biannual repots on extension of the network of meteorological and precipitation stations in </w:t>
            </w:r>
            <w:r w:rsidR="00227D11" w:rsidRPr="007C4D65">
              <w:rPr>
                <w:rFonts w:asciiTheme="minorHAnsi" w:hAnsiTheme="minorHAnsi"/>
                <w:sz w:val="18"/>
                <w:szCs w:val="18"/>
              </w:rPr>
              <w:t>the Federation of BiH</w:t>
            </w:r>
            <w:r w:rsidRPr="007C4D65">
              <w:rPr>
                <w:rFonts w:asciiTheme="minorHAnsi" w:hAnsiTheme="minorHAnsi"/>
                <w:sz w:val="18"/>
                <w:szCs w:val="18"/>
              </w:rPr>
              <w:t xml:space="preserve"> (2025-2034)</w:t>
            </w:r>
          </w:p>
        </w:tc>
      </w:tr>
      <w:tr w:rsidR="000D19A9" w:rsidRPr="007C4D65" w14:paraId="612C847C" w14:textId="77777777" w:rsidTr="00B6017F">
        <w:trPr>
          <w:trHeight w:val="287"/>
        </w:trPr>
        <w:tc>
          <w:tcPr>
            <w:tcW w:w="658" w:type="pct"/>
            <w:vMerge/>
            <w:shd w:val="clear" w:color="auto" w:fill="D9D9D9"/>
            <w:vAlign w:val="center"/>
          </w:tcPr>
          <w:p w14:paraId="313C6E7E"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6679F67"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005B2523" w14:textId="7CF87D08"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b1) Status of establishment of hydrology forecasting model for the Adriatic Sea Basin</w:t>
            </w:r>
          </w:p>
        </w:tc>
        <w:tc>
          <w:tcPr>
            <w:tcW w:w="111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43AC66CA"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Partly</w:t>
            </w:r>
          </w:p>
        </w:tc>
        <w:tc>
          <w:tcPr>
            <w:tcW w:w="1190"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F01A44" w14:textId="77777777" w:rsidR="000D19A9" w:rsidRPr="007C4D65" w:rsidRDefault="000D19A9" w:rsidP="00B6017F">
            <w:pPr>
              <w:spacing w:after="120" w:line="276" w:lineRule="auto"/>
              <w:ind w:left="153" w:hanging="2"/>
              <w:contextualSpacing/>
              <w:rPr>
                <w:rFonts w:asciiTheme="minorHAnsi" w:hAnsiTheme="minorHAnsi" w:cstheme="minorHAnsi"/>
                <w:sz w:val="18"/>
                <w:szCs w:val="18"/>
              </w:rPr>
            </w:pPr>
            <w:r w:rsidRPr="007C4D65">
              <w:rPr>
                <w:rFonts w:asciiTheme="minorHAnsi" w:hAnsiTheme="minorHAnsi"/>
                <w:sz w:val="18"/>
                <w:szCs w:val="18"/>
              </w:rPr>
              <w:t>established and operational hydrology forecasting model for the Adriatic Sea Basin (2024)</w:t>
            </w:r>
          </w:p>
        </w:tc>
      </w:tr>
      <w:tr w:rsidR="000D19A9" w:rsidRPr="007C4D65" w14:paraId="3D2AB231" w14:textId="77777777" w:rsidTr="00B6017F">
        <w:trPr>
          <w:trHeight w:val="287"/>
        </w:trPr>
        <w:tc>
          <w:tcPr>
            <w:tcW w:w="658" w:type="pct"/>
            <w:vMerge/>
            <w:shd w:val="clear" w:color="auto" w:fill="D9D9D9"/>
            <w:vAlign w:val="center"/>
          </w:tcPr>
          <w:p w14:paraId="03E3647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591CD6C"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058277D0"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b2) Operational status and regular </w:t>
            </w:r>
            <w:proofErr w:type="gramStart"/>
            <w:r w:rsidRPr="007C4D65">
              <w:rPr>
                <w:rFonts w:asciiTheme="minorHAnsi" w:hAnsiTheme="minorHAnsi"/>
                <w:sz w:val="18"/>
                <w:szCs w:val="18"/>
              </w:rPr>
              <w:t>maintenance  of</w:t>
            </w:r>
            <w:proofErr w:type="gramEnd"/>
            <w:r w:rsidRPr="007C4D65">
              <w:rPr>
                <w:rFonts w:asciiTheme="minorHAnsi" w:hAnsiTheme="minorHAnsi"/>
                <w:sz w:val="18"/>
                <w:szCs w:val="18"/>
              </w:rPr>
              <w:t xml:space="preserve"> flood forecasting system for Sava and Adriatic Sea river basins</w:t>
            </w:r>
          </w:p>
        </w:tc>
        <w:tc>
          <w:tcPr>
            <w:tcW w:w="111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793B164A"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Partly </w:t>
            </w:r>
          </w:p>
        </w:tc>
        <w:tc>
          <w:tcPr>
            <w:tcW w:w="1190"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AD309C5" w14:textId="77777777" w:rsidR="000D19A9" w:rsidRPr="007C4D65" w:rsidRDefault="000D19A9" w:rsidP="00B6017F">
            <w:pPr>
              <w:spacing w:after="120" w:line="276" w:lineRule="auto"/>
              <w:ind w:left="153" w:hanging="2"/>
              <w:contextualSpacing/>
              <w:rPr>
                <w:rFonts w:asciiTheme="minorHAnsi" w:hAnsiTheme="minorHAnsi" w:cstheme="minorHAnsi"/>
                <w:sz w:val="18"/>
                <w:szCs w:val="18"/>
              </w:rPr>
            </w:pPr>
            <w:r w:rsidRPr="007C4D65">
              <w:rPr>
                <w:rFonts w:asciiTheme="minorHAnsi" w:hAnsiTheme="minorHAnsi"/>
                <w:sz w:val="18"/>
                <w:szCs w:val="18"/>
              </w:rPr>
              <w:t xml:space="preserve">Operational and regularly maintained flood forecasting system for Sava and </w:t>
            </w:r>
            <w:proofErr w:type="gramStart"/>
            <w:r w:rsidRPr="007C4D65">
              <w:rPr>
                <w:rFonts w:asciiTheme="minorHAnsi" w:hAnsiTheme="minorHAnsi"/>
                <w:sz w:val="18"/>
                <w:szCs w:val="18"/>
              </w:rPr>
              <w:t>Adriatic Sea river</w:t>
            </w:r>
            <w:proofErr w:type="gramEnd"/>
            <w:r w:rsidRPr="007C4D65">
              <w:rPr>
                <w:rFonts w:asciiTheme="minorHAnsi" w:hAnsiTheme="minorHAnsi"/>
                <w:sz w:val="18"/>
                <w:szCs w:val="18"/>
              </w:rPr>
              <w:t xml:space="preserve"> basins (2024 -2034)</w:t>
            </w:r>
          </w:p>
        </w:tc>
      </w:tr>
      <w:tr w:rsidR="000D19A9" w:rsidRPr="007C4D65" w14:paraId="53E9F5BB" w14:textId="77777777" w:rsidTr="00B6017F">
        <w:trPr>
          <w:trHeight w:val="483"/>
        </w:trPr>
        <w:tc>
          <w:tcPr>
            <w:tcW w:w="658" w:type="pct"/>
            <w:vMerge/>
            <w:shd w:val="clear" w:color="auto" w:fill="D9D9D9"/>
            <w:vAlign w:val="center"/>
            <w:hideMark/>
          </w:tcPr>
          <w:p w14:paraId="2A02E3BC"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4BE76648"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shd w:val="clear" w:color="auto" w:fill="D9D9D9" w:themeFill="background1" w:themeFillShade="D9"/>
            <w:tcMar>
              <w:top w:w="0" w:type="dxa"/>
              <w:left w:w="108" w:type="dxa"/>
              <w:bottom w:w="0" w:type="dxa"/>
              <w:right w:w="108" w:type="dxa"/>
            </w:tcMar>
            <w:vAlign w:val="center"/>
            <w:hideMark/>
          </w:tcPr>
          <w:p w14:paraId="074BC0D6"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19" w:type="pct"/>
            <w:shd w:val="clear" w:color="auto" w:fill="D9D9D9" w:themeFill="background1" w:themeFillShade="D9"/>
            <w:tcMar>
              <w:top w:w="0" w:type="dxa"/>
              <w:left w:w="108" w:type="dxa"/>
              <w:bottom w:w="0" w:type="dxa"/>
              <w:right w:w="108" w:type="dxa"/>
            </w:tcMar>
            <w:vAlign w:val="center"/>
            <w:hideMark/>
          </w:tcPr>
          <w:p w14:paraId="00317BB5"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90" w:type="pct"/>
            <w:shd w:val="clear" w:color="auto" w:fill="D9D9D9" w:themeFill="background1" w:themeFillShade="D9"/>
            <w:tcMar>
              <w:top w:w="0" w:type="dxa"/>
              <w:left w:w="108" w:type="dxa"/>
              <w:bottom w:w="0" w:type="dxa"/>
              <w:right w:w="108" w:type="dxa"/>
            </w:tcMar>
            <w:vAlign w:val="center"/>
            <w:hideMark/>
          </w:tcPr>
          <w:p w14:paraId="05637772"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568AFFD1" w14:textId="77777777" w:rsidTr="00B6017F">
        <w:trPr>
          <w:trHeight w:val="287"/>
        </w:trPr>
        <w:tc>
          <w:tcPr>
            <w:tcW w:w="658" w:type="pct"/>
            <w:vMerge/>
            <w:shd w:val="clear" w:color="auto" w:fill="D9D9D9"/>
            <w:vAlign w:val="center"/>
            <w:hideMark/>
          </w:tcPr>
          <w:p w14:paraId="5184DA50"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70B81EC7"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vAlign w:val="center"/>
          </w:tcPr>
          <w:p w14:paraId="6281B1D3"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4,7</w:t>
            </w:r>
          </w:p>
        </w:tc>
        <w:tc>
          <w:tcPr>
            <w:tcW w:w="1119" w:type="pct"/>
            <w:tcMar>
              <w:top w:w="0" w:type="dxa"/>
              <w:left w:w="108" w:type="dxa"/>
              <w:bottom w:w="0" w:type="dxa"/>
              <w:right w:w="108" w:type="dxa"/>
            </w:tcMar>
            <w:vAlign w:val="center"/>
          </w:tcPr>
          <w:p w14:paraId="248FDD78"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10,9</w:t>
            </w:r>
          </w:p>
        </w:tc>
        <w:tc>
          <w:tcPr>
            <w:tcW w:w="1190" w:type="pct"/>
            <w:tcMar>
              <w:top w:w="0" w:type="dxa"/>
              <w:left w:w="108" w:type="dxa"/>
              <w:bottom w:w="0" w:type="dxa"/>
              <w:right w:w="108" w:type="dxa"/>
            </w:tcMar>
            <w:vAlign w:val="center"/>
          </w:tcPr>
          <w:p w14:paraId="3E301B10"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15,6</w:t>
            </w:r>
          </w:p>
        </w:tc>
      </w:tr>
      <w:tr w:rsidR="000D19A9" w:rsidRPr="007C4D65" w14:paraId="1A0587F9"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2D84C7F3"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1.4.3. Measure</w:t>
            </w:r>
          </w:p>
        </w:tc>
        <w:tc>
          <w:tcPr>
            <w:tcW w:w="864" w:type="pct"/>
            <w:vMerge w:val="restart"/>
            <w:tcMar>
              <w:top w:w="0" w:type="dxa"/>
              <w:left w:w="108" w:type="dxa"/>
              <w:bottom w:w="0" w:type="dxa"/>
              <w:right w:w="108" w:type="dxa"/>
            </w:tcMar>
            <w:vAlign w:val="center"/>
          </w:tcPr>
          <w:p w14:paraId="59F772A4"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Improved planning and implementation of the measures for adaptation to climate changes that affect water resources</w:t>
            </w:r>
          </w:p>
        </w:tc>
        <w:tc>
          <w:tcPr>
            <w:tcW w:w="1169" w:type="pct"/>
            <w:shd w:val="clear" w:color="auto" w:fill="D9D9D9" w:themeFill="background1" w:themeFillShade="D9"/>
            <w:tcMar>
              <w:top w:w="0" w:type="dxa"/>
              <w:left w:w="108" w:type="dxa"/>
              <w:bottom w:w="0" w:type="dxa"/>
              <w:right w:w="108" w:type="dxa"/>
            </w:tcMar>
            <w:vAlign w:val="center"/>
            <w:hideMark/>
          </w:tcPr>
          <w:p w14:paraId="04F5F4B8"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19" w:type="pct"/>
            <w:shd w:val="clear" w:color="auto" w:fill="D9D9D9" w:themeFill="background1" w:themeFillShade="D9"/>
            <w:tcMar>
              <w:top w:w="0" w:type="dxa"/>
              <w:left w:w="108" w:type="dxa"/>
              <w:bottom w:w="0" w:type="dxa"/>
              <w:right w:w="108" w:type="dxa"/>
            </w:tcMar>
            <w:vAlign w:val="center"/>
            <w:hideMark/>
          </w:tcPr>
          <w:p w14:paraId="6AB9E2F9"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90" w:type="pct"/>
            <w:shd w:val="clear" w:color="auto" w:fill="D9D9D9" w:themeFill="background1" w:themeFillShade="D9"/>
            <w:vAlign w:val="center"/>
          </w:tcPr>
          <w:p w14:paraId="78456A22"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4404A837" w14:textId="77777777" w:rsidTr="00B6017F">
        <w:trPr>
          <w:trHeight w:val="287"/>
        </w:trPr>
        <w:tc>
          <w:tcPr>
            <w:tcW w:w="658" w:type="pct"/>
            <w:vMerge/>
            <w:shd w:val="clear" w:color="auto" w:fill="D9D9D9"/>
            <w:vAlign w:val="center"/>
          </w:tcPr>
          <w:p w14:paraId="613E2B6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914075B"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shd w:val="clear" w:color="auto" w:fill="auto"/>
            <w:tcMar>
              <w:top w:w="0" w:type="dxa"/>
              <w:left w:w="108" w:type="dxa"/>
              <w:bottom w:w="0" w:type="dxa"/>
              <w:right w:w="108" w:type="dxa"/>
            </w:tcMar>
            <w:vAlign w:val="center"/>
          </w:tcPr>
          <w:p w14:paraId="006AE7FB"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Degree of development of a programme for implementation of measures in water sector that are identified in the National Plan for Climate Change Adaptation (NAP)</w:t>
            </w:r>
          </w:p>
        </w:tc>
        <w:tc>
          <w:tcPr>
            <w:tcW w:w="1119" w:type="pct"/>
            <w:shd w:val="clear" w:color="auto" w:fill="auto"/>
            <w:tcMar>
              <w:top w:w="0" w:type="dxa"/>
              <w:left w:w="108" w:type="dxa"/>
              <w:bottom w:w="0" w:type="dxa"/>
              <w:right w:w="108" w:type="dxa"/>
            </w:tcMar>
            <w:vAlign w:val="center"/>
          </w:tcPr>
          <w:p w14:paraId="20524B52"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NAP is in its draft form‒ the development of a programme of implementation of the measures in the water sector that are defined in the draft NAP has not started</w:t>
            </w:r>
          </w:p>
        </w:tc>
        <w:tc>
          <w:tcPr>
            <w:tcW w:w="1190" w:type="pct"/>
            <w:shd w:val="clear" w:color="auto" w:fill="auto"/>
            <w:vAlign w:val="center"/>
          </w:tcPr>
          <w:p w14:paraId="1020590B" w14:textId="77777777" w:rsidR="000D19A9" w:rsidRPr="007C4D65" w:rsidRDefault="000D19A9" w:rsidP="00B6017F">
            <w:pPr>
              <w:spacing w:line="276" w:lineRule="auto"/>
              <w:ind w:left="153"/>
              <w:rPr>
                <w:rFonts w:asciiTheme="minorHAnsi" w:hAnsiTheme="minorHAnsi" w:cstheme="minorHAnsi"/>
                <w:sz w:val="18"/>
                <w:szCs w:val="18"/>
              </w:rPr>
            </w:pPr>
            <w:r w:rsidRPr="007C4D65">
              <w:rPr>
                <w:rFonts w:asciiTheme="minorHAnsi" w:hAnsiTheme="minorHAnsi"/>
                <w:sz w:val="18"/>
                <w:szCs w:val="18"/>
              </w:rPr>
              <w:t>Developed programme of implementation of measures in the water sector that are defined in the draft NAP (2024)</w:t>
            </w:r>
          </w:p>
        </w:tc>
      </w:tr>
      <w:tr w:rsidR="000D19A9" w:rsidRPr="007C4D65" w14:paraId="4B66FD3A" w14:textId="77777777" w:rsidTr="00B6017F">
        <w:trPr>
          <w:trHeight w:val="287"/>
        </w:trPr>
        <w:tc>
          <w:tcPr>
            <w:tcW w:w="658" w:type="pct"/>
            <w:vMerge/>
            <w:shd w:val="clear" w:color="auto" w:fill="D9D9D9"/>
            <w:vAlign w:val="center"/>
          </w:tcPr>
          <w:p w14:paraId="01B6246F"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3A0550C"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vAlign w:val="center"/>
          </w:tcPr>
          <w:p w14:paraId="78EB72F8" w14:textId="63E19BCF"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 Status of reporting on implementation of measures in the water sector as defined in the NAP</w:t>
            </w:r>
          </w:p>
        </w:tc>
        <w:tc>
          <w:tcPr>
            <w:tcW w:w="1119" w:type="pct"/>
            <w:tcMar>
              <w:top w:w="0" w:type="dxa"/>
              <w:left w:w="108" w:type="dxa"/>
              <w:bottom w:w="0" w:type="dxa"/>
              <w:right w:w="108" w:type="dxa"/>
            </w:tcMar>
            <w:vAlign w:val="center"/>
          </w:tcPr>
          <w:p w14:paraId="7BA67B1E"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Reporting has not started, draft NAP made, not adopted </w:t>
            </w:r>
          </w:p>
        </w:tc>
        <w:tc>
          <w:tcPr>
            <w:tcW w:w="1190" w:type="pct"/>
            <w:vAlign w:val="center"/>
          </w:tcPr>
          <w:p w14:paraId="3CCE24CF" w14:textId="77777777" w:rsidR="000D19A9" w:rsidRPr="007C4D65" w:rsidRDefault="000D19A9" w:rsidP="00B6017F">
            <w:pPr>
              <w:spacing w:after="120" w:line="276" w:lineRule="auto"/>
              <w:ind w:left="153" w:hanging="2"/>
              <w:contextualSpacing/>
              <w:rPr>
                <w:rFonts w:asciiTheme="minorHAnsi" w:hAnsiTheme="minorHAnsi" w:cstheme="minorHAnsi"/>
                <w:sz w:val="18"/>
                <w:szCs w:val="18"/>
              </w:rPr>
            </w:pPr>
            <w:r w:rsidRPr="007C4D65">
              <w:rPr>
                <w:rFonts w:asciiTheme="minorHAnsi" w:hAnsiTheme="minorHAnsi"/>
                <w:sz w:val="18"/>
                <w:szCs w:val="18"/>
              </w:rPr>
              <w:t xml:space="preserve">Biannual reports on the degree of implementation of measures from the NAP developed and published on </w:t>
            </w:r>
            <w:proofErr w:type="gramStart"/>
            <w:r w:rsidRPr="007C4D65">
              <w:rPr>
                <w:rFonts w:asciiTheme="minorHAnsi" w:hAnsiTheme="minorHAnsi"/>
                <w:sz w:val="18"/>
                <w:szCs w:val="18"/>
              </w:rPr>
              <w:t>web-pages</w:t>
            </w:r>
            <w:proofErr w:type="gramEnd"/>
            <w:r w:rsidRPr="007C4D65">
              <w:rPr>
                <w:rFonts w:asciiTheme="minorHAnsi" w:hAnsiTheme="minorHAnsi"/>
                <w:sz w:val="18"/>
                <w:szCs w:val="18"/>
              </w:rPr>
              <w:t xml:space="preserve"> of FMAMWF, the Agencies, and FHMI (2025-2034)</w:t>
            </w:r>
          </w:p>
        </w:tc>
      </w:tr>
      <w:tr w:rsidR="000D19A9" w:rsidRPr="007C4D65" w14:paraId="4D90F961" w14:textId="77777777" w:rsidTr="00B6017F">
        <w:trPr>
          <w:trHeight w:val="483"/>
        </w:trPr>
        <w:tc>
          <w:tcPr>
            <w:tcW w:w="658" w:type="pct"/>
            <w:vMerge/>
            <w:shd w:val="clear" w:color="auto" w:fill="D9D9D9"/>
            <w:vAlign w:val="center"/>
            <w:hideMark/>
          </w:tcPr>
          <w:p w14:paraId="490D86B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26F602DC"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shd w:val="clear" w:color="auto" w:fill="D9D9D9" w:themeFill="background1" w:themeFillShade="D9"/>
            <w:tcMar>
              <w:top w:w="0" w:type="dxa"/>
              <w:left w:w="108" w:type="dxa"/>
              <w:bottom w:w="0" w:type="dxa"/>
              <w:right w:w="108" w:type="dxa"/>
            </w:tcMar>
            <w:vAlign w:val="center"/>
            <w:hideMark/>
          </w:tcPr>
          <w:p w14:paraId="46D8665F"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19" w:type="pct"/>
            <w:shd w:val="clear" w:color="auto" w:fill="D9D9D9" w:themeFill="background1" w:themeFillShade="D9"/>
            <w:tcMar>
              <w:top w:w="0" w:type="dxa"/>
              <w:left w:w="108" w:type="dxa"/>
              <w:bottom w:w="0" w:type="dxa"/>
              <w:right w:w="108" w:type="dxa"/>
            </w:tcMar>
            <w:vAlign w:val="center"/>
            <w:hideMark/>
          </w:tcPr>
          <w:p w14:paraId="76DC2A0B"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90" w:type="pct"/>
            <w:shd w:val="clear" w:color="auto" w:fill="D9D9D9" w:themeFill="background1" w:themeFillShade="D9"/>
            <w:tcMar>
              <w:top w:w="0" w:type="dxa"/>
              <w:left w:w="108" w:type="dxa"/>
              <w:bottom w:w="0" w:type="dxa"/>
              <w:right w:w="108" w:type="dxa"/>
            </w:tcMar>
            <w:vAlign w:val="center"/>
            <w:hideMark/>
          </w:tcPr>
          <w:p w14:paraId="7745D889"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70978CE0" w14:textId="77777777" w:rsidTr="00B6017F">
        <w:trPr>
          <w:trHeight w:val="287"/>
        </w:trPr>
        <w:tc>
          <w:tcPr>
            <w:tcW w:w="658" w:type="pct"/>
            <w:vMerge/>
            <w:shd w:val="clear" w:color="auto" w:fill="D9D9D9"/>
            <w:vAlign w:val="center"/>
            <w:hideMark/>
          </w:tcPr>
          <w:p w14:paraId="4DBBD095"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393DD5DF"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69" w:type="pct"/>
            <w:tcMar>
              <w:top w:w="0" w:type="dxa"/>
              <w:left w:w="108" w:type="dxa"/>
              <w:bottom w:w="0" w:type="dxa"/>
              <w:right w:w="108" w:type="dxa"/>
            </w:tcMar>
            <w:vAlign w:val="center"/>
          </w:tcPr>
          <w:p w14:paraId="14429B83"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0,022</w:t>
            </w:r>
          </w:p>
        </w:tc>
        <w:tc>
          <w:tcPr>
            <w:tcW w:w="1119" w:type="pct"/>
            <w:tcMar>
              <w:top w:w="0" w:type="dxa"/>
              <w:left w:w="108" w:type="dxa"/>
              <w:bottom w:w="0" w:type="dxa"/>
              <w:right w:w="108" w:type="dxa"/>
            </w:tcMar>
            <w:vAlign w:val="center"/>
          </w:tcPr>
          <w:p w14:paraId="5A54BFB6"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90" w:type="pct"/>
            <w:tcMar>
              <w:top w:w="0" w:type="dxa"/>
              <w:left w:w="108" w:type="dxa"/>
              <w:bottom w:w="0" w:type="dxa"/>
              <w:right w:w="108" w:type="dxa"/>
            </w:tcMar>
            <w:vAlign w:val="center"/>
          </w:tcPr>
          <w:p w14:paraId="004BA221"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0,022</w:t>
            </w:r>
          </w:p>
        </w:tc>
      </w:tr>
    </w:tbl>
    <w:p w14:paraId="010452C2" w14:textId="77777777" w:rsidR="000D19A9" w:rsidRPr="007C4D65" w:rsidRDefault="000D19A9" w:rsidP="000D19A9">
      <w:pPr>
        <w:spacing w:line="276" w:lineRule="auto"/>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0D19A9" w:rsidRPr="007C4D65" w14:paraId="58EE2D20" w14:textId="77777777" w:rsidTr="00B6017F">
        <w:trPr>
          <w:trHeight w:val="384"/>
        </w:trPr>
        <w:tc>
          <w:tcPr>
            <w:tcW w:w="658" w:type="pct"/>
            <w:vMerge w:val="restart"/>
            <w:shd w:val="clear" w:color="auto" w:fill="D9D9D9"/>
            <w:tcMar>
              <w:top w:w="0" w:type="dxa"/>
              <w:left w:w="108" w:type="dxa"/>
              <w:bottom w:w="0" w:type="dxa"/>
              <w:right w:w="108" w:type="dxa"/>
            </w:tcMar>
            <w:vAlign w:val="center"/>
          </w:tcPr>
          <w:p w14:paraId="1DE79533"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1.5. Priority</w:t>
            </w:r>
          </w:p>
          <w:p w14:paraId="58538C42"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restart"/>
            <w:tcMar>
              <w:top w:w="0" w:type="dxa"/>
              <w:left w:w="108" w:type="dxa"/>
              <w:bottom w:w="0" w:type="dxa"/>
              <w:right w:w="108" w:type="dxa"/>
            </w:tcMar>
            <w:vAlign w:val="center"/>
          </w:tcPr>
          <w:p w14:paraId="1838B74D" w14:textId="6967BA8F" w:rsidR="000D19A9" w:rsidRPr="007C4D65" w:rsidRDefault="001E4D90"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t>Developing an effective legal and institutional framework for the purpose of alignment with the EU regulations in the water sector, and its enforcement</w:t>
            </w:r>
          </w:p>
        </w:tc>
        <w:tc>
          <w:tcPr>
            <w:tcW w:w="1159" w:type="pct"/>
            <w:shd w:val="clear" w:color="auto" w:fill="D9D9D9" w:themeFill="background1" w:themeFillShade="D9"/>
            <w:tcMar>
              <w:top w:w="0" w:type="dxa"/>
              <w:left w:w="108" w:type="dxa"/>
              <w:bottom w:w="0" w:type="dxa"/>
              <w:right w:w="108" w:type="dxa"/>
            </w:tcMar>
            <w:vAlign w:val="center"/>
          </w:tcPr>
          <w:p w14:paraId="52DCD5BF" w14:textId="77777777" w:rsidR="000D19A9" w:rsidRPr="007C4D65" w:rsidRDefault="000D19A9"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59" w:type="pct"/>
            <w:shd w:val="clear" w:color="auto" w:fill="D9D9D9" w:themeFill="background1" w:themeFillShade="D9"/>
            <w:tcMar>
              <w:top w:w="0" w:type="dxa"/>
              <w:left w:w="108" w:type="dxa"/>
              <w:bottom w:w="0" w:type="dxa"/>
              <w:right w:w="108" w:type="dxa"/>
            </w:tcMar>
            <w:vAlign w:val="center"/>
          </w:tcPr>
          <w:p w14:paraId="7D00D2E1"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hemeFill="background1" w:themeFillShade="D9"/>
            <w:tcMar>
              <w:top w:w="0" w:type="dxa"/>
              <w:left w:w="108" w:type="dxa"/>
              <w:bottom w:w="0" w:type="dxa"/>
              <w:right w:w="108" w:type="dxa"/>
            </w:tcMar>
            <w:vAlign w:val="center"/>
          </w:tcPr>
          <w:p w14:paraId="23A7016B"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544EFAB6" w14:textId="77777777" w:rsidTr="00B6017F">
        <w:trPr>
          <w:trHeight w:val="287"/>
        </w:trPr>
        <w:tc>
          <w:tcPr>
            <w:tcW w:w="658" w:type="pct"/>
            <w:vMerge/>
            <w:shd w:val="clear" w:color="auto" w:fill="D9D9D9"/>
            <w:vAlign w:val="center"/>
            <w:hideMark/>
          </w:tcPr>
          <w:p w14:paraId="44461ADD"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0815BE3"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0DAEF7DF" w14:textId="6123306F"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Efficiency and timeliness of programming integration in EU in the field of water management</w:t>
            </w:r>
          </w:p>
        </w:tc>
        <w:tc>
          <w:tcPr>
            <w:tcW w:w="1159" w:type="pct"/>
            <w:tcMar>
              <w:top w:w="0" w:type="dxa"/>
              <w:left w:w="108" w:type="dxa"/>
              <w:bottom w:w="0" w:type="dxa"/>
              <w:right w:w="108" w:type="dxa"/>
            </w:tcMar>
          </w:tcPr>
          <w:p w14:paraId="0C67E8C7" w14:textId="1E06032B"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Low efficiency and delays in development of the Programme</w:t>
            </w:r>
          </w:p>
        </w:tc>
        <w:tc>
          <w:tcPr>
            <w:tcW w:w="1159" w:type="pct"/>
            <w:tcMar>
              <w:top w:w="0" w:type="dxa"/>
              <w:left w:w="108" w:type="dxa"/>
              <w:bottom w:w="0" w:type="dxa"/>
              <w:right w:w="108" w:type="dxa"/>
            </w:tcMar>
          </w:tcPr>
          <w:p w14:paraId="0959C7B4" w14:textId="0B9CF84A"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Efficient, regular and timely development of four-year integration programmes</w:t>
            </w:r>
          </w:p>
        </w:tc>
      </w:tr>
      <w:tr w:rsidR="000D19A9" w:rsidRPr="007C4D65" w14:paraId="41E0735E" w14:textId="77777777" w:rsidTr="00B6017F">
        <w:trPr>
          <w:trHeight w:val="287"/>
        </w:trPr>
        <w:tc>
          <w:tcPr>
            <w:tcW w:w="658" w:type="pct"/>
            <w:vMerge/>
            <w:shd w:val="clear" w:color="auto" w:fill="D9D9D9"/>
            <w:vAlign w:val="center"/>
          </w:tcPr>
          <w:p w14:paraId="74F50C6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7E9C805"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7129D4E8" w14:textId="259AF356" w:rsidR="000D19A9" w:rsidRPr="007C4D65" w:rsidRDefault="000D19A9" w:rsidP="003A25F3">
            <w:pPr>
              <w:spacing w:line="276" w:lineRule="auto"/>
              <w:rPr>
                <w:rFonts w:asciiTheme="minorHAnsi" w:hAnsiTheme="minorHAnsi" w:cstheme="minorHAnsi"/>
                <w:sz w:val="18"/>
                <w:szCs w:val="18"/>
                <w:lang w:val="hr-HR"/>
              </w:rPr>
            </w:pPr>
            <w:r w:rsidRPr="007C4D65">
              <w:rPr>
                <w:rFonts w:asciiTheme="minorHAnsi" w:hAnsiTheme="minorHAnsi"/>
                <w:sz w:val="18"/>
                <w:szCs w:val="18"/>
              </w:rPr>
              <w:t xml:space="preserve">Adjusting the legal and institutional framework in </w:t>
            </w:r>
            <w:r w:rsidR="00227D11" w:rsidRPr="007C4D65">
              <w:rPr>
                <w:rFonts w:asciiTheme="minorHAnsi" w:hAnsiTheme="minorHAnsi"/>
                <w:sz w:val="18"/>
                <w:szCs w:val="18"/>
              </w:rPr>
              <w:t>the Federation of BiH</w:t>
            </w:r>
            <w:r w:rsidRPr="007C4D65">
              <w:rPr>
                <w:rFonts w:asciiTheme="minorHAnsi" w:hAnsiTheme="minorHAnsi"/>
                <w:sz w:val="18"/>
                <w:szCs w:val="18"/>
              </w:rPr>
              <w:t xml:space="preserve"> water sector to efficient approximation to EU water legislation and standards</w:t>
            </w:r>
          </w:p>
        </w:tc>
        <w:tc>
          <w:tcPr>
            <w:tcW w:w="1159" w:type="pct"/>
            <w:tcMar>
              <w:top w:w="0" w:type="dxa"/>
              <w:left w:w="108" w:type="dxa"/>
              <w:bottom w:w="0" w:type="dxa"/>
              <w:right w:w="108" w:type="dxa"/>
            </w:tcMar>
          </w:tcPr>
          <w:p w14:paraId="75EADD09" w14:textId="7719F93C" w:rsidR="000D19A9" w:rsidRPr="007C4D65" w:rsidRDefault="000D19A9" w:rsidP="00B6017F">
            <w:pPr>
              <w:spacing w:line="276" w:lineRule="auto"/>
              <w:rPr>
                <w:rFonts w:asciiTheme="minorHAnsi" w:hAnsiTheme="minorHAnsi" w:cstheme="minorHAnsi"/>
                <w:sz w:val="18"/>
                <w:szCs w:val="18"/>
                <w:lang w:val="hr-HR"/>
              </w:rPr>
            </w:pPr>
            <w:r w:rsidRPr="007C4D65">
              <w:rPr>
                <w:rFonts w:asciiTheme="minorHAnsi" w:hAnsiTheme="minorHAnsi"/>
                <w:sz w:val="18"/>
                <w:szCs w:val="18"/>
              </w:rPr>
              <w:t xml:space="preserve">Legal and institutional framework in Federation of BiH is not conductive for efficient approximation to </w:t>
            </w:r>
            <w:r w:rsidR="001E4D90" w:rsidRPr="007C4D65">
              <w:rPr>
                <w:rFonts w:asciiTheme="minorHAnsi" w:hAnsiTheme="minorHAnsi"/>
                <w:sz w:val="18"/>
                <w:szCs w:val="18"/>
              </w:rPr>
              <w:t>EU regulations</w:t>
            </w:r>
          </w:p>
          <w:p w14:paraId="4E2E9715" w14:textId="509EA22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lastRenderedPageBreak/>
              <w:t xml:space="preserve">Laws delegate the competences for approximation to </w:t>
            </w:r>
            <w:proofErr w:type="gramStart"/>
            <w:r w:rsidRPr="007C4D65">
              <w:rPr>
                <w:rFonts w:asciiTheme="minorHAnsi" w:hAnsiTheme="minorHAnsi"/>
                <w:sz w:val="18"/>
                <w:szCs w:val="18"/>
              </w:rPr>
              <w:t>a number of</w:t>
            </w:r>
            <w:proofErr w:type="gramEnd"/>
            <w:r w:rsidRPr="007C4D65">
              <w:rPr>
                <w:rFonts w:asciiTheme="minorHAnsi" w:hAnsiTheme="minorHAnsi"/>
                <w:sz w:val="18"/>
                <w:szCs w:val="18"/>
              </w:rPr>
              <w:t xml:space="preserve"> institutions at all administrative levels, and this requires significant (inexistent) capacities for horizontal and vertical coordination</w:t>
            </w:r>
          </w:p>
        </w:tc>
        <w:tc>
          <w:tcPr>
            <w:tcW w:w="1159" w:type="pct"/>
            <w:tcMar>
              <w:top w:w="0" w:type="dxa"/>
              <w:left w:w="108" w:type="dxa"/>
              <w:bottom w:w="0" w:type="dxa"/>
              <w:right w:w="108" w:type="dxa"/>
            </w:tcMar>
          </w:tcPr>
          <w:p w14:paraId="6C66E15C" w14:textId="67B45139"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lastRenderedPageBreak/>
              <w:t>Legislative and institutional frameworks accommodating for the requirements of efficient approximation</w:t>
            </w:r>
          </w:p>
        </w:tc>
      </w:tr>
      <w:tr w:rsidR="000D19A9" w:rsidRPr="007C4D65" w14:paraId="19064828" w14:textId="77777777" w:rsidTr="00B6017F">
        <w:trPr>
          <w:trHeight w:val="287"/>
        </w:trPr>
        <w:tc>
          <w:tcPr>
            <w:tcW w:w="658" w:type="pct"/>
            <w:vMerge/>
            <w:shd w:val="clear" w:color="auto" w:fill="D9D9D9"/>
            <w:vAlign w:val="center"/>
          </w:tcPr>
          <w:p w14:paraId="5AB6BB2F"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F37D257"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0B8D2C66" w14:textId="01454510"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Capacities and skills of the employees in water sector institutions (administrative bodies, agencies, institutes, etc.) at all levels of government in the Federation of BiH</w:t>
            </w:r>
          </w:p>
        </w:tc>
        <w:tc>
          <w:tcPr>
            <w:tcW w:w="1159" w:type="pct"/>
            <w:tcMar>
              <w:top w:w="0" w:type="dxa"/>
              <w:left w:w="108" w:type="dxa"/>
              <w:bottom w:w="0" w:type="dxa"/>
              <w:right w:w="108" w:type="dxa"/>
            </w:tcMar>
          </w:tcPr>
          <w:p w14:paraId="41ED01E6"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Lack of capacities and insufficient training of the employees in competent institutions in water sector at all levels in the Federation of BiH </w:t>
            </w:r>
          </w:p>
          <w:p w14:paraId="3C6E9AEA" w14:textId="4D2518F8" w:rsidR="000D19A9" w:rsidRPr="007C4D65" w:rsidRDefault="000D19A9">
            <w:pPr>
              <w:pStyle w:val="ListParagraph"/>
              <w:numPr>
                <w:ilvl w:val="0"/>
                <w:numId w:val="197"/>
              </w:numPr>
              <w:spacing w:line="276" w:lineRule="auto"/>
              <w:ind w:left="357" w:hanging="357"/>
              <w:rPr>
                <w:rFonts w:asciiTheme="minorHAnsi" w:hAnsiTheme="minorHAnsi" w:cstheme="minorHAnsi"/>
                <w:sz w:val="18"/>
                <w:szCs w:val="18"/>
              </w:rPr>
            </w:pPr>
            <w:r w:rsidRPr="007C4D65">
              <w:rPr>
                <w:rFonts w:asciiTheme="minorHAnsi" w:hAnsiTheme="minorHAnsi"/>
                <w:sz w:val="18"/>
                <w:szCs w:val="18"/>
              </w:rPr>
              <w:t>harmonization and implementation of the EU acquis</w:t>
            </w:r>
          </w:p>
          <w:p w14:paraId="7A39CBFC" w14:textId="77777777" w:rsidR="000D19A9" w:rsidRPr="007C4D65" w:rsidRDefault="000D19A9">
            <w:pPr>
              <w:pStyle w:val="ListParagraph"/>
              <w:numPr>
                <w:ilvl w:val="0"/>
                <w:numId w:val="197"/>
              </w:numPr>
              <w:spacing w:line="276" w:lineRule="auto"/>
              <w:ind w:left="357" w:hanging="357"/>
              <w:rPr>
                <w:rFonts w:asciiTheme="minorHAnsi" w:hAnsiTheme="minorHAnsi" w:cstheme="minorHAnsi"/>
                <w:sz w:val="18"/>
                <w:szCs w:val="18"/>
              </w:rPr>
            </w:pPr>
            <w:r w:rsidRPr="007C4D65">
              <w:rPr>
                <w:rFonts w:asciiTheme="minorHAnsi" w:hAnsiTheme="minorHAnsi"/>
                <w:sz w:val="18"/>
                <w:szCs w:val="18"/>
              </w:rPr>
              <w:t>implementation of commitment under international agreements</w:t>
            </w:r>
          </w:p>
          <w:p w14:paraId="16537F9B" w14:textId="233BAF92" w:rsidR="000D19A9" w:rsidRPr="007C4D65" w:rsidRDefault="000D19A9">
            <w:pPr>
              <w:pStyle w:val="ListParagraph"/>
              <w:numPr>
                <w:ilvl w:val="0"/>
                <w:numId w:val="197"/>
              </w:numPr>
              <w:spacing w:line="276" w:lineRule="auto"/>
              <w:ind w:left="357" w:hanging="357"/>
              <w:rPr>
                <w:rFonts w:asciiTheme="minorHAnsi" w:hAnsiTheme="minorHAnsi" w:cstheme="minorHAnsi"/>
                <w:sz w:val="18"/>
                <w:szCs w:val="18"/>
              </w:rPr>
            </w:pPr>
            <w:r w:rsidRPr="007C4D65">
              <w:rPr>
                <w:rFonts w:asciiTheme="minorHAnsi" w:hAnsiTheme="minorHAnsi"/>
                <w:sz w:val="18"/>
                <w:szCs w:val="18"/>
              </w:rPr>
              <w:t>implementation of law and legislation</w:t>
            </w:r>
          </w:p>
          <w:p w14:paraId="1C5316EE"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implementation of strategic and planning documents in water sector</w:t>
            </w:r>
          </w:p>
        </w:tc>
        <w:tc>
          <w:tcPr>
            <w:tcW w:w="1159" w:type="pct"/>
            <w:tcMar>
              <w:top w:w="0" w:type="dxa"/>
              <w:left w:w="108" w:type="dxa"/>
              <w:bottom w:w="0" w:type="dxa"/>
              <w:right w:w="108" w:type="dxa"/>
            </w:tcMar>
          </w:tcPr>
          <w:p w14:paraId="3AA37616"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Capacities and skills of the employees in the water sector institutions in the Federation of BiH in line </w:t>
            </w:r>
          </w:p>
          <w:p w14:paraId="2BF60ABA" w14:textId="77777777" w:rsidR="000D19A9" w:rsidRPr="007C4D65" w:rsidRDefault="000D19A9">
            <w:pPr>
              <w:pStyle w:val="ListParagraph"/>
              <w:numPr>
                <w:ilvl w:val="0"/>
                <w:numId w:val="197"/>
              </w:numPr>
              <w:spacing w:line="276" w:lineRule="auto"/>
              <w:ind w:left="357" w:hanging="357"/>
              <w:rPr>
                <w:rFonts w:asciiTheme="minorHAnsi" w:hAnsiTheme="minorHAnsi" w:cstheme="minorHAnsi"/>
                <w:sz w:val="18"/>
                <w:szCs w:val="18"/>
              </w:rPr>
            </w:pPr>
            <w:r w:rsidRPr="007C4D65">
              <w:rPr>
                <w:rFonts w:asciiTheme="minorHAnsi" w:hAnsiTheme="minorHAnsi"/>
                <w:sz w:val="18"/>
                <w:szCs w:val="18"/>
              </w:rPr>
              <w:t>with requirements of harmonization and implementation of the EU acquis and commitments under international agreements on water and the needs to implement water sector laws and legislation, strategic planning documents in water sector</w:t>
            </w:r>
          </w:p>
        </w:tc>
      </w:tr>
      <w:tr w:rsidR="000D19A9" w:rsidRPr="007C4D65" w14:paraId="616F5DE1" w14:textId="77777777" w:rsidTr="00B6017F">
        <w:trPr>
          <w:trHeight w:val="287"/>
        </w:trPr>
        <w:tc>
          <w:tcPr>
            <w:tcW w:w="658" w:type="pct"/>
            <w:vMerge/>
            <w:shd w:val="clear" w:color="auto" w:fill="D9D9D9"/>
            <w:vAlign w:val="center"/>
          </w:tcPr>
          <w:p w14:paraId="210ADE0E"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8F5896A"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EA5888A" w14:textId="6825B919" w:rsidR="000D19A9" w:rsidRPr="007C4D65" w:rsidRDefault="000D19A9" w:rsidP="00B6017F">
            <w:pPr>
              <w:spacing w:line="276" w:lineRule="auto"/>
              <w:jc w:val="both"/>
              <w:rPr>
                <w:rFonts w:asciiTheme="minorHAnsi" w:hAnsiTheme="minorHAnsi" w:cstheme="minorHAnsi"/>
                <w:sz w:val="18"/>
                <w:szCs w:val="18"/>
              </w:rPr>
            </w:pPr>
            <w:r w:rsidRPr="007C4D65">
              <w:rPr>
                <w:rFonts w:asciiTheme="minorHAnsi" w:hAnsiTheme="minorHAnsi"/>
                <w:sz w:val="18"/>
                <w:szCs w:val="18"/>
              </w:rPr>
              <w:t>Status of planning and implementing all EU directives of relevance in water sector</w:t>
            </w:r>
          </w:p>
        </w:tc>
        <w:tc>
          <w:tcPr>
            <w:tcW w:w="1159" w:type="pct"/>
            <w:tcMar>
              <w:top w:w="0" w:type="dxa"/>
              <w:left w:w="108" w:type="dxa"/>
              <w:bottom w:w="0" w:type="dxa"/>
              <w:right w:w="108" w:type="dxa"/>
            </w:tcMar>
          </w:tcPr>
          <w:p w14:paraId="6F73F896" w14:textId="0A3AE4B4" w:rsidR="000D19A9" w:rsidRPr="007C4D65" w:rsidRDefault="000D19A9" w:rsidP="00B6017F">
            <w:pPr>
              <w:spacing w:line="276" w:lineRule="auto"/>
              <w:jc w:val="both"/>
              <w:rPr>
                <w:rFonts w:asciiTheme="minorHAnsi" w:hAnsiTheme="minorHAnsi" w:cstheme="minorHAnsi"/>
                <w:sz w:val="18"/>
                <w:szCs w:val="18"/>
              </w:rPr>
            </w:pPr>
            <w:r w:rsidRPr="007C4D65">
              <w:rPr>
                <w:rFonts w:asciiTheme="minorHAnsi" w:hAnsiTheme="minorHAnsi"/>
                <w:sz w:val="18"/>
                <w:szCs w:val="18"/>
              </w:rPr>
              <w:t>Planning is in initial phase, and is done by updating the APIDs developed under the Strategy</w:t>
            </w:r>
          </w:p>
        </w:tc>
        <w:tc>
          <w:tcPr>
            <w:tcW w:w="1159" w:type="pct"/>
            <w:tcMar>
              <w:top w:w="0" w:type="dxa"/>
              <w:left w:w="108" w:type="dxa"/>
              <w:bottom w:w="0" w:type="dxa"/>
              <w:right w:w="108" w:type="dxa"/>
            </w:tcMar>
          </w:tcPr>
          <w:p w14:paraId="4F148641" w14:textId="7AB935EE"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Developed implementation plans for all Directives (APIDs), and implemented in accordance with time schedule specified in the APID</w:t>
            </w:r>
          </w:p>
        </w:tc>
      </w:tr>
      <w:tr w:rsidR="000D19A9" w:rsidRPr="007C4D65" w14:paraId="365C96B5" w14:textId="77777777" w:rsidTr="00B6017F">
        <w:trPr>
          <w:trHeight w:val="287"/>
        </w:trPr>
        <w:tc>
          <w:tcPr>
            <w:tcW w:w="658" w:type="pct"/>
            <w:vMerge/>
            <w:shd w:val="clear" w:color="auto" w:fill="D9D9D9"/>
            <w:vAlign w:val="center"/>
            <w:hideMark/>
          </w:tcPr>
          <w:p w14:paraId="08715AA8"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7FAF914E"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tcPr>
          <w:p w14:paraId="0D6658F9"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hemeFill="background1" w:themeFillShade="D9"/>
            <w:tcMar>
              <w:top w:w="0" w:type="dxa"/>
              <w:left w:w="108" w:type="dxa"/>
              <w:bottom w:w="0" w:type="dxa"/>
              <w:right w:w="108" w:type="dxa"/>
            </w:tcMar>
            <w:vAlign w:val="center"/>
          </w:tcPr>
          <w:p w14:paraId="2A6FF0D8"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hemeFill="background1" w:themeFillShade="D9"/>
            <w:tcMar>
              <w:top w:w="0" w:type="dxa"/>
              <w:left w:w="108" w:type="dxa"/>
              <w:bottom w:w="0" w:type="dxa"/>
              <w:right w:w="108" w:type="dxa"/>
            </w:tcMar>
            <w:vAlign w:val="center"/>
          </w:tcPr>
          <w:p w14:paraId="237764A3"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0C6EE39A" w14:textId="77777777" w:rsidTr="00B6017F">
        <w:trPr>
          <w:trHeight w:val="287"/>
        </w:trPr>
        <w:tc>
          <w:tcPr>
            <w:tcW w:w="658" w:type="pct"/>
            <w:vMerge/>
            <w:shd w:val="clear" w:color="auto" w:fill="D9D9D9"/>
            <w:vAlign w:val="center"/>
          </w:tcPr>
          <w:p w14:paraId="190E8143"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C81A335"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45F071C"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25,6</w:t>
            </w:r>
          </w:p>
        </w:tc>
        <w:tc>
          <w:tcPr>
            <w:tcW w:w="1159" w:type="pct"/>
            <w:tcMar>
              <w:top w:w="0" w:type="dxa"/>
              <w:left w:w="108" w:type="dxa"/>
              <w:bottom w:w="0" w:type="dxa"/>
              <w:right w:w="108" w:type="dxa"/>
            </w:tcMar>
            <w:vAlign w:val="center"/>
          </w:tcPr>
          <w:p w14:paraId="7CA0BBB9"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486,1</w:t>
            </w:r>
          </w:p>
        </w:tc>
        <w:tc>
          <w:tcPr>
            <w:tcW w:w="1159" w:type="pct"/>
            <w:tcMar>
              <w:top w:w="0" w:type="dxa"/>
              <w:left w:w="108" w:type="dxa"/>
              <w:bottom w:w="0" w:type="dxa"/>
              <w:right w:w="108" w:type="dxa"/>
            </w:tcMar>
            <w:vAlign w:val="center"/>
          </w:tcPr>
          <w:p w14:paraId="3D4EA078"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511,8</w:t>
            </w:r>
          </w:p>
        </w:tc>
      </w:tr>
    </w:tbl>
    <w:p w14:paraId="151E53C7" w14:textId="77777777" w:rsidR="000D19A9" w:rsidRPr="007C4D65" w:rsidRDefault="000D19A9" w:rsidP="000D19A9">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0D19A9" w:rsidRPr="007C4D65" w14:paraId="52B4CCD0"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4780C20C"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1.5.1. Measure</w:t>
            </w:r>
          </w:p>
        </w:tc>
        <w:tc>
          <w:tcPr>
            <w:tcW w:w="864" w:type="pct"/>
            <w:vMerge w:val="restart"/>
            <w:tcMar>
              <w:top w:w="0" w:type="dxa"/>
              <w:left w:w="108" w:type="dxa"/>
              <w:bottom w:w="0" w:type="dxa"/>
              <w:right w:w="108" w:type="dxa"/>
            </w:tcMar>
            <w:vAlign w:val="center"/>
          </w:tcPr>
          <w:p w14:paraId="31A12E83"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Ensure effective implementation of the Programme of integration with EU regarding the Water Management sector (</w:t>
            </w:r>
            <w:proofErr w:type="gramStart"/>
            <w:r w:rsidRPr="007C4D65">
              <w:rPr>
                <w:rFonts w:asciiTheme="minorHAnsi" w:hAnsiTheme="minorHAnsi"/>
                <w:sz w:val="18"/>
                <w:szCs w:val="18"/>
              </w:rPr>
              <w:t>on the basis of</w:t>
            </w:r>
            <w:proofErr w:type="gramEnd"/>
            <w:r w:rsidRPr="007C4D65">
              <w:rPr>
                <w:rFonts w:asciiTheme="minorHAnsi" w:hAnsiTheme="minorHAnsi"/>
                <w:sz w:val="18"/>
                <w:szCs w:val="18"/>
              </w:rPr>
              <w:t xml:space="preserve"> four-year cycles)</w:t>
            </w:r>
          </w:p>
        </w:tc>
        <w:tc>
          <w:tcPr>
            <w:tcW w:w="1159" w:type="pct"/>
            <w:shd w:val="clear" w:color="auto" w:fill="D9D9D9" w:themeFill="background1" w:themeFillShade="D9"/>
            <w:tcMar>
              <w:top w:w="0" w:type="dxa"/>
              <w:left w:w="108" w:type="dxa"/>
              <w:bottom w:w="0" w:type="dxa"/>
              <w:right w:w="108" w:type="dxa"/>
            </w:tcMar>
            <w:vAlign w:val="center"/>
            <w:hideMark/>
          </w:tcPr>
          <w:p w14:paraId="0F821D80"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of the measure</w:t>
            </w:r>
          </w:p>
        </w:tc>
        <w:tc>
          <w:tcPr>
            <w:tcW w:w="1159" w:type="pct"/>
            <w:shd w:val="clear" w:color="auto" w:fill="D9D9D9" w:themeFill="background1" w:themeFillShade="D9"/>
            <w:tcMar>
              <w:top w:w="0" w:type="dxa"/>
              <w:left w:w="108" w:type="dxa"/>
              <w:bottom w:w="0" w:type="dxa"/>
              <w:right w:w="108" w:type="dxa"/>
            </w:tcMar>
            <w:vAlign w:val="center"/>
            <w:hideMark/>
          </w:tcPr>
          <w:p w14:paraId="0DB27D09"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hemeFill="background1" w:themeFillShade="D9"/>
            <w:vAlign w:val="center"/>
          </w:tcPr>
          <w:p w14:paraId="13738B54"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7BE150ED" w14:textId="77777777" w:rsidTr="00B6017F">
        <w:trPr>
          <w:trHeight w:val="287"/>
        </w:trPr>
        <w:tc>
          <w:tcPr>
            <w:tcW w:w="658" w:type="pct"/>
            <w:vMerge/>
            <w:shd w:val="clear" w:color="auto" w:fill="D9D9D9"/>
            <w:vAlign w:val="center"/>
          </w:tcPr>
          <w:p w14:paraId="7D222359"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1B2FABB"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auto"/>
            <w:tcMar>
              <w:top w:w="0" w:type="dxa"/>
              <w:left w:w="108" w:type="dxa"/>
              <w:bottom w:w="0" w:type="dxa"/>
              <w:right w:w="108" w:type="dxa"/>
            </w:tcMar>
            <w:vAlign w:val="center"/>
          </w:tcPr>
          <w:p w14:paraId="6A4992E6"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Status of development and adoption of the list of priorities for harmonisation with the Water Directives and for institutional measures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water management for four-year periods</w:t>
            </w:r>
          </w:p>
        </w:tc>
        <w:tc>
          <w:tcPr>
            <w:tcW w:w="1159" w:type="pct"/>
            <w:shd w:val="clear" w:color="auto" w:fill="auto"/>
            <w:tcMar>
              <w:top w:w="0" w:type="dxa"/>
              <w:left w:w="108" w:type="dxa"/>
              <w:bottom w:w="0" w:type="dxa"/>
              <w:right w:w="108" w:type="dxa"/>
            </w:tcMar>
            <w:vAlign w:val="center"/>
          </w:tcPr>
          <w:p w14:paraId="23957FE3" w14:textId="60DD5C0C" w:rsidR="000D19A9" w:rsidRPr="007C4D65" w:rsidRDefault="000D19A9" w:rsidP="00B6017F">
            <w:pPr>
              <w:spacing w:before="40" w:after="40" w:line="276" w:lineRule="auto"/>
              <w:contextualSpacing/>
              <w:rPr>
                <w:rFonts w:asciiTheme="minorHAnsi" w:hAnsiTheme="minorHAnsi" w:cstheme="minorHAnsi"/>
                <w:sz w:val="18"/>
                <w:szCs w:val="18"/>
              </w:rPr>
            </w:pPr>
            <w:r w:rsidRPr="007C4D65">
              <w:rPr>
                <w:rFonts w:asciiTheme="minorHAnsi" w:hAnsiTheme="minorHAnsi"/>
                <w:sz w:val="18"/>
                <w:szCs w:val="18"/>
              </w:rPr>
              <w:t>Draft list of priorities has been developed, but it has not been adopted</w:t>
            </w:r>
          </w:p>
        </w:tc>
        <w:tc>
          <w:tcPr>
            <w:tcW w:w="1159" w:type="pct"/>
            <w:shd w:val="clear" w:color="auto" w:fill="auto"/>
            <w:vAlign w:val="center"/>
          </w:tcPr>
          <w:p w14:paraId="3957E462" w14:textId="77777777" w:rsidR="000D19A9" w:rsidRPr="007C4D65" w:rsidRDefault="000D19A9" w:rsidP="00B6017F">
            <w:pPr>
              <w:spacing w:before="40" w:after="40" w:line="276" w:lineRule="auto"/>
              <w:rPr>
                <w:rFonts w:asciiTheme="minorHAnsi" w:hAnsiTheme="minorHAnsi" w:cstheme="minorHAnsi"/>
                <w:sz w:val="18"/>
                <w:szCs w:val="18"/>
              </w:rPr>
            </w:pPr>
            <w:r w:rsidRPr="007C4D65">
              <w:rPr>
                <w:rFonts w:asciiTheme="minorHAnsi" w:hAnsiTheme="minorHAnsi"/>
                <w:sz w:val="18"/>
                <w:szCs w:val="18"/>
              </w:rPr>
              <w:t>The final list prepared and adopted (2023)</w:t>
            </w:r>
          </w:p>
        </w:tc>
      </w:tr>
      <w:tr w:rsidR="000D19A9" w:rsidRPr="007C4D65" w14:paraId="26CE35B9" w14:textId="77777777" w:rsidTr="00B6017F">
        <w:trPr>
          <w:trHeight w:val="287"/>
        </w:trPr>
        <w:tc>
          <w:tcPr>
            <w:tcW w:w="658" w:type="pct"/>
            <w:vMerge/>
            <w:shd w:val="clear" w:color="auto" w:fill="D9D9D9"/>
            <w:vAlign w:val="center"/>
          </w:tcPr>
          <w:p w14:paraId="0DEA7F53"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82343ED"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hemeFill="background1"/>
            <w:tcMar>
              <w:top w:w="0" w:type="dxa"/>
              <w:left w:w="108" w:type="dxa"/>
              <w:bottom w:w="0" w:type="dxa"/>
              <w:right w:w="108" w:type="dxa"/>
            </w:tcMar>
            <w:vAlign w:val="center"/>
          </w:tcPr>
          <w:p w14:paraId="09E3FA60" w14:textId="3387276A" w:rsidR="000D19A9" w:rsidRPr="007C4D65" w:rsidRDefault="000D19A9" w:rsidP="003A25F3">
            <w:pPr>
              <w:spacing w:before="40" w:after="40" w:line="276" w:lineRule="auto"/>
              <w:rPr>
                <w:rFonts w:asciiTheme="minorHAnsi" w:hAnsiTheme="minorHAnsi" w:cstheme="minorHAnsi"/>
                <w:sz w:val="18"/>
                <w:szCs w:val="18"/>
                <w:lang w:val="hr-HR"/>
              </w:rPr>
            </w:pPr>
            <w:r w:rsidRPr="007C4D65">
              <w:rPr>
                <w:rFonts w:asciiTheme="minorHAnsi" w:hAnsiTheme="minorHAnsi"/>
                <w:sz w:val="18"/>
                <w:szCs w:val="18"/>
              </w:rPr>
              <w:t xml:space="preserve">Level of completion of the Time Plan for approximation to the EU water </w:t>
            </w:r>
            <w:r w:rsidRPr="007C4D65">
              <w:rPr>
                <w:rFonts w:asciiTheme="minorHAnsi" w:hAnsiTheme="minorHAnsi"/>
                <w:sz w:val="18"/>
                <w:szCs w:val="18"/>
              </w:rPr>
              <w:lastRenderedPageBreak/>
              <w:t xml:space="preserve">regulations in </w:t>
            </w:r>
            <w:r w:rsidR="00227D11" w:rsidRPr="007C4D65">
              <w:rPr>
                <w:rFonts w:asciiTheme="minorHAnsi" w:hAnsiTheme="minorHAnsi"/>
                <w:sz w:val="18"/>
                <w:szCs w:val="18"/>
              </w:rPr>
              <w:t>the Federation of BiH</w:t>
            </w:r>
            <w:r w:rsidRPr="007C4D65">
              <w:rPr>
                <w:rFonts w:asciiTheme="minorHAnsi" w:hAnsiTheme="minorHAnsi"/>
                <w:sz w:val="18"/>
                <w:szCs w:val="18"/>
              </w:rPr>
              <w:t xml:space="preserve"> and for institutional measures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water management (for four-year periods)</w:t>
            </w:r>
          </w:p>
        </w:tc>
        <w:tc>
          <w:tcPr>
            <w:tcW w:w="1159" w:type="pct"/>
            <w:shd w:val="clear" w:color="auto" w:fill="FFFFFF" w:themeFill="background1"/>
            <w:tcMar>
              <w:top w:w="0" w:type="dxa"/>
              <w:left w:w="108" w:type="dxa"/>
              <w:bottom w:w="0" w:type="dxa"/>
              <w:right w:w="108" w:type="dxa"/>
            </w:tcMar>
            <w:vAlign w:val="center"/>
          </w:tcPr>
          <w:p w14:paraId="0A08DD44" w14:textId="14224864"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lastRenderedPageBreak/>
              <w:t>Time Plan for the four-year period has not been developed</w:t>
            </w:r>
          </w:p>
        </w:tc>
        <w:tc>
          <w:tcPr>
            <w:tcW w:w="1159" w:type="pct"/>
            <w:shd w:val="clear" w:color="auto" w:fill="FFFFFF" w:themeFill="background1"/>
            <w:vAlign w:val="center"/>
          </w:tcPr>
          <w:p w14:paraId="111D2983" w14:textId="2C7EFCBA"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Time Plan for the four-year period developed (2023)</w:t>
            </w:r>
          </w:p>
        </w:tc>
      </w:tr>
      <w:tr w:rsidR="000D19A9" w:rsidRPr="007C4D65" w14:paraId="5945FAF2" w14:textId="77777777" w:rsidTr="00B6017F">
        <w:trPr>
          <w:trHeight w:val="287"/>
        </w:trPr>
        <w:tc>
          <w:tcPr>
            <w:tcW w:w="658" w:type="pct"/>
            <w:vMerge/>
            <w:shd w:val="clear" w:color="auto" w:fill="D9D9D9"/>
            <w:vAlign w:val="center"/>
          </w:tcPr>
          <w:p w14:paraId="4FEFB759"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A59B390"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hemeFill="background1"/>
            <w:tcMar>
              <w:top w:w="0" w:type="dxa"/>
              <w:left w:w="108" w:type="dxa"/>
              <w:bottom w:w="0" w:type="dxa"/>
              <w:right w:w="108" w:type="dxa"/>
            </w:tcMar>
            <w:vAlign w:val="center"/>
          </w:tcPr>
          <w:p w14:paraId="1E4A7A2D"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Establish an operational structure within the FMAWMF for coordination of the process of accession to the EU/ for coordination when implementing the Programme of integration and development of DSIPs and APIDs for water directives</w:t>
            </w:r>
          </w:p>
        </w:tc>
        <w:tc>
          <w:tcPr>
            <w:tcW w:w="1159" w:type="pct"/>
            <w:shd w:val="clear" w:color="auto" w:fill="FFFFFF" w:themeFill="background1"/>
            <w:tcMar>
              <w:top w:w="0" w:type="dxa"/>
              <w:left w:w="108" w:type="dxa"/>
              <w:bottom w:w="0" w:type="dxa"/>
              <w:right w:w="108" w:type="dxa"/>
            </w:tcMar>
            <w:vAlign w:val="center"/>
          </w:tcPr>
          <w:p w14:paraId="2A3DC22D"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Official operational coordinating structure has not been established </w:t>
            </w:r>
          </w:p>
        </w:tc>
        <w:tc>
          <w:tcPr>
            <w:tcW w:w="1159" w:type="pct"/>
            <w:shd w:val="clear" w:color="auto" w:fill="FFFFFF" w:themeFill="background1"/>
            <w:vAlign w:val="center"/>
          </w:tcPr>
          <w:p w14:paraId="1E4F0A2C"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Coordinating structure in the FMAWMF established and operational (2023)</w:t>
            </w:r>
          </w:p>
        </w:tc>
      </w:tr>
      <w:tr w:rsidR="000D19A9" w:rsidRPr="007C4D65" w14:paraId="28C884C7" w14:textId="77777777" w:rsidTr="00B6017F">
        <w:trPr>
          <w:trHeight w:val="483"/>
        </w:trPr>
        <w:tc>
          <w:tcPr>
            <w:tcW w:w="658" w:type="pct"/>
            <w:vMerge/>
            <w:shd w:val="clear" w:color="auto" w:fill="D9D9D9"/>
            <w:vAlign w:val="center"/>
            <w:hideMark/>
          </w:tcPr>
          <w:p w14:paraId="6CB90242"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09890D8"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hideMark/>
          </w:tcPr>
          <w:p w14:paraId="47F9737A"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hemeFill="background1" w:themeFillShade="D9"/>
            <w:tcMar>
              <w:top w:w="0" w:type="dxa"/>
              <w:left w:w="108" w:type="dxa"/>
              <w:bottom w:w="0" w:type="dxa"/>
              <w:right w:w="108" w:type="dxa"/>
            </w:tcMar>
            <w:vAlign w:val="center"/>
            <w:hideMark/>
          </w:tcPr>
          <w:p w14:paraId="47CFF453"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hemeFill="background1" w:themeFillShade="D9"/>
            <w:tcMar>
              <w:top w:w="0" w:type="dxa"/>
              <w:left w:w="108" w:type="dxa"/>
              <w:bottom w:w="0" w:type="dxa"/>
              <w:right w:w="108" w:type="dxa"/>
            </w:tcMar>
            <w:vAlign w:val="center"/>
            <w:hideMark/>
          </w:tcPr>
          <w:p w14:paraId="0FDCE84D"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38D9BF16" w14:textId="77777777" w:rsidTr="00B6017F">
        <w:trPr>
          <w:trHeight w:val="287"/>
        </w:trPr>
        <w:tc>
          <w:tcPr>
            <w:tcW w:w="658" w:type="pct"/>
            <w:vMerge/>
            <w:shd w:val="clear" w:color="auto" w:fill="D9D9D9"/>
            <w:vAlign w:val="center"/>
            <w:hideMark/>
          </w:tcPr>
          <w:p w14:paraId="2F9A7F9D"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51E8226"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E73DD06"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0,020</w:t>
            </w:r>
          </w:p>
        </w:tc>
        <w:tc>
          <w:tcPr>
            <w:tcW w:w="1159" w:type="pct"/>
            <w:tcMar>
              <w:top w:w="0" w:type="dxa"/>
              <w:left w:w="108" w:type="dxa"/>
              <w:bottom w:w="0" w:type="dxa"/>
              <w:right w:w="108" w:type="dxa"/>
            </w:tcMar>
            <w:vAlign w:val="center"/>
          </w:tcPr>
          <w:p w14:paraId="0DF2F444"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3C919A50"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0,020</w:t>
            </w:r>
          </w:p>
        </w:tc>
      </w:tr>
      <w:tr w:rsidR="000D19A9" w:rsidRPr="007C4D65" w14:paraId="24B802A6"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14848889"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1.5.2. Measure</w:t>
            </w:r>
          </w:p>
        </w:tc>
        <w:tc>
          <w:tcPr>
            <w:tcW w:w="864" w:type="pct"/>
            <w:vMerge w:val="restart"/>
            <w:tcMar>
              <w:top w:w="0" w:type="dxa"/>
              <w:left w:w="108" w:type="dxa"/>
              <w:bottom w:w="0" w:type="dxa"/>
              <w:right w:w="108" w:type="dxa"/>
            </w:tcMar>
            <w:vAlign w:val="center"/>
          </w:tcPr>
          <w:p w14:paraId="3B76A592" w14:textId="0978C4D9"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Improve legislation in the field of water for the purpose of effective approximation of Federation of BiH water legislation to the </w:t>
            </w:r>
            <w:r w:rsidR="001E4D90" w:rsidRPr="007C4D65">
              <w:rPr>
                <w:rFonts w:asciiTheme="minorHAnsi" w:hAnsiTheme="minorHAnsi"/>
                <w:sz w:val="18"/>
                <w:szCs w:val="18"/>
              </w:rPr>
              <w:t>EU regulations</w:t>
            </w:r>
          </w:p>
        </w:tc>
        <w:tc>
          <w:tcPr>
            <w:tcW w:w="1159" w:type="pct"/>
            <w:shd w:val="clear" w:color="auto" w:fill="D9D9D9" w:themeFill="background1" w:themeFillShade="D9"/>
            <w:tcMar>
              <w:top w:w="0" w:type="dxa"/>
              <w:left w:w="108" w:type="dxa"/>
              <w:bottom w:w="0" w:type="dxa"/>
              <w:right w:w="108" w:type="dxa"/>
            </w:tcMar>
            <w:vAlign w:val="center"/>
            <w:hideMark/>
          </w:tcPr>
          <w:p w14:paraId="51BA958C"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hemeFill="background1" w:themeFillShade="D9"/>
            <w:tcMar>
              <w:top w:w="0" w:type="dxa"/>
              <w:left w:w="108" w:type="dxa"/>
              <w:bottom w:w="0" w:type="dxa"/>
              <w:right w:w="108" w:type="dxa"/>
            </w:tcMar>
            <w:vAlign w:val="center"/>
            <w:hideMark/>
          </w:tcPr>
          <w:p w14:paraId="7E080EF2"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hemeFill="background1" w:themeFillShade="D9"/>
            <w:vAlign w:val="center"/>
          </w:tcPr>
          <w:p w14:paraId="16325A1F"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0FDF8CB2" w14:textId="77777777" w:rsidTr="00B6017F">
        <w:trPr>
          <w:trHeight w:val="287"/>
        </w:trPr>
        <w:tc>
          <w:tcPr>
            <w:tcW w:w="658" w:type="pct"/>
            <w:vMerge/>
            <w:shd w:val="clear" w:color="auto" w:fill="D9D9D9"/>
            <w:vAlign w:val="center"/>
            <w:hideMark/>
          </w:tcPr>
          <w:p w14:paraId="424A544D"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890D814"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auto"/>
            <w:tcMar>
              <w:top w:w="0" w:type="dxa"/>
              <w:left w:w="108" w:type="dxa"/>
              <w:bottom w:w="0" w:type="dxa"/>
              <w:right w:w="108" w:type="dxa"/>
            </w:tcMar>
            <w:vAlign w:val="center"/>
          </w:tcPr>
          <w:p w14:paraId="492C4226" w14:textId="5DC26895" w:rsidR="000D19A9" w:rsidRPr="007C4D65" w:rsidRDefault="000D19A9" w:rsidP="003A25F3">
            <w:pPr>
              <w:spacing w:before="40" w:after="40" w:line="276" w:lineRule="auto"/>
              <w:rPr>
                <w:rFonts w:asciiTheme="minorHAnsi" w:eastAsia="Calibri" w:hAnsiTheme="minorHAnsi" w:cstheme="minorHAnsi"/>
                <w:sz w:val="18"/>
                <w:szCs w:val="18"/>
              </w:rPr>
            </w:pPr>
            <w:r w:rsidRPr="007C4D65">
              <w:rPr>
                <w:rFonts w:asciiTheme="minorHAnsi" w:hAnsiTheme="minorHAnsi"/>
                <w:sz w:val="18"/>
                <w:szCs w:val="18"/>
              </w:rPr>
              <w:t xml:space="preserve">Level of completion of the analysis of legislation for the purpose of identifying the competency overlaps, gaps in definition of competencies, and prescribed coordination mechanisms from the aspect of approximation of </w:t>
            </w:r>
            <w:r w:rsidR="00227D11" w:rsidRPr="007C4D65">
              <w:rPr>
                <w:rFonts w:asciiTheme="minorHAnsi" w:hAnsiTheme="minorHAnsi"/>
                <w:sz w:val="18"/>
                <w:szCs w:val="18"/>
              </w:rPr>
              <w:t xml:space="preserve">the Federation of BiH </w:t>
            </w:r>
            <w:r w:rsidRPr="007C4D65">
              <w:rPr>
                <w:rFonts w:asciiTheme="minorHAnsi" w:hAnsiTheme="minorHAnsi"/>
                <w:sz w:val="18"/>
                <w:szCs w:val="18"/>
              </w:rPr>
              <w:t xml:space="preserve">legislation to the </w:t>
            </w:r>
            <w:r w:rsidR="001E4D90" w:rsidRPr="007C4D65">
              <w:rPr>
                <w:rFonts w:asciiTheme="minorHAnsi" w:hAnsiTheme="minorHAnsi"/>
                <w:sz w:val="18"/>
                <w:szCs w:val="18"/>
              </w:rPr>
              <w:t>EU regulations</w:t>
            </w:r>
          </w:p>
        </w:tc>
        <w:tc>
          <w:tcPr>
            <w:tcW w:w="1159" w:type="pct"/>
            <w:shd w:val="clear" w:color="auto" w:fill="auto"/>
            <w:tcMar>
              <w:top w:w="0" w:type="dxa"/>
              <w:left w:w="108" w:type="dxa"/>
              <w:bottom w:w="0" w:type="dxa"/>
              <w:right w:w="108" w:type="dxa"/>
            </w:tcMar>
            <w:vAlign w:val="center"/>
          </w:tcPr>
          <w:p w14:paraId="0DF59406" w14:textId="77777777" w:rsidR="000D19A9" w:rsidRPr="007C4D65" w:rsidRDefault="000D19A9" w:rsidP="00B6017F">
            <w:pPr>
              <w:spacing w:before="40" w:after="40" w:line="276" w:lineRule="auto"/>
              <w:contextualSpacing/>
              <w:rPr>
                <w:rFonts w:asciiTheme="minorHAnsi" w:hAnsiTheme="minorHAnsi" w:cstheme="minorHAnsi"/>
                <w:sz w:val="18"/>
                <w:szCs w:val="18"/>
              </w:rPr>
            </w:pPr>
            <w:r w:rsidRPr="007C4D65">
              <w:rPr>
                <w:rFonts w:asciiTheme="minorHAnsi" w:hAnsiTheme="minorHAnsi"/>
                <w:sz w:val="18"/>
                <w:szCs w:val="18"/>
              </w:rPr>
              <w:t xml:space="preserve">The analysis has not started yet </w:t>
            </w:r>
          </w:p>
          <w:p w14:paraId="213C6E37" w14:textId="77777777" w:rsidR="000D19A9" w:rsidRPr="007C4D65" w:rsidRDefault="000D19A9" w:rsidP="00B6017F">
            <w:pPr>
              <w:spacing w:before="40" w:after="40" w:line="276" w:lineRule="auto"/>
              <w:contextualSpacing/>
              <w:rPr>
                <w:rFonts w:asciiTheme="minorHAnsi" w:hAnsiTheme="minorHAnsi" w:cstheme="minorHAnsi"/>
                <w:sz w:val="18"/>
                <w:szCs w:val="18"/>
                <w:lang w:val="hr-HR" w:bidi="en-US"/>
              </w:rPr>
            </w:pPr>
          </w:p>
          <w:p w14:paraId="265D0B20" w14:textId="271255D0"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Currently, according to the current legislation, the transposition work in the Federation of BiH is done by at least 23 bodies in the Federation of BiH: at least 3 bodies at the Federation of BiH level and 20 bodies at cantonal levels (10 ministries responsible for water and 10 ministries of environment)</w:t>
            </w:r>
          </w:p>
        </w:tc>
        <w:tc>
          <w:tcPr>
            <w:tcW w:w="1159" w:type="pct"/>
            <w:shd w:val="clear" w:color="auto" w:fill="auto"/>
            <w:vAlign w:val="center"/>
          </w:tcPr>
          <w:p w14:paraId="5A80879E" w14:textId="77777777" w:rsidR="000D19A9" w:rsidRPr="007C4D65" w:rsidRDefault="000D19A9" w:rsidP="00B6017F">
            <w:pPr>
              <w:spacing w:after="120" w:line="276" w:lineRule="auto"/>
              <w:ind w:left="69" w:hanging="2"/>
              <w:contextualSpacing/>
              <w:rPr>
                <w:rFonts w:asciiTheme="minorHAnsi" w:hAnsiTheme="minorHAnsi" w:cstheme="minorHAnsi"/>
                <w:sz w:val="18"/>
                <w:szCs w:val="18"/>
              </w:rPr>
            </w:pPr>
            <w:r w:rsidRPr="007C4D65">
              <w:rPr>
                <w:rFonts w:asciiTheme="minorHAnsi" w:hAnsiTheme="minorHAnsi"/>
                <w:sz w:val="18"/>
                <w:szCs w:val="18"/>
              </w:rPr>
              <w:t>Analysis completed and conclusions and recommendations made regarding the necessary legislative changes and amendments in water legislation and legislation regulating organisation of administration of the Federation of BiH (2024)</w:t>
            </w:r>
          </w:p>
        </w:tc>
      </w:tr>
      <w:tr w:rsidR="000D19A9" w:rsidRPr="007C4D65" w14:paraId="612B54C5" w14:textId="77777777" w:rsidTr="00B6017F">
        <w:trPr>
          <w:trHeight w:val="287"/>
        </w:trPr>
        <w:tc>
          <w:tcPr>
            <w:tcW w:w="658" w:type="pct"/>
            <w:vMerge/>
            <w:shd w:val="clear" w:color="auto" w:fill="D9D9D9"/>
            <w:vAlign w:val="center"/>
          </w:tcPr>
          <w:p w14:paraId="0E254968"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77DCBDC"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hemeFill="background1"/>
            <w:tcMar>
              <w:top w:w="0" w:type="dxa"/>
              <w:left w:w="108" w:type="dxa"/>
              <w:bottom w:w="0" w:type="dxa"/>
              <w:right w:w="108" w:type="dxa"/>
            </w:tcMar>
            <w:vAlign w:val="center"/>
          </w:tcPr>
          <w:p w14:paraId="40028FCA" w14:textId="154EC218" w:rsidR="000D19A9" w:rsidRPr="007C4D65" w:rsidRDefault="000D19A9"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sz w:val="18"/>
                <w:szCs w:val="18"/>
              </w:rPr>
              <w:t xml:space="preserve">Level of completion of the process of adoption of the legislative changes and </w:t>
            </w:r>
            <w:r w:rsidR="003A25F3" w:rsidRPr="007C4D65">
              <w:rPr>
                <w:rFonts w:asciiTheme="minorHAnsi" w:hAnsiTheme="minorHAnsi"/>
                <w:sz w:val="18"/>
                <w:szCs w:val="18"/>
              </w:rPr>
              <w:t>a</w:t>
            </w:r>
            <w:r w:rsidRPr="007C4D65">
              <w:rPr>
                <w:rFonts w:asciiTheme="minorHAnsi" w:hAnsiTheme="minorHAnsi"/>
                <w:sz w:val="18"/>
                <w:szCs w:val="18"/>
              </w:rPr>
              <w:t>mendments</w:t>
            </w:r>
          </w:p>
        </w:tc>
        <w:tc>
          <w:tcPr>
            <w:tcW w:w="1159" w:type="pct"/>
            <w:shd w:val="clear" w:color="auto" w:fill="FFFFFF" w:themeFill="background1"/>
            <w:tcMar>
              <w:top w:w="0" w:type="dxa"/>
              <w:left w:w="108" w:type="dxa"/>
              <w:bottom w:w="0" w:type="dxa"/>
              <w:right w:w="108" w:type="dxa"/>
            </w:tcMar>
            <w:vAlign w:val="center"/>
          </w:tcPr>
          <w:p w14:paraId="3D52FC32" w14:textId="12C9DEDF" w:rsidR="000D19A9" w:rsidRPr="007C4D65" w:rsidRDefault="000D19A9" w:rsidP="00B6017F">
            <w:pPr>
              <w:spacing w:after="120" w:line="276" w:lineRule="auto"/>
              <w:ind w:left="2" w:hanging="2"/>
              <w:contextualSpacing/>
              <w:rPr>
                <w:rFonts w:asciiTheme="minorHAnsi" w:eastAsia="Calibri" w:hAnsiTheme="minorHAnsi" w:cstheme="minorHAnsi"/>
                <w:sz w:val="18"/>
                <w:szCs w:val="18"/>
              </w:rPr>
            </w:pPr>
            <w:r w:rsidRPr="007C4D65">
              <w:rPr>
                <w:rFonts w:asciiTheme="minorHAnsi" w:hAnsiTheme="minorHAnsi"/>
                <w:sz w:val="18"/>
                <w:szCs w:val="18"/>
              </w:rPr>
              <w:t>Process of changing and amending legislation has not started</w:t>
            </w:r>
          </w:p>
        </w:tc>
        <w:tc>
          <w:tcPr>
            <w:tcW w:w="1159" w:type="pct"/>
            <w:shd w:val="clear" w:color="auto" w:fill="FFFFFF" w:themeFill="background1"/>
            <w:vAlign w:val="center"/>
          </w:tcPr>
          <w:p w14:paraId="33A1CC67" w14:textId="20F7B274" w:rsidR="000D19A9" w:rsidRPr="007C4D65" w:rsidRDefault="000D19A9" w:rsidP="00B6017F">
            <w:pPr>
              <w:spacing w:after="120" w:line="276" w:lineRule="auto"/>
              <w:ind w:left="69" w:hanging="2"/>
              <w:contextualSpacing/>
              <w:rPr>
                <w:rFonts w:asciiTheme="minorHAnsi" w:hAnsiTheme="minorHAnsi" w:cstheme="minorHAnsi"/>
                <w:sz w:val="18"/>
                <w:szCs w:val="18"/>
              </w:rPr>
            </w:pPr>
            <w:r w:rsidRPr="007C4D65">
              <w:rPr>
                <w:rFonts w:asciiTheme="minorHAnsi" w:hAnsiTheme="minorHAnsi"/>
                <w:sz w:val="18"/>
                <w:szCs w:val="18"/>
              </w:rPr>
              <w:t xml:space="preserve">Adopted amendments to the legislation in the area of water and administrative organization (Law on </w:t>
            </w:r>
            <w:r w:rsidR="008C23C0" w:rsidRPr="007C4D65">
              <w:rPr>
                <w:rFonts w:asciiTheme="minorHAnsi" w:hAnsiTheme="minorHAnsi"/>
                <w:sz w:val="18"/>
                <w:szCs w:val="18"/>
              </w:rPr>
              <w:t>the</w:t>
            </w:r>
            <w:r w:rsidRPr="007C4D65">
              <w:rPr>
                <w:rFonts w:asciiTheme="minorHAnsi" w:hAnsiTheme="minorHAnsi"/>
                <w:sz w:val="18"/>
                <w:szCs w:val="18"/>
              </w:rPr>
              <w:t xml:space="preserve"> Ministries</w:t>
            </w:r>
            <w:r w:rsidR="008C23C0" w:rsidRPr="007C4D65">
              <w:rPr>
                <w:rFonts w:asciiTheme="minorHAnsi" w:hAnsiTheme="minorHAnsi"/>
                <w:sz w:val="18"/>
                <w:szCs w:val="18"/>
              </w:rPr>
              <w:t xml:space="preserve"> of the Federation of BiH</w:t>
            </w:r>
            <w:r w:rsidRPr="007C4D65">
              <w:rPr>
                <w:rFonts w:asciiTheme="minorHAnsi" w:hAnsiTheme="minorHAnsi"/>
                <w:sz w:val="18"/>
                <w:szCs w:val="18"/>
              </w:rPr>
              <w:t xml:space="preserve"> </w:t>
            </w:r>
            <w:proofErr w:type="gramStart"/>
            <w:r w:rsidRPr="007C4D65">
              <w:rPr>
                <w:rFonts w:asciiTheme="minorHAnsi" w:hAnsiTheme="minorHAnsi"/>
                <w:sz w:val="18"/>
                <w:szCs w:val="18"/>
              </w:rPr>
              <w:t>and  Law</w:t>
            </w:r>
            <w:proofErr w:type="gramEnd"/>
            <w:r w:rsidRPr="007C4D65">
              <w:rPr>
                <w:rFonts w:asciiTheme="minorHAnsi" w:hAnsiTheme="minorHAnsi"/>
                <w:sz w:val="18"/>
                <w:szCs w:val="18"/>
              </w:rPr>
              <w:t xml:space="preserve"> on Cantonal Ministries), in accordance with the conclusions of the analysis(2025)</w:t>
            </w:r>
          </w:p>
        </w:tc>
      </w:tr>
      <w:tr w:rsidR="000D19A9" w:rsidRPr="007C4D65" w14:paraId="58CA69B6" w14:textId="77777777" w:rsidTr="00B6017F">
        <w:trPr>
          <w:trHeight w:val="483"/>
        </w:trPr>
        <w:tc>
          <w:tcPr>
            <w:tcW w:w="658" w:type="pct"/>
            <w:vMerge/>
            <w:shd w:val="clear" w:color="auto" w:fill="D9D9D9"/>
            <w:vAlign w:val="center"/>
            <w:hideMark/>
          </w:tcPr>
          <w:p w14:paraId="56600319"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C63C7C0"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hideMark/>
          </w:tcPr>
          <w:p w14:paraId="5AF2D94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hemeFill="background1" w:themeFillShade="D9"/>
            <w:tcMar>
              <w:top w:w="0" w:type="dxa"/>
              <w:left w:w="108" w:type="dxa"/>
              <w:bottom w:w="0" w:type="dxa"/>
              <w:right w:w="108" w:type="dxa"/>
            </w:tcMar>
            <w:vAlign w:val="center"/>
            <w:hideMark/>
          </w:tcPr>
          <w:p w14:paraId="3186726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hemeFill="background1" w:themeFillShade="D9"/>
            <w:tcMar>
              <w:top w:w="0" w:type="dxa"/>
              <w:left w:w="108" w:type="dxa"/>
              <w:bottom w:w="0" w:type="dxa"/>
              <w:right w:w="108" w:type="dxa"/>
            </w:tcMar>
            <w:vAlign w:val="center"/>
            <w:hideMark/>
          </w:tcPr>
          <w:p w14:paraId="0DDFABB1"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1B6C0697" w14:textId="77777777" w:rsidTr="00B6017F">
        <w:trPr>
          <w:trHeight w:val="287"/>
        </w:trPr>
        <w:tc>
          <w:tcPr>
            <w:tcW w:w="658" w:type="pct"/>
            <w:vMerge/>
            <w:shd w:val="clear" w:color="auto" w:fill="D9D9D9"/>
            <w:vAlign w:val="center"/>
            <w:hideMark/>
          </w:tcPr>
          <w:p w14:paraId="68463EBC"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69E1A768"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0E03D51"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0,048</w:t>
            </w:r>
          </w:p>
        </w:tc>
        <w:tc>
          <w:tcPr>
            <w:tcW w:w="1159" w:type="pct"/>
            <w:tcMar>
              <w:top w:w="0" w:type="dxa"/>
              <w:left w:w="108" w:type="dxa"/>
              <w:bottom w:w="0" w:type="dxa"/>
              <w:right w:w="108" w:type="dxa"/>
            </w:tcMar>
            <w:vAlign w:val="center"/>
          </w:tcPr>
          <w:p w14:paraId="059CFB8F"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726B5A17"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0,048</w:t>
            </w:r>
          </w:p>
        </w:tc>
      </w:tr>
      <w:tr w:rsidR="000D19A9" w:rsidRPr="007C4D65" w14:paraId="0FA5192C" w14:textId="77777777" w:rsidTr="00B6017F">
        <w:trPr>
          <w:trHeight w:val="483"/>
        </w:trPr>
        <w:tc>
          <w:tcPr>
            <w:tcW w:w="658" w:type="pct"/>
            <w:vMerge w:val="restart"/>
            <w:shd w:val="clear" w:color="auto" w:fill="D9D9D9"/>
            <w:tcMar>
              <w:top w:w="0" w:type="dxa"/>
              <w:left w:w="108" w:type="dxa"/>
              <w:bottom w:w="0" w:type="dxa"/>
              <w:right w:w="108" w:type="dxa"/>
            </w:tcMar>
            <w:vAlign w:val="center"/>
          </w:tcPr>
          <w:p w14:paraId="1A45876E"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bookmarkStart w:id="428" w:name="_Hlk103330340"/>
            <w:r w:rsidRPr="007C4D65">
              <w:rPr>
                <w:rFonts w:asciiTheme="minorHAnsi" w:hAnsiTheme="minorHAnsi"/>
                <w:b/>
                <w:color w:val="000000" w:themeColor="text1"/>
                <w:sz w:val="18"/>
                <w:szCs w:val="18"/>
              </w:rPr>
              <w:t>1.5.3. Measure</w:t>
            </w:r>
          </w:p>
        </w:tc>
        <w:tc>
          <w:tcPr>
            <w:tcW w:w="864" w:type="pct"/>
            <w:vMerge w:val="restart"/>
            <w:tcBorders>
              <w:top w:val="single" w:sz="4" w:space="0" w:color="A6A6A6"/>
              <w:left w:val="single" w:sz="4" w:space="0" w:color="A6A6A6"/>
              <w:right w:val="single" w:sz="4" w:space="0" w:color="A6A6A6"/>
            </w:tcBorders>
            <w:shd w:val="clear" w:color="auto" w:fill="auto"/>
            <w:tcMar>
              <w:top w:w="0" w:type="dxa"/>
              <w:left w:w="108" w:type="dxa"/>
              <w:bottom w:w="0" w:type="dxa"/>
              <w:right w:w="108" w:type="dxa"/>
            </w:tcMar>
            <w:vAlign w:val="center"/>
          </w:tcPr>
          <w:p w14:paraId="78693FC1" w14:textId="77777777" w:rsidR="000D19A9" w:rsidRPr="007C4D65" w:rsidRDefault="000D19A9" w:rsidP="00B6017F">
            <w:pPr>
              <w:spacing w:after="120" w:line="276" w:lineRule="auto"/>
              <w:ind w:hanging="2"/>
              <w:contextualSpacing/>
              <w:rPr>
                <w:rFonts w:asciiTheme="minorHAnsi" w:hAnsiTheme="minorHAnsi" w:cstheme="minorHAnsi"/>
                <w:bCs/>
                <w:sz w:val="18"/>
                <w:szCs w:val="18"/>
              </w:rPr>
            </w:pPr>
            <w:proofErr w:type="gramStart"/>
            <w:r w:rsidRPr="007C4D65">
              <w:rPr>
                <w:rFonts w:asciiTheme="minorHAnsi" w:hAnsiTheme="minorHAnsi"/>
                <w:sz w:val="18"/>
                <w:szCs w:val="18"/>
              </w:rPr>
              <w:t>Improving  existing</w:t>
            </w:r>
            <w:proofErr w:type="gramEnd"/>
            <w:r w:rsidRPr="007C4D65">
              <w:rPr>
                <w:rFonts w:asciiTheme="minorHAnsi" w:hAnsiTheme="minorHAnsi"/>
                <w:sz w:val="18"/>
                <w:szCs w:val="18"/>
              </w:rPr>
              <w:t xml:space="preserve"> institutional structure by strengthening capacities in institutions of the Federation of BiH that are competent for waters, with special focus on long-term and sustainable enforcement of EU water legislation</w:t>
            </w:r>
          </w:p>
        </w:tc>
        <w:tc>
          <w:tcPr>
            <w:tcW w:w="1159" w:type="pct"/>
            <w:shd w:val="clear" w:color="auto" w:fill="D9D9D9" w:themeFill="background1" w:themeFillShade="D9"/>
            <w:tcMar>
              <w:top w:w="0" w:type="dxa"/>
              <w:left w:w="108" w:type="dxa"/>
              <w:bottom w:w="0" w:type="dxa"/>
              <w:right w:w="108" w:type="dxa"/>
            </w:tcMar>
            <w:vAlign w:val="center"/>
          </w:tcPr>
          <w:p w14:paraId="78BFC32D"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hemeFill="background1" w:themeFillShade="D9"/>
            <w:tcMar>
              <w:top w:w="0" w:type="dxa"/>
              <w:left w:w="108" w:type="dxa"/>
              <w:bottom w:w="0" w:type="dxa"/>
              <w:right w:w="108" w:type="dxa"/>
            </w:tcMar>
            <w:vAlign w:val="center"/>
          </w:tcPr>
          <w:p w14:paraId="6FAF7D1F"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hemeFill="background1" w:themeFillShade="D9"/>
            <w:vAlign w:val="center"/>
          </w:tcPr>
          <w:p w14:paraId="3A5FFE21"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228674F5" w14:textId="77777777" w:rsidTr="00B6017F">
        <w:trPr>
          <w:trHeight w:val="483"/>
        </w:trPr>
        <w:tc>
          <w:tcPr>
            <w:tcW w:w="658" w:type="pct"/>
            <w:vMerge/>
            <w:shd w:val="clear" w:color="auto" w:fill="D9D9D9"/>
            <w:tcMar>
              <w:top w:w="0" w:type="dxa"/>
              <w:left w:w="108" w:type="dxa"/>
              <w:bottom w:w="0" w:type="dxa"/>
              <w:right w:w="108" w:type="dxa"/>
            </w:tcMar>
            <w:vAlign w:val="center"/>
          </w:tcPr>
          <w:p w14:paraId="4BC37703"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lang w:val="hr-HR"/>
              </w:rPr>
            </w:pPr>
          </w:p>
        </w:tc>
        <w:tc>
          <w:tcPr>
            <w:tcW w:w="864" w:type="pct"/>
            <w:vMerge/>
            <w:tcBorders>
              <w:left w:val="single" w:sz="4" w:space="0" w:color="A6A6A6"/>
              <w:right w:val="single" w:sz="4" w:space="0" w:color="A6A6A6"/>
            </w:tcBorders>
            <w:shd w:val="clear" w:color="auto" w:fill="auto"/>
            <w:tcMar>
              <w:top w:w="0" w:type="dxa"/>
              <w:left w:w="108" w:type="dxa"/>
              <w:bottom w:w="0" w:type="dxa"/>
              <w:right w:w="108" w:type="dxa"/>
            </w:tcMar>
            <w:vAlign w:val="center"/>
          </w:tcPr>
          <w:p w14:paraId="24B9999D" w14:textId="77777777" w:rsidR="000D19A9" w:rsidRPr="007C4D65" w:rsidRDefault="000D19A9" w:rsidP="00B6017F">
            <w:pPr>
              <w:spacing w:after="120" w:line="276" w:lineRule="auto"/>
              <w:ind w:hanging="2"/>
              <w:contextualSpacing/>
              <w:rPr>
                <w:rFonts w:asciiTheme="minorHAnsi" w:hAnsiTheme="minorHAnsi" w:cstheme="minorHAnsi"/>
                <w:bCs/>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7F46E89C" w14:textId="40888C43" w:rsidR="000D19A9" w:rsidRPr="007C4D65" w:rsidRDefault="000D19A9"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sz w:val="18"/>
                <w:szCs w:val="18"/>
              </w:rPr>
              <w:t>Level of development of the study analysis / assessment of institutional capacities of competent water institutions in the Federation of BiH, with appropriate recommendations for capacity improvement</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5E569AF0" w14:textId="77777777" w:rsidR="000D19A9" w:rsidRPr="007C4D65" w:rsidRDefault="000D19A9"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sz w:val="18"/>
                <w:szCs w:val="18"/>
              </w:rPr>
              <w:t>Analysis / assessment has not started</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B82C32D" w14:textId="77777777" w:rsidR="000D19A9" w:rsidRPr="007C4D65" w:rsidRDefault="000D19A9" w:rsidP="00B6017F">
            <w:pPr>
              <w:spacing w:after="120" w:line="276" w:lineRule="auto"/>
              <w:ind w:left="69"/>
              <w:contextualSpacing/>
              <w:rPr>
                <w:rFonts w:asciiTheme="minorHAnsi" w:hAnsiTheme="minorHAnsi" w:cstheme="minorHAnsi"/>
                <w:b/>
                <w:sz w:val="18"/>
                <w:szCs w:val="18"/>
              </w:rPr>
            </w:pPr>
            <w:r w:rsidRPr="007C4D65">
              <w:rPr>
                <w:rFonts w:asciiTheme="minorHAnsi" w:hAnsiTheme="minorHAnsi"/>
                <w:sz w:val="18"/>
                <w:szCs w:val="18"/>
              </w:rPr>
              <w:t>Implemented comprehensive analysis / assessment of institutional capacities (2024)</w:t>
            </w:r>
          </w:p>
        </w:tc>
      </w:tr>
      <w:tr w:rsidR="000D19A9" w:rsidRPr="007C4D65" w14:paraId="6EE86581" w14:textId="77777777" w:rsidTr="00B6017F">
        <w:trPr>
          <w:trHeight w:val="483"/>
        </w:trPr>
        <w:tc>
          <w:tcPr>
            <w:tcW w:w="658" w:type="pct"/>
            <w:vMerge/>
            <w:shd w:val="clear" w:color="auto" w:fill="D9D9D9"/>
            <w:tcMar>
              <w:top w:w="0" w:type="dxa"/>
              <w:left w:w="108" w:type="dxa"/>
              <w:bottom w:w="0" w:type="dxa"/>
              <w:right w:w="108" w:type="dxa"/>
            </w:tcMar>
            <w:vAlign w:val="center"/>
          </w:tcPr>
          <w:p w14:paraId="1B41AC27"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lang w:val="hr-HR"/>
              </w:rPr>
            </w:pPr>
          </w:p>
        </w:tc>
        <w:tc>
          <w:tcPr>
            <w:tcW w:w="864" w:type="pct"/>
            <w:vMerge/>
            <w:tcBorders>
              <w:left w:val="single" w:sz="4" w:space="0" w:color="A6A6A6"/>
              <w:right w:val="single" w:sz="4" w:space="0" w:color="A6A6A6"/>
            </w:tcBorders>
            <w:shd w:val="clear" w:color="auto" w:fill="auto"/>
            <w:tcMar>
              <w:top w:w="0" w:type="dxa"/>
              <w:left w:w="108" w:type="dxa"/>
              <w:bottom w:w="0" w:type="dxa"/>
              <w:right w:w="108" w:type="dxa"/>
            </w:tcMar>
            <w:vAlign w:val="center"/>
          </w:tcPr>
          <w:p w14:paraId="41762325" w14:textId="77777777" w:rsidR="000D19A9" w:rsidRPr="007C4D65" w:rsidRDefault="000D19A9" w:rsidP="00B6017F">
            <w:pPr>
              <w:spacing w:after="120" w:line="276" w:lineRule="auto"/>
              <w:ind w:hanging="2"/>
              <w:contextualSpacing/>
              <w:rPr>
                <w:rFonts w:asciiTheme="minorHAnsi" w:hAnsiTheme="minorHAnsi" w:cstheme="minorHAnsi"/>
                <w:bCs/>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6C2F0726" w14:textId="77777777" w:rsidR="000D19A9" w:rsidRPr="007C4D65" w:rsidRDefault="000D19A9" w:rsidP="00B6017F">
            <w:pPr>
              <w:spacing w:line="276" w:lineRule="auto"/>
              <w:rPr>
                <w:rFonts w:asciiTheme="minorHAnsi" w:eastAsia="Calibri" w:hAnsiTheme="minorHAnsi" w:cstheme="minorHAnsi"/>
                <w:sz w:val="18"/>
                <w:szCs w:val="18"/>
              </w:rPr>
            </w:pPr>
            <w:r w:rsidRPr="007C4D65">
              <w:rPr>
                <w:rFonts w:asciiTheme="minorHAnsi" w:hAnsiTheme="minorHAnsi"/>
                <w:sz w:val="18"/>
                <w:szCs w:val="18"/>
              </w:rPr>
              <w:t>Number of implemented measures for improvement of capacities in the water sector institutions in the areas of:</w:t>
            </w:r>
          </w:p>
          <w:p w14:paraId="63322C4C" w14:textId="77777777" w:rsidR="000D19A9" w:rsidRPr="007C4D65" w:rsidRDefault="000D19A9">
            <w:pPr>
              <w:numPr>
                <w:ilvl w:val="0"/>
                <w:numId w:val="200"/>
              </w:numPr>
              <w:spacing w:line="276" w:lineRule="auto"/>
              <w:rPr>
                <w:rFonts w:asciiTheme="minorHAnsi" w:eastAsia="Calibri" w:hAnsiTheme="minorHAnsi" w:cstheme="minorHAnsi"/>
                <w:sz w:val="18"/>
                <w:szCs w:val="18"/>
              </w:rPr>
            </w:pPr>
            <w:r w:rsidRPr="007C4D65">
              <w:rPr>
                <w:rFonts w:asciiTheme="minorHAnsi" w:hAnsiTheme="minorHAnsi"/>
                <w:sz w:val="18"/>
                <w:szCs w:val="18"/>
              </w:rPr>
              <w:t xml:space="preserve"> strengthening human resources in water sector institutions </w:t>
            </w:r>
          </w:p>
          <w:p w14:paraId="16DA443E" w14:textId="77777777" w:rsidR="000D19A9" w:rsidRPr="007C4D65" w:rsidRDefault="000D19A9">
            <w:pPr>
              <w:numPr>
                <w:ilvl w:val="0"/>
                <w:numId w:val="200"/>
              </w:numPr>
              <w:spacing w:before="40" w:after="40" w:line="276" w:lineRule="auto"/>
              <w:contextualSpacing/>
              <w:rPr>
                <w:rFonts w:asciiTheme="minorHAnsi" w:eastAsia="Calibri" w:hAnsiTheme="minorHAnsi" w:cstheme="minorHAnsi"/>
                <w:sz w:val="18"/>
                <w:szCs w:val="18"/>
              </w:rPr>
            </w:pPr>
            <w:r w:rsidRPr="007C4D65">
              <w:rPr>
                <w:rFonts w:asciiTheme="minorHAnsi" w:hAnsiTheme="minorHAnsi"/>
                <w:sz w:val="18"/>
                <w:szCs w:val="18"/>
              </w:rPr>
              <w:t>strategic approach to employment</w:t>
            </w:r>
          </w:p>
          <w:p w14:paraId="4E78AFD3" w14:textId="77777777" w:rsidR="000D19A9" w:rsidRPr="007C4D65" w:rsidRDefault="000D19A9"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sz w:val="18"/>
                <w:szCs w:val="18"/>
              </w:rPr>
              <w:t>retaining skilled persons in institutions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06FE1F6D" w14:textId="5272091C" w:rsidR="000D19A9" w:rsidRPr="007C4D65" w:rsidRDefault="000D19A9"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sz w:val="18"/>
                <w:szCs w:val="18"/>
              </w:rPr>
              <w:t>Analysis / assessment has not started, measures have not been defined or implemented</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E08500B" w14:textId="77777777" w:rsidR="000D19A9" w:rsidRPr="007C4D65" w:rsidRDefault="000D19A9" w:rsidP="00B6017F">
            <w:pPr>
              <w:spacing w:before="40" w:after="40" w:line="276" w:lineRule="auto"/>
              <w:ind w:left="211" w:hanging="142"/>
              <w:rPr>
                <w:rFonts w:asciiTheme="minorHAnsi" w:hAnsiTheme="minorHAnsi" w:cstheme="minorHAnsi"/>
                <w:sz w:val="18"/>
                <w:szCs w:val="18"/>
              </w:rPr>
            </w:pPr>
            <w:r w:rsidRPr="007C4D65">
              <w:rPr>
                <w:rFonts w:asciiTheme="minorHAnsi" w:hAnsiTheme="minorHAnsi"/>
                <w:sz w:val="18"/>
                <w:szCs w:val="18"/>
              </w:rPr>
              <w:t>Identified and implemented all measures for:</w:t>
            </w:r>
          </w:p>
          <w:p w14:paraId="7FF39FB7" w14:textId="7BD44817" w:rsidR="000D19A9" w:rsidRPr="007C4D65" w:rsidRDefault="000D19A9">
            <w:pPr>
              <w:numPr>
                <w:ilvl w:val="0"/>
                <w:numId w:val="206"/>
              </w:numPr>
              <w:spacing w:before="40" w:after="40" w:line="276" w:lineRule="auto"/>
              <w:contextualSpacing/>
              <w:rPr>
                <w:rFonts w:asciiTheme="minorHAnsi" w:eastAsia="Calibri" w:hAnsiTheme="minorHAnsi" w:cstheme="minorHAnsi"/>
                <w:sz w:val="18"/>
                <w:szCs w:val="18"/>
              </w:rPr>
            </w:pPr>
            <w:r w:rsidRPr="007C4D65">
              <w:rPr>
                <w:rFonts w:asciiTheme="minorHAnsi" w:hAnsiTheme="minorHAnsi"/>
                <w:sz w:val="18"/>
                <w:szCs w:val="18"/>
              </w:rPr>
              <w:t>Strengthening capacities of human resources in water sector institutions for implementation of EU water sector legislation and international water sector conventions, consistent enforcement of law and effective implementation of strategies and plans</w:t>
            </w:r>
          </w:p>
          <w:p w14:paraId="40433AFF" w14:textId="77777777" w:rsidR="000D19A9" w:rsidRPr="007C4D65" w:rsidRDefault="000D19A9">
            <w:pPr>
              <w:numPr>
                <w:ilvl w:val="0"/>
                <w:numId w:val="206"/>
              </w:numPr>
              <w:spacing w:before="40" w:after="40" w:line="276" w:lineRule="auto"/>
              <w:contextualSpacing/>
              <w:rPr>
                <w:rFonts w:asciiTheme="minorHAnsi" w:eastAsia="Calibri" w:hAnsiTheme="minorHAnsi" w:cstheme="minorHAnsi"/>
                <w:sz w:val="18"/>
                <w:szCs w:val="18"/>
              </w:rPr>
            </w:pPr>
            <w:r w:rsidRPr="007C4D65">
              <w:rPr>
                <w:rFonts w:asciiTheme="minorHAnsi" w:hAnsiTheme="minorHAnsi"/>
                <w:sz w:val="18"/>
                <w:szCs w:val="18"/>
              </w:rPr>
              <w:t>Strategic employment in institutions</w:t>
            </w:r>
          </w:p>
          <w:p w14:paraId="6E3B2ADD" w14:textId="77777777" w:rsidR="000D19A9" w:rsidRPr="007C4D65" w:rsidRDefault="000D19A9" w:rsidP="00B6017F">
            <w:pPr>
              <w:spacing w:after="120" w:line="276" w:lineRule="auto"/>
              <w:ind w:left="69"/>
              <w:contextualSpacing/>
              <w:rPr>
                <w:rFonts w:asciiTheme="minorHAnsi" w:hAnsiTheme="minorHAnsi" w:cstheme="minorHAnsi"/>
                <w:b/>
                <w:sz w:val="18"/>
                <w:szCs w:val="18"/>
              </w:rPr>
            </w:pPr>
            <w:r w:rsidRPr="007C4D65">
              <w:rPr>
                <w:rFonts w:asciiTheme="minorHAnsi" w:hAnsiTheme="minorHAnsi"/>
                <w:sz w:val="18"/>
                <w:szCs w:val="18"/>
              </w:rPr>
              <w:t>Retaining skilled persons in institutions (2026)</w:t>
            </w:r>
          </w:p>
        </w:tc>
      </w:tr>
      <w:tr w:rsidR="000D19A9" w:rsidRPr="007C4D65" w14:paraId="59B6ABFB" w14:textId="77777777" w:rsidTr="00B6017F">
        <w:trPr>
          <w:trHeight w:val="483"/>
        </w:trPr>
        <w:tc>
          <w:tcPr>
            <w:tcW w:w="658" w:type="pct"/>
            <w:vMerge/>
            <w:shd w:val="clear" w:color="auto" w:fill="D9D9D9"/>
            <w:tcMar>
              <w:top w:w="0" w:type="dxa"/>
              <w:left w:w="108" w:type="dxa"/>
              <w:bottom w:w="0" w:type="dxa"/>
              <w:right w:w="108" w:type="dxa"/>
            </w:tcMar>
            <w:vAlign w:val="center"/>
          </w:tcPr>
          <w:p w14:paraId="648B0491"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lang w:val="hr-HR"/>
              </w:rPr>
            </w:pPr>
          </w:p>
        </w:tc>
        <w:tc>
          <w:tcPr>
            <w:tcW w:w="864" w:type="pct"/>
            <w:vMerge/>
            <w:tcBorders>
              <w:left w:val="single" w:sz="4" w:space="0" w:color="A6A6A6"/>
              <w:right w:val="single" w:sz="4" w:space="0" w:color="A6A6A6"/>
            </w:tcBorders>
            <w:shd w:val="clear" w:color="auto" w:fill="auto"/>
            <w:tcMar>
              <w:top w:w="0" w:type="dxa"/>
              <w:left w:w="108" w:type="dxa"/>
              <w:bottom w:w="0" w:type="dxa"/>
              <w:right w:w="108" w:type="dxa"/>
            </w:tcMar>
            <w:vAlign w:val="center"/>
          </w:tcPr>
          <w:p w14:paraId="443B0E82" w14:textId="77777777" w:rsidR="000D19A9" w:rsidRPr="007C4D65" w:rsidRDefault="000D19A9" w:rsidP="00B6017F">
            <w:pPr>
              <w:spacing w:after="120" w:line="276" w:lineRule="auto"/>
              <w:ind w:hanging="2"/>
              <w:contextualSpacing/>
              <w:rPr>
                <w:rFonts w:asciiTheme="minorHAnsi" w:hAnsiTheme="minorHAnsi" w:cstheme="minorHAnsi"/>
                <w:bCs/>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tcPr>
          <w:p w14:paraId="28A87748"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hemeFill="background1" w:themeFillShade="D9"/>
            <w:tcMar>
              <w:top w:w="0" w:type="dxa"/>
              <w:left w:w="108" w:type="dxa"/>
              <w:bottom w:w="0" w:type="dxa"/>
              <w:right w:w="108" w:type="dxa"/>
            </w:tcMar>
            <w:vAlign w:val="center"/>
          </w:tcPr>
          <w:p w14:paraId="61F4C7C4"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hemeFill="background1" w:themeFillShade="D9"/>
            <w:vAlign w:val="center"/>
          </w:tcPr>
          <w:p w14:paraId="06A0966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0C5AE579" w14:textId="77777777" w:rsidTr="00B6017F">
        <w:trPr>
          <w:trHeight w:val="483"/>
        </w:trPr>
        <w:tc>
          <w:tcPr>
            <w:tcW w:w="658" w:type="pct"/>
            <w:vMerge/>
            <w:shd w:val="clear" w:color="auto" w:fill="D9D9D9"/>
            <w:tcMar>
              <w:top w:w="0" w:type="dxa"/>
              <w:left w:w="108" w:type="dxa"/>
              <w:bottom w:w="0" w:type="dxa"/>
              <w:right w:w="108" w:type="dxa"/>
            </w:tcMar>
            <w:vAlign w:val="center"/>
          </w:tcPr>
          <w:p w14:paraId="4FF0AFB9"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lang w:val="hr-HR"/>
              </w:rPr>
            </w:pPr>
          </w:p>
        </w:tc>
        <w:tc>
          <w:tcPr>
            <w:tcW w:w="864" w:type="pct"/>
            <w:vMerge/>
            <w:tcBorders>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5F92297E" w14:textId="77777777" w:rsidR="000D19A9" w:rsidRPr="007C4D65" w:rsidRDefault="000D19A9" w:rsidP="00B6017F">
            <w:pPr>
              <w:spacing w:after="120" w:line="276" w:lineRule="auto"/>
              <w:ind w:hanging="2"/>
              <w:contextualSpacing/>
              <w:rPr>
                <w:rFonts w:asciiTheme="minorHAnsi" w:hAnsiTheme="minorHAnsi" w:cstheme="minorHAnsi"/>
                <w:bCs/>
                <w:sz w:val="18"/>
                <w:szCs w:val="18"/>
                <w:lang w:val="hr-HR"/>
              </w:rPr>
            </w:pPr>
          </w:p>
        </w:tc>
        <w:tc>
          <w:tcPr>
            <w:tcW w:w="1159" w:type="pct"/>
            <w:shd w:val="clear" w:color="auto" w:fill="auto"/>
            <w:tcMar>
              <w:top w:w="0" w:type="dxa"/>
              <w:left w:w="108" w:type="dxa"/>
              <w:bottom w:w="0" w:type="dxa"/>
              <w:right w:w="108" w:type="dxa"/>
            </w:tcMar>
            <w:vAlign w:val="center"/>
          </w:tcPr>
          <w:p w14:paraId="054EA616" w14:textId="77777777" w:rsidR="000D19A9" w:rsidRPr="007C4D65" w:rsidRDefault="000D19A9" w:rsidP="00B6017F">
            <w:pPr>
              <w:spacing w:after="120" w:line="276" w:lineRule="auto"/>
              <w:ind w:hanging="2"/>
              <w:contextualSpacing/>
              <w:jc w:val="center"/>
              <w:rPr>
                <w:rFonts w:asciiTheme="minorHAnsi" w:hAnsiTheme="minorHAnsi" w:cstheme="minorHAnsi"/>
                <w:bCs/>
                <w:sz w:val="18"/>
                <w:szCs w:val="18"/>
              </w:rPr>
            </w:pPr>
            <w:r w:rsidRPr="007C4D65">
              <w:rPr>
                <w:rFonts w:asciiTheme="minorHAnsi" w:hAnsiTheme="minorHAnsi"/>
                <w:bCs/>
                <w:sz w:val="18"/>
                <w:szCs w:val="18"/>
              </w:rPr>
              <w:t>0,250</w:t>
            </w:r>
          </w:p>
        </w:tc>
        <w:tc>
          <w:tcPr>
            <w:tcW w:w="1159" w:type="pct"/>
            <w:shd w:val="clear" w:color="auto" w:fill="auto"/>
            <w:tcMar>
              <w:top w:w="0" w:type="dxa"/>
              <w:left w:w="108" w:type="dxa"/>
              <w:bottom w:w="0" w:type="dxa"/>
              <w:right w:w="108" w:type="dxa"/>
            </w:tcMar>
            <w:vAlign w:val="center"/>
          </w:tcPr>
          <w:p w14:paraId="35464F44" w14:textId="77777777" w:rsidR="000D19A9" w:rsidRPr="007C4D65" w:rsidRDefault="000D19A9" w:rsidP="00B6017F">
            <w:pPr>
              <w:spacing w:after="120" w:line="276" w:lineRule="auto"/>
              <w:ind w:hanging="2"/>
              <w:contextualSpacing/>
              <w:jc w:val="center"/>
              <w:rPr>
                <w:rFonts w:asciiTheme="minorHAnsi" w:hAnsiTheme="minorHAnsi" w:cstheme="minorHAnsi"/>
                <w:bCs/>
                <w:sz w:val="18"/>
                <w:szCs w:val="18"/>
              </w:rPr>
            </w:pPr>
            <w:r w:rsidRPr="007C4D65">
              <w:rPr>
                <w:rFonts w:asciiTheme="minorHAnsi" w:hAnsiTheme="minorHAnsi"/>
                <w:bCs/>
                <w:sz w:val="18"/>
                <w:szCs w:val="18"/>
              </w:rPr>
              <w:t>0</w:t>
            </w:r>
          </w:p>
        </w:tc>
        <w:tc>
          <w:tcPr>
            <w:tcW w:w="1159" w:type="pct"/>
            <w:shd w:val="clear" w:color="auto" w:fill="auto"/>
            <w:vAlign w:val="center"/>
          </w:tcPr>
          <w:p w14:paraId="655BC329" w14:textId="77777777" w:rsidR="000D19A9" w:rsidRPr="007C4D65" w:rsidRDefault="000D19A9" w:rsidP="00B6017F">
            <w:pPr>
              <w:spacing w:after="120" w:line="276" w:lineRule="auto"/>
              <w:ind w:hanging="2"/>
              <w:contextualSpacing/>
              <w:jc w:val="center"/>
              <w:rPr>
                <w:rFonts w:asciiTheme="minorHAnsi" w:hAnsiTheme="minorHAnsi" w:cstheme="minorHAnsi"/>
                <w:bCs/>
                <w:sz w:val="18"/>
                <w:szCs w:val="18"/>
              </w:rPr>
            </w:pPr>
            <w:r w:rsidRPr="007C4D65">
              <w:rPr>
                <w:rFonts w:asciiTheme="minorHAnsi" w:hAnsiTheme="minorHAnsi"/>
                <w:bCs/>
                <w:sz w:val="18"/>
                <w:szCs w:val="18"/>
              </w:rPr>
              <w:t>0,250</w:t>
            </w:r>
          </w:p>
        </w:tc>
      </w:tr>
      <w:bookmarkEnd w:id="428"/>
      <w:tr w:rsidR="000D19A9" w:rsidRPr="007C4D65" w14:paraId="000C480C"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162203D0"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1.5.4. Measure</w:t>
            </w:r>
          </w:p>
        </w:tc>
        <w:tc>
          <w:tcPr>
            <w:tcW w:w="864" w:type="pct"/>
            <w:vMerge w:val="restart"/>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31F90686"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bCs/>
                <w:sz w:val="18"/>
                <w:szCs w:val="18"/>
              </w:rPr>
              <w:t>Realization of activities from the developed and adopted APID documents related to the EU water directives</w:t>
            </w:r>
          </w:p>
        </w:tc>
        <w:tc>
          <w:tcPr>
            <w:tcW w:w="1159" w:type="pct"/>
            <w:shd w:val="clear" w:color="auto" w:fill="D9D9D9" w:themeFill="background1" w:themeFillShade="D9"/>
            <w:tcMar>
              <w:top w:w="0" w:type="dxa"/>
              <w:left w:w="108" w:type="dxa"/>
              <w:bottom w:w="0" w:type="dxa"/>
              <w:right w:w="108" w:type="dxa"/>
            </w:tcMar>
            <w:vAlign w:val="center"/>
            <w:hideMark/>
          </w:tcPr>
          <w:p w14:paraId="397C12DB"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hemeFill="background1" w:themeFillShade="D9"/>
            <w:tcMar>
              <w:top w:w="0" w:type="dxa"/>
              <w:left w:w="108" w:type="dxa"/>
              <w:bottom w:w="0" w:type="dxa"/>
              <w:right w:w="108" w:type="dxa"/>
            </w:tcMar>
            <w:vAlign w:val="center"/>
            <w:hideMark/>
          </w:tcPr>
          <w:p w14:paraId="67EC1CAB"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hemeFill="background1" w:themeFillShade="D9"/>
            <w:vAlign w:val="center"/>
          </w:tcPr>
          <w:p w14:paraId="6814C66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5AB2831A" w14:textId="77777777" w:rsidTr="00B6017F">
        <w:trPr>
          <w:trHeight w:val="287"/>
        </w:trPr>
        <w:tc>
          <w:tcPr>
            <w:tcW w:w="658" w:type="pct"/>
            <w:vMerge/>
            <w:shd w:val="clear" w:color="auto" w:fill="D9D9D9"/>
            <w:vAlign w:val="center"/>
            <w:hideMark/>
          </w:tcPr>
          <w:p w14:paraId="723493AD"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66125134"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67C21B05" w14:textId="19DEA127" w:rsidR="000D19A9" w:rsidRPr="007C4D65" w:rsidRDefault="000D19A9" w:rsidP="00B6017F">
            <w:pPr>
              <w:spacing w:before="40" w:after="40" w:line="276" w:lineRule="auto"/>
              <w:rPr>
                <w:rFonts w:asciiTheme="minorHAnsi" w:hAnsiTheme="minorHAnsi" w:cstheme="minorHAnsi"/>
                <w:sz w:val="18"/>
                <w:szCs w:val="18"/>
              </w:rPr>
            </w:pPr>
            <w:r w:rsidRPr="007C4D65">
              <w:rPr>
                <w:rFonts w:asciiTheme="minorHAnsi" w:hAnsiTheme="minorHAnsi"/>
                <w:sz w:val="18"/>
                <w:szCs w:val="18"/>
              </w:rPr>
              <w:t>Level of completion and implementation of the APIDs for Directives on:</w:t>
            </w:r>
          </w:p>
          <w:p w14:paraId="1C937492" w14:textId="019FC068" w:rsidR="000D19A9" w:rsidRPr="007C4D65" w:rsidRDefault="000D19A9">
            <w:pPr>
              <w:numPr>
                <w:ilvl w:val="0"/>
                <w:numId w:val="92"/>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sz w:val="18"/>
                <w:szCs w:val="18"/>
              </w:rPr>
              <w:t xml:space="preserve">municipal </w:t>
            </w:r>
            <w:proofErr w:type="gramStart"/>
            <w:r w:rsidRPr="007C4D65">
              <w:rPr>
                <w:rFonts w:asciiTheme="minorHAnsi" w:hAnsiTheme="minorHAnsi"/>
                <w:sz w:val="18"/>
                <w:szCs w:val="18"/>
              </w:rPr>
              <w:t>waste water</w:t>
            </w:r>
            <w:proofErr w:type="gramEnd"/>
            <w:r w:rsidRPr="007C4D65">
              <w:rPr>
                <w:rFonts w:asciiTheme="minorHAnsi" w:hAnsiTheme="minorHAnsi"/>
                <w:sz w:val="18"/>
                <w:szCs w:val="18"/>
              </w:rPr>
              <w:t xml:space="preserve"> treatment 91/271/EC</w:t>
            </w:r>
          </w:p>
          <w:p w14:paraId="5FEBD223" w14:textId="77777777" w:rsidR="000D19A9" w:rsidRPr="007C4D65" w:rsidRDefault="000D19A9">
            <w:pPr>
              <w:numPr>
                <w:ilvl w:val="0"/>
                <w:numId w:val="92"/>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sz w:val="18"/>
                <w:szCs w:val="18"/>
              </w:rPr>
              <w:lastRenderedPageBreak/>
              <w:t>water for human consumption 2020/2184</w:t>
            </w:r>
          </w:p>
          <w:p w14:paraId="74E98565" w14:textId="77777777" w:rsidR="000D19A9" w:rsidRPr="007C4D65" w:rsidRDefault="000D19A9">
            <w:pPr>
              <w:numPr>
                <w:ilvl w:val="0"/>
                <w:numId w:val="92"/>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sz w:val="18"/>
                <w:szCs w:val="18"/>
              </w:rPr>
              <w:t xml:space="preserve">assessment and management of flood </w:t>
            </w:r>
            <w:proofErr w:type="gramStart"/>
            <w:r w:rsidRPr="007C4D65">
              <w:rPr>
                <w:rFonts w:asciiTheme="minorHAnsi" w:hAnsiTheme="minorHAnsi"/>
                <w:sz w:val="18"/>
                <w:szCs w:val="18"/>
              </w:rPr>
              <w:t>risks  2007</w:t>
            </w:r>
            <w:proofErr w:type="gramEnd"/>
            <w:r w:rsidRPr="007C4D65">
              <w:rPr>
                <w:rFonts w:asciiTheme="minorHAnsi" w:hAnsiTheme="minorHAnsi"/>
                <w:sz w:val="18"/>
                <w:szCs w:val="18"/>
              </w:rPr>
              <w:t>/60/EC.</w:t>
            </w:r>
          </w:p>
          <w:p w14:paraId="3DAF571F" w14:textId="1B365F1F" w:rsidR="000D19A9" w:rsidRPr="007C4D65" w:rsidRDefault="000D19A9">
            <w:pPr>
              <w:numPr>
                <w:ilvl w:val="0"/>
                <w:numId w:val="92"/>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sz w:val="18"/>
                <w:szCs w:val="18"/>
              </w:rPr>
              <w:t>MSFD Directive (Marine Strategy Framework Directive)</w:t>
            </w:r>
          </w:p>
        </w:tc>
        <w:tc>
          <w:tcPr>
            <w:tcW w:w="1159" w:type="pct"/>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0AAE1B9A" w14:textId="68A4F420" w:rsidR="000D19A9" w:rsidRPr="007C4D65" w:rsidRDefault="000D19A9" w:rsidP="00B6017F">
            <w:pPr>
              <w:spacing w:before="40" w:after="40" w:line="276" w:lineRule="auto"/>
              <w:rPr>
                <w:rFonts w:asciiTheme="minorHAnsi" w:hAnsiTheme="minorHAnsi" w:cstheme="minorHAnsi"/>
                <w:sz w:val="18"/>
                <w:szCs w:val="18"/>
              </w:rPr>
            </w:pPr>
            <w:r w:rsidRPr="007C4D65">
              <w:rPr>
                <w:rFonts w:asciiTheme="minorHAnsi" w:hAnsiTheme="minorHAnsi"/>
                <w:sz w:val="18"/>
                <w:szCs w:val="18"/>
              </w:rPr>
              <w:lastRenderedPageBreak/>
              <w:t>All three draft APIDS have been prepared as part of the EAS (2017); however, they have not been updated or completed</w:t>
            </w:r>
          </w:p>
        </w:tc>
        <w:tc>
          <w:tcPr>
            <w:tcW w:w="1159" w:type="pct"/>
            <w:tcBorders>
              <w:top w:val="single" w:sz="4" w:space="0" w:color="A6A6A6"/>
              <w:left w:val="single" w:sz="4" w:space="0" w:color="A6A6A6"/>
              <w:bottom w:val="single" w:sz="4" w:space="0" w:color="A6A6A6"/>
              <w:right w:val="single" w:sz="4" w:space="0" w:color="A6A6A6"/>
            </w:tcBorders>
            <w:shd w:val="clear" w:color="auto" w:fill="auto"/>
            <w:vAlign w:val="center"/>
          </w:tcPr>
          <w:p w14:paraId="5465A688" w14:textId="77777777" w:rsidR="000D19A9" w:rsidRPr="007C4D65" w:rsidRDefault="000D19A9" w:rsidP="00B6017F">
            <w:pPr>
              <w:spacing w:before="40" w:after="40" w:line="276" w:lineRule="auto"/>
              <w:ind w:left="69"/>
              <w:rPr>
                <w:rFonts w:asciiTheme="minorHAnsi" w:hAnsiTheme="minorHAnsi" w:cstheme="minorHAnsi"/>
                <w:sz w:val="18"/>
                <w:szCs w:val="18"/>
              </w:rPr>
            </w:pPr>
            <w:r w:rsidRPr="007C4D65">
              <w:rPr>
                <w:rFonts w:asciiTheme="minorHAnsi" w:hAnsiTheme="minorHAnsi"/>
                <w:sz w:val="18"/>
                <w:szCs w:val="18"/>
              </w:rPr>
              <w:t>3 APIDS developed and adopted (2025)</w:t>
            </w:r>
          </w:p>
        </w:tc>
      </w:tr>
      <w:tr w:rsidR="000D19A9" w:rsidRPr="007C4D65" w14:paraId="7BB9DA70" w14:textId="77777777" w:rsidTr="00B6017F">
        <w:trPr>
          <w:trHeight w:val="287"/>
        </w:trPr>
        <w:tc>
          <w:tcPr>
            <w:tcW w:w="658" w:type="pct"/>
            <w:vMerge/>
            <w:shd w:val="clear" w:color="auto" w:fill="D9D9D9"/>
            <w:vAlign w:val="center"/>
          </w:tcPr>
          <w:p w14:paraId="0D5C522B"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9C8E74E"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1B5E7135" w14:textId="0FEBF1FF" w:rsidR="000D19A9" w:rsidRPr="007C4D65" w:rsidRDefault="000D19A9" w:rsidP="00B6017F">
            <w:pPr>
              <w:spacing w:before="40" w:after="40" w:line="276" w:lineRule="auto"/>
              <w:contextualSpacing/>
              <w:rPr>
                <w:rFonts w:asciiTheme="minorHAnsi" w:hAnsiTheme="minorHAnsi" w:cstheme="minorHAnsi"/>
                <w:sz w:val="18"/>
                <w:szCs w:val="18"/>
              </w:rPr>
            </w:pPr>
            <w:r w:rsidRPr="007C4D65">
              <w:rPr>
                <w:rFonts w:asciiTheme="minorHAnsi" w:hAnsiTheme="minorHAnsi"/>
                <w:sz w:val="18"/>
                <w:szCs w:val="18"/>
              </w:rPr>
              <w:t>Level of completion of the APIDs for Directives on:</w:t>
            </w:r>
          </w:p>
          <w:p w14:paraId="1129B7E0" w14:textId="69AF6CEC" w:rsidR="000D19A9" w:rsidRPr="007C4D65" w:rsidRDefault="000D19A9">
            <w:pPr>
              <w:numPr>
                <w:ilvl w:val="0"/>
                <w:numId w:val="93"/>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sz w:val="18"/>
                <w:szCs w:val="18"/>
              </w:rPr>
              <w:t>the protection of waters against pollution caused by nitrates from agricultural sources, 91/676/EC</w:t>
            </w:r>
          </w:p>
          <w:p w14:paraId="087FDA01" w14:textId="09F276CD" w:rsidR="000D19A9" w:rsidRPr="007C4D65" w:rsidRDefault="000D19A9">
            <w:pPr>
              <w:numPr>
                <w:ilvl w:val="0"/>
                <w:numId w:val="93"/>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sz w:val="18"/>
                <w:szCs w:val="18"/>
              </w:rPr>
              <w:t xml:space="preserve">establishing the framework for operation of the Community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marine environment policy, 2008/56/EC</w:t>
            </w:r>
          </w:p>
          <w:p w14:paraId="2BDB12BC" w14:textId="35C43A84" w:rsidR="000D19A9" w:rsidRPr="007C4D65" w:rsidRDefault="000D19A9">
            <w:pPr>
              <w:numPr>
                <w:ilvl w:val="0"/>
                <w:numId w:val="93"/>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sz w:val="18"/>
                <w:szCs w:val="18"/>
              </w:rPr>
              <w:t>managing quality of bathing water 2006/7/EC</w:t>
            </w:r>
          </w:p>
          <w:p w14:paraId="0E6A7CE2" w14:textId="44059B97" w:rsidR="000D19A9" w:rsidRPr="007C4D65" w:rsidRDefault="000D19A9">
            <w:pPr>
              <w:numPr>
                <w:ilvl w:val="0"/>
                <w:numId w:val="93"/>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sz w:val="18"/>
                <w:szCs w:val="18"/>
              </w:rPr>
              <w:t>protection of groundwater against pollution and deterioration 2006/118/ECC</w:t>
            </w:r>
          </w:p>
          <w:p w14:paraId="2645A1A0" w14:textId="77777777" w:rsidR="000D19A9" w:rsidRPr="007C4D65" w:rsidRDefault="000D19A9">
            <w:pPr>
              <w:numPr>
                <w:ilvl w:val="0"/>
                <w:numId w:val="93"/>
              </w:numPr>
              <w:spacing w:before="40" w:after="40" w:line="276" w:lineRule="auto"/>
              <w:ind w:left="360"/>
              <w:contextualSpacing/>
              <w:rPr>
                <w:rFonts w:asciiTheme="minorHAnsi" w:hAnsiTheme="minorHAnsi" w:cstheme="minorHAnsi"/>
                <w:sz w:val="18"/>
                <w:szCs w:val="18"/>
              </w:rPr>
            </w:pPr>
            <w:r w:rsidRPr="007C4D65">
              <w:rPr>
                <w:rFonts w:asciiTheme="minorHAnsi" w:hAnsiTheme="minorHAnsi"/>
                <w:sz w:val="18"/>
                <w:szCs w:val="18"/>
              </w:rPr>
              <w:t>environmental quality standards in the field of water policy, 2013/39/EC</w:t>
            </w:r>
          </w:p>
        </w:tc>
        <w:tc>
          <w:tcPr>
            <w:tcW w:w="1159" w:type="pct"/>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58564174"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APIDs have not been developed</w:t>
            </w:r>
          </w:p>
        </w:tc>
        <w:tc>
          <w:tcPr>
            <w:tcW w:w="1159" w:type="pct"/>
            <w:tcBorders>
              <w:top w:val="single" w:sz="4" w:space="0" w:color="A6A6A6"/>
              <w:left w:val="single" w:sz="4" w:space="0" w:color="A6A6A6"/>
              <w:bottom w:val="single" w:sz="4" w:space="0" w:color="A6A6A6"/>
              <w:right w:val="single" w:sz="4" w:space="0" w:color="A6A6A6"/>
            </w:tcBorders>
            <w:shd w:val="clear" w:color="auto" w:fill="auto"/>
            <w:vAlign w:val="center"/>
          </w:tcPr>
          <w:p w14:paraId="0019E02D" w14:textId="77777777" w:rsidR="000D19A9" w:rsidRPr="007C4D65" w:rsidRDefault="000D19A9" w:rsidP="00B6017F">
            <w:pPr>
              <w:spacing w:before="40" w:after="40" w:line="276" w:lineRule="auto"/>
              <w:ind w:firstLine="69"/>
              <w:rPr>
                <w:rFonts w:asciiTheme="minorHAnsi" w:hAnsiTheme="minorHAnsi" w:cstheme="minorHAnsi"/>
                <w:sz w:val="18"/>
                <w:szCs w:val="18"/>
              </w:rPr>
            </w:pPr>
            <w:r w:rsidRPr="007C4D65">
              <w:rPr>
                <w:rFonts w:asciiTheme="minorHAnsi" w:hAnsiTheme="minorHAnsi"/>
                <w:sz w:val="18"/>
                <w:szCs w:val="18"/>
              </w:rPr>
              <w:t>5 APIDS developed and adopted (-2027)</w:t>
            </w:r>
          </w:p>
        </w:tc>
      </w:tr>
      <w:tr w:rsidR="000D19A9" w:rsidRPr="007C4D65" w14:paraId="695F3C23" w14:textId="77777777" w:rsidTr="00B6017F">
        <w:trPr>
          <w:trHeight w:val="287"/>
        </w:trPr>
        <w:tc>
          <w:tcPr>
            <w:tcW w:w="658" w:type="pct"/>
            <w:vMerge/>
            <w:shd w:val="clear" w:color="auto" w:fill="D9D9D9"/>
            <w:vAlign w:val="center"/>
          </w:tcPr>
          <w:p w14:paraId="23FDEE75"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FB1B1AE"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3EFA3C60" w14:textId="77777777" w:rsidR="000D19A9" w:rsidRPr="007C4D65" w:rsidRDefault="000D19A9"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sz w:val="18"/>
                <w:szCs w:val="18"/>
              </w:rPr>
              <w:t xml:space="preserve">Level of implementation of 8 APIDs  </w:t>
            </w:r>
          </w:p>
        </w:tc>
        <w:tc>
          <w:tcPr>
            <w:tcW w:w="1159" w:type="pct"/>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20EAF263" w14:textId="6CA8FB93" w:rsidR="000D19A9" w:rsidRPr="007C4D65" w:rsidRDefault="000D19A9" w:rsidP="00B6017F">
            <w:pPr>
              <w:spacing w:after="120" w:line="276" w:lineRule="auto"/>
              <w:ind w:left="2" w:hanging="2"/>
              <w:contextualSpacing/>
              <w:rPr>
                <w:rFonts w:asciiTheme="minorHAnsi" w:eastAsia="Calibri" w:hAnsiTheme="minorHAnsi" w:cstheme="minorHAnsi"/>
                <w:sz w:val="18"/>
                <w:szCs w:val="18"/>
              </w:rPr>
            </w:pPr>
            <w:r w:rsidRPr="007C4D65">
              <w:rPr>
                <w:rFonts w:asciiTheme="minorHAnsi" w:hAnsiTheme="minorHAnsi"/>
                <w:sz w:val="18"/>
                <w:szCs w:val="18"/>
              </w:rPr>
              <w:t>8 APIDs have not been prepared for implementation</w:t>
            </w:r>
          </w:p>
        </w:tc>
        <w:tc>
          <w:tcPr>
            <w:tcW w:w="1159" w:type="pct"/>
            <w:tcBorders>
              <w:top w:val="single" w:sz="4" w:space="0" w:color="A6A6A6"/>
              <w:left w:val="single" w:sz="4" w:space="0" w:color="A6A6A6"/>
              <w:bottom w:val="single" w:sz="4" w:space="0" w:color="A6A6A6"/>
              <w:right w:val="single" w:sz="4" w:space="0" w:color="A6A6A6"/>
            </w:tcBorders>
            <w:shd w:val="clear" w:color="auto" w:fill="auto"/>
            <w:vAlign w:val="center"/>
          </w:tcPr>
          <w:p w14:paraId="70618CB0" w14:textId="77777777" w:rsidR="000D19A9" w:rsidRPr="007C4D65" w:rsidRDefault="000D19A9" w:rsidP="00B6017F">
            <w:pPr>
              <w:spacing w:after="120" w:line="276" w:lineRule="auto"/>
              <w:ind w:left="69"/>
              <w:contextualSpacing/>
              <w:rPr>
                <w:rFonts w:asciiTheme="minorHAnsi" w:hAnsiTheme="minorHAnsi" w:cstheme="minorHAnsi"/>
                <w:sz w:val="18"/>
                <w:szCs w:val="18"/>
              </w:rPr>
            </w:pPr>
            <w:r w:rsidRPr="007C4D65">
              <w:rPr>
                <w:rFonts w:asciiTheme="minorHAnsi" w:hAnsiTheme="minorHAnsi"/>
                <w:sz w:val="18"/>
                <w:szCs w:val="18"/>
              </w:rPr>
              <w:t>Implementation of 8 APIDs and reporting on the progress of their implementation in accordance with the defined Plan (2034)</w:t>
            </w:r>
          </w:p>
        </w:tc>
      </w:tr>
      <w:tr w:rsidR="000D19A9" w:rsidRPr="007C4D65" w14:paraId="7C60B480" w14:textId="77777777" w:rsidTr="00B6017F">
        <w:trPr>
          <w:trHeight w:val="483"/>
        </w:trPr>
        <w:tc>
          <w:tcPr>
            <w:tcW w:w="658" w:type="pct"/>
            <w:vMerge/>
            <w:shd w:val="clear" w:color="auto" w:fill="D9D9D9"/>
            <w:vAlign w:val="center"/>
            <w:hideMark/>
          </w:tcPr>
          <w:p w14:paraId="059302D4"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3E03902"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hideMark/>
          </w:tcPr>
          <w:p w14:paraId="7BF7F231"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hemeFill="background1" w:themeFillShade="D9"/>
            <w:tcMar>
              <w:top w:w="0" w:type="dxa"/>
              <w:left w:w="108" w:type="dxa"/>
              <w:bottom w:w="0" w:type="dxa"/>
              <w:right w:w="108" w:type="dxa"/>
            </w:tcMar>
            <w:vAlign w:val="center"/>
            <w:hideMark/>
          </w:tcPr>
          <w:p w14:paraId="7213345D"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hemeFill="background1" w:themeFillShade="D9"/>
            <w:tcMar>
              <w:top w:w="0" w:type="dxa"/>
              <w:left w:w="108" w:type="dxa"/>
              <w:bottom w:w="0" w:type="dxa"/>
              <w:right w:w="108" w:type="dxa"/>
            </w:tcMar>
            <w:vAlign w:val="center"/>
            <w:hideMark/>
          </w:tcPr>
          <w:p w14:paraId="65CCC9A5"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714A2CEC" w14:textId="77777777" w:rsidTr="00B6017F">
        <w:trPr>
          <w:trHeight w:val="287"/>
        </w:trPr>
        <w:tc>
          <w:tcPr>
            <w:tcW w:w="658" w:type="pct"/>
            <w:vMerge/>
            <w:shd w:val="clear" w:color="auto" w:fill="D9D9D9"/>
            <w:vAlign w:val="center"/>
            <w:hideMark/>
          </w:tcPr>
          <w:p w14:paraId="24F9927B"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5753574"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C906288"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427,1</w:t>
            </w:r>
          </w:p>
        </w:tc>
        <w:tc>
          <w:tcPr>
            <w:tcW w:w="1159" w:type="pct"/>
            <w:tcMar>
              <w:top w:w="0" w:type="dxa"/>
              <w:left w:w="108" w:type="dxa"/>
              <w:bottom w:w="0" w:type="dxa"/>
              <w:right w:w="108" w:type="dxa"/>
            </w:tcMar>
            <w:vAlign w:val="center"/>
          </w:tcPr>
          <w:p w14:paraId="5A20C882"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3844,2</w:t>
            </w:r>
          </w:p>
        </w:tc>
        <w:tc>
          <w:tcPr>
            <w:tcW w:w="1159" w:type="pct"/>
            <w:tcMar>
              <w:top w:w="0" w:type="dxa"/>
              <w:left w:w="108" w:type="dxa"/>
              <w:bottom w:w="0" w:type="dxa"/>
              <w:right w:w="108" w:type="dxa"/>
            </w:tcMar>
            <w:vAlign w:val="center"/>
          </w:tcPr>
          <w:p w14:paraId="36B8F98B"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4271</w:t>
            </w:r>
          </w:p>
        </w:tc>
      </w:tr>
    </w:tbl>
    <w:p w14:paraId="45AA5B5C" w14:textId="77777777" w:rsidR="000D19A9" w:rsidRPr="007C4D65" w:rsidRDefault="000D19A9" w:rsidP="000D19A9">
      <w:pPr>
        <w:spacing w:after="120" w:line="276" w:lineRule="auto"/>
        <w:ind w:hanging="2"/>
        <w:contextualSpacing/>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0D19A9" w:rsidRPr="007C4D65" w14:paraId="12FDF418" w14:textId="77777777" w:rsidTr="00B6017F">
        <w:trPr>
          <w:trHeight w:val="384"/>
        </w:trPr>
        <w:tc>
          <w:tcPr>
            <w:tcW w:w="658" w:type="pct"/>
            <w:vMerge w:val="restart"/>
            <w:shd w:val="clear" w:color="auto" w:fill="D9D9D9"/>
            <w:tcMar>
              <w:top w:w="0" w:type="dxa"/>
              <w:left w:w="108" w:type="dxa"/>
              <w:bottom w:w="0" w:type="dxa"/>
              <w:right w:w="108" w:type="dxa"/>
            </w:tcMar>
            <w:vAlign w:val="center"/>
          </w:tcPr>
          <w:p w14:paraId="337FBB8E"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1.6. Priority</w:t>
            </w:r>
          </w:p>
          <w:p w14:paraId="464AF5FA"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restart"/>
            <w:tcMar>
              <w:top w:w="0" w:type="dxa"/>
              <w:left w:w="108" w:type="dxa"/>
              <w:bottom w:w="0" w:type="dxa"/>
              <w:right w:w="108" w:type="dxa"/>
            </w:tcMar>
            <w:vAlign w:val="center"/>
          </w:tcPr>
          <w:p w14:paraId="44CB44EC" w14:textId="700BB9D5" w:rsidR="000D19A9" w:rsidRPr="007C4D65" w:rsidRDefault="000D19A9"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t>Ensuring financial sustainability of</w:t>
            </w:r>
            <w:r w:rsidR="001E4D90" w:rsidRPr="007C4D65">
              <w:rPr>
                <w:rFonts w:asciiTheme="minorHAnsi" w:hAnsiTheme="minorHAnsi"/>
                <w:b/>
                <w:sz w:val="18"/>
                <w:szCs w:val="18"/>
              </w:rPr>
              <w:t xml:space="preserve"> the</w:t>
            </w:r>
            <w:r w:rsidRPr="007C4D65">
              <w:rPr>
                <w:rFonts w:asciiTheme="minorHAnsi" w:hAnsiTheme="minorHAnsi"/>
                <w:b/>
                <w:sz w:val="18"/>
                <w:szCs w:val="18"/>
              </w:rPr>
              <w:t xml:space="preserve"> water sector</w:t>
            </w:r>
          </w:p>
        </w:tc>
        <w:tc>
          <w:tcPr>
            <w:tcW w:w="1159" w:type="pct"/>
            <w:shd w:val="clear" w:color="auto" w:fill="D9D9D9" w:themeFill="background1" w:themeFillShade="D9"/>
            <w:tcMar>
              <w:top w:w="0" w:type="dxa"/>
              <w:left w:w="108" w:type="dxa"/>
              <w:bottom w:w="0" w:type="dxa"/>
              <w:right w:w="108" w:type="dxa"/>
            </w:tcMar>
            <w:vAlign w:val="center"/>
          </w:tcPr>
          <w:p w14:paraId="451FE80D" w14:textId="77777777" w:rsidR="000D19A9" w:rsidRPr="007C4D65" w:rsidRDefault="000D19A9"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59" w:type="pct"/>
            <w:shd w:val="clear" w:color="auto" w:fill="D9D9D9" w:themeFill="background1" w:themeFillShade="D9"/>
            <w:tcMar>
              <w:top w:w="0" w:type="dxa"/>
              <w:left w:w="108" w:type="dxa"/>
              <w:bottom w:w="0" w:type="dxa"/>
              <w:right w:w="108" w:type="dxa"/>
            </w:tcMar>
            <w:vAlign w:val="center"/>
          </w:tcPr>
          <w:p w14:paraId="74161E26"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hemeFill="background1" w:themeFillShade="D9"/>
            <w:tcMar>
              <w:top w:w="0" w:type="dxa"/>
              <w:left w:w="108" w:type="dxa"/>
              <w:bottom w:w="0" w:type="dxa"/>
              <w:right w:w="108" w:type="dxa"/>
            </w:tcMar>
            <w:vAlign w:val="center"/>
          </w:tcPr>
          <w:p w14:paraId="0F8F996F"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0ACF1897" w14:textId="77777777" w:rsidTr="00B6017F">
        <w:trPr>
          <w:trHeight w:val="287"/>
        </w:trPr>
        <w:tc>
          <w:tcPr>
            <w:tcW w:w="658" w:type="pct"/>
            <w:vMerge/>
            <w:shd w:val="clear" w:color="auto" w:fill="D9D9D9"/>
            <w:vAlign w:val="center"/>
            <w:hideMark/>
          </w:tcPr>
          <w:p w14:paraId="3389FC1C"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4F998B46"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20BB4931" w14:textId="5F1047D1" w:rsidR="000D19A9" w:rsidRPr="007C4D65" w:rsidRDefault="000D19A9" w:rsidP="000E68A5">
            <w:pPr>
              <w:spacing w:line="276" w:lineRule="auto"/>
              <w:rPr>
                <w:rFonts w:asciiTheme="minorHAnsi" w:hAnsiTheme="minorHAnsi" w:cstheme="minorHAnsi"/>
                <w:sz w:val="18"/>
                <w:szCs w:val="18"/>
                <w:lang w:val="hr-HR"/>
              </w:rPr>
            </w:pPr>
            <w:r w:rsidRPr="007C4D65">
              <w:rPr>
                <w:rFonts w:asciiTheme="minorHAnsi" w:hAnsiTheme="minorHAnsi"/>
                <w:sz w:val="18"/>
                <w:szCs w:val="18"/>
              </w:rPr>
              <w:t>Degree and phase of implementation of financial and commercial segment of water services reform in all LGUs</w:t>
            </w:r>
          </w:p>
        </w:tc>
        <w:tc>
          <w:tcPr>
            <w:tcW w:w="1159" w:type="pct"/>
            <w:tcMar>
              <w:top w:w="0" w:type="dxa"/>
              <w:left w:w="108" w:type="dxa"/>
              <w:bottom w:w="0" w:type="dxa"/>
              <w:right w:w="108" w:type="dxa"/>
            </w:tcMar>
          </w:tcPr>
          <w:p w14:paraId="4BF39991"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Start of the planning phase for all LGUs   </w:t>
            </w:r>
          </w:p>
          <w:p w14:paraId="5B57356D" w14:textId="77777777" w:rsidR="000D19A9" w:rsidRPr="007C4D65" w:rsidRDefault="000D19A9" w:rsidP="000D19A9">
            <w:pPr>
              <w:pStyle w:val="ListParagraph"/>
              <w:numPr>
                <w:ilvl w:val="0"/>
                <w:numId w:val="39"/>
              </w:numPr>
              <w:spacing w:line="276" w:lineRule="auto"/>
              <w:rPr>
                <w:rFonts w:asciiTheme="minorHAnsi" w:hAnsiTheme="minorHAnsi" w:cstheme="minorHAnsi"/>
                <w:sz w:val="18"/>
                <w:szCs w:val="18"/>
              </w:rPr>
            </w:pPr>
            <w:r w:rsidRPr="007C4D65">
              <w:rPr>
                <w:rFonts w:asciiTheme="minorHAnsi" w:hAnsiTheme="minorHAnsi"/>
                <w:sz w:val="18"/>
                <w:szCs w:val="18"/>
              </w:rPr>
              <w:t>Completed:</w:t>
            </w:r>
          </w:p>
          <w:p w14:paraId="3BA98A10" w14:textId="0EA002C2" w:rsidR="000D19A9" w:rsidRPr="007C4D65" w:rsidRDefault="000D19A9" w:rsidP="000D19A9">
            <w:pPr>
              <w:pStyle w:val="ListParagraph"/>
              <w:numPr>
                <w:ilvl w:val="0"/>
                <w:numId w:val="45"/>
              </w:numPr>
              <w:spacing w:line="276" w:lineRule="auto"/>
              <w:rPr>
                <w:rFonts w:asciiTheme="minorHAnsi" w:hAnsiTheme="minorHAnsi" w:cstheme="minorHAnsi"/>
                <w:sz w:val="18"/>
                <w:szCs w:val="18"/>
              </w:rPr>
            </w:pPr>
            <w:r w:rsidRPr="007C4D65">
              <w:rPr>
                <w:rFonts w:asciiTheme="minorHAnsi" w:hAnsiTheme="minorHAnsi"/>
                <w:sz w:val="18"/>
                <w:szCs w:val="18"/>
              </w:rPr>
              <w:lastRenderedPageBreak/>
              <w:t>Regulation on the methodology for determining the lowest basic price of water services in the Federation of BiH</w:t>
            </w:r>
          </w:p>
          <w:p w14:paraId="72225E21" w14:textId="67E8B42C" w:rsidR="000D19A9" w:rsidRPr="007C4D65" w:rsidRDefault="000D19A9" w:rsidP="000D19A9">
            <w:pPr>
              <w:pStyle w:val="ListParagraph"/>
              <w:numPr>
                <w:ilvl w:val="0"/>
                <w:numId w:val="45"/>
              </w:numPr>
              <w:spacing w:line="276" w:lineRule="auto"/>
              <w:rPr>
                <w:rFonts w:asciiTheme="minorHAnsi" w:hAnsiTheme="minorHAnsi" w:cstheme="minorHAnsi"/>
                <w:sz w:val="18"/>
                <w:szCs w:val="18"/>
              </w:rPr>
            </w:pPr>
            <w:r w:rsidRPr="007C4D65">
              <w:rPr>
                <w:rFonts w:asciiTheme="minorHAnsi" w:hAnsiTheme="minorHAnsi"/>
                <w:sz w:val="18"/>
                <w:szCs w:val="18"/>
              </w:rPr>
              <w:t xml:space="preserve">“Overview of sector of water services in </w:t>
            </w:r>
            <w:proofErr w:type="gramStart"/>
            <w:r w:rsidRPr="007C4D65">
              <w:rPr>
                <w:rFonts w:asciiTheme="minorHAnsi" w:hAnsiTheme="minorHAnsi"/>
                <w:sz w:val="18"/>
                <w:szCs w:val="18"/>
              </w:rPr>
              <w:t>BiH“</w:t>
            </w:r>
            <w:proofErr w:type="gramEnd"/>
          </w:p>
          <w:p w14:paraId="2B81FB6B" w14:textId="77777777" w:rsidR="000D19A9" w:rsidRPr="007C4D65" w:rsidRDefault="000D19A9">
            <w:pPr>
              <w:numPr>
                <w:ilvl w:val="0"/>
                <w:numId w:val="181"/>
              </w:numPr>
              <w:spacing w:line="276" w:lineRule="auto"/>
              <w:contextualSpacing/>
              <w:jc w:val="both"/>
              <w:rPr>
                <w:rFonts w:asciiTheme="minorHAnsi" w:hAnsiTheme="minorHAnsi" w:cstheme="minorHAnsi"/>
                <w:sz w:val="18"/>
                <w:szCs w:val="18"/>
              </w:rPr>
            </w:pPr>
            <w:r w:rsidRPr="007C4D65">
              <w:rPr>
                <w:rFonts w:asciiTheme="minorHAnsi" w:hAnsiTheme="minorHAnsi"/>
                <w:sz w:val="18"/>
                <w:szCs w:val="18"/>
              </w:rPr>
              <w:t>Proposed programme for improving water services in the Federation of BiH by providing financial and technical support</w:t>
            </w:r>
          </w:p>
        </w:tc>
        <w:tc>
          <w:tcPr>
            <w:tcW w:w="1159" w:type="pct"/>
            <w:tcMar>
              <w:top w:w="0" w:type="dxa"/>
              <w:left w:w="108" w:type="dxa"/>
              <w:bottom w:w="0" w:type="dxa"/>
              <w:right w:w="108" w:type="dxa"/>
            </w:tcMar>
          </w:tcPr>
          <w:p w14:paraId="22C8C234" w14:textId="70B15B81"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lastRenderedPageBreak/>
              <w:t>Fully implemented financial and economic segments of water services sector reform in all LGUs</w:t>
            </w:r>
          </w:p>
        </w:tc>
      </w:tr>
      <w:tr w:rsidR="000D19A9" w:rsidRPr="007C4D65" w14:paraId="2239AD1A" w14:textId="77777777" w:rsidTr="00B6017F">
        <w:trPr>
          <w:trHeight w:val="287"/>
        </w:trPr>
        <w:tc>
          <w:tcPr>
            <w:tcW w:w="658" w:type="pct"/>
            <w:vMerge/>
            <w:shd w:val="clear" w:color="auto" w:fill="D9D9D9"/>
            <w:vAlign w:val="center"/>
          </w:tcPr>
          <w:p w14:paraId="45EF0836"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E1AD1A9"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270B0D8A" w14:textId="3B544DDF" w:rsidR="000D19A9" w:rsidRPr="007C4D65" w:rsidRDefault="000D19A9" w:rsidP="000E68A5">
            <w:pPr>
              <w:spacing w:line="276" w:lineRule="auto"/>
              <w:rPr>
                <w:rFonts w:asciiTheme="minorHAnsi" w:hAnsiTheme="minorHAnsi" w:cstheme="minorHAnsi"/>
                <w:sz w:val="18"/>
                <w:szCs w:val="18"/>
                <w:lang w:val="hr-HR"/>
              </w:rPr>
            </w:pPr>
            <w:r w:rsidRPr="007C4D65">
              <w:rPr>
                <w:rFonts w:asciiTheme="minorHAnsi" w:hAnsiTheme="minorHAnsi"/>
                <w:sz w:val="18"/>
                <w:szCs w:val="18"/>
              </w:rPr>
              <w:t>Effects of the established system of calculation, collection and allocation of special water fees in terms of satisfaction of needs of financing water sector</w:t>
            </w:r>
          </w:p>
        </w:tc>
        <w:tc>
          <w:tcPr>
            <w:tcW w:w="1159" w:type="pct"/>
            <w:tcMar>
              <w:top w:w="0" w:type="dxa"/>
              <w:left w:w="108" w:type="dxa"/>
              <w:bottom w:w="0" w:type="dxa"/>
              <w:right w:w="108" w:type="dxa"/>
            </w:tcMar>
          </w:tcPr>
          <w:p w14:paraId="6E133F9F" w14:textId="2B967A2F"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The existing system of calculation, collection and allocation of special water fees does not satisfy the financing needs in water sector</w:t>
            </w:r>
          </w:p>
          <w:p w14:paraId="737CA474" w14:textId="77777777" w:rsidR="000D19A9" w:rsidRPr="007C4D65" w:rsidRDefault="000D19A9" w:rsidP="000D19A9">
            <w:pPr>
              <w:pStyle w:val="ListParagraph"/>
              <w:numPr>
                <w:ilvl w:val="0"/>
                <w:numId w:val="46"/>
              </w:numPr>
              <w:spacing w:line="276" w:lineRule="auto"/>
              <w:rPr>
                <w:rFonts w:asciiTheme="minorHAnsi" w:hAnsiTheme="minorHAnsi" w:cstheme="minorHAnsi"/>
                <w:sz w:val="18"/>
                <w:szCs w:val="18"/>
              </w:rPr>
            </w:pPr>
            <w:r w:rsidRPr="007C4D65">
              <w:rPr>
                <w:rFonts w:asciiTheme="minorHAnsi" w:hAnsiTheme="minorHAnsi"/>
                <w:sz w:val="18"/>
                <w:szCs w:val="18"/>
              </w:rPr>
              <w:t xml:space="preserve">Water fees for water intake and for discharging </w:t>
            </w:r>
            <w:proofErr w:type="gramStart"/>
            <w:r w:rsidRPr="007C4D65">
              <w:rPr>
                <w:rFonts w:asciiTheme="minorHAnsi" w:hAnsiTheme="minorHAnsi"/>
                <w:sz w:val="18"/>
                <w:szCs w:val="18"/>
              </w:rPr>
              <w:t>waste water</w:t>
            </w:r>
            <w:proofErr w:type="gramEnd"/>
            <w:r w:rsidRPr="007C4D65">
              <w:rPr>
                <w:rFonts w:asciiTheme="minorHAnsi" w:hAnsiTheme="minorHAnsi"/>
                <w:sz w:val="18"/>
                <w:szCs w:val="18"/>
              </w:rPr>
              <w:t xml:space="preserve"> are not regulated</w:t>
            </w:r>
          </w:p>
          <w:p w14:paraId="0FBDF359" w14:textId="77777777" w:rsidR="000D19A9" w:rsidRPr="007C4D65" w:rsidRDefault="000D19A9" w:rsidP="000D19A9">
            <w:pPr>
              <w:pStyle w:val="ListParagraph"/>
              <w:numPr>
                <w:ilvl w:val="0"/>
                <w:numId w:val="46"/>
              </w:numPr>
              <w:spacing w:line="276" w:lineRule="auto"/>
              <w:rPr>
                <w:rFonts w:asciiTheme="minorHAnsi" w:hAnsiTheme="minorHAnsi" w:cstheme="minorHAnsi"/>
                <w:sz w:val="18"/>
                <w:szCs w:val="18"/>
              </w:rPr>
            </w:pPr>
            <w:r w:rsidRPr="007C4D65">
              <w:rPr>
                <w:rFonts w:asciiTheme="minorHAnsi" w:hAnsiTheme="minorHAnsi"/>
                <w:sz w:val="18"/>
                <w:szCs w:val="18"/>
              </w:rPr>
              <w:t>No adequate mechanism of enforced collection of debt for the unpaid water fees has been established</w:t>
            </w:r>
          </w:p>
        </w:tc>
        <w:tc>
          <w:tcPr>
            <w:tcW w:w="1159" w:type="pct"/>
            <w:tcMar>
              <w:top w:w="0" w:type="dxa"/>
              <w:left w:w="108" w:type="dxa"/>
              <w:bottom w:w="0" w:type="dxa"/>
              <w:right w:w="108" w:type="dxa"/>
            </w:tcMar>
          </w:tcPr>
          <w:p w14:paraId="39844436" w14:textId="62BD7A19" w:rsidR="000D19A9" w:rsidRPr="007C4D65" w:rsidRDefault="000D19A9" w:rsidP="000E68A5">
            <w:pPr>
              <w:spacing w:line="276" w:lineRule="auto"/>
              <w:rPr>
                <w:rFonts w:asciiTheme="minorHAnsi" w:hAnsiTheme="minorHAnsi" w:cstheme="minorHAnsi"/>
                <w:sz w:val="18"/>
                <w:szCs w:val="18"/>
              </w:rPr>
            </w:pPr>
            <w:r w:rsidRPr="007C4D65">
              <w:rPr>
                <w:rFonts w:asciiTheme="minorHAnsi" w:hAnsiTheme="minorHAnsi"/>
                <w:sz w:val="18"/>
                <w:szCs w:val="18"/>
              </w:rPr>
              <w:t>Established system for calculating, collecting and allocating water fees that satisfies financing needs in water sector that are planned to be financed from this source</w:t>
            </w:r>
          </w:p>
        </w:tc>
      </w:tr>
      <w:tr w:rsidR="000D19A9" w:rsidRPr="007C4D65" w14:paraId="59116190" w14:textId="77777777" w:rsidTr="00B6017F">
        <w:trPr>
          <w:trHeight w:val="287"/>
        </w:trPr>
        <w:tc>
          <w:tcPr>
            <w:tcW w:w="658" w:type="pct"/>
            <w:vMerge/>
            <w:shd w:val="clear" w:color="auto" w:fill="D9D9D9"/>
            <w:vAlign w:val="center"/>
          </w:tcPr>
          <w:p w14:paraId="19B27DFD"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6F980795"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667D392"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Effectiveness of financial and economic planning in water sector for the purpose of obtaining funds for sector development from EU and other international financial institutions</w:t>
            </w:r>
          </w:p>
        </w:tc>
        <w:tc>
          <w:tcPr>
            <w:tcW w:w="1159" w:type="pct"/>
            <w:tcMar>
              <w:top w:w="0" w:type="dxa"/>
              <w:left w:w="108" w:type="dxa"/>
              <w:bottom w:w="0" w:type="dxa"/>
              <w:right w:w="108" w:type="dxa"/>
            </w:tcMar>
          </w:tcPr>
          <w:p w14:paraId="482C4601" w14:textId="77777777" w:rsidR="000D19A9" w:rsidRPr="007C4D65" w:rsidRDefault="000D19A9" w:rsidP="000D19A9">
            <w:pPr>
              <w:pStyle w:val="ListParagraph"/>
              <w:numPr>
                <w:ilvl w:val="0"/>
                <w:numId w:val="39"/>
              </w:numPr>
              <w:spacing w:line="276" w:lineRule="auto"/>
              <w:rPr>
                <w:rFonts w:asciiTheme="minorHAnsi" w:hAnsiTheme="minorHAnsi" w:cstheme="minorHAnsi"/>
                <w:sz w:val="18"/>
                <w:szCs w:val="18"/>
              </w:rPr>
            </w:pPr>
            <w:r w:rsidRPr="007C4D65">
              <w:rPr>
                <w:rFonts w:asciiTheme="minorHAnsi" w:hAnsiTheme="minorHAnsi"/>
                <w:sz w:val="18"/>
                <w:szCs w:val="18"/>
              </w:rPr>
              <w:t xml:space="preserve">Low effectiveness </w:t>
            </w:r>
          </w:p>
          <w:p w14:paraId="65867684" w14:textId="77777777"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Insufficient institutional capacities for financial and economic planning in water sector</w:t>
            </w:r>
          </w:p>
        </w:tc>
        <w:tc>
          <w:tcPr>
            <w:tcW w:w="1159" w:type="pct"/>
            <w:tcMar>
              <w:top w:w="0" w:type="dxa"/>
              <w:left w:w="108" w:type="dxa"/>
              <w:bottom w:w="0" w:type="dxa"/>
              <w:right w:w="108" w:type="dxa"/>
            </w:tcMar>
          </w:tcPr>
          <w:p w14:paraId="727DA434"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Effective financial and economic planning in water sector for the purpose of obtaining funds for sector development from EU and other international financial institutions</w:t>
            </w:r>
          </w:p>
        </w:tc>
      </w:tr>
      <w:tr w:rsidR="000D19A9" w:rsidRPr="007C4D65" w14:paraId="15BAACD7" w14:textId="77777777" w:rsidTr="00B6017F">
        <w:trPr>
          <w:trHeight w:val="287"/>
        </w:trPr>
        <w:tc>
          <w:tcPr>
            <w:tcW w:w="658" w:type="pct"/>
            <w:vMerge/>
            <w:shd w:val="clear" w:color="auto" w:fill="D9D9D9"/>
            <w:vAlign w:val="center"/>
          </w:tcPr>
          <w:p w14:paraId="0AD8C920"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9A8951C"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5E815C78" w14:textId="1C53D8BA" w:rsidR="000D19A9" w:rsidRPr="007C4D65" w:rsidRDefault="000D19A9" w:rsidP="000E68A5">
            <w:pPr>
              <w:spacing w:line="276" w:lineRule="auto"/>
              <w:rPr>
                <w:rFonts w:asciiTheme="minorHAnsi" w:hAnsiTheme="minorHAnsi" w:cstheme="minorHAnsi"/>
                <w:sz w:val="18"/>
                <w:szCs w:val="18"/>
                <w:lang w:val="hr-HR"/>
              </w:rPr>
            </w:pPr>
            <w:r w:rsidRPr="007C4D65">
              <w:rPr>
                <w:rFonts w:asciiTheme="minorHAnsi" w:hAnsiTheme="minorHAnsi"/>
                <w:sz w:val="18"/>
                <w:szCs w:val="18"/>
              </w:rPr>
              <w:t>Status of implementation of all preconditions for comprehensive and systematic approach to addressing climate change adaptation in Federation of BiH.</w:t>
            </w:r>
          </w:p>
        </w:tc>
        <w:tc>
          <w:tcPr>
            <w:tcW w:w="1159" w:type="pct"/>
            <w:tcMar>
              <w:top w:w="0" w:type="dxa"/>
              <w:left w:w="108" w:type="dxa"/>
              <w:bottom w:w="0" w:type="dxa"/>
              <w:right w:w="108" w:type="dxa"/>
            </w:tcMar>
          </w:tcPr>
          <w:p w14:paraId="23C53E23" w14:textId="1C5A3863" w:rsidR="000D19A9" w:rsidRPr="007C4D65" w:rsidRDefault="000D19A9"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Partially achieved one of the preconditions - work of the Federation of BiH water sector with </w:t>
            </w:r>
            <w:proofErr w:type="spellStart"/>
            <w:r w:rsidRPr="007C4D65">
              <w:rPr>
                <w:rFonts w:asciiTheme="minorHAnsi" w:hAnsiTheme="minorHAnsi"/>
                <w:sz w:val="18"/>
                <w:szCs w:val="18"/>
              </w:rPr>
              <w:t>MoFTER</w:t>
            </w:r>
            <w:proofErr w:type="spellEnd"/>
            <w:r w:rsidRPr="007C4D65">
              <w:rPr>
                <w:rFonts w:asciiTheme="minorHAnsi" w:hAnsiTheme="minorHAnsi"/>
                <w:sz w:val="18"/>
                <w:szCs w:val="18"/>
              </w:rPr>
              <w:t xml:space="preserve"> on identification / preparation of priorities and project documents</w:t>
            </w:r>
          </w:p>
        </w:tc>
        <w:tc>
          <w:tcPr>
            <w:tcW w:w="1159" w:type="pct"/>
            <w:tcMar>
              <w:top w:w="0" w:type="dxa"/>
              <w:left w:w="108" w:type="dxa"/>
              <w:bottom w:w="0" w:type="dxa"/>
              <w:right w:w="108" w:type="dxa"/>
            </w:tcMar>
          </w:tcPr>
          <w:p w14:paraId="60ED96AF"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High level of cooperation between water sector and </w:t>
            </w:r>
            <w:proofErr w:type="spellStart"/>
            <w:r w:rsidRPr="007C4D65">
              <w:rPr>
                <w:rFonts w:asciiTheme="minorHAnsi" w:hAnsiTheme="minorHAnsi"/>
                <w:sz w:val="18"/>
                <w:szCs w:val="18"/>
              </w:rPr>
              <w:t>MoFTER</w:t>
            </w:r>
            <w:proofErr w:type="spellEnd"/>
            <w:r w:rsidRPr="007C4D65">
              <w:rPr>
                <w:rFonts w:asciiTheme="minorHAnsi" w:hAnsiTheme="minorHAnsi"/>
                <w:sz w:val="18"/>
                <w:szCs w:val="18"/>
              </w:rPr>
              <w:t xml:space="preserve"> in preparation of plans and projects for the purpose of providing financing for activities of adaptation to climate changes that affect water resources</w:t>
            </w:r>
          </w:p>
        </w:tc>
      </w:tr>
      <w:tr w:rsidR="000D19A9" w:rsidRPr="007C4D65" w14:paraId="5CEE1421" w14:textId="77777777" w:rsidTr="00B6017F">
        <w:trPr>
          <w:trHeight w:val="287"/>
        </w:trPr>
        <w:tc>
          <w:tcPr>
            <w:tcW w:w="658" w:type="pct"/>
            <w:vMerge/>
            <w:shd w:val="clear" w:color="auto" w:fill="D9D9D9"/>
            <w:vAlign w:val="center"/>
            <w:hideMark/>
          </w:tcPr>
          <w:p w14:paraId="358571D9"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B6D5F15"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tcPr>
          <w:p w14:paraId="0DE58CE3"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hemeFill="background1" w:themeFillShade="D9"/>
            <w:tcMar>
              <w:top w:w="0" w:type="dxa"/>
              <w:left w:w="108" w:type="dxa"/>
              <w:bottom w:w="0" w:type="dxa"/>
              <w:right w:w="108" w:type="dxa"/>
            </w:tcMar>
            <w:vAlign w:val="center"/>
          </w:tcPr>
          <w:p w14:paraId="3A5A954A"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hemeFill="background1" w:themeFillShade="D9"/>
            <w:tcMar>
              <w:top w:w="0" w:type="dxa"/>
              <w:left w:w="108" w:type="dxa"/>
              <w:bottom w:w="0" w:type="dxa"/>
              <w:right w:w="108" w:type="dxa"/>
            </w:tcMar>
            <w:vAlign w:val="center"/>
          </w:tcPr>
          <w:p w14:paraId="401E13E5"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62264F5A" w14:textId="77777777" w:rsidTr="00B6017F">
        <w:trPr>
          <w:trHeight w:val="287"/>
        </w:trPr>
        <w:tc>
          <w:tcPr>
            <w:tcW w:w="658" w:type="pct"/>
            <w:vMerge/>
            <w:shd w:val="clear" w:color="auto" w:fill="D9D9D9"/>
            <w:vAlign w:val="center"/>
          </w:tcPr>
          <w:p w14:paraId="34870AF5"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BBC3218"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DDA9B6F"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0,520</w:t>
            </w:r>
          </w:p>
        </w:tc>
        <w:tc>
          <w:tcPr>
            <w:tcW w:w="1159" w:type="pct"/>
            <w:tcMar>
              <w:top w:w="0" w:type="dxa"/>
              <w:left w:w="108" w:type="dxa"/>
              <w:bottom w:w="0" w:type="dxa"/>
              <w:right w:w="108" w:type="dxa"/>
            </w:tcMar>
            <w:vAlign w:val="center"/>
          </w:tcPr>
          <w:p w14:paraId="0689CD91"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6F9FD7CA"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0,520</w:t>
            </w:r>
          </w:p>
        </w:tc>
      </w:tr>
    </w:tbl>
    <w:p w14:paraId="72BF09FB" w14:textId="77777777" w:rsidR="000D19A9" w:rsidRPr="007C4D65" w:rsidRDefault="000D19A9" w:rsidP="000D19A9">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0D19A9" w:rsidRPr="007C4D65" w14:paraId="1AE3C78E"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25EEDDAB"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1.6.1. Measure</w:t>
            </w:r>
          </w:p>
        </w:tc>
        <w:tc>
          <w:tcPr>
            <w:tcW w:w="864" w:type="pct"/>
            <w:vMerge w:val="restart"/>
            <w:tcMar>
              <w:top w:w="0" w:type="dxa"/>
              <w:left w:w="108" w:type="dxa"/>
              <w:bottom w:w="0" w:type="dxa"/>
              <w:right w:w="108" w:type="dxa"/>
            </w:tcMar>
            <w:vAlign w:val="center"/>
          </w:tcPr>
          <w:p w14:paraId="57BAA9C8"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Improve financing of water sector by re-defining tariff system and reliably estimating cost-effectiveness of investments (Feasibility Studies)</w:t>
            </w:r>
          </w:p>
        </w:tc>
        <w:tc>
          <w:tcPr>
            <w:tcW w:w="1159" w:type="pct"/>
            <w:shd w:val="clear" w:color="auto" w:fill="D9D9D9"/>
            <w:tcMar>
              <w:top w:w="0" w:type="dxa"/>
              <w:left w:w="108" w:type="dxa"/>
              <w:bottom w:w="0" w:type="dxa"/>
              <w:right w:w="108" w:type="dxa"/>
            </w:tcMar>
            <w:vAlign w:val="center"/>
            <w:hideMark/>
          </w:tcPr>
          <w:p w14:paraId="2F10547E"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208642C3"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59BBF646"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10BA037E" w14:textId="77777777" w:rsidTr="00B6017F">
        <w:trPr>
          <w:trHeight w:val="287"/>
        </w:trPr>
        <w:tc>
          <w:tcPr>
            <w:tcW w:w="658" w:type="pct"/>
            <w:vMerge/>
            <w:shd w:val="clear" w:color="auto" w:fill="D9D9D9"/>
            <w:vAlign w:val="center"/>
          </w:tcPr>
          <w:p w14:paraId="2F6B4A2F"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209BE5F"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auto"/>
            <w:tcMar>
              <w:top w:w="0" w:type="dxa"/>
              <w:left w:w="108" w:type="dxa"/>
              <w:bottom w:w="0" w:type="dxa"/>
              <w:right w:w="108" w:type="dxa"/>
            </w:tcMar>
            <w:vAlign w:val="center"/>
          </w:tcPr>
          <w:p w14:paraId="46975511" w14:textId="4C31F5BF" w:rsidR="000D19A9" w:rsidRPr="007C4D65" w:rsidRDefault="000D19A9" w:rsidP="000E68A5">
            <w:pPr>
              <w:spacing w:before="40" w:after="40" w:line="276" w:lineRule="auto"/>
              <w:rPr>
                <w:rFonts w:asciiTheme="minorHAnsi" w:hAnsiTheme="minorHAnsi" w:cstheme="minorHAnsi"/>
                <w:sz w:val="18"/>
                <w:szCs w:val="18"/>
                <w:lang w:val="hr-HR"/>
              </w:rPr>
            </w:pPr>
            <w:r w:rsidRPr="007C4D65">
              <w:rPr>
                <w:rFonts w:asciiTheme="minorHAnsi" w:hAnsiTheme="minorHAnsi"/>
                <w:sz w:val="18"/>
                <w:szCs w:val="18"/>
              </w:rPr>
              <w:t>Number/percentage of LGUs / PUC and CPUC (cantonal public utility companies) that apply the methodology for setting the lowest basic price of water services in the Federation of BiH / establishment of regulatory bodies for water tariffs</w:t>
            </w:r>
          </w:p>
        </w:tc>
        <w:tc>
          <w:tcPr>
            <w:tcW w:w="1159" w:type="pct"/>
            <w:shd w:val="clear" w:color="auto" w:fill="auto"/>
            <w:tcMar>
              <w:top w:w="0" w:type="dxa"/>
              <w:left w:w="108" w:type="dxa"/>
              <w:bottom w:w="0" w:type="dxa"/>
              <w:right w:w="108" w:type="dxa"/>
            </w:tcMar>
            <w:vAlign w:val="center"/>
          </w:tcPr>
          <w:p w14:paraId="36A7370E" w14:textId="77777777" w:rsidR="000D19A9" w:rsidRPr="007C4D65" w:rsidRDefault="000D19A9">
            <w:pPr>
              <w:numPr>
                <w:ilvl w:val="0"/>
                <w:numId w:val="208"/>
              </w:numPr>
              <w:spacing w:before="40" w:after="40" w:line="276" w:lineRule="auto"/>
              <w:ind w:left="357" w:hanging="357"/>
              <w:contextualSpacing/>
              <w:rPr>
                <w:rFonts w:asciiTheme="minorHAnsi" w:hAnsiTheme="minorHAnsi" w:cstheme="minorHAnsi"/>
                <w:sz w:val="18"/>
                <w:szCs w:val="18"/>
              </w:rPr>
            </w:pPr>
            <w:r w:rsidRPr="007C4D65">
              <w:rPr>
                <w:rFonts w:asciiTheme="minorHAnsi" w:hAnsiTheme="minorHAnsi"/>
                <w:sz w:val="18"/>
                <w:szCs w:val="18"/>
              </w:rPr>
              <w:t>Adopted Methodology for setting the lowest basic price of water services in the Federation of BiH (2022)</w:t>
            </w:r>
          </w:p>
          <w:p w14:paraId="47F7F1AC" w14:textId="6532D1C1"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Regulatory bodies for water tariffs have not been established</w:t>
            </w:r>
          </w:p>
        </w:tc>
        <w:tc>
          <w:tcPr>
            <w:tcW w:w="1159" w:type="pct"/>
            <w:shd w:val="clear" w:color="auto" w:fill="auto"/>
            <w:vAlign w:val="center"/>
          </w:tcPr>
          <w:p w14:paraId="0DFF284E" w14:textId="77777777" w:rsidR="000D19A9" w:rsidRPr="007C4D65" w:rsidRDefault="000D19A9"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Methodology applied in all LGUs / PUCs and CPUCs (2028)</w:t>
            </w:r>
          </w:p>
        </w:tc>
      </w:tr>
      <w:tr w:rsidR="000D19A9" w:rsidRPr="007C4D65" w14:paraId="0E41405F" w14:textId="77777777" w:rsidTr="00B6017F">
        <w:trPr>
          <w:trHeight w:val="287"/>
        </w:trPr>
        <w:tc>
          <w:tcPr>
            <w:tcW w:w="658" w:type="pct"/>
            <w:vMerge/>
            <w:shd w:val="clear" w:color="auto" w:fill="D9D9D9"/>
            <w:vAlign w:val="center"/>
          </w:tcPr>
          <w:p w14:paraId="4B24B35E"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A01F8A2"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hemeFill="background1"/>
            <w:tcMar>
              <w:top w:w="0" w:type="dxa"/>
              <w:left w:w="108" w:type="dxa"/>
              <w:bottom w:w="0" w:type="dxa"/>
              <w:right w:w="108" w:type="dxa"/>
            </w:tcMar>
            <w:vAlign w:val="center"/>
          </w:tcPr>
          <w:p w14:paraId="18AC56BD" w14:textId="69A5CFF3"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Number of completed feasibility studies for new investments in utility infrastructure in LGUs</w:t>
            </w:r>
          </w:p>
        </w:tc>
        <w:tc>
          <w:tcPr>
            <w:tcW w:w="1159" w:type="pct"/>
            <w:shd w:val="clear" w:color="auto" w:fill="FFFFFF" w:themeFill="background1"/>
            <w:tcMar>
              <w:top w:w="0" w:type="dxa"/>
              <w:left w:w="108" w:type="dxa"/>
              <w:bottom w:w="0" w:type="dxa"/>
              <w:right w:w="108" w:type="dxa"/>
            </w:tcMar>
            <w:vAlign w:val="center"/>
          </w:tcPr>
          <w:p w14:paraId="26885C1D" w14:textId="1A8A4624"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No data available on the number of feasibility studies in LGUs</w:t>
            </w:r>
          </w:p>
        </w:tc>
        <w:tc>
          <w:tcPr>
            <w:tcW w:w="1159" w:type="pct"/>
            <w:shd w:val="clear" w:color="auto" w:fill="FFFFFF" w:themeFill="background1"/>
            <w:vAlign w:val="center"/>
          </w:tcPr>
          <w:p w14:paraId="58429B00" w14:textId="77777777" w:rsidR="000D19A9" w:rsidRPr="007C4D65" w:rsidRDefault="000D19A9"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In all LGUs, developed feasibility studies for new investments in utility infrastructure (2023 -2029)</w:t>
            </w:r>
          </w:p>
        </w:tc>
      </w:tr>
      <w:tr w:rsidR="000D19A9" w:rsidRPr="007C4D65" w14:paraId="07D1B5F3" w14:textId="77777777" w:rsidTr="00B6017F">
        <w:trPr>
          <w:trHeight w:val="483"/>
        </w:trPr>
        <w:tc>
          <w:tcPr>
            <w:tcW w:w="658" w:type="pct"/>
            <w:vMerge/>
            <w:shd w:val="clear" w:color="auto" w:fill="D9D9D9"/>
            <w:vAlign w:val="center"/>
            <w:hideMark/>
          </w:tcPr>
          <w:p w14:paraId="784F292A"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FEB3A5B"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hideMark/>
          </w:tcPr>
          <w:p w14:paraId="4E2A5F8B"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hemeFill="background1" w:themeFillShade="D9"/>
            <w:tcMar>
              <w:top w:w="0" w:type="dxa"/>
              <w:left w:w="108" w:type="dxa"/>
              <w:bottom w:w="0" w:type="dxa"/>
              <w:right w:w="108" w:type="dxa"/>
            </w:tcMar>
            <w:vAlign w:val="center"/>
            <w:hideMark/>
          </w:tcPr>
          <w:p w14:paraId="4AA030F6"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hemeFill="background1" w:themeFillShade="D9"/>
            <w:tcMar>
              <w:top w:w="0" w:type="dxa"/>
              <w:left w:w="108" w:type="dxa"/>
              <w:bottom w:w="0" w:type="dxa"/>
              <w:right w:w="108" w:type="dxa"/>
            </w:tcMar>
            <w:vAlign w:val="center"/>
            <w:hideMark/>
          </w:tcPr>
          <w:p w14:paraId="7E83228F"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1D7FDE86" w14:textId="77777777" w:rsidTr="00B6017F">
        <w:trPr>
          <w:trHeight w:val="287"/>
        </w:trPr>
        <w:tc>
          <w:tcPr>
            <w:tcW w:w="658" w:type="pct"/>
            <w:vMerge/>
            <w:shd w:val="clear" w:color="auto" w:fill="D9D9D9"/>
            <w:vAlign w:val="center"/>
            <w:hideMark/>
          </w:tcPr>
          <w:p w14:paraId="133DD145"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591FB10"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C597B18"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0,287</w:t>
            </w:r>
          </w:p>
        </w:tc>
        <w:tc>
          <w:tcPr>
            <w:tcW w:w="1159" w:type="pct"/>
            <w:tcMar>
              <w:top w:w="0" w:type="dxa"/>
              <w:left w:w="108" w:type="dxa"/>
              <w:bottom w:w="0" w:type="dxa"/>
              <w:right w:w="108" w:type="dxa"/>
            </w:tcMar>
            <w:vAlign w:val="center"/>
          </w:tcPr>
          <w:p w14:paraId="5FD3F8DF"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61FF62D8"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0,287</w:t>
            </w:r>
          </w:p>
        </w:tc>
      </w:tr>
      <w:tr w:rsidR="000D19A9" w:rsidRPr="007C4D65" w14:paraId="7D701B22"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4D887D4A"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1.6.2. Measure</w:t>
            </w:r>
          </w:p>
        </w:tc>
        <w:tc>
          <w:tcPr>
            <w:tcW w:w="864" w:type="pct"/>
            <w:vMerge w:val="restart"/>
            <w:tcMar>
              <w:top w:w="0" w:type="dxa"/>
              <w:left w:w="108" w:type="dxa"/>
              <w:bottom w:w="0" w:type="dxa"/>
              <w:right w:w="108" w:type="dxa"/>
            </w:tcMar>
            <w:vAlign w:val="center"/>
          </w:tcPr>
          <w:p w14:paraId="083B6C15"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Improve the system of calculation, collection and allocation of special water fees</w:t>
            </w:r>
          </w:p>
        </w:tc>
        <w:tc>
          <w:tcPr>
            <w:tcW w:w="1159" w:type="pct"/>
            <w:shd w:val="clear" w:color="auto" w:fill="D9D9D9" w:themeFill="background1" w:themeFillShade="D9"/>
            <w:tcMar>
              <w:top w:w="0" w:type="dxa"/>
              <w:left w:w="108" w:type="dxa"/>
              <w:bottom w:w="0" w:type="dxa"/>
              <w:right w:w="108" w:type="dxa"/>
            </w:tcMar>
            <w:vAlign w:val="center"/>
            <w:hideMark/>
          </w:tcPr>
          <w:p w14:paraId="6AAE2031"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hemeFill="background1" w:themeFillShade="D9"/>
            <w:tcMar>
              <w:top w:w="0" w:type="dxa"/>
              <w:left w:w="108" w:type="dxa"/>
              <w:bottom w:w="0" w:type="dxa"/>
              <w:right w:w="108" w:type="dxa"/>
            </w:tcMar>
            <w:vAlign w:val="center"/>
            <w:hideMark/>
          </w:tcPr>
          <w:p w14:paraId="3515EB5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hemeFill="background1" w:themeFillShade="D9"/>
            <w:vAlign w:val="center"/>
          </w:tcPr>
          <w:p w14:paraId="24F245E5"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22C2B897" w14:textId="77777777" w:rsidTr="00B6017F">
        <w:trPr>
          <w:trHeight w:val="287"/>
        </w:trPr>
        <w:tc>
          <w:tcPr>
            <w:tcW w:w="658" w:type="pct"/>
            <w:vMerge/>
            <w:shd w:val="clear" w:color="auto" w:fill="D9D9D9"/>
            <w:vAlign w:val="center"/>
          </w:tcPr>
          <w:p w14:paraId="50CDE95A"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67E013C"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2B01FE9D"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Level of completion of the analysis of current economic status of all segments of water management</w:t>
            </w:r>
          </w:p>
        </w:tc>
        <w:tc>
          <w:tcPr>
            <w:tcW w:w="1159" w:type="pct"/>
            <w:tcBorders>
              <w:top w:val="single" w:sz="4" w:space="0" w:color="A6A6A6"/>
              <w:left w:val="single" w:sz="4" w:space="0" w:color="A6A6A6"/>
              <w:bottom w:val="single" w:sz="4" w:space="0" w:color="A6A6A6"/>
              <w:right w:val="single" w:sz="4" w:space="0" w:color="A6A6A6"/>
            </w:tcBorders>
            <w:shd w:val="clear" w:color="auto" w:fill="auto"/>
            <w:tcMar>
              <w:top w:w="0" w:type="dxa"/>
              <w:left w:w="108" w:type="dxa"/>
              <w:bottom w:w="0" w:type="dxa"/>
              <w:right w:w="108" w:type="dxa"/>
            </w:tcMar>
            <w:vAlign w:val="center"/>
          </w:tcPr>
          <w:p w14:paraId="0691A022"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Analysis has not started </w:t>
            </w:r>
          </w:p>
        </w:tc>
        <w:tc>
          <w:tcPr>
            <w:tcW w:w="1159" w:type="pct"/>
            <w:tcBorders>
              <w:top w:val="single" w:sz="4" w:space="0" w:color="A6A6A6"/>
              <w:left w:val="single" w:sz="4" w:space="0" w:color="A6A6A6"/>
              <w:bottom w:val="single" w:sz="4" w:space="0" w:color="A6A6A6"/>
              <w:right w:val="single" w:sz="4" w:space="0" w:color="A6A6A6"/>
            </w:tcBorders>
            <w:shd w:val="clear" w:color="auto" w:fill="auto"/>
            <w:vAlign w:val="center"/>
          </w:tcPr>
          <w:p w14:paraId="1BB8FCB0" w14:textId="77777777" w:rsidR="000D19A9" w:rsidRPr="007C4D65" w:rsidRDefault="000D19A9"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Completed analysis the outcomes of which would be used to assess justification of re-defining the system of fee collection (2024)</w:t>
            </w:r>
          </w:p>
        </w:tc>
      </w:tr>
      <w:tr w:rsidR="000D19A9" w:rsidRPr="007C4D65" w14:paraId="07A8ED80" w14:textId="77777777" w:rsidTr="00B6017F">
        <w:trPr>
          <w:trHeight w:val="287"/>
        </w:trPr>
        <w:tc>
          <w:tcPr>
            <w:tcW w:w="658" w:type="pct"/>
            <w:vMerge/>
            <w:shd w:val="clear" w:color="auto" w:fill="D9D9D9"/>
            <w:vAlign w:val="center"/>
          </w:tcPr>
          <w:p w14:paraId="23304BBA"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ED5F45E"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410C6CCD" w14:textId="77777777"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Level of completion of the process of developing and adopting legislation on water fees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14B6C639"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Analysis has not been made, and legislation has not been amended </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2DF32B4" w14:textId="77777777" w:rsidR="000D19A9" w:rsidRPr="007C4D65" w:rsidRDefault="000D19A9"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Adopted legislation in the segment of water fees in accordance with the results of the analysis (2024)</w:t>
            </w:r>
          </w:p>
        </w:tc>
      </w:tr>
      <w:tr w:rsidR="000D19A9" w:rsidRPr="007C4D65" w14:paraId="590162C6" w14:textId="77777777" w:rsidTr="00B6017F">
        <w:trPr>
          <w:trHeight w:val="287"/>
        </w:trPr>
        <w:tc>
          <w:tcPr>
            <w:tcW w:w="658" w:type="pct"/>
            <w:vMerge/>
            <w:shd w:val="clear" w:color="auto" w:fill="D9D9D9"/>
            <w:vAlign w:val="center"/>
          </w:tcPr>
          <w:p w14:paraId="76ABED43"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CBA1229"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49577B3F" w14:textId="2D7390AA"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Harmonisation between solutions offered in legislation regulating operation of the TA (Tax Administration) and functioning of the water sector with respect of collection of special water fees taking into consideration that they are public revenues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3C1FFD3F" w14:textId="6883EF55"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Regulations on tax administration regarding collection of public revenues from special water fees are not aligned with the water sector legislation that defines collection of revenues from special water fees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243402A" w14:textId="77777777" w:rsidR="000D19A9" w:rsidRPr="007C4D65" w:rsidRDefault="000D19A9"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 xml:space="preserve">Harmonised legislation between tax administration and water sector for the purpose of increasing the amounts collected for water fees (public </w:t>
            </w:r>
            <w:proofErr w:type="gramStart"/>
            <w:r w:rsidRPr="007C4D65">
              <w:rPr>
                <w:rFonts w:asciiTheme="minorHAnsi" w:hAnsiTheme="minorHAnsi"/>
                <w:sz w:val="18"/>
                <w:szCs w:val="18"/>
              </w:rPr>
              <w:t>revenues)(</w:t>
            </w:r>
            <w:proofErr w:type="gramEnd"/>
            <w:r w:rsidRPr="007C4D65">
              <w:rPr>
                <w:rFonts w:asciiTheme="minorHAnsi" w:hAnsiTheme="minorHAnsi"/>
                <w:sz w:val="18"/>
                <w:szCs w:val="18"/>
              </w:rPr>
              <w:t>2024)</w:t>
            </w:r>
          </w:p>
        </w:tc>
      </w:tr>
      <w:tr w:rsidR="000D19A9" w:rsidRPr="007C4D65" w14:paraId="0993F2E7" w14:textId="77777777" w:rsidTr="00B6017F">
        <w:trPr>
          <w:trHeight w:val="287"/>
        </w:trPr>
        <w:tc>
          <w:tcPr>
            <w:tcW w:w="658" w:type="pct"/>
            <w:vMerge/>
            <w:shd w:val="clear" w:color="auto" w:fill="D9D9D9"/>
            <w:vAlign w:val="center"/>
          </w:tcPr>
          <w:p w14:paraId="253725C4"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FB08FE4"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438D06CE" w14:textId="0CFFED20"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Status of harmonisation of the provisions of the VAT Law to recognize the character of revenues from special water </w:t>
            </w:r>
            <w:r w:rsidRPr="007C4D65">
              <w:rPr>
                <w:rFonts w:asciiTheme="minorHAnsi" w:hAnsiTheme="minorHAnsi"/>
                <w:sz w:val="18"/>
                <w:szCs w:val="18"/>
              </w:rPr>
              <w:lastRenderedPageBreak/>
              <w:t>fees for the purpose of exempting public utility companies from paying VAT for collected amounts of special water fees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hemeFill="background1"/>
            <w:tcMar>
              <w:top w:w="0" w:type="dxa"/>
              <w:left w:w="108" w:type="dxa"/>
              <w:bottom w:w="0" w:type="dxa"/>
              <w:right w:w="108" w:type="dxa"/>
            </w:tcMar>
            <w:vAlign w:val="center"/>
          </w:tcPr>
          <w:p w14:paraId="144AD2AC" w14:textId="28818CB6"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lastRenderedPageBreak/>
              <w:t>Amendments to the law have not been made or adopted</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580CF0D" w14:textId="77777777" w:rsidR="000D19A9" w:rsidRPr="007C4D65" w:rsidRDefault="000D19A9" w:rsidP="00B6017F">
            <w:pPr>
              <w:spacing w:after="120" w:line="276" w:lineRule="auto"/>
              <w:ind w:left="69" w:hanging="2"/>
              <w:contextualSpacing/>
              <w:rPr>
                <w:rFonts w:asciiTheme="minorHAnsi" w:hAnsiTheme="minorHAnsi" w:cstheme="minorHAnsi"/>
                <w:sz w:val="18"/>
                <w:szCs w:val="18"/>
              </w:rPr>
            </w:pPr>
            <w:r w:rsidRPr="007C4D65">
              <w:rPr>
                <w:rFonts w:asciiTheme="minorHAnsi" w:hAnsiTheme="minorHAnsi"/>
                <w:sz w:val="18"/>
                <w:szCs w:val="18"/>
              </w:rPr>
              <w:t xml:space="preserve">Provisions of the VAT Law adjusted to recognize the character of revenues from special water fees, so the public utility </w:t>
            </w:r>
            <w:proofErr w:type="gramStart"/>
            <w:r w:rsidRPr="007C4D65">
              <w:rPr>
                <w:rFonts w:asciiTheme="minorHAnsi" w:hAnsiTheme="minorHAnsi"/>
                <w:sz w:val="18"/>
                <w:szCs w:val="18"/>
              </w:rPr>
              <w:lastRenderedPageBreak/>
              <w:t>companies  are</w:t>
            </w:r>
            <w:proofErr w:type="gramEnd"/>
            <w:r w:rsidRPr="007C4D65">
              <w:rPr>
                <w:rFonts w:asciiTheme="minorHAnsi" w:hAnsiTheme="minorHAnsi"/>
                <w:sz w:val="18"/>
                <w:szCs w:val="18"/>
              </w:rPr>
              <w:t xml:space="preserve"> exempted from paying VAT for </w:t>
            </w:r>
            <w:r w:rsidRPr="007C4D65">
              <w:rPr>
                <w:rFonts w:asciiTheme="minorHAnsi" w:hAnsiTheme="minorHAnsi"/>
                <w:sz w:val="18"/>
                <w:szCs w:val="18"/>
                <w:shd w:val="clear" w:color="auto" w:fill="FFFFFF" w:themeFill="background1"/>
              </w:rPr>
              <w:t>collected amounts of special water fees (2024)</w:t>
            </w:r>
          </w:p>
        </w:tc>
      </w:tr>
      <w:tr w:rsidR="000D19A9" w:rsidRPr="007C4D65" w14:paraId="20092335" w14:textId="77777777" w:rsidTr="00B6017F">
        <w:trPr>
          <w:trHeight w:val="483"/>
        </w:trPr>
        <w:tc>
          <w:tcPr>
            <w:tcW w:w="658" w:type="pct"/>
            <w:vMerge/>
            <w:shd w:val="clear" w:color="auto" w:fill="D9D9D9"/>
            <w:vAlign w:val="center"/>
            <w:hideMark/>
          </w:tcPr>
          <w:p w14:paraId="0BDA3ED8"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EA99D6A"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hideMark/>
          </w:tcPr>
          <w:p w14:paraId="5C08C725"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hemeFill="background1" w:themeFillShade="D9"/>
            <w:tcMar>
              <w:top w:w="0" w:type="dxa"/>
              <w:left w:w="108" w:type="dxa"/>
              <w:bottom w:w="0" w:type="dxa"/>
              <w:right w:w="108" w:type="dxa"/>
            </w:tcMar>
            <w:vAlign w:val="center"/>
            <w:hideMark/>
          </w:tcPr>
          <w:p w14:paraId="57CCB5E6"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hemeFill="background1" w:themeFillShade="D9"/>
            <w:tcMar>
              <w:top w:w="0" w:type="dxa"/>
              <w:left w:w="108" w:type="dxa"/>
              <w:bottom w:w="0" w:type="dxa"/>
              <w:right w:w="108" w:type="dxa"/>
            </w:tcMar>
            <w:vAlign w:val="center"/>
            <w:hideMark/>
          </w:tcPr>
          <w:p w14:paraId="636B2220"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7EC1B48A" w14:textId="77777777" w:rsidTr="00B6017F">
        <w:trPr>
          <w:trHeight w:val="287"/>
        </w:trPr>
        <w:tc>
          <w:tcPr>
            <w:tcW w:w="658" w:type="pct"/>
            <w:vMerge/>
            <w:shd w:val="clear" w:color="auto" w:fill="D9D9D9"/>
            <w:vAlign w:val="center"/>
            <w:hideMark/>
          </w:tcPr>
          <w:p w14:paraId="19986C3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77C4A28"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635A1A5"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0,167</w:t>
            </w:r>
          </w:p>
        </w:tc>
        <w:tc>
          <w:tcPr>
            <w:tcW w:w="1159" w:type="pct"/>
            <w:tcMar>
              <w:top w:w="0" w:type="dxa"/>
              <w:left w:w="108" w:type="dxa"/>
              <w:bottom w:w="0" w:type="dxa"/>
              <w:right w:w="108" w:type="dxa"/>
            </w:tcMar>
            <w:vAlign w:val="center"/>
          </w:tcPr>
          <w:p w14:paraId="12870ADD"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61B8848B"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0,167</w:t>
            </w:r>
          </w:p>
        </w:tc>
      </w:tr>
      <w:tr w:rsidR="000D19A9" w:rsidRPr="007C4D65" w14:paraId="1AA2FF8C"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68380F7C"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1.6.3. Measure</w:t>
            </w:r>
          </w:p>
        </w:tc>
        <w:tc>
          <w:tcPr>
            <w:tcW w:w="864" w:type="pct"/>
            <w:vMerge w:val="restart"/>
            <w:tcMar>
              <w:top w:w="0" w:type="dxa"/>
              <w:left w:w="108" w:type="dxa"/>
              <w:bottom w:w="0" w:type="dxa"/>
              <w:right w:w="108" w:type="dxa"/>
            </w:tcMar>
            <w:vAlign w:val="center"/>
          </w:tcPr>
          <w:p w14:paraId="49B703E7"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Establishment and operation of specialist team(s) in the water sector for economic and financial planning, project preparation and programming spending of funds</w:t>
            </w:r>
          </w:p>
        </w:tc>
        <w:tc>
          <w:tcPr>
            <w:tcW w:w="1159" w:type="pct"/>
            <w:shd w:val="clear" w:color="auto" w:fill="D9D9D9" w:themeFill="background1" w:themeFillShade="D9"/>
            <w:tcMar>
              <w:top w:w="0" w:type="dxa"/>
              <w:left w:w="108" w:type="dxa"/>
              <w:bottom w:w="0" w:type="dxa"/>
              <w:right w:w="108" w:type="dxa"/>
            </w:tcMar>
            <w:vAlign w:val="center"/>
            <w:hideMark/>
          </w:tcPr>
          <w:p w14:paraId="0D1D986D"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of the measure</w:t>
            </w:r>
          </w:p>
        </w:tc>
        <w:tc>
          <w:tcPr>
            <w:tcW w:w="1159" w:type="pct"/>
            <w:shd w:val="clear" w:color="auto" w:fill="D9D9D9" w:themeFill="background1" w:themeFillShade="D9"/>
            <w:tcMar>
              <w:top w:w="0" w:type="dxa"/>
              <w:left w:w="108" w:type="dxa"/>
              <w:bottom w:w="0" w:type="dxa"/>
              <w:right w:w="108" w:type="dxa"/>
            </w:tcMar>
            <w:vAlign w:val="center"/>
            <w:hideMark/>
          </w:tcPr>
          <w:p w14:paraId="436D497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hemeFill="background1" w:themeFillShade="D9"/>
            <w:vAlign w:val="center"/>
          </w:tcPr>
          <w:p w14:paraId="52A83917"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0B7AFCD4" w14:textId="77777777" w:rsidTr="00B6017F">
        <w:trPr>
          <w:trHeight w:val="287"/>
        </w:trPr>
        <w:tc>
          <w:tcPr>
            <w:tcW w:w="658" w:type="pct"/>
            <w:vMerge/>
            <w:shd w:val="clear" w:color="auto" w:fill="D9D9D9"/>
            <w:vAlign w:val="center"/>
          </w:tcPr>
          <w:p w14:paraId="7A326FAE"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BF34D89"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auto"/>
            <w:tcMar>
              <w:top w:w="0" w:type="dxa"/>
              <w:left w:w="108" w:type="dxa"/>
              <w:bottom w:w="0" w:type="dxa"/>
              <w:right w:w="108" w:type="dxa"/>
            </w:tcMar>
            <w:vAlign w:val="center"/>
          </w:tcPr>
          <w:p w14:paraId="3FF26D31" w14:textId="51389148"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Status of establishment and operation of one or several bodies in water sector (experts in water law, financial and economic experts in water) for economic and financial planning, project preparation and programming the spending</w:t>
            </w:r>
          </w:p>
        </w:tc>
        <w:tc>
          <w:tcPr>
            <w:tcW w:w="1159" w:type="pct"/>
            <w:shd w:val="clear" w:color="auto" w:fill="auto"/>
            <w:tcMar>
              <w:top w:w="0" w:type="dxa"/>
              <w:left w:w="108" w:type="dxa"/>
              <w:bottom w:w="0" w:type="dxa"/>
              <w:right w:w="108" w:type="dxa"/>
            </w:tcMar>
            <w:vAlign w:val="center"/>
          </w:tcPr>
          <w:p w14:paraId="5253C458" w14:textId="0C6A01A9" w:rsidR="000D19A9" w:rsidRPr="007C4D65" w:rsidRDefault="000D19A9" w:rsidP="00B6017F">
            <w:pPr>
              <w:spacing w:before="40" w:after="40" w:line="276" w:lineRule="auto"/>
              <w:rPr>
                <w:rFonts w:asciiTheme="minorHAnsi" w:hAnsiTheme="minorHAnsi" w:cstheme="minorHAnsi"/>
                <w:sz w:val="18"/>
                <w:szCs w:val="18"/>
              </w:rPr>
            </w:pPr>
            <w:r w:rsidRPr="007C4D65">
              <w:rPr>
                <w:rFonts w:asciiTheme="minorHAnsi" w:hAnsiTheme="minorHAnsi"/>
                <w:sz w:val="18"/>
                <w:szCs w:val="18"/>
              </w:rPr>
              <w:t>The process of establishing these bodies has not started</w:t>
            </w:r>
          </w:p>
        </w:tc>
        <w:tc>
          <w:tcPr>
            <w:tcW w:w="1159" w:type="pct"/>
            <w:shd w:val="clear" w:color="auto" w:fill="auto"/>
            <w:vAlign w:val="center"/>
          </w:tcPr>
          <w:p w14:paraId="72A0521C" w14:textId="77777777" w:rsidR="000D19A9" w:rsidRPr="007C4D65" w:rsidRDefault="000D19A9"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One or more operational bodies have been established and made operational in water sector to do financial planning, project preparation and programming the spending (2024)</w:t>
            </w:r>
          </w:p>
        </w:tc>
      </w:tr>
      <w:tr w:rsidR="000D19A9" w:rsidRPr="007C4D65" w14:paraId="00A67175" w14:textId="77777777" w:rsidTr="00B6017F">
        <w:trPr>
          <w:trHeight w:val="287"/>
        </w:trPr>
        <w:tc>
          <w:tcPr>
            <w:tcW w:w="658" w:type="pct"/>
            <w:vMerge/>
            <w:shd w:val="clear" w:color="auto" w:fill="D9D9D9"/>
            <w:vAlign w:val="center"/>
          </w:tcPr>
          <w:p w14:paraId="0841FFD9"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6700EF76"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hemeFill="background1"/>
            <w:tcMar>
              <w:top w:w="0" w:type="dxa"/>
              <w:left w:w="108" w:type="dxa"/>
              <w:bottom w:w="0" w:type="dxa"/>
              <w:right w:w="108" w:type="dxa"/>
            </w:tcMar>
            <w:vAlign w:val="center"/>
          </w:tcPr>
          <w:p w14:paraId="29EF7496" w14:textId="6B2E9675" w:rsidR="000D19A9" w:rsidRPr="007C4D65" w:rsidRDefault="000D19A9" w:rsidP="00B6017F">
            <w:pPr>
              <w:spacing w:line="276" w:lineRule="auto"/>
              <w:rPr>
                <w:rFonts w:asciiTheme="minorHAnsi" w:eastAsia="Calibri" w:hAnsiTheme="minorHAnsi" w:cstheme="minorHAnsi"/>
                <w:sz w:val="18"/>
                <w:szCs w:val="18"/>
              </w:rPr>
            </w:pPr>
            <w:r w:rsidRPr="007C4D65">
              <w:rPr>
                <w:rFonts w:asciiTheme="minorHAnsi" w:hAnsiTheme="minorHAnsi"/>
                <w:sz w:val="18"/>
                <w:szCs w:val="18"/>
              </w:rPr>
              <w:t>Level of preparation of applications to international organisations for projects of specialist training of the body in water sector on economic and financial planning, project preparation and programming of the spending</w:t>
            </w:r>
          </w:p>
        </w:tc>
        <w:tc>
          <w:tcPr>
            <w:tcW w:w="1159" w:type="pct"/>
            <w:shd w:val="clear" w:color="auto" w:fill="FFFFFF" w:themeFill="background1"/>
            <w:tcMar>
              <w:top w:w="0" w:type="dxa"/>
              <w:left w:w="108" w:type="dxa"/>
              <w:bottom w:w="0" w:type="dxa"/>
              <w:right w:w="108" w:type="dxa"/>
            </w:tcMar>
            <w:vAlign w:val="center"/>
          </w:tcPr>
          <w:p w14:paraId="6258557D" w14:textId="73D53EAB"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Preparation of the application has not started</w:t>
            </w:r>
          </w:p>
        </w:tc>
        <w:tc>
          <w:tcPr>
            <w:tcW w:w="1159" w:type="pct"/>
            <w:shd w:val="clear" w:color="auto" w:fill="FFFFFF" w:themeFill="background1"/>
            <w:vAlign w:val="center"/>
          </w:tcPr>
          <w:p w14:paraId="71D482AF" w14:textId="77777777" w:rsidR="000D19A9" w:rsidRPr="007C4D65" w:rsidRDefault="000D19A9"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Prepared and submitted applications to international organisations for implementation of a project of specialist training to the body in water sector (2025)</w:t>
            </w:r>
          </w:p>
        </w:tc>
      </w:tr>
      <w:tr w:rsidR="000D19A9" w:rsidRPr="007C4D65" w14:paraId="07466916" w14:textId="77777777" w:rsidTr="00B6017F">
        <w:trPr>
          <w:trHeight w:val="287"/>
        </w:trPr>
        <w:tc>
          <w:tcPr>
            <w:tcW w:w="658" w:type="pct"/>
            <w:vMerge/>
            <w:shd w:val="clear" w:color="auto" w:fill="D9D9D9"/>
            <w:vAlign w:val="center"/>
          </w:tcPr>
          <w:p w14:paraId="0C5B4EFA"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5F18C83"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hemeFill="background1"/>
            <w:tcMar>
              <w:top w:w="0" w:type="dxa"/>
              <w:left w:w="108" w:type="dxa"/>
              <w:bottom w:w="0" w:type="dxa"/>
              <w:right w:w="108" w:type="dxa"/>
            </w:tcMar>
            <w:vAlign w:val="center"/>
          </w:tcPr>
          <w:p w14:paraId="3EA84BB4" w14:textId="6898A91F"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Level of development of a Training Programme on economic and financial planning, project preparation, and programming of the spending of funds</w:t>
            </w:r>
          </w:p>
        </w:tc>
        <w:tc>
          <w:tcPr>
            <w:tcW w:w="1159" w:type="pct"/>
            <w:shd w:val="clear" w:color="auto" w:fill="FFFFFF" w:themeFill="background1"/>
            <w:tcMar>
              <w:top w:w="0" w:type="dxa"/>
              <w:left w:w="108" w:type="dxa"/>
              <w:bottom w:w="0" w:type="dxa"/>
              <w:right w:w="108" w:type="dxa"/>
            </w:tcMar>
            <w:vAlign w:val="center"/>
          </w:tcPr>
          <w:p w14:paraId="596D0CDF" w14:textId="235B9C5D"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Development of the Training Programme has not started</w:t>
            </w:r>
          </w:p>
        </w:tc>
        <w:tc>
          <w:tcPr>
            <w:tcW w:w="1159" w:type="pct"/>
            <w:shd w:val="clear" w:color="auto" w:fill="FFFFFF" w:themeFill="background1"/>
            <w:vAlign w:val="center"/>
          </w:tcPr>
          <w:p w14:paraId="4793AC51" w14:textId="77777777" w:rsidR="000D19A9" w:rsidRPr="007C4D65" w:rsidRDefault="000D19A9"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Training Programme prepared (2025)</w:t>
            </w:r>
          </w:p>
        </w:tc>
      </w:tr>
      <w:tr w:rsidR="000D19A9" w:rsidRPr="007C4D65" w14:paraId="7B0DFEAC" w14:textId="77777777" w:rsidTr="00B6017F">
        <w:trPr>
          <w:trHeight w:val="287"/>
        </w:trPr>
        <w:tc>
          <w:tcPr>
            <w:tcW w:w="658" w:type="pct"/>
            <w:vMerge/>
            <w:shd w:val="clear" w:color="auto" w:fill="D9D9D9"/>
            <w:vAlign w:val="center"/>
          </w:tcPr>
          <w:p w14:paraId="333A134F"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6039EE1"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hemeFill="background1"/>
            <w:tcMar>
              <w:top w:w="0" w:type="dxa"/>
              <w:left w:w="108" w:type="dxa"/>
              <w:bottom w:w="0" w:type="dxa"/>
              <w:right w:w="108" w:type="dxa"/>
            </w:tcMar>
            <w:vAlign w:val="center"/>
          </w:tcPr>
          <w:p w14:paraId="63F30E21" w14:textId="65CBED5E"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Implementation phase of the training programme and making the report on implementation</w:t>
            </w:r>
          </w:p>
        </w:tc>
        <w:tc>
          <w:tcPr>
            <w:tcW w:w="1159" w:type="pct"/>
            <w:shd w:val="clear" w:color="auto" w:fill="FFFFFF" w:themeFill="background1"/>
            <w:tcMar>
              <w:top w:w="0" w:type="dxa"/>
              <w:left w:w="108" w:type="dxa"/>
              <w:bottom w:w="0" w:type="dxa"/>
              <w:right w:w="108" w:type="dxa"/>
            </w:tcMar>
            <w:vAlign w:val="center"/>
          </w:tcPr>
          <w:p w14:paraId="7E71F382" w14:textId="1EB241AA"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 Training Programme preparation has not started, and neither has its implementation</w:t>
            </w:r>
          </w:p>
        </w:tc>
        <w:tc>
          <w:tcPr>
            <w:tcW w:w="1159" w:type="pct"/>
            <w:shd w:val="clear" w:color="auto" w:fill="FFFFFF" w:themeFill="background1"/>
            <w:vAlign w:val="center"/>
          </w:tcPr>
          <w:p w14:paraId="7497B52A" w14:textId="77777777" w:rsidR="000D19A9" w:rsidRPr="007C4D65" w:rsidRDefault="000D19A9" w:rsidP="00B6017F">
            <w:pPr>
              <w:spacing w:after="120" w:line="276" w:lineRule="auto"/>
              <w:ind w:left="170"/>
              <w:contextualSpacing/>
              <w:rPr>
                <w:rFonts w:asciiTheme="minorHAnsi" w:hAnsiTheme="minorHAnsi" w:cstheme="minorHAnsi"/>
                <w:sz w:val="18"/>
                <w:szCs w:val="18"/>
              </w:rPr>
            </w:pPr>
            <w:r w:rsidRPr="007C4D65">
              <w:rPr>
                <w:rFonts w:asciiTheme="minorHAnsi" w:hAnsiTheme="minorHAnsi"/>
                <w:sz w:val="18"/>
                <w:szCs w:val="18"/>
              </w:rPr>
              <w:t>Training programme completed and report on its implementation prepared (2025)</w:t>
            </w:r>
          </w:p>
        </w:tc>
      </w:tr>
      <w:tr w:rsidR="000D19A9" w:rsidRPr="007C4D65" w14:paraId="73BD1D9F" w14:textId="77777777" w:rsidTr="00B6017F">
        <w:trPr>
          <w:trHeight w:val="483"/>
        </w:trPr>
        <w:tc>
          <w:tcPr>
            <w:tcW w:w="658" w:type="pct"/>
            <w:vMerge/>
            <w:shd w:val="clear" w:color="auto" w:fill="D9D9D9"/>
            <w:vAlign w:val="center"/>
            <w:hideMark/>
          </w:tcPr>
          <w:p w14:paraId="62EFF468"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A803796"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hideMark/>
          </w:tcPr>
          <w:p w14:paraId="13E14E5C"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hemeFill="background1" w:themeFillShade="D9"/>
            <w:tcMar>
              <w:top w:w="0" w:type="dxa"/>
              <w:left w:w="108" w:type="dxa"/>
              <w:bottom w:w="0" w:type="dxa"/>
              <w:right w:w="108" w:type="dxa"/>
            </w:tcMar>
            <w:vAlign w:val="center"/>
            <w:hideMark/>
          </w:tcPr>
          <w:p w14:paraId="4587E33B"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hemeFill="background1" w:themeFillShade="D9"/>
            <w:tcMar>
              <w:top w:w="0" w:type="dxa"/>
              <w:left w:w="108" w:type="dxa"/>
              <w:bottom w:w="0" w:type="dxa"/>
              <w:right w:w="108" w:type="dxa"/>
            </w:tcMar>
            <w:vAlign w:val="center"/>
            <w:hideMark/>
          </w:tcPr>
          <w:p w14:paraId="0925370A"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3ABBD5BD" w14:textId="77777777" w:rsidTr="00B6017F">
        <w:trPr>
          <w:trHeight w:val="287"/>
        </w:trPr>
        <w:tc>
          <w:tcPr>
            <w:tcW w:w="658" w:type="pct"/>
            <w:vMerge/>
            <w:shd w:val="clear" w:color="auto" w:fill="D9D9D9"/>
            <w:vAlign w:val="center"/>
            <w:hideMark/>
          </w:tcPr>
          <w:p w14:paraId="3926564C"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EC96D11"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069D547"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0,044</w:t>
            </w:r>
          </w:p>
        </w:tc>
        <w:tc>
          <w:tcPr>
            <w:tcW w:w="1159" w:type="pct"/>
            <w:tcMar>
              <w:top w:w="0" w:type="dxa"/>
              <w:left w:w="108" w:type="dxa"/>
              <w:bottom w:w="0" w:type="dxa"/>
              <w:right w:w="108" w:type="dxa"/>
            </w:tcMar>
            <w:vAlign w:val="center"/>
          </w:tcPr>
          <w:p w14:paraId="5727F629"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331B55EB"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0,044</w:t>
            </w:r>
          </w:p>
        </w:tc>
      </w:tr>
      <w:tr w:rsidR="000D19A9" w:rsidRPr="007C4D65" w14:paraId="483A54D3"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5303846F" w14:textId="77777777" w:rsidR="000D19A9" w:rsidRPr="007C4D65" w:rsidRDefault="000D19A9"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b/>
                <w:color w:val="000000" w:themeColor="text1"/>
                <w:sz w:val="18"/>
                <w:szCs w:val="18"/>
              </w:rPr>
              <w:t>1.6.4. Measure</w:t>
            </w:r>
          </w:p>
        </w:tc>
        <w:tc>
          <w:tcPr>
            <w:tcW w:w="864" w:type="pct"/>
            <w:vMerge w:val="restart"/>
            <w:tcMar>
              <w:top w:w="0" w:type="dxa"/>
              <w:left w:w="108" w:type="dxa"/>
              <w:bottom w:w="0" w:type="dxa"/>
              <w:right w:w="108" w:type="dxa"/>
            </w:tcMar>
            <w:vAlign w:val="center"/>
          </w:tcPr>
          <w:p w14:paraId="48FC68D2"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Ensuring financing for preparation of priorities and implementation of project documents aligned with the EU climate legislation and global initiatives for climate change resilience and adaptation</w:t>
            </w:r>
          </w:p>
        </w:tc>
        <w:tc>
          <w:tcPr>
            <w:tcW w:w="1159" w:type="pct"/>
            <w:shd w:val="clear" w:color="auto" w:fill="D9D9D9" w:themeFill="background1" w:themeFillShade="D9"/>
            <w:tcMar>
              <w:top w:w="0" w:type="dxa"/>
              <w:left w:w="108" w:type="dxa"/>
              <w:bottom w:w="0" w:type="dxa"/>
              <w:right w:w="108" w:type="dxa"/>
            </w:tcMar>
            <w:vAlign w:val="center"/>
            <w:hideMark/>
          </w:tcPr>
          <w:p w14:paraId="164E199B"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hemeFill="background1" w:themeFillShade="D9"/>
            <w:tcMar>
              <w:top w:w="0" w:type="dxa"/>
              <w:left w:w="108" w:type="dxa"/>
              <w:bottom w:w="0" w:type="dxa"/>
              <w:right w:w="108" w:type="dxa"/>
            </w:tcMar>
            <w:vAlign w:val="center"/>
            <w:hideMark/>
          </w:tcPr>
          <w:p w14:paraId="4D391691"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hemeFill="background1" w:themeFillShade="D9"/>
            <w:vAlign w:val="center"/>
          </w:tcPr>
          <w:p w14:paraId="2223888D"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0D19A9" w:rsidRPr="007C4D65" w14:paraId="2727059D" w14:textId="77777777" w:rsidTr="00B6017F">
        <w:trPr>
          <w:trHeight w:val="287"/>
        </w:trPr>
        <w:tc>
          <w:tcPr>
            <w:tcW w:w="658" w:type="pct"/>
            <w:vMerge/>
            <w:shd w:val="clear" w:color="auto" w:fill="D9D9D9"/>
          </w:tcPr>
          <w:p w14:paraId="00D5070F"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tcPr>
          <w:p w14:paraId="077C8D37"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auto"/>
            <w:tcMar>
              <w:top w:w="0" w:type="dxa"/>
              <w:left w:w="108" w:type="dxa"/>
              <w:bottom w:w="0" w:type="dxa"/>
              <w:right w:w="108" w:type="dxa"/>
            </w:tcMar>
            <w:vAlign w:val="center"/>
          </w:tcPr>
          <w:p w14:paraId="50422463" w14:textId="00E189AA" w:rsidR="000D19A9" w:rsidRPr="007C4D65" w:rsidRDefault="000D19A9" w:rsidP="00B6017F">
            <w:pPr>
              <w:spacing w:line="276" w:lineRule="auto"/>
              <w:rPr>
                <w:rFonts w:asciiTheme="minorHAnsi" w:eastAsia="Calibri" w:hAnsiTheme="minorHAnsi" w:cstheme="minorHAnsi"/>
                <w:sz w:val="18"/>
                <w:szCs w:val="18"/>
              </w:rPr>
            </w:pPr>
            <w:r w:rsidRPr="007C4D65">
              <w:rPr>
                <w:rFonts w:asciiTheme="minorHAnsi" w:hAnsiTheme="minorHAnsi"/>
                <w:sz w:val="18"/>
                <w:szCs w:val="18"/>
              </w:rPr>
              <w:t>Status of development of list of priority projects</w:t>
            </w:r>
          </w:p>
        </w:tc>
        <w:tc>
          <w:tcPr>
            <w:tcW w:w="1159" w:type="pct"/>
            <w:shd w:val="clear" w:color="auto" w:fill="auto"/>
            <w:tcMar>
              <w:top w:w="0" w:type="dxa"/>
              <w:left w:w="108" w:type="dxa"/>
              <w:bottom w:w="0" w:type="dxa"/>
              <w:right w:w="108" w:type="dxa"/>
            </w:tcMar>
            <w:vAlign w:val="center"/>
          </w:tcPr>
          <w:p w14:paraId="147AD228" w14:textId="77777777"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Priority projects list has not been made  </w:t>
            </w:r>
          </w:p>
        </w:tc>
        <w:tc>
          <w:tcPr>
            <w:tcW w:w="1159" w:type="pct"/>
            <w:shd w:val="clear" w:color="auto" w:fill="auto"/>
            <w:vAlign w:val="center"/>
          </w:tcPr>
          <w:p w14:paraId="46DCFEC7" w14:textId="77777777" w:rsidR="000D19A9" w:rsidRPr="007C4D65" w:rsidRDefault="000D19A9" w:rsidP="00B6017F">
            <w:pPr>
              <w:spacing w:line="276" w:lineRule="auto"/>
              <w:ind w:left="170" w:firstLine="41"/>
              <w:rPr>
                <w:rFonts w:asciiTheme="minorHAnsi" w:hAnsiTheme="minorHAnsi" w:cstheme="minorHAnsi"/>
                <w:sz w:val="18"/>
                <w:szCs w:val="18"/>
              </w:rPr>
            </w:pPr>
            <w:r w:rsidRPr="007C4D65">
              <w:rPr>
                <w:rFonts w:asciiTheme="minorHAnsi" w:hAnsiTheme="minorHAnsi"/>
                <w:sz w:val="18"/>
                <w:szCs w:val="18"/>
              </w:rPr>
              <w:t>The first list of priority projects in BiH prepared and regularly updated (2023)</w:t>
            </w:r>
          </w:p>
        </w:tc>
      </w:tr>
      <w:tr w:rsidR="000D19A9" w:rsidRPr="007C4D65" w14:paraId="081975BB" w14:textId="77777777" w:rsidTr="00B6017F">
        <w:trPr>
          <w:trHeight w:val="287"/>
        </w:trPr>
        <w:tc>
          <w:tcPr>
            <w:tcW w:w="658" w:type="pct"/>
            <w:vMerge/>
            <w:shd w:val="clear" w:color="auto" w:fill="D9D9D9"/>
          </w:tcPr>
          <w:p w14:paraId="1F0F326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tcPr>
          <w:p w14:paraId="250D4F25"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hemeFill="background1"/>
            <w:tcMar>
              <w:top w:w="0" w:type="dxa"/>
              <w:left w:w="108" w:type="dxa"/>
              <w:bottom w:w="0" w:type="dxa"/>
              <w:right w:w="108" w:type="dxa"/>
            </w:tcMar>
            <w:vAlign w:val="center"/>
          </w:tcPr>
          <w:p w14:paraId="0AA1FAFD" w14:textId="37909204" w:rsidR="000D19A9" w:rsidRPr="007C4D65" w:rsidRDefault="000D19A9" w:rsidP="00B6017F">
            <w:pPr>
              <w:spacing w:line="276" w:lineRule="auto"/>
              <w:rPr>
                <w:rFonts w:asciiTheme="minorHAnsi" w:hAnsiTheme="minorHAnsi" w:cstheme="minorHAnsi"/>
                <w:sz w:val="18"/>
                <w:szCs w:val="18"/>
              </w:rPr>
            </w:pPr>
            <w:r w:rsidRPr="007C4D65">
              <w:rPr>
                <w:rFonts w:asciiTheme="minorHAnsi" w:hAnsiTheme="minorHAnsi"/>
                <w:sz w:val="18"/>
                <w:szCs w:val="18"/>
              </w:rPr>
              <w:t>Status of preparation of project documents for financing</w:t>
            </w:r>
          </w:p>
        </w:tc>
        <w:tc>
          <w:tcPr>
            <w:tcW w:w="1159" w:type="pct"/>
            <w:shd w:val="clear" w:color="auto" w:fill="FFFFFF" w:themeFill="background1"/>
            <w:tcMar>
              <w:top w:w="0" w:type="dxa"/>
              <w:left w:w="108" w:type="dxa"/>
              <w:bottom w:w="0" w:type="dxa"/>
              <w:right w:w="108" w:type="dxa"/>
            </w:tcMar>
            <w:vAlign w:val="center"/>
          </w:tcPr>
          <w:p w14:paraId="03266666" w14:textId="3903104A" w:rsidR="000D19A9" w:rsidRPr="007C4D65" w:rsidRDefault="000D19A9"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Preparation of the project documents has not started</w:t>
            </w:r>
          </w:p>
        </w:tc>
        <w:tc>
          <w:tcPr>
            <w:tcW w:w="1159" w:type="pct"/>
            <w:shd w:val="clear" w:color="auto" w:fill="FFFFFF" w:themeFill="background1"/>
            <w:vAlign w:val="center"/>
          </w:tcPr>
          <w:p w14:paraId="73330A27" w14:textId="4594B34F" w:rsidR="000D19A9" w:rsidRPr="007C4D65" w:rsidRDefault="000D19A9"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Developed first set of project documents and regularly updated (2024 -2034)</w:t>
            </w:r>
          </w:p>
        </w:tc>
      </w:tr>
      <w:tr w:rsidR="000D19A9" w:rsidRPr="007C4D65" w14:paraId="62FA481D" w14:textId="77777777" w:rsidTr="00B6017F">
        <w:trPr>
          <w:trHeight w:val="483"/>
        </w:trPr>
        <w:tc>
          <w:tcPr>
            <w:tcW w:w="658" w:type="pct"/>
            <w:vMerge/>
            <w:shd w:val="clear" w:color="auto" w:fill="D9D9D9"/>
            <w:hideMark/>
          </w:tcPr>
          <w:p w14:paraId="53C63F34"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tcPr>
          <w:p w14:paraId="77739789"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hideMark/>
          </w:tcPr>
          <w:p w14:paraId="28896752"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hemeFill="background1" w:themeFillShade="D9"/>
            <w:tcMar>
              <w:top w:w="0" w:type="dxa"/>
              <w:left w:w="108" w:type="dxa"/>
              <w:bottom w:w="0" w:type="dxa"/>
              <w:right w:w="108" w:type="dxa"/>
            </w:tcMar>
            <w:vAlign w:val="center"/>
            <w:hideMark/>
          </w:tcPr>
          <w:p w14:paraId="3A4D74B4"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hemeFill="background1" w:themeFillShade="D9"/>
            <w:tcMar>
              <w:top w:w="0" w:type="dxa"/>
              <w:left w:w="108" w:type="dxa"/>
              <w:bottom w:w="0" w:type="dxa"/>
              <w:right w:w="108" w:type="dxa"/>
            </w:tcMar>
            <w:vAlign w:val="center"/>
            <w:hideMark/>
          </w:tcPr>
          <w:p w14:paraId="4882F4E8" w14:textId="77777777" w:rsidR="000D19A9"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0D19A9" w:rsidRPr="007C4D65" w14:paraId="3093B9C8" w14:textId="77777777" w:rsidTr="00B6017F">
        <w:trPr>
          <w:trHeight w:val="287"/>
        </w:trPr>
        <w:tc>
          <w:tcPr>
            <w:tcW w:w="658" w:type="pct"/>
            <w:vMerge/>
            <w:shd w:val="clear" w:color="auto" w:fill="D9D9D9"/>
            <w:hideMark/>
          </w:tcPr>
          <w:p w14:paraId="36AD6697" w14:textId="77777777" w:rsidR="000D19A9" w:rsidRPr="007C4D65" w:rsidRDefault="000D19A9" w:rsidP="00B6017F">
            <w:pPr>
              <w:spacing w:after="120" w:line="276" w:lineRule="auto"/>
              <w:ind w:hanging="2"/>
              <w:contextualSpacing/>
              <w:rPr>
                <w:rFonts w:asciiTheme="minorHAnsi" w:hAnsiTheme="minorHAnsi" w:cstheme="minorHAnsi"/>
                <w:b/>
                <w:sz w:val="18"/>
                <w:szCs w:val="18"/>
                <w:lang w:val="hr-HR"/>
              </w:rPr>
            </w:pPr>
          </w:p>
        </w:tc>
        <w:tc>
          <w:tcPr>
            <w:tcW w:w="864" w:type="pct"/>
            <w:vMerge/>
          </w:tcPr>
          <w:p w14:paraId="35457178" w14:textId="77777777" w:rsidR="000D19A9" w:rsidRPr="007C4D65" w:rsidRDefault="000D19A9"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41ECE6D"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0,021</w:t>
            </w:r>
          </w:p>
        </w:tc>
        <w:tc>
          <w:tcPr>
            <w:tcW w:w="1159" w:type="pct"/>
            <w:tcMar>
              <w:top w:w="0" w:type="dxa"/>
              <w:left w:w="108" w:type="dxa"/>
              <w:bottom w:w="0" w:type="dxa"/>
              <w:right w:w="108" w:type="dxa"/>
            </w:tcMar>
            <w:vAlign w:val="center"/>
          </w:tcPr>
          <w:p w14:paraId="6CE21086"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37A0D838" w14:textId="77777777" w:rsidR="000D19A9" w:rsidRPr="007C4D65" w:rsidRDefault="000D19A9"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0,021</w:t>
            </w:r>
          </w:p>
        </w:tc>
      </w:tr>
    </w:tbl>
    <w:p w14:paraId="4892834A" w14:textId="47C2683B" w:rsidR="00CC447D" w:rsidRPr="007C4D65" w:rsidRDefault="00CC447D" w:rsidP="0068355A">
      <w:pPr>
        <w:spacing w:line="276" w:lineRule="auto"/>
        <w:rPr>
          <w:rFonts w:asciiTheme="minorHAnsi" w:hAnsiTheme="minorHAnsi" w:cstheme="minorHAnsi"/>
          <w:sz w:val="18"/>
          <w:szCs w:val="18"/>
        </w:rPr>
      </w:pPr>
    </w:p>
    <w:p w14:paraId="08257FDF" w14:textId="77777777" w:rsidR="00D51392" w:rsidRPr="007C4D65" w:rsidRDefault="00D51392" w:rsidP="0068355A">
      <w:pPr>
        <w:spacing w:line="276" w:lineRule="auto"/>
        <w:rPr>
          <w:rFonts w:asciiTheme="minorHAnsi" w:hAnsiTheme="minorHAnsi" w:cstheme="minorHAnsi"/>
          <w:sz w:val="18"/>
          <w:szCs w:val="18"/>
        </w:rPr>
      </w:pPr>
    </w:p>
    <w:p w14:paraId="37C3956F" w14:textId="5A97E8C5" w:rsidR="00242590" w:rsidRPr="007C4D65" w:rsidRDefault="007F77BE" w:rsidP="007F77BE">
      <w:pPr>
        <w:pStyle w:val="Head3"/>
        <w:numPr>
          <w:ilvl w:val="0"/>
          <w:numId w:val="0"/>
        </w:numPr>
        <w:spacing w:line="276" w:lineRule="auto"/>
        <w:rPr>
          <w:rFonts w:asciiTheme="minorHAnsi" w:hAnsiTheme="minorHAnsi"/>
        </w:rPr>
      </w:pPr>
      <w:bookmarkStart w:id="429" w:name="_Toc117445385"/>
      <w:r w:rsidRPr="007C4D65">
        <w:rPr>
          <w:rFonts w:asciiTheme="minorHAnsi" w:hAnsiTheme="minorHAnsi"/>
        </w:rPr>
        <w:t xml:space="preserve">13.8.2. </w:t>
      </w:r>
      <w:r w:rsidR="00242590" w:rsidRPr="007C4D65">
        <w:rPr>
          <w:rFonts w:asciiTheme="minorHAnsi" w:hAnsiTheme="minorHAnsi"/>
        </w:rPr>
        <w:t xml:space="preserve">Waste </w:t>
      </w:r>
      <w:r w:rsidR="00CD3D80" w:rsidRPr="007C4D65">
        <w:rPr>
          <w:rFonts w:asciiTheme="minorHAnsi" w:hAnsiTheme="minorHAnsi"/>
        </w:rPr>
        <w:t>m</w:t>
      </w:r>
      <w:r w:rsidR="00242590" w:rsidRPr="007C4D65">
        <w:rPr>
          <w:rFonts w:asciiTheme="minorHAnsi" w:hAnsiTheme="minorHAnsi"/>
        </w:rPr>
        <w:t>anagement</w:t>
      </w:r>
      <w:bookmarkEnd w:id="429"/>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4"/>
        <w:gridCol w:w="2408"/>
        <w:gridCol w:w="3231"/>
        <w:gridCol w:w="3231"/>
        <w:gridCol w:w="3234"/>
      </w:tblGrid>
      <w:tr w:rsidR="00B02183" w:rsidRPr="007C4D65" w14:paraId="0D11536D" w14:textId="77777777" w:rsidTr="00B6017F">
        <w:trPr>
          <w:trHeight w:val="384"/>
        </w:trPr>
        <w:tc>
          <w:tcPr>
            <w:tcW w:w="658" w:type="pct"/>
            <w:vMerge w:val="restart"/>
            <w:shd w:val="clear" w:color="auto" w:fill="D9D9D9"/>
            <w:tcMar>
              <w:top w:w="0" w:type="dxa"/>
              <w:left w:w="108" w:type="dxa"/>
              <w:bottom w:w="0" w:type="dxa"/>
              <w:right w:w="108" w:type="dxa"/>
            </w:tcMar>
            <w:vAlign w:val="center"/>
            <w:hideMark/>
          </w:tcPr>
          <w:p w14:paraId="03F1483F" w14:textId="16F7101A" w:rsidR="00B02183" w:rsidRPr="007C4D65" w:rsidRDefault="00B02183"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 xml:space="preserve">2. Strategic </w:t>
            </w:r>
            <w:r w:rsidR="009736BE" w:rsidRPr="007C4D65">
              <w:rPr>
                <w:rFonts w:asciiTheme="minorHAnsi" w:hAnsiTheme="minorHAnsi" w:cstheme="minorHAnsi"/>
                <w:b/>
                <w:color w:val="000000" w:themeColor="text1"/>
                <w:sz w:val="18"/>
              </w:rPr>
              <w:t>g</w:t>
            </w:r>
            <w:r w:rsidRPr="007C4D65">
              <w:rPr>
                <w:rFonts w:asciiTheme="minorHAnsi" w:hAnsiTheme="minorHAnsi" w:cstheme="minorHAnsi"/>
                <w:b/>
                <w:color w:val="000000" w:themeColor="text1"/>
                <w:sz w:val="18"/>
              </w:rPr>
              <w:t>oal</w:t>
            </w:r>
          </w:p>
        </w:tc>
        <w:tc>
          <w:tcPr>
            <w:tcW w:w="864" w:type="pct"/>
            <w:vMerge w:val="restart"/>
            <w:tcMar>
              <w:top w:w="0" w:type="dxa"/>
              <w:left w:w="108" w:type="dxa"/>
              <w:bottom w:w="0" w:type="dxa"/>
              <w:right w:w="108" w:type="dxa"/>
            </w:tcMar>
            <w:vAlign w:val="center"/>
          </w:tcPr>
          <w:p w14:paraId="5A6D5B59" w14:textId="77777777" w:rsidR="00B02183" w:rsidRPr="007C4D65" w:rsidRDefault="00B02183"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Reducing waste and increasing reuse of materials</w:t>
            </w:r>
          </w:p>
        </w:tc>
        <w:tc>
          <w:tcPr>
            <w:tcW w:w="1159" w:type="pct"/>
            <w:shd w:val="clear" w:color="auto" w:fill="D9D9D9" w:themeFill="background1" w:themeFillShade="D9"/>
            <w:tcMar>
              <w:top w:w="0" w:type="dxa"/>
              <w:left w:w="108" w:type="dxa"/>
              <w:bottom w:w="0" w:type="dxa"/>
              <w:right w:w="108" w:type="dxa"/>
            </w:tcMar>
            <w:vAlign w:val="center"/>
            <w:hideMark/>
          </w:tcPr>
          <w:p w14:paraId="30564398"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Strategic goal indicators</w:t>
            </w:r>
          </w:p>
        </w:tc>
        <w:tc>
          <w:tcPr>
            <w:tcW w:w="1159" w:type="pct"/>
            <w:shd w:val="clear" w:color="auto" w:fill="D9D9D9" w:themeFill="background1" w:themeFillShade="D9"/>
            <w:tcMar>
              <w:top w:w="0" w:type="dxa"/>
              <w:left w:w="108" w:type="dxa"/>
              <w:bottom w:w="0" w:type="dxa"/>
              <w:right w:w="108" w:type="dxa"/>
            </w:tcMar>
            <w:vAlign w:val="center"/>
            <w:hideMark/>
          </w:tcPr>
          <w:p w14:paraId="786BE506"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60" w:type="pct"/>
            <w:shd w:val="clear" w:color="auto" w:fill="D9D9D9" w:themeFill="background1" w:themeFillShade="D9"/>
            <w:tcMar>
              <w:top w:w="0" w:type="dxa"/>
              <w:left w:w="108" w:type="dxa"/>
              <w:bottom w:w="0" w:type="dxa"/>
              <w:right w:w="108" w:type="dxa"/>
            </w:tcMar>
            <w:vAlign w:val="center"/>
            <w:hideMark/>
          </w:tcPr>
          <w:p w14:paraId="5E3E09F8"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139052C5" w14:textId="77777777" w:rsidTr="00B6017F">
        <w:trPr>
          <w:trHeight w:val="287"/>
        </w:trPr>
        <w:tc>
          <w:tcPr>
            <w:tcW w:w="658" w:type="pct"/>
            <w:vMerge/>
            <w:shd w:val="clear" w:color="auto" w:fill="D9D9D9"/>
            <w:vAlign w:val="center"/>
            <w:hideMark/>
          </w:tcPr>
          <w:p w14:paraId="6CBA3863"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3F122C38"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7373CBB" w14:textId="77777777" w:rsidR="00B02183" w:rsidRPr="007C4D65" w:rsidRDefault="00B02183" w:rsidP="00B6017F">
            <w:pPr>
              <w:widowControl w:val="0"/>
              <w:autoSpaceDE w:val="0"/>
              <w:autoSpaceDN w:val="0"/>
              <w:adjustRightInd w:val="0"/>
              <w:spacing w:after="120" w:line="276" w:lineRule="auto"/>
              <w:ind w:hanging="2"/>
              <w:contextualSpacing/>
              <w:jc w:val="both"/>
              <w:rPr>
                <w:rFonts w:asciiTheme="minorHAnsi" w:hAnsiTheme="minorHAnsi" w:cstheme="minorHAnsi"/>
                <w:sz w:val="18"/>
                <w:szCs w:val="18"/>
              </w:rPr>
            </w:pPr>
            <w:r w:rsidRPr="007C4D65">
              <w:rPr>
                <w:rFonts w:asciiTheme="minorHAnsi" w:hAnsiTheme="minorHAnsi" w:cstheme="minorHAnsi"/>
                <w:sz w:val="18"/>
              </w:rPr>
              <w:t>Total waste disposed (t)</w:t>
            </w:r>
          </w:p>
        </w:tc>
        <w:tc>
          <w:tcPr>
            <w:tcW w:w="1159" w:type="pct"/>
            <w:tcMar>
              <w:top w:w="0" w:type="dxa"/>
              <w:left w:w="108" w:type="dxa"/>
              <w:bottom w:w="0" w:type="dxa"/>
              <w:right w:w="108" w:type="dxa"/>
            </w:tcMar>
            <w:vAlign w:val="center"/>
          </w:tcPr>
          <w:p w14:paraId="5D21AA59" w14:textId="77777777" w:rsidR="00B02183" w:rsidRPr="007C4D65" w:rsidRDefault="00B02183" w:rsidP="00B6017F">
            <w:pPr>
              <w:spacing w:line="276" w:lineRule="auto"/>
              <w:jc w:val="center"/>
              <w:rPr>
                <w:rFonts w:asciiTheme="minorHAnsi" w:hAnsiTheme="minorHAnsi" w:cstheme="minorHAnsi"/>
                <w:sz w:val="18"/>
                <w:szCs w:val="18"/>
              </w:rPr>
            </w:pPr>
            <w:r w:rsidRPr="007C4D65">
              <w:rPr>
                <w:rFonts w:asciiTheme="minorHAnsi" w:hAnsiTheme="minorHAnsi" w:cstheme="minorHAnsi"/>
                <w:sz w:val="18"/>
              </w:rPr>
              <w:t>577,685</w:t>
            </w:r>
          </w:p>
          <w:p w14:paraId="6F90FF0E" w14:textId="77777777" w:rsidR="00B02183" w:rsidRPr="007C4D65" w:rsidRDefault="00B02183"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(2020)</w:t>
            </w:r>
          </w:p>
        </w:tc>
        <w:tc>
          <w:tcPr>
            <w:tcW w:w="1160" w:type="pct"/>
            <w:tcMar>
              <w:top w:w="0" w:type="dxa"/>
              <w:left w:w="108" w:type="dxa"/>
              <w:bottom w:w="0" w:type="dxa"/>
              <w:right w:w="108" w:type="dxa"/>
            </w:tcMar>
            <w:vAlign w:val="center"/>
          </w:tcPr>
          <w:p w14:paraId="2895BD6A" w14:textId="77777777" w:rsidR="00B02183" w:rsidRPr="007C4D65" w:rsidRDefault="00B02183"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w:t>
            </w:r>
          </w:p>
        </w:tc>
      </w:tr>
      <w:tr w:rsidR="00B02183" w:rsidRPr="007C4D65" w14:paraId="3A652F85" w14:textId="77777777" w:rsidTr="00B6017F">
        <w:trPr>
          <w:trHeight w:val="287"/>
        </w:trPr>
        <w:tc>
          <w:tcPr>
            <w:tcW w:w="658" w:type="pct"/>
            <w:vMerge/>
            <w:shd w:val="clear" w:color="auto" w:fill="D9D9D9"/>
            <w:vAlign w:val="center"/>
          </w:tcPr>
          <w:p w14:paraId="22C3F914"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3373FDE"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99A0C0E" w14:textId="3285F484" w:rsidR="00B02183" w:rsidRPr="007C4D65" w:rsidRDefault="00B02183" w:rsidP="00B6017F">
            <w:pPr>
              <w:widowControl w:val="0"/>
              <w:autoSpaceDE w:val="0"/>
              <w:autoSpaceDN w:val="0"/>
              <w:adjustRightInd w:val="0"/>
              <w:spacing w:after="120" w:line="276" w:lineRule="auto"/>
              <w:ind w:hanging="2"/>
              <w:contextualSpacing/>
              <w:jc w:val="both"/>
              <w:rPr>
                <w:rFonts w:asciiTheme="minorHAnsi" w:hAnsiTheme="minorHAnsi" w:cstheme="minorHAnsi"/>
                <w:sz w:val="18"/>
                <w:szCs w:val="18"/>
              </w:rPr>
            </w:pPr>
            <w:r w:rsidRPr="007C4D65">
              <w:rPr>
                <w:rFonts w:asciiTheme="minorHAnsi" w:hAnsiTheme="minorHAnsi" w:cstheme="minorHAnsi"/>
                <w:sz w:val="18"/>
              </w:rPr>
              <w:t xml:space="preserve">Total number of waste </w:t>
            </w:r>
            <w:r w:rsidR="00830279" w:rsidRPr="007C4D65">
              <w:rPr>
                <w:rFonts w:asciiTheme="minorHAnsi" w:hAnsiTheme="minorHAnsi" w:cstheme="minorHAnsi"/>
                <w:sz w:val="18"/>
              </w:rPr>
              <w:t>disposal</w:t>
            </w:r>
            <w:r w:rsidRPr="007C4D65">
              <w:rPr>
                <w:rFonts w:asciiTheme="minorHAnsi" w:hAnsiTheme="minorHAnsi" w:cstheme="minorHAnsi"/>
                <w:sz w:val="18"/>
              </w:rPr>
              <w:t xml:space="preserve"> sites recorded</w:t>
            </w:r>
          </w:p>
        </w:tc>
        <w:tc>
          <w:tcPr>
            <w:tcW w:w="1159" w:type="pct"/>
            <w:tcMar>
              <w:top w:w="0" w:type="dxa"/>
              <w:left w:w="108" w:type="dxa"/>
              <w:bottom w:w="0" w:type="dxa"/>
              <w:right w:w="108" w:type="dxa"/>
            </w:tcMar>
            <w:vAlign w:val="center"/>
          </w:tcPr>
          <w:p w14:paraId="75CD37D8" w14:textId="77777777" w:rsidR="00B02183" w:rsidRPr="007C4D65" w:rsidRDefault="00B02183" w:rsidP="00B6017F">
            <w:pPr>
              <w:spacing w:line="276" w:lineRule="auto"/>
              <w:jc w:val="center"/>
              <w:rPr>
                <w:rFonts w:asciiTheme="minorHAnsi" w:hAnsiTheme="minorHAnsi" w:cstheme="minorHAnsi"/>
                <w:sz w:val="18"/>
                <w:szCs w:val="18"/>
              </w:rPr>
            </w:pPr>
            <w:r w:rsidRPr="007C4D65">
              <w:rPr>
                <w:rFonts w:asciiTheme="minorHAnsi" w:hAnsiTheme="minorHAnsi" w:cstheme="minorHAnsi"/>
                <w:sz w:val="18"/>
              </w:rPr>
              <w:t>45</w:t>
            </w:r>
          </w:p>
          <w:p w14:paraId="5CE4539A" w14:textId="77777777" w:rsidR="00B02183" w:rsidRPr="007C4D65" w:rsidRDefault="00B02183"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(2020)</w:t>
            </w:r>
          </w:p>
        </w:tc>
        <w:tc>
          <w:tcPr>
            <w:tcW w:w="1160" w:type="pct"/>
            <w:tcMar>
              <w:top w:w="0" w:type="dxa"/>
              <w:left w:w="108" w:type="dxa"/>
              <w:bottom w:w="0" w:type="dxa"/>
              <w:right w:w="108" w:type="dxa"/>
            </w:tcMar>
            <w:vAlign w:val="center"/>
          </w:tcPr>
          <w:p w14:paraId="3E6817C8" w14:textId="77777777" w:rsidR="00B02183" w:rsidRPr="007C4D65" w:rsidRDefault="00B02183"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w:t>
            </w:r>
          </w:p>
        </w:tc>
      </w:tr>
      <w:tr w:rsidR="00B02183" w:rsidRPr="007C4D65" w14:paraId="551D57B5" w14:textId="77777777" w:rsidTr="00B6017F">
        <w:trPr>
          <w:trHeight w:val="375"/>
        </w:trPr>
        <w:tc>
          <w:tcPr>
            <w:tcW w:w="658" w:type="pct"/>
            <w:vMerge/>
            <w:shd w:val="clear" w:color="auto" w:fill="D9D9D9"/>
            <w:vAlign w:val="center"/>
            <w:hideMark/>
          </w:tcPr>
          <w:p w14:paraId="56DCCF51"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700A33A2"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hideMark/>
          </w:tcPr>
          <w:p w14:paraId="526BCC8E"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Budget (BAM million)</w:t>
            </w:r>
          </w:p>
        </w:tc>
        <w:tc>
          <w:tcPr>
            <w:tcW w:w="1159" w:type="pct"/>
            <w:shd w:val="clear" w:color="auto" w:fill="D9D9D9" w:themeFill="background1" w:themeFillShade="D9"/>
            <w:tcMar>
              <w:top w:w="0" w:type="dxa"/>
              <w:left w:w="108" w:type="dxa"/>
              <w:bottom w:w="0" w:type="dxa"/>
              <w:right w:w="108" w:type="dxa"/>
            </w:tcMar>
            <w:vAlign w:val="center"/>
            <w:hideMark/>
          </w:tcPr>
          <w:p w14:paraId="0C93436C"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60" w:type="pct"/>
            <w:shd w:val="clear" w:color="auto" w:fill="D9D9D9" w:themeFill="background1" w:themeFillShade="D9"/>
            <w:tcMar>
              <w:top w:w="0" w:type="dxa"/>
              <w:left w:w="108" w:type="dxa"/>
              <w:bottom w:w="0" w:type="dxa"/>
              <w:right w:w="108" w:type="dxa"/>
            </w:tcMar>
            <w:vAlign w:val="center"/>
            <w:hideMark/>
          </w:tcPr>
          <w:p w14:paraId="088E45ED"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3D652DCD" w14:textId="77777777" w:rsidTr="00B6017F">
        <w:trPr>
          <w:trHeight w:val="287"/>
        </w:trPr>
        <w:tc>
          <w:tcPr>
            <w:tcW w:w="658" w:type="pct"/>
            <w:vMerge/>
            <w:shd w:val="clear" w:color="auto" w:fill="D9D9D9"/>
            <w:vAlign w:val="center"/>
            <w:hideMark/>
          </w:tcPr>
          <w:p w14:paraId="61BAA6F3"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0A39D34"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hemeFill="background1"/>
            <w:tcMar>
              <w:top w:w="0" w:type="dxa"/>
              <w:left w:w="108" w:type="dxa"/>
              <w:bottom w:w="0" w:type="dxa"/>
              <w:right w:w="108" w:type="dxa"/>
            </w:tcMar>
            <w:vAlign w:val="center"/>
          </w:tcPr>
          <w:p w14:paraId="2FD2C76E"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69</w:t>
            </w:r>
          </w:p>
        </w:tc>
        <w:tc>
          <w:tcPr>
            <w:tcW w:w="1159" w:type="pct"/>
            <w:shd w:val="clear" w:color="auto" w:fill="FFFFFF" w:themeFill="background1"/>
            <w:tcMar>
              <w:top w:w="0" w:type="dxa"/>
              <w:left w:w="108" w:type="dxa"/>
              <w:bottom w:w="0" w:type="dxa"/>
              <w:right w:w="108" w:type="dxa"/>
            </w:tcMar>
            <w:vAlign w:val="center"/>
          </w:tcPr>
          <w:p w14:paraId="4439A43F"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590.9</w:t>
            </w:r>
          </w:p>
        </w:tc>
        <w:tc>
          <w:tcPr>
            <w:tcW w:w="1160" w:type="pct"/>
            <w:shd w:val="clear" w:color="auto" w:fill="FFFFFF" w:themeFill="background1"/>
            <w:tcMar>
              <w:top w:w="0" w:type="dxa"/>
              <w:left w:w="108" w:type="dxa"/>
              <w:bottom w:w="0" w:type="dxa"/>
              <w:right w:w="108" w:type="dxa"/>
            </w:tcMar>
            <w:vAlign w:val="center"/>
          </w:tcPr>
          <w:p w14:paraId="725EE431"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659.9</w:t>
            </w:r>
          </w:p>
        </w:tc>
      </w:tr>
    </w:tbl>
    <w:p w14:paraId="6D9AF10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11"/>
        <w:gridCol w:w="3250"/>
        <w:gridCol w:w="3203"/>
        <w:gridCol w:w="3239"/>
      </w:tblGrid>
      <w:tr w:rsidR="00B02183" w:rsidRPr="007C4D65" w14:paraId="5A6C0DBC" w14:textId="77777777" w:rsidTr="00B6017F">
        <w:trPr>
          <w:trHeight w:val="384"/>
        </w:trPr>
        <w:tc>
          <w:tcPr>
            <w:tcW w:w="658" w:type="pct"/>
            <w:vMerge w:val="restart"/>
            <w:shd w:val="clear" w:color="auto" w:fill="D9D9D9"/>
            <w:tcMar>
              <w:top w:w="0" w:type="dxa"/>
              <w:left w:w="108" w:type="dxa"/>
              <w:bottom w:w="0" w:type="dxa"/>
              <w:right w:w="108" w:type="dxa"/>
            </w:tcMar>
            <w:vAlign w:val="center"/>
          </w:tcPr>
          <w:p w14:paraId="6C1CA3E7" w14:textId="77777777" w:rsidR="00B02183" w:rsidRPr="007C4D65" w:rsidRDefault="00B02183"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2.1. Priority</w:t>
            </w:r>
          </w:p>
        </w:tc>
        <w:tc>
          <w:tcPr>
            <w:tcW w:w="865" w:type="pct"/>
            <w:vMerge w:val="restart"/>
            <w:tcMar>
              <w:top w:w="0" w:type="dxa"/>
              <w:left w:w="108" w:type="dxa"/>
              <w:bottom w:w="0" w:type="dxa"/>
              <w:right w:w="108" w:type="dxa"/>
            </w:tcMar>
            <w:vAlign w:val="center"/>
          </w:tcPr>
          <w:p w14:paraId="21C8CE87" w14:textId="4F8A448D" w:rsidR="00B02183" w:rsidRPr="007C4D65" w:rsidRDefault="00A13CFC"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Improving the legal and strategic framework in the waste management according to the EU principles</w:t>
            </w:r>
          </w:p>
        </w:tc>
        <w:tc>
          <w:tcPr>
            <w:tcW w:w="1166" w:type="pct"/>
            <w:shd w:val="clear" w:color="auto" w:fill="D9D9D9" w:themeFill="background1" w:themeFillShade="D9"/>
            <w:tcMar>
              <w:top w:w="0" w:type="dxa"/>
              <w:left w:w="108" w:type="dxa"/>
              <w:bottom w:w="0" w:type="dxa"/>
              <w:right w:w="108" w:type="dxa"/>
            </w:tcMar>
            <w:vAlign w:val="center"/>
          </w:tcPr>
          <w:p w14:paraId="2FA7E364" w14:textId="77777777" w:rsidR="00B02183" w:rsidRPr="007C4D65" w:rsidRDefault="00B02183"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49" w:type="pct"/>
            <w:shd w:val="clear" w:color="auto" w:fill="D9D9D9" w:themeFill="background1" w:themeFillShade="D9"/>
            <w:tcMar>
              <w:top w:w="0" w:type="dxa"/>
              <w:left w:w="108" w:type="dxa"/>
              <w:bottom w:w="0" w:type="dxa"/>
              <w:right w:w="108" w:type="dxa"/>
            </w:tcMar>
            <w:vAlign w:val="center"/>
          </w:tcPr>
          <w:p w14:paraId="56CB3EB4"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62" w:type="pct"/>
            <w:shd w:val="clear" w:color="auto" w:fill="D9D9D9" w:themeFill="background1" w:themeFillShade="D9"/>
            <w:tcMar>
              <w:top w:w="0" w:type="dxa"/>
              <w:left w:w="108" w:type="dxa"/>
              <w:bottom w:w="0" w:type="dxa"/>
              <w:right w:w="108" w:type="dxa"/>
            </w:tcMar>
            <w:vAlign w:val="center"/>
          </w:tcPr>
          <w:p w14:paraId="4E317541"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5F016E58" w14:textId="77777777" w:rsidTr="00B6017F">
        <w:trPr>
          <w:trHeight w:val="287"/>
        </w:trPr>
        <w:tc>
          <w:tcPr>
            <w:tcW w:w="658" w:type="pct"/>
            <w:vMerge/>
            <w:shd w:val="clear" w:color="auto" w:fill="D9D9D9"/>
            <w:hideMark/>
          </w:tcPr>
          <w:p w14:paraId="7E57DE4D"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5" w:type="pct"/>
            <w:vMerge/>
            <w:vAlign w:val="center"/>
            <w:hideMark/>
          </w:tcPr>
          <w:p w14:paraId="0BF83D97"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66" w:type="pct"/>
            <w:tcMar>
              <w:top w:w="0" w:type="dxa"/>
              <w:left w:w="108" w:type="dxa"/>
              <w:bottom w:w="0" w:type="dxa"/>
              <w:right w:w="108" w:type="dxa"/>
            </w:tcMar>
          </w:tcPr>
          <w:p w14:paraId="4D5F8905" w14:textId="77777777" w:rsidR="00B02183" w:rsidRPr="007C4D65" w:rsidRDefault="00B02183"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Assessment of the compliance of the waste management legislation and waste management documents with the obligations arising from the European Union’s acquis and international agreements</w:t>
            </w:r>
          </w:p>
        </w:tc>
        <w:tc>
          <w:tcPr>
            <w:tcW w:w="1149" w:type="pct"/>
            <w:tcMar>
              <w:top w:w="0" w:type="dxa"/>
              <w:left w:w="108" w:type="dxa"/>
              <w:bottom w:w="0" w:type="dxa"/>
              <w:right w:w="108" w:type="dxa"/>
            </w:tcMar>
          </w:tcPr>
          <w:p w14:paraId="65186360" w14:textId="77777777" w:rsidR="00B02183" w:rsidRPr="007C4D65" w:rsidRDefault="00B02183"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waste management legal and strategic framework in Federation of BiH is:</w:t>
            </w:r>
          </w:p>
          <w:p w14:paraId="73A93C8D" w14:textId="77777777" w:rsidR="00B02183" w:rsidRPr="007C4D65" w:rsidRDefault="00B02183" w:rsidP="00B02183">
            <w:pPr>
              <w:pStyle w:val="ListParagraph"/>
              <w:numPr>
                <w:ilvl w:val="0"/>
                <w:numId w:val="47"/>
              </w:numPr>
              <w:spacing w:line="276" w:lineRule="auto"/>
              <w:ind w:left="360"/>
              <w:rPr>
                <w:rFonts w:asciiTheme="minorHAnsi" w:hAnsiTheme="minorHAnsi" w:cstheme="minorHAnsi"/>
                <w:sz w:val="18"/>
                <w:szCs w:val="18"/>
              </w:rPr>
            </w:pPr>
            <w:r w:rsidRPr="007C4D65">
              <w:rPr>
                <w:rFonts w:asciiTheme="minorHAnsi" w:hAnsiTheme="minorHAnsi" w:cstheme="minorHAnsi"/>
                <w:sz w:val="18"/>
              </w:rPr>
              <w:t xml:space="preserve">Partly aligned with 9 Directives </w:t>
            </w:r>
          </w:p>
          <w:p w14:paraId="3E84F5E4" w14:textId="77777777" w:rsidR="00B02183" w:rsidRPr="007C4D65" w:rsidRDefault="00B02183" w:rsidP="00B02183">
            <w:pPr>
              <w:pStyle w:val="ListParagraph"/>
              <w:numPr>
                <w:ilvl w:val="0"/>
                <w:numId w:val="47"/>
              </w:numPr>
              <w:spacing w:line="276" w:lineRule="auto"/>
              <w:ind w:left="360"/>
              <w:rPr>
                <w:rFonts w:asciiTheme="minorHAnsi" w:hAnsiTheme="minorHAnsi" w:cstheme="minorHAnsi"/>
                <w:sz w:val="18"/>
                <w:szCs w:val="18"/>
              </w:rPr>
            </w:pPr>
            <w:r w:rsidRPr="007C4D65">
              <w:rPr>
                <w:rFonts w:asciiTheme="minorHAnsi" w:hAnsiTheme="minorHAnsi" w:cstheme="minorHAnsi"/>
                <w:sz w:val="18"/>
              </w:rPr>
              <w:t>Not aligned with 2 Directives</w:t>
            </w:r>
          </w:p>
          <w:p w14:paraId="01E42E1B" w14:textId="15B368B4" w:rsidR="00B02183" w:rsidRPr="007C4D65" w:rsidRDefault="00B02183" w:rsidP="000E68A5">
            <w:pPr>
              <w:pStyle w:val="ListParagraph"/>
              <w:numPr>
                <w:ilvl w:val="0"/>
                <w:numId w:val="47"/>
              </w:numPr>
              <w:spacing w:line="276" w:lineRule="auto"/>
              <w:ind w:left="360"/>
              <w:rPr>
                <w:rFonts w:asciiTheme="minorHAnsi" w:hAnsiTheme="minorHAnsi" w:cstheme="minorHAnsi"/>
                <w:sz w:val="18"/>
                <w:szCs w:val="18"/>
              </w:rPr>
            </w:pPr>
            <w:r w:rsidRPr="007C4D65">
              <w:rPr>
                <w:rFonts w:asciiTheme="minorHAnsi" w:hAnsiTheme="minorHAnsi" w:cstheme="minorHAnsi"/>
                <w:sz w:val="18"/>
              </w:rPr>
              <w:t>Partly in compliance with the requirements of the Basel Convention</w:t>
            </w:r>
            <w:r w:rsidR="000E68A5" w:rsidRPr="007C4D65">
              <w:rPr>
                <w:rFonts w:asciiTheme="minorHAnsi" w:hAnsiTheme="minorHAnsi" w:cstheme="minorHAnsi"/>
                <w:sz w:val="18"/>
              </w:rPr>
              <w:t xml:space="preserve"> </w:t>
            </w:r>
            <w:r w:rsidRPr="007C4D65">
              <w:rPr>
                <w:rFonts w:asciiTheme="minorHAnsi" w:hAnsiTheme="minorHAnsi" w:cstheme="minorHAnsi"/>
                <w:sz w:val="18"/>
              </w:rPr>
              <w:t>(2021)</w:t>
            </w:r>
          </w:p>
        </w:tc>
        <w:tc>
          <w:tcPr>
            <w:tcW w:w="1162" w:type="pct"/>
            <w:tcMar>
              <w:top w:w="0" w:type="dxa"/>
              <w:left w:w="108" w:type="dxa"/>
              <w:bottom w:w="0" w:type="dxa"/>
              <w:right w:w="108" w:type="dxa"/>
            </w:tcMar>
          </w:tcPr>
          <w:p w14:paraId="29C96DA5" w14:textId="717F3D6C" w:rsidR="00B02183" w:rsidRPr="007C4D65" w:rsidRDefault="00B02183"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waste management legal and strategic framework in Federation of BiH is fully in compliance with 11 EU Directives and Basel Convention</w:t>
            </w:r>
          </w:p>
          <w:p w14:paraId="2F801063" w14:textId="77777777" w:rsidR="00B02183" w:rsidRPr="007C4D65" w:rsidRDefault="00B02183"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(2025)</w:t>
            </w:r>
          </w:p>
        </w:tc>
      </w:tr>
      <w:tr w:rsidR="00B02183" w:rsidRPr="007C4D65" w14:paraId="32F2FF73" w14:textId="77777777" w:rsidTr="00B6017F">
        <w:trPr>
          <w:trHeight w:val="287"/>
        </w:trPr>
        <w:tc>
          <w:tcPr>
            <w:tcW w:w="658" w:type="pct"/>
            <w:vMerge/>
            <w:shd w:val="clear" w:color="auto" w:fill="D9D9D9"/>
            <w:hideMark/>
          </w:tcPr>
          <w:p w14:paraId="54F311A4"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5" w:type="pct"/>
            <w:vMerge/>
            <w:hideMark/>
          </w:tcPr>
          <w:p w14:paraId="0BF89B18"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66" w:type="pct"/>
            <w:shd w:val="clear" w:color="auto" w:fill="D9D9D9" w:themeFill="background1" w:themeFillShade="D9"/>
            <w:tcMar>
              <w:top w:w="0" w:type="dxa"/>
              <w:left w:w="108" w:type="dxa"/>
              <w:bottom w:w="0" w:type="dxa"/>
              <w:right w:w="108" w:type="dxa"/>
            </w:tcMar>
          </w:tcPr>
          <w:p w14:paraId="5B62AB61" w14:textId="16FE17EB"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 xml:space="preserve">Government </w:t>
            </w:r>
            <w:proofErr w:type="gramStart"/>
            <w:r w:rsidRPr="007C4D65">
              <w:rPr>
                <w:rFonts w:asciiTheme="minorHAnsi" w:hAnsiTheme="minorHAnsi" w:cstheme="minorHAnsi"/>
                <w:b/>
                <w:sz w:val="18"/>
              </w:rPr>
              <w:t xml:space="preserve">budget </w:t>
            </w:r>
            <w:r w:rsidR="00B02183" w:rsidRPr="007C4D65">
              <w:rPr>
                <w:rFonts w:asciiTheme="minorHAnsi" w:hAnsiTheme="minorHAnsi" w:cstheme="minorHAnsi"/>
                <w:b/>
                <w:sz w:val="18"/>
              </w:rPr>
              <w:t xml:space="preserve"> (</w:t>
            </w:r>
            <w:proofErr w:type="gramEnd"/>
            <w:r w:rsidR="00B02183" w:rsidRPr="007C4D65">
              <w:rPr>
                <w:rFonts w:asciiTheme="minorHAnsi" w:hAnsiTheme="minorHAnsi" w:cstheme="minorHAnsi"/>
                <w:b/>
                <w:sz w:val="18"/>
              </w:rPr>
              <w:t>BAM million)</w:t>
            </w:r>
          </w:p>
        </w:tc>
        <w:tc>
          <w:tcPr>
            <w:tcW w:w="1149" w:type="pct"/>
            <w:shd w:val="clear" w:color="auto" w:fill="D9D9D9" w:themeFill="background1" w:themeFillShade="D9"/>
            <w:tcMar>
              <w:top w:w="0" w:type="dxa"/>
              <w:left w:w="108" w:type="dxa"/>
              <w:bottom w:w="0" w:type="dxa"/>
              <w:right w:w="108" w:type="dxa"/>
            </w:tcMar>
          </w:tcPr>
          <w:p w14:paraId="735582E6"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62" w:type="pct"/>
            <w:shd w:val="clear" w:color="auto" w:fill="D9D9D9" w:themeFill="background1" w:themeFillShade="D9"/>
            <w:tcMar>
              <w:top w:w="0" w:type="dxa"/>
              <w:left w:w="108" w:type="dxa"/>
              <w:bottom w:w="0" w:type="dxa"/>
              <w:right w:w="108" w:type="dxa"/>
            </w:tcMar>
          </w:tcPr>
          <w:p w14:paraId="328BA984"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489912EF" w14:textId="77777777" w:rsidTr="00B6017F">
        <w:trPr>
          <w:trHeight w:val="287"/>
        </w:trPr>
        <w:tc>
          <w:tcPr>
            <w:tcW w:w="658" w:type="pct"/>
            <w:vMerge/>
            <w:shd w:val="clear" w:color="auto" w:fill="D9D9D9"/>
          </w:tcPr>
          <w:p w14:paraId="2F3EB818"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5" w:type="pct"/>
            <w:vMerge/>
          </w:tcPr>
          <w:p w14:paraId="142937FB"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66" w:type="pct"/>
            <w:tcMar>
              <w:top w:w="0" w:type="dxa"/>
              <w:left w:w="108" w:type="dxa"/>
              <w:bottom w:w="0" w:type="dxa"/>
              <w:right w:w="108" w:type="dxa"/>
            </w:tcMar>
          </w:tcPr>
          <w:p w14:paraId="0C5541B3"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0.297</w:t>
            </w:r>
          </w:p>
        </w:tc>
        <w:tc>
          <w:tcPr>
            <w:tcW w:w="1149" w:type="pct"/>
            <w:tcMar>
              <w:top w:w="0" w:type="dxa"/>
              <w:left w:w="108" w:type="dxa"/>
              <w:bottom w:w="0" w:type="dxa"/>
              <w:right w:w="108" w:type="dxa"/>
            </w:tcMar>
          </w:tcPr>
          <w:p w14:paraId="3DC61544"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1.1</w:t>
            </w:r>
          </w:p>
        </w:tc>
        <w:tc>
          <w:tcPr>
            <w:tcW w:w="1162" w:type="pct"/>
            <w:tcMar>
              <w:top w:w="0" w:type="dxa"/>
              <w:left w:w="108" w:type="dxa"/>
              <w:bottom w:w="0" w:type="dxa"/>
              <w:right w:w="108" w:type="dxa"/>
            </w:tcMar>
          </w:tcPr>
          <w:p w14:paraId="732AB61B"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1.4</w:t>
            </w:r>
          </w:p>
        </w:tc>
      </w:tr>
    </w:tbl>
    <w:p w14:paraId="33782EAC"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4"/>
        <w:gridCol w:w="2411"/>
        <w:gridCol w:w="3301"/>
        <w:gridCol w:w="3228"/>
        <w:gridCol w:w="3164"/>
      </w:tblGrid>
      <w:tr w:rsidR="00B02183" w:rsidRPr="007C4D65" w14:paraId="3B30407E"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24A339C7" w14:textId="77777777" w:rsidR="00B02183" w:rsidRPr="007C4D65" w:rsidRDefault="00B02183"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color w:val="000000" w:themeColor="text1"/>
                <w:sz w:val="18"/>
              </w:rPr>
              <w:lastRenderedPageBreak/>
              <w:t>2.1.1. Measure</w:t>
            </w:r>
          </w:p>
        </w:tc>
        <w:tc>
          <w:tcPr>
            <w:tcW w:w="865" w:type="pct"/>
            <w:vMerge w:val="restart"/>
            <w:tcMar>
              <w:top w:w="0" w:type="dxa"/>
              <w:left w:w="108" w:type="dxa"/>
              <w:bottom w:w="0" w:type="dxa"/>
              <w:right w:w="108" w:type="dxa"/>
            </w:tcMar>
            <w:vAlign w:val="center"/>
          </w:tcPr>
          <w:p w14:paraId="24EC5119" w14:textId="1D6B8D97" w:rsidR="00B02183" w:rsidRPr="007C4D65" w:rsidRDefault="009E6B20"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Improve waste management legislation, policies and planning documents </w:t>
            </w:r>
            <w:proofErr w:type="gramStart"/>
            <w:r w:rsidRPr="007C4D65">
              <w:rPr>
                <w:rFonts w:asciiTheme="minorHAnsi" w:hAnsiTheme="minorHAnsi" w:cstheme="minorHAnsi"/>
                <w:sz w:val="18"/>
              </w:rPr>
              <w:t>so as to</w:t>
            </w:r>
            <w:proofErr w:type="gramEnd"/>
            <w:r w:rsidRPr="007C4D65">
              <w:rPr>
                <w:rFonts w:asciiTheme="minorHAnsi" w:hAnsiTheme="minorHAnsi" w:cstheme="minorHAnsi"/>
                <w:sz w:val="18"/>
              </w:rPr>
              <w:t xml:space="preserve"> be in compliance with the obligations arising from the EU acquis and international agreements</w:t>
            </w:r>
          </w:p>
        </w:tc>
        <w:tc>
          <w:tcPr>
            <w:tcW w:w="1184" w:type="pct"/>
            <w:shd w:val="clear" w:color="auto" w:fill="D9D9D9" w:themeFill="background1" w:themeFillShade="D9"/>
            <w:tcMar>
              <w:top w:w="0" w:type="dxa"/>
              <w:left w:w="108" w:type="dxa"/>
              <w:bottom w:w="0" w:type="dxa"/>
              <w:right w:w="108" w:type="dxa"/>
            </w:tcMar>
            <w:vAlign w:val="center"/>
            <w:hideMark/>
          </w:tcPr>
          <w:p w14:paraId="18F002B4"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8" w:type="pct"/>
            <w:shd w:val="clear" w:color="auto" w:fill="D9D9D9" w:themeFill="background1" w:themeFillShade="D9"/>
            <w:tcMar>
              <w:top w:w="0" w:type="dxa"/>
              <w:left w:w="108" w:type="dxa"/>
              <w:bottom w:w="0" w:type="dxa"/>
              <w:right w:w="108" w:type="dxa"/>
            </w:tcMar>
            <w:vAlign w:val="center"/>
            <w:hideMark/>
          </w:tcPr>
          <w:p w14:paraId="4AA465F8"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35" w:type="pct"/>
            <w:shd w:val="clear" w:color="auto" w:fill="D9D9D9" w:themeFill="background1" w:themeFillShade="D9"/>
            <w:vAlign w:val="center"/>
          </w:tcPr>
          <w:p w14:paraId="1FE8A5E0"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2E6D4796" w14:textId="77777777" w:rsidTr="00B6017F">
        <w:trPr>
          <w:trHeight w:val="287"/>
        </w:trPr>
        <w:tc>
          <w:tcPr>
            <w:tcW w:w="658" w:type="pct"/>
            <w:vMerge/>
            <w:shd w:val="clear" w:color="auto" w:fill="D9D9D9"/>
            <w:vAlign w:val="center"/>
          </w:tcPr>
          <w:p w14:paraId="4526EB81"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5" w:type="pct"/>
            <w:vMerge/>
            <w:vAlign w:val="center"/>
          </w:tcPr>
          <w:p w14:paraId="01258384"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84"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173315A7"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preparation and adoption of Action Plans for the Implementation of the Waste Directive and Landfill Directive</w:t>
            </w:r>
          </w:p>
        </w:tc>
        <w:tc>
          <w:tcPr>
            <w:tcW w:w="1158"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1DD27213"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Action Plans have not been prepared and adopted.</w:t>
            </w:r>
          </w:p>
        </w:tc>
        <w:tc>
          <w:tcPr>
            <w:tcW w:w="113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8C73C9E" w14:textId="056BB8F5" w:rsidR="00B02183" w:rsidRPr="007C4D65" w:rsidRDefault="00B02183" w:rsidP="000E68A5">
            <w:pPr>
              <w:spacing w:before="40" w:after="40" w:line="276" w:lineRule="auto"/>
              <w:ind w:left="139"/>
              <w:rPr>
                <w:rFonts w:asciiTheme="minorHAnsi" w:hAnsiTheme="minorHAnsi" w:cstheme="minorHAnsi"/>
                <w:sz w:val="18"/>
                <w:szCs w:val="18"/>
              </w:rPr>
            </w:pPr>
            <w:r w:rsidRPr="007C4D65">
              <w:rPr>
                <w:rFonts w:asciiTheme="minorHAnsi" w:hAnsiTheme="minorHAnsi" w:cstheme="minorHAnsi"/>
                <w:sz w:val="18"/>
              </w:rPr>
              <w:t>2 Action Plans prepared and adopted</w:t>
            </w:r>
            <w:r w:rsidR="000E68A5" w:rsidRPr="007C4D65">
              <w:rPr>
                <w:rFonts w:asciiTheme="minorHAnsi" w:hAnsiTheme="minorHAnsi" w:cstheme="minorHAnsi"/>
                <w:sz w:val="18"/>
              </w:rPr>
              <w:t xml:space="preserve"> </w:t>
            </w:r>
            <w:r w:rsidRPr="007C4D65">
              <w:rPr>
                <w:rFonts w:asciiTheme="minorHAnsi" w:hAnsiTheme="minorHAnsi" w:cstheme="minorHAnsi"/>
                <w:sz w:val="18"/>
              </w:rPr>
              <w:t>(2025)</w:t>
            </w:r>
          </w:p>
        </w:tc>
      </w:tr>
      <w:tr w:rsidR="00B02183" w:rsidRPr="007C4D65" w14:paraId="32B872F8" w14:textId="77777777" w:rsidTr="00B6017F">
        <w:trPr>
          <w:trHeight w:val="287"/>
        </w:trPr>
        <w:tc>
          <w:tcPr>
            <w:tcW w:w="658" w:type="pct"/>
            <w:vMerge/>
            <w:shd w:val="clear" w:color="auto" w:fill="D9D9D9"/>
            <w:vAlign w:val="center"/>
          </w:tcPr>
          <w:p w14:paraId="316020F2"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5" w:type="pct"/>
            <w:vMerge/>
            <w:vAlign w:val="center"/>
          </w:tcPr>
          <w:p w14:paraId="4FDC9EC5"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84"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5DC3CC43" w14:textId="10A352AB"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Compliance of the Federation legislation w</w:t>
            </w:r>
            <w:r w:rsidR="00A13CFC" w:rsidRPr="007C4D65">
              <w:rPr>
                <w:rFonts w:asciiTheme="minorHAnsi" w:hAnsiTheme="minorHAnsi" w:cstheme="minorHAnsi"/>
                <w:sz w:val="18"/>
              </w:rPr>
              <w:t>i</w:t>
            </w:r>
            <w:r w:rsidRPr="007C4D65">
              <w:rPr>
                <w:rFonts w:asciiTheme="minorHAnsi" w:hAnsiTheme="minorHAnsi" w:cstheme="minorHAnsi"/>
                <w:sz w:val="18"/>
              </w:rPr>
              <w:t>th the Directives and guidelines of the European Union in the waste management sector and requirements of the Basel Convention</w:t>
            </w:r>
          </w:p>
        </w:tc>
        <w:tc>
          <w:tcPr>
            <w:tcW w:w="1158"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3B7FFCA8" w14:textId="2B9428D9"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legislation</w:t>
            </w:r>
            <w:r w:rsidR="008C23C0" w:rsidRPr="007C4D65">
              <w:rPr>
                <w:rFonts w:asciiTheme="minorHAnsi" w:hAnsiTheme="minorHAnsi" w:cstheme="minorHAnsi"/>
                <w:sz w:val="18"/>
              </w:rPr>
              <w:t xml:space="preserve"> of the Federation of BiH</w:t>
            </w:r>
            <w:r w:rsidRPr="007C4D65">
              <w:rPr>
                <w:rFonts w:asciiTheme="minorHAnsi" w:hAnsiTheme="minorHAnsi" w:cstheme="minorHAnsi"/>
                <w:sz w:val="18"/>
              </w:rPr>
              <w:t xml:space="preserve"> is not aligned with the Directives and guidelines of the European union in the waste management sector and requirements of the Basel Convention</w:t>
            </w:r>
          </w:p>
        </w:tc>
        <w:tc>
          <w:tcPr>
            <w:tcW w:w="113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6DB3621" w14:textId="7A46E6D4" w:rsidR="00B02183" w:rsidRPr="007C4D65" w:rsidRDefault="00B02183" w:rsidP="000E68A5">
            <w:pPr>
              <w:spacing w:before="40" w:after="40" w:line="276" w:lineRule="auto"/>
              <w:ind w:left="139"/>
              <w:rPr>
                <w:rFonts w:asciiTheme="minorHAnsi" w:hAnsiTheme="minorHAnsi" w:cstheme="minorHAnsi"/>
                <w:sz w:val="18"/>
                <w:szCs w:val="18"/>
              </w:rPr>
            </w:pPr>
            <w:r w:rsidRPr="007C4D65">
              <w:rPr>
                <w:rFonts w:asciiTheme="minorHAnsi" w:hAnsiTheme="minorHAnsi" w:cstheme="minorHAnsi"/>
                <w:sz w:val="18"/>
              </w:rPr>
              <w:t>Full compliance of the Federation legislation with the Directives and guidelines of the European Union in the waste management sectors and requirements of the Basel Convention achieved</w:t>
            </w:r>
            <w:r w:rsidR="000E68A5" w:rsidRPr="007C4D65">
              <w:rPr>
                <w:rFonts w:asciiTheme="minorHAnsi" w:hAnsiTheme="minorHAnsi" w:cstheme="minorHAnsi"/>
                <w:sz w:val="18"/>
              </w:rPr>
              <w:t xml:space="preserve"> </w:t>
            </w:r>
            <w:r w:rsidRPr="007C4D65">
              <w:rPr>
                <w:rFonts w:asciiTheme="minorHAnsi" w:hAnsiTheme="minorHAnsi" w:cstheme="minorHAnsi"/>
                <w:sz w:val="18"/>
              </w:rPr>
              <w:t>(2026)</w:t>
            </w:r>
          </w:p>
        </w:tc>
      </w:tr>
      <w:tr w:rsidR="00B02183" w:rsidRPr="007C4D65" w14:paraId="0D8B7BD5" w14:textId="77777777" w:rsidTr="00B6017F">
        <w:trPr>
          <w:trHeight w:val="287"/>
        </w:trPr>
        <w:tc>
          <w:tcPr>
            <w:tcW w:w="658" w:type="pct"/>
            <w:vMerge/>
            <w:shd w:val="clear" w:color="auto" w:fill="D9D9D9"/>
            <w:vAlign w:val="center"/>
          </w:tcPr>
          <w:p w14:paraId="691F6BE8"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5" w:type="pct"/>
            <w:vMerge/>
            <w:vAlign w:val="center"/>
          </w:tcPr>
          <w:p w14:paraId="757B9EFC"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84"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228F257B"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Number of prepared waste management plans </w:t>
            </w:r>
          </w:p>
        </w:tc>
        <w:tc>
          <w:tcPr>
            <w:tcW w:w="1158"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689DA3F1"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Waste management Plan (FWMP) of the Federation of BiH has not been prepared while cantonal and municipal waste management plans are not aligned with the objectives from this Strategy and the new FWMP</w:t>
            </w:r>
          </w:p>
        </w:tc>
        <w:tc>
          <w:tcPr>
            <w:tcW w:w="113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2A7409A" w14:textId="160D3C0F" w:rsidR="00B02183" w:rsidRPr="007C4D65" w:rsidRDefault="00B02183" w:rsidP="00B6017F">
            <w:pPr>
              <w:spacing w:before="40" w:after="40" w:line="276" w:lineRule="auto"/>
              <w:ind w:left="139"/>
              <w:rPr>
                <w:rFonts w:asciiTheme="minorHAnsi" w:hAnsiTheme="minorHAnsi" w:cstheme="minorHAnsi"/>
                <w:sz w:val="18"/>
                <w:szCs w:val="18"/>
              </w:rPr>
            </w:pPr>
            <w:r w:rsidRPr="007C4D65">
              <w:rPr>
                <w:rFonts w:asciiTheme="minorHAnsi" w:hAnsiTheme="minorHAnsi" w:cstheme="minorHAnsi"/>
                <w:sz w:val="18"/>
              </w:rPr>
              <w:t xml:space="preserve">A new Waste Management Plan </w:t>
            </w:r>
            <w:r w:rsidR="008C23C0" w:rsidRPr="007C4D65">
              <w:rPr>
                <w:rFonts w:asciiTheme="minorHAnsi" w:hAnsiTheme="minorHAnsi" w:cstheme="minorHAnsi"/>
                <w:sz w:val="18"/>
              </w:rPr>
              <w:t xml:space="preserve">of the Federation of BiH </w:t>
            </w:r>
            <w:r w:rsidRPr="007C4D65">
              <w:rPr>
                <w:rFonts w:asciiTheme="minorHAnsi" w:hAnsiTheme="minorHAnsi" w:cstheme="minorHAnsi"/>
                <w:sz w:val="18"/>
              </w:rPr>
              <w:t>prepared and adopted (2024)</w:t>
            </w:r>
          </w:p>
          <w:p w14:paraId="15CA50D3" w14:textId="77777777" w:rsidR="00B02183" w:rsidRPr="007C4D65" w:rsidRDefault="00B02183" w:rsidP="00B6017F">
            <w:pPr>
              <w:spacing w:after="120" w:line="276" w:lineRule="auto"/>
              <w:ind w:left="139" w:hanging="2"/>
              <w:contextualSpacing/>
              <w:rPr>
                <w:rFonts w:asciiTheme="minorHAnsi" w:hAnsiTheme="minorHAnsi" w:cstheme="minorHAnsi"/>
                <w:sz w:val="18"/>
                <w:szCs w:val="18"/>
              </w:rPr>
            </w:pPr>
            <w:r w:rsidRPr="007C4D65">
              <w:rPr>
                <w:rFonts w:asciiTheme="minorHAnsi" w:hAnsiTheme="minorHAnsi" w:cstheme="minorHAnsi"/>
                <w:sz w:val="18"/>
              </w:rPr>
              <w:t>10 cantonal and 79 municipal waste management plans prepared and adopted (2029)</w:t>
            </w:r>
          </w:p>
        </w:tc>
      </w:tr>
      <w:tr w:rsidR="00B02183" w:rsidRPr="007C4D65" w14:paraId="55110F34" w14:textId="77777777" w:rsidTr="00B6017F">
        <w:trPr>
          <w:trHeight w:val="287"/>
        </w:trPr>
        <w:tc>
          <w:tcPr>
            <w:tcW w:w="658" w:type="pct"/>
            <w:vMerge/>
            <w:shd w:val="clear" w:color="auto" w:fill="D9D9D9"/>
            <w:vAlign w:val="center"/>
          </w:tcPr>
          <w:p w14:paraId="3B1A514D"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5" w:type="pct"/>
            <w:vMerge/>
            <w:vAlign w:val="center"/>
          </w:tcPr>
          <w:p w14:paraId="7BADD647"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84"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570263CB"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number of reference documents on the best available techniques </w:t>
            </w:r>
            <w:proofErr w:type="gramStart"/>
            <w:r w:rsidRPr="007C4D65">
              <w:rPr>
                <w:rFonts w:asciiTheme="minorHAnsi" w:hAnsiTheme="minorHAnsi" w:cstheme="minorHAnsi"/>
                <w:sz w:val="18"/>
              </w:rPr>
              <w:t>in the area of</w:t>
            </w:r>
            <w:proofErr w:type="gramEnd"/>
            <w:r w:rsidRPr="007C4D65">
              <w:rPr>
                <w:rFonts w:asciiTheme="minorHAnsi" w:hAnsiTheme="minorHAnsi" w:cstheme="minorHAnsi"/>
                <w:sz w:val="18"/>
              </w:rPr>
              <w:t xml:space="preserve"> waste management</w:t>
            </w:r>
          </w:p>
        </w:tc>
        <w:tc>
          <w:tcPr>
            <w:tcW w:w="1158"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2A3548AB" w14:textId="77777777" w:rsidR="000E68A5" w:rsidRPr="007C4D65" w:rsidRDefault="00B02183" w:rsidP="000E68A5">
            <w:pPr>
              <w:spacing w:before="40" w:after="40" w:line="276" w:lineRule="auto"/>
              <w:rPr>
                <w:rFonts w:asciiTheme="minorHAnsi" w:hAnsiTheme="minorHAnsi" w:cstheme="minorHAnsi"/>
                <w:sz w:val="18"/>
              </w:rPr>
            </w:pPr>
            <w:r w:rsidRPr="007C4D65">
              <w:rPr>
                <w:rFonts w:asciiTheme="minorHAnsi" w:hAnsiTheme="minorHAnsi" w:cstheme="minorHAnsi"/>
                <w:sz w:val="18"/>
              </w:rPr>
              <w:t>0</w:t>
            </w:r>
          </w:p>
          <w:p w14:paraId="57EA8E56" w14:textId="11F2C9D2" w:rsidR="00B02183" w:rsidRPr="007C4D65" w:rsidRDefault="00B02183" w:rsidP="000E68A5">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(2021)</w:t>
            </w:r>
          </w:p>
        </w:tc>
        <w:tc>
          <w:tcPr>
            <w:tcW w:w="1135"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C634C56" w14:textId="77777777" w:rsidR="00B02183" w:rsidRPr="007C4D65" w:rsidRDefault="00B02183" w:rsidP="00B6017F">
            <w:pPr>
              <w:spacing w:before="40" w:after="40" w:line="276" w:lineRule="auto"/>
              <w:ind w:left="139"/>
              <w:rPr>
                <w:rFonts w:asciiTheme="minorHAnsi" w:hAnsiTheme="minorHAnsi" w:cstheme="minorHAnsi"/>
                <w:sz w:val="18"/>
                <w:szCs w:val="18"/>
              </w:rPr>
            </w:pPr>
            <w:r w:rsidRPr="007C4D65">
              <w:rPr>
                <w:rFonts w:asciiTheme="minorHAnsi" w:hAnsiTheme="minorHAnsi" w:cstheme="minorHAnsi"/>
                <w:sz w:val="18"/>
              </w:rPr>
              <w:t>2</w:t>
            </w:r>
          </w:p>
          <w:p w14:paraId="687469F0" w14:textId="77777777" w:rsidR="00B02183" w:rsidRPr="007C4D65" w:rsidRDefault="00B02183" w:rsidP="00B6017F">
            <w:pPr>
              <w:spacing w:after="120" w:line="276" w:lineRule="auto"/>
              <w:ind w:left="139" w:hanging="2"/>
              <w:contextualSpacing/>
              <w:rPr>
                <w:rFonts w:asciiTheme="minorHAnsi" w:hAnsiTheme="minorHAnsi" w:cstheme="minorHAnsi"/>
                <w:sz w:val="18"/>
                <w:szCs w:val="18"/>
              </w:rPr>
            </w:pPr>
            <w:r w:rsidRPr="007C4D65">
              <w:rPr>
                <w:rFonts w:asciiTheme="minorHAnsi" w:hAnsiTheme="minorHAnsi" w:cstheme="minorHAnsi"/>
                <w:sz w:val="18"/>
              </w:rPr>
              <w:t>(2029)</w:t>
            </w:r>
          </w:p>
        </w:tc>
      </w:tr>
      <w:tr w:rsidR="00B02183" w:rsidRPr="007C4D65" w14:paraId="333FF2D4" w14:textId="77777777" w:rsidTr="00B6017F">
        <w:trPr>
          <w:trHeight w:val="483"/>
        </w:trPr>
        <w:tc>
          <w:tcPr>
            <w:tcW w:w="658" w:type="pct"/>
            <w:vMerge/>
            <w:shd w:val="clear" w:color="auto" w:fill="D9D9D9"/>
            <w:vAlign w:val="center"/>
            <w:hideMark/>
          </w:tcPr>
          <w:p w14:paraId="0A8110C4"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5" w:type="pct"/>
            <w:vMerge/>
            <w:vAlign w:val="center"/>
            <w:hideMark/>
          </w:tcPr>
          <w:p w14:paraId="146CDEA3"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84" w:type="pct"/>
            <w:shd w:val="clear" w:color="auto" w:fill="D9D9D9" w:themeFill="background1" w:themeFillShade="D9"/>
            <w:tcMar>
              <w:top w:w="0" w:type="dxa"/>
              <w:left w:w="108" w:type="dxa"/>
              <w:bottom w:w="0" w:type="dxa"/>
              <w:right w:w="108" w:type="dxa"/>
            </w:tcMar>
            <w:vAlign w:val="center"/>
            <w:hideMark/>
          </w:tcPr>
          <w:p w14:paraId="2FA5C5DE" w14:textId="64CF72E2"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8" w:type="pct"/>
            <w:shd w:val="clear" w:color="auto" w:fill="D9D9D9" w:themeFill="background1" w:themeFillShade="D9"/>
            <w:tcMar>
              <w:top w:w="0" w:type="dxa"/>
              <w:left w:w="108" w:type="dxa"/>
              <w:bottom w:w="0" w:type="dxa"/>
              <w:right w:w="108" w:type="dxa"/>
            </w:tcMar>
            <w:vAlign w:val="center"/>
            <w:hideMark/>
          </w:tcPr>
          <w:p w14:paraId="05A4A766"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35" w:type="pct"/>
            <w:shd w:val="clear" w:color="auto" w:fill="D9D9D9" w:themeFill="background1" w:themeFillShade="D9"/>
            <w:tcMar>
              <w:top w:w="0" w:type="dxa"/>
              <w:left w:w="108" w:type="dxa"/>
              <w:bottom w:w="0" w:type="dxa"/>
              <w:right w:w="108" w:type="dxa"/>
            </w:tcMar>
            <w:vAlign w:val="center"/>
            <w:hideMark/>
          </w:tcPr>
          <w:p w14:paraId="18B6AE0D"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4CF2B356" w14:textId="77777777" w:rsidTr="00B6017F">
        <w:trPr>
          <w:trHeight w:val="287"/>
        </w:trPr>
        <w:tc>
          <w:tcPr>
            <w:tcW w:w="658" w:type="pct"/>
            <w:vMerge/>
            <w:shd w:val="clear" w:color="auto" w:fill="D9D9D9"/>
            <w:vAlign w:val="center"/>
            <w:hideMark/>
          </w:tcPr>
          <w:p w14:paraId="37537B25"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5" w:type="pct"/>
            <w:vMerge/>
            <w:vAlign w:val="center"/>
            <w:hideMark/>
          </w:tcPr>
          <w:p w14:paraId="18A802E6"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84" w:type="pct"/>
            <w:tcMar>
              <w:top w:w="0" w:type="dxa"/>
              <w:left w:w="108" w:type="dxa"/>
              <w:bottom w:w="0" w:type="dxa"/>
              <w:right w:w="108" w:type="dxa"/>
            </w:tcMar>
            <w:vAlign w:val="center"/>
          </w:tcPr>
          <w:p w14:paraId="0083FDD6"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0.297</w:t>
            </w:r>
          </w:p>
        </w:tc>
        <w:tc>
          <w:tcPr>
            <w:tcW w:w="1158" w:type="pct"/>
            <w:tcMar>
              <w:top w:w="0" w:type="dxa"/>
              <w:left w:w="108" w:type="dxa"/>
              <w:bottom w:w="0" w:type="dxa"/>
              <w:right w:w="108" w:type="dxa"/>
            </w:tcMar>
            <w:vAlign w:val="center"/>
          </w:tcPr>
          <w:p w14:paraId="62ADAAC5"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1.1</w:t>
            </w:r>
          </w:p>
        </w:tc>
        <w:tc>
          <w:tcPr>
            <w:tcW w:w="1135" w:type="pct"/>
            <w:tcMar>
              <w:top w:w="0" w:type="dxa"/>
              <w:left w:w="108" w:type="dxa"/>
              <w:bottom w:w="0" w:type="dxa"/>
              <w:right w:w="108" w:type="dxa"/>
            </w:tcMar>
            <w:vAlign w:val="center"/>
          </w:tcPr>
          <w:p w14:paraId="3B7D31F7"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1.4</w:t>
            </w:r>
          </w:p>
        </w:tc>
      </w:tr>
    </w:tbl>
    <w:p w14:paraId="15D6C595" w14:textId="77777777" w:rsidR="00B02183" w:rsidRPr="007C4D65" w:rsidRDefault="00B02183" w:rsidP="00B02183">
      <w:pPr>
        <w:spacing w:after="120" w:line="276" w:lineRule="auto"/>
        <w:contextualSpacing/>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4"/>
        <w:gridCol w:w="2411"/>
        <w:gridCol w:w="3231"/>
        <w:gridCol w:w="3231"/>
        <w:gridCol w:w="3231"/>
      </w:tblGrid>
      <w:tr w:rsidR="00B02183" w:rsidRPr="007C4D65" w14:paraId="366B181C" w14:textId="77777777" w:rsidTr="00B6017F">
        <w:trPr>
          <w:trHeight w:val="384"/>
        </w:trPr>
        <w:tc>
          <w:tcPr>
            <w:tcW w:w="658" w:type="pct"/>
            <w:vMerge w:val="restart"/>
            <w:shd w:val="clear" w:color="auto" w:fill="D9D9D9"/>
            <w:tcMar>
              <w:top w:w="0" w:type="dxa"/>
              <w:left w:w="108" w:type="dxa"/>
              <w:bottom w:w="0" w:type="dxa"/>
              <w:right w:w="108" w:type="dxa"/>
            </w:tcMar>
            <w:vAlign w:val="center"/>
          </w:tcPr>
          <w:p w14:paraId="6B66A8B6" w14:textId="77777777" w:rsidR="00B02183" w:rsidRPr="007C4D65" w:rsidRDefault="00B02183"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2.2. Priority</w:t>
            </w:r>
          </w:p>
          <w:p w14:paraId="5C63482D"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5" w:type="pct"/>
            <w:vMerge w:val="restart"/>
            <w:tcMar>
              <w:top w:w="0" w:type="dxa"/>
              <w:left w:w="108" w:type="dxa"/>
              <w:bottom w:w="0" w:type="dxa"/>
              <w:right w:w="108" w:type="dxa"/>
            </w:tcMar>
            <w:vAlign w:val="center"/>
          </w:tcPr>
          <w:p w14:paraId="67D4BC23" w14:textId="77777777" w:rsidR="00B02183" w:rsidRPr="007C4D65" w:rsidRDefault="00B02183"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Improving the waste records and reporting system</w:t>
            </w:r>
          </w:p>
        </w:tc>
        <w:tc>
          <w:tcPr>
            <w:tcW w:w="1159" w:type="pct"/>
            <w:shd w:val="clear" w:color="auto" w:fill="D9D9D9" w:themeFill="background1" w:themeFillShade="D9"/>
            <w:tcMar>
              <w:top w:w="0" w:type="dxa"/>
              <w:left w:w="108" w:type="dxa"/>
              <w:bottom w:w="0" w:type="dxa"/>
              <w:right w:w="108" w:type="dxa"/>
            </w:tcMar>
            <w:vAlign w:val="center"/>
          </w:tcPr>
          <w:p w14:paraId="67428A17" w14:textId="77777777" w:rsidR="00B02183" w:rsidRPr="007C4D65" w:rsidRDefault="00B02183"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hemeFill="background1" w:themeFillShade="D9"/>
            <w:tcMar>
              <w:top w:w="0" w:type="dxa"/>
              <w:left w:w="108" w:type="dxa"/>
              <w:bottom w:w="0" w:type="dxa"/>
              <w:right w:w="108" w:type="dxa"/>
            </w:tcMar>
            <w:vAlign w:val="center"/>
          </w:tcPr>
          <w:p w14:paraId="7EB88C76"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hemeFill="background1" w:themeFillShade="D9"/>
            <w:tcMar>
              <w:top w:w="0" w:type="dxa"/>
              <w:left w:w="108" w:type="dxa"/>
              <w:bottom w:w="0" w:type="dxa"/>
              <w:right w:w="108" w:type="dxa"/>
            </w:tcMar>
            <w:vAlign w:val="center"/>
          </w:tcPr>
          <w:p w14:paraId="08F19198"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3D4E77FE" w14:textId="77777777" w:rsidTr="00B6017F">
        <w:trPr>
          <w:trHeight w:val="287"/>
        </w:trPr>
        <w:tc>
          <w:tcPr>
            <w:tcW w:w="658" w:type="pct"/>
            <w:vMerge/>
            <w:shd w:val="clear" w:color="auto" w:fill="D9D9D9"/>
            <w:vAlign w:val="center"/>
            <w:hideMark/>
          </w:tcPr>
          <w:p w14:paraId="4588C43C"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5" w:type="pct"/>
            <w:vMerge/>
            <w:vAlign w:val="center"/>
            <w:hideMark/>
          </w:tcPr>
          <w:p w14:paraId="2ADD1860"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499C1054" w14:textId="194C596D" w:rsidR="00B02183" w:rsidRPr="007C4D65" w:rsidRDefault="00B02183" w:rsidP="000E68A5">
            <w:pPr>
              <w:spacing w:line="276" w:lineRule="auto"/>
              <w:rPr>
                <w:rFonts w:asciiTheme="minorHAnsi" w:hAnsiTheme="minorHAnsi" w:cstheme="minorHAnsi"/>
                <w:sz w:val="18"/>
                <w:szCs w:val="18"/>
                <w:lang w:val="hr-HR"/>
              </w:rPr>
            </w:pPr>
            <w:r w:rsidRPr="007C4D65">
              <w:rPr>
                <w:rFonts w:asciiTheme="minorHAnsi" w:hAnsiTheme="minorHAnsi" w:cstheme="minorHAnsi"/>
                <w:sz w:val="18"/>
              </w:rPr>
              <w:t>Reliability of waste data obtained from the waste records and reporting system</w:t>
            </w:r>
          </w:p>
        </w:tc>
        <w:tc>
          <w:tcPr>
            <w:tcW w:w="1159" w:type="pct"/>
            <w:tcMar>
              <w:top w:w="0" w:type="dxa"/>
              <w:left w:w="108" w:type="dxa"/>
              <w:bottom w:w="0" w:type="dxa"/>
              <w:right w:w="108" w:type="dxa"/>
            </w:tcMar>
          </w:tcPr>
          <w:p w14:paraId="032B4860" w14:textId="210F699D" w:rsidR="00B02183" w:rsidRPr="007C4D65" w:rsidRDefault="00B02183" w:rsidP="00B6017F">
            <w:pPr>
              <w:spacing w:line="276" w:lineRule="auto"/>
              <w:rPr>
                <w:rFonts w:asciiTheme="minorHAnsi" w:hAnsiTheme="minorHAnsi" w:cstheme="minorHAnsi"/>
                <w:sz w:val="18"/>
                <w:szCs w:val="18"/>
              </w:rPr>
            </w:pPr>
            <w:r w:rsidRPr="007C4D65">
              <w:rPr>
                <w:rFonts w:asciiTheme="minorHAnsi" w:hAnsiTheme="minorHAnsi" w:cstheme="minorHAnsi"/>
                <w:sz w:val="18"/>
              </w:rPr>
              <w:t xml:space="preserve">Waste records and reporting system does not </w:t>
            </w:r>
            <w:proofErr w:type="gramStart"/>
            <w:r w:rsidRPr="007C4D65">
              <w:rPr>
                <w:rFonts w:asciiTheme="minorHAnsi" w:hAnsiTheme="minorHAnsi" w:cstheme="minorHAnsi"/>
                <w:sz w:val="18"/>
              </w:rPr>
              <w:t>provide  for</w:t>
            </w:r>
            <w:proofErr w:type="gramEnd"/>
            <w:r w:rsidRPr="007C4D65">
              <w:rPr>
                <w:rFonts w:asciiTheme="minorHAnsi" w:hAnsiTheme="minorHAnsi" w:cstheme="minorHAnsi"/>
                <w:sz w:val="18"/>
              </w:rPr>
              <w:t xml:space="preserve"> reliable waste data</w:t>
            </w:r>
          </w:p>
          <w:p w14:paraId="2E8446E5" w14:textId="7BCAB4BC" w:rsidR="00B02183" w:rsidRPr="007C4D65" w:rsidRDefault="00B02183" w:rsidP="00B02183">
            <w:pPr>
              <w:pStyle w:val="ListParagraph"/>
              <w:numPr>
                <w:ilvl w:val="0"/>
                <w:numId w:val="48"/>
              </w:numPr>
              <w:spacing w:line="276" w:lineRule="auto"/>
              <w:ind w:left="360"/>
              <w:rPr>
                <w:rFonts w:asciiTheme="minorHAnsi" w:hAnsiTheme="minorHAnsi" w:cstheme="minorHAnsi"/>
                <w:sz w:val="18"/>
                <w:szCs w:val="18"/>
              </w:rPr>
            </w:pPr>
            <w:r w:rsidRPr="007C4D65">
              <w:rPr>
                <w:rFonts w:asciiTheme="minorHAnsi" w:hAnsiTheme="minorHAnsi" w:cstheme="minorHAnsi"/>
                <w:sz w:val="18"/>
              </w:rPr>
              <w:t xml:space="preserve">Determination of waste </w:t>
            </w:r>
            <w:r w:rsidR="00830279" w:rsidRPr="007C4D65">
              <w:rPr>
                <w:rFonts w:asciiTheme="minorHAnsi" w:hAnsiTheme="minorHAnsi" w:cstheme="minorHAnsi"/>
                <w:sz w:val="18"/>
              </w:rPr>
              <w:t>amounts</w:t>
            </w:r>
            <w:r w:rsidRPr="007C4D65">
              <w:rPr>
                <w:rFonts w:asciiTheme="minorHAnsi" w:hAnsiTheme="minorHAnsi" w:cstheme="minorHAnsi"/>
                <w:sz w:val="18"/>
              </w:rPr>
              <w:t xml:space="preserve"> and composition is not mandatory</w:t>
            </w:r>
          </w:p>
          <w:p w14:paraId="23A085A1" w14:textId="77777777" w:rsidR="00B02183" w:rsidRPr="007C4D65" w:rsidRDefault="00B02183" w:rsidP="00B02183">
            <w:pPr>
              <w:pStyle w:val="ListParagraph"/>
              <w:numPr>
                <w:ilvl w:val="0"/>
                <w:numId w:val="48"/>
              </w:numPr>
              <w:spacing w:line="276" w:lineRule="auto"/>
              <w:ind w:left="360"/>
              <w:rPr>
                <w:rFonts w:asciiTheme="minorHAnsi" w:hAnsiTheme="minorHAnsi" w:cstheme="minorHAnsi"/>
                <w:sz w:val="18"/>
                <w:szCs w:val="18"/>
              </w:rPr>
            </w:pPr>
            <w:r w:rsidRPr="007C4D65">
              <w:rPr>
                <w:rFonts w:asciiTheme="minorHAnsi" w:hAnsiTheme="minorHAnsi" w:cstheme="minorHAnsi"/>
                <w:sz w:val="18"/>
              </w:rPr>
              <w:t>Federation has no own waste analysis laboratory</w:t>
            </w:r>
          </w:p>
          <w:p w14:paraId="69B250AC" w14:textId="2D901CBC" w:rsidR="00B02183" w:rsidRPr="007C4D65" w:rsidRDefault="00B02183" w:rsidP="000E68A5">
            <w:pPr>
              <w:pStyle w:val="ListParagraph"/>
              <w:numPr>
                <w:ilvl w:val="0"/>
                <w:numId w:val="48"/>
              </w:numPr>
              <w:spacing w:line="276" w:lineRule="auto"/>
              <w:ind w:left="33"/>
              <w:rPr>
                <w:rFonts w:asciiTheme="minorHAnsi" w:hAnsiTheme="minorHAnsi" w:cstheme="minorHAnsi"/>
                <w:sz w:val="18"/>
                <w:szCs w:val="18"/>
                <w:lang w:val="hr-HR"/>
              </w:rPr>
            </w:pPr>
            <w:r w:rsidRPr="007C4D65">
              <w:rPr>
                <w:rFonts w:asciiTheme="minorHAnsi" w:hAnsiTheme="minorHAnsi" w:cstheme="minorHAnsi"/>
                <w:sz w:val="18"/>
              </w:rPr>
              <w:lastRenderedPageBreak/>
              <w:t>The Waste Management Information System has been newly developed</w:t>
            </w:r>
            <w:r w:rsidR="000E68A5" w:rsidRPr="007C4D65">
              <w:rPr>
                <w:rFonts w:asciiTheme="minorHAnsi" w:hAnsiTheme="minorHAnsi" w:cstheme="minorHAnsi"/>
                <w:sz w:val="18"/>
              </w:rPr>
              <w:t xml:space="preserve"> (</w:t>
            </w:r>
            <w:r w:rsidRPr="007C4D65">
              <w:rPr>
                <w:rFonts w:asciiTheme="minorHAnsi" w:hAnsiTheme="minorHAnsi" w:cstheme="minorHAnsi"/>
                <w:sz w:val="18"/>
              </w:rPr>
              <w:t>2021)</w:t>
            </w:r>
          </w:p>
        </w:tc>
        <w:tc>
          <w:tcPr>
            <w:tcW w:w="1159" w:type="pct"/>
            <w:tcMar>
              <w:top w:w="0" w:type="dxa"/>
              <w:left w:w="108" w:type="dxa"/>
              <w:bottom w:w="0" w:type="dxa"/>
              <w:right w:w="108" w:type="dxa"/>
            </w:tcMar>
          </w:tcPr>
          <w:p w14:paraId="78CDBFE8" w14:textId="77777777" w:rsidR="00B02183" w:rsidRPr="007C4D65" w:rsidRDefault="00B02183" w:rsidP="00B6017F">
            <w:pPr>
              <w:spacing w:line="276" w:lineRule="auto"/>
              <w:rPr>
                <w:rFonts w:asciiTheme="minorHAnsi" w:hAnsiTheme="minorHAnsi" w:cstheme="minorHAnsi"/>
                <w:sz w:val="18"/>
                <w:szCs w:val="18"/>
              </w:rPr>
            </w:pPr>
            <w:r w:rsidRPr="007C4D65">
              <w:rPr>
                <w:rFonts w:asciiTheme="minorHAnsi" w:hAnsiTheme="minorHAnsi" w:cstheme="minorHAnsi"/>
                <w:sz w:val="18"/>
              </w:rPr>
              <w:lastRenderedPageBreak/>
              <w:t>Waste records and reporting system provides for reliable waste data</w:t>
            </w:r>
          </w:p>
          <w:p w14:paraId="084816EE" w14:textId="77777777" w:rsidR="00B02183" w:rsidRPr="007C4D65" w:rsidRDefault="00B02183" w:rsidP="00B02183">
            <w:pPr>
              <w:pStyle w:val="ListParagraph"/>
              <w:numPr>
                <w:ilvl w:val="0"/>
                <w:numId w:val="49"/>
              </w:numPr>
              <w:spacing w:line="276" w:lineRule="auto"/>
              <w:ind w:left="360"/>
              <w:rPr>
                <w:rFonts w:asciiTheme="minorHAnsi" w:hAnsiTheme="minorHAnsi" w:cstheme="minorHAnsi"/>
                <w:sz w:val="18"/>
                <w:szCs w:val="18"/>
              </w:rPr>
            </w:pPr>
            <w:r w:rsidRPr="007C4D65">
              <w:rPr>
                <w:rFonts w:asciiTheme="minorHAnsi" w:hAnsiTheme="minorHAnsi" w:cstheme="minorHAnsi"/>
                <w:sz w:val="18"/>
              </w:rPr>
              <w:t>The obligation of utility enterprises to determine the quantity and composition of waste codified (2023)</w:t>
            </w:r>
          </w:p>
          <w:p w14:paraId="50A44E73" w14:textId="77777777" w:rsidR="00B02183" w:rsidRPr="007C4D65" w:rsidRDefault="00B02183" w:rsidP="00B02183">
            <w:pPr>
              <w:pStyle w:val="ListParagraph"/>
              <w:numPr>
                <w:ilvl w:val="0"/>
                <w:numId w:val="49"/>
              </w:numPr>
              <w:spacing w:line="276" w:lineRule="auto"/>
              <w:ind w:left="360"/>
              <w:rPr>
                <w:rFonts w:asciiTheme="minorHAnsi" w:hAnsiTheme="minorHAnsi" w:cstheme="minorHAnsi"/>
                <w:sz w:val="18"/>
                <w:szCs w:val="18"/>
              </w:rPr>
            </w:pPr>
            <w:r w:rsidRPr="007C4D65">
              <w:rPr>
                <w:rFonts w:asciiTheme="minorHAnsi" w:hAnsiTheme="minorHAnsi" w:cstheme="minorHAnsi"/>
                <w:sz w:val="18"/>
              </w:rPr>
              <w:t>An accredited waste analysis laboratory established (2024)</w:t>
            </w:r>
          </w:p>
          <w:p w14:paraId="4A626F23" w14:textId="77777777" w:rsidR="00B02183" w:rsidRPr="007C4D65" w:rsidRDefault="00B02183"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lastRenderedPageBreak/>
              <w:t>The Waste Management Information System fully operational and effective (by 2027)</w:t>
            </w:r>
          </w:p>
        </w:tc>
      </w:tr>
      <w:tr w:rsidR="00B02183" w:rsidRPr="007C4D65" w14:paraId="381982C1" w14:textId="77777777" w:rsidTr="00B6017F">
        <w:trPr>
          <w:trHeight w:val="287"/>
        </w:trPr>
        <w:tc>
          <w:tcPr>
            <w:tcW w:w="658" w:type="pct"/>
            <w:vMerge/>
            <w:shd w:val="clear" w:color="auto" w:fill="D9D9D9"/>
            <w:vAlign w:val="center"/>
            <w:hideMark/>
          </w:tcPr>
          <w:p w14:paraId="065E22CB"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5" w:type="pct"/>
            <w:vMerge/>
            <w:vAlign w:val="center"/>
            <w:hideMark/>
          </w:tcPr>
          <w:p w14:paraId="64697F37"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tcPr>
          <w:p w14:paraId="3E424709" w14:textId="48E78EFF"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hemeFill="background1" w:themeFillShade="D9"/>
            <w:tcMar>
              <w:top w:w="0" w:type="dxa"/>
              <w:left w:w="108" w:type="dxa"/>
              <w:bottom w:w="0" w:type="dxa"/>
              <w:right w:w="108" w:type="dxa"/>
            </w:tcMar>
            <w:vAlign w:val="center"/>
          </w:tcPr>
          <w:p w14:paraId="0FABE6E2"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hemeFill="background1" w:themeFillShade="D9"/>
            <w:tcMar>
              <w:top w:w="0" w:type="dxa"/>
              <w:left w:w="108" w:type="dxa"/>
              <w:bottom w:w="0" w:type="dxa"/>
              <w:right w:w="108" w:type="dxa"/>
            </w:tcMar>
            <w:vAlign w:val="center"/>
          </w:tcPr>
          <w:p w14:paraId="50C531EF"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22DAEEB5" w14:textId="77777777" w:rsidTr="00B6017F">
        <w:trPr>
          <w:trHeight w:val="287"/>
        </w:trPr>
        <w:tc>
          <w:tcPr>
            <w:tcW w:w="658" w:type="pct"/>
            <w:vMerge/>
            <w:shd w:val="clear" w:color="auto" w:fill="D9D9D9"/>
            <w:vAlign w:val="center"/>
          </w:tcPr>
          <w:p w14:paraId="45B9F34A"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5" w:type="pct"/>
            <w:vMerge/>
            <w:vAlign w:val="center"/>
          </w:tcPr>
          <w:p w14:paraId="09B73B2C"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565BFEE"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0.441</w:t>
            </w:r>
          </w:p>
        </w:tc>
        <w:tc>
          <w:tcPr>
            <w:tcW w:w="1159" w:type="pct"/>
            <w:tcMar>
              <w:top w:w="0" w:type="dxa"/>
              <w:left w:w="108" w:type="dxa"/>
              <w:bottom w:w="0" w:type="dxa"/>
              <w:right w:w="108" w:type="dxa"/>
            </w:tcMar>
            <w:vAlign w:val="center"/>
          </w:tcPr>
          <w:p w14:paraId="3B80E919"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1.7</w:t>
            </w:r>
          </w:p>
        </w:tc>
        <w:tc>
          <w:tcPr>
            <w:tcW w:w="1159" w:type="pct"/>
            <w:tcMar>
              <w:top w:w="0" w:type="dxa"/>
              <w:left w:w="108" w:type="dxa"/>
              <w:bottom w:w="0" w:type="dxa"/>
              <w:right w:w="108" w:type="dxa"/>
            </w:tcMar>
            <w:vAlign w:val="center"/>
          </w:tcPr>
          <w:p w14:paraId="5B7B438A"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2.2.</w:t>
            </w:r>
          </w:p>
        </w:tc>
      </w:tr>
    </w:tbl>
    <w:p w14:paraId="44046CF8"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37A7C917"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78D5506A" w14:textId="77777777" w:rsidR="00B02183" w:rsidRPr="007C4D65" w:rsidRDefault="00B02183"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2.2.1. Measure</w:t>
            </w:r>
          </w:p>
        </w:tc>
        <w:tc>
          <w:tcPr>
            <w:tcW w:w="864" w:type="pct"/>
            <w:vMerge w:val="restart"/>
            <w:tcMar>
              <w:top w:w="0" w:type="dxa"/>
              <w:left w:w="108" w:type="dxa"/>
              <w:bottom w:w="0" w:type="dxa"/>
              <w:right w:w="108" w:type="dxa"/>
            </w:tcMar>
            <w:vAlign w:val="center"/>
          </w:tcPr>
          <w:p w14:paraId="2A7AE90C"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Improving the waste records and reporting system</w:t>
            </w:r>
          </w:p>
        </w:tc>
        <w:tc>
          <w:tcPr>
            <w:tcW w:w="1159" w:type="pct"/>
            <w:shd w:val="clear" w:color="auto" w:fill="D9D9D9" w:themeFill="background1" w:themeFillShade="D9"/>
            <w:tcMar>
              <w:top w:w="0" w:type="dxa"/>
              <w:left w:w="108" w:type="dxa"/>
              <w:bottom w:w="0" w:type="dxa"/>
              <w:right w:w="108" w:type="dxa"/>
            </w:tcMar>
            <w:vAlign w:val="center"/>
            <w:hideMark/>
          </w:tcPr>
          <w:p w14:paraId="484B329F"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hemeFill="background1" w:themeFillShade="D9"/>
            <w:tcMar>
              <w:top w:w="0" w:type="dxa"/>
              <w:left w:w="108" w:type="dxa"/>
              <w:bottom w:w="0" w:type="dxa"/>
              <w:right w:w="108" w:type="dxa"/>
            </w:tcMar>
            <w:vAlign w:val="center"/>
            <w:hideMark/>
          </w:tcPr>
          <w:p w14:paraId="07E1DF9F"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hemeFill="background1" w:themeFillShade="D9"/>
            <w:vAlign w:val="center"/>
          </w:tcPr>
          <w:p w14:paraId="7F4C92C7"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5D6481BD" w14:textId="77777777" w:rsidTr="00B6017F">
        <w:trPr>
          <w:trHeight w:val="287"/>
        </w:trPr>
        <w:tc>
          <w:tcPr>
            <w:tcW w:w="658" w:type="pct"/>
            <w:vMerge/>
            <w:shd w:val="clear" w:color="auto" w:fill="D9D9D9"/>
            <w:vAlign w:val="center"/>
          </w:tcPr>
          <w:p w14:paraId="3ADA474E"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62EE4DE8"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B2F9D90" w14:textId="465954F9"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a. The status of adoption of the </w:t>
            </w:r>
            <w:r w:rsidR="00B80FAD" w:rsidRPr="007C4D65">
              <w:rPr>
                <w:rFonts w:asciiTheme="minorHAnsi" w:hAnsiTheme="minorHAnsi" w:cstheme="minorHAnsi"/>
                <w:sz w:val="18"/>
              </w:rPr>
              <w:t>bylaw</w:t>
            </w:r>
            <w:r w:rsidRPr="007C4D65">
              <w:rPr>
                <w:rFonts w:asciiTheme="minorHAnsi" w:hAnsiTheme="minorHAnsi" w:cstheme="minorHAnsi"/>
                <w:sz w:val="18"/>
              </w:rPr>
              <w:t xml:space="preserve"> imposing the obligation to determine the quantity and composition of waste</w:t>
            </w:r>
          </w:p>
        </w:tc>
        <w:tc>
          <w:tcPr>
            <w:tcW w:w="1159" w:type="pct"/>
            <w:shd w:val="clear" w:color="auto" w:fill="FFFFFF"/>
            <w:tcMar>
              <w:top w:w="0" w:type="dxa"/>
              <w:left w:w="108" w:type="dxa"/>
              <w:bottom w:w="0" w:type="dxa"/>
              <w:right w:w="108" w:type="dxa"/>
            </w:tcMar>
            <w:vAlign w:val="center"/>
          </w:tcPr>
          <w:p w14:paraId="1CBC86D0" w14:textId="46EB8B5B"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w:t>
            </w:r>
            <w:r w:rsidR="00B80FAD" w:rsidRPr="007C4D65">
              <w:rPr>
                <w:rFonts w:asciiTheme="minorHAnsi" w:hAnsiTheme="minorHAnsi" w:cstheme="minorHAnsi"/>
                <w:sz w:val="18"/>
              </w:rPr>
              <w:t>bylaw</w:t>
            </w:r>
            <w:r w:rsidRPr="007C4D65">
              <w:rPr>
                <w:rFonts w:asciiTheme="minorHAnsi" w:hAnsiTheme="minorHAnsi" w:cstheme="minorHAnsi"/>
                <w:sz w:val="18"/>
              </w:rPr>
              <w:t xml:space="preserve"> has not been adopted</w:t>
            </w:r>
          </w:p>
        </w:tc>
        <w:tc>
          <w:tcPr>
            <w:tcW w:w="1159" w:type="pct"/>
            <w:shd w:val="clear" w:color="auto" w:fill="FFFFFF"/>
            <w:vAlign w:val="center"/>
          </w:tcPr>
          <w:p w14:paraId="3A5B58A5" w14:textId="29A9108B" w:rsidR="00B02183" w:rsidRPr="007C4D65" w:rsidRDefault="00B02183" w:rsidP="000E68A5">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The </w:t>
            </w:r>
            <w:r w:rsidR="00B80FAD" w:rsidRPr="007C4D65">
              <w:rPr>
                <w:rFonts w:asciiTheme="minorHAnsi" w:hAnsiTheme="minorHAnsi" w:cstheme="minorHAnsi"/>
                <w:sz w:val="18"/>
              </w:rPr>
              <w:t>bylaw</w:t>
            </w:r>
            <w:r w:rsidRPr="007C4D65">
              <w:rPr>
                <w:rFonts w:asciiTheme="minorHAnsi" w:hAnsiTheme="minorHAnsi" w:cstheme="minorHAnsi"/>
                <w:sz w:val="18"/>
              </w:rPr>
              <w:t xml:space="preserve"> imposing the obligation to determine the quantity and composition of waste published in the Official Gazette of the Federation of BiH</w:t>
            </w:r>
            <w:r w:rsidR="000E68A5" w:rsidRPr="007C4D65">
              <w:rPr>
                <w:rFonts w:asciiTheme="minorHAnsi" w:hAnsiTheme="minorHAnsi" w:cstheme="minorHAnsi"/>
                <w:sz w:val="18"/>
              </w:rPr>
              <w:t xml:space="preserve"> </w:t>
            </w:r>
            <w:r w:rsidRPr="007C4D65">
              <w:rPr>
                <w:rFonts w:asciiTheme="minorHAnsi" w:hAnsiTheme="minorHAnsi" w:cstheme="minorHAnsi"/>
                <w:sz w:val="18"/>
              </w:rPr>
              <w:t>(2023)</w:t>
            </w:r>
          </w:p>
        </w:tc>
      </w:tr>
      <w:tr w:rsidR="00B02183" w:rsidRPr="007C4D65" w14:paraId="118EEA5C" w14:textId="77777777" w:rsidTr="00B6017F">
        <w:trPr>
          <w:trHeight w:val="287"/>
        </w:trPr>
        <w:tc>
          <w:tcPr>
            <w:tcW w:w="658" w:type="pct"/>
            <w:vMerge/>
            <w:shd w:val="clear" w:color="auto" w:fill="D9D9D9"/>
            <w:vAlign w:val="center"/>
          </w:tcPr>
          <w:p w14:paraId="73D21AA8"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E55878E"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23E3B6A"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b. Status of the establishment of an accredited waste analysis laboratory</w:t>
            </w:r>
          </w:p>
        </w:tc>
        <w:tc>
          <w:tcPr>
            <w:tcW w:w="1159" w:type="pct"/>
            <w:shd w:val="clear" w:color="auto" w:fill="FFFFFF"/>
            <w:tcMar>
              <w:top w:w="0" w:type="dxa"/>
              <w:left w:w="108" w:type="dxa"/>
              <w:bottom w:w="0" w:type="dxa"/>
              <w:right w:w="108" w:type="dxa"/>
            </w:tcMar>
            <w:vAlign w:val="center"/>
          </w:tcPr>
          <w:p w14:paraId="787A0967"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 accredited waste analysis laboratory has been established</w:t>
            </w:r>
          </w:p>
        </w:tc>
        <w:tc>
          <w:tcPr>
            <w:tcW w:w="1159" w:type="pct"/>
            <w:shd w:val="clear" w:color="auto" w:fill="FFFFFF"/>
            <w:vAlign w:val="center"/>
          </w:tcPr>
          <w:p w14:paraId="7CC7A196" w14:textId="77777777" w:rsidR="00B02183" w:rsidRPr="007C4D65" w:rsidRDefault="00B02183" w:rsidP="00B6017F">
            <w:pPr>
              <w:spacing w:line="276" w:lineRule="auto"/>
              <w:ind w:left="69"/>
              <w:rPr>
                <w:rFonts w:asciiTheme="minorHAnsi" w:hAnsiTheme="minorHAnsi" w:cstheme="minorHAnsi"/>
                <w:sz w:val="18"/>
                <w:szCs w:val="18"/>
              </w:rPr>
            </w:pPr>
            <w:r w:rsidRPr="007C4D65">
              <w:rPr>
                <w:rFonts w:asciiTheme="minorHAnsi" w:hAnsiTheme="minorHAnsi" w:cstheme="minorHAnsi"/>
                <w:sz w:val="18"/>
              </w:rPr>
              <w:t>An accredited waste analysis laboratory established (2024)</w:t>
            </w:r>
          </w:p>
        </w:tc>
      </w:tr>
      <w:tr w:rsidR="00B02183" w:rsidRPr="007C4D65" w14:paraId="5538E865" w14:textId="77777777" w:rsidTr="00B6017F">
        <w:trPr>
          <w:trHeight w:val="287"/>
        </w:trPr>
        <w:tc>
          <w:tcPr>
            <w:tcW w:w="658" w:type="pct"/>
            <w:vMerge/>
            <w:shd w:val="clear" w:color="auto" w:fill="D9D9D9"/>
            <w:vAlign w:val="center"/>
          </w:tcPr>
          <w:p w14:paraId="32C1906F"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6CEB0F7"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267C7E1"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c.1 Advanced IS modules and analytics</w:t>
            </w:r>
          </w:p>
          <w:p w14:paraId="626BB58A"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c.2 Number of registered users of IS</w:t>
            </w:r>
          </w:p>
          <w:p w14:paraId="59204ED1" w14:textId="14C5B749"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 xml:space="preserve">C.3 An IS Department formed and </w:t>
            </w:r>
            <w:r w:rsidR="00830279" w:rsidRPr="007C4D65">
              <w:rPr>
                <w:rFonts w:asciiTheme="minorHAnsi" w:hAnsiTheme="minorHAnsi" w:cstheme="minorHAnsi"/>
                <w:sz w:val="18"/>
              </w:rPr>
              <w:t>appropriately</w:t>
            </w:r>
            <w:r w:rsidRPr="007C4D65">
              <w:rPr>
                <w:rFonts w:asciiTheme="minorHAnsi" w:hAnsiTheme="minorHAnsi" w:cstheme="minorHAnsi"/>
                <w:sz w:val="18"/>
              </w:rPr>
              <w:t xml:space="preserve"> staffed with the Environmental Protection Fund Federation of BiH</w:t>
            </w:r>
          </w:p>
          <w:p w14:paraId="477C970B"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c.4 Number of annual trainings for reporting entities</w:t>
            </w:r>
          </w:p>
        </w:tc>
        <w:tc>
          <w:tcPr>
            <w:tcW w:w="1159" w:type="pct"/>
            <w:shd w:val="clear" w:color="auto" w:fill="FFFFFF"/>
            <w:tcMar>
              <w:top w:w="0" w:type="dxa"/>
              <w:left w:w="108" w:type="dxa"/>
              <w:bottom w:w="0" w:type="dxa"/>
              <w:right w:w="108" w:type="dxa"/>
            </w:tcMar>
            <w:vAlign w:val="center"/>
          </w:tcPr>
          <w:p w14:paraId="11BB6926"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c.1. Limited analytical capabilities of IS</w:t>
            </w:r>
          </w:p>
          <w:p w14:paraId="5DBD9CB6"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c.2 1000 users</w:t>
            </w:r>
          </w:p>
          <w:p w14:paraId="4E31DE03"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c.3 No IS Department formed with the Environmental Protection Fund Federation of BiH</w:t>
            </w:r>
          </w:p>
          <w:p w14:paraId="6A1F0882"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c4. 1.</w:t>
            </w:r>
          </w:p>
        </w:tc>
        <w:tc>
          <w:tcPr>
            <w:tcW w:w="1159" w:type="pct"/>
            <w:shd w:val="clear" w:color="auto" w:fill="FFFFFF"/>
            <w:vAlign w:val="center"/>
          </w:tcPr>
          <w:p w14:paraId="439640E3" w14:textId="4014B314"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c1. IS fully capable of responding to all analytical </w:t>
            </w:r>
            <w:r w:rsidR="00830279" w:rsidRPr="007C4D65">
              <w:rPr>
                <w:rFonts w:asciiTheme="minorHAnsi" w:hAnsiTheme="minorHAnsi" w:cstheme="minorHAnsi"/>
                <w:sz w:val="18"/>
              </w:rPr>
              <w:t>requests</w:t>
            </w:r>
            <w:r w:rsidRPr="007C4D65">
              <w:rPr>
                <w:rFonts w:asciiTheme="minorHAnsi" w:hAnsiTheme="minorHAnsi" w:cstheme="minorHAnsi"/>
                <w:sz w:val="18"/>
              </w:rPr>
              <w:t xml:space="preserve"> of the users (2028)</w:t>
            </w:r>
          </w:p>
          <w:p w14:paraId="76442040"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c.2. 5000 users (2032)</w:t>
            </w:r>
          </w:p>
          <w:p w14:paraId="2E9624A6" w14:textId="559BAD16"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c.3 The IS Department formed with the Environmental Protection Fund of </w:t>
            </w:r>
            <w:r w:rsidR="008C23C0" w:rsidRPr="007C4D65">
              <w:rPr>
                <w:rFonts w:asciiTheme="minorHAnsi" w:hAnsiTheme="minorHAnsi" w:cstheme="minorHAnsi"/>
                <w:sz w:val="18"/>
              </w:rPr>
              <w:t>the Federation of BiH</w:t>
            </w:r>
            <w:r w:rsidRPr="007C4D65">
              <w:rPr>
                <w:rFonts w:asciiTheme="minorHAnsi" w:hAnsiTheme="minorHAnsi" w:cstheme="minorHAnsi"/>
                <w:sz w:val="18"/>
              </w:rPr>
              <w:t xml:space="preserve"> (2025)</w:t>
            </w:r>
          </w:p>
          <w:p w14:paraId="5108AF46" w14:textId="77777777" w:rsidR="00B02183" w:rsidRPr="007C4D65" w:rsidRDefault="00B02183" w:rsidP="00B6017F">
            <w:pPr>
              <w:spacing w:line="276" w:lineRule="auto"/>
              <w:ind w:left="69"/>
              <w:rPr>
                <w:rFonts w:asciiTheme="minorHAnsi" w:hAnsiTheme="minorHAnsi" w:cstheme="minorHAnsi"/>
                <w:sz w:val="18"/>
                <w:szCs w:val="18"/>
              </w:rPr>
            </w:pPr>
            <w:r w:rsidRPr="007C4D65">
              <w:rPr>
                <w:rFonts w:asciiTheme="minorHAnsi" w:hAnsiTheme="minorHAnsi" w:cstheme="minorHAnsi"/>
                <w:sz w:val="18"/>
              </w:rPr>
              <w:t>c4. 4 (annually, from 2023 until the end of the planning period)</w:t>
            </w:r>
          </w:p>
        </w:tc>
      </w:tr>
      <w:tr w:rsidR="00B02183" w:rsidRPr="007C4D65" w14:paraId="2800116E" w14:textId="77777777" w:rsidTr="00B6017F">
        <w:trPr>
          <w:trHeight w:val="483"/>
        </w:trPr>
        <w:tc>
          <w:tcPr>
            <w:tcW w:w="658" w:type="pct"/>
            <w:vMerge/>
            <w:shd w:val="clear" w:color="auto" w:fill="D9D9D9"/>
            <w:vAlign w:val="center"/>
            <w:hideMark/>
          </w:tcPr>
          <w:p w14:paraId="03384DFA"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221416C9"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hideMark/>
          </w:tcPr>
          <w:p w14:paraId="77BAE1E1" w14:textId="3306FB22"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hemeFill="background1" w:themeFillShade="D9"/>
            <w:tcMar>
              <w:top w:w="0" w:type="dxa"/>
              <w:left w:w="108" w:type="dxa"/>
              <w:bottom w:w="0" w:type="dxa"/>
              <w:right w:w="108" w:type="dxa"/>
            </w:tcMar>
            <w:vAlign w:val="center"/>
            <w:hideMark/>
          </w:tcPr>
          <w:p w14:paraId="577862CF"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hemeFill="background1" w:themeFillShade="D9"/>
            <w:tcMar>
              <w:top w:w="0" w:type="dxa"/>
              <w:left w:w="108" w:type="dxa"/>
              <w:bottom w:w="0" w:type="dxa"/>
              <w:right w:w="108" w:type="dxa"/>
            </w:tcMar>
            <w:vAlign w:val="center"/>
            <w:hideMark/>
          </w:tcPr>
          <w:p w14:paraId="40737298"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1BC583BC" w14:textId="77777777" w:rsidTr="00B6017F">
        <w:trPr>
          <w:trHeight w:val="287"/>
        </w:trPr>
        <w:tc>
          <w:tcPr>
            <w:tcW w:w="658" w:type="pct"/>
            <w:vMerge/>
            <w:shd w:val="clear" w:color="auto" w:fill="D9D9D9"/>
            <w:vAlign w:val="center"/>
            <w:hideMark/>
          </w:tcPr>
          <w:p w14:paraId="25A96521"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6E99775B"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084CC22"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0.441</w:t>
            </w:r>
          </w:p>
        </w:tc>
        <w:tc>
          <w:tcPr>
            <w:tcW w:w="1159" w:type="pct"/>
            <w:tcMar>
              <w:top w:w="0" w:type="dxa"/>
              <w:left w:w="108" w:type="dxa"/>
              <w:bottom w:w="0" w:type="dxa"/>
              <w:right w:w="108" w:type="dxa"/>
            </w:tcMar>
            <w:vAlign w:val="center"/>
          </w:tcPr>
          <w:p w14:paraId="5197E162"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1.7</w:t>
            </w:r>
          </w:p>
        </w:tc>
        <w:tc>
          <w:tcPr>
            <w:tcW w:w="1159" w:type="pct"/>
            <w:tcMar>
              <w:top w:w="0" w:type="dxa"/>
              <w:left w:w="108" w:type="dxa"/>
              <w:bottom w:w="0" w:type="dxa"/>
              <w:right w:w="108" w:type="dxa"/>
            </w:tcMar>
            <w:vAlign w:val="center"/>
          </w:tcPr>
          <w:p w14:paraId="4AAE4CCF"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2.2.</w:t>
            </w:r>
          </w:p>
        </w:tc>
      </w:tr>
    </w:tbl>
    <w:p w14:paraId="035B714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0B9FB644" w14:textId="77777777" w:rsidTr="00B6017F">
        <w:trPr>
          <w:trHeight w:val="384"/>
        </w:trPr>
        <w:tc>
          <w:tcPr>
            <w:tcW w:w="658" w:type="pct"/>
            <w:vMerge w:val="restart"/>
            <w:shd w:val="clear" w:color="auto" w:fill="D9D9D9"/>
            <w:tcMar>
              <w:top w:w="0" w:type="dxa"/>
              <w:left w:w="108" w:type="dxa"/>
              <w:bottom w:w="0" w:type="dxa"/>
              <w:right w:w="108" w:type="dxa"/>
            </w:tcMar>
            <w:vAlign w:val="center"/>
          </w:tcPr>
          <w:p w14:paraId="6616850A" w14:textId="77777777" w:rsidR="00B02183" w:rsidRPr="007C4D65" w:rsidRDefault="00B02183"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2.3. Priority</w:t>
            </w:r>
          </w:p>
          <w:p w14:paraId="08FACA52"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restart"/>
            <w:tcMar>
              <w:top w:w="0" w:type="dxa"/>
              <w:left w:w="108" w:type="dxa"/>
              <w:bottom w:w="0" w:type="dxa"/>
              <w:right w:w="108" w:type="dxa"/>
            </w:tcMar>
            <w:vAlign w:val="center"/>
          </w:tcPr>
          <w:p w14:paraId="18305EAB" w14:textId="21BFBD43" w:rsidR="00B02183" w:rsidRPr="007C4D65" w:rsidRDefault="00274404" w:rsidP="00B6017F">
            <w:pPr>
              <w:spacing w:line="276" w:lineRule="auto"/>
              <w:rPr>
                <w:rFonts w:asciiTheme="minorHAnsi" w:hAnsiTheme="minorHAnsi" w:cstheme="minorHAnsi"/>
                <w:b/>
                <w:sz w:val="18"/>
                <w:szCs w:val="18"/>
              </w:rPr>
            </w:pPr>
            <w:r w:rsidRPr="007C4D65">
              <w:rPr>
                <w:rFonts w:asciiTheme="minorHAnsi" w:hAnsiTheme="minorHAnsi" w:cstheme="minorHAnsi"/>
                <w:b/>
                <w:sz w:val="18"/>
              </w:rPr>
              <w:t>Implementing economic and financial instruments and mechanisms to reduce the amount of waste and boost utilisation of all categories of waste</w:t>
            </w:r>
          </w:p>
        </w:tc>
        <w:tc>
          <w:tcPr>
            <w:tcW w:w="1159" w:type="pct"/>
            <w:shd w:val="clear" w:color="auto" w:fill="D9D9D9" w:themeFill="background1" w:themeFillShade="D9"/>
            <w:tcMar>
              <w:top w:w="0" w:type="dxa"/>
              <w:left w:w="108" w:type="dxa"/>
              <w:bottom w:w="0" w:type="dxa"/>
              <w:right w:w="108" w:type="dxa"/>
            </w:tcMar>
            <w:vAlign w:val="center"/>
          </w:tcPr>
          <w:p w14:paraId="12AC866A" w14:textId="77777777" w:rsidR="00B02183" w:rsidRPr="007C4D65" w:rsidRDefault="00B02183"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hemeFill="background1" w:themeFillShade="D9"/>
            <w:tcMar>
              <w:top w:w="0" w:type="dxa"/>
              <w:left w:w="108" w:type="dxa"/>
              <w:bottom w:w="0" w:type="dxa"/>
              <w:right w:w="108" w:type="dxa"/>
            </w:tcMar>
            <w:vAlign w:val="center"/>
          </w:tcPr>
          <w:p w14:paraId="7FAD3E23"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hemeFill="background1" w:themeFillShade="D9"/>
            <w:tcMar>
              <w:top w:w="0" w:type="dxa"/>
              <w:left w:w="108" w:type="dxa"/>
              <w:bottom w:w="0" w:type="dxa"/>
              <w:right w:w="108" w:type="dxa"/>
            </w:tcMar>
            <w:vAlign w:val="center"/>
          </w:tcPr>
          <w:p w14:paraId="3435B64F"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63A82B65" w14:textId="77777777" w:rsidTr="00B6017F">
        <w:trPr>
          <w:trHeight w:val="287"/>
        </w:trPr>
        <w:tc>
          <w:tcPr>
            <w:tcW w:w="658" w:type="pct"/>
            <w:vMerge/>
            <w:shd w:val="clear" w:color="auto" w:fill="D9D9D9"/>
            <w:vAlign w:val="center"/>
            <w:hideMark/>
          </w:tcPr>
          <w:p w14:paraId="091FFFB6"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2BA194A7"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70D09299" w14:textId="77777777" w:rsidR="00B02183" w:rsidRPr="007C4D65" w:rsidRDefault="00B02183" w:rsidP="00B6017F">
            <w:pPr>
              <w:spacing w:line="276" w:lineRule="auto"/>
              <w:rPr>
                <w:rFonts w:asciiTheme="minorHAnsi" w:hAnsiTheme="minorHAnsi" w:cstheme="minorHAnsi"/>
                <w:sz w:val="18"/>
                <w:szCs w:val="18"/>
              </w:rPr>
            </w:pPr>
            <w:r w:rsidRPr="007C4D65">
              <w:rPr>
                <w:rFonts w:asciiTheme="minorHAnsi" w:hAnsiTheme="minorHAnsi" w:cstheme="minorHAnsi"/>
                <w:sz w:val="18"/>
              </w:rPr>
              <w:t>Number of financial instruments for sustainable solid waste management supporting the transition to a circular economy</w:t>
            </w:r>
          </w:p>
        </w:tc>
        <w:tc>
          <w:tcPr>
            <w:tcW w:w="1159" w:type="pct"/>
            <w:tcMar>
              <w:top w:w="0" w:type="dxa"/>
              <w:left w:w="108" w:type="dxa"/>
              <w:bottom w:w="0" w:type="dxa"/>
              <w:right w:w="108" w:type="dxa"/>
            </w:tcMar>
          </w:tcPr>
          <w:p w14:paraId="25B0018D" w14:textId="76797B68" w:rsidR="00B02183" w:rsidRPr="007C4D65" w:rsidRDefault="00B02183" w:rsidP="000E68A5">
            <w:pPr>
              <w:spacing w:line="276" w:lineRule="auto"/>
              <w:rPr>
                <w:rFonts w:asciiTheme="minorHAnsi" w:hAnsiTheme="minorHAnsi" w:cstheme="minorHAnsi"/>
                <w:sz w:val="18"/>
                <w:szCs w:val="18"/>
              </w:rPr>
            </w:pPr>
            <w:r w:rsidRPr="007C4D65">
              <w:rPr>
                <w:rFonts w:asciiTheme="minorHAnsi" w:hAnsiTheme="minorHAnsi" w:cstheme="minorHAnsi"/>
                <w:sz w:val="18"/>
              </w:rPr>
              <w:t>2 (charges payable for failure to meet the recycling and reuse objectives for some special waste</w:t>
            </w:r>
            <w:r w:rsidR="00FD7932" w:rsidRPr="007C4D65">
              <w:rPr>
                <w:rFonts w:asciiTheme="minorHAnsi" w:hAnsiTheme="minorHAnsi" w:cstheme="minorHAnsi"/>
                <w:sz w:val="18"/>
              </w:rPr>
              <w:t>s</w:t>
            </w:r>
            <w:r w:rsidRPr="007C4D65">
              <w:rPr>
                <w:rFonts w:asciiTheme="minorHAnsi" w:hAnsiTheme="minorHAnsi" w:cstheme="minorHAnsi"/>
                <w:sz w:val="18"/>
              </w:rPr>
              <w:t xml:space="preserve"> and taxes on light plastic shopping bags) (2021)</w:t>
            </w:r>
          </w:p>
        </w:tc>
        <w:tc>
          <w:tcPr>
            <w:tcW w:w="1159" w:type="pct"/>
            <w:tcMar>
              <w:top w:w="0" w:type="dxa"/>
              <w:left w:w="108" w:type="dxa"/>
              <w:bottom w:w="0" w:type="dxa"/>
              <w:right w:w="108" w:type="dxa"/>
            </w:tcMar>
          </w:tcPr>
          <w:p w14:paraId="6C384387" w14:textId="77777777" w:rsidR="00B02183" w:rsidRPr="007C4D65" w:rsidRDefault="00B02183" w:rsidP="00B6017F">
            <w:pPr>
              <w:spacing w:line="276" w:lineRule="auto"/>
              <w:rPr>
                <w:rFonts w:asciiTheme="minorHAnsi" w:hAnsiTheme="minorHAnsi" w:cstheme="minorHAnsi"/>
                <w:sz w:val="18"/>
                <w:szCs w:val="18"/>
              </w:rPr>
            </w:pPr>
            <w:r w:rsidRPr="007C4D65">
              <w:rPr>
                <w:rFonts w:asciiTheme="minorHAnsi" w:hAnsiTheme="minorHAnsi" w:cstheme="minorHAnsi"/>
                <w:sz w:val="18"/>
              </w:rPr>
              <w:t>Minimum 5</w:t>
            </w:r>
          </w:p>
          <w:p w14:paraId="458392EB" w14:textId="77777777" w:rsidR="00B02183" w:rsidRPr="007C4D65" w:rsidRDefault="00B02183" w:rsidP="00B6017F">
            <w:pPr>
              <w:spacing w:line="276" w:lineRule="auto"/>
              <w:rPr>
                <w:rFonts w:asciiTheme="minorHAnsi" w:hAnsiTheme="minorHAnsi" w:cstheme="minorHAnsi"/>
                <w:sz w:val="18"/>
                <w:szCs w:val="18"/>
              </w:rPr>
            </w:pPr>
            <w:r w:rsidRPr="007C4D65">
              <w:rPr>
                <w:rFonts w:asciiTheme="minorHAnsi" w:hAnsiTheme="minorHAnsi" w:cstheme="minorHAnsi"/>
                <w:sz w:val="18"/>
              </w:rPr>
              <w:t>(2032)</w:t>
            </w:r>
          </w:p>
        </w:tc>
      </w:tr>
      <w:tr w:rsidR="00B02183" w:rsidRPr="007C4D65" w14:paraId="01E9B1E3" w14:textId="77777777" w:rsidTr="00B6017F">
        <w:trPr>
          <w:trHeight w:val="287"/>
        </w:trPr>
        <w:tc>
          <w:tcPr>
            <w:tcW w:w="658" w:type="pct"/>
            <w:vMerge/>
            <w:shd w:val="clear" w:color="auto" w:fill="D9D9D9"/>
            <w:vAlign w:val="center"/>
            <w:hideMark/>
          </w:tcPr>
          <w:p w14:paraId="45959C5B"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179C20A9"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tcPr>
          <w:p w14:paraId="5B9D9F73" w14:textId="16AE2DB8"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hemeFill="background1" w:themeFillShade="D9"/>
            <w:tcMar>
              <w:top w:w="0" w:type="dxa"/>
              <w:left w:w="108" w:type="dxa"/>
              <w:bottom w:w="0" w:type="dxa"/>
              <w:right w:w="108" w:type="dxa"/>
            </w:tcMar>
            <w:vAlign w:val="center"/>
          </w:tcPr>
          <w:p w14:paraId="48FAF77D"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hemeFill="background1" w:themeFillShade="D9"/>
            <w:tcMar>
              <w:top w:w="0" w:type="dxa"/>
              <w:left w:w="108" w:type="dxa"/>
              <w:bottom w:w="0" w:type="dxa"/>
              <w:right w:w="108" w:type="dxa"/>
            </w:tcMar>
            <w:vAlign w:val="center"/>
          </w:tcPr>
          <w:p w14:paraId="5EF541C9"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03CCD3A5" w14:textId="77777777" w:rsidTr="00B6017F">
        <w:trPr>
          <w:trHeight w:val="287"/>
        </w:trPr>
        <w:tc>
          <w:tcPr>
            <w:tcW w:w="658" w:type="pct"/>
            <w:vMerge/>
            <w:shd w:val="clear" w:color="auto" w:fill="D9D9D9"/>
            <w:vAlign w:val="center"/>
          </w:tcPr>
          <w:p w14:paraId="7D59FA39"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FE155B7"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2A24BBD"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0.058</w:t>
            </w:r>
          </w:p>
        </w:tc>
        <w:tc>
          <w:tcPr>
            <w:tcW w:w="1159" w:type="pct"/>
            <w:tcMar>
              <w:top w:w="0" w:type="dxa"/>
              <w:left w:w="108" w:type="dxa"/>
              <w:bottom w:w="0" w:type="dxa"/>
              <w:right w:w="108" w:type="dxa"/>
            </w:tcMar>
            <w:vAlign w:val="center"/>
          </w:tcPr>
          <w:p w14:paraId="274047AF"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680ADCFD"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0.058</w:t>
            </w:r>
          </w:p>
        </w:tc>
      </w:tr>
    </w:tbl>
    <w:p w14:paraId="63E00C79"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664B6652"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254B6C41" w14:textId="77777777" w:rsidR="00B02183" w:rsidRPr="007C4D65" w:rsidRDefault="00B02183"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2.3.1 Measure</w:t>
            </w:r>
          </w:p>
        </w:tc>
        <w:tc>
          <w:tcPr>
            <w:tcW w:w="864" w:type="pct"/>
            <w:vMerge w:val="restart"/>
            <w:tcMar>
              <w:top w:w="0" w:type="dxa"/>
              <w:left w:w="108" w:type="dxa"/>
              <w:bottom w:w="0" w:type="dxa"/>
              <w:right w:w="108" w:type="dxa"/>
            </w:tcMar>
            <w:vAlign w:val="center"/>
          </w:tcPr>
          <w:p w14:paraId="5984BB79" w14:textId="0AE86CB2"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A revision of the current and implementation of </w:t>
            </w:r>
            <w:r w:rsidR="00FD7932" w:rsidRPr="007C4D65">
              <w:rPr>
                <w:rFonts w:asciiTheme="minorHAnsi" w:hAnsiTheme="minorHAnsi" w:cstheme="minorHAnsi"/>
                <w:sz w:val="18"/>
              </w:rPr>
              <w:t>further</w:t>
            </w:r>
            <w:r w:rsidRPr="007C4D65">
              <w:rPr>
                <w:rFonts w:asciiTheme="minorHAnsi" w:hAnsiTheme="minorHAnsi" w:cstheme="minorHAnsi"/>
                <w:sz w:val="18"/>
              </w:rPr>
              <w:t xml:space="preserve"> economic and financial instruments and mechanisms in the waste management sector</w:t>
            </w:r>
          </w:p>
        </w:tc>
        <w:tc>
          <w:tcPr>
            <w:tcW w:w="1159" w:type="pct"/>
            <w:shd w:val="clear" w:color="auto" w:fill="D9D9D9" w:themeFill="background1" w:themeFillShade="D9"/>
            <w:tcMar>
              <w:top w:w="0" w:type="dxa"/>
              <w:left w:w="108" w:type="dxa"/>
              <w:bottom w:w="0" w:type="dxa"/>
              <w:right w:w="108" w:type="dxa"/>
            </w:tcMar>
            <w:vAlign w:val="center"/>
            <w:hideMark/>
          </w:tcPr>
          <w:p w14:paraId="54190432"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hemeFill="background1" w:themeFillShade="D9"/>
            <w:tcMar>
              <w:top w:w="0" w:type="dxa"/>
              <w:left w:w="108" w:type="dxa"/>
              <w:bottom w:w="0" w:type="dxa"/>
              <w:right w:w="108" w:type="dxa"/>
            </w:tcMar>
            <w:vAlign w:val="center"/>
            <w:hideMark/>
          </w:tcPr>
          <w:p w14:paraId="5EC2D9F0"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hemeFill="background1" w:themeFillShade="D9"/>
            <w:vAlign w:val="center"/>
          </w:tcPr>
          <w:p w14:paraId="742FBBFA"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3033685B" w14:textId="77777777" w:rsidTr="00B6017F">
        <w:trPr>
          <w:trHeight w:val="287"/>
        </w:trPr>
        <w:tc>
          <w:tcPr>
            <w:tcW w:w="658" w:type="pct"/>
            <w:vMerge/>
            <w:shd w:val="clear" w:color="auto" w:fill="D9D9D9"/>
            <w:vAlign w:val="center"/>
          </w:tcPr>
          <w:p w14:paraId="75A14568"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6F09D05"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7C49492" w14:textId="77777777" w:rsidR="00B02183" w:rsidRPr="007C4D65" w:rsidRDefault="00B02183" w:rsidP="00B6017F">
            <w:pPr>
              <w:spacing w:line="276" w:lineRule="auto"/>
              <w:rPr>
                <w:rFonts w:asciiTheme="minorHAnsi" w:hAnsiTheme="minorHAnsi" w:cstheme="minorHAnsi"/>
                <w:sz w:val="18"/>
                <w:szCs w:val="18"/>
              </w:rPr>
            </w:pPr>
            <w:r w:rsidRPr="007C4D65">
              <w:rPr>
                <w:rFonts w:asciiTheme="minorHAnsi" w:hAnsiTheme="minorHAnsi" w:cstheme="minorHAnsi"/>
                <w:sz w:val="18"/>
              </w:rPr>
              <w:t>The status of the proposal for new economic and financial instruments</w:t>
            </w:r>
          </w:p>
        </w:tc>
        <w:tc>
          <w:tcPr>
            <w:tcW w:w="1159" w:type="pct"/>
            <w:shd w:val="clear" w:color="auto" w:fill="FFFFFF"/>
            <w:tcMar>
              <w:top w:w="0" w:type="dxa"/>
              <w:left w:w="108" w:type="dxa"/>
              <w:bottom w:w="0" w:type="dxa"/>
              <w:right w:w="108" w:type="dxa"/>
            </w:tcMar>
            <w:vAlign w:val="center"/>
          </w:tcPr>
          <w:p w14:paraId="6B847104" w14:textId="2D803314"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 proposal offered, and there are currently only 2 financial instruments in the waste management area</w:t>
            </w:r>
          </w:p>
        </w:tc>
        <w:tc>
          <w:tcPr>
            <w:tcW w:w="1159" w:type="pct"/>
            <w:shd w:val="clear" w:color="auto" w:fill="FFFFFF"/>
            <w:vAlign w:val="center"/>
          </w:tcPr>
          <w:p w14:paraId="7084C2D5" w14:textId="32BFE6DE" w:rsidR="00B02183" w:rsidRPr="007C4D65" w:rsidRDefault="00B02183" w:rsidP="000E68A5">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The proposal prepared and activities on the implementation of new financial instruments initiated</w:t>
            </w:r>
            <w:r w:rsidR="000E68A5" w:rsidRPr="007C4D65">
              <w:rPr>
                <w:rFonts w:asciiTheme="minorHAnsi" w:hAnsiTheme="minorHAnsi" w:cstheme="minorHAnsi"/>
                <w:sz w:val="18"/>
              </w:rPr>
              <w:t xml:space="preserve"> </w:t>
            </w:r>
            <w:r w:rsidRPr="007C4D65">
              <w:rPr>
                <w:rFonts w:asciiTheme="minorHAnsi" w:hAnsiTheme="minorHAnsi" w:cstheme="minorHAnsi"/>
                <w:sz w:val="18"/>
              </w:rPr>
              <w:t>(2026)</w:t>
            </w:r>
          </w:p>
        </w:tc>
      </w:tr>
      <w:tr w:rsidR="00B02183" w:rsidRPr="007C4D65" w14:paraId="6FC9C982" w14:textId="77777777" w:rsidTr="00B6017F">
        <w:trPr>
          <w:trHeight w:val="483"/>
        </w:trPr>
        <w:tc>
          <w:tcPr>
            <w:tcW w:w="658" w:type="pct"/>
            <w:vMerge/>
            <w:shd w:val="clear" w:color="auto" w:fill="D9D9D9"/>
            <w:vAlign w:val="center"/>
            <w:hideMark/>
          </w:tcPr>
          <w:p w14:paraId="3F373204"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43869DD1"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hideMark/>
          </w:tcPr>
          <w:p w14:paraId="1E613704" w14:textId="6C1E9E33"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hemeFill="background1" w:themeFillShade="D9"/>
            <w:tcMar>
              <w:top w:w="0" w:type="dxa"/>
              <w:left w:w="108" w:type="dxa"/>
              <w:bottom w:w="0" w:type="dxa"/>
              <w:right w:w="108" w:type="dxa"/>
            </w:tcMar>
            <w:vAlign w:val="center"/>
            <w:hideMark/>
          </w:tcPr>
          <w:p w14:paraId="12885100"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hemeFill="background1" w:themeFillShade="D9"/>
            <w:tcMar>
              <w:top w:w="0" w:type="dxa"/>
              <w:left w:w="108" w:type="dxa"/>
              <w:bottom w:w="0" w:type="dxa"/>
              <w:right w:w="108" w:type="dxa"/>
            </w:tcMar>
            <w:vAlign w:val="center"/>
            <w:hideMark/>
          </w:tcPr>
          <w:p w14:paraId="1298177D"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70B84602" w14:textId="77777777" w:rsidTr="00B6017F">
        <w:trPr>
          <w:trHeight w:val="287"/>
        </w:trPr>
        <w:tc>
          <w:tcPr>
            <w:tcW w:w="658" w:type="pct"/>
            <w:vMerge/>
            <w:shd w:val="clear" w:color="auto" w:fill="D9D9D9"/>
            <w:vAlign w:val="center"/>
            <w:hideMark/>
          </w:tcPr>
          <w:p w14:paraId="2B447BC9"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7D4D95B9"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2475D3E5"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0.058</w:t>
            </w:r>
          </w:p>
        </w:tc>
        <w:tc>
          <w:tcPr>
            <w:tcW w:w="1159" w:type="pct"/>
            <w:tcMar>
              <w:top w:w="0" w:type="dxa"/>
              <w:left w:w="108" w:type="dxa"/>
              <w:bottom w:w="0" w:type="dxa"/>
              <w:right w:w="108" w:type="dxa"/>
            </w:tcMar>
            <w:vAlign w:val="center"/>
          </w:tcPr>
          <w:p w14:paraId="574EAB11"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000591D5"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0.058</w:t>
            </w:r>
          </w:p>
        </w:tc>
      </w:tr>
    </w:tbl>
    <w:p w14:paraId="6862AC5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36DBD9A7" w14:textId="77777777" w:rsidTr="00B6017F">
        <w:trPr>
          <w:trHeight w:val="384"/>
        </w:trPr>
        <w:tc>
          <w:tcPr>
            <w:tcW w:w="658" w:type="pct"/>
            <w:vMerge w:val="restart"/>
            <w:shd w:val="clear" w:color="auto" w:fill="D9D9D9"/>
            <w:tcMar>
              <w:top w:w="0" w:type="dxa"/>
              <w:left w:w="108" w:type="dxa"/>
              <w:bottom w:w="0" w:type="dxa"/>
              <w:right w:w="108" w:type="dxa"/>
            </w:tcMar>
            <w:vAlign w:val="center"/>
          </w:tcPr>
          <w:p w14:paraId="2C79954A" w14:textId="77777777" w:rsidR="00B02183" w:rsidRPr="007C4D65" w:rsidRDefault="00B02183" w:rsidP="00B6017F">
            <w:pPr>
              <w:spacing w:after="120" w:line="276" w:lineRule="auto"/>
              <w:ind w:hanging="2"/>
              <w:contextualSpacing/>
              <w:rPr>
                <w:rFonts w:asciiTheme="minorHAnsi" w:hAnsiTheme="minorHAnsi" w:cstheme="minorHAnsi"/>
                <w:b/>
                <w:color w:val="FFFFFF" w:themeColor="background1"/>
                <w:sz w:val="18"/>
                <w:szCs w:val="18"/>
              </w:rPr>
            </w:pPr>
            <w:r w:rsidRPr="007C4D65">
              <w:rPr>
                <w:rFonts w:asciiTheme="minorHAnsi" w:hAnsiTheme="minorHAnsi" w:cstheme="minorHAnsi"/>
                <w:b/>
                <w:color w:val="000000" w:themeColor="text1"/>
                <w:sz w:val="18"/>
                <w:shd w:val="clear" w:color="auto" w:fill="D9D9D9"/>
              </w:rPr>
              <w:t>2.4. Priority</w:t>
            </w:r>
          </w:p>
          <w:p w14:paraId="4F610702"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restart"/>
            <w:tcMar>
              <w:top w:w="0" w:type="dxa"/>
              <w:left w:w="108" w:type="dxa"/>
              <w:bottom w:w="0" w:type="dxa"/>
              <w:right w:w="108" w:type="dxa"/>
            </w:tcMar>
            <w:vAlign w:val="center"/>
          </w:tcPr>
          <w:p w14:paraId="5856AA5F" w14:textId="3B05CB0C" w:rsidR="00B02183" w:rsidRPr="007C4D65" w:rsidRDefault="001547A8"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Improving the municipal waste management system</w:t>
            </w:r>
          </w:p>
        </w:tc>
        <w:tc>
          <w:tcPr>
            <w:tcW w:w="1159" w:type="pct"/>
            <w:shd w:val="clear" w:color="auto" w:fill="D9D9D9" w:themeFill="background1" w:themeFillShade="D9"/>
            <w:tcMar>
              <w:top w:w="0" w:type="dxa"/>
              <w:left w:w="108" w:type="dxa"/>
              <w:bottom w:w="0" w:type="dxa"/>
              <w:right w:w="108" w:type="dxa"/>
            </w:tcMar>
            <w:vAlign w:val="center"/>
          </w:tcPr>
          <w:p w14:paraId="0FD2E5C4" w14:textId="77777777" w:rsidR="00B02183" w:rsidRPr="007C4D65" w:rsidRDefault="00B02183"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hemeFill="background1" w:themeFillShade="D9"/>
            <w:tcMar>
              <w:top w:w="0" w:type="dxa"/>
              <w:left w:w="108" w:type="dxa"/>
              <w:bottom w:w="0" w:type="dxa"/>
              <w:right w:w="108" w:type="dxa"/>
            </w:tcMar>
            <w:vAlign w:val="center"/>
          </w:tcPr>
          <w:p w14:paraId="28C54F38"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hemeFill="background1" w:themeFillShade="D9"/>
            <w:tcMar>
              <w:top w:w="0" w:type="dxa"/>
              <w:left w:w="108" w:type="dxa"/>
              <w:bottom w:w="0" w:type="dxa"/>
              <w:right w:w="108" w:type="dxa"/>
            </w:tcMar>
            <w:vAlign w:val="center"/>
          </w:tcPr>
          <w:p w14:paraId="347CE7F8"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31D2B1ED" w14:textId="77777777" w:rsidTr="00B6017F">
        <w:trPr>
          <w:trHeight w:val="287"/>
        </w:trPr>
        <w:tc>
          <w:tcPr>
            <w:tcW w:w="658" w:type="pct"/>
            <w:vMerge/>
            <w:shd w:val="clear" w:color="auto" w:fill="D9D9D9"/>
            <w:vAlign w:val="center"/>
            <w:hideMark/>
          </w:tcPr>
          <w:p w14:paraId="2B39BD3A"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611D2093"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577A4AF" w14:textId="77777777" w:rsidR="00B02183" w:rsidRPr="007C4D65" w:rsidRDefault="00B02183"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Financial and operational sustainability of the utility sector </w:t>
            </w:r>
          </w:p>
        </w:tc>
        <w:tc>
          <w:tcPr>
            <w:tcW w:w="1159" w:type="pct"/>
            <w:tcMar>
              <w:top w:w="0" w:type="dxa"/>
              <w:left w:w="108" w:type="dxa"/>
              <w:bottom w:w="0" w:type="dxa"/>
              <w:right w:w="108" w:type="dxa"/>
            </w:tcMar>
          </w:tcPr>
          <w:p w14:paraId="6E6F72D6" w14:textId="6F24F33D" w:rsidR="00B02183" w:rsidRPr="007C4D65" w:rsidRDefault="00FD7932" w:rsidP="000E68A5">
            <w:pPr>
              <w:spacing w:line="276" w:lineRule="auto"/>
              <w:rPr>
                <w:rFonts w:asciiTheme="minorHAnsi" w:hAnsiTheme="minorHAnsi" w:cstheme="minorHAnsi"/>
                <w:sz w:val="18"/>
                <w:szCs w:val="18"/>
              </w:rPr>
            </w:pPr>
            <w:r w:rsidRPr="007C4D65">
              <w:rPr>
                <w:rFonts w:asciiTheme="minorHAnsi" w:hAnsiTheme="minorHAnsi" w:cstheme="minorHAnsi"/>
                <w:sz w:val="18"/>
              </w:rPr>
              <w:t>Predominantly</w:t>
            </w:r>
            <w:r w:rsidR="00B02183" w:rsidRPr="007C4D65">
              <w:rPr>
                <w:rFonts w:asciiTheme="minorHAnsi" w:hAnsiTheme="minorHAnsi" w:cstheme="minorHAnsi"/>
                <w:sz w:val="18"/>
              </w:rPr>
              <w:t xml:space="preserve"> low financial and operational sustainability of companies in the utility </w:t>
            </w:r>
            <w:proofErr w:type="gramStart"/>
            <w:r w:rsidR="00B02183" w:rsidRPr="007C4D65">
              <w:rPr>
                <w:rFonts w:asciiTheme="minorHAnsi" w:hAnsiTheme="minorHAnsi" w:cstheme="minorHAnsi"/>
                <w:sz w:val="18"/>
              </w:rPr>
              <w:t xml:space="preserve">sector </w:t>
            </w:r>
            <w:r w:rsidR="000E68A5" w:rsidRPr="007C4D65">
              <w:rPr>
                <w:rFonts w:asciiTheme="minorHAnsi" w:hAnsiTheme="minorHAnsi" w:cstheme="minorHAnsi"/>
                <w:sz w:val="18"/>
              </w:rPr>
              <w:t xml:space="preserve"> </w:t>
            </w:r>
            <w:r w:rsidR="00B02183" w:rsidRPr="007C4D65">
              <w:rPr>
                <w:rFonts w:asciiTheme="minorHAnsi" w:hAnsiTheme="minorHAnsi" w:cstheme="minorHAnsi"/>
                <w:sz w:val="18"/>
              </w:rPr>
              <w:t>(</w:t>
            </w:r>
            <w:proofErr w:type="gramEnd"/>
            <w:r w:rsidR="00B02183" w:rsidRPr="007C4D65">
              <w:rPr>
                <w:rFonts w:asciiTheme="minorHAnsi" w:hAnsiTheme="minorHAnsi" w:cstheme="minorHAnsi"/>
                <w:sz w:val="18"/>
              </w:rPr>
              <w:t>2021)</w:t>
            </w:r>
          </w:p>
        </w:tc>
        <w:tc>
          <w:tcPr>
            <w:tcW w:w="1159" w:type="pct"/>
            <w:tcMar>
              <w:top w:w="0" w:type="dxa"/>
              <w:left w:w="108" w:type="dxa"/>
              <w:bottom w:w="0" w:type="dxa"/>
              <w:right w:w="108" w:type="dxa"/>
            </w:tcMar>
          </w:tcPr>
          <w:p w14:paraId="449561B8" w14:textId="77777777" w:rsidR="00B02183" w:rsidRPr="007C4D65" w:rsidRDefault="00B02183" w:rsidP="00B6017F">
            <w:pPr>
              <w:widowControl w:val="0"/>
              <w:autoSpaceDE w:val="0"/>
              <w:autoSpaceDN w:val="0"/>
              <w:adjustRightInd w:val="0"/>
              <w:spacing w:after="120" w:line="276" w:lineRule="auto"/>
              <w:ind w:left="31" w:hanging="2"/>
              <w:contextualSpacing/>
              <w:rPr>
                <w:rFonts w:asciiTheme="minorHAnsi" w:hAnsiTheme="minorHAnsi" w:cstheme="minorHAnsi"/>
                <w:sz w:val="18"/>
                <w:szCs w:val="18"/>
              </w:rPr>
            </w:pPr>
            <w:r w:rsidRPr="007C4D65">
              <w:rPr>
                <w:rFonts w:asciiTheme="minorHAnsi" w:hAnsiTheme="minorHAnsi" w:cstheme="minorHAnsi"/>
                <w:sz w:val="18"/>
              </w:rPr>
              <w:t>Increased financial and operational sustainability of companies in the utility sector as compared to the baseline situation (2032)</w:t>
            </w:r>
          </w:p>
        </w:tc>
      </w:tr>
      <w:tr w:rsidR="00B02183" w:rsidRPr="007C4D65" w14:paraId="71DB3289" w14:textId="77777777" w:rsidTr="00B6017F">
        <w:trPr>
          <w:trHeight w:val="287"/>
        </w:trPr>
        <w:tc>
          <w:tcPr>
            <w:tcW w:w="658" w:type="pct"/>
            <w:vMerge/>
            <w:shd w:val="clear" w:color="auto" w:fill="D9D9D9"/>
            <w:vAlign w:val="center"/>
          </w:tcPr>
          <w:p w14:paraId="7B00A204"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62547A3F"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5E15AA07" w14:textId="71200966" w:rsidR="00B02183" w:rsidRPr="007C4D65" w:rsidRDefault="00B02183" w:rsidP="000E68A5">
            <w:pPr>
              <w:pStyle w:val="NormalWeb"/>
              <w:spacing w:line="276" w:lineRule="auto"/>
              <w:rPr>
                <w:rFonts w:asciiTheme="minorHAnsi" w:hAnsiTheme="minorHAnsi" w:cstheme="minorHAnsi"/>
                <w:sz w:val="18"/>
                <w:szCs w:val="18"/>
                <w:lang w:val="hr-HR"/>
              </w:rPr>
            </w:pPr>
            <w:r w:rsidRPr="007C4D65">
              <w:rPr>
                <w:rFonts w:asciiTheme="minorHAnsi" w:hAnsiTheme="minorHAnsi" w:cstheme="minorHAnsi"/>
                <w:sz w:val="18"/>
              </w:rPr>
              <w:t>Costs of environmental action‒ waste</w:t>
            </w:r>
          </w:p>
        </w:tc>
        <w:tc>
          <w:tcPr>
            <w:tcW w:w="1159" w:type="pct"/>
            <w:tcMar>
              <w:top w:w="0" w:type="dxa"/>
              <w:left w:w="108" w:type="dxa"/>
              <w:bottom w:w="0" w:type="dxa"/>
              <w:right w:w="108" w:type="dxa"/>
            </w:tcMar>
          </w:tcPr>
          <w:p w14:paraId="0028B99F" w14:textId="7011363C"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Amount</w:t>
            </w:r>
            <w:r w:rsidR="00830279" w:rsidRPr="007C4D65">
              <w:rPr>
                <w:rFonts w:asciiTheme="minorHAnsi" w:hAnsiTheme="minorHAnsi" w:cstheme="minorHAnsi"/>
                <w:sz w:val="18"/>
              </w:rPr>
              <w:t>s</w:t>
            </w:r>
            <w:r w:rsidRPr="007C4D65">
              <w:rPr>
                <w:rFonts w:asciiTheme="minorHAnsi" w:hAnsiTheme="minorHAnsi" w:cstheme="minorHAnsi"/>
                <w:sz w:val="18"/>
              </w:rPr>
              <w:t xml:space="preserve"> of investment in waste management - </w:t>
            </w:r>
          </w:p>
          <w:p w14:paraId="3565AB88" w14:textId="77777777" w:rsidR="00B02183" w:rsidRPr="007C4D65" w:rsidRDefault="00B02183" w:rsidP="00B6017F">
            <w:pPr>
              <w:spacing w:line="276" w:lineRule="auto"/>
              <w:rPr>
                <w:rFonts w:asciiTheme="minorHAnsi" w:hAnsiTheme="minorHAnsi" w:cstheme="minorHAnsi"/>
                <w:sz w:val="18"/>
                <w:szCs w:val="18"/>
              </w:rPr>
            </w:pPr>
            <w:r w:rsidRPr="007C4D65">
              <w:rPr>
                <w:rFonts w:asciiTheme="minorHAnsi" w:hAnsiTheme="minorHAnsi" w:cstheme="minorHAnsi"/>
                <w:sz w:val="18"/>
              </w:rPr>
              <w:t>Investments of the Environmental Protection Fund of Federation of BiH: BAM 1.4 million (2021)</w:t>
            </w:r>
          </w:p>
        </w:tc>
        <w:tc>
          <w:tcPr>
            <w:tcW w:w="1159" w:type="pct"/>
            <w:tcMar>
              <w:top w:w="0" w:type="dxa"/>
              <w:left w:w="108" w:type="dxa"/>
              <w:bottom w:w="0" w:type="dxa"/>
              <w:right w:w="108" w:type="dxa"/>
            </w:tcMar>
          </w:tcPr>
          <w:p w14:paraId="18723EAD" w14:textId="77777777" w:rsidR="00B02183" w:rsidRPr="007C4D65" w:rsidRDefault="00B02183" w:rsidP="00B6017F">
            <w:pPr>
              <w:spacing w:line="276" w:lineRule="auto"/>
              <w:ind w:left="31"/>
              <w:rPr>
                <w:rFonts w:asciiTheme="minorHAnsi" w:hAnsiTheme="minorHAnsi" w:cstheme="minorHAnsi"/>
                <w:sz w:val="18"/>
                <w:szCs w:val="18"/>
              </w:rPr>
            </w:pPr>
            <w:r w:rsidRPr="007C4D65">
              <w:rPr>
                <w:rFonts w:asciiTheme="minorHAnsi" w:hAnsiTheme="minorHAnsi" w:cstheme="minorHAnsi"/>
                <w:sz w:val="18"/>
              </w:rPr>
              <w:t>Increased investments in waste management as compared to the base year (2032)</w:t>
            </w:r>
          </w:p>
        </w:tc>
      </w:tr>
      <w:tr w:rsidR="00B02183" w:rsidRPr="007C4D65" w14:paraId="304E8711" w14:textId="77777777" w:rsidTr="00B6017F">
        <w:trPr>
          <w:trHeight w:val="287"/>
        </w:trPr>
        <w:tc>
          <w:tcPr>
            <w:tcW w:w="658" w:type="pct"/>
            <w:vMerge/>
            <w:shd w:val="clear" w:color="auto" w:fill="D9D9D9"/>
            <w:vAlign w:val="center"/>
          </w:tcPr>
          <w:p w14:paraId="012E9AC0"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3F3574B"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2339940A" w14:textId="55E87858" w:rsidR="00B02183" w:rsidRPr="007C4D65" w:rsidRDefault="00B02183" w:rsidP="000E68A5">
            <w:pPr>
              <w:spacing w:line="276" w:lineRule="auto"/>
              <w:rPr>
                <w:rFonts w:asciiTheme="minorHAnsi" w:hAnsiTheme="minorHAnsi" w:cstheme="minorHAnsi"/>
                <w:sz w:val="18"/>
                <w:szCs w:val="18"/>
                <w:lang w:val="hr-HR"/>
              </w:rPr>
            </w:pPr>
            <w:r w:rsidRPr="007C4D65">
              <w:rPr>
                <w:rFonts w:asciiTheme="minorHAnsi" w:hAnsiTheme="minorHAnsi" w:cstheme="minorHAnsi"/>
                <w:sz w:val="18"/>
              </w:rPr>
              <w:t>Municipal waste collected and landfilled</w:t>
            </w:r>
          </w:p>
        </w:tc>
        <w:tc>
          <w:tcPr>
            <w:tcW w:w="1159" w:type="pct"/>
            <w:tcMar>
              <w:top w:w="0" w:type="dxa"/>
              <w:left w:w="108" w:type="dxa"/>
              <w:bottom w:w="0" w:type="dxa"/>
              <w:right w:w="108" w:type="dxa"/>
            </w:tcMar>
          </w:tcPr>
          <w:p w14:paraId="72F0F9E1" w14:textId="77777777" w:rsidR="00B02183" w:rsidRPr="007C4D65" w:rsidRDefault="00B02183" w:rsidP="00B6017F">
            <w:pPr>
              <w:spacing w:line="276" w:lineRule="auto"/>
              <w:rPr>
                <w:rFonts w:asciiTheme="minorHAnsi" w:hAnsiTheme="minorHAnsi" w:cstheme="minorHAnsi"/>
                <w:sz w:val="18"/>
                <w:szCs w:val="18"/>
              </w:rPr>
            </w:pPr>
            <w:r w:rsidRPr="007C4D65">
              <w:rPr>
                <w:rFonts w:asciiTheme="minorHAnsi" w:hAnsiTheme="minorHAnsi" w:cstheme="minorHAnsi"/>
                <w:sz w:val="18"/>
              </w:rPr>
              <w:t>Waste collected: 611,854 t/y (2020)</w:t>
            </w:r>
          </w:p>
          <w:p w14:paraId="21AF1A10" w14:textId="77777777" w:rsidR="00B02183" w:rsidRPr="007C4D65" w:rsidRDefault="00B02183" w:rsidP="00B6017F">
            <w:pPr>
              <w:spacing w:line="276" w:lineRule="auto"/>
              <w:rPr>
                <w:rFonts w:asciiTheme="minorHAnsi" w:hAnsiTheme="minorHAnsi" w:cstheme="minorHAnsi"/>
                <w:sz w:val="18"/>
                <w:szCs w:val="18"/>
              </w:rPr>
            </w:pPr>
            <w:r w:rsidRPr="007C4D65">
              <w:rPr>
                <w:rFonts w:asciiTheme="minorHAnsi" w:hAnsiTheme="minorHAnsi" w:cstheme="minorHAnsi"/>
                <w:sz w:val="18"/>
              </w:rPr>
              <w:t>Waste landfilled: 577,685 t/y (2020)</w:t>
            </w:r>
          </w:p>
          <w:p w14:paraId="4C0E6685" w14:textId="77777777" w:rsidR="00B02183" w:rsidRPr="007C4D65" w:rsidRDefault="00B02183" w:rsidP="00B6017F">
            <w:pPr>
              <w:spacing w:line="276" w:lineRule="auto"/>
              <w:rPr>
                <w:rFonts w:asciiTheme="minorHAnsi" w:hAnsiTheme="minorHAnsi" w:cstheme="minorHAnsi"/>
                <w:sz w:val="18"/>
                <w:szCs w:val="18"/>
              </w:rPr>
            </w:pPr>
            <w:r w:rsidRPr="007C4D65">
              <w:rPr>
                <w:rFonts w:asciiTheme="minorHAnsi" w:hAnsiTheme="minorHAnsi" w:cstheme="minorHAnsi"/>
                <w:sz w:val="18"/>
              </w:rPr>
              <w:t>(94% of waste collected is landfilled)</w:t>
            </w:r>
          </w:p>
        </w:tc>
        <w:tc>
          <w:tcPr>
            <w:tcW w:w="1159" w:type="pct"/>
            <w:tcMar>
              <w:top w:w="0" w:type="dxa"/>
              <w:left w:w="108" w:type="dxa"/>
              <w:bottom w:w="0" w:type="dxa"/>
              <w:right w:w="108" w:type="dxa"/>
            </w:tcMar>
          </w:tcPr>
          <w:p w14:paraId="470545AB" w14:textId="751586FC" w:rsidR="00B02183" w:rsidRPr="007C4D65" w:rsidRDefault="00B02183" w:rsidP="000E68A5">
            <w:pPr>
              <w:spacing w:line="276" w:lineRule="auto"/>
              <w:ind w:left="31"/>
              <w:rPr>
                <w:rFonts w:asciiTheme="minorHAnsi" w:hAnsiTheme="minorHAnsi" w:cstheme="minorHAnsi"/>
                <w:sz w:val="18"/>
                <w:szCs w:val="18"/>
              </w:rPr>
            </w:pPr>
            <w:r w:rsidRPr="007C4D65">
              <w:rPr>
                <w:rFonts w:asciiTheme="minorHAnsi" w:hAnsiTheme="minorHAnsi" w:cstheme="minorHAnsi"/>
                <w:sz w:val="18"/>
              </w:rPr>
              <w:t>Diverting the waste away from landfills towards other forms of treatment ultimately aiming at landfilling of less than 60% of the total amounts of municipal waste generated as compared to the base year (2032)</w:t>
            </w:r>
          </w:p>
        </w:tc>
      </w:tr>
      <w:tr w:rsidR="00B02183" w:rsidRPr="007C4D65" w14:paraId="6DFD723C" w14:textId="77777777" w:rsidTr="00B6017F">
        <w:trPr>
          <w:trHeight w:val="287"/>
        </w:trPr>
        <w:tc>
          <w:tcPr>
            <w:tcW w:w="658" w:type="pct"/>
            <w:vMerge/>
            <w:shd w:val="clear" w:color="auto" w:fill="D9D9D9"/>
            <w:vAlign w:val="center"/>
            <w:hideMark/>
          </w:tcPr>
          <w:p w14:paraId="4FA057C3"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553C3B5"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tcPr>
          <w:p w14:paraId="0987D7DD" w14:textId="616308AE"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hemeFill="background1" w:themeFillShade="D9"/>
            <w:tcMar>
              <w:top w:w="0" w:type="dxa"/>
              <w:left w:w="108" w:type="dxa"/>
              <w:bottom w:w="0" w:type="dxa"/>
              <w:right w:w="108" w:type="dxa"/>
            </w:tcMar>
            <w:vAlign w:val="center"/>
          </w:tcPr>
          <w:p w14:paraId="3B70FC59"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hemeFill="background1" w:themeFillShade="D9"/>
            <w:tcMar>
              <w:top w:w="0" w:type="dxa"/>
              <w:left w:w="108" w:type="dxa"/>
              <w:bottom w:w="0" w:type="dxa"/>
              <w:right w:w="108" w:type="dxa"/>
            </w:tcMar>
            <w:vAlign w:val="center"/>
          </w:tcPr>
          <w:p w14:paraId="788DAB9C"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1F21034A" w14:textId="77777777" w:rsidTr="00B6017F">
        <w:trPr>
          <w:trHeight w:val="287"/>
        </w:trPr>
        <w:tc>
          <w:tcPr>
            <w:tcW w:w="658" w:type="pct"/>
            <w:vMerge/>
            <w:shd w:val="clear" w:color="auto" w:fill="D9D9D9"/>
            <w:vAlign w:val="center"/>
          </w:tcPr>
          <w:p w14:paraId="2F145DA9"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B59EB98"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3AFFFD6"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53.8</w:t>
            </w:r>
          </w:p>
        </w:tc>
        <w:tc>
          <w:tcPr>
            <w:tcW w:w="1159" w:type="pct"/>
            <w:tcMar>
              <w:top w:w="0" w:type="dxa"/>
              <w:left w:w="108" w:type="dxa"/>
              <w:bottom w:w="0" w:type="dxa"/>
              <w:right w:w="108" w:type="dxa"/>
            </w:tcMar>
            <w:vAlign w:val="center"/>
          </w:tcPr>
          <w:p w14:paraId="11F67183"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478.8</w:t>
            </w:r>
          </w:p>
        </w:tc>
        <w:tc>
          <w:tcPr>
            <w:tcW w:w="1159" w:type="pct"/>
            <w:tcMar>
              <w:top w:w="0" w:type="dxa"/>
              <w:left w:w="108" w:type="dxa"/>
              <w:bottom w:w="0" w:type="dxa"/>
              <w:right w:w="108" w:type="dxa"/>
            </w:tcMar>
            <w:vAlign w:val="center"/>
          </w:tcPr>
          <w:p w14:paraId="366D6DFB"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532.6</w:t>
            </w:r>
          </w:p>
        </w:tc>
      </w:tr>
    </w:tbl>
    <w:p w14:paraId="5087DDD6"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3C2F82F9"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07563E2D" w14:textId="77777777" w:rsidR="00B02183" w:rsidRPr="007C4D65" w:rsidRDefault="00B02183"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color w:val="000000" w:themeColor="text1"/>
                <w:sz w:val="18"/>
              </w:rPr>
              <w:t>2.4.1 Measure</w:t>
            </w:r>
          </w:p>
        </w:tc>
        <w:tc>
          <w:tcPr>
            <w:tcW w:w="864" w:type="pct"/>
            <w:vMerge w:val="restart"/>
            <w:tcMar>
              <w:top w:w="0" w:type="dxa"/>
              <w:left w:w="108" w:type="dxa"/>
              <w:bottom w:w="0" w:type="dxa"/>
              <w:right w:w="108" w:type="dxa"/>
            </w:tcMar>
            <w:vAlign w:val="center"/>
          </w:tcPr>
          <w:p w14:paraId="129BF940"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Reform the municipal waste management sector</w:t>
            </w:r>
          </w:p>
        </w:tc>
        <w:tc>
          <w:tcPr>
            <w:tcW w:w="1159" w:type="pct"/>
            <w:shd w:val="clear" w:color="auto" w:fill="D9D9D9" w:themeFill="background1" w:themeFillShade="D9"/>
            <w:tcMar>
              <w:top w:w="0" w:type="dxa"/>
              <w:left w:w="108" w:type="dxa"/>
              <w:bottom w:w="0" w:type="dxa"/>
              <w:right w:w="108" w:type="dxa"/>
            </w:tcMar>
            <w:vAlign w:val="center"/>
            <w:hideMark/>
          </w:tcPr>
          <w:p w14:paraId="04B5C8DF"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hemeFill="background1" w:themeFillShade="D9"/>
            <w:tcMar>
              <w:top w:w="0" w:type="dxa"/>
              <w:left w:w="108" w:type="dxa"/>
              <w:bottom w:w="0" w:type="dxa"/>
              <w:right w:w="108" w:type="dxa"/>
            </w:tcMar>
            <w:vAlign w:val="center"/>
            <w:hideMark/>
          </w:tcPr>
          <w:p w14:paraId="4CE7C477"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hemeFill="background1" w:themeFillShade="D9"/>
            <w:vAlign w:val="center"/>
          </w:tcPr>
          <w:p w14:paraId="7268DE92"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413E672F" w14:textId="77777777" w:rsidTr="00B6017F">
        <w:trPr>
          <w:trHeight w:val="287"/>
        </w:trPr>
        <w:tc>
          <w:tcPr>
            <w:tcW w:w="658" w:type="pct"/>
            <w:vMerge/>
            <w:shd w:val="clear" w:color="auto" w:fill="D9D9D9"/>
            <w:vAlign w:val="center"/>
          </w:tcPr>
          <w:p w14:paraId="05C04EB8"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D98AE87"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256C4809"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status of forming a Working Group for the reform of the municipal waste management sector</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461456B0"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Working Group for the reform of the municipal waste management sector has not been formed</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EBD5A4E" w14:textId="6BC7E2DF" w:rsidR="00B02183" w:rsidRPr="007C4D65" w:rsidRDefault="00B02183" w:rsidP="000E68A5">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The Working Group for the reform of the municipal waste management sector formed</w:t>
            </w:r>
            <w:r w:rsidR="000E68A5" w:rsidRPr="007C4D65">
              <w:rPr>
                <w:rFonts w:asciiTheme="minorHAnsi" w:hAnsiTheme="minorHAnsi" w:cstheme="minorHAnsi"/>
                <w:sz w:val="18"/>
              </w:rPr>
              <w:t xml:space="preserve"> </w:t>
            </w:r>
            <w:r w:rsidRPr="007C4D65">
              <w:rPr>
                <w:rFonts w:asciiTheme="minorHAnsi" w:hAnsiTheme="minorHAnsi" w:cstheme="minorHAnsi"/>
                <w:sz w:val="18"/>
              </w:rPr>
              <w:t>(2025)</w:t>
            </w:r>
          </w:p>
        </w:tc>
      </w:tr>
      <w:tr w:rsidR="00B02183" w:rsidRPr="007C4D65" w14:paraId="7C577A1C" w14:textId="77777777" w:rsidTr="00B6017F">
        <w:trPr>
          <w:trHeight w:val="287"/>
        </w:trPr>
        <w:tc>
          <w:tcPr>
            <w:tcW w:w="658" w:type="pct"/>
            <w:vMerge/>
            <w:shd w:val="clear" w:color="auto" w:fill="D9D9D9"/>
            <w:vAlign w:val="center"/>
          </w:tcPr>
          <w:p w14:paraId="120951DD"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A965252"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43E0CEC2"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status of development of Guidelines for the reform of the municipal waste management sector</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2268C072"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are no Guidelines for the reform of the municipal waste management sector</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C199434" w14:textId="2B73C533" w:rsidR="00B02183" w:rsidRPr="007C4D65" w:rsidRDefault="00B02183" w:rsidP="000E68A5">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The Guidelines for the reform of the municipal waste management sector completed</w:t>
            </w:r>
            <w:r w:rsidR="000E68A5" w:rsidRPr="007C4D65">
              <w:rPr>
                <w:rFonts w:asciiTheme="minorHAnsi" w:hAnsiTheme="minorHAnsi" w:cstheme="minorHAnsi"/>
                <w:sz w:val="18"/>
              </w:rPr>
              <w:t xml:space="preserve"> </w:t>
            </w:r>
            <w:r w:rsidRPr="007C4D65">
              <w:rPr>
                <w:rFonts w:asciiTheme="minorHAnsi" w:hAnsiTheme="minorHAnsi" w:cstheme="minorHAnsi"/>
                <w:sz w:val="18"/>
              </w:rPr>
              <w:t>(2027)</w:t>
            </w:r>
          </w:p>
        </w:tc>
      </w:tr>
      <w:tr w:rsidR="00B02183" w:rsidRPr="007C4D65" w14:paraId="209D330B" w14:textId="77777777" w:rsidTr="00B6017F">
        <w:trPr>
          <w:trHeight w:val="287"/>
        </w:trPr>
        <w:tc>
          <w:tcPr>
            <w:tcW w:w="658" w:type="pct"/>
            <w:vMerge/>
            <w:shd w:val="clear" w:color="auto" w:fill="D9D9D9"/>
            <w:vAlign w:val="center"/>
          </w:tcPr>
          <w:p w14:paraId="42F481AD"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91FAD47"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0F47580F" w14:textId="1360FAD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effectiveness and efficiency utility enterprises performance</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3F09F411"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Unsatisfactory effectiveness and efficiency of utility enterprises performance</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BE507FD"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The effectiveness and efficiency of utility enterprises as compared to the baseline</w:t>
            </w:r>
          </w:p>
          <w:p w14:paraId="1C70709F" w14:textId="77777777" w:rsidR="00B02183" w:rsidRPr="007C4D65" w:rsidRDefault="00B02183" w:rsidP="00B6017F">
            <w:pPr>
              <w:spacing w:line="276" w:lineRule="auto"/>
              <w:ind w:left="69"/>
              <w:rPr>
                <w:rFonts w:asciiTheme="minorHAnsi" w:hAnsiTheme="minorHAnsi" w:cstheme="minorHAnsi"/>
                <w:sz w:val="18"/>
                <w:szCs w:val="18"/>
              </w:rPr>
            </w:pPr>
            <w:r w:rsidRPr="007C4D65">
              <w:rPr>
                <w:rFonts w:asciiTheme="minorHAnsi" w:hAnsiTheme="minorHAnsi" w:cstheme="minorHAnsi"/>
                <w:sz w:val="18"/>
              </w:rPr>
              <w:t>(2032)</w:t>
            </w:r>
          </w:p>
        </w:tc>
      </w:tr>
      <w:tr w:rsidR="00B02183" w:rsidRPr="007C4D65" w14:paraId="7A38D46C" w14:textId="77777777" w:rsidTr="00B6017F">
        <w:trPr>
          <w:trHeight w:val="287"/>
        </w:trPr>
        <w:tc>
          <w:tcPr>
            <w:tcW w:w="658" w:type="pct"/>
            <w:vMerge/>
            <w:shd w:val="clear" w:color="auto" w:fill="D9D9D9"/>
            <w:vAlign w:val="center"/>
          </w:tcPr>
          <w:p w14:paraId="49BBF813"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B28CAE4"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76FC6C6F" w14:textId="0A83BE42"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expert meetings (workshops, conferences, trainings)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4CD8D5D6" w14:textId="51DAF20E"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1 (</w:t>
            </w:r>
            <w:r w:rsidR="00830279" w:rsidRPr="007C4D65">
              <w:rPr>
                <w:rFonts w:asciiTheme="minorHAnsi" w:hAnsiTheme="minorHAnsi" w:cstheme="minorHAnsi"/>
                <w:sz w:val="18"/>
              </w:rPr>
              <w:t>annually</w:t>
            </w:r>
            <w:r w:rsidRPr="007C4D65">
              <w:rPr>
                <w:rFonts w:asciiTheme="minorHAnsi" w:hAnsiTheme="minorHAnsi" w:cstheme="minorHAnsi"/>
                <w:sz w:val="18"/>
              </w:rPr>
              <w:t>)</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59041CB" w14:textId="77777777" w:rsidR="00B02183" w:rsidRPr="007C4D65" w:rsidRDefault="00B02183" w:rsidP="00B6017F">
            <w:pPr>
              <w:spacing w:line="276" w:lineRule="auto"/>
              <w:ind w:left="69"/>
              <w:rPr>
                <w:rFonts w:asciiTheme="minorHAnsi" w:hAnsiTheme="minorHAnsi" w:cstheme="minorHAnsi"/>
                <w:sz w:val="18"/>
                <w:szCs w:val="18"/>
              </w:rPr>
            </w:pPr>
            <w:r w:rsidRPr="007C4D65">
              <w:rPr>
                <w:rFonts w:asciiTheme="minorHAnsi" w:hAnsiTheme="minorHAnsi" w:cstheme="minorHAnsi"/>
                <w:sz w:val="18"/>
              </w:rPr>
              <w:t>4 (annually, from 2023 until the end of the planning period)</w:t>
            </w:r>
          </w:p>
        </w:tc>
      </w:tr>
      <w:tr w:rsidR="00B02183" w:rsidRPr="007C4D65" w14:paraId="3F045347" w14:textId="77777777" w:rsidTr="00B6017F">
        <w:trPr>
          <w:trHeight w:val="483"/>
        </w:trPr>
        <w:tc>
          <w:tcPr>
            <w:tcW w:w="658" w:type="pct"/>
            <w:vMerge/>
            <w:shd w:val="clear" w:color="auto" w:fill="D9D9D9"/>
            <w:vAlign w:val="center"/>
            <w:hideMark/>
          </w:tcPr>
          <w:p w14:paraId="713A1E9B"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DB50563"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hideMark/>
          </w:tcPr>
          <w:p w14:paraId="049C8228" w14:textId="4EAD7B7E"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hemeFill="background1" w:themeFillShade="D9"/>
            <w:tcMar>
              <w:top w:w="0" w:type="dxa"/>
              <w:left w:w="108" w:type="dxa"/>
              <w:bottom w:w="0" w:type="dxa"/>
              <w:right w:w="108" w:type="dxa"/>
            </w:tcMar>
            <w:vAlign w:val="center"/>
            <w:hideMark/>
          </w:tcPr>
          <w:p w14:paraId="0339EE2F"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hemeFill="background1" w:themeFillShade="D9"/>
            <w:tcMar>
              <w:top w:w="0" w:type="dxa"/>
              <w:left w:w="108" w:type="dxa"/>
              <w:bottom w:w="0" w:type="dxa"/>
              <w:right w:w="108" w:type="dxa"/>
            </w:tcMar>
            <w:vAlign w:val="center"/>
            <w:hideMark/>
          </w:tcPr>
          <w:p w14:paraId="607336A5"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34742619" w14:textId="77777777" w:rsidTr="00B6017F">
        <w:trPr>
          <w:trHeight w:val="287"/>
        </w:trPr>
        <w:tc>
          <w:tcPr>
            <w:tcW w:w="658" w:type="pct"/>
            <w:vMerge/>
            <w:shd w:val="clear" w:color="auto" w:fill="D9D9D9"/>
            <w:vAlign w:val="center"/>
            <w:hideMark/>
          </w:tcPr>
          <w:p w14:paraId="23FB9486"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057DA855"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0AF7B94"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0.162</w:t>
            </w:r>
          </w:p>
        </w:tc>
        <w:tc>
          <w:tcPr>
            <w:tcW w:w="1159" w:type="pct"/>
            <w:tcMar>
              <w:top w:w="0" w:type="dxa"/>
              <w:left w:w="108" w:type="dxa"/>
              <w:bottom w:w="0" w:type="dxa"/>
              <w:right w:w="108" w:type="dxa"/>
            </w:tcMar>
            <w:vAlign w:val="center"/>
          </w:tcPr>
          <w:p w14:paraId="2724A72C"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0.651</w:t>
            </w:r>
          </w:p>
        </w:tc>
        <w:tc>
          <w:tcPr>
            <w:tcW w:w="1159" w:type="pct"/>
            <w:tcMar>
              <w:top w:w="0" w:type="dxa"/>
              <w:left w:w="108" w:type="dxa"/>
              <w:bottom w:w="0" w:type="dxa"/>
              <w:right w:w="108" w:type="dxa"/>
            </w:tcMar>
            <w:vAlign w:val="center"/>
          </w:tcPr>
          <w:p w14:paraId="442E049F"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0.813</w:t>
            </w:r>
          </w:p>
        </w:tc>
      </w:tr>
      <w:tr w:rsidR="00B02183" w:rsidRPr="007C4D65" w14:paraId="2C56798E"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66E65ADB" w14:textId="77777777" w:rsidR="00B02183" w:rsidRPr="007C4D65" w:rsidRDefault="00B02183"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2.4.2 Measure</w:t>
            </w:r>
          </w:p>
        </w:tc>
        <w:tc>
          <w:tcPr>
            <w:tcW w:w="864" w:type="pct"/>
            <w:vMerge w:val="restart"/>
            <w:tcMar>
              <w:top w:w="0" w:type="dxa"/>
              <w:left w:w="108" w:type="dxa"/>
              <w:bottom w:w="0" w:type="dxa"/>
              <w:right w:w="108" w:type="dxa"/>
            </w:tcMar>
            <w:vAlign w:val="center"/>
          </w:tcPr>
          <w:p w14:paraId="2E38723B"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Procurement of equipment and development of the infrastructure for municipal waste management</w:t>
            </w:r>
          </w:p>
        </w:tc>
        <w:tc>
          <w:tcPr>
            <w:tcW w:w="1159" w:type="pct"/>
            <w:shd w:val="clear" w:color="auto" w:fill="D9D9D9" w:themeFill="background1" w:themeFillShade="D9"/>
            <w:tcMar>
              <w:top w:w="0" w:type="dxa"/>
              <w:left w:w="108" w:type="dxa"/>
              <w:bottom w:w="0" w:type="dxa"/>
              <w:right w:w="108" w:type="dxa"/>
            </w:tcMar>
            <w:vAlign w:val="center"/>
            <w:hideMark/>
          </w:tcPr>
          <w:p w14:paraId="4682FFC6"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hemeFill="background1" w:themeFillShade="D9"/>
            <w:tcMar>
              <w:top w:w="0" w:type="dxa"/>
              <w:left w:w="108" w:type="dxa"/>
              <w:bottom w:w="0" w:type="dxa"/>
              <w:right w:w="108" w:type="dxa"/>
            </w:tcMar>
            <w:vAlign w:val="center"/>
            <w:hideMark/>
          </w:tcPr>
          <w:p w14:paraId="2A9B2D91"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hemeFill="background1" w:themeFillShade="D9"/>
            <w:vAlign w:val="center"/>
          </w:tcPr>
          <w:p w14:paraId="1E2FD6F7"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2A754BAA" w14:textId="77777777" w:rsidTr="00B6017F">
        <w:trPr>
          <w:trHeight w:val="287"/>
        </w:trPr>
        <w:tc>
          <w:tcPr>
            <w:tcW w:w="658" w:type="pct"/>
            <w:vMerge/>
            <w:shd w:val="clear" w:color="auto" w:fill="D9D9D9"/>
            <w:vAlign w:val="center"/>
          </w:tcPr>
          <w:p w14:paraId="0C81FC6E"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1BDB225"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15681966" w14:textId="77777777" w:rsidR="00B02183" w:rsidRPr="007C4D65" w:rsidRDefault="00B02183" w:rsidP="00B6017F">
            <w:pPr>
              <w:pStyle w:val="NormalWeb"/>
              <w:spacing w:before="40" w:after="40" w:line="276" w:lineRule="auto"/>
              <w:rPr>
                <w:rFonts w:asciiTheme="minorHAnsi" w:hAnsiTheme="minorHAnsi" w:cstheme="minorHAnsi"/>
                <w:sz w:val="18"/>
                <w:szCs w:val="18"/>
              </w:rPr>
            </w:pPr>
            <w:r w:rsidRPr="007C4D65">
              <w:rPr>
                <w:rFonts w:asciiTheme="minorHAnsi" w:hAnsiTheme="minorHAnsi" w:cstheme="minorHAnsi"/>
                <w:sz w:val="18"/>
              </w:rPr>
              <w:t xml:space="preserve">a.1 The amount of household waste collected through public waste transport services </w:t>
            </w:r>
          </w:p>
          <w:p w14:paraId="55A31D85"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6DB04B62"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4AD8F3C6" w14:textId="15E020E2" w:rsidR="00B02183" w:rsidRPr="007C4D65" w:rsidRDefault="00B02183" w:rsidP="000E68A5">
            <w:pPr>
              <w:pStyle w:val="NormalWeb"/>
              <w:spacing w:before="40" w:after="40" w:line="276" w:lineRule="auto"/>
              <w:rPr>
                <w:rFonts w:asciiTheme="minorHAnsi" w:hAnsiTheme="minorHAnsi" w:cstheme="minorHAnsi"/>
                <w:sz w:val="18"/>
                <w:szCs w:val="18"/>
                <w:lang w:val="hr-HR"/>
              </w:rPr>
            </w:pPr>
            <w:r w:rsidRPr="007C4D65">
              <w:rPr>
                <w:rFonts w:asciiTheme="minorHAnsi" w:hAnsiTheme="minorHAnsi" w:cstheme="minorHAnsi"/>
                <w:sz w:val="18"/>
              </w:rPr>
              <w:t>a.2 Percentage of the population covered by public waste transport services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tcPr>
          <w:p w14:paraId="000CD1A5" w14:textId="77777777" w:rsidR="00B02183" w:rsidRPr="007C4D65" w:rsidRDefault="00B02183" w:rsidP="00B6017F">
            <w:pPr>
              <w:pStyle w:val="NormalWeb"/>
              <w:spacing w:line="276" w:lineRule="auto"/>
              <w:rPr>
                <w:rFonts w:asciiTheme="minorHAnsi" w:hAnsiTheme="minorHAnsi" w:cstheme="minorHAnsi"/>
                <w:sz w:val="18"/>
                <w:szCs w:val="18"/>
              </w:rPr>
            </w:pPr>
            <w:r w:rsidRPr="007C4D65">
              <w:rPr>
                <w:rFonts w:asciiTheme="minorHAnsi" w:hAnsiTheme="minorHAnsi" w:cstheme="minorHAnsi"/>
                <w:sz w:val="18"/>
              </w:rPr>
              <w:t>a.1 611,854 t/y (2020)</w:t>
            </w:r>
          </w:p>
          <w:p w14:paraId="06D34AD6"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72EAA771"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2F268E49" w14:textId="77777777" w:rsidR="00B02183" w:rsidRPr="007C4D65" w:rsidRDefault="00B02183" w:rsidP="00B6017F">
            <w:pPr>
              <w:spacing w:after="120" w:line="276" w:lineRule="auto"/>
              <w:contextualSpacing/>
              <w:rPr>
                <w:rFonts w:asciiTheme="minorHAnsi" w:hAnsiTheme="minorHAnsi" w:cstheme="minorHAnsi"/>
                <w:sz w:val="18"/>
                <w:szCs w:val="18"/>
                <w:lang w:val="hr-HR"/>
              </w:rPr>
            </w:pPr>
          </w:p>
          <w:p w14:paraId="752D4E13" w14:textId="77777777" w:rsidR="00B02183" w:rsidRPr="007C4D65" w:rsidRDefault="00B02183" w:rsidP="00B6017F">
            <w:pPr>
              <w:spacing w:after="120" w:line="276" w:lineRule="auto"/>
              <w:contextualSpacing/>
              <w:rPr>
                <w:rFonts w:asciiTheme="minorHAnsi" w:hAnsiTheme="minorHAnsi" w:cstheme="minorHAnsi"/>
                <w:sz w:val="18"/>
                <w:szCs w:val="18"/>
              </w:rPr>
            </w:pPr>
            <w:r w:rsidRPr="007C4D65">
              <w:rPr>
                <w:rFonts w:asciiTheme="minorHAnsi" w:hAnsiTheme="minorHAnsi" w:cstheme="minorHAnsi"/>
                <w:sz w:val="18"/>
              </w:rPr>
              <w:t>a.2 68% (2018)</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6191AA6"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a.1 Amounts of household waste collected through public waste transport services increased </w:t>
            </w:r>
            <w:proofErr w:type="gramStart"/>
            <w:r w:rsidRPr="007C4D65">
              <w:rPr>
                <w:rFonts w:asciiTheme="minorHAnsi" w:hAnsiTheme="minorHAnsi" w:cstheme="minorHAnsi"/>
                <w:sz w:val="18"/>
              </w:rPr>
              <w:t>so as to</w:t>
            </w:r>
            <w:proofErr w:type="gramEnd"/>
            <w:r w:rsidRPr="007C4D65">
              <w:rPr>
                <w:rFonts w:asciiTheme="minorHAnsi" w:hAnsiTheme="minorHAnsi" w:cstheme="minorHAnsi"/>
                <w:sz w:val="18"/>
              </w:rPr>
              <w:t xml:space="preserve"> ensure collection of no less than 95% of municipal waste generated</w:t>
            </w:r>
          </w:p>
          <w:p w14:paraId="6C2033EF" w14:textId="77777777" w:rsidR="00B02183" w:rsidRPr="007C4D65" w:rsidRDefault="00B02183" w:rsidP="00B6017F">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a.2 The percentage of the population covered with organised waste collection increased to 100% in urban areas and to 90% in rural areas </w:t>
            </w:r>
          </w:p>
        </w:tc>
      </w:tr>
      <w:tr w:rsidR="00B02183" w:rsidRPr="007C4D65" w14:paraId="5BE9483A" w14:textId="77777777" w:rsidTr="00B6017F">
        <w:trPr>
          <w:trHeight w:val="287"/>
        </w:trPr>
        <w:tc>
          <w:tcPr>
            <w:tcW w:w="658" w:type="pct"/>
            <w:vMerge/>
            <w:shd w:val="clear" w:color="auto" w:fill="D9D9D9"/>
            <w:vAlign w:val="center"/>
          </w:tcPr>
          <w:p w14:paraId="70E48BB3"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AD05528"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755F8E35" w14:textId="77777777" w:rsidR="00B02183" w:rsidRPr="007C4D65" w:rsidRDefault="00B02183" w:rsidP="00B6017F">
            <w:pPr>
              <w:pStyle w:val="NormalWeb"/>
              <w:spacing w:before="40" w:after="40" w:line="276" w:lineRule="auto"/>
              <w:rPr>
                <w:rFonts w:asciiTheme="minorHAnsi" w:hAnsiTheme="minorHAnsi" w:cstheme="minorHAnsi"/>
                <w:sz w:val="18"/>
                <w:szCs w:val="18"/>
              </w:rPr>
            </w:pPr>
            <w:r w:rsidRPr="007C4D65">
              <w:rPr>
                <w:rFonts w:asciiTheme="minorHAnsi" w:hAnsiTheme="minorHAnsi" w:cstheme="minorHAnsi"/>
                <w:sz w:val="18"/>
              </w:rPr>
              <w:t xml:space="preserve">b. Waste management - total amounts </w:t>
            </w:r>
          </w:p>
          <w:p w14:paraId="6DDF8DAC"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344AFA98" w14:textId="77777777" w:rsidR="00B02183" w:rsidRPr="007C4D65" w:rsidRDefault="00B02183" w:rsidP="00B6017F">
            <w:pPr>
              <w:pStyle w:val="NormalWeb"/>
              <w:spacing w:before="40" w:after="40" w:line="276" w:lineRule="auto"/>
              <w:rPr>
                <w:rFonts w:asciiTheme="minorHAnsi" w:hAnsiTheme="minorHAnsi" w:cstheme="minorHAnsi"/>
                <w:sz w:val="18"/>
                <w:szCs w:val="18"/>
              </w:rPr>
            </w:pPr>
            <w:r w:rsidRPr="007C4D65">
              <w:rPr>
                <w:rFonts w:asciiTheme="minorHAnsi" w:hAnsiTheme="minorHAnsi" w:cstheme="minorHAnsi"/>
                <w:sz w:val="18"/>
              </w:rPr>
              <w:t xml:space="preserve">Annual amounts of waste dispatched for treatment/disposal/export‒ a total = 1% of the waste generated </w:t>
            </w:r>
          </w:p>
          <w:p w14:paraId="3B7C5D7B" w14:textId="77777777" w:rsidR="00B02183" w:rsidRPr="007C4D65" w:rsidRDefault="00B02183" w:rsidP="00B6017F">
            <w:pPr>
              <w:pStyle w:val="NormalWeb"/>
              <w:spacing w:before="40" w:after="40" w:line="276" w:lineRule="auto"/>
              <w:rPr>
                <w:rFonts w:asciiTheme="minorHAnsi" w:hAnsiTheme="minorHAnsi" w:cstheme="minorHAnsi"/>
                <w:sz w:val="18"/>
                <w:szCs w:val="18"/>
              </w:rPr>
            </w:pPr>
            <w:r w:rsidRPr="007C4D65">
              <w:rPr>
                <w:rFonts w:asciiTheme="minorHAnsi" w:hAnsiTheme="minorHAnsi" w:cstheme="minorHAnsi"/>
                <w:sz w:val="18"/>
              </w:rPr>
              <w:t>or</w:t>
            </w:r>
          </w:p>
          <w:p w14:paraId="7F76D623" w14:textId="525A297C" w:rsidR="00B02183" w:rsidRPr="007C4D65" w:rsidRDefault="00B02183" w:rsidP="000E68A5">
            <w:pPr>
              <w:pStyle w:val="NormalWeb"/>
              <w:spacing w:before="40" w:after="40" w:line="276" w:lineRule="auto"/>
              <w:rPr>
                <w:rFonts w:asciiTheme="minorHAnsi" w:hAnsiTheme="minorHAnsi" w:cstheme="minorHAnsi"/>
                <w:sz w:val="18"/>
                <w:szCs w:val="18"/>
                <w:lang w:val="hr-HR"/>
              </w:rPr>
            </w:pPr>
            <w:r w:rsidRPr="007C4D65">
              <w:rPr>
                <w:rFonts w:asciiTheme="minorHAnsi" w:hAnsiTheme="minorHAnsi" w:cstheme="minorHAnsi"/>
                <w:sz w:val="18"/>
              </w:rPr>
              <w:t xml:space="preserve">Small </w:t>
            </w:r>
            <w:r w:rsidR="00830279" w:rsidRPr="007C4D65">
              <w:rPr>
                <w:rFonts w:asciiTheme="minorHAnsi" w:hAnsiTheme="minorHAnsi" w:cstheme="minorHAnsi"/>
                <w:sz w:val="18"/>
              </w:rPr>
              <w:t>quantities</w:t>
            </w:r>
            <w:r w:rsidRPr="007C4D65">
              <w:rPr>
                <w:rFonts w:asciiTheme="minorHAnsi" w:hAnsiTheme="minorHAnsi" w:cstheme="minorHAnsi"/>
                <w:sz w:val="18"/>
              </w:rPr>
              <w:t xml:space="preserve"> of municipal waste processed in R treatment procedures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D01F880" w14:textId="77777777" w:rsidR="00B02183" w:rsidRPr="007C4D65" w:rsidRDefault="00B02183" w:rsidP="00B6017F">
            <w:pPr>
              <w:pStyle w:val="NormalWeb"/>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Annual amounts of waste dispatched for treatment/disposal/export‒ a total = 30% of the waste generated </w:t>
            </w:r>
          </w:p>
          <w:p w14:paraId="1FA6FCAD" w14:textId="77777777" w:rsidR="00B02183" w:rsidRPr="007C4D65" w:rsidRDefault="00B02183" w:rsidP="00B6017F">
            <w:pPr>
              <w:pStyle w:val="NormalWeb"/>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or</w:t>
            </w:r>
          </w:p>
          <w:p w14:paraId="643838D6" w14:textId="77777777" w:rsidR="00B02183" w:rsidRPr="007C4D65" w:rsidRDefault="00B02183" w:rsidP="00B6017F">
            <w:pPr>
              <w:spacing w:line="276" w:lineRule="auto"/>
              <w:ind w:left="69"/>
              <w:rPr>
                <w:rFonts w:asciiTheme="minorHAnsi" w:hAnsiTheme="minorHAnsi" w:cstheme="minorHAnsi"/>
                <w:sz w:val="18"/>
                <w:szCs w:val="18"/>
              </w:rPr>
            </w:pPr>
            <w:r w:rsidRPr="007C4D65">
              <w:rPr>
                <w:rFonts w:asciiTheme="minorHAnsi" w:hAnsiTheme="minorHAnsi" w:cstheme="minorHAnsi"/>
                <w:sz w:val="18"/>
              </w:rPr>
              <w:t>Amounts of municipal waste processed in R treatment procedures increased to 30% of the waste generated as compared to the base year (2032)</w:t>
            </w:r>
          </w:p>
        </w:tc>
      </w:tr>
      <w:tr w:rsidR="00B02183" w:rsidRPr="007C4D65" w14:paraId="028751E9" w14:textId="77777777" w:rsidTr="00B6017F">
        <w:trPr>
          <w:trHeight w:val="287"/>
        </w:trPr>
        <w:tc>
          <w:tcPr>
            <w:tcW w:w="658" w:type="pct"/>
            <w:vMerge/>
            <w:shd w:val="clear" w:color="auto" w:fill="D9D9D9"/>
            <w:vAlign w:val="center"/>
          </w:tcPr>
          <w:p w14:paraId="1F84B4C9"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1184315"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54099738" w14:textId="70F711E2" w:rsidR="00B02183" w:rsidRPr="007C4D65" w:rsidRDefault="00B02183" w:rsidP="000E68A5">
            <w:pPr>
              <w:pStyle w:val="NormalWeb"/>
              <w:spacing w:before="40" w:after="40" w:line="276" w:lineRule="auto"/>
              <w:rPr>
                <w:rFonts w:asciiTheme="minorHAnsi" w:hAnsiTheme="minorHAnsi" w:cstheme="minorHAnsi"/>
                <w:sz w:val="18"/>
                <w:szCs w:val="18"/>
                <w:lang w:val="hr-HR"/>
              </w:rPr>
            </w:pPr>
            <w:r w:rsidRPr="007C4D65">
              <w:rPr>
                <w:rFonts w:asciiTheme="minorHAnsi" w:hAnsiTheme="minorHAnsi" w:cstheme="minorHAnsi"/>
                <w:color w:val="000000" w:themeColor="text1"/>
                <w:sz w:val="18"/>
              </w:rPr>
              <w:t xml:space="preserve">c.1 </w:t>
            </w:r>
            <w:r w:rsidR="00830279" w:rsidRPr="007C4D65">
              <w:rPr>
                <w:rFonts w:asciiTheme="minorHAnsi" w:hAnsiTheme="minorHAnsi" w:cstheme="minorHAnsi"/>
                <w:color w:val="000000" w:themeColor="text1"/>
                <w:sz w:val="18"/>
              </w:rPr>
              <w:t>Treatment</w:t>
            </w:r>
            <w:r w:rsidRPr="007C4D65">
              <w:rPr>
                <w:rFonts w:asciiTheme="minorHAnsi" w:hAnsiTheme="minorHAnsi" w:cstheme="minorHAnsi"/>
                <w:color w:val="000000" w:themeColor="text1"/>
                <w:sz w:val="18"/>
              </w:rPr>
              <w:t xml:space="preserve"> and </w:t>
            </w:r>
            <w:r w:rsidR="00830279" w:rsidRPr="007C4D65">
              <w:rPr>
                <w:rFonts w:asciiTheme="minorHAnsi" w:hAnsiTheme="minorHAnsi" w:cstheme="minorHAnsi"/>
                <w:color w:val="000000" w:themeColor="text1"/>
                <w:sz w:val="18"/>
              </w:rPr>
              <w:t>disposal</w:t>
            </w:r>
            <w:r w:rsidRPr="007C4D65">
              <w:rPr>
                <w:rFonts w:asciiTheme="minorHAnsi" w:hAnsiTheme="minorHAnsi" w:cstheme="minorHAnsi"/>
                <w:color w:val="000000" w:themeColor="text1"/>
                <w:sz w:val="18"/>
              </w:rPr>
              <w:t xml:space="preserve"> capacities (buildings)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0EFB2626"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 xml:space="preserve">c. 1.1 number of municipal/city recycling yards for separate collection of different types of municipal waste 7 </w:t>
            </w:r>
          </w:p>
          <w:p w14:paraId="53F33B5F"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C.1.2 number of disposal sites - by types of disposal site 7 regional and 74 municipal landfills</w:t>
            </w:r>
          </w:p>
          <w:p w14:paraId="353994DD"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c.1.3 Number of regional waste management centres (no.): 1 (Sarajevo)</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D10A498" w14:textId="27E13773"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Number of facilities for </w:t>
            </w:r>
            <w:r w:rsidR="00830279" w:rsidRPr="007C4D65">
              <w:rPr>
                <w:rFonts w:asciiTheme="minorHAnsi" w:hAnsiTheme="minorHAnsi" w:cstheme="minorHAnsi"/>
                <w:sz w:val="18"/>
              </w:rPr>
              <w:t>treatment</w:t>
            </w:r>
            <w:r w:rsidRPr="007C4D65">
              <w:rPr>
                <w:rFonts w:asciiTheme="minorHAnsi" w:hAnsiTheme="minorHAnsi" w:cstheme="minorHAnsi"/>
                <w:sz w:val="18"/>
              </w:rPr>
              <w:t xml:space="preserve"> and disposal of waste increased as </w:t>
            </w:r>
            <w:proofErr w:type="gramStart"/>
            <w:r w:rsidRPr="007C4D65">
              <w:rPr>
                <w:rFonts w:asciiTheme="minorHAnsi" w:hAnsiTheme="minorHAnsi" w:cstheme="minorHAnsi"/>
                <w:sz w:val="18"/>
              </w:rPr>
              <w:t>compare</w:t>
            </w:r>
            <w:proofErr w:type="gramEnd"/>
            <w:r w:rsidRPr="007C4D65">
              <w:rPr>
                <w:rFonts w:asciiTheme="minorHAnsi" w:hAnsiTheme="minorHAnsi" w:cstheme="minorHAnsi"/>
                <w:sz w:val="18"/>
              </w:rPr>
              <w:t xml:space="preserve"> to the base year (2023)</w:t>
            </w:r>
          </w:p>
        </w:tc>
      </w:tr>
      <w:tr w:rsidR="00B02183" w:rsidRPr="007C4D65" w14:paraId="59A7906D" w14:textId="77777777" w:rsidTr="00B6017F">
        <w:trPr>
          <w:trHeight w:val="483"/>
        </w:trPr>
        <w:tc>
          <w:tcPr>
            <w:tcW w:w="658" w:type="pct"/>
            <w:vMerge/>
            <w:shd w:val="clear" w:color="auto" w:fill="D9D9D9"/>
            <w:vAlign w:val="center"/>
            <w:hideMark/>
          </w:tcPr>
          <w:p w14:paraId="1C5E0055"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D3F888F"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hideMark/>
          </w:tcPr>
          <w:p w14:paraId="6966B1F5" w14:textId="4B800E8D"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hemeFill="background1" w:themeFillShade="D9"/>
            <w:tcMar>
              <w:top w:w="0" w:type="dxa"/>
              <w:left w:w="108" w:type="dxa"/>
              <w:bottom w:w="0" w:type="dxa"/>
              <w:right w:w="108" w:type="dxa"/>
            </w:tcMar>
            <w:vAlign w:val="center"/>
            <w:hideMark/>
          </w:tcPr>
          <w:p w14:paraId="23C6064E"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hemeFill="background1" w:themeFillShade="D9"/>
            <w:tcMar>
              <w:top w:w="0" w:type="dxa"/>
              <w:left w:w="108" w:type="dxa"/>
              <w:bottom w:w="0" w:type="dxa"/>
              <w:right w:w="108" w:type="dxa"/>
            </w:tcMar>
            <w:vAlign w:val="center"/>
            <w:hideMark/>
          </w:tcPr>
          <w:p w14:paraId="7EECB34D"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551C8713" w14:textId="77777777" w:rsidTr="00B6017F">
        <w:trPr>
          <w:trHeight w:val="287"/>
        </w:trPr>
        <w:tc>
          <w:tcPr>
            <w:tcW w:w="658" w:type="pct"/>
            <w:vMerge/>
            <w:shd w:val="clear" w:color="auto" w:fill="D9D9D9"/>
            <w:vAlign w:val="center"/>
            <w:hideMark/>
          </w:tcPr>
          <w:p w14:paraId="0C5C7E64"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3697F2B"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1408158"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52.7</w:t>
            </w:r>
          </w:p>
        </w:tc>
        <w:tc>
          <w:tcPr>
            <w:tcW w:w="1159" w:type="pct"/>
            <w:tcMar>
              <w:top w:w="0" w:type="dxa"/>
              <w:left w:w="108" w:type="dxa"/>
              <w:bottom w:w="0" w:type="dxa"/>
              <w:right w:w="108" w:type="dxa"/>
            </w:tcMar>
            <w:vAlign w:val="center"/>
          </w:tcPr>
          <w:p w14:paraId="72AED5F2"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474.3</w:t>
            </w:r>
          </w:p>
        </w:tc>
        <w:tc>
          <w:tcPr>
            <w:tcW w:w="1159" w:type="pct"/>
            <w:tcMar>
              <w:top w:w="0" w:type="dxa"/>
              <w:left w:w="108" w:type="dxa"/>
              <w:bottom w:w="0" w:type="dxa"/>
              <w:right w:w="108" w:type="dxa"/>
            </w:tcMar>
            <w:vAlign w:val="center"/>
          </w:tcPr>
          <w:p w14:paraId="3852A1F8"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527.09</w:t>
            </w:r>
          </w:p>
        </w:tc>
      </w:tr>
      <w:tr w:rsidR="00B02183" w:rsidRPr="007C4D65" w14:paraId="012E5C41"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4276D7E4" w14:textId="77777777" w:rsidR="00B02183" w:rsidRPr="007C4D65" w:rsidRDefault="00B02183"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2.4.3 Measure</w:t>
            </w:r>
          </w:p>
        </w:tc>
        <w:tc>
          <w:tcPr>
            <w:tcW w:w="864" w:type="pct"/>
            <w:vMerge w:val="restart"/>
            <w:tcMar>
              <w:top w:w="0" w:type="dxa"/>
              <w:left w:w="108" w:type="dxa"/>
              <w:bottom w:w="0" w:type="dxa"/>
              <w:right w:w="108" w:type="dxa"/>
            </w:tcMar>
            <w:vAlign w:val="center"/>
          </w:tcPr>
          <w:p w14:paraId="6445268F"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Programme aimed at reducing the quantity of municipal waste disposed at landfills</w:t>
            </w:r>
          </w:p>
        </w:tc>
        <w:tc>
          <w:tcPr>
            <w:tcW w:w="1159" w:type="pct"/>
            <w:shd w:val="clear" w:color="auto" w:fill="D9D9D9" w:themeFill="background1" w:themeFillShade="D9"/>
            <w:tcMar>
              <w:top w:w="0" w:type="dxa"/>
              <w:left w:w="108" w:type="dxa"/>
              <w:bottom w:w="0" w:type="dxa"/>
              <w:right w:w="108" w:type="dxa"/>
            </w:tcMar>
            <w:vAlign w:val="center"/>
            <w:hideMark/>
          </w:tcPr>
          <w:p w14:paraId="4BE528E5"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hemeFill="background1" w:themeFillShade="D9"/>
            <w:tcMar>
              <w:top w:w="0" w:type="dxa"/>
              <w:left w:w="108" w:type="dxa"/>
              <w:bottom w:w="0" w:type="dxa"/>
              <w:right w:w="108" w:type="dxa"/>
            </w:tcMar>
            <w:vAlign w:val="center"/>
            <w:hideMark/>
          </w:tcPr>
          <w:p w14:paraId="315EB714"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hemeFill="background1" w:themeFillShade="D9"/>
            <w:vAlign w:val="center"/>
          </w:tcPr>
          <w:p w14:paraId="19A24499"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0F1E1423" w14:textId="77777777" w:rsidTr="00B6017F">
        <w:trPr>
          <w:trHeight w:val="287"/>
        </w:trPr>
        <w:tc>
          <w:tcPr>
            <w:tcW w:w="658" w:type="pct"/>
            <w:vMerge/>
            <w:shd w:val="clear" w:color="auto" w:fill="D9D9D9"/>
            <w:vAlign w:val="center"/>
          </w:tcPr>
          <w:p w14:paraId="6A95E5B4"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39A1E29"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1A83BBD3"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a. The quantity of waste generated annually per capita (kg/dwelling/day) </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4AC95895"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 xml:space="preserve">1,1 kg/dwelling/day </w:t>
            </w:r>
          </w:p>
          <w:p w14:paraId="2958182F"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(2020)</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97E58B6" w14:textId="368E78AD" w:rsidR="00B02183" w:rsidRPr="007C4D65" w:rsidRDefault="00B02183" w:rsidP="000E68A5">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Less than 0.9 kg/dwelling/day</w:t>
            </w:r>
            <w:r w:rsidR="000E68A5" w:rsidRPr="007C4D65">
              <w:rPr>
                <w:rFonts w:asciiTheme="minorHAnsi" w:hAnsiTheme="minorHAnsi" w:cstheme="minorHAnsi"/>
                <w:sz w:val="18"/>
              </w:rPr>
              <w:t xml:space="preserve"> </w:t>
            </w:r>
            <w:r w:rsidRPr="007C4D65">
              <w:rPr>
                <w:rFonts w:asciiTheme="minorHAnsi" w:hAnsiTheme="minorHAnsi" w:cstheme="minorHAnsi"/>
                <w:sz w:val="18"/>
              </w:rPr>
              <w:t>(2032)</w:t>
            </w:r>
          </w:p>
        </w:tc>
      </w:tr>
      <w:tr w:rsidR="00B02183" w:rsidRPr="007C4D65" w14:paraId="242D4C6D" w14:textId="77777777" w:rsidTr="00B6017F">
        <w:trPr>
          <w:trHeight w:val="287"/>
        </w:trPr>
        <w:tc>
          <w:tcPr>
            <w:tcW w:w="658" w:type="pct"/>
            <w:vMerge/>
            <w:shd w:val="clear" w:color="auto" w:fill="D9D9D9"/>
            <w:vAlign w:val="center"/>
          </w:tcPr>
          <w:p w14:paraId="0FF74A46"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CE924D1"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3736210C"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b. The quantity of biodegradable waste</w:t>
            </w:r>
            <w:r w:rsidRPr="007C4D65">
              <w:rPr>
                <w:rFonts w:asciiTheme="minorHAnsi" w:hAnsiTheme="minorHAnsi" w:cstheme="minorHAnsi"/>
                <w:sz w:val="18"/>
              </w:rPr>
              <w:br/>
              <w:t xml:space="preserve">landfilled </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329E88E6"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100%</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261274B" w14:textId="440D0F04" w:rsidR="00B02183" w:rsidRPr="007C4D65" w:rsidRDefault="00B02183" w:rsidP="000E68A5">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Creating conditions for separate collection of 10% of the total amount </w:t>
            </w:r>
            <w:proofErr w:type="gramStart"/>
            <w:r w:rsidRPr="007C4D65">
              <w:rPr>
                <w:rFonts w:asciiTheme="minorHAnsi" w:hAnsiTheme="minorHAnsi" w:cstheme="minorHAnsi"/>
                <w:sz w:val="18"/>
              </w:rPr>
              <w:t>of  biodegradable</w:t>
            </w:r>
            <w:proofErr w:type="gramEnd"/>
            <w:r w:rsidRPr="007C4D65">
              <w:rPr>
                <w:rFonts w:asciiTheme="minorHAnsi" w:hAnsiTheme="minorHAnsi" w:cstheme="minorHAnsi"/>
                <w:sz w:val="18"/>
              </w:rPr>
              <w:t xml:space="preserve"> waste typically contained  in municipal waste</w:t>
            </w:r>
            <w:r w:rsidR="000E68A5" w:rsidRPr="007C4D65">
              <w:rPr>
                <w:rFonts w:asciiTheme="minorHAnsi" w:hAnsiTheme="minorHAnsi" w:cstheme="minorHAnsi"/>
                <w:sz w:val="18"/>
              </w:rPr>
              <w:t xml:space="preserve"> </w:t>
            </w:r>
            <w:r w:rsidRPr="007C4D65">
              <w:rPr>
                <w:rFonts w:asciiTheme="minorHAnsi" w:hAnsiTheme="minorHAnsi" w:cstheme="minorHAnsi"/>
                <w:sz w:val="18"/>
              </w:rPr>
              <w:t>(2032)</w:t>
            </w:r>
          </w:p>
        </w:tc>
      </w:tr>
      <w:tr w:rsidR="00B02183" w:rsidRPr="007C4D65" w14:paraId="33DA41EA" w14:textId="77777777" w:rsidTr="00B6017F">
        <w:trPr>
          <w:trHeight w:val="287"/>
        </w:trPr>
        <w:tc>
          <w:tcPr>
            <w:tcW w:w="658" w:type="pct"/>
            <w:vMerge/>
            <w:shd w:val="clear" w:color="auto" w:fill="D9D9D9"/>
            <w:vAlign w:val="center"/>
          </w:tcPr>
          <w:p w14:paraId="78D9C5D0"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586C30F"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2DF5F217"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ç </w:t>
            </w:r>
            <w:proofErr w:type="gramStart"/>
            <w:r w:rsidRPr="007C4D65">
              <w:rPr>
                <w:rFonts w:asciiTheme="minorHAnsi" w:hAnsiTheme="minorHAnsi" w:cstheme="minorHAnsi"/>
                <w:sz w:val="18"/>
              </w:rPr>
              <w:t>The</w:t>
            </w:r>
            <w:proofErr w:type="gramEnd"/>
            <w:r w:rsidRPr="007C4D65">
              <w:rPr>
                <w:rFonts w:asciiTheme="minorHAnsi" w:hAnsiTheme="minorHAnsi" w:cstheme="minorHAnsi"/>
                <w:sz w:val="18"/>
              </w:rPr>
              <w:t xml:space="preserve"> amount of waste processed in R treatment procedures, particularly for municipal waste</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4F551573"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0%</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E24C65B" w14:textId="77777777" w:rsidR="00B02183" w:rsidRPr="007C4D65" w:rsidRDefault="00B02183" w:rsidP="00B6017F">
            <w:pPr>
              <w:spacing w:line="276" w:lineRule="auto"/>
              <w:ind w:left="69"/>
              <w:rPr>
                <w:rFonts w:asciiTheme="minorHAnsi" w:hAnsiTheme="minorHAnsi" w:cstheme="minorHAnsi"/>
                <w:sz w:val="18"/>
                <w:szCs w:val="18"/>
              </w:rPr>
            </w:pPr>
            <w:r w:rsidRPr="007C4D65">
              <w:rPr>
                <w:rFonts w:asciiTheme="minorHAnsi" w:hAnsiTheme="minorHAnsi" w:cstheme="minorHAnsi"/>
                <w:sz w:val="18"/>
              </w:rPr>
              <w:t>Increase of the quantity of municipal waste treated in R treatment procedures as compared to the base year (2032)</w:t>
            </w:r>
          </w:p>
        </w:tc>
      </w:tr>
      <w:tr w:rsidR="00B02183" w:rsidRPr="007C4D65" w14:paraId="75702E1B" w14:textId="77777777" w:rsidTr="00B6017F">
        <w:trPr>
          <w:trHeight w:val="483"/>
        </w:trPr>
        <w:tc>
          <w:tcPr>
            <w:tcW w:w="658" w:type="pct"/>
            <w:vMerge/>
            <w:shd w:val="clear" w:color="auto" w:fill="D9D9D9"/>
            <w:vAlign w:val="center"/>
            <w:hideMark/>
          </w:tcPr>
          <w:p w14:paraId="571F71F7"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6C640744"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hideMark/>
          </w:tcPr>
          <w:p w14:paraId="5477A32E" w14:textId="44E96BBA"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hemeFill="background1" w:themeFillShade="D9"/>
            <w:tcMar>
              <w:top w:w="0" w:type="dxa"/>
              <w:left w:w="108" w:type="dxa"/>
              <w:bottom w:w="0" w:type="dxa"/>
              <w:right w:w="108" w:type="dxa"/>
            </w:tcMar>
            <w:vAlign w:val="center"/>
            <w:hideMark/>
          </w:tcPr>
          <w:p w14:paraId="0CBBEFB6"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hemeFill="background1" w:themeFillShade="D9"/>
            <w:tcMar>
              <w:top w:w="0" w:type="dxa"/>
              <w:left w:w="108" w:type="dxa"/>
              <w:bottom w:w="0" w:type="dxa"/>
              <w:right w:w="108" w:type="dxa"/>
            </w:tcMar>
            <w:vAlign w:val="center"/>
            <w:hideMark/>
          </w:tcPr>
          <w:p w14:paraId="20E7BDFC"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1CB424E3" w14:textId="77777777" w:rsidTr="00B6017F">
        <w:trPr>
          <w:trHeight w:val="287"/>
        </w:trPr>
        <w:tc>
          <w:tcPr>
            <w:tcW w:w="658" w:type="pct"/>
            <w:vMerge/>
            <w:shd w:val="clear" w:color="auto" w:fill="D9D9D9"/>
            <w:vAlign w:val="center"/>
            <w:hideMark/>
          </w:tcPr>
          <w:p w14:paraId="6BA5BF89"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0B1E32E"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36531A7"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0.944</w:t>
            </w:r>
          </w:p>
        </w:tc>
        <w:tc>
          <w:tcPr>
            <w:tcW w:w="1159" w:type="pct"/>
            <w:tcMar>
              <w:top w:w="0" w:type="dxa"/>
              <w:left w:w="108" w:type="dxa"/>
              <w:bottom w:w="0" w:type="dxa"/>
              <w:right w:w="108" w:type="dxa"/>
            </w:tcMar>
            <w:vAlign w:val="center"/>
          </w:tcPr>
          <w:p w14:paraId="6C2EBA9E"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3.7</w:t>
            </w:r>
          </w:p>
        </w:tc>
        <w:tc>
          <w:tcPr>
            <w:tcW w:w="1159" w:type="pct"/>
            <w:tcMar>
              <w:top w:w="0" w:type="dxa"/>
              <w:left w:w="108" w:type="dxa"/>
              <w:bottom w:w="0" w:type="dxa"/>
              <w:right w:w="108" w:type="dxa"/>
            </w:tcMar>
            <w:vAlign w:val="center"/>
          </w:tcPr>
          <w:p w14:paraId="57BA2F44"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4.7</w:t>
            </w:r>
          </w:p>
        </w:tc>
      </w:tr>
    </w:tbl>
    <w:p w14:paraId="45F7E27E" w14:textId="77777777" w:rsidR="00B02183" w:rsidRPr="007C4D65" w:rsidRDefault="00B02183" w:rsidP="00B02183">
      <w:pPr>
        <w:spacing w:line="276" w:lineRule="auto"/>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0E54B147" w14:textId="77777777" w:rsidTr="00B6017F">
        <w:trPr>
          <w:trHeight w:val="384"/>
        </w:trPr>
        <w:tc>
          <w:tcPr>
            <w:tcW w:w="658" w:type="pct"/>
            <w:vMerge w:val="restart"/>
            <w:shd w:val="clear" w:color="auto" w:fill="D9D9D9"/>
            <w:tcMar>
              <w:top w:w="0" w:type="dxa"/>
              <w:left w:w="108" w:type="dxa"/>
              <w:bottom w:w="0" w:type="dxa"/>
              <w:right w:w="108" w:type="dxa"/>
            </w:tcMar>
            <w:vAlign w:val="center"/>
          </w:tcPr>
          <w:p w14:paraId="51B8E74B" w14:textId="77777777" w:rsidR="00B02183" w:rsidRPr="007C4D65" w:rsidRDefault="00B02183" w:rsidP="00B6017F">
            <w:pPr>
              <w:spacing w:after="120" w:line="276" w:lineRule="auto"/>
              <w:ind w:hanging="2"/>
              <w:contextualSpacing/>
              <w:rPr>
                <w:rFonts w:asciiTheme="minorHAnsi" w:hAnsiTheme="minorHAnsi" w:cstheme="minorHAnsi"/>
                <w:b/>
                <w:color w:val="000000" w:themeColor="text1"/>
                <w:sz w:val="18"/>
                <w:szCs w:val="18"/>
              </w:rPr>
            </w:pPr>
            <w:r w:rsidRPr="007C4D65">
              <w:rPr>
                <w:rFonts w:asciiTheme="minorHAnsi" w:hAnsiTheme="minorHAnsi" w:cstheme="minorHAnsi"/>
                <w:b/>
                <w:color w:val="000000" w:themeColor="text1"/>
                <w:sz w:val="18"/>
              </w:rPr>
              <w:t>2.5. Priority</w:t>
            </w:r>
          </w:p>
        </w:tc>
        <w:tc>
          <w:tcPr>
            <w:tcW w:w="864" w:type="pct"/>
            <w:vMerge w:val="restart"/>
            <w:tcMar>
              <w:top w:w="0" w:type="dxa"/>
              <w:left w:w="108" w:type="dxa"/>
              <w:bottom w:w="0" w:type="dxa"/>
              <w:right w:w="108" w:type="dxa"/>
            </w:tcMar>
            <w:vAlign w:val="center"/>
          </w:tcPr>
          <w:p w14:paraId="3D8E1B30" w14:textId="738D4677" w:rsidR="00B02183" w:rsidRPr="007C4D65" w:rsidRDefault="001547A8"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Improving the management of special wastes</w:t>
            </w:r>
          </w:p>
        </w:tc>
        <w:tc>
          <w:tcPr>
            <w:tcW w:w="1159" w:type="pct"/>
            <w:shd w:val="clear" w:color="auto" w:fill="D9D9D9" w:themeFill="background1" w:themeFillShade="D9"/>
            <w:tcMar>
              <w:top w:w="0" w:type="dxa"/>
              <w:left w:w="108" w:type="dxa"/>
              <w:bottom w:w="0" w:type="dxa"/>
              <w:right w:w="108" w:type="dxa"/>
            </w:tcMar>
            <w:vAlign w:val="center"/>
          </w:tcPr>
          <w:p w14:paraId="0FB5CC58" w14:textId="77777777" w:rsidR="00B02183" w:rsidRPr="007C4D65" w:rsidRDefault="00B02183"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hemeFill="background1" w:themeFillShade="D9"/>
            <w:tcMar>
              <w:top w:w="0" w:type="dxa"/>
              <w:left w:w="108" w:type="dxa"/>
              <w:bottom w:w="0" w:type="dxa"/>
              <w:right w:w="108" w:type="dxa"/>
            </w:tcMar>
            <w:vAlign w:val="center"/>
          </w:tcPr>
          <w:p w14:paraId="4C6CFF85"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hemeFill="background1" w:themeFillShade="D9"/>
            <w:tcMar>
              <w:top w:w="0" w:type="dxa"/>
              <w:left w:w="108" w:type="dxa"/>
              <w:bottom w:w="0" w:type="dxa"/>
              <w:right w:w="108" w:type="dxa"/>
            </w:tcMar>
            <w:vAlign w:val="center"/>
          </w:tcPr>
          <w:p w14:paraId="0C9369F6"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4C448BD1" w14:textId="77777777" w:rsidTr="00B6017F">
        <w:trPr>
          <w:trHeight w:val="287"/>
        </w:trPr>
        <w:tc>
          <w:tcPr>
            <w:tcW w:w="658" w:type="pct"/>
            <w:vMerge/>
            <w:shd w:val="clear" w:color="auto" w:fill="D9D9D9"/>
            <w:vAlign w:val="center"/>
            <w:hideMark/>
          </w:tcPr>
          <w:p w14:paraId="62219907"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3DF89023"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B535A89" w14:textId="4405F6DA" w:rsidR="00B02183" w:rsidRPr="007C4D65" w:rsidRDefault="00B02183" w:rsidP="000E68A5">
            <w:pPr>
              <w:spacing w:line="276" w:lineRule="auto"/>
              <w:rPr>
                <w:rFonts w:asciiTheme="minorHAnsi" w:hAnsiTheme="minorHAnsi" w:cstheme="minorHAnsi"/>
                <w:sz w:val="18"/>
                <w:szCs w:val="18"/>
                <w:lang w:val="hr-HR"/>
              </w:rPr>
            </w:pPr>
            <w:r w:rsidRPr="007C4D65">
              <w:rPr>
                <w:rFonts w:asciiTheme="minorHAnsi" w:hAnsiTheme="minorHAnsi" w:cstheme="minorHAnsi"/>
                <w:sz w:val="18"/>
              </w:rPr>
              <w:t>Amount of waste in R treatments ‒ special wastes</w:t>
            </w:r>
          </w:p>
        </w:tc>
        <w:tc>
          <w:tcPr>
            <w:tcW w:w="1159" w:type="pct"/>
            <w:tcMar>
              <w:top w:w="0" w:type="dxa"/>
              <w:left w:w="108" w:type="dxa"/>
              <w:bottom w:w="0" w:type="dxa"/>
              <w:right w:w="108" w:type="dxa"/>
            </w:tcMar>
          </w:tcPr>
          <w:p w14:paraId="07C4FCAF" w14:textId="77777777" w:rsidR="00B02183" w:rsidRPr="007C4D65" w:rsidRDefault="00B02183" w:rsidP="00B6017F">
            <w:pPr>
              <w:spacing w:line="276" w:lineRule="auto"/>
              <w:rPr>
                <w:rFonts w:asciiTheme="minorHAnsi" w:hAnsiTheme="minorHAnsi" w:cstheme="minorHAnsi"/>
                <w:sz w:val="18"/>
                <w:szCs w:val="18"/>
              </w:rPr>
            </w:pPr>
            <w:r w:rsidRPr="007C4D65">
              <w:rPr>
                <w:rFonts w:asciiTheme="minorHAnsi" w:hAnsiTheme="minorHAnsi" w:cstheme="minorHAnsi"/>
                <w:sz w:val="18"/>
              </w:rPr>
              <w:t>Data available only for the national level, and the amount is 225,993 t/y (2020)</w:t>
            </w:r>
          </w:p>
        </w:tc>
        <w:tc>
          <w:tcPr>
            <w:tcW w:w="1159" w:type="pct"/>
            <w:tcMar>
              <w:top w:w="0" w:type="dxa"/>
              <w:left w:w="108" w:type="dxa"/>
              <w:bottom w:w="0" w:type="dxa"/>
              <w:right w:w="108" w:type="dxa"/>
            </w:tcMar>
          </w:tcPr>
          <w:p w14:paraId="2B1E80EB" w14:textId="77777777" w:rsidR="00B02183" w:rsidRPr="007C4D65" w:rsidRDefault="00B02183"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Increased amount of municipal waste processed in R treatments by 50% as compared to the base year (2032)</w:t>
            </w:r>
          </w:p>
        </w:tc>
      </w:tr>
      <w:tr w:rsidR="00B02183" w:rsidRPr="007C4D65" w14:paraId="33055BAD" w14:textId="77777777" w:rsidTr="00B6017F">
        <w:trPr>
          <w:trHeight w:val="287"/>
        </w:trPr>
        <w:tc>
          <w:tcPr>
            <w:tcW w:w="658" w:type="pct"/>
            <w:vMerge/>
            <w:shd w:val="clear" w:color="auto" w:fill="D9D9D9"/>
            <w:vAlign w:val="center"/>
            <w:hideMark/>
          </w:tcPr>
          <w:p w14:paraId="7CB49F99"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385BA625"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hemeFill="background1" w:themeFillShade="D9"/>
            <w:tcMar>
              <w:top w:w="0" w:type="dxa"/>
              <w:left w:w="108" w:type="dxa"/>
              <w:bottom w:w="0" w:type="dxa"/>
              <w:right w:w="108" w:type="dxa"/>
            </w:tcMar>
            <w:vAlign w:val="center"/>
          </w:tcPr>
          <w:p w14:paraId="2F01B322" w14:textId="48A7858F"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hemeFill="background1" w:themeFillShade="D9"/>
            <w:tcMar>
              <w:top w:w="0" w:type="dxa"/>
              <w:left w:w="108" w:type="dxa"/>
              <w:bottom w:w="0" w:type="dxa"/>
              <w:right w:w="108" w:type="dxa"/>
            </w:tcMar>
            <w:vAlign w:val="center"/>
          </w:tcPr>
          <w:p w14:paraId="6F41E316"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hemeFill="background1" w:themeFillShade="D9"/>
            <w:tcMar>
              <w:top w:w="0" w:type="dxa"/>
              <w:left w:w="108" w:type="dxa"/>
              <w:bottom w:w="0" w:type="dxa"/>
              <w:right w:w="108" w:type="dxa"/>
            </w:tcMar>
            <w:vAlign w:val="center"/>
          </w:tcPr>
          <w:p w14:paraId="4DB1A4A0"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0D27163E" w14:textId="77777777" w:rsidTr="00B6017F">
        <w:trPr>
          <w:trHeight w:val="287"/>
        </w:trPr>
        <w:tc>
          <w:tcPr>
            <w:tcW w:w="658" w:type="pct"/>
            <w:vMerge/>
            <w:shd w:val="clear" w:color="auto" w:fill="D9D9D9"/>
            <w:vAlign w:val="center"/>
          </w:tcPr>
          <w:p w14:paraId="6F9AD59C"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201B2BE"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632DA3F"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10.3</w:t>
            </w:r>
          </w:p>
        </w:tc>
        <w:tc>
          <w:tcPr>
            <w:tcW w:w="1159" w:type="pct"/>
            <w:tcMar>
              <w:top w:w="0" w:type="dxa"/>
              <w:left w:w="108" w:type="dxa"/>
              <w:bottom w:w="0" w:type="dxa"/>
              <w:right w:w="108" w:type="dxa"/>
            </w:tcMar>
            <w:vAlign w:val="center"/>
          </w:tcPr>
          <w:p w14:paraId="57EB77B4"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92.1</w:t>
            </w:r>
          </w:p>
        </w:tc>
        <w:tc>
          <w:tcPr>
            <w:tcW w:w="1159" w:type="pct"/>
            <w:tcMar>
              <w:top w:w="0" w:type="dxa"/>
              <w:left w:w="108" w:type="dxa"/>
              <w:bottom w:w="0" w:type="dxa"/>
              <w:right w:w="108" w:type="dxa"/>
            </w:tcMar>
            <w:vAlign w:val="center"/>
          </w:tcPr>
          <w:p w14:paraId="7F5C25E7"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102.4</w:t>
            </w:r>
          </w:p>
        </w:tc>
      </w:tr>
    </w:tbl>
    <w:p w14:paraId="2F8CFDCC"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534C87D3" w14:textId="77777777" w:rsidTr="00B6017F">
        <w:trPr>
          <w:trHeight w:val="483"/>
        </w:trPr>
        <w:tc>
          <w:tcPr>
            <w:tcW w:w="658" w:type="pct"/>
            <w:vMerge w:val="restart"/>
            <w:shd w:val="clear" w:color="auto" w:fill="D9D9D9" w:themeFill="background1" w:themeFillShade="D9"/>
            <w:tcMar>
              <w:top w:w="0" w:type="dxa"/>
              <w:left w:w="108" w:type="dxa"/>
              <w:bottom w:w="0" w:type="dxa"/>
              <w:right w:w="108" w:type="dxa"/>
            </w:tcMar>
            <w:vAlign w:val="center"/>
            <w:hideMark/>
          </w:tcPr>
          <w:p w14:paraId="4EF15A91" w14:textId="77777777" w:rsidR="00B02183" w:rsidRPr="007C4D65" w:rsidRDefault="00B02183"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2.5.1 Measure</w:t>
            </w:r>
          </w:p>
        </w:tc>
        <w:tc>
          <w:tcPr>
            <w:tcW w:w="864" w:type="pct"/>
            <w:vMerge w:val="restart"/>
            <w:tcMar>
              <w:top w:w="0" w:type="dxa"/>
              <w:left w:w="108" w:type="dxa"/>
              <w:bottom w:w="0" w:type="dxa"/>
              <w:right w:w="108" w:type="dxa"/>
            </w:tcMar>
            <w:vAlign w:val="center"/>
          </w:tcPr>
          <w:p w14:paraId="1C2C5641"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Creating conditions for adequate collection and disposal of special wastes</w:t>
            </w:r>
          </w:p>
        </w:tc>
        <w:tc>
          <w:tcPr>
            <w:tcW w:w="1159" w:type="pct"/>
            <w:shd w:val="clear" w:color="auto" w:fill="D9D9D9" w:themeFill="background1" w:themeFillShade="D9"/>
            <w:tcMar>
              <w:top w:w="0" w:type="dxa"/>
              <w:left w:w="108" w:type="dxa"/>
              <w:bottom w:w="0" w:type="dxa"/>
              <w:right w:w="108" w:type="dxa"/>
            </w:tcMar>
            <w:vAlign w:val="center"/>
            <w:hideMark/>
          </w:tcPr>
          <w:p w14:paraId="6BF5AC77"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hemeFill="background1" w:themeFillShade="D9"/>
            <w:tcMar>
              <w:top w:w="0" w:type="dxa"/>
              <w:left w:w="108" w:type="dxa"/>
              <w:bottom w:w="0" w:type="dxa"/>
              <w:right w:w="108" w:type="dxa"/>
            </w:tcMar>
            <w:vAlign w:val="center"/>
            <w:hideMark/>
          </w:tcPr>
          <w:p w14:paraId="4AE63B8E"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hemeFill="background1" w:themeFillShade="D9"/>
            <w:vAlign w:val="center"/>
          </w:tcPr>
          <w:p w14:paraId="7D8786D5"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1DCD35D8" w14:textId="77777777" w:rsidTr="00B6017F">
        <w:trPr>
          <w:trHeight w:val="287"/>
        </w:trPr>
        <w:tc>
          <w:tcPr>
            <w:tcW w:w="658" w:type="pct"/>
            <w:vMerge/>
            <w:shd w:val="clear" w:color="auto" w:fill="D9D9D9" w:themeFill="background1" w:themeFillShade="D9"/>
            <w:vAlign w:val="center"/>
          </w:tcPr>
          <w:p w14:paraId="3A03799A"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25CDB84"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tcPr>
          <w:p w14:paraId="2F5E373D" w14:textId="77777777" w:rsidR="00B02183" w:rsidRPr="007C4D65" w:rsidRDefault="00B02183" w:rsidP="00B6017F">
            <w:pPr>
              <w:pStyle w:val="NormalWeb"/>
              <w:spacing w:before="40" w:after="40" w:line="276" w:lineRule="auto"/>
              <w:rPr>
                <w:rFonts w:asciiTheme="minorHAnsi" w:hAnsiTheme="minorHAnsi" w:cstheme="minorHAnsi"/>
                <w:sz w:val="18"/>
                <w:szCs w:val="18"/>
              </w:rPr>
            </w:pPr>
            <w:r w:rsidRPr="007C4D65">
              <w:rPr>
                <w:rFonts w:asciiTheme="minorHAnsi" w:hAnsiTheme="minorHAnsi" w:cstheme="minorHAnsi"/>
                <w:sz w:val="18"/>
              </w:rPr>
              <w:t>a.1 Recycling rate of packaging waste (%)</w:t>
            </w:r>
          </w:p>
          <w:p w14:paraId="4C79E24C"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7AEB4DDB"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3016B901"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72C42B4F"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6ABE6EA2"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26A71D49"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741B4A97"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56097139"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434986FA"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76CBF48A"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09715C87"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5CF76D66"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1B2CD167"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216A0CC0"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1D24B945" w14:textId="33DBE057" w:rsidR="00B02183" w:rsidRPr="007C4D65" w:rsidRDefault="00B02183" w:rsidP="000E68A5">
            <w:pPr>
              <w:pStyle w:val="NormalWeb"/>
              <w:spacing w:before="40" w:after="40" w:line="276" w:lineRule="auto"/>
              <w:rPr>
                <w:rFonts w:asciiTheme="minorHAnsi" w:hAnsiTheme="minorHAnsi" w:cstheme="minorHAnsi"/>
                <w:sz w:val="18"/>
                <w:szCs w:val="18"/>
                <w:lang w:val="hr-HR"/>
              </w:rPr>
            </w:pPr>
            <w:r w:rsidRPr="007C4D65">
              <w:rPr>
                <w:rFonts w:asciiTheme="minorHAnsi" w:hAnsiTheme="minorHAnsi" w:cstheme="minorHAnsi"/>
                <w:sz w:val="18"/>
              </w:rPr>
              <w:t>a.2 Recycling rate of WEEE (%)</w:t>
            </w:r>
          </w:p>
        </w:tc>
        <w:tc>
          <w:tcPr>
            <w:tcW w:w="1159" w:type="pct"/>
            <w:shd w:val="clear" w:color="auto" w:fill="FFFFFF"/>
            <w:tcMar>
              <w:top w:w="0" w:type="dxa"/>
              <w:left w:w="108" w:type="dxa"/>
              <w:bottom w:w="0" w:type="dxa"/>
              <w:right w:w="108" w:type="dxa"/>
            </w:tcMar>
          </w:tcPr>
          <w:p w14:paraId="24E44AA2" w14:textId="77777777" w:rsidR="00B02183" w:rsidRPr="007C4D65" w:rsidRDefault="00B02183" w:rsidP="00B6017F">
            <w:pPr>
              <w:pStyle w:val="NormalWeb"/>
              <w:spacing w:before="40" w:after="40" w:line="276" w:lineRule="auto"/>
              <w:rPr>
                <w:rFonts w:asciiTheme="minorHAnsi" w:hAnsiTheme="minorHAnsi" w:cstheme="minorHAnsi"/>
                <w:sz w:val="18"/>
                <w:szCs w:val="18"/>
              </w:rPr>
            </w:pPr>
            <w:r w:rsidRPr="007C4D65">
              <w:rPr>
                <w:rFonts w:asciiTheme="minorHAnsi" w:hAnsiTheme="minorHAnsi" w:cstheme="minorHAnsi"/>
                <w:sz w:val="18"/>
              </w:rPr>
              <w:t xml:space="preserve">a.1 </w:t>
            </w:r>
          </w:p>
          <w:p w14:paraId="650FF607" w14:textId="77777777" w:rsidR="00B02183" w:rsidRPr="007C4D65" w:rsidRDefault="00B02183" w:rsidP="00B6017F">
            <w:pPr>
              <w:pStyle w:val="NormalWeb"/>
              <w:spacing w:before="40" w:after="40" w:line="276" w:lineRule="auto"/>
              <w:rPr>
                <w:rFonts w:asciiTheme="minorHAnsi" w:hAnsiTheme="minorHAnsi" w:cstheme="minorHAnsi"/>
                <w:sz w:val="18"/>
                <w:szCs w:val="18"/>
              </w:rPr>
            </w:pPr>
            <w:r w:rsidRPr="007C4D65">
              <w:rPr>
                <w:rFonts w:asciiTheme="minorHAnsi" w:hAnsiTheme="minorHAnsi" w:cstheme="minorHAnsi"/>
                <w:sz w:val="18"/>
              </w:rPr>
              <w:t>Overall goal for recovery and recycling of packaging waste is 35% of the packaging placed on the market</w:t>
            </w:r>
          </w:p>
          <w:p w14:paraId="305E47D4" w14:textId="77777777" w:rsidR="00B02183" w:rsidRPr="007C4D65" w:rsidRDefault="00B02183" w:rsidP="00B6017F">
            <w:pPr>
              <w:pStyle w:val="NormalWeb"/>
              <w:spacing w:before="40" w:after="40" w:line="276" w:lineRule="auto"/>
              <w:rPr>
                <w:rFonts w:asciiTheme="minorHAnsi" w:hAnsiTheme="minorHAnsi" w:cstheme="minorHAnsi"/>
                <w:sz w:val="18"/>
                <w:szCs w:val="18"/>
              </w:rPr>
            </w:pPr>
            <w:r w:rsidRPr="007C4D65">
              <w:rPr>
                <w:rFonts w:asciiTheme="minorHAnsi" w:hAnsiTheme="minorHAnsi" w:cstheme="minorHAnsi"/>
                <w:sz w:val="18"/>
              </w:rPr>
              <w:t xml:space="preserve">Minimum amount (%) which needs to be reused or recycled: </w:t>
            </w:r>
          </w:p>
          <w:p w14:paraId="2BF66F53"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 Glass 12%</w:t>
            </w:r>
          </w:p>
          <w:p w14:paraId="28199ECB"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 Metal 10%</w:t>
            </w:r>
          </w:p>
          <w:p w14:paraId="79ED8AD7"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 Paper 30%</w:t>
            </w:r>
          </w:p>
          <w:p w14:paraId="28F443AE"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 Plastic 16%</w:t>
            </w:r>
          </w:p>
          <w:p w14:paraId="3DD54181"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 Wood 12%</w:t>
            </w:r>
          </w:p>
          <w:p w14:paraId="393EBCCB"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(2016)</w:t>
            </w:r>
          </w:p>
          <w:p w14:paraId="36DD83CD" w14:textId="77777777" w:rsidR="00B02183" w:rsidRPr="007C4D65" w:rsidRDefault="00B02183" w:rsidP="00B6017F">
            <w:pPr>
              <w:spacing w:before="40" w:after="40" w:line="276" w:lineRule="auto"/>
              <w:rPr>
                <w:rFonts w:asciiTheme="minorHAnsi" w:hAnsiTheme="minorHAnsi" w:cstheme="minorHAnsi"/>
                <w:sz w:val="18"/>
                <w:szCs w:val="18"/>
                <w:lang w:val="hr-HR"/>
              </w:rPr>
            </w:pPr>
          </w:p>
          <w:p w14:paraId="6B1610F5" w14:textId="77777777" w:rsidR="00B02183" w:rsidRPr="007C4D65" w:rsidRDefault="00B02183" w:rsidP="00B6017F">
            <w:pPr>
              <w:spacing w:before="40" w:after="40" w:line="276" w:lineRule="auto"/>
              <w:rPr>
                <w:rFonts w:asciiTheme="minorHAnsi" w:hAnsiTheme="minorHAnsi" w:cstheme="minorHAnsi"/>
                <w:sz w:val="18"/>
                <w:szCs w:val="18"/>
                <w:lang w:val="hr-HR"/>
              </w:rPr>
            </w:pPr>
          </w:p>
          <w:p w14:paraId="48957DC4" w14:textId="77777777" w:rsidR="00B02183" w:rsidRPr="007C4D65" w:rsidRDefault="00B02183" w:rsidP="00B6017F">
            <w:pPr>
              <w:spacing w:before="40" w:after="40" w:line="276" w:lineRule="auto"/>
              <w:rPr>
                <w:rFonts w:asciiTheme="minorHAnsi" w:hAnsiTheme="minorHAnsi" w:cstheme="minorHAnsi"/>
                <w:sz w:val="18"/>
                <w:szCs w:val="18"/>
                <w:lang w:val="hr-HR"/>
              </w:rPr>
            </w:pPr>
          </w:p>
          <w:p w14:paraId="2A069E4C" w14:textId="77777777" w:rsidR="00B02183" w:rsidRPr="007C4D65" w:rsidRDefault="00B02183" w:rsidP="00B6017F">
            <w:pPr>
              <w:spacing w:before="40" w:after="40" w:line="276" w:lineRule="auto"/>
              <w:rPr>
                <w:rFonts w:asciiTheme="minorHAnsi" w:hAnsiTheme="minorHAnsi" w:cstheme="minorHAnsi"/>
                <w:sz w:val="18"/>
                <w:szCs w:val="18"/>
                <w:lang w:val="hr-HR"/>
              </w:rPr>
            </w:pPr>
          </w:p>
          <w:p w14:paraId="5AF39822"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 xml:space="preserve">a.2 Objectives of collection and takeover of waste </w:t>
            </w:r>
            <w:proofErr w:type="gramStart"/>
            <w:r w:rsidRPr="007C4D65">
              <w:rPr>
                <w:rFonts w:asciiTheme="minorHAnsi" w:hAnsiTheme="minorHAnsi" w:cstheme="minorHAnsi"/>
                <w:sz w:val="18"/>
              </w:rPr>
              <w:t>equipment  35</w:t>
            </w:r>
            <w:proofErr w:type="gramEnd"/>
            <w:r w:rsidRPr="007C4D65">
              <w:rPr>
                <w:rFonts w:asciiTheme="minorHAnsi" w:hAnsiTheme="minorHAnsi" w:cstheme="minorHAnsi"/>
                <w:sz w:val="18"/>
              </w:rPr>
              <w:t>%</w:t>
            </w:r>
          </w:p>
          <w:p w14:paraId="4E2037FA"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(2021)</w:t>
            </w:r>
          </w:p>
        </w:tc>
        <w:tc>
          <w:tcPr>
            <w:tcW w:w="1159" w:type="pct"/>
            <w:shd w:val="clear" w:color="auto" w:fill="FFFFFF"/>
          </w:tcPr>
          <w:p w14:paraId="451053AD" w14:textId="77777777" w:rsidR="00B02183" w:rsidRPr="007C4D65" w:rsidRDefault="00B02183" w:rsidP="00B6017F">
            <w:pPr>
              <w:pStyle w:val="NormalWeb"/>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a.1 Objectives for packaging waste:</w:t>
            </w:r>
          </w:p>
          <w:p w14:paraId="1E66F63B" w14:textId="77777777" w:rsidR="00B02183" w:rsidRPr="007C4D65" w:rsidRDefault="00B02183" w:rsidP="00B6017F">
            <w:pPr>
              <w:pStyle w:val="NormalWeb"/>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 minimum 30 % (per weight of packaging waste) will be treated or incinerated in waste incinerators with energy </w:t>
            </w:r>
            <w:proofErr w:type="gramStart"/>
            <w:r w:rsidRPr="007C4D65">
              <w:rPr>
                <w:rFonts w:asciiTheme="minorHAnsi" w:hAnsiTheme="minorHAnsi" w:cstheme="minorHAnsi"/>
                <w:sz w:val="18"/>
              </w:rPr>
              <w:t>recovery;</w:t>
            </w:r>
            <w:proofErr w:type="gramEnd"/>
          </w:p>
          <w:p w14:paraId="6F00FBDD" w14:textId="77777777" w:rsidR="00B02183" w:rsidRPr="007C4D65" w:rsidRDefault="00B02183" w:rsidP="00B6017F">
            <w:pPr>
              <w:pStyle w:val="NormalWeb"/>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- 55 % (per weight of packaging waste) will be recycled</w:t>
            </w:r>
          </w:p>
          <w:p w14:paraId="13CB439A" w14:textId="77777777" w:rsidR="00B02183" w:rsidRPr="007C4D65" w:rsidRDefault="00B02183" w:rsidP="00B6017F">
            <w:pPr>
              <w:pStyle w:val="NormalWeb"/>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The following objectives need to be achieved for recycling of materials contained in packaging waste by 2032:</w:t>
            </w:r>
          </w:p>
          <w:p w14:paraId="77ED173A" w14:textId="77777777" w:rsidR="00B02183" w:rsidRPr="007C4D65" w:rsidRDefault="00B02183" w:rsidP="00B6017F">
            <w:pPr>
              <w:pStyle w:val="NormalWeb"/>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- 20 % per wight for glass </w:t>
            </w:r>
          </w:p>
          <w:p w14:paraId="5DA0F352" w14:textId="77777777" w:rsidR="00B02183" w:rsidRPr="007C4D65" w:rsidRDefault="00B02183" w:rsidP="00B6017F">
            <w:pPr>
              <w:pStyle w:val="NormalWeb"/>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- 45 % per wight for paper and cardboard</w:t>
            </w:r>
          </w:p>
          <w:p w14:paraId="02A37652" w14:textId="77777777" w:rsidR="00B02183" w:rsidRPr="007C4D65" w:rsidRDefault="00B02183" w:rsidP="00B6017F">
            <w:pPr>
              <w:pStyle w:val="NormalWeb"/>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- 20 % per wight for metals </w:t>
            </w:r>
          </w:p>
          <w:p w14:paraId="53FEDFFC" w14:textId="77777777" w:rsidR="00B02183" w:rsidRPr="007C4D65" w:rsidRDefault="00B02183" w:rsidP="00B6017F">
            <w:pPr>
              <w:pStyle w:val="NormalWeb"/>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- 19 % per wight for plastic  </w:t>
            </w:r>
          </w:p>
          <w:p w14:paraId="73E3A93A" w14:textId="77777777" w:rsidR="00B02183" w:rsidRPr="007C4D65" w:rsidRDefault="00B02183" w:rsidP="00B6017F">
            <w:pPr>
              <w:pStyle w:val="NormalWeb"/>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- 13 % per wight for wood</w:t>
            </w:r>
          </w:p>
          <w:p w14:paraId="7FE00F60" w14:textId="77777777" w:rsidR="00B02183" w:rsidRPr="007C4D65" w:rsidRDefault="00B02183" w:rsidP="00B6017F">
            <w:pPr>
              <w:pStyle w:val="NormalWeb"/>
              <w:spacing w:before="40" w:after="40" w:line="276" w:lineRule="auto"/>
              <w:ind w:left="69"/>
              <w:rPr>
                <w:rFonts w:asciiTheme="minorHAnsi" w:hAnsiTheme="minorHAnsi" w:cstheme="minorHAnsi"/>
                <w:sz w:val="18"/>
                <w:szCs w:val="18"/>
                <w:lang w:val="hr-HR"/>
              </w:rPr>
            </w:pPr>
          </w:p>
          <w:p w14:paraId="51BAD913" w14:textId="77777777" w:rsidR="00B02183" w:rsidRPr="007C4D65" w:rsidRDefault="00B02183" w:rsidP="00B6017F">
            <w:pPr>
              <w:pStyle w:val="NormalWeb"/>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a.2 Objectives for WEEE:</w:t>
            </w:r>
          </w:p>
          <w:p w14:paraId="082689D8"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collect 55% of the total quantity of the equipment placed on the market of Federation of BiH in the current year at the following pace:</w:t>
            </w:r>
          </w:p>
          <w:p w14:paraId="4982D213"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   In 2022. 40%</w:t>
            </w:r>
          </w:p>
          <w:p w14:paraId="3AC1FBFE"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   In 2023. 40%</w:t>
            </w:r>
          </w:p>
          <w:p w14:paraId="3EED17FD"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   In 2024. 42%</w:t>
            </w:r>
          </w:p>
          <w:p w14:paraId="28BE2126"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   In 2025. 43%</w:t>
            </w:r>
          </w:p>
          <w:p w14:paraId="210A7949"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   In 2026. 45%</w:t>
            </w:r>
          </w:p>
          <w:p w14:paraId="29DBAE20"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   In 2027. 47%</w:t>
            </w:r>
          </w:p>
          <w:p w14:paraId="6BB3DBD6"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   In 2028. 49%</w:t>
            </w:r>
          </w:p>
          <w:p w14:paraId="6E059541"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   In 2029. 51%</w:t>
            </w:r>
          </w:p>
          <w:p w14:paraId="673BC9D5"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xml:space="preserve">   In 2030. 53%</w:t>
            </w:r>
          </w:p>
          <w:p w14:paraId="7BBAEDE1"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lastRenderedPageBreak/>
              <w:t xml:space="preserve">   In 2031. 55%</w:t>
            </w:r>
          </w:p>
          <w:p w14:paraId="4D44DA75" w14:textId="77777777" w:rsidR="00B02183" w:rsidRPr="007C4D65" w:rsidRDefault="00B02183" w:rsidP="00B6017F">
            <w:pPr>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- 70-80% (per weight of devise) depending on the category will be treated</w:t>
            </w:r>
          </w:p>
          <w:p w14:paraId="1CE1CEF4" w14:textId="72E78FE0" w:rsidR="00B02183" w:rsidRPr="007C4D65" w:rsidRDefault="00B02183" w:rsidP="000E68A5">
            <w:pPr>
              <w:pStyle w:val="NormalWeb"/>
              <w:spacing w:before="40" w:after="40" w:line="276" w:lineRule="auto"/>
              <w:ind w:left="69"/>
              <w:rPr>
                <w:rFonts w:asciiTheme="minorHAnsi" w:hAnsiTheme="minorHAnsi" w:cstheme="minorHAnsi"/>
                <w:sz w:val="18"/>
                <w:szCs w:val="18"/>
              </w:rPr>
            </w:pPr>
            <w:r w:rsidRPr="007C4D65">
              <w:rPr>
                <w:rFonts w:asciiTheme="minorHAnsi" w:hAnsiTheme="minorHAnsi" w:cstheme="minorHAnsi"/>
                <w:sz w:val="18"/>
              </w:rPr>
              <w:t>‒ Between 50 and 80 % (per weight of devise) will be recycled</w:t>
            </w:r>
            <w:r w:rsidR="000E68A5" w:rsidRPr="007C4D65">
              <w:rPr>
                <w:rFonts w:asciiTheme="minorHAnsi" w:hAnsiTheme="minorHAnsi" w:cstheme="minorHAnsi"/>
                <w:sz w:val="18"/>
              </w:rPr>
              <w:t xml:space="preserve"> </w:t>
            </w:r>
            <w:r w:rsidRPr="007C4D65">
              <w:rPr>
                <w:rFonts w:asciiTheme="minorHAnsi" w:hAnsiTheme="minorHAnsi" w:cstheme="minorHAnsi"/>
                <w:sz w:val="18"/>
              </w:rPr>
              <w:t>(2032)</w:t>
            </w:r>
          </w:p>
        </w:tc>
      </w:tr>
      <w:tr w:rsidR="00B02183" w:rsidRPr="007C4D65" w14:paraId="5D501E0F" w14:textId="77777777" w:rsidTr="00B6017F">
        <w:trPr>
          <w:trHeight w:val="287"/>
        </w:trPr>
        <w:tc>
          <w:tcPr>
            <w:tcW w:w="658" w:type="pct"/>
            <w:vMerge/>
            <w:shd w:val="clear" w:color="auto" w:fill="D9D9D9" w:themeFill="background1" w:themeFillShade="D9"/>
            <w:vAlign w:val="center"/>
          </w:tcPr>
          <w:p w14:paraId="649752B8"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C4D3FFA"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tcPr>
          <w:p w14:paraId="5A9C1935" w14:textId="77777777" w:rsidR="00B02183" w:rsidRPr="007C4D65" w:rsidRDefault="00B02183" w:rsidP="00B6017F">
            <w:pPr>
              <w:pStyle w:val="NormalWeb"/>
              <w:spacing w:before="40" w:after="40" w:line="276" w:lineRule="auto"/>
              <w:rPr>
                <w:rFonts w:asciiTheme="minorHAnsi" w:hAnsiTheme="minorHAnsi" w:cstheme="minorHAnsi"/>
                <w:sz w:val="18"/>
                <w:szCs w:val="18"/>
              </w:rPr>
            </w:pPr>
            <w:r w:rsidRPr="007C4D65">
              <w:rPr>
                <w:rFonts w:asciiTheme="minorHAnsi" w:hAnsiTheme="minorHAnsi" w:cstheme="minorHAnsi"/>
                <w:sz w:val="18"/>
              </w:rPr>
              <w:t>b.1 Recycling rate of batteries and car batteries (%)</w:t>
            </w:r>
          </w:p>
          <w:p w14:paraId="317FF9B8" w14:textId="77777777" w:rsidR="00B02183" w:rsidRPr="007C4D65" w:rsidRDefault="00B02183" w:rsidP="00B6017F">
            <w:pPr>
              <w:pStyle w:val="NormalWeb"/>
              <w:spacing w:before="40" w:after="40" w:line="276" w:lineRule="auto"/>
              <w:rPr>
                <w:rFonts w:asciiTheme="minorHAnsi" w:hAnsiTheme="minorHAnsi" w:cstheme="minorHAnsi"/>
                <w:sz w:val="18"/>
                <w:szCs w:val="18"/>
              </w:rPr>
            </w:pPr>
            <w:r w:rsidRPr="007C4D65">
              <w:rPr>
                <w:rFonts w:asciiTheme="minorHAnsi" w:hAnsiTheme="minorHAnsi" w:cstheme="minorHAnsi"/>
                <w:sz w:val="18"/>
              </w:rPr>
              <w:t>b.2 Recycling rate of waste tyres (%)</w:t>
            </w:r>
          </w:p>
          <w:p w14:paraId="159BDE2A" w14:textId="77777777" w:rsidR="00B02183" w:rsidRPr="007C4D65" w:rsidRDefault="00B02183" w:rsidP="00B6017F">
            <w:pPr>
              <w:pStyle w:val="NormalWeb"/>
              <w:spacing w:before="40" w:after="40" w:line="276" w:lineRule="auto"/>
              <w:rPr>
                <w:rFonts w:asciiTheme="minorHAnsi" w:hAnsiTheme="minorHAnsi" w:cstheme="minorHAnsi"/>
                <w:sz w:val="18"/>
                <w:szCs w:val="18"/>
              </w:rPr>
            </w:pPr>
            <w:r w:rsidRPr="007C4D65">
              <w:rPr>
                <w:rFonts w:asciiTheme="minorHAnsi" w:hAnsiTheme="minorHAnsi" w:cstheme="minorHAnsi"/>
                <w:sz w:val="18"/>
              </w:rPr>
              <w:t>b.3 Recycling rate of refuse oil (%)</w:t>
            </w:r>
          </w:p>
          <w:p w14:paraId="17A6AE54" w14:textId="77777777" w:rsidR="00B02183" w:rsidRPr="007C4D65" w:rsidRDefault="00B02183" w:rsidP="00B6017F">
            <w:pPr>
              <w:pStyle w:val="NormalWeb"/>
              <w:spacing w:before="40" w:after="40" w:line="276" w:lineRule="auto"/>
              <w:rPr>
                <w:rFonts w:asciiTheme="minorHAnsi" w:hAnsiTheme="minorHAnsi" w:cstheme="minorHAnsi"/>
                <w:sz w:val="18"/>
                <w:szCs w:val="18"/>
              </w:rPr>
            </w:pPr>
            <w:r w:rsidRPr="007C4D65">
              <w:rPr>
                <w:rFonts w:asciiTheme="minorHAnsi" w:hAnsiTheme="minorHAnsi" w:cstheme="minorHAnsi"/>
                <w:sz w:val="18"/>
              </w:rPr>
              <w:t>b.4 Recycling rate of ELV (%)</w:t>
            </w:r>
          </w:p>
          <w:p w14:paraId="707A816A" w14:textId="77777777" w:rsidR="00B02183" w:rsidRPr="007C4D65" w:rsidRDefault="00B02183" w:rsidP="00B6017F">
            <w:pPr>
              <w:pStyle w:val="NormalWeb"/>
              <w:spacing w:before="40" w:after="40" w:line="276" w:lineRule="auto"/>
              <w:rPr>
                <w:rFonts w:asciiTheme="minorHAnsi" w:hAnsiTheme="minorHAnsi" w:cstheme="minorHAnsi"/>
                <w:sz w:val="18"/>
                <w:szCs w:val="18"/>
                <w:lang w:val="hr-HR"/>
              </w:rPr>
            </w:pPr>
          </w:p>
          <w:p w14:paraId="26C3A27D" w14:textId="77777777" w:rsidR="00B02183" w:rsidRPr="007C4D65" w:rsidRDefault="00B02183" w:rsidP="00B6017F">
            <w:pPr>
              <w:pStyle w:val="NormalWeb"/>
              <w:spacing w:before="40" w:after="40" w:line="276" w:lineRule="auto"/>
              <w:rPr>
                <w:rFonts w:asciiTheme="minorHAnsi" w:hAnsiTheme="minorHAnsi" w:cstheme="minorHAnsi"/>
                <w:sz w:val="18"/>
                <w:szCs w:val="18"/>
              </w:rPr>
            </w:pPr>
            <w:r w:rsidRPr="007C4D65">
              <w:rPr>
                <w:rFonts w:asciiTheme="minorHAnsi" w:hAnsiTheme="minorHAnsi" w:cstheme="minorHAnsi"/>
                <w:sz w:val="18"/>
              </w:rPr>
              <w:t xml:space="preserve"> </w:t>
            </w:r>
          </w:p>
          <w:p w14:paraId="3A3D6D4D"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tcPr>
          <w:p w14:paraId="6196FF48"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Baseline objectives have not been defined</w:t>
            </w:r>
          </w:p>
          <w:p w14:paraId="78CC64F7"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(2021)</w:t>
            </w:r>
          </w:p>
        </w:tc>
        <w:tc>
          <w:tcPr>
            <w:tcW w:w="1159" w:type="pct"/>
            <w:shd w:val="clear" w:color="auto" w:fill="FFFFFF"/>
          </w:tcPr>
          <w:p w14:paraId="544A4294" w14:textId="77777777" w:rsidR="00B02183" w:rsidRPr="007C4D65" w:rsidRDefault="00B02183" w:rsidP="00B6017F">
            <w:pPr>
              <w:spacing w:before="40" w:after="40" w:line="276" w:lineRule="auto"/>
              <w:ind w:left="211" w:hanging="142"/>
              <w:rPr>
                <w:rFonts w:asciiTheme="minorHAnsi" w:hAnsiTheme="minorHAnsi" w:cstheme="minorHAnsi"/>
                <w:sz w:val="18"/>
                <w:szCs w:val="18"/>
              </w:rPr>
            </w:pPr>
            <w:r w:rsidRPr="007C4D65">
              <w:rPr>
                <w:rFonts w:asciiTheme="minorHAnsi" w:hAnsiTheme="minorHAnsi" w:cstheme="minorHAnsi"/>
                <w:sz w:val="18"/>
              </w:rPr>
              <w:t>- separate collection, reuse and recycling of 45% (per average weight) of batteries and car batteries in relation to the amounts placed on the market in 2021</w:t>
            </w:r>
          </w:p>
          <w:p w14:paraId="3FE90281" w14:textId="77777777" w:rsidR="00B02183" w:rsidRPr="007C4D65" w:rsidRDefault="00B02183" w:rsidP="00B6017F">
            <w:pPr>
              <w:spacing w:before="40" w:after="40" w:line="276" w:lineRule="auto"/>
              <w:ind w:left="211" w:hanging="142"/>
              <w:rPr>
                <w:rFonts w:asciiTheme="minorHAnsi" w:hAnsiTheme="minorHAnsi" w:cstheme="minorHAnsi"/>
                <w:sz w:val="18"/>
                <w:szCs w:val="18"/>
              </w:rPr>
            </w:pPr>
            <w:r w:rsidRPr="007C4D65">
              <w:rPr>
                <w:rFonts w:asciiTheme="minorHAnsi" w:hAnsiTheme="minorHAnsi" w:cstheme="minorHAnsi"/>
                <w:sz w:val="18"/>
              </w:rPr>
              <w:t>- absolute ban on disposal of waste tyres and recycling or reuse of at least 70% of waste tyres collected (given a possibility of their co-incineration in cement plants)</w:t>
            </w:r>
          </w:p>
          <w:p w14:paraId="6911E76D" w14:textId="77777777" w:rsidR="00B02183" w:rsidRPr="007C4D65" w:rsidRDefault="00B02183" w:rsidP="00B6017F">
            <w:pPr>
              <w:spacing w:before="40" w:after="40" w:line="276" w:lineRule="auto"/>
              <w:ind w:left="211" w:hanging="142"/>
              <w:rPr>
                <w:rFonts w:asciiTheme="minorHAnsi" w:hAnsiTheme="minorHAnsi" w:cstheme="minorHAnsi"/>
                <w:sz w:val="18"/>
                <w:szCs w:val="18"/>
              </w:rPr>
            </w:pPr>
            <w:r w:rsidRPr="007C4D65">
              <w:rPr>
                <w:rFonts w:asciiTheme="minorHAnsi" w:hAnsiTheme="minorHAnsi" w:cstheme="minorHAnsi"/>
                <w:sz w:val="18"/>
              </w:rPr>
              <w:t>- as of 2025, on an annual level, collect and properly dispose 40% of the total amount of oil sold (mineral and synthetic), which became used oil</w:t>
            </w:r>
          </w:p>
          <w:p w14:paraId="6EE83542" w14:textId="77777777" w:rsidR="00B02183" w:rsidRPr="007C4D65" w:rsidRDefault="00B02183" w:rsidP="00B6017F">
            <w:pPr>
              <w:spacing w:line="276" w:lineRule="auto"/>
              <w:ind w:left="211" w:hanging="142"/>
              <w:rPr>
                <w:rFonts w:asciiTheme="minorHAnsi" w:hAnsiTheme="minorHAnsi" w:cstheme="minorHAnsi"/>
                <w:sz w:val="18"/>
                <w:szCs w:val="18"/>
              </w:rPr>
            </w:pPr>
            <w:r w:rsidRPr="007C4D65">
              <w:rPr>
                <w:rFonts w:asciiTheme="minorHAnsi" w:hAnsiTheme="minorHAnsi" w:cstheme="minorHAnsi"/>
                <w:sz w:val="18"/>
              </w:rPr>
              <w:t>- recycle 85% of ELV (per average weight per ELV)</w:t>
            </w:r>
          </w:p>
        </w:tc>
      </w:tr>
      <w:tr w:rsidR="00B02183" w:rsidRPr="007C4D65" w14:paraId="37F686EE" w14:textId="77777777" w:rsidTr="00B6017F">
        <w:trPr>
          <w:trHeight w:val="287"/>
        </w:trPr>
        <w:tc>
          <w:tcPr>
            <w:tcW w:w="658" w:type="pct"/>
            <w:vMerge/>
            <w:shd w:val="clear" w:color="auto" w:fill="D9D9D9" w:themeFill="background1" w:themeFillShade="D9"/>
            <w:vAlign w:val="center"/>
          </w:tcPr>
          <w:p w14:paraId="659E13AB"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C656860"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tcPr>
          <w:p w14:paraId="5962223C"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ç </w:t>
            </w:r>
            <w:proofErr w:type="gramStart"/>
            <w:r w:rsidRPr="007C4D65">
              <w:rPr>
                <w:rFonts w:asciiTheme="minorHAnsi" w:hAnsiTheme="minorHAnsi" w:cstheme="minorHAnsi"/>
                <w:sz w:val="18"/>
              </w:rPr>
              <w:t>The</w:t>
            </w:r>
            <w:proofErr w:type="gramEnd"/>
            <w:r w:rsidRPr="007C4D65">
              <w:rPr>
                <w:rFonts w:asciiTheme="minorHAnsi" w:hAnsiTheme="minorHAnsi" w:cstheme="minorHAnsi"/>
                <w:sz w:val="18"/>
              </w:rPr>
              <w:t xml:space="preserve"> amount of construction and demolition waste generated annually - total (t/y)</w:t>
            </w:r>
          </w:p>
        </w:tc>
        <w:tc>
          <w:tcPr>
            <w:tcW w:w="1159" w:type="pct"/>
            <w:shd w:val="clear" w:color="auto" w:fill="FFFFFF"/>
            <w:tcMar>
              <w:top w:w="0" w:type="dxa"/>
              <w:left w:w="108" w:type="dxa"/>
              <w:bottom w:w="0" w:type="dxa"/>
              <w:right w:w="108" w:type="dxa"/>
            </w:tcMar>
          </w:tcPr>
          <w:p w14:paraId="24C83F46"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16,844 t/y</w:t>
            </w:r>
          </w:p>
          <w:p w14:paraId="3130345A"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(2020)</w:t>
            </w:r>
          </w:p>
        </w:tc>
        <w:tc>
          <w:tcPr>
            <w:tcW w:w="1159" w:type="pct"/>
            <w:shd w:val="clear" w:color="auto" w:fill="FFFFFF"/>
          </w:tcPr>
          <w:p w14:paraId="215524F5" w14:textId="77777777" w:rsidR="00B02183" w:rsidRPr="007C4D65" w:rsidRDefault="00B02183" w:rsidP="00B6017F">
            <w:pPr>
              <w:spacing w:before="40" w:after="40" w:line="276" w:lineRule="auto"/>
              <w:ind w:left="211"/>
              <w:rPr>
                <w:rFonts w:asciiTheme="minorHAnsi" w:hAnsiTheme="minorHAnsi" w:cstheme="minorHAnsi"/>
                <w:sz w:val="18"/>
                <w:szCs w:val="18"/>
              </w:rPr>
            </w:pPr>
            <w:r w:rsidRPr="007C4D65">
              <w:rPr>
                <w:rFonts w:asciiTheme="minorHAnsi" w:hAnsiTheme="minorHAnsi" w:cstheme="minorHAnsi"/>
                <w:sz w:val="18"/>
              </w:rPr>
              <w:t xml:space="preserve">Minimum 30% increase of amounts of registered construction and demolition waste as compared to the base year </w:t>
            </w:r>
          </w:p>
          <w:p w14:paraId="5A7790B0" w14:textId="77777777" w:rsidR="00B02183" w:rsidRPr="007C4D65" w:rsidRDefault="00B02183" w:rsidP="00B6017F">
            <w:pPr>
              <w:spacing w:line="276" w:lineRule="auto"/>
              <w:ind w:left="211"/>
              <w:rPr>
                <w:rFonts w:asciiTheme="minorHAnsi" w:hAnsiTheme="minorHAnsi" w:cstheme="minorHAnsi"/>
                <w:sz w:val="18"/>
                <w:szCs w:val="18"/>
              </w:rPr>
            </w:pPr>
            <w:r w:rsidRPr="007C4D65">
              <w:rPr>
                <w:rFonts w:asciiTheme="minorHAnsi" w:hAnsiTheme="minorHAnsi" w:cstheme="minorHAnsi"/>
                <w:sz w:val="18"/>
              </w:rPr>
              <w:t>(2032)</w:t>
            </w:r>
          </w:p>
        </w:tc>
      </w:tr>
      <w:tr w:rsidR="00B02183" w:rsidRPr="007C4D65" w14:paraId="5B78BF21" w14:textId="77777777" w:rsidTr="00B6017F">
        <w:trPr>
          <w:trHeight w:val="287"/>
        </w:trPr>
        <w:tc>
          <w:tcPr>
            <w:tcW w:w="658" w:type="pct"/>
            <w:vMerge/>
            <w:shd w:val="clear" w:color="auto" w:fill="D9D9D9" w:themeFill="background1" w:themeFillShade="D9"/>
            <w:vAlign w:val="center"/>
          </w:tcPr>
          <w:p w14:paraId="07A32DE2"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A23ED47"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tcPr>
          <w:p w14:paraId="26DBB7DE" w14:textId="35857E91" w:rsidR="00B02183" w:rsidRPr="007C4D65" w:rsidRDefault="00B02183" w:rsidP="000E68A5">
            <w:pPr>
              <w:spacing w:before="40" w:after="40" w:line="276" w:lineRule="auto"/>
              <w:rPr>
                <w:rFonts w:asciiTheme="minorHAnsi" w:hAnsiTheme="minorHAnsi" w:cstheme="minorHAnsi"/>
                <w:sz w:val="18"/>
                <w:szCs w:val="18"/>
                <w:lang w:val="hr-HR" w:bidi="en-US"/>
              </w:rPr>
            </w:pPr>
            <w:r w:rsidRPr="007C4D65">
              <w:rPr>
                <w:rFonts w:asciiTheme="minorHAnsi" w:hAnsiTheme="minorHAnsi" w:cstheme="minorHAnsi"/>
                <w:sz w:val="18"/>
              </w:rPr>
              <w:t>d. Quantity of hazardous waste generated within a year - total (t/y)</w:t>
            </w:r>
          </w:p>
        </w:tc>
        <w:tc>
          <w:tcPr>
            <w:tcW w:w="1159" w:type="pct"/>
            <w:shd w:val="clear" w:color="auto" w:fill="FFFFFF"/>
            <w:tcMar>
              <w:top w:w="0" w:type="dxa"/>
              <w:left w:w="108" w:type="dxa"/>
              <w:bottom w:w="0" w:type="dxa"/>
              <w:right w:w="108" w:type="dxa"/>
            </w:tcMar>
          </w:tcPr>
          <w:p w14:paraId="562986AE"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5756 t/y</w:t>
            </w:r>
          </w:p>
          <w:p w14:paraId="1220A28C"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(2020)</w:t>
            </w:r>
          </w:p>
        </w:tc>
        <w:tc>
          <w:tcPr>
            <w:tcW w:w="1159" w:type="pct"/>
            <w:shd w:val="clear" w:color="auto" w:fill="FFFFFF"/>
          </w:tcPr>
          <w:p w14:paraId="271B4026" w14:textId="5D5542E9" w:rsidR="00B02183" w:rsidRPr="007C4D65" w:rsidRDefault="00B02183" w:rsidP="000E68A5">
            <w:pPr>
              <w:spacing w:before="40" w:after="40" w:line="276" w:lineRule="auto"/>
              <w:ind w:left="211"/>
              <w:rPr>
                <w:rFonts w:asciiTheme="minorHAnsi" w:hAnsiTheme="minorHAnsi" w:cstheme="minorHAnsi"/>
                <w:sz w:val="18"/>
                <w:szCs w:val="18"/>
              </w:rPr>
            </w:pPr>
            <w:r w:rsidRPr="007C4D65">
              <w:rPr>
                <w:rFonts w:asciiTheme="minorHAnsi" w:hAnsiTheme="minorHAnsi" w:cstheme="minorHAnsi"/>
                <w:sz w:val="18"/>
              </w:rPr>
              <w:t>Minimum 30% increase of amounts of registered hazardous waste as compared to the base year</w:t>
            </w:r>
            <w:r w:rsidR="000E68A5" w:rsidRPr="007C4D65">
              <w:rPr>
                <w:rFonts w:asciiTheme="minorHAnsi" w:hAnsiTheme="minorHAnsi" w:cstheme="minorHAnsi"/>
                <w:sz w:val="18"/>
              </w:rPr>
              <w:t xml:space="preserve"> </w:t>
            </w:r>
            <w:r w:rsidRPr="007C4D65">
              <w:rPr>
                <w:rFonts w:asciiTheme="minorHAnsi" w:hAnsiTheme="minorHAnsi" w:cstheme="minorHAnsi"/>
                <w:sz w:val="18"/>
              </w:rPr>
              <w:t>(2032)</w:t>
            </w:r>
          </w:p>
        </w:tc>
      </w:tr>
      <w:tr w:rsidR="00B02183" w:rsidRPr="007C4D65" w14:paraId="69F6FEC8" w14:textId="77777777" w:rsidTr="00B6017F">
        <w:trPr>
          <w:trHeight w:val="287"/>
        </w:trPr>
        <w:tc>
          <w:tcPr>
            <w:tcW w:w="658" w:type="pct"/>
            <w:vMerge/>
            <w:shd w:val="clear" w:color="auto" w:fill="D9D9D9" w:themeFill="background1" w:themeFillShade="D9"/>
            <w:vAlign w:val="center"/>
          </w:tcPr>
          <w:p w14:paraId="42494036"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F312EB0"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tcPr>
          <w:p w14:paraId="6CD8CBF5"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e. Amount of waste sludge generated </w:t>
            </w:r>
          </w:p>
        </w:tc>
        <w:tc>
          <w:tcPr>
            <w:tcW w:w="1159" w:type="pct"/>
            <w:shd w:val="clear" w:color="auto" w:fill="FFFFFF"/>
            <w:tcMar>
              <w:top w:w="0" w:type="dxa"/>
              <w:left w:w="108" w:type="dxa"/>
              <w:bottom w:w="0" w:type="dxa"/>
              <w:right w:w="108" w:type="dxa"/>
            </w:tcMar>
          </w:tcPr>
          <w:p w14:paraId="562E0362" w14:textId="2AF4D45D" w:rsidR="00B02183" w:rsidRPr="007C4D65" w:rsidRDefault="00B02183" w:rsidP="000E68A5">
            <w:pPr>
              <w:spacing w:before="40" w:after="40" w:line="276" w:lineRule="auto"/>
              <w:rPr>
                <w:rFonts w:asciiTheme="minorHAnsi" w:hAnsiTheme="minorHAnsi" w:cstheme="minorHAnsi"/>
                <w:sz w:val="18"/>
                <w:szCs w:val="18"/>
                <w:lang w:val="hr-HR"/>
              </w:rPr>
            </w:pPr>
            <w:r w:rsidRPr="007C4D65">
              <w:rPr>
                <w:rFonts w:asciiTheme="minorHAnsi" w:hAnsiTheme="minorHAnsi" w:cstheme="minorHAnsi"/>
                <w:sz w:val="18"/>
              </w:rPr>
              <w:t>Data not available</w:t>
            </w:r>
          </w:p>
        </w:tc>
        <w:tc>
          <w:tcPr>
            <w:tcW w:w="1159" w:type="pct"/>
            <w:shd w:val="clear" w:color="auto" w:fill="FFFFFF"/>
          </w:tcPr>
          <w:p w14:paraId="3E44A191" w14:textId="77777777" w:rsidR="00B02183" w:rsidRPr="007C4D65" w:rsidRDefault="00B02183" w:rsidP="00B6017F">
            <w:pPr>
              <w:spacing w:line="276" w:lineRule="auto"/>
              <w:ind w:left="211"/>
              <w:rPr>
                <w:rFonts w:asciiTheme="minorHAnsi" w:hAnsiTheme="minorHAnsi" w:cstheme="minorHAnsi"/>
                <w:sz w:val="18"/>
                <w:szCs w:val="18"/>
              </w:rPr>
            </w:pPr>
            <w:r w:rsidRPr="007C4D65">
              <w:rPr>
                <w:rFonts w:asciiTheme="minorHAnsi" w:hAnsiTheme="minorHAnsi" w:cstheme="minorHAnsi"/>
                <w:sz w:val="18"/>
              </w:rPr>
              <w:t>No target value is defined for this indicator, it is necessary to initiate monitoring</w:t>
            </w:r>
          </w:p>
        </w:tc>
      </w:tr>
      <w:tr w:rsidR="00B02183" w:rsidRPr="007C4D65" w14:paraId="5A7F5785" w14:textId="77777777" w:rsidTr="00B6017F">
        <w:trPr>
          <w:trHeight w:val="287"/>
        </w:trPr>
        <w:tc>
          <w:tcPr>
            <w:tcW w:w="658" w:type="pct"/>
            <w:vMerge/>
            <w:shd w:val="clear" w:color="auto" w:fill="D9D9D9" w:themeFill="background1" w:themeFillShade="D9"/>
            <w:vAlign w:val="center"/>
          </w:tcPr>
          <w:p w14:paraId="439926F5"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657858D9"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tcPr>
          <w:p w14:paraId="54F5607C"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f. Amount of animal waste generated annually - total (t/y)</w:t>
            </w:r>
          </w:p>
        </w:tc>
        <w:tc>
          <w:tcPr>
            <w:tcW w:w="1159" w:type="pct"/>
            <w:shd w:val="clear" w:color="auto" w:fill="FFFFFF"/>
            <w:tcMar>
              <w:top w:w="0" w:type="dxa"/>
              <w:left w:w="108" w:type="dxa"/>
              <w:bottom w:w="0" w:type="dxa"/>
              <w:right w:w="108" w:type="dxa"/>
            </w:tcMar>
            <w:vAlign w:val="center"/>
          </w:tcPr>
          <w:p w14:paraId="64836536"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Data not available</w:t>
            </w:r>
          </w:p>
        </w:tc>
        <w:tc>
          <w:tcPr>
            <w:tcW w:w="1159" w:type="pct"/>
            <w:shd w:val="clear" w:color="auto" w:fill="FFFFFF"/>
          </w:tcPr>
          <w:p w14:paraId="1FCEC59A" w14:textId="77777777" w:rsidR="00B02183" w:rsidRPr="007C4D65" w:rsidRDefault="00B02183" w:rsidP="00B6017F">
            <w:pPr>
              <w:spacing w:line="276" w:lineRule="auto"/>
              <w:ind w:left="69"/>
              <w:rPr>
                <w:rFonts w:asciiTheme="minorHAnsi" w:hAnsiTheme="minorHAnsi" w:cstheme="minorHAnsi"/>
                <w:sz w:val="18"/>
                <w:szCs w:val="18"/>
              </w:rPr>
            </w:pPr>
            <w:r w:rsidRPr="007C4D65">
              <w:rPr>
                <w:rFonts w:asciiTheme="minorHAnsi" w:hAnsiTheme="minorHAnsi" w:cstheme="minorHAnsi"/>
                <w:sz w:val="18"/>
              </w:rPr>
              <w:t>No target value is defined for this indicator, it is necessary to initiate monitoring</w:t>
            </w:r>
          </w:p>
        </w:tc>
      </w:tr>
      <w:tr w:rsidR="00B02183" w:rsidRPr="007C4D65" w14:paraId="353D68F1" w14:textId="77777777" w:rsidTr="00B6017F">
        <w:trPr>
          <w:trHeight w:val="287"/>
        </w:trPr>
        <w:tc>
          <w:tcPr>
            <w:tcW w:w="658" w:type="pct"/>
            <w:vMerge/>
            <w:shd w:val="clear" w:color="auto" w:fill="D9D9D9" w:themeFill="background1" w:themeFillShade="D9"/>
            <w:vAlign w:val="center"/>
          </w:tcPr>
          <w:p w14:paraId="624D7A75"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15FBEFB"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tcPr>
          <w:p w14:paraId="612E9346"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d. Amount of hazardous waste generated annually - total (t/y)</w:t>
            </w:r>
          </w:p>
        </w:tc>
        <w:tc>
          <w:tcPr>
            <w:tcW w:w="1159" w:type="pct"/>
            <w:shd w:val="clear" w:color="auto" w:fill="FFFFFF"/>
            <w:tcMar>
              <w:top w:w="0" w:type="dxa"/>
              <w:left w:w="108" w:type="dxa"/>
              <w:bottom w:w="0" w:type="dxa"/>
              <w:right w:w="108" w:type="dxa"/>
            </w:tcMar>
            <w:vAlign w:val="center"/>
          </w:tcPr>
          <w:p w14:paraId="52D4DA71" w14:textId="77777777" w:rsidR="00B02183" w:rsidRPr="007C4D65" w:rsidRDefault="00B02183" w:rsidP="00B6017F">
            <w:pPr>
              <w:spacing w:before="40" w:after="40" w:line="276" w:lineRule="auto"/>
              <w:rPr>
                <w:rFonts w:asciiTheme="minorHAnsi" w:hAnsiTheme="minorHAnsi" w:cstheme="minorHAnsi"/>
                <w:sz w:val="18"/>
                <w:szCs w:val="18"/>
              </w:rPr>
            </w:pPr>
            <w:r w:rsidRPr="007C4D65">
              <w:rPr>
                <w:rFonts w:asciiTheme="minorHAnsi" w:hAnsiTheme="minorHAnsi" w:cstheme="minorHAnsi"/>
                <w:sz w:val="18"/>
              </w:rPr>
              <w:t>Data not available</w:t>
            </w:r>
          </w:p>
        </w:tc>
        <w:tc>
          <w:tcPr>
            <w:tcW w:w="1159" w:type="pct"/>
            <w:shd w:val="clear" w:color="auto" w:fill="FFFFFF"/>
          </w:tcPr>
          <w:p w14:paraId="4ACCFE1D" w14:textId="77777777" w:rsidR="00B02183" w:rsidRPr="007C4D65" w:rsidRDefault="00B02183" w:rsidP="00B6017F">
            <w:pPr>
              <w:spacing w:line="276" w:lineRule="auto"/>
              <w:ind w:left="69"/>
              <w:rPr>
                <w:rFonts w:asciiTheme="minorHAnsi" w:hAnsiTheme="minorHAnsi" w:cstheme="minorHAnsi"/>
                <w:sz w:val="18"/>
                <w:szCs w:val="18"/>
              </w:rPr>
            </w:pPr>
            <w:r w:rsidRPr="007C4D65">
              <w:rPr>
                <w:rFonts w:asciiTheme="minorHAnsi" w:hAnsiTheme="minorHAnsi" w:cstheme="minorHAnsi"/>
                <w:sz w:val="18"/>
              </w:rPr>
              <w:t>No target value is defined for this indicator, it is necessary to initiate monitoring</w:t>
            </w:r>
          </w:p>
        </w:tc>
      </w:tr>
      <w:tr w:rsidR="00B02183" w:rsidRPr="007C4D65" w14:paraId="2C5EDD75" w14:textId="77777777" w:rsidTr="00B6017F">
        <w:trPr>
          <w:trHeight w:val="483"/>
        </w:trPr>
        <w:tc>
          <w:tcPr>
            <w:tcW w:w="658" w:type="pct"/>
            <w:vMerge/>
            <w:shd w:val="clear" w:color="auto" w:fill="D9D9D9" w:themeFill="background1" w:themeFillShade="D9"/>
            <w:vAlign w:val="center"/>
            <w:hideMark/>
          </w:tcPr>
          <w:p w14:paraId="0FEFA731"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77EDBAC5"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6230BB4" w14:textId="7F93DE0E"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3984E736"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3AA6CEF8"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5822C7D8" w14:textId="77777777" w:rsidTr="00B6017F">
        <w:trPr>
          <w:trHeight w:val="287"/>
        </w:trPr>
        <w:tc>
          <w:tcPr>
            <w:tcW w:w="658" w:type="pct"/>
            <w:vMerge/>
            <w:shd w:val="clear" w:color="auto" w:fill="D9D9D9" w:themeFill="background1" w:themeFillShade="D9"/>
            <w:vAlign w:val="center"/>
            <w:hideMark/>
          </w:tcPr>
          <w:p w14:paraId="4E62916B"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36718D63"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D49EECC"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10.2</w:t>
            </w:r>
          </w:p>
        </w:tc>
        <w:tc>
          <w:tcPr>
            <w:tcW w:w="1159" w:type="pct"/>
            <w:tcMar>
              <w:top w:w="0" w:type="dxa"/>
              <w:left w:w="108" w:type="dxa"/>
              <w:bottom w:w="0" w:type="dxa"/>
              <w:right w:w="108" w:type="dxa"/>
            </w:tcMar>
            <w:vAlign w:val="center"/>
          </w:tcPr>
          <w:p w14:paraId="585AEE29"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92.1</w:t>
            </w:r>
          </w:p>
        </w:tc>
        <w:tc>
          <w:tcPr>
            <w:tcW w:w="1159" w:type="pct"/>
            <w:tcMar>
              <w:top w:w="0" w:type="dxa"/>
              <w:left w:w="108" w:type="dxa"/>
              <w:bottom w:w="0" w:type="dxa"/>
              <w:right w:w="108" w:type="dxa"/>
            </w:tcMar>
            <w:vAlign w:val="center"/>
          </w:tcPr>
          <w:p w14:paraId="336F83DF"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102.3</w:t>
            </w:r>
          </w:p>
        </w:tc>
      </w:tr>
      <w:tr w:rsidR="00B02183" w:rsidRPr="007C4D65" w14:paraId="2B79374C" w14:textId="77777777" w:rsidTr="00B6017F">
        <w:trPr>
          <w:trHeight w:val="483"/>
        </w:trPr>
        <w:tc>
          <w:tcPr>
            <w:tcW w:w="658" w:type="pct"/>
            <w:vMerge w:val="restart"/>
            <w:shd w:val="clear" w:color="auto" w:fill="D9D9D9" w:themeFill="background1" w:themeFillShade="D9"/>
            <w:tcMar>
              <w:top w:w="0" w:type="dxa"/>
              <w:left w:w="108" w:type="dxa"/>
              <w:bottom w:w="0" w:type="dxa"/>
              <w:right w:w="108" w:type="dxa"/>
            </w:tcMar>
            <w:vAlign w:val="center"/>
            <w:hideMark/>
          </w:tcPr>
          <w:p w14:paraId="49598E66" w14:textId="77777777" w:rsidR="00B02183" w:rsidRPr="007C4D65" w:rsidRDefault="00B02183"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2.5.2 Measure</w:t>
            </w:r>
          </w:p>
        </w:tc>
        <w:tc>
          <w:tcPr>
            <w:tcW w:w="864" w:type="pct"/>
            <w:vMerge w:val="restart"/>
            <w:tcMar>
              <w:top w:w="0" w:type="dxa"/>
              <w:left w:w="108" w:type="dxa"/>
              <w:bottom w:w="0" w:type="dxa"/>
              <w:right w:w="108" w:type="dxa"/>
            </w:tcMar>
            <w:vAlign w:val="center"/>
          </w:tcPr>
          <w:p w14:paraId="0BB8AC3C"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Strengthening the recyclables market</w:t>
            </w:r>
          </w:p>
        </w:tc>
        <w:tc>
          <w:tcPr>
            <w:tcW w:w="1159" w:type="pct"/>
            <w:shd w:val="clear" w:color="auto" w:fill="D9D9D9"/>
            <w:tcMar>
              <w:top w:w="0" w:type="dxa"/>
              <w:left w:w="108" w:type="dxa"/>
              <w:bottom w:w="0" w:type="dxa"/>
              <w:right w:w="108" w:type="dxa"/>
            </w:tcMar>
            <w:vAlign w:val="center"/>
            <w:hideMark/>
          </w:tcPr>
          <w:p w14:paraId="46B430B8"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09BDE228"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5499CDCE"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5A4D4CD4" w14:textId="77777777" w:rsidTr="00B6017F">
        <w:trPr>
          <w:trHeight w:val="287"/>
        </w:trPr>
        <w:tc>
          <w:tcPr>
            <w:tcW w:w="658" w:type="pct"/>
            <w:vMerge/>
            <w:shd w:val="clear" w:color="auto" w:fill="D9D9D9" w:themeFill="background1" w:themeFillShade="D9"/>
            <w:vAlign w:val="center"/>
          </w:tcPr>
          <w:p w14:paraId="644B21D1"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15D4C82"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34CDB2F"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 Status of establishment of the Waste Exchange</w:t>
            </w:r>
          </w:p>
        </w:tc>
        <w:tc>
          <w:tcPr>
            <w:tcW w:w="1159" w:type="pct"/>
            <w:shd w:val="clear" w:color="auto" w:fill="FFFFFF"/>
            <w:tcMar>
              <w:top w:w="0" w:type="dxa"/>
              <w:left w:w="108" w:type="dxa"/>
              <w:bottom w:w="0" w:type="dxa"/>
              <w:right w:w="108" w:type="dxa"/>
            </w:tcMar>
            <w:vAlign w:val="center"/>
          </w:tcPr>
          <w:p w14:paraId="1681909D"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Waste Exchange has not been formed</w:t>
            </w:r>
          </w:p>
        </w:tc>
        <w:tc>
          <w:tcPr>
            <w:tcW w:w="1159" w:type="pct"/>
            <w:shd w:val="clear" w:color="auto" w:fill="FFFFFF"/>
            <w:vAlign w:val="center"/>
          </w:tcPr>
          <w:p w14:paraId="1CFABDBA" w14:textId="75054F3A" w:rsidR="00B02183" w:rsidRPr="007C4D65" w:rsidRDefault="00B02183" w:rsidP="000E68A5">
            <w:pPr>
              <w:spacing w:line="276" w:lineRule="auto"/>
              <w:ind w:left="69"/>
              <w:rPr>
                <w:rFonts w:asciiTheme="minorHAnsi" w:hAnsiTheme="minorHAnsi" w:cstheme="minorHAnsi"/>
                <w:sz w:val="18"/>
                <w:szCs w:val="18"/>
              </w:rPr>
            </w:pPr>
            <w:r w:rsidRPr="007C4D65">
              <w:rPr>
                <w:rFonts w:asciiTheme="minorHAnsi" w:hAnsiTheme="minorHAnsi" w:cstheme="minorHAnsi"/>
                <w:sz w:val="18"/>
              </w:rPr>
              <w:t>The Waste Exchange established and operational</w:t>
            </w:r>
            <w:r w:rsidR="000E68A5" w:rsidRPr="007C4D65">
              <w:rPr>
                <w:rFonts w:asciiTheme="minorHAnsi" w:hAnsiTheme="minorHAnsi" w:cstheme="minorHAnsi"/>
                <w:sz w:val="18"/>
              </w:rPr>
              <w:t xml:space="preserve"> </w:t>
            </w:r>
            <w:r w:rsidRPr="007C4D65">
              <w:rPr>
                <w:rFonts w:asciiTheme="minorHAnsi" w:hAnsiTheme="minorHAnsi" w:cstheme="minorHAnsi"/>
                <w:sz w:val="18"/>
              </w:rPr>
              <w:t>(2027)</w:t>
            </w:r>
          </w:p>
        </w:tc>
      </w:tr>
      <w:tr w:rsidR="00B02183" w:rsidRPr="007C4D65" w14:paraId="37851D2B" w14:textId="77777777" w:rsidTr="00B6017F">
        <w:trPr>
          <w:trHeight w:val="287"/>
        </w:trPr>
        <w:tc>
          <w:tcPr>
            <w:tcW w:w="658" w:type="pct"/>
            <w:vMerge/>
            <w:shd w:val="clear" w:color="auto" w:fill="D9D9D9" w:themeFill="background1" w:themeFillShade="D9"/>
            <w:vAlign w:val="center"/>
          </w:tcPr>
          <w:p w14:paraId="62894D0F"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85E35CE"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142F541"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b. Investments in recycling industry from the revolving fund</w:t>
            </w:r>
          </w:p>
        </w:tc>
        <w:tc>
          <w:tcPr>
            <w:tcW w:w="1159" w:type="pct"/>
            <w:shd w:val="clear" w:color="auto" w:fill="FFFFFF"/>
            <w:tcMar>
              <w:top w:w="0" w:type="dxa"/>
              <w:left w:w="108" w:type="dxa"/>
              <w:bottom w:w="0" w:type="dxa"/>
              <w:right w:w="108" w:type="dxa"/>
            </w:tcMar>
            <w:vAlign w:val="center"/>
          </w:tcPr>
          <w:p w14:paraId="60C79B26"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0</w:t>
            </w:r>
          </w:p>
        </w:tc>
        <w:tc>
          <w:tcPr>
            <w:tcW w:w="1159" w:type="pct"/>
            <w:shd w:val="clear" w:color="auto" w:fill="FFFFFF"/>
            <w:vAlign w:val="center"/>
          </w:tcPr>
          <w:p w14:paraId="6497E728" w14:textId="0882E763" w:rsidR="00B02183" w:rsidRPr="007C4D65" w:rsidRDefault="00B02183" w:rsidP="00B6017F">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Continued growth of annual funds placed from the </w:t>
            </w:r>
            <w:r w:rsidR="00830279" w:rsidRPr="007C4D65">
              <w:rPr>
                <w:rFonts w:asciiTheme="minorHAnsi" w:hAnsiTheme="minorHAnsi" w:cstheme="minorHAnsi"/>
                <w:sz w:val="18"/>
              </w:rPr>
              <w:t>revolving</w:t>
            </w:r>
            <w:r w:rsidRPr="007C4D65">
              <w:rPr>
                <w:rFonts w:asciiTheme="minorHAnsi" w:hAnsiTheme="minorHAnsi" w:cstheme="minorHAnsi"/>
                <w:sz w:val="18"/>
              </w:rPr>
              <w:t xml:space="preserve"> fund</w:t>
            </w:r>
          </w:p>
          <w:p w14:paraId="328BC804" w14:textId="77777777" w:rsidR="00B02183" w:rsidRPr="007C4D65" w:rsidRDefault="00B02183" w:rsidP="00B6017F">
            <w:pPr>
              <w:spacing w:line="276" w:lineRule="auto"/>
              <w:ind w:left="69"/>
              <w:rPr>
                <w:rFonts w:asciiTheme="minorHAnsi" w:hAnsiTheme="minorHAnsi" w:cstheme="minorHAnsi"/>
                <w:sz w:val="18"/>
                <w:szCs w:val="18"/>
              </w:rPr>
            </w:pPr>
            <w:r w:rsidRPr="007C4D65">
              <w:rPr>
                <w:rFonts w:asciiTheme="minorHAnsi" w:hAnsiTheme="minorHAnsi" w:cstheme="minorHAnsi"/>
                <w:sz w:val="18"/>
              </w:rPr>
              <w:t>(</w:t>
            </w:r>
            <w:proofErr w:type="gramStart"/>
            <w:r w:rsidRPr="007C4D65">
              <w:rPr>
                <w:rFonts w:asciiTheme="minorHAnsi" w:hAnsiTheme="minorHAnsi" w:cstheme="minorHAnsi"/>
                <w:sz w:val="18"/>
              </w:rPr>
              <w:t>annually</w:t>
            </w:r>
            <w:proofErr w:type="gramEnd"/>
            <w:r w:rsidRPr="007C4D65">
              <w:rPr>
                <w:rFonts w:asciiTheme="minorHAnsi" w:hAnsiTheme="minorHAnsi" w:cstheme="minorHAnsi"/>
                <w:sz w:val="18"/>
              </w:rPr>
              <w:t>, from 2024 until the end of the planning period)</w:t>
            </w:r>
          </w:p>
        </w:tc>
      </w:tr>
      <w:tr w:rsidR="00B02183" w:rsidRPr="007C4D65" w14:paraId="34FD666F" w14:textId="77777777" w:rsidTr="00B6017F">
        <w:trPr>
          <w:trHeight w:val="287"/>
        </w:trPr>
        <w:tc>
          <w:tcPr>
            <w:tcW w:w="658" w:type="pct"/>
            <w:vMerge/>
            <w:shd w:val="clear" w:color="auto" w:fill="D9D9D9" w:themeFill="background1" w:themeFillShade="D9"/>
            <w:vAlign w:val="center"/>
          </w:tcPr>
          <w:p w14:paraId="08BCBAB0"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B52B107"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E5E3122"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ç Status of informal collectors in the recycling system</w:t>
            </w:r>
          </w:p>
        </w:tc>
        <w:tc>
          <w:tcPr>
            <w:tcW w:w="1159" w:type="pct"/>
            <w:shd w:val="clear" w:color="auto" w:fill="FFFFFF"/>
            <w:tcMar>
              <w:top w:w="0" w:type="dxa"/>
              <w:left w:w="108" w:type="dxa"/>
              <w:bottom w:w="0" w:type="dxa"/>
              <w:right w:w="108" w:type="dxa"/>
            </w:tcMar>
            <w:vAlign w:val="center"/>
          </w:tcPr>
          <w:p w14:paraId="3E8FCC27"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Informal collectors are not formally recognised as a part of the recycling system</w:t>
            </w:r>
          </w:p>
        </w:tc>
        <w:tc>
          <w:tcPr>
            <w:tcW w:w="1159" w:type="pct"/>
            <w:shd w:val="clear" w:color="auto" w:fill="FFFFFF"/>
            <w:vAlign w:val="center"/>
          </w:tcPr>
          <w:p w14:paraId="2D97D61A" w14:textId="77777777" w:rsidR="00B02183" w:rsidRPr="007C4D65" w:rsidRDefault="00B02183" w:rsidP="00B6017F">
            <w:pPr>
              <w:spacing w:line="276" w:lineRule="auto"/>
              <w:ind w:left="69"/>
              <w:rPr>
                <w:rFonts w:asciiTheme="minorHAnsi" w:hAnsiTheme="minorHAnsi" w:cstheme="minorHAnsi"/>
                <w:sz w:val="18"/>
                <w:szCs w:val="18"/>
              </w:rPr>
            </w:pPr>
            <w:r w:rsidRPr="007C4D65">
              <w:rPr>
                <w:rFonts w:asciiTheme="minorHAnsi" w:hAnsiTheme="minorHAnsi" w:cstheme="minorHAnsi"/>
                <w:sz w:val="18"/>
              </w:rPr>
              <w:t>Informal collectors are formally recognised as a part of the recycling system (2026)</w:t>
            </w:r>
          </w:p>
        </w:tc>
      </w:tr>
      <w:tr w:rsidR="00B02183" w:rsidRPr="007C4D65" w14:paraId="6D93A543" w14:textId="77777777" w:rsidTr="00B6017F">
        <w:trPr>
          <w:trHeight w:val="483"/>
        </w:trPr>
        <w:tc>
          <w:tcPr>
            <w:tcW w:w="658" w:type="pct"/>
            <w:vMerge/>
            <w:shd w:val="clear" w:color="auto" w:fill="D9D9D9" w:themeFill="background1" w:themeFillShade="D9"/>
            <w:vAlign w:val="center"/>
            <w:hideMark/>
          </w:tcPr>
          <w:p w14:paraId="784F72A2"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1AEDA78A"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2A41282F" w14:textId="221EB01A"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20AF5EC1"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02D2D720"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2D5CCA61" w14:textId="77777777" w:rsidTr="00B6017F">
        <w:trPr>
          <w:trHeight w:val="287"/>
        </w:trPr>
        <w:tc>
          <w:tcPr>
            <w:tcW w:w="658" w:type="pct"/>
            <w:vMerge/>
            <w:shd w:val="clear" w:color="auto" w:fill="D9D9D9" w:themeFill="background1" w:themeFillShade="D9"/>
            <w:vAlign w:val="center"/>
            <w:hideMark/>
          </w:tcPr>
          <w:p w14:paraId="5437F5D9"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01DF7601"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4BEB49D"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0.098</w:t>
            </w:r>
          </w:p>
        </w:tc>
        <w:tc>
          <w:tcPr>
            <w:tcW w:w="1159" w:type="pct"/>
            <w:tcMar>
              <w:top w:w="0" w:type="dxa"/>
              <w:left w:w="108" w:type="dxa"/>
              <w:bottom w:w="0" w:type="dxa"/>
              <w:right w:w="108" w:type="dxa"/>
            </w:tcMar>
            <w:vAlign w:val="center"/>
          </w:tcPr>
          <w:p w14:paraId="5323EA57"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23E1ED64" w14:textId="67BD5DAD" w:rsidR="00B02183" w:rsidRPr="007C4D65" w:rsidRDefault="00B02183" w:rsidP="000E68A5">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0.098</w:t>
            </w:r>
          </w:p>
        </w:tc>
      </w:tr>
    </w:tbl>
    <w:p w14:paraId="5BCCB5CA" w14:textId="77777777" w:rsidR="00B02183" w:rsidRPr="007C4D65" w:rsidRDefault="00B02183" w:rsidP="00B02183">
      <w:pPr>
        <w:spacing w:line="276" w:lineRule="auto"/>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000FB7BD" w14:textId="77777777" w:rsidTr="00B6017F">
        <w:trPr>
          <w:trHeight w:val="384"/>
        </w:trPr>
        <w:tc>
          <w:tcPr>
            <w:tcW w:w="658" w:type="pct"/>
            <w:vMerge w:val="restart"/>
            <w:shd w:val="clear" w:color="auto" w:fill="D9D9D9"/>
            <w:tcMar>
              <w:top w:w="0" w:type="dxa"/>
              <w:left w:w="108" w:type="dxa"/>
              <w:bottom w:w="0" w:type="dxa"/>
              <w:right w:w="108" w:type="dxa"/>
            </w:tcMar>
            <w:vAlign w:val="center"/>
          </w:tcPr>
          <w:p w14:paraId="5766FC52" w14:textId="77777777" w:rsidR="00B02183" w:rsidRPr="007C4D65" w:rsidRDefault="00B02183"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2.6. Priority</w:t>
            </w:r>
          </w:p>
          <w:p w14:paraId="24EAABE2"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restart"/>
            <w:tcMar>
              <w:top w:w="0" w:type="dxa"/>
              <w:left w:w="108" w:type="dxa"/>
              <w:bottom w:w="0" w:type="dxa"/>
              <w:right w:w="108" w:type="dxa"/>
            </w:tcMar>
            <w:vAlign w:val="center"/>
          </w:tcPr>
          <w:p w14:paraId="59D0CBA0" w14:textId="77777777" w:rsidR="00B02183" w:rsidRPr="007C4D65" w:rsidRDefault="00B02183"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Rehabilitate surfaces beneath inadequately disposed waste</w:t>
            </w:r>
          </w:p>
        </w:tc>
        <w:tc>
          <w:tcPr>
            <w:tcW w:w="1159" w:type="pct"/>
            <w:shd w:val="clear" w:color="auto" w:fill="D9D9D9"/>
            <w:tcMar>
              <w:top w:w="0" w:type="dxa"/>
              <w:left w:w="108" w:type="dxa"/>
              <w:bottom w:w="0" w:type="dxa"/>
              <w:right w:w="108" w:type="dxa"/>
            </w:tcMar>
            <w:vAlign w:val="center"/>
          </w:tcPr>
          <w:p w14:paraId="3A20A0C0" w14:textId="77777777" w:rsidR="00B02183" w:rsidRPr="007C4D65" w:rsidRDefault="00B02183"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10C3C79C"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41CD67B1"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63AACC2B" w14:textId="77777777" w:rsidTr="00B6017F">
        <w:trPr>
          <w:trHeight w:val="287"/>
        </w:trPr>
        <w:tc>
          <w:tcPr>
            <w:tcW w:w="658" w:type="pct"/>
            <w:vMerge/>
            <w:shd w:val="clear" w:color="auto" w:fill="D9D9D9"/>
            <w:vAlign w:val="center"/>
            <w:hideMark/>
          </w:tcPr>
          <w:p w14:paraId="7608773E"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3DD37E76"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5A73C92" w14:textId="77777777" w:rsidR="00B02183" w:rsidRPr="007C4D65" w:rsidRDefault="00B02183" w:rsidP="00B6017F">
            <w:pPr>
              <w:pStyle w:val="NormalWeb"/>
              <w:spacing w:line="276" w:lineRule="auto"/>
              <w:rPr>
                <w:rFonts w:asciiTheme="minorHAnsi" w:eastAsiaTheme="minorHAnsi" w:hAnsiTheme="minorHAnsi" w:cstheme="minorHAnsi"/>
                <w:sz w:val="18"/>
                <w:szCs w:val="18"/>
              </w:rPr>
            </w:pPr>
            <w:r w:rsidRPr="007C4D65">
              <w:rPr>
                <w:rFonts w:asciiTheme="minorHAnsi" w:hAnsiTheme="minorHAnsi" w:cstheme="minorHAnsi"/>
                <w:sz w:val="18"/>
              </w:rPr>
              <w:t xml:space="preserve">Costs of environmental action– landfill </w:t>
            </w:r>
          </w:p>
        </w:tc>
        <w:tc>
          <w:tcPr>
            <w:tcW w:w="1159" w:type="pct"/>
            <w:tcMar>
              <w:top w:w="0" w:type="dxa"/>
              <w:left w:w="108" w:type="dxa"/>
              <w:bottom w:w="0" w:type="dxa"/>
              <w:right w:w="108" w:type="dxa"/>
            </w:tcMar>
            <w:vAlign w:val="center"/>
          </w:tcPr>
          <w:p w14:paraId="2BCBA6B9" w14:textId="77777777" w:rsidR="00B02183" w:rsidRPr="007C4D65" w:rsidRDefault="00B02183" w:rsidP="00B6017F">
            <w:pPr>
              <w:spacing w:line="276" w:lineRule="auto"/>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14FA5C12" w14:textId="5EB64CC4" w:rsidR="00B02183" w:rsidRPr="007C4D65" w:rsidRDefault="00B02183" w:rsidP="000E68A5">
            <w:pPr>
              <w:spacing w:line="276" w:lineRule="auto"/>
              <w:rPr>
                <w:rFonts w:asciiTheme="minorHAnsi" w:hAnsiTheme="minorHAnsi" w:cstheme="minorHAnsi"/>
                <w:sz w:val="18"/>
                <w:szCs w:val="18"/>
              </w:rPr>
            </w:pPr>
            <w:r w:rsidRPr="007C4D65">
              <w:rPr>
                <w:rFonts w:asciiTheme="minorHAnsi" w:hAnsiTheme="minorHAnsi" w:cstheme="minorHAnsi"/>
                <w:sz w:val="18"/>
              </w:rPr>
              <w:t>Increased each year compared to the base year</w:t>
            </w:r>
            <w:r w:rsidR="000E68A5" w:rsidRPr="007C4D65">
              <w:rPr>
                <w:rFonts w:asciiTheme="minorHAnsi" w:hAnsiTheme="minorHAnsi" w:cstheme="minorHAnsi"/>
                <w:sz w:val="18"/>
              </w:rPr>
              <w:t xml:space="preserve"> </w:t>
            </w:r>
            <w:r w:rsidRPr="007C4D65">
              <w:rPr>
                <w:rFonts w:asciiTheme="minorHAnsi" w:hAnsiTheme="minorHAnsi" w:cstheme="minorHAnsi"/>
                <w:sz w:val="18"/>
              </w:rPr>
              <w:t>(2032)</w:t>
            </w:r>
          </w:p>
        </w:tc>
      </w:tr>
      <w:tr w:rsidR="00B02183" w:rsidRPr="007C4D65" w14:paraId="7DE63E96" w14:textId="77777777" w:rsidTr="00B6017F">
        <w:trPr>
          <w:trHeight w:val="287"/>
        </w:trPr>
        <w:tc>
          <w:tcPr>
            <w:tcW w:w="658" w:type="pct"/>
            <w:vMerge/>
            <w:shd w:val="clear" w:color="auto" w:fill="D9D9D9"/>
            <w:vAlign w:val="center"/>
            <w:hideMark/>
          </w:tcPr>
          <w:p w14:paraId="2A677F37"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F88228B"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04A205DE" w14:textId="2B78D8C2"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56C7C12E"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484AF001"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564DC9B7" w14:textId="77777777" w:rsidTr="00B6017F">
        <w:trPr>
          <w:trHeight w:val="287"/>
        </w:trPr>
        <w:tc>
          <w:tcPr>
            <w:tcW w:w="658" w:type="pct"/>
            <w:vMerge/>
            <w:shd w:val="clear" w:color="auto" w:fill="D9D9D9"/>
            <w:vAlign w:val="center"/>
          </w:tcPr>
          <w:p w14:paraId="04FBF3BC"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0C234DC"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572B34A"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4</w:t>
            </w:r>
          </w:p>
        </w:tc>
        <w:tc>
          <w:tcPr>
            <w:tcW w:w="1159" w:type="pct"/>
            <w:tcMar>
              <w:top w:w="0" w:type="dxa"/>
              <w:left w:w="108" w:type="dxa"/>
              <w:bottom w:w="0" w:type="dxa"/>
              <w:right w:w="108" w:type="dxa"/>
            </w:tcMar>
            <w:vAlign w:val="center"/>
          </w:tcPr>
          <w:p w14:paraId="5C54EFC7"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16</w:t>
            </w:r>
          </w:p>
        </w:tc>
        <w:tc>
          <w:tcPr>
            <w:tcW w:w="1159" w:type="pct"/>
            <w:tcMar>
              <w:top w:w="0" w:type="dxa"/>
              <w:left w:w="108" w:type="dxa"/>
              <w:bottom w:w="0" w:type="dxa"/>
              <w:right w:w="108" w:type="dxa"/>
            </w:tcMar>
            <w:vAlign w:val="center"/>
          </w:tcPr>
          <w:p w14:paraId="417F9396"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20</w:t>
            </w:r>
          </w:p>
        </w:tc>
      </w:tr>
    </w:tbl>
    <w:p w14:paraId="014064B9"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38A21ECE"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1E64CE9F" w14:textId="77777777" w:rsidR="00B02183" w:rsidRPr="007C4D65" w:rsidRDefault="00B02183"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2.6.1 Measure</w:t>
            </w:r>
          </w:p>
        </w:tc>
        <w:tc>
          <w:tcPr>
            <w:tcW w:w="864" w:type="pct"/>
            <w:vMerge w:val="restart"/>
            <w:tcMar>
              <w:top w:w="0" w:type="dxa"/>
              <w:left w:w="108" w:type="dxa"/>
              <w:bottom w:w="0" w:type="dxa"/>
              <w:right w:w="108" w:type="dxa"/>
            </w:tcMar>
            <w:vAlign w:val="center"/>
          </w:tcPr>
          <w:p w14:paraId="1C577332"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Removing and rehabilitating abandoned landfills</w:t>
            </w:r>
          </w:p>
        </w:tc>
        <w:tc>
          <w:tcPr>
            <w:tcW w:w="1159" w:type="pct"/>
            <w:shd w:val="clear" w:color="auto" w:fill="D9D9D9"/>
            <w:tcMar>
              <w:top w:w="0" w:type="dxa"/>
              <w:left w:w="108" w:type="dxa"/>
              <w:bottom w:w="0" w:type="dxa"/>
              <w:right w:w="108" w:type="dxa"/>
            </w:tcMar>
            <w:vAlign w:val="center"/>
            <w:hideMark/>
          </w:tcPr>
          <w:p w14:paraId="61EB0470"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101638E2"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3F90FF62"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05E86214" w14:textId="77777777" w:rsidTr="00B6017F">
        <w:trPr>
          <w:trHeight w:val="287"/>
        </w:trPr>
        <w:tc>
          <w:tcPr>
            <w:tcW w:w="658" w:type="pct"/>
            <w:vMerge/>
            <w:shd w:val="clear" w:color="auto" w:fill="D9D9D9"/>
            <w:vAlign w:val="center"/>
          </w:tcPr>
          <w:p w14:paraId="3E849443"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F38967E"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8F25CE8"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 Status of development of a catalogue of hotspots</w:t>
            </w:r>
          </w:p>
        </w:tc>
        <w:tc>
          <w:tcPr>
            <w:tcW w:w="1159" w:type="pct"/>
            <w:shd w:val="clear" w:color="auto" w:fill="FFFFFF"/>
            <w:tcMar>
              <w:top w:w="0" w:type="dxa"/>
              <w:left w:w="108" w:type="dxa"/>
              <w:bottom w:w="0" w:type="dxa"/>
              <w:right w:w="108" w:type="dxa"/>
            </w:tcMar>
            <w:vAlign w:val="center"/>
          </w:tcPr>
          <w:p w14:paraId="44E2F0F2" w14:textId="77777777" w:rsidR="00B02183" w:rsidRPr="007C4D65" w:rsidRDefault="00B02183" w:rsidP="00B6017F">
            <w:pPr>
              <w:spacing w:after="120" w:line="276" w:lineRule="auto"/>
              <w:contextualSpacing/>
              <w:rPr>
                <w:rFonts w:asciiTheme="minorHAnsi" w:hAnsiTheme="minorHAnsi" w:cstheme="minorHAnsi"/>
                <w:sz w:val="18"/>
                <w:szCs w:val="18"/>
              </w:rPr>
            </w:pPr>
            <w:r w:rsidRPr="007C4D65">
              <w:rPr>
                <w:rFonts w:asciiTheme="minorHAnsi" w:hAnsiTheme="minorHAnsi" w:cstheme="minorHAnsi"/>
                <w:sz w:val="18"/>
              </w:rPr>
              <w:t>The catalogue of hotspots has not been developed</w:t>
            </w:r>
          </w:p>
        </w:tc>
        <w:tc>
          <w:tcPr>
            <w:tcW w:w="1159" w:type="pct"/>
            <w:shd w:val="clear" w:color="auto" w:fill="FFFFFF"/>
            <w:vAlign w:val="center"/>
          </w:tcPr>
          <w:p w14:paraId="764666F3" w14:textId="65B6AA86" w:rsidR="00B02183" w:rsidRPr="007C4D65" w:rsidRDefault="00B02183" w:rsidP="000E68A5">
            <w:pPr>
              <w:spacing w:line="276" w:lineRule="auto"/>
              <w:ind w:left="69"/>
              <w:rPr>
                <w:rFonts w:asciiTheme="minorHAnsi" w:hAnsiTheme="minorHAnsi" w:cstheme="minorHAnsi"/>
                <w:sz w:val="18"/>
                <w:szCs w:val="18"/>
              </w:rPr>
            </w:pPr>
            <w:r w:rsidRPr="007C4D65">
              <w:rPr>
                <w:rFonts w:asciiTheme="minorHAnsi" w:hAnsiTheme="minorHAnsi" w:cstheme="minorHAnsi"/>
                <w:sz w:val="18"/>
              </w:rPr>
              <w:t>The catalogue of hotspots has been developed</w:t>
            </w:r>
            <w:r w:rsidR="000E68A5" w:rsidRPr="007C4D65">
              <w:rPr>
                <w:rFonts w:asciiTheme="minorHAnsi" w:hAnsiTheme="minorHAnsi" w:cstheme="minorHAnsi"/>
                <w:sz w:val="18"/>
              </w:rPr>
              <w:t xml:space="preserve"> </w:t>
            </w:r>
            <w:r w:rsidRPr="007C4D65">
              <w:rPr>
                <w:rFonts w:asciiTheme="minorHAnsi" w:hAnsiTheme="minorHAnsi" w:cstheme="minorHAnsi"/>
                <w:sz w:val="18"/>
              </w:rPr>
              <w:t>(2025)</w:t>
            </w:r>
          </w:p>
        </w:tc>
      </w:tr>
      <w:tr w:rsidR="00B02183" w:rsidRPr="007C4D65" w14:paraId="58610C7D" w14:textId="77777777" w:rsidTr="00B6017F">
        <w:trPr>
          <w:trHeight w:val="287"/>
        </w:trPr>
        <w:tc>
          <w:tcPr>
            <w:tcW w:w="658" w:type="pct"/>
            <w:vMerge/>
            <w:shd w:val="clear" w:color="auto" w:fill="D9D9D9"/>
            <w:vAlign w:val="center"/>
          </w:tcPr>
          <w:p w14:paraId="3F075F06"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8D54724"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9170160"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b. Number of abandoned landfills removed and rehabilitated</w:t>
            </w:r>
          </w:p>
        </w:tc>
        <w:tc>
          <w:tcPr>
            <w:tcW w:w="1159" w:type="pct"/>
            <w:shd w:val="clear" w:color="auto" w:fill="FFFFFF"/>
            <w:tcMar>
              <w:top w:w="0" w:type="dxa"/>
              <w:left w:w="108" w:type="dxa"/>
              <w:bottom w:w="0" w:type="dxa"/>
              <w:right w:w="108" w:type="dxa"/>
            </w:tcMar>
            <w:vAlign w:val="center"/>
          </w:tcPr>
          <w:p w14:paraId="129C9CCA"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0</w:t>
            </w:r>
          </w:p>
        </w:tc>
        <w:tc>
          <w:tcPr>
            <w:tcW w:w="1159" w:type="pct"/>
            <w:shd w:val="clear" w:color="auto" w:fill="FFFFFF"/>
            <w:vAlign w:val="center"/>
          </w:tcPr>
          <w:p w14:paraId="7C154E12" w14:textId="6BDC3BFF" w:rsidR="00B02183" w:rsidRPr="007C4D65" w:rsidRDefault="00B02183" w:rsidP="000E68A5">
            <w:pPr>
              <w:spacing w:line="276" w:lineRule="auto"/>
              <w:ind w:left="69"/>
              <w:rPr>
                <w:rFonts w:asciiTheme="minorHAnsi" w:hAnsiTheme="minorHAnsi" w:cstheme="minorHAnsi"/>
                <w:sz w:val="18"/>
                <w:szCs w:val="18"/>
              </w:rPr>
            </w:pPr>
            <w:r w:rsidRPr="007C4D65">
              <w:rPr>
                <w:rFonts w:asciiTheme="minorHAnsi" w:hAnsiTheme="minorHAnsi" w:cstheme="minorHAnsi"/>
                <w:sz w:val="18"/>
              </w:rPr>
              <w:t>5</w:t>
            </w:r>
            <w:r w:rsidR="000E68A5" w:rsidRPr="007C4D65">
              <w:rPr>
                <w:rFonts w:asciiTheme="minorHAnsi" w:hAnsiTheme="minorHAnsi" w:cstheme="minorHAnsi"/>
                <w:sz w:val="18"/>
              </w:rPr>
              <w:t xml:space="preserve"> </w:t>
            </w:r>
            <w:r w:rsidRPr="007C4D65">
              <w:rPr>
                <w:rFonts w:asciiTheme="minorHAnsi" w:hAnsiTheme="minorHAnsi" w:cstheme="minorHAnsi"/>
                <w:sz w:val="18"/>
              </w:rPr>
              <w:t>(2032)</w:t>
            </w:r>
          </w:p>
        </w:tc>
      </w:tr>
      <w:tr w:rsidR="00B02183" w:rsidRPr="007C4D65" w14:paraId="69910D6D" w14:textId="77777777" w:rsidTr="00B6017F">
        <w:trPr>
          <w:trHeight w:val="483"/>
        </w:trPr>
        <w:tc>
          <w:tcPr>
            <w:tcW w:w="658" w:type="pct"/>
            <w:vMerge/>
            <w:shd w:val="clear" w:color="auto" w:fill="D9D9D9"/>
            <w:vAlign w:val="center"/>
            <w:hideMark/>
          </w:tcPr>
          <w:p w14:paraId="1E28EC4E"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22FE3E76"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0EAEEB58" w14:textId="31008844"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67874477"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4B5A7D98"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187904F6" w14:textId="77777777" w:rsidTr="00B6017F">
        <w:trPr>
          <w:trHeight w:val="287"/>
        </w:trPr>
        <w:tc>
          <w:tcPr>
            <w:tcW w:w="658" w:type="pct"/>
            <w:vMerge/>
            <w:shd w:val="clear" w:color="auto" w:fill="D9D9D9"/>
            <w:vAlign w:val="center"/>
            <w:hideMark/>
          </w:tcPr>
          <w:p w14:paraId="7CBD0D4C"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7BB422BA"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8A53F2B"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4</w:t>
            </w:r>
          </w:p>
        </w:tc>
        <w:tc>
          <w:tcPr>
            <w:tcW w:w="1159" w:type="pct"/>
            <w:tcMar>
              <w:top w:w="0" w:type="dxa"/>
              <w:left w:w="108" w:type="dxa"/>
              <w:bottom w:w="0" w:type="dxa"/>
              <w:right w:w="108" w:type="dxa"/>
            </w:tcMar>
            <w:vAlign w:val="center"/>
          </w:tcPr>
          <w:p w14:paraId="0675295E"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16</w:t>
            </w:r>
          </w:p>
        </w:tc>
        <w:tc>
          <w:tcPr>
            <w:tcW w:w="1159" w:type="pct"/>
            <w:tcMar>
              <w:top w:w="0" w:type="dxa"/>
              <w:left w:w="108" w:type="dxa"/>
              <w:bottom w:w="0" w:type="dxa"/>
              <w:right w:w="108" w:type="dxa"/>
            </w:tcMar>
            <w:vAlign w:val="center"/>
          </w:tcPr>
          <w:p w14:paraId="57C0BF55"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20</w:t>
            </w:r>
          </w:p>
        </w:tc>
      </w:tr>
    </w:tbl>
    <w:p w14:paraId="75C0061D" w14:textId="77777777" w:rsidR="00B02183" w:rsidRPr="007C4D65" w:rsidRDefault="00B02183" w:rsidP="00B02183">
      <w:pPr>
        <w:spacing w:line="276" w:lineRule="auto"/>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7AE6639C" w14:textId="77777777" w:rsidTr="00B6017F">
        <w:trPr>
          <w:trHeight w:val="384"/>
        </w:trPr>
        <w:tc>
          <w:tcPr>
            <w:tcW w:w="658" w:type="pct"/>
            <w:vMerge w:val="restart"/>
            <w:shd w:val="clear" w:color="auto" w:fill="D9D9D9"/>
            <w:tcMar>
              <w:top w:w="0" w:type="dxa"/>
              <w:left w:w="108" w:type="dxa"/>
              <w:bottom w:w="0" w:type="dxa"/>
              <w:right w:w="108" w:type="dxa"/>
            </w:tcMar>
            <w:vAlign w:val="center"/>
          </w:tcPr>
          <w:p w14:paraId="62B781F1" w14:textId="77777777" w:rsidR="00B02183" w:rsidRPr="007C4D65" w:rsidRDefault="00B02183"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2.7 Priority</w:t>
            </w:r>
          </w:p>
          <w:p w14:paraId="3500DAAF"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restart"/>
            <w:tcMar>
              <w:top w:w="0" w:type="dxa"/>
              <w:left w:w="108" w:type="dxa"/>
              <w:bottom w:w="0" w:type="dxa"/>
              <w:right w:w="108" w:type="dxa"/>
            </w:tcMar>
            <w:vAlign w:val="center"/>
          </w:tcPr>
          <w:p w14:paraId="7CD24722" w14:textId="77777777" w:rsidR="00B02183" w:rsidRPr="007C4D65" w:rsidRDefault="00B02183"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Raise awareness about the proper separation, collection and disposal of waste</w:t>
            </w:r>
          </w:p>
        </w:tc>
        <w:tc>
          <w:tcPr>
            <w:tcW w:w="1159" w:type="pct"/>
            <w:shd w:val="clear" w:color="auto" w:fill="D9D9D9"/>
            <w:tcMar>
              <w:top w:w="0" w:type="dxa"/>
              <w:left w:w="108" w:type="dxa"/>
              <w:bottom w:w="0" w:type="dxa"/>
              <w:right w:w="108" w:type="dxa"/>
            </w:tcMar>
            <w:vAlign w:val="center"/>
          </w:tcPr>
          <w:p w14:paraId="29FFE235" w14:textId="77777777" w:rsidR="00B02183" w:rsidRPr="007C4D65" w:rsidRDefault="00B02183"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5895D2A9"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06BF7B35"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3DCEADC6" w14:textId="77777777" w:rsidTr="00B6017F">
        <w:trPr>
          <w:trHeight w:val="287"/>
        </w:trPr>
        <w:tc>
          <w:tcPr>
            <w:tcW w:w="658" w:type="pct"/>
            <w:vMerge/>
            <w:shd w:val="clear" w:color="auto" w:fill="D9D9D9"/>
            <w:vAlign w:val="center"/>
            <w:hideMark/>
          </w:tcPr>
          <w:p w14:paraId="7388632F"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2520AAB"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070210E" w14:textId="77777777" w:rsidR="00B02183" w:rsidRPr="007C4D65" w:rsidRDefault="00B02183"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Funds invested in awareness programmes on waste management</w:t>
            </w:r>
          </w:p>
        </w:tc>
        <w:tc>
          <w:tcPr>
            <w:tcW w:w="1159" w:type="pct"/>
            <w:tcMar>
              <w:top w:w="0" w:type="dxa"/>
              <w:left w:w="108" w:type="dxa"/>
              <w:bottom w:w="0" w:type="dxa"/>
              <w:right w:w="108" w:type="dxa"/>
            </w:tcMar>
          </w:tcPr>
          <w:p w14:paraId="58B0F53E" w14:textId="77777777" w:rsidR="00B02183" w:rsidRPr="007C4D65" w:rsidRDefault="00B02183" w:rsidP="00B6017F">
            <w:pPr>
              <w:spacing w:line="276" w:lineRule="auto"/>
              <w:rPr>
                <w:rFonts w:asciiTheme="minorHAnsi" w:hAnsiTheme="minorHAnsi" w:cstheme="minorHAnsi"/>
                <w:sz w:val="18"/>
                <w:szCs w:val="18"/>
              </w:rPr>
            </w:pPr>
            <w:r w:rsidRPr="007C4D65">
              <w:rPr>
                <w:rFonts w:asciiTheme="minorHAnsi" w:hAnsiTheme="minorHAnsi" w:cstheme="minorHAnsi"/>
                <w:sz w:val="18"/>
              </w:rPr>
              <w:t>No indicator available</w:t>
            </w:r>
          </w:p>
          <w:p w14:paraId="523D4531" w14:textId="6989CD6B" w:rsidR="00B02183" w:rsidRPr="007C4D65" w:rsidRDefault="00B02183" w:rsidP="000E68A5">
            <w:pPr>
              <w:spacing w:line="276" w:lineRule="auto"/>
              <w:rPr>
                <w:rFonts w:asciiTheme="minorHAnsi" w:hAnsiTheme="minorHAnsi" w:cstheme="minorHAnsi"/>
                <w:sz w:val="18"/>
                <w:szCs w:val="18"/>
                <w:lang w:val="hr-HR"/>
              </w:rPr>
            </w:pPr>
            <w:r w:rsidRPr="007C4D65">
              <w:rPr>
                <w:rFonts w:asciiTheme="minorHAnsi" w:hAnsiTheme="minorHAnsi" w:cstheme="minorHAnsi"/>
                <w:sz w:val="18"/>
              </w:rPr>
              <w:t>(2021)</w:t>
            </w:r>
            <w:r w:rsidR="000E68A5" w:rsidRPr="007C4D65">
              <w:rPr>
                <w:rFonts w:asciiTheme="minorHAnsi" w:hAnsiTheme="minorHAnsi" w:cstheme="minorHAnsi"/>
                <w:sz w:val="18"/>
                <w:szCs w:val="18"/>
                <w:lang w:val="hr-HR"/>
              </w:rPr>
              <w:t xml:space="preserve"> </w:t>
            </w:r>
          </w:p>
        </w:tc>
        <w:tc>
          <w:tcPr>
            <w:tcW w:w="1159" w:type="pct"/>
            <w:tcMar>
              <w:top w:w="0" w:type="dxa"/>
              <w:left w:w="108" w:type="dxa"/>
              <w:bottom w:w="0" w:type="dxa"/>
              <w:right w:w="108" w:type="dxa"/>
            </w:tcMar>
          </w:tcPr>
          <w:p w14:paraId="3C0C4563" w14:textId="54D70090" w:rsidR="00B02183" w:rsidRPr="007C4D65" w:rsidRDefault="00B02183" w:rsidP="000E68A5">
            <w:pPr>
              <w:spacing w:line="276" w:lineRule="auto"/>
              <w:rPr>
                <w:rFonts w:asciiTheme="minorHAnsi" w:hAnsiTheme="minorHAnsi" w:cstheme="minorHAnsi"/>
                <w:sz w:val="18"/>
                <w:szCs w:val="18"/>
              </w:rPr>
            </w:pPr>
            <w:r w:rsidRPr="007C4D65">
              <w:rPr>
                <w:rFonts w:asciiTheme="minorHAnsi" w:hAnsiTheme="minorHAnsi" w:cstheme="minorHAnsi"/>
                <w:sz w:val="18"/>
              </w:rPr>
              <w:t>Increased each year compared to the base year</w:t>
            </w:r>
            <w:r w:rsidR="000E68A5" w:rsidRPr="007C4D65">
              <w:rPr>
                <w:rFonts w:asciiTheme="minorHAnsi" w:hAnsiTheme="minorHAnsi" w:cstheme="minorHAnsi"/>
                <w:sz w:val="18"/>
                <w:szCs w:val="18"/>
              </w:rPr>
              <w:t xml:space="preserve"> </w:t>
            </w:r>
            <w:r w:rsidRPr="007C4D65">
              <w:rPr>
                <w:rFonts w:asciiTheme="minorHAnsi" w:hAnsiTheme="minorHAnsi" w:cstheme="minorHAnsi"/>
                <w:sz w:val="18"/>
              </w:rPr>
              <w:t>(2032)</w:t>
            </w:r>
          </w:p>
        </w:tc>
      </w:tr>
      <w:tr w:rsidR="00B02183" w:rsidRPr="007C4D65" w14:paraId="42A768EA" w14:textId="77777777" w:rsidTr="00B6017F">
        <w:trPr>
          <w:trHeight w:val="287"/>
        </w:trPr>
        <w:tc>
          <w:tcPr>
            <w:tcW w:w="658" w:type="pct"/>
            <w:vMerge/>
            <w:shd w:val="clear" w:color="auto" w:fill="D9D9D9"/>
            <w:vAlign w:val="center"/>
            <w:hideMark/>
          </w:tcPr>
          <w:p w14:paraId="3CED515B"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7756F462"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5DEA5C1F" w14:textId="3319F851"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02DCE94E"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6FEF1938"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0D4F40E9" w14:textId="77777777" w:rsidTr="00B6017F">
        <w:trPr>
          <w:trHeight w:val="287"/>
        </w:trPr>
        <w:tc>
          <w:tcPr>
            <w:tcW w:w="658" w:type="pct"/>
            <w:vMerge/>
            <w:shd w:val="clear" w:color="auto" w:fill="D9D9D9"/>
            <w:vAlign w:val="center"/>
          </w:tcPr>
          <w:p w14:paraId="2B70B53F"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DE5FC5E"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B0F6AC2"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0.104</w:t>
            </w:r>
          </w:p>
        </w:tc>
        <w:tc>
          <w:tcPr>
            <w:tcW w:w="1159" w:type="pct"/>
            <w:tcMar>
              <w:top w:w="0" w:type="dxa"/>
              <w:left w:w="108" w:type="dxa"/>
              <w:bottom w:w="0" w:type="dxa"/>
              <w:right w:w="108" w:type="dxa"/>
            </w:tcMar>
            <w:vAlign w:val="center"/>
          </w:tcPr>
          <w:p w14:paraId="397F4854"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0.942</w:t>
            </w:r>
          </w:p>
        </w:tc>
        <w:tc>
          <w:tcPr>
            <w:tcW w:w="1159" w:type="pct"/>
            <w:tcMar>
              <w:top w:w="0" w:type="dxa"/>
              <w:left w:w="108" w:type="dxa"/>
              <w:bottom w:w="0" w:type="dxa"/>
              <w:right w:w="108" w:type="dxa"/>
            </w:tcMar>
            <w:vAlign w:val="center"/>
          </w:tcPr>
          <w:p w14:paraId="63068CAA"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1.04</w:t>
            </w:r>
          </w:p>
        </w:tc>
      </w:tr>
    </w:tbl>
    <w:p w14:paraId="40D56DBF"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1A4B90D7"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56E0106D" w14:textId="77777777" w:rsidR="00B02183" w:rsidRPr="007C4D65" w:rsidRDefault="00B02183"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2.7.1 Measure</w:t>
            </w:r>
          </w:p>
        </w:tc>
        <w:tc>
          <w:tcPr>
            <w:tcW w:w="864" w:type="pct"/>
            <w:vMerge w:val="restart"/>
            <w:tcMar>
              <w:top w:w="0" w:type="dxa"/>
              <w:left w:w="108" w:type="dxa"/>
              <w:bottom w:w="0" w:type="dxa"/>
              <w:right w:w="108" w:type="dxa"/>
            </w:tcMar>
            <w:vAlign w:val="center"/>
          </w:tcPr>
          <w:p w14:paraId="6CE30FD8"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Running up-to-date educational and informational, gender sensitive and inclusive awareness campaigns at all levels (Federation of BiH, cantonal, municipal level)</w:t>
            </w:r>
          </w:p>
        </w:tc>
        <w:tc>
          <w:tcPr>
            <w:tcW w:w="1159" w:type="pct"/>
            <w:shd w:val="clear" w:color="auto" w:fill="D9D9D9"/>
            <w:tcMar>
              <w:top w:w="0" w:type="dxa"/>
              <w:left w:w="108" w:type="dxa"/>
              <w:bottom w:w="0" w:type="dxa"/>
              <w:right w:w="108" w:type="dxa"/>
            </w:tcMar>
            <w:vAlign w:val="center"/>
            <w:hideMark/>
          </w:tcPr>
          <w:p w14:paraId="5DE3C109"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057161F2"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69C73510"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24D59563" w14:textId="77777777" w:rsidTr="00B6017F">
        <w:trPr>
          <w:trHeight w:val="287"/>
        </w:trPr>
        <w:tc>
          <w:tcPr>
            <w:tcW w:w="658" w:type="pct"/>
            <w:vMerge/>
            <w:shd w:val="clear" w:color="auto" w:fill="D9D9D9"/>
            <w:vAlign w:val="center"/>
          </w:tcPr>
          <w:p w14:paraId="60003C67"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41A3362"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C31E2A8"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General perception about the status of public awareness</w:t>
            </w:r>
          </w:p>
        </w:tc>
        <w:tc>
          <w:tcPr>
            <w:tcW w:w="1159" w:type="pct"/>
            <w:shd w:val="clear" w:color="auto" w:fill="FFFFFF"/>
            <w:tcMar>
              <w:top w:w="0" w:type="dxa"/>
              <w:left w:w="108" w:type="dxa"/>
              <w:bottom w:w="0" w:type="dxa"/>
              <w:right w:w="108" w:type="dxa"/>
            </w:tcMar>
            <w:vAlign w:val="center"/>
          </w:tcPr>
          <w:p w14:paraId="20D13FBE" w14:textId="77777777" w:rsidR="00B02183" w:rsidRPr="007C4D65" w:rsidRDefault="00B02183"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Poor perception of the status of public awareness</w:t>
            </w:r>
          </w:p>
        </w:tc>
        <w:tc>
          <w:tcPr>
            <w:tcW w:w="1159" w:type="pct"/>
            <w:shd w:val="clear" w:color="auto" w:fill="FFFFFF"/>
            <w:vAlign w:val="center"/>
          </w:tcPr>
          <w:p w14:paraId="5A0249C9" w14:textId="4C46F512" w:rsidR="00B02183" w:rsidRPr="007C4D65" w:rsidRDefault="00B02183" w:rsidP="000E68A5">
            <w:pPr>
              <w:spacing w:line="276" w:lineRule="auto"/>
              <w:rPr>
                <w:rFonts w:asciiTheme="minorHAnsi" w:hAnsiTheme="minorHAnsi" w:cstheme="minorHAnsi"/>
                <w:sz w:val="18"/>
                <w:szCs w:val="18"/>
              </w:rPr>
            </w:pPr>
            <w:r w:rsidRPr="007C4D65">
              <w:rPr>
                <w:rFonts w:asciiTheme="minorHAnsi" w:hAnsiTheme="minorHAnsi" w:cstheme="minorHAnsi"/>
                <w:sz w:val="18"/>
              </w:rPr>
              <w:t>High general perception of the status of public awareness</w:t>
            </w:r>
            <w:r w:rsidR="000E68A5" w:rsidRPr="007C4D65">
              <w:rPr>
                <w:rFonts w:asciiTheme="minorHAnsi" w:hAnsiTheme="minorHAnsi" w:cstheme="minorHAnsi"/>
                <w:sz w:val="18"/>
              </w:rPr>
              <w:t xml:space="preserve"> </w:t>
            </w:r>
            <w:r w:rsidRPr="007C4D65">
              <w:rPr>
                <w:rFonts w:asciiTheme="minorHAnsi" w:hAnsiTheme="minorHAnsi" w:cstheme="minorHAnsi"/>
                <w:sz w:val="18"/>
              </w:rPr>
              <w:t>(2032)</w:t>
            </w:r>
          </w:p>
        </w:tc>
      </w:tr>
      <w:tr w:rsidR="00B02183" w:rsidRPr="007C4D65" w14:paraId="65B1A31A" w14:textId="77777777" w:rsidTr="00B6017F">
        <w:trPr>
          <w:trHeight w:val="483"/>
        </w:trPr>
        <w:tc>
          <w:tcPr>
            <w:tcW w:w="658" w:type="pct"/>
            <w:vMerge/>
            <w:shd w:val="clear" w:color="auto" w:fill="D9D9D9"/>
            <w:vAlign w:val="center"/>
            <w:hideMark/>
          </w:tcPr>
          <w:p w14:paraId="30D0C9FD"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4E1AC47"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09AF090" w14:textId="7AD03368" w:rsidR="00B02183" w:rsidRPr="007C4D65" w:rsidRDefault="000D19A9"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030BBD2D"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74651A5F" w14:textId="77777777" w:rsidR="00B02183" w:rsidRPr="007C4D65" w:rsidRDefault="00B02183"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2D458FD7" w14:textId="77777777" w:rsidTr="00B6017F">
        <w:trPr>
          <w:trHeight w:val="287"/>
        </w:trPr>
        <w:tc>
          <w:tcPr>
            <w:tcW w:w="658" w:type="pct"/>
            <w:vMerge/>
            <w:shd w:val="clear" w:color="auto" w:fill="D9D9D9"/>
            <w:vAlign w:val="center"/>
            <w:hideMark/>
          </w:tcPr>
          <w:p w14:paraId="6ACAFF46" w14:textId="77777777" w:rsidR="00B02183" w:rsidRPr="007C4D65" w:rsidRDefault="00B02183" w:rsidP="00B6017F">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08B010AD" w14:textId="77777777" w:rsidR="00B02183" w:rsidRPr="007C4D65" w:rsidRDefault="00B02183"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57C7438"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0.104</w:t>
            </w:r>
          </w:p>
        </w:tc>
        <w:tc>
          <w:tcPr>
            <w:tcW w:w="1159" w:type="pct"/>
            <w:tcMar>
              <w:top w:w="0" w:type="dxa"/>
              <w:left w:w="108" w:type="dxa"/>
              <w:bottom w:w="0" w:type="dxa"/>
              <w:right w:w="108" w:type="dxa"/>
            </w:tcMar>
            <w:vAlign w:val="center"/>
          </w:tcPr>
          <w:p w14:paraId="72836B19"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0.942</w:t>
            </w:r>
          </w:p>
        </w:tc>
        <w:tc>
          <w:tcPr>
            <w:tcW w:w="1159" w:type="pct"/>
            <w:tcMar>
              <w:top w:w="0" w:type="dxa"/>
              <w:left w:w="108" w:type="dxa"/>
              <w:bottom w:w="0" w:type="dxa"/>
              <w:right w:w="108" w:type="dxa"/>
            </w:tcMar>
            <w:vAlign w:val="center"/>
          </w:tcPr>
          <w:p w14:paraId="36B0875B" w14:textId="77777777" w:rsidR="00B02183" w:rsidRPr="007C4D65" w:rsidRDefault="00B02183"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1.04</w:t>
            </w:r>
          </w:p>
        </w:tc>
      </w:tr>
    </w:tbl>
    <w:p w14:paraId="60AC0684" w14:textId="77777777" w:rsidR="00B02183" w:rsidRPr="007C4D65" w:rsidRDefault="00B02183" w:rsidP="00B02183">
      <w:pPr>
        <w:spacing w:line="276" w:lineRule="auto"/>
        <w:rPr>
          <w:rFonts w:asciiTheme="minorHAnsi" w:hAnsiTheme="minorHAnsi" w:cstheme="minorHAnsi"/>
          <w:sz w:val="18"/>
          <w:szCs w:val="18"/>
          <w:lang w:val="hr-HR"/>
        </w:rPr>
      </w:pPr>
    </w:p>
    <w:p w14:paraId="38B6C952" w14:textId="77777777" w:rsidR="00911BA9" w:rsidRPr="007C4D65" w:rsidRDefault="00911BA9" w:rsidP="0068355A">
      <w:pPr>
        <w:spacing w:line="276" w:lineRule="auto"/>
        <w:rPr>
          <w:rFonts w:asciiTheme="minorHAnsi" w:hAnsiTheme="minorHAnsi" w:cstheme="minorHAnsi"/>
          <w:sz w:val="18"/>
          <w:szCs w:val="18"/>
        </w:rPr>
      </w:pPr>
    </w:p>
    <w:p w14:paraId="575610CD" w14:textId="77777777" w:rsidR="00CC447D" w:rsidRPr="007C4D65" w:rsidRDefault="00911BA9" w:rsidP="0068355A">
      <w:pPr>
        <w:spacing w:after="160" w:line="276" w:lineRule="auto"/>
        <w:rPr>
          <w:rFonts w:asciiTheme="minorHAnsi" w:hAnsiTheme="minorHAnsi" w:cstheme="minorHAnsi"/>
          <w:sz w:val="18"/>
          <w:szCs w:val="18"/>
        </w:rPr>
      </w:pPr>
      <w:r w:rsidRPr="007C4D65">
        <w:rPr>
          <w:rFonts w:asciiTheme="minorHAnsi" w:hAnsiTheme="minorHAnsi" w:cstheme="minorHAnsi"/>
        </w:rPr>
        <w:br w:type="page"/>
      </w:r>
    </w:p>
    <w:p w14:paraId="1BCF634A" w14:textId="0E5B9393" w:rsidR="00242590" w:rsidRPr="007C4D65" w:rsidRDefault="00F94A40" w:rsidP="00F94A40">
      <w:pPr>
        <w:pStyle w:val="Head3"/>
        <w:numPr>
          <w:ilvl w:val="0"/>
          <w:numId w:val="0"/>
        </w:numPr>
        <w:spacing w:line="276" w:lineRule="auto"/>
        <w:rPr>
          <w:rFonts w:asciiTheme="minorHAnsi" w:hAnsiTheme="minorHAnsi"/>
        </w:rPr>
      </w:pPr>
      <w:bookmarkStart w:id="430" w:name="_Toc117445386"/>
      <w:r w:rsidRPr="007C4D65">
        <w:rPr>
          <w:rFonts w:asciiTheme="minorHAnsi" w:hAnsiTheme="minorHAnsi"/>
        </w:rPr>
        <w:lastRenderedPageBreak/>
        <w:t xml:space="preserve">13.8.3. </w:t>
      </w:r>
      <w:r w:rsidR="00242590" w:rsidRPr="007C4D65">
        <w:rPr>
          <w:rFonts w:asciiTheme="minorHAnsi" w:hAnsiTheme="minorHAnsi"/>
        </w:rPr>
        <w:t xml:space="preserve">Biodiversity and </w:t>
      </w:r>
      <w:r w:rsidR="00CD3D80" w:rsidRPr="007C4D65">
        <w:rPr>
          <w:rFonts w:asciiTheme="minorHAnsi" w:hAnsiTheme="minorHAnsi"/>
        </w:rPr>
        <w:t>nature conservation</w:t>
      </w:r>
      <w:bookmarkEnd w:id="430"/>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4"/>
        <w:gridCol w:w="2408"/>
        <w:gridCol w:w="3231"/>
        <w:gridCol w:w="3231"/>
        <w:gridCol w:w="3234"/>
      </w:tblGrid>
      <w:tr w:rsidR="00B02183" w:rsidRPr="007C4D65" w14:paraId="7C882EEA" w14:textId="77777777" w:rsidTr="00B6017F">
        <w:trPr>
          <w:trHeight w:val="286"/>
        </w:trPr>
        <w:tc>
          <w:tcPr>
            <w:tcW w:w="658" w:type="pct"/>
            <w:shd w:val="clear" w:color="auto" w:fill="009E73"/>
            <w:tcMar>
              <w:top w:w="0" w:type="dxa"/>
              <w:left w:w="108" w:type="dxa"/>
              <w:bottom w:w="0" w:type="dxa"/>
              <w:right w:w="108" w:type="dxa"/>
            </w:tcMar>
            <w:vAlign w:val="center"/>
            <w:hideMark/>
          </w:tcPr>
          <w:p w14:paraId="41E95DB4" w14:textId="77777777" w:rsidR="00B02183" w:rsidRPr="007C4D65" w:rsidRDefault="00B02183" w:rsidP="00B02183">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 xml:space="preserve">No. and code </w:t>
            </w:r>
          </w:p>
        </w:tc>
        <w:tc>
          <w:tcPr>
            <w:tcW w:w="864" w:type="pct"/>
            <w:shd w:val="clear" w:color="auto" w:fill="009E73"/>
            <w:tcMar>
              <w:top w:w="0" w:type="dxa"/>
              <w:left w:w="108" w:type="dxa"/>
              <w:bottom w:w="0" w:type="dxa"/>
              <w:right w:w="108" w:type="dxa"/>
            </w:tcMar>
            <w:vAlign w:val="center"/>
            <w:hideMark/>
          </w:tcPr>
          <w:p w14:paraId="30BC9E7B" w14:textId="77777777" w:rsidR="00B02183" w:rsidRPr="007C4D65" w:rsidRDefault="00B02183" w:rsidP="00B02183">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TITLE</w:t>
            </w:r>
          </w:p>
        </w:tc>
        <w:tc>
          <w:tcPr>
            <w:tcW w:w="3478" w:type="pct"/>
            <w:gridSpan w:val="3"/>
            <w:shd w:val="clear" w:color="auto" w:fill="009E73"/>
            <w:tcMar>
              <w:top w:w="0" w:type="dxa"/>
              <w:left w:w="108" w:type="dxa"/>
              <w:bottom w:w="0" w:type="dxa"/>
              <w:right w:w="108" w:type="dxa"/>
            </w:tcMar>
            <w:vAlign w:val="center"/>
            <w:hideMark/>
          </w:tcPr>
          <w:p w14:paraId="4F18913A" w14:textId="77777777" w:rsidR="00B02183" w:rsidRPr="007C4D65" w:rsidRDefault="00B02183" w:rsidP="00B02183">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INDICATORS AND SOURCES OF FUNDING</w:t>
            </w:r>
          </w:p>
        </w:tc>
      </w:tr>
      <w:tr w:rsidR="00B02183" w:rsidRPr="007C4D65" w14:paraId="16226A35" w14:textId="77777777" w:rsidTr="00B6017F">
        <w:trPr>
          <w:trHeight w:val="384"/>
        </w:trPr>
        <w:tc>
          <w:tcPr>
            <w:tcW w:w="658" w:type="pct"/>
            <w:vMerge w:val="restart"/>
            <w:shd w:val="clear" w:color="auto" w:fill="D9D9D9"/>
            <w:tcMar>
              <w:top w:w="0" w:type="dxa"/>
              <w:left w:w="108" w:type="dxa"/>
              <w:bottom w:w="0" w:type="dxa"/>
              <w:right w:w="108" w:type="dxa"/>
            </w:tcMar>
            <w:vAlign w:val="center"/>
            <w:hideMark/>
          </w:tcPr>
          <w:p w14:paraId="0F7CC6D7" w14:textId="451D1CB5"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 xml:space="preserve">3. Strategic </w:t>
            </w:r>
            <w:r w:rsidR="009736BE" w:rsidRPr="007C4D65">
              <w:rPr>
                <w:rFonts w:asciiTheme="minorHAnsi" w:hAnsiTheme="minorHAnsi" w:cstheme="minorHAnsi"/>
                <w:b/>
                <w:sz w:val="18"/>
              </w:rPr>
              <w:t>g</w:t>
            </w:r>
            <w:r w:rsidRPr="007C4D65">
              <w:rPr>
                <w:rFonts w:asciiTheme="minorHAnsi" w:hAnsiTheme="minorHAnsi" w:cstheme="minorHAnsi"/>
                <w:b/>
                <w:sz w:val="18"/>
              </w:rPr>
              <w:t>oal</w:t>
            </w:r>
          </w:p>
        </w:tc>
        <w:tc>
          <w:tcPr>
            <w:tcW w:w="864" w:type="pct"/>
            <w:vMerge w:val="restart"/>
            <w:tcMar>
              <w:top w:w="0" w:type="dxa"/>
              <w:left w:w="108" w:type="dxa"/>
              <w:bottom w:w="0" w:type="dxa"/>
              <w:right w:w="108" w:type="dxa"/>
            </w:tcMar>
            <w:vAlign w:val="center"/>
          </w:tcPr>
          <w:p w14:paraId="40E4D516"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Maintaining and enhancing biodiversity and protecting ecosystems</w:t>
            </w:r>
          </w:p>
        </w:tc>
        <w:tc>
          <w:tcPr>
            <w:tcW w:w="1159" w:type="pct"/>
            <w:shd w:val="clear" w:color="auto" w:fill="D9D9D9"/>
            <w:tcMar>
              <w:top w:w="0" w:type="dxa"/>
              <w:left w:w="108" w:type="dxa"/>
              <w:bottom w:w="0" w:type="dxa"/>
              <w:right w:w="108" w:type="dxa"/>
            </w:tcMar>
            <w:vAlign w:val="center"/>
            <w:hideMark/>
          </w:tcPr>
          <w:p w14:paraId="25CF8290"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Strategic goal indicators</w:t>
            </w:r>
          </w:p>
        </w:tc>
        <w:tc>
          <w:tcPr>
            <w:tcW w:w="1159" w:type="pct"/>
            <w:shd w:val="clear" w:color="auto" w:fill="D9D9D9"/>
            <w:tcMar>
              <w:top w:w="0" w:type="dxa"/>
              <w:left w:w="108" w:type="dxa"/>
              <w:bottom w:w="0" w:type="dxa"/>
              <w:right w:w="108" w:type="dxa"/>
            </w:tcMar>
            <w:vAlign w:val="center"/>
            <w:hideMark/>
          </w:tcPr>
          <w:p w14:paraId="24D0926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60" w:type="pct"/>
            <w:shd w:val="clear" w:color="auto" w:fill="D9D9D9"/>
            <w:tcMar>
              <w:top w:w="0" w:type="dxa"/>
              <w:left w:w="108" w:type="dxa"/>
              <w:bottom w:w="0" w:type="dxa"/>
              <w:right w:w="108" w:type="dxa"/>
            </w:tcMar>
            <w:vAlign w:val="center"/>
            <w:hideMark/>
          </w:tcPr>
          <w:p w14:paraId="708E1757"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165EA1BE" w14:textId="77777777" w:rsidTr="00B6017F">
        <w:trPr>
          <w:trHeight w:val="287"/>
        </w:trPr>
        <w:tc>
          <w:tcPr>
            <w:tcW w:w="658" w:type="pct"/>
            <w:vMerge/>
            <w:shd w:val="clear" w:color="auto" w:fill="D9D9D9"/>
            <w:vAlign w:val="center"/>
            <w:hideMark/>
          </w:tcPr>
          <w:p w14:paraId="415121A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60842E6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9F4E422"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conservation areas and their categories</w:t>
            </w:r>
          </w:p>
        </w:tc>
        <w:tc>
          <w:tcPr>
            <w:tcW w:w="1159" w:type="pct"/>
            <w:tcMar>
              <w:top w:w="0" w:type="dxa"/>
              <w:left w:w="108" w:type="dxa"/>
              <w:bottom w:w="0" w:type="dxa"/>
              <w:right w:w="108" w:type="dxa"/>
            </w:tcMar>
            <w:vAlign w:val="center"/>
          </w:tcPr>
          <w:p w14:paraId="52E0C777"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2020 data:</w:t>
            </w:r>
          </w:p>
          <w:p w14:paraId="1450F547" w14:textId="77777777" w:rsidR="00B02183" w:rsidRPr="007C4D65" w:rsidRDefault="00B02183">
            <w:pPr>
              <w:numPr>
                <w:ilvl w:val="0"/>
                <w:numId w:val="185"/>
              </w:numPr>
              <w:spacing w:line="276" w:lineRule="auto"/>
              <w:contextualSpacing/>
              <w:rPr>
                <w:rFonts w:asciiTheme="minorHAnsi" w:hAnsiTheme="minorHAnsi" w:cstheme="minorHAnsi"/>
                <w:sz w:val="18"/>
                <w:szCs w:val="18"/>
              </w:rPr>
            </w:pPr>
            <w:r w:rsidRPr="007C4D65">
              <w:rPr>
                <w:rFonts w:asciiTheme="minorHAnsi" w:hAnsiTheme="minorHAnsi" w:cstheme="minorHAnsi"/>
                <w:sz w:val="18"/>
              </w:rPr>
              <w:t>National parks: 1.</w:t>
            </w:r>
          </w:p>
          <w:p w14:paraId="00DE5E7E" w14:textId="77777777" w:rsidR="00B02183" w:rsidRPr="007C4D65" w:rsidRDefault="00B02183">
            <w:pPr>
              <w:numPr>
                <w:ilvl w:val="0"/>
                <w:numId w:val="185"/>
              </w:numPr>
              <w:spacing w:line="276" w:lineRule="auto"/>
              <w:contextualSpacing/>
              <w:rPr>
                <w:rFonts w:asciiTheme="minorHAnsi" w:hAnsiTheme="minorHAnsi" w:cstheme="minorHAnsi"/>
                <w:sz w:val="18"/>
                <w:szCs w:val="18"/>
              </w:rPr>
            </w:pPr>
            <w:r w:rsidRPr="007C4D65">
              <w:rPr>
                <w:rFonts w:asciiTheme="minorHAnsi" w:hAnsiTheme="minorHAnsi" w:cstheme="minorHAnsi"/>
                <w:sz w:val="18"/>
              </w:rPr>
              <w:t>Natural monuments: 4</w:t>
            </w:r>
          </w:p>
          <w:p w14:paraId="6DDBB600" w14:textId="77777777" w:rsidR="00B02183" w:rsidRPr="007C4D65" w:rsidRDefault="00B02183">
            <w:pPr>
              <w:numPr>
                <w:ilvl w:val="0"/>
                <w:numId w:val="185"/>
              </w:numPr>
              <w:spacing w:line="276" w:lineRule="auto"/>
              <w:contextualSpacing/>
              <w:rPr>
                <w:rFonts w:asciiTheme="minorHAnsi" w:hAnsiTheme="minorHAnsi" w:cstheme="minorHAnsi"/>
                <w:sz w:val="18"/>
                <w:szCs w:val="18"/>
              </w:rPr>
            </w:pPr>
            <w:r w:rsidRPr="007C4D65">
              <w:rPr>
                <w:rFonts w:asciiTheme="minorHAnsi" w:hAnsiTheme="minorHAnsi" w:cstheme="minorHAnsi"/>
                <w:sz w:val="18"/>
              </w:rPr>
              <w:t>Nature parks: 2</w:t>
            </w:r>
          </w:p>
          <w:p w14:paraId="20E220FA" w14:textId="184B8BCA"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-Protected landscapes: 5</w:t>
            </w:r>
          </w:p>
        </w:tc>
        <w:tc>
          <w:tcPr>
            <w:tcW w:w="1160" w:type="pct"/>
            <w:tcMar>
              <w:top w:w="0" w:type="dxa"/>
              <w:left w:w="108" w:type="dxa"/>
              <w:bottom w:w="0" w:type="dxa"/>
              <w:right w:w="108" w:type="dxa"/>
            </w:tcMar>
            <w:vAlign w:val="center"/>
          </w:tcPr>
          <w:p w14:paraId="1E17E952" w14:textId="77777777" w:rsidR="00B02183" w:rsidRPr="007C4D65" w:rsidRDefault="00B02183" w:rsidP="00B02183">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w:t>
            </w:r>
          </w:p>
        </w:tc>
      </w:tr>
      <w:tr w:rsidR="00B02183" w:rsidRPr="007C4D65" w14:paraId="5EAADFCE" w14:textId="77777777" w:rsidTr="00B6017F">
        <w:trPr>
          <w:trHeight w:val="375"/>
        </w:trPr>
        <w:tc>
          <w:tcPr>
            <w:tcW w:w="658" w:type="pct"/>
            <w:vMerge/>
            <w:shd w:val="clear" w:color="auto" w:fill="D9D9D9"/>
            <w:vAlign w:val="center"/>
            <w:hideMark/>
          </w:tcPr>
          <w:p w14:paraId="476FBD48"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24BD430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0BC15583" w14:textId="6497ECDC"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12FA40A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60" w:type="pct"/>
            <w:shd w:val="clear" w:color="auto" w:fill="D9D9D9"/>
            <w:tcMar>
              <w:top w:w="0" w:type="dxa"/>
              <w:left w:w="108" w:type="dxa"/>
              <w:bottom w:w="0" w:type="dxa"/>
              <w:right w:w="108" w:type="dxa"/>
            </w:tcMar>
            <w:vAlign w:val="center"/>
            <w:hideMark/>
          </w:tcPr>
          <w:p w14:paraId="258E499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4118AE9C" w14:textId="77777777" w:rsidTr="00B6017F">
        <w:trPr>
          <w:trHeight w:val="287"/>
        </w:trPr>
        <w:tc>
          <w:tcPr>
            <w:tcW w:w="658" w:type="pct"/>
            <w:vMerge/>
            <w:shd w:val="clear" w:color="auto" w:fill="D9D9D9"/>
            <w:vAlign w:val="center"/>
            <w:hideMark/>
          </w:tcPr>
          <w:p w14:paraId="5C58BE8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391E89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F95588E"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10.1</w:t>
            </w:r>
          </w:p>
        </w:tc>
        <w:tc>
          <w:tcPr>
            <w:tcW w:w="1159" w:type="pct"/>
            <w:shd w:val="clear" w:color="auto" w:fill="FFFFFF"/>
            <w:tcMar>
              <w:top w:w="0" w:type="dxa"/>
              <w:left w:w="108" w:type="dxa"/>
              <w:bottom w:w="0" w:type="dxa"/>
              <w:right w:w="108" w:type="dxa"/>
            </w:tcMar>
            <w:vAlign w:val="center"/>
          </w:tcPr>
          <w:p w14:paraId="3F72F5AF"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43.6</w:t>
            </w:r>
          </w:p>
        </w:tc>
        <w:tc>
          <w:tcPr>
            <w:tcW w:w="1160" w:type="pct"/>
            <w:shd w:val="clear" w:color="auto" w:fill="FFFFFF"/>
            <w:tcMar>
              <w:top w:w="0" w:type="dxa"/>
              <w:left w:w="108" w:type="dxa"/>
              <w:bottom w:w="0" w:type="dxa"/>
              <w:right w:w="108" w:type="dxa"/>
            </w:tcMar>
            <w:vAlign w:val="center"/>
          </w:tcPr>
          <w:p w14:paraId="384819F5"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53.8</w:t>
            </w:r>
          </w:p>
        </w:tc>
      </w:tr>
    </w:tbl>
    <w:p w14:paraId="6AEF720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2EDB7712" w14:textId="77777777" w:rsidTr="00B6017F">
        <w:trPr>
          <w:trHeight w:val="384"/>
        </w:trPr>
        <w:tc>
          <w:tcPr>
            <w:tcW w:w="658" w:type="pct"/>
            <w:vMerge w:val="restart"/>
            <w:shd w:val="clear" w:color="auto" w:fill="D9D9D9"/>
            <w:tcMar>
              <w:top w:w="0" w:type="dxa"/>
              <w:left w:w="108" w:type="dxa"/>
              <w:bottom w:w="0" w:type="dxa"/>
              <w:right w:w="108" w:type="dxa"/>
            </w:tcMar>
            <w:vAlign w:val="center"/>
          </w:tcPr>
          <w:p w14:paraId="7EF5A0AC"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3.1 Priority</w:t>
            </w:r>
          </w:p>
        </w:tc>
        <w:tc>
          <w:tcPr>
            <w:tcW w:w="864" w:type="pct"/>
            <w:vMerge w:val="restart"/>
            <w:tcMar>
              <w:top w:w="0" w:type="dxa"/>
              <w:left w:w="108" w:type="dxa"/>
              <w:bottom w:w="0" w:type="dxa"/>
              <w:right w:w="108" w:type="dxa"/>
            </w:tcMar>
            <w:vAlign w:val="center"/>
          </w:tcPr>
          <w:p w14:paraId="3021E0B2" w14:textId="31886298" w:rsidR="00B02183" w:rsidRPr="007C4D65" w:rsidRDefault="00095CAC"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bCs/>
                <w:sz w:val="18"/>
              </w:rPr>
              <w:t>Improving</w:t>
            </w:r>
            <w:r w:rsidR="00B02183" w:rsidRPr="007C4D65">
              <w:rPr>
                <w:rFonts w:asciiTheme="minorHAnsi" w:hAnsiTheme="minorHAnsi" w:cstheme="minorHAnsi"/>
                <w:b/>
                <w:bCs/>
                <w:sz w:val="18"/>
              </w:rPr>
              <w:t xml:space="preserve"> the legal framework </w:t>
            </w:r>
            <w:r w:rsidR="007436F1" w:rsidRPr="007C4D65">
              <w:rPr>
                <w:rFonts w:asciiTheme="minorHAnsi" w:hAnsiTheme="minorHAnsi" w:cstheme="minorHAnsi"/>
                <w:b/>
                <w:bCs/>
                <w:sz w:val="18"/>
              </w:rPr>
              <w:t>of the Federation of BiH</w:t>
            </w:r>
            <w:r w:rsidR="00B02183" w:rsidRPr="007C4D65">
              <w:rPr>
                <w:rFonts w:asciiTheme="minorHAnsi" w:hAnsiTheme="minorHAnsi" w:cstheme="minorHAnsi"/>
                <w:b/>
                <w:bCs/>
                <w:sz w:val="18"/>
              </w:rPr>
              <w:t xml:space="preserve"> for biodiversity and nature conservation through alignment of the legislation with the EU acquis and international agreements</w:t>
            </w:r>
          </w:p>
        </w:tc>
        <w:tc>
          <w:tcPr>
            <w:tcW w:w="1159" w:type="pct"/>
            <w:shd w:val="clear" w:color="auto" w:fill="D9D9D9"/>
            <w:tcMar>
              <w:top w:w="0" w:type="dxa"/>
              <w:left w:w="108" w:type="dxa"/>
              <w:bottom w:w="0" w:type="dxa"/>
              <w:right w:w="108" w:type="dxa"/>
            </w:tcMar>
            <w:vAlign w:val="center"/>
          </w:tcPr>
          <w:p w14:paraId="1EB5CA08"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3F1465AE"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0C8D96B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74D3F515" w14:textId="77777777" w:rsidTr="00B6017F">
        <w:trPr>
          <w:trHeight w:val="287"/>
        </w:trPr>
        <w:tc>
          <w:tcPr>
            <w:tcW w:w="658" w:type="pct"/>
            <w:vMerge/>
            <w:shd w:val="clear" w:color="auto" w:fill="D9D9D9"/>
            <w:vAlign w:val="center"/>
            <w:hideMark/>
          </w:tcPr>
          <w:p w14:paraId="3473B4C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5EBC5F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1172026"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Compliance of the legal framework for biodiversity and nature conservation with the EU acquis</w:t>
            </w:r>
          </w:p>
        </w:tc>
        <w:tc>
          <w:tcPr>
            <w:tcW w:w="1159" w:type="pct"/>
            <w:tcMar>
              <w:top w:w="0" w:type="dxa"/>
              <w:left w:w="108" w:type="dxa"/>
              <w:bottom w:w="0" w:type="dxa"/>
              <w:right w:w="108" w:type="dxa"/>
            </w:tcMar>
            <w:vAlign w:val="center"/>
          </w:tcPr>
          <w:p w14:paraId="7F393634"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Insufficiently aligned legal framework (2022)</w:t>
            </w:r>
          </w:p>
        </w:tc>
        <w:tc>
          <w:tcPr>
            <w:tcW w:w="1159" w:type="pct"/>
            <w:tcMar>
              <w:top w:w="0" w:type="dxa"/>
              <w:left w:w="108" w:type="dxa"/>
              <w:bottom w:w="0" w:type="dxa"/>
              <w:right w:w="108" w:type="dxa"/>
            </w:tcMar>
            <w:vAlign w:val="center"/>
          </w:tcPr>
          <w:p w14:paraId="50E17861" w14:textId="37D51891"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legal framework </w:t>
            </w:r>
            <w:r w:rsidR="00830279" w:rsidRPr="007C4D65">
              <w:rPr>
                <w:rFonts w:asciiTheme="minorHAnsi" w:hAnsiTheme="minorHAnsi" w:cstheme="minorHAnsi"/>
                <w:sz w:val="18"/>
              </w:rPr>
              <w:t>significantly</w:t>
            </w:r>
            <w:r w:rsidRPr="007C4D65">
              <w:rPr>
                <w:rFonts w:asciiTheme="minorHAnsi" w:hAnsiTheme="minorHAnsi" w:cstheme="minorHAnsi"/>
                <w:sz w:val="18"/>
              </w:rPr>
              <w:t xml:space="preserve"> aligned (2025)</w:t>
            </w:r>
          </w:p>
        </w:tc>
      </w:tr>
      <w:tr w:rsidR="00B02183" w:rsidRPr="007C4D65" w14:paraId="07216C04" w14:textId="77777777" w:rsidTr="00B6017F">
        <w:trPr>
          <w:trHeight w:val="287"/>
        </w:trPr>
        <w:tc>
          <w:tcPr>
            <w:tcW w:w="658" w:type="pct"/>
            <w:vMerge/>
            <w:shd w:val="clear" w:color="auto" w:fill="D9D9D9"/>
            <w:vAlign w:val="center"/>
            <w:hideMark/>
          </w:tcPr>
          <w:p w14:paraId="026E0A4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28D5C7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14217284" w14:textId="017B9674"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6232F34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57AC46B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5201EF34" w14:textId="77777777" w:rsidTr="00B6017F">
        <w:trPr>
          <w:trHeight w:val="287"/>
        </w:trPr>
        <w:tc>
          <w:tcPr>
            <w:tcW w:w="658" w:type="pct"/>
            <w:vMerge/>
            <w:shd w:val="clear" w:color="auto" w:fill="D9D9D9"/>
            <w:vAlign w:val="center"/>
          </w:tcPr>
          <w:p w14:paraId="28399C4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52C82C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7A17D88"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0.128</w:t>
            </w:r>
          </w:p>
        </w:tc>
        <w:tc>
          <w:tcPr>
            <w:tcW w:w="1159" w:type="pct"/>
            <w:tcMar>
              <w:top w:w="0" w:type="dxa"/>
              <w:left w:w="108" w:type="dxa"/>
              <w:bottom w:w="0" w:type="dxa"/>
              <w:right w:w="108" w:type="dxa"/>
            </w:tcMar>
            <w:vAlign w:val="center"/>
          </w:tcPr>
          <w:p w14:paraId="6959AC8F"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1.1</w:t>
            </w:r>
          </w:p>
        </w:tc>
        <w:tc>
          <w:tcPr>
            <w:tcW w:w="1159" w:type="pct"/>
            <w:tcMar>
              <w:top w:w="0" w:type="dxa"/>
              <w:left w:w="108" w:type="dxa"/>
              <w:bottom w:w="0" w:type="dxa"/>
              <w:right w:w="108" w:type="dxa"/>
            </w:tcMar>
            <w:vAlign w:val="center"/>
          </w:tcPr>
          <w:p w14:paraId="303DE834"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1.2</w:t>
            </w:r>
          </w:p>
        </w:tc>
      </w:tr>
    </w:tbl>
    <w:p w14:paraId="2F426F57"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29AB9836" w14:textId="77777777" w:rsidTr="00B6017F">
        <w:trPr>
          <w:trHeight w:val="483"/>
        </w:trPr>
        <w:tc>
          <w:tcPr>
            <w:tcW w:w="658" w:type="pct"/>
            <w:vMerge w:val="restart"/>
            <w:shd w:val="clear" w:color="auto" w:fill="D9D9D9"/>
            <w:tcMar>
              <w:top w:w="0" w:type="dxa"/>
              <w:left w:w="108" w:type="dxa"/>
              <w:bottom w:w="0" w:type="dxa"/>
              <w:right w:w="108" w:type="dxa"/>
            </w:tcMar>
            <w:vAlign w:val="center"/>
            <w:hideMark/>
          </w:tcPr>
          <w:p w14:paraId="22B62118"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3.1.1 Measure</w:t>
            </w:r>
          </w:p>
        </w:tc>
        <w:tc>
          <w:tcPr>
            <w:tcW w:w="864" w:type="pct"/>
            <w:vMerge w:val="restart"/>
            <w:tcMar>
              <w:top w:w="0" w:type="dxa"/>
              <w:left w:w="108" w:type="dxa"/>
              <w:bottom w:w="0" w:type="dxa"/>
              <w:right w:w="108" w:type="dxa"/>
            </w:tcMar>
            <w:vAlign w:val="center"/>
          </w:tcPr>
          <w:p w14:paraId="402049F2"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Align and harmonise the legislation on the preservation and sustainable use of biodiversity and nature conservation with the EU acquis and international agreements on biodiversity</w:t>
            </w:r>
          </w:p>
        </w:tc>
        <w:tc>
          <w:tcPr>
            <w:tcW w:w="1159" w:type="pct"/>
            <w:shd w:val="clear" w:color="auto" w:fill="D9D9D9"/>
            <w:tcMar>
              <w:top w:w="0" w:type="dxa"/>
              <w:left w:w="108" w:type="dxa"/>
              <w:bottom w:w="0" w:type="dxa"/>
              <w:right w:w="108" w:type="dxa"/>
            </w:tcMar>
            <w:vAlign w:val="center"/>
            <w:hideMark/>
          </w:tcPr>
          <w:p w14:paraId="31C1938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6A46120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1D2EDB9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0B0D4069" w14:textId="77777777" w:rsidTr="00B6017F">
        <w:trPr>
          <w:trHeight w:val="287"/>
        </w:trPr>
        <w:tc>
          <w:tcPr>
            <w:tcW w:w="658" w:type="pct"/>
            <w:vMerge/>
            <w:shd w:val="clear" w:color="auto" w:fill="D9D9D9"/>
            <w:vAlign w:val="center"/>
          </w:tcPr>
          <w:p w14:paraId="36FB0D5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83C4FA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CC95DBE"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Alignment of nature conservation laws with the EU acquis and international agreements</w:t>
            </w:r>
          </w:p>
        </w:tc>
        <w:tc>
          <w:tcPr>
            <w:tcW w:w="1159" w:type="pct"/>
            <w:shd w:val="clear" w:color="auto" w:fill="FFFFFF"/>
            <w:tcMar>
              <w:top w:w="0" w:type="dxa"/>
              <w:left w:w="108" w:type="dxa"/>
              <w:bottom w:w="0" w:type="dxa"/>
              <w:right w:w="108" w:type="dxa"/>
            </w:tcMar>
            <w:vAlign w:val="center"/>
          </w:tcPr>
          <w:p w14:paraId="741DF6D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law is not sufficiently aligned with the EU acquis and international agreements on biodiversity</w:t>
            </w:r>
          </w:p>
        </w:tc>
        <w:tc>
          <w:tcPr>
            <w:tcW w:w="1159" w:type="pct"/>
            <w:shd w:val="clear" w:color="auto" w:fill="FFFFFF"/>
            <w:vAlign w:val="center"/>
          </w:tcPr>
          <w:p w14:paraId="3C93BED8" w14:textId="77777777"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law is partially, highly, aligned with the EU acquis and international agreements on biodiversity (2025)</w:t>
            </w:r>
          </w:p>
        </w:tc>
      </w:tr>
      <w:tr w:rsidR="00B02183" w:rsidRPr="007C4D65" w14:paraId="4C0E5249" w14:textId="77777777" w:rsidTr="00B6017F">
        <w:trPr>
          <w:trHeight w:val="287"/>
        </w:trPr>
        <w:tc>
          <w:tcPr>
            <w:tcW w:w="658" w:type="pct"/>
            <w:vMerge/>
            <w:shd w:val="clear" w:color="auto" w:fill="D9D9D9"/>
            <w:vAlign w:val="center"/>
          </w:tcPr>
          <w:p w14:paraId="166CAAC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61DF60D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192F0D2"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Level of harmonisation of the legislation of the Federation of BiH with the legislation of other levels of government</w:t>
            </w:r>
          </w:p>
        </w:tc>
        <w:tc>
          <w:tcPr>
            <w:tcW w:w="1159" w:type="pct"/>
            <w:shd w:val="clear" w:color="auto" w:fill="FFFFFF"/>
            <w:tcMar>
              <w:top w:w="0" w:type="dxa"/>
              <w:left w:w="108" w:type="dxa"/>
              <w:bottom w:w="0" w:type="dxa"/>
              <w:right w:w="108" w:type="dxa"/>
            </w:tcMar>
            <w:vAlign w:val="center"/>
          </w:tcPr>
          <w:p w14:paraId="0D2D8487" w14:textId="253E8A5E"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legislation of the Federation of BiH is not harmonized with the legislation of other levels of government</w:t>
            </w:r>
          </w:p>
        </w:tc>
        <w:tc>
          <w:tcPr>
            <w:tcW w:w="1159" w:type="pct"/>
            <w:shd w:val="clear" w:color="auto" w:fill="FFFFFF"/>
            <w:vAlign w:val="center"/>
          </w:tcPr>
          <w:p w14:paraId="2641F986" w14:textId="77777777" w:rsidR="00B02183" w:rsidRPr="007C4D65" w:rsidRDefault="00B02183" w:rsidP="00B02183">
            <w:pPr>
              <w:spacing w:after="120" w:line="276" w:lineRule="auto"/>
              <w:ind w:left="211"/>
              <w:contextualSpacing/>
              <w:rPr>
                <w:rFonts w:asciiTheme="minorHAnsi" w:hAnsiTheme="minorHAnsi" w:cstheme="minorHAnsi"/>
                <w:sz w:val="18"/>
                <w:szCs w:val="18"/>
              </w:rPr>
            </w:pPr>
            <w:r w:rsidRPr="007C4D65">
              <w:rPr>
                <w:rFonts w:asciiTheme="minorHAnsi" w:hAnsiTheme="minorHAnsi" w:cstheme="minorHAnsi"/>
                <w:sz w:val="18"/>
              </w:rPr>
              <w:t>The legislation of the Federation of BiH is harmonized with the legislation of other levels of government (2025)</w:t>
            </w:r>
          </w:p>
        </w:tc>
      </w:tr>
      <w:tr w:rsidR="00B02183" w:rsidRPr="007C4D65" w14:paraId="4218007E" w14:textId="77777777" w:rsidTr="00B6017F">
        <w:trPr>
          <w:trHeight w:val="287"/>
        </w:trPr>
        <w:tc>
          <w:tcPr>
            <w:tcW w:w="658" w:type="pct"/>
            <w:vMerge/>
            <w:shd w:val="clear" w:color="auto" w:fill="D9D9D9"/>
            <w:vAlign w:val="center"/>
          </w:tcPr>
          <w:p w14:paraId="5C7794B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291BE7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C44068F" w14:textId="77777777" w:rsidR="00B02183" w:rsidRPr="007C4D65" w:rsidRDefault="00B02183" w:rsidP="00B02183">
            <w:pPr>
              <w:spacing w:before="40" w:after="40" w:line="276" w:lineRule="auto"/>
              <w:contextualSpacing/>
              <w:rPr>
                <w:rFonts w:asciiTheme="minorHAnsi" w:hAnsiTheme="minorHAnsi" w:cstheme="minorHAnsi"/>
                <w:color w:val="000000"/>
                <w:sz w:val="18"/>
                <w:szCs w:val="18"/>
              </w:rPr>
            </w:pPr>
            <w:r w:rsidRPr="007C4D65">
              <w:rPr>
                <w:rFonts w:asciiTheme="minorHAnsi" w:hAnsiTheme="minorHAnsi" w:cstheme="minorHAnsi"/>
                <w:color w:val="000000"/>
                <w:sz w:val="18"/>
              </w:rPr>
              <w:t>Alignment of sectoral regulations with the EU acquis and international agreements</w:t>
            </w:r>
          </w:p>
        </w:tc>
        <w:tc>
          <w:tcPr>
            <w:tcW w:w="1159" w:type="pct"/>
            <w:shd w:val="clear" w:color="auto" w:fill="FFFFFF"/>
            <w:tcMar>
              <w:top w:w="0" w:type="dxa"/>
              <w:left w:w="108" w:type="dxa"/>
              <w:bottom w:w="0" w:type="dxa"/>
              <w:right w:w="108" w:type="dxa"/>
            </w:tcMar>
            <w:vAlign w:val="center"/>
          </w:tcPr>
          <w:p w14:paraId="38BC9290"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Sectoral regulations are not in line with the EU acquis and international agreements</w:t>
            </w:r>
          </w:p>
        </w:tc>
        <w:tc>
          <w:tcPr>
            <w:tcW w:w="1159" w:type="pct"/>
            <w:shd w:val="clear" w:color="auto" w:fill="FFFFFF"/>
            <w:vAlign w:val="center"/>
          </w:tcPr>
          <w:p w14:paraId="354F6665" w14:textId="77777777" w:rsidR="00B02183" w:rsidRPr="007C4D65" w:rsidRDefault="00B02183" w:rsidP="00B02183">
            <w:pPr>
              <w:spacing w:after="120" w:line="276" w:lineRule="auto"/>
              <w:ind w:left="211"/>
              <w:contextualSpacing/>
              <w:rPr>
                <w:rFonts w:asciiTheme="minorHAnsi" w:hAnsiTheme="minorHAnsi" w:cstheme="minorHAnsi"/>
                <w:sz w:val="18"/>
                <w:szCs w:val="18"/>
              </w:rPr>
            </w:pPr>
            <w:r w:rsidRPr="007C4D65">
              <w:rPr>
                <w:rFonts w:asciiTheme="minorHAnsi" w:hAnsiTheme="minorHAnsi" w:cstheme="minorHAnsi"/>
                <w:sz w:val="18"/>
              </w:rPr>
              <w:t>Sectoral regulations aligned with the EU acquis and international agreements</w:t>
            </w:r>
          </w:p>
        </w:tc>
      </w:tr>
      <w:tr w:rsidR="00B02183" w:rsidRPr="007C4D65" w14:paraId="1485FAD5" w14:textId="77777777" w:rsidTr="00B6017F">
        <w:trPr>
          <w:trHeight w:val="287"/>
        </w:trPr>
        <w:tc>
          <w:tcPr>
            <w:tcW w:w="658" w:type="pct"/>
            <w:vMerge/>
            <w:shd w:val="clear" w:color="auto" w:fill="D9D9D9"/>
            <w:vAlign w:val="center"/>
          </w:tcPr>
          <w:p w14:paraId="2DD7A66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517CC4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D05B516"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Development of the mechanism of the Law on Nature Conservation </w:t>
            </w:r>
          </w:p>
        </w:tc>
        <w:tc>
          <w:tcPr>
            <w:tcW w:w="1159" w:type="pct"/>
            <w:shd w:val="clear" w:color="auto" w:fill="FFFFFF"/>
            <w:tcMar>
              <w:top w:w="0" w:type="dxa"/>
              <w:left w:w="108" w:type="dxa"/>
              <w:bottom w:w="0" w:type="dxa"/>
              <w:right w:w="108" w:type="dxa"/>
            </w:tcMar>
            <w:vAlign w:val="center"/>
          </w:tcPr>
          <w:p w14:paraId="1F00E44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Poorly developed </w:t>
            </w:r>
          </w:p>
        </w:tc>
        <w:tc>
          <w:tcPr>
            <w:tcW w:w="1159" w:type="pct"/>
            <w:shd w:val="clear" w:color="auto" w:fill="FFFFFF"/>
            <w:vAlign w:val="center"/>
          </w:tcPr>
          <w:p w14:paraId="00428F74" w14:textId="77777777" w:rsidR="00B02183" w:rsidRPr="007C4D65" w:rsidRDefault="00B02183" w:rsidP="00B02183">
            <w:pPr>
              <w:spacing w:after="120" w:line="276" w:lineRule="auto"/>
              <w:ind w:left="211"/>
              <w:contextualSpacing/>
              <w:rPr>
                <w:rFonts w:asciiTheme="minorHAnsi" w:hAnsiTheme="minorHAnsi" w:cstheme="minorHAnsi"/>
                <w:sz w:val="18"/>
                <w:szCs w:val="18"/>
              </w:rPr>
            </w:pPr>
            <w:r w:rsidRPr="007C4D65">
              <w:rPr>
                <w:rFonts w:asciiTheme="minorHAnsi" w:hAnsiTheme="minorHAnsi" w:cstheme="minorHAnsi"/>
                <w:sz w:val="18"/>
              </w:rPr>
              <w:t>Highly developed (2023)</w:t>
            </w:r>
          </w:p>
        </w:tc>
      </w:tr>
      <w:tr w:rsidR="00B02183" w:rsidRPr="007C4D65" w14:paraId="56E2884F" w14:textId="77777777" w:rsidTr="00B6017F">
        <w:trPr>
          <w:trHeight w:val="483"/>
        </w:trPr>
        <w:tc>
          <w:tcPr>
            <w:tcW w:w="658" w:type="pct"/>
            <w:vMerge/>
            <w:shd w:val="clear" w:color="auto" w:fill="D9D9D9"/>
            <w:vAlign w:val="center"/>
            <w:hideMark/>
          </w:tcPr>
          <w:p w14:paraId="72F47ED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28B3E96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190E609A" w14:textId="3EC2FCE4"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579CA64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2FA48DD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0FF37820" w14:textId="77777777" w:rsidTr="00B6017F">
        <w:trPr>
          <w:trHeight w:val="287"/>
        </w:trPr>
        <w:tc>
          <w:tcPr>
            <w:tcW w:w="658" w:type="pct"/>
            <w:vMerge/>
            <w:shd w:val="clear" w:color="auto" w:fill="D9D9D9"/>
            <w:vAlign w:val="center"/>
            <w:hideMark/>
          </w:tcPr>
          <w:p w14:paraId="4B942DA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0EA8D35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DC05864"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0.128</w:t>
            </w:r>
          </w:p>
        </w:tc>
        <w:tc>
          <w:tcPr>
            <w:tcW w:w="1159" w:type="pct"/>
            <w:tcMar>
              <w:top w:w="0" w:type="dxa"/>
              <w:left w:w="108" w:type="dxa"/>
              <w:bottom w:w="0" w:type="dxa"/>
              <w:right w:w="108" w:type="dxa"/>
            </w:tcMar>
            <w:vAlign w:val="center"/>
          </w:tcPr>
          <w:p w14:paraId="570BDF79"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1.1</w:t>
            </w:r>
          </w:p>
        </w:tc>
        <w:tc>
          <w:tcPr>
            <w:tcW w:w="1159" w:type="pct"/>
            <w:tcMar>
              <w:top w:w="0" w:type="dxa"/>
              <w:left w:w="108" w:type="dxa"/>
              <w:bottom w:w="0" w:type="dxa"/>
              <w:right w:w="108" w:type="dxa"/>
            </w:tcMar>
            <w:vAlign w:val="center"/>
          </w:tcPr>
          <w:p w14:paraId="7D891B91"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1.2</w:t>
            </w:r>
          </w:p>
        </w:tc>
      </w:tr>
    </w:tbl>
    <w:p w14:paraId="0A540D37" w14:textId="77777777" w:rsidR="00B02183" w:rsidRPr="007C4D65" w:rsidRDefault="00B02183" w:rsidP="00B02183">
      <w:pPr>
        <w:spacing w:after="120" w:line="276" w:lineRule="auto"/>
        <w:contextualSpacing/>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28E1EEB1" w14:textId="77777777" w:rsidTr="00B6017F">
        <w:trPr>
          <w:trHeight w:val="384"/>
        </w:trPr>
        <w:tc>
          <w:tcPr>
            <w:tcW w:w="658" w:type="pct"/>
            <w:vMerge w:val="restart"/>
            <w:shd w:val="clear" w:color="auto" w:fill="D9D9D9"/>
            <w:tcMar>
              <w:top w:w="0" w:type="dxa"/>
              <w:left w:w="108" w:type="dxa"/>
              <w:bottom w:w="0" w:type="dxa"/>
              <w:right w:w="108" w:type="dxa"/>
            </w:tcMar>
            <w:vAlign w:val="center"/>
          </w:tcPr>
          <w:p w14:paraId="558BA330"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3.2 Priority</w:t>
            </w:r>
          </w:p>
          <w:p w14:paraId="690048B8"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restart"/>
            <w:tcMar>
              <w:top w:w="0" w:type="dxa"/>
              <w:left w:w="108" w:type="dxa"/>
              <w:bottom w:w="0" w:type="dxa"/>
              <w:right w:w="108" w:type="dxa"/>
            </w:tcMar>
            <w:vAlign w:val="center"/>
          </w:tcPr>
          <w:p w14:paraId="4AF2A458" w14:textId="77777777" w:rsidR="00B02183" w:rsidRPr="007C4D65" w:rsidRDefault="00B02183"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bCs/>
                <w:sz w:val="18"/>
              </w:rPr>
              <w:t xml:space="preserve">Strengthen the institutions of the Federation of BiH responsible for the implementation of the legislation and activities </w:t>
            </w:r>
            <w:proofErr w:type="gramStart"/>
            <w:r w:rsidRPr="007C4D65">
              <w:rPr>
                <w:rFonts w:asciiTheme="minorHAnsi" w:hAnsiTheme="minorHAnsi" w:cstheme="minorHAnsi"/>
                <w:b/>
                <w:bCs/>
                <w:sz w:val="18"/>
              </w:rPr>
              <w:t>in the area of</w:t>
            </w:r>
            <w:proofErr w:type="gramEnd"/>
            <w:r w:rsidRPr="007C4D65">
              <w:rPr>
                <w:rFonts w:asciiTheme="minorHAnsi" w:hAnsiTheme="minorHAnsi" w:cstheme="minorHAnsi"/>
                <w:b/>
                <w:bCs/>
                <w:sz w:val="18"/>
              </w:rPr>
              <w:t xml:space="preserve"> nature conservation</w:t>
            </w:r>
          </w:p>
        </w:tc>
        <w:tc>
          <w:tcPr>
            <w:tcW w:w="1159" w:type="pct"/>
            <w:shd w:val="clear" w:color="auto" w:fill="D9D9D9"/>
            <w:tcMar>
              <w:top w:w="0" w:type="dxa"/>
              <w:left w:w="108" w:type="dxa"/>
              <w:bottom w:w="0" w:type="dxa"/>
              <w:right w:w="108" w:type="dxa"/>
            </w:tcMar>
            <w:vAlign w:val="center"/>
          </w:tcPr>
          <w:p w14:paraId="59979437"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271DF06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429D556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45B0C54C" w14:textId="77777777" w:rsidTr="00B6017F">
        <w:trPr>
          <w:trHeight w:val="287"/>
        </w:trPr>
        <w:tc>
          <w:tcPr>
            <w:tcW w:w="658" w:type="pct"/>
            <w:vMerge/>
            <w:shd w:val="clear" w:color="auto" w:fill="D9D9D9"/>
            <w:vAlign w:val="center"/>
            <w:hideMark/>
          </w:tcPr>
          <w:p w14:paraId="7E8EBE7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452D9D9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2048DD8"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Capacity building of professional institutions for nature conservation</w:t>
            </w:r>
          </w:p>
        </w:tc>
        <w:tc>
          <w:tcPr>
            <w:tcW w:w="1159" w:type="pct"/>
            <w:tcMar>
              <w:top w:w="0" w:type="dxa"/>
              <w:left w:w="108" w:type="dxa"/>
              <w:bottom w:w="0" w:type="dxa"/>
              <w:right w:w="108" w:type="dxa"/>
            </w:tcMar>
            <w:vAlign w:val="center"/>
          </w:tcPr>
          <w:p w14:paraId="03C249F9"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There is no professional institution (2022)</w:t>
            </w:r>
          </w:p>
        </w:tc>
        <w:tc>
          <w:tcPr>
            <w:tcW w:w="1159" w:type="pct"/>
            <w:tcMar>
              <w:top w:w="0" w:type="dxa"/>
              <w:left w:w="108" w:type="dxa"/>
              <w:bottom w:w="0" w:type="dxa"/>
              <w:right w:w="108" w:type="dxa"/>
            </w:tcMar>
            <w:vAlign w:val="center"/>
          </w:tcPr>
          <w:p w14:paraId="4F9C9945"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professional institution efficiently engaged in nature conservation activities (2030)</w:t>
            </w:r>
          </w:p>
        </w:tc>
      </w:tr>
      <w:tr w:rsidR="00B02183" w:rsidRPr="007C4D65" w14:paraId="293BE98F" w14:textId="77777777" w:rsidTr="00B6017F">
        <w:trPr>
          <w:trHeight w:val="287"/>
        </w:trPr>
        <w:tc>
          <w:tcPr>
            <w:tcW w:w="658" w:type="pct"/>
            <w:vMerge/>
            <w:shd w:val="clear" w:color="auto" w:fill="D9D9D9"/>
            <w:vAlign w:val="center"/>
            <w:hideMark/>
          </w:tcPr>
          <w:p w14:paraId="298DCBF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3FD707B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374FE5C7" w14:textId="3308580A"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0F2EC52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104E5C6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015E0199" w14:textId="77777777" w:rsidTr="00B6017F">
        <w:trPr>
          <w:trHeight w:val="287"/>
        </w:trPr>
        <w:tc>
          <w:tcPr>
            <w:tcW w:w="658" w:type="pct"/>
            <w:vMerge/>
            <w:shd w:val="clear" w:color="auto" w:fill="D9D9D9"/>
            <w:vAlign w:val="center"/>
          </w:tcPr>
          <w:p w14:paraId="7A7BDC6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CC24F6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56C037F"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1.1</w:t>
            </w:r>
          </w:p>
        </w:tc>
        <w:tc>
          <w:tcPr>
            <w:tcW w:w="1159" w:type="pct"/>
            <w:tcMar>
              <w:top w:w="0" w:type="dxa"/>
              <w:left w:w="108" w:type="dxa"/>
              <w:bottom w:w="0" w:type="dxa"/>
              <w:right w:w="108" w:type="dxa"/>
            </w:tcMar>
            <w:vAlign w:val="center"/>
          </w:tcPr>
          <w:p w14:paraId="5BCEEF15"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8.4</w:t>
            </w:r>
          </w:p>
        </w:tc>
        <w:tc>
          <w:tcPr>
            <w:tcW w:w="1159" w:type="pct"/>
            <w:tcMar>
              <w:top w:w="0" w:type="dxa"/>
              <w:left w:w="108" w:type="dxa"/>
              <w:bottom w:w="0" w:type="dxa"/>
              <w:right w:w="108" w:type="dxa"/>
            </w:tcMar>
            <w:vAlign w:val="center"/>
          </w:tcPr>
          <w:p w14:paraId="2CB6F191"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9.5</w:t>
            </w:r>
          </w:p>
        </w:tc>
      </w:tr>
    </w:tbl>
    <w:p w14:paraId="0E700DB9"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39"/>
        <w:gridCol w:w="2410"/>
        <w:gridCol w:w="3233"/>
        <w:gridCol w:w="3233"/>
        <w:gridCol w:w="3233"/>
      </w:tblGrid>
      <w:tr w:rsidR="00B02183" w:rsidRPr="007C4D65" w14:paraId="3C02333C" w14:textId="77777777" w:rsidTr="00B6017F">
        <w:trPr>
          <w:trHeight w:val="483"/>
        </w:trPr>
        <w:tc>
          <w:tcPr>
            <w:tcW w:w="659" w:type="pct"/>
            <w:vMerge w:val="restart"/>
            <w:shd w:val="clear" w:color="auto" w:fill="D9D9D9"/>
            <w:tcMar>
              <w:top w:w="0" w:type="dxa"/>
              <w:left w:w="108" w:type="dxa"/>
              <w:bottom w:w="0" w:type="dxa"/>
              <w:right w:w="108" w:type="dxa"/>
            </w:tcMar>
            <w:vAlign w:val="center"/>
            <w:hideMark/>
          </w:tcPr>
          <w:p w14:paraId="7BCB1C17"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3.2.1 Measure</w:t>
            </w:r>
          </w:p>
        </w:tc>
        <w:tc>
          <w:tcPr>
            <w:tcW w:w="864" w:type="pct"/>
            <w:vMerge w:val="restart"/>
            <w:tcMar>
              <w:top w:w="0" w:type="dxa"/>
              <w:left w:w="108" w:type="dxa"/>
              <w:bottom w:w="0" w:type="dxa"/>
              <w:right w:w="108" w:type="dxa"/>
            </w:tcMar>
            <w:vAlign w:val="center"/>
          </w:tcPr>
          <w:p w14:paraId="3A01984D"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Establishment of a professional institution for nature conservation in accordance with the Law on Nature Conservation of the Federation of BiH</w:t>
            </w:r>
          </w:p>
        </w:tc>
        <w:tc>
          <w:tcPr>
            <w:tcW w:w="1159" w:type="pct"/>
            <w:shd w:val="clear" w:color="auto" w:fill="D9D9D9"/>
            <w:tcMar>
              <w:top w:w="0" w:type="dxa"/>
              <w:left w:w="108" w:type="dxa"/>
              <w:bottom w:w="0" w:type="dxa"/>
              <w:right w:w="108" w:type="dxa"/>
            </w:tcMar>
            <w:vAlign w:val="center"/>
            <w:hideMark/>
          </w:tcPr>
          <w:p w14:paraId="6A3CA074"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32E48438"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03B1186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05ABD89C" w14:textId="77777777" w:rsidTr="00B6017F">
        <w:trPr>
          <w:trHeight w:val="287"/>
        </w:trPr>
        <w:tc>
          <w:tcPr>
            <w:tcW w:w="659" w:type="pct"/>
            <w:vMerge/>
            <w:shd w:val="clear" w:color="auto" w:fill="D9D9D9"/>
            <w:vAlign w:val="center"/>
          </w:tcPr>
          <w:p w14:paraId="3B745C6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A0928C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C6DC922" w14:textId="4FE79309"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Decision on the </w:t>
            </w:r>
            <w:r w:rsidR="00DA0CA7" w:rsidRPr="007C4D65">
              <w:rPr>
                <w:rFonts w:asciiTheme="minorHAnsi" w:hAnsiTheme="minorHAnsi" w:cstheme="minorHAnsi"/>
                <w:sz w:val="18"/>
              </w:rPr>
              <w:t>establishment</w:t>
            </w:r>
            <w:r w:rsidRPr="007C4D65">
              <w:rPr>
                <w:rFonts w:asciiTheme="minorHAnsi" w:hAnsiTheme="minorHAnsi" w:cstheme="minorHAnsi"/>
                <w:sz w:val="18"/>
              </w:rPr>
              <w:t xml:space="preserve"> of the professional institution</w:t>
            </w:r>
          </w:p>
        </w:tc>
        <w:tc>
          <w:tcPr>
            <w:tcW w:w="1159" w:type="pct"/>
            <w:shd w:val="clear" w:color="auto" w:fill="FFFFFF"/>
            <w:tcMar>
              <w:top w:w="0" w:type="dxa"/>
              <w:left w:w="108" w:type="dxa"/>
              <w:bottom w:w="0" w:type="dxa"/>
              <w:right w:w="108" w:type="dxa"/>
            </w:tcMar>
            <w:vAlign w:val="center"/>
          </w:tcPr>
          <w:p w14:paraId="2ACA06C7"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professional institution</w:t>
            </w:r>
          </w:p>
        </w:tc>
        <w:tc>
          <w:tcPr>
            <w:tcW w:w="1159" w:type="pct"/>
            <w:shd w:val="clear" w:color="auto" w:fill="FFFFFF"/>
            <w:vAlign w:val="center"/>
          </w:tcPr>
          <w:p w14:paraId="2372C993"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A Decision on the establishment of the professional institution (2024)</w:t>
            </w:r>
          </w:p>
        </w:tc>
      </w:tr>
      <w:tr w:rsidR="00B02183" w:rsidRPr="007C4D65" w14:paraId="6A244830" w14:textId="77777777" w:rsidTr="00B6017F">
        <w:trPr>
          <w:trHeight w:val="483"/>
        </w:trPr>
        <w:tc>
          <w:tcPr>
            <w:tcW w:w="659" w:type="pct"/>
            <w:vMerge/>
            <w:shd w:val="clear" w:color="auto" w:fill="D9D9D9"/>
            <w:vAlign w:val="center"/>
            <w:hideMark/>
          </w:tcPr>
          <w:p w14:paraId="2CA181B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4AFAD17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134225E9" w14:textId="6FFCC410"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6BB51C28"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1E06136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01969FBF" w14:textId="77777777" w:rsidTr="00B6017F">
        <w:trPr>
          <w:trHeight w:val="287"/>
        </w:trPr>
        <w:tc>
          <w:tcPr>
            <w:tcW w:w="659" w:type="pct"/>
            <w:vMerge/>
            <w:shd w:val="clear" w:color="auto" w:fill="D9D9D9"/>
            <w:vAlign w:val="center"/>
            <w:hideMark/>
          </w:tcPr>
          <w:p w14:paraId="0CF2427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44ED823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6A9326C"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0.009</w:t>
            </w:r>
          </w:p>
        </w:tc>
        <w:tc>
          <w:tcPr>
            <w:tcW w:w="1159" w:type="pct"/>
            <w:tcMar>
              <w:top w:w="0" w:type="dxa"/>
              <w:left w:w="108" w:type="dxa"/>
              <w:bottom w:w="0" w:type="dxa"/>
              <w:right w:w="108" w:type="dxa"/>
            </w:tcMar>
            <w:vAlign w:val="center"/>
          </w:tcPr>
          <w:p w14:paraId="04004D27"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1A9C8492"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0.009</w:t>
            </w:r>
          </w:p>
        </w:tc>
      </w:tr>
      <w:tr w:rsidR="00B02183" w:rsidRPr="007C4D65" w14:paraId="0468641C" w14:textId="77777777" w:rsidTr="00B6017F">
        <w:trPr>
          <w:trHeight w:val="483"/>
        </w:trPr>
        <w:tc>
          <w:tcPr>
            <w:tcW w:w="659" w:type="pct"/>
            <w:vMerge w:val="restart"/>
            <w:shd w:val="clear" w:color="auto" w:fill="D9D9D9"/>
            <w:tcMar>
              <w:top w:w="0" w:type="dxa"/>
              <w:left w:w="108" w:type="dxa"/>
              <w:bottom w:w="0" w:type="dxa"/>
              <w:right w:w="108" w:type="dxa"/>
            </w:tcMar>
            <w:vAlign w:val="center"/>
            <w:hideMark/>
          </w:tcPr>
          <w:p w14:paraId="0A7B198A"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3.2.2 Measure</w:t>
            </w:r>
          </w:p>
        </w:tc>
        <w:tc>
          <w:tcPr>
            <w:tcW w:w="864" w:type="pct"/>
            <w:vMerge w:val="restart"/>
            <w:tcMar>
              <w:top w:w="0" w:type="dxa"/>
              <w:left w:w="108" w:type="dxa"/>
              <w:bottom w:w="0" w:type="dxa"/>
              <w:right w:w="108" w:type="dxa"/>
            </w:tcMar>
            <w:vAlign w:val="center"/>
          </w:tcPr>
          <w:p w14:paraId="2F8F6A9F" w14:textId="011A951E"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Secure </w:t>
            </w:r>
            <w:r w:rsidR="00095CAC" w:rsidRPr="007C4D65">
              <w:rPr>
                <w:rFonts w:asciiTheme="minorHAnsi" w:hAnsiTheme="minorHAnsi" w:cstheme="minorHAnsi"/>
                <w:sz w:val="18"/>
              </w:rPr>
              <w:t>initial</w:t>
            </w:r>
            <w:r w:rsidRPr="007C4D65">
              <w:rPr>
                <w:rFonts w:asciiTheme="minorHAnsi" w:hAnsiTheme="minorHAnsi" w:cstheme="minorHAnsi"/>
                <w:sz w:val="18"/>
              </w:rPr>
              <w:t xml:space="preserve"> financial, human and technical capacities for the operation of the Nature Conservation Institute of Federation of BiH and nature conservation institutions of the Cantons</w:t>
            </w:r>
          </w:p>
        </w:tc>
        <w:tc>
          <w:tcPr>
            <w:tcW w:w="1159" w:type="pct"/>
            <w:shd w:val="clear" w:color="auto" w:fill="D9D9D9"/>
            <w:tcMar>
              <w:top w:w="0" w:type="dxa"/>
              <w:left w:w="108" w:type="dxa"/>
              <w:bottom w:w="0" w:type="dxa"/>
              <w:right w:w="108" w:type="dxa"/>
            </w:tcMar>
            <w:vAlign w:val="center"/>
            <w:hideMark/>
          </w:tcPr>
          <w:p w14:paraId="2BFA308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3824E700"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7ABECA6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1026A48D" w14:textId="77777777" w:rsidTr="00B6017F">
        <w:trPr>
          <w:trHeight w:val="287"/>
        </w:trPr>
        <w:tc>
          <w:tcPr>
            <w:tcW w:w="659" w:type="pct"/>
            <w:vMerge/>
            <w:shd w:val="clear" w:color="auto" w:fill="D9D9D9"/>
            <w:vAlign w:val="center"/>
            <w:hideMark/>
          </w:tcPr>
          <w:p w14:paraId="33D535C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157BEDB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E5ADBE5" w14:textId="77777777" w:rsidR="00B02183" w:rsidRPr="007C4D65" w:rsidRDefault="00B02183" w:rsidP="00B02183">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Degree of development of initial capacities of the professional institution</w:t>
            </w:r>
          </w:p>
        </w:tc>
        <w:tc>
          <w:tcPr>
            <w:tcW w:w="1159" w:type="pct"/>
            <w:shd w:val="clear" w:color="auto" w:fill="FFFFFF"/>
            <w:tcMar>
              <w:top w:w="0" w:type="dxa"/>
              <w:left w:w="108" w:type="dxa"/>
              <w:bottom w:w="0" w:type="dxa"/>
              <w:right w:w="108" w:type="dxa"/>
            </w:tcMar>
            <w:vAlign w:val="center"/>
          </w:tcPr>
          <w:p w14:paraId="0EB2C14D" w14:textId="77777777" w:rsidR="00B02183" w:rsidRPr="007C4D65" w:rsidRDefault="00B02183" w:rsidP="00B02183">
            <w:pPr>
              <w:spacing w:line="276" w:lineRule="auto"/>
              <w:ind w:left="360"/>
              <w:rPr>
                <w:rFonts w:asciiTheme="minorHAnsi" w:hAnsiTheme="minorHAnsi" w:cstheme="minorHAnsi"/>
                <w:sz w:val="18"/>
                <w:szCs w:val="18"/>
              </w:rPr>
            </w:pPr>
            <w:r w:rsidRPr="007C4D65">
              <w:rPr>
                <w:rFonts w:asciiTheme="minorHAnsi" w:hAnsiTheme="minorHAnsi" w:cstheme="minorHAnsi"/>
                <w:sz w:val="18"/>
              </w:rPr>
              <w:t>There is no professional institution</w:t>
            </w:r>
          </w:p>
        </w:tc>
        <w:tc>
          <w:tcPr>
            <w:tcW w:w="1159" w:type="pct"/>
            <w:shd w:val="clear" w:color="auto" w:fill="FFFFFF"/>
            <w:vAlign w:val="center"/>
          </w:tcPr>
          <w:p w14:paraId="7AAE6A08" w14:textId="77777777" w:rsidR="00B02183" w:rsidRPr="007C4D65" w:rsidRDefault="00B02183" w:rsidP="00B02183">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The professional institution established (2025)</w:t>
            </w:r>
          </w:p>
        </w:tc>
      </w:tr>
      <w:tr w:rsidR="00B02183" w:rsidRPr="007C4D65" w14:paraId="6A301BA8" w14:textId="77777777" w:rsidTr="00B6017F">
        <w:trPr>
          <w:trHeight w:val="483"/>
        </w:trPr>
        <w:tc>
          <w:tcPr>
            <w:tcW w:w="659" w:type="pct"/>
            <w:vMerge/>
            <w:shd w:val="clear" w:color="auto" w:fill="D9D9D9"/>
            <w:vAlign w:val="center"/>
            <w:hideMark/>
          </w:tcPr>
          <w:p w14:paraId="3583819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110EC1C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E2C3C1D" w14:textId="7BA0837A"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020B226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00341C58"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461E73D6" w14:textId="77777777" w:rsidTr="00B6017F">
        <w:trPr>
          <w:trHeight w:val="287"/>
        </w:trPr>
        <w:tc>
          <w:tcPr>
            <w:tcW w:w="659" w:type="pct"/>
            <w:vMerge/>
            <w:shd w:val="clear" w:color="auto" w:fill="D9D9D9"/>
            <w:vAlign w:val="center"/>
            <w:hideMark/>
          </w:tcPr>
          <w:p w14:paraId="52A1FC0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2B4D853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7FD2497"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0.314</w:t>
            </w:r>
          </w:p>
        </w:tc>
        <w:tc>
          <w:tcPr>
            <w:tcW w:w="1159" w:type="pct"/>
            <w:tcMar>
              <w:top w:w="0" w:type="dxa"/>
              <w:left w:w="108" w:type="dxa"/>
              <w:bottom w:w="0" w:type="dxa"/>
              <w:right w:w="108" w:type="dxa"/>
            </w:tcMar>
            <w:vAlign w:val="center"/>
          </w:tcPr>
          <w:p w14:paraId="25718DDF"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1.2</w:t>
            </w:r>
          </w:p>
        </w:tc>
        <w:tc>
          <w:tcPr>
            <w:tcW w:w="1159" w:type="pct"/>
            <w:tcMar>
              <w:top w:w="0" w:type="dxa"/>
              <w:left w:w="108" w:type="dxa"/>
              <w:bottom w:w="0" w:type="dxa"/>
              <w:right w:w="108" w:type="dxa"/>
            </w:tcMar>
            <w:vAlign w:val="center"/>
          </w:tcPr>
          <w:p w14:paraId="105C75C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1.5</w:t>
            </w:r>
          </w:p>
        </w:tc>
      </w:tr>
      <w:tr w:rsidR="00B02183" w:rsidRPr="007C4D65" w14:paraId="57091C5B" w14:textId="77777777" w:rsidTr="00B6017F">
        <w:trPr>
          <w:trHeight w:val="483"/>
        </w:trPr>
        <w:tc>
          <w:tcPr>
            <w:tcW w:w="659" w:type="pct"/>
            <w:vMerge w:val="restart"/>
            <w:shd w:val="clear" w:color="auto" w:fill="D9D9D9"/>
            <w:tcMar>
              <w:top w:w="0" w:type="dxa"/>
              <w:left w:w="108" w:type="dxa"/>
              <w:bottom w:w="0" w:type="dxa"/>
              <w:right w:w="108" w:type="dxa"/>
            </w:tcMar>
            <w:vAlign w:val="center"/>
            <w:hideMark/>
          </w:tcPr>
          <w:p w14:paraId="194EA2D9"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3.2.3 Measure</w:t>
            </w:r>
          </w:p>
        </w:tc>
        <w:tc>
          <w:tcPr>
            <w:tcW w:w="864" w:type="pct"/>
            <w:vMerge w:val="restart"/>
            <w:tcMar>
              <w:top w:w="0" w:type="dxa"/>
              <w:left w:w="108" w:type="dxa"/>
              <w:bottom w:w="0" w:type="dxa"/>
              <w:right w:w="108" w:type="dxa"/>
            </w:tcMar>
            <w:vAlign w:val="center"/>
          </w:tcPr>
          <w:p w14:paraId="78CA2AF5" w14:textId="40AAA1D3" w:rsidR="00B02183" w:rsidRPr="007C4D65" w:rsidRDefault="00095CAC" w:rsidP="00B02183">
            <w:pPr>
              <w:spacing w:after="120" w:line="276" w:lineRule="auto"/>
              <w:ind w:hanging="2"/>
              <w:contextualSpacing/>
              <w:rPr>
                <w:rFonts w:asciiTheme="minorHAnsi" w:hAnsiTheme="minorHAnsi" w:cstheme="minorHAnsi"/>
                <w:bCs/>
                <w:sz w:val="18"/>
                <w:szCs w:val="18"/>
              </w:rPr>
            </w:pPr>
            <w:r w:rsidRPr="007C4D65">
              <w:rPr>
                <w:rFonts w:asciiTheme="minorHAnsi" w:hAnsiTheme="minorHAnsi" w:cstheme="minorHAnsi"/>
                <w:sz w:val="18"/>
              </w:rPr>
              <w:t xml:space="preserve">Secure full financial, human and technical capacities for the work of the professional institution for nature conservation of the Federation of BiH and cantonal institutes/professional </w:t>
            </w:r>
            <w:r w:rsidRPr="007C4D65">
              <w:rPr>
                <w:rFonts w:asciiTheme="minorHAnsi" w:hAnsiTheme="minorHAnsi" w:cstheme="minorHAnsi"/>
                <w:sz w:val="18"/>
              </w:rPr>
              <w:lastRenderedPageBreak/>
              <w:t>institutions for nature conservation</w:t>
            </w:r>
          </w:p>
        </w:tc>
        <w:tc>
          <w:tcPr>
            <w:tcW w:w="1159" w:type="pct"/>
            <w:shd w:val="clear" w:color="auto" w:fill="D9D9D9"/>
            <w:tcMar>
              <w:top w:w="0" w:type="dxa"/>
              <w:left w:w="108" w:type="dxa"/>
              <w:bottom w:w="0" w:type="dxa"/>
              <w:right w:w="108" w:type="dxa"/>
            </w:tcMar>
            <w:vAlign w:val="center"/>
            <w:hideMark/>
          </w:tcPr>
          <w:p w14:paraId="7EDEE7D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lastRenderedPageBreak/>
              <w:t>Measure indicators</w:t>
            </w:r>
          </w:p>
        </w:tc>
        <w:tc>
          <w:tcPr>
            <w:tcW w:w="1159" w:type="pct"/>
            <w:shd w:val="clear" w:color="auto" w:fill="D9D9D9"/>
            <w:tcMar>
              <w:top w:w="0" w:type="dxa"/>
              <w:left w:w="108" w:type="dxa"/>
              <w:bottom w:w="0" w:type="dxa"/>
              <w:right w:w="108" w:type="dxa"/>
            </w:tcMar>
            <w:vAlign w:val="center"/>
            <w:hideMark/>
          </w:tcPr>
          <w:p w14:paraId="48705601"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18A041C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5337BFFB" w14:textId="77777777" w:rsidTr="00B6017F">
        <w:trPr>
          <w:trHeight w:val="287"/>
        </w:trPr>
        <w:tc>
          <w:tcPr>
            <w:tcW w:w="659" w:type="pct"/>
            <w:vMerge/>
            <w:shd w:val="clear" w:color="auto" w:fill="D9D9D9"/>
            <w:vAlign w:val="center"/>
            <w:hideMark/>
          </w:tcPr>
          <w:p w14:paraId="1391A27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55121C5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2D664DD" w14:textId="77777777" w:rsidR="00B02183" w:rsidRPr="007C4D65" w:rsidRDefault="00B02183" w:rsidP="00B02183">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Degree of development of initial capacities of the professional institution</w:t>
            </w:r>
          </w:p>
        </w:tc>
        <w:tc>
          <w:tcPr>
            <w:tcW w:w="1159" w:type="pct"/>
            <w:shd w:val="clear" w:color="auto" w:fill="FFFFFF"/>
            <w:tcMar>
              <w:top w:w="0" w:type="dxa"/>
              <w:left w:w="108" w:type="dxa"/>
              <w:bottom w:w="0" w:type="dxa"/>
              <w:right w:w="108" w:type="dxa"/>
            </w:tcMar>
            <w:vAlign w:val="center"/>
          </w:tcPr>
          <w:p w14:paraId="65E846A7" w14:textId="77777777" w:rsidR="00B02183" w:rsidRPr="007C4D65" w:rsidRDefault="00B02183" w:rsidP="00B02183">
            <w:pPr>
              <w:spacing w:line="276" w:lineRule="auto"/>
              <w:ind w:left="360"/>
              <w:rPr>
                <w:rFonts w:asciiTheme="minorHAnsi" w:hAnsiTheme="minorHAnsi" w:cstheme="minorHAnsi"/>
                <w:sz w:val="18"/>
                <w:szCs w:val="18"/>
              </w:rPr>
            </w:pPr>
            <w:r w:rsidRPr="007C4D65">
              <w:rPr>
                <w:rFonts w:asciiTheme="minorHAnsi" w:hAnsiTheme="minorHAnsi" w:cstheme="minorHAnsi"/>
                <w:sz w:val="18"/>
              </w:rPr>
              <w:t>There is no professional institution</w:t>
            </w:r>
          </w:p>
        </w:tc>
        <w:tc>
          <w:tcPr>
            <w:tcW w:w="1159" w:type="pct"/>
            <w:shd w:val="clear" w:color="auto" w:fill="FFFFFF"/>
            <w:vAlign w:val="center"/>
          </w:tcPr>
          <w:p w14:paraId="1AEB62BD" w14:textId="77777777" w:rsidR="00B02183" w:rsidRPr="007C4D65" w:rsidRDefault="00B02183" w:rsidP="00B02183">
            <w:pPr>
              <w:spacing w:after="120" w:line="276" w:lineRule="auto"/>
              <w:ind w:left="211" w:hanging="142"/>
              <w:contextualSpacing/>
              <w:rPr>
                <w:rFonts w:asciiTheme="minorHAnsi" w:hAnsiTheme="minorHAnsi" w:cstheme="minorHAnsi"/>
                <w:sz w:val="18"/>
                <w:szCs w:val="18"/>
              </w:rPr>
            </w:pPr>
            <w:r w:rsidRPr="007C4D65">
              <w:rPr>
                <w:rFonts w:asciiTheme="minorHAnsi" w:hAnsiTheme="minorHAnsi" w:cstheme="minorHAnsi"/>
                <w:sz w:val="18"/>
              </w:rPr>
              <w:t>An efficient institution established (2030)</w:t>
            </w:r>
          </w:p>
        </w:tc>
      </w:tr>
      <w:tr w:rsidR="00B02183" w:rsidRPr="007C4D65" w14:paraId="58468733" w14:textId="77777777" w:rsidTr="00B6017F">
        <w:trPr>
          <w:trHeight w:val="483"/>
        </w:trPr>
        <w:tc>
          <w:tcPr>
            <w:tcW w:w="659" w:type="pct"/>
            <w:vMerge/>
            <w:shd w:val="clear" w:color="auto" w:fill="D9D9D9"/>
            <w:vAlign w:val="center"/>
            <w:hideMark/>
          </w:tcPr>
          <w:p w14:paraId="1CCCD96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79BDEAE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05E8DA77" w14:textId="68BB0BB3"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5111AC2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2E06DC84"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3D43A36C" w14:textId="77777777" w:rsidTr="00B6017F">
        <w:trPr>
          <w:trHeight w:val="287"/>
        </w:trPr>
        <w:tc>
          <w:tcPr>
            <w:tcW w:w="659" w:type="pct"/>
            <w:vMerge/>
            <w:shd w:val="clear" w:color="auto" w:fill="D9D9D9"/>
            <w:vAlign w:val="center"/>
            <w:hideMark/>
          </w:tcPr>
          <w:p w14:paraId="24BD81C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152959E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E6A06B8"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0.797</w:t>
            </w:r>
          </w:p>
        </w:tc>
        <w:tc>
          <w:tcPr>
            <w:tcW w:w="1159" w:type="pct"/>
            <w:tcMar>
              <w:top w:w="0" w:type="dxa"/>
              <w:left w:w="108" w:type="dxa"/>
              <w:bottom w:w="0" w:type="dxa"/>
              <w:right w:w="108" w:type="dxa"/>
            </w:tcMar>
            <w:vAlign w:val="center"/>
          </w:tcPr>
          <w:p w14:paraId="7490B5F4"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7.1</w:t>
            </w:r>
          </w:p>
        </w:tc>
        <w:tc>
          <w:tcPr>
            <w:tcW w:w="1159" w:type="pct"/>
            <w:tcMar>
              <w:top w:w="0" w:type="dxa"/>
              <w:left w:w="108" w:type="dxa"/>
              <w:bottom w:w="0" w:type="dxa"/>
              <w:right w:w="108" w:type="dxa"/>
            </w:tcMar>
            <w:vAlign w:val="center"/>
          </w:tcPr>
          <w:p w14:paraId="6EA14E3E"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7.9</w:t>
            </w:r>
          </w:p>
        </w:tc>
      </w:tr>
    </w:tbl>
    <w:p w14:paraId="66E14CA9" w14:textId="77777777" w:rsidR="00B02183" w:rsidRPr="007C4D65" w:rsidRDefault="00B02183" w:rsidP="00B02183">
      <w:pPr>
        <w:spacing w:after="120" w:line="276" w:lineRule="auto"/>
        <w:contextualSpacing/>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5"/>
        <w:gridCol w:w="2409"/>
        <w:gridCol w:w="3232"/>
        <w:gridCol w:w="3231"/>
        <w:gridCol w:w="3231"/>
      </w:tblGrid>
      <w:tr w:rsidR="00B02183" w:rsidRPr="007C4D65" w14:paraId="2DE6EE9E" w14:textId="77777777" w:rsidTr="00B6017F">
        <w:trPr>
          <w:trHeight w:val="689"/>
        </w:trPr>
        <w:tc>
          <w:tcPr>
            <w:tcW w:w="658" w:type="pct"/>
            <w:vMerge w:val="restart"/>
            <w:shd w:val="clear" w:color="auto" w:fill="D9D9D9"/>
            <w:tcMar>
              <w:top w:w="0" w:type="dxa"/>
              <w:left w:w="108" w:type="dxa"/>
              <w:bottom w:w="0" w:type="dxa"/>
              <w:right w:w="108" w:type="dxa"/>
            </w:tcMar>
            <w:vAlign w:val="center"/>
          </w:tcPr>
          <w:p w14:paraId="6C46D4D8"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3.3 Priority</w:t>
            </w:r>
          </w:p>
          <w:p w14:paraId="7460606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restart"/>
            <w:tcMar>
              <w:top w:w="0" w:type="dxa"/>
              <w:left w:w="108" w:type="dxa"/>
              <w:bottom w:w="0" w:type="dxa"/>
              <w:right w:w="108" w:type="dxa"/>
            </w:tcMar>
            <w:vAlign w:val="center"/>
          </w:tcPr>
          <w:p w14:paraId="305FF61D" w14:textId="77777777" w:rsidR="00B02183" w:rsidRPr="007C4D65" w:rsidRDefault="00B02183"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Initiate coordination, communication and reporting on biodiversity and nature conservation in the Federation of BiH</w:t>
            </w:r>
          </w:p>
        </w:tc>
        <w:tc>
          <w:tcPr>
            <w:tcW w:w="1159" w:type="pct"/>
            <w:shd w:val="clear" w:color="auto" w:fill="D9D9D9"/>
            <w:tcMar>
              <w:top w:w="0" w:type="dxa"/>
              <w:left w:w="108" w:type="dxa"/>
              <w:bottom w:w="0" w:type="dxa"/>
              <w:right w:w="108" w:type="dxa"/>
            </w:tcMar>
            <w:vAlign w:val="center"/>
          </w:tcPr>
          <w:p w14:paraId="6C717925"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58416CA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60F18E24"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6D8A8202" w14:textId="77777777" w:rsidTr="00B6017F">
        <w:trPr>
          <w:trHeight w:val="1110"/>
        </w:trPr>
        <w:tc>
          <w:tcPr>
            <w:tcW w:w="658" w:type="pct"/>
            <w:vMerge/>
            <w:shd w:val="clear" w:color="auto" w:fill="D9D9D9"/>
            <w:vAlign w:val="center"/>
            <w:hideMark/>
          </w:tcPr>
          <w:p w14:paraId="0F5D00B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7DF018E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EF771BC"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Integrity of information for reporting on biodiversity from all cantons in BiH achieved</w:t>
            </w:r>
          </w:p>
        </w:tc>
        <w:tc>
          <w:tcPr>
            <w:tcW w:w="1159" w:type="pct"/>
            <w:tcMar>
              <w:top w:w="0" w:type="dxa"/>
              <w:left w:w="108" w:type="dxa"/>
              <w:bottom w:w="0" w:type="dxa"/>
              <w:right w:w="108" w:type="dxa"/>
            </w:tcMar>
            <w:vAlign w:val="center"/>
          </w:tcPr>
          <w:p w14:paraId="75D33F31"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 institutional channel for the flow and compilation of data on biodiversity in the Federation of BiH available (2022)</w:t>
            </w:r>
          </w:p>
        </w:tc>
        <w:tc>
          <w:tcPr>
            <w:tcW w:w="1159" w:type="pct"/>
            <w:tcMar>
              <w:top w:w="0" w:type="dxa"/>
              <w:left w:w="108" w:type="dxa"/>
              <w:bottom w:w="0" w:type="dxa"/>
              <w:right w:w="108" w:type="dxa"/>
            </w:tcMar>
            <w:vAlign w:val="center"/>
          </w:tcPr>
          <w:p w14:paraId="442C2B6B" w14:textId="51723F9A"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An efficient institutional channel for the flaw of information on biodiversity in the Federation of BiH set up (2030</w:t>
            </w:r>
            <w:r w:rsidR="003A3EA2" w:rsidRPr="007C4D65">
              <w:rPr>
                <w:rFonts w:asciiTheme="minorHAnsi" w:hAnsiTheme="minorHAnsi" w:cstheme="minorHAnsi"/>
                <w:sz w:val="18"/>
              </w:rPr>
              <w:t>)</w:t>
            </w:r>
          </w:p>
        </w:tc>
      </w:tr>
      <w:tr w:rsidR="00B02183" w:rsidRPr="007C4D65" w14:paraId="502C9294" w14:textId="77777777" w:rsidTr="00B6017F">
        <w:trPr>
          <w:trHeight w:val="287"/>
        </w:trPr>
        <w:tc>
          <w:tcPr>
            <w:tcW w:w="658" w:type="pct"/>
            <w:vMerge/>
            <w:shd w:val="clear" w:color="auto" w:fill="D9D9D9"/>
            <w:vAlign w:val="center"/>
            <w:hideMark/>
          </w:tcPr>
          <w:p w14:paraId="75AA744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273B6A7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2D70F4C9" w14:textId="641FC98D"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616B7F6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7403C86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3337AE21" w14:textId="77777777" w:rsidTr="00B6017F">
        <w:trPr>
          <w:trHeight w:val="287"/>
        </w:trPr>
        <w:tc>
          <w:tcPr>
            <w:tcW w:w="658" w:type="pct"/>
            <w:vMerge/>
            <w:shd w:val="clear" w:color="auto" w:fill="D9D9D9"/>
            <w:vAlign w:val="center"/>
          </w:tcPr>
          <w:p w14:paraId="59000C3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1E1424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9B90671"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1.6</w:t>
            </w:r>
          </w:p>
        </w:tc>
        <w:tc>
          <w:tcPr>
            <w:tcW w:w="1159" w:type="pct"/>
            <w:tcMar>
              <w:top w:w="0" w:type="dxa"/>
              <w:left w:w="108" w:type="dxa"/>
              <w:bottom w:w="0" w:type="dxa"/>
              <w:right w:w="108" w:type="dxa"/>
            </w:tcMar>
            <w:vAlign w:val="center"/>
          </w:tcPr>
          <w:p w14:paraId="7A391D1A"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4</w:t>
            </w:r>
          </w:p>
        </w:tc>
        <w:tc>
          <w:tcPr>
            <w:tcW w:w="1159" w:type="pct"/>
            <w:tcMar>
              <w:top w:w="0" w:type="dxa"/>
              <w:left w:w="108" w:type="dxa"/>
              <w:bottom w:w="0" w:type="dxa"/>
              <w:right w:w="108" w:type="dxa"/>
            </w:tcMar>
            <w:vAlign w:val="center"/>
          </w:tcPr>
          <w:p w14:paraId="7C1E588A"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5.6</w:t>
            </w:r>
          </w:p>
        </w:tc>
      </w:tr>
    </w:tbl>
    <w:p w14:paraId="7A1FF589"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4" w:type="pct"/>
        <w:tblInd w:w="-5"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839"/>
        <w:gridCol w:w="2411"/>
        <w:gridCol w:w="3233"/>
        <w:gridCol w:w="3233"/>
        <w:gridCol w:w="3233"/>
      </w:tblGrid>
      <w:tr w:rsidR="00B02183" w:rsidRPr="007C4D65" w14:paraId="318A0B5B" w14:textId="77777777" w:rsidTr="00B6017F">
        <w:trPr>
          <w:trHeight w:val="483"/>
        </w:trPr>
        <w:tc>
          <w:tcPr>
            <w:tcW w:w="659" w:type="pct"/>
            <w:vMerge w:val="restart"/>
            <w:shd w:val="clear" w:color="auto" w:fill="D9D9D9"/>
            <w:tcMar>
              <w:top w:w="0" w:type="dxa"/>
              <w:left w:w="108" w:type="dxa"/>
              <w:bottom w:w="0" w:type="dxa"/>
              <w:right w:w="108" w:type="dxa"/>
            </w:tcMar>
            <w:vAlign w:val="center"/>
            <w:hideMark/>
          </w:tcPr>
          <w:p w14:paraId="371B88E6"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3.3.1 Measure</w:t>
            </w:r>
          </w:p>
        </w:tc>
        <w:tc>
          <w:tcPr>
            <w:tcW w:w="864" w:type="pct"/>
            <w:vMerge w:val="restart"/>
            <w:tcMar>
              <w:top w:w="0" w:type="dxa"/>
              <w:left w:w="108" w:type="dxa"/>
              <w:bottom w:w="0" w:type="dxa"/>
              <w:right w:w="108" w:type="dxa"/>
            </w:tcMar>
          </w:tcPr>
          <w:p w14:paraId="365FAA6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Creating a </w:t>
            </w:r>
            <w:proofErr w:type="gramStart"/>
            <w:r w:rsidRPr="007C4D65">
              <w:rPr>
                <w:rFonts w:asciiTheme="minorHAnsi" w:hAnsiTheme="minorHAnsi" w:cstheme="minorHAnsi"/>
                <w:sz w:val="18"/>
              </w:rPr>
              <w:t>department  for</w:t>
            </w:r>
            <w:proofErr w:type="gramEnd"/>
            <w:r w:rsidRPr="007C4D65">
              <w:rPr>
                <w:rFonts w:asciiTheme="minorHAnsi" w:hAnsiTheme="minorHAnsi" w:cstheme="minorHAnsi"/>
                <w:sz w:val="18"/>
              </w:rPr>
              <w:t xml:space="preserve"> coordination of professional activities on nature conservation and monitoring in the Federation of BiH in the professional institution for nature conservation</w:t>
            </w:r>
          </w:p>
        </w:tc>
        <w:tc>
          <w:tcPr>
            <w:tcW w:w="1159" w:type="pct"/>
            <w:shd w:val="clear" w:color="auto" w:fill="D9D9D9"/>
            <w:tcMar>
              <w:top w:w="0" w:type="dxa"/>
              <w:left w:w="108" w:type="dxa"/>
              <w:bottom w:w="0" w:type="dxa"/>
              <w:right w:w="108" w:type="dxa"/>
            </w:tcMar>
            <w:hideMark/>
          </w:tcPr>
          <w:p w14:paraId="0F19433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hideMark/>
          </w:tcPr>
          <w:p w14:paraId="5734F40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Pr>
          <w:p w14:paraId="25831A0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2DBBAB09" w14:textId="77777777" w:rsidTr="00B6017F">
        <w:trPr>
          <w:trHeight w:val="287"/>
        </w:trPr>
        <w:tc>
          <w:tcPr>
            <w:tcW w:w="659" w:type="pct"/>
            <w:vMerge/>
            <w:shd w:val="clear" w:color="auto" w:fill="D9D9D9"/>
          </w:tcPr>
          <w:p w14:paraId="17E27E3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tcPr>
          <w:p w14:paraId="6711143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tcPr>
          <w:p w14:paraId="15417513"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The level of efficiency of the flow of information and data on the state of biodiversity/nature</w:t>
            </w:r>
          </w:p>
        </w:tc>
        <w:tc>
          <w:tcPr>
            <w:tcW w:w="1159" w:type="pct"/>
            <w:shd w:val="clear" w:color="auto" w:fill="FFFFFF"/>
            <w:tcMar>
              <w:top w:w="0" w:type="dxa"/>
              <w:left w:w="108" w:type="dxa"/>
              <w:bottom w:w="0" w:type="dxa"/>
              <w:right w:w="108" w:type="dxa"/>
            </w:tcMar>
          </w:tcPr>
          <w:p w14:paraId="0B350D62"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Poor coordination in information and data gathering </w:t>
            </w:r>
          </w:p>
        </w:tc>
        <w:tc>
          <w:tcPr>
            <w:tcW w:w="1159" w:type="pct"/>
            <w:shd w:val="clear" w:color="auto" w:fill="FFFFFF"/>
          </w:tcPr>
          <w:p w14:paraId="0D4F13EA"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Efficient flow of information and gathering of data on the state of biodiversity/nature (2025)</w:t>
            </w:r>
          </w:p>
        </w:tc>
      </w:tr>
      <w:tr w:rsidR="00B02183" w:rsidRPr="007C4D65" w14:paraId="236DE64D" w14:textId="77777777" w:rsidTr="00B6017F">
        <w:trPr>
          <w:trHeight w:val="483"/>
        </w:trPr>
        <w:tc>
          <w:tcPr>
            <w:tcW w:w="659" w:type="pct"/>
            <w:vMerge/>
            <w:shd w:val="clear" w:color="auto" w:fill="D9D9D9"/>
            <w:hideMark/>
          </w:tcPr>
          <w:p w14:paraId="139D467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tcPr>
          <w:p w14:paraId="13A641E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hideMark/>
          </w:tcPr>
          <w:p w14:paraId="6C3A93CE" w14:textId="0E3C8964"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hideMark/>
          </w:tcPr>
          <w:p w14:paraId="1E4526B8"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hideMark/>
          </w:tcPr>
          <w:p w14:paraId="5DEB3570"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7D8EB624" w14:textId="77777777" w:rsidTr="00B6017F">
        <w:trPr>
          <w:trHeight w:val="287"/>
        </w:trPr>
        <w:tc>
          <w:tcPr>
            <w:tcW w:w="659" w:type="pct"/>
            <w:vMerge/>
            <w:shd w:val="clear" w:color="auto" w:fill="D9D9D9"/>
            <w:hideMark/>
          </w:tcPr>
          <w:p w14:paraId="4A28DEE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tcPr>
          <w:p w14:paraId="1CFD2AD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760BCBD"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1.5</w:t>
            </w:r>
          </w:p>
        </w:tc>
        <w:tc>
          <w:tcPr>
            <w:tcW w:w="1159" w:type="pct"/>
            <w:tcMar>
              <w:top w:w="0" w:type="dxa"/>
              <w:left w:w="108" w:type="dxa"/>
              <w:bottom w:w="0" w:type="dxa"/>
              <w:right w:w="108" w:type="dxa"/>
            </w:tcMar>
          </w:tcPr>
          <w:p w14:paraId="15358192"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3.5</w:t>
            </w:r>
          </w:p>
        </w:tc>
        <w:tc>
          <w:tcPr>
            <w:tcW w:w="1159" w:type="pct"/>
            <w:tcMar>
              <w:top w:w="0" w:type="dxa"/>
              <w:left w:w="108" w:type="dxa"/>
              <w:bottom w:w="0" w:type="dxa"/>
              <w:right w:w="108" w:type="dxa"/>
            </w:tcMar>
          </w:tcPr>
          <w:p w14:paraId="40B86886"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5</w:t>
            </w:r>
          </w:p>
        </w:tc>
      </w:tr>
      <w:tr w:rsidR="00B02183" w:rsidRPr="007C4D65" w14:paraId="516101D4" w14:textId="77777777" w:rsidTr="00B6017F">
        <w:trPr>
          <w:trHeight w:val="483"/>
        </w:trPr>
        <w:tc>
          <w:tcPr>
            <w:tcW w:w="659" w:type="pct"/>
            <w:vMerge w:val="restart"/>
            <w:shd w:val="clear" w:color="auto" w:fill="D9D9D9"/>
            <w:tcMar>
              <w:top w:w="0" w:type="dxa"/>
              <w:left w:w="108" w:type="dxa"/>
              <w:bottom w:w="0" w:type="dxa"/>
              <w:right w:w="108" w:type="dxa"/>
            </w:tcMar>
            <w:vAlign w:val="center"/>
            <w:hideMark/>
          </w:tcPr>
          <w:p w14:paraId="66EE7EA2"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3.3.2 Measure</w:t>
            </w:r>
          </w:p>
        </w:tc>
        <w:tc>
          <w:tcPr>
            <w:tcW w:w="864" w:type="pct"/>
            <w:vMerge w:val="restart"/>
            <w:tcMar>
              <w:top w:w="0" w:type="dxa"/>
              <w:left w:w="108" w:type="dxa"/>
              <w:bottom w:w="0" w:type="dxa"/>
              <w:right w:w="108" w:type="dxa"/>
            </w:tcMar>
          </w:tcPr>
          <w:p w14:paraId="667CFAEB"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Set up a database on results of projects which were implemented, ongoing and future projects focusing on biodiversity in Federation of BiH</w:t>
            </w:r>
          </w:p>
        </w:tc>
        <w:tc>
          <w:tcPr>
            <w:tcW w:w="1159" w:type="pct"/>
            <w:shd w:val="clear" w:color="auto" w:fill="D9D9D9"/>
            <w:tcMar>
              <w:top w:w="0" w:type="dxa"/>
              <w:left w:w="108" w:type="dxa"/>
              <w:bottom w:w="0" w:type="dxa"/>
              <w:right w:w="108" w:type="dxa"/>
            </w:tcMar>
          </w:tcPr>
          <w:p w14:paraId="63B3030E"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hideMark/>
          </w:tcPr>
          <w:p w14:paraId="6589095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Pr>
          <w:p w14:paraId="55379BCE"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4D17CC18" w14:textId="77777777" w:rsidTr="00B6017F">
        <w:trPr>
          <w:trHeight w:val="287"/>
        </w:trPr>
        <w:tc>
          <w:tcPr>
            <w:tcW w:w="659" w:type="pct"/>
            <w:vMerge/>
            <w:shd w:val="clear" w:color="auto" w:fill="D9D9D9"/>
          </w:tcPr>
          <w:p w14:paraId="1190139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tcPr>
          <w:p w14:paraId="5F4D093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tcPr>
          <w:p w14:paraId="29681A2A"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Degree of using the protocol for entering projects outputs</w:t>
            </w:r>
          </w:p>
        </w:tc>
        <w:tc>
          <w:tcPr>
            <w:tcW w:w="1159" w:type="pct"/>
            <w:shd w:val="clear" w:color="auto" w:fill="FFFFFF"/>
            <w:tcMar>
              <w:top w:w="0" w:type="dxa"/>
              <w:left w:w="108" w:type="dxa"/>
              <w:bottom w:w="0" w:type="dxa"/>
              <w:right w:w="108" w:type="dxa"/>
            </w:tcMar>
          </w:tcPr>
          <w:p w14:paraId="19C08F2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results of projects implemented are not available</w:t>
            </w:r>
          </w:p>
        </w:tc>
        <w:tc>
          <w:tcPr>
            <w:tcW w:w="1159" w:type="pct"/>
            <w:shd w:val="clear" w:color="auto" w:fill="FFFFFF"/>
          </w:tcPr>
          <w:p w14:paraId="0B40B977"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Standardized results of the implemented projects available (2025)</w:t>
            </w:r>
          </w:p>
        </w:tc>
      </w:tr>
      <w:tr w:rsidR="00B02183" w:rsidRPr="007C4D65" w14:paraId="17E0BC94" w14:textId="77777777" w:rsidTr="00B6017F">
        <w:trPr>
          <w:trHeight w:val="287"/>
        </w:trPr>
        <w:tc>
          <w:tcPr>
            <w:tcW w:w="659" w:type="pct"/>
            <w:vMerge/>
            <w:shd w:val="clear" w:color="auto" w:fill="D9D9D9"/>
          </w:tcPr>
          <w:p w14:paraId="24FD819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tcPr>
          <w:p w14:paraId="2C618BF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tcPr>
          <w:p w14:paraId="35447F11"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assessment of data gaps on biodiversity in the Federation of BiH</w:t>
            </w:r>
          </w:p>
        </w:tc>
        <w:tc>
          <w:tcPr>
            <w:tcW w:w="1159" w:type="pct"/>
            <w:shd w:val="clear" w:color="auto" w:fill="FFFFFF"/>
            <w:tcMar>
              <w:top w:w="0" w:type="dxa"/>
              <w:left w:w="108" w:type="dxa"/>
              <w:bottom w:w="0" w:type="dxa"/>
              <w:right w:w="108" w:type="dxa"/>
            </w:tcMar>
          </w:tcPr>
          <w:p w14:paraId="1FCB8951"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Data gaps on biodiversity in the Federation of BiH not identified</w:t>
            </w:r>
          </w:p>
        </w:tc>
        <w:tc>
          <w:tcPr>
            <w:tcW w:w="1159" w:type="pct"/>
            <w:shd w:val="clear" w:color="auto" w:fill="FFFFFF"/>
          </w:tcPr>
          <w:p w14:paraId="5E5FAF9B"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Data gaps on biodiversity in the Federation of BiH identified</w:t>
            </w:r>
          </w:p>
        </w:tc>
      </w:tr>
      <w:tr w:rsidR="00B02183" w:rsidRPr="007C4D65" w14:paraId="287EE722" w14:textId="77777777" w:rsidTr="00B6017F">
        <w:trPr>
          <w:trHeight w:val="483"/>
        </w:trPr>
        <w:tc>
          <w:tcPr>
            <w:tcW w:w="659" w:type="pct"/>
            <w:vMerge/>
            <w:shd w:val="clear" w:color="auto" w:fill="D9D9D9"/>
            <w:hideMark/>
          </w:tcPr>
          <w:p w14:paraId="23AF497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tcPr>
          <w:p w14:paraId="16A3247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tcPr>
          <w:p w14:paraId="0BB9C956" w14:textId="277BE204" w:rsidR="00B02183" w:rsidRPr="007C4D65" w:rsidRDefault="000D19A9"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hideMark/>
          </w:tcPr>
          <w:p w14:paraId="716DAA40"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hideMark/>
          </w:tcPr>
          <w:p w14:paraId="17295A6E"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b/>
                <w:sz w:val="18"/>
              </w:rPr>
              <w:t>Total (BAM million)</w:t>
            </w:r>
          </w:p>
        </w:tc>
      </w:tr>
      <w:tr w:rsidR="00B02183" w:rsidRPr="007C4D65" w14:paraId="20BB17ED" w14:textId="77777777" w:rsidTr="00B6017F">
        <w:trPr>
          <w:trHeight w:val="287"/>
        </w:trPr>
        <w:tc>
          <w:tcPr>
            <w:tcW w:w="659" w:type="pct"/>
            <w:vMerge/>
            <w:shd w:val="clear" w:color="auto" w:fill="D9D9D9"/>
            <w:hideMark/>
          </w:tcPr>
          <w:p w14:paraId="2775CD88"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tcPr>
          <w:p w14:paraId="6D5AAD8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4ABEF23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0.068</w:t>
            </w:r>
          </w:p>
        </w:tc>
        <w:tc>
          <w:tcPr>
            <w:tcW w:w="1159" w:type="pct"/>
            <w:tcMar>
              <w:top w:w="0" w:type="dxa"/>
              <w:left w:w="108" w:type="dxa"/>
              <w:bottom w:w="0" w:type="dxa"/>
              <w:right w:w="108" w:type="dxa"/>
            </w:tcMar>
          </w:tcPr>
          <w:p w14:paraId="1A5E5B2E"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0.273</w:t>
            </w:r>
          </w:p>
        </w:tc>
        <w:tc>
          <w:tcPr>
            <w:tcW w:w="1159" w:type="pct"/>
            <w:tcMar>
              <w:top w:w="0" w:type="dxa"/>
              <w:left w:w="108" w:type="dxa"/>
              <w:bottom w:w="0" w:type="dxa"/>
              <w:right w:w="108" w:type="dxa"/>
            </w:tcMar>
          </w:tcPr>
          <w:p w14:paraId="30DCC695"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0.342</w:t>
            </w:r>
          </w:p>
        </w:tc>
      </w:tr>
      <w:tr w:rsidR="00B02183" w:rsidRPr="007C4D65" w14:paraId="1649BB20" w14:textId="77777777" w:rsidTr="00B6017F">
        <w:tblPrEx>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PrEx>
        <w:trPr>
          <w:trHeight w:val="483"/>
        </w:trPr>
        <w:tc>
          <w:tcPr>
            <w:tcW w:w="659" w:type="pct"/>
            <w:vMerge w:val="restart"/>
            <w:shd w:val="clear" w:color="auto" w:fill="D9D9D9"/>
            <w:tcMar>
              <w:top w:w="0" w:type="dxa"/>
              <w:left w:w="108" w:type="dxa"/>
              <w:bottom w:w="0" w:type="dxa"/>
              <w:right w:w="108" w:type="dxa"/>
            </w:tcMar>
            <w:vAlign w:val="center"/>
            <w:hideMark/>
          </w:tcPr>
          <w:p w14:paraId="449191C0"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3.3.3 Measure</w:t>
            </w:r>
          </w:p>
        </w:tc>
        <w:tc>
          <w:tcPr>
            <w:tcW w:w="864" w:type="pct"/>
            <w:vMerge w:val="restart"/>
            <w:tcMar>
              <w:top w:w="0" w:type="dxa"/>
              <w:left w:w="108" w:type="dxa"/>
              <w:bottom w:w="0" w:type="dxa"/>
              <w:right w:w="108" w:type="dxa"/>
            </w:tcMar>
            <w:vAlign w:val="center"/>
          </w:tcPr>
          <w:p w14:paraId="1F914480" w14:textId="77777777" w:rsidR="00B02183" w:rsidRPr="007C4D65" w:rsidRDefault="00B02183" w:rsidP="00B02183">
            <w:pPr>
              <w:spacing w:after="120" w:line="276" w:lineRule="auto"/>
              <w:ind w:hanging="2"/>
              <w:contextualSpacing/>
              <w:rPr>
                <w:rFonts w:asciiTheme="minorHAnsi" w:hAnsiTheme="minorHAnsi" w:cstheme="minorHAnsi"/>
                <w:bCs/>
                <w:sz w:val="18"/>
                <w:szCs w:val="18"/>
              </w:rPr>
            </w:pPr>
            <w:r w:rsidRPr="007C4D65">
              <w:rPr>
                <w:rFonts w:asciiTheme="minorHAnsi" w:hAnsiTheme="minorHAnsi" w:cstheme="minorHAnsi"/>
                <w:sz w:val="18"/>
              </w:rPr>
              <w:t xml:space="preserve">In accordance with the INSPIRE Directive, through the Information System for the Nature Conservation of the Federation of BiH, provide for access to information on monitoring of protected and strictly protected species and areas, and species and habitats of interest for the Community </w:t>
            </w:r>
          </w:p>
        </w:tc>
        <w:tc>
          <w:tcPr>
            <w:tcW w:w="1159" w:type="pct"/>
            <w:shd w:val="clear" w:color="auto" w:fill="D9D9D9"/>
            <w:tcMar>
              <w:top w:w="0" w:type="dxa"/>
              <w:left w:w="108" w:type="dxa"/>
              <w:bottom w:w="0" w:type="dxa"/>
              <w:right w:w="108" w:type="dxa"/>
            </w:tcMar>
            <w:vAlign w:val="center"/>
            <w:hideMark/>
          </w:tcPr>
          <w:p w14:paraId="22FD9C7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76697E3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481CDCA7"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1DA6B942" w14:textId="77777777" w:rsidTr="00B6017F">
        <w:tblPrEx>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PrEx>
        <w:trPr>
          <w:trHeight w:val="287"/>
        </w:trPr>
        <w:tc>
          <w:tcPr>
            <w:tcW w:w="659" w:type="pct"/>
            <w:vMerge/>
            <w:shd w:val="clear" w:color="auto" w:fill="D9D9D9"/>
            <w:vAlign w:val="center"/>
          </w:tcPr>
          <w:p w14:paraId="259C86E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0F0225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7611B1A"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Number of data entries on the FBiH FAP on the continuous monitoring of protected species and habitats of interest  </w:t>
            </w:r>
          </w:p>
        </w:tc>
        <w:tc>
          <w:tcPr>
            <w:tcW w:w="1159" w:type="pct"/>
            <w:shd w:val="clear" w:color="auto" w:fill="FFFFFF"/>
            <w:tcMar>
              <w:top w:w="0" w:type="dxa"/>
              <w:left w:w="108" w:type="dxa"/>
              <w:bottom w:w="0" w:type="dxa"/>
              <w:right w:w="108" w:type="dxa"/>
            </w:tcMar>
            <w:vAlign w:val="center"/>
          </w:tcPr>
          <w:p w14:paraId="0359653B"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Data on monitoring the status of species and habitats are not available </w:t>
            </w:r>
          </w:p>
        </w:tc>
        <w:tc>
          <w:tcPr>
            <w:tcW w:w="1159" w:type="pct"/>
            <w:shd w:val="clear" w:color="auto" w:fill="FFFFFF"/>
            <w:vAlign w:val="center"/>
          </w:tcPr>
          <w:p w14:paraId="178D2A91"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Data on monitoring the status of species and habitats are publicly available at the FBiH FAP</w:t>
            </w:r>
          </w:p>
        </w:tc>
      </w:tr>
      <w:tr w:rsidR="00B02183" w:rsidRPr="007C4D65" w14:paraId="02DA6EA1" w14:textId="77777777" w:rsidTr="00B6017F">
        <w:tblPrEx>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PrEx>
        <w:trPr>
          <w:trHeight w:val="483"/>
        </w:trPr>
        <w:tc>
          <w:tcPr>
            <w:tcW w:w="659" w:type="pct"/>
            <w:vMerge/>
            <w:shd w:val="clear" w:color="auto" w:fill="D9D9D9"/>
            <w:vAlign w:val="center"/>
            <w:hideMark/>
          </w:tcPr>
          <w:p w14:paraId="201DDA2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445E83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8EA34FF" w14:textId="000640A0"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4C0006D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38146E5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76E68626" w14:textId="77777777" w:rsidTr="00B6017F">
        <w:tblPrEx>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PrEx>
        <w:trPr>
          <w:trHeight w:val="287"/>
        </w:trPr>
        <w:tc>
          <w:tcPr>
            <w:tcW w:w="659" w:type="pct"/>
            <w:vMerge/>
            <w:shd w:val="clear" w:color="auto" w:fill="D9D9D9"/>
            <w:vAlign w:val="center"/>
            <w:hideMark/>
          </w:tcPr>
          <w:p w14:paraId="10D2DA9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418FDB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DC96589"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0.029</w:t>
            </w:r>
          </w:p>
        </w:tc>
        <w:tc>
          <w:tcPr>
            <w:tcW w:w="1159" w:type="pct"/>
            <w:tcMar>
              <w:top w:w="0" w:type="dxa"/>
              <w:left w:w="108" w:type="dxa"/>
              <w:bottom w:w="0" w:type="dxa"/>
              <w:right w:w="108" w:type="dxa"/>
            </w:tcMar>
            <w:vAlign w:val="center"/>
          </w:tcPr>
          <w:p w14:paraId="42492ABC"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0.267</w:t>
            </w:r>
          </w:p>
        </w:tc>
        <w:tc>
          <w:tcPr>
            <w:tcW w:w="1159" w:type="pct"/>
            <w:tcMar>
              <w:top w:w="0" w:type="dxa"/>
              <w:left w:w="108" w:type="dxa"/>
              <w:bottom w:w="0" w:type="dxa"/>
              <w:right w:w="108" w:type="dxa"/>
            </w:tcMar>
            <w:vAlign w:val="center"/>
          </w:tcPr>
          <w:p w14:paraId="0BF952B4"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0.296</w:t>
            </w:r>
          </w:p>
        </w:tc>
      </w:tr>
    </w:tbl>
    <w:p w14:paraId="04B559F1" w14:textId="77777777" w:rsidR="00B02183" w:rsidRPr="007C4D65" w:rsidRDefault="00B02183" w:rsidP="00B02183">
      <w:pPr>
        <w:spacing w:after="120" w:line="276" w:lineRule="auto"/>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39"/>
        <w:gridCol w:w="2410"/>
        <w:gridCol w:w="3233"/>
        <w:gridCol w:w="3233"/>
        <w:gridCol w:w="3233"/>
      </w:tblGrid>
      <w:tr w:rsidR="00B02183" w:rsidRPr="007C4D65" w14:paraId="3EA5751C" w14:textId="77777777" w:rsidTr="00B6017F">
        <w:trPr>
          <w:trHeight w:val="384"/>
        </w:trPr>
        <w:tc>
          <w:tcPr>
            <w:tcW w:w="659" w:type="pct"/>
            <w:vMerge w:val="restart"/>
            <w:shd w:val="clear" w:color="auto" w:fill="D9D9D9"/>
            <w:tcMar>
              <w:top w:w="0" w:type="dxa"/>
              <w:left w:w="108" w:type="dxa"/>
              <w:bottom w:w="0" w:type="dxa"/>
              <w:right w:w="108" w:type="dxa"/>
            </w:tcMar>
            <w:vAlign w:val="center"/>
          </w:tcPr>
          <w:p w14:paraId="3C482906"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3.4 Priority</w:t>
            </w:r>
          </w:p>
          <w:p w14:paraId="375AA70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restart"/>
            <w:tcMar>
              <w:top w:w="0" w:type="dxa"/>
              <w:left w:w="108" w:type="dxa"/>
              <w:bottom w:w="0" w:type="dxa"/>
              <w:right w:w="108" w:type="dxa"/>
            </w:tcMar>
            <w:vAlign w:val="center"/>
          </w:tcPr>
          <w:p w14:paraId="2BC71EFF" w14:textId="31497113" w:rsidR="00B02183" w:rsidRPr="007C4D65" w:rsidRDefault="00D67C85"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bCs/>
                <w:sz w:val="18"/>
                <w:szCs w:val="18"/>
                <w:lang w:eastAsia="zh-TW"/>
              </w:rPr>
              <w:t>Initiate monitoring of the state and biodiversity/nature conservation in the Federation of BiH in compliance with the standards of the EU acquis</w:t>
            </w:r>
          </w:p>
        </w:tc>
        <w:tc>
          <w:tcPr>
            <w:tcW w:w="1159" w:type="pct"/>
            <w:shd w:val="clear" w:color="auto" w:fill="D9D9D9"/>
            <w:tcMar>
              <w:top w:w="0" w:type="dxa"/>
              <w:left w:w="108" w:type="dxa"/>
              <w:bottom w:w="0" w:type="dxa"/>
              <w:right w:w="108" w:type="dxa"/>
            </w:tcMar>
            <w:vAlign w:val="center"/>
          </w:tcPr>
          <w:p w14:paraId="10FCF9DA"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5409D22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17D0C1B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19A85FD8" w14:textId="77777777" w:rsidTr="00B6017F">
        <w:trPr>
          <w:trHeight w:val="287"/>
        </w:trPr>
        <w:tc>
          <w:tcPr>
            <w:tcW w:w="659" w:type="pct"/>
            <w:vMerge/>
            <w:shd w:val="clear" w:color="auto" w:fill="D9D9D9"/>
            <w:vAlign w:val="center"/>
            <w:hideMark/>
          </w:tcPr>
          <w:p w14:paraId="6C8A79E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17737EB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4D2012F"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Effectiveness of system for routine monitoring of the state of species, habitats, and protected areas  </w:t>
            </w:r>
          </w:p>
        </w:tc>
        <w:tc>
          <w:tcPr>
            <w:tcW w:w="1159" w:type="pct"/>
            <w:tcMar>
              <w:top w:w="0" w:type="dxa"/>
              <w:left w:w="108" w:type="dxa"/>
              <w:bottom w:w="0" w:type="dxa"/>
              <w:right w:w="108" w:type="dxa"/>
            </w:tcMar>
            <w:vAlign w:val="center"/>
          </w:tcPr>
          <w:p w14:paraId="478450D3" w14:textId="489EEAA3"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No system for routine monitoring of the state of species, habitats, and protected areas has been </w:t>
            </w:r>
            <w:r w:rsidR="00830279" w:rsidRPr="007C4D65">
              <w:rPr>
                <w:rFonts w:asciiTheme="minorHAnsi" w:hAnsiTheme="minorHAnsi" w:cstheme="minorHAnsi"/>
                <w:sz w:val="18"/>
              </w:rPr>
              <w:t>established</w:t>
            </w:r>
            <w:r w:rsidRPr="007C4D65">
              <w:rPr>
                <w:rFonts w:asciiTheme="minorHAnsi" w:hAnsiTheme="minorHAnsi" w:cstheme="minorHAnsi"/>
                <w:sz w:val="18"/>
              </w:rPr>
              <w:t>.</w:t>
            </w:r>
          </w:p>
        </w:tc>
        <w:tc>
          <w:tcPr>
            <w:tcW w:w="1159" w:type="pct"/>
            <w:tcMar>
              <w:top w:w="0" w:type="dxa"/>
              <w:left w:w="108" w:type="dxa"/>
              <w:bottom w:w="0" w:type="dxa"/>
              <w:right w:w="108" w:type="dxa"/>
            </w:tcMar>
            <w:vAlign w:val="center"/>
          </w:tcPr>
          <w:p w14:paraId="3A1D85F2"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The system for routine monitoring of the state of species, habitats, and protected areas is up and running (2029)</w:t>
            </w:r>
          </w:p>
        </w:tc>
      </w:tr>
      <w:tr w:rsidR="00B02183" w:rsidRPr="007C4D65" w14:paraId="3A716310" w14:textId="77777777" w:rsidTr="00B6017F">
        <w:trPr>
          <w:trHeight w:val="287"/>
        </w:trPr>
        <w:tc>
          <w:tcPr>
            <w:tcW w:w="659" w:type="pct"/>
            <w:vMerge/>
            <w:shd w:val="clear" w:color="auto" w:fill="D9D9D9"/>
            <w:vAlign w:val="center"/>
          </w:tcPr>
          <w:p w14:paraId="6B71AD8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31AAF2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1BED52C"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Development of technical and human capacities for professional tasks of monitoring and nature conservation</w:t>
            </w:r>
          </w:p>
        </w:tc>
        <w:tc>
          <w:tcPr>
            <w:tcW w:w="1159" w:type="pct"/>
            <w:tcMar>
              <w:top w:w="0" w:type="dxa"/>
              <w:left w:w="108" w:type="dxa"/>
              <w:bottom w:w="0" w:type="dxa"/>
              <w:right w:w="108" w:type="dxa"/>
            </w:tcMar>
            <w:vAlign w:val="center"/>
          </w:tcPr>
          <w:p w14:paraId="0104B695"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Minimum technical capacities for monitoring and nature conservation available (2022)</w:t>
            </w:r>
          </w:p>
        </w:tc>
        <w:tc>
          <w:tcPr>
            <w:tcW w:w="1159" w:type="pct"/>
            <w:tcMar>
              <w:top w:w="0" w:type="dxa"/>
              <w:left w:w="108" w:type="dxa"/>
              <w:bottom w:w="0" w:type="dxa"/>
              <w:right w:w="108" w:type="dxa"/>
            </w:tcMar>
            <w:vAlign w:val="center"/>
          </w:tcPr>
          <w:p w14:paraId="2CDD2216" w14:textId="10191873"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available technical capacities for monitoring and nature conservation increased and </w:t>
            </w:r>
            <w:r w:rsidR="00830279" w:rsidRPr="007C4D65">
              <w:rPr>
                <w:rFonts w:asciiTheme="minorHAnsi" w:hAnsiTheme="minorHAnsi" w:cstheme="minorHAnsi"/>
                <w:sz w:val="18"/>
              </w:rPr>
              <w:t>satisfy</w:t>
            </w:r>
            <w:r w:rsidRPr="007C4D65">
              <w:rPr>
                <w:rFonts w:asciiTheme="minorHAnsi" w:hAnsiTheme="minorHAnsi" w:cstheme="minorHAnsi"/>
                <w:sz w:val="18"/>
              </w:rPr>
              <w:t xml:space="preserve"> the needs (2029)</w:t>
            </w:r>
          </w:p>
        </w:tc>
      </w:tr>
      <w:tr w:rsidR="00B02183" w:rsidRPr="007C4D65" w14:paraId="054F0B45" w14:textId="77777777" w:rsidTr="00B6017F">
        <w:trPr>
          <w:trHeight w:val="287"/>
        </w:trPr>
        <w:tc>
          <w:tcPr>
            <w:tcW w:w="659" w:type="pct"/>
            <w:vMerge/>
            <w:shd w:val="clear" w:color="auto" w:fill="D9D9D9"/>
            <w:vAlign w:val="center"/>
            <w:hideMark/>
          </w:tcPr>
          <w:p w14:paraId="2AF21D3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2557923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2B90E32E" w14:textId="4875BF56"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7068331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687C582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14E38AEE" w14:textId="77777777" w:rsidTr="00B6017F">
        <w:trPr>
          <w:trHeight w:val="287"/>
        </w:trPr>
        <w:tc>
          <w:tcPr>
            <w:tcW w:w="659" w:type="pct"/>
            <w:vMerge/>
            <w:shd w:val="clear" w:color="auto" w:fill="D9D9D9"/>
            <w:vAlign w:val="center"/>
          </w:tcPr>
          <w:p w14:paraId="446FF88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69E688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61CC4D4"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0.979</w:t>
            </w:r>
          </w:p>
        </w:tc>
        <w:tc>
          <w:tcPr>
            <w:tcW w:w="1159" w:type="pct"/>
            <w:tcMar>
              <w:top w:w="0" w:type="dxa"/>
              <w:left w:w="108" w:type="dxa"/>
              <w:bottom w:w="0" w:type="dxa"/>
              <w:right w:w="108" w:type="dxa"/>
            </w:tcMar>
            <w:vAlign w:val="center"/>
          </w:tcPr>
          <w:p w14:paraId="28B7E54A"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3.4</w:t>
            </w:r>
          </w:p>
        </w:tc>
        <w:tc>
          <w:tcPr>
            <w:tcW w:w="1159" w:type="pct"/>
            <w:tcMar>
              <w:top w:w="0" w:type="dxa"/>
              <w:left w:w="108" w:type="dxa"/>
              <w:bottom w:w="0" w:type="dxa"/>
              <w:right w:w="108" w:type="dxa"/>
            </w:tcMar>
            <w:vAlign w:val="center"/>
          </w:tcPr>
          <w:p w14:paraId="31E40D6B"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4.3</w:t>
            </w:r>
          </w:p>
        </w:tc>
      </w:tr>
    </w:tbl>
    <w:p w14:paraId="785583C1"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39"/>
        <w:gridCol w:w="2410"/>
        <w:gridCol w:w="3233"/>
        <w:gridCol w:w="3233"/>
        <w:gridCol w:w="3233"/>
      </w:tblGrid>
      <w:tr w:rsidR="00B02183" w:rsidRPr="007C4D65" w14:paraId="2792A615" w14:textId="77777777" w:rsidTr="00B6017F">
        <w:trPr>
          <w:trHeight w:val="483"/>
        </w:trPr>
        <w:tc>
          <w:tcPr>
            <w:tcW w:w="659" w:type="pct"/>
            <w:vMerge w:val="restart"/>
            <w:shd w:val="clear" w:color="auto" w:fill="D9D9D9"/>
            <w:tcMar>
              <w:top w:w="0" w:type="dxa"/>
              <w:left w:w="108" w:type="dxa"/>
              <w:bottom w:w="0" w:type="dxa"/>
              <w:right w:w="108" w:type="dxa"/>
            </w:tcMar>
            <w:vAlign w:val="center"/>
            <w:hideMark/>
          </w:tcPr>
          <w:p w14:paraId="03AC8545"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3.4.1 Measure</w:t>
            </w:r>
          </w:p>
        </w:tc>
        <w:tc>
          <w:tcPr>
            <w:tcW w:w="864" w:type="pct"/>
            <w:vMerge w:val="restart"/>
            <w:tcMar>
              <w:top w:w="0" w:type="dxa"/>
              <w:left w:w="108" w:type="dxa"/>
              <w:bottom w:w="0" w:type="dxa"/>
              <w:right w:w="108" w:type="dxa"/>
            </w:tcMar>
            <w:vAlign w:val="center"/>
          </w:tcPr>
          <w:p w14:paraId="0C8148D0" w14:textId="3F3E129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Establish a system for monitoring species from the Red List, species and habitats of interest to the Community in the Federation of BiH and</w:t>
            </w:r>
            <w:r w:rsidR="008C23C0" w:rsidRPr="007C4D65">
              <w:rPr>
                <w:rFonts w:asciiTheme="minorHAnsi" w:hAnsiTheme="minorHAnsi" w:cstheme="minorHAnsi"/>
                <w:sz w:val="18"/>
              </w:rPr>
              <w:t xml:space="preserve"> its</w:t>
            </w:r>
            <w:r w:rsidRPr="007C4D65">
              <w:rPr>
                <w:rFonts w:asciiTheme="minorHAnsi" w:hAnsiTheme="minorHAnsi" w:cstheme="minorHAnsi"/>
                <w:sz w:val="18"/>
              </w:rPr>
              <w:t xml:space="preserve"> specific ecosystems (canyons, mountain, high mountain, wetland and karst ecosystems) through activities of professional and scientific institutions</w:t>
            </w:r>
          </w:p>
        </w:tc>
        <w:tc>
          <w:tcPr>
            <w:tcW w:w="1159" w:type="pct"/>
            <w:shd w:val="clear" w:color="auto" w:fill="D9D9D9"/>
            <w:tcMar>
              <w:top w:w="0" w:type="dxa"/>
              <w:left w:w="108" w:type="dxa"/>
              <w:bottom w:w="0" w:type="dxa"/>
              <w:right w:w="108" w:type="dxa"/>
            </w:tcMar>
            <w:vAlign w:val="center"/>
            <w:hideMark/>
          </w:tcPr>
          <w:p w14:paraId="56D31580"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7AECA357"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63434A9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40A51FF8" w14:textId="77777777" w:rsidTr="00B6017F">
        <w:trPr>
          <w:trHeight w:val="287"/>
        </w:trPr>
        <w:tc>
          <w:tcPr>
            <w:tcW w:w="659" w:type="pct"/>
            <w:vMerge/>
            <w:shd w:val="clear" w:color="auto" w:fill="D9D9D9"/>
            <w:vAlign w:val="center"/>
          </w:tcPr>
          <w:p w14:paraId="3FFA31D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C5615F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D965671" w14:textId="77777777" w:rsidR="00B02183" w:rsidRPr="007C4D65" w:rsidRDefault="00B02183" w:rsidP="00B02183">
            <w:pPr>
              <w:numPr>
                <w:ilvl w:val="0"/>
                <w:numId w:val="21"/>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rPr>
              <w:t>Number of species and habitats under constant monitoring</w:t>
            </w:r>
          </w:p>
          <w:p w14:paraId="5B7EE41F" w14:textId="77777777" w:rsidR="00B02183" w:rsidRPr="007C4D65" w:rsidRDefault="00B02183" w:rsidP="00B02183">
            <w:pPr>
              <w:numPr>
                <w:ilvl w:val="0"/>
                <w:numId w:val="21"/>
              </w:numPr>
              <w:spacing w:before="40" w:after="40" w:line="276" w:lineRule="auto"/>
              <w:ind w:left="360"/>
              <w:contextualSpacing/>
              <w:rPr>
                <w:rFonts w:asciiTheme="minorHAnsi" w:eastAsia="Calibri" w:hAnsiTheme="minorHAnsi" w:cstheme="minorHAnsi"/>
                <w:sz w:val="18"/>
                <w:szCs w:val="18"/>
              </w:rPr>
            </w:pPr>
            <w:r w:rsidRPr="007C4D65">
              <w:rPr>
                <w:rFonts w:asciiTheme="minorHAnsi" w:hAnsiTheme="minorHAnsi" w:cstheme="minorHAnsi"/>
                <w:sz w:val="18"/>
              </w:rPr>
              <w:t>Number of areas under constant monitoring</w:t>
            </w:r>
          </w:p>
        </w:tc>
        <w:tc>
          <w:tcPr>
            <w:tcW w:w="1159" w:type="pct"/>
            <w:shd w:val="clear" w:color="auto" w:fill="FFFFFF"/>
            <w:tcMar>
              <w:top w:w="0" w:type="dxa"/>
              <w:left w:w="108" w:type="dxa"/>
              <w:bottom w:w="0" w:type="dxa"/>
              <w:right w:w="108" w:type="dxa"/>
            </w:tcMar>
            <w:vAlign w:val="center"/>
          </w:tcPr>
          <w:p w14:paraId="2E026682"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Capacities for targeted monitoring have not been developed and/or are not functional</w:t>
            </w:r>
          </w:p>
        </w:tc>
        <w:tc>
          <w:tcPr>
            <w:tcW w:w="1159" w:type="pct"/>
            <w:shd w:val="clear" w:color="auto" w:fill="FFFFFF"/>
            <w:vAlign w:val="center"/>
          </w:tcPr>
          <w:p w14:paraId="2D235CA0"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Efficient system for monitoring the status of species, habitats and areas (2025)</w:t>
            </w:r>
          </w:p>
        </w:tc>
      </w:tr>
      <w:tr w:rsidR="00B02183" w:rsidRPr="007C4D65" w14:paraId="03A5757E" w14:textId="77777777" w:rsidTr="00B6017F">
        <w:trPr>
          <w:trHeight w:val="483"/>
        </w:trPr>
        <w:tc>
          <w:tcPr>
            <w:tcW w:w="659" w:type="pct"/>
            <w:vMerge/>
            <w:shd w:val="clear" w:color="auto" w:fill="D9D9D9"/>
            <w:vAlign w:val="center"/>
            <w:hideMark/>
          </w:tcPr>
          <w:p w14:paraId="19C84FA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4A3817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FABACD7" w14:textId="1BEDCCB9"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7812ADC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7FA1F79E"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6B2FC734" w14:textId="77777777" w:rsidTr="00B6017F">
        <w:trPr>
          <w:trHeight w:val="287"/>
        </w:trPr>
        <w:tc>
          <w:tcPr>
            <w:tcW w:w="659" w:type="pct"/>
            <w:vMerge/>
            <w:shd w:val="clear" w:color="auto" w:fill="D9D9D9"/>
            <w:vAlign w:val="center"/>
            <w:hideMark/>
          </w:tcPr>
          <w:p w14:paraId="7D99177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52564D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69AE386"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0.324</w:t>
            </w:r>
          </w:p>
        </w:tc>
        <w:tc>
          <w:tcPr>
            <w:tcW w:w="1159" w:type="pct"/>
            <w:tcMar>
              <w:top w:w="0" w:type="dxa"/>
              <w:left w:w="108" w:type="dxa"/>
              <w:bottom w:w="0" w:type="dxa"/>
              <w:right w:w="108" w:type="dxa"/>
            </w:tcMar>
            <w:vAlign w:val="center"/>
          </w:tcPr>
          <w:p w14:paraId="6F176DE8"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1.2</w:t>
            </w:r>
          </w:p>
        </w:tc>
        <w:tc>
          <w:tcPr>
            <w:tcW w:w="1159" w:type="pct"/>
            <w:tcMar>
              <w:top w:w="0" w:type="dxa"/>
              <w:left w:w="108" w:type="dxa"/>
              <w:bottom w:w="0" w:type="dxa"/>
              <w:right w:w="108" w:type="dxa"/>
            </w:tcMar>
            <w:vAlign w:val="center"/>
          </w:tcPr>
          <w:p w14:paraId="70E06280"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1.6</w:t>
            </w:r>
          </w:p>
        </w:tc>
      </w:tr>
      <w:tr w:rsidR="00B02183" w:rsidRPr="007C4D65" w14:paraId="5D7BF902" w14:textId="77777777" w:rsidTr="00B6017F">
        <w:trPr>
          <w:trHeight w:val="483"/>
        </w:trPr>
        <w:tc>
          <w:tcPr>
            <w:tcW w:w="659" w:type="pct"/>
            <w:vMerge w:val="restart"/>
            <w:shd w:val="clear" w:color="auto" w:fill="D9D9D9"/>
            <w:tcMar>
              <w:top w:w="0" w:type="dxa"/>
              <w:left w:w="108" w:type="dxa"/>
              <w:bottom w:w="0" w:type="dxa"/>
              <w:right w:w="108" w:type="dxa"/>
            </w:tcMar>
            <w:vAlign w:val="center"/>
            <w:hideMark/>
          </w:tcPr>
          <w:p w14:paraId="22F9F5BA"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lastRenderedPageBreak/>
              <w:t>3.4.2 Measure</w:t>
            </w:r>
          </w:p>
        </w:tc>
        <w:tc>
          <w:tcPr>
            <w:tcW w:w="864" w:type="pct"/>
            <w:vMerge w:val="restart"/>
            <w:tcMar>
              <w:top w:w="0" w:type="dxa"/>
              <w:left w:w="108" w:type="dxa"/>
              <w:bottom w:w="0" w:type="dxa"/>
              <w:right w:w="108" w:type="dxa"/>
            </w:tcMar>
            <w:vAlign w:val="center"/>
          </w:tcPr>
          <w:p w14:paraId="6A54A055" w14:textId="77777777" w:rsidR="00B02183" w:rsidRPr="007C4D65" w:rsidRDefault="00B02183" w:rsidP="00B02183">
            <w:pPr>
              <w:spacing w:after="120" w:line="276" w:lineRule="auto"/>
              <w:ind w:hanging="2"/>
              <w:contextualSpacing/>
              <w:rPr>
                <w:rFonts w:asciiTheme="minorHAnsi" w:hAnsiTheme="minorHAnsi" w:cstheme="minorHAnsi"/>
                <w:bCs/>
                <w:sz w:val="18"/>
                <w:szCs w:val="18"/>
              </w:rPr>
            </w:pPr>
            <w:r w:rsidRPr="007C4D65">
              <w:rPr>
                <w:rFonts w:asciiTheme="minorHAnsi" w:hAnsiTheme="minorHAnsi" w:cstheme="minorHAnsi"/>
                <w:sz w:val="18"/>
              </w:rPr>
              <w:t>Support non-governmental organisations registered for monitoring of biodiversity in the Federation of BiH</w:t>
            </w:r>
          </w:p>
        </w:tc>
        <w:tc>
          <w:tcPr>
            <w:tcW w:w="1159" w:type="pct"/>
            <w:shd w:val="clear" w:color="auto" w:fill="D9D9D9"/>
            <w:tcMar>
              <w:top w:w="0" w:type="dxa"/>
              <w:left w:w="108" w:type="dxa"/>
              <w:bottom w:w="0" w:type="dxa"/>
              <w:right w:w="108" w:type="dxa"/>
            </w:tcMar>
            <w:vAlign w:val="center"/>
            <w:hideMark/>
          </w:tcPr>
          <w:p w14:paraId="4B97CCD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19997C5E"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3044E117"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5D2CBCF8" w14:textId="77777777" w:rsidTr="00B6017F">
        <w:trPr>
          <w:trHeight w:val="287"/>
        </w:trPr>
        <w:tc>
          <w:tcPr>
            <w:tcW w:w="659" w:type="pct"/>
            <w:vMerge/>
            <w:shd w:val="clear" w:color="auto" w:fill="D9D9D9"/>
            <w:vAlign w:val="center"/>
          </w:tcPr>
          <w:p w14:paraId="780CB0C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9E656C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49ACDDB"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The amount and continuity of funds allocated to the NGO sector for monitoring purposes</w:t>
            </w:r>
          </w:p>
        </w:tc>
        <w:tc>
          <w:tcPr>
            <w:tcW w:w="1159" w:type="pct"/>
            <w:shd w:val="clear" w:color="auto" w:fill="FFFFFF"/>
            <w:tcMar>
              <w:top w:w="0" w:type="dxa"/>
              <w:left w:w="108" w:type="dxa"/>
              <w:bottom w:w="0" w:type="dxa"/>
              <w:right w:w="108" w:type="dxa"/>
            </w:tcMar>
            <w:vAlign w:val="center"/>
          </w:tcPr>
          <w:p w14:paraId="31D816B0"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are no steady allocations to the NGO sector aimed at facilitating the monitoring of species and areas</w:t>
            </w:r>
          </w:p>
        </w:tc>
        <w:tc>
          <w:tcPr>
            <w:tcW w:w="1159" w:type="pct"/>
            <w:shd w:val="clear" w:color="auto" w:fill="FFFFFF"/>
            <w:vAlign w:val="center"/>
          </w:tcPr>
          <w:p w14:paraId="49EB2665"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Steady allocations provided to the NGO sector aimed at facilitating the monitoring of species and areas</w:t>
            </w:r>
          </w:p>
        </w:tc>
      </w:tr>
      <w:tr w:rsidR="00B02183" w:rsidRPr="007C4D65" w14:paraId="3CBD7392" w14:textId="77777777" w:rsidTr="00B6017F">
        <w:trPr>
          <w:trHeight w:val="483"/>
        </w:trPr>
        <w:tc>
          <w:tcPr>
            <w:tcW w:w="659" w:type="pct"/>
            <w:vMerge/>
            <w:shd w:val="clear" w:color="auto" w:fill="D9D9D9"/>
            <w:vAlign w:val="center"/>
            <w:hideMark/>
          </w:tcPr>
          <w:p w14:paraId="185A4C7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B351B7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1F6ABB8F" w14:textId="2B8863BB"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5CAA19F0"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04B206D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201C7B31" w14:textId="77777777" w:rsidTr="00B6017F">
        <w:trPr>
          <w:trHeight w:val="287"/>
        </w:trPr>
        <w:tc>
          <w:tcPr>
            <w:tcW w:w="659" w:type="pct"/>
            <w:vMerge/>
            <w:shd w:val="clear" w:color="auto" w:fill="D9D9D9"/>
            <w:vAlign w:val="center"/>
            <w:hideMark/>
          </w:tcPr>
          <w:p w14:paraId="4B077F7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9B26A8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CAE6708"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0.049</w:t>
            </w:r>
          </w:p>
        </w:tc>
        <w:tc>
          <w:tcPr>
            <w:tcW w:w="1159" w:type="pct"/>
            <w:tcMar>
              <w:top w:w="0" w:type="dxa"/>
              <w:left w:w="108" w:type="dxa"/>
              <w:bottom w:w="0" w:type="dxa"/>
              <w:right w:w="108" w:type="dxa"/>
            </w:tcMar>
            <w:vAlign w:val="center"/>
          </w:tcPr>
          <w:p w14:paraId="59B38694"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0.196</w:t>
            </w:r>
          </w:p>
        </w:tc>
        <w:tc>
          <w:tcPr>
            <w:tcW w:w="1159" w:type="pct"/>
            <w:tcMar>
              <w:top w:w="0" w:type="dxa"/>
              <w:left w:w="108" w:type="dxa"/>
              <w:bottom w:w="0" w:type="dxa"/>
              <w:right w:w="108" w:type="dxa"/>
            </w:tcMar>
            <w:vAlign w:val="center"/>
          </w:tcPr>
          <w:p w14:paraId="573ED27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0.245</w:t>
            </w:r>
          </w:p>
        </w:tc>
      </w:tr>
      <w:tr w:rsidR="00B02183" w:rsidRPr="007C4D65" w14:paraId="50C5B19C" w14:textId="77777777" w:rsidTr="00B6017F">
        <w:trPr>
          <w:trHeight w:val="483"/>
        </w:trPr>
        <w:tc>
          <w:tcPr>
            <w:tcW w:w="659" w:type="pct"/>
            <w:vMerge w:val="restart"/>
            <w:shd w:val="clear" w:color="auto" w:fill="D9D9D9"/>
            <w:tcMar>
              <w:top w:w="0" w:type="dxa"/>
              <w:left w:w="108" w:type="dxa"/>
              <w:bottom w:w="0" w:type="dxa"/>
              <w:right w:w="108" w:type="dxa"/>
            </w:tcMar>
            <w:vAlign w:val="center"/>
            <w:hideMark/>
          </w:tcPr>
          <w:p w14:paraId="7FAED27A"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3.4.3 Measure</w:t>
            </w:r>
          </w:p>
        </w:tc>
        <w:tc>
          <w:tcPr>
            <w:tcW w:w="864" w:type="pct"/>
            <w:vMerge w:val="restart"/>
            <w:tcMar>
              <w:top w:w="0" w:type="dxa"/>
              <w:left w:w="108" w:type="dxa"/>
              <w:bottom w:w="0" w:type="dxa"/>
              <w:right w:w="108" w:type="dxa"/>
            </w:tcMar>
            <w:vAlign w:val="center"/>
          </w:tcPr>
          <w:p w14:paraId="70CD7DB1" w14:textId="040C8523" w:rsidR="00B02183" w:rsidRPr="007C4D65" w:rsidRDefault="00C224E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Fully develop technical and human capacities for the implementation of nature conservation measures in the protected and other areas of the ecological network, and increase administrative capacities in nature conservation institutions by 50%</w:t>
            </w:r>
          </w:p>
        </w:tc>
        <w:tc>
          <w:tcPr>
            <w:tcW w:w="1159" w:type="pct"/>
            <w:shd w:val="clear" w:color="auto" w:fill="D9D9D9"/>
            <w:tcMar>
              <w:top w:w="0" w:type="dxa"/>
              <w:left w:w="108" w:type="dxa"/>
              <w:bottom w:w="0" w:type="dxa"/>
              <w:right w:w="108" w:type="dxa"/>
            </w:tcMar>
            <w:vAlign w:val="center"/>
            <w:hideMark/>
          </w:tcPr>
          <w:p w14:paraId="165BD46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5BEF686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0A85F99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370FA05D" w14:textId="77777777" w:rsidTr="00B6017F">
        <w:trPr>
          <w:trHeight w:val="287"/>
        </w:trPr>
        <w:tc>
          <w:tcPr>
            <w:tcW w:w="659" w:type="pct"/>
            <w:vMerge/>
            <w:shd w:val="clear" w:color="auto" w:fill="D9D9D9"/>
            <w:vAlign w:val="center"/>
          </w:tcPr>
          <w:p w14:paraId="4B3B82A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50FA6A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479C6D7"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Level of development of professional capacities for the nature conservation</w:t>
            </w:r>
          </w:p>
        </w:tc>
        <w:tc>
          <w:tcPr>
            <w:tcW w:w="1159" w:type="pct"/>
            <w:shd w:val="clear" w:color="auto" w:fill="FFFFFF"/>
            <w:tcMar>
              <w:top w:w="0" w:type="dxa"/>
              <w:left w:w="108" w:type="dxa"/>
              <w:bottom w:w="0" w:type="dxa"/>
              <w:right w:w="108" w:type="dxa"/>
            </w:tcMar>
            <w:vAlign w:val="center"/>
          </w:tcPr>
          <w:p w14:paraId="4ECDDBFA"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Low </w:t>
            </w:r>
          </w:p>
        </w:tc>
        <w:tc>
          <w:tcPr>
            <w:tcW w:w="1159" w:type="pct"/>
            <w:shd w:val="clear" w:color="auto" w:fill="FFFFFF"/>
            <w:vAlign w:val="center"/>
          </w:tcPr>
          <w:p w14:paraId="4A7CF6A9"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High</w:t>
            </w:r>
          </w:p>
        </w:tc>
      </w:tr>
      <w:tr w:rsidR="00B02183" w:rsidRPr="007C4D65" w14:paraId="6BCC5CDD" w14:textId="77777777" w:rsidTr="00B6017F">
        <w:trPr>
          <w:trHeight w:val="287"/>
        </w:trPr>
        <w:tc>
          <w:tcPr>
            <w:tcW w:w="659" w:type="pct"/>
            <w:vMerge/>
            <w:shd w:val="clear" w:color="auto" w:fill="D9D9D9"/>
            <w:vAlign w:val="center"/>
          </w:tcPr>
          <w:p w14:paraId="6D87E9F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228D02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2C62D07"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Level of administrative capacity building for the nature conservation</w:t>
            </w:r>
          </w:p>
        </w:tc>
        <w:tc>
          <w:tcPr>
            <w:tcW w:w="1159" w:type="pct"/>
            <w:shd w:val="clear" w:color="auto" w:fill="FFFFFF"/>
            <w:tcMar>
              <w:top w:w="0" w:type="dxa"/>
              <w:left w:w="108" w:type="dxa"/>
              <w:bottom w:w="0" w:type="dxa"/>
              <w:right w:w="108" w:type="dxa"/>
            </w:tcMar>
            <w:vAlign w:val="center"/>
          </w:tcPr>
          <w:p w14:paraId="47BA3C9C"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Low </w:t>
            </w:r>
          </w:p>
        </w:tc>
        <w:tc>
          <w:tcPr>
            <w:tcW w:w="1159" w:type="pct"/>
            <w:shd w:val="clear" w:color="auto" w:fill="FFFFFF"/>
            <w:vAlign w:val="center"/>
          </w:tcPr>
          <w:p w14:paraId="4EB4090F" w14:textId="77777777" w:rsidR="00B02183" w:rsidRPr="007C4D65" w:rsidRDefault="00B02183" w:rsidP="00B02183">
            <w:pPr>
              <w:spacing w:line="276" w:lineRule="auto"/>
              <w:ind w:firstLine="170"/>
              <w:rPr>
                <w:rFonts w:asciiTheme="minorHAnsi" w:hAnsiTheme="minorHAnsi" w:cstheme="minorHAnsi"/>
                <w:sz w:val="18"/>
                <w:szCs w:val="18"/>
              </w:rPr>
            </w:pPr>
            <w:r w:rsidRPr="007C4D65">
              <w:rPr>
                <w:rFonts w:asciiTheme="minorHAnsi" w:hAnsiTheme="minorHAnsi" w:cstheme="minorHAnsi"/>
                <w:sz w:val="18"/>
              </w:rPr>
              <w:t xml:space="preserve">High </w:t>
            </w:r>
          </w:p>
        </w:tc>
      </w:tr>
      <w:tr w:rsidR="00B02183" w:rsidRPr="007C4D65" w14:paraId="7479C5AF" w14:textId="77777777" w:rsidTr="00B6017F">
        <w:trPr>
          <w:trHeight w:val="483"/>
        </w:trPr>
        <w:tc>
          <w:tcPr>
            <w:tcW w:w="659" w:type="pct"/>
            <w:vMerge/>
            <w:shd w:val="clear" w:color="auto" w:fill="D9D9D9"/>
            <w:vAlign w:val="center"/>
            <w:hideMark/>
          </w:tcPr>
          <w:p w14:paraId="1A13710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6E35B2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0B2BCF11" w14:textId="411A375A"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2AB37D2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42D4B03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1CCBC35A" w14:textId="77777777" w:rsidTr="00B6017F">
        <w:trPr>
          <w:trHeight w:val="287"/>
        </w:trPr>
        <w:tc>
          <w:tcPr>
            <w:tcW w:w="659" w:type="pct"/>
            <w:vMerge/>
            <w:shd w:val="clear" w:color="auto" w:fill="D9D9D9"/>
            <w:vAlign w:val="center"/>
            <w:hideMark/>
          </w:tcPr>
          <w:p w14:paraId="7EA1CD3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04BE1B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A1E5497"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0.308</w:t>
            </w:r>
          </w:p>
        </w:tc>
        <w:tc>
          <w:tcPr>
            <w:tcW w:w="1159" w:type="pct"/>
            <w:tcMar>
              <w:top w:w="0" w:type="dxa"/>
              <w:left w:w="108" w:type="dxa"/>
              <w:bottom w:w="0" w:type="dxa"/>
              <w:right w:w="108" w:type="dxa"/>
            </w:tcMar>
            <w:vAlign w:val="center"/>
          </w:tcPr>
          <w:p w14:paraId="189FE00D"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0.720</w:t>
            </w:r>
          </w:p>
        </w:tc>
        <w:tc>
          <w:tcPr>
            <w:tcW w:w="1159" w:type="pct"/>
            <w:tcMar>
              <w:top w:w="0" w:type="dxa"/>
              <w:left w:w="108" w:type="dxa"/>
              <w:bottom w:w="0" w:type="dxa"/>
              <w:right w:w="108" w:type="dxa"/>
            </w:tcMar>
            <w:vAlign w:val="center"/>
          </w:tcPr>
          <w:p w14:paraId="4863193B"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1.02</w:t>
            </w:r>
          </w:p>
        </w:tc>
      </w:tr>
      <w:tr w:rsidR="00B02183" w:rsidRPr="007C4D65" w14:paraId="1706FF0F" w14:textId="77777777" w:rsidTr="00B6017F">
        <w:trPr>
          <w:trHeight w:val="483"/>
        </w:trPr>
        <w:tc>
          <w:tcPr>
            <w:tcW w:w="659" w:type="pct"/>
            <w:vMerge w:val="restart"/>
            <w:shd w:val="clear" w:color="auto" w:fill="D9D9D9"/>
            <w:tcMar>
              <w:top w:w="0" w:type="dxa"/>
              <w:left w:w="108" w:type="dxa"/>
              <w:bottom w:w="0" w:type="dxa"/>
              <w:right w:w="108" w:type="dxa"/>
            </w:tcMar>
            <w:vAlign w:val="center"/>
            <w:hideMark/>
          </w:tcPr>
          <w:p w14:paraId="50122225"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3.4.4 Measure</w:t>
            </w:r>
          </w:p>
        </w:tc>
        <w:tc>
          <w:tcPr>
            <w:tcW w:w="864" w:type="pct"/>
            <w:vMerge w:val="restart"/>
            <w:tcMar>
              <w:top w:w="0" w:type="dxa"/>
              <w:left w:w="108" w:type="dxa"/>
              <w:bottom w:w="0" w:type="dxa"/>
              <w:right w:w="108" w:type="dxa"/>
            </w:tcMar>
            <w:vAlign w:val="center"/>
          </w:tcPr>
          <w:p w14:paraId="62B4C61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Improve the inspection control of the implementation of the Law on Nature Conservation of the Federation of BiH and other laws prescribing biodiversity protection measures</w:t>
            </w:r>
          </w:p>
        </w:tc>
        <w:tc>
          <w:tcPr>
            <w:tcW w:w="1159" w:type="pct"/>
            <w:shd w:val="clear" w:color="auto" w:fill="D9D9D9"/>
            <w:tcMar>
              <w:top w:w="0" w:type="dxa"/>
              <w:left w:w="108" w:type="dxa"/>
              <w:bottom w:w="0" w:type="dxa"/>
              <w:right w:w="108" w:type="dxa"/>
            </w:tcMar>
            <w:vAlign w:val="center"/>
            <w:hideMark/>
          </w:tcPr>
          <w:p w14:paraId="4C20930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18B6887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2D9DBA7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41C957E8" w14:textId="77777777" w:rsidTr="00B6017F">
        <w:trPr>
          <w:trHeight w:val="287"/>
        </w:trPr>
        <w:tc>
          <w:tcPr>
            <w:tcW w:w="659" w:type="pct"/>
            <w:vMerge/>
            <w:shd w:val="clear" w:color="auto" w:fill="D9D9D9"/>
            <w:vAlign w:val="center"/>
          </w:tcPr>
          <w:p w14:paraId="0273B32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BAC8455"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A9EA265" w14:textId="1B24E4E4" w:rsidR="00B02183" w:rsidRPr="007C4D65" w:rsidRDefault="00B02183" w:rsidP="003D33F4">
            <w:pPr>
              <w:numPr>
                <w:ilvl w:val="0"/>
                <w:numId w:val="33"/>
              </w:numPr>
              <w:spacing w:before="40" w:after="40" w:line="276" w:lineRule="auto"/>
              <w:ind w:left="252" w:hanging="141"/>
              <w:contextualSpacing/>
              <w:rPr>
                <w:rFonts w:asciiTheme="minorHAnsi" w:eastAsia="Calibri" w:hAnsiTheme="minorHAnsi" w:cstheme="minorHAnsi"/>
                <w:sz w:val="18"/>
                <w:szCs w:val="18"/>
              </w:rPr>
            </w:pPr>
            <w:r w:rsidRPr="007C4D65">
              <w:rPr>
                <w:rFonts w:asciiTheme="minorHAnsi" w:hAnsiTheme="minorHAnsi" w:cstheme="minorHAnsi"/>
                <w:sz w:val="18"/>
              </w:rPr>
              <w:t>Level of development of the monitoring capacity for the nature conservation</w:t>
            </w:r>
          </w:p>
          <w:p w14:paraId="22C8B75D" w14:textId="77777777" w:rsidR="00B02183" w:rsidRPr="007C4D65" w:rsidRDefault="00B02183" w:rsidP="00B02183">
            <w:pPr>
              <w:numPr>
                <w:ilvl w:val="0"/>
                <w:numId w:val="33"/>
              </w:numPr>
              <w:spacing w:before="40" w:after="40" w:line="276" w:lineRule="auto"/>
              <w:ind w:left="252" w:hanging="141"/>
              <w:contextualSpacing/>
              <w:rPr>
                <w:rFonts w:asciiTheme="minorHAnsi" w:hAnsiTheme="minorHAnsi" w:cstheme="minorHAnsi"/>
                <w:sz w:val="18"/>
                <w:szCs w:val="18"/>
              </w:rPr>
            </w:pPr>
            <w:r w:rsidRPr="007C4D65">
              <w:rPr>
                <w:rFonts w:asciiTheme="minorHAnsi" w:hAnsiTheme="minorHAnsi" w:cstheme="minorHAnsi"/>
                <w:sz w:val="18"/>
              </w:rPr>
              <w:t>Number of inspection controls</w:t>
            </w:r>
          </w:p>
        </w:tc>
        <w:tc>
          <w:tcPr>
            <w:tcW w:w="1159" w:type="pct"/>
            <w:shd w:val="clear" w:color="auto" w:fill="FFFFFF"/>
            <w:tcMar>
              <w:top w:w="0" w:type="dxa"/>
              <w:left w:w="108" w:type="dxa"/>
              <w:bottom w:w="0" w:type="dxa"/>
              <w:right w:w="108" w:type="dxa"/>
            </w:tcMar>
            <w:vAlign w:val="center"/>
          </w:tcPr>
          <w:p w14:paraId="092F26E2"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Low </w:t>
            </w:r>
          </w:p>
        </w:tc>
        <w:tc>
          <w:tcPr>
            <w:tcW w:w="1159" w:type="pct"/>
            <w:shd w:val="clear" w:color="auto" w:fill="FFFFFF"/>
            <w:vAlign w:val="center"/>
          </w:tcPr>
          <w:p w14:paraId="70F35323"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High</w:t>
            </w:r>
          </w:p>
        </w:tc>
      </w:tr>
      <w:tr w:rsidR="00B02183" w:rsidRPr="007C4D65" w14:paraId="0A3B8F51" w14:textId="77777777" w:rsidTr="00B6017F">
        <w:trPr>
          <w:trHeight w:val="483"/>
        </w:trPr>
        <w:tc>
          <w:tcPr>
            <w:tcW w:w="659" w:type="pct"/>
            <w:vMerge/>
            <w:shd w:val="clear" w:color="auto" w:fill="D9D9D9"/>
            <w:vAlign w:val="center"/>
            <w:hideMark/>
          </w:tcPr>
          <w:p w14:paraId="643E323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119B7D5"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12AE3B47" w14:textId="5B735FCA"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4124BE8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39AF040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691238A4" w14:textId="77777777" w:rsidTr="00B6017F">
        <w:trPr>
          <w:trHeight w:val="287"/>
        </w:trPr>
        <w:tc>
          <w:tcPr>
            <w:tcW w:w="659" w:type="pct"/>
            <w:vMerge/>
            <w:shd w:val="clear" w:color="auto" w:fill="D9D9D9"/>
            <w:vAlign w:val="center"/>
            <w:hideMark/>
          </w:tcPr>
          <w:p w14:paraId="29F5BE1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389490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4C34385"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0.297</w:t>
            </w:r>
          </w:p>
        </w:tc>
        <w:tc>
          <w:tcPr>
            <w:tcW w:w="1159" w:type="pct"/>
            <w:tcMar>
              <w:top w:w="0" w:type="dxa"/>
              <w:left w:w="108" w:type="dxa"/>
              <w:bottom w:w="0" w:type="dxa"/>
              <w:right w:w="108" w:type="dxa"/>
            </w:tcMar>
            <w:vAlign w:val="center"/>
          </w:tcPr>
          <w:p w14:paraId="6202251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1.1</w:t>
            </w:r>
          </w:p>
        </w:tc>
        <w:tc>
          <w:tcPr>
            <w:tcW w:w="1159" w:type="pct"/>
            <w:tcMar>
              <w:top w:w="0" w:type="dxa"/>
              <w:left w:w="108" w:type="dxa"/>
              <w:bottom w:w="0" w:type="dxa"/>
              <w:right w:w="108" w:type="dxa"/>
            </w:tcMar>
            <w:vAlign w:val="center"/>
          </w:tcPr>
          <w:p w14:paraId="075528FD"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1.4</w:t>
            </w:r>
          </w:p>
        </w:tc>
      </w:tr>
    </w:tbl>
    <w:p w14:paraId="7B13D76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39"/>
        <w:gridCol w:w="2410"/>
        <w:gridCol w:w="3233"/>
        <w:gridCol w:w="3233"/>
        <w:gridCol w:w="3233"/>
      </w:tblGrid>
      <w:tr w:rsidR="00B02183" w:rsidRPr="007C4D65" w14:paraId="57EC7FD6" w14:textId="77777777" w:rsidTr="00B6017F">
        <w:trPr>
          <w:trHeight w:val="384"/>
        </w:trPr>
        <w:tc>
          <w:tcPr>
            <w:tcW w:w="659" w:type="pct"/>
            <w:vMerge w:val="restart"/>
            <w:shd w:val="clear" w:color="auto" w:fill="D9D9D9"/>
            <w:tcMar>
              <w:top w:w="0" w:type="dxa"/>
              <w:left w:w="108" w:type="dxa"/>
              <w:bottom w:w="0" w:type="dxa"/>
              <w:right w:w="108" w:type="dxa"/>
            </w:tcMar>
            <w:vAlign w:val="center"/>
          </w:tcPr>
          <w:p w14:paraId="433B4C81"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3.5 Priority</w:t>
            </w:r>
          </w:p>
          <w:p w14:paraId="54F2D2C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restart"/>
            <w:tcMar>
              <w:top w:w="0" w:type="dxa"/>
              <w:left w:w="108" w:type="dxa"/>
              <w:bottom w:w="0" w:type="dxa"/>
              <w:right w:w="108" w:type="dxa"/>
            </w:tcMar>
            <w:vAlign w:val="center"/>
          </w:tcPr>
          <w:p w14:paraId="028D9F19" w14:textId="6183C60D" w:rsidR="00B02183" w:rsidRPr="007C4D65" w:rsidRDefault="00B02183"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Complete an inventory of the biodiversity</w:t>
            </w:r>
            <w:r w:rsidR="008C23C0" w:rsidRPr="007C4D65">
              <w:rPr>
                <w:rFonts w:asciiTheme="minorHAnsi" w:hAnsiTheme="minorHAnsi" w:cstheme="minorHAnsi"/>
                <w:b/>
                <w:sz w:val="18"/>
              </w:rPr>
              <w:t xml:space="preserve"> in the Federation of BiH</w:t>
            </w:r>
            <w:r w:rsidRPr="007C4D65">
              <w:rPr>
                <w:rFonts w:asciiTheme="minorHAnsi" w:hAnsiTheme="minorHAnsi" w:cstheme="minorHAnsi"/>
                <w:b/>
                <w:sz w:val="18"/>
              </w:rPr>
              <w:t xml:space="preserve"> at the ecosystem, species and genetic levels</w:t>
            </w:r>
          </w:p>
        </w:tc>
        <w:tc>
          <w:tcPr>
            <w:tcW w:w="1159" w:type="pct"/>
            <w:shd w:val="clear" w:color="auto" w:fill="D9D9D9"/>
            <w:tcMar>
              <w:top w:w="0" w:type="dxa"/>
              <w:left w:w="108" w:type="dxa"/>
              <w:bottom w:w="0" w:type="dxa"/>
              <w:right w:w="108" w:type="dxa"/>
            </w:tcMar>
            <w:vAlign w:val="center"/>
          </w:tcPr>
          <w:p w14:paraId="0E1D4466"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13D5A70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06752A8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795FE905" w14:textId="77777777" w:rsidTr="00B6017F">
        <w:trPr>
          <w:trHeight w:val="287"/>
        </w:trPr>
        <w:tc>
          <w:tcPr>
            <w:tcW w:w="659" w:type="pct"/>
            <w:vMerge/>
            <w:shd w:val="clear" w:color="auto" w:fill="D9D9D9"/>
            <w:vAlign w:val="center"/>
            <w:hideMark/>
          </w:tcPr>
          <w:p w14:paraId="26F120F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0B897C1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46B5813" w14:textId="199D3DA8"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Inventory of biodiversity of the Federation of BiH </w:t>
            </w:r>
            <w:r w:rsidR="00830279" w:rsidRPr="007C4D65">
              <w:rPr>
                <w:rFonts w:asciiTheme="minorHAnsi" w:hAnsiTheme="minorHAnsi" w:cstheme="minorHAnsi"/>
                <w:sz w:val="18"/>
              </w:rPr>
              <w:t>covers</w:t>
            </w:r>
            <w:r w:rsidRPr="007C4D65">
              <w:rPr>
                <w:rFonts w:asciiTheme="minorHAnsi" w:hAnsiTheme="minorHAnsi" w:cstheme="minorHAnsi"/>
                <w:sz w:val="18"/>
              </w:rPr>
              <w:t xml:space="preserve"> the ecosystem, species and genetic level</w:t>
            </w:r>
          </w:p>
        </w:tc>
        <w:tc>
          <w:tcPr>
            <w:tcW w:w="1159" w:type="pct"/>
            <w:tcMar>
              <w:top w:w="0" w:type="dxa"/>
              <w:left w:w="108" w:type="dxa"/>
              <w:bottom w:w="0" w:type="dxa"/>
              <w:right w:w="108" w:type="dxa"/>
            </w:tcMar>
          </w:tcPr>
          <w:p w14:paraId="151EAE31"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inventory of flora, fauna, fungi, migratory birds, and invasive species, ecosystems/habitats and genetical diversity of the Federation has not been completed (2022)</w:t>
            </w:r>
          </w:p>
        </w:tc>
        <w:tc>
          <w:tcPr>
            <w:tcW w:w="1159" w:type="pct"/>
            <w:tcMar>
              <w:top w:w="0" w:type="dxa"/>
              <w:left w:w="108" w:type="dxa"/>
              <w:bottom w:w="0" w:type="dxa"/>
              <w:right w:w="108" w:type="dxa"/>
            </w:tcMar>
          </w:tcPr>
          <w:p w14:paraId="550D46BF"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Studies of </w:t>
            </w:r>
            <w:proofErr w:type="gramStart"/>
            <w:r w:rsidRPr="007C4D65">
              <w:rPr>
                <w:rFonts w:asciiTheme="minorHAnsi" w:hAnsiTheme="minorHAnsi" w:cstheme="minorHAnsi"/>
                <w:sz w:val="18"/>
              </w:rPr>
              <w:t>the  inventory</w:t>
            </w:r>
            <w:proofErr w:type="gramEnd"/>
            <w:r w:rsidRPr="007C4D65">
              <w:rPr>
                <w:rFonts w:asciiTheme="minorHAnsi" w:hAnsiTheme="minorHAnsi" w:cstheme="minorHAnsi"/>
                <w:sz w:val="18"/>
              </w:rPr>
              <w:t xml:space="preserve"> of flora, fauna, fungi, migratory birds, and invasive species, ecosystems/habitats and genetical diversity of the Federation completed (2029)</w:t>
            </w:r>
          </w:p>
        </w:tc>
      </w:tr>
      <w:tr w:rsidR="00B02183" w:rsidRPr="007C4D65" w14:paraId="53F82972" w14:textId="77777777" w:rsidTr="00B6017F">
        <w:trPr>
          <w:trHeight w:val="287"/>
        </w:trPr>
        <w:tc>
          <w:tcPr>
            <w:tcW w:w="659" w:type="pct"/>
            <w:vMerge/>
            <w:shd w:val="clear" w:color="auto" w:fill="D9D9D9"/>
            <w:vAlign w:val="center"/>
            <w:hideMark/>
          </w:tcPr>
          <w:p w14:paraId="6F7B6AA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6CB6D8F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3DAD546B" w14:textId="3C517389"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3D8C4FA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4AD7CD9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0CCEC35C" w14:textId="77777777" w:rsidTr="00B6017F">
        <w:trPr>
          <w:trHeight w:val="287"/>
        </w:trPr>
        <w:tc>
          <w:tcPr>
            <w:tcW w:w="659" w:type="pct"/>
            <w:vMerge/>
            <w:shd w:val="clear" w:color="auto" w:fill="D9D9D9"/>
            <w:vAlign w:val="center"/>
          </w:tcPr>
          <w:p w14:paraId="725AEEB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58445A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E70346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4.9</w:t>
            </w:r>
          </w:p>
        </w:tc>
        <w:tc>
          <w:tcPr>
            <w:tcW w:w="1159" w:type="pct"/>
            <w:tcMar>
              <w:top w:w="0" w:type="dxa"/>
              <w:left w:w="108" w:type="dxa"/>
              <w:bottom w:w="0" w:type="dxa"/>
              <w:right w:w="108" w:type="dxa"/>
            </w:tcMar>
            <w:vAlign w:val="center"/>
          </w:tcPr>
          <w:p w14:paraId="1196A052"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19.3</w:t>
            </w:r>
          </w:p>
        </w:tc>
        <w:tc>
          <w:tcPr>
            <w:tcW w:w="1159" w:type="pct"/>
            <w:tcMar>
              <w:top w:w="0" w:type="dxa"/>
              <w:left w:w="108" w:type="dxa"/>
              <w:bottom w:w="0" w:type="dxa"/>
              <w:right w:w="108" w:type="dxa"/>
            </w:tcMar>
            <w:vAlign w:val="center"/>
          </w:tcPr>
          <w:p w14:paraId="5A9121E9"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24.3</w:t>
            </w:r>
          </w:p>
        </w:tc>
      </w:tr>
    </w:tbl>
    <w:p w14:paraId="7329607C"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39"/>
        <w:gridCol w:w="2410"/>
        <w:gridCol w:w="3233"/>
        <w:gridCol w:w="3233"/>
        <w:gridCol w:w="3233"/>
      </w:tblGrid>
      <w:tr w:rsidR="00B02183" w:rsidRPr="007C4D65" w14:paraId="3067C257" w14:textId="77777777" w:rsidTr="00B6017F">
        <w:trPr>
          <w:trHeight w:val="483"/>
        </w:trPr>
        <w:tc>
          <w:tcPr>
            <w:tcW w:w="659" w:type="pct"/>
            <w:vMerge w:val="restart"/>
            <w:shd w:val="clear" w:color="auto" w:fill="D9D9D9"/>
            <w:tcMar>
              <w:top w:w="0" w:type="dxa"/>
              <w:left w:w="108" w:type="dxa"/>
              <w:bottom w:w="0" w:type="dxa"/>
              <w:right w:w="108" w:type="dxa"/>
            </w:tcMar>
            <w:vAlign w:val="center"/>
            <w:hideMark/>
          </w:tcPr>
          <w:p w14:paraId="15675A81"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3.5.1 Measure</w:t>
            </w:r>
          </w:p>
        </w:tc>
        <w:tc>
          <w:tcPr>
            <w:tcW w:w="864" w:type="pct"/>
            <w:vMerge w:val="restart"/>
            <w:tcMar>
              <w:top w:w="0" w:type="dxa"/>
              <w:left w:w="108" w:type="dxa"/>
              <w:bottom w:w="0" w:type="dxa"/>
              <w:right w:w="108" w:type="dxa"/>
            </w:tcMar>
            <w:vAlign w:val="center"/>
          </w:tcPr>
          <w:p w14:paraId="3907B83E" w14:textId="59E44227" w:rsidR="00B02183" w:rsidRPr="007C4D65" w:rsidRDefault="00C224E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Complete an inventory of flora, fauna, fungi and genetic diversity of the Federation of BiH</w:t>
            </w:r>
          </w:p>
        </w:tc>
        <w:tc>
          <w:tcPr>
            <w:tcW w:w="1159" w:type="pct"/>
            <w:shd w:val="clear" w:color="auto" w:fill="D9D9D9"/>
            <w:tcMar>
              <w:top w:w="0" w:type="dxa"/>
              <w:left w:w="108" w:type="dxa"/>
              <w:bottom w:w="0" w:type="dxa"/>
              <w:right w:w="108" w:type="dxa"/>
            </w:tcMar>
            <w:vAlign w:val="center"/>
            <w:hideMark/>
          </w:tcPr>
          <w:p w14:paraId="7833F0E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7BAD813E"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4A4411B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67DDFE6C" w14:textId="77777777" w:rsidTr="00B6017F">
        <w:trPr>
          <w:trHeight w:val="287"/>
        </w:trPr>
        <w:tc>
          <w:tcPr>
            <w:tcW w:w="659" w:type="pct"/>
            <w:vMerge/>
            <w:shd w:val="clear" w:color="auto" w:fill="D9D9D9"/>
            <w:vAlign w:val="center"/>
          </w:tcPr>
          <w:p w14:paraId="179753E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37BA08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8C98D44" w14:textId="4AFE4382"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Degree of completeness of the </w:t>
            </w:r>
            <w:r w:rsidR="008C23C0" w:rsidRPr="007C4D65">
              <w:rPr>
                <w:rFonts w:asciiTheme="minorHAnsi" w:hAnsiTheme="minorHAnsi" w:cstheme="minorHAnsi"/>
                <w:sz w:val="18"/>
              </w:rPr>
              <w:t>Federation</w:t>
            </w:r>
            <w:r w:rsidRPr="007C4D65">
              <w:rPr>
                <w:rFonts w:asciiTheme="minorHAnsi" w:hAnsiTheme="minorHAnsi" w:cstheme="minorHAnsi"/>
                <w:sz w:val="18"/>
              </w:rPr>
              <w:t xml:space="preserve"> inventory of plants, animals, fungi and migratory birds</w:t>
            </w:r>
          </w:p>
        </w:tc>
        <w:tc>
          <w:tcPr>
            <w:tcW w:w="1159" w:type="pct"/>
            <w:shd w:val="clear" w:color="auto" w:fill="FFFFFF"/>
            <w:tcMar>
              <w:top w:w="0" w:type="dxa"/>
              <w:left w:w="108" w:type="dxa"/>
              <w:bottom w:w="0" w:type="dxa"/>
              <w:right w:w="108" w:type="dxa"/>
            </w:tcMar>
            <w:vAlign w:val="center"/>
          </w:tcPr>
          <w:p w14:paraId="473D5513"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 inventory of plants, animals, fungi, migratory birds in the Federation of BiH has been made</w:t>
            </w:r>
          </w:p>
        </w:tc>
        <w:tc>
          <w:tcPr>
            <w:tcW w:w="1159" w:type="pct"/>
            <w:shd w:val="clear" w:color="auto" w:fill="FFFFFF"/>
            <w:vAlign w:val="center"/>
          </w:tcPr>
          <w:p w14:paraId="16F59EE9"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Inventory of plants, animals, fungi and migratory birds in the Federation of BiH completed</w:t>
            </w:r>
          </w:p>
        </w:tc>
      </w:tr>
      <w:tr w:rsidR="00B02183" w:rsidRPr="007C4D65" w14:paraId="01CC938A" w14:textId="77777777" w:rsidTr="00B6017F">
        <w:trPr>
          <w:trHeight w:val="483"/>
        </w:trPr>
        <w:tc>
          <w:tcPr>
            <w:tcW w:w="659" w:type="pct"/>
            <w:vMerge/>
            <w:shd w:val="clear" w:color="auto" w:fill="D9D9D9"/>
            <w:vAlign w:val="center"/>
            <w:hideMark/>
          </w:tcPr>
          <w:p w14:paraId="4A7674C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3D6A3C8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2FA0B8CC" w14:textId="335CD32D"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43DE34F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3EA2ACD1"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1E942EEF" w14:textId="77777777" w:rsidTr="00B6017F">
        <w:trPr>
          <w:trHeight w:val="287"/>
        </w:trPr>
        <w:tc>
          <w:tcPr>
            <w:tcW w:w="659" w:type="pct"/>
            <w:vMerge/>
            <w:shd w:val="clear" w:color="auto" w:fill="D9D9D9"/>
            <w:vAlign w:val="center"/>
            <w:hideMark/>
          </w:tcPr>
          <w:p w14:paraId="2044BEC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8584B4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E4D22AF"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4.8</w:t>
            </w:r>
          </w:p>
        </w:tc>
        <w:tc>
          <w:tcPr>
            <w:tcW w:w="1159" w:type="pct"/>
            <w:tcMar>
              <w:top w:w="0" w:type="dxa"/>
              <w:left w:w="108" w:type="dxa"/>
              <w:bottom w:w="0" w:type="dxa"/>
              <w:right w:w="108" w:type="dxa"/>
            </w:tcMar>
            <w:vAlign w:val="center"/>
          </w:tcPr>
          <w:p w14:paraId="30387462"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19.2</w:t>
            </w:r>
          </w:p>
        </w:tc>
        <w:tc>
          <w:tcPr>
            <w:tcW w:w="1159" w:type="pct"/>
            <w:tcMar>
              <w:top w:w="0" w:type="dxa"/>
              <w:left w:w="108" w:type="dxa"/>
              <w:bottom w:w="0" w:type="dxa"/>
              <w:right w:w="108" w:type="dxa"/>
            </w:tcMar>
            <w:vAlign w:val="center"/>
          </w:tcPr>
          <w:p w14:paraId="00D5A128"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24.08</w:t>
            </w:r>
          </w:p>
        </w:tc>
      </w:tr>
      <w:tr w:rsidR="00B02183" w:rsidRPr="007C4D65" w14:paraId="2BCA4E1C" w14:textId="77777777" w:rsidTr="00B6017F">
        <w:trPr>
          <w:trHeight w:val="483"/>
        </w:trPr>
        <w:tc>
          <w:tcPr>
            <w:tcW w:w="659" w:type="pct"/>
            <w:vMerge w:val="restart"/>
            <w:shd w:val="clear" w:color="auto" w:fill="D9D9D9"/>
            <w:tcMar>
              <w:top w:w="0" w:type="dxa"/>
              <w:left w:w="108" w:type="dxa"/>
              <w:bottom w:w="0" w:type="dxa"/>
              <w:right w:w="108" w:type="dxa"/>
            </w:tcMar>
            <w:vAlign w:val="center"/>
            <w:hideMark/>
          </w:tcPr>
          <w:p w14:paraId="35D95188"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3.5.2 Measure</w:t>
            </w:r>
          </w:p>
        </w:tc>
        <w:tc>
          <w:tcPr>
            <w:tcW w:w="864" w:type="pct"/>
            <w:vMerge w:val="restart"/>
            <w:tcMar>
              <w:top w:w="0" w:type="dxa"/>
              <w:left w:w="108" w:type="dxa"/>
              <w:bottom w:w="0" w:type="dxa"/>
              <w:right w:w="108" w:type="dxa"/>
            </w:tcMar>
            <w:vAlign w:val="center"/>
          </w:tcPr>
          <w:p w14:paraId="6D19910D" w14:textId="77777777" w:rsidR="00B02183" w:rsidRPr="007C4D65" w:rsidRDefault="00B02183" w:rsidP="00B02183">
            <w:pPr>
              <w:spacing w:after="120" w:line="276" w:lineRule="auto"/>
              <w:ind w:hanging="2"/>
              <w:contextualSpacing/>
              <w:rPr>
                <w:rFonts w:asciiTheme="minorHAnsi" w:hAnsiTheme="minorHAnsi" w:cstheme="minorHAnsi"/>
                <w:bCs/>
                <w:sz w:val="18"/>
                <w:szCs w:val="18"/>
              </w:rPr>
            </w:pPr>
            <w:r w:rsidRPr="007C4D65">
              <w:rPr>
                <w:rFonts w:asciiTheme="minorHAnsi" w:hAnsiTheme="minorHAnsi" w:cstheme="minorHAnsi"/>
                <w:sz w:val="18"/>
              </w:rPr>
              <w:t>Revise and organize the list of invasive species</w:t>
            </w:r>
          </w:p>
        </w:tc>
        <w:tc>
          <w:tcPr>
            <w:tcW w:w="1159" w:type="pct"/>
            <w:shd w:val="clear" w:color="auto" w:fill="D9D9D9"/>
            <w:tcMar>
              <w:top w:w="0" w:type="dxa"/>
              <w:left w:w="108" w:type="dxa"/>
              <w:bottom w:w="0" w:type="dxa"/>
              <w:right w:w="108" w:type="dxa"/>
            </w:tcMar>
            <w:vAlign w:val="center"/>
          </w:tcPr>
          <w:p w14:paraId="08DEA28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600EB464"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2F2B50D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5F7CE3A2" w14:textId="77777777" w:rsidTr="00B6017F">
        <w:trPr>
          <w:trHeight w:val="287"/>
        </w:trPr>
        <w:tc>
          <w:tcPr>
            <w:tcW w:w="659" w:type="pct"/>
            <w:vMerge/>
            <w:shd w:val="clear" w:color="auto" w:fill="D9D9D9"/>
            <w:vAlign w:val="center"/>
          </w:tcPr>
          <w:p w14:paraId="0B234C8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643AE3E0" w14:textId="77777777" w:rsidR="00B02183" w:rsidRPr="007C4D65" w:rsidRDefault="00B02183" w:rsidP="00B02183">
            <w:pPr>
              <w:spacing w:after="120" w:line="276" w:lineRule="auto"/>
              <w:ind w:hanging="2"/>
              <w:contextualSpacing/>
              <w:rPr>
                <w:rFonts w:asciiTheme="minorHAnsi" w:hAnsiTheme="minorHAnsi" w:cstheme="minorHAnsi"/>
                <w:bCs/>
                <w:sz w:val="18"/>
                <w:szCs w:val="18"/>
                <w:lang w:val="hr-HR"/>
              </w:rPr>
            </w:pPr>
          </w:p>
        </w:tc>
        <w:tc>
          <w:tcPr>
            <w:tcW w:w="1159" w:type="pct"/>
            <w:shd w:val="clear" w:color="auto" w:fill="FFFFFF"/>
            <w:tcMar>
              <w:top w:w="0" w:type="dxa"/>
              <w:left w:w="108" w:type="dxa"/>
              <w:bottom w:w="0" w:type="dxa"/>
              <w:right w:w="108" w:type="dxa"/>
            </w:tcMar>
            <w:vAlign w:val="center"/>
          </w:tcPr>
          <w:p w14:paraId="4245019C"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Degree of harmonization of the black, grey and </w:t>
            </w:r>
            <w:proofErr w:type="gramStart"/>
            <w:r w:rsidRPr="007C4D65">
              <w:rPr>
                <w:rFonts w:asciiTheme="minorHAnsi" w:hAnsiTheme="minorHAnsi" w:cstheme="minorHAnsi"/>
                <w:sz w:val="18"/>
              </w:rPr>
              <w:t>white lists</w:t>
            </w:r>
            <w:proofErr w:type="gramEnd"/>
            <w:r w:rsidRPr="007C4D65">
              <w:rPr>
                <w:rFonts w:asciiTheme="minorHAnsi" w:hAnsiTheme="minorHAnsi" w:cstheme="minorHAnsi"/>
                <w:sz w:val="18"/>
              </w:rPr>
              <w:t xml:space="preserve"> of invasive species with the current state of invasive species in the territory of the Federation of BiH</w:t>
            </w:r>
          </w:p>
        </w:tc>
        <w:tc>
          <w:tcPr>
            <w:tcW w:w="1159" w:type="pct"/>
            <w:shd w:val="clear" w:color="auto" w:fill="FFFFFF"/>
            <w:tcMar>
              <w:top w:w="0" w:type="dxa"/>
              <w:left w:w="108" w:type="dxa"/>
              <w:bottom w:w="0" w:type="dxa"/>
              <w:right w:w="108" w:type="dxa"/>
            </w:tcMar>
            <w:vAlign w:val="center"/>
          </w:tcPr>
          <w:p w14:paraId="6C5B9376"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Initial list of invasive species in the Federation of BiH</w:t>
            </w:r>
          </w:p>
        </w:tc>
        <w:tc>
          <w:tcPr>
            <w:tcW w:w="1159" w:type="pct"/>
            <w:shd w:val="clear" w:color="auto" w:fill="FFFFFF"/>
            <w:vAlign w:val="center"/>
          </w:tcPr>
          <w:p w14:paraId="10351540"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Black, grey </w:t>
            </w:r>
            <w:proofErr w:type="gramStart"/>
            <w:r w:rsidRPr="007C4D65">
              <w:rPr>
                <w:rFonts w:asciiTheme="minorHAnsi" w:hAnsiTheme="minorHAnsi" w:cstheme="minorHAnsi"/>
                <w:sz w:val="18"/>
              </w:rPr>
              <w:t>white lists</w:t>
            </w:r>
            <w:proofErr w:type="gramEnd"/>
            <w:r w:rsidRPr="007C4D65">
              <w:rPr>
                <w:rFonts w:asciiTheme="minorHAnsi" w:hAnsiTheme="minorHAnsi" w:cstheme="minorHAnsi"/>
                <w:sz w:val="18"/>
              </w:rPr>
              <w:t xml:space="preserve"> harmonized with the current state of invasive species in the Federation of BiH</w:t>
            </w:r>
          </w:p>
        </w:tc>
      </w:tr>
      <w:tr w:rsidR="00B02183" w:rsidRPr="007C4D65" w14:paraId="416E1CBA" w14:textId="77777777" w:rsidTr="00B6017F">
        <w:trPr>
          <w:trHeight w:val="483"/>
        </w:trPr>
        <w:tc>
          <w:tcPr>
            <w:tcW w:w="659" w:type="pct"/>
            <w:vMerge/>
            <w:shd w:val="clear" w:color="auto" w:fill="D9D9D9"/>
            <w:vAlign w:val="center"/>
            <w:hideMark/>
          </w:tcPr>
          <w:p w14:paraId="55359E3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50347BA" w14:textId="77777777" w:rsidR="00B02183" w:rsidRPr="007C4D65" w:rsidRDefault="00B02183" w:rsidP="00B02183">
            <w:pPr>
              <w:spacing w:after="120" w:line="276" w:lineRule="auto"/>
              <w:ind w:hanging="2"/>
              <w:contextualSpacing/>
              <w:rPr>
                <w:rFonts w:asciiTheme="minorHAnsi" w:hAnsiTheme="minorHAnsi" w:cstheme="minorHAnsi"/>
                <w:bCs/>
                <w:sz w:val="18"/>
                <w:szCs w:val="18"/>
                <w:lang w:val="hr-HR"/>
              </w:rPr>
            </w:pPr>
          </w:p>
        </w:tc>
        <w:tc>
          <w:tcPr>
            <w:tcW w:w="1159" w:type="pct"/>
            <w:shd w:val="clear" w:color="auto" w:fill="D9D9D9"/>
            <w:tcMar>
              <w:top w:w="0" w:type="dxa"/>
              <w:left w:w="108" w:type="dxa"/>
              <w:bottom w:w="0" w:type="dxa"/>
              <w:right w:w="108" w:type="dxa"/>
            </w:tcMar>
            <w:vAlign w:val="center"/>
          </w:tcPr>
          <w:p w14:paraId="69E35055" w14:textId="2031BFB8" w:rsidR="00B02183" w:rsidRPr="007C4D65" w:rsidRDefault="000D19A9"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508DBBB2"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68668E4D"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b/>
                <w:sz w:val="18"/>
              </w:rPr>
              <w:t>Total (BAM million)</w:t>
            </w:r>
          </w:p>
        </w:tc>
      </w:tr>
      <w:tr w:rsidR="00B02183" w:rsidRPr="007C4D65" w14:paraId="7F5F3588" w14:textId="77777777" w:rsidTr="00B6017F">
        <w:trPr>
          <w:trHeight w:val="287"/>
        </w:trPr>
        <w:tc>
          <w:tcPr>
            <w:tcW w:w="659" w:type="pct"/>
            <w:vMerge/>
            <w:shd w:val="clear" w:color="auto" w:fill="D9D9D9"/>
            <w:vAlign w:val="center"/>
            <w:hideMark/>
          </w:tcPr>
          <w:p w14:paraId="3850F5F8"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4F9023D" w14:textId="77777777" w:rsidR="00B02183" w:rsidRPr="007C4D65" w:rsidRDefault="00B02183" w:rsidP="00B02183">
            <w:pPr>
              <w:spacing w:after="120" w:line="276" w:lineRule="auto"/>
              <w:ind w:hanging="2"/>
              <w:contextualSpacing/>
              <w:rPr>
                <w:rFonts w:asciiTheme="minorHAnsi" w:hAnsiTheme="minorHAnsi" w:cstheme="minorHAnsi"/>
                <w:bCs/>
                <w:sz w:val="18"/>
                <w:szCs w:val="18"/>
                <w:lang w:val="hr-HR"/>
              </w:rPr>
            </w:pPr>
          </w:p>
        </w:tc>
        <w:tc>
          <w:tcPr>
            <w:tcW w:w="1159" w:type="pct"/>
            <w:tcMar>
              <w:top w:w="0" w:type="dxa"/>
              <w:left w:w="108" w:type="dxa"/>
              <w:bottom w:w="0" w:type="dxa"/>
              <w:right w:w="108" w:type="dxa"/>
            </w:tcMar>
            <w:vAlign w:val="center"/>
          </w:tcPr>
          <w:p w14:paraId="2FD79B27"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0.092</w:t>
            </w:r>
          </w:p>
        </w:tc>
        <w:tc>
          <w:tcPr>
            <w:tcW w:w="1159" w:type="pct"/>
            <w:tcMar>
              <w:top w:w="0" w:type="dxa"/>
              <w:left w:w="108" w:type="dxa"/>
              <w:bottom w:w="0" w:type="dxa"/>
              <w:right w:w="108" w:type="dxa"/>
            </w:tcMar>
            <w:vAlign w:val="center"/>
          </w:tcPr>
          <w:p w14:paraId="7D67FB75"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1926C4F9"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0.092</w:t>
            </w:r>
          </w:p>
        </w:tc>
      </w:tr>
      <w:tr w:rsidR="00B02183" w:rsidRPr="007C4D65" w14:paraId="65D754D0" w14:textId="77777777" w:rsidTr="00B6017F">
        <w:trPr>
          <w:trHeight w:val="483"/>
        </w:trPr>
        <w:tc>
          <w:tcPr>
            <w:tcW w:w="659" w:type="pct"/>
            <w:vMerge w:val="restart"/>
            <w:shd w:val="clear" w:color="auto" w:fill="D9D9D9"/>
            <w:tcMar>
              <w:top w:w="0" w:type="dxa"/>
              <w:left w:w="108" w:type="dxa"/>
              <w:bottom w:w="0" w:type="dxa"/>
              <w:right w:w="108" w:type="dxa"/>
            </w:tcMar>
            <w:vAlign w:val="center"/>
            <w:hideMark/>
          </w:tcPr>
          <w:p w14:paraId="0295A1A3"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3.5.3 Measure</w:t>
            </w:r>
          </w:p>
        </w:tc>
        <w:tc>
          <w:tcPr>
            <w:tcW w:w="864" w:type="pct"/>
            <w:vMerge w:val="restart"/>
            <w:tcMar>
              <w:top w:w="0" w:type="dxa"/>
              <w:left w:w="108" w:type="dxa"/>
              <w:bottom w:w="0" w:type="dxa"/>
              <w:right w:w="108" w:type="dxa"/>
            </w:tcMar>
            <w:vAlign w:val="center"/>
          </w:tcPr>
          <w:p w14:paraId="4166AE2D" w14:textId="70FCBB26" w:rsidR="00B02183" w:rsidRPr="007C4D65" w:rsidRDefault="00B02183" w:rsidP="00B02183">
            <w:pPr>
              <w:spacing w:after="120" w:line="276" w:lineRule="auto"/>
              <w:ind w:hanging="2"/>
              <w:contextualSpacing/>
              <w:rPr>
                <w:rFonts w:asciiTheme="minorHAnsi" w:hAnsiTheme="minorHAnsi" w:cstheme="minorHAnsi"/>
                <w:bCs/>
                <w:sz w:val="18"/>
                <w:szCs w:val="18"/>
              </w:rPr>
            </w:pPr>
            <w:r w:rsidRPr="007C4D65">
              <w:rPr>
                <w:rFonts w:asciiTheme="minorHAnsi" w:hAnsiTheme="minorHAnsi" w:cstheme="minorHAnsi"/>
                <w:sz w:val="18"/>
              </w:rPr>
              <w:t xml:space="preserve">Prepare and publish a habitats map </w:t>
            </w:r>
            <w:r w:rsidR="007436F1" w:rsidRPr="007C4D65">
              <w:rPr>
                <w:rFonts w:asciiTheme="minorHAnsi" w:hAnsiTheme="minorHAnsi" w:cstheme="minorHAnsi"/>
                <w:sz w:val="18"/>
              </w:rPr>
              <w:t>of the Federation of BiH</w:t>
            </w:r>
          </w:p>
        </w:tc>
        <w:tc>
          <w:tcPr>
            <w:tcW w:w="1159" w:type="pct"/>
            <w:shd w:val="clear" w:color="auto" w:fill="D9D9D9"/>
            <w:tcMar>
              <w:top w:w="0" w:type="dxa"/>
              <w:left w:w="108" w:type="dxa"/>
              <w:bottom w:w="0" w:type="dxa"/>
              <w:right w:w="108" w:type="dxa"/>
            </w:tcMar>
            <w:vAlign w:val="center"/>
          </w:tcPr>
          <w:p w14:paraId="1B34C487"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526420C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664AFCF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27090CCC" w14:textId="77777777" w:rsidTr="00B6017F">
        <w:trPr>
          <w:trHeight w:val="287"/>
        </w:trPr>
        <w:tc>
          <w:tcPr>
            <w:tcW w:w="659" w:type="pct"/>
            <w:vMerge/>
            <w:shd w:val="clear" w:color="auto" w:fill="D9D9D9"/>
            <w:vAlign w:val="center"/>
          </w:tcPr>
          <w:p w14:paraId="10DD9B8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0A4A6C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79F9349"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Degree of completion and availability of habitat map of the Federation of BiH </w:t>
            </w:r>
          </w:p>
        </w:tc>
        <w:tc>
          <w:tcPr>
            <w:tcW w:w="1159" w:type="pct"/>
            <w:shd w:val="clear" w:color="auto" w:fill="FFFFFF"/>
            <w:tcMar>
              <w:top w:w="0" w:type="dxa"/>
              <w:left w:w="108" w:type="dxa"/>
              <w:bottom w:w="0" w:type="dxa"/>
              <w:right w:w="108" w:type="dxa"/>
            </w:tcMar>
            <w:vAlign w:val="center"/>
          </w:tcPr>
          <w:p w14:paraId="6FE233AE"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habitat map of the Federation of BiH</w:t>
            </w:r>
          </w:p>
        </w:tc>
        <w:tc>
          <w:tcPr>
            <w:tcW w:w="1159" w:type="pct"/>
            <w:shd w:val="clear" w:color="auto" w:fill="FFFFFF"/>
            <w:vAlign w:val="center"/>
          </w:tcPr>
          <w:p w14:paraId="53E58415"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Habitat types identified and presented on a publicly available habitat map of the Federation of BiH</w:t>
            </w:r>
          </w:p>
        </w:tc>
      </w:tr>
      <w:tr w:rsidR="00B02183" w:rsidRPr="007C4D65" w14:paraId="6042032B" w14:textId="77777777" w:rsidTr="00B6017F">
        <w:trPr>
          <w:trHeight w:val="483"/>
        </w:trPr>
        <w:tc>
          <w:tcPr>
            <w:tcW w:w="659" w:type="pct"/>
            <w:vMerge/>
            <w:shd w:val="clear" w:color="auto" w:fill="D9D9D9"/>
            <w:vAlign w:val="center"/>
            <w:hideMark/>
          </w:tcPr>
          <w:p w14:paraId="213CA88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2F1B1D2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3E39A17B" w14:textId="76ABEF63" w:rsidR="00B02183" w:rsidRPr="007C4D65" w:rsidRDefault="000D19A9"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43F4B66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1E05D17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5DECBAAF" w14:textId="77777777" w:rsidTr="00B6017F">
        <w:trPr>
          <w:trHeight w:val="287"/>
        </w:trPr>
        <w:tc>
          <w:tcPr>
            <w:tcW w:w="659" w:type="pct"/>
            <w:vMerge/>
            <w:shd w:val="clear" w:color="auto" w:fill="D9D9D9"/>
            <w:vAlign w:val="center"/>
            <w:hideMark/>
          </w:tcPr>
          <w:p w14:paraId="5F807E4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F788A8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2E686EF6"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0.031</w:t>
            </w:r>
          </w:p>
        </w:tc>
        <w:tc>
          <w:tcPr>
            <w:tcW w:w="1159" w:type="pct"/>
            <w:tcMar>
              <w:top w:w="0" w:type="dxa"/>
              <w:left w:w="108" w:type="dxa"/>
              <w:bottom w:w="0" w:type="dxa"/>
              <w:right w:w="108" w:type="dxa"/>
            </w:tcMar>
            <w:vAlign w:val="center"/>
          </w:tcPr>
          <w:p w14:paraId="77759321"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0.127</w:t>
            </w:r>
          </w:p>
        </w:tc>
        <w:tc>
          <w:tcPr>
            <w:tcW w:w="1159" w:type="pct"/>
            <w:tcMar>
              <w:top w:w="0" w:type="dxa"/>
              <w:left w:w="108" w:type="dxa"/>
              <w:bottom w:w="0" w:type="dxa"/>
              <w:right w:w="108" w:type="dxa"/>
            </w:tcMar>
            <w:vAlign w:val="center"/>
          </w:tcPr>
          <w:p w14:paraId="749A48EE"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0.158</w:t>
            </w:r>
          </w:p>
        </w:tc>
      </w:tr>
    </w:tbl>
    <w:p w14:paraId="5DC2BEE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39"/>
        <w:gridCol w:w="2410"/>
        <w:gridCol w:w="3233"/>
        <w:gridCol w:w="3233"/>
        <w:gridCol w:w="3233"/>
      </w:tblGrid>
      <w:tr w:rsidR="00B02183" w:rsidRPr="007C4D65" w14:paraId="59DF63FB" w14:textId="77777777" w:rsidTr="00B6017F">
        <w:trPr>
          <w:trHeight w:val="384"/>
        </w:trPr>
        <w:tc>
          <w:tcPr>
            <w:tcW w:w="659" w:type="pct"/>
            <w:vMerge w:val="restart"/>
            <w:shd w:val="clear" w:color="auto" w:fill="D9D9D9"/>
            <w:tcMar>
              <w:top w:w="0" w:type="dxa"/>
              <w:left w:w="108" w:type="dxa"/>
              <w:bottom w:w="0" w:type="dxa"/>
              <w:right w:w="108" w:type="dxa"/>
            </w:tcMar>
            <w:vAlign w:val="center"/>
          </w:tcPr>
          <w:p w14:paraId="1321F936"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3.6 Priority</w:t>
            </w:r>
          </w:p>
        </w:tc>
        <w:tc>
          <w:tcPr>
            <w:tcW w:w="864" w:type="pct"/>
            <w:vMerge w:val="restart"/>
            <w:tcMar>
              <w:top w:w="0" w:type="dxa"/>
              <w:left w:w="108" w:type="dxa"/>
              <w:bottom w:w="0" w:type="dxa"/>
              <w:right w:w="108" w:type="dxa"/>
            </w:tcMar>
            <w:vAlign w:val="center"/>
          </w:tcPr>
          <w:p w14:paraId="196251EE" w14:textId="77777777" w:rsidR="00B02183" w:rsidRPr="007C4D65" w:rsidRDefault="00B02183"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Integrate ecologically significant areas into a network which should cover 17% of the overall territory of the Federation of BiH</w:t>
            </w:r>
          </w:p>
        </w:tc>
        <w:tc>
          <w:tcPr>
            <w:tcW w:w="1159" w:type="pct"/>
            <w:shd w:val="clear" w:color="auto" w:fill="D9D9D9"/>
            <w:tcMar>
              <w:top w:w="0" w:type="dxa"/>
              <w:left w:w="108" w:type="dxa"/>
              <w:bottom w:w="0" w:type="dxa"/>
              <w:right w:w="108" w:type="dxa"/>
            </w:tcMar>
            <w:vAlign w:val="center"/>
          </w:tcPr>
          <w:p w14:paraId="6BEDCB9C"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1CA909B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1BE5CC68"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7BD888CE" w14:textId="77777777" w:rsidTr="00B6017F">
        <w:trPr>
          <w:trHeight w:val="287"/>
        </w:trPr>
        <w:tc>
          <w:tcPr>
            <w:tcW w:w="659" w:type="pct"/>
            <w:vMerge/>
            <w:shd w:val="clear" w:color="auto" w:fill="D9D9D9"/>
            <w:vAlign w:val="center"/>
            <w:hideMark/>
          </w:tcPr>
          <w:p w14:paraId="6A0B88D8"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578DBF8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73FA7270"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Integration of the ecologically important areas</w:t>
            </w:r>
          </w:p>
        </w:tc>
        <w:tc>
          <w:tcPr>
            <w:tcW w:w="1159" w:type="pct"/>
            <w:tcMar>
              <w:top w:w="0" w:type="dxa"/>
              <w:left w:w="108" w:type="dxa"/>
              <w:bottom w:w="0" w:type="dxa"/>
              <w:right w:w="108" w:type="dxa"/>
            </w:tcMar>
          </w:tcPr>
          <w:p w14:paraId="6A053A4E"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ecologically important areas are not integrated in the ecological network of the Federation of BiH (2022)</w:t>
            </w:r>
          </w:p>
        </w:tc>
        <w:tc>
          <w:tcPr>
            <w:tcW w:w="1159" w:type="pct"/>
            <w:tcMar>
              <w:top w:w="0" w:type="dxa"/>
              <w:left w:w="108" w:type="dxa"/>
              <w:bottom w:w="0" w:type="dxa"/>
              <w:right w:w="108" w:type="dxa"/>
            </w:tcMar>
          </w:tcPr>
          <w:p w14:paraId="659AB9D8"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Ecological corridors which link the ecologically important areas of the Federation of BiH established (2030+)</w:t>
            </w:r>
          </w:p>
        </w:tc>
      </w:tr>
      <w:tr w:rsidR="00B02183" w:rsidRPr="007C4D65" w14:paraId="5431352A" w14:textId="77777777" w:rsidTr="00B6017F">
        <w:trPr>
          <w:trHeight w:val="287"/>
        </w:trPr>
        <w:tc>
          <w:tcPr>
            <w:tcW w:w="659" w:type="pct"/>
            <w:vMerge/>
            <w:shd w:val="clear" w:color="auto" w:fill="D9D9D9"/>
            <w:vAlign w:val="center"/>
            <w:hideMark/>
          </w:tcPr>
          <w:p w14:paraId="3D0531E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0B5880D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5D53F06D" w14:textId="024BF50C"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783B7F81"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1D97660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169E4BD9" w14:textId="77777777" w:rsidTr="00B6017F">
        <w:trPr>
          <w:trHeight w:val="287"/>
        </w:trPr>
        <w:tc>
          <w:tcPr>
            <w:tcW w:w="659" w:type="pct"/>
            <w:vMerge/>
            <w:shd w:val="clear" w:color="auto" w:fill="D9D9D9"/>
            <w:vAlign w:val="center"/>
          </w:tcPr>
          <w:p w14:paraId="7ED16F4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43A82ED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261A0C22"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0.904</w:t>
            </w:r>
          </w:p>
        </w:tc>
        <w:tc>
          <w:tcPr>
            <w:tcW w:w="1159" w:type="pct"/>
            <w:tcMar>
              <w:top w:w="0" w:type="dxa"/>
              <w:left w:w="108" w:type="dxa"/>
              <w:bottom w:w="0" w:type="dxa"/>
              <w:right w:w="108" w:type="dxa"/>
            </w:tcMar>
            <w:vAlign w:val="center"/>
          </w:tcPr>
          <w:p w14:paraId="50502AE6"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6.1</w:t>
            </w:r>
          </w:p>
        </w:tc>
        <w:tc>
          <w:tcPr>
            <w:tcW w:w="1159" w:type="pct"/>
            <w:tcMar>
              <w:top w:w="0" w:type="dxa"/>
              <w:left w:w="108" w:type="dxa"/>
              <w:bottom w:w="0" w:type="dxa"/>
              <w:right w:w="108" w:type="dxa"/>
            </w:tcMar>
            <w:vAlign w:val="center"/>
          </w:tcPr>
          <w:p w14:paraId="2E8A9C6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7.09</w:t>
            </w:r>
          </w:p>
        </w:tc>
      </w:tr>
    </w:tbl>
    <w:p w14:paraId="51D07B0E"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25"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40"/>
        <w:gridCol w:w="2409"/>
        <w:gridCol w:w="3234"/>
        <w:gridCol w:w="3305"/>
        <w:gridCol w:w="3230"/>
      </w:tblGrid>
      <w:tr w:rsidR="00B02183" w:rsidRPr="007C4D65" w14:paraId="043A468F" w14:textId="77777777" w:rsidTr="00B6017F">
        <w:trPr>
          <w:trHeight w:val="483"/>
        </w:trPr>
        <w:tc>
          <w:tcPr>
            <w:tcW w:w="656" w:type="pct"/>
            <w:vMerge w:val="restart"/>
            <w:shd w:val="clear" w:color="auto" w:fill="D9D9D9"/>
            <w:tcMar>
              <w:top w:w="0" w:type="dxa"/>
              <w:left w:w="108" w:type="dxa"/>
              <w:bottom w:w="0" w:type="dxa"/>
              <w:right w:w="108" w:type="dxa"/>
            </w:tcMar>
            <w:vAlign w:val="center"/>
            <w:hideMark/>
          </w:tcPr>
          <w:p w14:paraId="460D9CE8"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3.6.1 Measure</w:t>
            </w:r>
          </w:p>
        </w:tc>
        <w:tc>
          <w:tcPr>
            <w:tcW w:w="859" w:type="pct"/>
            <w:vMerge w:val="restart"/>
            <w:tcMar>
              <w:top w:w="0" w:type="dxa"/>
              <w:left w:w="108" w:type="dxa"/>
              <w:bottom w:w="0" w:type="dxa"/>
              <w:right w:w="108" w:type="dxa"/>
            </w:tcMar>
            <w:vAlign w:val="center"/>
          </w:tcPr>
          <w:p w14:paraId="13493B70"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Conduct a public campaign to promote the ecological network (Network of Areas of Interest for the Community)</w:t>
            </w:r>
          </w:p>
        </w:tc>
        <w:tc>
          <w:tcPr>
            <w:tcW w:w="1153" w:type="pct"/>
            <w:shd w:val="clear" w:color="auto" w:fill="D9D9D9"/>
            <w:tcMar>
              <w:top w:w="0" w:type="dxa"/>
              <w:left w:w="108" w:type="dxa"/>
              <w:bottom w:w="0" w:type="dxa"/>
              <w:right w:w="108" w:type="dxa"/>
            </w:tcMar>
            <w:vAlign w:val="center"/>
            <w:hideMark/>
          </w:tcPr>
          <w:p w14:paraId="7B79F247"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79" w:type="pct"/>
            <w:shd w:val="clear" w:color="auto" w:fill="D9D9D9"/>
            <w:tcMar>
              <w:top w:w="0" w:type="dxa"/>
              <w:left w:w="108" w:type="dxa"/>
              <w:bottom w:w="0" w:type="dxa"/>
              <w:right w:w="108" w:type="dxa"/>
            </w:tcMar>
            <w:vAlign w:val="center"/>
            <w:hideMark/>
          </w:tcPr>
          <w:p w14:paraId="10508FA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2" w:type="pct"/>
            <w:shd w:val="clear" w:color="auto" w:fill="D9D9D9"/>
            <w:vAlign w:val="center"/>
          </w:tcPr>
          <w:p w14:paraId="7DA37E8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4A35A645" w14:textId="77777777" w:rsidTr="00B6017F">
        <w:trPr>
          <w:trHeight w:val="287"/>
        </w:trPr>
        <w:tc>
          <w:tcPr>
            <w:tcW w:w="656" w:type="pct"/>
            <w:vMerge/>
            <w:shd w:val="clear" w:color="auto" w:fill="D9D9D9"/>
            <w:vAlign w:val="center"/>
          </w:tcPr>
          <w:p w14:paraId="4AB187E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59" w:type="pct"/>
            <w:vMerge/>
            <w:vAlign w:val="center"/>
          </w:tcPr>
          <w:p w14:paraId="17B8A73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shd w:val="clear" w:color="auto" w:fill="FFFFFF"/>
            <w:tcMar>
              <w:top w:w="0" w:type="dxa"/>
              <w:left w:w="108" w:type="dxa"/>
              <w:bottom w:w="0" w:type="dxa"/>
              <w:right w:w="108" w:type="dxa"/>
            </w:tcMar>
            <w:vAlign w:val="center"/>
          </w:tcPr>
          <w:p w14:paraId="21F34564"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Level of public awareness of the benefits of the ecological network in Federation of BiH</w:t>
            </w:r>
          </w:p>
        </w:tc>
        <w:tc>
          <w:tcPr>
            <w:tcW w:w="1179" w:type="pct"/>
            <w:shd w:val="clear" w:color="auto" w:fill="FFFFFF"/>
            <w:tcMar>
              <w:top w:w="0" w:type="dxa"/>
              <w:left w:w="108" w:type="dxa"/>
              <w:bottom w:w="0" w:type="dxa"/>
              <w:right w:w="108" w:type="dxa"/>
            </w:tcMar>
            <w:vAlign w:val="center"/>
          </w:tcPr>
          <w:p w14:paraId="0CB9DC75"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Low</w:t>
            </w:r>
          </w:p>
        </w:tc>
        <w:tc>
          <w:tcPr>
            <w:tcW w:w="1152" w:type="pct"/>
            <w:shd w:val="clear" w:color="auto" w:fill="FFFFFF"/>
            <w:vAlign w:val="center"/>
          </w:tcPr>
          <w:p w14:paraId="514B20C9"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High</w:t>
            </w:r>
          </w:p>
        </w:tc>
      </w:tr>
      <w:tr w:rsidR="00B02183" w:rsidRPr="007C4D65" w14:paraId="41101161" w14:textId="77777777" w:rsidTr="00B6017F">
        <w:trPr>
          <w:trHeight w:val="483"/>
        </w:trPr>
        <w:tc>
          <w:tcPr>
            <w:tcW w:w="656" w:type="pct"/>
            <w:vMerge/>
            <w:shd w:val="clear" w:color="auto" w:fill="D9D9D9"/>
            <w:vAlign w:val="center"/>
            <w:hideMark/>
          </w:tcPr>
          <w:p w14:paraId="07388A7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59" w:type="pct"/>
            <w:vMerge/>
            <w:vAlign w:val="center"/>
          </w:tcPr>
          <w:p w14:paraId="1F24080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shd w:val="clear" w:color="auto" w:fill="D9D9D9"/>
            <w:tcMar>
              <w:top w:w="0" w:type="dxa"/>
              <w:left w:w="108" w:type="dxa"/>
              <w:bottom w:w="0" w:type="dxa"/>
              <w:right w:w="108" w:type="dxa"/>
            </w:tcMar>
            <w:vAlign w:val="center"/>
            <w:hideMark/>
          </w:tcPr>
          <w:p w14:paraId="44552C31" w14:textId="4111D776"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79" w:type="pct"/>
            <w:shd w:val="clear" w:color="auto" w:fill="D9D9D9"/>
            <w:tcMar>
              <w:top w:w="0" w:type="dxa"/>
              <w:left w:w="108" w:type="dxa"/>
              <w:bottom w:w="0" w:type="dxa"/>
              <w:right w:w="108" w:type="dxa"/>
            </w:tcMar>
            <w:vAlign w:val="center"/>
            <w:hideMark/>
          </w:tcPr>
          <w:p w14:paraId="128D355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2" w:type="pct"/>
            <w:shd w:val="clear" w:color="auto" w:fill="D9D9D9"/>
            <w:tcMar>
              <w:top w:w="0" w:type="dxa"/>
              <w:left w:w="108" w:type="dxa"/>
              <w:bottom w:w="0" w:type="dxa"/>
              <w:right w:w="108" w:type="dxa"/>
            </w:tcMar>
            <w:vAlign w:val="center"/>
            <w:hideMark/>
          </w:tcPr>
          <w:p w14:paraId="4E44D0EE"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3EBB64BF" w14:textId="77777777" w:rsidTr="00B6017F">
        <w:trPr>
          <w:trHeight w:val="287"/>
        </w:trPr>
        <w:tc>
          <w:tcPr>
            <w:tcW w:w="656" w:type="pct"/>
            <w:vMerge/>
            <w:shd w:val="clear" w:color="auto" w:fill="D9D9D9"/>
            <w:vAlign w:val="center"/>
            <w:hideMark/>
          </w:tcPr>
          <w:p w14:paraId="207784B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59" w:type="pct"/>
            <w:vMerge/>
            <w:vAlign w:val="center"/>
          </w:tcPr>
          <w:p w14:paraId="242A349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tcMar>
              <w:top w:w="0" w:type="dxa"/>
              <w:left w:w="108" w:type="dxa"/>
              <w:bottom w:w="0" w:type="dxa"/>
              <w:right w:w="108" w:type="dxa"/>
            </w:tcMar>
            <w:vAlign w:val="center"/>
          </w:tcPr>
          <w:p w14:paraId="0230913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0.051</w:t>
            </w:r>
          </w:p>
        </w:tc>
        <w:tc>
          <w:tcPr>
            <w:tcW w:w="1179" w:type="pct"/>
            <w:tcMar>
              <w:top w:w="0" w:type="dxa"/>
              <w:left w:w="108" w:type="dxa"/>
              <w:bottom w:w="0" w:type="dxa"/>
              <w:right w:w="108" w:type="dxa"/>
            </w:tcMar>
            <w:vAlign w:val="center"/>
          </w:tcPr>
          <w:p w14:paraId="1C3F0D2C"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0.120</w:t>
            </w:r>
          </w:p>
        </w:tc>
        <w:tc>
          <w:tcPr>
            <w:tcW w:w="1152" w:type="pct"/>
            <w:tcMar>
              <w:top w:w="0" w:type="dxa"/>
              <w:left w:w="108" w:type="dxa"/>
              <w:bottom w:w="0" w:type="dxa"/>
              <w:right w:w="108" w:type="dxa"/>
            </w:tcMar>
            <w:vAlign w:val="center"/>
          </w:tcPr>
          <w:p w14:paraId="39E91AF1"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0.172</w:t>
            </w:r>
          </w:p>
        </w:tc>
      </w:tr>
      <w:tr w:rsidR="00B02183" w:rsidRPr="007C4D65" w14:paraId="33AF0970" w14:textId="77777777" w:rsidTr="00B6017F">
        <w:trPr>
          <w:trHeight w:val="483"/>
        </w:trPr>
        <w:tc>
          <w:tcPr>
            <w:tcW w:w="656" w:type="pct"/>
            <w:vMerge w:val="restart"/>
            <w:shd w:val="clear" w:color="auto" w:fill="D9D9D9"/>
            <w:tcMar>
              <w:top w:w="0" w:type="dxa"/>
              <w:left w:w="108" w:type="dxa"/>
              <w:bottom w:w="0" w:type="dxa"/>
              <w:right w:w="108" w:type="dxa"/>
            </w:tcMar>
            <w:vAlign w:val="center"/>
            <w:hideMark/>
          </w:tcPr>
          <w:p w14:paraId="3614BB05"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3.6.2 Measure</w:t>
            </w:r>
          </w:p>
        </w:tc>
        <w:tc>
          <w:tcPr>
            <w:tcW w:w="859" w:type="pct"/>
            <w:vMerge w:val="restart"/>
            <w:tcMar>
              <w:top w:w="0" w:type="dxa"/>
              <w:left w:w="108" w:type="dxa"/>
              <w:bottom w:w="0" w:type="dxa"/>
              <w:right w:w="108" w:type="dxa"/>
            </w:tcMar>
            <w:vAlign w:val="center"/>
          </w:tcPr>
          <w:p w14:paraId="54577B2B" w14:textId="1770BA01"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Complete a consultation process with </w:t>
            </w:r>
            <w:proofErr w:type="gramStart"/>
            <w:r w:rsidRPr="007C4D65">
              <w:rPr>
                <w:rFonts w:asciiTheme="minorHAnsi" w:hAnsiTheme="minorHAnsi" w:cstheme="minorHAnsi"/>
                <w:sz w:val="18"/>
              </w:rPr>
              <w:t>local  communities</w:t>
            </w:r>
            <w:proofErr w:type="gramEnd"/>
            <w:r w:rsidRPr="007C4D65">
              <w:rPr>
                <w:rFonts w:asciiTheme="minorHAnsi" w:hAnsiTheme="minorHAnsi" w:cstheme="minorHAnsi"/>
                <w:sz w:val="18"/>
              </w:rPr>
              <w:t xml:space="preserve"> and stakeholders in all areas covered by the Ecological Network Plan in the Federation of BiH</w:t>
            </w:r>
          </w:p>
        </w:tc>
        <w:tc>
          <w:tcPr>
            <w:tcW w:w="1153" w:type="pct"/>
            <w:shd w:val="clear" w:color="auto" w:fill="D9D9D9"/>
            <w:tcMar>
              <w:top w:w="0" w:type="dxa"/>
              <w:left w:w="108" w:type="dxa"/>
              <w:bottom w:w="0" w:type="dxa"/>
              <w:right w:w="108" w:type="dxa"/>
            </w:tcMar>
            <w:vAlign w:val="center"/>
            <w:hideMark/>
          </w:tcPr>
          <w:p w14:paraId="3B1CFDF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79" w:type="pct"/>
            <w:shd w:val="clear" w:color="auto" w:fill="D9D9D9"/>
            <w:tcMar>
              <w:top w:w="0" w:type="dxa"/>
              <w:left w:w="108" w:type="dxa"/>
              <w:bottom w:w="0" w:type="dxa"/>
              <w:right w:w="108" w:type="dxa"/>
            </w:tcMar>
            <w:vAlign w:val="center"/>
            <w:hideMark/>
          </w:tcPr>
          <w:p w14:paraId="62486C7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2" w:type="pct"/>
            <w:shd w:val="clear" w:color="auto" w:fill="D9D9D9"/>
            <w:vAlign w:val="center"/>
          </w:tcPr>
          <w:p w14:paraId="0F75C26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36E73AA3" w14:textId="77777777" w:rsidTr="00B6017F">
        <w:trPr>
          <w:trHeight w:val="287"/>
        </w:trPr>
        <w:tc>
          <w:tcPr>
            <w:tcW w:w="656" w:type="pct"/>
            <w:vMerge/>
            <w:shd w:val="clear" w:color="auto" w:fill="D9D9D9"/>
            <w:vAlign w:val="center"/>
          </w:tcPr>
          <w:p w14:paraId="5D09CD6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59" w:type="pct"/>
            <w:vMerge/>
            <w:vAlign w:val="center"/>
          </w:tcPr>
          <w:p w14:paraId="5C18C4D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shd w:val="clear" w:color="auto" w:fill="FFFFFF"/>
            <w:tcMar>
              <w:top w:w="0" w:type="dxa"/>
              <w:left w:w="108" w:type="dxa"/>
              <w:bottom w:w="0" w:type="dxa"/>
              <w:right w:w="108" w:type="dxa"/>
            </w:tcMar>
            <w:vAlign w:val="center"/>
          </w:tcPr>
          <w:p w14:paraId="3D44A507"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Degree of agreement of local communities for the inclusion of their respective areas in the ecological network of the Federation of BiH</w:t>
            </w:r>
          </w:p>
        </w:tc>
        <w:tc>
          <w:tcPr>
            <w:tcW w:w="1179" w:type="pct"/>
            <w:shd w:val="clear" w:color="auto" w:fill="FFFFFF"/>
            <w:tcMar>
              <w:top w:w="0" w:type="dxa"/>
              <w:left w:w="108" w:type="dxa"/>
              <w:bottom w:w="0" w:type="dxa"/>
              <w:right w:w="108" w:type="dxa"/>
            </w:tcMar>
            <w:vAlign w:val="center"/>
          </w:tcPr>
          <w:p w14:paraId="0D7BE27A"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Low</w:t>
            </w:r>
          </w:p>
        </w:tc>
        <w:tc>
          <w:tcPr>
            <w:tcW w:w="1152" w:type="pct"/>
            <w:shd w:val="clear" w:color="auto" w:fill="FFFFFF"/>
            <w:vAlign w:val="center"/>
          </w:tcPr>
          <w:p w14:paraId="64AC0922"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High</w:t>
            </w:r>
          </w:p>
        </w:tc>
      </w:tr>
      <w:tr w:rsidR="00B02183" w:rsidRPr="007C4D65" w14:paraId="3B71A302" w14:textId="77777777" w:rsidTr="00B6017F">
        <w:trPr>
          <w:trHeight w:val="483"/>
        </w:trPr>
        <w:tc>
          <w:tcPr>
            <w:tcW w:w="656" w:type="pct"/>
            <w:vMerge/>
            <w:shd w:val="clear" w:color="auto" w:fill="D9D9D9"/>
            <w:vAlign w:val="center"/>
            <w:hideMark/>
          </w:tcPr>
          <w:p w14:paraId="5FC15E86"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59" w:type="pct"/>
            <w:vMerge/>
            <w:vAlign w:val="center"/>
          </w:tcPr>
          <w:p w14:paraId="1854165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shd w:val="clear" w:color="auto" w:fill="D9D9D9"/>
            <w:tcMar>
              <w:top w:w="0" w:type="dxa"/>
              <w:left w:w="108" w:type="dxa"/>
              <w:bottom w:w="0" w:type="dxa"/>
              <w:right w:w="108" w:type="dxa"/>
            </w:tcMar>
            <w:vAlign w:val="center"/>
            <w:hideMark/>
          </w:tcPr>
          <w:p w14:paraId="6CE900E2" w14:textId="2A8AD8A6"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79" w:type="pct"/>
            <w:shd w:val="clear" w:color="auto" w:fill="D9D9D9"/>
            <w:tcMar>
              <w:top w:w="0" w:type="dxa"/>
              <w:left w:w="108" w:type="dxa"/>
              <w:bottom w:w="0" w:type="dxa"/>
              <w:right w:w="108" w:type="dxa"/>
            </w:tcMar>
            <w:vAlign w:val="center"/>
            <w:hideMark/>
          </w:tcPr>
          <w:p w14:paraId="41D3C7A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2" w:type="pct"/>
            <w:shd w:val="clear" w:color="auto" w:fill="D9D9D9"/>
            <w:tcMar>
              <w:top w:w="0" w:type="dxa"/>
              <w:left w:w="108" w:type="dxa"/>
              <w:bottom w:w="0" w:type="dxa"/>
              <w:right w:w="108" w:type="dxa"/>
            </w:tcMar>
            <w:vAlign w:val="center"/>
            <w:hideMark/>
          </w:tcPr>
          <w:p w14:paraId="74A00F2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6071F988" w14:textId="77777777" w:rsidTr="00B6017F">
        <w:trPr>
          <w:trHeight w:val="345"/>
        </w:trPr>
        <w:tc>
          <w:tcPr>
            <w:tcW w:w="656" w:type="pct"/>
            <w:vMerge/>
            <w:shd w:val="clear" w:color="auto" w:fill="D9D9D9"/>
            <w:vAlign w:val="center"/>
            <w:hideMark/>
          </w:tcPr>
          <w:p w14:paraId="11874FC8"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59" w:type="pct"/>
            <w:vMerge/>
            <w:vAlign w:val="center"/>
          </w:tcPr>
          <w:p w14:paraId="0F0C6D2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tcMar>
              <w:top w:w="0" w:type="dxa"/>
              <w:left w:w="108" w:type="dxa"/>
              <w:bottom w:w="0" w:type="dxa"/>
              <w:right w:w="108" w:type="dxa"/>
            </w:tcMar>
            <w:vAlign w:val="center"/>
          </w:tcPr>
          <w:p w14:paraId="6AC3F4D6"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0.240</w:t>
            </w:r>
          </w:p>
        </w:tc>
        <w:tc>
          <w:tcPr>
            <w:tcW w:w="1179" w:type="pct"/>
            <w:tcMar>
              <w:top w:w="0" w:type="dxa"/>
              <w:left w:w="108" w:type="dxa"/>
              <w:bottom w:w="0" w:type="dxa"/>
              <w:right w:w="108" w:type="dxa"/>
            </w:tcMar>
            <w:vAlign w:val="center"/>
          </w:tcPr>
          <w:p w14:paraId="7A94B21F"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0.560</w:t>
            </w:r>
          </w:p>
        </w:tc>
        <w:tc>
          <w:tcPr>
            <w:tcW w:w="1152" w:type="pct"/>
            <w:tcMar>
              <w:top w:w="0" w:type="dxa"/>
              <w:left w:w="108" w:type="dxa"/>
              <w:bottom w:w="0" w:type="dxa"/>
              <w:right w:w="108" w:type="dxa"/>
            </w:tcMar>
            <w:vAlign w:val="center"/>
          </w:tcPr>
          <w:p w14:paraId="35823D2F"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0.800</w:t>
            </w:r>
          </w:p>
        </w:tc>
      </w:tr>
    </w:tbl>
    <w:p w14:paraId="0F7EBED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39"/>
        <w:gridCol w:w="2410"/>
        <w:gridCol w:w="3233"/>
        <w:gridCol w:w="3233"/>
        <w:gridCol w:w="3233"/>
      </w:tblGrid>
      <w:tr w:rsidR="00B02183" w:rsidRPr="007C4D65" w14:paraId="23EECC85" w14:textId="77777777" w:rsidTr="00B6017F">
        <w:trPr>
          <w:trHeight w:val="274"/>
        </w:trPr>
        <w:tc>
          <w:tcPr>
            <w:tcW w:w="659" w:type="pct"/>
            <w:vMerge w:val="restart"/>
            <w:shd w:val="clear" w:color="auto" w:fill="D9D9D9"/>
            <w:tcMar>
              <w:top w:w="0" w:type="dxa"/>
              <w:left w:w="108" w:type="dxa"/>
              <w:bottom w:w="0" w:type="dxa"/>
              <w:right w:w="108" w:type="dxa"/>
            </w:tcMar>
            <w:vAlign w:val="center"/>
          </w:tcPr>
          <w:p w14:paraId="0C6CB958"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3.6.3 Measure</w:t>
            </w:r>
          </w:p>
        </w:tc>
        <w:tc>
          <w:tcPr>
            <w:tcW w:w="864" w:type="pct"/>
            <w:vMerge w:val="restart"/>
            <w:tcMar>
              <w:top w:w="0" w:type="dxa"/>
              <w:left w:w="108" w:type="dxa"/>
              <w:bottom w:w="0" w:type="dxa"/>
              <w:right w:w="108" w:type="dxa"/>
            </w:tcMar>
            <w:vAlign w:val="center"/>
          </w:tcPr>
          <w:p w14:paraId="420F1A05" w14:textId="77777777" w:rsidR="00B02183" w:rsidRPr="007C4D65" w:rsidRDefault="00B02183"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Establish new protected areas and identify areas under other effective protection measures in the Federation of BiH</w:t>
            </w:r>
          </w:p>
        </w:tc>
        <w:tc>
          <w:tcPr>
            <w:tcW w:w="1159" w:type="pct"/>
            <w:shd w:val="clear" w:color="auto" w:fill="D9D9D9"/>
            <w:tcMar>
              <w:top w:w="0" w:type="dxa"/>
              <w:left w:w="108" w:type="dxa"/>
              <w:bottom w:w="0" w:type="dxa"/>
              <w:right w:w="108" w:type="dxa"/>
            </w:tcMar>
            <w:vAlign w:val="center"/>
          </w:tcPr>
          <w:p w14:paraId="5865FC5E"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tcPr>
          <w:p w14:paraId="5B8F981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2ECA5A1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01EED4BA" w14:textId="77777777" w:rsidTr="00B6017F">
        <w:trPr>
          <w:trHeight w:val="1114"/>
        </w:trPr>
        <w:tc>
          <w:tcPr>
            <w:tcW w:w="659" w:type="pct"/>
            <w:vMerge/>
            <w:shd w:val="clear" w:color="auto" w:fill="D9D9D9"/>
            <w:vAlign w:val="center"/>
            <w:hideMark/>
          </w:tcPr>
          <w:p w14:paraId="1B28CB9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0716CEA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1018C25"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 </w:t>
            </w:r>
            <w:proofErr w:type="gramStart"/>
            <w:r w:rsidRPr="007C4D65">
              <w:rPr>
                <w:rFonts w:asciiTheme="minorHAnsi" w:hAnsiTheme="minorHAnsi" w:cstheme="minorHAnsi"/>
                <w:sz w:val="18"/>
              </w:rPr>
              <w:t>habitats</w:t>
            </w:r>
            <w:proofErr w:type="gramEnd"/>
            <w:r w:rsidRPr="007C4D65">
              <w:rPr>
                <w:rFonts w:asciiTheme="minorHAnsi" w:hAnsiTheme="minorHAnsi" w:cstheme="minorHAnsi"/>
                <w:sz w:val="18"/>
              </w:rPr>
              <w:t xml:space="preserve"> from the Red of the Federation of BiH in protected areas or other areas under effective conservation measures</w:t>
            </w:r>
          </w:p>
        </w:tc>
        <w:tc>
          <w:tcPr>
            <w:tcW w:w="1159" w:type="pct"/>
            <w:tcMar>
              <w:top w:w="0" w:type="dxa"/>
              <w:left w:w="108" w:type="dxa"/>
              <w:bottom w:w="0" w:type="dxa"/>
              <w:right w:w="108" w:type="dxa"/>
            </w:tcMar>
            <w:vAlign w:val="center"/>
          </w:tcPr>
          <w:p w14:paraId="036A2DE1"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Specific biodiversity in the Federation of BiH insufficiently protected (2022)</w:t>
            </w:r>
          </w:p>
        </w:tc>
        <w:tc>
          <w:tcPr>
            <w:tcW w:w="1159" w:type="pct"/>
            <w:tcMar>
              <w:top w:w="0" w:type="dxa"/>
              <w:left w:w="108" w:type="dxa"/>
              <w:bottom w:w="0" w:type="dxa"/>
              <w:right w:w="108" w:type="dxa"/>
            </w:tcMar>
            <w:vAlign w:val="center"/>
          </w:tcPr>
          <w:p w14:paraId="1B6EBA53"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Protected areas or other areas under effective conservation measures efficiently protect the biodiversity of the Federation of BiH (2030)</w:t>
            </w:r>
          </w:p>
        </w:tc>
      </w:tr>
      <w:tr w:rsidR="00B02183" w:rsidRPr="007C4D65" w14:paraId="76F4BB9C" w14:textId="77777777" w:rsidTr="00B6017F">
        <w:trPr>
          <w:trHeight w:val="58"/>
        </w:trPr>
        <w:tc>
          <w:tcPr>
            <w:tcW w:w="659" w:type="pct"/>
            <w:vMerge/>
            <w:shd w:val="clear" w:color="auto" w:fill="D9D9D9"/>
            <w:vAlign w:val="center"/>
            <w:hideMark/>
          </w:tcPr>
          <w:p w14:paraId="42639D7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029DADE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7625AAE5" w14:textId="21320EE0"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1E19F89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6561E0A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4E6F0A3B" w14:textId="77777777" w:rsidTr="00B6017F">
        <w:trPr>
          <w:trHeight w:val="58"/>
        </w:trPr>
        <w:tc>
          <w:tcPr>
            <w:tcW w:w="659" w:type="pct"/>
            <w:vMerge/>
            <w:shd w:val="clear" w:color="auto" w:fill="D9D9D9"/>
            <w:vAlign w:val="center"/>
          </w:tcPr>
          <w:p w14:paraId="25CE586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7822C76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947AB27"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0.257</w:t>
            </w:r>
          </w:p>
        </w:tc>
        <w:tc>
          <w:tcPr>
            <w:tcW w:w="1159" w:type="pct"/>
            <w:tcMar>
              <w:top w:w="0" w:type="dxa"/>
              <w:left w:w="108" w:type="dxa"/>
              <w:bottom w:w="0" w:type="dxa"/>
              <w:right w:w="108" w:type="dxa"/>
            </w:tcMar>
            <w:vAlign w:val="center"/>
          </w:tcPr>
          <w:p w14:paraId="7D7DEBFA"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2.3</w:t>
            </w:r>
          </w:p>
        </w:tc>
        <w:tc>
          <w:tcPr>
            <w:tcW w:w="1159" w:type="pct"/>
            <w:tcMar>
              <w:top w:w="0" w:type="dxa"/>
              <w:left w:w="108" w:type="dxa"/>
              <w:bottom w:w="0" w:type="dxa"/>
              <w:right w:w="108" w:type="dxa"/>
            </w:tcMar>
            <w:vAlign w:val="center"/>
          </w:tcPr>
          <w:p w14:paraId="62D2DCD7"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2.5</w:t>
            </w:r>
          </w:p>
        </w:tc>
      </w:tr>
    </w:tbl>
    <w:p w14:paraId="14E86961"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25"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37"/>
        <w:gridCol w:w="2409"/>
        <w:gridCol w:w="3234"/>
        <w:gridCol w:w="3234"/>
        <w:gridCol w:w="3304"/>
      </w:tblGrid>
      <w:tr w:rsidR="00B02183" w:rsidRPr="007C4D65" w14:paraId="5A793763" w14:textId="77777777" w:rsidTr="00B6017F">
        <w:trPr>
          <w:trHeight w:val="483"/>
        </w:trPr>
        <w:tc>
          <w:tcPr>
            <w:tcW w:w="655" w:type="pct"/>
            <w:vMerge w:val="restart"/>
            <w:shd w:val="clear" w:color="auto" w:fill="D9D9D9"/>
            <w:tcMar>
              <w:top w:w="0" w:type="dxa"/>
              <w:left w:w="108" w:type="dxa"/>
              <w:bottom w:w="0" w:type="dxa"/>
              <w:right w:w="108" w:type="dxa"/>
            </w:tcMar>
            <w:vAlign w:val="center"/>
            <w:hideMark/>
          </w:tcPr>
          <w:p w14:paraId="331F6FF4"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3.6.4 Measure</w:t>
            </w:r>
          </w:p>
        </w:tc>
        <w:tc>
          <w:tcPr>
            <w:tcW w:w="859" w:type="pct"/>
            <w:vMerge w:val="restart"/>
            <w:tcMar>
              <w:top w:w="0" w:type="dxa"/>
              <w:left w:w="108" w:type="dxa"/>
              <w:bottom w:w="0" w:type="dxa"/>
              <w:right w:w="108" w:type="dxa"/>
            </w:tcMar>
            <w:vAlign w:val="center"/>
          </w:tcPr>
          <w:p w14:paraId="5816A294" w14:textId="0588A085" w:rsidR="00B02183" w:rsidRPr="007C4D65" w:rsidRDefault="00B02183" w:rsidP="00B02183">
            <w:pPr>
              <w:spacing w:after="120" w:line="276" w:lineRule="auto"/>
              <w:ind w:hanging="2"/>
              <w:contextualSpacing/>
              <w:rPr>
                <w:rFonts w:asciiTheme="minorHAnsi" w:hAnsiTheme="minorHAnsi" w:cstheme="minorHAnsi"/>
                <w:bCs/>
                <w:sz w:val="18"/>
                <w:szCs w:val="18"/>
              </w:rPr>
            </w:pPr>
            <w:r w:rsidRPr="007C4D65">
              <w:rPr>
                <w:rFonts w:asciiTheme="minorHAnsi" w:hAnsiTheme="minorHAnsi" w:cstheme="minorHAnsi"/>
                <w:sz w:val="18"/>
              </w:rPr>
              <w:t xml:space="preserve">Establish the ecological network </w:t>
            </w:r>
            <w:r w:rsidR="007436F1" w:rsidRPr="007C4D65">
              <w:rPr>
                <w:rFonts w:asciiTheme="minorHAnsi" w:hAnsiTheme="minorHAnsi" w:cstheme="minorHAnsi"/>
                <w:sz w:val="18"/>
              </w:rPr>
              <w:t>of the Federation of BiH</w:t>
            </w:r>
          </w:p>
        </w:tc>
        <w:tc>
          <w:tcPr>
            <w:tcW w:w="1153" w:type="pct"/>
            <w:shd w:val="clear" w:color="auto" w:fill="D9D9D9"/>
            <w:tcMar>
              <w:top w:w="0" w:type="dxa"/>
              <w:left w:w="108" w:type="dxa"/>
              <w:bottom w:w="0" w:type="dxa"/>
              <w:right w:w="108" w:type="dxa"/>
            </w:tcMar>
            <w:vAlign w:val="center"/>
            <w:hideMark/>
          </w:tcPr>
          <w:p w14:paraId="7767F7C8"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3" w:type="pct"/>
            <w:shd w:val="clear" w:color="auto" w:fill="D9D9D9"/>
            <w:tcMar>
              <w:top w:w="0" w:type="dxa"/>
              <w:left w:w="108" w:type="dxa"/>
              <w:bottom w:w="0" w:type="dxa"/>
              <w:right w:w="108" w:type="dxa"/>
            </w:tcMar>
            <w:vAlign w:val="center"/>
            <w:hideMark/>
          </w:tcPr>
          <w:p w14:paraId="6A99A2B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78" w:type="pct"/>
            <w:shd w:val="clear" w:color="auto" w:fill="D9D9D9"/>
            <w:vAlign w:val="center"/>
          </w:tcPr>
          <w:p w14:paraId="23038E5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1EF84BEE" w14:textId="77777777" w:rsidTr="00B6017F">
        <w:trPr>
          <w:trHeight w:val="287"/>
        </w:trPr>
        <w:tc>
          <w:tcPr>
            <w:tcW w:w="655" w:type="pct"/>
            <w:vMerge/>
            <w:shd w:val="clear" w:color="auto" w:fill="D9D9D9"/>
            <w:vAlign w:val="center"/>
          </w:tcPr>
          <w:p w14:paraId="774EB43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59" w:type="pct"/>
            <w:vMerge/>
            <w:vAlign w:val="center"/>
          </w:tcPr>
          <w:p w14:paraId="2165A23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shd w:val="clear" w:color="auto" w:fill="FFFFFF"/>
            <w:tcMar>
              <w:top w:w="0" w:type="dxa"/>
              <w:left w:w="108" w:type="dxa"/>
              <w:bottom w:w="0" w:type="dxa"/>
              <w:right w:w="108" w:type="dxa"/>
            </w:tcMar>
            <w:vAlign w:val="center"/>
          </w:tcPr>
          <w:p w14:paraId="530CDCD7" w14:textId="412D81AE"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ecological network</w:t>
            </w:r>
            <w:r w:rsidR="008C23C0" w:rsidRPr="007C4D65">
              <w:rPr>
                <w:rFonts w:asciiTheme="minorHAnsi" w:hAnsiTheme="minorHAnsi" w:cstheme="minorHAnsi"/>
                <w:sz w:val="18"/>
                <w:szCs w:val="18"/>
              </w:rPr>
              <w:t xml:space="preserve"> of the Federation of BiH</w:t>
            </w:r>
          </w:p>
        </w:tc>
        <w:tc>
          <w:tcPr>
            <w:tcW w:w="1153" w:type="pct"/>
            <w:shd w:val="clear" w:color="auto" w:fill="FFFFFF"/>
            <w:tcMar>
              <w:top w:w="0" w:type="dxa"/>
              <w:left w:w="108" w:type="dxa"/>
              <w:bottom w:w="0" w:type="dxa"/>
              <w:right w:w="108" w:type="dxa"/>
            </w:tcMar>
            <w:vAlign w:val="center"/>
          </w:tcPr>
          <w:p w14:paraId="2F80FB2C"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ecological network exists only at the level of the Natura 2000 Plan in BiH </w:t>
            </w:r>
          </w:p>
        </w:tc>
        <w:tc>
          <w:tcPr>
            <w:tcW w:w="1178" w:type="pct"/>
            <w:shd w:val="clear" w:color="auto" w:fill="FFFFFF"/>
            <w:vAlign w:val="center"/>
          </w:tcPr>
          <w:p w14:paraId="0230A360" w14:textId="6E8259A3"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 xml:space="preserve">The </w:t>
            </w:r>
            <w:r w:rsidR="008C23C0" w:rsidRPr="007C4D65">
              <w:rPr>
                <w:rFonts w:asciiTheme="minorHAnsi" w:hAnsiTheme="minorHAnsi" w:cstheme="minorHAnsi"/>
                <w:sz w:val="18"/>
              </w:rPr>
              <w:t>e</w:t>
            </w:r>
            <w:r w:rsidRPr="007C4D65">
              <w:rPr>
                <w:rFonts w:asciiTheme="minorHAnsi" w:hAnsiTheme="minorHAnsi" w:cstheme="minorHAnsi"/>
                <w:sz w:val="18"/>
              </w:rPr>
              <w:t xml:space="preserve">cological network </w:t>
            </w:r>
            <w:r w:rsidR="008C23C0" w:rsidRPr="007C4D65">
              <w:rPr>
                <w:rFonts w:asciiTheme="minorHAnsi" w:hAnsiTheme="minorHAnsi" w:cstheme="minorHAnsi"/>
                <w:sz w:val="18"/>
              </w:rPr>
              <w:t xml:space="preserve">of the Federation of BiH </w:t>
            </w:r>
            <w:r w:rsidRPr="007C4D65">
              <w:rPr>
                <w:rFonts w:asciiTheme="minorHAnsi" w:hAnsiTheme="minorHAnsi" w:cstheme="minorHAnsi"/>
                <w:sz w:val="18"/>
              </w:rPr>
              <w:t>established and serves the purpose of protecting biodiversity</w:t>
            </w:r>
          </w:p>
        </w:tc>
      </w:tr>
      <w:tr w:rsidR="00B02183" w:rsidRPr="007C4D65" w14:paraId="2905B962" w14:textId="77777777" w:rsidTr="00B6017F">
        <w:trPr>
          <w:trHeight w:val="483"/>
        </w:trPr>
        <w:tc>
          <w:tcPr>
            <w:tcW w:w="655" w:type="pct"/>
            <w:vMerge/>
            <w:shd w:val="clear" w:color="auto" w:fill="D9D9D9"/>
            <w:vAlign w:val="center"/>
            <w:hideMark/>
          </w:tcPr>
          <w:p w14:paraId="3685A9D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59" w:type="pct"/>
            <w:vMerge/>
            <w:vAlign w:val="center"/>
          </w:tcPr>
          <w:p w14:paraId="40D0F59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shd w:val="clear" w:color="auto" w:fill="D9D9D9"/>
            <w:tcMar>
              <w:top w:w="0" w:type="dxa"/>
              <w:left w:w="108" w:type="dxa"/>
              <w:bottom w:w="0" w:type="dxa"/>
              <w:right w:w="108" w:type="dxa"/>
            </w:tcMar>
            <w:vAlign w:val="center"/>
            <w:hideMark/>
          </w:tcPr>
          <w:p w14:paraId="2B6B92CE" w14:textId="52355228"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3" w:type="pct"/>
            <w:shd w:val="clear" w:color="auto" w:fill="D9D9D9"/>
            <w:tcMar>
              <w:top w:w="0" w:type="dxa"/>
              <w:left w:w="108" w:type="dxa"/>
              <w:bottom w:w="0" w:type="dxa"/>
              <w:right w:w="108" w:type="dxa"/>
            </w:tcMar>
            <w:vAlign w:val="center"/>
            <w:hideMark/>
          </w:tcPr>
          <w:p w14:paraId="58EBAB9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78" w:type="pct"/>
            <w:shd w:val="clear" w:color="auto" w:fill="D9D9D9"/>
            <w:tcMar>
              <w:top w:w="0" w:type="dxa"/>
              <w:left w:w="108" w:type="dxa"/>
              <w:bottom w:w="0" w:type="dxa"/>
              <w:right w:w="108" w:type="dxa"/>
            </w:tcMar>
            <w:vAlign w:val="center"/>
            <w:hideMark/>
          </w:tcPr>
          <w:p w14:paraId="6422E05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74826525" w14:textId="77777777" w:rsidTr="00B6017F">
        <w:trPr>
          <w:trHeight w:val="287"/>
        </w:trPr>
        <w:tc>
          <w:tcPr>
            <w:tcW w:w="655" w:type="pct"/>
            <w:vMerge/>
            <w:shd w:val="clear" w:color="auto" w:fill="D9D9D9"/>
            <w:vAlign w:val="center"/>
            <w:hideMark/>
          </w:tcPr>
          <w:p w14:paraId="5BA5B28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59" w:type="pct"/>
            <w:vMerge/>
            <w:vAlign w:val="center"/>
          </w:tcPr>
          <w:p w14:paraId="7EBEBB4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tcMar>
              <w:top w:w="0" w:type="dxa"/>
              <w:left w:w="108" w:type="dxa"/>
              <w:bottom w:w="0" w:type="dxa"/>
              <w:right w:w="108" w:type="dxa"/>
            </w:tcMar>
            <w:vAlign w:val="center"/>
          </w:tcPr>
          <w:p w14:paraId="7623BBFA"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0.354</w:t>
            </w:r>
          </w:p>
        </w:tc>
        <w:tc>
          <w:tcPr>
            <w:tcW w:w="1153" w:type="pct"/>
            <w:tcMar>
              <w:top w:w="0" w:type="dxa"/>
              <w:left w:w="108" w:type="dxa"/>
              <w:bottom w:w="0" w:type="dxa"/>
              <w:right w:w="108" w:type="dxa"/>
            </w:tcMar>
            <w:vAlign w:val="center"/>
          </w:tcPr>
          <w:p w14:paraId="53EF6BB7"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3.1</w:t>
            </w:r>
          </w:p>
        </w:tc>
        <w:tc>
          <w:tcPr>
            <w:tcW w:w="1178" w:type="pct"/>
            <w:tcMar>
              <w:top w:w="0" w:type="dxa"/>
              <w:left w:w="108" w:type="dxa"/>
              <w:bottom w:w="0" w:type="dxa"/>
              <w:right w:w="108" w:type="dxa"/>
            </w:tcMar>
            <w:vAlign w:val="center"/>
          </w:tcPr>
          <w:p w14:paraId="23043C1A"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3.5</w:t>
            </w:r>
          </w:p>
        </w:tc>
      </w:tr>
    </w:tbl>
    <w:p w14:paraId="496F2305"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86"/>
        <w:gridCol w:w="2363"/>
        <w:gridCol w:w="3233"/>
        <w:gridCol w:w="3233"/>
        <w:gridCol w:w="3233"/>
      </w:tblGrid>
      <w:tr w:rsidR="00B02183" w:rsidRPr="007C4D65" w14:paraId="03F7A254" w14:textId="77777777" w:rsidTr="00B6017F">
        <w:trPr>
          <w:trHeight w:val="384"/>
        </w:trPr>
        <w:tc>
          <w:tcPr>
            <w:tcW w:w="676" w:type="pct"/>
            <w:vMerge w:val="restart"/>
            <w:shd w:val="clear" w:color="auto" w:fill="D9D9D9"/>
            <w:tcMar>
              <w:top w:w="0" w:type="dxa"/>
              <w:left w:w="108" w:type="dxa"/>
              <w:bottom w:w="0" w:type="dxa"/>
              <w:right w:w="108" w:type="dxa"/>
            </w:tcMar>
            <w:vAlign w:val="center"/>
          </w:tcPr>
          <w:p w14:paraId="479F43EB"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3.7 Priority</w:t>
            </w:r>
          </w:p>
          <w:p w14:paraId="43FD64B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47" w:type="pct"/>
            <w:vMerge w:val="restart"/>
            <w:tcMar>
              <w:top w:w="0" w:type="dxa"/>
              <w:left w:w="108" w:type="dxa"/>
              <w:bottom w:w="0" w:type="dxa"/>
              <w:right w:w="108" w:type="dxa"/>
            </w:tcMar>
            <w:vAlign w:val="center"/>
          </w:tcPr>
          <w:p w14:paraId="6B0C975D" w14:textId="77777777" w:rsidR="00B02183" w:rsidRPr="007C4D65" w:rsidRDefault="00B02183" w:rsidP="00B02183">
            <w:pPr>
              <w:spacing w:after="120" w:line="276" w:lineRule="auto"/>
              <w:ind w:hanging="2"/>
              <w:contextualSpacing/>
              <w:rPr>
                <w:rFonts w:asciiTheme="minorHAnsi" w:hAnsiTheme="minorHAnsi" w:cstheme="minorHAnsi"/>
                <w:bCs/>
                <w:color w:val="000000"/>
                <w:sz w:val="18"/>
                <w:szCs w:val="18"/>
              </w:rPr>
            </w:pPr>
            <w:r w:rsidRPr="007C4D65">
              <w:rPr>
                <w:rFonts w:asciiTheme="minorHAnsi" w:hAnsiTheme="minorHAnsi" w:cstheme="minorHAnsi"/>
                <w:sz w:val="18"/>
              </w:rPr>
              <w:t>Improve cross-sectoral cooperation and political support in the Federation of BiH for the integration of the biodiversity protection into sectoral policies and legislation</w:t>
            </w:r>
          </w:p>
        </w:tc>
        <w:tc>
          <w:tcPr>
            <w:tcW w:w="1159" w:type="pct"/>
            <w:shd w:val="clear" w:color="auto" w:fill="D9D9D9"/>
            <w:tcMar>
              <w:top w:w="0" w:type="dxa"/>
              <w:left w:w="108" w:type="dxa"/>
              <w:bottom w:w="0" w:type="dxa"/>
              <w:right w:w="108" w:type="dxa"/>
            </w:tcMar>
            <w:vAlign w:val="center"/>
          </w:tcPr>
          <w:p w14:paraId="5D17CC69"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7509BB4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1162522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5F15234C" w14:textId="77777777" w:rsidTr="00B6017F">
        <w:trPr>
          <w:trHeight w:val="287"/>
        </w:trPr>
        <w:tc>
          <w:tcPr>
            <w:tcW w:w="676" w:type="pct"/>
            <w:vMerge/>
            <w:shd w:val="clear" w:color="auto" w:fill="D9D9D9"/>
            <w:vAlign w:val="center"/>
            <w:hideMark/>
          </w:tcPr>
          <w:p w14:paraId="4E1B2E68"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47" w:type="pct"/>
            <w:vMerge/>
            <w:vAlign w:val="center"/>
            <w:hideMark/>
          </w:tcPr>
          <w:p w14:paraId="03D026F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373D41B"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Number of sectoral programmes with the component of active nature conservation</w:t>
            </w:r>
          </w:p>
        </w:tc>
        <w:tc>
          <w:tcPr>
            <w:tcW w:w="1159" w:type="pct"/>
            <w:tcMar>
              <w:top w:w="0" w:type="dxa"/>
              <w:left w:w="108" w:type="dxa"/>
              <w:bottom w:w="0" w:type="dxa"/>
              <w:right w:w="108" w:type="dxa"/>
            </w:tcMar>
            <w:vAlign w:val="center"/>
          </w:tcPr>
          <w:p w14:paraId="6D9CEBBE"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Biodiversity / nature conservation is not sufficiently integrated into sectoral policies</w:t>
            </w:r>
          </w:p>
        </w:tc>
        <w:tc>
          <w:tcPr>
            <w:tcW w:w="1159" w:type="pct"/>
            <w:vMerge w:val="restart"/>
            <w:tcMar>
              <w:top w:w="0" w:type="dxa"/>
              <w:left w:w="108" w:type="dxa"/>
              <w:bottom w:w="0" w:type="dxa"/>
              <w:right w:w="108" w:type="dxa"/>
            </w:tcMar>
            <w:vAlign w:val="center"/>
          </w:tcPr>
          <w:p w14:paraId="380CD35B"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A significant number of sectoral projects with a biodiversity preservation component</w:t>
            </w:r>
          </w:p>
        </w:tc>
      </w:tr>
      <w:tr w:rsidR="00B02183" w:rsidRPr="007C4D65" w14:paraId="37E94858" w14:textId="77777777" w:rsidTr="00B6017F">
        <w:trPr>
          <w:trHeight w:val="287"/>
        </w:trPr>
        <w:tc>
          <w:tcPr>
            <w:tcW w:w="676" w:type="pct"/>
            <w:vMerge/>
            <w:shd w:val="clear" w:color="auto" w:fill="D9D9D9"/>
            <w:vAlign w:val="center"/>
          </w:tcPr>
          <w:p w14:paraId="48F8014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47" w:type="pct"/>
            <w:vMerge/>
            <w:vAlign w:val="center"/>
          </w:tcPr>
          <w:p w14:paraId="6D553B55"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9D21D78"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Level of integration of nature conservation in the sectoral legislation</w:t>
            </w:r>
          </w:p>
        </w:tc>
        <w:tc>
          <w:tcPr>
            <w:tcW w:w="1159" w:type="pct"/>
            <w:tcMar>
              <w:top w:w="0" w:type="dxa"/>
              <w:left w:w="108" w:type="dxa"/>
              <w:bottom w:w="0" w:type="dxa"/>
              <w:right w:w="108" w:type="dxa"/>
            </w:tcMar>
            <w:vAlign w:val="center"/>
          </w:tcPr>
          <w:p w14:paraId="0CC16C86"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Nature conservation insufficiently integrated in sectoral legislation (2022)</w:t>
            </w:r>
          </w:p>
        </w:tc>
        <w:tc>
          <w:tcPr>
            <w:tcW w:w="1159" w:type="pct"/>
            <w:vMerge/>
            <w:tcMar>
              <w:top w:w="0" w:type="dxa"/>
              <w:left w:w="108" w:type="dxa"/>
              <w:bottom w:w="0" w:type="dxa"/>
              <w:right w:w="108" w:type="dxa"/>
            </w:tcMar>
            <w:vAlign w:val="center"/>
          </w:tcPr>
          <w:p w14:paraId="736D01C1" w14:textId="77777777" w:rsidR="00B02183" w:rsidRPr="007C4D65" w:rsidRDefault="00B02183" w:rsidP="00B02183">
            <w:pPr>
              <w:spacing w:line="276" w:lineRule="auto"/>
              <w:rPr>
                <w:rFonts w:asciiTheme="minorHAnsi" w:hAnsiTheme="minorHAnsi" w:cstheme="minorHAnsi"/>
                <w:sz w:val="18"/>
                <w:szCs w:val="18"/>
                <w:lang w:val="hr-HR"/>
              </w:rPr>
            </w:pPr>
          </w:p>
        </w:tc>
      </w:tr>
      <w:tr w:rsidR="00B02183" w:rsidRPr="007C4D65" w14:paraId="2100C4F6" w14:textId="77777777" w:rsidTr="00B6017F">
        <w:trPr>
          <w:trHeight w:val="287"/>
        </w:trPr>
        <w:tc>
          <w:tcPr>
            <w:tcW w:w="676" w:type="pct"/>
            <w:vMerge/>
            <w:shd w:val="clear" w:color="auto" w:fill="D9D9D9"/>
            <w:vAlign w:val="center"/>
            <w:hideMark/>
          </w:tcPr>
          <w:p w14:paraId="0B891BE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47" w:type="pct"/>
            <w:vMerge/>
            <w:vAlign w:val="center"/>
            <w:hideMark/>
          </w:tcPr>
          <w:p w14:paraId="260149A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1A72B355" w14:textId="5539DEDF"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3D567170"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384A99F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7518B2B3" w14:textId="77777777" w:rsidTr="00B6017F">
        <w:trPr>
          <w:trHeight w:val="287"/>
        </w:trPr>
        <w:tc>
          <w:tcPr>
            <w:tcW w:w="676" w:type="pct"/>
            <w:vMerge/>
            <w:shd w:val="clear" w:color="auto" w:fill="D9D9D9"/>
            <w:vAlign w:val="center"/>
          </w:tcPr>
          <w:p w14:paraId="3590E85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47" w:type="pct"/>
            <w:vMerge/>
            <w:vAlign w:val="center"/>
          </w:tcPr>
          <w:p w14:paraId="132EE6D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95AA2A5"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0.111</w:t>
            </w:r>
          </w:p>
        </w:tc>
        <w:tc>
          <w:tcPr>
            <w:tcW w:w="1159" w:type="pct"/>
            <w:tcMar>
              <w:top w:w="0" w:type="dxa"/>
              <w:left w:w="108" w:type="dxa"/>
              <w:bottom w:w="0" w:type="dxa"/>
              <w:right w:w="108" w:type="dxa"/>
            </w:tcMar>
            <w:vAlign w:val="center"/>
          </w:tcPr>
          <w:p w14:paraId="751E53ED"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2786AFF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0.111</w:t>
            </w:r>
          </w:p>
        </w:tc>
      </w:tr>
    </w:tbl>
    <w:p w14:paraId="4F8C6A6C"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25"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85"/>
        <w:gridCol w:w="2364"/>
        <w:gridCol w:w="3233"/>
        <w:gridCol w:w="3233"/>
        <w:gridCol w:w="3303"/>
      </w:tblGrid>
      <w:tr w:rsidR="00B02183" w:rsidRPr="007C4D65" w14:paraId="6AE03620" w14:textId="77777777" w:rsidTr="00B6017F">
        <w:trPr>
          <w:trHeight w:val="483"/>
        </w:trPr>
        <w:tc>
          <w:tcPr>
            <w:tcW w:w="672" w:type="pct"/>
            <w:vMerge w:val="restart"/>
            <w:shd w:val="clear" w:color="auto" w:fill="D9D9D9"/>
            <w:tcMar>
              <w:top w:w="0" w:type="dxa"/>
              <w:left w:w="108" w:type="dxa"/>
              <w:bottom w:w="0" w:type="dxa"/>
              <w:right w:w="108" w:type="dxa"/>
            </w:tcMar>
            <w:vAlign w:val="center"/>
            <w:hideMark/>
          </w:tcPr>
          <w:p w14:paraId="58DB9291"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3.7.1 Measure</w:t>
            </w:r>
          </w:p>
        </w:tc>
        <w:tc>
          <w:tcPr>
            <w:tcW w:w="843" w:type="pct"/>
            <w:vMerge w:val="restart"/>
            <w:tcMar>
              <w:top w:w="0" w:type="dxa"/>
              <w:left w:w="108" w:type="dxa"/>
              <w:bottom w:w="0" w:type="dxa"/>
              <w:right w:w="108" w:type="dxa"/>
            </w:tcMar>
            <w:vAlign w:val="center"/>
          </w:tcPr>
          <w:p w14:paraId="7A929CA3"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Ensure cross-sectoral support for the implementation of the revised goals of NBSAP in the Federation of BiH </w:t>
            </w:r>
          </w:p>
        </w:tc>
        <w:tc>
          <w:tcPr>
            <w:tcW w:w="1153" w:type="pct"/>
            <w:shd w:val="clear" w:color="auto" w:fill="D9D9D9"/>
            <w:tcMar>
              <w:top w:w="0" w:type="dxa"/>
              <w:left w:w="108" w:type="dxa"/>
              <w:bottom w:w="0" w:type="dxa"/>
              <w:right w:w="108" w:type="dxa"/>
            </w:tcMar>
            <w:vAlign w:val="center"/>
            <w:hideMark/>
          </w:tcPr>
          <w:p w14:paraId="659022D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3" w:type="pct"/>
            <w:shd w:val="clear" w:color="auto" w:fill="D9D9D9"/>
            <w:tcMar>
              <w:top w:w="0" w:type="dxa"/>
              <w:left w:w="108" w:type="dxa"/>
              <w:bottom w:w="0" w:type="dxa"/>
              <w:right w:w="108" w:type="dxa"/>
            </w:tcMar>
            <w:vAlign w:val="center"/>
            <w:hideMark/>
          </w:tcPr>
          <w:p w14:paraId="65961F5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78" w:type="pct"/>
            <w:shd w:val="clear" w:color="auto" w:fill="D9D9D9"/>
            <w:vAlign w:val="center"/>
          </w:tcPr>
          <w:p w14:paraId="4B3C7EF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1B3889D3" w14:textId="77777777" w:rsidTr="00B6017F">
        <w:trPr>
          <w:trHeight w:val="287"/>
        </w:trPr>
        <w:tc>
          <w:tcPr>
            <w:tcW w:w="672" w:type="pct"/>
            <w:vMerge/>
            <w:shd w:val="clear" w:color="auto" w:fill="D9D9D9"/>
            <w:vAlign w:val="center"/>
          </w:tcPr>
          <w:p w14:paraId="36896CC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43" w:type="pct"/>
            <w:vMerge/>
            <w:vAlign w:val="center"/>
          </w:tcPr>
          <w:p w14:paraId="511DD6C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shd w:val="clear" w:color="auto" w:fill="FFFFFF"/>
            <w:tcMar>
              <w:top w:w="0" w:type="dxa"/>
              <w:left w:w="108" w:type="dxa"/>
              <w:bottom w:w="0" w:type="dxa"/>
              <w:right w:w="108" w:type="dxa"/>
            </w:tcMar>
            <w:vAlign w:val="center"/>
          </w:tcPr>
          <w:p w14:paraId="00C609CF"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Number of projects focusing on nature conservation </w:t>
            </w:r>
          </w:p>
        </w:tc>
        <w:tc>
          <w:tcPr>
            <w:tcW w:w="1153" w:type="pct"/>
            <w:shd w:val="clear" w:color="auto" w:fill="FFFFFF"/>
            <w:tcMar>
              <w:top w:w="0" w:type="dxa"/>
              <w:left w:w="108" w:type="dxa"/>
              <w:bottom w:w="0" w:type="dxa"/>
              <w:right w:w="108" w:type="dxa"/>
            </w:tcMar>
            <w:vAlign w:val="center"/>
          </w:tcPr>
          <w:p w14:paraId="4872F86E" w14:textId="16490F3F"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Small number of </w:t>
            </w:r>
            <w:r w:rsidR="00830279" w:rsidRPr="007C4D65">
              <w:rPr>
                <w:rFonts w:asciiTheme="minorHAnsi" w:hAnsiTheme="minorHAnsi" w:cstheme="minorHAnsi"/>
                <w:sz w:val="18"/>
              </w:rPr>
              <w:t>projects focusing</w:t>
            </w:r>
            <w:r w:rsidRPr="007C4D65">
              <w:rPr>
                <w:rFonts w:asciiTheme="minorHAnsi" w:hAnsiTheme="minorHAnsi" w:cstheme="minorHAnsi"/>
                <w:sz w:val="18"/>
              </w:rPr>
              <w:t xml:space="preserve"> on nature conservation  </w:t>
            </w:r>
          </w:p>
        </w:tc>
        <w:tc>
          <w:tcPr>
            <w:tcW w:w="1178" w:type="pct"/>
            <w:shd w:val="clear" w:color="auto" w:fill="FFFFFF"/>
            <w:vAlign w:val="center"/>
          </w:tcPr>
          <w:p w14:paraId="7DB17092"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 xml:space="preserve">High number of sectoral projects focusing on nature conservation </w:t>
            </w:r>
          </w:p>
        </w:tc>
      </w:tr>
      <w:tr w:rsidR="00B02183" w:rsidRPr="007C4D65" w14:paraId="0E8B4803" w14:textId="77777777" w:rsidTr="00B6017F">
        <w:trPr>
          <w:trHeight w:val="483"/>
        </w:trPr>
        <w:tc>
          <w:tcPr>
            <w:tcW w:w="672" w:type="pct"/>
            <w:vMerge/>
            <w:shd w:val="clear" w:color="auto" w:fill="D9D9D9"/>
            <w:vAlign w:val="center"/>
            <w:hideMark/>
          </w:tcPr>
          <w:p w14:paraId="630C35F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43" w:type="pct"/>
            <w:vMerge/>
            <w:vAlign w:val="center"/>
            <w:hideMark/>
          </w:tcPr>
          <w:p w14:paraId="6680696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shd w:val="clear" w:color="auto" w:fill="D9D9D9"/>
            <w:tcMar>
              <w:top w:w="0" w:type="dxa"/>
              <w:left w:w="108" w:type="dxa"/>
              <w:bottom w:w="0" w:type="dxa"/>
              <w:right w:w="108" w:type="dxa"/>
            </w:tcMar>
            <w:vAlign w:val="center"/>
            <w:hideMark/>
          </w:tcPr>
          <w:p w14:paraId="67577DBC" w14:textId="1FDF2E0F"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3" w:type="pct"/>
            <w:shd w:val="clear" w:color="auto" w:fill="D9D9D9"/>
            <w:tcMar>
              <w:top w:w="0" w:type="dxa"/>
              <w:left w:w="108" w:type="dxa"/>
              <w:bottom w:w="0" w:type="dxa"/>
              <w:right w:w="108" w:type="dxa"/>
            </w:tcMar>
            <w:vAlign w:val="center"/>
            <w:hideMark/>
          </w:tcPr>
          <w:p w14:paraId="227F8AC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78" w:type="pct"/>
            <w:shd w:val="clear" w:color="auto" w:fill="D9D9D9"/>
            <w:tcMar>
              <w:top w:w="0" w:type="dxa"/>
              <w:left w:w="108" w:type="dxa"/>
              <w:bottom w:w="0" w:type="dxa"/>
              <w:right w:w="108" w:type="dxa"/>
            </w:tcMar>
            <w:vAlign w:val="center"/>
            <w:hideMark/>
          </w:tcPr>
          <w:p w14:paraId="11FC13A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24076CD6" w14:textId="77777777" w:rsidTr="00B6017F">
        <w:trPr>
          <w:trHeight w:val="287"/>
        </w:trPr>
        <w:tc>
          <w:tcPr>
            <w:tcW w:w="672" w:type="pct"/>
            <w:vMerge/>
            <w:shd w:val="clear" w:color="auto" w:fill="D9D9D9"/>
            <w:vAlign w:val="center"/>
            <w:hideMark/>
          </w:tcPr>
          <w:p w14:paraId="10565A1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43" w:type="pct"/>
            <w:vMerge/>
            <w:vAlign w:val="center"/>
            <w:hideMark/>
          </w:tcPr>
          <w:p w14:paraId="5BCB8E6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tcMar>
              <w:top w:w="0" w:type="dxa"/>
              <w:left w:w="108" w:type="dxa"/>
              <w:bottom w:w="0" w:type="dxa"/>
              <w:right w:w="108" w:type="dxa"/>
            </w:tcMar>
            <w:vAlign w:val="center"/>
          </w:tcPr>
          <w:p w14:paraId="2B23FCE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0.061</w:t>
            </w:r>
          </w:p>
        </w:tc>
        <w:tc>
          <w:tcPr>
            <w:tcW w:w="1153" w:type="pct"/>
            <w:tcMar>
              <w:top w:w="0" w:type="dxa"/>
              <w:left w:w="108" w:type="dxa"/>
              <w:bottom w:w="0" w:type="dxa"/>
              <w:right w:w="108" w:type="dxa"/>
            </w:tcMar>
            <w:vAlign w:val="center"/>
          </w:tcPr>
          <w:p w14:paraId="1EA94BA9"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78" w:type="pct"/>
            <w:tcMar>
              <w:top w:w="0" w:type="dxa"/>
              <w:left w:w="108" w:type="dxa"/>
              <w:bottom w:w="0" w:type="dxa"/>
              <w:right w:w="108" w:type="dxa"/>
            </w:tcMar>
            <w:vAlign w:val="center"/>
          </w:tcPr>
          <w:p w14:paraId="5FC858E7"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0.061</w:t>
            </w:r>
          </w:p>
        </w:tc>
      </w:tr>
      <w:tr w:rsidR="00B02183" w:rsidRPr="007C4D65" w14:paraId="1141B610" w14:textId="77777777" w:rsidTr="00B6017F">
        <w:trPr>
          <w:trHeight w:val="483"/>
        </w:trPr>
        <w:tc>
          <w:tcPr>
            <w:tcW w:w="672" w:type="pct"/>
            <w:vMerge w:val="restart"/>
            <w:shd w:val="clear" w:color="auto" w:fill="D9D9D9"/>
            <w:tcMar>
              <w:top w:w="0" w:type="dxa"/>
              <w:left w:w="108" w:type="dxa"/>
              <w:bottom w:w="0" w:type="dxa"/>
              <w:right w:w="108" w:type="dxa"/>
            </w:tcMar>
            <w:vAlign w:val="center"/>
            <w:hideMark/>
          </w:tcPr>
          <w:p w14:paraId="4BE71C31"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3.7.2 Measure</w:t>
            </w:r>
          </w:p>
        </w:tc>
        <w:tc>
          <w:tcPr>
            <w:tcW w:w="843" w:type="pct"/>
            <w:vMerge w:val="restart"/>
            <w:tcMar>
              <w:top w:w="0" w:type="dxa"/>
              <w:left w:w="108" w:type="dxa"/>
              <w:bottom w:w="0" w:type="dxa"/>
              <w:right w:w="108" w:type="dxa"/>
            </w:tcMar>
            <w:vAlign w:val="center"/>
          </w:tcPr>
          <w:p w14:paraId="7C316474"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Integrate the protection and sustainable use of biodiversity into sectoral regulations</w:t>
            </w:r>
          </w:p>
        </w:tc>
        <w:tc>
          <w:tcPr>
            <w:tcW w:w="1153" w:type="pct"/>
            <w:shd w:val="clear" w:color="auto" w:fill="D9D9D9"/>
            <w:tcMar>
              <w:top w:w="0" w:type="dxa"/>
              <w:left w:w="108" w:type="dxa"/>
              <w:bottom w:w="0" w:type="dxa"/>
              <w:right w:w="108" w:type="dxa"/>
            </w:tcMar>
            <w:vAlign w:val="center"/>
            <w:hideMark/>
          </w:tcPr>
          <w:p w14:paraId="0DE7C27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3" w:type="pct"/>
            <w:shd w:val="clear" w:color="auto" w:fill="D9D9D9"/>
            <w:tcMar>
              <w:top w:w="0" w:type="dxa"/>
              <w:left w:w="108" w:type="dxa"/>
              <w:bottom w:w="0" w:type="dxa"/>
              <w:right w:w="108" w:type="dxa"/>
            </w:tcMar>
            <w:vAlign w:val="center"/>
            <w:hideMark/>
          </w:tcPr>
          <w:p w14:paraId="0F1CCAC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78" w:type="pct"/>
            <w:shd w:val="clear" w:color="auto" w:fill="D9D9D9"/>
            <w:vAlign w:val="center"/>
          </w:tcPr>
          <w:p w14:paraId="5E9B9220"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05C2E876" w14:textId="77777777" w:rsidTr="00B6017F">
        <w:trPr>
          <w:trHeight w:val="287"/>
        </w:trPr>
        <w:tc>
          <w:tcPr>
            <w:tcW w:w="672" w:type="pct"/>
            <w:vMerge/>
            <w:shd w:val="clear" w:color="auto" w:fill="D9D9D9"/>
            <w:vAlign w:val="center"/>
          </w:tcPr>
          <w:p w14:paraId="20F22E86"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43" w:type="pct"/>
            <w:vMerge/>
            <w:vAlign w:val="center"/>
          </w:tcPr>
          <w:p w14:paraId="05EF92B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shd w:val="clear" w:color="auto" w:fill="FFFFFF"/>
            <w:tcMar>
              <w:top w:w="0" w:type="dxa"/>
              <w:left w:w="108" w:type="dxa"/>
              <w:bottom w:w="0" w:type="dxa"/>
              <w:right w:w="108" w:type="dxa"/>
            </w:tcMar>
            <w:vAlign w:val="center"/>
          </w:tcPr>
          <w:p w14:paraId="52DB32C4"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Degree of integration of biodiversity/nature conservation into sectoral legislation</w:t>
            </w:r>
          </w:p>
        </w:tc>
        <w:tc>
          <w:tcPr>
            <w:tcW w:w="1153" w:type="pct"/>
            <w:shd w:val="clear" w:color="auto" w:fill="FFFFFF"/>
            <w:tcMar>
              <w:top w:w="0" w:type="dxa"/>
              <w:left w:w="108" w:type="dxa"/>
              <w:bottom w:w="0" w:type="dxa"/>
              <w:right w:w="108" w:type="dxa"/>
            </w:tcMar>
            <w:vAlign w:val="center"/>
          </w:tcPr>
          <w:p w14:paraId="3E377852"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biodiversity / nature conservation is not sufficiently integrated into sectoral legislation</w:t>
            </w:r>
          </w:p>
        </w:tc>
        <w:tc>
          <w:tcPr>
            <w:tcW w:w="1178" w:type="pct"/>
            <w:shd w:val="clear" w:color="auto" w:fill="FFFFFF"/>
            <w:vAlign w:val="center"/>
          </w:tcPr>
          <w:p w14:paraId="710FC9F0"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Sectoral laws provide for a long-term conservation of the biodiversity/nature in the Federation of BiH</w:t>
            </w:r>
          </w:p>
        </w:tc>
      </w:tr>
      <w:tr w:rsidR="00B02183" w:rsidRPr="007C4D65" w14:paraId="4C02D198" w14:textId="77777777" w:rsidTr="00B6017F">
        <w:trPr>
          <w:trHeight w:val="483"/>
        </w:trPr>
        <w:tc>
          <w:tcPr>
            <w:tcW w:w="672" w:type="pct"/>
            <w:vMerge/>
            <w:shd w:val="clear" w:color="auto" w:fill="D9D9D9"/>
            <w:vAlign w:val="center"/>
            <w:hideMark/>
          </w:tcPr>
          <w:p w14:paraId="215CBC7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43" w:type="pct"/>
            <w:vMerge/>
            <w:vAlign w:val="center"/>
            <w:hideMark/>
          </w:tcPr>
          <w:p w14:paraId="7DB7645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shd w:val="clear" w:color="auto" w:fill="D9D9D9"/>
            <w:tcMar>
              <w:top w:w="0" w:type="dxa"/>
              <w:left w:w="108" w:type="dxa"/>
              <w:bottom w:w="0" w:type="dxa"/>
              <w:right w:w="108" w:type="dxa"/>
            </w:tcMar>
            <w:vAlign w:val="center"/>
            <w:hideMark/>
          </w:tcPr>
          <w:p w14:paraId="7F915D81" w14:textId="44DDDC38"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3" w:type="pct"/>
            <w:shd w:val="clear" w:color="auto" w:fill="D9D9D9"/>
            <w:tcMar>
              <w:top w:w="0" w:type="dxa"/>
              <w:left w:w="108" w:type="dxa"/>
              <w:bottom w:w="0" w:type="dxa"/>
              <w:right w:w="108" w:type="dxa"/>
            </w:tcMar>
            <w:vAlign w:val="center"/>
            <w:hideMark/>
          </w:tcPr>
          <w:p w14:paraId="06BD2078"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78" w:type="pct"/>
            <w:shd w:val="clear" w:color="auto" w:fill="D9D9D9"/>
            <w:tcMar>
              <w:top w:w="0" w:type="dxa"/>
              <w:left w:w="108" w:type="dxa"/>
              <w:bottom w:w="0" w:type="dxa"/>
              <w:right w:w="108" w:type="dxa"/>
            </w:tcMar>
            <w:vAlign w:val="center"/>
            <w:hideMark/>
          </w:tcPr>
          <w:p w14:paraId="20933FC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0434D577" w14:textId="77777777" w:rsidTr="00B6017F">
        <w:trPr>
          <w:trHeight w:val="287"/>
        </w:trPr>
        <w:tc>
          <w:tcPr>
            <w:tcW w:w="672" w:type="pct"/>
            <w:vMerge/>
            <w:shd w:val="clear" w:color="auto" w:fill="D9D9D9"/>
            <w:vAlign w:val="center"/>
            <w:hideMark/>
          </w:tcPr>
          <w:p w14:paraId="232F8A5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43" w:type="pct"/>
            <w:vMerge/>
            <w:vAlign w:val="center"/>
            <w:hideMark/>
          </w:tcPr>
          <w:p w14:paraId="71D9ED9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tcMar>
              <w:top w:w="0" w:type="dxa"/>
              <w:left w:w="108" w:type="dxa"/>
              <w:bottom w:w="0" w:type="dxa"/>
              <w:right w:w="108" w:type="dxa"/>
            </w:tcMar>
            <w:vAlign w:val="center"/>
          </w:tcPr>
          <w:p w14:paraId="507C7B1E"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0.049</w:t>
            </w:r>
          </w:p>
        </w:tc>
        <w:tc>
          <w:tcPr>
            <w:tcW w:w="1153" w:type="pct"/>
            <w:tcMar>
              <w:top w:w="0" w:type="dxa"/>
              <w:left w:w="108" w:type="dxa"/>
              <w:bottom w:w="0" w:type="dxa"/>
              <w:right w:w="108" w:type="dxa"/>
            </w:tcMar>
            <w:vAlign w:val="center"/>
          </w:tcPr>
          <w:p w14:paraId="528C0FD4"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78" w:type="pct"/>
            <w:tcMar>
              <w:top w:w="0" w:type="dxa"/>
              <w:left w:w="108" w:type="dxa"/>
              <w:bottom w:w="0" w:type="dxa"/>
              <w:right w:w="108" w:type="dxa"/>
            </w:tcMar>
            <w:vAlign w:val="center"/>
          </w:tcPr>
          <w:p w14:paraId="6248215D"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0.049</w:t>
            </w:r>
          </w:p>
        </w:tc>
      </w:tr>
    </w:tbl>
    <w:p w14:paraId="79EDE03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39"/>
        <w:gridCol w:w="2410"/>
        <w:gridCol w:w="3233"/>
        <w:gridCol w:w="3233"/>
        <w:gridCol w:w="3233"/>
      </w:tblGrid>
      <w:tr w:rsidR="00B02183" w:rsidRPr="007C4D65" w14:paraId="00506EAE" w14:textId="77777777" w:rsidTr="00B6017F">
        <w:trPr>
          <w:trHeight w:val="384"/>
        </w:trPr>
        <w:tc>
          <w:tcPr>
            <w:tcW w:w="659" w:type="pct"/>
            <w:vMerge w:val="restart"/>
            <w:shd w:val="clear" w:color="auto" w:fill="D9D9D9"/>
            <w:tcMar>
              <w:top w:w="0" w:type="dxa"/>
              <w:left w:w="108" w:type="dxa"/>
              <w:bottom w:w="0" w:type="dxa"/>
              <w:right w:w="108" w:type="dxa"/>
            </w:tcMar>
            <w:vAlign w:val="center"/>
          </w:tcPr>
          <w:p w14:paraId="35BE86DA"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3.8 Priority</w:t>
            </w:r>
          </w:p>
        </w:tc>
        <w:tc>
          <w:tcPr>
            <w:tcW w:w="864" w:type="pct"/>
            <w:vMerge w:val="restart"/>
            <w:tcMar>
              <w:top w:w="0" w:type="dxa"/>
              <w:left w:w="108" w:type="dxa"/>
              <w:bottom w:w="0" w:type="dxa"/>
              <w:right w:w="108" w:type="dxa"/>
            </w:tcMar>
            <w:vAlign w:val="center"/>
          </w:tcPr>
          <w:p w14:paraId="694824F2" w14:textId="7AE5E36C" w:rsidR="00B02183" w:rsidRPr="007C4D65" w:rsidRDefault="00B02183"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color w:val="000000"/>
                <w:sz w:val="18"/>
              </w:rPr>
              <w:t xml:space="preserve">Enhance science-based </w:t>
            </w:r>
            <w:r w:rsidR="009F16BA" w:rsidRPr="007C4D65">
              <w:rPr>
                <w:rFonts w:asciiTheme="minorHAnsi" w:hAnsiTheme="minorHAnsi" w:cstheme="minorHAnsi"/>
                <w:b/>
                <w:color w:val="000000"/>
                <w:sz w:val="18"/>
              </w:rPr>
              <w:t xml:space="preserve">decision-making  </w:t>
            </w:r>
            <w:r w:rsidRPr="007C4D65">
              <w:rPr>
                <w:rFonts w:asciiTheme="minorHAnsi" w:hAnsiTheme="minorHAnsi" w:cstheme="minorHAnsi"/>
                <w:b/>
                <w:color w:val="000000"/>
                <w:sz w:val="18"/>
              </w:rPr>
              <w:t xml:space="preserve"> on biodiversity/nature through </w:t>
            </w:r>
            <w:r w:rsidRPr="007C4D65">
              <w:rPr>
                <w:rFonts w:asciiTheme="minorHAnsi" w:hAnsiTheme="minorHAnsi" w:cstheme="minorHAnsi"/>
                <w:b/>
                <w:color w:val="000000"/>
                <w:sz w:val="18"/>
              </w:rPr>
              <w:lastRenderedPageBreak/>
              <w:t>a dialog of the scientific community and decision makers</w:t>
            </w:r>
          </w:p>
        </w:tc>
        <w:tc>
          <w:tcPr>
            <w:tcW w:w="1159" w:type="pct"/>
            <w:shd w:val="clear" w:color="auto" w:fill="D9D9D9"/>
            <w:tcMar>
              <w:top w:w="0" w:type="dxa"/>
              <w:left w:w="108" w:type="dxa"/>
              <w:bottom w:w="0" w:type="dxa"/>
              <w:right w:w="108" w:type="dxa"/>
            </w:tcMar>
            <w:vAlign w:val="center"/>
          </w:tcPr>
          <w:p w14:paraId="0FBE4A42"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lastRenderedPageBreak/>
              <w:t>Priority indicators</w:t>
            </w:r>
          </w:p>
        </w:tc>
        <w:tc>
          <w:tcPr>
            <w:tcW w:w="1159" w:type="pct"/>
            <w:shd w:val="clear" w:color="auto" w:fill="D9D9D9"/>
            <w:tcMar>
              <w:top w:w="0" w:type="dxa"/>
              <w:left w:w="108" w:type="dxa"/>
              <w:bottom w:w="0" w:type="dxa"/>
              <w:right w:w="108" w:type="dxa"/>
            </w:tcMar>
            <w:vAlign w:val="center"/>
          </w:tcPr>
          <w:p w14:paraId="12338080"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5CD55CA8"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7F908E4E" w14:textId="77777777" w:rsidTr="00B6017F">
        <w:trPr>
          <w:trHeight w:val="287"/>
        </w:trPr>
        <w:tc>
          <w:tcPr>
            <w:tcW w:w="659" w:type="pct"/>
            <w:vMerge/>
            <w:shd w:val="clear" w:color="auto" w:fill="D9D9D9"/>
            <w:vAlign w:val="center"/>
            <w:hideMark/>
          </w:tcPr>
          <w:p w14:paraId="28B2ADE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69C7371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1A9934FD" w14:textId="4D024D80"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Use of multidisciplinary analyses and </w:t>
            </w:r>
            <w:r w:rsidR="00830279" w:rsidRPr="007C4D65">
              <w:rPr>
                <w:rFonts w:asciiTheme="minorHAnsi" w:hAnsiTheme="minorHAnsi" w:cstheme="minorHAnsi"/>
                <w:sz w:val="18"/>
              </w:rPr>
              <w:t>scenarios</w:t>
            </w:r>
            <w:r w:rsidRPr="007C4D65">
              <w:rPr>
                <w:rFonts w:asciiTheme="minorHAnsi" w:hAnsiTheme="minorHAnsi" w:cstheme="minorHAnsi"/>
                <w:sz w:val="18"/>
              </w:rPr>
              <w:t xml:space="preserve"> in </w:t>
            </w:r>
            <w:r w:rsidR="009F16BA" w:rsidRPr="007C4D65">
              <w:rPr>
                <w:rFonts w:asciiTheme="minorHAnsi" w:hAnsiTheme="minorHAnsi" w:cstheme="minorHAnsi"/>
                <w:sz w:val="18"/>
              </w:rPr>
              <w:t>decision-making</w:t>
            </w:r>
          </w:p>
        </w:tc>
        <w:tc>
          <w:tcPr>
            <w:tcW w:w="1159" w:type="pct"/>
            <w:tcMar>
              <w:top w:w="0" w:type="dxa"/>
              <w:left w:w="108" w:type="dxa"/>
              <w:bottom w:w="0" w:type="dxa"/>
              <w:right w:w="108" w:type="dxa"/>
            </w:tcMar>
          </w:tcPr>
          <w:p w14:paraId="02929A44" w14:textId="7B2DDCEA"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Scientific data are not sufficiently used in </w:t>
            </w:r>
            <w:r w:rsidR="009F16BA" w:rsidRPr="007C4D65">
              <w:rPr>
                <w:rFonts w:asciiTheme="minorHAnsi" w:hAnsiTheme="minorHAnsi" w:cstheme="minorHAnsi"/>
                <w:sz w:val="18"/>
              </w:rPr>
              <w:t xml:space="preserve">decision-making </w:t>
            </w:r>
            <w:r w:rsidRPr="007C4D65">
              <w:rPr>
                <w:rFonts w:asciiTheme="minorHAnsi" w:hAnsiTheme="minorHAnsi" w:cstheme="minorHAnsi"/>
                <w:sz w:val="18"/>
              </w:rPr>
              <w:t>processes (2022)</w:t>
            </w:r>
          </w:p>
        </w:tc>
        <w:tc>
          <w:tcPr>
            <w:tcW w:w="1159" w:type="pct"/>
            <w:tcMar>
              <w:top w:w="0" w:type="dxa"/>
              <w:left w:w="108" w:type="dxa"/>
              <w:bottom w:w="0" w:type="dxa"/>
              <w:right w:w="108" w:type="dxa"/>
            </w:tcMar>
          </w:tcPr>
          <w:p w14:paraId="4D34D9B3" w14:textId="5582A208"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Scientific data, analyses, and s</w:t>
            </w:r>
            <w:r w:rsidR="00830279" w:rsidRPr="007C4D65">
              <w:rPr>
                <w:rFonts w:asciiTheme="minorHAnsi" w:hAnsiTheme="minorHAnsi" w:cstheme="minorHAnsi"/>
                <w:sz w:val="18"/>
              </w:rPr>
              <w:t>cenarios</w:t>
            </w:r>
            <w:r w:rsidRPr="007C4D65">
              <w:rPr>
                <w:rFonts w:asciiTheme="minorHAnsi" w:hAnsiTheme="minorHAnsi" w:cstheme="minorHAnsi"/>
                <w:sz w:val="18"/>
              </w:rPr>
              <w:t xml:space="preserve"> are the basis for </w:t>
            </w:r>
            <w:r w:rsidR="009F16BA" w:rsidRPr="007C4D65">
              <w:rPr>
                <w:rFonts w:asciiTheme="minorHAnsi" w:hAnsiTheme="minorHAnsi" w:cstheme="minorHAnsi"/>
                <w:sz w:val="18"/>
              </w:rPr>
              <w:t>decision-making</w:t>
            </w:r>
          </w:p>
        </w:tc>
      </w:tr>
      <w:tr w:rsidR="00B02183" w:rsidRPr="007C4D65" w14:paraId="700E97FD" w14:textId="77777777" w:rsidTr="00B6017F">
        <w:trPr>
          <w:trHeight w:val="287"/>
        </w:trPr>
        <w:tc>
          <w:tcPr>
            <w:tcW w:w="659" w:type="pct"/>
            <w:vMerge/>
            <w:shd w:val="clear" w:color="auto" w:fill="D9D9D9"/>
            <w:vAlign w:val="center"/>
          </w:tcPr>
          <w:p w14:paraId="67B034D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6DE88C6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0D5F12E7"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Number of events organised for information sharing between academia and policy makers</w:t>
            </w:r>
          </w:p>
        </w:tc>
        <w:tc>
          <w:tcPr>
            <w:tcW w:w="1159" w:type="pct"/>
            <w:tcMar>
              <w:top w:w="0" w:type="dxa"/>
              <w:left w:w="108" w:type="dxa"/>
              <w:bottom w:w="0" w:type="dxa"/>
              <w:right w:w="108" w:type="dxa"/>
            </w:tcMar>
          </w:tcPr>
          <w:p w14:paraId="1364E67C" w14:textId="7BCA2D4E"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Platform for information sharing </w:t>
            </w:r>
            <w:r w:rsidR="00830279" w:rsidRPr="007C4D65">
              <w:rPr>
                <w:rFonts w:asciiTheme="minorHAnsi" w:hAnsiTheme="minorHAnsi" w:cstheme="minorHAnsi"/>
                <w:sz w:val="18"/>
              </w:rPr>
              <w:t>between</w:t>
            </w:r>
            <w:r w:rsidRPr="007C4D65">
              <w:rPr>
                <w:rFonts w:asciiTheme="minorHAnsi" w:hAnsiTheme="minorHAnsi" w:cstheme="minorHAnsi"/>
                <w:sz w:val="18"/>
              </w:rPr>
              <w:t xml:space="preserve"> </w:t>
            </w:r>
            <w:r w:rsidR="00830279" w:rsidRPr="007C4D65">
              <w:rPr>
                <w:rFonts w:asciiTheme="minorHAnsi" w:hAnsiTheme="minorHAnsi" w:cstheme="minorHAnsi"/>
                <w:sz w:val="18"/>
              </w:rPr>
              <w:t>academia</w:t>
            </w:r>
            <w:r w:rsidRPr="007C4D65">
              <w:rPr>
                <w:rFonts w:asciiTheme="minorHAnsi" w:hAnsiTheme="minorHAnsi" w:cstheme="minorHAnsi"/>
                <w:sz w:val="18"/>
              </w:rPr>
              <w:t xml:space="preserve"> and policy makers</w:t>
            </w:r>
          </w:p>
        </w:tc>
        <w:tc>
          <w:tcPr>
            <w:tcW w:w="1159" w:type="pct"/>
            <w:tcMar>
              <w:top w:w="0" w:type="dxa"/>
              <w:left w:w="108" w:type="dxa"/>
              <w:bottom w:w="0" w:type="dxa"/>
              <w:right w:w="108" w:type="dxa"/>
            </w:tcMar>
          </w:tcPr>
          <w:p w14:paraId="20EAF03A"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A continued dialogue between academia and policy makers (2030)</w:t>
            </w:r>
          </w:p>
        </w:tc>
      </w:tr>
      <w:tr w:rsidR="00B02183" w:rsidRPr="007C4D65" w14:paraId="41FA969E" w14:textId="77777777" w:rsidTr="00B6017F">
        <w:trPr>
          <w:trHeight w:val="287"/>
        </w:trPr>
        <w:tc>
          <w:tcPr>
            <w:tcW w:w="659" w:type="pct"/>
            <w:vMerge/>
            <w:shd w:val="clear" w:color="auto" w:fill="D9D9D9"/>
            <w:vAlign w:val="center"/>
            <w:hideMark/>
          </w:tcPr>
          <w:p w14:paraId="7AE9CA9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760D91C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019DEBBE" w14:textId="18E272AA"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22697BE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43C39A1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45492323" w14:textId="77777777" w:rsidTr="00B6017F">
        <w:trPr>
          <w:trHeight w:val="287"/>
        </w:trPr>
        <w:tc>
          <w:tcPr>
            <w:tcW w:w="659" w:type="pct"/>
            <w:vMerge/>
            <w:shd w:val="clear" w:color="auto" w:fill="D9D9D9"/>
            <w:vAlign w:val="center"/>
          </w:tcPr>
          <w:p w14:paraId="4571071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C2AA39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2AD30A09"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0.211</w:t>
            </w:r>
          </w:p>
        </w:tc>
        <w:tc>
          <w:tcPr>
            <w:tcW w:w="1159" w:type="pct"/>
            <w:tcMar>
              <w:top w:w="0" w:type="dxa"/>
              <w:left w:w="108" w:type="dxa"/>
              <w:bottom w:w="0" w:type="dxa"/>
              <w:right w:w="108" w:type="dxa"/>
            </w:tcMar>
            <w:vAlign w:val="center"/>
          </w:tcPr>
          <w:p w14:paraId="7D34D2DB"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6E8A28B9"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0.211</w:t>
            </w:r>
          </w:p>
        </w:tc>
      </w:tr>
    </w:tbl>
    <w:p w14:paraId="21D5DF24"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25"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37"/>
        <w:gridCol w:w="2409"/>
        <w:gridCol w:w="3234"/>
        <w:gridCol w:w="3234"/>
        <w:gridCol w:w="3304"/>
      </w:tblGrid>
      <w:tr w:rsidR="00B02183" w:rsidRPr="007C4D65" w14:paraId="2FFCAD1D" w14:textId="77777777" w:rsidTr="00B6017F">
        <w:trPr>
          <w:trHeight w:val="483"/>
        </w:trPr>
        <w:tc>
          <w:tcPr>
            <w:tcW w:w="655" w:type="pct"/>
            <w:vMerge w:val="restart"/>
            <w:shd w:val="clear" w:color="auto" w:fill="D9D9D9"/>
            <w:tcMar>
              <w:top w:w="0" w:type="dxa"/>
              <w:left w:w="108" w:type="dxa"/>
              <w:bottom w:w="0" w:type="dxa"/>
              <w:right w:w="108" w:type="dxa"/>
            </w:tcMar>
            <w:vAlign w:val="center"/>
            <w:hideMark/>
          </w:tcPr>
          <w:p w14:paraId="24DE315C"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3.8.1 Measure</w:t>
            </w:r>
          </w:p>
        </w:tc>
        <w:tc>
          <w:tcPr>
            <w:tcW w:w="859" w:type="pct"/>
            <w:vMerge w:val="restart"/>
            <w:tcMar>
              <w:top w:w="0" w:type="dxa"/>
              <w:left w:w="108" w:type="dxa"/>
              <w:bottom w:w="0" w:type="dxa"/>
              <w:right w:w="108" w:type="dxa"/>
            </w:tcMar>
            <w:vAlign w:val="center"/>
          </w:tcPr>
          <w:p w14:paraId="7B18629F" w14:textId="77777777" w:rsidR="00B02183" w:rsidRPr="007C4D65" w:rsidRDefault="00B02183" w:rsidP="00B02183">
            <w:pPr>
              <w:spacing w:after="120" w:line="276" w:lineRule="auto"/>
              <w:ind w:hanging="2"/>
              <w:contextualSpacing/>
              <w:rPr>
                <w:rFonts w:asciiTheme="minorHAnsi" w:hAnsiTheme="minorHAnsi" w:cstheme="minorHAnsi"/>
                <w:bCs/>
                <w:sz w:val="18"/>
                <w:szCs w:val="18"/>
              </w:rPr>
            </w:pPr>
            <w:r w:rsidRPr="007C4D65">
              <w:rPr>
                <w:rFonts w:asciiTheme="minorHAnsi" w:hAnsiTheme="minorHAnsi" w:cstheme="minorHAnsi"/>
                <w:sz w:val="18"/>
              </w:rPr>
              <w:t>Use conclusions, messages, scenarios of multidisciplinary analyses and up-to-date scientific data in making decisions that affect the state of biodiversity/nature of the Federation of BiH</w:t>
            </w:r>
          </w:p>
        </w:tc>
        <w:tc>
          <w:tcPr>
            <w:tcW w:w="1153" w:type="pct"/>
            <w:shd w:val="clear" w:color="auto" w:fill="D9D9D9"/>
            <w:tcMar>
              <w:top w:w="0" w:type="dxa"/>
              <w:left w:w="108" w:type="dxa"/>
              <w:bottom w:w="0" w:type="dxa"/>
              <w:right w:w="108" w:type="dxa"/>
            </w:tcMar>
            <w:vAlign w:val="center"/>
            <w:hideMark/>
          </w:tcPr>
          <w:p w14:paraId="718C638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3" w:type="pct"/>
            <w:shd w:val="clear" w:color="auto" w:fill="D9D9D9"/>
            <w:tcMar>
              <w:top w:w="0" w:type="dxa"/>
              <w:left w:w="108" w:type="dxa"/>
              <w:bottom w:w="0" w:type="dxa"/>
              <w:right w:w="108" w:type="dxa"/>
            </w:tcMar>
            <w:vAlign w:val="center"/>
            <w:hideMark/>
          </w:tcPr>
          <w:p w14:paraId="31D3E061"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78" w:type="pct"/>
            <w:shd w:val="clear" w:color="auto" w:fill="D9D9D9"/>
            <w:vAlign w:val="center"/>
          </w:tcPr>
          <w:p w14:paraId="2853C01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058F5520" w14:textId="77777777" w:rsidTr="00B6017F">
        <w:trPr>
          <w:trHeight w:val="287"/>
        </w:trPr>
        <w:tc>
          <w:tcPr>
            <w:tcW w:w="655" w:type="pct"/>
            <w:vMerge/>
            <w:shd w:val="clear" w:color="auto" w:fill="D9D9D9"/>
            <w:vAlign w:val="center"/>
          </w:tcPr>
          <w:p w14:paraId="0B89EFF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59" w:type="pct"/>
            <w:vMerge/>
            <w:vAlign w:val="center"/>
          </w:tcPr>
          <w:p w14:paraId="45C722E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shd w:val="clear" w:color="auto" w:fill="FFFFFF"/>
            <w:tcMar>
              <w:top w:w="0" w:type="dxa"/>
              <w:left w:w="108" w:type="dxa"/>
              <w:bottom w:w="0" w:type="dxa"/>
              <w:right w:w="108" w:type="dxa"/>
            </w:tcMar>
            <w:vAlign w:val="center"/>
          </w:tcPr>
          <w:p w14:paraId="0391F745" w14:textId="525CAAEF"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degree of use of scientific analysis in the </w:t>
            </w:r>
            <w:r w:rsidR="009F16BA" w:rsidRPr="007C4D65">
              <w:rPr>
                <w:rFonts w:asciiTheme="minorHAnsi" w:hAnsiTheme="minorHAnsi" w:cstheme="minorHAnsi"/>
                <w:sz w:val="18"/>
              </w:rPr>
              <w:t>decision-making</w:t>
            </w:r>
            <w:r w:rsidRPr="007C4D65">
              <w:rPr>
                <w:rFonts w:asciiTheme="minorHAnsi" w:hAnsiTheme="minorHAnsi" w:cstheme="minorHAnsi"/>
                <w:sz w:val="18"/>
              </w:rPr>
              <w:t xml:space="preserve"> process </w:t>
            </w:r>
          </w:p>
        </w:tc>
        <w:tc>
          <w:tcPr>
            <w:tcW w:w="1153" w:type="pct"/>
            <w:shd w:val="clear" w:color="auto" w:fill="FFFFFF"/>
            <w:tcMar>
              <w:top w:w="0" w:type="dxa"/>
              <w:left w:w="108" w:type="dxa"/>
              <w:bottom w:w="0" w:type="dxa"/>
              <w:right w:w="108" w:type="dxa"/>
            </w:tcMar>
            <w:vAlign w:val="center"/>
          </w:tcPr>
          <w:p w14:paraId="11C7CA44"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Low</w:t>
            </w:r>
          </w:p>
        </w:tc>
        <w:tc>
          <w:tcPr>
            <w:tcW w:w="1178" w:type="pct"/>
            <w:shd w:val="clear" w:color="auto" w:fill="FFFFFF"/>
            <w:vAlign w:val="center"/>
          </w:tcPr>
          <w:p w14:paraId="38A74F05"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High</w:t>
            </w:r>
          </w:p>
        </w:tc>
      </w:tr>
      <w:tr w:rsidR="00B02183" w:rsidRPr="007C4D65" w14:paraId="2C8AD61B" w14:textId="77777777" w:rsidTr="00B6017F">
        <w:trPr>
          <w:trHeight w:val="483"/>
        </w:trPr>
        <w:tc>
          <w:tcPr>
            <w:tcW w:w="655" w:type="pct"/>
            <w:vMerge/>
            <w:shd w:val="clear" w:color="auto" w:fill="D9D9D9"/>
            <w:vAlign w:val="center"/>
            <w:hideMark/>
          </w:tcPr>
          <w:p w14:paraId="66C16C16"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59" w:type="pct"/>
            <w:vMerge/>
            <w:vAlign w:val="center"/>
            <w:hideMark/>
          </w:tcPr>
          <w:p w14:paraId="255C826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shd w:val="clear" w:color="auto" w:fill="D9D9D9"/>
            <w:tcMar>
              <w:top w:w="0" w:type="dxa"/>
              <w:left w:w="108" w:type="dxa"/>
              <w:bottom w:w="0" w:type="dxa"/>
              <w:right w:w="108" w:type="dxa"/>
            </w:tcMar>
            <w:vAlign w:val="center"/>
            <w:hideMark/>
          </w:tcPr>
          <w:p w14:paraId="690461CB" w14:textId="6BA5874A"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3" w:type="pct"/>
            <w:shd w:val="clear" w:color="auto" w:fill="D9D9D9"/>
            <w:tcMar>
              <w:top w:w="0" w:type="dxa"/>
              <w:left w:w="108" w:type="dxa"/>
              <w:bottom w:w="0" w:type="dxa"/>
              <w:right w:w="108" w:type="dxa"/>
            </w:tcMar>
            <w:vAlign w:val="center"/>
            <w:hideMark/>
          </w:tcPr>
          <w:p w14:paraId="68288C8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78" w:type="pct"/>
            <w:shd w:val="clear" w:color="auto" w:fill="D9D9D9"/>
            <w:tcMar>
              <w:top w:w="0" w:type="dxa"/>
              <w:left w:w="108" w:type="dxa"/>
              <w:bottom w:w="0" w:type="dxa"/>
              <w:right w:w="108" w:type="dxa"/>
            </w:tcMar>
            <w:vAlign w:val="center"/>
            <w:hideMark/>
          </w:tcPr>
          <w:p w14:paraId="76A4D4F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66E95DAF" w14:textId="77777777" w:rsidTr="00B6017F">
        <w:trPr>
          <w:trHeight w:val="287"/>
        </w:trPr>
        <w:tc>
          <w:tcPr>
            <w:tcW w:w="655" w:type="pct"/>
            <w:vMerge/>
            <w:shd w:val="clear" w:color="auto" w:fill="D9D9D9"/>
            <w:vAlign w:val="center"/>
            <w:hideMark/>
          </w:tcPr>
          <w:p w14:paraId="6544A3A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59" w:type="pct"/>
            <w:vMerge/>
            <w:vAlign w:val="center"/>
            <w:hideMark/>
          </w:tcPr>
          <w:p w14:paraId="1546E8F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3" w:type="pct"/>
            <w:tcMar>
              <w:top w:w="0" w:type="dxa"/>
              <w:left w:w="108" w:type="dxa"/>
              <w:bottom w:w="0" w:type="dxa"/>
              <w:right w:w="108" w:type="dxa"/>
            </w:tcMar>
            <w:vAlign w:val="center"/>
          </w:tcPr>
          <w:p w14:paraId="5C649835"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0.030</w:t>
            </w:r>
          </w:p>
        </w:tc>
        <w:tc>
          <w:tcPr>
            <w:tcW w:w="1153" w:type="pct"/>
            <w:tcMar>
              <w:top w:w="0" w:type="dxa"/>
              <w:left w:w="108" w:type="dxa"/>
              <w:bottom w:w="0" w:type="dxa"/>
              <w:right w:w="108" w:type="dxa"/>
            </w:tcMar>
            <w:vAlign w:val="center"/>
          </w:tcPr>
          <w:p w14:paraId="1A301DD8"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78" w:type="pct"/>
            <w:tcMar>
              <w:top w:w="0" w:type="dxa"/>
              <w:left w:w="108" w:type="dxa"/>
              <w:bottom w:w="0" w:type="dxa"/>
              <w:right w:w="108" w:type="dxa"/>
            </w:tcMar>
            <w:vAlign w:val="center"/>
          </w:tcPr>
          <w:p w14:paraId="42F5B339"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0.030</w:t>
            </w:r>
          </w:p>
        </w:tc>
      </w:tr>
    </w:tbl>
    <w:p w14:paraId="21BBE375"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39"/>
        <w:gridCol w:w="2410"/>
        <w:gridCol w:w="3233"/>
        <w:gridCol w:w="3233"/>
        <w:gridCol w:w="3233"/>
      </w:tblGrid>
      <w:tr w:rsidR="00B02183" w:rsidRPr="007C4D65" w14:paraId="46F23D1E" w14:textId="77777777" w:rsidTr="00B6017F">
        <w:trPr>
          <w:trHeight w:val="483"/>
        </w:trPr>
        <w:tc>
          <w:tcPr>
            <w:tcW w:w="659" w:type="pct"/>
            <w:vMerge w:val="restart"/>
            <w:shd w:val="clear" w:color="auto" w:fill="D9D9D9"/>
            <w:tcMar>
              <w:top w:w="0" w:type="dxa"/>
              <w:left w:w="108" w:type="dxa"/>
              <w:bottom w:w="0" w:type="dxa"/>
              <w:right w:w="108" w:type="dxa"/>
            </w:tcMar>
            <w:vAlign w:val="center"/>
            <w:hideMark/>
          </w:tcPr>
          <w:p w14:paraId="4011D406"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3.8.2 Measure</w:t>
            </w:r>
          </w:p>
        </w:tc>
        <w:tc>
          <w:tcPr>
            <w:tcW w:w="864" w:type="pct"/>
            <w:vMerge w:val="restart"/>
            <w:tcMar>
              <w:top w:w="0" w:type="dxa"/>
              <w:left w:w="108" w:type="dxa"/>
              <w:bottom w:w="0" w:type="dxa"/>
              <w:right w:w="108" w:type="dxa"/>
            </w:tcMar>
            <w:vAlign w:val="center"/>
          </w:tcPr>
          <w:p w14:paraId="06FFBFD4"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In cooperation with the institutions of BiH, </w:t>
            </w:r>
            <w:proofErr w:type="spellStart"/>
            <w:r w:rsidRPr="007C4D65">
              <w:rPr>
                <w:rFonts w:asciiTheme="minorHAnsi" w:hAnsiTheme="minorHAnsi" w:cstheme="minorHAnsi"/>
                <w:sz w:val="18"/>
              </w:rPr>
              <w:t>Republika</w:t>
            </w:r>
            <w:proofErr w:type="spellEnd"/>
            <w:r w:rsidRPr="007C4D65">
              <w:rPr>
                <w:rFonts w:asciiTheme="minorHAnsi" w:hAnsiTheme="minorHAnsi" w:cstheme="minorHAnsi"/>
                <w:sz w:val="18"/>
              </w:rPr>
              <w:t xml:space="preserve"> Srpska and the Brcko District BiH, organize the exchange of information between the academic community and policy makers that affect the state of biodiversity/nature of BiH</w:t>
            </w:r>
          </w:p>
        </w:tc>
        <w:tc>
          <w:tcPr>
            <w:tcW w:w="1159" w:type="pct"/>
            <w:shd w:val="clear" w:color="auto" w:fill="D9D9D9"/>
            <w:tcMar>
              <w:top w:w="0" w:type="dxa"/>
              <w:left w:w="108" w:type="dxa"/>
              <w:bottom w:w="0" w:type="dxa"/>
              <w:right w:w="108" w:type="dxa"/>
            </w:tcMar>
            <w:vAlign w:val="center"/>
            <w:hideMark/>
          </w:tcPr>
          <w:p w14:paraId="1C6ECCB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61B0FBE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5DBD6C57"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6557F78B" w14:textId="77777777" w:rsidTr="00B6017F">
        <w:trPr>
          <w:trHeight w:val="287"/>
        </w:trPr>
        <w:tc>
          <w:tcPr>
            <w:tcW w:w="659" w:type="pct"/>
            <w:vMerge/>
            <w:shd w:val="clear" w:color="auto" w:fill="D9D9D9"/>
            <w:vAlign w:val="center"/>
          </w:tcPr>
          <w:p w14:paraId="561F76D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tcPr>
          <w:p w14:paraId="1020341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E7AF91F"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Degree of information exchange between the academic community and policy makers</w:t>
            </w:r>
          </w:p>
        </w:tc>
        <w:tc>
          <w:tcPr>
            <w:tcW w:w="1159" w:type="pct"/>
            <w:shd w:val="clear" w:color="auto" w:fill="FFFFFF"/>
            <w:tcMar>
              <w:top w:w="0" w:type="dxa"/>
              <w:left w:w="108" w:type="dxa"/>
              <w:bottom w:w="0" w:type="dxa"/>
              <w:right w:w="108" w:type="dxa"/>
            </w:tcMar>
            <w:vAlign w:val="center"/>
          </w:tcPr>
          <w:p w14:paraId="0EB3FEE5"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Low</w:t>
            </w:r>
          </w:p>
        </w:tc>
        <w:tc>
          <w:tcPr>
            <w:tcW w:w="1159" w:type="pct"/>
            <w:shd w:val="clear" w:color="auto" w:fill="FFFFFF"/>
            <w:vAlign w:val="center"/>
          </w:tcPr>
          <w:p w14:paraId="2A46487F"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High</w:t>
            </w:r>
          </w:p>
        </w:tc>
      </w:tr>
      <w:tr w:rsidR="00B02183" w:rsidRPr="007C4D65" w14:paraId="3DC4CBDE" w14:textId="77777777" w:rsidTr="00B6017F">
        <w:trPr>
          <w:trHeight w:val="483"/>
        </w:trPr>
        <w:tc>
          <w:tcPr>
            <w:tcW w:w="659" w:type="pct"/>
            <w:vMerge/>
            <w:shd w:val="clear" w:color="auto" w:fill="D9D9D9"/>
            <w:vAlign w:val="center"/>
            <w:hideMark/>
          </w:tcPr>
          <w:p w14:paraId="7AC06D4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432E330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5E69ABAD" w14:textId="778946FF"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16EBF4E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751EE85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5E0CF112" w14:textId="77777777" w:rsidTr="00B6017F">
        <w:trPr>
          <w:trHeight w:val="287"/>
        </w:trPr>
        <w:tc>
          <w:tcPr>
            <w:tcW w:w="659" w:type="pct"/>
            <w:vMerge/>
            <w:shd w:val="clear" w:color="auto" w:fill="D9D9D9"/>
            <w:vAlign w:val="center"/>
            <w:hideMark/>
          </w:tcPr>
          <w:p w14:paraId="41CDD13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4" w:type="pct"/>
            <w:vMerge/>
            <w:vAlign w:val="center"/>
            <w:hideMark/>
          </w:tcPr>
          <w:p w14:paraId="0FDF6B4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923E6F4"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0.181</w:t>
            </w:r>
          </w:p>
        </w:tc>
        <w:tc>
          <w:tcPr>
            <w:tcW w:w="1159" w:type="pct"/>
            <w:tcMar>
              <w:top w:w="0" w:type="dxa"/>
              <w:left w:w="108" w:type="dxa"/>
              <w:bottom w:w="0" w:type="dxa"/>
              <w:right w:w="108" w:type="dxa"/>
            </w:tcMar>
            <w:vAlign w:val="center"/>
          </w:tcPr>
          <w:p w14:paraId="415FD5CA"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1499743C"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0.181</w:t>
            </w:r>
          </w:p>
        </w:tc>
      </w:tr>
    </w:tbl>
    <w:p w14:paraId="3189201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bl>
      <w:tblPr>
        <w:tblW w:w="4939"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38"/>
        <w:gridCol w:w="2411"/>
        <w:gridCol w:w="3235"/>
        <w:gridCol w:w="3235"/>
        <w:gridCol w:w="3059"/>
      </w:tblGrid>
      <w:tr w:rsidR="00B02183" w:rsidRPr="007C4D65" w14:paraId="5CA7D3CF" w14:textId="77777777" w:rsidTr="00B6017F">
        <w:trPr>
          <w:trHeight w:val="384"/>
        </w:trPr>
        <w:tc>
          <w:tcPr>
            <w:tcW w:w="667" w:type="pct"/>
            <w:vMerge w:val="restart"/>
            <w:shd w:val="clear" w:color="auto" w:fill="D9D9D9"/>
            <w:tcMar>
              <w:top w:w="0" w:type="dxa"/>
              <w:left w:w="108" w:type="dxa"/>
              <w:bottom w:w="0" w:type="dxa"/>
              <w:right w:w="108" w:type="dxa"/>
            </w:tcMar>
            <w:vAlign w:val="center"/>
          </w:tcPr>
          <w:p w14:paraId="74A22445"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3.9 Priority</w:t>
            </w:r>
          </w:p>
          <w:p w14:paraId="0B56513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75" w:type="pct"/>
            <w:vMerge w:val="restart"/>
            <w:tcMar>
              <w:top w:w="0" w:type="dxa"/>
              <w:left w:w="108" w:type="dxa"/>
              <w:bottom w:w="0" w:type="dxa"/>
              <w:right w:w="108" w:type="dxa"/>
            </w:tcMar>
            <w:vAlign w:val="center"/>
          </w:tcPr>
          <w:p w14:paraId="0975B4D2" w14:textId="77777777" w:rsidR="00B02183" w:rsidRPr="007C4D65" w:rsidRDefault="00B02183"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Raising ecological awareness on biodiversity, nature conservation and ecosystem services</w:t>
            </w:r>
          </w:p>
        </w:tc>
        <w:tc>
          <w:tcPr>
            <w:tcW w:w="1174" w:type="pct"/>
            <w:shd w:val="clear" w:color="auto" w:fill="D9D9D9"/>
            <w:tcMar>
              <w:top w:w="0" w:type="dxa"/>
              <w:left w:w="108" w:type="dxa"/>
              <w:bottom w:w="0" w:type="dxa"/>
              <w:right w:w="108" w:type="dxa"/>
            </w:tcMar>
            <w:vAlign w:val="center"/>
          </w:tcPr>
          <w:p w14:paraId="03A6A4F9"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74" w:type="pct"/>
            <w:shd w:val="clear" w:color="auto" w:fill="D9D9D9"/>
            <w:tcMar>
              <w:top w:w="0" w:type="dxa"/>
              <w:left w:w="108" w:type="dxa"/>
              <w:bottom w:w="0" w:type="dxa"/>
              <w:right w:w="108" w:type="dxa"/>
            </w:tcMar>
            <w:vAlign w:val="center"/>
          </w:tcPr>
          <w:p w14:paraId="2B139F47"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11" w:type="pct"/>
            <w:shd w:val="clear" w:color="auto" w:fill="D9D9D9"/>
            <w:tcMar>
              <w:top w:w="0" w:type="dxa"/>
              <w:left w:w="108" w:type="dxa"/>
              <w:bottom w:w="0" w:type="dxa"/>
              <w:right w:w="108" w:type="dxa"/>
            </w:tcMar>
            <w:vAlign w:val="center"/>
          </w:tcPr>
          <w:p w14:paraId="2AD230D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2435F1EC" w14:textId="77777777" w:rsidTr="00B6017F">
        <w:trPr>
          <w:trHeight w:val="287"/>
        </w:trPr>
        <w:tc>
          <w:tcPr>
            <w:tcW w:w="667" w:type="pct"/>
            <w:vMerge/>
            <w:shd w:val="clear" w:color="auto" w:fill="D9D9D9"/>
            <w:vAlign w:val="center"/>
            <w:hideMark/>
          </w:tcPr>
          <w:p w14:paraId="2D759F2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75" w:type="pct"/>
            <w:vMerge/>
            <w:vAlign w:val="center"/>
            <w:hideMark/>
          </w:tcPr>
          <w:p w14:paraId="1466F3F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74" w:type="pct"/>
            <w:tcMar>
              <w:top w:w="0" w:type="dxa"/>
              <w:left w:w="108" w:type="dxa"/>
              <w:bottom w:w="0" w:type="dxa"/>
              <w:right w:w="108" w:type="dxa"/>
            </w:tcMar>
            <w:vAlign w:val="center"/>
          </w:tcPr>
          <w:p w14:paraId="4CAABE19"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Level of awareness among the population in the Federation of BiH</w:t>
            </w:r>
          </w:p>
        </w:tc>
        <w:tc>
          <w:tcPr>
            <w:tcW w:w="1174" w:type="pct"/>
            <w:tcMar>
              <w:top w:w="0" w:type="dxa"/>
              <w:left w:w="108" w:type="dxa"/>
              <w:bottom w:w="0" w:type="dxa"/>
              <w:right w:w="108" w:type="dxa"/>
            </w:tcMar>
            <w:vAlign w:val="center"/>
          </w:tcPr>
          <w:p w14:paraId="4D4B9DB9"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Low level of environmental awareness </w:t>
            </w:r>
          </w:p>
        </w:tc>
        <w:tc>
          <w:tcPr>
            <w:tcW w:w="1111" w:type="pct"/>
            <w:tcMar>
              <w:top w:w="0" w:type="dxa"/>
              <w:left w:w="108" w:type="dxa"/>
              <w:bottom w:w="0" w:type="dxa"/>
              <w:right w:w="108" w:type="dxa"/>
            </w:tcMar>
            <w:vAlign w:val="center"/>
          </w:tcPr>
          <w:p w14:paraId="68EE9779"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High level of environmental awareness</w:t>
            </w:r>
          </w:p>
        </w:tc>
      </w:tr>
      <w:tr w:rsidR="00B02183" w:rsidRPr="007C4D65" w14:paraId="26EE7A15" w14:textId="77777777" w:rsidTr="00B6017F">
        <w:trPr>
          <w:trHeight w:val="287"/>
        </w:trPr>
        <w:tc>
          <w:tcPr>
            <w:tcW w:w="667" w:type="pct"/>
            <w:vMerge/>
            <w:shd w:val="clear" w:color="auto" w:fill="D9D9D9"/>
            <w:vAlign w:val="center"/>
          </w:tcPr>
          <w:p w14:paraId="448EB2F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75" w:type="pct"/>
            <w:vMerge/>
            <w:vAlign w:val="center"/>
          </w:tcPr>
          <w:p w14:paraId="31748B7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74" w:type="pct"/>
            <w:tcMar>
              <w:top w:w="0" w:type="dxa"/>
              <w:left w:w="108" w:type="dxa"/>
              <w:bottom w:w="0" w:type="dxa"/>
              <w:right w:w="108" w:type="dxa"/>
            </w:tcMar>
            <w:vAlign w:val="center"/>
          </w:tcPr>
          <w:p w14:paraId="5F1736FC" w14:textId="22A94106"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Level of promotion of values and benefits from local biodiversity</w:t>
            </w:r>
          </w:p>
        </w:tc>
        <w:tc>
          <w:tcPr>
            <w:tcW w:w="1174" w:type="pct"/>
            <w:tcMar>
              <w:top w:w="0" w:type="dxa"/>
              <w:left w:w="108" w:type="dxa"/>
              <w:bottom w:w="0" w:type="dxa"/>
              <w:right w:w="108" w:type="dxa"/>
            </w:tcMar>
            <w:vAlign w:val="center"/>
          </w:tcPr>
          <w:p w14:paraId="18A54AD3"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promotion </w:t>
            </w:r>
            <w:proofErr w:type="gramStart"/>
            <w:r w:rsidRPr="007C4D65">
              <w:rPr>
                <w:rFonts w:asciiTheme="minorHAnsi" w:hAnsiTheme="minorHAnsi" w:cstheme="minorHAnsi"/>
                <w:sz w:val="18"/>
              </w:rPr>
              <w:t>of  the</w:t>
            </w:r>
            <w:proofErr w:type="gramEnd"/>
            <w:r w:rsidRPr="007C4D65">
              <w:rPr>
                <w:rFonts w:asciiTheme="minorHAnsi" w:hAnsiTheme="minorHAnsi" w:cstheme="minorHAnsi"/>
                <w:sz w:val="18"/>
              </w:rPr>
              <w:t xml:space="preserve"> of values and benefits from local biodiversity is poor (2022)</w:t>
            </w:r>
          </w:p>
        </w:tc>
        <w:tc>
          <w:tcPr>
            <w:tcW w:w="1111" w:type="pct"/>
            <w:tcMar>
              <w:top w:w="0" w:type="dxa"/>
              <w:left w:w="108" w:type="dxa"/>
              <w:bottom w:w="0" w:type="dxa"/>
              <w:right w:w="108" w:type="dxa"/>
            </w:tcMar>
            <w:vAlign w:val="center"/>
          </w:tcPr>
          <w:p w14:paraId="18343C00"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The population acknowledges the of values and benefits from local biodiversity (2030)</w:t>
            </w:r>
          </w:p>
        </w:tc>
      </w:tr>
      <w:tr w:rsidR="00B02183" w:rsidRPr="007C4D65" w14:paraId="153C900B" w14:textId="77777777" w:rsidTr="00B6017F">
        <w:trPr>
          <w:trHeight w:val="287"/>
        </w:trPr>
        <w:tc>
          <w:tcPr>
            <w:tcW w:w="667" w:type="pct"/>
            <w:vMerge/>
            <w:shd w:val="clear" w:color="auto" w:fill="D9D9D9"/>
            <w:vAlign w:val="center"/>
            <w:hideMark/>
          </w:tcPr>
          <w:p w14:paraId="25CE464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75" w:type="pct"/>
            <w:vMerge/>
            <w:vAlign w:val="center"/>
            <w:hideMark/>
          </w:tcPr>
          <w:p w14:paraId="756BED8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74" w:type="pct"/>
            <w:shd w:val="clear" w:color="auto" w:fill="D9D9D9"/>
            <w:tcMar>
              <w:top w:w="0" w:type="dxa"/>
              <w:left w:w="108" w:type="dxa"/>
              <w:bottom w:w="0" w:type="dxa"/>
              <w:right w:w="108" w:type="dxa"/>
            </w:tcMar>
            <w:vAlign w:val="center"/>
          </w:tcPr>
          <w:p w14:paraId="48847A62" w14:textId="035E8800"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74" w:type="pct"/>
            <w:shd w:val="clear" w:color="auto" w:fill="D9D9D9"/>
            <w:tcMar>
              <w:top w:w="0" w:type="dxa"/>
              <w:left w:w="108" w:type="dxa"/>
              <w:bottom w:w="0" w:type="dxa"/>
              <w:right w:w="108" w:type="dxa"/>
            </w:tcMar>
            <w:vAlign w:val="center"/>
          </w:tcPr>
          <w:p w14:paraId="1D57E4B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11" w:type="pct"/>
            <w:shd w:val="clear" w:color="auto" w:fill="D9D9D9"/>
            <w:tcMar>
              <w:top w:w="0" w:type="dxa"/>
              <w:left w:w="108" w:type="dxa"/>
              <w:bottom w:w="0" w:type="dxa"/>
              <w:right w:w="108" w:type="dxa"/>
            </w:tcMar>
            <w:vAlign w:val="center"/>
          </w:tcPr>
          <w:p w14:paraId="4FEEBFB0"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49BE4D4B" w14:textId="77777777" w:rsidTr="00B6017F">
        <w:trPr>
          <w:trHeight w:val="287"/>
        </w:trPr>
        <w:tc>
          <w:tcPr>
            <w:tcW w:w="667" w:type="pct"/>
            <w:vMerge/>
            <w:shd w:val="clear" w:color="auto" w:fill="D9D9D9"/>
            <w:vAlign w:val="center"/>
          </w:tcPr>
          <w:p w14:paraId="4F6EA5F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75" w:type="pct"/>
            <w:vMerge/>
            <w:vAlign w:val="center"/>
          </w:tcPr>
          <w:p w14:paraId="62E13EB5"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74" w:type="pct"/>
            <w:tcMar>
              <w:top w:w="0" w:type="dxa"/>
              <w:left w:w="108" w:type="dxa"/>
              <w:bottom w:w="0" w:type="dxa"/>
              <w:right w:w="108" w:type="dxa"/>
            </w:tcMar>
            <w:vAlign w:val="center"/>
          </w:tcPr>
          <w:p w14:paraId="762F810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0.111</w:t>
            </w:r>
          </w:p>
        </w:tc>
        <w:tc>
          <w:tcPr>
            <w:tcW w:w="1174" w:type="pct"/>
            <w:tcMar>
              <w:top w:w="0" w:type="dxa"/>
              <w:left w:w="108" w:type="dxa"/>
              <w:bottom w:w="0" w:type="dxa"/>
              <w:right w:w="108" w:type="dxa"/>
            </w:tcMar>
            <w:vAlign w:val="center"/>
          </w:tcPr>
          <w:p w14:paraId="17755970"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0.387</w:t>
            </w:r>
          </w:p>
        </w:tc>
        <w:tc>
          <w:tcPr>
            <w:tcW w:w="1111" w:type="pct"/>
            <w:tcMar>
              <w:top w:w="0" w:type="dxa"/>
              <w:left w:w="108" w:type="dxa"/>
              <w:bottom w:w="0" w:type="dxa"/>
              <w:right w:w="108" w:type="dxa"/>
            </w:tcMar>
            <w:vAlign w:val="center"/>
          </w:tcPr>
          <w:p w14:paraId="0BF4CF38"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0.498</w:t>
            </w:r>
          </w:p>
        </w:tc>
      </w:tr>
    </w:tbl>
    <w:p w14:paraId="24A807B2"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4975"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40"/>
        <w:gridCol w:w="2409"/>
        <w:gridCol w:w="3261"/>
        <w:gridCol w:w="3259"/>
        <w:gridCol w:w="3109"/>
      </w:tblGrid>
      <w:tr w:rsidR="00B02183" w:rsidRPr="007C4D65" w14:paraId="57A86918" w14:textId="77777777" w:rsidTr="00B6017F">
        <w:trPr>
          <w:trHeight w:val="483"/>
        </w:trPr>
        <w:tc>
          <w:tcPr>
            <w:tcW w:w="663" w:type="pct"/>
            <w:vMerge w:val="restart"/>
            <w:shd w:val="clear" w:color="auto" w:fill="D9D9D9"/>
            <w:tcMar>
              <w:top w:w="0" w:type="dxa"/>
              <w:left w:w="108" w:type="dxa"/>
              <w:bottom w:w="0" w:type="dxa"/>
              <w:right w:w="108" w:type="dxa"/>
            </w:tcMar>
            <w:vAlign w:val="center"/>
            <w:hideMark/>
          </w:tcPr>
          <w:p w14:paraId="5D3BFC26"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lastRenderedPageBreak/>
              <w:t>3.9.1 Measure</w:t>
            </w:r>
          </w:p>
        </w:tc>
        <w:tc>
          <w:tcPr>
            <w:tcW w:w="868" w:type="pct"/>
            <w:vMerge w:val="restart"/>
            <w:tcMar>
              <w:top w:w="0" w:type="dxa"/>
              <w:left w:w="108" w:type="dxa"/>
              <w:bottom w:w="0" w:type="dxa"/>
              <w:right w:w="108" w:type="dxa"/>
            </w:tcMar>
            <w:vAlign w:val="center"/>
          </w:tcPr>
          <w:p w14:paraId="61451864" w14:textId="52DA90B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Develop an effective network of non-governmental organizations for monitoring the state of biodiversity/nature, active participation in </w:t>
            </w:r>
            <w:r w:rsidR="009F16BA" w:rsidRPr="007C4D65">
              <w:rPr>
                <w:rFonts w:asciiTheme="minorHAnsi" w:hAnsiTheme="minorHAnsi" w:cstheme="minorHAnsi"/>
                <w:sz w:val="18"/>
              </w:rPr>
              <w:t xml:space="preserve">decision-making  </w:t>
            </w:r>
            <w:r w:rsidRPr="007C4D65">
              <w:rPr>
                <w:rFonts w:asciiTheme="minorHAnsi" w:hAnsiTheme="minorHAnsi" w:cstheme="minorHAnsi"/>
                <w:sz w:val="18"/>
              </w:rPr>
              <w:t xml:space="preserve"> and the promotion of sustainable development</w:t>
            </w:r>
          </w:p>
        </w:tc>
        <w:tc>
          <w:tcPr>
            <w:tcW w:w="1175" w:type="pct"/>
            <w:shd w:val="clear" w:color="auto" w:fill="D9D9D9"/>
            <w:tcMar>
              <w:top w:w="0" w:type="dxa"/>
              <w:left w:w="108" w:type="dxa"/>
              <w:bottom w:w="0" w:type="dxa"/>
              <w:right w:w="108" w:type="dxa"/>
            </w:tcMar>
            <w:vAlign w:val="center"/>
            <w:hideMark/>
          </w:tcPr>
          <w:p w14:paraId="32C5A55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74" w:type="pct"/>
            <w:shd w:val="clear" w:color="auto" w:fill="D9D9D9"/>
            <w:tcMar>
              <w:top w:w="0" w:type="dxa"/>
              <w:left w:w="108" w:type="dxa"/>
              <w:bottom w:w="0" w:type="dxa"/>
              <w:right w:w="108" w:type="dxa"/>
            </w:tcMar>
            <w:vAlign w:val="center"/>
            <w:hideMark/>
          </w:tcPr>
          <w:p w14:paraId="63641154"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20" w:type="pct"/>
            <w:shd w:val="clear" w:color="auto" w:fill="D9D9D9"/>
            <w:vAlign w:val="center"/>
          </w:tcPr>
          <w:p w14:paraId="10F9BBD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5FB166C6" w14:textId="77777777" w:rsidTr="00B6017F">
        <w:trPr>
          <w:trHeight w:val="287"/>
        </w:trPr>
        <w:tc>
          <w:tcPr>
            <w:tcW w:w="663" w:type="pct"/>
            <w:vMerge/>
            <w:shd w:val="clear" w:color="auto" w:fill="D9D9D9"/>
            <w:vAlign w:val="center"/>
          </w:tcPr>
          <w:p w14:paraId="72D4A1D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8" w:type="pct"/>
            <w:vMerge/>
            <w:vAlign w:val="center"/>
          </w:tcPr>
          <w:p w14:paraId="6250E8E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75" w:type="pct"/>
            <w:shd w:val="clear" w:color="auto" w:fill="FFFFFF"/>
            <w:tcMar>
              <w:top w:w="0" w:type="dxa"/>
              <w:left w:w="108" w:type="dxa"/>
              <w:bottom w:w="0" w:type="dxa"/>
              <w:right w:w="108" w:type="dxa"/>
            </w:tcMar>
            <w:vAlign w:val="center"/>
          </w:tcPr>
          <w:p w14:paraId="5503CA3F" w14:textId="523039E0"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level of environmental awareness of the population in the Federation of BiH </w:t>
            </w:r>
            <w:proofErr w:type="gramStart"/>
            <w:r w:rsidRPr="007C4D65">
              <w:rPr>
                <w:rFonts w:asciiTheme="minorHAnsi" w:hAnsiTheme="minorHAnsi" w:cstheme="minorHAnsi"/>
                <w:sz w:val="18"/>
              </w:rPr>
              <w:t>as a result of</w:t>
            </w:r>
            <w:proofErr w:type="gramEnd"/>
            <w:r w:rsidRPr="007C4D65">
              <w:rPr>
                <w:rFonts w:asciiTheme="minorHAnsi" w:hAnsiTheme="minorHAnsi" w:cstheme="minorHAnsi"/>
                <w:sz w:val="18"/>
              </w:rPr>
              <w:t xml:space="preserve"> the efforts of an efficient network of non-governmental organizations</w:t>
            </w:r>
          </w:p>
        </w:tc>
        <w:tc>
          <w:tcPr>
            <w:tcW w:w="1174" w:type="pct"/>
            <w:shd w:val="clear" w:color="auto" w:fill="FFFFFF"/>
            <w:tcMar>
              <w:top w:w="0" w:type="dxa"/>
              <w:left w:w="108" w:type="dxa"/>
              <w:bottom w:w="0" w:type="dxa"/>
              <w:right w:w="108" w:type="dxa"/>
            </w:tcMar>
            <w:vAlign w:val="center"/>
          </w:tcPr>
          <w:p w14:paraId="0D72B50C" w14:textId="1F293725"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Low level of environmental awareness</w:t>
            </w:r>
          </w:p>
        </w:tc>
        <w:tc>
          <w:tcPr>
            <w:tcW w:w="1120" w:type="pct"/>
            <w:shd w:val="clear" w:color="auto" w:fill="FFFFFF"/>
            <w:vAlign w:val="center"/>
          </w:tcPr>
          <w:p w14:paraId="04983EE4"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High level of environmental awareness</w:t>
            </w:r>
          </w:p>
        </w:tc>
      </w:tr>
      <w:tr w:rsidR="00B02183" w:rsidRPr="007C4D65" w14:paraId="4B4A1565" w14:textId="77777777" w:rsidTr="00B6017F">
        <w:trPr>
          <w:trHeight w:val="483"/>
        </w:trPr>
        <w:tc>
          <w:tcPr>
            <w:tcW w:w="663" w:type="pct"/>
            <w:vMerge/>
            <w:shd w:val="clear" w:color="auto" w:fill="D9D9D9"/>
            <w:vAlign w:val="center"/>
            <w:hideMark/>
          </w:tcPr>
          <w:p w14:paraId="33C0B1B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8" w:type="pct"/>
            <w:vMerge/>
            <w:vAlign w:val="center"/>
            <w:hideMark/>
          </w:tcPr>
          <w:p w14:paraId="026F8A8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75" w:type="pct"/>
            <w:shd w:val="clear" w:color="auto" w:fill="D9D9D9"/>
            <w:tcMar>
              <w:top w:w="0" w:type="dxa"/>
              <w:left w:w="108" w:type="dxa"/>
              <w:bottom w:w="0" w:type="dxa"/>
              <w:right w:w="108" w:type="dxa"/>
            </w:tcMar>
            <w:vAlign w:val="center"/>
            <w:hideMark/>
          </w:tcPr>
          <w:p w14:paraId="0C2177D1" w14:textId="35E9ABC8"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74" w:type="pct"/>
            <w:shd w:val="clear" w:color="auto" w:fill="D9D9D9"/>
            <w:tcMar>
              <w:top w:w="0" w:type="dxa"/>
              <w:left w:w="108" w:type="dxa"/>
              <w:bottom w:w="0" w:type="dxa"/>
              <w:right w:w="108" w:type="dxa"/>
            </w:tcMar>
            <w:vAlign w:val="center"/>
            <w:hideMark/>
          </w:tcPr>
          <w:p w14:paraId="7AFE578E"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20" w:type="pct"/>
            <w:shd w:val="clear" w:color="auto" w:fill="D9D9D9"/>
            <w:tcMar>
              <w:top w:w="0" w:type="dxa"/>
              <w:left w:w="108" w:type="dxa"/>
              <w:bottom w:w="0" w:type="dxa"/>
              <w:right w:w="108" w:type="dxa"/>
            </w:tcMar>
            <w:vAlign w:val="center"/>
            <w:hideMark/>
          </w:tcPr>
          <w:p w14:paraId="0A71D020"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28F0FF0A" w14:textId="77777777" w:rsidTr="00B6017F">
        <w:trPr>
          <w:trHeight w:val="287"/>
        </w:trPr>
        <w:tc>
          <w:tcPr>
            <w:tcW w:w="663" w:type="pct"/>
            <w:vMerge/>
            <w:shd w:val="clear" w:color="auto" w:fill="D9D9D9"/>
            <w:vAlign w:val="center"/>
            <w:hideMark/>
          </w:tcPr>
          <w:p w14:paraId="74239F4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8" w:type="pct"/>
            <w:vMerge/>
            <w:vAlign w:val="center"/>
            <w:hideMark/>
          </w:tcPr>
          <w:p w14:paraId="15A1591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75" w:type="pct"/>
            <w:tcMar>
              <w:top w:w="0" w:type="dxa"/>
              <w:left w:w="108" w:type="dxa"/>
              <w:bottom w:w="0" w:type="dxa"/>
              <w:right w:w="108" w:type="dxa"/>
            </w:tcMar>
            <w:vAlign w:val="center"/>
          </w:tcPr>
          <w:p w14:paraId="69E42837"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0.096</w:t>
            </w:r>
          </w:p>
        </w:tc>
        <w:tc>
          <w:tcPr>
            <w:tcW w:w="1174" w:type="pct"/>
            <w:tcMar>
              <w:top w:w="0" w:type="dxa"/>
              <w:left w:w="108" w:type="dxa"/>
              <w:bottom w:w="0" w:type="dxa"/>
              <w:right w:w="108" w:type="dxa"/>
            </w:tcMar>
            <w:vAlign w:val="center"/>
          </w:tcPr>
          <w:p w14:paraId="70E7A3CA"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0.387</w:t>
            </w:r>
          </w:p>
        </w:tc>
        <w:tc>
          <w:tcPr>
            <w:tcW w:w="1120" w:type="pct"/>
            <w:tcMar>
              <w:top w:w="0" w:type="dxa"/>
              <w:left w:w="108" w:type="dxa"/>
              <w:bottom w:w="0" w:type="dxa"/>
              <w:right w:w="108" w:type="dxa"/>
            </w:tcMar>
            <w:vAlign w:val="center"/>
          </w:tcPr>
          <w:p w14:paraId="0183661C"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0.484</w:t>
            </w:r>
          </w:p>
        </w:tc>
      </w:tr>
      <w:tr w:rsidR="00B02183" w:rsidRPr="007C4D65" w14:paraId="1DFBF60D" w14:textId="77777777" w:rsidTr="00B6017F">
        <w:trPr>
          <w:trHeight w:val="483"/>
        </w:trPr>
        <w:tc>
          <w:tcPr>
            <w:tcW w:w="663" w:type="pct"/>
            <w:vMerge w:val="restart"/>
            <w:shd w:val="clear" w:color="auto" w:fill="D9D9D9"/>
            <w:tcMar>
              <w:top w:w="0" w:type="dxa"/>
              <w:left w:w="108" w:type="dxa"/>
              <w:bottom w:w="0" w:type="dxa"/>
              <w:right w:w="108" w:type="dxa"/>
            </w:tcMar>
            <w:vAlign w:val="center"/>
            <w:hideMark/>
          </w:tcPr>
          <w:p w14:paraId="4074E552"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3.9.2 Measure</w:t>
            </w:r>
          </w:p>
        </w:tc>
        <w:tc>
          <w:tcPr>
            <w:tcW w:w="868" w:type="pct"/>
            <w:vMerge w:val="restart"/>
            <w:tcMar>
              <w:top w:w="0" w:type="dxa"/>
              <w:left w:w="108" w:type="dxa"/>
              <w:bottom w:w="0" w:type="dxa"/>
              <w:right w:w="108" w:type="dxa"/>
            </w:tcMar>
            <w:vAlign w:val="center"/>
          </w:tcPr>
          <w:p w14:paraId="5F8E5317"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Strengthening support for the education of teaching staff at all levels of education </w:t>
            </w:r>
            <w:proofErr w:type="gramStart"/>
            <w:r w:rsidRPr="007C4D65">
              <w:rPr>
                <w:rFonts w:asciiTheme="minorHAnsi" w:hAnsiTheme="minorHAnsi" w:cstheme="minorHAnsi"/>
                <w:sz w:val="18"/>
              </w:rPr>
              <w:t>in the area of</w:t>
            </w:r>
            <w:proofErr w:type="gramEnd"/>
            <w:r w:rsidRPr="007C4D65">
              <w:rPr>
                <w:rFonts w:asciiTheme="minorHAnsi" w:hAnsiTheme="minorHAnsi" w:cstheme="minorHAnsi"/>
                <w:sz w:val="18"/>
              </w:rPr>
              <w:t xml:space="preserve"> biodiversity protection and sustainable management of benefits from the natural in the Federation of BiH</w:t>
            </w:r>
          </w:p>
        </w:tc>
        <w:tc>
          <w:tcPr>
            <w:tcW w:w="1175" w:type="pct"/>
            <w:shd w:val="clear" w:color="auto" w:fill="D9D9D9"/>
            <w:tcMar>
              <w:top w:w="0" w:type="dxa"/>
              <w:left w:w="108" w:type="dxa"/>
              <w:bottom w:w="0" w:type="dxa"/>
              <w:right w:w="108" w:type="dxa"/>
            </w:tcMar>
            <w:vAlign w:val="center"/>
            <w:hideMark/>
          </w:tcPr>
          <w:p w14:paraId="721688D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74" w:type="pct"/>
            <w:shd w:val="clear" w:color="auto" w:fill="D9D9D9"/>
            <w:tcMar>
              <w:top w:w="0" w:type="dxa"/>
              <w:left w:w="108" w:type="dxa"/>
              <w:bottom w:w="0" w:type="dxa"/>
              <w:right w:w="108" w:type="dxa"/>
            </w:tcMar>
            <w:vAlign w:val="center"/>
            <w:hideMark/>
          </w:tcPr>
          <w:p w14:paraId="658CD17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20" w:type="pct"/>
            <w:shd w:val="clear" w:color="auto" w:fill="D9D9D9"/>
            <w:vAlign w:val="center"/>
          </w:tcPr>
          <w:p w14:paraId="664C739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7851C667" w14:textId="77777777" w:rsidTr="00B6017F">
        <w:trPr>
          <w:trHeight w:val="287"/>
        </w:trPr>
        <w:tc>
          <w:tcPr>
            <w:tcW w:w="663" w:type="pct"/>
            <w:vMerge/>
            <w:shd w:val="clear" w:color="auto" w:fill="D9D9D9"/>
            <w:vAlign w:val="center"/>
          </w:tcPr>
          <w:p w14:paraId="661B040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8" w:type="pct"/>
            <w:vMerge/>
            <w:vAlign w:val="center"/>
          </w:tcPr>
          <w:p w14:paraId="35772A75"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75" w:type="pct"/>
            <w:shd w:val="clear" w:color="auto" w:fill="FFFFFF"/>
            <w:tcMar>
              <w:top w:w="0" w:type="dxa"/>
              <w:left w:w="108" w:type="dxa"/>
              <w:bottom w:w="0" w:type="dxa"/>
              <w:right w:w="108" w:type="dxa"/>
            </w:tcMar>
            <w:vAlign w:val="center"/>
          </w:tcPr>
          <w:p w14:paraId="37A4AC23" w14:textId="0B354815"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Integration of the knowledge about the values of the biodiversity/nature of the Federation of BiH into educational processes</w:t>
            </w:r>
          </w:p>
        </w:tc>
        <w:tc>
          <w:tcPr>
            <w:tcW w:w="1174" w:type="pct"/>
            <w:shd w:val="clear" w:color="auto" w:fill="FFFFFF"/>
            <w:tcMar>
              <w:top w:w="0" w:type="dxa"/>
              <w:left w:w="108" w:type="dxa"/>
              <w:bottom w:w="0" w:type="dxa"/>
              <w:right w:w="108" w:type="dxa"/>
            </w:tcMar>
            <w:vAlign w:val="center"/>
          </w:tcPr>
          <w:p w14:paraId="436C8831" w14:textId="3E8DCE70"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Knowledge about the values of the biodiversity/nature of the </w:t>
            </w:r>
            <w:r w:rsidR="008C23C0" w:rsidRPr="007C4D65">
              <w:rPr>
                <w:rFonts w:asciiTheme="minorHAnsi" w:hAnsiTheme="minorHAnsi" w:cstheme="minorHAnsi"/>
                <w:sz w:val="18"/>
              </w:rPr>
              <w:t>Federation of BiH</w:t>
            </w:r>
            <w:r w:rsidRPr="007C4D65">
              <w:rPr>
                <w:rFonts w:asciiTheme="minorHAnsi" w:hAnsiTheme="minorHAnsi" w:cstheme="minorHAnsi"/>
                <w:sz w:val="18"/>
              </w:rPr>
              <w:t xml:space="preserve"> plays is underrepresented in educational processes</w:t>
            </w:r>
          </w:p>
        </w:tc>
        <w:tc>
          <w:tcPr>
            <w:tcW w:w="1120" w:type="pct"/>
            <w:shd w:val="clear" w:color="auto" w:fill="FFFFFF"/>
            <w:vAlign w:val="center"/>
          </w:tcPr>
          <w:p w14:paraId="35B19299"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Knowledge of the values about the biodiversity/nature of the Federation of BiH is well represented in educational processes</w:t>
            </w:r>
          </w:p>
        </w:tc>
      </w:tr>
      <w:tr w:rsidR="00B02183" w:rsidRPr="007C4D65" w14:paraId="20170CA9" w14:textId="77777777" w:rsidTr="00B6017F">
        <w:trPr>
          <w:trHeight w:val="483"/>
        </w:trPr>
        <w:tc>
          <w:tcPr>
            <w:tcW w:w="663" w:type="pct"/>
            <w:vMerge/>
            <w:shd w:val="clear" w:color="auto" w:fill="D9D9D9"/>
            <w:vAlign w:val="center"/>
            <w:hideMark/>
          </w:tcPr>
          <w:p w14:paraId="743560E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8" w:type="pct"/>
            <w:vMerge/>
            <w:vAlign w:val="center"/>
            <w:hideMark/>
          </w:tcPr>
          <w:p w14:paraId="3ED3E8D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75" w:type="pct"/>
            <w:shd w:val="clear" w:color="auto" w:fill="D9D9D9"/>
            <w:tcMar>
              <w:top w:w="0" w:type="dxa"/>
              <w:left w:w="108" w:type="dxa"/>
              <w:bottom w:w="0" w:type="dxa"/>
              <w:right w:w="108" w:type="dxa"/>
            </w:tcMar>
            <w:vAlign w:val="center"/>
            <w:hideMark/>
          </w:tcPr>
          <w:p w14:paraId="629784D9" w14:textId="40E6CE70"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74" w:type="pct"/>
            <w:shd w:val="clear" w:color="auto" w:fill="D9D9D9"/>
            <w:tcMar>
              <w:top w:w="0" w:type="dxa"/>
              <w:left w:w="108" w:type="dxa"/>
              <w:bottom w:w="0" w:type="dxa"/>
              <w:right w:w="108" w:type="dxa"/>
            </w:tcMar>
            <w:vAlign w:val="center"/>
            <w:hideMark/>
          </w:tcPr>
          <w:p w14:paraId="69D05A6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20" w:type="pct"/>
            <w:shd w:val="clear" w:color="auto" w:fill="D9D9D9"/>
            <w:tcMar>
              <w:top w:w="0" w:type="dxa"/>
              <w:left w:w="108" w:type="dxa"/>
              <w:bottom w:w="0" w:type="dxa"/>
              <w:right w:w="108" w:type="dxa"/>
            </w:tcMar>
            <w:vAlign w:val="center"/>
            <w:hideMark/>
          </w:tcPr>
          <w:p w14:paraId="792874D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1EFC57C6" w14:textId="77777777" w:rsidTr="00B6017F">
        <w:trPr>
          <w:trHeight w:val="287"/>
        </w:trPr>
        <w:tc>
          <w:tcPr>
            <w:tcW w:w="663" w:type="pct"/>
            <w:vMerge/>
            <w:shd w:val="clear" w:color="auto" w:fill="D9D9D9"/>
            <w:vAlign w:val="center"/>
            <w:hideMark/>
          </w:tcPr>
          <w:p w14:paraId="2F4D7DD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8" w:type="pct"/>
            <w:vMerge/>
            <w:vAlign w:val="center"/>
            <w:hideMark/>
          </w:tcPr>
          <w:p w14:paraId="4AE1A82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75" w:type="pct"/>
            <w:tcMar>
              <w:top w:w="0" w:type="dxa"/>
              <w:left w:w="108" w:type="dxa"/>
              <w:bottom w:w="0" w:type="dxa"/>
              <w:right w:w="108" w:type="dxa"/>
            </w:tcMar>
            <w:vAlign w:val="center"/>
          </w:tcPr>
          <w:p w14:paraId="4DFBB99A"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0.014</w:t>
            </w:r>
          </w:p>
        </w:tc>
        <w:tc>
          <w:tcPr>
            <w:tcW w:w="1174" w:type="pct"/>
            <w:tcMar>
              <w:top w:w="0" w:type="dxa"/>
              <w:left w:w="108" w:type="dxa"/>
              <w:bottom w:w="0" w:type="dxa"/>
              <w:right w:w="108" w:type="dxa"/>
            </w:tcMar>
            <w:vAlign w:val="center"/>
          </w:tcPr>
          <w:p w14:paraId="4D0C2AF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20" w:type="pct"/>
            <w:tcMar>
              <w:top w:w="0" w:type="dxa"/>
              <w:left w:w="108" w:type="dxa"/>
              <w:bottom w:w="0" w:type="dxa"/>
              <w:right w:w="108" w:type="dxa"/>
            </w:tcMar>
            <w:vAlign w:val="center"/>
          </w:tcPr>
          <w:p w14:paraId="66D89C98"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0.014</w:t>
            </w:r>
          </w:p>
        </w:tc>
      </w:tr>
    </w:tbl>
    <w:p w14:paraId="51C017A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bl>
      <w:tblPr>
        <w:tblW w:w="4939"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38"/>
        <w:gridCol w:w="2411"/>
        <w:gridCol w:w="3235"/>
        <w:gridCol w:w="3235"/>
        <w:gridCol w:w="3059"/>
      </w:tblGrid>
      <w:tr w:rsidR="00B02183" w:rsidRPr="007C4D65" w14:paraId="02D74007" w14:textId="77777777" w:rsidTr="00B6017F">
        <w:trPr>
          <w:trHeight w:val="384"/>
        </w:trPr>
        <w:tc>
          <w:tcPr>
            <w:tcW w:w="667" w:type="pct"/>
            <w:vMerge w:val="restart"/>
            <w:shd w:val="clear" w:color="auto" w:fill="D9D9D9"/>
            <w:tcMar>
              <w:top w:w="0" w:type="dxa"/>
              <w:left w:w="108" w:type="dxa"/>
              <w:bottom w:w="0" w:type="dxa"/>
              <w:right w:w="108" w:type="dxa"/>
            </w:tcMar>
            <w:vAlign w:val="center"/>
          </w:tcPr>
          <w:p w14:paraId="51574704"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3.10 Priority</w:t>
            </w:r>
          </w:p>
          <w:p w14:paraId="1C4C41E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75" w:type="pct"/>
            <w:vMerge w:val="restart"/>
            <w:tcMar>
              <w:top w:w="0" w:type="dxa"/>
              <w:left w:w="108" w:type="dxa"/>
              <w:bottom w:w="0" w:type="dxa"/>
              <w:right w:w="108" w:type="dxa"/>
            </w:tcMar>
            <w:vAlign w:val="center"/>
          </w:tcPr>
          <w:p w14:paraId="34888EB6" w14:textId="63460672" w:rsidR="00B02183" w:rsidRPr="007C4D65" w:rsidRDefault="00B02183"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 xml:space="preserve">Mobilise both local and international funds for biodiversity </w:t>
            </w:r>
            <w:r w:rsidR="007436F1" w:rsidRPr="007C4D65">
              <w:rPr>
                <w:rFonts w:asciiTheme="minorHAnsi" w:hAnsiTheme="minorHAnsi" w:cstheme="minorHAnsi"/>
                <w:b/>
                <w:sz w:val="18"/>
              </w:rPr>
              <w:t>of the Federation of BiH</w:t>
            </w:r>
          </w:p>
        </w:tc>
        <w:tc>
          <w:tcPr>
            <w:tcW w:w="1174" w:type="pct"/>
            <w:shd w:val="clear" w:color="auto" w:fill="D9D9D9"/>
            <w:tcMar>
              <w:top w:w="0" w:type="dxa"/>
              <w:left w:w="108" w:type="dxa"/>
              <w:bottom w:w="0" w:type="dxa"/>
              <w:right w:w="108" w:type="dxa"/>
            </w:tcMar>
            <w:vAlign w:val="center"/>
          </w:tcPr>
          <w:p w14:paraId="75D7AF82"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74" w:type="pct"/>
            <w:shd w:val="clear" w:color="auto" w:fill="D9D9D9"/>
            <w:tcMar>
              <w:top w:w="0" w:type="dxa"/>
              <w:left w:w="108" w:type="dxa"/>
              <w:bottom w:w="0" w:type="dxa"/>
              <w:right w:w="108" w:type="dxa"/>
            </w:tcMar>
            <w:vAlign w:val="center"/>
          </w:tcPr>
          <w:p w14:paraId="6E7514C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11" w:type="pct"/>
            <w:shd w:val="clear" w:color="auto" w:fill="D9D9D9"/>
            <w:tcMar>
              <w:top w:w="0" w:type="dxa"/>
              <w:left w:w="108" w:type="dxa"/>
              <w:bottom w:w="0" w:type="dxa"/>
              <w:right w:w="108" w:type="dxa"/>
            </w:tcMar>
            <w:vAlign w:val="center"/>
          </w:tcPr>
          <w:p w14:paraId="1CABB8A4"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0684E2D4" w14:textId="77777777" w:rsidTr="00B6017F">
        <w:trPr>
          <w:trHeight w:val="287"/>
        </w:trPr>
        <w:tc>
          <w:tcPr>
            <w:tcW w:w="667" w:type="pct"/>
            <w:vMerge/>
            <w:shd w:val="clear" w:color="auto" w:fill="D9D9D9"/>
            <w:vAlign w:val="center"/>
            <w:hideMark/>
          </w:tcPr>
          <w:p w14:paraId="16BFF4D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75" w:type="pct"/>
            <w:vMerge/>
            <w:vAlign w:val="center"/>
            <w:hideMark/>
          </w:tcPr>
          <w:p w14:paraId="5D2144C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74" w:type="pct"/>
            <w:tcMar>
              <w:top w:w="0" w:type="dxa"/>
              <w:left w:w="108" w:type="dxa"/>
              <w:bottom w:w="0" w:type="dxa"/>
              <w:right w:w="108" w:type="dxa"/>
            </w:tcMar>
          </w:tcPr>
          <w:p w14:paraId="6057B718"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Amount of secured funds dedicated for biodiversity/nature conservation</w:t>
            </w:r>
          </w:p>
        </w:tc>
        <w:tc>
          <w:tcPr>
            <w:tcW w:w="1174" w:type="pct"/>
            <w:tcMar>
              <w:top w:w="0" w:type="dxa"/>
              <w:left w:w="108" w:type="dxa"/>
              <w:bottom w:w="0" w:type="dxa"/>
              <w:right w:w="108" w:type="dxa"/>
            </w:tcMar>
          </w:tcPr>
          <w:p w14:paraId="2017EDC9"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amounts of funds for biodiversity/nature conservation are low (2022)</w:t>
            </w:r>
          </w:p>
        </w:tc>
        <w:tc>
          <w:tcPr>
            <w:tcW w:w="1111" w:type="pct"/>
            <w:tcMar>
              <w:top w:w="0" w:type="dxa"/>
              <w:left w:w="108" w:type="dxa"/>
              <w:bottom w:w="0" w:type="dxa"/>
              <w:right w:w="108" w:type="dxa"/>
            </w:tcMar>
          </w:tcPr>
          <w:p w14:paraId="5109F83B"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Funds for biodiversity/nature conservation exponentially increased (2030)</w:t>
            </w:r>
          </w:p>
        </w:tc>
      </w:tr>
      <w:tr w:rsidR="00B02183" w:rsidRPr="007C4D65" w14:paraId="7E5584BF" w14:textId="77777777" w:rsidTr="00B6017F">
        <w:trPr>
          <w:trHeight w:val="287"/>
        </w:trPr>
        <w:tc>
          <w:tcPr>
            <w:tcW w:w="667" w:type="pct"/>
            <w:vMerge/>
            <w:shd w:val="clear" w:color="auto" w:fill="D9D9D9"/>
            <w:vAlign w:val="center"/>
            <w:hideMark/>
          </w:tcPr>
          <w:p w14:paraId="32FE880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75" w:type="pct"/>
            <w:vMerge/>
            <w:vAlign w:val="center"/>
            <w:hideMark/>
          </w:tcPr>
          <w:p w14:paraId="69B44F8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74" w:type="pct"/>
            <w:shd w:val="clear" w:color="auto" w:fill="D9D9D9"/>
            <w:tcMar>
              <w:top w:w="0" w:type="dxa"/>
              <w:left w:w="108" w:type="dxa"/>
              <w:bottom w:w="0" w:type="dxa"/>
              <w:right w:w="108" w:type="dxa"/>
            </w:tcMar>
            <w:vAlign w:val="center"/>
          </w:tcPr>
          <w:p w14:paraId="455CAF1C" w14:textId="6A1EAF1D"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74" w:type="pct"/>
            <w:shd w:val="clear" w:color="auto" w:fill="D9D9D9"/>
            <w:tcMar>
              <w:top w:w="0" w:type="dxa"/>
              <w:left w:w="108" w:type="dxa"/>
              <w:bottom w:w="0" w:type="dxa"/>
              <w:right w:w="108" w:type="dxa"/>
            </w:tcMar>
            <w:vAlign w:val="center"/>
          </w:tcPr>
          <w:p w14:paraId="0FB6ABA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11" w:type="pct"/>
            <w:shd w:val="clear" w:color="auto" w:fill="D9D9D9"/>
            <w:tcMar>
              <w:top w:w="0" w:type="dxa"/>
              <w:left w:w="108" w:type="dxa"/>
              <w:bottom w:w="0" w:type="dxa"/>
              <w:right w:w="108" w:type="dxa"/>
            </w:tcMar>
            <w:vAlign w:val="center"/>
          </w:tcPr>
          <w:p w14:paraId="6DE4D1E7"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1468321C" w14:textId="77777777" w:rsidTr="00B6017F">
        <w:trPr>
          <w:trHeight w:val="287"/>
        </w:trPr>
        <w:tc>
          <w:tcPr>
            <w:tcW w:w="667" w:type="pct"/>
            <w:vMerge/>
            <w:shd w:val="clear" w:color="auto" w:fill="D9D9D9"/>
            <w:vAlign w:val="center"/>
          </w:tcPr>
          <w:p w14:paraId="31D2A11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75" w:type="pct"/>
            <w:vMerge/>
            <w:vAlign w:val="center"/>
          </w:tcPr>
          <w:p w14:paraId="787A425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74" w:type="pct"/>
            <w:tcMar>
              <w:top w:w="0" w:type="dxa"/>
              <w:left w:w="108" w:type="dxa"/>
              <w:bottom w:w="0" w:type="dxa"/>
              <w:right w:w="108" w:type="dxa"/>
            </w:tcMar>
            <w:vAlign w:val="center"/>
          </w:tcPr>
          <w:p w14:paraId="054F3DA0"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0.066</w:t>
            </w:r>
          </w:p>
        </w:tc>
        <w:tc>
          <w:tcPr>
            <w:tcW w:w="1174" w:type="pct"/>
            <w:tcMar>
              <w:top w:w="0" w:type="dxa"/>
              <w:left w:w="108" w:type="dxa"/>
              <w:bottom w:w="0" w:type="dxa"/>
              <w:right w:w="108" w:type="dxa"/>
            </w:tcMar>
            <w:vAlign w:val="center"/>
          </w:tcPr>
          <w:p w14:paraId="4BFBE416"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0.601</w:t>
            </w:r>
          </w:p>
        </w:tc>
        <w:tc>
          <w:tcPr>
            <w:tcW w:w="1111" w:type="pct"/>
            <w:tcMar>
              <w:top w:w="0" w:type="dxa"/>
              <w:left w:w="108" w:type="dxa"/>
              <w:bottom w:w="0" w:type="dxa"/>
              <w:right w:w="108" w:type="dxa"/>
            </w:tcMar>
            <w:vAlign w:val="center"/>
          </w:tcPr>
          <w:p w14:paraId="196A0C57"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0.667</w:t>
            </w:r>
          </w:p>
        </w:tc>
      </w:tr>
    </w:tbl>
    <w:p w14:paraId="7C57211A"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4975"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837"/>
        <w:gridCol w:w="2409"/>
        <w:gridCol w:w="3234"/>
        <w:gridCol w:w="3234"/>
        <w:gridCol w:w="3164"/>
      </w:tblGrid>
      <w:tr w:rsidR="00B02183" w:rsidRPr="007C4D65" w14:paraId="02CF0AC3" w14:textId="77777777" w:rsidTr="00B6017F">
        <w:trPr>
          <w:trHeight w:val="483"/>
        </w:trPr>
        <w:tc>
          <w:tcPr>
            <w:tcW w:w="662" w:type="pct"/>
            <w:vMerge w:val="restart"/>
            <w:shd w:val="clear" w:color="auto" w:fill="D9D9D9"/>
            <w:tcMar>
              <w:top w:w="0" w:type="dxa"/>
              <w:left w:w="108" w:type="dxa"/>
              <w:bottom w:w="0" w:type="dxa"/>
              <w:right w:w="108" w:type="dxa"/>
            </w:tcMar>
            <w:vAlign w:val="center"/>
            <w:hideMark/>
          </w:tcPr>
          <w:p w14:paraId="359DE6D8"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3.10.1 Measure</w:t>
            </w:r>
          </w:p>
        </w:tc>
        <w:tc>
          <w:tcPr>
            <w:tcW w:w="868" w:type="pct"/>
            <w:vMerge w:val="restart"/>
            <w:tcMar>
              <w:top w:w="0" w:type="dxa"/>
              <w:left w:w="108" w:type="dxa"/>
              <w:bottom w:w="0" w:type="dxa"/>
              <w:right w:w="108" w:type="dxa"/>
            </w:tcMar>
            <w:vAlign w:val="center"/>
          </w:tcPr>
          <w:p w14:paraId="05ADC4D0"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Provide funds for: (a) capacity building of the institutional framework in line with the improved legal framework for the biodiversity/nature of the Federation of BiH (b) inventory of areas and </w:t>
            </w:r>
            <w:r w:rsidRPr="007C4D65">
              <w:rPr>
                <w:rFonts w:asciiTheme="minorHAnsi" w:hAnsiTheme="minorHAnsi" w:cstheme="minorHAnsi"/>
                <w:sz w:val="18"/>
              </w:rPr>
              <w:lastRenderedPageBreak/>
              <w:t>preparation of habitat maps, (c) inventory and monitoring of flora, fauna, fungi and genetic resources (d) effective implementation of global goals for biodiversity and implementation of obligations arising from international agreements of BiH, including the process of establishing the ecological network (e) development of permanent scientific and political dialogue, (f) environmental awareness raising</w:t>
            </w:r>
          </w:p>
        </w:tc>
        <w:tc>
          <w:tcPr>
            <w:tcW w:w="1165" w:type="pct"/>
            <w:shd w:val="clear" w:color="auto" w:fill="D9D9D9"/>
            <w:tcMar>
              <w:top w:w="0" w:type="dxa"/>
              <w:left w:w="108" w:type="dxa"/>
              <w:bottom w:w="0" w:type="dxa"/>
              <w:right w:w="108" w:type="dxa"/>
            </w:tcMar>
            <w:vAlign w:val="center"/>
            <w:hideMark/>
          </w:tcPr>
          <w:p w14:paraId="766418F4"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lastRenderedPageBreak/>
              <w:t>Measure indicators</w:t>
            </w:r>
          </w:p>
        </w:tc>
        <w:tc>
          <w:tcPr>
            <w:tcW w:w="1165" w:type="pct"/>
            <w:shd w:val="clear" w:color="auto" w:fill="D9D9D9"/>
            <w:tcMar>
              <w:top w:w="0" w:type="dxa"/>
              <w:left w:w="108" w:type="dxa"/>
              <w:bottom w:w="0" w:type="dxa"/>
              <w:right w:w="108" w:type="dxa"/>
            </w:tcMar>
            <w:vAlign w:val="center"/>
            <w:hideMark/>
          </w:tcPr>
          <w:p w14:paraId="791E4E1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40" w:type="pct"/>
            <w:shd w:val="clear" w:color="auto" w:fill="D9D9D9"/>
            <w:vAlign w:val="center"/>
          </w:tcPr>
          <w:p w14:paraId="1AA68F2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06B44572" w14:textId="77777777" w:rsidTr="00B6017F">
        <w:trPr>
          <w:trHeight w:val="669"/>
        </w:trPr>
        <w:tc>
          <w:tcPr>
            <w:tcW w:w="662" w:type="pct"/>
            <w:vMerge/>
            <w:shd w:val="clear" w:color="auto" w:fill="D9D9D9"/>
            <w:vAlign w:val="center"/>
          </w:tcPr>
          <w:p w14:paraId="5BDC9FC6"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8" w:type="pct"/>
            <w:vMerge/>
            <w:vAlign w:val="center"/>
          </w:tcPr>
          <w:p w14:paraId="39EA4CF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65" w:type="pct"/>
            <w:shd w:val="clear" w:color="auto" w:fill="FFFFFF"/>
            <w:tcMar>
              <w:top w:w="0" w:type="dxa"/>
              <w:left w:w="108" w:type="dxa"/>
              <w:bottom w:w="0" w:type="dxa"/>
              <w:right w:w="108" w:type="dxa"/>
            </w:tcMar>
            <w:vAlign w:val="center"/>
          </w:tcPr>
          <w:p w14:paraId="6C978EFF"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Amount of funds from national sources</w:t>
            </w:r>
          </w:p>
        </w:tc>
        <w:tc>
          <w:tcPr>
            <w:tcW w:w="1165" w:type="pct"/>
            <w:shd w:val="clear" w:color="auto" w:fill="FFFFFF"/>
            <w:tcMar>
              <w:top w:w="0" w:type="dxa"/>
              <w:left w:w="108" w:type="dxa"/>
              <w:bottom w:w="0" w:type="dxa"/>
              <w:right w:w="108" w:type="dxa"/>
            </w:tcMar>
            <w:vAlign w:val="center"/>
          </w:tcPr>
          <w:p w14:paraId="0D55C2BA"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Low funding</w:t>
            </w:r>
          </w:p>
        </w:tc>
        <w:tc>
          <w:tcPr>
            <w:tcW w:w="1140" w:type="pct"/>
            <w:shd w:val="clear" w:color="auto" w:fill="FFFFFF"/>
            <w:vAlign w:val="center"/>
          </w:tcPr>
          <w:p w14:paraId="2E1C173D"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Satisfactory funding</w:t>
            </w:r>
          </w:p>
        </w:tc>
      </w:tr>
      <w:tr w:rsidR="00B02183" w:rsidRPr="007C4D65" w14:paraId="1C97D0EF" w14:textId="77777777" w:rsidTr="00B6017F">
        <w:trPr>
          <w:trHeight w:val="692"/>
        </w:trPr>
        <w:tc>
          <w:tcPr>
            <w:tcW w:w="662" w:type="pct"/>
            <w:vMerge/>
            <w:shd w:val="clear" w:color="auto" w:fill="D9D9D9"/>
            <w:vAlign w:val="center"/>
          </w:tcPr>
          <w:p w14:paraId="4CD8E86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8" w:type="pct"/>
            <w:vMerge/>
            <w:vAlign w:val="center"/>
          </w:tcPr>
          <w:p w14:paraId="3859786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65" w:type="pct"/>
            <w:shd w:val="clear" w:color="auto" w:fill="FFFFFF"/>
            <w:tcMar>
              <w:top w:w="0" w:type="dxa"/>
              <w:left w:w="108" w:type="dxa"/>
              <w:bottom w:w="0" w:type="dxa"/>
              <w:right w:w="108" w:type="dxa"/>
            </w:tcMar>
            <w:vAlign w:val="center"/>
          </w:tcPr>
          <w:p w14:paraId="5B6D33AD"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Amount of international funds</w:t>
            </w:r>
          </w:p>
        </w:tc>
        <w:tc>
          <w:tcPr>
            <w:tcW w:w="1165" w:type="pct"/>
            <w:shd w:val="clear" w:color="auto" w:fill="FFFFFF"/>
            <w:tcMar>
              <w:top w:w="0" w:type="dxa"/>
              <w:left w:w="108" w:type="dxa"/>
              <w:bottom w:w="0" w:type="dxa"/>
              <w:right w:w="108" w:type="dxa"/>
            </w:tcMar>
            <w:vAlign w:val="center"/>
          </w:tcPr>
          <w:p w14:paraId="07646465"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Low funding</w:t>
            </w:r>
          </w:p>
        </w:tc>
        <w:tc>
          <w:tcPr>
            <w:tcW w:w="1140" w:type="pct"/>
            <w:shd w:val="clear" w:color="auto" w:fill="FFFFFF"/>
            <w:vAlign w:val="center"/>
          </w:tcPr>
          <w:p w14:paraId="316C236D"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Low funding</w:t>
            </w:r>
          </w:p>
        </w:tc>
      </w:tr>
      <w:tr w:rsidR="00B02183" w:rsidRPr="007C4D65" w14:paraId="4C1686BE" w14:textId="77777777" w:rsidTr="00B6017F">
        <w:trPr>
          <w:trHeight w:val="483"/>
        </w:trPr>
        <w:tc>
          <w:tcPr>
            <w:tcW w:w="662" w:type="pct"/>
            <w:vMerge/>
            <w:shd w:val="clear" w:color="auto" w:fill="D9D9D9"/>
            <w:vAlign w:val="center"/>
            <w:hideMark/>
          </w:tcPr>
          <w:p w14:paraId="07372D7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8" w:type="pct"/>
            <w:vMerge/>
            <w:vAlign w:val="center"/>
            <w:hideMark/>
          </w:tcPr>
          <w:p w14:paraId="6AD8743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65" w:type="pct"/>
            <w:shd w:val="clear" w:color="auto" w:fill="D9D9D9"/>
            <w:tcMar>
              <w:top w:w="0" w:type="dxa"/>
              <w:left w:w="108" w:type="dxa"/>
              <w:bottom w:w="0" w:type="dxa"/>
              <w:right w:w="108" w:type="dxa"/>
            </w:tcMar>
            <w:vAlign w:val="center"/>
            <w:hideMark/>
          </w:tcPr>
          <w:p w14:paraId="0CEE5199" w14:textId="0E1B3FF9"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65" w:type="pct"/>
            <w:shd w:val="clear" w:color="auto" w:fill="D9D9D9"/>
            <w:tcMar>
              <w:top w:w="0" w:type="dxa"/>
              <w:left w:w="108" w:type="dxa"/>
              <w:bottom w:w="0" w:type="dxa"/>
              <w:right w:w="108" w:type="dxa"/>
            </w:tcMar>
            <w:vAlign w:val="center"/>
            <w:hideMark/>
          </w:tcPr>
          <w:p w14:paraId="2DBD0D4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40" w:type="pct"/>
            <w:shd w:val="clear" w:color="auto" w:fill="D9D9D9"/>
            <w:tcMar>
              <w:top w:w="0" w:type="dxa"/>
              <w:left w:w="108" w:type="dxa"/>
              <w:bottom w:w="0" w:type="dxa"/>
              <w:right w:w="108" w:type="dxa"/>
            </w:tcMar>
            <w:vAlign w:val="center"/>
            <w:hideMark/>
          </w:tcPr>
          <w:p w14:paraId="48B4686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766349E0" w14:textId="77777777" w:rsidTr="00B6017F">
        <w:trPr>
          <w:trHeight w:val="287"/>
        </w:trPr>
        <w:tc>
          <w:tcPr>
            <w:tcW w:w="662" w:type="pct"/>
            <w:vMerge/>
            <w:shd w:val="clear" w:color="auto" w:fill="D9D9D9"/>
            <w:vAlign w:val="center"/>
            <w:hideMark/>
          </w:tcPr>
          <w:p w14:paraId="173C17D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868" w:type="pct"/>
            <w:vMerge/>
            <w:vAlign w:val="center"/>
            <w:hideMark/>
          </w:tcPr>
          <w:p w14:paraId="776C684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65" w:type="pct"/>
            <w:tcMar>
              <w:top w:w="0" w:type="dxa"/>
              <w:left w:w="108" w:type="dxa"/>
              <w:bottom w:w="0" w:type="dxa"/>
              <w:right w:w="108" w:type="dxa"/>
            </w:tcMar>
            <w:vAlign w:val="center"/>
          </w:tcPr>
          <w:p w14:paraId="14E85FD4"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0.066</w:t>
            </w:r>
          </w:p>
        </w:tc>
        <w:tc>
          <w:tcPr>
            <w:tcW w:w="1165" w:type="pct"/>
            <w:tcMar>
              <w:top w:w="0" w:type="dxa"/>
              <w:left w:w="108" w:type="dxa"/>
              <w:bottom w:w="0" w:type="dxa"/>
              <w:right w:w="108" w:type="dxa"/>
            </w:tcMar>
            <w:vAlign w:val="center"/>
          </w:tcPr>
          <w:p w14:paraId="31B1162B"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0.601</w:t>
            </w:r>
          </w:p>
        </w:tc>
        <w:tc>
          <w:tcPr>
            <w:tcW w:w="1140" w:type="pct"/>
            <w:tcMar>
              <w:top w:w="0" w:type="dxa"/>
              <w:left w:w="108" w:type="dxa"/>
              <w:bottom w:w="0" w:type="dxa"/>
              <w:right w:w="108" w:type="dxa"/>
            </w:tcMar>
            <w:vAlign w:val="center"/>
          </w:tcPr>
          <w:p w14:paraId="71AC3467"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0.667</w:t>
            </w:r>
          </w:p>
        </w:tc>
      </w:tr>
    </w:tbl>
    <w:p w14:paraId="75FCC533" w14:textId="563DDEFB" w:rsidR="00B02E00" w:rsidRPr="007C4D65" w:rsidRDefault="00B02E00" w:rsidP="0068355A">
      <w:pPr>
        <w:spacing w:after="160" w:line="276" w:lineRule="auto"/>
        <w:rPr>
          <w:rFonts w:asciiTheme="minorHAnsi" w:hAnsiTheme="minorHAnsi" w:cstheme="minorHAnsi"/>
        </w:rPr>
      </w:pPr>
    </w:p>
    <w:p w14:paraId="7D2619A1" w14:textId="2A8C9DAC" w:rsidR="002B482D" w:rsidRPr="007C4D65" w:rsidRDefault="00516BCC" w:rsidP="00516BCC">
      <w:pPr>
        <w:pStyle w:val="Head3"/>
        <w:numPr>
          <w:ilvl w:val="0"/>
          <w:numId w:val="0"/>
        </w:numPr>
        <w:spacing w:line="276" w:lineRule="auto"/>
        <w:rPr>
          <w:rFonts w:asciiTheme="minorHAnsi" w:hAnsiTheme="minorHAnsi"/>
        </w:rPr>
      </w:pPr>
      <w:bookmarkStart w:id="431" w:name="_Toc117445387"/>
      <w:r w:rsidRPr="007C4D65">
        <w:rPr>
          <w:rFonts w:asciiTheme="minorHAnsi" w:hAnsiTheme="minorHAnsi"/>
        </w:rPr>
        <w:t xml:space="preserve">13.8.4. </w:t>
      </w:r>
      <w:r w:rsidR="00242590" w:rsidRPr="007C4D65">
        <w:rPr>
          <w:rFonts w:asciiTheme="minorHAnsi" w:hAnsiTheme="minorHAnsi"/>
        </w:rPr>
        <w:t xml:space="preserve">Air </w:t>
      </w:r>
      <w:r w:rsidR="00CD3D80" w:rsidRPr="007C4D65">
        <w:rPr>
          <w:rFonts w:asciiTheme="minorHAnsi" w:hAnsiTheme="minorHAnsi"/>
        </w:rPr>
        <w:t>quality, climate and energy</w:t>
      </w:r>
      <w:bookmarkEnd w:id="431"/>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99"/>
        <w:gridCol w:w="2050"/>
        <w:gridCol w:w="3233"/>
        <w:gridCol w:w="3233"/>
        <w:gridCol w:w="3233"/>
      </w:tblGrid>
      <w:tr w:rsidR="00B02183" w:rsidRPr="007C4D65" w14:paraId="48FF8181" w14:textId="77777777" w:rsidTr="00B02183">
        <w:trPr>
          <w:trHeight w:val="286"/>
        </w:trPr>
        <w:tc>
          <w:tcPr>
            <w:tcW w:w="788" w:type="pct"/>
            <w:shd w:val="clear" w:color="auto" w:fill="009E73"/>
            <w:tcMar>
              <w:top w:w="0" w:type="dxa"/>
              <w:left w:w="108" w:type="dxa"/>
              <w:bottom w:w="0" w:type="dxa"/>
              <w:right w:w="108" w:type="dxa"/>
            </w:tcMar>
            <w:vAlign w:val="center"/>
            <w:hideMark/>
          </w:tcPr>
          <w:p w14:paraId="77F540E5" w14:textId="77777777" w:rsidR="00B02183" w:rsidRPr="007C4D65" w:rsidRDefault="00B02183" w:rsidP="00B02183">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 xml:space="preserve">No. and code </w:t>
            </w:r>
          </w:p>
        </w:tc>
        <w:tc>
          <w:tcPr>
            <w:tcW w:w="735" w:type="pct"/>
            <w:shd w:val="clear" w:color="auto" w:fill="009E73"/>
            <w:tcMar>
              <w:top w:w="0" w:type="dxa"/>
              <w:left w:w="108" w:type="dxa"/>
              <w:bottom w:w="0" w:type="dxa"/>
              <w:right w:w="108" w:type="dxa"/>
            </w:tcMar>
            <w:vAlign w:val="center"/>
            <w:hideMark/>
          </w:tcPr>
          <w:p w14:paraId="16C795F8" w14:textId="77777777" w:rsidR="00B02183" w:rsidRPr="007C4D65" w:rsidRDefault="00B02183" w:rsidP="00B02183">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TITLE</w:t>
            </w:r>
          </w:p>
        </w:tc>
        <w:tc>
          <w:tcPr>
            <w:tcW w:w="3477" w:type="pct"/>
            <w:gridSpan w:val="3"/>
            <w:shd w:val="clear" w:color="auto" w:fill="009E73"/>
            <w:tcMar>
              <w:top w:w="0" w:type="dxa"/>
              <w:left w:w="108" w:type="dxa"/>
              <w:bottom w:w="0" w:type="dxa"/>
              <w:right w:w="108" w:type="dxa"/>
            </w:tcMar>
            <w:vAlign w:val="center"/>
            <w:hideMark/>
          </w:tcPr>
          <w:p w14:paraId="01D0F97A" w14:textId="77777777" w:rsidR="00B02183" w:rsidRPr="007C4D65" w:rsidRDefault="00B02183" w:rsidP="00B02183">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INDICATORS AND SOURCES OF FUNDING</w:t>
            </w:r>
          </w:p>
        </w:tc>
      </w:tr>
      <w:tr w:rsidR="00B02183" w:rsidRPr="007C4D65" w14:paraId="08E948AE" w14:textId="77777777" w:rsidTr="00B02183">
        <w:trPr>
          <w:trHeight w:val="384"/>
        </w:trPr>
        <w:tc>
          <w:tcPr>
            <w:tcW w:w="788" w:type="pct"/>
            <w:vMerge w:val="restart"/>
            <w:shd w:val="clear" w:color="auto" w:fill="D9D9D9"/>
            <w:tcMar>
              <w:top w:w="0" w:type="dxa"/>
              <w:left w:w="108" w:type="dxa"/>
              <w:bottom w:w="0" w:type="dxa"/>
              <w:right w:w="108" w:type="dxa"/>
            </w:tcMar>
            <w:vAlign w:val="center"/>
            <w:hideMark/>
          </w:tcPr>
          <w:p w14:paraId="0D1816F3" w14:textId="0F67CFE6"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 xml:space="preserve">4. Strategic </w:t>
            </w:r>
            <w:r w:rsidR="009736BE" w:rsidRPr="007C4D65">
              <w:rPr>
                <w:rFonts w:asciiTheme="minorHAnsi" w:hAnsiTheme="minorHAnsi" w:cstheme="minorHAnsi"/>
                <w:b/>
                <w:sz w:val="18"/>
              </w:rPr>
              <w:t>g</w:t>
            </w:r>
            <w:r w:rsidRPr="007C4D65">
              <w:rPr>
                <w:rFonts w:asciiTheme="minorHAnsi" w:hAnsiTheme="minorHAnsi" w:cstheme="minorHAnsi"/>
                <w:b/>
                <w:sz w:val="18"/>
              </w:rPr>
              <w:t>oal</w:t>
            </w:r>
          </w:p>
        </w:tc>
        <w:tc>
          <w:tcPr>
            <w:tcW w:w="735" w:type="pct"/>
            <w:vMerge w:val="restart"/>
            <w:tcMar>
              <w:top w:w="0" w:type="dxa"/>
              <w:left w:w="108" w:type="dxa"/>
              <w:bottom w:w="0" w:type="dxa"/>
              <w:right w:w="108" w:type="dxa"/>
            </w:tcMar>
            <w:vAlign w:val="center"/>
          </w:tcPr>
          <w:p w14:paraId="70350DAA"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Climate change mitigation and adaptation and improvement of air quality</w:t>
            </w:r>
          </w:p>
        </w:tc>
        <w:tc>
          <w:tcPr>
            <w:tcW w:w="1159" w:type="pct"/>
            <w:shd w:val="clear" w:color="auto" w:fill="D9D9D9"/>
            <w:tcMar>
              <w:top w:w="0" w:type="dxa"/>
              <w:left w:w="108" w:type="dxa"/>
              <w:bottom w:w="0" w:type="dxa"/>
              <w:right w:w="108" w:type="dxa"/>
            </w:tcMar>
            <w:vAlign w:val="center"/>
            <w:hideMark/>
          </w:tcPr>
          <w:p w14:paraId="3E5A251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Strategic goal indicators</w:t>
            </w:r>
          </w:p>
        </w:tc>
        <w:tc>
          <w:tcPr>
            <w:tcW w:w="1159" w:type="pct"/>
            <w:shd w:val="clear" w:color="auto" w:fill="D9D9D9"/>
            <w:tcMar>
              <w:top w:w="0" w:type="dxa"/>
              <w:left w:w="108" w:type="dxa"/>
              <w:bottom w:w="0" w:type="dxa"/>
              <w:right w:w="108" w:type="dxa"/>
            </w:tcMar>
            <w:vAlign w:val="center"/>
            <w:hideMark/>
          </w:tcPr>
          <w:p w14:paraId="234E111E"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hideMark/>
          </w:tcPr>
          <w:p w14:paraId="04F367F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40234513" w14:textId="77777777" w:rsidTr="00B02183">
        <w:trPr>
          <w:trHeight w:val="287"/>
        </w:trPr>
        <w:tc>
          <w:tcPr>
            <w:tcW w:w="788" w:type="pct"/>
            <w:vMerge/>
            <w:shd w:val="clear" w:color="auto" w:fill="D9D9D9"/>
            <w:vAlign w:val="center"/>
          </w:tcPr>
          <w:p w14:paraId="7895E0A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35" w:type="pct"/>
            <w:vMerge/>
            <w:vAlign w:val="center"/>
          </w:tcPr>
          <w:p w14:paraId="28D91FC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65E8AEFD" w14:textId="161B059A" w:rsidR="00B02183" w:rsidRPr="007C4D65" w:rsidRDefault="00B02183" w:rsidP="003A3EA2">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Total greenhouse gas emissions, including </w:t>
            </w:r>
            <w:proofErr w:type="gramStart"/>
            <w:r w:rsidRPr="007C4D65">
              <w:rPr>
                <w:rFonts w:asciiTheme="minorHAnsi" w:hAnsiTheme="minorHAnsi" w:cstheme="minorHAnsi"/>
                <w:sz w:val="18"/>
              </w:rPr>
              <w:t>sinks(</w:t>
            </w:r>
            <w:proofErr w:type="gramEnd"/>
            <w:r w:rsidRPr="007C4D65">
              <w:rPr>
                <w:rFonts w:asciiTheme="minorHAnsi" w:hAnsiTheme="minorHAnsi" w:cstheme="minorHAnsi"/>
                <w:sz w:val="18"/>
              </w:rPr>
              <w:t>Gg CO2-eq1))</w:t>
            </w:r>
          </w:p>
        </w:tc>
        <w:tc>
          <w:tcPr>
            <w:tcW w:w="1159" w:type="pct"/>
            <w:tcBorders>
              <w:top w:val="nil"/>
              <w:left w:val="nil"/>
              <w:bottom w:val="single" w:sz="8" w:space="0" w:color="BFBFBF"/>
              <w:right w:val="single" w:sz="8" w:space="0" w:color="BFBFBF"/>
            </w:tcBorders>
            <w:tcMar>
              <w:top w:w="0" w:type="dxa"/>
              <w:left w:w="108" w:type="dxa"/>
              <w:bottom w:w="0" w:type="dxa"/>
              <w:right w:w="108" w:type="dxa"/>
            </w:tcMar>
            <w:vAlign w:val="center"/>
          </w:tcPr>
          <w:p w14:paraId="2A8E1447" w14:textId="77777777" w:rsidR="00B02183" w:rsidRPr="007C4D65" w:rsidRDefault="00B02183" w:rsidP="00B02183">
            <w:pPr>
              <w:spacing w:line="276" w:lineRule="auto"/>
              <w:jc w:val="center"/>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lang w:eastAsia="en-US"/>
              </w:rPr>
              <w:t>19,670</w:t>
            </w:r>
          </w:p>
          <w:p w14:paraId="27AC9EA4" w14:textId="77777777" w:rsidR="00B02183" w:rsidRPr="007C4D65" w:rsidRDefault="00B02183" w:rsidP="00B02183">
            <w:pPr>
              <w:spacing w:line="276" w:lineRule="auto"/>
              <w:jc w:val="center"/>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lang w:eastAsia="en-US"/>
              </w:rPr>
              <w:t>(2016)</w:t>
            </w:r>
          </w:p>
        </w:tc>
        <w:tc>
          <w:tcPr>
            <w:tcW w:w="1159" w:type="pct"/>
            <w:tcBorders>
              <w:top w:val="nil"/>
              <w:left w:val="nil"/>
              <w:bottom w:val="single" w:sz="8" w:space="0" w:color="BFBFBF"/>
              <w:right w:val="single" w:sz="8" w:space="0" w:color="BFBFBF"/>
            </w:tcBorders>
            <w:tcMar>
              <w:top w:w="0" w:type="dxa"/>
              <w:left w:w="108" w:type="dxa"/>
              <w:bottom w:w="0" w:type="dxa"/>
              <w:right w:w="108" w:type="dxa"/>
            </w:tcMar>
            <w:vAlign w:val="center"/>
          </w:tcPr>
          <w:p w14:paraId="244ED1EC" w14:textId="77777777" w:rsidR="00B02183" w:rsidRPr="007C4D65" w:rsidRDefault="00B02183" w:rsidP="00B02183">
            <w:pPr>
              <w:spacing w:line="276" w:lineRule="auto"/>
              <w:jc w:val="center"/>
              <w:rPr>
                <w:rFonts w:asciiTheme="minorHAnsi" w:eastAsiaTheme="minorHAnsi" w:hAnsiTheme="minorHAnsi" w:cstheme="minorHAnsi"/>
                <w:sz w:val="18"/>
                <w:szCs w:val="18"/>
                <w:lang w:eastAsia="en-US"/>
              </w:rPr>
            </w:pPr>
            <w:r w:rsidRPr="007C4D65">
              <w:rPr>
                <w:rFonts w:asciiTheme="minorHAnsi" w:eastAsiaTheme="minorHAnsi" w:hAnsiTheme="minorHAnsi" w:cstheme="minorHAnsi"/>
                <w:sz w:val="18"/>
                <w:lang w:eastAsia="en-US"/>
              </w:rPr>
              <w:t>16228</w:t>
            </w:r>
          </w:p>
          <w:p w14:paraId="7ED80420" w14:textId="77777777" w:rsidR="00B02183" w:rsidRPr="007C4D65" w:rsidRDefault="00B02183" w:rsidP="00B02183">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(2030)</w:t>
            </w:r>
          </w:p>
        </w:tc>
      </w:tr>
      <w:tr w:rsidR="00B02183" w:rsidRPr="007C4D65" w14:paraId="1C575D22" w14:textId="77777777" w:rsidTr="00B02183">
        <w:trPr>
          <w:trHeight w:val="287"/>
        </w:trPr>
        <w:tc>
          <w:tcPr>
            <w:tcW w:w="788" w:type="pct"/>
            <w:vMerge/>
            <w:shd w:val="clear" w:color="auto" w:fill="D9D9D9"/>
            <w:vAlign w:val="center"/>
            <w:hideMark/>
          </w:tcPr>
          <w:p w14:paraId="241DB0B6"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35" w:type="pct"/>
            <w:vMerge/>
            <w:vAlign w:val="center"/>
            <w:hideMark/>
          </w:tcPr>
          <w:p w14:paraId="2211028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019B72D4"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Total greenhouse gas emissions per USD 1 of GDP</w:t>
            </w:r>
          </w:p>
        </w:tc>
        <w:tc>
          <w:tcPr>
            <w:tcW w:w="1159" w:type="pct"/>
            <w:tcBorders>
              <w:top w:val="nil"/>
              <w:left w:val="nil"/>
              <w:bottom w:val="single" w:sz="8" w:space="0" w:color="BFBFBF"/>
              <w:right w:val="single" w:sz="8" w:space="0" w:color="BFBFBF"/>
            </w:tcBorders>
            <w:tcMar>
              <w:top w:w="0" w:type="dxa"/>
              <w:left w:w="108" w:type="dxa"/>
              <w:bottom w:w="0" w:type="dxa"/>
              <w:right w:w="108" w:type="dxa"/>
            </w:tcMar>
            <w:vAlign w:val="center"/>
          </w:tcPr>
          <w:p w14:paraId="4390EACF" w14:textId="77777777" w:rsidR="00B02183" w:rsidRPr="007C4D65" w:rsidRDefault="00B02183" w:rsidP="00B02183">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1,75 kgCO2ekv/1USD GDP</w:t>
            </w:r>
            <w:r w:rsidRPr="007C4D65">
              <w:rPr>
                <w:rFonts w:asciiTheme="minorHAnsi" w:hAnsiTheme="minorHAnsi" w:cstheme="minorHAnsi"/>
                <w:sz w:val="18"/>
                <w:vertAlign w:val="superscript"/>
              </w:rPr>
              <w:t>*</w:t>
            </w:r>
          </w:p>
        </w:tc>
        <w:tc>
          <w:tcPr>
            <w:tcW w:w="1159" w:type="pct"/>
            <w:tcBorders>
              <w:top w:val="nil"/>
              <w:left w:val="nil"/>
              <w:bottom w:val="single" w:sz="8" w:space="0" w:color="BFBFBF"/>
              <w:right w:val="single" w:sz="8" w:space="0" w:color="BFBFBF"/>
            </w:tcBorders>
            <w:tcMar>
              <w:top w:w="0" w:type="dxa"/>
              <w:left w:w="108" w:type="dxa"/>
              <w:bottom w:w="0" w:type="dxa"/>
              <w:right w:w="108" w:type="dxa"/>
            </w:tcMar>
            <w:vAlign w:val="center"/>
          </w:tcPr>
          <w:p w14:paraId="298CDF18" w14:textId="77777777" w:rsidR="00B02183" w:rsidRPr="007C4D65" w:rsidRDefault="00B02183" w:rsidP="00B02183">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w:t>
            </w:r>
          </w:p>
        </w:tc>
      </w:tr>
      <w:tr w:rsidR="00B02183" w:rsidRPr="007C4D65" w14:paraId="4AC000DB" w14:textId="77777777" w:rsidTr="00B02183">
        <w:trPr>
          <w:trHeight w:val="287"/>
        </w:trPr>
        <w:tc>
          <w:tcPr>
            <w:tcW w:w="788" w:type="pct"/>
            <w:vMerge/>
            <w:shd w:val="clear" w:color="auto" w:fill="D9D9D9"/>
            <w:vAlign w:val="center"/>
          </w:tcPr>
          <w:p w14:paraId="5E9CAAC8"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35" w:type="pct"/>
            <w:vMerge/>
            <w:vAlign w:val="center"/>
          </w:tcPr>
          <w:p w14:paraId="3B5094C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1D691D4B"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Air pollution: Annual mean concentration of PM10 particles (microgram per cubic meter)</w:t>
            </w:r>
          </w:p>
        </w:tc>
        <w:tc>
          <w:tcPr>
            <w:tcW w:w="1159" w:type="pct"/>
            <w:tcBorders>
              <w:top w:val="nil"/>
              <w:left w:val="nil"/>
              <w:bottom w:val="single" w:sz="8" w:space="0" w:color="BFBFBF"/>
              <w:right w:val="single" w:sz="8" w:space="0" w:color="BFBFBF"/>
            </w:tcBorders>
            <w:tcMar>
              <w:top w:w="0" w:type="dxa"/>
              <w:left w:w="108" w:type="dxa"/>
              <w:bottom w:w="0" w:type="dxa"/>
              <w:right w:w="108" w:type="dxa"/>
            </w:tcMar>
            <w:vAlign w:val="center"/>
          </w:tcPr>
          <w:p w14:paraId="64958F26" w14:textId="77777777" w:rsidR="00B02183" w:rsidRPr="007C4D65" w:rsidRDefault="00B02183" w:rsidP="00B02183">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47 µg/m</w:t>
            </w:r>
            <w:r w:rsidRPr="007C4D65">
              <w:rPr>
                <w:rFonts w:asciiTheme="minorHAnsi" w:hAnsiTheme="minorHAnsi" w:cstheme="minorHAnsi"/>
                <w:sz w:val="18"/>
                <w:vertAlign w:val="superscript"/>
              </w:rPr>
              <w:t>3</w:t>
            </w:r>
          </w:p>
        </w:tc>
        <w:tc>
          <w:tcPr>
            <w:tcW w:w="1159" w:type="pct"/>
            <w:tcBorders>
              <w:top w:val="nil"/>
              <w:left w:val="nil"/>
              <w:bottom w:val="single" w:sz="8" w:space="0" w:color="BFBFBF"/>
              <w:right w:val="single" w:sz="8" w:space="0" w:color="BFBFBF"/>
            </w:tcBorders>
            <w:tcMar>
              <w:top w:w="0" w:type="dxa"/>
              <w:left w:w="108" w:type="dxa"/>
              <w:bottom w:w="0" w:type="dxa"/>
              <w:right w:w="108" w:type="dxa"/>
            </w:tcMar>
            <w:vAlign w:val="center"/>
          </w:tcPr>
          <w:p w14:paraId="58A19AE4" w14:textId="77777777" w:rsidR="00B02183" w:rsidRPr="007C4D65" w:rsidRDefault="00B02183" w:rsidP="00B02183">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40 µg/m</w:t>
            </w:r>
            <w:r w:rsidRPr="007C4D65">
              <w:rPr>
                <w:rFonts w:asciiTheme="minorHAnsi" w:hAnsiTheme="minorHAnsi" w:cstheme="minorHAnsi"/>
                <w:sz w:val="18"/>
                <w:vertAlign w:val="superscript"/>
              </w:rPr>
              <w:t>3</w:t>
            </w:r>
          </w:p>
        </w:tc>
      </w:tr>
      <w:tr w:rsidR="00B02183" w:rsidRPr="007C4D65" w14:paraId="3EDA23F4" w14:textId="77777777" w:rsidTr="00B02183">
        <w:trPr>
          <w:trHeight w:val="375"/>
        </w:trPr>
        <w:tc>
          <w:tcPr>
            <w:tcW w:w="788" w:type="pct"/>
            <w:vMerge/>
            <w:shd w:val="clear" w:color="auto" w:fill="D9D9D9"/>
            <w:vAlign w:val="center"/>
            <w:hideMark/>
          </w:tcPr>
          <w:p w14:paraId="42EDBE3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35" w:type="pct"/>
            <w:vMerge/>
            <w:vAlign w:val="center"/>
            <w:hideMark/>
          </w:tcPr>
          <w:p w14:paraId="35A6B94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581E4084" w14:textId="1BD4A391"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1B9DE77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13C67098"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530045BA" w14:textId="77777777" w:rsidTr="00B02183">
        <w:trPr>
          <w:trHeight w:val="287"/>
        </w:trPr>
        <w:tc>
          <w:tcPr>
            <w:tcW w:w="788" w:type="pct"/>
            <w:vMerge/>
            <w:shd w:val="clear" w:color="auto" w:fill="D9D9D9"/>
            <w:vAlign w:val="center"/>
            <w:hideMark/>
          </w:tcPr>
          <w:p w14:paraId="51A20BF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35" w:type="pct"/>
            <w:vMerge/>
            <w:vAlign w:val="center"/>
            <w:hideMark/>
          </w:tcPr>
          <w:p w14:paraId="50B2427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hemeFill="background1"/>
            <w:tcMar>
              <w:top w:w="0" w:type="dxa"/>
              <w:left w:w="108" w:type="dxa"/>
              <w:bottom w:w="0" w:type="dxa"/>
              <w:right w:w="108" w:type="dxa"/>
            </w:tcMar>
            <w:vAlign w:val="center"/>
          </w:tcPr>
          <w:p w14:paraId="61ACEED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332.9</w:t>
            </w:r>
          </w:p>
        </w:tc>
        <w:tc>
          <w:tcPr>
            <w:tcW w:w="1159" w:type="pct"/>
            <w:shd w:val="clear" w:color="auto" w:fill="FFFFFF" w:themeFill="background1"/>
            <w:tcMar>
              <w:top w:w="0" w:type="dxa"/>
              <w:left w:w="108" w:type="dxa"/>
              <w:bottom w:w="0" w:type="dxa"/>
              <w:right w:w="108" w:type="dxa"/>
            </w:tcMar>
            <w:vAlign w:val="center"/>
          </w:tcPr>
          <w:p w14:paraId="425310CF"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2992.7</w:t>
            </w:r>
          </w:p>
        </w:tc>
        <w:tc>
          <w:tcPr>
            <w:tcW w:w="1159" w:type="pct"/>
            <w:shd w:val="clear" w:color="auto" w:fill="FFFFFF" w:themeFill="background1"/>
            <w:tcMar>
              <w:top w:w="0" w:type="dxa"/>
              <w:left w:w="108" w:type="dxa"/>
              <w:bottom w:w="0" w:type="dxa"/>
              <w:right w:w="108" w:type="dxa"/>
            </w:tcMar>
            <w:vAlign w:val="center"/>
          </w:tcPr>
          <w:p w14:paraId="07B8AE38"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3325</w:t>
            </w:r>
          </w:p>
        </w:tc>
      </w:tr>
    </w:tbl>
    <w:p w14:paraId="4C7FD0E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99"/>
        <w:gridCol w:w="2049"/>
        <w:gridCol w:w="3234"/>
        <w:gridCol w:w="3233"/>
        <w:gridCol w:w="3233"/>
      </w:tblGrid>
      <w:tr w:rsidR="00B02183" w:rsidRPr="007C4D65" w14:paraId="215D69F0" w14:textId="77777777" w:rsidTr="00B6017F">
        <w:trPr>
          <w:trHeight w:val="384"/>
        </w:trPr>
        <w:tc>
          <w:tcPr>
            <w:tcW w:w="788" w:type="pct"/>
            <w:vMerge w:val="restart"/>
            <w:shd w:val="clear" w:color="auto" w:fill="D9D9D9"/>
            <w:tcMar>
              <w:top w:w="0" w:type="dxa"/>
              <w:left w:w="108" w:type="dxa"/>
              <w:bottom w:w="0" w:type="dxa"/>
              <w:right w:w="108" w:type="dxa"/>
            </w:tcMar>
            <w:vAlign w:val="center"/>
          </w:tcPr>
          <w:p w14:paraId="5E7F0490"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4.1 Priority</w:t>
            </w:r>
          </w:p>
        </w:tc>
        <w:tc>
          <w:tcPr>
            <w:tcW w:w="734" w:type="pct"/>
            <w:vMerge w:val="restart"/>
            <w:tcMar>
              <w:top w:w="0" w:type="dxa"/>
              <w:left w:w="108" w:type="dxa"/>
              <w:bottom w:w="0" w:type="dxa"/>
              <w:right w:w="108" w:type="dxa"/>
            </w:tcMar>
            <w:vAlign w:val="center"/>
          </w:tcPr>
          <w:p w14:paraId="49DEFACD" w14:textId="77777777" w:rsidR="00B02183" w:rsidRPr="007C4D65" w:rsidRDefault="00B02183"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Reduce air pollution by reducing levels of key air pollutants to levels that are safe for human health</w:t>
            </w:r>
          </w:p>
        </w:tc>
        <w:tc>
          <w:tcPr>
            <w:tcW w:w="1159" w:type="pct"/>
            <w:shd w:val="clear" w:color="auto" w:fill="D9D9D9"/>
            <w:tcMar>
              <w:top w:w="0" w:type="dxa"/>
              <w:left w:w="108" w:type="dxa"/>
              <w:bottom w:w="0" w:type="dxa"/>
              <w:right w:w="108" w:type="dxa"/>
            </w:tcMar>
            <w:vAlign w:val="center"/>
          </w:tcPr>
          <w:p w14:paraId="0A48794C"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1961FE87"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5F6E311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42DE74DA" w14:textId="77777777" w:rsidTr="00B6017F">
        <w:trPr>
          <w:trHeight w:val="287"/>
        </w:trPr>
        <w:tc>
          <w:tcPr>
            <w:tcW w:w="788" w:type="pct"/>
            <w:vMerge/>
            <w:shd w:val="clear" w:color="auto" w:fill="D9D9D9"/>
            <w:vAlign w:val="center"/>
            <w:hideMark/>
          </w:tcPr>
          <w:p w14:paraId="17B5F35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34" w:type="pct"/>
            <w:vMerge/>
            <w:vAlign w:val="center"/>
            <w:hideMark/>
          </w:tcPr>
          <w:p w14:paraId="3A44C0D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7AA7FF4E"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Amounts of emissions of pollutants from large plants</w:t>
            </w:r>
          </w:p>
        </w:tc>
        <w:tc>
          <w:tcPr>
            <w:tcW w:w="1159" w:type="pct"/>
            <w:tcMar>
              <w:top w:w="0" w:type="dxa"/>
              <w:left w:w="108" w:type="dxa"/>
              <w:bottom w:w="0" w:type="dxa"/>
              <w:right w:w="108" w:type="dxa"/>
            </w:tcMar>
          </w:tcPr>
          <w:p w14:paraId="19FA3A71"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 2014 the values were: 142,550 tons SO</w:t>
            </w:r>
            <w:r w:rsidRPr="007C4D65">
              <w:rPr>
                <w:rFonts w:asciiTheme="minorHAnsi" w:hAnsiTheme="minorHAnsi" w:cstheme="minorHAnsi"/>
                <w:sz w:val="18"/>
                <w:vertAlign w:val="subscript"/>
              </w:rPr>
              <w:t>2</w:t>
            </w:r>
            <w:r w:rsidRPr="007C4D65">
              <w:rPr>
                <w:rFonts w:asciiTheme="minorHAnsi" w:hAnsiTheme="minorHAnsi" w:cstheme="minorHAnsi"/>
                <w:sz w:val="18"/>
              </w:rPr>
              <w:t>, 14,514 tons NOx, 2.253 tons particulate matters</w:t>
            </w:r>
          </w:p>
        </w:tc>
        <w:tc>
          <w:tcPr>
            <w:tcW w:w="1159" w:type="pct"/>
            <w:tcMar>
              <w:top w:w="0" w:type="dxa"/>
              <w:left w:w="108" w:type="dxa"/>
              <w:bottom w:w="0" w:type="dxa"/>
              <w:right w:w="108" w:type="dxa"/>
            </w:tcMar>
          </w:tcPr>
          <w:p w14:paraId="2FA0B221" w14:textId="537F2B83"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By 1. 1. 2028 reduced to: 6,702 tons sulphur dioxide, 4,964 tons nitrogen oxides, 496 tons particulate matters</w:t>
            </w:r>
          </w:p>
        </w:tc>
      </w:tr>
      <w:tr w:rsidR="00B02183" w:rsidRPr="007C4D65" w14:paraId="5A5F07F1" w14:textId="77777777" w:rsidTr="00B6017F">
        <w:trPr>
          <w:trHeight w:val="287"/>
        </w:trPr>
        <w:tc>
          <w:tcPr>
            <w:tcW w:w="788" w:type="pct"/>
            <w:vMerge/>
            <w:shd w:val="clear" w:color="auto" w:fill="D9D9D9"/>
            <w:vAlign w:val="center"/>
          </w:tcPr>
          <w:p w14:paraId="6B35B95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34" w:type="pct"/>
            <w:vMerge/>
            <w:vAlign w:val="center"/>
          </w:tcPr>
          <w:p w14:paraId="071533C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536F161B"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Level of compliance of plants with BAT</w:t>
            </w:r>
          </w:p>
        </w:tc>
        <w:tc>
          <w:tcPr>
            <w:tcW w:w="1159" w:type="pct"/>
            <w:tcMar>
              <w:top w:w="0" w:type="dxa"/>
              <w:left w:w="108" w:type="dxa"/>
              <w:bottom w:w="0" w:type="dxa"/>
              <w:right w:w="108" w:type="dxa"/>
            </w:tcMar>
          </w:tcPr>
          <w:p w14:paraId="67AFDCFA"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Low level of compliance of plants with BAT</w:t>
            </w:r>
          </w:p>
        </w:tc>
        <w:tc>
          <w:tcPr>
            <w:tcW w:w="1159" w:type="pct"/>
            <w:tcMar>
              <w:top w:w="0" w:type="dxa"/>
              <w:left w:w="108" w:type="dxa"/>
              <w:bottom w:w="0" w:type="dxa"/>
              <w:right w:w="108" w:type="dxa"/>
            </w:tcMar>
          </w:tcPr>
          <w:p w14:paraId="60BD547C"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Harmonisation of all industrial plants with best available techniques by 2032</w:t>
            </w:r>
          </w:p>
        </w:tc>
      </w:tr>
      <w:tr w:rsidR="00B02183" w:rsidRPr="007C4D65" w14:paraId="52271BE4" w14:textId="77777777" w:rsidTr="00B6017F">
        <w:trPr>
          <w:trHeight w:val="287"/>
        </w:trPr>
        <w:tc>
          <w:tcPr>
            <w:tcW w:w="788" w:type="pct"/>
            <w:vMerge/>
            <w:shd w:val="clear" w:color="auto" w:fill="D9D9D9"/>
            <w:vAlign w:val="center"/>
          </w:tcPr>
          <w:p w14:paraId="0AC07BC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34" w:type="pct"/>
            <w:vMerge/>
            <w:vAlign w:val="center"/>
          </w:tcPr>
          <w:p w14:paraId="155A136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BA65B03"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Percentage of reduction of pollutants emissions from household stoves and service industry</w:t>
            </w:r>
          </w:p>
        </w:tc>
        <w:tc>
          <w:tcPr>
            <w:tcW w:w="1159" w:type="pct"/>
            <w:tcMar>
              <w:top w:w="0" w:type="dxa"/>
              <w:left w:w="108" w:type="dxa"/>
              <w:bottom w:w="0" w:type="dxa"/>
              <w:right w:w="108" w:type="dxa"/>
            </w:tcMar>
          </w:tcPr>
          <w:p w14:paraId="77FE55B5"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High emissions and impact on air quality from household stoves and emissions from the service industry</w:t>
            </w:r>
          </w:p>
        </w:tc>
        <w:tc>
          <w:tcPr>
            <w:tcW w:w="1159" w:type="pct"/>
            <w:tcMar>
              <w:top w:w="0" w:type="dxa"/>
              <w:left w:w="108" w:type="dxa"/>
              <w:bottom w:w="0" w:type="dxa"/>
              <w:right w:w="108" w:type="dxa"/>
            </w:tcMar>
          </w:tcPr>
          <w:p w14:paraId="732AF5DD"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Reducing emissions from household stoves by 50% by 2032 as compared the baseline year</w:t>
            </w:r>
          </w:p>
        </w:tc>
      </w:tr>
      <w:tr w:rsidR="00B02183" w:rsidRPr="007C4D65" w14:paraId="15F450D7" w14:textId="77777777" w:rsidTr="00B6017F">
        <w:trPr>
          <w:trHeight w:val="287"/>
        </w:trPr>
        <w:tc>
          <w:tcPr>
            <w:tcW w:w="788" w:type="pct"/>
            <w:vMerge/>
            <w:shd w:val="clear" w:color="auto" w:fill="D9D9D9"/>
            <w:vAlign w:val="center"/>
          </w:tcPr>
          <w:p w14:paraId="4165D65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34" w:type="pct"/>
            <w:vMerge/>
            <w:vAlign w:val="center"/>
          </w:tcPr>
          <w:p w14:paraId="7ADD942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2188E134"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Percentage of district heating in total heated area in the building sector</w:t>
            </w:r>
          </w:p>
        </w:tc>
        <w:tc>
          <w:tcPr>
            <w:tcW w:w="1159" w:type="pct"/>
            <w:tcMar>
              <w:top w:w="0" w:type="dxa"/>
              <w:left w:w="108" w:type="dxa"/>
              <w:bottom w:w="0" w:type="dxa"/>
              <w:right w:w="108" w:type="dxa"/>
            </w:tcMar>
          </w:tcPr>
          <w:p w14:paraId="1B343D51"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Share of the district heating in the total heated area in the building sector about 8%.</w:t>
            </w:r>
          </w:p>
        </w:tc>
        <w:tc>
          <w:tcPr>
            <w:tcW w:w="1159" w:type="pct"/>
            <w:tcMar>
              <w:top w:w="0" w:type="dxa"/>
              <w:left w:w="108" w:type="dxa"/>
              <w:bottom w:w="0" w:type="dxa"/>
              <w:right w:w="108" w:type="dxa"/>
            </w:tcMar>
          </w:tcPr>
          <w:p w14:paraId="3E211375"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Increasing the share of the district heating in the total heated area in the building sector to 15% by 2030</w:t>
            </w:r>
          </w:p>
        </w:tc>
      </w:tr>
      <w:tr w:rsidR="00B02183" w:rsidRPr="007C4D65" w14:paraId="0E024FD4" w14:textId="77777777" w:rsidTr="00B6017F">
        <w:trPr>
          <w:trHeight w:val="287"/>
        </w:trPr>
        <w:tc>
          <w:tcPr>
            <w:tcW w:w="788" w:type="pct"/>
            <w:vMerge/>
            <w:shd w:val="clear" w:color="auto" w:fill="D9D9D9"/>
            <w:vAlign w:val="center"/>
          </w:tcPr>
          <w:p w14:paraId="58CDF9B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34" w:type="pct"/>
            <w:vMerge/>
            <w:vAlign w:val="center"/>
          </w:tcPr>
          <w:p w14:paraId="70F1780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7A96BE98"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Percentage of reduction of pollutants emissions from the transport</w:t>
            </w:r>
          </w:p>
        </w:tc>
        <w:tc>
          <w:tcPr>
            <w:tcW w:w="1159" w:type="pct"/>
            <w:tcMar>
              <w:top w:w="0" w:type="dxa"/>
              <w:left w:w="108" w:type="dxa"/>
              <w:bottom w:w="0" w:type="dxa"/>
              <w:right w:w="108" w:type="dxa"/>
            </w:tcMar>
          </w:tcPr>
          <w:p w14:paraId="041AB872"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Underdeveloped public and non-motorised transport, high share of aging vehicles </w:t>
            </w:r>
          </w:p>
          <w:p w14:paraId="10229E32"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emissions of particulate matters in 2016 amount to 1,101.8 tons </w:t>
            </w:r>
          </w:p>
        </w:tc>
        <w:tc>
          <w:tcPr>
            <w:tcW w:w="1159" w:type="pct"/>
            <w:tcMar>
              <w:top w:w="0" w:type="dxa"/>
              <w:left w:w="108" w:type="dxa"/>
              <w:bottom w:w="0" w:type="dxa"/>
              <w:right w:w="108" w:type="dxa"/>
            </w:tcMar>
          </w:tcPr>
          <w:p w14:paraId="1B1BA129"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Reducing pollutants emissions from transport by 30% by 2030 (including raising dust from roads) as compared to 2016</w:t>
            </w:r>
          </w:p>
        </w:tc>
      </w:tr>
      <w:tr w:rsidR="00B02183" w:rsidRPr="007C4D65" w14:paraId="69C60317" w14:textId="77777777" w:rsidTr="00B6017F">
        <w:trPr>
          <w:trHeight w:val="287"/>
        </w:trPr>
        <w:tc>
          <w:tcPr>
            <w:tcW w:w="788" w:type="pct"/>
            <w:vMerge/>
            <w:shd w:val="clear" w:color="auto" w:fill="D9D9D9"/>
            <w:vAlign w:val="center"/>
            <w:hideMark/>
          </w:tcPr>
          <w:p w14:paraId="09BD38C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34" w:type="pct"/>
            <w:vMerge/>
            <w:vAlign w:val="center"/>
            <w:hideMark/>
          </w:tcPr>
          <w:p w14:paraId="3B371B8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4C28EF73" w14:textId="079DCA8C"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5976F8F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44396AE1"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496E5FEC" w14:textId="77777777" w:rsidTr="00B6017F">
        <w:trPr>
          <w:trHeight w:val="287"/>
        </w:trPr>
        <w:tc>
          <w:tcPr>
            <w:tcW w:w="788" w:type="pct"/>
            <w:vMerge/>
            <w:shd w:val="clear" w:color="auto" w:fill="D9D9D9"/>
            <w:vAlign w:val="center"/>
          </w:tcPr>
          <w:p w14:paraId="6C7182E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34" w:type="pct"/>
            <w:vMerge/>
            <w:vAlign w:val="center"/>
          </w:tcPr>
          <w:p w14:paraId="59B7302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3BE50F5"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32.5</w:t>
            </w:r>
          </w:p>
        </w:tc>
        <w:tc>
          <w:tcPr>
            <w:tcW w:w="1159" w:type="pct"/>
            <w:tcMar>
              <w:top w:w="0" w:type="dxa"/>
              <w:left w:w="108" w:type="dxa"/>
              <w:bottom w:w="0" w:type="dxa"/>
              <w:right w:w="108" w:type="dxa"/>
            </w:tcMar>
            <w:vAlign w:val="center"/>
          </w:tcPr>
          <w:p w14:paraId="1734A138"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292.2</w:t>
            </w:r>
          </w:p>
        </w:tc>
        <w:tc>
          <w:tcPr>
            <w:tcW w:w="1159" w:type="pct"/>
            <w:tcMar>
              <w:top w:w="0" w:type="dxa"/>
              <w:left w:w="108" w:type="dxa"/>
              <w:bottom w:w="0" w:type="dxa"/>
              <w:right w:w="108" w:type="dxa"/>
            </w:tcMar>
            <w:vAlign w:val="center"/>
          </w:tcPr>
          <w:p w14:paraId="5919AF7E"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324.8</w:t>
            </w:r>
          </w:p>
        </w:tc>
      </w:tr>
    </w:tbl>
    <w:p w14:paraId="2A62B0D6"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263"/>
        <w:gridCol w:w="1986"/>
        <w:gridCol w:w="3233"/>
        <w:gridCol w:w="3233"/>
        <w:gridCol w:w="3233"/>
      </w:tblGrid>
      <w:tr w:rsidR="00B02183" w:rsidRPr="007C4D65" w14:paraId="18E41C86" w14:textId="77777777" w:rsidTr="00B6017F">
        <w:trPr>
          <w:trHeight w:val="483"/>
        </w:trPr>
        <w:tc>
          <w:tcPr>
            <w:tcW w:w="811" w:type="pct"/>
            <w:vMerge w:val="restart"/>
            <w:shd w:val="clear" w:color="auto" w:fill="D9D9D9"/>
            <w:tcMar>
              <w:top w:w="0" w:type="dxa"/>
              <w:left w:w="108" w:type="dxa"/>
              <w:bottom w:w="0" w:type="dxa"/>
              <w:right w:w="108" w:type="dxa"/>
            </w:tcMar>
            <w:vAlign w:val="center"/>
            <w:hideMark/>
          </w:tcPr>
          <w:p w14:paraId="2726BBE3"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4.1.1 Measure</w:t>
            </w:r>
          </w:p>
        </w:tc>
        <w:tc>
          <w:tcPr>
            <w:tcW w:w="712" w:type="pct"/>
            <w:vMerge w:val="restart"/>
            <w:tcMar>
              <w:top w:w="0" w:type="dxa"/>
              <w:left w:w="108" w:type="dxa"/>
              <w:bottom w:w="0" w:type="dxa"/>
              <w:right w:w="108" w:type="dxa"/>
            </w:tcMar>
            <w:vAlign w:val="center"/>
          </w:tcPr>
          <w:p w14:paraId="1402CB82"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Reducing emissions from large combustion plants and achieving compliance of all industrial facilities with best available techniques</w:t>
            </w:r>
          </w:p>
        </w:tc>
        <w:tc>
          <w:tcPr>
            <w:tcW w:w="1159" w:type="pct"/>
            <w:shd w:val="clear" w:color="auto" w:fill="D9D9D9"/>
            <w:tcMar>
              <w:top w:w="0" w:type="dxa"/>
              <w:left w:w="108" w:type="dxa"/>
              <w:bottom w:w="0" w:type="dxa"/>
              <w:right w:w="108" w:type="dxa"/>
            </w:tcMar>
            <w:vAlign w:val="center"/>
            <w:hideMark/>
          </w:tcPr>
          <w:p w14:paraId="4A45FE1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7A3267B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7AC2A941"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3D01712C" w14:textId="77777777" w:rsidTr="00B6017F">
        <w:trPr>
          <w:trHeight w:val="287"/>
        </w:trPr>
        <w:tc>
          <w:tcPr>
            <w:tcW w:w="811" w:type="pct"/>
            <w:vMerge/>
            <w:shd w:val="clear" w:color="auto" w:fill="D9D9D9"/>
            <w:vAlign w:val="center"/>
          </w:tcPr>
          <w:p w14:paraId="0227088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2E7F510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5544A8A" w14:textId="50B5254B"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development and implementation of a funding programme for the implementation of NERP</w:t>
            </w:r>
          </w:p>
        </w:tc>
        <w:tc>
          <w:tcPr>
            <w:tcW w:w="1159" w:type="pct"/>
            <w:shd w:val="clear" w:color="auto" w:fill="FFFFFF"/>
            <w:tcMar>
              <w:top w:w="0" w:type="dxa"/>
              <w:left w:w="108" w:type="dxa"/>
              <w:bottom w:w="0" w:type="dxa"/>
              <w:right w:w="108" w:type="dxa"/>
            </w:tcMar>
            <w:vAlign w:val="center"/>
          </w:tcPr>
          <w:p w14:paraId="6DBC8E89" w14:textId="3C7D7D63"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Unidentified sources of funding and delays in the implementation of NERP</w:t>
            </w:r>
          </w:p>
        </w:tc>
        <w:tc>
          <w:tcPr>
            <w:tcW w:w="1159" w:type="pct"/>
            <w:shd w:val="clear" w:color="auto" w:fill="FFFFFF"/>
            <w:vAlign w:val="center"/>
          </w:tcPr>
          <w:p w14:paraId="75B50804"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A funding programme for NERP and its implementation developed and implemented</w:t>
            </w:r>
          </w:p>
        </w:tc>
      </w:tr>
      <w:tr w:rsidR="00B02183" w:rsidRPr="007C4D65" w14:paraId="1FC2F2FC" w14:textId="77777777" w:rsidTr="00B6017F">
        <w:trPr>
          <w:trHeight w:val="287"/>
        </w:trPr>
        <w:tc>
          <w:tcPr>
            <w:tcW w:w="811" w:type="pct"/>
            <w:vMerge/>
            <w:shd w:val="clear" w:color="auto" w:fill="D9D9D9"/>
            <w:vAlign w:val="center"/>
          </w:tcPr>
          <w:p w14:paraId="7B5F783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189441B5"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AA98151"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adopted BREFs for BATs</w:t>
            </w:r>
          </w:p>
        </w:tc>
        <w:tc>
          <w:tcPr>
            <w:tcW w:w="1159" w:type="pct"/>
            <w:shd w:val="clear" w:color="auto" w:fill="FFFFFF"/>
            <w:tcMar>
              <w:top w:w="0" w:type="dxa"/>
              <w:left w:w="108" w:type="dxa"/>
              <w:bottom w:w="0" w:type="dxa"/>
              <w:right w:w="108" w:type="dxa"/>
            </w:tcMar>
            <w:vAlign w:val="center"/>
          </w:tcPr>
          <w:p w14:paraId="23D2BB9F"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Federation of BiH has no BREFs developed or adopted</w:t>
            </w:r>
          </w:p>
        </w:tc>
        <w:tc>
          <w:tcPr>
            <w:tcW w:w="1159" w:type="pct"/>
            <w:shd w:val="clear" w:color="auto" w:fill="FFFFFF"/>
            <w:vAlign w:val="center"/>
          </w:tcPr>
          <w:p w14:paraId="66748944"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Reference documents developed and adopted for all significant industrial processes in the Federation of BiH</w:t>
            </w:r>
          </w:p>
        </w:tc>
      </w:tr>
      <w:tr w:rsidR="00B02183" w:rsidRPr="007C4D65" w14:paraId="0F0845F5" w14:textId="77777777" w:rsidTr="00B6017F">
        <w:trPr>
          <w:trHeight w:val="287"/>
        </w:trPr>
        <w:tc>
          <w:tcPr>
            <w:tcW w:w="811" w:type="pct"/>
            <w:vMerge/>
            <w:shd w:val="clear" w:color="auto" w:fill="D9D9D9"/>
            <w:vAlign w:val="center"/>
          </w:tcPr>
          <w:p w14:paraId="14F07C0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68D1C64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2B1113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environmental permits that require harmonisation of industrial processes with BATs adopted</w:t>
            </w:r>
          </w:p>
        </w:tc>
        <w:tc>
          <w:tcPr>
            <w:tcW w:w="1159" w:type="pct"/>
            <w:shd w:val="clear" w:color="auto" w:fill="FFFFFF"/>
            <w:tcMar>
              <w:top w:w="0" w:type="dxa"/>
              <w:left w:w="108" w:type="dxa"/>
              <w:bottom w:w="0" w:type="dxa"/>
              <w:right w:w="108" w:type="dxa"/>
            </w:tcMar>
            <w:vAlign w:val="center"/>
          </w:tcPr>
          <w:p w14:paraId="6DEE99B6" w14:textId="77AB2101"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Unknown number of environmental permits that </w:t>
            </w:r>
            <w:proofErr w:type="gramStart"/>
            <w:r w:rsidRPr="007C4D65">
              <w:rPr>
                <w:rFonts w:asciiTheme="minorHAnsi" w:hAnsiTheme="minorHAnsi" w:cstheme="minorHAnsi"/>
                <w:sz w:val="18"/>
              </w:rPr>
              <w:t>are in compliance with</w:t>
            </w:r>
            <w:proofErr w:type="gramEnd"/>
            <w:r w:rsidRPr="007C4D65">
              <w:rPr>
                <w:rFonts w:asciiTheme="minorHAnsi" w:hAnsiTheme="minorHAnsi" w:cstheme="minorHAnsi"/>
                <w:sz w:val="18"/>
              </w:rPr>
              <w:t xml:space="preserve"> EU BREFs</w:t>
            </w:r>
          </w:p>
        </w:tc>
        <w:tc>
          <w:tcPr>
            <w:tcW w:w="1159" w:type="pct"/>
            <w:shd w:val="clear" w:color="auto" w:fill="FFFFFF"/>
            <w:vAlign w:val="center"/>
          </w:tcPr>
          <w:p w14:paraId="758BCB6F"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Environmental permits issued to all industrial facilities required to obtain a permit</w:t>
            </w:r>
          </w:p>
        </w:tc>
      </w:tr>
      <w:tr w:rsidR="00B02183" w:rsidRPr="007C4D65" w14:paraId="0C974880" w14:textId="77777777" w:rsidTr="00B6017F">
        <w:trPr>
          <w:trHeight w:val="287"/>
        </w:trPr>
        <w:tc>
          <w:tcPr>
            <w:tcW w:w="811" w:type="pct"/>
            <w:vMerge/>
            <w:shd w:val="clear" w:color="auto" w:fill="D9D9D9"/>
            <w:vAlign w:val="center"/>
          </w:tcPr>
          <w:p w14:paraId="4B70796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34ED72F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460BA83" w14:textId="4CE2D375"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facilities included in the digitalised and centralised system of reporting on emissions measurement</w:t>
            </w:r>
          </w:p>
        </w:tc>
        <w:tc>
          <w:tcPr>
            <w:tcW w:w="1159" w:type="pct"/>
            <w:shd w:val="clear" w:color="auto" w:fill="FFFFFF"/>
            <w:tcMar>
              <w:top w:w="0" w:type="dxa"/>
              <w:left w:w="108" w:type="dxa"/>
              <w:bottom w:w="0" w:type="dxa"/>
              <w:right w:w="108" w:type="dxa"/>
            </w:tcMar>
            <w:vAlign w:val="center"/>
          </w:tcPr>
          <w:p w14:paraId="5DDFF753"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digitalised and centralised system of reporting on emissions measurement in place</w:t>
            </w:r>
          </w:p>
        </w:tc>
        <w:tc>
          <w:tcPr>
            <w:tcW w:w="1159" w:type="pct"/>
            <w:shd w:val="clear" w:color="auto" w:fill="FFFFFF"/>
            <w:vAlign w:val="center"/>
          </w:tcPr>
          <w:p w14:paraId="74200CC8"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Digitalised and centralised system of reporting on emissions measurement established</w:t>
            </w:r>
          </w:p>
        </w:tc>
      </w:tr>
      <w:tr w:rsidR="00B02183" w:rsidRPr="007C4D65" w14:paraId="6C8C27F2" w14:textId="77777777" w:rsidTr="00B6017F">
        <w:trPr>
          <w:trHeight w:val="287"/>
        </w:trPr>
        <w:tc>
          <w:tcPr>
            <w:tcW w:w="811" w:type="pct"/>
            <w:vMerge/>
            <w:shd w:val="clear" w:color="auto" w:fill="D9D9D9"/>
            <w:vAlign w:val="center"/>
          </w:tcPr>
          <w:p w14:paraId="22C50316"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7B14196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D1EE63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Level of the implementation of the capacity development programme</w:t>
            </w:r>
          </w:p>
        </w:tc>
        <w:tc>
          <w:tcPr>
            <w:tcW w:w="1159" w:type="pct"/>
            <w:shd w:val="clear" w:color="auto" w:fill="FFFFFF"/>
            <w:tcMar>
              <w:top w:w="0" w:type="dxa"/>
              <w:left w:w="108" w:type="dxa"/>
              <w:bottom w:w="0" w:type="dxa"/>
              <w:right w:w="108" w:type="dxa"/>
            </w:tcMar>
            <w:vAlign w:val="center"/>
          </w:tcPr>
          <w:p w14:paraId="3572EAE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 capacities to support introducing and overseeing the implementation of the requirements from the environmental permits</w:t>
            </w:r>
          </w:p>
        </w:tc>
        <w:tc>
          <w:tcPr>
            <w:tcW w:w="1159" w:type="pct"/>
            <w:shd w:val="clear" w:color="auto" w:fill="FFFFFF"/>
            <w:vAlign w:val="center"/>
          </w:tcPr>
          <w:p w14:paraId="14AA83BA" w14:textId="77777777" w:rsidR="00B02183" w:rsidRPr="007C4D65" w:rsidRDefault="00B02183" w:rsidP="00B02183">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The capacity building programme designed and implemented</w:t>
            </w:r>
          </w:p>
        </w:tc>
      </w:tr>
      <w:tr w:rsidR="00B02183" w:rsidRPr="007C4D65" w14:paraId="26E58DD5" w14:textId="77777777" w:rsidTr="00B6017F">
        <w:trPr>
          <w:trHeight w:val="287"/>
        </w:trPr>
        <w:tc>
          <w:tcPr>
            <w:tcW w:w="811" w:type="pct"/>
            <w:vMerge/>
            <w:shd w:val="clear" w:color="auto" w:fill="D9D9D9"/>
            <w:vAlign w:val="center"/>
          </w:tcPr>
          <w:p w14:paraId="57E563A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162CD78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15467E6"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adoption of amendments to the Decree</w:t>
            </w:r>
          </w:p>
        </w:tc>
        <w:tc>
          <w:tcPr>
            <w:tcW w:w="1159" w:type="pct"/>
            <w:shd w:val="clear" w:color="auto" w:fill="FFFFFF"/>
            <w:tcMar>
              <w:top w:w="0" w:type="dxa"/>
              <w:left w:w="108" w:type="dxa"/>
              <w:bottom w:w="0" w:type="dxa"/>
              <w:right w:w="108" w:type="dxa"/>
            </w:tcMar>
            <w:vAlign w:val="center"/>
          </w:tcPr>
          <w:p w14:paraId="2E22BBF2" w14:textId="24412F8A"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applicable Decree does not cover many pollutants and does not </w:t>
            </w:r>
            <w:r w:rsidR="00830279" w:rsidRPr="007C4D65">
              <w:rPr>
                <w:rFonts w:asciiTheme="minorHAnsi" w:hAnsiTheme="minorHAnsi" w:cstheme="minorHAnsi"/>
                <w:sz w:val="18"/>
              </w:rPr>
              <w:t>envisage</w:t>
            </w:r>
            <w:r w:rsidRPr="007C4D65">
              <w:rPr>
                <w:rFonts w:asciiTheme="minorHAnsi" w:hAnsiTheme="minorHAnsi" w:cstheme="minorHAnsi"/>
                <w:sz w:val="18"/>
              </w:rPr>
              <w:t xml:space="preserve"> digitalised and centralised reporting</w:t>
            </w:r>
          </w:p>
        </w:tc>
        <w:tc>
          <w:tcPr>
            <w:tcW w:w="1159" w:type="pct"/>
            <w:shd w:val="clear" w:color="auto" w:fill="FFFFFF"/>
            <w:vAlign w:val="center"/>
          </w:tcPr>
          <w:p w14:paraId="05910125" w14:textId="77777777" w:rsidR="00B02183" w:rsidRPr="007C4D65" w:rsidRDefault="00B02183" w:rsidP="00B02183">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The Amendments to the Decree on fees for air pollution adopted</w:t>
            </w:r>
          </w:p>
        </w:tc>
      </w:tr>
      <w:tr w:rsidR="00B02183" w:rsidRPr="007C4D65" w14:paraId="68C81528" w14:textId="77777777" w:rsidTr="00B6017F">
        <w:trPr>
          <w:trHeight w:val="483"/>
        </w:trPr>
        <w:tc>
          <w:tcPr>
            <w:tcW w:w="811" w:type="pct"/>
            <w:vMerge/>
            <w:shd w:val="clear" w:color="auto" w:fill="D9D9D9"/>
            <w:vAlign w:val="center"/>
            <w:hideMark/>
          </w:tcPr>
          <w:p w14:paraId="4F7EF05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53D7B3F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151EF913" w14:textId="27CA66EA"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6045FD2E"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780EBF2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390878A8" w14:textId="77777777" w:rsidTr="00B6017F">
        <w:trPr>
          <w:trHeight w:val="287"/>
        </w:trPr>
        <w:tc>
          <w:tcPr>
            <w:tcW w:w="811" w:type="pct"/>
            <w:vMerge/>
            <w:shd w:val="clear" w:color="auto" w:fill="D9D9D9"/>
            <w:vAlign w:val="center"/>
            <w:hideMark/>
          </w:tcPr>
          <w:p w14:paraId="5EE07F3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657D391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0043EF0"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0.190</w:t>
            </w:r>
          </w:p>
        </w:tc>
        <w:tc>
          <w:tcPr>
            <w:tcW w:w="1159" w:type="pct"/>
            <w:tcMar>
              <w:top w:w="0" w:type="dxa"/>
              <w:left w:w="108" w:type="dxa"/>
              <w:bottom w:w="0" w:type="dxa"/>
              <w:right w:w="108" w:type="dxa"/>
            </w:tcMar>
            <w:vAlign w:val="center"/>
          </w:tcPr>
          <w:p w14:paraId="0DEF4246"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0.761</w:t>
            </w:r>
          </w:p>
        </w:tc>
        <w:tc>
          <w:tcPr>
            <w:tcW w:w="1159" w:type="pct"/>
            <w:tcMar>
              <w:top w:w="0" w:type="dxa"/>
              <w:left w:w="108" w:type="dxa"/>
              <w:bottom w:w="0" w:type="dxa"/>
              <w:right w:w="108" w:type="dxa"/>
            </w:tcMar>
            <w:vAlign w:val="center"/>
          </w:tcPr>
          <w:p w14:paraId="2ECE3D0A"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0.951</w:t>
            </w:r>
          </w:p>
        </w:tc>
      </w:tr>
      <w:tr w:rsidR="00B02183" w:rsidRPr="007C4D65" w14:paraId="60E8C1D4" w14:textId="77777777" w:rsidTr="00B6017F">
        <w:trPr>
          <w:trHeight w:val="483"/>
        </w:trPr>
        <w:tc>
          <w:tcPr>
            <w:tcW w:w="811" w:type="pct"/>
            <w:vMerge w:val="restart"/>
            <w:shd w:val="clear" w:color="auto" w:fill="D9D9D9"/>
            <w:tcMar>
              <w:top w:w="0" w:type="dxa"/>
              <w:left w:w="108" w:type="dxa"/>
              <w:bottom w:w="0" w:type="dxa"/>
              <w:right w:w="108" w:type="dxa"/>
            </w:tcMar>
            <w:vAlign w:val="center"/>
            <w:hideMark/>
          </w:tcPr>
          <w:p w14:paraId="15099E93"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4.1.2 Measure</w:t>
            </w:r>
          </w:p>
        </w:tc>
        <w:tc>
          <w:tcPr>
            <w:tcW w:w="712" w:type="pct"/>
            <w:vMerge w:val="restart"/>
            <w:tcMar>
              <w:top w:w="0" w:type="dxa"/>
              <w:left w:w="108" w:type="dxa"/>
              <w:bottom w:w="0" w:type="dxa"/>
              <w:right w:w="108" w:type="dxa"/>
            </w:tcMar>
            <w:vAlign w:val="center"/>
          </w:tcPr>
          <w:p w14:paraId="2D152334"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Reducing air pollution from local sources</w:t>
            </w:r>
          </w:p>
        </w:tc>
        <w:tc>
          <w:tcPr>
            <w:tcW w:w="1159" w:type="pct"/>
            <w:shd w:val="clear" w:color="auto" w:fill="D9D9D9"/>
            <w:tcMar>
              <w:top w:w="0" w:type="dxa"/>
              <w:left w:w="108" w:type="dxa"/>
              <w:bottom w:w="0" w:type="dxa"/>
              <w:right w:w="108" w:type="dxa"/>
            </w:tcMar>
            <w:vAlign w:val="center"/>
            <w:hideMark/>
          </w:tcPr>
          <w:p w14:paraId="1EF44567"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1C174D2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44F75E48"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04532151" w14:textId="77777777" w:rsidTr="00B6017F">
        <w:trPr>
          <w:trHeight w:val="287"/>
        </w:trPr>
        <w:tc>
          <w:tcPr>
            <w:tcW w:w="811" w:type="pct"/>
            <w:vMerge/>
            <w:shd w:val="clear" w:color="auto" w:fill="D9D9D9"/>
            <w:vAlign w:val="center"/>
          </w:tcPr>
          <w:p w14:paraId="5C60BB6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0602530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2373F7B"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law adoption</w:t>
            </w:r>
          </w:p>
        </w:tc>
        <w:tc>
          <w:tcPr>
            <w:tcW w:w="1159" w:type="pct"/>
            <w:shd w:val="clear" w:color="auto" w:fill="FFFFFF"/>
            <w:tcMar>
              <w:top w:w="0" w:type="dxa"/>
              <w:left w:w="108" w:type="dxa"/>
              <w:bottom w:w="0" w:type="dxa"/>
              <w:right w:w="108" w:type="dxa"/>
            </w:tcMar>
            <w:vAlign w:val="center"/>
          </w:tcPr>
          <w:p w14:paraId="3C8B1DA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applicable law does not regulate the quality of solid fuels and stoves and boilers</w:t>
            </w:r>
          </w:p>
        </w:tc>
        <w:tc>
          <w:tcPr>
            <w:tcW w:w="1159" w:type="pct"/>
            <w:shd w:val="clear" w:color="auto" w:fill="FFFFFF"/>
            <w:vAlign w:val="center"/>
          </w:tcPr>
          <w:p w14:paraId="3FFDBD47"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The Law on air protection that specifies the quality of (solid) fuels and bans sale of non-certified stoves and boilers adopted</w:t>
            </w:r>
          </w:p>
        </w:tc>
      </w:tr>
      <w:tr w:rsidR="00B02183" w:rsidRPr="007C4D65" w14:paraId="2EBE231A" w14:textId="77777777" w:rsidTr="00B6017F">
        <w:trPr>
          <w:trHeight w:val="287"/>
        </w:trPr>
        <w:tc>
          <w:tcPr>
            <w:tcW w:w="811" w:type="pct"/>
            <w:vMerge/>
            <w:shd w:val="clear" w:color="auto" w:fill="D9D9D9"/>
            <w:vAlign w:val="center"/>
          </w:tcPr>
          <w:p w14:paraId="0431CFB6"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05FA1DD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7574E5E"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cantons with regulated incentive scheme models</w:t>
            </w:r>
          </w:p>
        </w:tc>
        <w:tc>
          <w:tcPr>
            <w:tcW w:w="1159" w:type="pct"/>
            <w:shd w:val="clear" w:color="auto" w:fill="FFFFFF"/>
            <w:tcMar>
              <w:top w:w="0" w:type="dxa"/>
              <w:left w:w="108" w:type="dxa"/>
              <w:bottom w:w="0" w:type="dxa"/>
              <w:right w:w="108" w:type="dxa"/>
            </w:tcMar>
            <w:vAlign w:val="center"/>
          </w:tcPr>
          <w:p w14:paraId="1B664BC2"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Some of the cantons have pilot incentive schemes</w:t>
            </w:r>
          </w:p>
        </w:tc>
        <w:tc>
          <w:tcPr>
            <w:tcW w:w="1159" w:type="pct"/>
            <w:shd w:val="clear" w:color="auto" w:fill="FFFFFF"/>
            <w:vAlign w:val="center"/>
          </w:tcPr>
          <w:p w14:paraId="3E7522A0"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Development of the model for incentive schemes in each canton, in coordination with the entity</w:t>
            </w:r>
          </w:p>
        </w:tc>
      </w:tr>
      <w:tr w:rsidR="00B02183" w:rsidRPr="007C4D65" w14:paraId="40561EC9" w14:textId="77777777" w:rsidTr="00B6017F">
        <w:trPr>
          <w:trHeight w:val="287"/>
        </w:trPr>
        <w:tc>
          <w:tcPr>
            <w:tcW w:w="811" w:type="pct"/>
            <w:vMerge/>
            <w:shd w:val="clear" w:color="auto" w:fill="D9D9D9"/>
            <w:vAlign w:val="center"/>
          </w:tcPr>
          <w:p w14:paraId="4F55612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197D04A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C28AC05"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amendments to the relevant legislation and level of capacity development in the inspections</w:t>
            </w:r>
          </w:p>
        </w:tc>
        <w:tc>
          <w:tcPr>
            <w:tcW w:w="1159" w:type="pct"/>
            <w:shd w:val="clear" w:color="auto" w:fill="FFFFFF"/>
            <w:tcMar>
              <w:top w:w="0" w:type="dxa"/>
              <w:left w:w="108" w:type="dxa"/>
              <w:bottom w:w="0" w:type="dxa"/>
              <w:right w:w="108" w:type="dxa"/>
            </w:tcMar>
            <w:vAlign w:val="center"/>
          </w:tcPr>
          <w:p w14:paraId="6F5C39D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current legal framework does not allow for adequate inspections of household stoves, inspections do not have sufficient capacities</w:t>
            </w:r>
          </w:p>
        </w:tc>
        <w:tc>
          <w:tcPr>
            <w:tcW w:w="1159" w:type="pct"/>
            <w:shd w:val="clear" w:color="auto" w:fill="FFFFFF"/>
            <w:vAlign w:val="center"/>
          </w:tcPr>
          <w:p w14:paraId="40240164"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Relevant legislation amended and capacities of municipal and cantonal inspections developed (number of inspectors increased and training programmes implemented</w:t>
            </w:r>
          </w:p>
        </w:tc>
      </w:tr>
      <w:tr w:rsidR="00B02183" w:rsidRPr="007C4D65" w14:paraId="111BCD70" w14:textId="77777777" w:rsidTr="00B6017F">
        <w:trPr>
          <w:trHeight w:val="287"/>
        </w:trPr>
        <w:tc>
          <w:tcPr>
            <w:tcW w:w="811" w:type="pct"/>
            <w:vMerge/>
            <w:shd w:val="clear" w:color="auto" w:fill="D9D9D9"/>
            <w:vAlign w:val="center"/>
          </w:tcPr>
          <w:p w14:paraId="42E7ED78"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568DF66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1F319C4A" w14:textId="77777777" w:rsidR="00B02183" w:rsidRPr="007C4D65" w:rsidRDefault="00B02183" w:rsidP="00B02183">
            <w:pPr>
              <w:spacing w:after="120" w:line="276" w:lineRule="auto"/>
              <w:ind w:hanging="2"/>
              <w:contextualSpacing/>
              <w:rPr>
                <w:rFonts w:asciiTheme="minorHAnsi" w:eastAsia="Calibri" w:hAnsiTheme="minorHAnsi" w:cstheme="minorHAnsi"/>
                <w:sz w:val="18"/>
                <w:szCs w:val="18"/>
              </w:rPr>
            </w:pPr>
            <w:r w:rsidRPr="007C4D65">
              <w:rPr>
                <w:rFonts w:asciiTheme="minorHAnsi" w:hAnsiTheme="minorHAnsi" w:cstheme="minorHAnsi"/>
                <w:sz w:val="18"/>
              </w:rPr>
              <w:t>Number of completed strategic environmental assessments of planning documents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4D458D70"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Strategic environmental assessment has not been sufficiently used  </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04FD144"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Strategic environmental assessments consistently completed for every planning document</w:t>
            </w:r>
          </w:p>
        </w:tc>
      </w:tr>
      <w:tr w:rsidR="00B02183" w:rsidRPr="007C4D65" w14:paraId="1424B313" w14:textId="77777777" w:rsidTr="00B6017F">
        <w:trPr>
          <w:trHeight w:val="287"/>
        </w:trPr>
        <w:tc>
          <w:tcPr>
            <w:tcW w:w="811" w:type="pct"/>
            <w:vMerge/>
            <w:shd w:val="clear" w:color="auto" w:fill="D9D9D9"/>
            <w:vAlign w:val="center"/>
          </w:tcPr>
          <w:p w14:paraId="72A4E9D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3BAC1FD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54DC694"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adoption of the law and number of assessments completed</w:t>
            </w:r>
          </w:p>
        </w:tc>
        <w:tc>
          <w:tcPr>
            <w:tcW w:w="1159" w:type="pct"/>
            <w:shd w:val="clear" w:color="auto" w:fill="FFFFFF"/>
            <w:tcMar>
              <w:top w:w="0" w:type="dxa"/>
              <w:left w:w="108" w:type="dxa"/>
              <w:bottom w:w="0" w:type="dxa"/>
              <w:right w:w="108" w:type="dxa"/>
            </w:tcMar>
            <w:vAlign w:val="center"/>
          </w:tcPr>
          <w:p w14:paraId="23C80F4F" w14:textId="17BE3A78"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applicable law does not require </w:t>
            </w:r>
            <w:r w:rsidR="00830279" w:rsidRPr="007C4D65">
              <w:rPr>
                <w:rFonts w:asciiTheme="minorHAnsi" w:hAnsiTheme="minorHAnsi" w:cstheme="minorHAnsi"/>
                <w:sz w:val="18"/>
              </w:rPr>
              <w:t>completion</w:t>
            </w:r>
            <w:r w:rsidRPr="007C4D65">
              <w:rPr>
                <w:rFonts w:asciiTheme="minorHAnsi" w:hAnsiTheme="minorHAnsi" w:cstheme="minorHAnsi"/>
                <w:sz w:val="18"/>
              </w:rPr>
              <w:t xml:space="preserve"> of environmental impact assessment of regulation plans </w:t>
            </w:r>
          </w:p>
        </w:tc>
        <w:tc>
          <w:tcPr>
            <w:tcW w:w="1159" w:type="pct"/>
            <w:shd w:val="clear" w:color="auto" w:fill="FFFFFF"/>
            <w:vAlign w:val="center"/>
          </w:tcPr>
          <w:p w14:paraId="4D00009F" w14:textId="5FD25066"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Amending the Law on Spatial Planning </w:t>
            </w:r>
            <w:proofErr w:type="gramStart"/>
            <w:r w:rsidRPr="007C4D65">
              <w:rPr>
                <w:rFonts w:asciiTheme="minorHAnsi" w:hAnsiTheme="minorHAnsi" w:cstheme="minorHAnsi"/>
                <w:sz w:val="18"/>
              </w:rPr>
              <w:t>so as to</w:t>
            </w:r>
            <w:proofErr w:type="gramEnd"/>
            <w:r w:rsidRPr="007C4D65">
              <w:rPr>
                <w:rFonts w:asciiTheme="minorHAnsi" w:hAnsiTheme="minorHAnsi" w:cstheme="minorHAnsi"/>
                <w:sz w:val="18"/>
              </w:rPr>
              <w:t xml:space="preserve"> require completion of environmental impact assessment of </w:t>
            </w:r>
            <w:r w:rsidR="00830279" w:rsidRPr="007C4D65">
              <w:rPr>
                <w:rFonts w:asciiTheme="minorHAnsi" w:hAnsiTheme="minorHAnsi" w:cstheme="minorHAnsi"/>
                <w:sz w:val="18"/>
              </w:rPr>
              <w:t>regulation</w:t>
            </w:r>
            <w:r w:rsidRPr="007C4D65">
              <w:rPr>
                <w:rFonts w:asciiTheme="minorHAnsi" w:hAnsiTheme="minorHAnsi" w:cstheme="minorHAnsi"/>
                <w:sz w:val="18"/>
              </w:rPr>
              <w:t xml:space="preserve"> plans</w:t>
            </w:r>
          </w:p>
        </w:tc>
      </w:tr>
      <w:tr w:rsidR="00B02183" w:rsidRPr="007C4D65" w14:paraId="7261E78F" w14:textId="77777777" w:rsidTr="00B6017F">
        <w:trPr>
          <w:trHeight w:val="287"/>
        </w:trPr>
        <w:tc>
          <w:tcPr>
            <w:tcW w:w="811" w:type="pct"/>
            <w:vMerge/>
            <w:shd w:val="clear" w:color="auto" w:fill="D9D9D9"/>
            <w:vAlign w:val="center"/>
          </w:tcPr>
          <w:p w14:paraId="5EF6952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34C5BEC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135CE6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adoption of the law</w:t>
            </w:r>
          </w:p>
        </w:tc>
        <w:tc>
          <w:tcPr>
            <w:tcW w:w="1159" w:type="pct"/>
            <w:shd w:val="clear" w:color="auto" w:fill="FFFFFF"/>
            <w:tcMar>
              <w:top w:w="0" w:type="dxa"/>
              <w:left w:w="108" w:type="dxa"/>
              <w:bottom w:w="0" w:type="dxa"/>
              <w:right w:w="108" w:type="dxa"/>
            </w:tcMar>
            <w:vAlign w:val="center"/>
          </w:tcPr>
          <w:p w14:paraId="283C695D"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law on heating industry</w:t>
            </w:r>
          </w:p>
        </w:tc>
        <w:tc>
          <w:tcPr>
            <w:tcW w:w="1159" w:type="pct"/>
            <w:shd w:val="clear" w:color="auto" w:fill="FFFFFF"/>
            <w:vAlign w:val="center"/>
          </w:tcPr>
          <w:p w14:paraId="30A2D8BF" w14:textId="2F728A5D"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The Law on Heating </w:t>
            </w:r>
            <w:r w:rsidR="00830279" w:rsidRPr="007C4D65">
              <w:rPr>
                <w:rFonts w:asciiTheme="minorHAnsi" w:hAnsiTheme="minorHAnsi" w:cstheme="minorHAnsi"/>
                <w:sz w:val="18"/>
              </w:rPr>
              <w:t>Industry</w:t>
            </w:r>
            <w:r w:rsidRPr="007C4D65">
              <w:rPr>
                <w:rFonts w:asciiTheme="minorHAnsi" w:hAnsiTheme="minorHAnsi" w:cstheme="minorHAnsi"/>
                <w:sz w:val="18"/>
              </w:rPr>
              <w:t xml:space="preserve"> adopted</w:t>
            </w:r>
          </w:p>
        </w:tc>
      </w:tr>
      <w:tr w:rsidR="00B02183" w:rsidRPr="007C4D65" w14:paraId="77B39A39" w14:textId="77777777" w:rsidTr="00B6017F">
        <w:trPr>
          <w:trHeight w:val="287"/>
        </w:trPr>
        <w:tc>
          <w:tcPr>
            <w:tcW w:w="811" w:type="pct"/>
            <w:vMerge/>
            <w:shd w:val="clear" w:color="auto" w:fill="D9D9D9"/>
            <w:vAlign w:val="center"/>
          </w:tcPr>
          <w:p w14:paraId="30FD406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7E9D699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7E8B772"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adoption of strategy and number of completed studies</w:t>
            </w:r>
          </w:p>
        </w:tc>
        <w:tc>
          <w:tcPr>
            <w:tcW w:w="1159" w:type="pct"/>
            <w:shd w:val="clear" w:color="auto" w:fill="FFFFFF"/>
            <w:tcMar>
              <w:top w:w="0" w:type="dxa"/>
              <w:left w:w="108" w:type="dxa"/>
              <w:bottom w:w="0" w:type="dxa"/>
              <w:right w:w="108" w:type="dxa"/>
            </w:tcMar>
            <w:vAlign w:val="center"/>
          </w:tcPr>
          <w:p w14:paraId="35D27857"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strategy, studies completed for some urban areas</w:t>
            </w:r>
          </w:p>
        </w:tc>
        <w:tc>
          <w:tcPr>
            <w:tcW w:w="1159" w:type="pct"/>
            <w:shd w:val="clear" w:color="auto" w:fill="FFFFFF"/>
            <w:vAlign w:val="center"/>
          </w:tcPr>
          <w:p w14:paraId="665F790B"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The Strategy, studies (for new district heating systems and expansion of the existing ones) for urban areas with more than 10.000 population</w:t>
            </w:r>
          </w:p>
        </w:tc>
      </w:tr>
      <w:tr w:rsidR="00B02183" w:rsidRPr="007C4D65" w14:paraId="5688B5BC" w14:textId="77777777" w:rsidTr="00B6017F">
        <w:trPr>
          <w:trHeight w:val="287"/>
        </w:trPr>
        <w:tc>
          <w:tcPr>
            <w:tcW w:w="811" w:type="pct"/>
            <w:vMerge/>
            <w:shd w:val="clear" w:color="auto" w:fill="D9D9D9"/>
            <w:vAlign w:val="center"/>
          </w:tcPr>
          <w:p w14:paraId="403066E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1BE7AE6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21AE8D5"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cantons that have adopted the model</w:t>
            </w:r>
          </w:p>
        </w:tc>
        <w:tc>
          <w:tcPr>
            <w:tcW w:w="1159" w:type="pct"/>
            <w:shd w:val="clear" w:color="auto" w:fill="FFFFFF"/>
            <w:tcMar>
              <w:top w:w="0" w:type="dxa"/>
              <w:left w:w="108" w:type="dxa"/>
              <w:bottom w:w="0" w:type="dxa"/>
              <w:right w:w="108" w:type="dxa"/>
            </w:tcMar>
            <w:vAlign w:val="center"/>
          </w:tcPr>
          <w:p w14:paraId="7D63026D"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are no incentive models for non-motorised transport, infrastructure underdeveloped</w:t>
            </w:r>
          </w:p>
        </w:tc>
        <w:tc>
          <w:tcPr>
            <w:tcW w:w="1159" w:type="pct"/>
            <w:shd w:val="clear" w:color="auto" w:fill="FFFFFF"/>
            <w:vAlign w:val="center"/>
          </w:tcPr>
          <w:p w14:paraId="5A6101A3"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Models adopted (cantonal level) and minimum infrastructure developed</w:t>
            </w:r>
          </w:p>
        </w:tc>
      </w:tr>
      <w:tr w:rsidR="00B02183" w:rsidRPr="007C4D65" w14:paraId="7EDD9210" w14:textId="77777777" w:rsidTr="00B6017F">
        <w:trPr>
          <w:trHeight w:val="287"/>
        </w:trPr>
        <w:tc>
          <w:tcPr>
            <w:tcW w:w="811" w:type="pct"/>
            <w:vMerge/>
            <w:shd w:val="clear" w:color="auto" w:fill="D9D9D9"/>
            <w:vAlign w:val="center"/>
          </w:tcPr>
          <w:p w14:paraId="55B0E03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7D97500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0E74FBA"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mechanisms adopted at the level of entity and cantons</w:t>
            </w:r>
          </w:p>
        </w:tc>
        <w:tc>
          <w:tcPr>
            <w:tcW w:w="1159" w:type="pct"/>
            <w:shd w:val="clear" w:color="auto" w:fill="FFFFFF"/>
            <w:tcMar>
              <w:top w:w="0" w:type="dxa"/>
              <w:left w:w="108" w:type="dxa"/>
              <w:bottom w:w="0" w:type="dxa"/>
              <w:right w:w="108" w:type="dxa"/>
            </w:tcMar>
            <w:vAlign w:val="center"/>
          </w:tcPr>
          <w:p w14:paraId="34EA6B36"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 incentives offered for the development of public transport</w:t>
            </w:r>
          </w:p>
        </w:tc>
        <w:tc>
          <w:tcPr>
            <w:tcW w:w="1159" w:type="pct"/>
            <w:shd w:val="clear" w:color="auto" w:fill="FFFFFF"/>
            <w:vAlign w:val="center"/>
          </w:tcPr>
          <w:p w14:paraId="201FCBE3"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The mechanisms adopted (the entity and cantonal level harmonised)</w:t>
            </w:r>
          </w:p>
        </w:tc>
      </w:tr>
      <w:tr w:rsidR="00B02183" w:rsidRPr="007C4D65" w14:paraId="62A42DB1" w14:textId="77777777" w:rsidTr="00B6017F">
        <w:trPr>
          <w:trHeight w:val="287"/>
        </w:trPr>
        <w:tc>
          <w:tcPr>
            <w:tcW w:w="811" w:type="pct"/>
            <w:vMerge/>
            <w:shd w:val="clear" w:color="auto" w:fill="D9D9D9"/>
            <w:vAlign w:val="center"/>
          </w:tcPr>
          <w:p w14:paraId="15395E6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54E7998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3F93FB5"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amendments to the car taxation system</w:t>
            </w:r>
          </w:p>
        </w:tc>
        <w:tc>
          <w:tcPr>
            <w:tcW w:w="1159" w:type="pct"/>
            <w:shd w:val="clear" w:color="auto" w:fill="FFFFFF"/>
            <w:tcMar>
              <w:top w:w="0" w:type="dxa"/>
              <w:left w:w="108" w:type="dxa"/>
              <w:bottom w:w="0" w:type="dxa"/>
              <w:right w:w="108" w:type="dxa"/>
            </w:tcMar>
            <w:vAlign w:val="center"/>
          </w:tcPr>
          <w:p w14:paraId="1C0DEC0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current taxation system discourages procurement and use of low polluting vehicles</w:t>
            </w:r>
          </w:p>
        </w:tc>
        <w:tc>
          <w:tcPr>
            <w:tcW w:w="1159" w:type="pct"/>
            <w:shd w:val="clear" w:color="auto" w:fill="FFFFFF"/>
            <w:vAlign w:val="center"/>
          </w:tcPr>
          <w:p w14:paraId="5D24AA3F"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The taxation system improved (coordination with BiH level)</w:t>
            </w:r>
          </w:p>
        </w:tc>
      </w:tr>
      <w:tr w:rsidR="00B02183" w:rsidRPr="007C4D65" w14:paraId="787BAA84" w14:textId="77777777" w:rsidTr="00B6017F">
        <w:trPr>
          <w:trHeight w:val="287"/>
        </w:trPr>
        <w:tc>
          <w:tcPr>
            <w:tcW w:w="811" w:type="pct"/>
            <w:vMerge/>
            <w:shd w:val="clear" w:color="auto" w:fill="D9D9D9"/>
            <w:vAlign w:val="center"/>
          </w:tcPr>
          <w:p w14:paraId="4F79D45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0FD3DCC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DCAA473"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adoption of amendments to regulations</w:t>
            </w:r>
          </w:p>
        </w:tc>
        <w:tc>
          <w:tcPr>
            <w:tcW w:w="1159" w:type="pct"/>
            <w:shd w:val="clear" w:color="auto" w:fill="FFFFFF"/>
            <w:tcMar>
              <w:top w:w="0" w:type="dxa"/>
              <w:left w:w="108" w:type="dxa"/>
              <w:bottom w:w="0" w:type="dxa"/>
              <w:right w:w="108" w:type="dxa"/>
            </w:tcMar>
            <w:vAlign w:val="center"/>
          </w:tcPr>
          <w:p w14:paraId="7213B2E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obligation to clean the streets in certain intervals is not regulated is not clearly defined</w:t>
            </w:r>
          </w:p>
        </w:tc>
        <w:tc>
          <w:tcPr>
            <w:tcW w:w="1159" w:type="pct"/>
            <w:shd w:val="clear" w:color="auto" w:fill="FFFFFF"/>
            <w:vAlign w:val="center"/>
          </w:tcPr>
          <w:p w14:paraId="78C35408"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Provisions regulating the street cleanliness standards, including control mechanism and sanctions, included in agreements on road maintenance</w:t>
            </w:r>
          </w:p>
        </w:tc>
      </w:tr>
      <w:tr w:rsidR="00B02183" w:rsidRPr="007C4D65" w14:paraId="6FA3AA4E" w14:textId="77777777" w:rsidTr="00B6017F">
        <w:trPr>
          <w:trHeight w:val="287"/>
        </w:trPr>
        <w:tc>
          <w:tcPr>
            <w:tcW w:w="811" w:type="pct"/>
            <w:vMerge/>
            <w:shd w:val="clear" w:color="auto" w:fill="D9D9D9"/>
            <w:vAlign w:val="center"/>
          </w:tcPr>
          <w:p w14:paraId="3B4994A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10D8602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7EE56D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cities which adopted the concept of smart cities</w:t>
            </w:r>
          </w:p>
        </w:tc>
        <w:tc>
          <w:tcPr>
            <w:tcW w:w="1159" w:type="pct"/>
            <w:shd w:val="clear" w:color="auto" w:fill="FFFFFF"/>
            <w:tcMar>
              <w:top w:w="0" w:type="dxa"/>
              <w:left w:w="108" w:type="dxa"/>
              <w:bottom w:w="0" w:type="dxa"/>
              <w:right w:w="108" w:type="dxa"/>
            </w:tcMar>
            <w:vAlign w:val="center"/>
          </w:tcPr>
          <w:p w14:paraId="6D8674A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Only several big cities work on the development of the smart city concept</w:t>
            </w:r>
          </w:p>
        </w:tc>
        <w:tc>
          <w:tcPr>
            <w:tcW w:w="1159" w:type="pct"/>
            <w:shd w:val="clear" w:color="auto" w:fill="FFFFFF"/>
            <w:vAlign w:val="center"/>
          </w:tcPr>
          <w:p w14:paraId="5A364937"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The concept of smart cities adopted for the cities of the above size by 2025 and continuously implemented</w:t>
            </w:r>
          </w:p>
        </w:tc>
      </w:tr>
      <w:tr w:rsidR="00B02183" w:rsidRPr="007C4D65" w14:paraId="5CBD7D63" w14:textId="77777777" w:rsidTr="00B6017F">
        <w:trPr>
          <w:trHeight w:val="287"/>
        </w:trPr>
        <w:tc>
          <w:tcPr>
            <w:tcW w:w="811" w:type="pct"/>
            <w:vMerge/>
            <w:shd w:val="clear" w:color="auto" w:fill="D9D9D9"/>
            <w:vAlign w:val="center"/>
          </w:tcPr>
          <w:p w14:paraId="74C95EA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6C422C3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1A78004"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adoption of the plan</w:t>
            </w:r>
          </w:p>
        </w:tc>
        <w:tc>
          <w:tcPr>
            <w:tcW w:w="1159" w:type="pct"/>
            <w:shd w:val="clear" w:color="auto" w:fill="FFFFFF"/>
            <w:tcMar>
              <w:top w:w="0" w:type="dxa"/>
              <w:left w:w="108" w:type="dxa"/>
              <w:bottom w:w="0" w:type="dxa"/>
              <w:right w:w="108" w:type="dxa"/>
            </w:tcMar>
            <w:vAlign w:val="center"/>
          </w:tcPr>
          <w:p w14:paraId="51E6F64A"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Insignificant share of hybrid/electric vehicles in institutions of the Federation of BiH</w:t>
            </w:r>
          </w:p>
        </w:tc>
        <w:tc>
          <w:tcPr>
            <w:tcW w:w="1159" w:type="pct"/>
            <w:shd w:val="clear" w:color="auto" w:fill="FFFFFF"/>
            <w:vAlign w:val="center"/>
          </w:tcPr>
          <w:p w14:paraId="248350BF"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Plan on procurement of new vehicles adopted and implemented</w:t>
            </w:r>
          </w:p>
        </w:tc>
      </w:tr>
      <w:tr w:rsidR="00B02183" w:rsidRPr="007C4D65" w14:paraId="49745DB6" w14:textId="77777777" w:rsidTr="00B6017F">
        <w:trPr>
          <w:trHeight w:val="483"/>
        </w:trPr>
        <w:tc>
          <w:tcPr>
            <w:tcW w:w="811" w:type="pct"/>
            <w:vMerge/>
            <w:shd w:val="clear" w:color="auto" w:fill="D9D9D9"/>
            <w:vAlign w:val="center"/>
            <w:hideMark/>
          </w:tcPr>
          <w:p w14:paraId="6C801C2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09C5C2B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02CAB9C6" w14:textId="582B6C52"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3645A09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282FB661"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12359A4C" w14:textId="77777777" w:rsidTr="00B6017F">
        <w:trPr>
          <w:trHeight w:val="287"/>
        </w:trPr>
        <w:tc>
          <w:tcPr>
            <w:tcW w:w="811" w:type="pct"/>
            <w:vMerge/>
            <w:shd w:val="clear" w:color="auto" w:fill="D9D9D9"/>
            <w:vAlign w:val="center"/>
            <w:hideMark/>
          </w:tcPr>
          <w:p w14:paraId="103BEAF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65B26D2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913814A"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32.3</w:t>
            </w:r>
          </w:p>
        </w:tc>
        <w:tc>
          <w:tcPr>
            <w:tcW w:w="1159" w:type="pct"/>
            <w:tcMar>
              <w:top w:w="0" w:type="dxa"/>
              <w:left w:w="108" w:type="dxa"/>
              <w:bottom w:w="0" w:type="dxa"/>
              <w:right w:w="108" w:type="dxa"/>
            </w:tcMar>
            <w:vAlign w:val="center"/>
          </w:tcPr>
          <w:p w14:paraId="4C53A5DC"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291.4</w:t>
            </w:r>
          </w:p>
        </w:tc>
        <w:tc>
          <w:tcPr>
            <w:tcW w:w="1159" w:type="pct"/>
            <w:tcMar>
              <w:top w:w="0" w:type="dxa"/>
              <w:left w:w="108" w:type="dxa"/>
              <w:bottom w:w="0" w:type="dxa"/>
              <w:right w:w="108" w:type="dxa"/>
            </w:tcMar>
            <w:vAlign w:val="center"/>
          </w:tcPr>
          <w:p w14:paraId="400EC8AE"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323.8</w:t>
            </w:r>
          </w:p>
        </w:tc>
      </w:tr>
    </w:tbl>
    <w:p w14:paraId="2D6D1C58" w14:textId="77777777" w:rsidR="00B02183" w:rsidRPr="007C4D65" w:rsidRDefault="00B02183" w:rsidP="00B02183">
      <w:pPr>
        <w:spacing w:after="120" w:line="276" w:lineRule="auto"/>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263"/>
        <w:gridCol w:w="1986"/>
        <w:gridCol w:w="3233"/>
        <w:gridCol w:w="3233"/>
        <w:gridCol w:w="3233"/>
      </w:tblGrid>
      <w:tr w:rsidR="00B02183" w:rsidRPr="007C4D65" w14:paraId="256F2F65" w14:textId="77777777" w:rsidTr="00B6017F">
        <w:trPr>
          <w:trHeight w:val="384"/>
        </w:trPr>
        <w:tc>
          <w:tcPr>
            <w:tcW w:w="811" w:type="pct"/>
            <w:vMerge w:val="restart"/>
            <w:shd w:val="clear" w:color="auto" w:fill="D9D9D9"/>
            <w:tcMar>
              <w:top w:w="0" w:type="dxa"/>
              <w:left w:w="108" w:type="dxa"/>
              <w:bottom w:w="0" w:type="dxa"/>
              <w:right w:w="108" w:type="dxa"/>
            </w:tcMar>
            <w:vAlign w:val="center"/>
          </w:tcPr>
          <w:p w14:paraId="4DE5216D"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4.2 Priority</w:t>
            </w:r>
          </w:p>
          <w:p w14:paraId="6A403B0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restart"/>
            <w:tcMar>
              <w:top w:w="0" w:type="dxa"/>
              <w:left w:w="108" w:type="dxa"/>
              <w:bottom w:w="0" w:type="dxa"/>
              <w:right w:w="108" w:type="dxa"/>
            </w:tcMar>
            <w:vAlign w:val="center"/>
          </w:tcPr>
          <w:p w14:paraId="3D261D24" w14:textId="3B62A60D" w:rsidR="00B02183" w:rsidRPr="007C4D65" w:rsidRDefault="00B02183"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 xml:space="preserve">Upgrading the air quality management system to support </w:t>
            </w:r>
            <w:r w:rsidR="009F16BA" w:rsidRPr="007C4D65">
              <w:rPr>
                <w:rFonts w:asciiTheme="minorHAnsi" w:hAnsiTheme="minorHAnsi" w:cstheme="minorHAnsi"/>
                <w:b/>
                <w:sz w:val="18"/>
              </w:rPr>
              <w:t>strategic decision-making</w:t>
            </w:r>
            <w:r w:rsidRPr="007C4D65">
              <w:rPr>
                <w:rFonts w:asciiTheme="minorHAnsi" w:hAnsiTheme="minorHAnsi" w:cstheme="minorHAnsi"/>
                <w:b/>
                <w:sz w:val="18"/>
              </w:rPr>
              <w:t xml:space="preserve"> and public information on air quality and emissions</w:t>
            </w:r>
          </w:p>
        </w:tc>
        <w:tc>
          <w:tcPr>
            <w:tcW w:w="1159" w:type="pct"/>
            <w:shd w:val="clear" w:color="auto" w:fill="D9D9D9"/>
            <w:tcMar>
              <w:top w:w="0" w:type="dxa"/>
              <w:left w:w="108" w:type="dxa"/>
              <w:bottom w:w="0" w:type="dxa"/>
              <w:right w:w="108" w:type="dxa"/>
            </w:tcMar>
            <w:vAlign w:val="center"/>
          </w:tcPr>
          <w:p w14:paraId="7A38C97D"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6F96B15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031DB32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16F2F3C5" w14:textId="77777777" w:rsidTr="00B6017F">
        <w:trPr>
          <w:trHeight w:val="287"/>
        </w:trPr>
        <w:tc>
          <w:tcPr>
            <w:tcW w:w="811" w:type="pct"/>
            <w:vMerge/>
            <w:shd w:val="clear" w:color="auto" w:fill="D9D9D9"/>
            <w:vAlign w:val="center"/>
            <w:hideMark/>
          </w:tcPr>
          <w:p w14:paraId="357A071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256DEBB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04F7E150" w14:textId="2E0361E3"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Level of information </w:t>
            </w:r>
            <w:r w:rsidR="00830279" w:rsidRPr="007C4D65">
              <w:rPr>
                <w:rFonts w:asciiTheme="minorHAnsi" w:hAnsiTheme="minorHAnsi" w:cstheme="minorHAnsi"/>
                <w:sz w:val="18"/>
              </w:rPr>
              <w:t>provided</w:t>
            </w:r>
            <w:r w:rsidRPr="007C4D65">
              <w:rPr>
                <w:rFonts w:asciiTheme="minorHAnsi" w:hAnsiTheme="minorHAnsi" w:cstheme="minorHAnsi"/>
                <w:sz w:val="18"/>
              </w:rPr>
              <w:t xml:space="preserve"> to the public on air quality and emissions</w:t>
            </w:r>
          </w:p>
        </w:tc>
        <w:tc>
          <w:tcPr>
            <w:tcW w:w="1159" w:type="pct"/>
            <w:tcMar>
              <w:top w:w="0" w:type="dxa"/>
              <w:left w:w="108" w:type="dxa"/>
              <w:bottom w:w="0" w:type="dxa"/>
              <w:right w:w="108" w:type="dxa"/>
            </w:tcMar>
          </w:tcPr>
          <w:p w14:paraId="348B5EC7"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Insufficiently developed public information system on air quality and emissions of pollutants into the air</w:t>
            </w:r>
          </w:p>
        </w:tc>
        <w:tc>
          <w:tcPr>
            <w:tcW w:w="1159" w:type="pct"/>
            <w:tcMar>
              <w:top w:w="0" w:type="dxa"/>
              <w:left w:w="108" w:type="dxa"/>
              <w:bottom w:w="0" w:type="dxa"/>
              <w:right w:w="108" w:type="dxa"/>
            </w:tcMar>
          </w:tcPr>
          <w:p w14:paraId="61BFD248" w14:textId="6D042044"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A system capable of providing public information on air quality and emissions of </w:t>
            </w:r>
            <w:r w:rsidR="00830279" w:rsidRPr="007C4D65">
              <w:rPr>
                <w:rFonts w:asciiTheme="minorHAnsi" w:hAnsiTheme="minorHAnsi" w:cstheme="minorHAnsi"/>
                <w:sz w:val="18"/>
              </w:rPr>
              <w:t>pollutants</w:t>
            </w:r>
            <w:r w:rsidRPr="007C4D65">
              <w:rPr>
                <w:rFonts w:asciiTheme="minorHAnsi" w:hAnsiTheme="minorHAnsi" w:cstheme="minorHAnsi"/>
                <w:sz w:val="18"/>
              </w:rPr>
              <w:t xml:space="preserve"> into air in real and integrated time available as of 2023</w:t>
            </w:r>
          </w:p>
        </w:tc>
      </w:tr>
      <w:tr w:rsidR="00B02183" w:rsidRPr="007C4D65" w14:paraId="6E465F17" w14:textId="77777777" w:rsidTr="00B6017F">
        <w:trPr>
          <w:trHeight w:val="287"/>
        </w:trPr>
        <w:tc>
          <w:tcPr>
            <w:tcW w:w="811" w:type="pct"/>
            <w:vMerge/>
            <w:shd w:val="clear" w:color="auto" w:fill="D9D9D9"/>
            <w:vAlign w:val="center"/>
          </w:tcPr>
          <w:p w14:paraId="017E775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6BB586A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2DFC3932"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Performance of the reporting system </w:t>
            </w:r>
          </w:p>
        </w:tc>
        <w:tc>
          <w:tcPr>
            <w:tcW w:w="1159" w:type="pct"/>
            <w:tcMar>
              <w:top w:w="0" w:type="dxa"/>
              <w:left w:w="108" w:type="dxa"/>
              <w:bottom w:w="0" w:type="dxa"/>
              <w:right w:w="108" w:type="dxa"/>
            </w:tcMar>
          </w:tcPr>
          <w:p w14:paraId="402B07E9"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There is no integrated system for reporting on pollutants and GHG emissions, and air quality to the international institutions</w:t>
            </w:r>
          </w:p>
        </w:tc>
        <w:tc>
          <w:tcPr>
            <w:tcW w:w="1159" w:type="pct"/>
            <w:tcMar>
              <w:top w:w="0" w:type="dxa"/>
              <w:left w:w="108" w:type="dxa"/>
              <w:bottom w:w="0" w:type="dxa"/>
              <w:right w:w="108" w:type="dxa"/>
            </w:tcMar>
          </w:tcPr>
          <w:p w14:paraId="4DDB39D4"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 system for reporting on emissions and air quality international institutions built by 2025</w:t>
            </w:r>
          </w:p>
        </w:tc>
      </w:tr>
      <w:tr w:rsidR="00B02183" w:rsidRPr="007C4D65" w14:paraId="47C2BFCD" w14:textId="77777777" w:rsidTr="00B6017F">
        <w:trPr>
          <w:trHeight w:val="287"/>
        </w:trPr>
        <w:tc>
          <w:tcPr>
            <w:tcW w:w="811" w:type="pct"/>
            <w:vMerge/>
            <w:shd w:val="clear" w:color="auto" w:fill="D9D9D9"/>
            <w:vAlign w:val="center"/>
          </w:tcPr>
          <w:p w14:paraId="1CBAF6D6"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4B9C1E6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F47F54B"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Coverage of the territory of the Federation of BiH by the network of measuring stations</w:t>
            </w:r>
          </w:p>
        </w:tc>
        <w:tc>
          <w:tcPr>
            <w:tcW w:w="1159" w:type="pct"/>
            <w:tcMar>
              <w:top w:w="0" w:type="dxa"/>
              <w:left w:w="108" w:type="dxa"/>
              <w:bottom w:w="0" w:type="dxa"/>
              <w:right w:w="108" w:type="dxa"/>
            </w:tcMar>
          </w:tcPr>
          <w:p w14:paraId="469A12D7"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22 measuring stations for air quality in 2019, deployed in 10 cities/municipalities, some areas of the </w:t>
            </w:r>
            <w:r w:rsidRPr="007C4D65">
              <w:rPr>
                <w:rFonts w:asciiTheme="minorHAnsi" w:hAnsiTheme="minorHAnsi" w:cstheme="minorHAnsi"/>
                <w:sz w:val="18"/>
              </w:rPr>
              <w:lastRenderedPageBreak/>
              <w:t>Federation of BiH are not provided with a measuring station</w:t>
            </w:r>
          </w:p>
        </w:tc>
        <w:tc>
          <w:tcPr>
            <w:tcW w:w="1159" w:type="pct"/>
            <w:tcMar>
              <w:top w:w="0" w:type="dxa"/>
              <w:left w:w="108" w:type="dxa"/>
              <w:bottom w:w="0" w:type="dxa"/>
              <w:right w:w="108" w:type="dxa"/>
            </w:tcMar>
          </w:tcPr>
          <w:p w14:paraId="1FD19EB8" w14:textId="5289176A"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lastRenderedPageBreak/>
              <w:t xml:space="preserve">The territory </w:t>
            </w:r>
            <w:r w:rsidR="007436F1" w:rsidRPr="007C4D65">
              <w:rPr>
                <w:rFonts w:asciiTheme="minorHAnsi" w:hAnsiTheme="minorHAnsi" w:cstheme="minorHAnsi"/>
                <w:sz w:val="18"/>
              </w:rPr>
              <w:t>of the Federation of BiH</w:t>
            </w:r>
            <w:r w:rsidRPr="007C4D65">
              <w:rPr>
                <w:rFonts w:asciiTheme="minorHAnsi" w:hAnsiTheme="minorHAnsi" w:cstheme="minorHAnsi"/>
                <w:sz w:val="18"/>
              </w:rPr>
              <w:t xml:space="preserve"> fully covered by the network of the stations by 2025</w:t>
            </w:r>
          </w:p>
        </w:tc>
      </w:tr>
      <w:tr w:rsidR="00B02183" w:rsidRPr="007C4D65" w14:paraId="3985A46A" w14:textId="77777777" w:rsidTr="00B6017F">
        <w:trPr>
          <w:trHeight w:val="287"/>
        </w:trPr>
        <w:tc>
          <w:tcPr>
            <w:tcW w:w="811" w:type="pct"/>
            <w:vMerge/>
            <w:shd w:val="clear" w:color="auto" w:fill="D9D9D9"/>
            <w:vAlign w:val="center"/>
            <w:hideMark/>
          </w:tcPr>
          <w:p w14:paraId="1544F5D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1197EED5"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0CB21DED" w14:textId="0D3ADEEB"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2832B79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3CB9A898"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5D013122" w14:textId="77777777" w:rsidTr="00B6017F">
        <w:trPr>
          <w:trHeight w:val="287"/>
        </w:trPr>
        <w:tc>
          <w:tcPr>
            <w:tcW w:w="811" w:type="pct"/>
            <w:vMerge/>
            <w:shd w:val="clear" w:color="auto" w:fill="D9D9D9"/>
            <w:vAlign w:val="center"/>
          </w:tcPr>
          <w:p w14:paraId="57013E2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65B9B76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20BED45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24.1</w:t>
            </w:r>
          </w:p>
        </w:tc>
        <w:tc>
          <w:tcPr>
            <w:tcW w:w="1159" w:type="pct"/>
            <w:tcMar>
              <w:top w:w="0" w:type="dxa"/>
              <w:left w:w="108" w:type="dxa"/>
              <w:bottom w:w="0" w:type="dxa"/>
              <w:right w:w="108" w:type="dxa"/>
            </w:tcMar>
            <w:vAlign w:val="center"/>
          </w:tcPr>
          <w:p w14:paraId="53E43411"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217.6</w:t>
            </w:r>
          </w:p>
        </w:tc>
        <w:tc>
          <w:tcPr>
            <w:tcW w:w="1159" w:type="pct"/>
            <w:tcMar>
              <w:top w:w="0" w:type="dxa"/>
              <w:left w:w="108" w:type="dxa"/>
              <w:bottom w:w="0" w:type="dxa"/>
              <w:right w:w="108" w:type="dxa"/>
            </w:tcMar>
            <w:vAlign w:val="center"/>
          </w:tcPr>
          <w:p w14:paraId="74AE47B0"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241.7</w:t>
            </w:r>
          </w:p>
        </w:tc>
      </w:tr>
    </w:tbl>
    <w:p w14:paraId="11C6CB7B"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2259"/>
        <w:gridCol w:w="1986"/>
        <w:gridCol w:w="3231"/>
        <w:gridCol w:w="3231"/>
        <w:gridCol w:w="3231"/>
      </w:tblGrid>
      <w:tr w:rsidR="00B02183" w:rsidRPr="007C4D65" w14:paraId="1D567D4F" w14:textId="77777777" w:rsidTr="00B6017F">
        <w:trPr>
          <w:trHeight w:val="483"/>
        </w:trPr>
        <w:tc>
          <w:tcPr>
            <w:tcW w:w="810" w:type="pct"/>
            <w:vMerge w:val="restart"/>
            <w:shd w:val="clear" w:color="auto" w:fill="D9D9D9"/>
            <w:tcMar>
              <w:top w:w="0" w:type="dxa"/>
              <w:left w:w="108" w:type="dxa"/>
              <w:bottom w:w="0" w:type="dxa"/>
              <w:right w:w="108" w:type="dxa"/>
            </w:tcMar>
            <w:vAlign w:val="center"/>
            <w:hideMark/>
          </w:tcPr>
          <w:p w14:paraId="1278F744"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4.2.1 Measure</w:t>
            </w:r>
          </w:p>
        </w:tc>
        <w:tc>
          <w:tcPr>
            <w:tcW w:w="712" w:type="pct"/>
            <w:vMerge w:val="restart"/>
            <w:tcMar>
              <w:top w:w="0" w:type="dxa"/>
              <w:left w:w="108" w:type="dxa"/>
              <w:bottom w:w="0" w:type="dxa"/>
              <w:right w:w="108" w:type="dxa"/>
            </w:tcMar>
            <w:vAlign w:val="center"/>
          </w:tcPr>
          <w:p w14:paraId="45B2AD6A"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Improvement of the air quality monitoring system</w:t>
            </w:r>
          </w:p>
        </w:tc>
        <w:tc>
          <w:tcPr>
            <w:tcW w:w="1159" w:type="pct"/>
            <w:shd w:val="clear" w:color="auto" w:fill="D9D9D9"/>
            <w:tcMar>
              <w:top w:w="0" w:type="dxa"/>
              <w:left w:w="108" w:type="dxa"/>
              <w:bottom w:w="0" w:type="dxa"/>
              <w:right w:w="108" w:type="dxa"/>
            </w:tcMar>
            <w:vAlign w:val="center"/>
            <w:hideMark/>
          </w:tcPr>
          <w:p w14:paraId="72B3A0C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702D1537"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0C93CE1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438FBAF3" w14:textId="77777777" w:rsidTr="00B6017F">
        <w:trPr>
          <w:trHeight w:val="287"/>
        </w:trPr>
        <w:tc>
          <w:tcPr>
            <w:tcW w:w="810" w:type="pct"/>
            <w:vMerge/>
            <w:shd w:val="clear" w:color="auto" w:fill="D9D9D9"/>
            <w:vAlign w:val="center"/>
          </w:tcPr>
          <w:p w14:paraId="1A120C9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41794B2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545ED24" w14:textId="65F9588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development and adoption of the study</w:t>
            </w:r>
          </w:p>
        </w:tc>
        <w:tc>
          <w:tcPr>
            <w:tcW w:w="1159" w:type="pct"/>
            <w:shd w:val="clear" w:color="auto" w:fill="FFFFFF"/>
            <w:tcMar>
              <w:top w:w="0" w:type="dxa"/>
              <w:left w:w="108" w:type="dxa"/>
              <w:bottom w:w="0" w:type="dxa"/>
              <w:right w:w="108" w:type="dxa"/>
            </w:tcMar>
            <w:vAlign w:val="center"/>
          </w:tcPr>
          <w:p w14:paraId="46A75837"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Development of the plan/study in progress  </w:t>
            </w:r>
          </w:p>
        </w:tc>
        <w:tc>
          <w:tcPr>
            <w:tcW w:w="1159" w:type="pct"/>
            <w:shd w:val="clear" w:color="auto" w:fill="FFFFFF"/>
            <w:vAlign w:val="center"/>
          </w:tcPr>
          <w:p w14:paraId="1CF02387"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The Study (plan) developed and adopted, with all the elements of measurements defined</w:t>
            </w:r>
          </w:p>
        </w:tc>
      </w:tr>
      <w:tr w:rsidR="00B02183" w:rsidRPr="007C4D65" w14:paraId="79EA3E9C" w14:textId="77777777" w:rsidTr="00B6017F">
        <w:trPr>
          <w:trHeight w:val="287"/>
        </w:trPr>
        <w:tc>
          <w:tcPr>
            <w:tcW w:w="810" w:type="pct"/>
            <w:vMerge/>
            <w:shd w:val="clear" w:color="auto" w:fill="D9D9D9"/>
            <w:vAlign w:val="center"/>
          </w:tcPr>
          <w:p w14:paraId="7C03CBF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38B6000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92BF944"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measuring stations commissioned</w:t>
            </w:r>
          </w:p>
        </w:tc>
        <w:tc>
          <w:tcPr>
            <w:tcW w:w="1159" w:type="pct"/>
            <w:shd w:val="clear" w:color="auto" w:fill="FFFFFF"/>
            <w:tcMar>
              <w:top w:w="0" w:type="dxa"/>
              <w:left w:w="108" w:type="dxa"/>
              <w:bottom w:w="0" w:type="dxa"/>
              <w:right w:w="108" w:type="dxa"/>
            </w:tcMar>
            <w:vAlign w:val="center"/>
          </w:tcPr>
          <w:p w14:paraId="67066EAE" w14:textId="29C617F9"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22 measuring stations were operational in 2019, some parts of the Federation of BiH are not covered by a measuring station</w:t>
            </w:r>
          </w:p>
        </w:tc>
        <w:tc>
          <w:tcPr>
            <w:tcW w:w="1159" w:type="pct"/>
            <w:shd w:val="clear" w:color="auto" w:fill="FFFFFF"/>
            <w:vAlign w:val="center"/>
          </w:tcPr>
          <w:p w14:paraId="7CD10643"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Equipment - measuring stations procured and installed</w:t>
            </w:r>
          </w:p>
        </w:tc>
      </w:tr>
      <w:tr w:rsidR="00B02183" w:rsidRPr="007C4D65" w14:paraId="7E0C21B2" w14:textId="77777777" w:rsidTr="00B6017F">
        <w:trPr>
          <w:trHeight w:val="287"/>
        </w:trPr>
        <w:tc>
          <w:tcPr>
            <w:tcW w:w="810" w:type="pct"/>
            <w:vMerge/>
            <w:shd w:val="clear" w:color="auto" w:fill="D9D9D9"/>
            <w:vAlign w:val="center"/>
          </w:tcPr>
          <w:p w14:paraId="2A70D3B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4576123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DA62E9C" w14:textId="4DA0FFC6"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Level of the implementation of the programme for strengthening human and technical capacities of the </w:t>
            </w:r>
            <w:r w:rsidR="008C23C0" w:rsidRPr="007C4D65">
              <w:rPr>
                <w:rFonts w:asciiTheme="minorHAnsi" w:hAnsiTheme="minorHAnsi" w:cstheme="minorHAnsi"/>
                <w:sz w:val="18"/>
              </w:rPr>
              <w:t xml:space="preserve">Federation of BiH </w:t>
            </w:r>
            <w:r w:rsidRPr="007C4D65">
              <w:rPr>
                <w:rFonts w:asciiTheme="minorHAnsi" w:hAnsiTheme="minorHAnsi" w:cstheme="minorHAnsi"/>
                <w:sz w:val="18"/>
              </w:rPr>
              <w:t>Hydrometeorological Institute and cantonal organisation for monitoring air quality</w:t>
            </w:r>
          </w:p>
        </w:tc>
        <w:tc>
          <w:tcPr>
            <w:tcW w:w="1159" w:type="pct"/>
            <w:shd w:val="clear" w:color="auto" w:fill="FFFFFF"/>
            <w:tcMar>
              <w:top w:w="0" w:type="dxa"/>
              <w:left w:w="108" w:type="dxa"/>
              <w:bottom w:w="0" w:type="dxa"/>
              <w:right w:w="108" w:type="dxa"/>
            </w:tcMar>
            <w:vAlign w:val="center"/>
          </w:tcPr>
          <w:p w14:paraId="4B56F3F5" w14:textId="7D2DC2CC"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Human and technical capacities of </w:t>
            </w:r>
            <w:r w:rsidR="008C23C0" w:rsidRPr="007C4D65">
              <w:rPr>
                <w:rFonts w:asciiTheme="minorHAnsi" w:hAnsiTheme="minorHAnsi" w:cstheme="minorHAnsi"/>
                <w:sz w:val="18"/>
              </w:rPr>
              <w:t>the Federation of BiH</w:t>
            </w:r>
            <w:r w:rsidRPr="007C4D65">
              <w:rPr>
                <w:rFonts w:asciiTheme="minorHAnsi" w:hAnsiTheme="minorHAnsi" w:cstheme="minorHAnsi"/>
                <w:sz w:val="18"/>
              </w:rPr>
              <w:t xml:space="preserve"> Hydrometeorological Institute and cantonal organisations insufficient</w:t>
            </w:r>
          </w:p>
        </w:tc>
        <w:tc>
          <w:tcPr>
            <w:tcW w:w="1159" w:type="pct"/>
            <w:shd w:val="clear" w:color="auto" w:fill="FFFFFF"/>
            <w:vAlign w:val="center"/>
          </w:tcPr>
          <w:p w14:paraId="61D9DD50"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A technical and human capacity building programme completed</w:t>
            </w:r>
          </w:p>
        </w:tc>
      </w:tr>
      <w:tr w:rsidR="00B02183" w:rsidRPr="007C4D65" w14:paraId="13248841" w14:textId="77777777" w:rsidTr="00B6017F">
        <w:trPr>
          <w:trHeight w:val="483"/>
        </w:trPr>
        <w:tc>
          <w:tcPr>
            <w:tcW w:w="810" w:type="pct"/>
            <w:vMerge/>
            <w:shd w:val="clear" w:color="auto" w:fill="D9D9D9"/>
            <w:vAlign w:val="center"/>
            <w:hideMark/>
          </w:tcPr>
          <w:p w14:paraId="3275AF7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67DA11C5"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33E897B8" w14:textId="1660C4A0"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7D114FE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1C34080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42728F73" w14:textId="77777777" w:rsidTr="00B6017F">
        <w:trPr>
          <w:trHeight w:val="287"/>
        </w:trPr>
        <w:tc>
          <w:tcPr>
            <w:tcW w:w="810" w:type="pct"/>
            <w:vMerge/>
            <w:shd w:val="clear" w:color="auto" w:fill="D9D9D9"/>
            <w:vAlign w:val="center"/>
            <w:hideMark/>
          </w:tcPr>
          <w:p w14:paraId="7B8BD05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3DC3C82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AE295CD"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0.334</w:t>
            </w:r>
          </w:p>
        </w:tc>
        <w:tc>
          <w:tcPr>
            <w:tcW w:w="1159" w:type="pct"/>
            <w:tcMar>
              <w:top w:w="0" w:type="dxa"/>
              <w:left w:w="108" w:type="dxa"/>
              <w:bottom w:w="0" w:type="dxa"/>
              <w:right w:w="108" w:type="dxa"/>
            </w:tcMar>
            <w:vAlign w:val="center"/>
          </w:tcPr>
          <w:p w14:paraId="0199A93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3</w:t>
            </w:r>
          </w:p>
        </w:tc>
        <w:tc>
          <w:tcPr>
            <w:tcW w:w="1159" w:type="pct"/>
            <w:tcMar>
              <w:top w:w="0" w:type="dxa"/>
              <w:left w:w="108" w:type="dxa"/>
              <w:bottom w:w="0" w:type="dxa"/>
              <w:right w:w="108" w:type="dxa"/>
            </w:tcMar>
            <w:vAlign w:val="center"/>
          </w:tcPr>
          <w:p w14:paraId="7EFCC731"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3.3</w:t>
            </w:r>
          </w:p>
        </w:tc>
      </w:tr>
      <w:tr w:rsidR="00B02183" w:rsidRPr="007C4D65" w14:paraId="5AA52658" w14:textId="77777777" w:rsidTr="00B6017F">
        <w:trPr>
          <w:trHeight w:val="483"/>
        </w:trPr>
        <w:tc>
          <w:tcPr>
            <w:tcW w:w="810" w:type="pct"/>
            <w:vMerge w:val="restart"/>
            <w:shd w:val="clear" w:color="auto" w:fill="D9D9D9"/>
            <w:tcMar>
              <w:top w:w="0" w:type="dxa"/>
              <w:left w:w="108" w:type="dxa"/>
              <w:bottom w:w="0" w:type="dxa"/>
              <w:right w:w="108" w:type="dxa"/>
            </w:tcMar>
            <w:vAlign w:val="center"/>
            <w:hideMark/>
          </w:tcPr>
          <w:p w14:paraId="3FF5FC5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p w14:paraId="5ADDFC47"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4.2.2 Measure</w:t>
            </w:r>
          </w:p>
        </w:tc>
        <w:tc>
          <w:tcPr>
            <w:tcW w:w="712" w:type="pct"/>
            <w:vMerge w:val="restart"/>
            <w:tcMar>
              <w:top w:w="0" w:type="dxa"/>
              <w:left w:w="108" w:type="dxa"/>
              <w:bottom w:w="0" w:type="dxa"/>
              <w:right w:w="108" w:type="dxa"/>
            </w:tcMar>
            <w:vAlign w:val="center"/>
          </w:tcPr>
          <w:p w14:paraId="112420DD"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Developing the system for reporting to international institutions and coordination of improvement of the public information system on air quality</w:t>
            </w:r>
          </w:p>
        </w:tc>
        <w:tc>
          <w:tcPr>
            <w:tcW w:w="1159" w:type="pct"/>
            <w:shd w:val="clear" w:color="auto" w:fill="D9D9D9"/>
            <w:tcMar>
              <w:top w:w="0" w:type="dxa"/>
              <w:left w:w="108" w:type="dxa"/>
              <w:bottom w:w="0" w:type="dxa"/>
              <w:right w:w="108" w:type="dxa"/>
            </w:tcMar>
            <w:vAlign w:val="center"/>
            <w:hideMark/>
          </w:tcPr>
          <w:p w14:paraId="320D756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495EF12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5A571A9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17EDCC30" w14:textId="77777777" w:rsidTr="00B6017F">
        <w:trPr>
          <w:trHeight w:val="287"/>
        </w:trPr>
        <w:tc>
          <w:tcPr>
            <w:tcW w:w="810" w:type="pct"/>
            <w:vMerge/>
            <w:shd w:val="clear" w:color="auto" w:fill="D9D9D9"/>
            <w:vAlign w:val="center"/>
          </w:tcPr>
          <w:p w14:paraId="0CBCDCF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447648F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8D95BDC"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programme development</w:t>
            </w:r>
          </w:p>
        </w:tc>
        <w:tc>
          <w:tcPr>
            <w:tcW w:w="1159" w:type="pct"/>
            <w:shd w:val="clear" w:color="auto" w:fill="FFFFFF"/>
            <w:tcMar>
              <w:top w:w="0" w:type="dxa"/>
              <w:left w:w="108" w:type="dxa"/>
              <w:bottom w:w="0" w:type="dxa"/>
              <w:right w:w="108" w:type="dxa"/>
            </w:tcMar>
            <w:vAlign w:val="center"/>
          </w:tcPr>
          <w:p w14:paraId="15A5C8A3"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Insufficiently developed system of informing the public on air quality</w:t>
            </w:r>
          </w:p>
        </w:tc>
        <w:tc>
          <w:tcPr>
            <w:tcW w:w="1159" w:type="pct"/>
            <w:shd w:val="clear" w:color="auto" w:fill="FFFFFF"/>
            <w:vAlign w:val="center"/>
          </w:tcPr>
          <w:p w14:paraId="140ED428"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Information programme adopted at the level of the Federation of BiH, with clearly defined roles of cantons and municipalities</w:t>
            </w:r>
          </w:p>
        </w:tc>
      </w:tr>
      <w:tr w:rsidR="00B02183" w:rsidRPr="007C4D65" w14:paraId="1CF67C09" w14:textId="77777777" w:rsidTr="00B6017F">
        <w:trPr>
          <w:trHeight w:val="287"/>
        </w:trPr>
        <w:tc>
          <w:tcPr>
            <w:tcW w:w="810" w:type="pct"/>
            <w:vMerge/>
            <w:shd w:val="clear" w:color="auto" w:fill="D9D9D9"/>
            <w:vAlign w:val="center"/>
          </w:tcPr>
          <w:p w14:paraId="18BF161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75C05E1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FE615A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Level of the implementation of the capacity building programme</w:t>
            </w:r>
          </w:p>
        </w:tc>
        <w:tc>
          <w:tcPr>
            <w:tcW w:w="1159" w:type="pct"/>
            <w:shd w:val="clear" w:color="auto" w:fill="FFFFFF"/>
            <w:tcMar>
              <w:top w:w="0" w:type="dxa"/>
              <w:left w:w="108" w:type="dxa"/>
              <w:bottom w:w="0" w:type="dxa"/>
              <w:right w:w="108" w:type="dxa"/>
            </w:tcMar>
            <w:vAlign w:val="center"/>
          </w:tcPr>
          <w:p w14:paraId="68D9B98D" w14:textId="212ABC24"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 capacities of responsible institutions</w:t>
            </w:r>
          </w:p>
        </w:tc>
        <w:tc>
          <w:tcPr>
            <w:tcW w:w="1159" w:type="pct"/>
            <w:shd w:val="clear" w:color="auto" w:fill="FFFFFF"/>
            <w:vAlign w:val="center"/>
          </w:tcPr>
          <w:p w14:paraId="03B0493E"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The capacity building programme implemented</w:t>
            </w:r>
          </w:p>
        </w:tc>
      </w:tr>
      <w:tr w:rsidR="00B02183" w:rsidRPr="007C4D65" w14:paraId="22CC04F5" w14:textId="77777777" w:rsidTr="00B6017F">
        <w:trPr>
          <w:trHeight w:val="287"/>
        </w:trPr>
        <w:tc>
          <w:tcPr>
            <w:tcW w:w="810" w:type="pct"/>
            <w:vMerge/>
            <w:shd w:val="clear" w:color="auto" w:fill="D9D9D9"/>
            <w:vAlign w:val="center"/>
          </w:tcPr>
          <w:p w14:paraId="370114B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3F83F00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39CA7BE"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defining zones and agglomerations</w:t>
            </w:r>
          </w:p>
        </w:tc>
        <w:tc>
          <w:tcPr>
            <w:tcW w:w="1159" w:type="pct"/>
            <w:shd w:val="clear" w:color="auto" w:fill="FFFFFF"/>
            <w:tcMar>
              <w:top w:w="0" w:type="dxa"/>
              <w:left w:w="108" w:type="dxa"/>
              <w:bottom w:w="0" w:type="dxa"/>
              <w:right w:w="108" w:type="dxa"/>
            </w:tcMar>
            <w:vAlign w:val="center"/>
          </w:tcPr>
          <w:p w14:paraId="6BDC0461"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Current zones and agglomerations have been defined without measurements in some parts of the Federation of BiH</w:t>
            </w:r>
          </w:p>
        </w:tc>
        <w:tc>
          <w:tcPr>
            <w:tcW w:w="1159" w:type="pct"/>
            <w:shd w:val="clear" w:color="auto" w:fill="FFFFFF"/>
            <w:vAlign w:val="center"/>
          </w:tcPr>
          <w:p w14:paraId="72A0EDB4"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Zones and agglomerations defined</w:t>
            </w:r>
          </w:p>
        </w:tc>
      </w:tr>
      <w:tr w:rsidR="00B02183" w:rsidRPr="007C4D65" w14:paraId="717FBFA0" w14:textId="77777777" w:rsidTr="00B6017F">
        <w:trPr>
          <w:trHeight w:val="287"/>
        </w:trPr>
        <w:tc>
          <w:tcPr>
            <w:tcW w:w="810" w:type="pct"/>
            <w:vMerge/>
            <w:shd w:val="clear" w:color="auto" w:fill="D9D9D9"/>
            <w:vAlign w:val="center"/>
          </w:tcPr>
          <w:p w14:paraId="07E6FA8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4324F5F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BFDBD8D"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developed and adopted rehabilitation plans</w:t>
            </w:r>
          </w:p>
        </w:tc>
        <w:tc>
          <w:tcPr>
            <w:tcW w:w="1159" w:type="pct"/>
            <w:shd w:val="clear" w:color="auto" w:fill="FFFFFF"/>
            <w:tcMar>
              <w:top w:w="0" w:type="dxa"/>
              <w:left w:w="108" w:type="dxa"/>
              <w:bottom w:w="0" w:type="dxa"/>
              <w:right w:w="108" w:type="dxa"/>
            </w:tcMar>
            <w:vAlign w:val="center"/>
          </w:tcPr>
          <w:p w14:paraId="505DD7D6"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Rehabilitation plans not developed</w:t>
            </w:r>
          </w:p>
        </w:tc>
        <w:tc>
          <w:tcPr>
            <w:tcW w:w="1159" w:type="pct"/>
            <w:shd w:val="clear" w:color="auto" w:fill="FFFFFF"/>
            <w:vAlign w:val="center"/>
          </w:tcPr>
          <w:p w14:paraId="3B2E1245"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Rehabilitation plans developed and adopted</w:t>
            </w:r>
          </w:p>
        </w:tc>
      </w:tr>
      <w:tr w:rsidR="00B02183" w:rsidRPr="007C4D65" w14:paraId="546CEA00" w14:textId="77777777" w:rsidTr="00B6017F">
        <w:trPr>
          <w:trHeight w:val="287"/>
        </w:trPr>
        <w:tc>
          <w:tcPr>
            <w:tcW w:w="810" w:type="pct"/>
            <w:vMerge/>
            <w:shd w:val="clear" w:color="auto" w:fill="D9D9D9"/>
            <w:vAlign w:val="center"/>
          </w:tcPr>
          <w:p w14:paraId="4CE73FC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5E87A43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4B3BEC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establishment of the information system</w:t>
            </w:r>
          </w:p>
        </w:tc>
        <w:tc>
          <w:tcPr>
            <w:tcW w:w="1159" w:type="pct"/>
            <w:shd w:val="clear" w:color="auto" w:fill="FFFFFF"/>
            <w:tcMar>
              <w:top w:w="0" w:type="dxa"/>
              <w:left w:w="108" w:type="dxa"/>
              <w:bottom w:w="0" w:type="dxa"/>
              <w:right w:w="108" w:type="dxa"/>
            </w:tcMar>
            <w:vAlign w:val="center"/>
          </w:tcPr>
          <w:p w14:paraId="4EAAA83E"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Information system not established</w:t>
            </w:r>
          </w:p>
        </w:tc>
        <w:tc>
          <w:tcPr>
            <w:tcW w:w="1159" w:type="pct"/>
            <w:shd w:val="clear" w:color="auto" w:fill="FFFFFF"/>
            <w:vAlign w:val="center"/>
          </w:tcPr>
          <w:p w14:paraId="04052519"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The air quality Information system established</w:t>
            </w:r>
          </w:p>
        </w:tc>
      </w:tr>
      <w:tr w:rsidR="00B02183" w:rsidRPr="007C4D65" w14:paraId="6CEF0E6F" w14:textId="77777777" w:rsidTr="00B6017F">
        <w:trPr>
          <w:trHeight w:val="287"/>
        </w:trPr>
        <w:tc>
          <w:tcPr>
            <w:tcW w:w="810" w:type="pct"/>
            <w:vMerge/>
            <w:shd w:val="clear" w:color="auto" w:fill="D9D9D9"/>
            <w:vAlign w:val="center"/>
          </w:tcPr>
          <w:p w14:paraId="7159EB7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21AC5DC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C9556E7"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pollutants for which a reference laboratory has been designated</w:t>
            </w:r>
          </w:p>
        </w:tc>
        <w:tc>
          <w:tcPr>
            <w:tcW w:w="1159" w:type="pct"/>
            <w:shd w:val="clear" w:color="auto" w:fill="FFFFFF"/>
            <w:tcMar>
              <w:top w:w="0" w:type="dxa"/>
              <w:left w:w="108" w:type="dxa"/>
              <w:bottom w:w="0" w:type="dxa"/>
              <w:right w:w="108" w:type="dxa"/>
            </w:tcMar>
            <w:vAlign w:val="center"/>
          </w:tcPr>
          <w:p w14:paraId="3833D90D"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Reference laboratories not designated</w:t>
            </w:r>
          </w:p>
        </w:tc>
        <w:tc>
          <w:tcPr>
            <w:tcW w:w="1159" w:type="pct"/>
            <w:shd w:val="clear" w:color="auto" w:fill="FFFFFF"/>
            <w:vAlign w:val="center"/>
          </w:tcPr>
          <w:p w14:paraId="381A8863"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Reference laboratories designated</w:t>
            </w:r>
          </w:p>
        </w:tc>
      </w:tr>
      <w:tr w:rsidR="00B02183" w:rsidRPr="007C4D65" w14:paraId="060B9F4D" w14:textId="77777777" w:rsidTr="00B6017F">
        <w:trPr>
          <w:trHeight w:val="287"/>
        </w:trPr>
        <w:tc>
          <w:tcPr>
            <w:tcW w:w="810" w:type="pct"/>
            <w:vMerge/>
            <w:shd w:val="clear" w:color="auto" w:fill="D9D9D9"/>
            <w:vAlign w:val="center"/>
          </w:tcPr>
          <w:p w14:paraId="2A09BBA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52719F5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BFB5925"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adoption of regulations</w:t>
            </w:r>
          </w:p>
        </w:tc>
        <w:tc>
          <w:tcPr>
            <w:tcW w:w="1159" w:type="pct"/>
            <w:shd w:val="clear" w:color="auto" w:fill="FFFFFF"/>
            <w:tcMar>
              <w:top w:w="0" w:type="dxa"/>
              <w:left w:w="108" w:type="dxa"/>
              <w:bottom w:w="0" w:type="dxa"/>
              <w:right w:w="108" w:type="dxa"/>
            </w:tcMar>
            <w:vAlign w:val="center"/>
          </w:tcPr>
          <w:p w14:paraId="2497E0A5"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specific regulation that clearly defines the method of reporting data on emissions</w:t>
            </w:r>
          </w:p>
        </w:tc>
        <w:tc>
          <w:tcPr>
            <w:tcW w:w="1159" w:type="pct"/>
            <w:shd w:val="clear" w:color="auto" w:fill="FFFFFF"/>
            <w:vAlign w:val="center"/>
          </w:tcPr>
          <w:p w14:paraId="7191EBAF"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Regulation defining the method of reporting data on emissions adopted</w:t>
            </w:r>
          </w:p>
        </w:tc>
      </w:tr>
      <w:tr w:rsidR="00B02183" w:rsidRPr="007C4D65" w14:paraId="7599E0D1" w14:textId="77777777" w:rsidTr="00B6017F">
        <w:trPr>
          <w:trHeight w:val="287"/>
        </w:trPr>
        <w:tc>
          <w:tcPr>
            <w:tcW w:w="810" w:type="pct"/>
            <w:vMerge/>
            <w:shd w:val="clear" w:color="auto" w:fill="D9D9D9"/>
            <w:vAlign w:val="center"/>
          </w:tcPr>
          <w:p w14:paraId="06EAF0D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7E27285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F43C4E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electronic reports on emissions</w:t>
            </w:r>
          </w:p>
        </w:tc>
        <w:tc>
          <w:tcPr>
            <w:tcW w:w="1159" w:type="pct"/>
            <w:shd w:val="clear" w:color="auto" w:fill="FFFFFF"/>
            <w:tcMar>
              <w:top w:w="0" w:type="dxa"/>
              <w:left w:w="108" w:type="dxa"/>
              <w:bottom w:w="0" w:type="dxa"/>
              <w:right w:w="108" w:type="dxa"/>
            </w:tcMar>
            <w:vAlign w:val="center"/>
          </w:tcPr>
          <w:p w14:paraId="25E5EBBF"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electronic reporting on emission measurements</w:t>
            </w:r>
          </w:p>
        </w:tc>
        <w:tc>
          <w:tcPr>
            <w:tcW w:w="1159" w:type="pct"/>
            <w:shd w:val="clear" w:color="auto" w:fill="FFFFFF"/>
            <w:vAlign w:val="center"/>
          </w:tcPr>
          <w:p w14:paraId="0091D4B5"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Uniform electronic reporting on emission measurements introduced</w:t>
            </w:r>
          </w:p>
        </w:tc>
      </w:tr>
      <w:tr w:rsidR="00B02183" w:rsidRPr="007C4D65" w14:paraId="03819F9B" w14:textId="77777777" w:rsidTr="00B6017F">
        <w:trPr>
          <w:trHeight w:val="287"/>
        </w:trPr>
        <w:tc>
          <w:tcPr>
            <w:tcW w:w="810" w:type="pct"/>
            <w:vMerge/>
            <w:shd w:val="clear" w:color="auto" w:fill="D9D9D9"/>
            <w:vAlign w:val="center"/>
          </w:tcPr>
          <w:p w14:paraId="2B52B38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1EBF16B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3D84DCB"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Level of the implementation of the capacity building programme</w:t>
            </w:r>
          </w:p>
        </w:tc>
        <w:tc>
          <w:tcPr>
            <w:tcW w:w="1159" w:type="pct"/>
            <w:shd w:val="clear" w:color="auto" w:fill="FFFFFF"/>
            <w:tcMar>
              <w:top w:w="0" w:type="dxa"/>
              <w:left w:w="108" w:type="dxa"/>
              <w:bottom w:w="0" w:type="dxa"/>
              <w:right w:w="108" w:type="dxa"/>
            </w:tcMar>
            <w:vAlign w:val="center"/>
          </w:tcPr>
          <w:p w14:paraId="3C2D2543"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 capacity in responsible institutions</w:t>
            </w:r>
          </w:p>
        </w:tc>
        <w:tc>
          <w:tcPr>
            <w:tcW w:w="1159" w:type="pct"/>
            <w:shd w:val="clear" w:color="auto" w:fill="FFFFFF"/>
            <w:vAlign w:val="center"/>
          </w:tcPr>
          <w:p w14:paraId="2AFB3DE1"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The capacity building programme for verification of results of emission measurements implemented  </w:t>
            </w:r>
          </w:p>
        </w:tc>
      </w:tr>
      <w:tr w:rsidR="00B02183" w:rsidRPr="007C4D65" w14:paraId="34CC4918" w14:textId="77777777" w:rsidTr="00B6017F">
        <w:trPr>
          <w:trHeight w:val="287"/>
        </w:trPr>
        <w:tc>
          <w:tcPr>
            <w:tcW w:w="810" w:type="pct"/>
            <w:vMerge/>
            <w:shd w:val="clear" w:color="auto" w:fill="D9D9D9"/>
            <w:vAlign w:val="center"/>
          </w:tcPr>
          <w:p w14:paraId="1ED4BFF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62D6667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624B77E"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adoption of national emission coefficients</w:t>
            </w:r>
          </w:p>
        </w:tc>
        <w:tc>
          <w:tcPr>
            <w:tcW w:w="1159" w:type="pct"/>
            <w:shd w:val="clear" w:color="auto" w:fill="FFFFFF"/>
            <w:tcMar>
              <w:top w:w="0" w:type="dxa"/>
              <w:left w:w="108" w:type="dxa"/>
              <w:bottom w:w="0" w:type="dxa"/>
              <w:right w:w="108" w:type="dxa"/>
            </w:tcMar>
            <w:vAlign w:val="center"/>
          </w:tcPr>
          <w:p w14:paraId="59A050B0"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National emission coefficients not identified</w:t>
            </w:r>
          </w:p>
        </w:tc>
        <w:tc>
          <w:tcPr>
            <w:tcW w:w="1159" w:type="pct"/>
            <w:shd w:val="clear" w:color="auto" w:fill="FFFFFF"/>
            <w:vAlign w:val="center"/>
          </w:tcPr>
          <w:p w14:paraId="764449B3"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National emission coefficients adopted</w:t>
            </w:r>
          </w:p>
        </w:tc>
      </w:tr>
      <w:tr w:rsidR="00B02183" w:rsidRPr="007C4D65" w14:paraId="602539B6" w14:textId="77777777" w:rsidTr="00B6017F">
        <w:trPr>
          <w:trHeight w:val="287"/>
        </w:trPr>
        <w:tc>
          <w:tcPr>
            <w:tcW w:w="810" w:type="pct"/>
            <w:vMerge/>
            <w:shd w:val="clear" w:color="auto" w:fill="D9D9D9"/>
            <w:vAlign w:val="center"/>
          </w:tcPr>
          <w:p w14:paraId="1C1CFB4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1EE1B42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3C92DAF"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cantonal laws</w:t>
            </w:r>
          </w:p>
        </w:tc>
        <w:tc>
          <w:tcPr>
            <w:tcW w:w="1159" w:type="pct"/>
            <w:shd w:val="clear" w:color="auto" w:fill="FFFFFF"/>
            <w:tcMar>
              <w:top w:w="0" w:type="dxa"/>
              <w:left w:w="108" w:type="dxa"/>
              <w:bottom w:w="0" w:type="dxa"/>
              <w:right w:w="108" w:type="dxa"/>
            </w:tcMar>
            <w:vAlign w:val="center"/>
          </w:tcPr>
          <w:p w14:paraId="67EA738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Draft new law on air quality provides an opportunity for cantons to adopt cantonal laws on air protection</w:t>
            </w:r>
          </w:p>
        </w:tc>
        <w:tc>
          <w:tcPr>
            <w:tcW w:w="1159" w:type="pct"/>
            <w:shd w:val="clear" w:color="auto" w:fill="FFFFFF"/>
            <w:vAlign w:val="center"/>
          </w:tcPr>
          <w:p w14:paraId="285F03E5"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The laws adopted in the cantons </w:t>
            </w:r>
          </w:p>
        </w:tc>
      </w:tr>
      <w:tr w:rsidR="00B02183" w:rsidRPr="007C4D65" w14:paraId="138C13C7" w14:textId="77777777" w:rsidTr="00B6017F">
        <w:trPr>
          <w:trHeight w:val="287"/>
        </w:trPr>
        <w:tc>
          <w:tcPr>
            <w:tcW w:w="810" w:type="pct"/>
            <w:vMerge/>
            <w:shd w:val="clear" w:color="auto" w:fill="D9D9D9"/>
            <w:vAlign w:val="center"/>
          </w:tcPr>
          <w:p w14:paraId="0F23ECF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7045634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0FEFF40"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cantons with completed inventories</w:t>
            </w:r>
          </w:p>
        </w:tc>
        <w:tc>
          <w:tcPr>
            <w:tcW w:w="1159" w:type="pct"/>
            <w:shd w:val="clear" w:color="auto" w:fill="FFFFFF"/>
            <w:tcMar>
              <w:top w:w="0" w:type="dxa"/>
              <w:left w:w="108" w:type="dxa"/>
              <w:bottom w:w="0" w:type="dxa"/>
              <w:right w:w="108" w:type="dxa"/>
            </w:tcMar>
            <w:vAlign w:val="center"/>
          </w:tcPr>
          <w:p w14:paraId="41930D5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Three cantons have completed inventories of pollution</w:t>
            </w:r>
          </w:p>
        </w:tc>
        <w:tc>
          <w:tcPr>
            <w:tcW w:w="1159" w:type="pct"/>
            <w:shd w:val="clear" w:color="auto" w:fill="FFFFFF"/>
            <w:vAlign w:val="center"/>
          </w:tcPr>
          <w:p w14:paraId="4173D3AB"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The inventories of pollution completed</w:t>
            </w:r>
          </w:p>
        </w:tc>
      </w:tr>
      <w:tr w:rsidR="00B02183" w:rsidRPr="007C4D65" w14:paraId="7C205549" w14:textId="77777777" w:rsidTr="00B6017F">
        <w:trPr>
          <w:trHeight w:val="287"/>
        </w:trPr>
        <w:tc>
          <w:tcPr>
            <w:tcW w:w="810" w:type="pct"/>
            <w:vMerge/>
            <w:shd w:val="clear" w:color="auto" w:fill="D9D9D9"/>
            <w:vAlign w:val="center"/>
          </w:tcPr>
          <w:p w14:paraId="7FDF65C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38513F4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FF4ECCC" w14:textId="77777777" w:rsidR="00B02183" w:rsidRPr="007C4D65" w:rsidRDefault="00B02183" w:rsidP="00B02183">
            <w:pPr>
              <w:spacing w:after="120" w:line="276" w:lineRule="auto"/>
              <w:ind w:hanging="2"/>
              <w:contextualSpacing/>
              <w:rPr>
                <w:rFonts w:asciiTheme="minorHAnsi" w:eastAsia="Calibri" w:hAnsiTheme="minorHAnsi" w:cstheme="minorHAnsi"/>
                <w:sz w:val="18"/>
                <w:szCs w:val="18"/>
              </w:rPr>
            </w:pPr>
            <w:r w:rsidRPr="007C4D65">
              <w:rPr>
                <w:rFonts w:asciiTheme="minorHAnsi" w:hAnsiTheme="minorHAnsi" w:cstheme="minorHAnsi"/>
                <w:sz w:val="18"/>
              </w:rPr>
              <w:t>Status of development of baseline model</w:t>
            </w:r>
          </w:p>
        </w:tc>
        <w:tc>
          <w:tcPr>
            <w:tcW w:w="1159" w:type="pct"/>
            <w:shd w:val="clear" w:color="auto" w:fill="FFFFFF"/>
            <w:tcMar>
              <w:top w:w="0" w:type="dxa"/>
              <w:left w:w="108" w:type="dxa"/>
              <w:bottom w:w="0" w:type="dxa"/>
              <w:right w:w="108" w:type="dxa"/>
            </w:tcMar>
            <w:vAlign w:val="center"/>
          </w:tcPr>
          <w:p w14:paraId="122D0077"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There is no baseline model for the air quality monitoring </w:t>
            </w:r>
          </w:p>
        </w:tc>
        <w:tc>
          <w:tcPr>
            <w:tcW w:w="1159" w:type="pct"/>
            <w:shd w:val="clear" w:color="auto" w:fill="FFFFFF"/>
            <w:vAlign w:val="center"/>
          </w:tcPr>
          <w:p w14:paraId="63778B1A"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The baseline model for air quality monitoring intended for spatial planning prepared</w:t>
            </w:r>
          </w:p>
        </w:tc>
      </w:tr>
      <w:tr w:rsidR="00B02183" w:rsidRPr="007C4D65" w14:paraId="2951045E" w14:textId="77777777" w:rsidTr="00B6017F">
        <w:trPr>
          <w:trHeight w:val="287"/>
        </w:trPr>
        <w:tc>
          <w:tcPr>
            <w:tcW w:w="810" w:type="pct"/>
            <w:vMerge/>
            <w:shd w:val="clear" w:color="auto" w:fill="D9D9D9"/>
            <w:vAlign w:val="center"/>
          </w:tcPr>
          <w:p w14:paraId="7F74C07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3D0955B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A298939" w14:textId="77777777" w:rsidR="00B02183" w:rsidRPr="007C4D65" w:rsidRDefault="00B02183" w:rsidP="00B02183">
            <w:pPr>
              <w:spacing w:after="120" w:line="276" w:lineRule="auto"/>
              <w:ind w:hanging="2"/>
              <w:contextualSpacing/>
              <w:rPr>
                <w:rFonts w:asciiTheme="minorHAnsi" w:eastAsia="Calibri" w:hAnsiTheme="minorHAnsi" w:cstheme="minorHAnsi"/>
                <w:sz w:val="18"/>
                <w:szCs w:val="18"/>
              </w:rPr>
            </w:pPr>
            <w:r w:rsidRPr="007C4D65">
              <w:rPr>
                <w:rFonts w:asciiTheme="minorHAnsi" w:hAnsiTheme="minorHAnsi" w:cstheme="minorHAnsi"/>
                <w:sz w:val="18"/>
              </w:rPr>
              <w:t>Status of the adoption of the procedure</w:t>
            </w:r>
          </w:p>
        </w:tc>
        <w:tc>
          <w:tcPr>
            <w:tcW w:w="1159" w:type="pct"/>
            <w:shd w:val="clear" w:color="auto" w:fill="FFFFFF"/>
            <w:tcMar>
              <w:top w:w="0" w:type="dxa"/>
              <w:left w:w="108" w:type="dxa"/>
              <w:bottom w:w="0" w:type="dxa"/>
              <w:right w:w="108" w:type="dxa"/>
            </w:tcMar>
            <w:vAlign w:val="center"/>
          </w:tcPr>
          <w:p w14:paraId="16821757"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system for reporting to the state level</w:t>
            </w:r>
          </w:p>
        </w:tc>
        <w:tc>
          <w:tcPr>
            <w:tcW w:w="1159" w:type="pct"/>
            <w:shd w:val="clear" w:color="auto" w:fill="FFFFFF"/>
            <w:vAlign w:val="center"/>
          </w:tcPr>
          <w:p w14:paraId="17C630F6"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The reporting procedure adopted</w:t>
            </w:r>
          </w:p>
        </w:tc>
      </w:tr>
      <w:tr w:rsidR="00B02183" w:rsidRPr="007C4D65" w14:paraId="2E72E4AD" w14:textId="77777777" w:rsidTr="00B6017F">
        <w:trPr>
          <w:trHeight w:val="483"/>
        </w:trPr>
        <w:tc>
          <w:tcPr>
            <w:tcW w:w="810" w:type="pct"/>
            <w:vMerge/>
            <w:shd w:val="clear" w:color="auto" w:fill="D9D9D9"/>
            <w:vAlign w:val="center"/>
            <w:hideMark/>
          </w:tcPr>
          <w:p w14:paraId="24214A1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2C231F55"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5A75B959" w14:textId="26ECACF7"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7154716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4F8EA59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6802964B" w14:textId="77777777" w:rsidTr="00B6017F">
        <w:trPr>
          <w:trHeight w:val="287"/>
        </w:trPr>
        <w:tc>
          <w:tcPr>
            <w:tcW w:w="810" w:type="pct"/>
            <w:vMerge/>
            <w:shd w:val="clear" w:color="auto" w:fill="D9D9D9"/>
            <w:vAlign w:val="center"/>
            <w:hideMark/>
          </w:tcPr>
          <w:p w14:paraId="08BB866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1D1F26A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F1AD8B1"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23.8</w:t>
            </w:r>
          </w:p>
        </w:tc>
        <w:tc>
          <w:tcPr>
            <w:tcW w:w="1159" w:type="pct"/>
            <w:tcMar>
              <w:top w:w="0" w:type="dxa"/>
              <w:left w:w="108" w:type="dxa"/>
              <w:bottom w:w="0" w:type="dxa"/>
              <w:right w:w="108" w:type="dxa"/>
            </w:tcMar>
            <w:vAlign w:val="center"/>
          </w:tcPr>
          <w:p w14:paraId="53F7DA16"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214.6</w:t>
            </w:r>
          </w:p>
        </w:tc>
        <w:tc>
          <w:tcPr>
            <w:tcW w:w="1159" w:type="pct"/>
            <w:tcMar>
              <w:top w:w="0" w:type="dxa"/>
              <w:left w:w="108" w:type="dxa"/>
              <w:bottom w:w="0" w:type="dxa"/>
              <w:right w:w="108" w:type="dxa"/>
            </w:tcMar>
            <w:vAlign w:val="center"/>
          </w:tcPr>
          <w:p w14:paraId="66766B6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238.4</w:t>
            </w:r>
          </w:p>
        </w:tc>
      </w:tr>
    </w:tbl>
    <w:p w14:paraId="464CB993" w14:textId="77777777" w:rsidR="00B02183" w:rsidRPr="007C4D65" w:rsidRDefault="00B02183" w:rsidP="00B02183">
      <w:pPr>
        <w:spacing w:after="120" w:line="276" w:lineRule="auto"/>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263"/>
        <w:gridCol w:w="1986"/>
        <w:gridCol w:w="3233"/>
        <w:gridCol w:w="3233"/>
        <w:gridCol w:w="3233"/>
      </w:tblGrid>
      <w:tr w:rsidR="00B02183" w:rsidRPr="007C4D65" w14:paraId="1C0C27C4" w14:textId="77777777" w:rsidTr="00B6017F">
        <w:trPr>
          <w:trHeight w:val="384"/>
        </w:trPr>
        <w:tc>
          <w:tcPr>
            <w:tcW w:w="811" w:type="pct"/>
            <w:vMerge w:val="restart"/>
            <w:shd w:val="clear" w:color="auto" w:fill="D9D9D9"/>
            <w:tcMar>
              <w:top w:w="0" w:type="dxa"/>
              <w:left w:w="108" w:type="dxa"/>
              <w:bottom w:w="0" w:type="dxa"/>
              <w:right w:w="108" w:type="dxa"/>
            </w:tcMar>
            <w:vAlign w:val="center"/>
          </w:tcPr>
          <w:p w14:paraId="08781FB0"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4.3 Priority</w:t>
            </w:r>
          </w:p>
          <w:p w14:paraId="036449E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restart"/>
            <w:tcMar>
              <w:top w:w="0" w:type="dxa"/>
              <w:left w:w="108" w:type="dxa"/>
              <w:bottom w:w="0" w:type="dxa"/>
              <w:right w:w="108" w:type="dxa"/>
            </w:tcMar>
            <w:vAlign w:val="center"/>
          </w:tcPr>
          <w:p w14:paraId="3973E7C7" w14:textId="71D72F3D" w:rsidR="00B02183" w:rsidRPr="007C4D65" w:rsidRDefault="00131E81"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lastRenderedPageBreak/>
              <w:t xml:space="preserve">Reduce the impact of the Federation of BiH on climate changes </w:t>
            </w:r>
            <w:r w:rsidR="00B02183" w:rsidRPr="007C4D65">
              <w:rPr>
                <w:rFonts w:asciiTheme="minorHAnsi" w:hAnsiTheme="minorHAnsi" w:cstheme="minorHAnsi"/>
                <w:b/>
                <w:sz w:val="18"/>
              </w:rPr>
              <w:t>through reduced GHG emissions and enhanced carbon sinks</w:t>
            </w:r>
          </w:p>
        </w:tc>
        <w:tc>
          <w:tcPr>
            <w:tcW w:w="1159" w:type="pct"/>
            <w:shd w:val="clear" w:color="auto" w:fill="D9D9D9"/>
            <w:tcMar>
              <w:top w:w="0" w:type="dxa"/>
              <w:left w:w="108" w:type="dxa"/>
              <w:bottom w:w="0" w:type="dxa"/>
              <w:right w:w="108" w:type="dxa"/>
            </w:tcMar>
            <w:vAlign w:val="center"/>
          </w:tcPr>
          <w:p w14:paraId="2E8F945C"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553B69C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6357029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21C1B08F" w14:textId="77777777" w:rsidTr="00B6017F">
        <w:trPr>
          <w:trHeight w:val="287"/>
        </w:trPr>
        <w:tc>
          <w:tcPr>
            <w:tcW w:w="811" w:type="pct"/>
            <w:vMerge/>
            <w:shd w:val="clear" w:color="auto" w:fill="D9D9D9"/>
            <w:vAlign w:val="center"/>
            <w:hideMark/>
          </w:tcPr>
          <w:p w14:paraId="195E3EC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4F9C2BF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54EA4DA"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Percentage of reduction of GHG emissions</w:t>
            </w:r>
          </w:p>
        </w:tc>
        <w:tc>
          <w:tcPr>
            <w:tcW w:w="1159" w:type="pct"/>
            <w:tcMar>
              <w:top w:w="0" w:type="dxa"/>
              <w:left w:w="108" w:type="dxa"/>
              <w:bottom w:w="0" w:type="dxa"/>
              <w:right w:w="108" w:type="dxa"/>
            </w:tcMar>
          </w:tcPr>
          <w:p w14:paraId="2517130B" w14:textId="7F806A05"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In 2014, emissions estimated at about 18,323 Gg</w:t>
            </w:r>
          </w:p>
          <w:p w14:paraId="01424A4B"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There is no GHG inventory </w:t>
            </w:r>
          </w:p>
        </w:tc>
        <w:tc>
          <w:tcPr>
            <w:tcW w:w="1159" w:type="pct"/>
            <w:tcMar>
              <w:top w:w="0" w:type="dxa"/>
              <w:left w:w="108" w:type="dxa"/>
              <w:bottom w:w="0" w:type="dxa"/>
              <w:right w:w="108" w:type="dxa"/>
            </w:tcMar>
          </w:tcPr>
          <w:p w14:paraId="6728C2AF"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Reduce GHG emissions by 17.5% by 2030 as compared to 2014 (strategic goal </w:t>
            </w:r>
            <w:proofErr w:type="gramStart"/>
            <w:r w:rsidRPr="007C4D65">
              <w:rPr>
                <w:rFonts w:asciiTheme="minorHAnsi" w:hAnsiTheme="minorHAnsi" w:cstheme="minorHAnsi"/>
                <w:sz w:val="18"/>
              </w:rPr>
              <w:t>from  BiH</w:t>
            </w:r>
            <w:proofErr w:type="gramEnd"/>
            <w:r w:rsidRPr="007C4D65">
              <w:rPr>
                <w:rFonts w:asciiTheme="minorHAnsi" w:hAnsiTheme="minorHAnsi" w:cstheme="minorHAnsi"/>
                <w:sz w:val="18"/>
              </w:rPr>
              <w:t xml:space="preserve"> NDC adopted in March 2021)</w:t>
            </w:r>
          </w:p>
        </w:tc>
      </w:tr>
      <w:tr w:rsidR="00B02183" w:rsidRPr="007C4D65" w14:paraId="6CD3FCB8" w14:textId="77777777" w:rsidTr="00B6017F">
        <w:trPr>
          <w:trHeight w:val="287"/>
        </w:trPr>
        <w:tc>
          <w:tcPr>
            <w:tcW w:w="811" w:type="pct"/>
            <w:vMerge/>
            <w:shd w:val="clear" w:color="auto" w:fill="D9D9D9"/>
            <w:vAlign w:val="center"/>
          </w:tcPr>
          <w:p w14:paraId="1E9F1BF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5901A20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2EB2070A"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The percentage of reduction of GHG emissions from the large plants</w:t>
            </w:r>
          </w:p>
        </w:tc>
        <w:tc>
          <w:tcPr>
            <w:tcW w:w="1159" w:type="pct"/>
            <w:tcMar>
              <w:top w:w="0" w:type="dxa"/>
              <w:left w:w="108" w:type="dxa"/>
              <w:bottom w:w="0" w:type="dxa"/>
              <w:right w:w="108" w:type="dxa"/>
            </w:tcMar>
          </w:tcPr>
          <w:p w14:paraId="7EC4E751"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Emissions from the large plants account for 40% of the total emissions</w:t>
            </w:r>
          </w:p>
        </w:tc>
        <w:tc>
          <w:tcPr>
            <w:tcW w:w="1159" w:type="pct"/>
            <w:tcMar>
              <w:top w:w="0" w:type="dxa"/>
              <w:left w:w="108" w:type="dxa"/>
              <w:bottom w:w="0" w:type="dxa"/>
              <w:right w:w="108" w:type="dxa"/>
            </w:tcMar>
          </w:tcPr>
          <w:p w14:paraId="62EB02B6"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Emissions from large facilities reduced (equivalent to EU ETS) by 28,7% by 2030 as compared to 2014</w:t>
            </w:r>
          </w:p>
        </w:tc>
      </w:tr>
      <w:tr w:rsidR="00B02183" w:rsidRPr="007C4D65" w14:paraId="654E2B5B" w14:textId="77777777" w:rsidTr="00B6017F">
        <w:trPr>
          <w:trHeight w:val="287"/>
        </w:trPr>
        <w:tc>
          <w:tcPr>
            <w:tcW w:w="811" w:type="pct"/>
            <w:vMerge/>
            <w:shd w:val="clear" w:color="auto" w:fill="D9D9D9"/>
            <w:vAlign w:val="center"/>
          </w:tcPr>
          <w:p w14:paraId="1B9321A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767F7CA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13DE0337"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Percentage of sinks increase</w:t>
            </w:r>
          </w:p>
        </w:tc>
        <w:tc>
          <w:tcPr>
            <w:tcW w:w="1159" w:type="pct"/>
            <w:tcMar>
              <w:top w:w="0" w:type="dxa"/>
              <w:left w:w="108" w:type="dxa"/>
              <w:bottom w:w="0" w:type="dxa"/>
              <w:right w:w="108" w:type="dxa"/>
            </w:tcMar>
          </w:tcPr>
          <w:p w14:paraId="472E01DD"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Sinks estimated at about 3,697 Gg in 2014</w:t>
            </w:r>
          </w:p>
        </w:tc>
        <w:tc>
          <w:tcPr>
            <w:tcW w:w="1159" w:type="pct"/>
            <w:tcMar>
              <w:top w:w="0" w:type="dxa"/>
              <w:left w:w="108" w:type="dxa"/>
              <w:bottom w:w="0" w:type="dxa"/>
              <w:right w:w="108" w:type="dxa"/>
            </w:tcMar>
          </w:tcPr>
          <w:p w14:paraId="4B0A4D8E"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Increasing GHG sinks by 10% by 2030 as compared to 2014</w:t>
            </w:r>
          </w:p>
        </w:tc>
      </w:tr>
      <w:tr w:rsidR="00B02183" w:rsidRPr="007C4D65" w14:paraId="034FCC3C" w14:textId="77777777" w:rsidTr="00B6017F">
        <w:trPr>
          <w:trHeight w:val="287"/>
        </w:trPr>
        <w:tc>
          <w:tcPr>
            <w:tcW w:w="811" w:type="pct"/>
            <w:vMerge/>
            <w:shd w:val="clear" w:color="auto" w:fill="D9D9D9"/>
            <w:vAlign w:val="center"/>
            <w:hideMark/>
          </w:tcPr>
          <w:p w14:paraId="02E23C0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3C2640B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228EB58F" w14:textId="7F75E362"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57D7F51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12E2011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65A0D4E2" w14:textId="77777777" w:rsidTr="00B6017F">
        <w:trPr>
          <w:trHeight w:val="287"/>
        </w:trPr>
        <w:tc>
          <w:tcPr>
            <w:tcW w:w="811" w:type="pct"/>
            <w:vMerge/>
            <w:shd w:val="clear" w:color="auto" w:fill="D9D9D9"/>
            <w:vAlign w:val="center"/>
          </w:tcPr>
          <w:p w14:paraId="275AD238"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623F7F9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90DCA9F"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0.887</w:t>
            </w:r>
          </w:p>
        </w:tc>
        <w:tc>
          <w:tcPr>
            <w:tcW w:w="1159" w:type="pct"/>
            <w:tcMar>
              <w:top w:w="0" w:type="dxa"/>
              <w:left w:w="108" w:type="dxa"/>
              <w:bottom w:w="0" w:type="dxa"/>
              <w:right w:w="108" w:type="dxa"/>
            </w:tcMar>
            <w:vAlign w:val="center"/>
          </w:tcPr>
          <w:p w14:paraId="612313A5"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7.9</w:t>
            </w:r>
          </w:p>
        </w:tc>
        <w:tc>
          <w:tcPr>
            <w:tcW w:w="1159" w:type="pct"/>
            <w:tcMar>
              <w:top w:w="0" w:type="dxa"/>
              <w:left w:w="108" w:type="dxa"/>
              <w:bottom w:w="0" w:type="dxa"/>
              <w:right w:w="108" w:type="dxa"/>
            </w:tcMar>
            <w:vAlign w:val="center"/>
          </w:tcPr>
          <w:p w14:paraId="19B591A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8.8</w:t>
            </w:r>
          </w:p>
        </w:tc>
      </w:tr>
    </w:tbl>
    <w:p w14:paraId="6613C48E"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302"/>
        <w:gridCol w:w="1947"/>
        <w:gridCol w:w="3233"/>
        <w:gridCol w:w="3233"/>
        <w:gridCol w:w="3233"/>
      </w:tblGrid>
      <w:tr w:rsidR="00B02183" w:rsidRPr="007C4D65" w14:paraId="2701445D" w14:textId="77777777" w:rsidTr="00B6017F">
        <w:trPr>
          <w:trHeight w:val="483"/>
        </w:trPr>
        <w:tc>
          <w:tcPr>
            <w:tcW w:w="825" w:type="pct"/>
            <w:vMerge w:val="restart"/>
            <w:shd w:val="clear" w:color="auto" w:fill="D9D9D9"/>
            <w:tcMar>
              <w:top w:w="0" w:type="dxa"/>
              <w:left w:w="108" w:type="dxa"/>
              <w:bottom w:w="0" w:type="dxa"/>
              <w:right w:w="108" w:type="dxa"/>
            </w:tcMar>
            <w:vAlign w:val="center"/>
            <w:hideMark/>
          </w:tcPr>
          <w:p w14:paraId="1F686F5A"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4.3.1. Measure</w:t>
            </w:r>
          </w:p>
        </w:tc>
        <w:tc>
          <w:tcPr>
            <w:tcW w:w="698" w:type="pct"/>
            <w:vMerge w:val="restart"/>
            <w:tcMar>
              <w:top w:w="0" w:type="dxa"/>
              <w:left w:w="108" w:type="dxa"/>
              <w:bottom w:w="0" w:type="dxa"/>
              <w:right w:w="108" w:type="dxa"/>
            </w:tcMar>
            <w:vAlign w:val="center"/>
          </w:tcPr>
          <w:p w14:paraId="04849B87"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Reducing the impact of the Federation of BiH to climate change</w:t>
            </w:r>
          </w:p>
        </w:tc>
        <w:tc>
          <w:tcPr>
            <w:tcW w:w="1159" w:type="pct"/>
            <w:shd w:val="clear" w:color="auto" w:fill="D9D9D9"/>
            <w:tcMar>
              <w:top w:w="0" w:type="dxa"/>
              <w:left w:w="108" w:type="dxa"/>
              <w:bottom w:w="0" w:type="dxa"/>
              <w:right w:w="108" w:type="dxa"/>
            </w:tcMar>
            <w:vAlign w:val="center"/>
            <w:hideMark/>
          </w:tcPr>
          <w:p w14:paraId="6E4F369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6FEF74E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5063FD8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2E504516" w14:textId="77777777" w:rsidTr="00B6017F">
        <w:trPr>
          <w:trHeight w:val="287"/>
        </w:trPr>
        <w:tc>
          <w:tcPr>
            <w:tcW w:w="825" w:type="pct"/>
            <w:vMerge/>
            <w:shd w:val="clear" w:color="auto" w:fill="D9D9D9"/>
            <w:vAlign w:val="center"/>
          </w:tcPr>
          <w:p w14:paraId="76A858F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336A940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1ABE0B0B" w14:textId="77777777" w:rsidR="00B02183" w:rsidRPr="007C4D65" w:rsidRDefault="00B02183" w:rsidP="00B02183">
            <w:pPr>
              <w:spacing w:line="276" w:lineRule="auto"/>
              <w:rPr>
                <w:rFonts w:asciiTheme="minorHAnsi" w:eastAsia="Calibri" w:hAnsiTheme="minorHAnsi" w:cstheme="minorHAnsi"/>
                <w:sz w:val="18"/>
                <w:szCs w:val="18"/>
              </w:rPr>
            </w:pPr>
            <w:r w:rsidRPr="007C4D65">
              <w:rPr>
                <w:rFonts w:asciiTheme="minorHAnsi" w:hAnsiTheme="minorHAnsi" w:cstheme="minorHAnsi"/>
                <w:sz w:val="18"/>
              </w:rPr>
              <w:t>Status of the creation of the Committee</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07BA5C72"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Federation of BiH has no intersectoral body for planning, implementation and follow-up activities in the carbonisation process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37944C7"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The Decarbonisation Committee formed, it comprises representatives of the business sector, government, unions, non-governmental organisations, etc.</w:t>
            </w:r>
          </w:p>
        </w:tc>
      </w:tr>
      <w:tr w:rsidR="00B02183" w:rsidRPr="007C4D65" w14:paraId="67757DB2" w14:textId="77777777" w:rsidTr="00B6017F">
        <w:trPr>
          <w:trHeight w:val="287"/>
        </w:trPr>
        <w:tc>
          <w:tcPr>
            <w:tcW w:w="825" w:type="pct"/>
            <w:vMerge/>
            <w:shd w:val="clear" w:color="auto" w:fill="D9D9D9"/>
            <w:vAlign w:val="center"/>
          </w:tcPr>
          <w:p w14:paraId="587718B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6BFBCF0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6429311"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development and adoption of the Strategy</w:t>
            </w:r>
          </w:p>
        </w:tc>
        <w:tc>
          <w:tcPr>
            <w:tcW w:w="1159" w:type="pct"/>
            <w:shd w:val="clear" w:color="auto" w:fill="FFFFFF"/>
            <w:tcMar>
              <w:top w:w="0" w:type="dxa"/>
              <w:left w:w="108" w:type="dxa"/>
              <w:bottom w:w="0" w:type="dxa"/>
              <w:right w:w="108" w:type="dxa"/>
            </w:tcMar>
            <w:vAlign w:val="center"/>
          </w:tcPr>
          <w:p w14:paraId="3310C453"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Lack of an integrated strategy on climate change</w:t>
            </w:r>
          </w:p>
        </w:tc>
        <w:tc>
          <w:tcPr>
            <w:tcW w:w="1159" w:type="pct"/>
            <w:shd w:val="clear" w:color="auto" w:fill="FFFFFF"/>
            <w:vAlign w:val="center"/>
          </w:tcPr>
          <w:p w14:paraId="25487321"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The Rulebook adopted</w:t>
            </w:r>
          </w:p>
        </w:tc>
      </w:tr>
      <w:tr w:rsidR="00B02183" w:rsidRPr="007C4D65" w14:paraId="70E2F364" w14:textId="77777777" w:rsidTr="00B6017F">
        <w:trPr>
          <w:trHeight w:val="287"/>
        </w:trPr>
        <w:tc>
          <w:tcPr>
            <w:tcW w:w="825" w:type="pct"/>
            <w:vMerge/>
            <w:shd w:val="clear" w:color="auto" w:fill="D9D9D9"/>
            <w:vAlign w:val="center"/>
          </w:tcPr>
          <w:p w14:paraId="2164052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1526B42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8DA6090"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Level of the implementation of the capacity building programme</w:t>
            </w:r>
          </w:p>
        </w:tc>
        <w:tc>
          <w:tcPr>
            <w:tcW w:w="1159" w:type="pct"/>
            <w:shd w:val="clear" w:color="auto" w:fill="FFFFFF"/>
            <w:tcMar>
              <w:top w:w="0" w:type="dxa"/>
              <w:left w:w="108" w:type="dxa"/>
              <w:bottom w:w="0" w:type="dxa"/>
              <w:right w:w="108" w:type="dxa"/>
            </w:tcMar>
            <w:vAlign w:val="center"/>
          </w:tcPr>
          <w:p w14:paraId="3CB73BB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 capacity of FHMI</w:t>
            </w:r>
          </w:p>
        </w:tc>
        <w:tc>
          <w:tcPr>
            <w:tcW w:w="1159" w:type="pct"/>
            <w:shd w:val="clear" w:color="auto" w:fill="FFFFFF"/>
            <w:vAlign w:val="center"/>
          </w:tcPr>
          <w:p w14:paraId="5C7ADFA7"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The capacity building programme implemented</w:t>
            </w:r>
          </w:p>
        </w:tc>
      </w:tr>
      <w:tr w:rsidR="00B02183" w:rsidRPr="007C4D65" w14:paraId="4FCFAF6C" w14:textId="77777777" w:rsidTr="00B6017F">
        <w:trPr>
          <w:trHeight w:val="287"/>
        </w:trPr>
        <w:tc>
          <w:tcPr>
            <w:tcW w:w="825" w:type="pct"/>
            <w:vMerge/>
            <w:shd w:val="clear" w:color="auto" w:fill="D9D9D9"/>
            <w:vAlign w:val="center"/>
          </w:tcPr>
          <w:p w14:paraId="4DA0287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143DD8E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3B767DE"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law adoption</w:t>
            </w:r>
          </w:p>
        </w:tc>
        <w:tc>
          <w:tcPr>
            <w:tcW w:w="1159" w:type="pct"/>
            <w:shd w:val="clear" w:color="auto" w:fill="FFFFFF"/>
            <w:tcMar>
              <w:top w:w="0" w:type="dxa"/>
              <w:left w:w="108" w:type="dxa"/>
              <w:bottom w:w="0" w:type="dxa"/>
              <w:right w:w="108" w:type="dxa"/>
            </w:tcMar>
            <w:vAlign w:val="center"/>
          </w:tcPr>
          <w:p w14:paraId="4E1887D7"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 climate law</w:t>
            </w:r>
          </w:p>
        </w:tc>
        <w:tc>
          <w:tcPr>
            <w:tcW w:w="1159" w:type="pct"/>
            <w:shd w:val="clear" w:color="auto" w:fill="FFFFFF"/>
            <w:vAlign w:val="center"/>
          </w:tcPr>
          <w:p w14:paraId="1E2014EE"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The Climate Law adopted</w:t>
            </w:r>
          </w:p>
        </w:tc>
      </w:tr>
      <w:tr w:rsidR="00B02183" w:rsidRPr="007C4D65" w14:paraId="1A4044B1" w14:textId="77777777" w:rsidTr="00B6017F">
        <w:trPr>
          <w:trHeight w:val="287"/>
        </w:trPr>
        <w:tc>
          <w:tcPr>
            <w:tcW w:w="825" w:type="pct"/>
            <w:vMerge/>
            <w:shd w:val="clear" w:color="auto" w:fill="D9D9D9"/>
            <w:vAlign w:val="center"/>
          </w:tcPr>
          <w:p w14:paraId="6D89AE9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55FB56A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63749DD"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adoption of the decree</w:t>
            </w:r>
          </w:p>
        </w:tc>
        <w:tc>
          <w:tcPr>
            <w:tcW w:w="1159" w:type="pct"/>
            <w:shd w:val="clear" w:color="auto" w:fill="FFFFFF"/>
            <w:tcMar>
              <w:top w:w="0" w:type="dxa"/>
              <w:left w:w="108" w:type="dxa"/>
              <w:bottom w:w="0" w:type="dxa"/>
              <w:right w:w="108" w:type="dxa"/>
            </w:tcMar>
            <w:vAlign w:val="center"/>
          </w:tcPr>
          <w:p w14:paraId="321961ED"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decree on the monitoring and reporting mechanism</w:t>
            </w:r>
          </w:p>
        </w:tc>
        <w:tc>
          <w:tcPr>
            <w:tcW w:w="1159" w:type="pct"/>
            <w:shd w:val="clear" w:color="auto" w:fill="FFFFFF"/>
            <w:vAlign w:val="center"/>
          </w:tcPr>
          <w:p w14:paraId="12CE953F"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The Decree on the monitoring and reporting mechanism adopted</w:t>
            </w:r>
          </w:p>
        </w:tc>
      </w:tr>
      <w:tr w:rsidR="00B02183" w:rsidRPr="007C4D65" w14:paraId="46115CAE" w14:textId="77777777" w:rsidTr="00B6017F">
        <w:trPr>
          <w:trHeight w:val="287"/>
        </w:trPr>
        <w:tc>
          <w:tcPr>
            <w:tcW w:w="825" w:type="pct"/>
            <w:vMerge/>
            <w:shd w:val="clear" w:color="auto" w:fill="D9D9D9"/>
            <w:vAlign w:val="center"/>
          </w:tcPr>
          <w:p w14:paraId="2E97F39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1669F2E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9976C97"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adoption of NECP</w:t>
            </w:r>
          </w:p>
        </w:tc>
        <w:tc>
          <w:tcPr>
            <w:tcW w:w="1159" w:type="pct"/>
            <w:shd w:val="clear" w:color="auto" w:fill="FFFFFF"/>
            <w:tcMar>
              <w:top w:w="0" w:type="dxa"/>
              <w:left w:w="108" w:type="dxa"/>
              <w:bottom w:w="0" w:type="dxa"/>
              <w:right w:w="108" w:type="dxa"/>
            </w:tcMar>
            <w:vAlign w:val="center"/>
          </w:tcPr>
          <w:p w14:paraId="412DC84E"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Working version completed, finalisation in progress</w:t>
            </w:r>
          </w:p>
        </w:tc>
        <w:tc>
          <w:tcPr>
            <w:tcW w:w="1159" w:type="pct"/>
            <w:shd w:val="clear" w:color="auto" w:fill="FFFFFF"/>
            <w:vAlign w:val="center"/>
          </w:tcPr>
          <w:p w14:paraId="146A1E19"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NECP adopted every five years</w:t>
            </w:r>
          </w:p>
        </w:tc>
      </w:tr>
      <w:tr w:rsidR="00B02183" w:rsidRPr="007C4D65" w14:paraId="033926C9" w14:textId="77777777" w:rsidTr="00B6017F">
        <w:trPr>
          <w:trHeight w:val="287"/>
        </w:trPr>
        <w:tc>
          <w:tcPr>
            <w:tcW w:w="825" w:type="pct"/>
            <w:vMerge/>
            <w:shd w:val="clear" w:color="auto" w:fill="D9D9D9"/>
            <w:vAlign w:val="center"/>
          </w:tcPr>
          <w:p w14:paraId="231D508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36A6682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8F5E98C"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Number of SECAPs prepared</w:t>
            </w:r>
          </w:p>
        </w:tc>
        <w:tc>
          <w:tcPr>
            <w:tcW w:w="1159" w:type="pct"/>
            <w:shd w:val="clear" w:color="auto" w:fill="FFFFFF"/>
            <w:tcMar>
              <w:top w:w="0" w:type="dxa"/>
              <w:left w:w="108" w:type="dxa"/>
              <w:bottom w:w="0" w:type="dxa"/>
              <w:right w:w="108" w:type="dxa"/>
            </w:tcMar>
            <w:vAlign w:val="center"/>
          </w:tcPr>
          <w:p w14:paraId="7D0D69BC"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 few municipalities and cities have SECAPs</w:t>
            </w:r>
          </w:p>
        </w:tc>
        <w:tc>
          <w:tcPr>
            <w:tcW w:w="1159" w:type="pct"/>
            <w:shd w:val="clear" w:color="auto" w:fill="FFFFFF"/>
            <w:vAlign w:val="center"/>
          </w:tcPr>
          <w:p w14:paraId="069E5540" w14:textId="77777777" w:rsidR="00B02183" w:rsidRPr="007C4D65" w:rsidRDefault="00B02183" w:rsidP="00B02183">
            <w:pPr>
              <w:spacing w:line="276" w:lineRule="auto"/>
              <w:ind w:firstLine="170"/>
              <w:rPr>
                <w:rFonts w:asciiTheme="minorHAnsi" w:hAnsiTheme="minorHAnsi" w:cstheme="minorHAnsi"/>
                <w:sz w:val="18"/>
                <w:szCs w:val="18"/>
              </w:rPr>
            </w:pPr>
            <w:r w:rsidRPr="007C4D65">
              <w:rPr>
                <w:rFonts w:asciiTheme="minorHAnsi" w:hAnsiTheme="minorHAnsi" w:cstheme="minorHAnsi"/>
                <w:sz w:val="18"/>
              </w:rPr>
              <w:t>SECAPs developed and adopted</w:t>
            </w:r>
          </w:p>
        </w:tc>
      </w:tr>
      <w:tr w:rsidR="00B02183" w:rsidRPr="007C4D65" w14:paraId="18BC1178" w14:textId="77777777" w:rsidTr="00B6017F">
        <w:trPr>
          <w:trHeight w:val="287"/>
        </w:trPr>
        <w:tc>
          <w:tcPr>
            <w:tcW w:w="825" w:type="pct"/>
            <w:vMerge/>
            <w:shd w:val="clear" w:color="auto" w:fill="D9D9D9"/>
            <w:vAlign w:val="center"/>
          </w:tcPr>
          <w:p w14:paraId="429198C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669EE72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7915CFDA" w14:textId="77777777" w:rsidR="00B02183" w:rsidRPr="007C4D65" w:rsidRDefault="00B02183" w:rsidP="00B02183">
            <w:pPr>
              <w:spacing w:line="276" w:lineRule="auto"/>
              <w:rPr>
                <w:rFonts w:asciiTheme="minorHAnsi" w:eastAsia="Calibri" w:hAnsiTheme="minorHAnsi" w:cstheme="minorHAnsi"/>
                <w:sz w:val="18"/>
                <w:szCs w:val="18"/>
              </w:rPr>
            </w:pPr>
            <w:r w:rsidRPr="007C4D65">
              <w:rPr>
                <w:rFonts w:asciiTheme="minorHAnsi" w:hAnsiTheme="minorHAnsi" w:cstheme="minorHAnsi"/>
                <w:sz w:val="18"/>
              </w:rPr>
              <w:t>Status of the adoption of the plan</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54D3C97E"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action plan on phasing out coal</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BE5C4CF" w14:textId="77777777" w:rsidR="00B02183" w:rsidRPr="007C4D65" w:rsidRDefault="00B02183" w:rsidP="00B02183">
            <w:pPr>
              <w:spacing w:line="276" w:lineRule="auto"/>
              <w:ind w:firstLine="170"/>
              <w:rPr>
                <w:rFonts w:asciiTheme="minorHAnsi" w:hAnsiTheme="minorHAnsi" w:cstheme="minorHAnsi"/>
                <w:sz w:val="18"/>
                <w:szCs w:val="18"/>
              </w:rPr>
            </w:pPr>
            <w:r w:rsidRPr="007C4D65">
              <w:rPr>
                <w:rFonts w:asciiTheme="minorHAnsi" w:hAnsiTheme="minorHAnsi" w:cstheme="minorHAnsi"/>
                <w:sz w:val="18"/>
              </w:rPr>
              <w:t>The Plan prepared and adopted</w:t>
            </w:r>
          </w:p>
        </w:tc>
      </w:tr>
      <w:tr w:rsidR="00B02183" w:rsidRPr="007C4D65" w14:paraId="67983D69" w14:textId="77777777" w:rsidTr="00B6017F">
        <w:trPr>
          <w:trHeight w:val="287"/>
        </w:trPr>
        <w:tc>
          <w:tcPr>
            <w:tcW w:w="825" w:type="pct"/>
            <w:vMerge/>
            <w:shd w:val="clear" w:color="auto" w:fill="D9D9D9"/>
            <w:vAlign w:val="center"/>
          </w:tcPr>
          <w:p w14:paraId="01F6DB06"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763D3205"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4B4D68B"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Number of the plans adopted</w:t>
            </w:r>
          </w:p>
        </w:tc>
        <w:tc>
          <w:tcPr>
            <w:tcW w:w="1159" w:type="pct"/>
            <w:shd w:val="clear" w:color="auto" w:fill="FFFFFF"/>
            <w:tcMar>
              <w:top w:w="0" w:type="dxa"/>
              <w:left w:w="108" w:type="dxa"/>
              <w:bottom w:w="0" w:type="dxa"/>
              <w:right w:w="108" w:type="dxa"/>
            </w:tcMar>
            <w:vAlign w:val="center"/>
          </w:tcPr>
          <w:p w14:paraId="48974C1E"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Not a single mining region has a plan for a just transition</w:t>
            </w:r>
          </w:p>
        </w:tc>
        <w:tc>
          <w:tcPr>
            <w:tcW w:w="1159" w:type="pct"/>
            <w:shd w:val="clear" w:color="auto" w:fill="FFFFFF"/>
            <w:vAlign w:val="center"/>
          </w:tcPr>
          <w:p w14:paraId="6F4FE886" w14:textId="77777777"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plans for a just transition of mining areas completed and adopted</w:t>
            </w:r>
          </w:p>
        </w:tc>
      </w:tr>
      <w:tr w:rsidR="00B02183" w:rsidRPr="007C4D65" w14:paraId="3737263E" w14:textId="77777777" w:rsidTr="00B6017F">
        <w:trPr>
          <w:trHeight w:val="287"/>
        </w:trPr>
        <w:tc>
          <w:tcPr>
            <w:tcW w:w="825" w:type="pct"/>
            <w:vMerge/>
            <w:shd w:val="clear" w:color="auto" w:fill="D9D9D9"/>
            <w:vAlign w:val="center"/>
          </w:tcPr>
          <w:p w14:paraId="5678D22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74237A1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01070BF"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color w:val="000000"/>
                <w:sz w:val="18"/>
              </w:rPr>
              <w:t xml:space="preserve">Status of the development of the proposal </w:t>
            </w:r>
          </w:p>
        </w:tc>
        <w:tc>
          <w:tcPr>
            <w:tcW w:w="1159" w:type="pct"/>
            <w:shd w:val="clear" w:color="auto" w:fill="FFFFFF"/>
            <w:tcMar>
              <w:top w:w="0" w:type="dxa"/>
              <w:left w:w="108" w:type="dxa"/>
              <w:bottom w:w="0" w:type="dxa"/>
              <w:right w:w="108" w:type="dxa"/>
            </w:tcMar>
            <w:vAlign w:val="center"/>
          </w:tcPr>
          <w:p w14:paraId="61C20A81"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ETS Directive not transposed</w:t>
            </w:r>
          </w:p>
        </w:tc>
        <w:tc>
          <w:tcPr>
            <w:tcW w:w="1159" w:type="pct"/>
            <w:shd w:val="clear" w:color="auto" w:fill="FFFFFF"/>
            <w:vAlign w:val="center"/>
          </w:tcPr>
          <w:p w14:paraId="6C19DCC3" w14:textId="77777777" w:rsidR="00B02183" w:rsidRPr="007C4D65" w:rsidRDefault="00B02183" w:rsidP="00B02183">
            <w:pPr>
              <w:spacing w:line="276" w:lineRule="auto"/>
              <w:ind w:firstLine="170"/>
              <w:rPr>
                <w:rFonts w:asciiTheme="minorHAnsi" w:hAnsiTheme="minorHAnsi" w:cstheme="minorHAnsi"/>
                <w:sz w:val="18"/>
                <w:szCs w:val="18"/>
              </w:rPr>
            </w:pPr>
            <w:r w:rsidRPr="007C4D65">
              <w:rPr>
                <w:rFonts w:asciiTheme="minorHAnsi" w:hAnsiTheme="minorHAnsi" w:cstheme="minorHAnsi"/>
                <w:sz w:val="18"/>
              </w:rPr>
              <w:t>The Proposal developed in cooperation with MOFTER</w:t>
            </w:r>
          </w:p>
        </w:tc>
      </w:tr>
      <w:tr w:rsidR="00B02183" w:rsidRPr="007C4D65" w14:paraId="5AB7DBB3" w14:textId="77777777" w:rsidTr="00B6017F">
        <w:trPr>
          <w:trHeight w:val="287"/>
        </w:trPr>
        <w:tc>
          <w:tcPr>
            <w:tcW w:w="825" w:type="pct"/>
            <w:vMerge/>
            <w:shd w:val="clear" w:color="auto" w:fill="D9D9D9"/>
            <w:vAlign w:val="center"/>
          </w:tcPr>
          <w:p w14:paraId="59C2E6A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25183FA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E4DF9F4"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color w:val="000000"/>
                <w:sz w:val="18"/>
              </w:rPr>
              <w:t>Status of the designation of the institution</w:t>
            </w:r>
          </w:p>
        </w:tc>
        <w:tc>
          <w:tcPr>
            <w:tcW w:w="1159" w:type="pct"/>
            <w:shd w:val="clear" w:color="auto" w:fill="FFFFFF"/>
            <w:tcMar>
              <w:top w:w="0" w:type="dxa"/>
              <w:left w:w="108" w:type="dxa"/>
              <w:bottom w:w="0" w:type="dxa"/>
              <w:right w:w="108" w:type="dxa"/>
            </w:tcMar>
            <w:vAlign w:val="center"/>
          </w:tcPr>
          <w:p w14:paraId="007ABFCA"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 institution has been designated for the establishment and operation of ETS</w:t>
            </w:r>
          </w:p>
        </w:tc>
        <w:tc>
          <w:tcPr>
            <w:tcW w:w="1159" w:type="pct"/>
            <w:shd w:val="clear" w:color="auto" w:fill="FFFFFF"/>
            <w:vAlign w:val="center"/>
          </w:tcPr>
          <w:p w14:paraId="001C5A11" w14:textId="77777777"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Institution of the Federation of BiH appointed</w:t>
            </w:r>
          </w:p>
        </w:tc>
      </w:tr>
      <w:tr w:rsidR="00B02183" w:rsidRPr="007C4D65" w14:paraId="32C39FDD" w14:textId="77777777" w:rsidTr="00B6017F">
        <w:trPr>
          <w:trHeight w:val="287"/>
        </w:trPr>
        <w:tc>
          <w:tcPr>
            <w:tcW w:w="825" w:type="pct"/>
            <w:vMerge/>
            <w:shd w:val="clear" w:color="auto" w:fill="D9D9D9"/>
            <w:vAlign w:val="center"/>
          </w:tcPr>
          <w:p w14:paraId="5A7436B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37648A1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7115165"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Level of the implementation of the capacity building programme</w:t>
            </w:r>
          </w:p>
        </w:tc>
        <w:tc>
          <w:tcPr>
            <w:tcW w:w="1159" w:type="pct"/>
            <w:shd w:val="clear" w:color="auto" w:fill="FFFFFF"/>
            <w:tcMar>
              <w:top w:w="0" w:type="dxa"/>
              <w:left w:w="108" w:type="dxa"/>
              <w:bottom w:w="0" w:type="dxa"/>
              <w:right w:w="108" w:type="dxa"/>
            </w:tcMar>
            <w:vAlign w:val="center"/>
          </w:tcPr>
          <w:p w14:paraId="5E6C5167"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Lack of capacities </w:t>
            </w:r>
          </w:p>
        </w:tc>
        <w:tc>
          <w:tcPr>
            <w:tcW w:w="1159" w:type="pct"/>
            <w:shd w:val="clear" w:color="auto" w:fill="FFFFFF"/>
            <w:vAlign w:val="center"/>
          </w:tcPr>
          <w:p w14:paraId="7C7BC1B8"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The capacity building programme implemented</w:t>
            </w:r>
          </w:p>
        </w:tc>
      </w:tr>
      <w:tr w:rsidR="00B02183" w:rsidRPr="007C4D65" w14:paraId="15191AF7" w14:textId="77777777" w:rsidTr="00B6017F">
        <w:trPr>
          <w:trHeight w:val="287"/>
        </w:trPr>
        <w:tc>
          <w:tcPr>
            <w:tcW w:w="825" w:type="pct"/>
            <w:vMerge/>
            <w:shd w:val="clear" w:color="auto" w:fill="D9D9D9"/>
            <w:vAlign w:val="center"/>
          </w:tcPr>
          <w:p w14:paraId="15D8AA0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340029C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54FC9EE"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color w:val="000000"/>
                <w:sz w:val="18"/>
              </w:rPr>
              <w:t>Status of the strategy development and adoption</w:t>
            </w:r>
          </w:p>
        </w:tc>
        <w:tc>
          <w:tcPr>
            <w:tcW w:w="1159" w:type="pct"/>
            <w:shd w:val="clear" w:color="auto" w:fill="FFFFFF"/>
            <w:tcMar>
              <w:top w:w="0" w:type="dxa"/>
              <w:left w:w="108" w:type="dxa"/>
              <w:bottom w:w="0" w:type="dxa"/>
              <w:right w:w="108" w:type="dxa"/>
            </w:tcMar>
            <w:vAlign w:val="center"/>
          </w:tcPr>
          <w:p w14:paraId="610274FE"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Lack a strategy for enhancement of coal sinks</w:t>
            </w:r>
          </w:p>
        </w:tc>
        <w:tc>
          <w:tcPr>
            <w:tcW w:w="1159" w:type="pct"/>
            <w:shd w:val="clear" w:color="auto" w:fill="FFFFFF"/>
            <w:vAlign w:val="center"/>
          </w:tcPr>
          <w:p w14:paraId="364F23B1" w14:textId="77777777" w:rsidR="00B02183" w:rsidRPr="007C4D65" w:rsidRDefault="00B02183" w:rsidP="00B02183">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The Strategy on enhancement of carbon sinks</w:t>
            </w:r>
          </w:p>
        </w:tc>
      </w:tr>
      <w:tr w:rsidR="00B02183" w:rsidRPr="007C4D65" w14:paraId="58E9D2A3" w14:textId="77777777" w:rsidTr="00B6017F">
        <w:trPr>
          <w:trHeight w:val="287"/>
        </w:trPr>
        <w:tc>
          <w:tcPr>
            <w:tcW w:w="825" w:type="pct"/>
            <w:vMerge/>
            <w:shd w:val="clear" w:color="auto" w:fill="D9D9D9"/>
            <w:vAlign w:val="center"/>
          </w:tcPr>
          <w:p w14:paraId="7F2C2B2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5C80649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49EC9A5" w14:textId="77777777" w:rsidR="00B02183" w:rsidRPr="007C4D65" w:rsidRDefault="00B02183" w:rsidP="00B02183">
            <w:pPr>
              <w:spacing w:after="120" w:line="276" w:lineRule="auto"/>
              <w:ind w:hanging="2"/>
              <w:contextualSpacing/>
              <w:rPr>
                <w:rFonts w:asciiTheme="minorHAnsi" w:hAnsiTheme="minorHAnsi" w:cstheme="minorHAnsi"/>
                <w:color w:val="000000"/>
                <w:sz w:val="18"/>
                <w:szCs w:val="18"/>
              </w:rPr>
            </w:pPr>
            <w:r w:rsidRPr="007C4D65">
              <w:rPr>
                <w:rFonts w:asciiTheme="minorHAnsi" w:hAnsiTheme="minorHAnsi" w:cstheme="minorHAnsi"/>
                <w:color w:val="000000"/>
                <w:sz w:val="18"/>
              </w:rPr>
              <w:t>Status of the adoption of the model</w:t>
            </w:r>
          </w:p>
        </w:tc>
        <w:tc>
          <w:tcPr>
            <w:tcW w:w="1159" w:type="pct"/>
            <w:shd w:val="clear" w:color="auto" w:fill="FFFFFF"/>
            <w:tcMar>
              <w:top w:w="0" w:type="dxa"/>
              <w:left w:w="108" w:type="dxa"/>
              <w:bottom w:w="0" w:type="dxa"/>
              <w:right w:w="108" w:type="dxa"/>
            </w:tcMar>
            <w:vAlign w:val="center"/>
          </w:tcPr>
          <w:p w14:paraId="1AAA96E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Lack of a model for promotion of growing fast growing energy crops</w:t>
            </w:r>
          </w:p>
        </w:tc>
        <w:tc>
          <w:tcPr>
            <w:tcW w:w="1159" w:type="pct"/>
            <w:shd w:val="clear" w:color="auto" w:fill="FFFFFF"/>
            <w:vAlign w:val="center"/>
          </w:tcPr>
          <w:p w14:paraId="1D6C2590" w14:textId="77777777" w:rsidR="00B02183" w:rsidRPr="007C4D65" w:rsidRDefault="00B02183" w:rsidP="00B02183">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 xml:space="preserve">The model for boosting of breeding of </w:t>
            </w:r>
            <w:proofErr w:type="gramStart"/>
            <w:r w:rsidRPr="007C4D65">
              <w:rPr>
                <w:rFonts w:asciiTheme="minorHAnsi" w:hAnsiTheme="minorHAnsi" w:cstheme="minorHAnsi"/>
                <w:sz w:val="18"/>
              </w:rPr>
              <w:t>fast growing</w:t>
            </w:r>
            <w:proofErr w:type="gramEnd"/>
            <w:r w:rsidRPr="007C4D65">
              <w:rPr>
                <w:rFonts w:asciiTheme="minorHAnsi" w:hAnsiTheme="minorHAnsi" w:cstheme="minorHAnsi"/>
                <w:sz w:val="18"/>
              </w:rPr>
              <w:t xml:space="preserve"> energy crops on degraded sites adopted</w:t>
            </w:r>
          </w:p>
        </w:tc>
      </w:tr>
      <w:tr w:rsidR="00B02183" w:rsidRPr="007C4D65" w14:paraId="18B32943" w14:textId="77777777" w:rsidTr="00B6017F">
        <w:trPr>
          <w:trHeight w:val="483"/>
        </w:trPr>
        <w:tc>
          <w:tcPr>
            <w:tcW w:w="825" w:type="pct"/>
            <w:vMerge/>
            <w:shd w:val="clear" w:color="auto" w:fill="D9D9D9"/>
            <w:vAlign w:val="center"/>
            <w:hideMark/>
          </w:tcPr>
          <w:p w14:paraId="1D42A27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hideMark/>
          </w:tcPr>
          <w:p w14:paraId="205E79C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6371BD7F" w14:textId="09380023"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1D7FAFE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468C8AB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1A54A5FC" w14:textId="77777777" w:rsidTr="00B6017F">
        <w:trPr>
          <w:trHeight w:val="287"/>
        </w:trPr>
        <w:tc>
          <w:tcPr>
            <w:tcW w:w="825" w:type="pct"/>
            <w:vMerge/>
            <w:shd w:val="clear" w:color="auto" w:fill="D9D9D9"/>
            <w:vAlign w:val="center"/>
            <w:hideMark/>
          </w:tcPr>
          <w:p w14:paraId="2C42B67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hideMark/>
          </w:tcPr>
          <w:p w14:paraId="165E1BB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35A0F54"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0.887</w:t>
            </w:r>
          </w:p>
        </w:tc>
        <w:tc>
          <w:tcPr>
            <w:tcW w:w="1159" w:type="pct"/>
            <w:tcMar>
              <w:top w:w="0" w:type="dxa"/>
              <w:left w:w="108" w:type="dxa"/>
              <w:bottom w:w="0" w:type="dxa"/>
              <w:right w:w="108" w:type="dxa"/>
            </w:tcMar>
            <w:vAlign w:val="center"/>
          </w:tcPr>
          <w:p w14:paraId="210AC6CF"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7.9</w:t>
            </w:r>
          </w:p>
        </w:tc>
        <w:tc>
          <w:tcPr>
            <w:tcW w:w="1159" w:type="pct"/>
            <w:tcMar>
              <w:top w:w="0" w:type="dxa"/>
              <w:left w:w="108" w:type="dxa"/>
              <w:bottom w:w="0" w:type="dxa"/>
              <w:right w:w="108" w:type="dxa"/>
            </w:tcMar>
            <w:vAlign w:val="center"/>
          </w:tcPr>
          <w:p w14:paraId="3579BD01"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8.8</w:t>
            </w:r>
          </w:p>
        </w:tc>
      </w:tr>
    </w:tbl>
    <w:p w14:paraId="3C706720" w14:textId="77777777" w:rsidR="00B02183" w:rsidRPr="007C4D65" w:rsidRDefault="00B02183" w:rsidP="00B02183">
      <w:pPr>
        <w:spacing w:line="276" w:lineRule="auto"/>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268"/>
        <w:gridCol w:w="1981"/>
        <w:gridCol w:w="3233"/>
        <w:gridCol w:w="3233"/>
        <w:gridCol w:w="3233"/>
      </w:tblGrid>
      <w:tr w:rsidR="00B02183" w:rsidRPr="007C4D65" w14:paraId="75770F20" w14:textId="77777777" w:rsidTr="00B6017F">
        <w:trPr>
          <w:trHeight w:val="384"/>
        </w:trPr>
        <w:tc>
          <w:tcPr>
            <w:tcW w:w="813" w:type="pct"/>
            <w:vMerge w:val="restart"/>
            <w:shd w:val="clear" w:color="auto" w:fill="D9D9D9"/>
            <w:tcMar>
              <w:top w:w="0" w:type="dxa"/>
              <w:left w:w="108" w:type="dxa"/>
              <w:bottom w:w="0" w:type="dxa"/>
              <w:right w:w="108" w:type="dxa"/>
            </w:tcMar>
            <w:vAlign w:val="center"/>
          </w:tcPr>
          <w:p w14:paraId="3F310167"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4.4 Priority</w:t>
            </w:r>
          </w:p>
        </w:tc>
        <w:tc>
          <w:tcPr>
            <w:tcW w:w="710" w:type="pct"/>
            <w:vMerge w:val="restart"/>
            <w:tcMar>
              <w:top w:w="0" w:type="dxa"/>
              <w:left w:w="108" w:type="dxa"/>
              <w:bottom w:w="0" w:type="dxa"/>
              <w:right w:w="108" w:type="dxa"/>
            </w:tcMar>
            <w:vAlign w:val="center"/>
          </w:tcPr>
          <w:p w14:paraId="560FB0E5" w14:textId="77777777" w:rsidR="00B02183" w:rsidRPr="007C4D65" w:rsidRDefault="00B02183"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Enhancing resilience to climate change</w:t>
            </w:r>
          </w:p>
        </w:tc>
        <w:tc>
          <w:tcPr>
            <w:tcW w:w="1159" w:type="pct"/>
            <w:shd w:val="clear" w:color="auto" w:fill="D9D9D9"/>
            <w:tcMar>
              <w:top w:w="0" w:type="dxa"/>
              <w:left w:w="108" w:type="dxa"/>
              <w:bottom w:w="0" w:type="dxa"/>
              <w:right w:w="108" w:type="dxa"/>
            </w:tcMar>
            <w:vAlign w:val="center"/>
          </w:tcPr>
          <w:p w14:paraId="33023149"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76298D2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331987A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2E42001B" w14:textId="77777777" w:rsidTr="00B6017F">
        <w:trPr>
          <w:trHeight w:val="287"/>
        </w:trPr>
        <w:tc>
          <w:tcPr>
            <w:tcW w:w="813" w:type="pct"/>
            <w:vMerge/>
            <w:shd w:val="clear" w:color="auto" w:fill="D9D9D9"/>
            <w:vAlign w:val="center"/>
            <w:hideMark/>
          </w:tcPr>
          <w:p w14:paraId="738C348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hideMark/>
          </w:tcPr>
          <w:p w14:paraId="64C94E8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19D77A20"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Establishment of a functional and integrated damage record system </w:t>
            </w:r>
          </w:p>
        </w:tc>
        <w:tc>
          <w:tcPr>
            <w:tcW w:w="1159" w:type="pct"/>
            <w:tcMar>
              <w:top w:w="0" w:type="dxa"/>
              <w:left w:w="108" w:type="dxa"/>
              <w:bottom w:w="0" w:type="dxa"/>
              <w:right w:w="108" w:type="dxa"/>
            </w:tcMar>
          </w:tcPr>
          <w:p w14:paraId="7A74DD9C"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damage record system in place</w:t>
            </w:r>
          </w:p>
        </w:tc>
        <w:tc>
          <w:tcPr>
            <w:tcW w:w="1159" w:type="pct"/>
            <w:tcMar>
              <w:top w:w="0" w:type="dxa"/>
              <w:left w:w="108" w:type="dxa"/>
              <w:bottom w:w="0" w:type="dxa"/>
              <w:right w:w="108" w:type="dxa"/>
            </w:tcMar>
          </w:tcPr>
          <w:p w14:paraId="7066AE84"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A damage record system in place by 2025</w:t>
            </w:r>
          </w:p>
        </w:tc>
      </w:tr>
      <w:tr w:rsidR="00B02183" w:rsidRPr="007C4D65" w14:paraId="70586AD5" w14:textId="77777777" w:rsidTr="00B6017F">
        <w:trPr>
          <w:trHeight w:val="287"/>
        </w:trPr>
        <w:tc>
          <w:tcPr>
            <w:tcW w:w="813" w:type="pct"/>
            <w:vMerge/>
            <w:shd w:val="clear" w:color="auto" w:fill="D9D9D9"/>
            <w:vAlign w:val="center"/>
          </w:tcPr>
          <w:p w14:paraId="350AD2E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tcPr>
          <w:p w14:paraId="7B4A434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6B05018B"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Level of the application of the principle of sustainable use of water in irrigation of agricultural land</w:t>
            </w:r>
          </w:p>
        </w:tc>
        <w:tc>
          <w:tcPr>
            <w:tcW w:w="1159" w:type="pct"/>
            <w:tcMar>
              <w:top w:w="0" w:type="dxa"/>
              <w:left w:w="108" w:type="dxa"/>
              <w:bottom w:w="0" w:type="dxa"/>
              <w:right w:w="108" w:type="dxa"/>
            </w:tcMar>
          </w:tcPr>
          <w:p w14:paraId="3A19153A" w14:textId="620595B4"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6,862 ha of land </w:t>
            </w:r>
            <w:proofErr w:type="gramStart"/>
            <w:r w:rsidRPr="007C4D65">
              <w:rPr>
                <w:rFonts w:asciiTheme="minorHAnsi" w:hAnsiTheme="minorHAnsi" w:cstheme="minorHAnsi"/>
                <w:sz w:val="18"/>
              </w:rPr>
              <w:t>irrigated,</w:t>
            </w:r>
            <w:proofErr w:type="gramEnd"/>
            <w:r w:rsidRPr="007C4D65">
              <w:rPr>
                <w:rFonts w:asciiTheme="minorHAnsi" w:hAnsiTheme="minorHAnsi" w:cstheme="minorHAnsi"/>
                <w:sz w:val="18"/>
              </w:rPr>
              <w:t xml:space="preserve"> a </w:t>
            </w:r>
            <w:r w:rsidR="00830279" w:rsidRPr="007C4D65">
              <w:rPr>
                <w:rFonts w:asciiTheme="minorHAnsi" w:hAnsiTheme="minorHAnsi" w:cstheme="minorHAnsi"/>
                <w:sz w:val="18"/>
              </w:rPr>
              <w:t>significant</w:t>
            </w:r>
            <w:r w:rsidRPr="007C4D65">
              <w:rPr>
                <w:rFonts w:asciiTheme="minorHAnsi" w:hAnsiTheme="minorHAnsi" w:cstheme="minorHAnsi"/>
                <w:sz w:val="18"/>
              </w:rPr>
              <w:t xml:space="preserve"> increase of irrigated area </w:t>
            </w:r>
          </w:p>
        </w:tc>
        <w:tc>
          <w:tcPr>
            <w:tcW w:w="1159" w:type="pct"/>
            <w:tcMar>
              <w:top w:w="0" w:type="dxa"/>
              <w:left w:w="108" w:type="dxa"/>
              <w:bottom w:w="0" w:type="dxa"/>
              <w:right w:w="108" w:type="dxa"/>
            </w:tcMar>
          </w:tcPr>
          <w:p w14:paraId="6F5022EA"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Application of the principle of sustainable use of water in irrigation of agricultural land </w:t>
            </w:r>
          </w:p>
        </w:tc>
      </w:tr>
      <w:tr w:rsidR="00B02183" w:rsidRPr="007C4D65" w14:paraId="66A4FCED" w14:textId="77777777" w:rsidTr="00B6017F">
        <w:trPr>
          <w:trHeight w:val="287"/>
        </w:trPr>
        <w:tc>
          <w:tcPr>
            <w:tcW w:w="813" w:type="pct"/>
            <w:vMerge/>
            <w:shd w:val="clear" w:color="auto" w:fill="D9D9D9"/>
            <w:vAlign w:val="center"/>
          </w:tcPr>
          <w:p w14:paraId="0B07691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tcPr>
          <w:p w14:paraId="365746A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4D3DA64B"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Level of capacity development </w:t>
            </w:r>
          </w:p>
        </w:tc>
        <w:tc>
          <w:tcPr>
            <w:tcW w:w="1159" w:type="pct"/>
            <w:tcMar>
              <w:top w:w="0" w:type="dxa"/>
              <w:left w:w="108" w:type="dxa"/>
              <w:bottom w:w="0" w:type="dxa"/>
              <w:right w:w="108" w:type="dxa"/>
            </w:tcMar>
          </w:tcPr>
          <w:p w14:paraId="5121653C"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Poor capacities for early detection of fire and firefighting</w:t>
            </w:r>
          </w:p>
        </w:tc>
        <w:tc>
          <w:tcPr>
            <w:tcW w:w="1159" w:type="pct"/>
            <w:tcMar>
              <w:top w:w="0" w:type="dxa"/>
              <w:left w:w="108" w:type="dxa"/>
              <w:bottom w:w="0" w:type="dxa"/>
              <w:right w:w="108" w:type="dxa"/>
            </w:tcMar>
          </w:tcPr>
          <w:p w14:paraId="09358E69"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Highly developed early detection and firefighting capacities</w:t>
            </w:r>
          </w:p>
        </w:tc>
      </w:tr>
      <w:tr w:rsidR="00B02183" w:rsidRPr="007C4D65" w14:paraId="20B5B2DC" w14:textId="77777777" w:rsidTr="00B6017F">
        <w:trPr>
          <w:trHeight w:val="287"/>
        </w:trPr>
        <w:tc>
          <w:tcPr>
            <w:tcW w:w="813" w:type="pct"/>
            <w:vMerge/>
            <w:shd w:val="clear" w:color="auto" w:fill="D9D9D9"/>
            <w:vAlign w:val="center"/>
          </w:tcPr>
          <w:p w14:paraId="6288056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tcPr>
          <w:p w14:paraId="17455E6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5B43382F"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Level of capacity development</w:t>
            </w:r>
          </w:p>
        </w:tc>
        <w:tc>
          <w:tcPr>
            <w:tcW w:w="1159" w:type="pct"/>
            <w:tcMar>
              <w:top w:w="0" w:type="dxa"/>
              <w:left w:w="108" w:type="dxa"/>
              <w:bottom w:w="0" w:type="dxa"/>
              <w:right w:w="108" w:type="dxa"/>
            </w:tcMar>
          </w:tcPr>
          <w:p w14:paraId="3CCF47B4"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Poorly developed fire protection capacities</w:t>
            </w:r>
          </w:p>
        </w:tc>
        <w:tc>
          <w:tcPr>
            <w:tcW w:w="1159" w:type="pct"/>
            <w:tcMar>
              <w:top w:w="0" w:type="dxa"/>
              <w:left w:w="108" w:type="dxa"/>
              <w:bottom w:w="0" w:type="dxa"/>
              <w:right w:w="108" w:type="dxa"/>
            </w:tcMar>
          </w:tcPr>
          <w:p w14:paraId="76FE9C0E"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Highly developed fire protection capacities</w:t>
            </w:r>
          </w:p>
        </w:tc>
      </w:tr>
      <w:tr w:rsidR="00B02183" w:rsidRPr="007C4D65" w14:paraId="07C70963" w14:textId="77777777" w:rsidTr="00B6017F">
        <w:trPr>
          <w:trHeight w:val="287"/>
        </w:trPr>
        <w:tc>
          <w:tcPr>
            <w:tcW w:w="813" w:type="pct"/>
            <w:vMerge/>
            <w:shd w:val="clear" w:color="auto" w:fill="D9D9D9"/>
            <w:vAlign w:val="center"/>
          </w:tcPr>
          <w:p w14:paraId="759B597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tcPr>
          <w:p w14:paraId="63C334B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52CB3E0E"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Establishment of a functional coordination of the early warning system</w:t>
            </w:r>
          </w:p>
        </w:tc>
        <w:tc>
          <w:tcPr>
            <w:tcW w:w="1159" w:type="pct"/>
            <w:tcMar>
              <w:top w:w="0" w:type="dxa"/>
              <w:left w:w="108" w:type="dxa"/>
              <w:bottom w:w="0" w:type="dxa"/>
              <w:right w:w="108" w:type="dxa"/>
            </w:tcMar>
          </w:tcPr>
          <w:p w14:paraId="5A18818A"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coordination system</w:t>
            </w:r>
          </w:p>
        </w:tc>
        <w:tc>
          <w:tcPr>
            <w:tcW w:w="1159" w:type="pct"/>
            <w:tcMar>
              <w:top w:w="0" w:type="dxa"/>
              <w:left w:w="108" w:type="dxa"/>
              <w:bottom w:w="0" w:type="dxa"/>
              <w:right w:w="108" w:type="dxa"/>
            </w:tcMar>
          </w:tcPr>
          <w:p w14:paraId="792E7EE5"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The early warning coordination system in place by 2025</w:t>
            </w:r>
          </w:p>
        </w:tc>
      </w:tr>
      <w:tr w:rsidR="00B02183" w:rsidRPr="007C4D65" w14:paraId="732FA4A1" w14:textId="77777777" w:rsidTr="00B6017F">
        <w:trPr>
          <w:trHeight w:val="287"/>
        </w:trPr>
        <w:tc>
          <w:tcPr>
            <w:tcW w:w="813" w:type="pct"/>
            <w:vMerge/>
            <w:shd w:val="clear" w:color="auto" w:fill="D9D9D9"/>
            <w:vAlign w:val="center"/>
          </w:tcPr>
          <w:p w14:paraId="79BFC78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tcPr>
          <w:p w14:paraId="4D57229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22D802CF"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Level of the establishment of an effective coordination and monitoring system for the implementation of climate change adaptation measures</w:t>
            </w:r>
          </w:p>
        </w:tc>
        <w:tc>
          <w:tcPr>
            <w:tcW w:w="1159" w:type="pct"/>
            <w:tcMar>
              <w:top w:w="0" w:type="dxa"/>
              <w:left w:w="108" w:type="dxa"/>
              <w:bottom w:w="0" w:type="dxa"/>
              <w:right w:w="108" w:type="dxa"/>
            </w:tcMar>
          </w:tcPr>
          <w:p w14:paraId="53F078E5"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system for coordination and monitoring of the implementation of measures</w:t>
            </w:r>
          </w:p>
        </w:tc>
        <w:tc>
          <w:tcPr>
            <w:tcW w:w="1159" w:type="pct"/>
            <w:tcMar>
              <w:top w:w="0" w:type="dxa"/>
              <w:left w:w="108" w:type="dxa"/>
              <w:bottom w:w="0" w:type="dxa"/>
              <w:right w:w="108" w:type="dxa"/>
            </w:tcMar>
          </w:tcPr>
          <w:p w14:paraId="4B5ABDC9"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A coordination and monitoring system for the implementation of measures in place by 2025</w:t>
            </w:r>
          </w:p>
        </w:tc>
      </w:tr>
      <w:tr w:rsidR="00B02183" w:rsidRPr="007C4D65" w14:paraId="3378E778" w14:textId="77777777" w:rsidTr="00B6017F">
        <w:trPr>
          <w:trHeight w:val="287"/>
        </w:trPr>
        <w:tc>
          <w:tcPr>
            <w:tcW w:w="813" w:type="pct"/>
            <w:vMerge/>
            <w:shd w:val="clear" w:color="auto" w:fill="D9D9D9"/>
            <w:vAlign w:val="center"/>
            <w:hideMark/>
          </w:tcPr>
          <w:p w14:paraId="05CBA1D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hideMark/>
          </w:tcPr>
          <w:p w14:paraId="700B5CA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7EEDBC44" w14:textId="32209515"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015C8201"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54F4193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601BDD31" w14:textId="77777777" w:rsidTr="00B6017F">
        <w:trPr>
          <w:trHeight w:val="287"/>
        </w:trPr>
        <w:tc>
          <w:tcPr>
            <w:tcW w:w="813" w:type="pct"/>
            <w:vMerge/>
            <w:shd w:val="clear" w:color="auto" w:fill="D9D9D9"/>
            <w:vAlign w:val="center"/>
          </w:tcPr>
          <w:p w14:paraId="4054AF46"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tcPr>
          <w:p w14:paraId="0BD4F19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345DE11"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59.8</w:t>
            </w:r>
          </w:p>
        </w:tc>
        <w:tc>
          <w:tcPr>
            <w:tcW w:w="1159" w:type="pct"/>
            <w:tcMar>
              <w:top w:w="0" w:type="dxa"/>
              <w:left w:w="108" w:type="dxa"/>
              <w:bottom w:w="0" w:type="dxa"/>
              <w:right w:w="108" w:type="dxa"/>
            </w:tcMar>
            <w:vAlign w:val="center"/>
          </w:tcPr>
          <w:p w14:paraId="2A64F756"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537.8</w:t>
            </w:r>
          </w:p>
        </w:tc>
        <w:tc>
          <w:tcPr>
            <w:tcW w:w="1159" w:type="pct"/>
            <w:tcMar>
              <w:top w:w="0" w:type="dxa"/>
              <w:left w:w="108" w:type="dxa"/>
              <w:bottom w:w="0" w:type="dxa"/>
              <w:right w:w="108" w:type="dxa"/>
            </w:tcMar>
            <w:vAlign w:val="center"/>
          </w:tcPr>
          <w:p w14:paraId="7E716AD1"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597.6</w:t>
            </w:r>
          </w:p>
        </w:tc>
      </w:tr>
    </w:tbl>
    <w:p w14:paraId="28019803"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302"/>
        <w:gridCol w:w="1947"/>
        <w:gridCol w:w="3233"/>
        <w:gridCol w:w="3233"/>
        <w:gridCol w:w="3233"/>
      </w:tblGrid>
      <w:tr w:rsidR="00B02183" w:rsidRPr="007C4D65" w14:paraId="26977ECF" w14:textId="77777777" w:rsidTr="00B6017F">
        <w:trPr>
          <w:trHeight w:val="483"/>
        </w:trPr>
        <w:tc>
          <w:tcPr>
            <w:tcW w:w="825" w:type="pct"/>
            <w:vMerge w:val="restart"/>
            <w:shd w:val="clear" w:color="auto" w:fill="D9D9D9"/>
            <w:tcMar>
              <w:top w:w="0" w:type="dxa"/>
              <w:left w:w="108" w:type="dxa"/>
              <w:bottom w:w="0" w:type="dxa"/>
              <w:right w:w="108" w:type="dxa"/>
            </w:tcMar>
            <w:vAlign w:val="center"/>
            <w:hideMark/>
          </w:tcPr>
          <w:p w14:paraId="6031848D"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4.4.1 Measure</w:t>
            </w:r>
          </w:p>
        </w:tc>
        <w:tc>
          <w:tcPr>
            <w:tcW w:w="698" w:type="pct"/>
            <w:vMerge w:val="restart"/>
            <w:tcMar>
              <w:top w:w="0" w:type="dxa"/>
              <w:left w:w="108" w:type="dxa"/>
              <w:bottom w:w="0" w:type="dxa"/>
              <w:right w:w="108" w:type="dxa"/>
            </w:tcMar>
            <w:vAlign w:val="center"/>
          </w:tcPr>
          <w:p w14:paraId="66B710C7"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Develop institutional capacity and knowledge to increase resilience to climate change</w:t>
            </w:r>
          </w:p>
        </w:tc>
        <w:tc>
          <w:tcPr>
            <w:tcW w:w="1159" w:type="pct"/>
            <w:shd w:val="clear" w:color="auto" w:fill="D9D9D9"/>
            <w:tcMar>
              <w:top w:w="0" w:type="dxa"/>
              <w:left w:w="108" w:type="dxa"/>
              <w:bottom w:w="0" w:type="dxa"/>
              <w:right w:w="108" w:type="dxa"/>
            </w:tcMar>
            <w:vAlign w:val="center"/>
            <w:hideMark/>
          </w:tcPr>
          <w:p w14:paraId="180B904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0EAB333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58D96228"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6C59FD29" w14:textId="77777777" w:rsidTr="00B6017F">
        <w:trPr>
          <w:trHeight w:val="287"/>
        </w:trPr>
        <w:tc>
          <w:tcPr>
            <w:tcW w:w="825" w:type="pct"/>
            <w:vMerge/>
            <w:shd w:val="clear" w:color="auto" w:fill="D9D9D9"/>
            <w:vAlign w:val="center"/>
          </w:tcPr>
          <w:p w14:paraId="1CE8A2B8"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23B7265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445B11D"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implementation of capacity building programmes and improvement of knowledge</w:t>
            </w:r>
          </w:p>
        </w:tc>
        <w:tc>
          <w:tcPr>
            <w:tcW w:w="1159" w:type="pct"/>
            <w:shd w:val="clear" w:color="auto" w:fill="FFFFFF"/>
            <w:tcMar>
              <w:top w:w="0" w:type="dxa"/>
              <w:left w:w="108" w:type="dxa"/>
              <w:bottom w:w="0" w:type="dxa"/>
              <w:right w:w="108" w:type="dxa"/>
            </w:tcMar>
            <w:vAlign w:val="center"/>
          </w:tcPr>
          <w:p w14:paraId="40A88E83"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 knowledge and capacity</w:t>
            </w:r>
          </w:p>
        </w:tc>
        <w:tc>
          <w:tcPr>
            <w:tcW w:w="1159" w:type="pct"/>
            <w:shd w:val="clear" w:color="auto" w:fill="FFFFFF"/>
            <w:vAlign w:val="center"/>
          </w:tcPr>
          <w:p w14:paraId="1D6FFD6D" w14:textId="77777777"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Knowledge improved and capacity strengthened though the implementation of capacity building programmes</w:t>
            </w:r>
          </w:p>
        </w:tc>
      </w:tr>
      <w:tr w:rsidR="00B02183" w:rsidRPr="007C4D65" w14:paraId="726AE1B2" w14:textId="77777777" w:rsidTr="00B6017F">
        <w:trPr>
          <w:trHeight w:val="287"/>
        </w:trPr>
        <w:tc>
          <w:tcPr>
            <w:tcW w:w="825" w:type="pct"/>
            <w:vMerge/>
            <w:shd w:val="clear" w:color="auto" w:fill="D9D9D9"/>
            <w:vAlign w:val="center"/>
          </w:tcPr>
          <w:p w14:paraId="5352016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0C0DDCC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ADAEBBA"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appointment of the body</w:t>
            </w:r>
          </w:p>
        </w:tc>
        <w:tc>
          <w:tcPr>
            <w:tcW w:w="1159" w:type="pct"/>
            <w:shd w:val="clear" w:color="auto" w:fill="FFFFFF"/>
            <w:tcMar>
              <w:top w:w="0" w:type="dxa"/>
              <w:left w:w="108" w:type="dxa"/>
              <w:bottom w:w="0" w:type="dxa"/>
              <w:right w:w="108" w:type="dxa"/>
            </w:tcMar>
            <w:vAlign w:val="center"/>
          </w:tcPr>
          <w:p w14:paraId="0B91EB9B"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body which keeps the records of damages caused by climate change</w:t>
            </w:r>
          </w:p>
        </w:tc>
        <w:tc>
          <w:tcPr>
            <w:tcW w:w="1159" w:type="pct"/>
            <w:shd w:val="clear" w:color="auto" w:fill="FFFFFF"/>
            <w:vAlign w:val="center"/>
          </w:tcPr>
          <w:p w14:paraId="78085326" w14:textId="77777777"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body which will establish and maintain the damages records system formed</w:t>
            </w:r>
          </w:p>
        </w:tc>
      </w:tr>
      <w:tr w:rsidR="00B02183" w:rsidRPr="007C4D65" w14:paraId="6F9BB948" w14:textId="77777777" w:rsidTr="00B6017F">
        <w:trPr>
          <w:trHeight w:val="287"/>
        </w:trPr>
        <w:tc>
          <w:tcPr>
            <w:tcW w:w="825" w:type="pct"/>
            <w:vMerge/>
            <w:shd w:val="clear" w:color="auto" w:fill="D9D9D9"/>
            <w:vAlign w:val="center"/>
          </w:tcPr>
          <w:p w14:paraId="0961647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785844B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D50A9EB"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implementation of the capacity building programme</w:t>
            </w:r>
          </w:p>
        </w:tc>
        <w:tc>
          <w:tcPr>
            <w:tcW w:w="1159" w:type="pct"/>
            <w:shd w:val="clear" w:color="auto" w:fill="FFFFFF"/>
            <w:tcMar>
              <w:top w:w="0" w:type="dxa"/>
              <w:left w:w="108" w:type="dxa"/>
              <w:bottom w:w="0" w:type="dxa"/>
              <w:right w:w="108" w:type="dxa"/>
            </w:tcMar>
            <w:vAlign w:val="center"/>
          </w:tcPr>
          <w:p w14:paraId="4A939861"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 forecasting capacities for hazardous meteorological and hydrological occurrences</w:t>
            </w:r>
          </w:p>
        </w:tc>
        <w:tc>
          <w:tcPr>
            <w:tcW w:w="1159" w:type="pct"/>
            <w:shd w:val="clear" w:color="auto" w:fill="FFFFFF"/>
            <w:vAlign w:val="center"/>
          </w:tcPr>
          <w:p w14:paraId="1B498C65" w14:textId="77777777"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capacity building programme implemented</w:t>
            </w:r>
          </w:p>
        </w:tc>
      </w:tr>
      <w:tr w:rsidR="00B02183" w:rsidRPr="007C4D65" w14:paraId="1A75847D" w14:textId="77777777" w:rsidTr="00B6017F">
        <w:trPr>
          <w:trHeight w:val="287"/>
        </w:trPr>
        <w:tc>
          <w:tcPr>
            <w:tcW w:w="825" w:type="pct"/>
            <w:vMerge/>
            <w:shd w:val="clear" w:color="auto" w:fill="D9D9D9"/>
            <w:vAlign w:val="center"/>
          </w:tcPr>
          <w:p w14:paraId="4420010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1AD37B5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E2EF193"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Status of the development of the coordination system </w:t>
            </w:r>
          </w:p>
        </w:tc>
        <w:tc>
          <w:tcPr>
            <w:tcW w:w="1159" w:type="pct"/>
            <w:shd w:val="clear" w:color="auto" w:fill="FFFFFF"/>
            <w:tcMar>
              <w:top w:w="0" w:type="dxa"/>
              <w:left w:w="108" w:type="dxa"/>
              <w:bottom w:w="0" w:type="dxa"/>
              <w:right w:w="108" w:type="dxa"/>
            </w:tcMar>
            <w:vAlign w:val="center"/>
          </w:tcPr>
          <w:p w14:paraId="29F666C0"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Lack of coordination</w:t>
            </w:r>
          </w:p>
        </w:tc>
        <w:tc>
          <w:tcPr>
            <w:tcW w:w="1159" w:type="pct"/>
            <w:shd w:val="clear" w:color="auto" w:fill="FFFFFF"/>
            <w:vAlign w:val="center"/>
          </w:tcPr>
          <w:p w14:paraId="6CD09F20" w14:textId="77777777"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method of coordination defined</w:t>
            </w:r>
          </w:p>
        </w:tc>
      </w:tr>
      <w:tr w:rsidR="00B02183" w:rsidRPr="007C4D65" w14:paraId="58B4FF8B" w14:textId="77777777" w:rsidTr="00B6017F">
        <w:trPr>
          <w:trHeight w:val="287"/>
        </w:trPr>
        <w:tc>
          <w:tcPr>
            <w:tcW w:w="825" w:type="pct"/>
            <w:vMerge/>
            <w:shd w:val="clear" w:color="auto" w:fill="D9D9D9"/>
            <w:vAlign w:val="center"/>
          </w:tcPr>
          <w:p w14:paraId="29687E9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28CE004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1EDD3A7"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preparation and adoption of risk assessment reports</w:t>
            </w:r>
          </w:p>
        </w:tc>
        <w:tc>
          <w:tcPr>
            <w:tcW w:w="1159" w:type="pct"/>
            <w:shd w:val="clear" w:color="auto" w:fill="FFFFFF"/>
            <w:tcMar>
              <w:top w:w="0" w:type="dxa"/>
              <w:left w:w="108" w:type="dxa"/>
              <w:bottom w:w="0" w:type="dxa"/>
              <w:right w:w="108" w:type="dxa"/>
            </w:tcMar>
            <w:vAlign w:val="center"/>
          </w:tcPr>
          <w:p w14:paraId="1BDD6D0F"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Lack of quarterly reports</w:t>
            </w:r>
          </w:p>
        </w:tc>
        <w:tc>
          <w:tcPr>
            <w:tcW w:w="1159" w:type="pct"/>
            <w:shd w:val="clear" w:color="auto" w:fill="FFFFFF"/>
            <w:vAlign w:val="center"/>
          </w:tcPr>
          <w:p w14:paraId="18ADA58E" w14:textId="77777777"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Quarterly reports on risk assessment of extreme climate changes adopted</w:t>
            </w:r>
          </w:p>
        </w:tc>
      </w:tr>
      <w:tr w:rsidR="00B02183" w:rsidRPr="007C4D65" w14:paraId="3AAE3DF8" w14:textId="77777777" w:rsidTr="00B6017F">
        <w:trPr>
          <w:trHeight w:val="287"/>
        </w:trPr>
        <w:tc>
          <w:tcPr>
            <w:tcW w:w="825" w:type="pct"/>
            <w:vMerge/>
            <w:shd w:val="clear" w:color="auto" w:fill="D9D9D9"/>
            <w:vAlign w:val="center"/>
          </w:tcPr>
          <w:p w14:paraId="32BC51D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7D9D4101"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4D3CCA3"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development and adoption of the action plan</w:t>
            </w:r>
          </w:p>
        </w:tc>
        <w:tc>
          <w:tcPr>
            <w:tcW w:w="1159" w:type="pct"/>
            <w:shd w:val="clear" w:color="auto" w:fill="FFFFFF"/>
            <w:tcMar>
              <w:top w:w="0" w:type="dxa"/>
              <w:left w:w="108" w:type="dxa"/>
              <w:bottom w:w="0" w:type="dxa"/>
              <w:right w:w="108" w:type="dxa"/>
            </w:tcMar>
            <w:vAlign w:val="center"/>
          </w:tcPr>
          <w:p w14:paraId="1C5E33B4"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Lack of an action plan</w:t>
            </w:r>
          </w:p>
        </w:tc>
        <w:tc>
          <w:tcPr>
            <w:tcW w:w="1159" w:type="pct"/>
            <w:shd w:val="clear" w:color="auto" w:fill="FFFFFF"/>
            <w:vAlign w:val="center"/>
          </w:tcPr>
          <w:p w14:paraId="64F2337D" w14:textId="77777777"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action plan prepared and adopted</w:t>
            </w:r>
          </w:p>
        </w:tc>
      </w:tr>
      <w:tr w:rsidR="00B02183" w:rsidRPr="007C4D65" w14:paraId="65819000" w14:textId="77777777" w:rsidTr="00B6017F">
        <w:trPr>
          <w:trHeight w:val="287"/>
        </w:trPr>
        <w:tc>
          <w:tcPr>
            <w:tcW w:w="825" w:type="pct"/>
            <w:vMerge/>
            <w:shd w:val="clear" w:color="auto" w:fill="D9D9D9"/>
            <w:vAlign w:val="center"/>
          </w:tcPr>
          <w:p w14:paraId="498C1AB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1EEA1DE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68AC41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development of the system for coordination and monitoring of the implementation of measures</w:t>
            </w:r>
          </w:p>
        </w:tc>
        <w:tc>
          <w:tcPr>
            <w:tcW w:w="1159" w:type="pct"/>
            <w:shd w:val="clear" w:color="auto" w:fill="FFFFFF"/>
            <w:tcMar>
              <w:top w:w="0" w:type="dxa"/>
              <w:left w:w="108" w:type="dxa"/>
              <w:bottom w:w="0" w:type="dxa"/>
              <w:right w:w="108" w:type="dxa"/>
            </w:tcMar>
            <w:vAlign w:val="center"/>
          </w:tcPr>
          <w:p w14:paraId="6491B2FE" w14:textId="277DD0D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Lack of a coordination and monitoring system </w:t>
            </w:r>
            <w:r w:rsidR="00830279" w:rsidRPr="007C4D65">
              <w:rPr>
                <w:rFonts w:asciiTheme="minorHAnsi" w:hAnsiTheme="minorHAnsi" w:cstheme="minorHAnsi"/>
                <w:sz w:val="18"/>
              </w:rPr>
              <w:t>for</w:t>
            </w:r>
            <w:r w:rsidRPr="007C4D65">
              <w:rPr>
                <w:rFonts w:asciiTheme="minorHAnsi" w:hAnsiTheme="minorHAnsi" w:cstheme="minorHAnsi"/>
                <w:sz w:val="18"/>
              </w:rPr>
              <w:t xml:space="preserve"> the implementation of measures</w:t>
            </w:r>
          </w:p>
        </w:tc>
        <w:tc>
          <w:tcPr>
            <w:tcW w:w="1159" w:type="pct"/>
            <w:shd w:val="clear" w:color="auto" w:fill="FFFFFF"/>
            <w:vAlign w:val="center"/>
          </w:tcPr>
          <w:p w14:paraId="448CB827" w14:textId="77777777"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coordination and monitoring system of the implementation of adaptation and mitigation measures set up</w:t>
            </w:r>
          </w:p>
        </w:tc>
      </w:tr>
      <w:tr w:rsidR="00B02183" w:rsidRPr="007C4D65" w14:paraId="17212ECD" w14:textId="77777777" w:rsidTr="00B6017F">
        <w:trPr>
          <w:trHeight w:val="287"/>
        </w:trPr>
        <w:tc>
          <w:tcPr>
            <w:tcW w:w="825" w:type="pct"/>
            <w:vMerge/>
            <w:shd w:val="clear" w:color="auto" w:fill="D9D9D9"/>
            <w:vAlign w:val="center"/>
          </w:tcPr>
          <w:p w14:paraId="367E360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22EC79B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5058DDC"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defining a fundraising method</w:t>
            </w:r>
          </w:p>
        </w:tc>
        <w:tc>
          <w:tcPr>
            <w:tcW w:w="1159" w:type="pct"/>
            <w:shd w:val="clear" w:color="auto" w:fill="FFFFFF"/>
            <w:tcMar>
              <w:top w:w="0" w:type="dxa"/>
              <w:left w:w="108" w:type="dxa"/>
              <w:bottom w:w="0" w:type="dxa"/>
              <w:right w:w="108" w:type="dxa"/>
            </w:tcMar>
            <w:vAlign w:val="center"/>
          </w:tcPr>
          <w:p w14:paraId="212015DA"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Lack of a system for fundraising and use of funds for the climate change adaptation measures</w:t>
            </w:r>
          </w:p>
        </w:tc>
        <w:tc>
          <w:tcPr>
            <w:tcW w:w="1159" w:type="pct"/>
            <w:shd w:val="clear" w:color="auto" w:fill="FFFFFF"/>
            <w:vAlign w:val="center"/>
          </w:tcPr>
          <w:p w14:paraId="66F3195F" w14:textId="77777777" w:rsidR="00B02183" w:rsidRPr="007C4D65" w:rsidRDefault="00B02183" w:rsidP="00B02183">
            <w:pPr>
              <w:spacing w:after="120" w:line="276" w:lineRule="auto"/>
              <w:ind w:left="211"/>
              <w:contextualSpacing/>
              <w:rPr>
                <w:rFonts w:asciiTheme="minorHAnsi" w:hAnsiTheme="minorHAnsi" w:cstheme="minorHAnsi"/>
                <w:sz w:val="18"/>
                <w:szCs w:val="18"/>
              </w:rPr>
            </w:pPr>
            <w:r w:rsidRPr="007C4D65">
              <w:rPr>
                <w:rFonts w:asciiTheme="minorHAnsi" w:hAnsiTheme="minorHAnsi" w:cstheme="minorHAnsi"/>
                <w:sz w:val="18"/>
              </w:rPr>
              <w:t>The method of fundraising and use of funds for the climate change adaptation measures defined</w:t>
            </w:r>
          </w:p>
        </w:tc>
      </w:tr>
      <w:tr w:rsidR="00B02183" w:rsidRPr="007C4D65" w14:paraId="40123B58" w14:textId="77777777" w:rsidTr="00B6017F">
        <w:trPr>
          <w:trHeight w:val="483"/>
        </w:trPr>
        <w:tc>
          <w:tcPr>
            <w:tcW w:w="825" w:type="pct"/>
            <w:vMerge/>
            <w:shd w:val="clear" w:color="auto" w:fill="D9D9D9"/>
            <w:vAlign w:val="center"/>
            <w:hideMark/>
          </w:tcPr>
          <w:p w14:paraId="6F0D276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hideMark/>
          </w:tcPr>
          <w:p w14:paraId="66AE0F8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3E95CDC3" w14:textId="62E5DE35"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14037C0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64B99EE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3FC6E81C" w14:textId="77777777" w:rsidTr="00B6017F">
        <w:trPr>
          <w:trHeight w:val="287"/>
        </w:trPr>
        <w:tc>
          <w:tcPr>
            <w:tcW w:w="825" w:type="pct"/>
            <w:vMerge/>
            <w:shd w:val="clear" w:color="auto" w:fill="D9D9D9"/>
            <w:vAlign w:val="center"/>
            <w:hideMark/>
          </w:tcPr>
          <w:p w14:paraId="167B6BA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hideMark/>
          </w:tcPr>
          <w:p w14:paraId="17DC85A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1FF6DA6"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0.147</w:t>
            </w:r>
          </w:p>
        </w:tc>
        <w:tc>
          <w:tcPr>
            <w:tcW w:w="1159" w:type="pct"/>
            <w:tcMar>
              <w:top w:w="0" w:type="dxa"/>
              <w:left w:w="108" w:type="dxa"/>
              <w:bottom w:w="0" w:type="dxa"/>
              <w:right w:w="108" w:type="dxa"/>
            </w:tcMar>
            <w:vAlign w:val="center"/>
          </w:tcPr>
          <w:p w14:paraId="3F1E2BF5"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0.590</w:t>
            </w:r>
          </w:p>
        </w:tc>
        <w:tc>
          <w:tcPr>
            <w:tcW w:w="1159" w:type="pct"/>
            <w:tcMar>
              <w:top w:w="0" w:type="dxa"/>
              <w:left w:w="108" w:type="dxa"/>
              <w:bottom w:w="0" w:type="dxa"/>
              <w:right w:w="108" w:type="dxa"/>
            </w:tcMar>
            <w:vAlign w:val="center"/>
          </w:tcPr>
          <w:p w14:paraId="038927C2"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0.738</w:t>
            </w:r>
          </w:p>
        </w:tc>
      </w:tr>
      <w:tr w:rsidR="00B02183" w:rsidRPr="007C4D65" w14:paraId="49C711A1" w14:textId="77777777" w:rsidTr="00B6017F">
        <w:trPr>
          <w:trHeight w:val="483"/>
        </w:trPr>
        <w:tc>
          <w:tcPr>
            <w:tcW w:w="825" w:type="pct"/>
            <w:vMerge w:val="restart"/>
            <w:shd w:val="clear" w:color="auto" w:fill="D9D9D9"/>
            <w:tcMar>
              <w:top w:w="0" w:type="dxa"/>
              <w:left w:w="108" w:type="dxa"/>
              <w:bottom w:w="0" w:type="dxa"/>
              <w:right w:w="108" w:type="dxa"/>
            </w:tcMar>
            <w:vAlign w:val="center"/>
            <w:hideMark/>
          </w:tcPr>
          <w:p w14:paraId="4CC36193"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4.4.2 Measure</w:t>
            </w:r>
          </w:p>
        </w:tc>
        <w:tc>
          <w:tcPr>
            <w:tcW w:w="698" w:type="pct"/>
            <w:vMerge w:val="restart"/>
            <w:tcMar>
              <w:top w:w="0" w:type="dxa"/>
              <w:left w:w="108" w:type="dxa"/>
              <w:bottom w:w="0" w:type="dxa"/>
              <w:right w:w="108" w:type="dxa"/>
            </w:tcMar>
            <w:vAlign w:val="center"/>
          </w:tcPr>
          <w:p w14:paraId="7E83115A"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Infrastructure capacity building to enhance resilience to climate change</w:t>
            </w:r>
          </w:p>
        </w:tc>
        <w:tc>
          <w:tcPr>
            <w:tcW w:w="1159" w:type="pct"/>
            <w:shd w:val="clear" w:color="auto" w:fill="D9D9D9"/>
            <w:tcMar>
              <w:top w:w="0" w:type="dxa"/>
              <w:left w:w="108" w:type="dxa"/>
              <w:bottom w:w="0" w:type="dxa"/>
              <w:right w:w="108" w:type="dxa"/>
            </w:tcMar>
            <w:vAlign w:val="center"/>
            <w:hideMark/>
          </w:tcPr>
          <w:p w14:paraId="053D9871"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270DEC8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5C371FA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5A75DB02" w14:textId="77777777" w:rsidTr="00B6017F">
        <w:trPr>
          <w:trHeight w:val="287"/>
        </w:trPr>
        <w:tc>
          <w:tcPr>
            <w:tcW w:w="825" w:type="pct"/>
            <w:vMerge/>
            <w:shd w:val="clear" w:color="auto" w:fill="D9D9D9"/>
            <w:vAlign w:val="center"/>
          </w:tcPr>
          <w:p w14:paraId="74FC28E6"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08B9F07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04B219B"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programme development</w:t>
            </w:r>
          </w:p>
        </w:tc>
        <w:tc>
          <w:tcPr>
            <w:tcW w:w="1159" w:type="pct"/>
            <w:shd w:val="clear" w:color="auto" w:fill="FFFFFF"/>
            <w:tcMar>
              <w:top w:w="0" w:type="dxa"/>
              <w:left w:w="108" w:type="dxa"/>
              <w:bottom w:w="0" w:type="dxa"/>
              <w:right w:w="108" w:type="dxa"/>
            </w:tcMar>
            <w:vAlign w:val="center"/>
          </w:tcPr>
          <w:p w14:paraId="3D55145F"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Lack of a programme </w:t>
            </w:r>
          </w:p>
        </w:tc>
        <w:tc>
          <w:tcPr>
            <w:tcW w:w="1159" w:type="pct"/>
            <w:shd w:val="clear" w:color="auto" w:fill="FFFFFF"/>
            <w:vAlign w:val="center"/>
          </w:tcPr>
          <w:p w14:paraId="03FB4AEB"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 xml:space="preserve">The programme developed and adopted </w:t>
            </w:r>
          </w:p>
        </w:tc>
      </w:tr>
      <w:tr w:rsidR="00B02183" w:rsidRPr="007C4D65" w14:paraId="756BD708" w14:textId="77777777" w:rsidTr="00B6017F">
        <w:trPr>
          <w:trHeight w:val="287"/>
        </w:trPr>
        <w:tc>
          <w:tcPr>
            <w:tcW w:w="825" w:type="pct"/>
            <w:vMerge/>
            <w:shd w:val="clear" w:color="auto" w:fill="D9D9D9"/>
            <w:vAlign w:val="center"/>
          </w:tcPr>
          <w:p w14:paraId="765FBA0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5171C59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4B5FA50"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Level of the application of the principles of sustainable use of water for irrigation and number of counselling offices </w:t>
            </w:r>
          </w:p>
        </w:tc>
        <w:tc>
          <w:tcPr>
            <w:tcW w:w="1159" w:type="pct"/>
            <w:shd w:val="clear" w:color="auto" w:fill="FFFFFF"/>
            <w:tcMar>
              <w:top w:w="0" w:type="dxa"/>
              <w:left w:w="108" w:type="dxa"/>
              <w:bottom w:w="0" w:type="dxa"/>
              <w:right w:w="108" w:type="dxa"/>
            </w:tcMar>
            <w:vAlign w:val="center"/>
          </w:tcPr>
          <w:p w14:paraId="24509B57" w14:textId="1C0DE120"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 application of the principle of sustainable use of water in irrigation areas and establishment of an advisory office for farmers</w:t>
            </w:r>
          </w:p>
        </w:tc>
        <w:tc>
          <w:tcPr>
            <w:tcW w:w="1159" w:type="pct"/>
            <w:shd w:val="clear" w:color="auto" w:fill="FFFFFF"/>
            <w:vAlign w:val="center"/>
          </w:tcPr>
          <w:p w14:paraId="43642EFF" w14:textId="79E68875"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Application of the principle of sustainable use of water in irrigation areas and establishment of an advisory office for farmers</w:t>
            </w:r>
          </w:p>
        </w:tc>
      </w:tr>
      <w:tr w:rsidR="00B02183" w:rsidRPr="007C4D65" w14:paraId="518C239C" w14:textId="77777777" w:rsidTr="00B6017F">
        <w:trPr>
          <w:trHeight w:val="287"/>
        </w:trPr>
        <w:tc>
          <w:tcPr>
            <w:tcW w:w="825" w:type="pct"/>
            <w:vMerge/>
            <w:shd w:val="clear" w:color="auto" w:fill="D9D9D9"/>
            <w:vAlign w:val="center"/>
          </w:tcPr>
          <w:p w14:paraId="45254B6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42CADE9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BC988A9" w14:textId="5B823C66"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Status of the completion of the study; implementation phase - level of the application of ecological principles </w:t>
            </w:r>
          </w:p>
        </w:tc>
        <w:tc>
          <w:tcPr>
            <w:tcW w:w="1159" w:type="pct"/>
            <w:shd w:val="clear" w:color="auto" w:fill="FFFFFF"/>
            <w:tcMar>
              <w:top w:w="0" w:type="dxa"/>
              <w:left w:w="108" w:type="dxa"/>
              <w:bottom w:w="0" w:type="dxa"/>
              <w:right w:w="108" w:type="dxa"/>
            </w:tcMar>
            <w:vAlign w:val="center"/>
          </w:tcPr>
          <w:p w14:paraId="7D8CC4BC"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 application of the ecological principles in the construction of multipurpose reservoirs</w:t>
            </w:r>
          </w:p>
        </w:tc>
        <w:tc>
          <w:tcPr>
            <w:tcW w:w="1159" w:type="pct"/>
            <w:shd w:val="clear" w:color="auto" w:fill="FFFFFF"/>
            <w:vAlign w:val="center"/>
          </w:tcPr>
          <w:p w14:paraId="1C645E8E"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 xml:space="preserve">Studies completed; Extensive application of the ecological principles </w:t>
            </w:r>
          </w:p>
        </w:tc>
      </w:tr>
      <w:tr w:rsidR="00B02183" w:rsidRPr="007C4D65" w14:paraId="1FFD9BD8" w14:textId="77777777" w:rsidTr="00B6017F">
        <w:trPr>
          <w:trHeight w:val="287"/>
        </w:trPr>
        <w:tc>
          <w:tcPr>
            <w:tcW w:w="825" w:type="pct"/>
            <w:vMerge/>
            <w:shd w:val="clear" w:color="auto" w:fill="D9D9D9"/>
            <w:vAlign w:val="center"/>
          </w:tcPr>
          <w:p w14:paraId="083EF01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718D62B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81107CE"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study development</w:t>
            </w:r>
          </w:p>
        </w:tc>
        <w:tc>
          <w:tcPr>
            <w:tcW w:w="1159" w:type="pct"/>
            <w:shd w:val="clear" w:color="auto" w:fill="FFFFFF"/>
            <w:tcMar>
              <w:top w:w="0" w:type="dxa"/>
              <w:left w:w="108" w:type="dxa"/>
              <w:bottom w:w="0" w:type="dxa"/>
              <w:right w:w="108" w:type="dxa"/>
            </w:tcMar>
            <w:vAlign w:val="center"/>
          </w:tcPr>
          <w:p w14:paraId="20655775"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Lack of a study</w:t>
            </w:r>
          </w:p>
        </w:tc>
        <w:tc>
          <w:tcPr>
            <w:tcW w:w="1159" w:type="pct"/>
            <w:shd w:val="clear" w:color="auto" w:fill="FFFFFF"/>
            <w:vAlign w:val="center"/>
          </w:tcPr>
          <w:p w14:paraId="6AD8F360"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The Study completed and adopted</w:t>
            </w:r>
          </w:p>
        </w:tc>
      </w:tr>
      <w:tr w:rsidR="00B02183" w:rsidRPr="007C4D65" w14:paraId="212C89C3" w14:textId="77777777" w:rsidTr="00B6017F">
        <w:trPr>
          <w:trHeight w:val="287"/>
        </w:trPr>
        <w:tc>
          <w:tcPr>
            <w:tcW w:w="825" w:type="pct"/>
            <w:vMerge/>
            <w:shd w:val="clear" w:color="auto" w:fill="D9D9D9"/>
            <w:vAlign w:val="center"/>
          </w:tcPr>
          <w:p w14:paraId="5F506B9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2B3C233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D20115B"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equipment procurement and number of employees</w:t>
            </w:r>
          </w:p>
        </w:tc>
        <w:tc>
          <w:tcPr>
            <w:tcW w:w="1159" w:type="pct"/>
            <w:shd w:val="clear" w:color="auto" w:fill="FFFFFF"/>
            <w:tcMar>
              <w:top w:w="0" w:type="dxa"/>
              <w:left w:w="108" w:type="dxa"/>
              <w:bottom w:w="0" w:type="dxa"/>
              <w:right w:w="108" w:type="dxa"/>
            </w:tcMar>
            <w:vAlign w:val="center"/>
          </w:tcPr>
          <w:p w14:paraId="1246AD1F"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 number of employees and inadequate equipment</w:t>
            </w:r>
          </w:p>
        </w:tc>
        <w:tc>
          <w:tcPr>
            <w:tcW w:w="1159" w:type="pct"/>
            <w:shd w:val="clear" w:color="auto" w:fill="FFFFFF"/>
            <w:vAlign w:val="center"/>
          </w:tcPr>
          <w:p w14:paraId="3C6C48AB"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Equipment procured and required number of staff employed</w:t>
            </w:r>
          </w:p>
        </w:tc>
      </w:tr>
      <w:tr w:rsidR="00B02183" w:rsidRPr="007C4D65" w14:paraId="0E664762" w14:textId="77777777" w:rsidTr="00B6017F">
        <w:trPr>
          <w:trHeight w:val="287"/>
        </w:trPr>
        <w:tc>
          <w:tcPr>
            <w:tcW w:w="825" w:type="pct"/>
            <w:vMerge/>
            <w:shd w:val="clear" w:color="auto" w:fill="D9D9D9"/>
            <w:vAlign w:val="center"/>
          </w:tcPr>
          <w:p w14:paraId="44ADB5D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5724BA5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70D63EA"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study development</w:t>
            </w:r>
          </w:p>
        </w:tc>
        <w:tc>
          <w:tcPr>
            <w:tcW w:w="1159" w:type="pct"/>
            <w:shd w:val="clear" w:color="auto" w:fill="FFFFFF"/>
            <w:tcMar>
              <w:top w:w="0" w:type="dxa"/>
              <w:left w:w="108" w:type="dxa"/>
              <w:bottom w:w="0" w:type="dxa"/>
              <w:right w:w="108" w:type="dxa"/>
            </w:tcMar>
            <w:vAlign w:val="center"/>
          </w:tcPr>
          <w:p w14:paraId="17BEC65A"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Needs assessment not available</w:t>
            </w:r>
          </w:p>
        </w:tc>
        <w:tc>
          <w:tcPr>
            <w:tcW w:w="1159" w:type="pct"/>
            <w:shd w:val="clear" w:color="auto" w:fill="FFFFFF"/>
            <w:vAlign w:val="center"/>
          </w:tcPr>
          <w:p w14:paraId="0CCC22F8" w14:textId="77777777" w:rsidR="00B02183" w:rsidRPr="007C4D65" w:rsidRDefault="00B02183" w:rsidP="00B02183">
            <w:pPr>
              <w:spacing w:line="276" w:lineRule="auto"/>
              <w:ind w:firstLine="170"/>
              <w:rPr>
                <w:rFonts w:asciiTheme="minorHAnsi" w:hAnsiTheme="minorHAnsi" w:cstheme="minorHAnsi"/>
                <w:sz w:val="18"/>
                <w:szCs w:val="18"/>
              </w:rPr>
            </w:pPr>
            <w:r w:rsidRPr="007C4D65">
              <w:rPr>
                <w:rFonts w:asciiTheme="minorHAnsi" w:hAnsiTheme="minorHAnsi" w:cstheme="minorHAnsi"/>
                <w:sz w:val="18"/>
              </w:rPr>
              <w:t>The Study completed and adopted</w:t>
            </w:r>
          </w:p>
        </w:tc>
      </w:tr>
      <w:tr w:rsidR="00B02183" w:rsidRPr="007C4D65" w14:paraId="49E97618" w14:textId="77777777" w:rsidTr="00B6017F">
        <w:trPr>
          <w:trHeight w:val="287"/>
        </w:trPr>
        <w:tc>
          <w:tcPr>
            <w:tcW w:w="825" w:type="pct"/>
            <w:vMerge/>
            <w:shd w:val="clear" w:color="auto" w:fill="D9D9D9"/>
            <w:vAlign w:val="center"/>
          </w:tcPr>
          <w:p w14:paraId="04CD326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tcPr>
          <w:p w14:paraId="4F143F7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6D27C3C"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Level of capacity development</w:t>
            </w:r>
          </w:p>
        </w:tc>
        <w:tc>
          <w:tcPr>
            <w:tcW w:w="1159" w:type="pct"/>
            <w:shd w:val="clear" w:color="auto" w:fill="FFFFFF"/>
            <w:tcMar>
              <w:top w:w="0" w:type="dxa"/>
              <w:left w:w="108" w:type="dxa"/>
              <w:bottom w:w="0" w:type="dxa"/>
              <w:right w:w="108" w:type="dxa"/>
            </w:tcMar>
            <w:vAlign w:val="center"/>
          </w:tcPr>
          <w:p w14:paraId="63F4EDC0"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 capacities</w:t>
            </w:r>
          </w:p>
        </w:tc>
        <w:tc>
          <w:tcPr>
            <w:tcW w:w="1159" w:type="pct"/>
            <w:shd w:val="clear" w:color="auto" w:fill="FFFFFF"/>
            <w:vAlign w:val="center"/>
          </w:tcPr>
          <w:p w14:paraId="4651C46D" w14:textId="77777777" w:rsidR="00B02183" w:rsidRPr="007C4D65" w:rsidRDefault="00B02183" w:rsidP="00B02183">
            <w:pPr>
              <w:spacing w:line="276" w:lineRule="auto"/>
              <w:ind w:left="196" w:hanging="26"/>
              <w:rPr>
                <w:rFonts w:asciiTheme="minorHAnsi" w:hAnsiTheme="minorHAnsi" w:cstheme="minorHAnsi"/>
                <w:sz w:val="18"/>
                <w:szCs w:val="18"/>
              </w:rPr>
            </w:pPr>
            <w:r w:rsidRPr="007C4D65">
              <w:rPr>
                <w:rFonts w:asciiTheme="minorHAnsi" w:hAnsiTheme="minorHAnsi" w:cstheme="minorHAnsi"/>
                <w:sz w:val="18"/>
              </w:rPr>
              <w:t>Institutional and infrastructure capacities strengthened</w:t>
            </w:r>
          </w:p>
        </w:tc>
      </w:tr>
      <w:tr w:rsidR="00B02183" w:rsidRPr="007C4D65" w14:paraId="24C7A4B8" w14:textId="77777777" w:rsidTr="00B6017F">
        <w:trPr>
          <w:trHeight w:val="483"/>
        </w:trPr>
        <w:tc>
          <w:tcPr>
            <w:tcW w:w="825" w:type="pct"/>
            <w:vMerge/>
            <w:shd w:val="clear" w:color="auto" w:fill="D9D9D9"/>
            <w:vAlign w:val="center"/>
            <w:hideMark/>
          </w:tcPr>
          <w:p w14:paraId="1C64512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hideMark/>
          </w:tcPr>
          <w:p w14:paraId="4F8A4E96"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07F5AF48" w14:textId="057A9363"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7752080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210A576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265B6FDD" w14:textId="77777777" w:rsidTr="00B6017F">
        <w:trPr>
          <w:trHeight w:val="287"/>
        </w:trPr>
        <w:tc>
          <w:tcPr>
            <w:tcW w:w="825" w:type="pct"/>
            <w:vMerge/>
            <w:shd w:val="clear" w:color="auto" w:fill="D9D9D9"/>
            <w:vAlign w:val="center"/>
            <w:hideMark/>
          </w:tcPr>
          <w:p w14:paraId="1A06F75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698" w:type="pct"/>
            <w:vMerge/>
            <w:vAlign w:val="center"/>
            <w:hideMark/>
          </w:tcPr>
          <w:p w14:paraId="184ABB6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60494F2"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59.6</w:t>
            </w:r>
          </w:p>
        </w:tc>
        <w:tc>
          <w:tcPr>
            <w:tcW w:w="1159" w:type="pct"/>
            <w:tcMar>
              <w:top w:w="0" w:type="dxa"/>
              <w:left w:w="108" w:type="dxa"/>
              <w:bottom w:w="0" w:type="dxa"/>
              <w:right w:w="108" w:type="dxa"/>
            </w:tcMar>
            <w:vAlign w:val="center"/>
          </w:tcPr>
          <w:p w14:paraId="78D2CDAB"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537.2</w:t>
            </w:r>
          </w:p>
        </w:tc>
        <w:tc>
          <w:tcPr>
            <w:tcW w:w="1159" w:type="pct"/>
            <w:tcMar>
              <w:top w:w="0" w:type="dxa"/>
              <w:left w:w="108" w:type="dxa"/>
              <w:bottom w:w="0" w:type="dxa"/>
              <w:right w:w="108" w:type="dxa"/>
            </w:tcMar>
            <w:vAlign w:val="center"/>
          </w:tcPr>
          <w:p w14:paraId="4A291D72"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596.9</w:t>
            </w:r>
          </w:p>
        </w:tc>
      </w:tr>
    </w:tbl>
    <w:p w14:paraId="1CDF35C6" w14:textId="77777777" w:rsidR="00B02183" w:rsidRPr="007C4D65" w:rsidRDefault="00B02183" w:rsidP="00B02183">
      <w:pPr>
        <w:spacing w:line="276" w:lineRule="auto"/>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268"/>
        <w:gridCol w:w="1981"/>
        <w:gridCol w:w="3233"/>
        <w:gridCol w:w="3233"/>
        <w:gridCol w:w="3233"/>
      </w:tblGrid>
      <w:tr w:rsidR="00B02183" w:rsidRPr="007C4D65" w14:paraId="3FFCB3F2" w14:textId="77777777" w:rsidTr="00B6017F">
        <w:trPr>
          <w:trHeight w:val="384"/>
        </w:trPr>
        <w:tc>
          <w:tcPr>
            <w:tcW w:w="813" w:type="pct"/>
            <w:vMerge w:val="restart"/>
            <w:shd w:val="clear" w:color="auto" w:fill="D9D9D9"/>
            <w:tcMar>
              <w:top w:w="0" w:type="dxa"/>
              <w:left w:w="108" w:type="dxa"/>
              <w:bottom w:w="0" w:type="dxa"/>
              <w:right w:w="108" w:type="dxa"/>
            </w:tcMar>
            <w:vAlign w:val="center"/>
          </w:tcPr>
          <w:p w14:paraId="3A1EA128"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4.5 Priority</w:t>
            </w:r>
          </w:p>
          <w:p w14:paraId="4419462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restart"/>
            <w:tcMar>
              <w:top w:w="0" w:type="dxa"/>
              <w:left w:w="108" w:type="dxa"/>
              <w:bottom w:w="0" w:type="dxa"/>
              <w:right w:w="108" w:type="dxa"/>
            </w:tcMar>
            <w:vAlign w:val="center"/>
          </w:tcPr>
          <w:p w14:paraId="18A56970" w14:textId="12304282" w:rsidR="00B02183" w:rsidRPr="007C4D65" w:rsidRDefault="00B02183"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 xml:space="preserve">Improving </w:t>
            </w:r>
            <w:r w:rsidR="009477FB" w:rsidRPr="007C4D65">
              <w:rPr>
                <w:rFonts w:asciiTheme="minorHAnsi" w:hAnsiTheme="minorHAnsi" w:cstheme="minorHAnsi"/>
                <w:b/>
                <w:sz w:val="18"/>
              </w:rPr>
              <w:t>energy efficiency of final consumption</w:t>
            </w:r>
            <w:r w:rsidRPr="007C4D65">
              <w:rPr>
                <w:rFonts w:asciiTheme="minorHAnsi" w:hAnsiTheme="minorHAnsi" w:cstheme="minorHAnsi"/>
                <w:b/>
                <w:sz w:val="18"/>
              </w:rPr>
              <w:t xml:space="preserve"> in all sectors</w:t>
            </w:r>
          </w:p>
        </w:tc>
        <w:tc>
          <w:tcPr>
            <w:tcW w:w="1159" w:type="pct"/>
            <w:shd w:val="clear" w:color="auto" w:fill="D9D9D9"/>
            <w:tcMar>
              <w:top w:w="0" w:type="dxa"/>
              <w:left w:w="108" w:type="dxa"/>
              <w:bottom w:w="0" w:type="dxa"/>
              <w:right w:w="108" w:type="dxa"/>
            </w:tcMar>
            <w:vAlign w:val="center"/>
          </w:tcPr>
          <w:p w14:paraId="1CCABFA9"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2927854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6C31725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7DE64E94" w14:textId="77777777" w:rsidTr="00B6017F">
        <w:trPr>
          <w:trHeight w:val="287"/>
        </w:trPr>
        <w:tc>
          <w:tcPr>
            <w:tcW w:w="813" w:type="pct"/>
            <w:vMerge/>
            <w:shd w:val="clear" w:color="auto" w:fill="D9D9D9"/>
            <w:vAlign w:val="center"/>
            <w:hideMark/>
          </w:tcPr>
          <w:p w14:paraId="5C902F3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hideMark/>
          </w:tcPr>
          <w:p w14:paraId="22713FA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6DA4CE19"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State of the adoption of an improved legislative framework</w:t>
            </w:r>
          </w:p>
        </w:tc>
        <w:tc>
          <w:tcPr>
            <w:tcW w:w="1159" w:type="pct"/>
            <w:tcMar>
              <w:top w:w="0" w:type="dxa"/>
              <w:left w:w="108" w:type="dxa"/>
              <w:bottom w:w="0" w:type="dxa"/>
              <w:right w:w="108" w:type="dxa"/>
            </w:tcMar>
          </w:tcPr>
          <w:p w14:paraId="668397C1"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current legislative framework is not adequate to support significant improvements</w:t>
            </w:r>
          </w:p>
        </w:tc>
        <w:tc>
          <w:tcPr>
            <w:tcW w:w="1159" w:type="pct"/>
            <w:tcMar>
              <w:top w:w="0" w:type="dxa"/>
              <w:left w:w="108" w:type="dxa"/>
              <w:bottom w:w="0" w:type="dxa"/>
              <w:right w:w="108" w:type="dxa"/>
            </w:tcMar>
          </w:tcPr>
          <w:p w14:paraId="6161BEEC"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An enhanced legislative framework developed by 2023</w:t>
            </w:r>
          </w:p>
        </w:tc>
      </w:tr>
      <w:tr w:rsidR="00B02183" w:rsidRPr="007C4D65" w14:paraId="54BCB608" w14:textId="77777777" w:rsidTr="00B6017F">
        <w:trPr>
          <w:trHeight w:val="287"/>
        </w:trPr>
        <w:tc>
          <w:tcPr>
            <w:tcW w:w="813" w:type="pct"/>
            <w:vMerge/>
            <w:shd w:val="clear" w:color="auto" w:fill="D9D9D9"/>
            <w:vAlign w:val="center"/>
          </w:tcPr>
          <w:p w14:paraId="076184B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tcPr>
          <w:p w14:paraId="432D518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C9E455F"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Percentage of reduction of energy consumption</w:t>
            </w:r>
          </w:p>
        </w:tc>
        <w:tc>
          <w:tcPr>
            <w:tcW w:w="1159" w:type="pct"/>
            <w:tcMar>
              <w:top w:w="0" w:type="dxa"/>
              <w:left w:w="108" w:type="dxa"/>
              <w:bottom w:w="0" w:type="dxa"/>
              <w:right w:w="108" w:type="dxa"/>
            </w:tcMar>
          </w:tcPr>
          <w:p w14:paraId="1ED81B5D"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TFEC in residential buildings in 2020 amounted to 1.035 </w:t>
            </w:r>
            <w:proofErr w:type="spellStart"/>
            <w:r w:rsidRPr="007C4D65">
              <w:rPr>
                <w:rFonts w:asciiTheme="minorHAnsi" w:hAnsiTheme="minorHAnsi" w:cstheme="minorHAnsi"/>
                <w:sz w:val="18"/>
              </w:rPr>
              <w:t>ktoe</w:t>
            </w:r>
            <w:proofErr w:type="spellEnd"/>
          </w:p>
        </w:tc>
        <w:tc>
          <w:tcPr>
            <w:tcW w:w="1159" w:type="pct"/>
            <w:tcMar>
              <w:top w:w="0" w:type="dxa"/>
              <w:left w:w="108" w:type="dxa"/>
              <w:bottom w:w="0" w:type="dxa"/>
              <w:right w:w="108" w:type="dxa"/>
            </w:tcMar>
          </w:tcPr>
          <w:p w14:paraId="639E8E0F"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Reducing the final energy consumption in residential buildings by 22% by 2030 as compared to 2018</w:t>
            </w:r>
          </w:p>
        </w:tc>
      </w:tr>
      <w:tr w:rsidR="00B02183" w:rsidRPr="007C4D65" w14:paraId="0F69DFE1" w14:textId="77777777" w:rsidTr="00B6017F">
        <w:trPr>
          <w:trHeight w:val="287"/>
        </w:trPr>
        <w:tc>
          <w:tcPr>
            <w:tcW w:w="813" w:type="pct"/>
            <w:vMerge/>
            <w:shd w:val="clear" w:color="auto" w:fill="D9D9D9"/>
            <w:vAlign w:val="center"/>
          </w:tcPr>
          <w:p w14:paraId="66A02FE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tcPr>
          <w:p w14:paraId="2A5B0A2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01A0AA4C"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Savings in final energy</w:t>
            </w:r>
          </w:p>
        </w:tc>
        <w:tc>
          <w:tcPr>
            <w:tcW w:w="1159" w:type="pct"/>
            <w:tcMar>
              <w:top w:w="0" w:type="dxa"/>
              <w:left w:w="108" w:type="dxa"/>
              <w:bottom w:w="0" w:type="dxa"/>
              <w:right w:w="108" w:type="dxa"/>
            </w:tcMar>
          </w:tcPr>
          <w:p w14:paraId="0BB1E753"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Poor efficiency of public buildings, energy consumption in the public sector and service industry 285 </w:t>
            </w:r>
            <w:proofErr w:type="spellStart"/>
            <w:r w:rsidRPr="007C4D65">
              <w:rPr>
                <w:rFonts w:asciiTheme="minorHAnsi" w:hAnsiTheme="minorHAnsi" w:cstheme="minorHAnsi"/>
                <w:sz w:val="18"/>
              </w:rPr>
              <w:t>ktoe</w:t>
            </w:r>
            <w:proofErr w:type="spellEnd"/>
            <w:r w:rsidRPr="007C4D65">
              <w:rPr>
                <w:rFonts w:asciiTheme="minorHAnsi" w:hAnsiTheme="minorHAnsi" w:cstheme="minorHAnsi"/>
                <w:sz w:val="18"/>
              </w:rPr>
              <w:t xml:space="preserve"> in 2020</w:t>
            </w:r>
          </w:p>
        </w:tc>
        <w:tc>
          <w:tcPr>
            <w:tcW w:w="1159" w:type="pct"/>
            <w:tcMar>
              <w:top w:w="0" w:type="dxa"/>
              <w:left w:w="108" w:type="dxa"/>
              <w:bottom w:w="0" w:type="dxa"/>
              <w:right w:w="108" w:type="dxa"/>
            </w:tcMar>
          </w:tcPr>
          <w:p w14:paraId="43041A18"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Cumulative savings in final energy by 2030 19.28 </w:t>
            </w:r>
            <w:proofErr w:type="spellStart"/>
            <w:r w:rsidRPr="007C4D65">
              <w:rPr>
                <w:rFonts w:asciiTheme="minorHAnsi" w:hAnsiTheme="minorHAnsi" w:cstheme="minorHAnsi"/>
                <w:sz w:val="18"/>
              </w:rPr>
              <w:t>ktoe</w:t>
            </w:r>
            <w:proofErr w:type="spellEnd"/>
            <w:r w:rsidRPr="007C4D65">
              <w:rPr>
                <w:rFonts w:asciiTheme="minorHAnsi" w:hAnsiTheme="minorHAnsi" w:cstheme="minorHAnsi"/>
                <w:sz w:val="18"/>
              </w:rPr>
              <w:t xml:space="preserve"> (total rehabilitated building stock 18.4%)</w:t>
            </w:r>
          </w:p>
        </w:tc>
      </w:tr>
      <w:tr w:rsidR="00B02183" w:rsidRPr="007C4D65" w14:paraId="078A8A83" w14:textId="77777777" w:rsidTr="00B6017F">
        <w:trPr>
          <w:trHeight w:val="287"/>
        </w:trPr>
        <w:tc>
          <w:tcPr>
            <w:tcW w:w="813" w:type="pct"/>
            <w:vMerge/>
            <w:shd w:val="clear" w:color="auto" w:fill="D9D9D9"/>
            <w:vAlign w:val="center"/>
          </w:tcPr>
          <w:p w14:paraId="6BBE6BB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tcPr>
          <w:p w14:paraId="033829E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1CAD0ABE" w14:textId="0E1379D2"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Percentage of reduction of final energy </w:t>
            </w:r>
            <w:r w:rsidR="00830279" w:rsidRPr="007C4D65">
              <w:rPr>
                <w:rFonts w:asciiTheme="minorHAnsi" w:hAnsiTheme="minorHAnsi" w:cstheme="minorHAnsi"/>
                <w:sz w:val="18"/>
              </w:rPr>
              <w:t>consumption</w:t>
            </w:r>
            <w:r w:rsidRPr="007C4D65">
              <w:rPr>
                <w:rFonts w:asciiTheme="minorHAnsi" w:hAnsiTheme="minorHAnsi" w:cstheme="minorHAnsi"/>
                <w:sz w:val="18"/>
              </w:rPr>
              <w:t xml:space="preserve"> in industry</w:t>
            </w:r>
          </w:p>
        </w:tc>
        <w:tc>
          <w:tcPr>
            <w:tcW w:w="1159" w:type="pct"/>
            <w:tcMar>
              <w:top w:w="0" w:type="dxa"/>
              <w:left w:w="108" w:type="dxa"/>
              <w:bottom w:w="0" w:type="dxa"/>
              <w:right w:w="108" w:type="dxa"/>
            </w:tcMar>
          </w:tcPr>
          <w:p w14:paraId="3581E3DB"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 TFEC in a consumption 384 </w:t>
            </w:r>
            <w:proofErr w:type="spellStart"/>
            <w:r w:rsidRPr="007C4D65">
              <w:rPr>
                <w:rFonts w:asciiTheme="minorHAnsi" w:hAnsiTheme="minorHAnsi" w:cstheme="minorHAnsi"/>
                <w:sz w:val="18"/>
              </w:rPr>
              <w:t>ktoe</w:t>
            </w:r>
            <w:proofErr w:type="spellEnd"/>
            <w:r w:rsidRPr="007C4D65">
              <w:rPr>
                <w:rFonts w:asciiTheme="minorHAnsi" w:hAnsiTheme="minorHAnsi" w:cstheme="minorHAnsi"/>
                <w:sz w:val="18"/>
              </w:rPr>
              <w:t xml:space="preserve"> in 2020</w:t>
            </w:r>
          </w:p>
        </w:tc>
        <w:tc>
          <w:tcPr>
            <w:tcW w:w="1159" w:type="pct"/>
            <w:tcMar>
              <w:top w:w="0" w:type="dxa"/>
              <w:left w:w="108" w:type="dxa"/>
              <w:bottom w:w="0" w:type="dxa"/>
              <w:right w:w="108" w:type="dxa"/>
            </w:tcMar>
          </w:tcPr>
          <w:p w14:paraId="530F2851"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Reducing the final energy consumption in industry by 3.3% by 2030 as compared to 2020</w:t>
            </w:r>
          </w:p>
        </w:tc>
      </w:tr>
      <w:tr w:rsidR="00B02183" w:rsidRPr="007C4D65" w14:paraId="652EAAA1" w14:textId="77777777" w:rsidTr="00B6017F">
        <w:trPr>
          <w:trHeight w:val="287"/>
        </w:trPr>
        <w:tc>
          <w:tcPr>
            <w:tcW w:w="813" w:type="pct"/>
            <w:vMerge/>
            <w:shd w:val="clear" w:color="auto" w:fill="D9D9D9"/>
            <w:vAlign w:val="center"/>
          </w:tcPr>
          <w:p w14:paraId="68F08A5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tcPr>
          <w:p w14:paraId="6EF7579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21E8E420"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Percentage of reduction of primary energy consumption</w:t>
            </w:r>
          </w:p>
        </w:tc>
        <w:tc>
          <w:tcPr>
            <w:tcW w:w="1159" w:type="pct"/>
            <w:tcMar>
              <w:top w:w="0" w:type="dxa"/>
              <w:left w:w="108" w:type="dxa"/>
              <w:bottom w:w="0" w:type="dxa"/>
              <w:right w:w="108" w:type="dxa"/>
            </w:tcMar>
          </w:tcPr>
          <w:p w14:paraId="7E845B31"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Forecasted primary energy consumption 4,294 </w:t>
            </w:r>
            <w:proofErr w:type="spellStart"/>
            <w:r w:rsidRPr="007C4D65">
              <w:rPr>
                <w:rFonts w:asciiTheme="minorHAnsi" w:hAnsiTheme="minorHAnsi" w:cstheme="minorHAnsi"/>
                <w:sz w:val="18"/>
              </w:rPr>
              <w:t>ktoe</w:t>
            </w:r>
            <w:proofErr w:type="spellEnd"/>
            <w:r w:rsidRPr="007C4D65">
              <w:rPr>
                <w:rFonts w:asciiTheme="minorHAnsi" w:hAnsiTheme="minorHAnsi" w:cstheme="minorHAnsi"/>
                <w:sz w:val="18"/>
              </w:rPr>
              <w:t xml:space="preserve"> in 2020</w:t>
            </w:r>
          </w:p>
        </w:tc>
        <w:tc>
          <w:tcPr>
            <w:tcW w:w="1159" w:type="pct"/>
            <w:tcMar>
              <w:top w:w="0" w:type="dxa"/>
              <w:left w:w="108" w:type="dxa"/>
              <w:bottom w:w="0" w:type="dxa"/>
              <w:right w:w="108" w:type="dxa"/>
            </w:tcMar>
          </w:tcPr>
          <w:p w14:paraId="36AB5027"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Reducing the final energy consumption by 11% by 2030 as compared to 2020</w:t>
            </w:r>
          </w:p>
        </w:tc>
      </w:tr>
      <w:tr w:rsidR="00B02183" w:rsidRPr="007C4D65" w14:paraId="6CC56A3F" w14:textId="77777777" w:rsidTr="00B6017F">
        <w:trPr>
          <w:trHeight w:val="287"/>
        </w:trPr>
        <w:tc>
          <w:tcPr>
            <w:tcW w:w="813" w:type="pct"/>
            <w:vMerge/>
            <w:shd w:val="clear" w:color="auto" w:fill="D9D9D9"/>
            <w:vAlign w:val="center"/>
            <w:hideMark/>
          </w:tcPr>
          <w:p w14:paraId="4A54C0B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hideMark/>
          </w:tcPr>
          <w:p w14:paraId="30734C8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524CD660" w14:textId="0141E75C"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68C90534"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02D97E0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0A3CB2CF" w14:textId="77777777" w:rsidTr="00B6017F">
        <w:trPr>
          <w:trHeight w:val="287"/>
        </w:trPr>
        <w:tc>
          <w:tcPr>
            <w:tcW w:w="813" w:type="pct"/>
            <w:vMerge/>
            <w:shd w:val="clear" w:color="auto" w:fill="D9D9D9"/>
            <w:vAlign w:val="center"/>
          </w:tcPr>
          <w:p w14:paraId="6C89F59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0" w:type="pct"/>
            <w:vMerge/>
            <w:vAlign w:val="center"/>
          </w:tcPr>
          <w:p w14:paraId="039E7DD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24E6390"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204.9</w:t>
            </w:r>
          </w:p>
        </w:tc>
        <w:tc>
          <w:tcPr>
            <w:tcW w:w="1159" w:type="pct"/>
            <w:tcMar>
              <w:top w:w="0" w:type="dxa"/>
              <w:left w:w="108" w:type="dxa"/>
              <w:bottom w:w="0" w:type="dxa"/>
              <w:right w:w="108" w:type="dxa"/>
            </w:tcMar>
            <w:vAlign w:val="center"/>
          </w:tcPr>
          <w:p w14:paraId="444E8FF0"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1843.2</w:t>
            </w:r>
          </w:p>
        </w:tc>
        <w:tc>
          <w:tcPr>
            <w:tcW w:w="1159" w:type="pct"/>
            <w:tcMar>
              <w:top w:w="0" w:type="dxa"/>
              <w:left w:w="108" w:type="dxa"/>
              <w:bottom w:w="0" w:type="dxa"/>
              <w:right w:w="108" w:type="dxa"/>
            </w:tcMar>
            <w:vAlign w:val="center"/>
          </w:tcPr>
          <w:p w14:paraId="14F4B126"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2048</w:t>
            </w:r>
          </w:p>
        </w:tc>
      </w:tr>
    </w:tbl>
    <w:p w14:paraId="55A464EC"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263"/>
        <w:gridCol w:w="1986"/>
        <w:gridCol w:w="3233"/>
        <w:gridCol w:w="3233"/>
        <w:gridCol w:w="3233"/>
      </w:tblGrid>
      <w:tr w:rsidR="00B02183" w:rsidRPr="007C4D65" w14:paraId="255CBFC7" w14:textId="77777777" w:rsidTr="00B6017F">
        <w:trPr>
          <w:trHeight w:val="483"/>
        </w:trPr>
        <w:tc>
          <w:tcPr>
            <w:tcW w:w="811" w:type="pct"/>
            <w:vMerge w:val="restart"/>
            <w:shd w:val="clear" w:color="auto" w:fill="D9D9D9"/>
            <w:tcMar>
              <w:top w:w="0" w:type="dxa"/>
              <w:left w:w="108" w:type="dxa"/>
              <w:bottom w:w="0" w:type="dxa"/>
              <w:right w:w="108" w:type="dxa"/>
            </w:tcMar>
            <w:vAlign w:val="center"/>
            <w:hideMark/>
          </w:tcPr>
          <w:p w14:paraId="1EC094A4"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4.5.1 Measure</w:t>
            </w:r>
          </w:p>
        </w:tc>
        <w:tc>
          <w:tcPr>
            <w:tcW w:w="712" w:type="pct"/>
            <w:vMerge w:val="restart"/>
            <w:tcMar>
              <w:top w:w="0" w:type="dxa"/>
              <w:left w:w="108" w:type="dxa"/>
              <w:bottom w:w="0" w:type="dxa"/>
              <w:right w:w="108" w:type="dxa"/>
            </w:tcMar>
            <w:vAlign w:val="center"/>
          </w:tcPr>
          <w:p w14:paraId="5D13286D"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Create an enabling environment for energy efficiency</w:t>
            </w:r>
          </w:p>
        </w:tc>
        <w:tc>
          <w:tcPr>
            <w:tcW w:w="1159" w:type="pct"/>
            <w:shd w:val="clear" w:color="auto" w:fill="D9D9D9"/>
            <w:tcMar>
              <w:top w:w="0" w:type="dxa"/>
              <w:left w:w="108" w:type="dxa"/>
              <w:bottom w:w="0" w:type="dxa"/>
              <w:right w:w="108" w:type="dxa"/>
            </w:tcMar>
            <w:vAlign w:val="center"/>
            <w:hideMark/>
          </w:tcPr>
          <w:p w14:paraId="4302B710"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5A35B601"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5994325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392DB831" w14:textId="77777777" w:rsidTr="00B6017F">
        <w:trPr>
          <w:trHeight w:val="287"/>
        </w:trPr>
        <w:tc>
          <w:tcPr>
            <w:tcW w:w="811" w:type="pct"/>
            <w:vMerge/>
            <w:shd w:val="clear" w:color="auto" w:fill="D9D9D9"/>
            <w:vAlign w:val="center"/>
          </w:tcPr>
          <w:p w14:paraId="7235EC4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19B6B92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1EA317D"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Level of the implementation of the campaign and number of established counselling offices</w:t>
            </w:r>
          </w:p>
        </w:tc>
        <w:tc>
          <w:tcPr>
            <w:tcW w:w="1159" w:type="pct"/>
            <w:shd w:val="clear" w:color="auto" w:fill="FFFFFF"/>
            <w:tcMar>
              <w:top w:w="0" w:type="dxa"/>
              <w:left w:w="108" w:type="dxa"/>
              <w:bottom w:w="0" w:type="dxa"/>
              <w:right w:w="108" w:type="dxa"/>
            </w:tcMar>
            <w:vAlign w:val="center"/>
          </w:tcPr>
          <w:p w14:paraId="607948D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Poor awareness on energy efficiency, very small number of counselling offices</w:t>
            </w:r>
          </w:p>
        </w:tc>
        <w:tc>
          <w:tcPr>
            <w:tcW w:w="1159" w:type="pct"/>
            <w:shd w:val="clear" w:color="auto" w:fill="FFFFFF"/>
            <w:vAlign w:val="center"/>
          </w:tcPr>
          <w:p w14:paraId="27EC8EC4"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Energy counselling offices formed in all municipalities/cities</w:t>
            </w:r>
          </w:p>
        </w:tc>
      </w:tr>
      <w:tr w:rsidR="00B02183" w:rsidRPr="007C4D65" w14:paraId="2A8900F4" w14:textId="77777777" w:rsidTr="00B6017F">
        <w:trPr>
          <w:trHeight w:val="287"/>
        </w:trPr>
        <w:tc>
          <w:tcPr>
            <w:tcW w:w="811" w:type="pct"/>
            <w:vMerge/>
            <w:shd w:val="clear" w:color="auto" w:fill="D9D9D9"/>
            <w:vAlign w:val="center"/>
          </w:tcPr>
          <w:p w14:paraId="29FFF21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5AF812D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9F850F8"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adopting amendments to the Law on Public Procurement</w:t>
            </w:r>
          </w:p>
        </w:tc>
        <w:tc>
          <w:tcPr>
            <w:tcW w:w="1159" w:type="pct"/>
            <w:shd w:val="clear" w:color="auto" w:fill="FFFFFF"/>
            <w:tcMar>
              <w:top w:w="0" w:type="dxa"/>
              <w:left w:w="108" w:type="dxa"/>
              <w:bottom w:w="0" w:type="dxa"/>
              <w:right w:w="108" w:type="dxa"/>
            </w:tcMar>
            <w:vAlign w:val="center"/>
          </w:tcPr>
          <w:p w14:paraId="46472C22"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applicable Law on Public Procurement does not envisage green procurements</w:t>
            </w:r>
          </w:p>
        </w:tc>
        <w:tc>
          <w:tcPr>
            <w:tcW w:w="1159" w:type="pct"/>
            <w:shd w:val="clear" w:color="auto" w:fill="FFFFFF"/>
            <w:vAlign w:val="center"/>
          </w:tcPr>
          <w:p w14:paraId="3374FFE0"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The Law on Public Procurement amended</w:t>
            </w:r>
          </w:p>
        </w:tc>
      </w:tr>
      <w:tr w:rsidR="00B02183" w:rsidRPr="007C4D65" w14:paraId="4BFC405A" w14:textId="77777777" w:rsidTr="00B6017F">
        <w:trPr>
          <w:trHeight w:val="287"/>
        </w:trPr>
        <w:tc>
          <w:tcPr>
            <w:tcW w:w="811" w:type="pct"/>
            <w:vMerge/>
            <w:shd w:val="clear" w:color="auto" w:fill="D9D9D9"/>
            <w:vAlign w:val="center"/>
          </w:tcPr>
          <w:p w14:paraId="64F65C8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5A491A6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18706C9"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adoption of the regulation</w:t>
            </w:r>
          </w:p>
        </w:tc>
        <w:tc>
          <w:tcPr>
            <w:tcW w:w="1159" w:type="pct"/>
            <w:shd w:val="clear" w:color="auto" w:fill="FFFFFF"/>
            <w:tcMar>
              <w:top w:w="0" w:type="dxa"/>
              <w:left w:w="108" w:type="dxa"/>
              <w:bottom w:w="0" w:type="dxa"/>
              <w:right w:w="108" w:type="dxa"/>
            </w:tcMar>
            <w:vAlign w:val="center"/>
          </w:tcPr>
          <w:p w14:paraId="741C224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regulation on obligation schemes</w:t>
            </w:r>
          </w:p>
        </w:tc>
        <w:tc>
          <w:tcPr>
            <w:tcW w:w="1159" w:type="pct"/>
            <w:shd w:val="clear" w:color="auto" w:fill="FFFFFF"/>
            <w:vAlign w:val="center"/>
          </w:tcPr>
          <w:p w14:paraId="765C3F7B"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The regulation on obligation schemes adopted in the Federation of BiH</w:t>
            </w:r>
          </w:p>
        </w:tc>
      </w:tr>
      <w:tr w:rsidR="00B02183" w:rsidRPr="007C4D65" w14:paraId="53D26E58" w14:textId="77777777" w:rsidTr="00B6017F">
        <w:trPr>
          <w:trHeight w:val="287"/>
        </w:trPr>
        <w:tc>
          <w:tcPr>
            <w:tcW w:w="811" w:type="pct"/>
            <w:vMerge/>
            <w:shd w:val="clear" w:color="auto" w:fill="D9D9D9"/>
            <w:vAlign w:val="center"/>
          </w:tcPr>
          <w:p w14:paraId="273DA17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0268849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EB24779"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development and adoption of the model</w:t>
            </w:r>
          </w:p>
        </w:tc>
        <w:tc>
          <w:tcPr>
            <w:tcW w:w="1159" w:type="pct"/>
            <w:shd w:val="clear" w:color="auto" w:fill="FFFFFF"/>
            <w:tcMar>
              <w:top w:w="0" w:type="dxa"/>
              <w:left w:w="108" w:type="dxa"/>
              <w:bottom w:w="0" w:type="dxa"/>
              <w:right w:w="108" w:type="dxa"/>
            </w:tcMar>
            <w:vAlign w:val="center"/>
          </w:tcPr>
          <w:p w14:paraId="186CF1E3"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systemic model for EE public lighting</w:t>
            </w:r>
          </w:p>
        </w:tc>
        <w:tc>
          <w:tcPr>
            <w:tcW w:w="1159" w:type="pct"/>
            <w:shd w:val="clear" w:color="auto" w:fill="FFFFFF"/>
            <w:vAlign w:val="center"/>
          </w:tcPr>
          <w:p w14:paraId="26883E80" w14:textId="3F3399FC"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 xml:space="preserve">The model </w:t>
            </w:r>
            <w:r w:rsidR="00830279" w:rsidRPr="007C4D65">
              <w:rPr>
                <w:rFonts w:asciiTheme="minorHAnsi" w:hAnsiTheme="minorHAnsi" w:cstheme="minorHAnsi"/>
                <w:sz w:val="18"/>
              </w:rPr>
              <w:t>developed and adopted;</w:t>
            </w:r>
            <w:r w:rsidRPr="007C4D65">
              <w:rPr>
                <w:rFonts w:asciiTheme="minorHAnsi" w:hAnsiTheme="minorHAnsi" w:cstheme="minorHAnsi"/>
                <w:sz w:val="18"/>
              </w:rPr>
              <w:t xml:space="preserve"> the revolving fund created</w:t>
            </w:r>
          </w:p>
        </w:tc>
      </w:tr>
      <w:tr w:rsidR="00B02183" w:rsidRPr="007C4D65" w14:paraId="6AA01CC9" w14:textId="77777777" w:rsidTr="00B6017F">
        <w:trPr>
          <w:trHeight w:val="287"/>
        </w:trPr>
        <w:tc>
          <w:tcPr>
            <w:tcW w:w="811" w:type="pct"/>
            <w:vMerge/>
            <w:shd w:val="clear" w:color="auto" w:fill="D9D9D9"/>
            <w:vAlign w:val="center"/>
          </w:tcPr>
          <w:p w14:paraId="4AE0088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0FB2EAD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DE934B7"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enactment of the improved law and number of adopted rulebooks</w:t>
            </w:r>
          </w:p>
        </w:tc>
        <w:tc>
          <w:tcPr>
            <w:tcW w:w="1159" w:type="pct"/>
            <w:shd w:val="clear" w:color="auto" w:fill="FFFFFF"/>
            <w:tcMar>
              <w:top w:w="0" w:type="dxa"/>
              <w:left w:w="108" w:type="dxa"/>
              <w:bottom w:w="0" w:type="dxa"/>
              <w:right w:w="108" w:type="dxa"/>
            </w:tcMar>
            <w:vAlign w:val="center"/>
          </w:tcPr>
          <w:p w14:paraId="56984A2A"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applicable Law on EE failed to define some aspects of EE and some rulebooks are still missing</w:t>
            </w:r>
          </w:p>
        </w:tc>
        <w:tc>
          <w:tcPr>
            <w:tcW w:w="1159" w:type="pct"/>
            <w:shd w:val="clear" w:color="auto" w:fill="FFFFFF"/>
            <w:vAlign w:val="center"/>
          </w:tcPr>
          <w:p w14:paraId="2B620680" w14:textId="77777777"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amendments to the Law adopted, the missing regulations adopted</w:t>
            </w:r>
          </w:p>
        </w:tc>
      </w:tr>
      <w:tr w:rsidR="00B02183" w:rsidRPr="007C4D65" w14:paraId="5E2E1225" w14:textId="77777777" w:rsidTr="00B6017F">
        <w:trPr>
          <w:trHeight w:val="287"/>
        </w:trPr>
        <w:tc>
          <w:tcPr>
            <w:tcW w:w="811" w:type="pct"/>
            <w:vMerge/>
            <w:shd w:val="clear" w:color="auto" w:fill="D9D9D9"/>
            <w:vAlign w:val="center"/>
          </w:tcPr>
          <w:p w14:paraId="1B7D456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2FDB657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ED06E2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adoption and percentage of strategy implementation</w:t>
            </w:r>
          </w:p>
        </w:tc>
        <w:tc>
          <w:tcPr>
            <w:tcW w:w="1159" w:type="pct"/>
            <w:shd w:val="clear" w:color="auto" w:fill="FFFFFF"/>
            <w:tcMar>
              <w:top w:w="0" w:type="dxa"/>
              <w:left w:w="108" w:type="dxa"/>
              <w:bottom w:w="0" w:type="dxa"/>
              <w:right w:w="108" w:type="dxa"/>
            </w:tcMar>
            <w:vAlign w:val="center"/>
          </w:tcPr>
          <w:p w14:paraId="6D1ECBE5"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Strategy developed, not adopted</w:t>
            </w:r>
          </w:p>
        </w:tc>
        <w:tc>
          <w:tcPr>
            <w:tcW w:w="1159" w:type="pct"/>
            <w:shd w:val="clear" w:color="auto" w:fill="FFFFFF"/>
            <w:vAlign w:val="center"/>
          </w:tcPr>
          <w:p w14:paraId="51810873" w14:textId="2E54029A"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Strategy on retrofitting of buildings adopted and implemented</w:t>
            </w:r>
          </w:p>
        </w:tc>
      </w:tr>
      <w:tr w:rsidR="00B02183" w:rsidRPr="007C4D65" w14:paraId="23ACD700" w14:textId="77777777" w:rsidTr="00B6017F">
        <w:trPr>
          <w:trHeight w:val="287"/>
        </w:trPr>
        <w:tc>
          <w:tcPr>
            <w:tcW w:w="811" w:type="pct"/>
            <w:vMerge/>
            <w:shd w:val="clear" w:color="auto" w:fill="D9D9D9"/>
            <w:vAlign w:val="center"/>
          </w:tcPr>
          <w:p w14:paraId="287B04A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126DA9F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41E773F" w14:textId="2D4BF8EC" w:rsidR="00B02183" w:rsidRPr="007C4D65" w:rsidRDefault="00B02183" w:rsidP="00B02183">
            <w:pPr>
              <w:spacing w:after="120" w:line="276" w:lineRule="auto"/>
              <w:ind w:hanging="2"/>
              <w:contextualSpacing/>
              <w:rPr>
                <w:rFonts w:asciiTheme="minorHAnsi" w:eastAsia="Calibri" w:hAnsiTheme="minorHAnsi" w:cstheme="minorHAnsi"/>
                <w:sz w:val="18"/>
                <w:szCs w:val="18"/>
              </w:rPr>
            </w:pPr>
            <w:r w:rsidRPr="007C4D65">
              <w:rPr>
                <w:rFonts w:asciiTheme="minorHAnsi" w:hAnsiTheme="minorHAnsi" w:cstheme="minorHAnsi"/>
                <w:sz w:val="18"/>
              </w:rPr>
              <w:t>The percentage of public buildings registered in the information system</w:t>
            </w:r>
          </w:p>
        </w:tc>
        <w:tc>
          <w:tcPr>
            <w:tcW w:w="1159" w:type="pct"/>
            <w:shd w:val="clear" w:color="auto" w:fill="FFFFFF"/>
            <w:tcMar>
              <w:top w:w="0" w:type="dxa"/>
              <w:left w:w="108" w:type="dxa"/>
              <w:bottom w:w="0" w:type="dxa"/>
              <w:right w:w="108" w:type="dxa"/>
            </w:tcMar>
            <w:vAlign w:val="center"/>
          </w:tcPr>
          <w:p w14:paraId="6FD171CB"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energy efficiency information system set up</w:t>
            </w:r>
          </w:p>
        </w:tc>
        <w:tc>
          <w:tcPr>
            <w:tcW w:w="1159" w:type="pct"/>
            <w:shd w:val="clear" w:color="auto" w:fill="FFFFFF"/>
            <w:vAlign w:val="center"/>
          </w:tcPr>
          <w:p w14:paraId="510764A4" w14:textId="67F496D9" w:rsidR="00B02183" w:rsidRPr="007C4D65" w:rsidRDefault="00B02183" w:rsidP="00B02183">
            <w:pPr>
              <w:spacing w:line="276" w:lineRule="auto"/>
              <w:ind w:left="211"/>
              <w:rPr>
                <w:rFonts w:asciiTheme="minorHAnsi" w:eastAsia="Calibri" w:hAnsiTheme="minorHAnsi" w:cstheme="minorHAnsi"/>
                <w:sz w:val="18"/>
                <w:szCs w:val="18"/>
              </w:rPr>
            </w:pPr>
            <w:r w:rsidRPr="007C4D65">
              <w:rPr>
                <w:rFonts w:asciiTheme="minorHAnsi" w:hAnsiTheme="minorHAnsi" w:cstheme="minorHAnsi"/>
                <w:sz w:val="18"/>
              </w:rPr>
              <w:t>The information system effective</w:t>
            </w:r>
          </w:p>
        </w:tc>
      </w:tr>
      <w:tr w:rsidR="00B02183" w:rsidRPr="007C4D65" w14:paraId="3CC8082E" w14:textId="77777777" w:rsidTr="00B6017F">
        <w:trPr>
          <w:trHeight w:val="483"/>
        </w:trPr>
        <w:tc>
          <w:tcPr>
            <w:tcW w:w="811" w:type="pct"/>
            <w:vMerge/>
            <w:shd w:val="clear" w:color="auto" w:fill="D9D9D9"/>
            <w:vAlign w:val="center"/>
            <w:hideMark/>
          </w:tcPr>
          <w:p w14:paraId="38C0D24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58508965"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24B3D517" w14:textId="5E466253"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22028E54"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571ADE1E"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22BC0C2B" w14:textId="77777777" w:rsidTr="00B6017F">
        <w:trPr>
          <w:trHeight w:val="287"/>
        </w:trPr>
        <w:tc>
          <w:tcPr>
            <w:tcW w:w="811" w:type="pct"/>
            <w:vMerge/>
            <w:shd w:val="clear" w:color="auto" w:fill="D9D9D9"/>
            <w:vAlign w:val="center"/>
            <w:hideMark/>
          </w:tcPr>
          <w:p w14:paraId="60EE9A0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3C98367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66F56D7"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195.6</w:t>
            </w:r>
          </w:p>
        </w:tc>
        <w:tc>
          <w:tcPr>
            <w:tcW w:w="1159" w:type="pct"/>
            <w:tcMar>
              <w:top w:w="0" w:type="dxa"/>
              <w:left w:w="108" w:type="dxa"/>
              <w:bottom w:w="0" w:type="dxa"/>
              <w:right w:w="108" w:type="dxa"/>
            </w:tcMar>
            <w:vAlign w:val="center"/>
          </w:tcPr>
          <w:p w14:paraId="6863527D"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1760.4</w:t>
            </w:r>
          </w:p>
        </w:tc>
        <w:tc>
          <w:tcPr>
            <w:tcW w:w="1159" w:type="pct"/>
            <w:tcMar>
              <w:top w:w="0" w:type="dxa"/>
              <w:left w:w="108" w:type="dxa"/>
              <w:bottom w:w="0" w:type="dxa"/>
              <w:right w:w="108" w:type="dxa"/>
            </w:tcMar>
            <w:vAlign w:val="center"/>
          </w:tcPr>
          <w:p w14:paraId="45608430"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1956</w:t>
            </w:r>
          </w:p>
        </w:tc>
      </w:tr>
      <w:tr w:rsidR="00B02183" w:rsidRPr="007C4D65" w14:paraId="356CC0BF" w14:textId="77777777" w:rsidTr="00B6017F">
        <w:trPr>
          <w:trHeight w:val="483"/>
        </w:trPr>
        <w:tc>
          <w:tcPr>
            <w:tcW w:w="811" w:type="pct"/>
            <w:vMerge w:val="restart"/>
            <w:shd w:val="clear" w:color="auto" w:fill="D9D9D9"/>
            <w:tcMar>
              <w:top w:w="0" w:type="dxa"/>
              <w:left w:w="108" w:type="dxa"/>
              <w:bottom w:w="0" w:type="dxa"/>
              <w:right w:w="108" w:type="dxa"/>
            </w:tcMar>
            <w:vAlign w:val="center"/>
            <w:hideMark/>
          </w:tcPr>
          <w:p w14:paraId="232B8239"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4.5.2 Measure</w:t>
            </w:r>
          </w:p>
        </w:tc>
        <w:tc>
          <w:tcPr>
            <w:tcW w:w="712" w:type="pct"/>
            <w:vMerge w:val="restart"/>
            <w:tcMar>
              <w:top w:w="0" w:type="dxa"/>
              <w:left w:w="108" w:type="dxa"/>
              <w:bottom w:w="0" w:type="dxa"/>
              <w:right w:w="108" w:type="dxa"/>
            </w:tcMar>
            <w:vAlign w:val="center"/>
          </w:tcPr>
          <w:p w14:paraId="572F8BD0"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Reduction of primary energy consumption</w:t>
            </w:r>
          </w:p>
        </w:tc>
        <w:tc>
          <w:tcPr>
            <w:tcW w:w="1159" w:type="pct"/>
            <w:shd w:val="clear" w:color="auto" w:fill="D9D9D9"/>
            <w:tcMar>
              <w:top w:w="0" w:type="dxa"/>
              <w:left w:w="108" w:type="dxa"/>
              <w:bottom w:w="0" w:type="dxa"/>
              <w:right w:w="108" w:type="dxa"/>
            </w:tcMar>
            <w:vAlign w:val="center"/>
            <w:hideMark/>
          </w:tcPr>
          <w:p w14:paraId="561392DD"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47F5FC21"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42D661A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41A54AB9" w14:textId="77777777" w:rsidTr="00B6017F">
        <w:trPr>
          <w:trHeight w:val="287"/>
        </w:trPr>
        <w:tc>
          <w:tcPr>
            <w:tcW w:w="811" w:type="pct"/>
            <w:vMerge/>
            <w:shd w:val="clear" w:color="auto" w:fill="D9D9D9"/>
            <w:vAlign w:val="center"/>
          </w:tcPr>
          <w:p w14:paraId="282B360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1CC39D4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1776841E"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Percentage of household appliances on the market with Energy Labelling</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38B73104"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official system of labelling energy efficiency on appliances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66E0302E"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i/>
                <w:sz w:val="18"/>
              </w:rPr>
              <w:t>Energy Labelling</w:t>
            </w:r>
            <w:r w:rsidRPr="007C4D65">
              <w:rPr>
                <w:rFonts w:asciiTheme="minorHAnsi" w:hAnsiTheme="minorHAnsi" w:cstheme="minorHAnsi"/>
                <w:sz w:val="18"/>
              </w:rPr>
              <w:t xml:space="preserve"> Standard implemented for household appliances</w:t>
            </w:r>
          </w:p>
        </w:tc>
      </w:tr>
      <w:tr w:rsidR="00B02183" w:rsidRPr="007C4D65" w14:paraId="1FCEAE4C" w14:textId="77777777" w:rsidTr="00B6017F">
        <w:trPr>
          <w:trHeight w:val="287"/>
        </w:trPr>
        <w:tc>
          <w:tcPr>
            <w:tcW w:w="811" w:type="pct"/>
            <w:vMerge/>
            <w:shd w:val="clear" w:color="auto" w:fill="D9D9D9"/>
            <w:vAlign w:val="center"/>
          </w:tcPr>
          <w:p w14:paraId="7D30784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4782B97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7D1218AA"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development and adoption of the model</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3A493D6D"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comprehensive model in the entire Federation of BiH which specifies criteria</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6C64841"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The model developed and adopted</w:t>
            </w:r>
          </w:p>
        </w:tc>
      </w:tr>
      <w:tr w:rsidR="00B02183" w:rsidRPr="007C4D65" w14:paraId="10461735" w14:textId="77777777" w:rsidTr="00B6017F">
        <w:trPr>
          <w:trHeight w:val="287"/>
        </w:trPr>
        <w:tc>
          <w:tcPr>
            <w:tcW w:w="811" w:type="pct"/>
            <w:vMerge/>
            <w:shd w:val="clear" w:color="auto" w:fill="D9D9D9"/>
            <w:vAlign w:val="center"/>
          </w:tcPr>
          <w:p w14:paraId="5701546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6910C9F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4421DA6F"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 xml:space="preserve">Status of the adoption of amendments to the rulebook </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61C5A0E6"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applicable regulation does not take into consideration the need for cooling and DHW, and needs for heating are relatively high</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5BA89D1"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The Rulebook adopted, as amended</w:t>
            </w:r>
          </w:p>
        </w:tc>
      </w:tr>
      <w:tr w:rsidR="00B02183" w:rsidRPr="007C4D65" w14:paraId="07487B08" w14:textId="77777777" w:rsidTr="00B6017F">
        <w:trPr>
          <w:trHeight w:val="287"/>
        </w:trPr>
        <w:tc>
          <w:tcPr>
            <w:tcW w:w="811" w:type="pct"/>
            <w:vMerge/>
            <w:shd w:val="clear" w:color="auto" w:fill="D9D9D9"/>
            <w:vAlign w:val="center"/>
          </w:tcPr>
          <w:p w14:paraId="6BF4FE8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30D57CA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091CC79A"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development and adoption of the model</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30220EC0"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Three is no comprehensive model in the entire Federation of BiH which specifies criteria</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59CB13F"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The model developed and adopted</w:t>
            </w:r>
          </w:p>
        </w:tc>
      </w:tr>
      <w:tr w:rsidR="00B02183" w:rsidRPr="007C4D65" w14:paraId="7B0954F0" w14:textId="77777777" w:rsidTr="00B6017F">
        <w:trPr>
          <w:trHeight w:val="287"/>
        </w:trPr>
        <w:tc>
          <w:tcPr>
            <w:tcW w:w="811" w:type="pct"/>
            <w:vMerge/>
            <w:shd w:val="clear" w:color="auto" w:fill="D9D9D9"/>
            <w:vAlign w:val="center"/>
          </w:tcPr>
          <w:p w14:paraId="02A49DC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004593C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08438494"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Number of implemented ESCO projects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2141E43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A small number of ESCO projects </w:t>
            </w:r>
            <w:proofErr w:type="gramStart"/>
            <w:r w:rsidRPr="007C4D65">
              <w:rPr>
                <w:rFonts w:asciiTheme="minorHAnsi" w:hAnsiTheme="minorHAnsi" w:cstheme="minorHAnsi"/>
                <w:sz w:val="18"/>
              </w:rPr>
              <w:t>implemented,</w:t>
            </w:r>
            <w:proofErr w:type="gramEnd"/>
            <w:r w:rsidRPr="007C4D65">
              <w:rPr>
                <w:rFonts w:asciiTheme="minorHAnsi" w:hAnsiTheme="minorHAnsi" w:cstheme="minorHAnsi"/>
                <w:sz w:val="18"/>
              </w:rPr>
              <w:t xml:space="preserve"> implementation of pilot projects is underway in the public sector</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7DD2CB7"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ESCO market developed</w:t>
            </w:r>
          </w:p>
        </w:tc>
      </w:tr>
      <w:tr w:rsidR="00B02183" w:rsidRPr="007C4D65" w14:paraId="26AFA176" w14:textId="77777777" w:rsidTr="00B6017F">
        <w:trPr>
          <w:trHeight w:val="287"/>
        </w:trPr>
        <w:tc>
          <w:tcPr>
            <w:tcW w:w="811" w:type="pct"/>
            <w:vMerge/>
            <w:shd w:val="clear" w:color="auto" w:fill="D9D9D9"/>
            <w:vAlign w:val="center"/>
          </w:tcPr>
          <w:p w14:paraId="300C655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6699631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257B8668"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Percentage of industrial facilities with major energy consumption that have completed energy audit</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0EE012D5"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 small number of industrial facilities have completed energy audits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53F410E"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Energy audits completed in all the facilities</w:t>
            </w:r>
          </w:p>
        </w:tc>
      </w:tr>
      <w:tr w:rsidR="00B02183" w:rsidRPr="007C4D65" w14:paraId="3B0158E7" w14:textId="77777777" w:rsidTr="00B6017F">
        <w:trPr>
          <w:trHeight w:val="287"/>
        </w:trPr>
        <w:tc>
          <w:tcPr>
            <w:tcW w:w="811" w:type="pct"/>
            <w:vMerge/>
            <w:shd w:val="clear" w:color="auto" w:fill="D9D9D9"/>
            <w:vAlign w:val="center"/>
          </w:tcPr>
          <w:p w14:paraId="3AD1EA8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221E516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002482AE" w14:textId="4E55BCB3"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Number of industrial companies in the network</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13B6068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EE network</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9256786" w14:textId="77777777"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network established and connected to the national network</w:t>
            </w:r>
          </w:p>
        </w:tc>
      </w:tr>
      <w:tr w:rsidR="00B02183" w:rsidRPr="007C4D65" w14:paraId="4EC17F86" w14:textId="77777777" w:rsidTr="00B6017F">
        <w:trPr>
          <w:trHeight w:val="287"/>
        </w:trPr>
        <w:tc>
          <w:tcPr>
            <w:tcW w:w="811" w:type="pct"/>
            <w:vMerge/>
            <w:shd w:val="clear" w:color="auto" w:fill="D9D9D9"/>
            <w:vAlign w:val="center"/>
          </w:tcPr>
          <w:p w14:paraId="3DBC5E1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7E71D5A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701EE7FF"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Percentage of industrial facilities that have appointed energy managers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6CB70A9C"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 small number of industrial companies have appointed energy managers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51EEEF1" w14:textId="77777777"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energy managers appointed</w:t>
            </w:r>
          </w:p>
        </w:tc>
      </w:tr>
      <w:tr w:rsidR="00B02183" w:rsidRPr="007C4D65" w14:paraId="677BAC55" w14:textId="77777777" w:rsidTr="00B6017F">
        <w:trPr>
          <w:trHeight w:val="483"/>
        </w:trPr>
        <w:tc>
          <w:tcPr>
            <w:tcW w:w="811" w:type="pct"/>
            <w:vMerge/>
            <w:shd w:val="clear" w:color="auto" w:fill="D9D9D9"/>
            <w:vAlign w:val="center"/>
            <w:hideMark/>
          </w:tcPr>
          <w:p w14:paraId="704607B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49A25DEE"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4FA4FB2" w14:textId="4DCF9934"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41D05082"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6FAD53F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7DB03A24" w14:textId="77777777" w:rsidTr="00B6017F">
        <w:trPr>
          <w:trHeight w:val="287"/>
        </w:trPr>
        <w:tc>
          <w:tcPr>
            <w:tcW w:w="811" w:type="pct"/>
            <w:vMerge/>
            <w:shd w:val="clear" w:color="auto" w:fill="D9D9D9"/>
            <w:vAlign w:val="center"/>
            <w:hideMark/>
          </w:tcPr>
          <w:p w14:paraId="0E8F254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2496CE7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87AAC3A"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0.249</w:t>
            </w:r>
          </w:p>
        </w:tc>
        <w:tc>
          <w:tcPr>
            <w:tcW w:w="1159" w:type="pct"/>
            <w:tcMar>
              <w:top w:w="0" w:type="dxa"/>
              <w:left w:w="108" w:type="dxa"/>
              <w:bottom w:w="0" w:type="dxa"/>
              <w:right w:w="108" w:type="dxa"/>
            </w:tcMar>
            <w:vAlign w:val="center"/>
          </w:tcPr>
          <w:p w14:paraId="252E0B7B"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0.996</w:t>
            </w:r>
          </w:p>
        </w:tc>
        <w:tc>
          <w:tcPr>
            <w:tcW w:w="1159" w:type="pct"/>
            <w:tcMar>
              <w:top w:w="0" w:type="dxa"/>
              <w:left w:w="108" w:type="dxa"/>
              <w:bottom w:w="0" w:type="dxa"/>
              <w:right w:w="108" w:type="dxa"/>
            </w:tcMar>
            <w:vAlign w:val="center"/>
          </w:tcPr>
          <w:p w14:paraId="727B426D"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1.2</w:t>
            </w:r>
          </w:p>
        </w:tc>
      </w:tr>
      <w:tr w:rsidR="00B02183" w:rsidRPr="007C4D65" w14:paraId="2CAF2403" w14:textId="77777777" w:rsidTr="00B6017F">
        <w:trPr>
          <w:trHeight w:val="483"/>
        </w:trPr>
        <w:tc>
          <w:tcPr>
            <w:tcW w:w="811" w:type="pct"/>
            <w:vMerge w:val="restart"/>
            <w:shd w:val="clear" w:color="auto" w:fill="D9D9D9"/>
            <w:tcMar>
              <w:top w:w="0" w:type="dxa"/>
              <w:left w:w="108" w:type="dxa"/>
              <w:bottom w:w="0" w:type="dxa"/>
              <w:right w:w="108" w:type="dxa"/>
            </w:tcMar>
            <w:vAlign w:val="center"/>
            <w:hideMark/>
          </w:tcPr>
          <w:p w14:paraId="6CB382AB"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4.5.3 Measure</w:t>
            </w:r>
          </w:p>
        </w:tc>
        <w:tc>
          <w:tcPr>
            <w:tcW w:w="712" w:type="pct"/>
            <w:vMerge w:val="restart"/>
            <w:tcMar>
              <w:top w:w="0" w:type="dxa"/>
              <w:left w:w="108" w:type="dxa"/>
              <w:bottom w:w="0" w:type="dxa"/>
              <w:right w:w="108" w:type="dxa"/>
            </w:tcMar>
            <w:vAlign w:val="center"/>
          </w:tcPr>
          <w:p w14:paraId="3DA8C33F"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Reduction of primary energy consumption</w:t>
            </w:r>
          </w:p>
        </w:tc>
        <w:tc>
          <w:tcPr>
            <w:tcW w:w="1159" w:type="pct"/>
            <w:shd w:val="clear" w:color="auto" w:fill="D9D9D9"/>
            <w:tcMar>
              <w:top w:w="0" w:type="dxa"/>
              <w:left w:w="108" w:type="dxa"/>
              <w:bottom w:w="0" w:type="dxa"/>
              <w:right w:w="108" w:type="dxa"/>
            </w:tcMar>
            <w:vAlign w:val="center"/>
            <w:hideMark/>
          </w:tcPr>
          <w:p w14:paraId="0E571BBC"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3ECFB897"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41E942A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5E7E5676" w14:textId="77777777" w:rsidTr="00B6017F">
        <w:trPr>
          <w:trHeight w:val="287"/>
        </w:trPr>
        <w:tc>
          <w:tcPr>
            <w:tcW w:w="811" w:type="pct"/>
            <w:vMerge/>
            <w:shd w:val="clear" w:color="auto" w:fill="D9D9D9"/>
            <w:vAlign w:val="center"/>
          </w:tcPr>
          <w:p w14:paraId="5605600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2741DDB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4E2670E"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adoption of the regulation</w:t>
            </w:r>
          </w:p>
        </w:tc>
        <w:tc>
          <w:tcPr>
            <w:tcW w:w="1159" w:type="pct"/>
            <w:shd w:val="clear" w:color="auto" w:fill="FFFFFF"/>
            <w:tcMar>
              <w:top w:w="0" w:type="dxa"/>
              <w:left w:w="108" w:type="dxa"/>
              <w:bottom w:w="0" w:type="dxa"/>
              <w:right w:w="108" w:type="dxa"/>
            </w:tcMar>
            <w:vAlign w:val="center"/>
          </w:tcPr>
          <w:p w14:paraId="1C984DD1"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No regulation requiring compliance with </w:t>
            </w:r>
            <w:proofErr w:type="spellStart"/>
            <w:r w:rsidRPr="007C4D65">
              <w:rPr>
                <w:rFonts w:asciiTheme="minorHAnsi" w:hAnsiTheme="minorHAnsi" w:cstheme="minorHAnsi"/>
                <w:sz w:val="18"/>
              </w:rPr>
              <w:t>EcoDesign</w:t>
            </w:r>
            <w:proofErr w:type="spellEnd"/>
          </w:p>
        </w:tc>
        <w:tc>
          <w:tcPr>
            <w:tcW w:w="1159" w:type="pct"/>
            <w:shd w:val="clear" w:color="auto" w:fill="FFFFFF"/>
            <w:vAlign w:val="center"/>
          </w:tcPr>
          <w:p w14:paraId="19EE1A94"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The regulation adopted (Regulation on the Energy Efficiency Law)</w:t>
            </w:r>
          </w:p>
        </w:tc>
      </w:tr>
      <w:tr w:rsidR="00B02183" w:rsidRPr="007C4D65" w14:paraId="5D838FAF" w14:textId="77777777" w:rsidTr="00B6017F">
        <w:trPr>
          <w:trHeight w:val="287"/>
        </w:trPr>
        <w:tc>
          <w:tcPr>
            <w:tcW w:w="811" w:type="pct"/>
            <w:vMerge/>
            <w:shd w:val="clear" w:color="auto" w:fill="D9D9D9"/>
            <w:vAlign w:val="center"/>
          </w:tcPr>
          <w:p w14:paraId="2FC7DDA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218E77D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198C487"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adoption of the incentive scheme</w:t>
            </w:r>
          </w:p>
        </w:tc>
        <w:tc>
          <w:tcPr>
            <w:tcW w:w="1159" w:type="pct"/>
            <w:shd w:val="clear" w:color="auto" w:fill="FFFFFF"/>
            <w:tcMar>
              <w:top w:w="0" w:type="dxa"/>
              <w:left w:w="108" w:type="dxa"/>
              <w:bottom w:w="0" w:type="dxa"/>
              <w:right w:w="108" w:type="dxa"/>
            </w:tcMar>
            <w:vAlign w:val="center"/>
          </w:tcPr>
          <w:p w14:paraId="0CB8632F"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Three is no comprehensive scheme in the entire Federation of BiH</w:t>
            </w:r>
          </w:p>
        </w:tc>
        <w:tc>
          <w:tcPr>
            <w:tcW w:w="1159" w:type="pct"/>
            <w:shd w:val="clear" w:color="auto" w:fill="FFFFFF"/>
            <w:vAlign w:val="center"/>
          </w:tcPr>
          <w:p w14:paraId="18C1CA88" w14:textId="77777777" w:rsidR="00B02183" w:rsidRPr="007C4D65" w:rsidRDefault="00B02183" w:rsidP="00B02183">
            <w:pPr>
              <w:spacing w:line="276" w:lineRule="auto"/>
              <w:ind w:firstLine="170"/>
              <w:rPr>
                <w:rFonts w:asciiTheme="minorHAnsi" w:hAnsiTheme="minorHAnsi" w:cstheme="minorHAnsi"/>
                <w:sz w:val="18"/>
                <w:szCs w:val="18"/>
              </w:rPr>
            </w:pPr>
            <w:r w:rsidRPr="007C4D65">
              <w:rPr>
                <w:rFonts w:asciiTheme="minorHAnsi" w:hAnsiTheme="minorHAnsi" w:cstheme="minorHAnsi"/>
                <w:sz w:val="18"/>
              </w:rPr>
              <w:t>The incentive scheme implemented</w:t>
            </w:r>
          </w:p>
        </w:tc>
      </w:tr>
      <w:tr w:rsidR="00B02183" w:rsidRPr="007C4D65" w14:paraId="20F22FBE" w14:textId="77777777" w:rsidTr="00B6017F">
        <w:trPr>
          <w:trHeight w:val="287"/>
        </w:trPr>
        <w:tc>
          <w:tcPr>
            <w:tcW w:w="811" w:type="pct"/>
            <w:vMerge/>
            <w:shd w:val="clear" w:color="auto" w:fill="D9D9D9"/>
            <w:vAlign w:val="center"/>
          </w:tcPr>
          <w:p w14:paraId="1B2C02F8"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027AA822"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690D121"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Percentage reduction of losses in distribution of heat and electricity</w:t>
            </w:r>
          </w:p>
        </w:tc>
        <w:tc>
          <w:tcPr>
            <w:tcW w:w="1159" w:type="pct"/>
            <w:shd w:val="clear" w:color="auto" w:fill="FFFFFF"/>
            <w:tcMar>
              <w:top w:w="0" w:type="dxa"/>
              <w:left w:w="108" w:type="dxa"/>
              <w:bottom w:w="0" w:type="dxa"/>
              <w:right w:w="108" w:type="dxa"/>
            </w:tcMar>
            <w:vAlign w:val="center"/>
          </w:tcPr>
          <w:p w14:paraId="6CB3C25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Current losses, </w:t>
            </w:r>
            <w:proofErr w:type="gramStart"/>
            <w:r w:rsidRPr="007C4D65">
              <w:rPr>
                <w:rFonts w:asciiTheme="minorHAnsi" w:hAnsiTheme="minorHAnsi" w:cstheme="minorHAnsi"/>
                <w:sz w:val="18"/>
              </w:rPr>
              <w:t>in particular in</w:t>
            </w:r>
            <w:proofErr w:type="gramEnd"/>
            <w:r w:rsidRPr="007C4D65">
              <w:rPr>
                <w:rFonts w:asciiTheme="minorHAnsi" w:hAnsiTheme="minorHAnsi" w:cstheme="minorHAnsi"/>
                <w:sz w:val="18"/>
              </w:rPr>
              <w:t xml:space="preserve"> heat distribution are relatively high</w:t>
            </w:r>
          </w:p>
        </w:tc>
        <w:tc>
          <w:tcPr>
            <w:tcW w:w="1159" w:type="pct"/>
            <w:shd w:val="clear" w:color="auto" w:fill="FFFFFF"/>
            <w:vAlign w:val="center"/>
          </w:tcPr>
          <w:p w14:paraId="47339544" w14:textId="77777777" w:rsidR="00B02183" w:rsidRPr="007C4D65" w:rsidRDefault="00B02183" w:rsidP="00B02183">
            <w:pPr>
              <w:spacing w:line="276" w:lineRule="auto"/>
              <w:ind w:firstLine="170"/>
              <w:rPr>
                <w:rFonts w:asciiTheme="minorHAnsi" w:hAnsiTheme="minorHAnsi" w:cstheme="minorHAnsi"/>
                <w:sz w:val="18"/>
                <w:szCs w:val="18"/>
              </w:rPr>
            </w:pPr>
            <w:r w:rsidRPr="007C4D65">
              <w:rPr>
                <w:rFonts w:asciiTheme="minorHAnsi" w:hAnsiTheme="minorHAnsi" w:cstheme="minorHAnsi"/>
                <w:sz w:val="18"/>
              </w:rPr>
              <w:t>Energy losses reduced</w:t>
            </w:r>
          </w:p>
        </w:tc>
      </w:tr>
      <w:tr w:rsidR="00B02183" w:rsidRPr="007C4D65" w14:paraId="769B4177" w14:textId="77777777" w:rsidTr="00B6017F">
        <w:trPr>
          <w:trHeight w:val="287"/>
        </w:trPr>
        <w:tc>
          <w:tcPr>
            <w:tcW w:w="811" w:type="pct"/>
            <w:vMerge/>
            <w:shd w:val="clear" w:color="auto" w:fill="D9D9D9"/>
            <w:vAlign w:val="center"/>
          </w:tcPr>
          <w:p w14:paraId="061E3DEE"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513A85E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D2F38AB"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adopting an improved scheme for subsiding cogeneration</w:t>
            </w:r>
          </w:p>
        </w:tc>
        <w:tc>
          <w:tcPr>
            <w:tcW w:w="1159" w:type="pct"/>
            <w:shd w:val="clear" w:color="auto" w:fill="FFFFFF"/>
            <w:tcMar>
              <w:top w:w="0" w:type="dxa"/>
              <w:left w:w="108" w:type="dxa"/>
              <w:bottom w:w="0" w:type="dxa"/>
              <w:right w:w="108" w:type="dxa"/>
            </w:tcMar>
            <w:vAlign w:val="center"/>
          </w:tcPr>
          <w:p w14:paraId="279DE4D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are no quotas to incentivise cogeneration</w:t>
            </w:r>
          </w:p>
        </w:tc>
        <w:tc>
          <w:tcPr>
            <w:tcW w:w="1159" w:type="pct"/>
            <w:shd w:val="clear" w:color="auto" w:fill="FFFFFF"/>
            <w:vAlign w:val="center"/>
          </w:tcPr>
          <w:p w14:paraId="6F60FB72" w14:textId="77777777" w:rsidR="00B02183" w:rsidRPr="007C4D65" w:rsidRDefault="00B02183" w:rsidP="00B02183">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current subsidy system for cogeneration improved</w:t>
            </w:r>
          </w:p>
        </w:tc>
      </w:tr>
      <w:tr w:rsidR="00B02183" w:rsidRPr="007C4D65" w14:paraId="1472AF9E" w14:textId="77777777" w:rsidTr="00B6017F">
        <w:trPr>
          <w:trHeight w:val="483"/>
        </w:trPr>
        <w:tc>
          <w:tcPr>
            <w:tcW w:w="811" w:type="pct"/>
            <w:vMerge/>
            <w:shd w:val="clear" w:color="auto" w:fill="D9D9D9"/>
            <w:vAlign w:val="center"/>
            <w:hideMark/>
          </w:tcPr>
          <w:p w14:paraId="3D2B789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47BD937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4ECF23EE" w14:textId="061F7F29"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7BA24A48"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1C08B0C8"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009D0FE1" w14:textId="77777777" w:rsidTr="00B6017F">
        <w:trPr>
          <w:trHeight w:val="287"/>
        </w:trPr>
        <w:tc>
          <w:tcPr>
            <w:tcW w:w="811" w:type="pct"/>
            <w:vMerge/>
            <w:shd w:val="clear" w:color="auto" w:fill="D9D9D9"/>
            <w:vAlign w:val="center"/>
            <w:hideMark/>
          </w:tcPr>
          <w:p w14:paraId="0EC7F467"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27F7C925"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7EC4CFB"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9.09</w:t>
            </w:r>
          </w:p>
        </w:tc>
        <w:tc>
          <w:tcPr>
            <w:tcW w:w="1159" w:type="pct"/>
            <w:tcMar>
              <w:top w:w="0" w:type="dxa"/>
              <w:left w:w="108" w:type="dxa"/>
              <w:bottom w:w="0" w:type="dxa"/>
              <w:right w:w="108" w:type="dxa"/>
            </w:tcMar>
            <w:vAlign w:val="center"/>
          </w:tcPr>
          <w:p w14:paraId="6F523064"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81.8</w:t>
            </w:r>
          </w:p>
        </w:tc>
        <w:tc>
          <w:tcPr>
            <w:tcW w:w="1159" w:type="pct"/>
            <w:tcMar>
              <w:top w:w="0" w:type="dxa"/>
              <w:left w:w="108" w:type="dxa"/>
              <w:bottom w:w="0" w:type="dxa"/>
              <w:right w:w="108" w:type="dxa"/>
            </w:tcMar>
            <w:vAlign w:val="center"/>
          </w:tcPr>
          <w:p w14:paraId="3F176C28"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90.9</w:t>
            </w:r>
          </w:p>
        </w:tc>
      </w:tr>
    </w:tbl>
    <w:p w14:paraId="2476D9F2" w14:textId="77777777" w:rsidR="00B02183" w:rsidRPr="007C4D65" w:rsidRDefault="00B02183" w:rsidP="00B02183">
      <w:pPr>
        <w:spacing w:line="276" w:lineRule="auto"/>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263"/>
        <w:gridCol w:w="1986"/>
        <w:gridCol w:w="3233"/>
        <w:gridCol w:w="3233"/>
        <w:gridCol w:w="3233"/>
      </w:tblGrid>
      <w:tr w:rsidR="00B02183" w:rsidRPr="007C4D65" w14:paraId="03743DE9" w14:textId="77777777" w:rsidTr="00B6017F">
        <w:trPr>
          <w:trHeight w:val="384"/>
        </w:trPr>
        <w:tc>
          <w:tcPr>
            <w:tcW w:w="811" w:type="pct"/>
            <w:vMerge w:val="restart"/>
            <w:shd w:val="clear" w:color="auto" w:fill="D9D9D9"/>
            <w:tcMar>
              <w:top w:w="0" w:type="dxa"/>
              <w:left w:w="108" w:type="dxa"/>
              <w:bottom w:w="0" w:type="dxa"/>
              <w:right w:w="108" w:type="dxa"/>
            </w:tcMar>
            <w:vAlign w:val="center"/>
          </w:tcPr>
          <w:p w14:paraId="7E93DD06"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4.6 Priority</w:t>
            </w:r>
          </w:p>
          <w:p w14:paraId="099318C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restart"/>
            <w:tcMar>
              <w:top w:w="0" w:type="dxa"/>
              <w:left w:w="108" w:type="dxa"/>
              <w:bottom w:w="0" w:type="dxa"/>
              <w:right w:w="108" w:type="dxa"/>
            </w:tcMar>
            <w:vAlign w:val="center"/>
          </w:tcPr>
          <w:p w14:paraId="6B2AEB4D" w14:textId="69CE71BA" w:rsidR="00B02183" w:rsidRPr="007C4D65" w:rsidRDefault="005A2219"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Increasing the share of renewable energy along with an incentive scheme reform (focusing on citizens energy)</w:t>
            </w:r>
          </w:p>
        </w:tc>
        <w:tc>
          <w:tcPr>
            <w:tcW w:w="1159" w:type="pct"/>
            <w:shd w:val="clear" w:color="auto" w:fill="D9D9D9"/>
            <w:tcMar>
              <w:top w:w="0" w:type="dxa"/>
              <w:left w:w="108" w:type="dxa"/>
              <w:bottom w:w="0" w:type="dxa"/>
              <w:right w:w="108" w:type="dxa"/>
            </w:tcMar>
            <w:vAlign w:val="center"/>
          </w:tcPr>
          <w:p w14:paraId="6891D4B8"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3D9A787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6A0CADC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3ED3A575" w14:textId="77777777" w:rsidTr="00B6017F">
        <w:trPr>
          <w:trHeight w:val="287"/>
        </w:trPr>
        <w:tc>
          <w:tcPr>
            <w:tcW w:w="811" w:type="pct"/>
            <w:vMerge/>
            <w:shd w:val="clear" w:color="auto" w:fill="D9D9D9"/>
            <w:vAlign w:val="center"/>
            <w:hideMark/>
          </w:tcPr>
          <w:p w14:paraId="1D77BC1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157834F3"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F93F949"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Percentage of RES share in TFEC</w:t>
            </w:r>
          </w:p>
        </w:tc>
        <w:tc>
          <w:tcPr>
            <w:tcW w:w="1159" w:type="pct"/>
            <w:tcMar>
              <w:top w:w="0" w:type="dxa"/>
              <w:left w:w="108" w:type="dxa"/>
              <w:bottom w:w="0" w:type="dxa"/>
              <w:right w:w="108" w:type="dxa"/>
            </w:tcMar>
          </w:tcPr>
          <w:p w14:paraId="2ACF4967"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share of RES in 2018 was 49,3%</w:t>
            </w:r>
          </w:p>
        </w:tc>
        <w:tc>
          <w:tcPr>
            <w:tcW w:w="1159" w:type="pct"/>
            <w:tcMar>
              <w:top w:w="0" w:type="dxa"/>
              <w:left w:w="108" w:type="dxa"/>
              <w:bottom w:w="0" w:type="dxa"/>
              <w:right w:w="108" w:type="dxa"/>
            </w:tcMar>
          </w:tcPr>
          <w:p w14:paraId="6D3FACC3"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The share of RES in TFEC 60</w:t>
            </w:r>
            <w:proofErr w:type="gramStart"/>
            <w:r w:rsidRPr="007C4D65">
              <w:rPr>
                <w:rFonts w:asciiTheme="minorHAnsi" w:hAnsiTheme="minorHAnsi" w:cstheme="minorHAnsi"/>
                <w:sz w:val="18"/>
              </w:rPr>
              <w:t>%  by</w:t>
            </w:r>
            <w:proofErr w:type="gramEnd"/>
            <w:r w:rsidRPr="007C4D65">
              <w:rPr>
                <w:rFonts w:asciiTheme="minorHAnsi" w:hAnsiTheme="minorHAnsi" w:cstheme="minorHAnsi"/>
                <w:sz w:val="18"/>
              </w:rPr>
              <w:t xml:space="preserve"> 2030.</w:t>
            </w:r>
          </w:p>
        </w:tc>
      </w:tr>
      <w:tr w:rsidR="00B02183" w:rsidRPr="007C4D65" w14:paraId="6BD9C919" w14:textId="77777777" w:rsidTr="00B6017F">
        <w:trPr>
          <w:trHeight w:val="287"/>
        </w:trPr>
        <w:tc>
          <w:tcPr>
            <w:tcW w:w="811" w:type="pct"/>
            <w:vMerge/>
            <w:shd w:val="clear" w:color="auto" w:fill="D9D9D9"/>
            <w:vAlign w:val="center"/>
          </w:tcPr>
          <w:p w14:paraId="587F53A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27B8A82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72169C87"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Percentage of RES share in electricity production</w:t>
            </w:r>
          </w:p>
        </w:tc>
        <w:tc>
          <w:tcPr>
            <w:tcW w:w="1159" w:type="pct"/>
            <w:tcMar>
              <w:top w:w="0" w:type="dxa"/>
              <w:left w:w="108" w:type="dxa"/>
              <w:bottom w:w="0" w:type="dxa"/>
              <w:right w:w="108" w:type="dxa"/>
            </w:tcMar>
          </w:tcPr>
          <w:p w14:paraId="687FDD21" w14:textId="4A35076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RES share in electricity production in 2018 was 39%, in 2019 49%</w:t>
            </w:r>
          </w:p>
        </w:tc>
        <w:tc>
          <w:tcPr>
            <w:tcW w:w="1159" w:type="pct"/>
            <w:tcMar>
              <w:top w:w="0" w:type="dxa"/>
              <w:left w:w="108" w:type="dxa"/>
              <w:bottom w:w="0" w:type="dxa"/>
              <w:right w:w="108" w:type="dxa"/>
            </w:tcMar>
          </w:tcPr>
          <w:p w14:paraId="0C531F05"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The share of RES in electricity production 50</w:t>
            </w:r>
            <w:proofErr w:type="gramStart"/>
            <w:r w:rsidRPr="007C4D65">
              <w:rPr>
                <w:rFonts w:asciiTheme="minorHAnsi" w:hAnsiTheme="minorHAnsi" w:cstheme="minorHAnsi"/>
                <w:sz w:val="18"/>
              </w:rPr>
              <w:t>%  by</w:t>
            </w:r>
            <w:proofErr w:type="gramEnd"/>
            <w:r w:rsidRPr="007C4D65">
              <w:rPr>
                <w:rFonts w:asciiTheme="minorHAnsi" w:hAnsiTheme="minorHAnsi" w:cstheme="minorHAnsi"/>
                <w:sz w:val="18"/>
              </w:rPr>
              <w:t xml:space="preserve"> 2030</w:t>
            </w:r>
          </w:p>
        </w:tc>
      </w:tr>
      <w:tr w:rsidR="00B02183" w:rsidRPr="007C4D65" w14:paraId="452303B5" w14:textId="77777777" w:rsidTr="00B6017F">
        <w:trPr>
          <w:trHeight w:val="287"/>
        </w:trPr>
        <w:tc>
          <w:tcPr>
            <w:tcW w:w="811" w:type="pct"/>
            <w:vMerge/>
            <w:shd w:val="clear" w:color="auto" w:fill="D9D9D9"/>
            <w:vAlign w:val="center"/>
          </w:tcPr>
          <w:p w14:paraId="1D04AC76"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5758DF6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077EE5D5"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Percentage of RES share in the transport sector</w:t>
            </w:r>
          </w:p>
        </w:tc>
        <w:tc>
          <w:tcPr>
            <w:tcW w:w="1159" w:type="pct"/>
            <w:tcMar>
              <w:top w:w="0" w:type="dxa"/>
              <w:left w:w="108" w:type="dxa"/>
              <w:bottom w:w="0" w:type="dxa"/>
              <w:right w:w="108" w:type="dxa"/>
            </w:tcMar>
          </w:tcPr>
          <w:p w14:paraId="2A43E270"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RES share in 2018 below 1%</w:t>
            </w:r>
          </w:p>
        </w:tc>
        <w:tc>
          <w:tcPr>
            <w:tcW w:w="1159" w:type="pct"/>
            <w:tcMar>
              <w:top w:w="0" w:type="dxa"/>
              <w:left w:w="108" w:type="dxa"/>
              <w:bottom w:w="0" w:type="dxa"/>
              <w:right w:w="108" w:type="dxa"/>
            </w:tcMar>
          </w:tcPr>
          <w:p w14:paraId="0952B629" w14:textId="6F69D53A"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RES share in the transport sector 9% by 2030</w:t>
            </w:r>
          </w:p>
        </w:tc>
      </w:tr>
      <w:tr w:rsidR="00B02183" w:rsidRPr="007C4D65" w14:paraId="1F7F3339" w14:textId="77777777" w:rsidTr="00B6017F">
        <w:trPr>
          <w:trHeight w:val="287"/>
        </w:trPr>
        <w:tc>
          <w:tcPr>
            <w:tcW w:w="811" w:type="pct"/>
            <w:vMerge/>
            <w:shd w:val="clear" w:color="auto" w:fill="D9D9D9"/>
            <w:vAlign w:val="center"/>
            <w:hideMark/>
          </w:tcPr>
          <w:p w14:paraId="6B521529"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4702C10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4FB3079F" w14:textId="0C730958"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22384AC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649ABE30"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5D790E8D" w14:textId="77777777" w:rsidTr="00B6017F">
        <w:trPr>
          <w:trHeight w:val="287"/>
        </w:trPr>
        <w:tc>
          <w:tcPr>
            <w:tcW w:w="811" w:type="pct"/>
            <w:vMerge/>
            <w:shd w:val="clear" w:color="auto" w:fill="D9D9D9"/>
            <w:vAlign w:val="center"/>
          </w:tcPr>
          <w:p w14:paraId="6DDCC7E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49ECE91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20B6F5FE"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10.4</w:t>
            </w:r>
          </w:p>
        </w:tc>
        <w:tc>
          <w:tcPr>
            <w:tcW w:w="1159" w:type="pct"/>
            <w:tcMar>
              <w:top w:w="0" w:type="dxa"/>
              <w:left w:w="108" w:type="dxa"/>
              <w:bottom w:w="0" w:type="dxa"/>
              <w:right w:w="108" w:type="dxa"/>
            </w:tcMar>
            <w:vAlign w:val="center"/>
          </w:tcPr>
          <w:p w14:paraId="2607D490"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93.7</w:t>
            </w:r>
          </w:p>
        </w:tc>
        <w:tc>
          <w:tcPr>
            <w:tcW w:w="1159" w:type="pct"/>
            <w:tcMar>
              <w:top w:w="0" w:type="dxa"/>
              <w:left w:w="108" w:type="dxa"/>
              <w:bottom w:w="0" w:type="dxa"/>
              <w:right w:w="108" w:type="dxa"/>
            </w:tcMar>
            <w:vAlign w:val="center"/>
          </w:tcPr>
          <w:p w14:paraId="15725023"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104.2</w:t>
            </w:r>
          </w:p>
        </w:tc>
      </w:tr>
    </w:tbl>
    <w:p w14:paraId="08302E23"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263"/>
        <w:gridCol w:w="1986"/>
        <w:gridCol w:w="3233"/>
        <w:gridCol w:w="3233"/>
        <w:gridCol w:w="3233"/>
      </w:tblGrid>
      <w:tr w:rsidR="00B02183" w:rsidRPr="007C4D65" w14:paraId="2F24EEBD" w14:textId="77777777" w:rsidTr="00B6017F">
        <w:trPr>
          <w:trHeight w:val="483"/>
        </w:trPr>
        <w:tc>
          <w:tcPr>
            <w:tcW w:w="811" w:type="pct"/>
            <w:vMerge w:val="restart"/>
            <w:shd w:val="clear" w:color="auto" w:fill="D9D9D9"/>
            <w:tcMar>
              <w:top w:w="0" w:type="dxa"/>
              <w:left w:w="108" w:type="dxa"/>
              <w:bottom w:w="0" w:type="dxa"/>
              <w:right w:w="108" w:type="dxa"/>
            </w:tcMar>
            <w:vAlign w:val="center"/>
            <w:hideMark/>
          </w:tcPr>
          <w:p w14:paraId="3B66B24E"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lastRenderedPageBreak/>
              <w:t>4.6.1 Measure</w:t>
            </w:r>
          </w:p>
        </w:tc>
        <w:tc>
          <w:tcPr>
            <w:tcW w:w="712" w:type="pct"/>
            <w:vMerge w:val="restart"/>
            <w:tcMar>
              <w:top w:w="0" w:type="dxa"/>
              <w:left w:w="108" w:type="dxa"/>
              <w:bottom w:w="0" w:type="dxa"/>
              <w:right w:w="108" w:type="dxa"/>
            </w:tcMar>
            <w:vAlign w:val="center"/>
          </w:tcPr>
          <w:p w14:paraId="6DD34003"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Create an enabling environment for renewable energy sources</w:t>
            </w:r>
          </w:p>
        </w:tc>
        <w:tc>
          <w:tcPr>
            <w:tcW w:w="1159" w:type="pct"/>
            <w:shd w:val="clear" w:color="auto" w:fill="D9D9D9"/>
            <w:tcMar>
              <w:top w:w="0" w:type="dxa"/>
              <w:left w:w="108" w:type="dxa"/>
              <w:bottom w:w="0" w:type="dxa"/>
              <w:right w:w="108" w:type="dxa"/>
            </w:tcMar>
            <w:vAlign w:val="center"/>
            <w:hideMark/>
          </w:tcPr>
          <w:p w14:paraId="5C4B9F9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5C3617EE"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2240E88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16C02B0C" w14:textId="77777777" w:rsidTr="00B6017F">
        <w:trPr>
          <w:trHeight w:val="287"/>
        </w:trPr>
        <w:tc>
          <w:tcPr>
            <w:tcW w:w="811" w:type="pct"/>
            <w:vMerge/>
            <w:shd w:val="clear" w:color="auto" w:fill="D9D9D9"/>
            <w:vAlign w:val="center"/>
          </w:tcPr>
          <w:p w14:paraId="36E799E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6E07490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88A11F3"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adoption of NECP</w:t>
            </w:r>
          </w:p>
        </w:tc>
        <w:tc>
          <w:tcPr>
            <w:tcW w:w="1159" w:type="pct"/>
            <w:shd w:val="clear" w:color="auto" w:fill="FFFFFF"/>
            <w:tcMar>
              <w:top w:w="0" w:type="dxa"/>
              <w:left w:w="108" w:type="dxa"/>
              <w:bottom w:w="0" w:type="dxa"/>
              <w:right w:w="108" w:type="dxa"/>
            </w:tcMar>
            <w:vAlign w:val="center"/>
          </w:tcPr>
          <w:p w14:paraId="53DF60EE"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Development of NECP in progress</w:t>
            </w:r>
          </w:p>
        </w:tc>
        <w:tc>
          <w:tcPr>
            <w:tcW w:w="1159" w:type="pct"/>
            <w:shd w:val="clear" w:color="auto" w:fill="FFFFFF"/>
            <w:vAlign w:val="center"/>
          </w:tcPr>
          <w:p w14:paraId="3B967981"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The integrated climate and energy plan adopted.</w:t>
            </w:r>
          </w:p>
        </w:tc>
      </w:tr>
      <w:tr w:rsidR="00B02183" w:rsidRPr="007C4D65" w14:paraId="789B27BD" w14:textId="77777777" w:rsidTr="00B6017F">
        <w:trPr>
          <w:trHeight w:val="287"/>
        </w:trPr>
        <w:tc>
          <w:tcPr>
            <w:tcW w:w="811" w:type="pct"/>
            <w:vMerge/>
            <w:shd w:val="clear" w:color="auto" w:fill="D9D9D9"/>
            <w:vAlign w:val="center"/>
          </w:tcPr>
          <w:p w14:paraId="6540356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6B4D027C"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46541FE"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adoption of the amended law</w:t>
            </w:r>
          </w:p>
        </w:tc>
        <w:tc>
          <w:tcPr>
            <w:tcW w:w="1159" w:type="pct"/>
            <w:shd w:val="clear" w:color="auto" w:fill="FFFFFF"/>
            <w:tcMar>
              <w:top w:w="0" w:type="dxa"/>
              <w:left w:w="108" w:type="dxa"/>
              <w:bottom w:w="0" w:type="dxa"/>
              <w:right w:w="108" w:type="dxa"/>
            </w:tcMar>
            <w:vAlign w:val="center"/>
          </w:tcPr>
          <w:p w14:paraId="3BA152F7"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applicable Law on RES does not </w:t>
            </w:r>
            <w:proofErr w:type="gramStart"/>
            <w:r w:rsidRPr="007C4D65">
              <w:rPr>
                <w:rFonts w:asciiTheme="minorHAnsi" w:hAnsiTheme="minorHAnsi" w:cstheme="minorHAnsi"/>
                <w:sz w:val="18"/>
              </w:rPr>
              <w:t>offer  incentive</w:t>
            </w:r>
            <w:proofErr w:type="gramEnd"/>
            <w:r w:rsidRPr="007C4D65">
              <w:rPr>
                <w:rFonts w:asciiTheme="minorHAnsi" w:hAnsiTheme="minorHAnsi" w:cstheme="minorHAnsi"/>
                <w:sz w:val="18"/>
              </w:rPr>
              <w:t xml:space="preserve"> schemes for the use of RES in heating and cooling</w:t>
            </w:r>
          </w:p>
        </w:tc>
        <w:tc>
          <w:tcPr>
            <w:tcW w:w="1159" w:type="pct"/>
            <w:tcBorders>
              <w:bottom w:val="single" w:sz="4" w:space="0" w:color="auto"/>
            </w:tcBorders>
            <w:shd w:val="clear" w:color="auto" w:fill="FFFFFF"/>
            <w:vAlign w:val="center"/>
          </w:tcPr>
          <w:p w14:paraId="36F88F38"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Amended Law on RES offering incentive schemes for the use of RES in heating and cooling</w:t>
            </w:r>
          </w:p>
        </w:tc>
      </w:tr>
      <w:tr w:rsidR="00B02183" w:rsidRPr="007C4D65" w14:paraId="69B82C77" w14:textId="77777777" w:rsidTr="00B6017F">
        <w:trPr>
          <w:trHeight w:val="287"/>
        </w:trPr>
        <w:tc>
          <w:tcPr>
            <w:tcW w:w="811" w:type="pct"/>
            <w:vMerge/>
            <w:shd w:val="clear" w:color="auto" w:fill="D9D9D9"/>
            <w:vAlign w:val="center"/>
          </w:tcPr>
          <w:p w14:paraId="73507A0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7166BF8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DCF700C"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adoption of the regulation</w:t>
            </w:r>
          </w:p>
        </w:tc>
        <w:tc>
          <w:tcPr>
            <w:tcW w:w="1159" w:type="pct"/>
            <w:shd w:val="clear" w:color="auto" w:fill="FFFFFF"/>
            <w:tcMar>
              <w:top w:w="0" w:type="dxa"/>
              <w:left w:w="108" w:type="dxa"/>
              <w:bottom w:w="0" w:type="dxa"/>
              <w:right w:w="108" w:type="dxa"/>
            </w:tcMar>
            <w:vAlign w:val="center"/>
          </w:tcPr>
          <w:p w14:paraId="6A0A3E85"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regulation on Guarantee of Origin for energy</w:t>
            </w:r>
          </w:p>
        </w:tc>
        <w:tc>
          <w:tcPr>
            <w:tcW w:w="1159" w:type="pct"/>
            <w:tcBorders>
              <w:top w:val="single" w:sz="4" w:space="0" w:color="auto"/>
            </w:tcBorders>
            <w:shd w:val="clear" w:color="auto" w:fill="FFFFFF"/>
            <w:vAlign w:val="center"/>
          </w:tcPr>
          <w:p w14:paraId="260D5D11" w14:textId="77777777" w:rsidR="00B02183" w:rsidRPr="007C4D65" w:rsidRDefault="00B02183" w:rsidP="00B02183">
            <w:pPr>
              <w:spacing w:line="276" w:lineRule="auto"/>
              <w:ind w:left="69"/>
              <w:rPr>
                <w:rFonts w:asciiTheme="minorHAnsi" w:hAnsiTheme="minorHAnsi" w:cstheme="minorHAnsi"/>
                <w:sz w:val="18"/>
                <w:szCs w:val="18"/>
              </w:rPr>
            </w:pPr>
            <w:r w:rsidRPr="007C4D65">
              <w:rPr>
                <w:rFonts w:asciiTheme="minorHAnsi" w:hAnsiTheme="minorHAnsi" w:cstheme="minorHAnsi"/>
                <w:sz w:val="18"/>
              </w:rPr>
              <w:t>The Regulation on Guarantee of Origin for energy adopted</w:t>
            </w:r>
          </w:p>
        </w:tc>
      </w:tr>
      <w:tr w:rsidR="00B02183" w:rsidRPr="007C4D65" w14:paraId="69555A62" w14:textId="77777777" w:rsidTr="00B6017F">
        <w:trPr>
          <w:trHeight w:val="483"/>
        </w:trPr>
        <w:tc>
          <w:tcPr>
            <w:tcW w:w="811" w:type="pct"/>
            <w:vMerge/>
            <w:shd w:val="clear" w:color="auto" w:fill="D9D9D9"/>
            <w:vAlign w:val="center"/>
            <w:hideMark/>
          </w:tcPr>
          <w:p w14:paraId="598EC28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54C95AB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4BAA9FC9" w14:textId="36ACF4E6"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6BC0B26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5A8988E3"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46856F42" w14:textId="77777777" w:rsidTr="00B6017F">
        <w:trPr>
          <w:trHeight w:val="287"/>
        </w:trPr>
        <w:tc>
          <w:tcPr>
            <w:tcW w:w="811" w:type="pct"/>
            <w:vMerge/>
            <w:shd w:val="clear" w:color="auto" w:fill="D9D9D9"/>
            <w:vAlign w:val="center"/>
            <w:hideMark/>
          </w:tcPr>
          <w:p w14:paraId="0A794D5A"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6A9930D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1F28178"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0.027</w:t>
            </w:r>
          </w:p>
        </w:tc>
        <w:tc>
          <w:tcPr>
            <w:tcW w:w="1159" w:type="pct"/>
            <w:tcMar>
              <w:top w:w="0" w:type="dxa"/>
              <w:left w:w="108" w:type="dxa"/>
              <w:bottom w:w="0" w:type="dxa"/>
              <w:right w:w="108" w:type="dxa"/>
            </w:tcMar>
            <w:vAlign w:val="center"/>
          </w:tcPr>
          <w:p w14:paraId="1F5D8D45"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0.109</w:t>
            </w:r>
          </w:p>
        </w:tc>
        <w:tc>
          <w:tcPr>
            <w:tcW w:w="1159" w:type="pct"/>
            <w:tcMar>
              <w:top w:w="0" w:type="dxa"/>
              <w:left w:w="108" w:type="dxa"/>
              <w:bottom w:w="0" w:type="dxa"/>
              <w:right w:w="108" w:type="dxa"/>
            </w:tcMar>
            <w:vAlign w:val="center"/>
          </w:tcPr>
          <w:p w14:paraId="63015E24"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0.137</w:t>
            </w:r>
          </w:p>
        </w:tc>
      </w:tr>
      <w:tr w:rsidR="00B02183" w:rsidRPr="007C4D65" w14:paraId="7C1F6882" w14:textId="77777777" w:rsidTr="00B6017F">
        <w:trPr>
          <w:trHeight w:val="483"/>
        </w:trPr>
        <w:tc>
          <w:tcPr>
            <w:tcW w:w="811" w:type="pct"/>
            <w:vMerge w:val="restart"/>
            <w:shd w:val="clear" w:color="auto" w:fill="D9D9D9"/>
            <w:tcMar>
              <w:top w:w="0" w:type="dxa"/>
              <w:left w:w="108" w:type="dxa"/>
              <w:bottom w:w="0" w:type="dxa"/>
              <w:right w:w="108" w:type="dxa"/>
            </w:tcMar>
            <w:vAlign w:val="center"/>
            <w:hideMark/>
          </w:tcPr>
          <w:p w14:paraId="080A0B33"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4.6.2 Measure</w:t>
            </w:r>
          </w:p>
        </w:tc>
        <w:tc>
          <w:tcPr>
            <w:tcW w:w="712" w:type="pct"/>
            <w:vMerge w:val="restart"/>
            <w:tcMar>
              <w:top w:w="0" w:type="dxa"/>
              <w:left w:w="108" w:type="dxa"/>
              <w:bottom w:w="0" w:type="dxa"/>
              <w:right w:w="108" w:type="dxa"/>
            </w:tcMar>
            <w:vAlign w:val="center"/>
          </w:tcPr>
          <w:p w14:paraId="045C5D4D"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Increasing the share of renewable energy sources in the electricity production and transport</w:t>
            </w:r>
          </w:p>
        </w:tc>
        <w:tc>
          <w:tcPr>
            <w:tcW w:w="1159" w:type="pct"/>
            <w:shd w:val="clear" w:color="auto" w:fill="D9D9D9"/>
            <w:tcMar>
              <w:top w:w="0" w:type="dxa"/>
              <w:left w:w="108" w:type="dxa"/>
              <w:bottom w:w="0" w:type="dxa"/>
              <w:right w:w="108" w:type="dxa"/>
            </w:tcMar>
            <w:vAlign w:val="center"/>
            <w:hideMark/>
          </w:tcPr>
          <w:p w14:paraId="6674082B"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0C6A587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66D107A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1A3E48CD" w14:textId="77777777" w:rsidTr="00B6017F">
        <w:trPr>
          <w:trHeight w:val="287"/>
        </w:trPr>
        <w:tc>
          <w:tcPr>
            <w:tcW w:w="811" w:type="pct"/>
            <w:vMerge/>
            <w:shd w:val="clear" w:color="auto" w:fill="D9D9D9"/>
            <w:vAlign w:val="center"/>
          </w:tcPr>
          <w:p w14:paraId="5BF9311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01DC6479"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F071CC4"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law adoption</w:t>
            </w:r>
          </w:p>
        </w:tc>
        <w:tc>
          <w:tcPr>
            <w:tcW w:w="1159" w:type="pct"/>
            <w:shd w:val="clear" w:color="auto" w:fill="FFFFFF"/>
            <w:tcMar>
              <w:top w:w="0" w:type="dxa"/>
              <w:left w:w="108" w:type="dxa"/>
              <w:bottom w:w="0" w:type="dxa"/>
              <w:right w:w="108" w:type="dxa"/>
            </w:tcMar>
            <w:vAlign w:val="center"/>
          </w:tcPr>
          <w:p w14:paraId="4EE78EDB"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applicable law does not offer incentives schemes for citizen energy projects</w:t>
            </w:r>
          </w:p>
        </w:tc>
        <w:tc>
          <w:tcPr>
            <w:tcW w:w="1159" w:type="pct"/>
            <w:shd w:val="clear" w:color="auto" w:fill="FFFFFF"/>
            <w:vAlign w:val="center"/>
          </w:tcPr>
          <w:p w14:paraId="24603782" w14:textId="77777777" w:rsidR="00B02183" w:rsidRPr="007C4D65" w:rsidRDefault="00B02183" w:rsidP="00B02183">
            <w:pPr>
              <w:spacing w:line="276" w:lineRule="auto"/>
              <w:ind w:left="211" w:hanging="41"/>
              <w:rPr>
                <w:rFonts w:asciiTheme="minorHAnsi" w:hAnsiTheme="minorHAnsi" w:cstheme="minorHAnsi"/>
                <w:sz w:val="18"/>
                <w:szCs w:val="18"/>
              </w:rPr>
            </w:pPr>
            <w:r w:rsidRPr="007C4D65">
              <w:rPr>
                <w:rFonts w:asciiTheme="minorHAnsi" w:hAnsiTheme="minorHAnsi" w:cstheme="minorHAnsi"/>
                <w:sz w:val="18"/>
              </w:rPr>
              <w:t>Amendments to the Law on RES adopted</w:t>
            </w:r>
          </w:p>
        </w:tc>
      </w:tr>
      <w:tr w:rsidR="00B02183" w:rsidRPr="007C4D65" w14:paraId="5EEEDAEC" w14:textId="77777777" w:rsidTr="00B6017F">
        <w:trPr>
          <w:trHeight w:val="287"/>
        </w:trPr>
        <w:tc>
          <w:tcPr>
            <w:tcW w:w="811" w:type="pct"/>
            <w:vMerge/>
            <w:shd w:val="clear" w:color="auto" w:fill="D9D9D9"/>
            <w:vAlign w:val="center"/>
          </w:tcPr>
          <w:p w14:paraId="627B9A6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3ADED7D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20AB044"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Number of adopted catalogues (one catalogue per each type of RES</w:t>
            </w:r>
          </w:p>
        </w:tc>
        <w:tc>
          <w:tcPr>
            <w:tcW w:w="1159" w:type="pct"/>
            <w:shd w:val="clear" w:color="auto" w:fill="FFFFFF"/>
            <w:tcMar>
              <w:top w:w="0" w:type="dxa"/>
              <w:left w:w="108" w:type="dxa"/>
              <w:bottom w:w="0" w:type="dxa"/>
              <w:right w:w="108" w:type="dxa"/>
            </w:tcMar>
            <w:vAlign w:val="center"/>
          </w:tcPr>
          <w:p w14:paraId="3F18E8C9"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are no catalogues of criteria, they were prepared for small hydropower plants, but not adopted</w:t>
            </w:r>
          </w:p>
        </w:tc>
        <w:tc>
          <w:tcPr>
            <w:tcW w:w="1159" w:type="pct"/>
            <w:shd w:val="clear" w:color="auto" w:fill="FFFFFF"/>
            <w:vAlign w:val="center"/>
          </w:tcPr>
          <w:p w14:paraId="39A736D2" w14:textId="77777777" w:rsidR="00B02183" w:rsidRPr="007C4D65" w:rsidRDefault="00B02183" w:rsidP="00B02183">
            <w:pPr>
              <w:spacing w:line="276" w:lineRule="auto"/>
              <w:ind w:left="211" w:hanging="41"/>
              <w:rPr>
                <w:rFonts w:asciiTheme="minorHAnsi" w:hAnsiTheme="minorHAnsi" w:cstheme="minorHAnsi"/>
                <w:sz w:val="18"/>
                <w:szCs w:val="18"/>
              </w:rPr>
            </w:pPr>
            <w:r w:rsidRPr="007C4D65">
              <w:rPr>
                <w:rFonts w:asciiTheme="minorHAnsi" w:hAnsiTheme="minorHAnsi" w:cstheme="minorHAnsi"/>
                <w:sz w:val="18"/>
              </w:rPr>
              <w:t>Catalogues of criteria for all RES adopted</w:t>
            </w:r>
          </w:p>
        </w:tc>
      </w:tr>
      <w:tr w:rsidR="00B02183" w:rsidRPr="007C4D65" w14:paraId="1177DFC3" w14:textId="77777777" w:rsidTr="00B6017F">
        <w:trPr>
          <w:trHeight w:val="287"/>
        </w:trPr>
        <w:tc>
          <w:tcPr>
            <w:tcW w:w="811" w:type="pct"/>
            <w:vMerge/>
            <w:shd w:val="clear" w:color="auto" w:fill="D9D9D9"/>
            <w:vAlign w:val="center"/>
          </w:tcPr>
          <w:p w14:paraId="0C517843"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2C7F64BA"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E480ADD"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law adoption</w:t>
            </w:r>
          </w:p>
        </w:tc>
        <w:tc>
          <w:tcPr>
            <w:tcW w:w="1159" w:type="pct"/>
            <w:shd w:val="clear" w:color="auto" w:fill="FFFFFF"/>
            <w:tcMar>
              <w:top w:w="0" w:type="dxa"/>
              <w:left w:w="108" w:type="dxa"/>
              <w:bottom w:w="0" w:type="dxa"/>
              <w:right w:w="108" w:type="dxa"/>
            </w:tcMar>
            <w:vAlign w:val="center"/>
          </w:tcPr>
          <w:p w14:paraId="1CD58B37"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applicable law does not offer incentives schemes for rooftop solar photovoltaic power plants on new buildings</w:t>
            </w:r>
          </w:p>
        </w:tc>
        <w:tc>
          <w:tcPr>
            <w:tcW w:w="1159" w:type="pct"/>
            <w:shd w:val="clear" w:color="auto" w:fill="FFFFFF"/>
            <w:vAlign w:val="center"/>
          </w:tcPr>
          <w:p w14:paraId="474A8908" w14:textId="77777777" w:rsidR="00B02183" w:rsidRPr="007C4D65" w:rsidRDefault="00B02183" w:rsidP="00B02183">
            <w:pPr>
              <w:spacing w:line="276" w:lineRule="auto"/>
              <w:ind w:left="211" w:hanging="41"/>
              <w:rPr>
                <w:rFonts w:asciiTheme="minorHAnsi" w:hAnsiTheme="minorHAnsi" w:cstheme="minorHAnsi"/>
                <w:sz w:val="18"/>
                <w:szCs w:val="18"/>
              </w:rPr>
            </w:pPr>
            <w:r w:rsidRPr="007C4D65">
              <w:rPr>
                <w:rFonts w:asciiTheme="minorHAnsi" w:hAnsiTheme="minorHAnsi" w:cstheme="minorHAnsi"/>
                <w:sz w:val="18"/>
              </w:rPr>
              <w:t>Amendments to the Law on RES adopted</w:t>
            </w:r>
          </w:p>
        </w:tc>
      </w:tr>
      <w:tr w:rsidR="00B02183" w:rsidRPr="007C4D65" w14:paraId="4F5510DB" w14:textId="77777777" w:rsidTr="00B6017F">
        <w:trPr>
          <w:trHeight w:val="287"/>
        </w:trPr>
        <w:tc>
          <w:tcPr>
            <w:tcW w:w="811" w:type="pct"/>
            <w:vMerge/>
            <w:shd w:val="clear" w:color="auto" w:fill="D9D9D9"/>
            <w:vAlign w:val="center"/>
          </w:tcPr>
          <w:p w14:paraId="3ECFE5E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48B2986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68D2240"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development and adoption of the study</w:t>
            </w:r>
          </w:p>
        </w:tc>
        <w:tc>
          <w:tcPr>
            <w:tcW w:w="1159" w:type="pct"/>
            <w:shd w:val="clear" w:color="auto" w:fill="FFFFFF"/>
            <w:tcMar>
              <w:top w:w="0" w:type="dxa"/>
              <w:left w:w="108" w:type="dxa"/>
              <w:bottom w:w="0" w:type="dxa"/>
              <w:right w:w="108" w:type="dxa"/>
            </w:tcMar>
            <w:vAlign w:val="center"/>
          </w:tcPr>
          <w:p w14:paraId="6F67B6A2" w14:textId="5E1F7351"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There is no </w:t>
            </w:r>
            <w:r w:rsidR="00830279" w:rsidRPr="007C4D65">
              <w:rPr>
                <w:rFonts w:asciiTheme="minorHAnsi" w:hAnsiTheme="minorHAnsi" w:cstheme="minorHAnsi"/>
                <w:sz w:val="18"/>
              </w:rPr>
              <w:t>comprehensive</w:t>
            </w:r>
            <w:r w:rsidRPr="007C4D65">
              <w:rPr>
                <w:rFonts w:asciiTheme="minorHAnsi" w:hAnsiTheme="minorHAnsi" w:cstheme="minorHAnsi"/>
                <w:sz w:val="18"/>
              </w:rPr>
              <w:t xml:space="preserve"> analysis</w:t>
            </w:r>
          </w:p>
        </w:tc>
        <w:tc>
          <w:tcPr>
            <w:tcW w:w="1159" w:type="pct"/>
            <w:shd w:val="clear" w:color="auto" w:fill="FFFFFF"/>
            <w:vAlign w:val="center"/>
          </w:tcPr>
          <w:p w14:paraId="78D64655" w14:textId="77777777" w:rsidR="00B02183" w:rsidRPr="007C4D65" w:rsidRDefault="00B02183" w:rsidP="00B02183">
            <w:pPr>
              <w:spacing w:line="276" w:lineRule="auto"/>
              <w:ind w:left="211" w:hanging="41"/>
              <w:rPr>
                <w:rFonts w:asciiTheme="minorHAnsi" w:hAnsiTheme="minorHAnsi" w:cstheme="minorHAnsi"/>
                <w:sz w:val="18"/>
                <w:szCs w:val="18"/>
              </w:rPr>
            </w:pPr>
            <w:r w:rsidRPr="007C4D65">
              <w:rPr>
                <w:rFonts w:asciiTheme="minorHAnsi" w:hAnsiTheme="minorHAnsi" w:cstheme="minorHAnsi"/>
                <w:sz w:val="18"/>
              </w:rPr>
              <w:t>The Study completed and adopted</w:t>
            </w:r>
          </w:p>
        </w:tc>
      </w:tr>
      <w:tr w:rsidR="00B02183" w:rsidRPr="007C4D65" w14:paraId="3E15DA25" w14:textId="77777777" w:rsidTr="00B6017F">
        <w:trPr>
          <w:trHeight w:val="287"/>
        </w:trPr>
        <w:tc>
          <w:tcPr>
            <w:tcW w:w="811" w:type="pct"/>
            <w:vMerge/>
            <w:shd w:val="clear" w:color="auto" w:fill="D9D9D9"/>
            <w:vAlign w:val="center"/>
          </w:tcPr>
          <w:p w14:paraId="0D7483A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49EAFB80"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6BF3DEF"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adoption of the incentive scheme</w:t>
            </w:r>
          </w:p>
        </w:tc>
        <w:tc>
          <w:tcPr>
            <w:tcW w:w="1159" w:type="pct"/>
            <w:shd w:val="clear" w:color="auto" w:fill="FFFFFF"/>
            <w:tcMar>
              <w:top w:w="0" w:type="dxa"/>
              <w:left w:w="108" w:type="dxa"/>
              <w:bottom w:w="0" w:type="dxa"/>
              <w:right w:w="108" w:type="dxa"/>
            </w:tcMar>
            <w:vAlign w:val="center"/>
          </w:tcPr>
          <w:p w14:paraId="01B7CAE7"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incentive scheme for hybrid, electric and plug-in passenger vehicles</w:t>
            </w:r>
          </w:p>
        </w:tc>
        <w:tc>
          <w:tcPr>
            <w:tcW w:w="1159" w:type="pct"/>
            <w:shd w:val="clear" w:color="auto" w:fill="FFFFFF"/>
            <w:vAlign w:val="center"/>
          </w:tcPr>
          <w:p w14:paraId="02EFA191" w14:textId="77777777" w:rsidR="00B02183" w:rsidRPr="007C4D65" w:rsidRDefault="00B02183" w:rsidP="00B02183">
            <w:pPr>
              <w:spacing w:line="276" w:lineRule="auto"/>
              <w:ind w:left="211" w:hanging="41"/>
              <w:rPr>
                <w:rFonts w:asciiTheme="minorHAnsi" w:hAnsiTheme="minorHAnsi" w:cstheme="minorHAnsi"/>
                <w:sz w:val="18"/>
                <w:szCs w:val="18"/>
              </w:rPr>
            </w:pPr>
            <w:r w:rsidRPr="007C4D65">
              <w:rPr>
                <w:rFonts w:asciiTheme="minorHAnsi" w:hAnsiTheme="minorHAnsi" w:cstheme="minorHAnsi"/>
                <w:sz w:val="18"/>
              </w:rPr>
              <w:t>The incentive model adopted</w:t>
            </w:r>
          </w:p>
        </w:tc>
      </w:tr>
      <w:tr w:rsidR="00B02183" w:rsidRPr="007C4D65" w14:paraId="13C0FBB6" w14:textId="77777777" w:rsidTr="00B6017F">
        <w:trPr>
          <w:trHeight w:val="287"/>
        </w:trPr>
        <w:tc>
          <w:tcPr>
            <w:tcW w:w="811" w:type="pct"/>
            <w:vMerge/>
            <w:shd w:val="clear" w:color="auto" w:fill="D9D9D9"/>
            <w:vAlign w:val="center"/>
          </w:tcPr>
          <w:p w14:paraId="675E9D31"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33C15E9B"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C57392D"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Level of the development of infrastructure as defined in the Study</w:t>
            </w:r>
          </w:p>
        </w:tc>
        <w:tc>
          <w:tcPr>
            <w:tcW w:w="1159" w:type="pct"/>
            <w:shd w:val="clear" w:color="auto" w:fill="FFFFFF"/>
            <w:tcMar>
              <w:top w:w="0" w:type="dxa"/>
              <w:left w:w="108" w:type="dxa"/>
              <w:bottom w:w="0" w:type="dxa"/>
              <w:right w:w="108" w:type="dxa"/>
            </w:tcMar>
            <w:vAlign w:val="center"/>
          </w:tcPr>
          <w:p w14:paraId="59393728"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Insufficiently developed infrastructure</w:t>
            </w:r>
          </w:p>
        </w:tc>
        <w:tc>
          <w:tcPr>
            <w:tcW w:w="1159" w:type="pct"/>
            <w:shd w:val="clear" w:color="auto" w:fill="FFFFFF"/>
            <w:vAlign w:val="center"/>
          </w:tcPr>
          <w:p w14:paraId="0305E223" w14:textId="77777777" w:rsidR="00B02183" w:rsidRPr="007C4D65" w:rsidRDefault="00B02183" w:rsidP="00B02183">
            <w:pPr>
              <w:spacing w:line="276" w:lineRule="auto"/>
              <w:ind w:left="211" w:hanging="41"/>
              <w:rPr>
                <w:rFonts w:asciiTheme="minorHAnsi" w:hAnsiTheme="minorHAnsi" w:cstheme="minorHAnsi"/>
                <w:sz w:val="18"/>
                <w:szCs w:val="18"/>
              </w:rPr>
            </w:pPr>
            <w:r w:rsidRPr="007C4D65">
              <w:rPr>
                <w:rFonts w:asciiTheme="minorHAnsi" w:hAnsiTheme="minorHAnsi" w:cstheme="minorHAnsi"/>
                <w:sz w:val="18"/>
              </w:rPr>
              <w:t>A minimum infrastructure developed</w:t>
            </w:r>
          </w:p>
        </w:tc>
      </w:tr>
      <w:tr w:rsidR="00B02183" w:rsidRPr="007C4D65" w14:paraId="02172D56" w14:textId="77777777" w:rsidTr="00B6017F">
        <w:trPr>
          <w:trHeight w:val="287"/>
        </w:trPr>
        <w:tc>
          <w:tcPr>
            <w:tcW w:w="811" w:type="pct"/>
            <w:vMerge/>
            <w:shd w:val="clear" w:color="auto" w:fill="D9D9D9"/>
            <w:vAlign w:val="center"/>
          </w:tcPr>
          <w:p w14:paraId="6D8521ED"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2773636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0B94C40"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kilometres of developed cycling tracks and pedestrian walkways</w:t>
            </w:r>
          </w:p>
        </w:tc>
        <w:tc>
          <w:tcPr>
            <w:tcW w:w="1159" w:type="pct"/>
            <w:shd w:val="clear" w:color="auto" w:fill="FFFFFF"/>
            <w:tcMar>
              <w:top w:w="0" w:type="dxa"/>
              <w:left w:w="108" w:type="dxa"/>
              <w:bottom w:w="0" w:type="dxa"/>
              <w:right w:w="108" w:type="dxa"/>
            </w:tcMar>
            <w:vAlign w:val="center"/>
          </w:tcPr>
          <w:p w14:paraId="2FAEE0F5"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Insufficiently developed infrastructure</w:t>
            </w:r>
          </w:p>
        </w:tc>
        <w:tc>
          <w:tcPr>
            <w:tcW w:w="1159" w:type="pct"/>
            <w:shd w:val="clear" w:color="auto" w:fill="FFFFFF"/>
            <w:vAlign w:val="center"/>
          </w:tcPr>
          <w:p w14:paraId="62F8E933" w14:textId="77777777" w:rsidR="00B02183" w:rsidRPr="007C4D65" w:rsidRDefault="00B02183" w:rsidP="00B02183">
            <w:pPr>
              <w:spacing w:after="120" w:line="276" w:lineRule="auto"/>
              <w:ind w:left="211" w:hanging="41"/>
              <w:contextualSpacing/>
              <w:rPr>
                <w:rFonts w:asciiTheme="minorHAnsi" w:hAnsiTheme="minorHAnsi" w:cstheme="minorHAnsi"/>
                <w:sz w:val="18"/>
                <w:szCs w:val="18"/>
              </w:rPr>
            </w:pPr>
            <w:r w:rsidRPr="007C4D65">
              <w:rPr>
                <w:rFonts w:asciiTheme="minorHAnsi" w:hAnsiTheme="minorHAnsi" w:cstheme="minorHAnsi"/>
                <w:sz w:val="18"/>
              </w:rPr>
              <w:t>A minimum infrastructure developed</w:t>
            </w:r>
          </w:p>
        </w:tc>
      </w:tr>
      <w:tr w:rsidR="00B02183" w:rsidRPr="007C4D65" w14:paraId="5AF3DF37" w14:textId="77777777" w:rsidTr="00B6017F">
        <w:trPr>
          <w:trHeight w:val="483"/>
        </w:trPr>
        <w:tc>
          <w:tcPr>
            <w:tcW w:w="811" w:type="pct"/>
            <w:vMerge/>
            <w:shd w:val="clear" w:color="auto" w:fill="D9D9D9"/>
            <w:vAlign w:val="center"/>
            <w:hideMark/>
          </w:tcPr>
          <w:p w14:paraId="4E32ED9F"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12D2BB2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39621E68" w14:textId="29355D01"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04355CD1"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0E367A06"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187DC5CC" w14:textId="77777777" w:rsidTr="00B6017F">
        <w:trPr>
          <w:trHeight w:val="287"/>
        </w:trPr>
        <w:tc>
          <w:tcPr>
            <w:tcW w:w="811" w:type="pct"/>
            <w:vMerge/>
            <w:shd w:val="clear" w:color="auto" w:fill="D9D9D9"/>
            <w:vAlign w:val="center"/>
            <w:hideMark/>
          </w:tcPr>
          <w:p w14:paraId="58C7332C"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6D02F1E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25081439"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10.4</w:t>
            </w:r>
          </w:p>
        </w:tc>
        <w:tc>
          <w:tcPr>
            <w:tcW w:w="1159" w:type="pct"/>
            <w:tcMar>
              <w:top w:w="0" w:type="dxa"/>
              <w:left w:w="108" w:type="dxa"/>
              <w:bottom w:w="0" w:type="dxa"/>
              <w:right w:w="108" w:type="dxa"/>
            </w:tcMar>
            <w:vAlign w:val="center"/>
          </w:tcPr>
          <w:p w14:paraId="41FCA3C0"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93.6</w:t>
            </w:r>
          </w:p>
        </w:tc>
        <w:tc>
          <w:tcPr>
            <w:tcW w:w="1159" w:type="pct"/>
            <w:tcMar>
              <w:top w:w="0" w:type="dxa"/>
              <w:left w:w="108" w:type="dxa"/>
              <w:bottom w:w="0" w:type="dxa"/>
              <w:right w:w="108" w:type="dxa"/>
            </w:tcMar>
            <w:vAlign w:val="center"/>
          </w:tcPr>
          <w:p w14:paraId="1422DCD0"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104.06</w:t>
            </w:r>
          </w:p>
        </w:tc>
      </w:tr>
    </w:tbl>
    <w:p w14:paraId="2C19D95C" w14:textId="77777777" w:rsidR="00B02183" w:rsidRPr="007C4D65" w:rsidRDefault="00B02183" w:rsidP="00B02183">
      <w:pPr>
        <w:spacing w:line="276" w:lineRule="auto"/>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263"/>
        <w:gridCol w:w="1986"/>
        <w:gridCol w:w="3258"/>
        <w:gridCol w:w="3261"/>
        <w:gridCol w:w="3180"/>
      </w:tblGrid>
      <w:tr w:rsidR="00B02183" w:rsidRPr="007C4D65" w14:paraId="4EF10F3A" w14:textId="77777777" w:rsidTr="00B6017F">
        <w:trPr>
          <w:trHeight w:val="384"/>
        </w:trPr>
        <w:tc>
          <w:tcPr>
            <w:tcW w:w="811" w:type="pct"/>
            <w:vMerge w:val="restart"/>
            <w:shd w:val="clear" w:color="auto" w:fill="D9D9D9"/>
            <w:tcMar>
              <w:top w:w="0" w:type="dxa"/>
              <w:left w:w="108" w:type="dxa"/>
              <w:bottom w:w="0" w:type="dxa"/>
              <w:right w:w="108" w:type="dxa"/>
            </w:tcMar>
            <w:vAlign w:val="center"/>
          </w:tcPr>
          <w:p w14:paraId="76B46560"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4.7 Priority</w:t>
            </w:r>
          </w:p>
        </w:tc>
        <w:tc>
          <w:tcPr>
            <w:tcW w:w="712" w:type="pct"/>
            <w:vMerge w:val="restart"/>
            <w:tcMar>
              <w:top w:w="0" w:type="dxa"/>
              <w:left w:w="108" w:type="dxa"/>
              <w:bottom w:w="0" w:type="dxa"/>
              <w:right w:w="108" w:type="dxa"/>
            </w:tcMar>
            <w:vAlign w:val="center"/>
          </w:tcPr>
          <w:p w14:paraId="01A2149B" w14:textId="77777777" w:rsidR="00B02183" w:rsidRPr="007C4D65" w:rsidRDefault="00B02183" w:rsidP="00B02183">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Reducing light pollution</w:t>
            </w:r>
          </w:p>
        </w:tc>
        <w:tc>
          <w:tcPr>
            <w:tcW w:w="1168" w:type="pct"/>
            <w:shd w:val="clear" w:color="auto" w:fill="D9D9D9"/>
            <w:tcMar>
              <w:top w:w="0" w:type="dxa"/>
              <w:left w:w="108" w:type="dxa"/>
              <w:bottom w:w="0" w:type="dxa"/>
              <w:right w:w="108" w:type="dxa"/>
            </w:tcMar>
            <w:vAlign w:val="center"/>
          </w:tcPr>
          <w:p w14:paraId="41FD342F" w14:textId="77777777" w:rsidR="00B02183" w:rsidRPr="007C4D65" w:rsidRDefault="00B02183" w:rsidP="00B02183">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69" w:type="pct"/>
            <w:shd w:val="clear" w:color="auto" w:fill="D9D9D9"/>
            <w:tcMar>
              <w:top w:w="0" w:type="dxa"/>
              <w:left w:w="108" w:type="dxa"/>
              <w:bottom w:w="0" w:type="dxa"/>
              <w:right w:w="108" w:type="dxa"/>
            </w:tcMar>
            <w:vAlign w:val="center"/>
          </w:tcPr>
          <w:p w14:paraId="29C7B98E"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40" w:type="pct"/>
            <w:shd w:val="clear" w:color="auto" w:fill="D9D9D9"/>
            <w:tcMar>
              <w:top w:w="0" w:type="dxa"/>
              <w:left w:w="108" w:type="dxa"/>
              <w:bottom w:w="0" w:type="dxa"/>
              <w:right w:w="108" w:type="dxa"/>
            </w:tcMar>
            <w:vAlign w:val="center"/>
          </w:tcPr>
          <w:p w14:paraId="6E2650A7"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17F0272D" w14:textId="77777777" w:rsidTr="00B6017F">
        <w:trPr>
          <w:trHeight w:val="287"/>
        </w:trPr>
        <w:tc>
          <w:tcPr>
            <w:tcW w:w="811" w:type="pct"/>
            <w:vMerge/>
            <w:shd w:val="clear" w:color="auto" w:fill="D9D9D9"/>
            <w:vAlign w:val="center"/>
            <w:hideMark/>
          </w:tcPr>
          <w:p w14:paraId="10E207F4"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4A57D3F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68" w:type="pct"/>
            <w:tcMar>
              <w:top w:w="0" w:type="dxa"/>
              <w:left w:w="108" w:type="dxa"/>
              <w:bottom w:w="0" w:type="dxa"/>
              <w:right w:w="108" w:type="dxa"/>
            </w:tcMar>
            <w:vAlign w:val="center"/>
          </w:tcPr>
          <w:p w14:paraId="266C5B2A"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development of improved legislation</w:t>
            </w:r>
          </w:p>
        </w:tc>
        <w:tc>
          <w:tcPr>
            <w:tcW w:w="1169" w:type="pct"/>
            <w:tcMar>
              <w:top w:w="0" w:type="dxa"/>
              <w:left w:w="108" w:type="dxa"/>
              <w:bottom w:w="0" w:type="dxa"/>
              <w:right w:w="108" w:type="dxa"/>
            </w:tcMar>
            <w:vAlign w:val="center"/>
          </w:tcPr>
          <w:p w14:paraId="25F23453" w14:textId="77777777" w:rsidR="00B02183" w:rsidRPr="007C4D65" w:rsidRDefault="00B02183" w:rsidP="00B02183">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Lack of legislation governing light pollution</w:t>
            </w:r>
          </w:p>
        </w:tc>
        <w:tc>
          <w:tcPr>
            <w:tcW w:w="1140" w:type="pct"/>
            <w:tcMar>
              <w:top w:w="0" w:type="dxa"/>
              <w:left w:w="108" w:type="dxa"/>
              <w:bottom w:w="0" w:type="dxa"/>
              <w:right w:w="108" w:type="dxa"/>
            </w:tcMar>
            <w:vAlign w:val="center"/>
          </w:tcPr>
          <w:p w14:paraId="57CE145D"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The legislation adopted</w:t>
            </w:r>
          </w:p>
        </w:tc>
      </w:tr>
      <w:tr w:rsidR="00B02183" w:rsidRPr="007C4D65" w14:paraId="1AB8B1B1" w14:textId="77777777" w:rsidTr="00B6017F">
        <w:trPr>
          <w:trHeight w:val="287"/>
        </w:trPr>
        <w:tc>
          <w:tcPr>
            <w:tcW w:w="811" w:type="pct"/>
            <w:vMerge/>
            <w:shd w:val="clear" w:color="auto" w:fill="D9D9D9"/>
            <w:vAlign w:val="center"/>
            <w:hideMark/>
          </w:tcPr>
          <w:p w14:paraId="731BB8B2"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hideMark/>
          </w:tcPr>
          <w:p w14:paraId="09896C38"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68" w:type="pct"/>
            <w:shd w:val="clear" w:color="auto" w:fill="D9D9D9"/>
            <w:tcMar>
              <w:top w:w="0" w:type="dxa"/>
              <w:left w:w="108" w:type="dxa"/>
              <w:bottom w:w="0" w:type="dxa"/>
              <w:right w:w="108" w:type="dxa"/>
            </w:tcMar>
            <w:vAlign w:val="center"/>
          </w:tcPr>
          <w:p w14:paraId="78095504" w14:textId="7E8AF682"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69" w:type="pct"/>
            <w:shd w:val="clear" w:color="auto" w:fill="D9D9D9"/>
            <w:tcMar>
              <w:top w:w="0" w:type="dxa"/>
              <w:left w:w="108" w:type="dxa"/>
              <w:bottom w:w="0" w:type="dxa"/>
              <w:right w:w="108" w:type="dxa"/>
            </w:tcMar>
            <w:vAlign w:val="center"/>
          </w:tcPr>
          <w:p w14:paraId="190F6EE5"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40" w:type="pct"/>
            <w:shd w:val="clear" w:color="auto" w:fill="D9D9D9"/>
            <w:tcMar>
              <w:top w:w="0" w:type="dxa"/>
              <w:left w:w="108" w:type="dxa"/>
              <w:bottom w:w="0" w:type="dxa"/>
              <w:right w:w="108" w:type="dxa"/>
            </w:tcMar>
            <w:vAlign w:val="center"/>
          </w:tcPr>
          <w:p w14:paraId="001E052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5A749A83" w14:textId="77777777" w:rsidTr="00B6017F">
        <w:trPr>
          <w:trHeight w:val="287"/>
        </w:trPr>
        <w:tc>
          <w:tcPr>
            <w:tcW w:w="811" w:type="pct"/>
            <w:vMerge/>
            <w:shd w:val="clear" w:color="auto" w:fill="D9D9D9"/>
            <w:vAlign w:val="center"/>
          </w:tcPr>
          <w:p w14:paraId="3A8584D5"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2F45A3B7"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68" w:type="pct"/>
            <w:tcMar>
              <w:top w:w="0" w:type="dxa"/>
              <w:left w:w="108" w:type="dxa"/>
              <w:bottom w:w="0" w:type="dxa"/>
              <w:right w:w="108" w:type="dxa"/>
            </w:tcMar>
            <w:vAlign w:val="center"/>
          </w:tcPr>
          <w:p w14:paraId="1DA67022"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0.120</w:t>
            </w:r>
          </w:p>
        </w:tc>
        <w:tc>
          <w:tcPr>
            <w:tcW w:w="1169" w:type="pct"/>
            <w:tcMar>
              <w:top w:w="0" w:type="dxa"/>
              <w:left w:w="108" w:type="dxa"/>
              <w:bottom w:w="0" w:type="dxa"/>
              <w:right w:w="108" w:type="dxa"/>
            </w:tcMar>
            <w:vAlign w:val="center"/>
          </w:tcPr>
          <w:p w14:paraId="15289B3A"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40" w:type="pct"/>
            <w:tcMar>
              <w:top w:w="0" w:type="dxa"/>
              <w:left w:w="108" w:type="dxa"/>
              <w:bottom w:w="0" w:type="dxa"/>
              <w:right w:w="108" w:type="dxa"/>
            </w:tcMar>
            <w:vAlign w:val="center"/>
          </w:tcPr>
          <w:p w14:paraId="51D7AF80"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0.120</w:t>
            </w:r>
          </w:p>
        </w:tc>
      </w:tr>
    </w:tbl>
    <w:p w14:paraId="46588BB3" w14:textId="77777777" w:rsidR="00B02183" w:rsidRPr="007C4D65" w:rsidRDefault="00B02183" w:rsidP="00B02183">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263"/>
        <w:gridCol w:w="1986"/>
        <w:gridCol w:w="3233"/>
        <w:gridCol w:w="3233"/>
        <w:gridCol w:w="3233"/>
      </w:tblGrid>
      <w:tr w:rsidR="00B02183" w:rsidRPr="007C4D65" w14:paraId="22445664" w14:textId="77777777" w:rsidTr="00B6017F">
        <w:trPr>
          <w:trHeight w:val="483"/>
        </w:trPr>
        <w:tc>
          <w:tcPr>
            <w:tcW w:w="811" w:type="pct"/>
            <w:vMerge w:val="restart"/>
            <w:shd w:val="clear" w:color="auto" w:fill="D9D9D9"/>
            <w:tcMar>
              <w:top w:w="0" w:type="dxa"/>
              <w:left w:w="108" w:type="dxa"/>
              <w:bottom w:w="0" w:type="dxa"/>
              <w:right w:w="108" w:type="dxa"/>
            </w:tcMar>
            <w:vAlign w:val="center"/>
            <w:hideMark/>
          </w:tcPr>
          <w:p w14:paraId="4DF43262" w14:textId="77777777" w:rsidR="00B02183" w:rsidRPr="007C4D65" w:rsidRDefault="00B02183" w:rsidP="00B02183">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4.7.1 Measure</w:t>
            </w:r>
          </w:p>
        </w:tc>
        <w:tc>
          <w:tcPr>
            <w:tcW w:w="712" w:type="pct"/>
            <w:vMerge w:val="restart"/>
            <w:tcMar>
              <w:top w:w="0" w:type="dxa"/>
              <w:left w:w="108" w:type="dxa"/>
              <w:bottom w:w="0" w:type="dxa"/>
              <w:right w:w="108" w:type="dxa"/>
            </w:tcMar>
            <w:vAlign w:val="center"/>
          </w:tcPr>
          <w:p w14:paraId="2C3DCA12"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Enacting legislation governing light pollution</w:t>
            </w:r>
          </w:p>
        </w:tc>
        <w:tc>
          <w:tcPr>
            <w:tcW w:w="1159" w:type="pct"/>
            <w:shd w:val="clear" w:color="auto" w:fill="D9D9D9"/>
            <w:tcMar>
              <w:top w:w="0" w:type="dxa"/>
              <w:left w:w="108" w:type="dxa"/>
              <w:bottom w:w="0" w:type="dxa"/>
              <w:right w:w="108" w:type="dxa"/>
            </w:tcMar>
            <w:vAlign w:val="center"/>
            <w:hideMark/>
          </w:tcPr>
          <w:p w14:paraId="597DE0A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4D20C894"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7DBBA20A"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B02183" w:rsidRPr="007C4D65" w14:paraId="6C5769F1" w14:textId="77777777" w:rsidTr="00B6017F">
        <w:trPr>
          <w:trHeight w:val="287"/>
        </w:trPr>
        <w:tc>
          <w:tcPr>
            <w:tcW w:w="811" w:type="pct"/>
            <w:vMerge/>
            <w:shd w:val="clear" w:color="auto" w:fill="D9D9D9"/>
            <w:vAlign w:val="center"/>
          </w:tcPr>
          <w:p w14:paraId="32B2FE70"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17D7ECCD"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1A42D58"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Status of the development and adoption of the regulation</w:t>
            </w:r>
          </w:p>
        </w:tc>
        <w:tc>
          <w:tcPr>
            <w:tcW w:w="1159" w:type="pct"/>
            <w:shd w:val="clear" w:color="auto" w:fill="FFFFFF"/>
            <w:tcMar>
              <w:top w:w="0" w:type="dxa"/>
              <w:left w:w="108" w:type="dxa"/>
              <w:bottom w:w="0" w:type="dxa"/>
              <w:right w:w="108" w:type="dxa"/>
            </w:tcMar>
            <w:vAlign w:val="center"/>
          </w:tcPr>
          <w:p w14:paraId="226C5DA4"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 regulation envisaged in the law on environment protection</w:t>
            </w:r>
          </w:p>
        </w:tc>
        <w:tc>
          <w:tcPr>
            <w:tcW w:w="1159" w:type="pct"/>
            <w:shd w:val="clear" w:color="auto" w:fill="FFFFFF"/>
            <w:vAlign w:val="center"/>
          </w:tcPr>
          <w:p w14:paraId="325119CC" w14:textId="77777777" w:rsidR="00B02183" w:rsidRPr="007C4D65" w:rsidRDefault="00B02183" w:rsidP="00B02183">
            <w:pPr>
              <w:spacing w:line="276" w:lineRule="auto"/>
              <w:ind w:left="170"/>
              <w:rPr>
                <w:rFonts w:asciiTheme="minorHAnsi" w:hAnsiTheme="minorHAnsi" w:cstheme="minorHAnsi"/>
                <w:sz w:val="18"/>
                <w:szCs w:val="18"/>
              </w:rPr>
            </w:pPr>
            <w:r w:rsidRPr="007C4D65">
              <w:rPr>
                <w:rFonts w:asciiTheme="minorHAnsi" w:hAnsiTheme="minorHAnsi" w:cstheme="minorHAnsi"/>
                <w:sz w:val="18"/>
              </w:rPr>
              <w:t>The regulation prepared and adopted</w:t>
            </w:r>
          </w:p>
        </w:tc>
      </w:tr>
      <w:tr w:rsidR="00B02183" w:rsidRPr="007C4D65" w14:paraId="6B6DC821" w14:textId="77777777" w:rsidTr="00B6017F">
        <w:trPr>
          <w:trHeight w:val="287"/>
        </w:trPr>
        <w:tc>
          <w:tcPr>
            <w:tcW w:w="811" w:type="pct"/>
            <w:vMerge/>
            <w:shd w:val="clear" w:color="auto" w:fill="D9D9D9"/>
            <w:vAlign w:val="center"/>
          </w:tcPr>
          <w:p w14:paraId="708843A6"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3698364F"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8684A0C" w14:textId="77777777" w:rsidR="00B02183" w:rsidRPr="007C4D65" w:rsidRDefault="00B02183" w:rsidP="00B02183">
            <w:pPr>
              <w:spacing w:line="276" w:lineRule="auto"/>
              <w:rPr>
                <w:rFonts w:asciiTheme="minorHAnsi" w:hAnsiTheme="minorHAnsi" w:cstheme="minorHAnsi"/>
                <w:sz w:val="18"/>
                <w:szCs w:val="18"/>
              </w:rPr>
            </w:pPr>
            <w:r w:rsidRPr="007C4D65">
              <w:rPr>
                <w:rFonts w:asciiTheme="minorHAnsi" w:hAnsiTheme="minorHAnsi" w:cstheme="minorHAnsi"/>
                <w:sz w:val="18"/>
              </w:rPr>
              <w:t>Level of the implementation of capacity building programmes</w:t>
            </w:r>
          </w:p>
        </w:tc>
        <w:tc>
          <w:tcPr>
            <w:tcW w:w="1159" w:type="pct"/>
            <w:shd w:val="clear" w:color="auto" w:fill="FFFFFF"/>
            <w:tcMar>
              <w:top w:w="0" w:type="dxa"/>
              <w:left w:w="108" w:type="dxa"/>
              <w:bottom w:w="0" w:type="dxa"/>
              <w:right w:w="108" w:type="dxa"/>
            </w:tcMar>
            <w:vAlign w:val="center"/>
          </w:tcPr>
          <w:p w14:paraId="23ED5D91" w14:textId="77777777" w:rsidR="00B02183" w:rsidRPr="007C4D65" w:rsidRDefault="00B02183" w:rsidP="00B02183">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 capacities for regulating light pollution</w:t>
            </w:r>
          </w:p>
        </w:tc>
        <w:tc>
          <w:tcPr>
            <w:tcW w:w="1159" w:type="pct"/>
            <w:shd w:val="clear" w:color="auto" w:fill="FFFFFF"/>
            <w:vAlign w:val="center"/>
          </w:tcPr>
          <w:p w14:paraId="642B47C9" w14:textId="77777777" w:rsidR="00B02183" w:rsidRPr="007C4D65" w:rsidRDefault="00B02183" w:rsidP="00B02183">
            <w:pPr>
              <w:spacing w:line="276" w:lineRule="auto"/>
              <w:ind w:firstLine="170"/>
              <w:rPr>
                <w:rFonts w:asciiTheme="minorHAnsi" w:hAnsiTheme="minorHAnsi" w:cstheme="minorHAnsi"/>
                <w:sz w:val="18"/>
                <w:szCs w:val="18"/>
              </w:rPr>
            </w:pPr>
            <w:r w:rsidRPr="007C4D65">
              <w:rPr>
                <w:rFonts w:asciiTheme="minorHAnsi" w:hAnsiTheme="minorHAnsi" w:cstheme="minorHAnsi"/>
                <w:sz w:val="18"/>
              </w:rPr>
              <w:t>The capacity building programme implemented</w:t>
            </w:r>
          </w:p>
        </w:tc>
      </w:tr>
      <w:tr w:rsidR="00B02183" w:rsidRPr="007C4D65" w14:paraId="5B85D92E" w14:textId="77777777" w:rsidTr="00B6017F">
        <w:trPr>
          <w:trHeight w:val="483"/>
        </w:trPr>
        <w:tc>
          <w:tcPr>
            <w:tcW w:w="811" w:type="pct"/>
            <w:vMerge/>
            <w:shd w:val="clear" w:color="auto" w:fill="D9D9D9"/>
            <w:vAlign w:val="center"/>
            <w:hideMark/>
          </w:tcPr>
          <w:p w14:paraId="6DA37938"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336E547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2AAAAA67" w14:textId="472408D8" w:rsidR="00B02183" w:rsidRPr="007C4D65" w:rsidRDefault="000D19A9"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B02183"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7057F719"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79AF776F" w14:textId="77777777" w:rsidR="00B02183" w:rsidRPr="007C4D65" w:rsidRDefault="00B02183" w:rsidP="00B02183">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B02183" w:rsidRPr="007C4D65" w14:paraId="5EFF7E44" w14:textId="77777777" w:rsidTr="00B6017F">
        <w:trPr>
          <w:trHeight w:val="287"/>
        </w:trPr>
        <w:tc>
          <w:tcPr>
            <w:tcW w:w="811" w:type="pct"/>
            <w:vMerge/>
            <w:shd w:val="clear" w:color="auto" w:fill="D9D9D9"/>
            <w:vAlign w:val="center"/>
            <w:hideMark/>
          </w:tcPr>
          <w:p w14:paraId="38E99D4B" w14:textId="77777777" w:rsidR="00B02183" w:rsidRPr="007C4D65" w:rsidRDefault="00B02183" w:rsidP="00B02183">
            <w:pPr>
              <w:spacing w:after="120" w:line="276" w:lineRule="auto"/>
              <w:ind w:hanging="2"/>
              <w:contextualSpacing/>
              <w:rPr>
                <w:rFonts w:asciiTheme="minorHAnsi" w:hAnsiTheme="minorHAnsi" w:cstheme="minorHAnsi"/>
                <w:b/>
                <w:sz w:val="18"/>
                <w:szCs w:val="18"/>
                <w:lang w:val="hr-HR"/>
              </w:rPr>
            </w:pPr>
          </w:p>
        </w:tc>
        <w:tc>
          <w:tcPr>
            <w:tcW w:w="712" w:type="pct"/>
            <w:vMerge/>
            <w:vAlign w:val="center"/>
          </w:tcPr>
          <w:p w14:paraId="75440914" w14:textId="77777777" w:rsidR="00B02183" w:rsidRPr="007C4D65" w:rsidRDefault="00B02183" w:rsidP="00B02183">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E1D455E"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0.120</w:t>
            </w:r>
          </w:p>
        </w:tc>
        <w:tc>
          <w:tcPr>
            <w:tcW w:w="1159" w:type="pct"/>
            <w:tcMar>
              <w:top w:w="0" w:type="dxa"/>
              <w:left w:w="108" w:type="dxa"/>
              <w:bottom w:w="0" w:type="dxa"/>
              <w:right w:w="108" w:type="dxa"/>
            </w:tcMar>
            <w:vAlign w:val="center"/>
          </w:tcPr>
          <w:p w14:paraId="53FAFFCA"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5F33BDA6" w14:textId="77777777" w:rsidR="00B02183" w:rsidRPr="007C4D65" w:rsidRDefault="00B02183" w:rsidP="00B02183">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0.120</w:t>
            </w:r>
          </w:p>
        </w:tc>
      </w:tr>
    </w:tbl>
    <w:p w14:paraId="0A9BE54D" w14:textId="77777777" w:rsidR="00B02183" w:rsidRPr="007C4D65" w:rsidRDefault="00B02183" w:rsidP="00B02183">
      <w:pPr>
        <w:spacing w:line="276" w:lineRule="auto"/>
        <w:rPr>
          <w:rFonts w:asciiTheme="minorHAnsi" w:hAnsiTheme="minorHAnsi" w:cstheme="minorHAnsi"/>
          <w:sz w:val="18"/>
          <w:szCs w:val="18"/>
          <w:lang w:val="hr-HR"/>
        </w:rPr>
      </w:pPr>
    </w:p>
    <w:p w14:paraId="27F16573" w14:textId="7F8C2D88" w:rsidR="00242590" w:rsidRPr="007C4D65" w:rsidRDefault="00382F69" w:rsidP="00382F69">
      <w:pPr>
        <w:pStyle w:val="Head3"/>
        <w:numPr>
          <w:ilvl w:val="0"/>
          <w:numId w:val="0"/>
        </w:numPr>
        <w:spacing w:line="276" w:lineRule="auto"/>
        <w:rPr>
          <w:rFonts w:asciiTheme="minorHAnsi" w:hAnsiTheme="minorHAnsi"/>
        </w:rPr>
      </w:pPr>
      <w:bookmarkStart w:id="432" w:name="_Toc117445388"/>
      <w:r w:rsidRPr="007C4D65">
        <w:rPr>
          <w:rFonts w:asciiTheme="minorHAnsi" w:hAnsiTheme="minorHAnsi"/>
        </w:rPr>
        <w:t xml:space="preserve">13.8.5. </w:t>
      </w:r>
      <w:r w:rsidR="00242590" w:rsidRPr="007C4D65">
        <w:rPr>
          <w:rFonts w:asciiTheme="minorHAnsi" w:hAnsiTheme="minorHAnsi"/>
        </w:rPr>
        <w:t xml:space="preserve">Chemicals </w:t>
      </w:r>
      <w:r w:rsidR="00CD3D80" w:rsidRPr="007C4D65">
        <w:rPr>
          <w:rFonts w:asciiTheme="minorHAnsi" w:hAnsiTheme="minorHAnsi"/>
        </w:rPr>
        <w:t>safety and noise</w:t>
      </w:r>
      <w:bookmarkEnd w:id="432"/>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3"/>
        <w:gridCol w:w="2126"/>
        <w:gridCol w:w="3233"/>
        <w:gridCol w:w="3233"/>
        <w:gridCol w:w="3233"/>
      </w:tblGrid>
      <w:tr w:rsidR="00D51392" w:rsidRPr="007C4D65" w14:paraId="602CCEBA" w14:textId="77777777" w:rsidTr="00B6017F">
        <w:trPr>
          <w:trHeight w:val="384"/>
        </w:trPr>
        <w:tc>
          <w:tcPr>
            <w:tcW w:w="761" w:type="pct"/>
            <w:vMerge w:val="restart"/>
            <w:shd w:val="clear" w:color="auto" w:fill="D9D9D9"/>
            <w:tcMar>
              <w:top w:w="0" w:type="dxa"/>
              <w:left w:w="108" w:type="dxa"/>
              <w:bottom w:w="0" w:type="dxa"/>
              <w:right w:w="108" w:type="dxa"/>
            </w:tcMar>
            <w:vAlign w:val="center"/>
            <w:hideMark/>
          </w:tcPr>
          <w:p w14:paraId="301CF3A4" w14:textId="2B2EB054"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b/>
                <w:sz w:val="18"/>
                <w:szCs w:val="18"/>
              </w:rPr>
              <w:t xml:space="preserve">5. Strategic </w:t>
            </w:r>
            <w:r w:rsidR="009736BE" w:rsidRPr="007C4D65">
              <w:rPr>
                <w:rFonts w:asciiTheme="minorHAnsi" w:hAnsiTheme="minorHAnsi"/>
                <w:b/>
                <w:sz w:val="18"/>
                <w:szCs w:val="18"/>
              </w:rPr>
              <w:t>g</w:t>
            </w:r>
            <w:r w:rsidRPr="007C4D65">
              <w:rPr>
                <w:rFonts w:asciiTheme="minorHAnsi" w:hAnsiTheme="minorHAnsi"/>
                <w:b/>
                <w:sz w:val="18"/>
                <w:szCs w:val="18"/>
              </w:rPr>
              <w:t>oal</w:t>
            </w:r>
          </w:p>
        </w:tc>
        <w:tc>
          <w:tcPr>
            <w:tcW w:w="762" w:type="pct"/>
            <w:vMerge w:val="restart"/>
            <w:tcMar>
              <w:top w:w="0" w:type="dxa"/>
              <w:left w:w="108" w:type="dxa"/>
              <w:bottom w:w="0" w:type="dxa"/>
              <w:right w:w="108" w:type="dxa"/>
            </w:tcMar>
            <w:vAlign w:val="center"/>
          </w:tcPr>
          <w:p w14:paraId="61BB9ACA" w14:textId="2B580CD9" w:rsidR="00D51392" w:rsidRPr="007C4D65" w:rsidRDefault="0020665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Human health protection</w:t>
            </w:r>
            <w:r w:rsidR="00D51392" w:rsidRPr="007C4D65">
              <w:rPr>
                <w:rFonts w:asciiTheme="minorHAnsi" w:hAnsiTheme="minorHAnsi"/>
                <w:b/>
                <w:sz w:val="18"/>
                <w:szCs w:val="18"/>
              </w:rPr>
              <w:t xml:space="preserve"> and improving well-being and quality of life for all</w:t>
            </w:r>
          </w:p>
        </w:tc>
        <w:tc>
          <w:tcPr>
            <w:tcW w:w="1159" w:type="pct"/>
            <w:shd w:val="clear" w:color="auto" w:fill="D9D9D9"/>
            <w:tcMar>
              <w:top w:w="0" w:type="dxa"/>
              <w:left w:w="108" w:type="dxa"/>
              <w:bottom w:w="0" w:type="dxa"/>
              <w:right w:w="108" w:type="dxa"/>
            </w:tcMar>
            <w:vAlign w:val="center"/>
            <w:hideMark/>
          </w:tcPr>
          <w:p w14:paraId="752E2AC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for the strategic goal</w:t>
            </w:r>
          </w:p>
        </w:tc>
        <w:tc>
          <w:tcPr>
            <w:tcW w:w="1159" w:type="pct"/>
            <w:shd w:val="clear" w:color="auto" w:fill="D9D9D9"/>
            <w:tcMar>
              <w:top w:w="0" w:type="dxa"/>
              <w:left w:w="108" w:type="dxa"/>
              <w:bottom w:w="0" w:type="dxa"/>
              <w:right w:w="108" w:type="dxa"/>
            </w:tcMar>
            <w:vAlign w:val="center"/>
            <w:hideMark/>
          </w:tcPr>
          <w:p w14:paraId="072BBD4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hideMark/>
          </w:tcPr>
          <w:p w14:paraId="3409346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27E0A08C" w14:textId="77777777" w:rsidTr="00B6017F">
        <w:trPr>
          <w:trHeight w:val="287"/>
        </w:trPr>
        <w:tc>
          <w:tcPr>
            <w:tcW w:w="761" w:type="pct"/>
            <w:vMerge/>
            <w:shd w:val="clear" w:color="auto" w:fill="D9D9D9"/>
            <w:vAlign w:val="center"/>
            <w:hideMark/>
          </w:tcPr>
          <w:p w14:paraId="320397F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4EE9321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6332D2D9"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Incidence of diseases or deaths due to poisoning that are a consequence of inadequate handling of chemical products</w:t>
            </w:r>
          </w:p>
        </w:tc>
        <w:tc>
          <w:tcPr>
            <w:tcW w:w="1159" w:type="pct"/>
            <w:tcMar>
              <w:top w:w="0" w:type="dxa"/>
              <w:left w:w="108" w:type="dxa"/>
              <w:bottom w:w="0" w:type="dxa"/>
              <w:right w:w="108" w:type="dxa"/>
            </w:tcMar>
            <w:vAlign w:val="center"/>
          </w:tcPr>
          <w:p w14:paraId="2FCFC7C5" w14:textId="77777777" w:rsidR="00D51392" w:rsidRPr="007C4D65" w:rsidRDefault="00D51392"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N/D</w:t>
            </w:r>
          </w:p>
        </w:tc>
        <w:tc>
          <w:tcPr>
            <w:tcW w:w="1159" w:type="pct"/>
            <w:tcMar>
              <w:top w:w="0" w:type="dxa"/>
              <w:left w:w="108" w:type="dxa"/>
              <w:bottom w:w="0" w:type="dxa"/>
              <w:right w:w="108" w:type="dxa"/>
            </w:tcMar>
            <w:vAlign w:val="center"/>
          </w:tcPr>
          <w:p w14:paraId="512F8A7C" w14:textId="77777777" w:rsidR="00D51392" w:rsidRPr="007C4D65" w:rsidRDefault="00D51392"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N/D</w:t>
            </w:r>
          </w:p>
        </w:tc>
      </w:tr>
      <w:tr w:rsidR="00D51392" w:rsidRPr="007C4D65" w14:paraId="213888FE" w14:textId="77777777" w:rsidTr="00B6017F">
        <w:trPr>
          <w:trHeight w:val="287"/>
        </w:trPr>
        <w:tc>
          <w:tcPr>
            <w:tcW w:w="761" w:type="pct"/>
            <w:vMerge/>
            <w:shd w:val="clear" w:color="auto" w:fill="D9D9D9"/>
            <w:vAlign w:val="center"/>
          </w:tcPr>
          <w:p w14:paraId="6F7BEB1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7FF75940"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4F27E290"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olor w:val="222222"/>
                <w:sz w:val="18"/>
                <w:szCs w:val="18"/>
              </w:rPr>
              <w:t>Percentage of people exposed to noise, by classes of noise and age groups </w:t>
            </w:r>
          </w:p>
        </w:tc>
        <w:tc>
          <w:tcPr>
            <w:tcW w:w="1159" w:type="pct"/>
            <w:tcMar>
              <w:top w:w="0" w:type="dxa"/>
              <w:left w:w="108" w:type="dxa"/>
              <w:bottom w:w="0" w:type="dxa"/>
              <w:right w:w="108" w:type="dxa"/>
            </w:tcMar>
            <w:vAlign w:val="center"/>
          </w:tcPr>
          <w:p w14:paraId="482B80F5" w14:textId="77777777" w:rsidR="00D51392" w:rsidRPr="007C4D65" w:rsidRDefault="00D51392"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N/D</w:t>
            </w:r>
          </w:p>
        </w:tc>
        <w:tc>
          <w:tcPr>
            <w:tcW w:w="1159" w:type="pct"/>
            <w:tcMar>
              <w:top w:w="0" w:type="dxa"/>
              <w:left w:w="108" w:type="dxa"/>
              <w:bottom w:w="0" w:type="dxa"/>
              <w:right w:w="108" w:type="dxa"/>
            </w:tcMar>
            <w:vAlign w:val="center"/>
          </w:tcPr>
          <w:p w14:paraId="47FF1E41" w14:textId="77777777" w:rsidR="00D51392" w:rsidRPr="007C4D65" w:rsidRDefault="00D51392"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N/D</w:t>
            </w:r>
          </w:p>
        </w:tc>
      </w:tr>
      <w:tr w:rsidR="00D51392" w:rsidRPr="007C4D65" w14:paraId="7808003A" w14:textId="77777777" w:rsidTr="00B6017F">
        <w:trPr>
          <w:trHeight w:val="375"/>
        </w:trPr>
        <w:tc>
          <w:tcPr>
            <w:tcW w:w="761" w:type="pct"/>
            <w:vMerge/>
            <w:shd w:val="clear" w:color="auto" w:fill="D9D9D9"/>
            <w:vAlign w:val="center"/>
            <w:hideMark/>
          </w:tcPr>
          <w:p w14:paraId="10EC48E6"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53B5641D"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0CE8E17" w14:textId="7797D306"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w:t>
            </w:r>
            <w:r w:rsidR="000D19A9" w:rsidRPr="007C4D65">
              <w:rPr>
                <w:rFonts w:asciiTheme="minorHAnsi" w:hAnsiTheme="minorHAnsi"/>
                <w:b/>
                <w:sz w:val="18"/>
                <w:szCs w:val="18"/>
              </w:rPr>
              <w:t xml:space="preserve"> budget</w:t>
            </w:r>
            <w:r w:rsidRPr="007C4D65">
              <w:rPr>
                <w:rFonts w:asciiTheme="minorHAnsi" w:hAnsiTheme="minorHAnsi"/>
                <w:b/>
                <w:sz w:val="18"/>
                <w:szCs w:val="18"/>
              </w:rPr>
              <w:t xml:space="preserve"> (million BAM)</w:t>
            </w:r>
          </w:p>
        </w:tc>
        <w:tc>
          <w:tcPr>
            <w:tcW w:w="1159" w:type="pct"/>
            <w:shd w:val="clear" w:color="auto" w:fill="D9D9D9"/>
            <w:tcMar>
              <w:top w:w="0" w:type="dxa"/>
              <w:left w:w="108" w:type="dxa"/>
              <w:bottom w:w="0" w:type="dxa"/>
              <w:right w:w="108" w:type="dxa"/>
            </w:tcMar>
            <w:vAlign w:val="center"/>
            <w:hideMark/>
          </w:tcPr>
          <w:p w14:paraId="3F2DF53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6125890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0FFEBAD0" w14:textId="77777777" w:rsidTr="00B6017F">
        <w:trPr>
          <w:trHeight w:val="287"/>
        </w:trPr>
        <w:tc>
          <w:tcPr>
            <w:tcW w:w="761" w:type="pct"/>
            <w:vMerge/>
            <w:shd w:val="clear" w:color="auto" w:fill="D9D9D9"/>
            <w:vAlign w:val="center"/>
            <w:hideMark/>
          </w:tcPr>
          <w:p w14:paraId="65FDB3F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50EE178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hemeFill="background1"/>
            <w:tcMar>
              <w:top w:w="0" w:type="dxa"/>
              <w:left w:w="108" w:type="dxa"/>
              <w:bottom w:w="0" w:type="dxa"/>
              <w:right w:w="108" w:type="dxa"/>
            </w:tcMar>
            <w:vAlign w:val="center"/>
          </w:tcPr>
          <w:p w14:paraId="59092EC5"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1,4</w:t>
            </w:r>
          </w:p>
        </w:tc>
        <w:tc>
          <w:tcPr>
            <w:tcW w:w="1159" w:type="pct"/>
            <w:shd w:val="clear" w:color="auto" w:fill="FFFFFF" w:themeFill="background1"/>
            <w:tcMar>
              <w:top w:w="0" w:type="dxa"/>
              <w:left w:w="108" w:type="dxa"/>
              <w:bottom w:w="0" w:type="dxa"/>
              <w:right w:w="108" w:type="dxa"/>
            </w:tcMar>
            <w:vAlign w:val="center"/>
          </w:tcPr>
          <w:p w14:paraId="50541328"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6,1</w:t>
            </w:r>
          </w:p>
        </w:tc>
        <w:tc>
          <w:tcPr>
            <w:tcW w:w="1159" w:type="pct"/>
            <w:shd w:val="clear" w:color="auto" w:fill="FFFFFF" w:themeFill="background1"/>
            <w:tcMar>
              <w:top w:w="0" w:type="dxa"/>
              <w:left w:w="108" w:type="dxa"/>
              <w:bottom w:w="0" w:type="dxa"/>
              <w:right w:w="108" w:type="dxa"/>
            </w:tcMar>
            <w:vAlign w:val="center"/>
          </w:tcPr>
          <w:p w14:paraId="446FCC55"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7,6</w:t>
            </w:r>
          </w:p>
        </w:tc>
      </w:tr>
    </w:tbl>
    <w:p w14:paraId="3A51808D" w14:textId="77777777" w:rsidR="00D51392" w:rsidRPr="007C4D65" w:rsidRDefault="00D51392" w:rsidP="00D51392">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3"/>
        <w:gridCol w:w="2126"/>
        <w:gridCol w:w="3258"/>
        <w:gridCol w:w="3261"/>
        <w:gridCol w:w="3180"/>
      </w:tblGrid>
      <w:tr w:rsidR="00D51392" w:rsidRPr="007C4D65" w14:paraId="187F6C41" w14:textId="77777777" w:rsidTr="00B6017F">
        <w:trPr>
          <w:trHeight w:val="384"/>
        </w:trPr>
        <w:tc>
          <w:tcPr>
            <w:tcW w:w="761" w:type="pct"/>
            <w:vMerge w:val="restart"/>
            <w:shd w:val="clear" w:color="auto" w:fill="D9D9D9"/>
            <w:tcMar>
              <w:top w:w="0" w:type="dxa"/>
              <w:left w:w="108" w:type="dxa"/>
              <w:bottom w:w="0" w:type="dxa"/>
              <w:right w:w="108" w:type="dxa"/>
            </w:tcMar>
            <w:vAlign w:val="center"/>
          </w:tcPr>
          <w:p w14:paraId="63BD6388"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5.1. Priority</w:t>
            </w:r>
          </w:p>
          <w:p w14:paraId="73A04F1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restart"/>
            <w:tcMar>
              <w:top w:w="0" w:type="dxa"/>
              <w:left w:w="108" w:type="dxa"/>
              <w:bottom w:w="0" w:type="dxa"/>
              <w:right w:w="108" w:type="dxa"/>
            </w:tcMar>
            <w:vAlign w:val="center"/>
          </w:tcPr>
          <w:p w14:paraId="68071AC4" w14:textId="5C7A4B07" w:rsidR="00D51392" w:rsidRPr="007C4D65" w:rsidRDefault="00D51392"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lastRenderedPageBreak/>
              <w:t>Improve</w:t>
            </w:r>
            <w:r w:rsidR="00735C68" w:rsidRPr="007C4D65">
              <w:rPr>
                <w:rFonts w:asciiTheme="minorHAnsi" w:hAnsiTheme="minorHAnsi"/>
                <w:b/>
                <w:sz w:val="18"/>
                <w:szCs w:val="18"/>
              </w:rPr>
              <w:t>d</w:t>
            </w:r>
            <w:r w:rsidRPr="007C4D65">
              <w:rPr>
                <w:rFonts w:asciiTheme="minorHAnsi" w:hAnsiTheme="minorHAnsi"/>
                <w:b/>
                <w:sz w:val="18"/>
                <w:szCs w:val="18"/>
              </w:rPr>
              <w:t xml:space="preserve"> legislation in the field of chemical safety</w:t>
            </w:r>
          </w:p>
        </w:tc>
        <w:tc>
          <w:tcPr>
            <w:tcW w:w="1168" w:type="pct"/>
            <w:shd w:val="clear" w:color="auto" w:fill="D9D9D9"/>
            <w:tcMar>
              <w:top w:w="0" w:type="dxa"/>
              <w:left w:w="108" w:type="dxa"/>
              <w:bottom w:w="0" w:type="dxa"/>
              <w:right w:w="108" w:type="dxa"/>
            </w:tcMar>
            <w:vAlign w:val="center"/>
          </w:tcPr>
          <w:p w14:paraId="739AC351" w14:textId="77777777" w:rsidR="00D51392" w:rsidRPr="007C4D65" w:rsidRDefault="00D51392"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69" w:type="pct"/>
            <w:shd w:val="clear" w:color="auto" w:fill="D9D9D9"/>
            <w:tcMar>
              <w:top w:w="0" w:type="dxa"/>
              <w:left w:w="108" w:type="dxa"/>
              <w:bottom w:w="0" w:type="dxa"/>
              <w:right w:w="108" w:type="dxa"/>
            </w:tcMar>
            <w:vAlign w:val="center"/>
          </w:tcPr>
          <w:p w14:paraId="1343ECC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40" w:type="pct"/>
            <w:shd w:val="clear" w:color="auto" w:fill="D9D9D9"/>
            <w:tcMar>
              <w:top w:w="0" w:type="dxa"/>
              <w:left w:w="108" w:type="dxa"/>
              <w:bottom w:w="0" w:type="dxa"/>
              <w:right w:w="108" w:type="dxa"/>
            </w:tcMar>
            <w:vAlign w:val="center"/>
          </w:tcPr>
          <w:p w14:paraId="2FDEFC3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24A030B1" w14:textId="77777777" w:rsidTr="00B6017F">
        <w:trPr>
          <w:trHeight w:val="287"/>
        </w:trPr>
        <w:tc>
          <w:tcPr>
            <w:tcW w:w="761" w:type="pct"/>
            <w:vMerge/>
            <w:shd w:val="clear" w:color="auto" w:fill="D9D9D9"/>
            <w:vAlign w:val="center"/>
            <w:hideMark/>
          </w:tcPr>
          <w:p w14:paraId="6B68C703"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2DA7B048"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68" w:type="pct"/>
            <w:tcMar>
              <w:top w:w="0" w:type="dxa"/>
              <w:left w:w="108" w:type="dxa"/>
              <w:bottom w:w="0" w:type="dxa"/>
              <w:right w:w="108" w:type="dxa"/>
            </w:tcMar>
            <w:vAlign w:val="center"/>
          </w:tcPr>
          <w:p w14:paraId="698BFB34" w14:textId="32724F59" w:rsidR="00D51392" w:rsidRPr="007C4D65" w:rsidRDefault="00D51392" w:rsidP="003A3EA2">
            <w:pPr>
              <w:spacing w:line="276" w:lineRule="auto"/>
              <w:rPr>
                <w:rFonts w:asciiTheme="minorHAnsi" w:hAnsiTheme="minorHAnsi" w:cstheme="minorHAnsi"/>
                <w:sz w:val="18"/>
                <w:szCs w:val="18"/>
                <w:lang w:val="hr-HR"/>
              </w:rPr>
            </w:pPr>
            <w:r w:rsidRPr="007C4D65">
              <w:rPr>
                <w:rFonts w:asciiTheme="minorHAnsi" w:hAnsiTheme="minorHAnsi"/>
                <w:color w:val="000000"/>
                <w:sz w:val="18"/>
                <w:szCs w:val="18"/>
              </w:rPr>
              <w:t>Level of transposition of EU acquis and conventions in the field of chemical safety (Regulation (EC) no. 1907/2006 (REACH), Regulation (EC) no. 1272/2008 (CLDP Regulation), Regulation (EC) no. 648/2004 on detergents, Regulation (EU) no. 649/2012 on exports and imports of hazardous chemicals, Regulation (EU) 2019/1021 on POPs chemicals, and Directive 2004/10/EC on application of the principles of good laboratory practice, Rotterdam Convention, and Stockholm Convention</w:t>
            </w:r>
          </w:p>
        </w:tc>
        <w:tc>
          <w:tcPr>
            <w:tcW w:w="1169" w:type="pct"/>
            <w:tcMar>
              <w:top w:w="0" w:type="dxa"/>
              <w:left w:w="108" w:type="dxa"/>
              <w:bottom w:w="0" w:type="dxa"/>
              <w:right w:w="108" w:type="dxa"/>
            </w:tcMar>
            <w:vAlign w:val="center"/>
          </w:tcPr>
          <w:p w14:paraId="3A30F526" w14:textId="665AE365"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Low level of transposition of EU acquis and conventions in the field of chemical safety</w:t>
            </w:r>
          </w:p>
        </w:tc>
        <w:tc>
          <w:tcPr>
            <w:tcW w:w="1140" w:type="pct"/>
            <w:tcMar>
              <w:top w:w="0" w:type="dxa"/>
              <w:left w:w="108" w:type="dxa"/>
              <w:bottom w:w="0" w:type="dxa"/>
              <w:right w:w="108" w:type="dxa"/>
            </w:tcMar>
            <w:vAlign w:val="center"/>
          </w:tcPr>
          <w:p w14:paraId="033984EE" w14:textId="77777777" w:rsidR="00D51392" w:rsidRPr="007C4D65" w:rsidRDefault="00D51392" w:rsidP="00B6017F">
            <w:pPr>
              <w:spacing w:line="276" w:lineRule="auto"/>
              <w:rPr>
                <w:rFonts w:asciiTheme="minorHAnsi" w:hAnsiTheme="minorHAnsi" w:cstheme="minorHAnsi"/>
                <w:color w:val="000000"/>
                <w:sz w:val="18"/>
                <w:szCs w:val="18"/>
              </w:rPr>
            </w:pPr>
            <w:r w:rsidRPr="007C4D65">
              <w:rPr>
                <w:rFonts w:asciiTheme="minorHAnsi" w:hAnsiTheme="minorHAnsi"/>
                <w:color w:val="000000"/>
                <w:sz w:val="18"/>
                <w:szCs w:val="18"/>
              </w:rPr>
              <w:t xml:space="preserve">Partial transposition of EU acquis and conventions in the field of chemical safety (Regulation (EC) no. 1907/2006 (REACH), Regulation (EC) no. 1272/2008 (CLP Regulation), Regulation (EC) no. 648/2004 on detergents, Regulation (EU) no. </w:t>
            </w:r>
            <w:r w:rsidRPr="007C4D65">
              <w:rPr>
                <w:rFonts w:asciiTheme="minorHAnsi" w:hAnsiTheme="minorHAnsi" w:cstheme="minorHAnsi"/>
                <w:color w:val="000000"/>
                <w:sz w:val="18"/>
                <w:szCs w:val="18"/>
                <w:lang w:val="hr-HR"/>
              </w:rPr>
              <w:t xml:space="preserve">649/2012 on </w:t>
            </w:r>
            <w:r w:rsidRPr="007C4D65">
              <w:rPr>
                <w:rFonts w:asciiTheme="minorHAnsi" w:hAnsiTheme="minorHAnsi"/>
                <w:color w:val="000000"/>
                <w:sz w:val="18"/>
                <w:szCs w:val="18"/>
              </w:rPr>
              <w:t xml:space="preserve">exports and imports of hazardous chemicals, Regulation (EU) 2019/1021 on POPs chemicals, and Directive 2004/10/EC on application of the principles of good laboratory practice, Rotterdam Convention, and Stockholm Convention </w:t>
            </w:r>
          </w:p>
          <w:p w14:paraId="50AD54EF"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(2024)</w:t>
            </w:r>
          </w:p>
        </w:tc>
      </w:tr>
      <w:tr w:rsidR="00D51392" w:rsidRPr="007C4D65" w14:paraId="5D0423B1" w14:textId="77777777" w:rsidTr="00B6017F">
        <w:trPr>
          <w:trHeight w:val="287"/>
        </w:trPr>
        <w:tc>
          <w:tcPr>
            <w:tcW w:w="761" w:type="pct"/>
            <w:vMerge/>
            <w:shd w:val="clear" w:color="auto" w:fill="D9D9D9"/>
            <w:vAlign w:val="center"/>
          </w:tcPr>
          <w:p w14:paraId="3078B4F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21C255B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68" w:type="pct"/>
            <w:tcMar>
              <w:top w:w="0" w:type="dxa"/>
              <w:left w:w="108" w:type="dxa"/>
              <w:bottom w:w="0" w:type="dxa"/>
              <w:right w:w="108" w:type="dxa"/>
            </w:tcMar>
            <w:vAlign w:val="center"/>
          </w:tcPr>
          <w:p w14:paraId="375E66D4"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Level of transposition of the </w:t>
            </w:r>
            <w:r w:rsidRPr="007C4D65">
              <w:rPr>
                <w:rFonts w:asciiTheme="minorHAnsi" w:hAnsiTheme="minorHAnsi"/>
                <w:color w:val="000000"/>
                <w:sz w:val="18"/>
                <w:szCs w:val="18"/>
              </w:rPr>
              <w:t>SEVESO III</w:t>
            </w:r>
            <w:r w:rsidRPr="007C4D65">
              <w:rPr>
                <w:rFonts w:asciiTheme="minorHAnsi" w:hAnsiTheme="minorHAnsi"/>
                <w:sz w:val="18"/>
                <w:szCs w:val="18"/>
              </w:rPr>
              <w:t xml:space="preserve"> Directive in legislation of the Federation of BiH</w:t>
            </w:r>
          </w:p>
        </w:tc>
        <w:tc>
          <w:tcPr>
            <w:tcW w:w="1169" w:type="pct"/>
            <w:tcMar>
              <w:top w:w="0" w:type="dxa"/>
              <w:left w:w="108" w:type="dxa"/>
              <w:bottom w:w="0" w:type="dxa"/>
              <w:right w:w="108" w:type="dxa"/>
            </w:tcMar>
            <w:vAlign w:val="center"/>
          </w:tcPr>
          <w:p w14:paraId="3B9BB2B3" w14:textId="718FA417" w:rsidR="00D51392" w:rsidRPr="007C4D65" w:rsidRDefault="00D51392" w:rsidP="00B6017F">
            <w:pPr>
              <w:spacing w:line="276" w:lineRule="auto"/>
              <w:jc w:val="both"/>
              <w:rPr>
                <w:rFonts w:asciiTheme="minorHAnsi" w:hAnsiTheme="minorHAnsi" w:cstheme="minorHAnsi"/>
                <w:sz w:val="18"/>
                <w:szCs w:val="18"/>
              </w:rPr>
            </w:pPr>
            <w:r w:rsidRPr="007C4D65">
              <w:rPr>
                <w:rFonts w:asciiTheme="minorHAnsi" w:hAnsiTheme="minorHAnsi"/>
                <w:sz w:val="18"/>
                <w:szCs w:val="18"/>
              </w:rPr>
              <w:t>Legal basis for transposition of the Seveso III Directive has been created in the Law on Environment Protection; however, legislation needs to be passed to specify the content and method of maintaining of Registry of Major Accidents</w:t>
            </w:r>
          </w:p>
          <w:p w14:paraId="5F235524"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The existing Rulebook on the content of the report on safety status, content of information of safety measures and contents of internal and external intervention plans was made in 2005 and needs to be updated to include new requirements</w:t>
            </w:r>
          </w:p>
        </w:tc>
        <w:tc>
          <w:tcPr>
            <w:tcW w:w="1140" w:type="pct"/>
            <w:tcMar>
              <w:top w:w="0" w:type="dxa"/>
              <w:left w:w="108" w:type="dxa"/>
              <w:bottom w:w="0" w:type="dxa"/>
              <w:right w:w="108" w:type="dxa"/>
            </w:tcMar>
            <w:vAlign w:val="center"/>
          </w:tcPr>
          <w:p w14:paraId="6986374B"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Partial transposition of the </w:t>
            </w:r>
            <w:r w:rsidRPr="007C4D65">
              <w:rPr>
                <w:rFonts w:asciiTheme="minorHAnsi" w:hAnsiTheme="minorHAnsi"/>
                <w:color w:val="000000"/>
                <w:sz w:val="18"/>
                <w:szCs w:val="18"/>
              </w:rPr>
              <w:t>SEVESO III</w:t>
            </w:r>
            <w:r w:rsidRPr="007C4D65">
              <w:rPr>
                <w:rFonts w:asciiTheme="minorHAnsi" w:hAnsiTheme="minorHAnsi"/>
                <w:sz w:val="18"/>
                <w:szCs w:val="18"/>
              </w:rPr>
              <w:t xml:space="preserve"> Directive in legislation of the Federation of BiH (2028)</w:t>
            </w:r>
          </w:p>
        </w:tc>
      </w:tr>
      <w:tr w:rsidR="00D51392" w:rsidRPr="007C4D65" w14:paraId="2FFE6CA8" w14:textId="77777777" w:rsidTr="00B6017F">
        <w:trPr>
          <w:trHeight w:val="287"/>
        </w:trPr>
        <w:tc>
          <w:tcPr>
            <w:tcW w:w="761" w:type="pct"/>
            <w:vMerge/>
            <w:shd w:val="clear" w:color="auto" w:fill="D9D9D9"/>
            <w:vAlign w:val="center"/>
          </w:tcPr>
          <w:p w14:paraId="02DA294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066E327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68" w:type="pct"/>
            <w:tcMar>
              <w:top w:w="0" w:type="dxa"/>
              <w:left w:w="108" w:type="dxa"/>
              <w:bottom w:w="0" w:type="dxa"/>
              <w:right w:w="108" w:type="dxa"/>
            </w:tcMar>
            <w:vAlign w:val="center"/>
          </w:tcPr>
          <w:p w14:paraId="4C9265AF"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Level of transposition of Regulation </w:t>
            </w:r>
            <w:r w:rsidRPr="007C4D65">
              <w:rPr>
                <w:rFonts w:asciiTheme="minorHAnsi" w:hAnsiTheme="minorHAnsi"/>
                <w:color w:val="000000"/>
                <w:sz w:val="18"/>
                <w:szCs w:val="18"/>
              </w:rPr>
              <w:t>(EC)</w:t>
            </w:r>
            <w:r w:rsidRPr="007C4D65">
              <w:rPr>
                <w:rFonts w:asciiTheme="minorHAnsi" w:hAnsiTheme="minorHAnsi"/>
                <w:sz w:val="18"/>
                <w:szCs w:val="18"/>
              </w:rPr>
              <w:t xml:space="preserve"> no.</w:t>
            </w:r>
            <w:r w:rsidRPr="007C4D65">
              <w:rPr>
                <w:rFonts w:asciiTheme="minorHAnsi" w:hAnsiTheme="minorHAnsi"/>
                <w:color w:val="000000"/>
                <w:sz w:val="18"/>
                <w:szCs w:val="18"/>
              </w:rPr>
              <w:t xml:space="preserve"> 528/2012 on biocidal products management</w:t>
            </w:r>
          </w:p>
        </w:tc>
        <w:tc>
          <w:tcPr>
            <w:tcW w:w="1169" w:type="pct"/>
            <w:tcMar>
              <w:top w:w="0" w:type="dxa"/>
              <w:left w:w="108" w:type="dxa"/>
              <w:bottom w:w="0" w:type="dxa"/>
              <w:right w:w="108" w:type="dxa"/>
            </w:tcMar>
            <w:vAlign w:val="center"/>
          </w:tcPr>
          <w:p w14:paraId="2753B75E"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Law on Biocides has not been adopted</w:t>
            </w:r>
          </w:p>
        </w:tc>
        <w:tc>
          <w:tcPr>
            <w:tcW w:w="1140" w:type="pct"/>
            <w:tcMar>
              <w:top w:w="0" w:type="dxa"/>
              <w:left w:w="108" w:type="dxa"/>
              <w:bottom w:w="0" w:type="dxa"/>
              <w:right w:w="108" w:type="dxa"/>
            </w:tcMar>
            <w:vAlign w:val="center"/>
          </w:tcPr>
          <w:p w14:paraId="2A0C2BF0" w14:textId="2E96FC12" w:rsidR="00D51392" w:rsidRPr="007C4D65" w:rsidRDefault="00D51392" w:rsidP="003A3EA2">
            <w:pPr>
              <w:spacing w:line="276" w:lineRule="auto"/>
              <w:rPr>
                <w:rFonts w:asciiTheme="minorHAnsi" w:hAnsiTheme="minorHAnsi" w:cstheme="minorHAnsi"/>
                <w:sz w:val="18"/>
                <w:szCs w:val="18"/>
                <w:lang w:val="hr-HR"/>
              </w:rPr>
            </w:pPr>
            <w:r w:rsidRPr="007C4D65">
              <w:rPr>
                <w:rFonts w:asciiTheme="minorHAnsi" w:hAnsiTheme="minorHAnsi"/>
                <w:color w:val="000000"/>
                <w:sz w:val="18"/>
                <w:szCs w:val="18"/>
              </w:rPr>
              <w:t>Established legislative framework for biocidal product management and partial transposition of Regulation (EU) no. 528/2012 (2025)</w:t>
            </w:r>
          </w:p>
        </w:tc>
      </w:tr>
      <w:tr w:rsidR="00D51392" w:rsidRPr="007C4D65" w14:paraId="3F202171" w14:textId="77777777" w:rsidTr="00B6017F">
        <w:trPr>
          <w:trHeight w:val="287"/>
        </w:trPr>
        <w:tc>
          <w:tcPr>
            <w:tcW w:w="761" w:type="pct"/>
            <w:vMerge/>
            <w:shd w:val="clear" w:color="auto" w:fill="D9D9D9"/>
            <w:vAlign w:val="center"/>
          </w:tcPr>
          <w:p w14:paraId="4E9B3409"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3328104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68" w:type="pct"/>
            <w:tcMar>
              <w:top w:w="0" w:type="dxa"/>
              <w:left w:w="108" w:type="dxa"/>
              <w:bottom w:w="0" w:type="dxa"/>
              <w:right w:w="108" w:type="dxa"/>
            </w:tcMar>
            <w:vAlign w:val="center"/>
          </w:tcPr>
          <w:p w14:paraId="2305CA9D"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Level of compliance of the legislative framework with requirements of the Minamata Convention, and level of transposition of Regulation (EU) </w:t>
            </w:r>
            <w:r w:rsidRPr="007C4D65">
              <w:rPr>
                <w:rFonts w:asciiTheme="minorHAnsi" w:hAnsiTheme="minorHAnsi"/>
                <w:sz w:val="18"/>
                <w:szCs w:val="18"/>
              </w:rPr>
              <w:lastRenderedPageBreak/>
              <w:t>2017/852 on mercury.</w:t>
            </w:r>
          </w:p>
        </w:tc>
        <w:tc>
          <w:tcPr>
            <w:tcW w:w="1169" w:type="pct"/>
            <w:tcMar>
              <w:top w:w="0" w:type="dxa"/>
              <w:left w:w="108" w:type="dxa"/>
              <w:bottom w:w="0" w:type="dxa"/>
              <w:right w:w="108" w:type="dxa"/>
            </w:tcMar>
            <w:vAlign w:val="center"/>
          </w:tcPr>
          <w:p w14:paraId="303AB9CF" w14:textId="78A7A20B"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lastRenderedPageBreak/>
              <w:t xml:space="preserve">There is no legislative framework for mercury and mercury product management. Transposition of Regulation (EU) 2017/852 on mercury </w:t>
            </w:r>
            <w:r w:rsidRPr="007C4D65">
              <w:rPr>
                <w:rFonts w:asciiTheme="minorHAnsi" w:hAnsiTheme="minorHAnsi"/>
                <w:sz w:val="18"/>
                <w:szCs w:val="18"/>
              </w:rPr>
              <w:lastRenderedPageBreak/>
              <w:t>has not started.  The Minamata convention has not been ratified, and there is no legal basis for its implementation at the entity level</w:t>
            </w:r>
          </w:p>
        </w:tc>
        <w:tc>
          <w:tcPr>
            <w:tcW w:w="1140" w:type="pct"/>
            <w:tcMar>
              <w:top w:w="0" w:type="dxa"/>
              <w:left w:w="108" w:type="dxa"/>
              <w:bottom w:w="0" w:type="dxa"/>
              <w:right w:w="108" w:type="dxa"/>
            </w:tcMar>
            <w:vAlign w:val="center"/>
          </w:tcPr>
          <w:p w14:paraId="3BAEE1FB" w14:textId="4B723D54" w:rsidR="00D51392" w:rsidRPr="007C4D65" w:rsidRDefault="00D51392" w:rsidP="003A3EA2">
            <w:pPr>
              <w:spacing w:line="276" w:lineRule="auto"/>
              <w:rPr>
                <w:rFonts w:asciiTheme="minorHAnsi" w:hAnsiTheme="minorHAnsi" w:cstheme="minorHAnsi"/>
                <w:sz w:val="18"/>
                <w:szCs w:val="18"/>
                <w:lang w:val="hr-HR"/>
              </w:rPr>
            </w:pPr>
            <w:r w:rsidRPr="007C4D65">
              <w:rPr>
                <w:rFonts w:asciiTheme="minorHAnsi" w:hAnsiTheme="minorHAnsi"/>
                <w:color w:val="000000"/>
                <w:sz w:val="18"/>
                <w:szCs w:val="18"/>
              </w:rPr>
              <w:lastRenderedPageBreak/>
              <w:t xml:space="preserve">By 2024, established legislative framework for mercury and mercury product management, and partial transposition of the Regulation (EU) </w:t>
            </w:r>
            <w:r w:rsidRPr="007C4D65">
              <w:rPr>
                <w:rFonts w:asciiTheme="minorHAnsi" w:hAnsiTheme="minorHAnsi"/>
                <w:color w:val="000000"/>
                <w:sz w:val="18"/>
                <w:szCs w:val="18"/>
              </w:rPr>
              <w:lastRenderedPageBreak/>
              <w:t>2017/852 on mercury, and the Minamata Convention</w:t>
            </w:r>
          </w:p>
        </w:tc>
      </w:tr>
      <w:tr w:rsidR="00D51392" w:rsidRPr="007C4D65" w14:paraId="3972C6F8" w14:textId="77777777" w:rsidTr="00B6017F">
        <w:trPr>
          <w:trHeight w:val="287"/>
        </w:trPr>
        <w:tc>
          <w:tcPr>
            <w:tcW w:w="761" w:type="pct"/>
            <w:vMerge/>
            <w:shd w:val="clear" w:color="auto" w:fill="D9D9D9"/>
            <w:vAlign w:val="center"/>
          </w:tcPr>
          <w:p w14:paraId="4EAFBBE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46C93EB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68" w:type="pct"/>
            <w:tcMar>
              <w:top w:w="0" w:type="dxa"/>
              <w:left w:w="108" w:type="dxa"/>
              <w:bottom w:w="0" w:type="dxa"/>
              <w:right w:w="108" w:type="dxa"/>
            </w:tcMar>
            <w:vAlign w:val="center"/>
          </w:tcPr>
          <w:p w14:paraId="31773D6F"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Level of transposition of </w:t>
            </w:r>
            <w:r w:rsidRPr="007C4D65">
              <w:rPr>
                <w:rFonts w:asciiTheme="minorHAnsi" w:hAnsiTheme="minorHAnsi"/>
                <w:color w:val="000000"/>
                <w:sz w:val="18"/>
                <w:szCs w:val="18"/>
              </w:rPr>
              <w:t>EU Directive 87/217/EEC on the prevention and</w:t>
            </w:r>
            <w:r w:rsidRPr="007C4D65">
              <w:rPr>
                <w:rFonts w:asciiTheme="minorHAnsi" w:hAnsiTheme="minorHAnsi"/>
                <w:sz w:val="18"/>
                <w:szCs w:val="18"/>
              </w:rPr>
              <w:t xml:space="preserve"> reduction of environmental pollution by asbestos</w:t>
            </w:r>
          </w:p>
        </w:tc>
        <w:tc>
          <w:tcPr>
            <w:tcW w:w="1169" w:type="pct"/>
            <w:tcMar>
              <w:top w:w="0" w:type="dxa"/>
              <w:left w:w="108" w:type="dxa"/>
              <w:bottom w:w="0" w:type="dxa"/>
              <w:right w:w="108" w:type="dxa"/>
            </w:tcMar>
            <w:vAlign w:val="center"/>
          </w:tcPr>
          <w:p w14:paraId="467C8E16" w14:textId="52007ABA"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Lack of legislative framework that regulates the emissions of asbestos to air and water by the industries producing asbestos cement and asbestos paper, and therefore the level of transposition of EU Directive 87/217/EEC on prevention and reduction of environment pollution by asbestos is very low. When transposing the Directive, one should take into consideration the rulebooks prescribing technical characteristics of cement as well as other construction material that may contain asbestos, the implementation of which is under competences of Ministry of Spatial Planning of the Federation of BiH</w:t>
            </w:r>
          </w:p>
        </w:tc>
        <w:tc>
          <w:tcPr>
            <w:tcW w:w="1140" w:type="pct"/>
            <w:tcMar>
              <w:top w:w="0" w:type="dxa"/>
              <w:left w:w="108" w:type="dxa"/>
              <w:bottom w:w="0" w:type="dxa"/>
              <w:right w:w="108" w:type="dxa"/>
            </w:tcMar>
            <w:vAlign w:val="center"/>
          </w:tcPr>
          <w:p w14:paraId="1340D687" w14:textId="49DD69A4" w:rsidR="00D51392" w:rsidRPr="007C4D65" w:rsidRDefault="00D51392" w:rsidP="003A3EA2">
            <w:pPr>
              <w:spacing w:line="276" w:lineRule="auto"/>
              <w:rPr>
                <w:rFonts w:asciiTheme="minorHAnsi" w:hAnsiTheme="minorHAnsi" w:cstheme="minorHAnsi"/>
                <w:sz w:val="18"/>
                <w:szCs w:val="18"/>
                <w:lang w:val="hr-HR"/>
              </w:rPr>
            </w:pPr>
            <w:r w:rsidRPr="007C4D65">
              <w:rPr>
                <w:rFonts w:asciiTheme="minorHAnsi" w:hAnsiTheme="minorHAnsi"/>
                <w:color w:val="000000"/>
                <w:sz w:val="18"/>
                <w:szCs w:val="18"/>
              </w:rPr>
              <w:t>Established legislative framework and partial transposition of the EU Directive 87/217/EEC on prevention and reduction of environment pollution by asbestos by 2024</w:t>
            </w:r>
          </w:p>
        </w:tc>
      </w:tr>
      <w:tr w:rsidR="00D51392" w:rsidRPr="007C4D65" w14:paraId="0758E432" w14:textId="77777777" w:rsidTr="00B6017F">
        <w:trPr>
          <w:trHeight w:val="287"/>
        </w:trPr>
        <w:tc>
          <w:tcPr>
            <w:tcW w:w="761" w:type="pct"/>
            <w:vMerge/>
            <w:shd w:val="clear" w:color="auto" w:fill="D9D9D9"/>
            <w:vAlign w:val="center"/>
          </w:tcPr>
          <w:p w14:paraId="0347EE5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798F35B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68" w:type="pct"/>
            <w:tcMar>
              <w:top w:w="0" w:type="dxa"/>
              <w:left w:w="108" w:type="dxa"/>
              <w:bottom w:w="0" w:type="dxa"/>
              <w:right w:w="108" w:type="dxa"/>
            </w:tcMar>
            <w:vAlign w:val="center"/>
          </w:tcPr>
          <w:p w14:paraId="060C19C8" w14:textId="4E2A89BA"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Level of harmonisation of the legislative framework with requirements of the Montreal Convention, Kigali Amendment and the EU acquis regarding the management of ozone layer depleting substances</w:t>
            </w:r>
          </w:p>
        </w:tc>
        <w:tc>
          <w:tcPr>
            <w:tcW w:w="1169" w:type="pct"/>
            <w:tcMar>
              <w:top w:w="0" w:type="dxa"/>
              <w:left w:w="108" w:type="dxa"/>
              <w:bottom w:w="0" w:type="dxa"/>
              <w:right w:w="108" w:type="dxa"/>
            </w:tcMar>
            <w:vAlign w:val="center"/>
          </w:tcPr>
          <w:p w14:paraId="1945BA8A" w14:textId="50F2738B"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 current draft Law on Air Protection provides legal basis for transposition of the Regulation (EC) no. 1005/2009 on substances that deplete the ozone layer and Regulation (EC) 517/2014 on specific fluorinated greenhouse gases, and Montreal Protocol and Kigali amendment. Draft law is currently in the procedure of adoption</w:t>
            </w:r>
          </w:p>
        </w:tc>
        <w:tc>
          <w:tcPr>
            <w:tcW w:w="1140" w:type="pct"/>
            <w:tcMar>
              <w:top w:w="0" w:type="dxa"/>
              <w:left w:w="108" w:type="dxa"/>
              <w:bottom w:w="0" w:type="dxa"/>
              <w:right w:w="108" w:type="dxa"/>
            </w:tcMar>
            <w:vAlign w:val="center"/>
          </w:tcPr>
          <w:p w14:paraId="23121268" w14:textId="00478693"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sz w:val="18"/>
                <w:szCs w:val="18"/>
              </w:rPr>
              <w:t>Harmonise/develop secondary legislation (bylaws) to enable partial transposition of Regulation (EC) no. 1005/2009 on substances that deplete the ozone layer and Regulation (EC) 517/2014 on specific fluorinated greenhouse gases, as well as the Kigali amendment by 2023</w:t>
            </w:r>
          </w:p>
        </w:tc>
      </w:tr>
      <w:tr w:rsidR="00D51392" w:rsidRPr="007C4D65" w14:paraId="0253B23C" w14:textId="77777777" w:rsidTr="00B6017F">
        <w:trPr>
          <w:trHeight w:val="287"/>
        </w:trPr>
        <w:tc>
          <w:tcPr>
            <w:tcW w:w="761" w:type="pct"/>
            <w:vMerge/>
            <w:shd w:val="clear" w:color="auto" w:fill="D9D9D9"/>
            <w:vAlign w:val="center"/>
            <w:hideMark/>
          </w:tcPr>
          <w:p w14:paraId="7836FF6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70F1A0F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68" w:type="pct"/>
            <w:shd w:val="clear" w:color="auto" w:fill="D9D9D9"/>
            <w:tcMar>
              <w:top w:w="0" w:type="dxa"/>
              <w:left w:w="108" w:type="dxa"/>
              <w:bottom w:w="0" w:type="dxa"/>
              <w:right w:w="108" w:type="dxa"/>
            </w:tcMar>
            <w:vAlign w:val="center"/>
          </w:tcPr>
          <w:p w14:paraId="00B9B9CB" w14:textId="16877CE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w:t>
            </w:r>
            <w:r w:rsidR="000D19A9" w:rsidRPr="007C4D65">
              <w:rPr>
                <w:rFonts w:asciiTheme="minorHAnsi" w:hAnsiTheme="minorHAnsi"/>
                <w:b/>
                <w:sz w:val="18"/>
                <w:szCs w:val="18"/>
              </w:rPr>
              <w:t xml:space="preserve"> budget</w:t>
            </w:r>
            <w:r w:rsidRPr="007C4D65">
              <w:rPr>
                <w:rFonts w:asciiTheme="minorHAnsi" w:hAnsiTheme="minorHAnsi"/>
                <w:b/>
                <w:sz w:val="18"/>
                <w:szCs w:val="18"/>
              </w:rPr>
              <w:t xml:space="preserve"> (million BAM)</w:t>
            </w:r>
          </w:p>
        </w:tc>
        <w:tc>
          <w:tcPr>
            <w:tcW w:w="1169" w:type="pct"/>
            <w:shd w:val="clear" w:color="auto" w:fill="D9D9D9"/>
            <w:tcMar>
              <w:top w:w="0" w:type="dxa"/>
              <w:left w:w="108" w:type="dxa"/>
              <w:bottom w:w="0" w:type="dxa"/>
              <w:right w:w="108" w:type="dxa"/>
            </w:tcMar>
            <w:vAlign w:val="center"/>
          </w:tcPr>
          <w:p w14:paraId="701956E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40" w:type="pct"/>
            <w:shd w:val="clear" w:color="auto" w:fill="D9D9D9"/>
            <w:tcMar>
              <w:top w:w="0" w:type="dxa"/>
              <w:left w:w="108" w:type="dxa"/>
              <w:bottom w:w="0" w:type="dxa"/>
              <w:right w:w="108" w:type="dxa"/>
            </w:tcMar>
            <w:vAlign w:val="center"/>
          </w:tcPr>
          <w:p w14:paraId="17285BB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67E9EB07" w14:textId="77777777" w:rsidTr="00B6017F">
        <w:trPr>
          <w:trHeight w:val="287"/>
        </w:trPr>
        <w:tc>
          <w:tcPr>
            <w:tcW w:w="761" w:type="pct"/>
            <w:vMerge/>
            <w:shd w:val="clear" w:color="auto" w:fill="D9D9D9"/>
            <w:vAlign w:val="center"/>
          </w:tcPr>
          <w:p w14:paraId="5FE95C1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167EFCAF"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68" w:type="pct"/>
            <w:tcMar>
              <w:top w:w="0" w:type="dxa"/>
              <w:left w:w="108" w:type="dxa"/>
              <w:bottom w:w="0" w:type="dxa"/>
              <w:right w:w="108" w:type="dxa"/>
            </w:tcMar>
            <w:vAlign w:val="center"/>
          </w:tcPr>
          <w:p w14:paraId="20B088A3"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0,324</w:t>
            </w:r>
          </w:p>
        </w:tc>
        <w:tc>
          <w:tcPr>
            <w:tcW w:w="1169" w:type="pct"/>
            <w:tcMar>
              <w:top w:w="0" w:type="dxa"/>
              <w:left w:w="108" w:type="dxa"/>
              <w:bottom w:w="0" w:type="dxa"/>
              <w:right w:w="108" w:type="dxa"/>
            </w:tcMar>
            <w:vAlign w:val="center"/>
          </w:tcPr>
          <w:p w14:paraId="2F769E7F"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0,077</w:t>
            </w:r>
          </w:p>
        </w:tc>
        <w:tc>
          <w:tcPr>
            <w:tcW w:w="1140" w:type="pct"/>
            <w:tcMar>
              <w:top w:w="0" w:type="dxa"/>
              <w:left w:w="108" w:type="dxa"/>
              <w:bottom w:w="0" w:type="dxa"/>
              <w:right w:w="108" w:type="dxa"/>
            </w:tcMar>
            <w:vAlign w:val="center"/>
          </w:tcPr>
          <w:p w14:paraId="74AB3A56"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0,401</w:t>
            </w:r>
          </w:p>
        </w:tc>
      </w:tr>
    </w:tbl>
    <w:p w14:paraId="13EA5A11" w14:textId="77777777" w:rsidR="00D51392" w:rsidRPr="007C4D65" w:rsidRDefault="00D51392" w:rsidP="00D51392">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3"/>
        <w:gridCol w:w="2126"/>
        <w:gridCol w:w="3233"/>
        <w:gridCol w:w="3233"/>
        <w:gridCol w:w="3233"/>
      </w:tblGrid>
      <w:tr w:rsidR="00D51392" w:rsidRPr="007C4D65" w14:paraId="4E6879DB" w14:textId="77777777" w:rsidTr="00B6017F">
        <w:trPr>
          <w:trHeight w:val="483"/>
        </w:trPr>
        <w:tc>
          <w:tcPr>
            <w:tcW w:w="761" w:type="pct"/>
            <w:vMerge w:val="restart"/>
            <w:shd w:val="clear" w:color="auto" w:fill="D9D9D9"/>
            <w:tcMar>
              <w:top w:w="0" w:type="dxa"/>
              <w:left w:w="108" w:type="dxa"/>
              <w:bottom w:w="0" w:type="dxa"/>
              <w:right w:w="108" w:type="dxa"/>
            </w:tcMar>
            <w:vAlign w:val="center"/>
            <w:hideMark/>
          </w:tcPr>
          <w:p w14:paraId="208DEE95"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5.1.1. Measure</w:t>
            </w:r>
          </w:p>
        </w:tc>
        <w:tc>
          <w:tcPr>
            <w:tcW w:w="762" w:type="pct"/>
            <w:vMerge w:val="restart"/>
            <w:tcMar>
              <w:top w:w="0" w:type="dxa"/>
              <w:left w:w="108" w:type="dxa"/>
              <w:bottom w:w="0" w:type="dxa"/>
              <w:right w:w="108" w:type="dxa"/>
            </w:tcMar>
            <w:vAlign w:val="center"/>
          </w:tcPr>
          <w:p w14:paraId="00068AA5" w14:textId="7BBE3CF3"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Partial transposition of </w:t>
            </w:r>
            <w:r w:rsidR="001E4D90" w:rsidRPr="007C4D65">
              <w:rPr>
                <w:rFonts w:asciiTheme="minorHAnsi" w:hAnsiTheme="minorHAnsi"/>
                <w:sz w:val="18"/>
                <w:szCs w:val="18"/>
              </w:rPr>
              <w:t>EU regulations</w:t>
            </w:r>
            <w:r w:rsidRPr="007C4D65">
              <w:rPr>
                <w:rFonts w:asciiTheme="minorHAnsi" w:hAnsiTheme="minorHAnsi"/>
                <w:sz w:val="18"/>
                <w:szCs w:val="18"/>
              </w:rPr>
              <w:t xml:space="preserve"> and international agreements / conventions in the field of chemical safety</w:t>
            </w:r>
          </w:p>
        </w:tc>
        <w:tc>
          <w:tcPr>
            <w:tcW w:w="1159" w:type="pct"/>
            <w:shd w:val="clear" w:color="auto" w:fill="D9D9D9"/>
            <w:tcMar>
              <w:top w:w="0" w:type="dxa"/>
              <w:left w:w="108" w:type="dxa"/>
              <w:bottom w:w="0" w:type="dxa"/>
              <w:right w:w="108" w:type="dxa"/>
            </w:tcMar>
            <w:vAlign w:val="center"/>
            <w:hideMark/>
          </w:tcPr>
          <w:p w14:paraId="16019E7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5729938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710E5890"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5065A090" w14:textId="77777777" w:rsidTr="00B6017F">
        <w:trPr>
          <w:trHeight w:val="287"/>
        </w:trPr>
        <w:tc>
          <w:tcPr>
            <w:tcW w:w="761" w:type="pct"/>
            <w:vMerge/>
            <w:shd w:val="clear" w:color="auto" w:fill="D9D9D9"/>
            <w:vAlign w:val="center"/>
          </w:tcPr>
          <w:p w14:paraId="1917B5F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3DAD157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41DEB79"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Completeness of legal framework for implementation of the Law on Chemicals</w:t>
            </w:r>
          </w:p>
        </w:tc>
        <w:tc>
          <w:tcPr>
            <w:tcW w:w="1159" w:type="pct"/>
            <w:shd w:val="clear" w:color="auto" w:fill="FFFFFF"/>
            <w:tcMar>
              <w:top w:w="0" w:type="dxa"/>
              <w:left w:w="108" w:type="dxa"/>
              <w:bottom w:w="0" w:type="dxa"/>
              <w:right w:w="108" w:type="dxa"/>
            </w:tcMar>
            <w:vAlign w:val="center"/>
          </w:tcPr>
          <w:p w14:paraId="7ADF47FC" w14:textId="5302582B"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There is a legal basis for transposition of </w:t>
            </w:r>
            <w:r w:rsidR="001E4D90" w:rsidRPr="007C4D65">
              <w:rPr>
                <w:rFonts w:asciiTheme="minorHAnsi" w:hAnsiTheme="minorHAnsi"/>
                <w:sz w:val="18"/>
                <w:szCs w:val="18"/>
              </w:rPr>
              <w:t>EU regulations</w:t>
            </w:r>
            <w:r w:rsidRPr="007C4D65">
              <w:rPr>
                <w:rFonts w:asciiTheme="minorHAnsi" w:hAnsiTheme="minorHAnsi"/>
                <w:sz w:val="18"/>
                <w:szCs w:val="18"/>
              </w:rPr>
              <w:t xml:space="preserve"> in the field of chemical safety, and the Rotterdam, Stockholm and Minamata conventions. However, secondary legislation prescribed by the Law on Chemicals has not been adopted, so the transposition of the said </w:t>
            </w:r>
            <w:r w:rsidR="001E4D90" w:rsidRPr="007C4D65">
              <w:rPr>
                <w:rFonts w:asciiTheme="minorHAnsi" w:hAnsiTheme="minorHAnsi"/>
                <w:sz w:val="18"/>
                <w:szCs w:val="18"/>
              </w:rPr>
              <w:t>EU regulations</w:t>
            </w:r>
            <w:r w:rsidRPr="007C4D65">
              <w:rPr>
                <w:rFonts w:asciiTheme="minorHAnsi" w:hAnsiTheme="minorHAnsi"/>
                <w:sz w:val="18"/>
                <w:szCs w:val="18"/>
              </w:rPr>
              <w:t xml:space="preserve"> and conventions is at a very low level</w:t>
            </w:r>
          </w:p>
        </w:tc>
        <w:tc>
          <w:tcPr>
            <w:tcW w:w="1159" w:type="pct"/>
            <w:shd w:val="clear" w:color="auto" w:fill="FFFFFF"/>
            <w:vAlign w:val="center"/>
          </w:tcPr>
          <w:p w14:paraId="62D9963D"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19 secondary legislative acts stated in Article 58 of the Law on Chemicals have been adopted and they clearly define the conditions for the work of Advisors for chemicals (2023)</w:t>
            </w:r>
          </w:p>
        </w:tc>
      </w:tr>
      <w:tr w:rsidR="00D51392" w:rsidRPr="007C4D65" w14:paraId="060A6FA0" w14:textId="77777777" w:rsidTr="00B6017F">
        <w:trPr>
          <w:trHeight w:val="287"/>
        </w:trPr>
        <w:tc>
          <w:tcPr>
            <w:tcW w:w="761" w:type="pct"/>
            <w:vMerge/>
            <w:shd w:val="clear" w:color="auto" w:fill="D9D9D9"/>
            <w:vAlign w:val="center"/>
          </w:tcPr>
          <w:p w14:paraId="65CD9E8F"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1C48C38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E818A8D"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Status of appointment of the Poison Control Centre </w:t>
            </w:r>
            <w:proofErr w:type="gramStart"/>
            <w:r w:rsidRPr="007C4D65">
              <w:rPr>
                <w:rFonts w:asciiTheme="minorHAnsi" w:hAnsiTheme="minorHAnsi"/>
                <w:sz w:val="18"/>
                <w:szCs w:val="18"/>
              </w:rPr>
              <w:t>of  the</w:t>
            </w:r>
            <w:proofErr w:type="gramEnd"/>
            <w:r w:rsidRPr="007C4D65">
              <w:rPr>
                <w:rFonts w:asciiTheme="minorHAnsi" w:hAnsiTheme="minorHAnsi"/>
                <w:sz w:val="18"/>
                <w:szCs w:val="18"/>
              </w:rPr>
              <w:t xml:space="preserve"> Federation of BiH (PCC)</w:t>
            </w:r>
          </w:p>
        </w:tc>
        <w:tc>
          <w:tcPr>
            <w:tcW w:w="1159" w:type="pct"/>
            <w:shd w:val="clear" w:color="auto" w:fill="FFFFFF"/>
            <w:tcMar>
              <w:top w:w="0" w:type="dxa"/>
              <w:left w:w="108" w:type="dxa"/>
              <w:bottom w:w="0" w:type="dxa"/>
              <w:right w:w="108" w:type="dxa"/>
            </w:tcMar>
            <w:vAlign w:val="center"/>
          </w:tcPr>
          <w:p w14:paraId="3AAD16C5"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Poison Control Centre does not exist</w:t>
            </w:r>
          </w:p>
        </w:tc>
        <w:tc>
          <w:tcPr>
            <w:tcW w:w="1159" w:type="pct"/>
            <w:shd w:val="clear" w:color="auto" w:fill="FFFFFF"/>
            <w:vAlign w:val="center"/>
          </w:tcPr>
          <w:p w14:paraId="1D4F4B5A" w14:textId="77777777" w:rsidR="00D51392" w:rsidRPr="007C4D65" w:rsidRDefault="00D51392" w:rsidP="00B6017F">
            <w:pPr>
              <w:spacing w:before="40" w:after="40" w:line="276" w:lineRule="auto"/>
              <w:ind w:left="69"/>
              <w:rPr>
                <w:rFonts w:asciiTheme="minorHAnsi" w:eastAsia="Calibri" w:hAnsiTheme="minorHAnsi" w:cstheme="minorHAnsi"/>
                <w:sz w:val="18"/>
                <w:szCs w:val="18"/>
              </w:rPr>
            </w:pPr>
            <w:r w:rsidRPr="007C4D65">
              <w:rPr>
                <w:rFonts w:asciiTheme="minorHAnsi" w:hAnsiTheme="minorHAnsi"/>
                <w:sz w:val="18"/>
                <w:szCs w:val="18"/>
              </w:rPr>
              <w:t>Formal designation of the Poison Control Centre (PCC) for Federation of BiH or making an agreement on cooperation and reporting with the existing PCC in the region (</w:t>
            </w:r>
            <w:proofErr w:type="gramStart"/>
            <w:r w:rsidRPr="007C4D65">
              <w:rPr>
                <w:rFonts w:asciiTheme="minorHAnsi" w:hAnsiTheme="minorHAnsi"/>
                <w:sz w:val="18"/>
                <w:szCs w:val="18"/>
              </w:rPr>
              <w:t>e.g.</w:t>
            </w:r>
            <w:proofErr w:type="gramEnd"/>
            <w:r w:rsidRPr="007C4D65">
              <w:rPr>
                <w:rFonts w:asciiTheme="minorHAnsi" w:hAnsiTheme="minorHAnsi"/>
                <w:sz w:val="18"/>
                <w:szCs w:val="18"/>
              </w:rPr>
              <w:t xml:space="preserve"> VMA‒Belgrade, Serbia; Institute for Medical Research and Work Medicine, Zagreb) (2024)</w:t>
            </w:r>
          </w:p>
        </w:tc>
      </w:tr>
      <w:tr w:rsidR="00D51392" w:rsidRPr="007C4D65" w14:paraId="71842477" w14:textId="77777777" w:rsidTr="00B6017F">
        <w:trPr>
          <w:trHeight w:val="287"/>
        </w:trPr>
        <w:tc>
          <w:tcPr>
            <w:tcW w:w="761" w:type="pct"/>
            <w:vMerge/>
            <w:shd w:val="clear" w:color="auto" w:fill="D9D9D9"/>
            <w:vAlign w:val="center"/>
          </w:tcPr>
          <w:p w14:paraId="5968FBE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2B93CDC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049A8AD" w14:textId="1BFD4E41"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Status of legislative framework regarding biocidal product management</w:t>
            </w:r>
          </w:p>
        </w:tc>
        <w:tc>
          <w:tcPr>
            <w:tcW w:w="1159" w:type="pct"/>
            <w:shd w:val="clear" w:color="auto" w:fill="FFFFFF"/>
            <w:tcMar>
              <w:top w:w="0" w:type="dxa"/>
              <w:left w:w="108" w:type="dxa"/>
              <w:bottom w:w="0" w:type="dxa"/>
              <w:right w:w="108" w:type="dxa"/>
            </w:tcMar>
            <w:vAlign w:val="center"/>
          </w:tcPr>
          <w:p w14:paraId="04D8D1D6"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Law on Biocides has not been adopted</w:t>
            </w:r>
          </w:p>
        </w:tc>
        <w:tc>
          <w:tcPr>
            <w:tcW w:w="1159" w:type="pct"/>
            <w:shd w:val="clear" w:color="auto" w:fill="FFFFFF"/>
            <w:vAlign w:val="center"/>
          </w:tcPr>
          <w:p w14:paraId="0CF6C22E"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Adopted Law on Biocides by the Government of the Federation of BiH (2023)</w:t>
            </w:r>
          </w:p>
        </w:tc>
      </w:tr>
      <w:tr w:rsidR="00D51392" w:rsidRPr="007C4D65" w14:paraId="23C4F3A3" w14:textId="77777777" w:rsidTr="00B6017F">
        <w:trPr>
          <w:trHeight w:val="287"/>
        </w:trPr>
        <w:tc>
          <w:tcPr>
            <w:tcW w:w="761" w:type="pct"/>
            <w:vMerge/>
            <w:shd w:val="clear" w:color="auto" w:fill="D9D9D9"/>
            <w:vAlign w:val="center"/>
          </w:tcPr>
          <w:p w14:paraId="7577ED8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14E1320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E4947D5"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Completeness of legal framework for implementation of the Law on Biocides</w:t>
            </w:r>
          </w:p>
        </w:tc>
        <w:tc>
          <w:tcPr>
            <w:tcW w:w="1159" w:type="pct"/>
            <w:shd w:val="clear" w:color="auto" w:fill="FFFFFF"/>
            <w:tcMar>
              <w:top w:w="0" w:type="dxa"/>
              <w:left w:w="108" w:type="dxa"/>
              <w:bottom w:w="0" w:type="dxa"/>
              <w:right w:w="108" w:type="dxa"/>
            </w:tcMar>
            <w:vAlign w:val="center"/>
          </w:tcPr>
          <w:p w14:paraId="7C557192"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 Law on Biocides has not been adopted, therefore there is no legal basis for adoption of secondary legislation</w:t>
            </w:r>
          </w:p>
        </w:tc>
        <w:tc>
          <w:tcPr>
            <w:tcW w:w="1159" w:type="pct"/>
            <w:shd w:val="clear" w:color="auto" w:fill="FFFFFF"/>
            <w:vAlign w:val="center"/>
          </w:tcPr>
          <w:p w14:paraId="74F2DAE8" w14:textId="77777777" w:rsidR="00D51392" w:rsidRPr="007C4D65" w:rsidRDefault="00D51392" w:rsidP="00B6017F">
            <w:pPr>
              <w:spacing w:after="120" w:line="276" w:lineRule="auto"/>
              <w:ind w:left="69" w:hanging="2"/>
              <w:contextualSpacing/>
              <w:rPr>
                <w:rFonts w:asciiTheme="minorHAnsi" w:hAnsiTheme="minorHAnsi" w:cstheme="minorHAnsi"/>
                <w:sz w:val="18"/>
                <w:szCs w:val="18"/>
              </w:rPr>
            </w:pPr>
            <w:r w:rsidRPr="007C4D65">
              <w:rPr>
                <w:rFonts w:asciiTheme="minorHAnsi" w:hAnsiTheme="minorHAnsi"/>
                <w:sz w:val="18"/>
                <w:szCs w:val="18"/>
              </w:rPr>
              <w:t xml:space="preserve">Adopted secondary legislation (bylaws)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biocidal product management (2025)</w:t>
            </w:r>
          </w:p>
        </w:tc>
      </w:tr>
      <w:tr w:rsidR="00D51392" w:rsidRPr="007C4D65" w14:paraId="14119765" w14:textId="77777777" w:rsidTr="00B6017F">
        <w:trPr>
          <w:trHeight w:val="287"/>
        </w:trPr>
        <w:tc>
          <w:tcPr>
            <w:tcW w:w="761" w:type="pct"/>
            <w:vMerge/>
            <w:shd w:val="clear" w:color="auto" w:fill="D9D9D9"/>
            <w:vAlign w:val="center"/>
          </w:tcPr>
          <w:p w14:paraId="55C389B5"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4986C84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2BD6E35"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Completeness of legislative framework that ensures prohibition of use of mercury and restricts placement in the market of the products containing mercury or mercury compounds</w:t>
            </w:r>
          </w:p>
        </w:tc>
        <w:tc>
          <w:tcPr>
            <w:tcW w:w="1159" w:type="pct"/>
            <w:shd w:val="clear" w:color="auto" w:fill="FFFFFF"/>
            <w:tcMar>
              <w:top w:w="0" w:type="dxa"/>
              <w:left w:w="108" w:type="dxa"/>
              <w:bottom w:w="0" w:type="dxa"/>
              <w:right w:w="108" w:type="dxa"/>
            </w:tcMar>
            <w:vAlign w:val="center"/>
          </w:tcPr>
          <w:p w14:paraId="4839C61D"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There is no legislation in force that would ensure prohibition of use of mercury and restrict placement in the market of the products containing mercury or mercury compounds</w:t>
            </w:r>
          </w:p>
        </w:tc>
        <w:tc>
          <w:tcPr>
            <w:tcW w:w="1159" w:type="pct"/>
            <w:shd w:val="clear" w:color="auto" w:fill="FFFFFF"/>
            <w:vAlign w:val="center"/>
          </w:tcPr>
          <w:p w14:paraId="6B721EB9" w14:textId="77777777" w:rsidR="00D51392" w:rsidRPr="007C4D65" w:rsidRDefault="00D51392" w:rsidP="00B6017F">
            <w:pPr>
              <w:spacing w:after="120" w:line="276" w:lineRule="auto"/>
              <w:ind w:left="69" w:hanging="2"/>
              <w:contextualSpacing/>
              <w:rPr>
                <w:rFonts w:asciiTheme="minorHAnsi" w:hAnsiTheme="minorHAnsi" w:cstheme="minorHAnsi"/>
                <w:sz w:val="18"/>
                <w:szCs w:val="18"/>
              </w:rPr>
            </w:pPr>
            <w:r w:rsidRPr="007C4D65">
              <w:rPr>
                <w:rFonts w:asciiTheme="minorHAnsi" w:hAnsiTheme="minorHAnsi"/>
                <w:sz w:val="18"/>
                <w:szCs w:val="18"/>
              </w:rPr>
              <w:t>Adopted secondary legislation that prohibits use of mercury and restrict placement in the market of the products containing mercury or mercury compounds (2025)</w:t>
            </w:r>
          </w:p>
        </w:tc>
      </w:tr>
      <w:tr w:rsidR="00D51392" w:rsidRPr="007C4D65" w14:paraId="3D657547" w14:textId="77777777" w:rsidTr="00B6017F">
        <w:trPr>
          <w:trHeight w:val="287"/>
        </w:trPr>
        <w:tc>
          <w:tcPr>
            <w:tcW w:w="761" w:type="pct"/>
            <w:vMerge/>
            <w:shd w:val="clear" w:color="auto" w:fill="D9D9D9"/>
            <w:vAlign w:val="center"/>
          </w:tcPr>
          <w:p w14:paraId="01E9BEA9"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7F43F90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DB4DAF4"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Completeness of legal framework that prohibits production, trade and use of products containing asbestos fibres, and ensures special conditions for labelling the products containing asbestos</w:t>
            </w:r>
          </w:p>
        </w:tc>
        <w:tc>
          <w:tcPr>
            <w:tcW w:w="1159" w:type="pct"/>
            <w:shd w:val="clear" w:color="auto" w:fill="FFFFFF"/>
            <w:tcMar>
              <w:top w:w="0" w:type="dxa"/>
              <w:left w:w="108" w:type="dxa"/>
              <w:bottom w:w="0" w:type="dxa"/>
              <w:right w:w="108" w:type="dxa"/>
            </w:tcMar>
            <w:vAlign w:val="center"/>
          </w:tcPr>
          <w:p w14:paraId="4E40C4F1"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There is no legislation in force that would prohibit production, trade and use of products containing asbestos fibres, and ensure special conditions for labelling the products containing asbestos</w:t>
            </w:r>
          </w:p>
        </w:tc>
        <w:tc>
          <w:tcPr>
            <w:tcW w:w="1159" w:type="pct"/>
            <w:shd w:val="clear" w:color="auto" w:fill="FFFFFF"/>
            <w:vAlign w:val="center"/>
          </w:tcPr>
          <w:p w14:paraId="25D02699" w14:textId="77777777" w:rsidR="00D51392" w:rsidRPr="007C4D65" w:rsidRDefault="00D51392" w:rsidP="00B6017F">
            <w:pPr>
              <w:spacing w:after="120" w:line="276" w:lineRule="auto"/>
              <w:ind w:left="69" w:hanging="2"/>
              <w:contextualSpacing/>
              <w:rPr>
                <w:rFonts w:asciiTheme="minorHAnsi" w:hAnsiTheme="minorHAnsi" w:cstheme="minorHAnsi"/>
                <w:sz w:val="18"/>
                <w:szCs w:val="18"/>
              </w:rPr>
            </w:pPr>
            <w:r w:rsidRPr="007C4D65">
              <w:rPr>
                <w:rFonts w:asciiTheme="minorHAnsi" w:hAnsiTheme="minorHAnsi"/>
                <w:sz w:val="18"/>
                <w:szCs w:val="18"/>
              </w:rPr>
              <w:t>Adopted secondary legislation (bylaw) that prohibits production, trade and use of products containing asbestos fibres, and ensure special conditions for labelling the products containing asbestos (2025)</w:t>
            </w:r>
          </w:p>
        </w:tc>
      </w:tr>
      <w:tr w:rsidR="00D51392" w:rsidRPr="007C4D65" w14:paraId="237C5D88" w14:textId="77777777" w:rsidTr="00B6017F">
        <w:trPr>
          <w:trHeight w:val="483"/>
        </w:trPr>
        <w:tc>
          <w:tcPr>
            <w:tcW w:w="761" w:type="pct"/>
            <w:vMerge/>
            <w:shd w:val="clear" w:color="auto" w:fill="D9D9D9"/>
            <w:vAlign w:val="center"/>
            <w:hideMark/>
          </w:tcPr>
          <w:p w14:paraId="7850F96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557C279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17071FBA" w14:textId="52688718"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 xml:space="preserve">Government </w:t>
            </w:r>
            <w:r w:rsidR="000D19A9" w:rsidRPr="007C4D65">
              <w:rPr>
                <w:rFonts w:asciiTheme="minorHAnsi" w:hAnsiTheme="minorHAnsi"/>
                <w:b/>
                <w:sz w:val="18"/>
                <w:szCs w:val="18"/>
              </w:rPr>
              <w:t>budget</w:t>
            </w:r>
            <w:r w:rsidRPr="007C4D65">
              <w:rPr>
                <w:rFonts w:asciiTheme="minorHAnsi" w:hAnsiTheme="minorHAnsi"/>
                <w:b/>
                <w:sz w:val="18"/>
                <w:szCs w:val="18"/>
              </w:rPr>
              <w:t xml:space="preserve"> (million BAM)</w:t>
            </w:r>
          </w:p>
        </w:tc>
        <w:tc>
          <w:tcPr>
            <w:tcW w:w="1159" w:type="pct"/>
            <w:shd w:val="clear" w:color="auto" w:fill="D9D9D9"/>
            <w:tcMar>
              <w:top w:w="0" w:type="dxa"/>
              <w:left w:w="108" w:type="dxa"/>
              <w:bottom w:w="0" w:type="dxa"/>
              <w:right w:w="108" w:type="dxa"/>
            </w:tcMar>
            <w:vAlign w:val="center"/>
            <w:hideMark/>
          </w:tcPr>
          <w:p w14:paraId="0758D693"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762C7B1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7F18D4D9" w14:textId="77777777" w:rsidTr="00B6017F">
        <w:trPr>
          <w:trHeight w:val="287"/>
        </w:trPr>
        <w:tc>
          <w:tcPr>
            <w:tcW w:w="761" w:type="pct"/>
            <w:vMerge/>
            <w:shd w:val="clear" w:color="auto" w:fill="D9D9D9"/>
            <w:vAlign w:val="center"/>
            <w:hideMark/>
          </w:tcPr>
          <w:p w14:paraId="751CFB40"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73DFC61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ABEC29B"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0,180</w:t>
            </w:r>
          </w:p>
        </w:tc>
        <w:tc>
          <w:tcPr>
            <w:tcW w:w="1159" w:type="pct"/>
            <w:tcMar>
              <w:top w:w="0" w:type="dxa"/>
              <w:left w:w="108" w:type="dxa"/>
              <w:bottom w:w="0" w:type="dxa"/>
              <w:right w:w="108" w:type="dxa"/>
            </w:tcMar>
            <w:vAlign w:val="center"/>
          </w:tcPr>
          <w:p w14:paraId="333CB051"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0,077</w:t>
            </w:r>
          </w:p>
        </w:tc>
        <w:tc>
          <w:tcPr>
            <w:tcW w:w="1159" w:type="pct"/>
            <w:tcMar>
              <w:top w:w="0" w:type="dxa"/>
              <w:left w:w="108" w:type="dxa"/>
              <w:bottom w:w="0" w:type="dxa"/>
              <w:right w:w="108" w:type="dxa"/>
            </w:tcMar>
            <w:vAlign w:val="center"/>
          </w:tcPr>
          <w:p w14:paraId="3A44DE81"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0,257</w:t>
            </w:r>
          </w:p>
        </w:tc>
      </w:tr>
      <w:tr w:rsidR="00D51392" w:rsidRPr="007C4D65" w14:paraId="2D119E14" w14:textId="77777777" w:rsidTr="00B6017F">
        <w:trPr>
          <w:trHeight w:val="483"/>
        </w:trPr>
        <w:tc>
          <w:tcPr>
            <w:tcW w:w="761" w:type="pct"/>
            <w:vMerge w:val="restart"/>
            <w:shd w:val="clear" w:color="auto" w:fill="D9D9D9"/>
            <w:tcMar>
              <w:top w:w="0" w:type="dxa"/>
              <w:left w:w="108" w:type="dxa"/>
              <w:bottom w:w="0" w:type="dxa"/>
              <w:right w:w="108" w:type="dxa"/>
            </w:tcMar>
            <w:vAlign w:val="center"/>
            <w:hideMark/>
          </w:tcPr>
          <w:p w14:paraId="76AA8ECD"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5.1.2. Measure</w:t>
            </w:r>
          </w:p>
        </w:tc>
        <w:tc>
          <w:tcPr>
            <w:tcW w:w="762" w:type="pct"/>
            <w:vMerge w:val="restart"/>
            <w:tcMar>
              <w:top w:w="0" w:type="dxa"/>
              <w:left w:w="108" w:type="dxa"/>
              <w:bottom w:w="0" w:type="dxa"/>
              <w:right w:w="108" w:type="dxa"/>
            </w:tcMar>
            <w:vAlign w:val="center"/>
          </w:tcPr>
          <w:p w14:paraId="083545FD"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Partial transposition of the SEVESO III Directive in legislation of the Federation of BiH</w:t>
            </w:r>
          </w:p>
        </w:tc>
        <w:tc>
          <w:tcPr>
            <w:tcW w:w="1159" w:type="pct"/>
            <w:shd w:val="clear" w:color="auto" w:fill="D9D9D9"/>
            <w:tcMar>
              <w:top w:w="0" w:type="dxa"/>
              <w:left w:w="108" w:type="dxa"/>
              <w:bottom w:w="0" w:type="dxa"/>
              <w:right w:w="108" w:type="dxa"/>
            </w:tcMar>
            <w:vAlign w:val="center"/>
            <w:hideMark/>
          </w:tcPr>
          <w:p w14:paraId="7ECAA39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3EF2F043"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08F7FF8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2C9D9867" w14:textId="77777777" w:rsidTr="00B6017F">
        <w:trPr>
          <w:trHeight w:val="287"/>
        </w:trPr>
        <w:tc>
          <w:tcPr>
            <w:tcW w:w="761" w:type="pct"/>
            <w:vMerge/>
            <w:shd w:val="clear" w:color="auto" w:fill="D9D9D9"/>
            <w:vAlign w:val="center"/>
          </w:tcPr>
          <w:p w14:paraId="17EA312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0E6D188A"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A53186A"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Completeness of legal framework for implementation of the Law on Environmental Protection in terms of transposition of the SEVESO III Directive</w:t>
            </w:r>
          </w:p>
        </w:tc>
        <w:tc>
          <w:tcPr>
            <w:tcW w:w="1159" w:type="pct"/>
            <w:shd w:val="clear" w:color="auto" w:fill="FFFFFF"/>
            <w:tcMar>
              <w:top w:w="0" w:type="dxa"/>
              <w:left w:w="108" w:type="dxa"/>
              <w:bottom w:w="0" w:type="dxa"/>
              <w:right w:w="108" w:type="dxa"/>
            </w:tcMar>
            <w:vAlign w:val="center"/>
          </w:tcPr>
          <w:p w14:paraId="30DC496A" w14:textId="5FAFD34D"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Legal basis for transposition of the SEVESO III Directive has been created in the Law on Environment Protection; however, secondary legislation needs to be passed to specify the content and method of maintaining of Registry of Major Accidents</w:t>
            </w:r>
          </w:p>
        </w:tc>
        <w:tc>
          <w:tcPr>
            <w:tcW w:w="1159" w:type="pct"/>
            <w:shd w:val="clear" w:color="auto" w:fill="FFFFFF"/>
            <w:vAlign w:val="center"/>
          </w:tcPr>
          <w:p w14:paraId="0DF9361C"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Develop and adopt legislation defining the content and method of maintaining the Registry of Major Accidents (2023)</w:t>
            </w:r>
          </w:p>
        </w:tc>
      </w:tr>
      <w:tr w:rsidR="00D51392" w:rsidRPr="007C4D65" w14:paraId="4B241822" w14:textId="77777777" w:rsidTr="00B6017F">
        <w:trPr>
          <w:trHeight w:val="287"/>
        </w:trPr>
        <w:tc>
          <w:tcPr>
            <w:tcW w:w="761" w:type="pct"/>
            <w:vMerge/>
            <w:shd w:val="clear" w:color="auto" w:fill="D9D9D9"/>
            <w:vAlign w:val="center"/>
          </w:tcPr>
          <w:p w14:paraId="34EC852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70BD0BE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F7F4603"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 Status of the Rulebook on the content of the report on safety status, content of information of safety measures and contents of internal and external intervention plans</w:t>
            </w:r>
          </w:p>
        </w:tc>
        <w:tc>
          <w:tcPr>
            <w:tcW w:w="1159" w:type="pct"/>
            <w:shd w:val="clear" w:color="auto" w:fill="FFFFFF"/>
            <w:tcMar>
              <w:top w:w="0" w:type="dxa"/>
              <w:left w:w="108" w:type="dxa"/>
              <w:bottom w:w="0" w:type="dxa"/>
              <w:right w:w="108" w:type="dxa"/>
            </w:tcMar>
            <w:vAlign w:val="center"/>
          </w:tcPr>
          <w:p w14:paraId="70AD9C81"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 existing Rulebook on the content of the report on safety status, content of information of safety measures and contents of internal and external intervention plans was made in 2005 and needs to be updated to include new requirements</w:t>
            </w:r>
          </w:p>
        </w:tc>
        <w:tc>
          <w:tcPr>
            <w:tcW w:w="1159" w:type="pct"/>
            <w:shd w:val="clear" w:color="auto" w:fill="FFFFFF"/>
            <w:vAlign w:val="center"/>
          </w:tcPr>
          <w:p w14:paraId="4F5A02A3"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Updating or making a new Rulebook on the content of the report on safety status, content of information on safety measures and contents of internal and external intervention plans (2023)</w:t>
            </w:r>
          </w:p>
        </w:tc>
      </w:tr>
      <w:tr w:rsidR="00D51392" w:rsidRPr="007C4D65" w14:paraId="0C72920F" w14:textId="77777777" w:rsidTr="00B6017F">
        <w:trPr>
          <w:trHeight w:val="483"/>
        </w:trPr>
        <w:tc>
          <w:tcPr>
            <w:tcW w:w="761" w:type="pct"/>
            <w:vMerge/>
            <w:shd w:val="clear" w:color="auto" w:fill="D9D9D9"/>
            <w:vAlign w:val="center"/>
            <w:hideMark/>
          </w:tcPr>
          <w:p w14:paraId="42BE9FE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260A1D31"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6D0EAF53"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6768EAC7"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3F03B63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43DD51EE" w14:textId="77777777" w:rsidTr="00B6017F">
        <w:trPr>
          <w:trHeight w:val="287"/>
        </w:trPr>
        <w:tc>
          <w:tcPr>
            <w:tcW w:w="761" w:type="pct"/>
            <w:vMerge/>
            <w:shd w:val="clear" w:color="auto" w:fill="D9D9D9"/>
            <w:vAlign w:val="center"/>
            <w:hideMark/>
          </w:tcPr>
          <w:p w14:paraId="225A0BC3"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7382082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E80024E"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0,019</w:t>
            </w:r>
          </w:p>
        </w:tc>
        <w:tc>
          <w:tcPr>
            <w:tcW w:w="1159" w:type="pct"/>
            <w:tcMar>
              <w:top w:w="0" w:type="dxa"/>
              <w:left w:w="108" w:type="dxa"/>
              <w:bottom w:w="0" w:type="dxa"/>
              <w:right w:w="108" w:type="dxa"/>
            </w:tcMar>
            <w:vAlign w:val="center"/>
          </w:tcPr>
          <w:p w14:paraId="6FE55C73"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4D189A1E"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0,019</w:t>
            </w:r>
          </w:p>
        </w:tc>
      </w:tr>
      <w:tr w:rsidR="00D51392" w:rsidRPr="007C4D65" w14:paraId="3121F3AE" w14:textId="77777777" w:rsidTr="00B6017F">
        <w:trPr>
          <w:trHeight w:val="483"/>
        </w:trPr>
        <w:tc>
          <w:tcPr>
            <w:tcW w:w="761" w:type="pct"/>
            <w:vMerge w:val="restart"/>
            <w:shd w:val="clear" w:color="auto" w:fill="D9D9D9"/>
            <w:tcMar>
              <w:top w:w="0" w:type="dxa"/>
              <w:left w:w="108" w:type="dxa"/>
              <w:bottom w:w="0" w:type="dxa"/>
              <w:right w:w="108" w:type="dxa"/>
            </w:tcMar>
            <w:vAlign w:val="center"/>
            <w:hideMark/>
          </w:tcPr>
          <w:p w14:paraId="1C9CF9EB"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5.1.3. Measure</w:t>
            </w:r>
          </w:p>
        </w:tc>
        <w:tc>
          <w:tcPr>
            <w:tcW w:w="762" w:type="pct"/>
            <w:vMerge w:val="restart"/>
            <w:tcMar>
              <w:top w:w="0" w:type="dxa"/>
              <w:left w:w="108" w:type="dxa"/>
              <w:bottom w:w="0" w:type="dxa"/>
              <w:right w:w="108" w:type="dxa"/>
            </w:tcMar>
            <w:vAlign w:val="center"/>
          </w:tcPr>
          <w:p w14:paraId="4D2C79C6" w14:textId="76757045"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Harmonise / develop secondary legislation (bylaws) to enable implementation of the Montreal Protocol, the Kigali Amendment, and </w:t>
            </w:r>
            <w:r w:rsidR="001E4D90" w:rsidRPr="007C4D65">
              <w:rPr>
                <w:rFonts w:asciiTheme="minorHAnsi" w:hAnsiTheme="minorHAnsi"/>
                <w:sz w:val="18"/>
                <w:szCs w:val="18"/>
              </w:rPr>
              <w:t>EU regulations</w:t>
            </w:r>
            <w:r w:rsidRPr="007C4D65">
              <w:rPr>
                <w:rFonts w:asciiTheme="minorHAnsi" w:hAnsiTheme="minorHAnsi"/>
                <w:sz w:val="18"/>
                <w:szCs w:val="18"/>
              </w:rPr>
              <w:t xml:space="preserve"> that facilitates their legal implementation in the EU member countries</w:t>
            </w:r>
          </w:p>
        </w:tc>
        <w:tc>
          <w:tcPr>
            <w:tcW w:w="1159" w:type="pct"/>
            <w:shd w:val="clear" w:color="auto" w:fill="D9D9D9"/>
            <w:tcMar>
              <w:top w:w="0" w:type="dxa"/>
              <w:left w:w="108" w:type="dxa"/>
              <w:bottom w:w="0" w:type="dxa"/>
              <w:right w:w="108" w:type="dxa"/>
            </w:tcMar>
            <w:vAlign w:val="center"/>
            <w:hideMark/>
          </w:tcPr>
          <w:p w14:paraId="3E486CC2"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7B81216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23EC08F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1F85B28E" w14:textId="77777777" w:rsidTr="00B6017F">
        <w:trPr>
          <w:trHeight w:val="287"/>
        </w:trPr>
        <w:tc>
          <w:tcPr>
            <w:tcW w:w="761" w:type="pct"/>
            <w:vMerge/>
            <w:shd w:val="clear" w:color="auto" w:fill="D9D9D9"/>
            <w:vAlign w:val="center"/>
          </w:tcPr>
          <w:p w14:paraId="7E8E3A4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315E3DA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7705916"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Completeness of the legal framework for implementation of the Kigali Amendment, Regulation EC 517/2014 on specific fluorinated greenhouse gases in terms of managing ozone layer depleting substances</w:t>
            </w:r>
          </w:p>
        </w:tc>
        <w:tc>
          <w:tcPr>
            <w:tcW w:w="1159" w:type="pct"/>
            <w:shd w:val="clear" w:color="auto" w:fill="FFFFFF"/>
            <w:tcMar>
              <w:top w:w="0" w:type="dxa"/>
              <w:left w:w="108" w:type="dxa"/>
              <w:bottom w:w="0" w:type="dxa"/>
              <w:right w:w="108" w:type="dxa"/>
            </w:tcMar>
            <w:vAlign w:val="center"/>
          </w:tcPr>
          <w:p w14:paraId="7C16488D" w14:textId="70D2451C"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There is in force a Rulebook on gradual exclusion of ozone layer depleting substances (</w:t>
            </w:r>
            <w:r w:rsidR="007436F1" w:rsidRPr="007C4D65">
              <w:rPr>
                <w:rFonts w:asciiTheme="minorHAnsi" w:hAnsiTheme="minorHAnsi"/>
                <w:sz w:val="18"/>
                <w:szCs w:val="18"/>
              </w:rPr>
              <w:t xml:space="preserve">„Official Gazette of the Federation of </w:t>
            </w:r>
            <w:proofErr w:type="gramStart"/>
            <w:r w:rsidR="007436F1" w:rsidRPr="007C4D65">
              <w:rPr>
                <w:rFonts w:asciiTheme="minorHAnsi" w:hAnsiTheme="minorHAnsi"/>
                <w:sz w:val="18"/>
                <w:szCs w:val="18"/>
              </w:rPr>
              <w:t>BiH“</w:t>
            </w:r>
            <w:proofErr w:type="gramEnd"/>
            <w:r w:rsidRPr="007C4D65">
              <w:rPr>
                <w:rFonts w:asciiTheme="minorHAnsi" w:hAnsiTheme="minorHAnsi"/>
                <w:sz w:val="18"/>
                <w:szCs w:val="18"/>
              </w:rPr>
              <w:t>, 39/05) that needs to be aligned with requirements of the Kigali Amendment and the Regulation EC 517/2014</w:t>
            </w:r>
          </w:p>
        </w:tc>
        <w:tc>
          <w:tcPr>
            <w:tcW w:w="1159" w:type="pct"/>
            <w:shd w:val="clear" w:color="auto" w:fill="FFFFFF"/>
            <w:vAlign w:val="center"/>
          </w:tcPr>
          <w:p w14:paraId="7DEA45D3"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Adopted Rulebook on Ozone Depleting Substances management (2024)</w:t>
            </w:r>
          </w:p>
        </w:tc>
      </w:tr>
      <w:tr w:rsidR="00D51392" w:rsidRPr="007C4D65" w14:paraId="56DB6D19" w14:textId="77777777" w:rsidTr="00B6017F">
        <w:trPr>
          <w:trHeight w:val="287"/>
        </w:trPr>
        <w:tc>
          <w:tcPr>
            <w:tcW w:w="761" w:type="pct"/>
            <w:vMerge/>
            <w:shd w:val="clear" w:color="auto" w:fill="D9D9D9"/>
            <w:vAlign w:val="center"/>
          </w:tcPr>
          <w:p w14:paraId="671FB1A6"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45EF12C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FAF7410"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 Completeness of legal framework for implementation of the requirements of the Kigali amendments and the Regulation EC 517/2014 in terms of establishing certification and training programme for entities and individuals </w:t>
            </w:r>
            <w:r w:rsidRPr="007C4D65">
              <w:rPr>
                <w:rFonts w:asciiTheme="minorHAnsi" w:hAnsiTheme="minorHAnsi"/>
                <w:sz w:val="18"/>
                <w:szCs w:val="18"/>
              </w:rPr>
              <w:lastRenderedPageBreak/>
              <w:t>involved in installation, servicing, maintenance, repairing or disposing of F-gases equipment</w:t>
            </w:r>
          </w:p>
        </w:tc>
        <w:tc>
          <w:tcPr>
            <w:tcW w:w="1159" w:type="pct"/>
            <w:shd w:val="clear" w:color="auto" w:fill="FFFFFF"/>
            <w:tcMar>
              <w:top w:w="0" w:type="dxa"/>
              <w:left w:w="108" w:type="dxa"/>
              <w:bottom w:w="0" w:type="dxa"/>
              <w:right w:w="108" w:type="dxa"/>
            </w:tcMar>
            <w:vAlign w:val="center"/>
          </w:tcPr>
          <w:p w14:paraId="090496FB"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lastRenderedPageBreak/>
              <w:t xml:space="preserve">There is no Rulebook that would regulate training of the servicemen in accordance with the training programmes aligned with the Regulation EC 517/2014 on establishing certification and training programme for entities and </w:t>
            </w:r>
            <w:r w:rsidRPr="007C4D65">
              <w:rPr>
                <w:rFonts w:asciiTheme="minorHAnsi" w:hAnsiTheme="minorHAnsi"/>
                <w:sz w:val="18"/>
                <w:szCs w:val="18"/>
              </w:rPr>
              <w:lastRenderedPageBreak/>
              <w:t>individuals involved in installation, servicing, maintenance, repairing or disposing of F-gases equipment</w:t>
            </w:r>
          </w:p>
        </w:tc>
        <w:tc>
          <w:tcPr>
            <w:tcW w:w="1159" w:type="pct"/>
            <w:shd w:val="clear" w:color="auto" w:fill="FFFFFF"/>
            <w:vAlign w:val="center"/>
          </w:tcPr>
          <w:p w14:paraId="1020D6C1"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lastRenderedPageBreak/>
              <w:t xml:space="preserve">Adopted legislation that enables training of servicemen in accordance with the training programme aligned with the Regulation EC 517/2014 on establishing certification and training programme for entities and individuals involved in </w:t>
            </w:r>
            <w:r w:rsidRPr="007C4D65">
              <w:rPr>
                <w:rFonts w:asciiTheme="minorHAnsi" w:hAnsiTheme="minorHAnsi"/>
                <w:sz w:val="18"/>
                <w:szCs w:val="18"/>
              </w:rPr>
              <w:lastRenderedPageBreak/>
              <w:t>installation, servicing, maintenance, repairing or disposing of F-gases equipment (2024)</w:t>
            </w:r>
          </w:p>
        </w:tc>
      </w:tr>
      <w:tr w:rsidR="00D51392" w:rsidRPr="007C4D65" w14:paraId="4ACAA5DB" w14:textId="77777777" w:rsidTr="00B6017F">
        <w:trPr>
          <w:trHeight w:val="483"/>
        </w:trPr>
        <w:tc>
          <w:tcPr>
            <w:tcW w:w="761" w:type="pct"/>
            <w:vMerge/>
            <w:shd w:val="clear" w:color="auto" w:fill="D9D9D9"/>
            <w:vAlign w:val="center"/>
            <w:hideMark/>
          </w:tcPr>
          <w:p w14:paraId="3AF540C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6DC222C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4BBDE18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4E819D6E"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5D81774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0E56F8F3" w14:textId="77777777" w:rsidTr="00B6017F">
        <w:trPr>
          <w:trHeight w:val="287"/>
        </w:trPr>
        <w:tc>
          <w:tcPr>
            <w:tcW w:w="761" w:type="pct"/>
            <w:vMerge/>
            <w:shd w:val="clear" w:color="auto" w:fill="D9D9D9"/>
            <w:vAlign w:val="center"/>
            <w:hideMark/>
          </w:tcPr>
          <w:p w14:paraId="5B49971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3135AFE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3AA48B8"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0,124</w:t>
            </w:r>
          </w:p>
        </w:tc>
        <w:tc>
          <w:tcPr>
            <w:tcW w:w="1159" w:type="pct"/>
            <w:tcMar>
              <w:top w:w="0" w:type="dxa"/>
              <w:left w:w="108" w:type="dxa"/>
              <w:bottom w:w="0" w:type="dxa"/>
              <w:right w:w="108" w:type="dxa"/>
            </w:tcMar>
            <w:vAlign w:val="center"/>
          </w:tcPr>
          <w:p w14:paraId="66B4BB32"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3E7E4CD9"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0,124</w:t>
            </w:r>
          </w:p>
        </w:tc>
      </w:tr>
    </w:tbl>
    <w:p w14:paraId="39994D22" w14:textId="77777777" w:rsidR="00D51392" w:rsidRPr="007C4D65" w:rsidRDefault="00D51392" w:rsidP="00D51392">
      <w:pPr>
        <w:spacing w:after="120" w:line="276" w:lineRule="auto"/>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3"/>
        <w:gridCol w:w="2126"/>
        <w:gridCol w:w="3233"/>
        <w:gridCol w:w="3233"/>
        <w:gridCol w:w="3233"/>
      </w:tblGrid>
      <w:tr w:rsidR="00D51392" w:rsidRPr="007C4D65" w14:paraId="1FB2E553" w14:textId="77777777" w:rsidTr="00B6017F">
        <w:trPr>
          <w:trHeight w:val="384"/>
        </w:trPr>
        <w:tc>
          <w:tcPr>
            <w:tcW w:w="761" w:type="pct"/>
            <w:vMerge w:val="restart"/>
            <w:shd w:val="clear" w:color="auto" w:fill="D9D9D9"/>
            <w:tcMar>
              <w:top w:w="0" w:type="dxa"/>
              <w:left w:w="108" w:type="dxa"/>
              <w:bottom w:w="0" w:type="dxa"/>
              <w:right w:w="108" w:type="dxa"/>
            </w:tcMar>
            <w:vAlign w:val="center"/>
          </w:tcPr>
          <w:p w14:paraId="4930D66F"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5.2. Priority</w:t>
            </w:r>
          </w:p>
          <w:p w14:paraId="719F4C4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restart"/>
            <w:tcMar>
              <w:top w:w="0" w:type="dxa"/>
              <w:left w:w="108" w:type="dxa"/>
              <w:bottom w:w="0" w:type="dxa"/>
              <w:right w:w="108" w:type="dxa"/>
            </w:tcMar>
            <w:vAlign w:val="center"/>
          </w:tcPr>
          <w:p w14:paraId="073ECFA3" w14:textId="1C103C81" w:rsidR="00D51392" w:rsidRPr="007C4D65" w:rsidRDefault="00735C68"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t xml:space="preserve">Establish a sustainable system of chemical management and implementation of EU acquis </w:t>
            </w:r>
            <w:proofErr w:type="gramStart"/>
            <w:r w:rsidRPr="007C4D65">
              <w:rPr>
                <w:rFonts w:asciiTheme="minorHAnsi" w:hAnsiTheme="minorHAnsi"/>
                <w:b/>
                <w:sz w:val="18"/>
                <w:szCs w:val="18"/>
              </w:rPr>
              <w:t>in the area of</w:t>
            </w:r>
            <w:proofErr w:type="gramEnd"/>
            <w:r w:rsidRPr="007C4D65">
              <w:rPr>
                <w:rFonts w:asciiTheme="minorHAnsi" w:hAnsiTheme="minorHAnsi"/>
                <w:b/>
                <w:sz w:val="18"/>
                <w:szCs w:val="18"/>
              </w:rPr>
              <w:t xml:space="preserve"> chemical safety</w:t>
            </w:r>
          </w:p>
        </w:tc>
        <w:tc>
          <w:tcPr>
            <w:tcW w:w="1159" w:type="pct"/>
            <w:shd w:val="clear" w:color="auto" w:fill="D9D9D9"/>
            <w:tcMar>
              <w:top w:w="0" w:type="dxa"/>
              <w:left w:w="108" w:type="dxa"/>
              <w:bottom w:w="0" w:type="dxa"/>
              <w:right w:w="108" w:type="dxa"/>
            </w:tcMar>
            <w:vAlign w:val="center"/>
          </w:tcPr>
          <w:p w14:paraId="0FB05365" w14:textId="77777777" w:rsidR="00D51392" w:rsidRPr="007C4D65" w:rsidRDefault="00D51392"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59" w:type="pct"/>
            <w:shd w:val="clear" w:color="auto" w:fill="D9D9D9"/>
            <w:tcMar>
              <w:top w:w="0" w:type="dxa"/>
              <w:left w:w="108" w:type="dxa"/>
              <w:bottom w:w="0" w:type="dxa"/>
              <w:right w:w="108" w:type="dxa"/>
            </w:tcMar>
            <w:vAlign w:val="center"/>
          </w:tcPr>
          <w:p w14:paraId="7A7BFF7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tcPr>
          <w:p w14:paraId="0205484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2F845AD3" w14:textId="77777777" w:rsidTr="00B6017F">
        <w:trPr>
          <w:trHeight w:val="287"/>
        </w:trPr>
        <w:tc>
          <w:tcPr>
            <w:tcW w:w="761" w:type="pct"/>
            <w:vMerge/>
            <w:shd w:val="clear" w:color="auto" w:fill="D9D9D9"/>
            <w:vAlign w:val="center"/>
            <w:hideMark/>
          </w:tcPr>
          <w:p w14:paraId="2D145B9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010AE12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96BCC6A"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Level of implementation of transposed EU acquis and conventions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chemical safety</w:t>
            </w:r>
          </w:p>
        </w:tc>
        <w:tc>
          <w:tcPr>
            <w:tcW w:w="1159" w:type="pct"/>
            <w:tcMar>
              <w:top w:w="0" w:type="dxa"/>
              <w:left w:w="108" w:type="dxa"/>
              <w:bottom w:w="0" w:type="dxa"/>
              <w:right w:w="108" w:type="dxa"/>
            </w:tcMar>
            <w:vAlign w:val="center"/>
          </w:tcPr>
          <w:p w14:paraId="578DCA09"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Secondary legislation (bylaws) in the field of chemical management have not been developed, so the level of implementation of legislation is low</w:t>
            </w:r>
          </w:p>
        </w:tc>
        <w:tc>
          <w:tcPr>
            <w:tcW w:w="1159" w:type="pct"/>
            <w:tcMar>
              <w:top w:w="0" w:type="dxa"/>
              <w:left w:w="108" w:type="dxa"/>
              <w:bottom w:w="0" w:type="dxa"/>
              <w:right w:w="108" w:type="dxa"/>
            </w:tcMar>
            <w:vAlign w:val="center"/>
          </w:tcPr>
          <w:p w14:paraId="758CA434"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High level of implementation of legislation transposing EU acquis and conventions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chemical safety (2026)</w:t>
            </w:r>
          </w:p>
        </w:tc>
      </w:tr>
      <w:tr w:rsidR="00D51392" w:rsidRPr="007C4D65" w14:paraId="0DA98E9A" w14:textId="77777777" w:rsidTr="00B6017F">
        <w:trPr>
          <w:trHeight w:val="287"/>
        </w:trPr>
        <w:tc>
          <w:tcPr>
            <w:tcW w:w="761" w:type="pct"/>
            <w:vMerge/>
            <w:shd w:val="clear" w:color="auto" w:fill="D9D9D9"/>
            <w:vAlign w:val="center"/>
          </w:tcPr>
          <w:p w14:paraId="039D14E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3C381AB1"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F64CF4B" w14:textId="46B93AB2"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Level of implementation of the SEVESO III Directive</w:t>
            </w:r>
          </w:p>
        </w:tc>
        <w:tc>
          <w:tcPr>
            <w:tcW w:w="1159" w:type="pct"/>
            <w:tcMar>
              <w:top w:w="0" w:type="dxa"/>
              <w:left w:w="108" w:type="dxa"/>
              <w:bottom w:w="0" w:type="dxa"/>
              <w:right w:w="108" w:type="dxa"/>
            </w:tcMar>
            <w:vAlign w:val="center"/>
          </w:tcPr>
          <w:p w14:paraId="697145AA" w14:textId="4DB2281A"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There is no Registry of Major Accidents that is required under SEVESO III Directive</w:t>
            </w:r>
          </w:p>
        </w:tc>
        <w:tc>
          <w:tcPr>
            <w:tcW w:w="1159" w:type="pct"/>
            <w:tcMar>
              <w:top w:w="0" w:type="dxa"/>
              <w:left w:w="108" w:type="dxa"/>
              <w:bottom w:w="0" w:type="dxa"/>
              <w:right w:w="108" w:type="dxa"/>
            </w:tcMar>
            <w:vAlign w:val="center"/>
          </w:tcPr>
          <w:p w14:paraId="398A674C"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High level of implementation of the SEVESO III Directive (2026)</w:t>
            </w:r>
          </w:p>
        </w:tc>
      </w:tr>
      <w:tr w:rsidR="00D51392" w:rsidRPr="007C4D65" w14:paraId="7E35FB8C" w14:textId="77777777" w:rsidTr="00B6017F">
        <w:trPr>
          <w:trHeight w:val="287"/>
        </w:trPr>
        <w:tc>
          <w:tcPr>
            <w:tcW w:w="761" w:type="pct"/>
            <w:vMerge/>
            <w:shd w:val="clear" w:color="auto" w:fill="D9D9D9"/>
            <w:vAlign w:val="center"/>
          </w:tcPr>
          <w:p w14:paraId="3CD0621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214F01E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F0847E4"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Reporting status on the matter of registration of cooling equipment and HVAC equipment services shops in accordance with the EU acquis applicable on the ozone depleting substances</w:t>
            </w:r>
          </w:p>
        </w:tc>
        <w:tc>
          <w:tcPr>
            <w:tcW w:w="1159" w:type="pct"/>
            <w:tcMar>
              <w:top w:w="0" w:type="dxa"/>
              <w:left w:w="108" w:type="dxa"/>
              <w:bottom w:w="0" w:type="dxa"/>
              <w:right w:w="108" w:type="dxa"/>
            </w:tcMar>
            <w:vAlign w:val="center"/>
          </w:tcPr>
          <w:p w14:paraId="2BBADB48" w14:textId="77777777" w:rsidR="00D51392" w:rsidRPr="007C4D65" w:rsidRDefault="00D51392" w:rsidP="00B6017F">
            <w:pPr>
              <w:spacing w:line="276" w:lineRule="auto"/>
              <w:jc w:val="both"/>
              <w:rPr>
                <w:rFonts w:asciiTheme="minorHAnsi" w:hAnsiTheme="minorHAnsi" w:cstheme="minorHAnsi"/>
                <w:sz w:val="18"/>
                <w:szCs w:val="18"/>
              </w:rPr>
            </w:pPr>
            <w:r w:rsidRPr="007C4D65">
              <w:rPr>
                <w:rFonts w:asciiTheme="minorHAnsi" w:hAnsiTheme="minorHAnsi"/>
                <w:sz w:val="18"/>
                <w:szCs w:val="18"/>
              </w:rPr>
              <w:t xml:space="preserve">There is no established registry of service shops and owners of equipment (operators) of cooling and HVAC equipment. </w:t>
            </w:r>
          </w:p>
          <w:p w14:paraId="3A7B30E6" w14:textId="77777777" w:rsidR="00D51392" w:rsidRPr="007C4D65" w:rsidRDefault="00D51392" w:rsidP="00B6017F">
            <w:pPr>
              <w:spacing w:line="276" w:lineRule="auto"/>
              <w:jc w:val="both"/>
              <w:rPr>
                <w:rFonts w:asciiTheme="minorHAnsi" w:hAnsiTheme="minorHAnsi" w:cstheme="minorHAnsi"/>
                <w:sz w:val="18"/>
                <w:szCs w:val="18"/>
              </w:rPr>
            </w:pPr>
            <w:r w:rsidRPr="007C4D65">
              <w:rPr>
                <w:rFonts w:asciiTheme="minorHAnsi" w:hAnsiTheme="minorHAnsi"/>
                <w:sz w:val="18"/>
                <w:szCs w:val="18"/>
              </w:rPr>
              <w:t xml:space="preserve">There is no established plan for training repairers/maintenance providers, as required by the EU acquis. </w:t>
            </w:r>
          </w:p>
          <w:p w14:paraId="230FB5EF" w14:textId="77777777" w:rsidR="00D51392" w:rsidRPr="007C4D65" w:rsidRDefault="00D51392" w:rsidP="00B6017F">
            <w:pPr>
              <w:spacing w:line="276" w:lineRule="auto"/>
              <w:jc w:val="both"/>
              <w:rPr>
                <w:rFonts w:asciiTheme="minorHAnsi" w:hAnsiTheme="minorHAnsi" w:cstheme="minorHAnsi"/>
                <w:sz w:val="18"/>
                <w:szCs w:val="18"/>
              </w:rPr>
            </w:pPr>
            <w:r w:rsidRPr="007C4D65">
              <w:rPr>
                <w:rFonts w:asciiTheme="minorHAnsi" w:hAnsiTheme="minorHAnsi"/>
                <w:sz w:val="18"/>
                <w:szCs w:val="18"/>
              </w:rPr>
              <w:t xml:space="preserve">There are no prescribed criteria for establishing a </w:t>
            </w:r>
            <w:proofErr w:type="gramStart"/>
            <w:r w:rsidRPr="007C4D65">
              <w:rPr>
                <w:rFonts w:asciiTheme="minorHAnsi" w:hAnsiTheme="minorHAnsi"/>
                <w:sz w:val="18"/>
                <w:szCs w:val="18"/>
              </w:rPr>
              <w:t>training centres</w:t>
            </w:r>
            <w:proofErr w:type="gramEnd"/>
            <w:r w:rsidRPr="007C4D65">
              <w:rPr>
                <w:rFonts w:asciiTheme="minorHAnsi" w:hAnsiTheme="minorHAnsi"/>
                <w:sz w:val="18"/>
                <w:szCs w:val="18"/>
              </w:rPr>
              <w:t xml:space="preserve"> for the repairers.</w:t>
            </w:r>
          </w:p>
          <w:p w14:paraId="2CC34527"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No training centres have been appointed for training repairers of HVAC equipment</w:t>
            </w:r>
          </w:p>
        </w:tc>
        <w:tc>
          <w:tcPr>
            <w:tcW w:w="1159" w:type="pct"/>
            <w:tcMar>
              <w:top w:w="0" w:type="dxa"/>
              <w:left w:w="108" w:type="dxa"/>
              <w:bottom w:w="0" w:type="dxa"/>
              <w:right w:w="108" w:type="dxa"/>
            </w:tcMar>
            <w:vAlign w:val="center"/>
          </w:tcPr>
          <w:p w14:paraId="5A40ACE7"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Established reporting system on the matter of registration of cooling equipment and HVAC equipment services shops in accordance with the EU acquis applicable on the ozone depleting substances (2028)</w:t>
            </w:r>
          </w:p>
        </w:tc>
      </w:tr>
      <w:tr w:rsidR="00D51392" w:rsidRPr="007C4D65" w14:paraId="21EB8546" w14:textId="77777777" w:rsidTr="00B6017F">
        <w:trPr>
          <w:trHeight w:val="287"/>
        </w:trPr>
        <w:tc>
          <w:tcPr>
            <w:tcW w:w="761" w:type="pct"/>
            <w:vMerge/>
            <w:shd w:val="clear" w:color="auto" w:fill="D9D9D9"/>
            <w:vAlign w:val="center"/>
            <w:hideMark/>
          </w:tcPr>
          <w:p w14:paraId="78001DB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37802EF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4B96E34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tcPr>
          <w:p w14:paraId="769A901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tcPr>
          <w:p w14:paraId="2297502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09AA8CD5" w14:textId="77777777" w:rsidTr="00B6017F">
        <w:trPr>
          <w:trHeight w:val="287"/>
        </w:trPr>
        <w:tc>
          <w:tcPr>
            <w:tcW w:w="761" w:type="pct"/>
            <w:vMerge/>
            <w:shd w:val="clear" w:color="auto" w:fill="D9D9D9"/>
            <w:vAlign w:val="center"/>
          </w:tcPr>
          <w:p w14:paraId="63648760"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22AA498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9D3060C"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0,364</w:t>
            </w:r>
          </w:p>
        </w:tc>
        <w:tc>
          <w:tcPr>
            <w:tcW w:w="1159" w:type="pct"/>
            <w:tcMar>
              <w:top w:w="0" w:type="dxa"/>
              <w:left w:w="108" w:type="dxa"/>
              <w:bottom w:w="0" w:type="dxa"/>
              <w:right w:w="108" w:type="dxa"/>
            </w:tcMar>
            <w:vAlign w:val="center"/>
          </w:tcPr>
          <w:p w14:paraId="2F9BE3EF"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1,08</w:t>
            </w:r>
          </w:p>
        </w:tc>
        <w:tc>
          <w:tcPr>
            <w:tcW w:w="1159" w:type="pct"/>
            <w:tcMar>
              <w:top w:w="0" w:type="dxa"/>
              <w:left w:w="108" w:type="dxa"/>
              <w:bottom w:w="0" w:type="dxa"/>
              <w:right w:w="108" w:type="dxa"/>
            </w:tcMar>
            <w:vAlign w:val="center"/>
          </w:tcPr>
          <w:p w14:paraId="0A841F1F"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1,4</w:t>
            </w:r>
          </w:p>
        </w:tc>
      </w:tr>
    </w:tbl>
    <w:p w14:paraId="6EE96D11" w14:textId="77777777" w:rsidR="00D51392" w:rsidRPr="007C4D65" w:rsidRDefault="00D51392" w:rsidP="00D51392">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3"/>
        <w:gridCol w:w="2126"/>
        <w:gridCol w:w="3233"/>
        <w:gridCol w:w="3233"/>
        <w:gridCol w:w="3233"/>
      </w:tblGrid>
      <w:tr w:rsidR="00D51392" w:rsidRPr="007C4D65" w14:paraId="7F1D5DBA" w14:textId="77777777" w:rsidTr="00B6017F">
        <w:trPr>
          <w:trHeight w:val="483"/>
        </w:trPr>
        <w:tc>
          <w:tcPr>
            <w:tcW w:w="761" w:type="pct"/>
            <w:vMerge w:val="restart"/>
            <w:shd w:val="clear" w:color="auto" w:fill="D9D9D9"/>
            <w:tcMar>
              <w:top w:w="0" w:type="dxa"/>
              <w:left w:w="108" w:type="dxa"/>
              <w:bottom w:w="0" w:type="dxa"/>
              <w:right w:w="108" w:type="dxa"/>
            </w:tcMar>
            <w:vAlign w:val="center"/>
            <w:hideMark/>
          </w:tcPr>
          <w:p w14:paraId="0C0A0D08"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5.2.1. Measure</w:t>
            </w:r>
          </w:p>
        </w:tc>
        <w:tc>
          <w:tcPr>
            <w:tcW w:w="762" w:type="pct"/>
            <w:vMerge w:val="restart"/>
            <w:tcMar>
              <w:top w:w="0" w:type="dxa"/>
              <w:left w:w="108" w:type="dxa"/>
              <w:bottom w:w="0" w:type="dxa"/>
              <w:right w:w="108" w:type="dxa"/>
            </w:tcMar>
            <w:vAlign w:val="center"/>
          </w:tcPr>
          <w:p w14:paraId="78A29616"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Efficient implementation of legislation partially transposing EU acquis </w:t>
            </w:r>
            <w:r w:rsidRPr="007C4D65">
              <w:rPr>
                <w:rFonts w:asciiTheme="minorHAnsi" w:hAnsiTheme="minorHAnsi"/>
                <w:sz w:val="18"/>
                <w:szCs w:val="18"/>
              </w:rPr>
              <w:lastRenderedPageBreak/>
              <w:t xml:space="preserve">and conventions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chemical safety</w:t>
            </w:r>
          </w:p>
        </w:tc>
        <w:tc>
          <w:tcPr>
            <w:tcW w:w="1159" w:type="pct"/>
            <w:shd w:val="clear" w:color="auto" w:fill="D9D9D9"/>
            <w:tcMar>
              <w:top w:w="0" w:type="dxa"/>
              <w:left w:w="108" w:type="dxa"/>
              <w:bottom w:w="0" w:type="dxa"/>
              <w:right w:w="108" w:type="dxa"/>
            </w:tcMar>
            <w:vAlign w:val="center"/>
            <w:hideMark/>
          </w:tcPr>
          <w:p w14:paraId="1064D450"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lastRenderedPageBreak/>
              <w:t>Indicators of the measure</w:t>
            </w:r>
          </w:p>
        </w:tc>
        <w:tc>
          <w:tcPr>
            <w:tcW w:w="1159" w:type="pct"/>
            <w:shd w:val="clear" w:color="auto" w:fill="D9D9D9"/>
            <w:tcMar>
              <w:top w:w="0" w:type="dxa"/>
              <w:left w:w="108" w:type="dxa"/>
              <w:bottom w:w="0" w:type="dxa"/>
              <w:right w:w="108" w:type="dxa"/>
            </w:tcMar>
            <w:vAlign w:val="center"/>
            <w:hideMark/>
          </w:tcPr>
          <w:p w14:paraId="0731C08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1AB3CF1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4B575E24" w14:textId="77777777" w:rsidTr="00B6017F">
        <w:trPr>
          <w:trHeight w:val="287"/>
        </w:trPr>
        <w:tc>
          <w:tcPr>
            <w:tcW w:w="761" w:type="pct"/>
            <w:vMerge/>
            <w:shd w:val="clear" w:color="auto" w:fill="D9D9D9"/>
            <w:vAlign w:val="center"/>
          </w:tcPr>
          <w:p w14:paraId="24A1B2B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6A52D46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6AB41CC"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Efficiency in implementation of the Law on Chemicals</w:t>
            </w:r>
          </w:p>
        </w:tc>
        <w:tc>
          <w:tcPr>
            <w:tcW w:w="1159" w:type="pct"/>
            <w:shd w:val="clear" w:color="auto" w:fill="FFFFFF"/>
            <w:tcMar>
              <w:top w:w="0" w:type="dxa"/>
              <w:left w:w="108" w:type="dxa"/>
              <w:bottom w:w="0" w:type="dxa"/>
              <w:right w:w="108" w:type="dxa"/>
            </w:tcMar>
            <w:vAlign w:val="center"/>
          </w:tcPr>
          <w:p w14:paraId="7307E26F" w14:textId="652FEC8F" w:rsidR="00D51392" w:rsidRPr="007C4D65" w:rsidRDefault="00D51392" w:rsidP="00B6017F">
            <w:pPr>
              <w:spacing w:before="40" w:after="40" w:line="276" w:lineRule="auto"/>
              <w:rPr>
                <w:rFonts w:asciiTheme="minorHAnsi" w:eastAsia="Calibri" w:hAnsiTheme="minorHAnsi" w:cstheme="minorHAnsi"/>
                <w:sz w:val="18"/>
                <w:szCs w:val="18"/>
              </w:rPr>
            </w:pPr>
            <w:r w:rsidRPr="007C4D65">
              <w:rPr>
                <w:rFonts w:asciiTheme="minorHAnsi" w:hAnsiTheme="minorHAnsi"/>
                <w:sz w:val="18"/>
                <w:szCs w:val="18"/>
              </w:rPr>
              <w:t xml:space="preserve">Chemical safety strategy has not been developed or </w:t>
            </w:r>
            <w:proofErr w:type="gramStart"/>
            <w:r w:rsidRPr="007C4D65">
              <w:rPr>
                <w:rFonts w:asciiTheme="minorHAnsi" w:hAnsiTheme="minorHAnsi"/>
                <w:sz w:val="18"/>
                <w:szCs w:val="18"/>
              </w:rPr>
              <w:t>adopted .</w:t>
            </w:r>
            <w:proofErr w:type="gramEnd"/>
            <w:r w:rsidRPr="007C4D65">
              <w:rPr>
                <w:rFonts w:asciiTheme="minorHAnsi" w:hAnsiTheme="minorHAnsi"/>
                <w:sz w:val="18"/>
                <w:szCs w:val="18"/>
              </w:rPr>
              <w:t xml:space="preserve"> There is no </w:t>
            </w:r>
            <w:r w:rsidRPr="007C4D65">
              <w:rPr>
                <w:rFonts w:asciiTheme="minorHAnsi" w:hAnsiTheme="minorHAnsi"/>
                <w:sz w:val="18"/>
                <w:szCs w:val="18"/>
              </w:rPr>
              <w:lastRenderedPageBreak/>
              <w:t xml:space="preserve">developed system of inventorying chemicals, and there is no registration of importers of chemicals. Secondary legislation (bylaw) that ensures fair trade with chemicals for commercial entities from the Federation of </w:t>
            </w:r>
            <w:proofErr w:type="gramStart"/>
            <w:r w:rsidRPr="007C4D65">
              <w:rPr>
                <w:rFonts w:asciiTheme="minorHAnsi" w:hAnsiTheme="minorHAnsi"/>
                <w:sz w:val="18"/>
                <w:szCs w:val="18"/>
              </w:rPr>
              <w:t>BiH  in</w:t>
            </w:r>
            <w:proofErr w:type="gramEnd"/>
            <w:r w:rsidRPr="007C4D65">
              <w:rPr>
                <w:rFonts w:asciiTheme="minorHAnsi" w:hAnsiTheme="minorHAnsi"/>
                <w:sz w:val="18"/>
                <w:szCs w:val="18"/>
              </w:rPr>
              <w:t xml:space="preserve"> the whole BiH has not yet been adopted</w:t>
            </w:r>
          </w:p>
          <w:p w14:paraId="1086A66D" w14:textId="7A9305F5" w:rsidR="00D51392" w:rsidRPr="007C4D65" w:rsidRDefault="00D51392" w:rsidP="00B6017F">
            <w:pPr>
              <w:spacing w:before="40" w:after="40" w:line="276" w:lineRule="auto"/>
              <w:rPr>
                <w:rFonts w:asciiTheme="minorHAnsi" w:eastAsia="Calibri" w:hAnsiTheme="minorHAnsi" w:cstheme="minorHAnsi"/>
                <w:sz w:val="18"/>
                <w:szCs w:val="18"/>
              </w:rPr>
            </w:pPr>
            <w:r w:rsidRPr="007C4D65">
              <w:rPr>
                <w:rFonts w:asciiTheme="minorHAnsi" w:hAnsiTheme="minorHAnsi"/>
                <w:sz w:val="18"/>
                <w:szCs w:val="18"/>
              </w:rPr>
              <w:t xml:space="preserve">There is no established inspection oversight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chemical management</w:t>
            </w:r>
          </w:p>
          <w:p w14:paraId="18AB5EDE" w14:textId="0D281460"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Training plan and programme for advisors for chemicals is not prescribed. Conditions for performance of job of advisors for chemicals have not been specified</w:t>
            </w:r>
          </w:p>
        </w:tc>
        <w:tc>
          <w:tcPr>
            <w:tcW w:w="1159" w:type="pct"/>
            <w:shd w:val="clear" w:color="auto" w:fill="FFFFFF"/>
            <w:vAlign w:val="center"/>
          </w:tcPr>
          <w:p w14:paraId="01633821" w14:textId="77777777" w:rsidR="00D51392" w:rsidRPr="007C4D65" w:rsidRDefault="00D51392" w:rsidP="00D51392">
            <w:pPr>
              <w:pStyle w:val="ListParagraph"/>
              <w:numPr>
                <w:ilvl w:val="0"/>
                <w:numId w:val="33"/>
              </w:numPr>
              <w:spacing w:before="40" w:after="40" w:line="276" w:lineRule="auto"/>
              <w:ind w:left="211" w:hanging="142"/>
              <w:rPr>
                <w:rFonts w:asciiTheme="minorHAnsi" w:hAnsiTheme="minorHAnsi" w:cstheme="minorHAnsi"/>
                <w:sz w:val="18"/>
                <w:szCs w:val="18"/>
              </w:rPr>
            </w:pPr>
            <w:r w:rsidRPr="007C4D65">
              <w:rPr>
                <w:rFonts w:asciiTheme="minorHAnsi" w:hAnsiTheme="minorHAnsi"/>
                <w:sz w:val="18"/>
                <w:szCs w:val="18"/>
              </w:rPr>
              <w:lastRenderedPageBreak/>
              <w:t xml:space="preserve">Development and adoption of chemical safety strategy </w:t>
            </w:r>
          </w:p>
          <w:p w14:paraId="566CF66B" w14:textId="77777777" w:rsidR="00D51392" w:rsidRPr="007C4D65" w:rsidRDefault="00D51392" w:rsidP="00D51392">
            <w:pPr>
              <w:pStyle w:val="ListParagraph"/>
              <w:numPr>
                <w:ilvl w:val="0"/>
                <w:numId w:val="33"/>
              </w:numPr>
              <w:spacing w:before="40" w:after="40" w:line="276" w:lineRule="auto"/>
              <w:ind w:left="211" w:hanging="142"/>
              <w:rPr>
                <w:rFonts w:asciiTheme="minorHAnsi" w:hAnsiTheme="minorHAnsi" w:cstheme="minorHAnsi"/>
                <w:sz w:val="18"/>
                <w:szCs w:val="18"/>
              </w:rPr>
            </w:pPr>
            <w:r w:rsidRPr="007C4D65">
              <w:rPr>
                <w:rFonts w:asciiTheme="minorHAnsi" w:hAnsiTheme="minorHAnsi"/>
                <w:sz w:val="18"/>
                <w:szCs w:val="18"/>
              </w:rPr>
              <w:lastRenderedPageBreak/>
              <w:t>Established system of registration of chemicals, evaluation, and issuing approvals</w:t>
            </w:r>
          </w:p>
          <w:p w14:paraId="2D365C10" w14:textId="77777777" w:rsidR="00D51392" w:rsidRPr="007C4D65" w:rsidRDefault="00D51392" w:rsidP="00D51392">
            <w:pPr>
              <w:pStyle w:val="ListParagraph"/>
              <w:numPr>
                <w:ilvl w:val="0"/>
                <w:numId w:val="33"/>
              </w:numPr>
              <w:spacing w:before="40" w:after="40" w:line="276" w:lineRule="auto"/>
              <w:ind w:left="211" w:hanging="142"/>
              <w:rPr>
                <w:rFonts w:asciiTheme="minorHAnsi" w:hAnsiTheme="minorHAnsi" w:cstheme="minorHAnsi"/>
                <w:sz w:val="18"/>
                <w:szCs w:val="18"/>
              </w:rPr>
            </w:pPr>
            <w:r w:rsidRPr="007C4D65">
              <w:rPr>
                <w:rFonts w:asciiTheme="minorHAnsi" w:hAnsiTheme="minorHAnsi"/>
                <w:sz w:val="18"/>
                <w:szCs w:val="18"/>
              </w:rPr>
              <w:t>Developed and regularly updated Inventory of Chemicals</w:t>
            </w:r>
          </w:p>
          <w:p w14:paraId="1976940D" w14:textId="77777777" w:rsidR="00D51392" w:rsidRPr="007C4D65" w:rsidRDefault="00D51392" w:rsidP="00D51392">
            <w:pPr>
              <w:pStyle w:val="ListParagraph"/>
              <w:numPr>
                <w:ilvl w:val="0"/>
                <w:numId w:val="33"/>
              </w:numPr>
              <w:spacing w:before="40" w:after="40" w:line="276" w:lineRule="auto"/>
              <w:ind w:left="211" w:hanging="142"/>
              <w:rPr>
                <w:rFonts w:asciiTheme="minorHAnsi" w:hAnsiTheme="minorHAnsi" w:cstheme="minorHAnsi"/>
                <w:sz w:val="18"/>
                <w:szCs w:val="18"/>
              </w:rPr>
            </w:pPr>
            <w:r w:rsidRPr="007C4D65">
              <w:rPr>
                <w:rFonts w:asciiTheme="minorHAnsi" w:hAnsiTheme="minorHAnsi"/>
                <w:sz w:val="18"/>
                <w:szCs w:val="18"/>
              </w:rPr>
              <w:t>Developed and regularly updated Registry of Producers and Importers of chemicals</w:t>
            </w:r>
          </w:p>
          <w:p w14:paraId="14B05270" w14:textId="50B31D64" w:rsidR="00D51392" w:rsidRPr="007C4D65" w:rsidRDefault="00D51392" w:rsidP="003A3EA2">
            <w:pPr>
              <w:pStyle w:val="ListParagraph"/>
              <w:numPr>
                <w:ilvl w:val="0"/>
                <w:numId w:val="33"/>
              </w:numPr>
              <w:spacing w:before="40" w:after="40" w:line="276" w:lineRule="auto"/>
              <w:ind w:left="211" w:hanging="142"/>
              <w:rPr>
                <w:rFonts w:asciiTheme="minorHAnsi" w:hAnsiTheme="minorHAnsi" w:cstheme="minorHAnsi"/>
                <w:sz w:val="18"/>
                <w:szCs w:val="18"/>
              </w:rPr>
            </w:pPr>
            <w:r w:rsidRPr="007C4D65">
              <w:rPr>
                <w:rFonts w:asciiTheme="minorHAnsi" w:hAnsiTheme="minorHAnsi"/>
                <w:sz w:val="18"/>
                <w:szCs w:val="18"/>
              </w:rPr>
              <w:t>Developed training plan and programme for the advisors for chemical and their continuous education</w:t>
            </w:r>
            <w:r w:rsidR="003A3EA2" w:rsidRPr="007C4D65">
              <w:rPr>
                <w:rFonts w:asciiTheme="minorHAnsi" w:hAnsiTheme="minorHAnsi"/>
                <w:sz w:val="18"/>
                <w:szCs w:val="18"/>
              </w:rPr>
              <w:t xml:space="preserve"> </w:t>
            </w:r>
            <w:r w:rsidRPr="007C4D65">
              <w:rPr>
                <w:rFonts w:asciiTheme="minorHAnsi" w:hAnsiTheme="minorHAnsi"/>
                <w:sz w:val="18"/>
                <w:szCs w:val="18"/>
              </w:rPr>
              <w:t>(2024)</w:t>
            </w:r>
          </w:p>
        </w:tc>
      </w:tr>
      <w:tr w:rsidR="00D51392" w:rsidRPr="007C4D65" w14:paraId="4B338C44" w14:textId="77777777" w:rsidTr="00B6017F">
        <w:trPr>
          <w:trHeight w:val="287"/>
        </w:trPr>
        <w:tc>
          <w:tcPr>
            <w:tcW w:w="761" w:type="pct"/>
            <w:vMerge/>
            <w:shd w:val="clear" w:color="auto" w:fill="D9D9D9"/>
            <w:vAlign w:val="center"/>
          </w:tcPr>
          <w:p w14:paraId="71C3618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6F8202D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9B4AB61"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Efficiency in implementation of the Law on Biocides</w:t>
            </w:r>
          </w:p>
        </w:tc>
        <w:tc>
          <w:tcPr>
            <w:tcW w:w="1159" w:type="pct"/>
            <w:shd w:val="clear" w:color="auto" w:fill="FFFFFF"/>
            <w:tcMar>
              <w:top w:w="0" w:type="dxa"/>
              <w:left w:w="108" w:type="dxa"/>
              <w:bottom w:w="0" w:type="dxa"/>
              <w:right w:w="108" w:type="dxa"/>
            </w:tcMar>
            <w:vAlign w:val="center"/>
          </w:tcPr>
          <w:p w14:paraId="531F9303" w14:textId="027B730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Law on Biocides has not been </w:t>
            </w:r>
            <w:proofErr w:type="gramStart"/>
            <w:r w:rsidRPr="007C4D65">
              <w:rPr>
                <w:rFonts w:asciiTheme="minorHAnsi" w:hAnsiTheme="minorHAnsi"/>
                <w:sz w:val="18"/>
                <w:szCs w:val="18"/>
              </w:rPr>
              <w:t>developed .It</w:t>
            </w:r>
            <w:proofErr w:type="gramEnd"/>
            <w:r w:rsidRPr="007C4D65">
              <w:rPr>
                <w:rFonts w:asciiTheme="minorHAnsi" w:hAnsiTheme="minorHAnsi"/>
                <w:sz w:val="18"/>
                <w:szCs w:val="18"/>
              </w:rPr>
              <w:t xml:space="preserve"> is expected that the content of the Law would be harmonised with the law that is in force in </w:t>
            </w:r>
            <w:proofErr w:type="spellStart"/>
            <w:r w:rsidRPr="007C4D65">
              <w:rPr>
                <w:rFonts w:asciiTheme="minorHAnsi" w:hAnsiTheme="minorHAnsi"/>
                <w:sz w:val="18"/>
                <w:szCs w:val="18"/>
              </w:rPr>
              <w:t>Republika</w:t>
            </w:r>
            <w:proofErr w:type="spellEnd"/>
            <w:r w:rsidRPr="007C4D65">
              <w:rPr>
                <w:rFonts w:asciiTheme="minorHAnsi" w:hAnsiTheme="minorHAnsi"/>
                <w:sz w:val="18"/>
                <w:szCs w:val="18"/>
              </w:rPr>
              <w:t xml:space="preserve"> Srpska, and its effective implementation would require an inventory of biocidal products and registry of biocide producers and importers</w:t>
            </w:r>
          </w:p>
        </w:tc>
        <w:tc>
          <w:tcPr>
            <w:tcW w:w="1159" w:type="pct"/>
            <w:shd w:val="clear" w:color="auto" w:fill="FFFFFF"/>
            <w:vAlign w:val="center"/>
          </w:tcPr>
          <w:p w14:paraId="7D57ADB5" w14:textId="77777777" w:rsidR="00D51392" w:rsidRPr="007C4D65" w:rsidRDefault="00D51392">
            <w:pPr>
              <w:pStyle w:val="ListParagraph"/>
              <w:numPr>
                <w:ilvl w:val="0"/>
                <w:numId w:val="210"/>
              </w:numPr>
              <w:spacing w:before="40" w:after="40" w:line="276" w:lineRule="auto"/>
              <w:ind w:left="353" w:hanging="284"/>
              <w:rPr>
                <w:rFonts w:asciiTheme="minorHAnsi" w:hAnsiTheme="minorHAnsi" w:cstheme="minorHAnsi"/>
                <w:sz w:val="18"/>
                <w:szCs w:val="18"/>
              </w:rPr>
            </w:pPr>
            <w:r w:rsidRPr="007C4D65">
              <w:rPr>
                <w:rFonts w:asciiTheme="minorHAnsi" w:hAnsiTheme="minorHAnsi"/>
                <w:sz w:val="18"/>
                <w:szCs w:val="18"/>
              </w:rPr>
              <w:t>Established system of registration of biocidal products, evaluation of applications and issuing approvals</w:t>
            </w:r>
          </w:p>
          <w:p w14:paraId="27AFEDDE" w14:textId="77777777" w:rsidR="00D51392" w:rsidRPr="007C4D65" w:rsidRDefault="00D51392">
            <w:pPr>
              <w:pStyle w:val="ListParagraph"/>
              <w:numPr>
                <w:ilvl w:val="0"/>
                <w:numId w:val="210"/>
              </w:numPr>
              <w:spacing w:before="40" w:after="40" w:line="276" w:lineRule="auto"/>
              <w:ind w:left="353" w:hanging="284"/>
              <w:rPr>
                <w:rFonts w:asciiTheme="minorHAnsi" w:hAnsiTheme="minorHAnsi" w:cstheme="minorHAnsi"/>
                <w:sz w:val="18"/>
                <w:szCs w:val="18"/>
              </w:rPr>
            </w:pPr>
            <w:r w:rsidRPr="007C4D65">
              <w:rPr>
                <w:rFonts w:asciiTheme="minorHAnsi" w:hAnsiTheme="minorHAnsi"/>
                <w:sz w:val="18"/>
                <w:szCs w:val="18"/>
              </w:rPr>
              <w:t>Developed and regularly updated Inventory of Biocides</w:t>
            </w:r>
          </w:p>
          <w:p w14:paraId="30E48E4A" w14:textId="5CEDA1AA" w:rsidR="00D51392" w:rsidRPr="007C4D65" w:rsidRDefault="00D51392" w:rsidP="003A3EA2">
            <w:pPr>
              <w:pStyle w:val="ListParagraph"/>
              <w:numPr>
                <w:ilvl w:val="0"/>
                <w:numId w:val="210"/>
              </w:numPr>
              <w:spacing w:before="40" w:after="40" w:line="276" w:lineRule="auto"/>
              <w:ind w:left="353" w:hanging="284"/>
              <w:rPr>
                <w:rFonts w:asciiTheme="minorHAnsi" w:hAnsiTheme="minorHAnsi" w:cstheme="minorHAnsi"/>
                <w:sz w:val="18"/>
                <w:szCs w:val="18"/>
              </w:rPr>
            </w:pPr>
            <w:r w:rsidRPr="007C4D65">
              <w:rPr>
                <w:rFonts w:asciiTheme="minorHAnsi" w:hAnsiTheme="minorHAnsi"/>
                <w:sz w:val="18"/>
                <w:szCs w:val="18"/>
              </w:rPr>
              <w:t>Developed and regularly updated Registry of Producers and Importers of biocides</w:t>
            </w:r>
            <w:r w:rsidR="003A3EA2" w:rsidRPr="007C4D65">
              <w:rPr>
                <w:rFonts w:asciiTheme="minorHAnsi" w:hAnsiTheme="minorHAnsi"/>
                <w:sz w:val="18"/>
                <w:szCs w:val="18"/>
              </w:rPr>
              <w:t xml:space="preserve"> </w:t>
            </w:r>
            <w:r w:rsidRPr="007C4D65">
              <w:rPr>
                <w:rFonts w:asciiTheme="minorHAnsi" w:hAnsiTheme="minorHAnsi"/>
                <w:sz w:val="18"/>
                <w:szCs w:val="18"/>
              </w:rPr>
              <w:t>(2026)</w:t>
            </w:r>
          </w:p>
        </w:tc>
      </w:tr>
      <w:tr w:rsidR="00D51392" w:rsidRPr="007C4D65" w14:paraId="3BFADF86" w14:textId="77777777" w:rsidTr="00B6017F">
        <w:trPr>
          <w:trHeight w:val="287"/>
        </w:trPr>
        <w:tc>
          <w:tcPr>
            <w:tcW w:w="761" w:type="pct"/>
            <w:vMerge/>
            <w:shd w:val="clear" w:color="auto" w:fill="D9D9D9"/>
            <w:vAlign w:val="center"/>
          </w:tcPr>
          <w:p w14:paraId="1398EF50"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6D21850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9F99438"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Status of establishing </w:t>
            </w:r>
            <w:r w:rsidRPr="007C4D65">
              <w:rPr>
                <w:rFonts w:asciiTheme="minorHAnsi" w:hAnsiTheme="minorHAnsi"/>
                <w:i/>
                <w:iCs/>
                <w:sz w:val="18"/>
                <w:szCs w:val="18"/>
              </w:rPr>
              <w:t>help desk</w:t>
            </w:r>
            <w:r w:rsidRPr="007C4D65">
              <w:rPr>
                <w:rFonts w:asciiTheme="minorHAnsi" w:hAnsiTheme="minorHAnsi"/>
                <w:sz w:val="18"/>
                <w:szCs w:val="18"/>
              </w:rPr>
              <w:t xml:space="preserve"> or contact person/institution for helping businesses to meet legal basis to report chemicals</w:t>
            </w:r>
          </w:p>
        </w:tc>
        <w:tc>
          <w:tcPr>
            <w:tcW w:w="1159" w:type="pct"/>
            <w:shd w:val="clear" w:color="auto" w:fill="FFFFFF"/>
            <w:tcMar>
              <w:top w:w="0" w:type="dxa"/>
              <w:left w:w="108" w:type="dxa"/>
              <w:bottom w:w="0" w:type="dxa"/>
              <w:right w:w="108" w:type="dxa"/>
            </w:tcMar>
            <w:vAlign w:val="center"/>
          </w:tcPr>
          <w:p w14:paraId="36B7FC30" w14:textId="235FCC2E"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The </w:t>
            </w:r>
            <w:proofErr w:type="gramStart"/>
            <w:r w:rsidRPr="007C4D65">
              <w:rPr>
                <w:rFonts w:asciiTheme="minorHAnsi" w:hAnsiTheme="minorHAnsi"/>
                <w:sz w:val="18"/>
                <w:szCs w:val="18"/>
              </w:rPr>
              <w:t>help-desk</w:t>
            </w:r>
            <w:proofErr w:type="gramEnd"/>
            <w:r w:rsidRPr="007C4D65">
              <w:rPr>
                <w:rFonts w:asciiTheme="minorHAnsi" w:hAnsiTheme="minorHAnsi"/>
                <w:sz w:val="18"/>
                <w:szCs w:val="18"/>
              </w:rPr>
              <w:t xml:space="preserve"> i.e. contact number and e-mail the business entities may call when they need help to meet legal obligation of reporting the chemical has not been established</w:t>
            </w:r>
          </w:p>
        </w:tc>
        <w:tc>
          <w:tcPr>
            <w:tcW w:w="1159" w:type="pct"/>
            <w:shd w:val="clear" w:color="auto" w:fill="FFFFFF"/>
            <w:vAlign w:val="center"/>
          </w:tcPr>
          <w:p w14:paraId="4B52A117" w14:textId="77777777" w:rsidR="00D51392" w:rsidRPr="007C4D65" w:rsidRDefault="00D51392" w:rsidP="00B6017F">
            <w:pPr>
              <w:spacing w:before="40" w:after="40" w:line="276" w:lineRule="auto"/>
              <w:ind w:left="69"/>
              <w:rPr>
                <w:rFonts w:asciiTheme="minorHAnsi" w:eastAsia="Calibri" w:hAnsiTheme="minorHAnsi" w:cstheme="minorHAnsi"/>
                <w:sz w:val="18"/>
                <w:szCs w:val="18"/>
              </w:rPr>
            </w:pPr>
            <w:r w:rsidRPr="007C4D65">
              <w:rPr>
                <w:rFonts w:asciiTheme="minorHAnsi" w:hAnsiTheme="minorHAnsi"/>
                <w:sz w:val="18"/>
                <w:szCs w:val="18"/>
              </w:rPr>
              <w:t xml:space="preserve">Establishing the </w:t>
            </w:r>
            <w:proofErr w:type="gramStart"/>
            <w:r w:rsidRPr="007C4D65">
              <w:rPr>
                <w:rFonts w:asciiTheme="minorHAnsi" w:hAnsiTheme="minorHAnsi"/>
                <w:sz w:val="18"/>
                <w:szCs w:val="18"/>
              </w:rPr>
              <w:t>help-desk</w:t>
            </w:r>
            <w:proofErr w:type="gramEnd"/>
            <w:r w:rsidRPr="007C4D65">
              <w:rPr>
                <w:rFonts w:asciiTheme="minorHAnsi" w:hAnsiTheme="minorHAnsi"/>
                <w:sz w:val="18"/>
                <w:szCs w:val="18"/>
              </w:rPr>
              <w:t xml:space="preserve"> for helping businesses meet their legal obligation to report chemicals (2023)</w:t>
            </w:r>
          </w:p>
        </w:tc>
      </w:tr>
      <w:tr w:rsidR="00D51392" w:rsidRPr="007C4D65" w14:paraId="6FEDDC06" w14:textId="77777777" w:rsidTr="00B6017F">
        <w:trPr>
          <w:trHeight w:val="287"/>
        </w:trPr>
        <w:tc>
          <w:tcPr>
            <w:tcW w:w="761" w:type="pct"/>
            <w:vMerge/>
            <w:shd w:val="clear" w:color="auto" w:fill="D9D9D9"/>
            <w:vAlign w:val="center"/>
          </w:tcPr>
          <w:p w14:paraId="225DEE4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088BB28E"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24D9600" w14:textId="2D28B6E3"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Systematic inventory of chemicals and biocides</w:t>
            </w:r>
          </w:p>
        </w:tc>
        <w:tc>
          <w:tcPr>
            <w:tcW w:w="1159" w:type="pct"/>
            <w:shd w:val="clear" w:color="auto" w:fill="FFFFFF"/>
            <w:tcMar>
              <w:top w:w="0" w:type="dxa"/>
              <w:left w:w="108" w:type="dxa"/>
              <w:bottom w:w="0" w:type="dxa"/>
              <w:right w:w="108" w:type="dxa"/>
            </w:tcMar>
            <w:vAlign w:val="center"/>
          </w:tcPr>
          <w:p w14:paraId="2580627B" w14:textId="0DFCE275"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There is no adopted information tool that would enable simple entry of new data and regular updating of inventory of chemicals and biocides</w:t>
            </w:r>
          </w:p>
        </w:tc>
        <w:tc>
          <w:tcPr>
            <w:tcW w:w="1159" w:type="pct"/>
            <w:shd w:val="clear" w:color="auto" w:fill="FFFFFF"/>
            <w:vAlign w:val="center"/>
          </w:tcPr>
          <w:p w14:paraId="494ED27D" w14:textId="77777777" w:rsidR="00D51392" w:rsidRPr="007C4D65" w:rsidRDefault="00D51392" w:rsidP="00B6017F">
            <w:pPr>
              <w:spacing w:before="40" w:after="40" w:line="276" w:lineRule="auto"/>
              <w:ind w:left="69"/>
              <w:rPr>
                <w:rFonts w:asciiTheme="minorHAnsi" w:eastAsia="Calibri" w:hAnsiTheme="minorHAnsi" w:cstheme="minorHAnsi"/>
                <w:sz w:val="18"/>
                <w:szCs w:val="18"/>
              </w:rPr>
            </w:pPr>
            <w:r w:rsidRPr="007C4D65">
              <w:rPr>
                <w:rFonts w:asciiTheme="minorHAnsi" w:hAnsiTheme="minorHAnsi"/>
                <w:sz w:val="18"/>
                <w:szCs w:val="18"/>
              </w:rPr>
              <w:t>Established IT tool for effective maintenance of chemicals inventory and the list of biocides that will allow for statistical processing of data</w:t>
            </w:r>
          </w:p>
        </w:tc>
      </w:tr>
      <w:tr w:rsidR="00D51392" w:rsidRPr="007C4D65" w14:paraId="35D66639" w14:textId="77777777" w:rsidTr="00B6017F">
        <w:trPr>
          <w:trHeight w:val="287"/>
        </w:trPr>
        <w:tc>
          <w:tcPr>
            <w:tcW w:w="761" w:type="pct"/>
            <w:vMerge/>
            <w:shd w:val="clear" w:color="auto" w:fill="D9D9D9"/>
            <w:vAlign w:val="center"/>
          </w:tcPr>
          <w:p w14:paraId="131ED17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20574CE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02DFF00"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Efficient control of implementation of legislation in the field of chemical safety</w:t>
            </w:r>
          </w:p>
        </w:tc>
        <w:tc>
          <w:tcPr>
            <w:tcW w:w="1159" w:type="pct"/>
            <w:shd w:val="clear" w:color="auto" w:fill="FFFFFF"/>
            <w:tcMar>
              <w:top w:w="0" w:type="dxa"/>
              <w:left w:w="108" w:type="dxa"/>
              <w:bottom w:w="0" w:type="dxa"/>
              <w:right w:w="108" w:type="dxa"/>
            </w:tcMar>
            <w:vAlign w:val="center"/>
          </w:tcPr>
          <w:p w14:paraId="0F9C8EFA" w14:textId="39885AA0"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Secondary legislation (bylaws) under the Law on Chemicals have not been developed, so there are no conditions in place for inspection oversight. Law and secondary legislation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biocides management have not been established, so there are no conditions in place for inspection oversight</w:t>
            </w:r>
          </w:p>
        </w:tc>
        <w:tc>
          <w:tcPr>
            <w:tcW w:w="1159" w:type="pct"/>
            <w:shd w:val="clear" w:color="auto" w:fill="FFFFFF"/>
            <w:vAlign w:val="center"/>
          </w:tcPr>
          <w:p w14:paraId="0425B67C"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Established inspection oversight and a registry of infringement notices in the field of managing chemicals and biocides (2025)</w:t>
            </w:r>
          </w:p>
        </w:tc>
      </w:tr>
      <w:tr w:rsidR="00D51392" w:rsidRPr="007C4D65" w14:paraId="43A73AEB" w14:textId="77777777" w:rsidTr="00B6017F">
        <w:trPr>
          <w:trHeight w:val="483"/>
        </w:trPr>
        <w:tc>
          <w:tcPr>
            <w:tcW w:w="761" w:type="pct"/>
            <w:vMerge/>
            <w:shd w:val="clear" w:color="auto" w:fill="D9D9D9"/>
            <w:vAlign w:val="center"/>
            <w:hideMark/>
          </w:tcPr>
          <w:p w14:paraId="7D1C74DE"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47BC528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1EB6AB7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60DD6E7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29E4A553"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7E9987F2" w14:textId="77777777" w:rsidTr="00B6017F">
        <w:trPr>
          <w:trHeight w:val="287"/>
        </w:trPr>
        <w:tc>
          <w:tcPr>
            <w:tcW w:w="761" w:type="pct"/>
            <w:vMerge/>
            <w:shd w:val="clear" w:color="auto" w:fill="D9D9D9"/>
            <w:vAlign w:val="center"/>
            <w:hideMark/>
          </w:tcPr>
          <w:p w14:paraId="018C141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75EAFA6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295825C"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0,270</w:t>
            </w:r>
          </w:p>
        </w:tc>
        <w:tc>
          <w:tcPr>
            <w:tcW w:w="1159" w:type="pct"/>
            <w:tcMar>
              <w:top w:w="0" w:type="dxa"/>
              <w:left w:w="108" w:type="dxa"/>
              <w:bottom w:w="0" w:type="dxa"/>
              <w:right w:w="108" w:type="dxa"/>
            </w:tcMar>
            <w:vAlign w:val="center"/>
          </w:tcPr>
          <w:p w14:paraId="4CB6DE4F"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1,08</w:t>
            </w:r>
          </w:p>
        </w:tc>
        <w:tc>
          <w:tcPr>
            <w:tcW w:w="1159" w:type="pct"/>
            <w:tcMar>
              <w:top w:w="0" w:type="dxa"/>
              <w:left w:w="108" w:type="dxa"/>
              <w:bottom w:w="0" w:type="dxa"/>
              <w:right w:w="108" w:type="dxa"/>
            </w:tcMar>
            <w:vAlign w:val="center"/>
          </w:tcPr>
          <w:p w14:paraId="1E7B6334"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1,3</w:t>
            </w:r>
          </w:p>
        </w:tc>
      </w:tr>
      <w:tr w:rsidR="00D51392" w:rsidRPr="007C4D65" w14:paraId="635DB377" w14:textId="77777777" w:rsidTr="00B6017F">
        <w:trPr>
          <w:trHeight w:val="483"/>
        </w:trPr>
        <w:tc>
          <w:tcPr>
            <w:tcW w:w="761" w:type="pct"/>
            <w:vMerge w:val="restart"/>
            <w:shd w:val="clear" w:color="auto" w:fill="D9D9D9"/>
            <w:tcMar>
              <w:top w:w="0" w:type="dxa"/>
              <w:left w:w="108" w:type="dxa"/>
              <w:bottom w:w="0" w:type="dxa"/>
              <w:right w:w="108" w:type="dxa"/>
            </w:tcMar>
            <w:vAlign w:val="center"/>
            <w:hideMark/>
          </w:tcPr>
          <w:p w14:paraId="630148BF"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5.2.2. Measure</w:t>
            </w:r>
          </w:p>
        </w:tc>
        <w:tc>
          <w:tcPr>
            <w:tcW w:w="762" w:type="pct"/>
            <w:vMerge w:val="restart"/>
            <w:tcMar>
              <w:top w:w="0" w:type="dxa"/>
              <w:left w:w="108" w:type="dxa"/>
              <w:bottom w:w="0" w:type="dxa"/>
              <w:right w:w="108" w:type="dxa"/>
            </w:tcMar>
            <w:vAlign w:val="center"/>
          </w:tcPr>
          <w:p w14:paraId="4350AEB7"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High level of implementation of the SAVESO III Directive</w:t>
            </w:r>
          </w:p>
        </w:tc>
        <w:tc>
          <w:tcPr>
            <w:tcW w:w="1159" w:type="pct"/>
            <w:shd w:val="clear" w:color="auto" w:fill="D9D9D9"/>
            <w:tcMar>
              <w:top w:w="0" w:type="dxa"/>
              <w:left w:w="108" w:type="dxa"/>
              <w:bottom w:w="0" w:type="dxa"/>
              <w:right w:w="108" w:type="dxa"/>
            </w:tcMar>
            <w:vAlign w:val="center"/>
            <w:hideMark/>
          </w:tcPr>
          <w:p w14:paraId="094B687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2CF369B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112C163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424CEE9A" w14:textId="77777777" w:rsidTr="00B6017F">
        <w:trPr>
          <w:trHeight w:val="287"/>
        </w:trPr>
        <w:tc>
          <w:tcPr>
            <w:tcW w:w="761" w:type="pct"/>
            <w:vMerge/>
            <w:shd w:val="clear" w:color="auto" w:fill="D9D9D9"/>
            <w:vAlign w:val="center"/>
            <w:hideMark/>
          </w:tcPr>
          <w:p w14:paraId="1CBADAD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476B02B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F53E352" w14:textId="77777777" w:rsidR="00D51392" w:rsidRPr="007C4D65" w:rsidRDefault="00D51392"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sz w:val="18"/>
                <w:szCs w:val="18"/>
              </w:rPr>
              <w:t>Status of establishing the Major Accidents Registry</w:t>
            </w:r>
          </w:p>
        </w:tc>
        <w:tc>
          <w:tcPr>
            <w:tcW w:w="1159" w:type="pct"/>
            <w:shd w:val="clear" w:color="auto" w:fill="FFFFFF"/>
            <w:tcMar>
              <w:top w:w="0" w:type="dxa"/>
              <w:left w:w="108" w:type="dxa"/>
              <w:bottom w:w="0" w:type="dxa"/>
              <w:right w:w="108" w:type="dxa"/>
            </w:tcMar>
            <w:vAlign w:val="center"/>
          </w:tcPr>
          <w:p w14:paraId="0044AD84" w14:textId="3F0987D6"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The Major Accidents Registry has not been developed and made public</w:t>
            </w:r>
          </w:p>
        </w:tc>
        <w:tc>
          <w:tcPr>
            <w:tcW w:w="1159" w:type="pct"/>
            <w:shd w:val="clear" w:color="auto" w:fill="FFFFFF"/>
            <w:vAlign w:val="center"/>
          </w:tcPr>
          <w:p w14:paraId="65C143A5" w14:textId="77777777" w:rsidR="00D51392" w:rsidRPr="007C4D65" w:rsidRDefault="00D51392" w:rsidP="00B6017F">
            <w:pPr>
              <w:spacing w:after="120" w:line="276" w:lineRule="auto"/>
              <w:ind w:left="211" w:hanging="2"/>
              <w:contextualSpacing/>
              <w:rPr>
                <w:rFonts w:asciiTheme="minorHAnsi" w:hAnsiTheme="minorHAnsi" w:cstheme="minorHAnsi"/>
                <w:sz w:val="18"/>
                <w:szCs w:val="18"/>
              </w:rPr>
            </w:pPr>
            <w:r w:rsidRPr="007C4D65">
              <w:rPr>
                <w:rFonts w:asciiTheme="minorHAnsi" w:hAnsiTheme="minorHAnsi"/>
                <w:sz w:val="18"/>
                <w:szCs w:val="18"/>
              </w:rPr>
              <w:t xml:space="preserve">Established Major Accidents Registry </w:t>
            </w:r>
            <w:r w:rsidRPr="007C4D65">
              <w:rPr>
                <w:rFonts w:asciiTheme="minorHAnsi" w:hAnsiTheme="minorHAnsi"/>
                <w:sz w:val="18"/>
                <w:szCs w:val="18"/>
              </w:rPr>
              <w:br/>
              <w:t>(2024)</w:t>
            </w:r>
          </w:p>
        </w:tc>
      </w:tr>
      <w:tr w:rsidR="00D51392" w:rsidRPr="007C4D65" w14:paraId="4FDAAB82" w14:textId="77777777" w:rsidTr="00B6017F">
        <w:trPr>
          <w:trHeight w:val="287"/>
        </w:trPr>
        <w:tc>
          <w:tcPr>
            <w:tcW w:w="761" w:type="pct"/>
            <w:vMerge/>
            <w:shd w:val="clear" w:color="auto" w:fill="D9D9D9"/>
            <w:vAlign w:val="center"/>
          </w:tcPr>
          <w:p w14:paraId="1C6A741F"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3AF58B80"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8F576DA" w14:textId="77777777" w:rsidR="00D51392" w:rsidRPr="007C4D65" w:rsidRDefault="00D51392"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sz w:val="18"/>
                <w:szCs w:val="18"/>
              </w:rPr>
              <w:t>Efficiency of reporting hazardous substances, conditions for storing, and other information required by legislation that implements the SEVESO III Directive</w:t>
            </w:r>
          </w:p>
        </w:tc>
        <w:tc>
          <w:tcPr>
            <w:tcW w:w="1159" w:type="pct"/>
            <w:shd w:val="clear" w:color="auto" w:fill="FFFFFF"/>
            <w:tcMar>
              <w:top w:w="0" w:type="dxa"/>
              <w:left w:w="108" w:type="dxa"/>
              <w:bottom w:w="0" w:type="dxa"/>
              <w:right w:w="108" w:type="dxa"/>
            </w:tcMar>
            <w:vAlign w:val="center"/>
          </w:tcPr>
          <w:p w14:paraId="7BDD82BA" w14:textId="59920BB9" w:rsidR="00D51392" w:rsidRPr="007C4D65" w:rsidRDefault="00D51392" w:rsidP="00B6017F">
            <w:pPr>
              <w:spacing w:after="120" w:line="276" w:lineRule="auto"/>
              <w:ind w:left="2" w:hanging="2"/>
              <w:contextualSpacing/>
              <w:rPr>
                <w:rFonts w:asciiTheme="minorHAnsi" w:eastAsia="Calibri" w:hAnsiTheme="minorHAnsi" w:cstheme="minorHAnsi"/>
                <w:sz w:val="18"/>
                <w:szCs w:val="18"/>
              </w:rPr>
            </w:pPr>
            <w:r w:rsidRPr="007C4D65">
              <w:rPr>
                <w:rFonts w:asciiTheme="minorHAnsi" w:hAnsiTheme="minorHAnsi"/>
                <w:sz w:val="18"/>
                <w:szCs w:val="18"/>
              </w:rPr>
              <w:t>There is no reporting of hazardous substances, warehousing conditions and other information required by legislation related to implementation of the SEVESO III Directive</w:t>
            </w:r>
          </w:p>
        </w:tc>
        <w:tc>
          <w:tcPr>
            <w:tcW w:w="1159" w:type="pct"/>
            <w:shd w:val="clear" w:color="auto" w:fill="FFFFFF"/>
            <w:vAlign w:val="center"/>
          </w:tcPr>
          <w:p w14:paraId="7BED0B62" w14:textId="77777777" w:rsidR="00D51392" w:rsidRPr="007C4D65" w:rsidRDefault="00D51392" w:rsidP="00B6017F">
            <w:pPr>
              <w:spacing w:after="120" w:line="276" w:lineRule="auto"/>
              <w:ind w:left="211" w:hanging="2"/>
              <w:contextualSpacing/>
              <w:rPr>
                <w:rFonts w:asciiTheme="minorHAnsi" w:hAnsiTheme="minorHAnsi" w:cstheme="minorHAnsi"/>
                <w:sz w:val="18"/>
                <w:szCs w:val="18"/>
              </w:rPr>
            </w:pPr>
            <w:r w:rsidRPr="007C4D65">
              <w:rPr>
                <w:rFonts w:asciiTheme="minorHAnsi" w:hAnsiTheme="minorHAnsi"/>
                <w:sz w:val="18"/>
                <w:szCs w:val="18"/>
              </w:rPr>
              <w:t>Reported hazardous substances, warehousing conditions and other information required by legislation related to implementation of the SEVESO III Directive (2026)</w:t>
            </w:r>
          </w:p>
        </w:tc>
      </w:tr>
      <w:tr w:rsidR="00D51392" w:rsidRPr="007C4D65" w14:paraId="2E57205D" w14:textId="77777777" w:rsidTr="00B6017F">
        <w:trPr>
          <w:trHeight w:val="483"/>
        </w:trPr>
        <w:tc>
          <w:tcPr>
            <w:tcW w:w="761" w:type="pct"/>
            <w:vMerge/>
            <w:shd w:val="clear" w:color="auto" w:fill="D9D9D9"/>
            <w:vAlign w:val="center"/>
            <w:hideMark/>
          </w:tcPr>
          <w:p w14:paraId="12F26C4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79308F4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56F63697"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3E9932E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16434913"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6C0DA99B" w14:textId="77777777" w:rsidTr="00B6017F">
        <w:trPr>
          <w:trHeight w:val="287"/>
        </w:trPr>
        <w:tc>
          <w:tcPr>
            <w:tcW w:w="761" w:type="pct"/>
            <w:vMerge/>
            <w:shd w:val="clear" w:color="auto" w:fill="D9D9D9"/>
            <w:vAlign w:val="center"/>
            <w:hideMark/>
          </w:tcPr>
          <w:p w14:paraId="5F816E0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0367892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606030D"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0,015</w:t>
            </w:r>
          </w:p>
        </w:tc>
        <w:tc>
          <w:tcPr>
            <w:tcW w:w="1159" w:type="pct"/>
            <w:tcMar>
              <w:top w:w="0" w:type="dxa"/>
              <w:left w:w="108" w:type="dxa"/>
              <w:bottom w:w="0" w:type="dxa"/>
              <w:right w:w="108" w:type="dxa"/>
            </w:tcMar>
            <w:vAlign w:val="center"/>
          </w:tcPr>
          <w:p w14:paraId="1FAFC7B1"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358C8D18"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0,015</w:t>
            </w:r>
          </w:p>
        </w:tc>
      </w:tr>
      <w:tr w:rsidR="00D51392" w:rsidRPr="007C4D65" w14:paraId="69BC7531" w14:textId="77777777" w:rsidTr="00B6017F">
        <w:trPr>
          <w:trHeight w:val="483"/>
        </w:trPr>
        <w:tc>
          <w:tcPr>
            <w:tcW w:w="761" w:type="pct"/>
            <w:vMerge w:val="restart"/>
            <w:shd w:val="clear" w:color="auto" w:fill="D9D9D9"/>
            <w:tcMar>
              <w:top w:w="0" w:type="dxa"/>
              <w:left w:w="108" w:type="dxa"/>
              <w:bottom w:w="0" w:type="dxa"/>
              <w:right w:w="108" w:type="dxa"/>
            </w:tcMar>
            <w:vAlign w:val="center"/>
            <w:hideMark/>
          </w:tcPr>
          <w:p w14:paraId="6330A1FB"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5.2.3. Measure</w:t>
            </w:r>
          </w:p>
        </w:tc>
        <w:tc>
          <w:tcPr>
            <w:tcW w:w="762" w:type="pct"/>
            <w:vMerge w:val="restart"/>
            <w:tcMar>
              <w:top w:w="0" w:type="dxa"/>
              <w:left w:w="108" w:type="dxa"/>
              <w:bottom w:w="0" w:type="dxa"/>
              <w:right w:w="108" w:type="dxa"/>
            </w:tcMar>
            <w:vAlign w:val="center"/>
          </w:tcPr>
          <w:p w14:paraId="5BC311FE" w14:textId="180B2A63"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Established systems of reporting on the matter of registration of cooling equipment and HVAC equipment services shops in accordance with the EU acquis in the field of ozone depleting substances, and of training the </w:t>
            </w:r>
            <w:r w:rsidR="004B4EEC" w:rsidRPr="007C4D65">
              <w:rPr>
                <w:rFonts w:asciiTheme="minorHAnsi" w:hAnsiTheme="minorHAnsi"/>
                <w:sz w:val="18"/>
                <w:szCs w:val="18"/>
              </w:rPr>
              <w:t>HVAC equipment</w:t>
            </w:r>
            <w:r w:rsidRPr="007C4D65">
              <w:rPr>
                <w:rFonts w:asciiTheme="minorHAnsi" w:hAnsiTheme="minorHAnsi"/>
                <w:sz w:val="18"/>
                <w:szCs w:val="18"/>
              </w:rPr>
              <w:t xml:space="preserve"> repairers</w:t>
            </w:r>
          </w:p>
        </w:tc>
        <w:tc>
          <w:tcPr>
            <w:tcW w:w="1159" w:type="pct"/>
            <w:shd w:val="clear" w:color="auto" w:fill="D9D9D9"/>
            <w:tcMar>
              <w:top w:w="0" w:type="dxa"/>
              <w:left w:w="108" w:type="dxa"/>
              <w:bottom w:w="0" w:type="dxa"/>
              <w:right w:w="108" w:type="dxa"/>
            </w:tcMar>
            <w:vAlign w:val="center"/>
            <w:hideMark/>
          </w:tcPr>
          <w:p w14:paraId="6596281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4C8E07D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7FD000D2"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4A050911" w14:textId="77777777" w:rsidTr="00B6017F">
        <w:trPr>
          <w:trHeight w:val="287"/>
        </w:trPr>
        <w:tc>
          <w:tcPr>
            <w:tcW w:w="761" w:type="pct"/>
            <w:vMerge/>
            <w:shd w:val="clear" w:color="auto" w:fill="D9D9D9"/>
            <w:vAlign w:val="center"/>
            <w:hideMark/>
          </w:tcPr>
          <w:p w14:paraId="7DE8D135"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67AEDA7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A00A72E" w14:textId="77777777" w:rsidR="00D51392" w:rsidRPr="007C4D65" w:rsidRDefault="00D51392"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sz w:val="18"/>
                <w:szCs w:val="18"/>
              </w:rPr>
              <w:t>Status of the information system for registration of HVAC equipment containing ODS and their substitutes</w:t>
            </w:r>
          </w:p>
        </w:tc>
        <w:tc>
          <w:tcPr>
            <w:tcW w:w="1159" w:type="pct"/>
            <w:shd w:val="clear" w:color="auto" w:fill="FFFFFF"/>
            <w:tcMar>
              <w:top w:w="0" w:type="dxa"/>
              <w:left w:w="108" w:type="dxa"/>
              <w:bottom w:w="0" w:type="dxa"/>
              <w:right w:w="108" w:type="dxa"/>
            </w:tcMar>
            <w:vAlign w:val="center"/>
          </w:tcPr>
          <w:p w14:paraId="461A6B46" w14:textId="7680F604" w:rsidR="00D51392" w:rsidRPr="007C4D65" w:rsidRDefault="00D51392" w:rsidP="00B6017F">
            <w:pPr>
              <w:spacing w:line="276" w:lineRule="auto"/>
              <w:ind w:left="360"/>
              <w:rPr>
                <w:rFonts w:asciiTheme="minorHAnsi" w:hAnsiTheme="minorHAnsi" w:cstheme="minorHAnsi"/>
                <w:sz w:val="18"/>
                <w:szCs w:val="18"/>
              </w:rPr>
            </w:pPr>
            <w:r w:rsidRPr="007C4D65">
              <w:rPr>
                <w:rFonts w:asciiTheme="minorHAnsi" w:hAnsiTheme="minorHAnsi"/>
                <w:sz w:val="18"/>
                <w:szCs w:val="18"/>
              </w:rPr>
              <w:t>There is no information system that would provide for registration of HVAC equipment and servicing shops for HVAC equipment</w:t>
            </w:r>
          </w:p>
        </w:tc>
        <w:tc>
          <w:tcPr>
            <w:tcW w:w="1159" w:type="pct"/>
            <w:shd w:val="clear" w:color="auto" w:fill="FFFFFF"/>
            <w:vAlign w:val="center"/>
          </w:tcPr>
          <w:p w14:paraId="7E9234EB" w14:textId="77777777" w:rsidR="00D51392" w:rsidRPr="007C4D65" w:rsidRDefault="00D51392" w:rsidP="00B6017F">
            <w:pPr>
              <w:spacing w:after="120" w:line="276" w:lineRule="auto"/>
              <w:ind w:left="69" w:hanging="2"/>
              <w:contextualSpacing/>
              <w:rPr>
                <w:rFonts w:asciiTheme="minorHAnsi" w:hAnsiTheme="minorHAnsi" w:cstheme="minorHAnsi"/>
                <w:sz w:val="18"/>
                <w:szCs w:val="18"/>
              </w:rPr>
            </w:pPr>
            <w:r w:rsidRPr="007C4D65">
              <w:rPr>
                <w:rFonts w:asciiTheme="minorHAnsi" w:hAnsiTheme="minorHAnsi"/>
                <w:sz w:val="18"/>
                <w:szCs w:val="18"/>
              </w:rPr>
              <w:t>Established information system for registration of HVAC equipment containing ODS and their substitutes (2024)</w:t>
            </w:r>
          </w:p>
        </w:tc>
      </w:tr>
      <w:tr w:rsidR="00D51392" w:rsidRPr="007C4D65" w14:paraId="4313C373" w14:textId="77777777" w:rsidTr="00B6017F">
        <w:trPr>
          <w:trHeight w:val="287"/>
        </w:trPr>
        <w:tc>
          <w:tcPr>
            <w:tcW w:w="761" w:type="pct"/>
            <w:vMerge/>
            <w:shd w:val="clear" w:color="auto" w:fill="D9D9D9"/>
            <w:vAlign w:val="center"/>
          </w:tcPr>
          <w:p w14:paraId="3E39A805"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44EF8F4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5593B64" w14:textId="52D89917" w:rsidR="00D51392" w:rsidRPr="007C4D65" w:rsidRDefault="00D51392"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sz w:val="18"/>
                <w:szCs w:val="18"/>
              </w:rPr>
              <w:t>Efficiency of registration of service shops and owners of equipment (operators) of cooling and HVAC equipment</w:t>
            </w:r>
          </w:p>
        </w:tc>
        <w:tc>
          <w:tcPr>
            <w:tcW w:w="1159" w:type="pct"/>
            <w:shd w:val="clear" w:color="auto" w:fill="FFFFFF"/>
            <w:tcMar>
              <w:top w:w="0" w:type="dxa"/>
              <w:left w:w="108" w:type="dxa"/>
              <w:bottom w:w="0" w:type="dxa"/>
              <w:right w:w="108" w:type="dxa"/>
            </w:tcMar>
            <w:vAlign w:val="center"/>
          </w:tcPr>
          <w:p w14:paraId="3B482A91" w14:textId="77777777" w:rsidR="00D51392" w:rsidRPr="007C4D65" w:rsidRDefault="00D51392" w:rsidP="00B6017F">
            <w:pPr>
              <w:spacing w:line="276" w:lineRule="auto"/>
              <w:ind w:left="360"/>
              <w:rPr>
                <w:rFonts w:asciiTheme="minorHAnsi" w:hAnsiTheme="minorHAnsi" w:cstheme="minorHAnsi"/>
                <w:sz w:val="18"/>
                <w:szCs w:val="18"/>
              </w:rPr>
            </w:pPr>
            <w:r w:rsidRPr="007C4D65">
              <w:rPr>
                <w:rFonts w:asciiTheme="minorHAnsi" w:hAnsiTheme="minorHAnsi"/>
                <w:sz w:val="18"/>
                <w:szCs w:val="18"/>
              </w:rPr>
              <w:t xml:space="preserve">There is no established registry of service shops and owners of equipment (operators) of cooling and HVAC equipment. According to the preliminary assessment that was done in the framework of the </w:t>
            </w:r>
            <w:r w:rsidRPr="007C4D65">
              <w:rPr>
                <w:rFonts w:asciiTheme="minorHAnsi" w:hAnsiTheme="minorHAnsi"/>
                <w:sz w:val="18"/>
                <w:szCs w:val="18"/>
              </w:rPr>
              <w:lastRenderedPageBreak/>
              <w:t>HFC Outlook model for BiH under a project financed by UNIDO, there are around 67062 devices with over 3 kg cooling medium</w:t>
            </w:r>
          </w:p>
        </w:tc>
        <w:tc>
          <w:tcPr>
            <w:tcW w:w="1159" w:type="pct"/>
            <w:shd w:val="clear" w:color="auto" w:fill="FFFFFF"/>
            <w:vAlign w:val="center"/>
          </w:tcPr>
          <w:p w14:paraId="5A95E234" w14:textId="77777777" w:rsidR="00D51392" w:rsidRPr="007C4D65" w:rsidRDefault="00D51392" w:rsidP="00B6017F">
            <w:pPr>
              <w:spacing w:after="120" w:line="276" w:lineRule="auto"/>
              <w:ind w:left="69" w:hanging="2"/>
              <w:contextualSpacing/>
              <w:rPr>
                <w:rFonts w:asciiTheme="minorHAnsi" w:hAnsiTheme="minorHAnsi" w:cstheme="minorHAnsi"/>
                <w:sz w:val="18"/>
                <w:szCs w:val="18"/>
              </w:rPr>
            </w:pPr>
            <w:r w:rsidRPr="007C4D65">
              <w:rPr>
                <w:rFonts w:asciiTheme="minorHAnsi" w:hAnsiTheme="minorHAnsi"/>
                <w:sz w:val="18"/>
                <w:szCs w:val="18"/>
              </w:rPr>
              <w:lastRenderedPageBreak/>
              <w:t>Completed registration of at least 30% operators/owners of the HVAC devices and 100% of the service/repair shops (2030)</w:t>
            </w:r>
          </w:p>
        </w:tc>
      </w:tr>
      <w:tr w:rsidR="00D51392" w:rsidRPr="007C4D65" w14:paraId="28FAE23D" w14:textId="77777777" w:rsidTr="00B6017F">
        <w:trPr>
          <w:trHeight w:val="287"/>
        </w:trPr>
        <w:tc>
          <w:tcPr>
            <w:tcW w:w="761" w:type="pct"/>
            <w:vMerge/>
            <w:shd w:val="clear" w:color="auto" w:fill="D9D9D9"/>
            <w:vAlign w:val="center"/>
          </w:tcPr>
          <w:p w14:paraId="683DF575"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2BFE6BD0"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A7ACA07" w14:textId="77777777" w:rsidR="00D51392" w:rsidRPr="007C4D65" w:rsidRDefault="00D51392"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sz w:val="18"/>
                <w:szCs w:val="18"/>
              </w:rPr>
              <w:t>Status of a training plan and programme (curriculum) for training repairers of cooling and HVAC equipment</w:t>
            </w:r>
          </w:p>
        </w:tc>
        <w:tc>
          <w:tcPr>
            <w:tcW w:w="1159" w:type="pct"/>
            <w:shd w:val="clear" w:color="auto" w:fill="FFFFFF"/>
            <w:tcMar>
              <w:top w:w="0" w:type="dxa"/>
              <w:left w:w="108" w:type="dxa"/>
              <w:bottom w:w="0" w:type="dxa"/>
              <w:right w:w="108" w:type="dxa"/>
            </w:tcMar>
            <w:vAlign w:val="center"/>
          </w:tcPr>
          <w:p w14:paraId="33A5429D" w14:textId="77777777" w:rsidR="00D51392" w:rsidRPr="007C4D65" w:rsidRDefault="00D51392" w:rsidP="00B6017F">
            <w:pPr>
              <w:spacing w:line="276" w:lineRule="auto"/>
              <w:ind w:left="360"/>
              <w:rPr>
                <w:rFonts w:asciiTheme="minorHAnsi" w:hAnsiTheme="minorHAnsi" w:cstheme="minorHAnsi"/>
                <w:sz w:val="18"/>
                <w:szCs w:val="18"/>
              </w:rPr>
            </w:pPr>
            <w:r w:rsidRPr="007C4D65">
              <w:rPr>
                <w:rFonts w:asciiTheme="minorHAnsi" w:hAnsiTheme="minorHAnsi"/>
                <w:sz w:val="18"/>
                <w:szCs w:val="18"/>
              </w:rPr>
              <w:t>The plan for training repairers does not exist</w:t>
            </w:r>
          </w:p>
        </w:tc>
        <w:tc>
          <w:tcPr>
            <w:tcW w:w="1159" w:type="pct"/>
            <w:shd w:val="clear" w:color="auto" w:fill="FFFFFF"/>
            <w:vAlign w:val="center"/>
          </w:tcPr>
          <w:p w14:paraId="65F9533B" w14:textId="77777777" w:rsidR="00D51392" w:rsidRPr="007C4D65" w:rsidRDefault="00D51392" w:rsidP="00B6017F">
            <w:pPr>
              <w:spacing w:after="120" w:line="276" w:lineRule="auto"/>
              <w:ind w:left="69" w:hanging="2"/>
              <w:contextualSpacing/>
              <w:rPr>
                <w:rFonts w:asciiTheme="minorHAnsi" w:hAnsiTheme="minorHAnsi" w:cstheme="minorHAnsi"/>
                <w:sz w:val="18"/>
                <w:szCs w:val="18"/>
              </w:rPr>
            </w:pPr>
            <w:r w:rsidRPr="007C4D65">
              <w:rPr>
                <w:rFonts w:asciiTheme="minorHAnsi" w:hAnsiTheme="minorHAnsi"/>
                <w:sz w:val="18"/>
                <w:szCs w:val="18"/>
              </w:rPr>
              <w:t>Prepared plan and programme (curriculum) for training repairers of cooling and HVAC equipment (2024)</w:t>
            </w:r>
          </w:p>
        </w:tc>
      </w:tr>
      <w:tr w:rsidR="00D51392" w:rsidRPr="007C4D65" w14:paraId="1230DBA1" w14:textId="77777777" w:rsidTr="00B6017F">
        <w:trPr>
          <w:trHeight w:val="287"/>
        </w:trPr>
        <w:tc>
          <w:tcPr>
            <w:tcW w:w="761" w:type="pct"/>
            <w:vMerge/>
            <w:shd w:val="clear" w:color="auto" w:fill="D9D9D9"/>
            <w:vAlign w:val="center"/>
          </w:tcPr>
          <w:p w14:paraId="3BC615E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39430D4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C61CFEF" w14:textId="77777777" w:rsidR="00D51392" w:rsidRPr="007C4D65" w:rsidRDefault="00D51392"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sz w:val="18"/>
                <w:szCs w:val="18"/>
              </w:rPr>
              <w:t>Status of designation of training centres for training repairers of cooling and HVAC equipment that meet the prescribed criteria</w:t>
            </w:r>
          </w:p>
        </w:tc>
        <w:tc>
          <w:tcPr>
            <w:tcW w:w="1159" w:type="pct"/>
            <w:shd w:val="clear" w:color="auto" w:fill="FFFFFF"/>
            <w:tcMar>
              <w:top w:w="0" w:type="dxa"/>
              <w:left w:w="108" w:type="dxa"/>
              <w:bottom w:w="0" w:type="dxa"/>
              <w:right w:w="108" w:type="dxa"/>
            </w:tcMar>
            <w:vAlign w:val="center"/>
          </w:tcPr>
          <w:p w14:paraId="2F72EDED" w14:textId="77777777" w:rsidR="00D51392" w:rsidRPr="007C4D65" w:rsidRDefault="00D51392" w:rsidP="00B6017F">
            <w:pPr>
              <w:spacing w:after="120" w:line="276" w:lineRule="auto"/>
              <w:ind w:left="2" w:hanging="2"/>
              <w:contextualSpacing/>
              <w:rPr>
                <w:rFonts w:asciiTheme="minorHAnsi" w:eastAsia="Calibri" w:hAnsiTheme="minorHAnsi" w:cstheme="minorHAnsi"/>
                <w:sz w:val="18"/>
                <w:szCs w:val="18"/>
              </w:rPr>
            </w:pPr>
            <w:r w:rsidRPr="007C4D65">
              <w:rPr>
                <w:rFonts w:asciiTheme="minorHAnsi" w:hAnsiTheme="minorHAnsi"/>
                <w:sz w:val="18"/>
                <w:szCs w:val="18"/>
              </w:rPr>
              <w:t xml:space="preserve">Rulebook prescribing criteria the training centres should comply with </w:t>
            </w:r>
          </w:p>
        </w:tc>
        <w:tc>
          <w:tcPr>
            <w:tcW w:w="1159" w:type="pct"/>
            <w:shd w:val="clear" w:color="auto" w:fill="FFFFFF"/>
            <w:vAlign w:val="center"/>
          </w:tcPr>
          <w:p w14:paraId="671E585D" w14:textId="77777777" w:rsidR="00D51392" w:rsidRPr="007C4D65" w:rsidRDefault="00D51392" w:rsidP="00B6017F">
            <w:pPr>
              <w:spacing w:after="120" w:line="276" w:lineRule="auto"/>
              <w:ind w:left="69" w:hanging="2"/>
              <w:contextualSpacing/>
              <w:rPr>
                <w:rFonts w:asciiTheme="minorHAnsi" w:hAnsiTheme="minorHAnsi" w:cstheme="minorHAnsi"/>
                <w:sz w:val="18"/>
                <w:szCs w:val="18"/>
              </w:rPr>
            </w:pPr>
            <w:r w:rsidRPr="007C4D65">
              <w:rPr>
                <w:rFonts w:asciiTheme="minorHAnsi" w:hAnsiTheme="minorHAnsi"/>
                <w:sz w:val="18"/>
                <w:szCs w:val="18"/>
              </w:rPr>
              <w:t>Designating training centres for training repairers of cooling and HVAC equipment that meet the prescribed criteria (2023)</w:t>
            </w:r>
          </w:p>
        </w:tc>
      </w:tr>
      <w:tr w:rsidR="00D51392" w:rsidRPr="007C4D65" w14:paraId="7D286677" w14:textId="77777777" w:rsidTr="00B6017F">
        <w:trPr>
          <w:trHeight w:val="483"/>
        </w:trPr>
        <w:tc>
          <w:tcPr>
            <w:tcW w:w="761" w:type="pct"/>
            <w:vMerge/>
            <w:shd w:val="clear" w:color="auto" w:fill="D9D9D9"/>
            <w:vAlign w:val="center"/>
            <w:hideMark/>
          </w:tcPr>
          <w:p w14:paraId="77665BE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2CE13B8F"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57B6BA1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180DAF5E"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600D66A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1B73819A" w14:textId="77777777" w:rsidTr="00B6017F">
        <w:trPr>
          <w:trHeight w:val="287"/>
        </w:trPr>
        <w:tc>
          <w:tcPr>
            <w:tcW w:w="761" w:type="pct"/>
            <w:vMerge/>
            <w:shd w:val="clear" w:color="auto" w:fill="D9D9D9"/>
            <w:vAlign w:val="center"/>
            <w:hideMark/>
          </w:tcPr>
          <w:p w14:paraId="11EFD3D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389F05F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7B4E8A4"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0,078</w:t>
            </w:r>
          </w:p>
        </w:tc>
        <w:tc>
          <w:tcPr>
            <w:tcW w:w="1159" w:type="pct"/>
            <w:tcMar>
              <w:top w:w="0" w:type="dxa"/>
              <w:left w:w="108" w:type="dxa"/>
              <w:bottom w:w="0" w:type="dxa"/>
              <w:right w:w="108" w:type="dxa"/>
            </w:tcMar>
            <w:vAlign w:val="center"/>
          </w:tcPr>
          <w:p w14:paraId="024DA47D"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w:t>
            </w:r>
          </w:p>
        </w:tc>
        <w:tc>
          <w:tcPr>
            <w:tcW w:w="1159" w:type="pct"/>
            <w:tcMar>
              <w:top w:w="0" w:type="dxa"/>
              <w:left w:w="108" w:type="dxa"/>
              <w:bottom w:w="0" w:type="dxa"/>
              <w:right w:w="108" w:type="dxa"/>
            </w:tcMar>
            <w:vAlign w:val="center"/>
          </w:tcPr>
          <w:p w14:paraId="77ABF8C4"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0,078</w:t>
            </w:r>
          </w:p>
        </w:tc>
      </w:tr>
    </w:tbl>
    <w:p w14:paraId="393FA7DE" w14:textId="77777777" w:rsidR="00D51392" w:rsidRPr="007C4D65" w:rsidRDefault="00D51392" w:rsidP="00D51392">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3"/>
        <w:gridCol w:w="2126"/>
        <w:gridCol w:w="3113"/>
        <w:gridCol w:w="3356"/>
        <w:gridCol w:w="3230"/>
      </w:tblGrid>
      <w:tr w:rsidR="00D51392" w:rsidRPr="007C4D65" w14:paraId="2EB710BB" w14:textId="77777777" w:rsidTr="00B6017F">
        <w:trPr>
          <w:trHeight w:val="384"/>
        </w:trPr>
        <w:tc>
          <w:tcPr>
            <w:tcW w:w="761" w:type="pct"/>
            <w:vMerge w:val="restart"/>
            <w:shd w:val="clear" w:color="auto" w:fill="D9D9D9"/>
            <w:tcMar>
              <w:top w:w="0" w:type="dxa"/>
              <w:left w:w="108" w:type="dxa"/>
              <w:bottom w:w="0" w:type="dxa"/>
              <w:right w:w="108" w:type="dxa"/>
            </w:tcMar>
            <w:vAlign w:val="center"/>
          </w:tcPr>
          <w:p w14:paraId="5A17CEF5"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5.3. Priority</w:t>
            </w:r>
          </w:p>
          <w:p w14:paraId="5E6B68A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restart"/>
            <w:tcMar>
              <w:top w:w="0" w:type="dxa"/>
              <w:left w:w="108" w:type="dxa"/>
              <w:bottom w:w="0" w:type="dxa"/>
              <w:right w:w="108" w:type="dxa"/>
            </w:tcMar>
            <w:vAlign w:val="center"/>
          </w:tcPr>
          <w:p w14:paraId="599A3B09" w14:textId="712BB983" w:rsidR="00D51392" w:rsidRPr="007C4D65" w:rsidRDefault="00436AC8"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t>Efficient work of institutions of the Federation of BiH in the field of chemical safety</w:t>
            </w:r>
          </w:p>
        </w:tc>
        <w:tc>
          <w:tcPr>
            <w:tcW w:w="1116" w:type="pct"/>
            <w:shd w:val="clear" w:color="auto" w:fill="D9D9D9"/>
            <w:tcMar>
              <w:top w:w="0" w:type="dxa"/>
              <w:left w:w="108" w:type="dxa"/>
              <w:bottom w:w="0" w:type="dxa"/>
              <w:right w:w="108" w:type="dxa"/>
            </w:tcMar>
            <w:vAlign w:val="center"/>
          </w:tcPr>
          <w:p w14:paraId="0CD7B1D9" w14:textId="77777777" w:rsidR="00D51392" w:rsidRPr="007C4D65" w:rsidRDefault="00D51392"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203" w:type="pct"/>
            <w:shd w:val="clear" w:color="auto" w:fill="D9D9D9"/>
            <w:tcMar>
              <w:top w:w="0" w:type="dxa"/>
              <w:left w:w="108" w:type="dxa"/>
              <w:bottom w:w="0" w:type="dxa"/>
              <w:right w:w="108" w:type="dxa"/>
            </w:tcMar>
            <w:vAlign w:val="center"/>
          </w:tcPr>
          <w:p w14:paraId="49CE82A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tcPr>
          <w:p w14:paraId="12785DE7"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2E2AD82F" w14:textId="77777777" w:rsidTr="00B6017F">
        <w:trPr>
          <w:trHeight w:val="287"/>
        </w:trPr>
        <w:tc>
          <w:tcPr>
            <w:tcW w:w="761" w:type="pct"/>
            <w:vMerge/>
            <w:shd w:val="clear" w:color="auto" w:fill="D9D9D9"/>
            <w:vAlign w:val="center"/>
            <w:hideMark/>
          </w:tcPr>
          <w:p w14:paraId="4009970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4AF47B4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16" w:type="pct"/>
            <w:tcMar>
              <w:top w:w="0" w:type="dxa"/>
              <w:left w:w="108" w:type="dxa"/>
              <w:bottom w:w="0" w:type="dxa"/>
              <w:right w:w="108" w:type="dxa"/>
            </w:tcMar>
            <w:vAlign w:val="center"/>
          </w:tcPr>
          <w:p w14:paraId="202A3D6B" w14:textId="4C6AE8E5"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Status and adequacy of human and technical capacities of public services in the field of chemical safety</w:t>
            </w:r>
          </w:p>
        </w:tc>
        <w:tc>
          <w:tcPr>
            <w:tcW w:w="1203" w:type="pct"/>
            <w:tcMar>
              <w:top w:w="0" w:type="dxa"/>
              <w:left w:w="108" w:type="dxa"/>
              <w:bottom w:w="0" w:type="dxa"/>
              <w:right w:w="108" w:type="dxa"/>
            </w:tcMar>
            <w:vAlign w:val="center"/>
          </w:tcPr>
          <w:p w14:paraId="0F82F78F" w14:textId="3C757355"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Capacities of institutions having competences for implementation of legislation regarding chemicals management are extremely low. A legal person has not been appointed who would do the poisoning control and who would be competent for implementation of preventative and treatment measures, particularly in emergencies.  There is no </w:t>
            </w:r>
            <w:proofErr w:type="gramStart"/>
            <w:r w:rsidRPr="007C4D65">
              <w:rPr>
                <w:rFonts w:asciiTheme="minorHAnsi" w:hAnsiTheme="minorHAnsi"/>
                <w:sz w:val="18"/>
                <w:szCs w:val="18"/>
              </w:rPr>
              <w:t>help-desk</w:t>
            </w:r>
            <w:proofErr w:type="gramEnd"/>
            <w:r w:rsidRPr="007C4D65">
              <w:rPr>
                <w:rFonts w:asciiTheme="minorHAnsi" w:hAnsiTheme="minorHAnsi"/>
                <w:sz w:val="18"/>
                <w:szCs w:val="18"/>
              </w:rPr>
              <w:t xml:space="preserve"> to provide assistance to businesses when reporting chemicals as is required under the REACH regulation</w:t>
            </w:r>
          </w:p>
        </w:tc>
        <w:tc>
          <w:tcPr>
            <w:tcW w:w="1159" w:type="pct"/>
            <w:tcMar>
              <w:top w:w="0" w:type="dxa"/>
              <w:left w:w="108" w:type="dxa"/>
              <w:bottom w:w="0" w:type="dxa"/>
              <w:right w:w="108" w:type="dxa"/>
            </w:tcMar>
            <w:vAlign w:val="center"/>
          </w:tcPr>
          <w:p w14:paraId="2E5FD994"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Enhanced human and technical capacities and competences of public services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chemicals safety (2026)</w:t>
            </w:r>
          </w:p>
        </w:tc>
      </w:tr>
      <w:tr w:rsidR="00D51392" w:rsidRPr="007C4D65" w14:paraId="3245A429" w14:textId="77777777" w:rsidTr="00B6017F">
        <w:trPr>
          <w:trHeight w:val="287"/>
        </w:trPr>
        <w:tc>
          <w:tcPr>
            <w:tcW w:w="761" w:type="pct"/>
            <w:vMerge/>
            <w:shd w:val="clear" w:color="auto" w:fill="D9D9D9"/>
            <w:vAlign w:val="center"/>
          </w:tcPr>
          <w:p w14:paraId="3CB45F9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6EC4CA0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16" w:type="pct"/>
            <w:tcMar>
              <w:top w:w="0" w:type="dxa"/>
              <w:left w:w="108" w:type="dxa"/>
              <w:bottom w:w="0" w:type="dxa"/>
              <w:right w:w="108" w:type="dxa"/>
            </w:tcMar>
            <w:vAlign w:val="center"/>
          </w:tcPr>
          <w:p w14:paraId="0E8726AB"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Level of cooperation and synergic approach of the competent institutions in the field of environment and health for the purpose of achieving better implementation of legislation on chemical safety</w:t>
            </w:r>
          </w:p>
        </w:tc>
        <w:tc>
          <w:tcPr>
            <w:tcW w:w="1203" w:type="pct"/>
            <w:tcMar>
              <w:top w:w="0" w:type="dxa"/>
              <w:left w:w="108" w:type="dxa"/>
              <w:bottom w:w="0" w:type="dxa"/>
              <w:right w:w="108" w:type="dxa"/>
            </w:tcMar>
            <w:vAlign w:val="center"/>
          </w:tcPr>
          <w:p w14:paraId="71E3238B" w14:textId="00D64B11"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There is no official system of reporting and coordination among inspection services of the entities and the </w:t>
            </w:r>
            <w:r w:rsidR="00295360" w:rsidRPr="007C4D65">
              <w:rPr>
                <w:rFonts w:asciiTheme="minorHAnsi" w:hAnsiTheme="minorHAnsi"/>
                <w:sz w:val="18"/>
                <w:szCs w:val="18"/>
              </w:rPr>
              <w:t>Brcko</w:t>
            </w:r>
            <w:r w:rsidRPr="007C4D65">
              <w:rPr>
                <w:rFonts w:asciiTheme="minorHAnsi" w:hAnsiTheme="minorHAnsi"/>
                <w:sz w:val="18"/>
                <w:szCs w:val="18"/>
              </w:rPr>
              <w:t xml:space="preserve"> District of BiH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chemical safety</w:t>
            </w:r>
          </w:p>
        </w:tc>
        <w:tc>
          <w:tcPr>
            <w:tcW w:w="1159" w:type="pct"/>
            <w:tcMar>
              <w:top w:w="0" w:type="dxa"/>
              <w:left w:w="108" w:type="dxa"/>
              <w:bottom w:w="0" w:type="dxa"/>
              <w:right w:w="108" w:type="dxa"/>
            </w:tcMar>
            <w:vAlign w:val="center"/>
          </w:tcPr>
          <w:p w14:paraId="31D778E5"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High level of cooperation and synergic approach of the competent institutions in the field of environment and health for the purpose of achieving better implementation of legislation on chemical safety (2026)</w:t>
            </w:r>
          </w:p>
        </w:tc>
      </w:tr>
      <w:tr w:rsidR="00D51392" w:rsidRPr="007C4D65" w14:paraId="62959080" w14:textId="77777777" w:rsidTr="00B6017F">
        <w:trPr>
          <w:trHeight w:val="287"/>
        </w:trPr>
        <w:tc>
          <w:tcPr>
            <w:tcW w:w="761" w:type="pct"/>
            <w:vMerge/>
            <w:shd w:val="clear" w:color="auto" w:fill="D9D9D9"/>
            <w:vAlign w:val="center"/>
          </w:tcPr>
          <w:p w14:paraId="34B790D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013D2B3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16" w:type="pct"/>
            <w:tcMar>
              <w:top w:w="0" w:type="dxa"/>
              <w:left w:w="108" w:type="dxa"/>
              <w:bottom w:w="0" w:type="dxa"/>
              <w:right w:w="108" w:type="dxa"/>
            </w:tcMar>
          </w:tcPr>
          <w:p w14:paraId="22AF3738"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Efficiency and reliability of the system for collecting data on poisoning of people due to inadequate us of chemicals and chemical products</w:t>
            </w:r>
          </w:p>
        </w:tc>
        <w:tc>
          <w:tcPr>
            <w:tcW w:w="1203" w:type="pct"/>
            <w:tcMar>
              <w:top w:w="0" w:type="dxa"/>
              <w:left w:w="108" w:type="dxa"/>
              <w:bottom w:w="0" w:type="dxa"/>
              <w:right w:w="108" w:type="dxa"/>
            </w:tcMar>
          </w:tcPr>
          <w:p w14:paraId="36E62434" w14:textId="380A6DB8"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The Yearbook published by the Public Health Institute (PHI) of the Federation of BiH does not register the frequency of diseases or deaths caused by poisoning that is a consequence of inadequate handling of chemical products. However, since 2019, the PHI has had detailed data on poisonings, disaggregated by gender and age groups. Although the system of data collection and processing exists, what is questionable is the procedure of data entry, </w:t>
            </w:r>
            <w:proofErr w:type="gramStart"/>
            <w:r w:rsidRPr="007C4D65">
              <w:rPr>
                <w:rFonts w:asciiTheme="minorHAnsi" w:hAnsiTheme="minorHAnsi"/>
                <w:sz w:val="18"/>
                <w:szCs w:val="18"/>
              </w:rPr>
              <w:t>i.e.</w:t>
            </w:r>
            <w:proofErr w:type="gramEnd"/>
            <w:r w:rsidRPr="007C4D65">
              <w:rPr>
                <w:rFonts w:asciiTheme="minorHAnsi" w:hAnsiTheme="minorHAnsi"/>
                <w:sz w:val="18"/>
                <w:szCs w:val="18"/>
              </w:rPr>
              <w:t xml:space="preserve"> question is whether all public and private health centres diligently report cases of poisoning as there is no clearly prescribed methodology or instructions for reporting</w:t>
            </w:r>
          </w:p>
        </w:tc>
        <w:tc>
          <w:tcPr>
            <w:tcW w:w="1159" w:type="pct"/>
            <w:tcMar>
              <w:top w:w="0" w:type="dxa"/>
              <w:left w:w="108" w:type="dxa"/>
              <w:bottom w:w="0" w:type="dxa"/>
              <w:right w:w="108" w:type="dxa"/>
            </w:tcMar>
          </w:tcPr>
          <w:p w14:paraId="3607C176" w14:textId="031FFB93"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Established effective and reliable method for collecting data on poisoning due to inadequate use of chemicals and chemical products, the results of which will be timely reported in the Health Statistical Yearbook of the Federation of Bosnia and Herzegovina</w:t>
            </w:r>
          </w:p>
        </w:tc>
      </w:tr>
      <w:tr w:rsidR="00D51392" w:rsidRPr="007C4D65" w14:paraId="1472451B" w14:textId="77777777" w:rsidTr="00B6017F">
        <w:trPr>
          <w:trHeight w:val="287"/>
        </w:trPr>
        <w:tc>
          <w:tcPr>
            <w:tcW w:w="761" w:type="pct"/>
            <w:vMerge/>
            <w:shd w:val="clear" w:color="auto" w:fill="D9D9D9"/>
            <w:vAlign w:val="center"/>
            <w:hideMark/>
          </w:tcPr>
          <w:p w14:paraId="1ED5670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7BDE39ED"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16" w:type="pct"/>
            <w:shd w:val="clear" w:color="auto" w:fill="D9D9D9"/>
            <w:tcMar>
              <w:top w:w="0" w:type="dxa"/>
              <w:left w:w="108" w:type="dxa"/>
              <w:bottom w:w="0" w:type="dxa"/>
              <w:right w:w="108" w:type="dxa"/>
            </w:tcMar>
            <w:vAlign w:val="center"/>
          </w:tcPr>
          <w:p w14:paraId="176136C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203" w:type="pct"/>
            <w:shd w:val="clear" w:color="auto" w:fill="D9D9D9"/>
            <w:tcMar>
              <w:top w:w="0" w:type="dxa"/>
              <w:left w:w="108" w:type="dxa"/>
              <w:bottom w:w="0" w:type="dxa"/>
              <w:right w:w="108" w:type="dxa"/>
            </w:tcMar>
            <w:vAlign w:val="center"/>
          </w:tcPr>
          <w:p w14:paraId="077E551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tcPr>
          <w:p w14:paraId="149432E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4024151C" w14:textId="77777777" w:rsidTr="00B6017F">
        <w:trPr>
          <w:trHeight w:val="287"/>
        </w:trPr>
        <w:tc>
          <w:tcPr>
            <w:tcW w:w="761" w:type="pct"/>
            <w:vMerge/>
            <w:shd w:val="clear" w:color="auto" w:fill="D9D9D9"/>
            <w:vAlign w:val="center"/>
          </w:tcPr>
          <w:p w14:paraId="7ED1C73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50D481D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16" w:type="pct"/>
            <w:tcMar>
              <w:top w:w="0" w:type="dxa"/>
              <w:left w:w="108" w:type="dxa"/>
              <w:bottom w:w="0" w:type="dxa"/>
              <w:right w:w="108" w:type="dxa"/>
            </w:tcMar>
            <w:vAlign w:val="center"/>
          </w:tcPr>
          <w:p w14:paraId="0385EE80"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0,267</w:t>
            </w:r>
          </w:p>
        </w:tc>
        <w:tc>
          <w:tcPr>
            <w:tcW w:w="1203" w:type="pct"/>
            <w:tcMar>
              <w:top w:w="0" w:type="dxa"/>
              <w:left w:w="108" w:type="dxa"/>
              <w:bottom w:w="0" w:type="dxa"/>
              <w:right w:w="108" w:type="dxa"/>
            </w:tcMar>
            <w:vAlign w:val="center"/>
          </w:tcPr>
          <w:p w14:paraId="441B4C5D"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2,05</w:t>
            </w:r>
          </w:p>
        </w:tc>
        <w:tc>
          <w:tcPr>
            <w:tcW w:w="1159" w:type="pct"/>
            <w:tcMar>
              <w:top w:w="0" w:type="dxa"/>
              <w:left w:w="108" w:type="dxa"/>
              <w:bottom w:w="0" w:type="dxa"/>
              <w:right w:w="108" w:type="dxa"/>
            </w:tcMar>
            <w:vAlign w:val="center"/>
          </w:tcPr>
          <w:p w14:paraId="664D5789"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2,3</w:t>
            </w:r>
          </w:p>
        </w:tc>
      </w:tr>
    </w:tbl>
    <w:p w14:paraId="434AB40E" w14:textId="77777777" w:rsidR="00D51392" w:rsidRPr="007C4D65" w:rsidRDefault="00D51392" w:rsidP="00D51392">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065"/>
        <w:gridCol w:w="2184"/>
        <w:gridCol w:w="3233"/>
        <w:gridCol w:w="3233"/>
        <w:gridCol w:w="3233"/>
      </w:tblGrid>
      <w:tr w:rsidR="00D51392" w:rsidRPr="007C4D65" w14:paraId="3F6D9FC9" w14:textId="77777777" w:rsidTr="00B6017F">
        <w:trPr>
          <w:trHeight w:val="456"/>
        </w:trPr>
        <w:tc>
          <w:tcPr>
            <w:tcW w:w="740" w:type="pct"/>
            <w:vMerge w:val="restart"/>
            <w:shd w:val="clear" w:color="auto" w:fill="D9D9D9"/>
            <w:tcMar>
              <w:top w:w="0" w:type="dxa"/>
              <w:left w:w="108" w:type="dxa"/>
              <w:bottom w:w="0" w:type="dxa"/>
              <w:right w:w="108" w:type="dxa"/>
            </w:tcMar>
            <w:vAlign w:val="center"/>
            <w:hideMark/>
          </w:tcPr>
          <w:p w14:paraId="23EA519B"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5.3.1. Measure</w:t>
            </w:r>
          </w:p>
        </w:tc>
        <w:tc>
          <w:tcPr>
            <w:tcW w:w="783" w:type="pct"/>
            <w:vMerge w:val="restart"/>
            <w:tcMar>
              <w:top w:w="0" w:type="dxa"/>
              <w:left w:w="108" w:type="dxa"/>
              <w:bottom w:w="0" w:type="dxa"/>
              <w:right w:w="108" w:type="dxa"/>
            </w:tcMar>
            <w:vAlign w:val="center"/>
          </w:tcPr>
          <w:p w14:paraId="6F497CF3"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Enhance human and technical capacities and competences of public services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chemicals safety</w:t>
            </w:r>
          </w:p>
        </w:tc>
        <w:tc>
          <w:tcPr>
            <w:tcW w:w="1159" w:type="pct"/>
            <w:shd w:val="clear" w:color="auto" w:fill="D9D9D9"/>
            <w:tcMar>
              <w:top w:w="0" w:type="dxa"/>
              <w:left w:w="108" w:type="dxa"/>
              <w:bottom w:w="0" w:type="dxa"/>
              <w:right w:w="108" w:type="dxa"/>
            </w:tcMar>
            <w:vAlign w:val="center"/>
            <w:hideMark/>
          </w:tcPr>
          <w:p w14:paraId="714B67B7"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74D6D7F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7128A5C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21999493" w14:textId="77777777" w:rsidTr="00B6017F">
        <w:trPr>
          <w:trHeight w:val="271"/>
        </w:trPr>
        <w:tc>
          <w:tcPr>
            <w:tcW w:w="740" w:type="pct"/>
            <w:vMerge/>
            <w:shd w:val="clear" w:color="auto" w:fill="D9D9D9"/>
            <w:vAlign w:val="center"/>
          </w:tcPr>
          <w:p w14:paraId="6B97B4A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35FAC50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064C340"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Analysis of capacities of competent institutions in Federation of BiH in the field of chemical safety after the adoption of legislation</w:t>
            </w:r>
          </w:p>
        </w:tc>
        <w:tc>
          <w:tcPr>
            <w:tcW w:w="1159" w:type="pct"/>
            <w:shd w:val="clear" w:color="auto" w:fill="FFFFFF"/>
            <w:tcMar>
              <w:top w:w="0" w:type="dxa"/>
              <w:left w:w="108" w:type="dxa"/>
              <w:bottom w:w="0" w:type="dxa"/>
              <w:right w:w="108" w:type="dxa"/>
            </w:tcMar>
            <w:vAlign w:val="center"/>
          </w:tcPr>
          <w:p w14:paraId="64A3732C" w14:textId="7D02D92A"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There is no relevant analysis of capacities of competent institutions in the Federation of BiH in the field of chemical safety It needs to be made, and possibly updated once the proposed legislation is drafted</w:t>
            </w:r>
          </w:p>
        </w:tc>
        <w:tc>
          <w:tcPr>
            <w:tcW w:w="1159" w:type="pct"/>
            <w:shd w:val="clear" w:color="auto" w:fill="FFFFFF"/>
            <w:vAlign w:val="center"/>
          </w:tcPr>
          <w:p w14:paraId="5297B8CE" w14:textId="71522B40" w:rsidR="00D51392" w:rsidRPr="007C4D65" w:rsidRDefault="00D51392" w:rsidP="005F516C">
            <w:pPr>
              <w:spacing w:before="40" w:after="40" w:line="276" w:lineRule="auto"/>
              <w:ind w:left="211" w:right="63"/>
              <w:jc w:val="both"/>
              <w:rPr>
                <w:rFonts w:asciiTheme="minorHAnsi" w:hAnsiTheme="minorHAnsi" w:cstheme="minorHAnsi"/>
                <w:sz w:val="18"/>
                <w:szCs w:val="18"/>
                <w:lang w:val="hr-HR"/>
              </w:rPr>
            </w:pPr>
            <w:r w:rsidRPr="007C4D65">
              <w:rPr>
                <w:rFonts w:asciiTheme="minorHAnsi" w:hAnsiTheme="minorHAnsi"/>
                <w:sz w:val="18"/>
                <w:szCs w:val="18"/>
              </w:rPr>
              <w:t>Completed Report on Analysis of capacities of responsible institutions in Federation of BiH in the field of chemical safety after the adoption of the legislation (2024)</w:t>
            </w:r>
          </w:p>
        </w:tc>
      </w:tr>
      <w:tr w:rsidR="00D51392" w:rsidRPr="007C4D65" w14:paraId="3F79A10B" w14:textId="77777777" w:rsidTr="00B6017F">
        <w:trPr>
          <w:trHeight w:val="271"/>
        </w:trPr>
        <w:tc>
          <w:tcPr>
            <w:tcW w:w="740" w:type="pct"/>
            <w:vMerge/>
            <w:shd w:val="clear" w:color="auto" w:fill="D9D9D9"/>
            <w:vAlign w:val="center"/>
          </w:tcPr>
          <w:p w14:paraId="1BE587C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4F97600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D4B8185"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Implementation status of the identified shortcomings of the analysis of capacities of responsible institutions after the adoption of legislation</w:t>
            </w:r>
          </w:p>
        </w:tc>
        <w:tc>
          <w:tcPr>
            <w:tcW w:w="1159" w:type="pct"/>
            <w:shd w:val="clear" w:color="auto" w:fill="FFFFFF"/>
            <w:tcMar>
              <w:top w:w="0" w:type="dxa"/>
              <w:left w:w="108" w:type="dxa"/>
              <w:bottom w:w="0" w:type="dxa"/>
              <w:right w:w="108" w:type="dxa"/>
            </w:tcMar>
            <w:vAlign w:val="center"/>
          </w:tcPr>
          <w:p w14:paraId="54B4C61F" w14:textId="785224EA"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There is no relevant analysis of capacities of responsible institutions It needs to be made, and possibly updated once the proposed legislation is drafted</w:t>
            </w:r>
          </w:p>
        </w:tc>
        <w:tc>
          <w:tcPr>
            <w:tcW w:w="1159" w:type="pct"/>
            <w:shd w:val="clear" w:color="auto" w:fill="FFFFFF"/>
            <w:vAlign w:val="center"/>
          </w:tcPr>
          <w:p w14:paraId="36218860" w14:textId="77777777" w:rsidR="00D51392" w:rsidRPr="007C4D65" w:rsidRDefault="00D51392" w:rsidP="00B6017F">
            <w:pPr>
              <w:spacing w:line="276" w:lineRule="auto"/>
              <w:ind w:left="211"/>
              <w:rPr>
                <w:rFonts w:asciiTheme="minorHAnsi" w:hAnsiTheme="minorHAnsi" w:cstheme="minorHAnsi"/>
                <w:sz w:val="18"/>
                <w:szCs w:val="18"/>
              </w:rPr>
            </w:pPr>
            <w:r w:rsidRPr="007C4D65">
              <w:rPr>
                <w:rFonts w:asciiTheme="minorHAnsi" w:hAnsiTheme="minorHAnsi"/>
                <w:sz w:val="18"/>
                <w:szCs w:val="18"/>
              </w:rPr>
              <w:t>Hire and train new people in institutions in the field of chemical safety, in accordance with the requirements of the new legislation and the analysis previously made (2025)</w:t>
            </w:r>
          </w:p>
        </w:tc>
      </w:tr>
      <w:tr w:rsidR="00D51392" w:rsidRPr="007C4D65" w14:paraId="0CA3068D" w14:textId="77777777" w:rsidTr="00B6017F">
        <w:trPr>
          <w:trHeight w:val="271"/>
        </w:trPr>
        <w:tc>
          <w:tcPr>
            <w:tcW w:w="740" w:type="pct"/>
            <w:vMerge/>
            <w:shd w:val="clear" w:color="auto" w:fill="D9D9D9"/>
            <w:vAlign w:val="center"/>
          </w:tcPr>
          <w:p w14:paraId="3823F87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5700B6EA"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176113D" w14:textId="18C7077C"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Implementation status of the plan and programme of annual training of civil servants on the topic of chemical safety</w:t>
            </w:r>
          </w:p>
        </w:tc>
        <w:tc>
          <w:tcPr>
            <w:tcW w:w="1159" w:type="pct"/>
            <w:shd w:val="clear" w:color="auto" w:fill="FFFFFF"/>
            <w:tcMar>
              <w:top w:w="0" w:type="dxa"/>
              <w:left w:w="108" w:type="dxa"/>
              <w:bottom w:w="0" w:type="dxa"/>
              <w:right w:w="108" w:type="dxa"/>
            </w:tcMar>
            <w:vAlign w:val="center"/>
          </w:tcPr>
          <w:p w14:paraId="39803005" w14:textId="2676E62F"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There is no plan and programme of annual training of civil servants on the topic of chemical safety</w:t>
            </w:r>
          </w:p>
        </w:tc>
        <w:tc>
          <w:tcPr>
            <w:tcW w:w="1159" w:type="pct"/>
            <w:shd w:val="clear" w:color="auto" w:fill="FFFFFF"/>
            <w:vAlign w:val="center"/>
          </w:tcPr>
          <w:p w14:paraId="05BF0803" w14:textId="77777777" w:rsidR="00D51392" w:rsidRPr="007C4D65" w:rsidRDefault="00D51392" w:rsidP="00B6017F">
            <w:pPr>
              <w:spacing w:line="276" w:lineRule="auto"/>
              <w:ind w:left="211"/>
              <w:rPr>
                <w:rFonts w:asciiTheme="minorHAnsi" w:hAnsiTheme="minorHAnsi" w:cstheme="minorHAnsi"/>
                <w:sz w:val="18"/>
                <w:szCs w:val="18"/>
              </w:rPr>
            </w:pPr>
            <w:r w:rsidRPr="007C4D65">
              <w:rPr>
                <w:rFonts w:asciiTheme="minorHAnsi" w:hAnsiTheme="minorHAnsi"/>
                <w:sz w:val="18"/>
                <w:szCs w:val="18"/>
              </w:rPr>
              <w:t xml:space="preserve">Developed plan and programme of annual training of civil servants </w:t>
            </w:r>
            <w:proofErr w:type="gramStart"/>
            <w:r w:rsidRPr="007C4D65">
              <w:rPr>
                <w:rFonts w:asciiTheme="minorHAnsi" w:hAnsiTheme="minorHAnsi"/>
                <w:sz w:val="18"/>
                <w:szCs w:val="18"/>
              </w:rPr>
              <w:t xml:space="preserve">in the </w:t>
            </w:r>
            <w:r w:rsidRPr="007C4D65">
              <w:rPr>
                <w:rFonts w:asciiTheme="minorHAnsi" w:hAnsiTheme="minorHAnsi"/>
                <w:sz w:val="18"/>
                <w:szCs w:val="18"/>
              </w:rPr>
              <w:lastRenderedPageBreak/>
              <w:t>area of</w:t>
            </w:r>
            <w:proofErr w:type="gramEnd"/>
            <w:r w:rsidRPr="007C4D65">
              <w:rPr>
                <w:rFonts w:asciiTheme="minorHAnsi" w:hAnsiTheme="minorHAnsi"/>
                <w:sz w:val="18"/>
                <w:szCs w:val="18"/>
              </w:rPr>
              <w:t xml:space="preserve"> chemical safety, and first training implemented (2026)</w:t>
            </w:r>
          </w:p>
        </w:tc>
      </w:tr>
      <w:tr w:rsidR="00D51392" w:rsidRPr="007C4D65" w14:paraId="0F3DF3F5" w14:textId="77777777" w:rsidTr="00B6017F">
        <w:trPr>
          <w:trHeight w:val="271"/>
        </w:trPr>
        <w:tc>
          <w:tcPr>
            <w:tcW w:w="740" w:type="pct"/>
            <w:vMerge/>
            <w:shd w:val="clear" w:color="auto" w:fill="D9D9D9"/>
            <w:vAlign w:val="center"/>
          </w:tcPr>
          <w:p w14:paraId="653F102F"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3F5CC76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55B46BC" w14:textId="3A69642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Analysis of human and technical capacities and financial needs for establishment of the Poison Control Centre of the Federation of BiH, and making decision on selecting / designating legal persons responsible for poison control</w:t>
            </w:r>
          </w:p>
        </w:tc>
        <w:tc>
          <w:tcPr>
            <w:tcW w:w="1159" w:type="pct"/>
            <w:shd w:val="clear" w:color="auto" w:fill="FFFFFF"/>
            <w:tcMar>
              <w:top w:w="0" w:type="dxa"/>
              <w:left w:w="108" w:type="dxa"/>
              <w:bottom w:w="0" w:type="dxa"/>
              <w:right w:w="108" w:type="dxa"/>
            </w:tcMar>
            <w:vAlign w:val="center"/>
          </w:tcPr>
          <w:p w14:paraId="79B58597"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At present time, no legal persons responsible for poison control have been appointed Obligations of the appointed legal persons stem from Art. 45. of the Law on Chemicals (“Official Gazette of Federation of BiH”, 77/20)</w:t>
            </w:r>
          </w:p>
        </w:tc>
        <w:tc>
          <w:tcPr>
            <w:tcW w:w="1159" w:type="pct"/>
            <w:shd w:val="clear" w:color="auto" w:fill="FFFFFF"/>
            <w:vAlign w:val="center"/>
          </w:tcPr>
          <w:p w14:paraId="43D2F641" w14:textId="77777777" w:rsidR="00D51392" w:rsidRPr="007C4D65" w:rsidRDefault="00D51392" w:rsidP="00B6017F">
            <w:pPr>
              <w:spacing w:line="276" w:lineRule="auto"/>
              <w:ind w:left="211" w:firstLine="170"/>
              <w:rPr>
                <w:rFonts w:asciiTheme="minorHAnsi" w:hAnsiTheme="minorHAnsi" w:cstheme="minorHAnsi"/>
                <w:sz w:val="18"/>
                <w:szCs w:val="18"/>
              </w:rPr>
            </w:pPr>
            <w:r w:rsidRPr="007C4D65">
              <w:rPr>
                <w:rFonts w:asciiTheme="minorHAnsi" w:hAnsiTheme="minorHAnsi"/>
                <w:sz w:val="18"/>
                <w:szCs w:val="18"/>
              </w:rPr>
              <w:t>Completed analysis of human and technical capacities and financial needs for establishment of the Poison Control Centre of the Federation of BiH, and making decision on selecting / designating legal persons responsible for poison control (2023)</w:t>
            </w:r>
          </w:p>
        </w:tc>
      </w:tr>
      <w:tr w:rsidR="00D51392" w:rsidRPr="007C4D65" w14:paraId="57F33D7C" w14:textId="77777777" w:rsidTr="00B6017F">
        <w:trPr>
          <w:trHeight w:val="456"/>
        </w:trPr>
        <w:tc>
          <w:tcPr>
            <w:tcW w:w="740" w:type="pct"/>
            <w:vMerge/>
            <w:shd w:val="clear" w:color="auto" w:fill="D9D9D9"/>
            <w:vAlign w:val="center"/>
            <w:hideMark/>
          </w:tcPr>
          <w:p w14:paraId="56C4B766"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53BCA32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06CB62D0"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439A8B0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1AD4274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69E2C331" w14:textId="77777777" w:rsidTr="00B6017F">
        <w:trPr>
          <w:trHeight w:val="271"/>
        </w:trPr>
        <w:tc>
          <w:tcPr>
            <w:tcW w:w="740" w:type="pct"/>
            <w:vMerge/>
            <w:shd w:val="clear" w:color="auto" w:fill="D9D9D9"/>
            <w:vAlign w:val="center"/>
            <w:hideMark/>
          </w:tcPr>
          <w:p w14:paraId="298A9976"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452E0E6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2EC14D0"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0,228</w:t>
            </w:r>
          </w:p>
        </w:tc>
        <w:tc>
          <w:tcPr>
            <w:tcW w:w="1159" w:type="pct"/>
            <w:tcMar>
              <w:top w:w="0" w:type="dxa"/>
              <w:left w:w="108" w:type="dxa"/>
              <w:bottom w:w="0" w:type="dxa"/>
              <w:right w:w="108" w:type="dxa"/>
            </w:tcMar>
            <w:vAlign w:val="center"/>
          </w:tcPr>
          <w:p w14:paraId="05E71F4C"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2,05</w:t>
            </w:r>
          </w:p>
        </w:tc>
        <w:tc>
          <w:tcPr>
            <w:tcW w:w="1159" w:type="pct"/>
            <w:tcMar>
              <w:top w:w="0" w:type="dxa"/>
              <w:left w:w="108" w:type="dxa"/>
              <w:bottom w:w="0" w:type="dxa"/>
              <w:right w:w="108" w:type="dxa"/>
            </w:tcMar>
            <w:vAlign w:val="center"/>
          </w:tcPr>
          <w:p w14:paraId="0EA84EC6"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2,2</w:t>
            </w:r>
          </w:p>
        </w:tc>
      </w:tr>
      <w:tr w:rsidR="00D51392" w:rsidRPr="007C4D65" w14:paraId="4C4D5BD2" w14:textId="77777777" w:rsidTr="00B6017F">
        <w:trPr>
          <w:trHeight w:val="456"/>
        </w:trPr>
        <w:tc>
          <w:tcPr>
            <w:tcW w:w="740" w:type="pct"/>
            <w:vMerge w:val="restart"/>
            <w:shd w:val="clear" w:color="auto" w:fill="D9D9D9"/>
            <w:tcMar>
              <w:top w:w="0" w:type="dxa"/>
              <w:left w:w="108" w:type="dxa"/>
              <w:bottom w:w="0" w:type="dxa"/>
              <w:right w:w="108" w:type="dxa"/>
            </w:tcMar>
            <w:vAlign w:val="center"/>
            <w:hideMark/>
          </w:tcPr>
          <w:p w14:paraId="3B6710A8"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5.3.2. Measure</w:t>
            </w:r>
          </w:p>
        </w:tc>
        <w:tc>
          <w:tcPr>
            <w:tcW w:w="783" w:type="pct"/>
            <w:vMerge w:val="restart"/>
            <w:tcMar>
              <w:top w:w="0" w:type="dxa"/>
              <w:left w:w="108" w:type="dxa"/>
              <w:bottom w:w="0" w:type="dxa"/>
              <w:right w:w="108" w:type="dxa"/>
            </w:tcMar>
            <w:vAlign w:val="center"/>
          </w:tcPr>
          <w:p w14:paraId="7BF6DF69"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Improved coordination, collaboration and synergic approach of the competent institutions in the field of environment and health</w:t>
            </w:r>
          </w:p>
        </w:tc>
        <w:tc>
          <w:tcPr>
            <w:tcW w:w="1159" w:type="pct"/>
            <w:shd w:val="clear" w:color="auto" w:fill="D9D9D9"/>
            <w:tcMar>
              <w:top w:w="0" w:type="dxa"/>
              <w:left w:w="108" w:type="dxa"/>
              <w:bottom w:w="0" w:type="dxa"/>
              <w:right w:w="108" w:type="dxa"/>
            </w:tcMar>
            <w:vAlign w:val="center"/>
            <w:hideMark/>
          </w:tcPr>
          <w:p w14:paraId="48E5ABF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2E020C80"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1FA65D13"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51A98FC8" w14:textId="77777777" w:rsidTr="00B6017F">
        <w:trPr>
          <w:trHeight w:val="271"/>
        </w:trPr>
        <w:tc>
          <w:tcPr>
            <w:tcW w:w="740" w:type="pct"/>
            <w:vMerge/>
            <w:shd w:val="clear" w:color="auto" w:fill="D9D9D9"/>
            <w:vAlign w:val="center"/>
          </w:tcPr>
          <w:p w14:paraId="4EC870C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7A9BC5A1"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4F99FEF" w14:textId="1CD8DE13"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Effectiveness in sharing data and experiences of the entity and </w:t>
            </w:r>
            <w:r w:rsidR="00295360" w:rsidRPr="007C4D65">
              <w:rPr>
                <w:rFonts w:asciiTheme="minorHAnsi" w:hAnsiTheme="minorHAnsi"/>
                <w:sz w:val="18"/>
                <w:szCs w:val="18"/>
              </w:rPr>
              <w:t>Brcko</w:t>
            </w:r>
            <w:r w:rsidRPr="007C4D65">
              <w:rPr>
                <w:rFonts w:asciiTheme="minorHAnsi" w:hAnsiTheme="minorHAnsi"/>
                <w:sz w:val="18"/>
                <w:szCs w:val="18"/>
              </w:rPr>
              <w:t xml:space="preserve"> district of BiH's inspection bodies in the field of chemical safety</w:t>
            </w:r>
          </w:p>
        </w:tc>
        <w:tc>
          <w:tcPr>
            <w:tcW w:w="1159" w:type="pct"/>
            <w:shd w:val="clear" w:color="auto" w:fill="FFFFFF"/>
            <w:tcMar>
              <w:top w:w="0" w:type="dxa"/>
              <w:left w:w="108" w:type="dxa"/>
              <w:bottom w:w="0" w:type="dxa"/>
              <w:right w:w="108" w:type="dxa"/>
            </w:tcMar>
            <w:vAlign w:val="center"/>
          </w:tcPr>
          <w:p w14:paraId="377963C6" w14:textId="7834062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There is no official system of reporting and coordination among inspection services of the entities and the </w:t>
            </w:r>
            <w:r w:rsidR="00295360" w:rsidRPr="007C4D65">
              <w:rPr>
                <w:rFonts w:asciiTheme="minorHAnsi" w:hAnsiTheme="minorHAnsi"/>
                <w:sz w:val="18"/>
                <w:szCs w:val="18"/>
              </w:rPr>
              <w:t>Brcko</w:t>
            </w:r>
            <w:r w:rsidRPr="007C4D65">
              <w:rPr>
                <w:rFonts w:asciiTheme="minorHAnsi" w:hAnsiTheme="minorHAnsi"/>
                <w:sz w:val="18"/>
                <w:szCs w:val="18"/>
              </w:rPr>
              <w:t xml:space="preserve"> District of BiH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chemical safety</w:t>
            </w:r>
          </w:p>
        </w:tc>
        <w:tc>
          <w:tcPr>
            <w:tcW w:w="1159" w:type="pct"/>
            <w:shd w:val="clear" w:color="auto" w:fill="FFFFFF"/>
            <w:vAlign w:val="center"/>
          </w:tcPr>
          <w:p w14:paraId="46F57580"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 xml:space="preserve">Establish a team/mechanism for cooperation among the Administration for Inspections of the </w:t>
            </w:r>
            <w:proofErr w:type="spellStart"/>
            <w:r w:rsidRPr="007C4D65">
              <w:rPr>
                <w:rFonts w:asciiTheme="minorHAnsi" w:hAnsiTheme="minorHAnsi"/>
                <w:sz w:val="18"/>
                <w:szCs w:val="18"/>
              </w:rPr>
              <w:t>Republika</w:t>
            </w:r>
            <w:proofErr w:type="spellEnd"/>
            <w:r w:rsidRPr="007C4D65">
              <w:rPr>
                <w:rFonts w:asciiTheme="minorHAnsi" w:hAnsiTheme="minorHAnsi"/>
                <w:sz w:val="18"/>
                <w:szCs w:val="18"/>
              </w:rPr>
              <w:t xml:space="preserve"> Srpska and the Inspectorate of the Federation of BiH and the Inspectorate of Brcko District in the field of chemical safety (2023)</w:t>
            </w:r>
          </w:p>
        </w:tc>
      </w:tr>
      <w:tr w:rsidR="00D51392" w:rsidRPr="007C4D65" w14:paraId="6F6FFF3A" w14:textId="77777777" w:rsidTr="00B6017F">
        <w:trPr>
          <w:trHeight w:val="271"/>
        </w:trPr>
        <w:tc>
          <w:tcPr>
            <w:tcW w:w="740" w:type="pct"/>
            <w:vMerge/>
            <w:shd w:val="clear" w:color="auto" w:fill="D9D9D9"/>
            <w:vAlign w:val="center"/>
          </w:tcPr>
          <w:p w14:paraId="70FDD52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54E72FC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420D3D0" w14:textId="7EDD0C23"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Efficiency of sharing data and experiences among entity / </w:t>
            </w:r>
            <w:r w:rsidR="00295360" w:rsidRPr="007C4D65">
              <w:rPr>
                <w:rFonts w:asciiTheme="minorHAnsi" w:hAnsiTheme="minorHAnsi"/>
                <w:sz w:val="18"/>
                <w:szCs w:val="18"/>
              </w:rPr>
              <w:t>Brcko</w:t>
            </w:r>
            <w:r w:rsidRPr="007C4D65">
              <w:rPr>
                <w:rFonts w:asciiTheme="minorHAnsi" w:hAnsiTheme="minorHAnsi"/>
                <w:sz w:val="18"/>
                <w:szCs w:val="18"/>
              </w:rPr>
              <w:t xml:space="preserve"> district BiH ministries in the field of health regarding the results of poison control</w:t>
            </w:r>
          </w:p>
        </w:tc>
        <w:tc>
          <w:tcPr>
            <w:tcW w:w="1159" w:type="pct"/>
            <w:shd w:val="clear" w:color="auto" w:fill="FFFFFF"/>
            <w:tcMar>
              <w:top w:w="0" w:type="dxa"/>
              <w:left w:w="108" w:type="dxa"/>
              <w:bottom w:w="0" w:type="dxa"/>
              <w:right w:w="108" w:type="dxa"/>
            </w:tcMar>
            <w:vAlign w:val="center"/>
          </w:tcPr>
          <w:p w14:paraId="3A6AA955" w14:textId="0127923B"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Poison control centres in BIH have not been appointed, so there has been no reporting on this issue to this date</w:t>
            </w:r>
          </w:p>
        </w:tc>
        <w:tc>
          <w:tcPr>
            <w:tcW w:w="1159" w:type="pct"/>
            <w:shd w:val="clear" w:color="auto" w:fill="FFFFFF"/>
            <w:vAlign w:val="center"/>
          </w:tcPr>
          <w:p w14:paraId="28EEE265"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Participation of the Federation of BiH Ministry of Health and PCC in a meeting (once a year) organized by the MCA BiH for the purpose of sharing experiences and planning future activities related to prevention, combating, treatment and reporting on poisoning to institutions in BiH and to the World Health Organization (2025)</w:t>
            </w:r>
          </w:p>
        </w:tc>
      </w:tr>
      <w:tr w:rsidR="00D51392" w:rsidRPr="007C4D65" w14:paraId="352722DC" w14:textId="77777777" w:rsidTr="00B6017F">
        <w:trPr>
          <w:trHeight w:val="271"/>
        </w:trPr>
        <w:tc>
          <w:tcPr>
            <w:tcW w:w="740" w:type="pct"/>
            <w:vMerge/>
            <w:shd w:val="clear" w:color="auto" w:fill="D9D9D9"/>
            <w:vAlign w:val="center"/>
          </w:tcPr>
          <w:p w14:paraId="369F394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156601BD"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55D5D12"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Simplicity and efficiency of data sharing in the field of chemical safety between state level, entity and institutions of Brcko District of BiH in the field of chemical safety</w:t>
            </w:r>
          </w:p>
        </w:tc>
        <w:tc>
          <w:tcPr>
            <w:tcW w:w="1159" w:type="pct"/>
            <w:shd w:val="clear" w:color="auto" w:fill="FFFFFF"/>
            <w:tcMar>
              <w:top w:w="0" w:type="dxa"/>
              <w:left w:w="108" w:type="dxa"/>
              <w:bottom w:w="0" w:type="dxa"/>
              <w:right w:w="108" w:type="dxa"/>
            </w:tcMar>
            <w:vAlign w:val="center"/>
          </w:tcPr>
          <w:p w14:paraId="69C831DC" w14:textId="66218A1E"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 data on chemical safety are not systematically allocated to institutions in the fields of health and environment</w:t>
            </w:r>
          </w:p>
        </w:tc>
        <w:tc>
          <w:tcPr>
            <w:tcW w:w="1159" w:type="pct"/>
            <w:shd w:val="clear" w:color="auto" w:fill="FFFFFF"/>
            <w:vAlign w:val="center"/>
          </w:tcPr>
          <w:p w14:paraId="402DB936" w14:textId="77777777" w:rsidR="00D51392" w:rsidRPr="007C4D65" w:rsidRDefault="00D51392" w:rsidP="00B6017F">
            <w:pPr>
              <w:spacing w:line="276" w:lineRule="auto"/>
              <w:ind w:left="211"/>
              <w:rPr>
                <w:rFonts w:asciiTheme="minorHAnsi" w:hAnsiTheme="minorHAnsi" w:cstheme="minorHAnsi"/>
                <w:sz w:val="18"/>
                <w:szCs w:val="18"/>
              </w:rPr>
            </w:pPr>
            <w:r w:rsidRPr="007C4D65">
              <w:rPr>
                <w:rFonts w:asciiTheme="minorHAnsi" w:hAnsiTheme="minorHAnsi"/>
                <w:sz w:val="18"/>
                <w:szCs w:val="18"/>
              </w:rPr>
              <w:t>Establish an IT team that will link and manage data bases that exist with the competent ministries to manage chemicals (2026)</w:t>
            </w:r>
          </w:p>
        </w:tc>
      </w:tr>
      <w:tr w:rsidR="00D51392" w:rsidRPr="007C4D65" w14:paraId="4EC9D242" w14:textId="77777777" w:rsidTr="00B6017F">
        <w:trPr>
          <w:trHeight w:val="456"/>
        </w:trPr>
        <w:tc>
          <w:tcPr>
            <w:tcW w:w="740" w:type="pct"/>
            <w:vMerge/>
            <w:shd w:val="clear" w:color="auto" w:fill="D9D9D9"/>
            <w:vAlign w:val="center"/>
            <w:hideMark/>
          </w:tcPr>
          <w:p w14:paraId="39712E6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460D44F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061C5A2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08BB6582"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1831EFD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723A4DA3" w14:textId="77777777" w:rsidTr="00B6017F">
        <w:trPr>
          <w:trHeight w:val="271"/>
        </w:trPr>
        <w:tc>
          <w:tcPr>
            <w:tcW w:w="740" w:type="pct"/>
            <w:vMerge/>
            <w:shd w:val="clear" w:color="auto" w:fill="D9D9D9"/>
            <w:vAlign w:val="center"/>
            <w:hideMark/>
          </w:tcPr>
          <w:p w14:paraId="2F9403B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5C5E95B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3A23CFC"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0,033</w:t>
            </w:r>
          </w:p>
        </w:tc>
        <w:tc>
          <w:tcPr>
            <w:tcW w:w="1159" w:type="pct"/>
            <w:tcMar>
              <w:top w:w="0" w:type="dxa"/>
              <w:left w:w="108" w:type="dxa"/>
              <w:bottom w:w="0" w:type="dxa"/>
              <w:right w:w="108" w:type="dxa"/>
            </w:tcMar>
            <w:vAlign w:val="center"/>
          </w:tcPr>
          <w:p w14:paraId="720A6F87"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15658209"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0,033</w:t>
            </w:r>
          </w:p>
        </w:tc>
      </w:tr>
      <w:tr w:rsidR="00D51392" w:rsidRPr="007C4D65" w14:paraId="6AF0DDD8" w14:textId="77777777" w:rsidTr="00B6017F">
        <w:trPr>
          <w:trHeight w:val="271"/>
        </w:trPr>
        <w:tc>
          <w:tcPr>
            <w:tcW w:w="740" w:type="pct"/>
            <w:vMerge w:val="restart"/>
            <w:shd w:val="clear" w:color="auto" w:fill="D9D9D9"/>
            <w:vAlign w:val="center"/>
          </w:tcPr>
          <w:p w14:paraId="41C15329"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5.3.3. Measure</w:t>
            </w:r>
          </w:p>
        </w:tc>
        <w:tc>
          <w:tcPr>
            <w:tcW w:w="783" w:type="pct"/>
            <w:vMerge w:val="restart"/>
            <w:vAlign w:val="center"/>
          </w:tcPr>
          <w:p w14:paraId="30A029EE" w14:textId="77777777" w:rsidR="00D51392" w:rsidRPr="007C4D65" w:rsidRDefault="00D51392" w:rsidP="00B6017F">
            <w:pPr>
              <w:spacing w:after="120" w:line="276" w:lineRule="auto"/>
              <w:ind w:left="147"/>
              <w:contextualSpacing/>
              <w:rPr>
                <w:rFonts w:asciiTheme="minorHAnsi" w:hAnsiTheme="minorHAnsi" w:cstheme="minorHAnsi"/>
                <w:sz w:val="18"/>
                <w:szCs w:val="18"/>
              </w:rPr>
            </w:pPr>
            <w:r w:rsidRPr="007C4D65">
              <w:rPr>
                <w:rFonts w:asciiTheme="minorHAnsi" w:hAnsiTheme="minorHAnsi"/>
                <w:b/>
                <w:bCs/>
                <w:sz w:val="18"/>
                <w:szCs w:val="18"/>
              </w:rPr>
              <w:t xml:space="preserve">Improved system of registration of people who became ill or died from poisoning resulting from inadequate handling of chemical products    </w:t>
            </w:r>
          </w:p>
        </w:tc>
        <w:tc>
          <w:tcPr>
            <w:tcW w:w="1159" w:type="pct"/>
            <w:shd w:val="clear" w:color="auto" w:fill="D9D9D9"/>
            <w:tcMar>
              <w:top w:w="0" w:type="dxa"/>
              <w:left w:w="108" w:type="dxa"/>
              <w:bottom w:w="0" w:type="dxa"/>
              <w:right w:w="108" w:type="dxa"/>
            </w:tcMar>
            <w:vAlign w:val="center"/>
          </w:tcPr>
          <w:p w14:paraId="0B7567BB"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tcPr>
          <w:p w14:paraId="3219235D"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tcPr>
          <w:p w14:paraId="096E63A1"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b/>
                <w:sz w:val="18"/>
                <w:szCs w:val="18"/>
              </w:rPr>
              <w:t>Indicator target values</w:t>
            </w:r>
          </w:p>
        </w:tc>
      </w:tr>
      <w:tr w:rsidR="00D51392" w:rsidRPr="007C4D65" w14:paraId="3E416007" w14:textId="77777777" w:rsidTr="00B6017F">
        <w:trPr>
          <w:trHeight w:val="271"/>
        </w:trPr>
        <w:tc>
          <w:tcPr>
            <w:tcW w:w="740" w:type="pct"/>
            <w:vMerge/>
            <w:shd w:val="clear" w:color="auto" w:fill="D9D9D9"/>
            <w:vAlign w:val="center"/>
          </w:tcPr>
          <w:p w14:paraId="357B96D0"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6155806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tcPr>
          <w:p w14:paraId="282BDD44"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Methodology for collecting data for the needs of developing statistical yearbook of the Public Health Institute of the Federation of BiH, which would include data on deaths caused by poisoning </w:t>
            </w:r>
            <w:proofErr w:type="gramStart"/>
            <w:r w:rsidRPr="007C4D65">
              <w:rPr>
                <w:rFonts w:asciiTheme="minorHAnsi" w:hAnsiTheme="minorHAnsi"/>
                <w:sz w:val="18"/>
                <w:szCs w:val="18"/>
              </w:rPr>
              <w:t>as a result of</w:t>
            </w:r>
            <w:proofErr w:type="gramEnd"/>
            <w:r w:rsidRPr="007C4D65">
              <w:rPr>
                <w:rFonts w:asciiTheme="minorHAnsi" w:hAnsiTheme="minorHAnsi"/>
                <w:sz w:val="18"/>
                <w:szCs w:val="18"/>
              </w:rPr>
              <w:t xml:space="preserve"> inappropriate handling of chemical products, disaggregated by gender and age groups</w:t>
            </w:r>
          </w:p>
        </w:tc>
        <w:tc>
          <w:tcPr>
            <w:tcW w:w="1159" w:type="pct"/>
            <w:shd w:val="clear" w:color="auto" w:fill="FFFFFF"/>
            <w:tcMar>
              <w:top w:w="0" w:type="dxa"/>
              <w:left w:w="108" w:type="dxa"/>
              <w:bottom w:w="0" w:type="dxa"/>
              <w:right w:w="108" w:type="dxa"/>
            </w:tcMar>
          </w:tcPr>
          <w:p w14:paraId="35D4381F" w14:textId="2FBC92F1"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The Yearbook published by the Public Health Institute (PHI) of the Federation of BiH does not register the frequency of diseases or deaths caused by poisoning that is a consequence of inadequate handling of chemical products. However, since 2019, the PHI has had detailed data on poisonings, disaggregated by gender and age groups. Although the system of data collection and processing exists, what is questionable is the procedure of data entry, </w:t>
            </w:r>
            <w:proofErr w:type="gramStart"/>
            <w:r w:rsidRPr="007C4D65">
              <w:rPr>
                <w:rFonts w:asciiTheme="minorHAnsi" w:hAnsiTheme="minorHAnsi"/>
                <w:sz w:val="18"/>
                <w:szCs w:val="18"/>
              </w:rPr>
              <w:t>i.e.</w:t>
            </w:r>
            <w:proofErr w:type="gramEnd"/>
            <w:r w:rsidRPr="007C4D65">
              <w:rPr>
                <w:rFonts w:asciiTheme="minorHAnsi" w:hAnsiTheme="minorHAnsi"/>
                <w:sz w:val="18"/>
                <w:szCs w:val="18"/>
              </w:rPr>
              <w:t xml:space="preserve"> whether all public and private health centres diligently report cases of poisoning as there is no clearly prescribed methodology or instructions for reporting</w:t>
            </w:r>
          </w:p>
        </w:tc>
        <w:tc>
          <w:tcPr>
            <w:tcW w:w="1159" w:type="pct"/>
            <w:shd w:val="clear" w:color="auto" w:fill="FFFFFF"/>
            <w:tcMar>
              <w:top w:w="0" w:type="dxa"/>
              <w:left w:w="108" w:type="dxa"/>
              <w:bottom w:w="0" w:type="dxa"/>
              <w:right w:w="108" w:type="dxa"/>
            </w:tcMar>
          </w:tcPr>
          <w:p w14:paraId="2979BC81"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A legal act regulates the methodology for collecting data for the needs of developing statistical yearbook of the Public Health Institute of the Federation of BiH, which includes the data on deaths caused by poisoning </w:t>
            </w:r>
            <w:proofErr w:type="gramStart"/>
            <w:r w:rsidRPr="007C4D65">
              <w:rPr>
                <w:rFonts w:asciiTheme="minorHAnsi" w:hAnsiTheme="minorHAnsi"/>
                <w:sz w:val="18"/>
                <w:szCs w:val="18"/>
              </w:rPr>
              <w:t>as a result of</w:t>
            </w:r>
            <w:proofErr w:type="gramEnd"/>
            <w:r w:rsidRPr="007C4D65">
              <w:rPr>
                <w:rFonts w:asciiTheme="minorHAnsi" w:hAnsiTheme="minorHAnsi"/>
                <w:sz w:val="18"/>
                <w:szCs w:val="18"/>
              </w:rPr>
              <w:t xml:space="preserve"> inappropriate handling of chemical products, disaggregated by gender and age groups (2025)</w:t>
            </w:r>
          </w:p>
        </w:tc>
      </w:tr>
      <w:tr w:rsidR="00D51392" w:rsidRPr="007C4D65" w14:paraId="7DDF5D09" w14:textId="77777777" w:rsidTr="00B6017F">
        <w:trPr>
          <w:trHeight w:val="271"/>
        </w:trPr>
        <w:tc>
          <w:tcPr>
            <w:tcW w:w="740" w:type="pct"/>
            <w:vMerge/>
            <w:shd w:val="clear" w:color="auto" w:fill="D9D9D9"/>
            <w:vAlign w:val="center"/>
          </w:tcPr>
          <w:p w14:paraId="6D0DCB1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45358720"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tcPr>
          <w:p w14:paraId="318DB902" w14:textId="705DF805" w:rsidR="00D51392" w:rsidRPr="007C4D65" w:rsidRDefault="00830279" w:rsidP="00B6017F">
            <w:pPr>
              <w:spacing w:after="120" w:line="276" w:lineRule="auto"/>
              <w:ind w:hanging="2"/>
              <w:contextualSpacing/>
              <w:rPr>
                <w:rFonts w:asciiTheme="minorHAnsi" w:eastAsia="Calibri" w:hAnsiTheme="minorHAnsi" w:cstheme="minorHAnsi"/>
                <w:sz w:val="18"/>
                <w:szCs w:val="18"/>
              </w:rPr>
            </w:pPr>
            <w:r w:rsidRPr="007C4D65">
              <w:rPr>
                <w:rFonts w:asciiTheme="minorHAnsi" w:hAnsiTheme="minorHAnsi"/>
                <w:sz w:val="18"/>
                <w:szCs w:val="18"/>
              </w:rPr>
              <w:t>Publicly</w:t>
            </w:r>
            <w:r w:rsidR="00D51392" w:rsidRPr="007C4D65">
              <w:rPr>
                <w:rFonts w:asciiTheme="minorHAnsi" w:hAnsiTheme="minorHAnsi"/>
                <w:sz w:val="18"/>
                <w:szCs w:val="18"/>
              </w:rPr>
              <w:t xml:space="preserve"> available data on mortality from non-deliberate poisoning, disaggregated by gender and age groups</w:t>
            </w:r>
          </w:p>
        </w:tc>
        <w:tc>
          <w:tcPr>
            <w:tcW w:w="1159" w:type="pct"/>
            <w:shd w:val="clear" w:color="auto" w:fill="FFFFFF"/>
            <w:tcMar>
              <w:top w:w="0" w:type="dxa"/>
              <w:left w:w="108" w:type="dxa"/>
              <w:bottom w:w="0" w:type="dxa"/>
              <w:right w:w="108" w:type="dxa"/>
            </w:tcMar>
          </w:tcPr>
          <w:p w14:paraId="24FF4829" w14:textId="6000DB2A"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 Yearbook published by the Public Health Institute (PHI) does not register the frequency of diseases or deaths caused by poisoning that is a consequence of inadequate handling of chemical products</w:t>
            </w:r>
          </w:p>
        </w:tc>
        <w:tc>
          <w:tcPr>
            <w:tcW w:w="1159" w:type="pct"/>
            <w:shd w:val="clear" w:color="auto" w:fill="FFFFFF"/>
            <w:tcMar>
              <w:top w:w="0" w:type="dxa"/>
              <w:left w:w="108" w:type="dxa"/>
              <w:bottom w:w="0" w:type="dxa"/>
              <w:right w:w="108" w:type="dxa"/>
            </w:tcMar>
          </w:tcPr>
          <w:p w14:paraId="70801CD7" w14:textId="77777777" w:rsidR="00D51392" w:rsidRPr="007C4D65" w:rsidRDefault="00D51392" w:rsidP="00B6017F">
            <w:pPr>
              <w:spacing w:after="120" w:line="276" w:lineRule="auto"/>
              <w:ind w:hanging="2"/>
              <w:contextualSpacing/>
              <w:rPr>
                <w:rFonts w:asciiTheme="minorHAnsi" w:eastAsia="Calibri" w:hAnsiTheme="minorHAnsi" w:cstheme="minorHAnsi"/>
                <w:sz w:val="18"/>
                <w:szCs w:val="18"/>
              </w:rPr>
            </w:pPr>
            <w:r w:rsidRPr="007C4D65">
              <w:rPr>
                <w:rFonts w:asciiTheme="minorHAnsi" w:hAnsiTheme="minorHAnsi"/>
                <w:sz w:val="18"/>
                <w:szCs w:val="18"/>
              </w:rPr>
              <w:t>Health Statistics Yearbook of the Federation of Bosnia and Herzegovina (published by the Public Health Institute of the Federation of BiH) includes data on morbidity due to poisoning caused by inadequate handling with chemical products, disaggregated by gender and age groups (2025)</w:t>
            </w:r>
          </w:p>
        </w:tc>
      </w:tr>
      <w:tr w:rsidR="00D51392" w:rsidRPr="007C4D65" w14:paraId="010BE25E" w14:textId="77777777" w:rsidTr="00B6017F">
        <w:trPr>
          <w:trHeight w:val="271"/>
        </w:trPr>
        <w:tc>
          <w:tcPr>
            <w:tcW w:w="740" w:type="pct"/>
            <w:vMerge/>
            <w:shd w:val="clear" w:color="auto" w:fill="D9D9D9"/>
            <w:vAlign w:val="center"/>
          </w:tcPr>
          <w:p w14:paraId="7D012910"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3091425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4FAA3933" w14:textId="77777777" w:rsidR="00D51392" w:rsidRPr="007C4D65" w:rsidRDefault="00D51392" w:rsidP="00B6017F">
            <w:pPr>
              <w:spacing w:after="120" w:line="276" w:lineRule="auto"/>
              <w:ind w:hanging="2"/>
              <w:contextualSpacing/>
              <w:jc w:val="center"/>
              <w:rPr>
                <w:rFonts w:asciiTheme="minorHAnsi" w:eastAsia="Calibri" w:hAnsiTheme="minorHAnsi" w:cstheme="minorHAnsi"/>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tcPr>
          <w:p w14:paraId="50614B91"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tcPr>
          <w:p w14:paraId="3F9CE50C" w14:textId="77777777" w:rsidR="00D51392" w:rsidRPr="007C4D65" w:rsidRDefault="00D51392" w:rsidP="00B6017F">
            <w:pPr>
              <w:spacing w:after="120" w:line="276" w:lineRule="auto"/>
              <w:ind w:hanging="2"/>
              <w:contextualSpacing/>
              <w:jc w:val="center"/>
              <w:rPr>
                <w:rFonts w:asciiTheme="minorHAnsi" w:eastAsia="Calibri" w:hAnsiTheme="minorHAnsi" w:cstheme="minorHAnsi"/>
                <w:sz w:val="18"/>
                <w:szCs w:val="18"/>
              </w:rPr>
            </w:pPr>
            <w:r w:rsidRPr="007C4D65">
              <w:rPr>
                <w:rFonts w:asciiTheme="minorHAnsi" w:hAnsiTheme="minorHAnsi"/>
                <w:b/>
                <w:sz w:val="18"/>
                <w:szCs w:val="18"/>
              </w:rPr>
              <w:t>Total (million BAM)</w:t>
            </w:r>
          </w:p>
        </w:tc>
      </w:tr>
      <w:tr w:rsidR="00D51392" w:rsidRPr="007C4D65" w14:paraId="72034243" w14:textId="77777777" w:rsidTr="00B6017F">
        <w:trPr>
          <w:trHeight w:val="271"/>
        </w:trPr>
        <w:tc>
          <w:tcPr>
            <w:tcW w:w="740" w:type="pct"/>
            <w:vMerge/>
            <w:shd w:val="clear" w:color="auto" w:fill="D9D9D9"/>
            <w:vAlign w:val="center"/>
          </w:tcPr>
          <w:p w14:paraId="3FF7DDEE"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3" w:type="pct"/>
            <w:vMerge/>
            <w:vAlign w:val="center"/>
          </w:tcPr>
          <w:p w14:paraId="2309CCA1"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9FC0146" w14:textId="77777777" w:rsidR="00D51392" w:rsidRPr="007C4D65" w:rsidRDefault="00D51392" w:rsidP="00B6017F">
            <w:pPr>
              <w:spacing w:after="120" w:line="276" w:lineRule="auto"/>
              <w:ind w:hanging="2"/>
              <w:contextualSpacing/>
              <w:jc w:val="center"/>
              <w:rPr>
                <w:rFonts w:asciiTheme="minorHAnsi" w:eastAsia="Calibri" w:hAnsiTheme="minorHAnsi" w:cstheme="minorHAnsi"/>
                <w:sz w:val="18"/>
                <w:szCs w:val="18"/>
              </w:rPr>
            </w:pPr>
            <w:r w:rsidRPr="007C4D65">
              <w:rPr>
                <w:rFonts w:asciiTheme="minorHAnsi" w:hAnsiTheme="minorHAnsi"/>
                <w:sz w:val="18"/>
                <w:szCs w:val="18"/>
              </w:rPr>
              <w:t>0,004</w:t>
            </w:r>
          </w:p>
        </w:tc>
        <w:tc>
          <w:tcPr>
            <w:tcW w:w="1159" w:type="pct"/>
            <w:tcMar>
              <w:top w:w="0" w:type="dxa"/>
              <w:left w:w="108" w:type="dxa"/>
              <w:bottom w:w="0" w:type="dxa"/>
              <w:right w:w="108" w:type="dxa"/>
            </w:tcMar>
            <w:vAlign w:val="center"/>
          </w:tcPr>
          <w:p w14:paraId="63C9AA87"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4A9FDD8D" w14:textId="77777777" w:rsidR="00D51392" w:rsidRPr="007C4D65" w:rsidRDefault="00D51392" w:rsidP="00B6017F">
            <w:pPr>
              <w:spacing w:after="120" w:line="276" w:lineRule="auto"/>
              <w:ind w:hanging="2"/>
              <w:contextualSpacing/>
              <w:jc w:val="center"/>
              <w:rPr>
                <w:rFonts w:asciiTheme="minorHAnsi" w:eastAsia="Calibri" w:hAnsiTheme="minorHAnsi" w:cstheme="minorHAnsi"/>
                <w:sz w:val="18"/>
                <w:szCs w:val="18"/>
              </w:rPr>
            </w:pPr>
            <w:r w:rsidRPr="007C4D65">
              <w:rPr>
                <w:rFonts w:asciiTheme="minorHAnsi" w:hAnsiTheme="minorHAnsi"/>
                <w:sz w:val="18"/>
                <w:szCs w:val="18"/>
              </w:rPr>
              <w:t>0,004</w:t>
            </w:r>
          </w:p>
        </w:tc>
      </w:tr>
    </w:tbl>
    <w:p w14:paraId="0211EE98" w14:textId="77777777" w:rsidR="00D51392" w:rsidRPr="007C4D65" w:rsidRDefault="00D51392" w:rsidP="00D51392">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3"/>
        <w:gridCol w:w="2126"/>
        <w:gridCol w:w="3233"/>
        <w:gridCol w:w="3233"/>
        <w:gridCol w:w="3233"/>
      </w:tblGrid>
      <w:tr w:rsidR="00D51392" w:rsidRPr="007C4D65" w14:paraId="55DE8816" w14:textId="77777777" w:rsidTr="00B6017F">
        <w:trPr>
          <w:trHeight w:val="384"/>
        </w:trPr>
        <w:tc>
          <w:tcPr>
            <w:tcW w:w="761" w:type="pct"/>
            <w:vMerge w:val="restart"/>
            <w:shd w:val="clear" w:color="auto" w:fill="D9D9D9"/>
            <w:tcMar>
              <w:top w:w="0" w:type="dxa"/>
              <w:left w:w="108" w:type="dxa"/>
              <w:bottom w:w="0" w:type="dxa"/>
              <w:right w:w="108" w:type="dxa"/>
            </w:tcMar>
            <w:vAlign w:val="center"/>
          </w:tcPr>
          <w:p w14:paraId="04FAE037"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5.4. Priority</w:t>
            </w:r>
          </w:p>
          <w:p w14:paraId="27784AC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restart"/>
            <w:tcMar>
              <w:top w:w="0" w:type="dxa"/>
              <w:left w:w="108" w:type="dxa"/>
              <w:bottom w:w="0" w:type="dxa"/>
              <w:right w:w="108" w:type="dxa"/>
            </w:tcMar>
            <w:vAlign w:val="center"/>
          </w:tcPr>
          <w:p w14:paraId="4CDA09AE" w14:textId="6A92807A" w:rsidR="00D51392" w:rsidRPr="007C4D65" w:rsidRDefault="0078459D" w:rsidP="00B6017F">
            <w:pPr>
              <w:spacing w:after="120" w:line="276" w:lineRule="auto"/>
              <w:ind w:hanging="2"/>
              <w:contextualSpacing/>
              <w:rPr>
                <w:rFonts w:asciiTheme="minorHAnsi" w:hAnsiTheme="minorHAnsi" w:cstheme="minorHAnsi"/>
                <w:b/>
                <w:bCs/>
                <w:color w:val="000000"/>
                <w:sz w:val="18"/>
                <w:szCs w:val="18"/>
              </w:rPr>
            </w:pPr>
            <w:r w:rsidRPr="007C4D65">
              <w:rPr>
                <w:rFonts w:asciiTheme="minorHAnsi" w:hAnsiTheme="minorHAnsi"/>
                <w:b/>
                <w:bCs/>
                <w:sz w:val="18"/>
                <w:szCs w:val="18"/>
              </w:rPr>
              <w:t xml:space="preserve">Reduced incidence of diseases or deaths due to poisoning </w:t>
            </w:r>
            <w:proofErr w:type="gramStart"/>
            <w:r w:rsidRPr="007C4D65">
              <w:rPr>
                <w:rFonts w:asciiTheme="minorHAnsi" w:hAnsiTheme="minorHAnsi"/>
                <w:b/>
                <w:bCs/>
                <w:sz w:val="18"/>
                <w:szCs w:val="18"/>
              </w:rPr>
              <w:t xml:space="preserve">as a </w:t>
            </w:r>
            <w:r w:rsidRPr="007C4D65">
              <w:rPr>
                <w:rFonts w:asciiTheme="minorHAnsi" w:hAnsiTheme="minorHAnsi"/>
                <w:b/>
                <w:bCs/>
                <w:sz w:val="18"/>
                <w:szCs w:val="18"/>
              </w:rPr>
              <w:lastRenderedPageBreak/>
              <w:t>consequence of</w:t>
            </w:r>
            <w:proofErr w:type="gramEnd"/>
            <w:r w:rsidRPr="007C4D65">
              <w:rPr>
                <w:rFonts w:asciiTheme="minorHAnsi" w:hAnsiTheme="minorHAnsi"/>
                <w:b/>
                <w:bCs/>
                <w:sz w:val="18"/>
                <w:szCs w:val="18"/>
              </w:rPr>
              <w:t xml:space="preserve"> inadequate handling of chemical products</w:t>
            </w:r>
          </w:p>
        </w:tc>
        <w:tc>
          <w:tcPr>
            <w:tcW w:w="1159" w:type="pct"/>
            <w:shd w:val="clear" w:color="auto" w:fill="D9D9D9"/>
            <w:tcMar>
              <w:top w:w="0" w:type="dxa"/>
              <w:left w:w="108" w:type="dxa"/>
              <w:bottom w:w="0" w:type="dxa"/>
              <w:right w:w="108" w:type="dxa"/>
            </w:tcMar>
            <w:vAlign w:val="center"/>
          </w:tcPr>
          <w:p w14:paraId="63B22ECA" w14:textId="77777777" w:rsidR="00D51392" w:rsidRPr="007C4D65" w:rsidRDefault="00D51392"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lastRenderedPageBreak/>
              <w:t>Indicators of the priority</w:t>
            </w:r>
          </w:p>
        </w:tc>
        <w:tc>
          <w:tcPr>
            <w:tcW w:w="1159" w:type="pct"/>
            <w:shd w:val="clear" w:color="auto" w:fill="D9D9D9"/>
            <w:tcMar>
              <w:top w:w="0" w:type="dxa"/>
              <w:left w:w="108" w:type="dxa"/>
              <w:bottom w:w="0" w:type="dxa"/>
              <w:right w:w="108" w:type="dxa"/>
            </w:tcMar>
            <w:vAlign w:val="center"/>
          </w:tcPr>
          <w:p w14:paraId="45B9E3F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tcPr>
          <w:p w14:paraId="076C03E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5B258B2F" w14:textId="77777777" w:rsidTr="00B6017F">
        <w:trPr>
          <w:trHeight w:val="287"/>
        </w:trPr>
        <w:tc>
          <w:tcPr>
            <w:tcW w:w="761" w:type="pct"/>
            <w:vMerge/>
            <w:shd w:val="clear" w:color="auto" w:fill="D9D9D9"/>
            <w:vAlign w:val="center"/>
            <w:hideMark/>
          </w:tcPr>
          <w:p w14:paraId="5517A5A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073B0CEE"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F6BB357"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Level of information and education of general public and users of </w:t>
            </w:r>
            <w:proofErr w:type="gramStart"/>
            <w:r w:rsidRPr="007C4D65">
              <w:rPr>
                <w:rFonts w:asciiTheme="minorHAnsi" w:hAnsiTheme="minorHAnsi"/>
                <w:sz w:val="18"/>
                <w:szCs w:val="18"/>
              </w:rPr>
              <w:t xml:space="preserve">chemicals on </w:t>
            </w:r>
            <w:r w:rsidRPr="007C4D65">
              <w:rPr>
                <w:rFonts w:asciiTheme="minorHAnsi" w:hAnsiTheme="minorHAnsi"/>
                <w:sz w:val="18"/>
                <w:szCs w:val="18"/>
              </w:rPr>
              <w:lastRenderedPageBreak/>
              <w:t>chemicals</w:t>
            </w:r>
            <w:proofErr w:type="gramEnd"/>
            <w:r w:rsidRPr="007C4D65">
              <w:rPr>
                <w:rFonts w:asciiTheme="minorHAnsi" w:hAnsiTheme="minorHAnsi"/>
                <w:sz w:val="18"/>
                <w:szCs w:val="18"/>
              </w:rPr>
              <w:t xml:space="preserve"> management</w:t>
            </w:r>
          </w:p>
        </w:tc>
        <w:tc>
          <w:tcPr>
            <w:tcW w:w="1159" w:type="pct"/>
            <w:tcMar>
              <w:top w:w="0" w:type="dxa"/>
              <w:left w:w="108" w:type="dxa"/>
              <w:bottom w:w="0" w:type="dxa"/>
              <w:right w:w="108" w:type="dxa"/>
            </w:tcMar>
            <w:vAlign w:val="center"/>
          </w:tcPr>
          <w:p w14:paraId="61CC093D"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lastRenderedPageBreak/>
              <w:t xml:space="preserve">Educational activities and campaigns on harmful impact of dangerous chemicals </w:t>
            </w:r>
            <w:r w:rsidRPr="007C4D65">
              <w:rPr>
                <w:rFonts w:asciiTheme="minorHAnsi" w:hAnsiTheme="minorHAnsi"/>
                <w:sz w:val="18"/>
                <w:szCs w:val="18"/>
              </w:rPr>
              <w:lastRenderedPageBreak/>
              <w:t>are very rare and implemented in a non-systematic level, through different projects</w:t>
            </w:r>
          </w:p>
        </w:tc>
        <w:tc>
          <w:tcPr>
            <w:tcW w:w="1159" w:type="pct"/>
            <w:tcMar>
              <w:top w:w="0" w:type="dxa"/>
              <w:left w:w="108" w:type="dxa"/>
              <w:bottom w:w="0" w:type="dxa"/>
              <w:right w:w="108" w:type="dxa"/>
            </w:tcMar>
            <w:vAlign w:val="center"/>
          </w:tcPr>
          <w:p w14:paraId="6B8B5415"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lastRenderedPageBreak/>
              <w:t xml:space="preserve">High level of information and education of general public and users of </w:t>
            </w:r>
            <w:proofErr w:type="gramStart"/>
            <w:r w:rsidRPr="007C4D65">
              <w:rPr>
                <w:rFonts w:asciiTheme="minorHAnsi" w:hAnsiTheme="minorHAnsi"/>
                <w:sz w:val="18"/>
                <w:szCs w:val="18"/>
              </w:rPr>
              <w:t xml:space="preserve">chemicals </w:t>
            </w:r>
            <w:r w:rsidRPr="007C4D65">
              <w:rPr>
                <w:rFonts w:asciiTheme="minorHAnsi" w:hAnsiTheme="minorHAnsi"/>
                <w:sz w:val="18"/>
                <w:szCs w:val="18"/>
              </w:rPr>
              <w:lastRenderedPageBreak/>
              <w:t>on chemicals</w:t>
            </w:r>
            <w:proofErr w:type="gramEnd"/>
            <w:r w:rsidRPr="007C4D65">
              <w:rPr>
                <w:rFonts w:asciiTheme="minorHAnsi" w:hAnsiTheme="minorHAnsi"/>
                <w:sz w:val="18"/>
                <w:szCs w:val="18"/>
              </w:rPr>
              <w:t xml:space="preserve"> management (2030)</w:t>
            </w:r>
          </w:p>
        </w:tc>
      </w:tr>
      <w:tr w:rsidR="00D51392" w:rsidRPr="007C4D65" w14:paraId="10CC34B1" w14:textId="77777777" w:rsidTr="00B6017F">
        <w:trPr>
          <w:trHeight w:val="287"/>
        </w:trPr>
        <w:tc>
          <w:tcPr>
            <w:tcW w:w="761" w:type="pct"/>
            <w:vMerge/>
            <w:shd w:val="clear" w:color="auto" w:fill="D9D9D9"/>
            <w:vAlign w:val="center"/>
            <w:hideMark/>
          </w:tcPr>
          <w:p w14:paraId="4A59771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653AB89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18C7A59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tcPr>
          <w:p w14:paraId="3E293314"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tcPr>
          <w:p w14:paraId="4D996533"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5CD75364" w14:textId="77777777" w:rsidTr="00B6017F">
        <w:trPr>
          <w:trHeight w:val="287"/>
        </w:trPr>
        <w:tc>
          <w:tcPr>
            <w:tcW w:w="761" w:type="pct"/>
            <w:vMerge/>
            <w:shd w:val="clear" w:color="auto" w:fill="D9D9D9"/>
            <w:vAlign w:val="center"/>
          </w:tcPr>
          <w:p w14:paraId="050E11A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07C781E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BCFD6D6"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0,050</w:t>
            </w:r>
          </w:p>
        </w:tc>
        <w:tc>
          <w:tcPr>
            <w:tcW w:w="1159" w:type="pct"/>
            <w:tcMar>
              <w:top w:w="0" w:type="dxa"/>
              <w:left w:w="108" w:type="dxa"/>
              <w:bottom w:w="0" w:type="dxa"/>
              <w:right w:w="108" w:type="dxa"/>
            </w:tcMar>
            <w:vAlign w:val="center"/>
          </w:tcPr>
          <w:p w14:paraId="3F7187A4"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0,451</w:t>
            </w:r>
          </w:p>
        </w:tc>
        <w:tc>
          <w:tcPr>
            <w:tcW w:w="1159" w:type="pct"/>
            <w:tcMar>
              <w:top w:w="0" w:type="dxa"/>
              <w:left w:w="108" w:type="dxa"/>
              <w:bottom w:w="0" w:type="dxa"/>
              <w:right w:w="108" w:type="dxa"/>
            </w:tcMar>
            <w:vAlign w:val="center"/>
          </w:tcPr>
          <w:p w14:paraId="016D6564"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0,501</w:t>
            </w:r>
          </w:p>
        </w:tc>
      </w:tr>
    </w:tbl>
    <w:p w14:paraId="4BA707A8" w14:textId="77777777" w:rsidR="00D51392" w:rsidRPr="007C4D65" w:rsidRDefault="00D51392" w:rsidP="00D51392">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3"/>
        <w:gridCol w:w="2126"/>
        <w:gridCol w:w="3233"/>
        <w:gridCol w:w="3233"/>
        <w:gridCol w:w="3233"/>
      </w:tblGrid>
      <w:tr w:rsidR="00D51392" w:rsidRPr="007C4D65" w14:paraId="1CA2C3D5" w14:textId="77777777" w:rsidTr="00B6017F">
        <w:trPr>
          <w:trHeight w:val="483"/>
        </w:trPr>
        <w:tc>
          <w:tcPr>
            <w:tcW w:w="761" w:type="pct"/>
            <w:vMerge w:val="restart"/>
            <w:shd w:val="clear" w:color="auto" w:fill="D9D9D9"/>
            <w:tcMar>
              <w:top w:w="0" w:type="dxa"/>
              <w:left w:w="108" w:type="dxa"/>
              <w:bottom w:w="0" w:type="dxa"/>
              <w:right w:w="108" w:type="dxa"/>
            </w:tcMar>
            <w:vAlign w:val="center"/>
            <w:hideMark/>
          </w:tcPr>
          <w:p w14:paraId="61DDA5A6"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5.4.1. Measure</w:t>
            </w:r>
          </w:p>
        </w:tc>
        <w:tc>
          <w:tcPr>
            <w:tcW w:w="762" w:type="pct"/>
            <w:vMerge w:val="restart"/>
            <w:tcMar>
              <w:top w:w="0" w:type="dxa"/>
              <w:left w:w="108" w:type="dxa"/>
              <w:bottom w:w="0" w:type="dxa"/>
              <w:right w:w="108" w:type="dxa"/>
            </w:tcMar>
            <w:vAlign w:val="center"/>
          </w:tcPr>
          <w:p w14:paraId="0F28C78B"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Enhance the level of knowledge of users of chemicals and public awareness concerning chemicals management</w:t>
            </w:r>
          </w:p>
        </w:tc>
        <w:tc>
          <w:tcPr>
            <w:tcW w:w="1159" w:type="pct"/>
            <w:shd w:val="clear" w:color="auto" w:fill="D9D9D9"/>
            <w:tcMar>
              <w:top w:w="0" w:type="dxa"/>
              <w:left w:w="108" w:type="dxa"/>
              <w:bottom w:w="0" w:type="dxa"/>
              <w:right w:w="108" w:type="dxa"/>
            </w:tcMar>
            <w:vAlign w:val="center"/>
            <w:hideMark/>
          </w:tcPr>
          <w:p w14:paraId="2A7BEB1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6EF7027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1527382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2F2CCEDE" w14:textId="77777777" w:rsidTr="00B6017F">
        <w:trPr>
          <w:trHeight w:val="287"/>
        </w:trPr>
        <w:tc>
          <w:tcPr>
            <w:tcW w:w="761" w:type="pct"/>
            <w:vMerge/>
            <w:shd w:val="clear" w:color="auto" w:fill="D9D9D9"/>
            <w:vAlign w:val="center"/>
          </w:tcPr>
          <w:p w14:paraId="2B3F7FA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3E11B34A"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817F480"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Continuously implemented promotional and educational activities in the field of chemical management, taking into consideration other aspects of gender equality, social equality and poverty, as well as the environmental impact</w:t>
            </w:r>
          </w:p>
        </w:tc>
        <w:tc>
          <w:tcPr>
            <w:tcW w:w="1159" w:type="pct"/>
            <w:shd w:val="clear" w:color="auto" w:fill="FFFFFF"/>
            <w:tcMar>
              <w:top w:w="0" w:type="dxa"/>
              <w:left w:w="108" w:type="dxa"/>
              <w:bottom w:w="0" w:type="dxa"/>
              <w:right w:w="108" w:type="dxa"/>
            </w:tcMar>
            <w:vAlign w:val="center"/>
          </w:tcPr>
          <w:p w14:paraId="5A0BAB70" w14:textId="1BE4C422"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Public information campaigns in media that provide information about the risks for human health and environment related to use of chemicals are rare and only implemented under special projects, not as a part of regular work of institutions</w:t>
            </w:r>
          </w:p>
        </w:tc>
        <w:tc>
          <w:tcPr>
            <w:tcW w:w="1159" w:type="pct"/>
            <w:shd w:val="clear" w:color="auto" w:fill="FFFFFF"/>
          </w:tcPr>
          <w:p w14:paraId="0CBCD8D5" w14:textId="77777777" w:rsidR="00D51392" w:rsidRPr="007C4D65" w:rsidRDefault="00D51392" w:rsidP="00B6017F">
            <w:pPr>
              <w:spacing w:before="40" w:after="40" w:line="276" w:lineRule="auto"/>
              <w:ind w:left="69"/>
              <w:rPr>
                <w:rFonts w:asciiTheme="minorHAnsi" w:eastAsia="Calibri" w:hAnsiTheme="minorHAnsi" w:cstheme="minorHAnsi"/>
                <w:sz w:val="18"/>
                <w:szCs w:val="18"/>
              </w:rPr>
            </w:pPr>
            <w:r w:rsidRPr="007C4D65">
              <w:rPr>
                <w:rFonts w:asciiTheme="minorHAnsi" w:hAnsiTheme="minorHAnsi"/>
                <w:sz w:val="18"/>
                <w:szCs w:val="18"/>
              </w:rPr>
              <w:t>Periodically developed educational guides/brochures/leaflets available in health institutions of the Federation of BiH (2030)</w:t>
            </w:r>
          </w:p>
          <w:p w14:paraId="43D7217F"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color w:val="000000" w:themeColor="text1"/>
                <w:sz w:val="18"/>
                <w:szCs w:val="18"/>
              </w:rPr>
              <w:t>Addressing the general public through the media on the risks of use of chemicals implemented on annual level on appropriate dates when such risks are especially emphasized at international level (</w:t>
            </w:r>
            <w:proofErr w:type="gramStart"/>
            <w:r w:rsidRPr="007C4D65">
              <w:rPr>
                <w:rFonts w:asciiTheme="minorHAnsi" w:hAnsiTheme="minorHAnsi"/>
                <w:color w:val="000000" w:themeColor="text1"/>
                <w:sz w:val="18"/>
                <w:szCs w:val="18"/>
              </w:rPr>
              <w:t>e.g.</w:t>
            </w:r>
            <w:proofErr w:type="gramEnd"/>
            <w:r w:rsidRPr="007C4D65">
              <w:rPr>
                <w:rFonts w:asciiTheme="minorHAnsi" w:hAnsiTheme="minorHAnsi"/>
                <w:color w:val="000000" w:themeColor="text1"/>
                <w:sz w:val="18"/>
                <w:szCs w:val="18"/>
              </w:rPr>
              <w:t xml:space="preserve"> lead poisoning, use of pesticides, mercury poisoning, etc.) or as a part of specific project activities</w:t>
            </w:r>
          </w:p>
        </w:tc>
      </w:tr>
      <w:tr w:rsidR="00D51392" w:rsidRPr="007C4D65" w14:paraId="6DD48D86" w14:textId="77777777" w:rsidTr="00B6017F">
        <w:trPr>
          <w:trHeight w:val="287"/>
        </w:trPr>
        <w:tc>
          <w:tcPr>
            <w:tcW w:w="761" w:type="pct"/>
            <w:vMerge/>
            <w:shd w:val="clear" w:color="auto" w:fill="D9D9D9"/>
            <w:vAlign w:val="center"/>
          </w:tcPr>
          <w:p w14:paraId="6508EA4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221142A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B378AE4"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Public call for the civil society organizations, research and education centres on the topic of raising awareness on chemical safety among the population issued on annual basis</w:t>
            </w:r>
          </w:p>
        </w:tc>
        <w:tc>
          <w:tcPr>
            <w:tcW w:w="1159" w:type="pct"/>
            <w:shd w:val="clear" w:color="auto" w:fill="FFFFFF"/>
            <w:tcMar>
              <w:top w:w="0" w:type="dxa"/>
              <w:left w:w="108" w:type="dxa"/>
              <w:bottom w:w="0" w:type="dxa"/>
              <w:right w:w="108" w:type="dxa"/>
            </w:tcMar>
            <w:vAlign w:val="center"/>
          </w:tcPr>
          <w:p w14:paraId="6CD80E77" w14:textId="32451914"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 Environmental Protection Fund has been regularly issuing public calls for projects to implement the measures from the Environmental Strategy Chemical safety has not been included in the public calls so far</w:t>
            </w:r>
          </w:p>
        </w:tc>
        <w:tc>
          <w:tcPr>
            <w:tcW w:w="1159" w:type="pct"/>
            <w:shd w:val="clear" w:color="auto" w:fill="FFFFFF"/>
            <w:vAlign w:val="center"/>
          </w:tcPr>
          <w:p w14:paraId="37AFC991"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Recognize chemical safety in the scope of public calls for raising public awareness, research and educational activities in the field of environment that is issued the Environmental Protection Fund of the Federation of BiH (2030)</w:t>
            </w:r>
          </w:p>
        </w:tc>
      </w:tr>
      <w:tr w:rsidR="00D51392" w:rsidRPr="007C4D65" w14:paraId="342EDC29" w14:textId="77777777" w:rsidTr="00B6017F">
        <w:trPr>
          <w:trHeight w:val="287"/>
        </w:trPr>
        <w:tc>
          <w:tcPr>
            <w:tcW w:w="761" w:type="pct"/>
            <w:vMerge/>
            <w:shd w:val="clear" w:color="auto" w:fill="D9D9D9"/>
            <w:vAlign w:val="center"/>
          </w:tcPr>
          <w:p w14:paraId="0E46435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38915B2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B62FA7A" w14:textId="1FDFEE1B"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Frequency and appropriateness of education of advisors for chemicals and users of chemicals as well as provision of better information to legal entities in the chain of chemical safety</w:t>
            </w:r>
          </w:p>
        </w:tc>
        <w:tc>
          <w:tcPr>
            <w:tcW w:w="1159" w:type="pct"/>
            <w:shd w:val="clear" w:color="auto" w:fill="FFFFFF"/>
            <w:tcMar>
              <w:top w:w="0" w:type="dxa"/>
              <w:left w:w="108" w:type="dxa"/>
              <w:bottom w:w="0" w:type="dxa"/>
              <w:right w:w="108" w:type="dxa"/>
            </w:tcMar>
            <w:vAlign w:val="center"/>
          </w:tcPr>
          <w:p w14:paraId="5F2FF834" w14:textId="6CBE537A"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 system for periodic training of advisors for chemicals has not been established</w:t>
            </w:r>
          </w:p>
        </w:tc>
        <w:tc>
          <w:tcPr>
            <w:tcW w:w="1159" w:type="pct"/>
            <w:shd w:val="clear" w:color="auto" w:fill="FFFFFF"/>
            <w:vAlign w:val="center"/>
          </w:tcPr>
          <w:p w14:paraId="4E51D395"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 xml:space="preserve">Continuous training of advisors for chemicals aligned with the data of the Federation Administration for Inspection in the field of health inspection on the most common irregularities identified in the field, and with the information from FMH, PCC, and recognizing gender </w:t>
            </w:r>
            <w:r w:rsidRPr="007C4D65">
              <w:rPr>
                <w:rFonts w:asciiTheme="minorHAnsi" w:hAnsiTheme="minorHAnsi"/>
                <w:sz w:val="18"/>
                <w:szCs w:val="18"/>
              </w:rPr>
              <w:lastRenderedPageBreak/>
              <w:t>equality, social equity and poverty in chemical safety (2030)</w:t>
            </w:r>
          </w:p>
        </w:tc>
      </w:tr>
      <w:tr w:rsidR="00D51392" w:rsidRPr="007C4D65" w14:paraId="3E0F634B" w14:textId="77777777" w:rsidTr="00B6017F">
        <w:trPr>
          <w:trHeight w:val="287"/>
        </w:trPr>
        <w:tc>
          <w:tcPr>
            <w:tcW w:w="761" w:type="pct"/>
            <w:vMerge/>
            <w:shd w:val="clear" w:color="auto" w:fill="D9D9D9"/>
            <w:vAlign w:val="center"/>
          </w:tcPr>
          <w:p w14:paraId="04C0F35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79449118"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67F37E9"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Frequency and appropriateness of educational activities targeting </w:t>
            </w:r>
            <w:proofErr w:type="gramStart"/>
            <w:r w:rsidRPr="007C4D65">
              <w:rPr>
                <w:rFonts w:asciiTheme="minorHAnsi" w:hAnsiTheme="minorHAnsi"/>
                <w:sz w:val="18"/>
                <w:szCs w:val="18"/>
              </w:rPr>
              <w:t>general public</w:t>
            </w:r>
            <w:proofErr w:type="gramEnd"/>
            <w:r w:rsidRPr="007C4D65">
              <w:rPr>
                <w:rFonts w:asciiTheme="minorHAnsi" w:hAnsiTheme="minorHAnsi"/>
                <w:sz w:val="18"/>
                <w:szCs w:val="18"/>
              </w:rPr>
              <w:t xml:space="preserve"> on the risks that posed by the use of chemicals</w:t>
            </w:r>
          </w:p>
        </w:tc>
        <w:tc>
          <w:tcPr>
            <w:tcW w:w="1159" w:type="pct"/>
            <w:shd w:val="clear" w:color="auto" w:fill="FFFFFF"/>
            <w:tcMar>
              <w:top w:w="0" w:type="dxa"/>
              <w:left w:w="108" w:type="dxa"/>
              <w:bottom w:w="0" w:type="dxa"/>
              <w:right w:w="108" w:type="dxa"/>
            </w:tcMar>
            <w:vAlign w:val="center"/>
          </w:tcPr>
          <w:p w14:paraId="6990B897" w14:textId="5C956F12"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Competent institutions in the field of health and chemicals management do not inform </w:t>
            </w:r>
            <w:proofErr w:type="gramStart"/>
            <w:r w:rsidRPr="007C4D65">
              <w:rPr>
                <w:rFonts w:asciiTheme="minorHAnsi" w:hAnsiTheme="minorHAnsi"/>
                <w:sz w:val="18"/>
                <w:szCs w:val="18"/>
              </w:rPr>
              <w:t>general public</w:t>
            </w:r>
            <w:proofErr w:type="gramEnd"/>
            <w:r w:rsidRPr="007C4D65">
              <w:rPr>
                <w:rFonts w:asciiTheme="minorHAnsi" w:hAnsiTheme="minorHAnsi"/>
                <w:sz w:val="18"/>
                <w:szCs w:val="18"/>
              </w:rPr>
              <w:t xml:space="preserve"> on the risks posed by use of chemicals, particularly on the most common cases of poisoning and harm</w:t>
            </w:r>
          </w:p>
        </w:tc>
        <w:tc>
          <w:tcPr>
            <w:tcW w:w="1159" w:type="pct"/>
            <w:shd w:val="clear" w:color="auto" w:fill="FFFFFF"/>
            <w:vAlign w:val="center"/>
          </w:tcPr>
          <w:p w14:paraId="7006559D" w14:textId="2482A24A"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 xml:space="preserve">Periodical educational activities targeting </w:t>
            </w:r>
            <w:proofErr w:type="gramStart"/>
            <w:r w:rsidRPr="007C4D65">
              <w:rPr>
                <w:rFonts w:asciiTheme="minorHAnsi" w:hAnsiTheme="minorHAnsi"/>
                <w:sz w:val="18"/>
                <w:szCs w:val="18"/>
              </w:rPr>
              <w:t>general public</w:t>
            </w:r>
            <w:proofErr w:type="gramEnd"/>
            <w:r w:rsidRPr="007C4D65">
              <w:rPr>
                <w:rFonts w:asciiTheme="minorHAnsi" w:hAnsiTheme="minorHAnsi"/>
                <w:sz w:val="18"/>
                <w:szCs w:val="18"/>
              </w:rPr>
              <w:t xml:space="preserve"> jointly implemented by the competent entity ministries and the Inspectorate of the </w:t>
            </w:r>
            <w:r w:rsidR="00295360" w:rsidRPr="007C4D65">
              <w:rPr>
                <w:rFonts w:asciiTheme="minorHAnsi" w:hAnsiTheme="minorHAnsi"/>
                <w:sz w:val="18"/>
                <w:szCs w:val="18"/>
              </w:rPr>
              <w:t>Brcko</w:t>
            </w:r>
            <w:r w:rsidRPr="007C4D65">
              <w:rPr>
                <w:rFonts w:asciiTheme="minorHAnsi" w:hAnsiTheme="minorHAnsi"/>
                <w:sz w:val="18"/>
                <w:szCs w:val="18"/>
              </w:rPr>
              <w:t xml:space="preserve"> district of BiH in the field of health regarding the risks related to use of chemicals, for the purpose of protection of human health, and taking into consideration the aspects of gender equality, social equity and poverty, and environment (2030)</w:t>
            </w:r>
          </w:p>
        </w:tc>
      </w:tr>
      <w:tr w:rsidR="00D51392" w:rsidRPr="007C4D65" w14:paraId="7F0CC8AC" w14:textId="77777777" w:rsidTr="00B6017F">
        <w:trPr>
          <w:trHeight w:val="287"/>
        </w:trPr>
        <w:tc>
          <w:tcPr>
            <w:tcW w:w="761" w:type="pct"/>
            <w:vMerge/>
            <w:shd w:val="clear" w:color="auto" w:fill="D9D9D9"/>
            <w:vAlign w:val="center"/>
          </w:tcPr>
          <w:p w14:paraId="6F61067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784100DA"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0CAA94C"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 Periodic organisation and implementation of training of repairers of HVAC equipment and provision of certificates</w:t>
            </w:r>
          </w:p>
        </w:tc>
        <w:tc>
          <w:tcPr>
            <w:tcW w:w="1159" w:type="pct"/>
            <w:shd w:val="clear" w:color="auto" w:fill="FFFFFF"/>
            <w:tcMar>
              <w:top w:w="0" w:type="dxa"/>
              <w:left w:w="108" w:type="dxa"/>
              <w:bottom w:w="0" w:type="dxa"/>
              <w:right w:w="108" w:type="dxa"/>
            </w:tcMar>
            <w:vAlign w:val="center"/>
          </w:tcPr>
          <w:p w14:paraId="29CDBD6D"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Piece of legislation that regulates the training of repairers of HVAC equipment has not yet been adopted</w:t>
            </w:r>
          </w:p>
        </w:tc>
        <w:tc>
          <w:tcPr>
            <w:tcW w:w="1159" w:type="pct"/>
            <w:shd w:val="clear" w:color="auto" w:fill="FFFFFF"/>
            <w:vAlign w:val="center"/>
          </w:tcPr>
          <w:p w14:paraId="54E8B8F7" w14:textId="77777777" w:rsidR="00D51392" w:rsidRPr="007C4D65" w:rsidRDefault="00D51392" w:rsidP="00B6017F">
            <w:pPr>
              <w:spacing w:after="120" w:line="276" w:lineRule="auto"/>
              <w:ind w:left="69" w:hanging="2"/>
              <w:contextualSpacing/>
              <w:rPr>
                <w:rFonts w:asciiTheme="minorHAnsi" w:hAnsiTheme="minorHAnsi" w:cstheme="minorHAnsi"/>
                <w:sz w:val="18"/>
                <w:szCs w:val="18"/>
              </w:rPr>
            </w:pPr>
            <w:r w:rsidRPr="007C4D65">
              <w:rPr>
                <w:rFonts w:asciiTheme="minorHAnsi" w:hAnsiTheme="minorHAnsi"/>
                <w:sz w:val="18"/>
                <w:szCs w:val="18"/>
              </w:rPr>
              <w:t>The HVAC equipment repairers trained and given the certificates of passed exam in accordance with applicable legislation in the field of managing ozone depleting substances (2024)</w:t>
            </w:r>
          </w:p>
        </w:tc>
      </w:tr>
      <w:tr w:rsidR="00D51392" w:rsidRPr="007C4D65" w14:paraId="34BDA243" w14:textId="77777777" w:rsidTr="00B6017F">
        <w:trPr>
          <w:trHeight w:val="483"/>
        </w:trPr>
        <w:tc>
          <w:tcPr>
            <w:tcW w:w="761" w:type="pct"/>
            <w:vMerge/>
            <w:shd w:val="clear" w:color="auto" w:fill="D9D9D9"/>
            <w:vAlign w:val="center"/>
            <w:hideMark/>
          </w:tcPr>
          <w:p w14:paraId="287B72B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22ED60B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07A39B0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2A7F39E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6DDC3A83"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685425D5" w14:textId="77777777" w:rsidTr="00B6017F">
        <w:trPr>
          <w:trHeight w:val="287"/>
        </w:trPr>
        <w:tc>
          <w:tcPr>
            <w:tcW w:w="761" w:type="pct"/>
            <w:vMerge/>
            <w:shd w:val="clear" w:color="auto" w:fill="D9D9D9"/>
            <w:vAlign w:val="center"/>
            <w:hideMark/>
          </w:tcPr>
          <w:p w14:paraId="6A06A2C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1B9EABB8"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12E7102"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0,050</w:t>
            </w:r>
          </w:p>
        </w:tc>
        <w:tc>
          <w:tcPr>
            <w:tcW w:w="1159" w:type="pct"/>
            <w:tcMar>
              <w:top w:w="0" w:type="dxa"/>
              <w:left w:w="108" w:type="dxa"/>
              <w:bottom w:w="0" w:type="dxa"/>
              <w:right w:w="108" w:type="dxa"/>
            </w:tcMar>
            <w:vAlign w:val="center"/>
          </w:tcPr>
          <w:p w14:paraId="5DB23849"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0,451</w:t>
            </w:r>
          </w:p>
        </w:tc>
        <w:tc>
          <w:tcPr>
            <w:tcW w:w="1159" w:type="pct"/>
            <w:tcMar>
              <w:top w:w="0" w:type="dxa"/>
              <w:left w:w="108" w:type="dxa"/>
              <w:bottom w:w="0" w:type="dxa"/>
              <w:right w:w="108" w:type="dxa"/>
            </w:tcMar>
            <w:vAlign w:val="center"/>
          </w:tcPr>
          <w:p w14:paraId="19262B34"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0,501</w:t>
            </w:r>
          </w:p>
        </w:tc>
      </w:tr>
    </w:tbl>
    <w:p w14:paraId="7F3C4234" w14:textId="77777777" w:rsidR="00D51392" w:rsidRPr="007C4D65" w:rsidRDefault="00D51392" w:rsidP="00D51392">
      <w:pPr>
        <w:spacing w:after="120" w:line="276" w:lineRule="auto"/>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07"/>
        <w:gridCol w:w="2142"/>
        <w:gridCol w:w="3233"/>
        <w:gridCol w:w="3233"/>
        <w:gridCol w:w="3233"/>
      </w:tblGrid>
      <w:tr w:rsidR="00D51392" w:rsidRPr="007C4D65" w14:paraId="4A139B2A" w14:textId="77777777" w:rsidTr="00B6017F">
        <w:trPr>
          <w:trHeight w:val="384"/>
        </w:trPr>
        <w:tc>
          <w:tcPr>
            <w:tcW w:w="755" w:type="pct"/>
            <w:vMerge w:val="restart"/>
            <w:shd w:val="clear" w:color="auto" w:fill="D9D9D9"/>
            <w:tcMar>
              <w:top w:w="0" w:type="dxa"/>
              <w:left w:w="108" w:type="dxa"/>
              <w:bottom w:w="0" w:type="dxa"/>
              <w:right w:w="108" w:type="dxa"/>
            </w:tcMar>
            <w:vAlign w:val="center"/>
          </w:tcPr>
          <w:p w14:paraId="45C4BF53"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5.5. Priority</w:t>
            </w:r>
          </w:p>
        </w:tc>
        <w:tc>
          <w:tcPr>
            <w:tcW w:w="768" w:type="pct"/>
            <w:vMerge w:val="restart"/>
            <w:tcMar>
              <w:top w:w="0" w:type="dxa"/>
              <w:left w:w="108" w:type="dxa"/>
              <w:bottom w:w="0" w:type="dxa"/>
              <w:right w:w="108" w:type="dxa"/>
            </w:tcMar>
            <w:vAlign w:val="center"/>
          </w:tcPr>
          <w:p w14:paraId="27ECA580" w14:textId="61377632" w:rsidR="00D51392" w:rsidRPr="007C4D65" w:rsidRDefault="00D51392"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t>Establish</w:t>
            </w:r>
            <w:r w:rsidR="00436AC8" w:rsidRPr="007C4D65">
              <w:rPr>
                <w:rFonts w:asciiTheme="minorHAnsi" w:hAnsiTheme="minorHAnsi"/>
                <w:b/>
                <w:sz w:val="18"/>
                <w:szCs w:val="18"/>
              </w:rPr>
              <w:t xml:space="preserve"> a</w:t>
            </w:r>
            <w:r w:rsidRPr="007C4D65">
              <w:rPr>
                <w:rFonts w:asciiTheme="minorHAnsi" w:hAnsiTheme="minorHAnsi"/>
                <w:b/>
                <w:sz w:val="18"/>
                <w:szCs w:val="18"/>
              </w:rPr>
              <w:t xml:space="preserve"> legislative framework and clear institutional competences to transpose EU acquis on environmental noise in legislation of the Federation of BiH</w:t>
            </w:r>
          </w:p>
        </w:tc>
        <w:tc>
          <w:tcPr>
            <w:tcW w:w="1159" w:type="pct"/>
            <w:shd w:val="clear" w:color="auto" w:fill="D9D9D9"/>
            <w:tcMar>
              <w:top w:w="0" w:type="dxa"/>
              <w:left w:w="108" w:type="dxa"/>
              <w:bottom w:w="0" w:type="dxa"/>
              <w:right w:w="108" w:type="dxa"/>
            </w:tcMar>
            <w:vAlign w:val="center"/>
          </w:tcPr>
          <w:p w14:paraId="3C95EAE1" w14:textId="77777777" w:rsidR="00D51392" w:rsidRPr="007C4D65" w:rsidRDefault="00D51392"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59" w:type="pct"/>
            <w:shd w:val="clear" w:color="auto" w:fill="D9D9D9"/>
            <w:tcMar>
              <w:top w:w="0" w:type="dxa"/>
              <w:left w:w="108" w:type="dxa"/>
              <w:bottom w:w="0" w:type="dxa"/>
              <w:right w:w="108" w:type="dxa"/>
            </w:tcMar>
            <w:vAlign w:val="center"/>
          </w:tcPr>
          <w:p w14:paraId="5E60893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tcPr>
          <w:p w14:paraId="387DB84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60F8E49A" w14:textId="77777777" w:rsidTr="00B6017F">
        <w:trPr>
          <w:trHeight w:val="287"/>
        </w:trPr>
        <w:tc>
          <w:tcPr>
            <w:tcW w:w="755" w:type="pct"/>
            <w:vMerge/>
            <w:shd w:val="clear" w:color="auto" w:fill="D9D9D9"/>
            <w:vAlign w:val="center"/>
            <w:hideMark/>
          </w:tcPr>
          <w:p w14:paraId="6D34818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8" w:type="pct"/>
            <w:vMerge/>
            <w:vAlign w:val="center"/>
            <w:hideMark/>
          </w:tcPr>
          <w:p w14:paraId="12593D9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49D3403"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Level of transposition of EU acquis in the field of environmental noise (Directive 2002/49/EC)</w:t>
            </w:r>
          </w:p>
        </w:tc>
        <w:tc>
          <w:tcPr>
            <w:tcW w:w="1159" w:type="pct"/>
            <w:tcMar>
              <w:top w:w="0" w:type="dxa"/>
              <w:left w:w="108" w:type="dxa"/>
              <w:bottom w:w="0" w:type="dxa"/>
              <w:right w:w="108" w:type="dxa"/>
            </w:tcMar>
            <w:vAlign w:val="center"/>
          </w:tcPr>
          <w:p w14:paraId="1DE0FC42"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Current law has not provided the obligation of development and adoption of the Noise Prevention Plans, although that is required by the Directive. In addition, the Law does not address the need to develop strategic noise maps and action plans that will include the activities of prevention / termination of the sources of noise over a longer period</w:t>
            </w:r>
          </w:p>
        </w:tc>
        <w:tc>
          <w:tcPr>
            <w:tcW w:w="1159" w:type="pct"/>
            <w:tcMar>
              <w:top w:w="0" w:type="dxa"/>
              <w:left w:w="108" w:type="dxa"/>
              <w:bottom w:w="0" w:type="dxa"/>
              <w:right w:w="108" w:type="dxa"/>
            </w:tcMar>
            <w:vAlign w:val="center"/>
          </w:tcPr>
          <w:p w14:paraId="5B3A270C"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Partial transposition of EU acquis in the field of environmental noise (Directive 2002/49/</w:t>
            </w:r>
            <w:proofErr w:type="gramStart"/>
            <w:r w:rsidRPr="007C4D65">
              <w:rPr>
                <w:rFonts w:asciiTheme="minorHAnsi" w:hAnsiTheme="minorHAnsi"/>
                <w:sz w:val="18"/>
                <w:szCs w:val="18"/>
              </w:rPr>
              <w:t>EC)(</w:t>
            </w:r>
            <w:proofErr w:type="gramEnd"/>
            <w:r w:rsidRPr="007C4D65">
              <w:rPr>
                <w:rFonts w:asciiTheme="minorHAnsi" w:hAnsiTheme="minorHAnsi"/>
                <w:sz w:val="18"/>
                <w:szCs w:val="18"/>
              </w:rPr>
              <w:t>2026)</w:t>
            </w:r>
          </w:p>
        </w:tc>
      </w:tr>
      <w:tr w:rsidR="00D51392" w:rsidRPr="007C4D65" w14:paraId="27964E3B" w14:textId="77777777" w:rsidTr="00B6017F">
        <w:trPr>
          <w:trHeight w:val="287"/>
        </w:trPr>
        <w:tc>
          <w:tcPr>
            <w:tcW w:w="755" w:type="pct"/>
            <w:vMerge/>
            <w:shd w:val="clear" w:color="auto" w:fill="D9D9D9"/>
            <w:vAlign w:val="center"/>
          </w:tcPr>
          <w:p w14:paraId="4766E1B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8" w:type="pct"/>
            <w:vMerge/>
            <w:vAlign w:val="center"/>
          </w:tcPr>
          <w:p w14:paraId="50ED969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5B74E1D"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Level of transposition of EU acquis on noise emission by outdoor equipment, in accordance with Directive 2000/14/EC</w:t>
            </w:r>
          </w:p>
        </w:tc>
        <w:tc>
          <w:tcPr>
            <w:tcW w:w="1159" w:type="pct"/>
            <w:tcMar>
              <w:top w:w="0" w:type="dxa"/>
              <w:left w:w="108" w:type="dxa"/>
              <w:bottom w:w="0" w:type="dxa"/>
              <w:right w:w="108" w:type="dxa"/>
            </w:tcMar>
            <w:vAlign w:val="center"/>
          </w:tcPr>
          <w:p w14:paraId="243C82E8"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Transposition has not started</w:t>
            </w:r>
          </w:p>
        </w:tc>
        <w:tc>
          <w:tcPr>
            <w:tcW w:w="1159" w:type="pct"/>
            <w:tcMar>
              <w:top w:w="0" w:type="dxa"/>
              <w:left w:w="108" w:type="dxa"/>
              <w:bottom w:w="0" w:type="dxa"/>
              <w:right w:w="108" w:type="dxa"/>
            </w:tcMar>
            <w:vAlign w:val="center"/>
          </w:tcPr>
          <w:p w14:paraId="4076C5FD"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Partial transposition of EU acquis on noise emission by outdoor equipment, in accordance with Directive 2000/14/EC </w:t>
            </w:r>
            <w:r w:rsidRPr="007C4D65">
              <w:rPr>
                <w:rFonts w:asciiTheme="minorHAnsi" w:hAnsiTheme="minorHAnsi"/>
                <w:sz w:val="18"/>
                <w:szCs w:val="18"/>
              </w:rPr>
              <w:lastRenderedPageBreak/>
              <w:t>(2031)</w:t>
            </w:r>
          </w:p>
        </w:tc>
      </w:tr>
      <w:tr w:rsidR="00D51392" w:rsidRPr="007C4D65" w14:paraId="6210018E" w14:textId="77777777" w:rsidTr="00B6017F">
        <w:trPr>
          <w:trHeight w:val="287"/>
        </w:trPr>
        <w:tc>
          <w:tcPr>
            <w:tcW w:w="755" w:type="pct"/>
            <w:vMerge/>
            <w:shd w:val="clear" w:color="auto" w:fill="D9D9D9"/>
            <w:vAlign w:val="center"/>
            <w:hideMark/>
          </w:tcPr>
          <w:p w14:paraId="4C4406A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8" w:type="pct"/>
            <w:vMerge/>
            <w:vAlign w:val="center"/>
            <w:hideMark/>
          </w:tcPr>
          <w:p w14:paraId="68C0DB2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49A3A1B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tcPr>
          <w:p w14:paraId="257F8E5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tcPr>
          <w:p w14:paraId="2984ADE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5D2527EE" w14:textId="77777777" w:rsidTr="00B6017F">
        <w:trPr>
          <w:trHeight w:val="287"/>
        </w:trPr>
        <w:tc>
          <w:tcPr>
            <w:tcW w:w="755" w:type="pct"/>
            <w:vMerge/>
            <w:shd w:val="clear" w:color="auto" w:fill="D9D9D9"/>
            <w:vAlign w:val="center"/>
          </w:tcPr>
          <w:p w14:paraId="1B189CD9"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8" w:type="pct"/>
            <w:vMerge/>
            <w:vAlign w:val="center"/>
          </w:tcPr>
          <w:p w14:paraId="1A45F8C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9653912"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0,115</w:t>
            </w:r>
          </w:p>
        </w:tc>
        <w:tc>
          <w:tcPr>
            <w:tcW w:w="1159" w:type="pct"/>
            <w:tcMar>
              <w:top w:w="0" w:type="dxa"/>
              <w:left w:w="108" w:type="dxa"/>
              <w:bottom w:w="0" w:type="dxa"/>
              <w:right w:w="108" w:type="dxa"/>
            </w:tcMar>
            <w:vAlign w:val="center"/>
          </w:tcPr>
          <w:p w14:paraId="0B4B0E0E"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5966F07F"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0,115</w:t>
            </w:r>
          </w:p>
        </w:tc>
      </w:tr>
    </w:tbl>
    <w:p w14:paraId="7579AF99" w14:textId="77777777" w:rsidR="00D51392" w:rsidRPr="007C4D65" w:rsidRDefault="00D51392" w:rsidP="00D51392">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9"/>
        <w:gridCol w:w="2120"/>
        <w:gridCol w:w="3233"/>
        <w:gridCol w:w="3233"/>
        <w:gridCol w:w="3233"/>
      </w:tblGrid>
      <w:tr w:rsidR="00D51392" w:rsidRPr="007C4D65" w14:paraId="484639E7" w14:textId="77777777" w:rsidTr="00B6017F">
        <w:trPr>
          <w:trHeight w:val="483"/>
        </w:trPr>
        <w:tc>
          <w:tcPr>
            <w:tcW w:w="763" w:type="pct"/>
            <w:vMerge w:val="restart"/>
            <w:shd w:val="clear" w:color="auto" w:fill="D9D9D9"/>
            <w:tcMar>
              <w:top w:w="0" w:type="dxa"/>
              <w:left w:w="108" w:type="dxa"/>
              <w:bottom w:w="0" w:type="dxa"/>
              <w:right w:w="108" w:type="dxa"/>
            </w:tcMar>
            <w:vAlign w:val="center"/>
            <w:hideMark/>
          </w:tcPr>
          <w:p w14:paraId="58526E20"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5.5.1. Measure</w:t>
            </w:r>
          </w:p>
        </w:tc>
        <w:tc>
          <w:tcPr>
            <w:tcW w:w="760" w:type="pct"/>
            <w:vMerge w:val="restart"/>
            <w:tcMar>
              <w:top w:w="0" w:type="dxa"/>
              <w:left w:w="108" w:type="dxa"/>
              <w:bottom w:w="0" w:type="dxa"/>
              <w:right w:w="108" w:type="dxa"/>
            </w:tcMar>
            <w:vAlign w:val="center"/>
          </w:tcPr>
          <w:p w14:paraId="6D57B10A"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Established legislative framework and institutional competences on noise evaluation and management, noise emission by outdoor equipment, in accordance with requirements of Directives 2002/49/EC and 2000/14/EC</w:t>
            </w:r>
          </w:p>
        </w:tc>
        <w:tc>
          <w:tcPr>
            <w:tcW w:w="1159" w:type="pct"/>
            <w:shd w:val="clear" w:color="auto" w:fill="D9D9D9"/>
            <w:tcMar>
              <w:top w:w="0" w:type="dxa"/>
              <w:left w:w="108" w:type="dxa"/>
              <w:bottom w:w="0" w:type="dxa"/>
              <w:right w:w="108" w:type="dxa"/>
            </w:tcMar>
            <w:vAlign w:val="center"/>
            <w:hideMark/>
          </w:tcPr>
          <w:p w14:paraId="582FD0A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3D6498F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574D3710"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17AFC4E0" w14:textId="77777777" w:rsidTr="00B6017F">
        <w:trPr>
          <w:trHeight w:val="287"/>
        </w:trPr>
        <w:tc>
          <w:tcPr>
            <w:tcW w:w="763" w:type="pct"/>
            <w:vMerge/>
            <w:shd w:val="clear" w:color="auto" w:fill="D9D9D9"/>
            <w:vAlign w:val="center"/>
          </w:tcPr>
          <w:p w14:paraId="49282BA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0" w:type="pct"/>
            <w:vMerge/>
            <w:vAlign w:val="center"/>
          </w:tcPr>
          <w:p w14:paraId="251EC21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808B6D6" w14:textId="17D56F9D"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Status of transposition of </w:t>
            </w:r>
            <w:r w:rsidR="001E4D90" w:rsidRPr="007C4D65">
              <w:rPr>
                <w:rFonts w:asciiTheme="minorHAnsi" w:hAnsiTheme="minorHAnsi"/>
                <w:sz w:val="18"/>
                <w:szCs w:val="18"/>
              </w:rPr>
              <w:t>EU regulations</w:t>
            </w:r>
            <w:r w:rsidRPr="007C4D65">
              <w:rPr>
                <w:rFonts w:asciiTheme="minorHAnsi" w:hAnsiTheme="minorHAnsi"/>
                <w:sz w:val="18"/>
                <w:szCs w:val="18"/>
              </w:rPr>
              <w:t xml:space="preserve"> on environmental noise</w:t>
            </w:r>
          </w:p>
        </w:tc>
        <w:tc>
          <w:tcPr>
            <w:tcW w:w="1159" w:type="pct"/>
            <w:shd w:val="clear" w:color="auto" w:fill="FFFFFF"/>
            <w:tcMar>
              <w:top w:w="0" w:type="dxa"/>
              <w:left w:w="108" w:type="dxa"/>
              <w:bottom w:w="0" w:type="dxa"/>
              <w:right w:w="108" w:type="dxa"/>
            </w:tcMar>
            <w:vAlign w:val="center"/>
          </w:tcPr>
          <w:p w14:paraId="715AF858" w14:textId="757A8915"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Low level of transposition of the Directive 2002/49/EC on environmental noise</w:t>
            </w:r>
          </w:p>
        </w:tc>
        <w:tc>
          <w:tcPr>
            <w:tcW w:w="1159" w:type="pct"/>
            <w:shd w:val="clear" w:color="auto" w:fill="FFFFFF"/>
            <w:vAlign w:val="center"/>
          </w:tcPr>
          <w:p w14:paraId="0849F103" w14:textId="78E9E223" w:rsidR="00D51392" w:rsidRPr="007C4D65" w:rsidRDefault="00D51392" w:rsidP="005F516C">
            <w:pPr>
              <w:spacing w:before="40" w:after="40" w:line="276" w:lineRule="auto"/>
              <w:ind w:left="69"/>
              <w:rPr>
                <w:rFonts w:asciiTheme="minorHAnsi" w:hAnsiTheme="minorHAnsi" w:cstheme="minorHAnsi"/>
                <w:sz w:val="18"/>
                <w:szCs w:val="18"/>
                <w:lang w:val="hr-HR"/>
              </w:rPr>
            </w:pPr>
            <w:r w:rsidRPr="007C4D65">
              <w:rPr>
                <w:rFonts w:asciiTheme="minorHAnsi" w:hAnsiTheme="minorHAnsi"/>
                <w:sz w:val="18"/>
                <w:szCs w:val="18"/>
              </w:rPr>
              <w:t>Updated current Law on Noise Protection, including clear description of institutional competences (2025)</w:t>
            </w:r>
          </w:p>
        </w:tc>
      </w:tr>
      <w:tr w:rsidR="00D51392" w:rsidRPr="007C4D65" w14:paraId="43BAC07B" w14:textId="77777777" w:rsidTr="00B6017F">
        <w:trPr>
          <w:trHeight w:val="287"/>
        </w:trPr>
        <w:tc>
          <w:tcPr>
            <w:tcW w:w="763" w:type="pct"/>
            <w:vMerge/>
            <w:shd w:val="clear" w:color="auto" w:fill="D9D9D9"/>
            <w:vAlign w:val="center"/>
          </w:tcPr>
          <w:p w14:paraId="4D209579"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0" w:type="pct"/>
            <w:vMerge/>
            <w:vAlign w:val="center"/>
          </w:tcPr>
          <w:p w14:paraId="7613237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7446445"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Status of secondary legislation (bylaws) that follow from the Law on Noise, which regulate development of strategic noise maps and noise protection action plans, in accordance with requirements of the Directive 2002/49/EC</w:t>
            </w:r>
          </w:p>
        </w:tc>
        <w:tc>
          <w:tcPr>
            <w:tcW w:w="1159" w:type="pct"/>
            <w:shd w:val="clear" w:color="auto" w:fill="FFFFFF"/>
            <w:tcMar>
              <w:top w:w="0" w:type="dxa"/>
              <w:left w:w="108" w:type="dxa"/>
              <w:bottom w:w="0" w:type="dxa"/>
              <w:right w:w="108" w:type="dxa"/>
            </w:tcMar>
            <w:vAlign w:val="center"/>
          </w:tcPr>
          <w:p w14:paraId="75C79563"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Low level of transposition of the Directive 2002/49/EC on environmental noise. Upon harmonisation of the Law on Noise Protection, it will be necessary to adopt secondary legislation (bylaws) to precisely define the area of development of strategic noise maps and noise protection action plans</w:t>
            </w:r>
          </w:p>
        </w:tc>
        <w:tc>
          <w:tcPr>
            <w:tcW w:w="1159" w:type="pct"/>
            <w:shd w:val="clear" w:color="auto" w:fill="FFFFFF"/>
            <w:vAlign w:val="center"/>
          </w:tcPr>
          <w:p w14:paraId="04BAED81" w14:textId="77777777" w:rsidR="00D51392" w:rsidRPr="007C4D65" w:rsidRDefault="00D51392" w:rsidP="00B6017F">
            <w:pPr>
              <w:spacing w:before="40" w:after="40" w:line="276" w:lineRule="auto"/>
              <w:ind w:left="69"/>
              <w:jc w:val="both"/>
              <w:rPr>
                <w:rFonts w:asciiTheme="minorHAnsi" w:eastAsia="Calibri" w:hAnsiTheme="minorHAnsi" w:cstheme="minorHAnsi"/>
                <w:sz w:val="18"/>
                <w:szCs w:val="18"/>
              </w:rPr>
            </w:pPr>
            <w:r w:rsidRPr="007C4D65">
              <w:rPr>
                <w:rFonts w:asciiTheme="minorHAnsi" w:hAnsiTheme="minorHAnsi"/>
                <w:sz w:val="18"/>
                <w:szCs w:val="18"/>
              </w:rPr>
              <w:t>Developed and adopted secondary legislation (bylaws) that follow from the Law on Noise, which regulate development of strategic noise maps and noise protection action plans, in accordance with requirements of the Directive 2002/49/EC</w:t>
            </w:r>
          </w:p>
          <w:p w14:paraId="12362F21"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(2026)</w:t>
            </w:r>
          </w:p>
        </w:tc>
      </w:tr>
      <w:tr w:rsidR="00D51392" w:rsidRPr="007C4D65" w14:paraId="1A6F0C65" w14:textId="77777777" w:rsidTr="00B6017F">
        <w:trPr>
          <w:trHeight w:val="287"/>
        </w:trPr>
        <w:tc>
          <w:tcPr>
            <w:tcW w:w="763" w:type="pct"/>
            <w:vMerge/>
            <w:shd w:val="clear" w:color="auto" w:fill="D9D9D9"/>
            <w:vAlign w:val="center"/>
          </w:tcPr>
          <w:p w14:paraId="6E771110"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0" w:type="pct"/>
            <w:vMerge/>
            <w:vAlign w:val="center"/>
          </w:tcPr>
          <w:p w14:paraId="68D67F9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7EA53A0" w14:textId="5A2E402C"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Status of transposition of </w:t>
            </w:r>
            <w:r w:rsidR="001E4D90" w:rsidRPr="007C4D65">
              <w:rPr>
                <w:rFonts w:asciiTheme="minorHAnsi" w:hAnsiTheme="minorHAnsi"/>
                <w:sz w:val="18"/>
                <w:szCs w:val="18"/>
              </w:rPr>
              <w:t>EU regulations</w:t>
            </w:r>
            <w:r w:rsidRPr="007C4D65">
              <w:rPr>
                <w:rFonts w:asciiTheme="minorHAnsi" w:hAnsiTheme="minorHAnsi"/>
                <w:sz w:val="18"/>
                <w:szCs w:val="18"/>
              </w:rPr>
              <w:t xml:space="preserve"> on environmental noise emission by outdoor equipment</w:t>
            </w:r>
          </w:p>
        </w:tc>
        <w:tc>
          <w:tcPr>
            <w:tcW w:w="1159" w:type="pct"/>
            <w:shd w:val="clear" w:color="auto" w:fill="FFFFFF"/>
            <w:tcMar>
              <w:top w:w="0" w:type="dxa"/>
              <w:left w:w="108" w:type="dxa"/>
              <w:bottom w:w="0" w:type="dxa"/>
              <w:right w:w="108" w:type="dxa"/>
            </w:tcMar>
            <w:vAlign w:val="center"/>
          </w:tcPr>
          <w:p w14:paraId="4396CD55"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There is no legal basis for transposition of the Directive 2000/14/EC regarding harmonisation of legislation of member countries regulating the environmental noise emission by outdoor equipment</w:t>
            </w:r>
          </w:p>
        </w:tc>
        <w:tc>
          <w:tcPr>
            <w:tcW w:w="1159" w:type="pct"/>
            <w:shd w:val="clear" w:color="auto" w:fill="FFFFFF"/>
            <w:vAlign w:val="center"/>
          </w:tcPr>
          <w:p w14:paraId="0B50162A"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Law or secondary legislation (bylaws) to prescribe obligations and establish clear institutional competences and obligations regarding noise emission by outdoor equipment (2031)</w:t>
            </w:r>
          </w:p>
        </w:tc>
      </w:tr>
      <w:tr w:rsidR="00D51392" w:rsidRPr="007C4D65" w14:paraId="079F56E4" w14:textId="77777777" w:rsidTr="00B6017F">
        <w:trPr>
          <w:trHeight w:val="483"/>
        </w:trPr>
        <w:tc>
          <w:tcPr>
            <w:tcW w:w="763" w:type="pct"/>
            <w:vMerge/>
            <w:shd w:val="clear" w:color="auto" w:fill="D9D9D9"/>
            <w:vAlign w:val="center"/>
            <w:hideMark/>
          </w:tcPr>
          <w:p w14:paraId="313B4EF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0" w:type="pct"/>
            <w:vMerge/>
            <w:vAlign w:val="center"/>
            <w:hideMark/>
          </w:tcPr>
          <w:p w14:paraId="4B503BA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600C85A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5B701C4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76FA9E7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2FAC1436" w14:textId="77777777" w:rsidTr="00B6017F">
        <w:trPr>
          <w:trHeight w:val="287"/>
        </w:trPr>
        <w:tc>
          <w:tcPr>
            <w:tcW w:w="763" w:type="pct"/>
            <w:vMerge/>
            <w:shd w:val="clear" w:color="auto" w:fill="D9D9D9"/>
            <w:vAlign w:val="center"/>
            <w:hideMark/>
          </w:tcPr>
          <w:p w14:paraId="06D519E9"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0" w:type="pct"/>
            <w:vMerge/>
            <w:vAlign w:val="center"/>
            <w:hideMark/>
          </w:tcPr>
          <w:p w14:paraId="384FB22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4721F9D"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0,115</w:t>
            </w:r>
          </w:p>
        </w:tc>
        <w:tc>
          <w:tcPr>
            <w:tcW w:w="1159" w:type="pct"/>
            <w:tcMar>
              <w:top w:w="0" w:type="dxa"/>
              <w:left w:w="108" w:type="dxa"/>
              <w:bottom w:w="0" w:type="dxa"/>
              <w:right w:w="108" w:type="dxa"/>
            </w:tcMar>
            <w:vAlign w:val="center"/>
          </w:tcPr>
          <w:p w14:paraId="0933B2A4"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1F58E092"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0,115</w:t>
            </w:r>
          </w:p>
        </w:tc>
      </w:tr>
    </w:tbl>
    <w:p w14:paraId="779026EB" w14:textId="77777777" w:rsidR="00D51392" w:rsidRPr="007C4D65" w:rsidRDefault="00D51392" w:rsidP="00D51392">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3"/>
        <w:gridCol w:w="2126"/>
        <w:gridCol w:w="3233"/>
        <w:gridCol w:w="3233"/>
        <w:gridCol w:w="3233"/>
      </w:tblGrid>
      <w:tr w:rsidR="00D51392" w:rsidRPr="007C4D65" w14:paraId="4583774A" w14:textId="77777777" w:rsidTr="00B6017F">
        <w:trPr>
          <w:trHeight w:val="384"/>
        </w:trPr>
        <w:tc>
          <w:tcPr>
            <w:tcW w:w="761" w:type="pct"/>
            <w:vMerge w:val="restart"/>
            <w:shd w:val="clear" w:color="auto" w:fill="D9D9D9"/>
            <w:tcMar>
              <w:top w:w="0" w:type="dxa"/>
              <w:left w:w="108" w:type="dxa"/>
              <w:bottom w:w="0" w:type="dxa"/>
              <w:right w:w="108" w:type="dxa"/>
            </w:tcMar>
            <w:vAlign w:val="center"/>
          </w:tcPr>
          <w:p w14:paraId="7031F443"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5.6. Priority</w:t>
            </w:r>
          </w:p>
          <w:p w14:paraId="4774A7F3"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restart"/>
            <w:tcMar>
              <w:top w:w="0" w:type="dxa"/>
              <w:left w:w="108" w:type="dxa"/>
              <w:bottom w:w="0" w:type="dxa"/>
              <w:right w:w="108" w:type="dxa"/>
            </w:tcMar>
            <w:vAlign w:val="center"/>
          </w:tcPr>
          <w:p w14:paraId="615BE79F" w14:textId="77777777" w:rsidR="00D51392" w:rsidRPr="007C4D65" w:rsidRDefault="00D51392"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t>Enhance strategic planning and monitoring of environmental noise</w:t>
            </w:r>
          </w:p>
        </w:tc>
        <w:tc>
          <w:tcPr>
            <w:tcW w:w="1159" w:type="pct"/>
            <w:shd w:val="clear" w:color="auto" w:fill="D9D9D9"/>
            <w:tcMar>
              <w:top w:w="0" w:type="dxa"/>
              <w:left w:w="108" w:type="dxa"/>
              <w:bottom w:w="0" w:type="dxa"/>
              <w:right w:w="108" w:type="dxa"/>
            </w:tcMar>
            <w:vAlign w:val="center"/>
          </w:tcPr>
          <w:p w14:paraId="1DD1B081" w14:textId="77777777" w:rsidR="00D51392" w:rsidRPr="007C4D65" w:rsidRDefault="00D51392"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59" w:type="pct"/>
            <w:shd w:val="clear" w:color="auto" w:fill="D9D9D9"/>
            <w:tcMar>
              <w:top w:w="0" w:type="dxa"/>
              <w:left w:w="108" w:type="dxa"/>
              <w:bottom w:w="0" w:type="dxa"/>
              <w:right w:w="108" w:type="dxa"/>
            </w:tcMar>
            <w:vAlign w:val="center"/>
          </w:tcPr>
          <w:p w14:paraId="106D145E"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tcPr>
          <w:p w14:paraId="43B302E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2B1313AE" w14:textId="77777777" w:rsidTr="00B6017F">
        <w:trPr>
          <w:trHeight w:val="287"/>
        </w:trPr>
        <w:tc>
          <w:tcPr>
            <w:tcW w:w="761" w:type="pct"/>
            <w:vMerge/>
            <w:shd w:val="clear" w:color="auto" w:fill="D9D9D9"/>
            <w:vAlign w:val="center"/>
            <w:hideMark/>
          </w:tcPr>
          <w:p w14:paraId="5F84392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6E90B2BA"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025808F"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Status of development of strategic noise maps for the Federation of BiH</w:t>
            </w:r>
          </w:p>
        </w:tc>
        <w:tc>
          <w:tcPr>
            <w:tcW w:w="1159" w:type="pct"/>
            <w:tcMar>
              <w:top w:w="0" w:type="dxa"/>
              <w:left w:w="108" w:type="dxa"/>
              <w:bottom w:w="0" w:type="dxa"/>
              <w:right w:w="108" w:type="dxa"/>
            </w:tcMar>
            <w:vAlign w:val="center"/>
          </w:tcPr>
          <w:p w14:paraId="79C1B281"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Strategic noise maps have not been prepared</w:t>
            </w:r>
          </w:p>
        </w:tc>
        <w:tc>
          <w:tcPr>
            <w:tcW w:w="1159" w:type="pct"/>
            <w:tcMar>
              <w:top w:w="0" w:type="dxa"/>
              <w:left w:w="108" w:type="dxa"/>
              <w:bottom w:w="0" w:type="dxa"/>
              <w:right w:w="108" w:type="dxa"/>
            </w:tcMar>
            <w:vAlign w:val="center"/>
          </w:tcPr>
          <w:p w14:paraId="16EA06C9"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Development of strategic noise maps in accordance with EU activities (every 5 years) (2027)</w:t>
            </w:r>
          </w:p>
        </w:tc>
      </w:tr>
      <w:tr w:rsidR="00D51392" w:rsidRPr="007C4D65" w14:paraId="5BD06C30" w14:textId="77777777" w:rsidTr="00B6017F">
        <w:trPr>
          <w:trHeight w:val="287"/>
        </w:trPr>
        <w:tc>
          <w:tcPr>
            <w:tcW w:w="761" w:type="pct"/>
            <w:vMerge/>
            <w:shd w:val="clear" w:color="auto" w:fill="D9D9D9"/>
            <w:vAlign w:val="center"/>
          </w:tcPr>
          <w:p w14:paraId="15E6B8B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4F48979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2EECA9FD"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Status of development of noise protection action plan in the Federation of BiH</w:t>
            </w:r>
          </w:p>
        </w:tc>
        <w:tc>
          <w:tcPr>
            <w:tcW w:w="1159" w:type="pct"/>
            <w:tcMar>
              <w:top w:w="0" w:type="dxa"/>
              <w:left w:w="108" w:type="dxa"/>
              <w:bottom w:w="0" w:type="dxa"/>
              <w:right w:w="108" w:type="dxa"/>
            </w:tcMar>
            <w:vAlign w:val="center"/>
          </w:tcPr>
          <w:p w14:paraId="48422DD8"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Noise protection action plan has not been developed</w:t>
            </w:r>
          </w:p>
        </w:tc>
        <w:tc>
          <w:tcPr>
            <w:tcW w:w="1159" w:type="pct"/>
            <w:tcMar>
              <w:top w:w="0" w:type="dxa"/>
              <w:left w:w="108" w:type="dxa"/>
              <w:bottom w:w="0" w:type="dxa"/>
              <w:right w:w="108" w:type="dxa"/>
            </w:tcMar>
            <w:vAlign w:val="center"/>
          </w:tcPr>
          <w:p w14:paraId="2DE596A1"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Development of noise protection action plan (2029)</w:t>
            </w:r>
          </w:p>
        </w:tc>
      </w:tr>
      <w:tr w:rsidR="00D51392" w:rsidRPr="007C4D65" w14:paraId="72024335" w14:textId="77777777" w:rsidTr="00B6017F">
        <w:trPr>
          <w:trHeight w:val="287"/>
        </w:trPr>
        <w:tc>
          <w:tcPr>
            <w:tcW w:w="761" w:type="pct"/>
            <w:vMerge/>
            <w:shd w:val="clear" w:color="auto" w:fill="D9D9D9"/>
            <w:vAlign w:val="center"/>
            <w:hideMark/>
          </w:tcPr>
          <w:p w14:paraId="65D35523"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7776088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0632746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tcPr>
          <w:p w14:paraId="58A80DA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tcPr>
          <w:p w14:paraId="422073A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570FC4E7" w14:textId="77777777" w:rsidTr="00B6017F">
        <w:trPr>
          <w:trHeight w:val="287"/>
        </w:trPr>
        <w:tc>
          <w:tcPr>
            <w:tcW w:w="761" w:type="pct"/>
            <w:vMerge/>
            <w:shd w:val="clear" w:color="auto" w:fill="D9D9D9"/>
            <w:vAlign w:val="center"/>
          </w:tcPr>
          <w:p w14:paraId="5BD92B2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355994BE"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8AC167D"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0,090</w:t>
            </w:r>
          </w:p>
        </w:tc>
        <w:tc>
          <w:tcPr>
            <w:tcW w:w="1159" w:type="pct"/>
            <w:tcMar>
              <w:top w:w="0" w:type="dxa"/>
              <w:left w:w="108" w:type="dxa"/>
              <w:bottom w:w="0" w:type="dxa"/>
              <w:right w:w="108" w:type="dxa"/>
            </w:tcMar>
            <w:vAlign w:val="center"/>
          </w:tcPr>
          <w:p w14:paraId="0CE78E9B"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0,815</w:t>
            </w:r>
          </w:p>
        </w:tc>
        <w:tc>
          <w:tcPr>
            <w:tcW w:w="1159" w:type="pct"/>
            <w:tcMar>
              <w:top w:w="0" w:type="dxa"/>
              <w:left w:w="108" w:type="dxa"/>
              <w:bottom w:w="0" w:type="dxa"/>
              <w:right w:w="108" w:type="dxa"/>
            </w:tcMar>
            <w:vAlign w:val="center"/>
          </w:tcPr>
          <w:p w14:paraId="2A5697F1"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0,905</w:t>
            </w:r>
          </w:p>
        </w:tc>
      </w:tr>
    </w:tbl>
    <w:p w14:paraId="1301AF48" w14:textId="77777777" w:rsidR="00D51392" w:rsidRPr="007C4D65" w:rsidRDefault="00D51392" w:rsidP="00D51392">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3"/>
        <w:gridCol w:w="2126"/>
        <w:gridCol w:w="3233"/>
        <w:gridCol w:w="3233"/>
        <w:gridCol w:w="3233"/>
      </w:tblGrid>
      <w:tr w:rsidR="00D51392" w:rsidRPr="007C4D65" w14:paraId="4F23B573" w14:textId="77777777" w:rsidTr="00B6017F">
        <w:trPr>
          <w:trHeight w:val="483"/>
        </w:trPr>
        <w:tc>
          <w:tcPr>
            <w:tcW w:w="761" w:type="pct"/>
            <w:vMerge w:val="restart"/>
            <w:shd w:val="clear" w:color="auto" w:fill="D9D9D9"/>
            <w:tcMar>
              <w:top w:w="0" w:type="dxa"/>
              <w:left w:w="108" w:type="dxa"/>
              <w:bottom w:w="0" w:type="dxa"/>
              <w:right w:w="108" w:type="dxa"/>
            </w:tcMar>
            <w:vAlign w:val="center"/>
            <w:hideMark/>
          </w:tcPr>
          <w:p w14:paraId="42AE1D12"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5.6.1. Measure</w:t>
            </w:r>
          </w:p>
        </w:tc>
        <w:tc>
          <w:tcPr>
            <w:tcW w:w="762" w:type="pct"/>
            <w:vMerge w:val="restart"/>
            <w:tcMar>
              <w:top w:w="0" w:type="dxa"/>
              <w:left w:w="108" w:type="dxa"/>
              <w:bottom w:w="0" w:type="dxa"/>
              <w:right w:w="108" w:type="dxa"/>
            </w:tcMar>
            <w:vAlign w:val="center"/>
          </w:tcPr>
          <w:p w14:paraId="2C9E130F"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Development of noise maps and action plan</w:t>
            </w:r>
          </w:p>
        </w:tc>
        <w:tc>
          <w:tcPr>
            <w:tcW w:w="1159" w:type="pct"/>
            <w:shd w:val="clear" w:color="auto" w:fill="D9D9D9"/>
            <w:tcMar>
              <w:top w:w="0" w:type="dxa"/>
              <w:left w:w="108" w:type="dxa"/>
              <w:bottom w:w="0" w:type="dxa"/>
              <w:right w:w="108" w:type="dxa"/>
            </w:tcMar>
            <w:vAlign w:val="center"/>
            <w:hideMark/>
          </w:tcPr>
          <w:p w14:paraId="474DDFE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1194206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7AACB83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6F6EA531" w14:textId="77777777" w:rsidTr="00B6017F">
        <w:trPr>
          <w:trHeight w:val="287"/>
        </w:trPr>
        <w:tc>
          <w:tcPr>
            <w:tcW w:w="761" w:type="pct"/>
            <w:vMerge/>
            <w:shd w:val="clear" w:color="auto" w:fill="D9D9D9"/>
            <w:vAlign w:val="center"/>
          </w:tcPr>
          <w:p w14:paraId="27F4E1B5"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7883A9ED"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E1AECBF" w14:textId="77777777" w:rsidR="00D51392" w:rsidRPr="007C4D65" w:rsidRDefault="00D51392" w:rsidP="00B6017F">
            <w:pPr>
              <w:tabs>
                <w:tab w:val="left" w:pos="254"/>
              </w:tabs>
              <w:spacing w:before="40" w:after="40" w:line="276" w:lineRule="auto"/>
              <w:contextualSpacing/>
              <w:rPr>
                <w:rFonts w:asciiTheme="minorHAnsi" w:eastAsia="Calibri" w:hAnsiTheme="minorHAnsi" w:cstheme="minorHAnsi"/>
                <w:sz w:val="18"/>
                <w:szCs w:val="18"/>
              </w:rPr>
            </w:pPr>
            <w:r w:rsidRPr="007C4D65">
              <w:rPr>
                <w:rFonts w:asciiTheme="minorHAnsi" w:hAnsiTheme="minorHAnsi"/>
                <w:sz w:val="18"/>
                <w:szCs w:val="18"/>
              </w:rPr>
              <w:t>Status of identification of priority sections of road and railway transport and airports (major roads, major railways and major airports) for which the strategic noise maps are to be made in accordance with recommendations of Directive 2002/49/EC</w:t>
            </w:r>
          </w:p>
        </w:tc>
        <w:tc>
          <w:tcPr>
            <w:tcW w:w="1159" w:type="pct"/>
            <w:shd w:val="clear" w:color="auto" w:fill="FFFFFF"/>
            <w:tcMar>
              <w:top w:w="0" w:type="dxa"/>
              <w:left w:w="108" w:type="dxa"/>
              <w:bottom w:w="0" w:type="dxa"/>
              <w:right w:w="108" w:type="dxa"/>
            </w:tcMar>
            <w:vAlign w:val="center"/>
          </w:tcPr>
          <w:p w14:paraId="19F93AC6"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Priority sections of road or railway transport, airports or administrative centres for which the strategic noise maps will be made have not been identified.</w:t>
            </w:r>
          </w:p>
        </w:tc>
        <w:tc>
          <w:tcPr>
            <w:tcW w:w="1159" w:type="pct"/>
            <w:shd w:val="clear" w:color="auto" w:fill="FFFFFF"/>
            <w:vAlign w:val="center"/>
          </w:tcPr>
          <w:p w14:paraId="09507A40"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Identified "major roads", "major airports", and "major railways" in accordance with recommendations of Directive 2002/49/EC, and set priorities (2025)</w:t>
            </w:r>
          </w:p>
        </w:tc>
      </w:tr>
      <w:tr w:rsidR="00D51392" w:rsidRPr="007C4D65" w14:paraId="2AD41BAB" w14:textId="77777777" w:rsidTr="00B6017F">
        <w:trPr>
          <w:trHeight w:val="287"/>
        </w:trPr>
        <w:tc>
          <w:tcPr>
            <w:tcW w:w="761" w:type="pct"/>
            <w:vMerge/>
            <w:shd w:val="clear" w:color="auto" w:fill="D9D9D9"/>
            <w:vAlign w:val="center"/>
          </w:tcPr>
          <w:p w14:paraId="02C42EA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3B3DAAA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tcPr>
          <w:p w14:paraId="47C7E205"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Status of strategic noise maps for inhabited areas, identified major roads, airports and railways in accordance with previously established priorities in the Federation of BiH</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tcPr>
          <w:p w14:paraId="5A36AA23" w14:textId="5DE313BD"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Noise maps for inhabited areas, roads, airports and railways in the Federation of BiH have not been developed</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Pr>
          <w:p w14:paraId="7E29F620"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Developed strategic noise maps for inhabited areas, identified major roads, airports and railways in accordance with previously established priorities in the Federation of BiH (2027)</w:t>
            </w:r>
          </w:p>
        </w:tc>
      </w:tr>
      <w:tr w:rsidR="00D51392" w:rsidRPr="007C4D65" w14:paraId="1A260692" w14:textId="77777777" w:rsidTr="00B6017F">
        <w:trPr>
          <w:trHeight w:val="287"/>
        </w:trPr>
        <w:tc>
          <w:tcPr>
            <w:tcW w:w="761" w:type="pct"/>
            <w:vMerge/>
            <w:shd w:val="clear" w:color="auto" w:fill="D9D9D9"/>
            <w:vAlign w:val="center"/>
          </w:tcPr>
          <w:p w14:paraId="2636344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08807ABD"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3F14A33"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Status of the estimation of number of people exposed to noise, by classes of noise and age groups</w:t>
            </w:r>
          </w:p>
        </w:tc>
        <w:tc>
          <w:tcPr>
            <w:tcW w:w="1159" w:type="pct"/>
            <w:shd w:val="clear" w:color="auto" w:fill="FFFFFF"/>
            <w:tcMar>
              <w:top w:w="0" w:type="dxa"/>
              <w:left w:w="108" w:type="dxa"/>
              <w:bottom w:w="0" w:type="dxa"/>
              <w:right w:w="108" w:type="dxa"/>
            </w:tcMar>
            <w:vAlign w:val="center"/>
          </w:tcPr>
          <w:p w14:paraId="1AB86072"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There is no estimate of number of people exposed to noise in Federation of BiH</w:t>
            </w:r>
          </w:p>
        </w:tc>
        <w:tc>
          <w:tcPr>
            <w:tcW w:w="1159" w:type="pct"/>
            <w:shd w:val="clear" w:color="auto" w:fill="FFFFFF"/>
            <w:vAlign w:val="center"/>
          </w:tcPr>
          <w:p w14:paraId="2E58A7B1"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Estimated number of people exposed to noise, by classes of noise and age groups (2027)</w:t>
            </w:r>
          </w:p>
        </w:tc>
      </w:tr>
      <w:tr w:rsidR="00D51392" w:rsidRPr="007C4D65" w14:paraId="48599557" w14:textId="77777777" w:rsidTr="00B6017F">
        <w:trPr>
          <w:trHeight w:val="287"/>
        </w:trPr>
        <w:tc>
          <w:tcPr>
            <w:tcW w:w="761" w:type="pct"/>
            <w:vMerge/>
            <w:shd w:val="clear" w:color="auto" w:fill="D9D9D9"/>
            <w:vAlign w:val="center"/>
          </w:tcPr>
          <w:p w14:paraId="3FD6DDA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3101A4CF"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71C76F0"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Status of development of noise protection action plan in the Federation of BiH</w:t>
            </w:r>
          </w:p>
        </w:tc>
        <w:tc>
          <w:tcPr>
            <w:tcW w:w="1159" w:type="pct"/>
            <w:shd w:val="clear" w:color="auto" w:fill="FFFFFF"/>
            <w:tcMar>
              <w:top w:w="0" w:type="dxa"/>
              <w:left w:w="108" w:type="dxa"/>
              <w:bottom w:w="0" w:type="dxa"/>
              <w:right w:w="108" w:type="dxa"/>
            </w:tcMar>
            <w:vAlign w:val="center"/>
          </w:tcPr>
          <w:p w14:paraId="0A0B9195"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There are no developed noise protection action plans for Federation of BiH</w:t>
            </w:r>
          </w:p>
        </w:tc>
        <w:tc>
          <w:tcPr>
            <w:tcW w:w="1159" w:type="pct"/>
            <w:shd w:val="clear" w:color="auto" w:fill="FFFFFF"/>
            <w:vAlign w:val="center"/>
          </w:tcPr>
          <w:p w14:paraId="78DCC409" w14:textId="77777777" w:rsidR="00D51392" w:rsidRPr="007C4D65" w:rsidRDefault="00D51392" w:rsidP="00B6017F">
            <w:pPr>
              <w:spacing w:line="276" w:lineRule="auto"/>
              <w:ind w:left="211"/>
              <w:rPr>
                <w:rFonts w:asciiTheme="minorHAnsi" w:hAnsiTheme="minorHAnsi" w:cstheme="minorHAnsi"/>
                <w:sz w:val="18"/>
                <w:szCs w:val="18"/>
              </w:rPr>
            </w:pPr>
            <w:r w:rsidRPr="007C4D65">
              <w:rPr>
                <w:rFonts w:asciiTheme="minorHAnsi" w:hAnsiTheme="minorHAnsi"/>
                <w:sz w:val="18"/>
                <w:szCs w:val="18"/>
              </w:rPr>
              <w:t>Action plans for five-year period, based on entry data and results of strategic noise maps developed (2029)</w:t>
            </w:r>
          </w:p>
        </w:tc>
      </w:tr>
      <w:tr w:rsidR="00D51392" w:rsidRPr="007C4D65" w14:paraId="66E3F947" w14:textId="77777777" w:rsidTr="00B6017F">
        <w:trPr>
          <w:trHeight w:val="287"/>
        </w:trPr>
        <w:tc>
          <w:tcPr>
            <w:tcW w:w="761" w:type="pct"/>
            <w:vMerge/>
            <w:shd w:val="clear" w:color="auto" w:fill="D9D9D9"/>
            <w:vAlign w:val="center"/>
          </w:tcPr>
          <w:p w14:paraId="2FC2FF0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66BF646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77B6C41"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Sustainable noise monitoring system</w:t>
            </w:r>
          </w:p>
        </w:tc>
        <w:tc>
          <w:tcPr>
            <w:tcW w:w="1159" w:type="pct"/>
            <w:shd w:val="clear" w:color="auto" w:fill="FFFFFF"/>
            <w:tcMar>
              <w:top w:w="0" w:type="dxa"/>
              <w:left w:w="108" w:type="dxa"/>
              <w:bottom w:w="0" w:type="dxa"/>
              <w:right w:w="108" w:type="dxa"/>
            </w:tcMar>
            <w:vAlign w:val="center"/>
          </w:tcPr>
          <w:p w14:paraId="34F4D33B"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A noise monitoring system, that measures the noise levels at selected locations determined in the forecasting </w:t>
            </w:r>
            <w:proofErr w:type="gramStart"/>
            <w:r w:rsidRPr="007C4D65">
              <w:rPr>
                <w:rFonts w:asciiTheme="minorHAnsi" w:hAnsiTheme="minorHAnsi"/>
                <w:sz w:val="18"/>
                <w:szCs w:val="18"/>
              </w:rPr>
              <w:t>model, and</w:t>
            </w:r>
            <w:proofErr w:type="gramEnd"/>
            <w:r w:rsidRPr="007C4D65">
              <w:rPr>
                <w:rFonts w:asciiTheme="minorHAnsi" w:hAnsiTheme="minorHAnsi"/>
                <w:sz w:val="18"/>
                <w:szCs w:val="18"/>
              </w:rPr>
              <w:t xml:space="preserve"> verifies effectiveness of implementation of measures from the action plan, has not been established.</w:t>
            </w:r>
          </w:p>
        </w:tc>
        <w:tc>
          <w:tcPr>
            <w:tcW w:w="1159" w:type="pct"/>
            <w:shd w:val="clear" w:color="auto" w:fill="FFFFFF"/>
            <w:vAlign w:val="center"/>
          </w:tcPr>
          <w:p w14:paraId="2F583B34" w14:textId="77777777" w:rsidR="00D51392" w:rsidRPr="007C4D65" w:rsidRDefault="00D51392" w:rsidP="00B6017F">
            <w:pPr>
              <w:spacing w:line="276" w:lineRule="auto"/>
              <w:ind w:left="211"/>
              <w:rPr>
                <w:rFonts w:asciiTheme="minorHAnsi" w:hAnsiTheme="minorHAnsi" w:cstheme="minorHAnsi"/>
                <w:sz w:val="18"/>
                <w:szCs w:val="18"/>
              </w:rPr>
            </w:pPr>
            <w:r w:rsidRPr="007C4D65">
              <w:rPr>
                <w:rFonts w:asciiTheme="minorHAnsi" w:hAnsiTheme="minorHAnsi"/>
                <w:sz w:val="18"/>
                <w:szCs w:val="18"/>
              </w:rPr>
              <w:t>Established noise monitoring system to measure the noise levels at selected locations that are determined in the forecasting model, and verify effectiveness of measures from the action plan developed after the noise maps (2031)</w:t>
            </w:r>
          </w:p>
        </w:tc>
      </w:tr>
      <w:tr w:rsidR="00D51392" w:rsidRPr="007C4D65" w14:paraId="14AB05FD" w14:textId="77777777" w:rsidTr="00B6017F">
        <w:trPr>
          <w:trHeight w:val="278"/>
        </w:trPr>
        <w:tc>
          <w:tcPr>
            <w:tcW w:w="761" w:type="pct"/>
            <w:vMerge/>
            <w:shd w:val="clear" w:color="auto" w:fill="D9D9D9"/>
            <w:vAlign w:val="center"/>
            <w:hideMark/>
          </w:tcPr>
          <w:p w14:paraId="52DF0C4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51E6164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02F21EAE"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1D8FAE1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2C174B2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6721A4CA" w14:textId="77777777" w:rsidTr="00B6017F">
        <w:trPr>
          <w:trHeight w:val="287"/>
        </w:trPr>
        <w:tc>
          <w:tcPr>
            <w:tcW w:w="761" w:type="pct"/>
            <w:vMerge/>
            <w:shd w:val="clear" w:color="auto" w:fill="D9D9D9"/>
            <w:vAlign w:val="center"/>
            <w:hideMark/>
          </w:tcPr>
          <w:p w14:paraId="0011873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3B7C12D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21EB396B"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0,090</w:t>
            </w:r>
          </w:p>
        </w:tc>
        <w:tc>
          <w:tcPr>
            <w:tcW w:w="1159" w:type="pct"/>
            <w:tcMar>
              <w:top w:w="0" w:type="dxa"/>
              <w:left w:w="108" w:type="dxa"/>
              <w:bottom w:w="0" w:type="dxa"/>
              <w:right w:w="108" w:type="dxa"/>
            </w:tcMar>
            <w:vAlign w:val="center"/>
          </w:tcPr>
          <w:p w14:paraId="58067C49"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0,815</w:t>
            </w:r>
          </w:p>
        </w:tc>
        <w:tc>
          <w:tcPr>
            <w:tcW w:w="1159" w:type="pct"/>
            <w:tcMar>
              <w:top w:w="0" w:type="dxa"/>
              <w:left w:w="108" w:type="dxa"/>
              <w:bottom w:w="0" w:type="dxa"/>
              <w:right w:w="108" w:type="dxa"/>
            </w:tcMar>
            <w:vAlign w:val="center"/>
          </w:tcPr>
          <w:p w14:paraId="0BDAE220"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0,905</w:t>
            </w:r>
          </w:p>
        </w:tc>
      </w:tr>
    </w:tbl>
    <w:p w14:paraId="10BBB7F2" w14:textId="77777777" w:rsidR="00D51392" w:rsidRPr="007C4D65" w:rsidRDefault="00D51392" w:rsidP="00D51392">
      <w:pPr>
        <w:spacing w:after="120" w:line="276" w:lineRule="auto"/>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3"/>
        <w:gridCol w:w="2126"/>
        <w:gridCol w:w="3233"/>
        <w:gridCol w:w="3233"/>
        <w:gridCol w:w="3233"/>
      </w:tblGrid>
      <w:tr w:rsidR="00D51392" w:rsidRPr="007C4D65" w14:paraId="5DB7D273" w14:textId="77777777" w:rsidTr="00B6017F">
        <w:trPr>
          <w:trHeight w:val="384"/>
        </w:trPr>
        <w:tc>
          <w:tcPr>
            <w:tcW w:w="761" w:type="pct"/>
            <w:vMerge w:val="restart"/>
            <w:shd w:val="clear" w:color="auto" w:fill="D9D9D9"/>
            <w:tcMar>
              <w:top w:w="0" w:type="dxa"/>
              <w:left w:w="108" w:type="dxa"/>
              <w:bottom w:w="0" w:type="dxa"/>
              <w:right w:w="108" w:type="dxa"/>
            </w:tcMar>
            <w:vAlign w:val="center"/>
          </w:tcPr>
          <w:p w14:paraId="0C8C7B3C"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5.7. Priority</w:t>
            </w:r>
          </w:p>
          <w:p w14:paraId="046068BE"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lang w:val="hr-HR"/>
              </w:rPr>
            </w:pPr>
          </w:p>
        </w:tc>
        <w:tc>
          <w:tcPr>
            <w:tcW w:w="762" w:type="pct"/>
            <w:vMerge w:val="restart"/>
            <w:tcMar>
              <w:top w:w="0" w:type="dxa"/>
              <w:left w:w="108" w:type="dxa"/>
              <w:bottom w:w="0" w:type="dxa"/>
              <w:right w:w="108" w:type="dxa"/>
            </w:tcMar>
            <w:vAlign w:val="center"/>
          </w:tcPr>
          <w:p w14:paraId="019F007E" w14:textId="77777777" w:rsidR="00D51392" w:rsidRPr="007C4D65" w:rsidRDefault="00D51392"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lastRenderedPageBreak/>
              <w:t xml:space="preserve">Efficient operation of institutions </w:t>
            </w:r>
            <w:proofErr w:type="gramStart"/>
            <w:r w:rsidRPr="007C4D65">
              <w:rPr>
                <w:rFonts w:asciiTheme="minorHAnsi" w:hAnsiTheme="minorHAnsi"/>
                <w:b/>
                <w:sz w:val="18"/>
                <w:szCs w:val="18"/>
              </w:rPr>
              <w:t>in the area of</w:t>
            </w:r>
            <w:proofErr w:type="gramEnd"/>
            <w:r w:rsidRPr="007C4D65">
              <w:rPr>
                <w:rFonts w:asciiTheme="minorHAnsi" w:hAnsiTheme="minorHAnsi"/>
                <w:b/>
                <w:sz w:val="18"/>
                <w:szCs w:val="18"/>
              </w:rPr>
              <w:t xml:space="preserve"> environmental noise</w:t>
            </w:r>
          </w:p>
        </w:tc>
        <w:tc>
          <w:tcPr>
            <w:tcW w:w="1159" w:type="pct"/>
            <w:shd w:val="clear" w:color="auto" w:fill="D9D9D9"/>
            <w:tcMar>
              <w:top w:w="0" w:type="dxa"/>
              <w:left w:w="108" w:type="dxa"/>
              <w:bottom w:w="0" w:type="dxa"/>
              <w:right w:w="108" w:type="dxa"/>
            </w:tcMar>
            <w:vAlign w:val="center"/>
          </w:tcPr>
          <w:p w14:paraId="4BE28F7B" w14:textId="77777777" w:rsidR="00D51392" w:rsidRPr="007C4D65" w:rsidRDefault="00D51392"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59" w:type="pct"/>
            <w:shd w:val="clear" w:color="auto" w:fill="D9D9D9"/>
            <w:tcMar>
              <w:top w:w="0" w:type="dxa"/>
              <w:left w:w="108" w:type="dxa"/>
              <w:bottom w:w="0" w:type="dxa"/>
              <w:right w:w="108" w:type="dxa"/>
            </w:tcMar>
            <w:vAlign w:val="center"/>
          </w:tcPr>
          <w:p w14:paraId="4DA733E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tcPr>
          <w:p w14:paraId="227E2E02"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77F9ADF5" w14:textId="77777777" w:rsidTr="00B6017F">
        <w:trPr>
          <w:trHeight w:val="287"/>
        </w:trPr>
        <w:tc>
          <w:tcPr>
            <w:tcW w:w="761" w:type="pct"/>
            <w:vMerge/>
            <w:shd w:val="clear" w:color="auto" w:fill="D9D9D9"/>
            <w:vAlign w:val="center"/>
            <w:hideMark/>
          </w:tcPr>
          <w:p w14:paraId="701169CE"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6714F07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295A8736"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Status and adequacy of human and technical capacities of public services in the field of environmental noise</w:t>
            </w:r>
          </w:p>
        </w:tc>
        <w:tc>
          <w:tcPr>
            <w:tcW w:w="1159" w:type="pct"/>
            <w:tcMar>
              <w:top w:w="0" w:type="dxa"/>
              <w:left w:w="108" w:type="dxa"/>
              <w:bottom w:w="0" w:type="dxa"/>
              <w:right w:w="108" w:type="dxa"/>
            </w:tcMar>
            <w:vAlign w:val="center"/>
          </w:tcPr>
          <w:p w14:paraId="1101E502"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Poor status of human and technical capacities, considering that the legislation is inadequate and not implemented.</w:t>
            </w:r>
          </w:p>
        </w:tc>
        <w:tc>
          <w:tcPr>
            <w:tcW w:w="1159" w:type="pct"/>
            <w:tcMar>
              <w:top w:w="0" w:type="dxa"/>
              <w:left w:w="108" w:type="dxa"/>
              <w:bottom w:w="0" w:type="dxa"/>
              <w:right w:w="108" w:type="dxa"/>
            </w:tcMar>
            <w:vAlign w:val="center"/>
          </w:tcPr>
          <w:p w14:paraId="10BB2EA8"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Improved technical and human capacities and competencies in competent institutions (2028)</w:t>
            </w:r>
          </w:p>
        </w:tc>
      </w:tr>
      <w:tr w:rsidR="00D51392" w:rsidRPr="007C4D65" w14:paraId="5692F66F" w14:textId="77777777" w:rsidTr="00B6017F">
        <w:trPr>
          <w:trHeight w:val="287"/>
        </w:trPr>
        <w:tc>
          <w:tcPr>
            <w:tcW w:w="761" w:type="pct"/>
            <w:vMerge/>
            <w:shd w:val="clear" w:color="auto" w:fill="D9D9D9"/>
            <w:vAlign w:val="center"/>
            <w:hideMark/>
          </w:tcPr>
          <w:p w14:paraId="4093826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75FF2AC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5919AB7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tcPr>
          <w:p w14:paraId="48D4395E"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tcPr>
          <w:p w14:paraId="10A9A10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0B08DC1C" w14:textId="77777777" w:rsidTr="00B6017F">
        <w:trPr>
          <w:trHeight w:val="287"/>
        </w:trPr>
        <w:tc>
          <w:tcPr>
            <w:tcW w:w="761" w:type="pct"/>
            <w:vMerge/>
            <w:shd w:val="clear" w:color="auto" w:fill="D9D9D9"/>
            <w:vAlign w:val="center"/>
          </w:tcPr>
          <w:p w14:paraId="5F04F450"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5C1D81C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30935B0"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0,273</w:t>
            </w:r>
          </w:p>
        </w:tc>
        <w:tc>
          <w:tcPr>
            <w:tcW w:w="1159" w:type="pct"/>
            <w:tcMar>
              <w:top w:w="0" w:type="dxa"/>
              <w:left w:w="108" w:type="dxa"/>
              <w:bottom w:w="0" w:type="dxa"/>
              <w:right w:w="108" w:type="dxa"/>
            </w:tcMar>
            <w:vAlign w:val="center"/>
          </w:tcPr>
          <w:p w14:paraId="435DA530"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1,09</w:t>
            </w:r>
          </w:p>
        </w:tc>
        <w:tc>
          <w:tcPr>
            <w:tcW w:w="1159" w:type="pct"/>
            <w:tcMar>
              <w:top w:w="0" w:type="dxa"/>
              <w:left w:w="108" w:type="dxa"/>
              <w:bottom w:w="0" w:type="dxa"/>
              <w:right w:w="108" w:type="dxa"/>
            </w:tcMar>
            <w:vAlign w:val="center"/>
          </w:tcPr>
          <w:p w14:paraId="7A96ECD7"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1,3</w:t>
            </w:r>
          </w:p>
        </w:tc>
      </w:tr>
    </w:tbl>
    <w:p w14:paraId="6DF0D624" w14:textId="77777777" w:rsidR="00D51392" w:rsidRPr="007C4D65" w:rsidRDefault="00D51392" w:rsidP="00D51392">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3"/>
        <w:gridCol w:w="2126"/>
        <w:gridCol w:w="3233"/>
        <w:gridCol w:w="3233"/>
        <w:gridCol w:w="3233"/>
      </w:tblGrid>
      <w:tr w:rsidR="00D51392" w:rsidRPr="007C4D65" w14:paraId="089ACD1E" w14:textId="77777777" w:rsidTr="00B6017F">
        <w:trPr>
          <w:trHeight w:val="483"/>
        </w:trPr>
        <w:tc>
          <w:tcPr>
            <w:tcW w:w="761" w:type="pct"/>
            <w:vMerge w:val="restart"/>
            <w:shd w:val="clear" w:color="auto" w:fill="D9D9D9"/>
            <w:tcMar>
              <w:top w:w="0" w:type="dxa"/>
              <w:left w:w="108" w:type="dxa"/>
              <w:bottom w:w="0" w:type="dxa"/>
              <w:right w:w="108" w:type="dxa"/>
            </w:tcMar>
            <w:vAlign w:val="center"/>
            <w:hideMark/>
          </w:tcPr>
          <w:p w14:paraId="4B541737"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5.7.1. Measure</w:t>
            </w:r>
          </w:p>
        </w:tc>
        <w:tc>
          <w:tcPr>
            <w:tcW w:w="762" w:type="pct"/>
            <w:vMerge w:val="restart"/>
            <w:tcMar>
              <w:top w:w="0" w:type="dxa"/>
              <w:left w:w="108" w:type="dxa"/>
              <w:bottom w:w="0" w:type="dxa"/>
              <w:right w:w="108" w:type="dxa"/>
            </w:tcMar>
            <w:vAlign w:val="center"/>
          </w:tcPr>
          <w:p w14:paraId="740B87CC"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Improve capacities and competencies of civil servants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noise management</w:t>
            </w:r>
          </w:p>
        </w:tc>
        <w:tc>
          <w:tcPr>
            <w:tcW w:w="1159" w:type="pct"/>
            <w:shd w:val="clear" w:color="auto" w:fill="D9D9D9"/>
            <w:tcMar>
              <w:top w:w="0" w:type="dxa"/>
              <w:left w:w="108" w:type="dxa"/>
              <w:bottom w:w="0" w:type="dxa"/>
              <w:right w:w="108" w:type="dxa"/>
            </w:tcMar>
            <w:vAlign w:val="center"/>
            <w:hideMark/>
          </w:tcPr>
          <w:p w14:paraId="79658FB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48488F4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22AE024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683BF519" w14:textId="77777777" w:rsidTr="00B6017F">
        <w:trPr>
          <w:trHeight w:val="287"/>
        </w:trPr>
        <w:tc>
          <w:tcPr>
            <w:tcW w:w="761" w:type="pct"/>
            <w:vMerge/>
            <w:shd w:val="clear" w:color="auto" w:fill="D9D9D9"/>
            <w:vAlign w:val="center"/>
          </w:tcPr>
          <w:p w14:paraId="35BBB185"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7C9608F0"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22E1E649"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Status of analysis of capacities of civil servants in competent institutions once the legislation foreseen in this Plan were adopted</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4F4C452D"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No analysis of capacities of civil servants in competent institutions has been done.</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C06B434" w14:textId="2299DCE2"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Analysis of capacities of civil servants in competent institutions once the legislation foreseen in this Plan were adopted is completed</w:t>
            </w:r>
            <w:r w:rsidR="005F516C" w:rsidRPr="007C4D65">
              <w:rPr>
                <w:rFonts w:asciiTheme="minorHAnsi" w:hAnsiTheme="minorHAnsi"/>
                <w:sz w:val="18"/>
                <w:szCs w:val="18"/>
              </w:rPr>
              <w:t xml:space="preserve"> </w:t>
            </w:r>
            <w:r w:rsidRPr="007C4D65">
              <w:rPr>
                <w:rFonts w:asciiTheme="minorHAnsi" w:hAnsiTheme="minorHAnsi"/>
                <w:sz w:val="18"/>
                <w:szCs w:val="18"/>
              </w:rPr>
              <w:t>(2024)</w:t>
            </w:r>
          </w:p>
        </w:tc>
      </w:tr>
      <w:tr w:rsidR="00D51392" w:rsidRPr="007C4D65" w14:paraId="36B22A0A" w14:textId="77777777" w:rsidTr="00B6017F">
        <w:trPr>
          <w:trHeight w:val="287"/>
        </w:trPr>
        <w:tc>
          <w:tcPr>
            <w:tcW w:w="761" w:type="pct"/>
            <w:vMerge/>
            <w:shd w:val="clear" w:color="auto" w:fill="D9D9D9"/>
            <w:vAlign w:val="center"/>
          </w:tcPr>
          <w:p w14:paraId="5F36A17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4DDE1758"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5C326A20"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Status of realization of shortcomings identified through the analysis of capacities of responsible institutions after the adoption of legislation on environmental noise</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151E41B1" w14:textId="03BB9EB3"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There is no relevant analysis of capacities of responsible institutions. It needs to be made, and possibly updated once the proposed legislation is drafted</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4CAE4A3" w14:textId="77777777" w:rsidR="00D51392" w:rsidRPr="007C4D65" w:rsidRDefault="00D51392" w:rsidP="00B6017F">
            <w:pPr>
              <w:spacing w:line="276" w:lineRule="auto"/>
              <w:ind w:left="69" w:hanging="69"/>
              <w:rPr>
                <w:rFonts w:asciiTheme="minorHAnsi" w:hAnsiTheme="minorHAnsi" w:cstheme="minorHAnsi"/>
                <w:sz w:val="18"/>
                <w:szCs w:val="18"/>
              </w:rPr>
            </w:pPr>
            <w:r w:rsidRPr="007C4D65">
              <w:rPr>
                <w:rFonts w:asciiTheme="minorHAnsi" w:hAnsiTheme="minorHAnsi"/>
                <w:sz w:val="18"/>
                <w:szCs w:val="18"/>
              </w:rPr>
              <w:t>Hire and train new people in institutions in the field of environmental noise, in accordance with the requirements of the new legislation and the analysis previously made (2025)</w:t>
            </w:r>
          </w:p>
        </w:tc>
      </w:tr>
      <w:tr w:rsidR="00D51392" w:rsidRPr="007C4D65" w14:paraId="1AFB7BB6" w14:textId="77777777" w:rsidTr="00B6017F">
        <w:trPr>
          <w:trHeight w:val="287"/>
        </w:trPr>
        <w:tc>
          <w:tcPr>
            <w:tcW w:w="761" w:type="pct"/>
            <w:vMerge/>
            <w:shd w:val="clear" w:color="auto" w:fill="D9D9D9"/>
            <w:vAlign w:val="center"/>
          </w:tcPr>
          <w:p w14:paraId="6C039FE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6219DAFF"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14F35B81"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Implementation status of the plan and programme of annual training of civil servants on the topic of environmental noise</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570A28CC" w14:textId="4FC3EF46"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There is no plan and programme of annual training of civil servants on the topic of environmental noise</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BCBF825" w14:textId="77777777" w:rsidR="00D51392" w:rsidRPr="007C4D65" w:rsidRDefault="00D51392" w:rsidP="00B6017F">
            <w:pPr>
              <w:spacing w:line="276" w:lineRule="auto"/>
              <w:ind w:left="69" w:hanging="69"/>
              <w:rPr>
                <w:rFonts w:asciiTheme="minorHAnsi" w:hAnsiTheme="minorHAnsi" w:cstheme="minorHAnsi"/>
                <w:sz w:val="18"/>
                <w:szCs w:val="18"/>
              </w:rPr>
            </w:pPr>
            <w:r w:rsidRPr="007C4D65">
              <w:rPr>
                <w:rFonts w:asciiTheme="minorHAnsi" w:hAnsiTheme="minorHAnsi"/>
                <w:sz w:val="18"/>
                <w:szCs w:val="18"/>
              </w:rPr>
              <w:t xml:space="preserve">Developed plan and programme of annual training of civil servants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environmental noise, and first training implemented (2026)</w:t>
            </w:r>
          </w:p>
        </w:tc>
      </w:tr>
      <w:tr w:rsidR="00D51392" w:rsidRPr="007C4D65" w14:paraId="01E1010A" w14:textId="77777777" w:rsidTr="00B6017F">
        <w:trPr>
          <w:trHeight w:val="287"/>
        </w:trPr>
        <w:tc>
          <w:tcPr>
            <w:tcW w:w="761" w:type="pct"/>
            <w:vMerge/>
            <w:shd w:val="clear" w:color="auto" w:fill="D9D9D9"/>
            <w:vAlign w:val="center"/>
          </w:tcPr>
          <w:p w14:paraId="3CC5A78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05B962B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340C59C0"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Enhancing expert and technical competences for development of strategic noise maps and determining baseline parameters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58DBE3BB" w14:textId="2ABF3DC0"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Lacking human and technical capacities for improving expert and technical competences for development of strategic noise maps and determining baseline parameters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6BC53A1" w14:textId="77777777" w:rsidR="00D51392" w:rsidRPr="007C4D65" w:rsidRDefault="00D51392" w:rsidP="00B6017F">
            <w:pPr>
              <w:spacing w:after="120" w:line="276" w:lineRule="auto"/>
              <w:ind w:left="69"/>
              <w:contextualSpacing/>
              <w:rPr>
                <w:rFonts w:asciiTheme="minorHAnsi" w:hAnsiTheme="minorHAnsi" w:cstheme="minorHAnsi"/>
                <w:sz w:val="18"/>
                <w:szCs w:val="18"/>
              </w:rPr>
            </w:pPr>
            <w:r w:rsidRPr="007C4D65">
              <w:rPr>
                <w:rFonts w:asciiTheme="minorHAnsi" w:hAnsiTheme="minorHAnsi"/>
                <w:sz w:val="18"/>
                <w:szCs w:val="18"/>
              </w:rPr>
              <w:t>Enhanced human and technical capacities for improving skills and technical competences for development of strategic noise maps and determining baseline parameters (2026)</w:t>
            </w:r>
          </w:p>
        </w:tc>
      </w:tr>
      <w:tr w:rsidR="00D51392" w:rsidRPr="007C4D65" w14:paraId="2C2EF9B9" w14:textId="77777777" w:rsidTr="00B6017F">
        <w:trPr>
          <w:trHeight w:val="287"/>
        </w:trPr>
        <w:tc>
          <w:tcPr>
            <w:tcW w:w="761" w:type="pct"/>
            <w:vMerge/>
            <w:shd w:val="clear" w:color="auto" w:fill="D9D9D9"/>
            <w:vAlign w:val="center"/>
          </w:tcPr>
          <w:p w14:paraId="2FF17CEE"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5E5274F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1C5D91DB"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Status of development of a pilot project of strategic noise mapping in some of the cities or parts of the cities, as well as along some of the main communications for the purpose of acquiring skills and technical competencies, and determining the baseline parameters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4CB13089"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Insufficient experiences and competencies of representatives of public institutions with respect to development of strategic noise maps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31C3521" w14:textId="05B0C91E" w:rsidR="00D51392" w:rsidRPr="007C4D65" w:rsidRDefault="00D51392" w:rsidP="005F516C">
            <w:pPr>
              <w:spacing w:before="40" w:after="40" w:line="276" w:lineRule="auto"/>
              <w:ind w:left="69"/>
              <w:rPr>
                <w:rFonts w:asciiTheme="minorHAnsi" w:hAnsiTheme="minorHAnsi" w:cstheme="minorHAnsi"/>
                <w:sz w:val="18"/>
                <w:szCs w:val="18"/>
                <w:lang w:val="hr-HR"/>
              </w:rPr>
            </w:pPr>
            <w:r w:rsidRPr="007C4D65">
              <w:rPr>
                <w:rFonts w:asciiTheme="minorHAnsi" w:hAnsiTheme="minorHAnsi"/>
                <w:sz w:val="18"/>
                <w:szCs w:val="18"/>
              </w:rPr>
              <w:t>Implement a pilot project of strategic noise mapping in some of the cities or parts of the cities, as well as along some of the main communications for the purpose of acquiring skills and technical competencies, and determining the baseline parameters (2026)</w:t>
            </w:r>
          </w:p>
        </w:tc>
      </w:tr>
      <w:tr w:rsidR="00D51392" w:rsidRPr="007C4D65" w14:paraId="375021A3" w14:textId="77777777" w:rsidTr="00B6017F">
        <w:trPr>
          <w:trHeight w:val="287"/>
        </w:trPr>
        <w:tc>
          <w:tcPr>
            <w:tcW w:w="761" w:type="pct"/>
            <w:vMerge/>
            <w:shd w:val="clear" w:color="auto" w:fill="D9D9D9"/>
            <w:vAlign w:val="center"/>
          </w:tcPr>
          <w:p w14:paraId="212EF3A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2146A93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2ED63809" w14:textId="77777777" w:rsidR="00D51392" w:rsidRPr="007C4D65" w:rsidRDefault="00D51392" w:rsidP="00B6017F">
            <w:pPr>
              <w:spacing w:after="120" w:line="276" w:lineRule="auto"/>
              <w:ind w:hanging="2"/>
              <w:contextualSpacing/>
              <w:rPr>
                <w:rFonts w:asciiTheme="minorHAnsi" w:eastAsia="Calibri" w:hAnsiTheme="minorHAnsi" w:cstheme="minorHAnsi"/>
                <w:sz w:val="18"/>
                <w:szCs w:val="18"/>
              </w:rPr>
            </w:pPr>
            <w:r w:rsidRPr="007C4D65">
              <w:rPr>
                <w:rFonts w:asciiTheme="minorHAnsi" w:hAnsiTheme="minorHAnsi"/>
                <w:sz w:val="18"/>
                <w:szCs w:val="18"/>
              </w:rPr>
              <w:t>Status of information system of the Environmental Protection Fund of Federation of BiH for publication of strategic noise maps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6B308CAE"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There is no information system in Federation of BiH for presentation of strategic noise maps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091E021" w14:textId="192CB71E" w:rsidR="00D51392" w:rsidRPr="007C4D65" w:rsidRDefault="00D51392" w:rsidP="00B6017F">
            <w:pPr>
              <w:spacing w:after="120" w:line="276" w:lineRule="auto"/>
              <w:ind w:left="69"/>
              <w:contextualSpacing/>
              <w:rPr>
                <w:rFonts w:asciiTheme="minorHAnsi" w:eastAsia="Calibri" w:hAnsiTheme="minorHAnsi" w:cstheme="minorHAnsi"/>
                <w:sz w:val="18"/>
                <w:szCs w:val="18"/>
              </w:rPr>
            </w:pPr>
            <w:r w:rsidRPr="007C4D65">
              <w:rPr>
                <w:rFonts w:asciiTheme="minorHAnsi" w:hAnsiTheme="minorHAnsi"/>
                <w:sz w:val="18"/>
                <w:szCs w:val="18"/>
              </w:rPr>
              <w:t xml:space="preserve">Information system of the Environmental Protection Fund of </w:t>
            </w:r>
            <w:r w:rsidR="008C23C0" w:rsidRPr="007C4D65">
              <w:rPr>
                <w:rFonts w:asciiTheme="minorHAnsi" w:hAnsiTheme="minorHAnsi"/>
                <w:sz w:val="18"/>
                <w:szCs w:val="18"/>
              </w:rPr>
              <w:t>the Federation of BiH</w:t>
            </w:r>
            <w:r w:rsidRPr="007C4D65">
              <w:rPr>
                <w:rFonts w:asciiTheme="minorHAnsi" w:hAnsiTheme="minorHAnsi"/>
                <w:sz w:val="18"/>
                <w:szCs w:val="18"/>
              </w:rPr>
              <w:t xml:space="preserve"> adapted to allow for presentation of strategic noise maps in the Federation of BiH (2028)</w:t>
            </w:r>
          </w:p>
        </w:tc>
      </w:tr>
      <w:tr w:rsidR="00D51392" w:rsidRPr="007C4D65" w14:paraId="08617AF2" w14:textId="77777777" w:rsidTr="00B6017F">
        <w:trPr>
          <w:trHeight w:val="287"/>
        </w:trPr>
        <w:tc>
          <w:tcPr>
            <w:tcW w:w="761" w:type="pct"/>
            <w:vMerge/>
            <w:shd w:val="clear" w:color="auto" w:fill="D9D9D9"/>
            <w:vAlign w:val="center"/>
          </w:tcPr>
          <w:p w14:paraId="1827474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35E6393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5C2D1B2A" w14:textId="77777777" w:rsidR="00D51392" w:rsidRPr="007C4D65" w:rsidRDefault="00D51392" w:rsidP="00B6017F">
            <w:pPr>
              <w:spacing w:after="120" w:line="276" w:lineRule="auto"/>
              <w:ind w:hanging="2"/>
              <w:contextualSpacing/>
              <w:rPr>
                <w:rFonts w:asciiTheme="minorHAnsi" w:eastAsia="Calibri" w:hAnsiTheme="minorHAnsi" w:cstheme="minorHAnsi"/>
                <w:sz w:val="18"/>
                <w:szCs w:val="18"/>
              </w:rPr>
            </w:pPr>
            <w:r w:rsidRPr="007C4D65">
              <w:rPr>
                <w:rFonts w:asciiTheme="minorHAnsi" w:hAnsiTheme="minorHAnsi"/>
                <w:sz w:val="18"/>
                <w:szCs w:val="18"/>
              </w:rPr>
              <w:t xml:space="preserve">Status of inspection oversight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environmental noise</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4977F898" w14:textId="77777777" w:rsidR="00D51392" w:rsidRPr="007C4D65" w:rsidRDefault="00D51392" w:rsidP="00B6017F">
            <w:pPr>
              <w:spacing w:line="276" w:lineRule="auto"/>
              <w:rPr>
                <w:rFonts w:asciiTheme="minorHAnsi" w:hAnsiTheme="minorHAnsi" w:cstheme="minorHAnsi"/>
              </w:rPr>
            </w:pPr>
            <w:r w:rsidRPr="007C4D65">
              <w:rPr>
                <w:rFonts w:asciiTheme="minorHAnsi" w:hAnsiTheme="minorHAnsi"/>
                <w:sz w:val="18"/>
                <w:szCs w:val="18"/>
              </w:rPr>
              <w:t>Inspection oversight of protection against noise has not been established</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A88ACFF" w14:textId="77777777" w:rsidR="00D51392" w:rsidRPr="007C4D65" w:rsidRDefault="00D51392" w:rsidP="00B6017F">
            <w:pPr>
              <w:spacing w:after="120" w:line="276" w:lineRule="auto"/>
              <w:ind w:left="69"/>
              <w:contextualSpacing/>
              <w:rPr>
                <w:rFonts w:asciiTheme="minorHAnsi" w:eastAsia="Calibri" w:hAnsiTheme="minorHAnsi" w:cstheme="minorHAnsi"/>
                <w:sz w:val="18"/>
                <w:szCs w:val="18"/>
              </w:rPr>
            </w:pPr>
            <w:r w:rsidRPr="007C4D65">
              <w:rPr>
                <w:rFonts w:asciiTheme="minorHAnsi" w:hAnsiTheme="minorHAnsi"/>
                <w:sz w:val="18"/>
                <w:szCs w:val="18"/>
              </w:rPr>
              <w:t xml:space="preserve">Established inspection oversight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environmental noise (2026)</w:t>
            </w:r>
          </w:p>
        </w:tc>
      </w:tr>
      <w:tr w:rsidR="00D51392" w:rsidRPr="007C4D65" w14:paraId="71E73C04" w14:textId="77777777" w:rsidTr="00B6017F">
        <w:trPr>
          <w:trHeight w:val="483"/>
        </w:trPr>
        <w:tc>
          <w:tcPr>
            <w:tcW w:w="761" w:type="pct"/>
            <w:vMerge/>
            <w:shd w:val="clear" w:color="auto" w:fill="D9D9D9"/>
            <w:vAlign w:val="center"/>
            <w:hideMark/>
          </w:tcPr>
          <w:p w14:paraId="1EB6544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53CB203F"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32A0FA8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64B837F4"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0A4771D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18FB786B" w14:textId="77777777" w:rsidTr="00B6017F">
        <w:trPr>
          <w:trHeight w:val="287"/>
        </w:trPr>
        <w:tc>
          <w:tcPr>
            <w:tcW w:w="761" w:type="pct"/>
            <w:vMerge/>
            <w:shd w:val="clear" w:color="auto" w:fill="D9D9D9"/>
            <w:vAlign w:val="center"/>
            <w:hideMark/>
          </w:tcPr>
          <w:p w14:paraId="4EF6496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596B009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90334BD"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0,273</w:t>
            </w:r>
          </w:p>
        </w:tc>
        <w:tc>
          <w:tcPr>
            <w:tcW w:w="1159" w:type="pct"/>
            <w:tcMar>
              <w:top w:w="0" w:type="dxa"/>
              <w:left w:w="108" w:type="dxa"/>
              <w:bottom w:w="0" w:type="dxa"/>
              <w:right w:w="108" w:type="dxa"/>
            </w:tcMar>
            <w:vAlign w:val="center"/>
          </w:tcPr>
          <w:p w14:paraId="0B0B2F39"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1,09</w:t>
            </w:r>
          </w:p>
        </w:tc>
        <w:tc>
          <w:tcPr>
            <w:tcW w:w="1159" w:type="pct"/>
            <w:tcMar>
              <w:top w:w="0" w:type="dxa"/>
              <w:left w:w="108" w:type="dxa"/>
              <w:bottom w:w="0" w:type="dxa"/>
              <w:right w:w="108" w:type="dxa"/>
            </w:tcMar>
            <w:vAlign w:val="center"/>
          </w:tcPr>
          <w:p w14:paraId="471F5B39"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1,3</w:t>
            </w:r>
          </w:p>
        </w:tc>
      </w:tr>
    </w:tbl>
    <w:p w14:paraId="02476B21" w14:textId="77777777" w:rsidR="00D51392" w:rsidRPr="007C4D65" w:rsidRDefault="00D51392" w:rsidP="00D51392">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shd w:val="clear" w:color="auto" w:fill="D9D9D9"/>
        <w:tblCellMar>
          <w:left w:w="0" w:type="dxa"/>
          <w:right w:w="0" w:type="dxa"/>
        </w:tblCellMar>
        <w:tblLook w:val="04A0" w:firstRow="1" w:lastRow="0" w:firstColumn="1" w:lastColumn="0" w:noHBand="0" w:noVBand="1"/>
      </w:tblPr>
      <w:tblGrid>
        <w:gridCol w:w="2107"/>
        <w:gridCol w:w="2142"/>
        <w:gridCol w:w="3233"/>
        <w:gridCol w:w="3233"/>
        <w:gridCol w:w="3233"/>
      </w:tblGrid>
      <w:tr w:rsidR="00D51392" w:rsidRPr="007C4D65" w14:paraId="3DC0759D" w14:textId="77777777" w:rsidTr="00B6017F">
        <w:trPr>
          <w:trHeight w:val="384"/>
        </w:trPr>
        <w:tc>
          <w:tcPr>
            <w:tcW w:w="755" w:type="pct"/>
            <w:vMerge w:val="restart"/>
            <w:shd w:val="clear" w:color="auto" w:fill="D9D9D9"/>
            <w:tcMar>
              <w:top w:w="0" w:type="dxa"/>
              <w:left w:w="108" w:type="dxa"/>
              <w:bottom w:w="0" w:type="dxa"/>
              <w:right w:w="108" w:type="dxa"/>
            </w:tcMar>
            <w:vAlign w:val="center"/>
          </w:tcPr>
          <w:p w14:paraId="08E584B1"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5.8. Priority</w:t>
            </w:r>
          </w:p>
          <w:p w14:paraId="68203A8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8" w:type="pct"/>
            <w:vMerge w:val="restart"/>
            <w:shd w:val="clear" w:color="auto" w:fill="FFFFFF" w:themeFill="background1"/>
            <w:tcMar>
              <w:top w:w="0" w:type="dxa"/>
              <w:left w:w="108" w:type="dxa"/>
              <w:bottom w:w="0" w:type="dxa"/>
              <w:right w:w="108" w:type="dxa"/>
            </w:tcMar>
            <w:vAlign w:val="center"/>
          </w:tcPr>
          <w:p w14:paraId="3771BDF9" w14:textId="32DE2985" w:rsidR="00D51392" w:rsidRPr="007C4D65" w:rsidRDefault="00467B07"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t>Reduce the risk to human health from environmental noise</w:t>
            </w:r>
          </w:p>
        </w:tc>
        <w:tc>
          <w:tcPr>
            <w:tcW w:w="1159" w:type="pct"/>
            <w:shd w:val="clear" w:color="auto" w:fill="D9D9D9"/>
            <w:tcMar>
              <w:top w:w="0" w:type="dxa"/>
              <w:left w:w="108" w:type="dxa"/>
              <w:bottom w:w="0" w:type="dxa"/>
              <w:right w:w="108" w:type="dxa"/>
            </w:tcMar>
            <w:vAlign w:val="center"/>
          </w:tcPr>
          <w:p w14:paraId="2191D6D2" w14:textId="77777777" w:rsidR="00D51392" w:rsidRPr="007C4D65" w:rsidRDefault="00D51392"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59" w:type="pct"/>
            <w:shd w:val="clear" w:color="auto" w:fill="D9D9D9"/>
            <w:tcMar>
              <w:top w:w="0" w:type="dxa"/>
              <w:left w:w="108" w:type="dxa"/>
              <w:bottom w:w="0" w:type="dxa"/>
              <w:right w:w="108" w:type="dxa"/>
            </w:tcMar>
            <w:vAlign w:val="center"/>
          </w:tcPr>
          <w:p w14:paraId="72EAF633"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tcPr>
          <w:p w14:paraId="3AF4006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36662B21" w14:textId="77777777" w:rsidTr="00B6017F">
        <w:trPr>
          <w:trHeight w:val="287"/>
        </w:trPr>
        <w:tc>
          <w:tcPr>
            <w:tcW w:w="755" w:type="pct"/>
            <w:vMerge/>
            <w:shd w:val="clear" w:color="auto" w:fill="D9D9D9"/>
            <w:vAlign w:val="center"/>
            <w:hideMark/>
          </w:tcPr>
          <w:p w14:paraId="1B6CEE1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8" w:type="pct"/>
            <w:vMerge/>
            <w:shd w:val="clear" w:color="auto" w:fill="FFFFFF" w:themeFill="background1"/>
            <w:vAlign w:val="center"/>
            <w:hideMark/>
          </w:tcPr>
          <w:p w14:paraId="3CF6AAF8"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hemeFill="background1"/>
            <w:tcMar>
              <w:top w:w="0" w:type="dxa"/>
              <w:left w:w="108" w:type="dxa"/>
              <w:bottom w:w="0" w:type="dxa"/>
              <w:right w:w="108" w:type="dxa"/>
            </w:tcMar>
            <w:vAlign w:val="center"/>
          </w:tcPr>
          <w:p w14:paraId="5E09B1ED"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Level of information of </w:t>
            </w:r>
            <w:proofErr w:type="gramStart"/>
            <w:r w:rsidRPr="007C4D65">
              <w:rPr>
                <w:rFonts w:asciiTheme="minorHAnsi" w:hAnsiTheme="minorHAnsi"/>
                <w:sz w:val="18"/>
                <w:szCs w:val="18"/>
              </w:rPr>
              <w:t>general public</w:t>
            </w:r>
            <w:proofErr w:type="gramEnd"/>
            <w:r w:rsidRPr="007C4D65">
              <w:rPr>
                <w:rFonts w:asciiTheme="minorHAnsi" w:hAnsiTheme="minorHAnsi"/>
                <w:sz w:val="18"/>
                <w:szCs w:val="18"/>
              </w:rPr>
              <w:t xml:space="preserve"> on noise and its effects, particularly in the zones of higher levels of noise</w:t>
            </w:r>
          </w:p>
        </w:tc>
        <w:tc>
          <w:tcPr>
            <w:tcW w:w="1159" w:type="pct"/>
            <w:shd w:val="clear" w:color="auto" w:fill="FFFFFF" w:themeFill="background1"/>
            <w:tcMar>
              <w:top w:w="0" w:type="dxa"/>
              <w:left w:w="108" w:type="dxa"/>
              <w:bottom w:w="0" w:type="dxa"/>
              <w:right w:w="108" w:type="dxa"/>
            </w:tcMar>
            <w:vAlign w:val="center"/>
          </w:tcPr>
          <w:p w14:paraId="34FBB607" w14:textId="6A20399F"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There are no mechanisms in place for informing </w:t>
            </w:r>
            <w:proofErr w:type="gramStart"/>
            <w:r w:rsidRPr="007C4D65">
              <w:rPr>
                <w:rFonts w:asciiTheme="minorHAnsi" w:hAnsiTheme="minorHAnsi"/>
                <w:sz w:val="18"/>
                <w:szCs w:val="18"/>
              </w:rPr>
              <w:t>general public</w:t>
            </w:r>
            <w:proofErr w:type="gramEnd"/>
            <w:r w:rsidRPr="007C4D65">
              <w:rPr>
                <w:rFonts w:asciiTheme="minorHAnsi" w:hAnsiTheme="minorHAnsi"/>
                <w:sz w:val="18"/>
                <w:szCs w:val="18"/>
              </w:rPr>
              <w:t xml:space="preserve"> on noise and its effects on health; zones exceptionally exposed to noise have not been identified</w:t>
            </w:r>
          </w:p>
        </w:tc>
        <w:tc>
          <w:tcPr>
            <w:tcW w:w="1159" w:type="pct"/>
            <w:shd w:val="clear" w:color="auto" w:fill="FFFFFF" w:themeFill="background1"/>
            <w:tcMar>
              <w:top w:w="0" w:type="dxa"/>
              <w:left w:w="108" w:type="dxa"/>
              <w:bottom w:w="0" w:type="dxa"/>
              <w:right w:w="108" w:type="dxa"/>
            </w:tcMar>
            <w:vAlign w:val="center"/>
          </w:tcPr>
          <w:p w14:paraId="3782F7B8"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High level of information of </w:t>
            </w:r>
            <w:proofErr w:type="gramStart"/>
            <w:r w:rsidRPr="007C4D65">
              <w:rPr>
                <w:rFonts w:asciiTheme="minorHAnsi" w:hAnsiTheme="minorHAnsi"/>
                <w:sz w:val="18"/>
                <w:szCs w:val="18"/>
              </w:rPr>
              <w:t>general public</w:t>
            </w:r>
            <w:proofErr w:type="gramEnd"/>
            <w:r w:rsidRPr="007C4D65">
              <w:rPr>
                <w:rFonts w:asciiTheme="minorHAnsi" w:hAnsiTheme="minorHAnsi"/>
                <w:sz w:val="18"/>
                <w:szCs w:val="18"/>
              </w:rPr>
              <w:t xml:space="preserve"> on noise and its effects, particularly in the zones of increased levels of noise (2030)</w:t>
            </w:r>
          </w:p>
        </w:tc>
      </w:tr>
      <w:tr w:rsidR="00D51392" w:rsidRPr="007C4D65" w14:paraId="2BB09F71" w14:textId="77777777" w:rsidTr="00B6017F">
        <w:trPr>
          <w:trHeight w:val="287"/>
        </w:trPr>
        <w:tc>
          <w:tcPr>
            <w:tcW w:w="755" w:type="pct"/>
            <w:vMerge/>
            <w:shd w:val="clear" w:color="auto" w:fill="D9D9D9"/>
            <w:vAlign w:val="center"/>
            <w:hideMark/>
          </w:tcPr>
          <w:p w14:paraId="0891704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8" w:type="pct"/>
            <w:vMerge/>
            <w:shd w:val="clear" w:color="auto" w:fill="FFFFFF" w:themeFill="background1"/>
            <w:vAlign w:val="center"/>
            <w:hideMark/>
          </w:tcPr>
          <w:p w14:paraId="4E8DEF3F"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3620235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tcPr>
          <w:p w14:paraId="09F8D08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tcPr>
          <w:p w14:paraId="29653BB7"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2B563027" w14:textId="77777777" w:rsidTr="00B6017F">
        <w:trPr>
          <w:trHeight w:val="287"/>
        </w:trPr>
        <w:tc>
          <w:tcPr>
            <w:tcW w:w="755" w:type="pct"/>
            <w:vMerge/>
            <w:shd w:val="clear" w:color="auto" w:fill="D9D9D9"/>
            <w:vAlign w:val="center"/>
          </w:tcPr>
          <w:p w14:paraId="31E1823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8" w:type="pct"/>
            <w:vMerge/>
            <w:shd w:val="clear" w:color="auto" w:fill="FFFFFF" w:themeFill="background1"/>
            <w:vAlign w:val="center"/>
          </w:tcPr>
          <w:p w14:paraId="334DAC2F"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5D35AFE"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5856ACE5"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0,576</w:t>
            </w:r>
          </w:p>
        </w:tc>
        <w:tc>
          <w:tcPr>
            <w:tcW w:w="1159" w:type="pct"/>
            <w:tcMar>
              <w:top w:w="0" w:type="dxa"/>
              <w:left w:w="108" w:type="dxa"/>
              <w:bottom w:w="0" w:type="dxa"/>
              <w:right w:w="108" w:type="dxa"/>
            </w:tcMar>
            <w:vAlign w:val="center"/>
          </w:tcPr>
          <w:p w14:paraId="1033B93E"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0,576</w:t>
            </w:r>
          </w:p>
        </w:tc>
      </w:tr>
    </w:tbl>
    <w:p w14:paraId="24821D97" w14:textId="77777777" w:rsidR="00D51392" w:rsidRPr="007C4D65" w:rsidRDefault="00D51392" w:rsidP="00D51392">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093"/>
        <w:gridCol w:w="2156"/>
        <w:gridCol w:w="3233"/>
        <w:gridCol w:w="3233"/>
        <w:gridCol w:w="3233"/>
      </w:tblGrid>
      <w:tr w:rsidR="00D51392" w:rsidRPr="007C4D65" w14:paraId="5D6BB154" w14:textId="77777777" w:rsidTr="00B6017F">
        <w:trPr>
          <w:trHeight w:val="483"/>
        </w:trPr>
        <w:tc>
          <w:tcPr>
            <w:tcW w:w="750" w:type="pct"/>
            <w:vMerge w:val="restart"/>
            <w:shd w:val="clear" w:color="auto" w:fill="D9D9D9"/>
            <w:tcMar>
              <w:top w:w="0" w:type="dxa"/>
              <w:left w:w="108" w:type="dxa"/>
              <w:bottom w:w="0" w:type="dxa"/>
              <w:right w:w="108" w:type="dxa"/>
            </w:tcMar>
            <w:vAlign w:val="center"/>
            <w:hideMark/>
          </w:tcPr>
          <w:p w14:paraId="2EB5E008"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5.8.1. Measure</w:t>
            </w:r>
          </w:p>
        </w:tc>
        <w:tc>
          <w:tcPr>
            <w:tcW w:w="773" w:type="pct"/>
            <w:vMerge w:val="restart"/>
            <w:tcMar>
              <w:top w:w="0" w:type="dxa"/>
              <w:left w:w="108" w:type="dxa"/>
              <w:bottom w:w="0" w:type="dxa"/>
              <w:right w:w="108" w:type="dxa"/>
            </w:tcMar>
            <w:vAlign w:val="center"/>
          </w:tcPr>
          <w:p w14:paraId="126052E6" w14:textId="4D967320"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Improve level of information and knowledge of </w:t>
            </w:r>
            <w:proofErr w:type="gramStart"/>
            <w:r w:rsidRPr="007C4D65">
              <w:rPr>
                <w:rFonts w:asciiTheme="minorHAnsi" w:hAnsiTheme="minorHAnsi"/>
                <w:sz w:val="18"/>
                <w:szCs w:val="18"/>
              </w:rPr>
              <w:t>general public</w:t>
            </w:r>
            <w:proofErr w:type="gramEnd"/>
            <w:r w:rsidRPr="007C4D65">
              <w:rPr>
                <w:rFonts w:asciiTheme="minorHAnsi" w:hAnsiTheme="minorHAnsi"/>
                <w:sz w:val="18"/>
                <w:szCs w:val="18"/>
              </w:rPr>
              <w:t xml:space="preserve"> on negative impact of noise and their role in </w:t>
            </w:r>
            <w:r w:rsidR="009F16BA" w:rsidRPr="007C4D65">
              <w:rPr>
                <w:rFonts w:asciiTheme="minorHAnsi" w:hAnsiTheme="minorHAnsi"/>
                <w:sz w:val="18"/>
                <w:szCs w:val="18"/>
              </w:rPr>
              <w:t xml:space="preserve">decision-making  </w:t>
            </w:r>
            <w:r w:rsidRPr="007C4D65">
              <w:rPr>
                <w:rFonts w:asciiTheme="minorHAnsi" w:hAnsiTheme="minorHAnsi"/>
                <w:sz w:val="18"/>
                <w:szCs w:val="18"/>
              </w:rPr>
              <w:t xml:space="preserve"> process</w:t>
            </w:r>
          </w:p>
        </w:tc>
        <w:tc>
          <w:tcPr>
            <w:tcW w:w="1159" w:type="pct"/>
            <w:shd w:val="clear" w:color="auto" w:fill="D9D9D9"/>
            <w:tcMar>
              <w:top w:w="0" w:type="dxa"/>
              <w:left w:w="108" w:type="dxa"/>
              <w:bottom w:w="0" w:type="dxa"/>
              <w:right w:w="108" w:type="dxa"/>
            </w:tcMar>
            <w:vAlign w:val="center"/>
            <w:hideMark/>
          </w:tcPr>
          <w:p w14:paraId="1458F9AE"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346F3D90"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2A997D6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33A3FEE0" w14:textId="77777777" w:rsidTr="00B6017F">
        <w:trPr>
          <w:trHeight w:val="287"/>
        </w:trPr>
        <w:tc>
          <w:tcPr>
            <w:tcW w:w="750" w:type="pct"/>
            <w:vMerge/>
            <w:shd w:val="clear" w:color="auto" w:fill="D9D9D9"/>
            <w:vAlign w:val="center"/>
          </w:tcPr>
          <w:p w14:paraId="077EBB1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73" w:type="pct"/>
            <w:vMerge/>
            <w:vAlign w:val="center"/>
          </w:tcPr>
          <w:p w14:paraId="23DCE19D"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BC7FF9A"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Informing population on harmful health impact of noise</w:t>
            </w:r>
          </w:p>
        </w:tc>
        <w:tc>
          <w:tcPr>
            <w:tcW w:w="1159" w:type="pct"/>
            <w:shd w:val="clear" w:color="auto" w:fill="FFFFFF"/>
            <w:tcMar>
              <w:top w:w="0" w:type="dxa"/>
              <w:left w:w="108" w:type="dxa"/>
              <w:bottom w:w="0" w:type="dxa"/>
              <w:right w:w="108" w:type="dxa"/>
            </w:tcMar>
            <w:vAlign w:val="center"/>
          </w:tcPr>
          <w:p w14:paraId="72A5A04B"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There are no campaigns related to protection of environment and health of population.</w:t>
            </w:r>
          </w:p>
        </w:tc>
        <w:tc>
          <w:tcPr>
            <w:tcW w:w="1159" w:type="pct"/>
            <w:shd w:val="clear" w:color="auto" w:fill="FFFFFF"/>
            <w:vAlign w:val="center"/>
          </w:tcPr>
          <w:p w14:paraId="57034612" w14:textId="0EE24FF9"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 xml:space="preserve">Implemented at least one campaign in five years by competent institutions regarding harmful effect of noise on health of population (taking into consideration gender equality, social equity and poverty) and environment, and the role of the public in </w:t>
            </w:r>
            <w:r w:rsidR="009F16BA" w:rsidRPr="007C4D65">
              <w:rPr>
                <w:rFonts w:asciiTheme="minorHAnsi" w:hAnsiTheme="minorHAnsi"/>
                <w:sz w:val="18"/>
                <w:szCs w:val="18"/>
              </w:rPr>
              <w:t xml:space="preserve">decision-making </w:t>
            </w:r>
            <w:r w:rsidRPr="007C4D65">
              <w:rPr>
                <w:rFonts w:asciiTheme="minorHAnsi" w:hAnsiTheme="minorHAnsi"/>
                <w:sz w:val="18"/>
                <w:szCs w:val="18"/>
              </w:rPr>
              <w:t>process (2025)</w:t>
            </w:r>
          </w:p>
        </w:tc>
      </w:tr>
      <w:tr w:rsidR="00D51392" w:rsidRPr="007C4D65" w14:paraId="2B8754FD" w14:textId="77777777" w:rsidTr="00B6017F">
        <w:trPr>
          <w:trHeight w:val="287"/>
        </w:trPr>
        <w:tc>
          <w:tcPr>
            <w:tcW w:w="750" w:type="pct"/>
            <w:vMerge/>
            <w:shd w:val="clear" w:color="auto" w:fill="D9D9D9"/>
            <w:vAlign w:val="center"/>
          </w:tcPr>
          <w:p w14:paraId="3575A52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73" w:type="pct"/>
            <w:vMerge/>
            <w:vAlign w:val="center"/>
          </w:tcPr>
          <w:p w14:paraId="7D4D9178"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3D2B3AA"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Level of impact of noise on people’s health in zones of higher exposure to noise </w:t>
            </w:r>
          </w:p>
        </w:tc>
        <w:tc>
          <w:tcPr>
            <w:tcW w:w="1159" w:type="pct"/>
            <w:shd w:val="clear" w:color="auto" w:fill="FFFFFF"/>
            <w:tcMar>
              <w:top w:w="0" w:type="dxa"/>
              <w:left w:w="108" w:type="dxa"/>
              <w:bottom w:w="0" w:type="dxa"/>
              <w:right w:w="108" w:type="dxa"/>
            </w:tcMar>
          </w:tcPr>
          <w:p w14:paraId="65433907"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 xml:space="preserve">Effects of noise on general health of population, or most frequent disorders appearing in the areas with increased level of noise, are not known. </w:t>
            </w:r>
          </w:p>
        </w:tc>
        <w:tc>
          <w:tcPr>
            <w:tcW w:w="1159" w:type="pct"/>
            <w:shd w:val="clear" w:color="auto" w:fill="FFFFFF"/>
          </w:tcPr>
          <w:p w14:paraId="5EEFAB31"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color w:val="000000" w:themeColor="text1"/>
                <w:sz w:val="18"/>
                <w:szCs w:val="18"/>
              </w:rPr>
              <w:t>Developed population scientific research by health institution on the most common illnesses appearing in the high-noise zones (taking into consideration gender equality, social equity and poverty) (2029)</w:t>
            </w:r>
          </w:p>
        </w:tc>
      </w:tr>
      <w:tr w:rsidR="00D51392" w:rsidRPr="007C4D65" w14:paraId="13E7ADA8" w14:textId="77777777" w:rsidTr="00B6017F">
        <w:trPr>
          <w:trHeight w:val="287"/>
        </w:trPr>
        <w:tc>
          <w:tcPr>
            <w:tcW w:w="750" w:type="pct"/>
            <w:vMerge/>
            <w:shd w:val="clear" w:color="auto" w:fill="D9D9D9"/>
            <w:vAlign w:val="center"/>
          </w:tcPr>
          <w:p w14:paraId="01D42DC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73" w:type="pct"/>
            <w:vMerge/>
            <w:vAlign w:val="center"/>
          </w:tcPr>
          <w:p w14:paraId="43EBEF4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D481A91" w14:textId="1DC54104"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Public call for the civil society organizations, research and education centres on the topic of raising awareness on environmental noise and its effect on health issued on annual basis</w:t>
            </w:r>
          </w:p>
        </w:tc>
        <w:tc>
          <w:tcPr>
            <w:tcW w:w="1159" w:type="pct"/>
            <w:shd w:val="clear" w:color="auto" w:fill="FFFFFF"/>
            <w:tcMar>
              <w:top w:w="0" w:type="dxa"/>
              <w:left w:w="108" w:type="dxa"/>
              <w:bottom w:w="0" w:type="dxa"/>
              <w:right w:w="108" w:type="dxa"/>
            </w:tcMar>
            <w:vAlign w:val="center"/>
          </w:tcPr>
          <w:p w14:paraId="623002FE" w14:textId="1B22B6A3"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The Environmental Protection Fund of has been regularly issuing public calls for projects to implement the measures from the Environmental Strategy So far, topic of environmental noise and impact of noise on human health has not been included in public call</w:t>
            </w:r>
          </w:p>
        </w:tc>
        <w:tc>
          <w:tcPr>
            <w:tcW w:w="1159" w:type="pct"/>
            <w:shd w:val="clear" w:color="auto" w:fill="FFFFFF"/>
            <w:vAlign w:val="center"/>
          </w:tcPr>
          <w:p w14:paraId="66EFADB4" w14:textId="77777777" w:rsidR="00D51392" w:rsidRPr="007C4D65" w:rsidRDefault="00D51392" w:rsidP="00B6017F">
            <w:pPr>
              <w:spacing w:before="40" w:after="40" w:line="276" w:lineRule="auto"/>
              <w:ind w:left="69"/>
              <w:jc w:val="both"/>
              <w:rPr>
                <w:rFonts w:asciiTheme="minorHAnsi" w:eastAsia="Calibri" w:hAnsiTheme="minorHAnsi" w:cstheme="minorHAnsi"/>
                <w:sz w:val="18"/>
                <w:szCs w:val="18"/>
              </w:rPr>
            </w:pPr>
            <w:r w:rsidRPr="007C4D65">
              <w:rPr>
                <w:rFonts w:asciiTheme="minorHAnsi" w:hAnsiTheme="minorHAnsi"/>
                <w:sz w:val="18"/>
                <w:szCs w:val="18"/>
              </w:rPr>
              <w:t>Recognize environmental noise and impact of noise on human health within the scope of public calls for raising public awareness, research and educational activities in the field of environment that is issued the Environment Protection Fund of Federation of BiH (2030)</w:t>
            </w:r>
          </w:p>
        </w:tc>
      </w:tr>
      <w:tr w:rsidR="00D51392" w:rsidRPr="007C4D65" w14:paraId="1CC158CA" w14:textId="77777777" w:rsidTr="00B6017F">
        <w:trPr>
          <w:trHeight w:val="287"/>
        </w:trPr>
        <w:tc>
          <w:tcPr>
            <w:tcW w:w="750" w:type="pct"/>
            <w:vMerge/>
            <w:shd w:val="clear" w:color="auto" w:fill="D9D9D9"/>
            <w:vAlign w:val="center"/>
          </w:tcPr>
          <w:p w14:paraId="39FDC2A6"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73" w:type="pct"/>
            <w:vMerge/>
            <w:vAlign w:val="center"/>
          </w:tcPr>
          <w:p w14:paraId="5721321F"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F8CA49B"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Representation of institutions of primary health care (health centres) in promotional and educational activities the purpose of which is to inform </w:t>
            </w:r>
            <w:proofErr w:type="gramStart"/>
            <w:r w:rsidRPr="007C4D65">
              <w:rPr>
                <w:rFonts w:asciiTheme="minorHAnsi" w:hAnsiTheme="minorHAnsi"/>
                <w:sz w:val="18"/>
                <w:szCs w:val="18"/>
              </w:rPr>
              <w:t>general public</w:t>
            </w:r>
            <w:proofErr w:type="gramEnd"/>
            <w:r w:rsidRPr="007C4D65">
              <w:rPr>
                <w:rFonts w:asciiTheme="minorHAnsi" w:hAnsiTheme="minorHAnsi"/>
                <w:sz w:val="18"/>
                <w:szCs w:val="18"/>
              </w:rPr>
              <w:t xml:space="preserve"> on the risks of harmful impact of noise on health of population</w:t>
            </w:r>
          </w:p>
        </w:tc>
        <w:tc>
          <w:tcPr>
            <w:tcW w:w="1159" w:type="pct"/>
            <w:shd w:val="clear" w:color="auto" w:fill="FFFFFF"/>
            <w:tcMar>
              <w:top w:w="0" w:type="dxa"/>
              <w:left w:w="108" w:type="dxa"/>
              <w:bottom w:w="0" w:type="dxa"/>
              <w:right w:w="108" w:type="dxa"/>
            </w:tcMar>
            <w:vAlign w:val="center"/>
          </w:tcPr>
          <w:p w14:paraId="4193A3E0"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Health institutions of primary health care are the closest to </w:t>
            </w:r>
            <w:proofErr w:type="gramStart"/>
            <w:r w:rsidRPr="007C4D65">
              <w:rPr>
                <w:rFonts w:asciiTheme="minorHAnsi" w:hAnsiTheme="minorHAnsi"/>
                <w:sz w:val="18"/>
                <w:szCs w:val="18"/>
              </w:rPr>
              <w:t>general public</w:t>
            </w:r>
            <w:proofErr w:type="gramEnd"/>
            <w:r w:rsidRPr="007C4D65">
              <w:rPr>
                <w:rFonts w:asciiTheme="minorHAnsi" w:hAnsiTheme="minorHAnsi"/>
                <w:sz w:val="18"/>
                <w:szCs w:val="18"/>
              </w:rPr>
              <w:t xml:space="preserve"> and can contribute to prevention of risks for health of population by means of educational posters, brochures, etc. So far, noise has not been presented as a health risk in educational </w:t>
            </w:r>
            <w:proofErr w:type="gramStart"/>
            <w:r w:rsidRPr="007C4D65">
              <w:rPr>
                <w:rFonts w:asciiTheme="minorHAnsi" w:hAnsiTheme="minorHAnsi"/>
                <w:sz w:val="18"/>
                <w:szCs w:val="18"/>
              </w:rPr>
              <w:t>campaigns .</w:t>
            </w:r>
            <w:proofErr w:type="gramEnd"/>
          </w:p>
        </w:tc>
        <w:tc>
          <w:tcPr>
            <w:tcW w:w="1159" w:type="pct"/>
            <w:shd w:val="clear" w:color="auto" w:fill="FFFFFF"/>
            <w:vAlign w:val="center"/>
          </w:tcPr>
          <w:p w14:paraId="7A940CF0" w14:textId="335BF9F7" w:rsidR="00D51392" w:rsidRPr="007C4D65" w:rsidRDefault="00D51392" w:rsidP="005F516C">
            <w:pPr>
              <w:spacing w:before="40" w:after="40" w:line="276" w:lineRule="auto"/>
              <w:ind w:left="69"/>
              <w:jc w:val="both"/>
              <w:rPr>
                <w:rFonts w:asciiTheme="minorHAnsi" w:hAnsiTheme="minorHAnsi" w:cstheme="minorHAnsi"/>
                <w:sz w:val="18"/>
                <w:szCs w:val="18"/>
                <w:lang w:val="hr-HR"/>
              </w:rPr>
            </w:pPr>
            <w:r w:rsidRPr="007C4D65">
              <w:rPr>
                <w:rFonts w:asciiTheme="minorHAnsi" w:hAnsiTheme="minorHAnsi"/>
                <w:sz w:val="18"/>
                <w:szCs w:val="18"/>
              </w:rPr>
              <w:t>Implementation of continuous promotional and educational activities at the level of health institutions regarding the risks related to the impact of noise on health, as well as preventative measures that can be used (2028)</w:t>
            </w:r>
          </w:p>
        </w:tc>
      </w:tr>
      <w:tr w:rsidR="00D51392" w:rsidRPr="007C4D65" w14:paraId="77A5BB09" w14:textId="77777777" w:rsidTr="00B6017F">
        <w:trPr>
          <w:trHeight w:val="287"/>
        </w:trPr>
        <w:tc>
          <w:tcPr>
            <w:tcW w:w="750" w:type="pct"/>
            <w:vMerge/>
            <w:shd w:val="clear" w:color="auto" w:fill="D9D9D9"/>
            <w:vAlign w:val="center"/>
          </w:tcPr>
          <w:p w14:paraId="4077EBC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73" w:type="pct"/>
            <w:vMerge/>
            <w:vAlign w:val="center"/>
          </w:tcPr>
          <w:p w14:paraId="539C826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642F50B"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Continually draw attention of population to increased noise in their near environment</w:t>
            </w:r>
          </w:p>
        </w:tc>
        <w:tc>
          <w:tcPr>
            <w:tcW w:w="1159" w:type="pct"/>
            <w:shd w:val="clear" w:color="auto" w:fill="FFFFFF"/>
            <w:tcMar>
              <w:top w:w="0" w:type="dxa"/>
              <w:left w:w="108" w:type="dxa"/>
              <w:bottom w:w="0" w:type="dxa"/>
              <w:right w:w="108" w:type="dxa"/>
            </w:tcMar>
            <w:vAlign w:val="center"/>
          </w:tcPr>
          <w:p w14:paraId="41BF821C" w14:textId="6222735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Population is not aware of increased levels of noise along main roads, which they may also contribute to or are exposed to noise</w:t>
            </w:r>
          </w:p>
        </w:tc>
        <w:tc>
          <w:tcPr>
            <w:tcW w:w="1159" w:type="pct"/>
            <w:shd w:val="clear" w:color="auto" w:fill="FFFFFF"/>
            <w:vAlign w:val="center"/>
          </w:tcPr>
          <w:p w14:paraId="6AEF4137"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Installed displays along the roads in major cities showing the level of noise in real time (2026)</w:t>
            </w:r>
          </w:p>
        </w:tc>
      </w:tr>
      <w:tr w:rsidR="00D51392" w:rsidRPr="007C4D65" w14:paraId="4630DAA0" w14:textId="77777777" w:rsidTr="00B6017F">
        <w:trPr>
          <w:trHeight w:val="483"/>
        </w:trPr>
        <w:tc>
          <w:tcPr>
            <w:tcW w:w="750" w:type="pct"/>
            <w:vMerge/>
            <w:shd w:val="clear" w:color="auto" w:fill="D9D9D9"/>
            <w:vAlign w:val="center"/>
            <w:hideMark/>
          </w:tcPr>
          <w:p w14:paraId="2C05436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73" w:type="pct"/>
            <w:vMerge/>
            <w:vAlign w:val="center"/>
          </w:tcPr>
          <w:p w14:paraId="60F6A47F"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111882E"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48A24A1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150043A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4DA22432" w14:textId="77777777" w:rsidTr="00B6017F">
        <w:trPr>
          <w:trHeight w:val="287"/>
        </w:trPr>
        <w:tc>
          <w:tcPr>
            <w:tcW w:w="750" w:type="pct"/>
            <w:vMerge/>
            <w:shd w:val="clear" w:color="auto" w:fill="D9D9D9"/>
            <w:vAlign w:val="center"/>
            <w:hideMark/>
          </w:tcPr>
          <w:p w14:paraId="5B400E5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73" w:type="pct"/>
            <w:vMerge/>
            <w:vAlign w:val="center"/>
          </w:tcPr>
          <w:p w14:paraId="437397E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497EA90"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130E6823"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0,576</w:t>
            </w:r>
          </w:p>
        </w:tc>
        <w:tc>
          <w:tcPr>
            <w:tcW w:w="1159" w:type="pct"/>
            <w:tcMar>
              <w:top w:w="0" w:type="dxa"/>
              <w:left w:w="108" w:type="dxa"/>
              <w:bottom w:w="0" w:type="dxa"/>
              <w:right w:w="108" w:type="dxa"/>
            </w:tcMar>
            <w:vAlign w:val="center"/>
          </w:tcPr>
          <w:p w14:paraId="2ABDC7AE"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0,576</w:t>
            </w:r>
          </w:p>
        </w:tc>
      </w:tr>
    </w:tbl>
    <w:p w14:paraId="6147F392" w14:textId="77777777" w:rsidR="00D51392" w:rsidRPr="007C4D65" w:rsidRDefault="00D51392" w:rsidP="0068355A">
      <w:pPr>
        <w:spacing w:after="160" w:line="276" w:lineRule="auto"/>
        <w:rPr>
          <w:rFonts w:asciiTheme="minorHAnsi" w:hAnsiTheme="minorHAnsi" w:cstheme="minorHAnsi"/>
          <w:sz w:val="18"/>
          <w:szCs w:val="18"/>
        </w:rPr>
      </w:pPr>
    </w:p>
    <w:p w14:paraId="0B9EAE90" w14:textId="437C42C8" w:rsidR="00242590" w:rsidRPr="007C4D65" w:rsidRDefault="008B1187" w:rsidP="008B1187">
      <w:pPr>
        <w:pStyle w:val="Head3"/>
        <w:numPr>
          <w:ilvl w:val="0"/>
          <w:numId w:val="0"/>
        </w:numPr>
        <w:spacing w:line="276" w:lineRule="auto"/>
        <w:rPr>
          <w:rFonts w:asciiTheme="minorHAnsi" w:hAnsiTheme="minorHAnsi"/>
        </w:rPr>
      </w:pPr>
      <w:bookmarkStart w:id="433" w:name="_Toc117445389"/>
      <w:r w:rsidRPr="007C4D65">
        <w:rPr>
          <w:rFonts w:asciiTheme="minorHAnsi" w:hAnsiTheme="minorHAnsi"/>
        </w:rPr>
        <w:t xml:space="preserve">13.8.6. </w:t>
      </w:r>
      <w:r w:rsidR="007934C2" w:rsidRPr="007C4D65">
        <w:rPr>
          <w:rFonts w:asciiTheme="minorHAnsi" w:hAnsiTheme="minorHAnsi"/>
        </w:rPr>
        <w:t>Sustainable resource management</w:t>
      </w:r>
      <w:bookmarkEnd w:id="433"/>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3"/>
        <w:gridCol w:w="2126"/>
        <w:gridCol w:w="3233"/>
        <w:gridCol w:w="3233"/>
        <w:gridCol w:w="3233"/>
      </w:tblGrid>
      <w:tr w:rsidR="00D51392" w:rsidRPr="007C4D65" w14:paraId="6D7A2971" w14:textId="77777777" w:rsidTr="00B6017F">
        <w:trPr>
          <w:trHeight w:val="286"/>
        </w:trPr>
        <w:tc>
          <w:tcPr>
            <w:tcW w:w="761" w:type="pct"/>
            <w:shd w:val="clear" w:color="auto" w:fill="009E73"/>
            <w:tcMar>
              <w:top w:w="0" w:type="dxa"/>
              <w:left w:w="108" w:type="dxa"/>
              <w:bottom w:w="0" w:type="dxa"/>
              <w:right w:w="108" w:type="dxa"/>
            </w:tcMar>
            <w:vAlign w:val="center"/>
            <w:hideMark/>
          </w:tcPr>
          <w:p w14:paraId="5309E3B8" w14:textId="77777777" w:rsidR="00D51392" w:rsidRPr="007C4D65" w:rsidRDefault="00D51392" w:rsidP="00B6017F">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b/>
                <w:color w:val="FFFFFF" w:themeColor="background1"/>
                <w:sz w:val="18"/>
                <w:szCs w:val="18"/>
              </w:rPr>
              <w:t xml:space="preserve">No. and mark </w:t>
            </w:r>
          </w:p>
        </w:tc>
        <w:tc>
          <w:tcPr>
            <w:tcW w:w="762" w:type="pct"/>
            <w:shd w:val="clear" w:color="auto" w:fill="009E73"/>
            <w:tcMar>
              <w:top w:w="0" w:type="dxa"/>
              <w:left w:w="108" w:type="dxa"/>
              <w:bottom w:w="0" w:type="dxa"/>
              <w:right w:w="108" w:type="dxa"/>
            </w:tcMar>
            <w:vAlign w:val="center"/>
            <w:hideMark/>
          </w:tcPr>
          <w:p w14:paraId="3D71F8D0" w14:textId="77777777" w:rsidR="00D51392" w:rsidRPr="007C4D65" w:rsidRDefault="00D51392" w:rsidP="00B6017F">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b/>
                <w:color w:val="FFFFFF" w:themeColor="background1"/>
                <w:sz w:val="18"/>
                <w:szCs w:val="18"/>
              </w:rPr>
              <w:t>TITLE</w:t>
            </w:r>
          </w:p>
        </w:tc>
        <w:tc>
          <w:tcPr>
            <w:tcW w:w="3477" w:type="pct"/>
            <w:gridSpan w:val="3"/>
            <w:shd w:val="clear" w:color="auto" w:fill="009E73"/>
            <w:tcMar>
              <w:top w:w="0" w:type="dxa"/>
              <w:left w:w="108" w:type="dxa"/>
              <w:bottom w:w="0" w:type="dxa"/>
              <w:right w:w="108" w:type="dxa"/>
            </w:tcMar>
            <w:vAlign w:val="center"/>
            <w:hideMark/>
          </w:tcPr>
          <w:p w14:paraId="58631DC6" w14:textId="77777777" w:rsidR="00D51392" w:rsidRPr="007C4D65" w:rsidRDefault="00D51392" w:rsidP="00B6017F">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b/>
                <w:color w:val="FFFFFF" w:themeColor="background1"/>
                <w:sz w:val="18"/>
                <w:szCs w:val="18"/>
              </w:rPr>
              <w:t>INDICATORS AND FINANCIAL SOURCES</w:t>
            </w:r>
          </w:p>
        </w:tc>
      </w:tr>
      <w:tr w:rsidR="00D51392" w:rsidRPr="007C4D65" w14:paraId="25A56BA5" w14:textId="77777777" w:rsidTr="00B6017F">
        <w:trPr>
          <w:trHeight w:val="384"/>
        </w:trPr>
        <w:tc>
          <w:tcPr>
            <w:tcW w:w="761" w:type="pct"/>
            <w:vMerge w:val="restart"/>
            <w:shd w:val="clear" w:color="auto" w:fill="D9D9D9"/>
            <w:tcMar>
              <w:top w:w="0" w:type="dxa"/>
              <w:left w:w="108" w:type="dxa"/>
              <w:bottom w:w="0" w:type="dxa"/>
              <w:right w:w="108" w:type="dxa"/>
            </w:tcMar>
            <w:vAlign w:val="center"/>
            <w:hideMark/>
          </w:tcPr>
          <w:p w14:paraId="0294BF34" w14:textId="64DBEAEB"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 xml:space="preserve">6. Strategic </w:t>
            </w:r>
            <w:r w:rsidR="009736BE" w:rsidRPr="007C4D65">
              <w:rPr>
                <w:rFonts w:asciiTheme="minorHAnsi" w:hAnsiTheme="minorHAnsi"/>
                <w:b/>
                <w:sz w:val="18"/>
                <w:szCs w:val="18"/>
              </w:rPr>
              <w:t>g</w:t>
            </w:r>
            <w:r w:rsidRPr="007C4D65">
              <w:rPr>
                <w:rFonts w:asciiTheme="minorHAnsi" w:hAnsiTheme="minorHAnsi"/>
                <w:b/>
                <w:sz w:val="18"/>
                <w:szCs w:val="18"/>
              </w:rPr>
              <w:t>oal</w:t>
            </w:r>
          </w:p>
        </w:tc>
        <w:tc>
          <w:tcPr>
            <w:tcW w:w="762" w:type="pct"/>
            <w:vMerge w:val="restart"/>
            <w:tcMar>
              <w:top w:w="0" w:type="dxa"/>
              <w:left w:w="108" w:type="dxa"/>
              <w:bottom w:w="0" w:type="dxa"/>
              <w:right w:w="108" w:type="dxa"/>
            </w:tcMar>
            <w:vAlign w:val="center"/>
          </w:tcPr>
          <w:p w14:paraId="1F77D7C7"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Sustainable Resource Management</w:t>
            </w:r>
          </w:p>
        </w:tc>
        <w:tc>
          <w:tcPr>
            <w:tcW w:w="1159" w:type="pct"/>
            <w:shd w:val="clear" w:color="auto" w:fill="D9D9D9"/>
            <w:tcMar>
              <w:top w:w="0" w:type="dxa"/>
              <w:left w:w="108" w:type="dxa"/>
              <w:bottom w:w="0" w:type="dxa"/>
              <w:right w:w="108" w:type="dxa"/>
            </w:tcMar>
            <w:vAlign w:val="center"/>
            <w:hideMark/>
          </w:tcPr>
          <w:p w14:paraId="539DB560"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for the strategic goal</w:t>
            </w:r>
          </w:p>
        </w:tc>
        <w:tc>
          <w:tcPr>
            <w:tcW w:w="1159" w:type="pct"/>
            <w:shd w:val="clear" w:color="auto" w:fill="D9D9D9"/>
            <w:tcMar>
              <w:top w:w="0" w:type="dxa"/>
              <w:left w:w="108" w:type="dxa"/>
              <w:bottom w:w="0" w:type="dxa"/>
              <w:right w:w="108" w:type="dxa"/>
            </w:tcMar>
            <w:vAlign w:val="center"/>
            <w:hideMark/>
          </w:tcPr>
          <w:p w14:paraId="64440AA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hideMark/>
          </w:tcPr>
          <w:p w14:paraId="215A70C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0928E136" w14:textId="77777777" w:rsidTr="00B6017F">
        <w:trPr>
          <w:trHeight w:val="287"/>
        </w:trPr>
        <w:tc>
          <w:tcPr>
            <w:tcW w:w="761" w:type="pct"/>
            <w:vMerge/>
            <w:shd w:val="clear" w:color="auto" w:fill="D9D9D9"/>
            <w:vAlign w:val="center"/>
            <w:hideMark/>
          </w:tcPr>
          <w:p w14:paraId="561F5B40"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0BFC9CF1"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751D723C"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Overview of forest areas, Federation of BiH - total (ha)</w:t>
            </w:r>
          </w:p>
        </w:tc>
        <w:tc>
          <w:tcPr>
            <w:tcW w:w="1159" w:type="pct"/>
            <w:tcMar>
              <w:top w:w="0" w:type="dxa"/>
              <w:left w:w="108" w:type="dxa"/>
              <w:bottom w:w="0" w:type="dxa"/>
              <w:right w:w="108" w:type="dxa"/>
            </w:tcMar>
            <w:vAlign w:val="center"/>
          </w:tcPr>
          <w:p w14:paraId="05B459D7" w14:textId="77777777" w:rsidR="00D51392" w:rsidRPr="007C4D65" w:rsidRDefault="00D51392" w:rsidP="00B6017F">
            <w:pPr>
              <w:spacing w:line="276" w:lineRule="auto"/>
              <w:jc w:val="center"/>
              <w:rPr>
                <w:rFonts w:asciiTheme="minorHAnsi" w:hAnsiTheme="minorHAnsi" w:cstheme="minorHAnsi"/>
                <w:sz w:val="18"/>
                <w:szCs w:val="18"/>
              </w:rPr>
            </w:pPr>
            <w:r w:rsidRPr="007C4D65">
              <w:rPr>
                <w:rFonts w:asciiTheme="minorHAnsi" w:hAnsiTheme="minorHAnsi"/>
                <w:sz w:val="18"/>
                <w:szCs w:val="18"/>
              </w:rPr>
              <w:t>1,510,938</w:t>
            </w:r>
          </w:p>
          <w:p w14:paraId="72E75243" w14:textId="77777777" w:rsidR="00D51392" w:rsidRPr="007C4D65" w:rsidRDefault="00D51392"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(2020)</w:t>
            </w:r>
          </w:p>
        </w:tc>
        <w:tc>
          <w:tcPr>
            <w:tcW w:w="1159" w:type="pct"/>
            <w:tcMar>
              <w:top w:w="0" w:type="dxa"/>
              <w:left w:w="108" w:type="dxa"/>
              <w:bottom w:w="0" w:type="dxa"/>
              <w:right w:w="108" w:type="dxa"/>
            </w:tcMar>
            <w:vAlign w:val="center"/>
          </w:tcPr>
          <w:p w14:paraId="2F4BC748" w14:textId="77777777" w:rsidR="00D51392" w:rsidRPr="007C4D65" w:rsidRDefault="00D51392"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N/D</w:t>
            </w:r>
          </w:p>
        </w:tc>
      </w:tr>
      <w:tr w:rsidR="00D51392" w:rsidRPr="007C4D65" w14:paraId="46EEA5C0" w14:textId="77777777" w:rsidTr="00B6017F">
        <w:trPr>
          <w:trHeight w:val="287"/>
        </w:trPr>
        <w:tc>
          <w:tcPr>
            <w:tcW w:w="761" w:type="pct"/>
            <w:vMerge/>
            <w:shd w:val="clear" w:color="auto" w:fill="D9D9D9"/>
            <w:vAlign w:val="center"/>
          </w:tcPr>
          <w:p w14:paraId="0054961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tcPr>
          <w:p w14:paraId="480F5A3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10BE4B77" w14:textId="18B114F8" w:rsidR="00D51392" w:rsidRPr="007C4D65" w:rsidRDefault="00D51392" w:rsidP="005F516C">
            <w:pPr>
              <w:tabs>
                <w:tab w:val="left" w:pos="955"/>
              </w:tabs>
              <w:spacing w:line="276" w:lineRule="auto"/>
              <w:rPr>
                <w:rFonts w:asciiTheme="minorHAnsi" w:hAnsiTheme="minorHAnsi" w:cstheme="minorHAnsi"/>
                <w:sz w:val="18"/>
                <w:szCs w:val="18"/>
                <w:lang w:val="hr-HR"/>
              </w:rPr>
            </w:pPr>
            <w:r w:rsidRPr="007C4D65">
              <w:rPr>
                <w:rFonts w:asciiTheme="minorHAnsi" w:hAnsiTheme="minorHAnsi"/>
                <w:sz w:val="18"/>
                <w:szCs w:val="18"/>
              </w:rPr>
              <w:t>Area of degraded land (ha)</w:t>
            </w:r>
          </w:p>
        </w:tc>
        <w:tc>
          <w:tcPr>
            <w:tcW w:w="1159" w:type="pct"/>
            <w:tcMar>
              <w:top w:w="0" w:type="dxa"/>
              <w:left w:w="108" w:type="dxa"/>
              <w:bottom w:w="0" w:type="dxa"/>
              <w:right w:w="108" w:type="dxa"/>
            </w:tcMar>
            <w:vAlign w:val="center"/>
          </w:tcPr>
          <w:p w14:paraId="6F61DDBC" w14:textId="77777777" w:rsidR="00D51392" w:rsidRPr="007C4D65" w:rsidRDefault="00D51392" w:rsidP="00B6017F">
            <w:pPr>
              <w:spacing w:line="276" w:lineRule="auto"/>
              <w:jc w:val="center"/>
              <w:rPr>
                <w:rFonts w:asciiTheme="minorHAnsi" w:hAnsiTheme="minorHAnsi" w:cstheme="minorHAnsi"/>
                <w:sz w:val="18"/>
                <w:szCs w:val="18"/>
              </w:rPr>
            </w:pPr>
            <w:r w:rsidRPr="007C4D65">
              <w:rPr>
                <w:rFonts w:asciiTheme="minorHAnsi" w:hAnsiTheme="minorHAnsi"/>
                <w:sz w:val="18"/>
                <w:szCs w:val="18"/>
              </w:rPr>
              <w:t>N/D</w:t>
            </w:r>
          </w:p>
          <w:p w14:paraId="18845668" w14:textId="77777777" w:rsidR="00D51392" w:rsidRPr="007C4D65" w:rsidRDefault="00D51392"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Federation of BiH has not precisely determined the area of degraded land</w:t>
            </w:r>
          </w:p>
        </w:tc>
        <w:tc>
          <w:tcPr>
            <w:tcW w:w="1159" w:type="pct"/>
            <w:tcMar>
              <w:top w:w="0" w:type="dxa"/>
              <w:left w:w="108" w:type="dxa"/>
              <w:bottom w:w="0" w:type="dxa"/>
              <w:right w:w="108" w:type="dxa"/>
            </w:tcMar>
            <w:vAlign w:val="center"/>
          </w:tcPr>
          <w:p w14:paraId="27F396D8" w14:textId="77777777" w:rsidR="00D51392" w:rsidRPr="007C4D65" w:rsidRDefault="00D51392" w:rsidP="00B6017F">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Zero level of land degradation achieved</w:t>
            </w:r>
          </w:p>
        </w:tc>
      </w:tr>
      <w:tr w:rsidR="00D51392" w:rsidRPr="007C4D65" w14:paraId="776423D3" w14:textId="77777777" w:rsidTr="00B6017F">
        <w:trPr>
          <w:trHeight w:val="375"/>
        </w:trPr>
        <w:tc>
          <w:tcPr>
            <w:tcW w:w="761" w:type="pct"/>
            <w:vMerge/>
            <w:shd w:val="clear" w:color="auto" w:fill="D9D9D9"/>
            <w:vAlign w:val="center"/>
            <w:hideMark/>
          </w:tcPr>
          <w:p w14:paraId="4C5982F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21019A11"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5580465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351701A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4EA6FDD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493805CD" w14:textId="77777777" w:rsidTr="00B6017F">
        <w:trPr>
          <w:trHeight w:val="287"/>
        </w:trPr>
        <w:tc>
          <w:tcPr>
            <w:tcW w:w="761" w:type="pct"/>
            <w:vMerge/>
            <w:shd w:val="clear" w:color="auto" w:fill="D9D9D9"/>
            <w:vAlign w:val="center"/>
            <w:hideMark/>
          </w:tcPr>
          <w:p w14:paraId="57BF3AE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2" w:type="pct"/>
            <w:vMerge/>
            <w:vAlign w:val="center"/>
            <w:hideMark/>
          </w:tcPr>
          <w:p w14:paraId="5E42B2D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hemeFill="background1"/>
            <w:tcMar>
              <w:top w:w="0" w:type="dxa"/>
              <w:left w:w="108" w:type="dxa"/>
              <w:bottom w:w="0" w:type="dxa"/>
              <w:right w:w="108" w:type="dxa"/>
            </w:tcMar>
            <w:vAlign w:val="center"/>
          </w:tcPr>
          <w:p w14:paraId="3FD49C0E"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348,9</w:t>
            </w:r>
          </w:p>
        </w:tc>
        <w:tc>
          <w:tcPr>
            <w:tcW w:w="1159" w:type="pct"/>
            <w:shd w:val="clear" w:color="auto" w:fill="FFFFFF" w:themeFill="background1"/>
            <w:tcMar>
              <w:top w:w="0" w:type="dxa"/>
              <w:left w:w="108" w:type="dxa"/>
              <w:bottom w:w="0" w:type="dxa"/>
              <w:right w:w="108" w:type="dxa"/>
            </w:tcMar>
            <w:vAlign w:val="center"/>
          </w:tcPr>
          <w:p w14:paraId="5A73A1C5"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3130,5</w:t>
            </w:r>
          </w:p>
        </w:tc>
        <w:tc>
          <w:tcPr>
            <w:tcW w:w="1159" w:type="pct"/>
            <w:shd w:val="clear" w:color="auto" w:fill="FFFFFF" w:themeFill="background1"/>
            <w:tcMar>
              <w:top w:w="0" w:type="dxa"/>
              <w:left w:w="108" w:type="dxa"/>
              <w:bottom w:w="0" w:type="dxa"/>
              <w:right w:w="108" w:type="dxa"/>
            </w:tcMar>
            <w:vAlign w:val="center"/>
          </w:tcPr>
          <w:p w14:paraId="2111F6DB"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3479</w:t>
            </w:r>
          </w:p>
        </w:tc>
      </w:tr>
    </w:tbl>
    <w:p w14:paraId="054365F0" w14:textId="77777777" w:rsidR="00D51392" w:rsidRPr="007C4D65" w:rsidRDefault="00D51392" w:rsidP="00D51392">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04"/>
        <w:gridCol w:w="2145"/>
        <w:gridCol w:w="3233"/>
        <w:gridCol w:w="3233"/>
        <w:gridCol w:w="3233"/>
      </w:tblGrid>
      <w:tr w:rsidR="00D51392" w:rsidRPr="007C4D65" w14:paraId="528E0E7B" w14:textId="77777777" w:rsidTr="00B6017F">
        <w:trPr>
          <w:trHeight w:val="384"/>
        </w:trPr>
        <w:tc>
          <w:tcPr>
            <w:tcW w:w="754" w:type="pct"/>
            <w:vMerge w:val="restart"/>
            <w:shd w:val="clear" w:color="auto" w:fill="D9D9D9"/>
            <w:tcMar>
              <w:top w:w="0" w:type="dxa"/>
              <w:left w:w="108" w:type="dxa"/>
              <w:bottom w:w="0" w:type="dxa"/>
              <w:right w:w="108" w:type="dxa"/>
            </w:tcMar>
            <w:vAlign w:val="center"/>
          </w:tcPr>
          <w:p w14:paraId="05AA6136"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6.1. Priority</w:t>
            </w:r>
          </w:p>
          <w:p w14:paraId="746010D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9" w:type="pct"/>
            <w:vMerge w:val="restart"/>
            <w:tcMar>
              <w:top w:w="0" w:type="dxa"/>
              <w:left w:w="108" w:type="dxa"/>
              <w:bottom w:w="0" w:type="dxa"/>
              <w:right w:w="108" w:type="dxa"/>
            </w:tcMar>
            <w:vAlign w:val="center"/>
          </w:tcPr>
          <w:p w14:paraId="2473A343" w14:textId="3EB09512" w:rsidR="00D51392" w:rsidRPr="007C4D65" w:rsidRDefault="00DF4EC7"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t>Establish an effective legal, strategic and institutional framework for sustainable forest and forest resources management in the Federation of BiH, appropriate valuation of forest resources, and ensure integration of gender and climate change issues</w:t>
            </w:r>
          </w:p>
        </w:tc>
        <w:tc>
          <w:tcPr>
            <w:tcW w:w="1159" w:type="pct"/>
            <w:shd w:val="clear" w:color="auto" w:fill="D9D9D9"/>
            <w:tcMar>
              <w:top w:w="0" w:type="dxa"/>
              <w:left w:w="108" w:type="dxa"/>
              <w:bottom w:w="0" w:type="dxa"/>
              <w:right w:w="108" w:type="dxa"/>
            </w:tcMar>
            <w:vAlign w:val="center"/>
          </w:tcPr>
          <w:p w14:paraId="034B0501" w14:textId="77777777" w:rsidR="00D51392" w:rsidRPr="007C4D65" w:rsidRDefault="00D51392"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59" w:type="pct"/>
            <w:shd w:val="clear" w:color="auto" w:fill="D9D9D9"/>
            <w:tcMar>
              <w:top w:w="0" w:type="dxa"/>
              <w:left w:w="108" w:type="dxa"/>
              <w:bottom w:w="0" w:type="dxa"/>
              <w:right w:w="108" w:type="dxa"/>
            </w:tcMar>
            <w:vAlign w:val="center"/>
          </w:tcPr>
          <w:p w14:paraId="700BABA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tcPr>
          <w:p w14:paraId="0AC56A5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5128CCB4" w14:textId="77777777" w:rsidTr="00B6017F">
        <w:trPr>
          <w:trHeight w:val="287"/>
        </w:trPr>
        <w:tc>
          <w:tcPr>
            <w:tcW w:w="754" w:type="pct"/>
            <w:vMerge/>
            <w:shd w:val="clear" w:color="auto" w:fill="D9D9D9"/>
            <w:vAlign w:val="center"/>
            <w:hideMark/>
          </w:tcPr>
          <w:p w14:paraId="2ECE745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9" w:type="pct"/>
            <w:vMerge/>
            <w:vAlign w:val="center"/>
            <w:hideMark/>
          </w:tcPr>
          <w:p w14:paraId="415186B8"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FAA1044" w14:textId="5C7E3C51"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Existence of a law and strategic framework for sustainable forest management</w:t>
            </w:r>
          </w:p>
        </w:tc>
        <w:tc>
          <w:tcPr>
            <w:tcW w:w="1159" w:type="pct"/>
            <w:tcMar>
              <w:top w:w="0" w:type="dxa"/>
              <w:left w:w="108" w:type="dxa"/>
              <w:bottom w:w="0" w:type="dxa"/>
              <w:right w:w="108" w:type="dxa"/>
            </w:tcMar>
            <w:vAlign w:val="center"/>
          </w:tcPr>
          <w:p w14:paraId="6A3EEF38" w14:textId="41C55D79"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Federation of BiH has no legal or strategic framework for sustainable management of forests</w:t>
            </w:r>
          </w:p>
        </w:tc>
        <w:tc>
          <w:tcPr>
            <w:tcW w:w="1159" w:type="pct"/>
            <w:tcMar>
              <w:top w:w="0" w:type="dxa"/>
              <w:left w:w="108" w:type="dxa"/>
              <w:bottom w:w="0" w:type="dxa"/>
              <w:right w:w="108" w:type="dxa"/>
            </w:tcMar>
            <w:vAlign w:val="center"/>
          </w:tcPr>
          <w:p w14:paraId="0B6C348D" w14:textId="71DCE18A"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By 2025, Federation of BiH will have adopted strategic and legal framework laying out principles and criteria of sustainable forest management, standard methodology for developing forest management plans on the principles of multi-functionality and protection of forest ecosystems’ biodiversity for privately and state-owned forests, coverage and methodology of monitoring health status of forests, monitoring indicators of sustainable use of  forests and reporting, method of issuing licenses for pickers of non-timber forest products, management of privately owned forests</w:t>
            </w:r>
          </w:p>
        </w:tc>
      </w:tr>
      <w:tr w:rsidR="00D51392" w:rsidRPr="007C4D65" w14:paraId="14C854DC" w14:textId="77777777" w:rsidTr="00B6017F">
        <w:trPr>
          <w:trHeight w:val="287"/>
        </w:trPr>
        <w:tc>
          <w:tcPr>
            <w:tcW w:w="754" w:type="pct"/>
            <w:vMerge/>
            <w:shd w:val="clear" w:color="auto" w:fill="D9D9D9"/>
            <w:vAlign w:val="center"/>
          </w:tcPr>
          <w:p w14:paraId="2541FA2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9" w:type="pct"/>
            <w:vMerge/>
            <w:vAlign w:val="center"/>
          </w:tcPr>
          <w:p w14:paraId="6F27293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C65553C" w14:textId="4B9FCBFD"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Existence of systematic framework for registration and oversight of collection of medicinal, edible and aromatic plants and non-timber forest products</w:t>
            </w:r>
          </w:p>
        </w:tc>
        <w:tc>
          <w:tcPr>
            <w:tcW w:w="1159" w:type="pct"/>
            <w:tcMar>
              <w:top w:w="0" w:type="dxa"/>
              <w:left w:w="108" w:type="dxa"/>
              <w:bottom w:w="0" w:type="dxa"/>
              <w:right w:w="108" w:type="dxa"/>
            </w:tcMar>
            <w:vAlign w:val="center"/>
          </w:tcPr>
          <w:p w14:paraId="6683BD6E" w14:textId="4C618B5E"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Federation of BiH does not have a legal and institutional framework for sustainable management of medicinal, edible and aromatic plants and non-timber forest products</w:t>
            </w:r>
          </w:p>
        </w:tc>
        <w:tc>
          <w:tcPr>
            <w:tcW w:w="1159" w:type="pct"/>
            <w:tcMar>
              <w:top w:w="0" w:type="dxa"/>
              <w:left w:w="108" w:type="dxa"/>
              <w:bottom w:w="0" w:type="dxa"/>
              <w:right w:w="108" w:type="dxa"/>
            </w:tcMar>
            <w:vAlign w:val="center"/>
          </w:tcPr>
          <w:p w14:paraId="67070E9C"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sz w:val="18"/>
                <w:szCs w:val="18"/>
              </w:rPr>
              <w:t>By the end of 2025, established is a system of oversight for collection medicinal, edible and aromatic plants and non-timber forest products</w:t>
            </w:r>
          </w:p>
        </w:tc>
      </w:tr>
      <w:tr w:rsidR="00D51392" w:rsidRPr="007C4D65" w14:paraId="0F92BDDF" w14:textId="77777777" w:rsidTr="00B6017F">
        <w:trPr>
          <w:trHeight w:val="287"/>
        </w:trPr>
        <w:tc>
          <w:tcPr>
            <w:tcW w:w="754" w:type="pct"/>
            <w:vMerge/>
            <w:shd w:val="clear" w:color="auto" w:fill="D9D9D9"/>
            <w:vAlign w:val="center"/>
          </w:tcPr>
          <w:p w14:paraId="646C3BC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9" w:type="pct"/>
            <w:vMerge/>
            <w:vAlign w:val="center"/>
          </w:tcPr>
          <w:p w14:paraId="273D786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C4051EA"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Existence of regular monitoring of forest health status</w:t>
            </w:r>
          </w:p>
        </w:tc>
        <w:tc>
          <w:tcPr>
            <w:tcW w:w="1159" w:type="pct"/>
            <w:tcMar>
              <w:top w:w="0" w:type="dxa"/>
              <w:left w:w="108" w:type="dxa"/>
              <w:bottom w:w="0" w:type="dxa"/>
              <w:right w:w="108" w:type="dxa"/>
            </w:tcMar>
            <w:vAlign w:val="center"/>
          </w:tcPr>
          <w:p w14:paraId="4A938A0C" w14:textId="22CD870D"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 Federation of BiH, there are no adopted methods for harmonized sampling, assessment and monitoring of status of forests, in accordance with previously identified indicators.</w:t>
            </w:r>
            <w:r w:rsidRPr="007C4D65">
              <w:rPr>
                <w:rFonts w:asciiTheme="minorHAnsi" w:hAnsiTheme="minorHAnsi"/>
                <w:color w:val="000000"/>
                <w:sz w:val="18"/>
                <w:szCs w:val="18"/>
              </w:rPr>
              <w:t xml:space="preserve"> There is no established network of monitoring points.  Forest management companies lack capacities to conduct monitoring</w:t>
            </w:r>
          </w:p>
        </w:tc>
        <w:tc>
          <w:tcPr>
            <w:tcW w:w="1159" w:type="pct"/>
            <w:tcMar>
              <w:top w:w="0" w:type="dxa"/>
              <w:left w:w="108" w:type="dxa"/>
              <w:bottom w:w="0" w:type="dxa"/>
              <w:right w:w="108" w:type="dxa"/>
            </w:tcMar>
            <w:vAlign w:val="center"/>
          </w:tcPr>
          <w:p w14:paraId="1923DAEF" w14:textId="54170EFF"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sz w:val="18"/>
                <w:szCs w:val="18"/>
              </w:rPr>
              <w:t>By the end of 2025, regular monitoring of health status of forests is operational and includes monitoring of changes in forest ecosystems in terms of the species diversity status, changed areas, health status, and other biotic and abiotic factors</w:t>
            </w:r>
          </w:p>
        </w:tc>
      </w:tr>
      <w:tr w:rsidR="00D51392" w:rsidRPr="007C4D65" w14:paraId="0676355E" w14:textId="77777777" w:rsidTr="00B6017F">
        <w:trPr>
          <w:trHeight w:val="287"/>
        </w:trPr>
        <w:tc>
          <w:tcPr>
            <w:tcW w:w="754" w:type="pct"/>
            <w:vMerge/>
            <w:shd w:val="clear" w:color="auto" w:fill="D9D9D9"/>
            <w:vAlign w:val="center"/>
          </w:tcPr>
          <w:p w14:paraId="0B8ACC96"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9" w:type="pct"/>
            <w:vMerge/>
            <w:vAlign w:val="center"/>
          </w:tcPr>
          <w:p w14:paraId="66D74F4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D099795"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Existence of capacities and technical requirements for preventing forest fires</w:t>
            </w:r>
          </w:p>
        </w:tc>
        <w:tc>
          <w:tcPr>
            <w:tcW w:w="1159" w:type="pct"/>
            <w:tcMar>
              <w:top w:w="0" w:type="dxa"/>
              <w:left w:w="108" w:type="dxa"/>
              <w:bottom w:w="0" w:type="dxa"/>
              <w:right w:w="108" w:type="dxa"/>
            </w:tcMar>
            <w:vAlign w:val="center"/>
          </w:tcPr>
          <w:p w14:paraId="240916D5" w14:textId="13A71EC3"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Forests of Federation of BiH are not passable enough to allow quick access to </w:t>
            </w:r>
            <w:r w:rsidRPr="007C4D65">
              <w:rPr>
                <w:rFonts w:asciiTheme="minorHAnsi" w:hAnsiTheme="minorHAnsi"/>
                <w:sz w:val="18"/>
                <w:szCs w:val="18"/>
              </w:rPr>
              <w:lastRenderedPageBreak/>
              <w:t>the location of fire, forest management companies are not equipped to observe and detect fires early, nor for quick access and extinguishing of the fire</w:t>
            </w:r>
          </w:p>
        </w:tc>
        <w:tc>
          <w:tcPr>
            <w:tcW w:w="1159" w:type="pct"/>
            <w:tcMar>
              <w:top w:w="0" w:type="dxa"/>
              <w:left w:w="108" w:type="dxa"/>
              <w:bottom w:w="0" w:type="dxa"/>
              <w:right w:w="108" w:type="dxa"/>
            </w:tcMar>
            <w:vAlign w:val="center"/>
          </w:tcPr>
          <w:p w14:paraId="0BBDABD8"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sz w:val="18"/>
                <w:szCs w:val="18"/>
              </w:rPr>
              <w:lastRenderedPageBreak/>
              <w:t xml:space="preserve">By 2027, forest management companies equipped for early fire detection and </w:t>
            </w:r>
            <w:r w:rsidRPr="007C4D65">
              <w:rPr>
                <w:rFonts w:asciiTheme="minorHAnsi" w:hAnsiTheme="minorHAnsi"/>
                <w:color w:val="000000"/>
                <w:sz w:val="18"/>
                <w:szCs w:val="18"/>
              </w:rPr>
              <w:lastRenderedPageBreak/>
              <w:t>prevention</w:t>
            </w:r>
          </w:p>
        </w:tc>
      </w:tr>
      <w:tr w:rsidR="00D51392" w:rsidRPr="007C4D65" w14:paraId="78A4B8FD" w14:textId="77777777" w:rsidTr="00B6017F">
        <w:trPr>
          <w:trHeight w:val="287"/>
        </w:trPr>
        <w:tc>
          <w:tcPr>
            <w:tcW w:w="754" w:type="pct"/>
            <w:vMerge/>
            <w:shd w:val="clear" w:color="auto" w:fill="D9D9D9"/>
            <w:vAlign w:val="center"/>
          </w:tcPr>
          <w:p w14:paraId="7FEA1DF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9" w:type="pct"/>
            <w:vMerge/>
            <w:vAlign w:val="center"/>
          </w:tcPr>
          <w:p w14:paraId="538C0C6E"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EC5BC4A" w14:textId="642B39EC"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Area of productive barren land suitable for afforestation</w:t>
            </w:r>
          </w:p>
        </w:tc>
        <w:tc>
          <w:tcPr>
            <w:tcW w:w="1159" w:type="pct"/>
            <w:tcMar>
              <w:top w:w="0" w:type="dxa"/>
              <w:left w:w="108" w:type="dxa"/>
              <w:bottom w:w="0" w:type="dxa"/>
              <w:right w:w="108" w:type="dxa"/>
            </w:tcMar>
            <w:vAlign w:val="center"/>
          </w:tcPr>
          <w:p w14:paraId="42D5450A"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Area of productive barren land suitable for afforestation is 159,913.5 ha</w:t>
            </w:r>
          </w:p>
        </w:tc>
        <w:tc>
          <w:tcPr>
            <w:tcW w:w="1159" w:type="pct"/>
            <w:tcMar>
              <w:top w:w="0" w:type="dxa"/>
              <w:left w:w="108" w:type="dxa"/>
              <w:bottom w:w="0" w:type="dxa"/>
              <w:right w:w="108" w:type="dxa"/>
            </w:tcMar>
            <w:vAlign w:val="center"/>
          </w:tcPr>
          <w:p w14:paraId="0AC66887"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 xml:space="preserve">Afforestation of 15,991 ha of current karst </w:t>
            </w:r>
            <w:proofErr w:type="gramStart"/>
            <w:r w:rsidRPr="007C4D65">
              <w:rPr>
                <w:rFonts w:asciiTheme="minorHAnsi" w:hAnsiTheme="minorHAnsi"/>
                <w:color w:val="000000" w:themeColor="text1"/>
                <w:sz w:val="18"/>
                <w:szCs w:val="18"/>
              </w:rPr>
              <w:t>and  barren</w:t>
            </w:r>
            <w:proofErr w:type="gramEnd"/>
            <w:r w:rsidRPr="007C4D65">
              <w:rPr>
                <w:rFonts w:asciiTheme="minorHAnsi" w:hAnsiTheme="minorHAnsi"/>
                <w:color w:val="000000" w:themeColor="text1"/>
                <w:sz w:val="18"/>
                <w:szCs w:val="18"/>
              </w:rPr>
              <w:t xml:space="preserve"> land</w:t>
            </w:r>
          </w:p>
        </w:tc>
      </w:tr>
      <w:tr w:rsidR="00D51392" w:rsidRPr="007C4D65" w14:paraId="7B9E6791" w14:textId="77777777" w:rsidTr="00B6017F">
        <w:trPr>
          <w:trHeight w:val="287"/>
        </w:trPr>
        <w:tc>
          <w:tcPr>
            <w:tcW w:w="754" w:type="pct"/>
            <w:vMerge/>
            <w:shd w:val="clear" w:color="auto" w:fill="D9D9D9"/>
            <w:vAlign w:val="center"/>
          </w:tcPr>
          <w:p w14:paraId="6259B9B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9" w:type="pct"/>
            <w:vMerge/>
            <w:vAlign w:val="center"/>
          </w:tcPr>
          <w:p w14:paraId="2736B2C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7874EAC2"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Areas under coppice forests </w:t>
            </w:r>
          </w:p>
        </w:tc>
        <w:tc>
          <w:tcPr>
            <w:tcW w:w="1159" w:type="pct"/>
            <w:tcMar>
              <w:top w:w="0" w:type="dxa"/>
              <w:left w:w="108" w:type="dxa"/>
              <w:bottom w:w="0" w:type="dxa"/>
              <w:right w:w="108" w:type="dxa"/>
            </w:tcMar>
          </w:tcPr>
          <w:p w14:paraId="385F0159" w14:textId="695A0719"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Area under coppice forests is 257,879.6 ha</w:t>
            </w:r>
          </w:p>
        </w:tc>
        <w:tc>
          <w:tcPr>
            <w:tcW w:w="1159" w:type="pct"/>
            <w:tcMar>
              <w:top w:w="0" w:type="dxa"/>
              <w:left w:w="108" w:type="dxa"/>
              <w:bottom w:w="0" w:type="dxa"/>
              <w:right w:w="108" w:type="dxa"/>
            </w:tcMar>
          </w:tcPr>
          <w:p w14:paraId="2FC38A53"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Reduce the area under coppice forests by transitioning 50,000 ha of current coppice forests and thicket into high forests</w:t>
            </w:r>
          </w:p>
        </w:tc>
      </w:tr>
      <w:tr w:rsidR="00D51392" w:rsidRPr="007C4D65" w14:paraId="7E655616" w14:textId="77777777" w:rsidTr="00B6017F">
        <w:trPr>
          <w:trHeight w:val="287"/>
        </w:trPr>
        <w:tc>
          <w:tcPr>
            <w:tcW w:w="754" w:type="pct"/>
            <w:vMerge/>
            <w:shd w:val="clear" w:color="auto" w:fill="D9D9D9"/>
            <w:vAlign w:val="center"/>
            <w:hideMark/>
          </w:tcPr>
          <w:p w14:paraId="06F8289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9" w:type="pct"/>
            <w:vMerge/>
            <w:vAlign w:val="center"/>
            <w:hideMark/>
          </w:tcPr>
          <w:p w14:paraId="793975D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2C6A2B7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tcPr>
          <w:p w14:paraId="00127257"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tcPr>
          <w:p w14:paraId="5EB91B9E"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5346C39A" w14:textId="77777777" w:rsidTr="00B6017F">
        <w:trPr>
          <w:trHeight w:val="287"/>
        </w:trPr>
        <w:tc>
          <w:tcPr>
            <w:tcW w:w="754" w:type="pct"/>
            <w:vMerge/>
            <w:shd w:val="clear" w:color="auto" w:fill="D9D9D9"/>
            <w:vAlign w:val="center"/>
          </w:tcPr>
          <w:p w14:paraId="10A481B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9" w:type="pct"/>
            <w:vMerge/>
            <w:vAlign w:val="center"/>
          </w:tcPr>
          <w:p w14:paraId="1211A09A"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94AFA3A"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14,3</w:t>
            </w:r>
          </w:p>
        </w:tc>
        <w:tc>
          <w:tcPr>
            <w:tcW w:w="1159" w:type="pct"/>
            <w:tcMar>
              <w:top w:w="0" w:type="dxa"/>
              <w:left w:w="108" w:type="dxa"/>
              <w:bottom w:w="0" w:type="dxa"/>
              <w:right w:w="108" w:type="dxa"/>
            </w:tcMar>
            <w:vAlign w:val="center"/>
          </w:tcPr>
          <w:p w14:paraId="5C6E6B72"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127,5</w:t>
            </w:r>
          </w:p>
        </w:tc>
        <w:tc>
          <w:tcPr>
            <w:tcW w:w="1159" w:type="pct"/>
            <w:tcMar>
              <w:top w:w="0" w:type="dxa"/>
              <w:left w:w="108" w:type="dxa"/>
              <w:bottom w:w="0" w:type="dxa"/>
              <w:right w:w="108" w:type="dxa"/>
            </w:tcMar>
            <w:vAlign w:val="center"/>
          </w:tcPr>
          <w:p w14:paraId="131CCF3B"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141,8</w:t>
            </w:r>
          </w:p>
        </w:tc>
      </w:tr>
    </w:tbl>
    <w:p w14:paraId="5CCADB7C" w14:textId="77777777" w:rsidR="00D51392" w:rsidRPr="007C4D65" w:rsidRDefault="00D51392" w:rsidP="00D51392">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35"/>
        <w:gridCol w:w="2113"/>
        <w:gridCol w:w="3234"/>
        <w:gridCol w:w="3233"/>
        <w:gridCol w:w="3233"/>
      </w:tblGrid>
      <w:tr w:rsidR="00D51392" w:rsidRPr="007C4D65" w14:paraId="117FFEAE" w14:textId="77777777" w:rsidTr="00B6017F">
        <w:trPr>
          <w:trHeight w:val="483"/>
        </w:trPr>
        <w:tc>
          <w:tcPr>
            <w:tcW w:w="765" w:type="pct"/>
            <w:vMerge w:val="restart"/>
            <w:shd w:val="clear" w:color="auto" w:fill="D9D9D9"/>
            <w:tcMar>
              <w:top w:w="0" w:type="dxa"/>
              <w:left w:w="108" w:type="dxa"/>
              <w:bottom w:w="0" w:type="dxa"/>
              <w:right w:w="108" w:type="dxa"/>
            </w:tcMar>
            <w:vAlign w:val="center"/>
            <w:hideMark/>
          </w:tcPr>
          <w:p w14:paraId="6D531D81"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6.1.1. Measure</w:t>
            </w:r>
          </w:p>
        </w:tc>
        <w:tc>
          <w:tcPr>
            <w:tcW w:w="757" w:type="pct"/>
            <w:vMerge w:val="restart"/>
            <w:tcMar>
              <w:top w:w="0" w:type="dxa"/>
              <w:left w:w="108" w:type="dxa"/>
              <w:bottom w:w="0" w:type="dxa"/>
              <w:right w:w="108" w:type="dxa"/>
            </w:tcMar>
            <w:vAlign w:val="center"/>
          </w:tcPr>
          <w:p w14:paraId="289FC890"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Establishing strategic and legal framework for sustainable management of forest resources</w:t>
            </w:r>
          </w:p>
        </w:tc>
        <w:tc>
          <w:tcPr>
            <w:tcW w:w="1159" w:type="pct"/>
            <w:shd w:val="clear" w:color="auto" w:fill="D9D9D9"/>
            <w:tcMar>
              <w:top w:w="0" w:type="dxa"/>
              <w:left w:w="108" w:type="dxa"/>
              <w:bottom w:w="0" w:type="dxa"/>
              <w:right w:w="108" w:type="dxa"/>
            </w:tcMar>
            <w:vAlign w:val="center"/>
            <w:hideMark/>
          </w:tcPr>
          <w:p w14:paraId="14DE08F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250ABE9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283EEFB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602A33C4" w14:textId="77777777" w:rsidTr="00B6017F">
        <w:trPr>
          <w:trHeight w:val="38"/>
        </w:trPr>
        <w:tc>
          <w:tcPr>
            <w:tcW w:w="765" w:type="pct"/>
            <w:vMerge/>
            <w:shd w:val="clear" w:color="auto" w:fill="D9D9D9"/>
            <w:vAlign w:val="center"/>
          </w:tcPr>
          <w:p w14:paraId="765A049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766F1B9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1F81C706" w14:textId="4F234096"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Law on Forests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0BCE4F4" w14:textId="3DCF274B" w:rsidR="00D51392" w:rsidRPr="007C4D65" w:rsidRDefault="00D51392" w:rsidP="00B6017F">
            <w:pPr>
              <w:spacing w:line="276" w:lineRule="auto"/>
              <w:ind w:left="73"/>
              <w:rPr>
                <w:rFonts w:asciiTheme="minorHAnsi" w:hAnsiTheme="minorHAnsi" w:cstheme="minorHAnsi"/>
                <w:sz w:val="18"/>
                <w:szCs w:val="18"/>
              </w:rPr>
            </w:pPr>
            <w:r w:rsidRPr="007C4D65">
              <w:rPr>
                <w:rFonts w:asciiTheme="minorHAnsi" w:hAnsiTheme="minorHAnsi"/>
                <w:sz w:val="18"/>
                <w:szCs w:val="18"/>
              </w:rPr>
              <w:t>Federation of BiH does not have a law on forests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9A8522F" w14:textId="77777777" w:rsidR="00D51392" w:rsidRPr="007C4D65" w:rsidRDefault="00D51392" w:rsidP="00B6017F">
            <w:pPr>
              <w:spacing w:before="40" w:after="40" w:line="276" w:lineRule="auto"/>
              <w:ind w:left="69"/>
              <w:rPr>
                <w:rFonts w:asciiTheme="minorHAnsi" w:eastAsiaTheme="minorHAnsi" w:hAnsiTheme="minorHAnsi" w:cstheme="minorHAnsi"/>
                <w:sz w:val="18"/>
                <w:szCs w:val="18"/>
              </w:rPr>
            </w:pPr>
            <w:r w:rsidRPr="007C4D65">
              <w:rPr>
                <w:rFonts w:asciiTheme="minorHAnsi" w:hAnsiTheme="minorHAnsi"/>
                <w:sz w:val="18"/>
                <w:szCs w:val="18"/>
              </w:rPr>
              <w:t>By 2022, Federation of BiH will have adopted the Law on Forests</w:t>
            </w:r>
          </w:p>
          <w:p w14:paraId="4965C458"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By 2023, Federation of BiH adopted amendments to the law on forests</w:t>
            </w:r>
          </w:p>
        </w:tc>
      </w:tr>
      <w:tr w:rsidR="00D51392" w:rsidRPr="007C4D65" w14:paraId="6266808B" w14:textId="77777777" w:rsidTr="00B6017F">
        <w:trPr>
          <w:trHeight w:val="31"/>
        </w:trPr>
        <w:tc>
          <w:tcPr>
            <w:tcW w:w="765" w:type="pct"/>
            <w:vMerge/>
            <w:shd w:val="clear" w:color="auto" w:fill="D9D9D9"/>
            <w:vAlign w:val="center"/>
          </w:tcPr>
          <w:p w14:paraId="4E10D133"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76367A0D"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22F52D79"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secondary legislation (bylaws)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2DE5266" w14:textId="3CC5E52A" w:rsidR="00D51392" w:rsidRPr="007C4D65" w:rsidRDefault="008C23C0" w:rsidP="00B6017F">
            <w:pPr>
              <w:spacing w:line="276" w:lineRule="auto"/>
              <w:ind w:left="73"/>
              <w:rPr>
                <w:rFonts w:asciiTheme="minorHAnsi" w:hAnsiTheme="minorHAnsi" w:cstheme="minorHAnsi"/>
                <w:sz w:val="18"/>
                <w:szCs w:val="18"/>
              </w:rPr>
            </w:pPr>
            <w:r w:rsidRPr="007C4D65">
              <w:rPr>
                <w:rFonts w:asciiTheme="minorHAnsi" w:hAnsiTheme="minorHAnsi"/>
                <w:sz w:val="18"/>
                <w:szCs w:val="18"/>
              </w:rPr>
              <w:t>The Federation of BiH</w:t>
            </w:r>
            <w:r w:rsidR="00D51392" w:rsidRPr="007C4D65">
              <w:rPr>
                <w:rFonts w:asciiTheme="minorHAnsi" w:hAnsiTheme="minorHAnsi"/>
                <w:sz w:val="18"/>
                <w:szCs w:val="18"/>
              </w:rPr>
              <w:t xml:space="preserve"> does not have in place the secondary legislation (bylaws) specifying the content and method of developing forest management plans for privately and state-owned forests based on principles of multi-functionality and protection of biodiversity, scope and methodology of monitoring health status of forests, monitoring indicators of sustainable use </w:t>
            </w:r>
            <w:proofErr w:type="gramStart"/>
            <w:r w:rsidR="00D51392" w:rsidRPr="007C4D65">
              <w:rPr>
                <w:rFonts w:asciiTheme="minorHAnsi" w:hAnsiTheme="minorHAnsi"/>
                <w:sz w:val="18"/>
                <w:szCs w:val="18"/>
              </w:rPr>
              <w:t>of  forests</w:t>
            </w:r>
            <w:proofErr w:type="gramEnd"/>
            <w:r w:rsidR="00D51392" w:rsidRPr="007C4D65">
              <w:rPr>
                <w:rFonts w:asciiTheme="minorHAnsi" w:hAnsiTheme="minorHAnsi"/>
                <w:sz w:val="18"/>
                <w:szCs w:val="18"/>
              </w:rPr>
              <w:t xml:space="preserve"> and reporting, issuing licenses for pickers of non-timber forest products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60BEBEC"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By the end of 2023, secondary legislation adopted</w:t>
            </w:r>
          </w:p>
        </w:tc>
      </w:tr>
      <w:tr w:rsidR="00D51392" w:rsidRPr="007C4D65" w14:paraId="26B97F31" w14:textId="77777777" w:rsidTr="00B6017F">
        <w:trPr>
          <w:trHeight w:val="31"/>
        </w:trPr>
        <w:tc>
          <w:tcPr>
            <w:tcW w:w="765" w:type="pct"/>
            <w:vMerge/>
            <w:shd w:val="clear" w:color="auto" w:fill="D9D9D9"/>
            <w:vAlign w:val="center"/>
          </w:tcPr>
          <w:p w14:paraId="115E3D19"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675AB16F"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1D55E8DC"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principles and criteria of sustainable forest management</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3D30B3B" w14:textId="2BAA71FA" w:rsidR="00D51392" w:rsidRPr="007C4D65" w:rsidRDefault="00D51392" w:rsidP="00B6017F">
            <w:pPr>
              <w:spacing w:line="276" w:lineRule="auto"/>
              <w:ind w:left="73"/>
              <w:rPr>
                <w:rFonts w:asciiTheme="minorHAnsi" w:hAnsiTheme="minorHAnsi" w:cstheme="minorHAnsi"/>
                <w:sz w:val="18"/>
                <w:szCs w:val="18"/>
              </w:rPr>
            </w:pPr>
            <w:r w:rsidRPr="007C4D65">
              <w:rPr>
                <w:rFonts w:asciiTheme="minorHAnsi" w:hAnsiTheme="minorHAnsi"/>
                <w:sz w:val="18"/>
                <w:szCs w:val="18"/>
              </w:rPr>
              <w:t xml:space="preserve">Federation of BiH has not established principles and criteria of sustainable management, sensitive to social inequality </w:t>
            </w:r>
            <w:r w:rsidRPr="007C4D65">
              <w:rPr>
                <w:rFonts w:asciiTheme="minorHAnsi" w:hAnsiTheme="minorHAnsi"/>
                <w:sz w:val="18"/>
                <w:szCs w:val="18"/>
              </w:rPr>
              <w:lastRenderedPageBreak/>
              <w:t>issues, in line with the EU Forest Strategy, European Green Plan and Road Map</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262789A"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lastRenderedPageBreak/>
              <w:t>By the end of 2023, adopted principles and criteria of sustainable forest management</w:t>
            </w:r>
          </w:p>
        </w:tc>
      </w:tr>
      <w:tr w:rsidR="00D51392" w:rsidRPr="007C4D65" w14:paraId="0EEF5B49" w14:textId="77777777" w:rsidTr="00B6017F">
        <w:trPr>
          <w:trHeight w:val="31"/>
        </w:trPr>
        <w:tc>
          <w:tcPr>
            <w:tcW w:w="765" w:type="pct"/>
            <w:vMerge/>
            <w:shd w:val="clear" w:color="auto" w:fill="D9D9D9"/>
            <w:vAlign w:val="center"/>
          </w:tcPr>
          <w:p w14:paraId="35514D13"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0B069651"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right w:val="single" w:sz="4" w:space="0" w:color="A6A6A6"/>
            </w:tcBorders>
            <w:shd w:val="clear" w:color="auto" w:fill="FFFFFF"/>
            <w:tcMar>
              <w:top w:w="0" w:type="dxa"/>
              <w:left w:w="108" w:type="dxa"/>
              <w:bottom w:w="0" w:type="dxa"/>
              <w:right w:w="108" w:type="dxa"/>
            </w:tcMar>
            <w:vAlign w:val="center"/>
          </w:tcPr>
          <w:p w14:paraId="16C14EAF"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Forestry Programme of the Federation of BiH and Executive Part of the Forestry Programme (documents defining long-term policy and strategy of development of forestry and hunting)</w:t>
            </w:r>
          </w:p>
        </w:tc>
        <w:tc>
          <w:tcPr>
            <w:tcW w:w="1159" w:type="pct"/>
            <w:tcBorders>
              <w:top w:val="single" w:sz="4" w:space="0" w:color="A6A6A6"/>
              <w:left w:val="single" w:sz="4" w:space="0" w:color="A6A6A6"/>
              <w:right w:val="single" w:sz="4" w:space="0" w:color="A6A6A6"/>
            </w:tcBorders>
            <w:shd w:val="clear" w:color="auto" w:fill="FFFFFF"/>
            <w:vAlign w:val="center"/>
          </w:tcPr>
          <w:p w14:paraId="10F45E54" w14:textId="3C5A9CC4" w:rsidR="00D51392" w:rsidRPr="007C4D65" w:rsidRDefault="00D51392" w:rsidP="00B6017F">
            <w:pPr>
              <w:spacing w:line="276" w:lineRule="auto"/>
              <w:ind w:left="73"/>
              <w:rPr>
                <w:rFonts w:asciiTheme="minorHAnsi" w:hAnsiTheme="minorHAnsi" w:cstheme="minorHAnsi"/>
                <w:sz w:val="18"/>
                <w:szCs w:val="18"/>
              </w:rPr>
            </w:pPr>
            <w:r w:rsidRPr="007C4D65">
              <w:rPr>
                <w:rFonts w:asciiTheme="minorHAnsi" w:hAnsiTheme="minorHAnsi"/>
                <w:sz w:val="18"/>
                <w:szCs w:val="18"/>
              </w:rPr>
              <w:t xml:space="preserve">Federation of BiH has not adopted the Forestry </w:t>
            </w:r>
            <w:r w:rsidR="00B80FAD" w:rsidRPr="007C4D65">
              <w:rPr>
                <w:rFonts w:asciiTheme="minorHAnsi" w:hAnsiTheme="minorHAnsi"/>
                <w:sz w:val="18"/>
                <w:szCs w:val="18"/>
              </w:rPr>
              <w:t>P</w:t>
            </w:r>
            <w:r w:rsidRPr="007C4D65">
              <w:rPr>
                <w:rFonts w:asciiTheme="minorHAnsi" w:hAnsiTheme="minorHAnsi"/>
                <w:sz w:val="18"/>
                <w:szCs w:val="18"/>
              </w:rPr>
              <w:t>rogramme and Executive part</w:t>
            </w:r>
          </w:p>
        </w:tc>
        <w:tc>
          <w:tcPr>
            <w:tcW w:w="1159" w:type="pct"/>
            <w:tcBorders>
              <w:top w:val="single" w:sz="4" w:space="0" w:color="A6A6A6"/>
              <w:left w:val="single" w:sz="4" w:space="0" w:color="A6A6A6"/>
              <w:right w:val="single" w:sz="4" w:space="0" w:color="A6A6A6"/>
            </w:tcBorders>
            <w:shd w:val="clear" w:color="auto" w:fill="FFFFFF"/>
            <w:vAlign w:val="center"/>
          </w:tcPr>
          <w:p w14:paraId="09D36C53" w14:textId="5E7F113E"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By the end of 2022, adopt Forestry Programme of the Federation of BiH; the Executive Part of Forestry Programme adopted by the end of 2024</w:t>
            </w:r>
          </w:p>
        </w:tc>
      </w:tr>
      <w:tr w:rsidR="00D51392" w:rsidRPr="007C4D65" w14:paraId="36D7A603" w14:textId="77777777" w:rsidTr="00B6017F">
        <w:trPr>
          <w:trHeight w:val="31"/>
        </w:trPr>
        <w:tc>
          <w:tcPr>
            <w:tcW w:w="765" w:type="pct"/>
            <w:vMerge/>
            <w:shd w:val="clear" w:color="auto" w:fill="D9D9D9"/>
            <w:vAlign w:val="center"/>
          </w:tcPr>
          <w:p w14:paraId="0F8DBCA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4B8B81A0"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41F8B5FC"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standard methodology in development of forest management plans (FMP)</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D6A5CBC" w14:textId="4BC5594E" w:rsidR="00D51392" w:rsidRPr="007C4D65" w:rsidRDefault="00D51392" w:rsidP="00B6017F">
            <w:pPr>
              <w:spacing w:line="276" w:lineRule="auto"/>
              <w:ind w:left="73"/>
              <w:rPr>
                <w:rFonts w:asciiTheme="minorHAnsi" w:hAnsiTheme="minorHAnsi" w:cstheme="minorHAnsi"/>
                <w:sz w:val="18"/>
                <w:szCs w:val="18"/>
              </w:rPr>
            </w:pPr>
            <w:r w:rsidRPr="007C4D65">
              <w:rPr>
                <w:rFonts w:asciiTheme="minorHAnsi" w:hAnsiTheme="minorHAnsi"/>
                <w:color w:val="000000" w:themeColor="text1"/>
                <w:sz w:val="18"/>
                <w:szCs w:val="18"/>
              </w:rPr>
              <w:t>The existing methodology of developing FMPs does not recognize in full the planning for other forest functions, planning use of the biomass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474907B"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color w:val="000000"/>
                <w:sz w:val="18"/>
                <w:szCs w:val="18"/>
              </w:rPr>
              <w:t>By the end of 2025, adopted standard methodology for developing FMP</w:t>
            </w:r>
          </w:p>
        </w:tc>
      </w:tr>
      <w:tr w:rsidR="00D51392" w:rsidRPr="007C4D65" w14:paraId="0B692C0B" w14:textId="77777777" w:rsidTr="00B6017F">
        <w:trPr>
          <w:trHeight w:val="31"/>
        </w:trPr>
        <w:tc>
          <w:tcPr>
            <w:tcW w:w="765" w:type="pct"/>
            <w:vMerge/>
            <w:shd w:val="clear" w:color="auto" w:fill="D9D9D9"/>
            <w:vAlign w:val="center"/>
          </w:tcPr>
          <w:p w14:paraId="0A08872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0435904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15ECB49C"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Share of staff trained in use of the new methodologies for development of FMP, and FMP implementation and monitoring</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4D97CB8" w14:textId="6CFFE0BF" w:rsidR="00D51392" w:rsidRPr="007C4D65" w:rsidRDefault="00D51392" w:rsidP="00B6017F">
            <w:pPr>
              <w:spacing w:line="276" w:lineRule="auto"/>
              <w:ind w:left="73"/>
              <w:rPr>
                <w:rFonts w:asciiTheme="minorHAnsi" w:hAnsiTheme="minorHAnsi" w:cstheme="minorHAnsi"/>
                <w:sz w:val="18"/>
                <w:szCs w:val="18"/>
              </w:rPr>
            </w:pPr>
            <w:r w:rsidRPr="007C4D65">
              <w:rPr>
                <w:rFonts w:asciiTheme="minorHAnsi" w:hAnsiTheme="minorHAnsi"/>
                <w:sz w:val="18"/>
                <w:szCs w:val="18"/>
              </w:rPr>
              <w:t>Staff working on development of FMPs do not possess satisfactory level of knowledge and skills for planning for other functions of forests, planning the use of bio-mass and non-timber forest products, and the protective role of forests 0%</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6927397"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By the end of 2025, 100% of staff completed the training programme in use of new methodology for FMP development, FMP implementation and monitoring</w:t>
            </w:r>
          </w:p>
        </w:tc>
      </w:tr>
      <w:tr w:rsidR="00D51392" w:rsidRPr="007C4D65" w14:paraId="57416223" w14:textId="77777777" w:rsidTr="00B6017F">
        <w:trPr>
          <w:trHeight w:val="31"/>
        </w:trPr>
        <w:tc>
          <w:tcPr>
            <w:tcW w:w="765" w:type="pct"/>
            <w:vMerge/>
            <w:shd w:val="clear" w:color="auto" w:fill="D9D9D9"/>
            <w:vAlign w:val="center"/>
          </w:tcPr>
          <w:p w14:paraId="5CCB60B6"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014A013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0F1E097B" w14:textId="2F5DF04E"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color w:val="000000"/>
                <w:sz w:val="18"/>
                <w:szCs w:val="18"/>
              </w:rPr>
              <w:t>Number of areas where the new FMP methodology is used</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E5E6D62" w14:textId="77777777" w:rsidR="00D51392" w:rsidRPr="007C4D65" w:rsidRDefault="00D51392" w:rsidP="00B6017F">
            <w:pPr>
              <w:spacing w:line="276" w:lineRule="auto"/>
              <w:ind w:left="73"/>
              <w:rPr>
                <w:rFonts w:asciiTheme="minorHAnsi" w:hAnsiTheme="minorHAnsi" w:cstheme="minorHAnsi"/>
                <w:sz w:val="18"/>
                <w:szCs w:val="18"/>
              </w:rPr>
            </w:pPr>
            <w:r w:rsidRPr="007C4D65">
              <w:rPr>
                <w:rFonts w:asciiTheme="minorHAnsi" w:hAnsiTheme="minorHAnsi"/>
                <w:color w:val="000000" w:themeColor="text1"/>
                <w:sz w:val="18"/>
                <w:szCs w:val="18"/>
              </w:rPr>
              <w:t>0</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7970255"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color w:val="000000" w:themeColor="text1"/>
                <w:sz w:val="18"/>
                <w:szCs w:val="18"/>
              </w:rPr>
              <w:t xml:space="preserve">2 pilot areas by the end of 2025 </w:t>
            </w:r>
          </w:p>
        </w:tc>
      </w:tr>
      <w:tr w:rsidR="00D51392" w:rsidRPr="007C4D65" w14:paraId="272DE7EC" w14:textId="77777777" w:rsidTr="00B6017F">
        <w:trPr>
          <w:trHeight w:val="31"/>
        </w:trPr>
        <w:tc>
          <w:tcPr>
            <w:tcW w:w="765" w:type="pct"/>
            <w:vMerge/>
            <w:shd w:val="clear" w:color="auto" w:fill="D9D9D9"/>
            <w:vAlign w:val="center"/>
          </w:tcPr>
          <w:p w14:paraId="025EC66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08EE80FD"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40D73165"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Number of FMPs developed in accordance with the new standard methodology</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A8EC51A" w14:textId="77777777" w:rsidR="00D51392" w:rsidRPr="007C4D65" w:rsidRDefault="00D51392" w:rsidP="00B6017F">
            <w:pPr>
              <w:spacing w:line="276" w:lineRule="auto"/>
              <w:ind w:left="73"/>
              <w:rPr>
                <w:rFonts w:asciiTheme="minorHAnsi" w:hAnsiTheme="minorHAnsi" w:cstheme="minorHAnsi"/>
                <w:sz w:val="18"/>
                <w:szCs w:val="18"/>
              </w:rPr>
            </w:pPr>
            <w:r w:rsidRPr="007C4D65">
              <w:rPr>
                <w:rFonts w:asciiTheme="minorHAnsi" w:hAnsiTheme="minorHAnsi"/>
                <w:color w:val="000000" w:themeColor="text1"/>
                <w:sz w:val="18"/>
                <w:szCs w:val="18"/>
              </w:rPr>
              <w:t>0</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22C43B2"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color w:val="000000" w:themeColor="text1"/>
                <w:sz w:val="18"/>
                <w:szCs w:val="18"/>
              </w:rPr>
              <w:t>Successively develop FMPs for all forest areas (100%)</w:t>
            </w:r>
          </w:p>
        </w:tc>
      </w:tr>
      <w:tr w:rsidR="00D51392" w:rsidRPr="007C4D65" w14:paraId="085C5521" w14:textId="77777777" w:rsidTr="00B6017F">
        <w:trPr>
          <w:trHeight w:val="31"/>
        </w:trPr>
        <w:tc>
          <w:tcPr>
            <w:tcW w:w="765" w:type="pct"/>
            <w:vMerge/>
            <w:shd w:val="clear" w:color="auto" w:fill="D9D9D9"/>
            <w:vAlign w:val="center"/>
          </w:tcPr>
          <w:p w14:paraId="2726FDB6"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1DDFF2B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336EB716"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color w:val="000000" w:themeColor="text1"/>
                <w:sz w:val="18"/>
                <w:szCs w:val="18"/>
              </w:rPr>
              <w:t>Percentage of private forest owners trained in the new methods of forest management</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39729CB6" w14:textId="77777777" w:rsidR="00D51392" w:rsidRPr="007C4D65" w:rsidRDefault="00D51392" w:rsidP="00B6017F">
            <w:pPr>
              <w:spacing w:line="276" w:lineRule="auto"/>
              <w:ind w:left="73"/>
              <w:rPr>
                <w:rFonts w:asciiTheme="minorHAnsi" w:hAnsiTheme="minorHAnsi" w:cstheme="minorHAnsi"/>
                <w:sz w:val="18"/>
                <w:szCs w:val="18"/>
              </w:rPr>
            </w:pPr>
            <w:r w:rsidRPr="007C4D65">
              <w:rPr>
                <w:rFonts w:asciiTheme="minorHAnsi" w:hAnsiTheme="minorHAnsi"/>
                <w:color w:val="000000" w:themeColor="text1"/>
                <w:sz w:val="18"/>
                <w:szCs w:val="18"/>
              </w:rPr>
              <w:t>0%,</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7CF2C429"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color w:val="000000" w:themeColor="text1"/>
                <w:sz w:val="18"/>
                <w:szCs w:val="18"/>
              </w:rPr>
              <w:t>By 2028, complete training of private forest owners on the new ways of forest management</w:t>
            </w:r>
          </w:p>
        </w:tc>
      </w:tr>
      <w:tr w:rsidR="00D51392" w:rsidRPr="007C4D65" w14:paraId="50B9C950" w14:textId="77777777" w:rsidTr="00B6017F">
        <w:trPr>
          <w:trHeight w:val="483"/>
        </w:trPr>
        <w:tc>
          <w:tcPr>
            <w:tcW w:w="765" w:type="pct"/>
            <w:vMerge/>
            <w:shd w:val="clear" w:color="auto" w:fill="D9D9D9"/>
            <w:vAlign w:val="center"/>
            <w:hideMark/>
          </w:tcPr>
          <w:p w14:paraId="593A8CC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3636CA0A"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6EF1BA1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4A7E24F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645CA1D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346652A3" w14:textId="77777777" w:rsidTr="00B6017F">
        <w:trPr>
          <w:trHeight w:val="287"/>
        </w:trPr>
        <w:tc>
          <w:tcPr>
            <w:tcW w:w="765" w:type="pct"/>
            <w:vMerge/>
            <w:shd w:val="clear" w:color="auto" w:fill="D9D9D9"/>
            <w:vAlign w:val="center"/>
            <w:hideMark/>
          </w:tcPr>
          <w:p w14:paraId="026CE6D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26E0ABB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4282449"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0,016</w:t>
            </w:r>
          </w:p>
        </w:tc>
        <w:tc>
          <w:tcPr>
            <w:tcW w:w="1159" w:type="pct"/>
            <w:tcMar>
              <w:top w:w="0" w:type="dxa"/>
              <w:left w:w="108" w:type="dxa"/>
              <w:bottom w:w="0" w:type="dxa"/>
              <w:right w:w="108" w:type="dxa"/>
            </w:tcMar>
            <w:vAlign w:val="center"/>
          </w:tcPr>
          <w:p w14:paraId="6304D3B8"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0,149</w:t>
            </w:r>
          </w:p>
        </w:tc>
        <w:tc>
          <w:tcPr>
            <w:tcW w:w="1159" w:type="pct"/>
            <w:tcMar>
              <w:top w:w="0" w:type="dxa"/>
              <w:left w:w="108" w:type="dxa"/>
              <w:bottom w:w="0" w:type="dxa"/>
              <w:right w:w="108" w:type="dxa"/>
            </w:tcMar>
            <w:vAlign w:val="center"/>
          </w:tcPr>
          <w:p w14:paraId="4B3B1375"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0,165</w:t>
            </w:r>
          </w:p>
        </w:tc>
      </w:tr>
      <w:tr w:rsidR="00D51392" w:rsidRPr="007C4D65" w14:paraId="3E2FA4DD" w14:textId="77777777" w:rsidTr="00B6017F">
        <w:trPr>
          <w:trHeight w:val="483"/>
        </w:trPr>
        <w:tc>
          <w:tcPr>
            <w:tcW w:w="765" w:type="pct"/>
            <w:vMerge w:val="restart"/>
            <w:shd w:val="clear" w:color="auto" w:fill="D9D9D9"/>
            <w:tcMar>
              <w:top w:w="0" w:type="dxa"/>
              <w:left w:w="108" w:type="dxa"/>
              <w:bottom w:w="0" w:type="dxa"/>
              <w:right w:w="108" w:type="dxa"/>
            </w:tcMar>
            <w:vAlign w:val="center"/>
            <w:hideMark/>
          </w:tcPr>
          <w:p w14:paraId="547CF69A"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6.1.2. Measure</w:t>
            </w:r>
          </w:p>
        </w:tc>
        <w:tc>
          <w:tcPr>
            <w:tcW w:w="757" w:type="pct"/>
            <w:vMerge w:val="restart"/>
            <w:tcMar>
              <w:top w:w="0" w:type="dxa"/>
              <w:left w:w="108" w:type="dxa"/>
              <w:bottom w:w="0" w:type="dxa"/>
              <w:right w:w="108" w:type="dxa"/>
            </w:tcMar>
            <w:vAlign w:val="center"/>
          </w:tcPr>
          <w:p w14:paraId="590D6569"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Establishing a system of control of picking medicinal, edible and aromatic plants and non-timber forest products</w:t>
            </w:r>
          </w:p>
        </w:tc>
        <w:tc>
          <w:tcPr>
            <w:tcW w:w="1159" w:type="pct"/>
            <w:shd w:val="clear" w:color="auto" w:fill="D9D9D9"/>
            <w:tcMar>
              <w:top w:w="0" w:type="dxa"/>
              <w:left w:w="108" w:type="dxa"/>
              <w:bottom w:w="0" w:type="dxa"/>
              <w:right w:w="108" w:type="dxa"/>
            </w:tcMar>
            <w:vAlign w:val="center"/>
            <w:hideMark/>
          </w:tcPr>
          <w:p w14:paraId="71F8437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5C40E94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4142E3F2"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5A07C04D" w14:textId="77777777" w:rsidTr="00B6017F">
        <w:trPr>
          <w:trHeight w:val="287"/>
        </w:trPr>
        <w:tc>
          <w:tcPr>
            <w:tcW w:w="765" w:type="pct"/>
            <w:vMerge/>
            <w:shd w:val="clear" w:color="auto" w:fill="D9D9D9"/>
            <w:vAlign w:val="center"/>
          </w:tcPr>
          <w:p w14:paraId="44D485F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2824C3E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57C46F7"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Existence of an action plan for introduction of a system of certification in the sector of use of medicinal</w:t>
            </w:r>
            <w:r w:rsidRPr="007C4D65">
              <w:rPr>
                <w:rFonts w:asciiTheme="minorHAnsi" w:hAnsiTheme="minorHAnsi"/>
                <w:bCs/>
                <w:color w:val="000000" w:themeColor="text1"/>
                <w:sz w:val="18"/>
                <w:szCs w:val="18"/>
              </w:rPr>
              <w:t>, edible and aromatic plants and other</w:t>
            </w:r>
            <w:r w:rsidRPr="007C4D65">
              <w:rPr>
                <w:rFonts w:asciiTheme="minorHAnsi" w:hAnsiTheme="minorHAnsi"/>
                <w:color w:val="000000" w:themeColor="text1"/>
                <w:sz w:val="18"/>
                <w:szCs w:val="18"/>
              </w:rPr>
              <w:t xml:space="preserve"> non-timber forest products</w:t>
            </w:r>
          </w:p>
        </w:tc>
        <w:tc>
          <w:tcPr>
            <w:tcW w:w="1159" w:type="pct"/>
            <w:shd w:val="clear" w:color="auto" w:fill="FFFFFF"/>
            <w:tcMar>
              <w:top w:w="0" w:type="dxa"/>
              <w:left w:w="108" w:type="dxa"/>
              <w:bottom w:w="0" w:type="dxa"/>
              <w:right w:w="108" w:type="dxa"/>
            </w:tcMar>
            <w:vAlign w:val="center"/>
          </w:tcPr>
          <w:p w14:paraId="2BBB479A" w14:textId="41D8AFFC"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 the Federation of BiH, there is no system of certification in the sector of use of medicinal, edible and aromatic plants and other non-timber forest products</w:t>
            </w:r>
          </w:p>
        </w:tc>
        <w:tc>
          <w:tcPr>
            <w:tcW w:w="1159" w:type="pct"/>
            <w:shd w:val="clear" w:color="auto" w:fill="FFFFFF"/>
            <w:vAlign w:val="center"/>
          </w:tcPr>
          <w:p w14:paraId="4AB69891" w14:textId="30E4339C"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color w:val="000000" w:themeColor="text1"/>
                <w:sz w:val="18"/>
                <w:szCs w:val="18"/>
              </w:rPr>
              <w:t xml:space="preserve">By the end of </w:t>
            </w:r>
            <w:proofErr w:type="gramStart"/>
            <w:r w:rsidRPr="007C4D65">
              <w:rPr>
                <w:rFonts w:asciiTheme="minorHAnsi" w:hAnsiTheme="minorHAnsi"/>
                <w:color w:val="000000" w:themeColor="text1"/>
                <w:sz w:val="18"/>
                <w:szCs w:val="18"/>
              </w:rPr>
              <w:t>2025,  the</w:t>
            </w:r>
            <w:proofErr w:type="gramEnd"/>
            <w:r w:rsidRPr="007C4D65">
              <w:rPr>
                <w:rFonts w:asciiTheme="minorHAnsi" w:hAnsiTheme="minorHAnsi"/>
                <w:color w:val="000000" w:themeColor="text1"/>
                <w:sz w:val="18"/>
                <w:szCs w:val="18"/>
              </w:rPr>
              <w:t xml:space="preserve"> Action Plan adopted</w:t>
            </w:r>
          </w:p>
        </w:tc>
      </w:tr>
      <w:tr w:rsidR="00D51392" w:rsidRPr="007C4D65" w14:paraId="65B7885D" w14:textId="77777777" w:rsidTr="00B6017F">
        <w:trPr>
          <w:trHeight w:val="287"/>
        </w:trPr>
        <w:tc>
          <w:tcPr>
            <w:tcW w:w="765" w:type="pct"/>
            <w:vMerge/>
            <w:shd w:val="clear" w:color="auto" w:fill="D9D9D9"/>
            <w:vAlign w:val="center"/>
          </w:tcPr>
          <w:p w14:paraId="76692AB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3B98285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7504947"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bCs/>
                <w:color w:val="000000" w:themeColor="text1"/>
                <w:sz w:val="18"/>
                <w:szCs w:val="18"/>
              </w:rPr>
              <w:t>Existence of a system for certification in the sector of use of medicinal, edible and aromatic plants and other non-timber forest products on a fair and inclusive basis</w:t>
            </w:r>
          </w:p>
        </w:tc>
        <w:tc>
          <w:tcPr>
            <w:tcW w:w="1159" w:type="pct"/>
            <w:shd w:val="clear" w:color="auto" w:fill="FFFFFF"/>
            <w:tcMar>
              <w:top w:w="0" w:type="dxa"/>
              <w:left w:w="108" w:type="dxa"/>
              <w:bottom w:w="0" w:type="dxa"/>
              <w:right w:w="108" w:type="dxa"/>
            </w:tcMar>
            <w:vAlign w:val="center"/>
          </w:tcPr>
          <w:p w14:paraId="3E18010F" w14:textId="3D9CB213"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 the Federation of BiH, there is no system of certification in the sector of use of medicinal, edible and aromatic plants and other non-timber forest products</w:t>
            </w:r>
          </w:p>
        </w:tc>
        <w:tc>
          <w:tcPr>
            <w:tcW w:w="1159" w:type="pct"/>
            <w:shd w:val="clear" w:color="auto" w:fill="FFFFFF"/>
            <w:vAlign w:val="center"/>
          </w:tcPr>
          <w:p w14:paraId="39ED753D"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By the end of 2027, establish the certification system</w:t>
            </w:r>
          </w:p>
        </w:tc>
      </w:tr>
      <w:tr w:rsidR="00D51392" w:rsidRPr="007C4D65" w14:paraId="4610428D" w14:textId="77777777" w:rsidTr="00B6017F">
        <w:trPr>
          <w:trHeight w:val="483"/>
        </w:trPr>
        <w:tc>
          <w:tcPr>
            <w:tcW w:w="765" w:type="pct"/>
            <w:vMerge/>
            <w:shd w:val="clear" w:color="auto" w:fill="D9D9D9"/>
            <w:vAlign w:val="center"/>
            <w:hideMark/>
          </w:tcPr>
          <w:p w14:paraId="4CF7448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450BF83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73DDFF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1BC526D3"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756F334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478A11A5" w14:textId="77777777" w:rsidTr="00B6017F">
        <w:trPr>
          <w:trHeight w:val="287"/>
        </w:trPr>
        <w:tc>
          <w:tcPr>
            <w:tcW w:w="765" w:type="pct"/>
            <w:vMerge/>
            <w:shd w:val="clear" w:color="auto" w:fill="D9D9D9"/>
            <w:vAlign w:val="center"/>
            <w:hideMark/>
          </w:tcPr>
          <w:p w14:paraId="78D607F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45FB97E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FFF0308"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0,062</w:t>
            </w:r>
          </w:p>
        </w:tc>
        <w:tc>
          <w:tcPr>
            <w:tcW w:w="1159" w:type="pct"/>
            <w:tcMar>
              <w:top w:w="0" w:type="dxa"/>
              <w:left w:w="108" w:type="dxa"/>
              <w:bottom w:w="0" w:type="dxa"/>
              <w:right w:w="108" w:type="dxa"/>
            </w:tcMar>
            <w:vAlign w:val="center"/>
          </w:tcPr>
          <w:p w14:paraId="552437C0"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0,250</w:t>
            </w:r>
          </w:p>
        </w:tc>
        <w:tc>
          <w:tcPr>
            <w:tcW w:w="1159" w:type="pct"/>
            <w:tcMar>
              <w:top w:w="0" w:type="dxa"/>
              <w:left w:w="108" w:type="dxa"/>
              <w:bottom w:w="0" w:type="dxa"/>
              <w:right w:w="108" w:type="dxa"/>
            </w:tcMar>
            <w:vAlign w:val="center"/>
          </w:tcPr>
          <w:p w14:paraId="697BA587"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0,313</w:t>
            </w:r>
          </w:p>
        </w:tc>
      </w:tr>
      <w:tr w:rsidR="00D51392" w:rsidRPr="007C4D65" w14:paraId="6F3913A3" w14:textId="77777777" w:rsidTr="00B6017F">
        <w:trPr>
          <w:trHeight w:val="483"/>
        </w:trPr>
        <w:tc>
          <w:tcPr>
            <w:tcW w:w="765" w:type="pct"/>
            <w:vMerge w:val="restart"/>
            <w:shd w:val="clear" w:color="auto" w:fill="D9D9D9"/>
            <w:tcMar>
              <w:top w:w="0" w:type="dxa"/>
              <w:left w:w="108" w:type="dxa"/>
              <w:bottom w:w="0" w:type="dxa"/>
              <w:right w:w="108" w:type="dxa"/>
            </w:tcMar>
            <w:vAlign w:val="center"/>
            <w:hideMark/>
          </w:tcPr>
          <w:p w14:paraId="16D3CC79"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6.1.3. Measure</w:t>
            </w:r>
          </w:p>
        </w:tc>
        <w:tc>
          <w:tcPr>
            <w:tcW w:w="757" w:type="pct"/>
            <w:vMerge w:val="restart"/>
            <w:tcMar>
              <w:top w:w="0" w:type="dxa"/>
              <w:left w:w="108" w:type="dxa"/>
              <w:bottom w:w="0" w:type="dxa"/>
              <w:right w:w="108" w:type="dxa"/>
            </w:tcMar>
            <w:vAlign w:val="center"/>
          </w:tcPr>
          <w:p w14:paraId="5657F627"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sz w:val="18"/>
                <w:szCs w:val="18"/>
              </w:rPr>
              <w:t>Establishing regular monitoring of forest health status</w:t>
            </w:r>
          </w:p>
        </w:tc>
        <w:tc>
          <w:tcPr>
            <w:tcW w:w="1159" w:type="pct"/>
            <w:shd w:val="clear" w:color="auto" w:fill="D9D9D9"/>
            <w:tcMar>
              <w:top w:w="0" w:type="dxa"/>
              <w:left w:w="108" w:type="dxa"/>
              <w:bottom w:w="0" w:type="dxa"/>
              <w:right w:w="108" w:type="dxa"/>
            </w:tcMar>
            <w:vAlign w:val="center"/>
            <w:hideMark/>
          </w:tcPr>
          <w:p w14:paraId="078B18D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7E451F22"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3CC8678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250F54D9" w14:textId="77777777" w:rsidTr="00B6017F">
        <w:trPr>
          <w:trHeight w:val="287"/>
        </w:trPr>
        <w:tc>
          <w:tcPr>
            <w:tcW w:w="765" w:type="pct"/>
            <w:vMerge/>
            <w:shd w:val="clear" w:color="auto" w:fill="D9D9D9"/>
            <w:vAlign w:val="center"/>
          </w:tcPr>
          <w:p w14:paraId="7BB353B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29A07FD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D55DAB0"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Existence of the method for harmonized sampling, assessment and monitoring status of forests, in accordance with previously identified indicators</w:t>
            </w:r>
          </w:p>
        </w:tc>
        <w:tc>
          <w:tcPr>
            <w:tcW w:w="1159" w:type="pct"/>
            <w:shd w:val="clear" w:color="auto" w:fill="FFFFFF"/>
            <w:tcMar>
              <w:top w:w="0" w:type="dxa"/>
              <w:left w:w="108" w:type="dxa"/>
              <w:bottom w:w="0" w:type="dxa"/>
              <w:right w:w="108" w:type="dxa"/>
            </w:tcMar>
            <w:vAlign w:val="center"/>
          </w:tcPr>
          <w:p w14:paraId="31B35B85" w14:textId="3F686AE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 the Federation of BiH, there is no identified standard method for sampling, assessment and monitoring status of forests</w:t>
            </w:r>
          </w:p>
        </w:tc>
        <w:tc>
          <w:tcPr>
            <w:tcW w:w="1159" w:type="pct"/>
            <w:shd w:val="clear" w:color="auto" w:fill="FFFFFF"/>
            <w:vAlign w:val="center"/>
          </w:tcPr>
          <w:p w14:paraId="48CABF07"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By the end of 2023, adopted the standardized method</w:t>
            </w:r>
          </w:p>
        </w:tc>
      </w:tr>
      <w:tr w:rsidR="00D51392" w:rsidRPr="007C4D65" w14:paraId="7D41AA72" w14:textId="77777777" w:rsidTr="00B6017F">
        <w:trPr>
          <w:trHeight w:val="287"/>
        </w:trPr>
        <w:tc>
          <w:tcPr>
            <w:tcW w:w="765" w:type="pct"/>
            <w:vMerge/>
            <w:shd w:val="clear" w:color="auto" w:fill="D9D9D9"/>
            <w:vAlign w:val="center"/>
          </w:tcPr>
          <w:p w14:paraId="5836D27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4A35CE1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D30298A"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Existence of a rulebook specifying the method of monitoring health status of forests, method of conducting health protection of forests, and reporting methods</w:t>
            </w:r>
          </w:p>
        </w:tc>
        <w:tc>
          <w:tcPr>
            <w:tcW w:w="1159" w:type="pct"/>
            <w:shd w:val="clear" w:color="auto" w:fill="FFFFFF"/>
            <w:tcMar>
              <w:top w:w="0" w:type="dxa"/>
              <w:left w:w="108" w:type="dxa"/>
              <w:bottom w:w="0" w:type="dxa"/>
              <w:right w:w="108" w:type="dxa"/>
            </w:tcMar>
            <w:vAlign w:val="center"/>
          </w:tcPr>
          <w:p w14:paraId="0BB65D2A" w14:textId="23D9FE41"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 the Federation of BiH, existence of standardised sampling, assessment and monitoring of status of forests is not regulated by law</w:t>
            </w:r>
          </w:p>
        </w:tc>
        <w:tc>
          <w:tcPr>
            <w:tcW w:w="1159" w:type="pct"/>
            <w:shd w:val="clear" w:color="auto" w:fill="FFFFFF"/>
            <w:vAlign w:val="center"/>
          </w:tcPr>
          <w:p w14:paraId="6E20D96A"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By the end of 2024, adopt the Rulebook</w:t>
            </w:r>
          </w:p>
        </w:tc>
      </w:tr>
      <w:tr w:rsidR="00D51392" w:rsidRPr="007C4D65" w14:paraId="44245ADD" w14:textId="77777777" w:rsidTr="00B6017F">
        <w:trPr>
          <w:trHeight w:val="287"/>
        </w:trPr>
        <w:tc>
          <w:tcPr>
            <w:tcW w:w="765" w:type="pct"/>
            <w:vMerge/>
            <w:shd w:val="clear" w:color="auto" w:fill="D9D9D9"/>
            <w:vAlign w:val="center"/>
          </w:tcPr>
          <w:p w14:paraId="5B34C9D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132FB1F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7CA41EB"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Existence of a network of monitoring points</w:t>
            </w:r>
          </w:p>
        </w:tc>
        <w:tc>
          <w:tcPr>
            <w:tcW w:w="1159" w:type="pct"/>
            <w:shd w:val="clear" w:color="auto" w:fill="FFFFFF"/>
            <w:tcMar>
              <w:top w:w="0" w:type="dxa"/>
              <w:left w:w="108" w:type="dxa"/>
              <w:bottom w:w="0" w:type="dxa"/>
              <w:right w:w="108" w:type="dxa"/>
            </w:tcMar>
            <w:vAlign w:val="center"/>
          </w:tcPr>
          <w:p w14:paraId="154FA645" w14:textId="7CFBD163"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In Federation of BiH, the network of monitoring points has not been identified</w:t>
            </w:r>
          </w:p>
        </w:tc>
        <w:tc>
          <w:tcPr>
            <w:tcW w:w="1159" w:type="pct"/>
            <w:shd w:val="clear" w:color="auto" w:fill="FFFFFF"/>
            <w:vAlign w:val="center"/>
          </w:tcPr>
          <w:p w14:paraId="2BAA6D00"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color w:val="000000" w:themeColor="text1"/>
                <w:sz w:val="18"/>
                <w:szCs w:val="18"/>
              </w:rPr>
              <w:t>By the end of 2025, identify and set up a network of monitoring points</w:t>
            </w:r>
          </w:p>
        </w:tc>
      </w:tr>
      <w:tr w:rsidR="00D51392" w:rsidRPr="007C4D65" w14:paraId="1473BDD2" w14:textId="77777777" w:rsidTr="00B6017F">
        <w:trPr>
          <w:trHeight w:val="287"/>
        </w:trPr>
        <w:tc>
          <w:tcPr>
            <w:tcW w:w="765" w:type="pct"/>
            <w:vMerge/>
            <w:shd w:val="clear" w:color="auto" w:fill="D9D9D9"/>
            <w:vAlign w:val="center"/>
          </w:tcPr>
          <w:p w14:paraId="41BE9D29"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48A015A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06C30EA"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Percentage of forest users and cantonal forest management companies trained to carry out monitoring of forest status in accordance with the new method</w:t>
            </w:r>
          </w:p>
        </w:tc>
        <w:tc>
          <w:tcPr>
            <w:tcW w:w="1159" w:type="pct"/>
            <w:shd w:val="clear" w:color="auto" w:fill="FFFFFF"/>
            <w:tcMar>
              <w:top w:w="0" w:type="dxa"/>
              <w:left w:w="108" w:type="dxa"/>
              <w:bottom w:w="0" w:type="dxa"/>
              <w:right w:w="108" w:type="dxa"/>
            </w:tcMar>
            <w:vAlign w:val="center"/>
          </w:tcPr>
          <w:p w14:paraId="119D5B26" w14:textId="639CB1A2"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Forest users and cantonal forest management companies have not had training programmes regarding sampling, assessment and monitoring the status of forests</w:t>
            </w:r>
          </w:p>
        </w:tc>
        <w:tc>
          <w:tcPr>
            <w:tcW w:w="1159" w:type="pct"/>
            <w:shd w:val="clear" w:color="auto" w:fill="FFFFFF"/>
            <w:vAlign w:val="center"/>
          </w:tcPr>
          <w:p w14:paraId="5CBE87FC"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color w:val="000000" w:themeColor="text1"/>
                <w:sz w:val="18"/>
                <w:szCs w:val="18"/>
              </w:rPr>
              <w:t>By the end of 2026, all forest users and cantonal forest management companies have received training (100%)</w:t>
            </w:r>
          </w:p>
        </w:tc>
      </w:tr>
      <w:tr w:rsidR="00D51392" w:rsidRPr="007C4D65" w14:paraId="048C9618" w14:textId="77777777" w:rsidTr="00B6017F">
        <w:trPr>
          <w:trHeight w:val="483"/>
        </w:trPr>
        <w:tc>
          <w:tcPr>
            <w:tcW w:w="765" w:type="pct"/>
            <w:vMerge/>
            <w:shd w:val="clear" w:color="auto" w:fill="D9D9D9"/>
            <w:vAlign w:val="center"/>
            <w:hideMark/>
          </w:tcPr>
          <w:p w14:paraId="3745CAA6"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0B7C265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34D77787"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4911380E"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34A04BE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5D841DB7" w14:textId="77777777" w:rsidTr="00B6017F">
        <w:trPr>
          <w:trHeight w:val="287"/>
        </w:trPr>
        <w:tc>
          <w:tcPr>
            <w:tcW w:w="765" w:type="pct"/>
            <w:vMerge/>
            <w:shd w:val="clear" w:color="auto" w:fill="D9D9D9"/>
            <w:vAlign w:val="center"/>
            <w:hideMark/>
          </w:tcPr>
          <w:p w14:paraId="2066BA89"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200EECDE"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7A1C4FB"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0,100</w:t>
            </w:r>
          </w:p>
        </w:tc>
        <w:tc>
          <w:tcPr>
            <w:tcW w:w="1159" w:type="pct"/>
            <w:tcMar>
              <w:top w:w="0" w:type="dxa"/>
              <w:left w:w="108" w:type="dxa"/>
              <w:bottom w:w="0" w:type="dxa"/>
              <w:right w:w="108" w:type="dxa"/>
            </w:tcMar>
            <w:vAlign w:val="center"/>
          </w:tcPr>
          <w:p w14:paraId="140EC434"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1589AB7A"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0,100</w:t>
            </w:r>
          </w:p>
        </w:tc>
      </w:tr>
      <w:tr w:rsidR="00D51392" w:rsidRPr="007C4D65" w14:paraId="5FA4AC31" w14:textId="77777777" w:rsidTr="00B6017F">
        <w:trPr>
          <w:trHeight w:val="483"/>
        </w:trPr>
        <w:tc>
          <w:tcPr>
            <w:tcW w:w="765" w:type="pct"/>
            <w:vMerge w:val="restart"/>
            <w:shd w:val="clear" w:color="auto" w:fill="D9D9D9"/>
            <w:tcMar>
              <w:top w:w="0" w:type="dxa"/>
              <w:left w:w="108" w:type="dxa"/>
              <w:bottom w:w="0" w:type="dxa"/>
              <w:right w:w="108" w:type="dxa"/>
            </w:tcMar>
            <w:vAlign w:val="center"/>
            <w:hideMark/>
          </w:tcPr>
          <w:p w14:paraId="3074F0BD"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6.1.4. Measure</w:t>
            </w:r>
          </w:p>
        </w:tc>
        <w:tc>
          <w:tcPr>
            <w:tcW w:w="757" w:type="pct"/>
            <w:vMerge w:val="restart"/>
            <w:tcMar>
              <w:top w:w="0" w:type="dxa"/>
              <w:left w:w="108" w:type="dxa"/>
              <w:bottom w:w="0" w:type="dxa"/>
              <w:right w:w="108" w:type="dxa"/>
            </w:tcMar>
            <w:vAlign w:val="center"/>
          </w:tcPr>
          <w:p w14:paraId="114454C9" w14:textId="3A9A615A"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Enhancing </w:t>
            </w:r>
            <w:r w:rsidR="00830279" w:rsidRPr="007C4D65">
              <w:rPr>
                <w:rFonts w:asciiTheme="minorHAnsi" w:hAnsiTheme="minorHAnsi"/>
                <w:sz w:val="18"/>
                <w:szCs w:val="18"/>
              </w:rPr>
              <w:t>access to</w:t>
            </w:r>
            <w:r w:rsidRPr="007C4D65">
              <w:rPr>
                <w:rFonts w:asciiTheme="minorHAnsi" w:hAnsiTheme="minorHAnsi"/>
                <w:sz w:val="18"/>
                <w:szCs w:val="18"/>
              </w:rPr>
              <w:t xml:space="preserve"> forests and </w:t>
            </w:r>
            <w:r w:rsidR="00830279" w:rsidRPr="007C4D65">
              <w:rPr>
                <w:rFonts w:asciiTheme="minorHAnsi" w:hAnsiTheme="minorHAnsi"/>
                <w:sz w:val="18"/>
                <w:szCs w:val="18"/>
              </w:rPr>
              <w:t xml:space="preserve">training </w:t>
            </w:r>
            <w:r w:rsidRPr="007C4D65">
              <w:rPr>
                <w:rFonts w:asciiTheme="minorHAnsi" w:hAnsiTheme="minorHAnsi"/>
                <w:sz w:val="18"/>
                <w:szCs w:val="18"/>
              </w:rPr>
              <w:t xml:space="preserve">forest users </w:t>
            </w:r>
            <w:r w:rsidR="00830279" w:rsidRPr="007C4D65">
              <w:rPr>
                <w:rFonts w:asciiTheme="minorHAnsi" w:hAnsiTheme="minorHAnsi"/>
                <w:sz w:val="18"/>
                <w:szCs w:val="18"/>
              </w:rPr>
              <w:t>in</w:t>
            </w:r>
            <w:r w:rsidRPr="007C4D65">
              <w:rPr>
                <w:rFonts w:asciiTheme="minorHAnsi" w:hAnsiTheme="minorHAnsi"/>
                <w:sz w:val="18"/>
                <w:szCs w:val="18"/>
              </w:rPr>
              <w:t xml:space="preserve"> early </w:t>
            </w:r>
            <w:r w:rsidRPr="007C4D65">
              <w:rPr>
                <w:rFonts w:asciiTheme="minorHAnsi" w:hAnsiTheme="minorHAnsi"/>
                <w:sz w:val="18"/>
                <w:szCs w:val="18"/>
              </w:rPr>
              <w:lastRenderedPageBreak/>
              <w:t>detection and prevention of forest fires</w:t>
            </w:r>
          </w:p>
        </w:tc>
        <w:tc>
          <w:tcPr>
            <w:tcW w:w="1159" w:type="pct"/>
            <w:shd w:val="clear" w:color="auto" w:fill="D9D9D9"/>
            <w:tcMar>
              <w:top w:w="0" w:type="dxa"/>
              <w:left w:w="108" w:type="dxa"/>
              <w:bottom w:w="0" w:type="dxa"/>
              <w:right w:w="108" w:type="dxa"/>
            </w:tcMar>
            <w:vAlign w:val="center"/>
            <w:hideMark/>
          </w:tcPr>
          <w:p w14:paraId="0575597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lastRenderedPageBreak/>
              <w:t>Indicators of the measure</w:t>
            </w:r>
          </w:p>
        </w:tc>
        <w:tc>
          <w:tcPr>
            <w:tcW w:w="1159" w:type="pct"/>
            <w:shd w:val="clear" w:color="auto" w:fill="D9D9D9"/>
            <w:tcMar>
              <w:top w:w="0" w:type="dxa"/>
              <w:left w:w="108" w:type="dxa"/>
              <w:bottom w:w="0" w:type="dxa"/>
              <w:right w:w="108" w:type="dxa"/>
            </w:tcMar>
            <w:vAlign w:val="center"/>
            <w:hideMark/>
          </w:tcPr>
          <w:p w14:paraId="01F712A4"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7E92C53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0520D4C8" w14:textId="77777777" w:rsidTr="00B6017F">
        <w:trPr>
          <w:trHeight w:val="287"/>
        </w:trPr>
        <w:tc>
          <w:tcPr>
            <w:tcW w:w="765" w:type="pct"/>
            <w:vMerge/>
            <w:shd w:val="clear" w:color="auto" w:fill="D9D9D9"/>
            <w:vAlign w:val="center"/>
          </w:tcPr>
          <w:p w14:paraId="4B6EC33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73441900"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6801727"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 xml:space="preserve">Existence of plans for construction of </w:t>
            </w:r>
            <w:proofErr w:type="gramStart"/>
            <w:r w:rsidRPr="007C4D65">
              <w:rPr>
                <w:rFonts w:asciiTheme="minorHAnsi" w:hAnsiTheme="minorHAnsi"/>
                <w:color w:val="000000" w:themeColor="text1"/>
                <w:sz w:val="18"/>
                <w:szCs w:val="18"/>
              </w:rPr>
              <w:t>fire-breaks</w:t>
            </w:r>
            <w:proofErr w:type="gramEnd"/>
            <w:r w:rsidRPr="007C4D65">
              <w:rPr>
                <w:rFonts w:asciiTheme="minorHAnsi" w:hAnsiTheme="minorHAnsi"/>
                <w:color w:val="000000" w:themeColor="text1"/>
                <w:sz w:val="18"/>
                <w:szCs w:val="18"/>
              </w:rPr>
              <w:t xml:space="preserve"> (cuts through the growth)</w:t>
            </w:r>
          </w:p>
        </w:tc>
        <w:tc>
          <w:tcPr>
            <w:tcW w:w="1159" w:type="pct"/>
            <w:shd w:val="clear" w:color="auto" w:fill="FFFFFF"/>
            <w:tcMar>
              <w:top w:w="0" w:type="dxa"/>
              <w:left w:w="108" w:type="dxa"/>
              <w:bottom w:w="0" w:type="dxa"/>
              <w:right w:w="108" w:type="dxa"/>
            </w:tcMar>
            <w:vAlign w:val="center"/>
          </w:tcPr>
          <w:p w14:paraId="4B04FA46" w14:textId="0D5778A2"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 xml:space="preserve">Forest management areas in the Federation of BiH are not fully covered by plans for construction of </w:t>
            </w:r>
            <w:proofErr w:type="gramStart"/>
            <w:r w:rsidRPr="007C4D65">
              <w:rPr>
                <w:rFonts w:asciiTheme="minorHAnsi" w:hAnsiTheme="minorHAnsi"/>
                <w:color w:val="000000" w:themeColor="text1"/>
                <w:sz w:val="18"/>
                <w:szCs w:val="18"/>
              </w:rPr>
              <w:t>fire-breaks</w:t>
            </w:r>
            <w:proofErr w:type="gramEnd"/>
          </w:p>
        </w:tc>
        <w:tc>
          <w:tcPr>
            <w:tcW w:w="1159" w:type="pct"/>
            <w:shd w:val="clear" w:color="auto" w:fill="FFFFFF"/>
            <w:vAlign w:val="center"/>
          </w:tcPr>
          <w:p w14:paraId="190237BC"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color w:val="000000" w:themeColor="text1"/>
                <w:sz w:val="18"/>
                <w:szCs w:val="18"/>
              </w:rPr>
              <w:t>By 2023, developed plans for construction of firebreaks</w:t>
            </w:r>
          </w:p>
        </w:tc>
      </w:tr>
      <w:tr w:rsidR="00D51392" w:rsidRPr="007C4D65" w14:paraId="582B3939" w14:textId="77777777" w:rsidTr="00B6017F">
        <w:trPr>
          <w:trHeight w:val="287"/>
        </w:trPr>
        <w:tc>
          <w:tcPr>
            <w:tcW w:w="765" w:type="pct"/>
            <w:vMerge/>
            <w:shd w:val="clear" w:color="auto" w:fill="D9D9D9"/>
            <w:vAlign w:val="center"/>
          </w:tcPr>
          <w:p w14:paraId="578FB9F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3FDD691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C15213F"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 xml:space="preserve">Existence of vehicles and technical equipment for construction of </w:t>
            </w:r>
            <w:proofErr w:type="gramStart"/>
            <w:r w:rsidRPr="007C4D65">
              <w:rPr>
                <w:rFonts w:asciiTheme="minorHAnsi" w:hAnsiTheme="minorHAnsi"/>
                <w:color w:val="000000" w:themeColor="text1"/>
                <w:sz w:val="18"/>
                <w:szCs w:val="18"/>
              </w:rPr>
              <w:t>fire-breaks</w:t>
            </w:r>
            <w:proofErr w:type="gramEnd"/>
            <w:r w:rsidRPr="007C4D65">
              <w:rPr>
                <w:rFonts w:asciiTheme="minorHAnsi" w:hAnsiTheme="minorHAnsi"/>
                <w:color w:val="000000" w:themeColor="text1"/>
                <w:sz w:val="18"/>
                <w:szCs w:val="18"/>
              </w:rPr>
              <w:t xml:space="preserve"> (cuts through the growth)</w:t>
            </w:r>
          </w:p>
        </w:tc>
        <w:tc>
          <w:tcPr>
            <w:tcW w:w="1159" w:type="pct"/>
            <w:shd w:val="clear" w:color="auto" w:fill="FFFFFF"/>
            <w:tcMar>
              <w:top w:w="0" w:type="dxa"/>
              <w:left w:w="108" w:type="dxa"/>
              <w:bottom w:w="0" w:type="dxa"/>
              <w:right w:w="108" w:type="dxa"/>
            </w:tcMar>
            <w:vAlign w:val="center"/>
          </w:tcPr>
          <w:p w14:paraId="41A946D4" w14:textId="6FBB9E1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Forest users are not adequately equipped with vehicles, technical equipment and tools for cutting trees and making the firebreaks</w:t>
            </w:r>
          </w:p>
        </w:tc>
        <w:tc>
          <w:tcPr>
            <w:tcW w:w="1159" w:type="pct"/>
            <w:shd w:val="clear" w:color="auto" w:fill="FFFFFF"/>
            <w:vAlign w:val="center"/>
          </w:tcPr>
          <w:p w14:paraId="160EFDCC"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color w:val="000000" w:themeColor="text1"/>
                <w:sz w:val="18"/>
                <w:szCs w:val="18"/>
              </w:rPr>
              <w:t>By 2025, procured equipment for all forest users</w:t>
            </w:r>
          </w:p>
        </w:tc>
      </w:tr>
      <w:tr w:rsidR="00D51392" w:rsidRPr="007C4D65" w14:paraId="5F550AD3" w14:textId="77777777" w:rsidTr="00B6017F">
        <w:trPr>
          <w:trHeight w:val="287"/>
        </w:trPr>
        <w:tc>
          <w:tcPr>
            <w:tcW w:w="765" w:type="pct"/>
            <w:vMerge/>
            <w:shd w:val="clear" w:color="auto" w:fill="D9D9D9"/>
            <w:vAlign w:val="center"/>
          </w:tcPr>
          <w:p w14:paraId="0D3F2FCE"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4C199B1F"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D60D153"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Existence of fire-beaks with elements of forest roads</w:t>
            </w:r>
          </w:p>
        </w:tc>
        <w:tc>
          <w:tcPr>
            <w:tcW w:w="1159" w:type="pct"/>
            <w:shd w:val="clear" w:color="auto" w:fill="FFFFFF"/>
            <w:tcMar>
              <w:top w:w="0" w:type="dxa"/>
              <w:left w:w="108" w:type="dxa"/>
              <w:bottom w:w="0" w:type="dxa"/>
              <w:right w:w="108" w:type="dxa"/>
            </w:tcMar>
            <w:vAlign w:val="center"/>
          </w:tcPr>
          <w:p w14:paraId="564B278E" w14:textId="0BACBDE3"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Construction of fire-beaks with elements of forest roads</w:t>
            </w:r>
          </w:p>
        </w:tc>
        <w:tc>
          <w:tcPr>
            <w:tcW w:w="1159" w:type="pct"/>
            <w:shd w:val="clear" w:color="auto" w:fill="FFFFFF"/>
            <w:vAlign w:val="center"/>
          </w:tcPr>
          <w:p w14:paraId="1C395A97" w14:textId="77777777" w:rsidR="00D51392" w:rsidRPr="007C4D65" w:rsidRDefault="00D51392" w:rsidP="00B6017F">
            <w:pPr>
              <w:spacing w:after="120" w:line="276" w:lineRule="auto"/>
              <w:ind w:left="69"/>
              <w:contextualSpacing/>
              <w:rPr>
                <w:rFonts w:asciiTheme="minorHAnsi" w:hAnsiTheme="minorHAnsi" w:cstheme="minorHAnsi"/>
                <w:sz w:val="18"/>
                <w:szCs w:val="18"/>
              </w:rPr>
            </w:pPr>
            <w:r w:rsidRPr="007C4D65">
              <w:rPr>
                <w:rFonts w:asciiTheme="minorHAnsi" w:hAnsiTheme="minorHAnsi"/>
                <w:color w:val="000000" w:themeColor="text1"/>
                <w:sz w:val="18"/>
                <w:szCs w:val="18"/>
              </w:rPr>
              <w:t xml:space="preserve">By the end of </w:t>
            </w:r>
            <w:proofErr w:type="gramStart"/>
            <w:r w:rsidRPr="007C4D65">
              <w:rPr>
                <w:rFonts w:asciiTheme="minorHAnsi" w:hAnsiTheme="minorHAnsi"/>
                <w:color w:val="000000" w:themeColor="text1"/>
                <w:sz w:val="18"/>
                <w:szCs w:val="18"/>
              </w:rPr>
              <w:t>2027,  completed</w:t>
            </w:r>
            <w:proofErr w:type="gramEnd"/>
            <w:r w:rsidRPr="007C4D65">
              <w:rPr>
                <w:rFonts w:asciiTheme="minorHAnsi" w:hAnsiTheme="minorHAnsi"/>
                <w:color w:val="000000" w:themeColor="text1"/>
                <w:sz w:val="18"/>
                <w:szCs w:val="18"/>
              </w:rPr>
              <w:t xml:space="preserve"> construction of fire-breaks on the territories of all forest management areas</w:t>
            </w:r>
          </w:p>
        </w:tc>
      </w:tr>
      <w:tr w:rsidR="00D51392" w:rsidRPr="007C4D65" w14:paraId="6F4BBFD0" w14:textId="77777777" w:rsidTr="00B6017F">
        <w:trPr>
          <w:trHeight w:val="287"/>
        </w:trPr>
        <w:tc>
          <w:tcPr>
            <w:tcW w:w="765" w:type="pct"/>
            <w:vMerge/>
            <w:shd w:val="clear" w:color="auto" w:fill="D9D9D9"/>
            <w:vAlign w:val="center"/>
          </w:tcPr>
          <w:p w14:paraId="5C8D34C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302F180E"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9BA8F6E" w14:textId="7CFD65BC"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Existence of informational boards and warning signs for prevention of fires</w:t>
            </w:r>
          </w:p>
        </w:tc>
        <w:tc>
          <w:tcPr>
            <w:tcW w:w="1159" w:type="pct"/>
            <w:shd w:val="clear" w:color="auto" w:fill="FFFFFF"/>
            <w:tcMar>
              <w:top w:w="0" w:type="dxa"/>
              <w:left w:w="108" w:type="dxa"/>
              <w:bottom w:w="0" w:type="dxa"/>
              <w:right w:w="108" w:type="dxa"/>
            </w:tcMar>
            <w:vAlign w:val="center"/>
          </w:tcPr>
          <w:p w14:paraId="251D273C"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Procurement and installation of informative boards and signs warning of fire danger on the territories of all forest users</w:t>
            </w:r>
          </w:p>
        </w:tc>
        <w:tc>
          <w:tcPr>
            <w:tcW w:w="1159" w:type="pct"/>
            <w:shd w:val="clear" w:color="auto" w:fill="FFFFFF"/>
            <w:vAlign w:val="center"/>
          </w:tcPr>
          <w:p w14:paraId="6A76EC15" w14:textId="77777777" w:rsidR="00D51392" w:rsidRPr="007C4D65" w:rsidRDefault="00D51392" w:rsidP="00B6017F">
            <w:pPr>
              <w:spacing w:after="120" w:line="276" w:lineRule="auto"/>
              <w:ind w:left="69"/>
              <w:contextualSpacing/>
              <w:rPr>
                <w:rFonts w:asciiTheme="minorHAnsi" w:hAnsiTheme="minorHAnsi" w:cstheme="minorHAnsi"/>
                <w:sz w:val="18"/>
                <w:szCs w:val="18"/>
              </w:rPr>
            </w:pPr>
            <w:r w:rsidRPr="007C4D65">
              <w:rPr>
                <w:rFonts w:asciiTheme="minorHAnsi" w:hAnsiTheme="minorHAnsi"/>
                <w:color w:val="000000" w:themeColor="text1"/>
                <w:sz w:val="18"/>
                <w:szCs w:val="18"/>
              </w:rPr>
              <w:t>By the end of 2025, all forest users will have installed the warning signs</w:t>
            </w:r>
          </w:p>
        </w:tc>
      </w:tr>
      <w:tr w:rsidR="00D51392" w:rsidRPr="007C4D65" w14:paraId="7A955FEB" w14:textId="77777777" w:rsidTr="00B6017F">
        <w:trPr>
          <w:trHeight w:val="287"/>
        </w:trPr>
        <w:tc>
          <w:tcPr>
            <w:tcW w:w="765" w:type="pct"/>
            <w:vMerge/>
            <w:shd w:val="clear" w:color="auto" w:fill="D9D9D9"/>
            <w:vAlign w:val="center"/>
          </w:tcPr>
          <w:p w14:paraId="480A74C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542E53C0"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04FD0B5"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Existence of equipment for spatial observation and remote surveillance</w:t>
            </w:r>
          </w:p>
        </w:tc>
        <w:tc>
          <w:tcPr>
            <w:tcW w:w="1159" w:type="pct"/>
            <w:shd w:val="clear" w:color="auto" w:fill="FFFFFF"/>
            <w:tcMar>
              <w:top w:w="0" w:type="dxa"/>
              <w:left w:w="108" w:type="dxa"/>
              <w:bottom w:w="0" w:type="dxa"/>
              <w:right w:w="108" w:type="dxa"/>
            </w:tcMar>
            <w:vAlign w:val="center"/>
          </w:tcPr>
          <w:p w14:paraId="61066F11"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Forest users do not have equipment for observation and remote surveillance</w:t>
            </w:r>
          </w:p>
        </w:tc>
        <w:tc>
          <w:tcPr>
            <w:tcW w:w="1159" w:type="pct"/>
            <w:shd w:val="clear" w:color="auto" w:fill="FFFFFF"/>
            <w:vAlign w:val="center"/>
          </w:tcPr>
          <w:p w14:paraId="4EDFCBAC" w14:textId="77777777" w:rsidR="00D51392" w:rsidRPr="007C4D65" w:rsidRDefault="00D51392" w:rsidP="00B6017F">
            <w:pPr>
              <w:spacing w:after="120" w:line="276" w:lineRule="auto"/>
              <w:ind w:left="69"/>
              <w:contextualSpacing/>
              <w:rPr>
                <w:rFonts w:asciiTheme="minorHAnsi" w:hAnsiTheme="minorHAnsi" w:cstheme="minorHAnsi"/>
                <w:sz w:val="18"/>
                <w:szCs w:val="18"/>
              </w:rPr>
            </w:pPr>
            <w:r w:rsidRPr="007C4D65">
              <w:rPr>
                <w:rFonts w:asciiTheme="minorHAnsi" w:hAnsiTheme="minorHAnsi"/>
                <w:color w:val="000000" w:themeColor="text1"/>
                <w:sz w:val="18"/>
                <w:szCs w:val="18"/>
              </w:rPr>
              <w:t>By 2026, observation and remote surveillance equipment procured</w:t>
            </w:r>
          </w:p>
        </w:tc>
      </w:tr>
      <w:tr w:rsidR="00D51392" w:rsidRPr="007C4D65" w14:paraId="11E65733" w14:textId="77777777" w:rsidTr="00B6017F">
        <w:trPr>
          <w:trHeight w:val="287"/>
        </w:trPr>
        <w:tc>
          <w:tcPr>
            <w:tcW w:w="765" w:type="pct"/>
            <w:vMerge/>
            <w:shd w:val="clear" w:color="auto" w:fill="D9D9D9"/>
            <w:vAlign w:val="center"/>
          </w:tcPr>
          <w:p w14:paraId="4F8DC3C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0C9CFB5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D623195"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Percentage of forest users trained in spatial observation and remote surveillance</w:t>
            </w:r>
          </w:p>
        </w:tc>
        <w:tc>
          <w:tcPr>
            <w:tcW w:w="1159" w:type="pct"/>
            <w:shd w:val="clear" w:color="auto" w:fill="FFFFFF"/>
            <w:tcMar>
              <w:top w:w="0" w:type="dxa"/>
              <w:left w:w="108" w:type="dxa"/>
              <w:bottom w:w="0" w:type="dxa"/>
              <w:right w:w="108" w:type="dxa"/>
            </w:tcMar>
            <w:vAlign w:val="center"/>
          </w:tcPr>
          <w:p w14:paraId="3B151532"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 xml:space="preserve">Forest users do not have sufficient capacities </w:t>
            </w:r>
            <w:proofErr w:type="gramStart"/>
            <w:r w:rsidRPr="007C4D65">
              <w:rPr>
                <w:rFonts w:asciiTheme="minorHAnsi" w:hAnsiTheme="minorHAnsi"/>
                <w:color w:val="000000" w:themeColor="text1"/>
                <w:sz w:val="18"/>
                <w:szCs w:val="18"/>
              </w:rPr>
              <w:t>for  observation</w:t>
            </w:r>
            <w:proofErr w:type="gramEnd"/>
            <w:r w:rsidRPr="007C4D65">
              <w:rPr>
                <w:rFonts w:asciiTheme="minorHAnsi" w:hAnsiTheme="minorHAnsi"/>
                <w:color w:val="000000" w:themeColor="text1"/>
                <w:sz w:val="18"/>
                <w:szCs w:val="18"/>
              </w:rPr>
              <w:t xml:space="preserve"> and remote surveillance</w:t>
            </w:r>
          </w:p>
        </w:tc>
        <w:tc>
          <w:tcPr>
            <w:tcW w:w="1159" w:type="pct"/>
            <w:shd w:val="clear" w:color="auto" w:fill="FFFFFF"/>
            <w:vAlign w:val="center"/>
          </w:tcPr>
          <w:p w14:paraId="32DAE094" w14:textId="77777777" w:rsidR="00D51392" w:rsidRPr="007C4D65" w:rsidRDefault="00D51392" w:rsidP="00B6017F">
            <w:pPr>
              <w:spacing w:after="120" w:line="276" w:lineRule="auto"/>
              <w:ind w:left="69"/>
              <w:contextualSpacing/>
              <w:rPr>
                <w:rFonts w:asciiTheme="minorHAnsi" w:hAnsiTheme="minorHAnsi" w:cstheme="minorHAnsi"/>
                <w:sz w:val="18"/>
                <w:szCs w:val="18"/>
              </w:rPr>
            </w:pPr>
            <w:r w:rsidRPr="007C4D65">
              <w:rPr>
                <w:rFonts w:asciiTheme="minorHAnsi" w:hAnsiTheme="minorHAnsi"/>
                <w:color w:val="000000" w:themeColor="text1"/>
                <w:sz w:val="18"/>
                <w:szCs w:val="18"/>
              </w:rPr>
              <w:t>By 2027, completed training of employees of all forest users in observation and surveillance</w:t>
            </w:r>
          </w:p>
        </w:tc>
      </w:tr>
      <w:tr w:rsidR="00D51392" w:rsidRPr="007C4D65" w14:paraId="1A8E1E73" w14:textId="77777777" w:rsidTr="00B6017F">
        <w:trPr>
          <w:trHeight w:val="483"/>
        </w:trPr>
        <w:tc>
          <w:tcPr>
            <w:tcW w:w="765" w:type="pct"/>
            <w:vMerge/>
            <w:shd w:val="clear" w:color="auto" w:fill="D9D9D9"/>
            <w:vAlign w:val="center"/>
            <w:hideMark/>
          </w:tcPr>
          <w:p w14:paraId="4CABF34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7BA1BE8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0716BD3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0E660382"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7AA156D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49196378" w14:textId="77777777" w:rsidTr="00B6017F">
        <w:trPr>
          <w:trHeight w:val="287"/>
        </w:trPr>
        <w:tc>
          <w:tcPr>
            <w:tcW w:w="765" w:type="pct"/>
            <w:vMerge/>
            <w:shd w:val="clear" w:color="auto" w:fill="D9D9D9"/>
            <w:vAlign w:val="center"/>
            <w:hideMark/>
          </w:tcPr>
          <w:p w14:paraId="5932E43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106AD66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DB0B40A"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0,899</w:t>
            </w:r>
          </w:p>
        </w:tc>
        <w:tc>
          <w:tcPr>
            <w:tcW w:w="1159" w:type="pct"/>
            <w:tcMar>
              <w:top w:w="0" w:type="dxa"/>
              <w:left w:w="108" w:type="dxa"/>
              <w:bottom w:w="0" w:type="dxa"/>
              <w:right w:w="108" w:type="dxa"/>
            </w:tcMar>
            <w:vAlign w:val="center"/>
          </w:tcPr>
          <w:p w14:paraId="2EF7D66D"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8,09</w:t>
            </w:r>
          </w:p>
        </w:tc>
        <w:tc>
          <w:tcPr>
            <w:tcW w:w="1159" w:type="pct"/>
            <w:tcMar>
              <w:top w:w="0" w:type="dxa"/>
              <w:left w:w="108" w:type="dxa"/>
              <w:bottom w:w="0" w:type="dxa"/>
              <w:right w:w="108" w:type="dxa"/>
            </w:tcMar>
            <w:vAlign w:val="center"/>
          </w:tcPr>
          <w:p w14:paraId="74E9D18F"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8,9</w:t>
            </w:r>
          </w:p>
        </w:tc>
      </w:tr>
      <w:tr w:rsidR="00D51392" w:rsidRPr="007C4D65" w14:paraId="4E04166B" w14:textId="77777777" w:rsidTr="00B6017F">
        <w:trPr>
          <w:trHeight w:val="483"/>
        </w:trPr>
        <w:tc>
          <w:tcPr>
            <w:tcW w:w="765" w:type="pct"/>
            <w:vMerge w:val="restart"/>
            <w:shd w:val="clear" w:color="auto" w:fill="D9D9D9"/>
            <w:tcMar>
              <w:top w:w="0" w:type="dxa"/>
              <w:left w:w="108" w:type="dxa"/>
              <w:bottom w:w="0" w:type="dxa"/>
              <w:right w:w="108" w:type="dxa"/>
            </w:tcMar>
            <w:vAlign w:val="center"/>
            <w:hideMark/>
          </w:tcPr>
          <w:p w14:paraId="6E09CAA2"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6.1.5. Measure</w:t>
            </w:r>
          </w:p>
        </w:tc>
        <w:tc>
          <w:tcPr>
            <w:tcW w:w="757" w:type="pct"/>
            <w:vMerge w:val="restart"/>
            <w:tcMar>
              <w:top w:w="0" w:type="dxa"/>
              <w:left w:w="108" w:type="dxa"/>
              <w:bottom w:w="0" w:type="dxa"/>
              <w:right w:w="108" w:type="dxa"/>
            </w:tcMar>
            <w:vAlign w:val="center"/>
          </w:tcPr>
          <w:p w14:paraId="08AF931B"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Afforestation of barren land and transition of coppice forests into high forests</w:t>
            </w:r>
          </w:p>
        </w:tc>
        <w:tc>
          <w:tcPr>
            <w:tcW w:w="1159" w:type="pct"/>
            <w:shd w:val="clear" w:color="auto" w:fill="D9D9D9"/>
            <w:tcMar>
              <w:top w:w="0" w:type="dxa"/>
              <w:left w:w="108" w:type="dxa"/>
              <w:bottom w:w="0" w:type="dxa"/>
              <w:right w:w="108" w:type="dxa"/>
            </w:tcMar>
            <w:vAlign w:val="center"/>
            <w:hideMark/>
          </w:tcPr>
          <w:p w14:paraId="52AB15C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08702CA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526D813E"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64B10F9E" w14:textId="77777777" w:rsidTr="00B6017F">
        <w:trPr>
          <w:trHeight w:val="287"/>
        </w:trPr>
        <w:tc>
          <w:tcPr>
            <w:tcW w:w="765" w:type="pct"/>
            <w:vMerge/>
            <w:shd w:val="clear" w:color="auto" w:fill="D9D9D9"/>
            <w:vAlign w:val="center"/>
          </w:tcPr>
          <w:p w14:paraId="0DDCDA1F"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6CA8832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7BCF366"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Existence of legislation that establishes the regions of provenience and prescribe the method procedure and conditions for evaluating and recognizing the starting material of the forest trees</w:t>
            </w:r>
          </w:p>
        </w:tc>
        <w:tc>
          <w:tcPr>
            <w:tcW w:w="1159" w:type="pct"/>
            <w:shd w:val="clear" w:color="auto" w:fill="FFFFFF"/>
            <w:tcMar>
              <w:top w:w="0" w:type="dxa"/>
              <w:left w:w="108" w:type="dxa"/>
              <w:bottom w:w="0" w:type="dxa"/>
              <w:right w:w="108" w:type="dxa"/>
            </w:tcMar>
            <w:vAlign w:val="center"/>
          </w:tcPr>
          <w:p w14:paraId="46D23D63" w14:textId="2034C6F3"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Regions of provenience, method, procedure and conditions for evaluation and recognition of forest trees starting material in the Federation of BiH have not been prescribed</w:t>
            </w:r>
          </w:p>
        </w:tc>
        <w:tc>
          <w:tcPr>
            <w:tcW w:w="1159" w:type="pct"/>
            <w:shd w:val="clear" w:color="auto" w:fill="FFFFFF"/>
            <w:vAlign w:val="center"/>
          </w:tcPr>
          <w:p w14:paraId="0A89D4B0" w14:textId="23C11040"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 xml:space="preserve">By the end of 2023, adopt the Law on Reproduction Material of Forest and Decorative Trees and Buses </w:t>
            </w:r>
            <w:proofErr w:type="gramStart"/>
            <w:r w:rsidRPr="007C4D65">
              <w:rPr>
                <w:rFonts w:asciiTheme="minorHAnsi" w:hAnsiTheme="minorHAnsi"/>
                <w:sz w:val="18"/>
                <w:szCs w:val="18"/>
              </w:rPr>
              <w:t>on the basis of</w:t>
            </w:r>
            <w:proofErr w:type="gramEnd"/>
            <w:r w:rsidRPr="007C4D65">
              <w:rPr>
                <w:rFonts w:asciiTheme="minorHAnsi" w:hAnsiTheme="minorHAnsi"/>
                <w:sz w:val="18"/>
                <w:szCs w:val="18"/>
              </w:rPr>
              <w:t xml:space="preserve"> which the Rulebook on provenience of forest trees will be defined</w:t>
            </w:r>
          </w:p>
        </w:tc>
      </w:tr>
      <w:tr w:rsidR="00D51392" w:rsidRPr="007C4D65" w14:paraId="0914B1D1" w14:textId="77777777" w:rsidTr="00B6017F">
        <w:trPr>
          <w:trHeight w:val="287"/>
        </w:trPr>
        <w:tc>
          <w:tcPr>
            <w:tcW w:w="765" w:type="pct"/>
            <w:vMerge/>
            <w:shd w:val="clear" w:color="auto" w:fill="D9D9D9"/>
            <w:vAlign w:val="center"/>
          </w:tcPr>
          <w:p w14:paraId="77B11CA0"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60A42C78"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54AEBA9"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Areas under coppice forests</w:t>
            </w:r>
          </w:p>
        </w:tc>
        <w:tc>
          <w:tcPr>
            <w:tcW w:w="1159" w:type="pct"/>
            <w:shd w:val="clear" w:color="auto" w:fill="FFFFFF"/>
            <w:tcMar>
              <w:top w:w="0" w:type="dxa"/>
              <w:left w:w="108" w:type="dxa"/>
              <w:bottom w:w="0" w:type="dxa"/>
              <w:right w:w="108" w:type="dxa"/>
            </w:tcMar>
            <w:vAlign w:val="center"/>
          </w:tcPr>
          <w:p w14:paraId="763F73BB" w14:textId="4099350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Area under coppice forests is 257,879.6 ha</w:t>
            </w:r>
          </w:p>
        </w:tc>
        <w:tc>
          <w:tcPr>
            <w:tcW w:w="1159" w:type="pct"/>
            <w:shd w:val="clear" w:color="auto" w:fill="FFFFFF"/>
            <w:vAlign w:val="center"/>
          </w:tcPr>
          <w:p w14:paraId="7B47B5C1"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t>By 2026, reduced area under coppice forests and bushes by 50,000 ha and transitioned into the higher form</w:t>
            </w:r>
          </w:p>
        </w:tc>
      </w:tr>
      <w:tr w:rsidR="00D51392" w:rsidRPr="007C4D65" w14:paraId="08E11BA1" w14:textId="77777777" w:rsidTr="00B6017F">
        <w:trPr>
          <w:trHeight w:val="287"/>
        </w:trPr>
        <w:tc>
          <w:tcPr>
            <w:tcW w:w="765" w:type="pct"/>
            <w:vMerge/>
            <w:shd w:val="clear" w:color="auto" w:fill="D9D9D9"/>
            <w:vAlign w:val="center"/>
          </w:tcPr>
          <w:p w14:paraId="79F64669"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77F81FC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4E81C65" w14:textId="5C170A89"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Area of productive barren land suitable for afforestation</w:t>
            </w:r>
          </w:p>
        </w:tc>
        <w:tc>
          <w:tcPr>
            <w:tcW w:w="1159" w:type="pct"/>
            <w:shd w:val="clear" w:color="auto" w:fill="FFFFFF"/>
            <w:tcMar>
              <w:top w:w="0" w:type="dxa"/>
              <w:left w:w="108" w:type="dxa"/>
              <w:bottom w:w="0" w:type="dxa"/>
              <w:right w:w="108" w:type="dxa"/>
            </w:tcMar>
            <w:vAlign w:val="center"/>
          </w:tcPr>
          <w:p w14:paraId="5795EEFC" w14:textId="7AFC086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Area of productive barren land suitable </w:t>
            </w:r>
            <w:r w:rsidRPr="007C4D65">
              <w:rPr>
                <w:rFonts w:asciiTheme="minorHAnsi" w:hAnsiTheme="minorHAnsi"/>
                <w:color w:val="000000" w:themeColor="text1"/>
                <w:sz w:val="18"/>
                <w:szCs w:val="18"/>
              </w:rPr>
              <w:t>for afforestation is 159,913.5 ha</w:t>
            </w:r>
          </w:p>
        </w:tc>
        <w:tc>
          <w:tcPr>
            <w:tcW w:w="1159" w:type="pct"/>
            <w:shd w:val="clear" w:color="auto" w:fill="FFFFFF"/>
            <w:vAlign w:val="center"/>
          </w:tcPr>
          <w:p w14:paraId="2DFE1E67"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color w:val="000000"/>
                <w:sz w:val="18"/>
                <w:szCs w:val="18"/>
              </w:rPr>
              <w:t>By 2031, 16,000 ha of current territory of karst and barren land afforested</w:t>
            </w:r>
          </w:p>
        </w:tc>
      </w:tr>
      <w:tr w:rsidR="00D51392" w:rsidRPr="007C4D65" w14:paraId="2E439D39" w14:textId="77777777" w:rsidTr="00B6017F">
        <w:trPr>
          <w:trHeight w:val="483"/>
        </w:trPr>
        <w:tc>
          <w:tcPr>
            <w:tcW w:w="765" w:type="pct"/>
            <w:vMerge/>
            <w:shd w:val="clear" w:color="auto" w:fill="D9D9D9"/>
            <w:vAlign w:val="center"/>
            <w:hideMark/>
          </w:tcPr>
          <w:p w14:paraId="3EEDAA8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3EB4025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1ACAA2C4"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6AD306E7"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3CBCB39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4358D277" w14:textId="77777777" w:rsidTr="00B6017F">
        <w:trPr>
          <w:trHeight w:val="287"/>
        </w:trPr>
        <w:tc>
          <w:tcPr>
            <w:tcW w:w="765" w:type="pct"/>
            <w:vMerge/>
            <w:shd w:val="clear" w:color="auto" w:fill="D9D9D9"/>
            <w:vAlign w:val="center"/>
            <w:hideMark/>
          </w:tcPr>
          <w:p w14:paraId="72F371F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0067FDE8"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084536C"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13,2</w:t>
            </w:r>
          </w:p>
        </w:tc>
        <w:tc>
          <w:tcPr>
            <w:tcW w:w="1159" w:type="pct"/>
            <w:tcMar>
              <w:top w:w="0" w:type="dxa"/>
              <w:left w:w="108" w:type="dxa"/>
              <w:bottom w:w="0" w:type="dxa"/>
              <w:right w:w="108" w:type="dxa"/>
            </w:tcMar>
            <w:vAlign w:val="center"/>
          </w:tcPr>
          <w:p w14:paraId="5F811B2B"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118,9</w:t>
            </w:r>
          </w:p>
        </w:tc>
        <w:tc>
          <w:tcPr>
            <w:tcW w:w="1159" w:type="pct"/>
            <w:tcMar>
              <w:top w:w="0" w:type="dxa"/>
              <w:left w:w="108" w:type="dxa"/>
              <w:bottom w:w="0" w:type="dxa"/>
              <w:right w:w="108" w:type="dxa"/>
            </w:tcMar>
            <w:vAlign w:val="center"/>
          </w:tcPr>
          <w:p w14:paraId="76FC2D0A"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132,1</w:t>
            </w:r>
          </w:p>
        </w:tc>
      </w:tr>
      <w:tr w:rsidR="00D51392" w:rsidRPr="007C4D65" w14:paraId="51C4CDD4" w14:textId="77777777" w:rsidTr="00B6017F">
        <w:trPr>
          <w:trHeight w:val="483"/>
        </w:trPr>
        <w:tc>
          <w:tcPr>
            <w:tcW w:w="765" w:type="pct"/>
            <w:vMerge w:val="restart"/>
            <w:shd w:val="clear" w:color="auto" w:fill="D9D9D9"/>
            <w:tcMar>
              <w:top w:w="0" w:type="dxa"/>
              <w:left w:w="108" w:type="dxa"/>
              <w:bottom w:w="0" w:type="dxa"/>
              <w:right w:w="108" w:type="dxa"/>
            </w:tcMar>
            <w:vAlign w:val="center"/>
            <w:hideMark/>
          </w:tcPr>
          <w:p w14:paraId="418F068F"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lastRenderedPageBreak/>
              <w:t>6.1.6. Measure</w:t>
            </w:r>
          </w:p>
        </w:tc>
        <w:tc>
          <w:tcPr>
            <w:tcW w:w="757" w:type="pct"/>
            <w:vMerge w:val="restart"/>
            <w:tcMar>
              <w:top w:w="0" w:type="dxa"/>
              <w:left w:w="108" w:type="dxa"/>
              <w:bottom w:w="0" w:type="dxa"/>
              <w:right w:w="108" w:type="dxa"/>
            </w:tcMar>
            <w:vAlign w:val="center"/>
          </w:tcPr>
          <w:p w14:paraId="26FB61EF"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Establishment of a Forest Information System</w:t>
            </w:r>
          </w:p>
        </w:tc>
        <w:tc>
          <w:tcPr>
            <w:tcW w:w="1159" w:type="pct"/>
            <w:shd w:val="clear" w:color="auto" w:fill="D9D9D9"/>
            <w:tcMar>
              <w:top w:w="0" w:type="dxa"/>
              <w:left w:w="108" w:type="dxa"/>
              <w:bottom w:w="0" w:type="dxa"/>
              <w:right w:w="108" w:type="dxa"/>
            </w:tcMar>
            <w:vAlign w:val="center"/>
            <w:hideMark/>
          </w:tcPr>
          <w:p w14:paraId="14E8DA54"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440C8D73"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309B52D0"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4C5E360F" w14:textId="77777777" w:rsidTr="00B6017F">
        <w:trPr>
          <w:trHeight w:val="287"/>
        </w:trPr>
        <w:tc>
          <w:tcPr>
            <w:tcW w:w="765" w:type="pct"/>
            <w:vMerge/>
            <w:shd w:val="clear" w:color="auto" w:fill="D9D9D9"/>
            <w:vAlign w:val="center"/>
          </w:tcPr>
          <w:p w14:paraId="061916CF"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0B8CC00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31B02C5B"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Existence FIS of aligned with the EU’s Forest Information System for Europe (FISE)</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4EA2680A" w14:textId="31DB4111"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Part of the information system is already developed, but the work and harmonisation of the structure with the EU’s Forest Information System in Europe (FISE) needs to continue</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477E1E53" w14:textId="77777777" w:rsidR="00D51392" w:rsidRPr="007C4D65" w:rsidRDefault="00D51392" w:rsidP="00B6017F">
            <w:pPr>
              <w:spacing w:line="276" w:lineRule="auto"/>
              <w:ind w:firstLine="69"/>
              <w:rPr>
                <w:rFonts w:asciiTheme="minorHAnsi" w:hAnsiTheme="minorHAnsi" w:cstheme="minorHAnsi"/>
                <w:sz w:val="18"/>
                <w:szCs w:val="18"/>
              </w:rPr>
            </w:pPr>
            <w:r w:rsidRPr="007C4D65">
              <w:rPr>
                <w:rFonts w:asciiTheme="minorHAnsi" w:hAnsiTheme="minorHAnsi"/>
                <w:sz w:val="18"/>
                <w:szCs w:val="18"/>
              </w:rPr>
              <w:t>By the end of 2025, established harmonised FIS</w:t>
            </w:r>
          </w:p>
        </w:tc>
      </w:tr>
      <w:tr w:rsidR="00D51392" w:rsidRPr="007C4D65" w14:paraId="5ED42E52" w14:textId="77777777" w:rsidTr="00B6017F">
        <w:trPr>
          <w:trHeight w:val="483"/>
        </w:trPr>
        <w:tc>
          <w:tcPr>
            <w:tcW w:w="765" w:type="pct"/>
            <w:vMerge/>
            <w:shd w:val="clear" w:color="auto" w:fill="D9D9D9"/>
            <w:vAlign w:val="center"/>
            <w:hideMark/>
          </w:tcPr>
          <w:p w14:paraId="554CCA7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7E00427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6B01FBF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462CD407"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40CEF68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682912FC" w14:textId="77777777" w:rsidTr="00B6017F">
        <w:trPr>
          <w:trHeight w:val="287"/>
        </w:trPr>
        <w:tc>
          <w:tcPr>
            <w:tcW w:w="765" w:type="pct"/>
            <w:vMerge/>
            <w:shd w:val="clear" w:color="auto" w:fill="D9D9D9"/>
            <w:vAlign w:val="center"/>
            <w:hideMark/>
          </w:tcPr>
          <w:p w14:paraId="0D01F01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57" w:type="pct"/>
            <w:vMerge/>
            <w:vAlign w:val="center"/>
          </w:tcPr>
          <w:p w14:paraId="1E65205D"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2897607C"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0,041</w:t>
            </w:r>
          </w:p>
        </w:tc>
        <w:tc>
          <w:tcPr>
            <w:tcW w:w="1159" w:type="pct"/>
            <w:tcMar>
              <w:top w:w="0" w:type="dxa"/>
              <w:left w:w="108" w:type="dxa"/>
              <w:bottom w:w="0" w:type="dxa"/>
              <w:right w:w="108" w:type="dxa"/>
            </w:tcMar>
            <w:vAlign w:val="center"/>
          </w:tcPr>
          <w:p w14:paraId="525D4093"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0,095</w:t>
            </w:r>
          </w:p>
        </w:tc>
        <w:tc>
          <w:tcPr>
            <w:tcW w:w="1159" w:type="pct"/>
            <w:tcMar>
              <w:top w:w="0" w:type="dxa"/>
              <w:left w:w="108" w:type="dxa"/>
              <w:bottom w:w="0" w:type="dxa"/>
              <w:right w:w="108" w:type="dxa"/>
            </w:tcMar>
            <w:vAlign w:val="center"/>
          </w:tcPr>
          <w:p w14:paraId="5E8324D6"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0,136</w:t>
            </w:r>
          </w:p>
        </w:tc>
      </w:tr>
    </w:tbl>
    <w:p w14:paraId="0ACA474F" w14:textId="77777777" w:rsidR="00D51392" w:rsidRPr="007C4D65" w:rsidRDefault="00D51392" w:rsidP="00D51392">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4"/>
        <w:gridCol w:w="2124"/>
        <w:gridCol w:w="3234"/>
        <w:gridCol w:w="3233"/>
        <w:gridCol w:w="3233"/>
      </w:tblGrid>
      <w:tr w:rsidR="00D51392" w:rsidRPr="007C4D65" w14:paraId="1342B6C6" w14:textId="77777777" w:rsidTr="00B6017F">
        <w:trPr>
          <w:trHeight w:val="384"/>
        </w:trPr>
        <w:tc>
          <w:tcPr>
            <w:tcW w:w="761" w:type="pct"/>
            <w:vMerge w:val="restart"/>
            <w:shd w:val="clear" w:color="auto" w:fill="D9D9D9"/>
            <w:tcMar>
              <w:top w:w="0" w:type="dxa"/>
              <w:left w:w="108" w:type="dxa"/>
              <w:bottom w:w="0" w:type="dxa"/>
              <w:right w:w="108" w:type="dxa"/>
            </w:tcMar>
            <w:vAlign w:val="center"/>
          </w:tcPr>
          <w:p w14:paraId="0D1E5B8C"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6.2. Priority</w:t>
            </w:r>
          </w:p>
          <w:p w14:paraId="60AAC606"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restart"/>
            <w:tcMar>
              <w:top w:w="0" w:type="dxa"/>
              <w:left w:w="108" w:type="dxa"/>
              <w:bottom w:w="0" w:type="dxa"/>
              <w:right w:w="108" w:type="dxa"/>
            </w:tcMar>
            <w:vAlign w:val="center"/>
          </w:tcPr>
          <w:p w14:paraId="127BCEEA" w14:textId="77777777" w:rsidR="00D51392" w:rsidRPr="007C4D65" w:rsidRDefault="00D51392"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t>Enhance legal, strategic and institutional frameworks for sustainable management of hunting game</w:t>
            </w:r>
          </w:p>
        </w:tc>
        <w:tc>
          <w:tcPr>
            <w:tcW w:w="1159" w:type="pct"/>
            <w:shd w:val="clear" w:color="auto" w:fill="D9D9D9"/>
            <w:tcMar>
              <w:top w:w="0" w:type="dxa"/>
              <w:left w:w="108" w:type="dxa"/>
              <w:bottom w:w="0" w:type="dxa"/>
              <w:right w:w="108" w:type="dxa"/>
            </w:tcMar>
            <w:vAlign w:val="center"/>
          </w:tcPr>
          <w:p w14:paraId="32BDAEB7" w14:textId="77777777" w:rsidR="00D51392" w:rsidRPr="007C4D65" w:rsidRDefault="00D51392"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59" w:type="pct"/>
            <w:shd w:val="clear" w:color="auto" w:fill="D9D9D9"/>
            <w:tcMar>
              <w:top w:w="0" w:type="dxa"/>
              <w:left w:w="108" w:type="dxa"/>
              <w:bottom w:w="0" w:type="dxa"/>
              <w:right w:w="108" w:type="dxa"/>
            </w:tcMar>
            <w:vAlign w:val="center"/>
          </w:tcPr>
          <w:p w14:paraId="31E475C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tcPr>
          <w:p w14:paraId="248812B7"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3B3428A3" w14:textId="77777777" w:rsidTr="00B6017F">
        <w:trPr>
          <w:trHeight w:val="287"/>
        </w:trPr>
        <w:tc>
          <w:tcPr>
            <w:tcW w:w="761" w:type="pct"/>
            <w:vMerge/>
            <w:shd w:val="clear" w:color="auto" w:fill="D9D9D9"/>
            <w:vAlign w:val="center"/>
            <w:hideMark/>
          </w:tcPr>
          <w:p w14:paraId="016A779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hideMark/>
          </w:tcPr>
          <w:p w14:paraId="6C799A8A"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102A8810"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Existence of regulatory framework for population management and planned rearing of wild game, aligned with EU directives and international agreements on biodiversity</w:t>
            </w:r>
          </w:p>
        </w:tc>
        <w:tc>
          <w:tcPr>
            <w:tcW w:w="1159" w:type="pct"/>
            <w:tcMar>
              <w:top w:w="0" w:type="dxa"/>
              <w:left w:w="108" w:type="dxa"/>
              <w:bottom w:w="0" w:type="dxa"/>
              <w:right w:w="108" w:type="dxa"/>
            </w:tcMar>
          </w:tcPr>
          <w:p w14:paraId="4AB28A6E" w14:textId="435C0783"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Law on Hunting of Federation of BiH is not in line with the relevant EU Directives and international agreements</w:t>
            </w:r>
          </w:p>
        </w:tc>
        <w:tc>
          <w:tcPr>
            <w:tcW w:w="1159" w:type="pct"/>
            <w:tcMar>
              <w:top w:w="0" w:type="dxa"/>
              <w:left w:w="108" w:type="dxa"/>
              <w:bottom w:w="0" w:type="dxa"/>
              <w:right w:w="108" w:type="dxa"/>
            </w:tcMar>
          </w:tcPr>
          <w:p w14:paraId="3E7575C7" w14:textId="3C98FA5E"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By 2023, align and adopt amended Law on Hunting with the relevant EU directives and international agreements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biodiversity, and pass the set of new bylaws aligned with the new law</w:t>
            </w:r>
          </w:p>
        </w:tc>
      </w:tr>
      <w:tr w:rsidR="00D51392" w:rsidRPr="007C4D65" w14:paraId="0A64074D" w14:textId="77777777" w:rsidTr="00B6017F">
        <w:trPr>
          <w:trHeight w:val="287"/>
        </w:trPr>
        <w:tc>
          <w:tcPr>
            <w:tcW w:w="761" w:type="pct"/>
            <w:vMerge/>
            <w:shd w:val="clear" w:color="auto" w:fill="D9D9D9"/>
            <w:vAlign w:val="center"/>
          </w:tcPr>
          <w:p w14:paraId="5B07CAC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54FB4521"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4697E119"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Existence of institutional framework for managing hunting grounds and planned rearing of game</w:t>
            </w:r>
          </w:p>
        </w:tc>
        <w:tc>
          <w:tcPr>
            <w:tcW w:w="1159" w:type="pct"/>
            <w:tcMar>
              <w:top w:w="0" w:type="dxa"/>
              <w:left w:w="108" w:type="dxa"/>
              <w:bottom w:w="0" w:type="dxa"/>
              <w:right w:w="108" w:type="dxa"/>
            </w:tcMar>
          </w:tcPr>
          <w:p w14:paraId="4BA35B51" w14:textId="53C9B074"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In Federation of BiH, full categorization, establishment and assignment of hunting grounds for use has not been completed. The hunting grounds do not have a professional service for overseeing and implementing measures prescribed by laws and plans</w:t>
            </w:r>
          </w:p>
        </w:tc>
        <w:tc>
          <w:tcPr>
            <w:tcW w:w="1159" w:type="pct"/>
            <w:tcMar>
              <w:top w:w="0" w:type="dxa"/>
              <w:left w:w="108" w:type="dxa"/>
              <w:bottom w:w="0" w:type="dxa"/>
              <w:right w:w="108" w:type="dxa"/>
            </w:tcMar>
          </w:tcPr>
          <w:p w14:paraId="54F30718"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By 2025, establish institutional framework for managing hunting grounds and planned rearing of game</w:t>
            </w:r>
          </w:p>
        </w:tc>
      </w:tr>
      <w:tr w:rsidR="00D51392" w:rsidRPr="007C4D65" w14:paraId="1D6F8F4B" w14:textId="77777777" w:rsidTr="00B6017F">
        <w:trPr>
          <w:trHeight w:val="287"/>
        </w:trPr>
        <w:tc>
          <w:tcPr>
            <w:tcW w:w="761" w:type="pct"/>
            <w:vMerge/>
            <w:shd w:val="clear" w:color="auto" w:fill="D9D9D9"/>
            <w:vAlign w:val="center"/>
          </w:tcPr>
          <w:p w14:paraId="3A78D7CF"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48FBFAF0"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05D6A1C2"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Existence of planning framework for population management and planned rearing of wild game, aligned with EU directives and international agreements on biodiversity</w:t>
            </w:r>
          </w:p>
        </w:tc>
        <w:tc>
          <w:tcPr>
            <w:tcW w:w="1159" w:type="pct"/>
            <w:tcMar>
              <w:top w:w="0" w:type="dxa"/>
              <w:left w:w="108" w:type="dxa"/>
              <w:bottom w:w="0" w:type="dxa"/>
              <w:right w:w="108" w:type="dxa"/>
            </w:tcMar>
          </w:tcPr>
          <w:p w14:paraId="1608376B" w14:textId="7B8336D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In Federation of BiH, the population management plans for the wolf, bear and lynx have not been adopted, and neither have the plans for all hunting grounds, recognizing the principles of protection of species in line with conventions</w:t>
            </w:r>
          </w:p>
        </w:tc>
        <w:tc>
          <w:tcPr>
            <w:tcW w:w="1159" w:type="pct"/>
            <w:tcMar>
              <w:top w:w="0" w:type="dxa"/>
              <w:left w:w="108" w:type="dxa"/>
              <w:bottom w:w="0" w:type="dxa"/>
              <w:right w:w="108" w:type="dxa"/>
            </w:tcMar>
          </w:tcPr>
          <w:p w14:paraId="5442B03A"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By 2027, established planning framework for managing hunting grounds and wild game population</w:t>
            </w:r>
          </w:p>
        </w:tc>
      </w:tr>
      <w:tr w:rsidR="00D51392" w:rsidRPr="007C4D65" w14:paraId="6CAC8302" w14:textId="77777777" w:rsidTr="00B6017F">
        <w:trPr>
          <w:trHeight w:val="287"/>
        </w:trPr>
        <w:tc>
          <w:tcPr>
            <w:tcW w:w="761" w:type="pct"/>
            <w:vMerge/>
            <w:shd w:val="clear" w:color="auto" w:fill="D9D9D9"/>
            <w:vAlign w:val="center"/>
          </w:tcPr>
          <w:p w14:paraId="5BD8EB23"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2BC1951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C80E14E"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Existence of a Wild Game Information System</w:t>
            </w:r>
          </w:p>
        </w:tc>
        <w:tc>
          <w:tcPr>
            <w:tcW w:w="1159" w:type="pct"/>
            <w:tcMar>
              <w:top w:w="0" w:type="dxa"/>
              <w:left w:w="108" w:type="dxa"/>
              <w:bottom w:w="0" w:type="dxa"/>
              <w:right w:w="108" w:type="dxa"/>
            </w:tcMar>
          </w:tcPr>
          <w:p w14:paraId="37503A4A"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In Federation of BiH, there exists no information system on wild game.</w:t>
            </w:r>
          </w:p>
        </w:tc>
        <w:tc>
          <w:tcPr>
            <w:tcW w:w="1159" w:type="pct"/>
            <w:tcMar>
              <w:top w:w="0" w:type="dxa"/>
              <w:left w:w="108" w:type="dxa"/>
              <w:bottom w:w="0" w:type="dxa"/>
              <w:right w:w="108" w:type="dxa"/>
            </w:tcMar>
          </w:tcPr>
          <w:p w14:paraId="1BD8F144"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By 2027, established information system on wild game</w:t>
            </w:r>
          </w:p>
        </w:tc>
      </w:tr>
      <w:tr w:rsidR="00D51392" w:rsidRPr="007C4D65" w14:paraId="46D01A80" w14:textId="77777777" w:rsidTr="00B6017F">
        <w:trPr>
          <w:trHeight w:val="287"/>
        </w:trPr>
        <w:tc>
          <w:tcPr>
            <w:tcW w:w="761" w:type="pct"/>
            <w:vMerge/>
            <w:shd w:val="clear" w:color="auto" w:fill="D9D9D9"/>
            <w:vAlign w:val="center"/>
            <w:hideMark/>
          </w:tcPr>
          <w:p w14:paraId="312AE49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hideMark/>
          </w:tcPr>
          <w:p w14:paraId="5590D1F8"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2FD3F1C2"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tcPr>
          <w:p w14:paraId="70EE7112"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tcPr>
          <w:p w14:paraId="0674B854"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2EA28A7A" w14:textId="77777777" w:rsidTr="00B6017F">
        <w:trPr>
          <w:trHeight w:val="287"/>
        </w:trPr>
        <w:tc>
          <w:tcPr>
            <w:tcW w:w="761" w:type="pct"/>
            <w:vMerge/>
            <w:shd w:val="clear" w:color="auto" w:fill="D9D9D9"/>
            <w:vAlign w:val="center"/>
          </w:tcPr>
          <w:p w14:paraId="38956BE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5758663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5570148"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0,177</w:t>
            </w:r>
          </w:p>
        </w:tc>
        <w:tc>
          <w:tcPr>
            <w:tcW w:w="1159" w:type="pct"/>
            <w:tcMar>
              <w:top w:w="0" w:type="dxa"/>
              <w:left w:w="108" w:type="dxa"/>
              <w:bottom w:w="0" w:type="dxa"/>
              <w:right w:w="108" w:type="dxa"/>
            </w:tcMar>
            <w:vAlign w:val="center"/>
          </w:tcPr>
          <w:p w14:paraId="25D9202B"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1,5</w:t>
            </w:r>
          </w:p>
        </w:tc>
        <w:tc>
          <w:tcPr>
            <w:tcW w:w="1159" w:type="pct"/>
            <w:tcMar>
              <w:top w:w="0" w:type="dxa"/>
              <w:left w:w="108" w:type="dxa"/>
              <w:bottom w:w="0" w:type="dxa"/>
              <w:right w:w="108" w:type="dxa"/>
            </w:tcMar>
            <w:vAlign w:val="center"/>
          </w:tcPr>
          <w:p w14:paraId="15B3D296"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1,7</w:t>
            </w:r>
          </w:p>
        </w:tc>
      </w:tr>
    </w:tbl>
    <w:p w14:paraId="2CA736D3" w14:textId="77777777" w:rsidR="00D51392" w:rsidRPr="007C4D65" w:rsidRDefault="00D51392" w:rsidP="00D51392">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4"/>
        <w:gridCol w:w="2124"/>
        <w:gridCol w:w="3234"/>
        <w:gridCol w:w="3233"/>
        <w:gridCol w:w="3233"/>
      </w:tblGrid>
      <w:tr w:rsidR="00D51392" w:rsidRPr="007C4D65" w14:paraId="706964C1" w14:textId="77777777" w:rsidTr="00B6017F">
        <w:trPr>
          <w:trHeight w:val="483"/>
        </w:trPr>
        <w:tc>
          <w:tcPr>
            <w:tcW w:w="761" w:type="pct"/>
            <w:vMerge w:val="restart"/>
            <w:shd w:val="clear" w:color="auto" w:fill="D9D9D9"/>
            <w:tcMar>
              <w:top w:w="0" w:type="dxa"/>
              <w:left w:w="108" w:type="dxa"/>
              <w:bottom w:w="0" w:type="dxa"/>
              <w:right w:w="108" w:type="dxa"/>
            </w:tcMar>
            <w:vAlign w:val="center"/>
            <w:hideMark/>
          </w:tcPr>
          <w:p w14:paraId="25EF0197"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6.2.1. Measure</w:t>
            </w:r>
          </w:p>
        </w:tc>
        <w:tc>
          <w:tcPr>
            <w:tcW w:w="761" w:type="pct"/>
            <w:vMerge w:val="restart"/>
            <w:tcMar>
              <w:top w:w="0" w:type="dxa"/>
              <w:left w:w="108" w:type="dxa"/>
              <w:bottom w:w="0" w:type="dxa"/>
              <w:right w:w="108" w:type="dxa"/>
            </w:tcMar>
            <w:vAlign w:val="center"/>
          </w:tcPr>
          <w:p w14:paraId="5D1CB587"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sz w:val="18"/>
                <w:szCs w:val="18"/>
              </w:rPr>
              <w:t>Establish a harmonized regulatory framework for establishing hunting grounds, managing population and planned rearing of wild game</w:t>
            </w:r>
          </w:p>
        </w:tc>
        <w:tc>
          <w:tcPr>
            <w:tcW w:w="1159" w:type="pct"/>
            <w:shd w:val="clear" w:color="auto" w:fill="D9D9D9"/>
            <w:tcMar>
              <w:top w:w="0" w:type="dxa"/>
              <w:left w:w="108" w:type="dxa"/>
              <w:bottom w:w="0" w:type="dxa"/>
              <w:right w:w="108" w:type="dxa"/>
            </w:tcMar>
            <w:vAlign w:val="center"/>
            <w:hideMark/>
          </w:tcPr>
          <w:p w14:paraId="316CD44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3719B37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7007A59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39792831" w14:textId="77777777" w:rsidTr="00B6017F">
        <w:trPr>
          <w:trHeight w:val="287"/>
        </w:trPr>
        <w:tc>
          <w:tcPr>
            <w:tcW w:w="761" w:type="pct"/>
            <w:vMerge/>
            <w:shd w:val="clear" w:color="auto" w:fill="D9D9D9"/>
            <w:vAlign w:val="center"/>
            <w:hideMark/>
          </w:tcPr>
          <w:p w14:paraId="164B2F89"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hideMark/>
          </w:tcPr>
          <w:p w14:paraId="5D6B522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93B11D5" w14:textId="77777777" w:rsidR="00D51392" w:rsidRPr="007C4D65" w:rsidRDefault="00D51392"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sz w:val="18"/>
                <w:szCs w:val="18"/>
              </w:rPr>
              <w:t>Existence of legislation on hunting aligned with EU directives and international agreements related to biodiversity</w:t>
            </w:r>
          </w:p>
        </w:tc>
        <w:tc>
          <w:tcPr>
            <w:tcW w:w="1159" w:type="pct"/>
            <w:shd w:val="clear" w:color="auto" w:fill="FFFFFF"/>
            <w:tcMar>
              <w:top w:w="0" w:type="dxa"/>
              <w:left w:w="108" w:type="dxa"/>
              <w:bottom w:w="0" w:type="dxa"/>
              <w:right w:w="108" w:type="dxa"/>
            </w:tcMar>
            <w:vAlign w:val="center"/>
          </w:tcPr>
          <w:p w14:paraId="6A2801A7"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Law on hunting of Federation of BiH is not fully aligned with EU directives and international agreements on biodiversity</w:t>
            </w:r>
          </w:p>
        </w:tc>
        <w:tc>
          <w:tcPr>
            <w:tcW w:w="1159" w:type="pct"/>
            <w:shd w:val="clear" w:color="auto" w:fill="FFFFFF"/>
            <w:vAlign w:val="center"/>
          </w:tcPr>
          <w:p w14:paraId="1BD44574" w14:textId="77777777" w:rsidR="00D51392" w:rsidRPr="007C4D65" w:rsidRDefault="00D51392" w:rsidP="00B6017F">
            <w:pPr>
              <w:spacing w:after="120" w:line="276" w:lineRule="auto"/>
              <w:ind w:left="69"/>
              <w:contextualSpacing/>
              <w:rPr>
                <w:rFonts w:asciiTheme="minorHAnsi" w:hAnsiTheme="minorHAnsi" w:cstheme="minorHAnsi"/>
                <w:sz w:val="18"/>
                <w:szCs w:val="18"/>
              </w:rPr>
            </w:pPr>
            <w:r w:rsidRPr="007C4D65">
              <w:rPr>
                <w:rFonts w:asciiTheme="minorHAnsi" w:hAnsiTheme="minorHAnsi"/>
                <w:sz w:val="18"/>
                <w:szCs w:val="18"/>
              </w:rPr>
              <w:t>By the end of 2024, adopted harmonised Law on Hunting and set of bylaws, in accordance with the new law</w:t>
            </w:r>
          </w:p>
        </w:tc>
      </w:tr>
      <w:tr w:rsidR="00D51392" w:rsidRPr="007C4D65" w14:paraId="4F6A9153" w14:textId="77777777" w:rsidTr="00B6017F">
        <w:trPr>
          <w:trHeight w:val="483"/>
        </w:trPr>
        <w:tc>
          <w:tcPr>
            <w:tcW w:w="761" w:type="pct"/>
            <w:vMerge/>
            <w:shd w:val="clear" w:color="auto" w:fill="D9D9D9"/>
            <w:vAlign w:val="center"/>
            <w:hideMark/>
          </w:tcPr>
          <w:p w14:paraId="7807AA5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hideMark/>
          </w:tcPr>
          <w:p w14:paraId="591F34A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1D33011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48BDD22E"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35350E1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113BCA2D" w14:textId="77777777" w:rsidTr="00B6017F">
        <w:trPr>
          <w:trHeight w:val="287"/>
        </w:trPr>
        <w:tc>
          <w:tcPr>
            <w:tcW w:w="761" w:type="pct"/>
            <w:vMerge/>
            <w:shd w:val="clear" w:color="auto" w:fill="D9D9D9"/>
            <w:vAlign w:val="center"/>
            <w:hideMark/>
          </w:tcPr>
          <w:p w14:paraId="4655F87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hideMark/>
          </w:tcPr>
          <w:p w14:paraId="6B2ABD5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1AF461D"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0,001</w:t>
            </w:r>
          </w:p>
        </w:tc>
        <w:tc>
          <w:tcPr>
            <w:tcW w:w="1159" w:type="pct"/>
            <w:tcMar>
              <w:top w:w="0" w:type="dxa"/>
              <w:left w:w="108" w:type="dxa"/>
              <w:bottom w:w="0" w:type="dxa"/>
              <w:right w:w="108" w:type="dxa"/>
            </w:tcMar>
            <w:vAlign w:val="center"/>
          </w:tcPr>
          <w:p w14:paraId="1C21C2B2"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5636D951"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0,001</w:t>
            </w:r>
          </w:p>
        </w:tc>
      </w:tr>
      <w:tr w:rsidR="00D51392" w:rsidRPr="007C4D65" w14:paraId="7614D734" w14:textId="77777777" w:rsidTr="00B6017F">
        <w:trPr>
          <w:trHeight w:val="483"/>
        </w:trPr>
        <w:tc>
          <w:tcPr>
            <w:tcW w:w="761" w:type="pct"/>
            <w:vMerge w:val="restart"/>
            <w:shd w:val="clear" w:color="auto" w:fill="D9D9D9"/>
            <w:tcMar>
              <w:top w:w="0" w:type="dxa"/>
              <w:left w:w="108" w:type="dxa"/>
              <w:bottom w:w="0" w:type="dxa"/>
              <w:right w:w="108" w:type="dxa"/>
            </w:tcMar>
            <w:vAlign w:val="center"/>
            <w:hideMark/>
          </w:tcPr>
          <w:p w14:paraId="3DC7DA58"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6.2.2. Measure</w:t>
            </w:r>
          </w:p>
        </w:tc>
        <w:tc>
          <w:tcPr>
            <w:tcW w:w="761" w:type="pct"/>
            <w:vMerge w:val="restart"/>
            <w:tcMar>
              <w:top w:w="0" w:type="dxa"/>
              <w:left w:w="108" w:type="dxa"/>
              <w:bottom w:w="0" w:type="dxa"/>
              <w:right w:w="108" w:type="dxa"/>
            </w:tcMar>
            <w:vAlign w:val="center"/>
          </w:tcPr>
          <w:p w14:paraId="37102C13"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b/>
                <w:bCs/>
                <w:sz w:val="18"/>
                <w:szCs w:val="18"/>
              </w:rPr>
              <w:t>Enhance strategic, legal and institutional frameworks for sustainable management of hunting grounds and game</w:t>
            </w:r>
          </w:p>
        </w:tc>
        <w:tc>
          <w:tcPr>
            <w:tcW w:w="1159" w:type="pct"/>
            <w:shd w:val="clear" w:color="auto" w:fill="D9D9D9"/>
            <w:tcMar>
              <w:top w:w="0" w:type="dxa"/>
              <w:left w:w="108" w:type="dxa"/>
              <w:bottom w:w="0" w:type="dxa"/>
              <w:right w:w="108" w:type="dxa"/>
            </w:tcMar>
            <w:vAlign w:val="center"/>
            <w:hideMark/>
          </w:tcPr>
          <w:p w14:paraId="0277A10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4269785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633B5410"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4F5D933D" w14:textId="77777777" w:rsidTr="00B6017F">
        <w:trPr>
          <w:trHeight w:val="287"/>
        </w:trPr>
        <w:tc>
          <w:tcPr>
            <w:tcW w:w="761" w:type="pct"/>
            <w:vMerge/>
            <w:shd w:val="clear" w:color="auto" w:fill="D9D9D9"/>
            <w:vAlign w:val="center"/>
            <w:hideMark/>
          </w:tcPr>
          <w:p w14:paraId="1890ED9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hideMark/>
          </w:tcPr>
          <w:p w14:paraId="0AF76B8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0E52AA7" w14:textId="77777777" w:rsidR="00D51392" w:rsidRPr="007C4D65" w:rsidRDefault="00D51392"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olor w:val="000000" w:themeColor="text1"/>
                <w:sz w:val="18"/>
                <w:szCs w:val="18"/>
              </w:rPr>
              <w:t>Existence of categorization, establishment and assigning the hunting grounds for use</w:t>
            </w:r>
          </w:p>
        </w:tc>
        <w:tc>
          <w:tcPr>
            <w:tcW w:w="1159" w:type="pct"/>
            <w:shd w:val="clear" w:color="auto" w:fill="FFFFFF"/>
            <w:tcMar>
              <w:top w:w="0" w:type="dxa"/>
              <w:left w:w="108" w:type="dxa"/>
              <w:bottom w:w="0" w:type="dxa"/>
              <w:right w:w="108" w:type="dxa"/>
            </w:tcMar>
            <w:vAlign w:val="center"/>
          </w:tcPr>
          <w:p w14:paraId="02A2383E"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color w:val="000000" w:themeColor="text1"/>
                <w:sz w:val="18"/>
                <w:szCs w:val="18"/>
              </w:rPr>
              <w:t>Categorization, establishment and assignment of the hunting grounds in the Federation of BiH are not completed.</w:t>
            </w:r>
          </w:p>
        </w:tc>
        <w:tc>
          <w:tcPr>
            <w:tcW w:w="1159" w:type="pct"/>
            <w:shd w:val="clear" w:color="auto" w:fill="FFFFFF"/>
            <w:vAlign w:val="center"/>
          </w:tcPr>
          <w:p w14:paraId="24544165" w14:textId="77777777" w:rsidR="00D51392" w:rsidRPr="007C4D65" w:rsidRDefault="00D51392" w:rsidP="00B6017F">
            <w:pPr>
              <w:spacing w:after="120" w:line="276" w:lineRule="auto"/>
              <w:ind w:left="69"/>
              <w:contextualSpacing/>
              <w:rPr>
                <w:rFonts w:asciiTheme="minorHAnsi" w:hAnsiTheme="minorHAnsi" w:cstheme="minorHAnsi"/>
                <w:sz w:val="18"/>
                <w:szCs w:val="18"/>
              </w:rPr>
            </w:pPr>
            <w:r w:rsidRPr="007C4D65">
              <w:rPr>
                <w:rFonts w:asciiTheme="minorHAnsi" w:hAnsiTheme="minorHAnsi"/>
                <w:color w:val="000000" w:themeColor="text1"/>
                <w:sz w:val="18"/>
                <w:szCs w:val="18"/>
              </w:rPr>
              <w:t>By the end of 2024, completed categorization, establishment and assigning the hunting grounds for use</w:t>
            </w:r>
          </w:p>
        </w:tc>
      </w:tr>
      <w:tr w:rsidR="00D51392" w:rsidRPr="007C4D65" w14:paraId="0C30B5D5" w14:textId="77777777" w:rsidTr="00B6017F">
        <w:trPr>
          <w:trHeight w:val="287"/>
        </w:trPr>
        <w:tc>
          <w:tcPr>
            <w:tcW w:w="761" w:type="pct"/>
            <w:vMerge/>
            <w:shd w:val="clear" w:color="auto" w:fill="D9D9D9"/>
            <w:vAlign w:val="center"/>
          </w:tcPr>
          <w:p w14:paraId="53E669F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497B3A2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77226A9" w14:textId="77777777" w:rsidR="00D51392" w:rsidRPr="007C4D65" w:rsidRDefault="00D51392"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olor w:val="000000" w:themeColor="text1"/>
                <w:sz w:val="18"/>
                <w:szCs w:val="18"/>
              </w:rPr>
              <w:t>Existence of a technical service for oversight and implementation of measures foreseen in laws and plans</w:t>
            </w:r>
          </w:p>
        </w:tc>
        <w:tc>
          <w:tcPr>
            <w:tcW w:w="1159" w:type="pct"/>
            <w:shd w:val="clear" w:color="auto" w:fill="FFFFFF"/>
            <w:tcMar>
              <w:top w:w="0" w:type="dxa"/>
              <w:left w:w="108" w:type="dxa"/>
              <w:bottom w:w="0" w:type="dxa"/>
              <w:right w:w="108" w:type="dxa"/>
            </w:tcMar>
            <w:vAlign w:val="center"/>
          </w:tcPr>
          <w:p w14:paraId="1141E1FC" w14:textId="73DBDB1A"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color w:val="000000" w:themeColor="text1"/>
                <w:sz w:val="18"/>
                <w:szCs w:val="18"/>
              </w:rPr>
              <w:t>Technical service for oversight and implementation of measures from laws and plans has not been established in all hunting grounds in the Federation of BiH</w:t>
            </w:r>
          </w:p>
        </w:tc>
        <w:tc>
          <w:tcPr>
            <w:tcW w:w="1159" w:type="pct"/>
            <w:shd w:val="clear" w:color="auto" w:fill="FFFFFF"/>
            <w:vAlign w:val="center"/>
          </w:tcPr>
          <w:p w14:paraId="27874A0E" w14:textId="77777777" w:rsidR="00D51392" w:rsidRPr="007C4D65" w:rsidRDefault="00D51392" w:rsidP="00B6017F">
            <w:pPr>
              <w:spacing w:after="120" w:line="276" w:lineRule="auto"/>
              <w:ind w:left="69"/>
              <w:contextualSpacing/>
              <w:rPr>
                <w:rFonts w:asciiTheme="minorHAnsi" w:hAnsiTheme="minorHAnsi" w:cstheme="minorHAnsi"/>
                <w:sz w:val="18"/>
                <w:szCs w:val="18"/>
              </w:rPr>
            </w:pPr>
            <w:r w:rsidRPr="007C4D65">
              <w:rPr>
                <w:rFonts w:asciiTheme="minorHAnsi" w:hAnsiTheme="minorHAnsi"/>
                <w:color w:val="000000" w:themeColor="text1"/>
                <w:sz w:val="18"/>
                <w:szCs w:val="18"/>
              </w:rPr>
              <w:t>By the end of 2024, established in all hunting grounds the technical services for supervision and implementation of measures from laws and plans</w:t>
            </w:r>
          </w:p>
        </w:tc>
      </w:tr>
      <w:tr w:rsidR="00D51392" w:rsidRPr="007C4D65" w14:paraId="7E15E349" w14:textId="77777777" w:rsidTr="00B6017F">
        <w:trPr>
          <w:trHeight w:val="287"/>
        </w:trPr>
        <w:tc>
          <w:tcPr>
            <w:tcW w:w="761" w:type="pct"/>
            <w:vMerge/>
            <w:shd w:val="clear" w:color="auto" w:fill="D9D9D9"/>
            <w:vAlign w:val="center"/>
          </w:tcPr>
          <w:p w14:paraId="43BC6F7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2F0C0B5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C1B8814" w14:textId="77777777" w:rsidR="00D51392" w:rsidRPr="007C4D65" w:rsidRDefault="00D51392"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olor w:val="000000" w:themeColor="text1"/>
                <w:sz w:val="18"/>
                <w:szCs w:val="18"/>
              </w:rPr>
              <w:t>Existence of plans for managing wild population of wolf, bear, and lynx</w:t>
            </w:r>
          </w:p>
        </w:tc>
        <w:tc>
          <w:tcPr>
            <w:tcW w:w="1159" w:type="pct"/>
            <w:shd w:val="clear" w:color="auto" w:fill="FFFFFF"/>
            <w:tcMar>
              <w:top w:w="0" w:type="dxa"/>
              <w:left w:w="108" w:type="dxa"/>
              <w:bottom w:w="0" w:type="dxa"/>
              <w:right w:w="108" w:type="dxa"/>
            </w:tcMar>
            <w:vAlign w:val="center"/>
          </w:tcPr>
          <w:p w14:paraId="47405D0E"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color w:val="000000" w:themeColor="text1"/>
                <w:sz w:val="18"/>
                <w:szCs w:val="18"/>
              </w:rPr>
              <w:t>In the Federation of BiH, planned approach to managing wild population of wolf, bear, and lynx is not established.</w:t>
            </w:r>
          </w:p>
        </w:tc>
        <w:tc>
          <w:tcPr>
            <w:tcW w:w="1159" w:type="pct"/>
            <w:shd w:val="clear" w:color="auto" w:fill="FFFFFF"/>
            <w:vAlign w:val="center"/>
          </w:tcPr>
          <w:p w14:paraId="0B3EAA3F" w14:textId="77777777" w:rsidR="00D51392" w:rsidRPr="007C4D65" w:rsidRDefault="00D51392" w:rsidP="00B6017F">
            <w:pPr>
              <w:spacing w:after="120" w:line="276" w:lineRule="auto"/>
              <w:ind w:left="69"/>
              <w:contextualSpacing/>
              <w:rPr>
                <w:rFonts w:asciiTheme="minorHAnsi" w:hAnsiTheme="minorHAnsi" w:cstheme="minorHAnsi"/>
                <w:sz w:val="18"/>
                <w:szCs w:val="18"/>
              </w:rPr>
            </w:pPr>
            <w:r w:rsidRPr="007C4D65">
              <w:rPr>
                <w:rFonts w:asciiTheme="minorHAnsi" w:hAnsiTheme="minorHAnsi"/>
                <w:color w:val="000000" w:themeColor="text1"/>
                <w:sz w:val="18"/>
                <w:szCs w:val="18"/>
              </w:rPr>
              <w:t xml:space="preserve">By the end of 2025, adopted plans for managing wild population of wolf, bear, and lynx, harmonized with the corresponding plans of </w:t>
            </w:r>
            <w:proofErr w:type="spellStart"/>
            <w:r w:rsidRPr="007C4D65">
              <w:rPr>
                <w:rFonts w:asciiTheme="minorHAnsi" w:hAnsiTheme="minorHAnsi"/>
                <w:color w:val="000000" w:themeColor="text1"/>
                <w:sz w:val="18"/>
                <w:szCs w:val="18"/>
              </w:rPr>
              <w:t>Republika</w:t>
            </w:r>
            <w:proofErr w:type="spellEnd"/>
            <w:r w:rsidRPr="007C4D65">
              <w:rPr>
                <w:rFonts w:asciiTheme="minorHAnsi" w:hAnsiTheme="minorHAnsi"/>
                <w:color w:val="000000" w:themeColor="text1"/>
                <w:sz w:val="18"/>
                <w:szCs w:val="18"/>
              </w:rPr>
              <w:t xml:space="preserve"> Srpska </w:t>
            </w:r>
          </w:p>
        </w:tc>
      </w:tr>
      <w:tr w:rsidR="00D51392" w:rsidRPr="007C4D65" w14:paraId="61C12883" w14:textId="77777777" w:rsidTr="00B6017F">
        <w:trPr>
          <w:trHeight w:val="287"/>
        </w:trPr>
        <w:tc>
          <w:tcPr>
            <w:tcW w:w="761" w:type="pct"/>
            <w:vMerge/>
            <w:shd w:val="clear" w:color="auto" w:fill="D9D9D9"/>
            <w:vAlign w:val="center"/>
          </w:tcPr>
          <w:p w14:paraId="28BD74C3"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07351F7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C046AFA" w14:textId="77777777" w:rsidR="00D51392" w:rsidRPr="007C4D65" w:rsidRDefault="00D51392"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olor w:val="000000" w:themeColor="text1"/>
                <w:sz w:val="18"/>
                <w:szCs w:val="18"/>
              </w:rPr>
              <w:t>Existence of hunting grounds management plans that recognize principles of protection of species, in accordance with conventions and EU directives</w:t>
            </w:r>
          </w:p>
        </w:tc>
        <w:tc>
          <w:tcPr>
            <w:tcW w:w="1159" w:type="pct"/>
            <w:shd w:val="clear" w:color="auto" w:fill="FFFFFF"/>
            <w:tcMar>
              <w:top w:w="0" w:type="dxa"/>
              <w:left w:w="108" w:type="dxa"/>
              <w:bottom w:w="0" w:type="dxa"/>
              <w:right w:w="108" w:type="dxa"/>
            </w:tcMar>
            <w:vAlign w:val="center"/>
          </w:tcPr>
          <w:p w14:paraId="7088B762" w14:textId="54715E2B" w:rsidR="00D51392" w:rsidRPr="007C4D65" w:rsidRDefault="00D51392" w:rsidP="00B6017F">
            <w:pPr>
              <w:spacing w:after="120" w:line="276" w:lineRule="auto"/>
              <w:ind w:left="2" w:hanging="2"/>
              <w:contextualSpacing/>
              <w:rPr>
                <w:rFonts w:asciiTheme="minorHAnsi" w:eastAsia="Calibri" w:hAnsiTheme="minorHAnsi" w:cstheme="minorHAnsi"/>
                <w:sz w:val="18"/>
                <w:szCs w:val="18"/>
              </w:rPr>
            </w:pPr>
            <w:r w:rsidRPr="007C4D65">
              <w:rPr>
                <w:rFonts w:asciiTheme="minorHAnsi" w:hAnsiTheme="minorHAnsi"/>
                <w:color w:val="000000" w:themeColor="text1"/>
                <w:sz w:val="18"/>
                <w:szCs w:val="18"/>
              </w:rPr>
              <w:t>In the Federation of BiH, hunting grounds management plans for a limited number of hunting grounds have not been developed in a way that recognizes principle of protection of species, in accordance with conventions and EU directives on biodiversity</w:t>
            </w:r>
          </w:p>
        </w:tc>
        <w:tc>
          <w:tcPr>
            <w:tcW w:w="1159" w:type="pct"/>
            <w:shd w:val="clear" w:color="auto" w:fill="FFFFFF"/>
            <w:vAlign w:val="center"/>
          </w:tcPr>
          <w:p w14:paraId="47F01E24" w14:textId="77777777" w:rsidR="00D51392" w:rsidRPr="007C4D65" w:rsidRDefault="00D51392" w:rsidP="00B6017F">
            <w:pPr>
              <w:spacing w:after="120" w:line="276" w:lineRule="auto"/>
              <w:ind w:left="69"/>
              <w:contextualSpacing/>
              <w:rPr>
                <w:rFonts w:asciiTheme="minorHAnsi" w:hAnsiTheme="minorHAnsi" w:cstheme="minorHAnsi"/>
                <w:sz w:val="18"/>
                <w:szCs w:val="18"/>
              </w:rPr>
            </w:pPr>
            <w:r w:rsidRPr="007C4D65">
              <w:rPr>
                <w:rFonts w:asciiTheme="minorHAnsi" w:hAnsiTheme="minorHAnsi"/>
                <w:color w:val="000000" w:themeColor="text1"/>
                <w:sz w:val="18"/>
                <w:szCs w:val="18"/>
              </w:rPr>
              <w:t>By the end of 2024, developed management plans for all hunting grounds, which recognize principles of protection of species, in accordance with conventions and EU directives</w:t>
            </w:r>
          </w:p>
        </w:tc>
      </w:tr>
      <w:tr w:rsidR="00D51392" w:rsidRPr="007C4D65" w14:paraId="2BA99AC3" w14:textId="77777777" w:rsidTr="00B6017F">
        <w:trPr>
          <w:trHeight w:val="180"/>
        </w:trPr>
        <w:tc>
          <w:tcPr>
            <w:tcW w:w="761" w:type="pct"/>
            <w:vMerge/>
            <w:shd w:val="clear" w:color="auto" w:fill="D9D9D9"/>
            <w:vAlign w:val="center"/>
          </w:tcPr>
          <w:p w14:paraId="4A3C16D6"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7E44E32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3CA95ED" w14:textId="77777777" w:rsidR="00D51392" w:rsidRPr="007C4D65" w:rsidRDefault="00D51392" w:rsidP="00B6017F">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olor w:val="000000"/>
                <w:sz w:val="18"/>
                <w:szCs w:val="18"/>
              </w:rPr>
              <w:t>Existence of functional module in IT system for hunting</w:t>
            </w:r>
          </w:p>
        </w:tc>
        <w:tc>
          <w:tcPr>
            <w:tcW w:w="1159" w:type="pct"/>
            <w:shd w:val="clear" w:color="auto" w:fill="FFFFFF"/>
            <w:tcMar>
              <w:top w:w="0" w:type="dxa"/>
              <w:left w:w="108" w:type="dxa"/>
              <w:bottom w:w="0" w:type="dxa"/>
              <w:right w:w="108" w:type="dxa"/>
            </w:tcMar>
            <w:vAlign w:val="center"/>
          </w:tcPr>
          <w:p w14:paraId="7DE66143" w14:textId="1C367CDA" w:rsidR="00D51392" w:rsidRPr="007C4D65" w:rsidRDefault="00D51392" w:rsidP="00B6017F">
            <w:pPr>
              <w:spacing w:after="120" w:line="276" w:lineRule="auto"/>
              <w:ind w:left="2" w:hanging="2"/>
              <w:contextualSpacing/>
              <w:rPr>
                <w:rFonts w:asciiTheme="minorHAnsi" w:eastAsia="Calibri" w:hAnsiTheme="minorHAnsi" w:cstheme="minorHAnsi"/>
                <w:sz w:val="18"/>
                <w:szCs w:val="18"/>
              </w:rPr>
            </w:pPr>
            <w:r w:rsidRPr="007C4D65">
              <w:rPr>
                <w:rFonts w:asciiTheme="minorHAnsi" w:hAnsiTheme="minorHAnsi"/>
                <w:sz w:val="18"/>
                <w:szCs w:val="18"/>
              </w:rPr>
              <w:t xml:space="preserve">Forestry information system in the Federation of BiH is under development, </w:t>
            </w:r>
            <w:r w:rsidRPr="007C4D65">
              <w:rPr>
                <w:rFonts w:asciiTheme="minorHAnsi" w:hAnsiTheme="minorHAnsi"/>
                <w:sz w:val="18"/>
                <w:szCs w:val="18"/>
              </w:rPr>
              <w:lastRenderedPageBreak/>
              <w:t>the module for hunting is not yet functional</w:t>
            </w:r>
          </w:p>
        </w:tc>
        <w:tc>
          <w:tcPr>
            <w:tcW w:w="1159" w:type="pct"/>
            <w:shd w:val="clear" w:color="auto" w:fill="FFFFFF"/>
            <w:vAlign w:val="center"/>
          </w:tcPr>
          <w:p w14:paraId="0A2E4213" w14:textId="77777777" w:rsidR="00D51392" w:rsidRPr="007C4D65" w:rsidRDefault="00D51392" w:rsidP="00B6017F">
            <w:pPr>
              <w:spacing w:line="276" w:lineRule="auto"/>
              <w:ind w:left="69"/>
              <w:rPr>
                <w:rFonts w:asciiTheme="minorHAnsi" w:hAnsiTheme="minorHAnsi" w:cstheme="minorHAnsi"/>
                <w:sz w:val="18"/>
                <w:szCs w:val="18"/>
              </w:rPr>
            </w:pPr>
            <w:r w:rsidRPr="007C4D65">
              <w:rPr>
                <w:rFonts w:asciiTheme="minorHAnsi" w:hAnsiTheme="minorHAnsi"/>
                <w:sz w:val="18"/>
                <w:szCs w:val="18"/>
              </w:rPr>
              <w:lastRenderedPageBreak/>
              <w:t xml:space="preserve">By the end of 2025, hunting module functional </w:t>
            </w:r>
          </w:p>
        </w:tc>
      </w:tr>
      <w:tr w:rsidR="00D51392" w:rsidRPr="007C4D65" w14:paraId="0F04019B" w14:textId="77777777" w:rsidTr="00B6017F">
        <w:trPr>
          <w:trHeight w:val="483"/>
        </w:trPr>
        <w:tc>
          <w:tcPr>
            <w:tcW w:w="761" w:type="pct"/>
            <w:vMerge/>
            <w:shd w:val="clear" w:color="auto" w:fill="D9D9D9"/>
            <w:vAlign w:val="center"/>
            <w:hideMark/>
          </w:tcPr>
          <w:p w14:paraId="24A2E5B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hideMark/>
          </w:tcPr>
          <w:p w14:paraId="18542E4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080DAA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1A50DF42"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2B91AF6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42B68722" w14:textId="77777777" w:rsidTr="00B6017F">
        <w:trPr>
          <w:trHeight w:val="287"/>
        </w:trPr>
        <w:tc>
          <w:tcPr>
            <w:tcW w:w="761" w:type="pct"/>
            <w:vMerge/>
            <w:shd w:val="clear" w:color="auto" w:fill="D9D9D9"/>
            <w:vAlign w:val="center"/>
            <w:hideMark/>
          </w:tcPr>
          <w:p w14:paraId="27BE475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hideMark/>
          </w:tcPr>
          <w:p w14:paraId="49C398A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FC3A2B8"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0,176</w:t>
            </w:r>
          </w:p>
        </w:tc>
        <w:tc>
          <w:tcPr>
            <w:tcW w:w="1159" w:type="pct"/>
            <w:tcMar>
              <w:top w:w="0" w:type="dxa"/>
              <w:left w:w="108" w:type="dxa"/>
              <w:bottom w:w="0" w:type="dxa"/>
              <w:right w:w="108" w:type="dxa"/>
            </w:tcMar>
            <w:vAlign w:val="center"/>
          </w:tcPr>
          <w:p w14:paraId="3F465033"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1,5</w:t>
            </w:r>
          </w:p>
        </w:tc>
        <w:tc>
          <w:tcPr>
            <w:tcW w:w="1159" w:type="pct"/>
            <w:tcMar>
              <w:top w:w="0" w:type="dxa"/>
              <w:left w:w="108" w:type="dxa"/>
              <w:bottom w:w="0" w:type="dxa"/>
              <w:right w:w="108" w:type="dxa"/>
            </w:tcMar>
            <w:vAlign w:val="center"/>
          </w:tcPr>
          <w:p w14:paraId="077F88FA"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1,7</w:t>
            </w:r>
          </w:p>
        </w:tc>
      </w:tr>
    </w:tbl>
    <w:p w14:paraId="6F6AF28C" w14:textId="77777777" w:rsidR="00D51392" w:rsidRPr="007C4D65" w:rsidRDefault="00D51392" w:rsidP="00D51392">
      <w:pPr>
        <w:spacing w:after="120" w:line="276" w:lineRule="auto"/>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068"/>
        <w:gridCol w:w="2181"/>
        <w:gridCol w:w="3233"/>
        <w:gridCol w:w="3233"/>
        <w:gridCol w:w="3233"/>
      </w:tblGrid>
      <w:tr w:rsidR="00D51392" w:rsidRPr="007C4D65" w14:paraId="5A944DEA" w14:textId="77777777" w:rsidTr="00B6017F">
        <w:trPr>
          <w:trHeight w:val="384"/>
        </w:trPr>
        <w:tc>
          <w:tcPr>
            <w:tcW w:w="741" w:type="pct"/>
            <w:vMerge w:val="restart"/>
            <w:shd w:val="clear" w:color="auto" w:fill="D9D9D9"/>
            <w:tcMar>
              <w:top w:w="0" w:type="dxa"/>
              <w:left w:w="108" w:type="dxa"/>
              <w:bottom w:w="0" w:type="dxa"/>
              <w:right w:w="108" w:type="dxa"/>
            </w:tcMar>
            <w:vAlign w:val="center"/>
          </w:tcPr>
          <w:p w14:paraId="74E7E4D6"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6.3. Priority</w:t>
            </w:r>
          </w:p>
          <w:p w14:paraId="7F42C8DE"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restart"/>
            <w:tcMar>
              <w:top w:w="0" w:type="dxa"/>
              <w:left w:w="108" w:type="dxa"/>
              <w:bottom w:w="0" w:type="dxa"/>
              <w:right w:w="108" w:type="dxa"/>
            </w:tcMar>
            <w:vAlign w:val="center"/>
          </w:tcPr>
          <w:p w14:paraId="4020F8D7" w14:textId="77777777" w:rsidR="00D51392" w:rsidRPr="007C4D65" w:rsidRDefault="00D51392"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t>Improve legal, strategic and institutional frameworks for sustainable management of fish stock</w:t>
            </w:r>
          </w:p>
        </w:tc>
        <w:tc>
          <w:tcPr>
            <w:tcW w:w="1159" w:type="pct"/>
            <w:shd w:val="clear" w:color="auto" w:fill="D9D9D9"/>
            <w:tcMar>
              <w:top w:w="0" w:type="dxa"/>
              <w:left w:w="108" w:type="dxa"/>
              <w:bottom w:w="0" w:type="dxa"/>
              <w:right w:w="108" w:type="dxa"/>
            </w:tcMar>
            <w:vAlign w:val="center"/>
          </w:tcPr>
          <w:p w14:paraId="4BF72440" w14:textId="77777777" w:rsidR="00D51392" w:rsidRPr="007C4D65" w:rsidRDefault="00D51392"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59" w:type="pct"/>
            <w:shd w:val="clear" w:color="auto" w:fill="D9D9D9"/>
            <w:tcMar>
              <w:top w:w="0" w:type="dxa"/>
              <w:left w:w="108" w:type="dxa"/>
              <w:bottom w:w="0" w:type="dxa"/>
              <w:right w:w="108" w:type="dxa"/>
            </w:tcMar>
            <w:vAlign w:val="center"/>
          </w:tcPr>
          <w:p w14:paraId="6336846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tcPr>
          <w:p w14:paraId="3D82B63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065AD72D" w14:textId="77777777" w:rsidTr="00B6017F">
        <w:trPr>
          <w:trHeight w:val="287"/>
        </w:trPr>
        <w:tc>
          <w:tcPr>
            <w:tcW w:w="741" w:type="pct"/>
            <w:vMerge/>
            <w:shd w:val="clear" w:color="auto" w:fill="D9D9D9"/>
            <w:vAlign w:val="center"/>
            <w:hideMark/>
          </w:tcPr>
          <w:p w14:paraId="067DFB3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ign w:val="center"/>
            <w:hideMark/>
          </w:tcPr>
          <w:p w14:paraId="2A1BA528"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019BB525"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a regulatory framework aligned with the EU acquis and international conventions</w:t>
            </w:r>
          </w:p>
        </w:tc>
        <w:tc>
          <w:tcPr>
            <w:tcW w:w="1159" w:type="pct"/>
            <w:tcMar>
              <w:top w:w="0" w:type="dxa"/>
              <w:left w:w="108" w:type="dxa"/>
              <w:bottom w:w="0" w:type="dxa"/>
              <w:right w:w="108" w:type="dxa"/>
            </w:tcMar>
          </w:tcPr>
          <w:p w14:paraId="4D80F61A" w14:textId="716079E1"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Law on freshwater fisheries of Federation of BiH is not fully aligned with the EU acquis and international conventions, and neither is it aligned with the Federation of BiH legislation on water</w:t>
            </w:r>
          </w:p>
        </w:tc>
        <w:tc>
          <w:tcPr>
            <w:tcW w:w="1159" w:type="pct"/>
            <w:tcMar>
              <w:top w:w="0" w:type="dxa"/>
              <w:left w:w="108" w:type="dxa"/>
              <w:bottom w:w="0" w:type="dxa"/>
              <w:right w:w="108" w:type="dxa"/>
            </w:tcMar>
          </w:tcPr>
          <w:p w14:paraId="676E1CFC"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By 2023, the law aligned and secondary legislation (bylaws) on freshwater fisheries developed</w:t>
            </w:r>
          </w:p>
        </w:tc>
      </w:tr>
      <w:tr w:rsidR="00D51392" w:rsidRPr="007C4D65" w14:paraId="09AA3F56" w14:textId="77777777" w:rsidTr="00B6017F">
        <w:trPr>
          <w:trHeight w:val="287"/>
        </w:trPr>
        <w:tc>
          <w:tcPr>
            <w:tcW w:w="741" w:type="pct"/>
            <w:vMerge/>
            <w:shd w:val="clear" w:color="auto" w:fill="D9D9D9"/>
            <w:vAlign w:val="center"/>
          </w:tcPr>
          <w:p w14:paraId="65FD94D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ign w:val="center"/>
          </w:tcPr>
          <w:p w14:paraId="4C43DE7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62BB27D7"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legislation on commercial fishing at sea</w:t>
            </w:r>
          </w:p>
        </w:tc>
        <w:tc>
          <w:tcPr>
            <w:tcW w:w="1159" w:type="pct"/>
            <w:tcMar>
              <w:top w:w="0" w:type="dxa"/>
              <w:left w:w="108" w:type="dxa"/>
              <w:bottom w:w="0" w:type="dxa"/>
              <w:right w:w="108" w:type="dxa"/>
            </w:tcMar>
          </w:tcPr>
          <w:p w14:paraId="40F4596B" w14:textId="1D309FE8"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Federation of BiH does not have a law on commercial fishing at sea</w:t>
            </w:r>
          </w:p>
        </w:tc>
        <w:tc>
          <w:tcPr>
            <w:tcW w:w="1159" w:type="pct"/>
            <w:tcMar>
              <w:top w:w="0" w:type="dxa"/>
              <w:left w:w="108" w:type="dxa"/>
              <w:bottom w:w="0" w:type="dxa"/>
              <w:right w:w="108" w:type="dxa"/>
            </w:tcMar>
          </w:tcPr>
          <w:p w14:paraId="79173070"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By 2023, adopted law and bylaws on commercial fishing at sea, harmonized with the common fisheries policy, commitments under EU Directives, and international agreements</w:t>
            </w:r>
          </w:p>
        </w:tc>
      </w:tr>
      <w:tr w:rsidR="00D51392" w:rsidRPr="007C4D65" w14:paraId="4B7EA6B3" w14:textId="77777777" w:rsidTr="00B6017F">
        <w:trPr>
          <w:trHeight w:val="287"/>
        </w:trPr>
        <w:tc>
          <w:tcPr>
            <w:tcW w:w="741" w:type="pct"/>
            <w:vMerge/>
            <w:shd w:val="clear" w:color="auto" w:fill="D9D9D9"/>
            <w:vAlign w:val="center"/>
          </w:tcPr>
          <w:p w14:paraId="634C8973"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ign w:val="center"/>
          </w:tcPr>
          <w:p w14:paraId="0A41FE5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20C7D362" w14:textId="79B029FD"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a Fisheries Information System</w:t>
            </w:r>
          </w:p>
        </w:tc>
        <w:tc>
          <w:tcPr>
            <w:tcW w:w="1159" w:type="pct"/>
            <w:tcMar>
              <w:top w:w="0" w:type="dxa"/>
              <w:left w:w="108" w:type="dxa"/>
              <w:bottom w:w="0" w:type="dxa"/>
              <w:right w:w="108" w:type="dxa"/>
            </w:tcMar>
          </w:tcPr>
          <w:p w14:paraId="2D0526C7" w14:textId="6D7341CC"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Federation of BiH has not yet established the information system on fisheries</w:t>
            </w:r>
          </w:p>
        </w:tc>
        <w:tc>
          <w:tcPr>
            <w:tcW w:w="1159" w:type="pct"/>
            <w:tcMar>
              <w:top w:w="0" w:type="dxa"/>
              <w:left w:w="108" w:type="dxa"/>
              <w:bottom w:w="0" w:type="dxa"/>
              <w:right w:w="108" w:type="dxa"/>
            </w:tcMar>
          </w:tcPr>
          <w:p w14:paraId="39AD6168" w14:textId="7647CAEA"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By 2030, established a Fishery Information System</w:t>
            </w:r>
          </w:p>
        </w:tc>
      </w:tr>
      <w:tr w:rsidR="00D51392" w:rsidRPr="007C4D65" w14:paraId="4CF01168" w14:textId="77777777" w:rsidTr="00B6017F">
        <w:trPr>
          <w:trHeight w:val="287"/>
        </w:trPr>
        <w:tc>
          <w:tcPr>
            <w:tcW w:w="741" w:type="pct"/>
            <w:vMerge/>
            <w:shd w:val="clear" w:color="auto" w:fill="D9D9D9"/>
            <w:vAlign w:val="center"/>
          </w:tcPr>
          <w:p w14:paraId="54CE0BA6"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ign w:val="center"/>
          </w:tcPr>
          <w:p w14:paraId="7FA1CB5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7D0312AF"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a strategic framework for sustainable development of fishing sector</w:t>
            </w:r>
          </w:p>
        </w:tc>
        <w:tc>
          <w:tcPr>
            <w:tcW w:w="1159" w:type="pct"/>
            <w:tcMar>
              <w:top w:w="0" w:type="dxa"/>
              <w:left w:w="108" w:type="dxa"/>
              <w:bottom w:w="0" w:type="dxa"/>
              <w:right w:w="108" w:type="dxa"/>
            </w:tcMar>
          </w:tcPr>
          <w:p w14:paraId="79F0BF6D" w14:textId="3B406486"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Mid-term agriculture sector development strategy of Federation of BiH 2015‒ 2019 was valid until the end of 2021</w:t>
            </w:r>
          </w:p>
        </w:tc>
        <w:tc>
          <w:tcPr>
            <w:tcW w:w="1159" w:type="pct"/>
            <w:tcMar>
              <w:top w:w="0" w:type="dxa"/>
              <w:left w:w="108" w:type="dxa"/>
              <w:bottom w:w="0" w:type="dxa"/>
              <w:right w:w="108" w:type="dxa"/>
            </w:tcMar>
          </w:tcPr>
          <w:p w14:paraId="23ECC28B"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By 2022, adopt strategic framework for sustainable development of fishing sector</w:t>
            </w:r>
          </w:p>
        </w:tc>
      </w:tr>
      <w:tr w:rsidR="00D51392" w:rsidRPr="007C4D65" w14:paraId="315FA1AE" w14:textId="77777777" w:rsidTr="00B6017F">
        <w:trPr>
          <w:trHeight w:val="287"/>
        </w:trPr>
        <w:tc>
          <w:tcPr>
            <w:tcW w:w="741" w:type="pct"/>
            <w:vMerge/>
            <w:shd w:val="clear" w:color="auto" w:fill="D9D9D9"/>
            <w:vAlign w:val="center"/>
            <w:hideMark/>
          </w:tcPr>
          <w:p w14:paraId="30D8A47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ign w:val="center"/>
            <w:hideMark/>
          </w:tcPr>
          <w:p w14:paraId="022B23D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4C0B573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tcPr>
          <w:p w14:paraId="6A1E67F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tcPr>
          <w:p w14:paraId="2B88924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73DA4D09" w14:textId="77777777" w:rsidTr="00B6017F">
        <w:trPr>
          <w:trHeight w:val="287"/>
        </w:trPr>
        <w:tc>
          <w:tcPr>
            <w:tcW w:w="741" w:type="pct"/>
            <w:vMerge/>
            <w:shd w:val="clear" w:color="auto" w:fill="D9D9D9"/>
            <w:vAlign w:val="center"/>
          </w:tcPr>
          <w:p w14:paraId="3CCA506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ign w:val="center"/>
          </w:tcPr>
          <w:p w14:paraId="387C32A0"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FAEF37A"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0,234</w:t>
            </w:r>
          </w:p>
        </w:tc>
        <w:tc>
          <w:tcPr>
            <w:tcW w:w="1159" w:type="pct"/>
            <w:tcMar>
              <w:top w:w="0" w:type="dxa"/>
              <w:left w:w="108" w:type="dxa"/>
              <w:bottom w:w="0" w:type="dxa"/>
              <w:right w:w="108" w:type="dxa"/>
            </w:tcMar>
            <w:vAlign w:val="center"/>
          </w:tcPr>
          <w:p w14:paraId="45BF5082"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0,410</w:t>
            </w:r>
          </w:p>
        </w:tc>
        <w:tc>
          <w:tcPr>
            <w:tcW w:w="1159" w:type="pct"/>
            <w:tcMar>
              <w:top w:w="0" w:type="dxa"/>
              <w:left w:w="108" w:type="dxa"/>
              <w:bottom w:w="0" w:type="dxa"/>
              <w:right w:w="108" w:type="dxa"/>
            </w:tcMar>
            <w:vAlign w:val="center"/>
          </w:tcPr>
          <w:p w14:paraId="5780661D"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0,645</w:t>
            </w:r>
          </w:p>
        </w:tc>
      </w:tr>
    </w:tbl>
    <w:p w14:paraId="18CA3EB2" w14:textId="77777777" w:rsidR="00D51392" w:rsidRPr="007C4D65" w:rsidRDefault="00D51392" w:rsidP="00D51392">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124"/>
        <w:gridCol w:w="2124"/>
        <w:gridCol w:w="3234"/>
        <w:gridCol w:w="3233"/>
        <w:gridCol w:w="3233"/>
      </w:tblGrid>
      <w:tr w:rsidR="00D51392" w:rsidRPr="007C4D65" w14:paraId="1A748032" w14:textId="77777777" w:rsidTr="00B6017F">
        <w:trPr>
          <w:trHeight w:val="483"/>
        </w:trPr>
        <w:tc>
          <w:tcPr>
            <w:tcW w:w="761" w:type="pct"/>
            <w:vMerge w:val="restart"/>
            <w:shd w:val="clear" w:color="auto" w:fill="D9D9D9"/>
            <w:tcMar>
              <w:top w:w="0" w:type="dxa"/>
              <w:left w:w="108" w:type="dxa"/>
              <w:bottom w:w="0" w:type="dxa"/>
              <w:right w:w="108" w:type="dxa"/>
            </w:tcMar>
            <w:vAlign w:val="center"/>
            <w:hideMark/>
          </w:tcPr>
          <w:p w14:paraId="21D3DFD9"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6.3.1. Measure</w:t>
            </w:r>
          </w:p>
        </w:tc>
        <w:tc>
          <w:tcPr>
            <w:tcW w:w="761" w:type="pct"/>
            <w:vMerge w:val="restart"/>
            <w:tcMar>
              <w:top w:w="0" w:type="dxa"/>
              <w:left w:w="108" w:type="dxa"/>
              <w:bottom w:w="0" w:type="dxa"/>
              <w:right w:w="108" w:type="dxa"/>
            </w:tcMar>
            <w:vAlign w:val="center"/>
          </w:tcPr>
          <w:p w14:paraId="583F4F9D"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sz w:val="18"/>
                <w:szCs w:val="18"/>
              </w:rPr>
              <w:t>Harmonisation of the regulatory framework for fishing with the EU acquis and international conventions</w:t>
            </w:r>
          </w:p>
        </w:tc>
        <w:tc>
          <w:tcPr>
            <w:tcW w:w="1159" w:type="pct"/>
            <w:shd w:val="clear" w:color="auto" w:fill="D9D9D9"/>
            <w:tcMar>
              <w:top w:w="0" w:type="dxa"/>
              <w:left w:w="108" w:type="dxa"/>
              <w:bottom w:w="0" w:type="dxa"/>
              <w:right w:w="108" w:type="dxa"/>
            </w:tcMar>
            <w:vAlign w:val="center"/>
            <w:hideMark/>
          </w:tcPr>
          <w:p w14:paraId="0FDE1454"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55BE894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09A5031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784F55FF" w14:textId="77777777" w:rsidTr="00B6017F">
        <w:trPr>
          <w:trHeight w:val="287"/>
        </w:trPr>
        <w:tc>
          <w:tcPr>
            <w:tcW w:w="761" w:type="pct"/>
            <w:vMerge/>
            <w:shd w:val="clear" w:color="auto" w:fill="D9D9D9"/>
            <w:vAlign w:val="center"/>
          </w:tcPr>
          <w:p w14:paraId="0266B4C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39326CD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5E857A0C"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legal framework on commercial fishing at sea, harmonized with the common fisheries policy, commitments under EU Directives, and international agreements</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67FA1F62" w14:textId="05E1AD94" w:rsidR="00D51392" w:rsidRPr="007C4D65" w:rsidRDefault="00D51392" w:rsidP="005F516C">
            <w:pPr>
              <w:spacing w:before="40" w:after="40" w:line="276" w:lineRule="auto"/>
              <w:rPr>
                <w:rFonts w:asciiTheme="minorHAnsi" w:hAnsiTheme="minorHAnsi" w:cstheme="minorHAnsi"/>
                <w:sz w:val="18"/>
                <w:szCs w:val="18"/>
                <w:lang w:val="hr-HR"/>
              </w:rPr>
            </w:pPr>
            <w:r w:rsidRPr="007C4D65">
              <w:rPr>
                <w:rFonts w:asciiTheme="minorHAnsi" w:hAnsiTheme="minorHAnsi"/>
                <w:sz w:val="18"/>
                <w:szCs w:val="18"/>
              </w:rPr>
              <w:t>Federation of BiH does not have legislation on commercial fishing at sea</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0192D057"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By the end of 2023, adopted Law on commercial fishing at sea, harmonized with the common fishing policy, commitments under EU Directives, and international agreements</w:t>
            </w:r>
          </w:p>
        </w:tc>
      </w:tr>
      <w:tr w:rsidR="00D51392" w:rsidRPr="007C4D65" w14:paraId="5C2357DF" w14:textId="77777777" w:rsidTr="00B6017F">
        <w:trPr>
          <w:trHeight w:val="287"/>
        </w:trPr>
        <w:tc>
          <w:tcPr>
            <w:tcW w:w="761" w:type="pct"/>
            <w:vMerge/>
            <w:shd w:val="clear" w:color="auto" w:fill="D9D9D9"/>
            <w:vAlign w:val="center"/>
          </w:tcPr>
          <w:p w14:paraId="16A300E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0666D7F8"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3277F918"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Existence of the Law on Fresh Water Fishing with the laws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waters and requirements of international conventions and EU directives in the area of fisheries and biodiversity</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3F9BE9CE" w14:textId="3DCCADCE"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The current Law on Fresh Water Fishing is not aligned with the laws </w:t>
            </w:r>
            <w:proofErr w:type="gramStart"/>
            <w:r w:rsidRPr="007C4D65">
              <w:rPr>
                <w:rFonts w:asciiTheme="minorHAnsi" w:hAnsiTheme="minorHAnsi"/>
                <w:sz w:val="18"/>
                <w:szCs w:val="18"/>
              </w:rPr>
              <w:t>in the area of</w:t>
            </w:r>
            <w:proofErr w:type="gramEnd"/>
            <w:r w:rsidRPr="007C4D65">
              <w:rPr>
                <w:rFonts w:asciiTheme="minorHAnsi" w:hAnsiTheme="minorHAnsi"/>
                <w:sz w:val="18"/>
                <w:szCs w:val="18"/>
              </w:rPr>
              <w:t xml:space="preserve"> waters and requirements of international conventions and EU directives in the area of fisheries and biodiversity</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5B6566BD"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By the end of 2023, completed harmonization of the Law on Fresh Water Fishing</w:t>
            </w:r>
          </w:p>
        </w:tc>
      </w:tr>
      <w:tr w:rsidR="00D51392" w:rsidRPr="007C4D65" w14:paraId="2714DB2A" w14:textId="77777777" w:rsidTr="00B6017F">
        <w:trPr>
          <w:trHeight w:val="287"/>
        </w:trPr>
        <w:tc>
          <w:tcPr>
            <w:tcW w:w="761" w:type="pct"/>
            <w:vMerge/>
            <w:shd w:val="clear" w:color="auto" w:fill="D9D9D9"/>
            <w:vAlign w:val="center"/>
          </w:tcPr>
          <w:p w14:paraId="52EEDF7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31002084"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6CEC2F95"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color w:val="000000" w:themeColor="text1"/>
                <w:sz w:val="18"/>
                <w:szCs w:val="18"/>
              </w:rPr>
              <w:t>Existence of a strategic framework for sustainable development of fishing sector</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3BEA59D8" w14:textId="703483A9"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themeColor="text1"/>
                <w:sz w:val="18"/>
                <w:szCs w:val="18"/>
              </w:rPr>
              <w:t xml:space="preserve">Mid-term agriculture sector development strategy of </w:t>
            </w:r>
            <w:r w:rsidR="0058588C" w:rsidRPr="007C4D65">
              <w:rPr>
                <w:rFonts w:asciiTheme="minorHAnsi" w:hAnsiTheme="minorHAnsi"/>
                <w:color w:val="000000" w:themeColor="text1"/>
                <w:sz w:val="18"/>
                <w:szCs w:val="18"/>
              </w:rPr>
              <w:t>Federation of BiH</w:t>
            </w:r>
            <w:r w:rsidRPr="007C4D65">
              <w:rPr>
                <w:rFonts w:asciiTheme="minorHAnsi" w:hAnsiTheme="minorHAnsi"/>
                <w:color w:val="000000" w:themeColor="text1"/>
                <w:sz w:val="18"/>
                <w:szCs w:val="18"/>
              </w:rPr>
              <w:t xml:space="preserve"> 2015‒ 2019 was valid until the end of 2021</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288590E8"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By the end of 2023, adopted Agricultural Sector Development Strategy for the period aligned with the common strategy for fisheries and aquaculture of EU</w:t>
            </w:r>
          </w:p>
        </w:tc>
      </w:tr>
      <w:tr w:rsidR="00D51392" w:rsidRPr="007C4D65" w14:paraId="44F09232" w14:textId="77777777" w:rsidTr="00B6017F">
        <w:trPr>
          <w:trHeight w:val="287"/>
        </w:trPr>
        <w:tc>
          <w:tcPr>
            <w:tcW w:w="761" w:type="pct"/>
            <w:vMerge/>
            <w:shd w:val="clear" w:color="auto" w:fill="D9D9D9"/>
            <w:vAlign w:val="center"/>
          </w:tcPr>
          <w:p w14:paraId="6628ADA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419ABFE0"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68BFD6E7"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fisheries plans aligned with the Strategy for Fisheries and Aquaculture of EU, 0%</w:t>
            </w:r>
          </w:p>
        </w:tc>
        <w:tc>
          <w:tcPr>
            <w:tcW w:w="1159" w:type="pct"/>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22A456A7"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Successive preparation of fisheries management plans in line with the new Law on Fresh Water Fishing</w:t>
            </w:r>
          </w:p>
        </w:tc>
        <w:tc>
          <w:tcPr>
            <w:tcW w:w="1159" w:type="pct"/>
            <w:tcBorders>
              <w:top w:val="single" w:sz="4" w:space="0" w:color="A6A6A6"/>
              <w:left w:val="single" w:sz="4" w:space="0" w:color="A6A6A6"/>
              <w:bottom w:val="single" w:sz="4" w:space="0" w:color="A6A6A6"/>
              <w:right w:val="single" w:sz="4" w:space="0" w:color="A6A6A6"/>
            </w:tcBorders>
            <w:shd w:val="clear" w:color="auto" w:fill="FFFFFF"/>
            <w:vAlign w:val="center"/>
          </w:tcPr>
          <w:p w14:paraId="159D0C61"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By 2031, 100% of fisheries management plans aligned with the Strategy for Fisheries and Aquaculture of EU</w:t>
            </w:r>
          </w:p>
        </w:tc>
      </w:tr>
      <w:tr w:rsidR="00D51392" w:rsidRPr="007C4D65" w14:paraId="3A6C54AE" w14:textId="77777777" w:rsidTr="00B6017F">
        <w:trPr>
          <w:trHeight w:val="483"/>
        </w:trPr>
        <w:tc>
          <w:tcPr>
            <w:tcW w:w="761" w:type="pct"/>
            <w:vMerge/>
            <w:shd w:val="clear" w:color="auto" w:fill="D9D9D9"/>
            <w:vAlign w:val="center"/>
            <w:hideMark/>
          </w:tcPr>
          <w:p w14:paraId="5C256167"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hideMark/>
          </w:tcPr>
          <w:p w14:paraId="2116931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A14ED8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0FE96C00"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08E0FD9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64CD75F5" w14:textId="77777777" w:rsidTr="00B6017F">
        <w:trPr>
          <w:trHeight w:val="287"/>
        </w:trPr>
        <w:tc>
          <w:tcPr>
            <w:tcW w:w="761" w:type="pct"/>
            <w:vMerge/>
            <w:shd w:val="clear" w:color="auto" w:fill="D9D9D9"/>
            <w:vAlign w:val="center"/>
            <w:hideMark/>
          </w:tcPr>
          <w:p w14:paraId="68F9691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hideMark/>
          </w:tcPr>
          <w:p w14:paraId="43421F1A"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AB010AB"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0,058</w:t>
            </w:r>
          </w:p>
        </w:tc>
        <w:tc>
          <w:tcPr>
            <w:tcW w:w="1159" w:type="pct"/>
            <w:tcMar>
              <w:top w:w="0" w:type="dxa"/>
              <w:left w:w="108" w:type="dxa"/>
              <w:bottom w:w="0" w:type="dxa"/>
              <w:right w:w="108" w:type="dxa"/>
            </w:tcMar>
            <w:vAlign w:val="center"/>
          </w:tcPr>
          <w:p w14:paraId="2F7C635D"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9" w:type="pct"/>
            <w:tcMar>
              <w:top w:w="0" w:type="dxa"/>
              <w:left w:w="108" w:type="dxa"/>
              <w:bottom w:w="0" w:type="dxa"/>
              <w:right w:w="108" w:type="dxa"/>
            </w:tcMar>
            <w:vAlign w:val="center"/>
          </w:tcPr>
          <w:p w14:paraId="51FCA832"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0,058</w:t>
            </w:r>
          </w:p>
        </w:tc>
      </w:tr>
      <w:tr w:rsidR="00D51392" w:rsidRPr="007C4D65" w14:paraId="5B6D8F7D" w14:textId="77777777" w:rsidTr="00B6017F">
        <w:trPr>
          <w:trHeight w:val="483"/>
        </w:trPr>
        <w:tc>
          <w:tcPr>
            <w:tcW w:w="761" w:type="pct"/>
            <w:vMerge w:val="restart"/>
            <w:shd w:val="clear" w:color="auto" w:fill="D9D9D9"/>
            <w:tcMar>
              <w:top w:w="0" w:type="dxa"/>
              <w:left w:w="108" w:type="dxa"/>
              <w:bottom w:w="0" w:type="dxa"/>
              <w:right w:w="108" w:type="dxa"/>
            </w:tcMar>
            <w:vAlign w:val="center"/>
            <w:hideMark/>
          </w:tcPr>
          <w:p w14:paraId="39331225"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6.3.2. Measure</w:t>
            </w:r>
          </w:p>
        </w:tc>
        <w:tc>
          <w:tcPr>
            <w:tcW w:w="761" w:type="pct"/>
            <w:vMerge w:val="restart"/>
            <w:tcMar>
              <w:top w:w="0" w:type="dxa"/>
              <w:left w:w="108" w:type="dxa"/>
              <w:bottom w:w="0" w:type="dxa"/>
              <w:right w:w="108" w:type="dxa"/>
            </w:tcMar>
            <w:vAlign w:val="center"/>
          </w:tcPr>
          <w:p w14:paraId="774BDC9F"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sz w:val="18"/>
                <w:szCs w:val="18"/>
              </w:rPr>
              <w:t>Establishing an information system on fisheries and statistical reporting on fish farming</w:t>
            </w:r>
          </w:p>
        </w:tc>
        <w:tc>
          <w:tcPr>
            <w:tcW w:w="1159" w:type="pct"/>
            <w:shd w:val="clear" w:color="auto" w:fill="D9D9D9"/>
            <w:tcMar>
              <w:top w:w="0" w:type="dxa"/>
              <w:left w:w="108" w:type="dxa"/>
              <w:bottom w:w="0" w:type="dxa"/>
              <w:right w:w="108" w:type="dxa"/>
            </w:tcMar>
            <w:vAlign w:val="center"/>
            <w:hideMark/>
          </w:tcPr>
          <w:p w14:paraId="345BAF0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3C5695B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60BA0563"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61151AA2" w14:textId="77777777" w:rsidTr="00B6017F">
        <w:trPr>
          <w:trHeight w:val="287"/>
        </w:trPr>
        <w:tc>
          <w:tcPr>
            <w:tcW w:w="761" w:type="pct"/>
            <w:vMerge/>
            <w:shd w:val="clear" w:color="auto" w:fill="D9D9D9"/>
            <w:vAlign w:val="center"/>
          </w:tcPr>
          <w:p w14:paraId="1526972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0481D731"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429175F"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a registry of vessels and permits for commercial marine fishing and mariculture</w:t>
            </w:r>
          </w:p>
        </w:tc>
        <w:tc>
          <w:tcPr>
            <w:tcW w:w="1159" w:type="pct"/>
            <w:shd w:val="clear" w:color="auto" w:fill="FFFFFF"/>
            <w:tcMar>
              <w:top w:w="0" w:type="dxa"/>
              <w:left w:w="108" w:type="dxa"/>
              <w:bottom w:w="0" w:type="dxa"/>
              <w:right w:w="108" w:type="dxa"/>
            </w:tcMar>
            <w:vAlign w:val="center"/>
          </w:tcPr>
          <w:p w14:paraId="37723D34" w14:textId="29ABE3B5"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Federation of BiH does not have an established registry of vessels and permits for marine commercial fishing and mariculture</w:t>
            </w:r>
          </w:p>
        </w:tc>
        <w:tc>
          <w:tcPr>
            <w:tcW w:w="1159" w:type="pct"/>
            <w:shd w:val="clear" w:color="auto" w:fill="FFFFFF"/>
            <w:vAlign w:val="center"/>
          </w:tcPr>
          <w:p w14:paraId="34A2B561"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By 2025, developed registry of vessels and permits for marine commercial fishing and mariculture</w:t>
            </w:r>
          </w:p>
        </w:tc>
      </w:tr>
      <w:tr w:rsidR="00D51392" w:rsidRPr="007C4D65" w14:paraId="2CD2372C" w14:textId="77777777" w:rsidTr="00B6017F">
        <w:trPr>
          <w:trHeight w:val="287"/>
        </w:trPr>
        <w:tc>
          <w:tcPr>
            <w:tcW w:w="761" w:type="pct"/>
            <w:vMerge/>
            <w:shd w:val="clear" w:color="auto" w:fill="D9D9D9"/>
            <w:vAlign w:val="center"/>
          </w:tcPr>
          <w:p w14:paraId="01ABB53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3354865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CB31672"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Existence of a system for issuing permits. </w:t>
            </w:r>
          </w:p>
        </w:tc>
        <w:tc>
          <w:tcPr>
            <w:tcW w:w="1159" w:type="pct"/>
            <w:shd w:val="clear" w:color="auto" w:fill="FFFFFF"/>
            <w:tcMar>
              <w:top w:w="0" w:type="dxa"/>
              <w:left w:w="108" w:type="dxa"/>
              <w:bottom w:w="0" w:type="dxa"/>
              <w:right w:w="108" w:type="dxa"/>
            </w:tcMar>
            <w:vAlign w:val="center"/>
          </w:tcPr>
          <w:p w14:paraId="0D70E58A"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Federation of BiH has not established a system for issuing the permits for commercial marine fishing.</w:t>
            </w:r>
          </w:p>
        </w:tc>
        <w:tc>
          <w:tcPr>
            <w:tcW w:w="1159" w:type="pct"/>
            <w:shd w:val="clear" w:color="auto" w:fill="FFFFFF"/>
            <w:vAlign w:val="center"/>
          </w:tcPr>
          <w:p w14:paraId="3F22959B"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 xml:space="preserve">By 2025, established system for issuing the permits </w:t>
            </w:r>
          </w:p>
        </w:tc>
      </w:tr>
      <w:tr w:rsidR="00D51392" w:rsidRPr="007C4D65" w14:paraId="37775D21" w14:textId="77777777" w:rsidTr="00B6017F">
        <w:trPr>
          <w:trHeight w:val="287"/>
        </w:trPr>
        <w:tc>
          <w:tcPr>
            <w:tcW w:w="761" w:type="pct"/>
            <w:vMerge/>
            <w:shd w:val="clear" w:color="auto" w:fill="D9D9D9"/>
            <w:vAlign w:val="center"/>
          </w:tcPr>
          <w:p w14:paraId="179B60F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3EE480C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F2C6AD1" w14:textId="424B4D3A"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a system for recording and reporting on fishing activities and landing the catch</w:t>
            </w:r>
          </w:p>
        </w:tc>
        <w:tc>
          <w:tcPr>
            <w:tcW w:w="1159" w:type="pct"/>
            <w:shd w:val="clear" w:color="auto" w:fill="FFFFFF"/>
            <w:tcMar>
              <w:top w:w="0" w:type="dxa"/>
              <w:left w:w="108" w:type="dxa"/>
              <w:bottom w:w="0" w:type="dxa"/>
              <w:right w:w="108" w:type="dxa"/>
            </w:tcMar>
            <w:vAlign w:val="center"/>
          </w:tcPr>
          <w:p w14:paraId="460AB3AF" w14:textId="5DDE85EE"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Federation of BiH has not stablished a system for recording and reporting on fishing activities and landing the catch</w:t>
            </w:r>
          </w:p>
        </w:tc>
        <w:tc>
          <w:tcPr>
            <w:tcW w:w="1159" w:type="pct"/>
            <w:shd w:val="clear" w:color="auto" w:fill="FFFFFF"/>
            <w:vAlign w:val="center"/>
          </w:tcPr>
          <w:p w14:paraId="239C1FA9"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 xml:space="preserve">By 2025, established system for registering and reporting on fishing activities and landing the catch </w:t>
            </w:r>
          </w:p>
        </w:tc>
      </w:tr>
      <w:tr w:rsidR="00D51392" w:rsidRPr="007C4D65" w14:paraId="2DC6F720" w14:textId="77777777" w:rsidTr="00B6017F">
        <w:trPr>
          <w:trHeight w:val="287"/>
        </w:trPr>
        <w:tc>
          <w:tcPr>
            <w:tcW w:w="761" w:type="pct"/>
            <w:vMerge/>
            <w:shd w:val="clear" w:color="auto" w:fill="D9D9D9"/>
            <w:vAlign w:val="center"/>
          </w:tcPr>
          <w:p w14:paraId="793C807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tcPr>
          <w:p w14:paraId="21187DDE"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3A16937"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Existence of a model of statistical monitoring of marine and </w:t>
            </w:r>
            <w:proofErr w:type="gramStart"/>
            <w:r w:rsidRPr="007C4D65">
              <w:rPr>
                <w:rFonts w:asciiTheme="minorHAnsi" w:hAnsiTheme="minorHAnsi"/>
                <w:sz w:val="18"/>
                <w:szCs w:val="18"/>
              </w:rPr>
              <w:t>fresh water</w:t>
            </w:r>
            <w:proofErr w:type="gramEnd"/>
            <w:r w:rsidRPr="007C4D65">
              <w:rPr>
                <w:rFonts w:asciiTheme="minorHAnsi" w:hAnsiTheme="minorHAnsi"/>
                <w:sz w:val="18"/>
                <w:szCs w:val="18"/>
              </w:rPr>
              <w:t xml:space="preserve"> fish farms in accordance with the adopted methodology for BiH</w:t>
            </w:r>
          </w:p>
        </w:tc>
        <w:tc>
          <w:tcPr>
            <w:tcW w:w="1159" w:type="pct"/>
            <w:shd w:val="clear" w:color="auto" w:fill="FFFFFF"/>
            <w:tcMar>
              <w:top w:w="0" w:type="dxa"/>
              <w:left w:w="108" w:type="dxa"/>
              <w:bottom w:w="0" w:type="dxa"/>
              <w:right w:w="108" w:type="dxa"/>
            </w:tcMar>
            <w:vAlign w:val="center"/>
          </w:tcPr>
          <w:p w14:paraId="224E4C55" w14:textId="3CC4EFD3"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Federation of BiH has not established a model of statistical reporting on marine and </w:t>
            </w:r>
            <w:proofErr w:type="gramStart"/>
            <w:r w:rsidRPr="007C4D65">
              <w:rPr>
                <w:rFonts w:asciiTheme="minorHAnsi" w:hAnsiTheme="minorHAnsi"/>
                <w:sz w:val="18"/>
                <w:szCs w:val="18"/>
              </w:rPr>
              <w:t>fresh water</w:t>
            </w:r>
            <w:proofErr w:type="gramEnd"/>
            <w:r w:rsidRPr="007C4D65">
              <w:rPr>
                <w:rFonts w:asciiTheme="minorHAnsi" w:hAnsiTheme="minorHAnsi"/>
                <w:sz w:val="18"/>
                <w:szCs w:val="18"/>
              </w:rPr>
              <w:t xml:space="preserve"> fish farms</w:t>
            </w:r>
          </w:p>
        </w:tc>
        <w:tc>
          <w:tcPr>
            <w:tcW w:w="1159" w:type="pct"/>
            <w:shd w:val="clear" w:color="auto" w:fill="FFFFFF"/>
            <w:vAlign w:val="center"/>
          </w:tcPr>
          <w:p w14:paraId="30D31B31" w14:textId="6A314EDC"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 xml:space="preserve">By 2025, established model of statistical reporting on marine and </w:t>
            </w:r>
            <w:proofErr w:type="gramStart"/>
            <w:r w:rsidRPr="007C4D65">
              <w:rPr>
                <w:rFonts w:asciiTheme="minorHAnsi" w:hAnsiTheme="minorHAnsi"/>
                <w:sz w:val="18"/>
                <w:szCs w:val="18"/>
              </w:rPr>
              <w:t>fresh water</w:t>
            </w:r>
            <w:proofErr w:type="gramEnd"/>
            <w:r w:rsidRPr="007C4D65">
              <w:rPr>
                <w:rFonts w:asciiTheme="minorHAnsi" w:hAnsiTheme="minorHAnsi"/>
                <w:sz w:val="18"/>
                <w:szCs w:val="18"/>
              </w:rPr>
              <w:t xml:space="preserve"> fish farms</w:t>
            </w:r>
          </w:p>
        </w:tc>
      </w:tr>
      <w:tr w:rsidR="00D51392" w:rsidRPr="007C4D65" w14:paraId="4AB004A5" w14:textId="77777777" w:rsidTr="00B6017F">
        <w:trPr>
          <w:trHeight w:val="483"/>
        </w:trPr>
        <w:tc>
          <w:tcPr>
            <w:tcW w:w="761" w:type="pct"/>
            <w:vMerge/>
            <w:shd w:val="clear" w:color="auto" w:fill="D9D9D9"/>
            <w:vAlign w:val="center"/>
            <w:hideMark/>
          </w:tcPr>
          <w:p w14:paraId="450355A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hideMark/>
          </w:tcPr>
          <w:p w14:paraId="2BFA998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47E0950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0DC2F8B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0BCCCBB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433B2B9B" w14:textId="77777777" w:rsidTr="00B6017F">
        <w:trPr>
          <w:trHeight w:val="287"/>
        </w:trPr>
        <w:tc>
          <w:tcPr>
            <w:tcW w:w="761" w:type="pct"/>
            <w:vMerge/>
            <w:shd w:val="clear" w:color="auto" w:fill="D9D9D9"/>
            <w:vAlign w:val="center"/>
            <w:hideMark/>
          </w:tcPr>
          <w:p w14:paraId="5DAF0DA0"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61" w:type="pct"/>
            <w:vMerge/>
            <w:vAlign w:val="center"/>
            <w:hideMark/>
          </w:tcPr>
          <w:p w14:paraId="1FAA8B3E"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CAC9460"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0,176</w:t>
            </w:r>
          </w:p>
        </w:tc>
        <w:tc>
          <w:tcPr>
            <w:tcW w:w="1159" w:type="pct"/>
            <w:tcMar>
              <w:top w:w="0" w:type="dxa"/>
              <w:left w:w="108" w:type="dxa"/>
              <w:bottom w:w="0" w:type="dxa"/>
              <w:right w:w="108" w:type="dxa"/>
            </w:tcMar>
            <w:vAlign w:val="center"/>
          </w:tcPr>
          <w:p w14:paraId="33C51253"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0,410</w:t>
            </w:r>
          </w:p>
        </w:tc>
        <w:tc>
          <w:tcPr>
            <w:tcW w:w="1159" w:type="pct"/>
            <w:tcMar>
              <w:top w:w="0" w:type="dxa"/>
              <w:left w:w="108" w:type="dxa"/>
              <w:bottom w:w="0" w:type="dxa"/>
              <w:right w:w="108" w:type="dxa"/>
            </w:tcMar>
            <w:vAlign w:val="center"/>
          </w:tcPr>
          <w:p w14:paraId="2A5CBFEA"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0,586</w:t>
            </w:r>
          </w:p>
        </w:tc>
      </w:tr>
    </w:tbl>
    <w:p w14:paraId="5004AA9B" w14:textId="77777777" w:rsidR="00D51392" w:rsidRPr="007C4D65" w:rsidRDefault="00D51392" w:rsidP="00D51392">
      <w:pPr>
        <w:spacing w:line="276" w:lineRule="auto"/>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2068"/>
        <w:gridCol w:w="2181"/>
        <w:gridCol w:w="3233"/>
        <w:gridCol w:w="3233"/>
        <w:gridCol w:w="3233"/>
      </w:tblGrid>
      <w:tr w:rsidR="00D51392" w:rsidRPr="007C4D65" w14:paraId="203EF870" w14:textId="77777777" w:rsidTr="00B6017F">
        <w:trPr>
          <w:trHeight w:val="384"/>
        </w:trPr>
        <w:tc>
          <w:tcPr>
            <w:tcW w:w="741" w:type="pct"/>
            <w:vMerge w:val="restart"/>
            <w:shd w:val="clear" w:color="auto" w:fill="D9D9D9"/>
            <w:tcMar>
              <w:top w:w="0" w:type="dxa"/>
              <w:left w:w="108" w:type="dxa"/>
              <w:bottom w:w="0" w:type="dxa"/>
              <w:right w:w="108" w:type="dxa"/>
            </w:tcMar>
            <w:vAlign w:val="center"/>
          </w:tcPr>
          <w:p w14:paraId="5E11D938"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6.4. Priority</w:t>
            </w:r>
          </w:p>
          <w:p w14:paraId="6DC71C2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restart"/>
            <w:tcMar>
              <w:top w:w="0" w:type="dxa"/>
              <w:left w:w="108" w:type="dxa"/>
              <w:bottom w:w="0" w:type="dxa"/>
              <w:right w:w="108" w:type="dxa"/>
            </w:tcMar>
            <w:vAlign w:val="center"/>
          </w:tcPr>
          <w:p w14:paraId="0A90B43B" w14:textId="77777777" w:rsidR="00D51392" w:rsidRPr="007C4D65" w:rsidRDefault="00D51392" w:rsidP="00B6017F">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b/>
                <w:sz w:val="18"/>
                <w:szCs w:val="18"/>
              </w:rPr>
              <w:t>Establish integrated and sustainable management of land resources</w:t>
            </w:r>
          </w:p>
        </w:tc>
        <w:tc>
          <w:tcPr>
            <w:tcW w:w="1159" w:type="pct"/>
            <w:shd w:val="clear" w:color="auto" w:fill="D9D9D9"/>
            <w:tcMar>
              <w:top w:w="0" w:type="dxa"/>
              <w:left w:w="108" w:type="dxa"/>
              <w:bottom w:w="0" w:type="dxa"/>
              <w:right w:w="108" w:type="dxa"/>
            </w:tcMar>
            <w:vAlign w:val="center"/>
          </w:tcPr>
          <w:p w14:paraId="6C5EF2CE" w14:textId="77777777" w:rsidR="00D51392" w:rsidRPr="007C4D65" w:rsidRDefault="00D51392"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59" w:type="pct"/>
            <w:shd w:val="clear" w:color="auto" w:fill="D9D9D9"/>
            <w:tcMar>
              <w:top w:w="0" w:type="dxa"/>
              <w:left w:w="108" w:type="dxa"/>
              <w:bottom w:w="0" w:type="dxa"/>
              <w:right w:w="108" w:type="dxa"/>
            </w:tcMar>
            <w:vAlign w:val="center"/>
          </w:tcPr>
          <w:p w14:paraId="1195AB9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tcPr>
          <w:p w14:paraId="35E4A94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28DB3704" w14:textId="77777777" w:rsidTr="00B6017F">
        <w:trPr>
          <w:trHeight w:val="287"/>
        </w:trPr>
        <w:tc>
          <w:tcPr>
            <w:tcW w:w="741" w:type="pct"/>
            <w:vMerge/>
            <w:shd w:val="clear" w:color="auto" w:fill="D9D9D9"/>
            <w:vAlign w:val="center"/>
            <w:hideMark/>
          </w:tcPr>
          <w:p w14:paraId="2ACDACE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ign w:val="center"/>
            <w:hideMark/>
          </w:tcPr>
          <w:p w14:paraId="2F6E7641"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BBB63C5"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legal and strategic framework for comprehensive protection of land</w:t>
            </w:r>
          </w:p>
        </w:tc>
        <w:tc>
          <w:tcPr>
            <w:tcW w:w="1159" w:type="pct"/>
            <w:tcMar>
              <w:top w:w="0" w:type="dxa"/>
              <w:left w:w="108" w:type="dxa"/>
              <w:bottom w:w="0" w:type="dxa"/>
              <w:right w:w="108" w:type="dxa"/>
            </w:tcMar>
          </w:tcPr>
          <w:p w14:paraId="1EEF5356" w14:textId="00AB4CA1"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 the Federation of BiH, land is protected by various legislation, depending on the type of land: laws on agriculture, forestry, spatial planning and construction. There is no comprehensive legislative framework that would provide for protection of land as a whole</w:t>
            </w:r>
          </w:p>
        </w:tc>
        <w:tc>
          <w:tcPr>
            <w:tcW w:w="1159" w:type="pct"/>
            <w:tcMar>
              <w:top w:w="0" w:type="dxa"/>
              <w:left w:w="108" w:type="dxa"/>
              <w:bottom w:w="0" w:type="dxa"/>
              <w:right w:w="108" w:type="dxa"/>
            </w:tcMar>
          </w:tcPr>
          <w:p w14:paraId="5E5CCAC1"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By 2025, adopted Law on Protection of Land and relevant secondary legislation (bylaws), as well as the Strategy for Sustainable Use of Land</w:t>
            </w:r>
          </w:p>
        </w:tc>
      </w:tr>
      <w:tr w:rsidR="00D51392" w:rsidRPr="007C4D65" w14:paraId="1557AE87" w14:textId="77777777" w:rsidTr="00B6017F">
        <w:trPr>
          <w:trHeight w:val="287"/>
        </w:trPr>
        <w:tc>
          <w:tcPr>
            <w:tcW w:w="741" w:type="pct"/>
            <w:vMerge/>
            <w:shd w:val="clear" w:color="auto" w:fill="D9D9D9"/>
            <w:vAlign w:val="center"/>
          </w:tcPr>
          <w:p w14:paraId="7CDA535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ign w:val="center"/>
          </w:tcPr>
          <w:p w14:paraId="5EBB337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4EB29C45"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methods, measures and indicators for sustainable management and protection of land resources</w:t>
            </w:r>
          </w:p>
        </w:tc>
        <w:tc>
          <w:tcPr>
            <w:tcW w:w="1159" w:type="pct"/>
            <w:tcMar>
              <w:top w:w="0" w:type="dxa"/>
              <w:left w:w="108" w:type="dxa"/>
              <w:bottom w:w="0" w:type="dxa"/>
              <w:right w:w="108" w:type="dxa"/>
            </w:tcMar>
          </w:tcPr>
          <w:p w14:paraId="3521F1D0" w14:textId="46A775E2"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 Federation of BiH, there is no framework in place for monitoring land management sustainability</w:t>
            </w:r>
          </w:p>
        </w:tc>
        <w:tc>
          <w:tcPr>
            <w:tcW w:w="1159" w:type="pct"/>
            <w:tcMar>
              <w:top w:w="0" w:type="dxa"/>
              <w:left w:w="108" w:type="dxa"/>
              <w:bottom w:w="0" w:type="dxa"/>
              <w:right w:w="108" w:type="dxa"/>
            </w:tcMar>
          </w:tcPr>
          <w:p w14:paraId="72467DDE"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By 2025, adopted methods, measures and indicators for sustainable management and protection of land resources</w:t>
            </w:r>
          </w:p>
        </w:tc>
      </w:tr>
      <w:tr w:rsidR="00D51392" w:rsidRPr="007C4D65" w14:paraId="5CA0E3EC" w14:textId="77777777" w:rsidTr="00B6017F">
        <w:trPr>
          <w:trHeight w:val="287"/>
        </w:trPr>
        <w:tc>
          <w:tcPr>
            <w:tcW w:w="741" w:type="pct"/>
            <w:vMerge/>
            <w:shd w:val="clear" w:color="auto" w:fill="D9D9D9"/>
            <w:vAlign w:val="center"/>
          </w:tcPr>
          <w:p w14:paraId="5FCF34B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ign w:val="center"/>
          </w:tcPr>
          <w:p w14:paraId="2B25B80E"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6112C2AE"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Existence of land monitoring </w:t>
            </w:r>
          </w:p>
        </w:tc>
        <w:tc>
          <w:tcPr>
            <w:tcW w:w="1159" w:type="pct"/>
            <w:tcMar>
              <w:top w:w="0" w:type="dxa"/>
              <w:left w:w="108" w:type="dxa"/>
              <w:bottom w:w="0" w:type="dxa"/>
              <w:right w:w="108" w:type="dxa"/>
            </w:tcMar>
          </w:tcPr>
          <w:p w14:paraId="27C385FF"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Federation of BiH has partially established monitoring system for agricultural land quality</w:t>
            </w:r>
          </w:p>
        </w:tc>
        <w:tc>
          <w:tcPr>
            <w:tcW w:w="1159" w:type="pct"/>
            <w:tcMar>
              <w:top w:w="0" w:type="dxa"/>
              <w:left w:w="108" w:type="dxa"/>
              <w:bottom w:w="0" w:type="dxa"/>
              <w:right w:w="108" w:type="dxa"/>
            </w:tcMar>
          </w:tcPr>
          <w:p w14:paraId="12F859FC"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By 2027, established complete framework for land monitoring</w:t>
            </w:r>
          </w:p>
        </w:tc>
      </w:tr>
      <w:tr w:rsidR="00D51392" w:rsidRPr="007C4D65" w14:paraId="0345461B" w14:textId="77777777" w:rsidTr="00B6017F">
        <w:trPr>
          <w:trHeight w:val="287"/>
        </w:trPr>
        <w:tc>
          <w:tcPr>
            <w:tcW w:w="741" w:type="pct"/>
            <w:vMerge/>
            <w:shd w:val="clear" w:color="auto" w:fill="D9D9D9"/>
            <w:vAlign w:val="center"/>
          </w:tcPr>
          <w:p w14:paraId="2354CA99"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ign w:val="center"/>
          </w:tcPr>
          <w:p w14:paraId="06ED1EB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51BFD866"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Area of rehabilitated degraded land (ha)</w:t>
            </w:r>
          </w:p>
        </w:tc>
        <w:tc>
          <w:tcPr>
            <w:tcW w:w="1159" w:type="pct"/>
            <w:tcMar>
              <w:top w:w="0" w:type="dxa"/>
              <w:left w:w="108" w:type="dxa"/>
              <w:bottom w:w="0" w:type="dxa"/>
              <w:right w:w="108" w:type="dxa"/>
            </w:tcMar>
          </w:tcPr>
          <w:p w14:paraId="47DDA84E" w14:textId="50F889A2"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Federation of BiH has not had any significant plans or programmes to rehabilitate the degraded land, except for the projects of re-cultivation in mining sector and TPP. For the purposes of this Strategy, the baseline value shall </w:t>
            </w:r>
            <w:proofErr w:type="gramStart"/>
            <w:r w:rsidRPr="007C4D65">
              <w:rPr>
                <w:rFonts w:asciiTheme="minorHAnsi" w:hAnsiTheme="minorHAnsi"/>
                <w:sz w:val="18"/>
                <w:szCs w:val="18"/>
              </w:rPr>
              <w:t>be considered to be</w:t>
            </w:r>
            <w:proofErr w:type="gramEnd"/>
            <w:r w:rsidRPr="007C4D65">
              <w:rPr>
                <w:rFonts w:asciiTheme="minorHAnsi" w:hAnsiTheme="minorHAnsi"/>
                <w:sz w:val="18"/>
                <w:szCs w:val="18"/>
              </w:rPr>
              <w:t xml:space="preserve"> 0 ha</w:t>
            </w:r>
          </w:p>
        </w:tc>
        <w:tc>
          <w:tcPr>
            <w:tcW w:w="1159" w:type="pct"/>
            <w:tcMar>
              <w:top w:w="0" w:type="dxa"/>
              <w:left w:w="108" w:type="dxa"/>
              <w:bottom w:w="0" w:type="dxa"/>
              <w:right w:w="108" w:type="dxa"/>
            </w:tcMar>
          </w:tcPr>
          <w:p w14:paraId="1D8E9DB7"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Carried out rehabilitation of degraded land area (approximately 3500 ha)</w:t>
            </w:r>
          </w:p>
        </w:tc>
      </w:tr>
      <w:tr w:rsidR="00D51392" w:rsidRPr="007C4D65" w14:paraId="2D304282" w14:textId="77777777" w:rsidTr="00B6017F">
        <w:trPr>
          <w:trHeight w:val="287"/>
        </w:trPr>
        <w:tc>
          <w:tcPr>
            <w:tcW w:w="741" w:type="pct"/>
            <w:vMerge/>
            <w:shd w:val="clear" w:color="auto" w:fill="D9D9D9"/>
            <w:vAlign w:val="center"/>
          </w:tcPr>
          <w:p w14:paraId="139F3E5F"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ign w:val="center"/>
          </w:tcPr>
          <w:p w14:paraId="5F287DB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2F6B6644"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Land mines</w:t>
            </w:r>
          </w:p>
        </w:tc>
        <w:tc>
          <w:tcPr>
            <w:tcW w:w="1159" w:type="pct"/>
            <w:tcMar>
              <w:top w:w="0" w:type="dxa"/>
              <w:left w:w="108" w:type="dxa"/>
              <w:bottom w:w="0" w:type="dxa"/>
              <w:right w:w="108" w:type="dxa"/>
            </w:tcMar>
          </w:tcPr>
          <w:p w14:paraId="463F0C8E" w14:textId="77777777"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 2020, 966m</w:t>
            </w:r>
            <w:r w:rsidRPr="007C4D65">
              <w:rPr>
                <w:rFonts w:asciiTheme="minorHAnsi" w:hAnsiTheme="minorHAnsi"/>
                <w:sz w:val="18"/>
                <w:szCs w:val="18"/>
                <w:vertAlign w:val="superscript"/>
              </w:rPr>
              <w:t>2</w:t>
            </w:r>
            <w:r w:rsidRPr="007C4D65">
              <w:rPr>
                <w:rFonts w:asciiTheme="minorHAnsi" w:hAnsiTheme="minorHAnsi"/>
                <w:sz w:val="18"/>
                <w:szCs w:val="18"/>
              </w:rPr>
              <w:t xml:space="preserve"> of area in Federation of BiH was found to be polluted by land mines</w:t>
            </w:r>
          </w:p>
        </w:tc>
        <w:tc>
          <w:tcPr>
            <w:tcW w:w="1159" w:type="pct"/>
            <w:tcMar>
              <w:top w:w="0" w:type="dxa"/>
              <w:left w:w="108" w:type="dxa"/>
              <w:bottom w:w="0" w:type="dxa"/>
              <w:right w:w="108" w:type="dxa"/>
            </w:tcMar>
          </w:tcPr>
          <w:p w14:paraId="7BD172DB" w14:textId="69C4EFA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Complete demining of 100% of land by 2030</w:t>
            </w:r>
          </w:p>
        </w:tc>
      </w:tr>
      <w:tr w:rsidR="00D51392" w:rsidRPr="007C4D65" w14:paraId="44181F19" w14:textId="77777777" w:rsidTr="00B6017F">
        <w:trPr>
          <w:trHeight w:val="287"/>
        </w:trPr>
        <w:tc>
          <w:tcPr>
            <w:tcW w:w="741" w:type="pct"/>
            <w:vMerge/>
            <w:shd w:val="clear" w:color="auto" w:fill="D9D9D9"/>
            <w:vAlign w:val="center"/>
            <w:hideMark/>
          </w:tcPr>
          <w:p w14:paraId="2F742DF3"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ign w:val="center"/>
            <w:hideMark/>
          </w:tcPr>
          <w:p w14:paraId="17138A0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63A25A8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tcPr>
          <w:p w14:paraId="6678954F"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tcPr>
          <w:p w14:paraId="3B04D97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28152E0F" w14:textId="77777777" w:rsidTr="00B6017F">
        <w:trPr>
          <w:trHeight w:val="287"/>
        </w:trPr>
        <w:tc>
          <w:tcPr>
            <w:tcW w:w="741" w:type="pct"/>
            <w:vMerge/>
            <w:shd w:val="clear" w:color="auto" w:fill="D9D9D9"/>
            <w:vAlign w:val="center"/>
          </w:tcPr>
          <w:p w14:paraId="6C6DCCA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782" w:type="pct"/>
            <w:vMerge/>
            <w:vAlign w:val="center"/>
          </w:tcPr>
          <w:p w14:paraId="4B5058CA"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46B13A0"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334,1</w:t>
            </w:r>
          </w:p>
        </w:tc>
        <w:tc>
          <w:tcPr>
            <w:tcW w:w="1159" w:type="pct"/>
            <w:tcMar>
              <w:top w:w="0" w:type="dxa"/>
              <w:left w:w="108" w:type="dxa"/>
              <w:bottom w:w="0" w:type="dxa"/>
              <w:right w:w="108" w:type="dxa"/>
            </w:tcMar>
            <w:vAlign w:val="center"/>
          </w:tcPr>
          <w:p w14:paraId="7ADCBD95"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3000,8</w:t>
            </w:r>
          </w:p>
        </w:tc>
        <w:tc>
          <w:tcPr>
            <w:tcW w:w="1159" w:type="pct"/>
            <w:tcMar>
              <w:top w:w="0" w:type="dxa"/>
              <w:left w:w="108" w:type="dxa"/>
              <w:bottom w:w="0" w:type="dxa"/>
              <w:right w:w="108" w:type="dxa"/>
            </w:tcMar>
            <w:vAlign w:val="center"/>
          </w:tcPr>
          <w:p w14:paraId="016202E1"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3335</w:t>
            </w:r>
          </w:p>
        </w:tc>
      </w:tr>
    </w:tbl>
    <w:p w14:paraId="4F94B164" w14:textId="77777777" w:rsidR="00D51392" w:rsidRPr="007C4D65" w:rsidRDefault="00D51392" w:rsidP="00D51392">
      <w:pPr>
        <w:spacing w:line="276" w:lineRule="auto"/>
        <w:jc w:val="both"/>
        <w:rPr>
          <w:rFonts w:asciiTheme="minorHAnsi" w:hAnsiTheme="minorHAnsi" w:cstheme="minorHAnsi"/>
          <w:sz w:val="18"/>
          <w:szCs w:val="18"/>
          <w:lang w:val="hr-HR"/>
        </w:rPr>
      </w:pPr>
    </w:p>
    <w:tbl>
      <w:tblPr>
        <w:tblW w:w="4980" w:type="pct"/>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989"/>
        <w:gridCol w:w="2267"/>
        <w:gridCol w:w="3212"/>
        <w:gridCol w:w="3212"/>
        <w:gridCol w:w="3212"/>
      </w:tblGrid>
      <w:tr w:rsidR="00D51392" w:rsidRPr="007C4D65" w14:paraId="08CCBC6F" w14:textId="77777777" w:rsidTr="00B6017F">
        <w:trPr>
          <w:trHeight w:val="483"/>
        </w:trPr>
        <w:tc>
          <w:tcPr>
            <w:tcW w:w="716" w:type="pct"/>
            <w:vMerge w:val="restart"/>
            <w:shd w:val="clear" w:color="auto" w:fill="D9D9D9"/>
            <w:tcMar>
              <w:top w:w="0" w:type="dxa"/>
              <w:left w:w="108" w:type="dxa"/>
              <w:bottom w:w="0" w:type="dxa"/>
              <w:right w:w="108" w:type="dxa"/>
            </w:tcMar>
            <w:vAlign w:val="center"/>
            <w:hideMark/>
          </w:tcPr>
          <w:p w14:paraId="16663AA9"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6.4.1. Measure</w:t>
            </w:r>
          </w:p>
        </w:tc>
        <w:tc>
          <w:tcPr>
            <w:tcW w:w="816" w:type="pct"/>
            <w:vMerge w:val="restart"/>
            <w:tcMar>
              <w:top w:w="0" w:type="dxa"/>
              <w:left w:w="108" w:type="dxa"/>
              <w:bottom w:w="0" w:type="dxa"/>
              <w:right w:w="108" w:type="dxa"/>
            </w:tcMar>
            <w:vAlign w:val="center"/>
          </w:tcPr>
          <w:p w14:paraId="6AE521C9"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color w:val="000000"/>
                <w:sz w:val="18"/>
                <w:szCs w:val="18"/>
              </w:rPr>
              <w:t>Provide legal and strategic framework for comprehensive protection of land</w:t>
            </w:r>
          </w:p>
        </w:tc>
        <w:tc>
          <w:tcPr>
            <w:tcW w:w="1156" w:type="pct"/>
            <w:shd w:val="clear" w:color="auto" w:fill="D9D9D9"/>
            <w:tcMar>
              <w:top w:w="0" w:type="dxa"/>
              <w:left w:w="108" w:type="dxa"/>
              <w:bottom w:w="0" w:type="dxa"/>
              <w:right w:w="108" w:type="dxa"/>
            </w:tcMar>
            <w:vAlign w:val="center"/>
            <w:hideMark/>
          </w:tcPr>
          <w:p w14:paraId="734E054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6" w:type="pct"/>
            <w:shd w:val="clear" w:color="auto" w:fill="D9D9D9"/>
            <w:tcMar>
              <w:top w:w="0" w:type="dxa"/>
              <w:left w:w="108" w:type="dxa"/>
              <w:bottom w:w="0" w:type="dxa"/>
              <w:right w:w="108" w:type="dxa"/>
            </w:tcMar>
            <w:vAlign w:val="center"/>
            <w:hideMark/>
          </w:tcPr>
          <w:p w14:paraId="132DF00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6" w:type="pct"/>
            <w:shd w:val="clear" w:color="auto" w:fill="D9D9D9"/>
            <w:vAlign w:val="center"/>
          </w:tcPr>
          <w:p w14:paraId="645E1807"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74E91DC0" w14:textId="77777777" w:rsidTr="00B6017F">
        <w:trPr>
          <w:trHeight w:val="287"/>
        </w:trPr>
        <w:tc>
          <w:tcPr>
            <w:tcW w:w="716" w:type="pct"/>
            <w:vMerge/>
            <w:shd w:val="clear" w:color="auto" w:fill="D9D9D9"/>
            <w:vAlign w:val="center"/>
          </w:tcPr>
          <w:p w14:paraId="3165936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20D51FFA"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tcMar>
              <w:top w:w="0" w:type="dxa"/>
              <w:left w:w="108" w:type="dxa"/>
              <w:bottom w:w="0" w:type="dxa"/>
              <w:right w:w="108" w:type="dxa"/>
            </w:tcMar>
            <w:vAlign w:val="center"/>
          </w:tcPr>
          <w:p w14:paraId="2B3884D3"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legal and strategic framework for comprehensive protection of land</w:t>
            </w:r>
          </w:p>
        </w:tc>
        <w:tc>
          <w:tcPr>
            <w:tcW w:w="1156" w:type="pct"/>
            <w:shd w:val="clear" w:color="auto" w:fill="FFFFFF"/>
            <w:tcMar>
              <w:top w:w="0" w:type="dxa"/>
              <w:left w:w="108" w:type="dxa"/>
              <w:bottom w:w="0" w:type="dxa"/>
              <w:right w:w="108" w:type="dxa"/>
            </w:tcMar>
            <w:vAlign w:val="center"/>
          </w:tcPr>
          <w:p w14:paraId="324C65AD" w14:textId="432AD7C6"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In the Federation of BiH, land is protected by various legislation, depending on the type of land: laws on </w:t>
            </w:r>
            <w:r w:rsidRPr="007C4D65">
              <w:rPr>
                <w:rFonts w:asciiTheme="minorHAnsi" w:hAnsiTheme="minorHAnsi"/>
                <w:sz w:val="18"/>
                <w:szCs w:val="18"/>
              </w:rPr>
              <w:lastRenderedPageBreak/>
              <w:t>agriculture, forestry, spatial planning and construction. There is no comprehensive legislative framework that would provide for protection of land as a whole</w:t>
            </w:r>
          </w:p>
        </w:tc>
        <w:tc>
          <w:tcPr>
            <w:tcW w:w="1156" w:type="pct"/>
            <w:shd w:val="clear" w:color="auto" w:fill="FFFFFF"/>
            <w:vAlign w:val="center"/>
          </w:tcPr>
          <w:p w14:paraId="37E55B37"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lastRenderedPageBreak/>
              <w:t xml:space="preserve">By 2025, adopted Law on Protection of Land and relevant secondary legislation </w:t>
            </w:r>
            <w:r w:rsidRPr="007C4D65">
              <w:rPr>
                <w:rFonts w:asciiTheme="minorHAnsi" w:hAnsiTheme="minorHAnsi"/>
                <w:sz w:val="18"/>
                <w:szCs w:val="18"/>
              </w:rPr>
              <w:lastRenderedPageBreak/>
              <w:t>(bylaws), as well as the Strategy for Sustainable Land Management</w:t>
            </w:r>
          </w:p>
        </w:tc>
      </w:tr>
      <w:tr w:rsidR="00D51392" w:rsidRPr="007C4D65" w14:paraId="630E776E" w14:textId="77777777" w:rsidTr="00B6017F">
        <w:trPr>
          <w:trHeight w:val="287"/>
        </w:trPr>
        <w:tc>
          <w:tcPr>
            <w:tcW w:w="716" w:type="pct"/>
            <w:vMerge/>
            <w:shd w:val="clear" w:color="auto" w:fill="D9D9D9"/>
            <w:vAlign w:val="center"/>
          </w:tcPr>
          <w:p w14:paraId="2E27479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33F30510"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0D16050B"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a Strategy of Sustainable Land Management</w:t>
            </w:r>
          </w:p>
        </w:tc>
        <w:tc>
          <w:tcPr>
            <w:tcW w:w="1156" w:type="pct"/>
            <w:shd w:val="clear" w:color="auto" w:fill="FFFFFF"/>
            <w:tcMar>
              <w:top w:w="0" w:type="dxa"/>
              <w:left w:w="108" w:type="dxa"/>
              <w:bottom w:w="0" w:type="dxa"/>
              <w:right w:w="108" w:type="dxa"/>
            </w:tcMar>
            <w:vAlign w:val="center"/>
          </w:tcPr>
          <w:p w14:paraId="20CC1C63"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Federation of BiH does not have a strategic approach to comprehensive land management and protection </w:t>
            </w:r>
          </w:p>
        </w:tc>
        <w:tc>
          <w:tcPr>
            <w:tcW w:w="1156" w:type="pct"/>
            <w:shd w:val="clear" w:color="auto" w:fill="FFFFFF"/>
            <w:vAlign w:val="center"/>
          </w:tcPr>
          <w:p w14:paraId="5169CDF1"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By 2027, Adopted Strategy of Sustainable Land Management</w:t>
            </w:r>
          </w:p>
        </w:tc>
      </w:tr>
      <w:tr w:rsidR="00D51392" w:rsidRPr="007C4D65" w14:paraId="591FD087" w14:textId="77777777" w:rsidTr="00B6017F">
        <w:trPr>
          <w:trHeight w:val="287"/>
        </w:trPr>
        <w:tc>
          <w:tcPr>
            <w:tcW w:w="716" w:type="pct"/>
            <w:vMerge/>
            <w:shd w:val="clear" w:color="auto" w:fill="D9D9D9"/>
            <w:vAlign w:val="center"/>
          </w:tcPr>
          <w:p w14:paraId="3D08B1D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119B811D"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15B5009E"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Harmonize laws on spatial planning of Federation of BiH and cantons in Federation of BiH and Cantons with the Law on Agricultural Land of Federation of BiH</w:t>
            </w:r>
          </w:p>
        </w:tc>
        <w:tc>
          <w:tcPr>
            <w:tcW w:w="1156" w:type="pct"/>
            <w:shd w:val="clear" w:color="auto" w:fill="FFFFFF"/>
            <w:tcMar>
              <w:top w:w="0" w:type="dxa"/>
              <w:left w:w="108" w:type="dxa"/>
              <w:bottom w:w="0" w:type="dxa"/>
              <w:right w:w="108" w:type="dxa"/>
            </w:tcMar>
            <w:vAlign w:val="center"/>
          </w:tcPr>
          <w:p w14:paraId="5BE56106" w14:textId="5DA4954E"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Laws on spatial planning of Federation of BiH and cantons in Federation of BiH ae not aligned with the Law on Agricultural Land of Federation of BiH, </w:t>
            </w:r>
            <w:proofErr w:type="gramStart"/>
            <w:r w:rsidRPr="007C4D65">
              <w:rPr>
                <w:rFonts w:asciiTheme="minorHAnsi" w:hAnsiTheme="minorHAnsi"/>
                <w:sz w:val="18"/>
                <w:szCs w:val="18"/>
              </w:rPr>
              <w:t>i.e.</w:t>
            </w:r>
            <w:proofErr w:type="gramEnd"/>
            <w:r w:rsidRPr="007C4D65">
              <w:rPr>
                <w:rFonts w:asciiTheme="minorHAnsi" w:hAnsiTheme="minorHAnsi"/>
                <w:sz w:val="18"/>
                <w:szCs w:val="18"/>
              </w:rPr>
              <w:t xml:space="preserve"> Federation of BiH Law on Spatial Planning and Construction does not prescribe the obligation of the local government units to develop the Plans for Protection, Development and Use of Agricultural Land prior to the adoption of Spatial Plan</w:t>
            </w:r>
          </w:p>
        </w:tc>
        <w:tc>
          <w:tcPr>
            <w:tcW w:w="1156" w:type="pct"/>
            <w:shd w:val="clear" w:color="auto" w:fill="FFFFFF"/>
            <w:vAlign w:val="center"/>
          </w:tcPr>
          <w:p w14:paraId="09C802CB"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 xml:space="preserve">By 2027, harmonized Federation of BiH and cantonal laws on spatial planning and construction with the Law on Agricultural Land of Federation of BiH </w:t>
            </w:r>
          </w:p>
        </w:tc>
      </w:tr>
      <w:tr w:rsidR="00D51392" w:rsidRPr="007C4D65" w14:paraId="41A37CE5" w14:textId="77777777" w:rsidTr="00B6017F">
        <w:trPr>
          <w:trHeight w:val="287"/>
        </w:trPr>
        <w:tc>
          <w:tcPr>
            <w:tcW w:w="716" w:type="pct"/>
            <w:vMerge/>
            <w:shd w:val="clear" w:color="auto" w:fill="D9D9D9"/>
            <w:vAlign w:val="center"/>
          </w:tcPr>
          <w:p w14:paraId="348FC06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09D43450"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2CE7AA32"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financial liability and guarantees for rehabilitation of deserted mines and possibility to repurpose the deserted mines</w:t>
            </w:r>
          </w:p>
        </w:tc>
        <w:tc>
          <w:tcPr>
            <w:tcW w:w="1156" w:type="pct"/>
            <w:shd w:val="clear" w:color="auto" w:fill="FFFFFF"/>
            <w:tcMar>
              <w:top w:w="0" w:type="dxa"/>
              <w:left w:w="108" w:type="dxa"/>
              <w:bottom w:w="0" w:type="dxa"/>
              <w:right w:w="108" w:type="dxa"/>
            </w:tcMar>
            <w:vAlign w:val="center"/>
          </w:tcPr>
          <w:p w14:paraId="4E78FE6E" w14:textId="0E00AB0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Law on Mining of the Federation of BiH does not include provisions stipulating financial liability and obligation of providing guarantees for rehabilitation of deserted mines, nor does it specify conditions for repurposing the deserted mines</w:t>
            </w:r>
          </w:p>
        </w:tc>
        <w:tc>
          <w:tcPr>
            <w:tcW w:w="1156" w:type="pct"/>
            <w:shd w:val="clear" w:color="auto" w:fill="FFFFFF"/>
            <w:vAlign w:val="center"/>
          </w:tcPr>
          <w:p w14:paraId="12C599A1" w14:textId="77777777" w:rsidR="00D51392" w:rsidRPr="007C4D65" w:rsidRDefault="00D51392" w:rsidP="00B6017F">
            <w:pPr>
              <w:spacing w:line="276" w:lineRule="auto"/>
              <w:ind w:left="105"/>
              <w:rPr>
                <w:rFonts w:asciiTheme="minorHAnsi" w:hAnsiTheme="minorHAnsi" w:cstheme="minorHAnsi"/>
                <w:sz w:val="18"/>
                <w:szCs w:val="18"/>
              </w:rPr>
            </w:pPr>
            <w:r w:rsidRPr="007C4D65">
              <w:rPr>
                <w:rFonts w:asciiTheme="minorHAnsi" w:hAnsiTheme="minorHAnsi"/>
                <w:sz w:val="18"/>
                <w:szCs w:val="18"/>
              </w:rPr>
              <w:t xml:space="preserve">By </w:t>
            </w:r>
            <w:proofErr w:type="gramStart"/>
            <w:r w:rsidRPr="007C4D65">
              <w:rPr>
                <w:rFonts w:asciiTheme="minorHAnsi" w:hAnsiTheme="minorHAnsi"/>
                <w:sz w:val="18"/>
                <w:szCs w:val="18"/>
              </w:rPr>
              <w:t>2027,  amended</w:t>
            </w:r>
            <w:proofErr w:type="gramEnd"/>
            <w:r w:rsidRPr="007C4D65">
              <w:rPr>
                <w:rFonts w:asciiTheme="minorHAnsi" w:hAnsiTheme="minorHAnsi"/>
                <w:sz w:val="18"/>
                <w:szCs w:val="18"/>
              </w:rPr>
              <w:t xml:space="preserve"> Law on Mining of the Federation of BiH regarding rehabilitation of the mining areas, by expanding options of rehabilitation that include repurposing, and with respect to financial liability and guarantees for rehabilitation of the deserted mining areas</w:t>
            </w:r>
          </w:p>
        </w:tc>
      </w:tr>
      <w:tr w:rsidR="00D51392" w:rsidRPr="007C4D65" w14:paraId="19F3A174" w14:textId="77777777" w:rsidTr="00B6017F">
        <w:trPr>
          <w:trHeight w:val="483"/>
        </w:trPr>
        <w:tc>
          <w:tcPr>
            <w:tcW w:w="716" w:type="pct"/>
            <w:vMerge/>
            <w:shd w:val="clear" w:color="auto" w:fill="D9D9D9"/>
            <w:vAlign w:val="center"/>
            <w:hideMark/>
          </w:tcPr>
          <w:p w14:paraId="37FB3B0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hideMark/>
          </w:tcPr>
          <w:p w14:paraId="3C1358B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D9D9D9"/>
            <w:tcMar>
              <w:top w:w="0" w:type="dxa"/>
              <w:left w:w="108" w:type="dxa"/>
              <w:bottom w:w="0" w:type="dxa"/>
              <w:right w:w="108" w:type="dxa"/>
            </w:tcMar>
            <w:vAlign w:val="center"/>
            <w:hideMark/>
          </w:tcPr>
          <w:p w14:paraId="4D3F965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6" w:type="pct"/>
            <w:shd w:val="clear" w:color="auto" w:fill="D9D9D9"/>
            <w:tcMar>
              <w:top w:w="0" w:type="dxa"/>
              <w:left w:w="108" w:type="dxa"/>
              <w:bottom w:w="0" w:type="dxa"/>
              <w:right w:w="108" w:type="dxa"/>
            </w:tcMar>
            <w:vAlign w:val="center"/>
            <w:hideMark/>
          </w:tcPr>
          <w:p w14:paraId="1B78298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6" w:type="pct"/>
            <w:shd w:val="clear" w:color="auto" w:fill="D9D9D9"/>
            <w:tcMar>
              <w:top w:w="0" w:type="dxa"/>
              <w:left w:w="108" w:type="dxa"/>
              <w:bottom w:w="0" w:type="dxa"/>
              <w:right w:w="108" w:type="dxa"/>
            </w:tcMar>
            <w:vAlign w:val="center"/>
            <w:hideMark/>
          </w:tcPr>
          <w:p w14:paraId="6BDD0AC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7E44383A" w14:textId="77777777" w:rsidTr="00B6017F">
        <w:trPr>
          <w:trHeight w:val="287"/>
        </w:trPr>
        <w:tc>
          <w:tcPr>
            <w:tcW w:w="716" w:type="pct"/>
            <w:vMerge/>
            <w:shd w:val="clear" w:color="auto" w:fill="D9D9D9"/>
            <w:vAlign w:val="center"/>
            <w:hideMark/>
          </w:tcPr>
          <w:p w14:paraId="3285B04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hideMark/>
          </w:tcPr>
          <w:p w14:paraId="4DC8D5D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tcMar>
              <w:top w:w="0" w:type="dxa"/>
              <w:left w:w="108" w:type="dxa"/>
              <w:bottom w:w="0" w:type="dxa"/>
              <w:right w:w="108" w:type="dxa"/>
            </w:tcMar>
            <w:vAlign w:val="center"/>
          </w:tcPr>
          <w:p w14:paraId="2CC11DA2"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0,398</w:t>
            </w:r>
          </w:p>
        </w:tc>
        <w:tc>
          <w:tcPr>
            <w:tcW w:w="1156" w:type="pct"/>
            <w:tcMar>
              <w:top w:w="0" w:type="dxa"/>
              <w:left w:w="108" w:type="dxa"/>
              <w:bottom w:w="0" w:type="dxa"/>
              <w:right w:w="108" w:type="dxa"/>
            </w:tcMar>
            <w:vAlign w:val="center"/>
          </w:tcPr>
          <w:p w14:paraId="079A98FC"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6" w:type="pct"/>
            <w:tcMar>
              <w:top w:w="0" w:type="dxa"/>
              <w:left w:w="108" w:type="dxa"/>
              <w:bottom w:w="0" w:type="dxa"/>
              <w:right w:w="108" w:type="dxa"/>
            </w:tcMar>
            <w:vAlign w:val="center"/>
          </w:tcPr>
          <w:p w14:paraId="50EBB9D0"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0,398</w:t>
            </w:r>
          </w:p>
        </w:tc>
      </w:tr>
      <w:tr w:rsidR="00D51392" w:rsidRPr="007C4D65" w14:paraId="70BA7F57" w14:textId="77777777" w:rsidTr="00B6017F">
        <w:trPr>
          <w:trHeight w:val="483"/>
        </w:trPr>
        <w:tc>
          <w:tcPr>
            <w:tcW w:w="716" w:type="pct"/>
            <w:vMerge w:val="restart"/>
            <w:shd w:val="clear" w:color="auto" w:fill="D9D9D9"/>
            <w:tcMar>
              <w:top w:w="0" w:type="dxa"/>
              <w:left w:w="108" w:type="dxa"/>
              <w:bottom w:w="0" w:type="dxa"/>
              <w:right w:w="108" w:type="dxa"/>
            </w:tcMar>
            <w:vAlign w:val="center"/>
            <w:hideMark/>
          </w:tcPr>
          <w:p w14:paraId="1A2DF6D8"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6.4.2. Measure</w:t>
            </w:r>
          </w:p>
        </w:tc>
        <w:tc>
          <w:tcPr>
            <w:tcW w:w="816" w:type="pct"/>
            <w:vMerge w:val="restart"/>
            <w:tcMar>
              <w:top w:w="0" w:type="dxa"/>
              <w:left w:w="108" w:type="dxa"/>
              <w:bottom w:w="0" w:type="dxa"/>
              <w:right w:w="108" w:type="dxa"/>
            </w:tcMar>
            <w:vAlign w:val="center"/>
          </w:tcPr>
          <w:p w14:paraId="706373FD"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b/>
                <w:sz w:val="18"/>
                <w:szCs w:val="18"/>
              </w:rPr>
              <w:t xml:space="preserve">Establishing the land monitoring system </w:t>
            </w:r>
          </w:p>
        </w:tc>
        <w:tc>
          <w:tcPr>
            <w:tcW w:w="1156" w:type="pct"/>
            <w:shd w:val="clear" w:color="auto" w:fill="D9D9D9"/>
            <w:tcMar>
              <w:top w:w="0" w:type="dxa"/>
              <w:left w:w="108" w:type="dxa"/>
              <w:bottom w:w="0" w:type="dxa"/>
              <w:right w:w="108" w:type="dxa"/>
            </w:tcMar>
            <w:vAlign w:val="center"/>
            <w:hideMark/>
          </w:tcPr>
          <w:p w14:paraId="3265A19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6" w:type="pct"/>
            <w:shd w:val="clear" w:color="auto" w:fill="D9D9D9"/>
            <w:tcMar>
              <w:top w:w="0" w:type="dxa"/>
              <w:left w:w="108" w:type="dxa"/>
              <w:bottom w:w="0" w:type="dxa"/>
              <w:right w:w="108" w:type="dxa"/>
            </w:tcMar>
            <w:vAlign w:val="center"/>
            <w:hideMark/>
          </w:tcPr>
          <w:p w14:paraId="7FF571F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6" w:type="pct"/>
            <w:shd w:val="clear" w:color="auto" w:fill="D9D9D9"/>
            <w:vAlign w:val="center"/>
          </w:tcPr>
          <w:p w14:paraId="0622664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169EE07A" w14:textId="77777777" w:rsidTr="00B6017F">
        <w:trPr>
          <w:trHeight w:val="287"/>
        </w:trPr>
        <w:tc>
          <w:tcPr>
            <w:tcW w:w="716" w:type="pct"/>
            <w:vMerge/>
            <w:shd w:val="clear" w:color="auto" w:fill="D9D9D9"/>
            <w:vAlign w:val="center"/>
          </w:tcPr>
          <w:p w14:paraId="3DB42CB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4424F32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5890E440"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methods, measures and indicators for sustainable management and protection of land resources</w:t>
            </w:r>
          </w:p>
        </w:tc>
        <w:tc>
          <w:tcPr>
            <w:tcW w:w="1156" w:type="pct"/>
            <w:shd w:val="clear" w:color="auto" w:fill="FFFFFF"/>
            <w:tcMar>
              <w:top w:w="0" w:type="dxa"/>
              <w:left w:w="108" w:type="dxa"/>
              <w:bottom w:w="0" w:type="dxa"/>
              <w:right w:w="108" w:type="dxa"/>
            </w:tcMar>
            <w:vAlign w:val="center"/>
          </w:tcPr>
          <w:p w14:paraId="49915739" w14:textId="4AADEF4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 Federation of BiH, there is no framework in place for monitoring land management sustainability</w:t>
            </w:r>
          </w:p>
        </w:tc>
        <w:tc>
          <w:tcPr>
            <w:tcW w:w="1156" w:type="pct"/>
            <w:shd w:val="clear" w:color="auto" w:fill="FFFFFF"/>
            <w:vAlign w:val="center"/>
          </w:tcPr>
          <w:p w14:paraId="67CBF5BA" w14:textId="77777777" w:rsidR="00D51392" w:rsidRPr="007C4D65" w:rsidRDefault="00D51392" w:rsidP="00B6017F">
            <w:pPr>
              <w:spacing w:line="276" w:lineRule="auto"/>
              <w:ind w:left="105"/>
              <w:rPr>
                <w:rFonts w:asciiTheme="minorHAnsi" w:hAnsiTheme="minorHAnsi" w:cstheme="minorHAnsi"/>
                <w:sz w:val="18"/>
                <w:szCs w:val="18"/>
              </w:rPr>
            </w:pPr>
            <w:r w:rsidRPr="007C4D65">
              <w:rPr>
                <w:rFonts w:asciiTheme="minorHAnsi" w:hAnsiTheme="minorHAnsi"/>
                <w:sz w:val="18"/>
                <w:szCs w:val="18"/>
              </w:rPr>
              <w:t>By 2025, adopted methods, measures and indicators for sustainable management and protection of land resources</w:t>
            </w:r>
          </w:p>
        </w:tc>
      </w:tr>
      <w:tr w:rsidR="00D51392" w:rsidRPr="007C4D65" w14:paraId="1A82DB1E" w14:textId="77777777" w:rsidTr="00B6017F">
        <w:trPr>
          <w:trHeight w:val="287"/>
        </w:trPr>
        <w:tc>
          <w:tcPr>
            <w:tcW w:w="716" w:type="pct"/>
            <w:vMerge/>
            <w:shd w:val="clear" w:color="auto" w:fill="D9D9D9"/>
            <w:vAlign w:val="center"/>
          </w:tcPr>
          <w:p w14:paraId="68165E1E"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3D258EC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64E30EA8"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a land monitoring plan</w:t>
            </w:r>
          </w:p>
        </w:tc>
        <w:tc>
          <w:tcPr>
            <w:tcW w:w="1156" w:type="pct"/>
            <w:shd w:val="clear" w:color="auto" w:fill="FFFFFF"/>
            <w:tcMar>
              <w:top w:w="0" w:type="dxa"/>
              <w:left w:w="108" w:type="dxa"/>
              <w:bottom w:w="0" w:type="dxa"/>
              <w:right w:w="108" w:type="dxa"/>
            </w:tcMar>
            <w:vAlign w:val="center"/>
          </w:tcPr>
          <w:p w14:paraId="75B61CDE"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 Federation of BiH, there is no land monitoring plan.</w:t>
            </w:r>
          </w:p>
        </w:tc>
        <w:tc>
          <w:tcPr>
            <w:tcW w:w="1156" w:type="pct"/>
            <w:shd w:val="clear" w:color="auto" w:fill="FFFFFF"/>
            <w:vAlign w:val="center"/>
          </w:tcPr>
          <w:p w14:paraId="667E68AE" w14:textId="77777777" w:rsidR="00D51392" w:rsidRPr="007C4D65" w:rsidRDefault="00D51392" w:rsidP="00B6017F">
            <w:pPr>
              <w:spacing w:line="276" w:lineRule="auto"/>
              <w:ind w:left="105"/>
              <w:rPr>
                <w:rFonts w:asciiTheme="minorHAnsi" w:hAnsiTheme="minorHAnsi" w:cstheme="minorHAnsi"/>
                <w:sz w:val="18"/>
                <w:szCs w:val="18"/>
              </w:rPr>
            </w:pPr>
            <w:r w:rsidRPr="007C4D65">
              <w:rPr>
                <w:rFonts w:asciiTheme="minorHAnsi" w:hAnsiTheme="minorHAnsi"/>
                <w:sz w:val="18"/>
                <w:szCs w:val="18"/>
              </w:rPr>
              <w:t>By 2026, adopted land monitoring plan</w:t>
            </w:r>
          </w:p>
        </w:tc>
      </w:tr>
      <w:tr w:rsidR="00D51392" w:rsidRPr="007C4D65" w14:paraId="1E9F94FB" w14:textId="77777777" w:rsidTr="00B6017F">
        <w:trPr>
          <w:trHeight w:val="287"/>
        </w:trPr>
        <w:tc>
          <w:tcPr>
            <w:tcW w:w="716" w:type="pct"/>
            <w:vMerge/>
            <w:shd w:val="clear" w:color="auto" w:fill="D9D9D9"/>
            <w:vAlign w:val="center"/>
          </w:tcPr>
          <w:p w14:paraId="291CC3B3"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4F8C6D8A"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595313DC"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a network of monitoring sites and performance of monitoring</w:t>
            </w:r>
          </w:p>
        </w:tc>
        <w:tc>
          <w:tcPr>
            <w:tcW w:w="1156" w:type="pct"/>
            <w:shd w:val="clear" w:color="auto" w:fill="FFFFFF"/>
            <w:tcMar>
              <w:top w:w="0" w:type="dxa"/>
              <w:left w:w="108" w:type="dxa"/>
              <w:bottom w:w="0" w:type="dxa"/>
              <w:right w:w="108" w:type="dxa"/>
            </w:tcMar>
            <w:vAlign w:val="center"/>
          </w:tcPr>
          <w:p w14:paraId="632DB8C2" w14:textId="0DC1586E"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Federation of BiH has partially established a standardized network of monitoring sites, and the monitoring is done occasionally</w:t>
            </w:r>
          </w:p>
        </w:tc>
        <w:tc>
          <w:tcPr>
            <w:tcW w:w="1156" w:type="pct"/>
            <w:shd w:val="clear" w:color="auto" w:fill="FFFFFF"/>
            <w:vAlign w:val="center"/>
          </w:tcPr>
          <w:p w14:paraId="6C15E282" w14:textId="77777777" w:rsidR="00D51392" w:rsidRPr="007C4D65" w:rsidRDefault="00D51392" w:rsidP="00B6017F">
            <w:pPr>
              <w:spacing w:line="276" w:lineRule="auto"/>
              <w:ind w:left="105"/>
              <w:rPr>
                <w:rFonts w:asciiTheme="minorHAnsi" w:hAnsiTheme="minorHAnsi" w:cstheme="minorHAnsi"/>
                <w:sz w:val="18"/>
                <w:szCs w:val="18"/>
              </w:rPr>
            </w:pPr>
            <w:r w:rsidRPr="007C4D65">
              <w:rPr>
                <w:rFonts w:asciiTheme="minorHAnsi" w:hAnsiTheme="minorHAnsi"/>
                <w:sz w:val="18"/>
                <w:szCs w:val="18"/>
              </w:rPr>
              <w:t>By 2027, established a network of monitoring sites; monitoring implemented in accordance with previously adopted plan</w:t>
            </w:r>
          </w:p>
        </w:tc>
      </w:tr>
      <w:tr w:rsidR="00D51392" w:rsidRPr="007C4D65" w14:paraId="02E1C1F9" w14:textId="77777777" w:rsidTr="00B6017F">
        <w:trPr>
          <w:trHeight w:val="483"/>
        </w:trPr>
        <w:tc>
          <w:tcPr>
            <w:tcW w:w="716" w:type="pct"/>
            <w:vMerge/>
            <w:shd w:val="clear" w:color="auto" w:fill="D9D9D9"/>
            <w:vAlign w:val="center"/>
            <w:hideMark/>
          </w:tcPr>
          <w:p w14:paraId="6B232F7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hideMark/>
          </w:tcPr>
          <w:p w14:paraId="3FE17AC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D9D9D9"/>
            <w:tcMar>
              <w:top w:w="0" w:type="dxa"/>
              <w:left w:w="108" w:type="dxa"/>
              <w:bottom w:w="0" w:type="dxa"/>
              <w:right w:w="108" w:type="dxa"/>
            </w:tcMar>
            <w:vAlign w:val="center"/>
            <w:hideMark/>
          </w:tcPr>
          <w:p w14:paraId="482F9F6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6" w:type="pct"/>
            <w:shd w:val="clear" w:color="auto" w:fill="D9D9D9"/>
            <w:tcMar>
              <w:top w:w="0" w:type="dxa"/>
              <w:left w:w="108" w:type="dxa"/>
              <w:bottom w:w="0" w:type="dxa"/>
              <w:right w:w="108" w:type="dxa"/>
            </w:tcMar>
            <w:vAlign w:val="center"/>
            <w:hideMark/>
          </w:tcPr>
          <w:p w14:paraId="6603D37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6" w:type="pct"/>
            <w:shd w:val="clear" w:color="auto" w:fill="D9D9D9"/>
            <w:tcMar>
              <w:top w:w="0" w:type="dxa"/>
              <w:left w:w="108" w:type="dxa"/>
              <w:bottom w:w="0" w:type="dxa"/>
              <w:right w:w="108" w:type="dxa"/>
            </w:tcMar>
            <w:vAlign w:val="center"/>
            <w:hideMark/>
          </w:tcPr>
          <w:p w14:paraId="3BD559C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6AAA30C1" w14:textId="77777777" w:rsidTr="00B6017F">
        <w:trPr>
          <w:trHeight w:val="287"/>
        </w:trPr>
        <w:tc>
          <w:tcPr>
            <w:tcW w:w="716" w:type="pct"/>
            <w:vMerge/>
            <w:shd w:val="clear" w:color="auto" w:fill="D9D9D9"/>
            <w:vAlign w:val="center"/>
            <w:hideMark/>
          </w:tcPr>
          <w:p w14:paraId="29DB140C"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hideMark/>
          </w:tcPr>
          <w:p w14:paraId="549CD8BE"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tcMar>
              <w:top w:w="0" w:type="dxa"/>
              <w:left w:w="108" w:type="dxa"/>
              <w:bottom w:w="0" w:type="dxa"/>
              <w:right w:w="108" w:type="dxa"/>
            </w:tcMar>
            <w:vAlign w:val="center"/>
          </w:tcPr>
          <w:p w14:paraId="2033CD56"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0,129</w:t>
            </w:r>
          </w:p>
        </w:tc>
        <w:tc>
          <w:tcPr>
            <w:tcW w:w="1156" w:type="pct"/>
            <w:tcMar>
              <w:top w:w="0" w:type="dxa"/>
              <w:left w:w="108" w:type="dxa"/>
              <w:bottom w:w="0" w:type="dxa"/>
              <w:right w:w="108" w:type="dxa"/>
            </w:tcMar>
            <w:vAlign w:val="center"/>
          </w:tcPr>
          <w:p w14:paraId="7E592DB0"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1,1</w:t>
            </w:r>
          </w:p>
        </w:tc>
        <w:tc>
          <w:tcPr>
            <w:tcW w:w="1156" w:type="pct"/>
            <w:tcMar>
              <w:top w:w="0" w:type="dxa"/>
              <w:left w:w="108" w:type="dxa"/>
              <w:bottom w:w="0" w:type="dxa"/>
              <w:right w:w="108" w:type="dxa"/>
            </w:tcMar>
            <w:vAlign w:val="center"/>
          </w:tcPr>
          <w:p w14:paraId="3E3AA3C9"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1,2</w:t>
            </w:r>
          </w:p>
        </w:tc>
      </w:tr>
      <w:tr w:rsidR="00D51392" w:rsidRPr="007C4D65" w14:paraId="4F997695" w14:textId="77777777" w:rsidTr="00B6017F">
        <w:trPr>
          <w:trHeight w:val="483"/>
        </w:trPr>
        <w:tc>
          <w:tcPr>
            <w:tcW w:w="716" w:type="pct"/>
            <w:vMerge w:val="restart"/>
            <w:shd w:val="clear" w:color="auto" w:fill="D9D9D9"/>
            <w:tcMar>
              <w:top w:w="0" w:type="dxa"/>
              <w:left w:w="108" w:type="dxa"/>
              <w:bottom w:w="0" w:type="dxa"/>
              <w:right w:w="108" w:type="dxa"/>
            </w:tcMar>
            <w:vAlign w:val="center"/>
            <w:hideMark/>
          </w:tcPr>
          <w:p w14:paraId="1E1D5B0B"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6.4.3. Measure</w:t>
            </w:r>
          </w:p>
        </w:tc>
        <w:tc>
          <w:tcPr>
            <w:tcW w:w="816" w:type="pct"/>
            <w:vMerge w:val="restart"/>
            <w:tcMar>
              <w:top w:w="0" w:type="dxa"/>
              <w:left w:w="108" w:type="dxa"/>
              <w:bottom w:w="0" w:type="dxa"/>
              <w:right w:w="108" w:type="dxa"/>
            </w:tcMar>
            <w:vAlign w:val="center"/>
          </w:tcPr>
          <w:p w14:paraId="673A834B"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Rehabilitation of degraded areas</w:t>
            </w:r>
          </w:p>
        </w:tc>
        <w:tc>
          <w:tcPr>
            <w:tcW w:w="1156" w:type="pct"/>
            <w:shd w:val="clear" w:color="auto" w:fill="D9D9D9"/>
            <w:tcMar>
              <w:top w:w="0" w:type="dxa"/>
              <w:left w:w="108" w:type="dxa"/>
              <w:bottom w:w="0" w:type="dxa"/>
              <w:right w:w="108" w:type="dxa"/>
            </w:tcMar>
            <w:vAlign w:val="center"/>
            <w:hideMark/>
          </w:tcPr>
          <w:p w14:paraId="4ACBCD54"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6" w:type="pct"/>
            <w:shd w:val="clear" w:color="auto" w:fill="D9D9D9"/>
            <w:tcMar>
              <w:top w:w="0" w:type="dxa"/>
              <w:left w:w="108" w:type="dxa"/>
              <w:bottom w:w="0" w:type="dxa"/>
              <w:right w:w="108" w:type="dxa"/>
            </w:tcMar>
            <w:vAlign w:val="center"/>
            <w:hideMark/>
          </w:tcPr>
          <w:p w14:paraId="0790FDB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6" w:type="pct"/>
            <w:shd w:val="clear" w:color="auto" w:fill="D9D9D9"/>
            <w:vAlign w:val="center"/>
          </w:tcPr>
          <w:p w14:paraId="6062F68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7D6C5788" w14:textId="77777777" w:rsidTr="00B6017F">
        <w:trPr>
          <w:trHeight w:val="287"/>
        </w:trPr>
        <w:tc>
          <w:tcPr>
            <w:tcW w:w="716" w:type="pct"/>
            <w:vMerge/>
            <w:shd w:val="clear" w:color="auto" w:fill="D9D9D9"/>
            <w:vAlign w:val="center"/>
          </w:tcPr>
          <w:p w14:paraId="4D67198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074B435D"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6D63E8CD"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a cadastre of degraded land</w:t>
            </w:r>
          </w:p>
        </w:tc>
        <w:tc>
          <w:tcPr>
            <w:tcW w:w="1156" w:type="pct"/>
            <w:shd w:val="clear" w:color="auto" w:fill="FFFFFF"/>
            <w:tcMar>
              <w:top w:w="0" w:type="dxa"/>
              <w:left w:w="108" w:type="dxa"/>
              <w:bottom w:w="0" w:type="dxa"/>
              <w:right w:w="108" w:type="dxa"/>
            </w:tcMar>
            <w:vAlign w:val="center"/>
          </w:tcPr>
          <w:p w14:paraId="2CE6EC25" w14:textId="4D6A1B13"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Federation of BiH has not established a cadastre of degraded land</w:t>
            </w:r>
          </w:p>
        </w:tc>
        <w:tc>
          <w:tcPr>
            <w:tcW w:w="1156" w:type="pct"/>
            <w:shd w:val="clear" w:color="auto" w:fill="FFFFFF"/>
            <w:vAlign w:val="center"/>
          </w:tcPr>
          <w:p w14:paraId="31FE2208" w14:textId="7A9D7AB2"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By 2024, established cadastre of degraded land areas and integrated into the Land Information System</w:t>
            </w:r>
          </w:p>
        </w:tc>
      </w:tr>
      <w:tr w:rsidR="00D51392" w:rsidRPr="007C4D65" w14:paraId="014E98DD" w14:textId="77777777" w:rsidTr="00B6017F">
        <w:trPr>
          <w:trHeight w:val="287"/>
        </w:trPr>
        <w:tc>
          <w:tcPr>
            <w:tcW w:w="716" w:type="pct"/>
            <w:vMerge/>
            <w:shd w:val="clear" w:color="auto" w:fill="D9D9D9"/>
            <w:vAlign w:val="center"/>
          </w:tcPr>
          <w:p w14:paraId="4066F950"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4977441C"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7F7CBC09"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a programme for rehabilitation of degraded areas</w:t>
            </w:r>
          </w:p>
        </w:tc>
        <w:tc>
          <w:tcPr>
            <w:tcW w:w="1156" w:type="pct"/>
            <w:shd w:val="clear" w:color="auto" w:fill="FFFFFF"/>
            <w:tcMar>
              <w:top w:w="0" w:type="dxa"/>
              <w:left w:w="108" w:type="dxa"/>
              <w:bottom w:w="0" w:type="dxa"/>
              <w:right w:w="108" w:type="dxa"/>
            </w:tcMar>
            <w:vAlign w:val="center"/>
          </w:tcPr>
          <w:p w14:paraId="6F46AB9D" w14:textId="0678F3DB"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Federation of BiH does not have a programme for rehabilitation of degraded areas, which includes procedures and methods for rehabilitation of degraded areas, criteria for prioritizing selection of the sites to be rehabilitated </w:t>
            </w:r>
            <w:proofErr w:type="gramStart"/>
            <w:r w:rsidRPr="007C4D65">
              <w:rPr>
                <w:rFonts w:asciiTheme="minorHAnsi" w:hAnsiTheme="minorHAnsi"/>
                <w:sz w:val="18"/>
                <w:szCs w:val="18"/>
              </w:rPr>
              <w:t>on the basis of</w:t>
            </w:r>
            <w:proofErr w:type="gramEnd"/>
            <w:r w:rsidRPr="007C4D65">
              <w:rPr>
                <w:rFonts w:asciiTheme="minorHAnsi" w:hAnsiTheme="minorHAnsi"/>
                <w:sz w:val="18"/>
                <w:szCs w:val="18"/>
              </w:rPr>
              <w:t xml:space="preserve"> environmental and social considerations (number of endangered people, women and children, the poor...)</w:t>
            </w:r>
          </w:p>
        </w:tc>
        <w:tc>
          <w:tcPr>
            <w:tcW w:w="1156" w:type="pct"/>
            <w:shd w:val="clear" w:color="auto" w:fill="FFFFFF"/>
            <w:vAlign w:val="center"/>
          </w:tcPr>
          <w:p w14:paraId="05329A1A"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By 2026, adopted programme for rehabilitation of degraded areas</w:t>
            </w:r>
          </w:p>
        </w:tc>
      </w:tr>
      <w:tr w:rsidR="00D51392" w:rsidRPr="007C4D65" w14:paraId="3FA9E50C" w14:textId="77777777" w:rsidTr="00B6017F">
        <w:trPr>
          <w:trHeight w:val="287"/>
        </w:trPr>
        <w:tc>
          <w:tcPr>
            <w:tcW w:w="716" w:type="pct"/>
            <w:vMerge/>
            <w:shd w:val="clear" w:color="auto" w:fill="D9D9D9"/>
            <w:vAlign w:val="center"/>
          </w:tcPr>
          <w:p w14:paraId="3F4AF95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3A4CCBD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tcPr>
          <w:p w14:paraId="2F34A364"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Area of rehabilitated degraded land (ha)</w:t>
            </w:r>
          </w:p>
        </w:tc>
        <w:tc>
          <w:tcPr>
            <w:tcW w:w="1156" w:type="pct"/>
            <w:shd w:val="clear" w:color="auto" w:fill="FFFFFF"/>
            <w:tcMar>
              <w:top w:w="0" w:type="dxa"/>
              <w:left w:w="108" w:type="dxa"/>
              <w:bottom w:w="0" w:type="dxa"/>
              <w:right w:w="108" w:type="dxa"/>
            </w:tcMar>
          </w:tcPr>
          <w:p w14:paraId="116CF438" w14:textId="692FCF54"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Federation of BiH has not had any significant plans or programmes to rehabilitate the degraded land, except for the projects of re-cultivation in mining sector and TPP. For the purposes of this Strategy, the baseline value shall </w:t>
            </w:r>
            <w:proofErr w:type="gramStart"/>
            <w:r w:rsidRPr="007C4D65">
              <w:rPr>
                <w:rFonts w:asciiTheme="minorHAnsi" w:hAnsiTheme="minorHAnsi"/>
                <w:sz w:val="18"/>
                <w:szCs w:val="18"/>
              </w:rPr>
              <w:t>be considered to be</w:t>
            </w:r>
            <w:proofErr w:type="gramEnd"/>
            <w:r w:rsidRPr="007C4D65">
              <w:rPr>
                <w:rFonts w:asciiTheme="minorHAnsi" w:hAnsiTheme="minorHAnsi"/>
                <w:sz w:val="18"/>
                <w:szCs w:val="18"/>
              </w:rPr>
              <w:t xml:space="preserve"> 0 ha </w:t>
            </w:r>
          </w:p>
        </w:tc>
        <w:tc>
          <w:tcPr>
            <w:tcW w:w="1156" w:type="pct"/>
            <w:shd w:val="clear" w:color="auto" w:fill="FFFFFF"/>
          </w:tcPr>
          <w:p w14:paraId="1BE1C75C"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Carried out rehabilitation of degraded land area (approximately 3500 ha)</w:t>
            </w:r>
          </w:p>
        </w:tc>
      </w:tr>
      <w:tr w:rsidR="00D51392" w:rsidRPr="007C4D65" w14:paraId="05710A46" w14:textId="77777777" w:rsidTr="00B6017F">
        <w:trPr>
          <w:trHeight w:val="287"/>
        </w:trPr>
        <w:tc>
          <w:tcPr>
            <w:tcW w:w="716" w:type="pct"/>
            <w:vMerge/>
            <w:shd w:val="clear" w:color="auto" w:fill="D9D9D9"/>
            <w:vAlign w:val="center"/>
          </w:tcPr>
          <w:p w14:paraId="73C4C1EA"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5E5035ED"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4631B21E"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Area of revitalized land </w:t>
            </w:r>
          </w:p>
        </w:tc>
        <w:tc>
          <w:tcPr>
            <w:tcW w:w="1156" w:type="pct"/>
            <w:shd w:val="clear" w:color="auto" w:fill="FFFFFF"/>
            <w:tcMar>
              <w:top w:w="0" w:type="dxa"/>
              <w:left w:w="108" w:type="dxa"/>
              <w:bottom w:w="0" w:type="dxa"/>
              <w:right w:w="108" w:type="dxa"/>
            </w:tcMar>
            <w:vAlign w:val="center"/>
          </w:tcPr>
          <w:p w14:paraId="7B8B0DC0" w14:textId="6A31C140"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Federation of BiH has not precisely determined the area of land suitable for rehabilitation</w:t>
            </w:r>
          </w:p>
        </w:tc>
        <w:tc>
          <w:tcPr>
            <w:tcW w:w="1156" w:type="pct"/>
            <w:shd w:val="clear" w:color="auto" w:fill="FFFFFF"/>
            <w:vAlign w:val="center"/>
          </w:tcPr>
          <w:p w14:paraId="209B6B53" w14:textId="77777777" w:rsidR="00D51392" w:rsidRPr="007C4D65" w:rsidRDefault="00D51392" w:rsidP="00B6017F">
            <w:pPr>
              <w:spacing w:line="276" w:lineRule="auto"/>
              <w:ind w:left="247"/>
              <w:rPr>
                <w:rFonts w:asciiTheme="minorHAnsi" w:hAnsiTheme="minorHAnsi" w:cstheme="minorHAnsi"/>
                <w:sz w:val="18"/>
                <w:szCs w:val="18"/>
              </w:rPr>
            </w:pPr>
            <w:r w:rsidRPr="007C4D65">
              <w:rPr>
                <w:rFonts w:asciiTheme="minorHAnsi" w:hAnsiTheme="minorHAnsi"/>
                <w:sz w:val="18"/>
                <w:szCs w:val="18"/>
              </w:rPr>
              <w:t xml:space="preserve">By 2031, completed rehabilitation of land in especially sensitive and deserted areas, focusing on the </w:t>
            </w:r>
            <w:proofErr w:type="spellStart"/>
            <w:r w:rsidRPr="007C4D65">
              <w:rPr>
                <w:rFonts w:asciiTheme="minorHAnsi" w:hAnsiTheme="minorHAnsi"/>
                <w:sz w:val="18"/>
                <w:szCs w:val="18"/>
              </w:rPr>
              <w:t>Dinara</w:t>
            </w:r>
            <w:proofErr w:type="spellEnd"/>
            <w:r w:rsidRPr="007C4D65">
              <w:rPr>
                <w:rFonts w:asciiTheme="minorHAnsi" w:hAnsiTheme="minorHAnsi"/>
                <w:sz w:val="18"/>
                <w:szCs w:val="18"/>
              </w:rPr>
              <w:t xml:space="preserve"> karst and high mountains in: Hercegovina-</w:t>
            </w:r>
            <w:r w:rsidRPr="007C4D65">
              <w:rPr>
                <w:rFonts w:asciiTheme="minorHAnsi" w:hAnsiTheme="minorHAnsi"/>
                <w:sz w:val="18"/>
                <w:szCs w:val="18"/>
              </w:rPr>
              <w:lastRenderedPageBreak/>
              <w:t>Neretva Canton, West Herzegovina Canton, high mountains in Central Bosnia</w:t>
            </w:r>
          </w:p>
        </w:tc>
      </w:tr>
      <w:tr w:rsidR="00D51392" w:rsidRPr="007C4D65" w14:paraId="39E8A9B9" w14:textId="77777777" w:rsidTr="00B6017F">
        <w:trPr>
          <w:trHeight w:val="483"/>
        </w:trPr>
        <w:tc>
          <w:tcPr>
            <w:tcW w:w="716" w:type="pct"/>
            <w:vMerge/>
            <w:shd w:val="clear" w:color="auto" w:fill="D9D9D9"/>
            <w:vAlign w:val="center"/>
            <w:hideMark/>
          </w:tcPr>
          <w:p w14:paraId="5CA3DEF8"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hideMark/>
          </w:tcPr>
          <w:p w14:paraId="15ADAB22"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D9D9D9" w:themeFill="background1" w:themeFillShade="D9"/>
            <w:tcMar>
              <w:top w:w="0" w:type="dxa"/>
              <w:left w:w="108" w:type="dxa"/>
              <w:bottom w:w="0" w:type="dxa"/>
              <w:right w:w="108" w:type="dxa"/>
            </w:tcMar>
            <w:vAlign w:val="center"/>
            <w:hideMark/>
          </w:tcPr>
          <w:p w14:paraId="428B056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6" w:type="pct"/>
            <w:shd w:val="clear" w:color="auto" w:fill="D9D9D9" w:themeFill="background1" w:themeFillShade="D9"/>
            <w:tcMar>
              <w:top w:w="0" w:type="dxa"/>
              <w:left w:w="108" w:type="dxa"/>
              <w:bottom w:w="0" w:type="dxa"/>
              <w:right w:w="108" w:type="dxa"/>
            </w:tcMar>
            <w:vAlign w:val="center"/>
            <w:hideMark/>
          </w:tcPr>
          <w:p w14:paraId="6A5C0AC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6" w:type="pct"/>
            <w:shd w:val="clear" w:color="auto" w:fill="D9D9D9" w:themeFill="background1" w:themeFillShade="D9"/>
            <w:tcMar>
              <w:top w:w="0" w:type="dxa"/>
              <w:left w:w="108" w:type="dxa"/>
              <w:bottom w:w="0" w:type="dxa"/>
              <w:right w:w="108" w:type="dxa"/>
            </w:tcMar>
            <w:vAlign w:val="center"/>
            <w:hideMark/>
          </w:tcPr>
          <w:p w14:paraId="68164883"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4B496AF6" w14:textId="77777777" w:rsidTr="00B6017F">
        <w:trPr>
          <w:trHeight w:val="287"/>
        </w:trPr>
        <w:tc>
          <w:tcPr>
            <w:tcW w:w="716" w:type="pct"/>
            <w:vMerge/>
            <w:shd w:val="clear" w:color="auto" w:fill="D9D9D9"/>
            <w:vAlign w:val="center"/>
            <w:hideMark/>
          </w:tcPr>
          <w:p w14:paraId="2DC3F9C5"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hideMark/>
          </w:tcPr>
          <w:p w14:paraId="5251D30E"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tcMar>
              <w:top w:w="0" w:type="dxa"/>
              <w:left w:w="108" w:type="dxa"/>
              <w:bottom w:w="0" w:type="dxa"/>
              <w:right w:w="108" w:type="dxa"/>
            </w:tcMar>
            <w:vAlign w:val="center"/>
          </w:tcPr>
          <w:p w14:paraId="281AADC8"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310,2</w:t>
            </w:r>
          </w:p>
        </w:tc>
        <w:tc>
          <w:tcPr>
            <w:tcW w:w="1156" w:type="pct"/>
            <w:tcMar>
              <w:top w:w="0" w:type="dxa"/>
              <w:left w:w="108" w:type="dxa"/>
              <w:bottom w:w="0" w:type="dxa"/>
              <w:right w:w="108" w:type="dxa"/>
            </w:tcMar>
            <w:vAlign w:val="center"/>
          </w:tcPr>
          <w:p w14:paraId="2289A880"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2792,4</w:t>
            </w:r>
          </w:p>
        </w:tc>
        <w:tc>
          <w:tcPr>
            <w:tcW w:w="1156" w:type="pct"/>
            <w:tcMar>
              <w:top w:w="0" w:type="dxa"/>
              <w:left w:w="108" w:type="dxa"/>
              <w:bottom w:w="0" w:type="dxa"/>
              <w:right w:w="108" w:type="dxa"/>
            </w:tcMar>
            <w:vAlign w:val="center"/>
          </w:tcPr>
          <w:p w14:paraId="1611FDFC"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3102</w:t>
            </w:r>
          </w:p>
        </w:tc>
      </w:tr>
      <w:tr w:rsidR="00D51392" w:rsidRPr="007C4D65" w14:paraId="00F8BF55" w14:textId="77777777" w:rsidTr="00B6017F">
        <w:trPr>
          <w:trHeight w:val="483"/>
        </w:trPr>
        <w:tc>
          <w:tcPr>
            <w:tcW w:w="716" w:type="pct"/>
            <w:vMerge w:val="restart"/>
            <w:shd w:val="clear" w:color="auto" w:fill="D9D9D9"/>
            <w:tcMar>
              <w:top w:w="0" w:type="dxa"/>
              <w:left w:w="108" w:type="dxa"/>
              <w:bottom w:w="0" w:type="dxa"/>
              <w:right w:w="108" w:type="dxa"/>
            </w:tcMar>
            <w:vAlign w:val="center"/>
            <w:hideMark/>
          </w:tcPr>
          <w:p w14:paraId="5A9944F8"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6.4.4. Measure</w:t>
            </w:r>
          </w:p>
        </w:tc>
        <w:tc>
          <w:tcPr>
            <w:tcW w:w="816" w:type="pct"/>
            <w:vMerge w:val="restart"/>
            <w:tcMar>
              <w:top w:w="0" w:type="dxa"/>
              <w:left w:w="108" w:type="dxa"/>
              <w:bottom w:w="0" w:type="dxa"/>
              <w:right w:w="108" w:type="dxa"/>
            </w:tcMar>
            <w:vAlign w:val="center"/>
          </w:tcPr>
          <w:p w14:paraId="44F7C39F"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Preventing land degradation through development (construction) without plan</w:t>
            </w:r>
          </w:p>
        </w:tc>
        <w:tc>
          <w:tcPr>
            <w:tcW w:w="1156" w:type="pct"/>
            <w:shd w:val="clear" w:color="auto" w:fill="D9D9D9"/>
            <w:tcMar>
              <w:top w:w="0" w:type="dxa"/>
              <w:left w:w="108" w:type="dxa"/>
              <w:bottom w:w="0" w:type="dxa"/>
              <w:right w:w="108" w:type="dxa"/>
            </w:tcMar>
            <w:vAlign w:val="center"/>
            <w:hideMark/>
          </w:tcPr>
          <w:p w14:paraId="70188952"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6" w:type="pct"/>
            <w:shd w:val="clear" w:color="auto" w:fill="D9D9D9"/>
            <w:tcMar>
              <w:top w:w="0" w:type="dxa"/>
              <w:left w:w="108" w:type="dxa"/>
              <w:bottom w:w="0" w:type="dxa"/>
              <w:right w:w="108" w:type="dxa"/>
            </w:tcMar>
            <w:vAlign w:val="center"/>
            <w:hideMark/>
          </w:tcPr>
          <w:p w14:paraId="7858F177"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6" w:type="pct"/>
            <w:shd w:val="clear" w:color="auto" w:fill="D9D9D9"/>
            <w:vAlign w:val="center"/>
          </w:tcPr>
          <w:p w14:paraId="07346AF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7ACDF1A9" w14:textId="77777777" w:rsidTr="00B6017F">
        <w:trPr>
          <w:trHeight w:val="287"/>
        </w:trPr>
        <w:tc>
          <w:tcPr>
            <w:tcW w:w="716" w:type="pct"/>
            <w:vMerge/>
            <w:shd w:val="clear" w:color="auto" w:fill="D9D9D9"/>
            <w:vAlign w:val="center"/>
          </w:tcPr>
          <w:p w14:paraId="61D0D06E"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22D900C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79FF980C" w14:textId="68EC9705"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a law on legalization that would be aligned with the Vienna Declaration on National and Regional Policy Program</w:t>
            </w:r>
            <w:r w:rsidR="00B80FAD" w:rsidRPr="007C4D65">
              <w:rPr>
                <w:rFonts w:asciiTheme="minorHAnsi" w:hAnsiTheme="minorHAnsi"/>
                <w:sz w:val="18"/>
                <w:szCs w:val="18"/>
              </w:rPr>
              <w:t>me</w:t>
            </w:r>
            <w:r w:rsidRPr="007C4D65">
              <w:rPr>
                <w:rFonts w:asciiTheme="minorHAnsi" w:hAnsiTheme="minorHAnsi"/>
                <w:sz w:val="18"/>
                <w:szCs w:val="18"/>
              </w:rPr>
              <w:t xml:space="preserve">s regarding Informal Settlements in </w:t>
            </w:r>
            <w:proofErr w:type="gramStart"/>
            <w:r w:rsidRPr="007C4D65">
              <w:rPr>
                <w:rFonts w:asciiTheme="minorHAnsi" w:hAnsiTheme="minorHAnsi"/>
                <w:sz w:val="18"/>
                <w:szCs w:val="18"/>
              </w:rPr>
              <w:t>South Eastern</w:t>
            </w:r>
            <w:proofErr w:type="gramEnd"/>
            <w:r w:rsidRPr="007C4D65">
              <w:rPr>
                <w:rFonts w:asciiTheme="minorHAnsi" w:hAnsiTheme="minorHAnsi"/>
                <w:sz w:val="18"/>
                <w:szCs w:val="18"/>
              </w:rPr>
              <w:t xml:space="preserve"> Europe</w:t>
            </w:r>
          </w:p>
        </w:tc>
        <w:tc>
          <w:tcPr>
            <w:tcW w:w="1156" w:type="pct"/>
            <w:shd w:val="clear" w:color="auto" w:fill="FFFFFF"/>
            <w:tcMar>
              <w:top w:w="0" w:type="dxa"/>
              <w:left w:w="108" w:type="dxa"/>
              <w:bottom w:w="0" w:type="dxa"/>
              <w:right w:w="108" w:type="dxa"/>
            </w:tcMar>
            <w:vAlign w:val="center"/>
          </w:tcPr>
          <w:p w14:paraId="5D7908AE" w14:textId="2F4B662E"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Federation of BiH does not have a law on legalization. Current laws on legalization in Federation of BiH are adopted at cantonal level and do not comply with the Vienna Declaration on National and Regional Policy Program</w:t>
            </w:r>
            <w:r w:rsidR="00B80FAD" w:rsidRPr="007C4D65">
              <w:rPr>
                <w:rFonts w:asciiTheme="minorHAnsi" w:hAnsiTheme="minorHAnsi"/>
                <w:sz w:val="18"/>
                <w:szCs w:val="18"/>
              </w:rPr>
              <w:t>me</w:t>
            </w:r>
            <w:r w:rsidRPr="007C4D65">
              <w:rPr>
                <w:rFonts w:asciiTheme="minorHAnsi" w:hAnsiTheme="minorHAnsi"/>
                <w:sz w:val="18"/>
                <w:szCs w:val="18"/>
              </w:rPr>
              <w:t xml:space="preserve">s regarding Informal Settlements in </w:t>
            </w:r>
            <w:proofErr w:type="gramStart"/>
            <w:r w:rsidRPr="007C4D65">
              <w:rPr>
                <w:rFonts w:asciiTheme="minorHAnsi" w:hAnsiTheme="minorHAnsi"/>
                <w:sz w:val="18"/>
                <w:szCs w:val="18"/>
              </w:rPr>
              <w:t>South Eastern</w:t>
            </w:r>
            <w:proofErr w:type="gramEnd"/>
            <w:r w:rsidRPr="007C4D65">
              <w:rPr>
                <w:rFonts w:asciiTheme="minorHAnsi" w:hAnsiTheme="minorHAnsi"/>
                <w:sz w:val="18"/>
                <w:szCs w:val="18"/>
              </w:rPr>
              <w:t xml:space="preserve"> Europe</w:t>
            </w:r>
          </w:p>
        </w:tc>
        <w:tc>
          <w:tcPr>
            <w:tcW w:w="1156" w:type="pct"/>
            <w:shd w:val="clear" w:color="auto" w:fill="FFFFFF"/>
            <w:vAlign w:val="center"/>
          </w:tcPr>
          <w:p w14:paraId="074EF306" w14:textId="445F61C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By 2025, adopted new cantonal laws on legalization in line with the Vienna Declaration on National and Regional Policy Program</w:t>
            </w:r>
            <w:r w:rsidR="00B80FAD" w:rsidRPr="007C4D65">
              <w:rPr>
                <w:rFonts w:asciiTheme="minorHAnsi" w:hAnsiTheme="minorHAnsi"/>
                <w:sz w:val="18"/>
                <w:szCs w:val="18"/>
              </w:rPr>
              <w:t>me</w:t>
            </w:r>
            <w:r w:rsidRPr="007C4D65">
              <w:rPr>
                <w:rFonts w:asciiTheme="minorHAnsi" w:hAnsiTheme="minorHAnsi"/>
                <w:sz w:val="18"/>
                <w:szCs w:val="18"/>
              </w:rPr>
              <w:t xml:space="preserve">s regarding Informal Settlements in </w:t>
            </w:r>
            <w:proofErr w:type="gramStart"/>
            <w:r w:rsidRPr="007C4D65">
              <w:rPr>
                <w:rFonts w:asciiTheme="minorHAnsi" w:hAnsiTheme="minorHAnsi"/>
                <w:sz w:val="18"/>
                <w:szCs w:val="18"/>
              </w:rPr>
              <w:t>South Eastern</w:t>
            </w:r>
            <w:proofErr w:type="gramEnd"/>
            <w:r w:rsidRPr="007C4D65">
              <w:rPr>
                <w:rFonts w:asciiTheme="minorHAnsi" w:hAnsiTheme="minorHAnsi"/>
                <w:sz w:val="18"/>
                <w:szCs w:val="18"/>
              </w:rPr>
              <w:t xml:space="preserve"> Europe</w:t>
            </w:r>
          </w:p>
        </w:tc>
      </w:tr>
      <w:tr w:rsidR="00D51392" w:rsidRPr="007C4D65" w14:paraId="31C5B315" w14:textId="77777777" w:rsidTr="00B6017F">
        <w:trPr>
          <w:trHeight w:val="287"/>
        </w:trPr>
        <w:tc>
          <w:tcPr>
            <w:tcW w:w="716" w:type="pct"/>
            <w:vMerge/>
            <w:shd w:val="clear" w:color="auto" w:fill="D9D9D9"/>
            <w:vAlign w:val="center"/>
          </w:tcPr>
          <w:p w14:paraId="49BCE159"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6E1DDE08"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0ADBDCC9"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the Registry of illegal buildings</w:t>
            </w:r>
          </w:p>
        </w:tc>
        <w:tc>
          <w:tcPr>
            <w:tcW w:w="1156" w:type="pct"/>
            <w:shd w:val="clear" w:color="auto" w:fill="FFFFFF"/>
            <w:tcMar>
              <w:top w:w="0" w:type="dxa"/>
              <w:left w:w="108" w:type="dxa"/>
              <w:bottom w:w="0" w:type="dxa"/>
              <w:right w:w="108" w:type="dxa"/>
            </w:tcMar>
            <w:vAlign w:val="center"/>
          </w:tcPr>
          <w:p w14:paraId="2FB1B282" w14:textId="11CF9822"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Not all illegal buildings in Federation of BiH are registered</w:t>
            </w:r>
          </w:p>
        </w:tc>
        <w:tc>
          <w:tcPr>
            <w:tcW w:w="1156" w:type="pct"/>
            <w:shd w:val="clear" w:color="auto" w:fill="FFFFFF"/>
            <w:vAlign w:val="center"/>
          </w:tcPr>
          <w:p w14:paraId="4F19F480"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 xml:space="preserve">By 2026, all illegal buildings </w:t>
            </w:r>
            <w:proofErr w:type="gramStart"/>
            <w:r w:rsidRPr="007C4D65">
              <w:rPr>
                <w:rFonts w:asciiTheme="minorHAnsi" w:hAnsiTheme="minorHAnsi"/>
                <w:sz w:val="18"/>
                <w:szCs w:val="18"/>
              </w:rPr>
              <w:t>registered</w:t>
            </w:r>
            <w:proofErr w:type="gramEnd"/>
            <w:r w:rsidRPr="007C4D65">
              <w:rPr>
                <w:rFonts w:asciiTheme="minorHAnsi" w:hAnsiTheme="minorHAnsi"/>
                <w:sz w:val="18"/>
                <w:szCs w:val="18"/>
              </w:rPr>
              <w:t xml:space="preserve"> and data integrated in the spatial data information system</w:t>
            </w:r>
          </w:p>
        </w:tc>
      </w:tr>
      <w:tr w:rsidR="00D51392" w:rsidRPr="007C4D65" w14:paraId="46A61AA5" w14:textId="77777777" w:rsidTr="00B6017F">
        <w:trPr>
          <w:trHeight w:val="287"/>
        </w:trPr>
        <w:tc>
          <w:tcPr>
            <w:tcW w:w="716" w:type="pct"/>
            <w:vMerge/>
            <w:shd w:val="clear" w:color="auto" w:fill="D9D9D9"/>
            <w:vAlign w:val="center"/>
          </w:tcPr>
          <w:p w14:paraId="08740BA4"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66EF525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0636C38D"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operational plans for prevention of unplanned construction and adoption of programmes to demolish illegal buildings</w:t>
            </w:r>
          </w:p>
        </w:tc>
        <w:tc>
          <w:tcPr>
            <w:tcW w:w="1156" w:type="pct"/>
            <w:shd w:val="clear" w:color="auto" w:fill="FFFFFF"/>
            <w:tcMar>
              <w:top w:w="0" w:type="dxa"/>
              <w:left w:w="108" w:type="dxa"/>
              <w:bottom w:w="0" w:type="dxa"/>
              <w:right w:w="108" w:type="dxa"/>
            </w:tcMar>
            <w:vAlign w:val="center"/>
          </w:tcPr>
          <w:p w14:paraId="7DF8B9EE" w14:textId="4123F538"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Federation of BiH does not have operational plans for prevention of unplanned construction. Illegal buildings are rarely demolished, and there is no </w:t>
            </w:r>
            <w:proofErr w:type="gramStart"/>
            <w:r w:rsidRPr="007C4D65">
              <w:rPr>
                <w:rFonts w:asciiTheme="minorHAnsi" w:hAnsiTheme="minorHAnsi"/>
                <w:sz w:val="18"/>
                <w:szCs w:val="18"/>
              </w:rPr>
              <w:t>particular planned</w:t>
            </w:r>
            <w:proofErr w:type="gramEnd"/>
            <w:r w:rsidRPr="007C4D65">
              <w:rPr>
                <w:rFonts w:asciiTheme="minorHAnsi" w:hAnsiTheme="minorHAnsi"/>
                <w:sz w:val="18"/>
                <w:szCs w:val="18"/>
              </w:rPr>
              <w:t xml:space="preserve"> approach</w:t>
            </w:r>
          </w:p>
        </w:tc>
        <w:tc>
          <w:tcPr>
            <w:tcW w:w="1156" w:type="pct"/>
            <w:shd w:val="clear" w:color="auto" w:fill="FFFFFF"/>
            <w:vAlign w:val="center"/>
          </w:tcPr>
          <w:p w14:paraId="4A01EB21"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By 2027, developed cantonal operational plans for prevention of unplanned development (construction) and adopted programmes to demolish the illegal buildings</w:t>
            </w:r>
          </w:p>
        </w:tc>
      </w:tr>
      <w:tr w:rsidR="00D51392" w:rsidRPr="007C4D65" w14:paraId="6EC7A5C9" w14:textId="77777777" w:rsidTr="00B6017F">
        <w:trPr>
          <w:trHeight w:val="287"/>
        </w:trPr>
        <w:tc>
          <w:tcPr>
            <w:tcW w:w="716" w:type="pct"/>
            <w:vMerge/>
            <w:shd w:val="clear" w:color="auto" w:fill="D9D9D9"/>
            <w:vAlign w:val="center"/>
          </w:tcPr>
          <w:p w14:paraId="6D58F49F"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08AD58F3"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7D3A0604"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decisions to limit the use of good quality land (agricultural zone I) for construction of apartments, industrial facilities and other buildings</w:t>
            </w:r>
          </w:p>
        </w:tc>
        <w:tc>
          <w:tcPr>
            <w:tcW w:w="1156" w:type="pct"/>
            <w:shd w:val="clear" w:color="auto" w:fill="FFFFFF"/>
            <w:tcMar>
              <w:top w:w="0" w:type="dxa"/>
              <w:left w:w="108" w:type="dxa"/>
              <w:bottom w:w="0" w:type="dxa"/>
              <w:right w:w="108" w:type="dxa"/>
            </w:tcMar>
            <w:vAlign w:val="center"/>
          </w:tcPr>
          <w:p w14:paraId="3605B9F2" w14:textId="1B834BEC"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Law on agricultural land of Federation of BiH prohibits the use of best quality land of classes I-IV for any purpose other than agriculture. Repurposing is possible if it involves capital structures of public interest.  There are no special decisions restricting the use of land (agricultural zone I) and criteria for possible approval of repurposing of land</w:t>
            </w:r>
          </w:p>
        </w:tc>
        <w:tc>
          <w:tcPr>
            <w:tcW w:w="1156" w:type="pct"/>
            <w:shd w:val="clear" w:color="auto" w:fill="FFFFFF"/>
            <w:vAlign w:val="center"/>
          </w:tcPr>
          <w:p w14:paraId="14BB415F"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By 2023, adopted cantonal decisions on restricting the use of good quality land for any other purpose except for agriculture</w:t>
            </w:r>
          </w:p>
        </w:tc>
      </w:tr>
      <w:tr w:rsidR="00D51392" w:rsidRPr="007C4D65" w14:paraId="649C80FB" w14:textId="77777777" w:rsidTr="00B6017F">
        <w:trPr>
          <w:trHeight w:val="287"/>
        </w:trPr>
        <w:tc>
          <w:tcPr>
            <w:tcW w:w="716" w:type="pct"/>
            <w:vMerge/>
            <w:shd w:val="clear" w:color="auto" w:fill="D9D9D9"/>
            <w:vAlign w:val="center"/>
          </w:tcPr>
          <w:p w14:paraId="7C300CC6"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5A66F26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3A6E379A"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Spatial planning documentation is based on controlled development of cities </w:t>
            </w:r>
          </w:p>
        </w:tc>
        <w:tc>
          <w:tcPr>
            <w:tcW w:w="1156" w:type="pct"/>
            <w:shd w:val="clear" w:color="auto" w:fill="FFFFFF"/>
            <w:tcMar>
              <w:top w:w="0" w:type="dxa"/>
              <w:left w:w="108" w:type="dxa"/>
              <w:bottom w:w="0" w:type="dxa"/>
              <w:right w:w="108" w:type="dxa"/>
            </w:tcMar>
            <w:vAlign w:val="center"/>
          </w:tcPr>
          <w:p w14:paraId="3157F526" w14:textId="170469C3"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 xml:space="preserve">Expansion of urban areas in Federation of BiH is often done at the expense of </w:t>
            </w:r>
            <w:r w:rsidRPr="007C4D65">
              <w:rPr>
                <w:rFonts w:asciiTheme="minorHAnsi" w:hAnsiTheme="minorHAnsi"/>
                <w:sz w:val="18"/>
                <w:szCs w:val="18"/>
              </w:rPr>
              <w:lastRenderedPageBreak/>
              <w:t>good quality agricultural land. Purpose of land is determined in spatial planning documentation. Federation of BiH has not adopted spatial plan</w:t>
            </w:r>
          </w:p>
        </w:tc>
        <w:tc>
          <w:tcPr>
            <w:tcW w:w="1156" w:type="pct"/>
            <w:shd w:val="clear" w:color="auto" w:fill="FFFFFF"/>
            <w:vAlign w:val="center"/>
          </w:tcPr>
          <w:p w14:paraId="1664835B" w14:textId="77777777" w:rsidR="00D51392" w:rsidRPr="007C4D65" w:rsidRDefault="00D51392" w:rsidP="00B6017F">
            <w:pPr>
              <w:spacing w:line="276" w:lineRule="auto"/>
              <w:ind w:left="105"/>
              <w:rPr>
                <w:rFonts w:asciiTheme="minorHAnsi" w:hAnsiTheme="minorHAnsi" w:cstheme="minorHAnsi"/>
                <w:sz w:val="18"/>
                <w:szCs w:val="18"/>
              </w:rPr>
            </w:pPr>
            <w:r w:rsidRPr="007C4D65">
              <w:rPr>
                <w:rFonts w:asciiTheme="minorHAnsi" w:hAnsiTheme="minorHAnsi"/>
                <w:sz w:val="18"/>
                <w:szCs w:val="18"/>
              </w:rPr>
              <w:lastRenderedPageBreak/>
              <w:t>By 2023, spatial plan for Federation of BiH adopted</w:t>
            </w:r>
          </w:p>
          <w:p w14:paraId="290FF7A7" w14:textId="1F5A2D31" w:rsidR="00D51392" w:rsidRPr="007C4D65" w:rsidRDefault="00D51392" w:rsidP="00B6017F">
            <w:pPr>
              <w:spacing w:line="276" w:lineRule="auto"/>
              <w:ind w:left="105"/>
              <w:rPr>
                <w:rFonts w:asciiTheme="minorHAnsi" w:hAnsiTheme="minorHAnsi" w:cstheme="minorHAnsi"/>
                <w:sz w:val="18"/>
                <w:szCs w:val="18"/>
              </w:rPr>
            </w:pPr>
            <w:r w:rsidRPr="007C4D65">
              <w:rPr>
                <w:rFonts w:asciiTheme="minorHAnsi" w:hAnsiTheme="minorHAnsi"/>
                <w:sz w:val="18"/>
                <w:szCs w:val="18"/>
              </w:rPr>
              <w:lastRenderedPageBreak/>
              <w:t xml:space="preserve">By 2031, spatial planning documentation at other levels developed </w:t>
            </w:r>
            <w:proofErr w:type="gramStart"/>
            <w:r w:rsidRPr="007C4D65">
              <w:rPr>
                <w:rFonts w:asciiTheme="minorHAnsi" w:hAnsiTheme="minorHAnsi"/>
                <w:sz w:val="18"/>
                <w:szCs w:val="18"/>
              </w:rPr>
              <w:t>on the basis of</w:t>
            </w:r>
            <w:proofErr w:type="gramEnd"/>
            <w:r w:rsidRPr="007C4D65">
              <w:rPr>
                <w:rFonts w:asciiTheme="minorHAnsi" w:hAnsiTheme="minorHAnsi"/>
                <w:sz w:val="18"/>
                <w:szCs w:val="18"/>
              </w:rPr>
              <w:t xml:space="preserve"> controlled development of cities, avoiding repurposing of the good quality agricultural land</w:t>
            </w:r>
          </w:p>
        </w:tc>
      </w:tr>
      <w:tr w:rsidR="00D51392" w:rsidRPr="007C4D65" w14:paraId="6D502143" w14:textId="77777777" w:rsidTr="00B6017F">
        <w:trPr>
          <w:trHeight w:val="483"/>
        </w:trPr>
        <w:tc>
          <w:tcPr>
            <w:tcW w:w="716" w:type="pct"/>
            <w:vMerge/>
            <w:shd w:val="clear" w:color="auto" w:fill="D9D9D9"/>
            <w:vAlign w:val="center"/>
            <w:hideMark/>
          </w:tcPr>
          <w:p w14:paraId="630D09AE"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hideMark/>
          </w:tcPr>
          <w:p w14:paraId="063932A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D9D9D9"/>
            <w:tcMar>
              <w:top w:w="0" w:type="dxa"/>
              <w:left w:w="108" w:type="dxa"/>
              <w:bottom w:w="0" w:type="dxa"/>
              <w:right w:w="108" w:type="dxa"/>
            </w:tcMar>
            <w:vAlign w:val="center"/>
            <w:hideMark/>
          </w:tcPr>
          <w:p w14:paraId="5B58ED5C"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6" w:type="pct"/>
            <w:shd w:val="clear" w:color="auto" w:fill="D9D9D9"/>
            <w:tcMar>
              <w:top w:w="0" w:type="dxa"/>
              <w:left w:w="108" w:type="dxa"/>
              <w:bottom w:w="0" w:type="dxa"/>
              <w:right w:w="108" w:type="dxa"/>
            </w:tcMar>
            <w:vAlign w:val="center"/>
            <w:hideMark/>
          </w:tcPr>
          <w:p w14:paraId="7D96C134"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6" w:type="pct"/>
            <w:shd w:val="clear" w:color="auto" w:fill="D9D9D9"/>
            <w:tcMar>
              <w:top w:w="0" w:type="dxa"/>
              <w:left w:w="108" w:type="dxa"/>
              <w:bottom w:w="0" w:type="dxa"/>
              <w:right w:w="108" w:type="dxa"/>
            </w:tcMar>
            <w:vAlign w:val="center"/>
            <w:hideMark/>
          </w:tcPr>
          <w:p w14:paraId="1B7EDF7B"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5ABF539B" w14:textId="77777777" w:rsidTr="00B6017F">
        <w:trPr>
          <w:trHeight w:val="287"/>
        </w:trPr>
        <w:tc>
          <w:tcPr>
            <w:tcW w:w="716" w:type="pct"/>
            <w:vMerge/>
            <w:shd w:val="clear" w:color="auto" w:fill="D9D9D9"/>
            <w:vAlign w:val="center"/>
            <w:hideMark/>
          </w:tcPr>
          <w:p w14:paraId="3618EE4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hideMark/>
          </w:tcPr>
          <w:p w14:paraId="757A7CE6"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tcMar>
              <w:top w:w="0" w:type="dxa"/>
              <w:left w:w="108" w:type="dxa"/>
              <w:bottom w:w="0" w:type="dxa"/>
              <w:right w:w="108" w:type="dxa"/>
            </w:tcMar>
            <w:vAlign w:val="center"/>
          </w:tcPr>
          <w:p w14:paraId="77167298"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0,353</w:t>
            </w:r>
          </w:p>
        </w:tc>
        <w:tc>
          <w:tcPr>
            <w:tcW w:w="1156" w:type="pct"/>
            <w:tcMar>
              <w:top w:w="0" w:type="dxa"/>
              <w:left w:w="108" w:type="dxa"/>
              <w:bottom w:w="0" w:type="dxa"/>
              <w:right w:w="108" w:type="dxa"/>
            </w:tcMar>
            <w:vAlign w:val="center"/>
          </w:tcPr>
          <w:p w14:paraId="333738EA"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w:t>
            </w:r>
          </w:p>
        </w:tc>
        <w:tc>
          <w:tcPr>
            <w:tcW w:w="1156" w:type="pct"/>
            <w:tcMar>
              <w:top w:w="0" w:type="dxa"/>
              <w:left w:w="108" w:type="dxa"/>
              <w:bottom w:w="0" w:type="dxa"/>
              <w:right w:w="108" w:type="dxa"/>
            </w:tcMar>
            <w:vAlign w:val="center"/>
          </w:tcPr>
          <w:p w14:paraId="688F410C"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0,353</w:t>
            </w:r>
          </w:p>
        </w:tc>
      </w:tr>
      <w:tr w:rsidR="00D51392" w:rsidRPr="007C4D65" w14:paraId="47596A0D" w14:textId="77777777" w:rsidTr="00B6017F">
        <w:trPr>
          <w:trHeight w:val="483"/>
        </w:trPr>
        <w:tc>
          <w:tcPr>
            <w:tcW w:w="716" w:type="pct"/>
            <w:vMerge w:val="restart"/>
            <w:shd w:val="clear" w:color="auto" w:fill="D9D9D9"/>
            <w:tcMar>
              <w:top w:w="0" w:type="dxa"/>
              <w:left w:w="108" w:type="dxa"/>
              <w:bottom w:w="0" w:type="dxa"/>
              <w:right w:w="108" w:type="dxa"/>
            </w:tcMar>
            <w:vAlign w:val="center"/>
            <w:hideMark/>
          </w:tcPr>
          <w:p w14:paraId="78F750E0"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6.4.5. Measure</w:t>
            </w:r>
          </w:p>
        </w:tc>
        <w:tc>
          <w:tcPr>
            <w:tcW w:w="816" w:type="pct"/>
            <w:vMerge w:val="restart"/>
            <w:tcMar>
              <w:top w:w="0" w:type="dxa"/>
              <w:left w:w="108" w:type="dxa"/>
              <w:bottom w:w="0" w:type="dxa"/>
              <w:right w:w="108" w:type="dxa"/>
            </w:tcMar>
            <w:vAlign w:val="center"/>
          </w:tcPr>
          <w:p w14:paraId="42E68CF9"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Removing land mines</w:t>
            </w:r>
          </w:p>
        </w:tc>
        <w:tc>
          <w:tcPr>
            <w:tcW w:w="1156" w:type="pct"/>
            <w:shd w:val="clear" w:color="auto" w:fill="D9D9D9"/>
            <w:tcMar>
              <w:top w:w="0" w:type="dxa"/>
              <w:left w:w="108" w:type="dxa"/>
              <w:bottom w:w="0" w:type="dxa"/>
              <w:right w:w="108" w:type="dxa"/>
            </w:tcMar>
            <w:vAlign w:val="center"/>
            <w:hideMark/>
          </w:tcPr>
          <w:p w14:paraId="21BB000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6" w:type="pct"/>
            <w:shd w:val="clear" w:color="auto" w:fill="D9D9D9"/>
            <w:tcMar>
              <w:top w:w="0" w:type="dxa"/>
              <w:left w:w="108" w:type="dxa"/>
              <w:bottom w:w="0" w:type="dxa"/>
              <w:right w:w="108" w:type="dxa"/>
            </w:tcMar>
            <w:vAlign w:val="center"/>
            <w:hideMark/>
          </w:tcPr>
          <w:p w14:paraId="1DFBEE2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6" w:type="pct"/>
            <w:shd w:val="clear" w:color="auto" w:fill="D9D9D9"/>
            <w:vAlign w:val="center"/>
          </w:tcPr>
          <w:p w14:paraId="64EBDBB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58526FD9" w14:textId="77777777" w:rsidTr="00B6017F">
        <w:trPr>
          <w:trHeight w:val="287"/>
        </w:trPr>
        <w:tc>
          <w:tcPr>
            <w:tcW w:w="716" w:type="pct"/>
            <w:vMerge/>
            <w:shd w:val="clear" w:color="auto" w:fill="D9D9D9"/>
            <w:vAlign w:val="center"/>
          </w:tcPr>
          <w:p w14:paraId="4C465BC0"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tcPr>
          <w:p w14:paraId="423AA53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FFFFFF"/>
            <w:tcMar>
              <w:top w:w="0" w:type="dxa"/>
              <w:left w:w="108" w:type="dxa"/>
              <w:bottom w:w="0" w:type="dxa"/>
              <w:right w:w="108" w:type="dxa"/>
            </w:tcMar>
            <w:vAlign w:val="center"/>
          </w:tcPr>
          <w:p w14:paraId="5EE158B1"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color w:val="000000"/>
                <w:sz w:val="18"/>
                <w:szCs w:val="18"/>
              </w:rPr>
              <w:t>Land mines</w:t>
            </w:r>
          </w:p>
        </w:tc>
        <w:tc>
          <w:tcPr>
            <w:tcW w:w="1156" w:type="pct"/>
            <w:shd w:val="clear" w:color="auto" w:fill="FFFFFF"/>
            <w:tcMar>
              <w:top w:w="0" w:type="dxa"/>
              <w:left w:w="108" w:type="dxa"/>
              <w:bottom w:w="0" w:type="dxa"/>
              <w:right w:w="108" w:type="dxa"/>
            </w:tcMar>
            <w:vAlign w:val="center"/>
          </w:tcPr>
          <w:p w14:paraId="0614681A" w14:textId="3115D1CD"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In 2020, 966m</w:t>
            </w:r>
            <w:r w:rsidRPr="007C4D65">
              <w:rPr>
                <w:rFonts w:asciiTheme="minorHAnsi" w:hAnsiTheme="minorHAnsi"/>
                <w:sz w:val="18"/>
                <w:szCs w:val="18"/>
                <w:vertAlign w:val="superscript"/>
              </w:rPr>
              <w:t>2</w:t>
            </w:r>
            <w:r w:rsidRPr="007C4D65">
              <w:rPr>
                <w:rFonts w:asciiTheme="minorHAnsi" w:hAnsiTheme="minorHAnsi"/>
                <w:sz w:val="18"/>
                <w:szCs w:val="18"/>
              </w:rPr>
              <w:t xml:space="preserve"> of area in </w:t>
            </w:r>
            <w:r w:rsidR="0058588C" w:rsidRPr="007C4D65">
              <w:rPr>
                <w:rFonts w:asciiTheme="minorHAnsi" w:hAnsiTheme="minorHAnsi"/>
                <w:sz w:val="18"/>
                <w:szCs w:val="18"/>
              </w:rPr>
              <w:t>Federation of BiH</w:t>
            </w:r>
            <w:r w:rsidRPr="007C4D65">
              <w:rPr>
                <w:rFonts w:asciiTheme="minorHAnsi" w:hAnsiTheme="minorHAnsi"/>
                <w:sz w:val="18"/>
                <w:szCs w:val="18"/>
              </w:rPr>
              <w:t xml:space="preserve"> was found to be polluted by land mines</w:t>
            </w:r>
          </w:p>
        </w:tc>
        <w:tc>
          <w:tcPr>
            <w:tcW w:w="1156" w:type="pct"/>
            <w:shd w:val="clear" w:color="auto" w:fill="FFFFFF"/>
            <w:vAlign w:val="center"/>
          </w:tcPr>
          <w:p w14:paraId="57EA7334" w14:textId="618471FD"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Complete demining of 100% of land by 2030</w:t>
            </w:r>
          </w:p>
        </w:tc>
      </w:tr>
      <w:tr w:rsidR="00D51392" w:rsidRPr="007C4D65" w14:paraId="3103C601" w14:textId="77777777" w:rsidTr="00B6017F">
        <w:trPr>
          <w:trHeight w:val="483"/>
        </w:trPr>
        <w:tc>
          <w:tcPr>
            <w:tcW w:w="716" w:type="pct"/>
            <w:vMerge/>
            <w:shd w:val="clear" w:color="auto" w:fill="D9D9D9"/>
            <w:vAlign w:val="center"/>
            <w:hideMark/>
          </w:tcPr>
          <w:p w14:paraId="6D99CF7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hideMark/>
          </w:tcPr>
          <w:p w14:paraId="40B9F1AF"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shd w:val="clear" w:color="auto" w:fill="D9D9D9"/>
            <w:tcMar>
              <w:top w:w="0" w:type="dxa"/>
              <w:left w:w="108" w:type="dxa"/>
              <w:bottom w:w="0" w:type="dxa"/>
              <w:right w:w="108" w:type="dxa"/>
            </w:tcMar>
            <w:vAlign w:val="center"/>
            <w:hideMark/>
          </w:tcPr>
          <w:p w14:paraId="3879A968"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6" w:type="pct"/>
            <w:shd w:val="clear" w:color="auto" w:fill="D9D9D9"/>
            <w:tcMar>
              <w:top w:w="0" w:type="dxa"/>
              <w:left w:w="108" w:type="dxa"/>
              <w:bottom w:w="0" w:type="dxa"/>
              <w:right w:w="108" w:type="dxa"/>
            </w:tcMar>
            <w:vAlign w:val="center"/>
            <w:hideMark/>
          </w:tcPr>
          <w:p w14:paraId="2E64C4A9"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6" w:type="pct"/>
            <w:shd w:val="clear" w:color="auto" w:fill="D9D9D9"/>
            <w:tcMar>
              <w:top w:w="0" w:type="dxa"/>
              <w:left w:w="108" w:type="dxa"/>
              <w:bottom w:w="0" w:type="dxa"/>
              <w:right w:w="108" w:type="dxa"/>
            </w:tcMar>
            <w:vAlign w:val="center"/>
            <w:hideMark/>
          </w:tcPr>
          <w:p w14:paraId="6AD964F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1C6F28E5" w14:textId="77777777" w:rsidTr="00B6017F">
        <w:trPr>
          <w:trHeight w:val="287"/>
        </w:trPr>
        <w:tc>
          <w:tcPr>
            <w:tcW w:w="716" w:type="pct"/>
            <w:vMerge/>
            <w:shd w:val="clear" w:color="auto" w:fill="D9D9D9"/>
            <w:vAlign w:val="center"/>
            <w:hideMark/>
          </w:tcPr>
          <w:p w14:paraId="78CFDF83"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6" w:type="pct"/>
            <w:vMerge/>
            <w:vAlign w:val="center"/>
            <w:hideMark/>
          </w:tcPr>
          <w:p w14:paraId="59BEABE9"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6" w:type="pct"/>
            <w:tcMar>
              <w:top w:w="0" w:type="dxa"/>
              <w:left w:w="108" w:type="dxa"/>
              <w:bottom w:w="0" w:type="dxa"/>
              <w:right w:w="108" w:type="dxa"/>
            </w:tcMar>
            <w:vAlign w:val="center"/>
          </w:tcPr>
          <w:p w14:paraId="02D5E549"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23,02</w:t>
            </w:r>
          </w:p>
        </w:tc>
        <w:tc>
          <w:tcPr>
            <w:tcW w:w="1156" w:type="pct"/>
            <w:tcMar>
              <w:top w:w="0" w:type="dxa"/>
              <w:left w:w="108" w:type="dxa"/>
              <w:bottom w:w="0" w:type="dxa"/>
              <w:right w:w="108" w:type="dxa"/>
            </w:tcMar>
            <w:vAlign w:val="center"/>
          </w:tcPr>
          <w:p w14:paraId="62C9DA9D"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207,2</w:t>
            </w:r>
          </w:p>
        </w:tc>
        <w:tc>
          <w:tcPr>
            <w:tcW w:w="1156" w:type="pct"/>
            <w:tcMar>
              <w:top w:w="0" w:type="dxa"/>
              <w:left w:w="108" w:type="dxa"/>
              <w:bottom w:w="0" w:type="dxa"/>
              <w:right w:w="108" w:type="dxa"/>
            </w:tcMar>
            <w:vAlign w:val="center"/>
          </w:tcPr>
          <w:p w14:paraId="74D4A29C"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230,2</w:t>
            </w:r>
          </w:p>
        </w:tc>
      </w:tr>
    </w:tbl>
    <w:p w14:paraId="6F809428" w14:textId="77777777" w:rsidR="00D51392" w:rsidRPr="007C4D65" w:rsidRDefault="00D51392" w:rsidP="00D51392">
      <w:pPr>
        <w:spacing w:line="276" w:lineRule="auto"/>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981"/>
        <w:gridCol w:w="2268"/>
        <w:gridCol w:w="3233"/>
        <w:gridCol w:w="3233"/>
        <w:gridCol w:w="3233"/>
      </w:tblGrid>
      <w:tr w:rsidR="00D51392" w:rsidRPr="007C4D65" w14:paraId="1B79C836" w14:textId="77777777" w:rsidTr="00B6017F">
        <w:trPr>
          <w:trHeight w:val="384"/>
        </w:trPr>
        <w:tc>
          <w:tcPr>
            <w:tcW w:w="710" w:type="pct"/>
            <w:vMerge w:val="restart"/>
            <w:shd w:val="clear" w:color="auto" w:fill="D9D9D9"/>
            <w:tcMar>
              <w:top w:w="0" w:type="dxa"/>
              <w:left w:w="108" w:type="dxa"/>
              <w:bottom w:w="0" w:type="dxa"/>
              <w:right w:w="108" w:type="dxa"/>
            </w:tcMar>
            <w:vAlign w:val="center"/>
          </w:tcPr>
          <w:p w14:paraId="32C0C0DD"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6.5. Priority</w:t>
            </w:r>
          </w:p>
          <w:p w14:paraId="27B39B5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3" w:type="pct"/>
            <w:vMerge w:val="restart"/>
            <w:tcMar>
              <w:top w:w="0" w:type="dxa"/>
              <w:left w:w="108" w:type="dxa"/>
              <w:bottom w:w="0" w:type="dxa"/>
              <w:right w:w="108" w:type="dxa"/>
            </w:tcMar>
            <w:vAlign w:val="center"/>
          </w:tcPr>
          <w:p w14:paraId="305BA6F6" w14:textId="77777777" w:rsidR="00D51392" w:rsidRPr="007C4D65" w:rsidRDefault="00D51392" w:rsidP="00B6017F">
            <w:pPr>
              <w:spacing w:line="276" w:lineRule="auto"/>
              <w:rPr>
                <w:rFonts w:asciiTheme="minorHAnsi" w:hAnsiTheme="minorHAnsi" w:cstheme="minorHAnsi"/>
                <w:b/>
                <w:sz w:val="18"/>
                <w:szCs w:val="18"/>
              </w:rPr>
            </w:pPr>
            <w:r w:rsidRPr="007C4D65">
              <w:rPr>
                <w:rFonts w:asciiTheme="minorHAnsi" w:hAnsiTheme="minorHAnsi"/>
                <w:b/>
                <w:sz w:val="18"/>
                <w:szCs w:val="18"/>
              </w:rPr>
              <w:t>Establish a system of sustainable and responsible research, exploitation and management of mineral resources</w:t>
            </w:r>
          </w:p>
          <w:p w14:paraId="4720E7FC" w14:textId="77777777" w:rsidR="00D51392" w:rsidRPr="007C4D65" w:rsidRDefault="00D51392" w:rsidP="00B6017F">
            <w:pPr>
              <w:spacing w:after="120" w:line="276" w:lineRule="auto"/>
              <w:ind w:hanging="2"/>
              <w:contextualSpacing/>
              <w:rPr>
                <w:rFonts w:asciiTheme="minorHAnsi" w:hAnsiTheme="minorHAnsi" w:cstheme="minorHAnsi"/>
                <w:b/>
                <w:color w:val="000000"/>
                <w:sz w:val="18"/>
                <w:szCs w:val="18"/>
                <w:lang w:val="hr-HR"/>
              </w:rPr>
            </w:pPr>
          </w:p>
        </w:tc>
        <w:tc>
          <w:tcPr>
            <w:tcW w:w="1159" w:type="pct"/>
            <w:shd w:val="clear" w:color="auto" w:fill="D9D9D9"/>
            <w:tcMar>
              <w:top w:w="0" w:type="dxa"/>
              <w:left w:w="108" w:type="dxa"/>
              <w:bottom w:w="0" w:type="dxa"/>
              <w:right w:w="108" w:type="dxa"/>
            </w:tcMar>
            <w:vAlign w:val="center"/>
          </w:tcPr>
          <w:p w14:paraId="5470865D" w14:textId="77777777" w:rsidR="00D51392" w:rsidRPr="007C4D65" w:rsidRDefault="00D51392" w:rsidP="00B6017F">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b/>
                <w:sz w:val="18"/>
                <w:szCs w:val="18"/>
              </w:rPr>
              <w:t>Indicators of the priority</w:t>
            </w:r>
          </w:p>
        </w:tc>
        <w:tc>
          <w:tcPr>
            <w:tcW w:w="1159" w:type="pct"/>
            <w:shd w:val="clear" w:color="auto" w:fill="D9D9D9"/>
            <w:tcMar>
              <w:top w:w="0" w:type="dxa"/>
              <w:left w:w="108" w:type="dxa"/>
              <w:bottom w:w="0" w:type="dxa"/>
              <w:right w:w="108" w:type="dxa"/>
            </w:tcMar>
            <w:vAlign w:val="center"/>
          </w:tcPr>
          <w:p w14:paraId="7BDF7320"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tcMar>
              <w:top w:w="0" w:type="dxa"/>
              <w:left w:w="108" w:type="dxa"/>
              <w:bottom w:w="0" w:type="dxa"/>
              <w:right w:w="108" w:type="dxa"/>
            </w:tcMar>
            <w:vAlign w:val="center"/>
          </w:tcPr>
          <w:p w14:paraId="46508E8E"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1987A47E" w14:textId="77777777" w:rsidTr="00B6017F">
        <w:trPr>
          <w:trHeight w:val="287"/>
        </w:trPr>
        <w:tc>
          <w:tcPr>
            <w:tcW w:w="710" w:type="pct"/>
            <w:vMerge/>
            <w:shd w:val="clear" w:color="auto" w:fill="D9D9D9"/>
            <w:vAlign w:val="center"/>
            <w:hideMark/>
          </w:tcPr>
          <w:p w14:paraId="2A02854D"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3DC0B1F7"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24782627"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a framework for sustainable use and exploitation of mineral resources</w:t>
            </w:r>
          </w:p>
        </w:tc>
        <w:tc>
          <w:tcPr>
            <w:tcW w:w="1159" w:type="pct"/>
            <w:tcMar>
              <w:top w:w="0" w:type="dxa"/>
              <w:left w:w="108" w:type="dxa"/>
              <w:bottom w:w="0" w:type="dxa"/>
              <w:right w:w="108" w:type="dxa"/>
            </w:tcMar>
          </w:tcPr>
          <w:p w14:paraId="305C5C58" w14:textId="2D1E659D"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Federation of BiH does not have an integrated framework for managing mineral resources, that would include recovery of resources from products, manufacturing or construction, so the exploitation and import of raw materials is currently the only solution</w:t>
            </w:r>
          </w:p>
        </w:tc>
        <w:tc>
          <w:tcPr>
            <w:tcW w:w="1159" w:type="pct"/>
            <w:tcMar>
              <w:top w:w="0" w:type="dxa"/>
              <w:left w:w="108" w:type="dxa"/>
              <w:bottom w:w="0" w:type="dxa"/>
              <w:right w:w="108" w:type="dxa"/>
            </w:tcMar>
          </w:tcPr>
          <w:p w14:paraId="624F5BF5"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 xml:space="preserve">By 2026, developed is a strategy for cost </w:t>
            </w:r>
            <w:proofErr w:type="gramStart"/>
            <w:r w:rsidRPr="007C4D65">
              <w:rPr>
                <w:rFonts w:asciiTheme="minorHAnsi" w:hAnsiTheme="minorHAnsi"/>
                <w:sz w:val="18"/>
                <w:szCs w:val="18"/>
              </w:rPr>
              <w:t>effective,  socially</w:t>
            </w:r>
            <w:proofErr w:type="gramEnd"/>
            <w:r w:rsidRPr="007C4D65">
              <w:rPr>
                <w:rFonts w:asciiTheme="minorHAnsi" w:hAnsiTheme="minorHAnsi"/>
                <w:sz w:val="18"/>
                <w:szCs w:val="18"/>
              </w:rPr>
              <w:t xml:space="preserve"> and environmentally acceptable exploitation of ores and minerals that includes recovery of mineral and metallic resources from waste (urban mining, circular economy)</w:t>
            </w:r>
          </w:p>
        </w:tc>
      </w:tr>
      <w:tr w:rsidR="00D51392" w:rsidRPr="007C4D65" w14:paraId="56328DC9" w14:textId="77777777" w:rsidTr="00B6017F">
        <w:trPr>
          <w:trHeight w:val="287"/>
        </w:trPr>
        <w:tc>
          <w:tcPr>
            <w:tcW w:w="710" w:type="pct"/>
            <w:vMerge/>
            <w:shd w:val="clear" w:color="auto" w:fill="D9D9D9"/>
            <w:vAlign w:val="center"/>
          </w:tcPr>
          <w:p w14:paraId="03BE2B20"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31892AB1"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76378763" w14:textId="022CFE19"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programmes and plans for more efficient exploitation of mineral resources</w:t>
            </w:r>
          </w:p>
        </w:tc>
        <w:tc>
          <w:tcPr>
            <w:tcW w:w="1159" w:type="pct"/>
            <w:tcMar>
              <w:top w:w="0" w:type="dxa"/>
              <w:left w:w="108" w:type="dxa"/>
              <w:bottom w:w="0" w:type="dxa"/>
              <w:right w:w="108" w:type="dxa"/>
            </w:tcMar>
          </w:tcPr>
          <w:p w14:paraId="4B51DEEB" w14:textId="6E074135" w:rsidR="00D51392" w:rsidRPr="007C4D65" w:rsidRDefault="00D51392" w:rsidP="00B6017F">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Current level of technical equipment in Federation of BiH is not conductive for efficient exploitation of raw materials</w:t>
            </w:r>
          </w:p>
        </w:tc>
        <w:tc>
          <w:tcPr>
            <w:tcW w:w="1159" w:type="pct"/>
            <w:tcMar>
              <w:top w:w="0" w:type="dxa"/>
              <w:left w:w="108" w:type="dxa"/>
              <w:bottom w:w="0" w:type="dxa"/>
              <w:right w:w="108" w:type="dxa"/>
            </w:tcMar>
          </w:tcPr>
          <w:p w14:paraId="1EE1C440"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By 2029, adopted are programmes and plans for introduction of contemporary technology in ore mines owned by the Federation of BiH for the purpose of providing conditions for improved efficiency of exploitation and use of mineral resources and prevention of generation of waste</w:t>
            </w:r>
          </w:p>
        </w:tc>
      </w:tr>
      <w:tr w:rsidR="00D51392" w:rsidRPr="007C4D65" w14:paraId="563E07DC" w14:textId="77777777" w:rsidTr="00B6017F">
        <w:trPr>
          <w:trHeight w:val="287"/>
        </w:trPr>
        <w:tc>
          <w:tcPr>
            <w:tcW w:w="710" w:type="pct"/>
            <w:vMerge/>
            <w:shd w:val="clear" w:color="auto" w:fill="D9D9D9"/>
            <w:vAlign w:val="center"/>
            <w:hideMark/>
          </w:tcPr>
          <w:p w14:paraId="6C763D3F"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0F1882F1"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3A63FE24"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tcPr>
          <w:p w14:paraId="2919737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tcPr>
          <w:p w14:paraId="506F3B2D"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r w:rsidR="00D51392" w:rsidRPr="007C4D65" w14:paraId="4D637D53" w14:textId="77777777" w:rsidTr="00B6017F">
        <w:trPr>
          <w:trHeight w:val="287"/>
        </w:trPr>
        <w:tc>
          <w:tcPr>
            <w:tcW w:w="710" w:type="pct"/>
            <w:vMerge/>
            <w:shd w:val="clear" w:color="auto" w:fill="D9D9D9"/>
            <w:vAlign w:val="center"/>
          </w:tcPr>
          <w:p w14:paraId="24C06CF3"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05205A95"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53FB15D"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0,048</w:t>
            </w:r>
          </w:p>
        </w:tc>
        <w:tc>
          <w:tcPr>
            <w:tcW w:w="1159" w:type="pct"/>
            <w:tcMar>
              <w:top w:w="0" w:type="dxa"/>
              <w:left w:w="108" w:type="dxa"/>
              <w:bottom w:w="0" w:type="dxa"/>
              <w:right w:w="108" w:type="dxa"/>
            </w:tcMar>
            <w:vAlign w:val="center"/>
          </w:tcPr>
          <w:p w14:paraId="37840F35"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0,112</w:t>
            </w:r>
          </w:p>
        </w:tc>
        <w:tc>
          <w:tcPr>
            <w:tcW w:w="1159" w:type="pct"/>
            <w:tcMar>
              <w:top w:w="0" w:type="dxa"/>
              <w:left w:w="108" w:type="dxa"/>
              <w:bottom w:w="0" w:type="dxa"/>
              <w:right w:w="108" w:type="dxa"/>
            </w:tcMar>
            <w:vAlign w:val="center"/>
          </w:tcPr>
          <w:p w14:paraId="60483699" w14:textId="77777777" w:rsidR="00D51392" w:rsidRPr="007C4D65" w:rsidRDefault="00D51392" w:rsidP="00B6017F">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sz w:val="18"/>
                <w:szCs w:val="18"/>
              </w:rPr>
              <w:t>0,160</w:t>
            </w:r>
          </w:p>
        </w:tc>
      </w:tr>
    </w:tbl>
    <w:p w14:paraId="7CCBA8A6" w14:textId="77777777" w:rsidR="00D51392" w:rsidRPr="007C4D65" w:rsidRDefault="00D51392" w:rsidP="00D51392">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981"/>
        <w:gridCol w:w="2268"/>
        <w:gridCol w:w="3233"/>
        <w:gridCol w:w="3233"/>
        <w:gridCol w:w="3233"/>
      </w:tblGrid>
      <w:tr w:rsidR="00D51392" w:rsidRPr="007C4D65" w14:paraId="69EC4DBC" w14:textId="77777777" w:rsidTr="00B6017F">
        <w:trPr>
          <w:trHeight w:val="483"/>
        </w:trPr>
        <w:tc>
          <w:tcPr>
            <w:tcW w:w="710" w:type="pct"/>
            <w:vMerge w:val="restart"/>
            <w:shd w:val="clear" w:color="auto" w:fill="D9D9D9"/>
            <w:tcMar>
              <w:top w:w="0" w:type="dxa"/>
              <w:left w:w="108" w:type="dxa"/>
              <w:bottom w:w="0" w:type="dxa"/>
              <w:right w:w="108" w:type="dxa"/>
            </w:tcMar>
            <w:vAlign w:val="center"/>
            <w:hideMark/>
          </w:tcPr>
          <w:p w14:paraId="2C11DDCB" w14:textId="77777777" w:rsidR="00D51392" w:rsidRPr="007C4D65" w:rsidRDefault="00D51392" w:rsidP="00B6017F">
            <w:pPr>
              <w:spacing w:after="120" w:line="276" w:lineRule="auto"/>
              <w:ind w:hanging="2"/>
              <w:contextualSpacing/>
              <w:rPr>
                <w:rFonts w:asciiTheme="minorHAnsi" w:hAnsiTheme="minorHAnsi" w:cstheme="minorHAnsi"/>
                <w:b/>
                <w:sz w:val="18"/>
                <w:szCs w:val="18"/>
              </w:rPr>
            </w:pPr>
            <w:r w:rsidRPr="007C4D65">
              <w:rPr>
                <w:rFonts w:asciiTheme="minorHAnsi" w:hAnsiTheme="minorHAnsi"/>
                <w:b/>
                <w:sz w:val="18"/>
                <w:szCs w:val="18"/>
              </w:rPr>
              <w:t>6.5.1. Measure</w:t>
            </w:r>
          </w:p>
        </w:tc>
        <w:tc>
          <w:tcPr>
            <w:tcW w:w="813" w:type="pct"/>
            <w:vMerge w:val="restart"/>
            <w:tcMar>
              <w:top w:w="0" w:type="dxa"/>
              <w:left w:w="108" w:type="dxa"/>
              <w:bottom w:w="0" w:type="dxa"/>
              <w:right w:w="108" w:type="dxa"/>
            </w:tcMar>
            <w:vAlign w:val="center"/>
          </w:tcPr>
          <w:p w14:paraId="44768764" w14:textId="77777777"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Establishing a framework for sustainable use and exploitation of mineral resources</w:t>
            </w:r>
          </w:p>
        </w:tc>
        <w:tc>
          <w:tcPr>
            <w:tcW w:w="1159" w:type="pct"/>
            <w:shd w:val="clear" w:color="auto" w:fill="D9D9D9"/>
            <w:tcMar>
              <w:top w:w="0" w:type="dxa"/>
              <w:left w:w="108" w:type="dxa"/>
              <w:bottom w:w="0" w:type="dxa"/>
              <w:right w:w="108" w:type="dxa"/>
            </w:tcMar>
            <w:vAlign w:val="center"/>
            <w:hideMark/>
          </w:tcPr>
          <w:p w14:paraId="1234EE95"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Indicators of the measure</w:t>
            </w:r>
          </w:p>
        </w:tc>
        <w:tc>
          <w:tcPr>
            <w:tcW w:w="1159" w:type="pct"/>
            <w:shd w:val="clear" w:color="auto" w:fill="D9D9D9"/>
            <w:tcMar>
              <w:top w:w="0" w:type="dxa"/>
              <w:left w:w="108" w:type="dxa"/>
              <w:bottom w:w="0" w:type="dxa"/>
              <w:right w:w="108" w:type="dxa"/>
            </w:tcMar>
            <w:vAlign w:val="center"/>
            <w:hideMark/>
          </w:tcPr>
          <w:p w14:paraId="13B1892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baseline values</w:t>
            </w:r>
          </w:p>
        </w:tc>
        <w:tc>
          <w:tcPr>
            <w:tcW w:w="1159" w:type="pct"/>
            <w:shd w:val="clear" w:color="auto" w:fill="D9D9D9"/>
            <w:vAlign w:val="center"/>
          </w:tcPr>
          <w:p w14:paraId="1CE72111"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Indicator target values</w:t>
            </w:r>
          </w:p>
        </w:tc>
      </w:tr>
      <w:tr w:rsidR="00D51392" w:rsidRPr="007C4D65" w14:paraId="2A6AC7C6" w14:textId="77777777" w:rsidTr="00B6017F">
        <w:trPr>
          <w:trHeight w:val="287"/>
        </w:trPr>
        <w:tc>
          <w:tcPr>
            <w:tcW w:w="710" w:type="pct"/>
            <w:vMerge/>
            <w:shd w:val="clear" w:color="auto" w:fill="D9D9D9"/>
            <w:vAlign w:val="center"/>
          </w:tcPr>
          <w:p w14:paraId="296F06DB"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2366C611"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8C95118" w14:textId="77777777"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a framework for sustainable use and exploitation of mineral resources</w:t>
            </w:r>
          </w:p>
        </w:tc>
        <w:tc>
          <w:tcPr>
            <w:tcW w:w="1159" w:type="pct"/>
            <w:shd w:val="clear" w:color="auto" w:fill="FFFFFF"/>
            <w:tcMar>
              <w:top w:w="0" w:type="dxa"/>
              <w:left w:w="108" w:type="dxa"/>
              <w:bottom w:w="0" w:type="dxa"/>
              <w:right w:w="108" w:type="dxa"/>
            </w:tcMar>
            <w:vAlign w:val="center"/>
          </w:tcPr>
          <w:p w14:paraId="1E38D42C" w14:textId="275D7CED"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Federation of BiH does not have an integrated framework for managing mineral resources, that would include recovery of resources from products, manufacturing or construction, so the exploitation and import of raw materials is currently the only solution</w:t>
            </w:r>
          </w:p>
        </w:tc>
        <w:tc>
          <w:tcPr>
            <w:tcW w:w="1159" w:type="pct"/>
            <w:shd w:val="clear" w:color="auto" w:fill="FFFFFF"/>
            <w:vAlign w:val="center"/>
          </w:tcPr>
          <w:p w14:paraId="05305648"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sz w:val="18"/>
                <w:szCs w:val="18"/>
              </w:rPr>
              <w:t xml:space="preserve">By 2026, developed is a strategy for cost </w:t>
            </w:r>
            <w:proofErr w:type="gramStart"/>
            <w:r w:rsidRPr="007C4D65">
              <w:rPr>
                <w:rFonts w:asciiTheme="minorHAnsi" w:hAnsiTheme="minorHAnsi"/>
                <w:sz w:val="18"/>
                <w:szCs w:val="18"/>
              </w:rPr>
              <w:t>effective,  socially</w:t>
            </w:r>
            <w:proofErr w:type="gramEnd"/>
            <w:r w:rsidRPr="007C4D65">
              <w:rPr>
                <w:rFonts w:asciiTheme="minorHAnsi" w:hAnsiTheme="minorHAnsi"/>
                <w:sz w:val="18"/>
                <w:szCs w:val="18"/>
              </w:rPr>
              <w:t xml:space="preserve"> and environmentally acceptable exploitation of ores and minerals that includes recovery of mineral and metallic resources from waste (urban mining, circular economy)</w:t>
            </w:r>
          </w:p>
        </w:tc>
      </w:tr>
      <w:tr w:rsidR="00D51392" w:rsidRPr="007C4D65" w14:paraId="7EFE9416" w14:textId="77777777" w:rsidTr="00B6017F">
        <w:trPr>
          <w:trHeight w:val="287"/>
        </w:trPr>
        <w:tc>
          <w:tcPr>
            <w:tcW w:w="710" w:type="pct"/>
            <w:vMerge/>
            <w:shd w:val="clear" w:color="auto" w:fill="D9D9D9"/>
            <w:vAlign w:val="center"/>
          </w:tcPr>
          <w:p w14:paraId="5D7EB292"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60957B5B"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1AA369C" w14:textId="1666DD32" w:rsidR="00D51392" w:rsidRPr="007C4D65" w:rsidRDefault="00D51392" w:rsidP="00B6017F">
            <w:pPr>
              <w:spacing w:line="276" w:lineRule="auto"/>
              <w:rPr>
                <w:rFonts w:asciiTheme="minorHAnsi" w:hAnsiTheme="minorHAnsi" w:cstheme="minorHAnsi"/>
                <w:sz w:val="18"/>
                <w:szCs w:val="18"/>
              </w:rPr>
            </w:pPr>
            <w:r w:rsidRPr="007C4D65">
              <w:rPr>
                <w:rFonts w:asciiTheme="minorHAnsi" w:hAnsiTheme="minorHAnsi"/>
                <w:sz w:val="18"/>
                <w:szCs w:val="18"/>
              </w:rPr>
              <w:t>Existence of programmes and plans for more efficient exploitation of mineral resources</w:t>
            </w:r>
          </w:p>
        </w:tc>
        <w:tc>
          <w:tcPr>
            <w:tcW w:w="1159" w:type="pct"/>
            <w:shd w:val="clear" w:color="auto" w:fill="FFFFFF"/>
            <w:tcMar>
              <w:top w:w="0" w:type="dxa"/>
              <w:left w:w="108" w:type="dxa"/>
              <w:bottom w:w="0" w:type="dxa"/>
              <w:right w:w="108" w:type="dxa"/>
            </w:tcMar>
            <w:vAlign w:val="center"/>
          </w:tcPr>
          <w:p w14:paraId="59FDF5BB" w14:textId="488E4E83" w:rsidR="00D51392" w:rsidRPr="007C4D65" w:rsidRDefault="00D51392" w:rsidP="00B6017F">
            <w:pPr>
              <w:spacing w:after="120" w:line="276" w:lineRule="auto"/>
              <w:ind w:hanging="2"/>
              <w:contextualSpacing/>
              <w:rPr>
                <w:rFonts w:asciiTheme="minorHAnsi" w:hAnsiTheme="minorHAnsi" w:cstheme="minorHAnsi"/>
                <w:sz w:val="18"/>
                <w:szCs w:val="18"/>
              </w:rPr>
            </w:pPr>
            <w:r w:rsidRPr="007C4D65">
              <w:rPr>
                <w:rFonts w:asciiTheme="minorHAnsi" w:hAnsiTheme="minorHAnsi"/>
                <w:sz w:val="18"/>
                <w:szCs w:val="18"/>
              </w:rPr>
              <w:t>Current level of technical equipment in Federation of BiH is not conductive for efficient exploitation of raw materials</w:t>
            </w:r>
          </w:p>
        </w:tc>
        <w:tc>
          <w:tcPr>
            <w:tcW w:w="1159" w:type="pct"/>
            <w:shd w:val="clear" w:color="auto" w:fill="FFFFFF"/>
            <w:vAlign w:val="center"/>
          </w:tcPr>
          <w:p w14:paraId="7EC8F8D2" w14:textId="77777777" w:rsidR="00D51392" w:rsidRPr="007C4D65" w:rsidRDefault="00D51392" w:rsidP="00B6017F">
            <w:pPr>
              <w:spacing w:line="276" w:lineRule="auto"/>
              <w:ind w:left="170"/>
              <w:rPr>
                <w:rFonts w:asciiTheme="minorHAnsi" w:hAnsiTheme="minorHAnsi" w:cstheme="minorHAnsi"/>
                <w:sz w:val="18"/>
                <w:szCs w:val="18"/>
              </w:rPr>
            </w:pPr>
            <w:r w:rsidRPr="007C4D65">
              <w:rPr>
                <w:rFonts w:asciiTheme="minorHAnsi" w:hAnsiTheme="minorHAnsi"/>
                <w:color w:val="000000"/>
                <w:sz w:val="18"/>
                <w:szCs w:val="18"/>
              </w:rPr>
              <w:t>By 2029, adopted are programmes and plans for introduction of contemporary technology in mines owned by Federation of BiH for the purpose of providing conditions for improved efficiency of exploitation and use of mineral resources and prevention of generation of waste</w:t>
            </w:r>
          </w:p>
        </w:tc>
      </w:tr>
      <w:tr w:rsidR="00D51392" w:rsidRPr="007C4D65" w14:paraId="21037A06" w14:textId="77777777" w:rsidTr="00B6017F">
        <w:trPr>
          <w:trHeight w:val="483"/>
        </w:trPr>
        <w:tc>
          <w:tcPr>
            <w:tcW w:w="710" w:type="pct"/>
            <w:vMerge/>
            <w:shd w:val="clear" w:color="auto" w:fill="D9D9D9"/>
            <w:vAlign w:val="center"/>
            <w:hideMark/>
          </w:tcPr>
          <w:p w14:paraId="0783FD51" w14:textId="77777777" w:rsidR="00D51392" w:rsidRPr="007C4D65" w:rsidRDefault="00D51392" w:rsidP="00B6017F">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6D99C080" w14:textId="77777777" w:rsidR="00D51392" w:rsidRPr="007C4D65" w:rsidRDefault="00D51392" w:rsidP="00B6017F">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3E7AD18E"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Government budget (million BAM)</w:t>
            </w:r>
          </w:p>
        </w:tc>
        <w:tc>
          <w:tcPr>
            <w:tcW w:w="1159" w:type="pct"/>
            <w:shd w:val="clear" w:color="auto" w:fill="D9D9D9"/>
            <w:tcMar>
              <w:top w:w="0" w:type="dxa"/>
              <w:left w:w="108" w:type="dxa"/>
              <w:bottom w:w="0" w:type="dxa"/>
              <w:right w:w="108" w:type="dxa"/>
            </w:tcMar>
            <w:vAlign w:val="center"/>
            <w:hideMark/>
          </w:tcPr>
          <w:p w14:paraId="08C61386"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Other sources (million BAM)</w:t>
            </w:r>
          </w:p>
        </w:tc>
        <w:tc>
          <w:tcPr>
            <w:tcW w:w="1159" w:type="pct"/>
            <w:shd w:val="clear" w:color="auto" w:fill="D9D9D9"/>
            <w:tcMar>
              <w:top w:w="0" w:type="dxa"/>
              <w:left w:w="108" w:type="dxa"/>
              <w:bottom w:w="0" w:type="dxa"/>
              <w:right w:w="108" w:type="dxa"/>
            </w:tcMar>
            <w:vAlign w:val="center"/>
            <w:hideMark/>
          </w:tcPr>
          <w:p w14:paraId="31E7B47A" w14:textId="77777777" w:rsidR="00D51392" w:rsidRPr="007C4D65" w:rsidRDefault="00D51392" w:rsidP="00B6017F">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b/>
                <w:sz w:val="18"/>
                <w:szCs w:val="18"/>
              </w:rPr>
              <w:t>Total (million BAM)</w:t>
            </w:r>
          </w:p>
        </w:tc>
      </w:tr>
    </w:tbl>
    <w:p w14:paraId="7E92EF58" w14:textId="566B3970" w:rsidR="00CC447D" w:rsidRPr="007C4D65" w:rsidRDefault="00CC447D" w:rsidP="0068355A">
      <w:pPr>
        <w:spacing w:after="160" w:line="276" w:lineRule="auto"/>
        <w:rPr>
          <w:rFonts w:asciiTheme="minorHAnsi" w:hAnsiTheme="minorHAnsi" w:cstheme="minorHAnsi"/>
          <w:sz w:val="18"/>
          <w:szCs w:val="18"/>
        </w:rPr>
      </w:pPr>
    </w:p>
    <w:p w14:paraId="65F4EF03" w14:textId="610B14C2" w:rsidR="00242590" w:rsidRPr="007C4D65" w:rsidRDefault="00430E5F" w:rsidP="00430E5F">
      <w:pPr>
        <w:pStyle w:val="Head3"/>
        <w:numPr>
          <w:ilvl w:val="0"/>
          <w:numId w:val="0"/>
        </w:numPr>
        <w:spacing w:line="276" w:lineRule="auto"/>
        <w:rPr>
          <w:rFonts w:asciiTheme="minorHAnsi" w:hAnsiTheme="minorHAnsi"/>
        </w:rPr>
      </w:pPr>
      <w:bookmarkStart w:id="434" w:name="_Toc117445390"/>
      <w:r w:rsidRPr="007C4D65">
        <w:rPr>
          <w:rFonts w:asciiTheme="minorHAnsi" w:hAnsiTheme="minorHAnsi"/>
        </w:rPr>
        <w:t xml:space="preserve">13.8.7. </w:t>
      </w:r>
      <w:r w:rsidR="00242590" w:rsidRPr="007C4D65">
        <w:rPr>
          <w:rFonts w:asciiTheme="minorHAnsi" w:hAnsiTheme="minorHAnsi"/>
        </w:rPr>
        <w:t xml:space="preserve">Environmental </w:t>
      </w:r>
      <w:r w:rsidR="00CD3D80" w:rsidRPr="007C4D65">
        <w:rPr>
          <w:rFonts w:asciiTheme="minorHAnsi" w:hAnsiTheme="minorHAnsi"/>
        </w:rPr>
        <w:t>m</w:t>
      </w:r>
      <w:r w:rsidR="00242590" w:rsidRPr="007C4D65">
        <w:rPr>
          <w:rFonts w:asciiTheme="minorHAnsi" w:hAnsiTheme="minorHAnsi"/>
        </w:rPr>
        <w:t>anagement</w:t>
      </w:r>
      <w:bookmarkEnd w:id="434"/>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981"/>
        <w:gridCol w:w="2268"/>
        <w:gridCol w:w="3233"/>
        <w:gridCol w:w="3233"/>
        <w:gridCol w:w="3233"/>
      </w:tblGrid>
      <w:tr w:rsidR="00E42F38" w:rsidRPr="007C4D65" w14:paraId="1211132E" w14:textId="77777777" w:rsidTr="00B6017F">
        <w:trPr>
          <w:trHeight w:val="286"/>
        </w:trPr>
        <w:tc>
          <w:tcPr>
            <w:tcW w:w="710" w:type="pct"/>
            <w:shd w:val="clear" w:color="auto" w:fill="009E73"/>
            <w:tcMar>
              <w:top w:w="0" w:type="dxa"/>
              <w:left w:w="108" w:type="dxa"/>
              <w:bottom w:w="0" w:type="dxa"/>
              <w:right w:w="108" w:type="dxa"/>
            </w:tcMar>
            <w:vAlign w:val="center"/>
            <w:hideMark/>
          </w:tcPr>
          <w:p w14:paraId="36C2D03C" w14:textId="77777777" w:rsidR="00E42F38" w:rsidRPr="007C4D65" w:rsidRDefault="00E42F38" w:rsidP="00E42F38">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 xml:space="preserve">No. and code </w:t>
            </w:r>
          </w:p>
        </w:tc>
        <w:tc>
          <w:tcPr>
            <w:tcW w:w="813" w:type="pct"/>
            <w:shd w:val="clear" w:color="auto" w:fill="009E73"/>
            <w:tcMar>
              <w:top w:w="0" w:type="dxa"/>
              <w:left w:w="108" w:type="dxa"/>
              <w:bottom w:w="0" w:type="dxa"/>
              <w:right w:w="108" w:type="dxa"/>
            </w:tcMar>
            <w:vAlign w:val="center"/>
            <w:hideMark/>
          </w:tcPr>
          <w:p w14:paraId="6ABB5DD1" w14:textId="77777777" w:rsidR="00E42F38" w:rsidRPr="007C4D65" w:rsidRDefault="00E42F38" w:rsidP="00E42F38">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TITLE</w:t>
            </w:r>
          </w:p>
        </w:tc>
        <w:tc>
          <w:tcPr>
            <w:tcW w:w="3477" w:type="pct"/>
            <w:gridSpan w:val="3"/>
            <w:shd w:val="clear" w:color="auto" w:fill="009E73"/>
            <w:tcMar>
              <w:top w:w="0" w:type="dxa"/>
              <w:left w:w="108" w:type="dxa"/>
              <w:bottom w:w="0" w:type="dxa"/>
              <w:right w:w="108" w:type="dxa"/>
            </w:tcMar>
            <w:vAlign w:val="center"/>
            <w:hideMark/>
          </w:tcPr>
          <w:p w14:paraId="310B1AD4" w14:textId="77777777" w:rsidR="00E42F38" w:rsidRPr="007C4D65" w:rsidRDefault="00E42F38" w:rsidP="00E42F38">
            <w:pPr>
              <w:spacing w:after="120" w:line="276" w:lineRule="auto"/>
              <w:ind w:hanging="2"/>
              <w:contextualSpacing/>
              <w:jc w:val="center"/>
              <w:rPr>
                <w:rFonts w:asciiTheme="minorHAnsi" w:hAnsiTheme="minorHAnsi" w:cstheme="minorHAnsi"/>
                <w:b/>
                <w:color w:val="FFFFFF" w:themeColor="background1"/>
                <w:sz w:val="18"/>
                <w:szCs w:val="18"/>
              </w:rPr>
            </w:pPr>
            <w:r w:rsidRPr="007C4D65">
              <w:rPr>
                <w:rFonts w:asciiTheme="minorHAnsi" w:hAnsiTheme="minorHAnsi" w:cstheme="minorHAnsi"/>
                <w:b/>
                <w:color w:val="FFFFFF" w:themeColor="background1"/>
                <w:sz w:val="18"/>
              </w:rPr>
              <w:t>INDICATORS AND SOURCES OF FUNDING</w:t>
            </w:r>
          </w:p>
        </w:tc>
      </w:tr>
      <w:tr w:rsidR="00E42F38" w:rsidRPr="007C4D65" w14:paraId="7A79E26B" w14:textId="77777777" w:rsidTr="00B6017F">
        <w:trPr>
          <w:trHeight w:val="384"/>
        </w:trPr>
        <w:tc>
          <w:tcPr>
            <w:tcW w:w="710" w:type="pct"/>
            <w:vMerge w:val="restart"/>
            <w:shd w:val="clear" w:color="auto" w:fill="D9D9D9"/>
            <w:tcMar>
              <w:top w:w="0" w:type="dxa"/>
              <w:left w:w="108" w:type="dxa"/>
              <w:bottom w:w="0" w:type="dxa"/>
              <w:right w:w="108" w:type="dxa"/>
            </w:tcMar>
            <w:vAlign w:val="center"/>
            <w:hideMark/>
          </w:tcPr>
          <w:p w14:paraId="34198F39" w14:textId="407AF06B"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 xml:space="preserve">7. Strategic </w:t>
            </w:r>
            <w:r w:rsidR="009736BE" w:rsidRPr="007C4D65">
              <w:rPr>
                <w:rFonts w:asciiTheme="minorHAnsi" w:hAnsiTheme="minorHAnsi" w:cstheme="minorHAnsi"/>
                <w:b/>
                <w:sz w:val="18"/>
              </w:rPr>
              <w:t>g</w:t>
            </w:r>
            <w:r w:rsidRPr="007C4D65">
              <w:rPr>
                <w:rFonts w:asciiTheme="minorHAnsi" w:hAnsiTheme="minorHAnsi" w:cstheme="minorHAnsi"/>
                <w:b/>
                <w:sz w:val="18"/>
              </w:rPr>
              <w:t>oal</w:t>
            </w:r>
          </w:p>
        </w:tc>
        <w:tc>
          <w:tcPr>
            <w:tcW w:w="813" w:type="pct"/>
            <w:vMerge w:val="restart"/>
            <w:tcMar>
              <w:top w:w="0" w:type="dxa"/>
              <w:left w:w="108" w:type="dxa"/>
              <w:bottom w:w="0" w:type="dxa"/>
              <w:right w:w="108" w:type="dxa"/>
            </w:tcMar>
            <w:vAlign w:val="center"/>
          </w:tcPr>
          <w:p w14:paraId="53984A6F"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Strengthening environmental management</w:t>
            </w:r>
          </w:p>
        </w:tc>
        <w:tc>
          <w:tcPr>
            <w:tcW w:w="1159" w:type="pct"/>
            <w:shd w:val="clear" w:color="auto" w:fill="D9D9D9"/>
            <w:tcMar>
              <w:top w:w="0" w:type="dxa"/>
              <w:left w:w="108" w:type="dxa"/>
              <w:bottom w:w="0" w:type="dxa"/>
              <w:right w:w="108" w:type="dxa"/>
            </w:tcMar>
            <w:vAlign w:val="center"/>
            <w:hideMark/>
          </w:tcPr>
          <w:p w14:paraId="146C5E2B"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Strategic goal indicators</w:t>
            </w:r>
          </w:p>
        </w:tc>
        <w:tc>
          <w:tcPr>
            <w:tcW w:w="1159" w:type="pct"/>
            <w:shd w:val="clear" w:color="auto" w:fill="D9D9D9"/>
            <w:tcMar>
              <w:top w:w="0" w:type="dxa"/>
              <w:left w:w="108" w:type="dxa"/>
              <w:bottom w:w="0" w:type="dxa"/>
              <w:right w:w="108" w:type="dxa"/>
            </w:tcMar>
            <w:vAlign w:val="center"/>
            <w:hideMark/>
          </w:tcPr>
          <w:p w14:paraId="1C6542EF"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hideMark/>
          </w:tcPr>
          <w:p w14:paraId="73C57DD9"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6887AD93" w14:textId="77777777" w:rsidTr="00B6017F">
        <w:trPr>
          <w:trHeight w:val="287"/>
        </w:trPr>
        <w:tc>
          <w:tcPr>
            <w:tcW w:w="710" w:type="pct"/>
            <w:vMerge/>
            <w:shd w:val="clear" w:color="auto" w:fill="D9D9D9"/>
            <w:vAlign w:val="center"/>
            <w:hideMark/>
          </w:tcPr>
          <w:p w14:paraId="30F014F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0561F9F7"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ABF3A38" w14:textId="77777777" w:rsidR="00E42F38" w:rsidRPr="007C4D65" w:rsidRDefault="00E42F38" w:rsidP="00E42F38">
            <w:pPr>
              <w:spacing w:line="276" w:lineRule="auto"/>
              <w:rPr>
                <w:rFonts w:asciiTheme="minorHAnsi" w:hAnsiTheme="minorHAnsi" w:cstheme="minorHAnsi"/>
                <w:bCs/>
                <w:sz w:val="18"/>
                <w:szCs w:val="18"/>
              </w:rPr>
            </w:pPr>
            <w:r w:rsidRPr="007C4D65">
              <w:rPr>
                <w:rFonts w:asciiTheme="minorHAnsi" w:hAnsiTheme="minorHAnsi" w:cstheme="minorHAnsi"/>
                <w:sz w:val="18"/>
              </w:rPr>
              <w:t>Environmental costs</w:t>
            </w:r>
          </w:p>
        </w:tc>
        <w:tc>
          <w:tcPr>
            <w:tcW w:w="1159" w:type="pct"/>
            <w:tcMar>
              <w:top w:w="0" w:type="dxa"/>
              <w:left w:w="108" w:type="dxa"/>
              <w:bottom w:w="0" w:type="dxa"/>
              <w:right w:w="108" w:type="dxa"/>
            </w:tcMar>
            <w:vAlign w:val="center"/>
          </w:tcPr>
          <w:p w14:paraId="352946BE" w14:textId="77777777" w:rsidR="00E42F38" w:rsidRPr="007C4D65" w:rsidRDefault="00E42F38" w:rsidP="00E42F38">
            <w:pPr>
              <w:spacing w:line="276" w:lineRule="auto"/>
              <w:jc w:val="center"/>
              <w:rPr>
                <w:rFonts w:asciiTheme="minorHAnsi" w:eastAsia="Calibri" w:hAnsiTheme="minorHAnsi" w:cstheme="minorHAnsi"/>
                <w:sz w:val="18"/>
                <w:szCs w:val="18"/>
              </w:rPr>
            </w:pPr>
            <w:r w:rsidRPr="007C4D65">
              <w:rPr>
                <w:rFonts w:asciiTheme="minorHAnsi" w:hAnsiTheme="minorHAnsi" w:cstheme="minorHAnsi"/>
                <w:sz w:val="18"/>
              </w:rPr>
              <w:t xml:space="preserve">Total investments: </w:t>
            </w:r>
            <w:proofErr w:type="gramStart"/>
            <w:r w:rsidRPr="007C4D65">
              <w:rPr>
                <w:rFonts w:asciiTheme="minorHAnsi" w:hAnsiTheme="minorHAnsi" w:cstheme="minorHAnsi"/>
                <w:sz w:val="18"/>
              </w:rPr>
              <w:t>BAM  18,270,103</w:t>
            </w:r>
            <w:proofErr w:type="gramEnd"/>
          </w:p>
          <w:p w14:paraId="0B8BBD0B" w14:textId="77777777" w:rsidR="00E42F38" w:rsidRPr="007C4D65" w:rsidRDefault="00E42F38" w:rsidP="00E42F38">
            <w:pPr>
              <w:spacing w:line="276" w:lineRule="auto"/>
              <w:jc w:val="center"/>
              <w:rPr>
                <w:rFonts w:asciiTheme="minorHAnsi" w:eastAsia="Calibri" w:hAnsiTheme="minorHAnsi" w:cstheme="minorHAnsi"/>
                <w:sz w:val="18"/>
                <w:szCs w:val="18"/>
              </w:rPr>
            </w:pPr>
            <w:r w:rsidRPr="007C4D65">
              <w:rPr>
                <w:rFonts w:asciiTheme="minorHAnsi" w:hAnsiTheme="minorHAnsi" w:cstheme="minorHAnsi"/>
                <w:sz w:val="18"/>
              </w:rPr>
              <w:t xml:space="preserve">Total running costs </w:t>
            </w:r>
            <w:proofErr w:type="gramStart"/>
            <w:r w:rsidRPr="007C4D65">
              <w:rPr>
                <w:rFonts w:asciiTheme="minorHAnsi" w:hAnsiTheme="minorHAnsi" w:cstheme="minorHAnsi"/>
                <w:sz w:val="18"/>
              </w:rPr>
              <w:t>BAM  45,768,781</w:t>
            </w:r>
            <w:proofErr w:type="gramEnd"/>
          </w:p>
          <w:p w14:paraId="0AE0168E" w14:textId="77777777" w:rsidR="00E42F38" w:rsidRPr="007C4D65" w:rsidRDefault="00E42F38" w:rsidP="00E42F38">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(2020)</w:t>
            </w:r>
          </w:p>
        </w:tc>
        <w:tc>
          <w:tcPr>
            <w:tcW w:w="1159" w:type="pct"/>
            <w:tcMar>
              <w:top w:w="0" w:type="dxa"/>
              <w:left w:w="108" w:type="dxa"/>
              <w:bottom w:w="0" w:type="dxa"/>
              <w:right w:w="108" w:type="dxa"/>
            </w:tcMar>
            <w:vAlign w:val="center"/>
          </w:tcPr>
          <w:p w14:paraId="51CE0AF8" w14:textId="77777777" w:rsidR="00E42F38" w:rsidRPr="007C4D65" w:rsidRDefault="00E42F38" w:rsidP="00E42F38">
            <w:pPr>
              <w:widowControl w:val="0"/>
              <w:autoSpaceDE w:val="0"/>
              <w:autoSpaceDN w:val="0"/>
              <w:adjustRightInd w:val="0"/>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w:t>
            </w:r>
          </w:p>
        </w:tc>
      </w:tr>
      <w:tr w:rsidR="00E42F38" w:rsidRPr="007C4D65" w14:paraId="27E0D020" w14:textId="77777777" w:rsidTr="00B6017F">
        <w:trPr>
          <w:trHeight w:val="375"/>
        </w:trPr>
        <w:tc>
          <w:tcPr>
            <w:tcW w:w="710" w:type="pct"/>
            <w:vMerge/>
            <w:shd w:val="clear" w:color="auto" w:fill="D9D9D9"/>
            <w:vAlign w:val="center"/>
            <w:hideMark/>
          </w:tcPr>
          <w:p w14:paraId="381AC64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7636795F"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22DB25F4" w14:textId="02E9D547"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4C4BBF9B"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11027F7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3D73707D" w14:textId="77777777" w:rsidTr="00B6017F">
        <w:trPr>
          <w:trHeight w:val="287"/>
        </w:trPr>
        <w:tc>
          <w:tcPr>
            <w:tcW w:w="710" w:type="pct"/>
            <w:vMerge/>
            <w:shd w:val="clear" w:color="auto" w:fill="D9D9D9"/>
            <w:vAlign w:val="center"/>
            <w:hideMark/>
          </w:tcPr>
          <w:p w14:paraId="769D1192"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02B805D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hemeFill="background1"/>
            <w:tcMar>
              <w:top w:w="0" w:type="dxa"/>
              <w:left w:w="108" w:type="dxa"/>
              <w:bottom w:w="0" w:type="dxa"/>
              <w:right w:w="108" w:type="dxa"/>
            </w:tcMar>
            <w:vAlign w:val="center"/>
          </w:tcPr>
          <w:p w14:paraId="68C540C1"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2.02</w:t>
            </w:r>
          </w:p>
        </w:tc>
        <w:tc>
          <w:tcPr>
            <w:tcW w:w="1159" w:type="pct"/>
            <w:shd w:val="clear" w:color="auto" w:fill="FFFFFF" w:themeFill="background1"/>
            <w:tcMar>
              <w:top w:w="0" w:type="dxa"/>
              <w:left w:w="108" w:type="dxa"/>
              <w:bottom w:w="0" w:type="dxa"/>
              <w:right w:w="108" w:type="dxa"/>
            </w:tcMar>
            <w:vAlign w:val="center"/>
          </w:tcPr>
          <w:p w14:paraId="72520DAB"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8.3</w:t>
            </w:r>
          </w:p>
        </w:tc>
        <w:tc>
          <w:tcPr>
            <w:tcW w:w="1159" w:type="pct"/>
            <w:shd w:val="clear" w:color="auto" w:fill="FFFFFF" w:themeFill="background1"/>
            <w:tcMar>
              <w:top w:w="0" w:type="dxa"/>
              <w:left w:w="108" w:type="dxa"/>
              <w:bottom w:w="0" w:type="dxa"/>
              <w:right w:w="108" w:type="dxa"/>
            </w:tcMar>
            <w:vAlign w:val="center"/>
          </w:tcPr>
          <w:p w14:paraId="50E35CFF"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10.3</w:t>
            </w:r>
          </w:p>
        </w:tc>
      </w:tr>
    </w:tbl>
    <w:p w14:paraId="10AF3AB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981"/>
        <w:gridCol w:w="2268"/>
        <w:gridCol w:w="3233"/>
        <w:gridCol w:w="3233"/>
        <w:gridCol w:w="3233"/>
      </w:tblGrid>
      <w:tr w:rsidR="00E42F38" w:rsidRPr="007C4D65" w14:paraId="570D5D7F" w14:textId="77777777" w:rsidTr="00B6017F">
        <w:trPr>
          <w:trHeight w:val="384"/>
        </w:trPr>
        <w:tc>
          <w:tcPr>
            <w:tcW w:w="710" w:type="pct"/>
            <w:vMerge w:val="restart"/>
            <w:shd w:val="clear" w:color="auto" w:fill="D9D9D9"/>
            <w:tcMar>
              <w:top w:w="0" w:type="dxa"/>
              <w:left w:w="108" w:type="dxa"/>
              <w:bottom w:w="0" w:type="dxa"/>
              <w:right w:w="108" w:type="dxa"/>
            </w:tcMar>
            <w:vAlign w:val="center"/>
          </w:tcPr>
          <w:p w14:paraId="2D6B2C29"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lastRenderedPageBreak/>
              <w:t>7.1 Priority</w:t>
            </w:r>
          </w:p>
          <w:p w14:paraId="0389D98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restart"/>
            <w:tcMar>
              <w:top w:w="0" w:type="dxa"/>
              <w:left w:w="108" w:type="dxa"/>
              <w:bottom w:w="0" w:type="dxa"/>
              <w:right w:w="108" w:type="dxa"/>
            </w:tcMar>
            <w:vAlign w:val="center"/>
          </w:tcPr>
          <w:p w14:paraId="5A6B6942" w14:textId="23DC5648" w:rsidR="00E42F38" w:rsidRPr="007C4D65" w:rsidRDefault="005A2219" w:rsidP="00E42F38">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Improving the legal framework and sectoral policies for planning, management and protection of the environment in the Federation of BiH with the view of fully aligning the legislation with the EU environmental acquis and international agreements</w:t>
            </w:r>
          </w:p>
        </w:tc>
        <w:tc>
          <w:tcPr>
            <w:tcW w:w="1159" w:type="pct"/>
            <w:shd w:val="clear" w:color="auto" w:fill="D9D9D9"/>
            <w:tcMar>
              <w:top w:w="0" w:type="dxa"/>
              <w:left w:w="108" w:type="dxa"/>
              <w:bottom w:w="0" w:type="dxa"/>
              <w:right w:w="108" w:type="dxa"/>
            </w:tcMar>
            <w:vAlign w:val="center"/>
          </w:tcPr>
          <w:p w14:paraId="65B1F8EB" w14:textId="77777777" w:rsidR="00E42F38" w:rsidRPr="007C4D65" w:rsidRDefault="00E42F38" w:rsidP="00E42F38">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77A7377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6506F5B7"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703CA3ED" w14:textId="77777777" w:rsidTr="00B6017F">
        <w:trPr>
          <w:trHeight w:val="287"/>
        </w:trPr>
        <w:tc>
          <w:tcPr>
            <w:tcW w:w="710" w:type="pct"/>
            <w:vMerge/>
            <w:shd w:val="clear" w:color="auto" w:fill="D9D9D9"/>
            <w:vAlign w:val="center"/>
            <w:hideMark/>
          </w:tcPr>
          <w:p w14:paraId="36C8C02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4E8185E4"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59FA6C38"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Compliance of the environmental legislation of the Federation of BiH with the EU acquis.</w:t>
            </w:r>
          </w:p>
        </w:tc>
        <w:tc>
          <w:tcPr>
            <w:tcW w:w="1159" w:type="pct"/>
            <w:tcMar>
              <w:top w:w="0" w:type="dxa"/>
              <w:left w:w="108" w:type="dxa"/>
              <w:bottom w:w="0" w:type="dxa"/>
              <w:right w:w="108" w:type="dxa"/>
            </w:tcMar>
          </w:tcPr>
          <w:p w14:paraId="77168BDD"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Partial compliance (2021)</w:t>
            </w:r>
          </w:p>
          <w:p w14:paraId="3700903A"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Environmental legislation of the Federation </w:t>
            </w:r>
            <w:proofErr w:type="gramStart"/>
            <w:r w:rsidRPr="007C4D65">
              <w:rPr>
                <w:rFonts w:asciiTheme="minorHAnsi" w:hAnsiTheme="minorHAnsi" w:cstheme="minorHAnsi"/>
                <w:sz w:val="18"/>
              </w:rPr>
              <w:t>of  Bosnia</w:t>
            </w:r>
            <w:proofErr w:type="gramEnd"/>
            <w:r w:rsidRPr="007C4D65">
              <w:rPr>
                <w:rFonts w:asciiTheme="minorHAnsi" w:hAnsiTheme="minorHAnsi" w:cstheme="minorHAnsi"/>
                <w:sz w:val="18"/>
              </w:rPr>
              <w:t xml:space="preserve"> and Herzegovina:</w:t>
            </w:r>
          </w:p>
          <w:p w14:paraId="2BA9CD20" w14:textId="77777777" w:rsidR="00E42F38" w:rsidRPr="007C4D65" w:rsidRDefault="00E42F38" w:rsidP="00E42F38">
            <w:pPr>
              <w:numPr>
                <w:ilvl w:val="0"/>
                <w:numId w:val="50"/>
              </w:numPr>
              <w:spacing w:line="276" w:lineRule="auto"/>
              <w:ind w:left="200" w:hanging="200"/>
              <w:contextualSpacing/>
              <w:rPr>
                <w:rFonts w:asciiTheme="minorHAnsi" w:hAnsiTheme="minorHAnsi" w:cstheme="minorHAnsi"/>
                <w:sz w:val="18"/>
                <w:szCs w:val="18"/>
              </w:rPr>
            </w:pPr>
            <w:r w:rsidRPr="007C4D65">
              <w:rPr>
                <w:rFonts w:asciiTheme="minorHAnsi" w:hAnsiTheme="minorHAnsi" w:cstheme="minorHAnsi"/>
                <w:sz w:val="18"/>
              </w:rPr>
              <w:t>Highly aligned with 6 directives and 1 regulation</w:t>
            </w:r>
          </w:p>
          <w:p w14:paraId="2C2F061D" w14:textId="77777777" w:rsidR="00E42F38" w:rsidRPr="007C4D65" w:rsidRDefault="00E42F38" w:rsidP="00E42F38">
            <w:pPr>
              <w:numPr>
                <w:ilvl w:val="0"/>
                <w:numId w:val="50"/>
              </w:numPr>
              <w:spacing w:line="276" w:lineRule="auto"/>
              <w:ind w:left="200" w:hanging="200"/>
              <w:contextualSpacing/>
              <w:rPr>
                <w:rFonts w:asciiTheme="minorHAnsi" w:hAnsiTheme="minorHAnsi" w:cstheme="minorHAnsi"/>
                <w:sz w:val="18"/>
                <w:szCs w:val="18"/>
              </w:rPr>
            </w:pPr>
            <w:r w:rsidRPr="007C4D65">
              <w:rPr>
                <w:rFonts w:asciiTheme="minorHAnsi" w:hAnsiTheme="minorHAnsi" w:cstheme="minorHAnsi"/>
                <w:sz w:val="18"/>
              </w:rPr>
              <w:t>Partly aligned with 1 Directives</w:t>
            </w:r>
          </w:p>
          <w:p w14:paraId="230A56EF"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Not aligned with 2 Directives</w:t>
            </w:r>
          </w:p>
        </w:tc>
        <w:tc>
          <w:tcPr>
            <w:tcW w:w="1159" w:type="pct"/>
            <w:tcMar>
              <w:top w:w="0" w:type="dxa"/>
              <w:left w:w="108" w:type="dxa"/>
              <w:bottom w:w="0" w:type="dxa"/>
              <w:right w:w="108" w:type="dxa"/>
            </w:tcMar>
          </w:tcPr>
          <w:p w14:paraId="5EB5E4D7" w14:textId="3768A523" w:rsidR="00E42F38" w:rsidRPr="007C4D65" w:rsidRDefault="0010686C" w:rsidP="00E42F38">
            <w:pPr>
              <w:spacing w:line="276" w:lineRule="auto"/>
              <w:rPr>
                <w:rFonts w:asciiTheme="minorHAnsi" w:hAnsiTheme="minorHAnsi" w:cstheme="minorHAnsi"/>
                <w:sz w:val="18"/>
                <w:szCs w:val="18"/>
              </w:rPr>
            </w:pPr>
            <w:r w:rsidRPr="007C4D65">
              <w:rPr>
                <w:rFonts w:asciiTheme="minorHAnsi" w:hAnsiTheme="minorHAnsi" w:cstheme="minorHAnsi"/>
                <w:sz w:val="18"/>
              </w:rPr>
              <w:t>Environmental</w:t>
            </w:r>
            <w:r w:rsidR="00E42F38" w:rsidRPr="007C4D65">
              <w:rPr>
                <w:rFonts w:asciiTheme="minorHAnsi" w:hAnsiTheme="minorHAnsi" w:cstheme="minorHAnsi"/>
                <w:sz w:val="18"/>
              </w:rPr>
              <w:t xml:space="preserve"> legislation of the Federation </w:t>
            </w:r>
            <w:r w:rsidR="00830279" w:rsidRPr="007C4D65">
              <w:rPr>
                <w:rFonts w:asciiTheme="minorHAnsi" w:hAnsiTheme="minorHAnsi" w:cstheme="minorHAnsi"/>
                <w:sz w:val="18"/>
              </w:rPr>
              <w:t>of BiH</w:t>
            </w:r>
            <w:r w:rsidR="00E42F38" w:rsidRPr="007C4D65">
              <w:rPr>
                <w:rFonts w:asciiTheme="minorHAnsi" w:hAnsiTheme="minorHAnsi" w:cstheme="minorHAnsi"/>
                <w:sz w:val="18"/>
              </w:rPr>
              <w:t xml:space="preserve"> is aligned with 9 Directives and one Regulation</w:t>
            </w:r>
          </w:p>
          <w:p w14:paraId="0318FA08"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(2030)</w:t>
            </w:r>
          </w:p>
        </w:tc>
      </w:tr>
      <w:tr w:rsidR="00E42F38" w:rsidRPr="007C4D65" w14:paraId="0C3C05EF" w14:textId="77777777" w:rsidTr="00B6017F">
        <w:trPr>
          <w:trHeight w:val="287"/>
        </w:trPr>
        <w:tc>
          <w:tcPr>
            <w:tcW w:w="710" w:type="pct"/>
            <w:vMerge/>
            <w:shd w:val="clear" w:color="auto" w:fill="D9D9D9"/>
            <w:vAlign w:val="center"/>
          </w:tcPr>
          <w:p w14:paraId="61699C9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2BA8D6A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07405676" w14:textId="633F11AB"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Availability of Action Plans for the Implementation of Directives, in accordance with the Environmental Approximation Programme of the Federation </w:t>
            </w:r>
            <w:r w:rsidR="00830279" w:rsidRPr="007C4D65">
              <w:rPr>
                <w:rFonts w:asciiTheme="minorHAnsi" w:hAnsiTheme="minorHAnsi" w:cstheme="minorHAnsi"/>
                <w:sz w:val="18"/>
              </w:rPr>
              <w:t>of BiH</w:t>
            </w:r>
          </w:p>
        </w:tc>
        <w:tc>
          <w:tcPr>
            <w:tcW w:w="1159" w:type="pct"/>
            <w:tcMar>
              <w:top w:w="0" w:type="dxa"/>
              <w:left w:w="108" w:type="dxa"/>
              <w:bottom w:w="0" w:type="dxa"/>
              <w:right w:w="108" w:type="dxa"/>
            </w:tcMar>
          </w:tcPr>
          <w:p w14:paraId="4A419567"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Action Plans for the Implementation of EU Directives (APIDs) in the environmental management sector were not prepared (2021)</w:t>
            </w:r>
          </w:p>
        </w:tc>
        <w:tc>
          <w:tcPr>
            <w:tcW w:w="1159" w:type="pct"/>
            <w:tcMar>
              <w:top w:w="0" w:type="dxa"/>
              <w:left w:w="108" w:type="dxa"/>
              <w:bottom w:w="0" w:type="dxa"/>
              <w:right w:w="108" w:type="dxa"/>
            </w:tcMar>
          </w:tcPr>
          <w:p w14:paraId="510D7485"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Priority Action Plans for the Implementation of EU Directives (APIDs) in the environmental management sector adopted and progressively implemented (2030)</w:t>
            </w:r>
          </w:p>
        </w:tc>
      </w:tr>
      <w:tr w:rsidR="00E42F38" w:rsidRPr="007C4D65" w14:paraId="05841D91" w14:textId="77777777" w:rsidTr="00B6017F">
        <w:trPr>
          <w:trHeight w:val="287"/>
        </w:trPr>
        <w:tc>
          <w:tcPr>
            <w:tcW w:w="710" w:type="pct"/>
            <w:vMerge/>
            <w:shd w:val="clear" w:color="auto" w:fill="D9D9D9"/>
            <w:vAlign w:val="center"/>
          </w:tcPr>
          <w:p w14:paraId="75BC5FB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56B0CAAB"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575BDE35"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Sanctioning policies in the environment sector defined</w:t>
            </w:r>
          </w:p>
        </w:tc>
        <w:tc>
          <w:tcPr>
            <w:tcW w:w="1159" w:type="pct"/>
            <w:tcMar>
              <w:top w:w="0" w:type="dxa"/>
              <w:left w:w="108" w:type="dxa"/>
              <w:bottom w:w="0" w:type="dxa"/>
              <w:right w:w="108" w:type="dxa"/>
            </w:tcMar>
          </w:tcPr>
          <w:p w14:paraId="7A687A28" w14:textId="21A3C546"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There are no provisions </w:t>
            </w:r>
            <w:r w:rsidR="000A0DEF" w:rsidRPr="007C4D65">
              <w:rPr>
                <w:rFonts w:asciiTheme="minorHAnsi" w:hAnsiTheme="minorHAnsi" w:cstheme="minorHAnsi"/>
                <w:sz w:val="18"/>
              </w:rPr>
              <w:t>regulating</w:t>
            </w:r>
            <w:r w:rsidRPr="007C4D65">
              <w:rPr>
                <w:rFonts w:asciiTheme="minorHAnsi" w:hAnsiTheme="minorHAnsi" w:cstheme="minorHAnsi"/>
                <w:sz w:val="18"/>
              </w:rPr>
              <w:t xml:space="preserve"> criminal offences related to pollution and environmental degradation, and remedies for damages (2021)</w:t>
            </w:r>
          </w:p>
        </w:tc>
        <w:tc>
          <w:tcPr>
            <w:tcW w:w="1159" w:type="pct"/>
            <w:tcMar>
              <w:top w:w="0" w:type="dxa"/>
              <w:left w:w="108" w:type="dxa"/>
              <w:bottom w:w="0" w:type="dxa"/>
              <w:right w:w="108" w:type="dxa"/>
            </w:tcMar>
          </w:tcPr>
          <w:p w14:paraId="152347BF" w14:textId="32BC9C31" w:rsidR="00E42F38" w:rsidRPr="007C4D65" w:rsidRDefault="000A0DEF"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Sanctions policy</w:t>
            </w:r>
            <w:r w:rsidR="00E42F38" w:rsidRPr="007C4D65">
              <w:rPr>
                <w:rFonts w:asciiTheme="minorHAnsi" w:hAnsiTheme="minorHAnsi" w:cstheme="minorHAnsi"/>
                <w:sz w:val="18"/>
              </w:rPr>
              <w:t xml:space="preserve"> in the environmental protection sector clearly defined (2026)</w:t>
            </w:r>
            <w:r w:rsidR="00E42F38" w:rsidRPr="007C4D65">
              <w:rPr>
                <w:rFonts w:asciiTheme="minorHAnsi" w:hAnsiTheme="minorHAnsi" w:cstheme="minorHAnsi"/>
                <w:sz w:val="18"/>
              </w:rPr>
              <w:br/>
              <w:t xml:space="preserve"> (2026)</w:t>
            </w:r>
          </w:p>
        </w:tc>
      </w:tr>
      <w:tr w:rsidR="00E42F38" w:rsidRPr="007C4D65" w14:paraId="417B8236" w14:textId="77777777" w:rsidTr="00B6017F">
        <w:trPr>
          <w:trHeight w:val="287"/>
        </w:trPr>
        <w:tc>
          <w:tcPr>
            <w:tcW w:w="710" w:type="pct"/>
            <w:vMerge/>
            <w:shd w:val="clear" w:color="auto" w:fill="D9D9D9"/>
            <w:vAlign w:val="center"/>
          </w:tcPr>
          <w:p w14:paraId="386EF97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146580D5"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150C381C"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Compliance of the legal and strategic framework in the environmental management sector with the international and national gender equality standards</w:t>
            </w:r>
          </w:p>
        </w:tc>
        <w:tc>
          <w:tcPr>
            <w:tcW w:w="1159" w:type="pct"/>
            <w:tcMar>
              <w:top w:w="0" w:type="dxa"/>
              <w:left w:w="108" w:type="dxa"/>
              <w:bottom w:w="0" w:type="dxa"/>
              <w:right w:w="108" w:type="dxa"/>
            </w:tcMar>
          </w:tcPr>
          <w:p w14:paraId="10D13DA7" w14:textId="41CE060C"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legal and strategic framework in the environmental management sector fall short of </w:t>
            </w:r>
            <w:r w:rsidR="000A0DEF" w:rsidRPr="007C4D65">
              <w:rPr>
                <w:rFonts w:asciiTheme="minorHAnsi" w:hAnsiTheme="minorHAnsi" w:cstheme="minorHAnsi"/>
                <w:sz w:val="18"/>
              </w:rPr>
              <w:t>i</w:t>
            </w:r>
            <w:r w:rsidRPr="007C4D65">
              <w:rPr>
                <w:rFonts w:asciiTheme="minorHAnsi" w:hAnsiTheme="minorHAnsi" w:cstheme="minorHAnsi"/>
                <w:sz w:val="18"/>
              </w:rPr>
              <w:t>nternational and national gender equality standards (2021)</w:t>
            </w:r>
          </w:p>
        </w:tc>
        <w:tc>
          <w:tcPr>
            <w:tcW w:w="1159" w:type="pct"/>
            <w:tcMar>
              <w:top w:w="0" w:type="dxa"/>
              <w:left w:w="108" w:type="dxa"/>
              <w:bottom w:w="0" w:type="dxa"/>
              <w:right w:w="108" w:type="dxa"/>
            </w:tcMar>
          </w:tcPr>
          <w:p w14:paraId="4636DAFA"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Compliance of the legal and strategic framework in the environmental management sector with both </w:t>
            </w:r>
            <w:proofErr w:type="gramStart"/>
            <w:r w:rsidRPr="007C4D65">
              <w:rPr>
                <w:rFonts w:asciiTheme="minorHAnsi" w:hAnsiTheme="minorHAnsi" w:cstheme="minorHAnsi"/>
                <w:sz w:val="18"/>
              </w:rPr>
              <w:t>the  international</w:t>
            </w:r>
            <w:proofErr w:type="gramEnd"/>
            <w:r w:rsidRPr="007C4D65">
              <w:rPr>
                <w:rFonts w:asciiTheme="minorHAnsi" w:hAnsiTheme="minorHAnsi" w:cstheme="minorHAnsi"/>
                <w:sz w:val="18"/>
              </w:rPr>
              <w:t xml:space="preserve"> and national gender equality standards increased significantly (2030)</w:t>
            </w:r>
          </w:p>
        </w:tc>
      </w:tr>
      <w:tr w:rsidR="00E42F38" w:rsidRPr="007C4D65" w14:paraId="165C99D3" w14:textId="77777777" w:rsidTr="00B6017F">
        <w:trPr>
          <w:trHeight w:val="287"/>
        </w:trPr>
        <w:tc>
          <w:tcPr>
            <w:tcW w:w="710" w:type="pct"/>
            <w:vMerge/>
            <w:shd w:val="clear" w:color="auto" w:fill="D9D9D9"/>
            <w:vAlign w:val="center"/>
            <w:hideMark/>
          </w:tcPr>
          <w:p w14:paraId="3A3F1FD8"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22B56D3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252BEFB0" w14:textId="3EA8B403"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2196ED75"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36207606"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469DCE5D" w14:textId="77777777" w:rsidTr="00B6017F">
        <w:trPr>
          <w:trHeight w:val="287"/>
        </w:trPr>
        <w:tc>
          <w:tcPr>
            <w:tcW w:w="710" w:type="pct"/>
            <w:vMerge/>
            <w:shd w:val="clear" w:color="auto" w:fill="D9D9D9"/>
            <w:vAlign w:val="center"/>
          </w:tcPr>
          <w:p w14:paraId="7985FEB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248A25E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2DDAE6A"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0.291</w:t>
            </w:r>
          </w:p>
        </w:tc>
        <w:tc>
          <w:tcPr>
            <w:tcW w:w="1159" w:type="pct"/>
            <w:tcMar>
              <w:top w:w="0" w:type="dxa"/>
              <w:left w:w="108" w:type="dxa"/>
              <w:bottom w:w="0" w:type="dxa"/>
              <w:right w:w="108" w:type="dxa"/>
            </w:tcMar>
            <w:vAlign w:val="center"/>
          </w:tcPr>
          <w:p w14:paraId="6D7916FC"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1.2</w:t>
            </w:r>
          </w:p>
        </w:tc>
        <w:tc>
          <w:tcPr>
            <w:tcW w:w="1159" w:type="pct"/>
            <w:tcMar>
              <w:top w:w="0" w:type="dxa"/>
              <w:left w:w="108" w:type="dxa"/>
              <w:bottom w:w="0" w:type="dxa"/>
              <w:right w:w="108" w:type="dxa"/>
            </w:tcMar>
            <w:vAlign w:val="center"/>
          </w:tcPr>
          <w:p w14:paraId="5973B2C3"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1.4</w:t>
            </w:r>
          </w:p>
        </w:tc>
      </w:tr>
    </w:tbl>
    <w:p w14:paraId="2F02925D" w14:textId="77777777" w:rsidR="00E42F38" w:rsidRPr="007C4D65" w:rsidRDefault="00E42F38" w:rsidP="00E42F38">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981"/>
        <w:gridCol w:w="2268"/>
        <w:gridCol w:w="3233"/>
        <w:gridCol w:w="3233"/>
        <w:gridCol w:w="3233"/>
      </w:tblGrid>
      <w:tr w:rsidR="00E42F38" w:rsidRPr="007C4D65" w14:paraId="398DC388" w14:textId="77777777" w:rsidTr="00B6017F">
        <w:trPr>
          <w:trHeight w:val="483"/>
        </w:trPr>
        <w:tc>
          <w:tcPr>
            <w:tcW w:w="710" w:type="pct"/>
            <w:vMerge w:val="restart"/>
            <w:shd w:val="clear" w:color="auto" w:fill="D9D9D9"/>
            <w:tcMar>
              <w:top w:w="0" w:type="dxa"/>
              <w:left w:w="108" w:type="dxa"/>
              <w:bottom w:w="0" w:type="dxa"/>
              <w:right w:w="108" w:type="dxa"/>
            </w:tcMar>
            <w:vAlign w:val="center"/>
            <w:hideMark/>
          </w:tcPr>
          <w:p w14:paraId="10B5C5B1"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7.1.1 Measure</w:t>
            </w:r>
          </w:p>
        </w:tc>
        <w:tc>
          <w:tcPr>
            <w:tcW w:w="813" w:type="pct"/>
            <w:vMerge w:val="restart"/>
            <w:tcMar>
              <w:top w:w="0" w:type="dxa"/>
              <w:left w:w="108" w:type="dxa"/>
              <w:bottom w:w="0" w:type="dxa"/>
              <w:right w:w="108" w:type="dxa"/>
            </w:tcMar>
            <w:vAlign w:val="center"/>
          </w:tcPr>
          <w:p w14:paraId="286DCADA"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Alignment of the legislation of the Federation of BiH with the EU environmental acquis and implementation of EU Directives</w:t>
            </w:r>
          </w:p>
        </w:tc>
        <w:tc>
          <w:tcPr>
            <w:tcW w:w="1159" w:type="pct"/>
            <w:shd w:val="clear" w:color="auto" w:fill="D9D9D9"/>
            <w:tcMar>
              <w:top w:w="0" w:type="dxa"/>
              <w:left w:w="108" w:type="dxa"/>
              <w:bottom w:w="0" w:type="dxa"/>
              <w:right w:w="108" w:type="dxa"/>
            </w:tcMar>
            <w:vAlign w:val="center"/>
            <w:hideMark/>
          </w:tcPr>
          <w:p w14:paraId="170BE5D7"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3E7D1803"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600EF9B0"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7781B476" w14:textId="77777777" w:rsidTr="00B6017F">
        <w:trPr>
          <w:trHeight w:val="287"/>
        </w:trPr>
        <w:tc>
          <w:tcPr>
            <w:tcW w:w="710" w:type="pct"/>
            <w:vMerge/>
            <w:shd w:val="clear" w:color="auto" w:fill="D9D9D9"/>
            <w:vAlign w:val="center"/>
          </w:tcPr>
          <w:p w14:paraId="0E93162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3BC545D6"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A14E5A8"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1), 2) Efficacy of the implementation of the Environmental Approximation Programme of Federation of BiH</w:t>
            </w:r>
          </w:p>
        </w:tc>
        <w:tc>
          <w:tcPr>
            <w:tcW w:w="1159" w:type="pct"/>
            <w:shd w:val="clear" w:color="auto" w:fill="FFFFFF"/>
            <w:tcMar>
              <w:top w:w="0" w:type="dxa"/>
              <w:left w:w="108" w:type="dxa"/>
              <w:bottom w:w="0" w:type="dxa"/>
              <w:right w:w="108" w:type="dxa"/>
            </w:tcMar>
            <w:vAlign w:val="center"/>
          </w:tcPr>
          <w:p w14:paraId="2EBB1960"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Slow implementation of the Environmental Approximation Programme</w:t>
            </w:r>
          </w:p>
        </w:tc>
        <w:tc>
          <w:tcPr>
            <w:tcW w:w="1159" w:type="pct"/>
            <w:shd w:val="clear" w:color="auto" w:fill="FFFFFF"/>
            <w:vAlign w:val="center"/>
          </w:tcPr>
          <w:p w14:paraId="5AC94C51"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Successful implementation of the Environmental Approximation Programme (2030)</w:t>
            </w:r>
          </w:p>
        </w:tc>
      </w:tr>
      <w:tr w:rsidR="00E42F38" w:rsidRPr="007C4D65" w14:paraId="01638F54" w14:textId="77777777" w:rsidTr="00B6017F">
        <w:trPr>
          <w:trHeight w:val="287"/>
        </w:trPr>
        <w:tc>
          <w:tcPr>
            <w:tcW w:w="710" w:type="pct"/>
            <w:vMerge/>
            <w:shd w:val="clear" w:color="auto" w:fill="D9D9D9"/>
            <w:vAlign w:val="center"/>
          </w:tcPr>
          <w:p w14:paraId="45F5086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64513DA6"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BB6F368"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3), 4) The Action Plan on alignment of the legislation in the Federation of </w:t>
            </w:r>
            <w:r w:rsidRPr="007C4D65">
              <w:rPr>
                <w:rFonts w:asciiTheme="minorHAnsi" w:hAnsiTheme="minorHAnsi" w:cstheme="minorHAnsi"/>
                <w:sz w:val="18"/>
              </w:rPr>
              <w:lastRenderedPageBreak/>
              <w:t xml:space="preserve">Bosnia and Herzegovina with the EU environmental acquis (four-year periods) </w:t>
            </w:r>
          </w:p>
        </w:tc>
        <w:tc>
          <w:tcPr>
            <w:tcW w:w="1159" w:type="pct"/>
            <w:shd w:val="clear" w:color="auto" w:fill="FFFFFF"/>
            <w:tcMar>
              <w:top w:w="0" w:type="dxa"/>
              <w:left w:w="108" w:type="dxa"/>
              <w:bottom w:w="0" w:type="dxa"/>
              <w:right w:w="108" w:type="dxa"/>
            </w:tcMar>
            <w:vAlign w:val="center"/>
          </w:tcPr>
          <w:p w14:paraId="54A4980C"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lastRenderedPageBreak/>
              <w:t xml:space="preserve">There is no action plan   </w:t>
            </w:r>
          </w:p>
        </w:tc>
        <w:tc>
          <w:tcPr>
            <w:tcW w:w="1159" w:type="pct"/>
            <w:shd w:val="clear" w:color="auto" w:fill="FFFFFF"/>
            <w:vAlign w:val="center"/>
          </w:tcPr>
          <w:p w14:paraId="4969F833"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The Action Plan for alignment of the legislation in the Federation of Bosnia and </w:t>
            </w:r>
            <w:r w:rsidRPr="007C4D65">
              <w:rPr>
                <w:rFonts w:asciiTheme="minorHAnsi" w:hAnsiTheme="minorHAnsi" w:cstheme="minorHAnsi"/>
                <w:sz w:val="18"/>
              </w:rPr>
              <w:lastRenderedPageBreak/>
              <w:t>Herzegovina with the EU environmental acquis (four-year periods) prepared (2023)</w:t>
            </w:r>
          </w:p>
        </w:tc>
      </w:tr>
      <w:tr w:rsidR="00E42F38" w:rsidRPr="007C4D65" w14:paraId="74D2E1D1" w14:textId="77777777" w:rsidTr="00B6017F">
        <w:trPr>
          <w:trHeight w:val="287"/>
        </w:trPr>
        <w:tc>
          <w:tcPr>
            <w:tcW w:w="710" w:type="pct"/>
            <w:vMerge/>
            <w:shd w:val="clear" w:color="auto" w:fill="D9D9D9"/>
            <w:vAlign w:val="center"/>
          </w:tcPr>
          <w:p w14:paraId="637E31F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7B5020F4"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C0D33D7"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5), 6) Action plans for the implementation of environmental institutional measures and review of e administrative capacitates according to the recommendations of the European Commission (EC) (four-year periods)</w:t>
            </w:r>
          </w:p>
        </w:tc>
        <w:tc>
          <w:tcPr>
            <w:tcW w:w="1159" w:type="pct"/>
            <w:shd w:val="clear" w:color="auto" w:fill="FFFFFF"/>
            <w:tcMar>
              <w:top w:w="0" w:type="dxa"/>
              <w:left w:w="108" w:type="dxa"/>
              <w:bottom w:w="0" w:type="dxa"/>
              <w:right w:w="108" w:type="dxa"/>
            </w:tcMar>
            <w:vAlign w:val="center"/>
          </w:tcPr>
          <w:p w14:paraId="318A9B0B"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action plan</w:t>
            </w:r>
          </w:p>
        </w:tc>
        <w:tc>
          <w:tcPr>
            <w:tcW w:w="1159" w:type="pct"/>
            <w:shd w:val="clear" w:color="auto" w:fill="FFFFFF"/>
            <w:vAlign w:val="center"/>
          </w:tcPr>
          <w:p w14:paraId="2D6AC9F7"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The Action Plan for the implementation of environmental institutional measures and review of administrative capacitates according to the recommendations of the European Commission (EC) (four-year periods) developed (2023)</w:t>
            </w:r>
          </w:p>
        </w:tc>
      </w:tr>
      <w:tr w:rsidR="00E42F38" w:rsidRPr="007C4D65" w14:paraId="2B8C46F6" w14:textId="77777777" w:rsidTr="00B6017F">
        <w:trPr>
          <w:trHeight w:val="287"/>
        </w:trPr>
        <w:tc>
          <w:tcPr>
            <w:tcW w:w="710" w:type="pct"/>
            <w:vMerge/>
            <w:shd w:val="clear" w:color="auto" w:fill="D9D9D9"/>
            <w:vAlign w:val="center"/>
          </w:tcPr>
          <w:p w14:paraId="592E0E0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56DC189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4A8966C" w14:textId="330CF779"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7) Participation </w:t>
            </w:r>
            <w:r w:rsidR="00830279" w:rsidRPr="007C4D65">
              <w:rPr>
                <w:rFonts w:asciiTheme="minorHAnsi" w:hAnsiTheme="minorHAnsi" w:cstheme="minorHAnsi"/>
                <w:sz w:val="18"/>
              </w:rPr>
              <w:t>of</w:t>
            </w:r>
            <w:r w:rsidRPr="007C4D65">
              <w:rPr>
                <w:rFonts w:asciiTheme="minorHAnsi" w:hAnsiTheme="minorHAnsi" w:cstheme="minorHAnsi"/>
                <w:sz w:val="18"/>
              </w:rPr>
              <w:t xml:space="preserve"> the institutions of the Federation of BiH in the preparation of the National EU Integration Programme for environmental management </w:t>
            </w:r>
          </w:p>
        </w:tc>
        <w:tc>
          <w:tcPr>
            <w:tcW w:w="1159" w:type="pct"/>
            <w:shd w:val="clear" w:color="auto" w:fill="FFFFFF"/>
            <w:tcMar>
              <w:top w:w="0" w:type="dxa"/>
              <w:left w:w="108" w:type="dxa"/>
              <w:bottom w:w="0" w:type="dxa"/>
              <w:right w:w="108" w:type="dxa"/>
            </w:tcMar>
            <w:vAlign w:val="center"/>
          </w:tcPr>
          <w:p w14:paraId="629F9C34" w14:textId="22684DC8"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Ongoing preparations of the integration program</w:t>
            </w:r>
            <w:r w:rsidR="00227D11" w:rsidRPr="007C4D65">
              <w:rPr>
                <w:rFonts w:asciiTheme="minorHAnsi" w:hAnsiTheme="minorHAnsi" w:cstheme="minorHAnsi"/>
                <w:sz w:val="18"/>
              </w:rPr>
              <w:t>me</w:t>
            </w:r>
            <w:r w:rsidRPr="007C4D65">
              <w:rPr>
                <w:rFonts w:asciiTheme="minorHAnsi" w:hAnsiTheme="minorHAnsi" w:cstheme="minorHAnsi"/>
                <w:sz w:val="18"/>
              </w:rPr>
              <w:t xml:space="preserve">  </w:t>
            </w:r>
          </w:p>
        </w:tc>
        <w:tc>
          <w:tcPr>
            <w:tcW w:w="1159" w:type="pct"/>
            <w:shd w:val="clear" w:color="auto" w:fill="FFFFFF"/>
            <w:vAlign w:val="center"/>
          </w:tcPr>
          <w:p w14:paraId="2038511B" w14:textId="73F101E0"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The programme was considered and institutions </w:t>
            </w:r>
            <w:r w:rsidR="008C23C0" w:rsidRPr="007C4D65">
              <w:rPr>
                <w:rFonts w:asciiTheme="minorHAnsi" w:hAnsiTheme="minorHAnsi" w:cstheme="minorHAnsi"/>
                <w:sz w:val="18"/>
              </w:rPr>
              <w:t xml:space="preserve">of the Federation of BiH </w:t>
            </w:r>
            <w:r w:rsidRPr="007C4D65">
              <w:rPr>
                <w:rFonts w:asciiTheme="minorHAnsi" w:hAnsiTheme="minorHAnsi" w:cstheme="minorHAnsi"/>
                <w:sz w:val="18"/>
              </w:rPr>
              <w:t>provided their opinion (2023 and 2027)</w:t>
            </w:r>
          </w:p>
        </w:tc>
      </w:tr>
      <w:tr w:rsidR="00E42F38" w:rsidRPr="007C4D65" w14:paraId="2746E25D" w14:textId="77777777" w:rsidTr="00B6017F">
        <w:trPr>
          <w:trHeight w:val="287"/>
        </w:trPr>
        <w:tc>
          <w:tcPr>
            <w:tcW w:w="710" w:type="pct"/>
            <w:vMerge/>
            <w:shd w:val="clear" w:color="auto" w:fill="D9D9D9"/>
            <w:vAlign w:val="center"/>
          </w:tcPr>
          <w:p w14:paraId="3F8B102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54F77844"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4CDA936"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8) Level of the implementation of the National EU Integration Programme in the domain of environmental management</w:t>
            </w:r>
          </w:p>
        </w:tc>
        <w:tc>
          <w:tcPr>
            <w:tcW w:w="1159" w:type="pct"/>
            <w:shd w:val="clear" w:color="auto" w:fill="FFFFFF"/>
            <w:tcMar>
              <w:top w:w="0" w:type="dxa"/>
              <w:left w:w="108" w:type="dxa"/>
              <w:bottom w:w="0" w:type="dxa"/>
              <w:right w:w="108" w:type="dxa"/>
            </w:tcMar>
            <w:vAlign w:val="center"/>
          </w:tcPr>
          <w:p w14:paraId="50E154A8"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Preparation of the Integration Programme in progress</w:t>
            </w:r>
          </w:p>
        </w:tc>
        <w:tc>
          <w:tcPr>
            <w:tcW w:w="1159" w:type="pct"/>
            <w:shd w:val="clear" w:color="auto" w:fill="FFFFFF"/>
            <w:vAlign w:val="center"/>
          </w:tcPr>
          <w:p w14:paraId="6F799B47"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Advanced stage of the implementation (2030)</w:t>
            </w:r>
          </w:p>
        </w:tc>
      </w:tr>
      <w:tr w:rsidR="00E42F38" w:rsidRPr="007C4D65" w14:paraId="261293C4" w14:textId="77777777" w:rsidTr="00B6017F">
        <w:trPr>
          <w:trHeight w:val="287"/>
        </w:trPr>
        <w:tc>
          <w:tcPr>
            <w:tcW w:w="710" w:type="pct"/>
            <w:vMerge/>
            <w:shd w:val="clear" w:color="auto" w:fill="D9D9D9"/>
            <w:vAlign w:val="center"/>
          </w:tcPr>
          <w:p w14:paraId="6566CF18"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3423A63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6AD0F75"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9) Systemic monitoring of the approximation</w:t>
            </w:r>
          </w:p>
        </w:tc>
        <w:tc>
          <w:tcPr>
            <w:tcW w:w="1159" w:type="pct"/>
            <w:shd w:val="clear" w:color="auto" w:fill="FFFFFF"/>
            <w:tcMar>
              <w:top w:w="0" w:type="dxa"/>
              <w:left w:w="108" w:type="dxa"/>
              <w:bottom w:w="0" w:type="dxa"/>
              <w:right w:w="108" w:type="dxa"/>
            </w:tcMar>
            <w:vAlign w:val="center"/>
          </w:tcPr>
          <w:p w14:paraId="4836D62B"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Not developed</w:t>
            </w:r>
          </w:p>
        </w:tc>
        <w:tc>
          <w:tcPr>
            <w:tcW w:w="1159" w:type="pct"/>
            <w:shd w:val="clear" w:color="auto" w:fill="FFFFFF"/>
            <w:vAlign w:val="center"/>
          </w:tcPr>
          <w:p w14:paraId="7AC30137"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Developed (2023)</w:t>
            </w:r>
          </w:p>
        </w:tc>
      </w:tr>
      <w:tr w:rsidR="00E42F38" w:rsidRPr="007C4D65" w14:paraId="7C1F108A" w14:textId="77777777" w:rsidTr="00B6017F">
        <w:trPr>
          <w:trHeight w:val="287"/>
        </w:trPr>
        <w:tc>
          <w:tcPr>
            <w:tcW w:w="710" w:type="pct"/>
            <w:vMerge/>
            <w:shd w:val="clear" w:color="auto" w:fill="D9D9D9"/>
            <w:vAlign w:val="center"/>
          </w:tcPr>
          <w:p w14:paraId="31BB988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04D8249B"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300F77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10) Efficient and regular monitoring of updates of the environmental legislation (alignment with the EU acquis)  </w:t>
            </w:r>
          </w:p>
        </w:tc>
        <w:tc>
          <w:tcPr>
            <w:tcW w:w="1159" w:type="pct"/>
            <w:shd w:val="clear" w:color="auto" w:fill="FFFFFF"/>
            <w:tcMar>
              <w:top w:w="0" w:type="dxa"/>
              <w:left w:w="108" w:type="dxa"/>
              <w:bottom w:w="0" w:type="dxa"/>
              <w:right w:w="108" w:type="dxa"/>
            </w:tcMar>
            <w:vAlign w:val="center"/>
          </w:tcPr>
          <w:p w14:paraId="07219F8B"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Legislation partially updated and aligned</w:t>
            </w:r>
          </w:p>
        </w:tc>
        <w:tc>
          <w:tcPr>
            <w:tcW w:w="1159" w:type="pct"/>
            <w:shd w:val="clear" w:color="auto" w:fill="FFFFFF"/>
            <w:vAlign w:val="center"/>
          </w:tcPr>
          <w:p w14:paraId="2FF243C8"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 xml:space="preserve">Legislation </w:t>
            </w:r>
            <w:proofErr w:type="gramStart"/>
            <w:r w:rsidRPr="007C4D65">
              <w:rPr>
                <w:rFonts w:asciiTheme="minorHAnsi" w:hAnsiTheme="minorHAnsi" w:cstheme="minorHAnsi"/>
                <w:sz w:val="18"/>
              </w:rPr>
              <w:t>update</w:t>
            </w:r>
            <w:proofErr w:type="gramEnd"/>
            <w:r w:rsidRPr="007C4D65">
              <w:rPr>
                <w:rFonts w:asciiTheme="minorHAnsi" w:hAnsiTheme="minorHAnsi" w:cstheme="minorHAnsi"/>
                <w:sz w:val="18"/>
              </w:rPr>
              <w:t xml:space="preserve"> and aligned with the EU acquis (2030)</w:t>
            </w:r>
            <w:r w:rsidRPr="007C4D65">
              <w:rPr>
                <w:rFonts w:asciiTheme="minorHAnsi" w:hAnsiTheme="minorHAnsi" w:cstheme="minorHAnsi"/>
                <w:sz w:val="18"/>
              </w:rPr>
              <w:cr/>
            </w:r>
            <w:r w:rsidRPr="007C4D65">
              <w:rPr>
                <w:rFonts w:asciiTheme="minorHAnsi" w:hAnsiTheme="minorHAnsi" w:cstheme="minorHAnsi"/>
                <w:sz w:val="18"/>
              </w:rPr>
              <w:br/>
            </w:r>
          </w:p>
        </w:tc>
      </w:tr>
      <w:tr w:rsidR="00E42F38" w:rsidRPr="007C4D65" w14:paraId="4C360974" w14:textId="77777777" w:rsidTr="00B6017F">
        <w:trPr>
          <w:trHeight w:val="287"/>
        </w:trPr>
        <w:tc>
          <w:tcPr>
            <w:tcW w:w="710" w:type="pct"/>
            <w:vMerge/>
            <w:shd w:val="clear" w:color="auto" w:fill="D9D9D9"/>
            <w:vAlign w:val="center"/>
          </w:tcPr>
          <w:p w14:paraId="4ECA89E0"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4B18271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89FCF6D"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color w:val="000000"/>
                <w:sz w:val="18"/>
              </w:rPr>
              <w:t>11) Quality of contribution of the institutions of the Federation of Bosnia and Herzegovina in the preparation of DSIPs</w:t>
            </w:r>
          </w:p>
        </w:tc>
        <w:tc>
          <w:tcPr>
            <w:tcW w:w="1159" w:type="pct"/>
            <w:shd w:val="clear" w:color="auto" w:fill="FFFFFF"/>
            <w:tcMar>
              <w:top w:w="0" w:type="dxa"/>
              <w:left w:w="108" w:type="dxa"/>
              <w:bottom w:w="0" w:type="dxa"/>
              <w:right w:w="108" w:type="dxa"/>
            </w:tcMar>
            <w:vAlign w:val="center"/>
          </w:tcPr>
          <w:p w14:paraId="25E58C66"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w:t>
            </w:r>
          </w:p>
        </w:tc>
        <w:tc>
          <w:tcPr>
            <w:tcW w:w="1159" w:type="pct"/>
            <w:shd w:val="clear" w:color="auto" w:fill="FFFFFF"/>
            <w:vAlign w:val="center"/>
          </w:tcPr>
          <w:p w14:paraId="7247EC02"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Substantial contribution secured (2025)</w:t>
            </w:r>
          </w:p>
        </w:tc>
      </w:tr>
      <w:tr w:rsidR="00E42F38" w:rsidRPr="007C4D65" w14:paraId="3E5F2563" w14:textId="77777777" w:rsidTr="00B6017F">
        <w:trPr>
          <w:trHeight w:val="287"/>
        </w:trPr>
        <w:tc>
          <w:tcPr>
            <w:tcW w:w="710" w:type="pct"/>
            <w:vMerge/>
            <w:shd w:val="clear" w:color="auto" w:fill="D9D9D9"/>
            <w:vAlign w:val="center"/>
          </w:tcPr>
          <w:p w14:paraId="50158360"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645DEAB7"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2025D74"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color w:val="000000"/>
                <w:sz w:val="18"/>
              </w:rPr>
              <w:t>12) Adoption of the priority APIDs</w:t>
            </w:r>
          </w:p>
        </w:tc>
        <w:tc>
          <w:tcPr>
            <w:tcW w:w="1159" w:type="pct"/>
            <w:shd w:val="clear" w:color="auto" w:fill="FFFFFF"/>
            <w:tcMar>
              <w:top w:w="0" w:type="dxa"/>
              <w:left w:w="108" w:type="dxa"/>
              <w:bottom w:w="0" w:type="dxa"/>
              <w:right w:w="108" w:type="dxa"/>
            </w:tcMar>
            <w:vAlign w:val="center"/>
          </w:tcPr>
          <w:p w14:paraId="2FC7DEFE"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w:t>
            </w:r>
          </w:p>
        </w:tc>
        <w:tc>
          <w:tcPr>
            <w:tcW w:w="1159" w:type="pct"/>
            <w:shd w:val="clear" w:color="auto" w:fill="FFFFFF"/>
            <w:vAlign w:val="center"/>
          </w:tcPr>
          <w:p w14:paraId="21C2846E"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The priority APIDs adopted (2030)</w:t>
            </w:r>
          </w:p>
        </w:tc>
      </w:tr>
      <w:tr w:rsidR="00E42F38" w:rsidRPr="007C4D65" w14:paraId="39340233" w14:textId="77777777" w:rsidTr="00B6017F">
        <w:trPr>
          <w:trHeight w:val="287"/>
        </w:trPr>
        <w:tc>
          <w:tcPr>
            <w:tcW w:w="710" w:type="pct"/>
            <w:vMerge/>
            <w:shd w:val="clear" w:color="auto" w:fill="D9D9D9"/>
            <w:vAlign w:val="center"/>
          </w:tcPr>
          <w:p w14:paraId="632A0DFF"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5F67D0F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CC89210"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color w:val="000000"/>
                <w:sz w:val="18"/>
              </w:rPr>
              <w:t>13) Level of the implementation of APIDs</w:t>
            </w:r>
          </w:p>
        </w:tc>
        <w:tc>
          <w:tcPr>
            <w:tcW w:w="1159" w:type="pct"/>
            <w:shd w:val="clear" w:color="auto" w:fill="FFFFFF"/>
            <w:tcMar>
              <w:top w:w="0" w:type="dxa"/>
              <w:left w:w="108" w:type="dxa"/>
              <w:bottom w:w="0" w:type="dxa"/>
              <w:right w:w="108" w:type="dxa"/>
            </w:tcMar>
            <w:vAlign w:val="center"/>
          </w:tcPr>
          <w:p w14:paraId="25982CBB"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w:t>
            </w:r>
          </w:p>
        </w:tc>
        <w:tc>
          <w:tcPr>
            <w:tcW w:w="1159" w:type="pct"/>
            <w:shd w:val="clear" w:color="auto" w:fill="FFFFFF"/>
            <w:vAlign w:val="center"/>
          </w:tcPr>
          <w:p w14:paraId="59F8CF42"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Advanced stage of the implementation of APIDs (2030+)</w:t>
            </w:r>
          </w:p>
        </w:tc>
      </w:tr>
      <w:tr w:rsidR="00E42F38" w:rsidRPr="007C4D65" w14:paraId="28F2807E" w14:textId="77777777" w:rsidTr="00B6017F">
        <w:trPr>
          <w:trHeight w:val="287"/>
        </w:trPr>
        <w:tc>
          <w:tcPr>
            <w:tcW w:w="710" w:type="pct"/>
            <w:vMerge/>
            <w:shd w:val="clear" w:color="auto" w:fill="D9D9D9"/>
            <w:vAlign w:val="center"/>
          </w:tcPr>
          <w:p w14:paraId="1B453599"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4925E49B"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DBFE6B9"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color w:val="000000"/>
                <w:sz w:val="18"/>
              </w:rPr>
              <w:t>14) Effectiveness of parliamentary procedures</w:t>
            </w:r>
          </w:p>
        </w:tc>
        <w:tc>
          <w:tcPr>
            <w:tcW w:w="1159" w:type="pct"/>
            <w:shd w:val="clear" w:color="auto" w:fill="FFFFFF"/>
            <w:tcMar>
              <w:top w:w="0" w:type="dxa"/>
              <w:left w:w="108" w:type="dxa"/>
              <w:bottom w:w="0" w:type="dxa"/>
              <w:right w:w="108" w:type="dxa"/>
            </w:tcMar>
            <w:vAlign w:val="center"/>
          </w:tcPr>
          <w:p w14:paraId="56032DEF"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Low</w:t>
            </w:r>
          </w:p>
        </w:tc>
        <w:tc>
          <w:tcPr>
            <w:tcW w:w="1159" w:type="pct"/>
            <w:shd w:val="clear" w:color="auto" w:fill="FFFFFF"/>
            <w:vAlign w:val="center"/>
          </w:tcPr>
          <w:p w14:paraId="530604C9"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High (2030)</w:t>
            </w:r>
          </w:p>
        </w:tc>
      </w:tr>
      <w:tr w:rsidR="00E42F38" w:rsidRPr="007C4D65" w14:paraId="7CCD2223" w14:textId="77777777" w:rsidTr="00B6017F">
        <w:trPr>
          <w:trHeight w:val="483"/>
        </w:trPr>
        <w:tc>
          <w:tcPr>
            <w:tcW w:w="710" w:type="pct"/>
            <w:vMerge/>
            <w:shd w:val="clear" w:color="auto" w:fill="D9D9D9"/>
            <w:vAlign w:val="center"/>
            <w:hideMark/>
          </w:tcPr>
          <w:p w14:paraId="7A3823B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56BED0F6"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1635118" w14:textId="71508708"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0A2AFCDC"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2E333035"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5BFC3186" w14:textId="77777777" w:rsidTr="00B6017F">
        <w:trPr>
          <w:trHeight w:val="287"/>
        </w:trPr>
        <w:tc>
          <w:tcPr>
            <w:tcW w:w="710" w:type="pct"/>
            <w:vMerge/>
            <w:shd w:val="clear" w:color="auto" w:fill="D9D9D9"/>
            <w:vAlign w:val="center"/>
            <w:hideMark/>
          </w:tcPr>
          <w:p w14:paraId="64A3A47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74E8ED3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26E0AF6C"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0.133</w:t>
            </w:r>
          </w:p>
        </w:tc>
        <w:tc>
          <w:tcPr>
            <w:tcW w:w="1159" w:type="pct"/>
            <w:tcMar>
              <w:top w:w="0" w:type="dxa"/>
              <w:left w:w="108" w:type="dxa"/>
              <w:bottom w:w="0" w:type="dxa"/>
              <w:right w:w="108" w:type="dxa"/>
            </w:tcMar>
            <w:vAlign w:val="center"/>
          </w:tcPr>
          <w:p w14:paraId="14B6794F"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1.2</w:t>
            </w:r>
          </w:p>
        </w:tc>
        <w:tc>
          <w:tcPr>
            <w:tcW w:w="1159" w:type="pct"/>
            <w:tcMar>
              <w:top w:w="0" w:type="dxa"/>
              <w:left w:w="108" w:type="dxa"/>
              <w:bottom w:w="0" w:type="dxa"/>
              <w:right w:w="108" w:type="dxa"/>
            </w:tcMar>
            <w:vAlign w:val="center"/>
          </w:tcPr>
          <w:p w14:paraId="37589295"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1.3</w:t>
            </w:r>
          </w:p>
        </w:tc>
      </w:tr>
      <w:tr w:rsidR="00E42F38" w:rsidRPr="007C4D65" w14:paraId="7319C262" w14:textId="77777777" w:rsidTr="00B6017F">
        <w:trPr>
          <w:trHeight w:val="483"/>
        </w:trPr>
        <w:tc>
          <w:tcPr>
            <w:tcW w:w="710" w:type="pct"/>
            <w:vMerge w:val="restart"/>
            <w:shd w:val="clear" w:color="auto" w:fill="D9D9D9"/>
            <w:tcMar>
              <w:top w:w="0" w:type="dxa"/>
              <w:left w:w="108" w:type="dxa"/>
              <w:bottom w:w="0" w:type="dxa"/>
              <w:right w:w="108" w:type="dxa"/>
            </w:tcMar>
            <w:vAlign w:val="center"/>
            <w:hideMark/>
          </w:tcPr>
          <w:p w14:paraId="7504C1E2"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7.1.2 Measure</w:t>
            </w:r>
          </w:p>
        </w:tc>
        <w:tc>
          <w:tcPr>
            <w:tcW w:w="813" w:type="pct"/>
            <w:vMerge w:val="restart"/>
            <w:tcMar>
              <w:top w:w="0" w:type="dxa"/>
              <w:left w:w="108" w:type="dxa"/>
              <w:bottom w:w="0" w:type="dxa"/>
              <w:right w:w="108" w:type="dxa"/>
            </w:tcMar>
            <w:vAlign w:val="center"/>
          </w:tcPr>
          <w:p w14:paraId="528F03FF"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Defining penal policies in the environment sector</w:t>
            </w:r>
          </w:p>
        </w:tc>
        <w:tc>
          <w:tcPr>
            <w:tcW w:w="1159" w:type="pct"/>
            <w:shd w:val="clear" w:color="auto" w:fill="D9D9D9"/>
            <w:tcMar>
              <w:top w:w="0" w:type="dxa"/>
              <w:left w:w="108" w:type="dxa"/>
              <w:bottom w:w="0" w:type="dxa"/>
              <w:right w:w="108" w:type="dxa"/>
            </w:tcMar>
            <w:vAlign w:val="center"/>
            <w:hideMark/>
          </w:tcPr>
          <w:p w14:paraId="53992214"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34BD4E4E"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5D71D589"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57E46062" w14:textId="77777777" w:rsidTr="00B6017F">
        <w:trPr>
          <w:trHeight w:val="287"/>
        </w:trPr>
        <w:tc>
          <w:tcPr>
            <w:tcW w:w="710" w:type="pct"/>
            <w:vMerge/>
            <w:shd w:val="clear" w:color="auto" w:fill="D9D9D9"/>
            <w:vAlign w:val="center"/>
            <w:hideMark/>
          </w:tcPr>
          <w:p w14:paraId="3E430CB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2D4C47C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269D7E8" w14:textId="538E23A3"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 xml:space="preserve">Analysis of compliance of the Law on Environmental Protection </w:t>
            </w:r>
            <w:r w:rsidR="007436F1" w:rsidRPr="007C4D65">
              <w:rPr>
                <w:rFonts w:asciiTheme="minorHAnsi" w:hAnsiTheme="minorHAnsi" w:cstheme="minorHAnsi"/>
                <w:sz w:val="18"/>
              </w:rPr>
              <w:t>of the Federation of BiH</w:t>
            </w:r>
            <w:r w:rsidRPr="007C4D65">
              <w:rPr>
                <w:rFonts w:asciiTheme="minorHAnsi" w:hAnsiTheme="minorHAnsi" w:cstheme="minorHAnsi"/>
                <w:sz w:val="18"/>
              </w:rPr>
              <w:t xml:space="preserve"> with the EU directives</w:t>
            </w:r>
          </w:p>
        </w:tc>
        <w:tc>
          <w:tcPr>
            <w:tcW w:w="1159" w:type="pct"/>
            <w:shd w:val="clear" w:color="auto" w:fill="FFFFFF"/>
            <w:tcMar>
              <w:top w:w="0" w:type="dxa"/>
              <w:left w:w="108" w:type="dxa"/>
              <w:bottom w:w="0" w:type="dxa"/>
              <w:right w:w="108" w:type="dxa"/>
            </w:tcMar>
            <w:vAlign w:val="center"/>
          </w:tcPr>
          <w:p w14:paraId="118CD7D8"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w:t>
            </w:r>
          </w:p>
        </w:tc>
        <w:tc>
          <w:tcPr>
            <w:tcW w:w="1159" w:type="pct"/>
            <w:shd w:val="clear" w:color="auto" w:fill="FFFFFF"/>
            <w:vAlign w:val="center"/>
          </w:tcPr>
          <w:p w14:paraId="634136E8" w14:textId="77777777" w:rsidR="00E42F38" w:rsidRPr="007C4D65" w:rsidRDefault="00E42F38" w:rsidP="00E42F38">
            <w:pPr>
              <w:spacing w:after="120" w:line="276" w:lineRule="auto"/>
              <w:ind w:left="69"/>
              <w:contextualSpacing/>
              <w:rPr>
                <w:rFonts w:asciiTheme="minorHAnsi" w:eastAsia="Calibri" w:hAnsiTheme="minorHAnsi" w:cstheme="minorHAnsi"/>
                <w:sz w:val="18"/>
                <w:szCs w:val="18"/>
              </w:rPr>
            </w:pPr>
            <w:r w:rsidRPr="007C4D65">
              <w:rPr>
                <w:rFonts w:asciiTheme="minorHAnsi" w:hAnsiTheme="minorHAnsi" w:cstheme="minorHAnsi"/>
                <w:sz w:val="18"/>
              </w:rPr>
              <w:t>Gaps identified in the Law on Environmental Protection and its compatibility with Criminal Code (2023)</w:t>
            </w:r>
          </w:p>
        </w:tc>
      </w:tr>
      <w:tr w:rsidR="00E42F38" w:rsidRPr="007C4D65" w14:paraId="5898B23B" w14:textId="77777777" w:rsidTr="00B6017F">
        <w:trPr>
          <w:trHeight w:val="287"/>
        </w:trPr>
        <w:tc>
          <w:tcPr>
            <w:tcW w:w="710" w:type="pct"/>
            <w:vMerge/>
            <w:shd w:val="clear" w:color="auto" w:fill="D9D9D9"/>
            <w:vAlign w:val="center"/>
          </w:tcPr>
          <w:p w14:paraId="6F52845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4BABD74B"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A6F426C" w14:textId="77777777"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 xml:space="preserve">Status of amendments to the Law on Environmental protection </w:t>
            </w:r>
          </w:p>
        </w:tc>
        <w:tc>
          <w:tcPr>
            <w:tcW w:w="1159" w:type="pct"/>
            <w:shd w:val="clear" w:color="auto" w:fill="FFFFFF"/>
            <w:tcMar>
              <w:top w:w="0" w:type="dxa"/>
              <w:left w:w="108" w:type="dxa"/>
              <w:bottom w:w="0" w:type="dxa"/>
              <w:right w:w="108" w:type="dxa"/>
            </w:tcMar>
            <w:vAlign w:val="center"/>
          </w:tcPr>
          <w:p w14:paraId="3953EB79"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w:t>
            </w:r>
          </w:p>
        </w:tc>
        <w:tc>
          <w:tcPr>
            <w:tcW w:w="1159" w:type="pct"/>
            <w:shd w:val="clear" w:color="auto" w:fill="FFFFFF"/>
            <w:vAlign w:val="center"/>
          </w:tcPr>
          <w:p w14:paraId="637D4A4F" w14:textId="77777777" w:rsidR="00E42F38" w:rsidRPr="007C4D65" w:rsidRDefault="00E42F38" w:rsidP="00E42F38">
            <w:pPr>
              <w:spacing w:after="120" w:line="276" w:lineRule="auto"/>
              <w:ind w:left="69"/>
              <w:contextualSpacing/>
              <w:rPr>
                <w:rFonts w:asciiTheme="minorHAnsi" w:hAnsiTheme="minorHAnsi" w:cstheme="minorHAnsi"/>
                <w:sz w:val="18"/>
                <w:szCs w:val="18"/>
              </w:rPr>
            </w:pPr>
            <w:r w:rsidRPr="007C4D65">
              <w:rPr>
                <w:rFonts w:asciiTheme="minorHAnsi" w:hAnsiTheme="minorHAnsi" w:cstheme="minorHAnsi"/>
                <w:sz w:val="18"/>
              </w:rPr>
              <w:t>The amendments adopted (2025)</w:t>
            </w:r>
          </w:p>
        </w:tc>
      </w:tr>
      <w:tr w:rsidR="00E42F38" w:rsidRPr="007C4D65" w14:paraId="42CAB8CD" w14:textId="77777777" w:rsidTr="00B6017F">
        <w:trPr>
          <w:trHeight w:val="287"/>
        </w:trPr>
        <w:tc>
          <w:tcPr>
            <w:tcW w:w="710" w:type="pct"/>
            <w:vMerge/>
            <w:shd w:val="clear" w:color="auto" w:fill="D9D9D9"/>
            <w:vAlign w:val="center"/>
          </w:tcPr>
          <w:p w14:paraId="74FA7319"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471E74F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67A6E10" w14:textId="77777777"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Status of amendments to the Criminal Code of Federation of BiH:</w:t>
            </w:r>
          </w:p>
        </w:tc>
        <w:tc>
          <w:tcPr>
            <w:tcW w:w="1159" w:type="pct"/>
            <w:shd w:val="clear" w:color="auto" w:fill="FFFFFF"/>
            <w:tcMar>
              <w:top w:w="0" w:type="dxa"/>
              <w:left w:w="108" w:type="dxa"/>
              <w:bottom w:w="0" w:type="dxa"/>
              <w:right w:w="108" w:type="dxa"/>
            </w:tcMar>
            <w:vAlign w:val="center"/>
          </w:tcPr>
          <w:p w14:paraId="51DD5472" w14:textId="77777777" w:rsidR="00E42F38" w:rsidRPr="007C4D65" w:rsidRDefault="00E42F38" w:rsidP="00E42F38">
            <w:pPr>
              <w:spacing w:after="120" w:line="276" w:lineRule="auto"/>
              <w:ind w:left="2" w:hanging="2"/>
              <w:contextualSpacing/>
              <w:rPr>
                <w:rFonts w:asciiTheme="minorHAnsi" w:eastAsia="Calibri" w:hAnsiTheme="minorHAnsi" w:cstheme="minorHAnsi"/>
                <w:sz w:val="18"/>
                <w:szCs w:val="18"/>
              </w:rPr>
            </w:pPr>
            <w:r w:rsidRPr="007C4D65">
              <w:rPr>
                <w:rFonts w:asciiTheme="minorHAnsi" w:hAnsiTheme="minorHAnsi" w:cstheme="minorHAnsi"/>
                <w:sz w:val="18"/>
              </w:rPr>
              <w:t>-</w:t>
            </w:r>
          </w:p>
        </w:tc>
        <w:tc>
          <w:tcPr>
            <w:tcW w:w="1159" w:type="pct"/>
            <w:shd w:val="clear" w:color="auto" w:fill="FFFFFF"/>
            <w:vAlign w:val="center"/>
          </w:tcPr>
          <w:p w14:paraId="32FD8456" w14:textId="77777777" w:rsidR="00E42F38" w:rsidRPr="007C4D65" w:rsidRDefault="00E42F38" w:rsidP="00E42F38">
            <w:pPr>
              <w:spacing w:after="120" w:line="276" w:lineRule="auto"/>
              <w:ind w:left="69"/>
              <w:contextualSpacing/>
              <w:rPr>
                <w:rFonts w:asciiTheme="minorHAnsi" w:hAnsiTheme="minorHAnsi" w:cstheme="minorHAnsi"/>
                <w:sz w:val="18"/>
                <w:szCs w:val="18"/>
              </w:rPr>
            </w:pPr>
            <w:r w:rsidRPr="007C4D65">
              <w:rPr>
                <w:rFonts w:asciiTheme="minorHAnsi" w:hAnsiTheme="minorHAnsi" w:cstheme="minorHAnsi"/>
                <w:sz w:val="18"/>
              </w:rPr>
              <w:t>The amendments adopted (2027)</w:t>
            </w:r>
          </w:p>
        </w:tc>
      </w:tr>
      <w:tr w:rsidR="00E42F38" w:rsidRPr="007C4D65" w14:paraId="22C1B335" w14:textId="77777777" w:rsidTr="00B6017F">
        <w:trPr>
          <w:trHeight w:val="180"/>
        </w:trPr>
        <w:tc>
          <w:tcPr>
            <w:tcW w:w="710" w:type="pct"/>
            <w:vMerge/>
            <w:shd w:val="clear" w:color="auto" w:fill="D9D9D9"/>
            <w:vAlign w:val="center"/>
          </w:tcPr>
          <w:p w14:paraId="762056F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51B5B21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27E5DE5" w14:textId="77777777" w:rsidR="00E42F38" w:rsidRPr="007C4D65" w:rsidRDefault="00E42F38" w:rsidP="00E42F38">
            <w:pPr>
              <w:spacing w:after="120" w:line="276" w:lineRule="auto"/>
              <w:ind w:hanging="2"/>
              <w:contextualSpacing/>
              <w:rPr>
                <w:rFonts w:asciiTheme="minorHAnsi" w:eastAsia="Arial"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4E4FADA" w14:textId="77777777" w:rsidR="00E42F38" w:rsidRPr="007C4D65" w:rsidRDefault="00E42F38" w:rsidP="00E42F38">
            <w:pPr>
              <w:spacing w:after="120" w:line="276" w:lineRule="auto"/>
              <w:ind w:left="2" w:hanging="2"/>
              <w:contextualSpacing/>
              <w:rPr>
                <w:rFonts w:asciiTheme="minorHAnsi" w:eastAsia="Calibri" w:hAnsiTheme="minorHAnsi" w:cstheme="minorHAnsi"/>
                <w:sz w:val="18"/>
                <w:szCs w:val="18"/>
                <w:lang w:val="hr-HR"/>
              </w:rPr>
            </w:pPr>
          </w:p>
        </w:tc>
        <w:tc>
          <w:tcPr>
            <w:tcW w:w="1159" w:type="pct"/>
            <w:shd w:val="clear" w:color="auto" w:fill="FFFFFF"/>
            <w:vAlign w:val="center"/>
          </w:tcPr>
          <w:p w14:paraId="5F783CCF" w14:textId="77777777" w:rsidR="00E42F38" w:rsidRPr="007C4D65" w:rsidRDefault="00E42F38" w:rsidP="00E42F38">
            <w:pPr>
              <w:spacing w:line="276" w:lineRule="auto"/>
              <w:rPr>
                <w:rFonts w:asciiTheme="minorHAnsi" w:hAnsiTheme="minorHAnsi" w:cstheme="minorHAnsi"/>
                <w:sz w:val="18"/>
                <w:szCs w:val="18"/>
                <w:lang w:val="hr-HR"/>
              </w:rPr>
            </w:pPr>
          </w:p>
        </w:tc>
      </w:tr>
      <w:tr w:rsidR="00E42F38" w:rsidRPr="007C4D65" w14:paraId="2E554D77" w14:textId="77777777" w:rsidTr="00B6017F">
        <w:trPr>
          <w:trHeight w:val="483"/>
        </w:trPr>
        <w:tc>
          <w:tcPr>
            <w:tcW w:w="710" w:type="pct"/>
            <w:vMerge/>
            <w:shd w:val="clear" w:color="auto" w:fill="D9D9D9"/>
            <w:vAlign w:val="center"/>
            <w:hideMark/>
          </w:tcPr>
          <w:p w14:paraId="7C04C23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5D9B4FC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2A51890C" w14:textId="2BD97626"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15036AD4"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3F25F5D9"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7F8EBA95" w14:textId="77777777" w:rsidTr="00B6017F">
        <w:trPr>
          <w:trHeight w:val="287"/>
        </w:trPr>
        <w:tc>
          <w:tcPr>
            <w:tcW w:w="710" w:type="pct"/>
            <w:vMerge/>
            <w:shd w:val="clear" w:color="auto" w:fill="D9D9D9"/>
            <w:vAlign w:val="center"/>
            <w:hideMark/>
          </w:tcPr>
          <w:p w14:paraId="19899A9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4EFC237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9EA58B0"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0.094</w:t>
            </w:r>
          </w:p>
        </w:tc>
        <w:tc>
          <w:tcPr>
            <w:tcW w:w="1159" w:type="pct"/>
            <w:tcMar>
              <w:top w:w="0" w:type="dxa"/>
              <w:left w:w="108" w:type="dxa"/>
              <w:bottom w:w="0" w:type="dxa"/>
              <w:right w:w="108" w:type="dxa"/>
            </w:tcMar>
            <w:vAlign w:val="center"/>
          </w:tcPr>
          <w:p w14:paraId="6E592F74"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6E7E54F9"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0.094</w:t>
            </w:r>
          </w:p>
        </w:tc>
      </w:tr>
      <w:tr w:rsidR="00E42F38" w:rsidRPr="007C4D65" w14:paraId="30BAD535" w14:textId="77777777" w:rsidTr="00B6017F">
        <w:trPr>
          <w:trHeight w:val="483"/>
        </w:trPr>
        <w:tc>
          <w:tcPr>
            <w:tcW w:w="710" w:type="pct"/>
            <w:vMerge w:val="restart"/>
            <w:shd w:val="clear" w:color="auto" w:fill="D9D9D9"/>
            <w:tcMar>
              <w:top w:w="0" w:type="dxa"/>
              <w:left w:w="108" w:type="dxa"/>
              <w:bottom w:w="0" w:type="dxa"/>
              <w:right w:w="108" w:type="dxa"/>
            </w:tcMar>
            <w:vAlign w:val="center"/>
          </w:tcPr>
          <w:p w14:paraId="2198D626"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7.1.3 Measure</w:t>
            </w:r>
          </w:p>
        </w:tc>
        <w:tc>
          <w:tcPr>
            <w:tcW w:w="813" w:type="pct"/>
            <w:vMerge w:val="restart"/>
            <w:tcMar>
              <w:top w:w="0" w:type="dxa"/>
              <w:left w:w="108" w:type="dxa"/>
              <w:bottom w:w="0" w:type="dxa"/>
              <w:right w:w="108" w:type="dxa"/>
            </w:tcMar>
            <w:vAlign w:val="center"/>
          </w:tcPr>
          <w:p w14:paraId="7F5C388E"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Upgrading the legal and strategic framework in the environmental management sector so as to meet </w:t>
            </w:r>
            <w:proofErr w:type="gramStart"/>
            <w:r w:rsidRPr="007C4D65">
              <w:rPr>
                <w:rFonts w:asciiTheme="minorHAnsi" w:hAnsiTheme="minorHAnsi" w:cstheme="minorHAnsi"/>
                <w:sz w:val="18"/>
              </w:rPr>
              <w:t>the  international</w:t>
            </w:r>
            <w:proofErr w:type="gramEnd"/>
            <w:r w:rsidRPr="007C4D65">
              <w:rPr>
                <w:rFonts w:asciiTheme="minorHAnsi" w:hAnsiTheme="minorHAnsi" w:cstheme="minorHAnsi"/>
                <w:sz w:val="18"/>
              </w:rPr>
              <w:t xml:space="preserve"> and national gender equality standards</w:t>
            </w:r>
          </w:p>
        </w:tc>
        <w:tc>
          <w:tcPr>
            <w:tcW w:w="1159" w:type="pct"/>
            <w:shd w:val="clear" w:color="auto" w:fill="D9D9D9"/>
            <w:tcMar>
              <w:top w:w="0" w:type="dxa"/>
              <w:left w:w="108" w:type="dxa"/>
              <w:bottom w:w="0" w:type="dxa"/>
              <w:right w:w="108" w:type="dxa"/>
            </w:tcMar>
            <w:vAlign w:val="center"/>
            <w:hideMark/>
          </w:tcPr>
          <w:p w14:paraId="0FF2AE1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6C0DE180"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6B90E555"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65EB67EC" w14:textId="77777777" w:rsidTr="00B6017F">
        <w:trPr>
          <w:trHeight w:val="287"/>
        </w:trPr>
        <w:tc>
          <w:tcPr>
            <w:tcW w:w="710" w:type="pct"/>
            <w:vMerge/>
            <w:shd w:val="clear" w:color="auto" w:fill="D9D9D9"/>
            <w:vAlign w:val="center"/>
          </w:tcPr>
          <w:p w14:paraId="0A92185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21BB888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271B095"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Level of alignment of the environmental management legal and strategic framework with the international and national gender equality standards  </w:t>
            </w:r>
          </w:p>
        </w:tc>
        <w:tc>
          <w:tcPr>
            <w:tcW w:w="1159" w:type="pct"/>
            <w:shd w:val="clear" w:color="auto" w:fill="FFFFFF"/>
            <w:tcMar>
              <w:top w:w="0" w:type="dxa"/>
              <w:left w:w="108" w:type="dxa"/>
              <w:bottom w:w="0" w:type="dxa"/>
              <w:right w:w="108" w:type="dxa"/>
            </w:tcMar>
            <w:vAlign w:val="center"/>
          </w:tcPr>
          <w:p w14:paraId="4E90228A"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Low level of alignment of the environmental management legal and strategic framework with the international and national gender equality standards  </w:t>
            </w:r>
          </w:p>
        </w:tc>
        <w:tc>
          <w:tcPr>
            <w:tcW w:w="1159" w:type="pct"/>
            <w:shd w:val="clear" w:color="auto" w:fill="FFFFFF"/>
            <w:vAlign w:val="center"/>
          </w:tcPr>
          <w:p w14:paraId="0A89DCE1" w14:textId="71F87D5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Significantly increased level of alignment of the environmental management legal and strategic framework with the international and national gender equality </w:t>
            </w:r>
            <w:proofErr w:type="gramStart"/>
            <w:r w:rsidRPr="007C4D65">
              <w:rPr>
                <w:rFonts w:asciiTheme="minorHAnsi" w:hAnsiTheme="minorHAnsi" w:cstheme="minorHAnsi"/>
                <w:sz w:val="18"/>
              </w:rPr>
              <w:t>standards(</w:t>
            </w:r>
            <w:proofErr w:type="gramEnd"/>
            <w:r w:rsidRPr="007C4D65">
              <w:rPr>
                <w:rFonts w:asciiTheme="minorHAnsi" w:hAnsiTheme="minorHAnsi" w:cstheme="minorHAnsi"/>
                <w:sz w:val="18"/>
              </w:rPr>
              <w:t>2030)</w:t>
            </w:r>
          </w:p>
        </w:tc>
      </w:tr>
      <w:tr w:rsidR="00E42F38" w:rsidRPr="007C4D65" w14:paraId="31519F23" w14:textId="77777777" w:rsidTr="00B6017F">
        <w:trPr>
          <w:trHeight w:val="483"/>
        </w:trPr>
        <w:tc>
          <w:tcPr>
            <w:tcW w:w="710" w:type="pct"/>
            <w:vMerge/>
            <w:shd w:val="clear" w:color="auto" w:fill="D9D9D9"/>
            <w:vAlign w:val="center"/>
          </w:tcPr>
          <w:p w14:paraId="12FEADD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4F5EDFA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05B7C4E5" w14:textId="34D896B1"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76093EE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5BBE5F0F"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3B4DF158" w14:textId="77777777" w:rsidTr="00B6017F">
        <w:trPr>
          <w:trHeight w:val="287"/>
        </w:trPr>
        <w:tc>
          <w:tcPr>
            <w:tcW w:w="710" w:type="pct"/>
            <w:vMerge/>
            <w:shd w:val="clear" w:color="auto" w:fill="D9D9D9"/>
            <w:vAlign w:val="center"/>
          </w:tcPr>
          <w:p w14:paraId="2352CFA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3AF49CD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53100C0"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0.063</w:t>
            </w:r>
          </w:p>
        </w:tc>
        <w:tc>
          <w:tcPr>
            <w:tcW w:w="1159" w:type="pct"/>
            <w:tcMar>
              <w:top w:w="0" w:type="dxa"/>
              <w:left w:w="108" w:type="dxa"/>
              <w:bottom w:w="0" w:type="dxa"/>
              <w:right w:w="108" w:type="dxa"/>
            </w:tcMar>
            <w:vAlign w:val="center"/>
          </w:tcPr>
          <w:p w14:paraId="53F6A522"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3829EBF5"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0.063</w:t>
            </w:r>
          </w:p>
        </w:tc>
      </w:tr>
    </w:tbl>
    <w:p w14:paraId="3830808E" w14:textId="77777777" w:rsidR="00E42F38" w:rsidRPr="007C4D65" w:rsidRDefault="00E42F38" w:rsidP="00E42F38">
      <w:pPr>
        <w:spacing w:after="120" w:line="276" w:lineRule="auto"/>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981"/>
        <w:gridCol w:w="2268"/>
        <w:gridCol w:w="3233"/>
        <w:gridCol w:w="3233"/>
        <w:gridCol w:w="3233"/>
      </w:tblGrid>
      <w:tr w:rsidR="00E42F38" w:rsidRPr="007C4D65" w14:paraId="71131F6D" w14:textId="77777777" w:rsidTr="00B6017F">
        <w:trPr>
          <w:trHeight w:val="384"/>
        </w:trPr>
        <w:tc>
          <w:tcPr>
            <w:tcW w:w="710" w:type="pct"/>
            <w:vMerge w:val="restart"/>
            <w:shd w:val="clear" w:color="auto" w:fill="D9D9D9"/>
            <w:tcMar>
              <w:top w:w="0" w:type="dxa"/>
              <w:left w:w="108" w:type="dxa"/>
              <w:bottom w:w="0" w:type="dxa"/>
              <w:right w:w="108" w:type="dxa"/>
            </w:tcMar>
            <w:vAlign w:val="center"/>
          </w:tcPr>
          <w:p w14:paraId="37C09B48"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7.2 Priority</w:t>
            </w:r>
          </w:p>
          <w:p w14:paraId="7311EEDF"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restart"/>
            <w:tcMar>
              <w:top w:w="0" w:type="dxa"/>
              <w:left w:w="108" w:type="dxa"/>
              <w:bottom w:w="0" w:type="dxa"/>
              <w:right w:w="108" w:type="dxa"/>
            </w:tcMar>
            <w:vAlign w:val="center"/>
          </w:tcPr>
          <w:p w14:paraId="1205D96D" w14:textId="77777777" w:rsidR="00E42F38" w:rsidRPr="007C4D65" w:rsidRDefault="00E42F38" w:rsidP="00E42F38">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Ensuring efficient implementation of the applicable legislation and international commitments</w:t>
            </w:r>
          </w:p>
        </w:tc>
        <w:tc>
          <w:tcPr>
            <w:tcW w:w="1159" w:type="pct"/>
            <w:shd w:val="clear" w:color="auto" w:fill="D9D9D9"/>
            <w:tcMar>
              <w:top w:w="0" w:type="dxa"/>
              <w:left w:w="108" w:type="dxa"/>
              <w:bottom w:w="0" w:type="dxa"/>
              <w:right w:w="108" w:type="dxa"/>
            </w:tcMar>
            <w:vAlign w:val="center"/>
          </w:tcPr>
          <w:p w14:paraId="0572DA2E" w14:textId="77777777" w:rsidR="00E42F38" w:rsidRPr="007C4D65" w:rsidRDefault="00E42F38" w:rsidP="00E42F38">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2228D74D"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13D86E7B"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1D1C5A9B" w14:textId="77777777" w:rsidTr="00B6017F">
        <w:trPr>
          <w:trHeight w:val="287"/>
        </w:trPr>
        <w:tc>
          <w:tcPr>
            <w:tcW w:w="710" w:type="pct"/>
            <w:vMerge/>
            <w:shd w:val="clear" w:color="auto" w:fill="D9D9D9"/>
            <w:vAlign w:val="center"/>
            <w:hideMark/>
          </w:tcPr>
          <w:p w14:paraId="05A9820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52EDE98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0C24FFF2"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Level of the implementation of international environmental agreements</w:t>
            </w:r>
          </w:p>
        </w:tc>
        <w:tc>
          <w:tcPr>
            <w:tcW w:w="1159" w:type="pct"/>
            <w:tcMar>
              <w:top w:w="0" w:type="dxa"/>
              <w:left w:w="108" w:type="dxa"/>
              <w:bottom w:w="0" w:type="dxa"/>
              <w:right w:w="108" w:type="dxa"/>
            </w:tcMar>
          </w:tcPr>
          <w:p w14:paraId="027B8BDC"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Insufficient implementation of international environmental agreements (2021)</w:t>
            </w:r>
          </w:p>
        </w:tc>
        <w:tc>
          <w:tcPr>
            <w:tcW w:w="1159" w:type="pct"/>
            <w:tcMar>
              <w:top w:w="0" w:type="dxa"/>
              <w:left w:w="108" w:type="dxa"/>
              <w:bottom w:w="0" w:type="dxa"/>
              <w:right w:w="108" w:type="dxa"/>
            </w:tcMar>
          </w:tcPr>
          <w:p w14:paraId="58B11917"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Efficient implementation of the international environmental agreements secured (2027)</w:t>
            </w:r>
          </w:p>
        </w:tc>
      </w:tr>
      <w:tr w:rsidR="00E42F38" w:rsidRPr="007C4D65" w14:paraId="6D0B54E3" w14:textId="77777777" w:rsidTr="00B6017F">
        <w:trPr>
          <w:trHeight w:val="287"/>
        </w:trPr>
        <w:tc>
          <w:tcPr>
            <w:tcW w:w="710" w:type="pct"/>
            <w:vMerge/>
            <w:shd w:val="clear" w:color="auto" w:fill="D9D9D9"/>
            <w:vAlign w:val="center"/>
          </w:tcPr>
          <w:p w14:paraId="63CCAF38"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3E6AD90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24159C2B"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Application of the of strategic environmental assessment</w:t>
            </w:r>
          </w:p>
        </w:tc>
        <w:tc>
          <w:tcPr>
            <w:tcW w:w="1159" w:type="pct"/>
            <w:tcMar>
              <w:top w:w="0" w:type="dxa"/>
              <w:left w:w="108" w:type="dxa"/>
              <w:bottom w:w="0" w:type="dxa"/>
              <w:right w:w="108" w:type="dxa"/>
            </w:tcMar>
          </w:tcPr>
          <w:p w14:paraId="6C14EC4B"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Limited </w:t>
            </w:r>
            <w:proofErr w:type="gramStart"/>
            <w:r w:rsidRPr="007C4D65">
              <w:rPr>
                <w:rFonts w:asciiTheme="minorHAnsi" w:hAnsiTheme="minorHAnsi" w:cstheme="minorHAnsi"/>
                <w:sz w:val="18"/>
              </w:rPr>
              <w:t>application  of</w:t>
            </w:r>
            <w:proofErr w:type="gramEnd"/>
            <w:r w:rsidRPr="007C4D65">
              <w:rPr>
                <w:rFonts w:asciiTheme="minorHAnsi" w:hAnsiTheme="minorHAnsi" w:cstheme="minorHAnsi"/>
                <w:sz w:val="18"/>
              </w:rPr>
              <w:t xml:space="preserve"> the strategic environmental assessment instrument (2021)</w:t>
            </w:r>
          </w:p>
        </w:tc>
        <w:tc>
          <w:tcPr>
            <w:tcW w:w="1159" w:type="pct"/>
            <w:tcMar>
              <w:top w:w="0" w:type="dxa"/>
              <w:left w:w="108" w:type="dxa"/>
              <w:bottom w:w="0" w:type="dxa"/>
              <w:right w:w="108" w:type="dxa"/>
            </w:tcMar>
          </w:tcPr>
          <w:p w14:paraId="79B9EECE"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Strategic environmental assessments of all documents /projects which require SEA consistently undertaken (2024)</w:t>
            </w:r>
          </w:p>
        </w:tc>
      </w:tr>
      <w:tr w:rsidR="00E42F38" w:rsidRPr="007C4D65" w14:paraId="06161031" w14:textId="77777777" w:rsidTr="00B6017F">
        <w:trPr>
          <w:trHeight w:val="287"/>
        </w:trPr>
        <w:tc>
          <w:tcPr>
            <w:tcW w:w="710" w:type="pct"/>
            <w:vMerge/>
            <w:shd w:val="clear" w:color="auto" w:fill="D9D9D9"/>
            <w:vAlign w:val="center"/>
          </w:tcPr>
          <w:p w14:paraId="66C472A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196EBFE4"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48C45E27"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Level of the implementation of integrated permitting procedures</w:t>
            </w:r>
          </w:p>
        </w:tc>
        <w:tc>
          <w:tcPr>
            <w:tcW w:w="1159" w:type="pct"/>
            <w:tcMar>
              <w:top w:w="0" w:type="dxa"/>
              <w:left w:w="108" w:type="dxa"/>
              <w:bottom w:w="0" w:type="dxa"/>
              <w:right w:w="108" w:type="dxa"/>
            </w:tcMar>
          </w:tcPr>
          <w:p w14:paraId="305CCD38"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The Federation of BiH has not started issuing integrated permits, as regulated in the EU Directive 2010/75/EU on industrial emissions (2021)</w:t>
            </w:r>
          </w:p>
        </w:tc>
        <w:tc>
          <w:tcPr>
            <w:tcW w:w="1159" w:type="pct"/>
            <w:tcMar>
              <w:top w:w="0" w:type="dxa"/>
              <w:left w:w="108" w:type="dxa"/>
              <w:bottom w:w="0" w:type="dxa"/>
              <w:right w:w="108" w:type="dxa"/>
            </w:tcMar>
          </w:tcPr>
          <w:p w14:paraId="7339A905"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Conditions for integrated environmental permitting secured (2026)</w:t>
            </w:r>
          </w:p>
        </w:tc>
      </w:tr>
      <w:tr w:rsidR="00E42F38" w:rsidRPr="007C4D65" w14:paraId="07CDB7BF" w14:textId="77777777" w:rsidTr="00B6017F">
        <w:trPr>
          <w:trHeight w:val="287"/>
        </w:trPr>
        <w:tc>
          <w:tcPr>
            <w:tcW w:w="710" w:type="pct"/>
            <w:vMerge/>
            <w:shd w:val="clear" w:color="auto" w:fill="D9D9D9"/>
            <w:vAlign w:val="center"/>
          </w:tcPr>
          <w:p w14:paraId="1777E68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6DD3311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5A0E2E38" w14:textId="5A1EAA14"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Stage of development of </w:t>
            </w:r>
            <w:r w:rsidR="007934C2" w:rsidRPr="007C4D65">
              <w:rPr>
                <w:rFonts w:asciiTheme="minorHAnsi" w:hAnsiTheme="minorHAnsi" w:cstheme="minorHAnsi"/>
                <w:sz w:val="18"/>
              </w:rPr>
              <w:t>technical instructions</w:t>
            </w:r>
            <w:r w:rsidRPr="007C4D65">
              <w:rPr>
                <w:rFonts w:asciiTheme="minorHAnsi" w:hAnsiTheme="minorHAnsi" w:cstheme="minorHAnsi"/>
                <w:sz w:val="18"/>
              </w:rPr>
              <w:t xml:space="preserve"> for best available techniques (BATs) for priority sectors</w:t>
            </w:r>
          </w:p>
        </w:tc>
        <w:tc>
          <w:tcPr>
            <w:tcW w:w="1159" w:type="pct"/>
            <w:tcMar>
              <w:top w:w="0" w:type="dxa"/>
              <w:left w:w="108" w:type="dxa"/>
              <w:bottom w:w="0" w:type="dxa"/>
              <w:right w:w="108" w:type="dxa"/>
            </w:tcMar>
          </w:tcPr>
          <w:p w14:paraId="6D0FFA79" w14:textId="353D2210"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Law on Environmental Protection requires the application of best available </w:t>
            </w:r>
            <w:r w:rsidR="00830279" w:rsidRPr="007C4D65">
              <w:rPr>
                <w:rFonts w:asciiTheme="minorHAnsi" w:hAnsiTheme="minorHAnsi" w:cstheme="minorHAnsi"/>
                <w:sz w:val="18"/>
              </w:rPr>
              <w:t>techniques;</w:t>
            </w:r>
            <w:r w:rsidRPr="007C4D65">
              <w:rPr>
                <w:rFonts w:asciiTheme="minorHAnsi" w:hAnsiTheme="minorHAnsi" w:cstheme="minorHAnsi"/>
                <w:sz w:val="18"/>
              </w:rPr>
              <w:t xml:space="preserve"> however, the practical implementation of this instrument is limited. Technical guidelines on the best available techniques (BAT) and reference documents on the best available techniques (BREFs) were not translated into the official languages of BiH. The </w:t>
            </w:r>
            <w:r w:rsidR="007934C2" w:rsidRPr="007C4D65">
              <w:rPr>
                <w:rFonts w:asciiTheme="minorHAnsi" w:hAnsiTheme="minorHAnsi" w:cstheme="minorHAnsi"/>
                <w:sz w:val="18"/>
              </w:rPr>
              <w:t>technical instructions</w:t>
            </w:r>
            <w:r w:rsidRPr="007C4D65">
              <w:rPr>
                <w:rFonts w:asciiTheme="minorHAnsi" w:hAnsiTheme="minorHAnsi" w:cstheme="minorHAnsi"/>
                <w:sz w:val="18"/>
              </w:rPr>
              <w:t xml:space="preserve"> </w:t>
            </w:r>
            <w:r w:rsidR="007934C2" w:rsidRPr="007C4D65">
              <w:rPr>
                <w:rFonts w:asciiTheme="minorHAnsi" w:hAnsiTheme="minorHAnsi" w:cstheme="minorHAnsi"/>
                <w:sz w:val="18"/>
              </w:rPr>
              <w:t>for</w:t>
            </w:r>
            <w:r w:rsidRPr="007C4D65">
              <w:rPr>
                <w:rFonts w:asciiTheme="minorHAnsi" w:hAnsiTheme="minorHAnsi" w:cstheme="minorHAnsi"/>
                <w:sz w:val="18"/>
              </w:rPr>
              <w:t xml:space="preserve"> BAT</w:t>
            </w:r>
            <w:r w:rsidR="007934C2" w:rsidRPr="007C4D65">
              <w:rPr>
                <w:rFonts w:asciiTheme="minorHAnsi" w:hAnsiTheme="minorHAnsi" w:cstheme="minorHAnsi"/>
                <w:sz w:val="18"/>
              </w:rPr>
              <w:t>s</w:t>
            </w:r>
            <w:r w:rsidRPr="007C4D65">
              <w:rPr>
                <w:rFonts w:asciiTheme="minorHAnsi" w:hAnsiTheme="minorHAnsi" w:cstheme="minorHAnsi"/>
                <w:sz w:val="18"/>
              </w:rPr>
              <w:t xml:space="preserve"> developed in the Federation of BiH include the following sectors of agri-food industry: livestock slaughterhouses, meat processing, fish farming and processing, milk processing and milk products, fruit and vegetable processing and bear breweries. Subsequently, within the Project “Support to implementation of IPPC Directive (</w:t>
            </w:r>
            <w:proofErr w:type="spellStart"/>
            <w:r w:rsidRPr="007C4D65">
              <w:rPr>
                <w:rFonts w:asciiTheme="minorHAnsi" w:hAnsiTheme="minorHAnsi" w:cstheme="minorHAnsi"/>
                <w:sz w:val="18"/>
              </w:rPr>
              <w:t>EuropAid</w:t>
            </w:r>
            <w:proofErr w:type="spellEnd"/>
            <w:r w:rsidRPr="007C4D65">
              <w:rPr>
                <w:rFonts w:asciiTheme="minorHAnsi" w:hAnsiTheme="minorHAnsi" w:cstheme="minorHAnsi"/>
                <w:sz w:val="18"/>
              </w:rPr>
              <w:t xml:space="preserve">/126648/C/SER/BA)” the Federation of BiH prepared the </w:t>
            </w:r>
            <w:r w:rsidR="007934C2" w:rsidRPr="007C4D65">
              <w:rPr>
                <w:rFonts w:asciiTheme="minorHAnsi" w:hAnsiTheme="minorHAnsi" w:cstheme="minorHAnsi"/>
                <w:sz w:val="18"/>
              </w:rPr>
              <w:t>technical instructions</w:t>
            </w:r>
            <w:r w:rsidRPr="007C4D65">
              <w:rPr>
                <w:rFonts w:asciiTheme="minorHAnsi" w:hAnsiTheme="minorHAnsi" w:cstheme="minorHAnsi"/>
                <w:sz w:val="18"/>
              </w:rPr>
              <w:t xml:space="preserve"> for the following sectors: stone extraction, large furnaces, surface protection of metals and plastics, and coating with molten metal, and for monitoring (2021)</w:t>
            </w:r>
          </w:p>
        </w:tc>
        <w:tc>
          <w:tcPr>
            <w:tcW w:w="1159" w:type="pct"/>
            <w:tcMar>
              <w:top w:w="0" w:type="dxa"/>
              <w:left w:w="108" w:type="dxa"/>
              <w:bottom w:w="0" w:type="dxa"/>
              <w:right w:w="108" w:type="dxa"/>
            </w:tcMar>
          </w:tcPr>
          <w:p w14:paraId="1908F5E3" w14:textId="2DBD8B92" w:rsidR="00E42F38" w:rsidRPr="007C4D65" w:rsidRDefault="007934C2"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Technical instructions</w:t>
            </w:r>
            <w:r w:rsidR="00E42F38" w:rsidRPr="007C4D65">
              <w:rPr>
                <w:rFonts w:asciiTheme="minorHAnsi" w:hAnsiTheme="minorHAnsi" w:cstheme="minorHAnsi"/>
                <w:sz w:val="18"/>
              </w:rPr>
              <w:t xml:space="preserve"> for best available techniques (BAT) for activities for which BAT have been defined and prepared (2028)</w:t>
            </w:r>
          </w:p>
        </w:tc>
      </w:tr>
      <w:tr w:rsidR="00E42F38" w:rsidRPr="007C4D65" w14:paraId="08633584" w14:textId="77777777" w:rsidTr="00B6017F">
        <w:trPr>
          <w:trHeight w:val="287"/>
        </w:trPr>
        <w:tc>
          <w:tcPr>
            <w:tcW w:w="710" w:type="pct"/>
            <w:vMerge/>
            <w:shd w:val="clear" w:color="auto" w:fill="D9D9D9"/>
            <w:vAlign w:val="center"/>
            <w:hideMark/>
          </w:tcPr>
          <w:p w14:paraId="7A0EC94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244D10D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3B8C1D23" w14:textId="1FA27A4C"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0946AC6C"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77516381"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158EDD3B" w14:textId="77777777" w:rsidTr="00B6017F">
        <w:trPr>
          <w:trHeight w:val="287"/>
        </w:trPr>
        <w:tc>
          <w:tcPr>
            <w:tcW w:w="710" w:type="pct"/>
            <w:vMerge/>
            <w:shd w:val="clear" w:color="auto" w:fill="D9D9D9"/>
            <w:vAlign w:val="center"/>
          </w:tcPr>
          <w:p w14:paraId="6108C0EC"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27DE11E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D6086AF"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0.220</w:t>
            </w:r>
          </w:p>
        </w:tc>
        <w:tc>
          <w:tcPr>
            <w:tcW w:w="1159" w:type="pct"/>
            <w:tcMar>
              <w:top w:w="0" w:type="dxa"/>
              <w:left w:w="108" w:type="dxa"/>
              <w:bottom w:w="0" w:type="dxa"/>
              <w:right w:w="108" w:type="dxa"/>
            </w:tcMar>
            <w:vAlign w:val="center"/>
          </w:tcPr>
          <w:p w14:paraId="4B1BA5EA"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0.865</w:t>
            </w:r>
          </w:p>
        </w:tc>
        <w:tc>
          <w:tcPr>
            <w:tcW w:w="1159" w:type="pct"/>
            <w:tcMar>
              <w:top w:w="0" w:type="dxa"/>
              <w:left w:w="108" w:type="dxa"/>
              <w:bottom w:w="0" w:type="dxa"/>
              <w:right w:w="108" w:type="dxa"/>
            </w:tcMar>
            <w:vAlign w:val="center"/>
          </w:tcPr>
          <w:p w14:paraId="7EB8E0A4"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1.08</w:t>
            </w:r>
          </w:p>
        </w:tc>
      </w:tr>
    </w:tbl>
    <w:p w14:paraId="24C9D868" w14:textId="77777777" w:rsidR="00E42F38" w:rsidRPr="007C4D65" w:rsidRDefault="00E42F38" w:rsidP="00E42F38">
      <w:pPr>
        <w:spacing w:line="276" w:lineRule="auto"/>
        <w:jc w:val="both"/>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981"/>
        <w:gridCol w:w="2268"/>
        <w:gridCol w:w="3233"/>
        <w:gridCol w:w="3233"/>
        <w:gridCol w:w="3233"/>
      </w:tblGrid>
      <w:tr w:rsidR="00E42F38" w:rsidRPr="007C4D65" w14:paraId="5FEC6378" w14:textId="77777777" w:rsidTr="00B6017F">
        <w:trPr>
          <w:trHeight w:val="483"/>
        </w:trPr>
        <w:tc>
          <w:tcPr>
            <w:tcW w:w="710" w:type="pct"/>
            <w:vMerge w:val="restart"/>
            <w:shd w:val="clear" w:color="auto" w:fill="D9D9D9"/>
            <w:tcMar>
              <w:top w:w="0" w:type="dxa"/>
              <w:left w:w="108" w:type="dxa"/>
              <w:bottom w:w="0" w:type="dxa"/>
              <w:right w:w="108" w:type="dxa"/>
            </w:tcMar>
            <w:vAlign w:val="center"/>
            <w:hideMark/>
          </w:tcPr>
          <w:p w14:paraId="6E7FDB8E"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7.2.1 Measure</w:t>
            </w:r>
          </w:p>
        </w:tc>
        <w:tc>
          <w:tcPr>
            <w:tcW w:w="813" w:type="pct"/>
            <w:vMerge w:val="restart"/>
            <w:tcMar>
              <w:top w:w="0" w:type="dxa"/>
              <w:left w:w="108" w:type="dxa"/>
              <w:bottom w:w="0" w:type="dxa"/>
              <w:right w:w="108" w:type="dxa"/>
            </w:tcMar>
            <w:vAlign w:val="center"/>
          </w:tcPr>
          <w:p w14:paraId="3A16C54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Capacity building for efficient implementation of the international environmental agreements</w:t>
            </w:r>
          </w:p>
        </w:tc>
        <w:tc>
          <w:tcPr>
            <w:tcW w:w="1159" w:type="pct"/>
            <w:shd w:val="clear" w:color="auto" w:fill="D9D9D9"/>
            <w:tcMar>
              <w:top w:w="0" w:type="dxa"/>
              <w:left w:w="108" w:type="dxa"/>
              <w:bottom w:w="0" w:type="dxa"/>
              <w:right w:w="108" w:type="dxa"/>
            </w:tcMar>
            <w:vAlign w:val="center"/>
            <w:hideMark/>
          </w:tcPr>
          <w:p w14:paraId="169A3365"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34B268EF"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3B7057FD"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1ABF92BB" w14:textId="77777777" w:rsidTr="00B6017F">
        <w:trPr>
          <w:trHeight w:val="287"/>
        </w:trPr>
        <w:tc>
          <w:tcPr>
            <w:tcW w:w="710" w:type="pct"/>
            <w:vMerge/>
            <w:shd w:val="clear" w:color="auto" w:fill="D9D9D9"/>
            <w:vAlign w:val="center"/>
          </w:tcPr>
          <w:p w14:paraId="0AB0D54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3CF2C0B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7D8D220"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 Participation of the institutions of the Federation of BiH in the preparation of the documents intended to formalize the framework for the implementation of </w:t>
            </w:r>
            <w:r w:rsidRPr="007C4D65">
              <w:rPr>
                <w:rFonts w:asciiTheme="minorHAnsi" w:hAnsiTheme="minorHAnsi" w:cstheme="minorHAnsi"/>
                <w:sz w:val="18"/>
              </w:rPr>
              <w:lastRenderedPageBreak/>
              <w:t>environmental international commitments of BiH</w:t>
            </w:r>
          </w:p>
        </w:tc>
        <w:tc>
          <w:tcPr>
            <w:tcW w:w="1159" w:type="pct"/>
            <w:shd w:val="clear" w:color="auto" w:fill="FFFFFF"/>
            <w:tcMar>
              <w:top w:w="0" w:type="dxa"/>
              <w:left w:w="108" w:type="dxa"/>
              <w:bottom w:w="0" w:type="dxa"/>
              <w:right w:w="108" w:type="dxa"/>
            </w:tcMar>
            <w:vAlign w:val="center"/>
          </w:tcPr>
          <w:p w14:paraId="6401E9B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lastRenderedPageBreak/>
              <w:t>Ongoing</w:t>
            </w:r>
          </w:p>
        </w:tc>
        <w:tc>
          <w:tcPr>
            <w:tcW w:w="1159" w:type="pct"/>
            <w:shd w:val="clear" w:color="auto" w:fill="FFFFFF"/>
            <w:vAlign w:val="center"/>
          </w:tcPr>
          <w:p w14:paraId="386F23DC"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Participation of the institutions of the Federation of BiH in the preparation of the documents ensured (2023)</w:t>
            </w:r>
          </w:p>
        </w:tc>
      </w:tr>
      <w:tr w:rsidR="00E42F38" w:rsidRPr="007C4D65" w14:paraId="4ABCA7D5" w14:textId="77777777" w:rsidTr="00B6017F">
        <w:trPr>
          <w:trHeight w:val="287"/>
        </w:trPr>
        <w:tc>
          <w:tcPr>
            <w:tcW w:w="710" w:type="pct"/>
            <w:vMerge/>
            <w:shd w:val="clear" w:color="auto" w:fill="D9D9D9"/>
            <w:vAlign w:val="center"/>
          </w:tcPr>
          <w:p w14:paraId="426CC150"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6140E87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221EA6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Access to international agreements and information on the status of their implementation</w:t>
            </w:r>
          </w:p>
        </w:tc>
        <w:tc>
          <w:tcPr>
            <w:tcW w:w="1159" w:type="pct"/>
            <w:shd w:val="clear" w:color="auto" w:fill="FFFFFF"/>
            <w:tcMar>
              <w:top w:w="0" w:type="dxa"/>
              <w:left w:w="108" w:type="dxa"/>
              <w:bottom w:w="0" w:type="dxa"/>
              <w:right w:w="108" w:type="dxa"/>
            </w:tcMar>
            <w:vAlign w:val="center"/>
          </w:tcPr>
          <w:p w14:paraId="3A294EF9"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Access to agreements and information partially ensured</w:t>
            </w:r>
          </w:p>
        </w:tc>
        <w:tc>
          <w:tcPr>
            <w:tcW w:w="1159" w:type="pct"/>
            <w:shd w:val="clear" w:color="auto" w:fill="FFFFFF"/>
            <w:vAlign w:val="center"/>
          </w:tcPr>
          <w:p w14:paraId="5DC78816" w14:textId="046A28AE"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Official international agreements and information on status of their implementation published on the website of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 (2024)</w:t>
            </w:r>
          </w:p>
        </w:tc>
      </w:tr>
      <w:tr w:rsidR="00E42F38" w:rsidRPr="007C4D65" w14:paraId="6C492762" w14:textId="77777777" w:rsidTr="00B6017F">
        <w:trPr>
          <w:trHeight w:val="287"/>
        </w:trPr>
        <w:tc>
          <w:tcPr>
            <w:tcW w:w="710" w:type="pct"/>
            <w:vMerge/>
            <w:shd w:val="clear" w:color="auto" w:fill="D9D9D9"/>
            <w:vAlign w:val="center"/>
          </w:tcPr>
          <w:p w14:paraId="427F692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2CF2B22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5AA1F1E"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Efficiency of the implementation of trainings for the employees about the adequate application of the international agreements</w:t>
            </w:r>
          </w:p>
        </w:tc>
        <w:tc>
          <w:tcPr>
            <w:tcW w:w="1159" w:type="pct"/>
            <w:shd w:val="clear" w:color="auto" w:fill="FFFFFF"/>
            <w:tcMar>
              <w:top w:w="0" w:type="dxa"/>
              <w:left w:w="108" w:type="dxa"/>
              <w:bottom w:w="0" w:type="dxa"/>
              <w:right w:w="108" w:type="dxa"/>
            </w:tcMar>
            <w:vAlign w:val="center"/>
          </w:tcPr>
          <w:p w14:paraId="1A78B9A3"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Trainings have not been provided consistently</w:t>
            </w:r>
          </w:p>
        </w:tc>
        <w:tc>
          <w:tcPr>
            <w:tcW w:w="1159" w:type="pct"/>
            <w:shd w:val="clear" w:color="auto" w:fill="FFFFFF"/>
            <w:vAlign w:val="center"/>
          </w:tcPr>
          <w:p w14:paraId="24765FE2"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The trainings for the employees completed according to the plan (2026)</w:t>
            </w:r>
          </w:p>
        </w:tc>
      </w:tr>
      <w:tr w:rsidR="00E42F38" w:rsidRPr="007C4D65" w14:paraId="748B88D5" w14:textId="77777777" w:rsidTr="00B6017F">
        <w:trPr>
          <w:trHeight w:val="287"/>
        </w:trPr>
        <w:tc>
          <w:tcPr>
            <w:tcW w:w="710" w:type="pct"/>
            <w:vMerge/>
            <w:shd w:val="clear" w:color="auto" w:fill="D9D9D9"/>
            <w:vAlign w:val="center"/>
          </w:tcPr>
          <w:p w14:paraId="4D78C2F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2CDCCBB6"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D7FC542"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color w:val="000000"/>
                <w:sz w:val="18"/>
              </w:rPr>
              <w:t>Communication and cooperation with civil society organizations in the preparation of reports on the implementation of the international environmental agreements</w:t>
            </w:r>
          </w:p>
        </w:tc>
        <w:tc>
          <w:tcPr>
            <w:tcW w:w="1159" w:type="pct"/>
            <w:shd w:val="clear" w:color="auto" w:fill="FFFFFF"/>
            <w:tcMar>
              <w:top w:w="0" w:type="dxa"/>
              <w:left w:w="108" w:type="dxa"/>
              <w:bottom w:w="0" w:type="dxa"/>
              <w:right w:w="108" w:type="dxa"/>
            </w:tcMar>
            <w:vAlign w:val="center"/>
          </w:tcPr>
          <w:p w14:paraId="19BF3B0A"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Communication and cooperation with civil society organizations in the preparation of reports on the implementation of international environmental agreements are not organised</w:t>
            </w:r>
          </w:p>
        </w:tc>
        <w:tc>
          <w:tcPr>
            <w:tcW w:w="1159" w:type="pct"/>
            <w:shd w:val="clear" w:color="auto" w:fill="FFFFFF"/>
            <w:vAlign w:val="center"/>
          </w:tcPr>
          <w:p w14:paraId="58489BBD"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Communication and cooperation with civil society organizations ensured (2027)</w:t>
            </w:r>
          </w:p>
        </w:tc>
      </w:tr>
      <w:tr w:rsidR="00E42F38" w:rsidRPr="007C4D65" w14:paraId="1FB7B33E" w14:textId="77777777" w:rsidTr="00B6017F">
        <w:trPr>
          <w:trHeight w:val="483"/>
        </w:trPr>
        <w:tc>
          <w:tcPr>
            <w:tcW w:w="710" w:type="pct"/>
            <w:vMerge/>
            <w:shd w:val="clear" w:color="auto" w:fill="D9D9D9"/>
            <w:vAlign w:val="center"/>
            <w:hideMark/>
          </w:tcPr>
          <w:p w14:paraId="280D582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22FBA4E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2AF26932" w14:textId="56938607"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30BA61E1"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7949CFD9"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562E8A25" w14:textId="77777777" w:rsidTr="00B6017F">
        <w:trPr>
          <w:trHeight w:val="287"/>
        </w:trPr>
        <w:tc>
          <w:tcPr>
            <w:tcW w:w="710" w:type="pct"/>
            <w:vMerge/>
            <w:shd w:val="clear" w:color="auto" w:fill="D9D9D9"/>
            <w:vAlign w:val="center"/>
            <w:hideMark/>
          </w:tcPr>
          <w:p w14:paraId="65640B4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4A1217CF"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32838B1"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2913A5A2"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0.062</w:t>
            </w:r>
          </w:p>
        </w:tc>
        <w:tc>
          <w:tcPr>
            <w:tcW w:w="1159" w:type="pct"/>
            <w:tcMar>
              <w:top w:w="0" w:type="dxa"/>
              <w:left w:w="108" w:type="dxa"/>
              <w:bottom w:w="0" w:type="dxa"/>
              <w:right w:w="108" w:type="dxa"/>
            </w:tcMar>
            <w:vAlign w:val="center"/>
          </w:tcPr>
          <w:p w14:paraId="71C60EB1"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0.062</w:t>
            </w:r>
          </w:p>
        </w:tc>
      </w:tr>
      <w:tr w:rsidR="00E42F38" w:rsidRPr="007C4D65" w14:paraId="567EC0D0" w14:textId="77777777" w:rsidTr="00B6017F">
        <w:trPr>
          <w:trHeight w:val="483"/>
        </w:trPr>
        <w:tc>
          <w:tcPr>
            <w:tcW w:w="710" w:type="pct"/>
            <w:vMerge w:val="restart"/>
            <w:shd w:val="clear" w:color="auto" w:fill="D9D9D9"/>
            <w:tcMar>
              <w:top w:w="0" w:type="dxa"/>
              <w:left w:w="108" w:type="dxa"/>
              <w:bottom w:w="0" w:type="dxa"/>
              <w:right w:w="108" w:type="dxa"/>
            </w:tcMar>
            <w:vAlign w:val="center"/>
            <w:hideMark/>
          </w:tcPr>
          <w:p w14:paraId="5276925E"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7.2.2 Measure</w:t>
            </w:r>
          </w:p>
        </w:tc>
        <w:tc>
          <w:tcPr>
            <w:tcW w:w="813" w:type="pct"/>
            <w:vMerge w:val="restart"/>
            <w:tcMar>
              <w:top w:w="0" w:type="dxa"/>
              <w:left w:w="108" w:type="dxa"/>
              <w:bottom w:w="0" w:type="dxa"/>
              <w:right w:w="108" w:type="dxa"/>
            </w:tcMar>
            <w:vAlign w:val="center"/>
          </w:tcPr>
          <w:p w14:paraId="29DA13B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Consistent application of the of strategic environmental assessments (SEA)</w:t>
            </w:r>
          </w:p>
        </w:tc>
        <w:tc>
          <w:tcPr>
            <w:tcW w:w="1159" w:type="pct"/>
            <w:shd w:val="clear" w:color="auto" w:fill="D9D9D9"/>
            <w:tcMar>
              <w:top w:w="0" w:type="dxa"/>
              <w:left w:w="108" w:type="dxa"/>
              <w:bottom w:w="0" w:type="dxa"/>
              <w:right w:w="108" w:type="dxa"/>
            </w:tcMar>
            <w:vAlign w:val="center"/>
            <w:hideMark/>
          </w:tcPr>
          <w:p w14:paraId="2E32243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54A47E04"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45833B17"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3E5A3BB7" w14:textId="77777777" w:rsidTr="00B6017F">
        <w:trPr>
          <w:trHeight w:val="287"/>
        </w:trPr>
        <w:tc>
          <w:tcPr>
            <w:tcW w:w="710" w:type="pct"/>
            <w:vMerge/>
            <w:shd w:val="clear" w:color="auto" w:fill="D9D9D9"/>
            <w:vAlign w:val="center"/>
            <w:hideMark/>
          </w:tcPr>
          <w:p w14:paraId="57B7D52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427876E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27772C9" w14:textId="6805F0F8"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 xml:space="preserve">Status of the adoption of </w:t>
            </w:r>
            <w:r w:rsidR="00B80FAD" w:rsidRPr="007C4D65">
              <w:rPr>
                <w:rFonts w:asciiTheme="minorHAnsi" w:hAnsiTheme="minorHAnsi" w:cstheme="minorHAnsi"/>
                <w:sz w:val="18"/>
              </w:rPr>
              <w:t>bylaw</w:t>
            </w:r>
            <w:r w:rsidRPr="007C4D65">
              <w:rPr>
                <w:rFonts w:asciiTheme="minorHAnsi" w:hAnsiTheme="minorHAnsi" w:cstheme="minorHAnsi"/>
                <w:sz w:val="18"/>
              </w:rPr>
              <w:t>s defining in detail the scope, content of SEA report</w:t>
            </w:r>
          </w:p>
        </w:tc>
        <w:tc>
          <w:tcPr>
            <w:tcW w:w="1159" w:type="pct"/>
            <w:shd w:val="clear" w:color="auto" w:fill="FFFFFF"/>
            <w:tcMar>
              <w:top w:w="0" w:type="dxa"/>
              <w:left w:w="108" w:type="dxa"/>
              <w:bottom w:w="0" w:type="dxa"/>
              <w:right w:w="108" w:type="dxa"/>
            </w:tcMar>
            <w:vAlign w:val="center"/>
          </w:tcPr>
          <w:p w14:paraId="5B7B5931"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A multi-disciplinary working group, which will work on drafting of the Decree on strategic impact assessment, plans and programmes is currently in being formed</w:t>
            </w:r>
          </w:p>
        </w:tc>
        <w:tc>
          <w:tcPr>
            <w:tcW w:w="1159" w:type="pct"/>
            <w:shd w:val="clear" w:color="auto" w:fill="FFFFFF"/>
            <w:vAlign w:val="center"/>
          </w:tcPr>
          <w:p w14:paraId="26199447" w14:textId="0CC5EE87" w:rsidR="00E42F38" w:rsidRPr="007C4D65" w:rsidRDefault="00E42F38" w:rsidP="00E42F38">
            <w:pPr>
              <w:spacing w:after="120" w:line="276" w:lineRule="auto"/>
              <w:ind w:left="69"/>
              <w:contextualSpacing/>
              <w:rPr>
                <w:rFonts w:asciiTheme="minorHAnsi" w:hAnsiTheme="minorHAnsi" w:cstheme="minorHAnsi"/>
                <w:sz w:val="18"/>
                <w:szCs w:val="18"/>
              </w:rPr>
            </w:pPr>
            <w:r w:rsidRPr="007C4D65">
              <w:rPr>
                <w:rFonts w:asciiTheme="minorHAnsi" w:hAnsiTheme="minorHAnsi" w:cstheme="minorHAnsi"/>
                <w:sz w:val="18"/>
              </w:rPr>
              <w:t xml:space="preserve">The </w:t>
            </w:r>
            <w:r w:rsidR="00B80FAD" w:rsidRPr="007C4D65">
              <w:rPr>
                <w:rFonts w:asciiTheme="minorHAnsi" w:hAnsiTheme="minorHAnsi" w:cstheme="minorHAnsi"/>
                <w:sz w:val="18"/>
              </w:rPr>
              <w:t>bylaw</w:t>
            </w:r>
            <w:r w:rsidRPr="007C4D65">
              <w:rPr>
                <w:rFonts w:asciiTheme="minorHAnsi" w:hAnsiTheme="minorHAnsi" w:cstheme="minorHAnsi"/>
                <w:sz w:val="18"/>
              </w:rPr>
              <w:t>s defining in detail the scope, content and evaluation of scope, content of SEA report adopted (2023)</w:t>
            </w:r>
          </w:p>
        </w:tc>
      </w:tr>
      <w:tr w:rsidR="00E42F38" w:rsidRPr="007C4D65" w14:paraId="4DB9C4DE" w14:textId="77777777" w:rsidTr="00B6017F">
        <w:trPr>
          <w:trHeight w:val="287"/>
        </w:trPr>
        <w:tc>
          <w:tcPr>
            <w:tcW w:w="710" w:type="pct"/>
            <w:vMerge/>
            <w:shd w:val="clear" w:color="auto" w:fill="D9D9D9"/>
            <w:vAlign w:val="center"/>
          </w:tcPr>
          <w:p w14:paraId="26B19FB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074A01B6"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D3053BF" w14:textId="138ED3BC"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 xml:space="preserve">Status of update and adoption of the </w:t>
            </w:r>
            <w:r w:rsidR="00B80FAD" w:rsidRPr="007C4D65">
              <w:rPr>
                <w:rFonts w:asciiTheme="minorHAnsi" w:hAnsiTheme="minorHAnsi" w:cstheme="minorHAnsi"/>
                <w:sz w:val="18"/>
              </w:rPr>
              <w:t>bylaw</w:t>
            </w:r>
            <w:r w:rsidRPr="007C4D65">
              <w:rPr>
                <w:rFonts w:asciiTheme="minorHAnsi" w:hAnsiTheme="minorHAnsi" w:cstheme="minorHAnsi"/>
                <w:sz w:val="18"/>
              </w:rPr>
              <w:t>s on SEA</w:t>
            </w:r>
          </w:p>
        </w:tc>
        <w:tc>
          <w:tcPr>
            <w:tcW w:w="1159" w:type="pct"/>
            <w:shd w:val="clear" w:color="auto" w:fill="FFFFFF"/>
            <w:tcMar>
              <w:top w:w="0" w:type="dxa"/>
              <w:left w:w="108" w:type="dxa"/>
              <w:bottom w:w="0" w:type="dxa"/>
              <w:right w:w="108" w:type="dxa"/>
            </w:tcMar>
            <w:vAlign w:val="center"/>
          </w:tcPr>
          <w:p w14:paraId="02099BCF"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w:t>
            </w:r>
          </w:p>
        </w:tc>
        <w:tc>
          <w:tcPr>
            <w:tcW w:w="1159" w:type="pct"/>
            <w:shd w:val="clear" w:color="auto" w:fill="FFFFFF"/>
            <w:vAlign w:val="center"/>
          </w:tcPr>
          <w:p w14:paraId="45AB0A5F" w14:textId="42BABA9A" w:rsidR="00E42F38" w:rsidRPr="007C4D65" w:rsidRDefault="00E42F38" w:rsidP="00E42F38">
            <w:pPr>
              <w:spacing w:after="120" w:line="276" w:lineRule="auto"/>
              <w:ind w:left="69"/>
              <w:contextualSpacing/>
              <w:rPr>
                <w:rFonts w:asciiTheme="minorHAnsi" w:hAnsiTheme="minorHAnsi" w:cstheme="minorHAnsi"/>
                <w:sz w:val="18"/>
                <w:szCs w:val="18"/>
              </w:rPr>
            </w:pPr>
            <w:r w:rsidRPr="007C4D65">
              <w:rPr>
                <w:rFonts w:asciiTheme="minorHAnsi" w:hAnsiTheme="minorHAnsi" w:cstheme="minorHAnsi"/>
                <w:sz w:val="18"/>
              </w:rPr>
              <w:t xml:space="preserve">All relevant </w:t>
            </w:r>
            <w:r w:rsidR="00B80FAD" w:rsidRPr="007C4D65">
              <w:rPr>
                <w:rFonts w:asciiTheme="minorHAnsi" w:hAnsiTheme="minorHAnsi" w:cstheme="minorHAnsi"/>
                <w:sz w:val="18"/>
              </w:rPr>
              <w:t>bylaw</w:t>
            </w:r>
            <w:r w:rsidRPr="007C4D65">
              <w:rPr>
                <w:rFonts w:asciiTheme="minorHAnsi" w:hAnsiTheme="minorHAnsi" w:cstheme="minorHAnsi"/>
                <w:sz w:val="18"/>
              </w:rPr>
              <w:t>s on SEA adopted (2027)</w:t>
            </w:r>
          </w:p>
        </w:tc>
      </w:tr>
      <w:tr w:rsidR="00E42F38" w:rsidRPr="007C4D65" w14:paraId="44ACD61C" w14:textId="77777777" w:rsidTr="00B6017F">
        <w:trPr>
          <w:trHeight w:val="287"/>
        </w:trPr>
        <w:tc>
          <w:tcPr>
            <w:tcW w:w="710" w:type="pct"/>
            <w:vMerge/>
            <w:shd w:val="clear" w:color="auto" w:fill="D9D9D9"/>
            <w:vAlign w:val="center"/>
          </w:tcPr>
          <w:p w14:paraId="6AC247C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3A484994"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23B73A8" w14:textId="77777777"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Status of update and adoption of the procedures for cross-border notification and consultation in SEA implementation</w:t>
            </w:r>
          </w:p>
        </w:tc>
        <w:tc>
          <w:tcPr>
            <w:tcW w:w="1159" w:type="pct"/>
            <w:shd w:val="clear" w:color="auto" w:fill="FFFFFF"/>
            <w:tcMar>
              <w:top w:w="0" w:type="dxa"/>
              <w:left w:w="108" w:type="dxa"/>
              <w:bottom w:w="0" w:type="dxa"/>
              <w:right w:w="108" w:type="dxa"/>
            </w:tcMar>
            <w:vAlign w:val="center"/>
          </w:tcPr>
          <w:p w14:paraId="3DD0B30C"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Procedures are not complete</w:t>
            </w:r>
          </w:p>
        </w:tc>
        <w:tc>
          <w:tcPr>
            <w:tcW w:w="1159" w:type="pct"/>
            <w:shd w:val="clear" w:color="auto" w:fill="FFFFFF"/>
            <w:vAlign w:val="center"/>
          </w:tcPr>
          <w:p w14:paraId="0A71A3FD" w14:textId="77777777" w:rsidR="00E42F38" w:rsidRPr="007C4D65" w:rsidRDefault="00E42F38" w:rsidP="00E42F38">
            <w:pPr>
              <w:spacing w:after="120" w:line="276" w:lineRule="auto"/>
              <w:ind w:left="69"/>
              <w:contextualSpacing/>
              <w:rPr>
                <w:rFonts w:asciiTheme="minorHAnsi" w:hAnsiTheme="minorHAnsi" w:cstheme="minorHAnsi"/>
                <w:sz w:val="18"/>
                <w:szCs w:val="18"/>
              </w:rPr>
            </w:pPr>
            <w:r w:rsidRPr="007C4D65">
              <w:rPr>
                <w:rFonts w:asciiTheme="minorHAnsi" w:hAnsiTheme="minorHAnsi" w:cstheme="minorHAnsi"/>
                <w:sz w:val="18"/>
              </w:rPr>
              <w:t>All the necessary procedures are update and adopted (2025)</w:t>
            </w:r>
          </w:p>
        </w:tc>
      </w:tr>
      <w:tr w:rsidR="00E42F38" w:rsidRPr="007C4D65" w14:paraId="17907978" w14:textId="77777777" w:rsidTr="00B6017F">
        <w:trPr>
          <w:trHeight w:val="287"/>
        </w:trPr>
        <w:tc>
          <w:tcPr>
            <w:tcW w:w="710" w:type="pct"/>
            <w:vMerge/>
            <w:shd w:val="clear" w:color="auto" w:fill="D9D9D9"/>
            <w:vAlign w:val="center"/>
          </w:tcPr>
          <w:p w14:paraId="359EC8A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2784E917"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0EEEE33" w14:textId="77777777"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Setting up of a system and procedures in all the institutions for effective SEA implementation</w:t>
            </w:r>
          </w:p>
        </w:tc>
        <w:tc>
          <w:tcPr>
            <w:tcW w:w="1159" w:type="pct"/>
            <w:shd w:val="clear" w:color="auto" w:fill="FFFFFF"/>
            <w:tcMar>
              <w:top w:w="0" w:type="dxa"/>
              <w:left w:w="108" w:type="dxa"/>
              <w:bottom w:w="0" w:type="dxa"/>
              <w:right w:w="108" w:type="dxa"/>
            </w:tcMar>
            <w:vAlign w:val="center"/>
          </w:tcPr>
          <w:p w14:paraId="5934E202"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Procedures are not complete</w:t>
            </w:r>
          </w:p>
        </w:tc>
        <w:tc>
          <w:tcPr>
            <w:tcW w:w="1159" w:type="pct"/>
            <w:shd w:val="clear" w:color="auto" w:fill="FFFFFF"/>
            <w:vAlign w:val="center"/>
          </w:tcPr>
          <w:p w14:paraId="5CCF4B81" w14:textId="77777777" w:rsidR="00E42F38" w:rsidRPr="007C4D65" w:rsidRDefault="00E42F38" w:rsidP="00E42F38">
            <w:pPr>
              <w:spacing w:after="120" w:line="276" w:lineRule="auto"/>
              <w:ind w:left="69"/>
              <w:contextualSpacing/>
              <w:rPr>
                <w:rFonts w:asciiTheme="minorHAnsi" w:hAnsiTheme="minorHAnsi" w:cstheme="minorHAnsi"/>
                <w:sz w:val="18"/>
                <w:szCs w:val="18"/>
              </w:rPr>
            </w:pPr>
            <w:r w:rsidRPr="007C4D65">
              <w:rPr>
                <w:rFonts w:asciiTheme="minorHAnsi" w:hAnsiTheme="minorHAnsi" w:cstheme="minorHAnsi"/>
                <w:sz w:val="18"/>
              </w:rPr>
              <w:t>All required systems and procedures for effective SEA implementation established in the institutions (2027)</w:t>
            </w:r>
          </w:p>
        </w:tc>
      </w:tr>
      <w:tr w:rsidR="00E42F38" w:rsidRPr="007C4D65" w14:paraId="2A94580B" w14:textId="77777777" w:rsidTr="00B6017F">
        <w:trPr>
          <w:trHeight w:val="287"/>
        </w:trPr>
        <w:tc>
          <w:tcPr>
            <w:tcW w:w="710" w:type="pct"/>
            <w:vMerge/>
            <w:shd w:val="clear" w:color="auto" w:fill="D9D9D9"/>
            <w:vAlign w:val="center"/>
          </w:tcPr>
          <w:p w14:paraId="1C90AFC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75B3840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2DD2FF4" w14:textId="77777777"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color w:val="000000"/>
                <w:sz w:val="18"/>
              </w:rPr>
              <w:t>Level of understanding among the relevant players about the importance of SEA</w:t>
            </w:r>
          </w:p>
        </w:tc>
        <w:tc>
          <w:tcPr>
            <w:tcW w:w="1159" w:type="pct"/>
            <w:shd w:val="clear" w:color="auto" w:fill="FFFFFF"/>
            <w:tcMar>
              <w:top w:w="0" w:type="dxa"/>
              <w:left w:w="108" w:type="dxa"/>
              <w:bottom w:w="0" w:type="dxa"/>
              <w:right w:w="108" w:type="dxa"/>
            </w:tcMar>
            <w:vAlign w:val="center"/>
          </w:tcPr>
          <w:p w14:paraId="7A855FA8"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Partial understanding </w:t>
            </w:r>
          </w:p>
        </w:tc>
        <w:tc>
          <w:tcPr>
            <w:tcW w:w="1159" w:type="pct"/>
            <w:shd w:val="clear" w:color="auto" w:fill="FFFFFF"/>
            <w:vAlign w:val="center"/>
          </w:tcPr>
          <w:p w14:paraId="69B39CD4" w14:textId="77777777" w:rsidR="00E42F38" w:rsidRPr="007C4D65" w:rsidRDefault="00E42F38" w:rsidP="00E42F38">
            <w:pPr>
              <w:spacing w:after="120" w:line="276" w:lineRule="auto"/>
              <w:ind w:left="69"/>
              <w:contextualSpacing/>
              <w:rPr>
                <w:rFonts w:asciiTheme="minorHAnsi" w:hAnsiTheme="minorHAnsi" w:cstheme="minorHAnsi"/>
                <w:sz w:val="18"/>
                <w:szCs w:val="18"/>
              </w:rPr>
            </w:pPr>
            <w:r w:rsidRPr="007C4D65">
              <w:rPr>
                <w:rFonts w:asciiTheme="minorHAnsi" w:hAnsiTheme="minorHAnsi" w:cstheme="minorHAnsi"/>
                <w:sz w:val="18"/>
              </w:rPr>
              <w:t>Full understanding among all the relevant players of importance of SEA achieved (2030)</w:t>
            </w:r>
          </w:p>
        </w:tc>
      </w:tr>
      <w:tr w:rsidR="00E42F38" w:rsidRPr="007C4D65" w14:paraId="572B62F7" w14:textId="77777777" w:rsidTr="00B6017F">
        <w:trPr>
          <w:trHeight w:val="483"/>
        </w:trPr>
        <w:tc>
          <w:tcPr>
            <w:tcW w:w="710" w:type="pct"/>
            <w:vMerge/>
            <w:shd w:val="clear" w:color="auto" w:fill="D9D9D9"/>
            <w:vAlign w:val="center"/>
            <w:hideMark/>
          </w:tcPr>
          <w:p w14:paraId="18026E79"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3054CE95"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4085ED91" w14:textId="5BCC53C2"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6CF7996E"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71C6154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6AAFDFBA" w14:textId="77777777" w:rsidTr="00B6017F">
        <w:trPr>
          <w:trHeight w:val="287"/>
        </w:trPr>
        <w:tc>
          <w:tcPr>
            <w:tcW w:w="710" w:type="pct"/>
            <w:vMerge/>
            <w:shd w:val="clear" w:color="auto" w:fill="D9D9D9"/>
            <w:vAlign w:val="center"/>
            <w:hideMark/>
          </w:tcPr>
          <w:p w14:paraId="368088A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7C07503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F9D8794"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0.047</w:t>
            </w:r>
          </w:p>
        </w:tc>
        <w:tc>
          <w:tcPr>
            <w:tcW w:w="1159" w:type="pct"/>
            <w:tcMar>
              <w:top w:w="0" w:type="dxa"/>
              <w:left w:w="108" w:type="dxa"/>
              <w:bottom w:w="0" w:type="dxa"/>
              <w:right w:w="108" w:type="dxa"/>
            </w:tcMar>
            <w:vAlign w:val="center"/>
          </w:tcPr>
          <w:p w14:paraId="19670FC3"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0.111</w:t>
            </w:r>
          </w:p>
        </w:tc>
        <w:tc>
          <w:tcPr>
            <w:tcW w:w="1159" w:type="pct"/>
            <w:tcMar>
              <w:top w:w="0" w:type="dxa"/>
              <w:left w:w="108" w:type="dxa"/>
              <w:bottom w:w="0" w:type="dxa"/>
              <w:right w:w="108" w:type="dxa"/>
            </w:tcMar>
            <w:vAlign w:val="center"/>
          </w:tcPr>
          <w:p w14:paraId="21D45AE6"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0.158</w:t>
            </w:r>
          </w:p>
        </w:tc>
      </w:tr>
      <w:tr w:rsidR="00E42F38" w:rsidRPr="007C4D65" w14:paraId="0567EC17" w14:textId="77777777" w:rsidTr="00B6017F">
        <w:trPr>
          <w:trHeight w:val="483"/>
        </w:trPr>
        <w:tc>
          <w:tcPr>
            <w:tcW w:w="710" w:type="pct"/>
            <w:vMerge w:val="restart"/>
            <w:shd w:val="clear" w:color="auto" w:fill="D9D9D9"/>
            <w:tcMar>
              <w:top w:w="0" w:type="dxa"/>
              <w:left w:w="108" w:type="dxa"/>
              <w:bottom w:w="0" w:type="dxa"/>
              <w:right w:w="108" w:type="dxa"/>
            </w:tcMar>
            <w:vAlign w:val="center"/>
            <w:hideMark/>
          </w:tcPr>
          <w:p w14:paraId="7826C8EB"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7.2.3 Measure</w:t>
            </w:r>
          </w:p>
        </w:tc>
        <w:tc>
          <w:tcPr>
            <w:tcW w:w="813" w:type="pct"/>
            <w:vMerge w:val="restart"/>
            <w:tcMar>
              <w:top w:w="0" w:type="dxa"/>
              <w:left w:w="108" w:type="dxa"/>
              <w:bottom w:w="0" w:type="dxa"/>
              <w:right w:w="108" w:type="dxa"/>
            </w:tcMar>
            <w:vAlign w:val="center"/>
          </w:tcPr>
          <w:p w14:paraId="02F6E439"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Ensuring conditions for integrated environmental permitting </w:t>
            </w:r>
          </w:p>
        </w:tc>
        <w:tc>
          <w:tcPr>
            <w:tcW w:w="1159" w:type="pct"/>
            <w:shd w:val="clear" w:color="auto" w:fill="D9D9D9"/>
            <w:tcMar>
              <w:top w:w="0" w:type="dxa"/>
              <w:left w:w="108" w:type="dxa"/>
              <w:bottom w:w="0" w:type="dxa"/>
              <w:right w:w="108" w:type="dxa"/>
            </w:tcMar>
            <w:vAlign w:val="center"/>
            <w:hideMark/>
          </w:tcPr>
          <w:p w14:paraId="549E1421"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4F772363"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28955EF0"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67C99194" w14:textId="77777777" w:rsidTr="00B6017F">
        <w:trPr>
          <w:trHeight w:val="287"/>
        </w:trPr>
        <w:tc>
          <w:tcPr>
            <w:tcW w:w="710" w:type="pct"/>
            <w:vMerge/>
            <w:shd w:val="clear" w:color="auto" w:fill="D9D9D9"/>
            <w:vAlign w:val="center"/>
            <w:hideMark/>
          </w:tcPr>
          <w:p w14:paraId="7ED8EC18"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62E64855"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771C935" w14:textId="68F2A290"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 xml:space="preserve">Analysis of technical requirements and professional capacities in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w:t>
            </w:r>
          </w:p>
        </w:tc>
        <w:tc>
          <w:tcPr>
            <w:tcW w:w="1159" w:type="pct"/>
            <w:shd w:val="clear" w:color="auto" w:fill="FFFFFF"/>
            <w:tcMar>
              <w:top w:w="0" w:type="dxa"/>
              <w:left w:w="108" w:type="dxa"/>
              <w:bottom w:w="0" w:type="dxa"/>
              <w:right w:w="108" w:type="dxa"/>
            </w:tcMar>
            <w:vAlign w:val="center"/>
          </w:tcPr>
          <w:p w14:paraId="2340D869"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The analysis has not been performed</w:t>
            </w:r>
          </w:p>
        </w:tc>
        <w:tc>
          <w:tcPr>
            <w:tcW w:w="1159" w:type="pct"/>
            <w:shd w:val="clear" w:color="auto" w:fill="FFFFFF"/>
            <w:vAlign w:val="center"/>
          </w:tcPr>
          <w:p w14:paraId="09BB0C0A" w14:textId="77777777" w:rsidR="00E42F38" w:rsidRPr="007C4D65" w:rsidRDefault="00E42F38" w:rsidP="00E42F38">
            <w:pPr>
              <w:spacing w:after="120" w:line="276" w:lineRule="auto"/>
              <w:ind w:left="69"/>
              <w:contextualSpacing/>
              <w:rPr>
                <w:rFonts w:asciiTheme="minorHAnsi" w:hAnsiTheme="minorHAnsi" w:cstheme="minorHAnsi"/>
                <w:sz w:val="18"/>
                <w:szCs w:val="18"/>
              </w:rPr>
            </w:pPr>
            <w:r w:rsidRPr="007C4D65">
              <w:rPr>
                <w:rFonts w:asciiTheme="minorHAnsi" w:hAnsiTheme="minorHAnsi" w:cstheme="minorHAnsi"/>
                <w:sz w:val="18"/>
              </w:rPr>
              <w:t>Analysis of technical condition and human capacities completed and recommendations for adjustments defined (2024)</w:t>
            </w:r>
          </w:p>
        </w:tc>
      </w:tr>
      <w:tr w:rsidR="00E42F38" w:rsidRPr="007C4D65" w14:paraId="1A018714" w14:textId="77777777" w:rsidTr="00B6017F">
        <w:trPr>
          <w:trHeight w:val="287"/>
        </w:trPr>
        <w:tc>
          <w:tcPr>
            <w:tcW w:w="710" w:type="pct"/>
            <w:vMerge/>
            <w:shd w:val="clear" w:color="auto" w:fill="D9D9D9"/>
            <w:vAlign w:val="center"/>
          </w:tcPr>
          <w:p w14:paraId="3AE2D29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2AB53C4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5D53DD8" w14:textId="7D9E5CD0"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 xml:space="preserve">Status of the implementation of the recommendations for adjustments of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 regarding integrated environmental permits</w:t>
            </w:r>
          </w:p>
        </w:tc>
        <w:tc>
          <w:tcPr>
            <w:tcW w:w="1159" w:type="pct"/>
            <w:shd w:val="clear" w:color="auto" w:fill="FFFFFF"/>
            <w:tcMar>
              <w:top w:w="0" w:type="dxa"/>
              <w:left w:w="108" w:type="dxa"/>
              <w:bottom w:w="0" w:type="dxa"/>
              <w:right w:w="108" w:type="dxa"/>
            </w:tcMar>
            <w:vAlign w:val="center"/>
          </w:tcPr>
          <w:p w14:paraId="60B22BBB" w14:textId="77777777" w:rsidR="00E42F38" w:rsidRPr="007C4D65" w:rsidRDefault="00E42F38" w:rsidP="00E42F38">
            <w:pPr>
              <w:spacing w:after="120" w:line="276" w:lineRule="auto"/>
              <w:ind w:left="2" w:hanging="2"/>
              <w:contextualSpacing/>
              <w:rPr>
                <w:rFonts w:asciiTheme="minorHAnsi" w:eastAsia="Calibri" w:hAnsiTheme="minorHAnsi" w:cstheme="minorHAnsi"/>
                <w:sz w:val="18"/>
                <w:szCs w:val="18"/>
              </w:rPr>
            </w:pPr>
            <w:r w:rsidRPr="007C4D65">
              <w:rPr>
                <w:rFonts w:asciiTheme="minorHAnsi" w:hAnsiTheme="minorHAnsi" w:cstheme="minorHAnsi"/>
                <w:sz w:val="18"/>
              </w:rPr>
              <w:t>/</w:t>
            </w:r>
          </w:p>
        </w:tc>
        <w:tc>
          <w:tcPr>
            <w:tcW w:w="1159" w:type="pct"/>
            <w:shd w:val="clear" w:color="auto" w:fill="FFFFFF"/>
            <w:vAlign w:val="center"/>
          </w:tcPr>
          <w:p w14:paraId="2E44A1D7" w14:textId="37898F92" w:rsidR="00E42F38" w:rsidRPr="007C4D65" w:rsidRDefault="00E42F38" w:rsidP="00E42F38">
            <w:pPr>
              <w:spacing w:after="120" w:line="276" w:lineRule="auto"/>
              <w:ind w:left="69"/>
              <w:contextualSpacing/>
              <w:rPr>
                <w:rFonts w:asciiTheme="minorHAnsi" w:hAnsiTheme="minorHAnsi" w:cstheme="minorHAnsi"/>
                <w:sz w:val="18"/>
                <w:szCs w:val="18"/>
              </w:rPr>
            </w:pPr>
            <w:r w:rsidRPr="007C4D65">
              <w:rPr>
                <w:rFonts w:asciiTheme="minorHAnsi" w:hAnsiTheme="minorHAnsi" w:cstheme="minorHAnsi"/>
                <w:sz w:val="18"/>
              </w:rPr>
              <w:t xml:space="preserve">The recommendations for adjustments of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 for integrated environmental permitting successfully implemented (2027)</w:t>
            </w:r>
          </w:p>
        </w:tc>
      </w:tr>
      <w:tr w:rsidR="00E42F38" w:rsidRPr="007C4D65" w14:paraId="1A55CDAA" w14:textId="77777777" w:rsidTr="00B6017F">
        <w:trPr>
          <w:trHeight w:val="180"/>
        </w:trPr>
        <w:tc>
          <w:tcPr>
            <w:tcW w:w="710" w:type="pct"/>
            <w:vMerge/>
            <w:shd w:val="clear" w:color="auto" w:fill="D9D9D9"/>
            <w:vAlign w:val="center"/>
          </w:tcPr>
          <w:p w14:paraId="47A7D92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0D43045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F0B3109" w14:textId="0268F766"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Status of the process aimed at creating conditions for digitalization of all the procedures</w:t>
            </w:r>
          </w:p>
        </w:tc>
        <w:tc>
          <w:tcPr>
            <w:tcW w:w="1159" w:type="pct"/>
            <w:shd w:val="clear" w:color="auto" w:fill="FFFFFF"/>
            <w:tcMar>
              <w:top w:w="0" w:type="dxa"/>
              <w:left w:w="108" w:type="dxa"/>
              <w:bottom w:w="0" w:type="dxa"/>
              <w:right w:w="108" w:type="dxa"/>
            </w:tcMar>
            <w:vAlign w:val="center"/>
          </w:tcPr>
          <w:p w14:paraId="4B650A86" w14:textId="77777777" w:rsidR="00E42F38" w:rsidRPr="007C4D65" w:rsidRDefault="00E42F38" w:rsidP="00E42F38">
            <w:pPr>
              <w:spacing w:after="120" w:line="276" w:lineRule="auto"/>
              <w:ind w:left="2" w:hanging="2"/>
              <w:contextualSpacing/>
              <w:rPr>
                <w:rFonts w:asciiTheme="minorHAnsi" w:eastAsia="Calibri" w:hAnsiTheme="minorHAnsi" w:cstheme="minorHAnsi"/>
                <w:sz w:val="18"/>
                <w:szCs w:val="18"/>
              </w:rPr>
            </w:pPr>
            <w:r w:rsidRPr="007C4D65">
              <w:rPr>
                <w:rFonts w:asciiTheme="minorHAnsi" w:hAnsiTheme="minorHAnsi" w:cstheme="minorHAnsi"/>
                <w:sz w:val="18"/>
              </w:rPr>
              <w:t xml:space="preserve">Conditions have not been created for digitalization of procedures </w:t>
            </w:r>
          </w:p>
        </w:tc>
        <w:tc>
          <w:tcPr>
            <w:tcW w:w="1159" w:type="pct"/>
            <w:shd w:val="clear" w:color="auto" w:fill="FFFFFF"/>
            <w:vAlign w:val="center"/>
          </w:tcPr>
          <w:p w14:paraId="7E5191DD" w14:textId="7A01F6A3"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Conditions created for digitalization of procedures through a digital transformation of the environmental permitting procedure in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 (2027)</w:t>
            </w:r>
          </w:p>
        </w:tc>
      </w:tr>
      <w:tr w:rsidR="00E42F38" w:rsidRPr="007C4D65" w14:paraId="38D43BEF" w14:textId="77777777" w:rsidTr="00B6017F">
        <w:trPr>
          <w:trHeight w:val="483"/>
        </w:trPr>
        <w:tc>
          <w:tcPr>
            <w:tcW w:w="710" w:type="pct"/>
            <w:vMerge/>
            <w:shd w:val="clear" w:color="auto" w:fill="D9D9D9"/>
            <w:vAlign w:val="center"/>
            <w:hideMark/>
          </w:tcPr>
          <w:p w14:paraId="68BFA85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1BA999D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547FF2EC" w14:textId="0C325A8D"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4B972073"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7FC4B803"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18E0F8B9" w14:textId="77777777" w:rsidTr="00B6017F">
        <w:trPr>
          <w:trHeight w:val="287"/>
        </w:trPr>
        <w:tc>
          <w:tcPr>
            <w:tcW w:w="710" w:type="pct"/>
            <w:vMerge/>
            <w:shd w:val="clear" w:color="auto" w:fill="D9D9D9"/>
            <w:vAlign w:val="center"/>
            <w:hideMark/>
          </w:tcPr>
          <w:p w14:paraId="410C089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05B1FDEB"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866E648"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0.145</w:t>
            </w:r>
          </w:p>
        </w:tc>
        <w:tc>
          <w:tcPr>
            <w:tcW w:w="1159" w:type="pct"/>
            <w:tcMar>
              <w:top w:w="0" w:type="dxa"/>
              <w:left w:w="108" w:type="dxa"/>
              <w:bottom w:w="0" w:type="dxa"/>
              <w:right w:w="108" w:type="dxa"/>
            </w:tcMar>
            <w:vAlign w:val="center"/>
          </w:tcPr>
          <w:p w14:paraId="3E9D1DB1"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0.528</w:t>
            </w:r>
          </w:p>
        </w:tc>
        <w:tc>
          <w:tcPr>
            <w:tcW w:w="1159" w:type="pct"/>
            <w:tcMar>
              <w:top w:w="0" w:type="dxa"/>
              <w:left w:w="108" w:type="dxa"/>
              <w:bottom w:w="0" w:type="dxa"/>
              <w:right w:w="108" w:type="dxa"/>
            </w:tcMar>
            <w:vAlign w:val="center"/>
          </w:tcPr>
          <w:p w14:paraId="2C88D85B"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0.727</w:t>
            </w:r>
          </w:p>
        </w:tc>
      </w:tr>
      <w:tr w:rsidR="00E42F38" w:rsidRPr="007C4D65" w14:paraId="69661A95" w14:textId="77777777" w:rsidTr="00B6017F">
        <w:trPr>
          <w:trHeight w:val="483"/>
        </w:trPr>
        <w:tc>
          <w:tcPr>
            <w:tcW w:w="710" w:type="pct"/>
            <w:vMerge w:val="restart"/>
            <w:shd w:val="clear" w:color="auto" w:fill="D9D9D9"/>
            <w:tcMar>
              <w:top w:w="0" w:type="dxa"/>
              <w:left w:w="108" w:type="dxa"/>
              <w:bottom w:w="0" w:type="dxa"/>
              <w:right w:w="108" w:type="dxa"/>
            </w:tcMar>
            <w:vAlign w:val="center"/>
            <w:hideMark/>
          </w:tcPr>
          <w:p w14:paraId="09B286A2"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7.2.4 Measure</w:t>
            </w:r>
          </w:p>
        </w:tc>
        <w:tc>
          <w:tcPr>
            <w:tcW w:w="813" w:type="pct"/>
            <w:vMerge w:val="restart"/>
            <w:tcMar>
              <w:top w:w="0" w:type="dxa"/>
              <w:left w:w="108" w:type="dxa"/>
              <w:bottom w:w="0" w:type="dxa"/>
              <w:right w:w="108" w:type="dxa"/>
            </w:tcMar>
            <w:vAlign w:val="center"/>
          </w:tcPr>
          <w:p w14:paraId="20E3BBE3" w14:textId="008AE8B0"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Preparation of </w:t>
            </w:r>
            <w:r w:rsidR="007934C2" w:rsidRPr="007C4D65">
              <w:rPr>
                <w:rFonts w:asciiTheme="minorHAnsi" w:hAnsiTheme="minorHAnsi" w:cstheme="minorHAnsi"/>
                <w:sz w:val="18"/>
              </w:rPr>
              <w:t>technical instructions</w:t>
            </w:r>
            <w:r w:rsidRPr="007C4D65">
              <w:rPr>
                <w:rFonts w:asciiTheme="minorHAnsi" w:hAnsiTheme="minorHAnsi" w:cstheme="minorHAnsi"/>
                <w:sz w:val="18"/>
              </w:rPr>
              <w:t xml:space="preserve"> for best available techniques (BAT)</w:t>
            </w:r>
          </w:p>
        </w:tc>
        <w:tc>
          <w:tcPr>
            <w:tcW w:w="1159" w:type="pct"/>
            <w:shd w:val="clear" w:color="auto" w:fill="D9D9D9"/>
            <w:tcMar>
              <w:top w:w="0" w:type="dxa"/>
              <w:left w:w="108" w:type="dxa"/>
              <w:bottom w:w="0" w:type="dxa"/>
              <w:right w:w="108" w:type="dxa"/>
            </w:tcMar>
            <w:vAlign w:val="center"/>
            <w:hideMark/>
          </w:tcPr>
          <w:p w14:paraId="5BABAE6F"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644FB04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602AEA29"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6804CFE4" w14:textId="77777777" w:rsidTr="00B6017F">
        <w:trPr>
          <w:trHeight w:val="287"/>
        </w:trPr>
        <w:tc>
          <w:tcPr>
            <w:tcW w:w="710" w:type="pct"/>
            <w:vMerge/>
            <w:shd w:val="clear" w:color="auto" w:fill="D9D9D9"/>
            <w:vAlign w:val="center"/>
            <w:hideMark/>
          </w:tcPr>
          <w:p w14:paraId="0D16B15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3A9EA0C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28A3539" w14:textId="582AFB29"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 xml:space="preserve">Number of </w:t>
            </w:r>
            <w:r w:rsidR="007934C2" w:rsidRPr="007C4D65">
              <w:rPr>
                <w:rFonts w:asciiTheme="minorHAnsi" w:hAnsiTheme="minorHAnsi" w:cstheme="minorHAnsi"/>
                <w:sz w:val="18"/>
              </w:rPr>
              <w:t>technical instructions</w:t>
            </w:r>
            <w:r w:rsidRPr="007C4D65">
              <w:rPr>
                <w:rFonts w:asciiTheme="minorHAnsi" w:hAnsiTheme="minorHAnsi" w:cstheme="minorHAnsi"/>
                <w:sz w:val="18"/>
              </w:rPr>
              <w:t xml:space="preserve"> adopted</w:t>
            </w:r>
          </w:p>
        </w:tc>
        <w:tc>
          <w:tcPr>
            <w:tcW w:w="1159" w:type="pct"/>
            <w:shd w:val="clear" w:color="auto" w:fill="FFFFFF"/>
            <w:tcMar>
              <w:top w:w="0" w:type="dxa"/>
              <w:left w:w="108" w:type="dxa"/>
              <w:bottom w:w="0" w:type="dxa"/>
              <w:right w:w="108" w:type="dxa"/>
            </w:tcMar>
            <w:vAlign w:val="center"/>
          </w:tcPr>
          <w:p w14:paraId="3B28CA7C" w14:textId="006EED54"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7 </w:t>
            </w:r>
            <w:r w:rsidR="007934C2" w:rsidRPr="007C4D65">
              <w:rPr>
                <w:rFonts w:asciiTheme="minorHAnsi" w:hAnsiTheme="minorHAnsi" w:cstheme="minorHAnsi"/>
                <w:sz w:val="18"/>
              </w:rPr>
              <w:t>technical instructions</w:t>
            </w:r>
            <w:r w:rsidRPr="007C4D65">
              <w:rPr>
                <w:rFonts w:asciiTheme="minorHAnsi" w:hAnsiTheme="minorHAnsi" w:cstheme="minorHAnsi"/>
                <w:sz w:val="18"/>
              </w:rPr>
              <w:t xml:space="preserve"> adopted (Decision from 2009)</w:t>
            </w:r>
          </w:p>
        </w:tc>
        <w:tc>
          <w:tcPr>
            <w:tcW w:w="1159" w:type="pct"/>
            <w:shd w:val="clear" w:color="auto" w:fill="FFFFFF"/>
            <w:vAlign w:val="center"/>
          </w:tcPr>
          <w:p w14:paraId="26ECDDC7" w14:textId="4593E190"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 xml:space="preserve">4 new </w:t>
            </w:r>
            <w:r w:rsidR="007934C2" w:rsidRPr="007C4D65">
              <w:rPr>
                <w:rFonts w:asciiTheme="minorHAnsi" w:hAnsiTheme="minorHAnsi" w:cstheme="minorHAnsi"/>
                <w:sz w:val="18"/>
              </w:rPr>
              <w:t>technical instructions</w:t>
            </w:r>
            <w:r w:rsidRPr="007C4D65">
              <w:rPr>
                <w:rFonts w:asciiTheme="minorHAnsi" w:hAnsiTheme="minorHAnsi" w:cstheme="minorHAnsi"/>
                <w:sz w:val="18"/>
              </w:rPr>
              <w:t xml:space="preserve"> adopted (in the sectors: stone extraction, large furnaces, surface protection of metals and plastics, and coating with molten metal, </w:t>
            </w:r>
            <w:proofErr w:type="gramStart"/>
            <w:r w:rsidRPr="007C4D65">
              <w:rPr>
                <w:rFonts w:asciiTheme="minorHAnsi" w:hAnsiTheme="minorHAnsi" w:cstheme="minorHAnsi"/>
                <w:sz w:val="18"/>
              </w:rPr>
              <w:t>and  monitoring</w:t>
            </w:r>
            <w:proofErr w:type="gramEnd"/>
            <w:r w:rsidRPr="007C4D65">
              <w:rPr>
                <w:rFonts w:asciiTheme="minorHAnsi" w:hAnsiTheme="minorHAnsi" w:cstheme="minorHAnsi"/>
                <w:sz w:val="18"/>
              </w:rPr>
              <w:t>)(2023)</w:t>
            </w:r>
          </w:p>
        </w:tc>
      </w:tr>
      <w:tr w:rsidR="00E42F38" w:rsidRPr="007C4D65" w14:paraId="5AE14B8A" w14:textId="77777777" w:rsidTr="00B6017F">
        <w:trPr>
          <w:trHeight w:val="287"/>
        </w:trPr>
        <w:tc>
          <w:tcPr>
            <w:tcW w:w="710" w:type="pct"/>
            <w:vMerge/>
            <w:shd w:val="clear" w:color="auto" w:fill="D9D9D9"/>
            <w:vAlign w:val="center"/>
          </w:tcPr>
          <w:p w14:paraId="1BA84B4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225D8AE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9A6E07C" w14:textId="69D7D074" w:rsidR="00E42F38" w:rsidRPr="007C4D65" w:rsidRDefault="00E42F38" w:rsidP="00E42F38">
            <w:pPr>
              <w:spacing w:after="120" w:line="276" w:lineRule="auto"/>
              <w:ind w:hanging="2"/>
              <w:contextualSpacing/>
              <w:rPr>
                <w:rFonts w:asciiTheme="minorHAnsi" w:eastAsia="Calibri" w:hAnsiTheme="minorHAnsi" w:cstheme="minorHAnsi"/>
                <w:sz w:val="18"/>
                <w:szCs w:val="18"/>
              </w:rPr>
            </w:pPr>
            <w:r w:rsidRPr="007C4D65">
              <w:rPr>
                <w:rFonts w:asciiTheme="minorHAnsi" w:hAnsiTheme="minorHAnsi" w:cstheme="minorHAnsi"/>
                <w:sz w:val="18"/>
              </w:rPr>
              <w:t xml:space="preserve">Number of new </w:t>
            </w:r>
            <w:r w:rsidR="004D2879" w:rsidRPr="007C4D65">
              <w:rPr>
                <w:rFonts w:asciiTheme="minorHAnsi" w:hAnsiTheme="minorHAnsi" w:cstheme="minorHAnsi"/>
                <w:sz w:val="18"/>
              </w:rPr>
              <w:t>t</w:t>
            </w:r>
            <w:r w:rsidR="007934C2" w:rsidRPr="007C4D65">
              <w:rPr>
                <w:rFonts w:asciiTheme="minorHAnsi" w:hAnsiTheme="minorHAnsi" w:cstheme="minorHAnsi"/>
                <w:sz w:val="18"/>
              </w:rPr>
              <w:t>echnical instructions</w:t>
            </w:r>
            <w:r w:rsidRPr="007C4D65">
              <w:rPr>
                <w:rFonts w:asciiTheme="minorHAnsi" w:hAnsiTheme="minorHAnsi" w:cstheme="minorHAnsi"/>
                <w:sz w:val="18"/>
              </w:rPr>
              <w:t xml:space="preserve"> for BATs by priorities</w:t>
            </w:r>
          </w:p>
        </w:tc>
        <w:tc>
          <w:tcPr>
            <w:tcW w:w="1159" w:type="pct"/>
            <w:shd w:val="clear" w:color="auto" w:fill="FFFFFF"/>
            <w:tcMar>
              <w:top w:w="0" w:type="dxa"/>
              <w:left w:w="108" w:type="dxa"/>
              <w:bottom w:w="0" w:type="dxa"/>
              <w:right w:w="108" w:type="dxa"/>
            </w:tcMar>
            <w:vAlign w:val="center"/>
          </w:tcPr>
          <w:p w14:paraId="11FEFF11"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w:t>
            </w:r>
          </w:p>
        </w:tc>
        <w:tc>
          <w:tcPr>
            <w:tcW w:w="1159" w:type="pct"/>
            <w:shd w:val="clear" w:color="auto" w:fill="FFFFFF"/>
            <w:vAlign w:val="center"/>
          </w:tcPr>
          <w:p w14:paraId="7E8BF920" w14:textId="1388FD70" w:rsidR="00E42F38" w:rsidRPr="007C4D65" w:rsidRDefault="007934C2"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Technical instructions</w:t>
            </w:r>
            <w:r w:rsidR="00E42F38" w:rsidRPr="007C4D65">
              <w:rPr>
                <w:rFonts w:asciiTheme="minorHAnsi" w:hAnsiTheme="minorHAnsi" w:cstheme="minorHAnsi"/>
                <w:sz w:val="18"/>
              </w:rPr>
              <w:t xml:space="preserve"> for all priority activities for which BAT are defined prepared (2026)</w:t>
            </w:r>
          </w:p>
        </w:tc>
      </w:tr>
      <w:tr w:rsidR="00E42F38" w:rsidRPr="007C4D65" w14:paraId="000678DA" w14:textId="77777777" w:rsidTr="00B6017F">
        <w:trPr>
          <w:trHeight w:val="287"/>
        </w:trPr>
        <w:tc>
          <w:tcPr>
            <w:tcW w:w="710" w:type="pct"/>
            <w:vMerge/>
            <w:shd w:val="clear" w:color="auto" w:fill="D9D9D9"/>
            <w:vAlign w:val="center"/>
          </w:tcPr>
          <w:p w14:paraId="101BE459"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1913DD7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A22C085" w14:textId="15A9778B"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 xml:space="preserve">Number of update </w:t>
            </w:r>
            <w:r w:rsidR="004D2879" w:rsidRPr="007C4D65">
              <w:rPr>
                <w:rFonts w:asciiTheme="minorHAnsi" w:hAnsiTheme="minorHAnsi" w:cstheme="minorHAnsi"/>
                <w:sz w:val="18"/>
              </w:rPr>
              <w:t>t</w:t>
            </w:r>
            <w:r w:rsidR="007934C2" w:rsidRPr="007C4D65">
              <w:rPr>
                <w:rFonts w:asciiTheme="minorHAnsi" w:hAnsiTheme="minorHAnsi" w:cstheme="minorHAnsi"/>
                <w:sz w:val="18"/>
              </w:rPr>
              <w:t>echnical instructions</w:t>
            </w:r>
          </w:p>
        </w:tc>
        <w:tc>
          <w:tcPr>
            <w:tcW w:w="1159" w:type="pct"/>
            <w:shd w:val="clear" w:color="auto" w:fill="FFFFFF"/>
            <w:tcMar>
              <w:top w:w="0" w:type="dxa"/>
              <w:left w:w="108" w:type="dxa"/>
              <w:bottom w:w="0" w:type="dxa"/>
              <w:right w:w="108" w:type="dxa"/>
            </w:tcMar>
            <w:vAlign w:val="center"/>
          </w:tcPr>
          <w:p w14:paraId="124075F3" w14:textId="77777777" w:rsidR="00E42F38" w:rsidRPr="007C4D65" w:rsidRDefault="00E42F38" w:rsidP="00E42F38">
            <w:pPr>
              <w:spacing w:after="120" w:line="276" w:lineRule="auto"/>
              <w:ind w:left="2" w:hanging="2"/>
              <w:contextualSpacing/>
              <w:rPr>
                <w:rFonts w:asciiTheme="minorHAnsi" w:eastAsia="Calibri" w:hAnsiTheme="minorHAnsi" w:cstheme="minorHAnsi"/>
                <w:sz w:val="18"/>
                <w:szCs w:val="18"/>
              </w:rPr>
            </w:pPr>
            <w:r w:rsidRPr="007C4D65">
              <w:rPr>
                <w:rFonts w:asciiTheme="minorHAnsi" w:hAnsiTheme="minorHAnsi" w:cstheme="minorHAnsi"/>
                <w:sz w:val="18"/>
              </w:rPr>
              <w:t>/</w:t>
            </w:r>
          </w:p>
        </w:tc>
        <w:tc>
          <w:tcPr>
            <w:tcW w:w="1159" w:type="pct"/>
            <w:shd w:val="clear" w:color="auto" w:fill="FFFFFF"/>
            <w:vAlign w:val="center"/>
          </w:tcPr>
          <w:p w14:paraId="4DF9B7A1" w14:textId="7B8055B2" w:rsidR="00E42F38" w:rsidRPr="007C4D65" w:rsidRDefault="007934C2"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Technical instructions</w:t>
            </w:r>
            <w:r w:rsidR="00E42F38" w:rsidRPr="007C4D65">
              <w:rPr>
                <w:rFonts w:asciiTheme="minorHAnsi" w:hAnsiTheme="minorHAnsi" w:cstheme="minorHAnsi"/>
                <w:sz w:val="18"/>
              </w:rPr>
              <w:t xml:space="preserve"> on BAT updated (2029)</w:t>
            </w:r>
          </w:p>
        </w:tc>
      </w:tr>
      <w:tr w:rsidR="00E42F38" w:rsidRPr="007C4D65" w14:paraId="624F65B1" w14:textId="77777777" w:rsidTr="00B6017F">
        <w:trPr>
          <w:trHeight w:val="180"/>
        </w:trPr>
        <w:tc>
          <w:tcPr>
            <w:tcW w:w="710" w:type="pct"/>
            <w:vMerge/>
            <w:shd w:val="clear" w:color="auto" w:fill="D9D9D9"/>
            <w:vAlign w:val="center"/>
          </w:tcPr>
          <w:p w14:paraId="1357031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0C1F20B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135ED6E" w14:textId="0FE7B510"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 xml:space="preserve">Public access to the reference BAT documents on the website of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w:t>
            </w:r>
          </w:p>
        </w:tc>
        <w:tc>
          <w:tcPr>
            <w:tcW w:w="1159" w:type="pct"/>
            <w:shd w:val="clear" w:color="auto" w:fill="FFFFFF"/>
            <w:tcMar>
              <w:top w:w="0" w:type="dxa"/>
              <w:left w:w="108" w:type="dxa"/>
              <w:bottom w:w="0" w:type="dxa"/>
              <w:right w:w="108" w:type="dxa"/>
            </w:tcMar>
            <w:vAlign w:val="center"/>
          </w:tcPr>
          <w:p w14:paraId="2CE24F0D" w14:textId="77777777" w:rsidR="00E42F38" w:rsidRPr="007C4D65" w:rsidRDefault="00E42F38" w:rsidP="00E42F38">
            <w:pPr>
              <w:spacing w:after="120" w:line="276" w:lineRule="auto"/>
              <w:ind w:left="2" w:hanging="2"/>
              <w:contextualSpacing/>
              <w:rPr>
                <w:rFonts w:asciiTheme="minorHAnsi" w:eastAsia="Calibri" w:hAnsiTheme="minorHAnsi" w:cstheme="minorHAnsi"/>
                <w:sz w:val="18"/>
                <w:szCs w:val="18"/>
              </w:rPr>
            </w:pPr>
            <w:r w:rsidRPr="007C4D65">
              <w:rPr>
                <w:rFonts w:asciiTheme="minorHAnsi" w:hAnsiTheme="minorHAnsi" w:cstheme="minorHAnsi"/>
                <w:sz w:val="18"/>
              </w:rPr>
              <w:t>Activity commenced</w:t>
            </w:r>
          </w:p>
        </w:tc>
        <w:tc>
          <w:tcPr>
            <w:tcW w:w="1159" w:type="pct"/>
            <w:shd w:val="clear" w:color="auto" w:fill="FFFFFF"/>
            <w:vAlign w:val="center"/>
          </w:tcPr>
          <w:p w14:paraId="00FF6EEF" w14:textId="5BA6F2CA"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Access to the reference BAT documents on the website of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 ensured (2028)</w:t>
            </w:r>
          </w:p>
        </w:tc>
      </w:tr>
      <w:tr w:rsidR="00E42F38" w:rsidRPr="007C4D65" w14:paraId="5A58AA87" w14:textId="77777777" w:rsidTr="00B6017F">
        <w:trPr>
          <w:trHeight w:val="483"/>
        </w:trPr>
        <w:tc>
          <w:tcPr>
            <w:tcW w:w="710" w:type="pct"/>
            <w:vMerge/>
            <w:shd w:val="clear" w:color="auto" w:fill="D9D9D9"/>
            <w:vAlign w:val="center"/>
            <w:hideMark/>
          </w:tcPr>
          <w:p w14:paraId="1AFD313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7E55B7D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397B6B8F" w14:textId="6029A69D"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4EDA118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1EDE89C9"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0122AAE2" w14:textId="77777777" w:rsidTr="00B6017F">
        <w:trPr>
          <w:trHeight w:val="287"/>
        </w:trPr>
        <w:tc>
          <w:tcPr>
            <w:tcW w:w="710" w:type="pct"/>
            <w:vMerge/>
            <w:shd w:val="clear" w:color="auto" w:fill="D9D9D9"/>
            <w:vAlign w:val="center"/>
            <w:hideMark/>
          </w:tcPr>
          <w:p w14:paraId="1692D3F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19DA52D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7A7FC95"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0.027</w:t>
            </w:r>
          </w:p>
        </w:tc>
        <w:tc>
          <w:tcPr>
            <w:tcW w:w="1159" w:type="pct"/>
            <w:tcMar>
              <w:top w:w="0" w:type="dxa"/>
              <w:left w:w="108" w:type="dxa"/>
              <w:bottom w:w="0" w:type="dxa"/>
              <w:right w:w="108" w:type="dxa"/>
            </w:tcMar>
            <w:vAlign w:val="center"/>
          </w:tcPr>
          <w:p w14:paraId="3291C61C"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0.108</w:t>
            </w:r>
          </w:p>
        </w:tc>
        <w:tc>
          <w:tcPr>
            <w:tcW w:w="1159" w:type="pct"/>
            <w:tcMar>
              <w:top w:w="0" w:type="dxa"/>
              <w:left w:w="108" w:type="dxa"/>
              <w:bottom w:w="0" w:type="dxa"/>
              <w:right w:w="108" w:type="dxa"/>
            </w:tcMar>
            <w:vAlign w:val="center"/>
          </w:tcPr>
          <w:p w14:paraId="1D69DBD1"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0.136</w:t>
            </w:r>
          </w:p>
        </w:tc>
      </w:tr>
    </w:tbl>
    <w:p w14:paraId="2A025E4B" w14:textId="77777777" w:rsidR="00E42F38" w:rsidRPr="007C4D65" w:rsidRDefault="00E42F38" w:rsidP="00E42F38">
      <w:pPr>
        <w:spacing w:after="120" w:line="276" w:lineRule="auto"/>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981"/>
        <w:gridCol w:w="2268"/>
        <w:gridCol w:w="3233"/>
        <w:gridCol w:w="3233"/>
        <w:gridCol w:w="3233"/>
      </w:tblGrid>
      <w:tr w:rsidR="00E42F38" w:rsidRPr="007C4D65" w14:paraId="55ADFF01" w14:textId="77777777" w:rsidTr="00B6017F">
        <w:trPr>
          <w:trHeight w:val="384"/>
        </w:trPr>
        <w:tc>
          <w:tcPr>
            <w:tcW w:w="710" w:type="pct"/>
            <w:vMerge w:val="restart"/>
            <w:shd w:val="clear" w:color="auto" w:fill="D9D9D9"/>
            <w:tcMar>
              <w:top w:w="0" w:type="dxa"/>
              <w:left w:w="108" w:type="dxa"/>
              <w:bottom w:w="0" w:type="dxa"/>
              <w:right w:w="108" w:type="dxa"/>
            </w:tcMar>
            <w:vAlign w:val="center"/>
          </w:tcPr>
          <w:p w14:paraId="621DA1F1" w14:textId="4719D259" w:rsidR="00E42F38" w:rsidRPr="007C4D65" w:rsidRDefault="00E42F38" w:rsidP="00EC0294">
            <w:pPr>
              <w:spacing w:after="120" w:line="276" w:lineRule="auto"/>
              <w:ind w:hanging="2"/>
              <w:contextualSpacing/>
              <w:rPr>
                <w:rFonts w:asciiTheme="minorHAnsi" w:hAnsiTheme="minorHAnsi" w:cstheme="minorHAnsi"/>
                <w:b/>
                <w:sz w:val="18"/>
                <w:szCs w:val="18"/>
                <w:lang w:val="hr-HR"/>
              </w:rPr>
            </w:pPr>
            <w:r w:rsidRPr="007C4D65">
              <w:rPr>
                <w:rFonts w:asciiTheme="minorHAnsi" w:hAnsiTheme="minorHAnsi" w:cstheme="minorHAnsi"/>
                <w:b/>
                <w:sz w:val="18"/>
              </w:rPr>
              <w:t>7.3 Priority</w:t>
            </w:r>
          </w:p>
        </w:tc>
        <w:tc>
          <w:tcPr>
            <w:tcW w:w="813" w:type="pct"/>
            <w:vMerge w:val="restart"/>
            <w:tcMar>
              <w:top w:w="0" w:type="dxa"/>
              <w:left w:w="108" w:type="dxa"/>
              <w:bottom w:w="0" w:type="dxa"/>
              <w:right w:w="108" w:type="dxa"/>
            </w:tcMar>
            <w:vAlign w:val="center"/>
          </w:tcPr>
          <w:p w14:paraId="25DA8699" w14:textId="4A25C473" w:rsidR="00E42F38" w:rsidRPr="007C4D65" w:rsidRDefault="00864E60" w:rsidP="00E42F38">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 xml:space="preserve">Maximise the </w:t>
            </w:r>
            <w:proofErr w:type="gramStart"/>
            <w:r w:rsidRPr="007C4D65">
              <w:rPr>
                <w:rFonts w:asciiTheme="minorHAnsi" w:hAnsiTheme="minorHAnsi" w:cstheme="minorHAnsi"/>
                <w:b/>
                <w:sz w:val="18"/>
              </w:rPr>
              <w:t>capacity  of</w:t>
            </w:r>
            <w:proofErr w:type="gramEnd"/>
            <w:r w:rsidRPr="007C4D65">
              <w:rPr>
                <w:rFonts w:asciiTheme="minorHAnsi" w:hAnsiTheme="minorHAnsi" w:cstheme="minorHAnsi"/>
                <w:b/>
                <w:sz w:val="18"/>
              </w:rPr>
              <w:t xml:space="preserve"> institutions and their coordination</w:t>
            </w:r>
          </w:p>
        </w:tc>
        <w:tc>
          <w:tcPr>
            <w:tcW w:w="1159" w:type="pct"/>
            <w:shd w:val="clear" w:color="auto" w:fill="D9D9D9"/>
            <w:tcMar>
              <w:top w:w="0" w:type="dxa"/>
              <w:left w:w="108" w:type="dxa"/>
              <w:bottom w:w="0" w:type="dxa"/>
              <w:right w:w="108" w:type="dxa"/>
            </w:tcMar>
            <w:vAlign w:val="center"/>
          </w:tcPr>
          <w:p w14:paraId="4B6A7293" w14:textId="77777777" w:rsidR="00E42F38" w:rsidRPr="007C4D65" w:rsidRDefault="00E42F38" w:rsidP="00E42F38">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4DBA46D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7E3BC2D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696D4235" w14:textId="77777777" w:rsidTr="00B6017F">
        <w:trPr>
          <w:trHeight w:val="287"/>
        </w:trPr>
        <w:tc>
          <w:tcPr>
            <w:tcW w:w="710" w:type="pct"/>
            <w:vMerge/>
            <w:shd w:val="clear" w:color="auto" w:fill="D9D9D9"/>
            <w:vAlign w:val="center"/>
            <w:hideMark/>
          </w:tcPr>
          <w:p w14:paraId="0F1CA800"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5965CB4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31348DB5"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Effectiveness of mechanisms for institutional coordination of activities of the environmental institutions</w:t>
            </w:r>
          </w:p>
        </w:tc>
        <w:tc>
          <w:tcPr>
            <w:tcW w:w="1159" w:type="pct"/>
            <w:tcMar>
              <w:top w:w="0" w:type="dxa"/>
              <w:left w:w="108" w:type="dxa"/>
              <w:bottom w:w="0" w:type="dxa"/>
              <w:right w:w="108" w:type="dxa"/>
            </w:tcMar>
          </w:tcPr>
          <w:p w14:paraId="482D1898"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Lack of an effective mechanisms for institutional coordination of activities of the environmental institutions (2021)</w:t>
            </w:r>
          </w:p>
          <w:p w14:paraId="05154FC5"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There is no vertical coordination and communication among the cantons/municipalities and the Federation of BiH, and no horizontal coordination (inter-entity - among the Federation of BIH, </w:t>
            </w:r>
            <w:proofErr w:type="spellStart"/>
            <w:r w:rsidRPr="007C4D65">
              <w:rPr>
                <w:rFonts w:asciiTheme="minorHAnsi" w:hAnsiTheme="minorHAnsi" w:cstheme="minorHAnsi"/>
                <w:sz w:val="18"/>
              </w:rPr>
              <w:t>Republika</w:t>
            </w:r>
            <w:proofErr w:type="spellEnd"/>
            <w:r w:rsidRPr="007C4D65">
              <w:rPr>
                <w:rFonts w:asciiTheme="minorHAnsi" w:hAnsiTheme="minorHAnsi" w:cstheme="minorHAnsi"/>
                <w:sz w:val="18"/>
              </w:rPr>
              <w:t xml:space="preserve"> Srpska and Brcko District, and coordination between the individual cantons and municipalities respectively)</w:t>
            </w:r>
          </w:p>
        </w:tc>
        <w:tc>
          <w:tcPr>
            <w:tcW w:w="1159" w:type="pct"/>
            <w:tcMar>
              <w:top w:w="0" w:type="dxa"/>
              <w:left w:w="108" w:type="dxa"/>
              <w:bottom w:w="0" w:type="dxa"/>
              <w:right w:w="108" w:type="dxa"/>
            </w:tcMar>
          </w:tcPr>
          <w:p w14:paraId="1DA1F629"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Effective mechanisms for institutional coordination of activities of the environmental institutions in place (2025)</w:t>
            </w:r>
          </w:p>
        </w:tc>
      </w:tr>
      <w:tr w:rsidR="00E42F38" w:rsidRPr="007C4D65" w14:paraId="1DD41FEE" w14:textId="77777777" w:rsidTr="00B6017F">
        <w:trPr>
          <w:trHeight w:val="287"/>
        </w:trPr>
        <w:tc>
          <w:tcPr>
            <w:tcW w:w="710" w:type="pct"/>
            <w:vMerge/>
            <w:shd w:val="clear" w:color="auto" w:fill="D9D9D9"/>
            <w:vAlign w:val="center"/>
          </w:tcPr>
          <w:p w14:paraId="1F91D7C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390EBB3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0530037F"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Efficiency and effectiveness of the work of the Inter-entity Environmental Body</w:t>
            </w:r>
          </w:p>
        </w:tc>
        <w:tc>
          <w:tcPr>
            <w:tcW w:w="1159" w:type="pct"/>
            <w:tcMar>
              <w:top w:w="0" w:type="dxa"/>
              <w:left w:w="108" w:type="dxa"/>
              <w:bottom w:w="0" w:type="dxa"/>
              <w:right w:w="108" w:type="dxa"/>
            </w:tcMar>
          </w:tcPr>
          <w:p w14:paraId="1E02D78F" w14:textId="3EF2C52F"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inter-entity body is ineffective and inefficient, and its decisions are not legall</w:t>
            </w:r>
            <w:r w:rsidR="00830279" w:rsidRPr="007C4D65">
              <w:rPr>
                <w:rFonts w:asciiTheme="minorHAnsi" w:hAnsiTheme="minorHAnsi" w:cstheme="minorHAnsi"/>
                <w:sz w:val="18"/>
              </w:rPr>
              <w:t>y</w:t>
            </w:r>
            <w:r w:rsidRPr="007C4D65">
              <w:rPr>
                <w:rFonts w:asciiTheme="minorHAnsi" w:hAnsiTheme="minorHAnsi" w:cstheme="minorHAnsi"/>
                <w:sz w:val="18"/>
              </w:rPr>
              <w:t xml:space="preserve"> binding (2021) </w:t>
            </w:r>
          </w:p>
        </w:tc>
        <w:tc>
          <w:tcPr>
            <w:tcW w:w="1159" w:type="pct"/>
            <w:tcMar>
              <w:top w:w="0" w:type="dxa"/>
              <w:left w:w="108" w:type="dxa"/>
              <w:bottom w:w="0" w:type="dxa"/>
              <w:right w:w="108" w:type="dxa"/>
            </w:tcMar>
          </w:tcPr>
          <w:p w14:paraId="6E145A2B"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A coordinated and harmonised approach to addressing environmental management issues applied by both entities and Brcko District BiH ensured through increased efficacy of the Environmental Inter-entity Body (2024)</w:t>
            </w:r>
          </w:p>
        </w:tc>
      </w:tr>
      <w:tr w:rsidR="00E42F38" w:rsidRPr="007C4D65" w14:paraId="020CD323" w14:textId="77777777" w:rsidTr="00B6017F">
        <w:trPr>
          <w:trHeight w:val="287"/>
        </w:trPr>
        <w:tc>
          <w:tcPr>
            <w:tcW w:w="710" w:type="pct"/>
            <w:vMerge/>
            <w:shd w:val="clear" w:color="auto" w:fill="D9D9D9"/>
            <w:vAlign w:val="center"/>
          </w:tcPr>
          <w:p w14:paraId="6DD9AE1F"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52F9D21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54FDE638"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Efficacy of institutional structures </w:t>
            </w:r>
            <w:proofErr w:type="gramStart"/>
            <w:r w:rsidRPr="007C4D65">
              <w:rPr>
                <w:rFonts w:asciiTheme="minorHAnsi" w:hAnsiTheme="minorHAnsi" w:cstheme="minorHAnsi"/>
                <w:sz w:val="18"/>
              </w:rPr>
              <w:t>in the area of</w:t>
            </w:r>
            <w:proofErr w:type="gramEnd"/>
            <w:r w:rsidRPr="007C4D65">
              <w:rPr>
                <w:rFonts w:asciiTheme="minorHAnsi" w:hAnsiTheme="minorHAnsi" w:cstheme="minorHAnsi"/>
                <w:sz w:val="18"/>
              </w:rPr>
              <w:t xml:space="preserve"> coordination and harmonisation </w:t>
            </w:r>
            <w:r w:rsidRPr="007C4D65">
              <w:rPr>
                <w:rFonts w:asciiTheme="minorHAnsi" w:hAnsiTheme="minorHAnsi" w:cstheme="minorHAnsi"/>
                <w:sz w:val="18"/>
              </w:rPr>
              <w:lastRenderedPageBreak/>
              <w:t>of activities in transposition of EU regulations</w:t>
            </w:r>
          </w:p>
        </w:tc>
        <w:tc>
          <w:tcPr>
            <w:tcW w:w="1159" w:type="pct"/>
            <w:tcMar>
              <w:top w:w="0" w:type="dxa"/>
              <w:left w:w="108" w:type="dxa"/>
              <w:bottom w:w="0" w:type="dxa"/>
              <w:right w:w="108" w:type="dxa"/>
            </w:tcMar>
          </w:tcPr>
          <w:p w14:paraId="2B75C3B8"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lastRenderedPageBreak/>
              <w:t>Partial efficacy of the current institutional structures (2021)</w:t>
            </w:r>
          </w:p>
        </w:tc>
        <w:tc>
          <w:tcPr>
            <w:tcW w:w="1159" w:type="pct"/>
            <w:tcMar>
              <w:top w:w="0" w:type="dxa"/>
              <w:left w:w="108" w:type="dxa"/>
              <w:bottom w:w="0" w:type="dxa"/>
              <w:right w:w="108" w:type="dxa"/>
            </w:tcMar>
          </w:tcPr>
          <w:p w14:paraId="5FE2275C"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current institutional structures </w:t>
            </w:r>
            <w:proofErr w:type="gramStart"/>
            <w:r w:rsidRPr="007C4D65">
              <w:rPr>
                <w:rFonts w:asciiTheme="minorHAnsi" w:hAnsiTheme="minorHAnsi" w:cstheme="minorHAnsi"/>
                <w:sz w:val="18"/>
              </w:rPr>
              <w:t>in the area of</w:t>
            </w:r>
            <w:proofErr w:type="gramEnd"/>
            <w:r w:rsidRPr="007C4D65">
              <w:rPr>
                <w:rFonts w:asciiTheme="minorHAnsi" w:hAnsiTheme="minorHAnsi" w:cstheme="minorHAnsi"/>
                <w:sz w:val="18"/>
              </w:rPr>
              <w:t xml:space="preserve"> coordination and </w:t>
            </w:r>
            <w:r w:rsidRPr="007C4D65">
              <w:rPr>
                <w:rFonts w:asciiTheme="minorHAnsi" w:hAnsiTheme="minorHAnsi" w:cstheme="minorHAnsi"/>
                <w:sz w:val="18"/>
              </w:rPr>
              <w:lastRenderedPageBreak/>
              <w:t>harmonisation of activities in the process of EU regulation transposition enhanced Human resources across the levels strengthened so as to enable a long-term and sustainable implementation of the EU regulations (2028)</w:t>
            </w:r>
          </w:p>
        </w:tc>
      </w:tr>
      <w:tr w:rsidR="00E42F38" w:rsidRPr="007C4D65" w14:paraId="08419515" w14:textId="77777777" w:rsidTr="00B6017F">
        <w:trPr>
          <w:trHeight w:val="287"/>
        </w:trPr>
        <w:tc>
          <w:tcPr>
            <w:tcW w:w="710" w:type="pct"/>
            <w:vMerge/>
            <w:shd w:val="clear" w:color="auto" w:fill="D9D9D9"/>
            <w:vAlign w:val="center"/>
          </w:tcPr>
          <w:p w14:paraId="410C899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1907D96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5D2B0F17"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Effectiveness and expertise of employees in the environmental institutions </w:t>
            </w:r>
            <w:proofErr w:type="gramStart"/>
            <w:r w:rsidRPr="007C4D65">
              <w:rPr>
                <w:rFonts w:asciiTheme="minorHAnsi" w:hAnsiTheme="minorHAnsi" w:cstheme="minorHAnsi"/>
                <w:sz w:val="18"/>
              </w:rPr>
              <w:t>in the area of</w:t>
            </w:r>
            <w:proofErr w:type="gramEnd"/>
            <w:r w:rsidRPr="007C4D65">
              <w:rPr>
                <w:rFonts w:asciiTheme="minorHAnsi" w:hAnsiTheme="minorHAnsi" w:cstheme="minorHAnsi"/>
                <w:sz w:val="18"/>
              </w:rPr>
              <w:t xml:space="preserve"> project preparation and implementation</w:t>
            </w:r>
          </w:p>
        </w:tc>
        <w:tc>
          <w:tcPr>
            <w:tcW w:w="1159" w:type="pct"/>
            <w:tcMar>
              <w:top w:w="0" w:type="dxa"/>
              <w:left w:w="108" w:type="dxa"/>
              <w:bottom w:w="0" w:type="dxa"/>
              <w:right w:w="108" w:type="dxa"/>
            </w:tcMar>
          </w:tcPr>
          <w:p w14:paraId="57EECFAD" w14:textId="57BE82CD"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institutions responsible for the preparation and implementation of projects have no specialised teams.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 and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Agriculture, Water Management and Forestry have specialised teams for projects preparation and implementation, but such teams are not available in all the institutions (2021)</w:t>
            </w:r>
          </w:p>
        </w:tc>
        <w:tc>
          <w:tcPr>
            <w:tcW w:w="1159" w:type="pct"/>
            <w:tcMar>
              <w:top w:w="0" w:type="dxa"/>
              <w:left w:w="108" w:type="dxa"/>
              <w:bottom w:w="0" w:type="dxa"/>
              <w:right w:w="108" w:type="dxa"/>
            </w:tcMar>
          </w:tcPr>
          <w:p w14:paraId="7FA21661" w14:textId="4D6FF5B6"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Effective teams with expertise in projects preparation and implementation formed in the </w:t>
            </w:r>
            <w:r w:rsidR="00EC0294" w:rsidRPr="007C4D65">
              <w:rPr>
                <w:rFonts w:asciiTheme="minorHAnsi" w:hAnsiTheme="minorHAnsi" w:cstheme="minorHAnsi"/>
                <w:sz w:val="18"/>
              </w:rPr>
              <w:t>environmental</w:t>
            </w:r>
            <w:r w:rsidRPr="007C4D65">
              <w:rPr>
                <w:rFonts w:asciiTheme="minorHAnsi" w:hAnsiTheme="minorHAnsi" w:cstheme="minorHAnsi"/>
                <w:sz w:val="18"/>
              </w:rPr>
              <w:t xml:space="preserve"> </w:t>
            </w:r>
            <w:proofErr w:type="gramStart"/>
            <w:r w:rsidRPr="007C4D65">
              <w:rPr>
                <w:rFonts w:asciiTheme="minorHAnsi" w:hAnsiTheme="minorHAnsi" w:cstheme="minorHAnsi"/>
                <w:sz w:val="18"/>
              </w:rPr>
              <w:t>institutions(</w:t>
            </w:r>
            <w:proofErr w:type="gramEnd"/>
            <w:r w:rsidRPr="007C4D65">
              <w:rPr>
                <w:rFonts w:asciiTheme="minorHAnsi" w:hAnsiTheme="minorHAnsi" w:cstheme="minorHAnsi"/>
                <w:sz w:val="18"/>
              </w:rPr>
              <w:t>2028)</w:t>
            </w:r>
          </w:p>
        </w:tc>
      </w:tr>
      <w:tr w:rsidR="00E42F38" w:rsidRPr="007C4D65" w14:paraId="6B20F14C" w14:textId="77777777" w:rsidTr="00B6017F">
        <w:trPr>
          <w:trHeight w:val="287"/>
        </w:trPr>
        <w:tc>
          <w:tcPr>
            <w:tcW w:w="710" w:type="pct"/>
            <w:vMerge/>
            <w:shd w:val="clear" w:color="auto" w:fill="D9D9D9"/>
            <w:vAlign w:val="center"/>
            <w:hideMark/>
          </w:tcPr>
          <w:p w14:paraId="5700F442"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5AA7799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65EF9799" w14:textId="7AF48CDF"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3397C650"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609FBCF5"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7971DADF" w14:textId="77777777" w:rsidTr="00B6017F">
        <w:trPr>
          <w:trHeight w:val="287"/>
        </w:trPr>
        <w:tc>
          <w:tcPr>
            <w:tcW w:w="710" w:type="pct"/>
            <w:vMerge/>
            <w:shd w:val="clear" w:color="auto" w:fill="D9D9D9"/>
            <w:vAlign w:val="center"/>
          </w:tcPr>
          <w:p w14:paraId="69D5D8D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4BEC56B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4C6B30B"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0.292</w:t>
            </w:r>
          </w:p>
        </w:tc>
        <w:tc>
          <w:tcPr>
            <w:tcW w:w="1159" w:type="pct"/>
            <w:tcMar>
              <w:top w:w="0" w:type="dxa"/>
              <w:left w:w="108" w:type="dxa"/>
              <w:bottom w:w="0" w:type="dxa"/>
              <w:right w:w="108" w:type="dxa"/>
            </w:tcMar>
            <w:vAlign w:val="center"/>
          </w:tcPr>
          <w:p w14:paraId="15CF98AC"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2.2.</w:t>
            </w:r>
          </w:p>
        </w:tc>
        <w:tc>
          <w:tcPr>
            <w:tcW w:w="1159" w:type="pct"/>
            <w:tcMar>
              <w:top w:w="0" w:type="dxa"/>
              <w:left w:w="108" w:type="dxa"/>
              <w:bottom w:w="0" w:type="dxa"/>
              <w:right w:w="108" w:type="dxa"/>
            </w:tcMar>
            <w:vAlign w:val="center"/>
          </w:tcPr>
          <w:p w14:paraId="5820B2A2"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2.5</w:t>
            </w:r>
          </w:p>
        </w:tc>
      </w:tr>
    </w:tbl>
    <w:p w14:paraId="1FE69E0A" w14:textId="77777777" w:rsidR="00E42F38" w:rsidRPr="007C4D65" w:rsidRDefault="00E42F38" w:rsidP="00E42F38">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973"/>
        <w:gridCol w:w="2272"/>
        <w:gridCol w:w="3231"/>
        <w:gridCol w:w="3231"/>
        <w:gridCol w:w="3231"/>
      </w:tblGrid>
      <w:tr w:rsidR="00E42F38" w:rsidRPr="007C4D65" w14:paraId="0BF17A8A"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6D49B761"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7.3.1 Measure</w:t>
            </w:r>
          </w:p>
        </w:tc>
        <w:tc>
          <w:tcPr>
            <w:tcW w:w="815" w:type="pct"/>
            <w:vMerge w:val="restart"/>
            <w:tcMar>
              <w:top w:w="0" w:type="dxa"/>
              <w:left w:w="108" w:type="dxa"/>
              <w:bottom w:w="0" w:type="dxa"/>
              <w:right w:w="108" w:type="dxa"/>
            </w:tcMar>
            <w:vAlign w:val="center"/>
          </w:tcPr>
          <w:p w14:paraId="400CE499"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Establishment of effective mechanisms for coordination of activities of the environmental institutions in the Federation of Bosnia and Herzegovina</w:t>
            </w:r>
          </w:p>
        </w:tc>
        <w:tc>
          <w:tcPr>
            <w:tcW w:w="1159" w:type="pct"/>
            <w:shd w:val="clear" w:color="auto" w:fill="D9D9D9"/>
            <w:tcMar>
              <w:top w:w="0" w:type="dxa"/>
              <w:left w:w="108" w:type="dxa"/>
              <w:bottom w:w="0" w:type="dxa"/>
              <w:right w:w="108" w:type="dxa"/>
            </w:tcMar>
            <w:vAlign w:val="center"/>
            <w:hideMark/>
          </w:tcPr>
          <w:p w14:paraId="49AA8BD6"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2EC36ACF"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19E5476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1AC23587" w14:textId="77777777" w:rsidTr="00B6017F">
        <w:trPr>
          <w:trHeight w:val="287"/>
        </w:trPr>
        <w:tc>
          <w:tcPr>
            <w:tcW w:w="708" w:type="pct"/>
            <w:vMerge/>
            <w:shd w:val="clear" w:color="auto" w:fill="D9D9D9"/>
            <w:vAlign w:val="center"/>
          </w:tcPr>
          <w:p w14:paraId="49F6A91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6C2CB74"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A03D5AA"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Quality of horizontal institutional coordination</w:t>
            </w:r>
          </w:p>
        </w:tc>
        <w:tc>
          <w:tcPr>
            <w:tcW w:w="1159" w:type="pct"/>
            <w:shd w:val="clear" w:color="auto" w:fill="FFFFFF"/>
            <w:tcMar>
              <w:top w:w="0" w:type="dxa"/>
              <w:left w:w="108" w:type="dxa"/>
              <w:bottom w:w="0" w:type="dxa"/>
              <w:right w:w="108" w:type="dxa"/>
            </w:tcMar>
            <w:vAlign w:val="center"/>
          </w:tcPr>
          <w:p w14:paraId="1028C143"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Horizontal coordination among the institutions is present to a certain extent, however it needs to be improved and enhanced, and there is a need for joint actions of the institutions within their respective competencies</w:t>
            </w:r>
          </w:p>
        </w:tc>
        <w:tc>
          <w:tcPr>
            <w:tcW w:w="1159" w:type="pct"/>
            <w:shd w:val="clear" w:color="auto" w:fill="FFFFFF"/>
            <w:vAlign w:val="center"/>
          </w:tcPr>
          <w:p w14:paraId="068AED67"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The horizontal institutional coordination improved and enhanced (2025)</w:t>
            </w:r>
          </w:p>
        </w:tc>
      </w:tr>
      <w:tr w:rsidR="00E42F38" w:rsidRPr="007C4D65" w14:paraId="558A247B" w14:textId="77777777" w:rsidTr="00B6017F">
        <w:trPr>
          <w:trHeight w:val="287"/>
        </w:trPr>
        <w:tc>
          <w:tcPr>
            <w:tcW w:w="708" w:type="pct"/>
            <w:vMerge/>
            <w:shd w:val="clear" w:color="auto" w:fill="D9D9D9"/>
            <w:vAlign w:val="center"/>
          </w:tcPr>
          <w:p w14:paraId="278C3CDC"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A077BF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C2BADD7"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Quality of communication among the environmental institutions at all the levels</w:t>
            </w:r>
          </w:p>
        </w:tc>
        <w:tc>
          <w:tcPr>
            <w:tcW w:w="1159" w:type="pct"/>
            <w:shd w:val="clear" w:color="auto" w:fill="FFFFFF"/>
            <w:tcMar>
              <w:top w:w="0" w:type="dxa"/>
              <w:left w:w="108" w:type="dxa"/>
              <w:bottom w:w="0" w:type="dxa"/>
              <w:right w:w="108" w:type="dxa"/>
            </w:tcMar>
            <w:vAlign w:val="center"/>
          </w:tcPr>
          <w:p w14:paraId="52B8D54A" w14:textId="7AC6D108"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Certain mechanism</w:t>
            </w:r>
            <w:r w:rsidR="00830279" w:rsidRPr="007C4D65">
              <w:rPr>
                <w:rFonts w:asciiTheme="minorHAnsi" w:hAnsiTheme="minorHAnsi" w:cstheme="minorHAnsi"/>
                <w:sz w:val="18"/>
              </w:rPr>
              <w:t>s</w:t>
            </w:r>
            <w:r w:rsidRPr="007C4D65">
              <w:rPr>
                <w:rFonts w:asciiTheme="minorHAnsi" w:hAnsiTheme="minorHAnsi" w:cstheme="minorHAnsi"/>
                <w:sz w:val="18"/>
              </w:rPr>
              <w:t xml:space="preserve"> of communication are </w:t>
            </w:r>
            <w:r w:rsidR="00830279" w:rsidRPr="007C4D65">
              <w:rPr>
                <w:rFonts w:asciiTheme="minorHAnsi" w:hAnsiTheme="minorHAnsi" w:cstheme="minorHAnsi"/>
                <w:sz w:val="18"/>
              </w:rPr>
              <w:t>available;</w:t>
            </w:r>
            <w:r w:rsidRPr="007C4D65">
              <w:rPr>
                <w:rFonts w:asciiTheme="minorHAnsi" w:hAnsiTheme="minorHAnsi" w:cstheme="minorHAnsi"/>
                <w:sz w:val="18"/>
              </w:rPr>
              <w:t xml:space="preserve"> </w:t>
            </w:r>
            <w:proofErr w:type="gramStart"/>
            <w:r w:rsidRPr="007C4D65">
              <w:rPr>
                <w:rFonts w:asciiTheme="minorHAnsi" w:hAnsiTheme="minorHAnsi" w:cstheme="minorHAnsi"/>
                <w:sz w:val="18"/>
              </w:rPr>
              <w:t>however</w:t>
            </w:r>
            <w:proofErr w:type="gramEnd"/>
            <w:r w:rsidRPr="007C4D65">
              <w:rPr>
                <w:rFonts w:asciiTheme="minorHAnsi" w:hAnsiTheme="minorHAnsi" w:cstheme="minorHAnsi"/>
                <w:sz w:val="18"/>
              </w:rPr>
              <w:t xml:space="preserve"> they are not effective</w:t>
            </w:r>
          </w:p>
        </w:tc>
        <w:tc>
          <w:tcPr>
            <w:tcW w:w="1159" w:type="pct"/>
            <w:shd w:val="clear" w:color="auto" w:fill="FFFFFF"/>
            <w:vAlign w:val="center"/>
          </w:tcPr>
          <w:p w14:paraId="17DB5CF7"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Effective mechanisms of communication among the institutions at all the levels (2025)</w:t>
            </w:r>
          </w:p>
        </w:tc>
      </w:tr>
      <w:tr w:rsidR="00E42F38" w:rsidRPr="007C4D65" w14:paraId="75D54B1E" w14:textId="77777777" w:rsidTr="00B6017F">
        <w:trPr>
          <w:trHeight w:val="287"/>
        </w:trPr>
        <w:tc>
          <w:tcPr>
            <w:tcW w:w="708" w:type="pct"/>
            <w:vMerge/>
            <w:shd w:val="clear" w:color="auto" w:fill="D9D9D9"/>
            <w:vAlign w:val="center"/>
          </w:tcPr>
          <w:p w14:paraId="2FA657B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B805AA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621A716"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Quality of vertical institutional coordination</w:t>
            </w:r>
          </w:p>
        </w:tc>
        <w:tc>
          <w:tcPr>
            <w:tcW w:w="1159" w:type="pct"/>
            <w:shd w:val="clear" w:color="auto" w:fill="FFFFFF"/>
            <w:tcMar>
              <w:top w:w="0" w:type="dxa"/>
              <w:left w:w="108" w:type="dxa"/>
              <w:bottom w:w="0" w:type="dxa"/>
              <w:right w:w="108" w:type="dxa"/>
            </w:tcMar>
            <w:vAlign w:val="center"/>
          </w:tcPr>
          <w:p w14:paraId="7413AD3D"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Vertical coordination is present - however there is a room for improvement</w:t>
            </w:r>
          </w:p>
        </w:tc>
        <w:tc>
          <w:tcPr>
            <w:tcW w:w="1159" w:type="pct"/>
            <w:shd w:val="clear" w:color="auto" w:fill="FFFFFF"/>
            <w:vAlign w:val="center"/>
          </w:tcPr>
          <w:p w14:paraId="31E9EA7B"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The vertical institutional coordination improved and enhanced (2030)</w:t>
            </w:r>
          </w:p>
        </w:tc>
      </w:tr>
      <w:tr w:rsidR="00E42F38" w:rsidRPr="007C4D65" w14:paraId="3C46B316" w14:textId="77777777" w:rsidTr="00B6017F">
        <w:trPr>
          <w:trHeight w:val="287"/>
        </w:trPr>
        <w:tc>
          <w:tcPr>
            <w:tcW w:w="708" w:type="pct"/>
            <w:vMerge/>
            <w:shd w:val="clear" w:color="auto" w:fill="D9D9D9"/>
            <w:vAlign w:val="center"/>
          </w:tcPr>
          <w:p w14:paraId="12AFC752"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7C7E4D5B"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46AA195"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Quality of coordination and cooperation among the cantons</w:t>
            </w:r>
          </w:p>
        </w:tc>
        <w:tc>
          <w:tcPr>
            <w:tcW w:w="1159" w:type="pct"/>
            <w:shd w:val="clear" w:color="auto" w:fill="FFFFFF"/>
            <w:tcMar>
              <w:top w:w="0" w:type="dxa"/>
              <w:left w:w="108" w:type="dxa"/>
              <w:bottom w:w="0" w:type="dxa"/>
              <w:right w:w="108" w:type="dxa"/>
            </w:tcMar>
            <w:vAlign w:val="center"/>
          </w:tcPr>
          <w:p w14:paraId="59C59EFA"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Certain level of coordination is present - however there is a room for improvement</w:t>
            </w:r>
          </w:p>
        </w:tc>
        <w:tc>
          <w:tcPr>
            <w:tcW w:w="1159" w:type="pct"/>
            <w:shd w:val="clear" w:color="auto" w:fill="FFFFFF"/>
            <w:vAlign w:val="center"/>
          </w:tcPr>
          <w:p w14:paraId="0D70D276"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Inter-cantonal cooperation and coordination in the environmental sector improved (2030)</w:t>
            </w:r>
          </w:p>
        </w:tc>
      </w:tr>
      <w:tr w:rsidR="00E42F38" w:rsidRPr="007C4D65" w14:paraId="6D113AF1" w14:textId="77777777" w:rsidTr="00B6017F">
        <w:trPr>
          <w:trHeight w:val="287"/>
        </w:trPr>
        <w:tc>
          <w:tcPr>
            <w:tcW w:w="708" w:type="pct"/>
            <w:vMerge/>
            <w:shd w:val="clear" w:color="auto" w:fill="D9D9D9"/>
            <w:vAlign w:val="center"/>
          </w:tcPr>
          <w:p w14:paraId="7F5131FF"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68F8102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F8F8BA5"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Quality of horizontal connectivity among local government unit on environmental issues</w:t>
            </w:r>
          </w:p>
        </w:tc>
        <w:tc>
          <w:tcPr>
            <w:tcW w:w="1159" w:type="pct"/>
            <w:shd w:val="clear" w:color="auto" w:fill="FFFFFF"/>
            <w:tcMar>
              <w:top w:w="0" w:type="dxa"/>
              <w:left w:w="108" w:type="dxa"/>
              <w:bottom w:w="0" w:type="dxa"/>
              <w:right w:w="108" w:type="dxa"/>
            </w:tcMar>
            <w:vAlign w:val="center"/>
          </w:tcPr>
          <w:p w14:paraId="10ED01A0"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Certain level of coordination is present - however there is a room for improvement</w:t>
            </w:r>
          </w:p>
        </w:tc>
        <w:tc>
          <w:tcPr>
            <w:tcW w:w="1159" w:type="pct"/>
            <w:shd w:val="clear" w:color="auto" w:fill="FFFFFF"/>
            <w:vAlign w:val="center"/>
          </w:tcPr>
          <w:p w14:paraId="6F6411F1" w14:textId="585D38BE"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Cooperation and coordination in the area of environmental protection among local government units (municipalities/towns) </w:t>
            </w:r>
            <w:proofErr w:type="gramStart"/>
            <w:r w:rsidRPr="007C4D65">
              <w:rPr>
                <w:rFonts w:asciiTheme="minorHAnsi" w:hAnsiTheme="minorHAnsi" w:cstheme="minorHAnsi"/>
                <w:sz w:val="18"/>
              </w:rPr>
              <w:t>improved</w:t>
            </w:r>
            <w:r w:rsidR="00EC0294" w:rsidRPr="007C4D65">
              <w:rPr>
                <w:rFonts w:asciiTheme="minorHAnsi" w:hAnsiTheme="minorHAnsi" w:cstheme="minorHAnsi"/>
                <w:sz w:val="18"/>
                <w:szCs w:val="18"/>
              </w:rPr>
              <w:t>(</w:t>
            </w:r>
            <w:proofErr w:type="gramEnd"/>
            <w:r w:rsidR="00EC0294" w:rsidRPr="007C4D65">
              <w:rPr>
                <w:rFonts w:asciiTheme="minorHAnsi" w:hAnsiTheme="minorHAnsi" w:cstheme="minorHAnsi"/>
                <w:sz w:val="18"/>
                <w:szCs w:val="18"/>
              </w:rPr>
              <w:t>2030)</w:t>
            </w:r>
          </w:p>
        </w:tc>
      </w:tr>
      <w:tr w:rsidR="00E42F38" w:rsidRPr="007C4D65" w14:paraId="160E7BBF" w14:textId="77777777" w:rsidTr="00B6017F">
        <w:trPr>
          <w:trHeight w:val="287"/>
        </w:trPr>
        <w:tc>
          <w:tcPr>
            <w:tcW w:w="708" w:type="pct"/>
            <w:vMerge/>
            <w:shd w:val="clear" w:color="auto" w:fill="D9D9D9"/>
            <w:vAlign w:val="center"/>
          </w:tcPr>
          <w:p w14:paraId="490F1B1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638E748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B1A3E74"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Conditions for the establishment of the Environmental Agency of the Federation of Bosnia and Herzegovina</w:t>
            </w:r>
          </w:p>
        </w:tc>
        <w:tc>
          <w:tcPr>
            <w:tcW w:w="1159" w:type="pct"/>
            <w:shd w:val="clear" w:color="auto" w:fill="FFFFFF"/>
            <w:tcMar>
              <w:top w:w="0" w:type="dxa"/>
              <w:left w:w="108" w:type="dxa"/>
              <w:bottom w:w="0" w:type="dxa"/>
              <w:right w:w="108" w:type="dxa"/>
            </w:tcMar>
            <w:vAlign w:val="center"/>
          </w:tcPr>
          <w:p w14:paraId="68DAE44B"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Conditions have not been secured - the Agency has not been established</w:t>
            </w:r>
          </w:p>
        </w:tc>
        <w:tc>
          <w:tcPr>
            <w:tcW w:w="1159" w:type="pct"/>
            <w:shd w:val="clear" w:color="auto" w:fill="FFFFFF"/>
            <w:vAlign w:val="center"/>
          </w:tcPr>
          <w:p w14:paraId="307510B3" w14:textId="6582D98F" w:rsidR="00E42F38" w:rsidRPr="007C4D65" w:rsidRDefault="00E42F38" w:rsidP="00E42F38">
            <w:pPr>
              <w:spacing w:after="120" w:line="276" w:lineRule="auto"/>
              <w:ind w:left="69"/>
              <w:contextualSpacing/>
              <w:rPr>
                <w:rFonts w:asciiTheme="minorHAnsi" w:hAnsiTheme="minorHAnsi" w:cstheme="minorHAnsi"/>
                <w:sz w:val="18"/>
                <w:szCs w:val="18"/>
              </w:rPr>
            </w:pPr>
            <w:r w:rsidRPr="007C4D65">
              <w:rPr>
                <w:rFonts w:asciiTheme="minorHAnsi" w:hAnsiTheme="minorHAnsi" w:cstheme="minorHAnsi"/>
                <w:sz w:val="18"/>
              </w:rPr>
              <w:t xml:space="preserve">Formal and legal requirements fulfilled, the Environmental Agency of the Federation of Bosnia and Herzegovina established and effective (a statute adopted, terms of reference of the Agency defined, allocations </w:t>
            </w:r>
            <w:proofErr w:type="gramStart"/>
            <w:r w:rsidRPr="007C4D65">
              <w:rPr>
                <w:rFonts w:asciiTheme="minorHAnsi" w:hAnsiTheme="minorHAnsi" w:cstheme="minorHAnsi"/>
                <w:sz w:val="18"/>
              </w:rPr>
              <w:t>made</w:t>
            </w:r>
            <w:proofErr w:type="gramEnd"/>
            <w:r w:rsidRPr="007C4D65">
              <w:rPr>
                <w:rFonts w:asciiTheme="minorHAnsi" w:hAnsiTheme="minorHAnsi" w:cstheme="minorHAnsi"/>
                <w:sz w:val="18"/>
              </w:rPr>
              <w:t xml:space="preserve"> and </w:t>
            </w:r>
            <w:r w:rsidR="00A1247E" w:rsidRPr="007C4D65">
              <w:rPr>
                <w:rFonts w:asciiTheme="minorHAnsi" w:hAnsiTheme="minorHAnsi" w:cstheme="minorHAnsi"/>
                <w:sz w:val="18"/>
              </w:rPr>
              <w:t>Government budget</w:t>
            </w:r>
            <w:r w:rsidRPr="007C4D65">
              <w:rPr>
                <w:rFonts w:asciiTheme="minorHAnsi" w:hAnsiTheme="minorHAnsi" w:cstheme="minorHAnsi"/>
                <w:sz w:val="18"/>
              </w:rPr>
              <w:t xml:space="preserve"> adopted (2030+)</w:t>
            </w:r>
          </w:p>
        </w:tc>
      </w:tr>
      <w:tr w:rsidR="00E42F38" w:rsidRPr="007C4D65" w14:paraId="29D057AF" w14:textId="77777777" w:rsidTr="00B6017F">
        <w:trPr>
          <w:trHeight w:val="483"/>
        </w:trPr>
        <w:tc>
          <w:tcPr>
            <w:tcW w:w="708" w:type="pct"/>
            <w:vMerge/>
            <w:shd w:val="clear" w:color="auto" w:fill="D9D9D9"/>
            <w:vAlign w:val="center"/>
            <w:hideMark/>
          </w:tcPr>
          <w:p w14:paraId="44AE044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62E648D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378468E5" w14:textId="45E8B737"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6DB8F367"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6B5EAAEE"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2F7DDC82" w14:textId="77777777" w:rsidTr="00B6017F">
        <w:trPr>
          <w:trHeight w:val="287"/>
        </w:trPr>
        <w:tc>
          <w:tcPr>
            <w:tcW w:w="708" w:type="pct"/>
            <w:vMerge/>
            <w:shd w:val="clear" w:color="auto" w:fill="D9D9D9"/>
            <w:vAlign w:val="center"/>
            <w:hideMark/>
          </w:tcPr>
          <w:p w14:paraId="38C0ABB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52886ED6"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710DC09"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0.216</w:t>
            </w:r>
          </w:p>
        </w:tc>
        <w:tc>
          <w:tcPr>
            <w:tcW w:w="1159" w:type="pct"/>
            <w:tcMar>
              <w:top w:w="0" w:type="dxa"/>
              <w:left w:w="108" w:type="dxa"/>
              <w:bottom w:w="0" w:type="dxa"/>
              <w:right w:w="108" w:type="dxa"/>
            </w:tcMar>
            <w:vAlign w:val="center"/>
          </w:tcPr>
          <w:p w14:paraId="3CD62C5F"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1.9</w:t>
            </w:r>
          </w:p>
        </w:tc>
        <w:tc>
          <w:tcPr>
            <w:tcW w:w="1159" w:type="pct"/>
            <w:shd w:val="clear" w:color="auto" w:fill="auto"/>
            <w:tcMar>
              <w:top w:w="0" w:type="dxa"/>
              <w:left w:w="108" w:type="dxa"/>
              <w:bottom w:w="0" w:type="dxa"/>
              <w:right w:w="108" w:type="dxa"/>
            </w:tcMar>
            <w:vAlign w:val="center"/>
          </w:tcPr>
          <w:p w14:paraId="7F710FF3"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2.1</w:t>
            </w:r>
          </w:p>
        </w:tc>
      </w:tr>
      <w:tr w:rsidR="00E42F38" w:rsidRPr="007C4D65" w14:paraId="78B75D0F"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0A812B31"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7.3.2 Measure</w:t>
            </w:r>
          </w:p>
        </w:tc>
        <w:tc>
          <w:tcPr>
            <w:tcW w:w="815" w:type="pct"/>
            <w:vMerge w:val="restart"/>
            <w:tcMar>
              <w:top w:w="0" w:type="dxa"/>
              <w:left w:w="108" w:type="dxa"/>
              <w:bottom w:w="0" w:type="dxa"/>
              <w:right w:w="108" w:type="dxa"/>
            </w:tcMar>
            <w:vAlign w:val="center"/>
          </w:tcPr>
          <w:p w14:paraId="1862A09D" w14:textId="1FF2C873" w:rsidR="00E42F38" w:rsidRPr="007C4D65" w:rsidRDefault="00A13CFC"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Upgrading the efficiency of the Inter-entity Environmental Body</w:t>
            </w:r>
          </w:p>
        </w:tc>
        <w:tc>
          <w:tcPr>
            <w:tcW w:w="1159" w:type="pct"/>
            <w:shd w:val="clear" w:color="auto" w:fill="D9D9D9"/>
            <w:tcMar>
              <w:top w:w="0" w:type="dxa"/>
              <w:left w:w="108" w:type="dxa"/>
              <w:bottom w:w="0" w:type="dxa"/>
              <w:right w:w="108" w:type="dxa"/>
            </w:tcMar>
            <w:vAlign w:val="center"/>
            <w:hideMark/>
          </w:tcPr>
          <w:p w14:paraId="1AB86827"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2F804DB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68329CD4"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25A8647B" w14:textId="77777777" w:rsidTr="00B6017F">
        <w:trPr>
          <w:trHeight w:val="287"/>
        </w:trPr>
        <w:tc>
          <w:tcPr>
            <w:tcW w:w="708" w:type="pct"/>
            <w:vMerge/>
            <w:shd w:val="clear" w:color="auto" w:fill="D9D9D9"/>
            <w:vAlign w:val="center"/>
          </w:tcPr>
          <w:p w14:paraId="2D7A05C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3D3D8554"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C30CB04"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The effectiveness and efficiency of the work of the Inter-entity body</w:t>
            </w:r>
          </w:p>
        </w:tc>
        <w:tc>
          <w:tcPr>
            <w:tcW w:w="1159" w:type="pct"/>
            <w:shd w:val="clear" w:color="auto" w:fill="FFFFFF"/>
            <w:tcMar>
              <w:top w:w="0" w:type="dxa"/>
              <w:left w:w="108" w:type="dxa"/>
              <w:bottom w:w="0" w:type="dxa"/>
              <w:right w:w="108" w:type="dxa"/>
            </w:tcMar>
            <w:vAlign w:val="center"/>
          </w:tcPr>
          <w:p w14:paraId="76E9610B"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Environmental Inter-entity Body is active, but its performance ineffective and inefficient</w:t>
            </w:r>
          </w:p>
        </w:tc>
        <w:tc>
          <w:tcPr>
            <w:tcW w:w="1159" w:type="pct"/>
            <w:shd w:val="clear" w:color="auto" w:fill="FFFFFF"/>
            <w:vAlign w:val="center"/>
          </w:tcPr>
          <w:p w14:paraId="723CE84A"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The Inter-entity body performs effectively and </w:t>
            </w:r>
            <w:proofErr w:type="gramStart"/>
            <w:r w:rsidRPr="007C4D65">
              <w:rPr>
                <w:rFonts w:asciiTheme="minorHAnsi" w:hAnsiTheme="minorHAnsi" w:cstheme="minorHAnsi"/>
                <w:sz w:val="18"/>
              </w:rPr>
              <w:t>efficiently.(</w:t>
            </w:r>
            <w:proofErr w:type="gramEnd"/>
            <w:r w:rsidRPr="007C4D65">
              <w:rPr>
                <w:rFonts w:asciiTheme="minorHAnsi" w:hAnsiTheme="minorHAnsi" w:cstheme="minorHAnsi"/>
                <w:sz w:val="18"/>
              </w:rPr>
              <w:t>2030.)</w:t>
            </w:r>
          </w:p>
        </w:tc>
      </w:tr>
      <w:tr w:rsidR="00E42F38" w:rsidRPr="007C4D65" w14:paraId="7B307F7E" w14:textId="77777777" w:rsidTr="00B6017F">
        <w:trPr>
          <w:trHeight w:val="287"/>
        </w:trPr>
        <w:tc>
          <w:tcPr>
            <w:tcW w:w="708" w:type="pct"/>
            <w:vMerge/>
            <w:shd w:val="clear" w:color="auto" w:fill="D9D9D9"/>
            <w:vAlign w:val="center"/>
          </w:tcPr>
          <w:p w14:paraId="4823976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8751B26"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F9F3F85"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Publicity of the work of the Inter-entity body</w:t>
            </w:r>
          </w:p>
        </w:tc>
        <w:tc>
          <w:tcPr>
            <w:tcW w:w="1159" w:type="pct"/>
            <w:shd w:val="clear" w:color="auto" w:fill="FFFFFF"/>
            <w:tcMar>
              <w:top w:w="0" w:type="dxa"/>
              <w:left w:w="108" w:type="dxa"/>
              <w:bottom w:w="0" w:type="dxa"/>
              <w:right w:w="108" w:type="dxa"/>
            </w:tcMar>
            <w:vAlign w:val="center"/>
          </w:tcPr>
          <w:p w14:paraId="7B54AC6D"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Public has no access to reports from meetings of this body</w:t>
            </w:r>
          </w:p>
        </w:tc>
        <w:tc>
          <w:tcPr>
            <w:tcW w:w="1159" w:type="pct"/>
            <w:shd w:val="clear" w:color="auto" w:fill="FFFFFF"/>
            <w:vAlign w:val="center"/>
          </w:tcPr>
          <w:p w14:paraId="7A67CD00"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The work of the Inter-entity body is public and </w:t>
            </w:r>
            <w:proofErr w:type="gramStart"/>
            <w:r w:rsidRPr="007C4D65">
              <w:rPr>
                <w:rFonts w:asciiTheme="minorHAnsi" w:hAnsiTheme="minorHAnsi" w:cstheme="minorHAnsi"/>
                <w:sz w:val="18"/>
              </w:rPr>
              <w:t>transparent.(</w:t>
            </w:r>
            <w:proofErr w:type="gramEnd"/>
            <w:r w:rsidRPr="007C4D65">
              <w:rPr>
                <w:rFonts w:asciiTheme="minorHAnsi" w:hAnsiTheme="minorHAnsi" w:cstheme="minorHAnsi"/>
                <w:sz w:val="18"/>
              </w:rPr>
              <w:t>2030)</w:t>
            </w:r>
          </w:p>
        </w:tc>
      </w:tr>
      <w:tr w:rsidR="00E42F38" w:rsidRPr="007C4D65" w14:paraId="0C72F94E" w14:textId="77777777" w:rsidTr="00B6017F">
        <w:trPr>
          <w:trHeight w:val="483"/>
        </w:trPr>
        <w:tc>
          <w:tcPr>
            <w:tcW w:w="708" w:type="pct"/>
            <w:vMerge/>
            <w:shd w:val="clear" w:color="auto" w:fill="D9D9D9"/>
            <w:vAlign w:val="center"/>
            <w:hideMark/>
          </w:tcPr>
          <w:p w14:paraId="0E9806C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7948B976"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5FFD468" w14:textId="4C9CD048"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72849363"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631735AC"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4A54D9FF" w14:textId="77777777" w:rsidTr="00B6017F">
        <w:trPr>
          <w:trHeight w:val="287"/>
        </w:trPr>
        <w:tc>
          <w:tcPr>
            <w:tcW w:w="708" w:type="pct"/>
            <w:vMerge/>
            <w:shd w:val="clear" w:color="auto" w:fill="D9D9D9"/>
            <w:vAlign w:val="center"/>
            <w:hideMark/>
          </w:tcPr>
          <w:p w14:paraId="31D2D57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00531B0F"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F41BB1C"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0.021</w:t>
            </w:r>
          </w:p>
        </w:tc>
        <w:tc>
          <w:tcPr>
            <w:tcW w:w="1159" w:type="pct"/>
            <w:tcMar>
              <w:top w:w="0" w:type="dxa"/>
              <w:left w:w="108" w:type="dxa"/>
              <w:bottom w:w="0" w:type="dxa"/>
              <w:right w:w="108" w:type="dxa"/>
            </w:tcMar>
            <w:vAlign w:val="center"/>
          </w:tcPr>
          <w:p w14:paraId="67B3DE8A"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0.084</w:t>
            </w:r>
          </w:p>
        </w:tc>
        <w:tc>
          <w:tcPr>
            <w:tcW w:w="1159" w:type="pct"/>
            <w:tcMar>
              <w:top w:w="0" w:type="dxa"/>
              <w:left w:w="108" w:type="dxa"/>
              <w:bottom w:w="0" w:type="dxa"/>
              <w:right w:w="108" w:type="dxa"/>
            </w:tcMar>
            <w:vAlign w:val="center"/>
          </w:tcPr>
          <w:p w14:paraId="7A6D3345"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0.105</w:t>
            </w:r>
          </w:p>
        </w:tc>
      </w:tr>
      <w:tr w:rsidR="00E42F38" w:rsidRPr="007C4D65" w14:paraId="7001F3E1"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343BF643"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7.3.3 Measure</w:t>
            </w:r>
          </w:p>
        </w:tc>
        <w:tc>
          <w:tcPr>
            <w:tcW w:w="815" w:type="pct"/>
            <w:vMerge w:val="restart"/>
            <w:tcMar>
              <w:top w:w="0" w:type="dxa"/>
              <w:left w:w="108" w:type="dxa"/>
              <w:bottom w:w="0" w:type="dxa"/>
              <w:right w:w="108" w:type="dxa"/>
            </w:tcMar>
            <w:vAlign w:val="center"/>
          </w:tcPr>
          <w:p w14:paraId="7B632E05"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Improving the institutional structure and capacity of environmental institutions</w:t>
            </w:r>
          </w:p>
        </w:tc>
        <w:tc>
          <w:tcPr>
            <w:tcW w:w="1159" w:type="pct"/>
            <w:shd w:val="clear" w:color="auto" w:fill="D9D9D9"/>
            <w:tcMar>
              <w:top w:w="0" w:type="dxa"/>
              <w:left w:w="108" w:type="dxa"/>
              <w:bottom w:w="0" w:type="dxa"/>
              <w:right w:w="108" w:type="dxa"/>
            </w:tcMar>
            <w:vAlign w:val="center"/>
            <w:hideMark/>
          </w:tcPr>
          <w:p w14:paraId="26E9732C"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64F4347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078E0FD4"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52280775" w14:textId="77777777" w:rsidTr="00B6017F">
        <w:trPr>
          <w:trHeight w:val="287"/>
        </w:trPr>
        <w:tc>
          <w:tcPr>
            <w:tcW w:w="708" w:type="pct"/>
            <w:vMerge/>
            <w:shd w:val="clear" w:color="auto" w:fill="D9D9D9"/>
            <w:vAlign w:val="center"/>
          </w:tcPr>
          <w:p w14:paraId="15F603F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A02CCB6"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8741B82"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1) Evaluation of the institutional capacity for consistent application of laws and effective implementation of environmental plans and strategies </w:t>
            </w:r>
          </w:p>
        </w:tc>
        <w:tc>
          <w:tcPr>
            <w:tcW w:w="1159" w:type="pct"/>
            <w:shd w:val="clear" w:color="auto" w:fill="FFFFFF"/>
            <w:tcMar>
              <w:top w:w="0" w:type="dxa"/>
              <w:left w:w="108" w:type="dxa"/>
              <w:bottom w:w="0" w:type="dxa"/>
              <w:right w:w="108" w:type="dxa"/>
            </w:tcMar>
            <w:vAlign w:val="center"/>
          </w:tcPr>
          <w:p w14:paraId="19504FAD"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No assessment has been undertaken  </w:t>
            </w:r>
          </w:p>
        </w:tc>
        <w:tc>
          <w:tcPr>
            <w:tcW w:w="1159" w:type="pct"/>
            <w:shd w:val="clear" w:color="auto" w:fill="FFFFFF"/>
            <w:vAlign w:val="center"/>
          </w:tcPr>
          <w:p w14:paraId="390D66A8"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A comprehensive assessment of the institutional capacities completed (2024)</w:t>
            </w:r>
          </w:p>
        </w:tc>
      </w:tr>
      <w:tr w:rsidR="00E42F38" w:rsidRPr="007C4D65" w14:paraId="3939F477" w14:textId="77777777" w:rsidTr="00B6017F">
        <w:trPr>
          <w:trHeight w:val="287"/>
        </w:trPr>
        <w:tc>
          <w:tcPr>
            <w:tcW w:w="708" w:type="pct"/>
            <w:vMerge/>
            <w:shd w:val="clear" w:color="auto" w:fill="D9D9D9"/>
            <w:vAlign w:val="center"/>
          </w:tcPr>
          <w:p w14:paraId="64B2F7D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0DA888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AB4C7AA"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2) 3) Introducing measures for the improvement in accordance with the assessment completed</w:t>
            </w:r>
          </w:p>
        </w:tc>
        <w:tc>
          <w:tcPr>
            <w:tcW w:w="1159" w:type="pct"/>
            <w:shd w:val="clear" w:color="auto" w:fill="FFFFFF"/>
            <w:tcMar>
              <w:top w:w="0" w:type="dxa"/>
              <w:left w:w="108" w:type="dxa"/>
              <w:bottom w:w="0" w:type="dxa"/>
              <w:right w:w="108" w:type="dxa"/>
            </w:tcMar>
            <w:vAlign w:val="center"/>
          </w:tcPr>
          <w:p w14:paraId="245C7AB5"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 assessment has been undertaken</w:t>
            </w:r>
          </w:p>
        </w:tc>
        <w:tc>
          <w:tcPr>
            <w:tcW w:w="1159" w:type="pct"/>
            <w:shd w:val="clear" w:color="auto" w:fill="FFFFFF"/>
            <w:vAlign w:val="center"/>
          </w:tcPr>
          <w:p w14:paraId="0A1EE875" w14:textId="77777777" w:rsidR="00EC0294" w:rsidRPr="007C4D65" w:rsidRDefault="00EC0294" w:rsidP="00EC0294">
            <w:pPr>
              <w:spacing w:before="40" w:after="40" w:line="276" w:lineRule="auto"/>
              <w:ind w:left="69"/>
              <w:rPr>
                <w:rFonts w:asciiTheme="minorHAnsi" w:hAnsiTheme="minorHAnsi" w:cstheme="minorHAnsi"/>
                <w:sz w:val="18"/>
                <w:szCs w:val="18"/>
                <w:lang w:val="hr-HR" w:bidi="en-US"/>
              </w:rPr>
            </w:pPr>
            <w:r w:rsidRPr="007C4D65">
              <w:rPr>
                <w:rFonts w:asciiTheme="minorHAnsi" w:hAnsiTheme="minorHAnsi" w:cstheme="minorHAnsi"/>
                <w:sz w:val="18"/>
                <w:szCs w:val="18"/>
                <w:lang w:val="hr-HR" w:bidi="en-US"/>
              </w:rPr>
              <w:t>Definirane mjere za:</w:t>
            </w:r>
          </w:p>
          <w:p w14:paraId="5EC877EA" w14:textId="5F496BCF" w:rsidR="00EC0294" w:rsidRPr="007C4D65" w:rsidRDefault="00EC0294" w:rsidP="00EC0294">
            <w:pPr>
              <w:numPr>
                <w:ilvl w:val="0"/>
                <w:numId w:val="162"/>
              </w:numPr>
              <w:spacing w:before="40" w:after="40" w:line="276" w:lineRule="auto"/>
              <w:ind w:left="211" w:hanging="142"/>
              <w:contextualSpacing/>
              <w:rPr>
                <w:rFonts w:asciiTheme="minorHAnsi" w:eastAsia="Calibri" w:hAnsiTheme="minorHAnsi" w:cstheme="minorHAnsi"/>
                <w:sz w:val="18"/>
                <w:szCs w:val="18"/>
                <w:lang w:val="hr-HR"/>
              </w:rPr>
            </w:pPr>
            <w:r w:rsidRPr="007C4D65">
              <w:rPr>
                <w:rFonts w:asciiTheme="minorHAnsi" w:eastAsia="Calibri" w:hAnsiTheme="minorHAnsi" w:cstheme="minorHAnsi"/>
                <w:sz w:val="18"/>
                <w:szCs w:val="18"/>
                <w:lang w:val="hr-HR"/>
              </w:rPr>
              <w:t>Keep professionals in the institutions</w:t>
            </w:r>
          </w:p>
          <w:p w14:paraId="4BAD3AAD" w14:textId="78348A58" w:rsidR="00EC0294" w:rsidRPr="007C4D65" w:rsidRDefault="00EC0294" w:rsidP="00EC0294">
            <w:pPr>
              <w:numPr>
                <w:ilvl w:val="0"/>
                <w:numId w:val="162"/>
              </w:numPr>
              <w:spacing w:before="40" w:after="40" w:line="276" w:lineRule="auto"/>
              <w:ind w:left="211" w:hanging="142"/>
              <w:contextualSpacing/>
              <w:rPr>
                <w:rFonts w:asciiTheme="minorHAnsi" w:eastAsia="Calibri" w:hAnsiTheme="minorHAnsi" w:cstheme="minorHAnsi"/>
                <w:sz w:val="18"/>
                <w:szCs w:val="18"/>
                <w:lang w:val="hr-HR"/>
              </w:rPr>
            </w:pPr>
            <w:r w:rsidRPr="007C4D65">
              <w:rPr>
                <w:rFonts w:asciiTheme="minorHAnsi" w:hAnsiTheme="minorHAnsi" w:cstheme="minorHAnsi"/>
                <w:sz w:val="18"/>
                <w:szCs w:val="18"/>
                <w:lang w:val="hr-HR" w:bidi="en-US"/>
              </w:rPr>
              <w:t>Capacity building focusing on human resources strengthening</w:t>
            </w:r>
          </w:p>
          <w:p w14:paraId="246E5EDC" w14:textId="70FBC931" w:rsidR="00E42F38" w:rsidRPr="007C4D65" w:rsidRDefault="00EC0294" w:rsidP="00EC0294">
            <w:pPr>
              <w:numPr>
                <w:ilvl w:val="0"/>
                <w:numId w:val="162"/>
              </w:numPr>
              <w:spacing w:before="40" w:after="40" w:line="276" w:lineRule="auto"/>
              <w:ind w:left="211" w:hanging="142"/>
              <w:contextualSpacing/>
              <w:rPr>
                <w:rFonts w:asciiTheme="minorHAnsi" w:eastAsia="Calibri" w:hAnsiTheme="minorHAnsi" w:cstheme="minorHAnsi"/>
                <w:sz w:val="18"/>
                <w:szCs w:val="18"/>
              </w:rPr>
            </w:pPr>
            <w:r w:rsidRPr="007C4D65">
              <w:rPr>
                <w:rFonts w:asciiTheme="minorHAnsi" w:hAnsiTheme="minorHAnsi" w:cstheme="minorHAnsi"/>
                <w:sz w:val="18"/>
                <w:szCs w:val="18"/>
                <w:lang w:val="hr-HR" w:bidi="en-US"/>
              </w:rPr>
              <w:t xml:space="preserve">An organisational unit notminated for capacity building and development of ne staffing plans </w:t>
            </w:r>
            <w:r w:rsidRPr="007C4D65">
              <w:rPr>
                <w:rFonts w:asciiTheme="minorHAnsi" w:eastAsia="Calibri" w:hAnsiTheme="minorHAnsi" w:cstheme="minorHAnsi"/>
                <w:sz w:val="18"/>
                <w:szCs w:val="18"/>
                <w:lang w:val="hr-HR"/>
              </w:rPr>
              <w:t>(2026.)</w:t>
            </w:r>
          </w:p>
        </w:tc>
      </w:tr>
      <w:tr w:rsidR="00E42F38" w:rsidRPr="007C4D65" w14:paraId="53D4F3B2" w14:textId="77777777" w:rsidTr="00B6017F">
        <w:trPr>
          <w:trHeight w:val="287"/>
        </w:trPr>
        <w:tc>
          <w:tcPr>
            <w:tcW w:w="708" w:type="pct"/>
            <w:vMerge/>
            <w:shd w:val="clear" w:color="auto" w:fill="D9D9D9"/>
            <w:vAlign w:val="center"/>
          </w:tcPr>
          <w:p w14:paraId="7F644B3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5A5D8C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67AA191"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4) Status of the preparation and adoption of the documents coordinating the work of inspection bodies, which should contribute to coordination of the work of environmental and other inspections</w:t>
            </w:r>
          </w:p>
        </w:tc>
        <w:tc>
          <w:tcPr>
            <w:tcW w:w="1159" w:type="pct"/>
            <w:shd w:val="clear" w:color="auto" w:fill="FFFFFF"/>
            <w:tcMar>
              <w:top w:w="0" w:type="dxa"/>
              <w:left w:w="108" w:type="dxa"/>
              <w:bottom w:w="0" w:type="dxa"/>
              <w:right w:w="108" w:type="dxa"/>
            </w:tcMar>
            <w:vAlign w:val="center"/>
          </w:tcPr>
          <w:p w14:paraId="2994E589"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document has not been prepared</w:t>
            </w:r>
          </w:p>
        </w:tc>
        <w:tc>
          <w:tcPr>
            <w:tcW w:w="1159" w:type="pct"/>
            <w:shd w:val="clear" w:color="auto" w:fill="FFFFFF"/>
            <w:vAlign w:val="center"/>
          </w:tcPr>
          <w:p w14:paraId="5036728A"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The document on coordinated action of inspection authorities prepared and adopted (2024)</w:t>
            </w:r>
          </w:p>
        </w:tc>
      </w:tr>
      <w:tr w:rsidR="00E42F38" w:rsidRPr="007C4D65" w14:paraId="11733D1E" w14:textId="77777777" w:rsidTr="00B6017F">
        <w:trPr>
          <w:trHeight w:val="483"/>
        </w:trPr>
        <w:tc>
          <w:tcPr>
            <w:tcW w:w="708" w:type="pct"/>
            <w:vMerge/>
            <w:shd w:val="clear" w:color="auto" w:fill="D9D9D9"/>
            <w:vAlign w:val="center"/>
            <w:hideMark/>
          </w:tcPr>
          <w:p w14:paraId="2B95CC28"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2CC5E1D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3E76B221" w14:textId="149E8D4D"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6A9C637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0CA0D760"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4FA7D249" w14:textId="77777777" w:rsidTr="00B6017F">
        <w:trPr>
          <w:trHeight w:val="287"/>
        </w:trPr>
        <w:tc>
          <w:tcPr>
            <w:tcW w:w="708" w:type="pct"/>
            <w:vMerge/>
            <w:shd w:val="clear" w:color="auto" w:fill="D9D9D9"/>
            <w:vAlign w:val="center"/>
            <w:hideMark/>
          </w:tcPr>
          <w:p w14:paraId="0CFC671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4A0AAF5F"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6F6B232"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0.024</w:t>
            </w:r>
          </w:p>
        </w:tc>
        <w:tc>
          <w:tcPr>
            <w:tcW w:w="1159" w:type="pct"/>
            <w:tcMar>
              <w:top w:w="0" w:type="dxa"/>
              <w:left w:w="108" w:type="dxa"/>
              <w:bottom w:w="0" w:type="dxa"/>
              <w:right w:w="108" w:type="dxa"/>
            </w:tcMar>
            <w:vAlign w:val="center"/>
          </w:tcPr>
          <w:p w14:paraId="111EE41C"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0.099</w:t>
            </w:r>
          </w:p>
        </w:tc>
        <w:tc>
          <w:tcPr>
            <w:tcW w:w="1159" w:type="pct"/>
            <w:tcMar>
              <w:top w:w="0" w:type="dxa"/>
              <w:left w:w="108" w:type="dxa"/>
              <w:bottom w:w="0" w:type="dxa"/>
              <w:right w:w="108" w:type="dxa"/>
            </w:tcMar>
            <w:vAlign w:val="center"/>
          </w:tcPr>
          <w:p w14:paraId="6921C5A2"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0.124</w:t>
            </w:r>
          </w:p>
        </w:tc>
      </w:tr>
      <w:tr w:rsidR="00E42F38" w:rsidRPr="007C4D65" w14:paraId="34CAB5B8"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743B0CB7"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7.3.4 Measure</w:t>
            </w:r>
          </w:p>
        </w:tc>
        <w:tc>
          <w:tcPr>
            <w:tcW w:w="815" w:type="pct"/>
            <w:vMerge w:val="restart"/>
            <w:tcMar>
              <w:top w:w="0" w:type="dxa"/>
              <w:left w:w="108" w:type="dxa"/>
              <w:bottom w:w="0" w:type="dxa"/>
              <w:right w:w="108" w:type="dxa"/>
            </w:tcMar>
            <w:vAlign w:val="center"/>
          </w:tcPr>
          <w:p w14:paraId="1863AC4A"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Creation of effective teams in the environmental institutions, including teams for the preparation and implementation of environmental projects  </w:t>
            </w:r>
          </w:p>
        </w:tc>
        <w:tc>
          <w:tcPr>
            <w:tcW w:w="1159" w:type="pct"/>
            <w:shd w:val="clear" w:color="auto" w:fill="D9D9D9"/>
            <w:tcMar>
              <w:top w:w="0" w:type="dxa"/>
              <w:left w:w="108" w:type="dxa"/>
              <w:bottom w:w="0" w:type="dxa"/>
              <w:right w:w="108" w:type="dxa"/>
            </w:tcMar>
            <w:vAlign w:val="center"/>
            <w:hideMark/>
          </w:tcPr>
          <w:p w14:paraId="42D54443"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0AA88CB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7F2B222B"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4CF1F249" w14:textId="77777777" w:rsidTr="00B6017F">
        <w:trPr>
          <w:trHeight w:val="287"/>
        </w:trPr>
        <w:tc>
          <w:tcPr>
            <w:tcW w:w="708" w:type="pct"/>
            <w:vMerge/>
            <w:shd w:val="clear" w:color="auto" w:fill="D9D9D9"/>
            <w:vAlign w:val="center"/>
          </w:tcPr>
          <w:p w14:paraId="5FAA3579"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FD256C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358A2E7"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Assessment of the needs for professional development</w:t>
            </w:r>
          </w:p>
        </w:tc>
        <w:tc>
          <w:tcPr>
            <w:tcW w:w="1159" w:type="pct"/>
            <w:shd w:val="clear" w:color="auto" w:fill="FFFFFF"/>
            <w:tcMar>
              <w:top w:w="0" w:type="dxa"/>
              <w:left w:w="108" w:type="dxa"/>
              <w:bottom w:w="0" w:type="dxa"/>
              <w:right w:w="108" w:type="dxa"/>
            </w:tcMar>
            <w:vAlign w:val="center"/>
          </w:tcPr>
          <w:p w14:paraId="5A6E6D1B"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assessment has not been performed.</w:t>
            </w:r>
          </w:p>
        </w:tc>
        <w:tc>
          <w:tcPr>
            <w:tcW w:w="1159" w:type="pct"/>
            <w:shd w:val="clear" w:color="auto" w:fill="FFFFFF"/>
            <w:vAlign w:val="center"/>
          </w:tcPr>
          <w:p w14:paraId="595C81F1"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The assessment of the needs for professional development completed (2024)</w:t>
            </w:r>
          </w:p>
        </w:tc>
      </w:tr>
      <w:tr w:rsidR="00E42F38" w:rsidRPr="007C4D65" w14:paraId="094D83A5" w14:textId="77777777" w:rsidTr="00B6017F">
        <w:trPr>
          <w:trHeight w:val="287"/>
        </w:trPr>
        <w:tc>
          <w:tcPr>
            <w:tcW w:w="708" w:type="pct"/>
            <w:vMerge/>
            <w:shd w:val="clear" w:color="auto" w:fill="D9D9D9"/>
            <w:vAlign w:val="center"/>
          </w:tcPr>
          <w:p w14:paraId="78E8BE6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3DD2DC4"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7318275"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Conducting trainings in accordance with the Professional Training Plan</w:t>
            </w:r>
          </w:p>
        </w:tc>
        <w:tc>
          <w:tcPr>
            <w:tcW w:w="1159" w:type="pct"/>
            <w:shd w:val="clear" w:color="auto" w:fill="FFFFFF"/>
            <w:tcMar>
              <w:top w:w="0" w:type="dxa"/>
              <w:left w:w="108" w:type="dxa"/>
              <w:bottom w:w="0" w:type="dxa"/>
              <w:right w:w="108" w:type="dxa"/>
            </w:tcMar>
            <w:vAlign w:val="center"/>
          </w:tcPr>
          <w:p w14:paraId="31669C92"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Some trainings have been provided, but there is a room for improvement and the need for a more systemic approach </w:t>
            </w:r>
          </w:p>
        </w:tc>
        <w:tc>
          <w:tcPr>
            <w:tcW w:w="1159" w:type="pct"/>
            <w:shd w:val="clear" w:color="auto" w:fill="FFFFFF"/>
            <w:vAlign w:val="center"/>
          </w:tcPr>
          <w:p w14:paraId="48914D41"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All trainings conducted as planned (2030)</w:t>
            </w:r>
          </w:p>
        </w:tc>
      </w:tr>
      <w:tr w:rsidR="00E42F38" w:rsidRPr="007C4D65" w14:paraId="65C4A991" w14:textId="77777777" w:rsidTr="00B6017F">
        <w:trPr>
          <w:trHeight w:val="287"/>
        </w:trPr>
        <w:tc>
          <w:tcPr>
            <w:tcW w:w="708" w:type="pct"/>
            <w:vMerge/>
            <w:shd w:val="clear" w:color="auto" w:fill="D9D9D9"/>
            <w:vAlign w:val="center"/>
          </w:tcPr>
          <w:p w14:paraId="7DBFF9EC"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8E3E0A6"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92E1B57"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Number of institutions which formed teams for the preparation and implementation of environmental projects  </w:t>
            </w:r>
          </w:p>
        </w:tc>
        <w:tc>
          <w:tcPr>
            <w:tcW w:w="1159" w:type="pct"/>
            <w:shd w:val="clear" w:color="auto" w:fill="FFFFFF"/>
            <w:tcMar>
              <w:top w:w="0" w:type="dxa"/>
              <w:left w:w="108" w:type="dxa"/>
              <w:bottom w:w="0" w:type="dxa"/>
              <w:right w:w="108" w:type="dxa"/>
            </w:tcMar>
            <w:vAlign w:val="center"/>
          </w:tcPr>
          <w:p w14:paraId="28DBCD0C" w14:textId="61725A8C"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2 institutions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 and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Agriculture, Water Management and Forestry)</w:t>
            </w:r>
          </w:p>
        </w:tc>
        <w:tc>
          <w:tcPr>
            <w:tcW w:w="1159" w:type="pct"/>
            <w:shd w:val="clear" w:color="auto" w:fill="FFFFFF"/>
            <w:vAlign w:val="center"/>
          </w:tcPr>
          <w:p w14:paraId="1356032E"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All the key institutions created teams for the preparation and implementation of projects (2026)</w:t>
            </w:r>
          </w:p>
        </w:tc>
      </w:tr>
      <w:tr w:rsidR="00E42F38" w:rsidRPr="007C4D65" w14:paraId="1F3AD85A" w14:textId="77777777" w:rsidTr="00B6017F">
        <w:trPr>
          <w:trHeight w:val="483"/>
        </w:trPr>
        <w:tc>
          <w:tcPr>
            <w:tcW w:w="708" w:type="pct"/>
            <w:vMerge/>
            <w:shd w:val="clear" w:color="auto" w:fill="D9D9D9"/>
            <w:vAlign w:val="center"/>
            <w:hideMark/>
          </w:tcPr>
          <w:p w14:paraId="44A9FFCF"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48C783C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2916A855" w14:textId="7C0BDCE8"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65448C35"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11C3CA76"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66BA87F8" w14:textId="77777777" w:rsidTr="00B6017F">
        <w:trPr>
          <w:trHeight w:val="287"/>
        </w:trPr>
        <w:tc>
          <w:tcPr>
            <w:tcW w:w="708" w:type="pct"/>
            <w:vMerge/>
            <w:shd w:val="clear" w:color="auto" w:fill="D9D9D9"/>
            <w:vAlign w:val="center"/>
            <w:hideMark/>
          </w:tcPr>
          <w:p w14:paraId="2F8AB31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77061EC6"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0D77775"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0.029</w:t>
            </w:r>
          </w:p>
        </w:tc>
        <w:tc>
          <w:tcPr>
            <w:tcW w:w="1159" w:type="pct"/>
            <w:tcMar>
              <w:top w:w="0" w:type="dxa"/>
              <w:left w:w="108" w:type="dxa"/>
              <w:bottom w:w="0" w:type="dxa"/>
              <w:right w:w="108" w:type="dxa"/>
            </w:tcMar>
            <w:vAlign w:val="center"/>
          </w:tcPr>
          <w:p w14:paraId="250EA224"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0.119</w:t>
            </w:r>
          </w:p>
        </w:tc>
        <w:tc>
          <w:tcPr>
            <w:tcW w:w="1159" w:type="pct"/>
            <w:tcMar>
              <w:top w:w="0" w:type="dxa"/>
              <w:left w:w="108" w:type="dxa"/>
              <w:bottom w:w="0" w:type="dxa"/>
              <w:right w:w="108" w:type="dxa"/>
            </w:tcMar>
            <w:vAlign w:val="center"/>
          </w:tcPr>
          <w:p w14:paraId="3D6F025D"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0.149</w:t>
            </w:r>
          </w:p>
        </w:tc>
      </w:tr>
    </w:tbl>
    <w:p w14:paraId="1CFF1B4C" w14:textId="77777777" w:rsidR="00E42F38" w:rsidRPr="007C4D65" w:rsidRDefault="00E42F38" w:rsidP="00E42F38">
      <w:pPr>
        <w:spacing w:line="276" w:lineRule="auto"/>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975"/>
        <w:gridCol w:w="2270"/>
        <w:gridCol w:w="3231"/>
        <w:gridCol w:w="3231"/>
        <w:gridCol w:w="3231"/>
      </w:tblGrid>
      <w:tr w:rsidR="00E42F38" w:rsidRPr="007C4D65" w14:paraId="049C8A51" w14:textId="77777777" w:rsidTr="00B6017F">
        <w:trPr>
          <w:trHeight w:val="384"/>
        </w:trPr>
        <w:tc>
          <w:tcPr>
            <w:tcW w:w="708" w:type="pct"/>
            <w:vMerge w:val="restart"/>
            <w:shd w:val="clear" w:color="auto" w:fill="D9D9D9"/>
            <w:tcMar>
              <w:top w:w="0" w:type="dxa"/>
              <w:left w:w="108" w:type="dxa"/>
              <w:bottom w:w="0" w:type="dxa"/>
              <w:right w:w="108" w:type="dxa"/>
            </w:tcMar>
            <w:vAlign w:val="center"/>
          </w:tcPr>
          <w:p w14:paraId="01C70329"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7.4 Priority</w:t>
            </w:r>
          </w:p>
          <w:p w14:paraId="4AD0F97C"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restart"/>
            <w:tcMar>
              <w:top w:w="0" w:type="dxa"/>
              <w:left w:w="108" w:type="dxa"/>
              <w:bottom w:w="0" w:type="dxa"/>
              <w:right w:w="108" w:type="dxa"/>
            </w:tcMar>
            <w:vAlign w:val="center"/>
          </w:tcPr>
          <w:p w14:paraId="4DFFEFBA" w14:textId="0AF02556" w:rsidR="00E42F38" w:rsidRPr="007C4D65" w:rsidRDefault="00A323B2" w:rsidP="00E42F38">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lastRenderedPageBreak/>
              <w:t xml:space="preserve">Ensuring strong public awareness on the importance of the environmental protection and their engagement in </w:t>
            </w:r>
            <w:r w:rsidR="009F16BA" w:rsidRPr="007C4D65">
              <w:rPr>
                <w:rFonts w:asciiTheme="minorHAnsi" w:hAnsiTheme="minorHAnsi" w:cstheme="minorHAnsi"/>
                <w:b/>
                <w:sz w:val="18"/>
              </w:rPr>
              <w:t xml:space="preserve">decision-making  </w:t>
            </w:r>
            <w:r w:rsidRPr="007C4D65">
              <w:rPr>
                <w:rFonts w:asciiTheme="minorHAnsi" w:hAnsiTheme="minorHAnsi" w:cstheme="minorHAnsi"/>
                <w:b/>
                <w:sz w:val="18"/>
              </w:rPr>
              <w:t xml:space="preserve"> processes, focusing on women, youth and socially vulnerable groups</w:t>
            </w:r>
          </w:p>
        </w:tc>
        <w:tc>
          <w:tcPr>
            <w:tcW w:w="1159" w:type="pct"/>
            <w:shd w:val="clear" w:color="auto" w:fill="D9D9D9"/>
            <w:tcMar>
              <w:top w:w="0" w:type="dxa"/>
              <w:left w:w="108" w:type="dxa"/>
              <w:bottom w:w="0" w:type="dxa"/>
              <w:right w:w="108" w:type="dxa"/>
            </w:tcMar>
            <w:vAlign w:val="center"/>
          </w:tcPr>
          <w:p w14:paraId="6E9C8FB4" w14:textId="77777777" w:rsidR="00E42F38" w:rsidRPr="007C4D65" w:rsidRDefault="00E42F38" w:rsidP="00E42F38">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0741E421"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05D983A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0B92788E" w14:textId="77777777" w:rsidTr="00B6017F">
        <w:trPr>
          <w:trHeight w:val="287"/>
        </w:trPr>
        <w:tc>
          <w:tcPr>
            <w:tcW w:w="708" w:type="pct"/>
            <w:vMerge/>
            <w:shd w:val="clear" w:color="auto" w:fill="D9D9D9"/>
            <w:vAlign w:val="center"/>
            <w:hideMark/>
          </w:tcPr>
          <w:p w14:paraId="0473077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hideMark/>
          </w:tcPr>
          <w:p w14:paraId="4BF12E8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E91C408" w14:textId="3FE8C93C"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Public awareness on the importance of environmental protection and their participation in </w:t>
            </w:r>
            <w:r w:rsidR="009F16BA" w:rsidRPr="007C4D65">
              <w:rPr>
                <w:rFonts w:asciiTheme="minorHAnsi" w:hAnsiTheme="minorHAnsi" w:cstheme="minorHAnsi"/>
                <w:sz w:val="18"/>
              </w:rPr>
              <w:t xml:space="preserve">decision-making  </w:t>
            </w:r>
            <w:r w:rsidRPr="007C4D65">
              <w:rPr>
                <w:rFonts w:asciiTheme="minorHAnsi" w:hAnsiTheme="minorHAnsi" w:cstheme="minorHAnsi"/>
                <w:sz w:val="18"/>
              </w:rPr>
              <w:t xml:space="preserve"> processes</w:t>
            </w:r>
          </w:p>
        </w:tc>
        <w:tc>
          <w:tcPr>
            <w:tcW w:w="1159" w:type="pct"/>
            <w:tcMar>
              <w:top w:w="0" w:type="dxa"/>
              <w:left w:w="108" w:type="dxa"/>
              <w:bottom w:w="0" w:type="dxa"/>
              <w:right w:w="108" w:type="dxa"/>
            </w:tcMar>
            <w:vAlign w:val="center"/>
          </w:tcPr>
          <w:p w14:paraId="391A5773"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Low public awareness about environmental </w:t>
            </w:r>
            <w:proofErr w:type="gramStart"/>
            <w:r w:rsidRPr="007C4D65">
              <w:rPr>
                <w:rFonts w:asciiTheme="minorHAnsi" w:hAnsiTheme="minorHAnsi" w:cstheme="minorHAnsi"/>
                <w:sz w:val="18"/>
              </w:rPr>
              <w:t>protection;</w:t>
            </w:r>
            <w:proofErr w:type="gramEnd"/>
          </w:p>
          <w:p w14:paraId="4299AA06"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Lack of </w:t>
            </w:r>
            <w:proofErr w:type="gramStart"/>
            <w:r w:rsidRPr="007C4D65">
              <w:rPr>
                <w:rFonts w:asciiTheme="minorHAnsi" w:hAnsiTheme="minorHAnsi" w:cstheme="minorHAnsi"/>
                <w:sz w:val="18"/>
              </w:rPr>
              <w:t>long term</w:t>
            </w:r>
            <w:proofErr w:type="gramEnd"/>
            <w:r w:rsidRPr="007C4D65">
              <w:rPr>
                <w:rFonts w:asciiTheme="minorHAnsi" w:hAnsiTheme="minorHAnsi" w:cstheme="minorHAnsi"/>
                <w:sz w:val="18"/>
              </w:rPr>
              <w:t xml:space="preserve"> educational programmes and campaigns aimed at raising the awareness about the issues of environmental protection (2021)</w:t>
            </w:r>
          </w:p>
        </w:tc>
        <w:tc>
          <w:tcPr>
            <w:tcW w:w="1159" w:type="pct"/>
            <w:tcMar>
              <w:top w:w="0" w:type="dxa"/>
              <w:left w:w="108" w:type="dxa"/>
              <w:bottom w:w="0" w:type="dxa"/>
              <w:right w:w="108" w:type="dxa"/>
            </w:tcMar>
            <w:vAlign w:val="center"/>
          </w:tcPr>
          <w:p w14:paraId="1C1C7A74" w14:textId="3242DE3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Strong public awareness on the importance of the environmental protection and their participation in </w:t>
            </w:r>
            <w:r w:rsidR="009F16BA" w:rsidRPr="007C4D65">
              <w:rPr>
                <w:rFonts w:asciiTheme="minorHAnsi" w:hAnsiTheme="minorHAnsi" w:cstheme="minorHAnsi"/>
                <w:sz w:val="18"/>
              </w:rPr>
              <w:t xml:space="preserve">decision-making  </w:t>
            </w:r>
            <w:r w:rsidRPr="007C4D65">
              <w:rPr>
                <w:rFonts w:asciiTheme="minorHAnsi" w:hAnsiTheme="minorHAnsi" w:cstheme="minorHAnsi"/>
                <w:sz w:val="18"/>
              </w:rPr>
              <w:t xml:space="preserve"> processes, focusing on the engagement of women, youth and socially vulnerable groups secured (2030)</w:t>
            </w:r>
          </w:p>
        </w:tc>
      </w:tr>
      <w:tr w:rsidR="00E42F38" w:rsidRPr="007C4D65" w14:paraId="26B72996" w14:textId="77777777" w:rsidTr="00B6017F">
        <w:trPr>
          <w:trHeight w:val="287"/>
        </w:trPr>
        <w:tc>
          <w:tcPr>
            <w:tcW w:w="708" w:type="pct"/>
            <w:vMerge/>
            <w:shd w:val="clear" w:color="auto" w:fill="D9D9D9"/>
            <w:vAlign w:val="center"/>
          </w:tcPr>
          <w:p w14:paraId="0D278CD9"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4153093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29957F83" w14:textId="068C96A9"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Public participation in environmental </w:t>
            </w:r>
            <w:r w:rsidR="009F16BA" w:rsidRPr="007C4D65">
              <w:rPr>
                <w:rFonts w:asciiTheme="minorHAnsi" w:hAnsiTheme="minorHAnsi" w:cstheme="minorHAnsi"/>
                <w:sz w:val="18"/>
              </w:rPr>
              <w:t>decision-</w:t>
            </w:r>
            <w:proofErr w:type="gramStart"/>
            <w:r w:rsidR="009F16BA" w:rsidRPr="007C4D65">
              <w:rPr>
                <w:rFonts w:asciiTheme="minorHAnsi" w:hAnsiTheme="minorHAnsi" w:cstheme="minorHAnsi"/>
                <w:sz w:val="18"/>
              </w:rPr>
              <w:t xml:space="preserve">making  </w:t>
            </w:r>
            <w:r w:rsidRPr="007C4D65">
              <w:rPr>
                <w:rFonts w:asciiTheme="minorHAnsi" w:hAnsiTheme="minorHAnsi" w:cstheme="minorHAnsi"/>
                <w:sz w:val="18"/>
              </w:rPr>
              <w:t>,</w:t>
            </w:r>
            <w:proofErr w:type="gramEnd"/>
            <w:r w:rsidRPr="007C4D65">
              <w:rPr>
                <w:rFonts w:asciiTheme="minorHAnsi" w:hAnsiTheme="minorHAnsi" w:cstheme="minorHAnsi"/>
                <w:sz w:val="18"/>
              </w:rPr>
              <w:t xml:space="preserve"> especially in environmental impact assessments and environmental permitting procedures</w:t>
            </w:r>
          </w:p>
        </w:tc>
        <w:tc>
          <w:tcPr>
            <w:tcW w:w="1159" w:type="pct"/>
            <w:tcMar>
              <w:top w:w="0" w:type="dxa"/>
              <w:left w:w="108" w:type="dxa"/>
              <w:bottom w:w="0" w:type="dxa"/>
              <w:right w:w="108" w:type="dxa"/>
            </w:tcMar>
            <w:vAlign w:val="center"/>
          </w:tcPr>
          <w:p w14:paraId="67499A15" w14:textId="54E935F2"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Poor public participation and poor quality of public consultations in </w:t>
            </w:r>
            <w:r w:rsidR="009F16BA" w:rsidRPr="007C4D65">
              <w:rPr>
                <w:rFonts w:asciiTheme="minorHAnsi" w:hAnsiTheme="minorHAnsi" w:cstheme="minorHAnsi"/>
                <w:sz w:val="18"/>
              </w:rPr>
              <w:t xml:space="preserve">decision-making  </w:t>
            </w:r>
            <w:r w:rsidRPr="007C4D65">
              <w:rPr>
                <w:rFonts w:asciiTheme="minorHAnsi" w:hAnsiTheme="minorHAnsi" w:cstheme="minorHAnsi"/>
                <w:sz w:val="18"/>
              </w:rPr>
              <w:t xml:space="preserve"> processes (especially the processes of environmental impact assessment, environmental permitting, preparation of laws, </w:t>
            </w:r>
            <w:r w:rsidR="00B80FAD" w:rsidRPr="007C4D65">
              <w:rPr>
                <w:rFonts w:asciiTheme="minorHAnsi" w:hAnsiTheme="minorHAnsi" w:cstheme="minorHAnsi"/>
                <w:sz w:val="18"/>
              </w:rPr>
              <w:t>bylaw</w:t>
            </w:r>
            <w:r w:rsidRPr="007C4D65">
              <w:rPr>
                <w:rFonts w:asciiTheme="minorHAnsi" w:hAnsiTheme="minorHAnsi" w:cstheme="minorHAnsi"/>
                <w:sz w:val="18"/>
              </w:rPr>
              <w:t xml:space="preserve">s and other legal acts, </w:t>
            </w:r>
            <w:proofErr w:type="gramStart"/>
            <w:r w:rsidRPr="007C4D65">
              <w:rPr>
                <w:rFonts w:asciiTheme="minorHAnsi" w:hAnsiTheme="minorHAnsi" w:cstheme="minorHAnsi"/>
                <w:sz w:val="18"/>
              </w:rPr>
              <w:t>etc..</w:t>
            </w:r>
            <w:proofErr w:type="gramEnd"/>
            <w:r w:rsidRPr="007C4D65">
              <w:rPr>
                <w:rFonts w:asciiTheme="minorHAnsi" w:hAnsiTheme="minorHAnsi" w:cstheme="minorHAnsi"/>
                <w:sz w:val="18"/>
              </w:rPr>
              <w:t xml:space="preserve">) Young people do not participate in </w:t>
            </w:r>
            <w:r w:rsidR="009F16BA" w:rsidRPr="007C4D65">
              <w:rPr>
                <w:rFonts w:asciiTheme="minorHAnsi" w:hAnsiTheme="minorHAnsi" w:cstheme="minorHAnsi"/>
                <w:sz w:val="18"/>
              </w:rPr>
              <w:t xml:space="preserve">decision-making  </w:t>
            </w:r>
            <w:r w:rsidRPr="007C4D65">
              <w:rPr>
                <w:rFonts w:asciiTheme="minorHAnsi" w:hAnsiTheme="minorHAnsi" w:cstheme="minorHAnsi"/>
                <w:sz w:val="18"/>
              </w:rPr>
              <w:t xml:space="preserve"> processes, as required by the Law on Youth of the Federation of Bosnia and Herzegovina (2021)</w:t>
            </w:r>
          </w:p>
        </w:tc>
        <w:tc>
          <w:tcPr>
            <w:tcW w:w="1159" w:type="pct"/>
            <w:tcMar>
              <w:top w:w="0" w:type="dxa"/>
              <w:left w:w="108" w:type="dxa"/>
              <w:bottom w:w="0" w:type="dxa"/>
              <w:right w:w="108" w:type="dxa"/>
            </w:tcMar>
            <w:vAlign w:val="center"/>
          </w:tcPr>
          <w:p w14:paraId="0DA8FB23" w14:textId="56C288E5"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Access to information and effective public participation in environmental </w:t>
            </w:r>
            <w:r w:rsidR="009F16BA" w:rsidRPr="007C4D65">
              <w:rPr>
                <w:rFonts w:asciiTheme="minorHAnsi" w:hAnsiTheme="minorHAnsi" w:cstheme="minorHAnsi"/>
                <w:sz w:val="18"/>
              </w:rPr>
              <w:t xml:space="preserve">decision-making </w:t>
            </w:r>
            <w:proofErr w:type="gramStart"/>
            <w:r w:rsidR="009F16BA" w:rsidRPr="007C4D65">
              <w:rPr>
                <w:rFonts w:asciiTheme="minorHAnsi" w:hAnsiTheme="minorHAnsi" w:cstheme="minorHAnsi"/>
                <w:sz w:val="18"/>
              </w:rPr>
              <w:t xml:space="preserve"> </w:t>
            </w:r>
            <w:r w:rsidRPr="007C4D65">
              <w:rPr>
                <w:rFonts w:asciiTheme="minorHAnsi" w:hAnsiTheme="minorHAnsi" w:cstheme="minorHAnsi"/>
                <w:sz w:val="18"/>
              </w:rPr>
              <w:t xml:space="preserve"> ,</w:t>
            </w:r>
            <w:proofErr w:type="gramEnd"/>
            <w:r w:rsidRPr="007C4D65">
              <w:rPr>
                <w:rFonts w:asciiTheme="minorHAnsi" w:hAnsiTheme="minorHAnsi" w:cstheme="minorHAnsi"/>
                <w:sz w:val="18"/>
              </w:rPr>
              <w:t xml:space="preserve"> especially in environmental impact assessments and environmental permitting procedures secured (2025)</w:t>
            </w:r>
          </w:p>
        </w:tc>
      </w:tr>
      <w:tr w:rsidR="00E42F38" w:rsidRPr="007C4D65" w14:paraId="62362754" w14:textId="77777777" w:rsidTr="00B6017F">
        <w:trPr>
          <w:trHeight w:val="287"/>
        </w:trPr>
        <w:tc>
          <w:tcPr>
            <w:tcW w:w="708" w:type="pct"/>
            <w:vMerge/>
            <w:shd w:val="clear" w:color="auto" w:fill="D9D9D9"/>
            <w:vAlign w:val="center"/>
          </w:tcPr>
          <w:p w14:paraId="5BC317F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667C1D1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2754044"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Consistency of the preparation and publication of environmental performance reports in the Federation of Bosnia and Herzegovina</w:t>
            </w:r>
          </w:p>
        </w:tc>
        <w:tc>
          <w:tcPr>
            <w:tcW w:w="1159" w:type="pct"/>
            <w:tcMar>
              <w:top w:w="0" w:type="dxa"/>
              <w:left w:w="108" w:type="dxa"/>
              <w:bottom w:w="0" w:type="dxa"/>
              <w:right w:w="108" w:type="dxa"/>
            </w:tcMar>
            <w:vAlign w:val="center"/>
          </w:tcPr>
          <w:p w14:paraId="272F5808"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Inconsistent preparation, public communication, and reporting on the state of the environment in the Federation of Bosnia and Herzegovina (2021)</w:t>
            </w:r>
          </w:p>
        </w:tc>
        <w:tc>
          <w:tcPr>
            <w:tcW w:w="1159" w:type="pct"/>
            <w:tcMar>
              <w:top w:w="0" w:type="dxa"/>
              <w:left w:w="108" w:type="dxa"/>
              <w:bottom w:w="0" w:type="dxa"/>
              <w:right w:w="108" w:type="dxa"/>
            </w:tcMar>
            <w:vAlign w:val="center"/>
          </w:tcPr>
          <w:p w14:paraId="5E50F0E3"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Reporting on the state of environment in the Federation of BiH consistent, </w:t>
            </w:r>
            <w:proofErr w:type="gramStart"/>
            <w:r w:rsidRPr="007C4D65">
              <w:rPr>
                <w:rFonts w:asciiTheme="minorHAnsi" w:hAnsiTheme="minorHAnsi" w:cstheme="minorHAnsi"/>
                <w:sz w:val="18"/>
              </w:rPr>
              <w:t>high quality</w:t>
            </w:r>
            <w:proofErr w:type="gramEnd"/>
            <w:r w:rsidRPr="007C4D65">
              <w:rPr>
                <w:rFonts w:asciiTheme="minorHAnsi" w:hAnsiTheme="minorHAnsi" w:cstheme="minorHAnsi"/>
                <w:sz w:val="18"/>
              </w:rPr>
              <w:t xml:space="preserve"> reports publicly available (2026)</w:t>
            </w:r>
          </w:p>
        </w:tc>
      </w:tr>
      <w:tr w:rsidR="00E42F38" w:rsidRPr="007C4D65" w14:paraId="36DF5562" w14:textId="77777777" w:rsidTr="00B6017F">
        <w:trPr>
          <w:trHeight w:val="287"/>
        </w:trPr>
        <w:tc>
          <w:tcPr>
            <w:tcW w:w="708" w:type="pct"/>
            <w:vMerge/>
            <w:shd w:val="clear" w:color="auto" w:fill="D9D9D9"/>
            <w:vAlign w:val="center"/>
            <w:hideMark/>
          </w:tcPr>
          <w:p w14:paraId="528FACD0"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hideMark/>
          </w:tcPr>
          <w:p w14:paraId="6CE5859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3C4316D9" w14:textId="5A5F189F" w:rsidR="00E42F38" w:rsidRPr="007C4D65" w:rsidRDefault="00A1247E"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74D05BC5"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785D85B4"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478D9421" w14:textId="77777777" w:rsidTr="00B6017F">
        <w:trPr>
          <w:trHeight w:val="287"/>
        </w:trPr>
        <w:tc>
          <w:tcPr>
            <w:tcW w:w="708" w:type="pct"/>
            <w:vMerge/>
            <w:shd w:val="clear" w:color="auto" w:fill="D9D9D9"/>
            <w:vAlign w:val="center"/>
          </w:tcPr>
          <w:p w14:paraId="30DB6858"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6C3EC657"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F4BF7A9"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0.296</w:t>
            </w:r>
          </w:p>
        </w:tc>
        <w:tc>
          <w:tcPr>
            <w:tcW w:w="1159" w:type="pct"/>
            <w:tcMar>
              <w:top w:w="0" w:type="dxa"/>
              <w:left w:w="108" w:type="dxa"/>
              <w:bottom w:w="0" w:type="dxa"/>
              <w:right w:w="108" w:type="dxa"/>
            </w:tcMar>
            <w:vAlign w:val="center"/>
          </w:tcPr>
          <w:p w14:paraId="6068D234"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0.525</w:t>
            </w:r>
          </w:p>
        </w:tc>
        <w:tc>
          <w:tcPr>
            <w:tcW w:w="1159" w:type="pct"/>
            <w:tcMar>
              <w:top w:w="0" w:type="dxa"/>
              <w:left w:w="108" w:type="dxa"/>
              <w:bottom w:w="0" w:type="dxa"/>
              <w:right w:w="108" w:type="dxa"/>
            </w:tcMar>
            <w:vAlign w:val="center"/>
          </w:tcPr>
          <w:p w14:paraId="3054FD7E"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0.822</w:t>
            </w:r>
          </w:p>
        </w:tc>
      </w:tr>
    </w:tbl>
    <w:p w14:paraId="1D788929" w14:textId="77777777" w:rsidR="00E42F38" w:rsidRPr="007C4D65" w:rsidRDefault="00E42F38" w:rsidP="00E42F38">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973"/>
        <w:gridCol w:w="2272"/>
        <w:gridCol w:w="3231"/>
        <w:gridCol w:w="3231"/>
        <w:gridCol w:w="3231"/>
      </w:tblGrid>
      <w:tr w:rsidR="00E42F38" w:rsidRPr="007C4D65" w14:paraId="1B501B6D"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3432B533"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7.4.1 Measure</w:t>
            </w:r>
          </w:p>
          <w:p w14:paraId="185E2E10"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restart"/>
            <w:tcMar>
              <w:top w:w="0" w:type="dxa"/>
              <w:left w:w="108" w:type="dxa"/>
              <w:bottom w:w="0" w:type="dxa"/>
              <w:right w:w="108" w:type="dxa"/>
            </w:tcMar>
            <w:vAlign w:val="center"/>
          </w:tcPr>
          <w:p w14:paraId="7019C8B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Education and raising awareness about the </w:t>
            </w:r>
            <w:proofErr w:type="gramStart"/>
            <w:r w:rsidRPr="007C4D65">
              <w:rPr>
                <w:rFonts w:asciiTheme="minorHAnsi" w:hAnsiTheme="minorHAnsi" w:cstheme="minorHAnsi"/>
                <w:sz w:val="18"/>
              </w:rPr>
              <w:t>need and importance of</w:t>
            </w:r>
            <w:proofErr w:type="gramEnd"/>
            <w:r w:rsidRPr="007C4D65">
              <w:rPr>
                <w:rFonts w:asciiTheme="minorHAnsi" w:hAnsiTheme="minorHAnsi" w:cstheme="minorHAnsi"/>
                <w:sz w:val="18"/>
              </w:rPr>
              <w:t xml:space="preserve"> environmental protection </w:t>
            </w:r>
          </w:p>
        </w:tc>
        <w:tc>
          <w:tcPr>
            <w:tcW w:w="1159" w:type="pct"/>
            <w:shd w:val="clear" w:color="auto" w:fill="D9D9D9"/>
            <w:tcMar>
              <w:top w:w="0" w:type="dxa"/>
              <w:left w:w="108" w:type="dxa"/>
              <w:bottom w:w="0" w:type="dxa"/>
              <w:right w:w="108" w:type="dxa"/>
            </w:tcMar>
            <w:vAlign w:val="center"/>
            <w:hideMark/>
          </w:tcPr>
          <w:p w14:paraId="283526F0"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1A2389C0"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606845F1"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79927B55" w14:textId="77777777" w:rsidTr="00B6017F">
        <w:trPr>
          <w:trHeight w:val="287"/>
        </w:trPr>
        <w:tc>
          <w:tcPr>
            <w:tcW w:w="708" w:type="pct"/>
            <w:vMerge/>
            <w:shd w:val="clear" w:color="auto" w:fill="D9D9D9"/>
            <w:vAlign w:val="center"/>
          </w:tcPr>
          <w:p w14:paraId="6B38D52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7E56079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56F1922"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Continuity of cooperation with media aimed at implementation of promotional activities  </w:t>
            </w:r>
          </w:p>
        </w:tc>
        <w:tc>
          <w:tcPr>
            <w:tcW w:w="1159" w:type="pct"/>
            <w:shd w:val="clear" w:color="auto" w:fill="FFFFFF"/>
            <w:tcMar>
              <w:top w:w="0" w:type="dxa"/>
              <w:left w:w="108" w:type="dxa"/>
              <w:bottom w:w="0" w:type="dxa"/>
              <w:right w:w="108" w:type="dxa"/>
            </w:tcMar>
            <w:vAlign w:val="center"/>
          </w:tcPr>
          <w:p w14:paraId="5223F402"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Lack of continuity of cooperation with media</w:t>
            </w:r>
          </w:p>
        </w:tc>
        <w:tc>
          <w:tcPr>
            <w:tcW w:w="1159" w:type="pct"/>
            <w:shd w:val="clear" w:color="auto" w:fill="FFFFFF"/>
            <w:vAlign w:val="center"/>
          </w:tcPr>
          <w:p w14:paraId="4854D594"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Continuous and intensive promotion of environmental protection in media ensured (continuously 2030+)</w:t>
            </w:r>
          </w:p>
        </w:tc>
      </w:tr>
      <w:tr w:rsidR="00E42F38" w:rsidRPr="007C4D65" w14:paraId="0EE7D600" w14:textId="77777777" w:rsidTr="00B6017F">
        <w:trPr>
          <w:trHeight w:val="287"/>
        </w:trPr>
        <w:tc>
          <w:tcPr>
            <w:tcW w:w="708" w:type="pct"/>
            <w:vMerge/>
            <w:shd w:val="clear" w:color="auto" w:fill="D9D9D9"/>
            <w:vAlign w:val="center"/>
          </w:tcPr>
          <w:p w14:paraId="039273A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246B863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C09B152"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Consistency and continuity in the implementation of education programmes and awareness raising </w:t>
            </w:r>
            <w:r w:rsidRPr="007C4D65">
              <w:rPr>
                <w:rFonts w:asciiTheme="minorHAnsi" w:hAnsiTheme="minorHAnsi" w:cstheme="minorHAnsi"/>
                <w:sz w:val="18"/>
              </w:rPr>
              <w:lastRenderedPageBreak/>
              <w:t xml:space="preserve">campaigns about the importance of environmental protection, significance and threat status of natural resources and correlation with climate change </w:t>
            </w:r>
          </w:p>
        </w:tc>
        <w:tc>
          <w:tcPr>
            <w:tcW w:w="1159" w:type="pct"/>
            <w:shd w:val="clear" w:color="auto" w:fill="FFFFFF"/>
            <w:tcMar>
              <w:top w:w="0" w:type="dxa"/>
              <w:left w:w="108" w:type="dxa"/>
              <w:bottom w:w="0" w:type="dxa"/>
              <w:right w:w="108" w:type="dxa"/>
            </w:tcMar>
            <w:vAlign w:val="center"/>
          </w:tcPr>
          <w:p w14:paraId="2AE4647E"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lastRenderedPageBreak/>
              <w:t>Educational programmes and campaigns have not been conducted regularly</w:t>
            </w:r>
          </w:p>
        </w:tc>
        <w:tc>
          <w:tcPr>
            <w:tcW w:w="1159" w:type="pct"/>
            <w:shd w:val="clear" w:color="auto" w:fill="FFFFFF"/>
            <w:vAlign w:val="center"/>
          </w:tcPr>
          <w:p w14:paraId="16EFF71D"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Regular and continuous educational programmes and raising awareness campaigns </w:t>
            </w:r>
            <w:proofErr w:type="gramStart"/>
            <w:r w:rsidRPr="007C4D65">
              <w:rPr>
                <w:rFonts w:asciiTheme="minorHAnsi" w:hAnsiTheme="minorHAnsi" w:cstheme="minorHAnsi"/>
                <w:sz w:val="18"/>
              </w:rPr>
              <w:t>about  the</w:t>
            </w:r>
            <w:proofErr w:type="gramEnd"/>
            <w:r w:rsidRPr="007C4D65">
              <w:rPr>
                <w:rFonts w:asciiTheme="minorHAnsi" w:hAnsiTheme="minorHAnsi" w:cstheme="minorHAnsi"/>
                <w:sz w:val="18"/>
              </w:rPr>
              <w:t xml:space="preserve"> importance of </w:t>
            </w:r>
            <w:r w:rsidRPr="007C4D65">
              <w:rPr>
                <w:rFonts w:asciiTheme="minorHAnsi" w:hAnsiTheme="minorHAnsi" w:cstheme="minorHAnsi"/>
                <w:sz w:val="18"/>
              </w:rPr>
              <w:lastRenderedPageBreak/>
              <w:t>environmental protection, and vulnerability of natural resources and their correlation with climate change (continuously 2030+)</w:t>
            </w:r>
          </w:p>
        </w:tc>
      </w:tr>
      <w:tr w:rsidR="00E42F38" w:rsidRPr="007C4D65" w14:paraId="663956A1" w14:textId="77777777" w:rsidTr="00B6017F">
        <w:trPr>
          <w:trHeight w:val="287"/>
        </w:trPr>
        <w:tc>
          <w:tcPr>
            <w:tcW w:w="708" w:type="pct"/>
            <w:vMerge/>
            <w:shd w:val="clear" w:color="auto" w:fill="D9D9D9"/>
            <w:vAlign w:val="center"/>
          </w:tcPr>
          <w:p w14:paraId="6F0975E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58FCBF5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3461F49"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proofErr w:type="gramStart"/>
            <w:r w:rsidRPr="007C4D65">
              <w:rPr>
                <w:rFonts w:asciiTheme="minorHAnsi" w:hAnsiTheme="minorHAnsi" w:cstheme="minorHAnsi"/>
                <w:sz w:val="18"/>
              </w:rPr>
              <w:t>Poor  cooperation</w:t>
            </w:r>
            <w:proofErr w:type="gramEnd"/>
            <w:r w:rsidRPr="007C4D65">
              <w:rPr>
                <w:rFonts w:asciiTheme="minorHAnsi" w:hAnsiTheme="minorHAnsi" w:cstheme="minorHAnsi"/>
                <w:sz w:val="18"/>
              </w:rPr>
              <w:t xml:space="preserve"> among the partner institutions on expanding the knowledge and skills and raising awareness about the links between the environment and gender dimension</w:t>
            </w:r>
          </w:p>
        </w:tc>
        <w:tc>
          <w:tcPr>
            <w:tcW w:w="1159" w:type="pct"/>
            <w:shd w:val="clear" w:color="auto" w:fill="FFFFFF"/>
            <w:tcMar>
              <w:top w:w="0" w:type="dxa"/>
              <w:left w:w="108" w:type="dxa"/>
              <w:bottom w:w="0" w:type="dxa"/>
              <w:right w:w="108" w:type="dxa"/>
            </w:tcMar>
            <w:vAlign w:val="center"/>
          </w:tcPr>
          <w:p w14:paraId="642B1ED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Cooperation with partner institutions secured and intensified through the development of the Strategy of the Federation of BiH</w:t>
            </w:r>
          </w:p>
        </w:tc>
        <w:tc>
          <w:tcPr>
            <w:tcW w:w="1159" w:type="pct"/>
            <w:shd w:val="clear" w:color="auto" w:fill="FFFFFF"/>
            <w:vAlign w:val="center"/>
          </w:tcPr>
          <w:p w14:paraId="654A15F5"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Enhanced and continued cooperation with partner institutions on expanding the knowledge and skills and raising awareness about the links between the environment and gender dimension secured (continuously 2030+)</w:t>
            </w:r>
          </w:p>
        </w:tc>
      </w:tr>
      <w:tr w:rsidR="00E42F38" w:rsidRPr="007C4D65" w14:paraId="35ECF22E" w14:textId="77777777" w:rsidTr="00B6017F">
        <w:trPr>
          <w:trHeight w:val="287"/>
        </w:trPr>
        <w:tc>
          <w:tcPr>
            <w:tcW w:w="708" w:type="pct"/>
            <w:vMerge/>
            <w:shd w:val="clear" w:color="auto" w:fill="D9D9D9"/>
            <w:vAlign w:val="center"/>
          </w:tcPr>
          <w:p w14:paraId="40BD5DA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3BBE3FC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CA1C86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Status of promotion of measures which might influence the design of products and environmental protection systems  </w:t>
            </w:r>
          </w:p>
        </w:tc>
        <w:tc>
          <w:tcPr>
            <w:tcW w:w="1159" w:type="pct"/>
            <w:shd w:val="clear" w:color="auto" w:fill="FFFFFF"/>
            <w:tcMar>
              <w:top w:w="0" w:type="dxa"/>
              <w:left w:w="108" w:type="dxa"/>
              <w:bottom w:w="0" w:type="dxa"/>
              <w:right w:w="108" w:type="dxa"/>
            </w:tcMar>
            <w:vAlign w:val="center"/>
          </w:tcPr>
          <w:p w14:paraId="3590FA38"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Inadequate promotion of measures which might influence the design of products and environmental protection systems</w:t>
            </w:r>
          </w:p>
        </w:tc>
        <w:tc>
          <w:tcPr>
            <w:tcW w:w="1159" w:type="pct"/>
            <w:shd w:val="clear" w:color="auto" w:fill="FFFFFF"/>
            <w:vAlign w:val="center"/>
          </w:tcPr>
          <w:p w14:paraId="15DC0D0A" w14:textId="0D12B818"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Continuous promotion of measures which might influence the design of products and environmental protection systems secured (until 2026 and onwards </w:t>
            </w:r>
            <w:r w:rsidR="00830279" w:rsidRPr="007C4D65">
              <w:rPr>
                <w:rFonts w:asciiTheme="minorHAnsi" w:hAnsiTheme="minorHAnsi" w:cstheme="minorHAnsi"/>
                <w:sz w:val="18"/>
              </w:rPr>
              <w:t>continuously</w:t>
            </w:r>
            <w:r w:rsidRPr="007C4D65">
              <w:rPr>
                <w:rFonts w:asciiTheme="minorHAnsi" w:hAnsiTheme="minorHAnsi" w:cstheme="minorHAnsi"/>
                <w:sz w:val="18"/>
              </w:rPr>
              <w:t>)</w:t>
            </w:r>
          </w:p>
        </w:tc>
      </w:tr>
      <w:tr w:rsidR="00E42F38" w:rsidRPr="007C4D65" w14:paraId="5BE9A37D" w14:textId="77777777" w:rsidTr="00B6017F">
        <w:trPr>
          <w:trHeight w:val="483"/>
        </w:trPr>
        <w:tc>
          <w:tcPr>
            <w:tcW w:w="708" w:type="pct"/>
            <w:vMerge/>
            <w:shd w:val="clear" w:color="auto" w:fill="D9D9D9"/>
            <w:vAlign w:val="center"/>
            <w:hideMark/>
          </w:tcPr>
          <w:p w14:paraId="5E13955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30561C0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27D1891" w14:textId="0ECA0B11"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44247A7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467A4659"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440DCF58" w14:textId="77777777" w:rsidTr="00B6017F">
        <w:trPr>
          <w:trHeight w:val="287"/>
        </w:trPr>
        <w:tc>
          <w:tcPr>
            <w:tcW w:w="708" w:type="pct"/>
            <w:vMerge/>
            <w:shd w:val="clear" w:color="auto" w:fill="D9D9D9"/>
            <w:vAlign w:val="center"/>
            <w:hideMark/>
          </w:tcPr>
          <w:p w14:paraId="2D31E67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6E6397A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DBDF0DA"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0.104</w:t>
            </w:r>
          </w:p>
        </w:tc>
        <w:tc>
          <w:tcPr>
            <w:tcW w:w="1159" w:type="pct"/>
            <w:tcMar>
              <w:top w:w="0" w:type="dxa"/>
              <w:left w:w="108" w:type="dxa"/>
              <w:bottom w:w="0" w:type="dxa"/>
              <w:right w:w="108" w:type="dxa"/>
            </w:tcMar>
            <w:vAlign w:val="center"/>
          </w:tcPr>
          <w:p w14:paraId="7ACDDFE4"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0.244</w:t>
            </w:r>
          </w:p>
        </w:tc>
        <w:tc>
          <w:tcPr>
            <w:tcW w:w="1159" w:type="pct"/>
            <w:tcMar>
              <w:top w:w="0" w:type="dxa"/>
              <w:left w:w="108" w:type="dxa"/>
              <w:bottom w:w="0" w:type="dxa"/>
              <w:right w:w="108" w:type="dxa"/>
            </w:tcMar>
            <w:vAlign w:val="center"/>
          </w:tcPr>
          <w:p w14:paraId="4713220B"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0.349</w:t>
            </w:r>
          </w:p>
        </w:tc>
      </w:tr>
      <w:tr w:rsidR="00E42F38" w:rsidRPr="007C4D65" w14:paraId="77001884"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60D84A85"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7.4.2 Measure</w:t>
            </w:r>
          </w:p>
        </w:tc>
        <w:tc>
          <w:tcPr>
            <w:tcW w:w="815" w:type="pct"/>
            <w:vMerge w:val="restart"/>
            <w:tcMar>
              <w:top w:w="0" w:type="dxa"/>
              <w:left w:w="108" w:type="dxa"/>
              <w:bottom w:w="0" w:type="dxa"/>
              <w:right w:w="108" w:type="dxa"/>
            </w:tcMar>
            <w:vAlign w:val="center"/>
          </w:tcPr>
          <w:p w14:paraId="64AFAB34" w14:textId="3371EC2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Improving public participation in </w:t>
            </w:r>
            <w:r w:rsidR="009F16BA" w:rsidRPr="007C4D65">
              <w:rPr>
                <w:rFonts w:asciiTheme="minorHAnsi" w:hAnsiTheme="minorHAnsi" w:cstheme="minorHAnsi"/>
                <w:sz w:val="18"/>
              </w:rPr>
              <w:t xml:space="preserve">decision-making  </w:t>
            </w:r>
            <w:r w:rsidRPr="007C4D65">
              <w:rPr>
                <w:rFonts w:asciiTheme="minorHAnsi" w:hAnsiTheme="minorHAnsi" w:cstheme="minorHAnsi"/>
                <w:sz w:val="18"/>
              </w:rPr>
              <w:t xml:space="preserve"> about environment</w:t>
            </w:r>
          </w:p>
        </w:tc>
        <w:tc>
          <w:tcPr>
            <w:tcW w:w="1159" w:type="pct"/>
            <w:shd w:val="clear" w:color="auto" w:fill="D9D9D9"/>
            <w:tcMar>
              <w:top w:w="0" w:type="dxa"/>
              <w:left w:w="108" w:type="dxa"/>
              <w:bottom w:w="0" w:type="dxa"/>
              <w:right w:w="108" w:type="dxa"/>
            </w:tcMar>
            <w:vAlign w:val="center"/>
            <w:hideMark/>
          </w:tcPr>
          <w:p w14:paraId="4247D065"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581278C0"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57AF313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2BC2EB55" w14:textId="77777777" w:rsidTr="00B6017F">
        <w:trPr>
          <w:trHeight w:val="287"/>
        </w:trPr>
        <w:tc>
          <w:tcPr>
            <w:tcW w:w="708" w:type="pct"/>
            <w:vMerge/>
            <w:shd w:val="clear" w:color="auto" w:fill="D9D9D9"/>
            <w:vAlign w:val="center"/>
          </w:tcPr>
          <w:p w14:paraId="59B984B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3D25A85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8B6EF9C"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Capacity of the institutions to provide for effective public participation mechanisms </w:t>
            </w:r>
          </w:p>
        </w:tc>
        <w:tc>
          <w:tcPr>
            <w:tcW w:w="1159" w:type="pct"/>
            <w:shd w:val="clear" w:color="auto" w:fill="FFFFFF"/>
            <w:tcMar>
              <w:top w:w="0" w:type="dxa"/>
              <w:left w:w="108" w:type="dxa"/>
              <w:bottom w:w="0" w:type="dxa"/>
              <w:right w:w="108" w:type="dxa"/>
            </w:tcMar>
            <w:vAlign w:val="center"/>
          </w:tcPr>
          <w:p w14:paraId="4D1318C0"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Certain level of capacity to ensure public participation has been built, but there is a room for improvement </w:t>
            </w:r>
          </w:p>
        </w:tc>
        <w:tc>
          <w:tcPr>
            <w:tcW w:w="1159" w:type="pct"/>
            <w:shd w:val="clear" w:color="auto" w:fill="FFFFFF"/>
            <w:vAlign w:val="center"/>
          </w:tcPr>
          <w:p w14:paraId="70A958DC"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The capacity of the institutions required to ensure effective public participation mechanisms strengthened (2030)</w:t>
            </w:r>
          </w:p>
        </w:tc>
      </w:tr>
      <w:tr w:rsidR="00E42F38" w:rsidRPr="007C4D65" w14:paraId="1F656BCD" w14:textId="77777777" w:rsidTr="00B6017F">
        <w:trPr>
          <w:trHeight w:val="287"/>
        </w:trPr>
        <w:tc>
          <w:tcPr>
            <w:tcW w:w="708" w:type="pct"/>
            <w:vMerge/>
            <w:shd w:val="clear" w:color="auto" w:fill="D9D9D9"/>
            <w:vAlign w:val="center"/>
          </w:tcPr>
          <w:p w14:paraId="6FCAD5A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53731CD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227494B" w14:textId="1240E5E6"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Level of cooperation between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 and other institutions </w:t>
            </w:r>
          </w:p>
        </w:tc>
        <w:tc>
          <w:tcPr>
            <w:tcW w:w="1159" w:type="pct"/>
            <w:shd w:val="clear" w:color="auto" w:fill="FFFFFF"/>
            <w:tcMar>
              <w:top w:w="0" w:type="dxa"/>
              <w:left w:w="108" w:type="dxa"/>
              <w:bottom w:w="0" w:type="dxa"/>
              <w:right w:w="108" w:type="dxa"/>
            </w:tcMar>
            <w:vAlign w:val="center"/>
          </w:tcPr>
          <w:p w14:paraId="38337127" w14:textId="16A2990B"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There is no institutional cooperation between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 and other institutions in the sector of environment with civil society organizations </w:t>
            </w:r>
          </w:p>
        </w:tc>
        <w:tc>
          <w:tcPr>
            <w:tcW w:w="1159" w:type="pct"/>
            <w:shd w:val="clear" w:color="auto" w:fill="FFFFFF"/>
            <w:vAlign w:val="center"/>
          </w:tcPr>
          <w:p w14:paraId="2888B3C6" w14:textId="0AAE4CAA"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Strengthened institutional cooperation between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 and other institutions in the sector of environment with civil society organizations </w:t>
            </w:r>
          </w:p>
        </w:tc>
      </w:tr>
      <w:tr w:rsidR="00E42F38" w:rsidRPr="007C4D65" w14:paraId="51CC9386" w14:textId="77777777" w:rsidTr="00B6017F">
        <w:trPr>
          <w:trHeight w:val="287"/>
        </w:trPr>
        <w:tc>
          <w:tcPr>
            <w:tcW w:w="708" w:type="pct"/>
            <w:vMerge/>
            <w:shd w:val="clear" w:color="auto" w:fill="D9D9D9"/>
            <w:vAlign w:val="center"/>
          </w:tcPr>
          <w:p w14:paraId="10E56C2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C7284A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0580A3B" w14:textId="6730591F"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Level of cooperation between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Gender Centre of the Federation of BiH</w:t>
            </w:r>
          </w:p>
        </w:tc>
        <w:tc>
          <w:tcPr>
            <w:tcW w:w="1159" w:type="pct"/>
            <w:shd w:val="clear" w:color="auto" w:fill="FFFFFF"/>
            <w:tcMar>
              <w:top w:w="0" w:type="dxa"/>
              <w:left w:w="108" w:type="dxa"/>
              <w:bottom w:w="0" w:type="dxa"/>
              <w:right w:w="108" w:type="dxa"/>
            </w:tcMar>
            <w:vAlign w:val="center"/>
          </w:tcPr>
          <w:p w14:paraId="2C8D542C" w14:textId="2BDBC279" w:rsidR="00E42F38" w:rsidRPr="007C4D65" w:rsidRDefault="00E42F38" w:rsidP="00E42F38">
            <w:pPr>
              <w:spacing w:after="120" w:line="276" w:lineRule="auto"/>
              <w:ind w:hanging="2"/>
              <w:contextualSpacing/>
              <w:rPr>
                <w:rFonts w:asciiTheme="minorHAnsi" w:hAnsiTheme="minorHAnsi" w:cstheme="minorHAnsi"/>
                <w:strike/>
                <w:sz w:val="18"/>
                <w:szCs w:val="18"/>
              </w:rPr>
            </w:pPr>
            <w:r w:rsidRPr="007C4D65">
              <w:rPr>
                <w:rFonts w:asciiTheme="minorHAnsi" w:hAnsiTheme="minorHAnsi" w:cstheme="minorHAnsi"/>
                <w:sz w:val="18"/>
              </w:rPr>
              <w:t xml:space="preserve">A two-way communication initiated between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Tourism and Gender Centre of the Federation of BiH</w:t>
            </w:r>
          </w:p>
        </w:tc>
        <w:tc>
          <w:tcPr>
            <w:tcW w:w="1159" w:type="pct"/>
            <w:shd w:val="clear" w:color="auto" w:fill="FFFFFF"/>
            <w:vAlign w:val="center"/>
          </w:tcPr>
          <w:p w14:paraId="44E2F48D" w14:textId="7A17E8EB"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Excellent cooperation between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Environment and Gender Centre of the Federation of BiH (continuously -2030)</w:t>
            </w:r>
          </w:p>
        </w:tc>
      </w:tr>
      <w:tr w:rsidR="00E42F38" w:rsidRPr="007C4D65" w14:paraId="42DFF906" w14:textId="77777777" w:rsidTr="00B6017F">
        <w:trPr>
          <w:trHeight w:val="287"/>
        </w:trPr>
        <w:tc>
          <w:tcPr>
            <w:tcW w:w="708" w:type="pct"/>
            <w:vMerge/>
            <w:shd w:val="clear" w:color="auto" w:fill="D9D9D9"/>
            <w:vAlign w:val="center"/>
          </w:tcPr>
          <w:p w14:paraId="30444E6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7808D46"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9B897B0"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Consistency of communication of notifications on public consultations </w:t>
            </w:r>
            <w:r w:rsidRPr="007C4D65">
              <w:rPr>
                <w:rFonts w:asciiTheme="minorHAnsi" w:hAnsiTheme="minorHAnsi" w:cstheme="minorHAnsi"/>
                <w:sz w:val="18"/>
              </w:rPr>
              <w:lastRenderedPageBreak/>
              <w:t xml:space="preserve">from higher level authorities to local government units </w:t>
            </w:r>
          </w:p>
        </w:tc>
        <w:tc>
          <w:tcPr>
            <w:tcW w:w="1159" w:type="pct"/>
            <w:shd w:val="clear" w:color="auto" w:fill="FFFFFF"/>
            <w:tcMar>
              <w:top w:w="0" w:type="dxa"/>
              <w:left w:w="108" w:type="dxa"/>
              <w:bottom w:w="0" w:type="dxa"/>
              <w:right w:w="108" w:type="dxa"/>
            </w:tcMar>
            <w:vAlign w:val="center"/>
          </w:tcPr>
          <w:p w14:paraId="29A00BF0"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lastRenderedPageBreak/>
              <w:t xml:space="preserve">Oftentimes, the </w:t>
            </w:r>
            <w:proofErr w:type="gramStart"/>
            <w:r w:rsidRPr="007C4D65">
              <w:rPr>
                <w:rFonts w:asciiTheme="minorHAnsi" w:hAnsiTheme="minorHAnsi" w:cstheme="minorHAnsi"/>
                <w:sz w:val="18"/>
              </w:rPr>
              <w:t>higher level</w:t>
            </w:r>
            <w:proofErr w:type="gramEnd"/>
            <w:r w:rsidRPr="007C4D65">
              <w:rPr>
                <w:rFonts w:asciiTheme="minorHAnsi" w:hAnsiTheme="minorHAnsi" w:cstheme="minorHAnsi"/>
                <w:sz w:val="18"/>
              </w:rPr>
              <w:t xml:space="preserve"> authorities fail to send notifications on public consultations to local government units</w:t>
            </w:r>
          </w:p>
        </w:tc>
        <w:tc>
          <w:tcPr>
            <w:tcW w:w="1159" w:type="pct"/>
            <w:shd w:val="clear" w:color="auto" w:fill="FFFFFF"/>
            <w:vAlign w:val="center"/>
          </w:tcPr>
          <w:p w14:paraId="7BF6B739"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Improved communication of notifications on public consultations from the </w:t>
            </w:r>
            <w:proofErr w:type="gramStart"/>
            <w:r w:rsidRPr="007C4D65">
              <w:rPr>
                <w:rFonts w:asciiTheme="minorHAnsi" w:hAnsiTheme="minorHAnsi" w:cstheme="minorHAnsi"/>
                <w:sz w:val="18"/>
              </w:rPr>
              <w:t xml:space="preserve">higher </w:t>
            </w:r>
            <w:r w:rsidRPr="007C4D65">
              <w:rPr>
                <w:rFonts w:asciiTheme="minorHAnsi" w:hAnsiTheme="minorHAnsi" w:cstheme="minorHAnsi"/>
                <w:sz w:val="18"/>
              </w:rPr>
              <w:lastRenderedPageBreak/>
              <w:t>level</w:t>
            </w:r>
            <w:proofErr w:type="gramEnd"/>
            <w:r w:rsidRPr="007C4D65">
              <w:rPr>
                <w:rFonts w:asciiTheme="minorHAnsi" w:hAnsiTheme="minorHAnsi" w:cstheme="minorHAnsi"/>
                <w:sz w:val="18"/>
              </w:rPr>
              <w:t xml:space="preserve"> authorities to local government units (continuously -2030)</w:t>
            </w:r>
          </w:p>
        </w:tc>
      </w:tr>
      <w:tr w:rsidR="00E42F38" w:rsidRPr="007C4D65" w14:paraId="0D03146B" w14:textId="77777777" w:rsidTr="00B6017F">
        <w:trPr>
          <w:trHeight w:val="287"/>
        </w:trPr>
        <w:tc>
          <w:tcPr>
            <w:tcW w:w="708" w:type="pct"/>
            <w:vMerge/>
            <w:shd w:val="clear" w:color="auto" w:fill="D9D9D9"/>
            <w:vAlign w:val="center"/>
          </w:tcPr>
          <w:p w14:paraId="256123A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AA0F07F"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B36E82B"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Effectiveness of cooperation with the Partnership 27</w:t>
            </w:r>
          </w:p>
        </w:tc>
        <w:tc>
          <w:tcPr>
            <w:tcW w:w="1159" w:type="pct"/>
            <w:shd w:val="clear" w:color="auto" w:fill="FFFFFF"/>
            <w:tcMar>
              <w:top w:w="0" w:type="dxa"/>
              <w:left w:w="108" w:type="dxa"/>
              <w:bottom w:w="0" w:type="dxa"/>
              <w:right w:w="108" w:type="dxa"/>
            </w:tcMar>
            <w:vAlign w:val="center"/>
          </w:tcPr>
          <w:p w14:paraId="74757DA7"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no institutional cooperation with the Partnership 27</w:t>
            </w:r>
          </w:p>
        </w:tc>
        <w:tc>
          <w:tcPr>
            <w:tcW w:w="1159" w:type="pct"/>
            <w:shd w:val="clear" w:color="auto" w:fill="FFFFFF"/>
            <w:vAlign w:val="center"/>
          </w:tcPr>
          <w:p w14:paraId="5A626D2C"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Effective cooperation with the Partnership (continuously - 2030)</w:t>
            </w:r>
          </w:p>
        </w:tc>
      </w:tr>
      <w:tr w:rsidR="00E42F38" w:rsidRPr="007C4D65" w14:paraId="37EC7A7E" w14:textId="77777777" w:rsidTr="00B6017F">
        <w:trPr>
          <w:trHeight w:val="287"/>
        </w:trPr>
        <w:tc>
          <w:tcPr>
            <w:tcW w:w="708" w:type="pct"/>
            <w:vMerge/>
            <w:shd w:val="clear" w:color="auto" w:fill="D9D9D9"/>
            <w:vAlign w:val="center"/>
          </w:tcPr>
          <w:p w14:paraId="4A3301C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21D7C58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DC263AC"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Implementation of trainings on the Free Access to Information Law completed (FAIL)</w:t>
            </w:r>
          </w:p>
        </w:tc>
        <w:tc>
          <w:tcPr>
            <w:tcW w:w="1159" w:type="pct"/>
            <w:shd w:val="clear" w:color="auto" w:fill="FFFFFF"/>
            <w:tcMar>
              <w:top w:w="0" w:type="dxa"/>
              <w:left w:w="108" w:type="dxa"/>
              <w:bottom w:w="0" w:type="dxa"/>
              <w:right w:w="108" w:type="dxa"/>
            </w:tcMar>
            <w:vAlign w:val="center"/>
          </w:tcPr>
          <w:p w14:paraId="5576B93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Trainings provided occasionally</w:t>
            </w:r>
          </w:p>
        </w:tc>
        <w:tc>
          <w:tcPr>
            <w:tcW w:w="1159" w:type="pct"/>
            <w:shd w:val="clear" w:color="auto" w:fill="FFFFFF"/>
            <w:vAlign w:val="center"/>
          </w:tcPr>
          <w:p w14:paraId="46AB6272"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Trainings on FAIA implemented as planned (periodically - 2030)</w:t>
            </w:r>
          </w:p>
        </w:tc>
      </w:tr>
      <w:tr w:rsidR="00E42F38" w:rsidRPr="007C4D65" w14:paraId="353E612B" w14:textId="77777777" w:rsidTr="00B6017F">
        <w:trPr>
          <w:trHeight w:val="287"/>
        </w:trPr>
        <w:tc>
          <w:tcPr>
            <w:tcW w:w="708" w:type="pct"/>
            <w:vMerge/>
            <w:shd w:val="clear" w:color="auto" w:fill="D9D9D9"/>
            <w:vAlign w:val="center"/>
          </w:tcPr>
          <w:p w14:paraId="06240DC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3030D17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BDFF9EC"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Public access to environmental information on websites of the competent institutions at all levels </w:t>
            </w:r>
          </w:p>
        </w:tc>
        <w:tc>
          <w:tcPr>
            <w:tcW w:w="1159" w:type="pct"/>
            <w:shd w:val="clear" w:color="auto" w:fill="FFFFFF"/>
            <w:tcMar>
              <w:top w:w="0" w:type="dxa"/>
              <w:left w:w="108" w:type="dxa"/>
              <w:bottom w:w="0" w:type="dxa"/>
              <w:right w:w="108" w:type="dxa"/>
            </w:tcMar>
            <w:vAlign w:val="center"/>
          </w:tcPr>
          <w:p w14:paraId="3A83C813"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Partly – all information is not available on websites, that is, it is not updated regularly </w:t>
            </w:r>
          </w:p>
        </w:tc>
        <w:tc>
          <w:tcPr>
            <w:tcW w:w="1159" w:type="pct"/>
            <w:shd w:val="clear" w:color="auto" w:fill="FFFFFF"/>
            <w:vAlign w:val="center"/>
          </w:tcPr>
          <w:p w14:paraId="6C9F459C"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Public has access to all the relevant environmental information, primarily on official websites of the institutions (continuously -2030)</w:t>
            </w:r>
          </w:p>
        </w:tc>
      </w:tr>
      <w:tr w:rsidR="00E42F38" w:rsidRPr="007C4D65" w14:paraId="0DBEC4AE" w14:textId="77777777" w:rsidTr="00B6017F">
        <w:trPr>
          <w:trHeight w:val="287"/>
        </w:trPr>
        <w:tc>
          <w:tcPr>
            <w:tcW w:w="708" w:type="pct"/>
            <w:vMerge/>
            <w:shd w:val="clear" w:color="auto" w:fill="D9D9D9"/>
            <w:vAlign w:val="center"/>
          </w:tcPr>
          <w:p w14:paraId="35226CE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04B8182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58297C3"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color w:val="000000"/>
                <w:sz w:val="18"/>
              </w:rPr>
              <w:t>Effectiveness of electronic/online communication between the responsible institutions and public</w:t>
            </w:r>
          </w:p>
        </w:tc>
        <w:tc>
          <w:tcPr>
            <w:tcW w:w="1159" w:type="pct"/>
            <w:shd w:val="clear" w:color="auto" w:fill="FFFFFF"/>
            <w:tcMar>
              <w:top w:w="0" w:type="dxa"/>
              <w:left w:w="108" w:type="dxa"/>
              <w:bottom w:w="0" w:type="dxa"/>
              <w:right w:w="108" w:type="dxa"/>
            </w:tcMar>
            <w:vAlign w:val="center"/>
          </w:tcPr>
          <w:p w14:paraId="1E04CB4A"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Channels of communication through email services developed - there is a room for improvement</w:t>
            </w:r>
          </w:p>
        </w:tc>
        <w:tc>
          <w:tcPr>
            <w:tcW w:w="1159" w:type="pct"/>
            <w:shd w:val="clear" w:color="auto" w:fill="FFFFFF"/>
            <w:vAlign w:val="center"/>
          </w:tcPr>
          <w:p w14:paraId="38F7993E"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Effective communication via electronic mail implemented (2026 and onwards continuously)</w:t>
            </w:r>
          </w:p>
        </w:tc>
      </w:tr>
      <w:tr w:rsidR="00E42F38" w:rsidRPr="007C4D65" w14:paraId="7C9D09A6" w14:textId="77777777" w:rsidTr="00B6017F">
        <w:trPr>
          <w:trHeight w:val="483"/>
        </w:trPr>
        <w:tc>
          <w:tcPr>
            <w:tcW w:w="708" w:type="pct"/>
            <w:vMerge/>
            <w:shd w:val="clear" w:color="auto" w:fill="D9D9D9"/>
            <w:vAlign w:val="center"/>
            <w:hideMark/>
          </w:tcPr>
          <w:p w14:paraId="6A8C02E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1859356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3161D109" w14:textId="2EFC3C25"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109D175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759552F9"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65DE46ED" w14:textId="77777777" w:rsidTr="00B6017F">
        <w:trPr>
          <w:trHeight w:val="287"/>
        </w:trPr>
        <w:tc>
          <w:tcPr>
            <w:tcW w:w="708" w:type="pct"/>
            <w:vMerge/>
            <w:shd w:val="clear" w:color="auto" w:fill="D9D9D9"/>
            <w:vAlign w:val="center"/>
            <w:hideMark/>
          </w:tcPr>
          <w:p w14:paraId="2F88146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12845B76"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AB58ABE"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0.028</w:t>
            </w:r>
          </w:p>
        </w:tc>
        <w:tc>
          <w:tcPr>
            <w:tcW w:w="1159" w:type="pct"/>
            <w:tcMar>
              <w:top w:w="0" w:type="dxa"/>
              <w:left w:w="108" w:type="dxa"/>
              <w:bottom w:w="0" w:type="dxa"/>
              <w:right w:w="108" w:type="dxa"/>
            </w:tcMar>
            <w:vAlign w:val="center"/>
          </w:tcPr>
          <w:p w14:paraId="219882CD"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0.253</w:t>
            </w:r>
          </w:p>
        </w:tc>
        <w:tc>
          <w:tcPr>
            <w:tcW w:w="1159" w:type="pct"/>
            <w:tcMar>
              <w:top w:w="0" w:type="dxa"/>
              <w:left w:w="108" w:type="dxa"/>
              <w:bottom w:w="0" w:type="dxa"/>
              <w:right w:w="108" w:type="dxa"/>
            </w:tcMar>
            <w:vAlign w:val="center"/>
          </w:tcPr>
          <w:p w14:paraId="72DEBBF9"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0.281</w:t>
            </w:r>
          </w:p>
        </w:tc>
      </w:tr>
      <w:tr w:rsidR="00E42F38" w:rsidRPr="007C4D65" w14:paraId="0230C8A0"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1B53DB86"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7.4.3 Measure</w:t>
            </w:r>
          </w:p>
        </w:tc>
        <w:tc>
          <w:tcPr>
            <w:tcW w:w="815" w:type="pct"/>
            <w:vMerge w:val="restart"/>
            <w:tcMar>
              <w:top w:w="0" w:type="dxa"/>
              <w:left w:w="108" w:type="dxa"/>
              <w:bottom w:w="0" w:type="dxa"/>
              <w:right w:w="108" w:type="dxa"/>
            </w:tcMar>
            <w:vAlign w:val="center"/>
          </w:tcPr>
          <w:p w14:paraId="7B196CF5" w14:textId="6E669796"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Preparation and publication of reports on the state of environment </w:t>
            </w:r>
            <w:r w:rsidR="007436F1" w:rsidRPr="007C4D65">
              <w:rPr>
                <w:rFonts w:asciiTheme="minorHAnsi" w:hAnsiTheme="minorHAnsi" w:cstheme="minorHAnsi"/>
                <w:sz w:val="18"/>
              </w:rPr>
              <w:t>in the Federation of BiH</w:t>
            </w:r>
          </w:p>
        </w:tc>
        <w:tc>
          <w:tcPr>
            <w:tcW w:w="1159" w:type="pct"/>
            <w:shd w:val="clear" w:color="auto" w:fill="D9D9D9"/>
            <w:tcMar>
              <w:top w:w="0" w:type="dxa"/>
              <w:left w:w="108" w:type="dxa"/>
              <w:bottom w:w="0" w:type="dxa"/>
              <w:right w:w="108" w:type="dxa"/>
            </w:tcMar>
            <w:vAlign w:val="center"/>
            <w:hideMark/>
          </w:tcPr>
          <w:p w14:paraId="1975E59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5AF4E189"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7F7D3A41"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242885FC" w14:textId="77777777" w:rsidTr="00B6017F">
        <w:trPr>
          <w:trHeight w:val="287"/>
        </w:trPr>
        <w:tc>
          <w:tcPr>
            <w:tcW w:w="708" w:type="pct"/>
            <w:vMerge/>
            <w:shd w:val="clear" w:color="auto" w:fill="D9D9D9"/>
            <w:vAlign w:val="center"/>
          </w:tcPr>
          <w:p w14:paraId="248D631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5F1F2F57"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A68001C"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Institutional capacity for the preparation of regular reports on the state of environment </w:t>
            </w:r>
          </w:p>
        </w:tc>
        <w:tc>
          <w:tcPr>
            <w:tcW w:w="1159" w:type="pct"/>
            <w:shd w:val="clear" w:color="auto" w:fill="FFFFFF"/>
            <w:tcMar>
              <w:top w:w="0" w:type="dxa"/>
              <w:left w:w="108" w:type="dxa"/>
              <w:bottom w:w="0" w:type="dxa"/>
              <w:right w:w="108" w:type="dxa"/>
            </w:tcMar>
            <w:vAlign w:val="center"/>
          </w:tcPr>
          <w:p w14:paraId="12D91468"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Small capacity</w:t>
            </w:r>
          </w:p>
        </w:tc>
        <w:tc>
          <w:tcPr>
            <w:tcW w:w="1159" w:type="pct"/>
            <w:shd w:val="clear" w:color="auto" w:fill="FFFFFF"/>
            <w:vAlign w:val="center"/>
          </w:tcPr>
          <w:p w14:paraId="2CF09247"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Increased capacity – all conditions for the preparation of regular reports on the state of environment are fulfilled (2026)</w:t>
            </w:r>
          </w:p>
        </w:tc>
      </w:tr>
      <w:tr w:rsidR="00E42F38" w:rsidRPr="007C4D65" w14:paraId="1D5D63AC" w14:textId="77777777" w:rsidTr="00B6017F">
        <w:trPr>
          <w:trHeight w:val="287"/>
        </w:trPr>
        <w:tc>
          <w:tcPr>
            <w:tcW w:w="708" w:type="pct"/>
            <w:vMerge/>
            <w:shd w:val="clear" w:color="auto" w:fill="D9D9D9"/>
            <w:vAlign w:val="center"/>
          </w:tcPr>
          <w:p w14:paraId="41A8E65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079A8B7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EE58D4E"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Intensity of promotion of the conclusions and recommendations of reports on the state of environment in the Federation of BiH</w:t>
            </w:r>
          </w:p>
        </w:tc>
        <w:tc>
          <w:tcPr>
            <w:tcW w:w="1159" w:type="pct"/>
            <w:shd w:val="clear" w:color="auto" w:fill="FFFFFF"/>
            <w:tcMar>
              <w:top w:w="0" w:type="dxa"/>
              <w:left w:w="108" w:type="dxa"/>
              <w:bottom w:w="0" w:type="dxa"/>
              <w:right w:w="108" w:type="dxa"/>
            </w:tcMar>
            <w:vAlign w:val="center"/>
          </w:tcPr>
          <w:p w14:paraId="576AB5D6"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Reports on the state of environment have not been prepared</w:t>
            </w:r>
          </w:p>
        </w:tc>
        <w:tc>
          <w:tcPr>
            <w:tcW w:w="1159" w:type="pct"/>
            <w:shd w:val="clear" w:color="auto" w:fill="FFFFFF"/>
            <w:vAlign w:val="center"/>
          </w:tcPr>
          <w:p w14:paraId="33CEBE0A"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Periodical reports on the state of environment in the Federation of BiH regularly prepared and their conclusions and </w:t>
            </w:r>
            <w:proofErr w:type="gramStart"/>
            <w:r w:rsidRPr="007C4D65">
              <w:rPr>
                <w:rFonts w:asciiTheme="minorHAnsi" w:hAnsiTheme="minorHAnsi" w:cstheme="minorHAnsi"/>
                <w:sz w:val="18"/>
              </w:rPr>
              <w:t>recommendations  regularly</w:t>
            </w:r>
            <w:proofErr w:type="gramEnd"/>
            <w:r w:rsidRPr="007C4D65">
              <w:rPr>
                <w:rFonts w:asciiTheme="minorHAnsi" w:hAnsiTheme="minorHAnsi" w:cstheme="minorHAnsi"/>
                <w:sz w:val="18"/>
              </w:rPr>
              <w:t xml:space="preserve"> promoted (continuously-2030+)</w:t>
            </w:r>
          </w:p>
        </w:tc>
      </w:tr>
      <w:tr w:rsidR="00E42F38" w:rsidRPr="007C4D65" w14:paraId="59ED9395" w14:textId="77777777" w:rsidTr="00B6017F">
        <w:trPr>
          <w:trHeight w:val="483"/>
        </w:trPr>
        <w:tc>
          <w:tcPr>
            <w:tcW w:w="708" w:type="pct"/>
            <w:vMerge/>
            <w:shd w:val="clear" w:color="auto" w:fill="D9D9D9"/>
            <w:vAlign w:val="center"/>
            <w:hideMark/>
          </w:tcPr>
          <w:p w14:paraId="22C56F6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0B4F01C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1032C51" w14:textId="074D202F"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21C80C26"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1286D6DD"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124B89E9" w14:textId="77777777" w:rsidTr="00B6017F">
        <w:trPr>
          <w:trHeight w:val="287"/>
        </w:trPr>
        <w:tc>
          <w:tcPr>
            <w:tcW w:w="708" w:type="pct"/>
            <w:vMerge/>
            <w:shd w:val="clear" w:color="auto" w:fill="D9D9D9"/>
            <w:vAlign w:val="center"/>
            <w:hideMark/>
          </w:tcPr>
          <w:p w14:paraId="0A4396E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5E017C67"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A0E5CBF"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0.151</w:t>
            </w:r>
          </w:p>
        </w:tc>
        <w:tc>
          <w:tcPr>
            <w:tcW w:w="1159" w:type="pct"/>
            <w:tcMar>
              <w:top w:w="0" w:type="dxa"/>
              <w:left w:w="108" w:type="dxa"/>
              <w:bottom w:w="0" w:type="dxa"/>
              <w:right w:w="108" w:type="dxa"/>
            </w:tcMar>
            <w:vAlign w:val="center"/>
          </w:tcPr>
          <w:p w14:paraId="140909B8"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39C694E9"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0.151</w:t>
            </w:r>
          </w:p>
        </w:tc>
      </w:tr>
    </w:tbl>
    <w:p w14:paraId="76F66C42" w14:textId="77777777" w:rsidR="00E42F38" w:rsidRPr="007C4D65" w:rsidRDefault="00E42F38" w:rsidP="00E42F38">
      <w:pPr>
        <w:spacing w:line="276" w:lineRule="auto"/>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981"/>
        <w:gridCol w:w="2268"/>
        <w:gridCol w:w="3233"/>
        <w:gridCol w:w="3233"/>
        <w:gridCol w:w="3233"/>
      </w:tblGrid>
      <w:tr w:rsidR="00E42F38" w:rsidRPr="007C4D65" w14:paraId="70B54891" w14:textId="77777777" w:rsidTr="00B6017F">
        <w:trPr>
          <w:trHeight w:val="384"/>
        </w:trPr>
        <w:tc>
          <w:tcPr>
            <w:tcW w:w="710" w:type="pct"/>
            <w:vMerge w:val="restart"/>
            <w:shd w:val="clear" w:color="auto" w:fill="D9D9D9"/>
            <w:tcMar>
              <w:top w:w="0" w:type="dxa"/>
              <w:left w:w="108" w:type="dxa"/>
              <w:bottom w:w="0" w:type="dxa"/>
              <w:right w:w="108" w:type="dxa"/>
            </w:tcMar>
            <w:vAlign w:val="center"/>
          </w:tcPr>
          <w:p w14:paraId="4125B9E0" w14:textId="06625776" w:rsidR="00E42F38" w:rsidRPr="007C4D65" w:rsidRDefault="00E42F38" w:rsidP="00EC0294">
            <w:pPr>
              <w:spacing w:after="120" w:line="276" w:lineRule="auto"/>
              <w:ind w:hanging="2"/>
              <w:contextualSpacing/>
              <w:rPr>
                <w:rFonts w:asciiTheme="minorHAnsi" w:hAnsiTheme="minorHAnsi" w:cstheme="minorHAnsi"/>
                <w:b/>
                <w:sz w:val="18"/>
                <w:szCs w:val="18"/>
                <w:lang w:val="hr-HR"/>
              </w:rPr>
            </w:pPr>
            <w:r w:rsidRPr="007C4D65">
              <w:rPr>
                <w:rFonts w:asciiTheme="minorHAnsi" w:hAnsiTheme="minorHAnsi" w:cstheme="minorHAnsi"/>
                <w:b/>
                <w:sz w:val="18"/>
              </w:rPr>
              <w:t>7.5 Priority</w:t>
            </w:r>
          </w:p>
        </w:tc>
        <w:tc>
          <w:tcPr>
            <w:tcW w:w="813" w:type="pct"/>
            <w:vMerge w:val="restart"/>
            <w:tcMar>
              <w:top w:w="0" w:type="dxa"/>
              <w:left w:w="108" w:type="dxa"/>
              <w:bottom w:w="0" w:type="dxa"/>
              <w:right w:w="108" w:type="dxa"/>
            </w:tcMar>
            <w:vAlign w:val="center"/>
          </w:tcPr>
          <w:p w14:paraId="5F589BF1" w14:textId="77777777" w:rsidR="00E42F38" w:rsidRPr="007C4D65" w:rsidRDefault="00E42F38" w:rsidP="00E42F38">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 xml:space="preserve">Set up an efficient system for record keeping and transparent reporting of </w:t>
            </w:r>
            <w:r w:rsidRPr="007C4D65">
              <w:rPr>
                <w:rFonts w:asciiTheme="minorHAnsi" w:hAnsiTheme="minorHAnsi" w:cstheme="minorHAnsi"/>
                <w:b/>
                <w:sz w:val="18"/>
              </w:rPr>
              <w:lastRenderedPageBreak/>
              <w:t>environmental data in the Federation of BiH, in consultation with the Partnership 27</w:t>
            </w:r>
          </w:p>
        </w:tc>
        <w:tc>
          <w:tcPr>
            <w:tcW w:w="1159" w:type="pct"/>
            <w:shd w:val="clear" w:color="auto" w:fill="D9D9D9"/>
            <w:tcMar>
              <w:top w:w="0" w:type="dxa"/>
              <w:left w:w="108" w:type="dxa"/>
              <w:bottom w:w="0" w:type="dxa"/>
              <w:right w:w="108" w:type="dxa"/>
            </w:tcMar>
            <w:vAlign w:val="center"/>
          </w:tcPr>
          <w:p w14:paraId="65635706" w14:textId="77777777" w:rsidR="00E42F38" w:rsidRPr="007C4D65" w:rsidRDefault="00E42F38" w:rsidP="00E42F38">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lastRenderedPageBreak/>
              <w:t>Priority indicators</w:t>
            </w:r>
          </w:p>
        </w:tc>
        <w:tc>
          <w:tcPr>
            <w:tcW w:w="1159" w:type="pct"/>
            <w:shd w:val="clear" w:color="auto" w:fill="D9D9D9"/>
            <w:tcMar>
              <w:top w:w="0" w:type="dxa"/>
              <w:left w:w="108" w:type="dxa"/>
              <w:bottom w:w="0" w:type="dxa"/>
              <w:right w:w="108" w:type="dxa"/>
            </w:tcMar>
            <w:vAlign w:val="center"/>
          </w:tcPr>
          <w:p w14:paraId="2F0E5F4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556A791E"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59378C9E" w14:textId="77777777" w:rsidTr="00B6017F">
        <w:trPr>
          <w:trHeight w:val="287"/>
        </w:trPr>
        <w:tc>
          <w:tcPr>
            <w:tcW w:w="710" w:type="pct"/>
            <w:vMerge/>
            <w:shd w:val="clear" w:color="auto" w:fill="D9D9D9"/>
            <w:vAlign w:val="center"/>
            <w:hideMark/>
          </w:tcPr>
          <w:p w14:paraId="75ADC64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269B94E4"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9ABAA3F"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Effectiveness of the system for monitoring of environmental parameters</w:t>
            </w:r>
          </w:p>
        </w:tc>
        <w:tc>
          <w:tcPr>
            <w:tcW w:w="1159" w:type="pct"/>
            <w:tcMar>
              <w:top w:w="0" w:type="dxa"/>
              <w:left w:w="108" w:type="dxa"/>
              <w:bottom w:w="0" w:type="dxa"/>
              <w:right w:w="108" w:type="dxa"/>
            </w:tcMar>
            <w:vAlign w:val="center"/>
          </w:tcPr>
          <w:p w14:paraId="09AF0E4E"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monitoring system in place, however, the current laboratories still </w:t>
            </w:r>
            <w:r w:rsidRPr="007C4D65">
              <w:rPr>
                <w:rFonts w:asciiTheme="minorHAnsi" w:hAnsiTheme="minorHAnsi" w:cstheme="minorHAnsi"/>
                <w:sz w:val="18"/>
              </w:rPr>
              <w:lastRenderedPageBreak/>
              <w:t>have no testing methods for certain environmental components and sectors Also, there are huge gaps in modus operandi of the accredited laboratories (2021)</w:t>
            </w:r>
          </w:p>
        </w:tc>
        <w:tc>
          <w:tcPr>
            <w:tcW w:w="1159" w:type="pct"/>
            <w:tcMar>
              <w:top w:w="0" w:type="dxa"/>
              <w:left w:w="108" w:type="dxa"/>
              <w:bottom w:w="0" w:type="dxa"/>
              <w:right w:w="108" w:type="dxa"/>
            </w:tcMar>
            <w:vAlign w:val="center"/>
          </w:tcPr>
          <w:p w14:paraId="1BC46A87"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lastRenderedPageBreak/>
              <w:t>The current system of environmental parameters monitoring upgraded (2027)</w:t>
            </w:r>
          </w:p>
        </w:tc>
      </w:tr>
      <w:tr w:rsidR="00E42F38" w:rsidRPr="007C4D65" w14:paraId="2A278F28" w14:textId="77777777" w:rsidTr="00B6017F">
        <w:trPr>
          <w:trHeight w:val="287"/>
        </w:trPr>
        <w:tc>
          <w:tcPr>
            <w:tcW w:w="710" w:type="pct"/>
            <w:vMerge/>
            <w:shd w:val="clear" w:color="auto" w:fill="D9D9D9"/>
            <w:vAlign w:val="center"/>
          </w:tcPr>
          <w:p w14:paraId="431A5F7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65CE334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292D23D" w14:textId="01DA56AC"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Implementation of an environmental management information system in accordance with the Law on </w:t>
            </w:r>
            <w:r w:rsidR="00CD3D80" w:rsidRPr="007C4D65">
              <w:rPr>
                <w:rFonts w:asciiTheme="minorHAnsi" w:hAnsiTheme="minorHAnsi" w:cstheme="minorHAnsi"/>
                <w:sz w:val="18"/>
              </w:rPr>
              <w:t>Environmental</w:t>
            </w:r>
            <w:r w:rsidRPr="007C4D65">
              <w:rPr>
                <w:rFonts w:asciiTheme="minorHAnsi" w:hAnsiTheme="minorHAnsi" w:cstheme="minorHAnsi"/>
                <w:sz w:val="18"/>
              </w:rPr>
              <w:t xml:space="preserve"> Protection</w:t>
            </w:r>
          </w:p>
        </w:tc>
        <w:tc>
          <w:tcPr>
            <w:tcW w:w="1159" w:type="pct"/>
            <w:tcMar>
              <w:top w:w="0" w:type="dxa"/>
              <w:left w:w="108" w:type="dxa"/>
              <w:bottom w:w="0" w:type="dxa"/>
              <w:right w:w="108" w:type="dxa"/>
            </w:tcMar>
            <w:vAlign w:val="center"/>
          </w:tcPr>
          <w:p w14:paraId="459829A7"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No integrated information system for environmental management (2021)</w:t>
            </w:r>
          </w:p>
        </w:tc>
        <w:tc>
          <w:tcPr>
            <w:tcW w:w="1159" w:type="pct"/>
            <w:tcMar>
              <w:top w:w="0" w:type="dxa"/>
              <w:left w:w="108" w:type="dxa"/>
              <w:bottom w:w="0" w:type="dxa"/>
              <w:right w:w="108" w:type="dxa"/>
            </w:tcMar>
            <w:vAlign w:val="center"/>
          </w:tcPr>
          <w:p w14:paraId="7982CE0C"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An effective integrated environmental management information system set up in the Federation of Bosnia and Herzegovina (2028)</w:t>
            </w:r>
          </w:p>
        </w:tc>
      </w:tr>
      <w:tr w:rsidR="00E42F38" w:rsidRPr="007C4D65" w14:paraId="2C98804E" w14:textId="77777777" w:rsidTr="00B6017F">
        <w:trPr>
          <w:trHeight w:val="287"/>
        </w:trPr>
        <w:tc>
          <w:tcPr>
            <w:tcW w:w="710" w:type="pct"/>
            <w:vMerge/>
            <w:shd w:val="clear" w:color="auto" w:fill="D9D9D9"/>
            <w:vAlign w:val="center"/>
          </w:tcPr>
          <w:p w14:paraId="4AABC17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3A2A5E4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66EC3E6"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Effectiveness of environmental data monitoring, collection, validation system aimed at reporting in accordance with the international agreements</w:t>
            </w:r>
          </w:p>
        </w:tc>
        <w:tc>
          <w:tcPr>
            <w:tcW w:w="1159" w:type="pct"/>
            <w:tcMar>
              <w:top w:w="0" w:type="dxa"/>
              <w:left w:w="108" w:type="dxa"/>
              <w:bottom w:w="0" w:type="dxa"/>
              <w:right w:w="108" w:type="dxa"/>
            </w:tcMar>
            <w:vAlign w:val="center"/>
          </w:tcPr>
          <w:p w14:paraId="625E11B0"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No standardised systems or methodologies for data gathering, communication and reporting, and statistics </w:t>
            </w:r>
            <w:proofErr w:type="gramStart"/>
            <w:r w:rsidRPr="007C4D65">
              <w:rPr>
                <w:rFonts w:asciiTheme="minorHAnsi" w:hAnsiTheme="minorHAnsi" w:cstheme="minorHAnsi"/>
                <w:sz w:val="18"/>
              </w:rPr>
              <w:t>in the area of</w:t>
            </w:r>
            <w:proofErr w:type="gramEnd"/>
            <w:r w:rsidRPr="007C4D65">
              <w:rPr>
                <w:rFonts w:asciiTheme="minorHAnsi" w:hAnsiTheme="minorHAnsi" w:cstheme="minorHAnsi"/>
                <w:sz w:val="18"/>
              </w:rPr>
              <w:t xml:space="preserve"> environment have been created. There are individual systems for environmental data collection and reporting, but this is insufficient for adequate reporting to international bodies</w:t>
            </w:r>
          </w:p>
        </w:tc>
        <w:tc>
          <w:tcPr>
            <w:tcW w:w="1159" w:type="pct"/>
            <w:tcMar>
              <w:top w:w="0" w:type="dxa"/>
              <w:left w:w="108" w:type="dxa"/>
              <w:bottom w:w="0" w:type="dxa"/>
              <w:right w:w="108" w:type="dxa"/>
            </w:tcMar>
            <w:vAlign w:val="center"/>
          </w:tcPr>
          <w:p w14:paraId="4DD9838C"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An effective environmental data monitoring, collection, validation system aimed at reporting in accordance with the international agreements created (2026)</w:t>
            </w:r>
          </w:p>
        </w:tc>
      </w:tr>
      <w:tr w:rsidR="00E42F38" w:rsidRPr="007C4D65" w14:paraId="2D8626F2" w14:textId="77777777" w:rsidTr="00B6017F">
        <w:trPr>
          <w:trHeight w:val="287"/>
        </w:trPr>
        <w:tc>
          <w:tcPr>
            <w:tcW w:w="710" w:type="pct"/>
            <w:vMerge/>
            <w:shd w:val="clear" w:color="auto" w:fill="D9D9D9"/>
            <w:vAlign w:val="center"/>
          </w:tcPr>
          <w:p w14:paraId="717F0022"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3035035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CCE55DB"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Effectiveness of the system for sharing of spatial data in the Federation of Bosnia and Herzegovina in accordance with the INSPIRE Directives I II, and III.</w:t>
            </w:r>
          </w:p>
        </w:tc>
        <w:tc>
          <w:tcPr>
            <w:tcW w:w="1159" w:type="pct"/>
            <w:tcMar>
              <w:top w:w="0" w:type="dxa"/>
              <w:left w:w="108" w:type="dxa"/>
              <w:bottom w:w="0" w:type="dxa"/>
              <w:right w:w="108" w:type="dxa"/>
            </w:tcMar>
            <w:vAlign w:val="center"/>
          </w:tcPr>
          <w:p w14:paraId="12C09B50"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No effective system for sharing of spatial data in place</w:t>
            </w:r>
          </w:p>
        </w:tc>
        <w:tc>
          <w:tcPr>
            <w:tcW w:w="1159" w:type="pct"/>
            <w:tcMar>
              <w:top w:w="0" w:type="dxa"/>
              <w:left w:w="108" w:type="dxa"/>
              <w:bottom w:w="0" w:type="dxa"/>
              <w:right w:w="108" w:type="dxa"/>
            </w:tcMar>
            <w:vAlign w:val="center"/>
          </w:tcPr>
          <w:p w14:paraId="0212FD25"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An effective system for sharing of spatial data in the Federation of Bosnia and Herzegovina in accordance with the INSPIRE Directives I II, and III put in place (2030)</w:t>
            </w:r>
          </w:p>
        </w:tc>
      </w:tr>
      <w:tr w:rsidR="00E42F38" w:rsidRPr="007C4D65" w14:paraId="52476278" w14:textId="77777777" w:rsidTr="00B6017F">
        <w:trPr>
          <w:trHeight w:val="287"/>
        </w:trPr>
        <w:tc>
          <w:tcPr>
            <w:tcW w:w="710" w:type="pct"/>
            <w:vMerge/>
            <w:shd w:val="clear" w:color="auto" w:fill="D9D9D9"/>
            <w:vAlign w:val="center"/>
          </w:tcPr>
          <w:p w14:paraId="0E90D5B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656419CF"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C3F00DA"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Effectiveness of PRTR in the Federation of Bosnia and Herzegovina</w:t>
            </w:r>
          </w:p>
        </w:tc>
        <w:tc>
          <w:tcPr>
            <w:tcW w:w="1159" w:type="pct"/>
            <w:tcMar>
              <w:top w:w="0" w:type="dxa"/>
              <w:left w:w="108" w:type="dxa"/>
              <w:bottom w:w="0" w:type="dxa"/>
              <w:right w:w="108" w:type="dxa"/>
            </w:tcMar>
            <w:vAlign w:val="center"/>
          </w:tcPr>
          <w:p w14:paraId="28107F31"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PRTR established in the Federation of Bosnia and Herzegovina, however a few operators do report their data and meet the legal reporting requirements of PRTR reporting There is no data verification system for data entered in the PRTR by the operators. Mutual incompatibility of PRTRs in the Federation of Bosnia and Herzegovina and </w:t>
            </w:r>
            <w:proofErr w:type="spellStart"/>
            <w:r w:rsidRPr="007C4D65">
              <w:rPr>
                <w:rFonts w:asciiTheme="minorHAnsi" w:hAnsiTheme="minorHAnsi" w:cstheme="minorHAnsi"/>
                <w:sz w:val="18"/>
              </w:rPr>
              <w:t>Republika</w:t>
            </w:r>
            <w:proofErr w:type="spellEnd"/>
            <w:r w:rsidRPr="007C4D65">
              <w:rPr>
                <w:rFonts w:asciiTheme="minorHAnsi" w:hAnsiTheme="minorHAnsi" w:cstheme="minorHAnsi"/>
                <w:sz w:val="18"/>
              </w:rPr>
              <w:t xml:space="preserve"> Srpska leads to problems in compiling data on the national level Data collected in PRTR in the Federation of Bosnia and </w:t>
            </w:r>
            <w:r w:rsidRPr="007C4D65">
              <w:rPr>
                <w:rFonts w:asciiTheme="minorHAnsi" w:hAnsiTheme="minorHAnsi" w:cstheme="minorHAnsi"/>
                <w:sz w:val="18"/>
              </w:rPr>
              <w:lastRenderedPageBreak/>
              <w:t xml:space="preserve">Herzegovina are not forwarded to the national institutions as this process is not regulated </w:t>
            </w:r>
            <w:proofErr w:type="gramStart"/>
            <w:r w:rsidRPr="007C4D65">
              <w:rPr>
                <w:rFonts w:asciiTheme="minorHAnsi" w:hAnsiTheme="minorHAnsi" w:cstheme="minorHAnsi"/>
                <w:sz w:val="18"/>
              </w:rPr>
              <w:t>The</w:t>
            </w:r>
            <w:proofErr w:type="gramEnd"/>
            <w:r w:rsidRPr="007C4D65">
              <w:rPr>
                <w:rFonts w:asciiTheme="minorHAnsi" w:hAnsiTheme="minorHAnsi" w:cstheme="minorHAnsi"/>
                <w:sz w:val="18"/>
              </w:rPr>
              <w:t xml:space="preserve"> process of reporting this data to the EU institutions is also not regulated (2021)</w:t>
            </w:r>
          </w:p>
        </w:tc>
        <w:tc>
          <w:tcPr>
            <w:tcW w:w="1159" w:type="pct"/>
            <w:tcMar>
              <w:top w:w="0" w:type="dxa"/>
              <w:left w:w="108" w:type="dxa"/>
              <w:bottom w:w="0" w:type="dxa"/>
              <w:right w:w="108" w:type="dxa"/>
            </w:tcMar>
            <w:vAlign w:val="center"/>
          </w:tcPr>
          <w:p w14:paraId="1BEC4608" w14:textId="794A1C86"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lastRenderedPageBreak/>
              <w:t xml:space="preserve">PRTR in the Federation of Bosnia and Herzegovina is effective and harmonised with the Registers in </w:t>
            </w:r>
            <w:proofErr w:type="spellStart"/>
            <w:proofErr w:type="gramStart"/>
            <w:r w:rsidRPr="007C4D65">
              <w:rPr>
                <w:rFonts w:asciiTheme="minorHAnsi" w:hAnsiTheme="minorHAnsi" w:cstheme="minorHAnsi"/>
                <w:sz w:val="18"/>
              </w:rPr>
              <w:t>Republika</w:t>
            </w:r>
            <w:proofErr w:type="spellEnd"/>
            <w:r w:rsidRPr="007C4D65">
              <w:rPr>
                <w:rFonts w:asciiTheme="minorHAnsi" w:hAnsiTheme="minorHAnsi" w:cstheme="minorHAnsi"/>
                <w:sz w:val="18"/>
              </w:rPr>
              <w:t xml:space="preserve">  Srpska</w:t>
            </w:r>
            <w:proofErr w:type="gramEnd"/>
            <w:r w:rsidRPr="007C4D65">
              <w:rPr>
                <w:rFonts w:asciiTheme="minorHAnsi" w:hAnsiTheme="minorHAnsi" w:cstheme="minorHAnsi"/>
                <w:sz w:val="18"/>
              </w:rPr>
              <w:t xml:space="preserve"> and </w:t>
            </w:r>
            <w:r w:rsidR="00295360" w:rsidRPr="007C4D65">
              <w:rPr>
                <w:rFonts w:asciiTheme="minorHAnsi" w:hAnsiTheme="minorHAnsi" w:cstheme="minorHAnsi"/>
                <w:sz w:val="18"/>
              </w:rPr>
              <w:t>Brcko</w:t>
            </w:r>
            <w:r w:rsidRPr="007C4D65">
              <w:rPr>
                <w:rFonts w:asciiTheme="minorHAnsi" w:hAnsiTheme="minorHAnsi" w:cstheme="minorHAnsi"/>
                <w:sz w:val="18"/>
              </w:rPr>
              <w:t xml:space="preserve"> District Data reporting from PRTR to the institutions of Bosnia and Herzegovina and EU in the Federation of Bosnia and Herzegovina is regulated (2026)</w:t>
            </w:r>
          </w:p>
        </w:tc>
      </w:tr>
      <w:tr w:rsidR="00E42F38" w:rsidRPr="007C4D65" w14:paraId="7B8102DA" w14:textId="77777777" w:rsidTr="00B6017F">
        <w:trPr>
          <w:trHeight w:val="287"/>
        </w:trPr>
        <w:tc>
          <w:tcPr>
            <w:tcW w:w="710" w:type="pct"/>
            <w:vMerge/>
            <w:shd w:val="clear" w:color="auto" w:fill="D9D9D9"/>
            <w:vAlign w:val="center"/>
          </w:tcPr>
          <w:p w14:paraId="17996CF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73F5EB4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C4F57A3"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Level of the development of statistics for Sustainable Development Goals in the Federation of Bosnia and Herzegovina</w:t>
            </w:r>
          </w:p>
        </w:tc>
        <w:tc>
          <w:tcPr>
            <w:tcW w:w="1159" w:type="pct"/>
            <w:tcMar>
              <w:top w:w="0" w:type="dxa"/>
              <w:left w:w="108" w:type="dxa"/>
              <w:bottom w:w="0" w:type="dxa"/>
              <w:right w:w="108" w:type="dxa"/>
            </w:tcMar>
            <w:vAlign w:val="center"/>
          </w:tcPr>
          <w:p w14:paraId="4AE1CA14"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While Bosnia and Herzegovina adopted the Framework for the implementation of the sustainable development goals in 2021, the Federation of Bosnia and Herzegovina did not develop adequate statistics for monitoring of the sustainable development goals (2021)</w:t>
            </w:r>
          </w:p>
        </w:tc>
        <w:tc>
          <w:tcPr>
            <w:tcW w:w="1159" w:type="pct"/>
            <w:tcMar>
              <w:top w:w="0" w:type="dxa"/>
              <w:left w:w="108" w:type="dxa"/>
              <w:bottom w:w="0" w:type="dxa"/>
              <w:right w:w="108" w:type="dxa"/>
            </w:tcMar>
            <w:vAlign w:val="center"/>
          </w:tcPr>
          <w:p w14:paraId="53122E24"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Statistics for the sustainable development goals associated with the environment thematic area, further </w:t>
            </w:r>
            <w:proofErr w:type="gramStart"/>
            <w:r w:rsidRPr="007C4D65">
              <w:rPr>
                <w:rFonts w:asciiTheme="minorHAnsi" w:hAnsiTheme="minorHAnsi" w:cstheme="minorHAnsi"/>
                <w:sz w:val="18"/>
              </w:rPr>
              <w:t>indicators  and</w:t>
            </w:r>
            <w:proofErr w:type="gramEnd"/>
            <w:r w:rsidRPr="007C4D65">
              <w:rPr>
                <w:rFonts w:asciiTheme="minorHAnsi" w:hAnsiTheme="minorHAnsi" w:cstheme="minorHAnsi"/>
                <w:sz w:val="18"/>
              </w:rPr>
              <w:t xml:space="preserve"> reporting system developed (2026)</w:t>
            </w:r>
          </w:p>
        </w:tc>
      </w:tr>
      <w:tr w:rsidR="00E42F38" w:rsidRPr="007C4D65" w14:paraId="4E2153B4" w14:textId="77777777" w:rsidTr="00B6017F">
        <w:trPr>
          <w:trHeight w:val="287"/>
        </w:trPr>
        <w:tc>
          <w:tcPr>
            <w:tcW w:w="710" w:type="pct"/>
            <w:vMerge/>
            <w:shd w:val="clear" w:color="auto" w:fill="D9D9D9"/>
            <w:vAlign w:val="center"/>
          </w:tcPr>
          <w:p w14:paraId="1F5754F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7464480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62CE1E8"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Efficiency in statistical data collection, processing and publication in the Federation of Bosnia and Herzegovina through a standardised and routine information sharing among the institutions across the levels of government</w:t>
            </w:r>
          </w:p>
        </w:tc>
        <w:tc>
          <w:tcPr>
            <w:tcW w:w="1159" w:type="pct"/>
            <w:tcMar>
              <w:top w:w="0" w:type="dxa"/>
              <w:left w:w="108" w:type="dxa"/>
              <w:bottom w:w="0" w:type="dxa"/>
              <w:right w:w="108" w:type="dxa"/>
            </w:tcMar>
            <w:vAlign w:val="center"/>
          </w:tcPr>
          <w:p w14:paraId="42E34A56"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It is necessary to improve the efficiency of the collection, processing and publication of environmental statistical data in the Federation of Bosnia and Herzegovina across the administrative levels</w:t>
            </w:r>
          </w:p>
        </w:tc>
        <w:tc>
          <w:tcPr>
            <w:tcW w:w="1159" w:type="pct"/>
            <w:tcMar>
              <w:top w:w="0" w:type="dxa"/>
              <w:left w:w="108" w:type="dxa"/>
              <w:bottom w:w="0" w:type="dxa"/>
              <w:right w:w="108" w:type="dxa"/>
            </w:tcMar>
            <w:vAlign w:val="center"/>
          </w:tcPr>
          <w:p w14:paraId="24A7A2E8"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Increased efficiency of statistical data collection, processing and publication in the Federation of Bosnia and Herzegovina through a standardised and routine information sharing among the institutions across the levels of government (2026)</w:t>
            </w:r>
          </w:p>
        </w:tc>
      </w:tr>
      <w:tr w:rsidR="00E42F38" w:rsidRPr="007C4D65" w14:paraId="74B37868" w14:textId="77777777" w:rsidTr="00B6017F">
        <w:trPr>
          <w:trHeight w:val="287"/>
        </w:trPr>
        <w:tc>
          <w:tcPr>
            <w:tcW w:w="710" w:type="pct"/>
            <w:vMerge/>
            <w:shd w:val="clear" w:color="auto" w:fill="D9D9D9"/>
            <w:vAlign w:val="center"/>
          </w:tcPr>
          <w:p w14:paraId="6F950DC9"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443EB95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55989BD"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Participation of the institutions of the Federation of BiH in the development of the European Environmental Economic Accounts which describe the relations between the environment and economy (in accordance with the (EU) Regulation no. 691/2011 on the European Environmental Economic Accounts which laid down in a common legal framework for collection, preparation, communication and evaluation of the European Environmental Economic Accounts)</w:t>
            </w:r>
          </w:p>
        </w:tc>
        <w:tc>
          <w:tcPr>
            <w:tcW w:w="1159" w:type="pct"/>
            <w:tcMar>
              <w:top w:w="0" w:type="dxa"/>
              <w:left w:w="108" w:type="dxa"/>
              <w:bottom w:w="0" w:type="dxa"/>
              <w:right w:w="108" w:type="dxa"/>
            </w:tcMar>
            <w:vAlign w:val="center"/>
          </w:tcPr>
          <w:p w14:paraId="4705DB8C"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European Environmental Economic Accounts have not been developed in accordance with the Regulation (EU) no. 691/2011 on the European Environmental Economic Accounts</w:t>
            </w:r>
          </w:p>
        </w:tc>
        <w:tc>
          <w:tcPr>
            <w:tcW w:w="1159" w:type="pct"/>
            <w:tcMar>
              <w:top w:w="0" w:type="dxa"/>
              <w:left w:w="108" w:type="dxa"/>
              <w:bottom w:w="0" w:type="dxa"/>
              <w:right w:w="108" w:type="dxa"/>
            </w:tcMar>
            <w:vAlign w:val="center"/>
          </w:tcPr>
          <w:p w14:paraId="46C45310"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participation of the institutions of the Federation of Bosnia and Herzegovina in the development of the European Environmental Economic Accounts secured (2026).</w:t>
            </w:r>
          </w:p>
        </w:tc>
      </w:tr>
      <w:tr w:rsidR="00E42F38" w:rsidRPr="007C4D65" w14:paraId="36597A88" w14:textId="77777777" w:rsidTr="00B6017F">
        <w:trPr>
          <w:trHeight w:val="287"/>
        </w:trPr>
        <w:tc>
          <w:tcPr>
            <w:tcW w:w="710" w:type="pct"/>
            <w:vMerge/>
            <w:shd w:val="clear" w:color="auto" w:fill="D9D9D9"/>
            <w:vAlign w:val="center"/>
            <w:hideMark/>
          </w:tcPr>
          <w:p w14:paraId="241F27B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5A42792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432ED4CA" w14:textId="6B7C5B38"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76A61A61"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5D4EE2A3"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253E1721" w14:textId="77777777" w:rsidTr="00B6017F">
        <w:trPr>
          <w:trHeight w:val="287"/>
        </w:trPr>
        <w:tc>
          <w:tcPr>
            <w:tcW w:w="710" w:type="pct"/>
            <w:vMerge/>
            <w:shd w:val="clear" w:color="auto" w:fill="D9D9D9"/>
            <w:vAlign w:val="center"/>
          </w:tcPr>
          <w:p w14:paraId="21BE7BC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239FB9B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1A395D0"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0.470</w:t>
            </w:r>
          </w:p>
        </w:tc>
        <w:tc>
          <w:tcPr>
            <w:tcW w:w="1159" w:type="pct"/>
            <w:tcMar>
              <w:top w:w="0" w:type="dxa"/>
              <w:left w:w="108" w:type="dxa"/>
              <w:bottom w:w="0" w:type="dxa"/>
              <w:right w:w="108" w:type="dxa"/>
            </w:tcMar>
            <w:vAlign w:val="center"/>
          </w:tcPr>
          <w:p w14:paraId="3BB73696"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2.3</w:t>
            </w:r>
          </w:p>
        </w:tc>
        <w:tc>
          <w:tcPr>
            <w:tcW w:w="1159" w:type="pct"/>
            <w:tcMar>
              <w:top w:w="0" w:type="dxa"/>
              <w:left w:w="108" w:type="dxa"/>
              <w:bottom w:w="0" w:type="dxa"/>
              <w:right w:w="108" w:type="dxa"/>
            </w:tcMar>
            <w:vAlign w:val="center"/>
          </w:tcPr>
          <w:p w14:paraId="7EB5F327"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2.8</w:t>
            </w:r>
          </w:p>
        </w:tc>
      </w:tr>
    </w:tbl>
    <w:p w14:paraId="5A0A1F7C" w14:textId="77777777" w:rsidR="00E42F38" w:rsidRPr="007C4D65" w:rsidRDefault="00E42F38" w:rsidP="00E42F38">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973"/>
        <w:gridCol w:w="2272"/>
        <w:gridCol w:w="3231"/>
        <w:gridCol w:w="3231"/>
        <w:gridCol w:w="3231"/>
      </w:tblGrid>
      <w:tr w:rsidR="00E42F38" w:rsidRPr="007C4D65" w14:paraId="111C5799"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5166B15C"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lastRenderedPageBreak/>
              <w:t>7.5.1 Measure</w:t>
            </w:r>
          </w:p>
        </w:tc>
        <w:tc>
          <w:tcPr>
            <w:tcW w:w="815" w:type="pct"/>
            <w:vMerge w:val="restart"/>
            <w:tcMar>
              <w:top w:w="0" w:type="dxa"/>
              <w:left w:w="108" w:type="dxa"/>
              <w:bottom w:w="0" w:type="dxa"/>
              <w:right w:w="108" w:type="dxa"/>
            </w:tcMar>
            <w:vAlign w:val="center"/>
          </w:tcPr>
          <w:p w14:paraId="6BAF040A"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Effectiveness of the system for monitoring of environmental parameters</w:t>
            </w:r>
          </w:p>
        </w:tc>
        <w:tc>
          <w:tcPr>
            <w:tcW w:w="1159" w:type="pct"/>
            <w:shd w:val="clear" w:color="auto" w:fill="D9D9D9"/>
            <w:tcMar>
              <w:top w:w="0" w:type="dxa"/>
              <w:left w:w="108" w:type="dxa"/>
              <w:bottom w:w="0" w:type="dxa"/>
              <w:right w:w="108" w:type="dxa"/>
            </w:tcMar>
            <w:vAlign w:val="center"/>
            <w:hideMark/>
          </w:tcPr>
          <w:p w14:paraId="343AE9DF"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532ADBC3"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2E3DBA2F"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3FE91013" w14:textId="77777777" w:rsidTr="00B6017F">
        <w:trPr>
          <w:trHeight w:val="287"/>
        </w:trPr>
        <w:tc>
          <w:tcPr>
            <w:tcW w:w="708" w:type="pct"/>
            <w:vMerge/>
            <w:shd w:val="clear" w:color="auto" w:fill="D9D9D9"/>
            <w:vAlign w:val="center"/>
          </w:tcPr>
          <w:p w14:paraId="075936B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0495C64F"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0E5696B"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Capacity of reference centres and professional institutions/institutes for monitoring </w:t>
            </w:r>
          </w:p>
        </w:tc>
        <w:tc>
          <w:tcPr>
            <w:tcW w:w="1159" w:type="pct"/>
            <w:shd w:val="clear" w:color="auto" w:fill="FFFFFF"/>
            <w:tcMar>
              <w:top w:w="0" w:type="dxa"/>
              <w:left w:w="108" w:type="dxa"/>
              <w:bottom w:w="0" w:type="dxa"/>
              <w:right w:w="108" w:type="dxa"/>
            </w:tcMar>
            <w:vAlign w:val="center"/>
          </w:tcPr>
          <w:p w14:paraId="7C09E17E"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Capacity available, but there is a room for improvement </w:t>
            </w:r>
          </w:p>
        </w:tc>
        <w:tc>
          <w:tcPr>
            <w:tcW w:w="1159" w:type="pct"/>
            <w:shd w:val="clear" w:color="auto" w:fill="FFFFFF"/>
            <w:vAlign w:val="center"/>
          </w:tcPr>
          <w:p w14:paraId="221CA4C0"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Increased professional capacity of reference centres and professional institutions/institutes for monitoring (2027)</w:t>
            </w:r>
          </w:p>
        </w:tc>
      </w:tr>
      <w:tr w:rsidR="00E42F38" w:rsidRPr="007C4D65" w14:paraId="121DB2E0" w14:textId="77777777" w:rsidTr="00B6017F">
        <w:trPr>
          <w:trHeight w:val="287"/>
        </w:trPr>
        <w:tc>
          <w:tcPr>
            <w:tcW w:w="708" w:type="pct"/>
            <w:vMerge/>
            <w:shd w:val="clear" w:color="auto" w:fill="D9D9D9"/>
            <w:vAlign w:val="center"/>
          </w:tcPr>
          <w:p w14:paraId="6B1A76D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714D794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431B583"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adoption of rulebooks regulating mandatory parameters and environmental quality measurements in accordance with the international standards</w:t>
            </w:r>
          </w:p>
        </w:tc>
        <w:tc>
          <w:tcPr>
            <w:tcW w:w="1159" w:type="pct"/>
            <w:shd w:val="clear" w:color="auto" w:fill="FFFFFF"/>
            <w:tcMar>
              <w:top w:w="0" w:type="dxa"/>
              <w:left w:w="108" w:type="dxa"/>
              <w:bottom w:w="0" w:type="dxa"/>
              <w:right w:w="108" w:type="dxa"/>
            </w:tcMar>
            <w:vAlign w:val="center"/>
          </w:tcPr>
          <w:p w14:paraId="420D4904"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Rulebooks are not update or they do not exist</w:t>
            </w:r>
          </w:p>
        </w:tc>
        <w:tc>
          <w:tcPr>
            <w:tcW w:w="1159" w:type="pct"/>
            <w:shd w:val="clear" w:color="auto" w:fill="FFFFFF"/>
            <w:vAlign w:val="center"/>
          </w:tcPr>
          <w:p w14:paraId="12B703E9"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All the rulebooks regulating mandatory parameters and environmental quality measurements aimed at greater diversification of environmental parameters which are monitored prepared/updated and adopted (2027)</w:t>
            </w:r>
          </w:p>
        </w:tc>
      </w:tr>
      <w:tr w:rsidR="00E42F38" w:rsidRPr="007C4D65" w14:paraId="748F63A3" w14:textId="77777777" w:rsidTr="00B6017F">
        <w:trPr>
          <w:trHeight w:val="483"/>
        </w:trPr>
        <w:tc>
          <w:tcPr>
            <w:tcW w:w="708" w:type="pct"/>
            <w:vMerge/>
            <w:shd w:val="clear" w:color="auto" w:fill="D9D9D9"/>
            <w:vAlign w:val="center"/>
            <w:hideMark/>
          </w:tcPr>
          <w:p w14:paraId="1863FBD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EC03C7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3FDD971F" w14:textId="371E98C8"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32FB68F0"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71F58F8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321214E5" w14:textId="77777777" w:rsidTr="00B6017F">
        <w:trPr>
          <w:trHeight w:val="287"/>
        </w:trPr>
        <w:tc>
          <w:tcPr>
            <w:tcW w:w="708" w:type="pct"/>
            <w:vMerge/>
            <w:shd w:val="clear" w:color="auto" w:fill="D9D9D9"/>
            <w:vAlign w:val="center"/>
            <w:hideMark/>
          </w:tcPr>
          <w:p w14:paraId="3BEE565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172C6E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B46804F"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0.045</w:t>
            </w:r>
          </w:p>
        </w:tc>
        <w:tc>
          <w:tcPr>
            <w:tcW w:w="1159" w:type="pct"/>
            <w:tcMar>
              <w:top w:w="0" w:type="dxa"/>
              <w:left w:w="108" w:type="dxa"/>
              <w:bottom w:w="0" w:type="dxa"/>
              <w:right w:w="108" w:type="dxa"/>
            </w:tcMar>
            <w:vAlign w:val="center"/>
          </w:tcPr>
          <w:p w14:paraId="0AB54D77"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0.183</w:t>
            </w:r>
          </w:p>
        </w:tc>
        <w:tc>
          <w:tcPr>
            <w:tcW w:w="1159" w:type="pct"/>
            <w:tcMar>
              <w:top w:w="0" w:type="dxa"/>
              <w:left w:w="108" w:type="dxa"/>
              <w:bottom w:w="0" w:type="dxa"/>
              <w:right w:w="108" w:type="dxa"/>
            </w:tcMar>
            <w:vAlign w:val="center"/>
          </w:tcPr>
          <w:p w14:paraId="68697DF5"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0.229</w:t>
            </w:r>
          </w:p>
        </w:tc>
      </w:tr>
      <w:tr w:rsidR="00E42F38" w:rsidRPr="007C4D65" w14:paraId="2EA78695"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7AB85673"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7.5.2 Measure</w:t>
            </w:r>
          </w:p>
        </w:tc>
        <w:tc>
          <w:tcPr>
            <w:tcW w:w="815" w:type="pct"/>
            <w:vMerge w:val="restart"/>
            <w:tcMar>
              <w:top w:w="0" w:type="dxa"/>
              <w:left w:w="108" w:type="dxa"/>
              <w:bottom w:w="0" w:type="dxa"/>
              <w:right w:w="108" w:type="dxa"/>
            </w:tcMar>
            <w:vAlign w:val="center"/>
          </w:tcPr>
          <w:p w14:paraId="0CD98200" w14:textId="4F178C08"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Build an effective integrated information system for environmental management </w:t>
            </w:r>
            <w:r w:rsidR="007436F1" w:rsidRPr="007C4D65">
              <w:rPr>
                <w:rFonts w:asciiTheme="minorHAnsi" w:hAnsiTheme="minorHAnsi" w:cstheme="minorHAnsi"/>
                <w:sz w:val="18"/>
              </w:rPr>
              <w:t>in the Federation of BiH</w:t>
            </w:r>
          </w:p>
        </w:tc>
        <w:tc>
          <w:tcPr>
            <w:tcW w:w="1159" w:type="pct"/>
            <w:shd w:val="clear" w:color="auto" w:fill="D9D9D9"/>
            <w:tcMar>
              <w:top w:w="0" w:type="dxa"/>
              <w:left w:w="108" w:type="dxa"/>
              <w:bottom w:w="0" w:type="dxa"/>
              <w:right w:w="108" w:type="dxa"/>
            </w:tcMar>
            <w:vAlign w:val="center"/>
            <w:hideMark/>
          </w:tcPr>
          <w:p w14:paraId="0F5CF62C"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7C5CA3FD"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090C0EFC"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017CDAA5" w14:textId="77777777" w:rsidTr="00B6017F">
        <w:trPr>
          <w:trHeight w:val="287"/>
        </w:trPr>
        <w:tc>
          <w:tcPr>
            <w:tcW w:w="708" w:type="pct"/>
            <w:vMerge/>
            <w:shd w:val="clear" w:color="auto" w:fill="D9D9D9"/>
            <w:vAlign w:val="center"/>
            <w:hideMark/>
          </w:tcPr>
          <w:p w14:paraId="6BE2BBF9"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745221F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DEEBB5C" w14:textId="77777777"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Status of the development of a single environmental protection information system</w:t>
            </w:r>
          </w:p>
        </w:tc>
        <w:tc>
          <w:tcPr>
            <w:tcW w:w="1159" w:type="pct"/>
            <w:shd w:val="clear" w:color="auto" w:fill="FFFFFF"/>
            <w:tcMar>
              <w:top w:w="0" w:type="dxa"/>
              <w:left w:w="108" w:type="dxa"/>
              <w:bottom w:w="0" w:type="dxa"/>
              <w:right w:w="108" w:type="dxa"/>
            </w:tcMar>
            <w:vAlign w:val="center"/>
          </w:tcPr>
          <w:p w14:paraId="1A9660D0"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No single environmental protection information system available</w:t>
            </w:r>
          </w:p>
        </w:tc>
        <w:tc>
          <w:tcPr>
            <w:tcW w:w="1159" w:type="pct"/>
            <w:shd w:val="clear" w:color="auto" w:fill="FFFFFF"/>
            <w:vAlign w:val="center"/>
          </w:tcPr>
          <w:p w14:paraId="160CBB5F"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The single environmental information system up and running (2027)</w:t>
            </w:r>
          </w:p>
        </w:tc>
      </w:tr>
      <w:tr w:rsidR="00E42F38" w:rsidRPr="007C4D65" w14:paraId="13335D0F" w14:textId="77777777" w:rsidTr="00B6017F">
        <w:trPr>
          <w:trHeight w:val="287"/>
        </w:trPr>
        <w:tc>
          <w:tcPr>
            <w:tcW w:w="708" w:type="pct"/>
            <w:vMerge/>
            <w:shd w:val="clear" w:color="auto" w:fill="D9D9D9"/>
            <w:vAlign w:val="center"/>
          </w:tcPr>
          <w:p w14:paraId="2DDCA91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054F6CD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3101E48" w14:textId="77777777"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 xml:space="preserve">Status of </w:t>
            </w:r>
            <w:proofErr w:type="gramStart"/>
            <w:r w:rsidRPr="007C4D65">
              <w:rPr>
                <w:rFonts w:asciiTheme="minorHAnsi" w:hAnsiTheme="minorHAnsi" w:cstheme="minorHAnsi"/>
                <w:sz w:val="18"/>
              </w:rPr>
              <w:t>the  adoption</w:t>
            </w:r>
            <w:proofErr w:type="gramEnd"/>
            <w:r w:rsidRPr="007C4D65">
              <w:rPr>
                <w:rFonts w:asciiTheme="minorHAnsi" w:hAnsiTheme="minorHAnsi" w:cstheme="minorHAnsi"/>
                <w:sz w:val="18"/>
              </w:rPr>
              <w:t xml:space="preserve"> of environmental data exchange methodology for all the segments of environment among the institutions at all the levels in the Federation of BiH  </w:t>
            </w:r>
          </w:p>
        </w:tc>
        <w:tc>
          <w:tcPr>
            <w:tcW w:w="1159" w:type="pct"/>
            <w:shd w:val="clear" w:color="auto" w:fill="FFFFFF"/>
            <w:tcMar>
              <w:top w:w="0" w:type="dxa"/>
              <w:left w:w="108" w:type="dxa"/>
              <w:bottom w:w="0" w:type="dxa"/>
              <w:right w:w="108" w:type="dxa"/>
            </w:tcMar>
            <w:vAlign w:val="center"/>
          </w:tcPr>
          <w:p w14:paraId="2C6696FF"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The methodology is not adopted</w:t>
            </w:r>
          </w:p>
        </w:tc>
        <w:tc>
          <w:tcPr>
            <w:tcW w:w="1159" w:type="pct"/>
            <w:shd w:val="clear" w:color="auto" w:fill="FFFFFF"/>
            <w:vAlign w:val="center"/>
          </w:tcPr>
          <w:p w14:paraId="76BB86E8"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The environmental data exchange methodology for all the segments of environment among the institutions at all the levels in the Federation of BiH defined and adopted (2026)</w:t>
            </w:r>
          </w:p>
        </w:tc>
      </w:tr>
      <w:tr w:rsidR="00E42F38" w:rsidRPr="007C4D65" w14:paraId="6A818D16" w14:textId="77777777" w:rsidTr="00B6017F">
        <w:trPr>
          <w:trHeight w:val="287"/>
        </w:trPr>
        <w:tc>
          <w:tcPr>
            <w:tcW w:w="708" w:type="pct"/>
            <w:vMerge/>
            <w:shd w:val="clear" w:color="auto" w:fill="D9D9D9"/>
            <w:vAlign w:val="center"/>
          </w:tcPr>
          <w:p w14:paraId="3485B5C8"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089B8F6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2D827EC" w14:textId="77777777"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The environmental data exchange procedure in the Federation of BiH based on the adopted methodology</w:t>
            </w:r>
          </w:p>
        </w:tc>
        <w:tc>
          <w:tcPr>
            <w:tcW w:w="1159" w:type="pct"/>
            <w:shd w:val="clear" w:color="auto" w:fill="FFFFFF"/>
            <w:tcMar>
              <w:top w:w="0" w:type="dxa"/>
              <w:left w:w="108" w:type="dxa"/>
              <w:bottom w:w="0" w:type="dxa"/>
              <w:right w:w="108" w:type="dxa"/>
            </w:tcMar>
            <w:vAlign w:val="center"/>
          </w:tcPr>
          <w:p w14:paraId="49805E9A"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The procedure is not defined</w:t>
            </w:r>
          </w:p>
        </w:tc>
        <w:tc>
          <w:tcPr>
            <w:tcW w:w="1159" w:type="pct"/>
            <w:shd w:val="clear" w:color="auto" w:fill="FFFFFF"/>
            <w:vAlign w:val="center"/>
          </w:tcPr>
          <w:p w14:paraId="5CBA19ED"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The data exchange procedure in the Federation of BiH based on the adopted methodology defined (2027)</w:t>
            </w:r>
          </w:p>
        </w:tc>
      </w:tr>
      <w:tr w:rsidR="00E42F38" w:rsidRPr="007C4D65" w14:paraId="01D43798" w14:textId="77777777" w:rsidTr="00B6017F">
        <w:trPr>
          <w:trHeight w:val="287"/>
        </w:trPr>
        <w:tc>
          <w:tcPr>
            <w:tcW w:w="708" w:type="pct"/>
            <w:vMerge/>
            <w:shd w:val="clear" w:color="auto" w:fill="D9D9D9"/>
            <w:vAlign w:val="center"/>
          </w:tcPr>
          <w:p w14:paraId="070E65B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E615727"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759510F" w14:textId="77777777"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Effectiveness of the institutional systems for environmental data collection</w:t>
            </w:r>
          </w:p>
        </w:tc>
        <w:tc>
          <w:tcPr>
            <w:tcW w:w="1159" w:type="pct"/>
            <w:shd w:val="clear" w:color="auto" w:fill="FFFFFF"/>
            <w:tcMar>
              <w:top w:w="0" w:type="dxa"/>
              <w:left w:w="108" w:type="dxa"/>
              <w:bottom w:w="0" w:type="dxa"/>
              <w:right w:w="108" w:type="dxa"/>
            </w:tcMar>
            <w:vAlign w:val="center"/>
          </w:tcPr>
          <w:p w14:paraId="0887506B"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Partly effective institutional systems for environmental data collection</w:t>
            </w:r>
          </w:p>
        </w:tc>
        <w:tc>
          <w:tcPr>
            <w:tcW w:w="1159" w:type="pct"/>
            <w:shd w:val="clear" w:color="auto" w:fill="FFFFFF"/>
            <w:vAlign w:val="center"/>
          </w:tcPr>
          <w:p w14:paraId="4A24D38A" w14:textId="4232BCAE"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Institutional systems for environmental data collection fully effective (2028)</w:t>
            </w:r>
          </w:p>
        </w:tc>
      </w:tr>
      <w:tr w:rsidR="00E42F38" w:rsidRPr="007C4D65" w14:paraId="51E98593" w14:textId="77777777" w:rsidTr="00B6017F">
        <w:trPr>
          <w:trHeight w:val="287"/>
        </w:trPr>
        <w:tc>
          <w:tcPr>
            <w:tcW w:w="708" w:type="pct"/>
            <w:vMerge/>
            <w:shd w:val="clear" w:color="auto" w:fill="D9D9D9"/>
            <w:vAlign w:val="center"/>
          </w:tcPr>
          <w:p w14:paraId="45656942"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5E83D4C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287CCCA" w14:textId="77777777"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Effectiveness of the environmental data monitoring system</w:t>
            </w:r>
          </w:p>
        </w:tc>
        <w:tc>
          <w:tcPr>
            <w:tcW w:w="1159" w:type="pct"/>
            <w:shd w:val="clear" w:color="auto" w:fill="FFFFFF"/>
            <w:tcMar>
              <w:top w:w="0" w:type="dxa"/>
              <w:left w:w="108" w:type="dxa"/>
              <w:bottom w:w="0" w:type="dxa"/>
              <w:right w:w="108" w:type="dxa"/>
            </w:tcMar>
            <w:vAlign w:val="center"/>
          </w:tcPr>
          <w:p w14:paraId="2EC80EB7"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There is a system of environmental data monitoring, but there is a need for improvement </w:t>
            </w:r>
          </w:p>
        </w:tc>
        <w:tc>
          <w:tcPr>
            <w:tcW w:w="1159" w:type="pct"/>
            <w:shd w:val="clear" w:color="auto" w:fill="FFFFFF"/>
            <w:vAlign w:val="center"/>
          </w:tcPr>
          <w:p w14:paraId="4BE95833"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The environmental data monitoring system improved (2028)</w:t>
            </w:r>
          </w:p>
        </w:tc>
      </w:tr>
      <w:tr w:rsidR="00E42F38" w:rsidRPr="007C4D65" w14:paraId="5C1656DB" w14:textId="77777777" w:rsidTr="00B6017F">
        <w:trPr>
          <w:trHeight w:val="287"/>
        </w:trPr>
        <w:tc>
          <w:tcPr>
            <w:tcW w:w="708" w:type="pct"/>
            <w:vMerge/>
            <w:shd w:val="clear" w:color="auto" w:fill="D9D9D9"/>
            <w:vAlign w:val="center"/>
          </w:tcPr>
          <w:p w14:paraId="06B64B92"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A7DDA7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9339498" w14:textId="77777777" w:rsidR="00E42F38" w:rsidRPr="007C4D65" w:rsidRDefault="00E42F38" w:rsidP="00E42F38">
            <w:pPr>
              <w:spacing w:after="120" w:line="276" w:lineRule="auto"/>
              <w:ind w:hanging="2"/>
              <w:contextualSpacing/>
              <w:rPr>
                <w:rFonts w:asciiTheme="minorHAnsi" w:eastAsia="Arial" w:hAnsiTheme="minorHAnsi" w:cstheme="minorHAnsi"/>
                <w:sz w:val="18"/>
                <w:szCs w:val="18"/>
              </w:rPr>
            </w:pPr>
            <w:r w:rsidRPr="007C4D65">
              <w:rPr>
                <w:rFonts w:asciiTheme="minorHAnsi" w:hAnsiTheme="minorHAnsi" w:cstheme="minorHAnsi"/>
                <w:sz w:val="18"/>
              </w:rPr>
              <w:t xml:space="preserve">Effectiveness of cooperation with the representatives of environmental NGOs aimed at improving options of environmental data collection </w:t>
            </w:r>
          </w:p>
        </w:tc>
        <w:tc>
          <w:tcPr>
            <w:tcW w:w="1159" w:type="pct"/>
            <w:shd w:val="clear" w:color="auto" w:fill="FFFFFF"/>
            <w:tcMar>
              <w:top w:w="0" w:type="dxa"/>
              <w:left w:w="108" w:type="dxa"/>
              <w:bottom w:w="0" w:type="dxa"/>
              <w:right w:w="108" w:type="dxa"/>
            </w:tcMar>
            <w:vAlign w:val="center"/>
          </w:tcPr>
          <w:p w14:paraId="7AD88B58" w14:textId="77777777" w:rsidR="00E42F38" w:rsidRPr="007C4D65" w:rsidRDefault="00E42F38" w:rsidP="00E42F38">
            <w:pPr>
              <w:spacing w:after="120" w:line="276" w:lineRule="auto"/>
              <w:ind w:left="2" w:hanging="2"/>
              <w:contextualSpacing/>
              <w:rPr>
                <w:rFonts w:asciiTheme="minorHAnsi" w:eastAsia="Calibri" w:hAnsiTheme="minorHAnsi" w:cstheme="minorHAnsi"/>
                <w:sz w:val="18"/>
                <w:szCs w:val="18"/>
              </w:rPr>
            </w:pPr>
            <w:r w:rsidRPr="007C4D65">
              <w:rPr>
                <w:rFonts w:asciiTheme="minorHAnsi" w:hAnsiTheme="minorHAnsi" w:cstheme="minorHAnsi"/>
                <w:sz w:val="18"/>
              </w:rPr>
              <w:t xml:space="preserve">Partial cooperation </w:t>
            </w:r>
          </w:p>
        </w:tc>
        <w:tc>
          <w:tcPr>
            <w:tcW w:w="1159" w:type="pct"/>
            <w:shd w:val="clear" w:color="auto" w:fill="FFFFFF"/>
            <w:vAlign w:val="center"/>
          </w:tcPr>
          <w:p w14:paraId="6066A009"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Effective cooperation with representatives environmental NGOs (2029</w:t>
            </w:r>
          </w:p>
        </w:tc>
      </w:tr>
      <w:tr w:rsidR="00E42F38" w:rsidRPr="007C4D65" w14:paraId="55216DB4" w14:textId="77777777" w:rsidTr="00B6017F">
        <w:trPr>
          <w:trHeight w:val="180"/>
        </w:trPr>
        <w:tc>
          <w:tcPr>
            <w:tcW w:w="708" w:type="pct"/>
            <w:vMerge/>
            <w:shd w:val="clear" w:color="auto" w:fill="D9D9D9"/>
            <w:vAlign w:val="center"/>
          </w:tcPr>
          <w:p w14:paraId="600EE460"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365C2864"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886654A" w14:textId="77777777" w:rsidR="00E42F38" w:rsidRPr="007C4D65" w:rsidRDefault="00E42F38" w:rsidP="00E42F38">
            <w:pPr>
              <w:spacing w:after="120" w:line="276" w:lineRule="auto"/>
              <w:ind w:left="-2"/>
              <w:contextualSpacing/>
              <w:rPr>
                <w:rFonts w:asciiTheme="minorHAnsi" w:eastAsia="Arial" w:hAnsiTheme="minorHAnsi" w:cstheme="minorHAnsi"/>
                <w:sz w:val="18"/>
                <w:szCs w:val="18"/>
              </w:rPr>
            </w:pPr>
            <w:r w:rsidRPr="007C4D65">
              <w:rPr>
                <w:rFonts w:asciiTheme="minorHAnsi" w:hAnsiTheme="minorHAnsi" w:cstheme="minorHAnsi"/>
                <w:color w:val="000000"/>
                <w:sz w:val="18"/>
              </w:rPr>
              <w:t xml:space="preserve">Stage of the establishment of the environmental data validation system </w:t>
            </w:r>
          </w:p>
        </w:tc>
        <w:tc>
          <w:tcPr>
            <w:tcW w:w="1159" w:type="pct"/>
            <w:shd w:val="clear" w:color="auto" w:fill="FFFFFF"/>
            <w:tcMar>
              <w:top w:w="0" w:type="dxa"/>
              <w:left w:w="108" w:type="dxa"/>
              <w:bottom w:w="0" w:type="dxa"/>
              <w:right w:w="108" w:type="dxa"/>
            </w:tcMar>
            <w:vAlign w:val="center"/>
          </w:tcPr>
          <w:p w14:paraId="26E87D02" w14:textId="77777777" w:rsidR="00E42F38" w:rsidRPr="007C4D65" w:rsidRDefault="00E42F38" w:rsidP="00E42F38">
            <w:pPr>
              <w:spacing w:after="120" w:line="276" w:lineRule="auto"/>
              <w:ind w:left="2" w:hanging="2"/>
              <w:contextualSpacing/>
              <w:rPr>
                <w:rFonts w:asciiTheme="minorHAnsi" w:eastAsia="Calibri" w:hAnsiTheme="minorHAnsi" w:cstheme="minorHAnsi"/>
                <w:sz w:val="18"/>
                <w:szCs w:val="18"/>
              </w:rPr>
            </w:pPr>
            <w:r w:rsidRPr="007C4D65">
              <w:rPr>
                <w:rFonts w:asciiTheme="minorHAnsi" w:hAnsiTheme="minorHAnsi" w:cstheme="minorHAnsi"/>
                <w:sz w:val="18"/>
              </w:rPr>
              <w:t xml:space="preserve">There is no environmental data validation system </w:t>
            </w:r>
          </w:p>
        </w:tc>
        <w:tc>
          <w:tcPr>
            <w:tcW w:w="1159" w:type="pct"/>
            <w:shd w:val="clear" w:color="auto" w:fill="FFFFFF"/>
            <w:vAlign w:val="center"/>
          </w:tcPr>
          <w:p w14:paraId="40108740"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The environmental data validation system up and running (2026)</w:t>
            </w:r>
          </w:p>
        </w:tc>
      </w:tr>
      <w:tr w:rsidR="00E42F38" w:rsidRPr="007C4D65" w14:paraId="309A090A" w14:textId="77777777" w:rsidTr="00B6017F">
        <w:trPr>
          <w:trHeight w:val="483"/>
        </w:trPr>
        <w:tc>
          <w:tcPr>
            <w:tcW w:w="708" w:type="pct"/>
            <w:vMerge/>
            <w:shd w:val="clear" w:color="auto" w:fill="D9D9D9"/>
            <w:vAlign w:val="center"/>
            <w:hideMark/>
          </w:tcPr>
          <w:p w14:paraId="7E7A68D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39158AE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0A7F7932" w14:textId="1706BF1E"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5759377F"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14B2F62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4A606A13" w14:textId="77777777" w:rsidTr="00B6017F">
        <w:trPr>
          <w:trHeight w:val="287"/>
        </w:trPr>
        <w:tc>
          <w:tcPr>
            <w:tcW w:w="708" w:type="pct"/>
            <w:vMerge/>
            <w:shd w:val="clear" w:color="auto" w:fill="D9D9D9"/>
            <w:vAlign w:val="center"/>
            <w:hideMark/>
          </w:tcPr>
          <w:p w14:paraId="20599A6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2886209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C9DF8C8"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0.076</w:t>
            </w:r>
          </w:p>
        </w:tc>
        <w:tc>
          <w:tcPr>
            <w:tcW w:w="1159" w:type="pct"/>
            <w:tcMar>
              <w:top w:w="0" w:type="dxa"/>
              <w:left w:w="108" w:type="dxa"/>
              <w:bottom w:w="0" w:type="dxa"/>
              <w:right w:w="108" w:type="dxa"/>
            </w:tcMar>
            <w:vAlign w:val="center"/>
          </w:tcPr>
          <w:p w14:paraId="135DF104"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0.684</w:t>
            </w:r>
          </w:p>
        </w:tc>
        <w:tc>
          <w:tcPr>
            <w:tcW w:w="1159" w:type="pct"/>
            <w:tcMar>
              <w:top w:w="0" w:type="dxa"/>
              <w:left w:w="108" w:type="dxa"/>
              <w:bottom w:w="0" w:type="dxa"/>
              <w:right w:w="108" w:type="dxa"/>
            </w:tcMar>
            <w:vAlign w:val="center"/>
          </w:tcPr>
          <w:p w14:paraId="15F3F08F"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0.760</w:t>
            </w:r>
          </w:p>
        </w:tc>
      </w:tr>
      <w:tr w:rsidR="00E42F38" w:rsidRPr="007C4D65" w14:paraId="4E7122E1"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71630A7B" w14:textId="2F7D34C8" w:rsidR="00E42F38" w:rsidRPr="007C4D65" w:rsidRDefault="00E42F38" w:rsidP="009D6490">
            <w:pPr>
              <w:spacing w:after="120" w:line="276" w:lineRule="auto"/>
              <w:ind w:hanging="2"/>
              <w:contextualSpacing/>
              <w:rPr>
                <w:rFonts w:asciiTheme="minorHAnsi" w:hAnsiTheme="minorHAnsi" w:cstheme="minorHAnsi"/>
                <w:b/>
                <w:sz w:val="18"/>
                <w:szCs w:val="18"/>
                <w:lang w:val="hr-HR"/>
              </w:rPr>
            </w:pPr>
            <w:r w:rsidRPr="007C4D65">
              <w:rPr>
                <w:rFonts w:asciiTheme="minorHAnsi" w:hAnsiTheme="minorHAnsi" w:cstheme="minorHAnsi"/>
                <w:b/>
                <w:sz w:val="18"/>
              </w:rPr>
              <w:t>7.5.3 Measure</w:t>
            </w:r>
          </w:p>
        </w:tc>
        <w:tc>
          <w:tcPr>
            <w:tcW w:w="815" w:type="pct"/>
            <w:vMerge w:val="restart"/>
            <w:tcMar>
              <w:top w:w="0" w:type="dxa"/>
              <w:left w:w="108" w:type="dxa"/>
              <w:bottom w:w="0" w:type="dxa"/>
              <w:right w:w="108" w:type="dxa"/>
            </w:tcMar>
            <w:vAlign w:val="center"/>
          </w:tcPr>
          <w:p w14:paraId="7F960D96"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Establishment of an effective system for monitoring, collection, validation of environmental data in accordance with the international agreements</w:t>
            </w:r>
          </w:p>
        </w:tc>
        <w:tc>
          <w:tcPr>
            <w:tcW w:w="1159" w:type="pct"/>
            <w:shd w:val="clear" w:color="auto" w:fill="D9D9D9"/>
            <w:tcMar>
              <w:top w:w="0" w:type="dxa"/>
              <w:left w:w="108" w:type="dxa"/>
              <w:bottom w:w="0" w:type="dxa"/>
              <w:right w:w="108" w:type="dxa"/>
            </w:tcMar>
            <w:vAlign w:val="center"/>
            <w:hideMark/>
          </w:tcPr>
          <w:p w14:paraId="3A942BE7"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616512DC"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7D9168DF"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36CB59DA" w14:textId="77777777" w:rsidTr="00B6017F">
        <w:trPr>
          <w:trHeight w:val="287"/>
        </w:trPr>
        <w:tc>
          <w:tcPr>
            <w:tcW w:w="708" w:type="pct"/>
            <w:vMerge/>
            <w:shd w:val="clear" w:color="auto" w:fill="D9D9D9"/>
            <w:vAlign w:val="center"/>
          </w:tcPr>
          <w:p w14:paraId="6553F2E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609B11C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805515D"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Performance of an analysis to review the current indicators and provide a proposal of an expanded set of indicators which should be monitored in all areas</w:t>
            </w:r>
          </w:p>
        </w:tc>
        <w:tc>
          <w:tcPr>
            <w:tcW w:w="1159" w:type="pct"/>
            <w:shd w:val="clear" w:color="auto" w:fill="FFFFFF"/>
            <w:tcMar>
              <w:top w:w="0" w:type="dxa"/>
              <w:left w:w="108" w:type="dxa"/>
              <w:bottom w:w="0" w:type="dxa"/>
              <w:right w:w="108" w:type="dxa"/>
            </w:tcMar>
            <w:vAlign w:val="center"/>
          </w:tcPr>
          <w:p w14:paraId="3F0F295D"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 analysis has been completed</w:t>
            </w:r>
          </w:p>
        </w:tc>
        <w:tc>
          <w:tcPr>
            <w:tcW w:w="1159" w:type="pct"/>
            <w:shd w:val="clear" w:color="auto" w:fill="FFFFFF"/>
            <w:vAlign w:val="center"/>
          </w:tcPr>
          <w:p w14:paraId="43B2A0B0"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The analysis with a proposal of an expanded set of indicators which should be monitored in all areas completed (2024)</w:t>
            </w:r>
          </w:p>
        </w:tc>
      </w:tr>
      <w:tr w:rsidR="00E42F38" w:rsidRPr="007C4D65" w14:paraId="72183CE8" w14:textId="77777777" w:rsidTr="00B6017F">
        <w:trPr>
          <w:trHeight w:val="287"/>
        </w:trPr>
        <w:tc>
          <w:tcPr>
            <w:tcW w:w="708" w:type="pct"/>
            <w:vMerge/>
            <w:shd w:val="clear" w:color="auto" w:fill="D9D9D9"/>
            <w:vAlign w:val="center"/>
          </w:tcPr>
          <w:p w14:paraId="3242D8D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9855F0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C9AC4B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list of environmental indicators of the Federation of BiH</w:t>
            </w:r>
          </w:p>
        </w:tc>
        <w:tc>
          <w:tcPr>
            <w:tcW w:w="1159" w:type="pct"/>
            <w:shd w:val="clear" w:color="auto" w:fill="FFFFFF"/>
            <w:tcMar>
              <w:top w:w="0" w:type="dxa"/>
              <w:left w:w="108" w:type="dxa"/>
              <w:bottom w:w="0" w:type="dxa"/>
              <w:right w:w="108" w:type="dxa"/>
            </w:tcMar>
            <w:vAlign w:val="center"/>
          </w:tcPr>
          <w:p w14:paraId="78788287"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Not adopted</w:t>
            </w:r>
          </w:p>
        </w:tc>
        <w:tc>
          <w:tcPr>
            <w:tcW w:w="1159" w:type="pct"/>
            <w:shd w:val="clear" w:color="auto" w:fill="FFFFFF"/>
            <w:vAlign w:val="center"/>
          </w:tcPr>
          <w:p w14:paraId="42347924"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The list of environmental indicators of the Federation of BiH adopted (2024)</w:t>
            </w:r>
          </w:p>
        </w:tc>
      </w:tr>
      <w:tr w:rsidR="00E42F38" w:rsidRPr="007C4D65" w14:paraId="7671CB77" w14:textId="77777777" w:rsidTr="00B6017F">
        <w:trPr>
          <w:trHeight w:val="287"/>
        </w:trPr>
        <w:tc>
          <w:tcPr>
            <w:tcW w:w="708" w:type="pct"/>
            <w:vMerge/>
            <w:shd w:val="clear" w:color="auto" w:fill="D9D9D9"/>
            <w:vAlign w:val="center"/>
          </w:tcPr>
          <w:p w14:paraId="26E5808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D80726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3B22F43"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Effectiveness of cooperation with the working group which will provide expert proposals and coordinate the implementation of conclusions and proposals of the analysis</w:t>
            </w:r>
          </w:p>
        </w:tc>
        <w:tc>
          <w:tcPr>
            <w:tcW w:w="1159" w:type="pct"/>
            <w:shd w:val="clear" w:color="auto" w:fill="FFFFFF"/>
            <w:tcMar>
              <w:top w:w="0" w:type="dxa"/>
              <w:left w:w="108" w:type="dxa"/>
              <w:bottom w:w="0" w:type="dxa"/>
              <w:right w:w="108" w:type="dxa"/>
            </w:tcMar>
            <w:vAlign w:val="center"/>
          </w:tcPr>
          <w:p w14:paraId="75CC069C"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working group not formed</w:t>
            </w:r>
          </w:p>
        </w:tc>
        <w:tc>
          <w:tcPr>
            <w:tcW w:w="1159" w:type="pct"/>
            <w:shd w:val="clear" w:color="auto" w:fill="FFFFFF"/>
            <w:vAlign w:val="center"/>
          </w:tcPr>
          <w:p w14:paraId="2F2696BE"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Effective cooperation within the Working Group (2025)</w:t>
            </w:r>
          </w:p>
        </w:tc>
      </w:tr>
      <w:tr w:rsidR="00E42F38" w:rsidRPr="007C4D65" w14:paraId="216D753A" w14:textId="77777777" w:rsidTr="00B6017F">
        <w:trPr>
          <w:trHeight w:val="287"/>
        </w:trPr>
        <w:tc>
          <w:tcPr>
            <w:tcW w:w="708" w:type="pct"/>
            <w:vMerge/>
            <w:shd w:val="clear" w:color="auto" w:fill="D9D9D9"/>
            <w:vAlign w:val="center"/>
          </w:tcPr>
          <w:p w14:paraId="0697894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7E79EB6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6492910"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Training and education programme of all agencies and institutions in the Federation of Bosnia and Herzegovina involved in reporting</w:t>
            </w:r>
          </w:p>
        </w:tc>
        <w:tc>
          <w:tcPr>
            <w:tcW w:w="1159" w:type="pct"/>
            <w:shd w:val="clear" w:color="auto" w:fill="FFFFFF"/>
            <w:tcMar>
              <w:top w:w="0" w:type="dxa"/>
              <w:left w:w="108" w:type="dxa"/>
              <w:bottom w:w="0" w:type="dxa"/>
              <w:right w:w="108" w:type="dxa"/>
            </w:tcMar>
            <w:vAlign w:val="center"/>
          </w:tcPr>
          <w:p w14:paraId="5FB8FF7C"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training and education programme not prepared</w:t>
            </w:r>
          </w:p>
        </w:tc>
        <w:tc>
          <w:tcPr>
            <w:tcW w:w="1159" w:type="pct"/>
            <w:shd w:val="clear" w:color="auto" w:fill="FFFFFF"/>
            <w:vAlign w:val="center"/>
          </w:tcPr>
          <w:p w14:paraId="572E2C7C" w14:textId="4AA64F2E"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The training and education program</w:t>
            </w:r>
            <w:r w:rsidR="00227D11" w:rsidRPr="007C4D65">
              <w:rPr>
                <w:rFonts w:asciiTheme="minorHAnsi" w:hAnsiTheme="minorHAnsi" w:cstheme="minorHAnsi"/>
                <w:sz w:val="18"/>
              </w:rPr>
              <w:t>me</w:t>
            </w:r>
            <w:r w:rsidRPr="007C4D65">
              <w:rPr>
                <w:rFonts w:asciiTheme="minorHAnsi" w:hAnsiTheme="minorHAnsi" w:cstheme="minorHAnsi"/>
                <w:sz w:val="18"/>
              </w:rPr>
              <w:t xml:space="preserve"> prepared (2025)</w:t>
            </w:r>
          </w:p>
        </w:tc>
      </w:tr>
      <w:tr w:rsidR="00E42F38" w:rsidRPr="007C4D65" w14:paraId="0D0F17B2" w14:textId="77777777" w:rsidTr="00B6017F">
        <w:trPr>
          <w:trHeight w:val="287"/>
        </w:trPr>
        <w:tc>
          <w:tcPr>
            <w:tcW w:w="708" w:type="pct"/>
            <w:vMerge/>
            <w:shd w:val="clear" w:color="auto" w:fill="D9D9D9"/>
            <w:vAlign w:val="center"/>
          </w:tcPr>
          <w:p w14:paraId="7F370649"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7CF9250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D0DE616"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Level of the implementation of the training and education of all agencies and institutions in the Federation of Bosnia and Herzegovina involved in reporting</w:t>
            </w:r>
          </w:p>
        </w:tc>
        <w:tc>
          <w:tcPr>
            <w:tcW w:w="1159" w:type="pct"/>
            <w:shd w:val="clear" w:color="auto" w:fill="FFFFFF"/>
            <w:tcMar>
              <w:top w:w="0" w:type="dxa"/>
              <w:left w:w="108" w:type="dxa"/>
              <w:bottom w:w="0" w:type="dxa"/>
              <w:right w:w="108" w:type="dxa"/>
            </w:tcMar>
            <w:vAlign w:val="center"/>
          </w:tcPr>
          <w:p w14:paraId="1940DFE4"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training and education programme not prepared</w:t>
            </w:r>
          </w:p>
        </w:tc>
        <w:tc>
          <w:tcPr>
            <w:tcW w:w="1159" w:type="pct"/>
            <w:shd w:val="clear" w:color="auto" w:fill="FFFFFF"/>
            <w:vAlign w:val="center"/>
          </w:tcPr>
          <w:p w14:paraId="68D9F814" w14:textId="292966BC"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Training and education </w:t>
            </w:r>
            <w:r w:rsidR="00830279" w:rsidRPr="007C4D65">
              <w:rPr>
                <w:rFonts w:asciiTheme="minorHAnsi" w:hAnsiTheme="minorHAnsi" w:cstheme="minorHAnsi"/>
                <w:sz w:val="18"/>
              </w:rPr>
              <w:t>programme</w:t>
            </w:r>
            <w:r w:rsidRPr="007C4D65">
              <w:rPr>
                <w:rFonts w:asciiTheme="minorHAnsi" w:hAnsiTheme="minorHAnsi" w:cstheme="minorHAnsi"/>
                <w:sz w:val="18"/>
              </w:rPr>
              <w:t xml:space="preserve"> implemented in all agencies and institutions of the Federation of Bosnia and Herzegovina involved in reporting (continuously– </w:t>
            </w:r>
            <w:proofErr w:type="gramStart"/>
            <w:r w:rsidRPr="007C4D65">
              <w:rPr>
                <w:rFonts w:asciiTheme="minorHAnsi" w:hAnsiTheme="minorHAnsi" w:cstheme="minorHAnsi"/>
                <w:sz w:val="18"/>
              </w:rPr>
              <w:t>2030.+</w:t>
            </w:r>
            <w:proofErr w:type="gramEnd"/>
            <w:r w:rsidRPr="007C4D65">
              <w:rPr>
                <w:rFonts w:asciiTheme="minorHAnsi" w:hAnsiTheme="minorHAnsi" w:cstheme="minorHAnsi"/>
                <w:sz w:val="18"/>
              </w:rPr>
              <w:t>)</w:t>
            </w:r>
          </w:p>
        </w:tc>
      </w:tr>
      <w:tr w:rsidR="00E42F38" w:rsidRPr="007C4D65" w14:paraId="77F4136D" w14:textId="77777777" w:rsidTr="00B6017F">
        <w:trPr>
          <w:trHeight w:val="287"/>
        </w:trPr>
        <w:tc>
          <w:tcPr>
            <w:tcW w:w="708" w:type="pct"/>
            <w:vMerge/>
            <w:shd w:val="clear" w:color="auto" w:fill="D9D9D9"/>
            <w:vAlign w:val="center"/>
          </w:tcPr>
          <w:p w14:paraId="170CC7E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605CCFC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39B618D"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Level of the implementation of the Strategy on monitoring the state of </w:t>
            </w:r>
            <w:r w:rsidRPr="007C4D65">
              <w:rPr>
                <w:rFonts w:asciiTheme="minorHAnsi" w:hAnsiTheme="minorHAnsi" w:cstheme="minorHAnsi"/>
                <w:sz w:val="18"/>
              </w:rPr>
              <w:lastRenderedPageBreak/>
              <w:t>environment, data management and reporting</w:t>
            </w:r>
          </w:p>
        </w:tc>
        <w:tc>
          <w:tcPr>
            <w:tcW w:w="1159" w:type="pct"/>
            <w:shd w:val="clear" w:color="auto" w:fill="FFFFFF"/>
            <w:tcMar>
              <w:top w:w="0" w:type="dxa"/>
              <w:left w:w="108" w:type="dxa"/>
              <w:bottom w:w="0" w:type="dxa"/>
              <w:right w:w="108" w:type="dxa"/>
            </w:tcMar>
            <w:vAlign w:val="center"/>
          </w:tcPr>
          <w:p w14:paraId="5AFA45C6"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lastRenderedPageBreak/>
              <w:t xml:space="preserve">The Strategy on monitoring the state of environment, data management and </w:t>
            </w:r>
            <w:r w:rsidRPr="007C4D65">
              <w:rPr>
                <w:rFonts w:asciiTheme="minorHAnsi" w:hAnsiTheme="minorHAnsi" w:cstheme="minorHAnsi"/>
                <w:sz w:val="18"/>
              </w:rPr>
              <w:lastRenderedPageBreak/>
              <w:t>reporting is not adopted at the level of Bosnia and Herzegovina</w:t>
            </w:r>
          </w:p>
        </w:tc>
        <w:tc>
          <w:tcPr>
            <w:tcW w:w="1159" w:type="pct"/>
            <w:shd w:val="clear" w:color="auto" w:fill="FFFFFF"/>
            <w:vAlign w:val="center"/>
          </w:tcPr>
          <w:p w14:paraId="4E5397D1" w14:textId="79331D45"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lastRenderedPageBreak/>
              <w:t xml:space="preserve">Advanced implementation of the </w:t>
            </w:r>
            <w:r w:rsidR="00830279" w:rsidRPr="007C4D65">
              <w:rPr>
                <w:rFonts w:asciiTheme="minorHAnsi" w:hAnsiTheme="minorHAnsi" w:cstheme="minorHAnsi"/>
                <w:sz w:val="18"/>
              </w:rPr>
              <w:t>strategy</w:t>
            </w:r>
            <w:r w:rsidRPr="007C4D65">
              <w:rPr>
                <w:rFonts w:asciiTheme="minorHAnsi" w:hAnsiTheme="minorHAnsi" w:cstheme="minorHAnsi"/>
                <w:sz w:val="18"/>
              </w:rPr>
              <w:t xml:space="preserve"> on monitoring the state of environment, </w:t>
            </w:r>
            <w:r w:rsidRPr="007C4D65">
              <w:rPr>
                <w:rFonts w:asciiTheme="minorHAnsi" w:hAnsiTheme="minorHAnsi" w:cstheme="minorHAnsi"/>
                <w:sz w:val="18"/>
              </w:rPr>
              <w:lastRenderedPageBreak/>
              <w:t>data management and reporting in the Federation of Bosnia and Herzegovina after it had been adopted at the national level (continuously as of 2026 onwards (2030+)</w:t>
            </w:r>
          </w:p>
        </w:tc>
      </w:tr>
      <w:tr w:rsidR="00E42F38" w:rsidRPr="007C4D65" w14:paraId="234EA2DC" w14:textId="77777777" w:rsidTr="00B6017F">
        <w:trPr>
          <w:trHeight w:val="287"/>
        </w:trPr>
        <w:tc>
          <w:tcPr>
            <w:tcW w:w="708" w:type="pct"/>
            <w:vMerge/>
            <w:shd w:val="clear" w:color="auto" w:fill="D9D9D9"/>
            <w:vAlign w:val="center"/>
          </w:tcPr>
          <w:p w14:paraId="699A290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5A24785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42A4F9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Level of the implementation of the Action Plan for the Implementation of the Regulation EIONET in BiH in the territory of the Federation of Bosnia and Herzegovina</w:t>
            </w:r>
          </w:p>
        </w:tc>
        <w:tc>
          <w:tcPr>
            <w:tcW w:w="1159" w:type="pct"/>
            <w:shd w:val="clear" w:color="auto" w:fill="FFFFFF"/>
            <w:tcMar>
              <w:top w:w="0" w:type="dxa"/>
              <w:left w:w="108" w:type="dxa"/>
              <w:bottom w:w="0" w:type="dxa"/>
              <w:right w:w="108" w:type="dxa"/>
            </w:tcMar>
            <w:vAlign w:val="center"/>
          </w:tcPr>
          <w:p w14:paraId="263B47F7"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Action Plan is not adopted</w:t>
            </w:r>
          </w:p>
        </w:tc>
        <w:tc>
          <w:tcPr>
            <w:tcW w:w="1159" w:type="pct"/>
            <w:shd w:val="clear" w:color="auto" w:fill="FFFFFF"/>
            <w:vAlign w:val="center"/>
          </w:tcPr>
          <w:p w14:paraId="4B44A3D9"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The Action Plan for the implementation of the Decree on EIONET BiH in the territory of Federation of BiH adopted and implemented (continuously as of </w:t>
            </w:r>
            <w:proofErr w:type="gramStart"/>
            <w:r w:rsidRPr="007C4D65">
              <w:rPr>
                <w:rFonts w:asciiTheme="minorHAnsi" w:hAnsiTheme="minorHAnsi" w:cstheme="minorHAnsi"/>
                <w:sz w:val="18"/>
              </w:rPr>
              <w:t>2026 )</w:t>
            </w:r>
            <w:proofErr w:type="gramEnd"/>
          </w:p>
        </w:tc>
      </w:tr>
      <w:tr w:rsidR="00E42F38" w:rsidRPr="007C4D65" w14:paraId="68BB813A" w14:textId="77777777" w:rsidTr="00B6017F">
        <w:trPr>
          <w:trHeight w:val="287"/>
        </w:trPr>
        <w:tc>
          <w:tcPr>
            <w:tcW w:w="708" w:type="pct"/>
            <w:vMerge/>
            <w:shd w:val="clear" w:color="auto" w:fill="D9D9D9"/>
            <w:vAlign w:val="center"/>
          </w:tcPr>
          <w:p w14:paraId="1ACAA26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6AC4D9A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CDFABA6"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Level of the implementation of the Action Plan for the Implementation of the Directive on standardised reporting in the territory of the Federation of Bosnia and Herzegovina</w:t>
            </w:r>
          </w:p>
        </w:tc>
        <w:tc>
          <w:tcPr>
            <w:tcW w:w="1159" w:type="pct"/>
            <w:shd w:val="clear" w:color="auto" w:fill="FFFFFF"/>
            <w:tcMar>
              <w:top w:w="0" w:type="dxa"/>
              <w:left w:w="108" w:type="dxa"/>
              <w:bottom w:w="0" w:type="dxa"/>
              <w:right w:w="108" w:type="dxa"/>
            </w:tcMar>
            <w:vAlign w:val="center"/>
          </w:tcPr>
          <w:p w14:paraId="4BC8C510"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Action Plan is not adopted</w:t>
            </w:r>
          </w:p>
        </w:tc>
        <w:tc>
          <w:tcPr>
            <w:tcW w:w="1159" w:type="pct"/>
            <w:shd w:val="clear" w:color="auto" w:fill="FFFFFF"/>
            <w:vAlign w:val="center"/>
          </w:tcPr>
          <w:p w14:paraId="703CD4C5"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The Action Plan for the Implementation of the Directive on standardised reporting in the territory of the Federation of Bosnia and Herzegovina adopted and implemented (continuously as of 2025).</w:t>
            </w:r>
          </w:p>
        </w:tc>
      </w:tr>
      <w:tr w:rsidR="00E42F38" w:rsidRPr="007C4D65" w14:paraId="4E953DC8" w14:textId="77777777" w:rsidTr="00B6017F">
        <w:trPr>
          <w:trHeight w:val="483"/>
        </w:trPr>
        <w:tc>
          <w:tcPr>
            <w:tcW w:w="708" w:type="pct"/>
            <w:vMerge/>
            <w:shd w:val="clear" w:color="auto" w:fill="D9D9D9"/>
            <w:vAlign w:val="center"/>
            <w:hideMark/>
          </w:tcPr>
          <w:p w14:paraId="7C596B0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0D6CE1E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2522873A" w14:textId="0FE420BB"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38AA73AB"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7E24386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56FA6A5A" w14:textId="77777777" w:rsidTr="00B6017F">
        <w:trPr>
          <w:trHeight w:val="287"/>
        </w:trPr>
        <w:tc>
          <w:tcPr>
            <w:tcW w:w="708" w:type="pct"/>
            <w:vMerge/>
            <w:shd w:val="clear" w:color="auto" w:fill="D9D9D9"/>
            <w:vAlign w:val="center"/>
            <w:hideMark/>
          </w:tcPr>
          <w:p w14:paraId="4E70047C"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3A68F94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8306977"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0.048</w:t>
            </w:r>
          </w:p>
        </w:tc>
        <w:tc>
          <w:tcPr>
            <w:tcW w:w="1159" w:type="pct"/>
            <w:tcMar>
              <w:top w:w="0" w:type="dxa"/>
              <w:left w:w="108" w:type="dxa"/>
              <w:bottom w:w="0" w:type="dxa"/>
              <w:right w:w="108" w:type="dxa"/>
            </w:tcMar>
            <w:vAlign w:val="center"/>
          </w:tcPr>
          <w:p w14:paraId="244AF56A"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0.433</w:t>
            </w:r>
          </w:p>
        </w:tc>
        <w:tc>
          <w:tcPr>
            <w:tcW w:w="1159" w:type="pct"/>
            <w:tcMar>
              <w:top w:w="0" w:type="dxa"/>
              <w:left w:w="108" w:type="dxa"/>
              <w:bottom w:w="0" w:type="dxa"/>
              <w:right w:w="108" w:type="dxa"/>
            </w:tcMar>
            <w:vAlign w:val="center"/>
          </w:tcPr>
          <w:p w14:paraId="6AB5AEA9"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0.481</w:t>
            </w:r>
          </w:p>
        </w:tc>
      </w:tr>
      <w:tr w:rsidR="00E42F38" w:rsidRPr="007C4D65" w14:paraId="25CC8799"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5FCEDA2E"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7.5.4 Measure</w:t>
            </w:r>
          </w:p>
        </w:tc>
        <w:tc>
          <w:tcPr>
            <w:tcW w:w="815" w:type="pct"/>
            <w:vMerge w:val="restart"/>
            <w:tcMar>
              <w:top w:w="0" w:type="dxa"/>
              <w:left w:w="108" w:type="dxa"/>
              <w:bottom w:w="0" w:type="dxa"/>
              <w:right w:w="108" w:type="dxa"/>
            </w:tcMar>
            <w:vAlign w:val="center"/>
          </w:tcPr>
          <w:p w14:paraId="1D950E99" w14:textId="61F37339"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Establishment of a system for </w:t>
            </w:r>
            <w:r w:rsidR="00A13CFC" w:rsidRPr="007C4D65">
              <w:rPr>
                <w:rFonts w:asciiTheme="minorHAnsi" w:hAnsiTheme="minorHAnsi" w:cstheme="minorHAnsi"/>
                <w:sz w:val="18"/>
              </w:rPr>
              <w:t xml:space="preserve">spatial data </w:t>
            </w:r>
            <w:proofErr w:type="gramStart"/>
            <w:r w:rsidR="00A13CFC" w:rsidRPr="007C4D65">
              <w:rPr>
                <w:rFonts w:asciiTheme="minorHAnsi" w:hAnsiTheme="minorHAnsi" w:cstheme="minorHAnsi"/>
                <w:sz w:val="18"/>
              </w:rPr>
              <w:t xml:space="preserve">exchange  </w:t>
            </w:r>
            <w:r w:rsidRPr="007C4D65">
              <w:rPr>
                <w:rFonts w:asciiTheme="minorHAnsi" w:hAnsiTheme="minorHAnsi" w:cstheme="minorHAnsi"/>
                <w:sz w:val="18"/>
              </w:rPr>
              <w:t>in</w:t>
            </w:r>
            <w:proofErr w:type="gramEnd"/>
            <w:r w:rsidRPr="007C4D65">
              <w:rPr>
                <w:rFonts w:asciiTheme="minorHAnsi" w:hAnsiTheme="minorHAnsi" w:cstheme="minorHAnsi"/>
                <w:sz w:val="18"/>
              </w:rPr>
              <w:t xml:space="preserve"> the Federation of BiH in accordance with the INSPIRE Directives I II, and III</w:t>
            </w:r>
          </w:p>
        </w:tc>
        <w:tc>
          <w:tcPr>
            <w:tcW w:w="1159" w:type="pct"/>
            <w:shd w:val="clear" w:color="auto" w:fill="D9D9D9"/>
            <w:tcMar>
              <w:top w:w="0" w:type="dxa"/>
              <w:left w:w="108" w:type="dxa"/>
              <w:bottom w:w="0" w:type="dxa"/>
              <w:right w:w="108" w:type="dxa"/>
            </w:tcMar>
            <w:vAlign w:val="center"/>
            <w:hideMark/>
          </w:tcPr>
          <w:p w14:paraId="7A5DCF0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7BDC62BC"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50C4B7D0"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766A5121" w14:textId="77777777" w:rsidTr="00B6017F">
        <w:trPr>
          <w:trHeight w:val="287"/>
        </w:trPr>
        <w:tc>
          <w:tcPr>
            <w:tcW w:w="708" w:type="pct"/>
            <w:vMerge/>
            <w:shd w:val="clear" w:color="auto" w:fill="D9D9D9"/>
            <w:vAlign w:val="center"/>
          </w:tcPr>
          <w:p w14:paraId="327AB4A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28721E4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CFF4914"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adoption of a methodology for spatial data management in the Federation of BiH</w:t>
            </w:r>
          </w:p>
        </w:tc>
        <w:tc>
          <w:tcPr>
            <w:tcW w:w="1159" w:type="pct"/>
            <w:shd w:val="clear" w:color="auto" w:fill="FFFFFF"/>
            <w:tcMar>
              <w:top w:w="0" w:type="dxa"/>
              <w:left w:w="108" w:type="dxa"/>
              <w:bottom w:w="0" w:type="dxa"/>
              <w:right w:w="108" w:type="dxa"/>
            </w:tcMar>
            <w:vAlign w:val="center"/>
          </w:tcPr>
          <w:p w14:paraId="28A35737"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methodology is not adopted</w:t>
            </w:r>
          </w:p>
        </w:tc>
        <w:tc>
          <w:tcPr>
            <w:tcW w:w="1159" w:type="pct"/>
            <w:shd w:val="clear" w:color="auto" w:fill="FFFFFF"/>
            <w:vAlign w:val="center"/>
          </w:tcPr>
          <w:p w14:paraId="1D558F61"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The methodology for spatial data management in the Federation of BiH developed and adopted (2025)</w:t>
            </w:r>
          </w:p>
        </w:tc>
      </w:tr>
      <w:tr w:rsidR="00E42F38" w:rsidRPr="007C4D65" w14:paraId="6BBCF9C9" w14:textId="77777777" w:rsidTr="00B6017F">
        <w:trPr>
          <w:trHeight w:val="287"/>
        </w:trPr>
        <w:tc>
          <w:tcPr>
            <w:tcW w:w="708" w:type="pct"/>
            <w:vMerge/>
            <w:shd w:val="clear" w:color="auto" w:fill="D9D9D9"/>
            <w:vAlign w:val="center"/>
          </w:tcPr>
          <w:p w14:paraId="67B75779"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7FA399C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24FDC9C" w14:textId="4D0093BE"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Status of the adoption of </w:t>
            </w:r>
            <w:r w:rsidR="00B80FAD" w:rsidRPr="007C4D65">
              <w:rPr>
                <w:rFonts w:asciiTheme="minorHAnsi" w:hAnsiTheme="minorHAnsi" w:cstheme="minorHAnsi"/>
                <w:sz w:val="18"/>
              </w:rPr>
              <w:t>bylaw</w:t>
            </w:r>
            <w:r w:rsidRPr="007C4D65">
              <w:rPr>
                <w:rFonts w:asciiTheme="minorHAnsi" w:hAnsiTheme="minorHAnsi" w:cstheme="minorHAnsi"/>
                <w:sz w:val="18"/>
              </w:rPr>
              <w:t xml:space="preserve">s required for an effective establishment of SDI in </w:t>
            </w:r>
            <w:r w:rsidR="008C23C0" w:rsidRPr="007C4D65">
              <w:rPr>
                <w:rFonts w:asciiTheme="minorHAnsi" w:hAnsiTheme="minorHAnsi" w:cstheme="minorHAnsi"/>
                <w:sz w:val="18"/>
              </w:rPr>
              <w:t>the Federation of BiH</w:t>
            </w:r>
          </w:p>
        </w:tc>
        <w:tc>
          <w:tcPr>
            <w:tcW w:w="1159" w:type="pct"/>
            <w:shd w:val="clear" w:color="auto" w:fill="FFFFFF"/>
            <w:tcMar>
              <w:top w:w="0" w:type="dxa"/>
              <w:left w:w="108" w:type="dxa"/>
              <w:bottom w:w="0" w:type="dxa"/>
              <w:right w:w="108" w:type="dxa"/>
            </w:tcMar>
            <w:vAlign w:val="center"/>
          </w:tcPr>
          <w:p w14:paraId="0CCF1AD3" w14:textId="7118FA91"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w:t>
            </w:r>
            <w:r w:rsidR="00B80FAD" w:rsidRPr="007C4D65">
              <w:rPr>
                <w:rFonts w:asciiTheme="minorHAnsi" w:hAnsiTheme="minorHAnsi" w:cstheme="minorHAnsi"/>
                <w:sz w:val="18"/>
              </w:rPr>
              <w:t>bylaw</w:t>
            </w:r>
            <w:r w:rsidRPr="007C4D65">
              <w:rPr>
                <w:rFonts w:asciiTheme="minorHAnsi" w:hAnsiTheme="minorHAnsi" w:cstheme="minorHAnsi"/>
                <w:sz w:val="18"/>
              </w:rPr>
              <w:t>s not adopted</w:t>
            </w:r>
          </w:p>
        </w:tc>
        <w:tc>
          <w:tcPr>
            <w:tcW w:w="1159" w:type="pct"/>
            <w:shd w:val="clear" w:color="auto" w:fill="FFFFFF"/>
            <w:vAlign w:val="center"/>
          </w:tcPr>
          <w:p w14:paraId="0044D571" w14:textId="3AE62250"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 xml:space="preserve">The </w:t>
            </w:r>
            <w:r w:rsidR="00B80FAD" w:rsidRPr="007C4D65">
              <w:rPr>
                <w:rFonts w:asciiTheme="minorHAnsi" w:hAnsiTheme="minorHAnsi" w:cstheme="minorHAnsi"/>
                <w:sz w:val="18"/>
              </w:rPr>
              <w:t>bylaw</w:t>
            </w:r>
            <w:r w:rsidRPr="007C4D65">
              <w:rPr>
                <w:rFonts w:asciiTheme="minorHAnsi" w:hAnsiTheme="minorHAnsi" w:cstheme="minorHAnsi"/>
                <w:sz w:val="18"/>
              </w:rPr>
              <w:t xml:space="preserve">s required for an </w:t>
            </w:r>
            <w:proofErr w:type="gramStart"/>
            <w:r w:rsidRPr="007C4D65">
              <w:rPr>
                <w:rFonts w:asciiTheme="minorHAnsi" w:hAnsiTheme="minorHAnsi" w:cstheme="minorHAnsi"/>
                <w:sz w:val="18"/>
              </w:rPr>
              <w:t>effective  establishment</w:t>
            </w:r>
            <w:proofErr w:type="gramEnd"/>
            <w:r w:rsidRPr="007C4D65">
              <w:rPr>
                <w:rFonts w:asciiTheme="minorHAnsi" w:hAnsiTheme="minorHAnsi" w:cstheme="minorHAnsi"/>
                <w:sz w:val="18"/>
              </w:rPr>
              <w:t xml:space="preserve"> of SDI in </w:t>
            </w:r>
            <w:r w:rsidR="008C23C0" w:rsidRPr="007C4D65">
              <w:rPr>
                <w:rFonts w:asciiTheme="minorHAnsi" w:hAnsiTheme="minorHAnsi" w:cstheme="minorHAnsi"/>
                <w:sz w:val="18"/>
              </w:rPr>
              <w:t>the Federation of BiH</w:t>
            </w:r>
            <w:r w:rsidRPr="007C4D65">
              <w:rPr>
                <w:rFonts w:asciiTheme="minorHAnsi" w:hAnsiTheme="minorHAnsi" w:cstheme="minorHAnsi"/>
                <w:sz w:val="18"/>
              </w:rPr>
              <w:t xml:space="preserve"> adopted (2024)</w:t>
            </w:r>
          </w:p>
        </w:tc>
      </w:tr>
      <w:tr w:rsidR="00E42F38" w:rsidRPr="007C4D65" w14:paraId="25610333" w14:textId="77777777" w:rsidTr="00B6017F">
        <w:trPr>
          <w:trHeight w:val="287"/>
        </w:trPr>
        <w:tc>
          <w:tcPr>
            <w:tcW w:w="708" w:type="pct"/>
            <w:vMerge/>
            <w:shd w:val="clear" w:color="auto" w:fill="D9D9D9"/>
            <w:vAlign w:val="center"/>
          </w:tcPr>
          <w:p w14:paraId="4BC7748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3DCE457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D4BF20C" w14:textId="7C497FFB"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Status of setting up SDI in </w:t>
            </w:r>
            <w:r w:rsidR="008C23C0" w:rsidRPr="007C4D65">
              <w:rPr>
                <w:rFonts w:asciiTheme="minorHAnsi" w:hAnsiTheme="minorHAnsi" w:cstheme="minorHAnsi"/>
                <w:sz w:val="18"/>
              </w:rPr>
              <w:t>the Federation of BiH</w:t>
            </w:r>
          </w:p>
        </w:tc>
        <w:tc>
          <w:tcPr>
            <w:tcW w:w="1159" w:type="pct"/>
            <w:shd w:val="clear" w:color="auto" w:fill="FFFFFF"/>
            <w:tcMar>
              <w:top w:w="0" w:type="dxa"/>
              <w:left w:w="108" w:type="dxa"/>
              <w:bottom w:w="0" w:type="dxa"/>
              <w:right w:w="108" w:type="dxa"/>
            </w:tcMar>
            <w:vAlign w:val="center"/>
          </w:tcPr>
          <w:p w14:paraId="55918DF3"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SDI not established</w:t>
            </w:r>
          </w:p>
        </w:tc>
        <w:tc>
          <w:tcPr>
            <w:tcW w:w="1159" w:type="pct"/>
            <w:shd w:val="clear" w:color="auto" w:fill="FFFFFF"/>
            <w:vAlign w:val="center"/>
          </w:tcPr>
          <w:p w14:paraId="4BFF8A14"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SDI in the Federation of BiH in place and operational (2030+)</w:t>
            </w:r>
          </w:p>
        </w:tc>
      </w:tr>
      <w:tr w:rsidR="00E42F38" w:rsidRPr="007C4D65" w14:paraId="041C6E83" w14:textId="77777777" w:rsidTr="00B6017F">
        <w:trPr>
          <w:trHeight w:val="483"/>
        </w:trPr>
        <w:tc>
          <w:tcPr>
            <w:tcW w:w="708" w:type="pct"/>
            <w:vMerge/>
            <w:shd w:val="clear" w:color="auto" w:fill="D9D9D9"/>
            <w:vAlign w:val="center"/>
            <w:hideMark/>
          </w:tcPr>
          <w:p w14:paraId="15C47E8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2E365044"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4B21106" w14:textId="485A76FE"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6E440897"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430A7AF9"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642ACF65" w14:textId="77777777" w:rsidTr="00B6017F">
        <w:trPr>
          <w:trHeight w:val="287"/>
        </w:trPr>
        <w:tc>
          <w:tcPr>
            <w:tcW w:w="708" w:type="pct"/>
            <w:vMerge/>
            <w:shd w:val="clear" w:color="auto" w:fill="D9D9D9"/>
            <w:vAlign w:val="center"/>
            <w:hideMark/>
          </w:tcPr>
          <w:p w14:paraId="51C8591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0E0E24AB"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FA163C6"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0.053</w:t>
            </w:r>
          </w:p>
        </w:tc>
        <w:tc>
          <w:tcPr>
            <w:tcW w:w="1159" w:type="pct"/>
            <w:tcMar>
              <w:top w:w="0" w:type="dxa"/>
              <w:left w:w="108" w:type="dxa"/>
              <w:bottom w:w="0" w:type="dxa"/>
              <w:right w:w="108" w:type="dxa"/>
            </w:tcMar>
            <w:vAlign w:val="center"/>
          </w:tcPr>
          <w:p w14:paraId="7D7D90D9"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0.482</w:t>
            </w:r>
          </w:p>
        </w:tc>
        <w:tc>
          <w:tcPr>
            <w:tcW w:w="1159" w:type="pct"/>
            <w:tcMar>
              <w:top w:w="0" w:type="dxa"/>
              <w:left w:w="108" w:type="dxa"/>
              <w:bottom w:w="0" w:type="dxa"/>
              <w:right w:w="108" w:type="dxa"/>
            </w:tcMar>
            <w:vAlign w:val="center"/>
          </w:tcPr>
          <w:p w14:paraId="552AC094"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0.536</w:t>
            </w:r>
          </w:p>
        </w:tc>
      </w:tr>
      <w:tr w:rsidR="00E42F38" w:rsidRPr="007C4D65" w14:paraId="6E238671"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59634988"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7.5.5 Measure</w:t>
            </w:r>
          </w:p>
        </w:tc>
        <w:tc>
          <w:tcPr>
            <w:tcW w:w="815" w:type="pct"/>
            <w:vMerge w:val="restart"/>
            <w:tcMar>
              <w:top w:w="0" w:type="dxa"/>
              <w:left w:w="108" w:type="dxa"/>
              <w:bottom w:w="0" w:type="dxa"/>
              <w:right w:w="108" w:type="dxa"/>
            </w:tcMar>
            <w:vAlign w:val="center"/>
          </w:tcPr>
          <w:p w14:paraId="5108B934"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Establishment of an effective PRTR</w:t>
            </w:r>
          </w:p>
        </w:tc>
        <w:tc>
          <w:tcPr>
            <w:tcW w:w="1159" w:type="pct"/>
            <w:shd w:val="clear" w:color="auto" w:fill="D9D9D9"/>
            <w:tcMar>
              <w:top w:w="0" w:type="dxa"/>
              <w:left w:w="108" w:type="dxa"/>
              <w:bottom w:w="0" w:type="dxa"/>
              <w:right w:w="108" w:type="dxa"/>
            </w:tcMar>
            <w:vAlign w:val="center"/>
            <w:hideMark/>
          </w:tcPr>
          <w:p w14:paraId="56B5CEB7"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17C81F9E"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7371C1C5"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004A5D61" w14:textId="77777777" w:rsidTr="00B6017F">
        <w:trPr>
          <w:trHeight w:val="287"/>
        </w:trPr>
        <w:tc>
          <w:tcPr>
            <w:tcW w:w="708" w:type="pct"/>
            <w:vMerge/>
            <w:shd w:val="clear" w:color="auto" w:fill="D9D9D9"/>
            <w:vAlign w:val="center"/>
          </w:tcPr>
          <w:p w14:paraId="63E9A232"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5004FD4"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8032E90"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legal framework and institutional arrangements for PRTR in Federation of Bosnia and Herzegovina</w:t>
            </w:r>
          </w:p>
        </w:tc>
        <w:tc>
          <w:tcPr>
            <w:tcW w:w="1159" w:type="pct"/>
            <w:shd w:val="clear" w:color="auto" w:fill="FFFFFF"/>
            <w:tcMar>
              <w:top w:w="0" w:type="dxa"/>
              <w:left w:w="108" w:type="dxa"/>
              <w:bottom w:w="0" w:type="dxa"/>
              <w:right w:w="108" w:type="dxa"/>
            </w:tcMar>
            <w:vAlign w:val="center"/>
          </w:tcPr>
          <w:p w14:paraId="3D1E2D25"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legal framework is not update and there are no effective institutional arrangements for PRTR in Federation of Bosnia and Herzegovina.</w:t>
            </w:r>
          </w:p>
        </w:tc>
        <w:tc>
          <w:tcPr>
            <w:tcW w:w="1159" w:type="pct"/>
            <w:shd w:val="clear" w:color="auto" w:fill="FFFFFF"/>
            <w:vAlign w:val="center"/>
          </w:tcPr>
          <w:p w14:paraId="49B6AE52"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The legal framework updated and institutional arrangements for PRTR in Federation of Bosnia and </w:t>
            </w:r>
            <w:proofErr w:type="gramStart"/>
            <w:r w:rsidRPr="007C4D65">
              <w:rPr>
                <w:rFonts w:asciiTheme="minorHAnsi" w:hAnsiTheme="minorHAnsi" w:cstheme="minorHAnsi"/>
                <w:sz w:val="18"/>
              </w:rPr>
              <w:t>Herzegovina.(</w:t>
            </w:r>
            <w:proofErr w:type="gramEnd"/>
            <w:r w:rsidRPr="007C4D65">
              <w:rPr>
                <w:rFonts w:asciiTheme="minorHAnsi" w:hAnsiTheme="minorHAnsi" w:cstheme="minorHAnsi"/>
                <w:sz w:val="18"/>
              </w:rPr>
              <w:t>2025) effectively in place.</w:t>
            </w:r>
          </w:p>
        </w:tc>
      </w:tr>
      <w:tr w:rsidR="00E42F38" w:rsidRPr="007C4D65" w14:paraId="7F49BFEA" w14:textId="77777777" w:rsidTr="00B6017F">
        <w:trPr>
          <w:trHeight w:val="287"/>
        </w:trPr>
        <w:tc>
          <w:tcPr>
            <w:tcW w:w="708" w:type="pct"/>
            <w:vMerge/>
            <w:shd w:val="clear" w:color="auto" w:fill="D9D9D9"/>
            <w:vAlign w:val="center"/>
          </w:tcPr>
          <w:p w14:paraId="3FED00B2"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024077D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E417C44"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Effectiveness of PRTR database ensured through the application of a methodology harmonised with the methodologies applied in </w:t>
            </w:r>
            <w:proofErr w:type="spellStart"/>
            <w:r w:rsidRPr="007C4D65">
              <w:rPr>
                <w:rFonts w:asciiTheme="minorHAnsi" w:hAnsiTheme="minorHAnsi" w:cstheme="minorHAnsi"/>
                <w:sz w:val="18"/>
              </w:rPr>
              <w:t>Republika</w:t>
            </w:r>
            <w:proofErr w:type="spellEnd"/>
            <w:r w:rsidRPr="007C4D65">
              <w:rPr>
                <w:rFonts w:asciiTheme="minorHAnsi" w:hAnsiTheme="minorHAnsi" w:cstheme="minorHAnsi"/>
                <w:sz w:val="18"/>
              </w:rPr>
              <w:t xml:space="preserve"> Srpska and the Brcko District</w:t>
            </w:r>
          </w:p>
        </w:tc>
        <w:tc>
          <w:tcPr>
            <w:tcW w:w="1159" w:type="pct"/>
            <w:shd w:val="clear" w:color="auto" w:fill="FFFFFF"/>
            <w:tcMar>
              <w:top w:w="0" w:type="dxa"/>
              <w:left w:w="108" w:type="dxa"/>
              <w:bottom w:w="0" w:type="dxa"/>
              <w:right w:w="108" w:type="dxa"/>
            </w:tcMar>
            <w:vAlign w:val="center"/>
          </w:tcPr>
          <w:p w14:paraId="314939C3"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PRTR </w:t>
            </w:r>
            <w:proofErr w:type="gramStart"/>
            <w:r w:rsidRPr="007C4D65">
              <w:rPr>
                <w:rFonts w:asciiTheme="minorHAnsi" w:hAnsiTheme="minorHAnsi" w:cstheme="minorHAnsi"/>
                <w:sz w:val="18"/>
              </w:rPr>
              <w:t>not  in</w:t>
            </w:r>
            <w:proofErr w:type="gramEnd"/>
            <w:r w:rsidRPr="007C4D65">
              <w:rPr>
                <w:rFonts w:asciiTheme="minorHAnsi" w:hAnsiTheme="minorHAnsi" w:cstheme="minorHAnsi"/>
                <w:sz w:val="18"/>
              </w:rPr>
              <w:t xml:space="preserve"> operation.</w:t>
            </w:r>
          </w:p>
        </w:tc>
        <w:tc>
          <w:tcPr>
            <w:tcW w:w="1159" w:type="pct"/>
            <w:shd w:val="clear" w:color="auto" w:fill="FFFFFF"/>
            <w:vAlign w:val="center"/>
          </w:tcPr>
          <w:p w14:paraId="6139BE63"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An effective and viable PRTR database set up, and harmonised with the methodologies applied in </w:t>
            </w:r>
            <w:proofErr w:type="spellStart"/>
            <w:r w:rsidRPr="007C4D65">
              <w:rPr>
                <w:rFonts w:asciiTheme="minorHAnsi" w:hAnsiTheme="minorHAnsi" w:cstheme="minorHAnsi"/>
                <w:sz w:val="18"/>
              </w:rPr>
              <w:t>Republika</w:t>
            </w:r>
            <w:proofErr w:type="spellEnd"/>
            <w:r w:rsidRPr="007C4D65">
              <w:rPr>
                <w:rFonts w:asciiTheme="minorHAnsi" w:hAnsiTheme="minorHAnsi" w:cstheme="minorHAnsi"/>
                <w:sz w:val="18"/>
              </w:rPr>
              <w:t xml:space="preserve"> Srpska and the Brcko District</w:t>
            </w:r>
          </w:p>
        </w:tc>
      </w:tr>
      <w:tr w:rsidR="00E42F38" w:rsidRPr="007C4D65" w14:paraId="08555596" w14:textId="77777777" w:rsidTr="00B6017F">
        <w:trPr>
          <w:trHeight w:val="287"/>
        </w:trPr>
        <w:tc>
          <w:tcPr>
            <w:tcW w:w="708" w:type="pct"/>
            <w:vMerge/>
            <w:shd w:val="clear" w:color="auto" w:fill="D9D9D9"/>
            <w:vAlign w:val="center"/>
          </w:tcPr>
          <w:p w14:paraId="4B54800C"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03C138EF"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6B1E3DF"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Public access to data in PRTR</w:t>
            </w:r>
          </w:p>
        </w:tc>
        <w:tc>
          <w:tcPr>
            <w:tcW w:w="1159" w:type="pct"/>
            <w:shd w:val="clear" w:color="auto" w:fill="FFFFFF"/>
            <w:tcMar>
              <w:top w:w="0" w:type="dxa"/>
              <w:left w:w="108" w:type="dxa"/>
              <w:bottom w:w="0" w:type="dxa"/>
              <w:right w:w="108" w:type="dxa"/>
            </w:tcMar>
            <w:vAlign w:val="center"/>
          </w:tcPr>
          <w:p w14:paraId="117F9A96"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Partial access to data collected in the past</w:t>
            </w:r>
          </w:p>
        </w:tc>
        <w:tc>
          <w:tcPr>
            <w:tcW w:w="1159" w:type="pct"/>
            <w:shd w:val="clear" w:color="auto" w:fill="FFFFFF"/>
            <w:vAlign w:val="center"/>
          </w:tcPr>
          <w:p w14:paraId="675A2549"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Public access to data from the PRTRs ensured through web portals (2026)</w:t>
            </w:r>
          </w:p>
        </w:tc>
      </w:tr>
      <w:tr w:rsidR="00E42F38" w:rsidRPr="007C4D65" w14:paraId="298B4A4B" w14:textId="77777777" w:rsidTr="00B6017F">
        <w:trPr>
          <w:trHeight w:val="287"/>
        </w:trPr>
        <w:tc>
          <w:tcPr>
            <w:tcW w:w="708" w:type="pct"/>
            <w:vMerge/>
            <w:shd w:val="clear" w:color="auto" w:fill="D9D9D9"/>
            <w:vAlign w:val="center"/>
          </w:tcPr>
          <w:p w14:paraId="4CC11CD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277BD9D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560EB5D"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color w:val="000000"/>
                <w:sz w:val="18"/>
              </w:rPr>
              <w:t>Viability of PRTR</w:t>
            </w:r>
          </w:p>
        </w:tc>
        <w:tc>
          <w:tcPr>
            <w:tcW w:w="1159" w:type="pct"/>
            <w:shd w:val="clear" w:color="auto" w:fill="FFFFFF"/>
            <w:tcMar>
              <w:top w:w="0" w:type="dxa"/>
              <w:left w:w="108" w:type="dxa"/>
              <w:bottom w:w="0" w:type="dxa"/>
              <w:right w:w="108" w:type="dxa"/>
            </w:tcMar>
            <w:vAlign w:val="center"/>
          </w:tcPr>
          <w:p w14:paraId="02323BF6"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w:t>
            </w:r>
          </w:p>
        </w:tc>
        <w:tc>
          <w:tcPr>
            <w:tcW w:w="1159" w:type="pct"/>
            <w:shd w:val="clear" w:color="auto" w:fill="FFFFFF"/>
            <w:vAlign w:val="center"/>
          </w:tcPr>
          <w:p w14:paraId="5C32F26E"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Viability of PRTR ensured through allocation of funds for its maintenance and upgrade (2030+)</w:t>
            </w:r>
          </w:p>
        </w:tc>
      </w:tr>
      <w:tr w:rsidR="00E42F38" w:rsidRPr="007C4D65" w14:paraId="01BF252C" w14:textId="77777777" w:rsidTr="00B6017F">
        <w:trPr>
          <w:trHeight w:val="483"/>
        </w:trPr>
        <w:tc>
          <w:tcPr>
            <w:tcW w:w="708" w:type="pct"/>
            <w:vMerge/>
            <w:shd w:val="clear" w:color="auto" w:fill="D9D9D9"/>
            <w:vAlign w:val="center"/>
            <w:hideMark/>
          </w:tcPr>
          <w:p w14:paraId="5FADF20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2F2B5ED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2DE17B6D" w14:textId="2BFB2305"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3E48D5F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0B456EF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2DFFE81C" w14:textId="77777777" w:rsidTr="00B6017F">
        <w:trPr>
          <w:trHeight w:val="287"/>
        </w:trPr>
        <w:tc>
          <w:tcPr>
            <w:tcW w:w="708" w:type="pct"/>
            <w:vMerge/>
            <w:shd w:val="clear" w:color="auto" w:fill="D9D9D9"/>
            <w:vAlign w:val="center"/>
            <w:hideMark/>
          </w:tcPr>
          <w:p w14:paraId="1D01ACE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6451E77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528B145"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0.124</w:t>
            </w:r>
          </w:p>
        </w:tc>
        <w:tc>
          <w:tcPr>
            <w:tcW w:w="1159" w:type="pct"/>
            <w:tcMar>
              <w:top w:w="0" w:type="dxa"/>
              <w:left w:w="108" w:type="dxa"/>
              <w:bottom w:w="0" w:type="dxa"/>
              <w:right w:w="108" w:type="dxa"/>
            </w:tcMar>
            <w:vAlign w:val="center"/>
          </w:tcPr>
          <w:p w14:paraId="75256806"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3714A4B8"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0.124</w:t>
            </w:r>
          </w:p>
        </w:tc>
      </w:tr>
      <w:tr w:rsidR="00E42F38" w:rsidRPr="007C4D65" w14:paraId="46B616AC"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4D7835AA"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7.5.6 Measure</w:t>
            </w:r>
          </w:p>
        </w:tc>
        <w:tc>
          <w:tcPr>
            <w:tcW w:w="815" w:type="pct"/>
            <w:vMerge w:val="restart"/>
            <w:tcMar>
              <w:top w:w="0" w:type="dxa"/>
              <w:left w:w="108" w:type="dxa"/>
              <w:bottom w:w="0" w:type="dxa"/>
              <w:right w:w="108" w:type="dxa"/>
            </w:tcMar>
            <w:vAlign w:val="center"/>
          </w:tcPr>
          <w:p w14:paraId="17AF9D24"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Development of statistics for Sustainable Development Goals in the Federation of BiH</w:t>
            </w:r>
          </w:p>
        </w:tc>
        <w:tc>
          <w:tcPr>
            <w:tcW w:w="1159" w:type="pct"/>
            <w:shd w:val="clear" w:color="auto" w:fill="D9D9D9"/>
            <w:tcMar>
              <w:top w:w="0" w:type="dxa"/>
              <w:left w:w="108" w:type="dxa"/>
              <w:bottom w:w="0" w:type="dxa"/>
              <w:right w:w="108" w:type="dxa"/>
            </w:tcMar>
            <w:vAlign w:val="center"/>
            <w:hideMark/>
          </w:tcPr>
          <w:p w14:paraId="472C3483"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05E7558B"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16C961B5"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4C6A1B4B" w14:textId="77777777" w:rsidTr="00B6017F">
        <w:trPr>
          <w:trHeight w:val="287"/>
        </w:trPr>
        <w:tc>
          <w:tcPr>
            <w:tcW w:w="708" w:type="pct"/>
            <w:vMerge/>
            <w:shd w:val="clear" w:color="auto" w:fill="D9D9D9"/>
            <w:vAlign w:val="center"/>
          </w:tcPr>
          <w:p w14:paraId="5290ADFC"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36F6CC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4AD963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2) Effectiveness of the system of producing official statistics of the Federation of BiH for indicators of the Sustainable Development Goals for the environment.</w:t>
            </w:r>
          </w:p>
        </w:tc>
        <w:tc>
          <w:tcPr>
            <w:tcW w:w="1159" w:type="pct"/>
            <w:shd w:val="clear" w:color="auto" w:fill="FFFFFF"/>
            <w:tcMar>
              <w:top w:w="0" w:type="dxa"/>
              <w:left w:w="108" w:type="dxa"/>
              <w:bottom w:w="0" w:type="dxa"/>
              <w:right w:w="108" w:type="dxa"/>
            </w:tcMar>
            <w:vAlign w:val="center"/>
          </w:tcPr>
          <w:p w14:paraId="0267A59A"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Partially effective system</w:t>
            </w:r>
          </w:p>
        </w:tc>
        <w:tc>
          <w:tcPr>
            <w:tcW w:w="1159" w:type="pct"/>
            <w:shd w:val="clear" w:color="auto" w:fill="FFFFFF"/>
            <w:vAlign w:val="center"/>
          </w:tcPr>
          <w:p w14:paraId="5D48C994" w14:textId="77777777" w:rsidR="00E42F38" w:rsidRPr="007C4D65" w:rsidRDefault="00E42F38" w:rsidP="00E42F38">
            <w:pPr>
              <w:spacing w:line="276" w:lineRule="auto"/>
              <w:ind w:left="69"/>
              <w:rPr>
                <w:rFonts w:asciiTheme="minorHAnsi" w:hAnsiTheme="minorHAnsi" w:cstheme="minorHAnsi"/>
                <w:sz w:val="18"/>
                <w:szCs w:val="18"/>
              </w:rPr>
            </w:pPr>
            <w:proofErr w:type="gramStart"/>
            <w:r w:rsidRPr="007C4D65">
              <w:rPr>
                <w:rFonts w:asciiTheme="minorHAnsi" w:hAnsiTheme="minorHAnsi" w:cstheme="minorHAnsi"/>
                <w:sz w:val="18"/>
              </w:rPr>
              <w:t>The  system</w:t>
            </w:r>
            <w:proofErr w:type="gramEnd"/>
            <w:r w:rsidRPr="007C4D65">
              <w:rPr>
                <w:rFonts w:asciiTheme="minorHAnsi" w:hAnsiTheme="minorHAnsi" w:cstheme="minorHAnsi"/>
                <w:sz w:val="18"/>
              </w:rPr>
              <w:t xml:space="preserve"> for production of official statistics of the Federation of Bosnia and Herzegovina for indicators of the environmental Sustainable Development Goals effective (2026)</w:t>
            </w:r>
          </w:p>
        </w:tc>
      </w:tr>
      <w:tr w:rsidR="00E42F38" w:rsidRPr="007C4D65" w14:paraId="6DA0751A" w14:textId="77777777" w:rsidTr="00B6017F">
        <w:trPr>
          <w:trHeight w:val="287"/>
        </w:trPr>
        <w:tc>
          <w:tcPr>
            <w:tcW w:w="708" w:type="pct"/>
            <w:vMerge/>
            <w:shd w:val="clear" w:color="auto" w:fill="D9D9D9"/>
            <w:vAlign w:val="center"/>
          </w:tcPr>
          <w:p w14:paraId="1DA5E5A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00676C7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AB7F6CE"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level of cooperation among all the institutions in the Federation of BiH engaged in collecting indicators of the </w:t>
            </w:r>
            <w:proofErr w:type="gramStart"/>
            <w:r w:rsidRPr="007C4D65">
              <w:rPr>
                <w:rFonts w:asciiTheme="minorHAnsi" w:hAnsiTheme="minorHAnsi" w:cstheme="minorHAnsi"/>
                <w:sz w:val="18"/>
              </w:rPr>
              <w:t>environmental</w:t>
            </w:r>
            <w:proofErr w:type="gramEnd"/>
            <w:r w:rsidRPr="007C4D65">
              <w:rPr>
                <w:rFonts w:asciiTheme="minorHAnsi" w:hAnsiTheme="minorHAnsi" w:cstheme="minorHAnsi"/>
                <w:sz w:val="18"/>
              </w:rPr>
              <w:t xml:space="preserve"> Sustainable Development Goals</w:t>
            </w:r>
          </w:p>
        </w:tc>
        <w:tc>
          <w:tcPr>
            <w:tcW w:w="1159" w:type="pct"/>
            <w:shd w:val="clear" w:color="auto" w:fill="FFFFFF"/>
            <w:tcMar>
              <w:top w:w="0" w:type="dxa"/>
              <w:left w:w="108" w:type="dxa"/>
              <w:bottom w:w="0" w:type="dxa"/>
              <w:right w:w="108" w:type="dxa"/>
            </w:tcMar>
            <w:vAlign w:val="center"/>
          </w:tcPr>
          <w:p w14:paraId="1E8408D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Partially effective cooperation and coordination among the relevant institutions</w:t>
            </w:r>
          </w:p>
        </w:tc>
        <w:tc>
          <w:tcPr>
            <w:tcW w:w="1159" w:type="pct"/>
            <w:shd w:val="clear" w:color="auto" w:fill="FFFFFF"/>
            <w:vAlign w:val="center"/>
          </w:tcPr>
          <w:p w14:paraId="4A5302D5"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Effective cooperation among all the institutions in the Federation of BiH engaged in collecting indicators of the </w:t>
            </w:r>
            <w:proofErr w:type="gramStart"/>
            <w:r w:rsidRPr="007C4D65">
              <w:rPr>
                <w:rFonts w:asciiTheme="minorHAnsi" w:hAnsiTheme="minorHAnsi" w:cstheme="minorHAnsi"/>
                <w:sz w:val="18"/>
              </w:rPr>
              <w:t>environmental</w:t>
            </w:r>
            <w:proofErr w:type="gramEnd"/>
            <w:r w:rsidRPr="007C4D65">
              <w:rPr>
                <w:rFonts w:asciiTheme="minorHAnsi" w:hAnsiTheme="minorHAnsi" w:cstheme="minorHAnsi"/>
                <w:sz w:val="18"/>
              </w:rPr>
              <w:t xml:space="preserve"> Sustainable Development Goals (2030+)</w:t>
            </w:r>
          </w:p>
        </w:tc>
      </w:tr>
      <w:tr w:rsidR="00E42F38" w:rsidRPr="007C4D65" w14:paraId="1EA4773C" w14:textId="77777777" w:rsidTr="00B6017F">
        <w:trPr>
          <w:trHeight w:val="483"/>
        </w:trPr>
        <w:tc>
          <w:tcPr>
            <w:tcW w:w="708" w:type="pct"/>
            <w:vMerge/>
            <w:shd w:val="clear" w:color="auto" w:fill="D9D9D9"/>
            <w:vAlign w:val="center"/>
            <w:hideMark/>
          </w:tcPr>
          <w:p w14:paraId="3FB94A7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426AF0A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1BA00C32" w14:textId="018D11D0"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66008A7E"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3DCDE3AF"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26AC850F" w14:textId="77777777" w:rsidTr="00B6017F">
        <w:trPr>
          <w:trHeight w:val="287"/>
        </w:trPr>
        <w:tc>
          <w:tcPr>
            <w:tcW w:w="708" w:type="pct"/>
            <w:vMerge/>
            <w:shd w:val="clear" w:color="auto" w:fill="D9D9D9"/>
            <w:vAlign w:val="center"/>
            <w:hideMark/>
          </w:tcPr>
          <w:p w14:paraId="267EF74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6FE19817"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C948BC3"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0.121</w:t>
            </w:r>
          </w:p>
        </w:tc>
        <w:tc>
          <w:tcPr>
            <w:tcW w:w="1159" w:type="pct"/>
            <w:tcMar>
              <w:top w:w="0" w:type="dxa"/>
              <w:left w:w="108" w:type="dxa"/>
              <w:bottom w:w="0" w:type="dxa"/>
              <w:right w:w="108" w:type="dxa"/>
            </w:tcMar>
            <w:vAlign w:val="center"/>
          </w:tcPr>
          <w:p w14:paraId="29C296C7"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0.283</w:t>
            </w:r>
          </w:p>
        </w:tc>
        <w:tc>
          <w:tcPr>
            <w:tcW w:w="1159" w:type="pct"/>
            <w:tcMar>
              <w:top w:w="0" w:type="dxa"/>
              <w:left w:w="108" w:type="dxa"/>
              <w:bottom w:w="0" w:type="dxa"/>
              <w:right w:w="108" w:type="dxa"/>
            </w:tcMar>
            <w:vAlign w:val="center"/>
          </w:tcPr>
          <w:p w14:paraId="291F0917"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0.404</w:t>
            </w:r>
          </w:p>
        </w:tc>
      </w:tr>
      <w:tr w:rsidR="00E42F38" w:rsidRPr="007C4D65" w14:paraId="0C7E3D1C"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437951C9"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7.5.7 Measure</w:t>
            </w:r>
          </w:p>
        </w:tc>
        <w:tc>
          <w:tcPr>
            <w:tcW w:w="815" w:type="pct"/>
            <w:vMerge w:val="restart"/>
            <w:tcMar>
              <w:top w:w="0" w:type="dxa"/>
              <w:left w:w="108" w:type="dxa"/>
              <w:bottom w:w="0" w:type="dxa"/>
              <w:right w:w="108" w:type="dxa"/>
            </w:tcMar>
            <w:vAlign w:val="center"/>
          </w:tcPr>
          <w:p w14:paraId="204374D9"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Enhancing the efficiency in the process of collecting, processing and publication of environmental statistics</w:t>
            </w:r>
          </w:p>
        </w:tc>
        <w:tc>
          <w:tcPr>
            <w:tcW w:w="1159" w:type="pct"/>
            <w:shd w:val="clear" w:color="auto" w:fill="D9D9D9"/>
            <w:tcMar>
              <w:top w:w="0" w:type="dxa"/>
              <w:left w:w="108" w:type="dxa"/>
              <w:bottom w:w="0" w:type="dxa"/>
              <w:right w:w="108" w:type="dxa"/>
            </w:tcMar>
            <w:vAlign w:val="center"/>
            <w:hideMark/>
          </w:tcPr>
          <w:p w14:paraId="56E660B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5F19ACBD"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7704C17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27621C19" w14:textId="77777777" w:rsidTr="00B6017F">
        <w:trPr>
          <w:trHeight w:val="287"/>
        </w:trPr>
        <w:tc>
          <w:tcPr>
            <w:tcW w:w="708" w:type="pct"/>
            <w:vMerge/>
            <w:shd w:val="clear" w:color="auto" w:fill="D9D9D9"/>
            <w:vAlign w:val="center"/>
          </w:tcPr>
          <w:p w14:paraId="61FB170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78AFB97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86BEEF8"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Quality of cooperation of all the institutions involved in data collection, processing and dissemination</w:t>
            </w:r>
          </w:p>
        </w:tc>
        <w:tc>
          <w:tcPr>
            <w:tcW w:w="1159" w:type="pct"/>
            <w:shd w:val="clear" w:color="auto" w:fill="FFFFFF"/>
            <w:tcMar>
              <w:top w:w="0" w:type="dxa"/>
              <w:left w:w="108" w:type="dxa"/>
              <w:bottom w:w="0" w:type="dxa"/>
              <w:right w:w="108" w:type="dxa"/>
            </w:tcMar>
            <w:vAlign w:val="center"/>
          </w:tcPr>
          <w:p w14:paraId="2FBB4BA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Partially effective cooperation</w:t>
            </w:r>
          </w:p>
        </w:tc>
        <w:tc>
          <w:tcPr>
            <w:tcW w:w="1159" w:type="pct"/>
            <w:shd w:val="clear" w:color="auto" w:fill="FFFFFF"/>
            <w:vAlign w:val="center"/>
          </w:tcPr>
          <w:p w14:paraId="3F51276B"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 xml:space="preserve">Effective cooperation of all the institutions involved in </w:t>
            </w:r>
            <w:proofErr w:type="gramStart"/>
            <w:r w:rsidRPr="007C4D65">
              <w:rPr>
                <w:rFonts w:asciiTheme="minorHAnsi" w:hAnsiTheme="minorHAnsi" w:cstheme="minorHAnsi"/>
                <w:sz w:val="18"/>
              </w:rPr>
              <w:t>environmental  data</w:t>
            </w:r>
            <w:proofErr w:type="gramEnd"/>
            <w:r w:rsidRPr="007C4D65">
              <w:rPr>
                <w:rFonts w:asciiTheme="minorHAnsi" w:hAnsiTheme="minorHAnsi" w:cstheme="minorHAnsi"/>
                <w:sz w:val="18"/>
              </w:rPr>
              <w:t xml:space="preserve"> collection, processing and dissemination ensured (2026)</w:t>
            </w:r>
          </w:p>
        </w:tc>
      </w:tr>
      <w:tr w:rsidR="00E42F38" w:rsidRPr="007C4D65" w14:paraId="29F4ACE1" w14:textId="77777777" w:rsidTr="00B6017F">
        <w:trPr>
          <w:trHeight w:val="287"/>
        </w:trPr>
        <w:tc>
          <w:tcPr>
            <w:tcW w:w="708" w:type="pct"/>
            <w:vMerge/>
            <w:shd w:val="clear" w:color="auto" w:fill="D9D9D9"/>
            <w:vAlign w:val="center"/>
          </w:tcPr>
          <w:p w14:paraId="79DCB7F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238A19C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40BD72A"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Compliance with the requirements of the EU statistic system</w:t>
            </w:r>
          </w:p>
        </w:tc>
        <w:tc>
          <w:tcPr>
            <w:tcW w:w="1159" w:type="pct"/>
            <w:shd w:val="clear" w:color="auto" w:fill="FFFFFF"/>
            <w:tcMar>
              <w:top w:w="0" w:type="dxa"/>
              <w:left w:w="108" w:type="dxa"/>
              <w:bottom w:w="0" w:type="dxa"/>
              <w:right w:w="108" w:type="dxa"/>
            </w:tcMar>
            <w:vAlign w:val="center"/>
          </w:tcPr>
          <w:p w14:paraId="554A2100"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Partial compliance</w:t>
            </w:r>
          </w:p>
        </w:tc>
        <w:tc>
          <w:tcPr>
            <w:tcW w:w="1159" w:type="pct"/>
            <w:shd w:val="clear" w:color="auto" w:fill="FFFFFF"/>
            <w:vAlign w:val="center"/>
          </w:tcPr>
          <w:p w14:paraId="17E0E66D" w14:textId="77777777" w:rsidR="00E42F38" w:rsidRPr="007C4D65" w:rsidRDefault="00E42F38"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rPr>
              <w:t>Compliance with the requirements of the EU statistic system achieved (2026)</w:t>
            </w:r>
          </w:p>
        </w:tc>
      </w:tr>
      <w:tr w:rsidR="00E42F38" w:rsidRPr="007C4D65" w14:paraId="08EAA60D" w14:textId="77777777" w:rsidTr="00B6017F">
        <w:trPr>
          <w:trHeight w:val="287"/>
        </w:trPr>
        <w:tc>
          <w:tcPr>
            <w:tcW w:w="708" w:type="pct"/>
            <w:vMerge/>
            <w:shd w:val="clear" w:color="auto" w:fill="D9D9D9"/>
            <w:vAlign w:val="center"/>
          </w:tcPr>
          <w:p w14:paraId="2A98FFF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A9F8FF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66331F9"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Quality of cooperation pursuant to the provisions of the Statistical Requirements Compendium, published by Eurostat</w:t>
            </w:r>
          </w:p>
        </w:tc>
        <w:tc>
          <w:tcPr>
            <w:tcW w:w="1159" w:type="pct"/>
            <w:shd w:val="clear" w:color="auto" w:fill="FFFFFF"/>
            <w:tcMar>
              <w:top w:w="0" w:type="dxa"/>
              <w:left w:w="108" w:type="dxa"/>
              <w:bottom w:w="0" w:type="dxa"/>
              <w:right w:w="108" w:type="dxa"/>
            </w:tcMar>
            <w:vAlign w:val="center"/>
          </w:tcPr>
          <w:p w14:paraId="06811A97"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reporting system in the phase of development</w:t>
            </w:r>
          </w:p>
        </w:tc>
        <w:tc>
          <w:tcPr>
            <w:tcW w:w="1159" w:type="pct"/>
            <w:shd w:val="clear" w:color="auto" w:fill="FFFFFF"/>
            <w:vAlign w:val="center"/>
          </w:tcPr>
          <w:p w14:paraId="21E5D35F"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Improved quality of reporting pursuant to the provisions of the Statistical Requirements Compendium, published by Eurostat (2026)</w:t>
            </w:r>
          </w:p>
        </w:tc>
      </w:tr>
      <w:tr w:rsidR="00E42F38" w:rsidRPr="007C4D65" w14:paraId="562535FF" w14:textId="77777777" w:rsidTr="00B6017F">
        <w:trPr>
          <w:trHeight w:val="483"/>
        </w:trPr>
        <w:tc>
          <w:tcPr>
            <w:tcW w:w="708" w:type="pct"/>
            <w:vMerge/>
            <w:shd w:val="clear" w:color="auto" w:fill="D9D9D9"/>
            <w:vAlign w:val="center"/>
            <w:hideMark/>
          </w:tcPr>
          <w:p w14:paraId="2CF0FF9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348A068B"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2E29CF4D" w14:textId="06E98A05"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1502776B"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1AAC116D"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122F0006" w14:textId="77777777" w:rsidTr="00B6017F">
        <w:trPr>
          <w:trHeight w:val="287"/>
        </w:trPr>
        <w:tc>
          <w:tcPr>
            <w:tcW w:w="708" w:type="pct"/>
            <w:vMerge/>
            <w:shd w:val="clear" w:color="auto" w:fill="D9D9D9"/>
            <w:vAlign w:val="center"/>
            <w:hideMark/>
          </w:tcPr>
          <w:p w14:paraId="6C9568B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3ADE9EE7"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982D1C6"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7AB641D6"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0.135</w:t>
            </w:r>
          </w:p>
        </w:tc>
        <w:tc>
          <w:tcPr>
            <w:tcW w:w="1159" w:type="pct"/>
            <w:tcMar>
              <w:top w:w="0" w:type="dxa"/>
              <w:left w:w="108" w:type="dxa"/>
              <w:bottom w:w="0" w:type="dxa"/>
              <w:right w:w="108" w:type="dxa"/>
            </w:tcMar>
            <w:vAlign w:val="center"/>
          </w:tcPr>
          <w:p w14:paraId="3D08B5B0"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0.135</w:t>
            </w:r>
          </w:p>
        </w:tc>
      </w:tr>
      <w:tr w:rsidR="00E42F38" w:rsidRPr="007C4D65" w14:paraId="7FC79445"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3020ACEA"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7.5.8 Measure</w:t>
            </w:r>
          </w:p>
        </w:tc>
        <w:tc>
          <w:tcPr>
            <w:tcW w:w="815" w:type="pct"/>
            <w:vMerge w:val="restart"/>
            <w:tcMar>
              <w:top w:w="0" w:type="dxa"/>
              <w:left w:w="108" w:type="dxa"/>
              <w:bottom w:w="0" w:type="dxa"/>
              <w:right w:w="108" w:type="dxa"/>
            </w:tcMar>
            <w:vAlign w:val="center"/>
          </w:tcPr>
          <w:p w14:paraId="70965277"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Development of European Environmental Economic Accounts</w:t>
            </w:r>
          </w:p>
        </w:tc>
        <w:tc>
          <w:tcPr>
            <w:tcW w:w="1159" w:type="pct"/>
            <w:shd w:val="clear" w:color="auto" w:fill="D9D9D9"/>
            <w:tcMar>
              <w:top w:w="0" w:type="dxa"/>
              <w:left w:w="108" w:type="dxa"/>
              <w:bottom w:w="0" w:type="dxa"/>
              <w:right w:w="108" w:type="dxa"/>
            </w:tcMar>
            <w:vAlign w:val="center"/>
            <w:hideMark/>
          </w:tcPr>
          <w:p w14:paraId="51E687AE"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13F00025"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79424E6D"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590BD160" w14:textId="77777777" w:rsidTr="00B6017F">
        <w:trPr>
          <w:trHeight w:val="287"/>
        </w:trPr>
        <w:tc>
          <w:tcPr>
            <w:tcW w:w="708" w:type="pct"/>
            <w:vMerge/>
            <w:shd w:val="clear" w:color="auto" w:fill="D9D9D9"/>
            <w:vAlign w:val="center"/>
          </w:tcPr>
          <w:p w14:paraId="269011D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0008C81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BF1A8B2"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Level of the implementation of the Regulation (EU) no. 691/2011 on the priority European Environmental Economic  </w:t>
            </w:r>
            <w:r w:rsidRPr="007C4D65">
              <w:rPr>
                <w:rFonts w:asciiTheme="minorHAnsi" w:hAnsiTheme="minorHAnsi" w:cstheme="minorHAnsi"/>
                <w:sz w:val="18"/>
              </w:rPr>
              <w:br/>
              <w:t>Accounts Partly implemented</w:t>
            </w:r>
          </w:p>
        </w:tc>
        <w:tc>
          <w:tcPr>
            <w:tcW w:w="1159" w:type="pct"/>
            <w:shd w:val="clear" w:color="auto" w:fill="FFFFFF"/>
            <w:tcMar>
              <w:top w:w="0" w:type="dxa"/>
              <w:left w:w="108" w:type="dxa"/>
              <w:bottom w:w="0" w:type="dxa"/>
              <w:right w:w="108" w:type="dxa"/>
            </w:tcMar>
            <w:vAlign w:val="center"/>
          </w:tcPr>
          <w:p w14:paraId="30E19C4B"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Regulation (EU) no. 691/2011 on the European Environmental Economic Accounts partly implemented (2026)</w:t>
            </w:r>
          </w:p>
        </w:tc>
        <w:tc>
          <w:tcPr>
            <w:tcW w:w="1159" w:type="pct"/>
            <w:shd w:val="clear" w:color="auto" w:fill="FFFFFF"/>
            <w:vAlign w:val="center"/>
          </w:tcPr>
          <w:p w14:paraId="5A35B273" w14:textId="69C39C42" w:rsidR="00E42F38" w:rsidRPr="007C4D65" w:rsidRDefault="009D6490" w:rsidP="00E42F38">
            <w:pPr>
              <w:spacing w:line="276" w:lineRule="auto"/>
              <w:ind w:left="69"/>
              <w:rPr>
                <w:rFonts w:asciiTheme="minorHAnsi" w:hAnsiTheme="minorHAnsi" w:cstheme="minorHAnsi"/>
                <w:sz w:val="18"/>
                <w:szCs w:val="18"/>
              </w:rPr>
            </w:pPr>
            <w:r w:rsidRPr="007C4D65">
              <w:rPr>
                <w:rFonts w:asciiTheme="minorHAnsi" w:hAnsiTheme="minorHAnsi" w:cstheme="minorHAnsi"/>
                <w:sz w:val="18"/>
                <w:szCs w:val="18"/>
              </w:rPr>
              <w:t xml:space="preserve">The Regulation (EU) br. 691/2011 on </w:t>
            </w:r>
            <w:r w:rsidR="0010686C" w:rsidRPr="007C4D65">
              <w:rPr>
                <w:rFonts w:asciiTheme="minorHAnsi" w:hAnsiTheme="minorHAnsi" w:cstheme="minorHAnsi"/>
                <w:sz w:val="18"/>
                <w:szCs w:val="18"/>
              </w:rPr>
              <w:t>European</w:t>
            </w:r>
            <w:r w:rsidRPr="007C4D65">
              <w:rPr>
                <w:rFonts w:asciiTheme="minorHAnsi" w:hAnsiTheme="minorHAnsi" w:cstheme="minorHAnsi"/>
                <w:sz w:val="18"/>
                <w:szCs w:val="18"/>
              </w:rPr>
              <w:t xml:space="preserve"> Environmental Economic Account implemented (2026.)</w:t>
            </w:r>
          </w:p>
        </w:tc>
      </w:tr>
      <w:tr w:rsidR="00E42F38" w:rsidRPr="007C4D65" w14:paraId="50F50348" w14:textId="77777777" w:rsidTr="00B6017F">
        <w:trPr>
          <w:trHeight w:val="287"/>
        </w:trPr>
        <w:tc>
          <w:tcPr>
            <w:tcW w:w="708" w:type="pct"/>
            <w:vMerge/>
            <w:shd w:val="clear" w:color="auto" w:fill="D9D9D9"/>
            <w:vAlign w:val="center"/>
          </w:tcPr>
          <w:p w14:paraId="356C236C"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097AE05"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5FBA9BE"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Status of expansion of the environmental accounts to new areas in accordance with the System Environmental Economic Accounting </w:t>
            </w:r>
          </w:p>
        </w:tc>
        <w:tc>
          <w:tcPr>
            <w:tcW w:w="1159" w:type="pct"/>
            <w:shd w:val="clear" w:color="auto" w:fill="FFFFFF"/>
            <w:tcMar>
              <w:top w:w="0" w:type="dxa"/>
              <w:left w:w="108" w:type="dxa"/>
              <w:bottom w:w="0" w:type="dxa"/>
              <w:right w:w="108" w:type="dxa"/>
            </w:tcMar>
            <w:vAlign w:val="center"/>
          </w:tcPr>
          <w:p w14:paraId="42ABB324"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Environmental Accounts partly developed</w:t>
            </w:r>
          </w:p>
        </w:tc>
        <w:tc>
          <w:tcPr>
            <w:tcW w:w="1159" w:type="pct"/>
            <w:shd w:val="clear" w:color="auto" w:fill="FFFFFF"/>
            <w:vAlign w:val="center"/>
          </w:tcPr>
          <w:p w14:paraId="5004531B" w14:textId="77777777" w:rsidR="00E42F38" w:rsidRPr="007C4D65" w:rsidRDefault="00E42F38" w:rsidP="00E42F38">
            <w:pPr>
              <w:spacing w:after="120" w:line="276" w:lineRule="auto"/>
              <w:ind w:left="69" w:hanging="2"/>
              <w:contextualSpacing/>
              <w:rPr>
                <w:rFonts w:asciiTheme="minorHAnsi" w:hAnsiTheme="minorHAnsi" w:cstheme="minorHAnsi"/>
                <w:sz w:val="18"/>
                <w:szCs w:val="18"/>
              </w:rPr>
            </w:pPr>
            <w:r w:rsidRPr="007C4D65">
              <w:rPr>
                <w:rFonts w:asciiTheme="minorHAnsi" w:hAnsiTheme="minorHAnsi" w:cstheme="minorHAnsi"/>
                <w:sz w:val="18"/>
              </w:rPr>
              <w:t>Water Accounts, Forest Accounts, Accounts of Resources Management Expenditures, Ecosystem Accounts developed (2026)</w:t>
            </w:r>
          </w:p>
        </w:tc>
      </w:tr>
      <w:tr w:rsidR="00E42F38" w:rsidRPr="007C4D65" w14:paraId="6F2A10E3" w14:textId="77777777" w:rsidTr="00B6017F">
        <w:trPr>
          <w:trHeight w:val="483"/>
        </w:trPr>
        <w:tc>
          <w:tcPr>
            <w:tcW w:w="708" w:type="pct"/>
            <w:vMerge/>
            <w:shd w:val="clear" w:color="auto" w:fill="D9D9D9"/>
            <w:vAlign w:val="center"/>
            <w:hideMark/>
          </w:tcPr>
          <w:p w14:paraId="628BBE2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260A54E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567017E" w14:textId="3D13F6EE"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0BB1431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2A67E78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5945DFBF" w14:textId="77777777" w:rsidTr="00B6017F">
        <w:trPr>
          <w:trHeight w:val="287"/>
        </w:trPr>
        <w:tc>
          <w:tcPr>
            <w:tcW w:w="708" w:type="pct"/>
            <w:vMerge/>
            <w:shd w:val="clear" w:color="auto" w:fill="D9D9D9"/>
            <w:vAlign w:val="center"/>
            <w:hideMark/>
          </w:tcPr>
          <w:p w14:paraId="3BD6D56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3BC6349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3DDBC8EA"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33B786DC"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0.128</w:t>
            </w:r>
          </w:p>
        </w:tc>
        <w:tc>
          <w:tcPr>
            <w:tcW w:w="1159" w:type="pct"/>
            <w:tcMar>
              <w:top w:w="0" w:type="dxa"/>
              <w:left w:w="108" w:type="dxa"/>
              <w:bottom w:w="0" w:type="dxa"/>
              <w:right w:w="108" w:type="dxa"/>
            </w:tcMar>
            <w:vAlign w:val="center"/>
          </w:tcPr>
          <w:p w14:paraId="22BD7533"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0.128</w:t>
            </w:r>
          </w:p>
        </w:tc>
      </w:tr>
    </w:tbl>
    <w:p w14:paraId="68A58165"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975"/>
        <w:gridCol w:w="2270"/>
        <w:gridCol w:w="3231"/>
        <w:gridCol w:w="3231"/>
        <w:gridCol w:w="3231"/>
      </w:tblGrid>
      <w:tr w:rsidR="00E42F38" w:rsidRPr="007C4D65" w14:paraId="2312F6F0" w14:textId="77777777" w:rsidTr="00B6017F">
        <w:trPr>
          <w:trHeight w:val="384"/>
        </w:trPr>
        <w:tc>
          <w:tcPr>
            <w:tcW w:w="708" w:type="pct"/>
            <w:vMerge w:val="restart"/>
            <w:shd w:val="clear" w:color="auto" w:fill="D9D9D9"/>
            <w:tcMar>
              <w:top w:w="0" w:type="dxa"/>
              <w:left w:w="108" w:type="dxa"/>
              <w:bottom w:w="0" w:type="dxa"/>
              <w:right w:w="108" w:type="dxa"/>
            </w:tcMar>
            <w:vAlign w:val="center"/>
          </w:tcPr>
          <w:p w14:paraId="36BA72DF" w14:textId="7EF9A28F" w:rsidR="00E42F38" w:rsidRPr="007C4D65" w:rsidRDefault="00E42F38" w:rsidP="009D6490">
            <w:pPr>
              <w:spacing w:after="120" w:line="276" w:lineRule="auto"/>
              <w:ind w:hanging="2"/>
              <w:contextualSpacing/>
              <w:rPr>
                <w:rFonts w:asciiTheme="minorHAnsi" w:hAnsiTheme="minorHAnsi" w:cstheme="minorHAnsi"/>
                <w:b/>
                <w:sz w:val="18"/>
                <w:szCs w:val="18"/>
                <w:lang w:val="hr-HR"/>
              </w:rPr>
            </w:pPr>
            <w:r w:rsidRPr="007C4D65">
              <w:rPr>
                <w:rFonts w:asciiTheme="minorHAnsi" w:hAnsiTheme="minorHAnsi" w:cstheme="minorHAnsi"/>
                <w:b/>
                <w:sz w:val="18"/>
              </w:rPr>
              <w:t>7.6 Priority</w:t>
            </w:r>
          </w:p>
        </w:tc>
        <w:tc>
          <w:tcPr>
            <w:tcW w:w="814" w:type="pct"/>
            <w:vMerge w:val="restart"/>
            <w:tcMar>
              <w:top w:w="0" w:type="dxa"/>
              <w:left w:w="108" w:type="dxa"/>
              <w:bottom w:w="0" w:type="dxa"/>
              <w:right w:w="108" w:type="dxa"/>
            </w:tcMar>
            <w:vAlign w:val="center"/>
          </w:tcPr>
          <w:p w14:paraId="29D596BA" w14:textId="77777777" w:rsidR="00E42F38" w:rsidRPr="007C4D65" w:rsidRDefault="00E42F38" w:rsidP="00E42F38">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Ensuring a strong synergy in cross-sectoral and inter-sectoral action, and integration of public environmental policies</w:t>
            </w:r>
          </w:p>
        </w:tc>
        <w:tc>
          <w:tcPr>
            <w:tcW w:w="1159" w:type="pct"/>
            <w:shd w:val="clear" w:color="auto" w:fill="D9D9D9"/>
            <w:tcMar>
              <w:top w:w="0" w:type="dxa"/>
              <w:left w:w="108" w:type="dxa"/>
              <w:bottom w:w="0" w:type="dxa"/>
              <w:right w:w="108" w:type="dxa"/>
            </w:tcMar>
            <w:vAlign w:val="center"/>
          </w:tcPr>
          <w:p w14:paraId="02041C84" w14:textId="77777777" w:rsidR="00E42F38" w:rsidRPr="007C4D65" w:rsidRDefault="00E42F38" w:rsidP="00E42F38">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72C6973E"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47A5149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48122BD8" w14:textId="77777777" w:rsidTr="00B6017F">
        <w:trPr>
          <w:trHeight w:val="287"/>
        </w:trPr>
        <w:tc>
          <w:tcPr>
            <w:tcW w:w="708" w:type="pct"/>
            <w:vMerge/>
            <w:shd w:val="clear" w:color="auto" w:fill="D9D9D9"/>
            <w:vAlign w:val="center"/>
            <w:hideMark/>
          </w:tcPr>
          <w:p w14:paraId="29981D1F"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hideMark/>
          </w:tcPr>
          <w:p w14:paraId="4BA1F02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1E85C881"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Level of the integration of environmental requirements in sectoral policies legislation</w:t>
            </w:r>
          </w:p>
        </w:tc>
        <w:tc>
          <w:tcPr>
            <w:tcW w:w="1159" w:type="pct"/>
            <w:tcMar>
              <w:top w:w="0" w:type="dxa"/>
              <w:left w:w="108" w:type="dxa"/>
              <w:bottom w:w="0" w:type="dxa"/>
              <w:right w:w="108" w:type="dxa"/>
            </w:tcMar>
          </w:tcPr>
          <w:p w14:paraId="0D69BE47"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Poor integration of the environmental requirements in sectoral policies and legislation (2021)</w:t>
            </w:r>
          </w:p>
        </w:tc>
        <w:tc>
          <w:tcPr>
            <w:tcW w:w="1159" w:type="pct"/>
            <w:tcMar>
              <w:top w:w="0" w:type="dxa"/>
              <w:left w:w="108" w:type="dxa"/>
              <w:bottom w:w="0" w:type="dxa"/>
              <w:right w:w="108" w:type="dxa"/>
            </w:tcMar>
          </w:tcPr>
          <w:p w14:paraId="2CB57339"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Substantial integration of the environmental requirements in sectoral policies and legislation through enhanced cross-sectoral cooperation (2030)</w:t>
            </w:r>
          </w:p>
        </w:tc>
      </w:tr>
      <w:tr w:rsidR="00E42F38" w:rsidRPr="007C4D65" w14:paraId="185659BE" w14:textId="77777777" w:rsidTr="00B6017F">
        <w:trPr>
          <w:trHeight w:val="287"/>
        </w:trPr>
        <w:tc>
          <w:tcPr>
            <w:tcW w:w="708" w:type="pct"/>
            <w:vMerge/>
            <w:shd w:val="clear" w:color="auto" w:fill="D9D9D9"/>
            <w:vAlign w:val="center"/>
          </w:tcPr>
          <w:p w14:paraId="7C28EB0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48CCC15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7222B638"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Level of the integration of the requirements of the Climate Change Adaptation and Low Carbon Development Strategy of Bosnia and Herzegovina </w:t>
            </w:r>
          </w:p>
        </w:tc>
        <w:tc>
          <w:tcPr>
            <w:tcW w:w="1159" w:type="pct"/>
            <w:tcMar>
              <w:top w:w="0" w:type="dxa"/>
              <w:left w:w="108" w:type="dxa"/>
              <w:bottom w:w="0" w:type="dxa"/>
              <w:right w:w="108" w:type="dxa"/>
            </w:tcMar>
          </w:tcPr>
          <w:p w14:paraId="38B56D58"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requirements of Strategy on climate change adaptation and low-carbon development are not integrated in sectoral policies (2021)</w:t>
            </w:r>
          </w:p>
        </w:tc>
        <w:tc>
          <w:tcPr>
            <w:tcW w:w="1159" w:type="pct"/>
            <w:tcMar>
              <w:top w:w="0" w:type="dxa"/>
              <w:left w:w="108" w:type="dxa"/>
              <w:bottom w:w="0" w:type="dxa"/>
              <w:right w:w="108" w:type="dxa"/>
            </w:tcMar>
          </w:tcPr>
          <w:p w14:paraId="23308B22"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The requirements of Strategy on climate change adaptation and low-carbon development are integrated in sectoral policies (2028)</w:t>
            </w:r>
          </w:p>
        </w:tc>
      </w:tr>
      <w:tr w:rsidR="00E42F38" w:rsidRPr="007C4D65" w14:paraId="314B3F80" w14:textId="77777777" w:rsidTr="00B6017F">
        <w:trPr>
          <w:trHeight w:val="287"/>
        </w:trPr>
        <w:tc>
          <w:tcPr>
            <w:tcW w:w="708" w:type="pct"/>
            <w:vMerge/>
            <w:shd w:val="clear" w:color="auto" w:fill="D9D9D9"/>
            <w:vAlign w:val="center"/>
          </w:tcPr>
          <w:p w14:paraId="43BD7EF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57BC219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6760AA17"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Level of the integration of standards and principles of gender equality, social equality and poverty in the key environmental policies, strategies, and programmes </w:t>
            </w:r>
          </w:p>
        </w:tc>
        <w:tc>
          <w:tcPr>
            <w:tcW w:w="1159" w:type="pct"/>
            <w:tcMar>
              <w:top w:w="0" w:type="dxa"/>
              <w:left w:w="108" w:type="dxa"/>
              <w:bottom w:w="0" w:type="dxa"/>
              <w:right w:w="108" w:type="dxa"/>
            </w:tcMar>
          </w:tcPr>
          <w:p w14:paraId="026A1C36"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Poor integration (2021)</w:t>
            </w:r>
          </w:p>
        </w:tc>
        <w:tc>
          <w:tcPr>
            <w:tcW w:w="1159" w:type="pct"/>
            <w:tcMar>
              <w:top w:w="0" w:type="dxa"/>
              <w:left w:w="108" w:type="dxa"/>
              <w:bottom w:w="0" w:type="dxa"/>
              <w:right w:w="108" w:type="dxa"/>
            </w:tcMar>
          </w:tcPr>
          <w:p w14:paraId="3BC8EDA7"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Standards and principles of gender equality, social equality and poverty integrated in the key environmental policies, strategies, and </w:t>
            </w:r>
            <w:proofErr w:type="gramStart"/>
            <w:r w:rsidRPr="007C4D65">
              <w:rPr>
                <w:rFonts w:asciiTheme="minorHAnsi" w:hAnsiTheme="minorHAnsi" w:cstheme="minorHAnsi"/>
                <w:sz w:val="18"/>
              </w:rPr>
              <w:t>programmes  (</w:t>
            </w:r>
            <w:proofErr w:type="gramEnd"/>
            <w:r w:rsidRPr="007C4D65">
              <w:rPr>
                <w:rFonts w:asciiTheme="minorHAnsi" w:hAnsiTheme="minorHAnsi" w:cstheme="minorHAnsi"/>
                <w:sz w:val="18"/>
              </w:rPr>
              <w:t>2026)</w:t>
            </w:r>
          </w:p>
          <w:p w14:paraId="2651F5B1"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Tools such as gender analysis, gender impact assessment, gender responsible budgeting, gender index in the environment sector and gender audit applied to planning, implementation, monitoring and evaluation of policies, programmes and projects in the environmental management</w:t>
            </w:r>
          </w:p>
        </w:tc>
      </w:tr>
      <w:tr w:rsidR="00E42F38" w:rsidRPr="007C4D65" w14:paraId="71B2294C" w14:textId="77777777" w:rsidTr="00B6017F">
        <w:trPr>
          <w:trHeight w:val="287"/>
        </w:trPr>
        <w:tc>
          <w:tcPr>
            <w:tcW w:w="708" w:type="pct"/>
            <w:vMerge/>
            <w:shd w:val="clear" w:color="auto" w:fill="D9D9D9"/>
            <w:vAlign w:val="center"/>
          </w:tcPr>
          <w:p w14:paraId="2ECFCDD2"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7517AD3B"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285D9643"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Effectiveness of the institutional mechanism of coordination in the domain of gender equality</w:t>
            </w:r>
          </w:p>
        </w:tc>
        <w:tc>
          <w:tcPr>
            <w:tcW w:w="1159" w:type="pct"/>
            <w:tcMar>
              <w:top w:w="0" w:type="dxa"/>
              <w:left w:w="108" w:type="dxa"/>
              <w:bottom w:w="0" w:type="dxa"/>
              <w:right w:w="108" w:type="dxa"/>
            </w:tcMar>
          </w:tcPr>
          <w:p w14:paraId="295A5C7C"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Conditions created for the establishment of a special coordinating gender equality and environment body, but it has not been established (2021)</w:t>
            </w:r>
          </w:p>
        </w:tc>
        <w:tc>
          <w:tcPr>
            <w:tcW w:w="1159" w:type="pct"/>
            <w:tcMar>
              <w:top w:w="0" w:type="dxa"/>
              <w:left w:w="108" w:type="dxa"/>
              <w:bottom w:w="0" w:type="dxa"/>
              <w:right w:w="108" w:type="dxa"/>
            </w:tcMar>
          </w:tcPr>
          <w:p w14:paraId="0A9ADA37"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An efficient coordination gender equality and environment body established (2026)</w:t>
            </w:r>
          </w:p>
        </w:tc>
      </w:tr>
      <w:tr w:rsidR="00E42F38" w:rsidRPr="007C4D65" w14:paraId="07B2CE60" w14:textId="77777777" w:rsidTr="00B6017F">
        <w:trPr>
          <w:trHeight w:val="287"/>
        </w:trPr>
        <w:tc>
          <w:tcPr>
            <w:tcW w:w="708" w:type="pct"/>
            <w:vMerge/>
            <w:shd w:val="clear" w:color="auto" w:fill="D9D9D9"/>
            <w:vAlign w:val="center"/>
          </w:tcPr>
          <w:p w14:paraId="5AE7471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759F0835"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tcPr>
          <w:p w14:paraId="710AC4B3"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Status of the preparation of a sectoral policy focusing on laying the ground for the implementation of a circular economy</w:t>
            </w:r>
          </w:p>
        </w:tc>
        <w:tc>
          <w:tcPr>
            <w:tcW w:w="1159" w:type="pct"/>
            <w:tcMar>
              <w:top w:w="0" w:type="dxa"/>
              <w:left w:w="108" w:type="dxa"/>
              <w:bottom w:w="0" w:type="dxa"/>
              <w:right w:w="108" w:type="dxa"/>
            </w:tcMar>
          </w:tcPr>
          <w:p w14:paraId="4528F326"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Federation of Bosnia and Herzegovina has currently no such sectoral policy in writing A multi-sectoral cooperation lead by the industry and environment sectors is required </w:t>
            </w:r>
            <w:proofErr w:type="gramStart"/>
            <w:r w:rsidRPr="007C4D65">
              <w:rPr>
                <w:rFonts w:asciiTheme="minorHAnsi" w:hAnsiTheme="minorHAnsi" w:cstheme="minorHAnsi"/>
                <w:sz w:val="18"/>
              </w:rPr>
              <w:t>in order to</w:t>
            </w:r>
            <w:proofErr w:type="gramEnd"/>
            <w:r w:rsidRPr="007C4D65">
              <w:rPr>
                <w:rFonts w:asciiTheme="minorHAnsi" w:hAnsiTheme="minorHAnsi" w:cstheme="minorHAnsi"/>
                <w:sz w:val="18"/>
              </w:rPr>
              <w:t xml:space="preserve"> design a clear environmental policy with a focus on creating conditions for the implementation of a circular economy (2021)</w:t>
            </w:r>
          </w:p>
        </w:tc>
        <w:tc>
          <w:tcPr>
            <w:tcW w:w="1159" w:type="pct"/>
            <w:tcMar>
              <w:top w:w="0" w:type="dxa"/>
              <w:left w:w="108" w:type="dxa"/>
              <w:bottom w:w="0" w:type="dxa"/>
              <w:right w:w="108" w:type="dxa"/>
            </w:tcMar>
          </w:tcPr>
          <w:p w14:paraId="4F04D6D7"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sectoral policy </w:t>
            </w:r>
            <w:proofErr w:type="gramStart"/>
            <w:r w:rsidRPr="007C4D65">
              <w:rPr>
                <w:rFonts w:asciiTheme="minorHAnsi" w:hAnsiTheme="minorHAnsi" w:cstheme="minorHAnsi"/>
                <w:sz w:val="18"/>
              </w:rPr>
              <w:t>adopted</w:t>
            </w:r>
            <w:proofErr w:type="gramEnd"/>
            <w:r w:rsidRPr="007C4D65">
              <w:rPr>
                <w:rFonts w:asciiTheme="minorHAnsi" w:hAnsiTheme="minorHAnsi" w:cstheme="minorHAnsi"/>
                <w:sz w:val="18"/>
              </w:rPr>
              <w:t xml:space="preserve"> and conditions created for the transition to a circular economy (2027)</w:t>
            </w:r>
          </w:p>
        </w:tc>
      </w:tr>
      <w:tr w:rsidR="00E42F38" w:rsidRPr="007C4D65" w14:paraId="7D4433B5" w14:textId="77777777" w:rsidTr="00B6017F">
        <w:trPr>
          <w:trHeight w:val="287"/>
        </w:trPr>
        <w:tc>
          <w:tcPr>
            <w:tcW w:w="708" w:type="pct"/>
            <w:vMerge/>
            <w:shd w:val="clear" w:color="auto" w:fill="D9D9D9"/>
            <w:vAlign w:val="center"/>
            <w:hideMark/>
          </w:tcPr>
          <w:p w14:paraId="71A3EB4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hideMark/>
          </w:tcPr>
          <w:p w14:paraId="3886CC2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2653C712" w14:textId="6ABA1438"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7708C684"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26B4B303"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717EB7F0" w14:textId="77777777" w:rsidTr="00B6017F">
        <w:trPr>
          <w:trHeight w:val="287"/>
        </w:trPr>
        <w:tc>
          <w:tcPr>
            <w:tcW w:w="708" w:type="pct"/>
            <w:vMerge/>
            <w:shd w:val="clear" w:color="auto" w:fill="D9D9D9"/>
            <w:vAlign w:val="center"/>
          </w:tcPr>
          <w:p w14:paraId="3C809AB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2CBD4BC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510180E"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0.065</w:t>
            </w:r>
          </w:p>
        </w:tc>
        <w:tc>
          <w:tcPr>
            <w:tcW w:w="1159" w:type="pct"/>
            <w:tcMar>
              <w:top w:w="0" w:type="dxa"/>
              <w:left w:w="108" w:type="dxa"/>
              <w:bottom w:w="0" w:type="dxa"/>
              <w:right w:w="108" w:type="dxa"/>
            </w:tcMar>
            <w:vAlign w:val="center"/>
          </w:tcPr>
          <w:p w14:paraId="0577D557"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0.555</w:t>
            </w:r>
          </w:p>
        </w:tc>
        <w:tc>
          <w:tcPr>
            <w:tcW w:w="1159" w:type="pct"/>
            <w:tcMar>
              <w:top w:w="0" w:type="dxa"/>
              <w:left w:w="108" w:type="dxa"/>
              <w:bottom w:w="0" w:type="dxa"/>
              <w:right w:w="108" w:type="dxa"/>
            </w:tcMar>
            <w:vAlign w:val="center"/>
          </w:tcPr>
          <w:p w14:paraId="61400EA5"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0.620</w:t>
            </w:r>
          </w:p>
        </w:tc>
      </w:tr>
    </w:tbl>
    <w:p w14:paraId="256376E3" w14:textId="77777777" w:rsidR="00E42F38" w:rsidRPr="007C4D65" w:rsidRDefault="00E42F38" w:rsidP="00E42F38">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973"/>
        <w:gridCol w:w="2272"/>
        <w:gridCol w:w="3231"/>
        <w:gridCol w:w="3231"/>
        <w:gridCol w:w="3231"/>
      </w:tblGrid>
      <w:tr w:rsidR="00E42F38" w:rsidRPr="007C4D65" w14:paraId="65502054"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73D4B050"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lastRenderedPageBreak/>
              <w:t>7.6.1 Measure</w:t>
            </w:r>
          </w:p>
        </w:tc>
        <w:tc>
          <w:tcPr>
            <w:tcW w:w="815" w:type="pct"/>
            <w:vMerge w:val="restart"/>
            <w:tcMar>
              <w:top w:w="0" w:type="dxa"/>
              <w:left w:w="108" w:type="dxa"/>
              <w:bottom w:w="0" w:type="dxa"/>
              <w:right w:w="108" w:type="dxa"/>
            </w:tcMar>
            <w:vAlign w:val="center"/>
          </w:tcPr>
          <w:p w14:paraId="417CE2B3"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Integration of environmental requirements in sectoral policies legislation</w:t>
            </w:r>
          </w:p>
        </w:tc>
        <w:tc>
          <w:tcPr>
            <w:tcW w:w="1159" w:type="pct"/>
            <w:shd w:val="clear" w:color="auto" w:fill="D9D9D9"/>
            <w:tcMar>
              <w:top w:w="0" w:type="dxa"/>
              <w:left w:w="108" w:type="dxa"/>
              <w:bottom w:w="0" w:type="dxa"/>
              <w:right w:w="108" w:type="dxa"/>
            </w:tcMar>
            <w:vAlign w:val="center"/>
            <w:hideMark/>
          </w:tcPr>
          <w:p w14:paraId="6F11CDC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190F786D"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018BA546"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072AABFD" w14:textId="77777777" w:rsidTr="00B6017F">
        <w:trPr>
          <w:trHeight w:val="287"/>
        </w:trPr>
        <w:tc>
          <w:tcPr>
            <w:tcW w:w="708" w:type="pct"/>
            <w:vMerge/>
            <w:shd w:val="clear" w:color="auto" w:fill="D9D9D9"/>
            <w:vAlign w:val="center"/>
          </w:tcPr>
          <w:p w14:paraId="4DF535A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5318CFC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9E85D15"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Level of institutionalisation of some forms of cooperation between the environment sector and other sectors</w:t>
            </w:r>
          </w:p>
        </w:tc>
        <w:tc>
          <w:tcPr>
            <w:tcW w:w="1159" w:type="pct"/>
            <w:shd w:val="clear" w:color="auto" w:fill="FFFFFF"/>
            <w:tcMar>
              <w:top w:w="0" w:type="dxa"/>
              <w:left w:w="108" w:type="dxa"/>
              <w:bottom w:w="0" w:type="dxa"/>
              <w:right w:w="108" w:type="dxa"/>
            </w:tcMar>
            <w:vAlign w:val="center"/>
          </w:tcPr>
          <w:p w14:paraId="6247F3A0"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Poorly institutionalised</w:t>
            </w:r>
          </w:p>
        </w:tc>
        <w:tc>
          <w:tcPr>
            <w:tcW w:w="1159" w:type="pct"/>
            <w:shd w:val="clear" w:color="auto" w:fill="FFFFFF"/>
            <w:vAlign w:val="center"/>
          </w:tcPr>
          <w:p w14:paraId="7D5A2AD8"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Institutionalised cooperation between the environmental and other sectors (2030)</w:t>
            </w:r>
          </w:p>
        </w:tc>
      </w:tr>
      <w:tr w:rsidR="00E42F38" w:rsidRPr="007C4D65" w14:paraId="34EE562E" w14:textId="77777777" w:rsidTr="00B6017F">
        <w:trPr>
          <w:trHeight w:val="287"/>
        </w:trPr>
        <w:tc>
          <w:tcPr>
            <w:tcW w:w="708" w:type="pct"/>
            <w:vMerge/>
            <w:shd w:val="clear" w:color="auto" w:fill="D9D9D9"/>
            <w:vAlign w:val="center"/>
          </w:tcPr>
          <w:p w14:paraId="0B14C4C8"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36CDE527"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3DCE15D"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Contribution of the environmental institutions to the integration of environmental requirements in sectoral policies</w:t>
            </w:r>
          </w:p>
        </w:tc>
        <w:tc>
          <w:tcPr>
            <w:tcW w:w="1159" w:type="pct"/>
            <w:shd w:val="clear" w:color="auto" w:fill="FFFFFF"/>
            <w:tcMar>
              <w:top w:w="0" w:type="dxa"/>
              <w:left w:w="108" w:type="dxa"/>
              <w:bottom w:w="0" w:type="dxa"/>
              <w:right w:w="108" w:type="dxa"/>
            </w:tcMar>
            <w:vAlign w:val="center"/>
          </w:tcPr>
          <w:p w14:paraId="1BBE583F"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Poor contribution of the environmental institutions to the integration of environmental requirements in sectoral policies</w:t>
            </w:r>
          </w:p>
        </w:tc>
        <w:tc>
          <w:tcPr>
            <w:tcW w:w="1159" w:type="pct"/>
            <w:shd w:val="clear" w:color="auto" w:fill="FFFFFF"/>
            <w:vAlign w:val="center"/>
          </w:tcPr>
          <w:p w14:paraId="704C29D9"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environmental institutions proactively contribute to the integration of environmental requirements in sectoral policies (continuously- 2030)</w:t>
            </w:r>
          </w:p>
        </w:tc>
      </w:tr>
      <w:tr w:rsidR="00E42F38" w:rsidRPr="007C4D65" w14:paraId="78415001" w14:textId="77777777" w:rsidTr="00B6017F">
        <w:trPr>
          <w:trHeight w:val="287"/>
        </w:trPr>
        <w:tc>
          <w:tcPr>
            <w:tcW w:w="708" w:type="pct"/>
            <w:vMerge/>
            <w:shd w:val="clear" w:color="auto" w:fill="D9D9D9"/>
            <w:vAlign w:val="center"/>
          </w:tcPr>
          <w:p w14:paraId="366CEF5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0C2795A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5A523D2"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5) Compliance of environmental plans and programmes and projects with the applicable spatial plans </w:t>
            </w:r>
          </w:p>
        </w:tc>
        <w:tc>
          <w:tcPr>
            <w:tcW w:w="1159" w:type="pct"/>
            <w:shd w:val="clear" w:color="auto" w:fill="FFFFFF"/>
            <w:tcMar>
              <w:top w:w="0" w:type="dxa"/>
              <w:left w:w="108" w:type="dxa"/>
              <w:bottom w:w="0" w:type="dxa"/>
              <w:right w:w="108" w:type="dxa"/>
            </w:tcMar>
            <w:vAlign w:val="center"/>
          </w:tcPr>
          <w:p w14:paraId="0B5C2EAC"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Partially in compliance</w:t>
            </w:r>
          </w:p>
        </w:tc>
        <w:tc>
          <w:tcPr>
            <w:tcW w:w="1159" w:type="pct"/>
            <w:shd w:val="clear" w:color="auto" w:fill="FFFFFF"/>
            <w:vAlign w:val="center"/>
          </w:tcPr>
          <w:p w14:paraId="6A7727DE"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Compliance of environmental plans, programmes, and projects with the applicable spatial plans secured (continuously 2030+)</w:t>
            </w:r>
          </w:p>
        </w:tc>
      </w:tr>
      <w:tr w:rsidR="00E42F38" w:rsidRPr="007C4D65" w14:paraId="1DD43A77" w14:textId="77777777" w:rsidTr="00B6017F">
        <w:trPr>
          <w:trHeight w:val="287"/>
        </w:trPr>
        <w:tc>
          <w:tcPr>
            <w:tcW w:w="708" w:type="pct"/>
            <w:vMerge/>
            <w:shd w:val="clear" w:color="auto" w:fill="D9D9D9"/>
            <w:vAlign w:val="center"/>
          </w:tcPr>
          <w:p w14:paraId="7CA726D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33898595"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DD674A1" w14:textId="6CCB3136"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6) Contribution of the environmental institutions to the preparation of documents addressing topics other than environment aimed at the integration of climate change adaptation</w:t>
            </w:r>
          </w:p>
        </w:tc>
        <w:tc>
          <w:tcPr>
            <w:tcW w:w="1159" w:type="pct"/>
            <w:shd w:val="clear" w:color="auto" w:fill="FFFFFF"/>
            <w:tcMar>
              <w:top w:w="0" w:type="dxa"/>
              <w:left w:w="108" w:type="dxa"/>
              <w:bottom w:w="0" w:type="dxa"/>
              <w:right w:w="108" w:type="dxa"/>
            </w:tcMar>
            <w:vAlign w:val="center"/>
          </w:tcPr>
          <w:p w14:paraId="6745139C"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Relatively minor contribution</w:t>
            </w:r>
          </w:p>
        </w:tc>
        <w:tc>
          <w:tcPr>
            <w:tcW w:w="1159" w:type="pct"/>
            <w:shd w:val="clear" w:color="auto" w:fill="FFFFFF"/>
            <w:vAlign w:val="center"/>
          </w:tcPr>
          <w:p w14:paraId="600E40AE" w14:textId="77777777" w:rsidR="00E42F38" w:rsidRPr="007C4D65" w:rsidRDefault="00E42F38" w:rsidP="00E42F38">
            <w:pPr>
              <w:spacing w:after="120" w:line="276" w:lineRule="auto"/>
              <w:ind w:left="211"/>
              <w:contextualSpacing/>
              <w:rPr>
                <w:rFonts w:asciiTheme="minorHAnsi" w:hAnsiTheme="minorHAnsi" w:cstheme="minorHAnsi"/>
                <w:sz w:val="18"/>
                <w:szCs w:val="18"/>
              </w:rPr>
            </w:pPr>
            <w:r w:rsidRPr="007C4D65">
              <w:rPr>
                <w:rFonts w:asciiTheme="minorHAnsi" w:hAnsiTheme="minorHAnsi" w:cstheme="minorHAnsi"/>
                <w:sz w:val="18"/>
              </w:rPr>
              <w:t>The environmental institutions proactively contribute to the preparation of documents addressing topics other than environment aimed at the integration of climate change adaptation provided (2027)</w:t>
            </w:r>
          </w:p>
        </w:tc>
      </w:tr>
      <w:tr w:rsidR="00E42F38" w:rsidRPr="007C4D65" w14:paraId="4D695A2A" w14:textId="77777777" w:rsidTr="00B6017F">
        <w:trPr>
          <w:trHeight w:val="483"/>
        </w:trPr>
        <w:tc>
          <w:tcPr>
            <w:tcW w:w="708" w:type="pct"/>
            <w:vMerge/>
            <w:shd w:val="clear" w:color="auto" w:fill="D9D9D9"/>
            <w:vAlign w:val="center"/>
            <w:hideMark/>
          </w:tcPr>
          <w:p w14:paraId="71D3A63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5F9D8F8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3A975926" w14:textId="36804156"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5B43E85C"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5735FE4B"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694A2342" w14:textId="77777777" w:rsidTr="00B6017F">
        <w:trPr>
          <w:trHeight w:val="287"/>
        </w:trPr>
        <w:tc>
          <w:tcPr>
            <w:tcW w:w="708" w:type="pct"/>
            <w:vMerge/>
            <w:shd w:val="clear" w:color="auto" w:fill="D9D9D9"/>
            <w:vAlign w:val="center"/>
            <w:hideMark/>
          </w:tcPr>
          <w:p w14:paraId="5DB4CBB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7BF7BF6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A77051F"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0.037</w:t>
            </w:r>
          </w:p>
        </w:tc>
        <w:tc>
          <w:tcPr>
            <w:tcW w:w="1159" w:type="pct"/>
            <w:tcMar>
              <w:top w:w="0" w:type="dxa"/>
              <w:left w:w="108" w:type="dxa"/>
              <w:bottom w:w="0" w:type="dxa"/>
              <w:right w:w="108" w:type="dxa"/>
            </w:tcMar>
            <w:vAlign w:val="center"/>
          </w:tcPr>
          <w:p w14:paraId="730C5857"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0.088</w:t>
            </w:r>
          </w:p>
        </w:tc>
        <w:tc>
          <w:tcPr>
            <w:tcW w:w="1159" w:type="pct"/>
            <w:tcMar>
              <w:top w:w="0" w:type="dxa"/>
              <w:left w:w="108" w:type="dxa"/>
              <w:bottom w:w="0" w:type="dxa"/>
              <w:right w:w="108" w:type="dxa"/>
            </w:tcMar>
            <w:vAlign w:val="center"/>
          </w:tcPr>
          <w:p w14:paraId="3BA5F8E4"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0.125</w:t>
            </w:r>
          </w:p>
        </w:tc>
      </w:tr>
      <w:tr w:rsidR="00E42F38" w:rsidRPr="007C4D65" w14:paraId="2353D28A"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5C379269"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7.6.2 Measure</w:t>
            </w:r>
          </w:p>
        </w:tc>
        <w:tc>
          <w:tcPr>
            <w:tcW w:w="815" w:type="pct"/>
            <w:vMerge w:val="restart"/>
            <w:tcMar>
              <w:top w:w="0" w:type="dxa"/>
              <w:left w:w="108" w:type="dxa"/>
              <w:bottom w:w="0" w:type="dxa"/>
              <w:right w:w="108" w:type="dxa"/>
            </w:tcMar>
            <w:vAlign w:val="center"/>
          </w:tcPr>
          <w:p w14:paraId="5AF8B483"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Integration of standards and principles of gender equality, social equality and poverty in key environmental policies, strategies, and programmes</w:t>
            </w:r>
          </w:p>
        </w:tc>
        <w:tc>
          <w:tcPr>
            <w:tcW w:w="1159" w:type="pct"/>
            <w:shd w:val="clear" w:color="auto" w:fill="D9D9D9"/>
            <w:tcMar>
              <w:top w:w="0" w:type="dxa"/>
              <w:left w:w="108" w:type="dxa"/>
              <w:bottom w:w="0" w:type="dxa"/>
              <w:right w:w="108" w:type="dxa"/>
            </w:tcMar>
            <w:vAlign w:val="center"/>
            <w:hideMark/>
          </w:tcPr>
          <w:p w14:paraId="1231F4C9"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21888BC7"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0E671315"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430E60E1" w14:textId="77777777" w:rsidTr="00B6017F">
        <w:trPr>
          <w:trHeight w:val="287"/>
        </w:trPr>
        <w:tc>
          <w:tcPr>
            <w:tcW w:w="708" w:type="pct"/>
            <w:vMerge/>
            <w:shd w:val="clear" w:color="auto" w:fill="D9D9D9"/>
            <w:vAlign w:val="center"/>
          </w:tcPr>
          <w:p w14:paraId="61C0BDA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3A39122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A7B2602"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Preparation of guidelines for </w:t>
            </w:r>
            <w:proofErr w:type="gramStart"/>
            <w:r w:rsidRPr="007C4D65">
              <w:rPr>
                <w:rFonts w:asciiTheme="minorHAnsi" w:hAnsiTheme="minorHAnsi" w:cstheme="minorHAnsi"/>
                <w:sz w:val="18"/>
              </w:rPr>
              <w:t>the  integration</w:t>
            </w:r>
            <w:proofErr w:type="gramEnd"/>
            <w:r w:rsidRPr="007C4D65">
              <w:rPr>
                <w:rFonts w:asciiTheme="minorHAnsi" w:hAnsiTheme="minorHAnsi" w:cstheme="minorHAnsi"/>
                <w:sz w:val="18"/>
              </w:rPr>
              <w:t xml:space="preserve"> of gender equality, social equity and poverty principles in all the phases of the environmental management</w:t>
            </w:r>
          </w:p>
        </w:tc>
        <w:tc>
          <w:tcPr>
            <w:tcW w:w="1159" w:type="pct"/>
            <w:shd w:val="clear" w:color="auto" w:fill="FFFFFF"/>
            <w:tcMar>
              <w:top w:w="0" w:type="dxa"/>
              <w:left w:w="108" w:type="dxa"/>
              <w:bottom w:w="0" w:type="dxa"/>
              <w:right w:w="108" w:type="dxa"/>
            </w:tcMar>
            <w:vAlign w:val="center"/>
          </w:tcPr>
          <w:p w14:paraId="216DF684"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 guidelines available</w:t>
            </w:r>
          </w:p>
        </w:tc>
        <w:tc>
          <w:tcPr>
            <w:tcW w:w="1159" w:type="pct"/>
            <w:shd w:val="clear" w:color="auto" w:fill="FFFFFF"/>
            <w:vAlign w:val="center"/>
          </w:tcPr>
          <w:p w14:paraId="1296ECFD"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Guidelines for the integration of gender equality, social equity and poverty standards in all the phases of the environmental management prepared (2024)</w:t>
            </w:r>
          </w:p>
        </w:tc>
      </w:tr>
      <w:tr w:rsidR="00E42F38" w:rsidRPr="007C4D65" w14:paraId="4967223B" w14:textId="77777777" w:rsidTr="00B6017F">
        <w:trPr>
          <w:trHeight w:val="287"/>
        </w:trPr>
        <w:tc>
          <w:tcPr>
            <w:tcW w:w="708" w:type="pct"/>
            <w:vMerge/>
            <w:shd w:val="clear" w:color="auto" w:fill="D9D9D9"/>
            <w:vAlign w:val="center"/>
          </w:tcPr>
          <w:p w14:paraId="19A76FB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7752FA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5B2A6CF"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Level of knowledge and awareness of focal points nominated for gender equality in the institutions on interlinkages of the environment and gender dimension</w:t>
            </w:r>
          </w:p>
        </w:tc>
        <w:tc>
          <w:tcPr>
            <w:tcW w:w="1159" w:type="pct"/>
            <w:shd w:val="clear" w:color="auto" w:fill="FFFFFF"/>
            <w:tcMar>
              <w:top w:w="0" w:type="dxa"/>
              <w:left w:w="108" w:type="dxa"/>
              <w:bottom w:w="0" w:type="dxa"/>
              <w:right w:w="108" w:type="dxa"/>
            </w:tcMar>
            <w:vAlign w:val="center"/>
          </w:tcPr>
          <w:p w14:paraId="61B63E6B"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Relatively poor</w:t>
            </w:r>
          </w:p>
        </w:tc>
        <w:tc>
          <w:tcPr>
            <w:tcW w:w="1159" w:type="pct"/>
            <w:shd w:val="clear" w:color="auto" w:fill="FFFFFF"/>
            <w:vAlign w:val="center"/>
          </w:tcPr>
          <w:p w14:paraId="27858C61"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Persons appointed as gender equality officers possess knowledge and awareness on the interlinkage between the environment and gender equality (2026)</w:t>
            </w:r>
          </w:p>
        </w:tc>
      </w:tr>
      <w:tr w:rsidR="00E42F38" w:rsidRPr="007C4D65" w14:paraId="555775CF" w14:textId="77777777" w:rsidTr="00B6017F">
        <w:trPr>
          <w:trHeight w:val="287"/>
        </w:trPr>
        <w:tc>
          <w:tcPr>
            <w:tcW w:w="708" w:type="pct"/>
            <w:vMerge/>
            <w:shd w:val="clear" w:color="auto" w:fill="D9D9D9"/>
            <w:vAlign w:val="center"/>
          </w:tcPr>
          <w:p w14:paraId="149905B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D7D97A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63078EC"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Level of institutional communication among the institutions in the environment sector and Gender Centre of Federation of BiH</w:t>
            </w:r>
          </w:p>
        </w:tc>
        <w:tc>
          <w:tcPr>
            <w:tcW w:w="1159" w:type="pct"/>
            <w:shd w:val="clear" w:color="auto" w:fill="FFFFFF"/>
            <w:tcMar>
              <w:top w:w="0" w:type="dxa"/>
              <w:left w:w="108" w:type="dxa"/>
              <w:bottom w:w="0" w:type="dxa"/>
              <w:right w:w="108" w:type="dxa"/>
            </w:tcMar>
            <w:vAlign w:val="center"/>
          </w:tcPr>
          <w:p w14:paraId="6C9BF4F6"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Very poor communication  </w:t>
            </w:r>
          </w:p>
        </w:tc>
        <w:tc>
          <w:tcPr>
            <w:tcW w:w="1159" w:type="pct"/>
            <w:shd w:val="clear" w:color="auto" w:fill="FFFFFF"/>
            <w:vAlign w:val="center"/>
          </w:tcPr>
          <w:p w14:paraId="36116B8B" w14:textId="2C857526"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 xml:space="preserve">Effective institutional communication among the institutions in the environment sector and Gender Centre of </w:t>
            </w:r>
            <w:r w:rsidR="009D6490" w:rsidRPr="007C4D65">
              <w:rPr>
                <w:rFonts w:asciiTheme="minorHAnsi" w:hAnsiTheme="minorHAnsi" w:cstheme="minorHAnsi"/>
                <w:sz w:val="18"/>
              </w:rPr>
              <w:t>the Federation of BiH</w:t>
            </w:r>
            <w:r w:rsidRPr="007C4D65">
              <w:rPr>
                <w:rFonts w:asciiTheme="minorHAnsi" w:hAnsiTheme="minorHAnsi" w:cstheme="minorHAnsi"/>
                <w:sz w:val="18"/>
              </w:rPr>
              <w:t xml:space="preserve"> instituted (2026)</w:t>
            </w:r>
          </w:p>
        </w:tc>
      </w:tr>
      <w:tr w:rsidR="00E42F38" w:rsidRPr="007C4D65" w14:paraId="22700526" w14:textId="77777777" w:rsidTr="00B6017F">
        <w:trPr>
          <w:trHeight w:val="287"/>
        </w:trPr>
        <w:tc>
          <w:tcPr>
            <w:tcW w:w="708" w:type="pct"/>
            <w:vMerge/>
            <w:shd w:val="clear" w:color="auto" w:fill="D9D9D9"/>
            <w:vAlign w:val="center"/>
          </w:tcPr>
          <w:p w14:paraId="174F568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59B721B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195CE9C"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Level of promotion of gender sensitive approach in all the segments of environmental management</w:t>
            </w:r>
          </w:p>
        </w:tc>
        <w:tc>
          <w:tcPr>
            <w:tcW w:w="1159" w:type="pct"/>
            <w:shd w:val="clear" w:color="auto" w:fill="FFFFFF"/>
            <w:tcMar>
              <w:top w:w="0" w:type="dxa"/>
              <w:left w:w="108" w:type="dxa"/>
              <w:bottom w:w="0" w:type="dxa"/>
              <w:right w:w="108" w:type="dxa"/>
            </w:tcMar>
            <w:vAlign w:val="center"/>
          </w:tcPr>
          <w:p w14:paraId="4B24220B"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Poor promotion</w:t>
            </w:r>
          </w:p>
        </w:tc>
        <w:tc>
          <w:tcPr>
            <w:tcW w:w="1159" w:type="pct"/>
            <w:shd w:val="clear" w:color="auto" w:fill="FFFFFF"/>
            <w:vAlign w:val="center"/>
          </w:tcPr>
          <w:p w14:paraId="443AE500"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Gender sensitive approach applied in all segments of the environmental management (2030)</w:t>
            </w:r>
          </w:p>
        </w:tc>
      </w:tr>
      <w:tr w:rsidR="00E42F38" w:rsidRPr="007C4D65" w14:paraId="7D1CBB80" w14:textId="77777777" w:rsidTr="00B6017F">
        <w:trPr>
          <w:trHeight w:val="287"/>
        </w:trPr>
        <w:tc>
          <w:tcPr>
            <w:tcW w:w="708" w:type="pct"/>
            <w:vMerge/>
            <w:shd w:val="clear" w:color="auto" w:fill="D9D9D9"/>
            <w:vAlign w:val="center"/>
          </w:tcPr>
          <w:p w14:paraId="3E82359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244F5AF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3629A64" w14:textId="557B8271"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Capacities of the environmental institutions responsible for the application of gender </w:t>
            </w:r>
            <w:r w:rsidR="00CD3D80" w:rsidRPr="007C4D65">
              <w:rPr>
                <w:rFonts w:asciiTheme="minorHAnsi" w:hAnsiTheme="minorHAnsi" w:cstheme="minorHAnsi"/>
                <w:sz w:val="18"/>
              </w:rPr>
              <w:t>mainstreaming tools</w:t>
            </w:r>
          </w:p>
        </w:tc>
        <w:tc>
          <w:tcPr>
            <w:tcW w:w="1159" w:type="pct"/>
            <w:shd w:val="clear" w:color="auto" w:fill="FFFFFF"/>
            <w:tcMar>
              <w:top w:w="0" w:type="dxa"/>
              <w:left w:w="108" w:type="dxa"/>
              <w:bottom w:w="0" w:type="dxa"/>
              <w:right w:w="108" w:type="dxa"/>
            </w:tcMar>
            <w:vAlign w:val="center"/>
          </w:tcPr>
          <w:p w14:paraId="48C9B92E"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Poor capacity</w:t>
            </w:r>
          </w:p>
        </w:tc>
        <w:tc>
          <w:tcPr>
            <w:tcW w:w="1159" w:type="pct"/>
            <w:shd w:val="clear" w:color="auto" w:fill="FFFFFF"/>
            <w:vAlign w:val="center"/>
          </w:tcPr>
          <w:p w14:paraId="7DD20528" w14:textId="77777777" w:rsidR="00E42F38" w:rsidRPr="007C4D65" w:rsidRDefault="00E42F38" w:rsidP="00E42F38">
            <w:pPr>
              <w:spacing w:after="120" w:line="276" w:lineRule="auto"/>
              <w:ind w:left="211"/>
              <w:contextualSpacing/>
              <w:rPr>
                <w:rFonts w:asciiTheme="minorHAnsi" w:hAnsiTheme="minorHAnsi" w:cstheme="minorHAnsi"/>
                <w:sz w:val="18"/>
                <w:szCs w:val="18"/>
              </w:rPr>
            </w:pPr>
            <w:r w:rsidRPr="007C4D65">
              <w:rPr>
                <w:rFonts w:asciiTheme="minorHAnsi" w:hAnsiTheme="minorHAnsi" w:cstheme="minorHAnsi"/>
                <w:sz w:val="18"/>
              </w:rPr>
              <w:t>The environmental institutions possess capacities for the application of gender mainstreaming tools (2029)</w:t>
            </w:r>
          </w:p>
        </w:tc>
      </w:tr>
      <w:tr w:rsidR="00E42F38" w:rsidRPr="007C4D65" w14:paraId="083C822E" w14:textId="77777777" w:rsidTr="00B6017F">
        <w:trPr>
          <w:trHeight w:val="483"/>
        </w:trPr>
        <w:tc>
          <w:tcPr>
            <w:tcW w:w="708" w:type="pct"/>
            <w:vMerge/>
            <w:shd w:val="clear" w:color="auto" w:fill="D9D9D9"/>
            <w:vAlign w:val="center"/>
            <w:hideMark/>
          </w:tcPr>
          <w:p w14:paraId="525213F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31D4A4F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45C8DD49" w14:textId="3CFFC222"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45DE1FA6"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7570ECE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703954CB" w14:textId="77777777" w:rsidTr="00B6017F">
        <w:trPr>
          <w:trHeight w:val="287"/>
        </w:trPr>
        <w:tc>
          <w:tcPr>
            <w:tcW w:w="708" w:type="pct"/>
            <w:vMerge/>
            <w:shd w:val="clear" w:color="auto" w:fill="D9D9D9"/>
            <w:vAlign w:val="center"/>
            <w:hideMark/>
          </w:tcPr>
          <w:p w14:paraId="145ADDB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7CF8F93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67CB7B8"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0.027</w:t>
            </w:r>
          </w:p>
        </w:tc>
        <w:tc>
          <w:tcPr>
            <w:tcW w:w="1159" w:type="pct"/>
            <w:tcMar>
              <w:top w:w="0" w:type="dxa"/>
              <w:left w:w="108" w:type="dxa"/>
              <w:bottom w:w="0" w:type="dxa"/>
              <w:right w:w="108" w:type="dxa"/>
            </w:tcMar>
            <w:vAlign w:val="center"/>
          </w:tcPr>
          <w:p w14:paraId="29A115D7"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0.247</w:t>
            </w:r>
          </w:p>
        </w:tc>
        <w:tc>
          <w:tcPr>
            <w:tcW w:w="1159" w:type="pct"/>
            <w:tcMar>
              <w:top w:w="0" w:type="dxa"/>
              <w:left w:w="108" w:type="dxa"/>
              <w:bottom w:w="0" w:type="dxa"/>
              <w:right w:w="108" w:type="dxa"/>
            </w:tcMar>
            <w:vAlign w:val="center"/>
          </w:tcPr>
          <w:p w14:paraId="23CFA6A9"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0.275</w:t>
            </w:r>
          </w:p>
        </w:tc>
      </w:tr>
      <w:tr w:rsidR="00E42F38" w:rsidRPr="007C4D65" w14:paraId="0DC8993E"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6276E0D0"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7.6.3 Measure</w:t>
            </w:r>
          </w:p>
        </w:tc>
        <w:tc>
          <w:tcPr>
            <w:tcW w:w="815" w:type="pct"/>
            <w:vMerge w:val="restart"/>
            <w:tcMar>
              <w:top w:w="0" w:type="dxa"/>
              <w:left w:w="108" w:type="dxa"/>
              <w:bottom w:w="0" w:type="dxa"/>
              <w:right w:w="108" w:type="dxa"/>
            </w:tcMar>
            <w:vAlign w:val="center"/>
          </w:tcPr>
          <w:p w14:paraId="059B6927"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Transition to a circular economy</w:t>
            </w:r>
          </w:p>
        </w:tc>
        <w:tc>
          <w:tcPr>
            <w:tcW w:w="1159" w:type="pct"/>
            <w:shd w:val="clear" w:color="auto" w:fill="D9D9D9"/>
            <w:tcMar>
              <w:top w:w="0" w:type="dxa"/>
              <w:left w:w="108" w:type="dxa"/>
              <w:bottom w:w="0" w:type="dxa"/>
              <w:right w:w="108" w:type="dxa"/>
            </w:tcMar>
            <w:vAlign w:val="center"/>
            <w:hideMark/>
          </w:tcPr>
          <w:p w14:paraId="361DABA0"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2B4DE44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663B58C0"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28D00964" w14:textId="77777777" w:rsidTr="00B6017F">
        <w:trPr>
          <w:trHeight w:val="287"/>
        </w:trPr>
        <w:tc>
          <w:tcPr>
            <w:tcW w:w="708" w:type="pct"/>
            <w:vMerge/>
            <w:shd w:val="clear" w:color="auto" w:fill="D9D9D9"/>
            <w:vAlign w:val="center"/>
          </w:tcPr>
          <w:p w14:paraId="63AB8AA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6F42707"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F8A0E03"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Status of the adoption of the Roadmap and Action Plan on the implementation of the circular economy in the Federation of Bosnia and Herzegovina</w:t>
            </w:r>
          </w:p>
        </w:tc>
        <w:tc>
          <w:tcPr>
            <w:tcW w:w="1159" w:type="pct"/>
            <w:shd w:val="clear" w:color="auto" w:fill="FFFFFF"/>
            <w:tcMar>
              <w:top w:w="0" w:type="dxa"/>
              <w:left w:w="108" w:type="dxa"/>
              <w:bottom w:w="0" w:type="dxa"/>
              <w:right w:w="108" w:type="dxa"/>
            </w:tcMar>
            <w:vAlign w:val="center"/>
          </w:tcPr>
          <w:p w14:paraId="0E485419"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Roadmap and Action Plan are not adopted</w:t>
            </w:r>
          </w:p>
        </w:tc>
        <w:tc>
          <w:tcPr>
            <w:tcW w:w="1159" w:type="pct"/>
            <w:shd w:val="clear" w:color="auto" w:fill="FFFFFF"/>
            <w:vAlign w:val="center"/>
          </w:tcPr>
          <w:p w14:paraId="07CEEFBE"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Roadmap and Action Plan on the transition to a circular economy adopted (2024)</w:t>
            </w:r>
          </w:p>
        </w:tc>
      </w:tr>
      <w:tr w:rsidR="00E42F38" w:rsidRPr="007C4D65" w14:paraId="5BF0F001" w14:textId="77777777" w:rsidTr="00B6017F">
        <w:trPr>
          <w:trHeight w:val="287"/>
        </w:trPr>
        <w:tc>
          <w:tcPr>
            <w:tcW w:w="708" w:type="pct"/>
            <w:vMerge/>
            <w:shd w:val="clear" w:color="auto" w:fill="D9D9D9"/>
            <w:vAlign w:val="center"/>
          </w:tcPr>
          <w:p w14:paraId="5005121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6D9441F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BB293DD"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Initiation of enabling instruments for green business</w:t>
            </w:r>
          </w:p>
        </w:tc>
        <w:tc>
          <w:tcPr>
            <w:tcW w:w="1159" w:type="pct"/>
            <w:shd w:val="clear" w:color="auto" w:fill="FFFFFF"/>
            <w:tcMar>
              <w:top w:w="0" w:type="dxa"/>
              <w:left w:w="108" w:type="dxa"/>
              <w:bottom w:w="0" w:type="dxa"/>
              <w:right w:w="108" w:type="dxa"/>
            </w:tcMar>
            <w:vAlign w:val="center"/>
          </w:tcPr>
          <w:p w14:paraId="3CDF72E8"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Enabling instruments not implemented</w:t>
            </w:r>
          </w:p>
        </w:tc>
        <w:tc>
          <w:tcPr>
            <w:tcW w:w="1159" w:type="pct"/>
            <w:shd w:val="clear" w:color="auto" w:fill="FFFFFF"/>
            <w:vAlign w:val="center"/>
          </w:tcPr>
          <w:p w14:paraId="6347FE3A"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Enabling instruments implemented (2025)</w:t>
            </w:r>
          </w:p>
        </w:tc>
      </w:tr>
      <w:tr w:rsidR="00E42F38" w:rsidRPr="007C4D65" w14:paraId="7A0BA8FD" w14:textId="77777777" w:rsidTr="00B6017F">
        <w:trPr>
          <w:trHeight w:val="287"/>
        </w:trPr>
        <w:tc>
          <w:tcPr>
            <w:tcW w:w="708" w:type="pct"/>
            <w:vMerge/>
            <w:shd w:val="clear" w:color="auto" w:fill="D9D9D9"/>
            <w:vAlign w:val="center"/>
          </w:tcPr>
          <w:p w14:paraId="453436A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7F21417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9D85C4D"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Application of green procurements in public institutions and private sector</w:t>
            </w:r>
          </w:p>
        </w:tc>
        <w:tc>
          <w:tcPr>
            <w:tcW w:w="1159" w:type="pct"/>
            <w:shd w:val="clear" w:color="auto" w:fill="FFFFFF"/>
            <w:tcMar>
              <w:top w:w="0" w:type="dxa"/>
              <w:left w:w="108" w:type="dxa"/>
              <w:bottom w:w="0" w:type="dxa"/>
              <w:right w:w="108" w:type="dxa"/>
            </w:tcMar>
            <w:vAlign w:val="center"/>
          </w:tcPr>
          <w:p w14:paraId="3C59BE2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Poor application of green procurement (it is not possible to determine the total amount of funds spent through the application of green procurement criteria)</w:t>
            </w:r>
          </w:p>
        </w:tc>
        <w:tc>
          <w:tcPr>
            <w:tcW w:w="1159" w:type="pct"/>
            <w:shd w:val="clear" w:color="auto" w:fill="FFFFFF"/>
            <w:vAlign w:val="center"/>
          </w:tcPr>
          <w:p w14:paraId="59DFCEC1"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Extensive application of green procurements in public institutions and private sector (2030)</w:t>
            </w:r>
          </w:p>
        </w:tc>
      </w:tr>
      <w:tr w:rsidR="00E42F38" w:rsidRPr="007C4D65" w14:paraId="238A34F4" w14:textId="77777777" w:rsidTr="00B6017F">
        <w:trPr>
          <w:trHeight w:val="287"/>
        </w:trPr>
        <w:tc>
          <w:tcPr>
            <w:tcW w:w="708" w:type="pct"/>
            <w:vMerge/>
            <w:shd w:val="clear" w:color="auto" w:fill="D9D9D9"/>
            <w:vAlign w:val="center"/>
          </w:tcPr>
          <w:p w14:paraId="2C5EDAD0"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DFD1C6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2386AA7"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Status of the preparation </w:t>
            </w:r>
            <w:proofErr w:type="gramStart"/>
            <w:r w:rsidRPr="007C4D65">
              <w:rPr>
                <w:rFonts w:asciiTheme="minorHAnsi" w:hAnsiTheme="minorHAnsi" w:cstheme="minorHAnsi"/>
                <w:sz w:val="18"/>
              </w:rPr>
              <w:t>of  Action</w:t>
            </w:r>
            <w:proofErr w:type="gramEnd"/>
            <w:r w:rsidRPr="007C4D65">
              <w:rPr>
                <w:rFonts w:asciiTheme="minorHAnsi" w:hAnsiTheme="minorHAnsi" w:cstheme="minorHAnsi"/>
                <w:sz w:val="18"/>
              </w:rPr>
              <w:t xml:space="preserve"> Plan for small and medium enterprises</w:t>
            </w:r>
          </w:p>
        </w:tc>
        <w:tc>
          <w:tcPr>
            <w:tcW w:w="1159" w:type="pct"/>
            <w:shd w:val="clear" w:color="auto" w:fill="FFFFFF"/>
            <w:tcMar>
              <w:top w:w="0" w:type="dxa"/>
              <w:left w:w="108" w:type="dxa"/>
              <w:bottom w:w="0" w:type="dxa"/>
              <w:right w:w="108" w:type="dxa"/>
            </w:tcMar>
            <w:vAlign w:val="center"/>
          </w:tcPr>
          <w:p w14:paraId="49602F1B"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action plan is not prepared</w:t>
            </w:r>
          </w:p>
        </w:tc>
        <w:tc>
          <w:tcPr>
            <w:tcW w:w="1159" w:type="pct"/>
            <w:shd w:val="clear" w:color="auto" w:fill="FFFFFF"/>
            <w:vAlign w:val="center"/>
          </w:tcPr>
          <w:p w14:paraId="09FBFF9F"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Action Plan prepared (2026)</w:t>
            </w:r>
          </w:p>
        </w:tc>
      </w:tr>
      <w:tr w:rsidR="00E42F38" w:rsidRPr="007C4D65" w14:paraId="34F0CE08" w14:textId="77777777" w:rsidTr="00B6017F">
        <w:trPr>
          <w:trHeight w:val="287"/>
        </w:trPr>
        <w:tc>
          <w:tcPr>
            <w:tcW w:w="708" w:type="pct"/>
            <w:vMerge/>
            <w:shd w:val="clear" w:color="auto" w:fill="D9D9D9"/>
            <w:vAlign w:val="center"/>
          </w:tcPr>
          <w:p w14:paraId="081E4558"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0C56E62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CC783C9"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passing the legislation on eco-design products</w:t>
            </w:r>
          </w:p>
        </w:tc>
        <w:tc>
          <w:tcPr>
            <w:tcW w:w="1159" w:type="pct"/>
            <w:shd w:val="clear" w:color="auto" w:fill="FFFFFF"/>
            <w:tcMar>
              <w:top w:w="0" w:type="dxa"/>
              <w:left w:w="108" w:type="dxa"/>
              <w:bottom w:w="0" w:type="dxa"/>
              <w:right w:w="108" w:type="dxa"/>
            </w:tcMar>
            <w:vAlign w:val="center"/>
          </w:tcPr>
          <w:p w14:paraId="0D17A345"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legislation is not adopted </w:t>
            </w:r>
          </w:p>
        </w:tc>
        <w:tc>
          <w:tcPr>
            <w:tcW w:w="1159" w:type="pct"/>
            <w:shd w:val="clear" w:color="auto" w:fill="FFFFFF"/>
            <w:vAlign w:val="center"/>
          </w:tcPr>
          <w:p w14:paraId="5EDF3B3F"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legislation on eco-design products adopted (2026)</w:t>
            </w:r>
          </w:p>
        </w:tc>
      </w:tr>
      <w:tr w:rsidR="00E42F38" w:rsidRPr="007C4D65" w14:paraId="6ED5B544" w14:textId="77777777" w:rsidTr="00B6017F">
        <w:trPr>
          <w:trHeight w:val="287"/>
        </w:trPr>
        <w:tc>
          <w:tcPr>
            <w:tcW w:w="708" w:type="pct"/>
            <w:vMerge/>
            <w:shd w:val="clear" w:color="auto" w:fill="D9D9D9"/>
            <w:vAlign w:val="center"/>
          </w:tcPr>
          <w:p w14:paraId="151CE33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044CA4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A11132F"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Financial support to strengthening of voluntary instruments for the implementation of green business</w:t>
            </w:r>
          </w:p>
        </w:tc>
        <w:tc>
          <w:tcPr>
            <w:tcW w:w="1159" w:type="pct"/>
            <w:shd w:val="clear" w:color="auto" w:fill="FFFFFF"/>
            <w:tcMar>
              <w:top w:w="0" w:type="dxa"/>
              <w:left w:w="108" w:type="dxa"/>
              <w:bottom w:w="0" w:type="dxa"/>
              <w:right w:w="108" w:type="dxa"/>
            </w:tcMar>
            <w:vAlign w:val="center"/>
          </w:tcPr>
          <w:p w14:paraId="3C19C28C"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 financial support provided</w:t>
            </w:r>
          </w:p>
        </w:tc>
        <w:tc>
          <w:tcPr>
            <w:tcW w:w="1159" w:type="pct"/>
            <w:shd w:val="clear" w:color="auto" w:fill="FFFFFF"/>
            <w:vAlign w:val="center"/>
          </w:tcPr>
          <w:p w14:paraId="434951D8" w14:textId="77777777" w:rsidR="00E42F38" w:rsidRPr="007C4D65" w:rsidRDefault="00E42F38" w:rsidP="00E42F38">
            <w:pPr>
              <w:spacing w:after="120" w:line="276" w:lineRule="auto"/>
              <w:ind w:left="211"/>
              <w:contextualSpacing/>
              <w:rPr>
                <w:rFonts w:asciiTheme="minorHAnsi" w:hAnsiTheme="minorHAnsi" w:cstheme="minorHAnsi"/>
                <w:sz w:val="18"/>
                <w:szCs w:val="18"/>
              </w:rPr>
            </w:pPr>
            <w:r w:rsidRPr="007C4D65">
              <w:rPr>
                <w:rFonts w:asciiTheme="minorHAnsi" w:hAnsiTheme="minorHAnsi" w:cstheme="minorHAnsi"/>
                <w:sz w:val="18"/>
              </w:rPr>
              <w:t>Financial support to strengthening of voluntary instruments for the implementation of green business provided (continuously– 2030)</w:t>
            </w:r>
          </w:p>
        </w:tc>
      </w:tr>
      <w:tr w:rsidR="00E42F38" w:rsidRPr="007C4D65" w14:paraId="59F0153A" w14:textId="77777777" w:rsidTr="00B6017F">
        <w:trPr>
          <w:trHeight w:val="483"/>
        </w:trPr>
        <w:tc>
          <w:tcPr>
            <w:tcW w:w="708" w:type="pct"/>
            <w:vMerge/>
            <w:shd w:val="clear" w:color="auto" w:fill="D9D9D9"/>
            <w:vAlign w:val="center"/>
            <w:hideMark/>
          </w:tcPr>
          <w:p w14:paraId="1797DDD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3825C5B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1C1DC935" w14:textId="0D5AFED3"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3DBCA8AE"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099FFE6B"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42D899CE" w14:textId="77777777" w:rsidTr="00B6017F">
        <w:trPr>
          <w:trHeight w:val="287"/>
        </w:trPr>
        <w:tc>
          <w:tcPr>
            <w:tcW w:w="708" w:type="pct"/>
            <w:vMerge/>
            <w:shd w:val="clear" w:color="auto" w:fill="D9D9D9"/>
            <w:vAlign w:val="center"/>
            <w:hideMark/>
          </w:tcPr>
          <w:p w14:paraId="6A6B4169"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2FB9563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42CC26F"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742C0958"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0.219</w:t>
            </w:r>
          </w:p>
        </w:tc>
        <w:tc>
          <w:tcPr>
            <w:tcW w:w="1159" w:type="pct"/>
            <w:tcMar>
              <w:top w:w="0" w:type="dxa"/>
              <w:left w:w="108" w:type="dxa"/>
              <w:bottom w:w="0" w:type="dxa"/>
              <w:right w:w="108" w:type="dxa"/>
            </w:tcMar>
            <w:vAlign w:val="center"/>
          </w:tcPr>
          <w:p w14:paraId="586F59E5"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0.219</w:t>
            </w:r>
          </w:p>
        </w:tc>
      </w:tr>
    </w:tbl>
    <w:p w14:paraId="0A91581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1981"/>
        <w:gridCol w:w="2268"/>
        <w:gridCol w:w="3233"/>
        <w:gridCol w:w="3233"/>
        <w:gridCol w:w="3233"/>
      </w:tblGrid>
      <w:tr w:rsidR="00E42F38" w:rsidRPr="007C4D65" w14:paraId="3863A7B1" w14:textId="77777777" w:rsidTr="00B6017F">
        <w:trPr>
          <w:trHeight w:val="384"/>
        </w:trPr>
        <w:tc>
          <w:tcPr>
            <w:tcW w:w="710" w:type="pct"/>
            <w:vMerge w:val="restart"/>
            <w:shd w:val="clear" w:color="auto" w:fill="D9D9D9"/>
            <w:tcMar>
              <w:top w:w="0" w:type="dxa"/>
              <w:left w:w="108" w:type="dxa"/>
              <w:bottom w:w="0" w:type="dxa"/>
              <w:right w:w="108" w:type="dxa"/>
            </w:tcMar>
            <w:vAlign w:val="center"/>
          </w:tcPr>
          <w:p w14:paraId="04ED458C"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7.7 Priority</w:t>
            </w:r>
          </w:p>
          <w:p w14:paraId="1D91C18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restart"/>
            <w:tcMar>
              <w:top w:w="0" w:type="dxa"/>
              <w:left w:w="108" w:type="dxa"/>
              <w:bottom w:w="0" w:type="dxa"/>
              <w:right w:w="108" w:type="dxa"/>
            </w:tcMar>
            <w:vAlign w:val="center"/>
          </w:tcPr>
          <w:p w14:paraId="7BB97429" w14:textId="77777777" w:rsidR="00E42F38" w:rsidRPr="007C4D65" w:rsidRDefault="00E42F38" w:rsidP="00E42F38">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Ensuring financial sustainability of the environment sector in the Federation of BiH</w:t>
            </w:r>
          </w:p>
        </w:tc>
        <w:tc>
          <w:tcPr>
            <w:tcW w:w="1159" w:type="pct"/>
            <w:shd w:val="clear" w:color="auto" w:fill="D9D9D9"/>
            <w:tcMar>
              <w:top w:w="0" w:type="dxa"/>
              <w:left w:w="108" w:type="dxa"/>
              <w:bottom w:w="0" w:type="dxa"/>
              <w:right w:w="108" w:type="dxa"/>
            </w:tcMar>
            <w:vAlign w:val="center"/>
          </w:tcPr>
          <w:p w14:paraId="14AA443B" w14:textId="77777777" w:rsidR="00E42F38" w:rsidRPr="007C4D65" w:rsidRDefault="00E42F38" w:rsidP="00E42F38">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63083E4F"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4E4B435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7E68BE93" w14:textId="77777777" w:rsidTr="00B6017F">
        <w:trPr>
          <w:trHeight w:val="287"/>
        </w:trPr>
        <w:tc>
          <w:tcPr>
            <w:tcW w:w="710" w:type="pct"/>
            <w:vMerge/>
            <w:shd w:val="clear" w:color="auto" w:fill="D9D9D9"/>
            <w:vAlign w:val="center"/>
            <w:hideMark/>
          </w:tcPr>
          <w:p w14:paraId="6224FC8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3FF8AEF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25D3776"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Transparency of reporting of the institutions about funds they collect from taxes and the purposes for which they used them</w:t>
            </w:r>
          </w:p>
        </w:tc>
        <w:tc>
          <w:tcPr>
            <w:tcW w:w="1159" w:type="pct"/>
            <w:tcMar>
              <w:top w:w="0" w:type="dxa"/>
              <w:left w:w="108" w:type="dxa"/>
              <w:bottom w:w="0" w:type="dxa"/>
              <w:right w:w="108" w:type="dxa"/>
            </w:tcMar>
            <w:vAlign w:val="center"/>
          </w:tcPr>
          <w:p w14:paraId="0D257BC4"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Non-transparent reporting of the institutions about funds they collect from taxes and the purposes for which they used them (2021)</w:t>
            </w:r>
          </w:p>
        </w:tc>
        <w:tc>
          <w:tcPr>
            <w:tcW w:w="1159" w:type="pct"/>
            <w:tcMar>
              <w:top w:w="0" w:type="dxa"/>
              <w:left w:w="108" w:type="dxa"/>
              <w:bottom w:w="0" w:type="dxa"/>
              <w:right w:w="108" w:type="dxa"/>
            </w:tcMar>
            <w:vAlign w:val="center"/>
          </w:tcPr>
          <w:p w14:paraId="7209D622"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Responsible institutions routinely prepare and transparently publish reports on funds raised and on use of dedicated funds (2030)</w:t>
            </w:r>
          </w:p>
        </w:tc>
      </w:tr>
      <w:tr w:rsidR="00E42F38" w:rsidRPr="007C4D65" w14:paraId="23CD18BF" w14:textId="77777777" w:rsidTr="00B6017F">
        <w:trPr>
          <w:trHeight w:val="287"/>
        </w:trPr>
        <w:tc>
          <w:tcPr>
            <w:tcW w:w="710" w:type="pct"/>
            <w:vMerge/>
            <w:shd w:val="clear" w:color="auto" w:fill="D9D9D9"/>
            <w:vAlign w:val="center"/>
          </w:tcPr>
          <w:p w14:paraId="136400B8"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7E7C5B4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3C76541"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Level of the Implementation of currently available economic instruments</w:t>
            </w:r>
          </w:p>
        </w:tc>
        <w:tc>
          <w:tcPr>
            <w:tcW w:w="1159" w:type="pct"/>
            <w:tcMar>
              <w:top w:w="0" w:type="dxa"/>
              <w:left w:w="108" w:type="dxa"/>
              <w:bottom w:w="0" w:type="dxa"/>
              <w:right w:w="108" w:type="dxa"/>
            </w:tcMar>
            <w:vAlign w:val="center"/>
          </w:tcPr>
          <w:p w14:paraId="13841ECC"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Perception of economic instruments is not systemic Ineffective planning of economic instruments (2021)</w:t>
            </w:r>
          </w:p>
        </w:tc>
        <w:tc>
          <w:tcPr>
            <w:tcW w:w="1159" w:type="pct"/>
            <w:tcMar>
              <w:top w:w="0" w:type="dxa"/>
              <w:left w:w="108" w:type="dxa"/>
              <w:bottom w:w="0" w:type="dxa"/>
              <w:right w:w="108" w:type="dxa"/>
            </w:tcMar>
            <w:vAlign w:val="center"/>
          </w:tcPr>
          <w:p w14:paraId="4E9E23B8"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The currently available economic instruments efficiently and robustly implemented (2030)</w:t>
            </w:r>
          </w:p>
        </w:tc>
      </w:tr>
      <w:tr w:rsidR="00E42F38" w:rsidRPr="007C4D65" w14:paraId="23EF1DC9" w14:textId="77777777" w:rsidTr="00B6017F">
        <w:trPr>
          <w:trHeight w:val="287"/>
        </w:trPr>
        <w:tc>
          <w:tcPr>
            <w:tcW w:w="710" w:type="pct"/>
            <w:vMerge/>
            <w:shd w:val="clear" w:color="auto" w:fill="D9D9D9"/>
            <w:vAlign w:val="center"/>
          </w:tcPr>
          <w:p w14:paraId="0E3B1522"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0BA6603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8C6E86B"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Application (implementation) of taxes and fees defined in the applicable legislation</w:t>
            </w:r>
          </w:p>
        </w:tc>
        <w:tc>
          <w:tcPr>
            <w:tcW w:w="1159" w:type="pct"/>
            <w:tcMar>
              <w:top w:w="0" w:type="dxa"/>
              <w:left w:w="108" w:type="dxa"/>
              <w:bottom w:w="0" w:type="dxa"/>
              <w:right w:w="108" w:type="dxa"/>
            </w:tcMar>
            <w:vAlign w:val="center"/>
          </w:tcPr>
          <w:p w14:paraId="51CF05B2"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Lack of taxes or fees in individual areas which have a significant impact on the environment (2021)</w:t>
            </w:r>
          </w:p>
        </w:tc>
        <w:tc>
          <w:tcPr>
            <w:tcW w:w="1159" w:type="pct"/>
            <w:tcMar>
              <w:top w:w="0" w:type="dxa"/>
              <w:left w:w="108" w:type="dxa"/>
              <w:bottom w:w="0" w:type="dxa"/>
              <w:right w:w="108" w:type="dxa"/>
            </w:tcMar>
            <w:vAlign w:val="center"/>
          </w:tcPr>
          <w:p w14:paraId="0E1A59AE"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All taxes stipulated in the Law on Fund of for the Federation of Bosnia and Herzegovina and other laws which regulate individual areas implemented (2030)</w:t>
            </w:r>
          </w:p>
        </w:tc>
      </w:tr>
      <w:tr w:rsidR="00E42F38" w:rsidRPr="007C4D65" w14:paraId="0D60C0C3" w14:textId="77777777" w:rsidTr="00B6017F">
        <w:trPr>
          <w:trHeight w:val="287"/>
        </w:trPr>
        <w:tc>
          <w:tcPr>
            <w:tcW w:w="710" w:type="pct"/>
            <w:vMerge/>
            <w:shd w:val="clear" w:color="auto" w:fill="D9D9D9"/>
            <w:vAlign w:val="center"/>
          </w:tcPr>
          <w:p w14:paraId="27567CF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3C05CF0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5E30BB7"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Implementation/application of new innovative and stimulating economic mechanisms</w:t>
            </w:r>
          </w:p>
        </w:tc>
        <w:tc>
          <w:tcPr>
            <w:tcW w:w="1159" w:type="pct"/>
            <w:tcMar>
              <w:top w:w="0" w:type="dxa"/>
              <w:left w:w="108" w:type="dxa"/>
              <w:bottom w:w="0" w:type="dxa"/>
              <w:right w:w="108" w:type="dxa"/>
            </w:tcMar>
            <w:vAlign w:val="center"/>
          </w:tcPr>
          <w:p w14:paraId="324547B8"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Lack of innovative and stimulating economic mechanisms (2021)</w:t>
            </w:r>
          </w:p>
        </w:tc>
        <w:tc>
          <w:tcPr>
            <w:tcW w:w="1159" w:type="pct"/>
            <w:tcMar>
              <w:top w:w="0" w:type="dxa"/>
              <w:left w:w="108" w:type="dxa"/>
              <w:bottom w:w="0" w:type="dxa"/>
              <w:right w:w="108" w:type="dxa"/>
            </w:tcMar>
            <w:vAlign w:val="center"/>
          </w:tcPr>
          <w:p w14:paraId="26DD2853"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New innovative and stimulating economic mechanisms introduced (2030)</w:t>
            </w:r>
          </w:p>
        </w:tc>
      </w:tr>
      <w:tr w:rsidR="00E42F38" w:rsidRPr="007C4D65" w14:paraId="11374687" w14:textId="77777777" w:rsidTr="00B6017F">
        <w:trPr>
          <w:trHeight w:val="287"/>
        </w:trPr>
        <w:tc>
          <w:tcPr>
            <w:tcW w:w="710" w:type="pct"/>
            <w:vMerge/>
            <w:shd w:val="clear" w:color="auto" w:fill="D9D9D9"/>
            <w:vAlign w:val="center"/>
          </w:tcPr>
          <w:p w14:paraId="53CFACB0"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6120D07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42E9B6ED"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Level of the use of the available EU funds and international funds for environmental protection and complementary sectors</w:t>
            </w:r>
          </w:p>
        </w:tc>
        <w:tc>
          <w:tcPr>
            <w:tcW w:w="1159" w:type="pct"/>
            <w:tcMar>
              <w:top w:w="0" w:type="dxa"/>
              <w:left w:w="108" w:type="dxa"/>
              <w:bottom w:w="0" w:type="dxa"/>
              <w:right w:w="108" w:type="dxa"/>
            </w:tcMar>
            <w:vAlign w:val="center"/>
          </w:tcPr>
          <w:p w14:paraId="1B1B7233"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Insufficient use of the available financial mechanisms and international funds for environmental protection and complementary sectors (2021)</w:t>
            </w:r>
          </w:p>
        </w:tc>
        <w:tc>
          <w:tcPr>
            <w:tcW w:w="1159" w:type="pct"/>
            <w:tcMar>
              <w:top w:w="0" w:type="dxa"/>
              <w:left w:w="108" w:type="dxa"/>
              <w:bottom w:w="0" w:type="dxa"/>
              <w:right w:w="108" w:type="dxa"/>
            </w:tcMar>
            <w:vAlign w:val="center"/>
          </w:tcPr>
          <w:p w14:paraId="06F8C8AD"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Increased use of the financial mechanisms and international funds designated for environmental protection and complementary sectors (2030)</w:t>
            </w:r>
          </w:p>
        </w:tc>
      </w:tr>
      <w:tr w:rsidR="00E42F38" w:rsidRPr="007C4D65" w14:paraId="722984A4" w14:textId="77777777" w:rsidTr="00B6017F">
        <w:trPr>
          <w:trHeight w:val="287"/>
        </w:trPr>
        <w:tc>
          <w:tcPr>
            <w:tcW w:w="710" w:type="pct"/>
            <w:vMerge/>
            <w:shd w:val="clear" w:color="auto" w:fill="D9D9D9"/>
            <w:vAlign w:val="center"/>
            <w:hideMark/>
          </w:tcPr>
          <w:p w14:paraId="10996CE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hideMark/>
          </w:tcPr>
          <w:p w14:paraId="68F4AFA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0E03F85C" w14:textId="3A8E38D1"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495B8E9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587A9817"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75C0120D" w14:textId="77777777" w:rsidTr="00B6017F">
        <w:trPr>
          <w:trHeight w:val="362"/>
        </w:trPr>
        <w:tc>
          <w:tcPr>
            <w:tcW w:w="710" w:type="pct"/>
            <w:vMerge/>
            <w:shd w:val="clear" w:color="auto" w:fill="D9D9D9"/>
            <w:vAlign w:val="center"/>
          </w:tcPr>
          <w:p w14:paraId="3DD2830F"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3" w:type="pct"/>
            <w:vMerge/>
            <w:vAlign w:val="center"/>
          </w:tcPr>
          <w:p w14:paraId="4FFABD7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143C1CB"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0.194</w:t>
            </w:r>
          </w:p>
        </w:tc>
        <w:tc>
          <w:tcPr>
            <w:tcW w:w="1159" w:type="pct"/>
            <w:tcMar>
              <w:top w:w="0" w:type="dxa"/>
              <w:left w:w="108" w:type="dxa"/>
              <w:bottom w:w="0" w:type="dxa"/>
              <w:right w:w="108" w:type="dxa"/>
            </w:tcMar>
            <w:vAlign w:val="center"/>
          </w:tcPr>
          <w:p w14:paraId="7F6E65BB"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0.180</w:t>
            </w:r>
          </w:p>
        </w:tc>
        <w:tc>
          <w:tcPr>
            <w:tcW w:w="1159" w:type="pct"/>
            <w:tcMar>
              <w:top w:w="0" w:type="dxa"/>
              <w:left w:w="108" w:type="dxa"/>
              <w:bottom w:w="0" w:type="dxa"/>
              <w:right w:w="108" w:type="dxa"/>
            </w:tcMar>
            <w:vAlign w:val="center"/>
          </w:tcPr>
          <w:p w14:paraId="4941A0BB"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0.375</w:t>
            </w:r>
          </w:p>
        </w:tc>
      </w:tr>
    </w:tbl>
    <w:p w14:paraId="6481810B" w14:textId="77777777" w:rsidR="00E42F38" w:rsidRPr="007C4D65" w:rsidRDefault="00E42F38" w:rsidP="00E42F38">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975"/>
        <w:gridCol w:w="2270"/>
        <w:gridCol w:w="3231"/>
        <w:gridCol w:w="3231"/>
        <w:gridCol w:w="3231"/>
      </w:tblGrid>
      <w:tr w:rsidR="00E42F38" w:rsidRPr="007C4D65" w14:paraId="775B99B2"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57407ACE"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7.7.1 Measure</w:t>
            </w:r>
          </w:p>
        </w:tc>
        <w:tc>
          <w:tcPr>
            <w:tcW w:w="814" w:type="pct"/>
            <w:vMerge w:val="restart"/>
            <w:tcMar>
              <w:top w:w="0" w:type="dxa"/>
              <w:left w:w="108" w:type="dxa"/>
              <w:bottom w:w="0" w:type="dxa"/>
              <w:right w:w="108" w:type="dxa"/>
            </w:tcMar>
            <w:vAlign w:val="center"/>
          </w:tcPr>
          <w:p w14:paraId="5FB41BAF"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Efficient and comprehensive implementation of currently available environmental economic instruments</w:t>
            </w:r>
          </w:p>
        </w:tc>
        <w:tc>
          <w:tcPr>
            <w:tcW w:w="1159" w:type="pct"/>
            <w:shd w:val="clear" w:color="auto" w:fill="D9D9D9"/>
            <w:tcMar>
              <w:top w:w="0" w:type="dxa"/>
              <w:left w:w="108" w:type="dxa"/>
              <w:bottom w:w="0" w:type="dxa"/>
              <w:right w:w="108" w:type="dxa"/>
            </w:tcMar>
            <w:vAlign w:val="center"/>
            <w:hideMark/>
          </w:tcPr>
          <w:p w14:paraId="1B96E32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06958CE4"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324AB70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4E7EA68E" w14:textId="77777777" w:rsidTr="00B6017F">
        <w:trPr>
          <w:trHeight w:val="287"/>
        </w:trPr>
        <w:tc>
          <w:tcPr>
            <w:tcW w:w="708" w:type="pct"/>
            <w:vMerge/>
            <w:shd w:val="clear" w:color="auto" w:fill="D9D9D9"/>
            <w:vAlign w:val="center"/>
          </w:tcPr>
          <w:p w14:paraId="102436EE"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585C0647"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D69A603"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Status of amending the Law on the Fund of the Federation of BiH</w:t>
            </w:r>
          </w:p>
        </w:tc>
        <w:tc>
          <w:tcPr>
            <w:tcW w:w="1159" w:type="pct"/>
            <w:shd w:val="clear" w:color="auto" w:fill="FFFFFF"/>
            <w:tcMar>
              <w:top w:w="0" w:type="dxa"/>
              <w:left w:w="108" w:type="dxa"/>
              <w:bottom w:w="0" w:type="dxa"/>
              <w:right w:w="108" w:type="dxa"/>
            </w:tcMar>
            <w:vAlign w:val="center"/>
          </w:tcPr>
          <w:p w14:paraId="3912A139"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Amendments have not been adopted</w:t>
            </w:r>
          </w:p>
        </w:tc>
        <w:tc>
          <w:tcPr>
            <w:tcW w:w="1159" w:type="pct"/>
            <w:shd w:val="clear" w:color="auto" w:fill="FFFFFF"/>
            <w:vAlign w:val="center"/>
          </w:tcPr>
          <w:p w14:paraId="1ABFE346"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Amendments to the Law on the Fund of Federation of BiH, according to which cantons and municipalities should report on the use of dedicated funds for environmental projects adopted (2024)</w:t>
            </w:r>
          </w:p>
        </w:tc>
      </w:tr>
      <w:tr w:rsidR="00E42F38" w:rsidRPr="007C4D65" w14:paraId="35FCBB53" w14:textId="77777777" w:rsidTr="00B6017F">
        <w:trPr>
          <w:trHeight w:val="287"/>
        </w:trPr>
        <w:tc>
          <w:tcPr>
            <w:tcW w:w="708" w:type="pct"/>
            <w:vMerge/>
            <w:shd w:val="clear" w:color="auto" w:fill="D9D9D9"/>
            <w:vAlign w:val="center"/>
          </w:tcPr>
          <w:p w14:paraId="6BC8834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0661380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AAE1F8E"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Stage of completion of an in-depth analysis on the types of taxes which are not classified as environmental fees, but partly cover environmental aspects</w:t>
            </w:r>
          </w:p>
        </w:tc>
        <w:tc>
          <w:tcPr>
            <w:tcW w:w="1159" w:type="pct"/>
            <w:shd w:val="clear" w:color="auto" w:fill="FFFFFF"/>
            <w:tcMar>
              <w:top w:w="0" w:type="dxa"/>
              <w:left w:w="108" w:type="dxa"/>
              <w:bottom w:w="0" w:type="dxa"/>
              <w:right w:w="108" w:type="dxa"/>
            </w:tcMar>
            <w:vAlign w:val="center"/>
          </w:tcPr>
          <w:p w14:paraId="64FD7655"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analysis has not been completed</w:t>
            </w:r>
          </w:p>
        </w:tc>
        <w:tc>
          <w:tcPr>
            <w:tcW w:w="1159" w:type="pct"/>
            <w:shd w:val="clear" w:color="auto" w:fill="FFFFFF"/>
            <w:vAlign w:val="center"/>
          </w:tcPr>
          <w:p w14:paraId="6AB17C5C"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A centralised and multi-sectoral analysis completed and all the types of taxes which are not classified as environmental fees, but partly cover environmental issues identified (2023)</w:t>
            </w:r>
          </w:p>
        </w:tc>
      </w:tr>
      <w:tr w:rsidR="00E42F38" w:rsidRPr="007C4D65" w14:paraId="19C26EA9" w14:textId="77777777" w:rsidTr="00B6017F">
        <w:trPr>
          <w:trHeight w:val="287"/>
        </w:trPr>
        <w:tc>
          <w:tcPr>
            <w:tcW w:w="708" w:type="pct"/>
            <w:vMerge/>
            <w:shd w:val="clear" w:color="auto" w:fill="D9D9D9"/>
            <w:vAlign w:val="center"/>
          </w:tcPr>
          <w:p w14:paraId="3BAB3A3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32E437E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840708D"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reform of taxes which partly cover environmental issues.</w:t>
            </w:r>
          </w:p>
        </w:tc>
        <w:tc>
          <w:tcPr>
            <w:tcW w:w="1159" w:type="pct"/>
            <w:shd w:val="clear" w:color="auto" w:fill="FFFFFF"/>
            <w:tcMar>
              <w:top w:w="0" w:type="dxa"/>
              <w:left w:w="108" w:type="dxa"/>
              <w:bottom w:w="0" w:type="dxa"/>
              <w:right w:w="108" w:type="dxa"/>
            </w:tcMar>
            <w:vAlign w:val="center"/>
          </w:tcPr>
          <w:p w14:paraId="5B2ACBCE"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reform has not been undertaken</w:t>
            </w:r>
          </w:p>
        </w:tc>
        <w:tc>
          <w:tcPr>
            <w:tcW w:w="1159" w:type="pct"/>
            <w:shd w:val="clear" w:color="auto" w:fill="FFFFFF"/>
            <w:vAlign w:val="center"/>
          </w:tcPr>
          <w:p w14:paraId="13D97DF9"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reform of taxes carried out through amendments to the applicable regulations (2028)</w:t>
            </w:r>
          </w:p>
        </w:tc>
      </w:tr>
      <w:tr w:rsidR="00E42F38" w:rsidRPr="007C4D65" w14:paraId="31A0892E" w14:textId="77777777" w:rsidTr="00B6017F">
        <w:trPr>
          <w:trHeight w:val="287"/>
        </w:trPr>
        <w:tc>
          <w:tcPr>
            <w:tcW w:w="708" w:type="pct"/>
            <w:vMerge/>
            <w:shd w:val="clear" w:color="auto" w:fill="D9D9D9"/>
            <w:vAlign w:val="center"/>
          </w:tcPr>
          <w:p w14:paraId="531BFB8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738D0B0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4EC48F0"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efforts aimed at regulating taxes for users of environmental assets, energy efficiency, waste landfilling, etc.</w:t>
            </w:r>
          </w:p>
        </w:tc>
        <w:tc>
          <w:tcPr>
            <w:tcW w:w="1159" w:type="pct"/>
            <w:shd w:val="clear" w:color="auto" w:fill="FFFFFF"/>
            <w:tcMar>
              <w:top w:w="0" w:type="dxa"/>
              <w:left w:w="108" w:type="dxa"/>
              <w:bottom w:w="0" w:type="dxa"/>
              <w:right w:w="108" w:type="dxa"/>
            </w:tcMar>
            <w:vAlign w:val="center"/>
          </w:tcPr>
          <w:p w14:paraId="77B6C06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The taxes for users of environmental assets, energy efficiency, waste landfilling </w:t>
            </w:r>
            <w:proofErr w:type="gramStart"/>
            <w:r w:rsidRPr="007C4D65">
              <w:rPr>
                <w:rFonts w:asciiTheme="minorHAnsi" w:hAnsiTheme="minorHAnsi" w:cstheme="minorHAnsi"/>
                <w:sz w:val="18"/>
              </w:rPr>
              <w:t>are</w:t>
            </w:r>
            <w:proofErr w:type="gramEnd"/>
            <w:r w:rsidRPr="007C4D65">
              <w:rPr>
                <w:rFonts w:asciiTheme="minorHAnsi" w:hAnsiTheme="minorHAnsi" w:cstheme="minorHAnsi"/>
                <w:sz w:val="18"/>
              </w:rPr>
              <w:t xml:space="preserve"> not regulated.</w:t>
            </w:r>
          </w:p>
        </w:tc>
        <w:tc>
          <w:tcPr>
            <w:tcW w:w="1159" w:type="pct"/>
            <w:shd w:val="clear" w:color="auto" w:fill="FFFFFF"/>
            <w:vAlign w:val="center"/>
          </w:tcPr>
          <w:p w14:paraId="38FF34FC" w14:textId="77777777" w:rsidR="00E42F38" w:rsidRPr="007C4D65" w:rsidRDefault="00E42F38" w:rsidP="00E42F38">
            <w:pPr>
              <w:spacing w:after="120" w:line="276" w:lineRule="auto"/>
              <w:ind w:left="211"/>
              <w:contextualSpacing/>
              <w:rPr>
                <w:rFonts w:asciiTheme="minorHAnsi" w:hAnsiTheme="minorHAnsi" w:cstheme="minorHAnsi"/>
                <w:sz w:val="18"/>
                <w:szCs w:val="18"/>
              </w:rPr>
            </w:pPr>
            <w:r w:rsidRPr="007C4D65">
              <w:rPr>
                <w:rFonts w:asciiTheme="minorHAnsi" w:hAnsiTheme="minorHAnsi" w:cstheme="minorHAnsi"/>
                <w:sz w:val="18"/>
              </w:rPr>
              <w:t>The taxes for users of environmental assets, energy efficiency, waste disposal, etc. regulated. (</w:t>
            </w:r>
            <w:proofErr w:type="gramStart"/>
            <w:r w:rsidRPr="007C4D65">
              <w:rPr>
                <w:rFonts w:asciiTheme="minorHAnsi" w:hAnsiTheme="minorHAnsi" w:cstheme="minorHAnsi"/>
                <w:sz w:val="18"/>
              </w:rPr>
              <w:t>2030.+</w:t>
            </w:r>
            <w:proofErr w:type="gramEnd"/>
            <w:r w:rsidRPr="007C4D65">
              <w:rPr>
                <w:rFonts w:asciiTheme="minorHAnsi" w:hAnsiTheme="minorHAnsi" w:cstheme="minorHAnsi"/>
                <w:sz w:val="18"/>
              </w:rPr>
              <w:t>)</w:t>
            </w:r>
          </w:p>
        </w:tc>
      </w:tr>
      <w:tr w:rsidR="00E42F38" w:rsidRPr="007C4D65" w14:paraId="0DC97B2F" w14:textId="77777777" w:rsidTr="00B6017F">
        <w:trPr>
          <w:trHeight w:val="483"/>
        </w:trPr>
        <w:tc>
          <w:tcPr>
            <w:tcW w:w="708" w:type="pct"/>
            <w:vMerge/>
            <w:shd w:val="clear" w:color="auto" w:fill="D9D9D9"/>
            <w:vAlign w:val="center"/>
            <w:hideMark/>
          </w:tcPr>
          <w:p w14:paraId="76BB772F"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hideMark/>
          </w:tcPr>
          <w:p w14:paraId="10D83F3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52FEAFB2" w14:textId="4771E0B5"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0FA723C6"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1A1409D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4A36A0DB" w14:textId="77777777" w:rsidTr="00B6017F">
        <w:trPr>
          <w:trHeight w:val="287"/>
        </w:trPr>
        <w:tc>
          <w:tcPr>
            <w:tcW w:w="708" w:type="pct"/>
            <w:vMerge/>
            <w:shd w:val="clear" w:color="auto" w:fill="D9D9D9"/>
            <w:vAlign w:val="center"/>
            <w:hideMark/>
          </w:tcPr>
          <w:p w14:paraId="05876EE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hideMark/>
          </w:tcPr>
          <w:p w14:paraId="37B6499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7311B9C"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0.092</w:t>
            </w:r>
          </w:p>
        </w:tc>
        <w:tc>
          <w:tcPr>
            <w:tcW w:w="1159" w:type="pct"/>
            <w:tcMar>
              <w:top w:w="0" w:type="dxa"/>
              <w:left w:w="108" w:type="dxa"/>
              <w:bottom w:w="0" w:type="dxa"/>
              <w:right w:w="108" w:type="dxa"/>
            </w:tcMar>
            <w:vAlign w:val="center"/>
          </w:tcPr>
          <w:p w14:paraId="61FD2B01"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48679E74"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0.092</w:t>
            </w:r>
          </w:p>
        </w:tc>
      </w:tr>
      <w:tr w:rsidR="00E42F38" w:rsidRPr="007C4D65" w14:paraId="43F48771"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2CC5CDCC"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7.7.2 Measure</w:t>
            </w:r>
          </w:p>
        </w:tc>
        <w:tc>
          <w:tcPr>
            <w:tcW w:w="814" w:type="pct"/>
            <w:vMerge w:val="restart"/>
            <w:tcMar>
              <w:top w:w="0" w:type="dxa"/>
              <w:left w:w="108" w:type="dxa"/>
              <w:bottom w:w="0" w:type="dxa"/>
              <w:right w:w="108" w:type="dxa"/>
            </w:tcMar>
            <w:vAlign w:val="center"/>
          </w:tcPr>
          <w:p w14:paraId="3B74D597"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Initiation of new innovative and incentive economic mechanisms for funding environmental protection</w:t>
            </w:r>
          </w:p>
        </w:tc>
        <w:tc>
          <w:tcPr>
            <w:tcW w:w="1159" w:type="pct"/>
            <w:shd w:val="clear" w:color="auto" w:fill="D9D9D9"/>
            <w:tcMar>
              <w:top w:w="0" w:type="dxa"/>
              <w:left w:w="108" w:type="dxa"/>
              <w:bottom w:w="0" w:type="dxa"/>
              <w:right w:w="108" w:type="dxa"/>
            </w:tcMar>
            <w:vAlign w:val="center"/>
            <w:hideMark/>
          </w:tcPr>
          <w:p w14:paraId="0C32CA77"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138DEB15"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468052C7"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6457FF49" w14:textId="77777777" w:rsidTr="00B6017F">
        <w:trPr>
          <w:trHeight w:val="287"/>
        </w:trPr>
        <w:tc>
          <w:tcPr>
            <w:tcW w:w="708" w:type="pct"/>
            <w:vMerge/>
            <w:shd w:val="clear" w:color="auto" w:fill="D9D9D9"/>
            <w:vAlign w:val="center"/>
          </w:tcPr>
          <w:p w14:paraId="16FCCA2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7AE3F44F"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620791B" w14:textId="13099386"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Level of improvement of the current and initiation of new economic instruments for environmental protection which are stimulative for </w:t>
            </w:r>
            <w:r w:rsidR="00963086" w:rsidRPr="007C4D65">
              <w:rPr>
                <w:rFonts w:asciiTheme="minorHAnsi" w:hAnsiTheme="minorHAnsi" w:cstheme="minorHAnsi"/>
                <w:sz w:val="18"/>
              </w:rPr>
              <w:t>Target groups</w:t>
            </w:r>
          </w:p>
        </w:tc>
        <w:tc>
          <w:tcPr>
            <w:tcW w:w="1159" w:type="pct"/>
            <w:shd w:val="clear" w:color="auto" w:fill="FFFFFF"/>
            <w:tcMar>
              <w:top w:w="0" w:type="dxa"/>
              <w:left w:w="108" w:type="dxa"/>
              <w:bottom w:w="0" w:type="dxa"/>
              <w:right w:w="108" w:type="dxa"/>
            </w:tcMar>
            <w:vAlign w:val="center"/>
          </w:tcPr>
          <w:p w14:paraId="76D2C4C4" w14:textId="063AF1BF"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Inadequacy of mechanisms which are stimulative for the </w:t>
            </w:r>
            <w:r w:rsidR="00963086" w:rsidRPr="007C4D65">
              <w:rPr>
                <w:rFonts w:asciiTheme="minorHAnsi" w:hAnsiTheme="minorHAnsi" w:cstheme="minorHAnsi"/>
                <w:sz w:val="18"/>
              </w:rPr>
              <w:t>Target groups</w:t>
            </w:r>
          </w:p>
        </w:tc>
        <w:tc>
          <w:tcPr>
            <w:tcW w:w="1159" w:type="pct"/>
            <w:shd w:val="clear" w:color="auto" w:fill="FFFFFF"/>
            <w:vAlign w:val="center"/>
          </w:tcPr>
          <w:p w14:paraId="0ED389BE" w14:textId="77777777" w:rsidR="00E42F38" w:rsidRPr="007C4D65" w:rsidRDefault="00E42F38" w:rsidP="00E42F38">
            <w:pPr>
              <w:spacing w:line="276" w:lineRule="auto"/>
              <w:ind w:left="170" w:firstLine="41"/>
              <w:rPr>
                <w:rFonts w:asciiTheme="minorHAnsi" w:hAnsiTheme="minorHAnsi" w:cstheme="minorHAnsi"/>
                <w:sz w:val="18"/>
                <w:szCs w:val="18"/>
              </w:rPr>
            </w:pPr>
            <w:r w:rsidRPr="007C4D65">
              <w:rPr>
                <w:rFonts w:asciiTheme="minorHAnsi" w:hAnsiTheme="minorHAnsi" w:cstheme="minorHAnsi"/>
                <w:sz w:val="18"/>
              </w:rPr>
              <w:t xml:space="preserve">The existing economic instruments of environmental protection </w:t>
            </w:r>
            <w:proofErr w:type="gramStart"/>
            <w:r w:rsidRPr="007C4D65">
              <w:rPr>
                <w:rFonts w:asciiTheme="minorHAnsi" w:hAnsiTheme="minorHAnsi" w:cstheme="minorHAnsi"/>
                <w:sz w:val="18"/>
              </w:rPr>
              <w:t>enhanced</w:t>
            </w:r>
            <w:proofErr w:type="gramEnd"/>
            <w:r w:rsidRPr="007C4D65">
              <w:rPr>
                <w:rFonts w:asciiTheme="minorHAnsi" w:hAnsiTheme="minorHAnsi" w:cstheme="minorHAnsi"/>
                <w:sz w:val="18"/>
              </w:rPr>
              <w:t xml:space="preserve"> and new ones initiated (2030)</w:t>
            </w:r>
          </w:p>
        </w:tc>
      </w:tr>
      <w:tr w:rsidR="00E42F38" w:rsidRPr="007C4D65" w14:paraId="5B0E9A09" w14:textId="77777777" w:rsidTr="00B6017F">
        <w:trPr>
          <w:trHeight w:val="287"/>
        </w:trPr>
        <w:tc>
          <w:tcPr>
            <w:tcW w:w="708" w:type="pct"/>
            <w:vMerge/>
            <w:shd w:val="clear" w:color="auto" w:fill="D9D9D9"/>
            <w:vAlign w:val="center"/>
          </w:tcPr>
          <w:p w14:paraId="1EE9756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7D48C64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6BEA9868"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Involvement of business entities in fund raising efforts for environmental projects</w:t>
            </w:r>
          </w:p>
        </w:tc>
        <w:tc>
          <w:tcPr>
            <w:tcW w:w="1159" w:type="pct"/>
            <w:shd w:val="clear" w:color="auto" w:fill="FFFFFF"/>
            <w:tcMar>
              <w:top w:w="0" w:type="dxa"/>
              <w:left w:w="108" w:type="dxa"/>
              <w:bottom w:w="0" w:type="dxa"/>
              <w:right w:w="108" w:type="dxa"/>
            </w:tcMar>
            <w:vAlign w:val="center"/>
          </w:tcPr>
          <w:p w14:paraId="21E5C418"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Business entities are not actively involved</w:t>
            </w:r>
          </w:p>
        </w:tc>
        <w:tc>
          <w:tcPr>
            <w:tcW w:w="1159" w:type="pct"/>
            <w:shd w:val="clear" w:color="auto" w:fill="FFFFFF"/>
            <w:vAlign w:val="center"/>
          </w:tcPr>
          <w:p w14:paraId="06A09F5E" w14:textId="77777777" w:rsidR="00E42F38" w:rsidRPr="007C4D65" w:rsidRDefault="00E42F38" w:rsidP="00E42F38">
            <w:pPr>
              <w:spacing w:line="276" w:lineRule="auto"/>
              <w:ind w:left="170" w:firstLine="41"/>
              <w:rPr>
                <w:rFonts w:asciiTheme="minorHAnsi" w:hAnsiTheme="minorHAnsi" w:cstheme="minorHAnsi"/>
                <w:sz w:val="18"/>
                <w:szCs w:val="18"/>
              </w:rPr>
            </w:pPr>
            <w:r w:rsidRPr="007C4D65">
              <w:rPr>
                <w:rFonts w:asciiTheme="minorHAnsi" w:hAnsiTheme="minorHAnsi" w:cstheme="minorHAnsi"/>
                <w:sz w:val="18"/>
              </w:rPr>
              <w:t xml:space="preserve">Business entities play an active role in fund raising efforts and participate in the implementation of environmental projects </w:t>
            </w:r>
          </w:p>
        </w:tc>
      </w:tr>
      <w:tr w:rsidR="00E42F38" w:rsidRPr="007C4D65" w14:paraId="01231F86" w14:textId="77777777" w:rsidTr="00B6017F">
        <w:trPr>
          <w:trHeight w:val="483"/>
        </w:trPr>
        <w:tc>
          <w:tcPr>
            <w:tcW w:w="708" w:type="pct"/>
            <w:vMerge/>
            <w:shd w:val="clear" w:color="auto" w:fill="D9D9D9"/>
            <w:vAlign w:val="center"/>
            <w:hideMark/>
          </w:tcPr>
          <w:p w14:paraId="5A3830A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hideMark/>
          </w:tcPr>
          <w:p w14:paraId="38AF20E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318F0F06" w14:textId="3034873D"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5840145F"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2D5A6D6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7D67BE26" w14:textId="77777777" w:rsidTr="00B6017F">
        <w:trPr>
          <w:trHeight w:val="287"/>
        </w:trPr>
        <w:tc>
          <w:tcPr>
            <w:tcW w:w="708" w:type="pct"/>
            <w:vMerge/>
            <w:shd w:val="clear" w:color="auto" w:fill="D9D9D9"/>
            <w:vAlign w:val="center"/>
            <w:hideMark/>
          </w:tcPr>
          <w:p w14:paraId="3B7CFFC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hideMark/>
          </w:tcPr>
          <w:p w14:paraId="456CE2D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D48035C"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0.020</w:t>
            </w:r>
          </w:p>
        </w:tc>
        <w:tc>
          <w:tcPr>
            <w:tcW w:w="1159" w:type="pct"/>
            <w:tcMar>
              <w:top w:w="0" w:type="dxa"/>
              <w:left w:w="108" w:type="dxa"/>
              <w:bottom w:w="0" w:type="dxa"/>
              <w:right w:w="108" w:type="dxa"/>
            </w:tcMar>
            <w:vAlign w:val="center"/>
          </w:tcPr>
          <w:p w14:paraId="4EB5E0C6"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0.180</w:t>
            </w:r>
          </w:p>
        </w:tc>
        <w:tc>
          <w:tcPr>
            <w:tcW w:w="1159" w:type="pct"/>
            <w:tcMar>
              <w:top w:w="0" w:type="dxa"/>
              <w:left w:w="108" w:type="dxa"/>
              <w:bottom w:w="0" w:type="dxa"/>
              <w:right w:w="108" w:type="dxa"/>
            </w:tcMar>
            <w:vAlign w:val="center"/>
          </w:tcPr>
          <w:p w14:paraId="327CEB9D"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0.201</w:t>
            </w:r>
          </w:p>
        </w:tc>
      </w:tr>
      <w:tr w:rsidR="00E42F38" w:rsidRPr="007C4D65" w14:paraId="5DFE58F0"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0FF6A906"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7.7.3 Measure</w:t>
            </w:r>
          </w:p>
        </w:tc>
        <w:tc>
          <w:tcPr>
            <w:tcW w:w="814" w:type="pct"/>
            <w:vMerge w:val="restart"/>
            <w:tcMar>
              <w:top w:w="0" w:type="dxa"/>
              <w:left w:w="108" w:type="dxa"/>
              <w:bottom w:w="0" w:type="dxa"/>
              <w:right w:w="108" w:type="dxa"/>
            </w:tcMar>
            <w:vAlign w:val="center"/>
          </w:tcPr>
          <w:p w14:paraId="04BF1058"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Use of EU and other international funds designated for environmental protection and complementary sectors</w:t>
            </w:r>
          </w:p>
        </w:tc>
        <w:tc>
          <w:tcPr>
            <w:tcW w:w="1159" w:type="pct"/>
            <w:shd w:val="clear" w:color="auto" w:fill="D9D9D9"/>
            <w:tcMar>
              <w:top w:w="0" w:type="dxa"/>
              <w:left w:w="108" w:type="dxa"/>
              <w:bottom w:w="0" w:type="dxa"/>
              <w:right w:w="108" w:type="dxa"/>
            </w:tcMar>
            <w:vAlign w:val="center"/>
            <w:hideMark/>
          </w:tcPr>
          <w:p w14:paraId="30E2A62F"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020E24FB"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73AD64BB"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210D9C86" w14:textId="77777777" w:rsidTr="00B6017F">
        <w:trPr>
          <w:trHeight w:val="287"/>
        </w:trPr>
        <w:tc>
          <w:tcPr>
            <w:tcW w:w="708" w:type="pct"/>
            <w:vMerge/>
            <w:shd w:val="clear" w:color="auto" w:fill="D9D9D9"/>
            <w:vAlign w:val="center"/>
          </w:tcPr>
          <w:p w14:paraId="01A6DB7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793E0366"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B154F79"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Status of setting up of an intermediary body at the level of Federation of Bosnia and Herzegovina for the implementation of EU supported environmental projects</w:t>
            </w:r>
          </w:p>
        </w:tc>
        <w:tc>
          <w:tcPr>
            <w:tcW w:w="1159" w:type="pct"/>
            <w:shd w:val="clear" w:color="auto" w:fill="FFFFFF"/>
            <w:tcMar>
              <w:top w:w="0" w:type="dxa"/>
              <w:left w:w="108" w:type="dxa"/>
              <w:bottom w:w="0" w:type="dxa"/>
              <w:right w:w="108" w:type="dxa"/>
            </w:tcMar>
            <w:vAlign w:val="center"/>
          </w:tcPr>
          <w:p w14:paraId="5B96BE3B"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Not formed</w:t>
            </w:r>
          </w:p>
        </w:tc>
        <w:tc>
          <w:tcPr>
            <w:tcW w:w="1159" w:type="pct"/>
            <w:shd w:val="clear" w:color="auto" w:fill="FFFFFF"/>
            <w:vAlign w:val="center"/>
          </w:tcPr>
          <w:p w14:paraId="410CBF24" w14:textId="626AD6D9" w:rsidR="00E42F38" w:rsidRPr="007C4D65" w:rsidRDefault="00E42F38" w:rsidP="00E42F38">
            <w:pPr>
              <w:spacing w:line="276" w:lineRule="auto"/>
              <w:ind w:left="211" w:hanging="41"/>
              <w:rPr>
                <w:rFonts w:asciiTheme="minorHAnsi" w:hAnsiTheme="minorHAnsi" w:cstheme="minorHAnsi"/>
                <w:sz w:val="18"/>
                <w:szCs w:val="18"/>
              </w:rPr>
            </w:pPr>
            <w:r w:rsidRPr="007C4D65">
              <w:rPr>
                <w:rFonts w:asciiTheme="minorHAnsi" w:hAnsiTheme="minorHAnsi" w:cstheme="minorHAnsi"/>
                <w:sz w:val="18"/>
              </w:rPr>
              <w:t xml:space="preserve">The intermediary body at the level of the Federation of BiH formed using the capacities of the current institutions, such as: </w:t>
            </w:r>
            <w:r w:rsidR="007436F1" w:rsidRPr="007C4D65">
              <w:rPr>
                <w:rFonts w:asciiTheme="minorHAnsi" w:hAnsiTheme="minorHAnsi" w:cstheme="minorHAnsi"/>
                <w:sz w:val="18"/>
              </w:rPr>
              <w:t>Environmental Protection Fund</w:t>
            </w:r>
            <w:r w:rsidRPr="007C4D65">
              <w:rPr>
                <w:rFonts w:asciiTheme="minorHAnsi" w:hAnsiTheme="minorHAnsi" w:cstheme="minorHAnsi"/>
                <w:sz w:val="18"/>
              </w:rPr>
              <w:t xml:space="preserve"> of the Federation of BiH which is engaged in the implementation and monitoring of environmental projects, with the view of implementing EU projects in the territory of the Federation of Bosnia and Herzegovina (2028)</w:t>
            </w:r>
          </w:p>
        </w:tc>
      </w:tr>
      <w:tr w:rsidR="00E42F38" w:rsidRPr="007C4D65" w14:paraId="3EF7BD39" w14:textId="77777777" w:rsidTr="00B6017F">
        <w:trPr>
          <w:trHeight w:val="287"/>
        </w:trPr>
        <w:tc>
          <w:tcPr>
            <w:tcW w:w="708" w:type="pct"/>
            <w:vMerge/>
            <w:shd w:val="clear" w:color="auto" w:fill="D9D9D9"/>
            <w:vAlign w:val="center"/>
          </w:tcPr>
          <w:p w14:paraId="223A8F5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3B9A654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D2B6E98"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Setting up an information system for project application and partners from the level of Bosnia and Herzegovina and management of international projects</w:t>
            </w:r>
          </w:p>
        </w:tc>
        <w:tc>
          <w:tcPr>
            <w:tcW w:w="1159" w:type="pct"/>
            <w:shd w:val="clear" w:color="auto" w:fill="FFFFFF"/>
            <w:tcMar>
              <w:top w:w="0" w:type="dxa"/>
              <w:left w:w="108" w:type="dxa"/>
              <w:bottom w:w="0" w:type="dxa"/>
              <w:right w:w="108" w:type="dxa"/>
            </w:tcMar>
            <w:vAlign w:val="center"/>
          </w:tcPr>
          <w:p w14:paraId="763E79FC"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Not established</w:t>
            </w:r>
          </w:p>
        </w:tc>
        <w:tc>
          <w:tcPr>
            <w:tcW w:w="1159" w:type="pct"/>
            <w:shd w:val="clear" w:color="auto" w:fill="FFFFFF"/>
            <w:vAlign w:val="center"/>
          </w:tcPr>
          <w:p w14:paraId="55DA9E4C" w14:textId="77777777" w:rsidR="00E42F38" w:rsidRPr="007C4D65" w:rsidRDefault="00E42F38" w:rsidP="00E42F38">
            <w:pPr>
              <w:spacing w:line="276" w:lineRule="auto"/>
              <w:ind w:left="211" w:hanging="41"/>
              <w:rPr>
                <w:rFonts w:asciiTheme="minorHAnsi" w:hAnsiTheme="minorHAnsi" w:cstheme="minorHAnsi"/>
                <w:sz w:val="18"/>
                <w:szCs w:val="18"/>
              </w:rPr>
            </w:pPr>
            <w:r w:rsidRPr="007C4D65">
              <w:rPr>
                <w:rFonts w:asciiTheme="minorHAnsi" w:hAnsiTheme="minorHAnsi" w:cstheme="minorHAnsi"/>
                <w:sz w:val="18"/>
              </w:rPr>
              <w:t>An online system (e-service) for identification of projects, review of applications, and monitoring and reporting on the implementation of projects set up in the Environmental Protection Fund of the Federation of BiH (2029)</w:t>
            </w:r>
          </w:p>
        </w:tc>
      </w:tr>
      <w:tr w:rsidR="00E42F38" w:rsidRPr="007C4D65" w14:paraId="7970A39C" w14:textId="77777777" w:rsidTr="00B6017F">
        <w:trPr>
          <w:trHeight w:val="483"/>
        </w:trPr>
        <w:tc>
          <w:tcPr>
            <w:tcW w:w="708" w:type="pct"/>
            <w:vMerge/>
            <w:shd w:val="clear" w:color="auto" w:fill="D9D9D9"/>
            <w:vAlign w:val="center"/>
            <w:hideMark/>
          </w:tcPr>
          <w:p w14:paraId="412317F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hideMark/>
          </w:tcPr>
          <w:p w14:paraId="7A5B138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130A0A9A" w14:textId="0FEC1392"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03456B86"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193AA24A"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3D30216D" w14:textId="77777777" w:rsidTr="00B6017F">
        <w:trPr>
          <w:trHeight w:val="287"/>
        </w:trPr>
        <w:tc>
          <w:tcPr>
            <w:tcW w:w="708" w:type="pct"/>
            <w:vMerge/>
            <w:shd w:val="clear" w:color="auto" w:fill="D9D9D9"/>
            <w:vAlign w:val="center"/>
            <w:hideMark/>
          </w:tcPr>
          <w:p w14:paraId="71418763"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hideMark/>
          </w:tcPr>
          <w:p w14:paraId="79F3DA9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B150BC0"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0.081</w:t>
            </w:r>
          </w:p>
        </w:tc>
        <w:tc>
          <w:tcPr>
            <w:tcW w:w="1159" w:type="pct"/>
            <w:tcMar>
              <w:top w:w="0" w:type="dxa"/>
              <w:left w:w="108" w:type="dxa"/>
              <w:bottom w:w="0" w:type="dxa"/>
              <w:right w:w="108" w:type="dxa"/>
            </w:tcMar>
            <w:vAlign w:val="center"/>
          </w:tcPr>
          <w:p w14:paraId="11709035"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2658F15C"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0.081</w:t>
            </w:r>
          </w:p>
        </w:tc>
      </w:tr>
    </w:tbl>
    <w:p w14:paraId="7A7F259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975"/>
        <w:gridCol w:w="2270"/>
        <w:gridCol w:w="3231"/>
        <w:gridCol w:w="3231"/>
        <w:gridCol w:w="3231"/>
      </w:tblGrid>
      <w:tr w:rsidR="00E42F38" w:rsidRPr="007C4D65" w14:paraId="6D8A04DE" w14:textId="77777777" w:rsidTr="00B6017F">
        <w:trPr>
          <w:trHeight w:val="384"/>
        </w:trPr>
        <w:tc>
          <w:tcPr>
            <w:tcW w:w="708" w:type="pct"/>
            <w:vMerge w:val="restart"/>
            <w:shd w:val="clear" w:color="auto" w:fill="D9D9D9"/>
            <w:tcMar>
              <w:top w:w="0" w:type="dxa"/>
              <w:left w:w="108" w:type="dxa"/>
              <w:bottom w:w="0" w:type="dxa"/>
              <w:right w:w="108" w:type="dxa"/>
            </w:tcMar>
            <w:vAlign w:val="center"/>
          </w:tcPr>
          <w:p w14:paraId="0C057CD7" w14:textId="16EBF0FF" w:rsidR="00E42F38" w:rsidRPr="007C4D65" w:rsidRDefault="00E42F38" w:rsidP="009D6490">
            <w:pPr>
              <w:spacing w:after="120" w:line="276" w:lineRule="auto"/>
              <w:ind w:hanging="2"/>
              <w:contextualSpacing/>
              <w:rPr>
                <w:rFonts w:asciiTheme="minorHAnsi" w:hAnsiTheme="minorHAnsi" w:cstheme="minorHAnsi"/>
                <w:b/>
                <w:sz w:val="18"/>
                <w:szCs w:val="18"/>
                <w:lang w:val="hr-HR"/>
              </w:rPr>
            </w:pPr>
            <w:r w:rsidRPr="007C4D65">
              <w:rPr>
                <w:rFonts w:asciiTheme="minorHAnsi" w:hAnsiTheme="minorHAnsi" w:cstheme="minorHAnsi"/>
                <w:b/>
                <w:sz w:val="18"/>
              </w:rPr>
              <w:t>7.8 Priority</w:t>
            </w:r>
          </w:p>
        </w:tc>
        <w:tc>
          <w:tcPr>
            <w:tcW w:w="814" w:type="pct"/>
            <w:vMerge w:val="restart"/>
            <w:tcMar>
              <w:top w:w="0" w:type="dxa"/>
              <w:left w:w="108" w:type="dxa"/>
              <w:bottom w:w="0" w:type="dxa"/>
              <w:right w:w="108" w:type="dxa"/>
            </w:tcMar>
            <w:vAlign w:val="center"/>
          </w:tcPr>
          <w:p w14:paraId="4992F748" w14:textId="77777777" w:rsidR="00E42F38" w:rsidRPr="007C4D65" w:rsidRDefault="00E42F38" w:rsidP="00E42F38">
            <w:pPr>
              <w:spacing w:after="120" w:line="276" w:lineRule="auto"/>
              <w:ind w:hanging="2"/>
              <w:contextualSpacing/>
              <w:rPr>
                <w:rFonts w:asciiTheme="minorHAnsi" w:hAnsiTheme="minorHAnsi" w:cstheme="minorHAnsi"/>
                <w:b/>
                <w:color w:val="000000"/>
                <w:sz w:val="18"/>
                <w:szCs w:val="18"/>
              </w:rPr>
            </w:pPr>
            <w:r w:rsidRPr="007C4D65">
              <w:rPr>
                <w:rFonts w:asciiTheme="minorHAnsi" w:hAnsiTheme="minorHAnsi" w:cstheme="minorHAnsi"/>
                <w:b/>
                <w:sz w:val="18"/>
              </w:rPr>
              <w:t>Developing a system of strategic decision-making, investments and monitoring of effects in environmental education, research and innovation</w:t>
            </w:r>
          </w:p>
        </w:tc>
        <w:tc>
          <w:tcPr>
            <w:tcW w:w="1159" w:type="pct"/>
            <w:shd w:val="clear" w:color="auto" w:fill="D9D9D9"/>
            <w:tcMar>
              <w:top w:w="0" w:type="dxa"/>
              <w:left w:w="108" w:type="dxa"/>
              <w:bottom w:w="0" w:type="dxa"/>
              <w:right w:w="108" w:type="dxa"/>
            </w:tcMar>
            <w:vAlign w:val="center"/>
          </w:tcPr>
          <w:p w14:paraId="26256152" w14:textId="77777777" w:rsidR="00E42F38" w:rsidRPr="007C4D65" w:rsidRDefault="00E42F38" w:rsidP="00E42F38">
            <w:pPr>
              <w:spacing w:after="120" w:line="276" w:lineRule="auto"/>
              <w:ind w:hanging="2"/>
              <w:contextualSpacing/>
              <w:jc w:val="center"/>
              <w:rPr>
                <w:rFonts w:asciiTheme="minorHAnsi" w:hAnsiTheme="minorHAnsi" w:cstheme="minorHAnsi"/>
                <w:b/>
                <w:color w:val="000000"/>
                <w:sz w:val="18"/>
                <w:szCs w:val="18"/>
              </w:rPr>
            </w:pPr>
            <w:r w:rsidRPr="007C4D65">
              <w:rPr>
                <w:rFonts w:asciiTheme="minorHAnsi" w:hAnsiTheme="minorHAnsi" w:cstheme="minorHAnsi"/>
                <w:b/>
                <w:sz w:val="18"/>
              </w:rPr>
              <w:t>Priority indicators</w:t>
            </w:r>
          </w:p>
        </w:tc>
        <w:tc>
          <w:tcPr>
            <w:tcW w:w="1159" w:type="pct"/>
            <w:shd w:val="clear" w:color="auto" w:fill="D9D9D9"/>
            <w:tcMar>
              <w:top w:w="0" w:type="dxa"/>
              <w:left w:w="108" w:type="dxa"/>
              <w:bottom w:w="0" w:type="dxa"/>
              <w:right w:w="108" w:type="dxa"/>
            </w:tcMar>
            <w:vAlign w:val="center"/>
          </w:tcPr>
          <w:p w14:paraId="03134A4E"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tcMar>
              <w:top w:w="0" w:type="dxa"/>
              <w:left w:w="108" w:type="dxa"/>
              <w:bottom w:w="0" w:type="dxa"/>
              <w:right w:w="108" w:type="dxa"/>
            </w:tcMar>
            <w:vAlign w:val="center"/>
          </w:tcPr>
          <w:p w14:paraId="161638B4"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4ADDD571" w14:textId="77777777" w:rsidTr="00B6017F">
        <w:trPr>
          <w:trHeight w:val="287"/>
        </w:trPr>
        <w:tc>
          <w:tcPr>
            <w:tcW w:w="708" w:type="pct"/>
            <w:vMerge/>
            <w:shd w:val="clear" w:color="auto" w:fill="D9D9D9"/>
            <w:vAlign w:val="center"/>
            <w:hideMark/>
          </w:tcPr>
          <w:p w14:paraId="62E9A152"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hideMark/>
          </w:tcPr>
          <w:p w14:paraId="37DEBD8D"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71AA03D" w14:textId="1F1357E2"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Level of the integration of environmental protection issues in curricula of educational institutions and </w:t>
            </w:r>
            <w:r w:rsidR="00A24C9A">
              <w:rPr>
                <w:rFonts w:asciiTheme="minorHAnsi" w:hAnsiTheme="minorHAnsi" w:cstheme="minorHAnsi"/>
                <w:sz w:val="18"/>
              </w:rPr>
              <w:t xml:space="preserve">nonformal </w:t>
            </w:r>
            <w:r w:rsidRPr="007C4D65">
              <w:rPr>
                <w:rFonts w:asciiTheme="minorHAnsi" w:hAnsiTheme="minorHAnsi" w:cstheme="minorHAnsi"/>
                <w:sz w:val="18"/>
              </w:rPr>
              <w:t>education</w:t>
            </w:r>
          </w:p>
        </w:tc>
        <w:tc>
          <w:tcPr>
            <w:tcW w:w="1159" w:type="pct"/>
            <w:tcMar>
              <w:top w:w="0" w:type="dxa"/>
              <w:left w:w="108" w:type="dxa"/>
              <w:bottom w:w="0" w:type="dxa"/>
              <w:right w:w="108" w:type="dxa"/>
            </w:tcMar>
            <w:vAlign w:val="center"/>
          </w:tcPr>
          <w:p w14:paraId="53823214"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Environmental issues are insufficiently integrated in curricula of educational institutions at all the levels (2021)</w:t>
            </w:r>
          </w:p>
        </w:tc>
        <w:tc>
          <w:tcPr>
            <w:tcW w:w="1159" w:type="pct"/>
            <w:tcMar>
              <w:top w:w="0" w:type="dxa"/>
              <w:left w:w="108" w:type="dxa"/>
              <w:bottom w:w="0" w:type="dxa"/>
              <w:right w:w="108" w:type="dxa"/>
            </w:tcMar>
            <w:vAlign w:val="center"/>
          </w:tcPr>
          <w:p w14:paraId="44C81516"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Environmental issues integrated in curricula of educational institutions across the levels (2030)</w:t>
            </w:r>
          </w:p>
        </w:tc>
      </w:tr>
      <w:tr w:rsidR="00E42F38" w:rsidRPr="007C4D65" w14:paraId="7685A0E7" w14:textId="77777777" w:rsidTr="00B6017F">
        <w:trPr>
          <w:trHeight w:val="287"/>
        </w:trPr>
        <w:tc>
          <w:tcPr>
            <w:tcW w:w="708" w:type="pct"/>
            <w:vMerge/>
            <w:shd w:val="clear" w:color="auto" w:fill="D9D9D9"/>
            <w:vAlign w:val="center"/>
          </w:tcPr>
          <w:p w14:paraId="3B5231D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5B4E93C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0889D4C"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Capacity of employees of educational institutions</w:t>
            </w:r>
          </w:p>
        </w:tc>
        <w:tc>
          <w:tcPr>
            <w:tcW w:w="1159" w:type="pct"/>
            <w:tcMar>
              <w:top w:w="0" w:type="dxa"/>
              <w:left w:w="108" w:type="dxa"/>
              <w:bottom w:w="0" w:type="dxa"/>
              <w:right w:w="108" w:type="dxa"/>
            </w:tcMar>
            <w:vAlign w:val="center"/>
          </w:tcPr>
          <w:p w14:paraId="4407628C" w14:textId="6FEA2120" w:rsidR="00E42F38" w:rsidRPr="007C4D65" w:rsidRDefault="00830279"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w:t>
            </w:r>
            <w:r w:rsidR="00E42F38" w:rsidRPr="007C4D65">
              <w:rPr>
                <w:rFonts w:asciiTheme="minorHAnsi" w:hAnsiTheme="minorHAnsi" w:cstheme="minorHAnsi"/>
                <w:sz w:val="18"/>
              </w:rPr>
              <w:t>co-pedagogical competencies of the staff of educational institutions need to be improved (2021)</w:t>
            </w:r>
          </w:p>
        </w:tc>
        <w:tc>
          <w:tcPr>
            <w:tcW w:w="1159" w:type="pct"/>
            <w:tcMar>
              <w:top w:w="0" w:type="dxa"/>
              <w:left w:w="108" w:type="dxa"/>
              <w:bottom w:w="0" w:type="dxa"/>
              <w:right w:w="108" w:type="dxa"/>
            </w:tcMar>
            <w:vAlign w:val="center"/>
          </w:tcPr>
          <w:p w14:paraId="6A5C6B19"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Strengthen the capacity and eco-pedagogical competencies of the staff of educational institutions (2030)</w:t>
            </w:r>
          </w:p>
        </w:tc>
      </w:tr>
      <w:tr w:rsidR="00E42F38" w:rsidRPr="007C4D65" w14:paraId="152B3A5B" w14:textId="77777777" w:rsidTr="00B6017F">
        <w:trPr>
          <w:trHeight w:val="287"/>
        </w:trPr>
        <w:tc>
          <w:tcPr>
            <w:tcW w:w="708" w:type="pct"/>
            <w:vMerge/>
            <w:shd w:val="clear" w:color="auto" w:fill="D9D9D9"/>
            <w:vAlign w:val="center"/>
          </w:tcPr>
          <w:p w14:paraId="7F7AC3A9"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23B1337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00F3211" w14:textId="51E9D904"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Creating dedicated funds to support the </w:t>
            </w:r>
            <w:r w:rsidR="00A24C9A" w:rsidRPr="00A24C9A">
              <w:rPr>
                <w:rFonts w:asciiTheme="minorHAnsi" w:hAnsiTheme="minorHAnsi" w:cstheme="minorHAnsi"/>
                <w:sz w:val="18"/>
              </w:rPr>
              <w:t>nonformal</w:t>
            </w:r>
            <w:r w:rsidRPr="007C4D65">
              <w:rPr>
                <w:rFonts w:asciiTheme="minorHAnsi" w:hAnsiTheme="minorHAnsi" w:cstheme="minorHAnsi"/>
                <w:sz w:val="18"/>
              </w:rPr>
              <w:t xml:space="preserve"> environmental education</w:t>
            </w:r>
          </w:p>
        </w:tc>
        <w:tc>
          <w:tcPr>
            <w:tcW w:w="1159" w:type="pct"/>
            <w:tcMar>
              <w:top w:w="0" w:type="dxa"/>
              <w:left w:w="108" w:type="dxa"/>
              <w:bottom w:w="0" w:type="dxa"/>
              <w:right w:w="108" w:type="dxa"/>
            </w:tcMar>
            <w:vAlign w:val="center"/>
          </w:tcPr>
          <w:p w14:paraId="4200A2F9" w14:textId="0902F469"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Insufficient budgets allocated to support the programming in the domain of </w:t>
            </w:r>
            <w:r w:rsidR="00A24C9A" w:rsidRPr="00A24C9A">
              <w:rPr>
                <w:rFonts w:asciiTheme="minorHAnsi" w:hAnsiTheme="minorHAnsi" w:cstheme="minorHAnsi"/>
                <w:sz w:val="18"/>
              </w:rPr>
              <w:t>nonformal</w:t>
            </w:r>
            <w:r w:rsidRPr="007C4D65">
              <w:rPr>
                <w:rFonts w:asciiTheme="minorHAnsi" w:hAnsiTheme="minorHAnsi" w:cstheme="minorHAnsi"/>
                <w:sz w:val="18"/>
              </w:rPr>
              <w:t xml:space="preserve"> environmental education (2021)</w:t>
            </w:r>
          </w:p>
        </w:tc>
        <w:tc>
          <w:tcPr>
            <w:tcW w:w="1159" w:type="pct"/>
            <w:tcMar>
              <w:top w:w="0" w:type="dxa"/>
              <w:left w:w="108" w:type="dxa"/>
              <w:bottom w:w="0" w:type="dxa"/>
              <w:right w:w="108" w:type="dxa"/>
            </w:tcMar>
            <w:vAlign w:val="center"/>
          </w:tcPr>
          <w:p w14:paraId="2D78FA68" w14:textId="00982734"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Dedicated funds for support to </w:t>
            </w:r>
            <w:r w:rsidR="00A24C9A" w:rsidRPr="00A24C9A">
              <w:rPr>
                <w:rFonts w:asciiTheme="minorHAnsi" w:hAnsiTheme="minorHAnsi" w:cstheme="minorHAnsi"/>
                <w:sz w:val="18"/>
              </w:rPr>
              <w:t xml:space="preserve">nonformal </w:t>
            </w:r>
            <w:r w:rsidRPr="007C4D65">
              <w:rPr>
                <w:rFonts w:asciiTheme="minorHAnsi" w:hAnsiTheme="minorHAnsi" w:cstheme="minorHAnsi"/>
                <w:sz w:val="18"/>
              </w:rPr>
              <w:t>environmental education created (2030)</w:t>
            </w:r>
          </w:p>
        </w:tc>
      </w:tr>
      <w:tr w:rsidR="00E42F38" w:rsidRPr="007C4D65" w14:paraId="0B1BD1CB" w14:textId="77777777" w:rsidTr="00B6017F">
        <w:trPr>
          <w:trHeight w:val="287"/>
        </w:trPr>
        <w:tc>
          <w:tcPr>
            <w:tcW w:w="708" w:type="pct"/>
            <w:vMerge/>
            <w:shd w:val="clear" w:color="auto" w:fill="D9D9D9"/>
            <w:vAlign w:val="center"/>
          </w:tcPr>
          <w:p w14:paraId="366A6EF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2C30565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56C5809"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Availability of dedicated funds for innovation and development in the environment sector</w:t>
            </w:r>
          </w:p>
        </w:tc>
        <w:tc>
          <w:tcPr>
            <w:tcW w:w="1159" w:type="pct"/>
            <w:tcMar>
              <w:top w:w="0" w:type="dxa"/>
              <w:left w:w="108" w:type="dxa"/>
              <w:bottom w:w="0" w:type="dxa"/>
              <w:right w:w="108" w:type="dxa"/>
            </w:tcMar>
            <w:vAlign w:val="center"/>
          </w:tcPr>
          <w:p w14:paraId="387A3FB7"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Dedicated budgets for investments in innovation and development, and application of new technologies aimed at reducing the pollution are not sufficient given an increasing need to catch up with international trends (2021)</w:t>
            </w:r>
          </w:p>
        </w:tc>
        <w:tc>
          <w:tcPr>
            <w:tcW w:w="1159" w:type="pct"/>
            <w:tcMar>
              <w:top w:w="0" w:type="dxa"/>
              <w:left w:w="108" w:type="dxa"/>
              <w:bottom w:w="0" w:type="dxa"/>
              <w:right w:w="108" w:type="dxa"/>
            </w:tcMar>
            <w:vAlign w:val="center"/>
          </w:tcPr>
          <w:p w14:paraId="44EB1F47"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Larger budgets dedicated for innovation and development, and application of new technologies aimed at reducing pollution in place (2028)</w:t>
            </w:r>
          </w:p>
        </w:tc>
      </w:tr>
      <w:tr w:rsidR="00E42F38" w:rsidRPr="007C4D65" w14:paraId="13C65B71" w14:textId="77777777" w:rsidTr="00B6017F">
        <w:trPr>
          <w:trHeight w:val="287"/>
        </w:trPr>
        <w:tc>
          <w:tcPr>
            <w:tcW w:w="708" w:type="pct"/>
            <w:vMerge/>
            <w:shd w:val="clear" w:color="auto" w:fill="D9D9D9"/>
            <w:vAlign w:val="center"/>
          </w:tcPr>
          <w:p w14:paraId="454C1AE8"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13B11F0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0D004D33" w14:textId="695008DE" w:rsidR="00E42F38" w:rsidRPr="007C4D65" w:rsidRDefault="00830279" w:rsidP="00E42F38">
            <w:pPr>
              <w:spacing w:line="276" w:lineRule="auto"/>
              <w:rPr>
                <w:rFonts w:asciiTheme="minorHAnsi" w:hAnsiTheme="minorHAnsi" w:cstheme="minorHAnsi"/>
                <w:sz w:val="18"/>
                <w:szCs w:val="18"/>
              </w:rPr>
            </w:pPr>
            <w:r w:rsidRPr="007C4D65">
              <w:rPr>
                <w:rFonts w:asciiTheme="minorHAnsi" w:hAnsiTheme="minorHAnsi" w:cstheme="minorHAnsi"/>
                <w:sz w:val="18"/>
              </w:rPr>
              <w:t>Research</w:t>
            </w:r>
            <w:r w:rsidR="00E42F38" w:rsidRPr="007C4D65">
              <w:rPr>
                <w:rFonts w:asciiTheme="minorHAnsi" w:hAnsiTheme="minorHAnsi" w:cstheme="minorHAnsi"/>
                <w:sz w:val="18"/>
              </w:rPr>
              <w:t xml:space="preserve"> capacity building in the environment sector</w:t>
            </w:r>
          </w:p>
        </w:tc>
        <w:tc>
          <w:tcPr>
            <w:tcW w:w="1159" w:type="pct"/>
            <w:tcMar>
              <w:top w:w="0" w:type="dxa"/>
              <w:left w:w="108" w:type="dxa"/>
              <w:bottom w:w="0" w:type="dxa"/>
              <w:right w:w="108" w:type="dxa"/>
            </w:tcMar>
            <w:vAlign w:val="center"/>
          </w:tcPr>
          <w:p w14:paraId="5F9E6874" w14:textId="77777777" w:rsidR="00E42F38" w:rsidRPr="007C4D65" w:rsidRDefault="00E42F38" w:rsidP="00E42F38">
            <w:pPr>
              <w:widowControl w:val="0"/>
              <w:autoSpaceDE w:val="0"/>
              <w:autoSpaceDN w:val="0"/>
              <w:adjustRightInd w:val="0"/>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Poor capacities for research and development in the environment sector Scientific research in this area insufficient (2021)</w:t>
            </w:r>
          </w:p>
        </w:tc>
        <w:tc>
          <w:tcPr>
            <w:tcW w:w="1159" w:type="pct"/>
            <w:tcMar>
              <w:top w:w="0" w:type="dxa"/>
              <w:left w:w="108" w:type="dxa"/>
              <w:bottom w:w="0" w:type="dxa"/>
              <w:right w:w="108" w:type="dxa"/>
            </w:tcMar>
            <w:vAlign w:val="center"/>
          </w:tcPr>
          <w:p w14:paraId="5B1A1C8E"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Capacities for environmental research strengthened by (2030)</w:t>
            </w:r>
          </w:p>
        </w:tc>
      </w:tr>
      <w:tr w:rsidR="00E42F38" w:rsidRPr="007C4D65" w14:paraId="36E84485" w14:textId="77777777" w:rsidTr="00B6017F">
        <w:trPr>
          <w:trHeight w:val="287"/>
        </w:trPr>
        <w:tc>
          <w:tcPr>
            <w:tcW w:w="708" w:type="pct"/>
            <w:vMerge/>
            <w:shd w:val="clear" w:color="auto" w:fill="D9D9D9"/>
            <w:vAlign w:val="center"/>
            <w:hideMark/>
          </w:tcPr>
          <w:p w14:paraId="3BAEA81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hideMark/>
          </w:tcPr>
          <w:p w14:paraId="36732A03"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7B1F7CA5" w14:textId="1265ED78"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01FDB1B1"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7C968E91"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61C763EA" w14:textId="77777777" w:rsidTr="00B6017F">
        <w:trPr>
          <w:trHeight w:val="287"/>
        </w:trPr>
        <w:tc>
          <w:tcPr>
            <w:tcW w:w="708" w:type="pct"/>
            <w:vMerge/>
            <w:shd w:val="clear" w:color="auto" w:fill="D9D9D9"/>
            <w:vAlign w:val="center"/>
          </w:tcPr>
          <w:p w14:paraId="079965D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4" w:type="pct"/>
            <w:vMerge/>
            <w:vAlign w:val="center"/>
          </w:tcPr>
          <w:p w14:paraId="22E442BF"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29E14CDD"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0.193</w:t>
            </w:r>
          </w:p>
        </w:tc>
        <w:tc>
          <w:tcPr>
            <w:tcW w:w="1159" w:type="pct"/>
            <w:tcMar>
              <w:top w:w="0" w:type="dxa"/>
              <w:left w:w="108" w:type="dxa"/>
              <w:bottom w:w="0" w:type="dxa"/>
              <w:right w:w="108" w:type="dxa"/>
            </w:tcMar>
            <w:vAlign w:val="center"/>
          </w:tcPr>
          <w:p w14:paraId="434E8BF5"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0.393</w:t>
            </w:r>
          </w:p>
        </w:tc>
        <w:tc>
          <w:tcPr>
            <w:tcW w:w="1159" w:type="pct"/>
            <w:tcMar>
              <w:top w:w="0" w:type="dxa"/>
              <w:left w:w="108" w:type="dxa"/>
              <w:bottom w:w="0" w:type="dxa"/>
              <w:right w:w="108" w:type="dxa"/>
            </w:tcMar>
            <w:vAlign w:val="center"/>
          </w:tcPr>
          <w:p w14:paraId="375C0F65"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0.587</w:t>
            </w:r>
          </w:p>
        </w:tc>
      </w:tr>
    </w:tbl>
    <w:p w14:paraId="3950FA20" w14:textId="77777777" w:rsidR="00E42F38" w:rsidRPr="007C4D65" w:rsidRDefault="00E42F38" w:rsidP="00E42F38">
      <w:pPr>
        <w:spacing w:line="276" w:lineRule="auto"/>
        <w:jc w:val="both"/>
        <w:rPr>
          <w:rFonts w:asciiTheme="minorHAnsi" w:hAnsiTheme="minorHAnsi" w:cstheme="minorHAnsi"/>
          <w:sz w:val="18"/>
          <w:szCs w:val="18"/>
          <w:lang w:val="hr-HR"/>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973"/>
        <w:gridCol w:w="2272"/>
        <w:gridCol w:w="3231"/>
        <w:gridCol w:w="3231"/>
        <w:gridCol w:w="3231"/>
      </w:tblGrid>
      <w:tr w:rsidR="00E42F38" w:rsidRPr="007C4D65" w14:paraId="0785E8B0"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72986999"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7.8.1 Measure</w:t>
            </w:r>
          </w:p>
        </w:tc>
        <w:tc>
          <w:tcPr>
            <w:tcW w:w="815" w:type="pct"/>
            <w:vMerge w:val="restart"/>
            <w:tcMar>
              <w:top w:w="0" w:type="dxa"/>
              <w:left w:w="108" w:type="dxa"/>
              <w:bottom w:w="0" w:type="dxa"/>
              <w:right w:w="108" w:type="dxa"/>
            </w:tcMar>
            <w:vAlign w:val="center"/>
          </w:tcPr>
          <w:p w14:paraId="5C1819D4"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Embedding environmental education in curricula of at all the levels of education</w:t>
            </w:r>
          </w:p>
        </w:tc>
        <w:tc>
          <w:tcPr>
            <w:tcW w:w="1159" w:type="pct"/>
            <w:shd w:val="clear" w:color="auto" w:fill="D9D9D9"/>
            <w:tcMar>
              <w:top w:w="0" w:type="dxa"/>
              <w:left w:w="108" w:type="dxa"/>
              <w:bottom w:w="0" w:type="dxa"/>
              <w:right w:w="108" w:type="dxa"/>
            </w:tcMar>
            <w:vAlign w:val="center"/>
            <w:hideMark/>
          </w:tcPr>
          <w:p w14:paraId="23A3AE9D"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596E734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7D497E79"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6C32CB24" w14:textId="77777777" w:rsidTr="00B6017F">
        <w:trPr>
          <w:trHeight w:val="287"/>
        </w:trPr>
        <w:tc>
          <w:tcPr>
            <w:tcW w:w="708" w:type="pct"/>
            <w:vMerge/>
            <w:shd w:val="clear" w:color="auto" w:fill="D9D9D9"/>
            <w:vAlign w:val="center"/>
          </w:tcPr>
          <w:p w14:paraId="373C5DD0"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21E7BF0B"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5298D19A"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Analysis of the quality of the curricular content</w:t>
            </w:r>
          </w:p>
        </w:tc>
        <w:tc>
          <w:tcPr>
            <w:tcW w:w="1159" w:type="pct"/>
            <w:shd w:val="clear" w:color="auto" w:fill="FFFFFF"/>
            <w:tcMar>
              <w:top w:w="0" w:type="dxa"/>
              <w:left w:w="108" w:type="dxa"/>
              <w:bottom w:w="0" w:type="dxa"/>
              <w:right w:w="108" w:type="dxa"/>
            </w:tcMar>
            <w:vAlign w:val="center"/>
          </w:tcPr>
          <w:p w14:paraId="4BADDB29"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 overarching analysis has been performed.</w:t>
            </w:r>
          </w:p>
        </w:tc>
        <w:tc>
          <w:tcPr>
            <w:tcW w:w="1159" w:type="pct"/>
            <w:shd w:val="clear" w:color="auto" w:fill="FFFFFF"/>
            <w:vAlign w:val="center"/>
          </w:tcPr>
          <w:p w14:paraId="67BD820B"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An overarching analysis of the quality of the curricular content performed (2023)</w:t>
            </w:r>
          </w:p>
        </w:tc>
      </w:tr>
      <w:tr w:rsidR="00E42F38" w:rsidRPr="007C4D65" w14:paraId="21999979" w14:textId="77777777" w:rsidTr="00B6017F">
        <w:trPr>
          <w:trHeight w:val="287"/>
        </w:trPr>
        <w:tc>
          <w:tcPr>
            <w:tcW w:w="708" w:type="pct"/>
            <w:vMerge/>
            <w:shd w:val="clear" w:color="auto" w:fill="D9D9D9"/>
            <w:vAlign w:val="center"/>
          </w:tcPr>
          <w:p w14:paraId="73A81A89"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30F00B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19B4B91"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Measure aimed at innovating educational programmes which will be integrated in curricular and extra-curricular programmes</w:t>
            </w:r>
          </w:p>
        </w:tc>
        <w:tc>
          <w:tcPr>
            <w:tcW w:w="1159" w:type="pct"/>
            <w:shd w:val="clear" w:color="auto" w:fill="FFFFFF"/>
            <w:tcMar>
              <w:top w:w="0" w:type="dxa"/>
              <w:left w:w="108" w:type="dxa"/>
              <w:bottom w:w="0" w:type="dxa"/>
              <w:right w:w="108" w:type="dxa"/>
            </w:tcMar>
            <w:vAlign w:val="center"/>
          </w:tcPr>
          <w:p w14:paraId="7DAEC068"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a room for improvement</w:t>
            </w:r>
          </w:p>
        </w:tc>
        <w:tc>
          <w:tcPr>
            <w:tcW w:w="1159" w:type="pct"/>
            <w:shd w:val="clear" w:color="auto" w:fill="FFFFFF"/>
            <w:vAlign w:val="center"/>
          </w:tcPr>
          <w:p w14:paraId="3418419B"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Innovated educational programmes on environmental protection which will be integrated in curricular and extra-curricular programmes, contribute to the development of environment-friendly culture in students, and their acceptance of environmental values and focus on the values (periodically 2030)</w:t>
            </w:r>
          </w:p>
        </w:tc>
      </w:tr>
      <w:tr w:rsidR="00E42F38" w:rsidRPr="007C4D65" w14:paraId="36E5044C" w14:textId="77777777" w:rsidTr="00B6017F">
        <w:trPr>
          <w:trHeight w:val="287"/>
        </w:trPr>
        <w:tc>
          <w:tcPr>
            <w:tcW w:w="708" w:type="pct"/>
            <w:vMerge/>
            <w:shd w:val="clear" w:color="auto" w:fill="D9D9D9"/>
            <w:vAlign w:val="center"/>
          </w:tcPr>
          <w:p w14:paraId="1CA17959"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79B8FC4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8B26145"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Number of schools which obtained the status of an Eco-school</w:t>
            </w:r>
          </w:p>
        </w:tc>
        <w:tc>
          <w:tcPr>
            <w:tcW w:w="1159" w:type="pct"/>
            <w:shd w:val="clear" w:color="auto" w:fill="FFFFFF"/>
            <w:tcMar>
              <w:top w:w="0" w:type="dxa"/>
              <w:left w:w="108" w:type="dxa"/>
              <w:bottom w:w="0" w:type="dxa"/>
              <w:right w:w="108" w:type="dxa"/>
            </w:tcMar>
            <w:vAlign w:val="center"/>
          </w:tcPr>
          <w:p w14:paraId="7E4A601D"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w:t>
            </w:r>
          </w:p>
        </w:tc>
        <w:tc>
          <w:tcPr>
            <w:tcW w:w="1159" w:type="pct"/>
            <w:shd w:val="clear" w:color="auto" w:fill="FFFFFF"/>
            <w:vAlign w:val="center"/>
          </w:tcPr>
          <w:p w14:paraId="065646C1"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Increased number of schools which have the status of an Eco-school (continuously - 2030)</w:t>
            </w:r>
          </w:p>
        </w:tc>
      </w:tr>
      <w:tr w:rsidR="00E42F38" w:rsidRPr="007C4D65" w14:paraId="68A1F8D6" w14:textId="77777777" w:rsidTr="00B6017F">
        <w:trPr>
          <w:trHeight w:val="287"/>
        </w:trPr>
        <w:tc>
          <w:tcPr>
            <w:tcW w:w="708" w:type="pct"/>
            <w:vMerge/>
            <w:shd w:val="clear" w:color="auto" w:fill="D9D9D9"/>
            <w:vAlign w:val="center"/>
          </w:tcPr>
          <w:p w14:paraId="0AE2BB9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374268F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9C29E69"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Legal provisions which facilitate opening of innovation centres for development in primary education</w:t>
            </w:r>
          </w:p>
        </w:tc>
        <w:tc>
          <w:tcPr>
            <w:tcW w:w="1159" w:type="pct"/>
            <w:shd w:val="clear" w:color="auto" w:fill="FFFFFF"/>
            <w:tcMar>
              <w:top w:w="0" w:type="dxa"/>
              <w:left w:w="108" w:type="dxa"/>
              <w:bottom w:w="0" w:type="dxa"/>
              <w:right w:w="108" w:type="dxa"/>
            </w:tcMar>
            <w:vAlign w:val="center"/>
          </w:tcPr>
          <w:p w14:paraId="0A43D639"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legislation does not include such provisions</w:t>
            </w:r>
          </w:p>
        </w:tc>
        <w:tc>
          <w:tcPr>
            <w:tcW w:w="1159" w:type="pct"/>
            <w:shd w:val="clear" w:color="auto" w:fill="FFFFFF"/>
            <w:vAlign w:val="center"/>
          </w:tcPr>
          <w:p w14:paraId="677E0566"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legal provisions which enable opening of innovation centres for development in primary education adopted (2025)</w:t>
            </w:r>
          </w:p>
        </w:tc>
      </w:tr>
      <w:tr w:rsidR="00E42F38" w:rsidRPr="007C4D65" w14:paraId="43AD5E96" w14:textId="77777777" w:rsidTr="00B6017F">
        <w:trPr>
          <w:trHeight w:val="287"/>
        </w:trPr>
        <w:tc>
          <w:tcPr>
            <w:tcW w:w="708" w:type="pct"/>
            <w:vMerge/>
            <w:shd w:val="clear" w:color="auto" w:fill="D9D9D9"/>
            <w:vAlign w:val="center"/>
          </w:tcPr>
          <w:p w14:paraId="28D4215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6D0F6975"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34D9476"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Development of educational programmes to be implemented in protected areas created</w:t>
            </w:r>
          </w:p>
        </w:tc>
        <w:tc>
          <w:tcPr>
            <w:tcW w:w="1159" w:type="pct"/>
            <w:shd w:val="clear" w:color="auto" w:fill="FFFFFF"/>
            <w:tcMar>
              <w:top w:w="0" w:type="dxa"/>
              <w:left w:w="108" w:type="dxa"/>
              <w:bottom w:w="0" w:type="dxa"/>
              <w:right w:w="108" w:type="dxa"/>
            </w:tcMar>
            <w:vAlign w:val="center"/>
          </w:tcPr>
          <w:p w14:paraId="52451628"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 programmes have not been developed</w:t>
            </w:r>
          </w:p>
        </w:tc>
        <w:tc>
          <w:tcPr>
            <w:tcW w:w="1159" w:type="pct"/>
            <w:shd w:val="clear" w:color="auto" w:fill="FFFFFF"/>
            <w:vAlign w:val="center"/>
          </w:tcPr>
          <w:p w14:paraId="3F6FEB94"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Educational programmes in protected areas prepared (2029</w:t>
            </w:r>
          </w:p>
        </w:tc>
      </w:tr>
      <w:tr w:rsidR="00E42F38" w:rsidRPr="007C4D65" w14:paraId="00D9B728" w14:textId="77777777" w:rsidTr="00B6017F">
        <w:trPr>
          <w:trHeight w:val="287"/>
        </w:trPr>
        <w:tc>
          <w:tcPr>
            <w:tcW w:w="708" w:type="pct"/>
            <w:vMerge/>
            <w:shd w:val="clear" w:color="auto" w:fill="D9D9D9"/>
            <w:vAlign w:val="center"/>
          </w:tcPr>
          <w:p w14:paraId="6D1287D1"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7AF14945"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594CF16" w14:textId="1296C9A0" w:rsidR="00E42F38" w:rsidRPr="007C4D65" w:rsidRDefault="00830279"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w:t>
            </w:r>
            <w:r w:rsidR="00E42F38" w:rsidRPr="007C4D65">
              <w:rPr>
                <w:rFonts w:asciiTheme="minorHAnsi" w:hAnsiTheme="minorHAnsi" w:cstheme="minorHAnsi"/>
                <w:sz w:val="18"/>
              </w:rPr>
              <w:t xml:space="preserve"> of educational institutions which cooperate with farms and agricultural holdings</w:t>
            </w:r>
          </w:p>
        </w:tc>
        <w:tc>
          <w:tcPr>
            <w:tcW w:w="1159" w:type="pct"/>
            <w:shd w:val="clear" w:color="auto" w:fill="FFFFFF"/>
            <w:tcMar>
              <w:top w:w="0" w:type="dxa"/>
              <w:left w:w="108" w:type="dxa"/>
              <w:bottom w:w="0" w:type="dxa"/>
              <w:right w:w="108" w:type="dxa"/>
            </w:tcMar>
            <w:vAlign w:val="center"/>
          </w:tcPr>
          <w:p w14:paraId="08D92B94"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w:t>
            </w:r>
          </w:p>
        </w:tc>
        <w:tc>
          <w:tcPr>
            <w:tcW w:w="1159" w:type="pct"/>
            <w:shd w:val="clear" w:color="auto" w:fill="FFFFFF"/>
            <w:vAlign w:val="center"/>
          </w:tcPr>
          <w:p w14:paraId="0E69832B" w14:textId="77777777" w:rsidR="00E42F38" w:rsidRPr="007C4D65" w:rsidRDefault="00E42F38" w:rsidP="00E42F38">
            <w:pPr>
              <w:spacing w:after="120" w:line="276" w:lineRule="auto"/>
              <w:ind w:left="211"/>
              <w:contextualSpacing/>
              <w:rPr>
                <w:rFonts w:asciiTheme="minorHAnsi" w:hAnsiTheme="minorHAnsi" w:cstheme="minorHAnsi"/>
                <w:sz w:val="18"/>
                <w:szCs w:val="18"/>
              </w:rPr>
            </w:pPr>
            <w:r w:rsidRPr="007C4D65">
              <w:rPr>
                <w:rFonts w:asciiTheme="minorHAnsi" w:hAnsiTheme="minorHAnsi" w:cstheme="minorHAnsi"/>
                <w:sz w:val="18"/>
              </w:rPr>
              <w:t>The number of educational institutions which cooperate with farms and agricultural holdings increased (continuously – 2030)</w:t>
            </w:r>
          </w:p>
        </w:tc>
      </w:tr>
      <w:tr w:rsidR="00E42F38" w:rsidRPr="007C4D65" w14:paraId="0C2A1B85" w14:textId="77777777" w:rsidTr="00B6017F">
        <w:trPr>
          <w:trHeight w:val="483"/>
        </w:trPr>
        <w:tc>
          <w:tcPr>
            <w:tcW w:w="708" w:type="pct"/>
            <w:vMerge/>
            <w:shd w:val="clear" w:color="auto" w:fill="D9D9D9"/>
            <w:vAlign w:val="center"/>
            <w:hideMark/>
          </w:tcPr>
          <w:p w14:paraId="3B54254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262764B9"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504FCE2B" w14:textId="0AA78FC3"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20A533F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7CC77D98"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37C817B3" w14:textId="77777777" w:rsidTr="00B6017F">
        <w:trPr>
          <w:trHeight w:val="287"/>
        </w:trPr>
        <w:tc>
          <w:tcPr>
            <w:tcW w:w="708" w:type="pct"/>
            <w:vMerge/>
            <w:shd w:val="clear" w:color="auto" w:fill="D9D9D9"/>
            <w:vAlign w:val="center"/>
            <w:hideMark/>
          </w:tcPr>
          <w:p w14:paraId="466E74F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168AE62E"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69AD2523"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0.083</w:t>
            </w:r>
          </w:p>
        </w:tc>
        <w:tc>
          <w:tcPr>
            <w:tcW w:w="1159" w:type="pct"/>
            <w:tcMar>
              <w:top w:w="0" w:type="dxa"/>
              <w:left w:w="108" w:type="dxa"/>
              <w:bottom w:w="0" w:type="dxa"/>
              <w:right w:w="108" w:type="dxa"/>
            </w:tcMar>
            <w:vAlign w:val="center"/>
          </w:tcPr>
          <w:p w14:paraId="327692EC"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0.195</w:t>
            </w:r>
          </w:p>
        </w:tc>
        <w:tc>
          <w:tcPr>
            <w:tcW w:w="1159" w:type="pct"/>
            <w:tcMar>
              <w:top w:w="0" w:type="dxa"/>
              <w:left w:w="108" w:type="dxa"/>
              <w:bottom w:w="0" w:type="dxa"/>
              <w:right w:w="108" w:type="dxa"/>
            </w:tcMar>
            <w:vAlign w:val="center"/>
          </w:tcPr>
          <w:p w14:paraId="09EF2E18"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0.278</w:t>
            </w:r>
          </w:p>
        </w:tc>
      </w:tr>
      <w:tr w:rsidR="00E42F38" w:rsidRPr="007C4D65" w14:paraId="18614B76"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124204B9"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7.8.2 Measure</w:t>
            </w:r>
          </w:p>
        </w:tc>
        <w:tc>
          <w:tcPr>
            <w:tcW w:w="815" w:type="pct"/>
            <w:vMerge w:val="restart"/>
            <w:tcMar>
              <w:top w:w="0" w:type="dxa"/>
              <w:left w:w="108" w:type="dxa"/>
              <w:bottom w:w="0" w:type="dxa"/>
              <w:right w:w="108" w:type="dxa"/>
            </w:tcMar>
            <w:vAlign w:val="center"/>
          </w:tcPr>
          <w:p w14:paraId="09BBE6C1"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Strengthen the capacity and eco-pedagogical competencies of the staff of educational institutions</w:t>
            </w:r>
          </w:p>
        </w:tc>
        <w:tc>
          <w:tcPr>
            <w:tcW w:w="1159" w:type="pct"/>
            <w:shd w:val="clear" w:color="auto" w:fill="D9D9D9"/>
            <w:tcMar>
              <w:top w:w="0" w:type="dxa"/>
              <w:left w:w="108" w:type="dxa"/>
              <w:bottom w:w="0" w:type="dxa"/>
              <w:right w:w="108" w:type="dxa"/>
            </w:tcMar>
            <w:vAlign w:val="center"/>
            <w:hideMark/>
          </w:tcPr>
          <w:p w14:paraId="089040C6"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2111AA6C"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3DC3B771"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191FB91D" w14:textId="77777777" w:rsidTr="00B6017F">
        <w:trPr>
          <w:trHeight w:val="287"/>
        </w:trPr>
        <w:tc>
          <w:tcPr>
            <w:tcW w:w="708" w:type="pct"/>
            <w:vMerge/>
            <w:shd w:val="clear" w:color="auto" w:fill="D9D9D9"/>
            <w:vAlign w:val="center"/>
          </w:tcPr>
          <w:p w14:paraId="6798A670"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6635F5D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F255388"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Level of improvement of eco-pedagogical competencies of the staff of educational institutions through environmental education in accredited programmes</w:t>
            </w:r>
          </w:p>
        </w:tc>
        <w:tc>
          <w:tcPr>
            <w:tcW w:w="1159" w:type="pct"/>
            <w:shd w:val="clear" w:color="auto" w:fill="FFFFFF"/>
            <w:tcMar>
              <w:top w:w="0" w:type="dxa"/>
              <w:left w:w="108" w:type="dxa"/>
              <w:bottom w:w="0" w:type="dxa"/>
              <w:right w:w="108" w:type="dxa"/>
            </w:tcMar>
            <w:vAlign w:val="center"/>
          </w:tcPr>
          <w:p w14:paraId="1602701C"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There is a need to improve eco-pedagogical competencies of the staff of educational institutions</w:t>
            </w:r>
          </w:p>
        </w:tc>
        <w:tc>
          <w:tcPr>
            <w:tcW w:w="1159" w:type="pct"/>
            <w:shd w:val="clear" w:color="auto" w:fill="FFFFFF"/>
            <w:vAlign w:val="center"/>
          </w:tcPr>
          <w:p w14:paraId="7693A4A1"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Teachers have competencies for the transfer of knowledge, possess eco-pedagogical competencies for the implementation of environmental contents (2029)</w:t>
            </w:r>
          </w:p>
        </w:tc>
      </w:tr>
      <w:tr w:rsidR="00E42F38" w:rsidRPr="007C4D65" w14:paraId="43E3ACAE" w14:textId="77777777" w:rsidTr="00B6017F">
        <w:trPr>
          <w:trHeight w:val="287"/>
        </w:trPr>
        <w:tc>
          <w:tcPr>
            <w:tcW w:w="708" w:type="pct"/>
            <w:vMerge/>
            <w:shd w:val="clear" w:color="auto" w:fill="D9D9D9"/>
            <w:vAlign w:val="center"/>
          </w:tcPr>
          <w:p w14:paraId="710D547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276F4024"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1FC5AF3"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Status of the preparation of </w:t>
            </w:r>
            <w:proofErr w:type="gramStart"/>
            <w:r w:rsidRPr="007C4D65">
              <w:rPr>
                <w:rFonts w:asciiTheme="minorHAnsi" w:hAnsiTheme="minorHAnsi" w:cstheme="minorHAnsi"/>
                <w:sz w:val="18"/>
              </w:rPr>
              <w:t>teachers</w:t>
            </w:r>
            <w:proofErr w:type="gramEnd"/>
            <w:r w:rsidRPr="007C4D65">
              <w:rPr>
                <w:rFonts w:asciiTheme="minorHAnsi" w:hAnsiTheme="minorHAnsi" w:cstheme="minorHAnsi"/>
                <w:sz w:val="18"/>
              </w:rPr>
              <w:t xml:space="preserve"> manuals on the integration of environmental protection and sustainable use of resources in curricula and syllabi for primary and secondary schools and teaching methodologies</w:t>
            </w:r>
          </w:p>
        </w:tc>
        <w:tc>
          <w:tcPr>
            <w:tcW w:w="1159" w:type="pct"/>
            <w:shd w:val="clear" w:color="auto" w:fill="FFFFFF"/>
            <w:tcMar>
              <w:top w:w="0" w:type="dxa"/>
              <w:left w:w="108" w:type="dxa"/>
              <w:bottom w:w="0" w:type="dxa"/>
              <w:right w:w="108" w:type="dxa"/>
            </w:tcMar>
            <w:vAlign w:val="center"/>
          </w:tcPr>
          <w:p w14:paraId="793A0D1E"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Manuals have not been prepared</w:t>
            </w:r>
          </w:p>
        </w:tc>
        <w:tc>
          <w:tcPr>
            <w:tcW w:w="1159" w:type="pct"/>
            <w:shd w:val="clear" w:color="auto" w:fill="FFFFFF"/>
            <w:vAlign w:val="center"/>
          </w:tcPr>
          <w:p w14:paraId="43162704"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 xml:space="preserve">The </w:t>
            </w:r>
            <w:proofErr w:type="gramStart"/>
            <w:r w:rsidRPr="007C4D65">
              <w:rPr>
                <w:rFonts w:asciiTheme="minorHAnsi" w:hAnsiTheme="minorHAnsi" w:cstheme="minorHAnsi"/>
                <w:sz w:val="18"/>
              </w:rPr>
              <w:t>teachers</w:t>
            </w:r>
            <w:proofErr w:type="gramEnd"/>
            <w:r w:rsidRPr="007C4D65">
              <w:rPr>
                <w:rFonts w:asciiTheme="minorHAnsi" w:hAnsiTheme="minorHAnsi" w:cstheme="minorHAnsi"/>
                <w:sz w:val="18"/>
              </w:rPr>
              <w:t xml:space="preserve"> manuals on the integration of environmental protection and sustainable use of resources in curricula and syllabi for primary and secondary schools and teaching methodologies (2026)</w:t>
            </w:r>
          </w:p>
        </w:tc>
      </w:tr>
      <w:tr w:rsidR="00E42F38" w:rsidRPr="007C4D65" w14:paraId="0E346B19" w14:textId="77777777" w:rsidTr="00B6017F">
        <w:trPr>
          <w:trHeight w:val="287"/>
        </w:trPr>
        <w:tc>
          <w:tcPr>
            <w:tcW w:w="708" w:type="pct"/>
            <w:vMerge/>
            <w:shd w:val="clear" w:color="auto" w:fill="D9D9D9"/>
            <w:vAlign w:val="center"/>
          </w:tcPr>
          <w:p w14:paraId="10645C1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752D9FC4"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25711FE"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Level of education of the staff of educational institutions on environmental protection in accredited programmes for the purpose of digitalisation</w:t>
            </w:r>
          </w:p>
        </w:tc>
        <w:tc>
          <w:tcPr>
            <w:tcW w:w="1159" w:type="pct"/>
            <w:shd w:val="clear" w:color="auto" w:fill="FFFFFF"/>
            <w:tcMar>
              <w:top w:w="0" w:type="dxa"/>
              <w:left w:w="108" w:type="dxa"/>
              <w:bottom w:w="0" w:type="dxa"/>
              <w:right w:w="108" w:type="dxa"/>
            </w:tcMar>
            <w:vAlign w:val="center"/>
          </w:tcPr>
          <w:p w14:paraId="115A3DC7"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 such educations have been provided</w:t>
            </w:r>
          </w:p>
        </w:tc>
        <w:tc>
          <w:tcPr>
            <w:tcW w:w="1159" w:type="pct"/>
            <w:shd w:val="clear" w:color="auto" w:fill="FFFFFF"/>
            <w:vAlign w:val="center"/>
          </w:tcPr>
          <w:p w14:paraId="4E00C28D"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Teachers have competencies for the transfer of knowledge, competencies for teaching contents on environmental protection and use predefined thematic digital contents (continuously– 2030)</w:t>
            </w:r>
          </w:p>
        </w:tc>
      </w:tr>
      <w:tr w:rsidR="00E42F38" w:rsidRPr="007C4D65" w14:paraId="4D97A244" w14:textId="77777777" w:rsidTr="00B6017F">
        <w:trPr>
          <w:trHeight w:val="287"/>
        </w:trPr>
        <w:tc>
          <w:tcPr>
            <w:tcW w:w="708" w:type="pct"/>
            <w:vMerge/>
            <w:shd w:val="clear" w:color="auto" w:fill="D9D9D9"/>
            <w:vAlign w:val="center"/>
          </w:tcPr>
          <w:p w14:paraId="0BFD69B0"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3CC42FB"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E3259F2"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the preparation of digital textbooks and contents on environmental protection</w:t>
            </w:r>
          </w:p>
        </w:tc>
        <w:tc>
          <w:tcPr>
            <w:tcW w:w="1159" w:type="pct"/>
            <w:shd w:val="clear" w:color="auto" w:fill="FFFFFF"/>
            <w:tcMar>
              <w:top w:w="0" w:type="dxa"/>
              <w:left w:w="108" w:type="dxa"/>
              <w:bottom w:w="0" w:type="dxa"/>
              <w:right w:w="108" w:type="dxa"/>
            </w:tcMar>
            <w:vAlign w:val="center"/>
          </w:tcPr>
          <w:p w14:paraId="0CB16CB0"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Digital textbooks were no prepared.</w:t>
            </w:r>
          </w:p>
        </w:tc>
        <w:tc>
          <w:tcPr>
            <w:tcW w:w="1159" w:type="pct"/>
            <w:shd w:val="clear" w:color="auto" w:fill="FFFFFF"/>
            <w:vAlign w:val="center"/>
          </w:tcPr>
          <w:p w14:paraId="0DA35244"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Learning with the use of digital textbooks enabled (2026)</w:t>
            </w:r>
          </w:p>
        </w:tc>
      </w:tr>
      <w:tr w:rsidR="00E42F38" w:rsidRPr="007C4D65" w14:paraId="312B122E" w14:textId="77777777" w:rsidTr="00B6017F">
        <w:trPr>
          <w:trHeight w:val="287"/>
        </w:trPr>
        <w:tc>
          <w:tcPr>
            <w:tcW w:w="708" w:type="pct"/>
            <w:vMerge/>
            <w:shd w:val="clear" w:color="auto" w:fill="D9D9D9"/>
            <w:vAlign w:val="center"/>
          </w:tcPr>
          <w:p w14:paraId="4D38E0F2"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A1A806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05BBC243"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Status of development of conducting a gap analysis of the current curricula for master programmes</w:t>
            </w:r>
          </w:p>
        </w:tc>
        <w:tc>
          <w:tcPr>
            <w:tcW w:w="1159" w:type="pct"/>
            <w:shd w:val="clear" w:color="auto" w:fill="FFFFFF"/>
            <w:tcMar>
              <w:top w:w="0" w:type="dxa"/>
              <w:left w:w="108" w:type="dxa"/>
              <w:bottom w:w="0" w:type="dxa"/>
              <w:right w:w="108" w:type="dxa"/>
            </w:tcMar>
            <w:vAlign w:val="center"/>
          </w:tcPr>
          <w:p w14:paraId="0F184096"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No analysis has not been conducted</w:t>
            </w:r>
          </w:p>
        </w:tc>
        <w:tc>
          <w:tcPr>
            <w:tcW w:w="1159" w:type="pct"/>
            <w:shd w:val="clear" w:color="auto" w:fill="FFFFFF"/>
            <w:vAlign w:val="center"/>
          </w:tcPr>
          <w:p w14:paraId="30726F78" w14:textId="77777777" w:rsidR="00E42F38" w:rsidRPr="007C4D65" w:rsidRDefault="00E42F38" w:rsidP="00E42F38">
            <w:pPr>
              <w:spacing w:after="120" w:line="276" w:lineRule="auto"/>
              <w:ind w:left="211"/>
              <w:contextualSpacing/>
              <w:rPr>
                <w:rFonts w:asciiTheme="minorHAnsi" w:hAnsiTheme="minorHAnsi" w:cstheme="minorHAnsi"/>
                <w:sz w:val="18"/>
                <w:szCs w:val="18"/>
              </w:rPr>
            </w:pPr>
            <w:r w:rsidRPr="007C4D65">
              <w:rPr>
                <w:rFonts w:asciiTheme="minorHAnsi" w:hAnsiTheme="minorHAnsi" w:cstheme="minorHAnsi"/>
                <w:sz w:val="18"/>
              </w:rPr>
              <w:t xml:space="preserve">The gap analysis of the current curricula for master programmes completed and recommendations provided to </w:t>
            </w:r>
            <w:r w:rsidRPr="007C4D65">
              <w:rPr>
                <w:rFonts w:asciiTheme="minorHAnsi" w:hAnsiTheme="minorHAnsi" w:cstheme="minorHAnsi"/>
                <w:sz w:val="18"/>
              </w:rPr>
              <w:lastRenderedPageBreak/>
              <w:t>incorporate the topic of sustainable use of natural resources in master programmes (2028)</w:t>
            </w:r>
          </w:p>
        </w:tc>
      </w:tr>
      <w:tr w:rsidR="00E42F38" w:rsidRPr="007C4D65" w14:paraId="347C3D36" w14:textId="77777777" w:rsidTr="00B6017F">
        <w:trPr>
          <w:trHeight w:val="287"/>
        </w:trPr>
        <w:tc>
          <w:tcPr>
            <w:tcW w:w="708" w:type="pct"/>
            <w:vMerge/>
            <w:shd w:val="clear" w:color="auto" w:fill="D9D9D9"/>
            <w:vAlign w:val="center"/>
            <w:hideMark/>
          </w:tcPr>
          <w:p w14:paraId="5C654268"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33B1658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tcPr>
          <w:p w14:paraId="378FB18C" w14:textId="778EE04C" w:rsidR="00E42F38" w:rsidRPr="007C4D65" w:rsidRDefault="000E401F" w:rsidP="00E42F38">
            <w:pPr>
              <w:tabs>
                <w:tab w:val="left" w:pos="710"/>
              </w:tabs>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tcPr>
          <w:p w14:paraId="1E9B1DBB" w14:textId="77777777" w:rsidR="00E42F38" w:rsidRPr="007C4D65" w:rsidRDefault="00E42F38" w:rsidP="00E42F38">
            <w:pPr>
              <w:tabs>
                <w:tab w:val="left" w:pos="710"/>
              </w:tabs>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tcPr>
          <w:p w14:paraId="3FD0488E" w14:textId="77777777" w:rsidR="00E42F38" w:rsidRPr="007C4D65" w:rsidRDefault="00E42F38" w:rsidP="00E42F38">
            <w:pPr>
              <w:tabs>
                <w:tab w:val="left" w:pos="710"/>
              </w:tabs>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6D3151E1" w14:textId="77777777" w:rsidTr="00B6017F">
        <w:trPr>
          <w:trHeight w:val="287"/>
        </w:trPr>
        <w:tc>
          <w:tcPr>
            <w:tcW w:w="708" w:type="pct"/>
            <w:vMerge/>
            <w:shd w:val="clear" w:color="auto" w:fill="D9D9D9"/>
            <w:vAlign w:val="center"/>
            <w:hideMark/>
          </w:tcPr>
          <w:p w14:paraId="1D45215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001D404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7D37C1AD"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sz w:val="18"/>
              </w:rPr>
              <w:t>0.085</w:t>
            </w:r>
          </w:p>
        </w:tc>
        <w:tc>
          <w:tcPr>
            <w:tcW w:w="1159" w:type="pct"/>
            <w:tcMar>
              <w:top w:w="0" w:type="dxa"/>
              <w:left w:w="108" w:type="dxa"/>
              <w:bottom w:w="0" w:type="dxa"/>
              <w:right w:w="108" w:type="dxa"/>
            </w:tcMar>
            <w:vAlign w:val="center"/>
          </w:tcPr>
          <w:p w14:paraId="5F0DFA8A"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0.198</w:t>
            </w:r>
          </w:p>
        </w:tc>
        <w:tc>
          <w:tcPr>
            <w:tcW w:w="1159" w:type="pct"/>
            <w:tcMar>
              <w:top w:w="0" w:type="dxa"/>
              <w:left w:w="108" w:type="dxa"/>
              <w:bottom w:w="0" w:type="dxa"/>
              <w:right w:w="108" w:type="dxa"/>
            </w:tcMar>
            <w:vAlign w:val="center"/>
          </w:tcPr>
          <w:p w14:paraId="36516F8D"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0.283</w:t>
            </w:r>
          </w:p>
        </w:tc>
      </w:tr>
      <w:tr w:rsidR="00E42F38" w:rsidRPr="007C4D65" w14:paraId="3F23C70E"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181F26E4"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7.8.3 Measure</w:t>
            </w:r>
          </w:p>
        </w:tc>
        <w:tc>
          <w:tcPr>
            <w:tcW w:w="815" w:type="pct"/>
            <w:vMerge w:val="restart"/>
            <w:tcMar>
              <w:top w:w="0" w:type="dxa"/>
              <w:left w:w="108" w:type="dxa"/>
              <w:bottom w:w="0" w:type="dxa"/>
              <w:right w:w="108" w:type="dxa"/>
            </w:tcMar>
            <w:vAlign w:val="center"/>
          </w:tcPr>
          <w:p w14:paraId="7E23BFEE" w14:textId="66FC860D"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Support to </w:t>
            </w:r>
            <w:r w:rsidR="00A24C9A" w:rsidRPr="00A24C9A">
              <w:rPr>
                <w:rFonts w:asciiTheme="minorHAnsi" w:hAnsiTheme="minorHAnsi" w:cstheme="minorHAnsi"/>
                <w:sz w:val="18"/>
              </w:rPr>
              <w:t>nonformal</w:t>
            </w:r>
            <w:r w:rsidRPr="007C4D65">
              <w:rPr>
                <w:rFonts w:asciiTheme="minorHAnsi" w:hAnsiTheme="minorHAnsi" w:cstheme="minorHAnsi"/>
                <w:sz w:val="18"/>
              </w:rPr>
              <w:t xml:space="preserve"> environmental education</w:t>
            </w:r>
          </w:p>
        </w:tc>
        <w:tc>
          <w:tcPr>
            <w:tcW w:w="1159" w:type="pct"/>
            <w:shd w:val="clear" w:color="auto" w:fill="D9D9D9"/>
            <w:tcMar>
              <w:top w:w="0" w:type="dxa"/>
              <w:left w:w="108" w:type="dxa"/>
              <w:bottom w:w="0" w:type="dxa"/>
              <w:right w:w="108" w:type="dxa"/>
            </w:tcMar>
            <w:vAlign w:val="center"/>
            <w:hideMark/>
          </w:tcPr>
          <w:p w14:paraId="3C871C20"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264ECB79"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37E09E40"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24B01871" w14:textId="77777777" w:rsidTr="00B6017F">
        <w:trPr>
          <w:trHeight w:val="287"/>
        </w:trPr>
        <w:tc>
          <w:tcPr>
            <w:tcW w:w="708" w:type="pct"/>
            <w:vMerge/>
            <w:shd w:val="clear" w:color="auto" w:fill="D9D9D9"/>
            <w:vAlign w:val="center"/>
          </w:tcPr>
          <w:p w14:paraId="5A983AB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D10E455"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2C145BA9" w14:textId="0676A690"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The level of cooperation among the institutions engaged in the </w:t>
            </w:r>
            <w:r w:rsidR="00A24C9A" w:rsidRPr="00A24C9A">
              <w:rPr>
                <w:rFonts w:asciiTheme="minorHAnsi" w:hAnsiTheme="minorHAnsi" w:cstheme="minorHAnsi"/>
                <w:sz w:val="18"/>
              </w:rPr>
              <w:t>nonformal</w:t>
            </w:r>
            <w:r w:rsidRPr="007C4D65">
              <w:rPr>
                <w:rFonts w:asciiTheme="minorHAnsi" w:hAnsiTheme="minorHAnsi" w:cstheme="minorHAnsi"/>
                <w:sz w:val="18"/>
              </w:rPr>
              <w:t xml:space="preserve"> environmental education</w:t>
            </w:r>
          </w:p>
        </w:tc>
        <w:tc>
          <w:tcPr>
            <w:tcW w:w="1159" w:type="pct"/>
            <w:shd w:val="clear" w:color="auto" w:fill="FFFFFF"/>
            <w:tcMar>
              <w:top w:w="0" w:type="dxa"/>
              <w:left w:w="108" w:type="dxa"/>
              <w:bottom w:w="0" w:type="dxa"/>
              <w:right w:w="108" w:type="dxa"/>
            </w:tcMar>
            <w:vAlign w:val="center"/>
          </w:tcPr>
          <w:p w14:paraId="240D2083"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Partial cooperation </w:t>
            </w:r>
          </w:p>
        </w:tc>
        <w:tc>
          <w:tcPr>
            <w:tcW w:w="1159" w:type="pct"/>
            <w:shd w:val="clear" w:color="auto" w:fill="FFFFFF"/>
            <w:vAlign w:val="center"/>
          </w:tcPr>
          <w:p w14:paraId="26A50B52" w14:textId="2F02F09D"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 xml:space="preserve">Effective cooperation established among the institutions engaged in the </w:t>
            </w:r>
            <w:r w:rsidR="00A24C9A">
              <w:rPr>
                <w:rFonts w:asciiTheme="minorHAnsi" w:hAnsiTheme="minorHAnsi" w:cstheme="minorHAnsi"/>
                <w:sz w:val="18"/>
              </w:rPr>
              <w:t>nonformal</w:t>
            </w:r>
            <w:r w:rsidRPr="007C4D65">
              <w:rPr>
                <w:rFonts w:asciiTheme="minorHAnsi" w:hAnsiTheme="minorHAnsi" w:cstheme="minorHAnsi"/>
                <w:sz w:val="18"/>
              </w:rPr>
              <w:t xml:space="preserve"> environmental education (2026)</w:t>
            </w:r>
          </w:p>
        </w:tc>
      </w:tr>
      <w:tr w:rsidR="00E42F38" w:rsidRPr="007C4D65" w14:paraId="43CB04D5" w14:textId="77777777" w:rsidTr="00B6017F">
        <w:trPr>
          <w:trHeight w:val="287"/>
        </w:trPr>
        <w:tc>
          <w:tcPr>
            <w:tcW w:w="708" w:type="pct"/>
            <w:vMerge/>
            <w:shd w:val="clear" w:color="auto" w:fill="D9D9D9"/>
            <w:vAlign w:val="center"/>
          </w:tcPr>
          <w:p w14:paraId="12A65DC0"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367592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7ED4152A" w14:textId="4B59EC31"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Allocation of dedicated funds to support </w:t>
            </w:r>
            <w:r w:rsidR="00A24C9A" w:rsidRPr="00A24C9A">
              <w:rPr>
                <w:rFonts w:asciiTheme="minorHAnsi" w:hAnsiTheme="minorHAnsi" w:cstheme="minorHAnsi"/>
                <w:sz w:val="18"/>
              </w:rPr>
              <w:t>nonformal</w:t>
            </w:r>
            <w:r w:rsidRPr="007C4D65">
              <w:rPr>
                <w:rFonts w:asciiTheme="minorHAnsi" w:hAnsiTheme="minorHAnsi" w:cstheme="minorHAnsi"/>
                <w:sz w:val="18"/>
              </w:rPr>
              <w:t xml:space="preserve"> environmental education</w:t>
            </w:r>
          </w:p>
        </w:tc>
        <w:tc>
          <w:tcPr>
            <w:tcW w:w="1159" w:type="pct"/>
            <w:shd w:val="clear" w:color="auto" w:fill="FFFFFF"/>
            <w:tcMar>
              <w:top w:w="0" w:type="dxa"/>
              <w:left w:w="108" w:type="dxa"/>
              <w:bottom w:w="0" w:type="dxa"/>
              <w:right w:w="108" w:type="dxa"/>
            </w:tcMar>
            <w:vAlign w:val="center"/>
          </w:tcPr>
          <w:p w14:paraId="293CF0F5" w14:textId="74BE177C"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Budgets of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Education and Science and cantonal ministries of education allocated certain amounts of dedicated funds to support the </w:t>
            </w:r>
            <w:r w:rsidR="00A24C9A" w:rsidRPr="00A24C9A">
              <w:rPr>
                <w:rFonts w:asciiTheme="minorHAnsi" w:hAnsiTheme="minorHAnsi" w:cstheme="minorHAnsi"/>
                <w:sz w:val="18"/>
              </w:rPr>
              <w:t>nonformal</w:t>
            </w:r>
            <w:r w:rsidRPr="007C4D65">
              <w:rPr>
                <w:rFonts w:asciiTheme="minorHAnsi" w:hAnsiTheme="minorHAnsi" w:cstheme="minorHAnsi"/>
                <w:sz w:val="18"/>
              </w:rPr>
              <w:t xml:space="preserve"> environmental education, but this is not sufficient</w:t>
            </w:r>
          </w:p>
        </w:tc>
        <w:tc>
          <w:tcPr>
            <w:tcW w:w="1159" w:type="pct"/>
            <w:shd w:val="clear" w:color="auto" w:fill="FFFFFF"/>
            <w:vAlign w:val="center"/>
          </w:tcPr>
          <w:p w14:paraId="21F4B4DB" w14:textId="4178168D"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 xml:space="preserve">Funds secured for </w:t>
            </w:r>
            <w:r w:rsidR="00A24C9A">
              <w:rPr>
                <w:rFonts w:asciiTheme="minorHAnsi" w:hAnsiTheme="minorHAnsi" w:cstheme="minorHAnsi"/>
                <w:sz w:val="18"/>
              </w:rPr>
              <w:t xml:space="preserve">the </w:t>
            </w:r>
            <w:r w:rsidR="00A24C9A" w:rsidRPr="00A24C9A">
              <w:rPr>
                <w:rFonts w:asciiTheme="minorHAnsi" w:hAnsiTheme="minorHAnsi" w:cstheme="minorHAnsi"/>
                <w:sz w:val="18"/>
              </w:rPr>
              <w:t>nonformal</w:t>
            </w:r>
            <w:r w:rsidRPr="007C4D65">
              <w:rPr>
                <w:rFonts w:asciiTheme="minorHAnsi" w:hAnsiTheme="minorHAnsi" w:cstheme="minorHAnsi"/>
                <w:sz w:val="18"/>
              </w:rPr>
              <w:t xml:space="preserve"> education (based on needs of the target group) of different interest groups (employees of educational institutions, students, professors, parents).</w:t>
            </w:r>
          </w:p>
        </w:tc>
      </w:tr>
      <w:tr w:rsidR="00E42F38" w:rsidRPr="007C4D65" w14:paraId="44C0532B" w14:textId="77777777" w:rsidTr="00B6017F">
        <w:trPr>
          <w:trHeight w:val="483"/>
        </w:trPr>
        <w:tc>
          <w:tcPr>
            <w:tcW w:w="708" w:type="pct"/>
            <w:vMerge/>
            <w:shd w:val="clear" w:color="auto" w:fill="D9D9D9"/>
            <w:vAlign w:val="center"/>
            <w:hideMark/>
          </w:tcPr>
          <w:p w14:paraId="5E853FF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38F39F61"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75360C00" w14:textId="0D8F8592"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35774BF2"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3CA944C7"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0D5C30EC" w14:textId="77777777" w:rsidTr="00B6017F">
        <w:trPr>
          <w:trHeight w:val="287"/>
        </w:trPr>
        <w:tc>
          <w:tcPr>
            <w:tcW w:w="708" w:type="pct"/>
            <w:vMerge/>
            <w:shd w:val="clear" w:color="auto" w:fill="D9D9D9"/>
            <w:vAlign w:val="center"/>
            <w:hideMark/>
          </w:tcPr>
          <w:p w14:paraId="21438066"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35A1927C"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127D7930"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0.024</w:t>
            </w:r>
          </w:p>
        </w:tc>
        <w:tc>
          <w:tcPr>
            <w:tcW w:w="1159" w:type="pct"/>
            <w:tcMar>
              <w:top w:w="0" w:type="dxa"/>
              <w:left w:w="108" w:type="dxa"/>
              <w:bottom w:w="0" w:type="dxa"/>
              <w:right w:w="108" w:type="dxa"/>
            </w:tcMar>
            <w:vAlign w:val="center"/>
          </w:tcPr>
          <w:p w14:paraId="729EED9E"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560EB5AA"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 xml:space="preserve"> 0.024</w:t>
            </w:r>
          </w:p>
        </w:tc>
      </w:tr>
      <w:tr w:rsidR="00E42F38" w:rsidRPr="007C4D65" w14:paraId="033AE95B" w14:textId="77777777" w:rsidTr="00B6017F">
        <w:trPr>
          <w:trHeight w:val="483"/>
        </w:trPr>
        <w:tc>
          <w:tcPr>
            <w:tcW w:w="708" w:type="pct"/>
            <w:vMerge w:val="restart"/>
            <w:shd w:val="clear" w:color="auto" w:fill="D9D9D9"/>
            <w:tcMar>
              <w:top w:w="0" w:type="dxa"/>
              <w:left w:w="108" w:type="dxa"/>
              <w:bottom w:w="0" w:type="dxa"/>
              <w:right w:w="108" w:type="dxa"/>
            </w:tcMar>
            <w:vAlign w:val="center"/>
            <w:hideMark/>
          </w:tcPr>
          <w:p w14:paraId="24CD925F"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7.8.4 Measure</w:t>
            </w:r>
          </w:p>
        </w:tc>
        <w:tc>
          <w:tcPr>
            <w:tcW w:w="815" w:type="pct"/>
            <w:vMerge w:val="restart"/>
            <w:tcMar>
              <w:top w:w="0" w:type="dxa"/>
              <w:left w:w="108" w:type="dxa"/>
              <w:bottom w:w="0" w:type="dxa"/>
              <w:right w:w="108" w:type="dxa"/>
            </w:tcMar>
            <w:vAlign w:val="center"/>
          </w:tcPr>
          <w:p w14:paraId="7D7508AC"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Strengthening research capacities in the environment sector</w:t>
            </w:r>
          </w:p>
        </w:tc>
        <w:tc>
          <w:tcPr>
            <w:tcW w:w="1159" w:type="pct"/>
            <w:shd w:val="clear" w:color="auto" w:fill="D9D9D9"/>
            <w:tcMar>
              <w:top w:w="0" w:type="dxa"/>
              <w:left w:w="108" w:type="dxa"/>
              <w:bottom w:w="0" w:type="dxa"/>
              <w:right w:w="108" w:type="dxa"/>
            </w:tcMar>
            <w:vAlign w:val="center"/>
            <w:hideMark/>
          </w:tcPr>
          <w:p w14:paraId="0DDA973D"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Measure indicators</w:t>
            </w:r>
          </w:p>
        </w:tc>
        <w:tc>
          <w:tcPr>
            <w:tcW w:w="1159" w:type="pct"/>
            <w:shd w:val="clear" w:color="auto" w:fill="D9D9D9"/>
            <w:tcMar>
              <w:top w:w="0" w:type="dxa"/>
              <w:left w:w="108" w:type="dxa"/>
              <w:bottom w:w="0" w:type="dxa"/>
              <w:right w:w="108" w:type="dxa"/>
            </w:tcMar>
            <w:vAlign w:val="center"/>
            <w:hideMark/>
          </w:tcPr>
          <w:p w14:paraId="15E8B03E"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baseline values</w:t>
            </w:r>
          </w:p>
        </w:tc>
        <w:tc>
          <w:tcPr>
            <w:tcW w:w="1159" w:type="pct"/>
            <w:shd w:val="clear" w:color="auto" w:fill="D9D9D9"/>
            <w:vAlign w:val="center"/>
          </w:tcPr>
          <w:p w14:paraId="1ABDED07"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Indicator target values</w:t>
            </w:r>
          </w:p>
        </w:tc>
      </w:tr>
      <w:tr w:rsidR="00E42F38" w:rsidRPr="007C4D65" w14:paraId="52EB27EB" w14:textId="77777777" w:rsidTr="00B6017F">
        <w:trPr>
          <w:trHeight w:val="287"/>
        </w:trPr>
        <w:tc>
          <w:tcPr>
            <w:tcW w:w="708" w:type="pct"/>
            <w:vMerge/>
            <w:shd w:val="clear" w:color="auto" w:fill="D9D9D9"/>
            <w:vAlign w:val="center"/>
          </w:tcPr>
          <w:p w14:paraId="06170A4D"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3CF2CEF8"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9FAC3E5"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Awareness of representatives of academia and industry about available funds for which they may routinely apply</w:t>
            </w:r>
          </w:p>
        </w:tc>
        <w:tc>
          <w:tcPr>
            <w:tcW w:w="1159" w:type="pct"/>
            <w:shd w:val="clear" w:color="auto" w:fill="FFFFFF"/>
            <w:tcMar>
              <w:top w:w="0" w:type="dxa"/>
              <w:left w:w="108" w:type="dxa"/>
              <w:bottom w:w="0" w:type="dxa"/>
              <w:right w:w="108" w:type="dxa"/>
            </w:tcMar>
            <w:vAlign w:val="center"/>
          </w:tcPr>
          <w:p w14:paraId="343A0182"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Partial knowledge on access to funds</w:t>
            </w:r>
          </w:p>
        </w:tc>
        <w:tc>
          <w:tcPr>
            <w:tcW w:w="1159" w:type="pct"/>
            <w:shd w:val="clear" w:color="auto" w:fill="FFFFFF"/>
            <w:vAlign w:val="center"/>
          </w:tcPr>
          <w:p w14:paraId="30589F7C"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Representatives of academia and industry informed of available funds and apply on a regular basis for international projects (continuously - 2030)</w:t>
            </w:r>
          </w:p>
        </w:tc>
      </w:tr>
      <w:tr w:rsidR="00E42F38" w:rsidRPr="007C4D65" w14:paraId="28C0ECEA" w14:textId="77777777" w:rsidTr="00B6017F">
        <w:trPr>
          <w:trHeight w:val="287"/>
        </w:trPr>
        <w:tc>
          <w:tcPr>
            <w:tcW w:w="708" w:type="pct"/>
            <w:vMerge/>
            <w:shd w:val="clear" w:color="auto" w:fill="D9D9D9"/>
            <w:vAlign w:val="center"/>
          </w:tcPr>
          <w:p w14:paraId="22675457"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711B4BA5"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3F31E211" w14:textId="2C30F6C1"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Regular patterns of budget allocations for investments into innovations and development in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Education and Science and cantonal ministries of education</w:t>
            </w:r>
          </w:p>
        </w:tc>
        <w:tc>
          <w:tcPr>
            <w:tcW w:w="1159" w:type="pct"/>
            <w:shd w:val="clear" w:color="auto" w:fill="FFFFFF"/>
            <w:tcMar>
              <w:top w:w="0" w:type="dxa"/>
              <w:left w:w="108" w:type="dxa"/>
              <w:bottom w:w="0" w:type="dxa"/>
              <w:right w:w="108" w:type="dxa"/>
            </w:tcMar>
            <w:vAlign w:val="center"/>
          </w:tcPr>
          <w:p w14:paraId="77BA7A04"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Certain funds have been allocated, but this is not sufficient</w:t>
            </w:r>
          </w:p>
        </w:tc>
        <w:tc>
          <w:tcPr>
            <w:tcW w:w="1159" w:type="pct"/>
            <w:shd w:val="clear" w:color="auto" w:fill="FFFFFF"/>
            <w:vAlign w:val="center"/>
          </w:tcPr>
          <w:p w14:paraId="47E7F579" w14:textId="0B300168"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 xml:space="preserve">Regular planning of budget allocations in the </w:t>
            </w:r>
            <w:r w:rsidR="001E6E20" w:rsidRPr="007C4D65">
              <w:rPr>
                <w:rFonts w:asciiTheme="minorHAnsi" w:hAnsiTheme="minorHAnsi" w:cstheme="minorHAnsi"/>
                <w:sz w:val="18"/>
              </w:rPr>
              <w:t>Federation Ministry</w:t>
            </w:r>
            <w:r w:rsidRPr="007C4D65">
              <w:rPr>
                <w:rFonts w:asciiTheme="minorHAnsi" w:hAnsiTheme="minorHAnsi" w:cstheme="minorHAnsi"/>
                <w:sz w:val="18"/>
              </w:rPr>
              <w:t xml:space="preserve"> of Education and Science and cantonal ministries of education for investments in innovation and development (2028)</w:t>
            </w:r>
          </w:p>
        </w:tc>
      </w:tr>
      <w:tr w:rsidR="00E42F38" w:rsidRPr="007C4D65" w14:paraId="6CDE576C" w14:textId="77777777" w:rsidTr="00B6017F">
        <w:trPr>
          <w:trHeight w:val="287"/>
        </w:trPr>
        <w:tc>
          <w:tcPr>
            <w:tcW w:w="708" w:type="pct"/>
            <w:vMerge/>
            <w:shd w:val="clear" w:color="auto" w:fill="D9D9D9"/>
            <w:vAlign w:val="center"/>
          </w:tcPr>
          <w:p w14:paraId="0C4D8B34"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15E1F43A"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863209A" w14:textId="77777777" w:rsidR="00E42F38" w:rsidRPr="007C4D65" w:rsidRDefault="00E42F38" w:rsidP="00E42F38">
            <w:pPr>
              <w:spacing w:line="276" w:lineRule="auto"/>
              <w:rPr>
                <w:rFonts w:asciiTheme="minorHAnsi" w:hAnsiTheme="minorHAnsi" w:cstheme="minorHAnsi"/>
                <w:sz w:val="18"/>
                <w:szCs w:val="18"/>
              </w:rPr>
            </w:pPr>
            <w:r w:rsidRPr="007C4D65">
              <w:rPr>
                <w:rFonts w:asciiTheme="minorHAnsi" w:hAnsiTheme="minorHAnsi" w:cstheme="minorHAnsi"/>
                <w:sz w:val="18"/>
              </w:rPr>
              <w:t xml:space="preserve">Number of projects relevant for sustainable natural resources </w:t>
            </w:r>
            <w:r w:rsidRPr="007C4D65">
              <w:rPr>
                <w:rFonts w:asciiTheme="minorHAnsi" w:hAnsiTheme="minorHAnsi" w:cstheme="minorHAnsi"/>
                <w:sz w:val="18"/>
              </w:rPr>
              <w:lastRenderedPageBreak/>
              <w:t>management annually funded by the Federal Fund for Science</w:t>
            </w:r>
          </w:p>
        </w:tc>
        <w:tc>
          <w:tcPr>
            <w:tcW w:w="1159" w:type="pct"/>
            <w:shd w:val="clear" w:color="auto" w:fill="FFFFFF"/>
            <w:tcMar>
              <w:top w:w="0" w:type="dxa"/>
              <w:left w:w="108" w:type="dxa"/>
              <w:bottom w:w="0" w:type="dxa"/>
              <w:right w:w="108" w:type="dxa"/>
            </w:tcMar>
            <w:vAlign w:val="center"/>
          </w:tcPr>
          <w:p w14:paraId="2DE66B05"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lastRenderedPageBreak/>
              <w:t>/</w:t>
            </w:r>
          </w:p>
        </w:tc>
        <w:tc>
          <w:tcPr>
            <w:tcW w:w="1159" w:type="pct"/>
            <w:shd w:val="clear" w:color="auto" w:fill="FFFFFF"/>
            <w:vAlign w:val="center"/>
          </w:tcPr>
          <w:p w14:paraId="7BA465B2"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 xml:space="preserve">The Federal Fund for </w:t>
            </w:r>
            <w:proofErr w:type="gramStart"/>
            <w:r w:rsidRPr="007C4D65">
              <w:rPr>
                <w:rFonts w:asciiTheme="minorHAnsi" w:hAnsiTheme="minorHAnsi" w:cstheme="minorHAnsi"/>
                <w:sz w:val="18"/>
              </w:rPr>
              <w:t>Science  funds</w:t>
            </w:r>
            <w:proofErr w:type="gramEnd"/>
            <w:r w:rsidRPr="007C4D65">
              <w:rPr>
                <w:rFonts w:asciiTheme="minorHAnsi" w:hAnsiTheme="minorHAnsi" w:cstheme="minorHAnsi"/>
                <w:sz w:val="18"/>
              </w:rPr>
              <w:t xml:space="preserve"> at least 3 projects relevant for sustainable </w:t>
            </w:r>
            <w:r w:rsidRPr="007C4D65">
              <w:rPr>
                <w:rFonts w:asciiTheme="minorHAnsi" w:hAnsiTheme="minorHAnsi" w:cstheme="minorHAnsi"/>
                <w:sz w:val="18"/>
              </w:rPr>
              <w:lastRenderedPageBreak/>
              <w:t>natural resources management (continued - 2030)</w:t>
            </w:r>
          </w:p>
        </w:tc>
      </w:tr>
      <w:tr w:rsidR="00E42F38" w:rsidRPr="007C4D65" w14:paraId="1C331FEB" w14:textId="77777777" w:rsidTr="00B6017F">
        <w:trPr>
          <w:trHeight w:val="287"/>
        </w:trPr>
        <w:tc>
          <w:tcPr>
            <w:tcW w:w="708" w:type="pct"/>
            <w:vMerge/>
            <w:shd w:val="clear" w:color="auto" w:fill="D9D9D9"/>
            <w:vAlign w:val="center"/>
          </w:tcPr>
          <w:p w14:paraId="28CCAA85"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4EB67387"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487AD942"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Number of conferences co-funded by the Federal Fund for Science</w:t>
            </w:r>
          </w:p>
        </w:tc>
        <w:tc>
          <w:tcPr>
            <w:tcW w:w="1159" w:type="pct"/>
            <w:shd w:val="clear" w:color="auto" w:fill="FFFFFF"/>
            <w:tcMar>
              <w:top w:w="0" w:type="dxa"/>
              <w:left w:w="108" w:type="dxa"/>
              <w:bottom w:w="0" w:type="dxa"/>
              <w:right w:w="108" w:type="dxa"/>
            </w:tcMar>
            <w:vAlign w:val="center"/>
          </w:tcPr>
          <w:p w14:paraId="2BEDA34D"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w:t>
            </w:r>
          </w:p>
        </w:tc>
        <w:tc>
          <w:tcPr>
            <w:tcW w:w="1159" w:type="pct"/>
            <w:shd w:val="clear" w:color="auto" w:fill="FFFFFF"/>
            <w:vAlign w:val="center"/>
          </w:tcPr>
          <w:p w14:paraId="569E9125" w14:textId="77777777" w:rsidR="00E42F38" w:rsidRPr="007C4D65" w:rsidRDefault="00E42F38" w:rsidP="00E42F38">
            <w:pPr>
              <w:spacing w:line="276" w:lineRule="auto"/>
              <w:ind w:left="211"/>
              <w:rPr>
                <w:rFonts w:asciiTheme="minorHAnsi" w:hAnsiTheme="minorHAnsi" w:cstheme="minorHAnsi"/>
                <w:sz w:val="18"/>
                <w:szCs w:val="18"/>
              </w:rPr>
            </w:pPr>
            <w:r w:rsidRPr="007C4D65">
              <w:rPr>
                <w:rFonts w:asciiTheme="minorHAnsi" w:hAnsiTheme="minorHAnsi" w:cstheme="minorHAnsi"/>
                <w:sz w:val="18"/>
              </w:rPr>
              <w:t>The Federal Fund for Science funds at least 1 professional-scientific conference every two years</w:t>
            </w:r>
          </w:p>
        </w:tc>
      </w:tr>
      <w:tr w:rsidR="00E42F38" w:rsidRPr="007C4D65" w14:paraId="4F1F3D97" w14:textId="77777777" w:rsidTr="00B6017F">
        <w:trPr>
          <w:trHeight w:val="287"/>
        </w:trPr>
        <w:tc>
          <w:tcPr>
            <w:tcW w:w="708" w:type="pct"/>
            <w:vMerge/>
            <w:shd w:val="clear" w:color="auto" w:fill="D9D9D9"/>
            <w:vAlign w:val="center"/>
          </w:tcPr>
          <w:p w14:paraId="705C4E4A"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tcPr>
          <w:p w14:paraId="20345782"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FFFFFF"/>
            <w:tcMar>
              <w:top w:w="0" w:type="dxa"/>
              <w:left w:w="108" w:type="dxa"/>
              <w:bottom w:w="0" w:type="dxa"/>
              <w:right w:w="108" w:type="dxa"/>
            </w:tcMar>
            <w:vAlign w:val="center"/>
          </w:tcPr>
          <w:p w14:paraId="130DDBFD"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Quality of contacts and forms of cooperation between academia and industry</w:t>
            </w:r>
          </w:p>
        </w:tc>
        <w:tc>
          <w:tcPr>
            <w:tcW w:w="1159" w:type="pct"/>
            <w:shd w:val="clear" w:color="auto" w:fill="FFFFFF"/>
            <w:tcMar>
              <w:top w:w="0" w:type="dxa"/>
              <w:left w:w="108" w:type="dxa"/>
              <w:bottom w:w="0" w:type="dxa"/>
              <w:right w:w="108" w:type="dxa"/>
            </w:tcMar>
            <w:vAlign w:val="center"/>
          </w:tcPr>
          <w:p w14:paraId="15BD3083" w14:textId="77777777" w:rsidR="00E42F38" w:rsidRPr="007C4D65" w:rsidRDefault="00E42F38" w:rsidP="00E42F38">
            <w:pPr>
              <w:spacing w:after="120" w:line="276" w:lineRule="auto"/>
              <w:ind w:hanging="2"/>
              <w:contextualSpacing/>
              <w:rPr>
                <w:rFonts w:asciiTheme="minorHAnsi" w:hAnsiTheme="minorHAnsi" w:cstheme="minorHAnsi"/>
                <w:sz w:val="18"/>
                <w:szCs w:val="18"/>
              </w:rPr>
            </w:pPr>
            <w:r w:rsidRPr="007C4D65">
              <w:rPr>
                <w:rFonts w:asciiTheme="minorHAnsi" w:hAnsiTheme="minorHAnsi" w:cstheme="minorHAnsi"/>
                <w:sz w:val="18"/>
              </w:rPr>
              <w:t xml:space="preserve">Partial cooperation  </w:t>
            </w:r>
          </w:p>
        </w:tc>
        <w:tc>
          <w:tcPr>
            <w:tcW w:w="1159" w:type="pct"/>
            <w:shd w:val="clear" w:color="auto" w:fill="FFFFFF"/>
            <w:vAlign w:val="center"/>
          </w:tcPr>
          <w:p w14:paraId="15FABC87" w14:textId="77777777" w:rsidR="00E42F38" w:rsidRPr="007C4D65" w:rsidRDefault="00E42F38" w:rsidP="00E42F38">
            <w:pPr>
              <w:spacing w:after="120" w:line="276" w:lineRule="auto"/>
              <w:ind w:left="211"/>
              <w:contextualSpacing/>
              <w:rPr>
                <w:rFonts w:asciiTheme="minorHAnsi" w:hAnsiTheme="minorHAnsi" w:cstheme="minorHAnsi"/>
                <w:sz w:val="18"/>
                <w:szCs w:val="18"/>
              </w:rPr>
            </w:pPr>
            <w:r w:rsidRPr="007C4D65">
              <w:rPr>
                <w:rFonts w:asciiTheme="minorHAnsi" w:hAnsiTheme="minorHAnsi" w:cstheme="minorHAnsi"/>
                <w:sz w:val="18"/>
              </w:rPr>
              <w:t>New contacts and forms of cooperation between academia and economy developed</w:t>
            </w:r>
          </w:p>
        </w:tc>
      </w:tr>
      <w:tr w:rsidR="00E42F38" w:rsidRPr="007C4D65" w14:paraId="53B69FDD" w14:textId="77777777" w:rsidTr="00B6017F">
        <w:trPr>
          <w:trHeight w:val="483"/>
        </w:trPr>
        <w:tc>
          <w:tcPr>
            <w:tcW w:w="708" w:type="pct"/>
            <w:vMerge/>
            <w:shd w:val="clear" w:color="auto" w:fill="D9D9D9"/>
            <w:vAlign w:val="center"/>
            <w:hideMark/>
          </w:tcPr>
          <w:p w14:paraId="7C8AACAF"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6F0FA5D0"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shd w:val="clear" w:color="auto" w:fill="D9D9D9"/>
            <w:tcMar>
              <w:top w:w="0" w:type="dxa"/>
              <w:left w:w="108" w:type="dxa"/>
              <w:bottom w:w="0" w:type="dxa"/>
              <w:right w:w="108" w:type="dxa"/>
            </w:tcMar>
            <w:vAlign w:val="center"/>
            <w:hideMark/>
          </w:tcPr>
          <w:p w14:paraId="465920A9" w14:textId="6E18AFAB" w:rsidR="00E42F38" w:rsidRPr="007C4D65" w:rsidRDefault="000E401F"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Government budget</w:t>
            </w:r>
            <w:r w:rsidR="00E42F38" w:rsidRPr="007C4D65">
              <w:rPr>
                <w:rFonts w:asciiTheme="minorHAnsi" w:hAnsiTheme="minorHAnsi" w:cstheme="minorHAnsi"/>
                <w:b/>
                <w:sz w:val="18"/>
              </w:rPr>
              <w:t xml:space="preserve"> (BAM million)</w:t>
            </w:r>
          </w:p>
        </w:tc>
        <w:tc>
          <w:tcPr>
            <w:tcW w:w="1159" w:type="pct"/>
            <w:shd w:val="clear" w:color="auto" w:fill="D9D9D9"/>
            <w:tcMar>
              <w:top w:w="0" w:type="dxa"/>
              <w:left w:w="108" w:type="dxa"/>
              <w:bottom w:w="0" w:type="dxa"/>
              <w:right w:w="108" w:type="dxa"/>
            </w:tcMar>
            <w:vAlign w:val="center"/>
            <w:hideMark/>
          </w:tcPr>
          <w:p w14:paraId="6446D639" w14:textId="77777777" w:rsidR="00E42F38" w:rsidRPr="007C4D65" w:rsidRDefault="00E42F38" w:rsidP="00E42F38">
            <w:pPr>
              <w:spacing w:after="120" w:line="276" w:lineRule="auto"/>
              <w:ind w:hanging="2"/>
              <w:contextualSpacing/>
              <w:rPr>
                <w:rFonts w:asciiTheme="minorHAnsi" w:hAnsiTheme="minorHAnsi" w:cstheme="minorHAnsi"/>
                <w:b/>
                <w:sz w:val="18"/>
                <w:szCs w:val="18"/>
              </w:rPr>
            </w:pPr>
            <w:r w:rsidRPr="007C4D65">
              <w:rPr>
                <w:rFonts w:asciiTheme="minorHAnsi" w:hAnsiTheme="minorHAnsi" w:cstheme="minorHAnsi"/>
                <w:b/>
                <w:sz w:val="18"/>
              </w:rPr>
              <w:t>Other sources (BAM million)</w:t>
            </w:r>
          </w:p>
        </w:tc>
        <w:tc>
          <w:tcPr>
            <w:tcW w:w="1159" w:type="pct"/>
            <w:shd w:val="clear" w:color="auto" w:fill="D9D9D9"/>
            <w:tcMar>
              <w:top w:w="0" w:type="dxa"/>
              <w:left w:w="108" w:type="dxa"/>
              <w:bottom w:w="0" w:type="dxa"/>
              <w:right w:w="108" w:type="dxa"/>
            </w:tcMar>
            <w:vAlign w:val="center"/>
            <w:hideMark/>
          </w:tcPr>
          <w:p w14:paraId="0C9538F4" w14:textId="77777777" w:rsidR="00E42F38" w:rsidRPr="007C4D65" w:rsidRDefault="00E42F38" w:rsidP="00E42F38">
            <w:pPr>
              <w:spacing w:after="120" w:line="276" w:lineRule="auto"/>
              <w:ind w:hanging="2"/>
              <w:contextualSpacing/>
              <w:jc w:val="center"/>
              <w:rPr>
                <w:rFonts w:asciiTheme="minorHAnsi" w:hAnsiTheme="minorHAnsi" w:cstheme="minorHAnsi"/>
                <w:b/>
                <w:sz w:val="18"/>
                <w:szCs w:val="18"/>
              </w:rPr>
            </w:pPr>
            <w:r w:rsidRPr="007C4D65">
              <w:rPr>
                <w:rFonts w:asciiTheme="minorHAnsi" w:hAnsiTheme="minorHAnsi" w:cstheme="minorHAnsi"/>
                <w:b/>
                <w:sz w:val="18"/>
              </w:rPr>
              <w:t>Total (BAM million)</w:t>
            </w:r>
          </w:p>
        </w:tc>
      </w:tr>
      <w:tr w:rsidR="00E42F38" w:rsidRPr="007C4D65" w14:paraId="21B102AE" w14:textId="77777777" w:rsidTr="00B6017F">
        <w:trPr>
          <w:trHeight w:val="287"/>
        </w:trPr>
        <w:tc>
          <w:tcPr>
            <w:tcW w:w="708" w:type="pct"/>
            <w:vMerge/>
            <w:shd w:val="clear" w:color="auto" w:fill="D9D9D9"/>
            <w:vAlign w:val="center"/>
            <w:hideMark/>
          </w:tcPr>
          <w:p w14:paraId="201FB61B" w14:textId="77777777" w:rsidR="00E42F38" w:rsidRPr="007C4D65" w:rsidRDefault="00E42F38" w:rsidP="00E42F38">
            <w:pPr>
              <w:spacing w:after="120" w:line="276" w:lineRule="auto"/>
              <w:ind w:hanging="2"/>
              <w:contextualSpacing/>
              <w:rPr>
                <w:rFonts w:asciiTheme="minorHAnsi" w:hAnsiTheme="minorHAnsi" w:cstheme="minorHAnsi"/>
                <w:b/>
                <w:sz w:val="18"/>
                <w:szCs w:val="18"/>
                <w:lang w:val="hr-HR"/>
              </w:rPr>
            </w:pPr>
          </w:p>
        </w:tc>
        <w:tc>
          <w:tcPr>
            <w:tcW w:w="815" w:type="pct"/>
            <w:vMerge/>
            <w:vAlign w:val="center"/>
            <w:hideMark/>
          </w:tcPr>
          <w:p w14:paraId="7B99F4F5" w14:textId="77777777" w:rsidR="00E42F38" w:rsidRPr="007C4D65" w:rsidRDefault="00E42F38" w:rsidP="00E42F38">
            <w:pPr>
              <w:spacing w:after="120" w:line="276" w:lineRule="auto"/>
              <w:ind w:hanging="2"/>
              <w:contextualSpacing/>
              <w:rPr>
                <w:rFonts w:asciiTheme="minorHAnsi" w:hAnsiTheme="minorHAnsi" w:cstheme="minorHAnsi"/>
                <w:sz w:val="18"/>
                <w:szCs w:val="18"/>
                <w:lang w:val="hr-HR"/>
              </w:rPr>
            </w:pPr>
          </w:p>
        </w:tc>
        <w:tc>
          <w:tcPr>
            <w:tcW w:w="1159" w:type="pct"/>
            <w:tcMar>
              <w:top w:w="0" w:type="dxa"/>
              <w:left w:w="108" w:type="dxa"/>
              <w:bottom w:w="0" w:type="dxa"/>
              <w:right w:w="108" w:type="dxa"/>
            </w:tcMar>
            <w:vAlign w:val="center"/>
          </w:tcPr>
          <w:p w14:paraId="5C576253"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1F63E5CB"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c>
          <w:tcPr>
            <w:tcW w:w="1159" w:type="pct"/>
            <w:tcMar>
              <w:top w:w="0" w:type="dxa"/>
              <w:left w:w="108" w:type="dxa"/>
              <w:bottom w:w="0" w:type="dxa"/>
              <w:right w:w="108" w:type="dxa"/>
            </w:tcMar>
            <w:vAlign w:val="center"/>
          </w:tcPr>
          <w:p w14:paraId="567355D7" w14:textId="77777777" w:rsidR="00E42F38" w:rsidRPr="007C4D65" w:rsidRDefault="00E42F38" w:rsidP="00E42F38">
            <w:pPr>
              <w:spacing w:after="120" w:line="276" w:lineRule="auto"/>
              <w:ind w:hanging="2"/>
              <w:contextualSpacing/>
              <w:jc w:val="center"/>
              <w:rPr>
                <w:rFonts w:asciiTheme="minorHAnsi" w:hAnsiTheme="minorHAnsi" w:cstheme="minorHAnsi"/>
                <w:sz w:val="18"/>
                <w:szCs w:val="18"/>
              </w:rPr>
            </w:pPr>
            <w:r w:rsidRPr="007C4D65">
              <w:rPr>
                <w:rFonts w:asciiTheme="minorHAnsi" w:hAnsiTheme="minorHAnsi" w:cstheme="minorHAnsi"/>
                <w:sz w:val="18"/>
              </w:rPr>
              <w:t>0</w:t>
            </w:r>
          </w:p>
        </w:tc>
      </w:tr>
    </w:tbl>
    <w:p w14:paraId="1906AE58" w14:textId="77777777" w:rsidR="00CC447D" w:rsidRPr="007C4D65" w:rsidRDefault="00CC447D" w:rsidP="0068355A">
      <w:pPr>
        <w:spacing w:line="276" w:lineRule="auto"/>
        <w:rPr>
          <w:rFonts w:asciiTheme="minorHAnsi" w:hAnsiTheme="minorHAnsi" w:cstheme="minorHAnsi"/>
          <w:lang w:val="bs-Latn-BA"/>
        </w:rPr>
      </w:pPr>
    </w:p>
    <w:p w14:paraId="305B1BEC" w14:textId="77777777" w:rsidR="00CC447D" w:rsidRPr="007C4D65" w:rsidRDefault="00CC447D" w:rsidP="0068355A">
      <w:pPr>
        <w:spacing w:line="276" w:lineRule="auto"/>
        <w:rPr>
          <w:rFonts w:asciiTheme="minorHAnsi" w:hAnsiTheme="minorHAnsi" w:cstheme="minorHAnsi"/>
        </w:rPr>
      </w:pPr>
    </w:p>
    <w:p w14:paraId="324AEED3" w14:textId="77777777" w:rsidR="00CC447D" w:rsidRPr="007C4D65" w:rsidRDefault="00CC447D" w:rsidP="0068355A">
      <w:pPr>
        <w:spacing w:line="276" w:lineRule="auto"/>
        <w:rPr>
          <w:rFonts w:asciiTheme="minorHAnsi" w:hAnsiTheme="minorHAnsi" w:cstheme="minorHAnsi"/>
        </w:rPr>
      </w:pPr>
    </w:p>
    <w:p w14:paraId="7FB8D011" w14:textId="77777777" w:rsidR="00CC447D" w:rsidRPr="007C4D65" w:rsidRDefault="00CC447D" w:rsidP="0068355A">
      <w:pPr>
        <w:spacing w:line="276" w:lineRule="auto"/>
        <w:rPr>
          <w:rFonts w:asciiTheme="minorHAnsi" w:hAnsiTheme="minorHAnsi" w:cstheme="minorHAnsi"/>
        </w:rPr>
      </w:pPr>
    </w:p>
    <w:p w14:paraId="70131DF3" w14:textId="77777777" w:rsidR="00CC447D" w:rsidRPr="007C4D65" w:rsidRDefault="00CC447D" w:rsidP="0068355A">
      <w:pPr>
        <w:spacing w:line="276" w:lineRule="auto"/>
        <w:rPr>
          <w:rFonts w:asciiTheme="minorHAnsi" w:hAnsiTheme="minorHAnsi" w:cstheme="minorHAnsi"/>
        </w:rPr>
        <w:sectPr w:rsidR="00CC447D" w:rsidRPr="007C4D65" w:rsidSect="00EF2B91">
          <w:pgSz w:w="16838" w:h="11906" w:orient="landscape"/>
          <w:pgMar w:top="1440" w:right="1440" w:bottom="1440" w:left="1440" w:header="708" w:footer="708" w:gutter="0"/>
          <w:cols w:space="708"/>
          <w:docGrid w:linePitch="360"/>
        </w:sectPr>
      </w:pPr>
    </w:p>
    <w:p w14:paraId="57CEAE16" w14:textId="6F2E94EF" w:rsidR="00C1528A" w:rsidRPr="007C4D65" w:rsidRDefault="00507C6F" w:rsidP="00507C6F">
      <w:pPr>
        <w:pStyle w:val="Head2"/>
        <w:numPr>
          <w:ilvl w:val="0"/>
          <w:numId w:val="0"/>
        </w:numPr>
        <w:spacing w:line="276" w:lineRule="auto"/>
        <w:rPr>
          <w:rFonts w:asciiTheme="minorHAnsi" w:hAnsiTheme="minorHAnsi"/>
        </w:rPr>
      </w:pPr>
      <w:bookmarkStart w:id="435" w:name="_Toc117445391"/>
      <w:r w:rsidRPr="007C4D65">
        <w:rPr>
          <w:rFonts w:asciiTheme="minorHAnsi" w:hAnsiTheme="minorHAnsi"/>
        </w:rPr>
        <w:lastRenderedPageBreak/>
        <w:t xml:space="preserve">13.9. </w:t>
      </w:r>
      <w:r w:rsidR="00CC447D" w:rsidRPr="007C4D65">
        <w:rPr>
          <w:rFonts w:asciiTheme="minorHAnsi" w:hAnsiTheme="minorHAnsi"/>
        </w:rPr>
        <w:t xml:space="preserve">Annex 9 </w:t>
      </w:r>
      <w:bookmarkStart w:id="436" w:name="_Toc94220789"/>
      <w:r w:rsidR="00CC447D" w:rsidRPr="007C4D65">
        <w:rPr>
          <w:rFonts w:asciiTheme="minorHAnsi" w:hAnsiTheme="minorHAnsi"/>
        </w:rPr>
        <w:t xml:space="preserve">Indicative </w:t>
      </w:r>
      <w:r w:rsidRPr="007C4D65">
        <w:rPr>
          <w:rFonts w:asciiTheme="minorHAnsi" w:hAnsiTheme="minorHAnsi"/>
        </w:rPr>
        <w:t>f</w:t>
      </w:r>
      <w:r w:rsidR="00CC447D" w:rsidRPr="007C4D65">
        <w:rPr>
          <w:rFonts w:asciiTheme="minorHAnsi" w:hAnsiTheme="minorHAnsi"/>
        </w:rPr>
        <w:t xml:space="preserve">inancial </w:t>
      </w:r>
      <w:r w:rsidRPr="007C4D65">
        <w:rPr>
          <w:rFonts w:asciiTheme="minorHAnsi" w:hAnsiTheme="minorHAnsi"/>
        </w:rPr>
        <w:t>f</w:t>
      </w:r>
      <w:r w:rsidR="00CC447D" w:rsidRPr="007C4D65">
        <w:rPr>
          <w:rFonts w:asciiTheme="minorHAnsi" w:hAnsiTheme="minorHAnsi"/>
        </w:rPr>
        <w:t>ramework</w:t>
      </w:r>
      <w:bookmarkEnd w:id="435"/>
    </w:p>
    <w:tbl>
      <w:tblPr>
        <w:tblW w:w="13478" w:type="dxa"/>
        <w:tblInd w:w="11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187"/>
        <w:gridCol w:w="1561"/>
        <w:gridCol w:w="2112"/>
        <w:gridCol w:w="2532"/>
        <w:gridCol w:w="2131"/>
        <w:gridCol w:w="2955"/>
      </w:tblGrid>
      <w:tr w:rsidR="007843A3" w:rsidRPr="007C4D65" w14:paraId="1C6D27CD" w14:textId="77777777" w:rsidTr="007843A3">
        <w:trPr>
          <w:trHeight w:val="288"/>
        </w:trPr>
        <w:tc>
          <w:tcPr>
            <w:tcW w:w="13478" w:type="dxa"/>
            <w:gridSpan w:val="6"/>
            <w:shd w:val="clear" w:color="000000" w:fill="009D73"/>
            <w:vAlign w:val="center"/>
            <w:hideMark/>
          </w:tcPr>
          <w:p w14:paraId="18E175B4" w14:textId="0191CA9C" w:rsidR="007843A3" w:rsidRPr="007C4D65" w:rsidRDefault="00507C6F"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INDICATIVE FINANCIAL FRAMEWORK</w:t>
            </w:r>
          </w:p>
        </w:tc>
      </w:tr>
      <w:tr w:rsidR="007843A3" w:rsidRPr="007C4D65" w14:paraId="6CC4F508" w14:textId="77777777" w:rsidTr="007843A3">
        <w:trPr>
          <w:trHeight w:val="288"/>
        </w:trPr>
        <w:tc>
          <w:tcPr>
            <w:tcW w:w="13478" w:type="dxa"/>
            <w:gridSpan w:val="6"/>
            <w:tcBorders>
              <w:bottom w:val="single" w:sz="4" w:space="0" w:color="A6A6A6"/>
            </w:tcBorders>
            <w:shd w:val="clear" w:color="000000" w:fill="009D73"/>
            <w:vAlign w:val="center"/>
            <w:hideMark/>
          </w:tcPr>
          <w:p w14:paraId="229C99CC" w14:textId="7F35F6AA" w:rsidR="007843A3" w:rsidRPr="007C4D65" w:rsidRDefault="00507C6F"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FOR THE PERIOD COVERED BY THE STRATEGY</w:t>
            </w:r>
          </w:p>
        </w:tc>
      </w:tr>
      <w:tr w:rsidR="007843A3" w:rsidRPr="007C4D65" w14:paraId="12D4EEA9" w14:textId="77777777" w:rsidTr="007843A3">
        <w:trPr>
          <w:trHeight w:val="476"/>
        </w:trPr>
        <w:tc>
          <w:tcPr>
            <w:tcW w:w="2187" w:type="dxa"/>
            <w:vMerge w:val="restart"/>
            <w:shd w:val="clear" w:color="auto" w:fill="D9D9D9"/>
            <w:vAlign w:val="center"/>
            <w:hideMark/>
          </w:tcPr>
          <w:p w14:paraId="5AF93083"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No. and code</w:t>
            </w:r>
          </w:p>
        </w:tc>
        <w:tc>
          <w:tcPr>
            <w:tcW w:w="1561" w:type="dxa"/>
            <w:vMerge w:val="restart"/>
            <w:shd w:val="clear" w:color="auto" w:fill="D9D9D9"/>
            <w:vAlign w:val="center"/>
            <w:hideMark/>
          </w:tcPr>
          <w:p w14:paraId="24C6EE21" w14:textId="527BC996" w:rsidR="007843A3" w:rsidRPr="007C4D65" w:rsidRDefault="00507C6F"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Funding structure</w:t>
            </w:r>
            <w:r w:rsidR="007843A3" w:rsidRPr="007C4D65">
              <w:rPr>
                <w:rFonts w:asciiTheme="minorHAnsi" w:hAnsiTheme="minorHAnsi" w:cstheme="minorHAnsi"/>
                <w:b/>
                <w:color w:val="000000"/>
                <w:sz w:val="18"/>
              </w:rPr>
              <w:t xml:space="preserve"> (u </w:t>
            </w:r>
            <w:proofErr w:type="gramStart"/>
            <w:r w:rsidR="007843A3" w:rsidRPr="007C4D65">
              <w:rPr>
                <w:rFonts w:asciiTheme="minorHAnsi" w:hAnsiTheme="minorHAnsi" w:cstheme="minorHAnsi"/>
                <w:b/>
                <w:color w:val="000000"/>
                <w:sz w:val="18"/>
              </w:rPr>
              <w:t>%)*</w:t>
            </w:r>
            <w:proofErr w:type="gramEnd"/>
          </w:p>
        </w:tc>
        <w:tc>
          <w:tcPr>
            <w:tcW w:w="2112" w:type="dxa"/>
            <w:vMerge w:val="restart"/>
            <w:shd w:val="clear" w:color="auto" w:fill="D9D9D9"/>
            <w:vAlign w:val="center"/>
            <w:hideMark/>
          </w:tcPr>
          <w:p w14:paraId="7EAA27F9" w14:textId="590FEEC3" w:rsidR="007843A3" w:rsidRPr="007C4D65" w:rsidRDefault="00507C6F"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Total</w:t>
            </w:r>
            <w:r w:rsidR="007843A3" w:rsidRPr="007C4D65">
              <w:rPr>
                <w:rFonts w:asciiTheme="minorHAnsi" w:hAnsiTheme="minorHAnsi" w:cstheme="minorHAnsi"/>
                <w:b/>
                <w:color w:val="000000"/>
                <w:sz w:val="18"/>
              </w:rPr>
              <w:t xml:space="preserve">       KM</w:t>
            </w:r>
          </w:p>
        </w:tc>
        <w:tc>
          <w:tcPr>
            <w:tcW w:w="2532" w:type="dxa"/>
            <w:vMerge w:val="restart"/>
            <w:shd w:val="clear" w:color="auto" w:fill="D9D9D9"/>
            <w:vAlign w:val="center"/>
            <w:hideMark/>
          </w:tcPr>
          <w:p w14:paraId="60CC804E" w14:textId="2482D0C7" w:rsidR="007843A3" w:rsidRPr="007C4D65" w:rsidRDefault="00507C6F"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Budget of institutions</w:t>
            </w:r>
            <w:r w:rsidR="007843A3" w:rsidRPr="007C4D65">
              <w:rPr>
                <w:rFonts w:asciiTheme="minorHAnsi" w:hAnsiTheme="minorHAnsi" w:cstheme="minorHAnsi"/>
                <w:b/>
                <w:color w:val="000000"/>
                <w:sz w:val="18"/>
              </w:rPr>
              <w:t xml:space="preserve">   </w:t>
            </w:r>
            <w:proofErr w:type="gramStart"/>
            <w:r w:rsidR="007843A3" w:rsidRPr="007C4D65">
              <w:rPr>
                <w:rFonts w:asciiTheme="minorHAnsi" w:hAnsiTheme="minorHAnsi" w:cstheme="minorHAnsi"/>
                <w:b/>
                <w:color w:val="000000"/>
                <w:sz w:val="18"/>
              </w:rPr>
              <w:t xml:space="preserve">   (</w:t>
            </w:r>
            <w:proofErr w:type="gramEnd"/>
            <w:r w:rsidR="007843A3" w:rsidRPr="007C4D65">
              <w:rPr>
                <w:rFonts w:asciiTheme="minorHAnsi" w:hAnsiTheme="minorHAnsi" w:cstheme="minorHAnsi"/>
                <w:b/>
                <w:color w:val="000000"/>
                <w:sz w:val="18"/>
              </w:rPr>
              <w:t>KM)</w:t>
            </w:r>
          </w:p>
        </w:tc>
        <w:tc>
          <w:tcPr>
            <w:tcW w:w="5086" w:type="dxa"/>
            <w:gridSpan w:val="2"/>
            <w:vMerge w:val="restart"/>
            <w:shd w:val="clear" w:color="auto" w:fill="D9D9D9"/>
            <w:vAlign w:val="center"/>
            <w:hideMark/>
          </w:tcPr>
          <w:p w14:paraId="20630C20" w14:textId="11A89BBA" w:rsidR="007843A3" w:rsidRPr="007C4D65" w:rsidRDefault="00507C6F"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Other sources</w:t>
            </w:r>
          </w:p>
        </w:tc>
      </w:tr>
      <w:tr w:rsidR="007843A3" w:rsidRPr="007C4D65" w14:paraId="52FE799E" w14:textId="77777777" w:rsidTr="007843A3">
        <w:trPr>
          <w:trHeight w:val="476"/>
        </w:trPr>
        <w:tc>
          <w:tcPr>
            <w:tcW w:w="2187" w:type="dxa"/>
            <w:vMerge/>
            <w:shd w:val="clear" w:color="auto" w:fill="D9D9D9"/>
            <w:vAlign w:val="center"/>
            <w:hideMark/>
          </w:tcPr>
          <w:p w14:paraId="0DD4845E" w14:textId="77777777" w:rsidR="007843A3" w:rsidRPr="007C4D65" w:rsidRDefault="007843A3" w:rsidP="0068355A">
            <w:pPr>
              <w:spacing w:line="276" w:lineRule="auto"/>
              <w:rPr>
                <w:rFonts w:asciiTheme="minorHAnsi" w:hAnsiTheme="minorHAnsi" w:cstheme="minorHAnsi"/>
                <w:b/>
                <w:bCs/>
                <w:color w:val="000000"/>
                <w:sz w:val="18"/>
                <w:szCs w:val="18"/>
                <w:lang w:eastAsia="en-US"/>
              </w:rPr>
            </w:pPr>
          </w:p>
        </w:tc>
        <w:tc>
          <w:tcPr>
            <w:tcW w:w="1561" w:type="dxa"/>
            <w:vMerge/>
            <w:shd w:val="clear" w:color="auto" w:fill="D9D9D9"/>
            <w:vAlign w:val="center"/>
            <w:hideMark/>
          </w:tcPr>
          <w:p w14:paraId="2CE6BBC1" w14:textId="77777777" w:rsidR="007843A3" w:rsidRPr="007C4D65" w:rsidRDefault="007843A3" w:rsidP="0068355A">
            <w:pPr>
              <w:spacing w:line="276" w:lineRule="auto"/>
              <w:rPr>
                <w:rFonts w:asciiTheme="minorHAnsi" w:hAnsiTheme="minorHAnsi" w:cstheme="minorHAnsi"/>
                <w:b/>
                <w:bCs/>
                <w:color w:val="000000"/>
                <w:sz w:val="18"/>
                <w:szCs w:val="18"/>
                <w:lang w:eastAsia="en-US"/>
              </w:rPr>
            </w:pPr>
          </w:p>
        </w:tc>
        <w:tc>
          <w:tcPr>
            <w:tcW w:w="2112" w:type="dxa"/>
            <w:vMerge/>
            <w:shd w:val="clear" w:color="auto" w:fill="D9D9D9"/>
            <w:vAlign w:val="center"/>
            <w:hideMark/>
          </w:tcPr>
          <w:p w14:paraId="2ABD9808" w14:textId="77777777" w:rsidR="007843A3" w:rsidRPr="007C4D65" w:rsidRDefault="007843A3" w:rsidP="0068355A">
            <w:pPr>
              <w:spacing w:line="276" w:lineRule="auto"/>
              <w:rPr>
                <w:rFonts w:asciiTheme="minorHAnsi" w:hAnsiTheme="minorHAnsi" w:cstheme="minorHAnsi"/>
                <w:b/>
                <w:bCs/>
                <w:color w:val="000000"/>
                <w:sz w:val="18"/>
                <w:szCs w:val="18"/>
                <w:lang w:eastAsia="en-US"/>
              </w:rPr>
            </w:pPr>
          </w:p>
        </w:tc>
        <w:tc>
          <w:tcPr>
            <w:tcW w:w="2532" w:type="dxa"/>
            <w:vMerge/>
            <w:shd w:val="clear" w:color="auto" w:fill="D9D9D9"/>
            <w:vAlign w:val="center"/>
            <w:hideMark/>
          </w:tcPr>
          <w:p w14:paraId="467E383B" w14:textId="77777777" w:rsidR="007843A3" w:rsidRPr="007C4D65" w:rsidRDefault="007843A3" w:rsidP="0068355A">
            <w:pPr>
              <w:spacing w:line="276" w:lineRule="auto"/>
              <w:rPr>
                <w:rFonts w:asciiTheme="minorHAnsi" w:hAnsiTheme="minorHAnsi" w:cstheme="minorHAnsi"/>
                <w:b/>
                <w:bCs/>
                <w:color w:val="000000"/>
                <w:sz w:val="18"/>
                <w:szCs w:val="18"/>
                <w:lang w:eastAsia="en-US"/>
              </w:rPr>
            </w:pPr>
          </w:p>
        </w:tc>
        <w:tc>
          <w:tcPr>
            <w:tcW w:w="5086" w:type="dxa"/>
            <w:gridSpan w:val="2"/>
            <w:vMerge/>
            <w:shd w:val="clear" w:color="auto" w:fill="D9D9D9"/>
            <w:vAlign w:val="center"/>
            <w:hideMark/>
          </w:tcPr>
          <w:p w14:paraId="73401AA7" w14:textId="77777777" w:rsidR="007843A3" w:rsidRPr="007C4D65" w:rsidRDefault="007843A3" w:rsidP="0068355A">
            <w:pPr>
              <w:spacing w:line="276" w:lineRule="auto"/>
              <w:rPr>
                <w:rFonts w:asciiTheme="minorHAnsi" w:hAnsiTheme="minorHAnsi" w:cstheme="minorHAnsi"/>
                <w:b/>
                <w:bCs/>
                <w:color w:val="000000"/>
                <w:sz w:val="18"/>
                <w:szCs w:val="18"/>
                <w:lang w:eastAsia="en-US"/>
              </w:rPr>
            </w:pPr>
          </w:p>
        </w:tc>
      </w:tr>
      <w:tr w:rsidR="007843A3" w:rsidRPr="007C4D65" w14:paraId="7896AC90" w14:textId="77777777" w:rsidTr="007843A3">
        <w:trPr>
          <w:trHeight w:val="525"/>
        </w:trPr>
        <w:tc>
          <w:tcPr>
            <w:tcW w:w="2187" w:type="dxa"/>
            <w:vMerge/>
            <w:shd w:val="clear" w:color="auto" w:fill="D9D9D9"/>
            <w:vAlign w:val="center"/>
            <w:hideMark/>
          </w:tcPr>
          <w:p w14:paraId="078C88D4" w14:textId="77777777" w:rsidR="007843A3" w:rsidRPr="007C4D65" w:rsidRDefault="007843A3" w:rsidP="0068355A">
            <w:pPr>
              <w:spacing w:line="276" w:lineRule="auto"/>
              <w:rPr>
                <w:rFonts w:asciiTheme="minorHAnsi" w:hAnsiTheme="minorHAnsi" w:cstheme="minorHAnsi"/>
                <w:b/>
                <w:bCs/>
                <w:color w:val="000000"/>
                <w:sz w:val="18"/>
                <w:szCs w:val="18"/>
                <w:lang w:eastAsia="en-US"/>
              </w:rPr>
            </w:pPr>
          </w:p>
        </w:tc>
        <w:tc>
          <w:tcPr>
            <w:tcW w:w="1561" w:type="dxa"/>
            <w:vMerge/>
            <w:shd w:val="clear" w:color="auto" w:fill="D9D9D9"/>
            <w:vAlign w:val="center"/>
            <w:hideMark/>
          </w:tcPr>
          <w:p w14:paraId="3569EC1B" w14:textId="77777777" w:rsidR="007843A3" w:rsidRPr="007C4D65" w:rsidRDefault="007843A3" w:rsidP="0068355A">
            <w:pPr>
              <w:spacing w:line="276" w:lineRule="auto"/>
              <w:rPr>
                <w:rFonts w:asciiTheme="minorHAnsi" w:hAnsiTheme="minorHAnsi" w:cstheme="minorHAnsi"/>
                <w:b/>
                <w:bCs/>
                <w:color w:val="000000"/>
                <w:sz w:val="18"/>
                <w:szCs w:val="18"/>
                <w:lang w:eastAsia="en-US"/>
              </w:rPr>
            </w:pPr>
          </w:p>
        </w:tc>
        <w:tc>
          <w:tcPr>
            <w:tcW w:w="2112" w:type="dxa"/>
            <w:vMerge/>
            <w:shd w:val="clear" w:color="auto" w:fill="D9D9D9"/>
            <w:vAlign w:val="center"/>
            <w:hideMark/>
          </w:tcPr>
          <w:p w14:paraId="3B939F66" w14:textId="77777777" w:rsidR="007843A3" w:rsidRPr="007C4D65" w:rsidRDefault="007843A3" w:rsidP="0068355A">
            <w:pPr>
              <w:spacing w:line="276" w:lineRule="auto"/>
              <w:rPr>
                <w:rFonts w:asciiTheme="minorHAnsi" w:hAnsiTheme="minorHAnsi" w:cstheme="minorHAnsi"/>
                <w:b/>
                <w:bCs/>
                <w:color w:val="000000"/>
                <w:sz w:val="18"/>
                <w:szCs w:val="18"/>
                <w:lang w:eastAsia="en-US"/>
              </w:rPr>
            </w:pPr>
          </w:p>
        </w:tc>
        <w:tc>
          <w:tcPr>
            <w:tcW w:w="2532" w:type="dxa"/>
            <w:vMerge/>
            <w:shd w:val="clear" w:color="auto" w:fill="D9D9D9"/>
            <w:vAlign w:val="center"/>
            <w:hideMark/>
          </w:tcPr>
          <w:p w14:paraId="2956F2DC" w14:textId="77777777" w:rsidR="007843A3" w:rsidRPr="007C4D65" w:rsidRDefault="007843A3" w:rsidP="0068355A">
            <w:pPr>
              <w:spacing w:line="276" w:lineRule="auto"/>
              <w:rPr>
                <w:rFonts w:asciiTheme="minorHAnsi" w:hAnsiTheme="minorHAnsi" w:cstheme="minorHAnsi"/>
                <w:b/>
                <w:bCs/>
                <w:color w:val="000000"/>
                <w:sz w:val="18"/>
                <w:szCs w:val="18"/>
                <w:lang w:eastAsia="en-US"/>
              </w:rPr>
            </w:pPr>
          </w:p>
        </w:tc>
        <w:tc>
          <w:tcPr>
            <w:tcW w:w="2131" w:type="dxa"/>
            <w:shd w:val="clear" w:color="auto" w:fill="D9D9D9"/>
            <w:vAlign w:val="center"/>
            <w:hideMark/>
          </w:tcPr>
          <w:p w14:paraId="07AF9D7E"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(KM)</w:t>
            </w:r>
          </w:p>
        </w:tc>
        <w:tc>
          <w:tcPr>
            <w:tcW w:w="2955" w:type="dxa"/>
            <w:shd w:val="clear" w:color="auto" w:fill="D9D9D9"/>
            <w:vAlign w:val="center"/>
            <w:hideMark/>
          </w:tcPr>
          <w:p w14:paraId="7739ADC2"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 </w:t>
            </w:r>
          </w:p>
        </w:tc>
      </w:tr>
      <w:tr w:rsidR="007843A3" w:rsidRPr="007C4D65" w14:paraId="3B823E3C" w14:textId="77777777" w:rsidTr="00747917">
        <w:trPr>
          <w:trHeight w:val="312"/>
        </w:trPr>
        <w:tc>
          <w:tcPr>
            <w:tcW w:w="2187" w:type="dxa"/>
            <w:tcBorders>
              <w:bottom w:val="single" w:sz="4" w:space="0" w:color="A6A6A6"/>
            </w:tcBorders>
            <w:shd w:val="clear" w:color="auto" w:fill="009D73"/>
            <w:vAlign w:val="center"/>
            <w:hideMark/>
          </w:tcPr>
          <w:p w14:paraId="47670CC5"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Water management</w:t>
            </w:r>
          </w:p>
        </w:tc>
        <w:tc>
          <w:tcPr>
            <w:tcW w:w="1561" w:type="dxa"/>
            <w:tcBorders>
              <w:bottom w:val="single" w:sz="4" w:space="0" w:color="A6A6A6"/>
            </w:tcBorders>
            <w:shd w:val="clear" w:color="auto" w:fill="009D73"/>
            <w:vAlign w:val="center"/>
            <w:hideMark/>
          </w:tcPr>
          <w:p w14:paraId="5761B02A"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37%</w:t>
            </w:r>
          </w:p>
        </w:tc>
        <w:tc>
          <w:tcPr>
            <w:tcW w:w="2112" w:type="dxa"/>
            <w:tcBorders>
              <w:bottom w:val="single" w:sz="4" w:space="0" w:color="A6A6A6"/>
            </w:tcBorders>
            <w:shd w:val="clear" w:color="auto" w:fill="009D73"/>
            <w:vAlign w:val="center"/>
            <w:hideMark/>
          </w:tcPr>
          <w:p w14:paraId="59B029DA"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4,378,231,002</w:t>
            </w:r>
          </w:p>
        </w:tc>
        <w:tc>
          <w:tcPr>
            <w:tcW w:w="2532" w:type="dxa"/>
            <w:tcBorders>
              <w:bottom w:val="single" w:sz="4" w:space="0" w:color="A6A6A6"/>
            </w:tcBorders>
            <w:shd w:val="clear" w:color="auto" w:fill="009D73"/>
            <w:vAlign w:val="center"/>
            <w:hideMark/>
          </w:tcPr>
          <w:p w14:paraId="56426DE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450,488,717</w:t>
            </w:r>
          </w:p>
        </w:tc>
        <w:tc>
          <w:tcPr>
            <w:tcW w:w="2131" w:type="dxa"/>
            <w:tcBorders>
              <w:bottom w:val="single" w:sz="4" w:space="0" w:color="A6A6A6"/>
            </w:tcBorders>
            <w:shd w:val="clear" w:color="auto" w:fill="009D73"/>
            <w:vAlign w:val="center"/>
            <w:hideMark/>
          </w:tcPr>
          <w:p w14:paraId="4D802637"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3,927,742,284</w:t>
            </w:r>
          </w:p>
        </w:tc>
        <w:tc>
          <w:tcPr>
            <w:tcW w:w="2955" w:type="dxa"/>
            <w:tcBorders>
              <w:bottom w:val="single" w:sz="4" w:space="0" w:color="A6A6A6"/>
            </w:tcBorders>
            <w:shd w:val="clear" w:color="auto" w:fill="009D73"/>
            <w:vAlign w:val="center"/>
            <w:hideMark/>
          </w:tcPr>
          <w:p w14:paraId="4846F541"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47917" w:rsidRPr="007C4D65" w14:paraId="6BDF833B" w14:textId="77777777" w:rsidTr="00747917">
        <w:trPr>
          <w:trHeight w:val="288"/>
        </w:trPr>
        <w:tc>
          <w:tcPr>
            <w:tcW w:w="2187" w:type="dxa"/>
            <w:shd w:val="clear" w:color="auto" w:fill="00D29A"/>
            <w:vAlign w:val="center"/>
            <w:hideMark/>
          </w:tcPr>
          <w:p w14:paraId="0E9A527A"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1.1. Priority </w:t>
            </w:r>
          </w:p>
        </w:tc>
        <w:tc>
          <w:tcPr>
            <w:tcW w:w="1561" w:type="dxa"/>
            <w:shd w:val="clear" w:color="auto" w:fill="00D29A"/>
            <w:vAlign w:val="center"/>
            <w:hideMark/>
          </w:tcPr>
          <w:p w14:paraId="515ABB28"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0.1%</w:t>
            </w:r>
          </w:p>
        </w:tc>
        <w:tc>
          <w:tcPr>
            <w:tcW w:w="2112" w:type="dxa"/>
            <w:shd w:val="clear" w:color="auto" w:fill="00D29A"/>
            <w:vAlign w:val="center"/>
            <w:hideMark/>
          </w:tcPr>
          <w:p w14:paraId="20CAC726"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2,797,022</w:t>
            </w:r>
          </w:p>
        </w:tc>
        <w:tc>
          <w:tcPr>
            <w:tcW w:w="2532" w:type="dxa"/>
            <w:shd w:val="clear" w:color="auto" w:fill="00D29A"/>
            <w:vAlign w:val="center"/>
            <w:hideMark/>
          </w:tcPr>
          <w:p w14:paraId="1E46B993"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279,702</w:t>
            </w:r>
          </w:p>
        </w:tc>
        <w:tc>
          <w:tcPr>
            <w:tcW w:w="2131" w:type="dxa"/>
            <w:shd w:val="clear" w:color="auto" w:fill="00D29A"/>
            <w:vAlign w:val="center"/>
            <w:hideMark/>
          </w:tcPr>
          <w:p w14:paraId="1A49FBCB"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2,517,320</w:t>
            </w:r>
          </w:p>
        </w:tc>
        <w:tc>
          <w:tcPr>
            <w:tcW w:w="2955" w:type="dxa"/>
            <w:shd w:val="clear" w:color="auto" w:fill="00D29A"/>
            <w:vAlign w:val="center"/>
            <w:hideMark/>
          </w:tcPr>
          <w:p w14:paraId="234D67D9"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5694134D" w14:textId="77777777" w:rsidTr="007843A3">
        <w:trPr>
          <w:trHeight w:val="720"/>
        </w:trPr>
        <w:tc>
          <w:tcPr>
            <w:tcW w:w="2187" w:type="dxa"/>
            <w:shd w:val="clear" w:color="auto" w:fill="auto"/>
            <w:vAlign w:val="center"/>
            <w:hideMark/>
          </w:tcPr>
          <w:p w14:paraId="78BA7022"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1.1.1. Measure</w:t>
            </w:r>
          </w:p>
        </w:tc>
        <w:tc>
          <w:tcPr>
            <w:tcW w:w="1561" w:type="dxa"/>
            <w:shd w:val="clear" w:color="auto" w:fill="auto"/>
            <w:vAlign w:val="center"/>
            <w:hideMark/>
          </w:tcPr>
          <w:p w14:paraId="236CB261"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1C03E79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2,797,022</w:t>
            </w:r>
          </w:p>
        </w:tc>
        <w:tc>
          <w:tcPr>
            <w:tcW w:w="2532" w:type="dxa"/>
            <w:shd w:val="clear" w:color="auto" w:fill="auto"/>
            <w:vAlign w:val="center"/>
            <w:hideMark/>
          </w:tcPr>
          <w:p w14:paraId="5CD94A9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279,702</w:t>
            </w:r>
          </w:p>
        </w:tc>
        <w:tc>
          <w:tcPr>
            <w:tcW w:w="2131" w:type="dxa"/>
            <w:shd w:val="clear" w:color="auto" w:fill="auto"/>
            <w:vAlign w:val="center"/>
            <w:hideMark/>
          </w:tcPr>
          <w:p w14:paraId="170FC44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2,517,320</w:t>
            </w:r>
          </w:p>
        </w:tc>
        <w:tc>
          <w:tcPr>
            <w:tcW w:w="2955" w:type="dxa"/>
            <w:shd w:val="clear" w:color="auto" w:fill="auto"/>
            <w:vAlign w:val="center"/>
            <w:hideMark/>
          </w:tcPr>
          <w:p w14:paraId="52E8779B" w14:textId="6ABB9F6B"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Loans</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36ABCB8B" w14:textId="77777777" w:rsidTr="00747917">
        <w:trPr>
          <w:trHeight w:val="288"/>
        </w:trPr>
        <w:tc>
          <w:tcPr>
            <w:tcW w:w="2187" w:type="dxa"/>
            <w:shd w:val="clear" w:color="auto" w:fill="00D29A"/>
            <w:vAlign w:val="center"/>
            <w:hideMark/>
          </w:tcPr>
          <w:p w14:paraId="09B541F9"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1.2. Priority </w:t>
            </w:r>
          </w:p>
        </w:tc>
        <w:tc>
          <w:tcPr>
            <w:tcW w:w="1561" w:type="dxa"/>
            <w:shd w:val="clear" w:color="auto" w:fill="00D29A"/>
            <w:vAlign w:val="center"/>
            <w:hideMark/>
          </w:tcPr>
          <w:p w14:paraId="09B0AE80"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0.1%</w:t>
            </w:r>
          </w:p>
        </w:tc>
        <w:tc>
          <w:tcPr>
            <w:tcW w:w="2112" w:type="dxa"/>
            <w:shd w:val="clear" w:color="auto" w:fill="00D29A"/>
            <w:vAlign w:val="center"/>
            <w:hideMark/>
          </w:tcPr>
          <w:p w14:paraId="5A230B16"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2,943,591</w:t>
            </w:r>
          </w:p>
        </w:tc>
        <w:tc>
          <w:tcPr>
            <w:tcW w:w="2532" w:type="dxa"/>
            <w:shd w:val="clear" w:color="auto" w:fill="00D29A"/>
            <w:vAlign w:val="center"/>
            <w:hideMark/>
          </w:tcPr>
          <w:p w14:paraId="0D6D39B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365,647</w:t>
            </w:r>
          </w:p>
        </w:tc>
        <w:tc>
          <w:tcPr>
            <w:tcW w:w="2131" w:type="dxa"/>
            <w:shd w:val="clear" w:color="auto" w:fill="00D29A"/>
            <w:vAlign w:val="center"/>
            <w:hideMark/>
          </w:tcPr>
          <w:p w14:paraId="324CCCF8"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2,577,944</w:t>
            </w:r>
          </w:p>
        </w:tc>
        <w:tc>
          <w:tcPr>
            <w:tcW w:w="2955" w:type="dxa"/>
            <w:shd w:val="clear" w:color="auto" w:fill="00D29A"/>
            <w:vAlign w:val="center"/>
            <w:hideMark/>
          </w:tcPr>
          <w:p w14:paraId="4760209B"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17AF0254" w14:textId="77777777" w:rsidTr="007843A3">
        <w:trPr>
          <w:trHeight w:val="720"/>
        </w:trPr>
        <w:tc>
          <w:tcPr>
            <w:tcW w:w="2187" w:type="dxa"/>
            <w:shd w:val="clear" w:color="auto" w:fill="auto"/>
            <w:vAlign w:val="center"/>
            <w:hideMark/>
          </w:tcPr>
          <w:p w14:paraId="77AC6517"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1.2.1. Measure</w:t>
            </w:r>
          </w:p>
        </w:tc>
        <w:tc>
          <w:tcPr>
            <w:tcW w:w="1561" w:type="dxa"/>
            <w:shd w:val="clear" w:color="auto" w:fill="auto"/>
            <w:vAlign w:val="center"/>
            <w:hideMark/>
          </w:tcPr>
          <w:p w14:paraId="2BAF1C24"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97%</w:t>
            </w:r>
          </w:p>
        </w:tc>
        <w:tc>
          <w:tcPr>
            <w:tcW w:w="2112" w:type="dxa"/>
            <w:shd w:val="clear" w:color="auto" w:fill="auto"/>
            <w:vAlign w:val="center"/>
            <w:hideMark/>
          </w:tcPr>
          <w:p w14:paraId="77D7636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2,864,382</w:t>
            </w:r>
          </w:p>
        </w:tc>
        <w:tc>
          <w:tcPr>
            <w:tcW w:w="2532" w:type="dxa"/>
            <w:shd w:val="clear" w:color="auto" w:fill="auto"/>
            <w:vAlign w:val="center"/>
            <w:hideMark/>
          </w:tcPr>
          <w:p w14:paraId="1D0E17F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286,438</w:t>
            </w:r>
          </w:p>
        </w:tc>
        <w:tc>
          <w:tcPr>
            <w:tcW w:w="2131" w:type="dxa"/>
            <w:shd w:val="clear" w:color="auto" w:fill="auto"/>
            <w:vAlign w:val="center"/>
            <w:hideMark/>
          </w:tcPr>
          <w:p w14:paraId="40BAA17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2,577,944</w:t>
            </w:r>
          </w:p>
        </w:tc>
        <w:tc>
          <w:tcPr>
            <w:tcW w:w="2955" w:type="dxa"/>
            <w:shd w:val="clear" w:color="auto" w:fill="auto"/>
            <w:vAlign w:val="center"/>
            <w:hideMark/>
          </w:tcPr>
          <w:p w14:paraId="52D155A7" w14:textId="343502A4"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Loans</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6CE641FF" w14:textId="77777777" w:rsidTr="007843A3">
        <w:trPr>
          <w:trHeight w:val="288"/>
        </w:trPr>
        <w:tc>
          <w:tcPr>
            <w:tcW w:w="2187" w:type="dxa"/>
            <w:shd w:val="clear" w:color="auto" w:fill="auto"/>
            <w:vAlign w:val="center"/>
            <w:hideMark/>
          </w:tcPr>
          <w:p w14:paraId="2FF9087D"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1.2.2. Measure</w:t>
            </w:r>
          </w:p>
        </w:tc>
        <w:tc>
          <w:tcPr>
            <w:tcW w:w="1561" w:type="dxa"/>
            <w:shd w:val="clear" w:color="auto" w:fill="auto"/>
            <w:vAlign w:val="center"/>
            <w:hideMark/>
          </w:tcPr>
          <w:p w14:paraId="7FC7712F"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3%</w:t>
            </w:r>
          </w:p>
        </w:tc>
        <w:tc>
          <w:tcPr>
            <w:tcW w:w="2112" w:type="dxa"/>
            <w:shd w:val="clear" w:color="auto" w:fill="auto"/>
            <w:vAlign w:val="center"/>
            <w:hideMark/>
          </w:tcPr>
          <w:p w14:paraId="214E06B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79,209</w:t>
            </w:r>
          </w:p>
        </w:tc>
        <w:tc>
          <w:tcPr>
            <w:tcW w:w="2532" w:type="dxa"/>
            <w:shd w:val="clear" w:color="auto" w:fill="auto"/>
            <w:vAlign w:val="center"/>
            <w:hideMark/>
          </w:tcPr>
          <w:p w14:paraId="49658BC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79,209</w:t>
            </w:r>
          </w:p>
        </w:tc>
        <w:tc>
          <w:tcPr>
            <w:tcW w:w="2131" w:type="dxa"/>
            <w:shd w:val="clear" w:color="auto" w:fill="auto"/>
            <w:vAlign w:val="center"/>
            <w:hideMark/>
          </w:tcPr>
          <w:p w14:paraId="57B11D1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40B5476E" w14:textId="1FF413F9"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1CC862BA" w14:textId="77777777" w:rsidTr="00747917">
        <w:trPr>
          <w:trHeight w:val="288"/>
        </w:trPr>
        <w:tc>
          <w:tcPr>
            <w:tcW w:w="2187" w:type="dxa"/>
            <w:shd w:val="clear" w:color="auto" w:fill="00D29A"/>
            <w:vAlign w:val="center"/>
            <w:hideMark/>
          </w:tcPr>
          <w:p w14:paraId="587EB5F1"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1.3. Priority </w:t>
            </w:r>
          </w:p>
        </w:tc>
        <w:tc>
          <w:tcPr>
            <w:tcW w:w="1561" w:type="dxa"/>
            <w:shd w:val="clear" w:color="auto" w:fill="00D29A"/>
            <w:vAlign w:val="center"/>
            <w:hideMark/>
          </w:tcPr>
          <w:p w14:paraId="1016C462"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w:t>
            </w:r>
          </w:p>
        </w:tc>
        <w:tc>
          <w:tcPr>
            <w:tcW w:w="2112" w:type="dxa"/>
            <w:shd w:val="clear" w:color="auto" w:fill="00D29A"/>
            <w:vAlign w:val="center"/>
            <w:hideMark/>
          </w:tcPr>
          <w:p w14:paraId="5478914F"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83,025,188</w:t>
            </w:r>
          </w:p>
        </w:tc>
        <w:tc>
          <w:tcPr>
            <w:tcW w:w="2532" w:type="dxa"/>
            <w:shd w:val="clear" w:color="auto" w:fill="00D29A"/>
            <w:vAlign w:val="center"/>
            <w:hideMark/>
          </w:tcPr>
          <w:p w14:paraId="306B55E6"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16,672,473</w:t>
            </w:r>
          </w:p>
        </w:tc>
        <w:tc>
          <w:tcPr>
            <w:tcW w:w="2131" w:type="dxa"/>
            <w:shd w:val="clear" w:color="auto" w:fill="00D29A"/>
            <w:vAlign w:val="center"/>
            <w:hideMark/>
          </w:tcPr>
          <w:p w14:paraId="20CB1600"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66,352,714</w:t>
            </w:r>
          </w:p>
        </w:tc>
        <w:tc>
          <w:tcPr>
            <w:tcW w:w="2955" w:type="dxa"/>
            <w:shd w:val="clear" w:color="auto" w:fill="00D29A"/>
            <w:vAlign w:val="center"/>
            <w:hideMark/>
          </w:tcPr>
          <w:p w14:paraId="2A17AF61"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5C36E1CC" w14:textId="77777777" w:rsidTr="007843A3">
        <w:trPr>
          <w:trHeight w:val="480"/>
        </w:trPr>
        <w:tc>
          <w:tcPr>
            <w:tcW w:w="2187" w:type="dxa"/>
            <w:shd w:val="clear" w:color="auto" w:fill="auto"/>
            <w:vAlign w:val="center"/>
            <w:hideMark/>
          </w:tcPr>
          <w:p w14:paraId="4E803D4E"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1.3.1. Measure</w:t>
            </w:r>
          </w:p>
        </w:tc>
        <w:tc>
          <w:tcPr>
            <w:tcW w:w="1561" w:type="dxa"/>
            <w:shd w:val="clear" w:color="auto" w:fill="auto"/>
            <w:vAlign w:val="center"/>
            <w:hideMark/>
          </w:tcPr>
          <w:p w14:paraId="28BCBAF8"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99.9%</w:t>
            </w:r>
          </w:p>
        </w:tc>
        <w:tc>
          <w:tcPr>
            <w:tcW w:w="2112" w:type="dxa"/>
            <w:shd w:val="clear" w:color="auto" w:fill="auto"/>
            <w:vAlign w:val="center"/>
            <w:hideMark/>
          </w:tcPr>
          <w:p w14:paraId="6B5D899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82,940,893</w:t>
            </w:r>
          </w:p>
        </w:tc>
        <w:tc>
          <w:tcPr>
            <w:tcW w:w="2532" w:type="dxa"/>
            <w:shd w:val="clear" w:color="auto" w:fill="auto"/>
            <w:vAlign w:val="center"/>
            <w:hideMark/>
          </w:tcPr>
          <w:p w14:paraId="7E7378D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16,588,179</w:t>
            </w:r>
          </w:p>
        </w:tc>
        <w:tc>
          <w:tcPr>
            <w:tcW w:w="2131" w:type="dxa"/>
            <w:shd w:val="clear" w:color="auto" w:fill="auto"/>
            <w:vAlign w:val="center"/>
            <w:hideMark/>
          </w:tcPr>
          <w:p w14:paraId="2EEF78A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66,352,714</w:t>
            </w:r>
          </w:p>
        </w:tc>
        <w:tc>
          <w:tcPr>
            <w:tcW w:w="2955" w:type="dxa"/>
            <w:shd w:val="clear" w:color="auto" w:fill="auto"/>
            <w:vAlign w:val="center"/>
            <w:hideMark/>
          </w:tcPr>
          <w:p w14:paraId="33F40FC2" w14:textId="61A7FFC4"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7FA0E380" w14:textId="77777777" w:rsidTr="007843A3">
        <w:trPr>
          <w:trHeight w:val="288"/>
        </w:trPr>
        <w:tc>
          <w:tcPr>
            <w:tcW w:w="2187" w:type="dxa"/>
            <w:shd w:val="clear" w:color="auto" w:fill="auto"/>
            <w:vAlign w:val="center"/>
            <w:hideMark/>
          </w:tcPr>
          <w:p w14:paraId="40812AAC"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1.3.2. Measure</w:t>
            </w:r>
          </w:p>
        </w:tc>
        <w:tc>
          <w:tcPr>
            <w:tcW w:w="1561" w:type="dxa"/>
            <w:shd w:val="clear" w:color="auto" w:fill="auto"/>
            <w:vAlign w:val="center"/>
            <w:hideMark/>
          </w:tcPr>
          <w:p w14:paraId="364EE0FA"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0.1%</w:t>
            </w:r>
          </w:p>
        </w:tc>
        <w:tc>
          <w:tcPr>
            <w:tcW w:w="2112" w:type="dxa"/>
            <w:shd w:val="clear" w:color="auto" w:fill="auto"/>
            <w:vAlign w:val="center"/>
            <w:hideMark/>
          </w:tcPr>
          <w:p w14:paraId="0B199E2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                                           84,295 </w:t>
            </w:r>
          </w:p>
        </w:tc>
        <w:tc>
          <w:tcPr>
            <w:tcW w:w="2532" w:type="dxa"/>
            <w:shd w:val="clear" w:color="auto" w:fill="auto"/>
            <w:vAlign w:val="center"/>
            <w:hideMark/>
          </w:tcPr>
          <w:p w14:paraId="70D5150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84,295</w:t>
            </w:r>
          </w:p>
        </w:tc>
        <w:tc>
          <w:tcPr>
            <w:tcW w:w="2131" w:type="dxa"/>
            <w:shd w:val="clear" w:color="auto" w:fill="auto"/>
            <w:vAlign w:val="center"/>
            <w:hideMark/>
          </w:tcPr>
          <w:p w14:paraId="3993DB9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785B54F7" w14:textId="35CE4399"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665FEBEF" w14:textId="77777777" w:rsidTr="00747917">
        <w:trPr>
          <w:trHeight w:val="288"/>
        </w:trPr>
        <w:tc>
          <w:tcPr>
            <w:tcW w:w="2187" w:type="dxa"/>
            <w:shd w:val="clear" w:color="auto" w:fill="00D29A"/>
            <w:vAlign w:val="center"/>
            <w:hideMark/>
          </w:tcPr>
          <w:p w14:paraId="5A4492BF"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1.4. Priority </w:t>
            </w:r>
          </w:p>
        </w:tc>
        <w:tc>
          <w:tcPr>
            <w:tcW w:w="1561" w:type="dxa"/>
            <w:shd w:val="clear" w:color="auto" w:fill="00D29A"/>
            <w:vAlign w:val="center"/>
            <w:hideMark/>
          </w:tcPr>
          <w:p w14:paraId="13BE7CEF"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0.4%</w:t>
            </w:r>
          </w:p>
        </w:tc>
        <w:tc>
          <w:tcPr>
            <w:tcW w:w="2112" w:type="dxa"/>
            <w:shd w:val="clear" w:color="auto" w:fill="00D29A"/>
            <w:vAlign w:val="center"/>
            <w:hideMark/>
          </w:tcPr>
          <w:p w14:paraId="0DCBA49C"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17,265,064</w:t>
            </w:r>
          </w:p>
        </w:tc>
        <w:tc>
          <w:tcPr>
            <w:tcW w:w="2532" w:type="dxa"/>
            <w:shd w:val="clear" w:color="auto" w:fill="00D29A"/>
            <w:vAlign w:val="center"/>
            <w:hideMark/>
          </w:tcPr>
          <w:p w14:paraId="5876A899"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5,195,073</w:t>
            </w:r>
          </w:p>
        </w:tc>
        <w:tc>
          <w:tcPr>
            <w:tcW w:w="2131" w:type="dxa"/>
            <w:shd w:val="clear" w:color="auto" w:fill="00D29A"/>
            <w:vAlign w:val="center"/>
            <w:hideMark/>
          </w:tcPr>
          <w:p w14:paraId="5B2ECAB3"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12,069,991</w:t>
            </w:r>
          </w:p>
        </w:tc>
        <w:tc>
          <w:tcPr>
            <w:tcW w:w="2955" w:type="dxa"/>
            <w:shd w:val="clear" w:color="auto" w:fill="00D29A"/>
            <w:vAlign w:val="center"/>
            <w:hideMark/>
          </w:tcPr>
          <w:p w14:paraId="2D231C0E"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20412ED8" w14:textId="77777777" w:rsidTr="007843A3">
        <w:trPr>
          <w:trHeight w:val="480"/>
        </w:trPr>
        <w:tc>
          <w:tcPr>
            <w:tcW w:w="2187" w:type="dxa"/>
            <w:shd w:val="clear" w:color="auto" w:fill="auto"/>
            <w:vAlign w:val="center"/>
            <w:hideMark/>
          </w:tcPr>
          <w:p w14:paraId="08EB19A0"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1.4.1. Measure</w:t>
            </w:r>
          </w:p>
        </w:tc>
        <w:tc>
          <w:tcPr>
            <w:tcW w:w="1561" w:type="dxa"/>
            <w:shd w:val="clear" w:color="auto" w:fill="auto"/>
            <w:vAlign w:val="center"/>
            <w:hideMark/>
          </w:tcPr>
          <w:p w14:paraId="3E42D4E2"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w:t>
            </w:r>
          </w:p>
        </w:tc>
        <w:tc>
          <w:tcPr>
            <w:tcW w:w="2112" w:type="dxa"/>
            <w:shd w:val="clear" w:color="auto" w:fill="auto"/>
            <w:vAlign w:val="center"/>
            <w:hideMark/>
          </w:tcPr>
          <w:p w14:paraId="24EDC01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1,547,756</w:t>
            </w:r>
          </w:p>
        </w:tc>
        <w:tc>
          <w:tcPr>
            <w:tcW w:w="2532" w:type="dxa"/>
            <w:shd w:val="clear" w:color="auto" w:fill="auto"/>
            <w:vAlign w:val="center"/>
            <w:hideMark/>
          </w:tcPr>
          <w:p w14:paraId="4FEDF71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464,327</w:t>
            </w:r>
          </w:p>
        </w:tc>
        <w:tc>
          <w:tcPr>
            <w:tcW w:w="2131" w:type="dxa"/>
            <w:shd w:val="clear" w:color="auto" w:fill="auto"/>
            <w:vAlign w:val="center"/>
            <w:hideMark/>
          </w:tcPr>
          <w:p w14:paraId="772DCA1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1,083,429</w:t>
            </w:r>
          </w:p>
        </w:tc>
        <w:tc>
          <w:tcPr>
            <w:tcW w:w="2955" w:type="dxa"/>
            <w:shd w:val="clear" w:color="auto" w:fill="auto"/>
            <w:vAlign w:val="center"/>
            <w:hideMark/>
          </w:tcPr>
          <w:p w14:paraId="32AE6A76" w14:textId="464FD21A"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5E7F6995" w14:textId="77777777" w:rsidTr="007843A3">
        <w:trPr>
          <w:trHeight w:val="720"/>
        </w:trPr>
        <w:tc>
          <w:tcPr>
            <w:tcW w:w="2187" w:type="dxa"/>
            <w:shd w:val="clear" w:color="auto" w:fill="auto"/>
            <w:vAlign w:val="center"/>
            <w:hideMark/>
          </w:tcPr>
          <w:p w14:paraId="7FAEE52A"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1.4.2. Measure</w:t>
            </w:r>
          </w:p>
        </w:tc>
        <w:tc>
          <w:tcPr>
            <w:tcW w:w="1561" w:type="dxa"/>
            <w:shd w:val="clear" w:color="auto" w:fill="auto"/>
            <w:vAlign w:val="center"/>
            <w:hideMark/>
          </w:tcPr>
          <w:p w14:paraId="739A6E25"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90.9%</w:t>
            </w:r>
          </w:p>
        </w:tc>
        <w:tc>
          <w:tcPr>
            <w:tcW w:w="2112" w:type="dxa"/>
            <w:shd w:val="clear" w:color="auto" w:fill="auto"/>
            <w:vAlign w:val="center"/>
            <w:hideMark/>
          </w:tcPr>
          <w:p w14:paraId="0680853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15,695,088</w:t>
            </w:r>
          </w:p>
        </w:tc>
        <w:tc>
          <w:tcPr>
            <w:tcW w:w="2532" w:type="dxa"/>
            <w:shd w:val="clear" w:color="auto" w:fill="auto"/>
            <w:vAlign w:val="center"/>
            <w:hideMark/>
          </w:tcPr>
          <w:p w14:paraId="0B84627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4,708,526</w:t>
            </w:r>
          </w:p>
        </w:tc>
        <w:tc>
          <w:tcPr>
            <w:tcW w:w="2131" w:type="dxa"/>
            <w:shd w:val="clear" w:color="auto" w:fill="auto"/>
            <w:vAlign w:val="center"/>
            <w:hideMark/>
          </w:tcPr>
          <w:p w14:paraId="70C2E30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10,986,562</w:t>
            </w:r>
          </w:p>
        </w:tc>
        <w:tc>
          <w:tcPr>
            <w:tcW w:w="2955" w:type="dxa"/>
            <w:shd w:val="clear" w:color="auto" w:fill="auto"/>
            <w:vAlign w:val="center"/>
            <w:hideMark/>
          </w:tcPr>
          <w:p w14:paraId="7F8D1F71" w14:textId="3C798FFC"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3FC0CE36" w14:textId="77777777" w:rsidTr="007843A3">
        <w:trPr>
          <w:trHeight w:val="288"/>
        </w:trPr>
        <w:tc>
          <w:tcPr>
            <w:tcW w:w="2187" w:type="dxa"/>
            <w:shd w:val="clear" w:color="auto" w:fill="auto"/>
            <w:vAlign w:val="center"/>
            <w:hideMark/>
          </w:tcPr>
          <w:p w14:paraId="59025570"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1.4.3. Measure</w:t>
            </w:r>
          </w:p>
        </w:tc>
        <w:tc>
          <w:tcPr>
            <w:tcW w:w="1561" w:type="dxa"/>
            <w:shd w:val="clear" w:color="auto" w:fill="auto"/>
            <w:vAlign w:val="center"/>
            <w:hideMark/>
          </w:tcPr>
          <w:p w14:paraId="4994A17F"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0.1%</w:t>
            </w:r>
          </w:p>
        </w:tc>
        <w:tc>
          <w:tcPr>
            <w:tcW w:w="2112" w:type="dxa"/>
            <w:shd w:val="clear" w:color="auto" w:fill="auto"/>
            <w:vAlign w:val="center"/>
            <w:hideMark/>
          </w:tcPr>
          <w:p w14:paraId="66046FFC" w14:textId="459FB4CC"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22,220 </w:t>
            </w:r>
          </w:p>
        </w:tc>
        <w:tc>
          <w:tcPr>
            <w:tcW w:w="2532" w:type="dxa"/>
            <w:shd w:val="clear" w:color="auto" w:fill="auto"/>
            <w:vAlign w:val="center"/>
            <w:hideMark/>
          </w:tcPr>
          <w:p w14:paraId="5348F12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22,220</w:t>
            </w:r>
          </w:p>
        </w:tc>
        <w:tc>
          <w:tcPr>
            <w:tcW w:w="2131" w:type="dxa"/>
            <w:shd w:val="clear" w:color="auto" w:fill="auto"/>
            <w:vAlign w:val="center"/>
            <w:hideMark/>
          </w:tcPr>
          <w:p w14:paraId="3057965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2B2F8483" w14:textId="6C85E3FA"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10202F79" w14:textId="77777777" w:rsidTr="00747917">
        <w:trPr>
          <w:trHeight w:val="288"/>
        </w:trPr>
        <w:tc>
          <w:tcPr>
            <w:tcW w:w="2187" w:type="dxa"/>
            <w:shd w:val="clear" w:color="auto" w:fill="00D29A"/>
            <w:vAlign w:val="center"/>
            <w:hideMark/>
          </w:tcPr>
          <w:p w14:paraId="62B3D1B8"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lastRenderedPageBreak/>
              <w:t xml:space="preserve">1.5. Priority </w:t>
            </w:r>
          </w:p>
        </w:tc>
        <w:tc>
          <w:tcPr>
            <w:tcW w:w="1561" w:type="dxa"/>
            <w:shd w:val="clear" w:color="auto" w:fill="00D29A"/>
            <w:vAlign w:val="center"/>
            <w:hideMark/>
          </w:tcPr>
          <w:p w14:paraId="27817376"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98%</w:t>
            </w:r>
          </w:p>
        </w:tc>
        <w:tc>
          <w:tcPr>
            <w:tcW w:w="2112" w:type="dxa"/>
            <w:shd w:val="clear" w:color="auto" w:fill="00D29A"/>
            <w:vAlign w:val="center"/>
            <w:hideMark/>
          </w:tcPr>
          <w:p w14:paraId="2C3733C2"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4,271,679,579</w:t>
            </w:r>
          </w:p>
        </w:tc>
        <w:tc>
          <w:tcPr>
            <w:tcW w:w="2532" w:type="dxa"/>
            <w:shd w:val="clear" w:color="auto" w:fill="00D29A"/>
            <w:vAlign w:val="center"/>
            <w:hideMark/>
          </w:tcPr>
          <w:p w14:paraId="5CC974AA"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427,455,263</w:t>
            </w:r>
          </w:p>
        </w:tc>
        <w:tc>
          <w:tcPr>
            <w:tcW w:w="2131" w:type="dxa"/>
            <w:shd w:val="clear" w:color="auto" w:fill="00D29A"/>
            <w:vAlign w:val="center"/>
            <w:hideMark/>
          </w:tcPr>
          <w:p w14:paraId="378D79C5"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3,844,224,315</w:t>
            </w:r>
          </w:p>
        </w:tc>
        <w:tc>
          <w:tcPr>
            <w:tcW w:w="2955" w:type="dxa"/>
            <w:shd w:val="clear" w:color="auto" w:fill="00D29A"/>
            <w:vAlign w:val="center"/>
            <w:hideMark/>
          </w:tcPr>
          <w:p w14:paraId="49855681"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52CF5DAA" w14:textId="77777777" w:rsidTr="007843A3">
        <w:trPr>
          <w:trHeight w:val="288"/>
        </w:trPr>
        <w:tc>
          <w:tcPr>
            <w:tcW w:w="2187" w:type="dxa"/>
            <w:shd w:val="clear" w:color="auto" w:fill="auto"/>
            <w:vAlign w:val="center"/>
            <w:hideMark/>
          </w:tcPr>
          <w:p w14:paraId="3DC9E74F"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1.5.1. Measure</w:t>
            </w:r>
          </w:p>
        </w:tc>
        <w:tc>
          <w:tcPr>
            <w:tcW w:w="1561" w:type="dxa"/>
            <w:shd w:val="clear" w:color="auto" w:fill="auto"/>
            <w:vAlign w:val="center"/>
            <w:hideMark/>
          </w:tcPr>
          <w:p w14:paraId="05BB9DF1"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0.0005%</w:t>
            </w:r>
          </w:p>
        </w:tc>
        <w:tc>
          <w:tcPr>
            <w:tcW w:w="2112" w:type="dxa"/>
            <w:shd w:val="clear" w:color="auto" w:fill="auto"/>
            <w:vAlign w:val="center"/>
            <w:hideMark/>
          </w:tcPr>
          <w:p w14:paraId="09A6CAAB" w14:textId="216A953F"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20,391 </w:t>
            </w:r>
          </w:p>
        </w:tc>
        <w:tc>
          <w:tcPr>
            <w:tcW w:w="2532" w:type="dxa"/>
            <w:shd w:val="clear" w:color="auto" w:fill="auto"/>
            <w:vAlign w:val="center"/>
            <w:hideMark/>
          </w:tcPr>
          <w:p w14:paraId="5EB9CAB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20,391</w:t>
            </w:r>
          </w:p>
        </w:tc>
        <w:tc>
          <w:tcPr>
            <w:tcW w:w="2131" w:type="dxa"/>
            <w:shd w:val="clear" w:color="auto" w:fill="auto"/>
            <w:vAlign w:val="center"/>
            <w:hideMark/>
          </w:tcPr>
          <w:p w14:paraId="18A31BC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446DBC2B" w14:textId="62CF046D"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7CB4BE6C" w14:textId="77777777" w:rsidTr="007843A3">
        <w:trPr>
          <w:trHeight w:val="288"/>
        </w:trPr>
        <w:tc>
          <w:tcPr>
            <w:tcW w:w="2187" w:type="dxa"/>
            <w:shd w:val="clear" w:color="auto" w:fill="auto"/>
            <w:vAlign w:val="center"/>
            <w:hideMark/>
          </w:tcPr>
          <w:p w14:paraId="78492343"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1.5.2. Measure</w:t>
            </w:r>
          </w:p>
        </w:tc>
        <w:tc>
          <w:tcPr>
            <w:tcW w:w="1561" w:type="dxa"/>
            <w:shd w:val="clear" w:color="auto" w:fill="auto"/>
            <w:vAlign w:val="center"/>
            <w:hideMark/>
          </w:tcPr>
          <w:p w14:paraId="28DABFBF"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0.001%</w:t>
            </w:r>
          </w:p>
        </w:tc>
        <w:tc>
          <w:tcPr>
            <w:tcW w:w="2112" w:type="dxa"/>
            <w:shd w:val="clear" w:color="auto" w:fill="auto"/>
            <w:vAlign w:val="center"/>
            <w:hideMark/>
          </w:tcPr>
          <w:p w14:paraId="6AFAC658" w14:textId="10EC6549"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48,837 </w:t>
            </w:r>
          </w:p>
        </w:tc>
        <w:tc>
          <w:tcPr>
            <w:tcW w:w="2532" w:type="dxa"/>
            <w:shd w:val="clear" w:color="auto" w:fill="auto"/>
            <w:vAlign w:val="center"/>
            <w:hideMark/>
          </w:tcPr>
          <w:p w14:paraId="3198148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48,837</w:t>
            </w:r>
          </w:p>
        </w:tc>
        <w:tc>
          <w:tcPr>
            <w:tcW w:w="2131" w:type="dxa"/>
            <w:shd w:val="clear" w:color="auto" w:fill="auto"/>
            <w:vAlign w:val="center"/>
            <w:hideMark/>
          </w:tcPr>
          <w:p w14:paraId="3257807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61E91D44" w14:textId="35237854"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7FF3B5E5" w14:textId="77777777" w:rsidTr="007843A3">
        <w:trPr>
          <w:trHeight w:val="288"/>
        </w:trPr>
        <w:tc>
          <w:tcPr>
            <w:tcW w:w="2187" w:type="dxa"/>
            <w:shd w:val="clear" w:color="auto" w:fill="auto"/>
            <w:vAlign w:val="center"/>
            <w:hideMark/>
          </w:tcPr>
          <w:p w14:paraId="3CFA2B8C"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1.5.3. Measure</w:t>
            </w:r>
          </w:p>
        </w:tc>
        <w:tc>
          <w:tcPr>
            <w:tcW w:w="1561" w:type="dxa"/>
            <w:shd w:val="clear" w:color="auto" w:fill="auto"/>
            <w:vAlign w:val="center"/>
            <w:hideMark/>
          </w:tcPr>
          <w:p w14:paraId="64656C81"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0.006%</w:t>
            </w:r>
          </w:p>
        </w:tc>
        <w:tc>
          <w:tcPr>
            <w:tcW w:w="2112" w:type="dxa"/>
            <w:shd w:val="clear" w:color="auto" w:fill="auto"/>
            <w:vAlign w:val="center"/>
            <w:hideMark/>
          </w:tcPr>
          <w:p w14:paraId="2200781E" w14:textId="57F65B5D"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250,000 </w:t>
            </w:r>
          </w:p>
        </w:tc>
        <w:tc>
          <w:tcPr>
            <w:tcW w:w="2532" w:type="dxa"/>
            <w:shd w:val="clear" w:color="auto" w:fill="auto"/>
            <w:vAlign w:val="center"/>
            <w:hideMark/>
          </w:tcPr>
          <w:p w14:paraId="070CD5E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250,000</w:t>
            </w:r>
          </w:p>
        </w:tc>
        <w:tc>
          <w:tcPr>
            <w:tcW w:w="2131" w:type="dxa"/>
            <w:shd w:val="clear" w:color="auto" w:fill="auto"/>
            <w:vAlign w:val="center"/>
            <w:hideMark/>
          </w:tcPr>
          <w:p w14:paraId="127742A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0444056A" w14:textId="28331636"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324B316E" w14:textId="77777777" w:rsidTr="007843A3">
        <w:trPr>
          <w:trHeight w:val="720"/>
        </w:trPr>
        <w:tc>
          <w:tcPr>
            <w:tcW w:w="2187" w:type="dxa"/>
            <w:shd w:val="clear" w:color="auto" w:fill="auto"/>
            <w:vAlign w:val="center"/>
            <w:hideMark/>
          </w:tcPr>
          <w:p w14:paraId="43960F79"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1.5.4. Measure</w:t>
            </w:r>
          </w:p>
        </w:tc>
        <w:tc>
          <w:tcPr>
            <w:tcW w:w="1561" w:type="dxa"/>
            <w:shd w:val="clear" w:color="auto" w:fill="auto"/>
            <w:vAlign w:val="center"/>
            <w:hideMark/>
          </w:tcPr>
          <w:p w14:paraId="6EDC6368"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17DE6D71" w14:textId="211BE151"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4,271,360,350 </w:t>
            </w:r>
          </w:p>
        </w:tc>
        <w:tc>
          <w:tcPr>
            <w:tcW w:w="2532" w:type="dxa"/>
            <w:shd w:val="clear" w:color="auto" w:fill="auto"/>
            <w:vAlign w:val="center"/>
            <w:hideMark/>
          </w:tcPr>
          <w:p w14:paraId="4B1947D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427.</w:t>
            </w:r>
            <w:r w:rsidRPr="007C4D65">
              <w:rPr>
                <w:rFonts w:asciiTheme="minorHAnsi" w:hAnsiTheme="minorHAnsi" w:cstheme="minorHAnsi"/>
                <w:b/>
                <w:color w:val="FFFFFF" w:themeColor="background1"/>
                <w:sz w:val="18"/>
              </w:rPr>
              <w:t>136</w:t>
            </w:r>
            <w:r w:rsidRPr="007C4D65">
              <w:rPr>
                <w:rFonts w:asciiTheme="minorHAnsi" w:hAnsiTheme="minorHAnsi" w:cstheme="minorHAnsi"/>
                <w:b/>
                <w:color w:val="000000"/>
                <w:sz w:val="18"/>
              </w:rPr>
              <w:t>.035</w:t>
            </w:r>
          </w:p>
        </w:tc>
        <w:tc>
          <w:tcPr>
            <w:tcW w:w="2131" w:type="dxa"/>
            <w:shd w:val="clear" w:color="auto" w:fill="auto"/>
            <w:vAlign w:val="center"/>
            <w:hideMark/>
          </w:tcPr>
          <w:p w14:paraId="23E4E68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3,844,224,315</w:t>
            </w:r>
          </w:p>
        </w:tc>
        <w:tc>
          <w:tcPr>
            <w:tcW w:w="2955" w:type="dxa"/>
            <w:shd w:val="clear" w:color="auto" w:fill="auto"/>
            <w:vAlign w:val="center"/>
            <w:hideMark/>
          </w:tcPr>
          <w:p w14:paraId="1F6BCAF1" w14:textId="39F7C56F"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Loans</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52EE9BD5" w14:textId="77777777" w:rsidTr="00747917">
        <w:trPr>
          <w:trHeight w:val="288"/>
        </w:trPr>
        <w:tc>
          <w:tcPr>
            <w:tcW w:w="2187" w:type="dxa"/>
            <w:shd w:val="clear" w:color="auto" w:fill="00D29A"/>
            <w:vAlign w:val="center"/>
            <w:hideMark/>
          </w:tcPr>
          <w:p w14:paraId="09B411A5"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1.6. Priority </w:t>
            </w:r>
          </w:p>
        </w:tc>
        <w:tc>
          <w:tcPr>
            <w:tcW w:w="1561" w:type="dxa"/>
            <w:shd w:val="clear" w:color="auto" w:fill="00D29A"/>
            <w:vAlign w:val="center"/>
            <w:hideMark/>
          </w:tcPr>
          <w:p w14:paraId="5C15A1C2"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0.01%</w:t>
            </w:r>
          </w:p>
        </w:tc>
        <w:tc>
          <w:tcPr>
            <w:tcW w:w="2112" w:type="dxa"/>
            <w:shd w:val="clear" w:color="auto" w:fill="00D29A"/>
            <w:vAlign w:val="center"/>
            <w:hideMark/>
          </w:tcPr>
          <w:p w14:paraId="44EB7FD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520,558</w:t>
            </w:r>
          </w:p>
        </w:tc>
        <w:tc>
          <w:tcPr>
            <w:tcW w:w="2532" w:type="dxa"/>
            <w:shd w:val="clear" w:color="auto" w:fill="00D29A"/>
            <w:vAlign w:val="center"/>
            <w:hideMark/>
          </w:tcPr>
          <w:p w14:paraId="1995532C"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520,558</w:t>
            </w:r>
          </w:p>
        </w:tc>
        <w:tc>
          <w:tcPr>
            <w:tcW w:w="2131" w:type="dxa"/>
            <w:shd w:val="clear" w:color="auto" w:fill="00D29A"/>
            <w:vAlign w:val="center"/>
            <w:hideMark/>
          </w:tcPr>
          <w:p w14:paraId="10A48B90"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w:t>
            </w:r>
          </w:p>
        </w:tc>
        <w:tc>
          <w:tcPr>
            <w:tcW w:w="2955" w:type="dxa"/>
            <w:shd w:val="clear" w:color="auto" w:fill="00D29A"/>
            <w:vAlign w:val="center"/>
            <w:hideMark/>
          </w:tcPr>
          <w:p w14:paraId="138ADF38"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77E039E4" w14:textId="77777777" w:rsidTr="007843A3">
        <w:trPr>
          <w:trHeight w:val="288"/>
        </w:trPr>
        <w:tc>
          <w:tcPr>
            <w:tcW w:w="2187" w:type="dxa"/>
            <w:shd w:val="clear" w:color="auto" w:fill="auto"/>
            <w:vAlign w:val="center"/>
            <w:hideMark/>
          </w:tcPr>
          <w:p w14:paraId="26DD0FA6"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1.6.1. Measure</w:t>
            </w:r>
          </w:p>
        </w:tc>
        <w:tc>
          <w:tcPr>
            <w:tcW w:w="1561" w:type="dxa"/>
            <w:shd w:val="clear" w:color="auto" w:fill="auto"/>
            <w:vAlign w:val="center"/>
            <w:hideMark/>
          </w:tcPr>
          <w:p w14:paraId="09AE21E8"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55%</w:t>
            </w:r>
          </w:p>
        </w:tc>
        <w:tc>
          <w:tcPr>
            <w:tcW w:w="2112" w:type="dxa"/>
            <w:shd w:val="clear" w:color="auto" w:fill="auto"/>
            <w:vAlign w:val="center"/>
            <w:hideMark/>
          </w:tcPr>
          <w:p w14:paraId="7857898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287,791</w:t>
            </w:r>
          </w:p>
        </w:tc>
        <w:tc>
          <w:tcPr>
            <w:tcW w:w="2532" w:type="dxa"/>
            <w:shd w:val="clear" w:color="auto" w:fill="auto"/>
            <w:vAlign w:val="center"/>
            <w:hideMark/>
          </w:tcPr>
          <w:p w14:paraId="5143445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287,791</w:t>
            </w:r>
          </w:p>
        </w:tc>
        <w:tc>
          <w:tcPr>
            <w:tcW w:w="2131" w:type="dxa"/>
            <w:shd w:val="clear" w:color="auto" w:fill="auto"/>
            <w:vAlign w:val="center"/>
            <w:hideMark/>
          </w:tcPr>
          <w:p w14:paraId="1CA106F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6895BB6D" w14:textId="3E8B08AF"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1FACA432" w14:textId="77777777" w:rsidTr="007843A3">
        <w:trPr>
          <w:trHeight w:val="288"/>
        </w:trPr>
        <w:tc>
          <w:tcPr>
            <w:tcW w:w="2187" w:type="dxa"/>
            <w:shd w:val="clear" w:color="auto" w:fill="auto"/>
            <w:vAlign w:val="center"/>
            <w:hideMark/>
          </w:tcPr>
          <w:p w14:paraId="7019D158"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1.6.2. Measure</w:t>
            </w:r>
          </w:p>
        </w:tc>
        <w:tc>
          <w:tcPr>
            <w:tcW w:w="1561" w:type="dxa"/>
            <w:shd w:val="clear" w:color="auto" w:fill="auto"/>
            <w:vAlign w:val="center"/>
            <w:hideMark/>
          </w:tcPr>
          <w:p w14:paraId="2980FE01"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32%</w:t>
            </w:r>
          </w:p>
        </w:tc>
        <w:tc>
          <w:tcPr>
            <w:tcW w:w="2112" w:type="dxa"/>
            <w:shd w:val="clear" w:color="auto" w:fill="auto"/>
            <w:vAlign w:val="center"/>
            <w:hideMark/>
          </w:tcPr>
          <w:p w14:paraId="549D2888" w14:textId="74893755"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167,047 </w:t>
            </w:r>
          </w:p>
        </w:tc>
        <w:tc>
          <w:tcPr>
            <w:tcW w:w="2532" w:type="dxa"/>
            <w:shd w:val="clear" w:color="auto" w:fill="auto"/>
            <w:vAlign w:val="center"/>
            <w:hideMark/>
          </w:tcPr>
          <w:p w14:paraId="2C28BDC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167,047</w:t>
            </w:r>
          </w:p>
        </w:tc>
        <w:tc>
          <w:tcPr>
            <w:tcW w:w="2131" w:type="dxa"/>
            <w:shd w:val="clear" w:color="auto" w:fill="auto"/>
            <w:vAlign w:val="center"/>
            <w:hideMark/>
          </w:tcPr>
          <w:p w14:paraId="3205430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0EE82A53" w14:textId="7AB3BFE3"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548F8255" w14:textId="77777777" w:rsidTr="007843A3">
        <w:trPr>
          <w:trHeight w:val="288"/>
        </w:trPr>
        <w:tc>
          <w:tcPr>
            <w:tcW w:w="2187" w:type="dxa"/>
            <w:shd w:val="clear" w:color="auto" w:fill="auto"/>
            <w:vAlign w:val="center"/>
            <w:hideMark/>
          </w:tcPr>
          <w:p w14:paraId="3D23E64F"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1.6.3. Measure</w:t>
            </w:r>
          </w:p>
        </w:tc>
        <w:tc>
          <w:tcPr>
            <w:tcW w:w="1561" w:type="dxa"/>
            <w:shd w:val="clear" w:color="auto" w:fill="auto"/>
            <w:vAlign w:val="center"/>
            <w:hideMark/>
          </w:tcPr>
          <w:p w14:paraId="25473DDE"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w:t>
            </w:r>
          </w:p>
        </w:tc>
        <w:tc>
          <w:tcPr>
            <w:tcW w:w="2112" w:type="dxa"/>
            <w:shd w:val="clear" w:color="auto" w:fill="auto"/>
            <w:vAlign w:val="center"/>
            <w:hideMark/>
          </w:tcPr>
          <w:p w14:paraId="391D26F8" w14:textId="4F1CA9C5"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44,460 </w:t>
            </w:r>
          </w:p>
        </w:tc>
        <w:tc>
          <w:tcPr>
            <w:tcW w:w="2532" w:type="dxa"/>
            <w:shd w:val="clear" w:color="auto" w:fill="auto"/>
            <w:vAlign w:val="center"/>
            <w:hideMark/>
          </w:tcPr>
          <w:p w14:paraId="2E6CD03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44,460</w:t>
            </w:r>
          </w:p>
        </w:tc>
        <w:tc>
          <w:tcPr>
            <w:tcW w:w="2131" w:type="dxa"/>
            <w:shd w:val="clear" w:color="auto" w:fill="auto"/>
            <w:vAlign w:val="center"/>
            <w:hideMark/>
          </w:tcPr>
          <w:p w14:paraId="1F7C727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0440510B" w14:textId="010567BC"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1644208D" w14:textId="77777777" w:rsidTr="007843A3">
        <w:trPr>
          <w:trHeight w:val="288"/>
        </w:trPr>
        <w:tc>
          <w:tcPr>
            <w:tcW w:w="2187" w:type="dxa"/>
            <w:shd w:val="clear" w:color="auto" w:fill="auto"/>
            <w:vAlign w:val="center"/>
            <w:hideMark/>
          </w:tcPr>
          <w:p w14:paraId="2087D06C"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1.6.4. Measure</w:t>
            </w:r>
          </w:p>
        </w:tc>
        <w:tc>
          <w:tcPr>
            <w:tcW w:w="1561" w:type="dxa"/>
            <w:shd w:val="clear" w:color="auto" w:fill="auto"/>
            <w:vAlign w:val="center"/>
            <w:hideMark/>
          </w:tcPr>
          <w:p w14:paraId="15537509"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4%</w:t>
            </w:r>
          </w:p>
        </w:tc>
        <w:tc>
          <w:tcPr>
            <w:tcW w:w="2112" w:type="dxa"/>
            <w:shd w:val="clear" w:color="auto" w:fill="auto"/>
            <w:vAlign w:val="center"/>
            <w:hideMark/>
          </w:tcPr>
          <w:p w14:paraId="3DBD9DC8" w14:textId="19A9C801"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21,261 </w:t>
            </w:r>
          </w:p>
        </w:tc>
        <w:tc>
          <w:tcPr>
            <w:tcW w:w="2532" w:type="dxa"/>
            <w:shd w:val="clear" w:color="auto" w:fill="auto"/>
            <w:vAlign w:val="center"/>
            <w:hideMark/>
          </w:tcPr>
          <w:p w14:paraId="2E5ACE6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21,261</w:t>
            </w:r>
          </w:p>
        </w:tc>
        <w:tc>
          <w:tcPr>
            <w:tcW w:w="2131" w:type="dxa"/>
            <w:shd w:val="clear" w:color="auto" w:fill="auto"/>
            <w:vAlign w:val="center"/>
            <w:hideMark/>
          </w:tcPr>
          <w:p w14:paraId="6CAC5F7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2BD643B9" w14:textId="2E82F2CD"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63CC8AA2" w14:textId="77777777" w:rsidTr="00747917">
        <w:trPr>
          <w:trHeight w:val="639"/>
        </w:trPr>
        <w:tc>
          <w:tcPr>
            <w:tcW w:w="2187" w:type="dxa"/>
            <w:shd w:val="clear" w:color="auto" w:fill="009D73"/>
            <w:vAlign w:val="center"/>
            <w:hideMark/>
          </w:tcPr>
          <w:p w14:paraId="4EA184BC"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Waste Management</w:t>
            </w:r>
          </w:p>
        </w:tc>
        <w:tc>
          <w:tcPr>
            <w:tcW w:w="1561" w:type="dxa"/>
            <w:shd w:val="clear" w:color="auto" w:fill="009D73"/>
            <w:vAlign w:val="center"/>
            <w:hideMark/>
          </w:tcPr>
          <w:p w14:paraId="256DED07"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w:t>
            </w:r>
          </w:p>
        </w:tc>
        <w:tc>
          <w:tcPr>
            <w:tcW w:w="2112" w:type="dxa"/>
            <w:shd w:val="clear" w:color="auto" w:fill="009D73"/>
            <w:vAlign w:val="center"/>
            <w:hideMark/>
          </w:tcPr>
          <w:p w14:paraId="052AD906"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659,951,069</w:t>
            </w:r>
          </w:p>
        </w:tc>
        <w:tc>
          <w:tcPr>
            <w:tcW w:w="2532" w:type="dxa"/>
            <w:shd w:val="clear" w:color="auto" w:fill="009D73"/>
            <w:vAlign w:val="center"/>
            <w:hideMark/>
          </w:tcPr>
          <w:p w14:paraId="57D4667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69,064,950</w:t>
            </w:r>
          </w:p>
        </w:tc>
        <w:tc>
          <w:tcPr>
            <w:tcW w:w="2131" w:type="dxa"/>
            <w:shd w:val="clear" w:color="auto" w:fill="009D73"/>
            <w:vAlign w:val="center"/>
            <w:hideMark/>
          </w:tcPr>
          <w:p w14:paraId="0A6CA2C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590,886,120</w:t>
            </w:r>
          </w:p>
        </w:tc>
        <w:tc>
          <w:tcPr>
            <w:tcW w:w="2955" w:type="dxa"/>
            <w:shd w:val="clear" w:color="auto" w:fill="009D73"/>
            <w:vAlign w:val="center"/>
            <w:hideMark/>
          </w:tcPr>
          <w:p w14:paraId="04AE60B4"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1C66C3B3" w14:textId="77777777" w:rsidTr="00747917">
        <w:trPr>
          <w:trHeight w:val="288"/>
        </w:trPr>
        <w:tc>
          <w:tcPr>
            <w:tcW w:w="2187" w:type="dxa"/>
            <w:shd w:val="clear" w:color="auto" w:fill="00D29A"/>
            <w:vAlign w:val="center"/>
            <w:hideMark/>
          </w:tcPr>
          <w:p w14:paraId="38EF49BC"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2.1. Priority </w:t>
            </w:r>
          </w:p>
        </w:tc>
        <w:tc>
          <w:tcPr>
            <w:tcW w:w="1561" w:type="dxa"/>
            <w:shd w:val="clear" w:color="auto" w:fill="00D29A"/>
            <w:vAlign w:val="center"/>
            <w:hideMark/>
          </w:tcPr>
          <w:p w14:paraId="4EEC85D1"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0.2%</w:t>
            </w:r>
          </w:p>
        </w:tc>
        <w:tc>
          <w:tcPr>
            <w:tcW w:w="2112" w:type="dxa"/>
            <w:shd w:val="clear" w:color="auto" w:fill="00D29A"/>
            <w:vAlign w:val="center"/>
            <w:hideMark/>
          </w:tcPr>
          <w:p w14:paraId="62D67891"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1,489,703</w:t>
            </w:r>
          </w:p>
        </w:tc>
        <w:tc>
          <w:tcPr>
            <w:tcW w:w="2532" w:type="dxa"/>
            <w:shd w:val="clear" w:color="auto" w:fill="00D29A"/>
            <w:vAlign w:val="center"/>
            <w:hideMark/>
          </w:tcPr>
          <w:p w14:paraId="58DC441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297,941</w:t>
            </w:r>
          </w:p>
        </w:tc>
        <w:tc>
          <w:tcPr>
            <w:tcW w:w="2131" w:type="dxa"/>
            <w:shd w:val="clear" w:color="auto" w:fill="00D29A"/>
            <w:vAlign w:val="center"/>
            <w:hideMark/>
          </w:tcPr>
          <w:p w14:paraId="152E0CE4"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1,191,763</w:t>
            </w:r>
          </w:p>
        </w:tc>
        <w:tc>
          <w:tcPr>
            <w:tcW w:w="2955" w:type="dxa"/>
            <w:shd w:val="clear" w:color="auto" w:fill="00D29A"/>
            <w:vAlign w:val="center"/>
            <w:hideMark/>
          </w:tcPr>
          <w:p w14:paraId="22B14013"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7509F352" w14:textId="77777777" w:rsidTr="007843A3">
        <w:trPr>
          <w:trHeight w:val="480"/>
        </w:trPr>
        <w:tc>
          <w:tcPr>
            <w:tcW w:w="2187" w:type="dxa"/>
            <w:shd w:val="clear" w:color="auto" w:fill="auto"/>
            <w:vAlign w:val="center"/>
            <w:hideMark/>
          </w:tcPr>
          <w:p w14:paraId="2D6E6EBD"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2.1.1. Measure</w:t>
            </w:r>
          </w:p>
        </w:tc>
        <w:tc>
          <w:tcPr>
            <w:tcW w:w="1561" w:type="dxa"/>
            <w:shd w:val="clear" w:color="auto" w:fill="auto"/>
            <w:vAlign w:val="center"/>
            <w:hideMark/>
          </w:tcPr>
          <w:p w14:paraId="009B11CB"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5806570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1,489,703</w:t>
            </w:r>
          </w:p>
        </w:tc>
        <w:tc>
          <w:tcPr>
            <w:tcW w:w="2532" w:type="dxa"/>
            <w:shd w:val="clear" w:color="auto" w:fill="auto"/>
            <w:vAlign w:val="center"/>
            <w:hideMark/>
          </w:tcPr>
          <w:p w14:paraId="0644E5C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297,941</w:t>
            </w:r>
          </w:p>
        </w:tc>
        <w:tc>
          <w:tcPr>
            <w:tcW w:w="2131" w:type="dxa"/>
            <w:shd w:val="clear" w:color="auto" w:fill="auto"/>
            <w:vAlign w:val="center"/>
            <w:hideMark/>
          </w:tcPr>
          <w:p w14:paraId="1C2F165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1,191,763</w:t>
            </w:r>
          </w:p>
        </w:tc>
        <w:tc>
          <w:tcPr>
            <w:tcW w:w="2955" w:type="dxa"/>
            <w:shd w:val="clear" w:color="auto" w:fill="auto"/>
            <w:vAlign w:val="center"/>
            <w:hideMark/>
          </w:tcPr>
          <w:p w14:paraId="55792A20" w14:textId="2F1331C1"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019FB8DD" w14:textId="77777777" w:rsidTr="00747917">
        <w:trPr>
          <w:trHeight w:val="288"/>
        </w:trPr>
        <w:tc>
          <w:tcPr>
            <w:tcW w:w="2187" w:type="dxa"/>
            <w:shd w:val="clear" w:color="auto" w:fill="00D29A"/>
            <w:vAlign w:val="center"/>
            <w:hideMark/>
          </w:tcPr>
          <w:p w14:paraId="19C89783"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2.2. Priority </w:t>
            </w:r>
          </w:p>
        </w:tc>
        <w:tc>
          <w:tcPr>
            <w:tcW w:w="1561" w:type="dxa"/>
            <w:shd w:val="clear" w:color="auto" w:fill="00D29A"/>
            <w:vAlign w:val="center"/>
            <w:hideMark/>
          </w:tcPr>
          <w:p w14:paraId="3F6946D8"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0.3%</w:t>
            </w:r>
          </w:p>
        </w:tc>
        <w:tc>
          <w:tcPr>
            <w:tcW w:w="2112" w:type="dxa"/>
            <w:shd w:val="clear" w:color="auto" w:fill="00D29A"/>
            <w:vAlign w:val="center"/>
            <w:hideMark/>
          </w:tcPr>
          <w:p w14:paraId="44CFA688"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2,208,120</w:t>
            </w:r>
          </w:p>
        </w:tc>
        <w:tc>
          <w:tcPr>
            <w:tcW w:w="2532" w:type="dxa"/>
            <w:shd w:val="clear" w:color="auto" w:fill="00D29A"/>
            <w:vAlign w:val="center"/>
            <w:hideMark/>
          </w:tcPr>
          <w:p w14:paraId="6D3495FB"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441,624</w:t>
            </w:r>
          </w:p>
        </w:tc>
        <w:tc>
          <w:tcPr>
            <w:tcW w:w="2131" w:type="dxa"/>
            <w:shd w:val="clear" w:color="auto" w:fill="00D29A"/>
            <w:vAlign w:val="center"/>
            <w:hideMark/>
          </w:tcPr>
          <w:p w14:paraId="156AB193"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1,766,496</w:t>
            </w:r>
          </w:p>
        </w:tc>
        <w:tc>
          <w:tcPr>
            <w:tcW w:w="2955" w:type="dxa"/>
            <w:shd w:val="clear" w:color="auto" w:fill="00D29A"/>
            <w:vAlign w:val="center"/>
            <w:hideMark/>
          </w:tcPr>
          <w:p w14:paraId="392B23C1"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565DD5FB" w14:textId="77777777" w:rsidTr="007843A3">
        <w:trPr>
          <w:trHeight w:val="480"/>
        </w:trPr>
        <w:tc>
          <w:tcPr>
            <w:tcW w:w="2187" w:type="dxa"/>
            <w:shd w:val="clear" w:color="auto" w:fill="auto"/>
            <w:vAlign w:val="center"/>
            <w:hideMark/>
          </w:tcPr>
          <w:p w14:paraId="6783B66C"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2.2.1. Measure</w:t>
            </w:r>
          </w:p>
        </w:tc>
        <w:tc>
          <w:tcPr>
            <w:tcW w:w="1561" w:type="dxa"/>
            <w:shd w:val="clear" w:color="auto" w:fill="auto"/>
            <w:vAlign w:val="center"/>
            <w:hideMark/>
          </w:tcPr>
          <w:p w14:paraId="42FA39A8"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1482C0F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2,208,120</w:t>
            </w:r>
          </w:p>
        </w:tc>
        <w:tc>
          <w:tcPr>
            <w:tcW w:w="2532" w:type="dxa"/>
            <w:shd w:val="clear" w:color="auto" w:fill="auto"/>
            <w:vAlign w:val="center"/>
            <w:hideMark/>
          </w:tcPr>
          <w:p w14:paraId="7731A2E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441,624</w:t>
            </w:r>
          </w:p>
        </w:tc>
        <w:tc>
          <w:tcPr>
            <w:tcW w:w="2131" w:type="dxa"/>
            <w:shd w:val="clear" w:color="auto" w:fill="auto"/>
            <w:vAlign w:val="center"/>
            <w:hideMark/>
          </w:tcPr>
          <w:p w14:paraId="4642D28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1,766,496</w:t>
            </w:r>
          </w:p>
        </w:tc>
        <w:tc>
          <w:tcPr>
            <w:tcW w:w="2955" w:type="dxa"/>
            <w:shd w:val="clear" w:color="auto" w:fill="auto"/>
            <w:vAlign w:val="center"/>
            <w:hideMark/>
          </w:tcPr>
          <w:p w14:paraId="0C936CD2" w14:textId="5D7B6512"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24313A75" w14:textId="77777777" w:rsidTr="00747917">
        <w:trPr>
          <w:trHeight w:val="288"/>
        </w:trPr>
        <w:tc>
          <w:tcPr>
            <w:tcW w:w="2187" w:type="dxa"/>
            <w:shd w:val="clear" w:color="auto" w:fill="00D29A"/>
            <w:vAlign w:val="center"/>
            <w:hideMark/>
          </w:tcPr>
          <w:p w14:paraId="68E6EBBA"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2.3. Priority </w:t>
            </w:r>
          </w:p>
        </w:tc>
        <w:tc>
          <w:tcPr>
            <w:tcW w:w="1561" w:type="dxa"/>
            <w:shd w:val="clear" w:color="auto" w:fill="00D29A"/>
            <w:vAlign w:val="center"/>
            <w:hideMark/>
          </w:tcPr>
          <w:p w14:paraId="7DEE2DD6"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0.01%</w:t>
            </w:r>
          </w:p>
        </w:tc>
        <w:tc>
          <w:tcPr>
            <w:tcW w:w="2112" w:type="dxa"/>
            <w:shd w:val="clear" w:color="auto" w:fill="00D29A"/>
            <w:vAlign w:val="center"/>
            <w:hideMark/>
          </w:tcPr>
          <w:p w14:paraId="356160D5"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58,675</w:t>
            </w:r>
          </w:p>
        </w:tc>
        <w:tc>
          <w:tcPr>
            <w:tcW w:w="2532" w:type="dxa"/>
            <w:shd w:val="clear" w:color="auto" w:fill="00D29A"/>
            <w:vAlign w:val="center"/>
            <w:hideMark/>
          </w:tcPr>
          <w:p w14:paraId="73CC890B"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58,675</w:t>
            </w:r>
          </w:p>
        </w:tc>
        <w:tc>
          <w:tcPr>
            <w:tcW w:w="2131" w:type="dxa"/>
            <w:shd w:val="clear" w:color="auto" w:fill="00D29A"/>
            <w:vAlign w:val="center"/>
            <w:hideMark/>
          </w:tcPr>
          <w:p w14:paraId="08B257A5"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w:t>
            </w:r>
          </w:p>
        </w:tc>
        <w:tc>
          <w:tcPr>
            <w:tcW w:w="2955" w:type="dxa"/>
            <w:shd w:val="clear" w:color="auto" w:fill="00D29A"/>
            <w:vAlign w:val="center"/>
            <w:hideMark/>
          </w:tcPr>
          <w:p w14:paraId="3CD9171B"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262DF939" w14:textId="77777777" w:rsidTr="007843A3">
        <w:trPr>
          <w:trHeight w:val="288"/>
        </w:trPr>
        <w:tc>
          <w:tcPr>
            <w:tcW w:w="2187" w:type="dxa"/>
            <w:shd w:val="clear" w:color="auto" w:fill="auto"/>
            <w:vAlign w:val="center"/>
            <w:hideMark/>
          </w:tcPr>
          <w:p w14:paraId="0F9C6583"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2.3.1. Measure</w:t>
            </w:r>
          </w:p>
        </w:tc>
        <w:tc>
          <w:tcPr>
            <w:tcW w:w="1561" w:type="dxa"/>
            <w:shd w:val="clear" w:color="auto" w:fill="auto"/>
            <w:vAlign w:val="center"/>
            <w:hideMark/>
          </w:tcPr>
          <w:p w14:paraId="7DEEFF3E"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54C2F79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58,675</w:t>
            </w:r>
          </w:p>
        </w:tc>
        <w:tc>
          <w:tcPr>
            <w:tcW w:w="2532" w:type="dxa"/>
            <w:shd w:val="clear" w:color="auto" w:fill="auto"/>
            <w:vAlign w:val="center"/>
            <w:hideMark/>
          </w:tcPr>
          <w:p w14:paraId="56A2393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58,675</w:t>
            </w:r>
          </w:p>
        </w:tc>
        <w:tc>
          <w:tcPr>
            <w:tcW w:w="2131" w:type="dxa"/>
            <w:shd w:val="clear" w:color="auto" w:fill="auto"/>
            <w:vAlign w:val="center"/>
            <w:hideMark/>
          </w:tcPr>
          <w:p w14:paraId="287AFF5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11A2F4E4" w14:textId="18D445B9"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654120A5" w14:textId="77777777" w:rsidTr="00747917">
        <w:trPr>
          <w:trHeight w:val="288"/>
        </w:trPr>
        <w:tc>
          <w:tcPr>
            <w:tcW w:w="2187" w:type="dxa"/>
            <w:shd w:val="clear" w:color="auto" w:fill="00D29A"/>
            <w:vAlign w:val="center"/>
            <w:hideMark/>
          </w:tcPr>
          <w:p w14:paraId="4CBEB6B4"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2.4. Priority </w:t>
            </w:r>
          </w:p>
        </w:tc>
        <w:tc>
          <w:tcPr>
            <w:tcW w:w="1561" w:type="dxa"/>
            <w:shd w:val="clear" w:color="auto" w:fill="00D29A"/>
            <w:vAlign w:val="center"/>
            <w:hideMark/>
          </w:tcPr>
          <w:p w14:paraId="4B73FDAB"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81%</w:t>
            </w:r>
          </w:p>
        </w:tc>
        <w:tc>
          <w:tcPr>
            <w:tcW w:w="2112" w:type="dxa"/>
            <w:shd w:val="clear" w:color="auto" w:fill="00D29A"/>
            <w:vAlign w:val="center"/>
            <w:hideMark/>
          </w:tcPr>
          <w:p w14:paraId="3BD760A3"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532,630,874</w:t>
            </w:r>
          </w:p>
        </w:tc>
        <w:tc>
          <w:tcPr>
            <w:tcW w:w="2532" w:type="dxa"/>
            <w:shd w:val="clear" w:color="auto" w:fill="00D29A"/>
            <w:vAlign w:val="center"/>
            <w:hideMark/>
          </w:tcPr>
          <w:p w14:paraId="50A32D0C"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53,816,556</w:t>
            </w:r>
          </w:p>
        </w:tc>
        <w:tc>
          <w:tcPr>
            <w:tcW w:w="2131" w:type="dxa"/>
            <w:shd w:val="clear" w:color="auto" w:fill="00D29A"/>
            <w:vAlign w:val="center"/>
            <w:hideMark/>
          </w:tcPr>
          <w:p w14:paraId="1F040B6A"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478,814,318</w:t>
            </w:r>
          </w:p>
        </w:tc>
        <w:tc>
          <w:tcPr>
            <w:tcW w:w="2955" w:type="dxa"/>
            <w:shd w:val="clear" w:color="auto" w:fill="00D29A"/>
            <w:vAlign w:val="center"/>
            <w:hideMark/>
          </w:tcPr>
          <w:p w14:paraId="7936A41E"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6B95D56F" w14:textId="77777777" w:rsidTr="007843A3">
        <w:trPr>
          <w:trHeight w:val="720"/>
        </w:trPr>
        <w:tc>
          <w:tcPr>
            <w:tcW w:w="2187" w:type="dxa"/>
            <w:shd w:val="clear" w:color="auto" w:fill="auto"/>
            <w:vAlign w:val="center"/>
            <w:hideMark/>
          </w:tcPr>
          <w:p w14:paraId="0E8E4D7C"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2.4.1. Measure</w:t>
            </w:r>
          </w:p>
        </w:tc>
        <w:tc>
          <w:tcPr>
            <w:tcW w:w="1561" w:type="dxa"/>
            <w:shd w:val="clear" w:color="auto" w:fill="auto"/>
            <w:vAlign w:val="center"/>
            <w:hideMark/>
          </w:tcPr>
          <w:p w14:paraId="043F44F9"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0.2%</w:t>
            </w:r>
          </w:p>
        </w:tc>
        <w:tc>
          <w:tcPr>
            <w:tcW w:w="2112" w:type="dxa"/>
            <w:shd w:val="clear" w:color="auto" w:fill="auto"/>
            <w:vAlign w:val="center"/>
            <w:hideMark/>
          </w:tcPr>
          <w:p w14:paraId="0A45BD6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813,840</w:t>
            </w:r>
          </w:p>
        </w:tc>
        <w:tc>
          <w:tcPr>
            <w:tcW w:w="2532" w:type="dxa"/>
            <w:shd w:val="clear" w:color="auto" w:fill="auto"/>
            <w:vAlign w:val="center"/>
            <w:hideMark/>
          </w:tcPr>
          <w:p w14:paraId="307FF40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162,768</w:t>
            </w:r>
          </w:p>
        </w:tc>
        <w:tc>
          <w:tcPr>
            <w:tcW w:w="2131" w:type="dxa"/>
            <w:shd w:val="clear" w:color="auto" w:fill="auto"/>
            <w:vAlign w:val="center"/>
            <w:hideMark/>
          </w:tcPr>
          <w:p w14:paraId="37C29C8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651,072</w:t>
            </w:r>
          </w:p>
        </w:tc>
        <w:tc>
          <w:tcPr>
            <w:tcW w:w="2955" w:type="dxa"/>
            <w:shd w:val="clear" w:color="auto" w:fill="auto"/>
            <w:vAlign w:val="center"/>
            <w:hideMark/>
          </w:tcPr>
          <w:p w14:paraId="3FFC6A12" w14:textId="2C4DD3A8"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28A2C0B1" w14:textId="77777777" w:rsidTr="007843A3">
        <w:trPr>
          <w:trHeight w:val="720"/>
        </w:trPr>
        <w:tc>
          <w:tcPr>
            <w:tcW w:w="2187" w:type="dxa"/>
            <w:shd w:val="clear" w:color="auto" w:fill="auto"/>
            <w:vAlign w:val="center"/>
            <w:hideMark/>
          </w:tcPr>
          <w:p w14:paraId="6E29F9DC"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2.4.2. Measure</w:t>
            </w:r>
          </w:p>
        </w:tc>
        <w:tc>
          <w:tcPr>
            <w:tcW w:w="1561" w:type="dxa"/>
            <w:shd w:val="clear" w:color="auto" w:fill="auto"/>
            <w:vAlign w:val="center"/>
            <w:hideMark/>
          </w:tcPr>
          <w:p w14:paraId="5B63548C"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99%</w:t>
            </w:r>
          </w:p>
        </w:tc>
        <w:tc>
          <w:tcPr>
            <w:tcW w:w="2112" w:type="dxa"/>
            <w:shd w:val="clear" w:color="auto" w:fill="auto"/>
            <w:vAlign w:val="center"/>
            <w:hideMark/>
          </w:tcPr>
          <w:p w14:paraId="0CAF60C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527,096,185</w:t>
            </w:r>
          </w:p>
        </w:tc>
        <w:tc>
          <w:tcPr>
            <w:tcW w:w="2532" w:type="dxa"/>
            <w:shd w:val="clear" w:color="auto" w:fill="auto"/>
            <w:vAlign w:val="center"/>
            <w:hideMark/>
          </w:tcPr>
          <w:p w14:paraId="3F210EB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52,709,619</w:t>
            </w:r>
          </w:p>
        </w:tc>
        <w:tc>
          <w:tcPr>
            <w:tcW w:w="2131" w:type="dxa"/>
            <w:shd w:val="clear" w:color="auto" w:fill="auto"/>
            <w:vAlign w:val="center"/>
            <w:hideMark/>
          </w:tcPr>
          <w:p w14:paraId="723F049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474,386,567</w:t>
            </w:r>
          </w:p>
        </w:tc>
        <w:tc>
          <w:tcPr>
            <w:tcW w:w="2955" w:type="dxa"/>
            <w:shd w:val="clear" w:color="auto" w:fill="auto"/>
            <w:vAlign w:val="center"/>
            <w:hideMark/>
          </w:tcPr>
          <w:p w14:paraId="76A0A4FE" w14:textId="474B5B1D"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095CAC" w:rsidRPr="007C4D65">
              <w:rPr>
                <w:rFonts w:asciiTheme="minorHAnsi" w:hAnsiTheme="minorHAnsi" w:cstheme="minorHAnsi"/>
                <w:b/>
                <w:color w:val="000000"/>
                <w:sz w:val="18"/>
              </w:rPr>
              <w:t xml:space="preserve">, </w:t>
            </w:r>
            <w:proofErr w:type="gramStart"/>
            <w:r w:rsidR="00095CAC" w:rsidRPr="007C4D65">
              <w:rPr>
                <w:rFonts w:asciiTheme="minorHAnsi" w:hAnsiTheme="minorHAnsi" w:cstheme="minorHAnsi"/>
                <w:b/>
                <w:color w:val="000000"/>
                <w:sz w:val="18"/>
              </w:rPr>
              <w:t xml:space="preserve">Loans  </w:t>
            </w:r>
            <w:r w:rsidR="007843A3" w:rsidRPr="007C4D65">
              <w:rPr>
                <w:rFonts w:asciiTheme="minorHAnsi" w:hAnsiTheme="minorHAnsi" w:cstheme="minorHAnsi"/>
                <w:b/>
                <w:color w:val="000000"/>
                <w:sz w:val="18"/>
              </w:rPr>
              <w:t>,</w:t>
            </w:r>
            <w:proofErr w:type="gramEnd"/>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72DFD574" w14:textId="77777777" w:rsidTr="007843A3">
        <w:trPr>
          <w:trHeight w:val="720"/>
        </w:trPr>
        <w:tc>
          <w:tcPr>
            <w:tcW w:w="2187" w:type="dxa"/>
            <w:shd w:val="clear" w:color="auto" w:fill="auto"/>
            <w:vAlign w:val="center"/>
            <w:hideMark/>
          </w:tcPr>
          <w:p w14:paraId="06C71248"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2.4.3. Measure</w:t>
            </w:r>
          </w:p>
        </w:tc>
        <w:tc>
          <w:tcPr>
            <w:tcW w:w="1561" w:type="dxa"/>
            <w:shd w:val="clear" w:color="auto" w:fill="auto"/>
            <w:vAlign w:val="center"/>
            <w:hideMark/>
          </w:tcPr>
          <w:p w14:paraId="1E150EAD"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0.9%</w:t>
            </w:r>
          </w:p>
        </w:tc>
        <w:tc>
          <w:tcPr>
            <w:tcW w:w="2112" w:type="dxa"/>
            <w:shd w:val="clear" w:color="auto" w:fill="auto"/>
            <w:vAlign w:val="center"/>
            <w:hideMark/>
          </w:tcPr>
          <w:p w14:paraId="28E0D75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4,720,850</w:t>
            </w:r>
          </w:p>
        </w:tc>
        <w:tc>
          <w:tcPr>
            <w:tcW w:w="2532" w:type="dxa"/>
            <w:shd w:val="clear" w:color="auto" w:fill="auto"/>
            <w:vAlign w:val="center"/>
            <w:hideMark/>
          </w:tcPr>
          <w:p w14:paraId="54B306C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944,170</w:t>
            </w:r>
          </w:p>
        </w:tc>
        <w:tc>
          <w:tcPr>
            <w:tcW w:w="2131" w:type="dxa"/>
            <w:shd w:val="clear" w:color="auto" w:fill="auto"/>
            <w:vAlign w:val="center"/>
            <w:hideMark/>
          </w:tcPr>
          <w:p w14:paraId="731864D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3,776,680</w:t>
            </w:r>
          </w:p>
        </w:tc>
        <w:tc>
          <w:tcPr>
            <w:tcW w:w="2955" w:type="dxa"/>
            <w:shd w:val="clear" w:color="auto" w:fill="auto"/>
            <w:vAlign w:val="center"/>
            <w:hideMark/>
          </w:tcPr>
          <w:p w14:paraId="09E0CCA5" w14:textId="4769CE3F"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095CAC" w:rsidRPr="007C4D65">
              <w:rPr>
                <w:rFonts w:asciiTheme="minorHAnsi" w:hAnsiTheme="minorHAnsi" w:cstheme="minorHAnsi"/>
                <w:b/>
                <w:color w:val="000000"/>
                <w:sz w:val="18"/>
              </w:rPr>
              <w:t>, Loans</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361A0329" w14:textId="77777777" w:rsidTr="00747917">
        <w:trPr>
          <w:trHeight w:val="288"/>
        </w:trPr>
        <w:tc>
          <w:tcPr>
            <w:tcW w:w="2187" w:type="dxa"/>
            <w:shd w:val="clear" w:color="auto" w:fill="00D29A"/>
            <w:vAlign w:val="center"/>
            <w:hideMark/>
          </w:tcPr>
          <w:p w14:paraId="100CB45C"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lastRenderedPageBreak/>
              <w:t xml:space="preserve">2.5. Priority </w:t>
            </w:r>
          </w:p>
        </w:tc>
        <w:tc>
          <w:tcPr>
            <w:tcW w:w="1561" w:type="dxa"/>
            <w:shd w:val="clear" w:color="auto" w:fill="00D29A"/>
            <w:vAlign w:val="center"/>
            <w:hideMark/>
          </w:tcPr>
          <w:p w14:paraId="526FF294"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16%</w:t>
            </w:r>
          </w:p>
        </w:tc>
        <w:tc>
          <w:tcPr>
            <w:tcW w:w="2112" w:type="dxa"/>
            <w:shd w:val="clear" w:color="auto" w:fill="00D29A"/>
            <w:vAlign w:val="center"/>
            <w:hideMark/>
          </w:tcPr>
          <w:p w14:paraId="2BBA0AB5"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102,469,678</w:t>
            </w:r>
          </w:p>
        </w:tc>
        <w:tc>
          <w:tcPr>
            <w:tcW w:w="2532" w:type="dxa"/>
            <w:shd w:val="clear" w:color="auto" w:fill="00D29A"/>
            <w:vAlign w:val="center"/>
            <w:hideMark/>
          </w:tcPr>
          <w:p w14:paraId="1B398DA9"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10,336,026</w:t>
            </w:r>
          </w:p>
        </w:tc>
        <w:tc>
          <w:tcPr>
            <w:tcW w:w="2131" w:type="dxa"/>
            <w:shd w:val="clear" w:color="auto" w:fill="00D29A"/>
            <w:vAlign w:val="center"/>
            <w:hideMark/>
          </w:tcPr>
          <w:p w14:paraId="09FC3FF3"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92,133,652</w:t>
            </w:r>
          </w:p>
        </w:tc>
        <w:tc>
          <w:tcPr>
            <w:tcW w:w="2955" w:type="dxa"/>
            <w:shd w:val="clear" w:color="auto" w:fill="00D29A"/>
            <w:vAlign w:val="center"/>
            <w:hideMark/>
          </w:tcPr>
          <w:p w14:paraId="2D2DFF8E"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772DF6FD" w14:textId="77777777" w:rsidTr="007843A3">
        <w:trPr>
          <w:trHeight w:val="720"/>
        </w:trPr>
        <w:tc>
          <w:tcPr>
            <w:tcW w:w="2187" w:type="dxa"/>
            <w:shd w:val="clear" w:color="auto" w:fill="auto"/>
            <w:vAlign w:val="center"/>
            <w:hideMark/>
          </w:tcPr>
          <w:p w14:paraId="1EF80421"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2.5.1. Measure</w:t>
            </w:r>
          </w:p>
        </w:tc>
        <w:tc>
          <w:tcPr>
            <w:tcW w:w="1561" w:type="dxa"/>
            <w:shd w:val="clear" w:color="auto" w:fill="auto"/>
            <w:vAlign w:val="center"/>
            <w:hideMark/>
          </w:tcPr>
          <w:p w14:paraId="2BC31D5D"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774A352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102,370,724</w:t>
            </w:r>
          </w:p>
        </w:tc>
        <w:tc>
          <w:tcPr>
            <w:tcW w:w="2532" w:type="dxa"/>
            <w:shd w:val="clear" w:color="auto" w:fill="auto"/>
            <w:vAlign w:val="center"/>
            <w:hideMark/>
          </w:tcPr>
          <w:p w14:paraId="74E6E89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10,237,072</w:t>
            </w:r>
          </w:p>
        </w:tc>
        <w:tc>
          <w:tcPr>
            <w:tcW w:w="2131" w:type="dxa"/>
            <w:shd w:val="clear" w:color="auto" w:fill="auto"/>
            <w:vAlign w:val="center"/>
            <w:hideMark/>
          </w:tcPr>
          <w:p w14:paraId="5976FD8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92,133,652</w:t>
            </w:r>
          </w:p>
        </w:tc>
        <w:tc>
          <w:tcPr>
            <w:tcW w:w="2955" w:type="dxa"/>
            <w:shd w:val="clear" w:color="auto" w:fill="auto"/>
            <w:vAlign w:val="center"/>
            <w:hideMark/>
          </w:tcPr>
          <w:p w14:paraId="44E998FC" w14:textId="224F5247"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095CAC" w:rsidRPr="007C4D65">
              <w:rPr>
                <w:rFonts w:asciiTheme="minorHAnsi" w:hAnsiTheme="minorHAnsi" w:cstheme="minorHAnsi"/>
                <w:b/>
                <w:color w:val="000000"/>
                <w:sz w:val="18"/>
              </w:rPr>
              <w:t>, Loans</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04BC3C8D" w14:textId="77777777" w:rsidTr="007843A3">
        <w:trPr>
          <w:trHeight w:val="288"/>
        </w:trPr>
        <w:tc>
          <w:tcPr>
            <w:tcW w:w="2187" w:type="dxa"/>
            <w:shd w:val="clear" w:color="auto" w:fill="auto"/>
            <w:vAlign w:val="center"/>
            <w:hideMark/>
          </w:tcPr>
          <w:p w14:paraId="396944BE"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2.5.2. Measure</w:t>
            </w:r>
          </w:p>
        </w:tc>
        <w:tc>
          <w:tcPr>
            <w:tcW w:w="1561" w:type="dxa"/>
            <w:shd w:val="clear" w:color="auto" w:fill="auto"/>
            <w:vAlign w:val="center"/>
            <w:hideMark/>
          </w:tcPr>
          <w:p w14:paraId="167EF82E"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0.1%</w:t>
            </w:r>
          </w:p>
        </w:tc>
        <w:tc>
          <w:tcPr>
            <w:tcW w:w="2112" w:type="dxa"/>
            <w:shd w:val="clear" w:color="auto" w:fill="auto"/>
            <w:vAlign w:val="center"/>
            <w:hideMark/>
          </w:tcPr>
          <w:p w14:paraId="2003B74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98,954</w:t>
            </w:r>
          </w:p>
        </w:tc>
        <w:tc>
          <w:tcPr>
            <w:tcW w:w="2532" w:type="dxa"/>
            <w:shd w:val="clear" w:color="auto" w:fill="auto"/>
            <w:vAlign w:val="center"/>
            <w:hideMark/>
          </w:tcPr>
          <w:p w14:paraId="499C06D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98,954</w:t>
            </w:r>
          </w:p>
        </w:tc>
        <w:tc>
          <w:tcPr>
            <w:tcW w:w="2131" w:type="dxa"/>
            <w:shd w:val="clear" w:color="auto" w:fill="auto"/>
            <w:vAlign w:val="center"/>
            <w:hideMark/>
          </w:tcPr>
          <w:p w14:paraId="01BE9E2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08C6EFCE" w14:textId="0B875B3B"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5E6028F2" w14:textId="77777777" w:rsidTr="00747917">
        <w:trPr>
          <w:trHeight w:val="288"/>
        </w:trPr>
        <w:tc>
          <w:tcPr>
            <w:tcW w:w="2187" w:type="dxa"/>
            <w:shd w:val="clear" w:color="auto" w:fill="00D29A"/>
            <w:vAlign w:val="center"/>
            <w:hideMark/>
          </w:tcPr>
          <w:p w14:paraId="446BA7E4"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2.6. Priority </w:t>
            </w:r>
          </w:p>
        </w:tc>
        <w:tc>
          <w:tcPr>
            <w:tcW w:w="1561" w:type="dxa"/>
            <w:shd w:val="clear" w:color="auto" w:fill="00D29A"/>
            <w:vAlign w:val="center"/>
            <w:hideMark/>
          </w:tcPr>
          <w:p w14:paraId="7114B848"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w:t>
            </w:r>
          </w:p>
        </w:tc>
        <w:tc>
          <w:tcPr>
            <w:tcW w:w="2112" w:type="dxa"/>
            <w:shd w:val="clear" w:color="auto" w:fill="00D29A"/>
            <w:vAlign w:val="center"/>
            <w:hideMark/>
          </w:tcPr>
          <w:p w14:paraId="42EE95EC"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20,047,258</w:t>
            </w:r>
          </w:p>
        </w:tc>
        <w:tc>
          <w:tcPr>
            <w:tcW w:w="2532" w:type="dxa"/>
            <w:shd w:val="clear" w:color="auto" w:fill="00D29A"/>
            <w:vAlign w:val="center"/>
            <w:hideMark/>
          </w:tcPr>
          <w:p w14:paraId="55FA4AA3"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4,009,452</w:t>
            </w:r>
          </w:p>
        </w:tc>
        <w:tc>
          <w:tcPr>
            <w:tcW w:w="2131" w:type="dxa"/>
            <w:shd w:val="clear" w:color="auto" w:fill="00D29A"/>
            <w:vAlign w:val="center"/>
            <w:hideMark/>
          </w:tcPr>
          <w:p w14:paraId="7E0E2920"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16,037,806</w:t>
            </w:r>
          </w:p>
        </w:tc>
        <w:tc>
          <w:tcPr>
            <w:tcW w:w="2955" w:type="dxa"/>
            <w:shd w:val="clear" w:color="auto" w:fill="00D29A"/>
            <w:vAlign w:val="center"/>
            <w:hideMark/>
          </w:tcPr>
          <w:p w14:paraId="004CAFA2"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7A3A4035" w14:textId="77777777" w:rsidTr="007843A3">
        <w:trPr>
          <w:trHeight w:val="720"/>
        </w:trPr>
        <w:tc>
          <w:tcPr>
            <w:tcW w:w="2187" w:type="dxa"/>
            <w:shd w:val="clear" w:color="auto" w:fill="auto"/>
            <w:vAlign w:val="center"/>
            <w:hideMark/>
          </w:tcPr>
          <w:p w14:paraId="2A0FC4C2"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2.6.1. Measure</w:t>
            </w:r>
          </w:p>
        </w:tc>
        <w:tc>
          <w:tcPr>
            <w:tcW w:w="1561" w:type="dxa"/>
            <w:shd w:val="clear" w:color="auto" w:fill="auto"/>
            <w:vAlign w:val="center"/>
            <w:hideMark/>
          </w:tcPr>
          <w:p w14:paraId="39FC014C"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13CA8AA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20,047,258</w:t>
            </w:r>
          </w:p>
        </w:tc>
        <w:tc>
          <w:tcPr>
            <w:tcW w:w="2532" w:type="dxa"/>
            <w:shd w:val="clear" w:color="auto" w:fill="auto"/>
            <w:vAlign w:val="center"/>
            <w:hideMark/>
          </w:tcPr>
          <w:p w14:paraId="5C357AB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w:t>
            </w:r>
            <w:r w:rsidRPr="007C4D65">
              <w:rPr>
                <w:rFonts w:asciiTheme="minorHAnsi" w:hAnsiTheme="minorHAnsi" w:cstheme="minorHAnsi"/>
                <w:b/>
                <w:color w:val="FFFFFF" w:themeColor="background1"/>
                <w:sz w:val="18"/>
              </w:rPr>
              <w:t>009</w:t>
            </w:r>
            <w:r w:rsidRPr="007C4D65">
              <w:rPr>
                <w:rFonts w:asciiTheme="minorHAnsi" w:hAnsiTheme="minorHAnsi" w:cstheme="minorHAnsi"/>
                <w:b/>
                <w:color w:val="000000"/>
                <w:sz w:val="18"/>
              </w:rPr>
              <w:t>.452</w:t>
            </w:r>
          </w:p>
        </w:tc>
        <w:tc>
          <w:tcPr>
            <w:tcW w:w="2131" w:type="dxa"/>
            <w:shd w:val="clear" w:color="auto" w:fill="auto"/>
            <w:vAlign w:val="center"/>
            <w:hideMark/>
          </w:tcPr>
          <w:p w14:paraId="0AB2713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16,037,806</w:t>
            </w:r>
          </w:p>
        </w:tc>
        <w:tc>
          <w:tcPr>
            <w:tcW w:w="2955" w:type="dxa"/>
            <w:shd w:val="clear" w:color="auto" w:fill="auto"/>
            <w:vAlign w:val="center"/>
            <w:hideMark/>
          </w:tcPr>
          <w:p w14:paraId="7AAEFD0F" w14:textId="581441C9"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58BD82F3" w14:textId="77777777" w:rsidTr="00747917">
        <w:trPr>
          <w:trHeight w:val="288"/>
        </w:trPr>
        <w:tc>
          <w:tcPr>
            <w:tcW w:w="2187" w:type="dxa"/>
            <w:shd w:val="clear" w:color="auto" w:fill="00D29A"/>
            <w:vAlign w:val="center"/>
            <w:hideMark/>
          </w:tcPr>
          <w:p w14:paraId="27BE2CE3"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2.7. Priority </w:t>
            </w:r>
          </w:p>
        </w:tc>
        <w:tc>
          <w:tcPr>
            <w:tcW w:w="1561" w:type="dxa"/>
            <w:shd w:val="clear" w:color="auto" w:fill="00D29A"/>
            <w:vAlign w:val="center"/>
            <w:hideMark/>
          </w:tcPr>
          <w:p w14:paraId="45CCCF37"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0.2%</w:t>
            </w:r>
          </w:p>
        </w:tc>
        <w:tc>
          <w:tcPr>
            <w:tcW w:w="2112" w:type="dxa"/>
            <w:shd w:val="clear" w:color="auto" w:fill="00D29A"/>
            <w:vAlign w:val="center"/>
            <w:hideMark/>
          </w:tcPr>
          <w:p w14:paraId="5D364726"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1,046,762</w:t>
            </w:r>
          </w:p>
        </w:tc>
        <w:tc>
          <w:tcPr>
            <w:tcW w:w="2532" w:type="dxa"/>
            <w:shd w:val="clear" w:color="auto" w:fill="00D29A"/>
            <w:vAlign w:val="center"/>
            <w:hideMark/>
          </w:tcPr>
          <w:p w14:paraId="0654524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104,676</w:t>
            </w:r>
          </w:p>
        </w:tc>
        <w:tc>
          <w:tcPr>
            <w:tcW w:w="2131" w:type="dxa"/>
            <w:shd w:val="clear" w:color="auto" w:fill="00D29A"/>
            <w:vAlign w:val="center"/>
            <w:hideMark/>
          </w:tcPr>
          <w:p w14:paraId="6BE6111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942,086</w:t>
            </w:r>
          </w:p>
        </w:tc>
        <w:tc>
          <w:tcPr>
            <w:tcW w:w="2955" w:type="dxa"/>
            <w:shd w:val="clear" w:color="auto" w:fill="00D29A"/>
            <w:vAlign w:val="center"/>
            <w:hideMark/>
          </w:tcPr>
          <w:p w14:paraId="742B67C3"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0851D8F9" w14:textId="77777777" w:rsidTr="007843A3">
        <w:trPr>
          <w:trHeight w:val="480"/>
        </w:trPr>
        <w:tc>
          <w:tcPr>
            <w:tcW w:w="2187" w:type="dxa"/>
            <w:shd w:val="clear" w:color="auto" w:fill="auto"/>
            <w:vAlign w:val="center"/>
            <w:hideMark/>
          </w:tcPr>
          <w:p w14:paraId="795578F1"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2.7.1. Measure</w:t>
            </w:r>
          </w:p>
        </w:tc>
        <w:tc>
          <w:tcPr>
            <w:tcW w:w="1561" w:type="dxa"/>
            <w:shd w:val="clear" w:color="auto" w:fill="auto"/>
            <w:vAlign w:val="center"/>
            <w:hideMark/>
          </w:tcPr>
          <w:p w14:paraId="5F0DBF7E"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2D782E0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1,046,762</w:t>
            </w:r>
          </w:p>
        </w:tc>
        <w:tc>
          <w:tcPr>
            <w:tcW w:w="2532" w:type="dxa"/>
            <w:shd w:val="clear" w:color="auto" w:fill="auto"/>
            <w:vAlign w:val="center"/>
            <w:hideMark/>
          </w:tcPr>
          <w:p w14:paraId="768B641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104,676</w:t>
            </w:r>
          </w:p>
        </w:tc>
        <w:tc>
          <w:tcPr>
            <w:tcW w:w="2131" w:type="dxa"/>
            <w:shd w:val="clear" w:color="auto" w:fill="auto"/>
            <w:vAlign w:val="center"/>
            <w:hideMark/>
          </w:tcPr>
          <w:p w14:paraId="5C8AB49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942,086</w:t>
            </w:r>
          </w:p>
        </w:tc>
        <w:tc>
          <w:tcPr>
            <w:tcW w:w="2955" w:type="dxa"/>
            <w:shd w:val="clear" w:color="auto" w:fill="auto"/>
            <w:vAlign w:val="center"/>
            <w:hideMark/>
          </w:tcPr>
          <w:p w14:paraId="50400683" w14:textId="1C2CAD9D"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7AAC8C4B" w14:textId="77777777" w:rsidTr="00747917">
        <w:trPr>
          <w:trHeight w:val="624"/>
        </w:trPr>
        <w:tc>
          <w:tcPr>
            <w:tcW w:w="2187" w:type="dxa"/>
            <w:shd w:val="clear" w:color="auto" w:fill="009D73"/>
            <w:vAlign w:val="center"/>
            <w:hideMark/>
          </w:tcPr>
          <w:p w14:paraId="46FD8599"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Biodiversity and Nature Conservation</w:t>
            </w:r>
          </w:p>
        </w:tc>
        <w:tc>
          <w:tcPr>
            <w:tcW w:w="1561" w:type="dxa"/>
            <w:shd w:val="clear" w:color="auto" w:fill="009D73"/>
            <w:vAlign w:val="center"/>
            <w:hideMark/>
          </w:tcPr>
          <w:p w14:paraId="06FB20D1"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0.5%</w:t>
            </w:r>
          </w:p>
        </w:tc>
        <w:tc>
          <w:tcPr>
            <w:tcW w:w="2112" w:type="dxa"/>
            <w:shd w:val="clear" w:color="auto" w:fill="009D73"/>
            <w:vAlign w:val="center"/>
            <w:hideMark/>
          </w:tcPr>
          <w:p w14:paraId="6B26AA6B"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53,808,847</w:t>
            </w:r>
          </w:p>
        </w:tc>
        <w:tc>
          <w:tcPr>
            <w:tcW w:w="2532" w:type="dxa"/>
            <w:shd w:val="clear" w:color="auto" w:fill="009D73"/>
            <w:vAlign w:val="center"/>
            <w:hideMark/>
          </w:tcPr>
          <w:p w14:paraId="4564C96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10,180,384</w:t>
            </w:r>
          </w:p>
        </w:tc>
        <w:tc>
          <w:tcPr>
            <w:tcW w:w="2131" w:type="dxa"/>
            <w:shd w:val="clear" w:color="auto" w:fill="009D73"/>
            <w:vAlign w:val="center"/>
            <w:hideMark/>
          </w:tcPr>
          <w:p w14:paraId="46902C7F"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43,628,464</w:t>
            </w:r>
          </w:p>
        </w:tc>
        <w:tc>
          <w:tcPr>
            <w:tcW w:w="2955" w:type="dxa"/>
            <w:shd w:val="clear" w:color="auto" w:fill="009D73"/>
            <w:vAlign w:val="center"/>
            <w:hideMark/>
          </w:tcPr>
          <w:p w14:paraId="2407CC12"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00264C11" w14:textId="77777777" w:rsidTr="00747917">
        <w:trPr>
          <w:trHeight w:val="288"/>
        </w:trPr>
        <w:tc>
          <w:tcPr>
            <w:tcW w:w="2187" w:type="dxa"/>
            <w:shd w:val="clear" w:color="auto" w:fill="00D29A"/>
            <w:vAlign w:val="center"/>
            <w:hideMark/>
          </w:tcPr>
          <w:p w14:paraId="488F0106"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3.1. Priority </w:t>
            </w:r>
          </w:p>
        </w:tc>
        <w:tc>
          <w:tcPr>
            <w:tcW w:w="1561" w:type="dxa"/>
            <w:shd w:val="clear" w:color="auto" w:fill="00D29A"/>
            <w:vAlign w:val="center"/>
            <w:hideMark/>
          </w:tcPr>
          <w:p w14:paraId="31270CB0"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w:t>
            </w:r>
          </w:p>
        </w:tc>
        <w:tc>
          <w:tcPr>
            <w:tcW w:w="2112" w:type="dxa"/>
            <w:shd w:val="clear" w:color="auto" w:fill="00D29A"/>
            <w:vAlign w:val="center"/>
            <w:hideMark/>
          </w:tcPr>
          <w:p w14:paraId="421E76A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1,283,675</w:t>
            </w:r>
          </w:p>
        </w:tc>
        <w:tc>
          <w:tcPr>
            <w:tcW w:w="2532" w:type="dxa"/>
            <w:shd w:val="clear" w:color="auto" w:fill="00D29A"/>
            <w:vAlign w:val="center"/>
            <w:hideMark/>
          </w:tcPr>
          <w:p w14:paraId="25BBDAA3"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128,367</w:t>
            </w:r>
          </w:p>
        </w:tc>
        <w:tc>
          <w:tcPr>
            <w:tcW w:w="2131" w:type="dxa"/>
            <w:shd w:val="clear" w:color="auto" w:fill="00D29A"/>
            <w:vAlign w:val="center"/>
            <w:hideMark/>
          </w:tcPr>
          <w:p w14:paraId="32BF687F"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1,155,307</w:t>
            </w:r>
          </w:p>
        </w:tc>
        <w:tc>
          <w:tcPr>
            <w:tcW w:w="2955" w:type="dxa"/>
            <w:shd w:val="clear" w:color="auto" w:fill="00D29A"/>
            <w:vAlign w:val="center"/>
            <w:hideMark/>
          </w:tcPr>
          <w:p w14:paraId="74189C56"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3FC9E438" w14:textId="77777777" w:rsidTr="007843A3">
        <w:trPr>
          <w:trHeight w:val="480"/>
        </w:trPr>
        <w:tc>
          <w:tcPr>
            <w:tcW w:w="2187" w:type="dxa"/>
            <w:shd w:val="clear" w:color="auto" w:fill="auto"/>
            <w:vAlign w:val="center"/>
            <w:hideMark/>
          </w:tcPr>
          <w:p w14:paraId="5840D8A7"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3.1.1. Measure</w:t>
            </w:r>
          </w:p>
        </w:tc>
        <w:tc>
          <w:tcPr>
            <w:tcW w:w="1561" w:type="dxa"/>
            <w:shd w:val="clear" w:color="auto" w:fill="auto"/>
            <w:vAlign w:val="center"/>
            <w:hideMark/>
          </w:tcPr>
          <w:p w14:paraId="4AC46C84"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6C83D0C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1,283,675</w:t>
            </w:r>
          </w:p>
        </w:tc>
        <w:tc>
          <w:tcPr>
            <w:tcW w:w="2532" w:type="dxa"/>
            <w:shd w:val="clear" w:color="auto" w:fill="auto"/>
            <w:vAlign w:val="center"/>
            <w:hideMark/>
          </w:tcPr>
          <w:p w14:paraId="17EC5CE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128,367</w:t>
            </w:r>
          </w:p>
        </w:tc>
        <w:tc>
          <w:tcPr>
            <w:tcW w:w="2131" w:type="dxa"/>
            <w:shd w:val="clear" w:color="auto" w:fill="auto"/>
            <w:vAlign w:val="center"/>
            <w:hideMark/>
          </w:tcPr>
          <w:p w14:paraId="61B5974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1,155,307</w:t>
            </w:r>
          </w:p>
        </w:tc>
        <w:tc>
          <w:tcPr>
            <w:tcW w:w="2955" w:type="dxa"/>
            <w:shd w:val="clear" w:color="auto" w:fill="auto"/>
            <w:vAlign w:val="center"/>
            <w:hideMark/>
          </w:tcPr>
          <w:p w14:paraId="0E79A549" w14:textId="790D2198"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0FEB1891" w14:textId="77777777" w:rsidTr="00747917">
        <w:trPr>
          <w:trHeight w:val="288"/>
        </w:trPr>
        <w:tc>
          <w:tcPr>
            <w:tcW w:w="2187" w:type="dxa"/>
            <w:shd w:val="clear" w:color="auto" w:fill="00D29A"/>
            <w:vAlign w:val="center"/>
            <w:hideMark/>
          </w:tcPr>
          <w:p w14:paraId="3F450632"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3.2. Priority </w:t>
            </w:r>
          </w:p>
        </w:tc>
        <w:tc>
          <w:tcPr>
            <w:tcW w:w="1561" w:type="dxa"/>
            <w:shd w:val="clear" w:color="auto" w:fill="00D29A"/>
            <w:vAlign w:val="center"/>
            <w:hideMark/>
          </w:tcPr>
          <w:p w14:paraId="560B7B70"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18%</w:t>
            </w:r>
          </w:p>
        </w:tc>
        <w:tc>
          <w:tcPr>
            <w:tcW w:w="2112" w:type="dxa"/>
            <w:shd w:val="clear" w:color="auto" w:fill="00D29A"/>
            <w:vAlign w:val="center"/>
            <w:hideMark/>
          </w:tcPr>
          <w:p w14:paraId="118B5846"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9,562,471</w:t>
            </w:r>
          </w:p>
        </w:tc>
        <w:tc>
          <w:tcPr>
            <w:tcW w:w="2532" w:type="dxa"/>
            <w:shd w:val="clear" w:color="auto" w:fill="00D29A"/>
            <w:vAlign w:val="center"/>
            <w:hideMark/>
          </w:tcPr>
          <w:p w14:paraId="29C62E14"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1,122,490</w:t>
            </w:r>
          </w:p>
        </w:tc>
        <w:tc>
          <w:tcPr>
            <w:tcW w:w="2131" w:type="dxa"/>
            <w:shd w:val="clear" w:color="auto" w:fill="00D29A"/>
            <w:vAlign w:val="center"/>
            <w:hideMark/>
          </w:tcPr>
          <w:p w14:paraId="32E27508"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8,439,981</w:t>
            </w:r>
          </w:p>
        </w:tc>
        <w:tc>
          <w:tcPr>
            <w:tcW w:w="2955" w:type="dxa"/>
            <w:shd w:val="clear" w:color="auto" w:fill="00D29A"/>
            <w:vAlign w:val="center"/>
            <w:hideMark/>
          </w:tcPr>
          <w:p w14:paraId="34B07D7D"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07810897" w14:textId="77777777" w:rsidTr="007843A3">
        <w:trPr>
          <w:trHeight w:val="288"/>
        </w:trPr>
        <w:tc>
          <w:tcPr>
            <w:tcW w:w="2187" w:type="dxa"/>
            <w:shd w:val="clear" w:color="auto" w:fill="auto"/>
            <w:vAlign w:val="center"/>
            <w:hideMark/>
          </w:tcPr>
          <w:p w14:paraId="491A3C54"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3.2.1. Measure</w:t>
            </w:r>
          </w:p>
        </w:tc>
        <w:tc>
          <w:tcPr>
            <w:tcW w:w="1561" w:type="dxa"/>
            <w:shd w:val="clear" w:color="auto" w:fill="auto"/>
            <w:vAlign w:val="center"/>
            <w:hideMark/>
          </w:tcPr>
          <w:p w14:paraId="0E895190"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0.1%</w:t>
            </w:r>
          </w:p>
        </w:tc>
        <w:tc>
          <w:tcPr>
            <w:tcW w:w="2112" w:type="dxa"/>
            <w:shd w:val="clear" w:color="auto" w:fill="auto"/>
            <w:vAlign w:val="center"/>
            <w:hideMark/>
          </w:tcPr>
          <w:p w14:paraId="450ABC2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9,876</w:t>
            </w:r>
          </w:p>
        </w:tc>
        <w:tc>
          <w:tcPr>
            <w:tcW w:w="2532" w:type="dxa"/>
            <w:shd w:val="clear" w:color="auto" w:fill="auto"/>
            <w:vAlign w:val="center"/>
            <w:hideMark/>
          </w:tcPr>
          <w:p w14:paraId="47E02E6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9,876</w:t>
            </w:r>
          </w:p>
        </w:tc>
        <w:tc>
          <w:tcPr>
            <w:tcW w:w="2131" w:type="dxa"/>
            <w:shd w:val="clear" w:color="auto" w:fill="auto"/>
            <w:vAlign w:val="center"/>
            <w:hideMark/>
          </w:tcPr>
          <w:p w14:paraId="7E602AC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4A55476B" w14:textId="0F4F904E"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2F8B3F25" w14:textId="77777777" w:rsidTr="007843A3">
        <w:trPr>
          <w:trHeight w:val="480"/>
        </w:trPr>
        <w:tc>
          <w:tcPr>
            <w:tcW w:w="2187" w:type="dxa"/>
            <w:shd w:val="clear" w:color="auto" w:fill="auto"/>
            <w:vAlign w:val="center"/>
            <w:hideMark/>
          </w:tcPr>
          <w:p w14:paraId="7C3332E3"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3.2.2. Measure</w:t>
            </w:r>
          </w:p>
        </w:tc>
        <w:tc>
          <w:tcPr>
            <w:tcW w:w="1561" w:type="dxa"/>
            <w:shd w:val="clear" w:color="auto" w:fill="auto"/>
            <w:vAlign w:val="center"/>
            <w:hideMark/>
          </w:tcPr>
          <w:p w14:paraId="53342AD8"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16.5%</w:t>
            </w:r>
          </w:p>
        </w:tc>
        <w:tc>
          <w:tcPr>
            <w:tcW w:w="2112" w:type="dxa"/>
            <w:shd w:val="clear" w:color="auto" w:fill="auto"/>
            <w:vAlign w:val="center"/>
            <w:hideMark/>
          </w:tcPr>
          <w:p w14:paraId="135C8E6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1,573,548</w:t>
            </w:r>
          </w:p>
        </w:tc>
        <w:tc>
          <w:tcPr>
            <w:tcW w:w="2532" w:type="dxa"/>
            <w:shd w:val="clear" w:color="auto" w:fill="auto"/>
            <w:vAlign w:val="center"/>
            <w:hideMark/>
          </w:tcPr>
          <w:p w14:paraId="60CF57B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314,710</w:t>
            </w:r>
          </w:p>
        </w:tc>
        <w:tc>
          <w:tcPr>
            <w:tcW w:w="2131" w:type="dxa"/>
            <w:shd w:val="clear" w:color="auto" w:fill="auto"/>
            <w:vAlign w:val="center"/>
            <w:hideMark/>
          </w:tcPr>
          <w:p w14:paraId="0D64C29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1,258,838</w:t>
            </w:r>
          </w:p>
        </w:tc>
        <w:tc>
          <w:tcPr>
            <w:tcW w:w="2955" w:type="dxa"/>
            <w:shd w:val="clear" w:color="auto" w:fill="auto"/>
            <w:vAlign w:val="center"/>
            <w:hideMark/>
          </w:tcPr>
          <w:p w14:paraId="6D8A4D7B" w14:textId="07CEC1F4"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1D4930D8" w14:textId="77777777" w:rsidTr="007843A3">
        <w:trPr>
          <w:trHeight w:val="480"/>
        </w:trPr>
        <w:tc>
          <w:tcPr>
            <w:tcW w:w="2187" w:type="dxa"/>
            <w:shd w:val="clear" w:color="auto" w:fill="auto"/>
            <w:vAlign w:val="center"/>
            <w:hideMark/>
          </w:tcPr>
          <w:p w14:paraId="0C02334E"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3.2.3. Measure</w:t>
            </w:r>
          </w:p>
        </w:tc>
        <w:tc>
          <w:tcPr>
            <w:tcW w:w="1561" w:type="dxa"/>
            <w:shd w:val="clear" w:color="auto" w:fill="auto"/>
            <w:vAlign w:val="center"/>
            <w:hideMark/>
          </w:tcPr>
          <w:p w14:paraId="4B76E80A"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83%</w:t>
            </w:r>
          </w:p>
        </w:tc>
        <w:tc>
          <w:tcPr>
            <w:tcW w:w="2112" w:type="dxa"/>
            <w:shd w:val="clear" w:color="auto" w:fill="auto"/>
            <w:vAlign w:val="center"/>
            <w:hideMark/>
          </w:tcPr>
          <w:p w14:paraId="2BB0A40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7,979,048</w:t>
            </w:r>
          </w:p>
        </w:tc>
        <w:tc>
          <w:tcPr>
            <w:tcW w:w="2532" w:type="dxa"/>
            <w:shd w:val="clear" w:color="auto" w:fill="auto"/>
            <w:vAlign w:val="center"/>
            <w:hideMark/>
          </w:tcPr>
          <w:p w14:paraId="32912C3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797,905</w:t>
            </w:r>
          </w:p>
        </w:tc>
        <w:tc>
          <w:tcPr>
            <w:tcW w:w="2131" w:type="dxa"/>
            <w:shd w:val="clear" w:color="auto" w:fill="auto"/>
            <w:vAlign w:val="center"/>
            <w:hideMark/>
          </w:tcPr>
          <w:p w14:paraId="065ABA2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7,181,143</w:t>
            </w:r>
          </w:p>
        </w:tc>
        <w:tc>
          <w:tcPr>
            <w:tcW w:w="2955" w:type="dxa"/>
            <w:shd w:val="clear" w:color="auto" w:fill="auto"/>
            <w:vAlign w:val="center"/>
            <w:hideMark/>
          </w:tcPr>
          <w:p w14:paraId="61A491DB" w14:textId="21F35953"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4CBEB2D9" w14:textId="77777777" w:rsidTr="00747917">
        <w:trPr>
          <w:trHeight w:val="288"/>
        </w:trPr>
        <w:tc>
          <w:tcPr>
            <w:tcW w:w="2187" w:type="dxa"/>
            <w:shd w:val="clear" w:color="auto" w:fill="00D29A"/>
            <w:vAlign w:val="center"/>
            <w:hideMark/>
          </w:tcPr>
          <w:p w14:paraId="1BE3A251"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3.3. Priority </w:t>
            </w:r>
          </w:p>
        </w:tc>
        <w:tc>
          <w:tcPr>
            <w:tcW w:w="1561" w:type="dxa"/>
            <w:shd w:val="clear" w:color="auto" w:fill="00D29A"/>
            <w:vAlign w:val="center"/>
            <w:hideMark/>
          </w:tcPr>
          <w:p w14:paraId="06D6C639"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11%</w:t>
            </w:r>
          </w:p>
        </w:tc>
        <w:tc>
          <w:tcPr>
            <w:tcW w:w="2112" w:type="dxa"/>
            <w:shd w:val="clear" w:color="auto" w:fill="00D29A"/>
            <w:vAlign w:val="center"/>
            <w:hideMark/>
          </w:tcPr>
          <w:p w14:paraId="787F2ACB"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5,654,830</w:t>
            </w:r>
          </w:p>
        </w:tc>
        <w:tc>
          <w:tcPr>
            <w:tcW w:w="2532" w:type="dxa"/>
            <w:shd w:val="clear" w:color="auto" w:fill="00D29A"/>
            <w:vAlign w:val="center"/>
            <w:hideMark/>
          </w:tcPr>
          <w:p w14:paraId="4199AB24"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1,602,857</w:t>
            </w:r>
          </w:p>
        </w:tc>
        <w:tc>
          <w:tcPr>
            <w:tcW w:w="2131" w:type="dxa"/>
            <w:shd w:val="clear" w:color="auto" w:fill="00D29A"/>
            <w:vAlign w:val="center"/>
            <w:hideMark/>
          </w:tcPr>
          <w:p w14:paraId="3F4749D6"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4,051,973</w:t>
            </w:r>
          </w:p>
        </w:tc>
        <w:tc>
          <w:tcPr>
            <w:tcW w:w="2955" w:type="dxa"/>
            <w:shd w:val="clear" w:color="auto" w:fill="00D29A"/>
            <w:vAlign w:val="center"/>
            <w:hideMark/>
          </w:tcPr>
          <w:p w14:paraId="2CE874B4"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3257064A" w14:textId="77777777" w:rsidTr="007843A3">
        <w:trPr>
          <w:trHeight w:val="720"/>
        </w:trPr>
        <w:tc>
          <w:tcPr>
            <w:tcW w:w="2187" w:type="dxa"/>
            <w:shd w:val="clear" w:color="auto" w:fill="auto"/>
            <w:vAlign w:val="center"/>
            <w:hideMark/>
          </w:tcPr>
          <w:p w14:paraId="4AE011A9"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3.3.1. Measure</w:t>
            </w:r>
          </w:p>
        </w:tc>
        <w:tc>
          <w:tcPr>
            <w:tcW w:w="1561" w:type="dxa"/>
            <w:shd w:val="clear" w:color="auto" w:fill="auto"/>
            <w:vAlign w:val="center"/>
            <w:hideMark/>
          </w:tcPr>
          <w:p w14:paraId="111270A4"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89%</w:t>
            </w:r>
          </w:p>
        </w:tc>
        <w:tc>
          <w:tcPr>
            <w:tcW w:w="2112" w:type="dxa"/>
            <w:shd w:val="clear" w:color="auto" w:fill="auto"/>
            <w:vAlign w:val="center"/>
            <w:hideMark/>
          </w:tcPr>
          <w:p w14:paraId="0B77FAC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5,015,735</w:t>
            </w:r>
          </w:p>
        </w:tc>
        <w:tc>
          <w:tcPr>
            <w:tcW w:w="2532" w:type="dxa"/>
            <w:shd w:val="clear" w:color="auto" w:fill="auto"/>
            <w:vAlign w:val="center"/>
            <w:hideMark/>
          </w:tcPr>
          <w:p w14:paraId="14DD5F4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1,504,721</w:t>
            </w:r>
          </w:p>
        </w:tc>
        <w:tc>
          <w:tcPr>
            <w:tcW w:w="2131" w:type="dxa"/>
            <w:shd w:val="clear" w:color="auto" w:fill="auto"/>
            <w:vAlign w:val="center"/>
            <w:hideMark/>
          </w:tcPr>
          <w:p w14:paraId="0B9D8B6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3,511,015</w:t>
            </w:r>
          </w:p>
        </w:tc>
        <w:tc>
          <w:tcPr>
            <w:tcW w:w="2955" w:type="dxa"/>
            <w:shd w:val="clear" w:color="auto" w:fill="auto"/>
            <w:vAlign w:val="center"/>
            <w:hideMark/>
          </w:tcPr>
          <w:p w14:paraId="35F9A903" w14:textId="0FB69B06"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53B91858" w14:textId="77777777" w:rsidTr="007843A3">
        <w:trPr>
          <w:trHeight w:val="480"/>
        </w:trPr>
        <w:tc>
          <w:tcPr>
            <w:tcW w:w="2187" w:type="dxa"/>
            <w:shd w:val="clear" w:color="auto" w:fill="auto"/>
            <w:vAlign w:val="center"/>
            <w:hideMark/>
          </w:tcPr>
          <w:p w14:paraId="4F991056"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3.3.2. Measure</w:t>
            </w:r>
          </w:p>
        </w:tc>
        <w:tc>
          <w:tcPr>
            <w:tcW w:w="1561" w:type="dxa"/>
            <w:shd w:val="clear" w:color="auto" w:fill="auto"/>
            <w:vAlign w:val="center"/>
            <w:hideMark/>
          </w:tcPr>
          <w:p w14:paraId="3E1489B6"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6%</w:t>
            </w:r>
          </w:p>
        </w:tc>
        <w:tc>
          <w:tcPr>
            <w:tcW w:w="2112" w:type="dxa"/>
            <w:shd w:val="clear" w:color="auto" w:fill="auto"/>
            <w:vAlign w:val="center"/>
            <w:hideMark/>
          </w:tcPr>
          <w:p w14:paraId="34F3D61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342,270</w:t>
            </w:r>
          </w:p>
        </w:tc>
        <w:tc>
          <w:tcPr>
            <w:tcW w:w="2532" w:type="dxa"/>
            <w:shd w:val="clear" w:color="auto" w:fill="auto"/>
            <w:vAlign w:val="center"/>
            <w:hideMark/>
          </w:tcPr>
          <w:p w14:paraId="096A364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68,454</w:t>
            </w:r>
          </w:p>
        </w:tc>
        <w:tc>
          <w:tcPr>
            <w:tcW w:w="2131" w:type="dxa"/>
            <w:shd w:val="clear" w:color="auto" w:fill="auto"/>
            <w:vAlign w:val="center"/>
            <w:hideMark/>
          </w:tcPr>
          <w:p w14:paraId="4AB14BE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273,816</w:t>
            </w:r>
          </w:p>
        </w:tc>
        <w:tc>
          <w:tcPr>
            <w:tcW w:w="2955" w:type="dxa"/>
            <w:shd w:val="clear" w:color="auto" w:fill="auto"/>
            <w:vAlign w:val="center"/>
            <w:hideMark/>
          </w:tcPr>
          <w:p w14:paraId="0EB9143E" w14:textId="6B65EECC"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55D16E4E" w14:textId="77777777" w:rsidTr="007843A3">
        <w:trPr>
          <w:trHeight w:val="480"/>
        </w:trPr>
        <w:tc>
          <w:tcPr>
            <w:tcW w:w="2187" w:type="dxa"/>
            <w:shd w:val="clear" w:color="auto" w:fill="auto"/>
            <w:vAlign w:val="center"/>
            <w:hideMark/>
          </w:tcPr>
          <w:p w14:paraId="7EE7D596"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3.3.3. Measure</w:t>
            </w:r>
          </w:p>
        </w:tc>
        <w:tc>
          <w:tcPr>
            <w:tcW w:w="1561" w:type="dxa"/>
            <w:shd w:val="clear" w:color="auto" w:fill="auto"/>
            <w:vAlign w:val="center"/>
            <w:hideMark/>
          </w:tcPr>
          <w:p w14:paraId="1EF9D1BB"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5%</w:t>
            </w:r>
          </w:p>
        </w:tc>
        <w:tc>
          <w:tcPr>
            <w:tcW w:w="2112" w:type="dxa"/>
            <w:shd w:val="clear" w:color="auto" w:fill="auto"/>
            <w:vAlign w:val="center"/>
            <w:hideMark/>
          </w:tcPr>
          <w:p w14:paraId="70EFBEA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296,824</w:t>
            </w:r>
          </w:p>
        </w:tc>
        <w:tc>
          <w:tcPr>
            <w:tcW w:w="2532" w:type="dxa"/>
            <w:shd w:val="clear" w:color="auto" w:fill="auto"/>
            <w:vAlign w:val="center"/>
            <w:hideMark/>
          </w:tcPr>
          <w:p w14:paraId="387331E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29,682</w:t>
            </w:r>
          </w:p>
        </w:tc>
        <w:tc>
          <w:tcPr>
            <w:tcW w:w="2131" w:type="dxa"/>
            <w:shd w:val="clear" w:color="auto" w:fill="auto"/>
            <w:vAlign w:val="center"/>
            <w:hideMark/>
          </w:tcPr>
          <w:p w14:paraId="364EBF0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267,142</w:t>
            </w:r>
          </w:p>
        </w:tc>
        <w:tc>
          <w:tcPr>
            <w:tcW w:w="2955" w:type="dxa"/>
            <w:shd w:val="clear" w:color="auto" w:fill="auto"/>
            <w:vAlign w:val="center"/>
            <w:hideMark/>
          </w:tcPr>
          <w:p w14:paraId="0603C518" w14:textId="4086FC19"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5141D936" w14:textId="77777777" w:rsidTr="00747917">
        <w:trPr>
          <w:trHeight w:val="288"/>
        </w:trPr>
        <w:tc>
          <w:tcPr>
            <w:tcW w:w="2187" w:type="dxa"/>
            <w:shd w:val="clear" w:color="auto" w:fill="00D29A"/>
            <w:vAlign w:val="center"/>
            <w:hideMark/>
          </w:tcPr>
          <w:p w14:paraId="5E817948"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3.4. Priority </w:t>
            </w:r>
          </w:p>
        </w:tc>
        <w:tc>
          <w:tcPr>
            <w:tcW w:w="1561" w:type="dxa"/>
            <w:shd w:val="clear" w:color="auto" w:fill="00D29A"/>
            <w:vAlign w:val="center"/>
            <w:hideMark/>
          </w:tcPr>
          <w:p w14:paraId="28169BEB"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8%</w:t>
            </w:r>
          </w:p>
        </w:tc>
        <w:tc>
          <w:tcPr>
            <w:tcW w:w="2112" w:type="dxa"/>
            <w:shd w:val="clear" w:color="auto" w:fill="00D29A"/>
            <w:vAlign w:val="center"/>
            <w:hideMark/>
          </w:tcPr>
          <w:p w14:paraId="06685B45"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4,384,436</w:t>
            </w:r>
          </w:p>
        </w:tc>
        <w:tc>
          <w:tcPr>
            <w:tcW w:w="2532" w:type="dxa"/>
            <w:shd w:val="clear" w:color="auto" w:fill="00D29A"/>
            <w:vAlign w:val="center"/>
            <w:hideMark/>
          </w:tcPr>
          <w:p w14:paraId="6C8211D2"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979,822</w:t>
            </w:r>
          </w:p>
        </w:tc>
        <w:tc>
          <w:tcPr>
            <w:tcW w:w="2131" w:type="dxa"/>
            <w:shd w:val="clear" w:color="auto" w:fill="00D29A"/>
            <w:vAlign w:val="center"/>
            <w:hideMark/>
          </w:tcPr>
          <w:p w14:paraId="54F2A87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3,404,614</w:t>
            </w:r>
          </w:p>
        </w:tc>
        <w:tc>
          <w:tcPr>
            <w:tcW w:w="2955" w:type="dxa"/>
            <w:shd w:val="clear" w:color="auto" w:fill="00D29A"/>
            <w:vAlign w:val="center"/>
            <w:hideMark/>
          </w:tcPr>
          <w:p w14:paraId="7C369F58"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3EA511DB" w14:textId="77777777" w:rsidTr="007843A3">
        <w:trPr>
          <w:trHeight w:val="480"/>
        </w:trPr>
        <w:tc>
          <w:tcPr>
            <w:tcW w:w="2187" w:type="dxa"/>
            <w:shd w:val="clear" w:color="auto" w:fill="auto"/>
            <w:vAlign w:val="center"/>
            <w:hideMark/>
          </w:tcPr>
          <w:p w14:paraId="6636D344"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lastRenderedPageBreak/>
              <w:t>3.4.1. Measure</w:t>
            </w:r>
          </w:p>
        </w:tc>
        <w:tc>
          <w:tcPr>
            <w:tcW w:w="1561" w:type="dxa"/>
            <w:shd w:val="clear" w:color="auto" w:fill="auto"/>
            <w:vAlign w:val="center"/>
            <w:hideMark/>
          </w:tcPr>
          <w:p w14:paraId="6053D20F"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37%</w:t>
            </w:r>
          </w:p>
        </w:tc>
        <w:tc>
          <w:tcPr>
            <w:tcW w:w="2112" w:type="dxa"/>
            <w:shd w:val="clear" w:color="auto" w:fill="auto"/>
            <w:vAlign w:val="center"/>
            <w:hideMark/>
          </w:tcPr>
          <w:p w14:paraId="0AAE7B0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1,621,079</w:t>
            </w:r>
          </w:p>
        </w:tc>
        <w:tc>
          <w:tcPr>
            <w:tcW w:w="2532" w:type="dxa"/>
            <w:shd w:val="clear" w:color="auto" w:fill="auto"/>
            <w:vAlign w:val="center"/>
            <w:hideMark/>
          </w:tcPr>
          <w:p w14:paraId="62B3168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324,216</w:t>
            </w:r>
          </w:p>
        </w:tc>
        <w:tc>
          <w:tcPr>
            <w:tcW w:w="2131" w:type="dxa"/>
            <w:shd w:val="clear" w:color="auto" w:fill="auto"/>
            <w:vAlign w:val="center"/>
            <w:hideMark/>
          </w:tcPr>
          <w:p w14:paraId="0B75435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1,296,863</w:t>
            </w:r>
          </w:p>
        </w:tc>
        <w:tc>
          <w:tcPr>
            <w:tcW w:w="2955" w:type="dxa"/>
            <w:shd w:val="clear" w:color="auto" w:fill="auto"/>
            <w:vAlign w:val="center"/>
            <w:hideMark/>
          </w:tcPr>
          <w:p w14:paraId="2CA44C53" w14:textId="15822BD1"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146FDC48" w14:textId="77777777" w:rsidTr="007843A3">
        <w:trPr>
          <w:trHeight w:val="480"/>
        </w:trPr>
        <w:tc>
          <w:tcPr>
            <w:tcW w:w="2187" w:type="dxa"/>
            <w:shd w:val="clear" w:color="auto" w:fill="auto"/>
            <w:vAlign w:val="center"/>
            <w:hideMark/>
          </w:tcPr>
          <w:p w14:paraId="5DAACB6F"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3.4.2. Measure</w:t>
            </w:r>
          </w:p>
        </w:tc>
        <w:tc>
          <w:tcPr>
            <w:tcW w:w="1561" w:type="dxa"/>
            <w:shd w:val="clear" w:color="auto" w:fill="auto"/>
            <w:vAlign w:val="center"/>
            <w:hideMark/>
          </w:tcPr>
          <w:p w14:paraId="7C4B4919"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6%</w:t>
            </w:r>
          </w:p>
        </w:tc>
        <w:tc>
          <w:tcPr>
            <w:tcW w:w="2112" w:type="dxa"/>
            <w:shd w:val="clear" w:color="auto" w:fill="auto"/>
            <w:vAlign w:val="center"/>
            <w:hideMark/>
          </w:tcPr>
          <w:p w14:paraId="6F4033D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245,010</w:t>
            </w:r>
          </w:p>
        </w:tc>
        <w:tc>
          <w:tcPr>
            <w:tcW w:w="2532" w:type="dxa"/>
            <w:shd w:val="clear" w:color="auto" w:fill="auto"/>
            <w:vAlign w:val="center"/>
            <w:hideMark/>
          </w:tcPr>
          <w:p w14:paraId="0D12F28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49,002</w:t>
            </w:r>
          </w:p>
        </w:tc>
        <w:tc>
          <w:tcPr>
            <w:tcW w:w="2131" w:type="dxa"/>
            <w:shd w:val="clear" w:color="auto" w:fill="auto"/>
            <w:vAlign w:val="center"/>
            <w:hideMark/>
          </w:tcPr>
          <w:p w14:paraId="2AEE793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196,008</w:t>
            </w:r>
          </w:p>
        </w:tc>
        <w:tc>
          <w:tcPr>
            <w:tcW w:w="2955" w:type="dxa"/>
            <w:shd w:val="clear" w:color="auto" w:fill="auto"/>
            <w:vAlign w:val="center"/>
            <w:hideMark/>
          </w:tcPr>
          <w:p w14:paraId="19ACDC7E" w14:textId="3DD7B782"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1E19A203" w14:textId="77777777" w:rsidTr="007843A3">
        <w:trPr>
          <w:trHeight w:val="480"/>
        </w:trPr>
        <w:tc>
          <w:tcPr>
            <w:tcW w:w="2187" w:type="dxa"/>
            <w:shd w:val="clear" w:color="auto" w:fill="auto"/>
            <w:vAlign w:val="center"/>
            <w:hideMark/>
          </w:tcPr>
          <w:p w14:paraId="226278EB"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3.4.3. Measure</w:t>
            </w:r>
          </w:p>
        </w:tc>
        <w:tc>
          <w:tcPr>
            <w:tcW w:w="1561" w:type="dxa"/>
            <w:shd w:val="clear" w:color="auto" w:fill="auto"/>
            <w:vAlign w:val="center"/>
            <w:hideMark/>
          </w:tcPr>
          <w:p w14:paraId="36C5A324"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23%</w:t>
            </w:r>
          </w:p>
        </w:tc>
        <w:tc>
          <w:tcPr>
            <w:tcW w:w="2112" w:type="dxa"/>
            <w:shd w:val="clear" w:color="auto" w:fill="auto"/>
            <w:vAlign w:val="center"/>
            <w:hideMark/>
          </w:tcPr>
          <w:p w14:paraId="571078C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1,029,348</w:t>
            </w:r>
          </w:p>
        </w:tc>
        <w:tc>
          <w:tcPr>
            <w:tcW w:w="2532" w:type="dxa"/>
            <w:shd w:val="clear" w:color="auto" w:fill="auto"/>
            <w:vAlign w:val="center"/>
            <w:hideMark/>
          </w:tcPr>
          <w:p w14:paraId="2DF5C52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308,804</w:t>
            </w:r>
          </w:p>
        </w:tc>
        <w:tc>
          <w:tcPr>
            <w:tcW w:w="2131" w:type="dxa"/>
            <w:shd w:val="clear" w:color="auto" w:fill="auto"/>
            <w:vAlign w:val="center"/>
            <w:hideMark/>
          </w:tcPr>
          <w:p w14:paraId="4898593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720,543</w:t>
            </w:r>
          </w:p>
        </w:tc>
        <w:tc>
          <w:tcPr>
            <w:tcW w:w="2955" w:type="dxa"/>
            <w:shd w:val="clear" w:color="auto" w:fill="auto"/>
            <w:vAlign w:val="center"/>
            <w:hideMark/>
          </w:tcPr>
          <w:p w14:paraId="17A408E6" w14:textId="17A7D41D"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60737AC3" w14:textId="77777777" w:rsidTr="007843A3">
        <w:trPr>
          <w:trHeight w:val="480"/>
        </w:trPr>
        <w:tc>
          <w:tcPr>
            <w:tcW w:w="2187" w:type="dxa"/>
            <w:shd w:val="clear" w:color="auto" w:fill="auto"/>
            <w:vAlign w:val="center"/>
            <w:hideMark/>
          </w:tcPr>
          <w:p w14:paraId="58690210"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3.4.4. Measure</w:t>
            </w:r>
          </w:p>
        </w:tc>
        <w:tc>
          <w:tcPr>
            <w:tcW w:w="1561" w:type="dxa"/>
            <w:shd w:val="clear" w:color="auto" w:fill="auto"/>
            <w:vAlign w:val="center"/>
            <w:hideMark/>
          </w:tcPr>
          <w:p w14:paraId="4F8109C3"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34%</w:t>
            </w:r>
          </w:p>
        </w:tc>
        <w:tc>
          <w:tcPr>
            <w:tcW w:w="2112" w:type="dxa"/>
            <w:shd w:val="clear" w:color="auto" w:fill="auto"/>
            <w:vAlign w:val="center"/>
            <w:hideMark/>
          </w:tcPr>
          <w:p w14:paraId="2460518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1,489,000</w:t>
            </w:r>
          </w:p>
        </w:tc>
        <w:tc>
          <w:tcPr>
            <w:tcW w:w="2532" w:type="dxa"/>
            <w:shd w:val="clear" w:color="auto" w:fill="auto"/>
            <w:vAlign w:val="center"/>
            <w:hideMark/>
          </w:tcPr>
          <w:p w14:paraId="1E24CA7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297,800</w:t>
            </w:r>
          </w:p>
        </w:tc>
        <w:tc>
          <w:tcPr>
            <w:tcW w:w="2131" w:type="dxa"/>
            <w:shd w:val="clear" w:color="auto" w:fill="auto"/>
            <w:vAlign w:val="center"/>
            <w:hideMark/>
          </w:tcPr>
          <w:p w14:paraId="0478EF7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1,191,200</w:t>
            </w:r>
          </w:p>
        </w:tc>
        <w:tc>
          <w:tcPr>
            <w:tcW w:w="2955" w:type="dxa"/>
            <w:shd w:val="clear" w:color="auto" w:fill="auto"/>
            <w:vAlign w:val="center"/>
            <w:hideMark/>
          </w:tcPr>
          <w:p w14:paraId="2E873160" w14:textId="1C8126DE"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2E9FB0A6" w14:textId="77777777" w:rsidTr="00747917">
        <w:trPr>
          <w:trHeight w:val="288"/>
        </w:trPr>
        <w:tc>
          <w:tcPr>
            <w:tcW w:w="2187" w:type="dxa"/>
            <w:shd w:val="clear" w:color="auto" w:fill="00D29A"/>
            <w:vAlign w:val="center"/>
            <w:hideMark/>
          </w:tcPr>
          <w:p w14:paraId="49396B92"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3.5. Priority </w:t>
            </w:r>
          </w:p>
        </w:tc>
        <w:tc>
          <w:tcPr>
            <w:tcW w:w="1561" w:type="dxa"/>
            <w:shd w:val="clear" w:color="auto" w:fill="00D29A"/>
            <w:vAlign w:val="center"/>
            <w:hideMark/>
          </w:tcPr>
          <w:p w14:paraId="3AE0ACFC"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45%</w:t>
            </w:r>
          </w:p>
        </w:tc>
        <w:tc>
          <w:tcPr>
            <w:tcW w:w="2112" w:type="dxa"/>
            <w:shd w:val="clear" w:color="auto" w:fill="00D29A"/>
            <w:vAlign w:val="center"/>
            <w:hideMark/>
          </w:tcPr>
          <w:p w14:paraId="58591D6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24,336,100</w:t>
            </w:r>
          </w:p>
        </w:tc>
        <w:tc>
          <w:tcPr>
            <w:tcW w:w="2532" w:type="dxa"/>
            <w:shd w:val="clear" w:color="auto" w:fill="00D29A"/>
            <w:vAlign w:val="center"/>
            <w:hideMark/>
          </w:tcPr>
          <w:p w14:paraId="6DCAF5A7"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4,941,144</w:t>
            </w:r>
          </w:p>
        </w:tc>
        <w:tc>
          <w:tcPr>
            <w:tcW w:w="2131" w:type="dxa"/>
            <w:shd w:val="clear" w:color="auto" w:fill="00D29A"/>
            <w:vAlign w:val="center"/>
            <w:hideMark/>
          </w:tcPr>
          <w:p w14:paraId="1E3EE8B4"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19,394,956</w:t>
            </w:r>
          </w:p>
        </w:tc>
        <w:tc>
          <w:tcPr>
            <w:tcW w:w="2955" w:type="dxa"/>
            <w:shd w:val="clear" w:color="auto" w:fill="00D29A"/>
            <w:vAlign w:val="center"/>
            <w:hideMark/>
          </w:tcPr>
          <w:p w14:paraId="6E71FD8E"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50304E4B" w14:textId="77777777" w:rsidTr="007843A3">
        <w:trPr>
          <w:trHeight w:val="720"/>
        </w:trPr>
        <w:tc>
          <w:tcPr>
            <w:tcW w:w="2187" w:type="dxa"/>
            <w:shd w:val="clear" w:color="auto" w:fill="auto"/>
            <w:vAlign w:val="center"/>
            <w:hideMark/>
          </w:tcPr>
          <w:p w14:paraId="3F488B33"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3.5.1. Measure</w:t>
            </w:r>
          </w:p>
        </w:tc>
        <w:tc>
          <w:tcPr>
            <w:tcW w:w="1561" w:type="dxa"/>
            <w:shd w:val="clear" w:color="auto" w:fill="auto"/>
            <w:vAlign w:val="center"/>
            <w:hideMark/>
          </w:tcPr>
          <w:p w14:paraId="5D10F486"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99%</w:t>
            </w:r>
          </w:p>
        </w:tc>
        <w:tc>
          <w:tcPr>
            <w:tcW w:w="2112" w:type="dxa"/>
            <w:shd w:val="clear" w:color="auto" w:fill="auto"/>
            <w:vAlign w:val="center"/>
            <w:hideMark/>
          </w:tcPr>
          <w:p w14:paraId="6E81A01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24,084,819</w:t>
            </w:r>
          </w:p>
        </w:tc>
        <w:tc>
          <w:tcPr>
            <w:tcW w:w="2532" w:type="dxa"/>
            <w:shd w:val="clear" w:color="auto" w:fill="auto"/>
            <w:vAlign w:val="center"/>
            <w:hideMark/>
          </w:tcPr>
          <w:p w14:paraId="7DE7129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4,816,964</w:t>
            </w:r>
          </w:p>
        </w:tc>
        <w:tc>
          <w:tcPr>
            <w:tcW w:w="2131" w:type="dxa"/>
            <w:shd w:val="clear" w:color="auto" w:fill="auto"/>
            <w:vAlign w:val="center"/>
            <w:hideMark/>
          </w:tcPr>
          <w:p w14:paraId="24C0A69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19,267,856</w:t>
            </w:r>
          </w:p>
        </w:tc>
        <w:tc>
          <w:tcPr>
            <w:tcW w:w="2955" w:type="dxa"/>
            <w:shd w:val="clear" w:color="auto" w:fill="auto"/>
            <w:vAlign w:val="center"/>
            <w:hideMark/>
          </w:tcPr>
          <w:p w14:paraId="0DC394D9" w14:textId="21BCCD52"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4A54F998" w14:textId="77777777" w:rsidTr="007843A3">
        <w:trPr>
          <w:trHeight w:val="288"/>
        </w:trPr>
        <w:tc>
          <w:tcPr>
            <w:tcW w:w="2187" w:type="dxa"/>
            <w:shd w:val="clear" w:color="auto" w:fill="auto"/>
            <w:vAlign w:val="center"/>
            <w:hideMark/>
          </w:tcPr>
          <w:p w14:paraId="68386AC3"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3.5.2. Measure</w:t>
            </w:r>
          </w:p>
        </w:tc>
        <w:tc>
          <w:tcPr>
            <w:tcW w:w="1561" w:type="dxa"/>
            <w:shd w:val="clear" w:color="auto" w:fill="auto"/>
            <w:vAlign w:val="center"/>
            <w:hideMark/>
          </w:tcPr>
          <w:p w14:paraId="57649AAC"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0.4%</w:t>
            </w:r>
          </w:p>
        </w:tc>
        <w:tc>
          <w:tcPr>
            <w:tcW w:w="2112" w:type="dxa"/>
            <w:shd w:val="clear" w:color="auto" w:fill="auto"/>
            <w:vAlign w:val="center"/>
            <w:hideMark/>
          </w:tcPr>
          <w:p w14:paraId="498E9E8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92,405</w:t>
            </w:r>
          </w:p>
        </w:tc>
        <w:tc>
          <w:tcPr>
            <w:tcW w:w="2532" w:type="dxa"/>
            <w:shd w:val="clear" w:color="auto" w:fill="auto"/>
            <w:vAlign w:val="center"/>
            <w:hideMark/>
          </w:tcPr>
          <w:p w14:paraId="7F64D6B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92,405</w:t>
            </w:r>
          </w:p>
        </w:tc>
        <w:tc>
          <w:tcPr>
            <w:tcW w:w="2131" w:type="dxa"/>
            <w:shd w:val="clear" w:color="auto" w:fill="auto"/>
            <w:vAlign w:val="center"/>
            <w:hideMark/>
          </w:tcPr>
          <w:p w14:paraId="5A8F233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40470046" w14:textId="65875E98"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362099F2" w14:textId="77777777" w:rsidTr="007843A3">
        <w:trPr>
          <w:trHeight w:val="480"/>
        </w:trPr>
        <w:tc>
          <w:tcPr>
            <w:tcW w:w="2187" w:type="dxa"/>
            <w:shd w:val="clear" w:color="auto" w:fill="auto"/>
            <w:vAlign w:val="center"/>
            <w:hideMark/>
          </w:tcPr>
          <w:p w14:paraId="38F81B9A"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3.5.3. Measure</w:t>
            </w:r>
          </w:p>
        </w:tc>
        <w:tc>
          <w:tcPr>
            <w:tcW w:w="1561" w:type="dxa"/>
            <w:shd w:val="clear" w:color="auto" w:fill="auto"/>
            <w:vAlign w:val="center"/>
            <w:hideMark/>
          </w:tcPr>
          <w:p w14:paraId="2147C58E"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0.7%</w:t>
            </w:r>
          </w:p>
        </w:tc>
        <w:tc>
          <w:tcPr>
            <w:tcW w:w="2112" w:type="dxa"/>
            <w:shd w:val="clear" w:color="auto" w:fill="auto"/>
            <w:vAlign w:val="center"/>
            <w:hideMark/>
          </w:tcPr>
          <w:p w14:paraId="59728D8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158,876</w:t>
            </w:r>
          </w:p>
        </w:tc>
        <w:tc>
          <w:tcPr>
            <w:tcW w:w="2532" w:type="dxa"/>
            <w:shd w:val="clear" w:color="auto" w:fill="auto"/>
            <w:vAlign w:val="center"/>
            <w:hideMark/>
          </w:tcPr>
          <w:p w14:paraId="1AAD90E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31,775</w:t>
            </w:r>
          </w:p>
        </w:tc>
        <w:tc>
          <w:tcPr>
            <w:tcW w:w="2131" w:type="dxa"/>
            <w:shd w:val="clear" w:color="auto" w:fill="auto"/>
            <w:vAlign w:val="center"/>
            <w:hideMark/>
          </w:tcPr>
          <w:p w14:paraId="0F9C9B4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127,101</w:t>
            </w:r>
          </w:p>
        </w:tc>
        <w:tc>
          <w:tcPr>
            <w:tcW w:w="2955" w:type="dxa"/>
            <w:shd w:val="clear" w:color="auto" w:fill="auto"/>
            <w:vAlign w:val="center"/>
            <w:hideMark/>
          </w:tcPr>
          <w:p w14:paraId="05FCBBF9" w14:textId="631D7EE1"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54E7812C" w14:textId="77777777" w:rsidTr="00747917">
        <w:trPr>
          <w:trHeight w:val="288"/>
        </w:trPr>
        <w:tc>
          <w:tcPr>
            <w:tcW w:w="2187" w:type="dxa"/>
            <w:shd w:val="clear" w:color="auto" w:fill="00D29A"/>
            <w:vAlign w:val="center"/>
            <w:hideMark/>
          </w:tcPr>
          <w:p w14:paraId="1BBEB8E6"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3.6. Priority </w:t>
            </w:r>
          </w:p>
        </w:tc>
        <w:tc>
          <w:tcPr>
            <w:tcW w:w="1561" w:type="dxa"/>
            <w:shd w:val="clear" w:color="auto" w:fill="00D29A"/>
            <w:vAlign w:val="center"/>
            <w:hideMark/>
          </w:tcPr>
          <w:p w14:paraId="7EC81D2D"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13%</w:t>
            </w:r>
          </w:p>
        </w:tc>
        <w:tc>
          <w:tcPr>
            <w:tcW w:w="2112" w:type="dxa"/>
            <w:shd w:val="clear" w:color="auto" w:fill="00D29A"/>
            <w:vAlign w:val="center"/>
            <w:hideMark/>
          </w:tcPr>
          <w:p w14:paraId="5E144E71"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7,097,599</w:t>
            </w:r>
          </w:p>
        </w:tc>
        <w:tc>
          <w:tcPr>
            <w:tcW w:w="2532" w:type="dxa"/>
            <w:shd w:val="clear" w:color="auto" w:fill="00D29A"/>
            <w:vAlign w:val="center"/>
            <w:hideMark/>
          </w:tcPr>
          <w:p w14:paraId="4C123212"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904,445</w:t>
            </w:r>
          </w:p>
        </w:tc>
        <w:tc>
          <w:tcPr>
            <w:tcW w:w="2131" w:type="dxa"/>
            <w:shd w:val="clear" w:color="auto" w:fill="00D29A"/>
            <w:vAlign w:val="center"/>
            <w:hideMark/>
          </w:tcPr>
          <w:p w14:paraId="7117C164"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6,193,153</w:t>
            </w:r>
          </w:p>
        </w:tc>
        <w:tc>
          <w:tcPr>
            <w:tcW w:w="2955" w:type="dxa"/>
            <w:shd w:val="clear" w:color="auto" w:fill="00D29A"/>
            <w:vAlign w:val="center"/>
            <w:hideMark/>
          </w:tcPr>
          <w:p w14:paraId="376305E6"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0B93907D" w14:textId="77777777" w:rsidTr="007843A3">
        <w:trPr>
          <w:trHeight w:val="480"/>
        </w:trPr>
        <w:tc>
          <w:tcPr>
            <w:tcW w:w="2187" w:type="dxa"/>
            <w:shd w:val="clear" w:color="auto" w:fill="auto"/>
            <w:vAlign w:val="center"/>
            <w:hideMark/>
          </w:tcPr>
          <w:p w14:paraId="50535006"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3.6.1. Measure</w:t>
            </w:r>
          </w:p>
        </w:tc>
        <w:tc>
          <w:tcPr>
            <w:tcW w:w="1561" w:type="dxa"/>
            <w:shd w:val="clear" w:color="auto" w:fill="auto"/>
            <w:vAlign w:val="center"/>
            <w:hideMark/>
          </w:tcPr>
          <w:p w14:paraId="2731C442"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2%</w:t>
            </w:r>
          </w:p>
        </w:tc>
        <w:tc>
          <w:tcPr>
            <w:tcW w:w="2112" w:type="dxa"/>
            <w:shd w:val="clear" w:color="auto" w:fill="auto"/>
            <w:vAlign w:val="center"/>
            <w:hideMark/>
          </w:tcPr>
          <w:p w14:paraId="3B42D5C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172,442</w:t>
            </w:r>
          </w:p>
        </w:tc>
        <w:tc>
          <w:tcPr>
            <w:tcW w:w="2532" w:type="dxa"/>
            <w:shd w:val="clear" w:color="auto" w:fill="auto"/>
            <w:vAlign w:val="center"/>
            <w:hideMark/>
          </w:tcPr>
          <w:p w14:paraId="0E10A0F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51,732</w:t>
            </w:r>
          </w:p>
        </w:tc>
        <w:tc>
          <w:tcPr>
            <w:tcW w:w="2131" w:type="dxa"/>
            <w:shd w:val="clear" w:color="auto" w:fill="auto"/>
            <w:vAlign w:val="center"/>
            <w:hideMark/>
          </w:tcPr>
          <w:p w14:paraId="2EFC03D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120,709</w:t>
            </w:r>
          </w:p>
        </w:tc>
        <w:tc>
          <w:tcPr>
            <w:tcW w:w="2955" w:type="dxa"/>
            <w:shd w:val="clear" w:color="auto" w:fill="auto"/>
            <w:vAlign w:val="center"/>
            <w:hideMark/>
          </w:tcPr>
          <w:p w14:paraId="152D10DA" w14:textId="7D997180"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321C9DD8" w14:textId="77777777" w:rsidTr="007843A3">
        <w:trPr>
          <w:trHeight w:val="480"/>
        </w:trPr>
        <w:tc>
          <w:tcPr>
            <w:tcW w:w="2187" w:type="dxa"/>
            <w:shd w:val="clear" w:color="auto" w:fill="auto"/>
            <w:vAlign w:val="center"/>
            <w:hideMark/>
          </w:tcPr>
          <w:p w14:paraId="371ABBE4"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3.6.2. Measure</w:t>
            </w:r>
          </w:p>
        </w:tc>
        <w:tc>
          <w:tcPr>
            <w:tcW w:w="1561" w:type="dxa"/>
            <w:shd w:val="clear" w:color="auto" w:fill="auto"/>
            <w:vAlign w:val="center"/>
            <w:hideMark/>
          </w:tcPr>
          <w:p w14:paraId="17A6E150"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11%</w:t>
            </w:r>
          </w:p>
        </w:tc>
        <w:tc>
          <w:tcPr>
            <w:tcW w:w="2112" w:type="dxa"/>
            <w:shd w:val="clear" w:color="auto" w:fill="auto"/>
            <w:vAlign w:val="center"/>
            <w:hideMark/>
          </w:tcPr>
          <w:p w14:paraId="781E787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800,985</w:t>
            </w:r>
          </w:p>
        </w:tc>
        <w:tc>
          <w:tcPr>
            <w:tcW w:w="2532" w:type="dxa"/>
            <w:shd w:val="clear" w:color="auto" w:fill="auto"/>
            <w:vAlign w:val="center"/>
            <w:hideMark/>
          </w:tcPr>
          <w:p w14:paraId="4400C5E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240,296</w:t>
            </w:r>
          </w:p>
        </w:tc>
        <w:tc>
          <w:tcPr>
            <w:tcW w:w="2131" w:type="dxa"/>
            <w:shd w:val="clear" w:color="auto" w:fill="auto"/>
            <w:vAlign w:val="center"/>
            <w:hideMark/>
          </w:tcPr>
          <w:p w14:paraId="6CB5D44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560,690</w:t>
            </w:r>
          </w:p>
        </w:tc>
        <w:tc>
          <w:tcPr>
            <w:tcW w:w="2955" w:type="dxa"/>
            <w:shd w:val="clear" w:color="auto" w:fill="auto"/>
            <w:vAlign w:val="center"/>
            <w:hideMark/>
          </w:tcPr>
          <w:p w14:paraId="169CECE7" w14:textId="02A42DB2"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3FC5BE39" w14:textId="77777777" w:rsidTr="007843A3">
        <w:trPr>
          <w:trHeight w:val="480"/>
        </w:trPr>
        <w:tc>
          <w:tcPr>
            <w:tcW w:w="2187" w:type="dxa"/>
            <w:shd w:val="clear" w:color="auto" w:fill="auto"/>
            <w:vAlign w:val="center"/>
            <w:hideMark/>
          </w:tcPr>
          <w:p w14:paraId="0EE0450F"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3.6.3. Measure</w:t>
            </w:r>
          </w:p>
        </w:tc>
        <w:tc>
          <w:tcPr>
            <w:tcW w:w="1561" w:type="dxa"/>
            <w:shd w:val="clear" w:color="auto" w:fill="auto"/>
            <w:vAlign w:val="center"/>
            <w:hideMark/>
          </w:tcPr>
          <w:p w14:paraId="4CC5FEE8"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36%</w:t>
            </w:r>
          </w:p>
        </w:tc>
        <w:tc>
          <w:tcPr>
            <w:tcW w:w="2112" w:type="dxa"/>
            <w:shd w:val="clear" w:color="auto" w:fill="auto"/>
            <w:vAlign w:val="center"/>
            <w:hideMark/>
          </w:tcPr>
          <w:p w14:paraId="62D0D56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2,578,263</w:t>
            </w:r>
          </w:p>
        </w:tc>
        <w:tc>
          <w:tcPr>
            <w:tcW w:w="2532" w:type="dxa"/>
            <w:shd w:val="clear" w:color="auto" w:fill="auto"/>
            <w:vAlign w:val="center"/>
            <w:hideMark/>
          </w:tcPr>
          <w:p w14:paraId="0098E44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257,826</w:t>
            </w:r>
          </w:p>
        </w:tc>
        <w:tc>
          <w:tcPr>
            <w:tcW w:w="2131" w:type="dxa"/>
            <w:shd w:val="clear" w:color="auto" w:fill="auto"/>
            <w:vAlign w:val="center"/>
            <w:hideMark/>
          </w:tcPr>
          <w:p w14:paraId="047A79A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2,320,436</w:t>
            </w:r>
          </w:p>
        </w:tc>
        <w:tc>
          <w:tcPr>
            <w:tcW w:w="2955" w:type="dxa"/>
            <w:shd w:val="clear" w:color="auto" w:fill="auto"/>
            <w:vAlign w:val="center"/>
            <w:hideMark/>
          </w:tcPr>
          <w:p w14:paraId="69998076" w14:textId="6F79B23E"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7D39E28F" w14:textId="77777777" w:rsidTr="007843A3">
        <w:trPr>
          <w:trHeight w:val="480"/>
        </w:trPr>
        <w:tc>
          <w:tcPr>
            <w:tcW w:w="2187" w:type="dxa"/>
            <w:shd w:val="clear" w:color="auto" w:fill="auto"/>
            <w:vAlign w:val="center"/>
            <w:hideMark/>
          </w:tcPr>
          <w:p w14:paraId="201F5E8F"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3.6.4. Measure</w:t>
            </w:r>
          </w:p>
        </w:tc>
        <w:tc>
          <w:tcPr>
            <w:tcW w:w="1561" w:type="dxa"/>
            <w:shd w:val="clear" w:color="auto" w:fill="auto"/>
            <w:vAlign w:val="center"/>
            <w:hideMark/>
          </w:tcPr>
          <w:p w14:paraId="6E7B6339"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50%</w:t>
            </w:r>
          </w:p>
        </w:tc>
        <w:tc>
          <w:tcPr>
            <w:tcW w:w="2112" w:type="dxa"/>
            <w:shd w:val="clear" w:color="auto" w:fill="auto"/>
            <w:vAlign w:val="center"/>
            <w:hideMark/>
          </w:tcPr>
          <w:p w14:paraId="0E9A624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3,545,909</w:t>
            </w:r>
          </w:p>
        </w:tc>
        <w:tc>
          <w:tcPr>
            <w:tcW w:w="2532" w:type="dxa"/>
            <w:shd w:val="clear" w:color="auto" w:fill="auto"/>
            <w:vAlign w:val="center"/>
            <w:hideMark/>
          </w:tcPr>
          <w:p w14:paraId="53B98FF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354,591</w:t>
            </w:r>
          </w:p>
        </w:tc>
        <w:tc>
          <w:tcPr>
            <w:tcW w:w="2131" w:type="dxa"/>
            <w:shd w:val="clear" w:color="auto" w:fill="auto"/>
            <w:vAlign w:val="center"/>
            <w:hideMark/>
          </w:tcPr>
          <w:p w14:paraId="10D4E3D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3,191,318</w:t>
            </w:r>
          </w:p>
        </w:tc>
        <w:tc>
          <w:tcPr>
            <w:tcW w:w="2955" w:type="dxa"/>
            <w:shd w:val="clear" w:color="auto" w:fill="auto"/>
            <w:vAlign w:val="center"/>
            <w:hideMark/>
          </w:tcPr>
          <w:p w14:paraId="52350179" w14:textId="2AB7F7A7"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4A344B15" w14:textId="77777777" w:rsidTr="00747917">
        <w:trPr>
          <w:trHeight w:val="288"/>
        </w:trPr>
        <w:tc>
          <w:tcPr>
            <w:tcW w:w="2187" w:type="dxa"/>
            <w:shd w:val="clear" w:color="auto" w:fill="00D29A"/>
            <w:vAlign w:val="center"/>
            <w:hideMark/>
          </w:tcPr>
          <w:p w14:paraId="30B589BA"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3.7. Priority </w:t>
            </w:r>
          </w:p>
        </w:tc>
        <w:tc>
          <w:tcPr>
            <w:tcW w:w="1561" w:type="dxa"/>
            <w:shd w:val="clear" w:color="auto" w:fill="00D29A"/>
            <w:vAlign w:val="center"/>
            <w:hideMark/>
          </w:tcPr>
          <w:p w14:paraId="3F716F20"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0.2%</w:t>
            </w:r>
          </w:p>
        </w:tc>
        <w:tc>
          <w:tcPr>
            <w:tcW w:w="2112" w:type="dxa"/>
            <w:shd w:val="clear" w:color="auto" w:fill="00D29A"/>
            <w:vAlign w:val="center"/>
            <w:hideMark/>
          </w:tcPr>
          <w:p w14:paraId="7DC0EE32"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111,202</w:t>
            </w:r>
          </w:p>
        </w:tc>
        <w:tc>
          <w:tcPr>
            <w:tcW w:w="2532" w:type="dxa"/>
            <w:shd w:val="clear" w:color="auto" w:fill="00D29A"/>
            <w:vAlign w:val="center"/>
            <w:hideMark/>
          </w:tcPr>
          <w:p w14:paraId="6D7EF09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111,202</w:t>
            </w:r>
          </w:p>
        </w:tc>
        <w:tc>
          <w:tcPr>
            <w:tcW w:w="2131" w:type="dxa"/>
            <w:shd w:val="clear" w:color="auto" w:fill="00D29A"/>
            <w:vAlign w:val="center"/>
            <w:hideMark/>
          </w:tcPr>
          <w:p w14:paraId="39E1D25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w:t>
            </w:r>
          </w:p>
        </w:tc>
        <w:tc>
          <w:tcPr>
            <w:tcW w:w="2955" w:type="dxa"/>
            <w:shd w:val="clear" w:color="auto" w:fill="00D29A"/>
            <w:vAlign w:val="center"/>
            <w:hideMark/>
          </w:tcPr>
          <w:p w14:paraId="27500218"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312CDC07" w14:textId="77777777" w:rsidTr="007843A3">
        <w:trPr>
          <w:trHeight w:val="288"/>
        </w:trPr>
        <w:tc>
          <w:tcPr>
            <w:tcW w:w="2187" w:type="dxa"/>
            <w:shd w:val="clear" w:color="auto" w:fill="auto"/>
            <w:vAlign w:val="center"/>
            <w:hideMark/>
          </w:tcPr>
          <w:p w14:paraId="53314E47"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3.7.1. Measure</w:t>
            </w:r>
          </w:p>
        </w:tc>
        <w:tc>
          <w:tcPr>
            <w:tcW w:w="1561" w:type="dxa"/>
            <w:shd w:val="clear" w:color="auto" w:fill="auto"/>
            <w:vAlign w:val="center"/>
            <w:hideMark/>
          </w:tcPr>
          <w:p w14:paraId="2594D7FB"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55%</w:t>
            </w:r>
          </w:p>
        </w:tc>
        <w:tc>
          <w:tcPr>
            <w:tcW w:w="2112" w:type="dxa"/>
            <w:shd w:val="clear" w:color="auto" w:fill="auto"/>
            <w:vAlign w:val="center"/>
            <w:hideMark/>
          </w:tcPr>
          <w:p w14:paraId="5A2E780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61,230</w:t>
            </w:r>
          </w:p>
        </w:tc>
        <w:tc>
          <w:tcPr>
            <w:tcW w:w="2532" w:type="dxa"/>
            <w:shd w:val="clear" w:color="auto" w:fill="auto"/>
            <w:vAlign w:val="center"/>
            <w:hideMark/>
          </w:tcPr>
          <w:p w14:paraId="43BF4EB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61,230</w:t>
            </w:r>
          </w:p>
        </w:tc>
        <w:tc>
          <w:tcPr>
            <w:tcW w:w="2131" w:type="dxa"/>
            <w:shd w:val="clear" w:color="auto" w:fill="auto"/>
            <w:vAlign w:val="center"/>
            <w:hideMark/>
          </w:tcPr>
          <w:p w14:paraId="1D3C198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25AC0F5C" w14:textId="652AB54C"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7330EA5B" w14:textId="77777777" w:rsidTr="007843A3">
        <w:trPr>
          <w:trHeight w:val="288"/>
        </w:trPr>
        <w:tc>
          <w:tcPr>
            <w:tcW w:w="2187" w:type="dxa"/>
            <w:shd w:val="clear" w:color="auto" w:fill="auto"/>
            <w:vAlign w:val="center"/>
            <w:hideMark/>
          </w:tcPr>
          <w:p w14:paraId="2101B53D"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3.7.2. Measure</w:t>
            </w:r>
          </w:p>
        </w:tc>
        <w:tc>
          <w:tcPr>
            <w:tcW w:w="1561" w:type="dxa"/>
            <w:shd w:val="clear" w:color="auto" w:fill="auto"/>
            <w:vAlign w:val="center"/>
            <w:hideMark/>
          </w:tcPr>
          <w:p w14:paraId="59929D94"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45%</w:t>
            </w:r>
          </w:p>
        </w:tc>
        <w:tc>
          <w:tcPr>
            <w:tcW w:w="2112" w:type="dxa"/>
            <w:shd w:val="clear" w:color="auto" w:fill="auto"/>
            <w:vAlign w:val="center"/>
            <w:hideMark/>
          </w:tcPr>
          <w:p w14:paraId="68B42E5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49,972</w:t>
            </w:r>
          </w:p>
        </w:tc>
        <w:tc>
          <w:tcPr>
            <w:tcW w:w="2532" w:type="dxa"/>
            <w:shd w:val="clear" w:color="auto" w:fill="auto"/>
            <w:vAlign w:val="center"/>
            <w:hideMark/>
          </w:tcPr>
          <w:p w14:paraId="636308A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49,972</w:t>
            </w:r>
          </w:p>
        </w:tc>
        <w:tc>
          <w:tcPr>
            <w:tcW w:w="2131" w:type="dxa"/>
            <w:shd w:val="clear" w:color="auto" w:fill="auto"/>
            <w:vAlign w:val="center"/>
            <w:hideMark/>
          </w:tcPr>
          <w:p w14:paraId="694F3C2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1FC40721" w14:textId="0F4E25F5"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62D5A134" w14:textId="77777777" w:rsidTr="001F6CF7">
        <w:trPr>
          <w:trHeight w:val="288"/>
        </w:trPr>
        <w:tc>
          <w:tcPr>
            <w:tcW w:w="2187" w:type="dxa"/>
            <w:shd w:val="clear" w:color="auto" w:fill="00D29A"/>
            <w:vAlign w:val="center"/>
            <w:hideMark/>
          </w:tcPr>
          <w:p w14:paraId="369B94B4"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3.8. Priority </w:t>
            </w:r>
          </w:p>
        </w:tc>
        <w:tc>
          <w:tcPr>
            <w:tcW w:w="1561" w:type="dxa"/>
            <w:shd w:val="clear" w:color="auto" w:fill="00D29A"/>
            <w:vAlign w:val="center"/>
            <w:hideMark/>
          </w:tcPr>
          <w:p w14:paraId="09A489BF"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0.4%</w:t>
            </w:r>
          </w:p>
        </w:tc>
        <w:tc>
          <w:tcPr>
            <w:tcW w:w="2112" w:type="dxa"/>
            <w:shd w:val="clear" w:color="auto" w:fill="00D29A"/>
            <w:vAlign w:val="center"/>
            <w:hideMark/>
          </w:tcPr>
          <w:p w14:paraId="08451B63"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211,746</w:t>
            </w:r>
          </w:p>
        </w:tc>
        <w:tc>
          <w:tcPr>
            <w:tcW w:w="2532" w:type="dxa"/>
            <w:shd w:val="clear" w:color="auto" w:fill="00D29A"/>
            <w:vAlign w:val="center"/>
            <w:hideMark/>
          </w:tcPr>
          <w:p w14:paraId="5E3864E1"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211,746</w:t>
            </w:r>
          </w:p>
        </w:tc>
        <w:tc>
          <w:tcPr>
            <w:tcW w:w="2131" w:type="dxa"/>
            <w:shd w:val="clear" w:color="auto" w:fill="00D29A"/>
            <w:vAlign w:val="center"/>
            <w:hideMark/>
          </w:tcPr>
          <w:p w14:paraId="3482E341"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w:t>
            </w:r>
          </w:p>
        </w:tc>
        <w:tc>
          <w:tcPr>
            <w:tcW w:w="2955" w:type="dxa"/>
            <w:shd w:val="clear" w:color="auto" w:fill="00D29A"/>
            <w:vAlign w:val="center"/>
            <w:hideMark/>
          </w:tcPr>
          <w:p w14:paraId="1C551473" w14:textId="77777777" w:rsidR="007843A3" w:rsidRPr="007C4D65" w:rsidRDefault="007843A3" w:rsidP="0068355A">
            <w:pPr>
              <w:spacing w:line="276" w:lineRule="auto"/>
              <w:rPr>
                <w:rFonts w:asciiTheme="minorHAnsi" w:hAnsiTheme="minorHAnsi" w:cstheme="minorHAnsi"/>
                <w:color w:val="000000"/>
                <w:sz w:val="18"/>
                <w:szCs w:val="18"/>
              </w:rPr>
            </w:pPr>
            <w:r w:rsidRPr="007C4D65">
              <w:rPr>
                <w:rFonts w:asciiTheme="minorHAnsi" w:hAnsiTheme="minorHAnsi" w:cstheme="minorHAnsi"/>
                <w:color w:val="000000"/>
                <w:sz w:val="18"/>
              </w:rPr>
              <w:t> </w:t>
            </w:r>
          </w:p>
        </w:tc>
      </w:tr>
      <w:tr w:rsidR="007843A3" w:rsidRPr="007C4D65" w14:paraId="77FE8DBC" w14:textId="77777777" w:rsidTr="007843A3">
        <w:trPr>
          <w:trHeight w:val="288"/>
        </w:trPr>
        <w:tc>
          <w:tcPr>
            <w:tcW w:w="2187" w:type="dxa"/>
            <w:shd w:val="clear" w:color="auto" w:fill="auto"/>
            <w:vAlign w:val="center"/>
            <w:hideMark/>
          </w:tcPr>
          <w:p w14:paraId="38963416"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3.8.1. Measure</w:t>
            </w:r>
          </w:p>
        </w:tc>
        <w:tc>
          <w:tcPr>
            <w:tcW w:w="1561" w:type="dxa"/>
            <w:shd w:val="clear" w:color="auto" w:fill="auto"/>
            <w:vAlign w:val="center"/>
            <w:hideMark/>
          </w:tcPr>
          <w:p w14:paraId="755914EB"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14%</w:t>
            </w:r>
          </w:p>
        </w:tc>
        <w:tc>
          <w:tcPr>
            <w:tcW w:w="2112" w:type="dxa"/>
            <w:shd w:val="clear" w:color="auto" w:fill="auto"/>
            <w:vAlign w:val="center"/>
            <w:hideMark/>
          </w:tcPr>
          <w:p w14:paraId="75846EE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30,372</w:t>
            </w:r>
          </w:p>
        </w:tc>
        <w:tc>
          <w:tcPr>
            <w:tcW w:w="2532" w:type="dxa"/>
            <w:shd w:val="clear" w:color="auto" w:fill="auto"/>
            <w:vAlign w:val="center"/>
            <w:hideMark/>
          </w:tcPr>
          <w:p w14:paraId="749FBE1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30,372</w:t>
            </w:r>
          </w:p>
        </w:tc>
        <w:tc>
          <w:tcPr>
            <w:tcW w:w="2131" w:type="dxa"/>
            <w:shd w:val="clear" w:color="auto" w:fill="auto"/>
            <w:vAlign w:val="center"/>
            <w:hideMark/>
          </w:tcPr>
          <w:p w14:paraId="2F4BF29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0FA63EEF" w14:textId="22BFCC41"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293BDA1B" w14:textId="77777777" w:rsidTr="007843A3">
        <w:trPr>
          <w:trHeight w:val="288"/>
        </w:trPr>
        <w:tc>
          <w:tcPr>
            <w:tcW w:w="2187" w:type="dxa"/>
            <w:shd w:val="clear" w:color="auto" w:fill="auto"/>
            <w:vAlign w:val="center"/>
            <w:hideMark/>
          </w:tcPr>
          <w:p w14:paraId="7B905CF4"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3.8.2. Measure</w:t>
            </w:r>
          </w:p>
        </w:tc>
        <w:tc>
          <w:tcPr>
            <w:tcW w:w="1561" w:type="dxa"/>
            <w:shd w:val="clear" w:color="auto" w:fill="auto"/>
            <w:vAlign w:val="center"/>
            <w:hideMark/>
          </w:tcPr>
          <w:p w14:paraId="6C4AFFFD"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86%</w:t>
            </w:r>
          </w:p>
        </w:tc>
        <w:tc>
          <w:tcPr>
            <w:tcW w:w="2112" w:type="dxa"/>
            <w:shd w:val="clear" w:color="auto" w:fill="auto"/>
            <w:vAlign w:val="center"/>
            <w:hideMark/>
          </w:tcPr>
          <w:p w14:paraId="144B76C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181,374</w:t>
            </w:r>
          </w:p>
        </w:tc>
        <w:tc>
          <w:tcPr>
            <w:tcW w:w="2532" w:type="dxa"/>
            <w:shd w:val="clear" w:color="auto" w:fill="auto"/>
            <w:vAlign w:val="center"/>
            <w:hideMark/>
          </w:tcPr>
          <w:p w14:paraId="2E18C9D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181,374</w:t>
            </w:r>
          </w:p>
        </w:tc>
        <w:tc>
          <w:tcPr>
            <w:tcW w:w="2131" w:type="dxa"/>
            <w:shd w:val="clear" w:color="auto" w:fill="auto"/>
            <w:vAlign w:val="center"/>
            <w:hideMark/>
          </w:tcPr>
          <w:p w14:paraId="08035E1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043DB2A3" w14:textId="5F8C21DE"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786A7BEF" w14:textId="77777777" w:rsidTr="001F6CF7">
        <w:trPr>
          <w:trHeight w:val="288"/>
        </w:trPr>
        <w:tc>
          <w:tcPr>
            <w:tcW w:w="2187" w:type="dxa"/>
            <w:shd w:val="clear" w:color="auto" w:fill="00D29A"/>
            <w:vAlign w:val="center"/>
            <w:hideMark/>
          </w:tcPr>
          <w:p w14:paraId="782AF4F4"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3.9. Priority </w:t>
            </w:r>
          </w:p>
        </w:tc>
        <w:tc>
          <w:tcPr>
            <w:tcW w:w="1561" w:type="dxa"/>
            <w:shd w:val="clear" w:color="auto" w:fill="00D29A"/>
            <w:vAlign w:val="center"/>
            <w:hideMark/>
          </w:tcPr>
          <w:p w14:paraId="230428DB"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w:t>
            </w:r>
          </w:p>
        </w:tc>
        <w:tc>
          <w:tcPr>
            <w:tcW w:w="2112" w:type="dxa"/>
            <w:shd w:val="clear" w:color="auto" w:fill="00D29A"/>
            <w:vAlign w:val="center"/>
            <w:hideMark/>
          </w:tcPr>
          <w:p w14:paraId="71A028E8"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498,963</w:t>
            </w:r>
          </w:p>
        </w:tc>
        <w:tc>
          <w:tcPr>
            <w:tcW w:w="2532" w:type="dxa"/>
            <w:shd w:val="clear" w:color="auto" w:fill="00D29A"/>
            <w:vAlign w:val="center"/>
            <w:hideMark/>
          </w:tcPr>
          <w:p w14:paraId="284E33D5"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111,528</w:t>
            </w:r>
          </w:p>
        </w:tc>
        <w:tc>
          <w:tcPr>
            <w:tcW w:w="2131" w:type="dxa"/>
            <w:shd w:val="clear" w:color="auto" w:fill="00D29A"/>
            <w:vAlign w:val="center"/>
            <w:hideMark/>
          </w:tcPr>
          <w:p w14:paraId="5B274D6A"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387,436</w:t>
            </w:r>
          </w:p>
        </w:tc>
        <w:tc>
          <w:tcPr>
            <w:tcW w:w="2955" w:type="dxa"/>
            <w:shd w:val="clear" w:color="auto" w:fill="00D29A"/>
            <w:vAlign w:val="center"/>
            <w:hideMark/>
          </w:tcPr>
          <w:p w14:paraId="0DD1CFF3"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3D37A4E1" w14:textId="77777777" w:rsidTr="007843A3">
        <w:trPr>
          <w:trHeight w:val="480"/>
        </w:trPr>
        <w:tc>
          <w:tcPr>
            <w:tcW w:w="2187" w:type="dxa"/>
            <w:shd w:val="clear" w:color="auto" w:fill="auto"/>
            <w:vAlign w:val="center"/>
            <w:hideMark/>
          </w:tcPr>
          <w:p w14:paraId="28218653"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lastRenderedPageBreak/>
              <w:t>3.9.1. Measure</w:t>
            </w:r>
          </w:p>
        </w:tc>
        <w:tc>
          <w:tcPr>
            <w:tcW w:w="1561" w:type="dxa"/>
            <w:shd w:val="clear" w:color="auto" w:fill="auto"/>
            <w:vAlign w:val="center"/>
            <w:hideMark/>
          </w:tcPr>
          <w:p w14:paraId="292AD36E"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97%</w:t>
            </w:r>
          </w:p>
        </w:tc>
        <w:tc>
          <w:tcPr>
            <w:tcW w:w="2112" w:type="dxa"/>
            <w:shd w:val="clear" w:color="auto" w:fill="auto"/>
            <w:vAlign w:val="center"/>
            <w:hideMark/>
          </w:tcPr>
          <w:p w14:paraId="6AFDDC0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484,295</w:t>
            </w:r>
          </w:p>
        </w:tc>
        <w:tc>
          <w:tcPr>
            <w:tcW w:w="2532" w:type="dxa"/>
            <w:shd w:val="clear" w:color="auto" w:fill="auto"/>
            <w:vAlign w:val="center"/>
            <w:hideMark/>
          </w:tcPr>
          <w:p w14:paraId="27EFEEA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96,859</w:t>
            </w:r>
          </w:p>
        </w:tc>
        <w:tc>
          <w:tcPr>
            <w:tcW w:w="2131" w:type="dxa"/>
            <w:shd w:val="clear" w:color="auto" w:fill="auto"/>
            <w:vAlign w:val="center"/>
            <w:hideMark/>
          </w:tcPr>
          <w:p w14:paraId="3AA3A0B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387,436</w:t>
            </w:r>
          </w:p>
        </w:tc>
        <w:tc>
          <w:tcPr>
            <w:tcW w:w="2955" w:type="dxa"/>
            <w:shd w:val="clear" w:color="auto" w:fill="auto"/>
            <w:vAlign w:val="center"/>
            <w:hideMark/>
          </w:tcPr>
          <w:p w14:paraId="32584ADE" w14:textId="0D7DAFC2" w:rsidR="007843A3" w:rsidRPr="007C4D65" w:rsidRDefault="00C224E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45E5EFF7" w14:textId="77777777" w:rsidTr="007843A3">
        <w:trPr>
          <w:trHeight w:val="288"/>
        </w:trPr>
        <w:tc>
          <w:tcPr>
            <w:tcW w:w="2187" w:type="dxa"/>
            <w:shd w:val="clear" w:color="auto" w:fill="auto"/>
            <w:vAlign w:val="center"/>
            <w:hideMark/>
          </w:tcPr>
          <w:p w14:paraId="1ABD1C24"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3.9.2. Measure</w:t>
            </w:r>
          </w:p>
        </w:tc>
        <w:tc>
          <w:tcPr>
            <w:tcW w:w="1561" w:type="dxa"/>
            <w:shd w:val="clear" w:color="auto" w:fill="auto"/>
            <w:vAlign w:val="center"/>
            <w:hideMark/>
          </w:tcPr>
          <w:p w14:paraId="63ED4F1E"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3%</w:t>
            </w:r>
          </w:p>
        </w:tc>
        <w:tc>
          <w:tcPr>
            <w:tcW w:w="2112" w:type="dxa"/>
            <w:shd w:val="clear" w:color="auto" w:fill="auto"/>
            <w:vAlign w:val="center"/>
            <w:hideMark/>
          </w:tcPr>
          <w:p w14:paraId="22011B0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14,669</w:t>
            </w:r>
          </w:p>
        </w:tc>
        <w:tc>
          <w:tcPr>
            <w:tcW w:w="2532" w:type="dxa"/>
            <w:shd w:val="clear" w:color="auto" w:fill="auto"/>
            <w:vAlign w:val="center"/>
            <w:hideMark/>
          </w:tcPr>
          <w:p w14:paraId="1F7688F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14,669</w:t>
            </w:r>
          </w:p>
        </w:tc>
        <w:tc>
          <w:tcPr>
            <w:tcW w:w="2131" w:type="dxa"/>
            <w:shd w:val="clear" w:color="auto" w:fill="auto"/>
            <w:vAlign w:val="center"/>
            <w:hideMark/>
          </w:tcPr>
          <w:p w14:paraId="2170AEF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7AF507A7" w14:textId="6E2FBFA1"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28E4858B" w14:textId="77777777" w:rsidTr="001F6CF7">
        <w:trPr>
          <w:trHeight w:val="288"/>
        </w:trPr>
        <w:tc>
          <w:tcPr>
            <w:tcW w:w="2187" w:type="dxa"/>
            <w:shd w:val="clear" w:color="auto" w:fill="00D29A"/>
            <w:vAlign w:val="center"/>
            <w:hideMark/>
          </w:tcPr>
          <w:p w14:paraId="2133BD16"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3.10. Priority </w:t>
            </w:r>
          </w:p>
        </w:tc>
        <w:tc>
          <w:tcPr>
            <w:tcW w:w="1561" w:type="dxa"/>
            <w:shd w:val="clear" w:color="auto" w:fill="00D29A"/>
            <w:vAlign w:val="center"/>
            <w:hideMark/>
          </w:tcPr>
          <w:p w14:paraId="58E9AD1D"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w:t>
            </w:r>
          </w:p>
        </w:tc>
        <w:tc>
          <w:tcPr>
            <w:tcW w:w="2112" w:type="dxa"/>
            <w:shd w:val="clear" w:color="auto" w:fill="00D29A"/>
            <w:vAlign w:val="center"/>
            <w:hideMark/>
          </w:tcPr>
          <w:p w14:paraId="17A30D40"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667,826</w:t>
            </w:r>
          </w:p>
        </w:tc>
        <w:tc>
          <w:tcPr>
            <w:tcW w:w="2532" w:type="dxa"/>
            <w:shd w:val="clear" w:color="auto" w:fill="00D29A"/>
            <w:vAlign w:val="center"/>
            <w:hideMark/>
          </w:tcPr>
          <w:p w14:paraId="65401050"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66,783</w:t>
            </w:r>
          </w:p>
        </w:tc>
        <w:tc>
          <w:tcPr>
            <w:tcW w:w="2131" w:type="dxa"/>
            <w:shd w:val="clear" w:color="auto" w:fill="00D29A"/>
            <w:vAlign w:val="center"/>
            <w:hideMark/>
          </w:tcPr>
          <w:p w14:paraId="65BEB283"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601,043</w:t>
            </w:r>
          </w:p>
        </w:tc>
        <w:tc>
          <w:tcPr>
            <w:tcW w:w="2955" w:type="dxa"/>
            <w:shd w:val="clear" w:color="auto" w:fill="00D29A"/>
            <w:vAlign w:val="center"/>
            <w:hideMark/>
          </w:tcPr>
          <w:p w14:paraId="5FD3498B"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1D4F77B3" w14:textId="77777777" w:rsidTr="007843A3">
        <w:trPr>
          <w:trHeight w:val="480"/>
        </w:trPr>
        <w:tc>
          <w:tcPr>
            <w:tcW w:w="2187" w:type="dxa"/>
            <w:shd w:val="clear" w:color="auto" w:fill="auto"/>
            <w:vAlign w:val="center"/>
            <w:hideMark/>
          </w:tcPr>
          <w:p w14:paraId="61E3E87B"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3.10.1. Measure</w:t>
            </w:r>
          </w:p>
        </w:tc>
        <w:tc>
          <w:tcPr>
            <w:tcW w:w="1561" w:type="dxa"/>
            <w:shd w:val="clear" w:color="auto" w:fill="auto"/>
            <w:vAlign w:val="center"/>
            <w:hideMark/>
          </w:tcPr>
          <w:p w14:paraId="7F5A9F5B"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52A05CB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667,826</w:t>
            </w:r>
          </w:p>
        </w:tc>
        <w:tc>
          <w:tcPr>
            <w:tcW w:w="2532" w:type="dxa"/>
            <w:shd w:val="clear" w:color="auto" w:fill="auto"/>
            <w:vAlign w:val="center"/>
            <w:hideMark/>
          </w:tcPr>
          <w:p w14:paraId="6D12DA6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66,783</w:t>
            </w:r>
          </w:p>
        </w:tc>
        <w:tc>
          <w:tcPr>
            <w:tcW w:w="2131" w:type="dxa"/>
            <w:shd w:val="clear" w:color="auto" w:fill="auto"/>
            <w:vAlign w:val="center"/>
            <w:hideMark/>
          </w:tcPr>
          <w:p w14:paraId="0752C65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601,043</w:t>
            </w:r>
          </w:p>
        </w:tc>
        <w:tc>
          <w:tcPr>
            <w:tcW w:w="2955" w:type="dxa"/>
            <w:shd w:val="clear" w:color="auto" w:fill="auto"/>
            <w:vAlign w:val="center"/>
            <w:hideMark/>
          </w:tcPr>
          <w:p w14:paraId="0D90C950" w14:textId="6EA48746"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55A188E9" w14:textId="77777777" w:rsidTr="001F6CF7">
        <w:trPr>
          <w:trHeight w:val="936"/>
        </w:trPr>
        <w:tc>
          <w:tcPr>
            <w:tcW w:w="2187" w:type="dxa"/>
            <w:shd w:val="clear" w:color="auto" w:fill="009D73"/>
            <w:vAlign w:val="center"/>
            <w:hideMark/>
          </w:tcPr>
          <w:p w14:paraId="0CAFC195"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Air quality, climate and energy</w:t>
            </w:r>
          </w:p>
        </w:tc>
        <w:tc>
          <w:tcPr>
            <w:tcW w:w="1561" w:type="dxa"/>
            <w:shd w:val="clear" w:color="auto" w:fill="009D73"/>
            <w:vAlign w:val="center"/>
            <w:hideMark/>
          </w:tcPr>
          <w:p w14:paraId="4DA22368"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28%</w:t>
            </w:r>
          </w:p>
        </w:tc>
        <w:tc>
          <w:tcPr>
            <w:tcW w:w="2112" w:type="dxa"/>
            <w:shd w:val="clear" w:color="auto" w:fill="009D73"/>
            <w:vAlign w:val="center"/>
            <w:hideMark/>
          </w:tcPr>
          <w:p w14:paraId="6035220C"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3,325,700,554</w:t>
            </w:r>
          </w:p>
        </w:tc>
        <w:tc>
          <w:tcPr>
            <w:tcW w:w="2532" w:type="dxa"/>
            <w:shd w:val="clear" w:color="auto" w:fill="009D73"/>
            <w:vAlign w:val="center"/>
            <w:hideMark/>
          </w:tcPr>
          <w:p w14:paraId="71681B52"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332,985,337</w:t>
            </w:r>
          </w:p>
        </w:tc>
        <w:tc>
          <w:tcPr>
            <w:tcW w:w="2131" w:type="dxa"/>
            <w:shd w:val="clear" w:color="auto" w:fill="009D73"/>
            <w:vAlign w:val="center"/>
            <w:hideMark/>
          </w:tcPr>
          <w:p w14:paraId="41ED0762"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2,992,715,218</w:t>
            </w:r>
          </w:p>
        </w:tc>
        <w:tc>
          <w:tcPr>
            <w:tcW w:w="2955" w:type="dxa"/>
            <w:shd w:val="clear" w:color="auto" w:fill="009D73"/>
            <w:vAlign w:val="center"/>
            <w:hideMark/>
          </w:tcPr>
          <w:p w14:paraId="3D411856"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23420481" w14:textId="77777777" w:rsidTr="001F6CF7">
        <w:trPr>
          <w:trHeight w:val="288"/>
        </w:trPr>
        <w:tc>
          <w:tcPr>
            <w:tcW w:w="2187" w:type="dxa"/>
            <w:shd w:val="clear" w:color="auto" w:fill="00D29A"/>
            <w:vAlign w:val="center"/>
            <w:hideMark/>
          </w:tcPr>
          <w:p w14:paraId="310E345A"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4.1. Priority </w:t>
            </w:r>
          </w:p>
        </w:tc>
        <w:tc>
          <w:tcPr>
            <w:tcW w:w="1561" w:type="dxa"/>
            <w:shd w:val="clear" w:color="auto" w:fill="00D29A"/>
            <w:vAlign w:val="center"/>
            <w:hideMark/>
          </w:tcPr>
          <w:p w14:paraId="08FB3525"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10%</w:t>
            </w:r>
          </w:p>
        </w:tc>
        <w:tc>
          <w:tcPr>
            <w:tcW w:w="2112" w:type="dxa"/>
            <w:shd w:val="clear" w:color="auto" w:fill="00D29A"/>
            <w:vAlign w:val="center"/>
            <w:hideMark/>
          </w:tcPr>
          <w:p w14:paraId="283274C1"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324,806,327</w:t>
            </w:r>
          </w:p>
        </w:tc>
        <w:tc>
          <w:tcPr>
            <w:tcW w:w="2532" w:type="dxa"/>
            <w:shd w:val="clear" w:color="auto" w:fill="00D29A"/>
            <w:vAlign w:val="center"/>
            <w:hideMark/>
          </w:tcPr>
          <w:p w14:paraId="32B5DF50"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32,575,808</w:t>
            </w:r>
          </w:p>
        </w:tc>
        <w:tc>
          <w:tcPr>
            <w:tcW w:w="2131" w:type="dxa"/>
            <w:shd w:val="clear" w:color="auto" w:fill="00D29A"/>
            <w:vAlign w:val="center"/>
            <w:hideMark/>
          </w:tcPr>
          <w:p w14:paraId="0644D9A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292,230,519</w:t>
            </w:r>
          </w:p>
        </w:tc>
        <w:tc>
          <w:tcPr>
            <w:tcW w:w="2955" w:type="dxa"/>
            <w:shd w:val="clear" w:color="auto" w:fill="00D29A"/>
            <w:vAlign w:val="center"/>
            <w:hideMark/>
          </w:tcPr>
          <w:p w14:paraId="1A5FA4FB"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2C0152F0" w14:textId="77777777" w:rsidTr="007843A3">
        <w:trPr>
          <w:trHeight w:val="480"/>
        </w:trPr>
        <w:tc>
          <w:tcPr>
            <w:tcW w:w="2187" w:type="dxa"/>
            <w:shd w:val="clear" w:color="auto" w:fill="auto"/>
            <w:vAlign w:val="center"/>
            <w:hideMark/>
          </w:tcPr>
          <w:p w14:paraId="36B39F2E"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4.1.1. Measure</w:t>
            </w:r>
          </w:p>
        </w:tc>
        <w:tc>
          <w:tcPr>
            <w:tcW w:w="1561" w:type="dxa"/>
            <w:shd w:val="clear" w:color="auto" w:fill="auto"/>
            <w:vAlign w:val="center"/>
            <w:hideMark/>
          </w:tcPr>
          <w:p w14:paraId="23EE8B25"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0.3%</w:t>
            </w:r>
          </w:p>
        </w:tc>
        <w:tc>
          <w:tcPr>
            <w:tcW w:w="2112" w:type="dxa"/>
            <w:shd w:val="clear" w:color="auto" w:fill="auto"/>
            <w:vAlign w:val="center"/>
            <w:hideMark/>
          </w:tcPr>
          <w:p w14:paraId="115CBF5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951,751</w:t>
            </w:r>
          </w:p>
        </w:tc>
        <w:tc>
          <w:tcPr>
            <w:tcW w:w="2532" w:type="dxa"/>
            <w:shd w:val="clear" w:color="auto" w:fill="auto"/>
            <w:vAlign w:val="center"/>
            <w:hideMark/>
          </w:tcPr>
          <w:p w14:paraId="2E254F9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190,350</w:t>
            </w:r>
          </w:p>
        </w:tc>
        <w:tc>
          <w:tcPr>
            <w:tcW w:w="2131" w:type="dxa"/>
            <w:shd w:val="clear" w:color="auto" w:fill="auto"/>
            <w:vAlign w:val="center"/>
            <w:hideMark/>
          </w:tcPr>
          <w:p w14:paraId="686B054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761,401</w:t>
            </w:r>
          </w:p>
        </w:tc>
        <w:tc>
          <w:tcPr>
            <w:tcW w:w="2955" w:type="dxa"/>
            <w:shd w:val="clear" w:color="auto" w:fill="auto"/>
            <w:vAlign w:val="center"/>
            <w:hideMark/>
          </w:tcPr>
          <w:p w14:paraId="6CB77D0A" w14:textId="38E67ED1"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37CAA9DE" w14:textId="77777777" w:rsidTr="007843A3">
        <w:trPr>
          <w:trHeight w:val="720"/>
        </w:trPr>
        <w:tc>
          <w:tcPr>
            <w:tcW w:w="2187" w:type="dxa"/>
            <w:shd w:val="clear" w:color="auto" w:fill="auto"/>
            <w:vAlign w:val="center"/>
            <w:hideMark/>
          </w:tcPr>
          <w:p w14:paraId="49D786DF"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4.1.2. Measure</w:t>
            </w:r>
          </w:p>
        </w:tc>
        <w:tc>
          <w:tcPr>
            <w:tcW w:w="1561" w:type="dxa"/>
            <w:shd w:val="clear" w:color="auto" w:fill="auto"/>
            <w:vAlign w:val="center"/>
            <w:hideMark/>
          </w:tcPr>
          <w:p w14:paraId="6C5DF000"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6ACD2BC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323,854,576</w:t>
            </w:r>
          </w:p>
        </w:tc>
        <w:tc>
          <w:tcPr>
            <w:tcW w:w="2532" w:type="dxa"/>
            <w:shd w:val="clear" w:color="auto" w:fill="auto"/>
            <w:vAlign w:val="center"/>
            <w:hideMark/>
          </w:tcPr>
          <w:p w14:paraId="5C15743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32,385,458</w:t>
            </w:r>
          </w:p>
        </w:tc>
        <w:tc>
          <w:tcPr>
            <w:tcW w:w="2131" w:type="dxa"/>
            <w:shd w:val="clear" w:color="auto" w:fill="auto"/>
            <w:vAlign w:val="center"/>
            <w:hideMark/>
          </w:tcPr>
          <w:p w14:paraId="3E17623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291,469,118</w:t>
            </w:r>
          </w:p>
        </w:tc>
        <w:tc>
          <w:tcPr>
            <w:tcW w:w="2955" w:type="dxa"/>
            <w:shd w:val="clear" w:color="auto" w:fill="auto"/>
            <w:vAlign w:val="center"/>
            <w:hideMark/>
          </w:tcPr>
          <w:p w14:paraId="22203086" w14:textId="12E56C5B"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095CAC" w:rsidRPr="007C4D65">
              <w:rPr>
                <w:rFonts w:asciiTheme="minorHAnsi" w:hAnsiTheme="minorHAnsi" w:cstheme="minorHAnsi"/>
                <w:b/>
                <w:color w:val="000000"/>
                <w:sz w:val="18"/>
              </w:rPr>
              <w:t>, Loans</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135D6D10" w14:textId="77777777" w:rsidTr="001F6CF7">
        <w:trPr>
          <w:trHeight w:val="288"/>
        </w:trPr>
        <w:tc>
          <w:tcPr>
            <w:tcW w:w="2187" w:type="dxa"/>
            <w:shd w:val="clear" w:color="auto" w:fill="00D29A"/>
            <w:vAlign w:val="center"/>
            <w:hideMark/>
          </w:tcPr>
          <w:p w14:paraId="74E38B94"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4.2. Priority </w:t>
            </w:r>
          </w:p>
        </w:tc>
        <w:tc>
          <w:tcPr>
            <w:tcW w:w="1561" w:type="dxa"/>
            <w:shd w:val="clear" w:color="auto" w:fill="00D29A"/>
            <w:vAlign w:val="center"/>
            <w:hideMark/>
          </w:tcPr>
          <w:p w14:paraId="586E961D"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7%</w:t>
            </w:r>
          </w:p>
        </w:tc>
        <w:tc>
          <w:tcPr>
            <w:tcW w:w="2112" w:type="dxa"/>
            <w:shd w:val="clear" w:color="auto" w:fill="00D29A"/>
            <w:vAlign w:val="center"/>
            <w:hideMark/>
          </w:tcPr>
          <w:p w14:paraId="2581BF5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241,799,089</w:t>
            </w:r>
          </w:p>
        </w:tc>
        <w:tc>
          <w:tcPr>
            <w:tcW w:w="2532" w:type="dxa"/>
            <w:shd w:val="clear" w:color="auto" w:fill="00D29A"/>
            <w:vAlign w:val="center"/>
            <w:hideMark/>
          </w:tcPr>
          <w:p w14:paraId="7D970AA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24,179,909</w:t>
            </w:r>
          </w:p>
        </w:tc>
        <w:tc>
          <w:tcPr>
            <w:tcW w:w="2131" w:type="dxa"/>
            <w:shd w:val="clear" w:color="auto" w:fill="00D29A"/>
            <w:vAlign w:val="center"/>
            <w:hideMark/>
          </w:tcPr>
          <w:p w14:paraId="2681A262"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217,619,180</w:t>
            </w:r>
          </w:p>
        </w:tc>
        <w:tc>
          <w:tcPr>
            <w:tcW w:w="2955" w:type="dxa"/>
            <w:shd w:val="clear" w:color="auto" w:fill="00D29A"/>
            <w:vAlign w:val="center"/>
            <w:hideMark/>
          </w:tcPr>
          <w:p w14:paraId="563F561A"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6B4DBA5F" w14:textId="77777777" w:rsidTr="007843A3">
        <w:trPr>
          <w:trHeight w:val="480"/>
        </w:trPr>
        <w:tc>
          <w:tcPr>
            <w:tcW w:w="2187" w:type="dxa"/>
            <w:shd w:val="clear" w:color="auto" w:fill="auto"/>
            <w:vAlign w:val="center"/>
            <w:hideMark/>
          </w:tcPr>
          <w:p w14:paraId="022DB0B8"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4.2.1. Measure</w:t>
            </w:r>
          </w:p>
        </w:tc>
        <w:tc>
          <w:tcPr>
            <w:tcW w:w="1561" w:type="dxa"/>
            <w:shd w:val="clear" w:color="auto" w:fill="auto"/>
            <w:vAlign w:val="center"/>
            <w:hideMark/>
          </w:tcPr>
          <w:p w14:paraId="2DE13546"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w:t>
            </w:r>
          </w:p>
        </w:tc>
        <w:tc>
          <w:tcPr>
            <w:tcW w:w="2112" w:type="dxa"/>
            <w:shd w:val="clear" w:color="auto" w:fill="auto"/>
            <w:vAlign w:val="center"/>
            <w:hideMark/>
          </w:tcPr>
          <w:p w14:paraId="33C57B4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3,340,737</w:t>
            </w:r>
          </w:p>
        </w:tc>
        <w:tc>
          <w:tcPr>
            <w:tcW w:w="2532" w:type="dxa"/>
            <w:shd w:val="clear" w:color="auto" w:fill="auto"/>
            <w:vAlign w:val="center"/>
            <w:hideMark/>
          </w:tcPr>
          <w:p w14:paraId="3A1709C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334,074</w:t>
            </w:r>
          </w:p>
        </w:tc>
        <w:tc>
          <w:tcPr>
            <w:tcW w:w="2131" w:type="dxa"/>
            <w:shd w:val="clear" w:color="auto" w:fill="auto"/>
            <w:vAlign w:val="center"/>
            <w:hideMark/>
          </w:tcPr>
          <w:p w14:paraId="20DF70A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3,006,663</w:t>
            </w:r>
          </w:p>
        </w:tc>
        <w:tc>
          <w:tcPr>
            <w:tcW w:w="2955" w:type="dxa"/>
            <w:shd w:val="clear" w:color="auto" w:fill="auto"/>
            <w:vAlign w:val="center"/>
            <w:hideMark/>
          </w:tcPr>
          <w:p w14:paraId="36F1DAE9" w14:textId="7D9BF176"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0C734F42" w14:textId="77777777" w:rsidTr="007843A3">
        <w:trPr>
          <w:trHeight w:val="720"/>
        </w:trPr>
        <w:tc>
          <w:tcPr>
            <w:tcW w:w="2187" w:type="dxa"/>
            <w:shd w:val="clear" w:color="auto" w:fill="auto"/>
            <w:vAlign w:val="center"/>
            <w:hideMark/>
          </w:tcPr>
          <w:p w14:paraId="1FF3B7A3"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4.2.2. Measure</w:t>
            </w:r>
          </w:p>
        </w:tc>
        <w:tc>
          <w:tcPr>
            <w:tcW w:w="1561" w:type="dxa"/>
            <w:shd w:val="clear" w:color="auto" w:fill="auto"/>
            <w:vAlign w:val="center"/>
            <w:hideMark/>
          </w:tcPr>
          <w:p w14:paraId="63D8BC0F"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99%</w:t>
            </w:r>
          </w:p>
        </w:tc>
        <w:tc>
          <w:tcPr>
            <w:tcW w:w="2112" w:type="dxa"/>
            <w:shd w:val="clear" w:color="auto" w:fill="auto"/>
            <w:vAlign w:val="center"/>
            <w:hideMark/>
          </w:tcPr>
          <w:p w14:paraId="0CB36F1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238,458,352</w:t>
            </w:r>
          </w:p>
        </w:tc>
        <w:tc>
          <w:tcPr>
            <w:tcW w:w="2532" w:type="dxa"/>
            <w:shd w:val="clear" w:color="auto" w:fill="auto"/>
            <w:vAlign w:val="center"/>
            <w:hideMark/>
          </w:tcPr>
          <w:p w14:paraId="5ABA289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23,845,835</w:t>
            </w:r>
          </w:p>
        </w:tc>
        <w:tc>
          <w:tcPr>
            <w:tcW w:w="2131" w:type="dxa"/>
            <w:shd w:val="clear" w:color="auto" w:fill="auto"/>
            <w:vAlign w:val="center"/>
            <w:hideMark/>
          </w:tcPr>
          <w:p w14:paraId="32B4E5A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214,612,517</w:t>
            </w:r>
          </w:p>
        </w:tc>
        <w:tc>
          <w:tcPr>
            <w:tcW w:w="2955" w:type="dxa"/>
            <w:shd w:val="clear" w:color="auto" w:fill="auto"/>
            <w:vAlign w:val="center"/>
            <w:hideMark/>
          </w:tcPr>
          <w:p w14:paraId="60DB109B" w14:textId="1AED0B2B"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Government </w:t>
            </w:r>
            <w:proofErr w:type="gramStart"/>
            <w:r w:rsidRPr="007C4D65">
              <w:rPr>
                <w:rFonts w:asciiTheme="minorHAnsi" w:hAnsiTheme="minorHAnsi" w:cstheme="minorHAnsi"/>
                <w:b/>
                <w:color w:val="000000"/>
                <w:sz w:val="18"/>
              </w:rPr>
              <w:t>budget</w:t>
            </w:r>
            <w:r w:rsidR="00C224E3" w:rsidRPr="007C4D65">
              <w:rPr>
                <w:rFonts w:asciiTheme="minorHAnsi" w:hAnsiTheme="minorHAnsi" w:cstheme="minorHAnsi"/>
                <w:b/>
                <w:color w:val="000000"/>
                <w:sz w:val="18"/>
              </w:rPr>
              <w:t xml:space="preserve"> </w:t>
            </w:r>
            <w:r w:rsidR="007843A3" w:rsidRPr="007C4D65">
              <w:rPr>
                <w:rFonts w:asciiTheme="minorHAnsi" w:hAnsiTheme="minorHAnsi" w:cstheme="minorHAnsi"/>
                <w:b/>
                <w:color w:val="000000"/>
                <w:sz w:val="18"/>
              </w:rPr>
              <w:t>,</w:t>
            </w:r>
            <w:proofErr w:type="gramEnd"/>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r w:rsidR="0009555E" w:rsidRPr="007C4D65">
              <w:rPr>
                <w:rFonts w:asciiTheme="minorHAnsi" w:hAnsiTheme="minorHAnsi" w:cstheme="minorHAnsi"/>
                <w:b/>
                <w:color w:val="000000"/>
                <w:sz w:val="18"/>
              </w:rPr>
              <w:t xml:space="preserve">Other donations  </w:t>
            </w:r>
          </w:p>
        </w:tc>
      </w:tr>
      <w:tr w:rsidR="007843A3" w:rsidRPr="007C4D65" w14:paraId="0830034A" w14:textId="77777777" w:rsidTr="001F6CF7">
        <w:trPr>
          <w:trHeight w:val="288"/>
        </w:trPr>
        <w:tc>
          <w:tcPr>
            <w:tcW w:w="2187" w:type="dxa"/>
            <w:shd w:val="clear" w:color="auto" w:fill="00D29A"/>
            <w:vAlign w:val="center"/>
            <w:hideMark/>
          </w:tcPr>
          <w:p w14:paraId="3EB460B5"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4.3. Priority </w:t>
            </w:r>
          </w:p>
        </w:tc>
        <w:tc>
          <w:tcPr>
            <w:tcW w:w="1561" w:type="dxa"/>
            <w:shd w:val="clear" w:color="auto" w:fill="00D29A"/>
            <w:vAlign w:val="center"/>
            <w:hideMark/>
          </w:tcPr>
          <w:p w14:paraId="28EECF68"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0.3%</w:t>
            </w:r>
          </w:p>
        </w:tc>
        <w:tc>
          <w:tcPr>
            <w:tcW w:w="2112" w:type="dxa"/>
            <w:shd w:val="clear" w:color="auto" w:fill="00D29A"/>
            <w:vAlign w:val="center"/>
            <w:hideMark/>
          </w:tcPr>
          <w:p w14:paraId="6C977F7A"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8,874,483</w:t>
            </w:r>
          </w:p>
        </w:tc>
        <w:tc>
          <w:tcPr>
            <w:tcW w:w="2532" w:type="dxa"/>
            <w:shd w:val="clear" w:color="auto" w:fill="00D29A"/>
            <w:vAlign w:val="center"/>
            <w:hideMark/>
          </w:tcPr>
          <w:p w14:paraId="0B025C17"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887,448</w:t>
            </w:r>
          </w:p>
        </w:tc>
        <w:tc>
          <w:tcPr>
            <w:tcW w:w="2131" w:type="dxa"/>
            <w:shd w:val="clear" w:color="auto" w:fill="00D29A"/>
            <w:vAlign w:val="center"/>
            <w:hideMark/>
          </w:tcPr>
          <w:p w14:paraId="7493A011"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7,987,035</w:t>
            </w:r>
          </w:p>
        </w:tc>
        <w:tc>
          <w:tcPr>
            <w:tcW w:w="2955" w:type="dxa"/>
            <w:shd w:val="clear" w:color="auto" w:fill="00D29A"/>
            <w:vAlign w:val="center"/>
            <w:hideMark/>
          </w:tcPr>
          <w:p w14:paraId="5E70917A"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4410406B" w14:textId="77777777" w:rsidTr="007843A3">
        <w:trPr>
          <w:trHeight w:val="720"/>
        </w:trPr>
        <w:tc>
          <w:tcPr>
            <w:tcW w:w="2187" w:type="dxa"/>
            <w:shd w:val="clear" w:color="auto" w:fill="auto"/>
            <w:vAlign w:val="center"/>
            <w:hideMark/>
          </w:tcPr>
          <w:p w14:paraId="34FAE8B4"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4.3.1. Measure</w:t>
            </w:r>
          </w:p>
        </w:tc>
        <w:tc>
          <w:tcPr>
            <w:tcW w:w="1561" w:type="dxa"/>
            <w:shd w:val="clear" w:color="auto" w:fill="auto"/>
            <w:vAlign w:val="center"/>
            <w:hideMark/>
          </w:tcPr>
          <w:p w14:paraId="18BE0B6C"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4DC8F36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8,874,483</w:t>
            </w:r>
          </w:p>
        </w:tc>
        <w:tc>
          <w:tcPr>
            <w:tcW w:w="2532" w:type="dxa"/>
            <w:shd w:val="clear" w:color="auto" w:fill="auto"/>
            <w:vAlign w:val="center"/>
            <w:hideMark/>
          </w:tcPr>
          <w:p w14:paraId="312E364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887,448</w:t>
            </w:r>
          </w:p>
        </w:tc>
        <w:tc>
          <w:tcPr>
            <w:tcW w:w="2131" w:type="dxa"/>
            <w:shd w:val="clear" w:color="auto" w:fill="auto"/>
            <w:vAlign w:val="center"/>
            <w:hideMark/>
          </w:tcPr>
          <w:p w14:paraId="54E4C0F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7,987,035</w:t>
            </w:r>
          </w:p>
        </w:tc>
        <w:tc>
          <w:tcPr>
            <w:tcW w:w="2955" w:type="dxa"/>
            <w:shd w:val="clear" w:color="auto" w:fill="auto"/>
            <w:vAlign w:val="center"/>
            <w:hideMark/>
          </w:tcPr>
          <w:p w14:paraId="66CBC401" w14:textId="067A935D"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2A7B8906" w14:textId="77777777" w:rsidTr="001F6CF7">
        <w:trPr>
          <w:trHeight w:val="288"/>
        </w:trPr>
        <w:tc>
          <w:tcPr>
            <w:tcW w:w="2187" w:type="dxa"/>
            <w:shd w:val="clear" w:color="auto" w:fill="00D29A"/>
            <w:vAlign w:val="center"/>
            <w:hideMark/>
          </w:tcPr>
          <w:p w14:paraId="3E841779"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4.4. Priority </w:t>
            </w:r>
          </w:p>
        </w:tc>
        <w:tc>
          <w:tcPr>
            <w:tcW w:w="1561" w:type="dxa"/>
            <w:shd w:val="clear" w:color="auto" w:fill="00D29A"/>
            <w:vAlign w:val="center"/>
            <w:hideMark/>
          </w:tcPr>
          <w:p w14:paraId="6C85452F"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18%</w:t>
            </w:r>
          </w:p>
        </w:tc>
        <w:tc>
          <w:tcPr>
            <w:tcW w:w="2112" w:type="dxa"/>
            <w:shd w:val="clear" w:color="auto" w:fill="00D29A"/>
            <w:vAlign w:val="center"/>
            <w:hideMark/>
          </w:tcPr>
          <w:p w14:paraId="4FBC202C"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597,648,872</w:t>
            </w:r>
          </w:p>
        </w:tc>
        <w:tc>
          <w:tcPr>
            <w:tcW w:w="2532" w:type="dxa"/>
            <w:shd w:val="clear" w:color="auto" w:fill="00D29A"/>
            <w:vAlign w:val="center"/>
            <w:hideMark/>
          </w:tcPr>
          <w:p w14:paraId="7F2B1AD0"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59,838,699</w:t>
            </w:r>
          </w:p>
        </w:tc>
        <w:tc>
          <w:tcPr>
            <w:tcW w:w="2131" w:type="dxa"/>
            <w:shd w:val="clear" w:color="auto" w:fill="00D29A"/>
            <w:vAlign w:val="center"/>
            <w:hideMark/>
          </w:tcPr>
          <w:p w14:paraId="33B08DC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537,810,173</w:t>
            </w:r>
          </w:p>
        </w:tc>
        <w:tc>
          <w:tcPr>
            <w:tcW w:w="2955" w:type="dxa"/>
            <w:shd w:val="clear" w:color="auto" w:fill="00D29A"/>
            <w:vAlign w:val="center"/>
            <w:hideMark/>
          </w:tcPr>
          <w:p w14:paraId="173CF593"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5E2FB61D" w14:textId="77777777" w:rsidTr="007843A3">
        <w:trPr>
          <w:trHeight w:val="720"/>
        </w:trPr>
        <w:tc>
          <w:tcPr>
            <w:tcW w:w="2187" w:type="dxa"/>
            <w:shd w:val="clear" w:color="auto" w:fill="auto"/>
            <w:vAlign w:val="center"/>
            <w:hideMark/>
          </w:tcPr>
          <w:p w14:paraId="60446685"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4.4.1. Measure</w:t>
            </w:r>
          </w:p>
        </w:tc>
        <w:tc>
          <w:tcPr>
            <w:tcW w:w="1561" w:type="dxa"/>
            <w:shd w:val="clear" w:color="auto" w:fill="auto"/>
            <w:vAlign w:val="center"/>
            <w:hideMark/>
          </w:tcPr>
          <w:p w14:paraId="3B1DF720"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0.1%</w:t>
            </w:r>
          </w:p>
        </w:tc>
        <w:tc>
          <w:tcPr>
            <w:tcW w:w="2112" w:type="dxa"/>
            <w:shd w:val="clear" w:color="auto" w:fill="auto"/>
            <w:vAlign w:val="center"/>
            <w:hideMark/>
          </w:tcPr>
          <w:p w14:paraId="079E554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738,117</w:t>
            </w:r>
          </w:p>
        </w:tc>
        <w:tc>
          <w:tcPr>
            <w:tcW w:w="2532" w:type="dxa"/>
            <w:shd w:val="clear" w:color="auto" w:fill="auto"/>
            <w:vAlign w:val="center"/>
            <w:hideMark/>
          </w:tcPr>
          <w:p w14:paraId="603B3A2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147,623</w:t>
            </w:r>
          </w:p>
        </w:tc>
        <w:tc>
          <w:tcPr>
            <w:tcW w:w="2131" w:type="dxa"/>
            <w:shd w:val="clear" w:color="auto" w:fill="auto"/>
            <w:vAlign w:val="center"/>
            <w:hideMark/>
          </w:tcPr>
          <w:p w14:paraId="5B33839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590,494</w:t>
            </w:r>
          </w:p>
        </w:tc>
        <w:tc>
          <w:tcPr>
            <w:tcW w:w="2955" w:type="dxa"/>
            <w:shd w:val="clear" w:color="auto" w:fill="auto"/>
            <w:vAlign w:val="center"/>
            <w:hideMark/>
          </w:tcPr>
          <w:p w14:paraId="624C67B6" w14:textId="27740205"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79D754A1" w14:textId="77777777" w:rsidTr="007843A3">
        <w:trPr>
          <w:trHeight w:val="720"/>
        </w:trPr>
        <w:tc>
          <w:tcPr>
            <w:tcW w:w="2187" w:type="dxa"/>
            <w:shd w:val="clear" w:color="auto" w:fill="auto"/>
            <w:vAlign w:val="center"/>
            <w:hideMark/>
          </w:tcPr>
          <w:p w14:paraId="676A4CDA"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4.4.2. Measure</w:t>
            </w:r>
          </w:p>
        </w:tc>
        <w:tc>
          <w:tcPr>
            <w:tcW w:w="1561" w:type="dxa"/>
            <w:shd w:val="clear" w:color="auto" w:fill="auto"/>
            <w:vAlign w:val="center"/>
            <w:hideMark/>
          </w:tcPr>
          <w:p w14:paraId="74132A9F"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1E57176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596,910,755</w:t>
            </w:r>
          </w:p>
        </w:tc>
        <w:tc>
          <w:tcPr>
            <w:tcW w:w="2532" w:type="dxa"/>
            <w:shd w:val="clear" w:color="auto" w:fill="auto"/>
            <w:vAlign w:val="center"/>
            <w:hideMark/>
          </w:tcPr>
          <w:p w14:paraId="0E29141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59,691,075</w:t>
            </w:r>
          </w:p>
        </w:tc>
        <w:tc>
          <w:tcPr>
            <w:tcW w:w="2131" w:type="dxa"/>
            <w:shd w:val="clear" w:color="auto" w:fill="auto"/>
            <w:vAlign w:val="center"/>
            <w:hideMark/>
          </w:tcPr>
          <w:p w14:paraId="58F4C27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537,219,679</w:t>
            </w:r>
          </w:p>
        </w:tc>
        <w:tc>
          <w:tcPr>
            <w:tcW w:w="2955" w:type="dxa"/>
            <w:shd w:val="clear" w:color="auto" w:fill="auto"/>
            <w:vAlign w:val="center"/>
            <w:hideMark/>
          </w:tcPr>
          <w:p w14:paraId="40D5690F" w14:textId="103F9282"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095CAC" w:rsidRPr="007C4D65">
              <w:rPr>
                <w:rFonts w:asciiTheme="minorHAnsi" w:hAnsiTheme="minorHAnsi" w:cstheme="minorHAnsi"/>
                <w:b/>
                <w:color w:val="000000"/>
                <w:sz w:val="18"/>
              </w:rPr>
              <w:t>, Loans</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497DF4FA" w14:textId="77777777" w:rsidTr="001F6CF7">
        <w:trPr>
          <w:trHeight w:val="288"/>
        </w:trPr>
        <w:tc>
          <w:tcPr>
            <w:tcW w:w="2187" w:type="dxa"/>
            <w:shd w:val="clear" w:color="auto" w:fill="00D29A"/>
            <w:vAlign w:val="center"/>
            <w:hideMark/>
          </w:tcPr>
          <w:p w14:paraId="54D6A61D"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lastRenderedPageBreak/>
              <w:t xml:space="preserve">4.5. Priority </w:t>
            </w:r>
          </w:p>
        </w:tc>
        <w:tc>
          <w:tcPr>
            <w:tcW w:w="1561" w:type="dxa"/>
            <w:shd w:val="clear" w:color="auto" w:fill="00D29A"/>
            <w:vAlign w:val="center"/>
            <w:hideMark/>
          </w:tcPr>
          <w:p w14:paraId="49AF89AA"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62%</w:t>
            </w:r>
          </w:p>
        </w:tc>
        <w:tc>
          <w:tcPr>
            <w:tcW w:w="2112" w:type="dxa"/>
            <w:shd w:val="clear" w:color="auto" w:fill="00D29A"/>
            <w:vAlign w:val="center"/>
            <w:hideMark/>
          </w:tcPr>
          <w:p w14:paraId="6E412482"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2,048,245,270</w:t>
            </w:r>
          </w:p>
        </w:tc>
        <w:tc>
          <w:tcPr>
            <w:tcW w:w="2532" w:type="dxa"/>
            <w:shd w:val="clear" w:color="auto" w:fill="00D29A"/>
            <w:vAlign w:val="center"/>
            <w:hideMark/>
          </w:tcPr>
          <w:p w14:paraId="542282B1"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204,949,048</w:t>
            </w:r>
          </w:p>
        </w:tc>
        <w:tc>
          <w:tcPr>
            <w:tcW w:w="2131" w:type="dxa"/>
            <w:shd w:val="clear" w:color="auto" w:fill="00D29A"/>
            <w:vAlign w:val="center"/>
            <w:hideMark/>
          </w:tcPr>
          <w:p w14:paraId="4AFC96B1"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1,843,296,222</w:t>
            </w:r>
          </w:p>
        </w:tc>
        <w:tc>
          <w:tcPr>
            <w:tcW w:w="2955" w:type="dxa"/>
            <w:shd w:val="clear" w:color="auto" w:fill="00D29A"/>
            <w:vAlign w:val="center"/>
            <w:hideMark/>
          </w:tcPr>
          <w:p w14:paraId="572DEEB3"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19A4F0CF" w14:textId="77777777" w:rsidTr="007843A3">
        <w:trPr>
          <w:trHeight w:val="720"/>
        </w:trPr>
        <w:tc>
          <w:tcPr>
            <w:tcW w:w="2187" w:type="dxa"/>
            <w:shd w:val="clear" w:color="auto" w:fill="auto"/>
            <w:vAlign w:val="center"/>
            <w:hideMark/>
          </w:tcPr>
          <w:p w14:paraId="002BEF1E"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4.5.1. Measure</w:t>
            </w:r>
          </w:p>
        </w:tc>
        <w:tc>
          <w:tcPr>
            <w:tcW w:w="1561" w:type="dxa"/>
            <w:shd w:val="clear" w:color="auto" w:fill="auto"/>
            <w:vAlign w:val="center"/>
            <w:hideMark/>
          </w:tcPr>
          <w:p w14:paraId="308112A3"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95%</w:t>
            </w:r>
          </w:p>
        </w:tc>
        <w:tc>
          <w:tcPr>
            <w:tcW w:w="2112" w:type="dxa"/>
            <w:shd w:val="clear" w:color="auto" w:fill="auto"/>
            <w:vAlign w:val="center"/>
            <w:hideMark/>
          </w:tcPr>
          <w:p w14:paraId="62B4CEA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1,956,024,103</w:t>
            </w:r>
          </w:p>
        </w:tc>
        <w:tc>
          <w:tcPr>
            <w:tcW w:w="2532" w:type="dxa"/>
            <w:shd w:val="clear" w:color="auto" w:fill="auto"/>
            <w:vAlign w:val="center"/>
            <w:hideMark/>
          </w:tcPr>
          <w:p w14:paraId="4D68EA4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195,602,410</w:t>
            </w:r>
          </w:p>
        </w:tc>
        <w:tc>
          <w:tcPr>
            <w:tcW w:w="2131" w:type="dxa"/>
            <w:shd w:val="clear" w:color="auto" w:fill="auto"/>
            <w:vAlign w:val="center"/>
            <w:hideMark/>
          </w:tcPr>
          <w:p w14:paraId="4CF0B18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1,760,421,692</w:t>
            </w:r>
          </w:p>
        </w:tc>
        <w:tc>
          <w:tcPr>
            <w:tcW w:w="2955" w:type="dxa"/>
            <w:shd w:val="clear" w:color="auto" w:fill="auto"/>
            <w:vAlign w:val="center"/>
            <w:hideMark/>
          </w:tcPr>
          <w:p w14:paraId="48D7A564" w14:textId="5EF519CE"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095CAC" w:rsidRPr="007C4D65">
              <w:rPr>
                <w:rFonts w:asciiTheme="minorHAnsi" w:hAnsiTheme="minorHAnsi" w:cstheme="minorHAnsi"/>
                <w:b/>
                <w:color w:val="000000"/>
                <w:sz w:val="18"/>
              </w:rPr>
              <w:t>, Loans</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35F9E437" w14:textId="77777777" w:rsidTr="007843A3">
        <w:trPr>
          <w:trHeight w:val="720"/>
        </w:trPr>
        <w:tc>
          <w:tcPr>
            <w:tcW w:w="2187" w:type="dxa"/>
            <w:shd w:val="clear" w:color="auto" w:fill="auto"/>
            <w:vAlign w:val="center"/>
            <w:hideMark/>
          </w:tcPr>
          <w:p w14:paraId="67B6FBB4"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4.5.2. Measure</w:t>
            </w:r>
          </w:p>
        </w:tc>
        <w:tc>
          <w:tcPr>
            <w:tcW w:w="1561" w:type="dxa"/>
            <w:shd w:val="clear" w:color="auto" w:fill="auto"/>
            <w:vAlign w:val="center"/>
            <w:hideMark/>
          </w:tcPr>
          <w:p w14:paraId="71E325AB"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0.1%</w:t>
            </w:r>
          </w:p>
        </w:tc>
        <w:tc>
          <w:tcPr>
            <w:tcW w:w="2112" w:type="dxa"/>
            <w:shd w:val="clear" w:color="auto" w:fill="auto"/>
            <w:vAlign w:val="center"/>
            <w:hideMark/>
          </w:tcPr>
          <w:p w14:paraId="322905E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1,245,212</w:t>
            </w:r>
          </w:p>
        </w:tc>
        <w:tc>
          <w:tcPr>
            <w:tcW w:w="2532" w:type="dxa"/>
            <w:shd w:val="clear" w:color="auto" w:fill="auto"/>
            <w:vAlign w:val="center"/>
            <w:hideMark/>
          </w:tcPr>
          <w:p w14:paraId="6AD5828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249,042</w:t>
            </w:r>
          </w:p>
        </w:tc>
        <w:tc>
          <w:tcPr>
            <w:tcW w:w="2131" w:type="dxa"/>
            <w:shd w:val="clear" w:color="auto" w:fill="auto"/>
            <w:vAlign w:val="center"/>
            <w:hideMark/>
          </w:tcPr>
          <w:p w14:paraId="1BFE6E8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996,170</w:t>
            </w:r>
          </w:p>
        </w:tc>
        <w:tc>
          <w:tcPr>
            <w:tcW w:w="2955" w:type="dxa"/>
            <w:shd w:val="clear" w:color="auto" w:fill="auto"/>
            <w:vAlign w:val="center"/>
            <w:hideMark/>
          </w:tcPr>
          <w:p w14:paraId="0AE33572" w14:textId="7E0CB419"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Government </w:t>
            </w:r>
            <w:proofErr w:type="gramStart"/>
            <w:r w:rsidRPr="007C4D65">
              <w:rPr>
                <w:rFonts w:asciiTheme="minorHAnsi" w:hAnsiTheme="minorHAnsi" w:cstheme="minorHAnsi"/>
                <w:b/>
                <w:color w:val="000000"/>
                <w:sz w:val="18"/>
              </w:rPr>
              <w:t>budget</w:t>
            </w:r>
            <w:r w:rsidR="00C224E3" w:rsidRPr="007C4D65">
              <w:rPr>
                <w:rFonts w:asciiTheme="minorHAnsi" w:hAnsiTheme="minorHAnsi" w:cstheme="minorHAnsi"/>
                <w:b/>
                <w:color w:val="000000"/>
                <w:sz w:val="18"/>
              </w:rPr>
              <w:t xml:space="preserve"> </w:t>
            </w:r>
            <w:r w:rsidR="007843A3" w:rsidRPr="007C4D65">
              <w:rPr>
                <w:rFonts w:asciiTheme="minorHAnsi" w:hAnsiTheme="minorHAnsi" w:cstheme="minorHAnsi"/>
                <w:b/>
                <w:color w:val="000000"/>
                <w:sz w:val="18"/>
              </w:rPr>
              <w:t>,</w:t>
            </w:r>
            <w:proofErr w:type="gramEnd"/>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r w:rsidR="0009555E" w:rsidRPr="007C4D65">
              <w:rPr>
                <w:rFonts w:asciiTheme="minorHAnsi" w:hAnsiTheme="minorHAnsi" w:cstheme="minorHAnsi"/>
                <w:b/>
                <w:color w:val="000000"/>
                <w:sz w:val="18"/>
              </w:rPr>
              <w:t xml:space="preserve">Other donations  </w:t>
            </w:r>
          </w:p>
        </w:tc>
      </w:tr>
      <w:tr w:rsidR="007843A3" w:rsidRPr="007C4D65" w14:paraId="5537A2E4" w14:textId="77777777" w:rsidTr="007843A3">
        <w:trPr>
          <w:trHeight w:val="720"/>
        </w:trPr>
        <w:tc>
          <w:tcPr>
            <w:tcW w:w="2187" w:type="dxa"/>
            <w:shd w:val="clear" w:color="auto" w:fill="auto"/>
            <w:vAlign w:val="center"/>
            <w:hideMark/>
          </w:tcPr>
          <w:p w14:paraId="4EB4F52F"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4.5.3. Measure</w:t>
            </w:r>
          </w:p>
        </w:tc>
        <w:tc>
          <w:tcPr>
            <w:tcW w:w="1561" w:type="dxa"/>
            <w:shd w:val="clear" w:color="auto" w:fill="auto"/>
            <w:vAlign w:val="center"/>
            <w:hideMark/>
          </w:tcPr>
          <w:p w14:paraId="0F2EF8CC"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4%</w:t>
            </w:r>
          </w:p>
        </w:tc>
        <w:tc>
          <w:tcPr>
            <w:tcW w:w="2112" w:type="dxa"/>
            <w:shd w:val="clear" w:color="auto" w:fill="auto"/>
            <w:vAlign w:val="center"/>
            <w:hideMark/>
          </w:tcPr>
          <w:p w14:paraId="180B731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90,975,955</w:t>
            </w:r>
          </w:p>
        </w:tc>
        <w:tc>
          <w:tcPr>
            <w:tcW w:w="2532" w:type="dxa"/>
            <w:shd w:val="clear" w:color="auto" w:fill="auto"/>
            <w:vAlign w:val="center"/>
            <w:hideMark/>
          </w:tcPr>
          <w:p w14:paraId="0A4B100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9,097,596</w:t>
            </w:r>
          </w:p>
        </w:tc>
        <w:tc>
          <w:tcPr>
            <w:tcW w:w="2131" w:type="dxa"/>
            <w:shd w:val="clear" w:color="auto" w:fill="auto"/>
            <w:vAlign w:val="center"/>
            <w:hideMark/>
          </w:tcPr>
          <w:p w14:paraId="7CB37C4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81,878,360</w:t>
            </w:r>
          </w:p>
        </w:tc>
        <w:tc>
          <w:tcPr>
            <w:tcW w:w="2955" w:type="dxa"/>
            <w:shd w:val="clear" w:color="auto" w:fill="auto"/>
            <w:vAlign w:val="center"/>
            <w:hideMark/>
          </w:tcPr>
          <w:p w14:paraId="0CB329BA" w14:textId="2465C7AC"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095CAC" w:rsidRPr="007C4D65">
              <w:rPr>
                <w:rFonts w:asciiTheme="minorHAnsi" w:hAnsiTheme="minorHAnsi" w:cstheme="minorHAnsi"/>
                <w:b/>
                <w:color w:val="000000"/>
                <w:sz w:val="18"/>
              </w:rPr>
              <w:t>, Loans</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273A48E6" w14:textId="77777777" w:rsidTr="001F6CF7">
        <w:trPr>
          <w:trHeight w:val="288"/>
        </w:trPr>
        <w:tc>
          <w:tcPr>
            <w:tcW w:w="2187" w:type="dxa"/>
            <w:shd w:val="clear" w:color="auto" w:fill="00D29A"/>
            <w:vAlign w:val="center"/>
            <w:hideMark/>
          </w:tcPr>
          <w:p w14:paraId="5270E21D"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4.6. Priority </w:t>
            </w:r>
          </w:p>
        </w:tc>
        <w:tc>
          <w:tcPr>
            <w:tcW w:w="1561" w:type="dxa"/>
            <w:shd w:val="clear" w:color="auto" w:fill="00D29A"/>
            <w:vAlign w:val="center"/>
            <w:hideMark/>
          </w:tcPr>
          <w:p w14:paraId="4F9F51D8"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w:t>
            </w:r>
          </w:p>
        </w:tc>
        <w:tc>
          <w:tcPr>
            <w:tcW w:w="2112" w:type="dxa"/>
            <w:shd w:val="clear" w:color="auto" w:fill="00D29A"/>
            <w:vAlign w:val="center"/>
            <w:hideMark/>
          </w:tcPr>
          <w:p w14:paraId="2E13A71C"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104,206,444</w:t>
            </w:r>
          </w:p>
        </w:tc>
        <w:tc>
          <w:tcPr>
            <w:tcW w:w="2532" w:type="dxa"/>
            <w:shd w:val="clear" w:color="auto" w:fill="00D29A"/>
            <w:vAlign w:val="center"/>
            <w:hideMark/>
          </w:tcPr>
          <w:p w14:paraId="42FE9644"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10,434,355</w:t>
            </w:r>
          </w:p>
        </w:tc>
        <w:tc>
          <w:tcPr>
            <w:tcW w:w="2131" w:type="dxa"/>
            <w:shd w:val="clear" w:color="auto" w:fill="00D29A"/>
            <w:vAlign w:val="center"/>
            <w:hideMark/>
          </w:tcPr>
          <w:p w14:paraId="3BD79847"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93,772,089</w:t>
            </w:r>
          </w:p>
        </w:tc>
        <w:tc>
          <w:tcPr>
            <w:tcW w:w="2955" w:type="dxa"/>
            <w:shd w:val="clear" w:color="auto" w:fill="00D29A"/>
            <w:vAlign w:val="center"/>
            <w:hideMark/>
          </w:tcPr>
          <w:p w14:paraId="58F9B302"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5C5CA93E" w14:textId="77777777" w:rsidTr="007843A3">
        <w:trPr>
          <w:trHeight w:val="480"/>
        </w:trPr>
        <w:tc>
          <w:tcPr>
            <w:tcW w:w="2187" w:type="dxa"/>
            <w:shd w:val="clear" w:color="auto" w:fill="auto"/>
            <w:vAlign w:val="center"/>
            <w:hideMark/>
          </w:tcPr>
          <w:p w14:paraId="020B60D2"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4.6.1. Measure</w:t>
            </w:r>
          </w:p>
        </w:tc>
        <w:tc>
          <w:tcPr>
            <w:tcW w:w="1561" w:type="dxa"/>
            <w:shd w:val="clear" w:color="auto" w:fill="auto"/>
            <w:vAlign w:val="center"/>
            <w:hideMark/>
          </w:tcPr>
          <w:p w14:paraId="098E13C9"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0.1%</w:t>
            </w:r>
          </w:p>
        </w:tc>
        <w:tc>
          <w:tcPr>
            <w:tcW w:w="2112" w:type="dxa"/>
            <w:shd w:val="clear" w:color="auto" w:fill="auto"/>
            <w:vAlign w:val="center"/>
            <w:hideMark/>
          </w:tcPr>
          <w:p w14:paraId="2A99C20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137,104</w:t>
            </w:r>
          </w:p>
        </w:tc>
        <w:tc>
          <w:tcPr>
            <w:tcW w:w="2532" w:type="dxa"/>
            <w:shd w:val="clear" w:color="auto" w:fill="auto"/>
            <w:vAlign w:val="center"/>
            <w:hideMark/>
          </w:tcPr>
          <w:p w14:paraId="67B5D70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27,421</w:t>
            </w:r>
          </w:p>
        </w:tc>
        <w:tc>
          <w:tcPr>
            <w:tcW w:w="2131" w:type="dxa"/>
            <w:shd w:val="clear" w:color="auto" w:fill="auto"/>
            <w:vAlign w:val="center"/>
            <w:hideMark/>
          </w:tcPr>
          <w:p w14:paraId="4608387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109,684</w:t>
            </w:r>
          </w:p>
        </w:tc>
        <w:tc>
          <w:tcPr>
            <w:tcW w:w="2955" w:type="dxa"/>
            <w:shd w:val="clear" w:color="auto" w:fill="auto"/>
            <w:vAlign w:val="center"/>
            <w:hideMark/>
          </w:tcPr>
          <w:p w14:paraId="446A556A" w14:textId="1063E79E"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Government </w:t>
            </w:r>
            <w:proofErr w:type="gramStart"/>
            <w:r w:rsidRPr="007C4D65">
              <w:rPr>
                <w:rFonts w:asciiTheme="minorHAnsi" w:hAnsiTheme="minorHAnsi" w:cstheme="minorHAnsi"/>
                <w:b/>
                <w:color w:val="000000"/>
                <w:sz w:val="18"/>
              </w:rPr>
              <w:t>budget</w:t>
            </w:r>
            <w:r w:rsidR="00C224E3" w:rsidRPr="007C4D65">
              <w:rPr>
                <w:rFonts w:asciiTheme="minorHAnsi" w:hAnsiTheme="minorHAnsi" w:cstheme="minorHAnsi"/>
                <w:b/>
                <w:color w:val="000000"/>
                <w:sz w:val="18"/>
              </w:rPr>
              <w:t xml:space="preserve"> </w:t>
            </w:r>
            <w:r w:rsidR="007843A3" w:rsidRPr="007C4D65">
              <w:rPr>
                <w:rFonts w:asciiTheme="minorHAnsi" w:hAnsiTheme="minorHAnsi" w:cstheme="minorHAnsi"/>
                <w:b/>
                <w:color w:val="000000"/>
                <w:sz w:val="18"/>
              </w:rPr>
              <w:t>,</w:t>
            </w:r>
            <w:proofErr w:type="gramEnd"/>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045DEDA9" w14:textId="77777777" w:rsidTr="007843A3">
        <w:trPr>
          <w:trHeight w:val="720"/>
        </w:trPr>
        <w:tc>
          <w:tcPr>
            <w:tcW w:w="2187" w:type="dxa"/>
            <w:shd w:val="clear" w:color="auto" w:fill="auto"/>
            <w:vAlign w:val="center"/>
            <w:hideMark/>
          </w:tcPr>
          <w:p w14:paraId="69D59E31"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4.6.2. Measure</w:t>
            </w:r>
          </w:p>
        </w:tc>
        <w:tc>
          <w:tcPr>
            <w:tcW w:w="1561" w:type="dxa"/>
            <w:shd w:val="clear" w:color="auto" w:fill="auto"/>
            <w:vAlign w:val="center"/>
            <w:hideMark/>
          </w:tcPr>
          <w:p w14:paraId="4322A281"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22C10D8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104,069,339</w:t>
            </w:r>
          </w:p>
        </w:tc>
        <w:tc>
          <w:tcPr>
            <w:tcW w:w="2532" w:type="dxa"/>
            <w:shd w:val="clear" w:color="auto" w:fill="auto"/>
            <w:vAlign w:val="center"/>
            <w:hideMark/>
          </w:tcPr>
          <w:p w14:paraId="632FAAC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10,406,934</w:t>
            </w:r>
          </w:p>
        </w:tc>
        <w:tc>
          <w:tcPr>
            <w:tcW w:w="2131" w:type="dxa"/>
            <w:shd w:val="clear" w:color="auto" w:fill="auto"/>
            <w:vAlign w:val="center"/>
            <w:hideMark/>
          </w:tcPr>
          <w:p w14:paraId="36B7BF3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93,662,405</w:t>
            </w:r>
          </w:p>
        </w:tc>
        <w:tc>
          <w:tcPr>
            <w:tcW w:w="2955" w:type="dxa"/>
            <w:shd w:val="clear" w:color="auto" w:fill="auto"/>
            <w:vAlign w:val="center"/>
            <w:hideMark/>
          </w:tcPr>
          <w:p w14:paraId="422F1418" w14:textId="605A5300"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095CAC" w:rsidRPr="007C4D65">
              <w:rPr>
                <w:rFonts w:asciiTheme="minorHAnsi" w:hAnsiTheme="minorHAnsi" w:cstheme="minorHAnsi"/>
                <w:b/>
                <w:color w:val="000000"/>
                <w:sz w:val="18"/>
              </w:rPr>
              <w:t>, Loans</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2E64558D" w14:textId="77777777" w:rsidTr="001F6CF7">
        <w:trPr>
          <w:trHeight w:val="288"/>
        </w:trPr>
        <w:tc>
          <w:tcPr>
            <w:tcW w:w="2187" w:type="dxa"/>
            <w:shd w:val="clear" w:color="auto" w:fill="00D29A"/>
            <w:vAlign w:val="center"/>
            <w:hideMark/>
          </w:tcPr>
          <w:p w14:paraId="22732BB6"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4.7. Priority </w:t>
            </w:r>
          </w:p>
        </w:tc>
        <w:tc>
          <w:tcPr>
            <w:tcW w:w="1561" w:type="dxa"/>
            <w:shd w:val="clear" w:color="auto" w:fill="00D29A"/>
            <w:vAlign w:val="center"/>
            <w:hideMark/>
          </w:tcPr>
          <w:p w14:paraId="3760AB40"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0.004%</w:t>
            </w:r>
          </w:p>
        </w:tc>
        <w:tc>
          <w:tcPr>
            <w:tcW w:w="2112" w:type="dxa"/>
            <w:shd w:val="clear" w:color="auto" w:fill="00D29A"/>
            <w:vAlign w:val="center"/>
            <w:hideMark/>
          </w:tcPr>
          <w:p w14:paraId="129690B1"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120,070</w:t>
            </w:r>
          </w:p>
        </w:tc>
        <w:tc>
          <w:tcPr>
            <w:tcW w:w="2532" w:type="dxa"/>
            <w:shd w:val="clear" w:color="auto" w:fill="00D29A"/>
            <w:vAlign w:val="center"/>
            <w:hideMark/>
          </w:tcPr>
          <w:p w14:paraId="353992F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120,070</w:t>
            </w:r>
          </w:p>
        </w:tc>
        <w:tc>
          <w:tcPr>
            <w:tcW w:w="2131" w:type="dxa"/>
            <w:shd w:val="clear" w:color="auto" w:fill="00D29A"/>
            <w:vAlign w:val="center"/>
            <w:hideMark/>
          </w:tcPr>
          <w:p w14:paraId="7CC8F90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w:t>
            </w:r>
          </w:p>
        </w:tc>
        <w:tc>
          <w:tcPr>
            <w:tcW w:w="2955" w:type="dxa"/>
            <w:shd w:val="clear" w:color="auto" w:fill="00D29A"/>
            <w:vAlign w:val="center"/>
            <w:hideMark/>
          </w:tcPr>
          <w:p w14:paraId="450785AC"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1EABE97C" w14:textId="77777777" w:rsidTr="007843A3">
        <w:trPr>
          <w:trHeight w:val="288"/>
        </w:trPr>
        <w:tc>
          <w:tcPr>
            <w:tcW w:w="2187" w:type="dxa"/>
            <w:shd w:val="clear" w:color="auto" w:fill="auto"/>
            <w:vAlign w:val="center"/>
            <w:hideMark/>
          </w:tcPr>
          <w:p w14:paraId="5A32CBBA"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4.7.1. Measure</w:t>
            </w:r>
          </w:p>
        </w:tc>
        <w:tc>
          <w:tcPr>
            <w:tcW w:w="1561" w:type="dxa"/>
            <w:shd w:val="clear" w:color="auto" w:fill="auto"/>
            <w:vAlign w:val="center"/>
            <w:hideMark/>
          </w:tcPr>
          <w:p w14:paraId="69BE7FAD"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4C34F94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120,070</w:t>
            </w:r>
          </w:p>
        </w:tc>
        <w:tc>
          <w:tcPr>
            <w:tcW w:w="2532" w:type="dxa"/>
            <w:shd w:val="clear" w:color="auto" w:fill="auto"/>
            <w:vAlign w:val="center"/>
            <w:hideMark/>
          </w:tcPr>
          <w:p w14:paraId="274BBBB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120,070</w:t>
            </w:r>
          </w:p>
        </w:tc>
        <w:tc>
          <w:tcPr>
            <w:tcW w:w="2131" w:type="dxa"/>
            <w:shd w:val="clear" w:color="auto" w:fill="auto"/>
            <w:vAlign w:val="center"/>
            <w:hideMark/>
          </w:tcPr>
          <w:p w14:paraId="1F6D015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33D87637" w14:textId="62595C35"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336D372B" w14:textId="77777777" w:rsidTr="001F6CF7">
        <w:trPr>
          <w:trHeight w:val="624"/>
        </w:trPr>
        <w:tc>
          <w:tcPr>
            <w:tcW w:w="2187" w:type="dxa"/>
            <w:shd w:val="clear" w:color="auto" w:fill="009D73"/>
            <w:vAlign w:val="center"/>
            <w:hideMark/>
          </w:tcPr>
          <w:p w14:paraId="4428FA8F" w14:textId="5292626A" w:rsidR="007843A3" w:rsidRPr="007C4D65" w:rsidRDefault="00830279"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Chemical safety and noise</w:t>
            </w:r>
          </w:p>
        </w:tc>
        <w:tc>
          <w:tcPr>
            <w:tcW w:w="1561" w:type="dxa"/>
            <w:shd w:val="clear" w:color="auto" w:fill="009D73"/>
            <w:vAlign w:val="center"/>
            <w:hideMark/>
          </w:tcPr>
          <w:p w14:paraId="732128D9"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0.2%</w:t>
            </w:r>
          </w:p>
        </w:tc>
        <w:tc>
          <w:tcPr>
            <w:tcW w:w="2112" w:type="dxa"/>
            <w:shd w:val="clear" w:color="auto" w:fill="009D73"/>
            <w:vAlign w:val="center"/>
            <w:hideMark/>
          </w:tcPr>
          <w:p w14:paraId="5A28F20F"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7,641,013</w:t>
            </w:r>
          </w:p>
        </w:tc>
        <w:tc>
          <w:tcPr>
            <w:tcW w:w="2532" w:type="dxa"/>
            <w:shd w:val="clear" w:color="auto" w:fill="009D73"/>
            <w:vAlign w:val="center"/>
            <w:hideMark/>
          </w:tcPr>
          <w:p w14:paraId="6FDB1292"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1,486,423</w:t>
            </w:r>
          </w:p>
        </w:tc>
        <w:tc>
          <w:tcPr>
            <w:tcW w:w="2131" w:type="dxa"/>
            <w:shd w:val="clear" w:color="auto" w:fill="009D73"/>
            <w:vAlign w:val="center"/>
            <w:hideMark/>
          </w:tcPr>
          <w:p w14:paraId="4264652C"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6,154,590</w:t>
            </w:r>
          </w:p>
        </w:tc>
        <w:tc>
          <w:tcPr>
            <w:tcW w:w="2955" w:type="dxa"/>
            <w:shd w:val="clear" w:color="auto" w:fill="009D73"/>
            <w:vAlign w:val="center"/>
            <w:hideMark/>
          </w:tcPr>
          <w:p w14:paraId="208A25D3"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485011F4" w14:textId="77777777" w:rsidTr="001F6CF7">
        <w:trPr>
          <w:trHeight w:val="288"/>
        </w:trPr>
        <w:tc>
          <w:tcPr>
            <w:tcW w:w="2187" w:type="dxa"/>
            <w:shd w:val="clear" w:color="auto" w:fill="00D29A"/>
            <w:vAlign w:val="center"/>
            <w:hideMark/>
          </w:tcPr>
          <w:p w14:paraId="7FEA49E7"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5.1. Priority </w:t>
            </w:r>
          </w:p>
        </w:tc>
        <w:tc>
          <w:tcPr>
            <w:tcW w:w="1561" w:type="dxa"/>
            <w:shd w:val="clear" w:color="auto" w:fill="00D29A"/>
            <w:vAlign w:val="center"/>
            <w:hideMark/>
          </w:tcPr>
          <w:p w14:paraId="5A222897"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w:t>
            </w:r>
          </w:p>
        </w:tc>
        <w:tc>
          <w:tcPr>
            <w:tcW w:w="2112" w:type="dxa"/>
            <w:shd w:val="clear" w:color="auto" w:fill="00D29A"/>
            <w:vAlign w:val="center"/>
            <w:hideMark/>
          </w:tcPr>
          <w:p w14:paraId="6B7C047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401,539</w:t>
            </w:r>
          </w:p>
        </w:tc>
        <w:tc>
          <w:tcPr>
            <w:tcW w:w="2532" w:type="dxa"/>
            <w:shd w:val="clear" w:color="auto" w:fill="00D29A"/>
            <w:vAlign w:val="center"/>
            <w:hideMark/>
          </w:tcPr>
          <w:p w14:paraId="0FC5353C"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324,274</w:t>
            </w:r>
          </w:p>
        </w:tc>
        <w:tc>
          <w:tcPr>
            <w:tcW w:w="2131" w:type="dxa"/>
            <w:shd w:val="clear" w:color="auto" w:fill="00D29A"/>
            <w:vAlign w:val="center"/>
            <w:hideMark/>
          </w:tcPr>
          <w:p w14:paraId="1B980229"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77,264</w:t>
            </w:r>
          </w:p>
        </w:tc>
        <w:tc>
          <w:tcPr>
            <w:tcW w:w="2955" w:type="dxa"/>
            <w:shd w:val="clear" w:color="auto" w:fill="00D29A"/>
            <w:vAlign w:val="center"/>
            <w:hideMark/>
          </w:tcPr>
          <w:p w14:paraId="31979DB0"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07E27908" w14:textId="77777777" w:rsidTr="007843A3">
        <w:trPr>
          <w:trHeight w:val="480"/>
        </w:trPr>
        <w:tc>
          <w:tcPr>
            <w:tcW w:w="2187" w:type="dxa"/>
            <w:shd w:val="clear" w:color="auto" w:fill="auto"/>
            <w:vAlign w:val="center"/>
            <w:hideMark/>
          </w:tcPr>
          <w:p w14:paraId="42CD9E13"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5.1.1. Measure</w:t>
            </w:r>
          </w:p>
        </w:tc>
        <w:tc>
          <w:tcPr>
            <w:tcW w:w="1561" w:type="dxa"/>
            <w:shd w:val="clear" w:color="auto" w:fill="auto"/>
            <w:vAlign w:val="center"/>
            <w:hideMark/>
          </w:tcPr>
          <w:p w14:paraId="65360FF9"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64%</w:t>
            </w:r>
          </w:p>
        </w:tc>
        <w:tc>
          <w:tcPr>
            <w:tcW w:w="2112" w:type="dxa"/>
            <w:shd w:val="clear" w:color="auto" w:fill="auto"/>
            <w:vAlign w:val="center"/>
            <w:hideMark/>
          </w:tcPr>
          <w:p w14:paraId="660FB1D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257,548</w:t>
            </w:r>
          </w:p>
        </w:tc>
        <w:tc>
          <w:tcPr>
            <w:tcW w:w="2532" w:type="dxa"/>
            <w:shd w:val="clear" w:color="auto" w:fill="auto"/>
            <w:vAlign w:val="center"/>
            <w:hideMark/>
          </w:tcPr>
          <w:p w14:paraId="0325DAD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180,283</w:t>
            </w:r>
          </w:p>
        </w:tc>
        <w:tc>
          <w:tcPr>
            <w:tcW w:w="2131" w:type="dxa"/>
            <w:shd w:val="clear" w:color="auto" w:fill="auto"/>
            <w:vAlign w:val="center"/>
            <w:hideMark/>
          </w:tcPr>
          <w:p w14:paraId="5E497F9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77,264</w:t>
            </w:r>
          </w:p>
        </w:tc>
        <w:tc>
          <w:tcPr>
            <w:tcW w:w="2955" w:type="dxa"/>
            <w:shd w:val="clear" w:color="auto" w:fill="auto"/>
            <w:vAlign w:val="center"/>
            <w:hideMark/>
          </w:tcPr>
          <w:p w14:paraId="44B085A5" w14:textId="042F1A9E"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67A789D2" w14:textId="77777777" w:rsidTr="007843A3">
        <w:trPr>
          <w:trHeight w:val="288"/>
        </w:trPr>
        <w:tc>
          <w:tcPr>
            <w:tcW w:w="2187" w:type="dxa"/>
            <w:shd w:val="clear" w:color="auto" w:fill="auto"/>
            <w:vAlign w:val="center"/>
            <w:hideMark/>
          </w:tcPr>
          <w:p w14:paraId="1649CB6D"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5.1.2. Measure</w:t>
            </w:r>
          </w:p>
        </w:tc>
        <w:tc>
          <w:tcPr>
            <w:tcW w:w="1561" w:type="dxa"/>
            <w:shd w:val="clear" w:color="auto" w:fill="auto"/>
            <w:vAlign w:val="center"/>
            <w:hideMark/>
          </w:tcPr>
          <w:p w14:paraId="280DCBD2"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5%</w:t>
            </w:r>
          </w:p>
        </w:tc>
        <w:tc>
          <w:tcPr>
            <w:tcW w:w="2112" w:type="dxa"/>
            <w:shd w:val="clear" w:color="auto" w:fill="auto"/>
            <w:vAlign w:val="center"/>
            <w:hideMark/>
          </w:tcPr>
          <w:p w14:paraId="34510C1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19,558</w:t>
            </w:r>
          </w:p>
        </w:tc>
        <w:tc>
          <w:tcPr>
            <w:tcW w:w="2532" w:type="dxa"/>
            <w:shd w:val="clear" w:color="auto" w:fill="auto"/>
            <w:vAlign w:val="center"/>
            <w:hideMark/>
          </w:tcPr>
          <w:p w14:paraId="244A595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19,558</w:t>
            </w:r>
          </w:p>
        </w:tc>
        <w:tc>
          <w:tcPr>
            <w:tcW w:w="2131" w:type="dxa"/>
            <w:shd w:val="clear" w:color="auto" w:fill="auto"/>
            <w:vAlign w:val="center"/>
            <w:hideMark/>
          </w:tcPr>
          <w:p w14:paraId="5351A61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7E5E5BA8" w14:textId="52785CEE"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35F8B534" w14:textId="77777777" w:rsidTr="007843A3">
        <w:trPr>
          <w:trHeight w:val="288"/>
        </w:trPr>
        <w:tc>
          <w:tcPr>
            <w:tcW w:w="2187" w:type="dxa"/>
            <w:shd w:val="clear" w:color="auto" w:fill="auto"/>
            <w:vAlign w:val="center"/>
            <w:hideMark/>
          </w:tcPr>
          <w:p w14:paraId="215F3A1F"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5.1.3. Measure</w:t>
            </w:r>
          </w:p>
        </w:tc>
        <w:tc>
          <w:tcPr>
            <w:tcW w:w="1561" w:type="dxa"/>
            <w:shd w:val="clear" w:color="auto" w:fill="auto"/>
            <w:vAlign w:val="center"/>
            <w:hideMark/>
          </w:tcPr>
          <w:p w14:paraId="5D458243"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31%</w:t>
            </w:r>
          </w:p>
        </w:tc>
        <w:tc>
          <w:tcPr>
            <w:tcW w:w="2112" w:type="dxa"/>
            <w:shd w:val="clear" w:color="auto" w:fill="auto"/>
            <w:vAlign w:val="center"/>
            <w:hideMark/>
          </w:tcPr>
          <w:p w14:paraId="4EA33DB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124,432</w:t>
            </w:r>
          </w:p>
        </w:tc>
        <w:tc>
          <w:tcPr>
            <w:tcW w:w="2532" w:type="dxa"/>
            <w:shd w:val="clear" w:color="auto" w:fill="auto"/>
            <w:vAlign w:val="center"/>
            <w:hideMark/>
          </w:tcPr>
          <w:p w14:paraId="6783C5E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124,432</w:t>
            </w:r>
          </w:p>
        </w:tc>
        <w:tc>
          <w:tcPr>
            <w:tcW w:w="2131" w:type="dxa"/>
            <w:shd w:val="clear" w:color="auto" w:fill="auto"/>
            <w:vAlign w:val="center"/>
            <w:hideMark/>
          </w:tcPr>
          <w:p w14:paraId="454D58F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435AA7DD" w14:textId="71EFF24B"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79F463F8" w14:textId="77777777" w:rsidTr="001F6CF7">
        <w:trPr>
          <w:trHeight w:val="288"/>
        </w:trPr>
        <w:tc>
          <w:tcPr>
            <w:tcW w:w="2187" w:type="dxa"/>
            <w:shd w:val="clear" w:color="auto" w:fill="00D29A"/>
            <w:vAlign w:val="center"/>
            <w:hideMark/>
          </w:tcPr>
          <w:p w14:paraId="214C5BC4"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5.2. Priority </w:t>
            </w:r>
          </w:p>
        </w:tc>
        <w:tc>
          <w:tcPr>
            <w:tcW w:w="1561" w:type="dxa"/>
            <w:shd w:val="clear" w:color="auto" w:fill="00D29A"/>
            <w:vAlign w:val="center"/>
            <w:hideMark/>
          </w:tcPr>
          <w:p w14:paraId="096939CF"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19%</w:t>
            </w:r>
          </w:p>
        </w:tc>
        <w:tc>
          <w:tcPr>
            <w:tcW w:w="2112" w:type="dxa"/>
            <w:shd w:val="clear" w:color="auto" w:fill="00D29A"/>
            <w:vAlign w:val="center"/>
            <w:hideMark/>
          </w:tcPr>
          <w:p w14:paraId="24DB783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1,445,854</w:t>
            </w:r>
          </w:p>
        </w:tc>
        <w:tc>
          <w:tcPr>
            <w:tcW w:w="2532" w:type="dxa"/>
            <w:shd w:val="clear" w:color="auto" w:fill="00D29A"/>
            <w:vAlign w:val="center"/>
            <w:hideMark/>
          </w:tcPr>
          <w:p w14:paraId="12A0A54A"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364,693</w:t>
            </w:r>
          </w:p>
        </w:tc>
        <w:tc>
          <w:tcPr>
            <w:tcW w:w="2131" w:type="dxa"/>
            <w:shd w:val="clear" w:color="auto" w:fill="00D29A"/>
            <w:vAlign w:val="center"/>
            <w:hideMark/>
          </w:tcPr>
          <w:p w14:paraId="37F1B54A"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1,081,161</w:t>
            </w:r>
          </w:p>
        </w:tc>
        <w:tc>
          <w:tcPr>
            <w:tcW w:w="2955" w:type="dxa"/>
            <w:shd w:val="clear" w:color="auto" w:fill="00D29A"/>
            <w:vAlign w:val="center"/>
            <w:hideMark/>
          </w:tcPr>
          <w:p w14:paraId="4EC4B492"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49E01CC4" w14:textId="77777777" w:rsidTr="007843A3">
        <w:trPr>
          <w:trHeight w:val="480"/>
        </w:trPr>
        <w:tc>
          <w:tcPr>
            <w:tcW w:w="2187" w:type="dxa"/>
            <w:shd w:val="clear" w:color="auto" w:fill="auto"/>
            <w:vAlign w:val="center"/>
            <w:hideMark/>
          </w:tcPr>
          <w:p w14:paraId="2FAC23FF"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5.2.1. Measure</w:t>
            </w:r>
          </w:p>
        </w:tc>
        <w:tc>
          <w:tcPr>
            <w:tcW w:w="1561" w:type="dxa"/>
            <w:shd w:val="clear" w:color="auto" w:fill="auto"/>
            <w:vAlign w:val="center"/>
            <w:hideMark/>
          </w:tcPr>
          <w:p w14:paraId="79EDADB2"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93%</w:t>
            </w:r>
          </w:p>
        </w:tc>
        <w:tc>
          <w:tcPr>
            <w:tcW w:w="2112" w:type="dxa"/>
            <w:shd w:val="clear" w:color="auto" w:fill="auto"/>
            <w:vAlign w:val="center"/>
            <w:hideMark/>
          </w:tcPr>
          <w:p w14:paraId="2E2D917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1,351,451</w:t>
            </w:r>
          </w:p>
        </w:tc>
        <w:tc>
          <w:tcPr>
            <w:tcW w:w="2532" w:type="dxa"/>
            <w:shd w:val="clear" w:color="auto" w:fill="auto"/>
            <w:vAlign w:val="center"/>
            <w:hideMark/>
          </w:tcPr>
          <w:p w14:paraId="2532F36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270,290</w:t>
            </w:r>
          </w:p>
        </w:tc>
        <w:tc>
          <w:tcPr>
            <w:tcW w:w="2131" w:type="dxa"/>
            <w:shd w:val="clear" w:color="auto" w:fill="auto"/>
            <w:vAlign w:val="center"/>
            <w:hideMark/>
          </w:tcPr>
          <w:p w14:paraId="2EB16AF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1,081,161</w:t>
            </w:r>
          </w:p>
        </w:tc>
        <w:tc>
          <w:tcPr>
            <w:tcW w:w="2955" w:type="dxa"/>
            <w:shd w:val="clear" w:color="auto" w:fill="auto"/>
            <w:vAlign w:val="center"/>
            <w:hideMark/>
          </w:tcPr>
          <w:p w14:paraId="6761AC25" w14:textId="1E1CDD4B"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4CF867FF" w14:textId="77777777" w:rsidTr="007843A3">
        <w:trPr>
          <w:trHeight w:val="288"/>
        </w:trPr>
        <w:tc>
          <w:tcPr>
            <w:tcW w:w="2187" w:type="dxa"/>
            <w:shd w:val="clear" w:color="auto" w:fill="auto"/>
            <w:vAlign w:val="center"/>
            <w:hideMark/>
          </w:tcPr>
          <w:p w14:paraId="35BC58AE"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5.2.2. Measure</w:t>
            </w:r>
          </w:p>
        </w:tc>
        <w:tc>
          <w:tcPr>
            <w:tcW w:w="1561" w:type="dxa"/>
            <w:shd w:val="clear" w:color="auto" w:fill="auto"/>
            <w:vAlign w:val="center"/>
            <w:hideMark/>
          </w:tcPr>
          <w:p w14:paraId="15A2DE02"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w:t>
            </w:r>
          </w:p>
        </w:tc>
        <w:tc>
          <w:tcPr>
            <w:tcW w:w="2112" w:type="dxa"/>
            <w:shd w:val="clear" w:color="auto" w:fill="auto"/>
            <w:vAlign w:val="center"/>
            <w:hideMark/>
          </w:tcPr>
          <w:p w14:paraId="242BC18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15,925</w:t>
            </w:r>
          </w:p>
        </w:tc>
        <w:tc>
          <w:tcPr>
            <w:tcW w:w="2532" w:type="dxa"/>
            <w:shd w:val="clear" w:color="auto" w:fill="auto"/>
            <w:vAlign w:val="center"/>
            <w:hideMark/>
          </w:tcPr>
          <w:p w14:paraId="3DAD1B5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15,925</w:t>
            </w:r>
          </w:p>
        </w:tc>
        <w:tc>
          <w:tcPr>
            <w:tcW w:w="2131" w:type="dxa"/>
            <w:shd w:val="clear" w:color="auto" w:fill="auto"/>
            <w:vAlign w:val="center"/>
            <w:hideMark/>
          </w:tcPr>
          <w:p w14:paraId="34FF69C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458A74A0" w14:textId="2B703C40"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29622DEC" w14:textId="77777777" w:rsidTr="007843A3">
        <w:trPr>
          <w:trHeight w:val="288"/>
        </w:trPr>
        <w:tc>
          <w:tcPr>
            <w:tcW w:w="2187" w:type="dxa"/>
            <w:shd w:val="clear" w:color="auto" w:fill="auto"/>
            <w:vAlign w:val="center"/>
            <w:hideMark/>
          </w:tcPr>
          <w:p w14:paraId="70BA7BC6"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5.2.3. Measure</w:t>
            </w:r>
          </w:p>
        </w:tc>
        <w:tc>
          <w:tcPr>
            <w:tcW w:w="1561" w:type="dxa"/>
            <w:shd w:val="clear" w:color="auto" w:fill="auto"/>
            <w:vAlign w:val="center"/>
            <w:hideMark/>
          </w:tcPr>
          <w:p w14:paraId="3D2B487A"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5%</w:t>
            </w:r>
          </w:p>
        </w:tc>
        <w:tc>
          <w:tcPr>
            <w:tcW w:w="2112" w:type="dxa"/>
            <w:shd w:val="clear" w:color="auto" w:fill="auto"/>
            <w:vAlign w:val="center"/>
            <w:hideMark/>
          </w:tcPr>
          <w:p w14:paraId="4088396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78,478</w:t>
            </w:r>
          </w:p>
        </w:tc>
        <w:tc>
          <w:tcPr>
            <w:tcW w:w="2532" w:type="dxa"/>
            <w:shd w:val="clear" w:color="auto" w:fill="auto"/>
            <w:vAlign w:val="center"/>
            <w:hideMark/>
          </w:tcPr>
          <w:p w14:paraId="450DF58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78,478</w:t>
            </w:r>
          </w:p>
        </w:tc>
        <w:tc>
          <w:tcPr>
            <w:tcW w:w="2131" w:type="dxa"/>
            <w:shd w:val="clear" w:color="auto" w:fill="auto"/>
            <w:vAlign w:val="center"/>
            <w:hideMark/>
          </w:tcPr>
          <w:p w14:paraId="4391648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3BCB88FB" w14:textId="000148B5"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25374A8E" w14:textId="77777777" w:rsidTr="001F6CF7">
        <w:trPr>
          <w:trHeight w:val="288"/>
        </w:trPr>
        <w:tc>
          <w:tcPr>
            <w:tcW w:w="2187" w:type="dxa"/>
            <w:shd w:val="clear" w:color="auto" w:fill="00D29A"/>
            <w:vAlign w:val="center"/>
            <w:hideMark/>
          </w:tcPr>
          <w:p w14:paraId="368873A7"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5.3. Priority </w:t>
            </w:r>
          </w:p>
        </w:tc>
        <w:tc>
          <w:tcPr>
            <w:tcW w:w="1561" w:type="dxa"/>
            <w:shd w:val="clear" w:color="auto" w:fill="00D29A"/>
            <w:vAlign w:val="center"/>
            <w:hideMark/>
          </w:tcPr>
          <w:p w14:paraId="2BC99AFF"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30%</w:t>
            </w:r>
          </w:p>
        </w:tc>
        <w:tc>
          <w:tcPr>
            <w:tcW w:w="2112" w:type="dxa"/>
            <w:shd w:val="clear" w:color="auto" w:fill="00D29A"/>
            <w:vAlign w:val="center"/>
            <w:hideMark/>
          </w:tcPr>
          <w:p w14:paraId="704BED7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2,326,066</w:t>
            </w:r>
          </w:p>
        </w:tc>
        <w:tc>
          <w:tcPr>
            <w:tcW w:w="2532" w:type="dxa"/>
            <w:shd w:val="clear" w:color="auto" w:fill="00D29A"/>
            <w:vAlign w:val="center"/>
            <w:hideMark/>
          </w:tcPr>
          <w:p w14:paraId="2BE2F834"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267,639</w:t>
            </w:r>
          </w:p>
        </w:tc>
        <w:tc>
          <w:tcPr>
            <w:tcW w:w="2131" w:type="dxa"/>
            <w:shd w:val="clear" w:color="auto" w:fill="00D29A"/>
            <w:vAlign w:val="center"/>
            <w:hideMark/>
          </w:tcPr>
          <w:p w14:paraId="3D58BF6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2,058,427</w:t>
            </w:r>
          </w:p>
        </w:tc>
        <w:tc>
          <w:tcPr>
            <w:tcW w:w="2955" w:type="dxa"/>
            <w:shd w:val="clear" w:color="auto" w:fill="00D29A"/>
            <w:vAlign w:val="center"/>
            <w:hideMark/>
          </w:tcPr>
          <w:p w14:paraId="10B49EF4"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32B2BACD" w14:textId="77777777" w:rsidTr="007843A3">
        <w:trPr>
          <w:trHeight w:val="480"/>
        </w:trPr>
        <w:tc>
          <w:tcPr>
            <w:tcW w:w="2187" w:type="dxa"/>
            <w:shd w:val="clear" w:color="auto" w:fill="auto"/>
            <w:vAlign w:val="center"/>
            <w:hideMark/>
          </w:tcPr>
          <w:p w14:paraId="5533E9A6"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lastRenderedPageBreak/>
              <w:t>5.3.1. Measure</w:t>
            </w:r>
          </w:p>
        </w:tc>
        <w:tc>
          <w:tcPr>
            <w:tcW w:w="1561" w:type="dxa"/>
            <w:shd w:val="clear" w:color="auto" w:fill="auto"/>
            <w:vAlign w:val="center"/>
            <w:hideMark/>
          </w:tcPr>
          <w:p w14:paraId="43976AC2"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98%</w:t>
            </w:r>
          </w:p>
        </w:tc>
        <w:tc>
          <w:tcPr>
            <w:tcW w:w="2112" w:type="dxa"/>
            <w:shd w:val="clear" w:color="auto" w:fill="auto"/>
            <w:vAlign w:val="center"/>
            <w:hideMark/>
          </w:tcPr>
          <w:p w14:paraId="22E76C1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2,287,141</w:t>
            </w:r>
          </w:p>
        </w:tc>
        <w:tc>
          <w:tcPr>
            <w:tcW w:w="2532" w:type="dxa"/>
            <w:shd w:val="clear" w:color="auto" w:fill="auto"/>
            <w:vAlign w:val="center"/>
            <w:hideMark/>
          </w:tcPr>
          <w:p w14:paraId="2329AEF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228,714</w:t>
            </w:r>
          </w:p>
        </w:tc>
        <w:tc>
          <w:tcPr>
            <w:tcW w:w="2131" w:type="dxa"/>
            <w:shd w:val="clear" w:color="auto" w:fill="auto"/>
            <w:vAlign w:val="center"/>
            <w:hideMark/>
          </w:tcPr>
          <w:p w14:paraId="112A8EC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2,058,427</w:t>
            </w:r>
          </w:p>
        </w:tc>
        <w:tc>
          <w:tcPr>
            <w:tcW w:w="2955" w:type="dxa"/>
            <w:shd w:val="clear" w:color="auto" w:fill="auto"/>
            <w:vAlign w:val="center"/>
            <w:hideMark/>
          </w:tcPr>
          <w:p w14:paraId="28B3451A" w14:textId="54623B12"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795E5E14" w14:textId="77777777" w:rsidTr="007843A3">
        <w:trPr>
          <w:trHeight w:val="288"/>
        </w:trPr>
        <w:tc>
          <w:tcPr>
            <w:tcW w:w="2187" w:type="dxa"/>
            <w:shd w:val="clear" w:color="auto" w:fill="auto"/>
            <w:vAlign w:val="center"/>
            <w:hideMark/>
          </w:tcPr>
          <w:p w14:paraId="0DB51987"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5.3.2. Measure</w:t>
            </w:r>
          </w:p>
        </w:tc>
        <w:tc>
          <w:tcPr>
            <w:tcW w:w="1561" w:type="dxa"/>
            <w:shd w:val="clear" w:color="auto" w:fill="auto"/>
            <w:vAlign w:val="center"/>
            <w:hideMark/>
          </w:tcPr>
          <w:p w14:paraId="77A100DB"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w:t>
            </w:r>
          </w:p>
        </w:tc>
        <w:tc>
          <w:tcPr>
            <w:tcW w:w="2112" w:type="dxa"/>
            <w:shd w:val="clear" w:color="auto" w:fill="auto"/>
            <w:vAlign w:val="center"/>
            <w:hideMark/>
          </w:tcPr>
          <w:p w14:paraId="76AACB9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33,948</w:t>
            </w:r>
          </w:p>
        </w:tc>
        <w:tc>
          <w:tcPr>
            <w:tcW w:w="2532" w:type="dxa"/>
            <w:shd w:val="clear" w:color="auto" w:fill="auto"/>
            <w:vAlign w:val="center"/>
            <w:hideMark/>
          </w:tcPr>
          <w:p w14:paraId="1150D24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33,948</w:t>
            </w:r>
          </w:p>
        </w:tc>
        <w:tc>
          <w:tcPr>
            <w:tcW w:w="2131" w:type="dxa"/>
            <w:shd w:val="clear" w:color="auto" w:fill="auto"/>
            <w:vAlign w:val="center"/>
            <w:hideMark/>
          </w:tcPr>
          <w:p w14:paraId="64A065E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78715262" w14:textId="381F4165"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00D957A3" w14:textId="77777777" w:rsidTr="007843A3">
        <w:trPr>
          <w:trHeight w:val="288"/>
        </w:trPr>
        <w:tc>
          <w:tcPr>
            <w:tcW w:w="2187" w:type="dxa"/>
            <w:shd w:val="clear" w:color="auto" w:fill="auto"/>
            <w:vAlign w:val="center"/>
            <w:hideMark/>
          </w:tcPr>
          <w:p w14:paraId="344C2325"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5.3.3. Measure </w:t>
            </w:r>
          </w:p>
        </w:tc>
        <w:tc>
          <w:tcPr>
            <w:tcW w:w="1561" w:type="dxa"/>
            <w:shd w:val="clear" w:color="auto" w:fill="auto"/>
            <w:vAlign w:val="center"/>
            <w:hideMark/>
          </w:tcPr>
          <w:p w14:paraId="67ED2246"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0.2%</w:t>
            </w:r>
          </w:p>
        </w:tc>
        <w:tc>
          <w:tcPr>
            <w:tcW w:w="2112" w:type="dxa"/>
            <w:shd w:val="clear" w:color="auto" w:fill="auto"/>
            <w:vAlign w:val="center"/>
            <w:hideMark/>
          </w:tcPr>
          <w:p w14:paraId="0F48BD7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4,977</w:t>
            </w:r>
          </w:p>
        </w:tc>
        <w:tc>
          <w:tcPr>
            <w:tcW w:w="2532" w:type="dxa"/>
            <w:shd w:val="clear" w:color="auto" w:fill="auto"/>
            <w:vAlign w:val="center"/>
            <w:hideMark/>
          </w:tcPr>
          <w:p w14:paraId="749A00A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4,977</w:t>
            </w:r>
          </w:p>
        </w:tc>
        <w:tc>
          <w:tcPr>
            <w:tcW w:w="2131" w:type="dxa"/>
            <w:shd w:val="clear" w:color="auto" w:fill="auto"/>
            <w:vAlign w:val="center"/>
            <w:hideMark/>
          </w:tcPr>
          <w:p w14:paraId="5318193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5E8CAAFF" w14:textId="3D719122"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7619C78D" w14:textId="77777777" w:rsidTr="001F6CF7">
        <w:trPr>
          <w:trHeight w:val="288"/>
        </w:trPr>
        <w:tc>
          <w:tcPr>
            <w:tcW w:w="2187" w:type="dxa"/>
            <w:shd w:val="clear" w:color="auto" w:fill="00D29A"/>
            <w:vAlign w:val="center"/>
            <w:hideMark/>
          </w:tcPr>
          <w:p w14:paraId="2D03C129"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5.4. Priority </w:t>
            </w:r>
          </w:p>
        </w:tc>
        <w:tc>
          <w:tcPr>
            <w:tcW w:w="1561" w:type="dxa"/>
            <w:shd w:val="clear" w:color="auto" w:fill="00D29A"/>
            <w:vAlign w:val="center"/>
            <w:hideMark/>
          </w:tcPr>
          <w:p w14:paraId="04161D89"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7%</w:t>
            </w:r>
          </w:p>
        </w:tc>
        <w:tc>
          <w:tcPr>
            <w:tcW w:w="2112" w:type="dxa"/>
            <w:shd w:val="clear" w:color="auto" w:fill="00D29A"/>
            <w:vAlign w:val="center"/>
            <w:hideMark/>
          </w:tcPr>
          <w:p w14:paraId="5F77D55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501,659</w:t>
            </w:r>
          </w:p>
        </w:tc>
        <w:tc>
          <w:tcPr>
            <w:tcW w:w="2532" w:type="dxa"/>
            <w:shd w:val="clear" w:color="auto" w:fill="00D29A"/>
            <w:vAlign w:val="center"/>
            <w:hideMark/>
          </w:tcPr>
          <w:p w14:paraId="13414903"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50,166</w:t>
            </w:r>
          </w:p>
        </w:tc>
        <w:tc>
          <w:tcPr>
            <w:tcW w:w="2131" w:type="dxa"/>
            <w:shd w:val="clear" w:color="auto" w:fill="00D29A"/>
            <w:vAlign w:val="center"/>
            <w:hideMark/>
          </w:tcPr>
          <w:p w14:paraId="4A9AA964"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451,493</w:t>
            </w:r>
          </w:p>
        </w:tc>
        <w:tc>
          <w:tcPr>
            <w:tcW w:w="2955" w:type="dxa"/>
            <w:shd w:val="clear" w:color="auto" w:fill="00D29A"/>
            <w:vAlign w:val="center"/>
            <w:hideMark/>
          </w:tcPr>
          <w:p w14:paraId="2A614F1A"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69B5492F" w14:textId="77777777" w:rsidTr="007843A3">
        <w:trPr>
          <w:trHeight w:val="480"/>
        </w:trPr>
        <w:tc>
          <w:tcPr>
            <w:tcW w:w="2187" w:type="dxa"/>
            <w:shd w:val="clear" w:color="auto" w:fill="auto"/>
            <w:vAlign w:val="center"/>
            <w:hideMark/>
          </w:tcPr>
          <w:p w14:paraId="56095173"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5.4.1. Measure</w:t>
            </w:r>
          </w:p>
        </w:tc>
        <w:tc>
          <w:tcPr>
            <w:tcW w:w="1561" w:type="dxa"/>
            <w:shd w:val="clear" w:color="auto" w:fill="auto"/>
            <w:vAlign w:val="center"/>
            <w:hideMark/>
          </w:tcPr>
          <w:p w14:paraId="3E8691E7"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4B981EB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501,659</w:t>
            </w:r>
          </w:p>
        </w:tc>
        <w:tc>
          <w:tcPr>
            <w:tcW w:w="2532" w:type="dxa"/>
            <w:shd w:val="clear" w:color="auto" w:fill="auto"/>
            <w:vAlign w:val="center"/>
            <w:hideMark/>
          </w:tcPr>
          <w:p w14:paraId="25DE22A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50,166</w:t>
            </w:r>
          </w:p>
        </w:tc>
        <w:tc>
          <w:tcPr>
            <w:tcW w:w="2131" w:type="dxa"/>
            <w:shd w:val="clear" w:color="auto" w:fill="auto"/>
            <w:vAlign w:val="center"/>
            <w:hideMark/>
          </w:tcPr>
          <w:p w14:paraId="55E3220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451,493</w:t>
            </w:r>
          </w:p>
        </w:tc>
        <w:tc>
          <w:tcPr>
            <w:tcW w:w="2955" w:type="dxa"/>
            <w:shd w:val="clear" w:color="auto" w:fill="auto"/>
            <w:vAlign w:val="center"/>
            <w:hideMark/>
          </w:tcPr>
          <w:p w14:paraId="059E22F8" w14:textId="5780FD8D"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7BA7C866" w14:textId="77777777" w:rsidTr="001F6CF7">
        <w:trPr>
          <w:trHeight w:val="288"/>
        </w:trPr>
        <w:tc>
          <w:tcPr>
            <w:tcW w:w="2187" w:type="dxa"/>
            <w:shd w:val="clear" w:color="auto" w:fill="00D29A"/>
            <w:vAlign w:val="center"/>
            <w:hideMark/>
          </w:tcPr>
          <w:p w14:paraId="6AC572AD"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5.5. Priority </w:t>
            </w:r>
          </w:p>
        </w:tc>
        <w:tc>
          <w:tcPr>
            <w:tcW w:w="1561" w:type="dxa"/>
            <w:shd w:val="clear" w:color="auto" w:fill="00D29A"/>
            <w:vAlign w:val="center"/>
            <w:hideMark/>
          </w:tcPr>
          <w:p w14:paraId="33CD588D"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w:t>
            </w:r>
          </w:p>
        </w:tc>
        <w:tc>
          <w:tcPr>
            <w:tcW w:w="2112" w:type="dxa"/>
            <w:shd w:val="clear" w:color="auto" w:fill="00D29A"/>
            <w:vAlign w:val="center"/>
            <w:hideMark/>
          </w:tcPr>
          <w:p w14:paraId="67CADCE1"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115,345</w:t>
            </w:r>
          </w:p>
        </w:tc>
        <w:tc>
          <w:tcPr>
            <w:tcW w:w="2532" w:type="dxa"/>
            <w:shd w:val="clear" w:color="auto" w:fill="00D29A"/>
            <w:vAlign w:val="center"/>
            <w:hideMark/>
          </w:tcPr>
          <w:p w14:paraId="6C88A4C3"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115,345</w:t>
            </w:r>
          </w:p>
        </w:tc>
        <w:tc>
          <w:tcPr>
            <w:tcW w:w="2131" w:type="dxa"/>
            <w:shd w:val="clear" w:color="auto" w:fill="00D29A"/>
            <w:vAlign w:val="center"/>
            <w:hideMark/>
          </w:tcPr>
          <w:p w14:paraId="5125C4C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w:t>
            </w:r>
          </w:p>
        </w:tc>
        <w:tc>
          <w:tcPr>
            <w:tcW w:w="2955" w:type="dxa"/>
            <w:shd w:val="clear" w:color="auto" w:fill="00D29A"/>
            <w:vAlign w:val="center"/>
            <w:hideMark/>
          </w:tcPr>
          <w:p w14:paraId="30FBBEF8"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2425E2AC" w14:textId="77777777" w:rsidTr="007843A3">
        <w:trPr>
          <w:trHeight w:val="288"/>
        </w:trPr>
        <w:tc>
          <w:tcPr>
            <w:tcW w:w="2187" w:type="dxa"/>
            <w:shd w:val="clear" w:color="auto" w:fill="auto"/>
            <w:vAlign w:val="center"/>
            <w:hideMark/>
          </w:tcPr>
          <w:p w14:paraId="6EBFE74A"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5.5.1. Measure</w:t>
            </w:r>
          </w:p>
        </w:tc>
        <w:tc>
          <w:tcPr>
            <w:tcW w:w="1561" w:type="dxa"/>
            <w:shd w:val="clear" w:color="auto" w:fill="auto"/>
            <w:vAlign w:val="center"/>
            <w:hideMark/>
          </w:tcPr>
          <w:p w14:paraId="5318F3FF"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7F55700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115,345</w:t>
            </w:r>
          </w:p>
        </w:tc>
        <w:tc>
          <w:tcPr>
            <w:tcW w:w="2532" w:type="dxa"/>
            <w:shd w:val="clear" w:color="auto" w:fill="auto"/>
            <w:vAlign w:val="center"/>
            <w:hideMark/>
          </w:tcPr>
          <w:p w14:paraId="0BB88A9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115,345</w:t>
            </w:r>
          </w:p>
        </w:tc>
        <w:tc>
          <w:tcPr>
            <w:tcW w:w="2131" w:type="dxa"/>
            <w:shd w:val="clear" w:color="auto" w:fill="auto"/>
            <w:vAlign w:val="center"/>
            <w:hideMark/>
          </w:tcPr>
          <w:p w14:paraId="41A8F9F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0A89C33C" w14:textId="090FAC77"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71BBA1F8" w14:textId="77777777" w:rsidTr="001F6CF7">
        <w:trPr>
          <w:trHeight w:val="288"/>
        </w:trPr>
        <w:tc>
          <w:tcPr>
            <w:tcW w:w="2187" w:type="dxa"/>
            <w:shd w:val="clear" w:color="auto" w:fill="00D29A"/>
            <w:vAlign w:val="center"/>
            <w:hideMark/>
          </w:tcPr>
          <w:p w14:paraId="5C75948F"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5.6. Priority </w:t>
            </w:r>
          </w:p>
        </w:tc>
        <w:tc>
          <w:tcPr>
            <w:tcW w:w="1561" w:type="dxa"/>
            <w:shd w:val="clear" w:color="auto" w:fill="00D29A"/>
            <w:vAlign w:val="center"/>
            <w:hideMark/>
          </w:tcPr>
          <w:p w14:paraId="25D11502"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12%</w:t>
            </w:r>
          </w:p>
        </w:tc>
        <w:tc>
          <w:tcPr>
            <w:tcW w:w="2112" w:type="dxa"/>
            <w:shd w:val="clear" w:color="auto" w:fill="00D29A"/>
            <w:vAlign w:val="center"/>
            <w:hideMark/>
          </w:tcPr>
          <w:p w14:paraId="611FA625"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905,774</w:t>
            </w:r>
          </w:p>
        </w:tc>
        <w:tc>
          <w:tcPr>
            <w:tcW w:w="2532" w:type="dxa"/>
            <w:shd w:val="clear" w:color="auto" w:fill="00D29A"/>
            <w:vAlign w:val="center"/>
            <w:hideMark/>
          </w:tcPr>
          <w:p w14:paraId="1635D108"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90,577</w:t>
            </w:r>
          </w:p>
        </w:tc>
        <w:tc>
          <w:tcPr>
            <w:tcW w:w="2131" w:type="dxa"/>
            <w:shd w:val="clear" w:color="auto" w:fill="00D29A"/>
            <w:vAlign w:val="center"/>
            <w:hideMark/>
          </w:tcPr>
          <w:p w14:paraId="29A0CF7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815,197</w:t>
            </w:r>
          </w:p>
        </w:tc>
        <w:tc>
          <w:tcPr>
            <w:tcW w:w="2955" w:type="dxa"/>
            <w:shd w:val="clear" w:color="auto" w:fill="00D29A"/>
            <w:vAlign w:val="center"/>
            <w:hideMark/>
          </w:tcPr>
          <w:p w14:paraId="1944AF00"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0A6AC22D" w14:textId="77777777" w:rsidTr="007843A3">
        <w:trPr>
          <w:trHeight w:val="480"/>
        </w:trPr>
        <w:tc>
          <w:tcPr>
            <w:tcW w:w="2187" w:type="dxa"/>
            <w:shd w:val="clear" w:color="auto" w:fill="auto"/>
            <w:vAlign w:val="center"/>
            <w:hideMark/>
          </w:tcPr>
          <w:p w14:paraId="46419085"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5.6.1. Measure</w:t>
            </w:r>
          </w:p>
        </w:tc>
        <w:tc>
          <w:tcPr>
            <w:tcW w:w="1561" w:type="dxa"/>
            <w:shd w:val="clear" w:color="auto" w:fill="auto"/>
            <w:vAlign w:val="center"/>
            <w:hideMark/>
          </w:tcPr>
          <w:p w14:paraId="5C5207AB"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51FD24A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905,774</w:t>
            </w:r>
          </w:p>
        </w:tc>
        <w:tc>
          <w:tcPr>
            <w:tcW w:w="2532" w:type="dxa"/>
            <w:shd w:val="clear" w:color="auto" w:fill="auto"/>
            <w:vAlign w:val="center"/>
            <w:hideMark/>
          </w:tcPr>
          <w:p w14:paraId="77740C5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90,577</w:t>
            </w:r>
          </w:p>
        </w:tc>
        <w:tc>
          <w:tcPr>
            <w:tcW w:w="2131" w:type="dxa"/>
            <w:shd w:val="clear" w:color="auto" w:fill="auto"/>
            <w:vAlign w:val="center"/>
            <w:hideMark/>
          </w:tcPr>
          <w:p w14:paraId="3A0A07C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815,197</w:t>
            </w:r>
          </w:p>
        </w:tc>
        <w:tc>
          <w:tcPr>
            <w:tcW w:w="2955" w:type="dxa"/>
            <w:shd w:val="clear" w:color="auto" w:fill="auto"/>
            <w:vAlign w:val="center"/>
            <w:hideMark/>
          </w:tcPr>
          <w:p w14:paraId="2DD90A2D" w14:textId="0A8BE62A"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4EF73F05" w14:textId="77777777" w:rsidTr="001F6CF7">
        <w:trPr>
          <w:trHeight w:val="288"/>
        </w:trPr>
        <w:tc>
          <w:tcPr>
            <w:tcW w:w="2187" w:type="dxa"/>
            <w:shd w:val="clear" w:color="auto" w:fill="00D29A"/>
            <w:vAlign w:val="center"/>
            <w:hideMark/>
          </w:tcPr>
          <w:p w14:paraId="3CA7E5AE"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5.7. Priority </w:t>
            </w:r>
          </w:p>
        </w:tc>
        <w:tc>
          <w:tcPr>
            <w:tcW w:w="1561" w:type="dxa"/>
            <w:shd w:val="clear" w:color="auto" w:fill="00D29A"/>
            <w:vAlign w:val="center"/>
            <w:hideMark/>
          </w:tcPr>
          <w:p w14:paraId="102319EF"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18%</w:t>
            </w:r>
          </w:p>
        </w:tc>
        <w:tc>
          <w:tcPr>
            <w:tcW w:w="2112" w:type="dxa"/>
            <w:shd w:val="clear" w:color="auto" w:fill="00D29A"/>
            <w:vAlign w:val="center"/>
            <w:hideMark/>
          </w:tcPr>
          <w:p w14:paraId="2DA69182"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1,368,644</w:t>
            </w:r>
          </w:p>
        </w:tc>
        <w:tc>
          <w:tcPr>
            <w:tcW w:w="2532" w:type="dxa"/>
            <w:shd w:val="clear" w:color="auto" w:fill="00D29A"/>
            <w:vAlign w:val="center"/>
            <w:hideMark/>
          </w:tcPr>
          <w:p w14:paraId="6A28FE18"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273,729</w:t>
            </w:r>
          </w:p>
        </w:tc>
        <w:tc>
          <w:tcPr>
            <w:tcW w:w="2131" w:type="dxa"/>
            <w:shd w:val="clear" w:color="auto" w:fill="00D29A"/>
            <w:vAlign w:val="center"/>
            <w:hideMark/>
          </w:tcPr>
          <w:p w14:paraId="41A8BEB4"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1,094,916</w:t>
            </w:r>
          </w:p>
        </w:tc>
        <w:tc>
          <w:tcPr>
            <w:tcW w:w="2955" w:type="dxa"/>
            <w:shd w:val="clear" w:color="auto" w:fill="00D29A"/>
            <w:vAlign w:val="center"/>
            <w:hideMark/>
          </w:tcPr>
          <w:p w14:paraId="01A8CD05"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20CE4434" w14:textId="77777777" w:rsidTr="007843A3">
        <w:trPr>
          <w:trHeight w:val="480"/>
        </w:trPr>
        <w:tc>
          <w:tcPr>
            <w:tcW w:w="2187" w:type="dxa"/>
            <w:shd w:val="clear" w:color="auto" w:fill="auto"/>
            <w:vAlign w:val="center"/>
            <w:hideMark/>
          </w:tcPr>
          <w:p w14:paraId="7E398C2A"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5.7.1. Measure</w:t>
            </w:r>
          </w:p>
        </w:tc>
        <w:tc>
          <w:tcPr>
            <w:tcW w:w="1561" w:type="dxa"/>
            <w:shd w:val="clear" w:color="auto" w:fill="auto"/>
            <w:vAlign w:val="center"/>
            <w:hideMark/>
          </w:tcPr>
          <w:p w14:paraId="00C30FF0"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5647143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1,368,644</w:t>
            </w:r>
          </w:p>
        </w:tc>
        <w:tc>
          <w:tcPr>
            <w:tcW w:w="2532" w:type="dxa"/>
            <w:shd w:val="clear" w:color="auto" w:fill="auto"/>
            <w:vAlign w:val="center"/>
            <w:hideMark/>
          </w:tcPr>
          <w:p w14:paraId="7FDFA4B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273,729</w:t>
            </w:r>
          </w:p>
        </w:tc>
        <w:tc>
          <w:tcPr>
            <w:tcW w:w="2131" w:type="dxa"/>
            <w:shd w:val="clear" w:color="auto" w:fill="auto"/>
            <w:vAlign w:val="center"/>
            <w:hideMark/>
          </w:tcPr>
          <w:p w14:paraId="41BF469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1,094,916</w:t>
            </w:r>
          </w:p>
        </w:tc>
        <w:tc>
          <w:tcPr>
            <w:tcW w:w="2955" w:type="dxa"/>
            <w:shd w:val="clear" w:color="auto" w:fill="auto"/>
            <w:vAlign w:val="center"/>
            <w:hideMark/>
          </w:tcPr>
          <w:p w14:paraId="6203F295" w14:textId="340987DD"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644896A7" w14:textId="77777777" w:rsidTr="001F6CF7">
        <w:trPr>
          <w:trHeight w:val="288"/>
        </w:trPr>
        <w:tc>
          <w:tcPr>
            <w:tcW w:w="2187" w:type="dxa"/>
            <w:shd w:val="clear" w:color="auto" w:fill="00D29A"/>
            <w:vAlign w:val="center"/>
            <w:hideMark/>
          </w:tcPr>
          <w:p w14:paraId="241B31D8"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5.8. Priority </w:t>
            </w:r>
          </w:p>
        </w:tc>
        <w:tc>
          <w:tcPr>
            <w:tcW w:w="1561" w:type="dxa"/>
            <w:shd w:val="clear" w:color="auto" w:fill="00D29A"/>
            <w:vAlign w:val="center"/>
            <w:hideMark/>
          </w:tcPr>
          <w:p w14:paraId="4253F2BA"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8%</w:t>
            </w:r>
          </w:p>
        </w:tc>
        <w:tc>
          <w:tcPr>
            <w:tcW w:w="2112" w:type="dxa"/>
            <w:shd w:val="clear" w:color="auto" w:fill="00D29A"/>
            <w:vAlign w:val="center"/>
            <w:hideMark/>
          </w:tcPr>
          <w:p w14:paraId="29939972"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576,133</w:t>
            </w:r>
          </w:p>
        </w:tc>
        <w:tc>
          <w:tcPr>
            <w:tcW w:w="2532" w:type="dxa"/>
            <w:shd w:val="clear" w:color="auto" w:fill="00D29A"/>
            <w:vAlign w:val="center"/>
            <w:hideMark/>
          </w:tcPr>
          <w:p w14:paraId="1E727605"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w:t>
            </w:r>
          </w:p>
        </w:tc>
        <w:tc>
          <w:tcPr>
            <w:tcW w:w="2131" w:type="dxa"/>
            <w:shd w:val="clear" w:color="auto" w:fill="00D29A"/>
            <w:vAlign w:val="center"/>
            <w:hideMark/>
          </w:tcPr>
          <w:p w14:paraId="28265BDC"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576,133</w:t>
            </w:r>
          </w:p>
        </w:tc>
        <w:tc>
          <w:tcPr>
            <w:tcW w:w="2955" w:type="dxa"/>
            <w:shd w:val="clear" w:color="auto" w:fill="00D29A"/>
            <w:vAlign w:val="center"/>
            <w:hideMark/>
          </w:tcPr>
          <w:p w14:paraId="629EC9AE"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5D8E558E" w14:textId="77777777" w:rsidTr="007843A3">
        <w:trPr>
          <w:trHeight w:val="480"/>
        </w:trPr>
        <w:tc>
          <w:tcPr>
            <w:tcW w:w="2187" w:type="dxa"/>
            <w:shd w:val="clear" w:color="auto" w:fill="auto"/>
            <w:vAlign w:val="center"/>
            <w:hideMark/>
          </w:tcPr>
          <w:p w14:paraId="4FC878F5"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5.8.1. Measure</w:t>
            </w:r>
          </w:p>
        </w:tc>
        <w:tc>
          <w:tcPr>
            <w:tcW w:w="1561" w:type="dxa"/>
            <w:shd w:val="clear" w:color="auto" w:fill="auto"/>
            <w:vAlign w:val="center"/>
            <w:hideMark/>
          </w:tcPr>
          <w:p w14:paraId="58D530B6"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05BA8A9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576,133</w:t>
            </w:r>
          </w:p>
        </w:tc>
        <w:tc>
          <w:tcPr>
            <w:tcW w:w="2532" w:type="dxa"/>
            <w:shd w:val="clear" w:color="auto" w:fill="auto"/>
            <w:vAlign w:val="center"/>
            <w:hideMark/>
          </w:tcPr>
          <w:p w14:paraId="606284F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131" w:type="dxa"/>
            <w:shd w:val="clear" w:color="auto" w:fill="auto"/>
            <w:vAlign w:val="center"/>
            <w:hideMark/>
          </w:tcPr>
          <w:p w14:paraId="3E94AD1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576,133</w:t>
            </w:r>
          </w:p>
        </w:tc>
        <w:tc>
          <w:tcPr>
            <w:tcW w:w="2955" w:type="dxa"/>
            <w:shd w:val="clear" w:color="auto" w:fill="auto"/>
            <w:vAlign w:val="center"/>
            <w:hideMark/>
          </w:tcPr>
          <w:p w14:paraId="68C1E4C9" w14:textId="5E0676CB" w:rsidR="007843A3" w:rsidRPr="007C4D65" w:rsidRDefault="00C224E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Funds from EU and other international donors</w:t>
            </w:r>
          </w:p>
        </w:tc>
      </w:tr>
      <w:tr w:rsidR="007843A3" w:rsidRPr="007C4D65" w14:paraId="267D1823" w14:textId="77777777" w:rsidTr="001F6CF7">
        <w:trPr>
          <w:trHeight w:val="624"/>
        </w:trPr>
        <w:tc>
          <w:tcPr>
            <w:tcW w:w="2187" w:type="dxa"/>
            <w:shd w:val="clear" w:color="auto" w:fill="009D73"/>
            <w:vAlign w:val="center"/>
            <w:hideMark/>
          </w:tcPr>
          <w:p w14:paraId="38751C33"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Sustainable use of resources</w:t>
            </w:r>
          </w:p>
        </w:tc>
        <w:tc>
          <w:tcPr>
            <w:tcW w:w="1561" w:type="dxa"/>
            <w:shd w:val="clear" w:color="auto" w:fill="009D73"/>
            <w:vAlign w:val="center"/>
            <w:hideMark/>
          </w:tcPr>
          <w:p w14:paraId="7FC7B4C7"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29.2%</w:t>
            </w:r>
          </w:p>
        </w:tc>
        <w:tc>
          <w:tcPr>
            <w:tcW w:w="2112" w:type="dxa"/>
            <w:shd w:val="clear" w:color="auto" w:fill="009D73"/>
            <w:vAlign w:val="center"/>
            <w:hideMark/>
          </w:tcPr>
          <w:p w14:paraId="2B6F37D8"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3,479,511,961</w:t>
            </w:r>
          </w:p>
        </w:tc>
        <w:tc>
          <w:tcPr>
            <w:tcW w:w="2532" w:type="dxa"/>
            <w:shd w:val="clear" w:color="auto" w:fill="009D73"/>
            <w:vAlign w:val="center"/>
            <w:hideMark/>
          </w:tcPr>
          <w:p w14:paraId="64BE358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348,980,610</w:t>
            </w:r>
          </w:p>
        </w:tc>
        <w:tc>
          <w:tcPr>
            <w:tcW w:w="2131" w:type="dxa"/>
            <w:shd w:val="clear" w:color="auto" w:fill="009D73"/>
            <w:vAlign w:val="center"/>
            <w:hideMark/>
          </w:tcPr>
          <w:p w14:paraId="70196B7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3,130,531,351</w:t>
            </w:r>
          </w:p>
        </w:tc>
        <w:tc>
          <w:tcPr>
            <w:tcW w:w="2955" w:type="dxa"/>
            <w:shd w:val="clear" w:color="auto" w:fill="009D73"/>
            <w:vAlign w:val="center"/>
            <w:hideMark/>
          </w:tcPr>
          <w:p w14:paraId="1A3D91A0"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6C45705F" w14:textId="77777777" w:rsidTr="001F6CF7">
        <w:trPr>
          <w:trHeight w:val="288"/>
        </w:trPr>
        <w:tc>
          <w:tcPr>
            <w:tcW w:w="2187" w:type="dxa"/>
            <w:shd w:val="clear" w:color="auto" w:fill="00D29A"/>
            <w:vAlign w:val="center"/>
            <w:hideMark/>
          </w:tcPr>
          <w:p w14:paraId="2813BA3A"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6.1. Priority </w:t>
            </w:r>
          </w:p>
        </w:tc>
        <w:tc>
          <w:tcPr>
            <w:tcW w:w="1561" w:type="dxa"/>
            <w:shd w:val="clear" w:color="auto" w:fill="00D29A"/>
            <w:vAlign w:val="center"/>
            <w:hideMark/>
          </w:tcPr>
          <w:p w14:paraId="17DC0FCD"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w:t>
            </w:r>
          </w:p>
        </w:tc>
        <w:tc>
          <w:tcPr>
            <w:tcW w:w="2112" w:type="dxa"/>
            <w:shd w:val="clear" w:color="auto" w:fill="00D29A"/>
            <w:vAlign w:val="center"/>
            <w:hideMark/>
          </w:tcPr>
          <w:p w14:paraId="7056DEF2"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141,876,906</w:t>
            </w:r>
          </w:p>
        </w:tc>
        <w:tc>
          <w:tcPr>
            <w:tcW w:w="2532" w:type="dxa"/>
            <w:shd w:val="clear" w:color="auto" w:fill="00D29A"/>
            <w:vAlign w:val="center"/>
            <w:hideMark/>
          </w:tcPr>
          <w:p w14:paraId="4FB3E1F3"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14,337,100</w:t>
            </w:r>
          </w:p>
        </w:tc>
        <w:tc>
          <w:tcPr>
            <w:tcW w:w="2131" w:type="dxa"/>
            <w:shd w:val="clear" w:color="auto" w:fill="00D29A"/>
            <w:vAlign w:val="center"/>
            <w:hideMark/>
          </w:tcPr>
          <w:p w14:paraId="42F000D1"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127,539,806</w:t>
            </w:r>
          </w:p>
        </w:tc>
        <w:tc>
          <w:tcPr>
            <w:tcW w:w="2955" w:type="dxa"/>
            <w:shd w:val="clear" w:color="auto" w:fill="00D29A"/>
            <w:vAlign w:val="center"/>
            <w:hideMark/>
          </w:tcPr>
          <w:p w14:paraId="0C5C2E17"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3EA8D193" w14:textId="77777777" w:rsidTr="007843A3">
        <w:trPr>
          <w:trHeight w:val="480"/>
        </w:trPr>
        <w:tc>
          <w:tcPr>
            <w:tcW w:w="2187" w:type="dxa"/>
            <w:shd w:val="clear" w:color="auto" w:fill="auto"/>
            <w:vAlign w:val="center"/>
            <w:hideMark/>
          </w:tcPr>
          <w:p w14:paraId="3EF4ECB7"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6.1.1. Measure</w:t>
            </w:r>
          </w:p>
        </w:tc>
        <w:tc>
          <w:tcPr>
            <w:tcW w:w="1561" w:type="dxa"/>
            <w:shd w:val="clear" w:color="auto" w:fill="auto"/>
            <w:vAlign w:val="center"/>
            <w:hideMark/>
          </w:tcPr>
          <w:p w14:paraId="5529FA3A"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0.1%</w:t>
            </w:r>
          </w:p>
        </w:tc>
        <w:tc>
          <w:tcPr>
            <w:tcW w:w="2112" w:type="dxa"/>
            <w:shd w:val="clear" w:color="auto" w:fill="auto"/>
            <w:vAlign w:val="center"/>
            <w:hideMark/>
          </w:tcPr>
          <w:p w14:paraId="4671636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165,984</w:t>
            </w:r>
          </w:p>
        </w:tc>
        <w:tc>
          <w:tcPr>
            <w:tcW w:w="2532" w:type="dxa"/>
            <w:shd w:val="clear" w:color="auto" w:fill="auto"/>
            <w:vAlign w:val="center"/>
            <w:hideMark/>
          </w:tcPr>
          <w:p w14:paraId="07003D1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16,598</w:t>
            </w:r>
          </w:p>
        </w:tc>
        <w:tc>
          <w:tcPr>
            <w:tcW w:w="2131" w:type="dxa"/>
            <w:shd w:val="clear" w:color="auto" w:fill="auto"/>
            <w:vAlign w:val="center"/>
            <w:hideMark/>
          </w:tcPr>
          <w:p w14:paraId="2F33814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149,386</w:t>
            </w:r>
          </w:p>
        </w:tc>
        <w:tc>
          <w:tcPr>
            <w:tcW w:w="2955" w:type="dxa"/>
            <w:shd w:val="clear" w:color="auto" w:fill="auto"/>
            <w:vAlign w:val="center"/>
            <w:hideMark/>
          </w:tcPr>
          <w:p w14:paraId="65F455CA" w14:textId="48E37E18"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w:t>
            </w:r>
            <w:r w:rsidR="009D6490"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5B66ECC6" w14:textId="77777777" w:rsidTr="007843A3">
        <w:trPr>
          <w:trHeight w:val="480"/>
        </w:trPr>
        <w:tc>
          <w:tcPr>
            <w:tcW w:w="2187" w:type="dxa"/>
            <w:shd w:val="clear" w:color="auto" w:fill="auto"/>
            <w:vAlign w:val="center"/>
            <w:hideMark/>
          </w:tcPr>
          <w:p w14:paraId="6D7CB86F"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6.1.2. Measure</w:t>
            </w:r>
          </w:p>
        </w:tc>
        <w:tc>
          <w:tcPr>
            <w:tcW w:w="1561" w:type="dxa"/>
            <w:shd w:val="clear" w:color="auto" w:fill="auto"/>
            <w:vAlign w:val="center"/>
            <w:hideMark/>
          </w:tcPr>
          <w:p w14:paraId="64BC77D4"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0.2%</w:t>
            </w:r>
          </w:p>
        </w:tc>
        <w:tc>
          <w:tcPr>
            <w:tcW w:w="2112" w:type="dxa"/>
            <w:shd w:val="clear" w:color="auto" w:fill="auto"/>
            <w:vAlign w:val="center"/>
            <w:hideMark/>
          </w:tcPr>
          <w:p w14:paraId="2D4DE37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313,281</w:t>
            </w:r>
          </w:p>
        </w:tc>
        <w:tc>
          <w:tcPr>
            <w:tcW w:w="2532" w:type="dxa"/>
            <w:shd w:val="clear" w:color="auto" w:fill="auto"/>
            <w:vAlign w:val="center"/>
            <w:hideMark/>
          </w:tcPr>
          <w:p w14:paraId="201B67A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62,656</w:t>
            </w:r>
          </w:p>
        </w:tc>
        <w:tc>
          <w:tcPr>
            <w:tcW w:w="2131" w:type="dxa"/>
            <w:shd w:val="clear" w:color="auto" w:fill="auto"/>
            <w:vAlign w:val="center"/>
            <w:hideMark/>
          </w:tcPr>
          <w:p w14:paraId="56653AD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250,625</w:t>
            </w:r>
          </w:p>
        </w:tc>
        <w:tc>
          <w:tcPr>
            <w:tcW w:w="2955" w:type="dxa"/>
            <w:shd w:val="clear" w:color="auto" w:fill="auto"/>
            <w:vAlign w:val="center"/>
            <w:hideMark/>
          </w:tcPr>
          <w:p w14:paraId="048EAED6" w14:textId="5A692932"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1E0D163C" w14:textId="77777777" w:rsidTr="007843A3">
        <w:trPr>
          <w:trHeight w:val="288"/>
        </w:trPr>
        <w:tc>
          <w:tcPr>
            <w:tcW w:w="2187" w:type="dxa"/>
            <w:shd w:val="clear" w:color="auto" w:fill="auto"/>
            <w:vAlign w:val="center"/>
            <w:hideMark/>
          </w:tcPr>
          <w:p w14:paraId="1696528E"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6.1.3. Measure</w:t>
            </w:r>
          </w:p>
        </w:tc>
        <w:tc>
          <w:tcPr>
            <w:tcW w:w="1561" w:type="dxa"/>
            <w:shd w:val="clear" w:color="auto" w:fill="auto"/>
            <w:vAlign w:val="center"/>
            <w:hideMark/>
          </w:tcPr>
          <w:p w14:paraId="1FE9D746"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0.07%</w:t>
            </w:r>
          </w:p>
        </w:tc>
        <w:tc>
          <w:tcPr>
            <w:tcW w:w="2112" w:type="dxa"/>
            <w:shd w:val="clear" w:color="auto" w:fill="auto"/>
            <w:vAlign w:val="center"/>
            <w:hideMark/>
          </w:tcPr>
          <w:p w14:paraId="68F4490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100,778</w:t>
            </w:r>
          </w:p>
        </w:tc>
        <w:tc>
          <w:tcPr>
            <w:tcW w:w="2532" w:type="dxa"/>
            <w:shd w:val="clear" w:color="auto" w:fill="auto"/>
            <w:vAlign w:val="center"/>
            <w:hideMark/>
          </w:tcPr>
          <w:p w14:paraId="7EA399D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100,778</w:t>
            </w:r>
          </w:p>
        </w:tc>
        <w:tc>
          <w:tcPr>
            <w:tcW w:w="2131" w:type="dxa"/>
            <w:shd w:val="clear" w:color="auto" w:fill="auto"/>
            <w:vAlign w:val="center"/>
            <w:hideMark/>
          </w:tcPr>
          <w:p w14:paraId="6552B62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31240F81" w14:textId="25780029"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247BB0A5" w14:textId="77777777" w:rsidTr="007843A3">
        <w:trPr>
          <w:trHeight w:val="480"/>
        </w:trPr>
        <w:tc>
          <w:tcPr>
            <w:tcW w:w="2187" w:type="dxa"/>
            <w:shd w:val="clear" w:color="auto" w:fill="auto"/>
            <w:vAlign w:val="center"/>
            <w:hideMark/>
          </w:tcPr>
          <w:p w14:paraId="771ABC3B"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6.1.4. Measure</w:t>
            </w:r>
          </w:p>
        </w:tc>
        <w:tc>
          <w:tcPr>
            <w:tcW w:w="1561" w:type="dxa"/>
            <w:shd w:val="clear" w:color="auto" w:fill="auto"/>
            <w:vAlign w:val="center"/>
            <w:hideMark/>
          </w:tcPr>
          <w:p w14:paraId="57B42BBA"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6%</w:t>
            </w:r>
          </w:p>
        </w:tc>
        <w:tc>
          <w:tcPr>
            <w:tcW w:w="2112" w:type="dxa"/>
            <w:shd w:val="clear" w:color="auto" w:fill="auto"/>
            <w:vAlign w:val="center"/>
            <w:hideMark/>
          </w:tcPr>
          <w:p w14:paraId="35FE67F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8,996,818</w:t>
            </w:r>
          </w:p>
        </w:tc>
        <w:tc>
          <w:tcPr>
            <w:tcW w:w="2532" w:type="dxa"/>
            <w:shd w:val="clear" w:color="auto" w:fill="auto"/>
            <w:vAlign w:val="center"/>
            <w:hideMark/>
          </w:tcPr>
          <w:p w14:paraId="7BE86AE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899,682</w:t>
            </w:r>
          </w:p>
        </w:tc>
        <w:tc>
          <w:tcPr>
            <w:tcW w:w="2131" w:type="dxa"/>
            <w:shd w:val="clear" w:color="auto" w:fill="auto"/>
            <w:vAlign w:val="center"/>
            <w:hideMark/>
          </w:tcPr>
          <w:p w14:paraId="1E5A859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8,097,136</w:t>
            </w:r>
          </w:p>
        </w:tc>
        <w:tc>
          <w:tcPr>
            <w:tcW w:w="2955" w:type="dxa"/>
            <w:shd w:val="clear" w:color="auto" w:fill="auto"/>
            <w:vAlign w:val="center"/>
            <w:hideMark/>
          </w:tcPr>
          <w:p w14:paraId="11C327E8" w14:textId="0F5E5223"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7385C56A" w14:textId="77777777" w:rsidTr="007843A3">
        <w:trPr>
          <w:trHeight w:val="720"/>
        </w:trPr>
        <w:tc>
          <w:tcPr>
            <w:tcW w:w="2187" w:type="dxa"/>
            <w:shd w:val="clear" w:color="auto" w:fill="auto"/>
            <w:vAlign w:val="center"/>
            <w:hideMark/>
          </w:tcPr>
          <w:p w14:paraId="38346AD5"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6.1.5. Measure</w:t>
            </w:r>
          </w:p>
        </w:tc>
        <w:tc>
          <w:tcPr>
            <w:tcW w:w="1561" w:type="dxa"/>
            <w:shd w:val="clear" w:color="auto" w:fill="auto"/>
            <w:vAlign w:val="center"/>
            <w:hideMark/>
          </w:tcPr>
          <w:p w14:paraId="4DF32C65"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93%</w:t>
            </w:r>
          </w:p>
        </w:tc>
        <w:tc>
          <w:tcPr>
            <w:tcW w:w="2112" w:type="dxa"/>
            <w:shd w:val="clear" w:color="auto" w:fill="auto"/>
            <w:vAlign w:val="center"/>
            <w:hideMark/>
          </w:tcPr>
          <w:p w14:paraId="04FAEF5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132,163,137</w:t>
            </w:r>
          </w:p>
        </w:tc>
        <w:tc>
          <w:tcPr>
            <w:tcW w:w="2532" w:type="dxa"/>
            <w:shd w:val="clear" w:color="auto" w:fill="auto"/>
            <w:vAlign w:val="center"/>
            <w:hideMark/>
          </w:tcPr>
          <w:p w14:paraId="29BBBAF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13,216,314</w:t>
            </w:r>
          </w:p>
        </w:tc>
        <w:tc>
          <w:tcPr>
            <w:tcW w:w="2131" w:type="dxa"/>
            <w:shd w:val="clear" w:color="auto" w:fill="auto"/>
            <w:vAlign w:val="center"/>
            <w:hideMark/>
          </w:tcPr>
          <w:p w14:paraId="2201371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118,946,823</w:t>
            </w:r>
          </w:p>
        </w:tc>
        <w:tc>
          <w:tcPr>
            <w:tcW w:w="2955" w:type="dxa"/>
            <w:shd w:val="clear" w:color="auto" w:fill="auto"/>
            <w:vAlign w:val="center"/>
            <w:hideMark/>
          </w:tcPr>
          <w:p w14:paraId="23ABCD51" w14:textId="2C854CAF"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095CAC" w:rsidRPr="007C4D65">
              <w:rPr>
                <w:rFonts w:asciiTheme="minorHAnsi" w:hAnsiTheme="minorHAnsi" w:cstheme="minorHAnsi"/>
                <w:b/>
                <w:color w:val="000000"/>
                <w:sz w:val="18"/>
              </w:rPr>
              <w:t>, Loans</w:t>
            </w:r>
            <w:r w:rsidR="009D6490"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7458B0F5" w14:textId="77777777" w:rsidTr="007843A3">
        <w:trPr>
          <w:trHeight w:val="480"/>
        </w:trPr>
        <w:tc>
          <w:tcPr>
            <w:tcW w:w="2187" w:type="dxa"/>
            <w:shd w:val="clear" w:color="auto" w:fill="auto"/>
            <w:vAlign w:val="center"/>
            <w:hideMark/>
          </w:tcPr>
          <w:p w14:paraId="6DF37A87"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lastRenderedPageBreak/>
              <w:t>6.1.6. Measure</w:t>
            </w:r>
          </w:p>
        </w:tc>
        <w:tc>
          <w:tcPr>
            <w:tcW w:w="1561" w:type="dxa"/>
            <w:shd w:val="clear" w:color="auto" w:fill="auto"/>
            <w:vAlign w:val="center"/>
            <w:hideMark/>
          </w:tcPr>
          <w:p w14:paraId="30B0732C"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0.1%</w:t>
            </w:r>
          </w:p>
        </w:tc>
        <w:tc>
          <w:tcPr>
            <w:tcW w:w="2112" w:type="dxa"/>
            <w:shd w:val="clear" w:color="auto" w:fill="auto"/>
            <w:vAlign w:val="center"/>
            <w:hideMark/>
          </w:tcPr>
          <w:p w14:paraId="7C3F28A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136,908</w:t>
            </w:r>
          </w:p>
        </w:tc>
        <w:tc>
          <w:tcPr>
            <w:tcW w:w="2532" w:type="dxa"/>
            <w:shd w:val="clear" w:color="auto" w:fill="auto"/>
            <w:vAlign w:val="center"/>
            <w:hideMark/>
          </w:tcPr>
          <w:p w14:paraId="1E06E44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41,072</w:t>
            </w:r>
          </w:p>
        </w:tc>
        <w:tc>
          <w:tcPr>
            <w:tcW w:w="2131" w:type="dxa"/>
            <w:shd w:val="clear" w:color="auto" w:fill="auto"/>
            <w:vAlign w:val="center"/>
            <w:hideMark/>
          </w:tcPr>
          <w:p w14:paraId="096F995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95,836</w:t>
            </w:r>
          </w:p>
        </w:tc>
        <w:tc>
          <w:tcPr>
            <w:tcW w:w="2955" w:type="dxa"/>
            <w:shd w:val="clear" w:color="auto" w:fill="auto"/>
            <w:vAlign w:val="center"/>
            <w:hideMark/>
          </w:tcPr>
          <w:p w14:paraId="195943AB" w14:textId="10DB9A36"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23858C2E" w14:textId="77777777" w:rsidTr="001F6CF7">
        <w:trPr>
          <w:trHeight w:val="288"/>
        </w:trPr>
        <w:tc>
          <w:tcPr>
            <w:tcW w:w="2187" w:type="dxa"/>
            <w:shd w:val="clear" w:color="auto" w:fill="00D29A"/>
            <w:vAlign w:val="center"/>
            <w:hideMark/>
          </w:tcPr>
          <w:p w14:paraId="0989923B"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6.2. Priority </w:t>
            </w:r>
          </w:p>
        </w:tc>
        <w:tc>
          <w:tcPr>
            <w:tcW w:w="1561" w:type="dxa"/>
            <w:shd w:val="clear" w:color="auto" w:fill="00D29A"/>
            <w:vAlign w:val="center"/>
            <w:hideMark/>
          </w:tcPr>
          <w:p w14:paraId="7DBB9235"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0.05%</w:t>
            </w:r>
          </w:p>
        </w:tc>
        <w:tc>
          <w:tcPr>
            <w:tcW w:w="2112" w:type="dxa"/>
            <w:shd w:val="clear" w:color="auto" w:fill="00D29A"/>
            <w:vAlign w:val="center"/>
            <w:hideMark/>
          </w:tcPr>
          <w:p w14:paraId="1FE504F9"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1,762,876</w:t>
            </w:r>
          </w:p>
        </w:tc>
        <w:tc>
          <w:tcPr>
            <w:tcW w:w="2532" w:type="dxa"/>
            <w:shd w:val="clear" w:color="auto" w:fill="00D29A"/>
            <w:vAlign w:val="center"/>
            <w:hideMark/>
          </w:tcPr>
          <w:p w14:paraId="2FFC98E7"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177,766</w:t>
            </w:r>
          </w:p>
        </w:tc>
        <w:tc>
          <w:tcPr>
            <w:tcW w:w="2131" w:type="dxa"/>
            <w:shd w:val="clear" w:color="auto" w:fill="00D29A"/>
            <w:vAlign w:val="center"/>
            <w:hideMark/>
          </w:tcPr>
          <w:p w14:paraId="0882A499"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1,585,109</w:t>
            </w:r>
          </w:p>
        </w:tc>
        <w:tc>
          <w:tcPr>
            <w:tcW w:w="2955" w:type="dxa"/>
            <w:shd w:val="clear" w:color="auto" w:fill="00D29A"/>
            <w:vAlign w:val="center"/>
            <w:hideMark/>
          </w:tcPr>
          <w:p w14:paraId="16F12A6C"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39ADFC10" w14:textId="77777777" w:rsidTr="007843A3">
        <w:trPr>
          <w:trHeight w:val="288"/>
        </w:trPr>
        <w:tc>
          <w:tcPr>
            <w:tcW w:w="2187" w:type="dxa"/>
            <w:shd w:val="clear" w:color="auto" w:fill="auto"/>
            <w:vAlign w:val="center"/>
            <w:hideMark/>
          </w:tcPr>
          <w:p w14:paraId="555F8019"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6.2.1. Measure</w:t>
            </w:r>
          </w:p>
        </w:tc>
        <w:tc>
          <w:tcPr>
            <w:tcW w:w="1561" w:type="dxa"/>
            <w:shd w:val="clear" w:color="auto" w:fill="auto"/>
            <w:vAlign w:val="center"/>
            <w:hideMark/>
          </w:tcPr>
          <w:p w14:paraId="4BC2328C"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0.1%</w:t>
            </w:r>
          </w:p>
        </w:tc>
        <w:tc>
          <w:tcPr>
            <w:tcW w:w="2112" w:type="dxa"/>
            <w:shd w:val="clear" w:color="auto" w:fill="auto"/>
            <w:vAlign w:val="center"/>
            <w:hideMark/>
          </w:tcPr>
          <w:p w14:paraId="7419FB2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1,643</w:t>
            </w:r>
          </w:p>
        </w:tc>
        <w:tc>
          <w:tcPr>
            <w:tcW w:w="2532" w:type="dxa"/>
            <w:shd w:val="clear" w:color="auto" w:fill="auto"/>
            <w:vAlign w:val="center"/>
            <w:hideMark/>
          </w:tcPr>
          <w:p w14:paraId="23C5D0C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1,643</w:t>
            </w:r>
          </w:p>
        </w:tc>
        <w:tc>
          <w:tcPr>
            <w:tcW w:w="2131" w:type="dxa"/>
            <w:shd w:val="clear" w:color="auto" w:fill="auto"/>
            <w:vAlign w:val="center"/>
            <w:hideMark/>
          </w:tcPr>
          <w:p w14:paraId="76E73DA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20343370" w14:textId="691AA025"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4FE6B4EE" w14:textId="77777777" w:rsidTr="007843A3">
        <w:trPr>
          <w:trHeight w:val="480"/>
        </w:trPr>
        <w:tc>
          <w:tcPr>
            <w:tcW w:w="2187" w:type="dxa"/>
            <w:shd w:val="clear" w:color="auto" w:fill="auto"/>
            <w:vAlign w:val="center"/>
            <w:hideMark/>
          </w:tcPr>
          <w:p w14:paraId="62ABBB9D"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6.2.2. Measure</w:t>
            </w:r>
          </w:p>
        </w:tc>
        <w:tc>
          <w:tcPr>
            <w:tcW w:w="1561" w:type="dxa"/>
            <w:shd w:val="clear" w:color="auto" w:fill="auto"/>
            <w:vAlign w:val="center"/>
            <w:hideMark/>
          </w:tcPr>
          <w:p w14:paraId="71497303"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29CE396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1,761,233</w:t>
            </w:r>
          </w:p>
        </w:tc>
        <w:tc>
          <w:tcPr>
            <w:tcW w:w="2532" w:type="dxa"/>
            <w:shd w:val="clear" w:color="auto" w:fill="auto"/>
            <w:vAlign w:val="center"/>
            <w:hideMark/>
          </w:tcPr>
          <w:p w14:paraId="677CA28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176,123</w:t>
            </w:r>
          </w:p>
        </w:tc>
        <w:tc>
          <w:tcPr>
            <w:tcW w:w="2131" w:type="dxa"/>
            <w:shd w:val="clear" w:color="auto" w:fill="auto"/>
            <w:vAlign w:val="center"/>
            <w:hideMark/>
          </w:tcPr>
          <w:p w14:paraId="337499F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1,585,109</w:t>
            </w:r>
          </w:p>
        </w:tc>
        <w:tc>
          <w:tcPr>
            <w:tcW w:w="2955" w:type="dxa"/>
            <w:shd w:val="clear" w:color="auto" w:fill="auto"/>
            <w:vAlign w:val="center"/>
            <w:hideMark/>
          </w:tcPr>
          <w:p w14:paraId="1B429E86" w14:textId="53B7CBC7"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1C1BEF57" w14:textId="77777777" w:rsidTr="001F6CF7">
        <w:trPr>
          <w:trHeight w:val="288"/>
        </w:trPr>
        <w:tc>
          <w:tcPr>
            <w:tcW w:w="2187" w:type="dxa"/>
            <w:shd w:val="clear" w:color="auto" w:fill="00D29A"/>
            <w:vAlign w:val="center"/>
            <w:hideMark/>
          </w:tcPr>
          <w:p w14:paraId="60B7EA9F"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6.3. Priority </w:t>
            </w:r>
          </w:p>
        </w:tc>
        <w:tc>
          <w:tcPr>
            <w:tcW w:w="1561" w:type="dxa"/>
            <w:shd w:val="clear" w:color="auto" w:fill="00D29A"/>
            <w:vAlign w:val="center"/>
            <w:hideMark/>
          </w:tcPr>
          <w:p w14:paraId="0AB0BFA4"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0.02%</w:t>
            </w:r>
          </w:p>
        </w:tc>
        <w:tc>
          <w:tcPr>
            <w:tcW w:w="2112" w:type="dxa"/>
            <w:shd w:val="clear" w:color="auto" w:fill="00D29A"/>
            <w:vAlign w:val="center"/>
            <w:hideMark/>
          </w:tcPr>
          <w:p w14:paraId="39B49CF1"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645,424</w:t>
            </w:r>
          </w:p>
        </w:tc>
        <w:tc>
          <w:tcPr>
            <w:tcW w:w="2532" w:type="dxa"/>
            <w:shd w:val="clear" w:color="auto" w:fill="00D29A"/>
            <w:vAlign w:val="center"/>
            <w:hideMark/>
          </w:tcPr>
          <w:p w14:paraId="60F5A363"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234,700</w:t>
            </w:r>
          </w:p>
        </w:tc>
        <w:tc>
          <w:tcPr>
            <w:tcW w:w="2131" w:type="dxa"/>
            <w:shd w:val="clear" w:color="auto" w:fill="00D29A"/>
            <w:vAlign w:val="center"/>
            <w:hideMark/>
          </w:tcPr>
          <w:p w14:paraId="4A8A0500"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410,724</w:t>
            </w:r>
          </w:p>
        </w:tc>
        <w:tc>
          <w:tcPr>
            <w:tcW w:w="2955" w:type="dxa"/>
            <w:shd w:val="clear" w:color="auto" w:fill="00D29A"/>
            <w:vAlign w:val="center"/>
            <w:hideMark/>
          </w:tcPr>
          <w:p w14:paraId="2BEEAA64"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7F018EB7" w14:textId="77777777" w:rsidTr="007843A3">
        <w:trPr>
          <w:trHeight w:val="288"/>
        </w:trPr>
        <w:tc>
          <w:tcPr>
            <w:tcW w:w="2187" w:type="dxa"/>
            <w:shd w:val="clear" w:color="auto" w:fill="auto"/>
            <w:vAlign w:val="center"/>
            <w:hideMark/>
          </w:tcPr>
          <w:p w14:paraId="76B9A8A8"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6.3.1. Measure</w:t>
            </w:r>
          </w:p>
        </w:tc>
        <w:tc>
          <w:tcPr>
            <w:tcW w:w="1561" w:type="dxa"/>
            <w:shd w:val="clear" w:color="auto" w:fill="auto"/>
            <w:vAlign w:val="center"/>
            <w:hideMark/>
          </w:tcPr>
          <w:p w14:paraId="4B881CE2"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w:t>
            </w:r>
          </w:p>
        </w:tc>
        <w:tc>
          <w:tcPr>
            <w:tcW w:w="2112" w:type="dxa"/>
            <w:shd w:val="clear" w:color="auto" w:fill="auto"/>
            <w:vAlign w:val="center"/>
            <w:hideMark/>
          </w:tcPr>
          <w:p w14:paraId="3FC8DAA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58,675</w:t>
            </w:r>
          </w:p>
        </w:tc>
        <w:tc>
          <w:tcPr>
            <w:tcW w:w="2532" w:type="dxa"/>
            <w:shd w:val="clear" w:color="auto" w:fill="auto"/>
            <w:vAlign w:val="center"/>
            <w:hideMark/>
          </w:tcPr>
          <w:p w14:paraId="1778F64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58,675</w:t>
            </w:r>
          </w:p>
        </w:tc>
        <w:tc>
          <w:tcPr>
            <w:tcW w:w="2131" w:type="dxa"/>
            <w:shd w:val="clear" w:color="auto" w:fill="auto"/>
            <w:vAlign w:val="center"/>
            <w:hideMark/>
          </w:tcPr>
          <w:p w14:paraId="168C27A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19DA1E2B" w14:textId="207F9D5D"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179AFEC0" w14:textId="77777777" w:rsidTr="007843A3">
        <w:trPr>
          <w:trHeight w:val="480"/>
        </w:trPr>
        <w:tc>
          <w:tcPr>
            <w:tcW w:w="2187" w:type="dxa"/>
            <w:shd w:val="clear" w:color="auto" w:fill="auto"/>
            <w:vAlign w:val="center"/>
            <w:hideMark/>
          </w:tcPr>
          <w:p w14:paraId="79CD07A0"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6.3.2. Measure</w:t>
            </w:r>
          </w:p>
        </w:tc>
        <w:tc>
          <w:tcPr>
            <w:tcW w:w="1561" w:type="dxa"/>
            <w:shd w:val="clear" w:color="auto" w:fill="auto"/>
            <w:vAlign w:val="center"/>
            <w:hideMark/>
          </w:tcPr>
          <w:p w14:paraId="49AA7CC9"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91%</w:t>
            </w:r>
          </w:p>
        </w:tc>
        <w:tc>
          <w:tcPr>
            <w:tcW w:w="2112" w:type="dxa"/>
            <w:shd w:val="clear" w:color="auto" w:fill="auto"/>
            <w:vAlign w:val="center"/>
            <w:hideMark/>
          </w:tcPr>
          <w:p w14:paraId="2C82080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586,749</w:t>
            </w:r>
          </w:p>
        </w:tc>
        <w:tc>
          <w:tcPr>
            <w:tcW w:w="2532" w:type="dxa"/>
            <w:shd w:val="clear" w:color="auto" w:fill="auto"/>
            <w:vAlign w:val="center"/>
            <w:hideMark/>
          </w:tcPr>
          <w:p w14:paraId="1379F82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176,025</w:t>
            </w:r>
          </w:p>
        </w:tc>
        <w:tc>
          <w:tcPr>
            <w:tcW w:w="2131" w:type="dxa"/>
            <w:shd w:val="clear" w:color="auto" w:fill="auto"/>
            <w:vAlign w:val="center"/>
            <w:hideMark/>
          </w:tcPr>
          <w:p w14:paraId="4932290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410,724</w:t>
            </w:r>
          </w:p>
        </w:tc>
        <w:tc>
          <w:tcPr>
            <w:tcW w:w="2955" w:type="dxa"/>
            <w:shd w:val="clear" w:color="auto" w:fill="auto"/>
            <w:vAlign w:val="center"/>
            <w:hideMark/>
          </w:tcPr>
          <w:p w14:paraId="245C5C6A" w14:textId="4D117A0B"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63E2D1EF" w14:textId="77777777" w:rsidTr="001F6CF7">
        <w:trPr>
          <w:trHeight w:val="288"/>
        </w:trPr>
        <w:tc>
          <w:tcPr>
            <w:tcW w:w="2187" w:type="dxa"/>
            <w:shd w:val="clear" w:color="auto" w:fill="00D29A"/>
            <w:vAlign w:val="center"/>
            <w:hideMark/>
          </w:tcPr>
          <w:p w14:paraId="302BC838"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6.4. Priority </w:t>
            </w:r>
          </w:p>
        </w:tc>
        <w:tc>
          <w:tcPr>
            <w:tcW w:w="1561" w:type="dxa"/>
            <w:shd w:val="clear" w:color="auto" w:fill="00D29A"/>
            <w:vAlign w:val="center"/>
            <w:hideMark/>
          </w:tcPr>
          <w:p w14:paraId="1AACD63A"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96%</w:t>
            </w:r>
          </w:p>
        </w:tc>
        <w:tc>
          <w:tcPr>
            <w:tcW w:w="2112" w:type="dxa"/>
            <w:shd w:val="clear" w:color="auto" w:fill="00D29A"/>
            <w:vAlign w:val="center"/>
            <w:hideMark/>
          </w:tcPr>
          <w:p w14:paraId="73A3264A"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3,335,066,513</w:t>
            </w:r>
          </w:p>
        </w:tc>
        <w:tc>
          <w:tcPr>
            <w:tcW w:w="2532" w:type="dxa"/>
            <w:shd w:val="clear" w:color="auto" w:fill="00D29A"/>
            <w:vAlign w:val="center"/>
            <w:hideMark/>
          </w:tcPr>
          <w:p w14:paraId="5500E010"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334,182,972</w:t>
            </w:r>
          </w:p>
        </w:tc>
        <w:tc>
          <w:tcPr>
            <w:tcW w:w="2131" w:type="dxa"/>
            <w:shd w:val="clear" w:color="auto" w:fill="00D29A"/>
            <w:vAlign w:val="center"/>
            <w:hideMark/>
          </w:tcPr>
          <w:p w14:paraId="1DA0B755"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3,000,883,541</w:t>
            </w:r>
          </w:p>
        </w:tc>
        <w:tc>
          <w:tcPr>
            <w:tcW w:w="2955" w:type="dxa"/>
            <w:shd w:val="clear" w:color="auto" w:fill="00D29A"/>
            <w:vAlign w:val="center"/>
            <w:hideMark/>
          </w:tcPr>
          <w:p w14:paraId="39A5F279"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572E3BBE" w14:textId="77777777" w:rsidTr="007843A3">
        <w:trPr>
          <w:trHeight w:val="288"/>
        </w:trPr>
        <w:tc>
          <w:tcPr>
            <w:tcW w:w="2187" w:type="dxa"/>
            <w:shd w:val="clear" w:color="auto" w:fill="auto"/>
            <w:vAlign w:val="center"/>
            <w:hideMark/>
          </w:tcPr>
          <w:p w14:paraId="0F9CAFA5"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6.4.1. Measure</w:t>
            </w:r>
          </w:p>
        </w:tc>
        <w:tc>
          <w:tcPr>
            <w:tcW w:w="1561" w:type="dxa"/>
            <w:shd w:val="clear" w:color="auto" w:fill="auto"/>
            <w:vAlign w:val="center"/>
            <w:hideMark/>
          </w:tcPr>
          <w:p w14:paraId="090AFD0D"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0.01%</w:t>
            </w:r>
          </w:p>
        </w:tc>
        <w:tc>
          <w:tcPr>
            <w:tcW w:w="2112" w:type="dxa"/>
            <w:shd w:val="clear" w:color="auto" w:fill="auto"/>
            <w:vAlign w:val="center"/>
            <w:hideMark/>
          </w:tcPr>
          <w:p w14:paraId="059A805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398,360</w:t>
            </w:r>
          </w:p>
        </w:tc>
        <w:tc>
          <w:tcPr>
            <w:tcW w:w="2532" w:type="dxa"/>
            <w:shd w:val="clear" w:color="auto" w:fill="auto"/>
            <w:vAlign w:val="center"/>
            <w:hideMark/>
          </w:tcPr>
          <w:p w14:paraId="133B42C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398,360</w:t>
            </w:r>
          </w:p>
        </w:tc>
        <w:tc>
          <w:tcPr>
            <w:tcW w:w="2131" w:type="dxa"/>
            <w:shd w:val="clear" w:color="auto" w:fill="auto"/>
            <w:vAlign w:val="center"/>
            <w:hideMark/>
          </w:tcPr>
          <w:p w14:paraId="637EBC9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1014D774" w14:textId="2B760C86"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696B9B3B" w14:textId="77777777" w:rsidTr="007843A3">
        <w:trPr>
          <w:trHeight w:val="480"/>
        </w:trPr>
        <w:tc>
          <w:tcPr>
            <w:tcW w:w="2187" w:type="dxa"/>
            <w:shd w:val="clear" w:color="auto" w:fill="auto"/>
            <w:vAlign w:val="center"/>
            <w:hideMark/>
          </w:tcPr>
          <w:p w14:paraId="23B6D5A5"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6.4.2. Measure</w:t>
            </w:r>
          </w:p>
        </w:tc>
        <w:tc>
          <w:tcPr>
            <w:tcW w:w="1561" w:type="dxa"/>
            <w:shd w:val="clear" w:color="auto" w:fill="auto"/>
            <w:vAlign w:val="center"/>
            <w:hideMark/>
          </w:tcPr>
          <w:p w14:paraId="382EEAD1"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0.04%</w:t>
            </w:r>
          </w:p>
        </w:tc>
        <w:tc>
          <w:tcPr>
            <w:tcW w:w="2112" w:type="dxa"/>
            <w:shd w:val="clear" w:color="auto" w:fill="auto"/>
            <w:vAlign w:val="center"/>
            <w:hideMark/>
          </w:tcPr>
          <w:p w14:paraId="7AF31F8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1,291,471</w:t>
            </w:r>
          </w:p>
        </w:tc>
        <w:tc>
          <w:tcPr>
            <w:tcW w:w="2532" w:type="dxa"/>
            <w:shd w:val="clear" w:color="auto" w:fill="auto"/>
            <w:vAlign w:val="center"/>
            <w:hideMark/>
          </w:tcPr>
          <w:p w14:paraId="5C0D627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129,147</w:t>
            </w:r>
          </w:p>
        </w:tc>
        <w:tc>
          <w:tcPr>
            <w:tcW w:w="2131" w:type="dxa"/>
            <w:shd w:val="clear" w:color="auto" w:fill="auto"/>
            <w:vAlign w:val="center"/>
            <w:hideMark/>
          </w:tcPr>
          <w:p w14:paraId="0886988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1,162,324</w:t>
            </w:r>
          </w:p>
        </w:tc>
        <w:tc>
          <w:tcPr>
            <w:tcW w:w="2955" w:type="dxa"/>
            <w:shd w:val="clear" w:color="auto" w:fill="auto"/>
            <w:vAlign w:val="center"/>
            <w:hideMark/>
          </w:tcPr>
          <w:p w14:paraId="2E96B9E7" w14:textId="3283CF4A"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1290A35D" w14:textId="77777777" w:rsidTr="007843A3">
        <w:trPr>
          <w:trHeight w:val="720"/>
        </w:trPr>
        <w:tc>
          <w:tcPr>
            <w:tcW w:w="2187" w:type="dxa"/>
            <w:shd w:val="clear" w:color="auto" w:fill="auto"/>
            <w:vAlign w:val="center"/>
            <w:hideMark/>
          </w:tcPr>
          <w:p w14:paraId="602F230A"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6.4.3. Measure</w:t>
            </w:r>
          </w:p>
        </w:tc>
        <w:tc>
          <w:tcPr>
            <w:tcW w:w="1561" w:type="dxa"/>
            <w:shd w:val="clear" w:color="auto" w:fill="auto"/>
            <w:vAlign w:val="center"/>
            <w:hideMark/>
          </w:tcPr>
          <w:p w14:paraId="0B601319"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93%</w:t>
            </w:r>
          </w:p>
        </w:tc>
        <w:tc>
          <w:tcPr>
            <w:tcW w:w="2112" w:type="dxa"/>
            <w:shd w:val="clear" w:color="auto" w:fill="auto"/>
            <w:vAlign w:val="center"/>
            <w:hideMark/>
          </w:tcPr>
          <w:p w14:paraId="7FC95F1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3,102,742,802</w:t>
            </w:r>
          </w:p>
        </w:tc>
        <w:tc>
          <w:tcPr>
            <w:tcW w:w="2532" w:type="dxa"/>
            <w:shd w:val="clear" w:color="auto" w:fill="auto"/>
            <w:vAlign w:val="center"/>
            <w:hideMark/>
          </w:tcPr>
          <w:p w14:paraId="6B524B0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310,274,280</w:t>
            </w:r>
          </w:p>
        </w:tc>
        <w:tc>
          <w:tcPr>
            <w:tcW w:w="2131" w:type="dxa"/>
            <w:shd w:val="clear" w:color="auto" w:fill="auto"/>
            <w:vAlign w:val="center"/>
            <w:hideMark/>
          </w:tcPr>
          <w:p w14:paraId="4F160D0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2,792,468,522</w:t>
            </w:r>
          </w:p>
        </w:tc>
        <w:tc>
          <w:tcPr>
            <w:tcW w:w="2955" w:type="dxa"/>
            <w:shd w:val="clear" w:color="auto" w:fill="auto"/>
            <w:vAlign w:val="center"/>
            <w:hideMark/>
          </w:tcPr>
          <w:p w14:paraId="1BFFE27A" w14:textId="688F3B9D"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095CAC" w:rsidRPr="007C4D65">
              <w:rPr>
                <w:rFonts w:asciiTheme="minorHAnsi" w:hAnsiTheme="minorHAnsi" w:cstheme="minorHAnsi"/>
                <w:b/>
                <w:color w:val="000000"/>
                <w:sz w:val="18"/>
              </w:rPr>
              <w:t>, Loans</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05BC32B9" w14:textId="77777777" w:rsidTr="007843A3">
        <w:trPr>
          <w:trHeight w:val="288"/>
        </w:trPr>
        <w:tc>
          <w:tcPr>
            <w:tcW w:w="2187" w:type="dxa"/>
            <w:shd w:val="clear" w:color="auto" w:fill="auto"/>
            <w:vAlign w:val="center"/>
            <w:hideMark/>
          </w:tcPr>
          <w:p w14:paraId="51D7D2D8"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6.4.4. Measure</w:t>
            </w:r>
          </w:p>
        </w:tc>
        <w:tc>
          <w:tcPr>
            <w:tcW w:w="1561" w:type="dxa"/>
            <w:shd w:val="clear" w:color="auto" w:fill="auto"/>
            <w:vAlign w:val="center"/>
            <w:hideMark/>
          </w:tcPr>
          <w:p w14:paraId="5FC07AD0"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0.01%</w:t>
            </w:r>
          </w:p>
        </w:tc>
        <w:tc>
          <w:tcPr>
            <w:tcW w:w="2112" w:type="dxa"/>
            <w:shd w:val="clear" w:color="auto" w:fill="auto"/>
            <w:vAlign w:val="center"/>
            <w:hideMark/>
          </w:tcPr>
          <w:p w14:paraId="76346F4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353,107</w:t>
            </w:r>
          </w:p>
        </w:tc>
        <w:tc>
          <w:tcPr>
            <w:tcW w:w="2532" w:type="dxa"/>
            <w:shd w:val="clear" w:color="auto" w:fill="auto"/>
            <w:vAlign w:val="center"/>
            <w:hideMark/>
          </w:tcPr>
          <w:p w14:paraId="549ED2D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353,107</w:t>
            </w:r>
          </w:p>
        </w:tc>
        <w:tc>
          <w:tcPr>
            <w:tcW w:w="2131" w:type="dxa"/>
            <w:shd w:val="clear" w:color="auto" w:fill="auto"/>
            <w:vAlign w:val="center"/>
            <w:hideMark/>
          </w:tcPr>
          <w:p w14:paraId="6C0B2AF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037B392B" w14:textId="78FC0D28"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5B6DB5D5" w14:textId="77777777" w:rsidTr="007843A3">
        <w:trPr>
          <w:trHeight w:val="720"/>
        </w:trPr>
        <w:tc>
          <w:tcPr>
            <w:tcW w:w="2187" w:type="dxa"/>
            <w:shd w:val="clear" w:color="auto" w:fill="auto"/>
            <w:vAlign w:val="center"/>
            <w:hideMark/>
          </w:tcPr>
          <w:p w14:paraId="1FF289F2"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6.4.5. Measure</w:t>
            </w:r>
          </w:p>
        </w:tc>
        <w:tc>
          <w:tcPr>
            <w:tcW w:w="1561" w:type="dxa"/>
            <w:shd w:val="clear" w:color="auto" w:fill="auto"/>
            <w:vAlign w:val="center"/>
            <w:hideMark/>
          </w:tcPr>
          <w:p w14:paraId="36A2DF3B"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7%</w:t>
            </w:r>
          </w:p>
        </w:tc>
        <w:tc>
          <w:tcPr>
            <w:tcW w:w="2112" w:type="dxa"/>
            <w:shd w:val="clear" w:color="auto" w:fill="auto"/>
            <w:vAlign w:val="center"/>
            <w:hideMark/>
          </w:tcPr>
          <w:p w14:paraId="215ABDD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230,280,772</w:t>
            </w:r>
          </w:p>
        </w:tc>
        <w:tc>
          <w:tcPr>
            <w:tcW w:w="2532" w:type="dxa"/>
            <w:shd w:val="clear" w:color="auto" w:fill="auto"/>
            <w:vAlign w:val="center"/>
            <w:hideMark/>
          </w:tcPr>
          <w:p w14:paraId="3132A28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23,028,077</w:t>
            </w:r>
          </w:p>
        </w:tc>
        <w:tc>
          <w:tcPr>
            <w:tcW w:w="2131" w:type="dxa"/>
            <w:shd w:val="clear" w:color="auto" w:fill="auto"/>
            <w:vAlign w:val="center"/>
            <w:hideMark/>
          </w:tcPr>
          <w:p w14:paraId="7E92B7D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207,252,695</w:t>
            </w:r>
          </w:p>
        </w:tc>
        <w:tc>
          <w:tcPr>
            <w:tcW w:w="2955" w:type="dxa"/>
            <w:shd w:val="clear" w:color="auto" w:fill="auto"/>
            <w:vAlign w:val="center"/>
            <w:hideMark/>
          </w:tcPr>
          <w:p w14:paraId="5DA38AEC" w14:textId="1E6A31DD"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1568444D" w14:textId="77777777" w:rsidTr="001F6CF7">
        <w:trPr>
          <w:trHeight w:val="288"/>
        </w:trPr>
        <w:tc>
          <w:tcPr>
            <w:tcW w:w="2187" w:type="dxa"/>
            <w:shd w:val="clear" w:color="auto" w:fill="00D29A"/>
            <w:vAlign w:val="center"/>
            <w:hideMark/>
          </w:tcPr>
          <w:p w14:paraId="1AE596DB"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6.5. Priority </w:t>
            </w:r>
          </w:p>
        </w:tc>
        <w:tc>
          <w:tcPr>
            <w:tcW w:w="1561" w:type="dxa"/>
            <w:shd w:val="clear" w:color="auto" w:fill="00D29A"/>
            <w:vAlign w:val="center"/>
            <w:hideMark/>
          </w:tcPr>
          <w:p w14:paraId="74D9074D"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0.005%</w:t>
            </w:r>
          </w:p>
        </w:tc>
        <w:tc>
          <w:tcPr>
            <w:tcW w:w="2112" w:type="dxa"/>
            <w:shd w:val="clear" w:color="auto" w:fill="00D29A"/>
            <w:vAlign w:val="center"/>
            <w:hideMark/>
          </w:tcPr>
          <w:p w14:paraId="44FA1A92"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160,243</w:t>
            </w:r>
          </w:p>
        </w:tc>
        <w:tc>
          <w:tcPr>
            <w:tcW w:w="2532" w:type="dxa"/>
            <w:shd w:val="clear" w:color="auto" w:fill="00D29A"/>
            <w:vAlign w:val="center"/>
            <w:hideMark/>
          </w:tcPr>
          <w:p w14:paraId="49DA27C8"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48,073</w:t>
            </w:r>
          </w:p>
        </w:tc>
        <w:tc>
          <w:tcPr>
            <w:tcW w:w="2131" w:type="dxa"/>
            <w:shd w:val="clear" w:color="auto" w:fill="00D29A"/>
            <w:vAlign w:val="center"/>
            <w:hideMark/>
          </w:tcPr>
          <w:p w14:paraId="51350E34"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112,170</w:t>
            </w:r>
          </w:p>
        </w:tc>
        <w:tc>
          <w:tcPr>
            <w:tcW w:w="2955" w:type="dxa"/>
            <w:shd w:val="clear" w:color="auto" w:fill="00D29A"/>
            <w:vAlign w:val="center"/>
            <w:hideMark/>
          </w:tcPr>
          <w:p w14:paraId="7B6EC5F7"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1C6E6955" w14:textId="77777777" w:rsidTr="007843A3">
        <w:trPr>
          <w:trHeight w:val="480"/>
        </w:trPr>
        <w:tc>
          <w:tcPr>
            <w:tcW w:w="2187" w:type="dxa"/>
            <w:shd w:val="clear" w:color="auto" w:fill="auto"/>
            <w:vAlign w:val="center"/>
            <w:hideMark/>
          </w:tcPr>
          <w:p w14:paraId="5C10F7AB"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6.5.1. Measure</w:t>
            </w:r>
          </w:p>
        </w:tc>
        <w:tc>
          <w:tcPr>
            <w:tcW w:w="1561" w:type="dxa"/>
            <w:shd w:val="clear" w:color="auto" w:fill="auto"/>
            <w:vAlign w:val="center"/>
            <w:hideMark/>
          </w:tcPr>
          <w:p w14:paraId="11FA2FB8"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100%</w:t>
            </w:r>
          </w:p>
        </w:tc>
        <w:tc>
          <w:tcPr>
            <w:tcW w:w="2112" w:type="dxa"/>
            <w:shd w:val="clear" w:color="auto" w:fill="auto"/>
            <w:vAlign w:val="center"/>
            <w:hideMark/>
          </w:tcPr>
          <w:p w14:paraId="46055C1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160,243</w:t>
            </w:r>
          </w:p>
        </w:tc>
        <w:tc>
          <w:tcPr>
            <w:tcW w:w="2532" w:type="dxa"/>
            <w:shd w:val="clear" w:color="auto" w:fill="auto"/>
            <w:vAlign w:val="center"/>
            <w:hideMark/>
          </w:tcPr>
          <w:p w14:paraId="56AACBA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48,073</w:t>
            </w:r>
          </w:p>
        </w:tc>
        <w:tc>
          <w:tcPr>
            <w:tcW w:w="2131" w:type="dxa"/>
            <w:shd w:val="clear" w:color="auto" w:fill="auto"/>
            <w:vAlign w:val="center"/>
            <w:hideMark/>
          </w:tcPr>
          <w:p w14:paraId="7154863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112,170</w:t>
            </w:r>
          </w:p>
        </w:tc>
        <w:tc>
          <w:tcPr>
            <w:tcW w:w="2955" w:type="dxa"/>
            <w:shd w:val="clear" w:color="auto" w:fill="auto"/>
            <w:vAlign w:val="center"/>
            <w:hideMark/>
          </w:tcPr>
          <w:p w14:paraId="52ADA1B4" w14:textId="6B07A50D"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5F01D7CA" w14:textId="77777777" w:rsidTr="001F6CF7">
        <w:trPr>
          <w:trHeight w:val="566"/>
        </w:trPr>
        <w:tc>
          <w:tcPr>
            <w:tcW w:w="2187" w:type="dxa"/>
            <w:shd w:val="clear" w:color="auto" w:fill="009D73"/>
            <w:vAlign w:val="center"/>
            <w:hideMark/>
          </w:tcPr>
          <w:p w14:paraId="52CB90DC"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Environmental management </w:t>
            </w:r>
          </w:p>
        </w:tc>
        <w:tc>
          <w:tcPr>
            <w:tcW w:w="1561" w:type="dxa"/>
            <w:shd w:val="clear" w:color="auto" w:fill="009D73"/>
            <w:vAlign w:val="center"/>
            <w:hideMark/>
          </w:tcPr>
          <w:p w14:paraId="66811D7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0.09%</w:t>
            </w:r>
          </w:p>
        </w:tc>
        <w:tc>
          <w:tcPr>
            <w:tcW w:w="2112" w:type="dxa"/>
            <w:shd w:val="clear" w:color="auto" w:fill="009D73"/>
            <w:vAlign w:val="center"/>
            <w:hideMark/>
          </w:tcPr>
          <w:p w14:paraId="02552EE3"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10,329,305</w:t>
            </w:r>
          </w:p>
        </w:tc>
        <w:tc>
          <w:tcPr>
            <w:tcW w:w="2532" w:type="dxa"/>
            <w:shd w:val="clear" w:color="auto" w:fill="009D73"/>
            <w:vAlign w:val="center"/>
            <w:hideMark/>
          </w:tcPr>
          <w:p w14:paraId="18F47237"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2,023,855</w:t>
            </w:r>
          </w:p>
        </w:tc>
        <w:tc>
          <w:tcPr>
            <w:tcW w:w="2131" w:type="dxa"/>
            <w:shd w:val="clear" w:color="auto" w:fill="009D73"/>
            <w:vAlign w:val="center"/>
            <w:hideMark/>
          </w:tcPr>
          <w:p w14:paraId="74CE60DA"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8,305,450</w:t>
            </w:r>
          </w:p>
        </w:tc>
        <w:tc>
          <w:tcPr>
            <w:tcW w:w="2955" w:type="dxa"/>
            <w:shd w:val="clear" w:color="auto" w:fill="009D73"/>
            <w:vAlign w:val="center"/>
            <w:hideMark/>
          </w:tcPr>
          <w:p w14:paraId="2C6676DE"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467AD277" w14:textId="77777777" w:rsidTr="001F6CF7">
        <w:trPr>
          <w:trHeight w:val="288"/>
        </w:trPr>
        <w:tc>
          <w:tcPr>
            <w:tcW w:w="2187" w:type="dxa"/>
            <w:shd w:val="clear" w:color="auto" w:fill="00D29A"/>
            <w:vAlign w:val="center"/>
            <w:hideMark/>
          </w:tcPr>
          <w:p w14:paraId="64C036EC"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7.1. Priority </w:t>
            </w:r>
          </w:p>
        </w:tc>
        <w:tc>
          <w:tcPr>
            <w:tcW w:w="1561" w:type="dxa"/>
            <w:shd w:val="clear" w:color="auto" w:fill="00D29A"/>
            <w:vAlign w:val="center"/>
            <w:hideMark/>
          </w:tcPr>
          <w:p w14:paraId="3D07F412"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14%</w:t>
            </w:r>
          </w:p>
        </w:tc>
        <w:tc>
          <w:tcPr>
            <w:tcW w:w="2112" w:type="dxa"/>
            <w:shd w:val="clear" w:color="auto" w:fill="00D29A"/>
            <w:vAlign w:val="center"/>
            <w:hideMark/>
          </w:tcPr>
          <w:p w14:paraId="752B2570"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1,492,573</w:t>
            </w:r>
          </w:p>
        </w:tc>
        <w:tc>
          <w:tcPr>
            <w:tcW w:w="2532" w:type="dxa"/>
            <w:shd w:val="clear" w:color="auto" w:fill="00D29A"/>
            <w:vAlign w:val="center"/>
            <w:hideMark/>
          </w:tcPr>
          <w:p w14:paraId="13481DCB"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291,361</w:t>
            </w:r>
          </w:p>
        </w:tc>
        <w:tc>
          <w:tcPr>
            <w:tcW w:w="2131" w:type="dxa"/>
            <w:shd w:val="clear" w:color="auto" w:fill="00D29A"/>
            <w:vAlign w:val="center"/>
            <w:hideMark/>
          </w:tcPr>
          <w:p w14:paraId="50ABC1FF"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1,201,212</w:t>
            </w:r>
          </w:p>
        </w:tc>
        <w:tc>
          <w:tcPr>
            <w:tcW w:w="2955" w:type="dxa"/>
            <w:shd w:val="clear" w:color="auto" w:fill="00D29A"/>
            <w:vAlign w:val="center"/>
            <w:hideMark/>
          </w:tcPr>
          <w:p w14:paraId="683E37E3"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336C998B" w14:textId="77777777" w:rsidTr="007843A3">
        <w:trPr>
          <w:trHeight w:val="480"/>
        </w:trPr>
        <w:tc>
          <w:tcPr>
            <w:tcW w:w="2187" w:type="dxa"/>
            <w:shd w:val="clear" w:color="auto" w:fill="auto"/>
            <w:vAlign w:val="center"/>
            <w:hideMark/>
          </w:tcPr>
          <w:p w14:paraId="70E8FB2A"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7.1.1. Measure</w:t>
            </w:r>
          </w:p>
        </w:tc>
        <w:tc>
          <w:tcPr>
            <w:tcW w:w="1561" w:type="dxa"/>
            <w:shd w:val="clear" w:color="auto" w:fill="auto"/>
            <w:vAlign w:val="center"/>
            <w:hideMark/>
          </w:tcPr>
          <w:p w14:paraId="34F87597"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89%</w:t>
            </w:r>
          </w:p>
        </w:tc>
        <w:tc>
          <w:tcPr>
            <w:tcW w:w="2112" w:type="dxa"/>
            <w:shd w:val="clear" w:color="auto" w:fill="auto"/>
            <w:vAlign w:val="center"/>
            <w:hideMark/>
          </w:tcPr>
          <w:p w14:paraId="3AC3FB1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1,334,680</w:t>
            </w:r>
          </w:p>
        </w:tc>
        <w:tc>
          <w:tcPr>
            <w:tcW w:w="2532" w:type="dxa"/>
            <w:shd w:val="clear" w:color="auto" w:fill="auto"/>
            <w:vAlign w:val="center"/>
            <w:hideMark/>
          </w:tcPr>
          <w:p w14:paraId="0B84AE6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133,468</w:t>
            </w:r>
          </w:p>
        </w:tc>
        <w:tc>
          <w:tcPr>
            <w:tcW w:w="2131" w:type="dxa"/>
            <w:shd w:val="clear" w:color="auto" w:fill="auto"/>
            <w:vAlign w:val="center"/>
            <w:hideMark/>
          </w:tcPr>
          <w:p w14:paraId="7C22468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1,201,212</w:t>
            </w:r>
          </w:p>
        </w:tc>
        <w:tc>
          <w:tcPr>
            <w:tcW w:w="2955" w:type="dxa"/>
            <w:shd w:val="clear" w:color="auto" w:fill="auto"/>
            <w:vAlign w:val="center"/>
            <w:hideMark/>
          </w:tcPr>
          <w:p w14:paraId="49F7B474" w14:textId="1F53E5A7"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7E66A39C" w14:textId="77777777" w:rsidTr="007843A3">
        <w:trPr>
          <w:trHeight w:val="288"/>
        </w:trPr>
        <w:tc>
          <w:tcPr>
            <w:tcW w:w="2187" w:type="dxa"/>
            <w:shd w:val="clear" w:color="auto" w:fill="auto"/>
            <w:vAlign w:val="center"/>
            <w:hideMark/>
          </w:tcPr>
          <w:p w14:paraId="684B3B64"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7.1.2. Measure</w:t>
            </w:r>
          </w:p>
        </w:tc>
        <w:tc>
          <w:tcPr>
            <w:tcW w:w="1561" w:type="dxa"/>
            <w:shd w:val="clear" w:color="auto" w:fill="auto"/>
            <w:vAlign w:val="center"/>
            <w:hideMark/>
          </w:tcPr>
          <w:p w14:paraId="293259A0"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6%</w:t>
            </w:r>
          </w:p>
        </w:tc>
        <w:tc>
          <w:tcPr>
            <w:tcW w:w="2112" w:type="dxa"/>
            <w:shd w:val="clear" w:color="auto" w:fill="auto"/>
            <w:vAlign w:val="center"/>
            <w:hideMark/>
          </w:tcPr>
          <w:p w14:paraId="0BA510F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94,111</w:t>
            </w:r>
          </w:p>
        </w:tc>
        <w:tc>
          <w:tcPr>
            <w:tcW w:w="2532" w:type="dxa"/>
            <w:shd w:val="clear" w:color="auto" w:fill="auto"/>
            <w:vAlign w:val="center"/>
            <w:hideMark/>
          </w:tcPr>
          <w:p w14:paraId="568986C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94,111</w:t>
            </w:r>
          </w:p>
        </w:tc>
        <w:tc>
          <w:tcPr>
            <w:tcW w:w="2131" w:type="dxa"/>
            <w:shd w:val="clear" w:color="auto" w:fill="auto"/>
            <w:vAlign w:val="center"/>
            <w:hideMark/>
          </w:tcPr>
          <w:p w14:paraId="7504B4C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5098BF8A" w14:textId="0460F334"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1823DA51" w14:textId="77777777" w:rsidTr="007843A3">
        <w:trPr>
          <w:trHeight w:val="288"/>
        </w:trPr>
        <w:tc>
          <w:tcPr>
            <w:tcW w:w="2187" w:type="dxa"/>
            <w:shd w:val="clear" w:color="auto" w:fill="auto"/>
            <w:vAlign w:val="center"/>
            <w:hideMark/>
          </w:tcPr>
          <w:p w14:paraId="429F86F1"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7.1.3. Measure</w:t>
            </w:r>
          </w:p>
        </w:tc>
        <w:tc>
          <w:tcPr>
            <w:tcW w:w="1561" w:type="dxa"/>
            <w:shd w:val="clear" w:color="auto" w:fill="auto"/>
            <w:vAlign w:val="center"/>
            <w:hideMark/>
          </w:tcPr>
          <w:p w14:paraId="7D089B59"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4%</w:t>
            </w:r>
          </w:p>
        </w:tc>
        <w:tc>
          <w:tcPr>
            <w:tcW w:w="2112" w:type="dxa"/>
            <w:shd w:val="clear" w:color="auto" w:fill="auto"/>
            <w:vAlign w:val="center"/>
            <w:hideMark/>
          </w:tcPr>
          <w:p w14:paraId="4E3C905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63,782</w:t>
            </w:r>
          </w:p>
        </w:tc>
        <w:tc>
          <w:tcPr>
            <w:tcW w:w="2532" w:type="dxa"/>
            <w:shd w:val="clear" w:color="auto" w:fill="auto"/>
            <w:vAlign w:val="center"/>
            <w:hideMark/>
          </w:tcPr>
          <w:p w14:paraId="0479CF0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63,782</w:t>
            </w:r>
          </w:p>
        </w:tc>
        <w:tc>
          <w:tcPr>
            <w:tcW w:w="2131" w:type="dxa"/>
            <w:shd w:val="clear" w:color="auto" w:fill="auto"/>
            <w:vAlign w:val="center"/>
            <w:hideMark/>
          </w:tcPr>
          <w:p w14:paraId="50089B6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753DD5E4" w14:textId="4E646632"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6D619D38" w14:textId="77777777" w:rsidTr="001F6CF7">
        <w:trPr>
          <w:trHeight w:val="288"/>
        </w:trPr>
        <w:tc>
          <w:tcPr>
            <w:tcW w:w="2187" w:type="dxa"/>
            <w:shd w:val="clear" w:color="auto" w:fill="00D29A"/>
            <w:vAlign w:val="center"/>
            <w:hideMark/>
          </w:tcPr>
          <w:p w14:paraId="327B16EA"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7.2. Priority </w:t>
            </w:r>
          </w:p>
        </w:tc>
        <w:tc>
          <w:tcPr>
            <w:tcW w:w="1561" w:type="dxa"/>
            <w:shd w:val="clear" w:color="auto" w:fill="00D29A"/>
            <w:vAlign w:val="center"/>
            <w:hideMark/>
          </w:tcPr>
          <w:p w14:paraId="372ADF68"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11%</w:t>
            </w:r>
          </w:p>
        </w:tc>
        <w:tc>
          <w:tcPr>
            <w:tcW w:w="2112" w:type="dxa"/>
            <w:shd w:val="clear" w:color="auto" w:fill="00D29A"/>
            <w:vAlign w:val="center"/>
            <w:hideMark/>
          </w:tcPr>
          <w:p w14:paraId="02C96EC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1,085,449</w:t>
            </w:r>
          </w:p>
        </w:tc>
        <w:tc>
          <w:tcPr>
            <w:tcW w:w="2532" w:type="dxa"/>
            <w:shd w:val="clear" w:color="auto" w:fill="00D29A"/>
            <w:vAlign w:val="center"/>
            <w:hideMark/>
          </w:tcPr>
          <w:p w14:paraId="04AC7608"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220,374</w:t>
            </w:r>
          </w:p>
        </w:tc>
        <w:tc>
          <w:tcPr>
            <w:tcW w:w="2131" w:type="dxa"/>
            <w:shd w:val="clear" w:color="auto" w:fill="00D29A"/>
            <w:vAlign w:val="center"/>
            <w:hideMark/>
          </w:tcPr>
          <w:p w14:paraId="6738D64A"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865,075</w:t>
            </w:r>
          </w:p>
        </w:tc>
        <w:tc>
          <w:tcPr>
            <w:tcW w:w="2955" w:type="dxa"/>
            <w:shd w:val="clear" w:color="auto" w:fill="00D29A"/>
            <w:vAlign w:val="center"/>
            <w:hideMark/>
          </w:tcPr>
          <w:p w14:paraId="0A81CD5D"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5E96FBDB" w14:textId="77777777" w:rsidTr="007843A3">
        <w:trPr>
          <w:trHeight w:val="480"/>
        </w:trPr>
        <w:tc>
          <w:tcPr>
            <w:tcW w:w="2187" w:type="dxa"/>
            <w:shd w:val="clear" w:color="auto" w:fill="auto"/>
            <w:vAlign w:val="center"/>
            <w:hideMark/>
          </w:tcPr>
          <w:p w14:paraId="54D95E69"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lastRenderedPageBreak/>
              <w:t>7.2.1. Measure</w:t>
            </w:r>
          </w:p>
        </w:tc>
        <w:tc>
          <w:tcPr>
            <w:tcW w:w="1561" w:type="dxa"/>
            <w:shd w:val="clear" w:color="auto" w:fill="auto"/>
            <w:vAlign w:val="center"/>
            <w:hideMark/>
          </w:tcPr>
          <w:p w14:paraId="3207BFBB"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6%</w:t>
            </w:r>
          </w:p>
        </w:tc>
        <w:tc>
          <w:tcPr>
            <w:tcW w:w="2112" w:type="dxa"/>
            <w:shd w:val="clear" w:color="auto" w:fill="auto"/>
            <w:vAlign w:val="center"/>
            <w:hideMark/>
          </w:tcPr>
          <w:p w14:paraId="6E533DC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62,890</w:t>
            </w:r>
          </w:p>
        </w:tc>
        <w:tc>
          <w:tcPr>
            <w:tcW w:w="2532" w:type="dxa"/>
            <w:shd w:val="clear" w:color="auto" w:fill="auto"/>
            <w:vAlign w:val="center"/>
            <w:hideMark/>
          </w:tcPr>
          <w:p w14:paraId="0A74E04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131" w:type="dxa"/>
            <w:shd w:val="clear" w:color="auto" w:fill="auto"/>
            <w:vAlign w:val="center"/>
            <w:hideMark/>
          </w:tcPr>
          <w:p w14:paraId="40CC71B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62,890</w:t>
            </w:r>
          </w:p>
        </w:tc>
        <w:tc>
          <w:tcPr>
            <w:tcW w:w="2955" w:type="dxa"/>
            <w:shd w:val="clear" w:color="auto" w:fill="auto"/>
            <w:vAlign w:val="center"/>
            <w:hideMark/>
          </w:tcPr>
          <w:p w14:paraId="7E341BC0" w14:textId="3E6213E6"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24621E92" w14:textId="77777777" w:rsidTr="007843A3">
        <w:trPr>
          <w:trHeight w:val="480"/>
        </w:trPr>
        <w:tc>
          <w:tcPr>
            <w:tcW w:w="2187" w:type="dxa"/>
            <w:shd w:val="clear" w:color="auto" w:fill="auto"/>
            <w:vAlign w:val="center"/>
            <w:hideMark/>
          </w:tcPr>
          <w:p w14:paraId="6148DA79"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7.2.2. Measure</w:t>
            </w:r>
          </w:p>
        </w:tc>
        <w:tc>
          <w:tcPr>
            <w:tcW w:w="1561" w:type="dxa"/>
            <w:shd w:val="clear" w:color="auto" w:fill="auto"/>
            <w:vAlign w:val="center"/>
            <w:hideMark/>
          </w:tcPr>
          <w:p w14:paraId="42F22C99"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15%</w:t>
            </w:r>
          </w:p>
        </w:tc>
        <w:tc>
          <w:tcPr>
            <w:tcW w:w="2112" w:type="dxa"/>
            <w:shd w:val="clear" w:color="auto" w:fill="auto"/>
            <w:vAlign w:val="center"/>
            <w:hideMark/>
          </w:tcPr>
          <w:p w14:paraId="5FA5BED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158,620</w:t>
            </w:r>
          </w:p>
        </w:tc>
        <w:tc>
          <w:tcPr>
            <w:tcW w:w="2532" w:type="dxa"/>
            <w:shd w:val="clear" w:color="auto" w:fill="auto"/>
            <w:vAlign w:val="center"/>
            <w:hideMark/>
          </w:tcPr>
          <w:p w14:paraId="74977FC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47,586</w:t>
            </w:r>
          </w:p>
        </w:tc>
        <w:tc>
          <w:tcPr>
            <w:tcW w:w="2131" w:type="dxa"/>
            <w:shd w:val="clear" w:color="auto" w:fill="auto"/>
            <w:vAlign w:val="center"/>
            <w:hideMark/>
          </w:tcPr>
          <w:p w14:paraId="730E7D5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111,034</w:t>
            </w:r>
          </w:p>
        </w:tc>
        <w:tc>
          <w:tcPr>
            <w:tcW w:w="2955" w:type="dxa"/>
            <w:shd w:val="clear" w:color="auto" w:fill="auto"/>
            <w:vAlign w:val="center"/>
            <w:hideMark/>
          </w:tcPr>
          <w:p w14:paraId="0DEB5058" w14:textId="709DE9F1"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6E5093C1" w14:textId="77777777" w:rsidTr="007843A3">
        <w:trPr>
          <w:trHeight w:val="480"/>
        </w:trPr>
        <w:tc>
          <w:tcPr>
            <w:tcW w:w="2187" w:type="dxa"/>
            <w:shd w:val="clear" w:color="auto" w:fill="auto"/>
            <w:vAlign w:val="center"/>
            <w:hideMark/>
          </w:tcPr>
          <w:p w14:paraId="633B7E42"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7.2.3. Measure</w:t>
            </w:r>
          </w:p>
        </w:tc>
        <w:tc>
          <w:tcPr>
            <w:tcW w:w="1561" w:type="dxa"/>
            <w:shd w:val="clear" w:color="auto" w:fill="auto"/>
            <w:vAlign w:val="center"/>
            <w:hideMark/>
          </w:tcPr>
          <w:p w14:paraId="7C67A528"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67%</w:t>
            </w:r>
          </w:p>
        </w:tc>
        <w:tc>
          <w:tcPr>
            <w:tcW w:w="2112" w:type="dxa"/>
            <w:shd w:val="clear" w:color="auto" w:fill="auto"/>
            <w:vAlign w:val="center"/>
            <w:hideMark/>
          </w:tcPr>
          <w:p w14:paraId="2F37E10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727,881</w:t>
            </w:r>
          </w:p>
        </w:tc>
        <w:tc>
          <w:tcPr>
            <w:tcW w:w="2532" w:type="dxa"/>
            <w:shd w:val="clear" w:color="auto" w:fill="auto"/>
            <w:vAlign w:val="center"/>
            <w:hideMark/>
          </w:tcPr>
          <w:p w14:paraId="0DC16A6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145,576</w:t>
            </w:r>
          </w:p>
        </w:tc>
        <w:tc>
          <w:tcPr>
            <w:tcW w:w="2131" w:type="dxa"/>
            <w:shd w:val="clear" w:color="auto" w:fill="auto"/>
            <w:vAlign w:val="center"/>
            <w:hideMark/>
          </w:tcPr>
          <w:p w14:paraId="501B60C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582,305</w:t>
            </w:r>
          </w:p>
        </w:tc>
        <w:tc>
          <w:tcPr>
            <w:tcW w:w="2955" w:type="dxa"/>
            <w:shd w:val="clear" w:color="auto" w:fill="auto"/>
            <w:vAlign w:val="center"/>
            <w:hideMark/>
          </w:tcPr>
          <w:p w14:paraId="455CCC6C" w14:textId="7524BE2E"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1050891A" w14:textId="77777777" w:rsidTr="007843A3">
        <w:trPr>
          <w:trHeight w:val="480"/>
        </w:trPr>
        <w:tc>
          <w:tcPr>
            <w:tcW w:w="2187" w:type="dxa"/>
            <w:shd w:val="clear" w:color="auto" w:fill="auto"/>
            <w:vAlign w:val="center"/>
            <w:hideMark/>
          </w:tcPr>
          <w:p w14:paraId="2441563D"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7.2.4. Measure</w:t>
            </w:r>
          </w:p>
        </w:tc>
        <w:tc>
          <w:tcPr>
            <w:tcW w:w="1561" w:type="dxa"/>
            <w:shd w:val="clear" w:color="auto" w:fill="auto"/>
            <w:vAlign w:val="center"/>
            <w:hideMark/>
          </w:tcPr>
          <w:p w14:paraId="79963733"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13%</w:t>
            </w:r>
          </w:p>
        </w:tc>
        <w:tc>
          <w:tcPr>
            <w:tcW w:w="2112" w:type="dxa"/>
            <w:shd w:val="clear" w:color="auto" w:fill="auto"/>
            <w:vAlign w:val="center"/>
            <w:hideMark/>
          </w:tcPr>
          <w:p w14:paraId="12D0A5F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136,058</w:t>
            </w:r>
          </w:p>
        </w:tc>
        <w:tc>
          <w:tcPr>
            <w:tcW w:w="2532" w:type="dxa"/>
            <w:shd w:val="clear" w:color="auto" w:fill="auto"/>
            <w:vAlign w:val="center"/>
            <w:hideMark/>
          </w:tcPr>
          <w:p w14:paraId="697B300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27,212</w:t>
            </w:r>
          </w:p>
        </w:tc>
        <w:tc>
          <w:tcPr>
            <w:tcW w:w="2131" w:type="dxa"/>
            <w:shd w:val="clear" w:color="auto" w:fill="auto"/>
            <w:vAlign w:val="center"/>
            <w:hideMark/>
          </w:tcPr>
          <w:p w14:paraId="35EE1A5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108,846</w:t>
            </w:r>
          </w:p>
        </w:tc>
        <w:tc>
          <w:tcPr>
            <w:tcW w:w="2955" w:type="dxa"/>
            <w:shd w:val="clear" w:color="auto" w:fill="auto"/>
            <w:vAlign w:val="center"/>
            <w:hideMark/>
          </w:tcPr>
          <w:p w14:paraId="0A7646DE" w14:textId="1DA0DFD4"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7CAD0794" w14:textId="77777777" w:rsidTr="001F6CF7">
        <w:trPr>
          <w:trHeight w:val="288"/>
        </w:trPr>
        <w:tc>
          <w:tcPr>
            <w:tcW w:w="2187" w:type="dxa"/>
            <w:shd w:val="clear" w:color="auto" w:fill="00D29A"/>
            <w:vAlign w:val="center"/>
            <w:hideMark/>
          </w:tcPr>
          <w:p w14:paraId="7CA86436"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7.3. Priority </w:t>
            </w:r>
          </w:p>
        </w:tc>
        <w:tc>
          <w:tcPr>
            <w:tcW w:w="1561" w:type="dxa"/>
            <w:shd w:val="clear" w:color="auto" w:fill="00D29A"/>
            <w:vAlign w:val="center"/>
            <w:hideMark/>
          </w:tcPr>
          <w:p w14:paraId="63196D8B"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25%</w:t>
            </w:r>
          </w:p>
        </w:tc>
        <w:tc>
          <w:tcPr>
            <w:tcW w:w="2112" w:type="dxa"/>
            <w:shd w:val="clear" w:color="auto" w:fill="00D29A"/>
            <w:vAlign w:val="center"/>
            <w:hideMark/>
          </w:tcPr>
          <w:p w14:paraId="618C4622"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2,544,135</w:t>
            </w:r>
          </w:p>
        </w:tc>
        <w:tc>
          <w:tcPr>
            <w:tcW w:w="2532" w:type="dxa"/>
            <w:shd w:val="clear" w:color="auto" w:fill="00D29A"/>
            <w:vAlign w:val="center"/>
            <w:hideMark/>
          </w:tcPr>
          <w:p w14:paraId="5D6B81FB"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292,336</w:t>
            </w:r>
          </w:p>
        </w:tc>
        <w:tc>
          <w:tcPr>
            <w:tcW w:w="2131" w:type="dxa"/>
            <w:shd w:val="clear" w:color="auto" w:fill="00D29A"/>
            <w:vAlign w:val="center"/>
            <w:hideMark/>
          </w:tcPr>
          <w:p w14:paraId="00666F27"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2,251,798</w:t>
            </w:r>
          </w:p>
        </w:tc>
        <w:tc>
          <w:tcPr>
            <w:tcW w:w="2955" w:type="dxa"/>
            <w:shd w:val="clear" w:color="auto" w:fill="00D29A"/>
            <w:vAlign w:val="center"/>
            <w:hideMark/>
          </w:tcPr>
          <w:p w14:paraId="74C2CD08"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06EA3322" w14:textId="77777777" w:rsidTr="007843A3">
        <w:trPr>
          <w:trHeight w:val="480"/>
        </w:trPr>
        <w:tc>
          <w:tcPr>
            <w:tcW w:w="2187" w:type="dxa"/>
            <w:shd w:val="clear" w:color="auto" w:fill="auto"/>
            <w:vAlign w:val="center"/>
            <w:hideMark/>
          </w:tcPr>
          <w:p w14:paraId="1508A44A"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7.3.1. Measure</w:t>
            </w:r>
          </w:p>
        </w:tc>
        <w:tc>
          <w:tcPr>
            <w:tcW w:w="1561" w:type="dxa"/>
            <w:shd w:val="clear" w:color="auto" w:fill="auto"/>
            <w:vAlign w:val="center"/>
            <w:hideMark/>
          </w:tcPr>
          <w:p w14:paraId="0793778A"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85%</w:t>
            </w:r>
          </w:p>
        </w:tc>
        <w:tc>
          <w:tcPr>
            <w:tcW w:w="2112" w:type="dxa"/>
            <w:shd w:val="clear" w:color="auto" w:fill="auto"/>
            <w:vAlign w:val="center"/>
            <w:hideMark/>
          </w:tcPr>
          <w:p w14:paraId="3F5D95A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2,164,905</w:t>
            </w:r>
          </w:p>
        </w:tc>
        <w:tc>
          <w:tcPr>
            <w:tcW w:w="2532" w:type="dxa"/>
            <w:shd w:val="clear" w:color="auto" w:fill="auto"/>
            <w:vAlign w:val="center"/>
            <w:hideMark/>
          </w:tcPr>
          <w:p w14:paraId="04428A6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216,491</w:t>
            </w:r>
          </w:p>
        </w:tc>
        <w:tc>
          <w:tcPr>
            <w:tcW w:w="2131" w:type="dxa"/>
            <w:shd w:val="clear" w:color="auto" w:fill="auto"/>
            <w:vAlign w:val="center"/>
            <w:hideMark/>
          </w:tcPr>
          <w:p w14:paraId="07C3378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1,948,415</w:t>
            </w:r>
          </w:p>
        </w:tc>
        <w:tc>
          <w:tcPr>
            <w:tcW w:w="2955" w:type="dxa"/>
            <w:shd w:val="clear" w:color="auto" w:fill="auto"/>
            <w:vAlign w:val="center"/>
            <w:hideMark/>
          </w:tcPr>
          <w:p w14:paraId="673607CA" w14:textId="3FB777E5"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02AE568E" w14:textId="77777777" w:rsidTr="007843A3">
        <w:trPr>
          <w:trHeight w:val="480"/>
        </w:trPr>
        <w:tc>
          <w:tcPr>
            <w:tcW w:w="2187" w:type="dxa"/>
            <w:shd w:val="clear" w:color="auto" w:fill="auto"/>
            <w:vAlign w:val="center"/>
            <w:hideMark/>
          </w:tcPr>
          <w:p w14:paraId="61B8451D"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7.3.2. Measure</w:t>
            </w:r>
          </w:p>
        </w:tc>
        <w:tc>
          <w:tcPr>
            <w:tcW w:w="1561" w:type="dxa"/>
            <w:shd w:val="clear" w:color="auto" w:fill="auto"/>
            <w:vAlign w:val="center"/>
            <w:hideMark/>
          </w:tcPr>
          <w:p w14:paraId="7540585A"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4%</w:t>
            </w:r>
          </w:p>
        </w:tc>
        <w:tc>
          <w:tcPr>
            <w:tcW w:w="2112" w:type="dxa"/>
            <w:shd w:val="clear" w:color="auto" w:fill="auto"/>
            <w:vAlign w:val="center"/>
            <w:hideMark/>
          </w:tcPr>
          <w:p w14:paraId="408A675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105,335</w:t>
            </w:r>
          </w:p>
        </w:tc>
        <w:tc>
          <w:tcPr>
            <w:tcW w:w="2532" w:type="dxa"/>
            <w:shd w:val="clear" w:color="auto" w:fill="auto"/>
            <w:vAlign w:val="center"/>
            <w:hideMark/>
          </w:tcPr>
          <w:p w14:paraId="18AB24C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21,067</w:t>
            </w:r>
          </w:p>
        </w:tc>
        <w:tc>
          <w:tcPr>
            <w:tcW w:w="2131" w:type="dxa"/>
            <w:shd w:val="clear" w:color="auto" w:fill="auto"/>
            <w:vAlign w:val="center"/>
            <w:hideMark/>
          </w:tcPr>
          <w:p w14:paraId="78AF04F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84,268</w:t>
            </w:r>
          </w:p>
        </w:tc>
        <w:tc>
          <w:tcPr>
            <w:tcW w:w="2955" w:type="dxa"/>
            <w:shd w:val="clear" w:color="auto" w:fill="auto"/>
            <w:vAlign w:val="center"/>
            <w:hideMark/>
          </w:tcPr>
          <w:p w14:paraId="6D5F532C" w14:textId="7C7F68A6"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05843285" w14:textId="77777777" w:rsidTr="007843A3">
        <w:trPr>
          <w:trHeight w:val="480"/>
        </w:trPr>
        <w:tc>
          <w:tcPr>
            <w:tcW w:w="2187" w:type="dxa"/>
            <w:shd w:val="clear" w:color="auto" w:fill="auto"/>
            <w:vAlign w:val="center"/>
            <w:hideMark/>
          </w:tcPr>
          <w:p w14:paraId="753B4665"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7.3.3. Measure</w:t>
            </w:r>
          </w:p>
        </w:tc>
        <w:tc>
          <w:tcPr>
            <w:tcW w:w="1561" w:type="dxa"/>
            <w:shd w:val="clear" w:color="auto" w:fill="auto"/>
            <w:vAlign w:val="center"/>
            <w:hideMark/>
          </w:tcPr>
          <w:p w14:paraId="7E089577"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5%</w:t>
            </w:r>
          </w:p>
        </w:tc>
        <w:tc>
          <w:tcPr>
            <w:tcW w:w="2112" w:type="dxa"/>
            <w:shd w:val="clear" w:color="auto" w:fill="auto"/>
            <w:vAlign w:val="center"/>
            <w:hideMark/>
          </w:tcPr>
          <w:p w14:paraId="2A5AE20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124,596</w:t>
            </w:r>
          </w:p>
        </w:tc>
        <w:tc>
          <w:tcPr>
            <w:tcW w:w="2532" w:type="dxa"/>
            <w:shd w:val="clear" w:color="auto" w:fill="auto"/>
            <w:vAlign w:val="center"/>
            <w:hideMark/>
          </w:tcPr>
          <w:p w14:paraId="7B9EF53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24,919</w:t>
            </w:r>
          </w:p>
        </w:tc>
        <w:tc>
          <w:tcPr>
            <w:tcW w:w="2131" w:type="dxa"/>
            <w:shd w:val="clear" w:color="auto" w:fill="auto"/>
            <w:vAlign w:val="center"/>
            <w:hideMark/>
          </w:tcPr>
          <w:p w14:paraId="1C335AA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99,677</w:t>
            </w:r>
          </w:p>
        </w:tc>
        <w:tc>
          <w:tcPr>
            <w:tcW w:w="2955" w:type="dxa"/>
            <w:shd w:val="clear" w:color="auto" w:fill="auto"/>
            <w:vAlign w:val="center"/>
            <w:hideMark/>
          </w:tcPr>
          <w:p w14:paraId="7928F6A7" w14:textId="3EDEAE0D"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26372F7B" w14:textId="77777777" w:rsidTr="007843A3">
        <w:trPr>
          <w:trHeight w:val="480"/>
        </w:trPr>
        <w:tc>
          <w:tcPr>
            <w:tcW w:w="2187" w:type="dxa"/>
            <w:shd w:val="clear" w:color="auto" w:fill="auto"/>
            <w:vAlign w:val="center"/>
            <w:hideMark/>
          </w:tcPr>
          <w:p w14:paraId="3B92C221"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7.3.4. Measure</w:t>
            </w:r>
          </w:p>
        </w:tc>
        <w:tc>
          <w:tcPr>
            <w:tcW w:w="1561" w:type="dxa"/>
            <w:shd w:val="clear" w:color="auto" w:fill="auto"/>
            <w:vAlign w:val="center"/>
            <w:hideMark/>
          </w:tcPr>
          <w:p w14:paraId="082E2D1B"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6%</w:t>
            </w:r>
          </w:p>
        </w:tc>
        <w:tc>
          <w:tcPr>
            <w:tcW w:w="2112" w:type="dxa"/>
            <w:shd w:val="clear" w:color="auto" w:fill="auto"/>
            <w:vAlign w:val="center"/>
            <w:hideMark/>
          </w:tcPr>
          <w:p w14:paraId="6E85125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149,299</w:t>
            </w:r>
          </w:p>
        </w:tc>
        <w:tc>
          <w:tcPr>
            <w:tcW w:w="2532" w:type="dxa"/>
            <w:shd w:val="clear" w:color="auto" w:fill="auto"/>
            <w:vAlign w:val="center"/>
            <w:hideMark/>
          </w:tcPr>
          <w:p w14:paraId="021E646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29,860</w:t>
            </w:r>
          </w:p>
        </w:tc>
        <w:tc>
          <w:tcPr>
            <w:tcW w:w="2131" w:type="dxa"/>
            <w:shd w:val="clear" w:color="auto" w:fill="auto"/>
            <w:vAlign w:val="center"/>
            <w:hideMark/>
          </w:tcPr>
          <w:p w14:paraId="62FED5E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119,439</w:t>
            </w:r>
          </w:p>
        </w:tc>
        <w:tc>
          <w:tcPr>
            <w:tcW w:w="2955" w:type="dxa"/>
            <w:shd w:val="clear" w:color="auto" w:fill="auto"/>
            <w:vAlign w:val="center"/>
            <w:hideMark/>
          </w:tcPr>
          <w:p w14:paraId="6560DCE1" w14:textId="4E5311C4"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Government </w:t>
            </w:r>
            <w:proofErr w:type="gramStart"/>
            <w:r w:rsidRPr="007C4D65">
              <w:rPr>
                <w:rFonts w:asciiTheme="minorHAnsi" w:hAnsiTheme="minorHAnsi" w:cstheme="minorHAnsi"/>
                <w:b/>
                <w:color w:val="000000"/>
                <w:sz w:val="18"/>
              </w:rPr>
              <w:t>budget</w:t>
            </w:r>
            <w:r w:rsidR="00C224E3" w:rsidRPr="007C4D65">
              <w:rPr>
                <w:rFonts w:asciiTheme="minorHAnsi" w:hAnsiTheme="minorHAnsi" w:cstheme="minorHAnsi"/>
                <w:b/>
                <w:color w:val="000000"/>
                <w:sz w:val="18"/>
              </w:rPr>
              <w:t xml:space="preserve"> </w:t>
            </w:r>
            <w:r w:rsidR="007843A3" w:rsidRPr="007C4D65">
              <w:rPr>
                <w:rFonts w:asciiTheme="minorHAnsi" w:hAnsiTheme="minorHAnsi" w:cstheme="minorHAnsi"/>
                <w:b/>
                <w:color w:val="000000"/>
                <w:sz w:val="18"/>
              </w:rPr>
              <w:t>,</w:t>
            </w:r>
            <w:proofErr w:type="gramEnd"/>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3036FDE7" w14:textId="77777777" w:rsidTr="001F6CF7">
        <w:trPr>
          <w:trHeight w:val="288"/>
        </w:trPr>
        <w:tc>
          <w:tcPr>
            <w:tcW w:w="2187" w:type="dxa"/>
            <w:shd w:val="clear" w:color="auto" w:fill="00D29A"/>
            <w:vAlign w:val="center"/>
            <w:hideMark/>
          </w:tcPr>
          <w:p w14:paraId="2E253EFA"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7.4. Priority </w:t>
            </w:r>
          </w:p>
        </w:tc>
        <w:tc>
          <w:tcPr>
            <w:tcW w:w="1561" w:type="dxa"/>
            <w:shd w:val="clear" w:color="auto" w:fill="00D29A"/>
            <w:vAlign w:val="center"/>
            <w:hideMark/>
          </w:tcPr>
          <w:p w14:paraId="65EDC69F"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8%</w:t>
            </w:r>
          </w:p>
        </w:tc>
        <w:tc>
          <w:tcPr>
            <w:tcW w:w="2112" w:type="dxa"/>
            <w:shd w:val="clear" w:color="auto" w:fill="00D29A"/>
            <w:vAlign w:val="center"/>
            <w:hideMark/>
          </w:tcPr>
          <w:p w14:paraId="6DE9BEB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822,023</w:t>
            </w:r>
          </w:p>
        </w:tc>
        <w:tc>
          <w:tcPr>
            <w:tcW w:w="2532" w:type="dxa"/>
            <w:shd w:val="clear" w:color="auto" w:fill="00D29A"/>
            <w:vAlign w:val="center"/>
            <w:hideMark/>
          </w:tcPr>
          <w:p w14:paraId="3B4757F7"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296,376</w:t>
            </w:r>
          </w:p>
        </w:tc>
        <w:tc>
          <w:tcPr>
            <w:tcW w:w="2131" w:type="dxa"/>
            <w:shd w:val="clear" w:color="auto" w:fill="00D29A"/>
            <w:vAlign w:val="center"/>
            <w:hideMark/>
          </w:tcPr>
          <w:p w14:paraId="3B066996"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525,647</w:t>
            </w:r>
          </w:p>
        </w:tc>
        <w:tc>
          <w:tcPr>
            <w:tcW w:w="2955" w:type="dxa"/>
            <w:shd w:val="clear" w:color="auto" w:fill="00D29A"/>
            <w:vAlign w:val="center"/>
            <w:hideMark/>
          </w:tcPr>
          <w:p w14:paraId="000D6495"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72FBFF68" w14:textId="77777777" w:rsidTr="007843A3">
        <w:trPr>
          <w:trHeight w:val="720"/>
        </w:trPr>
        <w:tc>
          <w:tcPr>
            <w:tcW w:w="2187" w:type="dxa"/>
            <w:shd w:val="clear" w:color="auto" w:fill="auto"/>
            <w:vAlign w:val="center"/>
            <w:hideMark/>
          </w:tcPr>
          <w:p w14:paraId="48B747BB"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7.4.1. Measure</w:t>
            </w:r>
          </w:p>
        </w:tc>
        <w:tc>
          <w:tcPr>
            <w:tcW w:w="1561" w:type="dxa"/>
            <w:shd w:val="clear" w:color="auto" w:fill="auto"/>
            <w:vAlign w:val="center"/>
            <w:hideMark/>
          </w:tcPr>
          <w:p w14:paraId="3A47AF58"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47%</w:t>
            </w:r>
          </w:p>
        </w:tc>
        <w:tc>
          <w:tcPr>
            <w:tcW w:w="2112" w:type="dxa"/>
            <w:shd w:val="clear" w:color="auto" w:fill="auto"/>
            <w:vAlign w:val="center"/>
            <w:hideMark/>
          </w:tcPr>
          <w:p w14:paraId="6B1E97B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388,618</w:t>
            </w:r>
          </w:p>
        </w:tc>
        <w:tc>
          <w:tcPr>
            <w:tcW w:w="2532" w:type="dxa"/>
            <w:shd w:val="clear" w:color="auto" w:fill="auto"/>
            <w:vAlign w:val="center"/>
            <w:hideMark/>
          </w:tcPr>
          <w:p w14:paraId="0FAF0BA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116,585</w:t>
            </w:r>
          </w:p>
        </w:tc>
        <w:tc>
          <w:tcPr>
            <w:tcW w:w="2131" w:type="dxa"/>
            <w:shd w:val="clear" w:color="auto" w:fill="auto"/>
            <w:vAlign w:val="center"/>
            <w:hideMark/>
          </w:tcPr>
          <w:p w14:paraId="495F5DFC"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272,033</w:t>
            </w:r>
          </w:p>
        </w:tc>
        <w:tc>
          <w:tcPr>
            <w:tcW w:w="2955" w:type="dxa"/>
            <w:shd w:val="clear" w:color="auto" w:fill="auto"/>
            <w:vAlign w:val="center"/>
            <w:hideMark/>
          </w:tcPr>
          <w:p w14:paraId="6AA57598" w14:textId="7FC80B66"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3B3E96FE" w14:textId="77777777" w:rsidTr="007843A3">
        <w:trPr>
          <w:trHeight w:val="720"/>
        </w:trPr>
        <w:tc>
          <w:tcPr>
            <w:tcW w:w="2187" w:type="dxa"/>
            <w:shd w:val="clear" w:color="auto" w:fill="auto"/>
            <w:vAlign w:val="center"/>
            <w:hideMark/>
          </w:tcPr>
          <w:p w14:paraId="48822CB2"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7.4.2. Measure</w:t>
            </w:r>
          </w:p>
        </w:tc>
        <w:tc>
          <w:tcPr>
            <w:tcW w:w="1561" w:type="dxa"/>
            <w:shd w:val="clear" w:color="auto" w:fill="auto"/>
            <w:vAlign w:val="center"/>
            <w:hideMark/>
          </w:tcPr>
          <w:p w14:paraId="44F98281"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34%</w:t>
            </w:r>
          </w:p>
        </w:tc>
        <w:tc>
          <w:tcPr>
            <w:tcW w:w="2112" w:type="dxa"/>
            <w:shd w:val="clear" w:color="auto" w:fill="auto"/>
            <w:vAlign w:val="center"/>
            <w:hideMark/>
          </w:tcPr>
          <w:p w14:paraId="3310608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281,794</w:t>
            </w:r>
          </w:p>
        </w:tc>
        <w:tc>
          <w:tcPr>
            <w:tcW w:w="2532" w:type="dxa"/>
            <w:shd w:val="clear" w:color="auto" w:fill="auto"/>
            <w:vAlign w:val="center"/>
            <w:hideMark/>
          </w:tcPr>
          <w:p w14:paraId="1654412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28,179</w:t>
            </w:r>
          </w:p>
        </w:tc>
        <w:tc>
          <w:tcPr>
            <w:tcW w:w="2131" w:type="dxa"/>
            <w:shd w:val="clear" w:color="auto" w:fill="auto"/>
            <w:vAlign w:val="center"/>
            <w:hideMark/>
          </w:tcPr>
          <w:p w14:paraId="3954901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253,615</w:t>
            </w:r>
          </w:p>
        </w:tc>
        <w:tc>
          <w:tcPr>
            <w:tcW w:w="2955" w:type="dxa"/>
            <w:shd w:val="clear" w:color="auto" w:fill="auto"/>
            <w:vAlign w:val="center"/>
            <w:hideMark/>
          </w:tcPr>
          <w:p w14:paraId="7C29C103" w14:textId="76BFCB53"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Government </w:t>
            </w:r>
            <w:proofErr w:type="gramStart"/>
            <w:r w:rsidRPr="007C4D65">
              <w:rPr>
                <w:rFonts w:asciiTheme="minorHAnsi" w:hAnsiTheme="minorHAnsi" w:cstheme="minorHAnsi"/>
                <w:b/>
                <w:color w:val="000000"/>
                <w:sz w:val="18"/>
              </w:rPr>
              <w:t>budget</w:t>
            </w:r>
            <w:r w:rsidR="00C224E3" w:rsidRPr="007C4D65">
              <w:rPr>
                <w:rFonts w:asciiTheme="minorHAnsi" w:hAnsiTheme="minorHAnsi" w:cstheme="minorHAnsi"/>
                <w:b/>
                <w:color w:val="000000"/>
                <w:sz w:val="18"/>
              </w:rPr>
              <w:t xml:space="preserve"> </w:t>
            </w:r>
            <w:r w:rsidR="007843A3" w:rsidRPr="007C4D65">
              <w:rPr>
                <w:rFonts w:asciiTheme="minorHAnsi" w:hAnsiTheme="minorHAnsi" w:cstheme="minorHAnsi"/>
                <w:b/>
                <w:color w:val="000000"/>
                <w:sz w:val="18"/>
              </w:rPr>
              <w:t>,</w:t>
            </w:r>
            <w:proofErr w:type="gramEnd"/>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r w:rsidR="0009555E" w:rsidRPr="007C4D65">
              <w:rPr>
                <w:rFonts w:asciiTheme="minorHAnsi" w:hAnsiTheme="minorHAnsi" w:cstheme="minorHAnsi"/>
                <w:b/>
                <w:color w:val="000000"/>
                <w:sz w:val="18"/>
              </w:rPr>
              <w:t xml:space="preserve">Other donations  </w:t>
            </w:r>
          </w:p>
        </w:tc>
      </w:tr>
      <w:tr w:rsidR="007843A3" w:rsidRPr="007C4D65" w14:paraId="36399BD9" w14:textId="77777777" w:rsidTr="007843A3">
        <w:trPr>
          <w:trHeight w:val="288"/>
        </w:trPr>
        <w:tc>
          <w:tcPr>
            <w:tcW w:w="2187" w:type="dxa"/>
            <w:shd w:val="clear" w:color="auto" w:fill="auto"/>
            <w:vAlign w:val="center"/>
            <w:hideMark/>
          </w:tcPr>
          <w:p w14:paraId="6B3370BA"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7.4.3. Measure</w:t>
            </w:r>
          </w:p>
        </w:tc>
        <w:tc>
          <w:tcPr>
            <w:tcW w:w="1561" w:type="dxa"/>
            <w:shd w:val="clear" w:color="auto" w:fill="auto"/>
            <w:vAlign w:val="center"/>
            <w:hideMark/>
          </w:tcPr>
          <w:p w14:paraId="2F788356"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18%</w:t>
            </w:r>
          </w:p>
        </w:tc>
        <w:tc>
          <w:tcPr>
            <w:tcW w:w="2112" w:type="dxa"/>
            <w:shd w:val="clear" w:color="auto" w:fill="auto"/>
            <w:vAlign w:val="center"/>
            <w:hideMark/>
          </w:tcPr>
          <w:p w14:paraId="3D53462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151,611</w:t>
            </w:r>
          </w:p>
        </w:tc>
        <w:tc>
          <w:tcPr>
            <w:tcW w:w="2532" w:type="dxa"/>
            <w:shd w:val="clear" w:color="auto" w:fill="auto"/>
            <w:vAlign w:val="center"/>
            <w:hideMark/>
          </w:tcPr>
          <w:p w14:paraId="3EB6D35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151,611</w:t>
            </w:r>
          </w:p>
        </w:tc>
        <w:tc>
          <w:tcPr>
            <w:tcW w:w="2131" w:type="dxa"/>
            <w:shd w:val="clear" w:color="auto" w:fill="auto"/>
            <w:vAlign w:val="center"/>
            <w:hideMark/>
          </w:tcPr>
          <w:p w14:paraId="06D722B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065B024D" w14:textId="01F52443"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54B277E2" w14:textId="77777777" w:rsidTr="001F6CF7">
        <w:trPr>
          <w:trHeight w:val="288"/>
        </w:trPr>
        <w:tc>
          <w:tcPr>
            <w:tcW w:w="2187" w:type="dxa"/>
            <w:shd w:val="clear" w:color="auto" w:fill="00D29A"/>
            <w:vAlign w:val="center"/>
            <w:hideMark/>
          </w:tcPr>
          <w:p w14:paraId="5B1CB191"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7.5. Priority </w:t>
            </w:r>
          </w:p>
        </w:tc>
        <w:tc>
          <w:tcPr>
            <w:tcW w:w="1561" w:type="dxa"/>
            <w:shd w:val="clear" w:color="auto" w:fill="00D29A"/>
            <w:vAlign w:val="center"/>
            <w:hideMark/>
          </w:tcPr>
          <w:p w14:paraId="76D4EA6E"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27%</w:t>
            </w:r>
          </w:p>
        </w:tc>
        <w:tc>
          <w:tcPr>
            <w:tcW w:w="2112" w:type="dxa"/>
            <w:shd w:val="clear" w:color="auto" w:fill="00D29A"/>
            <w:vAlign w:val="center"/>
            <w:hideMark/>
          </w:tcPr>
          <w:p w14:paraId="6132673C"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2,802,022</w:t>
            </w:r>
          </w:p>
        </w:tc>
        <w:tc>
          <w:tcPr>
            <w:tcW w:w="2532" w:type="dxa"/>
            <w:shd w:val="clear" w:color="auto" w:fill="00D29A"/>
            <w:vAlign w:val="center"/>
            <w:hideMark/>
          </w:tcPr>
          <w:p w14:paraId="65AF4A94"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470,073</w:t>
            </w:r>
          </w:p>
        </w:tc>
        <w:tc>
          <w:tcPr>
            <w:tcW w:w="2131" w:type="dxa"/>
            <w:shd w:val="clear" w:color="auto" w:fill="00D29A"/>
            <w:vAlign w:val="center"/>
            <w:hideMark/>
          </w:tcPr>
          <w:p w14:paraId="10CCEB2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2,331,949</w:t>
            </w:r>
          </w:p>
        </w:tc>
        <w:tc>
          <w:tcPr>
            <w:tcW w:w="2955" w:type="dxa"/>
            <w:shd w:val="clear" w:color="auto" w:fill="00D29A"/>
            <w:vAlign w:val="center"/>
            <w:hideMark/>
          </w:tcPr>
          <w:p w14:paraId="20670E44"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2F0A0228" w14:textId="77777777" w:rsidTr="007843A3">
        <w:trPr>
          <w:trHeight w:val="480"/>
        </w:trPr>
        <w:tc>
          <w:tcPr>
            <w:tcW w:w="2187" w:type="dxa"/>
            <w:shd w:val="clear" w:color="auto" w:fill="auto"/>
            <w:vAlign w:val="center"/>
            <w:hideMark/>
          </w:tcPr>
          <w:p w14:paraId="5DAE0DFD"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7.5.1. Measure</w:t>
            </w:r>
          </w:p>
        </w:tc>
        <w:tc>
          <w:tcPr>
            <w:tcW w:w="1561" w:type="dxa"/>
            <w:shd w:val="clear" w:color="auto" w:fill="auto"/>
            <w:vAlign w:val="center"/>
            <w:hideMark/>
          </w:tcPr>
          <w:p w14:paraId="795B8A88"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8%</w:t>
            </w:r>
          </w:p>
        </w:tc>
        <w:tc>
          <w:tcPr>
            <w:tcW w:w="2112" w:type="dxa"/>
            <w:shd w:val="clear" w:color="auto" w:fill="auto"/>
            <w:vAlign w:val="center"/>
            <w:hideMark/>
          </w:tcPr>
          <w:p w14:paraId="47DE8BA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229,101</w:t>
            </w:r>
          </w:p>
        </w:tc>
        <w:tc>
          <w:tcPr>
            <w:tcW w:w="2532" w:type="dxa"/>
            <w:shd w:val="clear" w:color="auto" w:fill="auto"/>
            <w:vAlign w:val="center"/>
            <w:hideMark/>
          </w:tcPr>
          <w:p w14:paraId="3F9F5BA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45,820</w:t>
            </w:r>
          </w:p>
        </w:tc>
        <w:tc>
          <w:tcPr>
            <w:tcW w:w="2131" w:type="dxa"/>
            <w:shd w:val="clear" w:color="auto" w:fill="auto"/>
            <w:vAlign w:val="center"/>
            <w:hideMark/>
          </w:tcPr>
          <w:p w14:paraId="5F8C106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183,280</w:t>
            </w:r>
          </w:p>
        </w:tc>
        <w:tc>
          <w:tcPr>
            <w:tcW w:w="2955" w:type="dxa"/>
            <w:shd w:val="clear" w:color="auto" w:fill="auto"/>
            <w:vAlign w:val="center"/>
            <w:hideMark/>
          </w:tcPr>
          <w:p w14:paraId="1B5E0720" w14:textId="386A50BA"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1572893C" w14:textId="77777777" w:rsidTr="007843A3">
        <w:trPr>
          <w:trHeight w:val="480"/>
        </w:trPr>
        <w:tc>
          <w:tcPr>
            <w:tcW w:w="2187" w:type="dxa"/>
            <w:shd w:val="clear" w:color="auto" w:fill="auto"/>
            <w:vAlign w:val="center"/>
            <w:hideMark/>
          </w:tcPr>
          <w:p w14:paraId="2E0178D3"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7.5.2. Measure</w:t>
            </w:r>
          </w:p>
        </w:tc>
        <w:tc>
          <w:tcPr>
            <w:tcW w:w="1561" w:type="dxa"/>
            <w:shd w:val="clear" w:color="auto" w:fill="auto"/>
            <w:vAlign w:val="center"/>
            <w:hideMark/>
          </w:tcPr>
          <w:p w14:paraId="0984EFCA"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27%</w:t>
            </w:r>
          </w:p>
        </w:tc>
        <w:tc>
          <w:tcPr>
            <w:tcW w:w="2112" w:type="dxa"/>
            <w:shd w:val="clear" w:color="auto" w:fill="auto"/>
            <w:vAlign w:val="center"/>
            <w:hideMark/>
          </w:tcPr>
          <w:p w14:paraId="4BEFCBE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760,136</w:t>
            </w:r>
          </w:p>
        </w:tc>
        <w:tc>
          <w:tcPr>
            <w:tcW w:w="2532" w:type="dxa"/>
            <w:shd w:val="clear" w:color="auto" w:fill="auto"/>
            <w:vAlign w:val="center"/>
            <w:hideMark/>
          </w:tcPr>
          <w:p w14:paraId="496DF88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76,014</w:t>
            </w:r>
          </w:p>
        </w:tc>
        <w:tc>
          <w:tcPr>
            <w:tcW w:w="2131" w:type="dxa"/>
            <w:shd w:val="clear" w:color="auto" w:fill="auto"/>
            <w:vAlign w:val="center"/>
            <w:hideMark/>
          </w:tcPr>
          <w:p w14:paraId="1AE43D9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684,123</w:t>
            </w:r>
          </w:p>
        </w:tc>
        <w:tc>
          <w:tcPr>
            <w:tcW w:w="2955" w:type="dxa"/>
            <w:shd w:val="clear" w:color="auto" w:fill="auto"/>
            <w:vAlign w:val="center"/>
            <w:hideMark/>
          </w:tcPr>
          <w:p w14:paraId="411BAEEF" w14:textId="61A7AF08"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11AE5FB3" w14:textId="77777777" w:rsidTr="007843A3">
        <w:trPr>
          <w:trHeight w:val="480"/>
        </w:trPr>
        <w:tc>
          <w:tcPr>
            <w:tcW w:w="2187" w:type="dxa"/>
            <w:shd w:val="clear" w:color="auto" w:fill="auto"/>
            <w:vAlign w:val="center"/>
            <w:hideMark/>
          </w:tcPr>
          <w:p w14:paraId="66077C7D"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7.5.3. Measure</w:t>
            </w:r>
          </w:p>
        </w:tc>
        <w:tc>
          <w:tcPr>
            <w:tcW w:w="1561" w:type="dxa"/>
            <w:shd w:val="clear" w:color="auto" w:fill="auto"/>
            <w:vAlign w:val="center"/>
            <w:hideMark/>
          </w:tcPr>
          <w:p w14:paraId="483FC25E"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17%</w:t>
            </w:r>
          </w:p>
        </w:tc>
        <w:tc>
          <w:tcPr>
            <w:tcW w:w="2112" w:type="dxa"/>
            <w:shd w:val="clear" w:color="auto" w:fill="auto"/>
            <w:vAlign w:val="center"/>
            <w:hideMark/>
          </w:tcPr>
          <w:p w14:paraId="51106CC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481,892</w:t>
            </w:r>
          </w:p>
        </w:tc>
        <w:tc>
          <w:tcPr>
            <w:tcW w:w="2532" w:type="dxa"/>
            <w:shd w:val="clear" w:color="auto" w:fill="auto"/>
            <w:vAlign w:val="center"/>
            <w:hideMark/>
          </w:tcPr>
          <w:p w14:paraId="7E293BC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48,189</w:t>
            </w:r>
          </w:p>
        </w:tc>
        <w:tc>
          <w:tcPr>
            <w:tcW w:w="2131" w:type="dxa"/>
            <w:shd w:val="clear" w:color="auto" w:fill="auto"/>
            <w:vAlign w:val="center"/>
            <w:hideMark/>
          </w:tcPr>
          <w:p w14:paraId="0EE7DB7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433,703</w:t>
            </w:r>
          </w:p>
        </w:tc>
        <w:tc>
          <w:tcPr>
            <w:tcW w:w="2955" w:type="dxa"/>
            <w:shd w:val="clear" w:color="auto" w:fill="auto"/>
            <w:vAlign w:val="center"/>
            <w:hideMark/>
          </w:tcPr>
          <w:p w14:paraId="6FDB8D31" w14:textId="78F2C056"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76B3C84C" w14:textId="77777777" w:rsidTr="007843A3">
        <w:trPr>
          <w:trHeight w:val="480"/>
        </w:trPr>
        <w:tc>
          <w:tcPr>
            <w:tcW w:w="2187" w:type="dxa"/>
            <w:shd w:val="clear" w:color="auto" w:fill="auto"/>
            <w:vAlign w:val="center"/>
            <w:hideMark/>
          </w:tcPr>
          <w:p w14:paraId="699A17D0"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7.5.4. Measure</w:t>
            </w:r>
          </w:p>
        </w:tc>
        <w:tc>
          <w:tcPr>
            <w:tcW w:w="1561" w:type="dxa"/>
            <w:shd w:val="clear" w:color="auto" w:fill="auto"/>
            <w:vAlign w:val="center"/>
            <w:hideMark/>
          </w:tcPr>
          <w:p w14:paraId="579072D5"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19%</w:t>
            </w:r>
          </w:p>
        </w:tc>
        <w:tc>
          <w:tcPr>
            <w:tcW w:w="2112" w:type="dxa"/>
            <w:shd w:val="clear" w:color="auto" w:fill="auto"/>
            <w:vAlign w:val="center"/>
            <w:hideMark/>
          </w:tcPr>
          <w:p w14:paraId="5B92414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536,571</w:t>
            </w:r>
          </w:p>
        </w:tc>
        <w:tc>
          <w:tcPr>
            <w:tcW w:w="2532" w:type="dxa"/>
            <w:shd w:val="clear" w:color="auto" w:fill="auto"/>
            <w:vAlign w:val="center"/>
            <w:hideMark/>
          </w:tcPr>
          <w:p w14:paraId="14DF09D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53,657</w:t>
            </w:r>
          </w:p>
        </w:tc>
        <w:tc>
          <w:tcPr>
            <w:tcW w:w="2131" w:type="dxa"/>
            <w:shd w:val="clear" w:color="auto" w:fill="auto"/>
            <w:vAlign w:val="center"/>
            <w:hideMark/>
          </w:tcPr>
          <w:p w14:paraId="4B89A77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482,914</w:t>
            </w:r>
          </w:p>
        </w:tc>
        <w:tc>
          <w:tcPr>
            <w:tcW w:w="2955" w:type="dxa"/>
            <w:shd w:val="clear" w:color="auto" w:fill="auto"/>
            <w:vAlign w:val="center"/>
            <w:hideMark/>
          </w:tcPr>
          <w:p w14:paraId="7AEB688F" w14:textId="13C99BCE"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567C42E7" w14:textId="77777777" w:rsidTr="007843A3">
        <w:trPr>
          <w:trHeight w:val="288"/>
        </w:trPr>
        <w:tc>
          <w:tcPr>
            <w:tcW w:w="2187" w:type="dxa"/>
            <w:shd w:val="clear" w:color="auto" w:fill="auto"/>
            <w:vAlign w:val="center"/>
            <w:hideMark/>
          </w:tcPr>
          <w:p w14:paraId="6A1809F0"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lastRenderedPageBreak/>
              <w:t>7.5.5. Measure</w:t>
            </w:r>
          </w:p>
        </w:tc>
        <w:tc>
          <w:tcPr>
            <w:tcW w:w="1561" w:type="dxa"/>
            <w:shd w:val="clear" w:color="auto" w:fill="auto"/>
            <w:vAlign w:val="center"/>
            <w:hideMark/>
          </w:tcPr>
          <w:p w14:paraId="37421F9E"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4%</w:t>
            </w:r>
          </w:p>
        </w:tc>
        <w:tc>
          <w:tcPr>
            <w:tcW w:w="2112" w:type="dxa"/>
            <w:shd w:val="clear" w:color="auto" w:fill="auto"/>
            <w:vAlign w:val="center"/>
            <w:hideMark/>
          </w:tcPr>
          <w:p w14:paraId="7EC3CBA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124,922</w:t>
            </w:r>
          </w:p>
        </w:tc>
        <w:tc>
          <w:tcPr>
            <w:tcW w:w="2532" w:type="dxa"/>
            <w:shd w:val="clear" w:color="auto" w:fill="auto"/>
            <w:vAlign w:val="center"/>
            <w:hideMark/>
          </w:tcPr>
          <w:p w14:paraId="3868F56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124,922</w:t>
            </w:r>
          </w:p>
        </w:tc>
        <w:tc>
          <w:tcPr>
            <w:tcW w:w="2131" w:type="dxa"/>
            <w:shd w:val="clear" w:color="auto" w:fill="auto"/>
            <w:vAlign w:val="center"/>
            <w:hideMark/>
          </w:tcPr>
          <w:p w14:paraId="2D9A3BC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10F3AA85" w14:textId="3374931B"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71280135" w14:textId="77777777" w:rsidTr="007843A3">
        <w:trPr>
          <w:trHeight w:val="480"/>
        </w:trPr>
        <w:tc>
          <w:tcPr>
            <w:tcW w:w="2187" w:type="dxa"/>
            <w:shd w:val="clear" w:color="auto" w:fill="auto"/>
            <w:vAlign w:val="center"/>
            <w:hideMark/>
          </w:tcPr>
          <w:p w14:paraId="781F72A7"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7.5.6. Measure</w:t>
            </w:r>
          </w:p>
        </w:tc>
        <w:tc>
          <w:tcPr>
            <w:tcW w:w="1561" w:type="dxa"/>
            <w:shd w:val="clear" w:color="auto" w:fill="auto"/>
            <w:vAlign w:val="center"/>
            <w:hideMark/>
          </w:tcPr>
          <w:p w14:paraId="697E6F98"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14%</w:t>
            </w:r>
          </w:p>
        </w:tc>
        <w:tc>
          <w:tcPr>
            <w:tcW w:w="2112" w:type="dxa"/>
            <w:shd w:val="clear" w:color="auto" w:fill="auto"/>
            <w:vAlign w:val="center"/>
            <w:hideMark/>
          </w:tcPr>
          <w:p w14:paraId="328C0F0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404,902</w:t>
            </w:r>
          </w:p>
        </w:tc>
        <w:tc>
          <w:tcPr>
            <w:tcW w:w="2532" w:type="dxa"/>
            <w:shd w:val="clear" w:color="auto" w:fill="auto"/>
            <w:vAlign w:val="center"/>
            <w:hideMark/>
          </w:tcPr>
          <w:p w14:paraId="4229869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121,471</w:t>
            </w:r>
          </w:p>
        </w:tc>
        <w:tc>
          <w:tcPr>
            <w:tcW w:w="2131" w:type="dxa"/>
            <w:shd w:val="clear" w:color="auto" w:fill="auto"/>
            <w:vAlign w:val="center"/>
            <w:hideMark/>
          </w:tcPr>
          <w:p w14:paraId="4E1C284A"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283,432</w:t>
            </w:r>
          </w:p>
        </w:tc>
        <w:tc>
          <w:tcPr>
            <w:tcW w:w="2955" w:type="dxa"/>
            <w:shd w:val="clear" w:color="auto" w:fill="auto"/>
            <w:vAlign w:val="center"/>
            <w:hideMark/>
          </w:tcPr>
          <w:p w14:paraId="294280E4" w14:textId="386AEB5A"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10676964" w14:textId="77777777" w:rsidTr="007843A3">
        <w:trPr>
          <w:trHeight w:val="480"/>
        </w:trPr>
        <w:tc>
          <w:tcPr>
            <w:tcW w:w="2187" w:type="dxa"/>
            <w:shd w:val="clear" w:color="auto" w:fill="auto"/>
            <w:vAlign w:val="center"/>
            <w:hideMark/>
          </w:tcPr>
          <w:p w14:paraId="26C34577"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7.5.7. Measure</w:t>
            </w:r>
          </w:p>
        </w:tc>
        <w:tc>
          <w:tcPr>
            <w:tcW w:w="1561" w:type="dxa"/>
            <w:shd w:val="clear" w:color="auto" w:fill="auto"/>
            <w:vAlign w:val="center"/>
            <w:hideMark/>
          </w:tcPr>
          <w:p w14:paraId="2C4CBFC5"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5%</w:t>
            </w:r>
          </w:p>
        </w:tc>
        <w:tc>
          <w:tcPr>
            <w:tcW w:w="2112" w:type="dxa"/>
            <w:shd w:val="clear" w:color="auto" w:fill="auto"/>
            <w:vAlign w:val="center"/>
            <w:hideMark/>
          </w:tcPr>
          <w:p w14:paraId="1765C4B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135,863</w:t>
            </w:r>
          </w:p>
        </w:tc>
        <w:tc>
          <w:tcPr>
            <w:tcW w:w="2532" w:type="dxa"/>
            <w:shd w:val="clear" w:color="auto" w:fill="auto"/>
            <w:vAlign w:val="center"/>
            <w:hideMark/>
          </w:tcPr>
          <w:p w14:paraId="3638FD7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131" w:type="dxa"/>
            <w:shd w:val="clear" w:color="auto" w:fill="auto"/>
            <w:vAlign w:val="center"/>
            <w:hideMark/>
          </w:tcPr>
          <w:p w14:paraId="435FCB2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135,863</w:t>
            </w:r>
          </w:p>
        </w:tc>
        <w:tc>
          <w:tcPr>
            <w:tcW w:w="2955" w:type="dxa"/>
            <w:shd w:val="clear" w:color="auto" w:fill="auto"/>
            <w:vAlign w:val="center"/>
            <w:hideMark/>
          </w:tcPr>
          <w:p w14:paraId="4D00FDEB" w14:textId="45CEBF74"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23998160" w14:textId="77777777" w:rsidTr="007843A3">
        <w:trPr>
          <w:trHeight w:val="480"/>
        </w:trPr>
        <w:tc>
          <w:tcPr>
            <w:tcW w:w="2187" w:type="dxa"/>
            <w:shd w:val="clear" w:color="auto" w:fill="auto"/>
            <w:vAlign w:val="center"/>
            <w:hideMark/>
          </w:tcPr>
          <w:p w14:paraId="6A42C930"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7.5.8. Measure</w:t>
            </w:r>
          </w:p>
        </w:tc>
        <w:tc>
          <w:tcPr>
            <w:tcW w:w="1561" w:type="dxa"/>
            <w:shd w:val="clear" w:color="auto" w:fill="auto"/>
            <w:vAlign w:val="center"/>
            <w:hideMark/>
          </w:tcPr>
          <w:p w14:paraId="1F2D288E"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5%</w:t>
            </w:r>
          </w:p>
        </w:tc>
        <w:tc>
          <w:tcPr>
            <w:tcW w:w="2112" w:type="dxa"/>
            <w:shd w:val="clear" w:color="auto" w:fill="auto"/>
            <w:vAlign w:val="center"/>
            <w:hideMark/>
          </w:tcPr>
          <w:p w14:paraId="22799B9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128,634</w:t>
            </w:r>
          </w:p>
        </w:tc>
        <w:tc>
          <w:tcPr>
            <w:tcW w:w="2532" w:type="dxa"/>
            <w:shd w:val="clear" w:color="auto" w:fill="auto"/>
            <w:vAlign w:val="center"/>
            <w:hideMark/>
          </w:tcPr>
          <w:p w14:paraId="2E51C43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131" w:type="dxa"/>
            <w:shd w:val="clear" w:color="auto" w:fill="auto"/>
            <w:vAlign w:val="center"/>
            <w:hideMark/>
          </w:tcPr>
          <w:p w14:paraId="11E086B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128,634</w:t>
            </w:r>
          </w:p>
        </w:tc>
        <w:tc>
          <w:tcPr>
            <w:tcW w:w="2955" w:type="dxa"/>
            <w:shd w:val="clear" w:color="auto" w:fill="auto"/>
            <w:vAlign w:val="center"/>
            <w:hideMark/>
          </w:tcPr>
          <w:p w14:paraId="6D9BBD37" w14:textId="6723FF63"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5C82371C" w14:textId="77777777" w:rsidTr="001F6CF7">
        <w:trPr>
          <w:trHeight w:val="288"/>
        </w:trPr>
        <w:tc>
          <w:tcPr>
            <w:tcW w:w="2187" w:type="dxa"/>
            <w:shd w:val="clear" w:color="auto" w:fill="00D29A"/>
            <w:vAlign w:val="center"/>
            <w:hideMark/>
          </w:tcPr>
          <w:p w14:paraId="5305070E"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7.6. Priority </w:t>
            </w:r>
          </w:p>
        </w:tc>
        <w:tc>
          <w:tcPr>
            <w:tcW w:w="1561" w:type="dxa"/>
            <w:shd w:val="clear" w:color="auto" w:fill="00D29A"/>
            <w:vAlign w:val="center"/>
            <w:hideMark/>
          </w:tcPr>
          <w:p w14:paraId="02EC935C"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w:t>
            </w:r>
          </w:p>
        </w:tc>
        <w:tc>
          <w:tcPr>
            <w:tcW w:w="2112" w:type="dxa"/>
            <w:shd w:val="clear" w:color="auto" w:fill="00D29A"/>
            <w:vAlign w:val="center"/>
            <w:hideMark/>
          </w:tcPr>
          <w:p w14:paraId="48DDD9C8"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620,574</w:t>
            </w:r>
          </w:p>
        </w:tc>
        <w:tc>
          <w:tcPr>
            <w:tcW w:w="2532" w:type="dxa"/>
            <w:shd w:val="clear" w:color="auto" w:fill="00D29A"/>
            <w:vAlign w:val="center"/>
            <w:hideMark/>
          </w:tcPr>
          <w:p w14:paraId="01F8B1B1"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65,290</w:t>
            </w:r>
          </w:p>
        </w:tc>
        <w:tc>
          <w:tcPr>
            <w:tcW w:w="2131" w:type="dxa"/>
            <w:shd w:val="clear" w:color="auto" w:fill="00D29A"/>
            <w:vAlign w:val="center"/>
            <w:hideMark/>
          </w:tcPr>
          <w:p w14:paraId="3CC58A39"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555,284</w:t>
            </w:r>
          </w:p>
        </w:tc>
        <w:tc>
          <w:tcPr>
            <w:tcW w:w="2955" w:type="dxa"/>
            <w:shd w:val="clear" w:color="auto" w:fill="00D29A"/>
            <w:vAlign w:val="center"/>
            <w:hideMark/>
          </w:tcPr>
          <w:p w14:paraId="01548C06"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4DC18505" w14:textId="77777777" w:rsidTr="007843A3">
        <w:trPr>
          <w:trHeight w:val="480"/>
        </w:trPr>
        <w:tc>
          <w:tcPr>
            <w:tcW w:w="2187" w:type="dxa"/>
            <w:shd w:val="clear" w:color="auto" w:fill="auto"/>
            <w:vAlign w:val="center"/>
            <w:hideMark/>
          </w:tcPr>
          <w:p w14:paraId="0A892313"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7.6.1. Measure</w:t>
            </w:r>
          </w:p>
        </w:tc>
        <w:tc>
          <w:tcPr>
            <w:tcW w:w="1561" w:type="dxa"/>
            <w:shd w:val="clear" w:color="auto" w:fill="auto"/>
            <w:vAlign w:val="center"/>
            <w:hideMark/>
          </w:tcPr>
          <w:p w14:paraId="4A134F4B"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20%</w:t>
            </w:r>
          </w:p>
        </w:tc>
        <w:tc>
          <w:tcPr>
            <w:tcW w:w="2112" w:type="dxa"/>
            <w:shd w:val="clear" w:color="auto" w:fill="auto"/>
            <w:vAlign w:val="center"/>
            <w:hideMark/>
          </w:tcPr>
          <w:p w14:paraId="61D5BD5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125,884</w:t>
            </w:r>
          </w:p>
        </w:tc>
        <w:tc>
          <w:tcPr>
            <w:tcW w:w="2532" w:type="dxa"/>
            <w:shd w:val="clear" w:color="auto" w:fill="auto"/>
            <w:vAlign w:val="center"/>
            <w:hideMark/>
          </w:tcPr>
          <w:p w14:paraId="5FCDD5A6"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37,765</w:t>
            </w:r>
          </w:p>
        </w:tc>
        <w:tc>
          <w:tcPr>
            <w:tcW w:w="2131" w:type="dxa"/>
            <w:shd w:val="clear" w:color="auto" w:fill="auto"/>
            <w:vAlign w:val="center"/>
            <w:hideMark/>
          </w:tcPr>
          <w:p w14:paraId="768A24B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88,119</w:t>
            </w:r>
          </w:p>
        </w:tc>
        <w:tc>
          <w:tcPr>
            <w:tcW w:w="2955" w:type="dxa"/>
            <w:shd w:val="clear" w:color="auto" w:fill="auto"/>
            <w:vAlign w:val="center"/>
            <w:hideMark/>
          </w:tcPr>
          <w:p w14:paraId="2CB01B90" w14:textId="78D3BA67"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p>
        </w:tc>
      </w:tr>
      <w:tr w:rsidR="007843A3" w:rsidRPr="007C4D65" w14:paraId="2A1BCA1B" w14:textId="77777777" w:rsidTr="007843A3">
        <w:trPr>
          <w:trHeight w:val="720"/>
        </w:trPr>
        <w:tc>
          <w:tcPr>
            <w:tcW w:w="2187" w:type="dxa"/>
            <w:shd w:val="clear" w:color="auto" w:fill="auto"/>
            <w:vAlign w:val="center"/>
            <w:hideMark/>
          </w:tcPr>
          <w:p w14:paraId="1418DE12"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7.6.2. Measure</w:t>
            </w:r>
          </w:p>
        </w:tc>
        <w:tc>
          <w:tcPr>
            <w:tcW w:w="1561" w:type="dxa"/>
            <w:shd w:val="clear" w:color="auto" w:fill="auto"/>
            <w:vAlign w:val="center"/>
            <w:hideMark/>
          </w:tcPr>
          <w:p w14:paraId="190C166F"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44%</w:t>
            </w:r>
          </w:p>
        </w:tc>
        <w:tc>
          <w:tcPr>
            <w:tcW w:w="2112" w:type="dxa"/>
            <w:shd w:val="clear" w:color="auto" w:fill="auto"/>
            <w:vAlign w:val="center"/>
            <w:hideMark/>
          </w:tcPr>
          <w:p w14:paraId="7FC5552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275,247</w:t>
            </w:r>
          </w:p>
        </w:tc>
        <w:tc>
          <w:tcPr>
            <w:tcW w:w="2532" w:type="dxa"/>
            <w:shd w:val="clear" w:color="auto" w:fill="auto"/>
            <w:vAlign w:val="center"/>
            <w:hideMark/>
          </w:tcPr>
          <w:p w14:paraId="50606ED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27,525</w:t>
            </w:r>
          </w:p>
        </w:tc>
        <w:tc>
          <w:tcPr>
            <w:tcW w:w="2131" w:type="dxa"/>
            <w:shd w:val="clear" w:color="auto" w:fill="auto"/>
            <w:vAlign w:val="center"/>
            <w:hideMark/>
          </w:tcPr>
          <w:p w14:paraId="1E8823D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247,723</w:t>
            </w:r>
          </w:p>
        </w:tc>
        <w:tc>
          <w:tcPr>
            <w:tcW w:w="2955" w:type="dxa"/>
            <w:shd w:val="clear" w:color="auto" w:fill="auto"/>
            <w:vAlign w:val="center"/>
            <w:hideMark/>
          </w:tcPr>
          <w:p w14:paraId="67D4AA40" w14:textId="6DA2F208"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3C10E590" w14:textId="77777777" w:rsidTr="007843A3">
        <w:trPr>
          <w:trHeight w:val="480"/>
        </w:trPr>
        <w:tc>
          <w:tcPr>
            <w:tcW w:w="2187" w:type="dxa"/>
            <w:shd w:val="clear" w:color="auto" w:fill="auto"/>
            <w:vAlign w:val="center"/>
            <w:hideMark/>
          </w:tcPr>
          <w:p w14:paraId="07254A0D"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7.6.3. Measure</w:t>
            </w:r>
          </w:p>
        </w:tc>
        <w:tc>
          <w:tcPr>
            <w:tcW w:w="1561" w:type="dxa"/>
            <w:shd w:val="clear" w:color="auto" w:fill="auto"/>
            <w:vAlign w:val="center"/>
            <w:hideMark/>
          </w:tcPr>
          <w:p w14:paraId="3C9678D7"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35%</w:t>
            </w:r>
          </w:p>
        </w:tc>
        <w:tc>
          <w:tcPr>
            <w:tcW w:w="2112" w:type="dxa"/>
            <w:shd w:val="clear" w:color="auto" w:fill="auto"/>
            <w:vAlign w:val="center"/>
            <w:hideMark/>
          </w:tcPr>
          <w:p w14:paraId="73A698B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219,442</w:t>
            </w:r>
          </w:p>
        </w:tc>
        <w:tc>
          <w:tcPr>
            <w:tcW w:w="2532" w:type="dxa"/>
            <w:shd w:val="clear" w:color="auto" w:fill="auto"/>
            <w:vAlign w:val="center"/>
            <w:hideMark/>
          </w:tcPr>
          <w:p w14:paraId="593D585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131" w:type="dxa"/>
            <w:shd w:val="clear" w:color="auto" w:fill="auto"/>
            <w:vAlign w:val="center"/>
            <w:hideMark/>
          </w:tcPr>
          <w:p w14:paraId="2172830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219,442</w:t>
            </w:r>
          </w:p>
        </w:tc>
        <w:tc>
          <w:tcPr>
            <w:tcW w:w="2955" w:type="dxa"/>
            <w:shd w:val="clear" w:color="auto" w:fill="auto"/>
            <w:vAlign w:val="center"/>
            <w:hideMark/>
          </w:tcPr>
          <w:p w14:paraId="41198EB1" w14:textId="23B1CD01" w:rsidR="007843A3" w:rsidRPr="007C4D65" w:rsidRDefault="00C224E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326D9444" w14:textId="77777777" w:rsidTr="001F6CF7">
        <w:trPr>
          <w:trHeight w:val="288"/>
        </w:trPr>
        <w:tc>
          <w:tcPr>
            <w:tcW w:w="2187" w:type="dxa"/>
            <w:shd w:val="clear" w:color="auto" w:fill="00D29A"/>
            <w:vAlign w:val="center"/>
            <w:hideMark/>
          </w:tcPr>
          <w:p w14:paraId="6F439D5A"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7.7. Priority </w:t>
            </w:r>
          </w:p>
        </w:tc>
        <w:tc>
          <w:tcPr>
            <w:tcW w:w="1561" w:type="dxa"/>
            <w:shd w:val="clear" w:color="auto" w:fill="00D29A"/>
            <w:vAlign w:val="center"/>
            <w:hideMark/>
          </w:tcPr>
          <w:p w14:paraId="0FF86FF2"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4%</w:t>
            </w:r>
          </w:p>
        </w:tc>
        <w:tc>
          <w:tcPr>
            <w:tcW w:w="2112" w:type="dxa"/>
            <w:shd w:val="clear" w:color="auto" w:fill="00D29A"/>
            <w:vAlign w:val="center"/>
            <w:hideMark/>
          </w:tcPr>
          <w:p w14:paraId="48EB6045"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375,430</w:t>
            </w:r>
          </w:p>
        </w:tc>
        <w:tc>
          <w:tcPr>
            <w:tcW w:w="2532" w:type="dxa"/>
            <w:shd w:val="clear" w:color="auto" w:fill="00D29A"/>
            <w:vAlign w:val="center"/>
            <w:hideMark/>
          </w:tcPr>
          <w:p w14:paraId="08D90A3E"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194,497</w:t>
            </w:r>
          </w:p>
        </w:tc>
        <w:tc>
          <w:tcPr>
            <w:tcW w:w="2131" w:type="dxa"/>
            <w:shd w:val="clear" w:color="auto" w:fill="00D29A"/>
            <w:vAlign w:val="center"/>
            <w:hideMark/>
          </w:tcPr>
          <w:p w14:paraId="096A9177"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180,933</w:t>
            </w:r>
          </w:p>
        </w:tc>
        <w:tc>
          <w:tcPr>
            <w:tcW w:w="2955" w:type="dxa"/>
            <w:shd w:val="clear" w:color="auto" w:fill="00D29A"/>
            <w:vAlign w:val="center"/>
            <w:hideMark/>
          </w:tcPr>
          <w:p w14:paraId="585B4AC3"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7BDBD3CC" w14:textId="77777777" w:rsidTr="007843A3">
        <w:trPr>
          <w:trHeight w:val="288"/>
        </w:trPr>
        <w:tc>
          <w:tcPr>
            <w:tcW w:w="2187" w:type="dxa"/>
            <w:shd w:val="clear" w:color="auto" w:fill="auto"/>
            <w:vAlign w:val="center"/>
            <w:hideMark/>
          </w:tcPr>
          <w:p w14:paraId="30DDB91D"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7.7.1. Measure</w:t>
            </w:r>
          </w:p>
        </w:tc>
        <w:tc>
          <w:tcPr>
            <w:tcW w:w="1561" w:type="dxa"/>
            <w:shd w:val="clear" w:color="auto" w:fill="auto"/>
            <w:vAlign w:val="center"/>
            <w:hideMark/>
          </w:tcPr>
          <w:p w14:paraId="45136128"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25%</w:t>
            </w:r>
          </w:p>
        </w:tc>
        <w:tc>
          <w:tcPr>
            <w:tcW w:w="2112" w:type="dxa"/>
            <w:shd w:val="clear" w:color="auto" w:fill="auto"/>
            <w:vAlign w:val="center"/>
            <w:hideMark/>
          </w:tcPr>
          <w:p w14:paraId="13830A4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92,717</w:t>
            </w:r>
          </w:p>
        </w:tc>
        <w:tc>
          <w:tcPr>
            <w:tcW w:w="2532" w:type="dxa"/>
            <w:shd w:val="clear" w:color="auto" w:fill="auto"/>
            <w:vAlign w:val="center"/>
            <w:hideMark/>
          </w:tcPr>
          <w:p w14:paraId="252E425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92,717</w:t>
            </w:r>
          </w:p>
        </w:tc>
        <w:tc>
          <w:tcPr>
            <w:tcW w:w="2131" w:type="dxa"/>
            <w:shd w:val="clear" w:color="auto" w:fill="auto"/>
            <w:vAlign w:val="center"/>
            <w:hideMark/>
          </w:tcPr>
          <w:p w14:paraId="7AB33FA4"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499D8072" w14:textId="16BFBD5E"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40AD74D1" w14:textId="77777777" w:rsidTr="007843A3">
        <w:trPr>
          <w:trHeight w:val="720"/>
        </w:trPr>
        <w:tc>
          <w:tcPr>
            <w:tcW w:w="2187" w:type="dxa"/>
            <w:shd w:val="clear" w:color="auto" w:fill="auto"/>
            <w:vAlign w:val="center"/>
            <w:hideMark/>
          </w:tcPr>
          <w:p w14:paraId="3B5937AA"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7.7.2. Measure</w:t>
            </w:r>
          </w:p>
        </w:tc>
        <w:tc>
          <w:tcPr>
            <w:tcW w:w="1561" w:type="dxa"/>
            <w:shd w:val="clear" w:color="auto" w:fill="auto"/>
            <w:vAlign w:val="center"/>
            <w:hideMark/>
          </w:tcPr>
          <w:p w14:paraId="68B946A7"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54%</w:t>
            </w:r>
          </w:p>
        </w:tc>
        <w:tc>
          <w:tcPr>
            <w:tcW w:w="2112" w:type="dxa"/>
            <w:shd w:val="clear" w:color="auto" w:fill="auto"/>
            <w:vAlign w:val="center"/>
            <w:hideMark/>
          </w:tcPr>
          <w:p w14:paraId="26D862F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201,036</w:t>
            </w:r>
          </w:p>
        </w:tc>
        <w:tc>
          <w:tcPr>
            <w:tcW w:w="2532" w:type="dxa"/>
            <w:shd w:val="clear" w:color="auto" w:fill="auto"/>
            <w:vAlign w:val="center"/>
            <w:hideMark/>
          </w:tcPr>
          <w:p w14:paraId="56595F97"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20,104</w:t>
            </w:r>
          </w:p>
        </w:tc>
        <w:tc>
          <w:tcPr>
            <w:tcW w:w="2131" w:type="dxa"/>
            <w:shd w:val="clear" w:color="auto" w:fill="auto"/>
            <w:vAlign w:val="center"/>
            <w:hideMark/>
          </w:tcPr>
          <w:p w14:paraId="3DB51718"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180,933</w:t>
            </w:r>
          </w:p>
        </w:tc>
        <w:tc>
          <w:tcPr>
            <w:tcW w:w="2955" w:type="dxa"/>
            <w:shd w:val="clear" w:color="auto" w:fill="auto"/>
            <w:vAlign w:val="center"/>
            <w:hideMark/>
          </w:tcPr>
          <w:p w14:paraId="6743DB7E" w14:textId="1F2C1D69"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54CAE280" w14:textId="77777777" w:rsidTr="007843A3">
        <w:trPr>
          <w:trHeight w:val="288"/>
        </w:trPr>
        <w:tc>
          <w:tcPr>
            <w:tcW w:w="2187" w:type="dxa"/>
            <w:shd w:val="clear" w:color="auto" w:fill="auto"/>
            <w:vAlign w:val="center"/>
            <w:hideMark/>
          </w:tcPr>
          <w:p w14:paraId="59673D1B"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7.7.3. Measure</w:t>
            </w:r>
          </w:p>
        </w:tc>
        <w:tc>
          <w:tcPr>
            <w:tcW w:w="1561" w:type="dxa"/>
            <w:shd w:val="clear" w:color="auto" w:fill="auto"/>
            <w:vAlign w:val="center"/>
            <w:hideMark/>
          </w:tcPr>
          <w:p w14:paraId="68A02413"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22%</w:t>
            </w:r>
          </w:p>
        </w:tc>
        <w:tc>
          <w:tcPr>
            <w:tcW w:w="2112" w:type="dxa"/>
            <w:shd w:val="clear" w:color="auto" w:fill="auto"/>
            <w:vAlign w:val="center"/>
            <w:hideMark/>
          </w:tcPr>
          <w:p w14:paraId="6294E2FD"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81,677</w:t>
            </w:r>
          </w:p>
        </w:tc>
        <w:tc>
          <w:tcPr>
            <w:tcW w:w="2532" w:type="dxa"/>
            <w:shd w:val="clear" w:color="auto" w:fill="auto"/>
            <w:vAlign w:val="center"/>
            <w:hideMark/>
          </w:tcPr>
          <w:p w14:paraId="04D4E7F2"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81,677</w:t>
            </w:r>
          </w:p>
        </w:tc>
        <w:tc>
          <w:tcPr>
            <w:tcW w:w="2131" w:type="dxa"/>
            <w:shd w:val="clear" w:color="auto" w:fill="auto"/>
            <w:vAlign w:val="center"/>
            <w:hideMark/>
          </w:tcPr>
          <w:p w14:paraId="76D2CED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1055A9C2" w14:textId="2329A490"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5C1B5C8C" w14:textId="77777777" w:rsidTr="001F6CF7">
        <w:trPr>
          <w:trHeight w:val="288"/>
        </w:trPr>
        <w:tc>
          <w:tcPr>
            <w:tcW w:w="2187" w:type="dxa"/>
            <w:shd w:val="clear" w:color="auto" w:fill="00D29A"/>
            <w:vAlign w:val="center"/>
            <w:hideMark/>
          </w:tcPr>
          <w:p w14:paraId="066034ED" w14:textId="77777777" w:rsidR="007843A3" w:rsidRPr="007C4D65" w:rsidRDefault="007843A3" w:rsidP="0068355A">
            <w:pPr>
              <w:spacing w:line="276" w:lineRule="auto"/>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7.8. Priority </w:t>
            </w:r>
          </w:p>
        </w:tc>
        <w:tc>
          <w:tcPr>
            <w:tcW w:w="1561" w:type="dxa"/>
            <w:shd w:val="clear" w:color="auto" w:fill="00D29A"/>
            <w:vAlign w:val="center"/>
            <w:hideMark/>
          </w:tcPr>
          <w:p w14:paraId="33DB1535" w14:textId="77777777"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6%</w:t>
            </w:r>
          </w:p>
        </w:tc>
        <w:tc>
          <w:tcPr>
            <w:tcW w:w="2112" w:type="dxa"/>
            <w:shd w:val="clear" w:color="auto" w:fill="00D29A"/>
            <w:vAlign w:val="center"/>
            <w:hideMark/>
          </w:tcPr>
          <w:p w14:paraId="76C95310"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587,100</w:t>
            </w:r>
          </w:p>
        </w:tc>
        <w:tc>
          <w:tcPr>
            <w:tcW w:w="2532" w:type="dxa"/>
            <w:shd w:val="clear" w:color="auto" w:fill="00D29A"/>
            <w:vAlign w:val="center"/>
            <w:hideMark/>
          </w:tcPr>
          <w:p w14:paraId="24849196"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193,548</w:t>
            </w:r>
          </w:p>
        </w:tc>
        <w:tc>
          <w:tcPr>
            <w:tcW w:w="2131" w:type="dxa"/>
            <w:shd w:val="clear" w:color="auto" w:fill="00D29A"/>
            <w:vAlign w:val="center"/>
            <w:hideMark/>
          </w:tcPr>
          <w:p w14:paraId="0CD1FC3D"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393,551</w:t>
            </w:r>
          </w:p>
        </w:tc>
        <w:tc>
          <w:tcPr>
            <w:tcW w:w="2955" w:type="dxa"/>
            <w:shd w:val="clear" w:color="auto" w:fill="00D29A"/>
            <w:vAlign w:val="center"/>
            <w:hideMark/>
          </w:tcPr>
          <w:p w14:paraId="6EC67458"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08754FDD" w14:textId="77777777" w:rsidTr="007843A3">
        <w:trPr>
          <w:trHeight w:val="720"/>
        </w:trPr>
        <w:tc>
          <w:tcPr>
            <w:tcW w:w="2187" w:type="dxa"/>
            <w:shd w:val="clear" w:color="auto" w:fill="auto"/>
            <w:vAlign w:val="center"/>
            <w:hideMark/>
          </w:tcPr>
          <w:p w14:paraId="20BA42E0"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7.8.1. Measure</w:t>
            </w:r>
          </w:p>
        </w:tc>
        <w:tc>
          <w:tcPr>
            <w:tcW w:w="1561" w:type="dxa"/>
            <w:shd w:val="clear" w:color="auto" w:fill="auto"/>
            <w:vAlign w:val="center"/>
            <w:hideMark/>
          </w:tcPr>
          <w:p w14:paraId="24A440F3"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47%</w:t>
            </w:r>
          </w:p>
        </w:tc>
        <w:tc>
          <w:tcPr>
            <w:tcW w:w="2112" w:type="dxa"/>
            <w:shd w:val="clear" w:color="auto" w:fill="auto"/>
            <w:vAlign w:val="center"/>
            <w:hideMark/>
          </w:tcPr>
          <w:p w14:paraId="4C5C7F3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278,764</w:t>
            </w:r>
          </w:p>
        </w:tc>
        <w:tc>
          <w:tcPr>
            <w:tcW w:w="2532" w:type="dxa"/>
            <w:shd w:val="clear" w:color="auto" w:fill="auto"/>
            <w:vAlign w:val="center"/>
            <w:hideMark/>
          </w:tcPr>
          <w:p w14:paraId="138A6CF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83,629</w:t>
            </w:r>
          </w:p>
        </w:tc>
        <w:tc>
          <w:tcPr>
            <w:tcW w:w="2131" w:type="dxa"/>
            <w:shd w:val="clear" w:color="auto" w:fill="auto"/>
            <w:vAlign w:val="center"/>
            <w:hideMark/>
          </w:tcPr>
          <w:p w14:paraId="40838B8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195,135</w:t>
            </w:r>
          </w:p>
        </w:tc>
        <w:tc>
          <w:tcPr>
            <w:tcW w:w="2955" w:type="dxa"/>
            <w:shd w:val="clear" w:color="auto" w:fill="auto"/>
            <w:vAlign w:val="center"/>
            <w:hideMark/>
          </w:tcPr>
          <w:p w14:paraId="118CE302" w14:textId="7A710C66"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1CEF2DA1" w14:textId="77777777" w:rsidTr="007843A3">
        <w:trPr>
          <w:trHeight w:val="720"/>
        </w:trPr>
        <w:tc>
          <w:tcPr>
            <w:tcW w:w="2187" w:type="dxa"/>
            <w:shd w:val="clear" w:color="auto" w:fill="auto"/>
            <w:vAlign w:val="center"/>
            <w:hideMark/>
          </w:tcPr>
          <w:p w14:paraId="17858523"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7.8.2. Measure</w:t>
            </w:r>
          </w:p>
        </w:tc>
        <w:tc>
          <w:tcPr>
            <w:tcW w:w="1561" w:type="dxa"/>
            <w:shd w:val="clear" w:color="auto" w:fill="auto"/>
            <w:vAlign w:val="center"/>
            <w:hideMark/>
          </w:tcPr>
          <w:p w14:paraId="78515DDD"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48%</w:t>
            </w:r>
          </w:p>
        </w:tc>
        <w:tc>
          <w:tcPr>
            <w:tcW w:w="2112" w:type="dxa"/>
            <w:shd w:val="clear" w:color="auto" w:fill="auto"/>
            <w:vAlign w:val="center"/>
            <w:hideMark/>
          </w:tcPr>
          <w:p w14:paraId="648AD26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283,452</w:t>
            </w:r>
          </w:p>
        </w:tc>
        <w:tc>
          <w:tcPr>
            <w:tcW w:w="2532" w:type="dxa"/>
            <w:shd w:val="clear" w:color="auto" w:fill="auto"/>
            <w:vAlign w:val="center"/>
            <w:hideMark/>
          </w:tcPr>
          <w:p w14:paraId="3CB7BC93"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85,036</w:t>
            </w:r>
          </w:p>
        </w:tc>
        <w:tc>
          <w:tcPr>
            <w:tcW w:w="2131" w:type="dxa"/>
            <w:shd w:val="clear" w:color="auto" w:fill="auto"/>
            <w:vAlign w:val="center"/>
            <w:hideMark/>
          </w:tcPr>
          <w:p w14:paraId="6FCA1B7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198,416</w:t>
            </w:r>
          </w:p>
        </w:tc>
        <w:tc>
          <w:tcPr>
            <w:tcW w:w="2955" w:type="dxa"/>
            <w:shd w:val="clear" w:color="auto" w:fill="auto"/>
            <w:vAlign w:val="center"/>
            <w:hideMark/>
          </w:tcPr>
          <w:p w14:paraId="378D33D9" w14:textId="5DF59B4A"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7843A3" w:rsidRPr="007C4D65">
              <w:rPr>
                <w:rFonts w:asciiTheme="minorHAnsi" w:hAnsiTheme="minorHAnsi" w:cstheme="minorHAnsi"/>
                <w:b/>
                <w:color w:val="000000"/>
                <w:sz w:val="18"/>
              </w:rPr>
              <w:t xml:space="preserve">, </w:t>
            </w:r>
            <w:r w:rsidR="00C224E3" w:rsidRPr="007C4D65">
              <w:rPr>
                <w:rFonts w:asciiTheme="minorHAnsi" w:hAnsiTheme="minorHAnsi" w:cstheme="minorHAnsi"/>
                <w:b/>
                <w:color w:val="000000"/>
                <w:sz w:val="18"/>
              </w:rPr>
              <w:t>Funds from EU and other international donors</w:t>
            </w:r>
            <w:r w:rsidR="007843A3" w:rsidRPr="007C4D65">
              <w:rPr>
                <w:rFonts w:asciiTheme="minorHAnsi" w:hAnsiTheme="minorHAnsi" w:cstheme="minorHAnsi"/>
                <w:b/>
                <w:color w:val="000000"/>
                <w:sz w:val="18"/>
              </w:rPr>
              <w:t xml:space="preserve">, </w:t>
            </w:r>
            <w:proofErr w:type="gramStart"/>
            <w:r w:rsidR="0009555E" w:rsidRPr="007C4D65">
              <w:rPr>
                <w:rFonts w:asciiTheme="minorHAnsi" w:hAnsiTheme="minorHAnsi" w:cstheme="minorHAnsi"/>
                <w:b/>
                <w:color w:val="000000"/>
                <w:sz w:val="18"/>
              </w:rPr>
              <w:t>Other</w:t>
            </w:r>
            <w:proofErr w:type="gramEnd"/>
            <w:r w:rsidR="0009555E" w:rsidRPr="007C4D65">
              <w:rPr>
                <w:rFonts w:asciiTheme="minorHAnsi" w:hAnsiTheme="minorHAnsi" w:cstheme="minorHAnsi"/>
                <w:b/>
                <w:color w:val="000000"/>
                <w:sz w:val="18"/>
              </w:rPr>
              <w:t xml:space="preserve"> donations  </w:t>
            </w:r>
          </w:p>
        </w:tc>
      </w:tr>
      <w:tr w:rsidR="007843A3" w:rsidRPr="007C4D65" w14:paraId="5A191B56" w14:textId="77777777" w:rsidTr="007843A3">
        <w:trPr>
          <w:trHeight w:val="288"/>
        </w:trPr>
        <w:tc>
          <w:tcPr>
            <w:tcW w:w="2187" w:type="dxa"/>
            <w:shd w:val="clear" w:color="auto" w:fill="auto"/>
            <w:vAlign w:val="center"/>
            <w:hideMark/>
          </w:tcPr>
          <w:p w14:paraId="1EB637C2"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7.8.3. Measure</w:t>
            </w:r>
          </w:p>
        </w:tc>
        <w:tc>
          <w:tcPr>
            <w:tcW w:w="1561" w:type="dxa"/>
            <w:shd w:val="clear" w:color="auto" w:fill="auto"/>
            <w:vAlign w:val="center"/>
            <w:hideMark/>
          </w:tcPr>
          <w:p w14:paraId="4F85BEC7"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4%</w:t>
            </w:r>
          </w:p>
        </w:tc>
        <w:tc>
          <w:tcPr>
            <w:tcW w:w="2112" w:type="dxa"/>
            <w:shd w:val="clear" w:color="auto" w:fill="auto"/>
            <w:vAlign w:val="center"/>
            <w:hideMark/>
          </w:tcPr>
          <w:p w14:paraId="58F4C610"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24,883</w:t>
            </w:r>
          </w:p>
        </w:tc>
        <w:tc>
          <w:tcPr>
            <w:tcW w:w="2532" w:type="dxa"/>
            <w:shd w:val="clear" w:color="auto" w:fill="auto"/>
            <w:vAlign w:val="center"/>
            <w:hideMark/>
          </w:tcPr>
          <w:p w14:paraId="415F319F"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24,883</w:t>
            </w:r>
          </w:p>
        </w:tc>
        <w:tc>
          <w:tcPr>
            <w:tcW w:w="2131" w:type="dxa"/>
            <w:shd w:val="clear" w:color="auto" w:fill="auto"/>
            <w:vAlign w:val="center"/>
            <w:hideMark/>
          </w:tcPr>
          <w:p w14:paraId="7BFF8A7B"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15709C34" w14:textId="43F2069B" w:rsidR="007843A3" w:rsidRPr="007C4D65" w:rsidRDefault="000E401F"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Government budget</w:t>
            </w:r>
            <w:r w:rsidR="00C224E3" w:rsidRPr="007C4D65">
              <w:rPr>
                <w:rFonts w:asciiTheme="minorHAnsi" w:hAnsiTheme="minorHAnsi" w:cstheme="minorHAnsi"/>
                <w:b/>
                <w:color w:val="000000"/>
                <w:sz w:val="18"/>
              </w:rPr>
              <w:t xml:space="preserve"> </w:t>
            </w:r>
          </w:p>
        </w:tc>
      </w:tr>
      <w:tr w:rsidR="007843A3" w:rsidRPr="007C4D65" w14:paraId="341F49D2" w14:textId="77777777" w:rsidTr="007843A3">
        <w:trPr>
          <w:trHeight w:val="288"/>
        </w:trPr>
        <w:tc>
          <w:tcPr>
            <w:tcW w:w="2187" w:type="dxa"/>
            <w:shd w:val="clear" w:color="auto" w:fill="auto"/>
            <w:vAlign w:val="center"/>
            <w:hideMark/>
          </w:tcPr>
          <w:p w14:paraId="103A8A70" w14:textId="77777777" w:rsidR="007843A3" w:rsidRPr="007C4D65" w:rsidRDefault="007843A3" w:rsidP="0068355A">
            <w:pPr>
              <w:spacing w:line="276" w:lineRule="auto"/>
              <w:ind w:firstLineChars="300" w:firstLine="542"/>
              <w:rPr>
                <w:rFonts w:asciiTheme="minorHAnsi" w:hAnsiTheme="minorHAnsi" w:cstheme="minorHAnsi"/>
                <w:b/>
                <w:bCs/>
                <w:color w:val="000000"/>
                <w:sz w:val="18"/>
                <w:szCs w:val="18"/>
              </w:rPr>
            </w:pPr>
            <w:r w:rsidRPr="007C4D65">
              <w:rPr>
                <w:rFonts w:asciiTheme="minorHAnsi" w:hAnsiTheme="minorHAnsi" w:cstheme="minorHAnsi"/>
                <w:b/>
                <w:color w:val="000000"/>
                <w:sz w:val="18"/>
              </w:rPr>
              <w:t>7.8.4. Measure</w:t>
            </w:r>
          </w:p>
        </w:tc>
        <w:tc>
          <w:tcPr>
            <w:tcW w:w="1561" w:type="dxa"/>
            <w:shd w:val="clear" w:color="auto" w:fill="auto"/>
            <w:vAlign w:val="center"/>
            <w:hideMark/>
          </w:tcPr>
          <w:p w14:paraId="30DD9626"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112" w:type="dxa"/>
            <w:shd w:val="clear" w:color="auto" w:fill="auto"/>
            <w:vAlign w:val="center"/>
            <w:hideMark/>
          </w:tcPr>
          <w:p w14:paraId="3FD5F0C5"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532" w:type="dxa"/>
            <w:shd w:val="clear" w:color="auto" w:fill="auto"/>
            <w:vAlign w:val="center"/>
            <w:hideMark/>
          </w:tcPr>
          <w:p w14:paraId="0D827B8E"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131" w:type="dxa"/>
            <w:shd w:val="clear" w:color="auto" w:fill="auto"/>
            <w:vAlign w:val="center"/>
            <w:hideMark/>
          </w:tcPr>
          <w:p w14:paraId="61CA9CB9"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0</w:t>
            </w:r>
          </w:p>
        </w:tc>
        <w:tc>
          <w:tcPr>
            <w:tcW w:w="2955" w:type="dxa"/>
            <w:shd w:val="clear" w:color="auto" w:fill="auto"/>
            <w:vAlign w:val="center"/>
            <w:hideMark/>
          </w:tcPr>
          <w:p w14:paraId="34EB5081" w14:textId="77777777" w:rsidR="007843A3" w:rsidRPr="007C4D65" w:rsidRDefault="007843A3" w:rsidP="0068355A">
            <w:pPr>
              <w:spacing w:line="276" w:lineRule="auto"/>
              <w:jc w:val="right"/>
              <w:rPr>
                <w:rFonts w:asciiTheme="minorHAnsi" w:hAnsiTheme="minorHAnsi" w:cstheme="minorHAnsi"/>
                <w:b/>
                <w:bCs/>
                <w:color w:val="000000"/>
                <w:sz w:val="18"/>
                <w:szCs w:val="18"/>
              </w:rPr>
            </w:pPr>
            <w:r w:rsidRPr="007C4D65">
              <w:rPr>
                <w:rFonts w:asciiTheme="minorHAnsi" w:hAnsiTheme="minorHAnsi" w:cstheme="minorHAnsi"/>
                <w:b/>
                <w:color w:val="000000"/>
                <w:sz w:val="18"/>
              </w:rPr>
              <w:t> </w:t>
            </w:r>
          </w:p>
        </w:tc>
      </w:tr>
      <w:tr w:rsidR="007843A3" w:rsidRPr="007C4D65" w14:paraId="0ED48D31" w14:textId="77777777" w:rsidTr="001F6CF7">
        <w:trPr>
          <w:trHeight w:val="936"/>
        </w:trPr>
        <w:tc>
          <w:tcPr>
            <w:tcW w:w="2187" w:type="dxa"/>
            <w:shd w:val="clear" w:color="auto" w:fill="00D29A"/>
            <w:vAlign w:val="center"/>
            <w:hideMark/>
          </w:tcPr>
          <w:p w14:paraId="2F5FD615" w14:textId="1661F619" w:rsidR="007843A3" w:rsidRPr="007C4D65" w:rsidRDefault="00830279"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lastRenderedPageBreak/>
              <w:t>Total of strategic document</w:t>
            </w:r>
            <w:r w:rsidR="007843A3" w:rsidRPr="007C4D65">
              <w:rPr>
                <w:rFonts w:asciiTheme="minorHAnsi" w:hAnsiTheme="minorHAnsi" w:cstheme="minorHAnsi"/>
                <w:b/>
                <w:color w:val="FFFFFF" w:themeColor="background1"/>
                <w:sz w:val="18"/>
              </w:rPr>
              <w:t>**</w:t>
            </w:r>
          </w:p>
        </w:tc>
        <w:tc>
          <w:tcPr>
            <w:tcW w:w="1561" w:type="dxa"/>
            <w:shd w:val="clear" w:color="auto" w:fill="00D29A"/>
            <w:vAlign w:val="center"/>
            <w:hideMark/>
          </w:tcPr>
          <w:p w14:paraId="0AA4A079" w14:textId="77777777"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100%</w:t>
            </w:r>
          </w:p>
        </w:tc>
        <w:tc>
          <w:tcPr>
            <w:tcW w:w="2112" w:type="dxa"/>
            <w:shd w:val="clear" w:color="auto" w:fill="00D29A"/>
            <w:vAlign w:val="center"/>
            <w:hideMark/>
          </w:tcPr>
          <w:p w14:paraId="68AD0850" w14:textId="32535800"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11,915,173,753 </w:t>
            </w:r>
          </w:p>
        </w:tc>
        <w:tc>
          <w:tcPr>
            <w:tcW w:w="2532" w:type="dxa"/>
            <w:shd w:val="clear" w:color="auto" w:fill="00D29A"/>
            <w:vAlign w:val="center"/>
            <w:hideMark/>
          </w:tcPr>
          <w:p w14:paraId="5124D468" w14:textId="4263C3FA"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1,215,210,276 </w:t>
            </w:r>
          </w:p>
        </w:tc>
        <w:tc>
          <w:tcPr>
            <w:tcW w:w="2131" w:type="dxa"/>
            <w:shd w:val="clear" w:color="auto" w:fill="00D29A"/>
            <w:vAlign w:val="center"/>
            <w:hideMark/>
          </w:tcPr>
          <w:p w14:paraId="0CF5707A" w14:textId="08622EB5" w:rsidR="007843A3" w:rsidRPr="007C4D65" w:rsidRDefault="007843A3" w:rsidP="0068355A">
            <w:pPr>
              <w:spacing w:line="276" w:lineRule="auto"/>
              <w:jc w:val="right"/>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 xml:space="preserve">10,699,963,477 </w:t>
            </w:r>
          </w:p>
        </w:tc>
        <w:tc>
          <w:tcPr>
            <w:tcW w:w="2955" w:type="dxa"/>
            <w:shd w:val="clear" w:color="auto" w:fill="00D29A"/>
            <w:vAlign w:val="center"/>
            <w:hideMark/>
          </w:tcPr>
          <w:p w14:paraId="3EE8B1DE" w14:textId="77777777" w:rsidR="007843A3" w:rsidRPr="007C4D65" w:rsidRDefault="007843A3" w:rsidP="0068355A">
            <w:pPr>
              <w:spacing w:line="276" w:lineRule="auto"/>
              <w:rPr>
                <w:rFonts w:asciiTheme="minorHAnsi" w:hAnsiTheme="minorHAnsi" w:cstheme="minorHAnsi"/>
                <w:color w:val="FFFFFF" w:themeColor="background1"/>
                <w:sz w:val="18"/>
                <w:szCs w:val="18"/>
              </w:rPr>
            </w:pPr>
            <w:r w:rsidRPr="007C4D65">
              <w:rPr>
                <w:rFonts w:asciiTheme="minorHAnsi" w:hAnsiTheme="minorHAnsi" w:cstheme="minorHAnsi"/>
                <w:color w:val="FFFFFF" w:themeColor="background1"/>
                <w:sz w:val="18"/>
              </w:rPr>
              <w:t> </w:t>
            </w:r>
          </w:p>
        </w:tc>
      </w:tr>
      <w:tr w:rsidR="007843A3" w:rsidRPr="007C4D65" w14:paraId="4E7CD011" w14:textId="77777777" w:rsidTr="001F6CF7">
        <w:trPr>
          <w:trHeight w:val="288"/>
        </w:trPr>
        <w:tc>
          <w:tcPr>
            <w:tcW w:w="13478" w:type="dxa"/>
            <w:gridSpan w:val="6"/>
            <w:shd w:val="clear" w:color="auto" w:fill="009D73"/>
            <w:vAlign w:val="center"/>
            <w:hideMark/>
          </w:tcPr>
          <w:p w14:paraId="0B395729" w14:textId="52FE891A" w:rsidR="007843A3" w:rsidRPr="007C4D65" w:rsidRDefault="00830279"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SUMMARY BY SOURCES</w:t>
            </w:r>
          </w:p>
        </w:tc>
      </w:tr>
      <w:tr w:rsidR="007843A3" w:rsidRPr="007C4D65" w14:paraId="03702B2A" w14:textId="77777777" w:rsidTr="001F6CF7">
        <w:trPr>
          <w:trHeight w:val="288"/>
        </w:trPr>
        <w:tc>
          <w:tcPr>
            <w:tcW w:w="13478" w:type="dxa"/>
            <w:gridSpan w:val="6"/>
            <w:shd w:val="clear" w:color="auto" w:fill="009D73"/>
            <w:vAlign w:val="center"/>
            <w:hideMark/>
          </w:tcPr>
          <w:p w14:paraId="2546FC16" w14:textId="210CF50E" w:rsidR="007843A3" w:rsidRPr="007C4D65" w:rsidRDefault="007843A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w:t>
            </w:r>
            <w:proofErr w:type="gramStart"/>
            <w:r w:rsidR="00830279" w:rsidRPr="007C4D65">
              <w:rPr>
                <w:rFonts w:asciiTheme="minorHAnsi" w:hAnsiTheme="minorHAnsi" w:cstheme="minorHAnsi"/>
                <w:b/>
                <w:color w:val="FFFFFF" w:themeColor="background1"/>
                <w:sz w:val="18"/>
              </w:rPr>
              <w:t>amounts</w:t>
            </w:r>
            <w:proofErr w:type="gramEnd"/>
            <w:r w:rsidR="00830279" w:rsidRPr="007C4D65">
              <w:rPr>
                <w:rFonts w:asciiTheme="minorHAnsi" w:hAnsiTheme="minorHAnsi" w:cstheme="minorHAnsi"/>
                <w:b/>
                <w:color w:val="FFFFFF" w:themeColor="background1"/>
                <w:sz w:val="18"/>
              </w:rPr>
              <w:t xml:space="preserve"> in BAM and percentages</w:t>
            </w:r>
            <w:r w:rsidRPr="007C4D65">
              <w:rPr>
                <w:rFonts w:asciiTheme="minorHAnsi" w:hAnsiTheme="minorHAnsi" w:cstheme="minorHAnsi"/>
                <w:b/>
                <w:color w:val="FFFFFF" w:themeColor="background1"/>
                <w:sz w:val="18"/>
              </w:rPr>
              <w:t>)</w:t>
            </w:r>
          </w:p>
        </w:tc>
      </w:tr>
      <w:tr w:rsidR="007843A3" w:rsidRPr="007C4D65" w14:paraId="601CDBD5" w14:textId="77777777" w:rsidTr="001F6CF7">
        <w:trPr>
          <w:trHeight w:val="828"/>
        </w:trPr>
        <w:tc>
          <w:tcPr>
            <w:tcW w:w="3748" w:type="dxa"/>
            <w:gridSpan w:val="2"/>
            <w:shd w:val="clear" w:color="auto" w:fill="009D73"/>
            <w:vAlign w:val="center"/>
            <w:hideMark/>
          </w:tcPr>
          <w:p w14:paraId="01348A1B" w14:textId="51E59122" w:rsidR="007843A3" w:rsidRPr="007C4D65" w:rsidRDefault="000E401F"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Government budget</w:t>
            </w:r>
            <w:r w:rsidR="00C224E3" w:rsidRPr="007C4D65">
              <w:rPr>
                <w:rFonts w:asciiTheme="minorHAnsi" w:hAnsiTheme="minorHAnsi" w:cstheme="minorHAnsi"/>
                <w:b/>
                <w:color w:val="FFFFFF" w:themeColor="background1"/>
                <w:sz w:val="18"/>
              </w:rPr>
              <w:t xml:space="preserve"> </w:t>
            </w:r>
          </w:p>
        </w:tc>
        <w:tc>
          <w:tcPr>
            <w:tcW w:w="4644" w:type="dxa"/>
            <w:gridSpan w:val="2"/>
            <w:shd w:val="clear" w:color="auto" w:fill="009D73"/>
            <w:vAlign w:val="center"/>
            <w:hideMark/>
          </w:tcPr>
          <w:p w14:paraId="57A2E8DA" w14:textId="2028ABD1" w:rsidR="007843A3" w:rsidRPr="007C4D65" w:rsidRDefault="00C224E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Loans</w:t>
            </w:r>
          </w:p>
        </w:tc>
        <w:tc>
          <w:tcPr>
            <w:tcW w:w="2131" w:type="dxa"/>
            <w:shd w:val="clear" w:color="auto" w:fill="009D73"/>
            <w:vAlign w:val="center"/>
            <w:hideMark/>
          </w:tcPr>
          <w:p w14:paraId="1FCBD222" w14:textId="411C3CE4" w:rsidR="007843A3" w:rsidRPr="007C4D65" w:rsidRDefault="00C224E3"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Funds from EU and other international donors</w:t>
            </w:r>
          </w:p>
        </w:tc>
        <w:tc>
          <w:tcPr>
            <w:tcW w:w="2955" w:type="dxa"/>
            <w:shd w:val="clear" w:color="auto" w:fill="009D73"/>
            <w:vAlign w:val="center"/>
            <w:hideMark/>
          </w:tcPr>
          <w:p w14:paraId="6949269C" w14:textId="441F574A" w:rsidR="007843A3" w:rsidRPr="007C4D65" w:rsidRDefault="0009555E" w:rsidP="0068355A">
            <w:pPr>
              <w:spacing w:line="276" w:lineRule="auto"/>
              <w:jc w:val="center"/>
              <w:rPr>
                <w:rFonts w:asciiTheme="minorHAnsi" w:hAnsiTheme="minorHAnsi" w:cstheme="minorHAnsi"/>
                <w:b/>
                <w:bCs/>
                <w:color w:val="FFFFFF" w:themeColor="background1"/>
                <w:sz w:val="18"/>
                <w:szCs w:val="18"/>
              </w:rPr>
            </w:pPr>
            <w:r w:rsidRPr="007C4D65">
              <w:rPr>
                <w:rFonts w:asciiTheme="minorHAnsi" w:hAnsiTheme="minorHAnsi" w:cstheme="minorHAnsi"/>
                <w:b/>
                <w:color w:val="FFFFFF" w:themeColor="background1"/>
                <w:sz w:val="18"/>
              </w:rPr>
              <w:t>Other donations</w:t>
            </w:r>
          </w:p>
        </w:tc>
      </w:tr>
      <w:tr w:rsidR="007843A3" w:rsidRPr="007C4D65" w14:paraId="63697177" w14:textId="77777777" w:rsidTr="007843A3">
        <w:trPr>
          <w:trHeight w:val="288"/>
        </w:trPr>
        <w:tc>
          <w:tcPr>
            <w:tcW w:w="3748" w:type="dxa"/>
            <w:gridSpan w:val="2"/>
            <w:shd w:val="clear" w:color="000000" w:fill="FFFFFF"/>
            <w:vAlign w:val="center"/>
            <w:hideMark/>
          </w:tcPr>
          <w:p w14:paraId="4E2A7629"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1,215,210,276</w:t>
            </w:r>
          </w:p>
        </w:tc>
        <w:tc>
          <w:tcPr>
            <w:tcW w:w="4644" w:type="dxa"/>
            <w:gridSpan w:val="2"/>
            <w:shd w:val="clear" w:color="000000" w:fill="FFFFFF"/>
            <w:vAlign w:val="center"/>
            <w:hideMark/>
          </w:tcPr>
          <w:p w14:paraId="4E03DF6E"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3,209,989,043</w:t>
            </w:r>
          </w:p>
        </w:tc>
        <w:tc>
          <w:tcPr>
            <w:tcW w:w="2131" w:type="dxa"/>
            <w:shd w:val="clear" w:color="000000" w:fill="FFFFFF"/>
            <w:vAlign w:val="center"/>
            <w:hideMark/>
          </w:tcPr>
          <w:p w14:paraId="059F6551"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7,340,174,945</w:t>
            </w:r>
          </w:p>
        </w:tc>
        <w:tc>
          <w:tcPr>
            <w:tcW w:w="2955" w:type="dxa"/>
            <w:shd w:val="clear" w:color="000000" w:fill="FFFFFF"/>
            <w:vAlign w:val="center"/>
            <w:hideMark/>
          </w:tcPr>
          <w:p w14:paraId="4EFE8C8C"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149,799,489</w:t>
            </w:r>
          </w:p>
        </w:tc>
      </w:tr>
      <w:tr w:rsidR="007843A3" w:rsidRPr="007C4D65" w14:paraId="7D9AAC09" w14:textId="77777777" w:rsidTr="007843A3">
        <w:trPr>
          <w:trHeight w:val="288"/>
        </w:trPr>
        <w:tc>
          <w:tcPr>
            <w:tcW w:w="3748" w:type="dxa"/>
            <w:gridSpan w:val="2"/>
            <w:shd w:val="clear" w:color="000000" w:fill="FFFFFF"/>
            <w:vAlign w:val="center"/>
            <w:hideMark/>
          </w:tcPr>
          <w:p w14:paraId="5F32C7AF"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10.20%</w:t>
            </w:r>
          </w:p>
        </w:tc>
        <w:tc>
          <w:tcPr>
            <w:tcW w:w="4644" w:type="dxa"/>
            <w:gridSpan w:val="2"/>
            <w:shd w:val="clear" w:color="000000" w:fill="FFFFFF"/>
            <w:vAlign w:val="center"/>
            <w:hideMark/>
          </w:tcPr>
          <w:p w14:paraId="3A235C2B"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26.94%</w:t>
            </w:r>
          </w:p>
        </w:tc>
        <w:tc>
          <w:tcPr>
            <w:tcW w:w="2131" w:type="dxa"/>
            <w:shd w:val="clear" w:color="000000" w:fill="FFFFFF"/>
            <w:vAlign w:val="center"/>
            <w:hideMark/>
          </w:tcPr>
          <w:p w14:paraId="79939E0E"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61.60%</w:t>
            </w:r>
          </w:p>
        </w:tc>
        <w:tc>
          <w:tcPr>
            <w:tcW w:w="2955" w:type="dxa"/>
            <w:shd w:val="clear" w:color="000000" w:fill="FFFFFF"/>
            <w:vAlign w:val="center"/>
            <w:hideMark/>
          </w:tcPr>
          <w:p w14:paraId="2F238762" w14:textId="77777777" w:rsidR="007843A3" w:rsidRPr="007C4D65" w:rsidRDefault="007843A3" w:rsidP="0068355A">
            <w:pPr>
              <w:spacing w:line="276" w:lineRule="auto"/>
              <w:jc w:val="center"/>
              <w:rPr>
                <w:rFonts w:asciiTheme="minorHAnsi" w:hAnsiTheme="minorHAnsi" w:cstheme="minorHAnsi"/>
                <w:b/>
                <w:bCs/>
                <w:color w:val="000000"/>
                <w:sz w:val="18"/>
                <w:szCs w:val="18"/>
              </w:rPr>
            </w:pPr>
            <w:r w:rsidRPr="007C4D65">
              <w:rPr>
                <w:rFonts w:asciiTheme="minorHAnsi" w:hAnsiTheme="minorHAnsi" w:cstheme="minorHAnsi"/>
                <w:b/>
                <w:color w:val="000000"/>
                <w:sz w:val="18"/>
              </w:rPr>
              <w:t>1.26%</w:t>
            </w:r>
          </w:p>
        </w:tc>
      </w:tr>
    </w:tbl>
    <w:p w14:paraId="009BEE93" w14:textId="77777777" w:rsidR="003E05F6" w:rsidRPr="007C4D65" w:rsidRDefault="003E05F6" w:rsidP="0068355A">
      <w:pPr>
        <w:tabs>
          <w:tab w:val="left" w:pos="3648"/>
        </w:tabs>
        <w:spacing w:line="276" w:lineRule="auto"/>
        <w:rPr>
          <w:rFonts w:asciiTheme="minorHAnsi" w:hAnsiTheme="minorHAnsi" w:cstheme="minorHAnsi"/>
        </w:rPr>
      </w:pPr>
    </w:p>
    <w:p w14:paraId="2A9C37DB" w14:textId="35F95FA9" w:rsidR="0068355A" w:rsidRPr="007C4D65" w:rsidRDefault="00423606" w:rsidP="0068355A">
      <w:pPr>
        <w:tabs>
          <w:tab w:val="left" w:pos="3648"/>
        </w:tabs>
        <w:spacing w:line="276" w:lineRule="auto"/>
        <w:jc w:val="center"/>
        <w:rPr>
          <w:rFonts w:asciiTheme="minorHAnsi" w:hAnsiTheme="minorHAnsi" w:cstheme="minorHAnsi"/>
        </w:rPr>
      </w:pPr>
      <w:r>
        <w:rPr>
          <w:rFonts w:asciiTheme="minorHAnsi" w:hAnsiTheme="minorHAnsi" w:cstheme="minorHAnsi"/>
          <w:noProof/>
        </w:rPr>
        <w:drawing>
          <wp:inline distT="0" distB="0" distL="0" distR="0" wp14:anchorId="2474D80D" wp14:editId="646E1833">
            <wp:extent cx="4251960" cy="23442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5024" cy="2345926"/>
                    </a:xfrm>
                    <a:prstGeom prst="rect">
                      <a:avLst/>
                    </a:prstGeom>
                    <a:noFill/>
                    <a:ln>
                      <a:noFill/>
                    </a:ln>
                  </pic:spPr>
                </pic:pic>
              </a:graphicData>
            </a:graphic>
          </wp:inline>
        </w:drawing>
      </w:r>
    </w:p>
    <w:p w14:paraId="6090A69E" w14:textId="77777777" w:rsidR="008D043F" w:rsidRPr="007C4D65" w:rsidRDefault="008D043F" w:rsidP="0068355A">
      <w:pPr>
        <w:tabs>
          <w:tab w:val="left" w:pos="3648"/>
        </w:tabs>
        <w:spacing w:line="276" w:lineRule="auto"/>
        <w:jc w:val="center"/>
        <w:rPr>
          <w:rFonts w:asciiTheme="minorHAnsi" w:hAnsiTheme="minorHAnsi" w:cstheme="minorHAnsi"/>
          <w:i/>
          <w:iCs/>
          <w:sz w:val="20"/>
          <w:szCs w:val="20"/>
        </w:rPr>
      </w:pPr>
    </w:p>
    <w:p w14:paraId="0F9D3F2D" w14:textId="4053FB51" w:rsidR="0068355A" w:rsidRPr="007C4D65" w:rsidRDefault="008D043F" w:rsidP="0068355A">
      <w:pPr>
        <w:tabs>
          <w:tab w:val="left" w:pos="3648"/>
        </w:tabs>
        <w:spacing w:line="276" w:lineRule="auto"/>
        <w:jc w:val="center"/>
        <w:rPr>
          <w:rFonts w:asciiTheme="minorHAnsi" w:hAnsiTheme="minorHAnsi" w:cstheme="minorHAnsi"/>
          <w:i/>
          <w:iCs/>
          <w:sz w:val="20"/>
          <w:szCs w:val="20"/>
        </w:rPr>
      </w:pPr>
      <w:bookmarkStart w:id="437" w:name="_Toc117445056"/>
      <w:r w:rsidRPr="00423606">
        <w:rPr>
          <w:rFonts w:asciiTheme="minorHAnsi" w:hAnsiTheme="minorHAnsi" w:cstheme="minorHAnsi"/>
          <w:b/>
          <w:bCs/>
          <w:i/>
          <w:iCs/>
          <w:sz w:val="22"/>
          <w:szCs w:val="22"/>
        </w:rPr>
        <w:t>Figure</w:t>
      </w:r>
      <w:r w:rsidRPr="007C4D65">
        <w:rPr>
          <w:rFonts w:asciiTheme="minorHAnsi" w:hAnsiTheme="minorHAnsi" w:cstheme="minorHAnsi"/>
        </w:rPr>
        <w:t xml:space="preserve"> </w:t>
      </w:r>
      <w:r w:rsidR="005D60DA" w:rsidRPr="007C4D65">
        <w:rPr>
          <w:rFonts w:asciiTheme="minorHAnsi" w:hAnsiTheme="minorHAnsi" w:cstheme="minorHAnsi"/>
          <w:b/>
          <w:bCs/>
          <w:i/>
          <w:iCs/>
          <w:sz w:val="20"/>
          <w:szCs w:val="20"/>
          <w:lang w:val="hr-HR"/>
        </w:rPr>
        <w:fldChar w:fldCharType="begin"/>
      </w:r>
      <w:r w:rsidR="005D60DA" w:rsidRPr="007C4D65">
        <w:rPr>
          <w:rFonts w:asciiTheme="minorHAnsi" w:hAnsiTheme="minorHAnsi" w:cstheme="minorHAnsi"/>
          <w:b/>
          <w:bCs/>
          <w:i/>
          <w:iCs/>
          <w:sz w:val="20"/>
          <w:szCs w:val="20"/>
          <w:lang w:val="hr-HR"/>
        </w:rPr>
        <w:instrText xml:space="preserve"> SEQ Slika \* ARABIC </w:instrText>
      </w:r>
      <w:r w:rsidR="005D60DA" w:rsidRPr="007C4D65">
        <w:rPr>
          <w:rFonts w:asciiTheme="minorHAnsi" w:hAnsiTheme="minorHAnsi" w:cstheme="minorHAnsi"/>
          <w:b/>
          <w:bCs/>
          <w:i/>
          <w:iCs/>
          <w:sz w:val="20"/>
          <w:szCs w:val="20"/>
          <w:lang w:val="hr-HR"/>
        </w:rPr>
        <w:fldChar w:fldCharType="separate"/>
      </w:r>
      <w:r w:rsidR="005D60DA" w:rsidRPr="007C4D65">
        <w:rPr>
          <w:rFonts w:asciiTheme="minorHAnsi" w:hAnsiTheme="minorHAnsi" w:cstheme="minorHAnsi"/>
          <w:b/>
          <w:bCs/>
          <w:i/>
          <w:iCs/>
          <w:noProof/>
          <w:sz w:val="20"/>
          <w:szCs w:val="20"/>
          <w:lang w:val="hr-HR"/>
        </w:rPr>
        <w:t>14</w:t>
      </w:r>
      <w:r w:rsidR="005D60DA" w:rsidRPr="007C4D65">
        <w:rPr>
          <w:rFonts w:asciiTheme="minorHAnsi" w:hAnsiTheme="minorHAnsi" w:cstheme="minorHAnsi"/>
          <w:b/>
          <w:bCs/>
          <w:i/>
          <w:iCs/>
          <w:sz w:val="20"/>
          <w:szCs w:val="20"/>
          <w:lang w:val="hr-HR"/>
        </w:rPr>
        <w:fldChar w:fldCharType="end"/>
      </w:r>
      <w:r w:rsidRPr="007C4D65">
        <w:rPr>
          <w:rFonts w:asciiTheme="minorHAnsi" w:hAnsiTheme="minorHAnsi" w:cstheme="minorHAnsi"/>
        </w:rPr>
        <w:t>:</w:t>
      </w:r>
      <w:r w:rsidRPr="007C4D65">
        <w:rPr>
          <w:rFonts w:asciiTheme="minorHAnsi" w:hAnsiTheme="minorHAnsi" w:cstheme="minorHAnsi"/>
          <w:i/>
          <w:sz w:val="20"/>
        </w:rPr>
        <w:t xml:space="preserve"> </w:t>
      </w:r>
      <w:r w:rsidR="00507C6F" w:rsidRPr="007C4D65">
        <w:rPr>
          <w:rFonts w:asciiTheme="minorHAnsi" w:hAnsiTheme="minorHAnsi" w:cstheme="minorHAnsi"/>
          <w:i/>
          <w:sz w:val="20"/>
        </w:rPr>
        <w:t>Structure of funding</w:t>
      </w:r>
      <w:r w:rsidRPr="007C4D65">
        <w:rPr>
          <w:rFonts w:asciiTheme="minorHAnsi" w:hAnsiTheme="minorHAnsi" w:cstheme="minorHAnsi"/>
          <w:i/>
          <w:sz w:val="20"/>
        </w:rPr>
        <w:t xml:space="preserve"> (u %) </w:t>
      </w:r>
      <w:r w:rsidR="00507C6F" w:rsidRPr="007C4D65">
        <w:rPr>
          <w:rFonts w:asciiTheme="minorHAnsi" w:hAnsiTheme="minorHAnsi" w:cstheme="minorHAnsi"/>
          <w:i/>
          <w:sz w:val="20"/>
        </w:rPr>
        <w:t xml:space="preserve">in </w:t>
      </w:r>
      <w:r w:rsidR="00A66041" w:rsidRPr="007C4D65">
        <w:rPr>
          <w:rFonts w:asciiTheme="minorHAnsi" w:hAnsiTheme="minorHAnsi" w:cstheme="minorHAnsi"/>
          <w:i/>
          <w:sz w:val="20"/>
        </w:rPr>
        <w:t>F</w:t>
      </w:r>
      <w:r w:rsidR="00507C6F" w:rsidRPr="007C4D65">
        <w:rPr>
          <w:rFonts w:asciiTheme="minorHAnsi" w:hAnsiTheme="minorHAnsi" w:cstheme="minorHAnsi"/>
          <w:i/>
          <w:sz w:val="20"/>
        </w:rPr>
        <w:t>BiH</w:t>
      </w:r>
      <w:bookmarkEnd w:id="437"/>
    </w:p>
    <w:p w14:paraId="77DEE1DE" w14:textId="461786DA" w:rsidR="0068355A" w:rsidRPr="007C4D65" w:rsidRDefault="0068355A" w:rsidP="0068355A">
      <w:pPr>
        <w:tabs>
          <w:tab w:val="left" w:pos="3648"/>
        </w:tabs>
        <w:spacing w:line="276" w:lineRule="auto"/>
        <w:jc w:val="center"/>
        <w:rPr>
          <w:rFonts w:asciiTheme="minorHAnsi" w:hAnsiTheme="minorHAnsi" w:cstheme="minorHAnsi"/>
        </w:rPr>
        <w:sectPr w:rsidR="0068355A" w:rsidRPr="007C4D65" w:rsidSect="002524A5">
          <w:pgSz w:w="16838" w:h="11906" w:orient="landscape"/>
          <w:pgMar w:top="1440" w:right="1440" w:bottom="1440" w:left="1440" w:header="708" w:footer="708" w:gutter="0"/>
          <w:cols w:space="708"/>
          <w:docGrid w:linePitch="360"/>
        </w:sectPr>
      </w:pPr>
    </w:p>
    <w:bookmarkEnd w:id="436"/>
    <w:p w14:paraId="04B8738F" w14:textId="09E78911" w:rsidR="008B5FE0" w:rsidRPr="00590DCE" w:rsidRDefault="008B5FE0" w:rsidP="00423606">
      <w:pPr>
        <w:pStyle w:val="Caption"/>
        <w:spacing w:line="276" w:lineRule="auto"/>
        <w:rPr>
          <w:rFonts w:asciiTheme="minorHAnsi" w:eastAsiaTheme="minorHAnsi" w:hAnsiTheme="minorHAnsi" w:cstheme="minorHAnsi"/>
        </w:rPr>
        <w:sectPr w:rsidR="008B5FE0" w:rsidRPr="00590DCE" w:rsidSect="002524A5">
          <w:pgSz w:w="11906" w:h="16838"/>
          <w:pgMar w:top="1440" w:right="1440" w:bottom="1440" w:left="1440" w:header="709" w:footer="709" w:gutter="0"/>
          <w:cols w:space="708"/>
          <w:docGrid w:linePitch="360"/>
        </w:sectPr>
      </w:pPr>
    </w:p>
    <w:p w14:paraId="3335E9A0" w14:textId="0605B52F" w:rsidR="00CC447D" w:rsidRPr="00590DCE" w:rsidRDefault="00CC447D" w:rsidP="0068355A">
      <w:pPr>
        <w:spacing w:line="276" w:lineRule="auto"/>
        <w:rPr>
          <w:rFonts w:asciiTheme="minorHAnsi" w:hAnsiTheme="minorHAnsi" w:cstheme="minorHAnsi"/>
        </w:rPr>
      </w:pPr>
    </w:p>
    <w:sectPr w:rsidR="00CC447D" w:rsidRPr="00590DCE" w:rsidSect="00AE2F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52047" w14:textId="77777777" w:rsidR="00A47D3E" w:rsidRDefault="00A47D3E" w:rsidP="00DD586A">
      <w:r>
        <w:separator/>
      </w:r>
    </w:p>
  </w:endnote>
  <w:endnote w:type="continuationSeparator" w:id="0">
    <w:p w14:paraId="147D060E" w14:textId="77777777" w:rsidR="00A47D3E" w:rsidRDefault="00A47D3E" w:rsidP="00DD586A">
      <w:r>
        <w:continuationSeparator/>
      </w:r>
    </w:p>
  </w:endnote>
  <w:endnote w:type="continuationNotice" w:id="1">
    <w:p w14:paraId="7DEF68AA" w14:textId="77777777" w:rsidR="00A47D3E" w:rsidRDefault="00A47D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95451"/>
      <w:docPartObj>
        <w:docPartGallery w:val="Page Numbers (Bottom of Page)"/>
        <w:docPartUnique/>
      </w:docPartObj>
    </w:sdtPr>
    <w:sdtContent>
      <w:p w14:paraId="73480B77" w14:textId="77777777" w:rsidR="00B6017F" w:rsidRDefault="00000000">
        <w:pPr>
          <w:pStyle w:val="Footer"/>
          <w:jc w:val="right"/>
        </w:pPr>
      </w:p>
    </w:sdtContent>
  </w:sdt>
  <w:p w14:paraId="2DECC6F2" w14:textId="77777777" w:rsidR="00B6017F" w:rsidRDefault="00B60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041308"/>
      <w:docPartObj>
        <w:docPartGallery w:val="Page Numbers (Bottom of Page)"/>
        <w:docPartUnique/>
      </w:docPartObj>
    </w:sdtPr>
    <w:sdtEndPr>
      <w:rPr>
        <w:rFonts w:asciiTheme="minorHAnsi" w:hAnsiTheme="minorHAnsi" w:cstheme="minorHAnsi"/>
        <w:noProof/>
        <w:sz w:val="20"/>
        <w:szCs w:val="20"/>
      </w:rPr>
    </w:sdtEndPr>
    <w:sdtContent>
      <w:p w14:paraId="17A20F41" w14:textId="77777777" w:rsidR="00B6017F" w:rsidRPr="00ED0A13" w:rsidRDefault="00B6017F">
        <w:pPr>
          <w:pStyle w:val="Footer"/>
          <w:jc w:val="right"/>
          <w:rPr>
            <w:rFonts w:asciiTheme="minorHAnsi" w:hAnsiTheme="minorHAnsi" w:cstheme="minorHAnsi"/>
            <w:sz w:val="20"/>
            <w:szCs w:val="20"/>
          </w:rPr>
        </w:pPr>
        <w:r w:rsidRPr="00ED0A13">
          <w:rPr>
            <w:rFonts w:asciiTheme="minorHAnsi" w:hAnsiTheme="minorHAnsi" w:cstheme="minorHAnsi"/>
            <w:sz w:val="20"/>
          </w:rPr>
          <w:fldChar w:fldCharType="begin"/>
        </w:r>
        <w:r w:rsidRPr="00ED0A13">
          <w:rPr>
            <w:rFonts w:asciiTheme="minorHAnsi" w:hAnsiTheme="minorHAnsi" w:cstheme="minorHAnsi"/>
            <w:sz w:val="20"/>
          </w:rPr>
          <w:instrText xml:space="preserve"> PAGE   \* MERGEFORMAT </w:instrText>
        </w:r>
        <w:r w:rsidRPr="00ED0A13">
          <w:rPr>
            <w:rFonts w:asciiTheme="minorHAnsi" w:hAnsiTheme="minorHAnsi" w:cstheme="minorHAnsi"/>
            <w:sz w:val="20"/>
          </w:rPr>
          <w:fldChar w:fldCharType="separate"/>
        </w:r>
        <w:r w:rsidR="0002641E">
          <w:rPr>
            <w:rFonts w:asciiTheme="minorHAnsi" w:hAnsiTheme="minorHAnsi" w:cstheme="minorHAnsi"/>
            <w:noProof/>
            <w:sz w:val="20"/>
          </w:rPr>
          <w:t>145</w:t>
        </w:r>
        <w:r w:rsidRPr="00ED0A13">
          <w:rPr>
            <w:rFonts w:asciiTheme="minorHAnsi" w:hAnsiTheme="minorHAnsi" w:cstheme="minorHAnsi"/>
            <w:sz w:val="20"/>
          </w:rPr>
          <w:fldChar w:fldCharType="end"/>
        </w:r>
      </w:p>
    </w:sdtContent>
  </w:sdt>
  <w:p w14:paraId="3F2FE7B0" w14:textId="77777777" w:rsidR="00B6017F" w:rsidRDefault="00B60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55A33" w14:textId="77777777" w:rsidR="00A47D3E" w:rsidRDefault="00A47D3E" w:rsidP="00DD586A">
      <w:r>
        <w:separator/>
      </w:r>
    </w:p>
  </w:footnote>
  <w:footnote w:type="continuationSeparator" w:id="0">
    <w:p w14:paraId="402FEA1D" w14:textId="77777777" w:rsidR="00A47D3E" w:rsidRDefault="00A47D3E" w:rsidP="00DD586A">
      <w:r>
        <w:continuationSeparator/>
      </w:r>
    </w:p>
  </w:footnote>
  <w:footnote w:type="continuationNotice" w:id="1">
    <w:p w14:paraId="59F8EF1B" w14:textId="77777777" w:rsidR="00A47D3E" w:rsidRDefault="00A47D3E"/>
  </w:footnote>
  <w:footnote w:id="2">
    <w:p w14:paraId="7409AC15" w14:textId="77777777" w:rsidR="00B6017F" w:rsidRPr="008D043F" w:rsidRDefault="00B6017F">
      <w:pPr>
        <w:pStyle w:val="FootnoteTex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As applied in the strategies for the other levels of government.</w:t>
      </w:r>
    </w:p>
  </w:footnote>
  <w:footnote w:id="3">
    <w:p w14:paraId="4CCF6569" w14:textId="2693F455" w:rsidR="00B6017F" w:rsidRPr="005976D4" w:rsidRDefault="00B6017F" w:rsidP="008F71EF">
      <w:pPr>
        <w:pStyle w:val="FootnoteText"/>
        <w:rPr>
          <w:rFonts w:asciiTheme="minorHAnsi" w:hAnsiTheme="minorHAnsi" w:cstheme="minorHAnsi"/>
          <w:i/>
          <w:sz w:val="16"/>
          <w:szCs w:val="16"/>
        </w:rPr>
      </w:pPr>
      <w:r w:rsidRPr="005976D4">
        <w:rPr>
          <w:rStyle w:val="FootnoteReference"/>
          <w:rFonts w:asciiTheme="minorHAnsi" w:eastAsiaTheme="majorEastAsia" w:hAnsiTheme="minorHAnsi" w:cstheme="minorHAnsi"/>
          <w:sz w:val="16"/>
          <w:szCs w:val="16"/>
        </w:rPr>
        <w:footnoteRef/>
      </w:r>
      <w:r w:rsidRPr="005976D4">
        <w:rPr>
          <w:rFonts w:asciiTheme="minorHAnsi" w:hAnsiTheme="minorHAnsi" w:cstheme="minorHAnsi"/>
          <w:sz w:val="16"/>
          <w:szCs w:val="16"/>
        </w:rPr>
        <w:t xml:space="preserve"> Data in this Decision </w:t>
      </w:r>
      <w:r>
        <w:rPr>
          <w:rFonts w:asciiTheme="minorHAnsi" w:hAnsiTheme="minorHAnsi" w:cstheme="minorHAnsi"/>
          <w:sz w:val="16"/>
          <w:szCs w:val="16"/>
        </w:rPr>
        <w:t xml:space="preserve">differ from the data presented in the Sava River Basin Water Management Plan in the </w:t>
      </w:r>
      <w:r w:rsidR="0058588C">
        <w:rPr>
          <w:rFonts w:asciiTheme="minorHAnsi" w:hAnsiTheme="minorHAnsi" w:cstheme="minorHAnsi"/>
          <w:sz w:val="16"/>
          <w:szCs w:val="16"/>
        </w:rPr>
        <w:t>Federation of BiH</w:t>
      </w:r>
      <w:r>
        <w:rPr>
          <w:rFonts w:asciiTheme="minorHAnsi" w:hAnsiTheme="minorHAnsi" w:cstheme="minorHAnsi"/>
          <w:sz w:val="16"/>
          <w:szCs w:val="16"/>
        </w:rPr>
        <w:t xml:space="preserve"> 2016-2021, according to which the area covered by the Sava River Basin in the </w:t>
      </w:r>
      <w:r w:rsidR="0058588C">
        <w:rPr>
          <w:rFonts w:asciiTheme="minorHAnsi" w:hAnsiTheme="minorHAnsi" w:cstheme="minorHAnsi"/>
          <w:sz w:val="16"/>
          <w:szCs w:val="16"/>
        </w:rPr>
        <w:t>Federation of BiH</w:t>
      </w:r>
      <w:r>
        <w:rPr>
          <w:rFonts w:asciiTheme="minorHAnsi" w:hAnsiTheme="minorHAnsi" w:cstheme="minorHAnsi"/>
          <w:sz w:val="16"/>
          <w:szCs w:val="16"/>
        </w:rPr>
        <w:t xml:space="preserve"> is 17,315 km</w:t>
      </w:r>
      <w:r>
        <w:rPr>
          <w:rFonts w:asciiTheme="minorHAnsi" w:hAnsiTheme="minorHAnsi" w:cstheme="minorHAnsi"/>
          <w:sz w:val="16"/>
          <w:szCs w:val="16"/>
          <w:vertAlign w:val="superscript"/>
        </w:rPr>
        <w:t>2</w:t>
      </w:r>
      <w:r>
        <w:rPr>
          <w:rFonts w:asciiTheme="minorHAnsi" w:hAnsiTheme="minorHAnsi" w:cstheme="minorHAnsi"/>
          <w:sz w:val="16"/>
          <w:szCs w:val="16"/>
        </w:rPr>
        <w:t xml:space="preserve">. </w:t>
      </w:r>
      <w:r>
        <w:rPr>
          <w:rFonts w:asciiTheme="minorHAnsi" w:hAnsiTheme="minorHAnsi" w:cstheme="minorHAnsi"/>
          <w:i/>
          <w:sz w:val="16"/>
          <w:szCs w:val="16"/>
        </w:rPr>
        <w:t>Data on areas provided in the Plans were calculated with the help of software tools that were able to calculate the “basin area” more accurately.</w:t>
      </w:r>
    </w:p>
  </w:footnote>
  <w:footnote w:id="4">
    <w:p w14:paraId="4B723EBE" w14:textId="0325066A" w:rsidR="00B6017F" w:rsidRPr="005976D4" w:rsidRDefault="00B6017F" w:rsidP="008F71EF">
      <w:pPr>
        <w:pStyle w:val="FootnoteText"/>
        <w:rPr>
          <w:rFonts w:asciiTheme="minorHAnsi" w:hAnsiTheme="minorHAnsi" w:cstheme="minorHAnsi"/>
          <w:sz w:val="16"/>
          <w:szCs w:val="16"/>
        </w:rPr>
      </w:pPr>
      <w:r w:rsidRPr="005976D4">
        <w:rPr>
          <w:rStyle w:val="FootnoteReference"/>
          <w:rFonts w:asciiTheme="minorHAnsi" w:eastAsiaTheme="majorEastAsia" w:hAnsiTheme="minorHAnsi" w:cstheme="minorHAnsi"/>
          <w:sz w:val="16"/>
          <w:szCs w:val="16"/>
        </w:rPr>
        <w:footnoteRef/>
      </w:r>
      <w:r w:rsidRPr="005976D4">
        <w:rPr>
          <w:rFonts w:asciiTheme="minorHAnsi" w:hAnsiTheme="minorHAnsi" w:cstheme="minorHAnsi"/>
          <w:sz w:val="16"/>
          <w:szCs w:val="16"/>
        </w:rPr>
        <w:t xml:space="preserve"> Data in this Decision </w:t>
      </w:r>
      <w:r>
        <w:rPr>
          <w:rFonts w:asciiTheme="minorHAnsi" w:hAnsiTheme="minorHAnsi" w:cstheme="minorHAnsi"/>
          <w:sz w:val="16"/>
          <w:szCs w:val="16"/>
        </w:rPr>
        <w:t xml:space="preserve">differ from the data presented in the Adriatic Sea Watershed Water Management Plan in the </w:t>
      </w:r>
      <w:r w:rsidR="0058588C">
        <w:rPr>
          <w:rFonts w:asciiTheme="minorHAnsi" w:hAnsiTheme="minorHAnsi" w:cstheme="minorHAnsi"/>
          <w:sz w:val="16"/>
          <w:szCs w:val="16"/>
        </w:rPr>
        <w:t>Federation of BiH</w:t>
      </w:r>
      <w:r>
        <w:rPr>
          <w:rFonts w:asciiTheme="minorHAnsi" w:hAnsiTheme="minorHAnsi" w:cstheme="minorHAnsi"/>
          <w:sz w:val="16"/>
          <w:szCs w:val="16"/>
        </w:rPr>
        <w:t xml:space="preserve"> 2016-2021, according to which the area covered by the Adriatic Sea Basin in the </w:t>
      </w:r>
      <w:r w:rsidR="0058588C">
        <w:rPr>
          <w:rFonts w:asciiTheme="minorHAnsi" w:hAnsiTheme="minorHAnsi" w:cstheme="minorHAnsi"/>
          <w:sz w:val="16"/>
          <w:szCs w:val="16"/>
        </w:rPr>
        <w:t>Federation of BiH</w:t>
      </w:r>
      <w:r>
        <w:rPr>
          <w:rFonts w:asciiTheme="minorHAnsi" w:hAnsiTheme="minorHAnsi" w:cstheme="minorHAnsi"/>
          <w:sz w:val="16"/>
          <w:szCs w:val="16"/>
        </w:rPr>
        <w:t xml:space="preserve"> is 8,782 km</w:t>
      </w:r>
      <w:r>
        <w:rPr>
          <w:rFonts w:asciiTheme="minorHAnsi" w:hAnsiTheme="minorHAnsi" w:cstheme="minorHAnsi"/>
          <w:sz w:val="16"/>
          <w:szCs w:val="16"/>
          <w:vertAlign w:val="superscript"/>
        </w:rPr>
        <w:t>2</w:t>
      </w:r>
      <w:r>
        <w:rPr>
          <w:rFonts w:asciiTheme="minorHAnsi" w:hAnsiTheme="minorHAnsi" w:cstheme="minorHAnsi"/>
          <w:sz w:val="16"/>
          <w:szCs w:val="16"/>
        </w:rPr>
        <w:t xml:space="preserve">. </w:t>
      </w:r>
      <w:r>
        <w:rPr>
          <w:rFonts w:asciiTheme="minorHAnsi" w:hAnsiTheme="minorHAnsi" w:cstheme="minorHAnsi"/>
          <w:i/>
          <w:sz w:val="16"/>
          <w:szCs w:val="16"/>
        </w:rPr>
        <w:t>Data on areas provided in the Plans were calculated with the help of software tools that were able to calculate the “basin area” more accurately.</w:t>
      </w:r>
    </w:p>
  </w:footnote>
  <w:footnote w:id="5">
    <w:p w14:paraId="78DDD171" w14:textId="025179B9" w:rsidR="00B6017F" w:rsidRPr="005976D4" w:rsidRDefault="00B6017F" w:rsidP="008F71EF">
      <w:pPr>
        <w:pStyle w:val="FootnoteText"/>
        <w:tabs>
          <w:tab w:val="left" w:pos="7313"/>
        </w:tabs>
        <w:rPr>
          <w:rFonts w:asciiTheme="minorHAnsi" w:hAnsiTheme="minorHAnsi" w:cstheme="minorHAnsi"/>
          <w:sz w:val="16"/>
          <w:szCs w:val="16"/>
        </w:rPr>
      </w:pPr>
      <w:r w:rsidRPr="005976D4">
        <w:rPr>
          <w:rStyle w:val="FootnoteReference"/>
          <w:rFonts w:asciiTheme="minorHAnsi" w:eastAsiaTheme="majorEastAsia" w:hAnsiTheme="minorHAnsi" w:cstheme="minorHAnsi"/>
          <w:sz w:val="16"/>
          <w:szCs w:val="16"/>
        </w:rPr>
        <w:footnoteRef/>
      </w:r>
      <w:r w:rsidRPr="005976D4">
        <w:rPr>
          <w:rFonts w:asciiTheme="minorHAnsi" w:hAnsiTheme="minorHAnsi" w:cstheme="minorHAnsi"/>
          <w:sz w:val="16"/>
          <w:szCs w:val="16"/>
        </w:rPr>
        <w:t xml:space="preserve"> </w:t>
      </w:r>
      <w:r>
        <w:rPr>
          <w:rFonts w:asciiTheme="minorHAnsi" w:hAnsiTheme="minorHAnsi" w:cstheme="minorHAnsi"/>
          <w:sz w:val="16"/>
          <w:szCs w:val="16"/>
        </w:rPr>
        <w:t xml:space="preserve">Waters bodies that appear/are formed in the Federation </w:t>
      </w:r>
    </w:p>
  </w:footnote>
  <w:footnote w:id="6">
    <w:p w14:paraId="70B8D4C2" w14:textId="109392C0" w:rsidR="00B6017F" w:rsidRPr="005976D4" w:rsidRDefault="00B6017F" w:rsidP="008F71EF">
      <w:pPr>
        <w:pStyle w:val="FootnoteText"/>
        <w:rPr>
          <w:rFonts w:asciiTheme="minorHAnsi" w:hAnsiTheme="minorHAnsi" w:cstheme="minorHAnsi"/>
          <w:sz w:val="16"/>
          <w:szCs w:val="16"/>
        </w:rPr>
      </w:pPr>
      <w:r w:rsidRPr="005976D4">
        <w:rPr>
          <w:rStyle w:val="FootnoteReference"/>
          <w:rFonts w:asciiTheme="minorHAnsi" w:eastAsiaTheme="majorEastAsia" w:hAnsiTheme="minorHAnsi" w:cstheme="minorHAnsi"/>
          <w:sz w:val="16"/>
          <w:szCs w:val="16"/>
        </w:rPr>
        <w:footnoteRef/>
      </w:r>
      <w:r w:rsidRPr="005976D4">
        <w:rPr>
          <w:rFonts w:asciiTheme="minorHAnsi" w:hAnsiTheme="minorHAnsi" w:cstheme="minorHAnsi"/>
          <w:sz w:val="16"/>
          <w:szCs w:val="16"/>
        </w:rPr>
        <w:t xml:space="preserve"> </w:t>
      </w:r>
      <w:r w:rsidRPr="005976D4">
        <w:rPr>
          <w:rFonts w:asciiTheme="minorHAnsi" w:hAnsiTheme="minorHAnsi" w:cstheme="minorHAnsi"/>
          <w:sz w:val="16"/>
          <w:szCs w:val="16"/>
        </w:rPr>
        <w:fldChar w:fldCharType="begin"/>
      </w:r>
      <w:r w:rsidRPr="005976D4">
        <w:rPr>
          <w:rFonts w:asciiTheme="minorHAnsi" w:hAnsiTheme="minorHAnsi" w:cstheme="minorHAnsi"/>
          <w:sz w:val="16"/>
          <w:szCs w:val="16"/>
        </w:rPr>
        <w:instrText xml:space="preserve"> ADDIN ZOTERO_ITEM CSL_CITATION {"citationID":"a9ZvCb9a","properties":{"formattedCitation":"(Studija hidromorfolo\\uc0\\u353{}kih pritisaka i procjena njihovih utjecaja za vodotoke preko 10 km2 povr\\uc0\\u353{}ine sliva na vodnom podru\\uc0\\u269{}ju rijeke Save u Federaciji BiH 2019)","plainCitation":"(Studija hidromorfoloških pritisaka i procjena njihovih utjecaja za vodotoke preko 10 km2 površine sliva na vodnom području rijeke Save u Federaciji BiH 2019)","noteIndex":5},"citationItems":[{"id":1322,"uris":["http://zotero.org/users/7192877/items/GGC42F8B"],"itemData":{"id":1322,"type":"document","publisher":"Agencija za vodno područje rijeke Save","title":"Studija hidromorfoloških pritisaka i procjena njihovih utjecaja za vodotoke preko 10 km2 površine sliva na vodnom području rijeke Save u Federaciji BiH","URL":"https://www.voda.ba/uploads/docs/STUDIJA-HIDROMORFOLOSKIH-PRITISAKA.pdf","author":[{"family":"Studija hidromorfoloških pritisaka i procjena njihovih utjecaja za vodotoke preko 10 km2 površine sliva na vodnom području rijeke Save u Federaciji BiH","given":""}],"issued":{"date-parts":[["2019"]]}}}],"schema":"https://github.com/citation-style-language/schema/raw/master/csl-citation.json"} </w:instrText>
      </w:r>
      <w:r w:rsidRPr="005976D4">
        <w:rPr>
          <w:rFonts w:asciiTheme="minorHAnsi" w:hAnsiTheme="minorHAnsi" w:cstheme="minorHAnsi"/>
          <w:sz w:val="16"/>
          <w:szCs w:val="16"/>
        </w:rPr>
        <w:fldChar w:fldCharType="separate"/>
      </w:r>
      <w:r w:rsidRPr="005976D4">
        <w:rPr>
          <w:rFonts w:ascii="Calibri" w:hAnsi="Calibri" w:cs="Calibri"/>
          <w:sz w:val="16"/>
          <w:szCs w:val="16"/>
        </w:rPr>
        <w:t>(Stu</w:t>
      </w:r>
      <w:r>
        <w:rPr>
          <w:rFonts w:ascii="Calibri" w:hAnsi="Calibri" w:cs="Calibri"/>
          <w:sz w:val="16"/>
          <w:szCs w:val="16"/>
        </w:rPr>
        <w:t xml:space="preserve">dy of hydro-morphological pressure and evaluation of its influence for water courses with more than 10 km2 of watershed area in the Sava River Basin in the </w:t>
      </w:r>
      <w:r w:rsidR="0058588C">
        <w:rPr>
          <w:rFonts w:ascii="Calibri" w:hAnsi="Calibri" w:cs="Calibri"/>
          <w:sz w:val="16"/>
          <w:szCs w:val="16"/>
        </w:rPr>
        <w:t>Federation of BiH</w:t>
      </w:r>
      <w:r w:rsidRPr="005976D4">
        <w:rPr>
          <w:rFonts w:ascii="Calibri" w:hAnsi="Calibri" w:cs="Calibri"/>
          <w:sz w:val="16"/>
          <w:szCs w:val="16"/>
        </w:rPr>
        <w:t xml:space="preserve"> 2019)</w:t>
      </w:r>
      <w:r w:rsidRPr="005976D4">
        <w:rPr>
          <w:rFonts w:asciiTheme="minorHAnsi" w:hAnsiTheme="minorHAnsi" w:cstheme="minorHAnsi"/>
          <w:sz w:val="16"/>
          <w:szCs w:val="16"/>
        </w:rPr>
        <w:fldChar w:fldCharType="end"/>
      </w:r>
      <w:r w:rsidRPr="005976D4">
        <w:rPr>
          <w:rFonts w:asciiTheme="minorHAnsi" w:hAnsiTheme="minorHAnsi" w:cstheme="minorHAnsi"/>
          <w:sz w:val="16"/>
          <w:szCs w:val="16"/>
        </w:rPr>
        <w:t xml:space="preserve">; </w:t>
      </w:r>
      <w:r w:rsidRPr="005976D4">
        <w:rPr>
          <w:rFonts w:asciiTheme="minorHAnsi" w:hAnsiTheme="minorHAnsi" w:cstheme="minorHAnsi"/>
          <w:sz w:val="16"/>
          <w:szCs w:val="16"/>
        </w:rPr>
        <w:fldChar w:fldCharType="begin"/>
      </w:r>
      <w:r w:rsidRPr="005976D4">
        <w:rPr>
          <w:rFonts w:asciiTheme="minorHAnsi" w:hAnsiTheme="minorHAnsi" w:cstheme="minorHAnsi"/>
          <w:sz w:val="16"/>
          <w:szCs w:val="16"/>
        </w:rPr>
        <w:instrText xml:space="preserve"> ADDIN ZOTERO_ITEM CSL_CITATION {"citationID":"PP3zwxht","properties":{"formattedCitation":"(Studija pobolj\\uc0\\u353{}anja hidromorfolo\\uc0\\u353{}kih karakteristika vodotoka preko 10 km povr\\uc0\\u353{}ine sliva na vodnom podru\\uc0\\u269{}ju rijeke Save u Federaciji BiH 2019)","plainCitation":"(Studija poboljšanja hidromorfoloških karakteristika vodotoka preko 10 km površine sliva na vodnom području rijeke Save u Federaciji BiH 2019)","noteIndex":5},"citationItems":[{"id":1323,"uris":["http://zotero.org/users/7192877/items/NA93T4YA"],"itemData":{"id":1323,"type":"document","publisher":"Agencija za vodno područje rijeke Save","title":"Studija poboljšanja hidromorfoloških karakteristika vodotoka preko 10 km površine sliva na vodnom području rijeke Save u Federaciji BiH","URL":"https://www.voda.ba/uploads/docs/Studija_poboljsanja_hidromorfoloskih_karakteristika.pdf","author":[{"family":"Studija poboljšanja hidromorfoloških karakteristika vodotoka preko 10 km površine sliva na vodnom području rijeke Save u Federaciji BiH","given":""}],"issued":{"date-parts":[["2019"]]}}}],"schema":"https://github.com/citation-style-language/schema/raw/master/csl-citation.json"} </w:instrText>
      </w:r>
      <w:r w:rsidRPr="005976D4">
        <w:rPr>
          <w:rFonts w:asciiTheme="minorHAnsi" w:hAnsiTheme="minorHAnsi" w:cstheme="minorHAnsi"/>
          <w:sz w:val="16"/>
          <w:szCs w:val="16"/>
        </w:rPr>
        <w:fldChar w:fldCharType="separate"/>
      </w:r>
      <w:r w:rsidRPr="005976D4">
        <w:rPr>
          <w:rFonts w:ascii="Calibri" w:hAnsi="Calibri" w:cs="Calibri"/>
          <w:sz w:val="16"/>
          <w:szCs w:val="16"/>
        </w:rPr>
        <w:t>(Stud</w:t>
      </w:r>
      <w:r>
        <w:rPr>
          <w:rFonts w:ascii="Calibri" w:hAnsi="Calibri" w:cs="Calibri"/>
          <w:sz w:val="16"/>
          <w:szCs w:val="16"/>
        </w:rPr>
        <w:t xml:space="preserve">y of improvements of hydro-morphological characteristics of water courses with more than 10 km2 watershed area in the Sava River Basin in the </w:t>
      </w:r>
      <w:r w:rsidR="0058588C">
        <w:rPr>
          <w:rFonts w:ascii="Calibri" w:hAnsi="Calibri" w:cs="Calibri"/>
          <w:sz w:val="16"/>
          <w:szCs w:val="16"/>
        </w:rPr>
        <w:t>Federation of BiH</w:t>
      </w:r>
      <w:r w:rsidRPr="005976D4">
        <w:rPr>
          <w:rFonts w:ascii="Calibri" w:hAnsi="Calibri" w:cs="Calibri"/>
          <w:sz w:val="16"/>
          <w:szCs w:val="16"/>
        </w:rPr>
        <w:t xml:space="preserve"> 2019)</w:t>
      </w:r>
      <w:r w:rsidRPr="005976D4">
        <w:rPr>
          <w:rFonts w:asciiTheme="minorHAnsi" w:hAnsiTheme="minorHAnsi" w:cstheme="minorHAnsi"/>
          <w:sz w:val="16"/>
          <w:szCs w:val="16"/>
        </w:rPr>
        <w:fldChar w:fldCharType="end"/>
      </w:r>
      <w:r w:rsidRPr="005976D4">
        <w:rPr>
          <w:rFonts w:asciiTheme="minorHAnsi" w:hAnsiTheme="minorHAnsi" w:cstheme="minorHAnsi"/>
          <w:sz w:val="16"/>
          <w:szCs w:val="16"/>
        </w:rPr>
        <w:t xml:space="preserve">; </w:t>
      </w:r>
      <w:r w:rsidRPr="005976D4">
        <w:rPr>
          <w:rFonts w:asciiTheme="minorHAnsi" w:hAnsiTheme="minorHAnsi" w:cstheme="minorHAnsi"/>
          <w:sz w:val="16"/>
          <w:szCs w:val="16"/>
        </w:rPr>
        <w:fldChar w:fldCharType="begin"/>
      </w:r>
      <w:r w:rsidRPr="005976D4">
        <w:rPr>
          <w:rFonts w:asciiTheme="minorHAnsi" w:hAnsiTheme="minorHAnsi" w:cstheme="minorHAnsi"/>
          <w:sz w:val="16"/>
          <w:szCs w:val="16"/>
        </w:rPr>
        <w:instrText xml:space="preserve"> ADDIN ZOTERO_ITEM CSL_CITATION {"citationID":"oAcMDDnN","properties":{"formattedCitation":"(Studija pobolj\\uc0\\u353{}anja re\\uc0\\u382{}ima protoka i uspostavljanja ekolo\\uc0\\u353{}ki prihvatljivog proticaja  na vodotocima preko 10 km povr\\uc0\\u353{}ine sliva na vodnom podru\\uc0\\u269{}ju rijeke Save u Federaciji BiH 2019)","plainCitation":"(Studija poboljšanja režima protoka i uspostavljanja ekološki prihvatljivog proticaja  na vodotocima preko 10 km površine sliva na vodnom području rijeke Save u Federaciji BiH 2019)","noteIndex":5},"citationItems":[{"id":1324,"uris":["http://zotero.org/users/7192877/items/W28F8H6Z"],"itemData":{"id":1324,"type":"document","publisher":"Agencija za vodno područje rijeke Save","title":"Studija poboljšanja režima protoka i uspostavljanja ekološki prihvatljivog proticaja  na vodotocima preko 10 km površine sliva na vodnom području rijeke Save u Federaciji BiH","URL":"https://www.voda.ba/uploads/docs/Studija20poboljsanja-rezima-protoka-i-EPP.pdf","author":[{"family":"Studija poboljšanja režima protoka i uspostavljanja ekološki prihvatljivog proticaja  na vodotocima preko 10 km površine sliva na vodnom području rijeke Save u Federaciji BiH","given":""}],"issued":{"date-parts":[["2019"]]}}}],"schema":"https://github.com/citation-style-language/schema/raw/master/csl-citation.json"} </w:instrText>
      </w:r>
      <w:r w:rsidRPr="005976D4">
        <w:rPr>
          <w:rFonts w:asciiTheme="minorHAnsi" w:hAnsiTheme="minorHAnsi" w:cstheme="minorHAnsi"/>
          <w:sz w:val="16"/>
          <w:szCs w:val="16"/>
        </w:rPr>
        <w:fldChar w:fldCharType="separate"/>
      </w:r>
      <w:r w:rsidRPr="005976D4">
        <w:rPr>
          <w:rFonts w:ascii="Calibri" w:hAnsi="Calibri" w:cs="Calibri"/>
          <w:sz w:val="16"/>
          <w:szCs w:val="16"/>
        </w:rPr>
        <w:t>(St</w:t>
      </w:r>
      <w:r>
        <w:rPr>
          <w:rFonts w:ascii="Calibri" w:hAnsi="Calibri" w:cs="Calibri"/>
          <w:sz w:val="16"/>
          <w:szCs w:val="16"/>
        </w:rPr>
        <w:t xml:space="preserve">udy of improvement of flow regime and establishment of ecologically acceptable flow on water courses with more than 10 km2 watershed area in the Sava River Basin in the </w:t>
      </w:r>
      <w:r w:rsidR="0058588C">
        <w:rPr>
          <w:rFonts w:ascii="Calibri" w:hAnsi="Calibri" w:cs="Calibri"/>
          <w:sz w:val="16"/>
          <w:szCs w:val="16"/>
        </w:rPr>
        <w:t>Federation of BiH</w:t>
      </w:r>
      <w:r w:rsidRPr="005976D4">
        <w:rPr>
          <w:rFonts w:ascii="Calibri" w:hAnsi="Calibri" w:cs="Calibri"/>
          <w:sz w:val="16"/>
          <w:szCs w:val="16"/>
        </w:rPr>
        <w:t xml:space="preserve"> 2019)</w:t>
      </w:r>
      <w:r w:rsidRPr="005976D4">
        <w:rPr>
          <w:rFonts w:asciiTheme="minorHAnsi" w:hAnsiTheme="minorHAnsi" w:cstheme="minorHAnsi"/>
          <w:sz w:val="16"/>
          <w:szCs w:val="16"/>
        </w:rPr>
        <w:fldChar w:fldCharType="end"/>
      </w:r>
    </w:p>
  </w:footnote>
  <w:footnote w:id="7">
    <w:p w14:paraId="7DC7084A" w14:textId="77777777" w:rsidR="00B6017F" w:rsidRPr="005976D4" w:rsidRDefault="00B6017F" w:rsidP="008F71EF">
      <w:pPr>
        <w:pStyle w:val="FootnoteText"/>
        <w:rPr>
          <w:rFonts w:asciiTheme="minorHAnsi" w:hAnsiTheme="minorHAnsi" w:cstheme="minorHAnsi"/>
          <w:sz w:val="16"/>
          <w:szCs w:val="16"/>
        </w:rPr>
      </w:pPr>
      <w:r w:rsidRPr="005976D4">
        <w:rPr>
          <w:rStyle w:val="FootnoteReference"/>
          <w:rFonts w:asciiTheme="minorHAnsi" w:eastAsiaTheme="majorEastAsia" w:hAnsiTheme="minorHAnsi" w:cstheme="minorHAnsi"/>
          <w:sz w:val="16"/>
          <w:szCs w:val="16"/>
        </w:rPr>
        <w:footnoteRef/>
      </w:r>
      <w:r>
        <w:rPr>
          <w:rFonts w:asciiTheme="minorHAnsi" w:hAnsiTheme="minorHAnsi" w:cstheme="minorHAnsi"/>
          <w:sz w:val="16"/>
          <w:szCs w:val="16"/>
        </w:rPr>
        <w:t xml:space="preserve"> Annex</w:t>
      </w:r>
      <w:r w:rsidRPr="005976D4">
        <w:rPr>
          <w:rFonts w:asciiTheme="minorHAnsi" w:hAnsiTheme="minorHAnsi" w:cstheme="minorHAnsi"/>
          <w:sz w:val="16"/>
          <w:szCs w:val="16"/>
        </w:rPr>
        <w:t xml:space="preserve"> IV </w:t>
      </w:r>
      <w:r>
        <w:rPr>
          <w:rFonts w:asciiTheme="minorHAnsi" w:hAnsiTheme="minorHAnsi" w:cstheme="minorHAnsi"/>
          <w:sz w:val="16"/>
          <w:szCs w:val="16"/>
        </w:rPr>
        <w:t>to the Management Plans – Evaluation of Hydro-Morphological Status</w:t>
      </w:r>
    </w:p>
  </w:footnote>
  <w:footnote w:id="8">
    <w:p w14:paraId="5795FBCA" w14:textId="77777777" w:rsidR="00B6017F" w:rsidRPr="005976D4" w:rsidRDefault="00B6017F" w:rsidP="008F71EF">
      <w:pPr>
        <w:pStyle w:val="FootnoteText"/>
        <w:rPr>
          <w:rFonts w:asciiTheme="minorHAnsi" w:hAnsiTheme="minorHAnsi"/>
          <w:sz w:val="16"/>
          <w:szCs w:val="16"/>
        </w:rPr>
      </w:pPr>
      <w:r w:rsidRPr="005976D4">
        <w:rPr>
          <w:rStyle w:val="FootnoteReference"/>
          <w:rFonts w:asciiTheme="minorHAnsi" w:eastAsiaTheme="majorEastAsia" w:hAnsiTheme="minorHAnsi"/>
          <w:sz w:val="16"/>
          <w:szCs w:val="16"/>
        </w:rPr>
        <w:footnoteRef/>
      </w:r>
      <w:r w:rsidRPr="005976D4">
        <w:rPr>
          <w:rFonts w:asciiTheme="minorHAnsi" w:hAnsiTheme="minorHAnsi"/>
          <w:sz w:val="16"/>
          <w:szCs w:val="16"/>
        </w:rPr>
        <w:t xml:space="preserve"> </w:t>
      </w:r>
      <w:r w:rsidRPr="005976D4">
        <w:rPr>
          <w:rFonts w:asciiTheme="minorHAnsi" w:hAnsiTheme="minorHAnsi"/>
          <w:sz w:val="16"/>
          <w:szCs w:val="16"/>
        </w:rPr>
        <w:fldChar w:fldCharType="begin"/>
      </w:r>
      <w:r w:rsidRPr="005976D4">
        <w:rPr>
          <w:rFonts w:asciiTheme="minorHAnsi" w:hAnsiTheme="minorHAnsi"/>
          <w:sz w:val="16"/>
          <w:szCs w:val="16"/>
        </w:rPr>
        <w:instrText xml:space="preserve"> ADDIN ZOTERO_ITEM CSL_CITATION {"citationID":"XVxfL7Jl","properties":{"formattedCitation":"(Agencija za vodno podru\\uc0\\u269{}je rijeke Save 2021)","plainCitation":"(Agencija za vodno područje rijeke Save 2021)","noteIndex":6},"citationItems":[{"id":1318,"uris":["http://zotero.org/users/7192877/items/R3BGBRH9"],"itemData":{"id":1318,"type":"document","title":"Nacrt Plana upravljanja vodama za vodno područje rijeke Save u Federaciji BiH 2022-2027","URL":"https://www.voda.ba/plan-upravljanja-2022-2027","author":[{"family":"Agencija za vodno područje rijeke Save","given":""}],"issued":{"date-parts":[["2021"]]}}}],"schema":"https://github.com/citation-style-language/schema/raw/master/csl-citation.json"} </w:instrText>
      </w:r>
      <w:r w:rsidRPr="005976D4">
        <w:rPr>
          <w:rFonts w:asciiTheme="minorHAnsi" w:hAnsiTheme="minorHAnsi"/>
          <w:sz w:val="16"/>
          <w:szCs w:val="16"/>
        </w:rPr>
        <w:fldChar w:fldCharType="separate"/>
      </w:r>
      <w:r w:rsidRPr="005976D4">
        <w:rPr>
          <w:rFonts w:ascii="Calibri" w:hAnsi="Calibri" w:cs="Calibri"/>
          <w:sz w:val="16"/>
          <w:szCs w:val="16"/>
        </w:rPr>
        <w:t>(</w:t>
      </w:r>
      <w:r>
        <w:rPr>
          <w:rFonts w:ascii="Calibri" w:hAnsi="Calibri" w:cs="Calibri"/>
          <w:sz w:val="16"/>
          <w:szCs w:val="16"/>
        </w:rPr>
        <w:t>Sava River Basin Agency</w:t>
      </w:r>
      <w:r w:rsidRPr="005976D4">
        <w:rPr>
          <w:rFonts w:ascii="Calibri" w:hAnsi="Calibri" w:cs="Calibri"/>
          <w:sz w:val="16"/>
          <w:szCs w:val="16"/>
        </w:rPr>
        <w:t xml:space="preserve"> 2021)</w:t>
      </w:r>
      <w:r w:rsidRPr="005976D4">
        <w:rPr>
          <w:rFonts w:asciiTheme="minorHAnsi" w:hAnsiTheme="minorHAnsi"/>
          <w:sz w:val="16"/>
          <w:szCs w:val="16"/>
        </w:rPr>
        <w:fldChar w:fldCharType="end"/>
      </w:r>
      <w:r w:rsidRPr="005976D4">
        <w:rPr>
          <w:rFonts w:asciiTheme="minorHAnsi" w:hAnsiTheme="minorHAnsi"/>
          <w:sz w:val="16"/>
          <w:szCs w:val="16"/>
        </w:rPr>
        <w:t xml:space="preserve">; </w:t>
      </w:r>
      <w:r w:rsidRPr="005976D4">
        <w:rPr>
          <w:rFonts w:asciiTheme="minorHAnsi" w:hAnsiTheme="minorHAnsi"/>
          <w:sz w:val="16"/>
          <w:szCs w:val="16"/>
        </w:rPr>
        <w:fldChar w:fldCharType="begin"/>
      </w:r>
      <w:r w:rsidRPr="005976D4">
        <w:rPr>
          <w:rFonts w:asciiTheme="minorHAnsi" w:hAnsiTheme="minorHAnsi"/>
          <w:sz w:val="16"/>
          <w:szCs w:val="16"/>
        </w:rPr>
        <w:instrText xml:space="preserve"> ADDIN ZOTERO_ITEM CSL_CITATION {"citationID":"1bd8ICsZ","properties":{"formattedCitation":"(Agencija za vodno podru\\uc0\\u269{}je Jadranskog mora 2021)","plainCitation":"(Agencija za vodno područje Jadranskog mora 2021)","noteIndex":6},"citationItems":[{"id":1319,"uris":["http://zotero.org/users/7192877/items/CZ8Q4JJE"],"itemData":{"id":1319,"type":"document","title":"Plan upravljanja vodama za vodno područje Jadranskog mora u Federaciji BiH (2022. - 2027.)","URL":"https://avpjm.jadran.ba/uploads/Plan%20upravljanja%20vodama%20VPJM%20%202022-2027_FINALNI%20NACRT.pdf","author":[{"family":"Agencija za vodno područje Jadranskog mora","given":""}],"issued":{"date-parts":[["2021"]]}}}],"schema":"https://github.com/citation-style-language/schema/raw/master/csl-citation.json"} </w:instrText>
      </w:r>
      <w:r w:rsidRPr="005976D4">
        <w:rPr>
          <w:rFonts w:asciiTheme="minorHAnsi" w:hAnsiTheme="minorHAnsi"/>
          <w:sz w:val="16"/>
          <w:szCs w:val="16"/>
        </w:rPr>
        <w:fldChar w:fldCharType="separate"/>
      </w:r>
      <w:r w:rsidRPr="005976D4">
        <w:rPr>
          <w:rFonts w:ascii="Calibri" w:hAnsi="Calibri" w:cs="Calibri"/>
          <w:sz w:val="16"/>
          <w:szCs w:val="24"/>
        </w:rPr>
        <w:t>(</w:t>
      </w:r>
      <w:r>
        <w:rPr>
          <w:rFonts w:ascii="Calibri" w:hAnsi="Calibri" w:cs="Calibri"/>
          <w:sz w:val="16"/>
          <w:szCs w:val="24"/>
        </w:rPr>
        <w:t>Adriatic Sea Watershed Agency</w:t>
      </w:r>
      <w:r w:rsidRPr="005976D4">
        <w:rPr>
          <w:rFonts w:ascii="Calibri" w:hAnsi="Calibri" w:cs="Calibri"/>
          <w:sz w:val="16"/>
          <w:szCs w:val="24"/>
        </w:rPr>
        <w:t xml:space="preserve"> 2021)</w:t>
      </w:r>
      <w:r w:rsidRPr="005976D4">
        <w:rPr>
          <w:rFonts w:asciiTheme="minorHAnsi" w:hAnsiTheme="minorHAnsi"/>
          <w:sz w:val="16"/>
          <w:szCs w:val="16"/>
        </w:rPr>
        <w:fldChar w:fldCharType="end"/>
      </w:r>
    </w:p>
  </w:footnote>
  <w:footnote w:id="9">
    <w:p w14:paraId="2FE9466E" w14:textId="231D6200" w:rsidR="00B6017F" w:rsidRPr="005976D4" w:rsidRDefault="00B6017F" w:rsidP="008F71EF">
      <w:pPr>
        <w:pStyle w:val="FootnoteText"/>
        <w:rPr>
          <w:rFonts w:asciiTheme="minorHAnsi" w:hAnsiTheme="minorHAnsi" w:cstheme="minorHAnsi"/>
          <w:color w:val="FF0000"/>
          <w:sz w:val="16"/>
          <w:szCs w:val="16"/>
        </w:rPr>
      </w:pPr>
      <w:r w:rsidRPr="005976D4">
        <w:rPr>
          <w:rStyle w:val="FootnoteReference"/>
          <w:rFonts w:asciiTheme="minorHAnsi" w:eastAsiaTheme="majorEastAsia" w:hAnsiTheme="minorHAnsi" w:cstheme="minorHAnsi"/>
          <w:sz w:val="16"/>
          <w:szCs w:val="16"/>
        </w:rPr>
        <w:footnoteRef/>
      </w:r>
      <w:r>
        <w:rPr>
          <w:rFonts w:asciiTheme="minorHAnsi" w:hAnsiTheme="minorHAnsi" w:cstheme="minorHAnsi"/>
          <w:sz w:val="16"/>
          <w:szCs w:val="16"/>
        </w:rPr>
        <w:t xml:space="preserve"> Report of </w:t>
      </w:r>
      <w:r w:rsidR="00830279">
        <w:rPr>
          <w:rFonts w:asciiTheme="minorHAnsi" w:hAnsiTheme="minorHAnsi" w:cstheme="minorHAnsi"/>
          <w:sz w:val="16"/>
          <w:szCs w:val="16"/>
        </w:rPr>
        <w:t>FMAWMF</w:t>
      </w:r>
      <w:r>
        <w:rPr>
          <w:rFonts w:asciiTheme="minorHAnsi" w:hAnsiTheme="minorHAnsi" w:cstheme="minorHAnsi"/>
          <w:sz w:val="16"/>
          <w:szCs w:val="16"/>
        </w:rPr>
        <w:t xml:space="preserve"> on implementation of the GEF Project “Water Quality Protection” – WWTP </w:t>
      </w:r>
      <w:r w:rsidR="00830279">
        <w:rPr>
          <w:rFonts w:asciiTheme="minorHAnsi" w:hAnsiTheme="minorHAnsi" w:cstheme="minorHAnsi"/>
          <w:sz w:val="16"/>
          <w:szCs w:val="16"/>
        </w:rPr>
        <w:t>Z</w:t>
      </w:r>
      <w:r>
        <w:rPr>
          <w:rFonts w:asciiTheme="minorHAnsi" w:hAnsiTheme="minorHAnsi" w:cstheme="minorHAnsi"/>
          <w:sz w:val="16"/>
          <w:szCs w:val="16"/>
        </w:rPr>
        <w:t>ivinice, adopted by F</w:t>
      </w:r>
      <w:r w:rsidR="00830279">
        <w:rPr>
          <w:rFonts w:asciiTheme="minorHAnsi" w:hAnsiTheme="minorHAnsi" w:cstheme="minorHAnsi"/>
          <w:sz w:val="16"/>
          <w:szCs w:val="16"/>
        </w:rPr>
        <w:t>ederation</w:t>
      </w:r>
      <w:r>
        <w:rPr>
          <w:rFonts w:asciiTheme="minorHAnsi" w:hAnsiTheme="minorHAnsi" w:cstheme="minorHAnsi"/>
          <w:sz w:val="16"/>
          <w:szCs w:val="16"/>
        </w:rPr>
        <w:t xml:space="preserve"> Government Conclusion number: 704/2018 of</w:t>
      </w:r>
      <w:r w:rsidRPr="005976D4">
        <w:rPr>
          <w:rFonts w:asciiTheme="minorHAnsi" w:hAnsiTheme="minorHAnsi" w:cstheme="minorHAnsi"/>
          <w:sz w:val="16"/>
          <w:szCs w:val="16"/>
        </w:rPr>
        <w:t xml:space="preserve"> 24</w:t>
      </w:r>
      <w:r>
        <w:rPr>
          <w:rFonts w:asciiTheme="minorHAnsi" w:hAnsiTheme="minorHAnsi" w:cstheme="minorHAnsi"/>
          <w:sz w:val="16"/>
          <w:szCs w:val="16"/>
        </w:rPr>
        <w:t xml:space="preserve"> May </w:t>
      </w:r>
      <w:r w:rsidRPr="005976D4">
        <w:rPr>
          <w:rFonts w:asciiTheme="minorHAnsi" w:hAnsiTheme="minorHAnsi" w:cstheme="minorHAnsi"/>
          <w:sz w:val="16"/>
          <w:szCs w:val="16"/>
        </w:rPr>
        <w:t>2018.</w:t>
      </w:r>
    </w:p>
  </w:footnote>
  <w:footnote w:id="10">
    <w:p w14:paraId="233FBFD5" w14:textId="77777777" w:rsidR="00B6017F" w:rsidRPr="005976D4" w:rsidRDefault="00B6017F" w:rsidP="008F71EF">
      <w:pPr>
        <w:pStyle w:val="FootnoteText"/>
        <w:rPr>
          <w:rFonts w:asciiTheme="minorHAnsi" w:hAnsiTheme="minorHAnsi" w:cstheme="minorHAnsi"/>
          <w:sz w:val="16"/>
          <w:szCs w:val="16"/>
        </w:rPr>
      </w:pPr>
      <w:r w:rsidRPr="005976D4">
        <w:rPr>
          <w:rStyle w:val="FootnoteReference"/>
          <w:rFonts w:asciiTheme="minorHAnsi" w:eastAsiaTheme="majorEastAsia" w:hAnsiTheme="minorHAnsi" w:cstheme="minorHAnsi"/>
          <w:sz w:val="16"/>
          <w:szCs w:val="16"/>
        </w:rPr>
        <w:footnoteRef/>
      </w:r>
      <w:r w:rsidRPr="005976D4">
        <w:rPr>
          <w:rFonts w:asciiTheme="minorHAnsi" w:hAnsiTheme="minorHAnsi" w:cstheme="minorHAnsi"/>
          <w:sz w:val="16"/>
          <w:szCs w:val="16"/>
        </w:rPr>
        <w:t xml:space="preserve"> Monitoring transposition and implementation of the EU environmental acquis”, Bosnia and Herzegovina; EPPA; ECRAN; 2022.</w:t>
      </w:r>
    </w:p>
  </w:footnote>
  <w:footnote w:id="11">
    <w:p w14:paraId="5FAF07FF" w14:textId="77777777" w:rsidR="00B6017F" w:rsidRPr="005976D4" w:rsidRDefault="00B6017F" w:rsidP="008F71EF">
      <w:pPr>
        <w:pStyle w:val="FootnoteText"/>
        <w:rPr>
          <w:rFonts w:asciiTheme="minorHAnsi" w:hAnsiTheme="minorHAnsi" w:cstheme="minorHAnsi"/>
          <w:sz w:val="16"/>
          <w:szCs w:val="16"/>
        </w:rPr>
      </w:pPr>
      <w:r w:rsidRPr="005976D4">
        <w:rPr>
          <w:rStyle w:val="FootnoteReference"/>
          <w:rFonts w:asciiTheme="minorHAnsi" w:eastAsiaTheme="majorEastAsia" w:hAnsiTheme="minorHAnsi" w:cstheme="minorHAnsi"/>
          <w:sz w:val="16"/>
          <w:szCs w:val="16"/>
        </w:rPr>
        <w:footnoteRef/>
      </w:r>
      <w:r w:rsidRPr="005976D4">
        <w:rPr>
          <w:rFonts w:asciiTheme="minorHAnsi" w:hAnsiTheme="minorHAnsi" w:cstheme="minorHAnsi"/>
          <w:sz w:val="16"/>
          <w:szCs w:val="16"/>
        </w:rPr>
        <w:t xml:space="preserve"> </w:t>
      </w:r>
      <w:r>
        <w:rPr>
          <w:rFonts w:asciiTheme="minorHAnsi" w:hAnsiTheme="minorHAnsi" w:cstheme="minorHAnsi"/>
          <w:sz w:val="16"/>
          <w:szCs w:val="16"/>
        </w:rPr>
        <w:t xml:space="preserve">In the EAS FBiH document from 2017, transposition status of the Directive on </w:t>
      </w:r>
      <w:r w:rsidRPr="00C14241">
        <w:rPr>
          <w:rFonts w:asciiTheme="minorHAnsi" w:hAnsiTheme="minorHAnsi" w:cstheme="minorHAnsi"/>
          <w:sz w:val="18"/>
          <w:szCs w:val="18"/>
          <w:lang w:val="en-US"/>
        </w:rPr>
        <w:t>the assessment and management of flood risks</w:t>
      </w:r>
      <w:r w:rsidRPr="005976D4">
        <w:rPr>
          <w:rFonts w:asciiTheme="minorHAnsi" w:hAnsiTheme="minorHAnsi" w:cstheme="minorHAnsi"/>
          <w:sz w:val="16"/>
          <w:szCs w:val="16"/>
        </w:rPr>
        <w:t xml:space="preserve"> </w:t>
      </w:r>
      <w:r>
        <w:rPr>
          <w:rFonts w:asciiTheme="minorHAnsi" w:hAnsiTheme="minorHAnsi" w:cstheme="minorHAnsi"/>
          <w:sz w:val="16"/>
          <w:szCs w:val="16"/>
        </w:rPr>
        <w:t>has been described “Transposed up to a certain measure”; however, in the period following the development of EAS FBiH, transposition of this Directive has improved significantly, so Table 6 shows the updated information on transposition status of this directive</w:t>
      </w:r>
      <w:r w:rsidRPr="005976D4">
        <w:rPr>
          <w:rFonts w:asciiTheme="minorHAnsi" w:hAnsiTheme="minorHAnsi" w:cstheme="minorHAnsi"/>
          <w:sz w:val="16"/>
          <w:szCs w:val="16"/>
        </w:rPr>
        <w:t>.</w:t>
      </w:r>
    </w:p>
  </w:footnote>
  <w:footnote w:id="12">
    <w:p w14:paraId="55E71276" w14:textId="783241B1" w:rsidR="00B6017F" w:rsidRPr="008D043F" w:rsidRDefault="00B6017F" w:rsidP="00056348">
      <w:pPr>
        <w:pStyle w:val="FootnoteTex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Calculated based on the total amount of municipal waste collected , % of coverage, and estimate number of population in 2020 of  2,168,602 according to information published on the website of the Institute </w:t>
      </w:r>
      <w:r w:rsidR="00A0754E">
        <w:rPr>
          <w:rFonts w:asciiTheme="minorHAnsi" w:hAnsiTheme="minorHAnsi"/>
          <w:sz w:val="16"/>
        </w:rPr>
        <w:t>for</w:t>
      </w:r>
      <w:r>
        <w:rPr>
          <w:rFonts w:asciiTheme="minorHAnsi" w:hAnsiTheme="minorHAnsi"/>
          <w:sz w:val="16"/>
        </w:rPr>
        <w:t xml:space="preserve"> Statistics of the Federation of BiH </w:t>
      </w:r>
    </w:p>
  </w:footnote>
  <w:footnote w:id="13">
    <w:p w14:paraId="1CBC0D64" w14:textId="42391A69" w:rsidR="00B6017F" w:rsidRPr="008D043F" w:rsidRDefault="00B6017F" w:rsidP="00056348">
      <w:pPr>
        <w:pStyle w:val="FootnoteTex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Consultant’s assessment, pertains to the amount of the waste not collected</w:t>
      </w:r>
    </w:p>
  </w:footnote>
  <w:footnote w:id="14">
    <w:p w14:paraId="755A649B" w14:textId="1168032E" w:rsidR="00B6017F" w:rsidRPr="008D043F" w:rsidRDefault="00B6017F" w:rsidP="00A374F8">
      <w:pPr>
        <w:pStyle w:val="FootnoteTex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Within the project “Environmental friendly management of persistent organic pollutants (POPs) in the industrial and hazardous waste management sectors“, funded by Sweden, and implemented by UNDP, 2020.</w:t>
      </w:r>
    </w:p>
  </w:footnote>
  <w:footnote w:id="15">
    <w:p w14:paraId="27D27FC0" w14:textId="77777777" w:rsidR="00B6017F" w:rsidRPr="005A5882" w:rsidRDefault="00B6017F" w:rsidP="00670EBC">
      <w:pPr>
        <w:pStyle w:val="FootnoteText"/>
        <w:jc w:val="both"/>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w:t>
      </w:r>
      <w:r w:rsidRPr="005A5882">
        <w:rPr>
          <w:rFonts w:asciiTheme="minorHAnsi" w:hAnsiTheme="minorHAnsi" w:cstheme="minorHAnsi"/>
          <w:sz w:val="16"/>
          <w:szCs w:val="16"/>
        </w:rPr>
        <w:t>Value is prescribed for one hour mean values and must not be exceeded more than 24 times in a calendar year for SO2</w:t>
      </w:r>
    </w:p>
  </w:footnote>
  <w:footnote w:id="16">
    <w:p w14:paraId="517BC2E3" w14:textId="77777777" w:rsidR="00B6017F" w:rsidRPr="005A5882" w:rsidRDefault="00B6017F" w:rsidP="00670EBC">
      <w:pPr>
        <w:pStyle w:val="FootnoteText"/>
        <w:jc w:val="both"/>
        <w:rPr>
          <w:rFonts w:asciiTheme="minorHAnsi" w:hAnsiTheme="minorHAnsi" w:cstheme="minorHAnsi"/>
          <w:sz w:val="16"/>
          <w:szCs w:val="16"/>
        </w:rPr>
      </w:pPr>
      <w:r w:rsidRPr="005A5882">
        <w:rPr>
          <w:rStyle w:val="FootnoteReference"/>
          <w:rFonts w:asciiTheme="minorHAnsi" w:hAnsiTheme="minorHAnsi" w:cstheme="minorHAnsi"/>
          <w:sz w:val="16"/>
          <w:szCs w:val="16"/>
        </w:rPr>
        <w:footnoteRef/>
      </w:r>
      <w:r w:rsidRPr="005A5882">
        <w:rPr>
          <w:rFonts w:asciiTheme="minorHAnsi" w:hAnsiTheme="minorHAnsi" w:cstheme="minorHAnsi"/>
          <w:sz w:val="16"/>
          <w:szCs w:val="16"/>
        </w:rPr>
        <w:t xml:space="preserve"> Values are prescribed for one-day average and must not be exceeded more than 3 times in a calendar year</w:t>
      </w:r>
    </w:p>
  </w:footnote>
  <w:footnote w:id="17">
    <w:p w14:paraId="13F06C03" w14:textId="77777777" w:rsidR="00B6017F" w:rsidRPr="005A5882" w:rsidRDefault="00B6017F" w:rsidP="00670EBC">
      <w:pPr>
        <w:pStyle w:val="FootnoteText"/>
        <w:jc w:val="both"/>
        <w:rPr>
          <w:rFonts w:asciiTheme="minorHAnsi" w:hAnsiTheme="minorHAnsi" w:cstheme="minorHAnsi"/>
          <w:sz w:val="16"/>
          <w:szCs w:val="16"/>
        </w:rPr>
      </w:pPr>
      <w:r w:rsidRPr="005A5882">
        <w:rPr>
          <w:rStyle w:val="FootnoteReference"/>
          <w:rFonts w:asciiTheme="minorHAnsi" w:hAnsiTheme="minorHAnsi" w:cstheme="minorHAnsi"/>
          <w:sz w:val="16"/>
          <w:szCs w:val="16"/>
        </w:rPr>
        <w:footnoteRef/>
      </w:r>
      <w:r w:rsidRPr="005A5882">
        <w:rPr>
          <w:rFonts w:asciiTheme="minorHAnsi" w:hAnsiTheme="minorHAnsi" w:cstheme="minorHAnsi"/>
          <w:sz w:val="16"/>
          <w:szCs w:val="16"/>
        </w:rPr>
        <w:t xml:space="preserve"> Value is prescribed for one hour mean values and must not be exceeded more than 18 times in a calendar year for SO2</w:t>
      </w:r>
    </w:p>
  </w:footnote>
  <w:footnote w:id="18">
    <w:p w14:paraId="096C7800" w14:textId="77777777" w:rsidR="00B6017F" w:rsidRPr="005A5882" w:rsidRDefault="00B6017F" w:rsidP="00670EBC">
      <w:pPr>
        <w:pStyle w:val="FootnoteText"/>
        <w:jc w:val="both"/>
        <w:rPr>
          <w:rFonts w:asciiTheme="minorHAnsi" w:hAnsiTheme="minorHAnsi" w:cstheme="minorHAnsi"/>
          <w:sz w:val="16"/>
          <w:szCs w:val="16"/>
        </w:rPr>
      </w:pPr>
      <w:r w:rsidRPr="005A5882">
        <w:rPr>
          <w:rStyle w:val="FootnoteReference"/>
          <w:rFonts w:asciiTheme="minorHAnsi" w:hAnsiTheme="minorHAnsi" w:cstheme="minorHAnsi"/>
          <w:sz w:val="16"/>
          <w:szCs w:val="16"/>
        </w:rPr>
        <w:footnoteRef/>
      </w:r>
      <w:r w:rsidRPr="005A5882">
        <w:rPr>
          <w:rFonts w:asciiTheme="minorHAnsi" w:hAnsiTheme="minorHAnsi" w:cstheme="minorHAnsi"/>
          <w:sz w:val="16"/>
          <w:szCs w:val="16"/>
        </w:rPr>
        <w:t xml:space="preserve"> Values are prescribed for one hour mean values, and must not be exceeded more than 35 times in a calendar year for PM10</w:t>
      </w:r>
    </w:p>
  </w:footnote>
  <w:footnote w:id="19">
    <w:p w14:paraId="2144415D" w14:textId="77777777" w:rsidR="00B6017F" w:rsidRPr="008D043F" w:rsidRDefault="00B6017F" w:rsidP="00670EBC">
      <w:pPr>
        <w:pStyle w:val="FootnoteText"/>
        <w:jc w:val="both"/>
        <w:rPr>
          <w:rFonts w:asciiTheme="minorHAnsi" w:hAnsiTheme="minorHAnsi" w:cstheme="minorHAnsi"/>
          <w:sz w:val="16"/>
          <w:szCs w:val="16"/>
        </w:rPr>
      </w:pPr>
      <w:r w:rsidRPr="005A5882">
        <w:rPr>
          <w:rStyle w:val="FootnoteReference"/>
          <w:rFonts w:asciiTheme="minorHAnsi" w:hAnsiTheme="minorHAnsi" w:cstheme="minorHAnsi"/>
          <w:sz w:val="16"/>
          <w:szCs w:val="16"/>
        </w:rPr>
        <w:footnoteRef/>
      </w:r>
      <w:r w:rsidRPr="005A5882">
        <w:rPr>
          <w:rFonts w:asciiTheme="minorHAnsi" w:hAnsiTheme="minorHAnsi" w:cstheme="minorHAnsi"/>
          <w:sz w:val="16"/>
          <w:szCs w:val="16"/>
        </w:rPr>
        <w:t xml:space="preserve"> Limit value, in line with currently valid rulebook, is provided as a long term target expressed as a maximum daily 8-hour value</w:t>
      </w:r>
    </w:p>
  </w:footnote>
  <w:footnote w:id="20">
    <w:p w14:paraId="75164A98" w14:textId="77777777" w:rsidR="00B6017F" w:rsidRPr="008D043F" w:rsidRDefault="00B6017F" w:rsidP="00475238">
      <w:pPr>
        <w:pStyle w:val="FootnoteText"/>
        <w:ind w:left="142" w:hanging="142"/>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The co-operative programme for monitoring and evaluation of the long-range transmission of air pollutants in Europe (</w:t>
      </w:r>
      <w:r>
        <w:rPr>
          <w:rFonts w:asciiTheme="minorHAnsi" w:hAnsiTheme="minorHAnsi"/>
          <w:i/>
          <w:sz w:val="16"/>
        </w:rPr>
        <w:t>European Monitoring and Evaluation Programme</w:t>
      </w:r>
      <w:r>
        <w:rPr>
          <w:rFonts w:asciiTheme="minorHAnsi" w:hAnsiTheme="minorHAnsi"/>
          <w:sz w:val="16"/>
        </w:rPr>
        <w:t>‒ EMEP)</w:t>
      </w:r>
    </w:p>
  </w:footnote>
  <w:footnote w:id="21">
    <w:p w14:paraId="73388DEB" w14:textId="77777777" w:rsidR="00B6017F" w:rsidRPr="008D043F" w:rsidRDefault="00B6017F" w:rsidP="00475238">
      <w:pPr>
        <w:pStyle w:val="FootnoteTex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w:t>
      </w:r>
      <w:bookmarkStart w:id="200" w:name="_Hlk94291558"/>
      <w:r>
        <w:rPr>
          <w:rFonts w:asciiTheme="minorHAnsi" w:hAnsiTheme="minorHAnsi"/>
          <w:sz w:val="16"/>
        </w:rPr>
        <w:t xml:space="preserve">Ministry of Foreign Trade and Economic Relations of Bosnia and Herzegovina </w:t>
      </w:r>
      <w:bookmarkEnd w:id="200"/>
    </w:p>
  </w:footnote>
  <w:footnote w:id="22">
    <w:p w14:paraId="5BA9755E" w14:textId="57E803CF" w:rsidR="00B6017F" w:rsidRPr="008D043F" w:rsidRDefault="00B6017F" w:rsidP="00475238">
      <w:pPr>
        <w:pStyle w:val="FootnoteTex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The most critical environmental institutions in the Federation of BiH are: Federation Ministry of Environment and Tourism, Environmental Protection Fund of the Federation of Bosnia and Herzegovina, Federation Ministry of Agriculture, Water Management and Forestry, </w:t>
      </w:r>
      <w:r w:rsidRPr="000F35FA">
        <w:rPr>
          <w:rFonts w:asciiTheme="minorHAnsi" w:hAnsiTheme="minorHAnsi"/>
          <w:sz w:val="16"/>
        </w:rPr>
        <w:t>Adriatic Sea Watershed Agency</w:t>
      </w:r>
      <w:r>
        <w:rPr>
          <w:rFonts w:asciiTheme="minorHAnsi" w:hAnsiTheme="minorHAnsi"/>
          <w:sz w:val="16"/>
        </w:rPr>
        <w:t xml:space="preserve">, </w:t>
      </w:r>
      <w:r w:rsidRPr="00571470">
        <w:rPr>
          <w:rFonts w:asciiTheme="minorHAnsi" w:hAnsiTheme="minorHAnsi"/>
          <w:sz w:val="16"/>
        </w:rPr>
        <w:t>Sava River Basin Agency</w:t>
      </w:r>
      <w:r>
        <w:rPr>
          <w:rFonts w:asciiTheme="minorHAnsi" w:hAnsiTheme="minorHAnsi"/>
          <w:sz w:val="16"/>
        </w:rPr>
        <w:t>, Hydrometeorological Institute of the Federation of BiH, Federation Ministry of Health, Institute for Statistics of the Federation of BiH, Institute for Agropedology of the Federation of BiH, Institute for Public Health of the Federation of Bosnia and Herzegovina.</w:t>
      </w:r>
    </w:p>
  </w:footnote>
  <w:footnote w:id="23">
    <w:p w14:paraId="0F0880E0" w14:textId="3B0F2C32" w:rsidR="00B6017F" w:rsidRPr="008D043F" w:rsidRDefault="00B6017F" w:rsidP="00475238">
      <w:pPr>
        <w:pStyle w:val="FootnoteTex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The Federation Ministry of Environment and Tourism has a total of 43 staff members (32 civil servants, 9 employees, and 2 advisers) of 93 staff envisaged in the applicable staffing plan. The three sectors responsible for the development, application and implementation of environmental legislation and policies employ:  </w:t>
      </w:r>
    </w:p>
    <w:p w14:paraId="5444D02A" w14:textId="77777777" w:rsidR="00B6017F" w:rsidRPr="008D043F" w:rsidRDefault="00B6017F">
      <w:pPr>
        <w:pStyle w:val="FootnoteText"/>
        <w:numPr>
          <w:ilvl w:val="0"/>
          <w:numId w:val="189"/>
        </w:numPr>
        <w:rPr>
          <w:rFonts w:asciiTheme="minorHAnsi" w:hAnsiTheme="minorHAnsi" w:cstheme="minorHAnsi"/>
          <w:sz w:val="16"/>
          <w:szCs w:val="16"/>
        </w:rPr>
      </w:pPr>
      <w:r>
        <w:rPr>
          <w:rFonts w:asciiTheme="minorHAnsi" w:hAnsiTheme="minorHAnsi"/>
          <w:sz w:val="16"/>
        </w:rPr>
        <w:t>Environment sector ‒ 6 employees of 15 employees envisaged in the staffing plan (staffing level 40%)</w:t>
      </w:r>
    </w:p>
    <w:p w14:paraId="6EF2BD56" w14:textId="29DD13FD" w:rsidR="00B6017F" w:rsidRPr="008D043F" w:rsidRDefault="00B6017F">
      <w:pPr>
        <w:pStyle w:val="FootnoteText"/>
        <w:numPr>
          <w:ilvl w:val="0"/>
          <w:numId w:val="189"/>
        </w:numPr>
        <w:rPr>
          <w:rFonts w:asciiTheme="minorHAnsi" w:hAnsiTheme="minorHAnsi" w:cstheme="minorHAnsi"/>
          <w:sz w:val="16"/>
          <w:szCs w:val="16"/>
        </w:rPr>
      </w:pPr>
      <w:r>
        <w:rPr>
          <w:rFonts w:asciiTheme="minorHAnsi" w:hAnsiTheme="minorHAnsi"/>
          <w:sz w:val="16"/>
        </w:rPr>
        <w:t>Sector for environmental permits, environmental impact assessments, register and clean technologies - 8 of 15 (staffing level 42%)</w:t>
      </w:r>
    </w:p>
    <w:p w14:paraId="71568386" w14:textId="77777777" w:rsidR="00B6017F" w:rsidRPr="008D043F" w:rsidRDefault="00B6017F">
      <w:pPr>
        <w:pStyle w:val="FootnoteText"/>
        <w:numPr>
          <w:ilvl w:val="0"/>
          <w:numId w:val="189"/>
        </w:numPr>
        <w:rPr>
          <w:rFonts w:asciiTheme="minorHAnsi" w:hAnsiTheme="minorHAnsi" w:cstheme="minorHAnsi"/>
          <w:sz w:val="16"/>
          <w:szCs w:val="16"/>
        </w:rPr>
      </w:pPr>
      <w:r>
        <w:rPr>
          <w:rFonts w:asciiTheme="minorHAnsi" w:hAnsiTheme="minorHAnsi"/>
          <w:sz w:val="16"/>
        </w:rPr>
        <w:t xml:space="preserve">Sector for waste management, implementation of plans and strategic projects - 8 of 13 (staffing level 62%). </w:t>
      </w:r>
    </w:p>
    <w:p w14:paraId="1F00B27A" w14:textId="6476BE81" w:rsidR="00B6017F" w:rsidRPr="008D043F" w:rsidRDefault="00B6017F" w:rsidP="00475238">
      <w:pPr>
        <w:pStyle w:val="FootnoteText"/>
        <w:rPr>
          <w:rFonts w:asciiTheme="minorHAnsi" w:hAnsiTheme="minorHAnsi" w:cstheme="minorHAnsi"/>
          <w:sz w:val="16"/>
          <w:szCs w:val="16"/>
        </w:rPr>
      </w:pPr>
      <w:r>
        <w:rPr>
          <w:rFonts w:asciiTheme="minorHAnsi" w:hAnsiTheme="minorHAnsi"/>
          <w:sz w:val="16"/>
        </w:rPr>
        <w:t>The Federation Ministry of Environment and Tourism is faced with an aging staff. 16 civil servants and employees are expected to meet the requirements for an old age pension in the period 2022-2029 (data sources:  the Federation Ministry of Environment and Tourism).</w:t>
      </w:r>
    </w:p>
    <w:p w14:paraId="78CBC377" w14:textId="0BAEDDBC" w:rsidR="00B6017F" w:rsidRPr="008D043F" w:rsidRDefault="00B6017F" w:rsidP="00475238">
      <w:pPr>
        <w:pStyle w:val="FootnoteText"/>
        <w:rPr>
          <w:rFonts w:asciiTheme="minorHAnsi" w:hAnsiTheme="minorHAnsi" w:cstheme="minorHAnsi"/>
          <w:sz w:val="16"/>
          <w:szCs w:val="16"/>
        </w:rPr>
      </w:pPr>
      <w:r>
        <w:rPr>
          <w:rFonts w:asciiTheme="minorHAnsi" w:hAnsiTheme="minorHAnsi"/>
          <w:sz w:val="16"/>
        </w:rPr>
        <w:t xml:space="preserve">According to the report “Answers of Bosnia and Herzegovina to the questions from the Questionnaire of the European Commission - Chapter 27, the Water Sector in the Federation Ministry of Agriculture, Water Management and Forestry has 8 staff members (7 technical staff and 1 administrative employee), while the total number of employees in the staffing plan is 10.  </w:t>
      </w:r>
    </w:p>
    <w:p w14:paraId="3C16A192" w14:textId="01277045" w:rsidR="00B6017F" w:rsidRPr="008D043F" w:rsidRDefault="00B6017F" w:rsidP="00475238">
      <w:pPr>
        <w:pStyle w:val="FootnoteText"/>
        <w:rPr>
          <w:rFonts w:asciiTheme="minorHAnsi" w:hAnsiTheme="minorHAnsi" w:cstheme="minorHAnsi"/>
          <w:sz w:val="16"/>
          <w:szCs w:val="16"/>
        </w:rPr>
      </w:pPr>
      <w:r>
        <w:rPr>
          <w:rFonts w:asciiTheme="minorHAnsi" w:hAnsiTheme="minorHAnsi"/>
          <w:sz w:val="16"/>
        </w:rPr>
        <w:t xml:space="preserve">The Environmental Protection Fund of the Federation of BiH has 5 sectors, with 44 employees envisaged for the Environmental Protection Sector and only 15 were actually recruited. </w:t>
      </w:r>
    </w:p>
    <w:p w14:paraId="4B4122E6" w14:textId="52E76B70" w:rsidR="00B6017F" w:rsidRPr="008D043F" w:rsidRDefault="00B6017F" w:rsidP="00475238">
      <w:pPr>
        <w:pStyle w:val="FootnoteText"/>
        <w:rPr>
          <w:rFonts w:asciiTheme="minorHAnsi" w:hAnsiTheme="minorHAnsi" w:cstheme="minorHAnsi"/>
          <w:sz w:val="16"/>
          <w:szCs w:val="16"/>
        </w:rPr>
      </w:pPr>
      <w:r>
        <w:rPr>
          <w:rFonts w:asciiTheme="minorHAnsi" w:hAnsiTheme="minorHAnsi"/>
          <w:sz w:val="16"/>
        </w:rPr>
        <w:t xml:space="preserve">The </w:t>
      </w:r>
      <w:r w:rsidRPr="000F35FA">
        <w:rPr>
          <w:rFonts w:asciiTheme="minorHAnsi" w:hAnsiTheme="minorHAnsi"/>
          <w:sz w:val="16"/>
        </w:rPr>
        <w:t xml:space="preserve">Adriatic Sea Watershed Agency </w:t>
      </w:r>
      <w:r>
        <w:rPr>
          <w:rFonts w:asciiTheme="minorHAnsi" w:hAnsiTheme="minorHAnsi"/>
          <w:sz w:val="16"/>
        </w:rPr>
        <w:t xml:space="preserve">has only 24 employees, while the current staffing plan envisages a total of 44. The </w:t>
      </w:r>
      <w:r w:rsidRPr="00571470">
        <w:rPr>
          <w:rFonts w:asciiTheme="minorHAnsi" w:hAnsiTheme="minorHAnsi"/>
          <w:sz w:val="16"/>
        </w:rPr>
        <w:t>Sava River Basin Agency</w:t>
      </w:r>
      <w:r>
        <w:rPr>
          <w:rFonts w:asciiTheme="minorHAnsi" w:hAnsiTheme="minorHAnsi"/>
          <w:sz w:val="16"/>
        </w:rPr>
        <w:t xml:space="preserve"> has only 75 employees, while the current staffing plan envisages a total of 102.</w:t>
      </w:r>
    </w:p>
    <w:p w14:paraId="1CE4A8A0" w14:textId="2B90A1BA" w:rsidR="00B6017F" w:rsidRPr="008D043F" w:rsidRDefault="00B6017F" w:rsidP="00475238">
      <w:pPr>
        <w:pStyle w:val="FootnoteText"/>
        <w:rPr>
          <w:rFonts w:asciiTheme="minorHAnsi" w:hAnsiTheme="minorHAnsi" w:cstheme="minorHAnsi"/>
          <w:sz w:val="16"/>
          <w:szCs w:val="16"/>
        </w:rPr>
      </w:pPr>
      <w:r>
        <w:rPr>
          <w:rFonts w:asciiTheme="minorHAnsi" w:hAnsiTheme="minorHAnsi"/>
          <w:sz w:val="16"/>
        </w:rPr>
        <w:t>The Hydrometeorological Institute of the Federation of BiH operates with 74 staff members, while the number of employees envisaged in the staffing plan is 118. Only 18 employees hold university degree while the staffing plan envisages 50 members of the staff with this level of education (source: Hydrometeorological Institute of the Federation of BiH)</w:t>
      </w:r>
      <w:r>
        <w:rPr>
          <w:rFonts w:asciiTheme="minorHAnsi" w:hAnsiTheme="minorHAnsi" w:cstheme="minorHAnsi"/>
          <w:sz w:val="16"/>
          <w:szCs w:val="16"/>
        </w:rPr>
        <w:t>.</w:t>
      </w:r>
    </w:p>
  </w:footnote>
  <w:footnote w:id="24">
    <w:p w14:paraId="0B25B827" w14:textId="77777777" w:rsidR="00B6017F" w:rsidRPr="008D043F" w:rsidRDefault="00B6017F" w:rsidP="00475238">
      <w:pPr>
        <w:pStyle w:val="FootnoteTex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The United Nations Framework Convention on Climate Change - UNFCCC, United Nations Convention on Biodiversity– UNCBD), and United Nations Convention to Combat Desertification in Those Countries Experiencing Serious Drought and/or Desertification, Particularly in Africa  - UNCCD</w:t>
      </w:r>
    </w:p>
  </w:footnote>
  <w:footnote w:id="25">
    <w:p w14:paraId="41166238" w14:textId="77777777" w:rsidR="00B6017F" w:rsidRPr="008D043F" w:rsidRDefault="00B6017F" w:rsidP="00475238">
      <w:pPr>
        <w:pStyle w:val="FootnoteText"/>
        <w:rPr>
          <w:rFonts w:asciiTheme="minorHAnsi" w:hAnsiTheme="minorHAnsi" w:cstheme="minorHAnsi"/>
          <w:sz w:val="16"/>
          <w:szCs w:val="16"/>
        </w:rPr>
      </w:pPr>
      <w:r>
        <w:rPr>
          <w:rFonts w:asciiTheme="minorHAnsi" w:hAnsiTheme="minorHAnsi"/>
          <w:sz w:val="16"/>
        </w:rPr>
        <w:t>According to the list of accredited bodies for assessment of compliance (on 09.02.2021) of the Institute for Accreditation of BiH, out of 78 accredited testing laboratories in BiH, 5 6 laboratories are in  the Federation of BiH. The responsibility of the ministries of the Federation of BiH is to create conditions for the issuance of decisions authorising the operation of accredited laboratories, however, accreditation is in the hands of the national institutions.</w:t>
      </w:r>
    </w:p>
  </w:footnote>
  <w:footnote w:id="26">
    <w:p w14:paraId="12C2E513" w14:textId="1E34B924" w:rsidR="00B6017F" w:rsidRPr="008D043F" w:rsidRDefault="00B6017F" w:rsidP="00475238">
      <w:pPr>
        <w:pStyle w:val="FootnoteTex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w:t>
      </w:r>
      <w:bookmarkStart w:id="206" w:name="_Hlk94291749"/>
      <w:r w:rsidRPr="00571470">
        <w:rPr>
          <w:rFonts w:asciiTheme="minorHAnsi" w:hAnsiTheme="minorHAnsi"/>
          <w:sz w:val="16"/>
        </w:rPr>
        <w:t xml:space="preserve">Adriatic Sea Watershed Agency </w:t>
      </w:r>
      <w:r>
        <w:rPr>
          <w:rFonts w:asciiTheme="minorHAnsi" w:hAnsiTheme="minorHAnsi"/>
          <w:sz w:val="16"/>
        </w:rPr>
        <w:t xml:space="preserve">and </w:t>
      </w:r>
      <w:bookmarkEnd w:id="206"/>
      <w:r w:rsidRPr="00571470">
        <w:rPr>
          <w:rFonts w:asciiTheme="minorHAnsi" w:hAnsiTheme="minorHAnsi"/>
          <w:sz w:val="16"/>
        </w:rPr>
        <w:t>Sava River Basin Agency</w:t>
      </w:r>
    </w:p>
  </w:footnote>
  <w:footnote w:id="27">
    <w:p w14:paraId="37947FAD" w14:textId="55FA81A0" w:rsidR="00B6017F" w:rsidRPr="008D043F" w:rsidRDefault="00B6017F" w:rsidP="00092F7C">
      <w:pPr>
        <w:pStyle w:val="FootnoteText"/>
        <w:rPr>
          <w:rFonts w:asciiTheme="minorHAnsi" w:hAnsiTheme="minorHAnsi" w:cstheme="minorHAnsi"/>
          <w: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A cantonal body is responsible for development planning in the Cantons, while pursuant to </w:t>
      </w:r>
      <w:r>
        <w:rPr>
          <w:rFonts w:asciiTheme="minorHAnsi" w:hAnsiTheme="minorHAnsi"/>
          <w:i/>
          <w:sz w:val="16"/>
        </w:rPr>
        <w:t>the Decree on Triannual and Annual Planning of Work, Monitoring, and Reporting in the Federation of BiH</w:t>
      </w:r>
      <w:r>
        <w:rPr>
          <w:rFonts w:asciiTheme="minorHAnsi" w:hAnsiTheme="minorHAnsi"/>
          <w:sz w:val="16"/>
        </w:rPr>
        <w:t xml:space="preserve">, a body of the city/municipality has the responsibility for development planning and development management at the level of </w:t>
      </w:r>
      <w:bookmarkStart w:id="223" w:name="_Hlk116560488"/>
      <w:r>
        <w:rPr>
          <w:rFonts w:asciiTheme="minorHAnsi" w:hAnsiTheme="minorHAnsi"/>
          <w:sz w:val="16"/>
        </w:rPr>
        <w:t>local government units</w:t>
      </w:r>
      <w:bookmarkEnd w:id="223"/>
      <w:r>
        <w:rPr>
          <w:rFonts w:asciiTheme="minorHAnsi" w:hAnsiTheme="minorHAnsi"/>
          <w:sz w:val="16"/>
        </w:rPr>
        <w:t>.</w:t>
      </w:r>
    </w:p>
  </w:footnote>
  <w:footnote w:id="28">
    <w:p w14:paraId="7CA06F1E" w14:textId="0E5EC07A" w:rsidR="00B6017F" w:rsidRPr="00D733A4" w:rsidRDefault="00B6017F" w:rsidP="00005022">
      <w:pPr>
        <w:rPr>
          <w:rFonts w:eastAsia="Calibri" w:cstheme="minorHAnsi"/>
          <w:sz w:val="20"/>
          <w:szCs w:val="20"/>
        </w:rPr>
      </w:pPr>
      <w:r>
        <w:rPr>
          <w:rStyle w:val="FootnoteReference"/>
        </w:rPr>
        <w:footnoteRef/>
      </w:r>
      <w:r>
        <w:t xml:space="preserve"> </w:t>
      </w:r>
      <w:r w:rsidRPr="005C416E">
        <w:rPr>
          <w:rFonts w:asciiTheme="minorHAnsi" w:hAnsiTheme="minorHAnsi" w:cstheme="minorHAnsi"/>
          <w:sz w:val="16"/>
        </w:rPr>
        <w:t>Note: Placement of secondary row materials should be realised through the extended producer responsibility scheme</w:t>
      </w:r>
      <w:r>
        <w:rPr>
          <w:sz w:val="20"/>
        </w:rPr>
        <w:t xml:space="preserve"> </w:t>
      </w:r>
    </w:p>
    <w:p w14:paraId="31D3BB66" w14:textId="77777777" w:rsidR="00B6017F" w:rsidRPr="00D733A4" w:rsidRDefault="00B6017F" w:rsidP="00005022">
      <w:pPr>
        <w:pStyle w:val="FootnoteText"/>
        <w:rPr>
          <w:lang w:val="hr-H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07D7" w14:textId="72E27CD1" w:rsidR="00B6017F" w:rsidRDefault="00B601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0BEAC" w14:textId="75DB5BF4" w:rsidR="00B6017F" w:rsidRDefault="00B601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78B0" w14:textId="19DDF3E6" w:rsidR="00B6017F" w:rsidRDefault="00B601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949"/>
    <w:multiLevelType w:val="hybridMultilevel"/>
    <w:tmpl w:val="E1261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7765F9"/>
    <w:multiLevelType w:val="hybridMultilevel"/>
    <w:tmpl w:val="C01099EE"/>
    <w:lvl w:ilvl="0" w:tplc="04090011">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2" w15:restartNumberingAfterBreak="0">
    <w:nsid w:val="01A53286"/>
    <w:multiLevelType w:val="hybridMultilevel"/>
    <w:tmpl w:val="D2F6A3F4"/>
    <w:lvl w:ilvl="0" w:tplc="1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1FB1ED6"/>
    <w:multiLevelType w:val="hybridMultilevel"/>
    <w:tmpl w:val="8E6A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93D2F"/>
    <w:multiLevelType w:val="hybridMultilevel"/>
    <w:tmpl w:val="DFEE71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3B4411"/>
    <w:multiLevelType w:val="hybridMultilevel"/>
    <w:tmpl w:val="16702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0B5950"/>
    <w:multiLevelType w:val="hybridMultilevel"/>
    <w:tmpl w:val="07E8A97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33824E3"/>
    <w:multiLevelType w:val="hybridMultilevel"/>
    <w:tmpl w:val="52ACFA30"/>
    <w:lvl w:ilvl="0" w:tplc="C3DA0908">
      <w:start w:val="1"/>
      <w:numFmt w:val="lowerLetter"/>
      <w:lvlText w:val="%1)"/>
      <w:lvlJc w:val="left"/>
      <w:pPr>
        <w:ind w:left="720" w:hanging="360"/>
      </w:pPr>
      <w:rPr>
        <w:rFonts w:asciiTheme="minorHAnsi" w:eastAsia="Calibri" w:hAnsiTheme="minorHAnsi" w:cstheme="minorHAnsi" w:hint="default"/>
        <w:color w:val="auto"/>
        <w:sz w:val="18"/>
        <w:szCs w:val="1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34D5E59"/>
    <w:multiLevelType w:val="hybridMultilevel"/>
    <w:tmpl w:val="DD0812D2"/>
    <w:lvl w:ilvl="0" w:tplc="FFFFFFFF">
      <w:start w:val="1"/>
      <w:numFmt w:val="decimal"/>
      <w:lvlText w:val="%1)"/>
      <w:lvlJc w:val="left"/>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3981807"/>
    <w:multiLevelType w:val="hybridMultilevel"/>
    <w:tmpl w:val="5700130C"/>
    <w:lvl w:ilvl="0" w:tplc="FFFFFFFF">
      <w:start w:val="1"/>
      <w:numFmt w:val="lowerLetter"/>
      <w:lvlText w:val="%1)"/>
      <w:lvlJc w:val="left"/>
      <w:pPr>
        <w:ind w:left="720" w:hanging="360"/>
      </w:pPr>
      <w:rPr>
        <w:rFonts w:asciiTheme="minorHAnsi" w:eastAsia="Calibri" w:hAnsiTheme="minorHAnsi" w:cstheme="minorHAnsi" w:hint="default"/>
        <w:color w:val="auto"/>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042B1A1A"/>
    <w:multiLevelType w:val="hybridMultilevel"/>
    <w:tmpl w:val="5700130C"/>
    <w:lvl w:ilvl="0" w:tplc="FFFFFFFF">
      <w:start w:val="1"/>
      <w:numFmt w:val="lowerLetter"/>
      <w:lvlText w:val="%1)"/>
      <w:lvlJc w:val="left"/>
      <w:pPr>
        <w:ind w:left="720" w:hanging="360"/>
      </w:pPr>
      <w:rPr>
        <w:rFonts w:asciiTheme="minorHAnsi" w:eastAsia="Calibri" w:hAnsiTheme="minorHAnsi" w:cstheme="minorHAnsi" w:hint="default"/>
        <w:color w:val="auto"/>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4D9293D"/>
    <w:multiLevelType w:val="hybridMultilevel"/>
    <w:tmpl w:val="8BEEC56C"/>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12" w15:restartNumberingAfterBreak="0">
    <w:nsid w:val="05C03D66"/>
    <w:multiLevelType w:val="hybridMultilevel"/>
    <w:tmpl w:val="6E7283B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63B2847"/>
    <w:multiLevelType w:val="hybridMultilevel"/>
    <w:tmpl w:val="BB227F08"/>
    <w:lvl w:ilvl="0" w:tplc="0409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15:restartNumberingAfterBreak="0">
    <w:nsid w:val="06A63142"/>
    <w:multiLevelType w:val="hybridMultilevel"/>
    <w:tmpl w:val="F2C0599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5" w15:restartNumberingAfterBreak="0">
    <w:nsid w:val="076E2883"/>
    <w:multiLevelType w:val="hybridMultilevel"/>
    <w:tmpl w:val="EC123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08F25C5E"/>
    <w:multiLevelType w:val="hybridMultilevel"/>
    <w:tmpl w:val="023AE23C"/>
    <w:lvl w:ilvl="0" w:tplc="FFFFFFFF">
      <w:start w:val="1"/>
      <w:numFmt w:val="lowerLetter"/>
      <w:lvlText w:val="%1."/>
      <w:lvlJc w:val="left"/>
      <w:pPr>
        <w:ind w:left="360"/>
      </w:pPr>
      <w:rPr>
        <w:rFonts w:hint="default"/>
      </w:rPr>
    </w:lvl>
    <w:lvl w:ilvl="1" w:tplc="FFFFFFFF" w:tentative="1">
      <w:start w:val="1"/>
      <w:numFmt w:val="bullet"/>
      <w:lvlText w:val="o"/>
      <w:lvlJc w:val="left"/>
      <w:pPr>
        <w:ind w:left="1130" w:hanging="360"/>
      </w:pPr>
      <w:rPr>
        <w:rFonts w:ascii="Courier New" w:hAnsi="Courier New" w:cs="Courier New"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17" w15:restartNumberingAfterBreak="0">
    <w:nsid w:val="096C356C"/>
    <w:multiLevelType w:val="hybridMultilevel"/>
    <w:tmpl w:val="14766174"/>
    <w:lvl w:ilvl="0" w:tplc="FFFFFFFF">
      <w:start w:val="1"/>
      <w:numFmt w:val="lowerLetter"/>
      <w:lvlText w:val="%1."/>
      <w:lvlJc w:val="left"/>
      <w:rPr>
        <w:rFonts w:hint="default"/>
      </w:rPr>
    </w:lvl>
    <w:lvl w:ilvl="1" w:tplc="FFFFFFFF" w:tentative="1">
      <w:start w:val="1"/>
      <w:numFmt w:val="bullet"/>
      <w:lvlText w:val="o"/>
      <w:lvlJc w:val="left"/>
      <w:pPr>
        <w:ind w:left="1130" w:hanging="360"/>
      </w:pPr>
      <w:rPr>
        <w:rFonts w:ascii="Courier New" w:hAnsi="Courier New" w:cs="Courier New"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18" w15:restartNumberingAfterBreak="0">
    <w:nsid w:val="0A1A4629"/>
    <w:multiLevelType w:val="hybridMultilevel"/>
    <w:tmpl w:val="57EA421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7D194A"/>
    <w:multiLevelType w:val="hybridMultilevel"/>
    <w:tmpl w:val="AB2C4F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B3F18D3"/>
    <w:multiLevelType w:val="hybridMultilevel"/>
    <w:tmpl w:val="32D6CC18"/>
    <w:lvl w:ilvl="0" w:tplc="FFFFFFFF">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BC364BD"/>
    <w:multiLevelType w:val="hybridMultilevel"/>
    <w:tmpl w:val="E0BC30F4"/>
    <w:lvl w:ilvl="0" w:tplc="08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0C0E29AA"/>
    <w:multiLevelType w:val="hybridMultilevel"/>
    <w:tmpl w:val="2EF4A4E8"/>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3" w15:restartNumberingAfterBreak="0">
    <w:nsid w:val="0C7C274C"/>
    <w:multiLevelType w:val="hybridMultilevel"/>
    <w:tmpl w:val="3B162A1C"/>
    <w:lvl w:ilvl="0" w:tplc="1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0CB07A8D"/>
    <w:multiLevelType w:val="hybridMultilevel"/>
    <w:tmpl w:val="9120FA54"/>
    <w:lvl w:ilvl="0" w:tplc="2FE491B4">
      <w:start w:val="1"/>
      <w:numFmt w:val="lowerLetter"/>
      <w:lvlText w:val="%1)"/>
      <w:lvlJc w:val="left"/>
      <w:pPr>
        <w:ind w:left="720" w:hanging="360"/>
      </w:pPr>
      <w:rPr>
        <w:rFonts w:asciiTheme="minorHAnsi" w:eastAsia="Calibri" w:hAnsiTheme="minorHAnsi" w:cstheme="minorHAnsi" w:hint="default"/>
        <w:color w:val="auto"/>
        <w:sz w:val="18"/>
        <w:szCs w:val="1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0D744DB2"/>
    <w:multiLevelType w:val="hybridMultilevel"/>
    <w:tmpl w:val="B08C5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E2B47C9"/>
    <w:multiLevelType w:val="hybridMultilevel"/>
    <w:tmpl w:val="4BFA04E2"/>
    <w:lvl w:ilvl="0" w:tplc="141A0019">
      <w:start w:val="1"/>
      <w:numFmt w:val="lowerLetter"/>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EBD2E55"/>
    <w:multiLevelType w:val="multilevel"/>
    <w:tmpl w:val="6D3E624A"/>
    <w:lvl w:ilvl="0">
      <w:start w:val="13"/>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0EC008AA"/>
    <w:multiLevelType w:val="hybridMultilevel"/>
    <w:tmpl w:val="12746B50"/>
    <w:lvl w:ilvl="0" w:tplc="0409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9" w15:restartNumberingAfterBreak="0">
    <w:nsid w:val="0F1B38FB"/>
    <w:multiLevelType w:val="hybridMultilevel"/>
    <w:tmpl w:val="117ACF70"/>
    <w:lvl w:ilvl="0" w:tplc="141A0019">
      <w:start w:val="1"/>
      <w:numFmt w:val="lowerLetter"/>
      <w:lvlText w:val="%1."/>
      <w:lvlJc w:val="left"/>
      <w:pPr>
        <w:ind w:left="1083" w:hanging="360"/>
      </w:pPr>
    </w:lvl>
    <w:lvl w:ilvl="1" w:tplc="141A0019" w:tentative="1">
      <w:start w:val="1"/>
      <w:numFmt w:val="lowerLetter"/>
      <w:lvlText w:val="%2."/>
      <w:lvlJc w:val="left"/>
      <w:pPr>
        <w:ind w:left="1803" w:hanging="360"/>
      </w:pPr>
    </w:lvl>
    <w:lvl w:ilvl="2" w:tplc="141A001B" w:tentative="1">
      <w:start w:val="1"/>
      <w:numFmt w:val="lowerRoman"/>
      <w:lvlText w:val="%3."/>
      <w:lvlJc w:val="right"/>
      <w:pPr>
        <w:ind w:left="2523" w:hanging="180"/>
      </w:pPr>
    </w:lvl>
    <w:lvl w:ilvl="3" w:tplc="141A000F" w:tentative="1">
      <w:start w:val="1"/>
      <w:numFmt w:val="decimal"/>
      <w:lvlText w:val="%4."/>
      <w:lvlJc w:val="left"/>
      <w:pPr>
        <w:ind w:left="3243" w:hanging="360"/>
      </w:pPr>
    </w:lvl>
    <w:lvl w:ilvl="4" w:tplc="141A0019" w:tentative="1">
      <w:start w:val="1"/>
      <w:numFmt w:val="lowerLetter"/>
      <w:lvlText w:val="%5."/>
      <w:lvlJc w:val="left"/>
      <w:pPr>
        <w:ind w:left="3963" w:hanging="360"/>
      </w:pPr>
    </w:lvl>
    <w:lvl w:ilvl="5" w:tplc="141A001B" w:tentative="1">
      <w:start w:val="1"/>
      <w:numFmt w:val="lowerRoman"/>
      <w:lvlText w:val="%6."/>
      <w:lvlJc w:val="right"/>
      <w:pPr>
        <w:ind w:left="4683" w:hanging="180"/>
      </w:pPr>
    </w:lvl>
    <w:lvl w:ilvl="6" w:tplc="141A000F" w:tentative="1">
      <w:start w:val="1"/>
      <w:numFmt w:val="decimal"/>
      <w:lvlText w:val="%7."/>
      <w:lvlJc w:val="left"/>
      <w:pPr>
        <w:ind w:left="5403" w:hanging="360"/>
      </w:pPr>
    </w:lvl>
    <w:lvl w:ilvl="7" w:tplc="141A0019" w:tentative="1">
      <w:start w:val="1"/>
      <w:numFmt w:val="lowerLetter"/>
      <w:lvlText w:val="%8."/>
      <w:lvlJc w:val="left"/>
      <w:pPr>
        <w:ind w:left="6123" w:hanging="360"/>
      </w:pPr>
    </w:lvl>
    <w:lvl w:ilvl="8" w:tplc="141A001B" w:tentative="1">
      <w:start w:val="1"/>
      <w:numFmt w:val="lowerRoman"/>
      <w:lvlText w:val="%9."/>
      <w:lvlJc w:val="right"/>
      <w:pPr>
        <w:ind w:left="6843" w:hanging="180"/>
      </w:pPr>
    </w:lvl>
  </w:abstractNum>
  <w:abstractNum w:abstractNumId="30" w15:restartNumberingAfterBreak="0">
    <w:nsid w:val="0F4B5D18"/>
    <w:multiLevelType w:val="hybridMultilevel"/>
    <w:tmpl w:val="DD0812D2"/>
    <w:lvl w:ilvl="0" w:tplc="FFFFFFFF">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F6F40B3"/>
    <w:multiLevelType w:val="hybridMultilevel"/>
    <w:tmpl w:val="B3925E58"/>
    <w:lvl w:ilvl="0" w:tplc="141A0019">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2" w15:restartNumberingAfterBreak="0">
    <w:nsid w:val="0FF85E95"/>
    <w:multiLevelType w:val="hybridMultilevel"/>
    <w:tmpl w:val="9F90C1C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3" w15:restartNumberingAfterBreak="0">
    <w:nsid w:val="10EB2FE1"/>
    <w:multiLevelType w:val="hybridMultilevel"/>
    <w:tmpl w:val="EE96839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11A057FA"/>
    <w:multiLevelType w:val="hybridMultilevel"/>
    <w:tmpl w:val="91CA7AB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5" w15:restartNumberingAfterBreak="0">
    <w:nsid w:val="11C26717"/>
    <w:multiLevelType w:val="hybridMultilevel"/>
    <w:tmpl w:val="3E4419C8"/>
    <w:lvl w:ilvl="0" w:tplc="A96ABE0C">
      <w:start w:val="1"/>
      <w:numFmt w:val="lowerLetter"/>
      <w:lvlText w:val="%1)"/>
      <w:lvlJc w:val="left"/>
      <w:pPr>
        <w:ind w:left="0" w:firstLine="0"/>
      </w:pPr>
      <w:rPr>
        <w:rFonts w:ascii="Calibri" w:hAnsi="Calibri" w:cs="Calibri" w:hint="default"/>
        <w:color w:val="auto"/>
        <w:sz w:val="1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135E284C"/>
    <w:multiLevelType w:val="hybridMultilevel"/>
    <w:tmpl w:val="55F4F8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4397AD8"/>
    <w:multiLevelType w:val="multilevel"/>
    <w:tmpl w:val="34228D62"/>
    <w:lvl w:ilvl="0">
      <w:start w:val="1"/>
      <w:numFmt w:val="decimal"/>
      <w:pStyle w:val="Head1"/>
      <w:suff w:val="space"/>
      <w:lvlText w:val="%1."/>
      <w:lvlJc w:val="left"/>
      <w:pPr>
        <w:ind w:left="360" w:hanging="360"/>
      </w:pPr>
      <w:rPr>
        <w:rFonts w:ascii="Calibri" w:hAnsi="Calibri" w:hint="default"/>
        <w:b/>
        <w:i w:val="0"/>
        <w:color w:val="00694D"/>
        <w:sz w:val="32"/>
      </w:rPr>
    </w:lvl>
    <w:lvl w:ilvl="1">
      <w:start w:val="1"/>
      <w:numFmt w:val="decimal"/>
      <w:pStyle w:val="Head2"/>
      <w:suff w:val="space"/>
      <w:lvlText w:val="%1.%2."/>
      <w:lvlJc w:val="left"/>
      <w:pPr>
        <w:ind w:left="1142" w:hanging="432"/>
      </w:pPr>
      <w:rPr>
        <w:rFonts w:ascii="Calibri" w:hAnsi="Calibri" w:hint="default"/>
        <w:b/>
        <w:i w:val="0"/>
        <w:color w:val="009D73"/>
        <w:sz w:val="28"/>
      </w:rPr>
    </w:lvl>
    <w:lvl w:ilvl="2">
      <w:start w:val="1"/>
      <w:numFmt w:val="decimal"/>
      <w:pStyle w:val="Head3"/>
      <w:suff w:val="space"/>
      <w:lvlText w:val="%1.%2.%3."/>
      <w:lvlJc w:val="left"/>
      <w:pPr>
        <w:ind w:left="504" w:hanging="504"/>
      </w:pPr>
      <w:rPr>
        <w:rFonts w:ascii="Calibri" w:hAnsi="Calibri" w:hint="default"/>
        <w:b/>
        <w:i w:val="0"/>
        <w:color w:val="00D29A"/>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43D1A0C"/>
    <w:multiLevelType w:val="hybridMultilevel"/>
    <w:tmpl w:val="983CB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4524C3E"/>
    <w:multiLevelType w:val="hybridMultilevel"/>
    <w:tmpl w:val="4986066E"/>
    <w:lvl w:ilvl="0" w:tplc="141A0011">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4E13D86"/>
    <w:multiLevelType w:val="hybridMultilevel"/>
    <w:tmpl w:val="039E2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4E83FD8"/>
    <w:multiLevelType w:val="hybridMultilevel"/>
    <w:tmpl w:val="E04A208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4F52294"/>
    <w:multiLevelType w:val="hybridMultilevel"/>
    <w:tmpl w:val="7AEAE5AE"/>
    <w:lvl w:ilvl="0" w:tplc="A96ABE0C">
      <w:start w:val="1"/>
      <w:numFmt w:val="lowerLetter"/>
      <w:lvlText w:val="%1)"/>
      <w:lvlJc w:val="left"/>
      <w:pPr>
        <w:ind w:left="720" w:hanging="360"/>
      </w:pPr>
      <w:rPr>
        <w:rFonts w:ascii="Calibri" w:hAnsi="Calibri" w:cs="Calibri" w:hint="default"/>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52C7C2E"/>
    <w:multiLevelType w:val="hybridMultilevel"/>
    <w:tmpl w:val="8D706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15DB2B2C"/>
    <w:multiLevelType w:val="hybridMultilevel"/>
    <w:tmpl w:val="145EB5EE"/>
    <w:lvl w:ilvl="0" w:tplc="A96ABE0C">
      <w:start w:val="1"/>
      <w:numFmt w:val="lowerLetter"/>
      <w:lvlText w:val="%1)"/>
      <w:lvlJc w:val="left"/>
      <w:pPr>
        <w:ind w:left="0" w:firstLine="0"/>
      </w:pPr>
      <w:rPr>
        <w:rFonts w:ascii="Calibri" w:hAnsi="Calibri" w:cs="Calibri" w:hint="default"/>
        <w:color w:val="auto"/>
        <w:sz w:val="1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160D2C8B"/>
    <w:multiLevelType w:val="hybridMultilevel"/>
    <w:tmpl w:val="37E2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D930B3"/>
    <w:multiLevelType w:val="hybridMultilevel"/>
    <w:tmpl w:val="983CB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6F02612"/>
    <w:multiLevelType w:val="hybridMultilevel"/>
    <w:tmpl w:val="78049302"/>
    <w:lvl w:ilvl="0" w:tplc="04090011">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48" w15:restartNumberingAfterBreak="0">
    <w:nsid w:val="17694D1E"/>
    <w:multiLevelType w:val="hybridMultilevel"/>
    <w:tmpl w:val="9AF64C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80A76BB"/>
    <w:multiLevelType w:val="hybridMultilevel"/>
    <w:tmpl w:val="14766174"/>
    <w:lvl w:ilvl="0" w:tplc="FFFFFFFF">
      <w:start w:val="1"/>
      <w:numFmt w:val="lowerLetter"/>
      <w:lvlText w:val="%1."/>
      <w:lvlJc w:val="left"/>
      <w:rPr>
        <w:rFonts w:hint="default"/>
      </w:rPr>
    </w:lvl>
    <w:lvl w:ilvl="1" w:tplc="FFFFFFFF" w:tentative="1">
      <w:start w:val="1"/>
      <w:numFmt w:val="bullet"/>
      <w:lvlText w:val="o"/>
      <w:lvlJc w:val="left"/>
      <w:pPr>
        <w:ind w:left="1130" w:hanging="360"/>
      </w:pPr>
      <w:rPr>
        <w:rFonts w:ascii="Courier New" w:hAnsi="Courier New" w:cs="Courier New"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50" w15:restartNumberingAfterBreak="0">
    <w:nsid w:val="18F228C2"/>
    <w:multiLevelType w:val="hybridMultilevel"/>
    <w:tmpl w:val="803ACF36"/>
    <w:lvl w:ilvl="0" w:tplc="141A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1" w15:restartNumberingAfterBreak="0">
    <w:nsid w:val="19713C2C"/>
    <w:multiLevelType w:val="hybridMultilevel"/>
    <w:tmpl w:val="3422875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9866FF4"/>
    <w:multiLevelType w:val="hybridMultilevel"/>
    <w:tmpl w:val="79285E9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3" w15:restartNumberingAfterBreak="0">
    <w:nsid w:val="19A0330C"/>
    <w:multiLevelType w:val="hybridMultilevel"/>
    <w:tmpl w:val="0CA2034A"/>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54" w15:restartNumberingAfterBreak="0">
    <w:nsid w:val="19DA7A43"/>
    <w:multiLevelType w:val="hybridMultilevel"/>
    <w:tmpl w:val="9B161878"/>
    <w:lvl w:ilvl="0" w:tplc="A96ABE0C">
      <w:start w:val="1"/>
      <w:numFmt w:val="lowerLetter"/>
      <w:lvlText w:val="%1)"/>
      <w:lvlJc w:val="left"/>
      <w:pPr>
        <w:ind w:left="0" w:firstLine="0"/>
      </w:pPr>
      <w:rPr>
        <w:rFonts w:ascii="Calibri" w:hAnsi="Calibri" w:cs="Calibri" w:hint="default"/>
        <w:color w:val="auto"/>
        <w:sz w:val="1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5" w15:restartNumberingAfterBreak="0">
    <w:nsid w:val="1A0A3042"/>
    <w:multiLevelType w:val="hybridMultilevel"/>
    <w:tmpl w:val="023AE23C"/>
    <w:lvl w:ilvl="0" w:tplc="FFFFFFFF">
      <w:start w:val="1"/>
      <w:numFmt w:val="lowerLetter"/>
      <w:lvlText w:val="%1."/>
      <w:lvlJc w:val="left"/>
      <w:pPr>
        <w:ind w:left="360"/>
      </w:pPr>
      <w:rPr>
        <w:rFonts w:hint="default"/>
      </w:rPr>
    </w:lvl>
    <w:lvl w:ilvl="1" w:tplc="FFFFFFFF" w:tentative="1">
      <w:start w:val="1"/>
      <w:numFmt w:val="bullet"/>
      <w:lvlText w:val="o"/>
      <w:lvlJc w:val="left"/>
      <w:pPr>
        <w:ind w:left="1130" w:hanging="360"/>
      </w:pPr>
      <w:rPr>
        <w:rFonts w:ascii="Courier New" w:hAnsi="Courier New" w:cs="Courier New"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56" w15:restartNumberingAfterBreak="0">
    <w:nsid w:val="1A655C3A"/>
    <w:multiLevelType w:val="hybridMultilevel"/>
    <w:tmpl w:val="1B8E8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A6D0EDC"/>
    <w:multiLevelType w:val="hybridMultilevel"/>
    <w:tmpl w:val="1ED059E8"/>
    <w:lvl w:ilvl="0" w:tplc="FFFFFFFF">
      <w:start w:val="1"/>
      <w:numFmt w:val="lowerLetter"/>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A986606"/>
    <w:multiLevelType w:val="hybridMultilevel"/>
    <w:tmpl w:val="9FDA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EA09F6"/>
    <w:multiLevelType w:val="hybridMultilevel"/>
    <w:tmpl w:val="785010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DE50243"/>
    <w:multiLevelType w:val="hybridMultilevel"/>
    <w:tmpl w:val="5B540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E2D4C40"/>
    <w:multiLevelType w:val="hybridMultilevel"/>
    <w:tmpl w:val="E814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E5B4E42"/>
    <w:multiLevelType w:val="hybridMultilevel"/>
    <w:tmpl w:val="983CB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E845820"/>
    <w:multiLevelType w:val="hybridMultilevel"/>
    <w:tmpl w:val="003E9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E9B5218"/>
    <w:multiLevelType w:val="multilevel"/>
    <w:tmpl w:val="7698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F163FE8"/>
    <w:multiLevelType w:val="hybridMultilevel"/>
    <w:tmpl w:val="E1E82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207319FD"/>
    <w:multiLevelType w:val="hybridMultilevel"/>
    <w:tmpl w:val="4432A6A0"/>
    <w:lvl w:ilvl="0" w:tplc="1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20993DAB"/>
    <w:multiLevelType w:val="hybridMultilevel"/>
    <w:tmpl w:val="F6D03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21031600"/>
    <w:multiLevelType w:val="hybridMultilevel"/>
    <w:tmpl w:val="4C5CFBCE"/>
    <w:lvl w:ilvl="0" w:tplc="04090011">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69" w15:restartNumberingAfterBreak="0">
    <w:nsid w:val="21562170"/>
    <w:multiLevelType w:val="hybridMultilevel"/>
    <w:tmpl w:val="0FEAC91C"/>
    <w:lvl w:ilvl="0" w:tplc="FA6E0BB2">
      <w:start w:val="1"/>
      <w:numFmt w:val="decimal"/>
      <w:lvlText w:val="%1)"/>
      <w:lvlJc w:val="left"/>
      <w:pPr>
        <w:ind w:left="720" w:hanging="360"/>
      </w:pPr>
      <w:rPr>
        <w:rFonts w:eastAsiaTheme="minorHAnsi"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0" w15:restartNumberingAfterBreak="0">
    <w:nsid w:val="22263CC8"/>
    <w:multiLevelType w:val="hybridMultilevel"/>
    <w:tmpl w:val="F2E00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231A4A6D"/>
    <w:multiLevelType w:val="hybridMultilevel"/>
    <w:tmpl w:val="A3D22AC6"/>
    <w:lvl w:ilvl="0" w:tplc="141A0001">
      <w:start w:val="1"/>
      <w:numFmt w:val="bullet"/>
      <w:lvlText w:val=""/>
      <w:lvlJc w:val="left"/>
      <w:pPr>
        <w:ind w:left="720" w:hanging="360"/>
      </w:pPr>
      <w:rPr>
        <w:rFonts w:ascii="Symbol" w:hAnsi="Symbol" w:hint="default"/>
      </w:rPr>
    </w:lvl>
    <w:lvl w:ilvl="1" w:tplc="62F27488">
      <w:numFmt w:val="bullet"/>
      <w:lvlText w:val="-"/>
      <w:lvlJc w:val="left"/>
      <w:pPr>
        <w:ind w:left="1440" w:hanging="360"/>
      </w:pPr>
      <w:rPr>
        <w:rFonts w:ascii="Calibri" w:eastAsia="Calibri" w:hAnsi="Calibri" w:cs="Calibri"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2" w15:restartNumberingAfterBreak="0">
    <w:nsid w:val="234954AB"/>
    <w:multiLevelType w:val="hybridMultilevel"/>
    <w:tmpl w:val="6A3A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34E2ADE"/>
    <w:multiLevelType w:val="hybridMultilevel"/>
    <w:tmpl w:val="64BA8FEC"/>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4" w15:restartNumberingAfterBreak="0">
    <w:nsid w:val="238557D4"/>
    <w:multiLevelType w:val="hybridMultilevel"/>
    <w:tmpl w:val="5700130C"/>
    <w:lvl w:ilvl="0" w:tplc="FFFFFFFF">
      <w:start w:val="1"/>
      <w:numFmt w:val="lowerLetter"/>
      <w:lvlText w:val="%1)"/>
      <w:lvlJc w:val="left"/>
      <w:pPr>
        <w:ind w:left="720" w:hanging="360"/>
      </w:pPr>
      <w:rPr>
        <w:rFonts w:asciiTheme="minorHAnsi" w:eastAsia="Calibri" w:hAnsiTheme="minorHAnsi" w:cstheme="minorHAnsi" w:hint="default"/>
        <w:color w:val="auto"/>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 w15:restartNumberingAfterBreak="0">
    <w:nsid w:val="253D5597"/>
    <w:multiLevelType w:val="hybridMultilevel"/>
    <w:tmpl w:val="ABDCB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25E2197A"/>
    <w:multiLevelType w:val="hybridMultilevel"/>
    <w:tmpl w:val="26D06326"/>
    <w:lvl w:ilvl="0" w:tplc="FFFFFFFF">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6E83C45"/>
    <w:multiLevelType w:val="hybridMultilevel"/>
    <w:tmpl w:val="BAB8CE18"/>
    <w:lvl w:ilvl="0" w:tplc="0409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8" w15:restartNumberingAfterBreak="0">
    <w:nsid w:val="2840699A"/>
    <w:multiLevelType w:val="hybridMultilevel"/>
    <w:tmpl w:val="0C64DD36"/>
    <w:lvl w:ilvl="0" w:tplc="1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79" w15:restartNumberingAfterBreak="0">
    <w:nsid w:val="2911190D"/>
    <w:multiLevelType w:val="hybridMultilevel"/>
    <w:tmpl w:val="983CB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206DB7"/>
    <w:multiLevelType w:val="hybridMultilevel"/>
    <w:tmpl w:val="AF92FAF8"/>
    <w:lvl w:ilvl="0" w:tplc="0409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1" w15:restartNumberingAfterBreak="0">
    <w:nsid w:val="298878D8"/>
    <w:multiLevelType w:val="hybridMultilevel"/>
    <w:tmpl w:val="9882611A"/>
    <w:lvl w:ilvl="0" w:tplc="141A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2" w15:restartNumberingAfterBreak="0">
    <w:nsid w:val="2A3C0C73"/>
    <w:multiLevelType w:val="hybridMultilevel"/>
    <w:tmpl w:val="2A463E30"/>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83" w15:restartNumberingAfterBreak="0">
    <w:nsid w:val="2A622F17"/>
    <w:multiLevelType w:val="hybridMultilevel"/>
    <w:tmpl w:val="9FE8098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4" w15:restartNumberingAfterBreak="0">
    <w:nsid w:val="2A87497D"/>
    <w:multiLevelType w:val="hybridMultilevel"/>
    <w:tmpl w:val="2130A88C"/>
    <w:lvl w:ilvl="0" w:tplc="141A0019">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5" w15:restartNumberingAfterBreak="0">
    <w:nsid w:val="2AFD6885"/>
    <w:multiLevelType w:val="hybridMultilevel"/>
    <w:tmpl w:val="FA3A3A28"/>
    <w:lvl w:ilvl="0" w:tplc="04090011">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86" w15:restartNumberingAfterBreak="0">
    <w:nsid w:val="2B2A3045"/>
    <w:multiLevelType w:val="hybridMultilevel"/>
    <w:tmpl w:val="D9CAA774"/>
    <w:lvl w:ilvl="0" w:tplc="9C40EB9A">
      <w:start w:val="1"/>
      <w:numFmt w:val="bullet"/>
      <w:lvlText w:val=""/>
      <w:lvlJc w:val="left"/>
      <w:pPr>
        <w:ind w:left="720" w:hanging="360"/>
      </w:pPr>
      <w:rPr>
        <w:rFonts w:ascii="Symbol" w:hAnsi="Symbol" w:hint="default"/>
        <w:u w:color="2F549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7" w15:restartNumberingAfterBreak="0">
    <w:nsid w:val="2C1C7B5D"/>
    <w:multiLevelType w:val="hybridMultilevel"/>
    <w:tmpl w:val="D534E1F0"/>
    <w:lvl w:ilvl="0" w:tplc="141A0019">
      <w:start w:val="1"/>
      <w:numFmt w:val="lowerLetter"/>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2C544950"/>
    <w:multiLevelType w:val="hybridMultilevel"/>
    <w:tmpl w:val="A7888EAC"/>
    <w:lvl w:ilvl="0" w:tplc="1CCC31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D000790"/>
    <w:multiLevelType w:val="hybridMultilevel"/>
    <w:tmpl w:val="99586ED0"/>
    <w:lvl w:ilvl="0" w:tplc="FFFFFFFF">
      <w:start w:val="1"/>
      <w:numFmt w:val="lowerLetter"/>
      <w:lvlText w:val="%1."/>
      <w:lvlJc w:val="left"/>
      <w:pPr>
        <w:ind w:left="0" w:firstLine="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0" w15:restartNumberingAfterBreak="0">
    <w:nsid w:val="2DAA0D75"/>
    <w:multiLevelType w:val="hybridMultilevel"/>
    <w:tmpl w:val="C8341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E1060F8"/>
    <w:multiLevelType w:val="hybridMultilevel"/>
    <w:tmpl w:val="9C3C5430"/>
    <w:lvl w:ilvl="0" w:tplc="1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2E1D474B"/>
    <w:multiLevelType w:val="hybridMultilevel"/>
    <w:tmpl w:val="983CB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F7252C9"/>
    <w:multiLevelType w:val="hybridMultilevel"/>
    <w:tmpl w:val="86E8FB82"/>
    <w:lvl w:ilvl="0" w:tplc="A96ABE0C">
      <w:start w:val="1"/>
      <w:numFmt w:val="lowerLetter"/>
      <w:lvlText w:val="%1)"/>
      <w:lvlJc w:val="left"/>
      <w:pPr>
        <w:ind w:left="720" w:hanging="360"/>
      </w:pPr>
      <w:rPr>
        <w:rFonts w:ascii="Calibri" w:hAnsi="Calibri" w:cs="Calibri" w:hint="default"/>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FA22827"/>
    <w:multiLevelType w:val="hybridMultilevel"/>
    <w:tmpl w:val="2878EDC4"/>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5" w15:restartNumberingAfterBreak="0">
    <w:nsid w:val="30491D7A"/>
    <w:multiLevelType w:val="hybridMultilevel"/>
    <w:tmpl w:val="33DCE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30E27B83"/>
    <w:multiLevelType w:val="hybridMultilevel"/>
    <w:tmpl w:val="4BFA04E2"/>
    <w:lvl w:ilvl="0" w:tplc="FFFFFFFF">
      <w:start w:val="1"/>
      <w:numFmt w:val="lowerLetter"/>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1996E78"/>
    <w:multiLevelType w:val="hybridMultilevel"/>
    <w:tmpl w:val="7B74A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31CE6F70"/>
    <w:multiLevelType w:val="hybridMultilevel"/>
    <w:tmpl w:val="EE2E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2D84ED2"/>
    <w:multiLevelType w:val="hybridMultilevel"/>
    <w:tmpl w:val="250A7B46"/>
    <w:lvl w:ilvl="0" w:tplc="0409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0" w15:restartNumberingAfterBreak="0">
    <w:nsid w:val="333D6834"/>
    <w:multiLevelType w:val="hybridMultilevel"/>
    <w:tmpl w:val="ACB04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4211CD0"/>
    <w:multiLevelType w:val="hybridMultilevel"/>
    <w:tmpl w:val="069E535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2" w15:restartNumberingAfterBreak="0">
    <w:nsid w:val="34236D9C"/>
    <w:multiLevelType w:val="hybridMultilevel"/>
    <w:tmpl w:val="92FC71C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3" w15:restartNumberingAfterBreak="0">
    <w:nsid w:val="346A0A44"/>
    <w:multiLevelType w:val="hybridMultilevel"/>
    <w:tmpl w:val="D8A0160A"/>
    <w:lvl w:ilvl="0" w:tplc="141A0011">
      <w:start w:val="1"/>
      <w:numFmt w:val="decimal"/>
      <w:lvlText w:val="%1)"/>
      <w:lvlJc w:val="lef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34A85071"/>
    <w:multiLevelType w:val="hybridMultilevel"/>
    <w:tmpl w:val="EA987E8A"/>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35496388"/>
    <w:multiLevelType w:val="hybridMultilevel"/>
    <w:tmpl w:val="35F43C3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6" w15:restartNumberingAfterBreak="0">
    <w:nsid w:val="35B766DB"/>
    <w:multiLevelType w:val="hybridMultilevel"/>
    <w:tmpl w:val="B94C2254"/>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35F70DF7"/>
    <w:multiLevelType w:val="hybridMultilevel"/>
    <w:tmpl w:val="B9FE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65E6DCE"/>
    <w:multiLevelType w:val="hybridMultilevel"/>
    <w:tmpl w:val="45649128"/>
    <w:lvl w:ilvl="0" w:tplc="141A0011">
      <w:start w:val="1"/>
      <w:numFmt w:val="decimal"/>
      <w:lvlText w:val="%1)"/>
      <w:lvlJc w:val="lef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36C27A6D"/>
    <w:multiLevelType w:val="hybridMultilevel"/>
    <w:tmpl w:val="D1147764"/>
    <w:lvl w:ilvl="0" w:tplc="9C40EB9A">
      <w:start w:val="1"/>
      <w:numFmt w:val="bullet"/>
      <w:lvlText w:val=""/>
      <w:lvlJc w:val="left"/>
      <w:pPr>
        <w:ind w:left="720" w:hanging="360"/>
      </w:pPr>
      <w:rPr>
        <w:rFonts w:ascii="Symbol" w:hAnsi="Symbol" w:hint="default"/>
        <w:u w:color="2F549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0" w15:restartNumberingAfterBreak="0">
    <w:nsid w:val="3744716A"/>
    <w:multiLevelType w:val="hybridMultilevel"/>
    <w:tmpl w:val="91EA3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8A3120B"/>
    <w:multiLevelType w:val="hybridMultilevel"/>
    <w:tmpl w:val="CB7AB860"/>
    <w:lvl w:ilvl="0" w:tplc="FFFFFFFF">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38B526F0"/>
    <w:multiLevelType w:val="hybridMultilevel"/>
    <w:tmpl w:val="35429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9176C30"/>
    <w:multiLevelType w:val="hybridMultilevel"/>
    <w:tmpl w:val="021425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397A3942"/>
    <w:multiLevelType w:val="hybridMultilevel"/>
    <w:tmpl w:val="1CD470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ABA3DAD"/>
    <w:multiLevelType w:val="hybridMultilevel"/>
    <w:tmpl w:val="36E451B4"/>
    <w:lvl w:ilvl="0" w:tplc="FFFFFFFF">
      <w:start w:val="1"/>
      <w:numFmt w:val="lowerLetter"/>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3AD36498"/>
    <w:multiLevelType w:val="hybridMultilevel"/>
    <w:tmpl w:val="A10E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AD538E1"/>
    <w:multiLevelType w:val="hybridMultilevel"/>
    <w:tmpl w:val="8542C6EA"/>
    <w:lvl w:ilvl="0" w:tplc="1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8" w15:restartNumberingAfterBreak="0">
    <w:nsid w:val="3B031EB1"/>
    <w:multiLevelType w:val="hybridMultilevel"/>
    <w:tmpl w:val="50927946"/>
    <w:lvl w:ilvl="0" w:tplc="0809000D">
      <w:start w:val="1"/>
      <w:numFmt w:val="bullet"/>
      <w:lvlText w:val=""/>
      <w:lvlJc w:val="left"/>
      <w:pPr>
        <w:ind w:left="360" w:hanging="360"/>
      </w:pPr>
      <w:rPr>
        <w:rFonts w:ascii="Wingdings" w:hAnsi="Wingdings" w:hint="default"/>
        <w:sz w:val="16"/>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3B0450E8"/>
    <w:multiLevelType w:val="hybridMultilevel"/>
    <w:tmpl w:val="D8A0160A"/>
    <w:lvl w:ilvl="0" w:tplc="FFFFFFFF">
      <w:start w:val="1"/>
      <w:numFmt w:val="decimal"/>
      <w:lvlText w:val="%1)"/>
      <w:lvlJc w:val="lef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3BCD7322"/>
    <w:multiLevelType w:val="hybridMultilevel"/>
    <w:tmpl w:val="5700130C"/>
    <w:lvl w:ilvl="0" w:tplc="ABE4D00E">
      <w:start w:val="1"/>
      <w:numFmt w:val="lowerLetter"/>
      <w:lvlText w:val="%1)"/>
      <w:lvlJc w:val="left"/>
      <w:pPr>
        <w:ind w:left="720" w:hanging="360"/>
      </w:pPr>
      <w:rPr>
        <w:rFonts w:asciiTheme="minorHAnsi" w:eastAsia="Calibri" w:hAnsiTheme="minorHAnsi" w:cstheme="minorHAnsi" w:hint="default"/>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15:restartNumberingAfterBreak="0">
    <w:nsid w:val="3D191E89"/>
    <w:multiLevelType w:val="hybridMultilevel"/>
    <w:tmpl w:val="4BFA04E2"/>
    <w:lvl w:ilvl="0" w:tplc="FFFFFFFF">
      <w:start w:val="1"/>
      <w:numFmt w:val="lowerLetter"/>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3DBE5014"/>
    <w:multiLevelType w:val="hybridMultilevel"/>
    <w:tmpl w:val="C7605BFC"/>
    <w:lvl w:ilvl="0" w:tplc="0409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3" w15:restartNumberingAfterBreak="0">
    <w:nsid w:val="3E45224D"/>
    <w:multiLevelType w:val="hybridMultilevel"/>
    <w:tmpl w:val="29FADCCE"/>
    <w:lvl w:ilvl="0" w:tplc="FFFFFFFF">
      <w:start w:val="1"/>
      <w:numFmt w:val="bullet"/>
      <w:lvlText w:val=""/>
      <w:lvlJc w:val="left"/>
      <w:pPr>
        <w:ind w:left="720" w:hanging="360"/>
      </w:pPr>
      <w:rPr>
        <w:rFonts w:ascii="Symbol" w:hAnsi="Symbol" w:hint="default"/>
        <w:u w:color="2F5496"/>
      </w:rPr>
    </w:lvl>
    <w:lvl w:ilvl="1" w:tplc="FFFFFFFF" w:tentative="1">
      <w:start w:val="1"/>
      <w:numFmt w:val="bullet"/>
      <w:lvlText w:val="o"/>
      <w:lvlJc w:val="left"/>
      <w:pPr>
        <w:ind w:left="1440" w:hanging="360"/>
      </w:pPr>
      <w:rPr>
        <w:rFonts w:ascii="Courier New" w:hAnsi="Courier New" w:cs="Courier New" w:hint="default"/>
      </w:rPr>
    </w:lvl>
    <w:lvl w:ilvl="2" w:tplc="9C40EB9A">
      <w:start w:val="1"/>
      <w:numFmt w:val="bullet"/>
      <w:lvlText w:val=""/>
      <w:lvlJc w:val="left"/>
      <w:pPr>
        <w:ind w:left="4680" w:hanging="360"/>
      </w:pPr>
      <w:rPr>
        <w:rFonts w:ascii="Symbol" w:hAnsi="Symbol" w:hint="default"/>
        <w:u w:color="2F5496"/>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3E9B0381"/>
    <w:multiLevelType w:val="hybridMultilevel"/>
    <w:tmpl w:val="43521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EB56E52"/>
    <w:multiLevelType w:val="hybridMultilevel"/>
    <w:tmpl w:val="1B8E8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F294177"/>
    <w:multiLevelType w:val="hybridMultilevel"/>
    <w:tmpl w:val="402AF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F986F1C"/>
    <w:multiLevelType w:val="hybridMultilevel"/>
    <w:tmpl w:val="879C1690"/>
    <w:lvl w:ilvl="0" w:tplc="15B0502E">
      <w:start w:val="201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3FC5255F"/>
    <w:multiLevelType w:val="hybridMultilevel"/>
    <w:tmpl w:val="021425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421611A1"/>
    <w:multiLevelType w:val="hybridMultilevel"/>
    <w:tmpl w:val="983CB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22F419A"/>
    <w:multiLevelType w:val="hybridMultilevel"/>
    <w:tmpl w:val="1E60B3CC"/>
    <w:lvl w:ilvl="0" w:tplc="A96ABE0C">
      <w:start w:val="1"/>
      <w:numFmt w:val="lowerLetter"/>
      <w:lvlText w:val="%1)"/>
      <w:lvlJc w:val="left"/>
      <w:pPr>
        <w:ind w:left="360" w:firstLine="0"/>
      </w:pPr>
      <w:rPr>
        <w:rFonts w:ascii="Calibri" w:hAnsi="Calibri" w:cs="Calibri" w:hint="default"/>
        <w:color w:val="auto"/>
        <w:sz w:val="18"/>
      </w:rPr>
    </w:lvl>
    <w:lvl w:ilvl="1" w:tplc="FFFFFFFF">
      <w:start w:val="1"/>
      <w:numFmt w:val="bullet"/>
      <w:lvlText w:val="o"/>
      <w:lvlJc w:val="left"/>
      <w:pPr>
        <w:ind w:left="1130" w:hanging="360"/>
      </w:pPr>
      <w:rPr>
        <w:rFonts w:ascii="Courier New" w:hAnsi="Courier New" w:cs="Courier New" w:hint="default"/>
      </w:rPr>
    </w:lvl>
    <w:lvl w:ilvl="2" w:tplc="FFFFFFFF">
      <w:start w:val="1"/>
      <w:numFmt w:val="bullet"/>
      <w:lvlText w:val=""/>
      <w:lvlJc w:val="left"/>
      <w:pPr>
        <w:ind w:left="1850" w:hanging="360"/>
      </w:pPr>
      <w:rPr>
        <w:rFonts w:ascii="Wingdings" w:hAnsi="Wingdings" w:hint="default"/>
      </w:rPr>
    </w:lvl>
    <w:lvl w:ilvl="3" w:tplc="FFFFFFFF">
      <w:start w:val="1"/>
      <w:numFmt w:val="bullet"/>
      <w:lvlText w:val=""/>
      <w:lvlJc w:val="left"/>
      <w:pPr>
        <w:ind w:left="2570" w:hanging="360"/>
      </w:pPr>
      <w:rPr>
        <w:rFonts w:ascii="Symbol" w:hAnsi="Symbol" w:hint="default"/>
      </w:rPr>
    </w:lvl>
    <w:lvl w:ilvl="4" w:tplc="FFFFFFFF">
      <w:start w:val="1"/>
      <w:numFmt w:val="bullet"/>
      <w:lvlText w:val="o"/>
      <w:lvlJc w:val="left"/>
      <w:pPr>
        <w:ind w:left="3290" w:hanging="360"/>
      </w:pPr>
      <w:rPr>
        <w:rFonts w:ascii="Courier New" w:hAnsi="Courier New" w:cs="Courier New" w:hint="default"/>
      </w:rPr>
    </w:lvl>
    <w:lvl w:ilvl="5" w:tplc="FFFFFFFF">
      <w:start w:val="1"/>
      <w:numFmt w:val="bullet"/>
      <w:lvlText w:val=""/>
      <w:lvlJc w:val="left"/>
      <w:pPr>
        <w:ind w:left="4010" w:hanging="360"/>
      </w:pPr>
      <w:rPr>
        <w:rFonts w:ascii="Wingdings" w:hAnsi="Wingdings" w:hint="default"/>
      </w:rPr>
    </w:lvl>
    <w:lvl w:ilvl="6" w:tplc="FFFFFFFF">
      <w:start w:val="1"/>
      <w:numFmt w:val="bullet"/>
      <w:lvlText w:val=""/>
      <w:lvlJc w:val="left"/>
      <w:pPr>
        <w:ind w:left="4730" w:hanging="360"/>
      </w:pPr>
      <w:rPr>
        <w:rFonts w:ascii="Symbol" w:hAnsi="Symbol" w:hint="default"/>
      </w:rPr>
    </w:lvl>
    <w:lvl w:ilvl="7" w:tplc="FFFFFFFF">
      <w:start w:val="1"/>
      <w:numFmt w:val="bullet"/>
      <w:lvlText w:val="o"/>
      <w:lvlJc w:val="left"/>
      <w:pPr>
        <w:ind w:left="5450" w:hanging="360"/>
      </w:pPr>
      <w:rPr>
        <w:rFonts w:ascii="Courier New" w:hAnsi="Courier New" w:cs="Courier New" w:hint="default"/>
      </w:rPr>
    </w:lvl>
    <w:lvl w:ilvl="8" w:tplc="FFFFFFFF">
      <w:start w:val="1"/>
      <w:numFmt w:val="bullet"/>
      <w:lvlText w:val=""/>
      <w:lvlJc w:val="left"/>
      <w:pPr>
        <w:ind w:left="6170" w:hanging="360"/>
      </w:pPr>
      <w:rPr>
        <w:rFonts w:ascii="Wingdings" w:hAnsi="Wingdings" w:hint="default"/>
      </w:rPr>
    </w:lvl>
  </w:abstractNum>
  <w:abstractNum w:abstractNumId="131" w15:restartNumberingAfterBreak="0">
    <w:nsid w:val="42EB7BD5"/>
    <w:multiLevelType w:val="hybridMultilevel"/>
    <w:tmpl w:val="C8A87E7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435F56D8"/>
    <w:multiLevelType w:val="hybridMultilevel"/>
    <w:tmpl w:val="E58254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4361261D"/>
    <w:multiLevelType w:val="hybridMultilevel"/>
    <w:tmpl w:val="315A9B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438B779A"/>
    <w:multiLevelType w:val="hybridMultilevel"/>
    <w:tmpl w:val="8A4E5236"/>
    <w:lvl w:ilvl="0" w:tplc="FFFFFFFF">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45440D40"/>
    <w:multiLevelType w:val="hybridMultilevel"/>
    <w:tmpl w:val="0D04CE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462C3C99"/>
    <w:multiLevelType w:val="hybridMultilevel"/>
    <w:tmpl w:val="983CB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68053E5"/>
    <w:multiLevelType w:val="hybridMultilevel"/>
    <w:tmpl w:val="89921A6C"/>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8" w15:restartNumberingAfterBreak="0">
    <w:nsid w:val="47252BEF"/>
    <w:multiLevelType w:val="hybridMultilevel"/>
    <w:tmpl w:val="83B092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479430FB"/>
    <w:multiLevelType w:val="hybridMultilevel"/>
    <w:tmpl w:val="99248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47CF1AAA"/>
    <w:multiLevelType w:val="hybridMultilevel"/>
    <w:tmpl w:val="6956A190"/>
    <w:lvl w:ilvl="0" w:tplc="0409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1" w15:restartNumberingAfterBreak="0">
    <w:nsid w:val="484C3DE7"/>
    <w:multiLevelType w:val="hybridMultilevel"/>
    <w:tmpl w:val="7008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89A7293"/>
    <w:multiLevelType w:val="hybridMultilevel"/>
    <w:tmpl w:val="6382DAC6"/>
    <w:lvl w:ilvl="0" w:tplc="04090017">
      <w:start w:val="1"/>
      <w:numFmt w:val="lowerLetter"/>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143" w15:restartNumberingAfterBreak="0">
    <w:nsid w:val="494B7D20"/>
    <w:multiLevelType w:val="hybridMultilevel"/>
    <w:tmpl w:val="18D27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9A75CF9"/>
    <w:multiLevelType w:val="hybridMultilevel"/>
    <w:tmpl w:val="30D25F20"/>
    <w:lvl w:ilvl="0" w:tplc="141A0019">
      <w:start w:val="1"/>
      <w:numFmt w:val="lowerLetter"/>
      <w:lvlText w:val="%1."/>
      <w:lvlJc w:val="left"/>
      <w:pPr>
        <w:ind w:left="1570" w:hanging="360"/>
      </w:pPr>
    </w:lvl>
    <w:lvl w:ilvl="1" w:tplc="141A0019" w:tentative="1">
      <w:start w:val="1"/>
      <w:numFmt w:val="lowerLetter"/>
      <w:lvlText w:val="%2."/>
      <w:lvlJc w:val="left"/>
      <w:pPr>
        <w:ind w:left="2290" w:hanging="360"/>
      </w:pPr>
    </w:lvl>
    <w:lvl w:ilvl="2" w:tplc="141A001B" w:tentative="1">
      <w:start w:val="1"/>
      <w:numFmt w:val="lowerRoman"/>
      <w:lvlText w:val="%3."/>
      <w:lvlJc w:val="right"/>
      <w:pPr>
        <w:ind w:left="3010" w:hanging="180"/>
      </w:pPr>
    </w:lvl>
    <w:lvl w:ilvl="3" w:tplc="141A000F" w:tentative="1">
      <w:start w:val="1"/>
      <w:numFmt w:val="decimal"/>
      <w:lvlText w:val="%4."/>
      <w:lvlJc w:val="left"/>
      <w:pPr>
        <w:ind w:left="3730" w:hanging="360"/>
      </w:pPr>
    </w:lvl>
    <w:lvl w:ilvl="4" w:tplc="141A0019" w:tentative="1">
      <w:start w:val="1"/>
      <w:numFmt w:val="lowerLetter"/>
      <w:lvlText w:val="%5."/>
      <w:lvlJc w:val="left"/>
      <w:pPr>
        <w:ind w:left="4450" w:hanging="360"/>
      </w:pPr>
    </w:lvl>
    <w:lvl w:ilvl="5" w:tplc="141A001B" w:tentative="1">
      <w:start w:val="1"/>
      <w:numFmt w:val="lowerRoman"/>
      <w:lvlText w:val="%6."/>
      <w:lvlJc w:val="right"/>
      <w:pPr>
        <w:ind w:left="5170" w:hanging="180"/>
      </w:pPr>
    </w:lvl>
    <w:lvl w:ilvl="6" w:tplc="141A000F" w:tentative="1">
      <w:start w:val="1"/>
      <w:numFmt w:val="decimal"/>
      <w:lvlText w:val="%7."/>
      <w:lvlJc w:val="left"/>
      <w:pPr>
        <w:ind w:left="5890" w:hanging="360"/>
      </w:pPr>
    </w:lvl>
    <w:lvl w:ilvl="7" w:tplc="141A0019" w:tentative="1">
      <w:start w:val="1"/>
      <w:numFmt w:val="lowerLetter"/>
      <w:lvlText w:val="%8."/>
      <w:lvlJc w:val="left"/>
      <w:pPr>
        <w:ind w:left="6610" w:hanging="360"/>
      </w:pPr>
    </w:lvl>
    <w:lvl w:ilvl="8" w:tplc="141A001B" w:tentative="1">
      <w:start w:val="1"/>
      <w:numFmt w:val="lowerRoman"/>
      <w:lvlText w:val="%9."/>
      <w:lvlJc w:val="right"/>
      <w:pPr>
        <w:ind w:left="7330" w:hanging="180"/>
      </w:pPr>
    </w:lvl>
  </w:abstractNum>
  <w:abstractNum w:abstractNumId="145" w15:restartNumberingAfterBreak="0">
    <w:nsid w:val="4ADC29A2"/>
    <w:multiLevelType w:val="hybridMultilevel"/>
    <w:tmpl w:val="5A667E16"/>
    <w:lvl w:ilvl="0" w:tplc="8DF432CA">
      <w:start w:val="1"/>
      <w:numFmt w:val="low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B387105"/>
    <w:multiLevelType w:val="hybridMultilevel"/>
    <w:tmpl w:val="983CB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B4E3078"/>
    <w:multiLevelType w:val="hybridMultilevel"/>
    <w:tmpl w:val="C0FAE890"/>
    <w:lvl w:ilvl="0" w:tplc="EF14695E">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8" w15:restartNumberingAfterBreak="0">
    <w:nsid w:val="4C1049BD"/>
    <w:multiLevelType w:val="hybridMultilevel"/>
    <w:tmpl w:val="3B7EB266"/>
    <w:lvl w:ilvl="0" w:tplc="9C40EB9A">
      <w:start w:val="1"/>
      <w:numFmt w:val="bullet"/>
      <w:lvlText w:val=""/>
      <w:lvlJc w:val="left"/>
      <w:pPr>
        <w:ind w:left="720" w:hanging="360"/>
      </w:pPr>
      <w:rPr>
        <w:rFonts w:ascii="Symbol" w:hAnsi="Symbol" w:hint="default"/>
        <w:u w:color="2F549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4C4A09BF"/>
    <w:multiLevelType w:val="hybridMultilevel"/>
    <w:tmpl w:val="D0666FFA"/>
    <w:lvl w:ilvl="0" w:tplc="FFFFFFFF">
      <w:start w:val="1"/>
      <w:numFmt w:val="decimal"/>
      <w:lvlText w:val="%1)"/>
      <w:lvlJc w:val="left"/>
      <w:pPr>
        <w:ind w:left="0" w:firstLine="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0" w15:restartNumberingAfterBreak="0">
    <w:nsid w:val="4CA23145"/>
    <w:multiLevelType w:val="hybridMultilevel"/>
    <w:tmpl w:val="AC5AA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1" w15:restartNumberingAfterBreak="0">
    <w:nsid w:val="4CEF1F29"/>
    <w:multiLevelType w:val="hybridMultilevel"/>
    <w:tmpl w:val="5C2A27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D0C77DC"/>
    <w:multiLevelType w:val="hybridMultilevel"/>
    <w:tmpl w:val="1ADCAE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D7D0850"/>
    <w:multiLevelType w:val="hybridMultilevel"/>
    <w:tmpl w:val="66CAB720"/>
    <w:lvl w:ilvl="0" w:tplc="A96ABE0C">
      <w:start w:val="1"/>
      <w:numFmt w:val="lowerLetter"/>
      <w:lvlText w:val="%1)"/>
      <w:lvlJc w:val="left"/>
      <w:pPr>
        <w:ind w:left="360" w:firstLine="0"/>
      </w:pPr>
      <w:rPr>
        <w:rFonts w:ascii="Calibri" w:hAnsi="Calibri" w:cs="Calibri" w:hint="default"/>
        <w:color w:val="auto"/>
        <w:sz w:val="18"/>
      </w:rPr>
    </w:lvl>
    <w:lvl w:ilvl="1" w:tplc="FFFFFFFF">
      <w:start w:val="1"/>
      <w:numFmt w:val="bullet"/>
      <w:lvlText w:val="o"/>
      <w:lvlJc w:val="left"/>
      <w:pPr>
        <w:ind w:left="1130" w:hanging="360"/>
      </w:pPr>
      <w:rPr>
        <w:rFonts w:ascii="Courier New" w:hAnsi="Courier New" w:cs="Courier New" w:hint="default"/>
      </w:rPr>
    </w:lvl>
    <w:lvl w:ilvl="2" w:tplc="FFFFFFFF">
      <w:start w:val="1"/>
      <w:numFmt w:val="bullet"/>
      <w:lvlText w:val=""/>
      <w:lvlJc w:val="left"/>
      <w:pPr>
        <w:ind w:left="1850" w:hanging="360"/>
      </w:pPr>
      <w:rPr>
        <w:rFonts w:ascii="Wingdings" w:hAnsi="Wingdings" w:hint="default"/>
      </w:rPr>
    </w:lvl>
    <w:lvl w:ilvl="3" w:tplc="FFFFFFFF">
      <w:start w:val="1"/>
      <w:numFmt w:val="bullet"/>
      <w:lvlText w:val=""/>
      <w:lvlJc w:val="left"/>
      <w:pPr>
        <w:ind w:left="2570" w:hanging="360"/>
      </w:pPr>
      <w:rPr>
        <w:rFonts w:ascii="Symbol" w:hAnsi="Symbol" w:hint="default"/>
      </w:rPr>
    </w:lvl>
    <w:lvl w:ilvl="4" w:tplc="FFFFFFFF">
      <w:start w:val="1"/>
      <w:numFmt w:val="bullet"/>
      <w:lvlText w:val="o"/>
      <w:lvlJc w:val="left"/>
      <w:pPr>
        <w:ind w:left="3290" w:hanging="360"/>
      </w:pPr>
      <w:rPr>
        <w:rFonts w:ascii="Courier New" w:hAnsi="Courier New" w:cs="Courier New" w:hint="default"/>
      </w:rPr>
    </w:lvl>
    <w:lvl w:ilvl="5" w:tplc="FFFFFFFF">
      <w:start w:val="1"/>
      <w:numFmt w:val="bullet"/>
      <w:lvlText w:val=""/>
      <w:lvlJc w:val="left"/>
      <w:pPr>
        <w:ind w:left="4010" w:hanging="360"/>
      </w:pPr>
      <w:rPr>
        <w:rFonts w:ascii="Wingdings" w:hAnsi="Wingdings" w:hint="default"/>
      </w:rPr>
    </w:lvl>
    <w:lvl w:ilvl="6" w:tplc="FFFFFFFF">
      <w:start w:val="1"/>
      <w:numFmt w:val="bullet"/>
      <w:lvlText w:val=""/>
      <w:lvlJc w:val="left"/>
      <w:pPr>
        <w:ind w:left="4730" w:hanging="360"/>
      </w:pPr>
      <w:rPr>
        <w:rFonts w:ascii="Symbol" w:hAnsi="Symbol" w:hint="default"/>
      </w:rPr>
    </w:lvl>
    <w:lvl w:ilvl="7" w:tplc="FFFFFFFF">
      <w:start w:val="1"/>
      <w:numFmt w:val="bullet"/>
      <w:lvlText w:val="o"/>
      <w:lvlJc w:val="left"/>
      <w:pPr>
        <w:ind w:left="5450" w:hanging="360"/>
      </w:pPr>
      <w:rPr>
        <w:rFonts w:ascii="Courier New" w:hAnsi="Courier New" w:cs="Courier New" w:hint="default"/>
      </w:rPr>
    </w:lvl>
    <w:lvl w:ilvl="8" w:tplc="FFFFFFFF">
      <w:start w:val="1"/>
      <w:numFmt w:val="bullet"/>
      <w:lvlText w:val=""/>
      <w:lvlJc w:val="left"/>
      <w:pPr>
        <w:ind w:left="6170" w:hanging="360"/>
      </w:pPr>
      <w:rPr>
        <w:rFonts w:ascii="Wingdings" w:hAnsi="Wingdings" w:hint="default"/>
      </w:rPr>
    </w:lvl>
  </w:abstractNum>
  <w:abstractNum w:abstractNumId="154" w15:restartNumberingAfterBreak="0">
    <w:nsid w:val="4E573468"/>
    <w:multiLevelType w:val="hybridMultilevel"/>
    <w:tmpl w:val="CEF2A17E"/>
    <w:lvl w:ilvl="0" w:tplc="141A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5" w15:restartNumberingAfterBreak="0">
    <w:nsid w:val="4E9E53AD"/>
    <w:multiLevelType w:val="hybridMultilevel"/>
    <w:tmpl w:val="B5A62228"/>
    <w:lvl w:ilvl="0" w:tplc="0409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6" w15:restartNumberingAfterBreak="0">
    <w:nsid w:val="4EB408A1"/>
    <w:multiLevelType w:val="hybridMultilevel"/>
    <w:tmpl w:val="7AA68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EFC6D59"/>
    <w:multiLevelType w:val="hybridMultilevel"/>
    <w:tmpl w:val="35AA227A"/>
    <w:lvl w:ilvl="0" w:tplc="0ED434FE">
      <w:start w:val="1"/>
      <w:numFmt w:val="low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FF23EDD"/>
    <w:multiLevelType w:val="hybridMultilevel"/>
    <w:tmpl w:val="A7B8DB7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59" w15:restartNumberingAfterBreak="0">
    <w:nsid w:val="50214582"/>
    <w:multiLevelType w:val="hybridMultilevel"/>
    <w:tmpl w:val="5A40CD10"/>
    <w:lvl w:ilvl="0" w:tplc="23200C46">
      <w:start w:val="1"/>
      <w:numFmt w:val="bullet"/>
      <w:lvlText w:val="-"/>
      <w:lvlJc w:val="left"/>
      <w:pPr>
        <w:ind w:left="720" w:hanging="360"/>
      </w:pPr>
      <w:rPr>
        <w:rFonts w:ascii="Calibri" w:eastAsia="Calibri" w:hAnsi="Calibri" w:cs="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14E72FF"/>
    <w:multiLevelType w:val="hybridMultilevel"/>
    <w:tmpl w:val="ADAE6616"/>
    <w:lvl w:ilvl="0" w:tplc="FFFFFFFF">
      <w:start w:val="1"/>
      <w:numFmt w:val="decimal"/>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2263168"/>
    <w:multiLevelType w:val="hybridMultilevel"/>
    <w:tmpl w:val="65361D46"/>
    <w:lvl w:ilvl="0" w:tplc="0409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2" w15:restartNumberingAfterBreak="0">
    <w:nsid w:val="5235128F"/>
    <w:multiLevelType w:val="hybridMultilevel"/>
    <w:tmpl w:val="4FC0DAA4"/>
    <w:lvl w:ilvl="0" w:tplc="04090011">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163" w15:restartNumberingAfterBreak="0">
    <w:nsid w:val="526E07E3"/>
    <w:multiLevelType w:val="hybridMultilevel"/>
    <w:tmpl w:val="D220C010"/>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529B59B7"/>
    <w:multiLevelType w:val="hybridMultilevel"/>
    <w:tmpl w:val="13AE58C8"/>
    <w:lvl w:ilvl="0" w:tplc="79981FDC">
      <w:start w:val="1"/>
      <w:numFmt w:val="lowerLetter"/>
      <w:lvlText w:val="%1)"/>
      <w:lvlJc w:val="left"/>
      <w:pPr>
        <w:ind w:left="720" w:hanging="360"/>
      </w:pPr>
      <w:rPr>
        <w:rFonts w:asciiTheme="minorHAnsi" w:eastAsia="Calibri" w:hAnsiTheme="minorHAnsi" w:cstheme="minorHAnsi" w:hint="default"/>
        <w:color w:val="auto"/>
        <w:sz w:val="18"/>
        <w:szCs w:val="1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5" w15:restartNumberingAfterBreak="0">
    <w:nsid w:val="533A2E03"/>
    <w:multiLevelType w:val="hybridMultilevel"/>
    <w:tmpl w:val="68F4D704"/>
    <w:lvl w:ilvl="0" w:tplc="4BB82DE0">
      <w:start w:val="1"/>
      <w:numFmt w:val="lowerLetter"/>
      <w:lvlText w:val="%1)"/>
      <w:lvlJc w:val="left"/>
      <w:pPr>
        <w:ind w:left="720" w:hanging="360"/>
      </w:pPr>
      <w:rPr>
        <w:rFonts w:asciiTheme="minorHAnsi" w:eastAsia="Calibri" w:hAnsiTheme="minorHAnsi" w:cstheme="minorHAnsi" w:hint="default"/>
        <w:color w:val="auto"/>
        <w:sz w:val="18"/>
        <w:szCs w:val="1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6" w15:restartNumberingAfterBreak="0">
    <w:nsid w:val="538A235C"/>
    <w:multiLevelType w:val="hybridMultilevel"/>
    <w:tmpl w:val="08A297D2"/>
    <w:lvl w:ilvl="0" w:tplc="F6966122">
      <w:start w:val="1"/>
      <w:numFmt w:val="lowerLetter"/>
      <w:lvlText w:val="%1."/>
      <w:lvlJc w:val="left"/>
      <w:pPr>
        <w:ind w:left="720" w:hanging="360"/>
      </w:pPr>
      <w:rPr>
        <w:b w:val="0"/>
        <w:bCs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7" w15:restartNumberingAfterBreak="0">
    <w:nsid w:val="53AE0E81"/>
    <w:multiLevelType w:val="hybridMultilevel"/>
    <w:tmpl w:val="1C322DB0"/>
    <w:lvl w:ilvl="0" w:tplc="988C9F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4DF316F"/>
    <w:multiLevelType w:val="hybridMultilevel"/>
    <w:tmpl w:val="8A4E5236"/>
    <w:lvl w:ilvl="0" w:tplc="FFFFFFFF">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553F2544"/>
    <w:multiLevelType w:val="hybridMultilevel"/>
    <w:tmpl w:val="21C29310"/>
    <w:lvl w:ilvl="0" w:tplc="43F4559A">
      <w:start w:val="1"/>
      <w:numFmt w:val="low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5591138"/>
    <w:multiLevelType w:val="hybridMultilevel"/>
    <w:tmpl w:val="67D23926"/>
    <w:lvl w:ilvl="0" w:tplc="1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559D22E3"/>
    <w:multiLevelType w:val="hybridMultilevel"/>
    <w:tmpl w:val="7FB4C19A"/>
    <w:lvl w:ilvl="0" w:tplc="A96ABE0C">
      <w:start w:val="1"/>
      <w:numFmt w:val="lowerLetter"/>
      <w:lvlText w:val="%1)"/>
      <w:lvlJc w:val="left"/>
      <w:pPr>
        <w:ind w:left="0" w:firstLine="0"/>
      </w:pPr>
      <w:rPr>
        <w:rFonts w:ascii="Calibri" w:hAnsi="Calibri" w:cs="Calibri"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55D053EE"/>
    <w:multiLevelType w:val="hybridMultilevel"/>
    <w:tmpl w:val="1B8E8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5D22F8B"/>
    <w:multiLevelType w:val="hybridMultilevel"/>
    <w:tmpl w:val="834A37AA"/>
    <w:lvl w:ilvl="0" w:tplc="141A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4" w15:restartNumberingAfterBreak="0">
    <w:nsid w:val="562C2972"/>
    <w:multiLevelType w:val="hybridMultilevel"/>
    <w:tmpl w:val="8A127410"/>
    <w:lvl w:ilvl="0" w:tplc="0818DB54">
      <w:start w:val="1"/>
      <w:numFmt w:val="decimal"/>
      <w:lvlText w:val="%1)"/>
      <w:lvlJc w:val="left"/>
      <w:pPr>
        <w:ind w:left="0" w:firstLine="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5" w15:restartNumberingAfterBreak="0">
    <w:nsid w:val="56414440"/>
    <w:multiLevelType w:val="hybridMultilevel"/>
    <w:tmpl w:val="0DA4A50A"/>
    <w:lvl w:ilvl="0" w:tplc="A96ABE0C">
      <w:start w:val="1"/>
      <w:numFmt w:val="lowerLetter"/>
      <w:lvlText w:val="%1)"/>
      <w:lvlJc w:val="left"/>
      <w:pPr>
        <w:ind w:left="360" w:firstLine="0"/>
      </w:pPr>
      <w:rPr>
        <w:rFonts w:ascii="Calibri" w:hAnsi="Calibri" w:cs="Calibri" w:hint="default"/>
        <w:color w:val="auto"/>
        <w:sz w:val="18"/>
      </w:rPr>
    </w:lvl>
    <w:lvl w:ilvl="1" w:tplc="FFFFFFFF">
      <w:start w:val="1"/>
      <w:numFmt w:val="bullet"/>
      <w:lvlText w:val="o"/>
      <w:lvlJc w:val="left"/>
      <w:pPr>
        <w:ind w:left="1130" w:hanging="360"/>
      </w:pPr>
      <w:rPr>
        <w:rFonts w:ascii="Courier New" w:hAnsi="Courier New" w:cs="Courier New" w:hint="default"/>
      </w:rPr>
    </w:lvl>
    <w:lvl w:ilvl="2" w:tplc="FFFFFFFF">
      <w:start w:val="1"/>
      <w:numFmt w:val="bullet"/>
      <w:lvlText w:val=""/>
      <w:lvlJc w:val="left"/>
      <w:pPr>
        <w:ind w:left="1850" w:hanging="360"/>
      </w:pPr>
      <w:rPr>
        <w:rFonts w:ascii="Wingdings" w:hAnsi="Wingdings" w:hint="default"/>
      </w:rPr>
    </w:lvl>
    <w:lvl w:ilvl="3" w:tplc="FFFFFFFF">
      <w:start w:val="1"/>
      <w:numFmt w:val="bullet"/>
      <w:lvlText w:val=""/>
      <w:lvlJc w:val="left"/>
      <w:pPr>
        <w:ind w:left="2570" w:hanging="360"/>
      </w:pPr>
      <w:rPr>
        <w:rFonts w:ascii="Symbol" w:hAnsi="Symbol" w:hint="default"/>
      </w:rPr>
    </w:lvl>
    <w:lvl w:ilvl="4" w:tplc="FFFFFFFF">
      <w:start w:val="1"/>
      <w:numFmt w:val="bullet"/>
      <w:lvlText w:val="o"/>
      <w:lvlJc w:val="left"/>
      <w:pPr>
        <w:ind w:left="3290" w:hanging="360"/>
      </w:pPr>
      <w:rPr>
        <w:rFonts w:ascii="Courier New" w:hAnsi="Courier New" w:cs="Courier New" w:hint="default"/>
      </w:rPr>
    </w:lvl>
    <w:lvl w:ilvl="5" w:tplc="FFFFFFFF">
      <w:start w:val="1"/>
      <w:numFmt w:val="bullet"/>
      <w:lvlText w:val=""/>
      <w:lvlJc w:val="left"/>
      <w:pPr>
        <w:ind w:left="4010" w:hanging="360"/>
      </w:pPr>
      <w:rPr>
        <w:rFonts w:ascii="Wingdings" w:hAnsi="Wingdings" w:hint="default"/>
      </w:rPr>
    </w:lvl>
    <w:lvl w:ilvl="6" w:tplc="FFFFFFFF">
      <w:start w:val="1"/>
      <w:numFmt w:val="bullet"/>
      <w:lvlText w:val=""/>
      <w:lvlJc w:val="left"/>
      <w:pPr>
        <w:ind w:left="4730" w:hanging="360"/>
      </w:pPr>
      <w:rPr>
        <w:rFonts w:ascii="Symbol" w:hAnsi="Symbol" w:hint="default"/>
      </w:rPr>
    </w:lvl>
    <w:lvl w:ilvl="7" w:tplc="FFFFFFFF">
      <w:start w:val="1"/>
      <w:numFmt w:val="bullet"/>
      <w:lvlText w:val="o"/>
      <w:lvlJc w:val="left"/>
      <w:pPr>
        <w:ind w:left="5450" w:hanging="360"/>
      </w:pPr>
      <w:rPr>
        <w:rFonts w:ascii="Courier New" w:hAnsi="Courier New" w:cs="Courier New" w:hint="default"/>
      </w:rPr>
    </w:lvl>
    <w:lvl w:ilvl="8" w:tplc="FFFFFFFF">
      <w:start w:val="1"/>
      <w:numFmt w:val="bullet"/>
      <w:lvlText w:val=""/>
      <w:lvlJc w:val="left"/>
      <w:pPr>
        <w:ind w:left="6170" w:hanging="360"/>
      </w:pPr>
      <w:rPr>
        <w:rFonts w:ascii="Wingdings" w:hAnsi="Wingdings" w:hint="default"/>
      </w:rPr>
    </w:lvl>
  </w:abstractNum>
  <w:abstractNum w:abstractNumId="176" w15:restartNumberingAfterBreak="0">
    <w:nsid w:val="56954E8C"/>
    <w:multiLevelType w:val="hybridMultilevel"/>
    <w:tmpl w:val="2B6EA9AA"/>
    <w:lvl w:ilvl="0" w:tplc="0409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7" w15:restartNumberingAfterBreak="0">
    <w:nsid w:val="56A124FD"/>
    <w:multiLevelType w:val="hybridMultilevel"/>
    <w:tmpl w:val="F1EC84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71F762C"/>
    <w:multiLevelType w:val="hybridMultilevel"/>
    <w:tmpl w:val="76842A4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9" w15:restartNumberingAfterBreak="0">
    <w:nsid w:val="572E54D3"/>
    <w:multiLevelType w:val="hybridMultilevel"/>
    <w:tmpl w:val="202A36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57B04726"/>
    <w:multiLevelType w:val="hybridMultilevel"/>
    <w:tmpl w:val="55F4F8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57D00846"/>
    <w:multiLevelType w:val="multilevel"/>
    <w:tmpl w:val="0E4616E4"/>
    <w:lvl w:ilvl="0">
      <w:start w:val="1"/>
      <w:numFmt w:val="none"/>
      <w:pStyle w:val="Heading2"/>
      <w:suff w:val="space"/>
      <w:lvlText w:val="1.1."/>
      <w:lvlJc w:val="left"/>
      <w:pPr>
        <w:ind w:left="720" w:hanging="360"/>
      </w:pPr>
      <w:rPr>
        <w:rFonts w:ascii="Calibri" w:hAnsi="Calibri" w:hint="default"/>
        <w:b/>
        <w:i w:val="0"/>
        <w:color w:val="009D73"/>
        <w:sz w:val="24"/>
      </w:rPr>
    </w:lvl>
    <w:lvl w:ilvl="1">
      <w:start w:val="1"/>
      <w:numFmt w:val="lowerLetter"/>
      <w:suff w:val="space"/>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15:restartNumberingAfterBreak="0">
    <w:nsid w:val="595726AF"/>
    <w:multiLevelType w:val="hybridMultilevel"/>
    <w:tmpl w:val="44CE14F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99E5A46"/>
    <w:multiLevelType w:val="hybridMultilevel"/>
    <w:tmpl w:val="DA8A68AA"/>
    <w:lvl w:ilvl="0" w:tplc="988C9F12">
      <w:numFmt w:val="bullet"/>
      <w:lvlText w:val="-"/>
      <w:lvlJc w:val="left"/>
      <w:pPr>
        <w:ind w:left="720" w:hanging="360"/>
      </w:pPr>
      <w:rPr>
        <w:rFonts w:ascii="Calibri" w:eastAsiaTheme="minorHAnsi" w:hAnsi="Calibri" w:cs="Calibri" w:hint="default"/>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5A943802"/>
    <w:multiLevelType w:val="hybridMultilevel"/>
    <w:tmpl w:val="D8A85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5" w15:restartNumberingAfterBreak="0">
    <w:nsid w:val="5B010E5E"/>
    <w:multiLevelType w:val="hybridMultilevel"/>
    <w:tmpl w:val="C6A07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6" w15:restartNumberingAfterBreak="0">
    <w:nsid w:val="5BAD3877"/>
    <w:multiLevelType w:val="hybridMultilevel"/>
    <w:tmpl w:val="EE96839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5BC27848"/>
    <w:multiLevelType w:val="hybridMultilevel"/>
    <w:tmpl w:val="C100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C0D1933"/>
    <w:multiLevelType w:val="hybridMultilevel"/>
    <w:tmpl w:val="C28E77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5C8360FB"/>
    <w:multiLevelType w:val="hybridMultilevel"/>
    <w:tmpl w:val="2C5668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5D1F2630"/>
    <w:multiLevelType w:val="hybridMultilevel"/>
    <w:tmpl w:val="264697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D7F1E2F"/>
    <w:multiLevelType w:val="hybridMultilevel"/>
    <w:tmpl w:val="32F2B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2" w15:restartNumberingAfterBreak="0">
    <w:nsid w:val="5DC0578B"/>
    <w:multiLevelType w:val="hybridMultilevel"/>
    <w:tmpl w:val="E4DC61C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15:restartNumberingAfterBreak="0">
    <w:nsid w:val="5DF67A39"/>
    <w:multiLevelType w:val="hybridMultilevel"/>
    <w:tmpl w:val="5E8C8BFC"/>
    <w:lvl w:ilvl="0" w:tplc="141A0019">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4" w15:restartNumberingAfterBreak="0">
    <w:nsid w:val="5E7B6F02"/>
    <w:multiLevelType w:val="hybridMultilevel"/>
    <w:tmpl w:val="E7F2CDEA"/>
    <w:lvl w:ilvl="0" w:tplc="141A0019">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5" w15:restartNumberingAfterBreak="0">
    <w:nsid w:val="5E7F733F"/>
    <w:multiLevelType w:val="hybridMultilevel"/>
    <w:tmpl w:val="014A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E9A0DDD"/>
    <w:multiLevelType w:val="hybridMultilevel"/>
    <w:tmpl w:val="14848E84"/>
    <w:lvl w:ilvl="0" w:tplc="141A0019">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7" w15:restartNumberingAfterBreak="0">
    <w:nsid w:val="605C6F90"/>
    <w:multiLevelType w:val="hybridMultilevel"/>
    <w:tmpl w:val="DFAE9E52"/>
    <w:lvl w:ilvl="0" w:tplc="4CBC306C">
      <w:start w:val="1"/>
      <w:numFmt w:val="low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0C52F36"/>
    <w:multiLevelType w:val="hybridMultilevel"/>
    <w:tmpl w:val="D32E3A9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99" w15:restartNumberingAfterBreak="0">
    <w:nsid w:val="60E928D3"/>
    <w:multiLevelType w:val="hybridMultilevel"/>
    <w:tmpl w:val="BA96C08E"/>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0" w15:restartNumberingAfterBreak="0">
    <w:nsid w:val="61386FAF"/>
    <w:multiLevelType w:val="hybridMultilevel"/>
    <w:tmpl w:val="B60EA550"/>
    <w:lvl w:ilvl="0" w:tplc="141A0019">
      <w:start w:val="1"/>
      <w:numFmt w:val="lowerLetter"/>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61CD4B6D"/>
    <w:multiLevelType w:val="hybridMultilevel"/>
    <w:tmpl w:val="1382BC12"/>
    <w:lvl w:ilvl="0" w:tplc="6EC05B7E">
      <w:start w:val="1"/>
      <w:numFmt w:val="low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2187F07"/>
    <w:multiLevelType w:val="hybridMultilevel"/>
    <w:tmpl w:val="60E476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62860AC3"/>
    <w:multiLevelType w:val="hybridMultilevel"/>
    <w:tmpl w:val="983CB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3353666"/>
    <w:multiLevelType w:val="hybridMultilevel"/>
    <w:tmpl w:val="36E451B4"/>
    <w:lvl w:ilvl="0" w:tplc="D55238DC">
      <w:start w:val="1"/>
      <w:numFmt w:val="low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3422463"/>
    <w:multiLevelType w:val="hybridMultilevel"/>
    <w:tmpl w:val="4344D7B8"/>
    <w:lvl w:ilvl="0" w:tplc="141A0019">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6" w15:restartNumberingAfterBreak="0">
    <w:nsid w:val="636318DA"/>
    <w:multiLevelType w:val="hybridMultilevel"/>
    <w:tmpl w:val="567ADE9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7" w15:restartNumberingAfterBreak="0">
    <w:nsid w:val="653B6413"/>
    <w:multiLevelType w:val="hybridMultilevel"/>
    <w:tmpl w:val="CDB8A2F8"/>
    <w:lvl w:ilvl="0" w:tplc="9C40EB9A">
      <w:start w:val="1"/>
      <w:numFmt w:val="bullet"/>
      <w:lvlText w:val=""/>
      <w:lvlJc w:val="left"/>
      <w:pPr>
        <w:ind w:left="3960" w:hanging="360"/>
      </w:pPr>
      <w:rPr>
        <w:rFonts w:ascii="Symbol" w:hAnsi="Symbol" w:hint="default"/>
        <w:u w:color="2F549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656B00AF"/>
    <w:multiLevelType w:val="hybridMultilevel"/>
    <w:tmpl w:val="EE968396"/>
    <w:lvl w:ilvl="0" w:tplc="08090019">
      <w:start w:val="1"/>
      <w:numFmt w:val="lowerLetter"/>
      <w:lvlText w:val="%1."/>
      <w:lvlJc w:val="left"/>
      <w:pPr>
        <w:ind w:left="720" w:hanging="360"/>
      </w:pPr>
      <w:rPr>
        <w:rFonts w:hint="default"/>
      </w:rPr>
    </w:lvl>
    <w:lvl w:ilvl="1" w:tplc="73B6712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674C208C"/>
    <w:multiLevelType w:val="hybridMultilevel"/>
    <w:tmpl w:val="898681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678B1DD4"/>
    <w:multiLevelType w:val="hybridMultilevel"/>
    <w:tmpl w:val="FBDA8D6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11" w15:restartNumberingAfterBreak="0">
    <w:nsid w:val="679645B0"/>
    <w:multiLevelType w:val="hybridMultilevel"/>
    <w:tmpl w:val="8C7A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81237AA"/>
    <w:multiLevelType w:val="hybridMultilevel"/>
    <w:tmpl w:val="E4A07CAC"/>
    <w:lvl w:ilvl="0" w:tplc="A6884BF6">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3" w15:restartNumberingAfterBreak="0">
    <w:nsid w:val="68F4327E"/>
    <w:multiLevelType w:val="hybridMultilevel"/>
    <w:tmpl w:val="80526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690B0A4E"/>
    <w:multiLevelType w:val="hybridMultilevel"/>
    <w:tmpl w:val="B0BA7C9C"/>
    <w:lvl w:ilvl="0" w:tplc="141A0011">
      <w:start w:val="1"/>
      <w:numFmt w:val="decimal"/>
      <w:lvlText w:val="%1)"/>
      <w:lvlJc w:val="left"/>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5" w15:restartNumberingAfterBreak="0">
    <w:nsid w:val="692623E1"/>
    <w:multiLevelType w:val="hybridMultilevel"/>
    <w:tmpl w:val="983CB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938440D"/>
    <w:multiLevelType w:val="hybridMultilevel"/>
    <w:tmpl w:val="E422938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7" w15:restartNumberingAfterBreak="0">
    <w:nsid w:val="69757877"/>
    <w:multiLevelType w:val="hybridMultilevel"/>
    <w:tmpl w:val="983CB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AC5545F"/>
    <w:multiLevelType w:val="hybridMultilevel"/>
    <w:tmpl w:val="9AA06A32"/>
    <w:lvl w:ilvl="0" w:tplc="DA5462E0">
      <w:start w:val="1"/>
      <w:numFmt w:val="decimal"/>
      <w:pStyle w:val="Heading1"/>
      <w:lvlText w:val="%1."/>
      <w:lvlJc w:val="left"/>
      <w:pPr>
        <w:ind w:left="720" w:hanging="360"/>
      </w:pPr>
      <w:rPr>
        <w:rFonts w:hint="default"/>
        <w:b/>
        <w:bCs w:val="0"/>
      </w:rPr>
    </w:lvl>
    <w:lvl w:ilvl="1" w:tplc="08090019">
      <w:start w:val="1"/>
      <w:numFmt w:val="lowerLetter"/>
      <w:lvlText w:val="%2."/>
      <w:lvlJc w:val="left"/>
      <w:pPr>
        <w:ind w:left="1440" w:hanging="360"/>
      </w:pPr>
    </w:lvl>
    <w:lvl w:ilvl="2" w:tplc="5E66C8EA">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6C15379D"/>
    <w:multiLevelType w:val="hybridMultilevel"/>
    <w:tmpl w:val="93D622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0" w15:restartNumberingAfterBreak="0">
    <w:nsid w:val="6C205663"/>
    <w:multiLevelType w:val="hybridMultilevel"/>
    <w:tmpl w:val="9D101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C6C2A1E"/>
    <w:multiLevelType w:val="hybridMultilevel"/>
    <w:tmpl w:val="F1EC84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C891859"/>
    <w:multiLevelType w:val="hybridMultilevel"/>
    <w:tmpl w:val="8A8A63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6CB12294"/>
    <w:multiLevelType w:val="hybridMultilevel"/>
    <w:tmpl w:val="983CB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CE67E27"/>
    <w:multiLevelType w:val="hybridMultilevel"/>
    <w:tmpl w:val="B61A7376"/>
    <w:lvl w:ilvl="0" w:tplc="A96ABE0C">
      <w:start w:val="1"/>
      <w:numFmt w:val="lowerLetter"/>
      <w:lvlText w:val="%1)"/>
      <w:lvlJc w:val="left"/>
      <w:pPr>
        <w:ind w:left="720" w:hanging="360"/>
      </w:pPr>
      <w:rPr>
        <w:rFonts w:ascii="Calibri" w:hAnsi="Calibri" w:cs="Calibri" w:hint="default"/>
        <w:color w:val="auto"/>
        <w:sz w:val="18"/>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5" w15:restartNumberingAfterBreak="0">
    <w:nsid w:val="6D2F6FC3"/>
    <w:multiLevelType w:val="hybridMultilevel"/>
    <w:tmpl w:val="A782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E3E03C8"/>
    <w:multiLevelType w:val="hybridMultilevel"/>
    <w:tmpl w:val="1D4AEC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6F030575"/>
    <w:multiLevelType w:val="hybridMultilevel"/>
    <w:tmpl w:val="021425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6F857EC4"/>
    <w:multiLevelType w:val="hybridMultilevel"/>
    <w:tmpl w:val="2C2CE180"/>
    <w:lvl w:ilvl="0" w:tplc="141A0011">
      <w:start w:val="1"/>
      <w:numFmt w:val="decimal"/>
      <w:lvlText w:val="%1)"/>
      <w:lvlJc w:val="left"/>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9" w15:restartNumberingAfterBreak="0">
    <w:nsid w:val="70D02D2B"/>
    <w:multiLevelType w:val="hybridMultilevel"/>
    <w:tmpl w:val="12DE482C"/>
    <w:lvl w:ilvl="0" w:tplc="B6B02F96">
      <w:start w:val="2"/>
      <w:numFmt w:val="lowerLetter"/>
      <w:lvlText w:val="%1."/>
      <w:lvlJc w:val="left"/>
      <w:pPr>
        <w:ind w:left="14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1355C29"/>
    <w:multiLevelType w:val="hybridMultilevel"/>
    <w:tmpl w:val="DEA02F0C"/>
    <w:lvl w:ilvl="0" w:tplc="FFFFFFFF">
      <w:start w:val="1"/>
      <w:numFmt w:val="lowerLetter"/>
      <w:lvlText w:val="%1."/>
      <w:lvlJc w:val="left"/>
      <w:rPr>
        <w:rFonts w:hint="default"/>
      </w:rPr>
    </w:lvl>
    <w:lvl w:ilvl="1" w:tplc="FFFFFFFF" w:tentative="1">
      <w:start w:val="1"/>
      <w:numFmt w:val="bullet"/>
      <w:lvlText w:val="o"/>
      <w:lvlJc w:val="left"/>
      <w:pPr>
        <w:ind w:left="1130" w:hanging="360"/>
      </w:pPr>
      <w:rPr>
        <w:rFonts w:ascii="Courier New" w:hAnsi="Courier New" w:cs="Courier New"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231" w15:restartNumberingAfterBreak="0">
    <w:nsid w:val="71A1039B"/>
    <w:multiLevelType w:val="hybridMultilevel"/>
    <w:tmpl w:val="08343738"/>
    <w:lvl w:ilvl="0" w:tplc="1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72BD054E"/>
    <w:multiLevelType w:val="hybridMultilevel"/>
    <w:tmpl w:val="8A127410"/>
    <w:lvl w:ilvl="0" w:tplc="FFFFFFFF">
      <w:start w:val="1"/>
      <w:numFmt w:val="decimal"/>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731537A1"/>
    <w:multiLevelType w:val="hybridMultilevel"/>
    <w:tmpl w:val="CFF4705E"/>
    <w:lvl w:ilvl="0" w:tplc="9C40EB9A">
      <w:start w:val="1"/>
      <w:numFmt w:val="bullet"/>
      <w:lvlText w:val=""/>
      <w:lvlJc w:val="left"/>
      <w:pPr>
        <w:ind w:left="720" w:hanging="360"/>
      </w:pPr>
      <w:rPr>
        <w:rFonts w:ascii="Symbol" w:hAnsi="Symbol" w:hint="default"/>
        <w:u w:color="2F549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4" w15:restartNumberingAfterBreak="0">
    <w:nsid w:val="736A7487"/>
    <w:multiLevelType w:val="hybridMultilevel"/>
    <w:tmpl w:val="3D4AA59C"/>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5" w15:restartNumberingAfterBreak="0">
    <w:nsid w:val="73C237D0"/>
    <w:multiLevelType w:val="hybridMultilevel"/>
    <w:tmpl w:val="D2267A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6" w15:restartNumberingAfterBreak="0">
    <w:nsid w:val="74B04AE1"/>
    <w:multiLevelType w:val="hybridMultilevel"/>
    <w:tmpl w:val="CFD0D8DA"/>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76224D87"/>
    <w:multiLevelType w:val="hybridMultilevel"/>
    <w:tmpl w:val="0A4C48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76987285"/>
    <w:multiLevelType w:val="hybridMultilevel"/>
    <w:tmpl w:val="1B8E8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6B31603"/>
    <w:multiLevelType w:val="hybridMultilevel"/>
    <w:tmpl w:val="6906AB68"/>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40" w15:restartNumberingAfterBreak="0">
    <w:nsid w:val="77350B59"/>
    <w:multiLevelType w:val="hybridMultilevel"/>
    <w:tmpl w:val="1AAE0408"/>
    <w:lvl w:ilvl="0" w:tplc="9C40EB9A">
      <w:start w:val="1"/>
      <w:numFmt w:val="bullet"/>
      <w:lvlText w:val=""/>
      <w:lvlJc w:val="left"/>
      <w:pPr>
        <w:ind w:left="720" w:hanging="360"/>
      </w:pPr>
      <w:rPr>
        <w:rFonts w:ascii="Symbol" w:hAnsi="Symbol" w:hint="default"/>
        <w:u w:color="2F549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1" w15:restartNumberingAfterBreak="0">
    <w:nsid w:val="7777571F"/>
    <w:multiLevelType w:val="multilevel"/>
    <w:tmpl w:val="09D238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2" w15:restartNumberingAfterBreak="0">
    <w:nsid w:val="788F6375"/>
    <w:multiLevelType w:val="hybridMultilevel"/>
    <w:tmpl w:val="B6BE33D2"/>
    <w:lvl w:ilvl="0" w:tplc="141A0019">
      <w:start w:val="1"/>
      <w:numFmt w:val="lowerLetter"/>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78DA2148"/>
    <w:multiLevelType w:val="hybridMultilevel"/>
    <w:tmpl w:val="F28ED2B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4" w15:restartNumberingAfterBreak="0">
    <w:nsid w:val="79091BDF"/>
    <w:multiLevelType w:val="hybridMultilevel"/>
    <w:tmpl w:val="8ADED328"/>
    <w:lvl w:ilvl="0" w:tplc="141A0011">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79EB105C"/>
    <w:multiLevelType w:val="hybridMultilevel"/>
    <w:tmpl w:val="9092D564"/>
    <w:lvl w:ilvl="0" w:tplc="9C40EB9A">
      <w:start w:val="1"/>
      <w:numFmt w:val="bullet"/>
      <w:lvlText w:val=""/>
      <w:lvlJc w:val="left"/>
      <w:pPr>
        <w:ind w:left="720" w:hanging="360"/>
      </w:pPr>
      <w:rPr>
        <w:rFonts w:ascii="Symbol" w:hAnsi="Symbol" w:hint="default"/>
        <w:u w:color="2F549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6" w15:restartNumberingAfterBreak="0">
    <w:nsid w:val="7A1F3F7B"/>
    <w:multiLevelType w:val="hybridMultilevel"/>
    <w:tmpl w:val="D8A0160A"/>
    <w:lvl w:ilvl="0" w:tplc="FFFFFFFF">
      <w:start w:val="1"/>
      <w:numFmt w:val="decimal"/>
      <w:lvlText w:val="%1)"/>
      <w:lvlJc w:val="lef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7" w15:restartNumberingAfterBreak="0">
    <w:nsid w:val="7A2F38C8"/>
    <w:multiLevelType w:val="hybridMultilevel"/>
    <w:tmpl w:val="EE96839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7A8F7FFD"/>
    <w:multiLevelType w:val="hybridMultilevel"/>
    <w:tmpl w:val="C2BC38EA"/>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49" w15:restartNumberingAfterBreak="0">
    <w:nsid w:val="7AE92194"/>
    <w:multiLevelType w:val="hybridMultilevel"/>
    <w:tmpl w:val="C0DC662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50" w15:restartNumberingAfterBreak="0">
    <w:nsid w:val="7B9E328A"/>
    <w:multiLevelType w:val="hybridMultilevel"/>
    <w:tmpl w:val="1ED059E8"/>
    <w:lvl w:ilvl="0" w:tplc="FFFFFFFF">
      <w:start w:val="1"/>
      <w:numFmt w:val="lowerLetter"/>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7BA00358"/>
    <w:multiLevelType w:val="hybridMultilevel"/>
    <w:tmpl w:val="55F4F8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2" w15:restartNumberingAfterBreak="0">
    <w:nsid w:val="7BA81E93"/>
    <w:multiLevelType w:val="hybridMultilevel"/>
    <w:tmpl w:val="4BFA04E2"/>
    <w:lvl w:ilvl="0" w:tplc="FFFFFFFF">
      <w:start w:val="1"/>
      <w:numFmt w:val="lowerLetter"/>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7C495A97"/>
    <w:multiLevelType w:val="hybridMultilevel"/>
    <w:tmpl w:val="B7CA4224"/>
    <w:lvl w:ilvl="0" w:tplc="A96ABE0C">
      <w:start w:val="1"/>
      <w:numFmt w:val="lowerLetter"/>
      <w:lvlText w:val="%1)"/>
      <w:lvlJc w:val="left"/>
      <w:pPr>
        <w:ind w:left="360" w:firstLine="0"/>
      </w:pPr>
      <w:rPr>
        <w:rFonts w:ascii="Calibri" w:hAnsi="Calibri" w:cs="Calibri" w:hint="default"/>
        <w:color w:val="auto"/>
        <w:sz w:val="18"/>
      </w:rPr>
    </w:lvl>
    <w:lvl w:ilvl="1" w:tplc="FFFFFFFF">
      <w:start w:val="1"/>
      <w:numFmt w:val="bullet"/>
      <w:lvlText w:val="o"/>
      <w:lvlJc w:val="left"/>
      <w:pPr>
        <w:ind w:left="1130" w:hanging="360"/>
      </w:pPr>
      <w:rPr>
        <w:rFonts w:ascii="Courier New" w:hAnsi="Courier New" w:cs="Courier New" w:hint="default"/>
      </w:rPr>
    </w:lvl>
    <w:lvl w:ilvl="2" w:tplc="FFFFFFFF">
      <w:start w:val="1"/>
      <w:numFmt w:val="bullet"/>
      <w:lvlText w:val=""/>
      <w:lvlJc w:val="left"/>
      <w:pPr>
        <w:ind w:left="1850" w:hanging="360"/>
      </w:pPr>
      <w:rPr>
        <w:rFonts w:ascii="Wingdings" w:hAnsi="Wingdings" w:hint="default"/>
      </w:rPr>
    </w:lvl>
    <w:lvl w:ilvl="3" w:tplc="FFFFFFFF">
      <w:start w:val="1"/>
      <w:numFmt w:val="bullet"/>
      <w:lvlText w:val=""/>
      <w:lvlJc w:val="left"/>
      <w:pPr>
        <w:ind w:left="2570" w:hanging="360"/>
      </w:pPr>
      <w:rPr>
        <w:rFonts w:ascii="Symbol" w:hAnsi="Symbol" w:hint="default"/>
      </w:rPr>
    </w:lvl>
    <w:lvl w:ilvl="4" w:tplc="FFFFFFFF">
      <w:start w:val="1"/>
      <w:numFmt w:val="bullet"/>
      <w:lvlText w:val="o"/>
      <w:lvlJc w:val="left"/>
      <w:pPr>
        <w:ind w:left="3290" w:hanging="360"/>
      </w:pPr>
      <w:rPr>
        <w:rFonts w:ascii="Courier New" w:hAnsi="Courier New" w:cs="Courier New" w:hint="default"/>
      </w:rPr>
    </w:lvl>
    <w:lvl w:ilvl="5" w:tplc="FFFFFFFF">
      <w:start w:val="1"/>
      <w:numFmt w:val="bullet"/>
      <w:lvlText w:val=""/>
      <w:lvlJc w:val="left"/>
      <w:pPr>
        <w:ind w:left="4010" w:hanging="360"/>
      </w:pPr>
      <w:rPr>
        <w:rFonts w:ascii="Wingdings" w:hAnsi="Wingdings" w:hint="default"/>
      </w:rPr>
    </w:lvl>
    <w:lvl w:ilvl="6" w:tplc="FFFFFFFF">
      <w:start w:val="1"/>
      <w:numFmt w:val="bullet"/>
      <w:lvlText w:val=""/>
      <w:lvlJc w:val="left"/>
      <w:pPr>
        <w:ind w:left="4730" w:hanging="360"/>
      </w:pPr>
      <w:rPr>
        <w:rFonts w:ascii="Symbol" w:hAnsi="Symbol" w:hint="default"/>
      </w:rPr>
    </w:lvl>
    <w:lvl w:ilvl="7" w:tplc="FFFFFFFF">
      <w:start w:val="1"/>
      <w:numFmt w:val="bullet"/>
      <w:lvlText w:val="o"/>
      <w:lvlJc w:val="left"/>
      <w:pPr>
        <w:ind w:left="5450" w:hanging="360"/>
      </w:pPr>
      <w:rPr>
        <w:rFonts w:ascii="Courier New" w:hAnsi="Courier New" w:cs="Courier New" w:hint="default"/>
      </w:rPr>
    </w:lvl>
    <w:lvl w:ilvl="8" w:tplc="FFFFFFFF">
      <w:start w:val="1"/>
      <w:numFmt w:val="bullet"/>
      <w:lvlText w:val=""/>
      <w:lvlJc w:val="left"/>
      <w:pPr>
        <w:ind w:left="6170" w:hanging="360"/>
      </w:pPr>
      <w:rPr>
        <w:rFonts w:ascii="Wingdings" w:hAnsi="Wingdings" w:hint="default"/>
      </w:rPr>
    </w:lvl>
  </w:abstractNum>
  <w:abstractNum w:abstractNumId="254" w15:restartNumberingAfterBreak="0">
    <w:nsid w:val="7CF346B3"/>
    <w:multiLevelType w:val="hybridMultilevel"/>
    <w:tmpl w:val="FA540FD6"/>
    <w:lvl w:ilvl="0" w:tplc="141A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5" w15:restartNumberingAfterBreak="0">
    <w:nsid w:val="7D8F37C7"/>
    <w:multiLevelType w:val="hybridMultilevel"/>
    <w:tmpl w:val="F1EC84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D9B6C6A"/>
    <w:multiLevelType w:val="hybridMultilevel"/>
    <w:tmpl w:val="E842AE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7" w15:restartNumberingAfterBreak="0">
    <w:nsid w:val="7DB73BFF"/>
    <w:multiLevelType w:val="hybridMultilevel"/>
    <w:tmpl w:val="B192C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8" w15:restartNumberingAfterBreak="0">
    <w:nsid w:val="7EB94C9A"/>
    <w:multiLevelType w:val="hybridMultilevel"/>
    <w:tmpl w:val="D60ACD7C"/>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59" w15:restartNumberingAfterBreak="0">
    <w:nsid w:val="7F832B82"/>
    <w:multiLevelType w:val="hybridMultilevel"/>
    <w:tmpl w:val="928EFF2A"/>
    <w:lvl w:ilvl="0" w:tplc="9C40EB9A">
      <w:start w:val="1"/>
      <w:numFmt w:val="bullet"/>
      <w:lvlText w:val=""/>
      <w:lvlJc w:val="left"/>
      <w:pPr>
        <w:ind w:left="1080" w:hanging="360"/>
      </w:pPr>
      <w:rPr>
        <w:rFonts w:ascii="Symbol" w:hAnsi="Symbol" w:hint="default"/>
        <w:u w:color="2F5496"/>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num w:numId="1" w16cid:durableId="1952974023">
    <w:abstractNumId w:val="218"/>
  </w:num>
  <w:num w:numId="2" w16cid:durableId="1754474559">
    <w:abstractNumId w:val="181"/>
  </w:num>
  <w:num w:numId="3" w16cid:durableId="1632903094">
    <w:abstractNumId w:val="64"/>
  </w:num>
  <w:num w:numId="4" w16cid:durableId="1280526976">
    <w:abstractNumId w:val="105"/>
  </w:num>
  <w:num w:numId="5" w16cid:durableId="623194447">
    <w:abstractNumId w:val="156"/>
  </w:num>
  <w:num w:numId="6" w16cid:durableId="2092970255">
    <w:abstractNumId w:val="240"/>
  </w:num>
  <w:num w:numId="7" w16cid:durableId="1098254473">
    <w:abstractNumId w:val="123"/>
  </w:num>
  <w:num w:numId="8" w16cid:durableId="1661036927">
    <w:abstractNumId w:val="207"/>
  </w:num>
  <w:num w:numId="9" w16cid:durableId="1316373166">
    <w:abstractNumId w:val="34"/>
  </w:num>
  <w:num w:numId="10" w16cid:durableId="1952471849">
    <w:abstractNumId w:val="63"/>
  </w:num>
  <w:num w:numId="11" w16cid:durableId="1856798100">
    <w:abstractNumId w:val="90"/>
  </w:num>
  <w:num w:numId="12" w16cid:durableId="947084879">
    <w:abstractNumId w:val="211"/>
  </w:num>
  <w:num w:numId="13" w16cid:durableId="1419129612">
    <w:abstractNumId w:val="195"/>
  </w:num>
  <w:num w:numId="14" w16cid:durableId="1176264665">
    <w:abstractNumId w:val="220"/>
  </w:num>
  <w:num w:numId="15" w16cid:durableId="70660106">
    <w:abstractNumId w:val="61"/>
  </w:num>
  <w:num w:numId="16" w16cid:durableId="1082798227">
    <w:abstractNumId w:val="213"/>
  </w:num>
  <w:num w:numId="17" w16cid:durableId="1941718258">
    <w:abstractNumId w:val="210"/>
  </w:num>
  <w:num w:numId="18" w16cid:durableId="1243686848">
    <w:abstractNumId w:val="191"/>
  </w:num>
  <w:num w:numId="19" w16cid:durableId="796603959">
    <w:abstractNumId w:val="131"/>
  </w:num>
  <w:num w:numId="20" w16cid:durableId="520362046">
    <w:abstractNumId w:val="60"/>
  </w:num>
  <w:num w:numId="21" w16cid:durableId="487746163">
    <w:abstractNumId w:val="143"/>
  </w:num>
  <w:num w:numId="22" w16cid:durableId="1403257912">
    <w:abstractNumId w:val="138"/>
  </w:num>
  <w:num w:numId="23" w16cid:durableId="2007633962">
    <w:abstractNumId w:val="6"/>
  </w:num>
  <w:num w:numId="24" w16cid:durableId="1664161053">
    <w:abstractNumId w:val="141"/>
  </w:num>
  <w:num w:numId="25" w16cid:durableId="609507147">
    <w:abstractNumId w:val="124"/>
  </w:num>
  <w:num w:numId="26" w16cid:durableId="1805272298">
    <w:abstractNumId w:val="110"/>
  </w:num>
  <w:num w:numId="27" w16cid:durableId="1928612837">
    <w:abstractNumId w:val="187"/>
  </w:num>
  <w:num w:numId="28" w16cid:durableId="330111223">
    <w:abstractNumId w:val="72"/>
  </w:num>
  <w:num w:numId="29" w16cid:durableId="1376852208">
    <w:abstractNumId w:val="59"/>
  </w:num>
  <w:num w:numId="30" w16cid:durableId="124322479">
    <w:abstractNumId w:val="126"/>
  </w:num>
  <w:num w:numId="31" w16cid:durableId="784622547">
    <w:abstractNumId w:val="3"/>
  </w:num>
  <w:num w:numId="32" w16cid:durableId="1195995449">
    <w:abstractNumId w:val="167"/>
  </w:num>
  <w:num w:numId="33" w16cid:durableId="286863661">
    <w:abstractNumId w:val="112"/>
  </w:num>
  <w:num w:numId="34" w16cid:durableId="461852936">
    <w:abstractNumId w:val="37"/>
  </w:num>
  <w:num w:numId="35" w16cid:durableId="367337358">
    <w:abstractNumId w:val="173"/>
  </w:num>
  <w:num w:numId="36" w16cid:durableId="1020358536">
    <w:abstractNumId w:val="83"/>
  </w:num>
  <w:num w:numId="37" w16cid:durableId="219827477">
    <w:abstractNumId w:val="12"/>
  </w:num>
  <w:num w:numId="38" w16cid:durableId="740180391">
    <w:abstractNumId w:val="154"/>
  </w:num>
  <w:num w:numId="39" w16cid:durableId="1624728523">
    <w:abstractNumId w:val="234"/>
  </w:num>
  <w:num w:numId="40" w16cid:durableId="23092678">
    <w:abstractNumId w:val="50"/>
  </w:num>
  <w:num w:numId="41" w16cid:durableId="13386865">
    <w:abstractNumId w:val="71"/>
  </w:num>
  <w:num w:numId="42" w16cid:durableId="1944457364">
    <w:abstractNumId w:val="2"/>
  </w:num>
  <w:num w:numId="43" w16cid:durableId="1146356193">
    <w:abstractNumId w:val="117"/>
  </w:num>
  <w:num w:numId="44" w16cid:durableId="1159224241">
    <w:abstractNumId w:val="66"/>
  </w:num>
  <w:num w:numId="45" w16cid:durableId="1197426788">
    <w:abstractNumId w:val="81"/>
  </w:num>
  <w:num w:numId="46" w16cid:durableId="216205914">
    <w:abstractNumId w:val="254"/>
  </w:num>
  <w:num w:numId="47" w16cid:durableId="2050914862">
    <w:abstractNumId w:val="231"/>
  </w:num>
  <w:num w:numId="48" w16cid:durableId="1542549596">
    <w:abstractNumId w:val="91"/>
  </w:num>
  <w:num w:numId="49" w16cid:durableId="1500927132">
    <w:abstractNumId w:val="170"/>
  </w:num>
  <w:num w:numId="50" w16cid:durableId="1791968891">
    <w:abstractNumId w:val="11"/>
  </w:num>
  <w:num w:numId="51" w16cid:durableId="1273905309">
    <w:abstractNumId w:val="224"/>
  </w:num>
  <w:num w:numId="52" w16cid:durableId="1724135583">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2504909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334342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876079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5737582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63371923">
    <w:abstractNumId w:val="253"/>
  </w:num>
  <w:num w:numId="58" w16cid:durableId="1184397838">
    <w:abstractNumId w:val="175"/>
  </w:num>
  <w:num w:numId="59" w16cid:durableId="1775049307">
    <w:abstractNumId w:val="153"/>
  </w:num>
  <w:num w:numId="60" w16cid:durableId="1923100765">
    <w:abstractNumId w:val="171"/>
  </w:num>
  <w:num w:numId="61" w16cid:durableId="908418346">
    <w:abstractNumId w:val="35"/>
  </w:num>
  <w:num w:numId="62" w16cid:durableId="2086678668">
    <w:abstractNumId w:val="44"/>
  </w:num>
  <w:num w:numId="63" w16cid:durableId="1116290079">
    <w:abstractNumId w:val="54"/>
  </w:num>
  <w:num w:numId="64" w16cid:durableId="1355110588">
    <w:abstractNumId w:val="198"/>
  </w:num>
  <w:num w:numId="65" w16cid:durableId="1170371971">
    <w:abstractNumId w:val="14"/>
  </w:num>
  <w:num w:numId="66" w16cid:durableId="2022276763">
    <w:abstractNumId w:val="32"/>
  </w:num>
  <w:num w:numId="67" w16cid:durableId="433329636">
    <w:abstractNumId w:val="25"/>
  </w:num>
  <w:num w:numId="68" w16cid:durableId="209728520">
    <w:abstractNumId w:val="70"/>
  </w:num>
  <w:num w:numId="69" w16cid:durableId="1774595643">
    <w:abstractNumId w:val="95"/>
  </w:num>
  <w:num w:numId="70" w16cid:durableId="1554543161">
    <w:abstractNumId w:val="150"/>
  </w:num>
  <w:num w:numId="71" w16cid:durableId="873737540">
    <w:abstractNumId w:val="139"/>
  </w:num>
  <w:num w:numId="72" w16cid:durableId="416095710">
    <w:abstractNumId w:val="0"/>
  </w:num>
  <w:num w:numId="73" w16cid:durableId="1217736894">
    <w:abstractNumId w:val="185"/>
  </w:num>
  <w:num w:numId="74" w16cid:durableId="855584974">
    <w:abstractNumId w:val="75"/>
  </w:num>
  <w:num w:numId="75" w16cid:durableId="1257667363">
    <w:abstractNumId w:val="184"/>
  </w:num>
  <w:num w:numId="76" w16cid:durableId="2097051258">
    <w:abstractNumId w:val="65"/>
  </w:num>
  <w:num w:numId="77" w16cid:durableId="313071756">
    <w:abstractNumId w:val="43"/>
  </w:num>
  <w:num w:numId="78" w16cid:durableId="2125608252">
    <w:abstractNumId w:val="97"/>
  </w:num>
  <w:num w:numId="79" w16cid:durableId="103574489">
    <w:abstractNumId w:val="67"/>
  </w:num>
  <w:num w:numId="80" w16cid:durableId="1647542265">
    <w:abstractNumId w:val="257"/>
  </w:num>
  <w:num w:numId="81" w16cid:durableId="500898815">
    <w:abstractNumId w:val="15"/>
  </w:num>
  <w:num w:numId="82" w16cid:durableId="1388408971">
    <w:abstractNumId w:val="241"/>
  </w:num>
  <w:num w:numId="83" w16cid:durableId="1766732033">
    <w:abstractNumId w:val="189"/>
  </w:num>
  <w:num w:numId="84" w16cid:durableId="1124349791">
    <w:abstractNumId w:val="147"/>
  </w:num>
  <w:num w:numId="85" w16cid:durableId="2086948957">
    <w:abstractNumId w:val="148"/>
  </w:num>
  <w:num w:numId="86" w16cid:durableId="688147160">
    <w:abstractNumId w:val="245"/>
  </w:num>
  <w:num w:numId="87" w16cid:durableId="606084357">
    <w:abstractNumId w:val="259"/>
  </w:num>
  <w:num w:numId="88" w16cid:durableId="1137188569">
    <w:abstractNumId w:val="86"/>
  </w:num>
  <w:num w:numId="89" w16cid:durableId="1578049557">
    <w:abstractNumId w:val="233"/>
  </w:num>
  <w:num w:numId="90" w16cid:durableId="1361931616">
    <w:abstractNumId w:val="109"/>
  </w:num>
  <w:num w:numId="91" w16cid:durableId="969091381">
    <w:abstractNumId w:val="243"/>
  </w:num>
  <w:num w:numId="92" w16cid:durableId="267858284">
    <w:abstractNumId w:val="102"/>
  </w:num>
  <w:num w:numId="93" w16cid:durableId="294599781">
    <w:abstractNumId w:val="249"/>
  </w:num>
  <w:num w:numId="94" w16cid:durableId="1821580017">
    <w:abstractNumId w:val="52"/>
  </w:num>
  <w:num w:numId="95" w16cid:durableId="2017418535">
    <w:abstractNumId w:val="158"/>
  </w:num>
  <w:num w:numId="96" w16cid:durableId="1268854539">
    <w:abstractNumId w:val="206"/>
  </w:num>
  <w:num w:numId="97" w16cid:durableId="1833526895">
    <w:abstractNumId w:val="216"/>
  </w:num>
  <w:num w:numId="98" w16cid:durableId="15621276">
    <w:abstractNumId w:val="227"/>
  </w:num>
  <w:num w:numId="99" w16cid:durableId="528373705">
    <w:abstractNumId w:val="51"/>
  </w:num>
  <w:num w:numId="100" w16cid:durableId="1812358629">
    <w:abstractNumId w:val="188"/>
  </w:num>
  <w:num w:numId="101" w16cid:durableId="1904369035">
    <w:abstractNumId w:val="128"/>
  </w:num>
  <w:num w:numId="102" w16cid:durableId="1515416566">
    <w:abstractNumId w:val="113"/>
  </w:num>
  <w:num w:numId="103" w16cid:durableId="948514899">
    <w:abstractNumId w:val="183"/>
  </w:num>
  <w:num w:numId="104" w16cid:durableId="1056664518">
    <w:abstractNumId w:val="208"/>
  </w:num>
  <w:num w:numId="105" w16cid:durableId="15052">
    <w:abstractNumId w:val="133"/>
  </w:num>
  <w:num w:numId="106" w16cid:durableId="561868589">
    <w:abstractNumId w:val="186"/>
  </w:num>
  <w:num w:numId="107" w16cid:durableId="2097821120">
    <w:abstractNumId w:val="247"/>
  </w:num>
  <w:num w:numId="108" w16cid:durableId="846795088">
    <w:abstractNumId w:val="152"/>
  </w:num>
  <w:num w:numId="109" w16cid:durableId="260070703">
    <w:abstractNumId w:val="33"/>
  </w:num>
  <w:num w:numId="110" w16cid:durableId="353926847">
    <w:abstractNumId w:val="238"/>
  </w:num>
  <w:num w:numId="111" w16cid:durableId="2123067776">
    <w:abstractNumId w:val="56"/>
  </w:num>
  <w:num w:numId="112" w16cid:durableId="399256134">
    <w:abstractNumId w:val="203"/>
  </w:num>
  <w:num w:numId="113" w16cid:durableId="2121492134">
    <w:abstractNumId w:val="38"/>
  </w:num>
  <w:num w:numId="114" w16cid:durableId="896167337">
    <w:abstractNumId w:val="172"/>
  </w:num>
  <w:num w:numId="115" w16cid:durableId="1541897307">
    <w:abstractNumId w:val="136"/>
  </w:num>
  <w:num w:numId="116" w16cid:durableId="932124047">
    <w:abstractNumId w:val="255"/>
  </w:num>
  <w:num w:numId="117" w16cid:durableId="996423681">
    <w:abstractNumId w:val="92"/>
  </w:num>
  <w:num w:numId="118" w16cid:durableId="356082812">
    <w:abstractNumId w:val="177"/>
  </w:num>
  <w:num w:numId="119" w16cid:durableId="451094298">
    <w:abstractNumId w:val="129"/>
  </w:num>
  <w:num w:numId="120" w16cid:durableId="1760641113">
    <w:abstractNumId w:val="221"/>
  </w:num>
  <w:num w:numId="121" w16cid:durableId="2142964938">
    <w:abstractNumId w:val="223"/>
  </w:num>
  <w:num w:numId="122" w16cid:durableId="472909257">
    <w:abstractNumId w:val="125"/>
  </w:num>
  <w:num w:numId="123" w16cid:durableId="352652327">
    <w:abstractNumId w:val="46"/>
  </w:num>
  <w:num w:numId="124" w16cid:durableId="46419700">
    <w:abstractNumId w:val="201"/>
  </w:num>
  <w:num w:numId="125" w16cid:durableId="454058517">
    <w:abstractNumId w:val="79"/>
  </w:num>
  <w:num w:numId="126" w16cid:durableId="792749210">
    <w:abstractNumId w:val="169"/>
  </w:num>
  <w:num w:numId="127" w16cid:durableId="883181368">
    <w:abstractNumId w:val="217"/>
  </w:num>
  <w:num w:numId="128" w16cid:durableId="316152074">
    <w:abstractNumId w:val="157"/>
  </w:num>
  <w:num w:numId="129" w16cid:durableId="271086434">
    <w:abstractNumId w:val="62"/>
  </w:num>
  <w:num w:numId="130" w16cid:durableId="411859567">
    <w:abstractNumId w:val="197"/>
  </w:num>
  <w:num w:numId="131" w16cid:durableId="1482893607">
    <w:abstractNumId w:val="146"/>
  </w:num>
  <w:num w:numId="132" w16cid:durableId="727067498">
    <w:abstractNumId w:val="145"/>
  </w:num>
  <w:num w:numId="133" w16cid:durableId="1023282308">
    <w:abstractNumId w:val="215"/>
  </w:num>
  <w:num w:numId="134" w16cid:durableId="1913200927">
    <w:abstractNumId w:val="26"/>
  </w:num>
  <w:num w:numId="135" w16cid:durableId="444154474">
    <w:abstractNumId w:val="121"/>
  </w:num>
  <w:num w:numId="136" w16cid:durableId="969239935">
    <w:abstractNumId w:val="252"/>
  </w:num>
  <w:num w:numId="137" w16cid:durableId="2007857369">
    <w:abstractNumId w:val="96"/>
  </w:num>
  <w:num w:numId="138" w16cid:durableId="351107414">
    <w:abstractNumId w:val="49"/>
  </w:num>
  <w:num w:numId="139" w16cid:durableId="1524590728">
    <w:abstractNumId w:val="17"/>
  </w:num>
  <w:num w:numId="140" w16cid:durableId="1059594033">
    <w:abstractNumId w:val="230"/>
  </w:num>
  <w:num w:numId="141" w16cid:durableId="420611293">
    <w:abstractNumId w:val="55"/>
  </w:num>
  <w:num w:numId="142" w16cid:durableId="2032142471">
    <w:abstractNumId w:val="229"/>
  </w:num>
  <w:num w:numId="143" w16cid:durableId="1079713566">
    <w:abstractNumId w:val="204"/>
  </w:num>
  <w:num w:numId="144" w16cid:durableId="180243797">
    <w:abstractNumId w:val="115"/>
  </w:num>
  <w:num w:numId="145" w16cid:durableId="1387342008">
    <w:abstractNumId w:val="160"/>
  </w:num>
  <w:num w:numId="146" w16cid:durableId="420025734">
    <w:abstractNumId w:val="89"/>
  </w:num>
  <w:num w:numId="147" w16cid:durableId="417218411">
    <w:abstractNumId w:val="40"/>
  </w:num>
  <w:num w:numId="148" w16cid:durableId="716589007">
    <w:abstractNumId w:val="108"/>
  </w:num>
  <w:num w:numId="149" w16cid:durableId="1709840645">
    <w:abstractNumId w:val="248"/>
  </w:num>
  <w:num w:numId="150" w16cid:durableId="1692995588">
    <w:abstractNumId w:val="214"/>
  </w:num>
  <w:num w:numId="151" w16cid:durableId="492722927">
    <w:abstractNumId w:val="246"/>
  </w:num>
  <w:num w:numId="152" w16cid:durableId="910623996">
    <w:abstractNumId w:val="228"/>
  </w:num>
  <w:num w:numId="153" w16cid:durableId="1138304845">
    <w:abstractNumId w:val="20"/>
  </w:num>
  <w:num w:numId="154" w16cid:durableId="1133137929">
    <w:abstractNumId w:val="180"/>
  </w:num>
  <w:num w:numId="155" w16cid:durableId="304087200">
    <w:abstractNumId w:val="30"/>
  </w:num>
  <w:num w:numId="156" w16cid:durableId="828328642">
    <w:abstractNumId w:val="251"/>
  </w:num>
  <w:num w:numId="157" w16cid:durableId="1988318920">
    <w:abstractNumId w:val="36"/>
  </w:num>
  <w:num w:numId="158" w16cid:durableId="128397348">
    <w:abstractNumId w:val="8"/>
  </w:num>
  <w:num w:numId="159" w16cid:durableId="1215969407">
    <w:abstractNumId w:val="179"/>
  </w:num>
  <w:num w:numId="160" w16cid:durableId="1358316159">
    <w:abstractNumId w:val="23"/>
  </w:num>
  <w:num w:numId="161" w16cid:durableId="603001773">
    <w:abstractNumId w:val="244"/>
  </w:num>
  <w:num w:numId="162" w16cid:durableId="731270219">
    <w:abstractNumId w:val="192"/>
  </w:num>
  <w:num w:numId="163" w16cid:durableId="1816022280">
    <w:abstractNumId w:val="78"/>
  </w:num>
  <w:num w:numId="164" w16cid:durableId="1544635068">
    <w:abstractNumId w:val="168"/>
  </w:num>
  <w:num w:numId="165" w16cid:durableId="1998916657">
    <w:abstractNumId w:val="174"/>
  </w:num>
  <w:num w:numId="166" w16cid:durableId="1735858754">
    <w:abstractNumId w:val="232"/>
  </w:num>
  <w:num w:numId="167" w16cid:durableId="730999976">
    <w:abstractNumId w:val="76"/>
  </w:num>
  <w:num w:numId="168" w16cid:durableId="693850026">
    <w:abstractNumId w:val="242"/>
  </w:num>
  <w:num w:numId="169" w16cid:durableId="1479802993">
    <w:abstractNumId w:val="165"/>
  </w:num>
  <w:num w:numId="170" w16cid:durableId="1262840174">
    <w:abstractNumId w:val="7"/>
  </w:num>
  <w:num w:numId="171" w16cid:durableId="1685478032">
    <w:abstractNumId w:val="164"/>
  </w:num>
  <w:num w:numId="172" w16cid:durableId="359362488">
    <w:abstractNumId w:val="24"/>
  </w:num>
  <w:num w:numId="173" w16cid:durableId="2086221775">
    <w:abstractNumId w:val="205"/>
  </w:num>
  <w:num w:numId="174" w16cid:durableId="703939968">
    <w:abstractNumId w:val="31"/>
  </w:num>
  <w:num w:numId="175" w16cid:durableId="2065105619">
    <w:abstractNumId w:val="193"/>
  </w:num>
  <w:num w:numId="176" w16cid:durableId="575357554">
    <w:abstractNumId w:val="29"/>
  </w:num>
  <w:num w:numId="177" w16cid:durableId="1979602274">
    <w:abstractNumId w:val="196"/>
  </w:num>
  <w:num w:numId="178" w16cid:durableId="44522766">
    <w:abstractNumId w:val="84"/>
  </w:num>
  <w:num w:numId="179" w16cid:durableId="455375934">
    <w:abstractNumId w:val="166"/>
  </w:num>
  <w:num w:numId="180" w16cid:durableId="840244182">
    <w:abstractNumId w:val="194"/>
  </w:num>
  <w:num w:numId="181" w16cid:durableId="2021079835">
    <w:abstractNumId w:val="135"/>
  </w:num>
  <w:num w:numId="182" w16cid:durableId="475337300">
    <w:abstractNumId w:val="21"/>
  </w:num>
  <w:num w:numId="183" w16cid:durableId="1261641301">
    <w:abstractNumId w:val="107"/>
  </w:num>
  <w:num w:numId="184" w16cid:durableId="861825859">
    <w:abstractNumId w:val="53"/>
  </w:num>
  <w:num w:numId="185" w16cid:durableId="797531678">
    <w:abstractNumId w:val="127"/>
  </w:num>
  <w:num w:numId="186" w16cid:durableId="5716275">
    <w:abstractNumId w:val="82"/>
  </w:num>
  <w:num w:numId="187" w16cid:durableId="662510200">
    <w:abstractNumId w:val="93"/>
  </w:num>
  <w:num w:numId="188" w16cid:durableId="1836874900">
    <w:abstractNumId w:val="18"/>
  </w:num>
  <w:num w:numId="189" w16cid:durableId="17851494">
    <w:abstractNumId w:val="235"/>
  </w:num>
  <w:num w:numId="190" w16cid:durableId="992026616">
    <w:abstractNumId w:val="219"/>
  </w:num>
  <w:num w:numId="191" w16cid:durableId="568804401">
    <w:abstractNumId w:val="19"/>
  </w:num>
  <w:num w:numId="192" w16cid:durableId="657537411">
    <w:abstractNumId w:val="256"/>
  </w:num>
  <w:num w:numId="193" w16cid:durableId="2090227076">
    <w:abstractNumId w:val="5"/>
  </w:num>
  <w:num w:numId="194" w16cid:durableId="165100501">
    <w:abstractNumId w:val="100"/>
  </w:num>
  <w:num w:numId="195" w16cid:durableId="1454595632">
    <w:abstractNumId w:val="101"/>
  </w:num>
  <w:num w:numId="196" w16cid:durableId="477110321">
    <w:abstractNumId w:val="222"/>
  </w:num>
  <w:num w:numId="197" w16cid:durableId="497841094">
    <w:abstractNumId w:val="237"/>
  </w:num>
  <w:num w:numId="198" w16cid:durableId="1856921480">
    <w:abstractNumId w:val="114"/>
  </w:num>
  <w:num w:numId="199" w16cid:durableId="1841845309">
    <w:abstractNumId w:val="4"/>
  </w:num>
  <w:num w:numId="200" w16cid:durableId="1613708555">
    <w:abstractNumId w:val="48"/>
  </w:num>
  <w:num w:numId="201" w16cid:durableId="210265790">
    <w:abstractNumId w:val="151"/>
  </w:num>
  <w:num w:numId="202" w16cid:durableId="138963114">
    <w:abstractNumId w:val="182"/>
  </w:num>
  <w:num w:numId="203" w16cid:durableId="423574223">
    <w:abstractNumId w:val="202"/>
  </w:num>
  <w:num w:numId="204" w16cid:durableId="1810784395">
    <w:abstractNumId w:val="226"/>
  </w:num>
  <w:num w:numId="205" w16cid:durableId="249655702">
    <w:abstractNumId w:val="209"/>
  </w:num>
  <w:num w:numId="206" w16cid:durableId="2056195143">
    <w:abstractNumId w:val="41"/>
  </w:num>
  <w:num w:numId="207" w16cid:durableId="399324758">
    <w:abstractNumId w:val="118"/>
  </w:num>
  <w:num w:numId="208" w16cid:durableId="7298240">
    <w:abstractNumId w:val="190"/>
  </w:num>
  <w:num w:numId="209" w16cid:durableId="2131246240">
    <w:abstractNumId w:val="116"/>
  </w:num>
  <w:num w:numId="210" w16cid:durableId="1680231938">
    <w:abstractNumId w:val="98"/>
  </w:num>
  <w:num w:numId="211" w16cid:durableId="716320448">
    <w:abstractNumId w:val="45"/>
  </w:num>
  <w:num w:numId="212" w16cid:durableId="373041580">
    <w:abstractNumId w:val="225"/>
  </w:num>
  <w:num w:numId="213" w16cid:durableId="1537887888">
    <w:abstractNumId w:val="58"/>
  </w:num>
  <w:num w:numId="214" w16cid:durableId="2005544789">
    <w:abstractNumId w:val="42"/>
  </w:num>
  <w:num w:numId="215" w16cid:durableId="1276404002">
    <w:abstractNumId w:val="178"/>
  </w:num>
  <w:num w:numId="216" w16cid:durableId="1409767658">
    <w:abstractNumId w:val="103"/>
  </w:num>
  <w:num w:numId="217" w16cid:durableId="1439570058">
    <w:abstractNumId w:val="119"/>
  </w:num>
  <w:num w:numId="218" w16cid:durableId="1801991316">
    <w:abstractNumId w:val="39"/>
  </w:num>
  <w:num w:numId="219" w16cid:durableId="574903719">
    <w:abstractNumId w:val="134"/>
  </w:num>
  <w:num w:numId="220" w16cid:durableId="812068490">
    <w:abstractNumId w:val="57"/>
  </w:num>
  <w:num w:numId="221" w16cid:durableId="917784609">
    <w:abstractNumId w:val="250"/>
  </w:num>
  <w:num w:numId="222" w16cid:durableId="85730993">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660874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1587386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29001462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37141291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447655330">
    <w:abstractNumId w:val="68"/>
  </w:num>
  <w:num w:numId="228" w16cid:durableId="163548102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743141957">
    <w:abstractNumId w:val="85"/>
  </w:num>
  <w:num w:numId="230" w16cid:durableId="90383454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620601879">
    <w:abstractNumId w:val="142"/>
  </w:num>
  <w:num w:numId="232" w16cid:durableId="278492990">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527067430">
    <w:abstractNumId w:val="162"/>
  </w:num>
  <w:num w:numId="234" w16cid:durableId="1896356629">
    <w:abstractNumId w:val="47"/>
  </w:num>
  <w:num w:numId="235" w16cid:durableId="48412295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9706999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203333964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775566200">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115483351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1065805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45332571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871114870">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1904027769">
    <w:abstractNumId w:val="77"/>
  </w:num>
  <w:num w:numId="244" w16cid:durableId="1757706888">
    <w:abstractNumId w:val="122"/>
  </w:num>
  <w:num w:numId="245" w16cid:durableId="442725385">
    <w:abstractNumId w:val="27"/>
  </w:num>
  <w:num w:numId="246" w16cid:durableId="268588185">
    <w:abstractNumId w:val="130"/>
    <w:lvlOverride w:ilvl="0">
      <w:startOverride w:val="1"/>
    </w:lvlOverride>
    <w:lvlOverride w:ilvl="1"/>
    <w:lvlOverride w:ilvl="2"/>
    <w:lvlOverride w:ilvl="3"/>
    <w:lvlOverride w:ilvl="4"/>
    <w:lvlOverride w:ilvl="5"/>
    <w:lvlOverride w:ilvl="6"/>
    <w:lvlOverride w:ilvl="7"/>
    <w:lvlOverride w:ilvl="8"/>
  </w:num>
  <w:num w:numId="247" w16cid:durableId="1242984744">
    <w:abstractNumId w:val="88"/>
  </w:num>
  <w:num w:numId="248" w16cid:durableId="1758357136">
    <w:abstractNumId w:val="16"/>
  </w:num>
  <w:num w:numId="249" w16cid:durableId="1291352906">
    <w:abstractNumId w:val="159"/>
  </w:num>
  <w:num w:numId="250" w16cid:durableId="2144034702">
    <w:abstractNumId w:val="212"/>
  </w:num>
  <w:num w:numId="251" w16cid:durableId="739060732">
    <w:abstractNumId w:val="80"/>
  </w:num>
  <w:num w:numId="252" w16cid:durableId="214701476">
    <w:abstractNumId w:val="176"/>
  </w:num>
  <w:num w:numId="253" w16cid:durableId="311715416">
    <w:abstractNumId w:val="13"/>
  </w:num>
  <w:num w:numId="254" w16cid:durableId="772364070">
    <w:abstractNumId w:val="28"/>
  </w:num>
  <w:num w:numId="255" w16cid:durableId="185826744">
    <w:abstractNumId w:val="155"/>
  </w:num>
  <w:num w:numId="256" w16cid:durableId="710109883">
    <w:abstractNumId w:val="161"/>
  </w:num>
  <w:num w:numId="257" w16cid:durableId="1941792312">
    <w:abstractNumId w:val="140"/>
  </w:num>
  <w:num w:numId="258" w16cid:durableId="227309330">
    <w:abstractNumId w:val="99"/>
  </w:num>
  <w:num w:numId="259" w16cid:durableId="1534534978">
    <w:abstractNumId w:val="69"/>
  </w:num>
  <w:num w:numId="260" w16cid:durableId="1307510888">
    <w:abstractNumId w:val="22"/>
  </w:num>
  <w:num w:numId="261" w16cid:durableId="581917244">
    <w:abstractNumId w:val="1"/>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D0B"/>
    <w:rsid w:val="000002CA"/>
    <w:rsid w:val="0000200B"/>
    <w:rsid w:val="00005022"/>
    <w:rsid w:val="0000633B"/>
    <w:rsid w:val="0000770D"/>
    <w:rsid w:val="00007961"/>
    <w:rsid w:val="00007DA5"/>
    <w:rsid w:val="0001028D"/>
    <w:rsid w:val="00011C56"/>
    <w:rsid w:val="00011CD7"/>
    <w:rsid w:val="00012956"/>
    <w:rsid w:val="00012CB5"/>
    <w:rsid w:val="00013BD8"/>
    <w:rsid w:val="00014CD9"/>
    <w:rsid w:val="0001559E"/>
    <w:rsid w:val="00015765"/>
    <w:rsid w:val="00015C11"/>
    <w:rsid w:val="000172D0"/>
    <w:rsid w:val="0001788E"/>
    <w:rsid w:val="00017926"/>
    <w:rsid w:val="000201AE"/>
    <w:rsid w:val="00021A77"/>
    <w:rsid w:val="00021BC6"/>
    <w:rsid w:val="00022111"/>
    <w:rsid w:val="000224F3"/>
    <w:rsid w:val="000240F4"/>
    <w:rsid w:val="00024AC1"/>
    <w:rsid w:val="0002641E"/>
    <w:rsid w:val="00027F93"/>
    <w:rsid w:val="0003030A"/>
    <w:rsid w:val="00030848"/>
    <w:rsid w:val="00030BD0"/>
    <w:rsid w:val="00031451"/>
    <w:rsid w:val="00033049"/>
    <w:rsid w:val="000338EB"/>
    <w:rsid w:val="00033F2F"/>
    <w:rsid w:val="00034D2E"/>
    <w:rsid w:val="00034E3C"/>
    <w:rsid w:val="000354DE"/>
    <w:rsid w:val="00035CE1"/>
    <w:rsid w:val="00035DA5"/>
    <w:rsid w:val="00035FD1"/>
    <w:rsid w:val="00036132"/>
    <w:rsid w:val="00036981"/>
    <w:rsid w:val="00036AC0"/>
    <w:rsid w:val="00040C95"/>
    <w:rsid w:val="00041A20"/>
    <w:rsid w:val="000425F9"/>
    <w:rsid w:val="00042CF3"/>
    <w:rsid w:val="00043EB5"/>
    <w:rsid w:val="000444ED"/>
    <w:rsid w:val="000475C5"/>
    <w:rsid w:val="00047C72"/>
    <w:rsid w:val="000507FD"/>
    <w:rsid w:val="00051E5F"/>
    <w:rsid w:val="000536EA"/>
    <w:rsid w:val="0005572D"/>
    <w:rsid w:val="00055D3D"/>
    <w:rsid w:val="00055D4A"/>
    <w:rsid w:val="00056348"/>
    <w:rsid w:val="00057DA0"/>
    <w:rsid w:val="00057DFF"/>
    <w:rsid w:val="00060922"/>
    <w:rsid w:val="00060EA4"/>
    <w:rsid w:val="00061271"/>
    <w:rsid w:val="00062065"/>
    <w:rsid w:val="00062C8E"/>
    <w:rsid w:val="00064E00"/>
    <w:rsid w:val="00064EE6"/>
    <w:rsid w:val="00066F52"/>
    <w:rsid w:val="00066FD6"/>
    <w:rsid w:val="000674F6"/>
    <w:rsid w:val="00067BF9"/>
    <w:rsid w:val="00070F01"/>
    <w:rsid w:val="00071C15"/>
    <w:rsid w:val="00072A0D"/>
    <w:rsid w:val="00072DE1"/>
    <w:rsid w:val="000734CE"/>
    <w:rsid w:val="0007380A"/>
    <w:rsid w:val="00073BC8"/>
    <w:rsid w:val="00073BED"/>
    <w:rsid w:val="00074A46"/>
    <w:rsid w:val="0007557A"/>
    <w:rsid w:val="00075D23"/>
    <w:rsid w:val="00075EE7"/>
    <w:rsid w:val="00076544"/>
    <w:rsid w:val="0007692B"/>
    <w:rsid w:val="00081DBE"/>
    <w:rsid w:val="00082C68"/>
    <w:rsid w:val="00083EE6"/>
    <w:rsid w:val="0008436A"/>
    <w:rsid w:val="00086C71"/>
    <w:rsid w:val="00086CD2"/>
    <w:rsid w:val="00087632"/>
    <w:rsid w:val="00090A65"/>
    <w:rsid w:val="0009138F"/>
    <w:rsid w:val="0009176E"/>
    <w:rsid w:val="00091B0F"/>
    <w:rsid w:val="00092541"/>
    <w:rsid w:val="000927A5"/>
    <w:rsid w:val="00092A37"/>
    <w:rsid w:val="00092F7C"/>
    <w:rsid w:val="000942DB"/>
    <w:rsid w:val="00094D33"/>
    <w:rsid w:val="0009505D"/>
    <w:rsid w:val="0009555E"/>
    <w:rsid w:val="00095658"/>
    <w:rsid w:val="00095846"/>
    <w:rsid w:val="00095C97"/>
    <w:rsid w:val="00095CAC"/>
    <w:rsid w:val="000960AF"/>
    <w:rsid w:val="0009662C"/>
    <w:rsid w:val="00096C41"/>
    <w:rsid w:val="000A0143"/>
    <w:rsid w:val="000A02CD"/>
    <w:rsid w:val="000A0DEF"/>
    <w:rsid w:val="000A0EB0"/>
    <w:rsid w:val="000A1A35"/>
    <w:rsid w:val="000A3050"/>
    <w:rsid w:val="000A3893"/>
    <w:rsid w:val="000A3A20"/>
    <w:rsid w:val="000A3EF2"/>
    <w:rsid w:val="000A4241"/>
    <w:rsid w:val="000A5078"/>
    <w:rsid w:val="000A6394"/>
    <w:rsid w:val="000A7E43"/>
    <w:rsid w:val="000B0165"/>
    <w:rsid w:val="000B021C"/>
    <w:rsid w:val="000B2100"/>
    <w:rsid w:val="000B2355"/>
    <w:rsid w:val="000B256F"/>
    <w:rsid w:val="000B293A"/>
    <w:rsid w:val="000B305E"/>
    <w:rsid w:val="000B42E0"/>
    <w:rsid w:val="000B4FFA"/>
    <w:rsid w:val="000B510F"/>
    <w:rsid w:val="000B6810"/>
    <w:rsid w:val="000C03EA"/>
    <w:rsid w:val="000C0688"/>
    <w:rsid w:val="000C1877"/>
    <w:rsid w:val="000C1DC9"/>
    <w:rsid w:val="000C29EF"/>
    <w:rsid w:val="000C2D8B"/>
    <w:rsid w:val="000C46DF"/>
    <w:rsid w:val="000C6A25"/>
    <w:rsid w:val="000C705E"/>
    <w:rsid w:val="000C7DA6"/>
    <w:rsid w:val="000D016F"/>
    <w:rsid w:val="000D0592"/>
    <w:rsid w:val="000D0653"/>
    <w:rsid w:val="000D113A"/>
    <w:rsid w:val="000D18E6"/>
    <w:rsid w:val="000D19A9"/>
    <w:rsid w:val="000D22C7"/>
    <w:rsid w:val="000D2F22"/>
    <w:rsid w:val="000D3F0C"/>
    <w:rsid w:val="000D3F41"/>
    <w:rsid w:val="000D448C"/>
    <w:rsid w:val="000D5AEB"/>
    <w:rsid w:val="000D6335"/>
    <w:rsid w:val="000D640D"/>
    <w:rsid w:val="000D7E58"/>
    <w:rsid w:val="000E0DEA"/>
    <w:rsid w:val="000E1453"/>
    <w:rsid w:val="000E1F4D"/>
    <w:rsid w:val="000E23F1"/>
    <w:rsid w:val="000E3885"/>
    <w:rsid w:val="000E401F"/>
    <w:rsid w:val="000E4167"/>
    <w:rsid w:val="000E461B"/>
    <w:rsid w:val="000E481D"/>
    <w:rsid w:val="000E4FD6"/>
    <w:rsid w:val="000E53DB"/>
    <w:rsid w:val="000E6327"/>
    <w:rsid w:val="000E68A5"/>
    <w:rsid w:val="000E73BD"/>
    <w:rsid w:val="000F1C74"/>
    <w:rsid w:val="000F2ED7"/>
    <w:rsid w:val="000F33D0"/>
    <w:rsid w:val="000F35E3"/>
    <w:rsid w:val="000F35FA"/>
    <w:rsid w:val="000F3C23"/>
    <w:rsid w:val="000F448B"/>
    <w:rsid w:val="000F49F7"/>
    <w:rsid w:val="000F5F14"/>
    <w:rsid w:val="000F780E"/>
    <w:rsid w:val="00100174"/>
    <w:rsid w:val="001008FA"/>
    <w:rsid w:val="0010125D"/>
    <w:rsid w:val="001019C7"/>
    <w:rsid w:val="00101EF6"/>
    <w:rsid w:val="001029CE"/>
    <w:rsid w:val="00102E4C"/>
    <w:rsid w:val="001031D6"/>
    <w:rsid w:val="0010397B"/>
    <w:rsid w:val="00103E90"/>
    <w:rsid w:val="00104355"/>
    <w:rsid w:val="001047A9"/>
    <w:rsid w:val="00104CBB"/>
    <w:rsid w:val="00105A5C"/>
    <w:rsid w:val="0010686C"/>
    <w:rsid w:val="00110E18"/>
    <w:rsid w:val="0011187A"/>
    <w:rsid w:val="00111F3C"/>
    <w:rsid w:val="00112975"/>
    <w:rsid w:val="00112B65"/>
    <w:rsid w:val="001132CB"/>
    <w:rsid w:val="00113B65"/>
    <w:rsid w:val="0011449C"/>
    <w:rsid w:val="001148C2"/>
    <w:rsid w:val="00116A22"/>
    <w:rsid w:val="0011715F"/>
    <w:rsid w:val="00117306"/>
    <w:rsid w:val="00117A04"/>
    <w:rsid w:val="00117B6D"/>
    <w:rsid w:val="00120959"/>
    <w:rsid w:val="00120EDA"/>
    <w:rsid w:val="00121870"/>
    <w:rsid w:val="00122B17"/>
    <w:rsid w:val="0012371E"/>
    <w:rsid w:val="00123950"/>
    <w:rsid w:val="0012427C"/>
    <w:rsid w:val="00124688"/>
    <w:rsid w:val="001257CD"/>
    <w:rsid w:val="00125986"/>
    <w:rsid w:val="0012660E"/>
    <w:rsid w:val="0012709F"/>
    <w:rsid w:val="00127CB6"/>
    <w:rsid w:val="001319F4"/>
    <w:rsid w:val="00131E81"/>
    <w:rsid w:val="0013263A"/>
    <w:rsid w:val="00132695"/>
    <w:rsid w:val="00132CDA"/>
    <w:rsid w:val="00132CFF"/>
    <w:rsid w:val="0013312B"/>
    <w:rsid w:val="00133258"/>
    <w:rsid w:val="00133930"/>
    <w:rsid w:val="00133C56"/>
    <w:rsid w:val="001347F5"/>
    <w:rsid w:val="001356F3"/>
    <w:rsid w:val="001363AC"/>
    <w:rsid w:val="00137030"/>
    <w:rsid w:val="001402EE"/>
    <w:rsid w:val="00140311"/>
    <w:rsid w:val="00140620"/>
    <w:rsid w:val="001421D0"/>
    <w:rsid w:val="00143426"/>
    <w:rsid w:val="0014484A"/>
    <w:rsid w:val="00144ACB"/>
    <w:rsid w:val="00145976"/>
    <w:rsid w:val="0014658A"/>
    <w:rsid w:val="001465AB"/>
    <w:rsid w:val="00146B87"/>
    <w:rsid w:val="00146CCC"/>
    <w:rsid w:val="0014743C"/>
    <w:rsid w:val="0015005B"/>
    <w:rsid w:val="0015048D"/>
    <w:rsid w:val="00150572"/>
    <w:rsid w:val="00150FC3"/>
    <w:rsid w:val="001511C7"/>
    <w:rsid w:val="001522B6"/>
    <w:rsid w:val="00152411"/>
    <w:rsid w:val="00152511"/>
    <w:rsid w:val="00152710"/>
    <w:rsid w:val="00152AA8"/>
    <w:rsid w:val="00152B7D"/>
    <w:rsid w:val="001532A6"/>
    <w:rsid w:val="00153ADA"/>
    <w:rsid w:val="00153BEF"/>
    <w:rsid w:val="00153C15"/>
    <w:rsid w:val="001546E8"/>
    <w:rsid w:val="001547A8"/>
    <w:rsid w:val="001553E2"/>
    <w:rsid w:val="00155A5E"/>
    <w:rsid w:val="00156B4F"/>
    <w:rsid w:val="00156EE7"/>
    <w:rsid w:val="00157636"/>
    <w:rsid w:val="00160849"/>
    <w:rsid w:val="00160C7A"/>
    <w:rsid w:val="00160E7F"/>
    <w:rsid w:val="00161762"/>
    <w:rsid w:val="001635DA"/>
    <w:rsid w:val="001637DD"/>
    <w:rsid w:val="001647AB"/>
    <w:rsid w:val="0016489C"/>
    <w:rsid w:val="001657C4"/>
    <w:rsid w:val="00165961"/>
    <w:rsid w:val="00165D63"/>
    <w:rsid w:val="0016754A"/>
    <w:rsid w:val="001676A1"/>
    <w:rsid w:val="00170757"/>
    <w:rsid w:val="0017096D"/>
    <w:rsid w:val="00170C64"/>
    <w:rsid w:val="00171778"/>
    <w:rsid w:val="00171AA7"/>
    <w:rsid w:val="00171D0C"/>
    <w:rsid w:val="00171E25"/>
    <w:rsid w:val="00172236"/>
    <w:rsid w:val="00172C7A"/>
    <w:rsid w:val="00173810"/>
    <w:rsid w:val="001745B1"/>
    <w:rsid w:val="00174F35"/>
    <w:rsid w:val="00174F6A"/>
    <w:rsid w:val="0017502B"/>
    <w:rsid w:val="00176027"/>
    <w:rsid w:val="001772C9"/>
    <w:rsid w:val="00177E0E"/>
    <w:rsid w:val="00180033"/>
    <w:rsid w:val="001810B9"/>
    <w:rsid w:val="001836D5"/>
    <w:rsid w:val="00184010"/>
    <w:rsid w:val="00184738"/>
    <w:rsid w:val="00184FCB"/>
    <w:rsid w:val="00185007"/>
    <w:rsid w:val="00185DBF"/>
    <w:rsid w:val="001864F4"/>
    <w:rsid w:val="00187F68"/>
    <w:rsid w:val="00187F6B"/>
    <w:rsid w:val="001906B3"/>
    <w:rsid w:val="00191550"/>
    <w:rsid w:val="001929F9"/>
    <w:rsid w:val="00193184"/>
    <w:rsid w:val="001937AE"/>
    <w:rsid w:val="0019469E"/>
    <w:rsid w:val="0019496D"/>
    <w:rsid w:val="00196D04"/>
    <w:rsid w:val="00197A0A"/>
    <w:rsid w:val="00197FD8"/>
    <w:rsid w:val="001A0D91"/>
    <w:rsid w:val="001A173D"/>
    <w:rsid w:val="001A17BD"/>
    <w:rsid w:val="001A1809"/>
    <w:rsid w:val="001A2A48"/>
    <w:rsid w:val="001A31CC"/>
    <w:rsid w:val="001A34A2"/>
    <w:rsid w:val="001A3945"/>
    <w:rsid w:val="001A39BF"/>
    <w:rsid w:val="001A3E5F"/>
    <w:rsid w:val="001A540A"/>
    <w:rsid w:val="001A60E4"/>
    <w:rsid w:val="001A64CB"/>
    <w:rsid w:val="001A6C93"/>
    <w:rsid w:val="001A7553"/>
    <w:rsid w:val="001B1A8F"/>
    <w:rsid w:val="001B1F0B"/>
    <w:rsid w:val="001B21AE"/>
    <w:rsid w:val="001B27C0"/>
    <w:rsid w:val="001B2D70"/>
    <w:rsid w:val="001B3EDE"/>
    <w:rsid w:val="001B41E2"/>
    <w:rsid w:val="001B4674"/>
    <w:rsid w:val="001B4741"/>
    <w:rsid w:val="001B4AA3"/>
    <w:rsid w:val="001B4D0A"/>
    <w:rsid w:val="001B4E0A"/>
    <w:rsid w:val="001B5FB0"/>
    <w:rsid w:val="001B6B01"/>
    <w:rsid w:val="001B71F2"/>
    <w:rsid w:val="001B723D"/>
    <w:rsid w:val="001B7C02"/>
    <w:rsid w:val="001C1628"/>
    <w:rsid w:val="001C1A6F"/>
    <w:rsid w:val="001C2495"/>
    <w:rsid w:val="001C3208"/>
    <w:rsid w:val="001C3D65"/>
    <w:rsid w:val="001C4B64"/>
    <w:rsid w:val="001C6F54"/>
    <w:rsid w:val="001C7225"/>
    <w:rsid w:val="001C7277"/>
    <w:rsid w:val="001C7795"/>
    <w:rsid w:val="001C7EE4"/>
    <w:rsid w:val="001D0FC7"/>
    <w:rsid w:val="001D3B0F"/>
    <w:rsid w:val="001D3B95"/>
    <w:rsid w:val="001D428A"/>
    <w:rsid w:val="001D544B"/>
    <w:rsid w:val="001D5535"/>
    <w:rsid w:val="001D5B7D"/>
    <w:rsid w:val="001D6DE3"/>
    <w:rsid w:val="001D741E"/>
    <w:rsid w:val="001E0C31"/>
    <w:rsid w:val="001E171B"/>
    <w:rsid w:val="001E192D"/>
    <w:rsid w:val="001E1BD9"/>
    <w:rsid w:val="001E20B1"/>
    <w:rsid w:val="001E3A81"/>
    <w:rsid w:val="001E498C"/>
    <w:rsid w:val="001E4D90"/>
    <w:rsid w:val="001E51B8"/>
    <w:rsid w:val="001E5A03"/>
    <w:rsid w:val="001E6CB5"/>
    <w:rsid w:val="001E6E20"/>
    <w:rsid w:val="001E7748"/>
    <w:rsid w:val="001F04CB"/>
    <w:rsid w:val="001F0AB1"/>
    <w:rsid w:val="001F0ABF"/>
    <w:rsid w:val="001F0C02"/>
    <w:rsid w:val="001F1679"/>
    <w:rsid w:val="001F198B"/>
    <w:rsid w:val="001F1A30"/>
    <w:rsid w:val="001F2E30"/>
    <w:rsid w:val="001F2E92"/>
    <w:rsid w:val="001F3012"/>
    <w:rsid w:val="001F3397"/>
    <w:rsid w:val="001F3570"/>
    <w:rsid w:val="001F3DA0"/>
    <w:rsid w:val="001F3FED"/>
    <w:rsid w:val="001F4285"/>
    <w:rsid w:val="001F4C12"/>
    <w:rsid w:val="001F4F97"/>
    <w:rsid w:val="001F61D7"/>
    <w:rsid w:val="001F66C5"/>
    <w:rsid w:val="001F6CF7"/>
    <w:rsid w:val="001F7193"/>
    <w:rsid w:val="001F77A8"/>
    <w:rsid w:val="001F7CB6"/>
    <w:rsid w:val="00201DEE"/>
    <w:rsid w:val="00201FCB"/>
    <w:rsid w:val="00203931"/>
    <w:rsid w:val="00205F91"/>
    <w:rsid w:val="00206652"/>
    <w:rsid w:val="002066EE"/>
    <w:rsid w:val="002077AB"/>
    <w:rsid w:val="0021056C"/>
    <w:rsid w:val="00211A7C"/>
    <w:rsid w:val="00212314"/>
    <w:rsid w:val="00212768"/>
    <w:rsid w:val="0021297B"/>
    <w:rsid w:val="00213E5A"/>
    <w:rsid w:val="00216C60"/>
    <w:rsid w:val="0022160D"/>
    <w:rsid w:val="00221B72"/>
    <w:rsid w:val="00221F4A"/>
    <w:rsid w:val="00222313"/>
    <w:rsid w:val="00222D56"/>
    <w:rsid w:val="00222E6F"/>
    <w:rsid w:val="0022319B"/>
    <w:rsid w:val="0022399C"/>
    <w:rsid w:val="002249AF"/>
    <w:rsid w:val="00224E8C"/>
    <w:rsid w:val="00226427"/>
    <w:rsid w:val="00227D11"/>
    <w:rsid w:val="00227D1F"/>
    <w:rsid w:val="0023085F"/>
    <w:rsid w:val="0023158A"/>
    <w:rsid w:val="002318F4"/>
    <w:rsid w:val="00232095"/>
    <w:rsid w:val="002328D8"/>
    <w:rsid w:val="00233C5D"/>
    <w:rsid w:val="0023475C"/>
    <w:rsid w:val="00234D5F"/>
    <w:rsid w:val="00235519"/>
    <w:rsid w:val="00235CFE"/>
    <w:rsid w:val="00235E10"/>
    <w:rsid w:val="002362EE"/>
    <w:rsid w:val="00236BD2"/>
    <w:rsid w:val="0023731A"/>
    <w:rsid w:val="002373C0"/>
    <w:rsid w:val="00240C21"/>
    <w:rsid w:val="00241047"/>
    <w:rsid w:val="00241D70"/>
    <w:rsid w:val="002421D4"/>
    <w:rsid w:val="00242376"/>
    <w:rsid w:val="00242590"/>
    <w:rsid w:val="00243075"/>
    <w:rsid w:val="002435CF"/>
    <w:rsid w:val="00243B2E"/>
    <w:rsid w:val="00243FE8"/>
    <w:rsid w:val="00244634"/>
    <w:rsid w:val="0024488C"/>
    <w:rsid w:val="00245BAA"/>
    <w:rsid w:val="00246723"/>
    <w:rsid w:val="00247393"/>
    <w:rsid w:val="00247E2E"/>
    <w:rsid w:val="00247F3D"/>
    <w:rsid w:val="00250150"/>
    <w:rsid w:val="002507B3"/>
    <w:rsid w:val="00250EC7"/>
    <w:rsid w:val="0025180D"/>
    <w:rsid w:val="002524A5"/>
    <w:rsid w:val="00252827"/>
    <w:rsid w:val="002529C6"/>
    <w:rsid w:val="00252C6C"/>
    <w:rsid w:val="0025323D"/>
    <w:rsid w:val="00253B04"/>
    <w:rsid w:val="0025457C"/>
    <w:rsid w:val="00255B3A"/>
    <w:rsid w:val="00255D89"/>
    <w:rsid w:val="0026001F"/>
    <w:rsid w:val="00260CBD"/>
    <w:rsid w:val="00261DA2"/>
    <w:rsid w:val="00262615"/>
    <w:rsid w:val="00262FEA"/>
    <w:rsid w:val="00263549"/>
    <w:rsid w:val="0026419C"/>
    <w:rsid w:val="00265580"/>
    <w:rsid w:val="00265FB2"/>
    <w:rsid w:val="00267426"/>
    <w:rsid w:val="002679F4"/>
    <w:rsid w:val="00267AA2"/>
    <w:rsid w:val="00270082"/>
    <w:rsid w:val="002701A3"/>
    <w:rsid w:val="00270385"/>
    <w:rsid w:val="00270A84"/>
    <w:rsid w:val="00271325"/>
    <w:rsid w:val="00271E5E"/>
    <w:rsid w:val="0027349F"/>
    <w:rsid w:val="002736FA"/>
    <w:rsid w:val="00274404"/>
    <w:rsid w:val="00275A0F"/>
    <w:rsid w:val="00275EC8"/>
    <w:rsid w:val="002764E5"/>
    <w:rsid w:val="00277A6B"/>
    <w:rsid w:val="002804C6"/>
    <w:rsid w:val="00280627"/>
    <w:rsid w:val="002809CD"/>
    <w:rsid w:val="00281648"/>
    <w:rsid w:val="00282995"/>
    <w:rsid w:val="00283AB2"/>
    <w:rsid w:val="0028515A"/>
    <w:rsid w:val="0028530F"/>
    <w:rsid w:val="0028539A"/>
    <w:rsid w:val="00285484"/>
    <w:rsid w:val="00285A5E"/>
    <w:rsid w:val="00287A1E"/>
    <w:rsid w:val="002900CE"/>
    <w:rsid w:val="002906A8"/>
    <w:rsid w:val="002910AE"/>
    <w:rsid w:val="0029245A"/>
    <w:rsid w:val="002929C4"/>
    <w:rsid w:val="00293799"/>
    <w:rsid w:val="002944F3"/>
    <w:rsid w:val="00294908"/>
    <w:rsid w:val="00294BC1"/>
    <w:rsid w:val="00294DB8"/>
    <w:rsid w:val="00294E1A"/>
    <w:rsid w:val="00295360"/>
    <w:rsid w:val="00295F73"/>
    <w:rsid w:val="00296090"/>
    <w:rsid w:val="00296B03"/>
    <w:rsid w:val="00296D17"/>
    <w:rsid w:val="002972AF"/>
    <w:rsid w:val="002A0190"/>
    <w:rsid w:val="002A1889"/>
    <w:rsid w:val="002A2428"/>
    <w:rsid w:val="002A5A98"/>
    <w:rsid w:val="002A6380"/>
    <w:rsid w:val="002A6F6E"/>
    <w:rsid w:val="002B088D"/>
    <w:rsid w:val="002B08C3"/>
    <w:rsid w:val="002B12FE"/>
    <w:rsid w:val="002B1FD3"/>
    <w:rsid w:val="002B43A6"/>
    <w:rsid w:val="002B482D"/>
    <w:rsid w:val="002B4E7C"/>
    <w:rsid w:val="002B588A"/>
    <w:rsid w:val="002B6EF8"/>
    <w:rsid w:val="002C0058"/>
    <w:rsid w:val="002C08ED"/>
    <w:rsid w:val="002C17AA"/>
    <w:rsid w:val="002C2C93"/>
    <w:rsid w:val="002C2CD1"/>
    <w:rsid w:val="002C60CC"/>
    <w:rsid w:val="002C7350"/>
    <w:rsid w:val="002C73AD"/>
    <w:rsid w:val="002C78C1"/>
    <w:rsid w:val="002C7ADD"/>
    <w:rsid w:val="002D0DB2"/>
    <w:rsid w:val="002D1DDB"/>
    <w:rsid w:val="002D2193"/>
    <w:rsid w:val="002D2640"/>
    <w:rsid w:val="002D2D67"/>
    <w:rsid w:val="002D31DB"/>
    <w:rsid w:val="002D3D0A"/>
    <w:rsid w:val="002D4FEE"/>
    <w:rsid w:val="002D5100"/>
    <w:rsid w:val="002D53C7"/>
    <w:rsid w:val="002D5744"/>
    <w:rsid w:val="002D6426"/>
    <w:rsid w:val="002D64A0"/>
    <w:rsid w:val="002D69A0"/>
    <w:rsid w:val="002D6CE0"/>
    <w:rsid w:val="002D7031"/>
    <w:rsid w:val="002D71F3"/>
    <w:rsid w:val="002D7741"/>
    <w:rsid w:val="002D7967"/>
    <w:rsid w:val="002D7B5A"/>
    <w:rsid w:val="002D7FD6"/>
    <w:rsid w:val="002E0393"/>
    <w:rsid w:val="002E1D74"/>
    <w:rsid w:val="002E2CA0"/>
    <w:rsid w:val="002E2F62"/>
    <w:rsid w:val="002E3AB5"/>
    <w:rsid w:val="002E4F05"/>
    <w:rsid w:val="002E61F2"/>
    <w:rsid w:val="002E64EC"/>
    <w:rsid w:val="002E6CAD"/>
    <w:rsid w:val="002E719E"/>
    <w:rsid w:val="002E7505"/>
    <w:rsid w:val="002E766D"/>
    <w:rsid w:val="002E7D85"/>
    <w:rsid w:val="002F016B"/>
    <w:rsid w:val="002F0A6C"/>
    <w:rsid w:val="002F13C4"/>
    <w:rsid w:val="002F15DA"/>
    <w:rsid w:val="002F193D"/>
    <w:rsid w:val="002F53CA"/>
    <w:rsid w:val="002F5D0D"/>
    <w:rsid w:val="002F6313"/>
    <w:rsid w:val="002F6348"/>
    <w:rsid w:val="002F6FFB"/>
    <w:rsid w:val="00300446"/>
    <w:rsid w:val="0030208E"/>
    <w:rsid w:val="00302108"/>
    <w:rsid w:val="0030224B"/>
    <w:rsid w:val="0030274C"/>
    <w:rsid w:val="00302AC4"/>
    <w:rsid w:val="003033A4"/>
    <w:rsid w:val="003035BD"/>
    <w:rsid w:val="00304A77"/>
    <w:rsid w:val="00306D67"/>
    <w:rsid w:val="00306DC7"/>
    <w:rsid w:val="00306FC3"/>
    <w:rsid w:val="00307D57"/>
    <w:rsid w:val="00310166"/>
    <w:rsid w:val="00310934"/>
    <w:rsid w:val="00311E78"/>
    <w:rsid w:val="0031260F"/>
    <w:rsid w:val="003126A4"/>
    <w:rsid w:val="00313643"/>
    <w:rsid w:val="00314537"/>
    <w:rsid w:val="00315289"/>
    <w:rsid w:val="00315FEC"/>
    <w:rsid w:val="003160CD"/>
    <w:rsid w:val="00316241"/>
    <w:rsid w:val="00317B21"/>
    <w:rsid w:val="003201A7"/>
    <w:rsid w:val="003207A1"/>
    <w:rsid w:val="00320922"/>
    <w:rsid w:val="00321717"/>
    <w:rsid w:val="0032231D"/>
    <w:rsid w:val="003223BE"/>
    <w:rsid w:val="00322F01"/>
    <w:rsid w:val="00323057"/>
    <w:rsid w:val="00323679"/>
    <w:rsid w:val="003239B2"/>
    <w:rsid w:val="00324943"/>
    <w:rsid w:val="0032506A"/>
    <w:rsid w:val="003250B3"/>
    <w:rsid w:val="0032537D"/>
    <w:rsid w:val="00325808"/>
    <w:rsid w:val="0032585E"/>
    <w:rsid w:val="00326366"/>
    <w:rsid w:val="00326836"/>
    <w:rsid w:val="00326E4F"/>
    <w:rsid w:val="003276A2"/>
    <w:rsid w:val="003300BA"/>
    <w:rsid w:val="00331251"/>
    <w:rsid w:val="003338B1"/>
    <w:rsid w:val="00333B6C"/>
    <w:rsid w:val="00335FAE"/>
    <w:rsid w:val="003403F1"/>
    <w:rsid w:val="00340738"/>
    <w:rsid w:val="003413F6"/>
    <w:rsid w:val="003419B2"/>
    <w:rsid w:val="00341C0F"/>
    <w:rsid w:val="0034244D"/>
    <w:rsid w:val="003435F0"/>
    <w:rsid w:val="00343CCB"/>
    <w:rsid w:val="00343E9B"/>
    <w:rsid w:val="00343FE7"/>
    <w:rsid w:val="00346A24"/>
    <w:rsid w:val="00347E32"/>
    <w:rsid w:val="00350E3D"/>
    <w:rsid w:val="003515D2"/>
    <w:rsid w:val="003518B4"/>
    <w:rsid w:val="0035234C"/>
    <w:rsid w:val="003523A7"/>
    <w:rsid w:val="00353645"/>
    <w:rsid w:val="00353DF0"/>
    <w:rsid w:val="00354051"/>
    <w:rsid w:val="00355203"/>
    <w:rsid w:val="00355CB5"/>
    <w:rsid w:val="00356A6E"/>
    <w:rsid w:val="00357E7A"/>
    <w:rsid w:val="00357FE7"/>
    <w:rsid w:val="003609BD"/>
    <w:rsid w:val="00361BFD"/>
    <w:rsid w:val="003632B0"/>
    <w:rsid w:val="00363FF7"/>
    <w:rsid w:val="00365249"/>
    <w:rsid w:val="00366B43"/>
    <w:rsid w:val="00370DB9"/>
    <w:rsid w:val="003720F4"/>
    <w:rsid w:val="00372C88"/>
    <w:rsid w:val="00373482"/>
    <w:rsid w:val="00373D3F"/>
    <w:rsid w:val="003747AF"/>
    <w:rsid w:val="00374962"/>
    <w:rsid w:val="00375A43"/>
    <w:rsid w:val="00375AE1"/>
    <w:rsid w:val="003769E6"/>
    <w:rsid w:val="00376C47"/>
    <w:rsid w:val="00377383"/>
    <w:rsid w:val="00377CD3"/>
    <w:rsid w:val="00380AB1"/>
    <w:rsid w:val="00380E01"/>
    <w:rsid w:val="003826E2"/>
    <w:rsid w:val="00382F69"/>
    <w:rsid w:val="0038332A"/>
    <w:rsid w:val="00384C63"/>
    <w:rsid w:val="00384CCA"/>
    <w:rsid w:val="00385950"/>
    <w:rsid w:val="00387239"/>
    <w:rsid w:val="0038728C"/>
    <w:rsid w:val="003937FD"/>
    <w:rsid w:val="0039387A"/>
    <w:rsid w:val="003943D1"/>
    <w:rsid w:val="0039544F"/>
    <w:rsid w:val="003960A0"/>
    <w:rsid w:val="00396E44"/>
    <w:rsid w:val="00396FD6"/>
    <w:rsid w:val="00397061"/>
    <w:rsid w:val="003974D8"/>
    <w:rsid w:val="0039788F"/>
    <w:rsid w:val="00397CC3"/>
    <w:rsid w:val="003A0181"/>
    <w:rsid w:val="003A068C"/>
    <w:rsid w:val="003A09F3"/>
    <w:rsid w:val="003A12A2"/>
    <w:rsid w:val="003A13D7"/>
    <w:rsid w:val="003A16B9"/>
    <w:rsid w:val="003A2093"/>
    <w:rsid w:val="003A219C"/>
    <w:rsid w:val="003A23CC"/>
    <w:rsid w:val="003A25F3"/>
    <w:rsid w:val="003A2F9A"/>
    <w:rsid w:val="003A3221"/>
    <w:rsid w:val="003A3482"/>
    <w:rsid w:val="003A3EA2"/>
    <w:rsid w:val="003A3FD8"/>
    <w:rsid w:val="003A426B"/>
    <w:rsid w:val="003A44D0"/>
    <w:rsid w:val="003A5B23"/>
    <w:rsid w:val="003A677B"/>
    <w:rsid w:val="003A6999"/>
    <w:rsid w:val="003A6EF0"/>
    <w:rsid w:val="003A7390"/>
    <w:rsid w:val="003A7E8C"/>
    <w:rsid w:val="003B019E"/>
    <w:rsid w:val="003B04D7"/>
    <w:rsid w:val="003B0526"/>
    <w:rsid w:val="003B0B4D"/>
    <w:rsid w:val="003B1363"/>
    <w:rsid w:val="003B1D0B"/>
    <w:rsid w:val="003B226B"/>
    <w:rsid w:val="003B35EA"/>
    <w:rsid w:val="003B38AE"/>
    <w:rsid w:val="003B39DD"/>
    <w:rsid w:val="003B5E1D"/>
    <w:rsid w:val="003B6405"/>
    <w:rsid w:val="003C263D"/>
    <w:rsid w:val="003C3B39"/>
    <w:rsid w:val="003C3D18"/>
    <w:rsid w:val="003C58C5"/>
    <w:rsid w:val="003C6A38"/>
    <w:rsid w:val="003C6F11"/>
    <w:rsid w:val="003C77E6"/>
    <w:rsid w:val="003C7B2B"/>
    <w:rsid w:val="003D2748"/>
    <w:rsid w:val="003D2A32"/>
    <w:rsid w:val="003D2D07"/>
    <w:rsid w:val="003D3E62"/>
    <w:rsid w:val="003D4628"/>
    <w:rsid w:val="003D4C9D"/>
    <w:rsid w:val="003D5220"/>
    <w:rsid w:val="003D5751"/>
    <w:rsid w:val="003D5C52"/>
    <w:rsid w:val="003D682C"/>
    <w:rsid w:val="003D77EB"/>
    <w:rsid w:val="003D7CFA"/>
    <w:rsid w:val="003E0402"/>
    <w:rsid w:val="003E05F6"/>
    <w:rsid w:val="003E0665"/>
    <w:rsid w:val="003E0C8F"/>
    <w:rsid w:val="003E0F01"/>
    <w:rsid w:val="003E10FA"/>
    <w:rsid w:val="003E227A"/>
    <w:rsid w:val="003E32D2"/>
    <w:rsid w:val="003E39E1"/>
    <w:rsid w:val="003E4347"/>
    <w:rsid w:val="003E4DC3"/>
    <w:rsid w:val="003E567E"/>
    <w:rsid w:val="003E716A"/>
    <w:rsid w:val="003F0891"/>
    <w:rsid w:val="003F0A93"/>
    <w:rsid w:val="003F1C7D"/>
    <w:rsid w:val="003F42F0"/>
    <w:rsid w:val="003F47EA"/>
    <w:rsid w:val="003F4ACC"/>
    <w:rsid w:val="003F4F78"/>
    <w:rsid w:val="004001EE"/>
    <w:rsid w:val="004014E9"/>
    <w:rsid w:val="00401BAA"/>
    <w:rsid w:val="0040427F"/>
    <w:rsid w:val="0040485D"/>
    <w:rsid w:val="004048D5"/>
    <w:rsid w:val="0040585D"/>
    <w:rsid w:val="004072C8"/>
    <w:rsid w:val="0040733F"/>
    <w:rsid w:val="00410EAA"/>
    <w:rsid w:val="0041172A"/>
    <w:rsid w:val="004122E1"/>
    <w:rsid w:val="0041259D"/>
    <w:rsid w:val="004128CF"/>
    <w:rsid w:val="0041406C"/>
    <w:rsid w:val="00414651"/>
    <w:rsid w:val="0041503A"/>
    <w:rsid w:val="004152C0"/>
    <w:rsid w:val="004154ED"/>
    <w:rsid w:val="00415768"/>
    <w:rsid w:val="00415AEE"/>
    <w:rsid w:val="0041643A"/>
    <w:rsid w:val="00416804"/>
    <w:rsid w:val="00416EA3"/>
    <w:rsid w:val="00416F87"/>
    <w:rsid w:val="004173CE"/>
    <w:rsid w:val="004173DD"/>
    <w:rsid w:val="004208AD"/>
    <w:rsid w:val="0042097B"/>
    <w:rsid w:val="004226E6"/>
    <w:rsid w:val="00422CD0"/>
    <w:rsid w:val="00423001"/>
    <w:rsid w:val="004233AE"/>
    <w:rsid w:val="00423606"/>
    <w:rsid w:val="004240F0"/>
    <w:rsid w:val="0042497E"/>
    <w:rsid w:val="00425A4E"/>
    <w:rsid w:val="00427582"/>
    <w:rsid w:val="00430E5F"/>
    <w:rsid w:val="0043106B"/>
    <w:rsid w:val="00432B6D"/>
    <w:rsid w:val="00432E4D"/>
    <w:rsid w:val="00433444"/>
    <w:rsid w:val="004339ED"/>
    <w:rsid w:val="00433A20"/>
    <w:rsid w:val="00434095"/>
    <w:rsid w:val="004341F1"/>
    <w:rsid w:val="00436AC8"/>
    <w:rsid w:val="0043747C"/>
    <w:rsid w:val="0044096A"/>
    <w:rsid w:val="004409DB"/>
    <w:rsid w:val="00442227"/>
    <w:rsid w:val="00442F97"/>
    <w:rsid w:val="00443787"/>
    <w:rsid w:val="00443F7C"/>
    <w:rsid w:val="00444AC4"/>
    <w:rsid w:val="004451E4"/>
    <w:rsid w:val="00445C6D"/>
    <w:rsid w:val="00445C87"/>
    <w:rsid w:val="004467C8"/>
    <w:rsid w:val="004468C4"/>
    <w:rsid w:val="00446CEA"/>
    <w:rsid w:val="00446E6F"/>
    <w:rsid w:val="004476B5"/>
    <w:rsid w:val="00450870"/>
    <w:rsid w:val="004514EA"/>
    <w:rsid w:val="00451F35"/>
    <w:rsid w:val="00453373"/>
    <w:rsid w:val="0045357E"/>
    <w:rsid w:val="00453AB8"/>
    <w:rsid w:val="0045404F"/>
    <w:rsid w:val="00455E0A"/>
    <w:rsid w:val="00455EFA"/>
    <w:rsid w:val="0045675A"/>
    <w:rsid w:val="004570E8"/>
    <w:rsid w:val="00457A28"/>
    <w:rsid w:val="00457E4A"/>
    <w:rsid w:val="00457FD7"/>
    <w:rsid w:val="00460944"/>
    <w:rsid w:val="00460A82"/>
    <w:rsid w:val="00460F17"/>
    <w:rsid w:val="00461D56"/>
    <w:rsid w:val="00463399"/>
    <w:rsid w:val="00463B50"/>
    <w:rsid w:val="00463F6D"/>
    <w:rsid w:val="00464752"/>
    <w:rsid w:val="00465D77"/>
    <w:rsid w:val="00466A1A"/>
    <w:rsid w:val="00467322"/>
    <w:rsid w:val="004674B7"/>
    <w:rsid w:val="00467B07"/>
    <w:rsid w:val="00470D73"/>
    <w:rsid w:val="004722F7"/>
    <w:rsid w:val="004728D8"/>
    <w:rsid w:val="00472D8A"/>
    <w:rsid w:val="0047355C"/>
    <w:rsid w:val="00474175"/>
    <w:rsid w:val="00474A21"/>
    <w:rsid w:val="0047519A"/>
    <w:rsid w:val="00475238"/>
    <w:rsid w:val="004756FA"/>
    <w:rsid w:val="00476B06"/>
    <w:rsid w:val="00476B83"/>
    <w:rsid w:val="004776D9"/>
    <w:rsid w:val="00480013"/>
    <w:rsid w:val="00480EE9"/>
    <w:rsid w:val="0048132A"/>
    <w:rsid w:val="004815F8"/>
    <w:rsid w:val="004816AF"/>
    <w:rsid w:val="00481C1E"/>
    <w:rsid w:val="0048207C"/>
    <w:rsid w:val="004825D3"/>
    <w:rsid w:val="0048263E"/>
    <w:rsid w:val="004826D8"/>
    <w:rsid w:val="00482DA8"/>
    <w:rsid w:val="004837A8"/>
    <w:rsid w:val="004839FB"/>
    <w:rsid w:val="00483A89"/>
    <w:rsid w:val="00483D1E"/>
    <w:rsid w:val="00484B14"/>
    <w:rsid w:val="004850B2"/>
    <w:rsid w:val="0048511D"/>
    <w:rsid w:val="004856C4"/>
    <w:rsid w:val="00485EF0"/>
    <w:rsid w:val="004860A4"/>
    <w:rsid w:val="004867A0"/>
    <w:rsid w:val="004879A0"/>
    <w:rsid w:val="00487D60"/>
    <w:rsid w:val="004904C2"/>
    <w:rsid w:val="004908F7"/>
    <w:rsid w:val="00490DFF"/>
    <w:rsid w:val="00491B5D"/>
    <w:rsid w:val="004928D8"/>
    <w:rsid w:val="00493003"/>
    <w:rsid w:val="00493625"/>
    <w:rsid w:val="00493940"/>
    <w:rsid w:val="00493B3B"/>
    <w:rsid w:val="004941CF"/>
    <w:rsid w:val="00494AE3"/>
    <w:rsid w:val="00495035"/>
    <w:rsid w:val="00495FF1"/>
    <w:rsid w:val="00497039"/>
    <w:rsid w:val="00497745"/>
    <w:rsid w:val="00497B57"/>
    <w:rsid w:val="004A24ED"/>
    <w:rsid w:val="004A25F9"/>
    <w:rsid w:val="004A29AA"/>
    <w:rsid w:val="004A3140"/>
    <w:rsid w:val="004A3290"/>
    <w:rsid w:val="004A387A"/>
    <w:rsid w:val="004A4408"/>
    <w:rsid w:val="004A54C9"/>
    <w:rsid w:val="004A6B93"/>
    <w:rsid w:val="004A6C90"/>
    <w:rsid w:val="004A70A6"/>
    <w:rsid w:val="004A7248"/>
    <w:rsid w:val="004A728A"/>
    <w:rsid w:val="004A7784"/>
    <w:rsid w:val="004A7823"/>
    <w:rsid w:val="004A7F3A"/>
    <w:rsid w:val="004B01AC"/>
    <w:rsid w:val="004B2029"/>
    <w:rsid w:val="004B250A"/>
    <w:rsid w:val="004B2BEF"/>
    <w:rsid w:val="004B4EEC"/>
    <w:rsid w:val="004B5441"/>
    <w:rsid w:val="004B63B0"/>
    <w:rsid w:val="004B76E7"/>
    <w:rsid w:val="004C2C36"/>
    <w:rsid w:val="004C47AE"/>
    <w:rsid w:val="004C4805"/>
    <w:rsid w:val="004C4AFA"/>
    <w:rsid w:val="004C4B54"/>
    <w:rsid w:val="004C5E86"/>
    <w:rsid w:val="004C6591"/>
    <w:rsid w:val="004C7ADB"/>
    <w:rsid w:val="004D114F"/>
    <w:rsid w:val="004D1282"/>
    <w:rsid w:val="004D152D"/>
    <w:rsid w:val="004D26D0"/>
    <w:rsid w:val="004D2879"/>
    <w:rsid w:val="004D3BCE"/>
    <w:rsid w:val="004D3EA0"/>
    <w:rsid w:val="004D4378"/>
    <w:rsid w:val="004D4831"/>
    <w:rsid w:val="004D5E4C"/>
    <w:rsid w:val="004D6927"/>
    <w:rsid w:val="004D6A65"/>
    <w:rsid w:val="004D6EBA"/>
    <w:rsid w:val="004D7604"/>
    <w:rsid w:val="004D7D4D"/>
    <w:rsid w:val="004E065C"/>
    <w:rsid w:val="004E2402"/>
    <w:rsid w:val="004E35AC"/>
    <w:rsid w:val="004E370F"/>
    <w:rsid w:val="004E3734"/>
    <w:rsid w:val="004E4048"/>
    <w:rsid w:val="004E48F7"/>
    <w:rsid w:val="004E59EA"/>
    <w:rsid w:val="004E75D1"/>
    <w:rsid w:val="004E7D21"/>
    <w:rsid w:val="004F023A"/>
    <w:rsid w:val="004F134D"/>
    <w:rsid w:val="004F1C3C"/>
    <w:rsid w:val="004F3451"/>
    <w:rsid w:val="004F46E2"/>
    <w:rsid w:val="004F5165"/>
    <w:rsid w:val="004F5D5A"/>
    <w:rsid w:val="004F7C12"/>
    <w:rsid w:val="004F7D23"/>
    <w:rsid w:val="00500244"/>
    <w:rsid w:val="00500FF0"/>
    <w:rsid w:val="00501934"/>
    <w:rsid w:val="005029AD"/>
    <w:rsid w:val="0050442E"/>
    <w:rsid w:val="00506319"/>
    <w:rsid w:val="00506396"/>
    <w:rsid w:val="0050657E"/>
    <w:rsid w:val="0050696E"/>
    <w:rsid w:val="00506F2C"/>
    <w:rsid w:val="0050733B"/>
    <w:rsid w:val="00507C6F"/>
    <w:rsid w:val="00511063"/>
    <w:rsid w:val="005114C2"/>
    <w:rsid w:val="00511AF5"/>
    <w:rsid w:val="0051239A"/>
    <w:rsid w:val="005124AD"/>
    <w:rsid w:val="0051284B"/>
    <w:rsid w:val="005128A0"/>
    <w:rsid w:val="00512D60"/>
    <w:rsid w:val="00513F05"/>
    <w:rsid w:val="00514AA2"/>
    <w:rsid w:val="00514BD3"/>
    <w:rsid w:val="005151D5"/>
    <w:rsid w:val="00515E31"/>
    <w:rsid w:val="0051621B"/>
    <w:rsid w:val="00516B5E"/>
    <w:rsid w:val="00516BCC"/>
    <w:rsid w:val="0052004F"/>
    <w:rsid w:val="005201A7"/>
    <w:rsid w:val="005205B8"/>
    <w:rsid w:val="0052172F"/>
    <w:rsid w:val="00522071"/>
    <w:rsid w:val="005224CC"/>
    <w:rsid w:val="00522A0D"/>
    <w:rsid w:val="00522A18"/>
    <w:rsid w:val="00522ADA"/>
    <w:rsid w:val="00524598"/>
    <w:rsid w:val="00525790"/>
    <w:rsid w:val="00525954"/>
    <w:rsid w:val="0052600F"/>
    <w:rsid w:val="005266E3"/>
    <w:rsid w:val="00526CD6"/>
    <w:rsid w:val="00527285"/>
    <w:rsid w:val="00527C11"/>
    <w:rsid w:val="00530886"/>
    <w:rsid w:val="00530EC1"/>
    <w:rsid w:val="005319C3"/>
    <w:rsid w:val="005319DA"/>
    <w:rsid w:val="00532459"/>
    <w:rsid w:val="0053257F"/>
    <w:rsid w:val="005331AE"/>
    <w:rsid w:val="005333F5"/>
    <w:rsid w:val="0053409B"/>
    <w:rsid w:val="0053479A"/>
    <w:rsid w:val="00536458"/>
    <w:rsid w:val="00536804"/>
    <w:rsid w:val="00540167"/>
    <w:rsid w:val="00540A81"/>
    <w:rsid w:val="005423BB"/>
    <w:rsid w:val="0054266E"/>
    <w:rsid w:val="00542A14"/>
    <w:rsid w:val="00542E43"/>
    <w:rsid w:val="00542F2C"/>
    <w:rsid w:val="00543173"/>
    <w:rsid w:val="005437A6"/>
    <w:rsid w:val="00543FDE"/>
    <w:rsid w:val="0054419D"/>
    <w:rsid w:val="0054519E"/>
    <w:rsid w:val="005452A5"/>
    <w:rsid w:val="00545A80"/>
    <w:rsid w:val="00545A86"/>
    <w:rsid w:val="00545C00"/>
    <w:rsid w:val="00546E97"/>
    <w:rsid w:val="00547625"/>
    <w:rsid w:val="0054779A"/>
    <w:rsid w:val="0054781A"/>
    <w:rsid w:val="00547927"/>
    <w:rsid w:val="005500EE"/>
    <w:rsid w:val="00551354"/>
    <w:rsid w:val="00551E3B"/>
    <w:rsid w:val="00552BF6"/>
    <w:rsid w:val="005535CD"/>
    <w:rsid w:val="00554673"/>
    <w:rsid w:val="005546D8"/>
    <w:rsid w:val="00554AD0"/>
    <w:rsid w:val="00554F5A"/>
    <w:rsid w:val="00555C0E"/>
    <w:rsid w:val="00555EB0"/>
    <w:rsid w:val="00556D1B"/>
    <w:rsid w:val="00557271"/>
    <w:rsid w:val="00560DF7"/>
    <w:rsid w:val="00561302"/>
    <w:rsid w:val="005619FD"/>
    <w:rsid w:val="00564395"/>
    <w:rsid w:val="00564AF1"/>
    <w:rsid w:val="00564B5D"/>
    <w:rsid w:val="00564F1C"/>
    <w:rsid w:val="00565229"/>
    <w:rsid w:val="0056542F"/>
    <w:rsid w:val="00565A89"/>
    <w:rsid w:val="0056604D"/>
    <w:rsid w:val="005661B8"/>
    <w:rsid w:val="00566B0A"/>
    <w:rsid w:val="00566DB7"/>
    <w:rsid w:val="00567082"/>
    <w:rsid w:val="0056737E"/>
    <w:rsid w:val="005677E2"/>
    <w:rsid w:val="00567A9B"/>
    <w:rsid w:val="005702D3"/>
    <w:rsid w:val="00570F11"/>
    <w:rsid w:val="00571414"/>
    <w:rsid w:val="00571470"/>
    <w:rsid w:val="00571DA4"/>
    <w:rsid w:val="00573731"/>
    <w:rsid w:val="005738AF"/>
    <w:rsid w:val="00573B99"/>
    <w:rsid w:val="00574B32"/>
    <w:rsid w:val="00576E75"/>
    <w:rsid w:val="0057712F"/>
    <w:rsid w:val="005772AE"/>
    <w:rsid w:val="00577C8A"/>
    <w:rsid w:val="0058002B"/>
    <w:rsid w:val="00581588"/>
    <w:rsid w:val="00582305"/>
    <w:rsid w:val="00582D43"/>
    <w:rsid w:val="00584882"/>
    <w:rsid w:val="0058588C"/>
    <w:rsid w:val="00585A7E"/>
    <w:rsid w:val="00585BD0"/>
    <w:rsid w:val="005902F6"/>
    <w:rsid w:val="005904AF"/>
    <w:rsid w:val="00590DCE"/>
    <w:rsid w:val="0059116C"/>
    <w:rsid w:val="00591395"/>
    <w:rsid w:val="00591E52"/>
    <w:rsid w:val="00592D2B"/>
    <w:rsid w:val="00595290"/>
    <w:rsid w:val="005955B9"/>
    <w:rsid w:val="00595EB8"/>
    <w:rsid w:val="00596D00"/>
    <w:rsid w:val="005975C5"/>
    <w:rsid w:val="00597C40"/>
    <w:rsid w:val="00597D54"/>
    <w:rsid w:val="005A00DE"/>
    <w:rsid w:val="005A2219"/>
    <w:rsid w:val="005A2FE0"/>
    <w:rsid w:val="005A3232"/>
    <w:rsid w:val="005A3430"/>
    <w:rsid w:val="005A370E"/>
    <w:rsid w:val="005A39E1"/>
    <w:rsid w:val="005A4204"/>
    <w:rsid w:val="005A5882"/>
    <w:rsid w:val="005A5AF1"/>
    <w:rsid w:val="005A5C71"/>
    <w:rsid w:val="005A5F72"/>
    <w:rsid w:val="005A6947"/>
    <w:rsid w:val="005A6B91"/>
    <w:rsid w:val="005A6C83"/>
    <w:rsid w:val="005A6E56"/>
    <w:rsid w:val="005A73D1"/>
    <w:rsid w:val="005A7404"/>
    <w:rsid w:val="005A7C9D"/>
    <w:rsid w:val="005B0366"/>
    <w:rsid w:val="005B0569"/>
    <w:rsid w:val="005B0B0A"/>
    <w:rsid w:val="005B0C32"/>
    <w:rsid w:val="005B147D"/>
    <w:rsid w:val="005B15B8"/>
    <w:rsid w:val="005B15FA"/>
    <w:rsid w:val="005B21C8"/>
    <w:rsid w:val="005B35C4"/>
    <w:rsid w:val="005B40AD"/>
    <w:rsid w:val="005B7C5B"/>
    <w:rsid w:val="005B7C5C"/>
    <w:rsid w:val="005C0A68"/>
    <w:rsid w:val="005C1F7D"/>
    <w:rsid w:val="005C22DF"/>
    <w:rsid w:val="005C3FA8"/>
    <w:rsid w:val="005C416E"/>
    <w:rsid w:val="005C44ED"/>
    <w:rsid w:val="005C4A86"/>
    <w:rsid w:val="005C4B54"/>
    <w:rsid w:val="005C4BC9"/>
    <w:rsid w:val="005C4FC1"/>
    <w:rsid w:val="005C62DC"/>
    <w:rsid w:val="005C6637"/>
    <w:rsid w:val="005C7CFE"/>
    <w:rsid w:val="005D0748"/>
    <w:rsid w:val="005D1277"/>
    <w:rsid w:val="005D1AF9"/>
    <w:rsid w:val="005D1CB7"/>
    <w:rsid w:val="005D292D"/>
    <w:rsid w:val="005D2AA0"/>
    <w:rsid w:val="005D2CAA"/>
    <w:rsid w:val="005D37A5"/>
    <w:rsid w:val="005D387B"/>
    <w:rsid w:val="005D3B21"/>
    <w:rsid w:val="005D3CE7"/>
    <w:rsid w:val="005D42FB"/>
    <w:rsid w:val="005D4EED"/>
    <w:rsid w:val="005D5795"/>
    <w:rsid w:val="005D5D6B"/>
    <w:rsid w:val="005D60DA"/>
    <w:rsid w:val="005D6389"/>
    <w:rsid w:val="005D6B4B"/>
    <w:rsid w:val="005D6B64"/>
    <w:rsid w:val="005D775D"/>
    <w:rsid w:val="005E0338"/>
    <w:rsid w:val="005E0BD3"/>
    <w:rsid w:val="005E22EF"/>
    <w:rsid w:val="005E23FD"/>
    <w:rsid w:val="005E3886"/>
    <w:rsid w:val="005E3E5F"/>
    <w:rsid w:val="005E46CA"/>
    <w:rsid w:val="005E4914"/>
    <w:rsid w:val="005E5546"/>
    <w:rsid w:val="005E5D0B"/>
    <w:rsid w:val="005E61FE"/>
    <w:rsid w:val="005E6397"/>
    <w:rsid w:val="005E6C04"/>
    <w:rsid w:val="005F0342"/>
    <w:rsid w:val="005F09A7"/>
    <w:rsid w:val="005F14BF"/>
    <w:rsid w:val="005F1A58"/>
    <w:rsid w:val="005F3269"/>
    <w:rsid w:val="005F35DD"/>
    <w:rsid w:val="005F3A50"/>
    <w:rsid w:val="005F516C"/>
    <w:rsid w:val="005F52EB"/>
    <w:rsid w:val="005F5720"/>
    <w:rsid w:val="005F5E58"/>
    <w:rsid w:val="00601536"/>
    <w:rsid w:val="00603B54"/>
    <w:rsid w:val="00604034"/>
    <w:rsid w:val="006050F8"/>
    <w:rsid w:val="00605A88"/>
    <w:rsid w:val="00605D4F"/>
    <w:rsid w:val="00605E79"/>
    <w:rsid w:val="00606776"/>
    <w:rsid w:val="0060720D"/>
    <w:rsid w:val="006078A2"/>
    <w:rsid w:val="006109E8"/>
    <w:rsid w:val="00610C37"/>
    <w:rsid w:val="00610D5A"/>
    <w:rsid w:val="00613E9F"/>
    <w:rsid w:val="006157F6"/>
    <w:rsid w:val="006160CC"/>
    <w:rsid w:val="00617C95"/>
    <w:rsid w:val="00617FFE"/>
    <w:rsid w:val="006204B2"/>
    <w:rsid w:val="0062163D"/>
    <w:rsid w:val="006226BE"/>
    <w:rsid w:val="00622C5C"/>
    <w:rsid w:val="006236C1"/>
    <w:rsid w:val="00623A4B"/>
    <w:rsid w:val="00623F84"/>
    <w:rsid w:val="006244F8"/>
    <w:rsid w:val="006245C6"/>
    <w:rsid w:val="00624AA1"/>
    <w:rsid w:val="00624BB4"/>
    <w:rsid w:val="00625EAE"/>
    <w:rsid w:val="006266A8"/>
    <w:rsid w:val="00626896"/>
    <w:rsid w:val="0062704A"/>
    <w:rsid w:val="00627C52"/>
    <w:rsid w:val="00627E75"/>
    <w:rsid w:val="006308CF"/>
    <w:rsid w:val="0063109C"/>
    <w:rsid w:val="0063114B"/>
    <w:rsid w:val="00632D00"/>
    <w:rsid w:val="00633234"/>
    <w:rsid w:val="0063342B"/>
    <w:rsid w:val="00633ACE"/>
    <w:rsid w:val="00633F68"/>
    <w:rsid w:val="006340E4"/>
    <w:rsid w:val="00634560"/>
    <w:rsid w:val="00634F08"/>
    <w:rsid w:val="006351B2"/>
    <w:rsid w:val="00635BF3"/>
    <w:rsid w:val="00635C53"/>
    <w:rsid w:val="00636247"/>
    <w:rsid w:val="00636DDF"/>
    <w:rsid w:val="00636FCB"/>
    <w:rsid w:val="00637D31"/>
    <w:rsid w:val="00642DCA"/>
    <w:rsid w:val="00643961"/>
    <w:rsid w:val="00643CDB"/>
    <w:rsid w:val="0064416D"/>
    <w:rsid w:val="006443DD"/>
    <w:rsid w:val="00644532"/>
    <w:rsid w:val="00645775"/>
    <w:rsid w:val="00646A78"/>
    <w:rsid w:val="00647018"/>
    <w:rsid w:val="00647A0E"/>
    <w:rsid w:val="0065006D"/>
    <w:rsid w:val="00650CEA"/>
    <w:rsid w:val="00651433"/>
    <w:rsid w:val="006520B4"/>
    <w:rsid w:val="006529B9"/>
    <w:rsid w:val="006532B0"/>
    <w:rsid w:val="006535D9"/>
    <w:rsid w:val="00653A4C"/>
    <w:rsid w:val="006541E6"/>
    <w:rsid w:val="00654AA6"/>
    <w:rsid w:val="00654AC0"/>
    <w:rsid w:val="00655F67"/>
    <w:rsid w:val="006567CE"/>
    <w:rsid w:val="0065697E"/>
    <w:rsid w:val="00656EA3"/>
    <w:rsid w:val="00656EC5"/>
    <w:rsid w:val="00657C91"/>
    <w:rsid w:val="00657D64"/>
    <w:rsid w:val="00661B7E"/>
    <w:rsid w:val="006625EF"/>
    <w:rsid w:val="006630B7"/>
    <w:rsid w:val="00663954"/>
    <w:rsid w:val="006640BA"/>
    <w:rsid w:val="00665397"/>
    <w:rsid w:val="00665464"/>
    <w:rsid w:val="00665502"/>
    <w:rsid w:val="00665A51"/>
    <w:rsid w:val="0066688D"/>
    <w:rsid w:val="0066738F"/>
    <w:rsid w:val="0066784E"/>
    <w:rsid w:val="00667F29"/>
    <w:rsid w:val="00670EBC"/>
    <w:rsid w:val="0067107B"/>
    <w:rsid w:val="00671421"/>
    <w:rsid w:val="006715AE"/>
    <w:rsid w:val="006726A4"/>
    <w:rsid w:val="00672C2E"/>
    <w:rsid w:val="00673252"/>
    <w:rsid w:val="00674E70"/>
    <w:rsid w:val="006756F0"/>
    <w:rsid w:val="006763F7"/>
    <w:rsid w:val="00677518"/>
    <w:rsid w:val="006800C4"/>
    <w:rsid w:val="00680AEC"/>
    <w:rsid w:val="00680BA4"/>
    <w:rsid w:val="00682E27"/>
    <w:rsid w:val="00683114"/>
    <w:rsid w:val="0068355A"/>
    <w:rsid w:val="006839F3"/>
    <w:rsid w:val="00685DF8"/>
    <w:rsid w:val="00685EB8"/>
    <w:rsid w:val="00686AED"/>
    <w:rsid w:val="00687449"/>
    <w:rsid w:val="0068794A"/>
    <w:rsid w:val="00687D32"/>
    <w:rsid w:val="0069016D"/>
    <w:rsid w:val="006914B9"/>
    <w:rsid w:val="006917FB"/>
    <w:rsid w:val="006927C2"/>
    <w:rsid w:val="006934EF"/>
    <w:rsid w:val="00693F2E"/>
    <w:rsid w:val="00694A19"/>
    <w:rsid w:val="006959CE"/>
    <w:rsid w:val="006970FB"/>
    <w:rsid w:val="00697667"/>
    <w:rsid w:val="0069799F"/>
    <w:rsid w:val="006A068A"/>
    <w:rsid w:val="006A21A5"/>
    <w:rsid w:val="006A2ADB"/>
    <w:rsid w:val="006A358C"/>
    <w:rsid w:val="006A4E1D"/>
    <w:rsid w:val="006A62B6"/>
    <w:rsid w:val="006A6907"/>
    <w:rsid w:val="006A6F8E"/>
    <w:rsid w:val="006A6FE2"/>
    <w:rsid w:val="006A775F"/>
    <w:rsid w:val="006B0123"/>
    <w:rsid w:val="006B09B1"/>
    <w:rsid w:val="006B0BB2"/>
    <w:rsid w:val="006B1177"/>
    <w:rsid w:val="006B15F5"/>
    <w:rsid w:val="006B1937"/>
    <w:rsid w:val="006B3726"/>
    <w:rsid w:val="006B3B98"/>
    <w:rsid w:val="006B3CA9"/>
    <w:rsid w:val="006B3D78"/>
    <w:rsid w:val="006B3DAD"/>
    <w:rsid w:val="006B4666"/>
    <w:rsid w:val="006B544B"/>
    <w:rsid w:val="006B54EC"/>
    <w:rsid w:val="006B60C9"/>
    <w:rsid w:val="006B65F0"/>
    <w:rsid w:val="006B759E"/>
    <w:rsid w:val="006B7648"/>
    <w:rsid w:val="006C09D4"/>
    <w:rsid w:val="006C19DF"/>
    <w:rsid w:val="006C423D"/>
    <w:rsid w:val="006C44E2"/>
    <w:rsid w:val="006C4680"/>
    <w:rsid w:val="006C5523"/>
    <w:rsid w:val="006C55F7"/>
    <w:rsid w:val="006C5B10"/>
    <w:rsid w:val="006C5EE4"/>
    <w:rsid w:val="006C6A22"/>
    <w:rsid w:val="006C73E5"/>
    <w:rsid w:val="006C74B3"/>
    <w:rsid w:val="006C74D1"/>
    <w:rsid w:val="006D078B"/>
    <w:rsid w:val="006D07C1"/>
    <w:rsid w:val="006D13A9"/>
    <w:rsid w:val="006D167D"/>
    <w:rsid w:val="006D3A23"/>
    <w:rsid w:val="006D4482"/>
    <w:rsid w:val="006D45EE"/>
    <w:rsid w:val="006D546D"/>
    <w:rsid w:val="006D5B5A"/>
    <w:rsid w:val="006D5FC5"/>
    <w:rsid w:val="006D62C2"/>
    <w:rsid w:val="006D7919"/>
    <w:rsid w:val="006E3D34"/>
    <w:rsid w:val="006E3DB4"/>
    <w:rsid w:val="006E7AC0"/>
    <w:rsid w:val="006F02D6"/>
    <w:rsid w:val="006F1923"/>
    <w:rsid w:val="006F1FAF"/>
    <w:rsid w:val="006F39BE"/>
    <w:rsid w:val="006F55EB"/>
    <w:rsid w:val="006F588B"/>
    <w:rsid w:val="006F5E26"/>
    <w:rsid w:val="006F6C5F"/>
    <w:rsid w:val="006F7564"/>
    <w:rsid w:val="007007E1"/>
    <w:rsid w:val="00700B32"/>
    <w:rsid w:val="007010BD"/>
    <w:rsid w:val="0070300F"/>
    <w:rsid w:val="00703591"/>
    <w:rsid w:val="0070371F"/>
    <w:rsid w:val="0070392E"/>
    <w:rsid w:val="00703BAB"/>
    <w:rsid w:val="00705D7A"/>
    <w:rsid w:val="00706371"/>
    <w:rsid w:val="00706647"/>
    <w:rsid w:val="00707332"/>
    <w:rsid w:val="00707379"/>
    <w:rsid w:val="00707405"/>
    <w:rsid w:val="00707AAE"/>
    <w:rsid w:val="007108B8"/>
    <w:rsid w:val="00710F07"/>
    <w:rsid w:val="007113CD"/>
    <w:rsid w:val="00711F4A"/>
    <w:rsid w:val="00711F80"/>
    <w:rsid w:val="007124A7"/>
    <w:rsid w:val="0071334E"/>
    <w:rsid w:val="00713A01"/>
    <w:rsid w:val="00713B0E"/>
    <w:rsid w:val="00714110"/>
    <w:rsid w:val="007155BF"/>
    <w:rsid w:val="007171F0"/>
    <w:rsid w:val="007179C8"/>
    <w:rsid w:val="0072022E"/>
    <w:rsid w:val="007219B1"/>
    <w:rsid w:val="0072200C"/>
    <w:rsid w:val="00722098"/>
    <w:rsid w:val="00722254"/>
    <w:rsid w:val="007223A5"/>
    <w:rsid w:val="00722773"/>
    <w:rsid w:val="00722869"/>
    <w:rsid w:val="007244D5"/>
    <w:rsid w:val="00724F40"/>
    <w:rsid w:val="00725BB2"/>
    <w:rsid w:val="00725E9F"/>
    <w:rsid w:val="007308A2"/>
    <w:rsid w:val="007311FB"/>
    <w:rsid w:val="00731442"/>
    <w:rsid w:val="00731F03"/>
    <w:rsid w:val="007325DB"/>
    <w:rsid w:val="00734588"/>
    <w:rsid w:val="00734C88"/>
    <w:rsid w:val="00735A07"/>
    <w:rsid w:val="00735B7B"/>
    <w:rsid w:val="00735BB9"/>
    <w:rsid w:val="00735C68"/>
    <w:rsid w:val="007365A9"/>
    <w:rsid w:val="00736690"/>
    <w:rsid w:val="00736E2F"/>
    <w:rsid w:val="00737CB6"/>
    <w:rsid w:val="00740A2D"/>
    <w:rsid w:val="00740C39"/>
    <w:rsid w:val="0074112B"/>
    <w:rsid w:val="00741546"/>
    <w:rsid w:val="0074198C"/>
    <w:rsid w:val="00743664"/>
    <w:rsid w:val="007436F1"/>
    <w:rsid w:val="00744C46"/>
    <w:rsid w:val="007453D7"/>
    <w:rsid w:val="00745A7C"/>
    <w:rsid w:val="00745CED"/>
    <w:rsid w:val="00746D4F"/>
    <w:rsid w:val="00747917"/>
    <w:rsid w:val="00747DCB"/>
    <w:rsid w:val="007508AB"/>
    <w:rsid w:val="00750BB4"/>
    <w:rsid w:val="00751415"/>
    <w:rsid w:val="0075279D"/>
    <w:rsid w:val="00753651"/>
    <w:rsid w:val="00753E69"/>
    <w:rsid w:val="00753ED9"/>
    <w:rsid w:val="0075461E"/>
    <w:rsid w:val="00754DA5"/>
    <w:rsid w:val="00755623"/>
    <w:rsid w:val="0075678D"/>
    <w:rsid w:val="00756E55"/>
    <w:rsid w:val="007570C6"/>
    <w:rsid w:val="00757E6D"/>
    <w:rsid w:val="007625A2"/>
    <w:rsid w:val="00762872"/>
    <w:rsid w:val="00763286"/>
    <w:rsid w:val="0076407C"/>
    <w:rsid w:val="00764095"/>
    <w:rsid w:val="007642B8"/>
    <w:rsid w:val="0076468B"/>
    <w:rsid w:val="00765CE0"/>
    <w:rsid w:val="0076640D"/>
    <w:rsid w:val="00766850"/>
    <w:rsid w:val="00767576"/>
    <w:rsid w:val="00767DA5"/>
    <w:rsid w:val="007711C9"/>
    <w:rsid w:val="00772B3B"/>
    <w:rsid w:val="00772D92"/>
    <w:rsid w:val="007730B4"/>
    <w:rsid w:val="00775BC8"/>
    <w:rsid w:val="00776358"/>
    <w:rsid w:val="007765BF"/>
    <w:rsid w:val="007774B5"/>
    <w:rsid w:val="007775DD"/>
    <w:rsid w:val="00777D1C"/>
    <w:rsid w:val="00783AA9"/>
    <w:rsid w:val="007843A3"/>
    <w:rsid w:val="0078459D"/>
    <w:rsid w:val="00784A8C"/>
    <w:rsid w:val="00786AF7"/>
    <w:rsid w:val="00787560"/>
    <w:rsid w:val="00787EA3"/>
    <w:rsid w:val="007900CD"/>
    <w:rsid w:val="007903B4"/>
    <w:rsid w:val="0079264F"/>
    <w:rsid w:val="0079307A"/>
    <w:rsid w:val="00793206"/>
    <w:rsid w:val="007934C2"/>
    <w:rsid w:val="00793708"/>
    <w:rsid w:val="00794400"/>
    <w:rsid w:val="00794551"/>
    <w:rsid w:val="0079562A"/>
    <w:rsid w:val="00795E00"/>
    <w:rsid w:val="00795F37"/>
    <w:rsid w:val="00797F99"/>
    <w:rsid w:val="007A023F"/>
    <w:rsid w:val="007A10C8"/>
    <w:rsid w:val="007A1396"/>
    <w:rsid w:val="007A1486"/>
    <w:rsid w:val="007A15C1"/>
    <w:rsid w:val="007A213E"/>
    <w:rsid w:val="007A2E35"/>
    <w:rsid w:val="007A33AC"/>
    <w:rsid w:val="007A34A0"/>
    <w:rsid w:val="007A3816"/>
    <w:rsid w:val="007A40CF"/>
    <w:rsid w:val="007A4634"/>
    <w:rsid w:val="007A4B23"/>
    <w:rsid w:val="007A5500"/>
    <w:rsid w:val="007A57E1"/>
    <w:rsid w:val="007A5BF7"/>
    <w:rsid w:val="007A6065"/>
    <w:rsid w:val="007A67F4"/>
    <w:rsid w:val="007A7D73"/>
    <w:rsid w:val="007B086F"/>
    <w:rsid w:val="007B0A41"/>
    <w:rsid w:val="007B18F6"/>
    <w:rsid w:val="007B1915"/>
    <w:rsid w:val="007B1E43"/>
    <w:rsid w:val="007B1E7F"/>
    <w:rsid w:val="007B31D6"/>
    <w:rsid w:val="007B3806"/>
    <w:rsid w:val="007B50DC"/>
    <w:rsid w:val="007B520C"/>
    <w:rsid w:val="007B5766"/>
    <w:rsid w:val="007B5B7D"/>
    <w:rsid w:val="007B5F86"/>
    <w:rsid w:val="007B6411"/>
    <w:rsid w:val="007B665D"/>
    <w:rsid w:val="007B6D56"/>
    <w:rsid w:val="007B6FD5"/>
    <w:rsid w:val="007B7280"/>
    <w:rsid w:val="007C0173"/>
    <w:rsid w:val="007C10EB"/>
    <w:rsid w:val="007C1951"/>
    <w:rsid w:val="007C269C"/>
    <w:rsid w:val="007C28C9"/>
    <w:rsid w:val="007C350C"/>
    <w:rsid w:val="007C37C9"/>
    <w:rsid w:val="007C437B"/>
    <w:rsid w:val="007C4556"/>
    <w:rsid w:val="007C4D65"/>
    <w:rsid w:val="007C53B1"/>
    <w:rsid w:val="007C594D"/>
    <w:rsid w:val="007C6567"/>
    <w:rsid w:val="007D02A3"/>
    <w:rsid w:val="007D0553"/>
    <w:rsid w:val="007D14C8"/>
    <w:rsid w:val="007D1F9A"/>
    <w:rsid w:val="007D2386"/>
    <w:rsid w:val="007D2911"/>
    <w:rsid w:val="007D3636"/>
    <w:rsid w:val="007D3D3A"/>
    <w:rsid w:val="007D47AA"/>
    <w:rsid w:val="007D4B31"/>
    <w:rsid w:val="007D4DD3"/>
    <w:rsid w:val="007D59E8"/>
    <w:rsid w:val="007D5F7F"/>
    <w:rsid w:val="007D6490"/>
    <w:rsid w:val="007D666F"/>
    <w:rsid w:val="007D68A0"/>
    <w:rsid w:val="007E030E"/>
    <w:rsid w:val="007E1963"/>
    <w:rsid w:val="007E1BBA"/>
    <w:rsid w:val="007E3A39"/>
    <w:rsid w:val="007E406E"/>
    <w:rsid w:val="007E517B"/>
    <w:rsid w:val="007E56CD"/>
    <w:rsid w:val="007E676B"/>
    <w:rsid w:val="007E69DB"/>
    <w:rsid w:val="007F0D42"/>
    <w:rsid w:val="007F13C3"/>
    <w:rsid w:val="007F1D26"/>
    <w:rsid w:val="007F1E0F"/>
    <w:rsid w:val="007F27DD"/>
    <w:rsid w:val="007F27F1"/>
    <w:rsid w:val="007F43C5"/>
    <w:rsid w:val="007F45A3"/>
    <w:rsid w:val="007F48ED"/>
    <w:rsid w:val="007F49B3"/>
    <w:rsid w:val="007F4B2C"/>
    <w:rsid w:val="007F4BA8"/>
    <w:rsid w:val="007F4FF7"/>
    <w:rsid w:val="007F5172"/>
    <w:rsid w:val="007F55AF"/>
    <w:rsid w:val="007F63C5"/>
    <w:rsid w:val="007F64D5"/>
    <w:rsid w:val="007F6A0B"/>
    <w:rsid w:val="007F6AA3"/>
    <w:rsid w:val="007F6B81"/>
    <w:rsid w:val="007F6F4E"/>
    <w:rsid w:val="007F77BE"/>
    <w:rsid w:val="007F797E"/>
    <w:rsid w:val="00800412"/>
    <w:rsid w:val="00800C7A"/>
    <w:rsid w:val="008019B2"/>
    <w:rsid w:val="00802383"/>
    <w:rsid w:val="008034FA"/>
    <w:rsid w:val="0080437B"/>
    <w:rsid w:val="008055EC"/>
    <w:rsid w:val="00805FCC"/>
    <w:rsid w:val="0080675A"/>
    <w:rsid w:val="0080681D"/>
    <w:rsid w:val="00807E35"/>
    <w:rsid w:val="00810B5B"/>
    <w:rsid w:val="00811471"/>
    <w:rsid w:val="0081223D"/>
    <w:rsid w:val="008133DF"/>
    <w:rsid w:val="00813CEF"/>
    <w:rsid w:val="00814D62"/>
    <w:rsid w:val="00815281"/>
    <w:rsid w:val="0081660A"/>
    <w:rsid w:val="00816DA1"/>
    <w:rsid w:val="00817C87"/>
    <w:rsid w:val="00820ABE"/>
    <w:rsid w:val="00820ADE"/>
    <w:rsid w:val="0082139D"/>
    <w:rsid w:val="008214EB"/>
    <w:rsid w:val="008218CA"/>
    <w:rsid w:val="00821CCD"/>
    <w:rsid w:val="00822283"/>
    <w:rsid w:val="008228EA"/>
    <w:rsid w:val="0082294E"/>
    <w:rsid w:val="00823455"/>
    <w:rsid w:val="0082563E"/>
    <w:rsid w:val="00825DE4"/>
    <w:rsid w:val="00826885"/>
    <w:rsid w:val="00827975"/>
    <w:rsid w:val="00830279"/>
    <w:rsid w:val="0083142B"/>
    <w:rsid w:val="00831BFD"/>
    <w:rsid w:val="0083236F"/>
    <w:rsid w:val="00832E5F"/>
    <w:rsid w:val="00832EFA"/>
    <w:rsid w:val="00832F01"/>
    <w:rsid w:val="0083312F"/>
    <w:rsid w:val="00833C2C"/>
    <w:rsid w:val="008340CF"/>
    <w:rsid w:val="0083416D"/>
    <w:rsid w:val="008344BA"/>
    <w:rsid w:val="008346C1"/>
    <w:rsid w:val="00834C56"/>
    <w:rsid w:val="00834CF0"/>
    <w:rsid w:val="0083600B"/>
    <w:rsid w:val="0083630B"/>
    <w:rsid w:val="008364F8"/>
    <w:rsid w:val="008374AA"/>
    <w:rsid w:val="00837A8B"/>
    <w:rsid w:val="00837CB9"/>
    <w:rsid w:val="0084008C"/>
    <w:rsid w:val="00840276"/>
    <w:rsid w:val="00841084"/>
    <w:rsid w:val="0084117F"/>
    <w:rsid w:val="008412D4"/>
    <w:rsid w:val="00841482"/>
    <w:rsid w:val="008420A9"/>
    <w:rsid w:val="008430B9"/>
    <w:rsid w:val="0084429D"/>
    <w:rsid w:val="008445E1"/>
    <w:rsid w:val="0084544D"/>
    <w:rsid w:val="008459DC"/>
    <w:rsid w:val="00845B96"/>
    <w:rsid w:val="00845E6D"/>
    <w:rsid w:val="00846A3F"/>
    <w:rsid w:val="008474EC"/>
    <w:rsid w:val="008506DF"/>
    <w:rsid w:val="00850B18"/>
    <w:rsid w:val="008516BE"/>
    <w:rsid w:val="008520BC"/>
    <w:rsid w:val="00852546"/>
    <w:rsid w:val="00852923"/>
    <w:rsid w:val="00854430"/>
    <w:rsid w:val="00855AF0"/>
    <w:rsid w:val="00856BA4"/>
    <w:rsid w:val="00857AFB"/>
    <w:rsid w:val="00857DD9"/>
    <w:rsid w:val="008605E4"/>
    <w:rsid w:val="00861159"/>
    <w:rsid w:val="0086150B"/>
    <w:rsid w:val="00862C62"/>
    <w:rsid w:val="00862D7E"/>
    <w:rsid w:val="00862EE4"/>
    <w:rsid w:val="0086464B"/>
    <w:rsid w:val="00864E60"/>
    <w:rsid w:val="008653CC"/>
    <w:rsid w:val="00865490"/>
    <w:rsid w:val="008655F8"/>
    <w:rsid w:val="00866A9F"/>
    <w:rsid w:val="00870F3C"/>
    <w:rsid w:val="00872E82"/>
    <w:rsid w:val="00873542"/>
    <w:rsid w:val="0087369C"/>
    <w:rsid w:val="00873B2D"/>
    <w:rsid w:val="00874A61"/>
    <w:rsid w:val="008753DF"/>
    <w:rsid w:val="00875861"/>
    <w:rsid w:val="008759C2"/>
    <w:rsid w:val="00875C30"/>
    <w:rsid w:val="008768BA"/>
    <w:rsid w:val="00880CA0"/>
    <w:rsid w:val="0088101B"/>
    <w:rsid w:val="00881705"/>
    <w:rsid w:val="00881EFD"/>
    <w:rsid w:val="00882681"/>
    <w:rsid w:val="008828EF"/>
    <w:rsid w:val="00887489"/>
    <w:rsid w:val="0089157E"/>
    <w:rsid w:val="00891BF0"/>
    <w:rsid w:val="00891CD3"/>
    <w:rsid w:val="008923D9"/>
    <w:rsid w:val="00892C21"/>
    <w:rsid w:val="008939B5"/>
    <w:rsid w:val="00895437"/>
    <w:rsid w:val="00895C2A"/>
    <w:rsid w:val="00895D12"/>
    <w:rsid w:val="0089627A"/>
    <w:rsid w:val="00896BAF"/>
    <w:rsid w:val="00897353"/>
    <w:rsid w:val="00897844"/>
    <w:rsid w:val="008A0C43"/>
    <w:rsid w:val="008A0C69"/>
    <w:rsid w:val="008A12AE"/>
    <w:rsid w:val="008A1B67"/>
    <w:rsid w:val="008A23E5"/>
    <w:rsid w:val="008A3204"/>
    <w:rsid w:val="008A33AD"/>
    <w:rsid w:val="008A4226"/>
    <w:rsid w:val="008A4992"/>
    <w:rsid w:val="008A4E88"/>
    <w:rsid w:val="008A52D1"/>
    <w:rsid w:val="008A5686"/>
    <w:rsid w:val="008A7B7A"/>
    <w:rsid w:val="008B006F"/>
    <w:rsid w:val="008B105E"/>
    <w:rsid w:val="008B1187"/>
    <w:rsid w:val="008B179B"/>
    <w:rsid w:val="008B19A7"/>
    <w:rsid w:val="008B1DC5"/>
    <w:rsid w:val="008B1FE1"/>
    <w:rsid w:val="008B23CD"/>
    <w:rsid w:val="008B2453"/>
    <w:rsid w:val="008B28A4"/>
    <w:rsid w:val="008B29BB"/>
    <w:rsid w:val="008B417A"/>
    <w:rsid w:val="008B5126"/>
    <w:rsid w:val="008B5B64"/>
    <w:rsid w:val="008B5FE0"/>
    <w:rsid w:val="008B7275"/>
    <w:rsid w:val="008C000E"/>
    <w:rsid w:val="008C23C0"/>
    <w:rsid w:val="008C242D"/>
    <w:rsid w:val="008C3241"/>
    <w:rsid w:val="008C3850"/>
    <w:rsid w:val="008C3C0E"/>
    <w:rsid w:val="008C3DFC"/>
    <w:rsid w:val="008C56DA"/>
    <w:rsid w:val="008C57C7"/>
    <w:rsid w:val="008C6515"/>
    <w:rsid w:val="008C698C"/>
    <w:rsid w:val="008C6AAE"/>
    <w:rsid w:val="008C6D8C"/>
    <w:rsid w:val="008C7FE1"/>
    <w:rsid w:val="008D043F"/>
    <w:rsid w:val="008D0783"/>
    <w:rsid w:val="008D11DA"/>
    <w:rsid w:val="008D126E"/>
    <w:rsid w:val="008D1300"/>
    <w:rsid w:val="008D1406"/>
    <w:rsid w:val="008D2205"/>
    <w:rsid w:val="008D3BDE"/>
    <w:rsid w:val="008D400F"/>
    <w:rsid w:val="008D5B65"/>
    <w:rsid w:val="008D5FE4"/>
    <w:rsid w:val="008D6823"/>
    <w:rsid w:val="008D7555"/>
    <w:rsid w:val="008D7647"/>
    <w:rsid w:val="008D7AB7"/>
    <w:rsid w:val="008E0137"/>
    <w:rsid w:val="008E0167"/>
    <w:rsid w:val="008E2133"/>
    <w:rsid w:val="008E2181"/>
    <w:rsid w:val="008E2B31"/>
    <w:rsid w:val="008E3082"/>
    <w:rsid w:val="008E40DB"/>
    <w:rsid w:val="008E41E5"/>
    <w:rsid w:val="008E4744"/>
    <w:rsid w:val="008E59C6"/>
    <w:rsid w:val="008E7D83"/>
    <w:rsid w:val="008F02AF"/>
    <w:rsid w:val="008F0F57"/>
    <w:rsid w:val="008F179F"/>
    <w:rsid w:val="008F31DA"/>
    <w:rsid w:val="008F3416"/>
    <w:rsid w:val="008F36CB"/>
    <w:rsid w:val="008F5110"/>
    <w:rsid w:val="008F5AD1"/>
    <w:rsid w:val="008F6949"/>
    <w:rsid w:val="008F6A18"/>
    <w:rsid w:val="008F6C95"/>
    <w:rsid w:val="008F6D5B"/>
    <w:rsid w:val="008F71A1"/>
    <w:rsid w:val="008F71EF"/>
    <w:rsid w:val="008F7DA5"/>
    <w:rsid w:val="009007E5"/>
    <w:rsid w:val="0090125C"/>
    <w:rsid w:val="00901825"/>
    <w:rsid w:val="00901BF2"/>
    <w:rsid w:val="00901FF4"/>
    <w:rsid w:val="00902A50"/>
    <w:rsid w:val="00903728"/>
    <w:rsid w:val="00903767"/>
    <w:rsid w:val="00903AE3"/>
    <w:rsid w:val="00904829"/>
    <w:rsid w:val="0090590A"/>
    <w:rsid w:val="00906A12"/>
    <w:rsid w:val="00906D2B"/>
    <w:rsid w:val="00911BA9"/>
    <w:rsid w:val="00911E17"/>
    <w:rsid w:val="00912007"/>
    <w:rsid w:val="009127CE"/>
    <w:rsid w:val="00912AF4"/>
    <w:rsid w:val="00913E44"/>
    <w:rsid w:val="00915506"/>
    <w:rsid w:val="009169C1"/>
    <w:rsid w:val="00916BE2"/>
    <w:rsid w:val="00916F02"/>
    <w:rsid w:val="00921D92"/>
    <w:rsid w:val="009225E7"/>
    <w:rsid w:val="00923199"/>
    <w:rsid w:val="00923BDA"/>
    <w:rsid w:val="009245E2"/>
    <w:rsid w:val="00925120"/>
    <w:rsid w:val="0092573C"/>
    <w:rsid w:val="00925D49"/>
    <w:rsid w:val="009272F9"/>
    <w:rsid w:val="00927C38"/>
    <w:rsid w:val="00930C58"/>
    <w:rsid w:val="0093246D"/>
    <w:rsid w:val="00932747"/>
    <w:rsid w:val="00933A89"/>
    <w:rsid w:val="00933D1F"/>
    <w:rsid w:val="00933D70"/>
    <w:rsid w:val="00933DBD"/>
    <w:rsid w:val="0093409D"/>
    <w:rsid w:val="00935950"/>
    <w:rsid w:val="00935E36"/>
    <w:rsid w:val="00936D5A"/>
    <w:rsid w:val="00937F70"/>
    <w:rsid w:val="00942853"/>
    <w:rsid w:val="0094370E"/>
    <w:rsid w:val="00944DEC"/>
    <w:rsid w:val="00945539"/>
    <w:rsid w:val="009464E9"/>
    <w:rsid w:val="00947528"/>
    <w:rsid w:val="009477FB"/>
    <w:rsid w:val="0094795D"/>
    <w:rsid w:val="00947CFC"/>
    <w:rsid w:val="00951FAE"/>
    <w:rsid w:val="00953306"/>
    <w:rsid w:val="00953377"/>
    <w:rsid w:val="009539DE"/>
    <w:rsid w:val="00954079"/>
    <w:rsid w:val="009568AA"/>
    <w:rsid w:val="00960426"/>
    <w:rsid w:val="00960EB7"/>
    <w:rsid w:val="009612BD"/>
    <w:rsid w:val="00962087"/>
    <w:rsid w:val="00962950"/>
    <w:rsid w:val="009629FB"/>
    <w:rsid w:val="00962C7E"/>
    <w:rsid w:val="00963086"/>
    <w:rsid w:val="0096364F"/>
    <w:rsid w:val="00963AAA"/>
    <w:rsid w:val="00964DF8"/>
    <w:rsid w:val="00965242"/>
    <w:rsid w:val="0096530F"/>
    <w:rsid w:val="00965650"/>
    <w:rsid w:val="009666E0"/>
    <w:rsid w:val="0096717C"/>
    <w:rsid w:val="00967251"/>
    <w:rsid w:val="009674EE"/>
    <w:rsid w:val="0096781A"/>
    <w:rsid w:val="009678DB"/>
    <w:rsid w:val="00971245"/>
    <w:rsid w:val="00971FDB"/>
    <w:rsid w:val="009728FE"/>
    <w:rsid w:val="009736BE"/>
    <w:rsid w:val="00974230"/>
    <w:rsid w:val="009743A7"/>
    <w:rsid w:val="00974D08"/>
    <w:rsid w:val="00974D16"/>
    <w:rsid w:val="00975014"/>
    <w:rsid w:val="00975678"/>
    <w:rsid w:val="00976178"/>
    <w:rsid w:val="009767F6"/>
    <w:rsid w:val="00977230"/>
    <w:rsid w:val="00977992"/>
    <w:rsid w:val="00980B53"/>
    <w:rsid w:val="009814F0"/>
    <w:rsid w:val="00981504"/>
    <w:rsid w:val="00981E92"/>
    <w:rsid w:val="0098214E"/>
    <w:rsid w:val="0098228C"/>
    <w:rsid w:val="00983579"/>
    <w:rsid w:val="00983EEA"/>
    <w:rsid w:val="0098422E"/>
    <w:rsid w:val="0098467D"/>
    <w:rsid w:val="0098516F"/>
    <w:rsid w:val="009853BF"/>
    <w:rsid w:val="009860C7"/>
    <w:rsid w:val="00986D69"/>
    <w:rsid w:val="0098701F"/>
    <w:rsid w:val="00987225"/>
    <w:rsid w:val="009878D7"/>
    <w:rsid w:val="00987920"/>
    <w:rsid w:val="00987A0E"/>
    <w:rsid w:val="00987B4F"/>
    <w:rsid w:val="00987B9A"/>
    <w:rsid w:val="00987D59"/>
    <w:rsid w:val="0099007F"/>
    <w:rsid w:val="0099009F"/>
    <w:rsid w:val="0099015B"/>
    <w:rsid w:val="00990EA2"/>
    <w:rsid w:val="009926D3"/>
    <w:rsid w:val="00992B21"/>
    <w:rsid w:val="00994A0E"/>
    <w:rsid w:val="009960F8"/>
    <w:rsid w:val="00996C25"/>
    <w:rsid w:val="00996F47"/>
    <w:rsid w:val="009974AA"/>
    <w:rsid w:val="00997A2A"/>
    <w:rsid w:val="00997BE2"/>
    <w:rsid w:val="009A1CFB"/>
    <w:rsid w:val="009A45B8"/>
    <w:rsid w:val="009A48FD"/>
    <w:rsid w:val="009A4E7E"/>
    <w:rsid w:val="009A63BF"/>
    <w:rsid w:val="009A6D4A"/>
    <w:rsid w:val="009A7790"/>
    <w:rsid w:val="009A7AF7"/>
    <w:rsid w:val="009B04B8"/>
    <w:rsid w:val="009B278D"/>
    <w:rsid w:val="009B3149"/>
    <w:rsid w:val="009B331C"/>
    <w:rsid w:val="009B3431"/>
    <w:rsid w:val="009B43EC"/>
    <w:rsid w:val="009B451B"/>
    <w:rsid w:val="009B46AB"/>
    <w:rsid w:val="009B495F"/>
    <w:rsid w:val="009B582B"/>
    <w:rsid w:val="009B5C14"/>
    <w:rsid w:val="009B5D98"/>
    <w:rsid w:val="009B7C21"/>
    <w:rsid w:val="009B7CE6"/>
    <w:rsid w:val="009C02B3"/>
    <w:rsid w:val="009C1B08"/>
    <w:rsid w:val="009C1C20"/>
    <w:rsid w:val="009C2653"/>
    <w:rsid w:val="009C3A13"/>
    <w:rsid w:val="009C3C07"/>
    <w:rsid w:val="009C4DC6"/>
    <w:rsid w:val="009C55B2"/>
    <w:rsid w:val="009D0E48"/>
    <w:rsid w:val="009D1CAE"/>
    <w:rsid w:val="009D2AB8"/>
    <w:rsid w:val="009D2F16"/>
    <w:rsid w:val="009D3C45"/>
    <w:rsid w:val="009D50C3"/>
    <w:rsid w:val="009D6490"/>
    <w:rsid w:val="009D6F7A"/>
    <w:rsid w:val="009D7224"/>
    <w:rsid w:val="009D7396"/>
    <w:rsid w:val="009D7400"/>
    <w:rsid w:val="009D7723"/>
    <w:rsid w:val="009E0BA1"/>
    <w:rsid w:val="009E0E44"/>
    <w:rsid w:val="009E129D"/>
    <w:rsid w:val="009E16A7"/>
    <w:rsid w:val="009E2611"/>
    <w:rsid w:val="009E281C"/>
    <w:rsid w:val="009E2F20"/>
    <w:rsid w:val="009E313F"/>
    <w:rsid w:val="009E3264"/>
    <w:rsid w:val="009E35AA"/>
    <w:rsid w:val="009E35B3"/>
    <w:rsid w:val="009E4AEC"/>
    <w:rsid w:val="009E5ACE"/>
    <w:rsid w:val="009E5C00"/>
    <w:rsid w:val="009E5D89"/>
    <w:rsid w:val="009E6668"/>
    <w:rsid w:val="009E6738"/>
    <w:rsid w:val="009E6B20"/>
    <w:rsid w:val="009E7A71"/>
    <w:rsid w:val="009E7C0F"/>
    <w:rsid w:val="009F0ABD"/>
    <w:rsid w:val="009F1269"/>
    <w:rsid w:val="009F16BA"/>
    <w:rsid w:val="009F265C"/>
    <w:rsid w:val="009F4115"/>
    <w:rsid w:val="009F4AB4"/>
    <w:rsid w:val="009F4BE6"/>
    <w:rsid w:val="009F5E99"/>
    <w:rsid w:val="009F65BE"/>
    <w:rsid w:val="009F6808"/>
    <w:rsid w:val="009F698E"/>
    <w:rsid w:val="009F74FC"/>
    <w:rsid w:val="00A01E8F"/>
    <w:rsid w:val="00A03A2C"/>
    <w:rsid w:val="00A047EC"/>
    <w:rsid w:val="00A04F86"/>
    <w:rsid w:val="00A057D0"/>
    <w:rsid w:val="00A0655B"/>
    <w:rsid w:val="00A0715A"/>
    <w:rsid w:val="00A0754E"/>
    <w:rsid w:val="00A077B1"/>
    <w:rsid w:val="00A100D8"/>
    <w:rsid w:val="00A1070D"/>
    <w:rsid w:val="00A117AB"/>
    <w:rsid w:val="00A11C3E"/>
    <w:rsid w:val="00A11E44"/>
    <w:rsid w:val="00A1247E"/>
    <w:rsid w:val="00A12CA2"/>
    <w:rsid w:val="00A13CFC"/>
    <w:rsid w:val="00A13D03"/>
    <w:rsid w:val="00A14B90"/>
    <w:rsid w:val="00A16500"/>
    <w:rsid w:val="00A16599"/>
    <w:rsid w:val="00A167AA"/>
    <w:rsid w:val="00A17C0C"/>
    <w:rsid w:val="00A20398"/>
    <w:rsid w:val="00A203FD"/>
    <w:rsid w:val="00A20FD8"/>
    <w:rsid w:val="00A2189C"/>
    <w:rsid w:val="00A221CF"/>
    <w:rsid w:val="00A2268C"/>
    <w:rsid w:val="00A22861"/>
    <w:rsid w:val="00A22B1F"/>
    <w:rsid w:val="00A2411F"/>
    <w:rsid w:val="00A24843"/>
    <w:rsid w:val="00A24933"/>
    <w:rsid w:val="00A24C9A"/>
    <w:rsid w:val="00A255C2"/>
    <w:rsid w:val="00A25AD6"/>
    <w:rsid w:val="00A26AF4"/>
    <w:rsid w:val="00A31395"/>
    <w:rsid w:val="00A323B2"/>
    <w:rsid w:val="00A33D8C"/>
    <w:rsid w:val="00A351DE"/>
    <w:rsid w:val="00A354AB"/>
    <w:rsid w:val="00A359D9"/>
    <w:rsid w:val="00A36259"/>
    <w:rsid w:val="00A366D1"/>
    <w:rsid w:val="00A3706B"/>
    <w:rsid w:val="00A374F8"/>
    <w:rsid w:val="00A3762C"/>
    <w:rsid w:val="00A405D1"/>
    <w:rsid w:val="00A41DE8"/>
    <w:rsid w:val="00A42412"/>
    <w:rsid w:val="00A4271D"/>
    <w:rsid w:val="00A43542"/>
    <w:rsid w:val="00A43A27"/>
    <w:rsid w:val="00A43B03"/>
    <w:rsid w:val="00A44C64"/>
    <w:rsid w:val="00A44CF1"/>
    <w:rsid w:val="00A46B27"/>
    <w:rsid w:val="00A46B74"/>
    <w:rsid w:val="00A47345"/>
    <w:rsid w:val="00A47848"/>
    <w:rsid w:val="00A47D3E"/>
    <w:rsid w:val="00A47FF5"/>
    <w:rsid w:val="00A50C28"/>
    <w:rsid w:val="00A51EC0"/>
    <w:rsid w:val="00A5205A"/>
    <w:rsid w:val="00A52873"/>
    <w:rsid w:val="00A533EF"/>
    <w:rsid w:val="00A53C85"/>
    <w:rsid w:val="00A55AB0"/>
    <w:rsid w:val="00A55DC6"/>
    <w:rsid w:val="00A60649"/>
    <w:rsid w:val="00A60A4B"/>
    <w:rsid w:val="00A61390"/>
    <w:rsid w:val="00A61DDC"/>
    <w:rsid w:val="00A6382B"/>
    <w:rsid w:val="00A64827"/>
    <w:rsid w:val="00A66041"/>
    <w:rsid w:val="00A6659A"/>
    <w:rsid w:val="00A66E66"/>
    <w:rsid w:val="00A66FC5"/>
    <w:rsid w:val="00A678B7"/>
    <w:rsid w:val="00A70584"/>
    <w:rsid w:val="00A70837"/>
    <w:rsid w:val="00A720B6"/>
    <w:rsid w:val="00A72E89"/>
    <w:rsid w:val="00A732CD"/>
    <w:rsid w:val="00A7337D"/>
    <w:rsid w:val="00A737C9"/>
    <w:rsid w:val="00A73A41"/>
    <w:rsid w:val="00A73C28"/>
    <w:rsid w:val="00A742CD"/>
    <w:rsid w:val="00A74B29"/>
    <w:rsid w:val="00A7507A"/>
    <w:rsid w:val="00A759CD"/>
    <w:rsid w:val="00A75A9C"/>
    <w:rsid w:val="00A75C4B"/>
    <w:rsid w:val="00A75F86"/>
    <w:rsid w:val="00A7624B"/>
    <w:rsid w:val="00A76264"/>
    <w:rsid w:val="00A76509"/>
    <w:rsid w:val="00A767BC"/>
    <w:rsid w:val="00A7687E"/>
    <w:rsid w:val="00A777C1"/>
    <w:rsid w:val="00A77F50"/>
    <w:rsid w:val="00A8033D"/>
    <w:rsid w:val="00A8050D"/>
    <w:rsid w:val="00A80628"/>
    <w:rsid w:val="00A80902"/>
    <w:rsid w:val="00A80C63"/>
    <w:rsid w:val="00A81E06"/>
    <w:rsid w:val="00A83090"/>
    <w:rsid w:val="00A83A91"/>
    <w:rsid w:val="00A83F6C"/>
    <w:rsid w:val="00A844A0"/>
    <w:rsid w:val="00A845B8"/>
    <w:rsid w:val="00A84F6A"/>
    <w:rsid w:val="00A857D8"/>
    <w:rsid w:val="00A86119"/>
    <w:rsid w:val="00A862D3"/>
    <w:rsid w:val="00A86546"/>
    <w:rsid w:val="00A8663C"/>
    <w:rsid w:val="00A86F98"/>
    <w:rsid w:val="00A901FB"/>
    <w:rsid w:val="00A91B59"/>
    <w:rsid w:val="00A92306"/>
    <w:rsid w:val="00A9388F"/>
    <w:rsid w:val="00A9390B"/>
    <w:rsid w:val="00A945AB"/>
    <w:rsid w:val="00A946E7"/>
    <w:rsid w:val="00A95BF0"/>
    <w:rsid w:val="00A970D9"/>
    <w:rsid w:val="00A9711D"/>
    <w:rsid w:val="00AA03D1"/>
    <w:rsid w:val="00AA07E0"/>
    <w:rsid w:val="00AA0841"/>
    <w:rsid w:val="00AA1055"/>
    <w:rsid w:val="00AA10D2"/>
    <w:rsid w:val="00AA1652"/>
    <w:rsid w:val="00AA20EA"/>
    <w:rsid w:val="00AA2A8B"/>
    <w:rsid w:val="00AA3190"/>
    <w:rsid w:val="00AA384F"/>
    <w:rsid w:val="00AA4BA6"/>
    <w:rsid w:val="00AA4DD0"/>
    <w:rsid w:val="00AA5CAF"/>
    <w:rsid w:val="00AA620A"/>
    <w:rsid w:val="00AA659B"/>
    <w:rsid w:val="00AA6AB7"/>
    <w:rsid w:val="00AA6EF2"/>
    <w:rsid w:val="00AB0728"/>
    <w:rsid w:val="00AB0EED"/>
    <w:rsid w:val="00AB12CA"/>
    <w:rsid w:val="00AB1BD7"/>
    <w:rsid w:val="00AB2B55"/>
    <w:rsid w:val="00AB2D6B"/>
    <w:rsid w:val="00AB36F1"/>
    <w:rsid w:val="00AB43D3"/>
    <w:rsid w:val="00AB639F"/>
    <w:rsid w:val="00AB74CE"/>
    <w:rsid w:val="00AB77E8"/>
    <w:rsid w:val="00AC05F0"/>
    <w:rsid w:val="00AC1BC7"/>
    <w:rsid w:val="00AC3F6F"/>
    <w:rsid w:val="00AC4EB0"/>
    <w:rsid w:val="00AC54D5"/>
    <w:rsid w:val="00AC6D94"/>
    <w:rsid w:val="00AC7B06"/>
    <w:rsid w:val="00AC7B42"/>
    <w:rsid w:val="00AC7F1E"/>
    <w:rsid w:val="00AD01DA"/>
    <w:rsid w:val="00AD13C8"/>
    <w:rsid w:val="00AD1F31"/>
    <w:rsid w:val="00AD2BA9"/>
    <w:rsid w:val="00AD3415"/>
    <w:rsid w:val="00AD3734"/>
    <w:rsid w:val="00AD434A"/>
    <w:rsid w:val="00AD43AA"/>
    <w:rsid w:val="00AD4DA7"/>
    <w:rsid w:val="00AD5C97"/>
    <w:rsid w:val="00AD67E3"/>
    <w:rsid w:val="00AD776B"/>
    <w:rsid w:val="00AD781C"/>
    <w:rsid w:val="00AD7FAC"/>
    <w:rsid w:val="00AE0A85"/>
    <w:rsid w:val="00AE25FA"/>
    <w:rsid w:val="00AE2C16"/>
    <w:rsid w:val="00AE2F1E"/>
    <w:rsid w:val="00AE3808"/>
    <w:rsid w:val="00AE4817"/>
    <w:rsid w:val="00AE4D5D"/>
    <w:rsid w:val="00AE4E87"/>
    <w:rsid w:val="00AE5636"/>
    <w:rsid w:val="00AE56F9"/>
    <w:rsid w:val="00AE620E"/>
    <w:rsid w:val="00AE6747"/>
    <w:rsid w:val="00AF07EB"/>
    <w:rsid w:val="00AF0B7A"/>
    <w:rsid w:val="00AF11D3"/>
    <w:rsid w:val="00AF179C"/>
    <w:rsid w:val="00AF292D"/>
    <w:rsid w:val="00AF376B"/>
    <w:rsid w:val="00AF3AE5"/>
    <w:rsid w:val="00AF3BA1"/>
    <w:rsid w:val="00AF4AE0"/>
    <w:rsid w:val="00AF61C8"/>
    <w:rsid w:val="00AF6956"/>
    <w:rsid w:val="00AF6F8D"/>
    <w:rsid w:val="00AF73AC"/>
    <w:rsid w:val="00B0114F"/>
    <w:rsid w:val="00B011D5"/>
    <w:rsid w:val="00B0168D"/>
    <w:rsid w:val="00B0183E"/>
    <w:rsid w:val="00B02183"/>
    <w:rsid w:val="00B02929"/>
    <w:rsid w:val="00B02E00"/>
    <w:rsid w:val="00B03F8F"/>
    <w:rsid w:val="00B044A7"/>
    <w:rsid w:val="00B0534A"/>
    <w:rsid w:val="00B06533"/>
    <w:rsid w:val="00B07C89"/>
    <w:rsid w:val="00B10837"/>
    <w:rsid w:val="00B109E1"/>
    <w:rsid w:val="00B116A6"/>
    <w:rsid w:val="00B11ADE"/>
    <w:rsid w:val="00B1263B"/>
    <w:rsid w:val="00B128AE"/>
    <w:rsid w:val="00B13748"/>
    <w:rsid w:val="00B13A5C"/>
    <w:rsid w:val="00B149F8"/>
    <w:rsid w:val="00B15958"/>
    <w:rsid w:val="00B1595E"/>
    <w:rsid w:val="00B1643B"/>
    <w:rsid w:val="00B1691B"/>
    <w:rsid w:val="00B201C9"/>
    <w:rsid w:val="00B2182E"/>
    <w:rsid w:val="00B21E75"/>
    <w:rsid w:val="00B21EE9"/>
    <w:rsid w:val="00B2293A"/>
    <w:rsid w:val="00B22E68"/>
    <w:rsid w:val="00B24264"/>
    <w:rsid w:val="00B2436F"/>
    <w:rsid w:val="00B2569C"/>
    <w:rsid w:val="00B25B10"/>
    <w:rsid w:val="00B263A9"/>
    <w:rsid w:val="00B26701"/>
    <w:rsid w:val="00B2749B"/>
    <w:rsid w:val="00B27B33"/>
    <w:rsid w:val="00B30020"/>
    <w:rsid w:val="00B30D28"/>
    <w:rsid w:val="00B31547"/>
    <w:rsid w:val="00B31843"/>
    <w:rsid w:val="00B321AB"/>
    <w:rsid w:val="00B3290F"/>
    <w:rsid w:val="00B32D80"/>
    <w:rsid w:val="00B333C3"/>
    <w:rsid w:val="00B3380F"/>
    <w:rsid w:val="00B34179"/>
    <w:rsid w:val="00B34D41"/>
    <w:rsid w:val="00B355E8"/>
    <w:rsid w:val="00B36E46"/>
    <w:rsid w:val="00B426A4"/>
    <w:rsid w:val="00B4313F"/>
    <w:rsid w:val="00B4363F"/>
    <w:rsid w:val="00B437EB"/>
    <w:rsid w:val="00B440E5"/>
    <w:rsid w:val="00B46E55"/>
    <w:rsid w:val="00B47609"/>
    <w:rsid w:val="00B47949"/>
    <w:rsid w:val="00B47A0C"/>
    <w:rsid w:val="00B47BDD"/>
    <w:rsid w:val="00B50C2B"/>
    <w:rsid w:val="00B50D2F"/>
    <w:rsid w:val="00B53A6E"/>
    <w:rsid w:val="00B54876"/>
    <w:rsid w:val="00B54CD1"/>
    <w:rsid w:val="00B5586D"/>
    <w:rsid w:val="00B6017F"/>
    <w:rsid w:val="00B60561"/>
    <w:rsid w:val="00B6069B"/>
    <w:rsid w:val="00B610A4"/>
    <w:rsid w:val="00B61C36"/>
    <w:rsid w:val="00B62393"/>
    <w:rsid w:val="00B624A1"/>
    <w:rsid w:val="00B6299D"/>
    <w:rsid w:val="00B62FBD"/>
    <w:rsid w:val="00B64613"/>
    <w:rsid w:val="00B646DA"/>
    <w:rsid w:val="00B65070"/>
    <w:rsid w:val="00B65DEF"/>
    <w:rsid w:val="00B668CB"/>
    <w:rsid w:val="00B67E33"/>
    <w:rsid w:val="00B71AE6"/>
    <w:rsid w:val="00B72606"/>
    <w:rsid w:val="00B72FD1"/>
    <w:rsid w:val="00B731A3"/>
    <w:rsid w:val="00B7440D"/>
    <w:rsid w:val="00B746E7"/>
    <w:rsid w:val="00B74AD4"/>
    <w:rsid w:val="00B752A2"/>
    <w:rsid w:val="00B75742"/>
    <w:rsid w:val="00B7652E"/>
    <w:rsid w:val="00B766E7"/>
    <w:rsid w:val="00B76836"/>
    <w:rsid w:val="00B77EF5"/>
    <w:rsid w:val="00B801C6"/>
    <w:rsid w:val="00B80410"/>
    <w:rsid w:val="00B805BC"/>
    <w:rsid w:val="00B80C09"/>
    <w:rsid w:val="00B80E66"/>
    <w:rsid w:val="00B80FAD"/>
    <w:rsid w:val="00B81332"/>
    <w:rsid w:val="00B82541"/>
    <w:rsid w:val="00B82945"/>
    <w:rsid w:val="00B86271"/>
    <w:rsid w:val="00B86616"/>
    <w:rsid w:val="00B87AD8"/>
    <w:rsid w:val="00B9010D"/>
    <w:rsid w:val="00B937A3"/>
    <w:rsid w:val="00B937F7"/>
    <w:rsid w:val="00B9399E"/>
    <w:rsid w:val="00B940E7"/>
    <w:rsid w:val="00B94AAA"/>
    <w:rsid w:val="00B94FFD"/>
    <w:rsid w:val="00B95335"/>
    <w:rsid w:val="00B961E0"/>
    <w:rsid w:val="00B96F6A"/>
    <w:rsid w:val="00B9795D"/>
    <w:rsid w:val="00BA046A"/>
    <w:rsid w:val="00BA1F1A"/>
    <w:rsid w:val="00BA2165"/>
    <w:rsid w:val="00BA2BE5"/>
    <w:rsid w:val="00BA2D4A"/>
    <w:rsid w:val="00BA3933"/>
    <w:rsid w:val="00BA3D22"/>
    <w:rsid w:val="00BA58D6"/>
    <w:rsid w:val="00BA652F"/>
    <w:rsid w:val="00BA6E28"/>
    <w:rsid w:val="00BB12DE"/>
    <w:rsid w:val="00BB1A2A"/>
    <w:rsid w:val="00BB2342"/>
    <w:rsid w:val="00BB23A6"/>
    <w:rsid w:val="00BB28BC"/>
    <w:rsid w:val="00BB46CF"/>
    <w:rsid w:val="00BB4C32"/>
    <w:rsid w:val="00BB54F6"/>
    <w:rsid w:val="00BB7418"/>
    <w:rsid w:val="00BB7845"/>
    <w:rsid w:val="00BB7F72"/>
    <w:rsid w:val="00BC01B2"/>
    <w:rsid w:val="00BC2A8C"/>
    <w:rsid w:val="00BC37DE"/>
    <w:rsid w:val="00BC381F"/>
    <w:rsid w:val="00BC3D16"/>
    <w:rsid w:val="00BC3E8B"/>
    <w:rsid w:val="00BC4186"/>
    <w:rsid w:val="00BC4330"/>
    <w:rsid w:val="00BC56D0"/>
    <w:rsid w:val="00BC5B71"/>
    <w:rsid w:val="00BC6AD7"/>
    <w:rsid w:val="00BC72AE"/>
    <w:rsid w:val="00BC76E0"/>
    <w:rsid w:val="00BC78DC"/>
    <w:rsid w:val="00BC7E01"/>
    <w:rsid w:val="00BD024E"/>
    <w:rsid w:val="00BD1B02"/>
    <w:rsid w:val="00BD1F47"/>
    <w:rsid w:val="00BD3161"/>
    <w:rsid w:val="00BD490F"/>
    <w:rsid w:val="00BD4C8A"/>
    <w:rsid w:val="00BD4DF2"/>
    <w:rsid w:val="00BD5196"/>
    <w:rsid w:val="00BD549C"/>
    <w:rsid w:val="00BD6066"/>
    <w:rsid w:val="00BD6655"/>
    <w:rsid w:val="00BD6B0E"/>
    <w:rsid w:val="00BD756C"/>
    <w:rsid w:val="00BD7C96"/>
    <w:rsid w:val="00BD7DAC"/>
    <w:rsid w:val="00BE019C"/>
    <w:rsid w:val="00BE0432"/>
    <w:rsid w:val="00BE137C"/>
    <w:rsid w:val="00BE159B"/>
    <w:rsid w:val="00BE1CFE"/>
    <w:rsid w:val="00BE1D83"/>
    <w:rsid w:val="00BE2D3B"/>
    <w:rsid w:val="00BE31E5"/>
    <w:rsid w:val="00BE36C9"/>
    <w:rsid w:val="00BE3E68"/>
    <w:rsid w:val="00BE40A6"/>
    <w:rsid w:val="00BE42B4"/>
    <w:rsid w:val="00BE42B9"/>
    <w:rsid w:val="00BE489F"/>
    <w:rsid w:val="00BE4E38"/>
    <w:rsid w:val="00BE5528"/>
    <w:rsid w:val="00BE5BEA"/>
    <w:rsid w:val="00BE7D34"/>
    <w:rsid w:val="00BF02A9"/>
    <w:rsid w:val="00BF1288"/>
    <w:rsid w:val="00BF17CB"/>
    <w:rsid w:val="00BF210F"/>
    <w:rsid w:val="00BF487D"/>
    <w:rsid w:val="00BF4DB5"/>
    <w:rsid w:val="00BF4F51"/>
    <w:rsid w:val="00BF555E"/>
    <w:rsid w:val="00BF6BC3"/>
    <w:rsid w:val="00BF7108"/>
    <w:rsid w:val="00C004E5"/>
    <w:rsid w:val="00C02287"/>
    <w:rsid w:val="00C0247B"/>
    <w:rsid w:val="00C025C0"/>
    <w:rsid w:val="00C03DC2"/>
    <w:rsid w:val="00C041E9"/>
    <w:rsid w:val="00C048C8"/>
    <w:rsid w:val="00C05C20"/>
    <w:rsid w:val="00C06882"/>
    <w:rsid w:val="00C06C7D"/>
    <w:rsid w:val="00C06E99"/>
    <w:rsid w:val="00C077A9"/>
    <w:rsid w:val="00C07ABF"/>
    <w:rsid w:val="00C07F3F"/>
    <w:rsid w:val="00C07FAA"/>
    <w:rsid w:val="00C10FDA"/>
    <w:rsid w:val="00C12D22"/>
    <w:rsid w:val="00C1319A"/>
    <w:rsid w:val="00C13265"/>
    <w:rsid w:val="00C1360D"/>
    <w:rsid w:val="00C13806"/>
    <w:rsid w:val="00C14D70"/>
    <w:rsid w:val="00C1528A"/>
    <w:rsid w:val="00C1578A"/>
    <w:rsid w:val="00C15953"/>
    <w:rsid w:val="00C159C1"/>
    <w:rsid w:val="00C16876"/>
    <w:rsid w:val="00C16B31"/>
    <w:rsid w:val="00C1731A"/>
    <w:rsid w:val="00C177E7"/>
    <w:rsid w:val="00C204E5"/>
    <w:rsid w:val="00C21F18"/>
    <w:rsid w:val="00C224E3"/>
    <w:rsid w:val="00C22836"/>
    <w:rsid w:val="00C23BEA"/>
    <w:rsid w:val="00C240E3"/>
    <w:rsid w:val="00C25A59"/>
    <w:rsid w:val="00C25C72"/>
    <w:rsid w:val="00C25DB5"/>
    <w:rsid w:val="00C25E5D"/>
    <w:rsid w:val="00C26F10"/>
    <w:rsid w:val="00C27425"/>
    <w:rsid w:val="00C27B3C"/>
    <w:rsid w:val="00C27CB2"/>
    <w:rsid w:val="00C30491"/>
    <w:rsid w:val="00C31137"/>
    <w:rsid w:val="00C314FE"/>
    <w:rsid w:val="00C32657"/>
    <w:rsid w:val="00C32EB4"/>
    <w:rsid w:val="00C33249"/>
    <w:rsid w:val="00C337AA"/>
    <w:rsid w:val="00C33E76"/>
    <w:rsid w:val="00C34761"/>
    <w:rsid w:val="00C351A6"/>
    <w:rsid w:val="00C35654"/>
    <w:rsid w:val="00C36BA6"/>
    <w:rsid w:val="00C372DD"/>
    <w:rsid w:val="00C374E3"/>
    <w:rsid w:val="00C378D6"/>
    <w:rsid w:val="00C40FFF"/>
    <w:rsid w:val="00C418BE"/>
    <w:rsid w:val="00C41DB3"/>
    <w:rsid w:val="00C42E7F"/>
    <w:rsid w:val="00C4326D"/>
    <w:rsid w:val="00C455EC"/>
    <w:rsid w:val="00C45E03"/>
    <w:rsid w:val="00C46D2E"/>
    <w:rsid w:val="00C47441"/>
    <w:rsid w:val="00C476BB"/>
    <w:rsid w:val="00C50524"/>
    <w:rsid w:val="00C52583"/>
    <w:rsid w:val="00C52ABC"/>
    <w:rsid w:val="00C540BB"/>
    <w:rsid w:val="00C541C2"/>
    <w:rsid w:val="00C54837"/>
    <w:rsid w:val="00C549CE"/>
    <w:rsid w:val="00C5667E"/>
    <w:rsid w:val="00C56847"/>
    <w:rsid w:val="00C571DC"/>
    <w:rsid w:val="00C60479"/>
    <w:rsid w:val="00C606A4"/>
    <w:rsid w:val="00C61236"/>
    <w:rsid w:val="00C617BD"/>
    <w:rsid w:val="00C62C88"/>
    <w:rsid w:val="00C634D6"/>
    <w:rsid w:val="00C63D3A"/>
    <w:rsid w:val="00C64B48"/>
    <w:rsid w:val="00C67884"/>
    <w:rsid w:val="00C67E3E"/>
    <w:rsid w:val="00C70FE0"/>
    <w:rsid w:val="00C715FC"/>
    <w:rsid w:val="00C71E9C"/>
    <w:rsid w:val="00C7233B"/>
    <w:rsid w:val="00C72872"/>
    <w:rsid w:val="00C72B9C"/>
    <w:rsid w:val="00C73FB2"/>
    <w:rsid w:val="00C749AE"/>
    <w:rsid w:val="00C75AAD"/>
    <w:rsid w:val="00C76AAE"/>
    <w:rsid w:val="00C77BD0"/>
    <w:rsid w:val="00C77DCB"/>
    <w:rsid w:val="00C80B81"/>
    <w:rsid w:val="00C81312"/>
    <w:rsid w:val="00C81504"/>
    <w:rsid w:val="00C81EA4"/>
    <w:rsid w:val="00C825B9"/>
    <w:rsid w:val="00C830D0"/>
    <w:rsid w:val="00C84D69"/>
    <w:rsid w:val="00C85DE8"/>
    <w:rsid w:val="00C9097F"/>
    <w:rsid w:val="00C90B32"/>
    <w:rsid w:val="00C90E2C"/>
    <w:rsid w:val="00C916B9"/>
    <w:rsid w:val="00C919E8"/>
    <w:rsid w:val="00C92D83"/>
    <w:rsid w:val="00C9313E"/>
    <w:rsid w:val="00C933C6"/>
    <w:rsid w:val="00C9526C"/>
    <w:rsid w:val="00C95927"/>
    <w:rsid w:val="00C967D1"/>
    <w:rsid w:val="00C97C37"/>
    <w:rsid w:val="00CA0470"/>
    <w:rsid w:val="00CA18D2"/>
    <w:rsid w:val="00CA2187"/>
    <w:rsid w:val="00CA25B6"/>
    <w:rsid w:val="00CA2CFD"/>
    <w:rsid w:val="00CA40ED"/>
    <w:rsid w:val="00CA469B"/>
    <w:rsid w:val="00CA5BC9"/>
    <w:rsid w:val="00CA636B"/>
    <w:rsid w:val="00CA6401"/>
    <w:rsid w:val="00CA64D4"/>
    <w:rsid w:val="00CA6654"/>
    <w:rsid w:val="00CA6F77"/>
    <w:rsid w:val="00CA783C"/>
    <w:rsid w:val="00CA78DB"/>
    <w:rsid w:val="00CA7BDD"/>
    <w:rsid w:val="00CB0C5E"/>
    <w:rsid w:val="00CB156B"/>
    <w:rsid w:val="00CB20ED"/>
    <w:rsid w:val="00CB24A0"/>
    <w:rsid w:val="00CB41E3"/>
    <w:rsid w:val="00CB53BF"/>
    <w:rsid w:val="00CB5760"/>
    <w:rsid w:val="00CB603B"/>
    <w:rsid w:val="00CB6EAA"/>
    <w:rsid w:val="00CB7AA0"/>
    <w:rsid w:val="00CC0046"/>
    <w:rsid w:val="00CC126A"/>
    <w:rsid w:val="00CC1A62"/>
    <w:rsid w:val="00CC1DC4"/>
    <w:rsid w:val="00CC1E1F"/>
    <w:rsid w:val="00CC1F4A"/>
    <w:rsid w:val="00CC2A1F"/>
    <w:rsid w:val="00CC351B"/>
    <w:rsid w:val="00CC355D"/>
    <w:rsid w:val="00CC3F55"/>
    <w:rsid w:val="00CC447D"/>
    <w:rsid w:val="00CC482B"/>
    <w:rsid w:val="00CC5A95"/>
    <w:rsid w:val="00CC5C86"/>
    <w:rsid w:val="00CC5D2F"/>
    <w:rsid w:val="00CC7E76"/>
    <w:rsid w:val="00CD0963"/>
    <w:rsid w:val="00CD0D68"/>
    <w:rsid w:val="00CD1F6D"/>
    <w:rsid w:val="00CD2626"/>
    <w:rsid w:val="00CD274F"/>
    <w:rsid w:val="00CD32E6"/>
    <w:rsid w:val="00CD3560"/>
    <w:rsid w:val="00CD3D80"/>
    <w:rsid w:val="00CD58CD"/>
    <w:rsid w:val="00CD5904"/>
    <w:rsid w:val="00CD6E5E"/>
    <w:rsid w:val="00CD728D"/>
    <w:rsid w:val="00CD7A0B"/>
    <w:rsid w:val="00CE0A32"/>
    <w:rsid w:val="00CE0F47"/>
    <w:rsid w:val="00CE1A95"/>
    <w:rsid w:val="00CE2516"/>
    <w:rsid w:val="00CE2C5D"/>
    <w:rsid w:val="00CE2D93"/>
    <w:rsid w:val="00CE55C5"/>
    <w:rsid w:val="00CF0BCF"/>
    <w:rsid w:val="00CF110C"/>
    <w:rsid w:val="00CF11F4"/>
    <w:rsid w:val="00CF189D"/>
    <w:rsid w:val="00CF2247"/>
    <w:rsid w:val="00CF2665"/>
    <w:rsid w:val="00CF452E"/>
    <w:rsid w:val="00CF4BCF"/>
    <w:rsid w:val="00CF5B76"/>
    <w:rsid w:val="00CF5E6B"/>
    <w:rsid w:val="00CF7231"/>
    <w:rsid w:val="00CF752C"/>
    <w:rsid w:val="00CF764B"/>
    <w:rsid w:val="00D00B0F"/>
    <w:rsid w:val="00D01735"/>
    <w:rsid w:val="00D0205D"/>
    <w:rsid w:val="00D031AB"/>
    <w:rsid w:val="00D05464"/>
    <w:rsid w:val="00D05B00"/>
    <w:rsid w:val="00D061C2"/>
    <w:rsid w:val="00D06C13"/>
    <w:rsid w:val="00D06DA1"/>
    <w:rsid w:val="00D06FF4"/>
    <w:rsid w:val="00D074FC"/>
    <w:rsid w:val="00D07F1B"/>
    <w:rsid w:val="00D101F1"/>
    <w:rsid w:val="00D1046D"/>
    <w:rsid w:val="00D10CD1"/>
    <w:rsid w:val="00D11897"/>
    <w:rsid w:val="00D11916"/>
    <w:rsid w:val="00D11C26"/>
    <w:rsid w:val="00D121AF"/>
    <w:rsid w:val="00D1228F"/>
    <w:rsid w:val="00D137D5"/>
    <w:rsid w:val="00D14090"/>
    <w:rsid w:val="00D1436F"/>
    <w:rsid w:val="00D164A7"/>
    <w:rsid w:val="00D1676E"/>
    <w:rsid w:val="00D16BA5"/>
    <w:rsid w:val="00D17CEE"/>
    <w:rsid w:val="00D17E1B"/>
    <w:rsid w:val="00D210D3"/>
    <w:rsid w:val="00D2113B"/>
    <w:rsid w:val="00D220D2"/>
    <w:rsid w:val="00D228A3"/>
    <w:rsid w:val="00D22E09"/>
    <w:rsid w:val="00D237BC"/>
    <w:rsid w:val="00D242CA"/>
    <w:rsid w:val="00D246C1"/>
    <w:rsid w:val="00D24ED1"/>
    <w:rsid w:val="00D25151"/>
    <w:rsid w:val="00D25F06"/>
    <w:rsid w:val="00D27B41"/>
    <w:rsid w:val="00D3075F"/>
    <w:rsid w:val="00D3104F"/>
    <w:rsid w:val="00D317B5"/>
    <w:rsid w:val="00D322EC"/>
    <w:rsid w:val="00D34259"/>
    <w:rsid w:val="00D343E7"/>
    <w:rsid w:val="00D3470F"/>
    <w:rsid w:val="00D34FDE"/>
    <w:rsid w:val="00D353F9"/>
    <w:rsid w:val="00D35822"/>
    <w:rsid w:val="00D35916"/>
    <w:rsid w:val="00D36F91"/>
    <w:rsid w:val="00D42C09"/>
    <w:rsid w:val="00D42D6A"/>
    <w:rsid w:val="00D44688"/>
    <w:rsid w:val="00D44770"/>
    <w:rsid w:val="00D45A8E"/>
    <w:rsid w:val="00D46094"/>
    <w:rsid w:val="00D4644E"/>
    <w:rsid w:val="00D46524"/>
    <w:rsid w:val="00D467DE"/>
    <w:rsid w:val="00D46B5F"/>
    <w:rsid w:val="00D46BA5"/>
    <w:rsid w:val="00D50837"/>
    <w:rsid w:val="00D51392"/>
    <w:rsid w:val="00D51AB9"/>
    <w:rsid w:val="00D51C0E"/>
    <w:rsid w:val="00D53735"/>
    <w:rsid w:val="00D53922"/>
    <w:rsid w:val="00D53B82"/>
    <w:rsid w:val="00D56A06"/>
    <w:rsid w:val="00D56DBB"/>
    <w:rsid w:val="00D602E9"/>
    <w:rsid w:val="00D61489"/>
    <w:rsid w:val="00D615EC"/>
    <w:rsid w:val="00D62182"/>
    <w:rsid w:val="00D62D5A"/>
    <w:rsid w:val="00D631DF"/>
    <w:rsid w:val="00D63420"/>
    <w:rsid w:val="00D640F3"/>
    <w:rsid w:val="00D648AD"/>
    <w:rsid w:val="00D648BA"/>
    <w:rsid w:val="00D64E7F"/>
    <w:rsid w:val="00D650A7"/>
    <w:rsid w:val="00D67C85"/>
    <w:rsid w:val="00D67D4D"/>
    <w:rsid w:val="00D7024D"/>
    <w:rsid w:val="00D70631"/>
    <w:rsid w:val="00D70861"/>
    <w:rsid w:val="00D721DC"/>
    <w:rsid w:val="00D72233"/>
    <w:rsid w:val="00D72709"/>
    <w:rsid w:val="00D72C7B"/>
    <w:rsid w:val="00D7339E"/>
    <w:rsid w:val="00D73D06"/>
    <w:rsid w:val="00D7549D"/>
    <w:rsid w:val="00D75BEA"/>
    <w:rsid w:val="00D7629B"/>
    <w:rsid w:val="00D76343"/>
    <w:rsid w:val="00D76506"/>
    <w:rsid w:val="00D765D2"/>
    <w:rsid w:val="00D76673"/>
    <w:rsid w:val="00D77C32"/>
    <w:rsid w:val="00D77E46"/>
    <w:rsid w:val="00D80C0F"/>
    <w:rsid w:val="00D810AC"/>
    <w:rsid w:val="00D8171C"/>
    <w:rsid w:val="00D81E87"/>
    <w:rsid w:val="00D82714"/>
    <w:rsid w:val="00D82FD5"/>
    <w:rsid w:val="00D83967"/>
    <w:rsid w:val="00D84677"/>
    <w:rsid w:val="00D84FB2"/>
    <w:rsid w:val="00D8737E"/>
    <w:rsid w:val="00D9120E"/>
    <w:rsid w:val="00D926A1"/>
    <w:rsid w:val="00D92A05"/>
    <w:rsid w:val="00D94B74"/>
    <w:rsid w:val="00D94EFA"/>
    <w:rsid w:val="00D95B26"/>
    <w:rsid w:val="00D95D43"/>
    <w:rsid w:val="00D961C6"/>
    <w:rsid w:val="00D969A6"/>
    <w:rsid w:val="00DA01B2"/>
    <w:rsid w:val="00DA03C9"/>
    <w:rsid w:val="00DA0496"/>
    <w:rsid w:val="00DA0608"/>
    <w:rsid w:val="00DA0CA7"/>
    <w:rsid w:val="00DA1491"/>
    <w:rsid w:val="00DA2978"/>
    <w:rsid w:val="00DA2EF1"/>
    <w:rsid w:val="00DA3943"/>
    <w:rsid w:val="00DA51A1"/>
    <w:rsid w:val="00DA5652"/>
    <w:rsid w:val="00DA64AD"/>
    <w:rsid w:val="00DA69CA"/>
    <w:rsid w:val="00DA6E05"/>
    <w:rsid w:val="00DA75F3"/>
    <w:rsid w:val="00DA7BFB"/>
    <w:rsid w:val="00DB0569"/>
    <w:rsid w:val="00DB1482"/>
    <w:rsid w:val="00DB1964"/>
    <w:rsid w:val="00DB1C21"/>
    <w:rsid w:val="00DB1E17"/>
    <w:rsid w:val="00DB2012"/>
    <w:rsid w:val="00DB2C3B"/>
    <w:rsid w:val="00DB342A"/>
    <w:rsid w:val="00DB3800"/>
    <w:rsid w:val="00DB3D17"/>
    <w:rsid w:val="00DB43BD"/>
    <w:rsid w:val="00DB53F7"/>
    <w:rsid w:val="00DB5825"/>
    <w:rsid w:val="00DB7C64"/>
    <w:rsid w:val="00DC00D8"/>
    <w:rsid w:val="00DC0571"/>
    <w:rsid w:val="00DC0C79"/>
    <w:rsid w:val="00DC233A"/>
    <w:rsid w:val="00DC2565"/>
    <w:rsid w:val="00DC2BBE"/>
    <w:rsid w:val="00DC2D8F"/>
    <w:rsid w:val="00DC344B"/>
    <w:rsid w:val="00DC3D8A"/>
    <w:rsid w:val="00DC3E1F"/>
    <w:rsid w:val="00DC3E8F"/>
    <w:rsid w:val="00DC4C6A"/>
    <w:rsid w:val="00DC5130"/>
    <w:rsid w:val="00DC5FF3"/>
    <w:rsid w:val="00DC675F"/>
    <w:rsid w:val="00DC76A5"/>
    <w:rsid w:val="00DD04F0"/>
    <w:rsid w:val="00DD0AFA"/>
    <w:rsid w:val="00DD290F"/>
    <w:rsid w:val="00DD2B55"/>
    <w:rsid w:val="00DD2DCB"/>
    <w:rsid w:val="00DD2E25"/>
    <w:rsid w:val="00DD346E"/>
    <w:rsid w:val="00DD4044"/>
    <w:rsid w:val="00DD4605"/>
    <w:rsid w:val="00DD4FE6"/>
    <w:rsid w:val="00DD5466"/>
    <w:rsid w:val="00DD586A"/>
    <w:rsid w:val="00DD5FCE"/>
    <w:rsid w:val="00DD6FAD"/>
    <w:rsid w:val="00DD727F"/>
    <w:rsid w:val="00DD7E5F"/>
    <w:rsid w:val="00DE06CB"/>
    <w:rsid w:val="00DE0728"/>
    <w:rsid w:val="00DE12BC"/>
    <w:rsid w:val="00DE1A34"/>
    <w:rsid w:val="00DE1DEC"/>
    <w:rsid w:val="00DE283B"/>
    <w:rsid w:val="00DE2DB2"/>
    <w:rsid w:val="00DE313B"/>
    <w:rsid w:val="00DE3594"/>
    <w:rsid w:val="00DE3858"/>
    <w:rsid w:val="00DE39EA"/>
    <w:rsid w:val="00DE406F"/>
    <w:rsid w:val="00DE43C8"/>
    <w:rsid w:val="00DE4E01"/>
    <w:rsid w:val="00DE4F2E"/>
    <w:rsid w:val="00DE5AD4"/>
    <w:rsid w:val="00DE70F9"/>
    <w:rsid w:val="00DE73D7"/>
    <w:rsid w:val="00DE73E0"/>
    <w:rsid w:val="00DF0AEE"/>
    <w:rsid w:val="00DF169D"/>
    <w:rsid w:val="00DF2368"/>
    <w:rsid w:val="00DF3460"/>
    <w:rsid w:val="00DF4016"/>
    <w:rsid w:val="00DF4445"/>
    <w:rsid w:val="00DF4EC7"/>
    <w:rsid w:val="00DF6515"/>
    <w:rsid w:val="00DF65D3"/>
    <w:rsid w:val="00DF677C"/>
    <w:rsid w:val="00E000A6"/>
    <w:rsid w:val="00E00948"/>
    <w:rsid w:val="00E00B4B"/>
    <w:rsid w:val="00E00C73"/>
    <w:rsid w:val="00E01861"/>
    <w:rsid w:val="00E0260E"/>
    <w:rsid w:val="00E03688"/>
    <w:rsid w:val="00E037AE"/>
    <w:rsid w:val="00E04191"/>
    <w:rsid w:val="00E0467D"/>
    <w:rsid w:val="00E046B9"/>
    <w:rsid w:val="00E0533A"/>
    <w:rsid w:val="00E05835"/>
    <w:rsid w:val="00E078B4"/>
    <w:rsid w:val="00E1088C"/>
    <w:rsid w:val="00E10CCC"/>
    <w:rsid w:val="00E11224"/>
    <w:rsid w:val="00E11F58"/>
    <w:rsid w:val="00E13E20"/>
    <w:rsid w:val="00E14E3A"/>
    <w:rsid w:val="00E14EBC"/>
    <w:rsid w:val="00E1643B"/>
    <w:rsid w:val="00E20E93"/>
    <w:rsid w:val="00E217FF"/>
    <w:rsid w:val="00E21844"/>
    <w:rsid w:val="00E21A44"/>
    <w:rsid w:val="00E224E9"/>
    <w:rsid w:val="00E24F7D"/>
    <w:rsid w:val="00E254BC"/>
    <w:rsid w:val="00E25C7F"/>
    <w:rsid w:val="00E25EAB"/>
    <w:rsid w:val="00E2687F"/>
    <w:rsid w:val="00E26BFC"/>
    <w:rsid w:val="00E2781F"/>
    <w:rsid w:val="00E304FB"/>
    <w:rsid w:val="00E307CF"/>
    <w:rsid w:val="00E30E54"/>
    <w:rsid w:val="00E310C7"/>
    <w:rsid w:val="00E32408"/>
    <w:rsid w:val="00E32FB1"/>
    <w:rsid w:val="00E33B36"/>
    <w:rsid w:val="00E35C39"/>
    <w:rsid w:val="00E36940"/>
    <w:rsid w:val="00E40584"/>
    <w:rsid w:val="00E41347"/>
    <w:rsid w:val="00E42F38"/>
    <w:rsid w:val="00E434FF"/>
    <w:rsid w:val="00E4352E"/>
    <w:rsid w:val="00E4532D"/>
    <w:rsid w:val="00E47155"/>
    <w:rsid w:val="00E511A2"/>
    <w:rsid w:val="00E51555"/>
    <w:rsid w:val="00E51656"/>
    <w:rsid w:val="00E518AF"/>
    <w:rsid w:val="00E533B8"/>
    <w:rsid w:val="00E53639"/>
    <w:rsid w:val="00E53A26"/>
    <w:rsid w:val="00E53A4C"/>
    <w:rsid w:val="00E5419A"/>
    <w:rsid w:val="00E545BD"/>
    <w:rsid w:val="00E546BA"/>
    <w:rsid w:val="00E54749"/>
    <w:rsid w:val="00E55311"/>
    <w:rsid w:val="00E55F36"/>
    <w:rsid w:val="00E56533"/>
    <w:rsid w:val="00E56A98"/>
    <w:rsid w:val="00E57FA4"/>
    <w:rsid w:val="00E60A77"/>
    <w:rsid w:val="00E615CA"/>
    <w:rsid w:val="00E61D50"/>
    <w:rsid w:val="00E62969"/>
    <w:rsid w:val="00E6381D"/>
    <w:rsid w:val="00E6564A"/>
    <w:rsid w:val="00E65CEA"/>
    <w:rsid w:val="00E65FD2"/>
    <w:rsid w:val="00E66367"/>
    <w:rsid w:val="00E66596"/>
    <w:rsid w:val="00E66BA7"/>
    <w:rsid w:val="00E7021B"/>
    <w:rsid w:val="00E7092F"/>
    <w:rsid w:val="00E734B9"/>
    <w:rsid w:val="00E74880"/>
    <w:rsid w:val="00E7491F"/>
    <w:rsid w:val="00E752F5"/>
    <w:rsid w:val="00E75303"/>
    <w:rsid w:val="00E75774"/>
    <w:rsid w:val="00E757D3"/>
    <w:rsid w:val="00E7591D"/>
    <w:rsid w:val="00E77115"/>
    <w:rsid w:val="00E77476"/>
    <w:rsid w:val="00E776B1"/>
    <w:rsid w:val="00E77A8A"/>
    <w:rsid w:val="00E80D3C"/>
    <w:rsid w:val="00E80F6E"/>
    <w:rsid w:val="00E80F73"/>
    <w:rsid w:val="00E8161E"/>
    <w:rsid w:val="00E81823"/>
    <w:rsid w:val="00E81B16"/>
    <w:rsid w:val="00E82C43"/>
    <w:rsid w:val="00E8329B"/>
    <w:rsid w:val="00E83AEE"/>
    <w:rsid w:val="00E83DE1"/>
    <w:rsid w:val="00E843CF"/>
    <w:rsid w:val="00E84BB9"/>
    <w:rsid w:val="00E86AC9"/>
    <w:rsid w:val="00E8726D"/>
    <w:rsid w:val="00E87C83"/>
    <w:rsid w:val="00E87DA4"/>
    <w:rsid w:val="00E91024"/>
    <w:rsid w:val="00E91AD0"/>
    <w:rsid w:val="00E92FE9"/>
    <w:rsid w:val="00E93829"/>
    <w:rsid w:val="00E93B64"/>
    <w:rsid w:val="00E93F03"/>
    <w:rsid w:val="00E9523E"/>
    <w:rsid w:val="00E95617"/>
    <w:rsid w:val="00E96C18"/>
    <w:rsid w:val="00E97AD1"/>
    <w:rsid w:val="00E97C86"/>
    <w:rsid w:val="00E97CDB"/>
    <w:rsid w:val="00EA1422"/>
    <w:rsid w:val="00EA23CE"/>
    <w:rsid w:val="00EA417F"/>
    <w:rsid w:val="00EA6B94"/>
    <w:rsid w:val="00EA6DC6"/>
    <w:rsid w:val="00EA6E71"/>
    <w:rsid w:val="00EA6FDC"/>
    <w:rsid w:val="00EB1C15"/>
    <w:rsid w:val="00EB2270"/>
    <w:rsid w:val="00EB30F3"/>
    <w:rsid w:val="00EB3DDA"/>
    <w:rsid w:val="00EB5A2D"/>
    <w:rsid w:val="00EC0294"/>
    <w:rsid w:val="00EC0787"/>
    <w:rsid w:val="00EC0FC9"/>
    <w:rsid w:val="00EC3382"/>
    <w:rsid w:val="00EC45C1"/>
    <w:rsid w:val="00EC51BD"/>
    <w:rsid w:val="00EC6BFB"/>
    <w:rsid w:val="00EC6EF3"/>
    <w:rsid w:val="00EC6F1C"/>
    <w:rsid w:val="00ED0985"/>
    <w:rsid w:val="00ED0A13"/>
    <w:rsid w:val="00ED0E24"/>
    <w:rsid w:val="00ED11A8"/>
    <w:rsid w:val="00ED2026"/>
    <w:rsid w:val="00ED29E7"/>
    <w:rsid w:val="00ED34EC"/>
    <w:rsid w:val="00ED5694"/>
    <w:rsid w:val="00ED7793"/>
    <w:rsid w:val="00ED7932"/>
    <w:rsid w:val="00ED7C0D"/>
    <w:rsid w:val="00ED7FF1"/>
    <w:rsid w:val="00EE0457"/>
    <w:rsid w:val="00EE0A79"/>
    <w:rsid w:val="00EE18F6"/>
    <w:rsid w:val="00EE1BA9"/>
    <w:rsid w:val="00EE1D65"/>
    <w:rsid w:val="00EE37E0"/>
    <w:rsid w:val="00EE3E65"/>
    <w:rsid w:val="00EE54BE"/>
    <w:rsid w:val="00EE66FD"/>
    <w:rsid w:val="00EE7A21"/>
    <w:rsid w:val="00EE7BE3"/>
    <w:rsid w:val="00EF0034"/>
    <w:rsid w:val="00EF05A3"/>
    <w:rsid w:val="00EF0A00"/>
    <w:rsid w:val="00EF0A52"/>
    <w:rsid w:val="00EF0AA7"/>
    <w:rsid w:val="00EF1E09"/>
    <w:rsid w:val="00EF270F"/>
    <w:rsid w:val="00EF29A0"/>
    <w:rsid w:val="00EF2B91"/>
    <w:rsid w:val="00EF2F20"/>
    <w:rsid w:val="00EF3499"/>
    <w:rsid w:val="00EF3DA6"/>
    <w:rsid w:val="00EF4DDD"/>
    <w:rsid w:val="00EF4EC7"/>
    <w:rsid w:val="00EF5990"/>
    <w:rsid w:val="00EF6A9F"/>
    <w:rsid w:val="00EF6C03"/>
    <w:rsid w:val="00EF6F58"/>
    <w:rsid w:val="00EF738D"/>
    <w:rsid w:val="00EF7E70"/>
    <w:rsid w:val="00F002E3"/>
    <w:rsid w:val="00F0090D"/>
    <w:rsid w:val="00F00EB6"/>
    <w:rsid w:val="00F019C4"/>
    <w:rsid w:val="00F03461"/>
    <w:rsid w:val="00F03474"/>
    <w:rsid w:val="00F03A20"/>
    <w:rsid w:val="00F052A0"/>
    <w:rsid w:val="00F0591D"/>
    <w:rsid w:val="00F05D99"/>
    <w:rsid w:val="00F05E28"/>
    <w:rsid w:val="00F10471"/>
    <w:rsid w:val="00F1061A"/>
    <w:rsid w:val="00F109E2"/>
    <w:rsid w:val="00F10EA5"/>
    <w:rsid w:val="00F10F9F"/>
    <w:rsid w:val="00F13AA0"/>
    <w:rsid w:val="00F14B99"/>
    <w:rsid w:val="00F15940"/>
    <w:rsid w:val="00F16299"/>
    <w:rsid w:val="00F16616"/>
    <w:rsid w:val="00F16993"/>
    <w:rsid w:val="00F1797F"/>
    <w:rsid w:val="00F2096E"/>
    <w:rsid w:val="00F212C6"/>
    <w:rsid w:val="00F21F51"/>
    <w:rsid w:val="00F2310D"/>
    <w:rsid w:val="00F23DFE"/>
    <w:rsid w:val="00F248B2"/>
    <w:rsid w:val="00F24C20"/>
    <w:rsid w:val="00F25091"/>
    <w:rsid w:val="00F25A67"/>
    <w:rsid w:val="00F25C4B"/>
    <w:rsid w:val="00F2678D"/>
    <w:rsid w:val="00F3065D"/>
    <w:rsid w:val="00F30CD1"/>
    <w:rsid w:val="00F3111B"/>
    <w:rsid w:val="00F31299"/>
    <w:rsid w:val="00F31EC1"/>
    <w:rsid w:val="00F322B1"/>
    <w:rsid w:val="00F3263F"/>
    <w:rsid w:val="00F35379"/>
    <w:rsid w:val="00F36723"/>
    <w:rsid w:val="00F36FD1"/>
    <w:rsid w:val="00F375AC"/>
    <w:rsid w:val="00F37A96"/>
    <w:rsid w:val="00F4000D"/>
    <w:rsid w:val="00F41D59"/>
    <w:rsid w:val="00F41EE0"/>
    <w:rsid w:val="00F44C5B"/>
    <w:rsid w:val="00F45194"/>
    <w:rsid w:val="00F45671"/>
    <w:rsid w:val="00F462E2"/>
    <w:rsid w:val="00F46828"/>
    <w:rsid w:val="00F46859"/>
    <w:rsid w:val="00F46D08"/>
    <w:rsid w:val="00F473B9"/>
    <w:rsid w:val="00F47646"/>
    <w:rsid w:val="00F51CF2"/>
    <w:rsid w:val="00F52038"/>
    <w:rsid w:val="00F5348F"/>
    <w:rsid w:val="00F55829"/>
    <w:rsid w:val="00F558D9"/>
    <w:rsid w:val="00F564FC"/>
    <w:rsid w:val="00F57291"/>
    <w:rsid w:val="00F57E5B"/>
    <w:rsid w:val="00F61298"/>
    <w:rsid w:val="00F621BA"/>
    <w:rsid w:val="00F62376"/>
    <w:rsid w:val="00F62F72"/>
    <w:rsid w:val="00F636FA"/>
    <w:rsid w:val="00F63776"/>
    <w:rsid w:val="00F64659"/>
    <w:rsid w:val="00F655BB"/>
    <w:rsid w:val="00F66549"/>
    <w:rsid w:val="00F66968"/>
    <w:rsid w:val="00F66C23"/>
    <w:rsid w:val="00F66C61"/>
    <w:rsid w:val="00F67007"/>
    <w:rsid w:val="00F67086"/>
    <w:rsid w:val="00F676E0"/>
    <w:rsid w:val="00F67965"/>
    <w:rsid w:val="00F70AB1"/>
    <w:rsid w:val="00F70AD3"/>
    <w:rsid w:val="00F7101F"/>
    <w:rsid w:val="00F726FD"/>
    <w:rsid w:val="00F741D9"/>
    <w:rsid w:val="00F7569A"/>
    <w:rsid w:val="00F75720"/>
    <w:rsid w:val="00F76421"/>
    <w:rsid w:val="00F76BC2"/>
    <w:rsid w:val="00F771BF"/>
    <w:rsid w:val="00F77540"/>
    <w:rsid w:val="00F779C8"/>
    <w:rsid w:val="00F8012C"/>
    <w:rsid w:val="00F81C0F"/>
    <w:rsid w:val="00F82E2E"/>
    <w:rsid w:val="00F832EA"/>
    <w:rsid w:val="00F83485"/>
    <w:rsid w:val="00F8384C"/>
    <w:rsid w:val="00F8418A"/>
    <w:rsid w:val="00F842A7"/>
    <w:rsid w:val="00F84509"/>
    <w:rsid w:val="00F84AE1"/>
    <w:rsid w:val="00F84EFE"/>
    <w:rsid w:val="00F8513D"/>
    <w:rsid w:val="00F85C9E"/>
    <w:rsid w:val="00F864E8"/>
    <w:rsid w:val="00F8755A"/>
    <w:rsid w:val="00F87F42"/>
    <w:rsid w:val="00F905D6"/>
    <w:rsid w:val="00F9134B"/>
    <w:rsid w:val="00F93135"/>
    <w:rsid w:val="00F9350E"/>
    <w:rsid w:val="00F94A40"/>
    <w:rsid w:val="00F95E23"/>
    <w:rsid w:val="00F96C4F"/>
    <w:rsid w:val="00F96F24"/>
    <w:rsid w:val="00FA1354"/>
    <w:rsid w:val="00FA306B"/>
    <w:rsid w:val="00FA3955"/>
    <w:rsid w:val="00FA3A21"/>
    <w:rsid w:val="00FA489A"/>
    <w:rsid w:val="00FA4CE9"/>
    <w:rsid w:val="00FA5437"/>
    <w:rsid w:val="00FA5FCB"/>
    <w:rsid w:val="00FA696C"/>
    <w:rsid w:val="00FA6B44"/>
    <w:rsid w:val="00FA716E"/>
    <w:rsid w:val="00FA78EF"/>
    <w:rsid w:val="00FB03CC"/>
    <w:rsid w:val="00FB0F0D"/>
    <w:rsid w:val="00FB13F5"/>
    <w:rsid w:val="00FB25B0"/>
    <w:rsid w:val="00FB2735"/>
    <w:rsid w:val="00FB2F4E"/>
    <w:rsid w:val="00FB3A4E"/>
    <w:rsid w:val="00FB429D"/>
    <w:rsid w:val="00FB489D"/>
    <w:rsid w:val="00FB5357"/>
    <w:rsid w:val="00FB5691"/>
    <w:rsid w:val="00FB57AF"/>
    <w:rsid w:val="00FB57E0"/>
    <w:rsid w:val="00FB6A4F"/>
    <w:rsid w:val="00FB6F5A"/>
    <w:rsid w:val="00FB771C"/>
    <w:rsid w:val="00FC0594"/>
    <w:rsid w:val="00FC0DE9"/>
    <w:rsid w:val="00FC1FEE"/>
    <w:rsid w:val="00FC2C9D"/>
    <w:rsid w:val="00FC2FD2"/>
    <w:rsid w:val="00FC42C3"/>
    <w:rsid w:val="00FC4D1E"/>
    <w:rsid w:val="00FC5A95"/>
    <w:rsid w:val="00FC5E7B"/>
    <w:rsid w:val="00FC7189"/>
    <w:rsid w:val="00FC7639"/>
    <w:rsid w:val="00FC7B8A"/>
    <w:rsid w:val="00FD0A80"/>
    <w:rsid w:val="00FD101C"/>
    <w:rsid w:val="00FD12DB"/>
    <w:rsid w:val="00FD1989"/>
    <w:rsid w:val="00FD1E0B"/>
    <w:rsid w:val="00FD41B8"/>
    <w:rsid w:val="00FD50D7"/>
    <w:rsid w:val="00FD535C"/>
    <w:rsid w:val="00FD5584"/>
    <w:rsid w:val="00FD5921"/>
    <w:rsid w:val="00FD593F"/>
    <w:rsid w:val="00FD663E"/>
    <w:rsid w:val="00FD66AF"/>
    <w:rsid w:val="00FD726C"/>
    <w:rsid w:val="00FD7398"/>
    <w:rsid w:val="00FD78C4"/>
    <w:rsid w:val="00FD7932"/>
    <w:rsid w:val="00FE1152"/>
    <w:rsid w:val="00FE157D"/>
    <w:rsid w:val="00FE2B6F"/>
    <w:rsid w:val="00FE337E"/>
    <w:rsid w:val="00FE417D"/>
    <w:rsid w:val="00FE4B70"/>
    <w:rsid w:val="00FE4DFE"/>
    <w:rsid w:val="00FE54C3"/>
    <w:rsid w:val="00FE56A2"/>
    <w:rsid w:val="00FE598D"/>
    <w:rsid w:val="00FE5B93"/>
    <w:rsid w:val="00FE736F"/>
    <w:rsid w:val="00FF1800"/>
    <w:rsid w:val="00FF1B27"/>
    <w:rsid w:val="00FF1CEF"/>
    <w:rsid w:val="00FF1D16"/>
    <w:rsid w:val="00FF3347"/>
    <w:rsid w:val="00FF4BCD"/>
    <w:rsid w:val="00FF53E2"/>
    <w:rsid w:val="00FF54E2"/>
    <w:rsid w:val="00FF5A52"/>
    <w:rsid w:val="00FF63A9"/>
    <w:rsid w:val="00FF6549"/>
    <w:rsid w:val="00FF6EBD"/>
    <w:rsid w:val="26A01C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C96F1"/>
  <w15:docId w15:val="{A4A7CDFB-0F9E-44E1-9FA5-CF2555D16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A8"/>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296B03"/>
    <w:pPr>
      <w:keepNext/>
      <w:keepLines/>
      <w:numPr>
        <w:numId w:val="1"/>
      </w:numPr>
      <w:spacing w:line="432" w:lineRule="auto"/>
      <w:outlineLvl w:val="0"/>
    </w:pPr>
    <w:rPr>
      <w:rFonts w:ascii="Calibri" w:eastAsiaTheme="majorEastAsia" w:hAnsi="Calibri" w:cstheme="majorBidi"/>
      <w:b/>
      <w:color w:val="0E7846"/>
      <w:sz w:val="32"/>
      <w:szCs w:val="32"/>
    </w:rPr>
  </w:style>
  <w:style w:type="paragraph" w:styleId="Heading2">
    <w:name w:val="heading 2"/>
    <w:basedOn w:val="Normal"/>
    <w:link w:val="Heading2Char"/>
    <w:uiPriority w:val="9"/>
    <w:unhideWhenUsed/>
    <w:qFormat/>
    <w:rsid w:val="00296B03"/>
    <w:pPr>
      <w:keepNext/>
      <w:keepLines/>
      <w:numPr>
        <w:numId w:val="2"/>
      </w:numPr>
      <w:spacing w:before="40" w:after="240"/>
      <w:outlineLvl w:val="1"/>
    </w:pPr>
    <w:rPr>
      <w:rFonts w:ascii="Calibri" w:eastAsiaTheme="majorEastAsia" w:hAnsi="Calibri" w:cstheme="majorBidi"/>
      <w:b/>
      <w:color w:val="339966"/>
      <w:sz w:val="28"/>
      <w:szCs w:val="26"/>
    </w:rPr>
  </w:style>
  <w:style w:type="paragraph" w:styleId="Heading3">
    <w:name w:val="heading 3"/>
    <w:basedOn w:val="Normal"/>
    <w:next w:val="Normal"/>
    <w:link w:val="Heading3Char"/>
    <w:uiPriority w:val="9"/>
    <w:unhideWhenUsed/>
    <w:qFormat/>
    <w:rsid w:val="005A5F72"/>
    <w:pPr>
      <w:keepNext/>
      <w:keepLines/>
      <w:spacing w:before="40" w:after="240"/>
      <w:outlineLvl w:val="2"/>
    </w:pPr>
    <w:rPr>
      <w:rFonts w:eastAsiaTheme="majorEastAsia" w:cstheme="majorBidi"/>
      <w:b/>
      <w:color w:val="00CC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B03"/>
    <w:rPr>
      <w:rFonts w:ascii="Calibri" w:eastAsiaTheme="majorEastAsia" w:hAnsi="Calibri" w:cstheme="majorBidi"/>
      <w:b/>
      <w:color w:val="0E7846"/>
      <w:sz w:val="32"/>
      <w:szCs w:val="32"/>
      <w:lang w:eastAsia="en-GB"/>
    </w:rPr>
  </w:style>
  <w:style w:type="character" w:customStyle="1" w:styleId="Heading2Char">
    <w:name w:val="Heading 2 Char"/>
    <w:basedOn w:val="DefaultParagraphFont"/>
    <w:link w:val="Heading2"/>
    <w:uiPriority w:val="9"/>
    <w:rsid w:val="00296B03"/>
    <w:rPr>
      <w:rFonts w:ascii="Calibri" w:eastAsiaTheme="majorEastAsia" w:hAnsi="Calibri" w:cstheme="majorBidi"/>
      <w:b/>
      <w:color w:val="339966"/>
      <w:sz w:val="28"/>
      <w:szCs w:val="26"/>
      <w:lang w:eastAsia="en-GB"/>
    </w:rPr>
  </w:style>
  <w:style w:type="paragraph" w:styleId="ListParagraph">
    <w:name w:val="List Paragraph"/>
    <w:aliases w:val="Graph &amp; Table tite,En tête 1,Paragrafo elenco1,List (Mannvit),Left Bullet L1,List Paragraph1,Lista Aneksa,Indent Paragraph,Lettre d'introduction,Heading 2_sj,Dot pt,List Paragraph Char Char Char,Indicator Text,Numbered Para 1,Bullet Point"/>
    <w:basedOn w:val="Normal"/>
    <w:link w:val="ListParagraphChar"/>
    <w:uiPriority w:val="34"/>
    <w:qFormat/>
    <w:rsid w:val="003B1D0B"/>
    <w:pPr>
      <w:ind w:left="720"/>
      <w:contextualSpacing/>
    </w:pPr>
  </w:style>
  <w:style w:type="paragraph" w:styleId="Title">
    <w:name w:val="Title"/>
    <w:basedOn w:val="Normal"/>
    <w:next w:val="Normal"/>
    <w:link w:val="TitleChar"/>
    <w:uiPriority w:val="10"/>
    <w:qFormat/>
    <w:rsid w:val="00213E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3E5A"/>
    <w:rPr>
      <w:rFonts w:asciiTheme="majorHAnsi" w:eastAsiaTheme="majorEastAsia" w:hAnsiTheme="majorHAnsi" w:cstheme="majorBidi"/>
      <w:spacing w:val="-10"/>
      <w:kern w:val="28"/>
      <w:sz w:val="56"/>
      <w:szCs w:val="56"/>
      <w:lang w:val="en-GB" w:eastAsia="en-GB"/>
    </w:rPr>
  </w:style>
  <w:style w:type="paragraph" w:styleId="TOCHeading">
    <w:name w:val="TOC Heading"/>
    <w:basedOn w:val="Heading1"/>
    <w:next w:val="Normal"/>
    <w:uiPriority w:val="39"/>
    <w:unhideWhenUsed/>
    <w:qFormat/>
    <w:rsid w:val="009464E9"/>
    <w:pPr>
      <w:outlineLvl w:val="9"/>
    </w:pPr>
  </w:style>
  <w:style w:type="paragraph" w:styleId="TOC1">
    <w:name w:val="toc 1"/>
    <w:basedOn w:val="Normal"/>
    <w:next w:val="Normal"/>
    <w:autoRedefine/>
    <w:uiPriority w:val="39"/>
    <w:unhideWhenUsed/>
    <w:rsid w:val="00C52ABC"/>
    <w:pPr>
      <w:tabs>
        <w:tab w:val="left" w:pos="440"/>
        <w:tab w:val="right" w:leader="dot" w:pos="9016"/>
      </w:tabs>
      <w:spacing w:after="100" w:line="276" w:lineRule="auto"/>
    </w:pPr>
    <w:rPr>
      <w:rFonts w:asciiTheme="minorHAnsi" w:hAnsiTheme="minorHAnsi" w:cstheme="minorHAnsi"/>
      <w:b/>
      <w:bCs/>
      <w:noProof/>
      <w:sz w:val="20"/>
      <w:szCs w:val="20"/>
    </w:rPr>
  </w:style>
  <w:style w:type="paragraph" w:styleId="TOC2">
    <w:name w:val="toc 2"/>
    <w:basedOn w:val="Normal"/>
    <w:next w:val="Normal"/>
    <w:autoRedefine/>
    <w:uiPriority w:val="39"/>
    <w:unhideWhenUsed/>
    <w:rsid w:val="00EF4DDD"/>
    <w:pPr>
      <w:tabs>
        <w:tab w:val="left" w:pos="880"/>
        <w:tab w:val="right" w:leader="dot" w:pos="9016"/>
      </w:tabs>
      <w:spacing w:after="100"/>
      <w:ind w:left="220"/>
    </w:pPr>
    <w:rPr>
      <w:rFonts w:asciiTheme="minorHAnsi" w:hAnsiTheme="minorHAnsi" w:cstheme="minorHAnsi"/>
      <w:noProof/>
      <w:sz w:val="20"/>
      <w:szCs w:val="20"/>
    </w:rPr>
  </w:style>
  <w:style w:type="character" w:styleId="Hyperlink">
    <w:name w:val="Hyperlink"/>
    <w:basedOn w:val="DefaultParagraphFont"/>
    <w:uiPriority w:val="99"/>
    <w:unhideWhenUsed/>
    <w:rsid w:val="009464E9"/>
    <w:rPr>
      <w:color w:val="0563C1" w:themeColor="hyperlink"/>
      <w:u w:val="single"/>
    </w:rPr>
  </w:style>
  <w:style w:type="table" w:styleId="TableGrid">
    <w:name w:val="Table Grid"/>
    <w:aliases w:val="Izvjescetablica,TABLICA_HAOP"/>
    <w:basedOn w:val="TableNormal"/>
    <w:uiPriority w:val="39"/>
    <w:rsid w:val="00F66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F6696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unhideWhenUsed/>
    <w:rsid w:val="00260CBD"/>
    <w:rPr>
      <w:sz w:val="16"/>
      <w:szCs w:val="16"/>
    </w:rPr>
  </w:style>
  <w:style w:type="paragraph" w:styleId="CommentText">
    <w:name w:val="annotation text"/>
    <w:basedOn w:val="Normal"/>
    <w:link w:val="CommentTextChar"/>
    <w:uiPriority w:val="99"/>
    <w:unhideWhenUsed/>
    <w:rsid w:val="00260CBD"/>
    <w:rPr>
      <w:sz w:val="20"/>
      <w:szCs w:val="20"/>
    </w:rPr>
  </w:style>
  <w:style w:type="character" w:customStyle="1" w:styleId="CommentTextChar">
    <w:name w:val="Comment Text Char"/>
    <w:basedOn w:val="DefaultParagraphFont"/>
    <w:link w:val="CommentText"/>
    <w:uiPriority w:val="99"/>
    <w:rsid w:val="00260CBD"/>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260CBD"/>
    <w:rPr>
      <w:b/>
      <w:bCs/>
    </w:rPr>
  </w:style>
  <w:style w:type="character" w:customStyle="1" w:styleId="CommentSubjectChar">
    <w:name w:val="Comment Subject Char"/>
    <w:basedOn w:val="CommentTextChar"/>
    <w:link w:val="CommentSubject"/>
    <w:uiPriority w:val="99"/>
    <w:semiHidden/>
    <w:rsid w:val="00260CBD"/>
    <w:rPr>
      <w:rFonts w:ascii="Times New Roman" w:eastAsia="Times New Roman" w:hAnsi="Times New Roman" w:cs="Times New Roman"/>
      <w:b/>
      <w:bCs/>
      <w:sz w:val="20"/>
      <w:szCs w:val="20"/>
      <w:lang w:val="en-GB" w:eastAsia="en-GB"/>
    </w:rPr>
  </w:style>
  <w:style w:type="paragraph" w:styleId="FootnoteText">
    <w:name w:val="footnote text"/>
    <w:aliases w:val="Footnote Text Char1,Footnote Text Blue,Footnote Text1,Char,single space,ft,footnote text,footnote text Char,Footnote Text Char Char Char,Tegn1,Tegn1 Char,Char Char Char,Footnote Text Char2 Char Char,Footnote Text Char Char2 Char Char, Char"/>
    <w:basedOn w:val="Normal"/>
    <w:link w:val="FootnoteTextChar"/>
    <w:uiPriority w:val="99"/>
    <w:unhideWhenUsed/>
    <w:qFormat/>
    <w:rsid w:val="00DD586A"/>
    <w:rPr>
      <w:sz w:val="20"/>
      <w:szCs w:val="20"/>
    </w:rPr>
  </w:style>
  <w:style w:type="character" w:customStyle="1" w:styleId="FootnoteTextChar">
    <w:name w:val="Footnote Text Char"/>
    <w:aliases w:val="Footnote Text Char1 Char,Footnote Text Blue Char,Footnote Text1 Char,Char Char,single space Char,ft Char,footnote text Char1,footnote text Char Char,Footnote Text Char Char Char Char,Tegn1 Char1,Tegn1 Char Char,Char Char Char Char"/>
    <w:basedOn w:val="DefaultParagraphFont"/>
    <w:link w:val="FootnoteText"/>
    <w:uiPriority w:val="99"/>
    <w:qFormat/>
    <w:rsid w:val="00DD586A"/>
    <w:rPr>
      <w:rFonts w:ascii="Times New Roman" w:eastAsia="Times New Roman" w:hAnsi="Times New Roman" w:cs="Times New Roman"/>
      <w:sz w:val="20"/>
      <w:szCs w:val="20"/>
      <w:lang w:val="en-GB" w:eastAsia="en-GB"/>
    </w:rPr>
  </w:style>
  <w:style w:type="character" w:styleId="FootnoteReference">
    <w:name w:val="footnote reference"/>
    <w:aliases w:val="BVI fnr,ftref,16 Point,Superscript 6 Point,SUPERS,EN Footnote Reference,Footnote reference number,Footnote symbol,note TESI,-E Fußnotenzeichen,number,Footnote text,Footnote Reference Superscript,stylish,Footnote call,Heading 6 Cha,R,o"/>
    <w:basedOn w:val="DefaultParagraphFont"/>
    <w:link w:val="BVIfnrZchnCharZchnCharCharCharChar"/>
    <w:uiPriority w:val="99"/>
    <w:unhideWhenUsed/>
    <w:qFormat/>
    <w:rsid w:val="00DD586A"/>
    <w:rPr>
      <w:vertAlign w:val="superscript"/>
    </w:rPr>
  </w:style>
  <w:style w:type="character" w:customStyle="1" w:styleId="Heading3Char">
    <w:name w:val="Heading 3 Char"/>
    <w:basedOn w:val="DefaultParagraphFont"/>
    <w:link w:val="Heading3"/>
    <w:uiPriority w:val="9"/>
    <w:rsid w:val="005A5F72"/>
    <w:rPr>
      <w:rFonts w:ascii="Times New Roman" w:eastAsiaTheme="majorEastAsia" w:hAnsi="Times New Roman" w:cstheme="majorBidi"/>
      <w:b/>
      <w:color w:val="00CC99"/>
      <w:sz w:val="24"/>
      <w:szCs w:val="24"/>
      <w:lang w:val="en-GB" w:eastAsia="en-GB"/>
    </w:rPr>
  </w:style>
  <w:style w:type="character" w:customStyle="1" w:styleId="ListParagraphChar">
    <w:name w:val="List Paragraph Char"/>
    <w:aliases w:val="Graph &amp; Table tite Char,En tête 1 Char,Paragrafo elenco1 Char,List (Mannvit) Char,Left Bullet L1 Char,List Paragraph1 Char,Lista Aneksa Char,Indent Paragraph Char,Lettre d'introduction Char,Heading 2_sj Char,Dot pt Char"/>
    <w:link w:val="ListParagraph"/>
    <w:uiPriority w:val="34"/>
    <w:qFormat/>
    <w:locked/>
    <w:rsid w:val="005C22DF"/>
  </w:style>
  <w:style w:type="paragraph" w:styleId="TOC3">
    <w:name w:val="toc 3"/>
    <w:basedOn w:val="Normal"/>
    <w:next w:val="Normal"/>
    <w:autoRedefine/>
    <w:uiPriority w:val="39"/>
    <w:unhideWhenUsed/>
    <w:rsid w:val="00576E75"/>
    <w:pPr>
      <w:tabs>
        <w:tab w:val="right" w:leader="dot" w:pos="9016"/>
      </w:tabs>
      <w:spacing w:after="100"/>
      <w:ind w:left="440"/>
    </w:pPr>
    <w:rPr>
      <w:rFonts w:asciiTheme="minorHAnsi" w:eastAsiaTheme="majorEastAsia" w:hAnsiTheme="minorHAnsi" w:cstheme="minorHAnsi"/>
      <w:noProof/>
      <w:sz w:val="22"/>
      <w:szCs w:val="22"/>
      <w:lang w:eastAsia="en-US"/>
    </w:rPr>
  </w:style>
  <w:style w:type="paragraph" w:styleId="Revision">
    <w:name w:val="Revision"/>
    <w:hidden/>
    <w:uiPriority w:val="99"/>
    <w:semiHidden/>
    <w:rsid w:val="005B21C8"/>
    <w:pPr>
      <w:spacing w:after="0" w:line="240" w:lineRule="auto"/>
    </w:pPr>
  </w:style>
  <w:style w:type="paragraph" w:styleId="Bibliography">
    <w:name w:val="Bibliography"/>
    <w:basedOn w:val="Normal"/>
    <w:next w:val="Normal"/>
    <w:uiPriority w:val="37"/>
    <w:unhideWhenUsed/>
    <w:rsid w:val="007C0173"/>
  </w:style>
  <w:style w:type="table" w:customStyle="1" w:styleId="TableGridLight1">
    <w:name w:val="Table Grid Light1"/>
    <w:basedOn w:val="TableNormal"/>
    <w:uiPriority w:val="40"/>
    <w:rsid w:val="00545A86"/>
    <w:pPr>
      <w:spacing w:after="0" w:line="240" w:lineRule="auto"/>
    </w:pPr>
    <w:rPr>
      <w:rFonts w:ascii="Times New Roman" w:eastAsia="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MediumShading2-Accent3">
    <w:name w:val="Medium Shading 2 Accent 3"/>
    <w:basedOn w:val="TableNormal"/>
    <w:uiPriority w:val="64"/>
    <w:rsid w:val="000563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TableNormal"/>
    <w:next w:val="TableGrid"/>
    <w:uiPriority w:val="59"/>
    <w:rsid w:val="00056348"/>
    <w:pPr>
      <w:spacing w:after="0" w:line="240" w:lineRule="auto"/>
      <w:ind w:left="357" w:hanging="357"/>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VIfnrZchnCharZchnCharCharCharChar">
    <w:name w:val="BVI fnr Zchn Char Zchn Char Char Char Char"/>
    <w:aliases w:val=" BVI fnr Car Car Zchn Char Zchn Char Char Char Char,BVI fnr Car Zchn Char Zchn Char Char Char Char,BVI fnr Car Car Zchn Char Zchn Char Char Char Char"/>
    <w:basedOn w:val="Normal"/>
    <w:link w:val="FootnoteReference"/>
    <w:uiPriority w:val="99"/>
    <w:rsid w:val="00056348"/>
    <w:pPr>
      <w:spacing w:before="40" w:line="240" w:lineRule="exact"/>
    </w:pPr>
    <w:rPr>
      <w:vertAlign w:val="superscript"/>
    </w:rPr>
  </w:style>
  <w:style w:type="table" w:customStyle="1" w:styleId="TableGridLight114">
    <w:name w:val="Table Grid Light114"/>
    <w:basedOn w:val="TableNormal"/>
    <w:uiPriority w:val="40"/>
    <w:rsid w:val="00056348"/>
    <w:pPr>
      <w:spacing w:after="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alloonText">
    <w:name w:val="Balloon Text"/>
    <w:basedOn w:val="Normal"/>
    <w:link w:val="BalloonTextChar"/>
    <w:uiPriority w:val="99"/>
    <w:semiHidden/>
    <w:unhideWhenUsed/>
    <w:rsid w:val="00056348"/>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56348"/>
    <w:rPr>
      <w:rFonts w:ascii="Tahoma" w:eastAsia="Calibri" w:hAnsi="Tahoma" w:cs="Tahoma"/>
      <w:sz w:val="16"/>
      <w:szCs w:val="16"/>
      <w:lang w:val="en-GB" w:eastAsia="en-GB"/>
    </w:rPr>
  </w:style>
  <w:style w:type="paragraph" w:styleId="Header">
    <w:name w:val="header"/>
    <w:basedOn w:val="Normal"/>
    <w:link w:val="HeaderChar"/>
    <w:uiPriority w:val="99"/>
    <w:unhideWhenUsed/>
    <w:rsid w:val="00056348"/>
    <w:pPr>
      <w:tabs>
        <w:tab w:val="center" w:pos="4703"/>
        <w:tab w:val="right" w:pos="9406"/>
      </w:tabs>
    </w:pPr>
    <w:rPr>
      <w:rFonts w:eastAsia="Calibri"/>
    </w:rPr>
  </w:style>
  <w:style w:type="character" w:customStyle="1" w:styleId="HeaderChar">
    <w:name w:val="Header Char"/>
    <w:basedOn w:val="DefaultParagraphFont"/>
    <w:link w:val="Header"/>
    <w:uiPriority w:val="99"/>
    <w:rsid w:val="00056348"/>
    <w:rPr>
      <w:rFonts w:ascii="Times New Roman" w:eastAsia="Calibri" w:hAnsi="Times New Roman" w:cs="Times New Roman"/>
      <w:sz w:val="24"/>
      <w:szCs w:val="24"/>
      <w:lang w:val="en-GB" w:eastAsia="en-GB"/>
    </w:rPr>
  </w:style>
  <w:style w:type="paragraph" w:styleId="Footer">
    <w:name w:val="footer"/>
    <w:basedOn w:val="Normal"/>
    <w:link w:val="FooterChar"/>
    <w:uiPriority w:val="99"/>
    <w:unhideWhenUsed/>
    <w:rsid w:val="00056348"/>
    <w:pPr>
      <w:tabs>
        <w:tab w:val="center" w:pos="4703"/>
        <w:tab w:val="right" w:pos="9406"/>
      </w:tabs>
    </w:pPr>
    <w:rPr>
      <w:rFonts w:eastAsia="Calibri"/>
    </w:rPr>
  </w:style>
  <w:style w:type="character" w:customStyle="1" w:styleId="FooterChar">
    <w:name w:val="Footer Char"/>
    <w:basedOn w:val="DefaultParagraphFont"/>
    <w:link w:val="Footer"/>
    <w:uiPriority w:val="99"/>
    <w:rsid w:val="00056348"/>
    <w:rPr>
      <w:rFonts w:ascii="Times New Roman" w:eastAsia="Calibri"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056348"/>
    <w:rPr>
      <w:color w:val="605E5C"/>
      <w:shd w:val="clear" w:color="auto" w:fill="E1DFDD"/>
    </w:rPr>
  </w:style>
  <w:style w:type="paragraph" w:styleId="NormalWeb">
    <w:name w:val="Normal (Web)"/>
    <w:basedOn w:val="Normal"/>
    <w:uiPriority w:val="99"/>
    <w:unhideWhenUsed/>
    <w:rsid w:val="00056348"/>
    <w:rPr>
      <w:rFonts w:eastAsia="Calibri"/>
    </w:rPr>
  </w:style>
  <w:style w:type="character" w:customStyle="1" w:styleId="CaptionChar">
    <w:name w:val="Caption Char"/>
    <w:aliases w:val="Caption_Tabela Char,Char1 Char"/>
    <w:link w:val="Caption"/>
    <w:uiPriority w:val="35"/>
    <w:locked/>
    <w:rsid w:val="00687D32"/>
    <w:rPr>
      <w:rFonts w:ascii="Times New Roman" w:eastAsia="Times New Roman" w:hAnsi="Times New Roman" w:cs="Times New Roman"/>
      <w:b/>
      <w:i/>
      <w:iCs/>
      <w:color w:val="000000" w:themeColor="text1"/>
      <w:sz w:val="20"/>
      <w:szCs w:val="18"/>
      <w:lang w:val="en-GB" w:eastAsia="en-GB"/>
    </w:rPr>
  </w:style>
  <w:style w:type="paragraph" w:styleId="Caption">
    <w:name w:val="caption"/>
    <w:aliases w:val="Caption_Tabela,Char1"/>
    <w:basedOn w:val="Normal"/>
    <w:next w:val="Normal"/>
    <w:link w:val="CaptionChar"/>
    <w:uiPriority w:val="35"/>
    <w:unhideWhenUsed/>
    <w:qFormat/>
    <w:rsid w:val="00687D32"/>
    <w:rPr>
      <w:b/>
      <w:i/>
      <w:iCs/>
      <w:color w:val="000000" w:themeColor="text1"/>
      <w:sz w:val="20"/>
      <w:szCs w:val="18"/>
    </w:rPr>
  </w:style>
  <w:style w:type="character" w:customStyle="1" w:styleId="SubtitleChar">
    <w:name w:val="Subtitle Char"/>
    <w:aliases w:val="Caption tabela i slika Char"/>
    <w:basedOn w:val="DefaultParagraphFont"/>
    <w:link w:val="Subtitle"/>
    <w:uiPriority w:val="11"/>
    <w:locked/>
    <w:rsid w:val="00056348"/>
    <w:rPr>
      <w:rFonts w:ascii="Times New Roman" w:eastAsiaTheme="majorEastAsia" w:hAnsi="Times New Roman" w:cstheme="majorBidi"/>
      <w:b/>
      <w:i/>
      <w:iCs/>
      <w:sz w:val="20"/>
      <w:szCs w:val="24"/>
      <w:lang w:val="en-GB" w:eastAsia="en-GB"/>
    </w:rPr>
  </w:style>
  <w:style w:type="paragraph" w:styleId="Subtitle">
    <w:name w:val="Subtitle"/>
    <w:aliases w:val="Caption tabela i slika"/>
    <w:basedOn w:val="Normal"/>
    <w:next w:val="Normal"/>
    <w:link w:val="SubtitleChar"/>
    <w:uiPriority w:val="11"/>
    <w:qFormat/>
    <w:rsid w:val="00056348"/>
    <w:pPr>
      <w:spacing w:after="200"/>
    </w:pPr>
    <w:rPr>
      <w:rFonts w:eastAsiaTheme="majorEastAsia" w:cstheme="majorBidi"/>
      <w:b/>
      <w:i/>
      <w:iCs/>
      <w:sz w:val="20"/>
    </w:rPr>
  </w:style>
  <w:style w:type="character" w:customStyle="1" w:styleId="SubtitleChar1">
    <w:name w:val="Subtitle Char1"/>
    <w:aliases w:val="Caption tabela i slika Char1"/>
    <w:basedOn w:val="DefaultParagraphFont"/>
    <w:uiPriority w:val="11"/>
    <w:rsid w:val="00056348"/>
    <w:rPr>
      <w:rFonts w:eastAsiaTheme="minorEastAsia"/>
      <w:color w:val="5A5A5A" w:themeColor="text1" w:themeTint="A5"/>
      <w:spacing w:val="15"/>
    </w:rPr>
  </w:style>
  <w:style w:type="paragraph" w:styleId="NoSpacing">
    <w:name w:val="No Spacing"/>
    <w:uiPriority w:val="1"/>
    <w:qFormat/>
    <w:rsid w:val="00056348"/>
    <w:pPr>
      <w:spacing w:after="0" w:line="240" w:lineRule="auto"/>
    </w:pPr>
    <w:rPr>
      <w:rFonts w:ascii="Calibri" w:eastAsia="Calibri" w:hAnsi="Calibri" w:cs="Arial"/>
    </w:rPr>
  </w:style>
  <w:style w:type="table" w:styleId="LightList-Accent5">
    <w:name w:val="Light List Accent 5"/>
    <w:basedOn w:val="TableNormal"/>
    <w:uiPriority w:val="61"/>
    <w:semiHidden/>
    <w:unhideWhenUsed/>
    <w:rsid w:val="0005634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Lines="0" w:before="100" w:beforeAutospacing="1" w:afterLines="0" w:after="100" w:afterAutospacing="1" w:line="240" w:lineRule="auto"/>
      </w:pPr>
      <w:rPr>
        <w:b/>
        <w:bCs/>
        <w:color w:val="FFFFFF" w:themeColor="background1"/>
      </w:rPr>
      <w:tblPr/>
      <w:tcPr>
        <w:shd w:val="clear" w:color="auto" w:fill="5B9BD5" w:themeFill="accent5"/>
      </w:tcPr>
    </w:tblStylePr>
    <w:tblStylePr w:type="lastRow">
      <w:pPr>
        <w:spacing w:beforeLines="0" w:before="100" w:beforeAutospacing="1" w:afterLines="0" w:after="100" w:afterAutospacing="1"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Default">
    <w:name w:val="Default"/>
    <w:link w:val="DefaultChar"/>
    <w:rsid w:val="00EF05A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rsid w:val="00EF05A3"/>
    <w:rPr>
      <w:rFonts w:ascii="Times New Roman" w:hAnsi="Times New Roman" w:cs="Times New Roman"/>
      <w:color w:val="000000"/>
      <w:sz w:val="24"/>
      <w:szCs w:val="24"/>
      <w:lang w:val="en-GB"/>
    </w:rPr>
  </w:style>
  <w:style w:type="character" w:customStyle="1" w:styleId="jlqj4b">
    <w:name w:val="jlqj4b"/>
    <w:basedOn w:val="DefaultParagraphFont"/>
    <w:rsid w:val="00EF05A3"/>
  </w:style>
  <w:style w:type="table" w:customStyle="1" w:styleId="GridTable4-Accent611">
    <w:name w:val="Grid Table 4 - Accent 611"/>
    <w:basedOn w:val="TableNormal"/>
    <w:uiPriority w:val="49"/>
    <w:rsid w:val="007711C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eop">
    <w:name w:val="eop"/>
    <w:basedOn w:val="DefaultParagraphFont"/>
    <w:rsid w:val="0090590A"/>
  </w:style>
  <w:style w:type="paragraph" w:customStyle="1" w:styleId="Head1">
    <w:name w:val="Head 1"/>
    <w:basedOn w:val="Heading1"/>
    <w:link w:val="Head1Char"/>
    <w:qFormat/>
    <w:rsid w:val="005D42FB"/>
    <w:pPr>
      <w:numPr>
        <w:numId w:val="34"/>
      </w:numPr>
      <w:spacing w:line="240" w:lineRule="auto"/>
    </w:pPr>
    <w:rPr>
      <w:color w:val="00694D"/>
    </w:rPr>
  </w:style>
  <w:style w:type="paragraph" w:customStyle="1" w:styleId="Head2">
    <w:name w:val="Head 2"/>
    <w:basedOn w:val="Heading2"/>
    <w:link w:val="Head2Char"/>
    <w:qFormat/>
    <w:rsid w:val="00D63420"/>
    <w:pPr>
      <w:numPr>
        <w:ilvl w:val="1"/>
        <w:numId w:val="34"/>
      </w:numPr>
      <w:ind w:left="792"/>
    </w:pPr>
    <w:rPr>
      <w:rFonts w:cstheme="minorHAnsi"/>
      <w:color w:val="009D73"/>
    </w:rPr>
  </w:style>
  <w:style w:type="character" w:customStyle="1" w:styleId="Head1Char">
    <w:name w:val="Head 1 Char"/>
    <w:basedOn w:val="ListParagraphChar"/>
    <w:link w:val="Head1"/>
    <w:rsid w:val="005D42FB"/>
    <w:rPr>
      <w:rFonts w:ascii="Calibri" w:eastAsiaTheme="majorEastAsia" w:hAnsi="Calibri" w:cstheme="majorBidi"/>
      <w:b/>
      <w:color w:val="00694D"/>
      <w:sz w:val="32"/>
      <w:szCs w:val="32"/>
      <w:lang w:eastAsia="en-GB"/>
    </w:rPr>
  </w:style>
  <w:style w:type="paragraph" w:customStyle="1" w:styleId="Head3">
    <w:name w:val="Head 3"/>
    <w:basedOn w:val="Heading3"/>
    <w:link w:val="Head3Char"/>
    <w:qFormat/>
    <w:rsid w:val="00D63420"/>
    <w:pPr>
      <w:numPr>
        <w:ilvl w:val="2"/>
        <w:numId w:val="34"/>
      </w:numPr>
    </w:pPr>
    <w:rPr>
      <w:rFonts w:ascii="Calibri" w:hAnsi="Calibri" w:cstheme="minorHAnsi"/>
      <w:color w:val="00D29A"/>
    </w:rPr>
  </w:style>
  <w:style w:type="character" w:customStyle="1" w:styleId="Head2Char">
    <w:name w:val="Head 2 Char"/>
    <w:basedOn w:val="ListParagraphChar"/>
    <w:link w:val="Head2"/>
    <w:rsid w:val="00D63420"/>
    <w:rPr>
      <w:rFonts w:ascii="Calibri" w:eastAsiaTheme="majorEastAsia" w:hAnsi="Calibri" w:cstheme="minorHAnsi"/>
      <w:b/>
      <w:color w:val="009D73"/>
      <w:sz w:val="28"/>
      <w:szCs w:val="26"/>
      <w:lang w:eastAsia="en-GB"/>
    </w:rPr>
  </w:style>
  <w:style w:type="character" w:customStyle="1" w:styleId="Head3Char">
    <w:name w:val="Head 3 Char"/>
    <w:basedOn w:val="ListParagraphChar"/>
    <w:link w:val="Head3"/>
    <w:rsid w:val="00D63420"/>
    <w:rPr>
      <w:rFonts w:ascii="Calibri" w:eastAsiaTheme="majorEastAsia" w:hAnsi="Calibri" w:cstheme="minorHAnsi"/>
      <w:b/>
      <w:color w:val="00D29A"/>
      <w:sz w:val="24"/>
      <w:szCs w:val="24"/>
      <w:lang w:eastAsia="en-GB"/>
    </w:rPr>
  </w:style>
  <w:style w:type="character" w:customStyle="1" w:styleId="UnresolvedMention2">
    <w:name w:val="Unresolved Mention2"/>
    <w:basedOn w:val="DefaultParagraphFont"/>
    <w:uiPriority w:val="99"/>
    <w:semiHidden/>
    <w:unhideWhenUsed/>
    <w:rsid w:val="004908F7"/>
    <w:rPr>
      <w:color w:val="605E5C"/>
      <w:shd w:val="clear" w:color="auto" w:fill="E1DFDD"/>
    </w:rPr>
  </w:style>
  <w:style w:type="table" w:customStyle="1" w:styleId="TABLICAHAOP1">
    <w:name w:val="TABLICA_HAOP1"/>
    <w:basedOn w:val="TableNormal"/>
    <w:next w:val="TableGrid"/>
    <w:uiPriority w:val="39"/>
    <w:rsid w:val="005E2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HAOP2">
    <w:name w:val="TABLICA_HAOP2"/>
    <w:basedOn w:val="TableNormal"/>
    <w:next w:val="TableGrid"/>
    <w:uiPriority w:val="39"/>
    <w:rsid w:val="0068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B321AB"/>
  </w:style>
  <w:style w:type="table" w:customStyle="1" w:styleId="TABLICAHAOP3">
    <w:name w:val="TABLICA_HAOP3"/>
    <w:basedOn w:val="TableNormal"/>
    <w:next w:val="TableGrid"/>
    <w:uiPriority w:val="39"/>
    <w:rsid w:val="00B32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HAOP4">
    <w:name w:val="TABLICA_HAOP4"/>
    <w:basedOn w:val="TableNormal"/>
    <w:next w:val="TableGrid"/>
    <w:uiPriority w:val="39"/>
    <w:rsid w:val="00CB2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TableNormal"/>
    <w:uiPriority w:val="40"/>
    <w:rsid w:val="007730B4"/>
    <w:pPr>
      <w:spacing w:after="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HAOP5">
    <w:name w:val="TABLICA_HAOP5"/>
    <w:basedOn w:val="TableNormal"/>
    <w:next w:val="TableGrid"/>
    <w:uiPriority w:val="39"/>
    <w:rsid w:val="004C4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
    <w:name w:val="Grid Table 4 - Accent 614"/>
    <w:basedOn w:val="TableNormal"/>
    <w:next w:val="GridTable4-Accent61"/>
    <w:uiPriority w:val="49"/>
    <w:rsid w:val="004C4B5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2">
    <w:name w:val="Table Grid Light2"/>
    <w:basedOn w:val="TableNormal"/>
    <w:next w:val="TableGridLight1"/>
    <w:uiPriority w:val="40"/>
    <w:rsid w:val="004C4B54"/>
    <w:pPr>
      <w:spacing w:after="0" w:line="240" w:lineRule="auto"/>
    </w:pPr>
    <w:rPr>
      <w:rFonts w:ascii="Times New Roman" w:eastAsia="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ediumShading2-Accent31">
    <w:name w:val="Medium Shading 2 - Accent 31"/>
    <w:basedOn w:val="TableNormal"/>
    <w:next w:val="MediumShading2-Accent3"/>
    <w:uiPriority w:val="64"/>
    <w:rsid w:val="004C4B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1">
    <w:name w:val="Table Grid11"/>
    <w:basedOn w:val="TableNormal"/>
    <w:next w:val="TableGrid"/>
    <w:uiPriority w:val="59"/>
    <w:rsid w:val="004C4B54"/>
    <w:pPr>
      <w:spacing w:after="0" w:line="240" w:lineRule="auto"/>
      <w:ind w:left="357" w:hanging="357"/>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TableNormal"/>
    <w:uiPriority w:val="40"/>
    <w:rsid w:val="004C4B54"/>
    <w:pPr>
      <w:spacing w:after="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Accent51">
    <w:name w:val="Light List - Accent 51"/>
    <w:basedOn w:val="TableNormal"/>
    <w:next w:val="LightList-Accent5"/>
    <w:uiPriority w:val="61"/>
    <w:semiHidden/>
    <w:unhideWhenUsed/>
    <w:rsid w:val="004C4B5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Lines="0" w:before="100" w:beforeAutospacing="1" w:afterLines="0" w:after="100" w:afterAutospacing="1" w:line="240" w:lineRule="auto"/>
      </w:pPr>
      <w:rPr>
        <w:b/>
        <w:bCs/>
        <w:color w:val="FFFFFF" w:themeColor="background1"/>
      </w:rPr>
      <w:tblPr/>
      <w:tcPr>
        <w:shd w:val="clear" w:color="auto" w:fill="5B9BD5" w:themeFill="accent5"/>
      </w:tcPr>
    </w:tblStylePr>
    <w:tblStylePr w:type="lastRow">
      <w:pPr>
        <w:spacing w:beforeLines="0" w:before="100" w:beforeAutospacing="1" w:afterLines="0" w:after="100" w:afterAutospacing="1"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GridTable4-Accent6111">
    <w:name w:val="Grid Table 4 - Accent 6111"/>
    <w:basedOn w:val="TableNormal"/>
    <w:uiPriority w:val="49"/>
    <w:rsid w:val="004C4B5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xl66">
    <w:name w:val="xl66"/>
    <w:basedOn w:val="Normal"/>
    <w:rsid w:val="003E05F6"/>
    <w:pPr>
      <w:spacing w:before="100" w:beforeAutospacing="1" w:after="100" w:afterAutospacing="1"/>
    </w:pPr>
    <w:rPr>
      <w:sz w:val="22"/>
      <w:szCs w:val="22"/>
      <w:lang w:eastAsia="en-US"/>
    </w:rPr>
  </w:style>
  <w:style w:type="table" w:customStyle="1" w:styleId="TABLICAHAOP6">
    <w:name w:val="TABLICA_HAOP6"/>
    <w:basedOn w:val="TableNormal"/>
    <w:next w:val="TableGrid"/>
    <w:uiPriority w:val="59"/>
    <w:rsid w:val="00114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1148C2"/>
    <w:pPr>
      <w:spacing w:after="0" w:line="240" w:lineRule="auto"/>
    </w:pPr>
    <w:rPr>
      <w:rFonts w:ascii="Times New Roman" w:eastAsia="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ediumShading2-Accent32">
    <w:name w:val="Medium Shading 2 - Accent 32"/>
    <w:basedOn w:val="TableNormal"/>
    <w:next w:val="MediumShading2-Accent3"/>
    <w:uiPriority w:val="64"/>
    <w:rsid w:val="001148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next w:val="TableGrid"/>
    <w:uiPriority w:val="59"/>
    <w:rsid w:val="001148C2"/>
    <w:pPr>
      <w:spacing w:after="0" w:line="240" w:lineRule="auto"/>
      <w:ind w:left="357" w:hanging="357"/>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3">
    <w:name w:val="Table Grid Light13"/>
    <w:basedOn w:val="TableNormal"/>
    <w:uiPriority w:val="40"/>
    <w:rsid w:val="001148C2"/>
    <w:pPr>
      <w:spacing w:after="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Accent52">
    <w:name w:val="Light List - Accent 52"/>
    <w:basedOn w:val="TableNormal"/>
    <w:next w:val="LightList-Accent5"/>
    <w:uiPriority w:val="61"/>
    <w:semiHidden/>
    <w:unhideWhenUsed/>
    <w:rsid w:val="001148C2"/>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Lines="0" w:before="100" w:beforeAutospacing="1" w:afterLines="0" w:after="100" w:afterAutospacing="1" w:line="240" w:lineRule="auto"/>
      </w:pPr>
      <w:rPr>
        <w:b/>
        <w:bCs/>
        <w:color w:val="FFFFFF" w:themeColor="background1"/>
      </w:rPr>
      <w:tblPr/>
      <w:tcPr>
        <w:shd w:val="clear" w:color="auto" w:fill="5B9BD5" w:themeFill="accent5"/>
      </w:tcPr>
    </w:tblStylePr>
    <w:tblStylePr w:type="lastRow">
      <w:pPr>
        <w:spacing w:beforeLines="0" w:before="100" w:beforeAutospacing="1" w:afterLines="0" w:after="100" w:afterAutospacing="1"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GridTable4-Accent6112">
    <w:name w:val="Grid Table 4 - Accent 6112"/>
    <w:basedOn w:val="TableNormal"/>
    <w:uiPriority w:val="49"/>
    <w:rsid w:val="001148C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rojectScopeTable">
    <w:name w:val="Project Scope Table"/>
    <w:basedOn w:val="TableNormal"/>
    <w:uiPriority w:val="99"/>
    <w:rsid w:val="001148C2"/>
    <w:pPr>
      <w:spacing w:before="60" w:after="60" w:line="240" w:lineRule="auto"/>
    </w:pPr>
    <w:rPr>
      <w:color w:val="404040"/>
      <w:sz w:val="18"/>
      <w:szCs w:val="18"/>
      <w:lang w:eastAsia="ja-JP"/>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144" w:type="dxa"/>
        <w:right w:w="144" w:type="dxa"/>
      </w:tblCellMar>
    </w:tblPr>
    <w:tblStylePr w:type="firstRow">
      <w:pPr>
        <w:keepNext/>
        <w:wordWrap/>
        <w:jc w:val="left"/>
      </w:pPr>
      <w:rPr>
        <w:rFonts w:ascii="Arial" w:hAnsi="Arial"/>
        <w:b/>
        <w:sz w:val="20"/>
      </w:rPr>
      <w:tblPr/>
      <w:tcPr>
        <w:shd w:val="clear" w:color="auto" w:fill="C3FFEF"/>
        <w:vAlign w:val="center"/>
      </w:tcPr>
    </w:tblStylePr>
    <w:tblStylePr w:type="lastRow">
      <w:rPr>
        <w:b/>
        <w:color w:val="FFFFFF"/>
      </w:rPr>
      <w:tblPr/>
      <w:tcPr>
        <w:shd w:val="clear" w:color="auto" w:fill="00D29A"/>
      </w:tcPr>
    </w:tblStylePr>
  </w:style>
  <w:style w:type="paragraph" w:customStyle="1" w:styleId="xl67">
    <w:name w:val="xl67"/>
    <w:basedOn w:val="Normal"/>
    <w:rsid w:val="003E05F6"/>
    <w:pPr>
      <w:pBdr>
        <w:top w:val="single" w:sz="4" w:space="0" w:color="auto"/>
        <w:left w:val="single" w:sz="4" w:space="0" w:color="auto"/>
        <w:bottom w:val="single" w:sz="4" w:space="0" w:color="auto"/>
        <w:right w:val="single" w:sz="4" w:space="0" w:color="auto"/>
      </w:pBdr>
      <w:shd w:val="clear" w:color="000000" w:fill="7EB0DE"/>
      <w:spacing w:before="100" w:beforeAutospacing="1" w:after="100" w:afterAutospacing="1"/>
      <w:textAlignment w:val="center"/>
    </w:pPr>
    <w:rPr>
      <w:b/>
      <w:bCs/>
      <w:color w:val="000000"/>
      <w:lang w:eastAsia="en-US"/>
    </w:rPr>
  </w:style>
  <w:style w:type="table" w:customStyle="1" w:styleId="TABLICAHAOP7">
    <w:name w:val="TABLICA_HAOP7"/>
    <w:basedOn w:val="TableNormal"/>
    <w:next w:val="TableGrid"/>
    <w:uiPriority w:val="59"/>
    <w:rsid w:val="00687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
    <w:name w:val="Grid Table 4 - Accent 612"/>
    <w:basedOn w:val="TableNormal"/>
    <w:uiPriority w:val="49"/>
    <w:rsid w:val="006874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14">
    <w:name w:val="Table Grid Light14"/>
    <w:basedOn w:val="TableNormal"/>
    <w:uiPriority w:val="40"/>
    <w:rsid w:val="00687449"/>
    <w:pPr>
      <w:spacing w:after="0" w:line="240" w:lineRule="auto"/>
    </w:pPr>
    <w:rPr>
      <w:rFonts w:ascii="Times New Roman" w:eastAsia="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ediumShading2-Accent33">
    <w:name w:val="Medium Shading 2 - Accent 33"/>
    <w:basedOn w:val="TableNormal"/>
    <w:next w:val="MediumShading2-Accent3"/>
    <w:uiPriority w:val="64"/>
    <w:rsid w:val="0068744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3">
    <w:name w:val="Table Grid13"/>
    <w:basedOn w:val="TableNormal"/>
    <w:next w:val="TableGrid"/>
    <w:uiPriority w:val="59"/>
    <w:rsid w:val="00687449"/>
    <w:pPr>
      <w:spacing w:after="0" w:line="240" w:lineRule="auto"/>
      <w:ind w:left="357" w:hanging="357"/>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5">
    <w:name w:val="Table Grid Light15"/>
    <w:basedOn w:val="TableNormal"/>
    <w:uiPriority w:val="40"/>
    <w:rsid w:val="00687449"/>
    <w:pPr>
      <w:spacing w:after="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Accent53">
    <w:name w:val="Light List - Accent 53"/>
    <w:basedOn w:val="TableNormal"/>
    <w:next w:val="LightList-Accent5"/>
    <w:uiPriority w:val="61"/>
    <w:semiHidden/>
    <w:unhideWhenUsed/>
    <w:rsid w:val="0068744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Lines="0" w:before="100" w:beforeAutospacing="1" w:afterLines="0" w:after="100" w:afterAutospacing="1" w:line="240" w:lineRule="auto"/>
      </w:pPr>
      <w:rPr>
        <w:b/>
        <w:bCs/>
        <w:color w:val="FFFFFF" w:themeColor="background1"/>
      </w:rPr>
      <w:tblPr/>
      <w:tcPr>
        <w:shd w:val="clear" w:color="auto" w:fill="5B9BD5" w:themeFill="accent5"/>
      </w:tcPr>
    </w:tblStylePr>
    <w:tblStylePr w:type="lastRow">
      <w:pPr>
        <w:spacing w:beforeLines="0" w:before="100" w:beforeAutospacing="1" w:afterLines="0" w:after="100" w:afterAutospacing="1"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GridTable4-Accent6113">
    <w:name w:val="Grid Table 4 - Accent 6113"/>
    <w:basedOn w:val="TableNormal"/>
    <w:uiPriority w:val="49"/>
    <w:rsid w:val="006874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rojectScopeTable1">
    <w:name w:val="Project Scope Table1"/>
    <w:basedOn w:val="TableNormal"/>
    <w:uiPriority w:val="99"/>
    <w:rsid w:val="00687449"/>
    <w:pPr>
      <w:spacing w:before="60" w:after="60" w:line="240" w:lineRule="auto"/>
    </w:pPr>
    <w:rPr>
      <w:color w:val="404040"/>
      <w:sz w:val="18"/>
      <w:szCs w:val="18"/>
      <w:lang w:eastAsia="ja-JP"/>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144" w:type="dxa"/>
        <w:right w:w="144" w:type="dxa"/>
      </w:tblCellMar>
    </w:tblPr>
    <w:tblStylePr w:type="firstRow">
      <w:pPr>
        <w:keepNext/>
        <w:wordWrap/>
        <w:jc w:val="left"/>
      </w:pPr>
      <w:rPr>
        <w:rFonts w:ascii="Arial" w:hAnsi="Arial"/>
        <w:b/>
        <w:sz w:val="20"/>
      </w:rPr>
      <w:tblPr/>
      <w:tcPr>
        <w:shd w:val="clear" w:color="auto" w:fill="C3FFEF"/>
        <w:vAlign w:val="center"/>
      </w:tcPr>
    </w:tblStylePr>
    <w:tblStylePr w:type="lastRow">
      <w:rPr>
        <w:b/>
        <w:color w:val="FFFFFF"/>
      </w:rPr>
      <w:tblPr/>
      <w:tcPr>
        <w:shd w:val="clear" w:color="auto" w:fill="00D29A"/>
      </w:tcPr>
    </w:tblStylePr>
  </w:style>
  <w:style w:type="table" w:customStyle="1" w:styleId="TABLICAHAOP8">
    <w:name w:val="TABLICA_HAOP8"/>
    <w:basedOn w:val="TableNormal"/>
    <w:next w:val="TableGrid"/>
    <w:uiPriority w:val="59"/>
    <w:rsid w:val="00F30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
    <w:name w:val="Grid Table 4 - Accent 613"/>
    <w:basedOn w:val="TableNormal"/>
    <w:uiPriority w:val="49"/>
    <w:rsid w:val="00F30CD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16">
    <w:name w:val="Table Grid Light16"/>
    <w:basedOn w:val="TableNormal"/>
    <w:uiPriority w:val="40"/>
    <w:rsid w:val="00F30CD1"/>
    <w:pPr>
      <w:spacing w:after="0" w:line="240" w:lineRule="auto"/>
    </w:pPr>
    <w:rPr>
      <w:rFonts w:ascii="Times New Roman" w:eastAsia="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ediumShading2-Accent34">
    <w:name w:val="Medium Shading 2 - Accent 34"/>
    <w:basedOn w:val="TableNormal"/>
    <w:next w:val="MediumShading2-Accent3"/>
    <w:uiPriority w:val="64"/>
    <w:rsid w:val="00F30CD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4">
    <w:name w:val="Table Grid14"/>
    <w:basedOn w:val="TableNormal"/>
    <w:next w:val="TableGrid"/>
    <w:uiPriority w:val="59"/>
    <w:rsid w:val="00F30CD1"/>
    <w:pPr>
      <w:spacing w:after="0" w:line="240" w:lineRule="auto"/>
      <w:ind w:left="357" w:hanging="357"/>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7">
    <w:name w:val="Table Grid Light17"/>
    <w:basedOn w:val="TableNormal"/>
    <w:uiPriority w:val="40"/>
    <w:rsid w:val="00F30CD1"/>
    <w:pPr>
      <w:spacing w:after="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Accent54">
    <w:name w:val="Light List - Accent 54"/>
    <w:basedOn w:val="TableNormal"/>
    <w:next w:val="LightList-Accent5"/>
    <w:uiPriority w:val="61"/>
    <w:semiHidden/>
    <w:unhideWhenUsed/>
    <w:rsid w:val="00F30CD1"/>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Lines="0" w:before="100" w:beforeAutospacing="1" w:afterLines="0" w:after="100" w:afterAutospacing="1" w:line="240" w:lineRule="auto"/>
      </w:pPr>
      <w:rPr>
        <w:b/>
        <w:bCs/>
        <w:color w:val="FFFFFF" w:themeColor="background1"/>
      </w:rPr>
      <w:tblPr/>
      <w:tcPr>
        <w:shd w:val="clear" w:color="auto" w:fill="5B9BD5" w:themeFill="accent5"/>
      </w:tcPr>
    </w:tblStylePr>
    <w:tblStylePr w:type="lastRow">
      <w:pPr>
        <w:spacing w:beforeLines="0" w:before="100" w:beforeAutospacing="1" w:afterLines="0" w:after="100" w:afterAutospacing="1"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GridTable4-Accent6114">
    <w:name w:val="Grid Table 4 - Accent 6114"/>
    <w:basedOn w:val="TableNormal"/>
    <w:uiPriority w:val="49"/>
    <w:rsid w:val="00F30CD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rojectScopeTable2">
    <w:name w:val="Project Scope Table2"/>
    <w:basedOn w:val="TableNormal"/>
    <w:uiPriority w:val="99"/>
    <w:rsid w:val="00F30CD1"/>
    <w:pPr>
      <w:spacing w:before="60" w:after="60" w:line="240" w:lineRule="auto"/>
    </w:pPr>
    <w:rPr>
      <w:color w:val="404040"/>
      <w:sz w:val="18"/>
      <w:szCs w:val="18"/>
      <w:lang w:eastAsia="ja-JP"/>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144" w:type="dxa"/>
        <w:right w:w="144" w:type="dxa"/>
      </w:tblCellMar>
    </w:tblPr>
    <w:tblStylePr w:type="firstRow">
      <w:pPr>
        <w:keepNext/>
        <w:wordWrap/>
        <w:jc w:val="left"/>
      </w:pPr>
      <w:rPr>
        <w:rFonts w:ascii="Arial" w:hAnsi="Arial"/>
        <w:b/>
        <w:sz w:val="20"/>
      </w:rPr>
      <w:tblPr/>
      <w:tcPr>
        <w:shd w:val="clear" w:color="auto" w:fill="C3FFEF"/>
        <w:vAlign w:val="center"/>
      </w:tcPr>
    </w:tblStylePr>
    <w:tblStylePr w:type="lastRow">
      <w:rPr>
        <w:b/>
        <w:color w:val="FFFFFF"/>
      </w:rPr>
      <w:tblPr/>
      <w:tcPr>
        <w:shd w:val="clear" w:color="auto" w:fill="00D29A"/>
      </w:tcPr>
    </w:tblStylePr>
  </w:style>
  <w:style w:type="table" w:customStyle="1" w:styleId="TABLICAHAOP9">
    <w:name w:val="TABLICA_HAOP9"/>
    <w:basedOn w:val="TableNormal"/>
    <w:next w:val="TableGrid"/>
    <w:uiPriority w:val="39"/>
    <w:rsid w:val="00FE4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HAOP10">
    <w:name w:val="TABLICA_HAOP10"/>
    <w:basedOn w:val="TableNormal"/>
    <w:next w:val="TableGrid"/>
    <w:uiPriority w:val="39"/>
    <w:rsid w:val="00CC4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1"/>
    <w:uiPriority w:val="49"/>
    <w:rsid w:val="00CC447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3">
    <w:name w:val="Table Grid Light3"/>
    <w:basedOn w:val="TableNormal"/>
    <w:next w:val="TableGridLight1"/>
    <w:uiPriority w:val="40"/>
    <w:rsid w:val="00CC447D"/>
    <w:pPr>
      <w:spacing w:after="0" w:line="240" w:lineRule="auto"/>
    </w:pPr>
    <w:rPr>
      <w:rFonts w:ascii="Times New Roman" w:eastAsia="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ediumShading2-Accent35">
    <w:name w:val="Medium Shading 2 - Accent 35"/>
    <w:basedOn w:val="TableNormal"/>
    <w:next w:val="MediumShading2-Accent3"/>
    <w:uiPriority w:val="64"/>
    <w:rsid w:val="00CC44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5">
    <w:name w:val="Table Grid15"/>
    <w:basedOn w:val="TableNormal"/>
    <w:next w:val="TableGrid"/>
    <w:uiPriority w:val="59"/>
    <w:rsid w:val="00CC447D"/>
    <w:pPr>
      <w:spacing w:after="0" w:line="240" w:lineRule="auto"/>
      <w:ind w:left="357" w:hanging="357"/>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8">
    <w:name w:val="Table Grid Light18"/>
    <w:basedOn w:val="TableNormal"/>
    <w:uiPriority w:val="40"/>
    <w:rsid w:val="00CC447D"/>
    <w:pPr>
      <w:spacing w:after="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Accent55">
    <w:name w:val="Light List - Accent 55"/>
    <w:basedOn w:val="TableNormal"/>
    <w:next w:val="LightList-Accent5"/>
    <w:uiPriority w:val="61"/>
    <w:semiHidden/>
    <w:unhideWhenUsed/>
    <w:rsid w:val="00CC447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Lines="0" w:before="100" w:beforeAutospacing="1" w:afterLines="0" w:after="100" w:afterAutospacing="1" w:line="240" w:lineRule="auto"/>
      </w:pPr>
      <w:rPr>
        <w:b/>
        <w:bCs/>
        <w:color w:val="FFFFFF" w:themeColor="background1"/>
      </w:rPr>
      <w:tblPr/>
      <w:tcPr>
        <w:shd w:val="clear" w:color="auto" w:fill="5B9BD5" w:themeFill="accent5"/>
      </w:tcPr>
    </w:tblStylePr>
    <w:tblStylePr w:type="lastRow">
      <w:pPr>
        <w:spacing w:beforeLines="0" w:before="100" w:beforeAutospacing="1" w:afterLines="0" w:after="100" w:afterAutospacing="1"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GridTable4-Accent6115">
    <w:name w:val="Grid Table 4 - Accent 6115"/>
    <w:basedOn w:val="TableNormal"/>
    <w:uiPriority w:val="49"/>
    <w:rsid w:val="00CC447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f01">
    <w:name w:val="cf01"/>
    <w:basedOn w:val="DefaultParagraphFont"/>
    <w:rsid w:val="00CC447D"/>
    <w:rPr>
      <w:rFonts w:ascii="Segoe UI" w:hAnsi="Segoe UI" w:cs="Segoe UI" w:hint="default"/>
      <w:sz w:val="18"/>
      <w:szCs w:val="18"/>
    </w:rPr>
  </w:style>
  <w:style w:type="table" w:customStyle="1" w:styleId="TABLICAHAOP11">
    <w:name w:val="TABLICA_HAOP11"/>
    <w:basedOn w:val="TableNormal"/>
    <w:next w:val="TableGrid"/>
    <w:uiPriority w:val="39"/>
    <w:rsid w:val="00CC4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1"/>
    <w:uiPriority w:val="49"/>
    <w:rsid w:val="00CC447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4">
    <w:name w:val="Table Grid Light4"/>
    <w:basedOn w:val="TableNormal"/>
    <w:next w:val="TableGridLight1"/>
    <w:uiPriority w:val="40"/>
    <w:rsid w:val="00CC447D"/>
    <w:pPr>
      <w:spacing w:after="0" w:line="240" w:lineRule="auto"/>
    </w:pPr>
    <w:rPr>
      <w:rFonts w:ascii="Times New Roman" w:eastAsia="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ediumShading2-Accent36">
    <w:name w:val="Medium Shading 2 - Accent 36"/>
    <w:basedOn w:val="TableNormal"/>
    <w:next w:val="MediumShading2-Accent3"/>
    <w:uiPriority w:val="64"/>
    <w:rsid w:val="00CC44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6">
    <w:name w:val="Table Grid16"/>
    <w:basedOn w:val="TableNormal"/>
    <w:next w:val="TableGrid"/>
    <w:uiPriority w:val="59"/>
    <w:rsid w:val="00CC447D"/>
    <w:pPr>
      <w:spacing w:after="0" w:line="240" w:lineRule="auto"/>
      <w:ind w:left="357" w:hanging="357"/>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9">
    <w:name w:val="Table Grid Light19"/>
    <w:basedOn w:val="TableNormal"/>
    <w:uiPriority w:val="40"/>
    <w:rsid w:val="00CC447D"/>
    <w:pPr>
      <w:spacing w:after="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Accent56">
    <w:name w:val="Light List - Accent 56"/>
    <w:basedOn w:val="TableNormal"/>
    <w:next w:val="LightList-Accent5"/>
    <w:uiPriority w:val="61"/>
    <w:semiHidden/>
    <w:unhideWhenUsed/>
    <w:rsid w:val="00CC447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Lines="0" w:before="100" w:beforeAutospacing="1" w:afterLines="0" w:after="100" w:afterAutospacing="1" w:line="240" w:lineRule="auto"/>
      </w:pPr>
      <w:rPr>
        <w:b/>
        <w:bCs/>
        <w:color w:val="FFFFFF" w:themeColor="background1"/>
      </w:rPr>
      <w:tblPr/>
      <w:tcPr>
        <w:shd w:val="clear" w:color="auto" w:fill="5B9BD5" w:themeFill="accent5"/>
      </w:tcPr>
    </w:tblStylePr>
    <w:tblStylePr w:type="lastRow">
      <w:pPr>
        <w:spacing w:beforeLines="0" w:before="100" w:beforeAutospacing="1" w:afterLines="0" w:after="100" w:afterAutospacing="1"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GridTable4-Accent6116">
    <w:name w:val="Grid Table 4 - Accent 6116"/>
    <w:basedOn w:val="TableNormal"/>
    <w:uiPriority w:val="49"/>
    <w:rsid w:val="00CC447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7">
    <w:name w:val="Grid Table 4 - Accent 6117"/>
    <w:basedOn w:val="TableNormal"/>
    <w:uiPriority w:val="49"/>
    <w:rsid w:val="005D2C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ICAHAOP12">
    <w:name w:val="TABLICA_HAOP12"/>
    <w:basedOn w:val="TableNormal"/>
    <w:next w:val="TableGrid"/>
    <w:uiPriority w:val="39"/>
    <w:rsid w:val="002B4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1"/>
    <w:uiPriority w:val="49"/>
    <w:rsid w:val="002B482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5">
    <w:name w:val="Table Grid Light5"/>
    <w:basedOn w:val="TableNormal"/>
    <w:next w:val="TableGridLight1"/>
    <w:uiPriority w:val="40"/>
    <w:rsid w:val="002B482D"/>
    <w:pPr>
      <w:spacing w:after="0" w:line="240" w:lineRule="auto"/>
    </w:pPr>
    <w:rPr>
      <w:rFonts w:ascii="Times New Roman" w:eastAsia="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ediumShading2-Accent37">
    <w:name w:val="Medium Shading 2 - Accent 37"/>
    <w:basedOn w:val="TableNormal"/>
    <w:next w:val="MediumShading2-Accent3"/>
    <w:uiPriority w:val="64"/>
    <w:rsid w:val="002B482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7">
    <w:name w:val="Table Grid17"/>
    <w:basedOn w:val="TableNormal"/>
    <w:next w:val="TableGrid"/>
    <w:uiPriority w:val="59"/>
    <w:rsid w:val="002B482D"/>
    <w:pPr>
      <w:spacing w:after="0" w:line="240" w:lineRule="auto"/>
      <w:ind w:left="357" w:hanging="357"/>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0">
    <w:name w:val="Table Grid Light110"/>
    <w:basedOn w:val="TableNormal"/>
    <w:uiPriority w:val="40"/>
    <w:rsid w:val="002B482D"/>
    <w:pPr>
      <w:spacing w:after="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Accent57">
    <w:name w:val="Light List - Accent 57"/>
    <w:basedOn w:val="TableNormal"/>
    <w:next w:val="LightList-Accent5"/>
    <w:uiPriority w:val="61"/>
    <w:semiHidden/>
    <w:unhideWhenUsed/>
    <w:rsid w:val="002B482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Lines="0" w:before="100" w:beforeAutospacing="1" w:afterLines="0" w:after="100" w:afterAutospacing="1" w:line="240" w:lineRule="auto"/>
      </w:pPr>
      <w:rPr>
        <w:b/>
        <w:bCs/>
        <w:color w:val="FFFFFF" w:themeColor="background1"/>
      </w:rPr>
      <w:tblPr/>
      <w:tcPr>
        <w:shd w:val="clear" w:color="auto" w:fill="5B9BD5" w:themeFill="accent5"/>
      </w:tcPr>
    </w:tblStylePr>
    <w:tblStylePr w:type="lastRow">
      <w:pPr>
        <w:spacing w:beforeLines="0" w:before="100" w:beforeAutospacing="1" w:afterLines="0" w:after="100" w:afterAutospacing="1"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GridTable4-Accent6118">
    <w:name w:val="Grid Table 4 - Accent 6118"/>
    <w:basedOn w:val="TableNormal"/>
    <w:uiPriority w:val="49"/>
    <w:rsid w:val="002B482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48207C"/>
    <w:rPr>
      <w:color w:val="954F72"/>
      <w:u w:val="single"/>
    </w:rPr>
  </w:style>
  <w:style w:type="paragraph" w:customStyle="1" w:styleId="msonormal0">
    <w:name w:val="msonormal"/>
    <w:basedOn w:val="Normal"/>
    <w:rsid w:val="0048207C"/>
    <w:pPr>
      <w:spacing w:before="100" w:beforeAutospacing="1" w:after="100" w:afterAutospacing="1"/>
    </w:pPr>
    <w:rPr>
      <w:lang w:eastAsia="en-US"/>
    </w:rPr>
  </w:style>
  <w:style w:type="paragraph" w:customStyle="1" w:styleId="xl68">
    <w:name w:val="xl68"/>
    <w:basedOn w:val="Normal"/>
    <w:rsid w:val="0048207C"/>
    <w:pPr>
      <w:spacing w:before="100" w:beforeAutospacing="1" w:after="100" w:afterAutospacing="1"/>
    </w:pPr>
    <w:rPr>
      <w:color w:val="000000"/>
      <w:sz w:val="22"/>
      <w:szCs w:val="22"/>
      <w:lang w:eastAsia="en-US"/>
    </w:rPr>
  </w:style>
  <w:style w:type="paragraph" w:customStyle="1" w:styleId="xl69">
    <w:name w:val="xl69"/>
    <w:basedOn w:val="Normal"/>
    <w:rsid w:val="0048207C"/>
    <w:pPr>
      <w:pBdr>
        <w:top w:val="single" w:sz="4" w:space="0" w:color="auto"/>
        <w:left w:val="single" w:sz="4" w:space="0" w:color="auto"/>
        <w:bottom w:val="single" w:sz="4" w:space="0" w:color="auto"/>
        <w:right w:val="single" w:sz="4" w:space="0" w:color="auto"/>
      </w:pBdr>
      <w:shd w:val="clear" w:color="000000" w:fill="D9E2F3"/>
      <w:spacing w:before="100" w:beforeAutospacing="1" w:after="100" w:afterAutospacing="1"/>
      <w:jc w:val="center"/>
      <w:textAlignment w:val="center"/>
    </w:pPr>
    <w:rPr>
      <w:b/>
      <w:bCs/>
      <w:color w:val="000000"/>
      <w:sz w:val="20"/>
      <w:szCs w:val="20"/>
      <w:lang w:eastAsia="en-US"/>
    </w:rPr>
  </w:style>
  <w:style w:type="paragraph" w:customStyle="1" w:styleId="xl70">
    <w:name w:val="xl70"/>
    <w:basedOn w:val="Normal"/>
    <w:rsid w:val="0048207C"/>
    <w:pPr>
      <w:pBdr>
        <w:top w:val="single" w:sz="4" w:space="0" w:color="auto"/>
        <w:left w:val="single" w:sz="4" w:space="0" w:color="auto"/>
        <w:bottom w:val="single" w:sz="4" w:space="0" w:color="auto"/>
        <w:right w:val="single" w:sz="4" w:space="0" w:color="auto"/>
      </w:pBdr>
      <w:shd w:val="clear" w:color="000000" w:fill="7EB0DE"/>
      <w:spacing w:before="100" w:beforeAutospacing="1" w:after="100" w:afterAutospacing="1"/>
      <w:textAlignment w:val="center"/>
    </w:pPr>
    <w:rPr>
      <w:b/>
      <w:bCs/>
      <w:color w:val="000000"/>
      <w:lang w:eastAsia="en-US"/>
    </w:rPr>
  </w:style>
  <w:style w:type="paragraph" w:customStyle="1" w:styleId="xl71">
    <w:name w:val="xl71"/>
    <w:basedOn w:val="Normal"/>
    <w:rsid w:val="0048207C"/>
    <w:pPr>
      <w:pBdr>
        <w:top w:val="single" w:sz="4" w:space="0" w:color="auto"/>
        <w:left w:val="single" w:sz="4" w:space="0" w:color="auto"/>
        <w:bottom w:val="single" w:sz="4" w:space="0" w:color="auto"/>
        <w:right w:val="single" w:sz="4" w:space="0" w:color="auto"/>
      </w:pBdr>
      <w:shd w:val="clear" w:color="000000" w:fill="7EB0DE"/>
      <w:spacing w:before="100" w:beforeAutospacing="1" w:after="100" w:afterAutospacing="1"/>
      <w:jc w:val="right"/>
      <w:textAlignment w:val="center"/>
    </w:pPr>
    <w:rPr>
      <w:b/>
      <w:bCs/>
      <w:color w:val="000000"/>
      <w:lang w:eastAsia="en-US"/>
    </w:rPr>
  </w:style>
  <w:style w:type="paragraph" w:customStyle="1" w:styleId="xl72">
    <w:name w:val="xl72"/>
    <w:basedOn w:val="Normal"/>
    <w:rsid w:val="0048207C"/>
    <w:pPr>
      <w:pBdr>
        <w:top w:val="single" w:sz="4" w:space="0" w:color="auto"/>
        <w:left w:val="single" w:sz="4" w:space="0" w:color="auto"/>
        <w:bottom w:val="single" w:sz="4" w:space="0" w:color="auto"/>
        <w:right w:val="single" w:sz="4" w:space="0" w:color="auto"/>
      </w:pBdr>
      <w:shd w:val="clear" w:color="000000" w:fill="7EB0DE"/>
      <w:spacing w:before="100" w:beforeAutospacing="1" w:after="100" w:afterAutospacing="1"/>
      <w:jc w:val="right"/>
      <w:textAlignment w:val="center"/>
    </w:pPr>
    <w:rPr>
      <w:b/>
      <w:bCs/>
      <w:color w:val="000000"/>
      <w:lang w:eastAsia="en-US"/>
    </w:rPr>
  </w:style>
  <w:style w:type="paragraph" w:customStyle="1" w:styleId="xl73">
    <w:name w:val="xl73"/>
    <w:basedOn w:val="Normal"/>
    <w:rsid w:val="0048207C"/>
    <w:pPr>
      <w:pBdr>
        <w:top w:val="single" w:sz="4" w:space="0" w:color="auto"/>
        <w:left w:val="single" w:sz="4" w:space="0" w:color="auto"/>
        <w:bottom w:val="single" w:sz="4" w:space="0" w:color="auto"/>
        <w:right w:val="single" w:sz="4" w:space="0" w:color="auto"/>
      </w:pBdr>
      <w:shd w:val="clear" w:color="000000" w:fill="7EB0DE"/>
      <w:spacing w:before="100" w:beforeAutospacing="1" w:after="100" w:afterAutospacing="1"/>
      <w:textAlignment w:val="center"/>
    </w:pPr>
    <w:rPr>
      <w:color w:val="000000"/>
      <w:sz w:val="20"/>
      <w:szCs w:val="20"/>
      <w:lang w:eastAsia="en-US"/>
    </w:rPr>
  </w:style>
  <w:style w:type="paragraph" w:customStyle="1" w:styleId="xl74">
    <w:name w:val="xl74"/>
    <w:basedOn w:val="Normal"/>
    <w:rsid w:val="0048207C"/>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textAlignment w:val="center"/>
    </w:pPr>
    <w:rPr>
      <w:b/>
      <w:bCs/>
      <w:color w:val="000000"/>
      <w:sz w:val="18"/>
      <w:szCs w:val="18"/>
      <w:lang w:eastAsia="en-US"/>
    </w:rPr>
  </w:style>
  <w:style w:type="paragraph" w:customStyle="1" w:styleId="xl75">
    <w:name w:val="xl75"/>
    <w:basedOn w:val="Normal"/>
    <w:rsid w:val="0048207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8"/>
      <w:szCs w:val="18"/>
      <w:lang w:eastAsia="en-US"/>
    </w:rPr>
  </w:style>
  <w:style w:type="paragraph" w:customStyle="1" w:styleId="xl76">
    <w:name w:val="xl76"/>
    <w:basedOn w:val="Normal"/>
    <w:rsid w:val="0048207C"/>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jc w:val="right"/>
      <w:textAlignment w:val="center"/>
    </w:pPr>
    <w:rPr>
      <w:b/>
      <w:bCs/>
      <w:color w:val="000000"/>
      <w:sz w:val="18"/>
      <w:szCs w:val="18"/>
      <w:lang w:eastAsia="en-US"/>
    </w:rPr>
  </w:style>
  <w:style w:type="paragraph" w:customStyle="1" w:styleId="xl77">
    <w:name w:val="xl77"/>
    <w:basedOn w:val="Normal"/>
    <w:rsid w:val="0048207C"/>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textAlignment w:val="center"/>
    </w:pPr>
    <w:rPr>
      <w:color w:val="000000"/>
      <w:sz w:val="20"/>
      <w:szCs w:val="20"/>
      <w:lang w:eastAsia="en-US"/>
    </w:rPr>
  </w:style>
  <w:style w:type="paragraph" w:customStyle="1" w:styleId="xl78">
    <w:name w:val="xl78"/>
    <w:basedOn w:val="Normal"/>
    <w:rsid w:val="0048207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center"/>
    </w:pPr>
    <w:rPr>
      <w:b/>
      <w:bCs/>
      <w:color w:val="000000"/>
      <w:sz w:val="18"/>
      <w:szCs w:val="18"/>
      <w:lang w:eastAsia="en-US"/>
    </w:rPr>
  </w:style>
  <w:style w:type="paragraph" w:customStyle="1" w:styleId="xl79">
    <w:name w:val="xl79"/>
    <w:basedOn w:val="Normal"/>
    <w:rsid w:val="00482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eastAsia="en-US"/>
    </w:rPr>
  </w:style>
  <w:style w:type="paragraph" w:customStyle="1" w:styleId="xl80">
    <w:name w:val="xl80"/>
    <w:basedOn w:val="Normal"/>
    <w:rsid w:val="004820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18"/>
      <w:szCs w:val="18"/>
      <w:lang w:eastAsia="en-US"/>
    </w:rPr>
  </w:style>
  <w:style w:type="paragraph" w:customStyle="1" w:styleId="xl81">
    <w:name w:val="xl81"/>
    <w:basedOn w:val="Normal"/>
    <w:rsid w:val="004820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b/>
      <w:bCs/>
      <w:color w:val="000000"/>
      <w:sz w:val="18"/>
      <w:szCs w:val="18"/>
      <w:lang w:eastAsia="en-US"/>
    </w:rPr>
  </w:style>
  <w:style w:type="paragraph" w:customStyle="1" w:styleId="xl82">
    <w:name w:val="xl82"/>
    <w:basedOn w:val="Normal"/>
    <w:rsid w:val="00482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eastAsia="en-US"/>
    </w:rPr>
  </w:style>
  <w:style w:type="paragraph" w:customStyle="1" w:styleId="xl83">
    <w:name w:val="xl83"/>
    <w:basedOn w:val="Normal"/>
    <w:rsid w:val="00482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eastAsia="en-US"/>
    </w:rPr>
  </w:style>
  <w:style w:type="paragraph" w:customStyle="1" w:styleId="xl84">
    <w:name w:val="xl84"/>
    <w:basedOn w:val="Normal"/>
    <w:rsid w:val="00482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eastAsia="en-US"/>
    </w:rPr>
  </w:style>
  <w:style w:type="paragraph" w:customStyle="1" w:styleId="xl85">
    <w:name w:val="xl85"/>
    <w:basedOn w:val="Normal"/>
    <w:rsid w:val="0048207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8"/>
      <w:szCs w:val="18"/>
      <w:lang w:eastAsia="en-US"/>
    </w:rPr>
  </w:style>
  <w:style w:type="paragraph" w:customStyle="1" w:styleId="xl86">
    <w:name w:val="xl86"/>
    <w:basedOn w:val="Normal"/>
    <w:rsid w:val="00482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eastAsia="en-US"/>
    </w:rPr>
  </w:style>
  <w:style w:type="paragraph" w:customStyle="1" w:styleId="xl87">
    <w:name w:val="xl87"/>
    <w:basedOn w:val="Normal"/>
    <w:rsid w:val="0048207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8"/>
      <w:szCs w:val="18"/>
      <w:lang w:eastAsia="en-US"/>
    </w:rPr>
  </w:style>
  <w:style w:type="paragraph" w:customStyle="1" w:styleId="xl88">
    <w:name w:val="xl88"/>
    <w:basedOn w:val="Normal"/>
    <w:rsid w:val="0048207C"/>
    <w:pPr>
      <w:pBdr>
        <w:left w:val="single" w:sz="4" w:space="0" w:color="auto"/>
        <w:right w:val="single" w:sz="4" w:space="0" w:color="auto"/>
      </w:pBdr>
      <w:spacing w:before="100" w:beforeAutospacing="1" w:after="100" w:afterAutospacing="1"/>
      <w:jc w:val="right"/>
      <w:textAlignment w:val="center"/>
    </w:pPr>
    <w:rPr>
      <w:b/>
      <w:bCs/>
      <w:color w:val="000000"/>
      <w:sz w:val="18"/>
      <w:szCs w:val="18"/>
      <w:lang w:eastAsia="en-US"/>
    </w:rPr>
  </w:style>
  <w:style w:type="paragraph" w:customStyle="1" w:styleId="xl89">
    <w:name w:val="xl89"/>
    <w:basedOn w:val="Normal"/>
    <w:rsid w:val="0048207C"/>
    <w:pPr>
      <w:pBdr>
        <w:top w:val="single" w:sz="4" w:space="0" w:color="auto"/>
        <w:left w:val="single" w:sz="4" w:space="0" w:color="auto"/>
        <w:bottom w:val="single" w:sz="4" w:space="0" w:color="auto"/>
        <w:right w:val="single" w:sz="4" w:space="0" w:color="auto"/>
      </w:pBdr>
      <w:shd w:val="clear" w:color="000000" w:fill="7EB0DE"/>
      <w:spacing w:before="100" w:beforeAutospacing="1" w:after="100" w:afterAutospacing="1"/>
      <w:jc w:val="right"/>
      <w:textAlignment w:val="center"/>
    </w:pPr>
    <w:rPr>
      <w:b/>
      <w:bCs/>
      <w:color w:val="000000"/>
      <w:lang w:eastAsia="en-US"/>
    </w:rPr>
  </w:style>
  <w:style w:type="paragraph" w:customStyle="1" w:styleId="xl90">
    <w:name w:val="xl90"/>
    <w:basedOn w:val="Normal"/>
    <w:rsid w:val="0048207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8"/>
      <w:szCs w:val="18"/>
      <w:lang w:eastAsia="en-US"/>
    </w:rPr>
  </w:style>
  <w:style w:type="paragraph" w:customStyle="1" w:styleId="xl91">
    <w:name w:val="xl91"/>
    <w:basedOn w:val="Normal"/>
    <w:rsid w:val="0048207C"/>
    <w:pPr>
      <w:pBdr>
        <w:top w:val="single" w:sz="4" w:space="0" w:color="auto"/>
        <w:left w:val="single" w:sz="4" w:space="0" w:color="auto"/>
        <w:bottom w:val="single" w:sz="4" w:space="0" w:color="auto"/>
        <w:right w:val="single" w:sz="4" w:space="0" w:color="auto"/>
      </w:pBdr>
      <w:shd w:val="clear" w:color="000000" w:fill="7EB0DE"/>
      <w:spacing w:before="100" w:beforeAutospacing="1" w:after="100" w:afterAutospacing="1"/>
      <w:jc w:val="right"/>
      <w:textAlignment w:val="center"/>
    </w:pPr>
    <w:rPr>
      <w:rFonts w:ascii="Calibri" w:hAnsi="Calibri" w:cs="Calibri"/>
      <w:b/>
      <w:bCs/>
      <w:color w:val="000000"/>
      <w:lang w:eastAsia="en-US"/>
    </w:rPr>
  </w:style>
  <w:style w:type="paragraph" w:customStyle="1" w:styleId="xl92">
    <w:name w:val="xl92"/>
    <w:basedOn w:val="Normal"/>
    <w:rsid w:val="0048207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color w:val="000000"/>
      <w:sz w:val="18"/>
      <w:szCs w:val="18"/>
      <w:lang w:eastAsia="en-US"/>
    </w:rPr>
  </w:style>
  <w:style w:type="paragraph" w:customStyle="1" w:styleId="xl93">
    <w:name w:val="xl93"/>
    <w:basedOn w:val="Normal"/>
    <w:rsid w:val="004820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18"/>
      <w:szCs w:val="18"/>
      <w:lang w:eastAsia="en-US"/>
    </w:rPr>
  </w:style>
  <w:style w:type="paragraph" w:customStyle="1" w:styleId="xl94">
    <w:name w:val="xl94"/>
    <w:basedOn w:val="Normal"/>
    <w:rsid w:val="004820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18"/>
      <w:szCs w:val="18"/>
      <w:lang w:eastAsia="en-US"/>
    </w:rPr>
  </w:style>
  <w:style w:type="paragraph" w:customStyle="1" w:styleId="xl95">
    <w:name w:val="xl95"/>
    <w:basedOn w:val="Normal"/>
    <w:rsid w:val="004820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18"/>
      <w:szCs w:val="18"/>
      <w:lang w:eastAsia="en-US"/>
    </w:rPr>
  </w:style>
  <w:style w:type="paragraph" w:customStyle="1" w:styleId="xl96">
    <w:name w:val="xl96"/>
    <w:basedOn w:val="Normal"/>
    <w:rsid w:val="0048207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color w:val="000000"/>
      <w:sz w:val="18"/>
      <w:szCs w:val="18"/>
      <w:lang w:eastAsia="en-US"/>
    </w:rPr>
  </w:style>
  <w:style w:type="paragraph" w:customStyle="1" w:styleId="xl97">
    <w:name w:val="xl97"/>
    <w:basedOn w:val="Normal"/>
    <w:rsid w:val="0048207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color w:val="000000"/>
      <w:sz w:val="18"/>
      <w:szCs w:val="18"/>
      <w:lang w:eastAsia="en-US"/>
    </w:rPr>
  </w:style>
  <w:style w:type="paragraph" w:customStyle="1" w:styleId="xl98">
    <w:name w:val="xl98"/>
    <w:basedOn w:val="Normal"/>
    <w:rsid w:val="004820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18"/>
      <w:szCs w:val="18"/>
      <w:lang w:eastAsia="en-US"/>
    </w:rPr>
  </w:style>
  <w:style w:type="paragraph" w:customStyle="1" w:styleId="xl99">
    <w:name w:val="xl99"/>
    <w:basedOn w:val="Normal"/>
    <w:rsid w:val="0048207C"/>
    <w:pPr>
      <w:pBdr>
        <w:top w:val="single" w:sz="4" w:space="0" w:color="auto"/>
        <w:left w:val="single" w:sz="4" w:space="0" w:color="auto"/>
        <w:bottom w:val="single" w:sz="4" w:space="0" w:color="auto"/>
        <w:right w:val="single" w:sz="4" w:space="0" w:color="auto"/>
      </w:pBdr>
      <w:shd w:val="clear" w:color="000000" w:fill="7EB0DE"/>
      <w:spacing w:before="100" w:beforeAutospacing="1" w:after="100" w:afterAutospacing="1"/>
      <w:jc w:val="right"/>
      <w:textAlignment w:val="center"/>
    </w:pPr>
    <w:rPr>
      <w:b/>
      <w:bCs/>
      <w:color w:val="000000"/>
      <w:lang w:eastAsia="en-US"/>
    </w:rPr>
  </w:style>
  <w:style w:type="paragraph" w:customStyle="1" w:styleId="xl100">
    <w:name w:val="xl100"/>
    <w:basedOn w:val="Normal"/>
    <w:rsid w:val="0048207C"/>
    <w:pPr>
      <w:pBdr>
        <w:top w:val="single" w:sz="4" w:space="0" w:color="auto"/>
        <w:left w:val="single" w:sz="4" w:space="0" w:color="auto"/>
        <w:bottom w:val="single" w:sz="4" w:space="0" w:color="auto"/>
        <w:right w:val="single" w:sz="4" w:space="0" w:color="auto"/>
      </w:pBdr>
      <w:shd w:val="clear" w:color="000000" w:fill="9CC2E5"/>
      <w:spacing w:before="100" w:beforeAutospacing="1" w:after="100" w:afterAutospacing="1"/>
      <w:jc w:val="center"/>
      <w:textAlignment w:val="center"/>
    </w:pPr>
    <w:rPr>
      <w:b/>
      <w:bCs/>
      <w:color w:val="000000"/>
      <w:lang w:eastAsia="en-US"/>
    </w:rPr>
  </w:style>
  <w:style w:type="paragraph" w:customStyle="1" w:styleId="xl101">
    <w:name w:val="xl101"/>
    <w:basedOn w:val="Normal"/>
    <w:rsid w:val="0048207C"/>
    <w:pPr>
      <w:pBdr>
        <w:top w:val="single" w:sz="4" w:space="0" w:color="auto"/>
        <w:left w:val="single" w:sz="4" w:space="0" w:color="auto"/>
        <w:bottom w:val="single" w:sz="4" w:space="0" w:color="auto"/>
        <w:right w:val="single" w:sz="4" w:space="0" w:color="auto"/>
      </w:pBdr>
      <w:shd w:val="clear" w:color="000000" w:fill="9CC2E5"/>
      <w:spacing w:before="100" w:beforeAutospacing="1" w:after="100" w:afterAutospacing="1"/>
      <w:jc w:val="right"/>
      <w:textAlignment w:val="center"/>
    </w:pPr>
    <w:rPr>
      <w:b/>
      <w:bCs/>
      <w:color w:val="000000"/>
      <w:lang w:eastAsia="en-US"/>
    </w:rPr>
  </w:style>
  <w:style w:type="paragraph" w:customStyle="1" w:styleId="xl102">
    <w:name w:val="xl102"/>
    <w:basedOn w:val="Normal"/>
    <w:rsid w:val="0048207C"/>
    <w:pPr>
      <w:pBdr>
        <w:top w:val="single" w:sz="4" w:space="0" w:color="auto"/>
        <w:left w:val="single" w:sz="4" w:space="0" w:color="auto"/>
        <w:bottom w:val="single" w:sz="4" w:space="0" w:color="auto"/>
        <w:right w:val="single" w:sz="4" w:space="0" w:color="auto"/>
      </w:pBdr>
      <w:shd w:val="clear" w:color="000000" w:fill="9CC2E5"/>
      <w:spacing w:before="100" w:beforeAutospacing="1" w:after="100" w:afterAutospacing="1"/>
      <w:jc w:val="right"/>
      <w:textAlignment w:val="center"/>
    </w:pPr>
    <w:rPr>
      <w:b/>
      <w:bCs/>
      <w:color w:val="000000"/>
      <w:lang w:eastAsia="en-US"/>
    </w:rPr>
  </w:style>
  <w:style w:type="paragraph" w:customStyle="1" w:styleId="xl103">
    <w:name w:val="xl103"/>
    <w:basedOn w:val="Normal"/>
    <w:rsid w:val="0048207C"/>
    <w:pPr>
      <w:pBdr>
        <w:top w:val="single" w:sz="4" w:space="0" w:color="auto"/>
        <w:left w:val="single" w:sz="4" w:space="0" w:color="auto"/>
        <w:bottom w:val="single" w:sz="4" w:space="0" w:color="auto"/>
        <w:right w:val="single" w:sz="4" w:space="0" w:color="auto"/>
      </w:pBdr>
      <w:shd w:val="clear" w:color="000000" w:fill="9CC2E5"/>
      <w:spacing w:before="100" w:beforeAutospacing="1" w:after="100" w:afterAutospacing="1"/>
      <w:textAlignment w:val="center"/>
    </w:pPr>
    <w:rPr>
      <w:color w:val="000000"/>
      <w:sz w:val="20"/>
      <w:szCs w:val="20"/>
      <w:lang w:eastAsia="en-US"/>
    </w:rPr>
  </w:style>
  <w:style w:type="paragraph" w:customStyle="1" w:styleId="xl104">
    <w:name w:val="xl104"/>
    <w:basedOn w:val="Normal"/>
    <w:rsid w:val="0048207C"/>
    <w:pPr>
      <w:pBdr>
        <w:left w:val="single" w:sz="4" w:space="0" w:color="auto"/>
        <w:bottom w:val="single" w:sz="4" w:space="0" w:color="auto"/>
        <w:right w:val="single" w:sz="4" w:space="0" w:color="auto"/>
      </w:pBdr>
      <w:shd w:val="clear" w:color="000000" w:fill="D9E2F3"/>
      <w:spacing w:before="100" w:beforeAutospacing="1" w:after="100" w:afterAutospacing="1"/>
      <w:jc w:val="center"/>
      <w:textAlignment w:val="center"/>
    </w:pPr>
    <w:rPr>
      <w:b/>
      <w:bCs/>
      <w:color w:val="000000"/>
      <w:sz w:val="20"/>
      <w:szCs w:val="20"/>
      <w:lang w:eastAsia="en-US"/>
    </w:rPr>
  </w:style>
  <w:style w:type="paragraph" w:customStyle="1" w:styleId="xl105">
    <w:name w:val="xl105"/>
    <w:basedOn w:val="Normal"/>
    <w:rsid w:val="004820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en-US"/>
    </w:rPr>
  </w:style>
  <w:style w:type="paragraph" w:customStyle="1" w:styleId="xl106">
    <w:name w:val="xl106"/>
    <w:basedOn w:val="Normal"/>
    <w:rsid w:val="004820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en-US"/>
    </w:rPr>
  </w:style>
  <w:style w:type="paragraph" w:customStyle="1" w:styleId="xl107">
    <w:name w:val="xl107"/>
    <w:basedOn w:val="Normal"/>
    <w:rsid w:val="0048207C"/>
    <w:pPr>
      <w:pBdr>
        <w:top w:val="single" w:sz="4" w:space="0" w:color="auto"/>
        <w:left w:val="single" w:sz="4" w:space="0" w:color="auto"/>
      </w:pBdr>
      <w:shd w:val="clear" w:color="000000" w:fill="D9E2F3"/>
      <w:spacing w:before="100" w:beforeAutospacing="1" w:after="100" w:afterAutospacing="1"/>
      <w:jc w:val="center"/>
      <w:textAlignment w:val="center"/>
    </w:pPr>
    <w:rPr>
      <w:b/>
      <w:bCs/>
      <w:color w:val="000000"/>
      <w:sz w:val="20"/>
      <w:szCs w:val="20"/>
      <w:lang w:eastAsia="en-US"/>
    </w:rPr>
  </w:style>
  <w:style w:type="paragraph" w:customStyle="1" w:styleId="xl108">
    <w:name w:val="xl108"/>
    <w:basedOn w:val="Normal"/>
    <w:rsid w:val="0048207C"/>
    <w:pPr>
      <w:pBdr>
        <w:top w:val="single" w:sz="4" w:space="0" w:color="auto"/>
      </w:pBdr>
      <w:shd w:val="clear" w:color="000000" w:fill="D9E2F3"/>
      <w:spacing w:before="100" w:beforeAutospacing="1" w:after="100" w:afterAutospacing="1"/>
      <w:jc w:val="center"/>
      <w:textAlignment w:val="center"/>
    </w:pPr>
    <w:rPr>
      <w:b/>
      <w:bCs/>
      <w:color w:val="000000"/>
      <w:sz w:val="20"/>
      <w:szCs w:val="20"/>
      <w:lang w:eastAsia="en-US"/>
    </w:rPr>
  </w:style>
  <w:style w:type="paragraph" w:customStyle="1" w:styleId="xl109">
    <w:name w:val="xl109"/>
    <w:basedOn w:val="Normal"/>
    <w:rsid w:val="0048207C"/>
    <w:pPr>
      <w:pBdr>
        <w:top w:val="single" w:sz="4" w:space="0" w:color="auto"/>
        <w:right w:val="single" w:sz="4" w:space="0" w:color="auto"/>
      </w:pBdr>
      <w:shd w:val="clear" w:color="000000" w:fill="D9E2F3"/>
      <w:spacing w:before="100" w:beforeAutospacing="1" w:after="100" w:afterAutospacing="1"/>
      <w:jc w:val="center"/>
      <w:textAlignment w:val="center"/>
    </w:pPr>
    <w:rPr>
      <w:b/>
      <w:bCs/>
      <w:color w:val="000000"/>
      <w:sz w:val="20"/>
      <w:szCs w:val="20"/>
      <w:lang w:eastAsia="en-US"/>
    </w:rPr>
  </w:style>
  <w:style w:type="paragraph" w:customStyle="1" w:styleId="xl110">
    <w:name w:val="xl110"/>
    <w:basedOn w:val="Normal"/>
    <w:rsid w:val="0048207C"/>
    <w:pPr>
      <w:pBdr>
        <w:left w:val="single" w:sz="4" w:space="0" w:color="auto"/>
        <w:bottom w:val="single" w:sz="4" w:space="0" w:color="auto"/>
      </w:pBdr>
      <w:shd w:val="clear" w:color="000000" w:fill="D9E2F3"/>
      <w:spacing w:before="100" w:beforeAutospacing="1" w:after="100" w:afterAutospacing="1"/>
      <w:jc w:val="center"/>
      <w:textAlignment w:val="center"/>
    </w:pPr>
    <w:rPr>
      <w:b/>
      <w:bCs/>
      <w:color w:val="000000"/>
      <w:sz w:val="20"/>
      <w:szCs w:val="20"/>
      <w:lang w:eastAsia="en-US"/>
    </w:rPr>
  </w:style>
  <w:style w:type="paragraph" w:customStyle="1" w:styleId="xl111">
    <w:name w:val="xl111"/>
    <w:basedOn w:val="Normal"/>
    <w:rsid w:val="0048207C"/>
    <w:pPr>
      <w:pBdr>
        <w:bottom w:val="single" w:sz="4" w:space="0" w:color="auto"/>
      </w:pBdr>
      <w:shd w:val="clear" w:color="000000" w:fill="D9E2F3"/>
      <w:spacing w:before="100" w:beforeAutospacing="1" w:after="100" w:afterAutospacing="1"/>
      <w:jc w:val="center"/>
      <w:textAlignment w:val="center"/>
    </w:pPr>
    <w:rPr>
      <w:b/>
      <w:bCs/>
      <w:color w:val="000000"/>
      <w:sz w:val="20"/>
      <w:szCs w:val="20"/>
      <w:lang w:eastAsia="en-US"/>
    </w:rPr>
  </w:style>
  <w:style w:type="paragraph" w:customStyle="1" w:styleId="xl112">
    <w:name w:val="xl112"/>
    <w:basedOn w:val="Normal"/>
    <w:rsid w:val="0048207C"/>
    <w:pPr>
      <w:pBdr>
        <w:bottom w:val="single" w:sz="4" w:space="0" w:color="auto"/>
        <w:right w:val="single" w:sz="4" w:space="0" w:color="auto"/>
      </w:pBdr>
      <w:shd w:val="clear" w:color="000000" w:fill="D9E2F3"/>
      <w:spacing w:before="100" w:beforeAutospacing="1" w:after="100" w:afterAutospacing="1"/>
      <w:jc w:val="center"/>
      <w:textAlignment w:val="center"/>
    </w:pPr>
    <w:rPr>
      <w:b/>
      <w:bCs/>
      <w:color w:val="000000"/>
      <w:sz w:val="20"/>
      <w:szCs w:val="20"/>
      <w:lang w:eastAsia="en-US"/>
    </w:rPr>
  </w:style>
  <w:style w:type="paragraph" w:customStyle="1" w:styleId="xl113">
    <w:name w:val="xl113"/>
    <w:basedOn w:val="Normal"/>
    <w:rsid w:val="004820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en-US"/>
    </w:rPr>
  </w:style>
  <w:style w:type="paragraph" w:customStyle="1" w:styleId="xl114">
    <w:name w:val="xl114"/>
    <w:basedOn w:val="Normal"/>
    <w:rsid w:val="0048207C"/>
    <w:pPr>
      <w:pBdr>
        <w:top w:val="single" w:sz="4" w:space="0" w:color="auto"/>
        <w:left w:val="single" w:sz="4" w:space="0" w:color="auto"/>
      </w:pBdr>
      <w:shd w:val="clear" w:color="000000" w:fill="9CC2E5"/>
      <w:spacing w:before="100" w:beforeAutospacing="1" w:after="100" w:afterAutospacing="1"/>
      <w:jc w:val="center"/>
      <w:textAlignment w:val="center"/>
    </w:pPr>
    <w:rPr>
      <w:b/>
      <w:bCs/>
      <w:color w:val="000000"/>
      <w:sz w:val="20"/>
      <w:szCs w:val="20"/>
      <w:lang w:eastAsia="en-US"/>
    </w:rPr>
  </w:style>
  <w:style w:type="paragraph" w:customStyle="1" w:styleId="xl115">
    <w:name w:val="xl115"/>
    <w:basedOn w:val="Normal"/>
    <w:rsid w:val="0048207C"/>
    <w:pPr>
      <w:pBdr>
        <w:top w:val="single" w:sz="4" w:space="0" w:color="auto"/>
      </w:pBdr>
      <w:shd w:val="clear" w:color="000000" w:fill="9CC2E5"/>
      <w:spacing w:before="100" w:beforeAutospacing="1" w:after="100" w:afterAutospacing="1"/>
      <w:jc w:val="center"/>
      <w:textAlignment w:val="center"/>
    </w:pPr>
    <w:rPr>
      <w:b/>
      <w:bCs/>
      <w:color w:val="000000"/>
      <w:sz w:val="20"/>
      <w:szCs w:val="20"/>
      <w:lang w:eastAsia="en-US"/>
    </w:rPr>
  </w:style>
  <w:style w:type="paragraph" w:customStyle="1" w:styleId="xl116">
    <w:name w:val="xl116"/>
    <w:basedOn w:val="Normal"/>
    <w:rsid w:val="0048207C"/>
    <w:pPr>
      <w:pBdr>
        <w:top w:val="single" w:sz="4" w:space="0" w:color="auto"/>
        <w:right w:val="single" w:sz="4" w:space="0" w:color="auto"/>
      </w:pBdr>
      <w:shd w:val="clear" w:color="000000" w:fill="9CC2E5"/>
      <w:spacing w:before="100" w:beforeAutospacing="1" w:after="100" w:afterAutospacing="1"/>
      <w:jc w:val="center"/>
      <w:textAlignment w:val="center"/>
    </w:pPr>
    <w:rPr>
      <w:b/>
      <w:bCs/>
      <w:color w:val="000000"/>
      <w:sz w:val="20"/>
      <w:szCs w:val="20"/>
      <w:lang w:eastAsia="en-US"/>
    </w:rPr>
  </w:style>
  <w:style w:type="paragraph" w:customStyle="1" w:styleId="xl117">
    <w:name w:val="xl117"/>
    <w:basedOn w:val="Normal"/>
    <w:rsid w:val="0048207C"/>
    <w:pPr>
      <w:pBdr>
        <w:left w:val="single" w:sz="4" w:space="0" w:color="auto"/>
        <w:bottom w:val="single" w:sz="4" w:space="0" w:color="auto"/>
      </w:pBdr>
      <w:shd w:val="clear" w:color="000000" w:fill="9CC2E5"/>
      <w:spacing w:before="100" w:beforeAutospacing="1" w:after="100" w:afterAutospacing="1"/>
      <w:jc w:val="center"/>
      <w:textAlignment w:val="center"/>
    </w:pPr>
    <w:rPr>
      <w:b/>
      <w:bCs/>
      <w:color w:val="000000"/>
      <w:sz w:val="20"/>
      <w:szCs w:val="20"/>
      <w:lang w:eastAsia="en-US"/>
    </w:rPr>
  </w:style>
  <w:style w:type="paragraph" w:customStyle="1" w:styleId="xl118">
    <w:name w:val="xl118"/>
    <w:basedOn w:val="Normal"/>
    <w:rsid w:val="0048207C"/>
    <w:pPr>
      <w:pBdr>
        <w:bottom w:val="single" w:sz="4" w:space="0" w:color="auto"/>
      </w:pBdr>
      <w:shd w:val="clear" w:color="000000" w:fill="9CC2E5"/>
      <w:spacing w:before="100" w:beforeAutospacing="1" w:after="100" w:afterAutospacing="1"/>
      <w:jc w:val="center"/>
      <w:textAlignment w:val="center"/>
    </w:pPr>
    <w:rPr>
      <w:b/>
      <w:bCs/>
      <w:color w:val="000000"/>
      <w:sz w:val="20"/>
      <w:szCs w:val="20"/>
      <w:lang w:eastAsia="en-US"/>
    </w:rPr>
  </w:style>
  <w:style w:type="paragraph" w:customStyle="1" w:styleId="xl119">
    <w:name w:val="xl119"/>
    <w:basedOn w:val="Normal"/>
    <w:rsid w:val="0048207C"/>
    <w:pPr>
      <w:pBdr>
        <w:bottom w:val="single" w:sz="4" w:space="0" w:color="auto"/>
        <w:right w:val="single" w:sz="4" w:space="0" w:color="auto"/>
      </w:pBdr>
      <w:shd w:val="clear" w:color="000000" w:fill="9CC2E5"/>
      <w:spacing w:before="100" w:beforeAutospacing="1" w:after="100" w:afterAutospacing="1"/>
      <w:jc w:val="center"/>
      <w:textAlignment w:val="center"/>
    </w:pPr>
    <w:rPr>
      <w:b/>
      <w:bCs/>
      <w:color w:val="000000"/>
      <w:sz w:val="20"/>
      <w:szCs w:val="20"/>
      <w:lang w:eastAsia="en-US"/>
    </w:rPr>
  </w:style>
  <w:style w:type="table" w:customStyle="1" w:styleId="TableGridLight6">
    <w:name w:val="Table Grid Light6"/>
    <w:basedOn w:val="TableNormal"/>
    <w:next w:val="TableGridLight1"/>
    <w:uiPriority w:val="40"/>
    <w:rsid w:val="00C606A4"/>
    <w:pPr>
      <w:spacing w:after="0" w:line="240" w:lineRule="auto"/>
    </w:pPr>
    <w:rPr>
      <w:rFonts w:ascii="Times New Roman" w:eastAsia="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7">
    <w:name w:val="Table Grid Light7"/>
    <w:basedOn w:val="TableNormal"/>
    <w:next w:val="TableGridLight1"/>
    <w:uiPriority w:val="40"/>
    <w:rsid w:val="00C606A4"/>
    <w:pPr>
      <w:spacing w:after="0" w:line="240" w:lineRule="auto"/>
    </w:pPr>
    <w:rPr>
      <w:rFonts w:ascii="Times New Roman" w:eastAsia="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A167AA"/>
  </w:style>
  <w:style w:type="table" w:customStyle="1" w:styleId="TableGridLight111">
    <w:name w:val="Table Grid Light111"/>
    <w:basedOn w:val="TableNormal"/>
    <w:uiPriority w:val="40"/>
    <w:rsid w:val="00B34179"/>
    <w:pPr>
      <w:spacing w:after="0" w:line="240" w:lineRule="auto"/>
    </w:pPr>
    <w:rPr>
      <w:rFonts w:ascii="Times New Roman" w:eastAsia="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ICAHAOP71">
    <w:name w:val="TABLICA_HAOP71"/>
    <w:basedOn w:val="TableNormal"/>
    <w:next w:val="TableGrid"/>
    <w:uiPriority w:val="59"/>
    <w:rsid w:val="00B34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
    <w:name w:val="Table Grid Light112"/>
    <w:basedOn w:val="TableNormal"/>
    <w:uiPriority w:val="40"/>
    <w:rsid w:val="00242590"/>
    <w:pPr>
      <w:spacing w:after="0" w:line="240" w:lineRule="auto"/>
    </w:pPr>
    <w:rPr>
      <w:rFonts w:ascii="Times New Roman" w:eastAsia="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3">
    <w:name w:val="Table Grid Light113"/>
    <w:basedOn w:val="TableNormal"/>
    <w:uiPriority w:val="40"/>
    <w:rsid w:val="008E2181"/>
    <w:pPr>
      <w:spacing w:after="0" w:line="240" w:lineRule="auto"/>
    </w:pPr>
    <w:rPr>
      <w:rFonts w:ascii="Times New Roman" w:eastAsia="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8E2181"/>
    <w:pPr>
      <w:spacing w:before="100" w:beforeAutospacing="1" w:after="100" w:afterAutospacing="1"/>
    </w:pPr>
  </w:style>
  <w:style w:type="character" w:customStyle="1" w:styleId="UnresolvedMention3">
    <w:name w:val="Unresolved Mention3"/>
    <w:basedOn w:val="DefaultParagraphFont"/>
    <w:uiPriority w:val="99"/>
    <w:semiHidden/>
    <w:unhideWhenUsed/>
    <w:rsid w:val="00D765D2"/>
    <w:rPr>
      <w:color w:val="605E5C"/>
      <w:shd w:val="clear" w:color="auto" w:fill="E1DFDD"/>
    </w:rPr>
  </w:style>
  <w:style w:type="paragraph" w:customStyle="1" w:styleId="xxmsonormal">
    <w:name w:val="x_xmsonormal"/>
    <w:basedOn w:val="Normal"/>
    <w:rsid w:val="00814D62"/>
    <w:rPr>
      <w:rFonts w:eastAsiaTheme="minorHAnsi"/>
      <w:lang w:eastAsia="en-US"/>
    </w:rPr>
  </w:style>
  <w:style w:type="table" w:styleId="GridTable4-Accent6">
    <w:name w:val="Grid Table 4 Accent 6"/>
    <w:basedOn w:val="TableNormal"/>
    <w:uiPriority w:val="49"/>
    <w:rsid w:val="0000502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005022"/>
    <w:pPr>
      <w:spacing w:after="0" w:line="240" w:lineRule="auto"/>
    </w:pPr>
    <w:rPr>
      <w:rFonts w:ascii="Times New Roman" w:eastAsia="Times New Roman" w:hAnsi="Times New Roman" w:cs="Times New Roman"/>
      <w:sz w:val="20"/>
      <w:szCs w:val="20"/>
      <w:lang w:eastAsia="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noteTextChar2">
    <w:name w:val="Footnote Text Char2"/>
    <w:aliases w:val="Footnote Text Char1 Char1,Footnote Text Blue Char1,Footnote Text1 Char1,Char Char1,single space Char1,ft Char1,footnote text Char2,footnote text Char Char1,Footnote Text Char Char Char Char1,Tegn1 Char2,Tegn1 Char Char1"/>
    <w:basedOn w:val="DefaultParagraphFont"/>
    <w:uiPriority w:val="99"/>
    <w:semiHidden/>
    <w:rsid w:val="00005022"/>
  </w:style>
  <w:style w:type="character" w:styleId="Strong">
    <w:name w:val="Strong"/>
    <w:basedOn w:val="DefaultParagraphFont"/>
    <w:uiPriority w:val="22"/>
    <w:qFormat/>
    <w:rsid w:val="00005022"/>
    <w:rPr>
      <w:b/>
      <w:bCs/>
    </w:rPr>
  </w:style>
  <w:style w:type="character" w:styleId="Emphasis">
    <w:name w:val="Emphasis"/>
    <w:basedOn w:val="DefaultParagraphFont"/>
    <w:uiPriority w:val="20"/>
    <w:qFormat/>
    <w:rsid w:val="00005022"/>
    <w:rPr>
      <w:i/>
      <w:iCs/>
    </w:rPr>
  </w:style>
  <w:style w:type="paragraph" w:customStyle="1" w:styleId="FootnoteTextCharChar2CharChar1">
    <w:name w:val="Footnote Text Char Char2 Char Char1"/>
    <w:basedOn w:val="Normal"/>
    <w:next w:val="FootnoteText"/>
    <w:uiPriority w:val="99"/>
    <w:semiHidden/>
    <w:unhideWhenUsed/>
    <w:qFormat/>
    <w:rsid w:val="00005022"/>
    <w:rPr>
      <w:rFonts w:asciiTheme="minorHAnsi" w:eastAsiaTheme="minorHAnsi" w:hAnsiTheme="minorHAnsi" w:cstheme="minorBidi"/>
      <w:sz w:val="20"/>
      <w:szCs w:val="20"/>
      <w:lang w:val="hr-BA" w:eastAsia="en-US"/>
    </w:rPr>
  </w:style>
  <w:style w:type="table" w:customStyle="1" w:styleId="TableGridLight115">
    <w:name w:val="Table Grid Light115"/>
    <w:basedOn w:val="TableNormal"/>
    <w:uiPriority w:val="40"/>
    <w:rsid w:val="00B02183"/>
    <w:pPr>
      <w:spacing w:after="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6">
    <w:name w:val="Table Grid Light116"/>
    <w:basedOn w:val="TableNormal"/>
    <w:uiPriority w:val="40"/>
    <w:rsid w:val="00B02183"/>
    <w:pPr>
      <w:spacing w:after="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7">
    <w:name w:val="Table Grid Light117"/>
    <w:basedOn w:val="TableNormal"/>
    <w:uiPriority w:val="40"/>
    <w:rsid w:val="00E42F38"/>
    <w:pPr>
      <w:spacing w:after="0" w:line="240" w:lineRule="auto"/>
    </w:pPr>
    <w:rPr>
      <w:rFonts w:ascii="Calibri" w:eastAsia="Calibri" w:hAnsi="Calibri" w:cs="Arial"/>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526">
      <w:bodyDiv w:val="1"/>
      <w:marLeft w:val="0"/>
      <w:marRight w:val="0"/>
      <w:marTop w:val="0"/>
      <w:marBottom w:val="0"/>
      <w:divBdr>
        <w:top w:val="none" w:sz="0" w:space="0" w:color="auto"/>
        <w:left w:val="none" w:sz="0" w:space="0" w:color="auto"/>
        <w:bottom w:val="none" w:sz="0" w:space="0" w:color="auto"/>
        <w:right w:val="none" w:sz="0" w:space="0" w:color="auto"/>
      </w:divBdr>
    </w:div>
    <w:div w:id="11342373">
      <w:bodyDiv w:val="1"/>
      <w:marLeft w:val="0"/>
      <w:marRight w:val="0"/>
      <w:marTop w:val="0"/>
      <w:marBottom w:val="0"/>
      <w:divBdr>
        <w:top w:val="none" w:sz="0" w:space="0" w:color="auto"/>
        <w:left w:val="none" w:sz="0" w:space="0" w:color="auto"/>
        <w:bottom w:val="none" w:sz="0" w:space="0" w:color="auto"/>
        <w:right w:val="none" w:sz="0" w:space="0" w:color="auto"/>
      </w:divBdr>
    </w:div>
    <w:div w:id="71398132">
      <w:bodyDiv w:val="1"/>
      <w:marLeft w:val="0"/>
      <w:marRight w:val="0"/>
      <w:marTop w:val="0"/>
      <w:marBottom w:val="0"/>
      <w:divBdr>
        <w:top w:val="none" w:sz="0" w:space="0" w:color="auto"/>
        <w:left w:val="none" w:sz="0" w:space="0" w:color="auto"/>
        <w:bottom w:val="none" w:sz="0" w:space="0" w:color="auto"/>
        <w:right w:val="none" w:sz="0" w:space="0" w:color="auto"/>
      </w:divBdr>
    </w:div>
    <w:div w:id="120342777">
      <w:bodyDiv w:val="1"/>
      <w:marLeft w:val="0"/>
      <w:marRight w:val="0"/>
      <w:marTop w:val="0"/>
      <w:marBottom w:val="0"/>
      <w:divBdr>
        <w:top w:val="none" w:sz="0" w:space="0" w:color="auto"/>
        <w:left w:val="none" w:sz="0" w:space="0" w:color="auto"/>
        <w:bottom w:val="none" w:sz="0" w:space="0" w:color="auto"/>
        <w:right w:val="none" w:sz="0" w:space="0" w:color="auto"/>
      </w:divBdr>
    </w:div>
    <w:div w:id="131027946">
      <w:bodyDiv w:val="1"/>
      <w:marLeft w:val="0"/>
      <w:marRight w:val="0"/>
      <w:marTop w:val="0"/>
      <w:marBottom w:val="0"/>
      <w:divBdr>
        <w:top w:val="none" w:sz="0" w:space="0" w:color="auto"/>
        <w:left w:val="none" w:sz="0" w:space="0" w:color="auto"/>
        <w:bottom w:val="none" w:sz="0" w:space="0" w:color="auto"/>
        <w:right w:val="none" w:sz="0" w:space="0" w:color="auto"/>
      </w:divBdr>
    </w:div>
    <w:div w:id="137845323">
      <w:bodyDiv w:val="1"/>
      <w:marLeft w:val="0"/>
      <w:marRight w:val="0"/>
      <w:marTop w:val="0"/>
      <w:marBottom w:val="0"/>
      <w:divBdr>
        <w:top w:val="none" w:sz="0" w:space="0" w:color="auto"/>
        <w:left w:val="none" w:sz="0" w:space="0" w:color="auto"/>
        <w:bottom w:val="none" w:sz="0" w:space="0" w:color="auto"/>
        <w:right w:val="none" w:sz="0" w:space="0" w:color="auto"/>
      </w:divBdr>
    </w:div>
    <w:div w:id="139422318">
      <w:bodyDiv w:val="1"/>
      <w:marLeft w:val="0"/>
      <w:marRight w:val="0"/>
      <w:marTop w:val="0"/>
      <w:marBottom w:val="0"/>
      <w:divBdr>
        <w:top w:val="none" w:sz="0" w:space="0" w:color="auto"/>
        <w:left w:val="none" w:sz="0" w:space="0" w:color="auto"/>
        <w:bottom w:val="none" w:sz="0" w:space="0" w:color="auto"/>
        <w:right w:val="none" w:sz="0" w:space="0" w:color="auto"/>
      </w:divBdr>
    </w:div>
    <w:div w:id="143471083">
      <w:bodyDiv w:val="1"/>
      <w:marLeft w:val="0"/>
      <w:marRight w:val="0"/>
      <w:marTop w:val="0"/>
      <w:marBottom w:val="0"/>
      <w:divBdr>
        <w:top w:val="none" w:sz="0" w:space="0" w:color="auto"/>
        <w:left w:val="none" w:sz="0" w:space="0" w:color="auto"/>
        <w:bottom w:val="none" w:sz="0" w:space="0" w:color="auto"/>
        <w:right w:val="none" w:sz="0" w:space="0" w:color="auto"/>
      </w:divBdr>
    </w:div>
    <w:div w:id="198858171">
      <w:bodyDiv w:val="1"/>
      <w:marLeft w:val="0"/>
      <w:marRight w:val="0"/>
      <w:marTop w:val="0"/>
      <w:marBottom w:val="0"/>
      <w:divBdr>
        <w:top w:val="none" w:sz="0" w:space="0" w:color="auto"/>
        <w:left w:val="none" w:sz="0" w:space="0" w:color="auto"/>
        <w:bottom w:val="none" w:sz="0" w:space="0" w:color="auto"/>
        <w:right w:val="none" w:sz="0" w:space="0" w:color="auto"/>
      </w:divBdr>
    </w:div>
    <w:div w:id="288123084">
      <w:bodyDiv w:val="1"/>
      <w:marLeft w:val="0"/>
      <w:marRight w:val="0"/>
      <w:marTop w:val="0"/>
      <w:marBottom w:val="0"/>
      <w:divBdr>
        <w:top w:val="none" w:sz="0" w:space="0" w:color="auto"/>
        <w:left w:val="none" w:sz="0" w:space="0" w:color="auto"/>
        <w:bottom w:val="none" w:sz="0" w:space="0" w:color="auto"/>
        <w:right w:val="none" w:sz="0" w:space="0" w:color="auto"/>
      </w:divBdr>
    </w:div>
    <w:div w:id="291064076">
      <w:bodyDiv w:val="1"/>
      <w:marLeft w:val="0"/>
      <w:marRight w:val="0"/>
      <w:marTop w:val="0"/>
      <w:marBottom w:val="0"/>
      <w:divBdr>
        <w:top w:val="none" w:sz="0" w:space="0" w:color="auto"/>
        <w:left w:val="none" w:sz="0" w:space="0" w:color="auto"/>
        <w:bottom w:val="none" w:sz="0" w:space="0" w:color="auto"/>
        <w:right w:val="none" w:sz="0" w:space="0" w:color="auto"/>
      </w:divBdr>
    </w:div>
    <w:div w:id="322316636">
      <w:bodyDiv w:val="1"/>
      <w:marLeft w:val="0"/>
      <w:marRight w:val="0"/>
      <w:marTop w:val="0"/>
      <w:marBottom w:val="0"/>
      <w:divBdr>
        <w:top w:val="none" w:sz="0" w:space="0" w:color="auto"/>
        <w:left w:val="none" w:sz="0" w:space="0" w:color="auto"/>
        <w:bottom w:val="none" w:sz="0" w:space="0" w:color="auto"/>
        <w:right w:val="none" w:sz="0" w:space="0" w:color="auto"/>
      </w:divBdr>
    </w:div>
    <w:div w:id="349137786">
      <w:bodyDiv w:val="1"/>
      <w:marLeft w:val="0"/>
      <w:marRight w:val="0"/>
      <w:marTop w:val="0"/>
      <w:marBottom w:val="0"/>
      <w:divBdr>
        <w:top w:val="none" w:sz="0" w:space="0" w:color="auto"/>
        <w:left w:val="none" w:sz="0" w:space="0" w:color="auto"/>
        <w:bottom w:val="none" w:sz="0" w:space="0" w:color="auto"/>
        <w:right w:val="none" w:sz="0" w:space="0" w:color="auto"/>
      </w:divBdr>
    </w:div>
    <w:div w:id="361982365">
      <w:bodyDiv w:val="1"/>
      <w:marLeft w:val="0"/>
      <w:marRight w:val="0"/>
      <w:marTop w:val="0"/>
      <w:marBottom w:val="0"/>
      <w:divBdr>
        <w:top w:val="none" w:sz="0" w:space="0" w:color="auto"/>
        <w:left w:val="none" w:sz="0" w:space="0" w:color="auto"/>
        <w:bottom w:val="none" w:sz="0" w:space="0" w:color="auto"/>
        <w:right w:val="none" w:sz="0" w:space="0" w:color="auto"/>
      </w:divBdr>
    </w:div>
    <w:div w:id="368651759">
      <w:bodyDiv w:val="1"/>
      <w:marLeft w:val="0"/>
      <w:marRight w:val="0"/>
      <w:marTop w:val="0"/>
      <w:marBottom w:val="0"/>
      <w:divBdr>
        <w:top w:val="none" w:sz="0" w:space="0" w:color="auto"/>
        <w:left w:val="none" w:sz="0" w:space="0" w:color="auto"/>
        <w:bottom w:val="none" w:sz="0" w:space="0" w:color="auto"/>
        <w:right w:val="none" w:sz="0" w:space="0" w:color="auto"/>
      </w:divBdr>
    </w:div>
    <w:div w:id="370761889">
      <w:bodyDiv w:val="1"/>
      <w:marLeft w:val="0"/>
      <w:marRight w:val="0"/>
      <w:marTop w:val="0"/>
      <w:marBottom w:val="0"/>
      <w:divBdr>
        <w:top w:val="none" w:sz="0" w:space="0" w:color="auto"/>
        <w:left w:val="none" w:sz="0" w:space="0" w:color="auto"/>
        <w:bottom w:val="none" w:sz="0" w:space="0" w:color="auto"/>
        <w:right w:val="none" w:sz="0" w:space="0" w:color="auto"/>
      </w:divBdr>
    </w:div>
    <w:div w:id="421344547">
      <w:bodyDiv w:val="1"/>
      <w:marLeft w:val="0"/>
      <w:marRight w:val="0"/>
      <w:marTop w:val="0"/>
      <w:marBottom w:val="0"/>
      <w:divBdr>
        <w:top w:val="none" w:sz="0" w:space="0" w:color="auto"/>
        <w:left w:val="none" w:sz="0" w:space="0" w:color="auto"/>
        <w:bottom w:val="none" w:sz="0" w:space="0" w:color="auto"/>
        <w:right w:val="none" w:sz="0" w:space="0" w:color="auto"/>
      </w:divBdr>
    </w:div>
    <w:div w:id="428430085">
      <w:bodyDiv w:val="1"/>
      <w:marLeft w:val="0"/>
      <w:marRight w:val="0"/>
      <w:marTop w:val="0"/>
      <w:marBottom w:val="0"/>
      <w:divBdr>
        <w:top w:val="none" w:sz="0" w:space="0" w:color="auto"/>
        <w:left w:val="none" w:sz="0" w:space="0" w:color="auto"/>
        <w:bottom w:val="none" w:sz="0" w:space="0" w:color="auto"/>
        <w:right w:val="none" w:sz="0" w:space="0" w:color="auto"/>
      </w:divBdr>
    </w:div>
    <w:div w:id="443501844">
      <w:bodyDiv w:val="1"/>
      <w:marLeft w:val="0"/>
      <w:marRight w:val="0"/>
      <w:marTop w:val="0"/>
      <w:marBottom w:val="0"/>
      <w:divBdr>
        <w:top w:val="none" w:sz="0" w:space="0" w:color="auto"/>
        <w:left w:val="none" w:sz="0" w:space="0" w:color="auto"/>
        <w:bottom w:val="none" w:sz="0" w:space="0" w:color="auto"/>
        <w:right w:val="none" w:sz="0" w:space="0" w:color="auto"/>
      </w:divBdr>
    </w:div>
    <w:div w:id="467819193">
      <w:bodyDiv w:val="1"/>
      <w:marLeft w:val="0"/>
      <w:marRight w:val="0"/>
      <w:marTop w:val="0"/>
      <w:marBottom w:val="0"/>
      <w:divBdr>
        <w:top w:val="none" w:sz="0" w:space="0" w:color="auto"/>
        <w:left w:val="none" w:sz="0" w:space="0" w:color="auto"/>
        <w:bottom w:val="none" w:sz="0" w:space="0" w:color="auto"/>
        <w:right w:val="none" w:sz="0" w:space="0" w:color="auto"/>
      </w:divBdr>
    </w:div>
    <w:div w:id="484443779">
      <w:bodyDiv w:val="1"/>
      <w:marLeft w:val="0"/>
      <w:marRight w:val="0"/>
      <w:marTop w:val="0"/>
      <w:marBottom w:val="0"/>
      <w:divBdr>
        <w:top w:val="none" w:sz="0" w:space="0" w:color="auto"/>
        <w:left w:val="none" w:sz="0" w:space="0" w:color="auto"/>
        <w:bottom w:val="none" w:sz="0" w:space="0" w:color="auto"/>
        <w:right w:val="none" w:sz="0" w:space="0" w:color="auto"/>
      </w:divBdr>
    </w:div>
    <w:div w:id="497505563">
      <w:bodyDiv w:val="1"/>
      <w:marLeft w:val="0"/>
      <w:marRight w:val="0"/>
      <w:marTop w:val="0"/>
      <w:marBottom w:val="0"/>
      <w:divBdr>
        <w:top w:val="none" w:sz="0" w:space="0" w:color="auto"/>
        <w:left w:val="none" w:sz="0" w:space="0" w:color="auto"/>
        <w:bottom w:val="none" w:sz="0" w:space="0" w:color="auto"/>
        <w:right w:val="none" w:sz="0" w:space="0" w:color="auto"/>
      </w:divBdr>
    </w:div>
    <w:div w:id="510074153">
      <w:bodyDiv w:val="1"/>
      <w:marLeft w:val="0"/>
      <w:marRight w:val="0"/>
      <w:marTop w:val="0"/>
      <w:marBottom w:val="0"/>
      <w:divBdr>
        <w:top w:val="none" w:sz="0" w:space="0" w:color="auto"/>
        <w:left w:val="none" w:sz="0" w:space="0" w:color="auto"/>
        <w:bottom w:val="none" w:sz="0" w:space="0" w:color="auto"/>
        <w:right w:val="none" w:sz="0" w:space="0" w:color="auto"/>
      </w:divBdr>
    </w:div>
    <w:div w:id="519395241">
      <w:bodyDiv w:val="1"/>
      <w:marLeft w:val="0"/>
      <w:marRight w:val="0"/>
      <w:marTop w:val="0"/>
      <w:marBottom w:val="0"/>
      <w:divBdr>
        <w:top w:val="none" w:sz="0" w:space="0" w:color="auto"/>
        <w:left w:val="none" w:sz="0" w:space="0" w:color="auto"/>
        <w:bottom w:val="none" w:sz="0" w:space="0" w:color="auto"/>
        <w:right w:val="none" w:sz="0" w:space="0" w:color="auto"/>
      </w:divBdr>
    </w:div>
    <w:div w:id="531503623">
      <w:bodyDiv w:val="1"/>
      <w:marLeft w:val="0"/>
      <w:marRight w:val="0"/>
      <w:marTop w:val="0"/>
      <w:marBottom w:val="0"/>
      <w:divBdr>
        <w:top w:val="none" w:sz="0" w:space="0" w:color="auto"/>
        <w:left w:val="none" w:sz="0" w:space="0" w:color="auto"/>
        <w:bottom w:val="none" w:sz="0" w:space="0" w:color="auto"/>
        <w:right w:val="none" w:sz="0" w:space="0" w:color="auto"/>
      </w:divBdr>
    </w:div>
    <w:div w:id="540747996">
      <w:bodyDiv w:val="1"/>
      <w:marLeft w:val="0"/>
      <w:marRight w:val="0"/>
      <w:marTop w:val="0"/>
      <w:marBottom w:val="0"/>
      <w:divBdr>
        <w:top w:val="none" w:sz="0" w:space="0" w:color="auto"/>
        <w:left w:val="none" w:sz="0" w:space="0" w:color="auto"/>
        <w:bottom w:val="none" w:sz="0" w:space="0" w:color="auto"/>
        <w:right w:val="none" w:sz="0" w:space="0" w:color="auto"/>
      </w:divBdr>
    </w:div>
    <w:div w:id="592511837">
      <w:bodyDiv w:val="1"/>
      <w:marLeft w:val="0"/>
      <w:marRight w:val="0"/>
      <w:marTop w:val="0"/>
      <w:marBottom w:val="0"/>
      <w:divBdr>
        <w:top w:val="none" w:sz="0" w:space="0" w:color="auto"/>
        <w:left w:val="none" w:sz="0" w:space="0" w:color="auto"/>
        <w:bottom w:val="none" w:sz="0" w:space="0" w:color="auto"/>
        <w:right w:val="none" w:sz="0" w:space="0" w:color="auto"/>
      </w:divBdr>
    </w:div>
    <w:div w:id="618150334">
      <w:bodyDiv w:val="1"/>
      <w:marLeft w:val="0"/>
      <w:marRight w:val="0"/>
      <w:marTop w:val="0"/>
      <w:marBottom w:val="0"/>
      <w:divBdr>
        <w:top w:val="none" w:sz="0" w:space="0" w:color="auto"/>
        <w:left w:val="none" w:sz="0" w:space="0" w:color="auto"/>
        <w:bottom w:val="none" w:sz="0" w:space="0" w:color="auto"/>
        <w:right w:val="none" w:sz="0" w:space="0" w:color="auto"/>
      </w:divBdr>
    </w:div>
    <w:div w:id="638461634">
      <w:bodyDiv w:val="1"/>
      <w:marLeft w:val="0"/>
      <w:marRight w:val="0"/>
      <w:marTop w:val="0"/>
      <w:marBottom w:val="0"/>
      <w:divBdr>
        <w:top w:val="none" w:sz="0" w:space="0" w:color="auto"/>
        <w:left w:val="none" w:sz="0" w:space="0" w:color="auto"/>
        <w:bottom w:val="none" w:sz="0" w:space="0" w:color="auto"/>
        <w:right w:val="none" w:sz="0" w:space="0" w:color="auto"/>
      </w:divBdr>
    </w:div>
    <w:div w:id="673072597">
      <w:bodyDiv w:val="1"/>
      <w:marLeft w:val="0"/>
      <w:marRight w:val="0"/>
      <w:marTop w:val="0"/>
      <w:marBottom w:val="0"/>
      <w:divBdr>
        <w:top w:val="none" w:sz="0" w:space="0" w:color="auto"/>
        <w:left w:val="none" w:sz="0" w:space="0" w:color="auto"/>
        <w:bottom w:val="none" w:sz="0" w:space="0" w:color="auto"/>
        <w:right w:val="none" w:sz="0" w:space="0" w:color="auto"/>
      </w:divBdr>
    </w:div>
    <w:div w:id="674038907">
      <w:bodyDiv w:val="1"/>
      <w:marLeft w:val="0"/>
      <w:marRight w:val="0"/>
      <w:marTop w:val="0"/>
      <w:marBottom w:val="0"/>
      <w:divBdr>
        <w:top w:val="none" w:sz="0" w:space="0" w:color="auto"/>
        <w:left w:val="none" w:sz="0" w:space="0" w:color="auto"/>
        <w:bottom w:val="none" w:sz="0" w:space="0" w:color="auto"/>
        <w:right w:val="none" w:sz="0" w:space="0" w:color="auto"/>
      </w:divBdr>
    </w:div>
    <w:div w:id="705325422">
      <w:bodyDiv w:val="1"/>
      <w:marLeft w:val="0"/>
      <w:marRight w:val="0"/>
      <w:marTop w:val="0"/>
      <w:marBottom w:val="0"/>
      <w:divBdr>
        <w:top w:val="none" w:sz="0" w:space="0" w:color="auto"/>
        <w:left w:val="none" w:sz="0" w:space="0" w:color="auto"/>
        <w:bottom w:val="none" w:sz="0" w:space="0" w:color="auto"/>
        <w:right w:val="none" w:sz="0" w:space="0" w:color="auto"/>
      </w:divBdr>
    </w:div>
    <w:div w:id="828132929">
      <w:bodyDiv w:val="1"/>
      <w:marLeft w:val="0"/>
      <w:marRight w:val="0"/>
      <w:marTop w:val="0"/>
      <w:marBottom w:val="0"/>
      <w:divBdr>
        <w:top w:val="none" w:sz="0" w:space="0" w:color="auto"/>
        <w:left w:val="none" w:sz="0" w:space="0" w:color="auto"/>
        <w:bottom w:val="none" w:sz="0" w:space="0" w:color="auto"/>
        <w:right w:val="none" w:sz="0" w:space="0" w:color="auto"/>
      </w:divBdr>
    </w:div>
    <w:div w:id="849951690">
      <w:bodyDiv w:val="1"/>
      <w:marLeft w:val="0"/>
      <w:marRight w:val="0"/>
      <w:marTop w:val="0"/>
      <w:marBottom w:val="0"/>
      <w:divBdr>
        <w:top w:val="none" w:sz="0" w:space="0" w:color="auto"/>
        <w:left w:val="none" w:sz="0" w:space="0" w:color="auto"/>
        <w:bottom w:val="none" w:sz="0" w:space="0" w:color="auto"/>
        <w:right w:val="none" w:sz="0" w:space="0" w:color="auto"/>
      </w:divBdr>
    </w:div>
    <w:div w:id="879587979">
      <w:bodyDiv w:val="1"/>
      <w:marLeft w:val="0"/>
      <w:marRight w:val="0"/>
      <w:marTop w:val="0"/>
      <w:marBottom w:val="0"/>
      <w:divBdr>
        <w:top w:val="none" w:sz="0" w:space="0" w:color="auto"/>
        <w:left w:val="none" w:sz="0" w:space="0" w:color="auto"/>
        <w:bottom w:val="none" w:sz="0" w:space="0" w:color="auto"/>
        <w:right w:val="none" w:sz="0" w:space="0" w:color="auto"/>
      </w:divBdr>
    </w:div>
    <w:div w:id="983511724">
      <w:bodyDiv w:val="1"/>
      <w:marLeft w:val="0"/>
      <w:marRight w:val="0"/>
      <w:marTop w:val="0"/>
      <w:marBottom w:val="0"/>
      <w:divBdr>
        <w:top w:val="none" w:sz="0" w:space="0" w:color="auto"/>
        <w:left w:val="none" w:sz="0" w:space="0" w:color="auto"/>
        <w:bottom w:val="none" w:sz="0" w:space="0" w:color="auto"/>
        <w:right w:val="none" w:sz="0" w:space="0" w:color="auto"/>
      </w:divBdr>
    </w:div>
    <w:div w:id="1053118719">
      <w:bodyDiv w:val="1"/>
      <w:marLeft w:val="0"/>
      <w:marRight w:val="0"/>
      <w:marTop w:val="0"/>
      <w:marBottom w:val="0"/>
      <w:divBdr>
        <w:top w:val="none" w:sz="0" w:space="0" w:color="auto"/>
        <w:left w:val="none" w:sz="0" w:space="0" w:color="auto"/>
        <w:bottom w:val="none" w:sz="0" w:space="0" w:color="auto"/>
        <w:right w:val="none" w:sz="0" w:space="0" w:color="auto"/>
      </w:divBdr>
    </w:div>
    <w:div w:id="1061028002">
      <w:bodyDiv w:val="1"/>
      <w:marLeft w:val="0"/>
      <w:marRight w:val="0"/>
      <w:marTop w:val="0"/>
      <w:marBottom w:val="0"/>
      <w:divBdr>
        <w:top w:val="none" w:sz="0" w:space="0" w:color="auto"/>
        <w:left w:val="none" w:sz="0" w:space="0" w:color="auto"/>
        <w:bottom w:val="none" w:sz="0" w:space="0" w:color="auto"/>
        <w:right w:val="none" w:sz="0" w:space="0" w:color="auto"/>
      </w:divBdr>
    </w:div>
    <w:div w:id="1079251455">
      <w:bodyDiv w:val="1"/>
      <w:marLeft w:val="0"/>
      <w:marRight w:val="0"/>
      <w:marTop w:val="0"/>
      <w:marBottom w:val="0"/>
      <w:divBdr>
        <w:top w:val="none" w:sz="0" w:space="0" w:color="auto"/>
        <w:left w:val="none" w:sz="0" w:space="0" w:color="auto"/>
        <w:bottom w:val="none" w:sz="0" w:space="0" w:color="auto"/>
        <w:right w:val="none" w:sz="0" w:space="0" w:color="auto"/>
      </w:divBdr>
    </w:div>
    <w:div w:id="1081366200">
      <w:bodyDiv w:val="1"/>
      <w:marLeft w:val="0"/>
      <w:marRight w:val="0"/>
      <w:marTop w:val="0"/>
      <w:marBottom w:val="0"/>
      <w:divBdr>
        <w:top w:val="none" w:sz="0" w:space="0" w:color="auto"/>
        <w:left w:val="none" w:sz="0" w:space="0" w:color="auto"/>
        <w:bottom w:val="none" w:sz="0" w:space="0" w:color="auto"/>
        <w:right w:val="none" w:sz="0" w:space="0" w:color="auto"/>
      </w:divBdr>
    </w:div>
    <w:div w:id="1086537826">
      <w:bodyDiv w:val="1"/>
      <w:marLeft w:val="0"/>
      <w:marRight w:val="0"/>
      <w:marTop w:val="0"/>
      <w:marBottom w:val="0"/>
      <w:divBdr>
        <w:top w:val="none" w:sz="0" w:space="0" w:color="auto"/>
        <w:left w:val="none" w:sz="0" w:space="0" w:color="auto"/>
        <w:bottom w:val="none" w:sz="0" w:space="0" w:color="auto"/>
        <w:right w:val="none" w:sz="0" w:space="0" w:color="auto"/>
      </w:divBdr>
    </w:div>
    <w:div w:id="1128084932">
      <w:bodyDiv w:val="1"/>
      <w:marLeft w:val="0"/>
      <w:marRight w:val="0"/>
      <w:marTop w:val="0"/>
      <w:marBottom w:val="0"/>
      <w:divBdr>
        <w:top w:val="none" w:sz="0" w:space="0" w:color="auto"/>
        <w:left w:val="none" w:sz="0" w:space="0" w:color="auto"/>
        <w:bottom w:val="none" w:sz="0" w:space="0" w:color="auto"/>
        <w:right w:val="none" w:sz="0" w:space="0" w:color="auto"/>
      </w:divBdr>
    </w:div>
    <w:div w:id="1154951747">
      <w:bodyDiv w:val="1"/>
      <w:marLeft w:val="0"/>
      <w:marRight w:val="0"/>
      <w:marTop w:val="0"/>
      <w:marBottom w:val="0"/>
      <w:divBdr>
        <w:top w:val="none" w:sz="0" w:space="0" w:color="auto"/>
        <w:left w:val="none" w:sz="0" w:space="0" w:color="auto"/>
        <w:bottom w:val="none" w:sz="0" w:space="0" w:color="auto"/>
        <w:right w:val="none" w:sz="0" w:space="0" w:color="auto"/>
      </w:divBdr>
    </w:div>
    <w:div w:id="1156796102">
      <w:bodyDiv w:val="1"/>
      <w:marLeft w:val="0"/>
      <w:marRight w:val="0"/>
      <w:marTop w:val="0"/>
      <w:marBottom w:val="0"/>
      <w:divBdr>
        <w:top w:val="none" w:sz="0" w:space="0" w:color="auto"/>
        <w:left w:val="none" w:sz="0" w:space="0" w:color="auto"/>
        <w:bottom w:val="none" w:sz="0" w:space="0" w:color="auto"/>
        <w:right w:val="none" w:sz="0" w:space="0" w:color="auto"/>
      </w:divBdr>
    </w:div>
    <w:div w:id="1206061066">
      <w:bodyDiv w:val="1"/>
      <w:marLeft w:val="0"/>
      <w:marRight w:val="0"/>
      <w:marTop w:val="0"/>
      <w:marBottom w:val="0"/>
      <w:divBdr>
        <w:top w:val="none" w:sz="0" w:space="0" w:color="auto"/>
        <w:left w:val="none" w:sz="0" w:space="0" w:color="auto"/>
        <w:bottom w:val="none" w:sz="0" w:space="0" w:color="auto"/>
        <w:right w:val="none" w:sz="0" w:space="0" w:color="auto"/>
      </w:divBdr>
    </w:div>
    <w:div w:id="1209296079">
      <w:bodyDiv w:val="1"/>
      <w:marLeft w:val="0"/>
      <w:marRight w:val="0"/>
      <w:marTop w:val="0"/>
      <w:marBottom w:val="0"/>
      <w:divBdr>
        <w:top w:val="none" w:sz="0" w:space="0" w:color="auto"/>
        <w:left w:val="none" w:sz="0" w:space="0" w:color="auto"/>
        <w:bottom w:val="none" w:sz="0" w:space="0" w:color="auto"/>
        <w:right w:val="none" w:sz="0" w:space="0" w:color="auto"/>
      </w:divBdr>
    </w:div>
    <w:div w:id="1223833373">
      <w:bodyDiv w:val="1"/>
      <w:marLeft w:val="0"/>
      <w:marRight w:val="0"/>
      <w:marTop w:val="0"/>
      <w:marBottom w:val="0"/>
      <w:divBdr>
        <w:top w:val="none" w:sz="0" w:space="0" w:color="auto"/>
        <w:left w:val="none" w:sz="0" w:space="0" w:color="auto"/>
        <w:bottom w:val="none" w:sz="0" w:space="0" w:color="auto"/>
        <w:right w:val="none" w:sz="0" w:space="0" w:color="auto"/>
      </w:divBdr>
    </w:div>
    <w:div w:id="1272474237">
      <w:bodyDiv w:val="1"/>
      <w:marLeft w:val="0"/>
      <w:marRight w:val="0"/>
      <w:marTop w:val="0"/>
      <w:marBottom w:val="0"/>
      <w:divBdr>
        <w:top w:val="none" w:sz="0" w:space="0" w:color="auto"/>
        <w:left w:val="none" w:sz="0" w:space="0" w:color="auto"/>
        <w:bottom w:val="none" w:sz="0" w:space="0" w:color="auto"/>
        <w:right w:val="none" w:sz="0" w:space="0" w:color="auto"/>
      </w:divBdr>
    </w:div>
    <w:div w:id="1305115834">
      <w:bodyDiv w:val="1"/>
      <w:marLeft w:val="0"/>
      <w:marRight w:val="0"/>
      <w:marTop w:val="0"/>
      <w:marBottom w:val="0"/>
      <w:divBdr>
        <w:top w:val="none" w:sz="0" w:space="0" w:color="auto"/>
        <w:left w:val="none" w:sz="0" w:space="0" w:color="auto"/>
        <w:bottom w:val="none" w:sz="0" w:space="0" w:color="auto"/>
        <w:right w:val="none" w:sz="0" w:space="0" w:color="auto"/>
      </w:divBdr>
    </w:div>
    <w:div w:id="1400207628">
      <w:bodyDiv w:val="1"/>
      <w:marLeft w:val="0"/>
      <w:marRight w:val="0"/>
      <w:marTop w:val="0"/>
      <w:marBottom w:val="0"/>
      <w:divBdr>
        <w:top w:val="none" w:sz="0" w:space="0" w:color="auto"/>
        <w:left w:val="none" w:sz="0" w:space="0" w:color="auto"/>
        <w:bottom w:val="none" w:sz="0" w:space="0" w:color="auto"/>
        <w:right w:val="none" w:sz="0" w:space="0" w:color="auto"/>
      </w:divBdr>
    </w:div>
    <w:div w:id="1435243064">
      <w:bodyDiv w:val="1"/>
      <w:marLeft w:val="0"/>
      <w:marRight w:val="0"/>
      <w:marTop w:val="0"/>
      <w:marBottom w:val="0"/>
      <w:divBdr>
        <w:top w:val="none" w:sz="0" w:space="0" w:color="auto"/>
        <w:left w:val="none" w:sz="0" w:space="0" w:color="auto"/>
        <w:bottom w:val="none" w:sz="0" w:space="0" w:color="auto"/>
        <w:right w:val="none" w:sz="0" w:space="0" w:color="auto"/>
      </w:divBdr>
    </w:div>
    <w:div w:id="1449853030">
      <w:bodyDiv w:val="1"/>
      <w:marLeft w:val="0"/>
      <w:marRight w:val="0"/>
      <w:marTop w:val="0"/>
      <w:marBottom w:val="0"/>
      <w:divBdr>
        <w:top w:val="none" w:sz="0" w:space="0" w:color="auto"/>
        <w:left w:val="none" w:sz="0" w:space="0" w:color="auto"/>
        <w:bottom w:val="none" w:sz="0" w:space="0" w:color="auto"/>
        <w:right w:val="none" w:sz="0" w:space="0" w:color="auto"/>
      </w:divBdr>
    </w:div>
    <w:div w:id="1451435895">
      <w:bodyDiv w:val="1"/>
      <w:marLeft w:val="0"/>
      <w:marRight w:val="0"/>
      <w:marTop w:val="0"/>
      <w:marBottom w:val="0"/>
      <w:divBdr>
        <w:top w:val="none" w:sz="0" w:space="0" w:color="auto"/>
        <w:left w:val="none" w:sz="0" w:space="0" w:color="auto"/>
        <w:bottom w:val="none" w:sz="0" w:space="0" w:color="auto"/>
        <w:right w:val="none" w:sz="0" w:space="0" w:color="auto"/>
      </w:divBdr>
    </w:div>
    <w:div w:id="1463109519">
      <w:bodyDiv w:val="1"/>
      <w:marLeft w:val="0"/>
      <w:marRight w:val="0"/>
      <w:marTop w:val="0"/>
      <w:marBottom w:val="0"/>
      <w:divBdr>
        <w:top w:val="none" w:sz="0" w:space="0" w:color="auto"/>
        <w:left w:val="none" w:sz="0" w:space="0" w:color="auto"/>
        <w:bottom w:val="none" w:sz="0" w:space="0" w:color="auto"/>
        <w:right w:val="none" w:sz="0" w:space="0" w:color="auto"/>
      </w:divBdr>
    </w:div>
    <w:div w:id="1466122166">
      <w:bodyDiv w:val="1"/>
      <w:marLeft w:val="0"/>
      <w:marRight w:val="0"/>
      <w:marTop w:val="0"/>
      <w:marBottom w:val="0"/>
      <w:divBdr>
        <w:top w:val="none" w:sz="0" w:space="0" w:color="auto"/>
        <w:left w:val="none" w:sz="0" w:space="0" w:color="auto"/>
        <w:bottom w:val="none" w:sz="0" w:space="0" w:color="auto"/>
        <w:right w:val="none" w:sz="0" w:space="0" w:color="auto"/>
      </w:divBdr>
    </w:div>
    <w:div w:id="1497454204">
      <w:bodyDiv w:val="1"/>
      <w:marLeft w:val="0"/>
      <w:marRight w:val="0"/>
      <w:marTop w:val="0"/>
      <w:marBottom w:val="0"/>
      <w:divBdr>
        <w:top w:val="none" w:sz="0" w:space="0" w:color="auto"/>
        <w:left w:val="none" w:sz="0" w:space="0" w:color="auto"/>
        <w:bottom w:val="none" w:sz="0" w:space="0" w:color="auto"/>
        <w:right w:val="none" w:sz="0" w:space="0" w:color="auto"/>
      </w:divBdr>
    </w:div>
    <w:div w:id="1557547967">
      <w:bodyDiv w:val="1"/>
      <w:marLeft w:val="0"/>
      <w:marRight w:val="0"/>
      <w:marTop w:val="0"/>
      <w:marBottom w:val="0"/>
      <w:divBdr>
        <w:top w:val="none" w:sz="0" w:space="0" w:color="auto"/>
        <w:left w:val="none" w:sz="0" w:space="0" w:color="auto"/>
        <w:bottom w:val="none" w:sz="0" w:space="0" w:color="auto"/>
        <w:right w:val="none" w:sz="0" w:space="0" w:color="auto"/>
      </w:divBdr>
    </w:div>
    <w:div w:id="1565144874">
      <w:bodyDiv w:val="1"/>
      <w:marLeft w:val="0"/>
      <w:marRight w:val="0"/>
      <w:marTop w:val="0"/>
      <w:marBottom w:val="0"/>
      <w:divBdr>
        <w:top w:val="none" w:sz="0" w:space="0" w:color="auto"/>
        <w:left w:val="none" w:sz="0" w:space="0" w:color="auto"/>
        <w:bottom w:val="none" w:sz="0" w:space="0" w:color="auto"/>
        <w:right w:val="none" w:sz="0" w:space="0" w:color="auto"/>
      </w:divBdr>
    </w:div>
    <w:div w:id="1619071541">
      <w:bodyDiv w:val="1"/>
      <w:marLeft w:val="0"/>
      <w:marRight w:val="0"/>
      <w:marTop w:val="0"/>
      <w:marBottom w:val="0"/>
      <w:divBdr>
        <w:top w:val="none" w:sz="0" w:space="0" w:color="auto"/>
        <w:left w:val="none" w:sz="0" w:space="0" w:color="auto"/>
        <w:bottom w:val="none" w:sz="0" w:space="0" w:color="auto"/>
        <w:right w:val="none" w:sz="0" w:space="0" w:color="auto"/>
      </w:divBdr>
    </w:div>
    <w:div w:id="1706171993">
      <w:bodyDiv w:val="1"/>
      <w:marLeft w:val="0"/>
      <w:marRight w:val="0"/>
      <w:marTop w:val="0"/>
      <w:marBottom w:val="0"/>
      <w:divBdr>
        <w:top w:val="none" w:sz="0" w:space="0" w:color="auto"/>
        <w:left w:val="none" w:sz="0" w:space="0" w:color="auto"/>
        <w:bottom w:val="none" w:sz="0" w:space="0" w:color="auto"/>
        <w:right w:val="none" w:sz="0" w:space="0" w:color="auto"/>
      </w:divBdr>
    </w:div>
    <w:div w:id="1742295094">
      <w:bodyDiv w:val="1"/>
      <w:marLeft w:val="0"/>
      <w:marRight w:val="0"/>
      <w:marTop w:val="0"/>
      <w:marBottom w:val="0"/>
      <w:divBdr>
        <w:top w:val="none" w:sz="0" w:space="0" w:color="auto"/>
        <w:left w:val="none" w:sz="0" w:space="0" w:color="auto"/>
        <w:bottom w:val="none" w:sz="0" w:space="0" w:color="auto"/>
        <w:right w:val="none" w:sz="0" w:space="0" w:color="auto"/>
      </w:divBdr>
    </w:div>
    <w:div w:id="1758207696">
      <w:bodyDiv w:val="1"/>
      <w:marLeft w:val="0"/>
      <w:marRight w:val="0"/>
      <w:marTop w:val="0"/>
      <w:marBottom w:val="0"/>
      <w:divBdr>
        <w:top w:val="none" w:sz="0" w:space="0" w:color="auto"/>
        <w:left w:val="none" w:sz="0" w:space="0" w:color="auto"/>
        <w:bottom w:val="none" w:sz="0" w:space="0" w:color="auto"/>
        <w:right w:val="none" w:sz="0" w:space="0" w:color="auto"/>
      </w:divBdr>
    </w:div>
    <w:div w:id="1758675232">
      <w:bodyDiv w:val="1"/>
      <w:marLeft w:val="0"/>
      <w:marRight w:val="0"/>
      <w:marTop w:val="0"/>
      <w:marBottom w:val="0"/>
      <w:divBdr>
        <w:top w:val="none" w:sz="0" w:space="0" w:color="auto"/>
        <w:left w:val="none" w:sz="0" w:space="0" w:color="auto"/>
        <w:bottom w:val="none" w:sz="0" w:space="0" w:color="auto"/>
        <w:right w:val="none" w:sz="0" w:space="0" w:color="auto"/>
      </w:divBdr>
    </w:div>
    <w:div w:id="1791624870">
      <w:bodyDiv w:val="1"/>
      <w:marLeft w:val="0"/>
      <w:marRight w:val="0"/>
      <w:marTop w:val="0"/>
      <w:marBottom w:val="0"/>
      <w:divBdr>
        <w:top w:val="none" w:sz="0" w:space="0" w:color="auto"/>
        <w:left w:val="none" w:sz="0" w:space="0" w:color="auto"/>
        <w:bottom w:val="none" w:sz="0" w:space="0" w:color="auto"/>
        <w:right w:val="none" w:sz="0" w:space="0" w:color="auto"/>
      </w:divBdr>
    </w:div>
    <w:div w:id="1797598783">
      <w:bodyDiv w:val="1"/>
      <w:marLeft w:val="0"/>
      <w:marRight w:val="0"/>
      <w:marTop w:val="0"/>
      <w:marBottom w:val="0"/>
      <w:divBdr>
        <w:top w:val="none" w:sz="0" w:space="0" w:color="auto"/>
        <w:left w:val="none" w:sz="0" w:space="0" w:color="auto"/>
        <w:bottom w:val="none" w:sz="0" w:space="0" w:color="auto"/>
        <w:right w:val="none" w:sz="0" w:space="0" w:color="auto"/>
      </w:divBdr>
    </w:div>
    <w:div w:id="1801678988">
      <w:bodyDiv w:val="1"/>
      <w:marLeft w:val="0"/>
      <w:marRight w:val="0"/>
      <w:marTop w:val="0"/>
      <w:marBottom w:val="0"/>
      <w:divBdr>
        <w:top w:val="none" w:sz="0" w:space="0" w:color="auto"/>
        <w:left w:val="none" w:sz="0" w:space="0" w:color="auto"/>
        <w:bottom w:val="none" w:sz="0" w:space="0" w:color="auto"/>
        <w:right w:val="none" w:sz="0" w:space="0" w:color="auto"/>
      </w:divBdr>
    </w:div>
    <w:div w:id="1815685259">
      <w:bodyDiv w:val="1"/>
      <w:marLeft w:val="0"/>
      <w:marRight w:val="0"/>
      <w:marTop w:val="0"/>
      <w:marBottom w:val="0"/>
      <w:divBdr>
        <w:top w:val="none" w:sz="0" w:space="0" w:color="auto"/>
        <w:left w:val="none" w:sz="0" w:space="0" w:color="auto"/>
        <w:bottom w:val="none" w:sz="0" w:space="0" w:color="auto"/>
        <w:right w:val="none" w:sz="0" w:space="0" w:color="auto"/>
      </w:divBdr>
    </w:div>
    <w:div w:id="1842118327">
      <w:bodyDiv w:val="1"/>
      <w:marLeft w:val="0"/>
      <w:marRight w:val="0"/>
      <w:marTop w:val="0"/>
      <w:marBottom w:val="0"/>
      <w:divBdr>
        <w:top w:val="none" w:sz="0" w:space="0" w:color="auto"/>
        <w:left w:val="none" w:sz="0" w:space="0" w:color="auto"/>
        <w:bottom w:val="none" w:sz="0" w:space="0" w:color="auto"/>
        <w:right w:val="none" w:sz="0" w:space="0" w:color="auto"/>
      </w:divBdr>
    </w:div>
    <w:div w:id="1858691295">
      <w:bodyDiv w:val="1"/>
      <w:marLeft w:val="0"/>
      <w:marRight w:val="0"/>
      <w:marTop w:val="0"/>
      <w:marBottom w:val="0"/>
      <w:divBdr>
        <w:top w:val="none" w:sz="0" w:space="0" w:color="auto"/>
        <w:left w:val="none" w:sz="0" w:space="0" w:color="auto"/>
        <w:bottom w:val="none" w:sz="0" w:space="0" w:color="auto"/>
        <w:right w:val="none" w:sz="0" w:space="0" w:color="auto"/>
      </w:divBdr>
    </w:div>
    <w:div w:id="1878278782">
      <w:bodyDiv w:val="1"/>
      <w:marLeft w:val="0"/>
      <w:marRight w:val="0"/>
      <w:marTop w:val="0"/>
      <w:marBottom w:val="0"/>
      <w:divBdr>
        <w:top w:val="none" w:sz="0" w:space="0" w:color="auto"/>
        <w:left w:val="none" w:sz="0" w:space="0" w:color="auto"/>
        <w:bottom w:val="none" w:sz="0" w:space="0" w:color="auto"/>
        <w:right w:val="none" w:sz="0" w:space="0" w:color="auto"/>
      </w:divBdr>
    </w:div>
    <w:div w:id="1878616763">
      <w:bodyDiv w:val="1"/>
      <w:marLeft w:val="0"/>
      <w:marRight w:val="0"/>
      <w:marTop w:val="0"/>
      <w:marBottom w:val="0"/>
      <w:divBdr>
        <w:top w:val="none" w:sz="0" w:space="0" w:color="auto"/>
        <w:left w:val="none" w:sz="0" w:space="0" w:color="auto"/>
        <w:bottom w:val="none" w:sz="0" w:space="0" w:color="auto"/>
        <w:right w:val="none" w:sz="0" w:space="0" w:color="auto"/>
      </w:divBdr>
    </w:div>
    <w:div w:id="1924800198">
      <w:bodyDiv w:val="1"/>
      <w:marLeft w:val="0"/>
      <w:marRight w:val="0"/>
      <w:marTop w:val="0"/>
      <w:marBottom w:val="0"/>
      <w:divBdr>
        <w:top w:val="none" w:sz="0" w:space="0" w:color="auto"/>
        <w:left w:val="none" w:sz="0" w:space="0" w:color="auto"/>
        <w:bottom w:val="none" w:sz="0" w:space="0" w:color="auto"/>
        <w:right w:val="none" w:sz="0" w:space="0" w:color="auto"/>
      </w:divBdr>
    </w:div>
    <w:div w:id="1964001764">
      <w:bodyDiv w:val="1"/>
      <w:marLeft w:val="0"/>
      <w:marRight w:val="0"/>
      <w:marTop w:val="0"/>
      <w:marBottom w:val="0"/>
      <w:divBdr>
        <w:top w:val="none" w:sz="0" w:space="0" w:color="auto"/>
        <w:left w:val="none" w:sz="0" w:space="0" w:color="auto"/>
        <w:bottom w:val="none" w:sz="0" w:space="0" w:color="auto"/>
        <w:right w:val="none" w:sz="0" w:space="0" w:color="auto"/>
      </w:divBdr>
    </w:div>
    <w:div w:id="1975981989">
      <w:bodyDiv w:val="1"/>
      <w:marLeft w:val="0"/>
      <w:marRight w:val="0"/>
      <w:marTop w:val="0"/>
      <w:marBottom w:val="0"/>
      <w:divBdr>
        <w:top w:val="none" w:sz="0" w:space="0" w:color="auto"/>
        <w:left w:val="none" w:sz="0" w:space="0" w:color="auto"/>
        <w:bottom w:val="none" w:sz="0" w:space="0" w:color="auto"/>
        <w:right w:val="none" w:sz="0" w:space="0" w:color="auto"/>
      </w:divBdr>
    </w:div>
    <w:div w:id="2010328066">
      <w:bodyDiv w:val="1"/>
      <w:marLeft w:val="0"/>
      <w:marRight w:val="0"/>
      <w:marTop w:val="0"/>
      <w:marBottom w:val="0"/>
      <w:divBdr>
        <w:top w:val="none" w:sz="0" w:space="0" w:color="auto"/>
        <w:left w:val="none" w:sz="0" w:space="0" w:color="auto"/>
        <w:bottom w:val="none" w:sz="0" w:space="0" w:color="auto"/>
        <w:right w:val="none" w:sz="0" w:space="0" w:color="auto"/>
      </w:divBdr>
    </w:div>
    <w:div w:id="2035575357">
      <w:bodyDiv w:val="1"/>
      <w:marLeft w:val="0"/>
      <w:marRight w:val="0"/>
      <w:marTop w:val="0"/>
      <w:marBottom w:val="0"/>
      <w:divBdr>
        <w:top w:val="none" w:sz="0" w:space="0" w:color="auto"/>
        <w:left w:val="none" w:sz="0" w:space="0" w:color="auto"/>
        <w:bottom w:val="none" w:sz="0" w:space="0" w:color="auto"/>
        <w:right w:val="none" w:sz="0" w:space="0" w:color="auto"/>
      </w:divBdr>
    </w:div>
    <w:div w:id="2047946788">
      <w:bodyDiv w:val="1"/>
      <w:marLeft w:val="0"/>
      <w:marRight w:val="0"/>
      <w:marTop w:val="0"/>
      <w:marBottom w:val="0"/>
      <w:divBdr>
        <w:top w:val="none" w:sz="0" w:space="0" w:color="auto"/>
        <w:left w:val="none" w:sz="0" w:space="0" w:color="auto"/>
        <w:bottom w:val="none" w:sz="0" w:space="0" w:color="auto"/>
        <w:right w:val="none" w:sz="0" w:space="0" w:color="auto"/>
      </w:divBdr>
    </w:div>
    <w:div w:id="2096053649">
      <w:bodyDiv w:val="1"/>
      <w:marLeft w:val="0"/>
      <w:marRight w:val="0"/>
      <w:marTop w:val="0"/>
      <w:marBottom w:val="0"/>
      <w:divBdr>
        <w:top w:val="none" w:sz="0" w:space="0" w:color="auto"/>
        <w:left w:val="none" w:sz="0" w:space="0" w:color="auto"/>
        <w:bottom w:val="none" w:sz="0" w:space="0" w:color="auto"/>
        <w:right w:val="none" w:sz="0" w:space="0" w:color="auto"/>
      </w:divBdr>
    </w:div>
    <w:div w:id="2112774018">
      <w:bodyDiv w:val="1"/>
      <w:marLeft w:val="0"/>
      <w:marRight w:val="0"/>
      <w:marTop w:val="0"/>
      <w:marBottom w:val="0"/>
      <w:divBdr>
        <w:top w:val="none" w:sz="0" w:space="0" w:color="auto"/>
        <w:left w:val="none" w:sz="0" w:space="0" w:color="auto"/>
        <w:bottom w:val="none" w:sz="0" w:space="0" w:color="auto"/>
        <w:right w:val="none" w:sz="0" w:space="0" w:color="auto"/>
      </w:divBdr>
    </w:div>
    <w:div w:id="2113668592">
      <w:bodyDiv w:val="1"/>
      <w:marLeft w:val="0"/>
      <w:marRight w:val="0"/>
      <w:marTop w:val="0"/>
      <w:marBottom w:val="0"/>
      <w:divBdr>
        <w:top w:val="none" w:sz="0" w:space="0" w:color="auto"/>
        <w:left w:val="none" w:sz="0" w:space="0" w:color="auto"/>
        <w:bottom w:val="none" w:sz="0" w:space="0" w:color="auto"/>
        <w:right w:val="none" w:sz="0" w:space="0" w:color="auto"/>
      </w:divBdr>
    </w:div>
    <w:div w:id="2124108576">
      <w:bodyDiv w:val="1"/>
      <w:marLeft w:val="0"/>
      <w:marRight w:val="0"/>
      <w:marTop w:val="0"/>
      <w:marBottom w:val="0"/>
      <w:divBdr>
        <w:top w:val="none" w:sz="0" w:space="0" w:color="auto"/>
        <w:left w:val="none" w:sz="0" w:space="0" w:color="auto"/>
        <w:bottom w:val="none" w:sz="0" w:space="0" w:color="auto"/>
        <w:right w:val="none" w:sz="0" w:space="0" w:color="auto"/>
      </w:divBdr>
    </w:div>
    <w:div w:id="2140806462">
      <w:bodyDiv w:val="1"/>
      <w:marLeft w:val="0"/>
      <w:marRight w:val="0"/>
      <w:marTop w:val="0"/>
      <w:marBottom w:val="0"/>
      <w:divBdr>
        <w:top w:val="none" w:sz="0" w:space="0" w:color="auto"/>
        <w:left w:val="none" w:sz="0" w:space="0" w:color="auto"/>
        <w:bottom w:val="none" w:sz="0" w:space="0" w:color="auto"/>
        <w:right w:val="none" w:sz="0" w:space="0" w:color="auto"/>
      </w:divBdr>
    </w:div>
    <w:div w:id="2143306313">
      <w:bodyDiv w:val="1"/>
      <w:marLeft w:val="0"/>
      <w:marRight w:val="0"/>
      <w:marTop w:val="0"/>
      <w:marBottom w:val="0"/>
      <w:divBdr>
        <w:top w:val="none" w:sz="0" w:space="0" w:color="auto"/>
        <w:left w:val="none" w:sz="0" w:space="0" w:color="auto"/>
        <w:bottom w:val="none" w:sz="0" w:space="0" w:color="auto"/>
        <w:right w:val="none" w:sz="0" w:space="0" w:color="auto"/>
      </w:divBdr>
    </w:div>
    <w:div w:id="2145200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D:\STANJE%20OKOLI&#352;A\III_Izvjestaj\Podaci_Stanje_voda%20(Autosaved).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B0F0"/>
              </a:solidFill>
            </c:spPr>
            <c:extLst>
              <c:ext xmlns:c16="http://schemas.microsoft.com/office/drawing/2014/chart" uri="{C3380CC4-5D6E-409C-BE32-E72D297353CC}">
                <c16:uniqueId val="{00000001-886F-4FAF-B7C9-DE3CFB822B7E}"/>
              </c:ext>
            </c:extLst>
          </c:dPt>
          <c:dPt>
            <c:idx val="1"/>
            <c:bubble3D val="0"/>
            <c:spPr>
              <a:solidFill>
                <a:srgbClr val="92D050"/>
              </a:solidFill>
            </c:spPr>
            <c:extLst>
              <c:ext xmlns:c16="http://schemas.microsoft.com/office/drawing/2014/chart" uri="{C3380CC4-5D6E-409C-BE32-E72D297353CC}">
                <c16:uniqueId val="{00000003-886F-4FAF-B7C9-DE3CFB822B7E}"/>
              </c:ext>
            </c:extLst>
          </c:dPt>
          <c:dPt>
            <c:idx val="2"/>
            <c:bubble3D val="0"/>
            <c:spPr>
              <a:solidFill>
                <a:srgbClr val="FFFF00"/>
              </a:solidFill>
            </c:spPr>
            <c:extLst>
              <c:ext xmlns:c16="http://schemas.microsoft.com/office/drawing/2014/chart" uri="{C3380CC4-5D6E-409C-BE32-E72D297353CC}">
                <c16:uniqueId val="{00000005-886F-4FAF-B7C9-DE3CFB822B7E}"/>
              </c:ext>
            </c:extLst>
          </c:dPt>
          <c:dPt>
            <c:idx val="3"/>
            <c:bubble3D val="0"/>
            <c:spPr>
              <a:solidFill>
                <a:schemeClr val="accent6"/>
              </a:solidFill>
            </c:spPr>
            <c:extLst>
              <c:ext xmlns:c16="http://schemas.microsoft.com/office/drawing/2014/chart" uri="{C3380CC4-5D6E-409C-BE32-E72D297353CC}">
                <c16:uniqueId val="{00000007-886F-4FAF-B7C9-DE3CFB822B7E}"/>
              </c:ext>
            </c:extLst>
          </c:dPt>
          <c:dPt>
            <c:idx val="4"/>
            <c:bubble3D val="0"/>
            <c:spPr>
              <a:solidFill>
                <a:srgbClr val="FF0000"/>
              </a:solidFill>
            </c:spPr>
            <c:extLst>
              <c:ext xmlns:c16="http://schemas.microsoft.com/office/drawing/2014/chart" uri="{C3380CC4-5D6E-409C-BE32-E72D297353CC}">
                <c16:uniqueId val="{00000009-886F-4FAF-B7C9-DE3CFB822B7E}"/>
              </c:ext>
            </c:extLst>
          </c:dPt>
          <c:dLbls>
            <c:dLbl>
              <c:idx val="0"/>
              <c:delete val="1"/>
              <c:extLst>
                <c:ext xmlns:c15="http://schemas.microsoft.com/office/drawing/2012/chart" uri="{CE6537A1-D6FC-4f65-9D91-7224C49458BB}"/>
                <c:ext xmlns:c16="http://schemas.microsoft.com/office/drawing/2014/chart" uri="{C3380CC4-5D6E-409C-BE32-E72D297353CC}">
                  <c16:uniqueId val="{00000001-886F-4FAF-B7C9-DE3CFB822B7E}"/>
                </c:ext>
              </c:extLst>
            </c:dLbl>
            <c:spPr>
              <a:noFill/>
              <a:ln>
                <a:noFill/>
              </a:ln>
              <a:effectLst/>
            </c:spPr>
            <c:txPr>
              <a:bodyPr/>
              <a:lstStyle/>
              <a:p>
                <a:pPr>
                  <a:defRPr sz="12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 (3)'!$K$99:$K$103</c:f>
              <c:strCache>
                <c:ptCount val="5"/>
                <c:pt idx="0">
                  <c:v>Visoko</c:v>
                </c:pt>
                <c:pt idx="1">
                  <c:v>Dobro</c:v>
                </c:pt>
                <c:pt idx="2">
                  <c:v>Umjereno</c:v>
                </c:pt>
                <c:pt idx="3">
                  <c:v>Slabo</c:v>
                </c:pt>
                <c:pt idx="4">
                  <c:v>Loše</c:v>
                </c:pt>
              </c:strCache>
            </c:strRef>
          </c:cat>
          <c:val>
            <c:numRef>
              <c:f>'Sheet1 (3)'!$L$158:$L$162</c:f>
              <c:numCache>
                <c:formatCode>General</c:formatCode>
                <c:ptCount val="5"/>
                <c:pt idx="0">
                  <c:v>0</c:v>
                </c:pt>
                <c:pt idx="1">
                  <c:v>44</c:v>
                </c:pt>
                <c:pt idx="2">
                  <c:v>50</c:v>
                </c:pt>
                <c:pt idx="3">
                  <c:v>5</c:v>
                </c:pt>
                <c:pt idx="4">
                  <c:v>1</c:v>
                </c:pt>
              </c:numCache>
            </c:numRef>
          </c:val>
          <c:extLst>
            <c:ext xmlns:c16="http://schemas.microsoft.com/office/drawing/2014/chart" uri="{C3380CC4-5D6E-409C-BE32-E72D297353CC}">
              <c16:uniqueId val="{0000000A-886F-4FAF-B7C9-DE3CFB822B7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6769968442660599"/>
          <c:y val="6.2106881610213098E-4"/>
          <c:w val="0.327105141269106"/>
          <c:h val="0.85451374499240196"/>
        </c:manualLayout>
      </c:layout>
      <c:overlay val="0"/>
      <c:txPr>
        <a:bodyPr/>
        <a:lstStyle/>
        <a:p>
          <a:pPr>
            <a:defRPr sz="11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extLst>
              <c:ext xmlns:c16="http://schemas.microsoft.com/office/drawing/2014/chart" uri="{C3380CC4-5D6E-409C-BE32-E72D297353CC}">
                <c16:uniqueId val="{00000000-BEF5-4C30-B55B-97C9368F2B09}"/>
              </c:ext>
            </c:extLst>
          </c:dPt>
          <c:dPt>
            <c:idx val="1"/>
            <c:bubble3D val="0"/>
            <c:spPr>
              <a:solidFill>
                <a:srgbClr val="00B0F0"/>
              </a:solidFill>
            </c:spPr>
            <c:extLst>
              <c:ext xmlns:c16="http://schemas.microsoft.com/office/drawing/2014/chart" uri="{C3380CC4-5D6E-409C-BE32-E72D297353CC}">
                <c16:uniqueId val="{00000002-BEF5-4C30-B55B-97C9368F2B09}"/>
              </c:ext>
            </c:extLst>
          </c:dPt>
          <c:dPt>
            <c:idx val="2"/>
            <c:bubble3D val="0"/>
            <c:extLst>
              <c:ext xmlns:c16="http://schemas.microsoft.com/office/drawing/2014/chart" uri="{C3380CC4-5D6E-409C-BE32-E72D297353CC}">
                <c16:uniqueId val="{00000003-BEF5-4C30-B55B-97C9368F2B09}"/>
              </c:ext>
            </c:extLst>
          </c:dPt>
          <c:dPt>
            <c:idx val="3"/>
            <c:bubble3D val="0"/>
            <c:extLst>
              <c:ext xmlns:c16="http://schemas.microsoft.com/office/drawing/2014/chart" uri="{C3380CC4-5D6E-409C-BE32-E72D297353CC}">
                <c16:uniqueId val="{00000004-BEF5-4C30-B55B-97C9368F2B09}"/>
              </c:ext>
            </c:extLst>
          </c:dPt>
          <c:dPt>
            <c:idx val="4"/>
            <c:bubble3D val="0"/>
            <c:spPr>
              <a:solidFill>
                <a:srgbClr val="FF0000"/>
              </a:solidFill>
            </c:spPr>
            <c:extLst>
              <c:ext xmlns:c16="http://schemas.microsoft.com/office/drawing/2014/chart" uri="{C3380CC4-5D6E-409C-BE32-E72D297353CC}">
                <c16:uniqueId val="{00000006-BEF5-4C30-B55B-97C9368F2B09}"/>
              </c:ext>
            </c:extLst>
          </c:dPt>
          <c:dLbls>
            <c:dLbl>
              <c:idx val="0"/>
              <c:delete val="1"/>
              <c:extLst>
                <c:ext xmlns:c15="http://schemas.microsoft.com/office/drawing/2012/chart" uri="{CE6537A1-D6FC-4f65-9D91-7224C49458BB}"/>
                <c:ext xmlns:c16="http://schemas.microsoft.com/office/drawing/2014/chart" uri="{C3380CC4-5D6E-409C-BE32-E72D297353CC}">
                  <c16:uniqueId val="{00000000-BEF5-4C30-B55B-97C9368F2B09}"/>
                </c:ext>
              </c:extLst>
            </c:dLbl>
            <c:dLbl>
              <c:idx val="2"/>
              <c:delete val="1"/>
              <c:extLst>
                <c:ext xmlns:c15="http://schemas.microsoft.com/office/drawing/2012/chart" uri="{CE6537A1-D6FC-4f65-9D91-7224C49458BB}"/>
                <c:ext xmlns:c16="http://schemas.microsoft.com/office/drawing/2014/chart" uri="{C3380CC4-5D6E-409C-BE32-E72D297353CC}">
                  <c16:uniqueId val="{00000003-BEF5-4C30-B55B-97C9368F2B09}"/>
                </c:ext>
              </c:extLst>
            </c:dLbl>
            <c:dLbl>
              <c:idx val="3"/>
              <c:delete val="1"/>
              <c:extLst>
                <c:ext xmlns:c15="http://schemas.microsoft.com/office/drawing/2012/chart" uri="{CE6537A1-D6FC-4f65-9D91-7224C49458BB}"/>
                <c:ext xmlns:c16="http://schemas.microsoft.com/office/drawing/2014/chart" uri="{C3380CC4-5D6E-409C-BE32-E72D297353CC}">
                  <c16:uniqueId val="{00000004-BEF5-4C30-B55B-97C9368F2B09}"/>
                </c:ext>
              </c:extLst>
            </c:dLbl>
            <c:spPr>
              <a:noFill/>
              <a:ln>
                <a:noFill/>
              </a:ln>
              <a:effectLst/>
            </c:spPr>
            <c:txPr>
              <a:bodyPr/>
              <a:lstStyle/>
              <a:p>
                <a:pPr>
                  <a:defRPr sz="1200" b="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Promjena_1!$K$99:$K$103</c:f>
              <c:strCache>
                <c:ptCount val="5"/>
                <c:pt idx="0">
                  <c:v>Visoko</c:v>
                </c:pt>
                <c:pt idx="1">
                  <c:v>Dobro</c:v>
                </c:pt>
                <c:pt idx="2">
                  <c:v>Umjereno</c:v>
                </c:pt>
                <c:pt idx="3">
                  <c:v>Slabo</c:v>
                </c:pt>
                <c:pt idx="4">
                  <c:v>Loše</c:v>
                </c:pt>
              </c:strCache>
            </c:strRef>
          </c:cat>
          <c:val>
            <c:numRef>
              <c:f>Promjena_1!$L$132:$L$136</c:f>
              <c:numCache>
                <c:formatCode>General</c:formatCode>
                <c:ptCount val="5"/>
                <c:pt idx="1">
                  <c:v>58</c:v>
                </c:pt>
                <c:pt idx="4">
                  <c:v>42</c:v>
                </c:pt>
              </c:numCache>
            </c:numRef>
          </c:val>
          <c:extLst>
            <c:ext xmlns:c16="http://schemas.microsoft.com/office/drawing/2014/chart" uri="{C3380CC4-5D6E-409C-BE32-E72D297353CC}">
              <c16:uniqueId val="{00000007-BEF5-4C30-B55B-97C9368F2B09}"/>
            </c:ext>
          </c:extLst>
        </c:ser>
        <c:dLbls>
          <c:showLegendKey val="0"/>
          <c:showVal val="0"/>
          <c:showCatName val="0"/>
          <c:showSerName val="0"/>
          <c:showPercent val="1"/>
          <c:showBubbleSize val="0"/>
          <c:showLeaderLines val="1"/>
        </c:dLbls>
        <c:firstSliceAng val="0"/>
      </c:pieChart>
    </c:plotArea>
    <c:legend>
      <c:legendPos val="r"/>
      <c:legendEntry>
        <c:idx val="0"/>
        <c:delete val="1"/>
      </c:legendEntry>
      <c:legendEntry>
        <c:idx val="1"/>
        <c:txPr>
          <a:bodyPr/>
          <a:lstStyle/>
          <a:p>
            <a:pPr>
              <a:defRPr sz="1100"/>
            </a:pPr>
            <a:endParaRPr lang="en-US"/>
          </a:p>
        </c:txPr>
      </c:legendEntry>
      <c:legendEntry>
        <c:idx val="2"/>
        <c:delete val="1"/>
      </c:legendEntry>
      <c:legendEntry>
        <c:idx val="3"/>
        <c:delete val="1"/>
      </c:legendEntry>
      <c:legendEntry>
        <c:idx val="4"/>
        <c:txPr>
          <a:bodyPr/>
          <a:lstStyle/>
          <a:p>
            <a:pPr>
              <a:defRPr sz="1100"/>
            </a:pPr>
            <a:endParaRPr lang="en-US"/>
          </a:p>
        </c:txPr>
      </c:legendEntry>
      <c:layout>
        <c:manualLayout>
          <c:xMode val="edge"/>
          <c:yMode val="edge"/>
          <c:x val="0.69157331185874504"/>
          <c:y val="0.381811023622047"/>
          <c:w val="0.21372971844428501"/>
          <c:h val="0.51742370438989305"/>
        </c:manualLayout>
      </c:layout>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B0F0"/>
              </a:solidFill>
            </c:spPr>
            <c:extLst>
              <c:ext xmlns:c16="http://schemas.microsoft.com/office/drawing/2014/chart" uri="{C3380CC4-5D6E-409C-BE32-E72D297353CC}">
                <c16:uniqueId val="{00000001-131E-4F47-96E6-7FBF5CB0277C}"/>
              </c:ext>
            </c:extLst>
          </c:dPt>
          <c:dPt>
            <c:idx val="1"/>
            <c:bubble3D val="0"/>
            <c:spPr>
              <a:solidFill>
                <a:srgbClr val="92D050"/>
              </a:solidFill>
            </c:spPr>
            <c:extLst>
              <c:ext xmlns:c16="http://schemas.microsoft.com/office/drawing/2014/chart" uri="{C3380CC4-5D6E-409C-BE32-E72D297353CC}">
                <c16:uniqueId val="{00000003-131E-4F47-96E6-7FBF5CB0277C}"/>
              </c:ext>
            </c:extLst>
          </c:dPt>
          <c:dPt>
            <c:idx val="2"/>
            <c:bubble3D val="0"/>
            <c:spPr>
              <a:solidFill>
                <a:srgbClr val="FFFF00"/>
              </a:solidFill>
            </c:spPr>
            <c:extLst>
              <c:ext xmlns:c16="http://schemas.microsoft.com/office/drawing/2014/chart" uri="{C3380CC4-5D6E-409C-BE32-E72D297353CC}">
                <c16:uniqueId val="{00000005-131E-4F47-96E6-7FBF5CB0277C}"/>
              </c:ext>
            </c:extLst>
          </c:dPt>
          <c:dPt>
            <c:idx val="3"/>
            <c:bubble3D val="0"/>
            <c:spPr>
              <a:solidFill>
                <a:schemeClr val="accent6"/>
              </a:solidFill>
            </c:spPr>
            <c:extLst>
              <c:ext xmlns:c16="http://schemas.microsoft.com/office/drawing/2014/chart" uri="{C3380CC4-5D6E-409C-BE32-E72D297353CC}">
                <c16:uniqueId val="{00000007-131E-4F47-96E6-7FBF5CB0277C}"/>
              </c:ext>
            </c:extLst>
          </c:dPt>
          <c:dPt>
            <c:idx val="4"/>
            <c:bubble3D val="0"/>
            <c:spPr>
              <a:solidFill>
                <a:srgbClr val="FF0000"/>
              </a:solidFill>
            </c:spPr>
            <c:extLst>
              <c:ext xmlns:c16="http://schemas.microsoft.com/office/drawing/2014/chart" uri="{C3380CC4-5D6E-409C-BE32-E72D297353CC}">
                <c16:uniqueId val="{00000009-131E-4F47-96E6-7FBF5CB0277C}"/>
              </c:ext>
            </c:extLst>
          </c:dPt>
          <c:dLbls>
            <c:dLbl>
              <c:idx val="0"/>
              <c:delete val="1"/>
              <c:extLst>
                <c:ext xmlns:c15="http://schemas.microsoft.com/office/drawing/2012/chart" uri="{CE6537A1-D6FC-4f65-9D91-7224C49458BB}"/>
                <c:ext xmlns:c16="http://schemas.microsoft.com/office/drawing/2014/chart" uri="{C3380CC4-5D6E-409C-BE32-E72D297353CC}">
                  <c16:uniqueId val="{00000001-131E-4F47-96E6-7FBF5CB0277C}"/>
                </c:ext>
              </c:extLst>
            </c:dLbl>
            <c:spPr>
              <a:noFill/>
              <a:ln>
                <a:noFill/>
              </a:ln>
              <a:effectLst/>
            </c:spPr>
            <c:txPr>
              <a:bodyPr/>
              <a:lstStyle/>
              <a:p>
                <a:pPr>
                  <a:defRPr sz="12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 (3)'!$K$99:$K$103</c:f>
              <c:strCache>
                <c:ptCount val="5"/>
                <c:pt idx="0">
                  <c:v>Visoko</c:v>
                </c:pt>
                <c:pt idx="1">
                  <c:v>Dobro</c:v>
                </c:pt>
                <c:pt idx="2">
                  <c:v>Umjereno</c:v>
                </c:pt>
                <c:pt idx="3">
                  <c:v>Slabo</c:v>
                </c:pt>
                <c:pt idx="4">
                  <c:v>Loše</c:v>
                </c:pt>
              </c:strCache>
            </c:strRef>
          </c:cat>
          <c:val>
            <c:numRef>
              <c:f>'Sheet1 (3)'!$L$99:$L$103</c:f>
              <c:numCache>
                <c:formatCode>General</c:formatCode>
                <c:ptCount val="5"/>
                <c:pt idx="0">
                  <c:v>0</c:v>
                </c:pt>
                <c:pt idx="1">
                  <c:v>35</c:v>
                </c:pt>
                <c:pt idx="2">
                  <c:v>22</c:v>
                </c:pt>
                <c:pt idx="3">
                  <c:v>2</c:v>
                </c:pt>
                <c:pt idx="4">
                  <c:v>41</c:v>
                </c:pt>
              </c:numCache>
            </c:numRef>
          </c:val>
          <c:extLst>
            <c:ext xmlns:c16="http://schemas.microsoft.com/office/drawing/2014/chart" uri="{C3380CC4-5D6E-409C-BE32-E72D297353CC}">
              <c16:uniqueId val="{0000000A-131E-4F47-96E6-7FBF5CB0277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2094265038732497"/>
          <c:y val="9.6154326862988304E-2"/>
          <c:w val="0.25476585163696602"/>
          <c:h val="0.80260178605722998"/>
        </c:manualLayout>
      </c:layout>
      <c:overlay val="0"/>
      <c:txPr>
        <a:bodyPr/>
        <a:lstStyle/>
        <a:p>
          <a:pPr>
            <a:defRPr sz="1100"/>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B0F0"/>
              </a:solidFill>
            </c:spPr>
            <c:extLst>
              <c:ext xmlns:c16="http://schemas.microsoft.com/office/drawing/2014/chart" uri="{C3380CC4-5D6E-409C-BE32-E72D297353CC}">
                <c16:uniqueId val="{00000001-16EE-44CC-80AD-306C0E190B3C}"/>
              </c:ext>
            </c:extLst>
          </c:dPt>
          <c:dPt>
            <c:idx val="1"/>
            <c:bubble3D val="0"/>
            <c:spPr>
              <a:solidFill>
                <a:srgbClr val="92D050"/>
              </a:solidFill>
            </c:spPr>
            <c:extLst>
              <c:ext xmlns:c16="http://schemas.microsoft.com/office/drawing/2014/chart" uri="{C3380CC4-5D6E-409C-BE32-E72D297353CC}">
                <c16:uniqueId val="{00000003-16EE-44CC-80AD-306C0E190B3C}"/>
              </c:ext>
            </c:extLst>
          </c:dPt>
          <c:dPt>
            <c:idx val="2"/>
            <c:bubble3D val="0"/>
            <c:spPr>
              <a:solidFill>
                <a:srgbClr val="FFFF00"/>
              </a:solidFill>
            </c:spPr>
            <c:extLst>
              <c:ext xmlns:c16="http://schemas.microsoft.com/office/drawing/2014/chart" uri="{C3380CC4-5D6E-409C-BE32-E72D297353CC}">
                <c16:uniqueId val="{00000005-16EE-44CC-80AD-306C0E190B3C}"/>
              </c:ext>
            </c:extLst>
          </c:dPt>
          <c:dPt>
            <c:idx val="3"/>
            <c:bubble3D val="0"/>
            <c:spPr>
              <a:solidFill>
                <a:schemeClr val="accent6"/>
              </a:solidFill>
            </c:spPr>
            <c:extLst>
              <c:ext xmlns:c16="http://schemas.microsoft.com/office/drawing/2014/chart" uri="{C3380CC4-5D6E-409C-BE32-E72D297353CC}">
                <c16:uniqueId val="{00000007-16EE-44CC-80AD-306C0E190B3C}"/>
              </c:ext>
            </c:extLst>
          </c:dPt>
          <c:dPt>
            <c:idx val="4"/>
            <c:bubble3D val="0"/>
            <c:spPr>
              <a:solidFill>
                <a:srgbClr val="FF0000"/>
              </a:solidFill>
            </c:spPr>
            <c:extLst>
              <c:ext xmlns:c16="http://schemas.microsoft.com/office/drawing/2014/chart" uri="{C3380CC4-5D6E-409C-BE32-E72D297353CC}">
                <c16:uniqueId val="{00000009-16EE-44CC-80AD-306C0E190B3C}"/>
              </c:ext>
            </c:extLst>
          </c:dPt>
          <c:dLbls>
            <c:dLbl>
              <c:idx val="3"/>
              <c:delete val="1"/>
              <c:extLst>
                <c:ext xmlns:c15="http://schemas.microsoft.com/office/drawing/2012/chart" uri="{CE6537A1-D6FC-4f65-9D91-7224C49458BB}"/>
                <c:ext xmlns:c16="http://schemas.microsoft.com/office/drawing/2014/chart" uri="{C3380CC4-5D6E-409C-BE32-E72D297353CC}">
                  <c16:uniqueId val="{00000007-16EE-44CC-80AD-306C0E190B3C}"/>
                </c:ext>
              </c:extLst>
            </c:dLbl>
            <c:dLbl>
              <c:idx val="4"/>
              <c:delete val="1"/>
              <c:extLst>
                <c:ext xmlns:c15="http://schemas.microsoft.com/office/drawing/2012/chart" uri="{CE6537A1-D6FC-4f65-9D91-7224C49458BB}"/>
                <c:ext xmlns:c16="http://schemas.microsoft.com/office/drawing/2014/chart" uri="{C3380CC4-5D6E-409C-BE32-E72D297353CC}">
                  <c16:uniqueId val="{00000009-16EE-44CC-80AD-306C0E190B3C}"/>
                </c:ext>
              </c:extLst>
            </c:dLbl>
            <c:spPr>
              <a:noFill/>
              <a:ln>
                <a:noFill/>
              </a:ln>
              <a:effectLst/>
            </c:spPr>
            <c:txPr>
              <a:bodyPr/>
              <a:lstStyle/>
              <a:p>
                <a:pPr>
                  <a:defRPr sz="12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 (4)'!$K$99:$K$103</c:f>
              <c:strCache>
                <c:ptCount val="5"/>
                <c:pt idx="0">
                  <c:v>Visoko</c:v>
                </c:pt>
                <c:pt idx="1">
                  <c:v>Dobro</c:v>
                </c:pt>
                <c:pt idx="2">
                  <c:v>Umjereno</c:v>
                </c:pt>
                <c:pt idx="3">
                  <c:v>Slabo</c:v>
                </c:pt>
                <c:pt idx="4">
                  <c:v>Loše</c:v>
                </c:pt>
              </c:strCache>
            </c:strRef>
          </c:cat>
          <c:val>
            <c:numRef>
              <c:f>'Sheet1 (4)'!$L$132:$L$136</c:f>
              <c:numCache>
                <c:formatCode>General</c:formatCode>
                <c:ptCount val="5"/>
                <c:pt idx="0">
                  <c:v>8</c:v>
                </c:pt>
                <c:pt idx="1">
                  <c:v>76</c:v>
                </c:pt>
                <c:pt idx="2">
                  <c:v>16</c:v>
                </c:pt>
                <c:pt idx="3">
                  <c:v>0</c:v>
                </c:pt>
                <c:pt idx="4">
                  <c:v>0</c:v>
                </c:pt>
              </c:numCache>
            </c:numRef>
          </c:val>
          <c:extLst>
            <c:ext xmlns:c16="http://schemas.microsoft.com/office/drawing/2014/chart" uri="{C3380CC4-5D6E-409C-BE32-E72D297353CC}">
              <c16:uniqueId val="{0000000A-16EE-44CC-80AD-306C0E190B3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6047179287774205"/>
          <c:y val="4.7536952617764902E-2"/>
          <c:w val="0.309339619584589"/>
          <c:h val="0.76640235760003705"/>
        </c:manualLayout>
      </c:layout>
      <c:overlay val="0"/>
      <c:txPr>
        <a:bodyPr/>
        <a:lstStyle/>
        <a:p>
          <a:pPr>
            <a:defRPr sz="1100"/>
          </a:pPr>
          <a:endParaRPr lang="en-US"/>
        </a:p>
      </c:txPr>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ltVert">
                <a:fgClr>
                  <a:schemeClr val="tx1"/>
                </a:fgClr>
                <a:bgClr>
                  <a:srgbClr val="00B0F0"/>
                </a:bgClr>
              </a:pattFill>
            </c:spPr>
            <c:extLst>
              <c:ext xmlns:c16="http://schemas.microsoft.com/office/drawing/2014/chart" uri="{C3380CC4-5D6E-409C-BE32-E72D297353CC}">
                <c16:uniqueId val="{00000001-73FC-4112-BBE2-D6DDBB4EE5BB}"/>
              </c:ext>
            </c:extLst>
          </c:dPt>
          <c:dPt>
            <c:idx val="1"/>
            <c:bubble3D val="0"/>
            <c:spPr>
              <a:pattFill prst="ltVert">
                <a:fgClr>
                  <a:schemeClr val="tx1"/>
                </a:fgClr>
                <a:bgClr>
                  <a:srgbClr val="92D050"/>
                </a:bgClr>
              </a:pattFill>
            </c:spPr>
            <c:extLst>
              <c:ext xmlns:c16="http://schemas.microsoft.com/office/drawing/2014/chart" uri="{C3380CC4-5D6E-409C-BE32-E72D297353CC}">
                <c16:uniqueId val="{00000003-73FC-4112-BBE2-D6DDBB4EE5BB}"/>
              </c:ext>
            </c:extLst>
          </c:dPt>
          <c:dPt>
            <c:idx val="2"/>
            <c:bubble3D val="0"/>
            <c:spPr>
              <a:pattFill prst="ltVert">
                <a:fgClr>
                  <a:schemeClr val="tx1"/>
                </a:fgClr>
                <a:bgClr>
                  <a:srgbClr val="FFFF00"/>
                </a:bgClr>
              </a:pattFill>
            </c:spPr>
            <c:extLst>
              <c:ext xmlns:c16="http://schemas.microsoft.com/office/drawing/2014/chart" uri="{C3380CC4-5D6E-409C-BE32-E72D297353CC}">
                <c16:uniqueId val="{00000005-73FC-4112-BBE2-D6DDBB4EE5BB}"/>
              </c:ext>
            </c:extLst>
          </c:dPt>
          <c:dPt>
            <c:idx val="3"/>
            <c:bubble3D val="0"/>
            <c:spPr>
              <a:pattFill prst="ltVert">
                <a:fgClr>
                  <a:schemeClr val="tx1"/>
                </a:fgClr>
                <a:bgClr>
                  <a:schemeClr val="accent6"/>
                </a:bgClr>
              </a:pattFill>
            </c:spPr>
            <c:extLst>
              <c:ext xmlns:c16="http://schemas.microsoft.com/office/drawing/2014/chart" uri="{C3380CC4-5D6E-409C-BE32-E72D297353CC}">
                <c16:uniqueId val="{00000007-73FC-4112-BBE2-D6DDBB4EE5BB}"/>
              </c:ext>
            </c:extLst>
          </c:dPt>
          <c:dPt>
            <c:idx val="4"/>
            <c:bubble3D val="0"/>
            <c:spPr>
              <a:pattFill prst="ltVert">
                <a:fgClr>
                  <a:schemeClr val="tx1"/>
                </a:fgClr>
                <a:bgClr>
                  <a:srgbClr val="FF0000"/>
                </a:bgClr>
              </a:pattFill>
            </c:spPr>
            <c:extLst>
              <c:ext xmlns:c16="http://schemas.microsoft.com/office/drawing/2014/chart" uri="{C3380CC4-5D6E-409C-BE32-E72D297353CC}">
                <c16:uniqueId val="{00000009-73FC-4112-BBE2-D6DDBB4EE5BB}"/>
              </c:ext>
            </c:extLst>
          </c:dPt>
          <c:dLbls>
            <c:dLbl>
              <c:idx val="0"/>
              <c:delete val="1"/>
              <c:extLst>
                <c:ext xmlns:c15="http://schemas.microsoft.com/office/drawing/2012/chart" uri="{CE6537A1-D6FC-4f65-9D91-7224C49458BB}"/>
                <c:ext xmlns:c16="http://schemas.microsoft.com/office/drawing/2014/chart" uri="{C3380CC4-5D6E-409C-BE32-E72D297353CC}">
                  <c16:uniqueId val="{00000001-73FC-4112-BBE2-D6DDBB4EE5BB}"/>
                </c:ext>
              </c:extLst>
            </c:dLbl>
            <c:dLbl>
              <c:idx val="3"/>
              <c:delete val="1"/>
              <c:extLst>
                <c:ext xmlns:c15="http://schemas.microsoft.com/office/drawing/2012/chart" uri="{CE6537A1-D6FC-4f65-9D91-7224C49458BB}"/>
                <c:ext xmlns:c16="http://schemas.microsoft.com/office/drawing/2014/chart" uri="{C3380CC4-5D6E-409C-BE32-E72D297353CC}">
                  <c16:uniqueId val="{00000007-73FC-4112-BBE2-D6DDBB4EE5BB}"/>
                </c:ext>
              </c:extLst>
            </c:dLbl>
            <c:dLbl>
              <c:idx val="4"/>
              <c:delete val="1"/>
              <c:extLst>
                <c:ext xmlns:c15="http://schemas.microsoft.com/office/drawing/2012/chart" uri="{CE6537A1-D6FC-4f65-9D91-7224C49458BB}"/>
                <c:ext xmlns:c16="http://schemas.microsoft.com/office/drawing/2014/chart" uri="{C3380CC4-5D6E-409C-BE32-E72D297353CC}">
                  <c16:uniqueId val="{00000009-73FC-4112-BBE2-D6DDBB4EE5BB}"/>
                </c:ext>
              </c:extLst>
            </c:dLbl>
            <c:spPr>
              <a:noFill/>
              <a:ln>
                <a:noFill/>
              </a:ln>
              <a:effectLst/>
            </c:spPr>
            <c:txPr>
              <a:bodyPr/>
              <a:lstStyle/>
              <a:p>
                <a:pPr>
                  <a:defRPr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 (4)'!$K$99:$K$103</c:f>
              <c:strCache>
                <c:ptCount val="3"/>
                <c:pt idx="0">
                  <c:v>Maksimalni ekološki potencijal (MEP)</c:v>
                </c:pt>
                <c:pt idx="1">
                  <c:v>Dobar ekološki potencijal (DEP)</c:v>
                </c:pt>
                <c:pt idx="2">
                  <c:v>Umjeren ekološki potencijal (UEP)</c:v>
                </c:pt>
              </c:strCache>
            </c:strRef>
          </c:cat>
          <c:val>
            <c:numRef>
              <c:f>'Sheet1 (4)'!$L$99:$L$103</c:f>
              <c:numCache>
                <c:formatCode>General</c:formatCode>
                <c:ptCount val="5"/>
                <c:pt idx="0">
                  <c:v>0</c:v>
                </c:pt>
                <c:pt idx="1">
                  <c:v>75</c:v>
                </c:pt>
                <c:pt idx="2">
                  <c:v>25</c:v>
                </c:pt>
              </c:numCache>
            </c:numRef>
          </c:val>
          <c:extLst>
            <c:ext xmlns:c16="http://schemas.microsoft.com/office/drawing/2014/chart" uri="{C3380CC4-5D6E-409C-BE32-E72D297353CC}">
              <c16:uniqueId val="{0000000A-73FC-4112-BBE2-D6DDBB4EE5BB}"/>
            </c:ext>
          </c:extLst>
        </c:ser>
        <c:dLbls>
          <c:showLegendKey val="0"/>
          <c:showVal val="0"/>
          <c:showCatName val="0"/>
          <c:showSerName val="0"/>
          <c:showPercent val="1"/>
          <c:showBubbleSize val="0"/>
          <c:showLeaderLines val="1"/>
        </c:dLbls>
        <c:firstSliceAng val="0"/>
      </c:pieChart>
    </c:plotArea>
    <c:legend>
      <c:legendPos val="r"/>
      <c:legendEntry>
        <c:idx val="3"/>
        <c:delete val="1"/>
      </c:legendEntry>
      <c:legendEntry>
        <c:idx val="4"/>
        <c:delete val="1"/>
      </c:legendEntry>
      <c:overlay val="0"/>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1">
                <a:latin typeface="+mn-lt"/>
                <a:cs typeface="Times New Roman" panose="02020603050405020304" pitchFamily="18" charset="0"/>
              </a:rPr>
              <a:t>Sarajevo, 1961</a:t>
            </a:r>
            <a:r>
              <a:rPr lang="en-GB" sz="1200" b="1">
                <a:latin typeface="+mn-lt"/>
                <a:cs typeface="Times New Roman"/>
              </a:rPr>
              <a:t>‒</a:t>
            </a:r>
            <a:r>
              <a:rPr lang="en-GB" sz="1200" b="1">
                <a:latin typeface="+mn-lt"/>
                <a:cs typeface="Times New Roman" panose="02020603050405020304" pitchFamily="18" charset="0"/>
              </a:rPr>
              <a:t>2016</a:t>
            </a:r>
          </a:p>
        </c:rich>
      </c:tx>
      <c:layout>
        <c:manualLayout>
          <c:xMode val="edge"/>
          <c:yMode val="edge"/>
          <c:x val="0.267739694302918"/>
          <c:y val="3.7036894778396598E-2"/>
        </c:manualLayout>
      </c:layout>
      <c:overlay val="0"/>
      <c:spPr>
        <a:noFill/>
        <a:ln>
          <a:noFill/>
        </a:ln>
        <a:effectLst/>
      </c:spPr>
    </c:title>
    <c:autoTitleDeleted val="0"/>
    <c:plotArea>
      <c:layout/>
      <c:barChart>
        <c:barDir val="col"/>
        <c:grouping val="clustered"/>
        <c:varyColors val="0"/>
        <c:ser>
          <c:idx val="0"/>
          <c:order val="0"/>
          <c:tx>
            <c:v>1961</c:v>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val>
            <c:numRef>
              <c:f>Sarajevo!$O$4:$O$59</c:f>
              <c:numCache>
                <c:formatCode>General</c:formatCode>
                <c:ptCount val="56"/>
                <c:pt idx="0">
                  <c:v>728.9</c:v>
                </c:pt>
                <c:pt idx="1">
                  <c:v>985</c:v>
                </c:pt>
                <c:pt idx="2">
                  <c:v>1112</c:v>
                </c:pt>
                <c:pt idx="3">
                  <c:v>1013.2</c:v>
                </c:pt>
                <c:pt idx="4">
                  <c:v>945</c:v>
                </c:pt>
                <c:pt idx="5">
                  <c:v>1040</c:v>
                </c:pt>
                <c:pt idx="6">
                  <c:v>863.1</c:v>
                </c:pt>
                <c:pt idx="7">
                  <c:v>1070</c:v>
                </c:pt>
                <c:pt idx="8">
                  <c:v>1071</c:v>
                </c:pt>
                <c:pt idx="9">
                  <c:v>1035</c:v>
                </c:pt>
                <c:pt idx="10">
                  <c:v>784</c:v>
                </c:pt>
                <c:pt idx="11">
                  <c:v>842</c:v>
                </c:pt>
                <c:pt idx="12">
                  <c:v>722.9</c:v>
                </c:pt>
                <c:pt idx="13">
                  <c:v>1028</c:v>
                </c:pt>
                <c:pt idx="14">
                  <c:v>845</c:v>
                </c:pt>
                <c:pt idx="15">
                  <c:v>1006.1</c:v>
                </c:pt>
                <c:pt idx="16">
                  <c:v>1101</c:v>
                </c:pt>
                <c:pt idx="17">
                  <c:v>1169</c:v>
                </c:pt>
                <c:pt idx="18">
                  <c:v>954.1</c:v>
                </c:pt>
                <c:pt idx="19">
                  <c:v>1004</c:v>
                </c:pt>
                <c:pt idx="20">
                  <c:v>927</c:v>
                </c:pt>
                <c:pt idx="21">
                  <c:v>626</c:v>
                </c:pt>
                <c:pt idx="22">
                  <c:v>795.4</c:v>
                </c:pt>
                <c:pt idx="23">
                  <c:v>890</c:v>
                </c:pt>
                <c:pt idx="24">
                  <c:v>862</c:v>
                </c:pt>
                <c:pt idx="25">
                  <c:v>917.4</c:v>
                </c:pt>
                <c:pt idx="26">
                  <c:v>964.2</c:v>
                </c:pt>
                <c:pt idx="27">
                  <c:v>913</c:v>
                </c:pt>
                <c:pt idx="28">
                  <c:v>1103.5</c:v>
                </c:pt>
                <c:pt idx="29">
                  <c:v>643</c:v>
                </c:pt>
                <c:pt idx="30">
                  <c:v>1053</c:v>
                </c:pt>
                <c:pt idx="31">
                  <c:v>778.5</c:v>
                </c:pt>
                <c:pt idx="32">
                  <c:v>787.4</c:v>
                </c:pt>
                <c:pt idx="33">
                  <c:v>824.1</c:v>
                </c:pt>
                <c:pt idx="34">
                  <c:v>1091.0999999999999</c:v>
                </c:pt>
                <c:pt idx="35">
                  <c:v>1068.0999999999999</c:v>
                </c:pt>
                <c:pt idx="36">
                  <c:v>849</c:v>
                </c:pt>
                <c:pt idx="37">
                  <c:v>899.3</c:v>
                </c:pt>
                <c:pt idx="38">
                  <c:v>1248.9000000000001</c:v>
                </c:pt>
                <c:pt idx="39">
                  <c:v>721.1</c:v>
                </c:pt>
                <c:pt idx="40">
                  <c:v>1141.9000000000001</c:v>
                </c:pt>
                <c:pt idx="41">
                  <c:v>967.1</c:v>
                </c:pt>
                <c:pt idx="42">
                  <c:v>791</c:v>
                </c:pt>
                <c:pt idx="43">
                  <c:v>1047.5</c:v>
                </c:pt>
                <c:pt idx="44">
                  <c:v>1152.5</c:v>
                </c:pt>
                <c:pt idx="45">
                  <c:v>960.9</c:v>
                </c:pt>
                <c:pt idx="46">
                  <c:v>996.2</c:v>
                </c:pt>
                <c:pt idx="47">
                  <c:v>835.3</c:v>
                </c:pt>
                <c:pt idx="48">
                  <c:v>1058</c:v>
                </c:pt>
                <c:pt idx="49">
                  <c:v>1187.0999999999999</c:v>
                </c:pt>
                <c:pt idx="50">
                  <c:v>692</c:v>
                </c:pt>
                <c:pt idx="51">
                  <c:v>928.1</c:v>
                </c:pt>
                <c:pt idx="52">
                  <c:v>931.7</c:v>
                </c:pt>
                <c:pt idx="53">
                  <c:v>1082.7</c:v>
                </c:pt>
                <c:pt idx="54">
                  <c:v>766.3</c:v>
                </c:pt>
                <c:pt idx="55">
                  <c:v>1008.1</c:v>
                </c:pt>
              </c:numCache>
            </c:numRef>
          </c:val>
          <c:extLst>
            <c:ext xmlns:c16="http://schemas.microsoft.com/office/drawing/2014/chart" uri="{C3380CC4-5D6E-409C-BE32-E72D297353CC}">
              <c16:uniqueId val="{00000001-C535-4BA6-BEF4-94549B18719B}"/>
            </c:ext>
          </c:extLst>
        </c:ser>
        <c:dLbls>
          <c:showLegendKey val="0"/>
          <c:showVal val="0"/>
          <c:showCatName val="0"/>
          <c:showSerName val="0"/>
          <c:showPercent val="0"/>
          <c:showBubbleSize val="0"/>
        </c:dLbls>
        <c:gapWidth val="219"/>
        <c:overlap val="-27"/>
        <c:axId val="1597122992"/>
        <c:axId val="1597181840"/>
      </c:barChart>
      <c:catAx>
        <c:axId val="1597122992"/>
        <c:scaling>
          <c:orientation val="minMax"/>
        </c:scaling>
        <c:delete val="1"/>
        <c:axPos val="b"/>
        <c:majorTickMark val="none"/>
        <c:minorTickMark val="none"/>
        <c:tickLblPos val="nextTo"/>
        <c:crossAx val="1597181840"/>
        <c:crosses val="autoZero"/>
        <c:auto val="1"/>
        <c:lblAlgn val="ctr"/>
        <c:lblOffset val="100"/>
        <c:noMultiLvlLbl val="0"/>
      </c:catAx>
      <c:valAx>
        <c:axId val="159718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12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1">
                <a:latin typeface="+mn-lt"/>
              </a:rPr>
              <a:t>Mostar, 1961- 2016</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val>
            <c:numRef>
              <c:f>Mostar!$O$4:$O$59</c:f>
              <c:numCache>
                <c:formatCode>General</c:formatCode>
                <c:ptCount val="56"/>
                <c:pt idx="0">
                  <c:v>1387</c:v>
                </c:pt>
                <c:pt idx="1">
                  <c:v>1711</c:v>
                </c:pt>
                <c:pt idx="2">
                  <c:v>1594</c:v>
                </c:pt>
                <c:pt idx="3">
                  <c:v>1705</c:v>
                </c:pt>
                <c:pt idx="4">
                  <c:v>1502.4</c:v>
                </c:pt>
                <c:pt idx="5">
                  <c:v>1901</c:v>
                </c:pt>
                <c:pt idx="6">
                  <c:v>1318</c:v>
                </c:pt>
                <c:pt idx="7">
                  <c:v>1586</c:v>
                </c:pt>
                <c:pt idx="8">
                  <c:v>1847</c:v>
                </c:pt>
                <c:pt idx="9">
                  <c:v>1833.2</c:v>
                </c:pt>
                <c:pt idx="10">
                  <c:v>1468</c:v>
                </c:pt>
                <c:pt idx="11">
                  <c:v>1634</c:v>
                </c:pt>
                <c:pt idx="12">
                  <c:v>1190</c:v>
                </c:pt>
                <c:pt idx="13">
                  <c:v>1639</c:v>
                </c:pt>
                <c:pt idx="14">
                  <c:v>1309</c:v>
                </c:pt>
                <c:pt idx="15">
                  <c:v>1805</c:v>
                </c:pt>
                <c:pt idx="16">
                  <c:v>1661</c:v>
                </c:pt>
                <c:pt idx="17">
                  <c:v>1881.2</c:v>
                </c:pt>
                <c:pt idx="18">
                  <c:v>1987.2</c:v>
                </c:pt>
                <c:pt idx="19">
                  <c:v>1721</c:v>
                </c:pt>
                <c:pt idx="20">
                  <c:v>1611.3</c:v>
                </c:pt>
                <c:pt idx="21">
                  <c:v>1175</c:v>
                </c:pt>
                <c:pt idx="22">
                  <c:v>840</c:v>
                </c:pt>
                <c:pt idx="23">
                  <c:v>1583</c:v>
                </c:pt>
                <c:pt idx="24">
                  <c:v>1391</c:v>
                </c:pt>
                <c:pt idx="25">
                  <c:v>1506</c:v>
                </c:pt>
                <c:pt idx="26">
                  <c:v>1578</c:v>
                </c:pt>
                <c:pt idx="27">
                  <c:v>1288</c:v>
                </c:pt>
                <c:pt idx="28">
                  <c:v>846</c:v>
                </c:pt>
                <c:pt idx="29">
                  <c:v>1184</c:v>
                </c:pt>
                <c:pt idx="30">
                  <c:v>1449.7</c:v>
                </c:pt>
                <c:pt idx="31">
                  <c:v>1178.0999999999999</c:v>
                </c:pt>
                <c:pt idx="32">
                  <c:v>1149.5999999999999</c:v>
                </c:pt>
                <c:pt idx="33">
                  <c:v>897</c:v>
                </c:pt>
                <c:pt idx="34">
                  <c:v>1591.7</c:v>
                </c:pt>
                <c:pt idx="35">
                  <c:v>1973</c:v>
                </c:pt>
                <c:pt idx="36">
                  <c:v>1198.9000000000001</c:v>
                </c:pt>
                <c:pt idx="37">
                  <c:v>1458</c:v>
                </c:pt>
                <c:pt idx="38">
                  <c:v>1775.8</c:v>
                </c:pt>
                <c:pt idx="39">
                  <c:v>1206.3</c:v>
                </c:pt>
                <c:pt idx="40">
                  <c:v>1231.8</c:v>
                </c:pt>
                <c:pt idx="41">
                  <c:v>1394.8</c:v>
                </c:pt>
                <c:pt idx="42">
                  <c:v>1161.7</c:v>
                </c:pt>
                <c:pt idx="43">
                  <c:v>1713.5</c:v>
                </c:pt>
                <c:pt idx="44">
                  <c:v>1586</c:v>
                </c:pt>
                <c:pt idx="45">
                  <c:v>1043.8</c:v>
                </c:pt>
                <c:pt idx="46">
                  <c:v>1239.5999999999999</c:v>
                </c:pt>
                <c:pt idx="47">
                  <c:v>1430</c:v>
                </c:pt>
                <c:pt idx="48">
                  <c:v>1848.9</c:v>
                </c:pt>
                <c:pt idx="49">
                  <c:v>2490.6999999999998</c:v>
                </c:pt>
                <c:pt idx="50">
                  <c:v>872.5</c:v>
                </c:pt>
                <c:pt idx="51">
                  <c:v>1394.9</c:v>
                </c:pt>
                <c:pt idx="52">
                  <c:v>2188.3000000000002</c:v>
                </c:pt>
                <c:pt idx="53">
                  <c:v>1782.9</c:v>
                </c:pt>
                <c:pt idx="54">
                  <c:v>1326.4</c:v>
                </c:pt>
                <c:pt idx="55">
                  <c:v>1394.1</c:v>
                </c:pt>
              </c:numCache>
            </c:numRef>
          </c:val>
          <c:extLst>
            <c:ext xmlns:c16="http://schemas.microsoft.com/office/drawing/2014/chart" uri="{C3380CC4-5D6E-409C-BE32-E72D297353CC}">
              <c16:uniqueId val="{00000001-92E3-4CF9-9E39-CB2549840C3B}"/>
            </c:ext>
          </c:extLst>
        </c:ser>
        <c:dLbls>
          <c:showLegendKey val="0"/>
          <c:showVal val="0"/>
          <c:showCatName val="0"/>
          <c:showSerName val="0"/>
          <c:showPercent val="0"/>
          <c:showBubbleSize val="0"/>
        </c:dLbls>
        <c:gapWidth val="219"/>
        <c:overlap val="-27"/>
        <c:axId val="1597985664"/>
        <c:axId val="1688780560"/>
      </c:barChart>
      <c:catAx>
        <c:axId val="1597985664"/>
        <c:scaling>
          <c:orientation val="minMax"/>
        </c:scaling>
        <c:delete val="1"/>
        <c:axPos val="b"/>
        <c:majorTickMark val="none"/>
        <c:minorTickMark val="none"/>
        <c:tickLblPos val="nextTo"/>
        <c:crossAx val="1688780560"/>
        <c:crosses val="autoZero"/>
        <c:auto val="1"/>
        <c:lblAlgn val="ctr"/>
        <c:lblOffset val="100"/>
        <c:noMultiLvlLbl val="0"/>
      </c:catAx>
      <c:valAx>
        <c:axId val="168878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98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0.77231</cdr:x>
      <cdr:y>0.44159</cdr:y>
    </cdr:from>
    <cdr:to>
      <cdr:x>0.95692</cdr:x>
      <cdr:y>0.88196</cdr:y>
    </cdr:to>
    <cdr:sp macro="" textlink="">
      <cdr:nvSpPr>
        <cdr:cNvPr id="3" name="Text Box 2"/>
        <cdr:cNvSpPr txBox="1"/>
      </cdr:nvSpPr>
      <cdr:spPr>
        <a:xfrm xmlns:a="http://schemas.openxmlformats.org/drawingml/2006/main">
          <a:off x="2390775" y="916940"/>
          <a:ext cx="571500" cy="9144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GB" sz="1100"/>
            <a:t>Good</a:t>
          </a:r>
        </a:p>
        <a:p xmlns:a="http://schemas.openxmlformats.org/drawingml/2006/main">
          <a:endParaRPr lang="en-GB" sz="1100"/>
        </a:p>
        <a:p xmlns:a="http://schemas.openxmlformats.org/drawingml/2006/main">
          <a:endParaRPr lang="en-GB" sz="1100"/>
        </a:p>
        <a:p xmlns:a="http://schemas.openxmlformats.org/drawingml/2006/main">
          <a:r>
            <a:rPr lang="en-GB" sz="1100"/>
            <a:t>Bad</a:t>
          </a:r>
        </a:p>
      </cdr:txBody>
    </cdr:sp>
  </cdr:relSizeAnchor>
</c:userShapes>
</file>

<file path=word/drawings/drawing2.xml><?xml version="1.0" encoding="utf-8"?>
<c:userShapes xmlns:c="http://schemas.openxmlformats.org/drawingml/2006/chart">
  <cdr:relSizeAnchor xmlns:cdr="http://schemas.openxmlformats.org/drawingml/2006/chartDrawing">
    <cdr:from>
      <cdr:x>0.76198</cdr:x>
      <cdr:y>0.1018</cdr:y>
    </cdr:from>
    <cdr:to>
      <cdr:x>0.98824</cdr:x>
      <cdr:y>1</cdr:y>
    </cdr:to>
    <cdr:sp macro="" textlink="">
      <cdr:nvSpPr>
        <cdr:cNvPr id="3" name="Text Box 1"/>
        <cdr:cNvSpPr txBox="1"/>
      </cdr:nvSpPr>
      <cdr:spPr>
        <a:xfrm xmlns:a="http://schemas.openxmlformats.org/drawingml/2006/main">
          <a:off x="2303147" y="215908"/>
          <a:ext cx="683893" cy="1904992"/>
        </a:xfrm>
        <a:prstGeom xmlns:a="http://schemas.openxmlformats.org/drawingml/2006/main" prst="rect">
          <a:avLst/>
        </a:prstGeom>
        <a:solidFill xmlns:a="http://schemas.openxmlformats.org/drawingml/2006/main">
          <a:schemeClr val="bg1"/>
        </a:solidFill>
        <a:ln xmlns:a="http://schemas.openxmlformats.org/drawingml/2006/main">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GB"/>
            <a:t>High</a:t>
          </a:r>
        </a:p>
        <a:p xmlns:a="http://schemas.openxmlformats.org/drawingml/2006/main">
          <a:endParaRPr lang="en-GB"/>
        </a:p>
        <a:p xmlns:a="http://schemas.openxmlformats.org/drawingml/2006/main">
          <a:r>
            <a:rPr lang="en-GB"/>
            <a:t>Good</a:t>
          </a:r>
        </a:p>
        <a:p xmlns:a="http://schemas.openxmlformats.org/drawingml/2006/main">
          <a:endParaRPr lang="en-GB"/>
        </a:p>
        <a:p xmlns:a="http://schemas.openxmlformats.org/drawingml/2006/main">
          <a:r>
            <a:rPr lang="en-GB" sz="1000"/>
            <a:t>Moderate</a:t>
          </a:r>
        </a:p>
        <a:p xmlns:a="http://schemas.openxmlformats.org/drawingml/2006/main">
          <a:endParaRPr lang="bs-Latn-BA"/>
        </a:p>
        <a:p xmlns:a="http://schemas.openxmlformats.org/drawingml/2006/main">
          <a:r>
            <a:rPr lang="en-GB"/>
            <a:t>Poor</a:t>
          </a:r>
        </a:p>
        <a:p xmlns:a="http://schemas.openxmlformats.org/drawingml/2006/main">
          <a:endParaRPr lang="en-GB"/>
        </a:p>
        <a:p xmlns:a="http://schemas.openxmlformats.org/drawingml/2006/main">
          <a:r>
            <a:rPr lang="en-GB"/>
            <a:t>Bad</a:t>
          </a:r>
        </a:p>
        <a:p xmlns:a="http://schemas.openxmlformats.org/drawingml/2006/main">
          <a:endParaRPr lang="en-GB"/>
        </a:p>
      </cdr:txBody>
    </cdr:sp>
  </cdr:relSizeAnchor>
</c:userShapes>
</file>

<file path=word/drawings/drawing3.xml><?xml version="1.0" encoding="utf-8"?>
<c:userShapes xmlns:c="http://schemas.openxmlformats.org/drawingml/2006/chart">
  <cdr:relSizeAnchor xmlns:cdr="http://schemas.openxmlformats.org/drawingml/2006/chartDrawing">
    <cdr:from>
      <cdr:x>0.73765</cdr:x>
      <cdr:y>0.06755</cdr:y>
    </cdr:from>
    <cdr:to>
      <cdr:x>0.99588</cdr:x>
      <cdr:y>0.94684</cdr:y>
    </cdr:to>
    <cdr:sp macro="" textlink="">
      <cdr:nvSpPr>
        <cdr:cNvPr id="2" name="Text Box 1"/>
        <cdr:cNvSpPr txBox="1"/>
      </cdr:nvSpPr>
      <cdr:spPr>
        <a:xfrm xmlns:a="http://schemas.openxmlformats.org/drawingml/2006/main">
          <a:off x="2276475" y="154940"/>
          <a:ext cx="796925" cy="2016760"/>
        </a:xfrm>
        <a:prstGeom xmlns:a="http://schemas.openxmlformats.org/drawingml/2006/main" prst="rect">
          <a:avLst/>
        </a:prstGeom>
        <a:solidFill xmlns:a="http://schemas.openxmlformats.org/drawingml/2006/main">
          <a:schemeClr val="bg1"/>
        </a:solidFill>
        <a:ln xmlns:a="http://schemas.openxmlformats.org/drawingml/2006/main">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GB"/>
            <a:t>High</a:t>
          </a:r>
        </a:p>
        <a:p xmlns:a="http://schemas.openxmlformats.org/drawingml/2006/main">
          <a:endParaRPr lang="en-GB"/>
        </a:p>
        <a:p xmlns:a="http://schemas.openxmlformats.org/drawingml/2006/main">
          <a:r>
            <a:rPr lang="en-GB"/>
            <a:t>Good</a:t>
          </a:r>
        </a:p>
        <a:p xmlns:a="http://schemas.openxmlformats.org/drawingml/2006/main">
          <a:endParaRPr lang="en-GB"/>
        </a:p>
        <a:p xmlns:a="http://schemas.openxmlformats.org/drawingml/2006/main">
          <a:r>
            <a:rPr lang="en-GB"/>
            <a:t>Moderate</a:t>
          </a:r>
        </a:p>
        <a:p xmlns:a="http://schemas.openxmlformats.org/drawingml/2006/main">
          <a:endParaRPr lang="en-GB"/>
        </a:p>
        <a:p xmlns:a="http://schemas.openxmlformats.org/drawingml/2006/main">
          <a:r>
            <a:rPr lang="en-GB"/>
            <a:t>Poor</a:t>
          </a:r>
        </a:p>
        <a:p xmlns:a="http://schemas.openxmlformats.org/drawingml/2006/main">
          <a:endParaRPr lang="en-GB"/>
        </a:p>
        <a:p xmlns:a="http://schemas.openxmlformats.org/drawingml/2006/main">
          <a:r>
            <a:rPr lang="en-GB"/>
            <a:t>Bad</a:t>
          </a:r>
        </a:p>
      </cdr:txBody>
    </cdr:sp>
  </cdr:relSizeAnchor>
</c:userShapes>
</file>

<file path=word/drawings/drawing4.xml><?xml version="1.0" encoding="utf-8"?>
<c:userShapes xmlns:c="http://schemas.openxmlformats.org/drawingml/2006/chart">
  <cdr:relSizeAnchor xmlns:cdr="http://schemas.openxmlformats.org/drawingml/2006/chartDrawing">
    <cdr:from>
      <cdr:x>0.6677</cdr:x>
      <cdr:y>0.1768</cdr:y>
    </cdr:from>
    <cdr:to>
      <cdr:x>0.96584</cdr:x>
      <cdr:y>0.83614</cdr:y>
    </cdr:to>
    <cdr:sp macro="" textlink="">
      <cdr:nvSpPr>
        <cdr:cNvPr id="2" name="Text Box 1"/>
        <cdr:cNvSpPr txBox="1"/>
      </cdr:nvSpPr>
      <cdr:spPr>
        <a:xfrm xmlns:a="http://schemas.openxmlformats.org/drawingml/2006/main">
          <a:off x="2047875" y="459740"/>
          <a:ext cx="914400" cy="17145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GB" sz="900"/>
            <a:t>Maximum ecological potential (MEP)</a:t>
          </a:r>
        </a:p>
        <a:p xmlns:a="http://schemas.openxmlformats.org/drawingml/2006/main">
          <a:endParaRPr lang="en-GB" sz="900"/>
        </a:p>
        <a:p xmlns:a="http://schemas.openxmlformats.org/drawingml/2006/main">
          <a:r>
            <a:rPr lang="en-GB" sz="900"/>
            <a:t>Good</a:t>
          </a:r>
          <a:r>
            <a:rPr lang="en-GB" sz="900" baseline="0"/>
            <a:t> </a:t>
          </a:r>
          <a:r>
            <a:rPr lang="en-GB" sz="900"/>
            <a:t>ecological potential (GEP)</a:t>
          </a:r>
        </a:p>
        <a:p xmlns:a="http://schemas.openxmlformats.org/drawingml/2006/main">
          <a:endParaRPr lang="en-GB" sz="900"/>
        </a:p>
        <a:p xmlns:a="http://schemas.openxmlformats.org/drawingml/2006/main">
          <a:r>
            <a:rPr lang="en-GB" sz="900"/>
            <a:t>Moderate ecological potential (MEP)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1CA0AEF8CED84A8E0A64B1DCC61067" ma:contentTypeVersion="2" ma:contentTypeDescription="Create a new document." ma:contentTypeScope="" ma:versionID="10a2df780665383efc506316316f1597">
  <xsd:schema xmlns:xsd="http://www.w3.org/2001/XMLSchema" xmlns:xs="http://www.w3.org/2001/XMLSchema" xmlns:p="http://schemas.microsoft.com/office/2006/metadata/properties" xmlns:ns2="047b1399-cf3f-4fb6-947c-7a2d38074fd8" targetNamespace="http://schemas.microsoft.com/office/2006/metadata/properties" ma:root="true" ma:fieldsID="67acebf204d1cd0d7c1db01ef6633b6d" ns2:_="">
    <xsd:import namespace="047b1399-cf3f-4fb6-947c-7a2d38074fd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b1399-cf3f-4fb6-947c-7a2d38074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2824F5-5717-3C4D-B0EB-12E826E784A4}">
  <ds:schemaRefs>
    <ds:schemaRef ds:uri="http://schemas.openxmlformats.org/officeDocument/2006/bibliography"/>
  </ds:schemaRefs>
</ds:datastoreItem>
</file>

<file path=customXml/itemProps2.xml><?xml version="1.0" encoding="utf-8"?>
<ds:datastoreItem xmlns:ds="http://schemas.openxmlformats.org/officeDocument/2006/customXml" ds:itemID="{8B2B2FE5-9121-48C0-B67F-07CA125964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E09EBA-195B-4163-A198-B240F2185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b1399-cf3f-4fb6-947c-7a2d38074f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FA3962-7B09-4F8A-90DB-CDD165146F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208324</Words>
  <Characters>1187449</Characters>
  <Application>Microsoft Office Word</Application>
  <DocSecurity>0</DocSecurity>
  <Lines>9895</Lines>
  <Paragraphs>2785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1392988</CharactersWithSpaces>
  <SharedDoc>false</SharedDoc>
  <HLinks>
    <vt:vector size="390" baseType="variant">
      <vt:variant>
        <vt:i4>7798833</vt:i4>
      </vt:variant>
      <vt:variant>
        <vt:i4>702</vt:i4>
      </vt:variant>
      <vt:variant>
        <vt:i4>0</vt:i4>
      </vt:variant>
      <vt:variant>
        <vt:i4>5</vt:i4>
      </vt:variant>
      <vt:variant>
        <vt:lpwstr>https://zamisli2030.ba/bs/okvir-ciljeva-odrzivog-razvoja-u-bih/</vt:lpwstr>
      </vt:variant>
      <vt:variant>
        <vt:lpwstr/>
      </vt:variant>
      <vt:variant>
        <vt:i4>3997752</vt:i4>
      </vt:variant>
      <vt:variant>
        <vt:i4>666</vt:i4>
      </vt:variant>
      <vt:variant>
        <vt:i4>0</vt:i4>
      </vt:variant>
      <vt:variant>
        <vt:i4>5</vt:i4>
      </vt:variant>
      <vt:variant>
        <vt:lpwstr>http://bih-chm-cbd.ba/wp-content/uploads/2020/11/1stNR.pdf</vt:lpwstr>
      </vt:variant>
      <vt:variant>
        <vt:lpwstr/>
      </vt:variant>
      <vt:variant>
        <vt:i4>7536700</vt:i4>
      </vt:variant>
      <vt:variant>
        <vt:i4>633</vt:i4>
      </vt:variant>
      <vt:variant>
        <vt:i4>0</vt:i4>
      </vt:variant>
      <vt:variant>
        <vt:i4>5</vt:i4>
      </vt:variant>
      <vt:variant>
        <vt:lpwstr>http://fzs.ba/</vt:lpwstr>
      </vt:variant>
      <vt:variant>
        <vt:lpwstr/>
      </vt:variant>
      <vt:variant>
        <vt:i4>6291495</vt:i4>
      </vt:variant>
      <vt:variant>
        <vt:i4>630</vt:i4>
      </vt:variant>
      <vt:variant>
        <vt:i4>0</vt:i4>
      </vt:variant>
      <vt:variant>
        <vt:i4>5</vt:i4>
      </vt:variant>
      <vt:variant>
        <vt:lpwstr>https://documents1.worldbank.org/curated/pt/604171562139744120/pdf/Municipal-Solid-Waste-Management-Sector-Review-Strategic-Directions-and-Investment-Planning-up-to-2025-Part-A-Federation-Bosnia-and-Herzegovina.pdf</vt:lpwstr>
      </vt:variant>
      <vt:variant>
        <vt:lpwstr/>
      </vt:variant>
      <vt:variant>
        <vt:i4>6357091</vt:i4>
      </vt:variant>
      <vt:variant>
        <vt:i4>627</vt:i4>
      </vt:variant>
      <vt:variant>
        <vt:i4>0</vt:i4>
      </vt:variant>
      <vt:variant>
        <vt:i4>5</vt:i4>
      </vt:variant>
      <vt:variant>
        <vt:lpwstr>http://fzs.ba/index.php/publikacije/saopcenjapriopcenja/statistika-okolisa/</vt:lpwstr>
      </vt:variant>
      <vt:variant>
        <vt:lpwstr/>
      </vt:variant>
      <vt:variant>
        <vt:i4>6357091</vt:i4>
      </vt:variant>
      <vt:variant>
        <vt:i4>624</vt:i4>
      </vt:variant>
      <vt:variant>
        <vt:i4>0</vt:i4>
      </vt:variant>
      <vt:variant>
        <vt:i4>5</vt:i4>
      </vt:variant>
      <vt:variant>
        <vt:lpwstr>http://fzs.ba/index.php/publikacije/saopcenjapriopcenja/statistika-okolisa/</vt:lpwstr>
      </vt:variant>
      <vt:variant>
        <vt:lpwstr/>
      </vt:variant>
      <vt:variant>
        <vt:i4>6357091</vt:i4>
      </vt:variant>
      <vt:variant>
        <vt:i4>621</vt:i4>
      </vt:variant>
      <vt:variant>
        <vt:i4>0</vt:i4>
      </vt:variant>
      <vt:variant>
        <vt:i4>5</vt:i4>
      </vt:variant>
      <vt:variant>
        <vt:lpwstr>http://fzs.ba/index.php/publikacije/saopcenjapriopcenja/statistika-okolisa/</vt:lpwstr>
      </vt:variant>
      <vt:variant>
        <vt:lpwstr/>
      </vt:variant>
      <vt:variant>
        <vt:i4>1048627</vt:i4>
      </vt:variant>
      <vt:variant>
        <vt:i4>320</vt:i4>
      </vt:variant>
      <vt:variant>
        <vt:i4>0</vt:i4>
      </vt:variant>
      <vt:variant>
        <vt:i4>5</vt:i4>
      </vt:variant>
      <vt:variant>
        <vt:lpwstr/>
      </vt:variant>
      <vt:variant>
        <vt:lpwstr>_Toc95997942</vt:lpwstr>
      </vt:variant>
      <vt:variant>
        <vt:i4>1245235</vt:i4>
      </vt:variant>
      <vt:variant>
        <vt:i4>314</vt:i4>
      </vt:variant>
      <vt:variant>
        <vt:i4>0</vt:i4>
      </vt:variant>
      <vt:variant>
        <vt:i4>5</vt:i4>
      </vt:variant>
      <vt:variant>
        <vt:lpwstr/>
      </vt:variant>
      <vt:variant>
        <vt:lpwstr>_Toc95997941</vt:lpwstr>
      </vt:variant>
      <vt:variant>
        <vt:i4>1179699</vt:i4>
      </vt:variant>
      <vt:variant>
        <vt:i4>308</vt:i4>
      </vt:variant>
      <vt:variant>
        <vt:i4>0</vt:i4>
      </vt:variant>
      <vt:variant>
        <vt:i4>5</vt:i4>
      </vt:variant>
      <vt:variant>
        <vt:lpwstr/>
      </vt:variant>
      <vt:variant>
        <vt:lpwstr>_Toc95997940</vt:lpwstr>
      </vt:variant>
      <vt:variant>
        <vt:i4>1769524</vt:i4>
      </vt:variant>
      <vt:variant>
        <vt:i4>302</vt:i4>
      </vt:variant>
      <vt:variant>
        <vt:i4>0</vt:i4>
      </vt:variant>
      <vt:variant>
        <vt:i4>5</vt:i4>
      </vt:variant>
      <vt:variant>
        <vt:lpwstr/>
      </vt:variant>
      <vt:variant>
        <vt:lpwstr>_Toc95997939</vt:lpwstr>
      </vt:variant>
      <vt:variant>
        <vt:i4>1703988</vt:i4>
      </vt:variant>
      <vt:variant>
        <vt:i4>296</vt:i4>
      </vt:variant>
      <vt:variant>
        <vt:i4>0</vt:i4>
      </vt:variant>
      <vt:variant>
        <vt:i4>5</vt:i4>
      </vt:variant>
      <vt:variant>
        <vt:lpwstr/>
      </vt:variant>
      <vt:variant>
        <vt:lpwstr>_Toc95997938</vt:lpwstr>
      </vt:variant>
      <vt:variant>
        <vt:i4>1376308</vt:i4>
      </vt:variant>
      <vt:variant>
        <vt:i4>290</vt:i4>
      </vt:variant>
      <vt:variant>
        <vt:i4>0</vt:i4>
      </vt:variant>
      <vt:variant>
        <vt:i4>5</vt:i4>
      </vt:variant>
      <vt:variant>
        <vt:lpwstr/>
      </vt:variant>
      <vt:variant>
        <vt:lpwstr>_Toc95997937</vt:lpwstr>
      </vt:variant>
      <vt:variant>
        <vt:i4>1310772</vt:i4>
      </vt:variant>
      <vt:variant>
        <vt:i4>284</vt:i4>
      </vt:variant>
      <vt:variant>
        <vt:i4>0</vt:i4>
      </vt:variant>
      <vt:variant>
        <vt:i4>5</vt:i4>
      </vt:variant>
      <vt:variant>
        <vt:lpwstr/>
      </vt:variant>
      <vt:variant>
        <vt:lpwstr>_Toc95997936</vt:lpwstr>
      </vt:variant>
      <vt:variant>
        <vt:i4>1507380</vt:i4>
      </vt:variant>
      <vt:variant>
        <vt:i4>278</vt:i4>
      </vt:variant>
      <vt:variant>
        <vt:i4>0</vt:i4>
      </vt:variant>
      <vt:variant>
        <vt:i4>5</vt:i4>
      </vt:variant>
      <vt:variant>
        <vt:lpwstr/>
      </vt:variant>
      <vt:variant>
        <vt:lpwstr>_Toc95997935</vt:lpwstr>
      </vt:variant>
      <vt:variant>
        <vt:i4>1441844</vt:i4>
      </vt:variant>
      <vt:variant>
        <vt:i4>272</vt:i4>
      </vt:variant>
      <vt:variant>
        <vt:i4>0</vt:i4>
      </vt:variant>
      <vt:variant>
        <vt:i4>5</vt:i4>
      </vt:variant>
      <vt:variant>
        <vt:lpwstr/>
      </vt:variant>
      <vt:variant>
        <vt:lpwstr>_Toc95997934</vt:lpwstr>
      </vt:variant>
      <vt:variant>
        <vt:i4>1114164</vt:i4>
      </vt:variant>
      <vt:variant>
        <vt:i4>266</vt:i4>
      </vt:variant>
      <vt:variant>
        <vt:i4>0</vt:i4>
      </vt:variant>
      <vt:variant>
        <vt:i4>5</vt:i4>
      </vt:variant>
      <vt:variant>
        <vt:lpwstr/>
      </vt:variant>
      <vt:variant>
        <vt:lpwstr>_Toc95997933</vt:lpwstr>
      </vt:variant>
      <vt:variant>
        <vt:i4>1048628</vt:i4>
      </vt:variant>
      <vt:variant>
        <vt:i4>260</vt:i4>
      </vt:variant>
      <vt:variant>
        <vt:i4>0</vt:i4>
      </vt:variant>
      <vt:variant>
        <vt:i4>5</vt:i4>
      </vt:variant>
      <vt:variant>
        <vt:lpwstr/>
      </vt:variant>
      <vt:variant>
        <vt:lpwstr>_Toc95997932</vt:lpwstr>
      </vt:variant>
      <vt:variant>
        <vt:i4>1245236</vt:i4>
      </vt:variant>
      <vt:variant>
        <vt:i4>254</vt:i4>
      </vt:variant>
      <vt:variant>
        <vt:i4>0</vt:i4>
      </vt:variant>
      <vt:variant>
        <vt:i4>5</vt:i4>
      </vt:variant>
      <vt:variant>
        <vt:lpwstr/>
      </vt:variant>
      <vt:variant>
        <vt:lpwstr>_Toc95997931</vt:lpwstr>
      </vt:variant>
      <vt:variant>
        <vt:i4>1179700</vt:i4>
      </vt:variant>
      <vt:variant>
        <vt:i4>248</vt:i4>
      </vt:variant>
      <vt:variant>
        <vt:i4>0</vt:i4>
      </vt:variant>
      <vt:variant>
        <vt:i4>5</vt:i4>
      </vt:variant>
      <vt:variant>
        <vt:lpwstr/>
      </vt:variant>
      <vt:variant>
        <vt:lpwstr>_Toc95997930</vt:lpwstr>
      </vt:variant>
      <vt:variant>
        <vt:i4>1769525</vt:i4>
      </vt:variant>
      <vt:variant>
        <vt:i4>242</vt:i4>
      </vt:variant>
      <vt:variant>
        <vt:i4>0</vt:i4>
      </vt:variant>
      <vt:variant>
        <vt:i4>5</vt:i4>
      </vt:variant>
      <vt:variant>
        <vt:lpwstr/>
      </vt:variant>
      <vt:variant>
        <vt:lpwstr>_Toc95997929</vt:lpwstr>
      </vt:variant>
      <vt:variant>
        <vt:i4>1703989</vt:i4>
      </vt:variant>
      <vt:variant>
        <vt:i4>236</vt:i4>
      </vt:variant>
      <vt:variant>
        <vt:i4>0</vt:i4>
      </vt:variant>
      <vt:variant>
        <vt:i4>5</vt:i4>
      </vt:variant>
      <vt:variant>
        <vt:lpwstr/>
      </vt:variant>
      <vt:variant>
        <vt:lpwstr>_Toc95997928</vt:lpwstr>
      </vt:variant>
      <vt:variant>
        <vt:i4>1376309</vt:i4>
      </vt:variant>
      <vt:variant>
        <vt:i4>230</vt:i4>
      </vt:variant>
      <vt:variant>
        <vt:i4>0</vt:i4>
      </vt:variant>
      <vt:variant>
        <vt:i4>5</vt:i4>
      </vt:variant>
      <vt:variant>
        <vt:lpwstr/>
      </vt:variant>
      <vt:variant>
        <vt:lpwstr>_Toc95997927</vt:lpwstr>
      </vt:variant>
      <vt:variant>
        <vt:i4>1310773</vt:i4>
      </vt:variant>
      <vt:variant>
        <vt:i4>224</vt:i4>
      </vt:variant>
      <vt:variant>
        <vt:i4>0</vt:i4>
      </vt:variant>
      <vt:variant>
        <vt:i4>5</vt:i4>
      </vt:variant>
      <vt:variant>
        <vt:lpwstr/>
      </vt:variant>
      <vt:variant>
        <vt:lpwstr>_Toc95997926</vt:lpwstr>
      </vt:variant>
      <vt:variant>
        <vt:i4>1507381</vt:i4>
      </vt:variant>
      <vt:variant>
        <vt:i4>218</vt:i4>
      </vt:variant>
      <vt:variant>
        <vt:i4>0</vt:i4>
      </vt:variant>
      <vt:variant>
        <vt:i4>5</vt:i4>
      </vt:variant>
      <vt:variant>
        <vt:lpwstr/>
      </vt:variant>
      <vt:variant>
        <vt:lpwstr>_Toc95997925</vt:lpwstr>
      </vt:variant>
      <vt:variant>
        <vt:i4>1441845</vt:i4>
      </vt:variant>
      <vt:variant>
        <vt:i4>212</vt:i4>
      </vt:variant>
      <vt:variant>
        <vt:i4>0</vt:i4>
      </vt:variant>
      <vt:variant>
        <vt:i4>5</vt:i4>
      </vt:variant>
      <vt:variant>
        <vt:lpwstr/>
      </vt:variant>
      <vt:variant>
        <vt:lpwstr>_Toc95997924</vt:lpwstr>
      </vt:variant>
      <vt:variant>
        <vt:i4>1114165</vt:i4>
      </vt:variant>
      <vt:variant>
        <vt:i4>206</vt:i4>
      </vt:variant>
      <vt:variant>
        <vt:i4>0</vt:i4>
      </vt:variant>
      <vt:variant>
        <vt:i4>5</vt:i4>
      </vt:variant>
      <vt:variant>
        <vt:lpwstr/>
      </vt:variant>
      <vt:variant>
        <vt:lpwstr>_Toc95997923</vt:lpwstr>
      </vt:variant>
      <vt:variant>
        <vt:i4>1048629</vt:i4>
      </vt:variant>
      <vt:variant>
        <vt:i4>200</vt:i4>
      </vt:variant>
      <vt:variant>
        <vt:i4>0</vt:i4>
      </vt:variant>
      <vt:variant>
        <vt:i4>5</vt:i4>
      </vt:variant>
      <vt:variant>
        <vt:lpwstr/>
      </vt:variant>
      <vt:variant>
        <vt:lpwstr>_Toc95997922</vt:lpwstr>
      </vt:variant>
      <vt:variant>
        <vt:i4>1245237</vt:i4>
      </vt:variant>
      <vt:variant>
        <vt:i4>194</vt:i4>
      </vt:variant>
      <vt:variant>
        <vt:i4>0</vt:i4>
      </vt:variant>
      <vt:variant>
        <vt:i4>5</vt:i4>
      </vt:variant>
      <vt:variant>
        <vt:lpwstr/>
      </vt:variant>
      <vt:variant>
        <vt:lpwstr>_Toc95997921</vt:lpwstr>
      </vt:variant>
      <vt:variant>
        <vt:i4>1179701</vt:i4>
      </vt:variant>
      <vt:variant>
        <vt:i4>188</vt:i4>
      </vt:variant>
      <vt:variant>
        <vt:i4>0</vt:i4>
      </vt:variant>
      <vt:variant>
        <vt:i4>5</vt:i4>
      </vt:variant>
      <vt:variant>
        <vt:lpwstr/>
      </vt:variant>
      <vt:variant>
        <vt:lpwstr>_Toc95997920</vt:lpwstr>
      </vt:variant>
      <vt:variant>
        <vt:i4>1769526</vt:i4>
      </vt:variant>
      <vt:variant>
        <vt:i4>182</vt:i4>
      </vt:variant>
      <vt:variant>
        <vt:i4>0</vt:i4>
      </vt:variant>
      <vt:variant>
        <vt:i4>5</vt:i4>
      </vt:variant>
      <vt:variant>
        <vt:lpwstr/>
      </vt:variant>
      <vt:variant>
        <vt:lpwstr>_Toc95997919</vt:lpwstr>
      </vt:variant>
      <vt:variant>
        <vt:i4>1703990</vt:i4>
      </vt:variant>
      <vt:variant>
        <vt:i4>176</vt:i4>
      </vt:variant>
      <vt:variant>
        <vt:i4>0</vt:i4>
      </vt:variant>
      <vt:variant>
        <vt:i4>5</vt:i4>
      </vt:variant>
      <vt:variant>
        <vt:lpwstr/>
      </vt:variant>
      <vt:variant>
        <vt:lpwstr>_Toc95997918</vt:lpwstr>
      </vt:variant>
      <vt:variant>
        <vt:i4>1376310</vt:i4>
      </vt:variant>
      <vt:variant>
        <vt:i4>170</vt:i4>
      </vt:variant>
      <vt:variant>
        <vt:i4>0</vt:i4>
      </vt:variant>
      <vt:variant>
        <vt:i4>5</vt:i4>
      </vt:variant>
      <vt:variant>
        <vt:lpwstr/>
      </vt:variant>
      <vt:variant>
        <vt:lpwstr>_Toc95997917</vt:lpwstr>
      </vt:variant>
      <vt:variant>
        <vt:i4>1310774</vt:i4>
      </vt:variant>
      <vt:variant>
        <vt:i4>164</vt:i4>
      </vt:variant>
      <vt:variant>
        <vt:i4>0</vt:i4>
      </vt:variant>
      <vt:variant>
        <vt:i4>5</vt:i4>
      </vt:variant>
      <vt:variant>
        <vt:lpwstr/>
      </vt:variant>
      <vt:variant>
        <vt:lpwstr>_Toc95997916</vt:lpwstr>
      </vt:variant>
      <vt:variant>
        <vt:i4>1507382</vt:i4>
      </vt:variant>
      <vt:variant>
        <vt:i4>158</vt:i4>
      </vt:variant>
      <vt:variant>
        <vt:i4>0</vt:i4>
      </vt:variant>
      <vt:variant>
        <vt:i4>5</vt:i4>
      </vt:variant>
      <vt:variant>
        <vt:lpwstr/>
      </vt:variant>
      <vt:variant>
        <vt:lpwstr>_Toc95997915</vt:lpwstr>
      </vt:variant>
      <vt:variant>
        <vt:i4>1441846</vt:i4>
      </vt:variant>
      <vt:variant>
        <vt:i4>152</vt:i4>
      </vt:variant>
      <vt:variant>
        <vt:i4>0</vt:i4>
      </vt:variant>
      <vt:variant>
        <vt:i4>5</vt:i4>
      </vt:variant>
      <vt:variant>
        <vt:lpwstr/>
      </vt:variant>
      <vt:variant>
        <vt:lpwstr>_Toc95997914</vt:lpwstr>
      </vt:variant>
      <vt:variant>
        <vt:i4>1114166</vt:i4>
      </vt:variant>
      <vt:variant>
        <vt:i4>146</vt:i4>
      </vt:variant>
      <vt:variant>
        <vt:i4>0</vt:i4>
      </vt:variant>
      <vt:variant>
        <vt:i4>5</vt:i4>
      </vt:variant>
      <vt:variant>
        <vt:lpwstr/>
      </vt:variant>
      <vt:variant>
        <vt:lpwstr>_Toc95997913</vt:lpwstr>
      </vt:variant>
      <vt:variant>
        <vt:i4>1048630</vt:i4>
      </vt:variant>
      <vt:variant>
        <vt:i4>140</vt:i4>
      </vt:variant>
      <vt:variant>
        <vt:i4>0</vt:i4>
      </vt:variant>
      <vt:variant>
        <vt:i4>5</vt:i4>
      </vt:variant>
      <vt:variant>
        <vt:lpwstr/>
      </vt:variant>
      <vt:variant>
        <vt:lpwstr>_Toc95997912</vt:lpwstr>
      </vt:variant>
      <vt:variant>
        <vt:i4>1245238</vt:i4>
      </vt:variant>
      <vt:variant>
        <vt:i4>134</vt:i4>
      </vt:variant>
      <vt:variant>
        <vt:i4>0</vt:i4>
      </vt:variant>
      <vt:variant>
        <vt:i4>5</vt:i4>
      </vt:variant>
      <vt:variant>
        <vt:lpwstr/>
      </vt:variant>
      <vt:variant>
        <vt:lpwstr>_Toc95997911</vt:lpwstr>
      </vt:variant>
      <vt:variant>
        <vt:i4>1179702</vt:i4>
      </vt:variant>
      <vt:variant>
        <vt:i4>128</vt:i4>
      </vt:variant>
      <vt:variant>
        <vt:i4>0</vt:i4>
      </vt:variant>
      <vt:variant>
        <vt:i4>5</vt:i4>
      </vt:variant>
      <vt:variant>
        <vt:lpwstr/>
      </vt:variant>
      <vt:variant>
        <vt:lpwstr>_Toc95997910</vt:lpwstr>
      </vt:variant>
      <vt:variant>
        <vt:i4>1769527</vt:i4>
      </vt:variant>
      <vt:variant>
        <vt:i4>122</vt:i4>
      </vt:variant>
      <vt:variant>
        <vt:i4>0</vt:i4>
      </vt:variant>
      <vt:variant>
        <vt:i4>5</vt:i4>
      </vt:variant>
      <vt:variant>
        <vt:lpwstr/>
      </vt:variant>
      <vt:variant>
        <vt:lpwstr>_Toc95997909</vt:lpwstr>
      </vt:variant>
      <vt:variant>
        <vt:i4>1703991</vt:i4>
      </vt:variant>
      <vt:variant>
        <vt:i4>116</vt:i4>
      </vt:variant>
      <vt:variant>
        <vt:i4>0</vt:i4>
      </vt:variant>
      <vt:variant>
        <vt:i4>5</vt:i4>
      </vt:variant>
      <vt:variant>
        <vt:lpwstr/>
      </vt:variant>
      <vt:variant>
        <vt:lpwstr>_Toc95997908</vt:lpwstr>
      </vt:variant>
      <vt:variant>
        <vt:i4>1376311</vt:i4>
      </vt:variant>
      <vt:variant>
        <vt:i4>110</vt:i4>
      </vt:variant>
      <vt:variant>
        <vt:i4>0</vt:i4>
      </vt:variant>
      <vt:variant>
        <vt:i4>5</vt:i4>
      </vt:variant>
      <vt:variant>
        <vt:lpwstr/>
      </vt:variant>
      <vt:variant>
        <vt:lpwstr>_Toc95997907</vt:lpwstr>
      </vt:variant>
      <vt:variant>
        <vt:i4>1310775</vt:i4>
      </vt:variant>
      <vt:variant>
        <vt:i4>104</vt:i4>
      </vt:variant>
      <vt:variant>
        <vt:i4>0</vt:i4>
      </vt:variant>
      <vt:variant>
        <vt:i4>5</vt:i4>
      </vt:variant>
      <vt:variant>
        <vt:lpwstr/>
      </vt:variant>
      <vt:variant>
        <vt:lpwstr>_Toc95997906</vt:lpwstr>
      </vt:variant>
      <vt:variant>
        <vt:i4>1507383</vt:i4>
      </vt:variant>
      <vt:variant>
        <vt:i4>98</vt:i4>
      </vt:variant>
      <vt:variant>
        <vt:i4>0</vt:i4>
      </vt:variant>
      <vt:variant>
        <vt:i4>5</vt:i4>
      </vt:variant>
      <vt:variant>
        <vt:lpwstr/>
      </vt:variant>
      <vt:variant>
        <vt:lpwstr>_Toc95997905</vt:lpwstr>
      </vt:variant>
      <vt:variant>
        <vt:i4>1441847</vt:i4>
      </vt:variant>
      <vt:variant>
        <vt:i4>92</vt:i4>
      </vt:variant>
      <vt:variant>
        <vt:i4>0</vt:i4>
      </vt:variant>
      <vt:variant>
        <vt:i4>5</vt:i4>
      </vt:variant>
      <vt:variant>
        <vt:lpwstr/>
      </vt:variant>
      <vt:variant>
        <vt:lpwstr>_Toc95997904</vt:lpwstr>
      </vt:variant>
      <vt:variant>
        <vt:i4>1114167</vt:i4>
      </vt:variant>
      <vt:variant>
        <vt:i4>86</vt:i4>
      </vt:variant>
      <vt:variant>
        <vt:i4>0</vt:i4>
      </vt:variant>
      <vt:variant>
        <vt:i4>5</vt:i4>
      </vt:variant>
      <vt:variant>
        <vt:lpwstr/>
      </vt:variant>
      <vt:variant>
        <vt:lpwstr>_Toc95997903</vt:lpwstr>
      </vt:variant>
      <vt:variant>
        <vt:i4>1048631</vt:i4>
      </vt:variant>
      <vt:variant>
        <vt:i4>80</vt:i4>
      </vt:variant>
      <vt:variant>
        <vt:i4>0</vt:i4>
      </vt:variant>
      <vt:variant>
        <vt:i4>5</vt:i4>
      </vt:variant>
      <vt:variant>
        <vt:lpwstr/>
      </vt:variant>
      <vt:variant>
        <vt:lpwstr>_Toc95997902</vt:lpwstr>
      </vt:variant>
      <vt:variant>
        <vt:i4>1245239</vt:i4>
      </vt:variant>
      <vt:variant>
        <vt:i4>74</vt:i4>
      </vt:variant>
      <vt:variant>
        <vt:i4>0</vt:i4>
      </vt:variant>
      <vt:variant>
        <vt:i4>5</vt:i4>
      </vt:variant>
      <vt:variant>
        <vt:lpwstr/>
      </vt:variant>
      <vt:variant>
        <vt:lpwstr>_Toc95997901</vt:lpwstr>
      </vt:variant>
      <vt:variant>
        <vt:i4>1179703</vt:i4>
      </vt:variant>
      <vt:variant>
        <vt:i4>68</vt:i4>
      </vt:variant>
      <vt:variant>
        <vt:i4>0</vt:i4>
      </vt:variant>
      <vt:variant>
        <vt:i4>5</vt:i4>
      </vt:variant>
      <vt:variant>
        <vt:lpwstr/>
      </vt:variant>
      <vt:variant>
        <vt:lpwstr>_Toc95997900</vt:lpwstr>
      </vt:variant>
      <vt:variant>
        <vt:i4>1703998</vt:i4>
      </vt:variant>
      <vt:variant>
        <vt:i4>62</vt:i4>
      </vt:variant>
      <vt:variant>
        <vt:i4>0</vt:i4>
      </vt:variant>
      <vt:variant>
        <vt:i4>5</vt:i4>
      </vt:variant>
      <vt:variant>
        <vt:lpwstr/>
      </vt:variant>
      <vt:variant>
        <vt:lpwstr>_Toc95997899</vt:lpwstr>
      </vt:variant>
      <vt:variant>
        <vt:i4>1769534</vt:i4>
      </vt:variant>
      <vt:variant>
        <vt:i4>56</vt:i4>
      </vt:variant>
      <vt:variant>
        <vt:i4>0</vt:i4>
      </vt:variant>
      <vt:variant>
        <vt:i4>5</vt:i4>
      </vt:variant>
      <vt:variant>
        <vt:lpwstr/>
      </vt:variant>
      <vt:variant>
        <vt:lpwstr>_Toc95997898</vt:lpwstr>
      </vt:variant>
      <vt:variant>
        <vt:i4>1310782</vt:i4>
      </vt:variant>
      <vt:variant>
        <vt:i4>50</vt:i4>
      </vt:variant>
      <vt:variant>
        <vt:i4>0</vt:i4>
      </vt:variant>
      <vt:variant>
        <vt:i4>5</vt:i4>
      </vt:variant>
      <vt:variant>
        <vt:lpwstr/>
      </vt:variant>
      <vt:variant>
        <vt:lpwstr>_Toc95997897</vt:lpwstr>
      </vt:variant>
      <vt:variant>
        <vt:i4>1376318</vt:i4>
      </vt:variant>
      <vt:variant>
        <vt:i4>44</vt:i4>
      </vt:variant>
      <vt:variant>
        <vt:i4>0</vt:i4>
      </vt:variant>
      <vt:variant>
        <vt:i4>5</vt:i4>
      </vt:variant>
      <vt:variant>
        <vt:lpwstr/>
      </vt:variant>
      <vt:variant>
        <vt:lpwstr>_Toc95997896</vt:lpwstr>
      </vt:variant>
      <vt:variant>
        <vt:i4>1441854</vt:i4>
      </vt:variant>
      <vt:variant>
        <vt:i4>38</vt:i4>
      </vt:variant>
      <vt:variant>
        <vt:i4>0</vt:i4>
      </vt:variant>
      <vt:variant>
        <vt:i4>5</vt:i4>
      </vt:variant>
      <vt:variant>
        <vt:lpwstr/>
      </vt:variant>
      <vt:variant>
        <vt:lpwstr>_Toc95997895</vt:lpwstr>
      </vt:variant>
      <vt:variant>
        <vt:i4>1507390</vt:i4>
      </vt:variant>
      <vt:variant>
        <vt:i4>32</vt:i4>
      </vt:variant>
      <vt:variant>
        <vt:i4>0</vt:i4>
      </vt:variant>
      <vt:variant>
        <vt:i4>5</vt:i4>
      </vt:variant>
      <vt:variant>
        <vt:lpwstr/>
      </vt:variant>
      <vt:variant>
        <vt:lpwstr>_Toc95997894</vt:lpwstr>
      </vt:variant>
      <vt:variant>
        <vt:i4>1048638</vt:i4>
      </vt:variant>
      <vt:variant>
        <vt:i4>26</vt:i4>
      </vt:variant>
      <vt:variant>
        <vt:i4>0</vt:i4>
      </vt:variant>
      <vt:variant>
        <vt:i4>5</vt:i4>
      </vt:variant>
      <vt:variant>
        <vt:lpwstr/>
      </vt:variant>
      <vt:variant>
        <vt:lpwstr>_Toc95997893</vt:lpwstr>
      </vt:variant>
      <vt:variant>
        <vt:i4>1114174</vt:i4>
      </vt:variant>
      <vt:variant>
        <vt:i4>20</vt:i4>
      </vt:variant>
      <vt:variant>
        <vt:i4>0</vt:i4>
      </vt:variant>
      <vt:variant>
        <vt:i4>5</vt:i4>
      </vt:variant>
      <vt:variant>
        <vt:lpwstr/>
      </vt:variant>
      <vt:variant>
        <vt:lpwstr>_Toc95997892</vt:lpwstr>
      </vt:variant>
      <vt:variant>
        <vt:i4>1179710</vt:i4>
      </vt:variant>
      <vt:variant>
        <vt:i4>14</vt:i4>
      </vt:variant>
      <vt:variant>
        <vt:i4>0</vt:i4>
      </vt:variant>
      <vt:variant>
        <vt:i4>5</vt:i4>
      </vt:variant>
      <vt:variant>
        <vt:lpwstr/>
      </vt:variant>
      <vt:variant>
        <vt:lpwstr>_Toc95997891</vt:lpwstr>
      </vt:variant>
      <vt:variant>
        <vt:i4>1245246</vt:i4>
      </vt:variant>
      <vt:variant>
        <vt:i4>8</vt:i4>
      </vt:variant>
      <vt:variant>
        <vt:i4>0</vt:i4>
      </vt:variant>
      <vt:variant>
        <vt:i4>5</vt:i4>
      </vt:variant>
      <vt:variant>
        <vt:lpwstr/>
      </vt:variant>
      <vt:variant>
        <vt:lpwstr>_Toc95997890</vt:lpwstr>
      </vt:variant>
      <vt:variant>
        <vt:i4>1703999</vt:i4>
      </vt:variant>
      <vt:variant>
        <vt:i4>2</vt:i4>
      </vt:variant>
      <vt:variant>
        <vt:i4>0</vt:i4>
      </vt:variant>
      <vt:variant>
        <vt:i4>5</vt:i4>
      </vt:variant>
      <vt:variant>
        <vt:lpwstr/>
      </vt:variant>
      <vt:variant>
        <vt:lpwstr>_Toc95997889</vt:lpwstr>
      </vt:variant>
      <vt:variant>
        <vt:i4>7798833</vt:i4>
      </vt:variant>
      <vt:variant>
        <vt:i4>9</vt:i4>
      </vt:variant>
      <vt:variant>
        <vt:i4>0</vt:i4>
      </vt:variant>
      <vt:variant>
        <vt:i4>5</vt:i4>
      </vt:variant>
      <vt:variant>
        <vt:lpwstr>https://zamisli2030.ba/bs/okvir-ciljeva-odrzivog-razvoja-u-bih/</vt:lpwstr>
      </vt:variant>
      <vt:variant>
        <vt:lpwstr/>
      </vt:variant>
      <vt:variant>
        <vt:i4>6357091</vt:i4>
      </vt:variant>
      <vt:variant>
        <vt:i4>6</vt:i4>
      </vt:variant>
      <vt:variant>
        <vt:i4>0</vt:i4>
      </vt:variant>
      <vt:variant>
        <vt:i4>5</vt:i4>
      </vt:variant>
      <vt:variant>
        <vt:lpwstr>http://fzs.ba/index.php/publikacije/saopcenjapriopcenja/statistika-okolisa/</vt:lpwstr>
      </vt:variant>
      <vt:variant>
        <vt:lpwstr/>
      </vt:variant>
      <vt:variant>
        <vt:i4>6357091</vt:i4>
      </vt:variant>
      <vt:variant>
        <vt:i4>3</vt:i4>
      </vt:variant>
      <vt:variant>
        <vt:i4>0</vt:i4>
      </vt:variant>
      <vt:variant>
        <vt:i4>5</vt:i4>
      </vt:variant>
      <vt:variant>
        <vt:lpwstr>http://fzs.ba/index.php/publikacije/saopcenjapriopcenja/statistika-okolisa/</vt:lpwstr>
      </vt:variant>
      <vt:variant>
        <vt:lpwstr/>
      </vt:variant>
      <vt:variant>
        <vt:i4>6357091</vt:i4>
      </vt:variant>
      <vt:variant>
        <vt:i4>0</vt:i4>
      </vt:variant>
      <vt:variant>
        <vt:i4>0</vt:i4>
      </vt:variant>
      <vt:variant>
        <vt:i4>5</vt:i4>
      </vt:variant>
      <vt:variant>
        <vt:lpwstr>http://fzs.ba/index.php/publikacije/saopcenjapriopcenja/statistika-okolisa/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Snezana Misic</dc:creator>
  <cp:keywords/>
  <dc:description/>
  <cp:lastModifiedBy>Senka Kulenović</cp:lastModifiedBy>
  <cp:revision>7</cp:revision>
  <cp:lastPrinted>2022-08-03T10:16:00Z</cp:lastPrinted>
  <dcterms:created xsi:type="dcterms:W3CDTF">2022-10-23T18:17:00Z</dcterms:created>
  <dcterms:modified xsi:type="dcterms:W3CDTF">2022-10-25T09:01:00Z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0x010100C81CA0AEF8CED84A8E0A64B1DCC61067</vt:lpwstr>
  </property>
  <property fmtid="{D5CDD505-2E9C-101B-9397-08002B2CF9AE}" pid="3" name="MSIP_Label_ea60d57e-af5b-4752-ac57-3e4f28ca11dc_Enabled">
    <vt:lpwstr>true</vt:lpwstr>
  </property>
  <property fmtid="{D5CDD505-2E9C-101B-9397-08002B2CF9AE}" pid="4" name="MSIP_Label_ea60d57e-af5b-4752-ac57-3e4f28ca11dc_SetDate">
    <vt:lpwstr>2022-02-23T09:55:13Z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f961322b-8fbc-4373-82c5-c2b710727633</vt:lpwstr>
  </property>
  <property fmtid="{D5CDD505-2E9C-101B-9397-08002B2CF9AE}" pid="9" name="MSIP_Label_ea60d57e-af5b-4752-ac57-3e4f28ca11dc_ContentBits">
    <vt:lpwstr>0</vt:lpwstr>
  </property>
  <property fmtid="{D5CDD505-2E9C-101B-9397-08002B2CF9AE}" pid="10" name="ZOTERO_PREF_1">
    <vt:lpwstr>&lt;data data-version="3" zotero-version="6.0.10"&gt;&lt;session id="rACaLVzR"/&gt;&lt;style id="SEI-Style-English-Oct-2019" hasBibliography="1" bibliographyStyleHasBeenSet="1"/&gt;&lt;prefs&gt;&lt;pref name="fieldType" value="Field"/&gt;&lt;pref name="dontAskDelayCitationUpdates" value=</vt:lpwstr>
  </property>
  <property fmtid="{D5CDD505-2E9C-101B-9397-08002B2CF9AE}" pid="11" name="ZOTERO_PREF_2">
    <vt:lpwstr>"true"/&gt;&lt;/prefs&gt;&lt;/data&gt;</vt:lpwstr>
  </property>
</Properties>
</file>